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734201" w14:textId="77777777" w:rsidR="002A21AE" w:rsidRDefault="00057948" w:rsidP="00D84B16">
      <w:pPr>
        <w:pStyle w:val="StyleTitlePageCentered"/>
      </w:pPr>
      <w:r>
        <w:rPr>
          <w:noProof/>
        </w:rPr>
        <w:drawing>
          <wp:inline distT="0" distB="0" distL="0" distR="0" wp14:anchorId="79423332" wp14:editId="7BB2F0FC">
            <wp:extent cx="3399155" cy="1209675"/>
            <wp:effectExtent l="0" t="0" r="0" b="9525"/>
            <wp:docPr id="2" name="Picture 2"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9155" cy="1209675"/>
                    </a:xfrm>
                    <a:prstGeom prst="rect">
                      <a:avLst/>
                    </a:prstGeom>
                    <a:noFill/>
                    <a:ln>
                      <a:noFill/>
                    </a:ln>
                  </pic:spPr>
                </pic:pic>
              </a:graphicData>
            </a:graphic>
          </wp:inline>
        </w:drawing>
      </w:r>
    </w:p>
    <w:p w14:paraId="78B81540" w14:textId="77777777" w:rsidR="002A21AE" w:rsidRDefault="002A21AE">
      <w:pPr>
        <w:pStyle w:val="TitlePage"/>
      </w:pPr>
    </w:p>
    <w:p w14:paraId="49141FE0" w14:textId="77777777" w:rsidR="002A21AE" w:rsidRDefault="002A21AE">
      <w:pPr>
        <w:pStyle w:val="StyleTitlePageCentered"/>
      </w:pPr>
    </w:p>
    <w:p w14:paraId="2417B64F" w14:textId="77777777" w:rsidR="002A21AE" w:rsidRDefault="002A21AE">
      <w:pPr>
        <w:pStyle w:val="StyleTitlePageCentered"/>
      </w:pPr>
    </w:p>
    <w:p w14:paraId="3CB9B7B0" w14:textId="77777777" w:rsidR="002A21AE" w:rsidRDefault="002A21AE">
      <w:pPr>
        <w:pStyle w:val="StyleTitlePageCentered"/>
      </w:pPr>
    </w:p>
    <w:p w14:paraId="3BC89D40" w14:textId="77777777" w:rsidR="002A21AE" w:rsidRDefault="002A21AE">
      <w:pPr>
        <w:pStyle w:val="StyleTitlePageCentered"/>
      </w:pPr>
    </w:p>
    <w:p w14:paraId="1A457093" w14:textId="70E60A51" w:rsidR="002A21AE" w:rsidRDefault="00D41F17">
      <w:pPr>
        <w:pStyle w:val="StyleTitlePageCentered"/>
      </w:pPr>
      <w:r>
        <w:t>V</w:t>
      </w:r>
      <w:r w:rsidR="000C7684">
        <w:t>ist</w:t>
      </w:r>
      <w:r w:rsidR="00EB26A1">
        <w:t>A</w:t>
      </w:r>
      <w:r w:rsidR="000C7684">
        <w:t xml:space="preserve"> </w:t>
      </w:r>
      <w:r w:rsidR="002A21AE">
        <w:t xml:space="preserve">Blood Establishment Computer Software (VBECS) </w:t>
      </w:r>
      <w:r w:rsidR="00662F2F">
        <w:t>Version</w:t>
      </w:r>
      <w:r w:rsidR="002A21AE">
        <w:t xml:space="preserve"> </w:t>
      </w:r>
      <w:r w:rsidR="00C94A42">
        <w:t>2.3.</w:t>
      </w:r>
      <w:r w:rsidR="00FA3D3A">
        <w:t>2</w:t>
      </w:r>
    </w:p>
    <w:p w14:paraId="74FC8673" w14:textId="77777777" w:rsidR="00D10407" w:rsidRDefault="00D10407">
      <w:pPr>
        <w:pStyle w:val="StyleTitlePageCentered"/>
      </w:pPr>
    </w:p>
    <w:p w14:paraId="16BEDBD2" w14:textId="77777777" w:rsidR="00D10407" w:rsidRDefault="00D10407">
      <w:pPr>
        <w:pStyle w:val="StyleTitlePageCentered"/>
      </w:pPr>
    </w:p>
    <w:p w14:paraId="3303CC73" w14:textId="6CD14030" w:rsidR="002A21AE" w:rsidRDefault="002A21AE">
      <w:pPr>
        <w:pStyle w:val="StyleTitlePageCentered"/>
      </w:pPr>
      <w:r>
        <w:t>User Guide</w:t>
      </w:r>
      <w:r w:rsidR="00F036AD">
        <w:t xml:space="preserve"> Version </w:t>
      </w:r>
      <w:r w:rsidR="00C01E9A">
        <w:t>6</w:t>
      </w:r>
      <w:r w:rsidR="00F036AD">
        <w:t>.0</w:t>
      </w:r>
    </w:p>
    <w:p w14:paraId="33C7245B" w14:textId="77777777" w:rsidR="008B7F48" w:rsidRDefault="008B7F48">
      <w:pPr>
        <w:pStyle w:val="StyleTitlePageCentered"/>
      </w:pPr>
    </w:p>
    <w:p w14:paraId="79CA82F5" w14:textId="05CD34D3" w:rsidR="002A21AE" w:rsidRPr="006E05B3" w:rsidRDefault="00C01E9A">
      <w:pPr>
        <w:pStyle w:val="StyleTitlePageCentered"/>
      </w:pPr>
      <w:r>
        <w:t>August</w:t>
      </w:r>
      <w:r w:rsidR="00B30206">
        <w:t xml:space="preserve"> 20</w:t>
      </w:r>
      <w:r w:rsidR="005F6FBE">
        <w:t>20</w:t>
      </w:r>
    </w:p>
    <w:p w14:paraId="690EF147" w14:textId="77777777" w:rsidR="002A21AE" w:rsidRDefault="002A21AE">
      <w:pPr>
        <w:pStyle w:val="StyleTitlePageCentered"/>
      </w:pPr>
    </w:p>
    <w:p w14:paraId="7D4B2FCB" w14:textId="77777777" w:rsidR="002A21AE" w:rsidRDefault="002A21AE">
      <w:pPr>
        <w:pStyle w:val="StyleTitlePageCentered"/>
      </w:pPr>
    </w:p>
    <w:p w14:paraId="48757A61" w14:textId="77777777" w:rsidR="002A21AE" w:rsidRDefault="002A21AE">
      <w:pPr>
        <w:pStyle w:val="StyleTitlePageCentered"/>
      </w:pPr>
    </w:p>
    <w:p w14:paraId="5DE4A9FD" w14:textId="77777777" w:rsidR="002A21AE" w:rsidRDefault="002A21AE">
      <w:pPr>
        <w:pStyle w:val="StyleTitlePageCentered"/>
      </w:pPr>
    </w:p>
    <w:p w14:paraId="285A2514" w14:textId="77777777" w:rsidR="002A21AE" w:rsidRPr="00E6048C" w:rsidRDefault="002A21AE">
      <w:pPr>
        <w:pStyle w:val="StyleTitlePageCentered"/>
        <w:rPr>
          <w:b/>
        </w:rPr>
      </w:pPr>
    </w:p>
    <w:p w14:paraId="254D45C3" w14:textId="77777777" w:rsidR="002A21AE" w:rsidRDefault="002A21AE">
      <w:pPr>
        <w:pStyle w:val="StyleTitlePageCentered"/>
      </w:pPr>
    </w:p>
    <w:p w14:paraId="207A06FC" w14:textId="77777777" w:rsidR="002A21AE" w:rsidRDefault="002A21AE">
      <w:pPr>
        <w:pStyle w:val="StyleTitlePageCentered"/>
      </w:pPr>
    </w:p>
    <w:p w14:paraId="046AAD6B" w14:textId="77777777" w:rsidR="002A21AE" w:rsidRDefault="002A21AE">
      <w:pPr>
        <w:pStyle w:val="StyleTitlePageBottom"/>
      </w:pPr>
      <w:r>
        <w:t>Department of Veterans Affairs</w:t>
      </w:r>
    </w:p>
    <w:p w14:paraId="0B8B9A5F" w14:textId="77777777" w:rsidR="002A21AE" w:rsidRDefault="00B27B40">
      <w:pPr>
        <w:pStyle w:val="StyleTitlePageBottom"/>
        <w:sectPr w:rsidR="002A21AE" w:rsidSect="00EE771C">
          <w:headerReference w:type="default" r:id="rId10"/>
          <w:footerReference w:type="even" r:id="rId11"/>
          <w:footerReference w:type="default" r:id="rId12"/>
          <w:type w:val="nextColumn"/>
          <w:pgSz w:w="12240" w:h="15840" w:code="1"/>
          <w:pgMar w:top="1440" w:right="1440" w:bottom="1440" w:left="1440" w:header="720" w:footer="720" w:gutter="0"/>
          <w:cols w:space="720"/>
          <w:docGrid w:linePitch="360"/>
        </w:sectPr>
      </w:pPr>
      <w:r>
        <w:t>Enterprise Project Management</w:t>
      </w:r>
      <w:r w:rsidR="000D79B6">
        <w:t xml:space="preserve"> </w:t>
      </w:r>
      <w:r>
        <w:t>Office</w:t>
      </w:r>
    </w:p>
    <w:p w14:paraId="05ADE058" w14:textId="77777777" w:rsidR="002A21AE" w:rsidRDefault="002249FA" w:rsidP="002249FA">
      <w:pPr>
        <w:pStyle w:val="BodyText"/>
        <w:jc w:val="center"/>
        <w:sectPr w:rsidR="002A21AE" w:rsidSect="00EE771C">
          <w:footerReference w:type="default" r:id="rId13"/>
          <w:type w:val="nextColumn"/>
          <w:pgSz w:w="12240" w:h="15840" w:code="1"/>
          <w:pgMar w:top="1440" w:right="1440" w:bottom="1440" w:left="1440" w:header="720" w:footer="720" w:gutter="0"/>
          <w:cols w:space="720"/>
          <w:docGrid w:linePitch="360"/>
        </w:sectPr>
      </w:pPr>
      <w:r>
        <w:lastRenderedPageBreak/>
        <w:t>This page intentionally left</w:t>
      </w:r>
      <w:r w:rsidR="000014DD">
        <w:t xml:space="preserve"> </w:t>
      </w:r>
      <w:r>
        <w:t>blank.</w:t>
      </w:r>
    </w:p>
    <w:p w14:paraId="298F35F8" w14:textId="5B186905" w:rsidR="00062D0F" w:rsidRPr="00672710" w:rsidRDefault="00062D0F" w:rsidP="00D67527">
      <w:pPr>
        <w:pStyle w:val="TableofContents"/>
        <w:jc w:val="center"/>
      </w:pPr>
      <w:bookmarkStart w:id="0" w:name="_Toc63137949"/>
      <w:r w:rsidRPr="00D67527">
        <w:rPr>
          <w:rFonts w:ascii="Times New Roman" w:hAnsi="Times New Roman" w:cs="Times New Roman"/>
        </w:rPr>
        <w:lastRenderedPageBreak/>
        <w:t>Table of Contents</w:t>
      </w:r>
    </w:p>
    <w:p w14:paraId="76163964" w14:textId="77777777" w:rsidR="00D207B7" w:rsidRDefault="00D207B7" w:rsidP="00B116A6">
      <w:pPr>
        <w:pStyle w:val="BodyText"/>
        <w:jc w:val="center"/>
      </w:pPr>
    </w:p>
    <w:bookmarkEnd w:id="0"/>
    <w:p w14:paraId="2D4E26AC" w14:textId="69DCDB9E" w:rsidR="004F20BB" w:rsidRDefault="002A21AE">
      <w:pPr>
        <w:pStyle w:val="TOC1"/>
        <w:tabs>
          <w:tab w:val="right" w:leader="dot" w:pos="9350"/>
        </w:tabs>
        <w:rPr>
          <w:rFonts w:asciiTheme="minorHAnsi" w:eastAsiaTheme="minorEastAsia" w:hAnsiTheme="minorHAnsi" w:cstheme="minorBidi"/>
          <w:b w:val="0"/>
          <w:caps w:val="0"/>
          <w:noProof/>
        </w:rPr>
      </w:pPr>
      <w:r>
        <w:fldChar w:fldCharType="begin"/>
      </w:r>
      <w:r>
        <w:instrText xml:space="preserve"> TOC \o "2-3" \h \z \t "Heading 1,1" </w:instrText>
      </w:r>
      <w:r>
        <w:fldChar w:fldCharType="separate"/>
      </w:r>
      <w:hyperlink w:anchor="_Toc47516630" w:history="1">
        <w:r w:rsidR="004F20BB" w:rsidRPr="00DB2EFF">
          <w:rPr>
            <w:rStyle w:val="Hyperlink"/>
            <w:noProof/>
          </w:rPr>
          <w:t>Introduction</w:t>
        </w:r>
        <w:r w:rsidR="004F20BB">
          <w:rPr>
            <w:noProof/>
            <w:webHidden/>
          </w:rPr>
          <w:tab/>
        </w:r>
        <w:r w:rsidR="004F20BB">
          <w:rPr>
            <w:noProof/>
            <w:webHidden/>
          </w:rPr>
          <w:fldChar w:fldCharType="begin"/>
        </w:r>
        <w:r w:rsidR="004F20BB">
          <w:rPr>
            <w:noProof/>
            <w:webHidden/>
          </w:rPr>
          <w:instrText xml:space="preserve"> PAGEREF _Toc47516630 \h </w:instrText>
        </w:r>
        <w:r w:rsidR="004F20BB">
          <w:rPr>
            <w:noProof/>
            <w:webHidden/>
          </w:rPr>
        </w:r>
        <w:r w:rsidR="004F20BB">
          <w:rPr>
            <w:noProof/>
            <w:webHidden/>
          </w:rPr>
          <w:fldChar w:fldCharType="separate"/>
        </w:r>
        <w:r w:rsidR="004F20BB">
          <w:rPr>
            <w:noProof/>
            <w:webHidden/>
          </w:rPr>
          <w:t>1</w:t>
        </w:r>
        <w:r w:rsidR="004F20BB">
          <w:rPr>
            <w:noProof/>
            <w:webHidden/>
          </w:rPr>
          <w:fldChar w:fldCharType="end"/>
        </w:r>
      </w:hyperlink>
    </w:p>
    <w:p w14:paraId="2A2E6E40" w14:textId="4C51E25B" w:rsidR="004F20BB" w:rsidRDefault="00F322E7">
      <w:pPr>
        <w:pStyle w:val="TOC2"/>
        <w:tabs>
          <w:tab w:val="right" w:leader="dot" w:pos="9350"/>
        </w:tabs>
        <w:rPr>
          <w:rFonts w:asciiTheme="minorHAnsi" w:eastAsiaTheme="minorEastAsia" w:hAnsiTheme="minorHAnsi" w:cstheme="minorBidi"/>
          <w:smallCaps w:val="0"/>
          <w:noProof/>
        </w:rPr>
      </w:pPr>
      <w:hyperlink w:anchor="_Toc47516631" w:history="1">
        <w:r w:rsidR="004F20BB" w:rsidRPr="00DB2EFF">
          <w:rPr>
            <w:rStyle w:val="Hyperlink"/>
            <w:noProof/>
          </w:rPr>
          <w:t>Freeware Disclaimer</w:t>
        </w:r>
        <w:r w:rsidR="004F20BB">
          <w:rPr>
            <w:noProof/>
            <w:webHidden/>
          </w:rPr>
          <w:tab/>
        </w:r>
        <w:r w:rsidR="004F20BB">
          <w:rPr>
            <w:noProof/>
            <w:webHidden/>
          </w:rPr>
          <w:fldChar w:fldCharType="begin"/>
        </w:r>
        <w:r w:rsidR="004F20BB">
          <w:rPr>
            <w:noProof/>
            <w:webHidden/>
          </w:rPr>
          <w:instrText xml:space="preserve"> PAGEREF _Toc47516631 \h </w:instrText>
        </w:r>
        <w:r w:rsidR="004F20BB">
          <w:rPr>
            <w:noProof/>
            <w:webHidden/>
          </w:rPr>
        </w:r>
        <w:r w:rsidR="004F20BB">
          <w:rPr>
            <w:noProof/>
            <w:webHidden/>
          </w:rPr>
          <w:fldChar w:fldCharType="separate"/>
        </w:r>
        <w:r w:rsidR="004F20BB">
          <w:rPr>
            <w:noProof/>
            <w:webHidden/>
          </w:rPr>
          <w:t>2</w:t>
        </w:r>
        <w:r w:rsidR="004F20BB">
          <w:rPr>
            <w:noProof/>
            <w:webHidden/>
          </w:rPr>
          <w:fldChar w:fldCharType="end"/>
        </w:r>
      </w:hyperlink>
    </w:p>
    <w:p w14:paraId="524857F4" w14:textId="2D154434" w:rsidR="004F20BB" w:rsidRDefault="00F322E7">
      <w:pPr>
        <w:pStyle w:val="TOC2"/>
        <w:tabs>
          <w:tab w:val="right" w:leader="dot" w:pos="9350"/>
        </w:tabs>
        <w:rPr>
          <w:rFonts w:asciiTheme="minorHAnsi" w:eastAsiaTheme="minorEastAsia" w:hAnsiTheme="minorHAnsi" w:cstheme="minorBidi"/>
          <w:smallCaps w:val="0"/>
          <w:noProof/>
        </w:rPr>
      </w:pPr>
      <w:hyperlink w:anchor="_Toc47516632" w:history="1">
        <w:r w:rsidR="004F20BB" w:rsidRPr="00DB2EFF">
          <w:rPr>
            <w:rStyle w:val="Hyperlink"/>
            <w:noProof/>
          </w:rPr>
          <w:t>Related Manuals and Materials</w:t>
        </w:r>
        <w:r w:rsidR="004F20BB">
          <w:rPr>
            <w:noProof/>
            <w:webHidden/>
          </w:rPr>
          <w:tab/>
        </w:r>
        <w:r w:rsidR="004F20BB">
          <w:rPr>
            <w:noProof/>
            <w:webHidden/>
          </w:rPr>
          <w:fldChar w:fldCharType="begin"/>
        </w:r>
        <w:r w:rsidR="004F20BB">
          <w:rPr>
            <w:noProof/>
            <w:webHidden/>
          </w:rPr>
          <w:instrText xml:space="preserve"> PAGEREF _Toc47516632 \h </w:instrText>
        </w:r>
        <w:r w:rsidR="004F20BB">
          <w:rPr>
            <w:noProof/>
            <w:webHidden/>
          </w:rPr>
        </w:r>
        <w:r w:rsidR="004F20BB">
          <w:rPr>
            <w:noProof/>
            <w:webHidden/>
          </w:rPr>
          <w:fldChar w:fldCharType="separate"/>
        </w:r>
        <w:r w:rsidR="004F20BB">
          <w:rPr>
            <w:noProof/>
            <w:webHidden/>
          </w:rPr>
          <w:t>2</w:t>
        </w:r>
        <w:r w:rsidR="004F20BB">
          <w:rPr>
            <w:noProof/>
            <w:webHidden/>
          </w:rPr>
          <w:fldChar w:fldCharType="end"/>
        </w:r>
      </w:hyperlink>
    </w:p>
    <w:p w14:paraId="3C630927" w14:textId="1B713FF0" w:rsidR="004F20BB" w:rsidRDefault="00F322E7">
      <w:pPr>
        <w:pStyle w:val="TOC1"/>
        <w:tabs>
          <w:tab w:val="right" w:leader="dot" w:pos="9350"/>
        </w:tabs>
        <w:rPr>
          <w:rFonts w:asciiTheme="minorHAnsi" w:eastAsiaTheme="minorEastAsia" w:hAnsiTheme="minorHAnsi" w:cstheme="minorBidi"/>
          <w:b w:val="0"/>
          <w:caps w:val="0"/>
          <w:noProof/>
        </w:rPr>
      </w:pPr>
      <w:hyperlink w:anchor="_Toc47516633" w:history="1">
        <w:r w:rsidR="004F20BB" w:rsidRPr="00DB2EFF">
          <w:rPr>
            <w:rStyle w:val="Hyperlink"/>
            <w:noProof/>
          </w:rPr>
          <w:t>Orientation</w:t>
        </w:r>
        <w:r w:rsidR="004F20BB">
          <w:rPr>
            <w:noProof/>
            <w:webHidden/>
          </w:rPr>
          <w:tab/>
        </w:r>
        <w:r w:rsidR="004F20BB">
          <w:rPr>
            <w:noProof/>
            <w:webHidden/>
          </w:rPr>
          <w:fldChar w:fldCharType="begin"/>
        </w:r>
        <w:r w:rsidR="004F20BB">
          <w:rPr>
            <w:noProof/>
            <w:webHidden/>
          </w:rPr>
          <w:instrText xml:space="preserve"> PAGEREF _Toc47516633 \h </w:instrText>
        </w:r>
        <w:r w:rsidR="004F20BB">
          <w:rPr>
            <w:noProof/>
            <w:webHidden/>
          </w:rPr>
        </w:r>
        <w:r w:rsidR="004F20BB">
          <w:rPr>
            <w:noProof/>
            <w:webHidden/>
          </w:rPr>
          <w:fldChar w:fldCharType="separate"/>
        </w:r>
        <w:r w:rsidR="004F20BB">
          <w:rPr>
            <w:noProof/>
            <w:webHidden/>
          </w:rPr>
          <w:t>3</w:t>
        </w:r>
        <w:r w:rsidR="004F20BB">
          <w:rPr>
            <w:noProof/>
            <w:webHidden/>
          </w:rPr>
          <w:fldChar w:fldCharType="end"/>
        </w:r>
      </w:hyperlink>
    </w:p>
    <w:p w14:paraId="3E62EB05" w14:textId="6EC637FE" w:rsidR="004F20BB" w:rsidRDefault="00F322E7">
      <w:pPr>
        <w:pStyle w:val="TOC2"/>
        <w:tabs>
          <w:tab w:val="right" w:leader="dot" w:pos="9350"/>
        </w:tabs>
        <w:rPr>
          <w:rFonts w:asciiTheme="minorHAnsi" w:eastAsiaTheme="minorEastAsia" w:hAnsiTheme="minorHAnsi" w:cstheme="minorBidi"/>
          <w:smallCaps w:val="0"/>
          <w:noProof/>
        </w:rPr>
      </w:pPr>
      <w:hyperlink w:anchor="_Toc47516634" w:history="1">
        <w:r w:rsidR="004F20BB" w:rsidRPr="00DB2EFF">
          <w:rPr>
            <w:rStyle w:val="Hyperlink"/>
            <w:noProof/>
          </w:rPr>
          <w:t>How This User Guide Is Organized</w:t>
        </w:r>
        <w:r w:rsidR="004F20BB">
          <w:rPr>
            <w:noProof/>
            <w:webHidden/>
          </w:rPr>
          <w:tab/>
        </w:r>
        <w:r w:rsidR="004F20BB">
          <w:rPr>
            <w:noProof/>
            <w:webHidden/>
          </w:rPr>
          <w:fldChar w:fldCharType="begin"/>
        </w:r>
        <w:r w:rsidR="004F20BB">
          <w:rPr>
            <w:noProof/>
            <w:webHidden/>
          </w:rPr>
          <w:instrText xml:space="preserve"> PAGEREF _Toc47516634 \h </w:instrText>
        </w:r>
        <w:r w:rsidR="004F20BB">
          <w:rPr>
            <w:noProof/>
            <w:webHidden/>
          </w:rPr>
        </w:r>
        <w:r w:rsidR="004F20BB">
          <w:rPr>
            <w:noProof/>
            <w:webHidden/>
          </w:rPr>
          <w:fldChar w:fldCharType="separate"/>
        </w:r>
        <w:r w:rsidR="004F20BB">
          <w:rPr>
            <w:noProof/>
            <w:webHidden/>
          </w:rPr>
          <w:t>3</w:t>
        </w:r>
        <w:r w:rsidR="004F20BB">
          <w:rPr>
            <w:noProof/>
            <w:webHidden/>
          </w:rPr>
          <w:fldChar w:fldCharType="end"/>
        </w:r>
      </w:hyperlink>
    </w:p>
    <w:p w14:paraId="73DEEE16" w14:textId="43353658" w:rsidR="004F20BB" w:rsidRDefault="00F322E7">
      <w:pPr>
        <w:pStyle w:val="TOC3"/>
        <w:tabs>
          <w:tab w:val="right" w:leader="dot" w:pos="9350"/>
        </w:tabs>
        <w:rPr>
          <w:rFonts w:asciiTheme="minorHAnsi" w:eastAsiaTheme="minorEastAsia" w:hAnsiTheme="minorHAnsi" w:cstheme="minorBidi"/>
          <w:noProof/>
        </w:rPr>
      </w:pPr>
      <w:hyperlink w:anchor="_Toc47516635" w:history="1">
        <w:r w:rsidR="004F20BB" w:rsidRPr="00DB2EFF">
          <w:rPr>
            <w:rStyle w:val="Hyperlink"/>
            <w:noProof/>
          </w:rPr>
          <w:t>Terms</w:t>
        </w:r>
        <w:r w:rsidR="004F20BB">
          <w:rPr>
            <w:noProof/>
            <w:webHidden/>
          </w:rPr>
          <w:tab/>
        </w:r>
        <w:r w:rsidR="004F20BB">
          <w:rPr>
            <w:noProof/>
            <w:webHidden/>
          </w:rPr>
          <w:fldChar w:fldCharType="begin"/>
        </w:r>
        <w:r w:rsidR="004F20BB">
          <w:rPr>
            <w:noProof/>
            <w:webHidden/>
          </w:rPr>
          <w:instrText xml:space="preserve"> PAGEREF _Toc47516635 \h </w:instrText>
        </w:r>
        <w:r w:rsidR="004F20BB">
          <w:rPr>
            <w:noProof/>
            <w:webHidden/>
          </w:rPr>
        </w:r>
        <w:r w:rsidR="004F20BB">
          <w:rPr>
            <w:noProof/>
            <w:webHidden/>
          </w:rPr>
          <w:fldChar w:fldCharType="separate"/>
        </w:r>
        <w:r w:rsidR="004F20BB">
          <w:rPr>
            <w:noProof/>
            <w:webHidden/>
          </w:rPr>
          <w:t>3</w:t>
        </w:r>
        <w:r w:rsidR="004F20BB">
          <w:rPr>
            <w:noProof/>
            <w:webHidden/>
          </w:rPr>
          <w:fldChar w:fldCharType="end"/>
        </w:r>
      </w:hyperlink>
    </w:p>
    <w:p w14:paraId="4A60C8F0" w14:textId="21420248" w:rsidR="004F20BB" w:rsidRDefault="00F322E7">
      <w:pPr>
        <w:pStyle w:val="TOC3"/>
        <w:tabs>
          <w:tab w:val="right" w:leader="dot" w:pos="9350"/>
        </w:tabs>
        <w:rPr>
          <w:rFonts w:asciiTheme="minorHAnsi" w:eastAsiaTheme="minorEastAsia" w:hAnsiTheme="minorHAnsi" w:cstheme="minorBidi"/>
          <w:noProof/>
        </w:rPr>
      </w:pPr>
      <w:hyperlink w:anchor="_Toc47516636" w:history="1">
        <w:r w:rsidR="004F20BB" w:rsidRPr="00DB2EFF">
          <w:rPr>
            <w:rStyle w:val="Hyperlink"/>
            <w:noProof/>
          </w:rPr>
          <w:t>Background and Basic Knowledge</w:t>
        </w:r>
        <w:r w:rsidR="004F20BB">
          <w:rPr>
            <w:noProof/>
            <w:webHidden/>
          </w:rPr>
          <w:tab/>
        </w:r>
        <w:r w:rsidR="004F20BB">
          <w:rPr>
            <w:noProof/>
            <w:webHidden/>
          </w:rPr>
          <w:fldChar w:fldCharType="begin"/>
        </w:r>
        <w:r w:rsidR="004F20BB">
          <w:rPr>
            <w:noProof/>
            <w:webHidden/>
          </w:rPr>
          <w:instrText xml:space="preserve"> PAGEREF _Toc47516636 \h </w:instrText>
        </w:r>
        <w:r w:rsidR="004F20BB">
          <w:rPr>
            <w:noProof/>
            <w:webHidden/>
          </w:rPr>
        </w:r>
        <w:r w:rsidR="004F20BB">
          <w:rPr>
            <w:noProof/>
            <w:webHidden/>
          </w:rPr>
          <w:fldChar w:fldCharType="separate"/>
        </w:r>
        <w:r w:rsidR="004F20BB">
          <w:rPr>
            <w:noProof/>
            <w:webHidden/>
          </w:rPr>
          <w:t>3</w:t>
        </w:r>
        <w:r w:rsidR="004F20BB">
          <w:rPr>
            <w:noProof/>
            <w:webHidden/>
          </w:rPr>
          <w:fldChar w:fldCharType="end"/>
        </w:r>
      </w:hyperlink>
    </w:p>
    <w:p w14:paraId="7E097E45" w14:textId="24E097A3" w:rsidR="004F20BB" w:rsidRDefault="00F322E7">
      <w:pPr>
        <w:pStyle w:val="TOC3"/>
        <w:tabs>
          <w:tab w:val="right" w:leader="dot" w:pos="9350"/>
        </w:tabs>
        <w:rPr>
          <w:rFonts w:asciiTheme="minorHAnsi" w:eastAsiaTheme="minorEastAsia" w:hAnsiTheme="minorHAnsi" w:cstheme="minorBidi"/>
          <w:noProof/>
        </w:rPr>
      </w:pPr>
      <w:hyperlink w:anchor="_Toc47516637" w:history="1">
        <w:r w:rsidR="004F20BB" w:rsidRPr="00DB2EFF">
          <w:rPr>
            <w:rStyle w:val="Hyperlink"/>
            <w:noProof/>
          </w:rPr>
          <w:t>Figures and Tables</w:t>
        </w:r>
        <w:r w:rsidR="004F20BB">
          <w:rPr>
            <w:noProof/>
            <w:webHidden/>
          </w:rPr>
          <w:tab/>
        </w:r>
        <w:r w:rsidR="004F20BB">
          <w:rPr>
            <w:noProof/>
            <w:webHidden/>
          </w:rPr>
          <w:fldChar w:fldCharType="begin"/>
        </w:r>
        <w:r w:rsidR="004F20BB">
          <w:rPr>
            <w:noProof/>
            <w:webHidden/>
          </w:rPr>
          <w:instrText xml:space="preserve"> PAGEREF _Toc47516637 \h </w:instrText>
        </w:r>
        <w:r w:rsidR="004F20BB">
          <w:rPr>
            <w:noProof/>
            <w:webHidden/>
          </w:rPr>
        </w:r>
        <w:r w:rsidR="004F20BB">
          <w:rPr>
            <w:noProof/>
            <w:webHidden/>
          </w:rPr>
          <w:fldChar w:fldCharType="separate"/>
        </w:r>
        <w:r w:rsidR="004F20BB">
          <w:rPr>
            <w:noProof/>
            <w:webHidden/>
          </w:rPr>
          <w:t>3</w:t>
        </w:r>
        <w:r w:rsidR="004F20BB">
          <w:rPr>
            <w:noProof/>
            <w:webHidden/>
          </w:rPr>
          <w:fldChar w:fldCharType="end"/>
        </w:r>
      </w:hyperlink>
    </w:p>
    <w:p w14:paraId="4D3E0A29" w14:textId="2E14EDC0" w:rsidR="004F20BB" w:rsidRDefault="00F322E7">
      <w:pPr>
        <w:pStyle w:val="TOC3"/>
        <w:tabs>
          <w:tab w:val="right" w:leader="dot" w:pos="9350"/>
        </w:tabs>
        <w:rPr>
          <w:rFonts w:asciiTheme="minorHAnsi" w:eastAsiaTheme="minorEastAsia" w:hAnsiTheme="minorHAnsi" w:cstheme="minorBidi"/>
          <w:noProof/>
        </w:rPr>
      </w:pPr>
      <w:hyperlink w:anchor="_Toc47516638" w:history="1">
        <w:r w:rsidR="004F20BB" w:rsidRPr="00DB2EFF">
          <w:rPr>
            <w:rStyle w:val="Hyperlink"/>
            <w:noProof/>
          </w:rPr>
          <w:t>Options</w:t>
        </w:r>
        <w:r w:rsidR="004F20BB">
          <w:rPr>
            <w:noProof/>
            <w:webHidden/>
          </w:rPr>
          <w:tab/>
        </w:r>
        <w:r w:rsidR="004F20BB">
          <w:rPr>
            <w:noProof/>
            <w:webHidden/>
          </w:rPr>
          <w:fldChar w:fldCharType="begin"/>
        </w:r>
        <w:r w:rsidR="004F20BB">
          <w:rPr>
            <w:noProof/>
            <w:webHidden/>
          </w:rPr>
          <w:instrText xml:space="preserve"> PAGEREF _Toc47516638 \h </w:instrText>
        </w:r>
        <w:r w:rsidR="004F20BB">
          <w:rPr>
            <w:noProof/>
            <w:webHidden/>
          </w:rPr>
        </w:r>
        <w:r w:rsidR="004F20BB">
          <w:rPr>
            <w:noProof/>
            <w:webHidden/>
          </w:rPr>
          <w:fldChar w:fldCharType="separate"/>
        </w:r>
        <w:r w:rsidR="004F20BB">
          <w:rPr>
            <w:noProof/>
            <w:webHidden/>
          </w:rPr>
          <w:t>3</w:t>
        </w:r>
        <w:r w:rsidR="004F20BB">
          <w:rPr>
            <w:noProof/>
            <w:webHidden/>
          </w:rPr>
          <w:fldChar w:fldCharType="end"/>
        </w:r>
      </w:hyperlink>
    </w:p>
    <w:p w14:paraId="6018B2B7" w14:textId="18C2AAF4" w:rsidR="004F20BB" w:rsidRDefault="00F322E7">
      <w:pPr>
        <w:pStyle w:val="TOC3"/>
        <w:tabs>
          <w:tab w:val="right" w:leader="dot" w:pos="9350"/>
        </w:tabs>
        <w:rPr>
          <w:rFonts w:asciiTheme="minorHAnsi" w:eastAsiaTheme="minorEastAsia" w:hAnsiTheme="minorHAnsi" w:cstheme="minorBidi"/>
          <w:noProof/>
        </w:rPr>
      </w:pPr>
      <w:hyperlink w:anchor="_Toc47516639" w:history="1">
        <w:r w:rsidR="004F20BB" w:rsidRPr="00DB2EFF">
          <w:rPr>
            <w:rStyle w:val="Hyperlink"/>
            <w:noProof/>
          </w:rPr>
          <w:t>Supplemental Information</w:t>
        </w:r>
        <w:r w:rsidR="004F20BB">
          <w:rPr>
            <w:noProof/>
            <w:webHidden/>
          </w:rPr>
          <w:tab/>
        </w:r>
        <w:r w:rsidR="004F20BB">
          <w:rPr>
            <w:noProof/>
            <w:webHidden/>
          </w:rPr>
          <w:fldChar w:fldCharType="begin"/>
        </w:r>
        <w:r w:rsidR="004F20BB">
          <w:rPr>
            <w:noProof/>
            <w:webHidden/>
          </w:rPr>
          <w:instrText xml:space="preserve"> PAGEREF _Toc47516639 \h </w:instrText>
        </w:r>
        <w:r w:rsidR="004F20BB">
          <w:rPr>
            <w:noProof/>
            <w:webHidden/>
          </w:rPr>
        </w:r>
        <w:r w:rsidR="004F20BB">
          <w:rPr>
            <w:noProof/>
            <w:webHidden/>
          </w:rPr>
          <w:fldChar w:fldCharType="separate"/>
        </w:r>
        <w:r w:rsidR="004F20BB">
          <w:rPr>
            <w:noProof/>
            <w:webHidden/>
          </w:rPr>
          <w:t>4</w:t>
        </w:r>
        <w:r w:rsidR="004F20BB">
          <w:rPr>
            <w:noProof/>
            <w:webHidden/>
          </w:rPr>
          <w:fldChar w:fldCharType="end"/>
        </w:r>
      </w:hyperlink>
    </w:p>
    <w:p w14:paraId="2E8CFEEF" w14:textId="586852EE" w:rsidR="004F20BB" w:rsidRDefault="00F322E7">
      <w:pPr>
        <w:pStyle w:val="TOC3"/>
        <w:tabs>
          <w:tab w:val="right" w:leader="dot" w:pos="9350"/>
        </w:tabs>
        <w:rPr>
          <w:rFonts w:asciiTheme="minorHAnsi" w:eastAsiaTheme="minorEastAsia" w:hAnsiTheme="minorHAnsi" w:cstheme="minorBidi"/>
          <w:noProof/>
        </w:rPr>
      </w:pPr>
      <w:hyperlink w:anchor="_Toc47516640" w:history="1">
        <w:r w:rsidR="004F20BB" w:rsidRPr="00DB2EFF">
          <w:rPr>
            <w:rStyle w:val="Hyperlink"/>
            <w:noProof/>
          </w:rPr>
          <w:t>Appendices</w:t>
        </w:r>
        <w:r w:rsidR="004F20BB">
          <w:rPr>
            <w:noProof/>
            <w:webHidden/>
          </w:rPr>
          <w:tab/>
        </w:r>
        <w:r w:rsidR="004F20BB">
          <w:rPr>
            <w:noProof/>
            <w:webHidden/>
          </w:rPr>
          <w:fldChar w:fldCharType="begin"/>
        </w:r>
        <w:r w:rsidR="004F20BB">
          <w:rPr>
            <w:noProof/>
            <w:webHidden/>
          </w:rPr>
          <w:instrText xml:space="preserve"> PAGEREF _Toc47516640 \h </w:instrText>
        </w:r>
        <w:r w:rsidR="004F20BB">
          <w:rPr>
            <w:noProof/>
            <w:webHidden/>
          </w:rPr>
        </w:r>
        <w:r w:rsidR="004F20BB">
          <w:rPr>
            <w:noProof/>
            <w:webHidden/>
          </w:rPr>
          <w:fldChar w:fldCharType="separate"/>
        </w:r>
        <w:r w:rsidR="004F20BB">
          <w:rPr>
            <w:noProof/>
            <w:webHidden/>
          </w:rPr>
          <w:t>4</w:t>
        </w:r>
        <w:r w:rsidR="004F20BB">
          <w:rPr>
            <w:noProof/>
            <w:webHidden/>
          </w:rPr>
          <w:fldChar w:fldCharType="end"/>
        </w:r>
      </w:hyperlink>
    </w:p>
    <w:p w14:paraId="721CD23D" w14:textId="00D9B4B2" w:rsidR="004F20BB" w:rsidRDefault="00F322E7">
      <w:pPr>
        <w:pStyle w:val="TOC2"/>
        <w:tabs>
          <w:tab w:val="right" w:leader="dot" w:pos="9350"/>
        </w:tabs>
        <w:rPr>
          <w:rFonts w:asciiTheme="minorHAnsi" w:eastAsiaTheme="minorEastAsia" w:hAnsiTheme="minorHAnsi" w:cstheme="minorBidi"/>
          <w:smallCaps w:val="0"/>
          <w:noProof/>
        </w:rPr>
      </w:pPr>
      <w:hyperlink w:anchor="_Toc47516641" w:history="1">
        <w:r w:rsidR="004F20BB" w:rsidRPr="00DB2EFF">
          <w:rPr>
            <w:rStyle w:val="Hyperlink"/>
            <w:noProof/>
          </w:rPr>
          <w:t>Security</w:t>
        </w:r>
        <w:r w:rsidR="004F20BB">
          <w:rPr>
            <w:noProof/>
            <w:webHidden/>
          </w:rPr>
          <w:tab/>
        </w:r>
        <w:r w:rsidR="004F20BB">
          <w:rPr>
            <w:noProof/>
            <w:webHidden/>
          </w:rPr>
          <w:fldChar w:fldCharType="begin"/>
        </w:r>
        <w:r w:rsidR="004F20BB">
          <w:rPr>
            <w:noProof/>
            <w:webHidden/>
          </w:rPr>
          <w:instrText xml:space="preserve"> PAGEREF _Toc47516641 \h </w:instrText>
        </w:r>
        <w:r w:rsidR="004F20BB">
          <w:rPr>
            <w:noProof/>
            <w:webHidden/>
          </w:rPr>
        </w:r>
        <w:r w:rsidR="004F20BB">
          <w:rPr>
            <w:noProof/>
            <w:webHidden/>
          </w:rPr>
          <w:fldChar w:fldCharType="separate"/>
        </w:r>
        <w:r w:rsidR="004F20BB">
          <w:rPr>
            <w:noProof/>
            <w:webHidden/>
          </w:rPr>
          <w:t>4</w:t>
        </w:r>
        <w:r w:rsidR="004F20BB">
          <w:rPr>
            <w:noProof/>
            <w:webHidden/>
          </w:rPr>
          <w:fldChar w:fldCharType="end"/>
        </w:r>
      </w:hyperlink>
    </w:p>
    <w:p w14:paraId="56BA6FEF" w14:textId="705A10C7" w:rsidR="004F20BB" w:rsidRDefault="00F322E7">
      <w:pPr>
        <w:pStyle w:val="TOC2"/>
        <w:tabs>
          <w:tab w:val="right" w:leader="dot" w:pos="9350"/>
        </w:tabs>
        <w:rPr>
          <w:rFonts w:asciiTheme="minorHAnsi" w:eastAsiaTheme="minorEastAsia" w:hAnsiTheme="minorHAnsi" w:cstheme="minorBidi"/>
          <w:smallCaps w:val="0"/>
          <w:noProof/>
        </w:rPr>
      </w:pPr>
      <w:hyperlink w:anchor="_Toc47516642" w:history="1">
        <w:r w:rsidR="004F20BB" w:rsidRPr="00DB2EFF">
          <w:rPr>
            <w:rStyle w:val="Hyperlink"/>
            <w:noProof/>
          </w:rPr>
          <w:t>Application Architecture</w:t>
        </w:r>
        <w:r w:rsidR="004F20BB">
          <w:rPr>
            <w:noProof/>
            <w:webHidden/>
          </w:rPr>
          <w:tab/>
        </w:r>
        <w:r w:rsidR="004F20BB">
          <w:rPr>
            <w:noProof/>
            <w:webHidden/>
          </w:rPr>
          <w:fldChar w:fldCharType="begin"/>
        </w:r>
        <w:r w:rsidR="004F20BB">
          <w:rPr>
            <w:noProof/>
            <w:webHidden/>
          </w:rPr>
          <w:instrText xml:space="preserve"> PAGEREF _Toc47516642 \h </w:instrText>
        </w:r>
        <w:r w:rsidR="004F20BB">
          <w:rPr>
            <w:noProof/>
            <w:webHidden/>
          </w:rPr>
        </w:r>
        <w:r w:rsidR="004F20BB">
          <w:rPr>
            <w:noProof/>
            <w:webHidden/>
          </w:rPr>
          <w:fldChar w:fldCharType="separate"/>
        </w:r>
        <w:r w:rsidR="004F20BB">
          <w:rPr>
            <w:noProof/>
            <w:webHidden/>
          </w:rPr>
          <w:t>6</w:t>
        </w:r>
        <w:r w:rsidR="004F20BB">
          <w:rPr>
            <w:noProof/>
            <w:webHidden/>
          </w:rPr>
          <w:fldChar w:fldCharType="end"/>
        </w:r>
      </w:hyperlink>
    </w:p>
    <w:p w14:paraId="496514BE" w14:textId="52AC16D2" w:rsidR="004F20BB" w:rsidRDefault="00F322E7">
      <w:pPr>
        <w:pStyle w:val="TOC2"/>
        <w:tabs>
          <w:tab w:val="right" w:leader="dot" w:pos="9350"/>
        </w:tabs>
        <w:rPr>
          <w:rFonts w:asciiTheme="minorHAnsi" w:eastAsiaTheme="minorEastAsia" w:hAnsiTheme="minorHAnsi" w:cstheme="minorBidi"/>
          <w:smallCaps w:val="0"/>
          <w:noProof/>
        </w:rPr>
      </w:pPr>
      <w:hyperlink w:anchor="_Toc47516643" w:history="1">
        <w:r w:rsidR="004F20BB" w:rsidRPr="00DB2EFF">
          <w:rPr>
            <w:rStyle w:val="Hyperlink"/>
            <w:noProof/>
          </w:rPr>
          <w:t>Hardware and Infrastructure Architecture</w:t>
        </w:r>
        <w:r w:rsidR="004F20BB">
          <w:rPr>
            <w:noProof/>
            <w:webHidden/>
          </w:rPr>
          <w:tab/>
        </w:r>
        <w:r w:rsidR="004F20BB">
          <w:rPr>
            <w:noProof/>
            <w:webHidden/>
          </w:rPr>
          <w:fldChar w:fldCharType="begin"/>
        </w:r>
        <w:r w:rsidR="004F20BB">
          <w:rPr>
            <w:noProof/>
            <w:webHidden/>
          </w:rPr>
          <w:instrText xml:space="preserve"> PAGEREF _Toc47516643 \h </w:instrText>
        </w:r>
        <w:r w:rsidR="004F20BB">
          <w:rPr>
            <w:noProof/>
            <w:webHidden/>
          </w:rPr>
        </w:r>
        <w:r w:rsidR="004F20BB">
          <w:rPr>
            <w:noProof/>
            <w:webHidden/>
          </w:rPr>
          <w:fldChar w:fldCharType="separate"/>
        </w:r>
        <w:r w:rsidR="004F20BB">
          <w:rPr>
            <w:noProof/>
            <w:webHidden/>
          </w:rPr>
          <w:t>7</w:t>
        </w:r>
        <w:r w:rsidR="004F20BB">
          <w:rPr>
            <w:noProof/>
            <w:webHidden/>
          </w:rPr>
          <w:fldChar w:fldCharType="end"/>
        </w:r>
      </w:hyperlink>
    </w:p>
    <w:p w14:paraId="45D98C99" w14:textId="3DC32D89" w:rsidR="004F20BB" w:rsidRDefault="00F322E7">
      <w:pPr>
        <w:pStyle w:val="TOC3"/>
        <w:tabs>
          <w:tab w:val="right" w:leader="dot" w:pos="9350"/>
        </w:tabs>
        <w:rPr>
          <w:rFonts w:asciiTheme="minorHAnsi" w:eastAsiaTheme="minorEastAsia" w:hAnsiTheme="minorHAnsi" w:cstheme="minorBidi"/>
          <w:noProof/>
        </w:rPr>
      </w:pPr>
      <w:hyperlink w:anchor="_Toc47516644" w:history="1">
        <w:r w:rsidR="004F20BB" w:rsidRPr="00DB2EFF">
          <w:rPr>
            <w:rStyle w:val="Hyperlink"/>
            <w:noProof/>
          </w:rPr>
          <w:t>Options That Require VistALink</w:t>
        </w:r>
        <w:r w:rsidR="004F20BB">
          <w:rPr>
            <w:noProof/>
            <w:webHidden/>
          </w:rPr>
          <w:tab/>
        </w:r>
        <w:r w:rsidR="004F20BB">
          <w:rPr>
            <w:noProof/>
            <w:webHidden/>
          </w:rPr>
          <w:fldChar w:fldCharType="begin"/>
        </w:r>
        <w:r w:rsidR="004F20BB">
          <w:rPr>
            <w:noProof/>
            <w:webHidden/>
          </w:rPr>
          <w:instrText xml:space="preserve"> PAGEREF _Toc47516644 \h </w:instrText>
        </w:r>
        <w:r w:rsidR="004F20BB">
          <w:rPr>
            <w:noProof/>
            <w:webHidden/>
          </w:rPr>
        </w:r>
        <w:r w:rsidR="004F20BB">
          <w:rPr>
            <w:noProof/>
            <w:webHidden/>
          </w:rPr>
          <w:fldChar w:fldCharType="separate"/>
        </w:r>
        <w:r w:rsidR="004F20BB">
          <w:rPr>
            <w:noProof/>
            <w:webHidden/>
          </w:rPr>
          <w:t>9</w:t>
        </w:r>
        <w:r w:rsidR="004F20BB">
          <w:rPr>
            <w:noProof/>
            <w:webHidden/>
          </w:rPr>
          <w:fldChar w:fldCharType="end"/>
        </w:r>
      </w:hyperlink>
    </w:p>
    <w:p w14:paraId="45F39FAD" w14:textId="17BE0F3A" w:rsidR="004F20BB" w:rsidRDefault="00F322E7">
      <w:pPr>
        <w:pStyle w:val="TOC3"/>
        <w:tabs>
          <w:tab w:val="right" w:leader="dot" w:pos="9350"/>
        </w:tabs>
        <w:rPr>
          <w:rFonts w:asciiTheme="minorHAnsi" w:eastAsiaTheme="minorEastAsia" w:hAnsiTheme="minorHAnsi" w:cstheme="minorBidi"/>
          <w:noProof/>
        </w:rPr>
      </w:pPr>
      <w:hyperlink w:anchor="_Toc47516645" w:history="1">
        <w:r w:rsidR="004F20BB" w:rsidRPr="00DB2EFF">
          <w:rPr>
            <w:rStyle w:val="Hyperlink"/>
            <w:noProof/>
          </w:rPr>
          <w:t>VBECS Patching</w:t>
        </w:r>
        <w:r w:rsidR="004F20BB">
          <w:rPr>
            <w:noProof/>
            <w:webHidden/>
          </w:rPr>
          <w:tab/>
        </w:r>
        <w:r w:rsidR="004F20BB">
          <w:rPr>
            <w:noProof/>
            <w:webHidden/>
          </w:rPr>
          <w:fldChar w:fldCharType="begin"/>
        </w:r>
        <w:r w:rsidR="004F20BB">
          <w:rPr>
            <w:noProof/>
            <w:webHidden/>
          </w:rPr>
          <w:instrText xml:space="preserve"> PAGEREF _Toc47516645 \h </w:instrText>
        </w:r>
        <w:r w:rsidR="004F20BB">
          <w:rPr>
            <w:noProof/>
            <w:webHidden/>
          </w:rPr>
        </w:r>
        <w:r w:rsidR="004F20BB">
          <w:rPr>
            <w:noProof/>
            <w:webHidden/>
          </w:rPr>
          <w:fldChar w:fldCharType="separate"/>
        </w:r>
        <w:r w:rsidR="004F20BB">
          <w:rPr>
            <w:noProof/>
            <w:webHidden/>
          </w:rPr>
          <w:t>10</w:t>
        </w:r>
        <w:r w:rsidR="004F20BB">
          <w:rPr>
            <w:noProof/>
            <w:webHidden/>
          </w:rPr>
          <w:fldChar w:fldCharType="end"/>
        </w:r>
      </w:hyperlink>
    </w:p>
    <w:p w14:paraId="2E417E60" w14:textId="48AA748D" w:rsidR="004F20BB" w:rsidRDefault="00F322E7">
      <w:pPr>
        <w:pStyle w:val="TOC1"/>
        <w:tabs>
          <w:tab w:val="right" w:leader="dot" w:pos="9350"/>
        </w:tabs>
        <w:rPr>
          <w:rFonts w:asciiTheme="minorHAnsi" w:eastAsiaTheme="minorEastAsia" w:hAnsiTheme="minorHAnsi" w:cstheme="minorBidi"/>
          <w:b w:val="0"/>
          <w:caps w:val="0"/>
          <w:noProof/>
        </w:rPr>
      </w:pPr>
      <w:hyperlink w:anchor="_Toc47516646" w:history="1">
        <w:r w:rsidR="004F20BB" w:rsidRPr="00DB2EFF">
          <w:rPr>
            <w:rStyle w:val="Hyperlink"/>
            <w:noProof/>
          </w:rPr>
          <w:t>Customer Support</w:t>
        </w:r>
        <w:r w:rsidR="004F20BB">
          <w:rPr>
            <w:noProof/>
            <w:webHidden/>
          </w:rPr>
          <w:tab/>
        </w:r>
        <w:r w:rsidR="004F20BB">
          <w:rPr>
            <w:noProof/>
            <w:webHidden/>
          </w:rPr>
          <w:fldChar w:fldCharType="begin"/>
        </w:r>
        <w:r w:rsidR="004F20BB">
          <w:rPr>
            <w:noProof/>
            <w:webHidden/>
          </w:rPr>
          <w:instrText xml:space="preserve"> PAGEREF _Toc47516646 \h </w:instrText>
        </w:r>
        <w:r w:rsidR="004F20BB">
          <w:rPr>
            <w:noProof/>
            <w:webHidden/>
          </w:rPr>
        </w:r>
        <w:r w:rsidR="004F20BB">
          <w:rPr>
            <w:noProof/>
            <w:webHidden/>
          </w:rPr>
          <w:fldChar w:fldCharType="separate"/>
        </w:r>
        <w:r w:rsidR="004F20BB">
          <w:rPr>
            <w:noProof/>
            <w:webHidden/>
          </w:rPr>
          <w:t>11</w:t>
        </w:r>
        <w:r w:rsidR="004F20BB">
          <w:rPr>
            <w:noProof/>
            <w:webHidden/>
          </w:rPr>
          <w:fldChar w:fldCharType="end"/>
        </w:r>
      </w:hyperlink>
    </w:p>
    <w:p w14:paraId="2199EA24" w14:textId="642B787B" w:rsidR="004F20BB" w:rsidRDefault="00F322E7">
      <w:pPr>
        <w:pStyle w:val="TOC2"/>
        <w:tabs>
          <w:tab w:val="right" w:leader="dot" w:pos="9350"/>
        </w:tabs>
        <w:rPr>
          <w:rFonts w:asciiTheme="minorHAnsi" w:eastAsiaTheme="minorEastAsia" w:hAnsiTheme="minorHAnsi" w:cstheme="minorBidi"/>
          <w:smallCaps w:val="0"/>
          <w:noProof/>
        </w:rPr>
      </w:pPr>
      <w:hyperlink w:anchor="_Toc47516647" w:history="1">
        <w:r w:rsidR="004F20BB" w:rsidRPr="00DB2EFF">
          <w:rPr>
            <w:rStyle w:val="Hyperlink"/>
            <w:noProof/>
          </w:rPr>
          <w:t>Problems?</w:t>
        </w:r>
        <w:r w:rsidR="004F20BB">
          <w:rPr>
            <w:noProof/>
            <w:webHidden/>
          </w:rPr>
          <w:tab/>
        </w:r>
        <w:r w:rsidR="004F20BB">
          <w:rPr>
            <w:noProof/>
            <w:webHidden/>
          </w:rPr>
          <w:fldChar w:fldCharType="begin"/>
        </w:r>
        <w:r w:rsidR="004F20BB">
          <w:rPr>
            <w:noProof/>
            <w:webHidden/>
          </w:rPr>
          <w:instrText xml:space="preserve"> PAGEREF _Toc47516647 \h </w:instrText>
        </w:r>
        <w:r w:rsidR="004F20BB">
          <w:rPr>
            <w:noProof/>
            <w:webHidden/>
          </w:rPr>
        </w:r>
        <w:r w:rsidR="004F20BB">
          <w:rPr>
            <w:noProof/>
            <w:webHidden/>
          </w:rPr>
          <w:fldChar w:fldCharType="separate"/>
        </w:r>
        <w:r w:rsidR="004F20BB">
          <w:rPr>
            <w:noProof/>
            <w:webHidden/>
          </w:rPr>
          <w:t>11</w:t>
        </w:r>
        <w:r w:rsidR="004F20BB">
          <w:rPr>
            <w:noProof/>
            <w:webHidden/>
          </w:rPr>
          <w:fldChar w:fldCharType="end"/>
        </w:r>
      </w:hyperlink>
    </w:p>
    <w:p w14:paraId="28B82293" w14:textId="1D038358" w:rsidR="004F20BB" w:rsidRDefault="00F322E7">
      <w:pPr>
        <w:pStyle w:val="TOC1"/>
        <w:tabs>
          <w:tab w:val="right" w:leader="dot" w:pos="9350"/>
        </w:tabs>
        <w:rPr>
          <w:rFonts w:asciiTheme="minorHAnsi" w:eastAsiaTheme="minorEastAsia" w:hAnsiTheme="minorHAnsi" w:cstheme="minorBidi"/>
          <w:b w:val="0"/>
          <w:caps w:val="0"/>
          <w:noProof/>
        </w:rPr>
      </w:pPr>
      <w:hyperlink w:anchor="_Toc47516648" w:history="1">
        <w:r w:rsidR="004F20BB" w:rsidRPr="00DB2EFF">
          <w:rPr>
            <w:rStyle w:val="Hyperlink"/>
            <w:noProof/>
          </w:rPr>
          <w:t>Using the Software</w:t>
        </w:r>
        <w:r w:rsidR="004F20BB">
          <w:rPr>
            <w:noProof/>
            <w:webHidden/>
          </w:rPr>
          <w:tab/>
        </w:r>
        <w:r w:rsidR="004F20BB">
          <w:rPr>
            <w:noProof/>
            <w:webHidden/>
          </w:rPr>
          <w:fldChar w:fldCharType="begin"/>
        </w:r>
        <w:r w:rsidR="004F20BB">
          <w:rPr>
            <w:noProof/>
            <w:webHidden/>
          </w:rPr>
          <w:instrText xml:space="preserve"> PAGEREF _Toc47516648 \h </w:instrText>
        </w:r>
        <w:r w:rsidR="004F20BB">
          <w:rPr>
            <w:noProof/>
            <w:webHidden/>
          </w:rPr>
        </w:r>
        <w:r w:rsidR="004F20BB">
          <w:rPr>
            <w:noProof/>
            <w:webHidden/>
          </w:rPr>
          <w:fldChar w:fldCharType="separate"/>
        </w:r>
        <w:r w:rsidR="004F20BB">
          <w:rPr>
            <w:noProof/>
            <w:webHidden/>
          </w:rPr>
          <w:t>13</w:t>
        </w:r>
        <w:r w:rsidR="004F20BB">
          <w:rPr>
            <w:noProof/>
            <w:webHidden/>
          </w:rPr>
          <w:fldChar w:fldCharType="end"/>
        </w:r>
      </w:hyperlink>
    </w:p>
    <w:p w14:paraId="3B131D6C" w14:textId="3FD82443" w:rsidR="004F20BB" w:rsidRDefault="00F322E7">
      <w:pPr>
        <w:pStyle w:val="TOC2"/>
        <w:tabs>
          <w:tab w:val="right" w:leader="dot" w:pos="9350"/>
        </w:tabs>
        <w:rPr>
          <w:rFonts w:asciiTheme="minorHAnsi" w:eastAsiaTheme="minorEastAsia" w:hAnsiTheme="minorHAnsi" w:cstheme="minorBidi"/>
          <w:smallCaps w:val="0"/>
          <w:noProof/>
        </w:rPr>
      </w:pPr>
      <w:hyperlink w:anchor="_Toc47516649" w:history="1">
        <w:r w:rsidR="004F20BB" w:rsidRPr="00DB2EFF">
          <w:rPr>
            <w:rStyle w:val="Hyperlink"/>
            <w:noProof/>
          </w:rPr>
          <w:t>Software Basics</w:t>
        </w:r>
        <w:r w:rsidR="004F20BB">
          <w:rPr>
            <w:noProof/>
            <w:webHidden/>
          </w:rPr>
          <w:tab/>
        </w:r>
        <w:r w:rsidR="004F20BB">
          <w:rPr>
            <w:noProof/>
            <w:webHidden/>
          </w:rPr>
          <w:fldChar w:fldCharType="begin"/>
        </w:r>
        <w:r w:rsidR="004F20BB">
          <w:rPr>
            <w:noProof/>
            <w:webHidden/>
          </w:rPr>
          <w:instrText xml:space="preserve"> PAGEREF _Toc47516649 \h </w:instrText>
        </w:r>
        <w:r w:rsidR="004F20BB">
          <w:rPr>
            <w:noProof/>
            <w:webHidden/>
          </w:rPr>
        </w:r>
        <w:r w:rsidR="004F20BB">
          <w:rPr>
            <w:noProof/>
            <w:webHidden/>
          </w:rPr>
          <w:fldChar w:fldCharType="separate"/>
        </w:r>
        <w:r w:rsidR="004F20BB">
          <w:rPr>
            <w:noProof/>
            <w:webHidden/>
          </w:rPr>
          <w:t>13</w:t>
        </w:r>
        <w:r w:rsidR="004F20BB">
          <w:rPr>
            <w:noProof/>
            <w:webHidden/>
          </w:rPr>
          <w:fldChar w:fldCharType="end"/>
        </w:r>
      </w:hyperlink>
    </w:p>
    <w:p w14:paraId="675C7EAA" w14:textId="36CD499D" w:rsidR="004F20BB" w:rsidRDefault="00F322E7">
      <w:pPr>
        <w:pStyle w:val="TOC2"/>
        <w:tabs>
          <w:tab w:val="right" w:leader="dot" w:pos="9350"/>
        </w:tabs>
        <w:rPr>
          <w:rFonts w:asciiTheme="minorHAnsi" w:eastAsiaTheme="minorEastAsia" w:hAnsiTheme="minorHAnsi" w:cstheme="minorBidi"/>
          <w:smallCaps w:val="0"/>
          <w:noProof/>
        </w:rPr>
      </w:pPr>
      <w:hyperlink w:anchor="_Toc47516650" w:history="1">
        <w:r w:rsidR="004F20BB" w:rsidRPr="00DB2EFF">
          <w:rPr>
            <w:rStyle w:val="Hyperlink"/>
            <w:noProof/>
          </w:rPr>
          <w:t>Commonly Used System Rules</w:t>
        </w:r>
        <w:r w:rsidR="004F20BB">
          <w:rPr>
            <w:noProof/>
            <w:webHidden/>
          </w:rPr>
          <w:tab/>
        </w:r>
        <w:r w:rsidR="004F20BB">
          <w:rPr>
            <w:noProof/>
            <w:webHidden/>
          </w:rPr>
          <w:fldChar w:fldCharType="begin"/>
        </w:r>
        <w:r w:rsidR="004F20BB">
          <w:rPr>
            <w:noProof/>
            <w:webHidden/>
          </w:rPr>
          <w:instrText xml:space="preserve"> PAGEREF _Toc47516650 \h </w:instrText>
        </w:r>
        <w:r w:rsidR="004F20BB">
          <w:rPr>
            <w:noProof/>
            <w:webHidden/>
          </w:rPr>
        </w:r>
        <w:r w:rsidR="004F20BB">
          <w:rPr>
            <w:noProof/>
            <w:webHidden/>
          </w:rPr>
          <w:fldChar w:fldCharType="separate"/>
        </w:r>
        <w:r w:rsidR="004F20BB">
          <w:rPr>
            <w:noProof/>
            <w:webHidden/>
          </w:rPr>
          <w:t>15</w:t>
        </w:r>
        <w:r w:rsidR="004F20BB">
          <w:rPr>
            <w:noProof/>
            <w:webHidden/>
          </w:rPr>
          <w:fldChar w:fldCharType="end"/>
        </w:r>
      </w:hyperlink>
    </w:p>
    <w:p w14:paraId="62743611" w14:textId="50E5DC78" w:rsidR="004F20BB" w:rsidRDefault="00F322E7">
      <w:pPr>
        <w:pStyle w:val="TOC3"/>
        <w:tabs>
          <w:tab w:val="right" w:leader="dot" w:pos="9350"/>
        </w:tabs>
        <w:rPr>
          <w:rFonts w:asciiTheme="minorHAnsi" w:eastAsiaTheme="minorEastAsia" w:hAnsiTheme="minorHAnsi" w:cstheme="minorBidi"/>
          <w:noProof/>
        </w:rPr>
      </w:pPr>
      <w:hyperlink w:anchor="_Toc47516651" w:history="1">
        <w:r w:rsidR="004F20BB" w:rsidRPr="00DB2EFF">
          <w:rPr>
            <w:rStyle w:val="Hyperlink"/>
            <w:noProof/>
          </w:rPr>
          <w:t>Date and Time</w:t>
        </w:r>
        <w:r w:rsidR="004F20BB">
          <w:rPr>
            <w:noProof/>
            <w:webHidden/>
          </w:rPr>
          <w:tab/>
        </w:r>
        <w:r w:rsidR="004F20BB">
          <w:rPr>
            <w:noProof/>
            <w:webHidden/>
          </w:rPr>
          <w:fldChar w:fldCharType="begin"/>
        </w:r>
        <w:r w:rsidR="004F20BB">
          <w:rPr>
            <w:noProof/>
            <w:webHidden/>
          </w:rPr>
          <w:instrText xml:space="preserve"> PAGEREF _Toc47516651 \h </w:instrText>
        </w:r>
        <w:r w:rsidR="004F20BB">
          <w:rPr>
            <w:noProof/>
            <w:webHidden/>
          </w:rPr>
        </w:r>
        <w:r w:rsidR="004F20BB">
          <w:rPr>
            <w:noProof/>
            <w:webHidden/>
          </w:rPr>
          <w:fldChar w:fldCharType="separate"/>
        </w:r>
        <w:r w:rsidR="004F20BB">
          <w:rPr>
            <w:noProof/>
            <w:webHidden/>
          </w:rPr>
          <w:t>15</w:t>
        </w:r>
        <w:r w:rsidR="004F20BB">
          <w:rPr>
            <w:noProof/>
            <w:webHidden/>
          </w:rPr>
          <w:fldChar w:fldCharType="end"/>
        </w:r>
      </w:hyperlink>
    </w:p>
    <w:p w14:paraId="1F4B231D" w14:textId="79C7B333" w:rsidR="004F20BB" w:rsidRDefault="00F322E7">
      <w:pPr>
        <w:pStyle w:val="TOC3"/>
        <w:tabs>
          <w:tab w:val="right" w:leader="dot" w:pos="9350"/>
        </w:tabs>
        <w:rPr>
          <w:rFonts w:asciiTheme="minorHAnsi" w:eastAsiaTheme="minorEastAsia" w:hAnsiTheme="minorHAnsi" w:cstheme="minorBidi"/>
          <w:noProof/>
        </w:rPr>
      </w:pPr>
      <w:hyperlink w:anchor="_Toc47516652" w:history="1">
        <w:r w:rsidR="004F20BB" w:rsidRPr="00DB2EFF">
          <w:rPr>
            <w:rStyle w:val="Hyperlink"/>
            <w:noProof/>
          </w:rPr>
          <w:t>Locking and Time-Outs</w:t>
        </w:r>
        <w:r w:rsidR="004F20BB">
          <w:rPr>
            <w:noProof/>
            <w:webHidden/>
          </w:rPr>
          <w:tab/>
        </w:r>
        <w:r w:rsidR="004F20BB">
          <w:rPr>
            <w:noProof/>
            <w:webHidden/>
          </w:rPr>
          <w:fldChar w:fldCharType="begin"/>
        </w:r>
        <w:r w:rsidR="004F20BB">
          <w:rPr>
            <w:noProof/>
            <w:webHidden/>
          </w:rPr>
          <w:instrText xml:space="preserve"> PAGEREF _Toc47516652 \h </w:instrText>
        </w:r>
        <w:r w:rsidR="004F20BB">
          <w:rPr>
            <w:noProof/>
            <w:webHidden/>
          </w:rPr>
        </w:r>
        <w:r w:rsidR="004F20BB">
          <w:rPr>
            <w:noProof/>
            <w:webHidden/>
          </w:rPr>
          <w:fldChar w:fldCharType="separate"/>
        </w:r>
        <w:r w:rsidR="004F20BB">
          <w:rPr>
            <w:noProof/>
            <w:webHidden/>
          </w:rPr>
          <w:t>15</w:t>
        </w:r>
        <w:r w:rsidR="004F20BB">
          <w:rPr>
            <w:noProof/>
            <w:webHidden/>
          </w:rPr>
          <w:fldChar w:fldCharType="end"/>
        </w:r>
      </w:hyperlink>
    </w:p>
    <w:p w14:paraId="208EC975" w14:textId="3D443469" w:rsidR="004F20BB" w:rsidRDefault="00F322E7">
      <w:pPr>
        <w:pStyle w:val="TOC3"/>
        <w:tabs>
          <w:tab w:val="right" w:leader="dot" w:pos="9350"/>
        </w:tabs>
        <w:rPr>
          <w:rFonts w:asciiTheme="minorHAnsi" w:eastAsiaTheme="minorEastAsia" w:hAnsiTheme="minorHAnsi" w:cstheme="minorBidi"/>
          <w:noProof/>
        </w:rPr>
      </w:pPr>
      <w:hyperlink w:anchor="_Toc47516653" w:history="1">
        <w:r w:rsidR="004F20BB" w:rsidRPr="00DB2EFF">
          <w:rPr>
            <w:rStyle w:val="Hyperlink"/>
            <w:noProof/>
          </w:rPr>
          <w:t>Working with Data</w:t>
        </w:r>
        <w:r w:rsidR="004F20BB">
          <w:rPr>
            <w:noProof/>
            <w:webHidden/>
          </w:rPr>
          <w:tab/>
        </w:r>
        <w:r w:rsidR="004F20BB">
          <w:rPr>
            <w:noProof/>
            <w:webHidden/>
          </w:rPr>
          <w:fldChar w:fldCharType="begin"/>
        </w:r>
        <w:r w:rsidR="004F20BB">
          <w:rPr>
            <w:noProof/>
            <w:webHidden/>
          </w:rPr>
          <w:instrText xml:space="preserve"> PAGEREF _Toc47516653 \h </w:instrText>
        </w:r>
        <w:r w:rsidR="004F20BB">
          <w:rPr>
            <w:noProof/>
            <w:webHidden/>
          </w:rPr>
        </w:r>
        <w:r w:rsidR="004F20BB">
          <w:rPr>
            <w:noProof/>
            <w:webHidden/>
          </w:rPr>
          <w:fldChar w:fldCharType="separate"/>
        </w:r>
        <w:r w:rsidR="004F20BB">
          <w:rPr>
            <w:noProof/>
            <w:webHidden/>
          </w:rPr>
          <w:t>15</w:t>
        </w:r>
        <w:r w:rsidR="004F20BB">
          <w:rPr>
            <w:noProof/>
            <w:webHidden/>
          </w:rPr>
          <w:fldChar w:fldCharType="end"/>
        </w:r>
      </w:hyperlink>
    </w:p>
    <w:p w14:paraId="20D350A4" w14:textId="26B07746" w:rsidR="004F20BB" w:rsidRDefault="00F322E7">
      <w:pPr>
        <w:pStyle w:val="TOC3"/>
        <w:tabs>
          <w:tab w:val="right" w:leader="dot" w:pos="9350"/>
        </w:tabs>
        <w:rPr>
          <w:rFonts w:asciiTheme="minorHAnsi" w:eastAsiaTheme="minorEastAsia" w:hAnsiTheme="minorHAnsi" w:cstheme="minorBidi"/>
          <w:noProof/>
        </w:rPr>
      </w:pPr>
      <w:hyperlink w:anchor="_Toc47516654" w:history="1">
        <w:r w:rsidR="004F20BB" w:rsidRPr="00DB2EFF">
          <w:rPr>
            <w:rStyle w:val="Hyperlink"/>
            <w:noProof/>
          </w:rPr>
          <w:t>Searching the Database</w:t>
        </w:r>
        <w:r w:rsidR="004F20BB">
          <w:rPr>
            <w:noProof/>
            <w:webHidden/>
          </w:rPr>
          <w:tab/>
        </w:r>
        <w:r w:rsidR="004F20BB">
          <w:rPr>
            <w:noProof/>
            <w:webHidden/>
          </w:rPr>
          <w:fldChar w:fldCharType="begin"/>
        </w:r>
        <w:r w:rsidR="004F20BB">
          <w:rPr>
            <w:noProof/>
            <w:webHidden/>
          </w:rPr>
          <w:instrText xml:space="preserve"> PAGEREF _Toc47516654 \h </w:instrText>
        </w:r>
        <w:r w:rsidR="004F20BB">
          <w:rPr>
            <w:noProof/>
            <w:webHidden/>
          </w:rPr>
        </w:r>
        <w:r w:rsidR="004F20BB">
          <w:rPr>
            <w:noProof/>
            <w:webHidden/>
          </w:rPr>
          <w:fldChar w:fldCharType="separate"/>
        </w:r>
        <w:r w:rsidR="004F20BB">
          <w:rPr>
            <w:noProof/>
            <w:webHidden/>
          </w:rPr>
          <w:t>16</w:t>
        </w:r>
        <w:r w:rsidR="004F20BB">
          <w:rPr>
            <w:noProof/>
            <w:webHidden/>
          </w:rPr>
          <w:fldChar w:fldCharType="end"/>
        </w:r>
      </w:hyperlink>
    </w:p>
    <w:p w14:paraId="65C973D3" w14:textId="14A02D08" w:rsidR="004F20BB" w:rsidRDefault="00F322E7">
      <w:pPr>
        <w:pStyle w:val="TOC3"/>
        <w:tabs>
          <w:tab w:val="right" w:leader="dot" w:pos="9350"/>
        </w:tabs>
        <w:rPr>
          <w:rFonts w:asciiTheme="minorHAnsi" w:eastAsiaTheme="minorEastAsia" w:hAnsiTheme="minorHAnsi" w:cstheme="minorBidi"/>
          <w:noProof/>
        </w:rPr>
      </w:pPr>
      <w:hyperlink w:anchor="_Toc47516655" w:history="1">
        <w:r w:rsidR="004F20BB" w:rsidRPr="00DB2EFF">
          <w:rPr>
            <w:rStyle w:val="Hyperlink"/>
            <w:noProof/>
          </w:rPr>
          <w:t>Testing</w:t>
        </w:r>
        <w:r w:rsidR="004F20BB">
          <w:rPr>
            <w:noProof/>
            <w:webHidden/>
          </w:rPr>
          <w:tab/>
        </w:r>
        <w:r w:rsidR="004F20BB">
          <w:rPr>
            <w:noProof/>
            <w:webHidden/>
          </w:rPr>
          <w:fldChar w:fldCharType="begin"/>
        </w:r>
        <w:r w:rsidR="004F20BB">
          <w:rPr>
            <w:noProof/>
            <w:webHidden/>
          </w:rPr>
          <w:instrText xml:space="preserve"> PAGEREF _Toc47516655 \h </w:instrText>
        </w:r>
        <w:r w:rsidR="004F20BB">
          <w:rPr>
            <w:noProof/>
            <w:webHidden/>
          </w:rPr>
        </w:r>
        <w:r w:rsidR="004F20BB">
          <w:rPr>
            <w:noProof/>
            <w:webHidden/>
          </w:rPr>
          <w:fldChar w:fldCharType="separate"/>
        </w:r>
        <w:r w:rsidR="004F20BB">
          <w:rPr>
            <w:noProof/>
            <w:webHidden/>
          </w:rPr>
          <w:t>17</w:t>
        </w:r>
        <w:r w:rsidR="004F20BB">
          <w:rPr>
            <w:noProof/>
            <w:webHidden/>
          </w:rPr>
          <w:fldChar w:fldCharType="end"/>
        </w:r>
      </w:hyperlink>
    </w:p>
    <w:p w14:paraId="7C6D5418" w14:textId="3525E6A1" w:rsidR="004F20BB" w:rsidRDefault="00F322E7">
      <w:pPr>
        <w:pStyle w:val="TOC3"/>
        <w:tabs>
          <w:tab w:val="right" w:leader="dot" w:pos="9350"/>
        </w:tabs>
        <w:rPr>
          <w:rFonts w:asciiTheme="minorHAnsi" w:eastAsiaTheme="minorEastAsia" w:hAnsiTheme="minorHAnsi" w:cstheme="minorBidi"/>
          <w:noProof/>
        </w:rPr>
      </w:pPr>
      <w:hyperlink w:anchor="_Toc47516656" w:history="1">
        <w:r w:rsidR="004F20BB" w:rsidRPr="00DB2EFF">
          <w:rPr>
            <w:rStyle w:val="Hyperlink"/>
            <w:noProof/>
          </w:rPr>
          <w:t>Creating and Viewing Reports</w:t>
        </w:r>
        <w:r w:rsidR="004F20BB">
          <w:rPr>
            <w:noProof/>
            <w:webHidden/>
          </w:rPr>
          <w:tab/>
        </w:r>
        <w:r w:rsidR="004F20BB">
          <w:rPr>
            <w:noProof/>
            <w:webHidden/>
          </w:rPr>
          <w:fldChar w:fldCharType="begin"/>
        </w:r>
        <w:r w:rsidR="004F20BB">
          <w:rPr>
            <w:noProof/>
            <w:webHidden/>
          </w:rPr>
          <w:instrText xml:space="preserve"> PAGEREF _Toc47516656 \h </w:instrText>
        </w:r>
        <w:r w:rsidR="004F20BB">
          <w:rPr>
            <w:noProof/>
            <w:webHidden/>
          </w:rPr>
        </w:r>
        <w:r w:rsidR="004F20BB">
          <w:rPr>
            <w:noProof/>
            <w:webHidden/>
          </w:rPr>
          <w:fldChar w:fldCharType="separate"/>
        </w:r>
        <w:r w:rsidR="004F20BB">
          <w:rPr>
            <w:noProof/>
            <w:webHidden/>
          </w:rPr>
          <w:t>20</w:t>
        </w:r>
        <w:r w:rsidR="004F20BB">
          <w:rPr>
            <w:noProof/>
            <w:webHidden/>
          </w:rPr>
          <w:fldChar w:fldCharType="end"/>
        </w:r>
      </w:hyperlink>
    </w:p>
    <w:p w14:paraId="094012E2" w14:textId="64DC0E09" w:rsidR="004F20BB" w:rsidRDefault="00F322E7">
      <w:pPr>
        <w:pStyle w:val="TOC2"/>
        <w:tabs>
          <w:tab w:val="right" w:leader="dot" w:pos="9350"/>
        </w:tabs>
        <w:rPr>
          <w:rFonts w:asciiTheme="minorHAnsi" w:eastAsiaTheme="minorEastAsia" w:hAnsiTheme="minorHAnsi" w:cstheme="minorBidi"/>
          <w:smallCaps w:val="0"/>
          <w:noProof/>
        </w:rPr>
      </w:pPr>
      <w:hyperlink w:anchor="_Toc47516657" w:history="1">
        <w:r w:rsidR="004F20BB" w:rsidRPr="00DB2EFF">
          <w:rPr>
            <w:rStyle w:val="Hyperlink"/>
            <w:noProof/>
          </w:rPr>
          <w:t>Report Toolbar</w:t>
        </w:r>
        <w:r w:rsidR="004F20BB">
          <w:rPr>
            <w:noProof/>
            <w:webHidden/>
          </w:rPr>
          <w:tab/>
        </w:r>
        <w:r w:rsidR="004F20BB">
          <w:rPr>
            <w:noProof/>
            <w:webHidden/>
          </w:rPr>
          <w:fldChar w:fldCharType="begin"/>
        </w:r>
        <w:r w:rsidR="004F20BB">
          <w:rPr>
            <w:noProof/>
            <w:webHidden/>
          </w:rPr>
          <w:instrText xml:space="preserve"> PAGEREF _Toc47516657 \h </w:instrText>
        </w:r>
        <w:r w:rsidR="004F20BB">
          <w:rPr>
            <w:noProof/>
            <w:webHidden/>
          </w:rPr>
        </w:r>
        <w:r w:rsidR="004F20BB">
          <w:rPr>
            <w:noProof/>
            <w:webHidden/>
          </w:rPr>
          <w:fldChar w:fldCharType="separate"/>
        </w:r>
        <w:r w:rsidR="004F20BB">
          <w:rPr>
            <w:noProof/>
            <w:webHidden/>
          </w:rPr>
          <w:t>18</w:t>
        </w:r>
        <w:r w:rsidR="004F20BB">
          <w:rPr>
            <w:noProof/>
            <w:webHidden/>
          </w:rPr>
          <w:fldChar w:fldCharType="end"/>
        </w:r>
      </w:hyperlink>
    </w:p>
    <w:p w14:paraId="7A212CCF" w14:textId="0F409015" w:rsidR="004F20BB" w:rsidRDefault="00F322E7">
      <w:pPr>
        <w:pStyle w:val="TOC3"/>
        <w:tabs>
          <w:tab w:val="right" w:leader="dot" w:pos="9350"/>
        </w:tabs>
        <w:rPr>
          <w:rFonts w:asciiTheme="minorHAnsi" w:eastAsiaTheme="minorEastAsia" w:hAnsiTheme="minorHAnsi" w:cstheme="minorBidi"/>
          <w:noProof/>
        </w:rPr>
      </w:pPr>
      <w:hyperlink w:anchor="_Toc47516658" w:history="1">
        <w:r w:rsidR="004F20BB" w:rsidRPr="00DB2EFF">
          <w:rPr>
            <w:rStyle w:val="Hyperlink"/>
            <w:noProof/>
          </w:rPr>
          <w:t>Navigation Arrows and Report Pages</w:t>
        </w:r>
        <w:r w:rsidR="004F20BB">
          <w:rPr>
            <w:noProof/>
            <w:webHidden/>
          </w:rPr>
          <w:tab/>
        </w:r>
        <w:r w:rsidR="004F20BB">
          <w:rPr>
            <w:noProof/>
            <w:webHidden/>
          </w:rPr>
          <w:fldChar w:fldCharType="begin"/>
        </w:r>
        <w:r w:rsidR="004F20BB">
          <w:rPr>
            <w:noProof/>
            <w:webHidden/>
          </w:rPr>
          <w:instrText xml:space="preserve"> PAGEREF _Toc47516658 \h </w:instrText>
        </w:r>
        <w:r w:rsidR="004F20BB">
          <w:rPr>
            <w:noProof/>
            <w:webHidden/>
          </w:rPr>
        </w:r>
        <w:r w:rsidR="004F20BB">
          <w:rPr>
            <w:noProof/>
            <w:webHidden/>
          </w:rPr>
          <w:fldChar w:fldCharType="separate"/>
        </w:r>
        <w:r w:rsidR="004F20BB">
          <w:rPr>
            <w:noProof/>
            <w:webHidden/>
          </w:rPr>
          <w:t>18</w:t>
        </w:r>
        <w:r w:rsidR="004F20BB">
          <w:rPr>
            <w:noProof/>
            <w:webHidden/>
          </w:rPr>
          <w:fldChar w:fldCharType="end"/>
        </w:r>
      </w:hyperlink>
    </w:p>
    <w:p w14:paraId="65C0F0B1" w14:textId="59D58D74" w:rsidR="004F20BB" w:rsidRDefault="00F322E7">
      <w:pPr>
        <w:pStyle w:val="TOC3"/>
        <w:tabs>
          <w:tab w:val="right" w:leader="dot" w:pos="9350"/>
        </w:tabs>
        <w:rPr>
          <w:rFonts w:asciiTheme="minorHAnsi" w:eastAsiaTheme="minorEastAsia" w:hAnsiTheme="minorHAnsi" w:cstheme="minorBidi"/>
          <w:noProof/>
        </w:rPr>
      </w:pPr>
      <w:hyperlink w:anchor="_Toc47516659" w:history="1">
        <w:r w:rsidR="004F20BB" w:rsidRPr="00DB2EFF">
          <w:rPr>
            <w:rStyle w:val="Hyperlink"/>
            <w:noProof/>
          </w:rPr>
          <w:t>Report Layout</w:t>
        </w:r>
        <w:r w:rsidR="004F20BB">
          <w:rPr>
            <w:noProof/>
            <w:webHidden/>
          </w:rPr>
          <w:tab/>
        </w:r>
        <w:r w:rsidR="004F20BB">
          <w:rPr>
            <w:noProof/>
            <w:webHidden/>
          </w:rPr>
          <w:fldChar w:fldCharType="begin"/>
        </w:r>
        <w:r w:rsidR="004F20BB">
          <w:rPr>
            <w:noProof/>
            <w:webHidden/>
          </w:rPr>
          <w:instrText xml:space="preserve"> PAGEREF _Toc47516659 \h </w:instrText>
        </w:r>
        <w:r w:rsidR="004F20BB">
          <w:rPr>
            <w:noProof/>
            <w:webHidden/>
          </w:rPr>
        </w:r>
        <w:r w:rsidR="004F20BB">
          <w:rPr>
            <w:noProof/>
            <w:webHidden/>
          </w:rPr>
          <w:fldChar w:fldCharType="separate"/>
        </w:r>
        <w:r w:rsidR="004F20BB">
          <w:rPr>
            <w:noProof/>
            <w:webHidden/>
          </w:rPr>
          <w:t>18</w:t>
        </w:r>
        <w:r w:rsidR="004F20BB">
          <w:rPr>
            <w:noProof/>
            <w:webHidden/>
          </w:rPr>
          <w:fldChar w:fldCharType="end"/>
        </w:r>
      </w:hyperlink>
    </w:p>
    <w:p w14:paraId="35DE9AEE" w14:textId="0DEA1F51" w:rsidR="004F20BB" w:rsidRDefault="00F322E7">
      <w:pPr>
        <w:pStyle w:val="TOC3"/>
        <w:tabs>
          <w:tab w:val="right" w:leader="dot" w:pos="9350"/>
        </w:tabs>
        <w:rPr>
          <w:rFonts w:asciiTheme="minorHAnsi" w:eastAsiaTheme="minorEastAsia" w:hAnsiTheme="minorHAnsi" w:cstheme="minorBidi"/>
          <w:noProof/>
        </w:rPr>
      </w:pPr>
      <w:hyperlink w:anchor="_Toc47516660" w:history="1">
        <w:r w:rsidR="004F20BB" w:rsidRPr="00DB2EFF">
          <w:rPr>
            <w:rStyle w:val="Hyperlink"/>
            <w:noProof/>
          </w:rPr>
          <w:t>Report Zoom-in/Zoom-out</w:t>
        </w:r>
        <w:r w:rsidR="004F20BB">
          <w:rPr>
            <w:noProof/>
            <w:webHidden/>
          </w:rPr>
          <w:tab/>
        </w:r>
        <w:r w:rsidR="004F20BB">
          <w:rPr>
            <w:noProof/>
            <w:webHidden/>
          </w:rPr>
          <w:fldChar w:fldCharType="begin"/>
        </w:r>
        <w:r w:rsidR="004F20BB">
          <w:rPr>
            <w:noProof/>
            <w:webHidden/>
          </w:rPr>
          <w:instrText xml:space="preserve"> PAGEREF _Toc47516660 \h </w:instrText>
        </w:r>
        <w:r w:rsidR="004F20BB">
          <w:rPr>
            <w:noProof/>
            <w:webHidden/>
          </w:rPr>
        </w:r>
        <w:r w:rsidR="004F20BB">
          <w:rPr>
            <w:noProof/>
            <w:webHidden/>
          </w:rPr>
          <w:fldChar w:fldCharType="separate"/>
        </w:r>
        <w:r w:rsidR="004F20BB">
          <w:rPr>
            <w:noProof/>
            <w:webHidden/>
          </w:rPr>
          <w:t>19</w:t>
        </w:r>
        <w:r w:rsidR="004F20BB">
          <w:rPr>
            <w:noProof/>
            <w:webHidden/>
          </w:rPr>
          <w:fldChar w:fldCharType="end"/>
        </w:r>
      </w:hyperlink>
    </w:p>
    <w:p w14:paraId="37EA7421" w14:textId="5ACD0393" w:rsidR="004F20BB" w:rsidRDefault="00F322E7">
      <w:pPr>
        <w:pStyle w:val="TOC3"/>
        <w:tabs>
          <w:tab w:val="right" w:leader="dot" w:pos="9350"/>
        </w:tabs>
        <w:rPr>
          <w:rFonts w:asciiTheme="minorHAnsi" w:eastAsiaTheme="minorEastAsia" w:hAnsiTheme="minorHAnsi" w:cstheme="minorBidi"/>
          <w:noProof/>
        </w:rPr>
      </w:pPr>
      <w:hyperlink w:anchor="_Toc47516661" w:history="1">
        <w:r w:rsidR="004F20BB" w:rsidRPr="00DB2EFF">
          <w:rPr>
            <w:rStyle w:val="Hyperlink"/>
            <w:noProof/>
          </w:rPr>
          <w:t>Report Search</w:t>
        </w:r>
        <w:r w:rsidR="004F20BB">
          <w:rPr>
            <w:noProof/>
            <w:webHidden/>
          </w:rPr>
          <w:tab/>
        </w:r>
        <w:r w:rsidR="004F20BB">
          <w:rPr>
            <w:noProof/>
            <w:webHidden/>
          </w:rPr>
          <w:fldChar w:fldCharType="begin"/>
        </w:r>
        <w:r w:rsidR="004F20BB">
          <w:rPr>
            <w:noProof/>
            <w:webHidden/>
          </w:rPr>
          <w:instrText xml:space="preserve"> PAGEREF _Toc47516661 \h </w:instrText>
        </w:r>
        <w:r w:rsidR="004F20BB">
          <w:rPr>
            <w:noProof/>
            <w:webHidden/>
          </w:rPr>
        </w:r>
        <w:r w:rsidR="004F20BB">
          <w:rPr>
            <w:noProof/>
            <w:webHidden/>
          </w:rPr>
          <w:fldChar w:fldCharType="separate"/>
        </w:r>
        <w:r w:rsidR="004F20BB">
          <w:rPr>
            <w:noProof/>
            <w:webHidden/>
          </w:rPr>
          <w:t>19</w:t>
        </w:r>
        <w:r w:rsidR="004F20BB">
          <w:rPr>
            <w:noProof/>
            <w:webHidden/>
          </w:rPr>
          <w:fldChar w:fldCharType="end"/>
        </w:r>
      </w:hyperlink>
    </w:p>
    <w:p w14:paraId="3875DD65" w14:textId="2042CBA7" w:rsidR="004F20BB" w:rsidRDefault="00F322E7">
      <w:pPr>
        <w:pStyle w:val="TOC3"/>
        <w:tabs>
          <w:tab w:val="right" w:leader="dot" w:pos="9350"/>
        </w:tabs>
        <w:rPr>
          <w:rFonts w:asciiTheme="minorHAnsi" w:eastAsiaTheme="minorEastAsia" w:hAnsiTheme="minorHAnsi" w:cstheme="minorBidi"/>
          <w:noProof/>
        </w:rPr>
      </w:pPr>
      <w:hyperlink w:anchor="_Toc47516662" w:history="1">
        <w:r w:rsidR="004F20BB" w:rsidRPr="00DB2EFF">
          <w:rPr>
            <w:rStyle w:val="Hyperlink"/>
            <w:noProof/>
          </w:rPr>
          <w:t>Report Export</w:t>
        </w:r>
        <w:r w:rsidR="004F20BB">
          <w:rPr>
            <w:noProof/>
            <w:webHidden/>
          </w:rPr>
          <w:tab/>
        </w:r>
        <w:r w:rsidR="004F20BB">
          <w:rPr>
            <w:noProof/>
            <w:webHidden/>
          </w:rPr>
          <w:fldChar w:fldCharType="begin"/>
        </w:r>
        <w:r w:rsidR="004F20BB">
          <w:rPr>
            <w:noProof/>
            <w:webHidden/>
          </w:rPr>
          <w:instrText xml:space="preserve"> PAGEREF _Toc47516662 \h </w:instrText>
        </w:r>
        <w:r w:rsidR="004F20BB">
          <w:rPr>
            <w:noProof/>
            <w:webHidden/>
          </w:rPr>
        </w:r>
        <w:r w:rsidR="004F20BB">
          <w:rPr>
            <w:noProof/>
            <w:webHidden/>
          </w:rPr>
          <w:fldChar w:fldCharType="separate"/>
        </w:r>
        <w:r w:rsidR="004F20BB">
          <w:rPr>
            <w:noProof/>
            <w:webHidden/>
          </w:rPr>
          <w:t>20</w:t>
        </w:r>
        <w:r w:rsidR="004F20BB">
          <w:rPr>
            <w:noProof/>
            <w:webHidden/>
          </w:rPr>
          <w:fldChar w:fldCharType="end"/>
        </w:r>
      </w:hyperlink>
    </w:p>
    <w:p w14:paraId="1CBB4981" w14:textId="58D6C3E6" w:rsidR="004F20BB" w:rsidRDefault="00F322E7">
      <w:pPr>
        <w:pStyle w:val="TOC3"/>
        <w:tabs>
          <w:tab w:val="right" w:leader="dot" w:pos="9350"/>
        </w:tabs>
        <w:rPr>
          <w:rFonts w:asciiTheme="minorHAnsi" w:eastAsiaTheme="minorEastAsia" w:hAnsiTheme="minorHAnsi" w:cstheme="minorBidi"/>
          <w:noProof/>
        </w:rPr>
      </w:pPr>
      <w:hyperlink w:anchor="_Toc47516663" w:history="1">
        <w:r w:rsidR="004F20BB" w:rsidRPr="00DB2EFF">
          <w:rPr>
            <w:rStyle w:val="Hyperlink"/>
            <w:noProof/>
          </w:rPr>
          <w:t>Copying an Exported Report</w:t>
        </w:r>
        <w:r w:rsidR="004F20BB">
          <w:rPr>
            <w:noProof/>
            <w:webHidden/>
          </w:rPr>
          <w:tab/>
        </w:r>
        <w:r w:rsidR="004F20BB">
          <w:rPr>
            <w:noProof/>
            <w:webHidden/>
          </w:rPr>
          <w:fldChar w:fldCharType="begin"/>
        </w:r>
        <w:r w:rsidR="004F20BB">
          <w:rPr>
            <w:noProof/>
            <w:webHidden/>
          </w:rPr>
          <w:instrText xml:space="preserve"> PAGEREF _Toc47516663 \h </w:instrText>
        </w:r>
        <w:r w:rsidR="004F20BB">
          <w:rPr>
            <w:noProof/>
            <w:webHidden/>
          </w:rPr>
        </w:r>
        <w:r w:rsidR="004F20BB">
          <w:rPr>
            <w:noProof/>
            <w:webHidden/>
          </w:rPr>
          <w:fldChar w:fldCharType="separate"/>
        </w:r>
        <w:r w:rsidR="004F20BB">
          <w:rPr>
            <w:noProof/>
            <w:webHidden/>
          </w:rPr>
          <w:t>23</w:t>
        </w:r>
        <w:r w:rsidR="004F20BB">
          <w:rPr>
            <w:noProof/>
            <w:webHidden/>
          </w:rPr>
          <w:fldChar w:fldCharType="end"/>
        </w:r>
      </w:hyperlink>
    </w:p>
    <w:p w14:paraId="57FF9D39" w14:textId="1C9C8BAE" w:rsidR="004F20BB" w:rsidRDefault="00F322E7">
      <w:pPr>
        <w:pStyle w:val="TOC2"/>
        <w:tabs>
          <w:tab w:val="right" w:leader="dot" w:pos="9350"/>
        </w:tabs>
        <w:rPr>
          <w:rFonts w:asciiTheme="minorHAnsi" w:eastAsiaTheme="minorEastAsia" w:hAnsiTheme="minorHAnsi" w:cstheme="minorBidi"/>
          <w:smallCaps w:val="0"/>
          <w:noProof/>
        </w:rPr>
      </w:pPr>
      <w:hyperlink w:anchor="_Toc47516664" w:history="1">
        <w:r w:rsidR="004F20BB" w:rsidRPr="00DB2EFF">
          <w:rPr>
            <w:rStyle w:val="Hyperlink"/>
            <w:noProof/>
          </w:rPr>
          <w:t>Using VBECS</w:t>
        </w:r>
        <w:r w:rsidR="004F20BB">
          <w:rPr>
            <w:noProof/>
            <w:webHidden/>
          </w:rPr>
          <w:tab/>
        </w:r>
        <w:r w:rsidR="004F20BB">
          <w:rPr>
            <w:noProof/>
            <w:webHidden/>
          </w:rPr>
          <w:fldChar w:fldCharType="begin"/>
        </w:r>
        <w:r w:rsidR="004F20BB">
          <w:rPr>
            <w:noProof/>
            <w:webHidden/>
          </w:rPr>
          <w:instrText xml:space="preserve"> PAGEREF _Toc47516664 \h </w:instrText>
        </w:r>
        <w:r w:rsidR="004F20BB">
          <w:rPr>
            <w:noProof/>
            <w:webHidden/>
          </w:rPr>
        </w:r>
        <w:r w:rsidR="004F20BB">
          <w:rPr>
            <w:noProof/>
            <w:webHidden/>
          </w:rPr>
          <w:fldChar w:fldCharType="separate"/>
        </w:r>
        <w:r w:rsidR="004F20BB">
          <w:rPr>
            <w:noProof/>
            <w:webHidden/>
          </w:rPr>
          <w:t>25</w:t>
        </w:r>
        <w:r w:rsidR="004F20BB">
          <w:rPr>
            <w:noProof/>
            <w:webHidden/>
          </w:rPr>
          <w:fldChar w:fldCharType="end"/>
        </w:r>
      </w:hyperlink>
    </w:p>
    <w:p w14:paraId="043F78DD" w14:textId="0E1428CD" w:rsidR="004F20BB" w:rsidRDefault="00F322E7">
      <w:pPr>
        <w:pStyle w:val="TOC2"/>
        <w:tabs>
          <w:tab w:val="right" w:leader="dot" w:pos="9350"/>
        </w:tabs>
        <w:rPr>
          <w:rFonts w:asciiTheme="minorHAnsi" w:eastAsiaTheme="minorEastAsia" w:hAnsiTheme="minorHAnsi" w:cstheme="minorBidi"/>
          <w:smallCaps w:val="0"/>
          <w:noProof/>
        </w:rPr>
      </w:pPr>
      <w:hyperlink w:anchor="_Toc47516665" w:history="1">
        <w:r w:rsidR="004F20BB" w:rsidRPr="00DB2EFF">
          <w:rPr>
            <w:rStyle w:val="Hyperlink"/>
            <w:noProof/>
          </w:rPr>
          <w:t>Using Online Help</w:t>
        </w:r>
        <w:r w:rsidR="004F20BB">
          <w:rPr>
            <w:noProof/>
            <w:webHidden/>
          </w:rPr>
          <w:tab/>
        </w:r>
        <w:r w:rsidR="004F20BB">
          <w:rPr>
            <w:noProof/>
            <w:webHidden/>
          </w:rPr>
          <w:fldChar w:fldCharType="begin"/>
        </w:r>
        <w:r w:rsidR="004F20BB">
          <w:rPr>
            <w:noProof/>
            <w:webHidden/>
          </w:rPr>
          <w:instrText xml:space="preserve"> PAGEREF _Toc47516665 \h </w:instrText>
        </w:r>
        <w:r w:rsidR="004F20BB">
          <w:rPr>
            <w:noProof/>
            <w:webHidden/>
          </w:rPr>
        </w:r>
        <w:r w:rsidR="004F20BB">
          <w:rPr>
            <w:noProof/>
            <w:webHidden/>
          </w:rPr>
          <w:fldChar w:fldCharType="separate"/>
        </w:r>
        <w:r w:rsidR="004F20BB">
          <w:rPr>
            <w:noProof/>
            <w:webHidden/>
          </w:rPr>
          <w:t>25</w:t>
        </w:r>
        <w:r w:rsidR="004F20BB">
          <w:rPr>
            <w:noProof/>
            <w:webHidden/>
          </w:rPr>
          <w:fldChar w:fldCharType="end"/>
        </w:r>
      </w:hyperlink>
    </w:p>
    <w:p w14:paraId="120C7202" w14:textId="1220DBDF" w:rsidR="004F20BB" w:rsidRDefault="00F322E7">
      <w:pPr>
        <w:pStyle w:val="TOC3"/>
        <w:tabs>
          <w:tab w:val="right" w:leader="dot" w:pos="9350"/>
        </w:tabs>
        <w:rPr>
          <w:rFonts w:asciiTheme="minorHAnsi" w:eastAsiaTheme="minorEastAsia" w:hAnsiTheme="minorHAnsi" w:cstheme="minorBidi"/>
          <w:noProof/>
        </w:rPr>
      </w:pPr>
      <w:hyperlink w:anchor="_Toc47516666" w:history="1">
        <w:r w:rsidR="004F20BB" w:rsidRPr="00DB2EFF">
          <w:rPr>
            <w:rStyle w:val="Hyperlink"/>
            <w:noProof/>
          </w:rPr>
          <w:t>Searching Using the Table of Contents</w:t>
        </w:r>
        <w:r w:rsidR="004F20BB">
          <w:rPr>
            <w:noProof/>
            <w:webHidden/>
          </w:rPr>
          <w:tab/>
        </w:r>
        <w:r w:rsidR="004F20BB">
          <w:rPr>
            <w:noProof/>
            <w:webHidden/>
          </w:rPr>
          <w:fldChar w:fldCharType="begin"/>
        </w:r>
        <w:r w:rsidR="004F20BB">
          <w:rPr>
            <w:noProof/>
            <w:webHidden/>
          </w:rPr>
          <w:instrText xml:space="preserve"> PAGEREF _Toc47516666 \h </w:instrText>
        </w:r>
        <w:r w:rsidR="004F20BB">
          <w:rPr>
            <w:noProof/>
            <w:webHidden/>
          </w:rPr>
        </w:r>
        <w:r w:rsidR="004F20BB">
          <w:rPr>
            <w:noProof/>
            <w:webHidden/>
          </w:rPr>
          <w:fldChar w:fldCharType="separate"/>
        </w:r>
        <w:r w:rsidR="004F20BB">
          <w:rPr>
            <w:noProof/>
            <w:webHidden/>
          </w:rPr>
          <w:t>27</w:t>
        </w:r>
        <w:r w:rsidR="004F20BB">
          <w:rPr>
            <w:noProof/>
            <w:webHidden/>
          </w:rPr>
          <w:fldChar w:fldCharType="end"/>
        </w:r>
      </w:hyperlink>
    </w:p>
    <w:p w14:paraId="027E614A" w14:textId="0450076B" w:rsidR="004F20BB" w:rsidRDefault="00F322E7">
      <w:pPr>
        <w:pStyle w:val="TOC3"/>
        <w:tabs>
          <w:tab w:val="right" w:leader="dot" w:pos="9350"/>
        </w:tabs>
        <w:rPr>
          <w:rFonts w:asciiTheme="minorHAnsi" w:eastAsiaTheme="minorEastAsia" w:hAnsiTheme="minorHAnsi" w:cstheme="minorBidi"/>
          <w:noProof/>
        </w:rPr>
      </w:pPr>
      <w:hyperlink w:anchor="_Toc47516667" w:history="1">
        <w:r w:rsidR="004F20BB" w:rsidRPr="00DB2EFF">
          <w:rPr>
            <w:rStyle w:val="Hyperlink"/>
            <w:noProof/>
          </w:rPr>
          <w:t>Viewing the VBECS Version Number</w:t>
        </w:r>
        <w:r w:rsidR="004F20BB">
          <w:rPr>
            <w:noProof/>
            <w:webHidden/>
          </w:rPr>
          <w:tab/>
        </w:r>
        <w:r w:rsidR="004F20BB">
          <w:rPr>
            <w:noProof/>
            <w:webHidden/>
          </w:rPr>
          <w:fldChar w:fldCharType="begin"/>
        </w:r>
        <w:r w:rsidR="004F20BB">
          <w:rPr>
            <w:noProof/>
            <w:webHidden/>
          </w:rPr>
          <w:instrText xml:space="preserve"> PAGEREF _Toc47516667 \h </w:instrText>
        </w:r>
        <w:r w:rsidR="004F20BB">
          <w:rPr>
            <w:noProof/>
            <w:webHidden/>
          </w:rPr>
        </w:r>
        <w:r w:rsidR="004F20BB">
          <w:rPr>
            <w:noProof/>
            <w:webHidden/>
          </w:rPr>
          <w:fldChar w:fldCharType="separate"/>
        </w:r>
        <w:r w:rsidR="004F20BB">
          <w:rPr>
            <w:noProof/>
            <w:webHidden/>
          </w:rPr>
          <w:t>27</w:t>
        </w:r>
        <w:r w:rsidR="004F20BB">
          <w:rPr>
            <w:noProof/>
            <w:webHidden/>
          </w:rPr>
          <w:fldChar w:fldCharType="end"/>
        </w:r>
      </w:hyperlink>
    </w:p>
    <w:p w14:paraId="45670DF4" w14:textId="189FE6B7" w:rsidR="004F20BB" w:rsidRDefault="00F322E7">
      <w:pPr>
        <w:pStyle w:val="TOC2"/>
        <w:tabs>
          <w:tab w:val="right" w:leader="dot" w:pos="9350"/>
        </w:tabs>
        <w:rPr>
          <w:rFonts w:asciiTheme="minorHAnsi" w:eastAsiaTheme="minorEastAsia" w:hAnsiTheme="minorHAnsi" w:cstheme="minorBidi"/>
          <w:smallCaps w:val="0"/>
          <w:noProof/>
        </w:rPr>
      </w:pPr>
      <w:hyperlink w:anchor="_Toc47516668" w:history="1">
        <w:r w:rsidR="004F20BB" w:rsidRPr="00DB2EFF">
          <w:rPr>
            <w:rStyle w:val="Hyperlink"/>
            <w:noProof/>
          </w:rPr>
          <w:t>VistA Records in VBECS</w:t>
        </w:r>
        <w:r w:rsidR="004F20BB">
          <w:rPr>
            <w:noProof/>
            <w:webHidden/>
          </w:rPr>
          <w:tab/>
        </w:r>
        <w:r w:rsidR="004F20BB">
          <w:rPr>
            <w:noProof/>
            <w:webHidden/>
          </w:rPr>
          <w:fldChar w:fldCharType="begin"/>
        </w:r>
        <w:r w:rsidR="004F20BB">
          <w:rPr>
            <w:noProof/>
            <w:webHidden/>
          </w:rPr>
          <w:instrText xml:space="preserve"> PAGEREF _Toc47516668 \h </w:instrText>
        </w:r>
        <w:r w:rsidR="004F20BB">
          <w:rPr>
            <w:noProof/>
            <w:webHidden/>
          </w:rPr>
        </w:r>
        <w:r w:rsidR="004F20BB">
          <w:rPr>
            <w:noProof/>
            <w:webHidden/>
          </w:rPr>
          <w:fldChar w:fldCharType="separate"/>
        </w:r>
        <w:r w:rsidR="004F20BB">
          <w:rPr>
            <w:noProof/>
            <w:webHidden/>
          </w:rPr>
          <w:t>30</w:t>
        </w:r>
        <w:r w:rsidR="004F20BB">
          <w:rPr>
            <w:noProof/>
            <w:webHidden/>
          </w:rPr>
          <w:fldChar w:fldCharType="end"/>
        </w:r>
      </w:hyperlink>
    </w:p>
    <w:p w14:paraId="1D8F1AB8" w14:textId="5306259E" w:rsidR="004F20BB" w:rsidRDefault="00F322E7">
      <w:pPr>
        <w:pStyle w:val="TOC2"/>
        <w:tabs>
          <w:tab w:val="right" w:leader="dot" w:pos="9350"/>
        </w:tabs>
        <w:rPr>
          <w:rFonts w:asciiTheme="minorHAnsi" w:eastAsiaTheme="minorEastAsia" w:hAnsiTheme="minorHAnsi" w:cstheme="minorBidi"/>
          <w:smallCaps w:val="0"/>
          <w:noProof/>
        </w:rPr>
      </w:pPr>
      <w:hyperlink w:anchor="_Toc47516669" w:history="1">
        <w:r w:rsidR="004F20BB" w:rsidRPr="00DB2EFF">
          <w:rPr>
            <w:rStyle w:val="Hyperlink"/>
            <w:noProof/>
          </w:rPr>
          <w:t>Accessing the System</w:t>
        </w:r>
        <w:r w:rsidR="004F20BB">
          <w:rPr>
            <w:noProof/>
            <w:webHidden/>
          </w:rPr>
          <w:tab/>
        </w:r>
        <w:r w:rsidR="004F20BB">
          <w:rPr>
            <w:noProof/>
            <w:webHidden/>
          </w:rPr>
          <w:fldChar w:fldCharType="begin"/>
        </w:r>
        <w:r w:rsidR="004F20BB">
          <w:rPr>
            <w:noProof/>
            <w:webHidden/>
          </w:rPr>
          <w:instrText xml:space="preserve"> PAGEREF _Toc47516669 \h </w:instrText>
        </w:r>
        <w:r w:rsidR="004F20BB">
          <w:rPr>
            <w:noProof/>
            <w:webHidden/>
          </w:rPr>
        </w:r>
        <w:r w:rsidR="004F20BB">
          <w:rPr>
            <w:noProof/>
            <w:webHidden/>
          </w:rPr>
          <w:fldChar w:fldCharType="separate"/>
        </w:r>
        <w:r w:rsidR="004F20BB">
          <w:rPr>
            <w:noProof/>
            <w:webHidden/>
          </w:rPr>
          <w:t>31</w:t>
        </w:r>
        <w:r w:rsidR="004F20BB">
          <w:rPr>
            <w:noProof/>
            <w:webHidden/>
          </w:rPr>
          <w:fldChar w:fldCharType="end"/>
        </w:r>
      </w:hyperlink>
    </w:p>
    <w:p w14:paraId="1600BD7E" w14:textId="5E53DDF9" w:rsidR="004F20BB" w:rsidRDefault="00F322E7">
      <w:pPr>
        <w:pStyle w:val="TOC3"/>
        <w:tabs>
          <w:tab w:val="right" w:leader="dot" w:pos="9350"/>
        </w:tabs>
        <w:rPr>
          <w:rFonts w:asciiTheme="minorHAnsi" w:eastAsiaTheme="minorEastAsia" w:hAnsiTheme="minorHAnsi" w:cstheme="minorBidi"/>
          <w:noProof/>
        </w:rPr>
      </w:pPr>
      <w:hyperlink w:anchor="_Toc47516670" w:history="1">
        <w:r w:rsidR="004F20BB" w:rsidRPr="00DB2EFF">
          <w:rPr>
            <w:rStyle w:val="Hyperlink"/>
            <w:noProof/>
          </w:rPr>
          <w:t>Log into VBECS and VistA</w:t>
        </w:r>
        <w:r w:rsidR="004F20BB">
          <w:rPr>
            <w:noProof/>
            <w:webHidden/>
          </w:rPr>
          <w:tab/>
        </w:r>
        <w:r w:rsidR="004F20BB">
          <w:rPr>
            <w:noProof/>
            <w:webHidden/>
          </w:rPr>
          <w:fldChar w:fldCharType="begin"/>
        </w:r>
        <w:r w:rsidR="004F20BB">
          <w:rPr>
            <w:noProof/>
            <w:webHidden/>
          </w:rPr>
          <w:instrText xml:space="preserve"> PAGEREF _Toc47516670 \h </w:instrText>
        </w:r>
        <w:r w:rsidR="004F20BB">
          <w:rPr>
            <w:noProof/>
            <w:webHidden/>
          </w:rPr>
        </w:r>
        <w:r w:rsidR="004F20BB">
          <w:rPr>
            <w:noProof/>
            <w:webHidden/>
          </w:rPr>
          <w:fldChar w:fldCharType="separate"/>
        </w:r>
        <w:r w:rsidR="004F20BB">
          <w:rPr>
            <w:noProof/>
            <w:webHidden/>
          </w:rPr>
          <w:t>31</w:t>
        </w:r>
        <w:r w:rsidR="004F20BB">
          <w:rPr>
            <w:noProof/>
            <w:webHidden/>
          </w:rPr>
          <w:fldChar w:fldCharType="end"/>
        </w:r>
      </w:hyperlink>
    </w:p>
    <w:p w14:paraId="35724A8A" w14:textId="51606933" w:rsidR="004F20BB" w:rsidRDefault="00F322E7">
      <w:pPr>
        <w:pStyle w:val="TOC3"/>
        <w:tabs>
          <w:tab w:val="right" w:leader="dot" w:pos="9350"/>
        </w:tabs>
        <w:rPr>
          <w:rFonts w:asciiTheme="minorHAnsi" w:eastAsiaTheme="minorEastAsia" w:hAnsiTheme="minorHAnsi" w:cstheme="minorBidi"/>
          <w:noProof/>
        </w:rPr>
      </w:pPr>
      <w:hyperlink w:anchor="_Toc47516671" w:history="1">
        <w:r w:rsidR="004F20BB" w:rsidRPr="00DB2EFF">
          <w:rPr>
            <w:rStyle w:val="Hyperlink"/>
            <w:noProof/>
          </w:rPr>
          <w:t>Exit VBECS</w:t>
        </w:r>
        <w:r w:rsidR="004F20BB">
          <w:rPr>
            <w:noProof/>
            <w:webHidden/>
          </w:rPr>
          <w:tab/>
        </w:r>
        <w:r w:rsidR="004F20BB">
          <w:rPr>
            <w:noProof/>
            <w:webHidden/>
          </w:rPr>
          <w:fldChar w:fldCharType="begin"/>
        </w:r>
        <w:r w:rsidR="004F20BB">
          <w:rPr>
            <w:noProof/>
            <w:webHidden/>
          </w:rPr>
          <w:instrText xml:space="preserve"> PAGEREF _Toc47516671 \h </w:instrText>
        </w:r>
        <w:r w:rsidR="004F20BB">
          <w:rPr>
            <w:noProof/>
            <w:webHidden/>
          </w:rPr>
        </w:r>
        <w:r w:rsidR="004F20BB">
          <w:rPr>
            <w:noProof/>
            <w:webHidden/>
          </w:rPr>
          <w:fldChar w:fldCharType="separate"/>
        </w:r>
        <w:r w:rsidR="004F20BB">
          <w:rPr>
            <w:noProof/>
            <w:webHidden/>
          </w:rPr>
          <w:t>37</w:t>
        </w:r>
        <w:r w:rsidR="004F20BB">
          <w:rPr>
            <w:noProof/>
            <w:webHidden/>
          </w:rPr>
          <w:fldChar w:fldCharType="end"/>
        </w:r>
      </w:hyperlink>
    </w:p>
    <w:p w14:paraId="7CA259B6" w14:textId="7B9A6FFD" w:rsidR="004F20BB" w:rsidRDefault="00F322E7">
      <w:pPr>
        <w:pStyle w:val="TOC3"/>
        <w:tabs>
          <w:tab w:val="right" w:leader="dot" w:pos="9350"/>
        </w:tabs>
        <w:rPr>
          <w:rFonts w:asciiTheme="minorHAnsi" w:eastAsiaTheme="minorEastAsia" w:hAnsiTheme="minorHAnsi" w:cstheme="minorBidi"/>
          <w:noProof/>
        </w:rPr>
      </w:pPr>
      <w:hyperlink w:anchor="_Toc47516672" w:history="1">
        <w:r w:rsidR="004F20BB" w:rsidRPr="00DB2EFF">
          <w:rPr>
            <w:rStyle w:val="Hyperlink"/>
            <w:noProof/>
          </w:rPr>
          <w:t>Screen Display</w:t>
        </w:r>
        <w:r w:rsidR="004F20BB">
          <w:rPr>
            <w:noProof/>
            <w:webHidden/>
          </w:rPr>
          <w:tab/>
        </w:r>
        <w:r w:rsidR="004F20BB">
          <w:rPr>
            <w:noProof/>
            <w:webHidden/>
          </w:rPr>
          <w:fldChar w:fldCharType="begin"/>
        </w:r>
        <w:r w:rsidR="004F20BB">
          <w:rPr>
            <w:noProof/>
            <w:webHidden/>
          </w:rPr>
          <w:instrText xml:space="preserve"> PAGEREF _Toc47516672 \h </w:instrText>
        </w:r>
        <w:r w:rsidR="004F20BB">
          <w:rPr>
            <w:noProof/>
            <w:webHidden/>
          </w:rPr>
        </w:r>
        <w:r w:rsidR="004F20BB">
          <w:rPr>
            <w:noProof/>
            <w:webHidden/>
          </w:rPr>
          <w:fldChar w:fldCharType="separate"/>
        </w:r>
        <w:r w:rsidR="004F20BB">
          <w:rPr>
            <w:noProof/>
            <w:webHidden/>
          </w:rPr>
          <w:t>40</w:t>
        </w:r>
        <w:r w:rsidR="004F20BB">
          <w:rPr>
            <w:noProof/>
            <w:webHidden/>
          </w:rPr>
          <w:fldChar w:fldCharType="end"/>
        </w:r>
      </w:hyperlink>
    </w:p>
    <w:p w14:paraId="7B588330" w14:textId="5E4063B2" w:rsidR="004F20BB" w:rsidRDefault="00F322E7">
      <w:pPr>
        <w:pStyle w:val="TOC3"/>
        <w:tabs>
          <w:tab w:val="right" w:leader="dot" w:pos="9350"/>
        </w:tabs>
        <w:rPr>
          <w:rFonts w:asciiTheme="minorHAnsi" w:eastAsiaTheme="minorEastAsia" w:hAnsiTheme="minorHAnsi" w:cstheme="minorBidi"/>
          <w:noProof/>
        </w:rPr>
      </w:pPr>
      <w:hyperlink w:anchor="_Toc47516673" w:history="1">
        <w:r w:rsidR="004F20BB" w:rsidRPr="00DB2EFF">
          <w:rPr>
            <w:rStyle w:val="Hyperlink"/>
            <w:noProof/>
          </w:rPr>
          <w:t>Sound</w:t>
        </w:r>
        <w:r w:rsidR="004F20BB">
          <w:rPr>
            <w:noProof/>
            <w:webHidden/>
          </w:rPr>
          <w:tab/>
        </w:r>
        <w:r w:rsidR="004F20BB">
          <w:rPr>
            <w:noProof/>
            <w:webHidden/>
          </w:rPr>
          <w:fldChar w:fldCharType="begin"/>
        </w:r>
        <w:r w:rsidR="004F20BB">
          <w:rPr>
            <w:noProof/>
            <w:webHidden/>
          </w:rPr>
          <w:instrText xml:space="preserve"> PAGEREF _Toc47516673 \h </w:instrText>
        </w:r>
        <w:r w:rsidR="004F20BB">
          <w:rPr>
            <w:noProof/>
            <w:webHidden/>
          </w:rPr>
        </w:r>
        <w:r w:rsidR="004F20BB">
          <w:rPr>
            <w:noProof/>
            <w:webHidden/>
          </w:rPr>
          <w:fldChar w:fldCharType="separate"/>
        </w:r>
        <w:r w:rsidR="004F20BB">
          <w:rPr>
            <w:noProof/>
            <w:webHidden/>
          </w:rPr>
          <w:t>41</w:t>
        </w:r>
        <w:r w:rsidR="004F20BB">
          <w:rPr>
            <w:noProof/>
            <w:webHidden/>
          </w:rPr>
          <w:fldChar w:fldCharType="end"/>
        </w:r>
      </w:hyperlink>
    </w:p>
    <w:p w14:paraId="0DADD42F" w14:textId="382A2CAB" w:rsidR="004F20BB" w:rsidRDefault="00F322E7">
      <w:pPr>
        <w:pStyle w:val="TOC3"/>
        <w:tabs>
          <w:tab w:val="right" w:leader="dot" w:pos="9350"/>
        </w:tabs>
        <w:rPr>
          <w:rFonts w:asciiTheme="minorHAnsi" w:eastAsiaTheme="minorEastAsia" w:hAnsiTheme="minorHAnsi" w:cstheme="minorBidi"/>
          <w:noProof/>
        </w:rPr>
      </w:pPr>
      <w:hyperlink w:anchor="_Toc47516674" w:history="1">
        <w:r w:rsidR="004F20BB" w:rsidRPr="00DB2EFF">
          <w:rPr>
            <w:rStyle w:val="Hyperlink"/>
            <w:noProof/>
          </w:rPr>
          <w:t>Volume</w:t>
        </w:r>
        <w:r w:rsidR="004F20BB">
          <w:rPr>
            <w:noProof/>
            <w:webHidden/>
          </w:rPr>
          <w:tab/>
        </w:r>
        <w:r w:rsidR="004F20BB">
          <w:rPr>
            <w:noProof/>
            <w:webHidden/>
          </w:rPr>
          <w:fldChar w:fldCharType="begin"/>
        </w:r>
        <w:r w:rsidR="004F20BB">
          <w:rPr>
            <w:noProof/>
            <w:webHidden/>
          </w:rPr>
          <w:instrText xml:space="preserve"> PAGEREF _Toc47516674 \h </w:instrText>
        </w:r>
        <w:r w:rsidR="004F20BB">
          <w:rPr>
            <w:noProof/>
            <w:webHidden/>
          </w:rPr>
        </w:r>
        <w:r w:rsidR="004F20BB">
          <w:rPr>
            <w:noProof/>
            <w:webHidden/>
          </w:rPr>
          <w:fldChar w:fldCharType="separate"/>
        </w:r>
        <w:r w:rsidR="004F20BB">
          <w:rPr>
            <w:noProof/>
            <w:webHidden/>
          </w:rPr>
          <w:t>47</w:t>
        </w:r>
        <w:r w:rsidR="004F20BB">
          <w:rPr>
            <w:noProof/>
            <w:webHidden/>
          </w:rPr>
          <w:fldChar w:fldCharType="end"/>
        </w:r>
      </w:hyperlink>
    </w:p>
    <w:p w14:paraId="60B1B968" w14:textId="51759E44" w:rsidR="004F20BB" w:rsidRDefault="00F322E7">
      <w:pPr>
        <w:pStyle w:val="TOC3"/>
        <w:tabs>
          <w:tab w:val="right" w:leader="dot" w:pos="9350"/>
        </w:tabs>
        <w:rPr>
          <w:rFonts w:asciiTheme="minorHAnsi" w:eastAsiaTheme="minorEastAsia" w:hAnsiTheme="minorHAnsi" w:cstheme="minorBidi"/>
          <w:noProof/>
        </w:rPr>
      </w:pPr>
      <w:hyperlink w:anchor="_Toc47516675" w:history="1">
        <w:r w:rsidR="004F20BB" w:rsidRPr="00DB2EFF">
          <w:rPr>
            <w:rStyle w:val="Hyperlink"/>
            <w:noProof/>
          </w:rPr>
          <w:t>Keyboard Shortcuts for Windows</w:t>
        </w:r>
        <w:r w:rsidR="004F20BB">
          <w:rPr>
            <w:noProof/>
            <w:webHidden/>
          </w:rPr>
          <w:tab/>
        </w:r>
        <w:r w:rsidR="004F20BB">
          <w:rPr>
            <w:noProof/>
            <w:webHidden/>
          </w:rPr>
          <w:fldChar w:fldCharType="begin"/>
        </w:r>
        <w:r w:rsidR="004F20BB">
          <w:rPr>
            <w:noProof/>
            <w:webHidden/>
          </w:rPr>
          <w:instrText xml:space="preserve"> PAGEREF _Toc47516675 \h </w:instrText>
        </w:r>
        <w:r w:rsidR="004F20BB">
          <w:rPr>
            <w:noProof/>
            <w:webHidden/>
          </w:rPr>
        </w:r>
        <w:r w:rsidR="004F20BB">
          <w:rPr>
            <w:noProof/>
            <w:webHidden/>
          </w:rPr>
          <w:fldChar w:fldCharType="separate"/>
        </w:r>
        <w:r w:rsidR="004F20BB">
          <w:rPr>
            <w:noProof/>
            <w:webHidden/>
          </w:rPr>
          <w:t>48</w:t>
        </w:r>
        <w:r w:rsidR="004F20BB">
          <w:rPr>
            <w:noProof/>
            <w:webHidden/>
          </w:rPr>
          <w:fldChar w:fldCharType="end"/>
        </w:r>
      </w:hyperlink>
    </w:p>
    <w:p w14:paraId="1D22BCAD" w14:textId="5CFE0083" w:rsidR="004F20BB" w:rsidRDefault="00F322E7">
      <w:pPr>
        <w:pStyle w:val="TOC3"/>
        <w:tabs>
          <w:tab w:val="right" w:leader="dot" w:pos="9350"/>
        </w:tabs>
        <w:rPr>
          <w:rFonts w:asciiTheme="minorHAnsi" w:eastAsiaTheme="minorEastAsia" w:hAnsiTheme="minorHAnsi" w:cstheme="minorBidi"/>
          <w:noProof/>
        </w:rPr>
      </w:pPr>
      <w:hyperlink w:anchor="_Toc47516676" w:history="1">
        <w:r w:rsidR="004F20BB" w:rsidRPr="00DB2EFF">
          <w:rPr>
            <w:rStyle w:val="Hyperlink"/>
            <w:noProof/>
          </w:rPr>
          <w:t>Drop-Down Menus</w:t>
        </w:r>
        <w:r w:rsidR="004F20BB">
          <w:rPr>
            <w:noProof/>
            <w:webHidden/>
          </w:rPr>
          <w:tab/>
        </w:r>
        <w:r w:rsidR="004F20BB">
          <w:rPr>
            <w:noProof/>
            <w:webHidden/>
          </w:rPr>
          <w:fldChar w:fldCharType="begin"/>
        </w:r>
        <w:r w:rsidR="004F20BB">
          <w:rPr>
            <w:noProof/>
            <w:webHidden/>
          </w:rPr>
          <w:instrText xml:space="preserve"> PAGEREF _Toc47516676 \h </w:instrText>
        </w:r>
        <w:r w:rsidR="004F20BB">
          <w:rPr>
            <w:noProof/>
            <w:webHidden/>
          </w:rPr>
        </w:r>
        <w:r w:rsidR="004F20BB">
          <w:rPr>
            <w:noProof/>
            <w:webHidden/>
          </w:rPr>
          <w:fldChar w:fldCharType="separate"/>
        </w:r>
        <w:r w:rsidR="004F20BB">
          <w:rPr>
            <w:noProof/>
            <w:webHidden/>
          </w:rPr>
          <w:t>49</w:t>
        </w:r>
        <w:r w:rsidR="004F20BB">
          <w:rPr>
            <w:noProof/>
            <w:webHidden/>
          </w:rPr>
          <w:fldChar w:fldCharType="end"/>
        </w:r>
      </w:hyperlink>
    </w:p>
    <w:p w14:paraId="58ACEFEB" w14:textId="729DED4A" w:rsidR="004F20BB" w:rsidRDefault="00F322E7">
      <w:pPr>
        <w:pStyle w:val="TOC3"/>
        <w:tabs>
          <w:tab w:val="right" w:leader="dot" w:pos="9350"/>
        </w:tabs>
        <w:rPr>
          <w:rFonts w:asciiTheme="minorHAnsi" w:eastAsiaTheme="minorEastAsia" w:hAnsiTheme="minorHAnsi" w:cstheme="minorBidi"/>
          <w:noProof/>
        </w:rPr>
      </w:pPr>
      <w:hyperlink w:anchor="_Toc47516677" w:history="1">
        <w:r w:rsidR="004F20BB" w:rsidRPr="00DB2EFF">
          <w:rPr>
            <w:rStyle w:val="Hyperlink"/>
            <w:noProof/>
          </w:rPr>
          <w:t>Tool Tips</w:t>
        </w:r>
        <w:r w:rsidR="004F20BB">
          <w:rPr>
            <w:noProof/>
            <w:webHidden/>
          </w:rPr>
          <w:tab/>
        </w:r>
        <w:r w:rsidR="004F20BB">
          <w:rPr>
            <w:noProof/>
            <w:webHidden/>
          </w:rPr>
          <w:fldChar w:fldCharType="begin"/>
        </w:r>
        <w:r w:rsidR="004F20BB">
          <w:rPr>
            <w:noProof/>
            <w:webHidden/>
          </w:rPr>
          <w:instrText xml:space="preserve"> PAGEREF _Toc47516677 \h </w:instrText>
        </w:r>
        <w:r w:rsidR="004F20BB">
          <w:rPr>
            <w:noProof/>
            <w:webHidden/>
          </w:rPr>
        </w:r>
        <w:r w:rsidR="004F20BB">
          <w:rPr>
            <w:noProof/>
            <w:webHidden/>
          </w:rPr>
          <w:fldChar w:fldCharType="separate"/>
        </w:r>
        <w:r w:rsidR="004F20BB">
          <w:rPr>
            <w:noProof/>
            <w:webHidden/>
          </w:rPr>
          <w:t>49</w:t>
        </w:r>
        <w:r w:rsidR="004F20BB">
          <w:rPr>
            <w:noProof/>
            <w:webHidden/>
          </w:rPr>
          <w:fldChar w:fldCharType="end"/>
        </w:r>
      </w:hyperlink>
    </w:p>
    <w:p w14:paraId="7D7CF79D" w14:textId="6894BFA6" w:rsidR="004F20BB" w:rsidRDefault="00F322E7">
      <w:pPr>
        <w:pStyle w:val="TOC3"/>
        <w:tabs>
          <w:tab w:val="right" w:leader="dot" w:pos="9350"/>
        </w:tabs>
        <w:rPr>
          <w:rFonts w:asciiTheme="minorHAnsi" w:eastAsiaTheme="minorEastAsia" w:hAnsiTheme="minorHAnsi" w:cstheme="minorBidi"/>
          <w:noProof/>
        </w:rPr>
      </w:pPr>
      <w:hyperlink w:anchor="_Toc47516678" w:history="1">
        <w:r w:rsidR="004F20BB" w:rsidRPr="00DB2EFF">
          <w:rPr>
            <w:rStyle w:val="Hyperlink"/>
            <w:noProof/>
          </w:rPr>
          <w:t>Icons and Buttons</w:t>
        </w:r>
        <w:r w:rsidR="004F20BB">
          <w:rPr>
            <w:noProof/>
            <w:webHidden/>
          </w:rPr>
          <w:tab/>
        </w:r>
        <w:r w:rsidR="004F20BB">
          <w:rPr>
            <w:noProof/>
            <w:webHidden/>
          </w:rPr>
          <w:fldChar w:fldCharType="begin"/>
        </w:r>
        <w:r w:rsidR="004F20BB">
          <w:rPr>
            <w:noProof/>
            <w:webHidden/>
          </w:rPr>
          <w:instrText xml:space="preserve"> PAGEREF _Toc47516678 \h </w:instrText>
        </w:r>
        <w:r w:rsidR="004F20BB">
          <w:rPr>
            <w:noProof/>
            <w:webHidden/>
          </w:rPr>
        </w:r>
        <w:r w:rsidR="004F20BB">
          <w:rPr>
            <w:noProof/>
            <w:webHidden/>
          </w:rPr>
          <w:fldChar w:fldCharType="separate"/>
        </w:r>
        <w:r w:rsidR="004F20BB">
          <w:rPr>
            <w:noProof/>
            <w:webHidden/>
          </w:rPr>
          <w:t>49</w:t>
        </w:r>
        <w:r w:rsidR="004F20BB">
          <w:rPr>
            <w:noProof/>
            <w:webHidden/>
          </w:rPr>
          <w:fldChar w:fldCharType="end"/>
        </w:r>
      </w:hyperlink>
    </w:p>
    <w:p w14:paraId="3E343BCB" w14:textId="7D6DE1DE" w:rsidR="004F20BB" w:rsidRDefault="00F322E7">
      <w:pPr>
        <w:pStyle w:val="TOC3"/>
        <w:tabs>
          <w:tab w:val="right" w:leader="dot" w:pos="9350"/>
        </w:tabs>
        <w:rPr>
          <w:rFonts w:asciiTheme="minorHAnsi" w:eastAsiaTheme="minorEastAsia" w:hAnsiTheme="minorHAnsi" w:cstheme="minorBidi"/>
          <w:noProof/>
        </w:rPr>
      </w:pPr>
      <w:hyperlink w:anchor="_Toc47516679" w:history="1">
        <w:r w:rsidR="004F20BB" w:rsidRPr="00DB2EFF">
          <w:rPr>
            <w:rStyle w:val="Hyperlink"/>
            <w:noProof/>
          </w:rPr>
          <w:t>Toolbars</w:t>
        </w:r>
        <w:r w:rsidR="004F20BB">
          <w:rPr>
            <w:noProof/>
            <w:webHidden/>
          </w:rPr>
          <w:tab/>
        </w:r>
        <w:r w:rsidR="004F20BB">
          <w:rPr>
            <w:noProof/>
            <w:webHidden/>
          </w:rPr>
          <w:fldChar w:fldCharType="begin"/>
        </w:r>
        <w:r w:rsidR="004F20BB">
          <w:rPr>
            <w:noProof/>
            <w:webHidden/>
          </w:rPr>
          <w:instrText xml:space="preserve"> PAGEREF _Toc47516679 \h </w:instrText>
        </w:r>
        <w:r w:rsidR="004F20BB">
          <w:rPr>
            <w:noProof/>
            <w:webHidden/>
          </w:rPr>
        </w:r>
        <w:r w:rsidR="004F20BB">
          <w:rPr>
            <w:noProof/>
            <w:webHidden/>
          </w:rPr>
          <w:fldChar w:fldCharType="separate"/>
        </w:r>
        <w:r w:rsidR="004F20BB">
          <w:rPr>
            <w:noProof/>
            <w:webHidden/>
          </w:rPr>
          <w:t>49</w:t>
        </w:r>
        <w:r w:rsidR="004F20BB">
          <w:rPr>
            <w:noProof/>
            <w:webHidden/>
          </w:rPr>
          <w:fldChar w:fldCharType="end"/>
        </w:r>
      </w:hyperlink>
    </w:p>
    <w:p w14:paraId="74E6BB07" w14:textId="4CD948EF" w:rsidR="004F20BB" w:rsidRDefault="00F322E7">
      <w:pPr>
        <w:pStyle w:val="TOC2"/>
        <w:tabs>
          <w:tab w:val="right" w:leader="dot" w:pos="9350"/>
        </w:tabs>
        <w:rPr>
          <w:rFonts w:asciiTheme="minorHAnsi" w:eastAsiaTheme="minorEastAsia" w:hAnsiTheme="minorHAnsi" w:cstheme="minorBidi"/>
          <w:smallCaps w:val="0"/>
          <w:noProof/>
        </w:rPr>
      </w:pPr>
      <w:hyperlink w:anchor="_Toc47516680" w:history="1">
        <w:r w:rsidR="004F20BB" w:rsidRPr="00DB2EFF">
          <w:rPr>
            <w:rStyle w:val="Hyperlink"/>
            <w:noProof/>
          </w:rPr>
          <w:t>Patient Information Toolbar</w:t>
        </w:r>
        <w:r w:rsidR="004F20BB">
          <w:rPr>
            <w:noProof/>
            <w:webHidden/>
          </w:rPr>
          <w:tab/>
        </w:r>
        <w:r w:rsidR="004F20BB">
          <w:rPr>
            <w:noProof/>
            <w:webHidden/>
          </w:rPr>
          <w:fldChar w:fldCharType="begin"/>
        </w:r>
        <w:r w:rsidR="004F20BB">
          <w:rPr>
            <w:noProof/>
            <w:webHidden/>
          </w:rPr>
          <w:instrText xml:space="preserve"> PAGEREF _Toc47516680 \h </w:instrText>
        </w:r>
        <w:r w:rsidR="004F20BB">
          <w:rPr>
            <w:noProof/>
            <w:webHidden/>
          </w:rPr>
        </w:r>
        <w:r w:rsidR="004F20BB">
          <w:rPr>
            <w:noProof/>
            <w:webHidden/>
          </w:rPr>
          <w:fldChar w:fldCharType="separate"/>
        </w:r>
        <w:r w:rsidR="004F20BB">
          <w:rPr>
            <w:noProof/>
            <w:webHidden/>
          </w:rPr>
          <w:t>50</w:t>
        </w:r>
        <w:r w:rsidR="004F20BB">
          <w:rPr>
            <w:noProof/>
            <w:webHidden/>
          </w:rPr>
          <w:fldChar w:fldCharType="end"/>
        </w:r>
      </w:hyperlink>
    </w:p>
    <w:p w14:paraId="52A1E50B" w14:textId="30B28CD9" w:rsidR="004F20BB" w:rsidRDefault="00F322E7">
      <w:pPr>
        <w:pStyle w:val="TOC3"/>
        <w:tabs>
          <w:tab w:val="right" w:leader="dot" w:pos="9350"/>
        </w:tabs>
        <w:rPr>
          <w:rFonts w:asciiTheme="minorHAnsi" w:eastAsiaTheme="minorEastAsia" w:hAnsiTheme="minorHAnsi" w:cstheme="minorBidi"/>
          <w:noProof/>
        </w:rPr>
      </w:pPr>
      <w:hyperlink w:anchor="_Toc47516681" w:history="1">
        <w:r w:rsidR="004F20BB" w:rsidRPr="00DB2EFF">
          <w:rPr>
            <w:rStyle w:val="Hyperlink"/>
            <w:noProof/>
          </w:rPr>
          <w:t>Patient Blood Availability</w:t>
        </w:r>
        <w:r w:rsidR="004F20BB">
          <w:rPr>
            <w:noProof/>
            <w:webHidden/>
          </w:rPr>
          <w:tab/>
        </w:r>
        <w:r w:rsidR="004F20BB">
          <w:rPr>
            <w:noProof/>
            <w:webHidden/>
          </w:rPr>
          <w:fldChar w:fldCharType="begin"/>
        </w:r>
        <w:r w:rsidR="004F20BB">
          <w:rPr>
            <w:noProof/>
            <w:webHidden/>
          </w:rPr>
          <w:instrText xml:space="preserve"> PAGEREF _Toc47516681 \h </w:instrText>
        </w:r>
        <w:r w:rsidR="004F20BB">
          <w:rPr>
            <w:noProof/>
            <w:webHidden/>
          </w:rPr>
        </w:r>
        <w:r w:rsidR="004F20BB">
          <w:rPr>
            <w:noProof/>
            <w:webHidden/>
          </w:rPr>
          <w:fldChar w:fldCharType="separate"/>
        </w:r>
        <w:r w:rsidR="004F20BB">
          <w:rPr>
            <w:noProof/>
            <w:webHidden/>
          </w:rPr>
          <w:t>51</w:t>
        </w:r>
        <w:r w:rsidR="004F20BB">
          <w:rPr>
            <w:noProof/>
            <w:webHidden/>
          </w:rPr>
          <w:fldChar w:fldCharType="end"/>
        </w:r>
      </w:hyperlink>
    </w:p>
    <w:p w14:paraId="27DCA73F" w14:textId="0EA79880" w:rsidR="004F20BB" w:rsidRDefault="00F322E7">
      <w:pPr>
        <w:pStyle w:val="TOC3"/>
        <w:tabs>
          <w:tab w:val="right" w:leader="dot" w:pos="9350"/>
        </w:tabs>
        <w:rPr>
          <w:rFonts w:asciiTheme="minorHAnsi" w:eastAsiaTheme="minorEastAsia" w:hAnsiTheme="minorHAnsi" w:cstheme="minorBidi"/>
          <w:noProof/>
        </w:rPr>
      </w:pPr>
      <w:hyperlink w:anchor="_Toc47516682" w:history="1">
        <w:r w:rsidR="004F20BB" w:rsidRPr="00DB2EFF">
          <w:rPr>
            <w:rStyle w:val="Hyperlink"/>
            <w:noProof/>
          </w:rPr>
          <w:drawing>
            <wp:inline distT="0" distB="0" distL="0" distR="0" wp14:anchorId="74656D00" wp14:editId="72137E00">
              <wp:extent cx="156845" cy="193675"/>
              <wp:effectExtent l="0" t="0" r="0" b="0"/>
              <wp:docPr id="1163" name="Picture 1163" descr="small_patient_med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mall_patient_medica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sidR="004F20BB" w:rsidRPr="00DB2EFF">
          <w:rPr>
            <w:rStyle w:val="Hyperlink"/>
            <w:noProof/>
          </w:rPr>
          <w:t xml:space="preserve"> Medication Profile</w:t>
        </w:r>
        <w:r w:rsidR="004F20BB">
          <w:rPr>
            <w:noProof/>
            <w:webHidden/>
          </w:rPr>
          <w:tab/>
        </w:r>
        <w:r w:rsidR="004F20BB">
          <w:rPr>
            <w:noProof/>
            <w:webHidden/>
          </w:rPr>
          <w:fldChar w:fldCharType="begin"/>
        </w:r>
        <w:r w:rsidR="004F20BB">
          <w:rPr>
            <w:noProof/>
            <w:webHidden/>
          </w:rPr>
          <w:instrText xml:space="preserve"> PAGEREF _Toc47516682 \h </w:instrText>
        </w:r>
        <w:r w:rsidR="004F20BB">
          <w:rPr>
            <w:noProof/>
            <w:webHidden/>
          </w:rPr>
        </w:r>
        <w:r w:rsidR="004F20BB">
          <w:rPr>
            <w:noProof/>
            <w:webHidden/>
          </w:rPr>
          <w:fldChar w:fldCharType="separate"/>
        </w:r>
        <w:r w:rsidR="004F20BB">
          <w:rPr>
            <w:noProof/>
            <w:webHidden/>
          </w:rPr>
          <w:t>52</w:t>
        </w:r>
        <w:r w:rsidR="004F20BB">
          <w:rPr>
            <w:noProof/>
            <w:webHidden/>
          </w:rPr>
          <w:fldChar w:fldCharType="end"/>
        </w:r>
      </w:hyperlink>
    </w:p>
    <w:p w14:paraId="5708E3F7" w14:textId="4370C08F" w:rsidR="004F20BB" w:rsidRDefault="00F322E7">
      <w:pPr>
        <w:pStyle w:val="TOC3"/>
        <w:tabs>
          <w:tab w:val="right" w:leader="dot" w:pos="9350"/>
        </w:tabs>
        <w:rPr>
          <w:rFonts w:asciiTheme="minorHAnsi" w:eastAsiaTheme="minorEastAsia" w:hAnsiTheme="minorHAnsi" w:cstheme="minorBidi"/>
          <w:noProof/>
        </w:rPr>
      </w:pPr>
      <w:hyperlink w:anchor="_Toc47516683" w:history="1">
        <w:r w:rsidR="004F20BB" w:rsidRPr="00DB2EFF">
          <w:rPr>
            <w:rStyle w:val="Hyperlink"/>
            <w:noProof/>
          </w:rPr>
          <w:drawing>
            <wp:inline distT="0" distB="0" distL="0" distR="0" wp14:anchorId="70D5C081" wp14:editId="53471477">
              <wp:extent cx="156845" cy="156845"/>
              <wp:effectExtent l="0" t="0" r="0" b="0"/>
              <wp:docPr id="1164" name="Picture 1164"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4F20BB" w:rsidRPr="00DB2EFF">
          <w:rPr>
            <w:rStyle w:val="Hyperlink"/>
            <w:noProof/>
          </w:rPr>
          <w:t xml:space="preserve"> View Special Instructions and Transfusion Requirements</w:t>
        </w:r>
        <w:r w:rsidR="004F20BB">
          <w:rPr>
            <w:noProof/>
            <w:webHidden/>
          </w:rPr>
          <w:tab/>
        </w:r>
        <w:r w:rsidR="004F20BB">
          <w:rPr>
            <w:noProof/>
            <w:webHidden/>
          </w:rPr>
          <w:fldChar w:fldCharType="begin"/>
        </w:r>
        <w:r w:rsidR="004F20BB">
          <w:rPr>
            <w:noProof/>
            <w:webHidden/>
          </w:rPr>
          <w:instrText xml:space="preserve"> PAGEREF _Toc47516683 \h </w:instrText>
        </w:r>
        <w:r w:rsidR="004F20BB">
          <w:rPr>
            <w:noProof/>
            <w:webHidden/>
          </w:rPr>
        </w:r>
        <w:r w:rsidR="004F20BB">
          <w:rPr>
            <w:noProof/>
            <w:webHidden/>
          </w:rPr>
          <w:fldChar w:fldCharType="separate"/>
        </w:r>
        <w:r w:rsidR="004F20BB">
          <w:rPr>
            <w:noProof/>
            <w:webHidden/>
          </w:rPr>
          <w:t>53</w:t>
        </w:r>
        <w:r w:rsidR="004F20BB">
          <w:rPr>
            <w:noProof/>
            <w:webHidden/>
          </w:rPr>
          <w:fldChar w:fldCharType="end"/>
        </w:r>
      </w:hyperlink>
    </w:p>
    <w:p w14:paraId="0B1E70E5" w14:textId="287766C4" w:rsidR="004F20BB" w:rsidRDefault="00F322E7">
      <w:pPr>
        <w:pStyle w:val="TOC3"/>
        <w:tabs>
          <w:tab w:val="right" w:leader="dot" w:pos="9350"/>
        </w:tabs>
        <w:rPr>
          <w:rFonts w:asciiTheme="minorHAnsi" w:eastAsiaTheme="minorEastAsia" w:hAnsiTheme="minorHAnsi" w:cstheme="minorBidi"/>
          <w:noProof/>
        </w:rPr>
      </w:pPr>
      <w:hyperlink w:anchor="_Toc47516684" w:history="1">
        <w:r w:rsidR="004F20BB" w:rsidRPr="00DB2EFF">
          <w:rPr>
            <w:rStyle w:val="Hyperlink"/>
            <w:noProof/>
          </w:rPr>
          <w:t>View Recent Orders, Recent Transfusions/Issued Units, and Transfusion Reaction History</w:t>
        </w:r>
        <w:r w:rsidR="004F20BB">
          <w:rPr>
            <w:noProof/>
            <w:webHidden/>
          </w:rPr>
          <w:tab/>
        </w:r>
        <w:r w:rsidR="004F20BB">
          <w:rPr>
            <w:noProof/>
            <w:webHidden/>
          </w:rPr>
          <w:fldChar w:fldCharType="begin"/>
        </w:r>
        <w:r w:rsidR="004F20BB">
          <w:rPr>
            <w:noProof/>
            <w:webHidden/>
          </w:rPr>
          <w:instrText xml:space="preserve"> PAGEREF _Toc47516684 \h </w:instrText>
        </w:r>
        <w:r w:rsidR="004F20BB">
          <w:rPr>
            <w:noProof/>
            <w:webHidden/>
          </w:rPr>
        </w:r>
        <w:r w:rsidR="004F20BB">
          <w:rPr>
            <w:noProof/>
            <w:webHidden/>
          </w:rPr>
          <w:fldChar w:fldCharType="separate"/>
        </w:r>
        <w:r w:rsidR="004F20BB">
          <w:rPr>
            <w:noProof/>
            <w:webHidden/>
          </w:rPr>
          <w:t>55</w:t>
        </w:r>
        <w:r w:rsidR="004F20BB">
          <w:rPr>
            <w:noProof/>
            <w:webHidden/>
          </w:rPr>
          <w:fldChar w:fldCharType="end"/>
        </w:r>
      </w:hyperlink>
    </w:p>
    <w:p w14:paraId="29DDC5D4" w14:textId="6FFC2BDD" w:rsidR="004F20BB" w:rsidRDefault="00F322E7">
      <w:pPr>
        <w:pStyle w:val="TOC3"/>
        <w:tabs>
          <w:tab w:val="right" w:leader="dot" w:pos="9350"/>
        </w:tabs>
        <w:rPr>
          <w:rFonts w:asciiTheme="minorHAnsi" w:eastAsiaTheme="minorEastAsia" w:hAnsiTheme="minorHAnsi" w:cstheme="minorBidi"/>
          <w:noProof/>
        </w:rPr>
      </w:pPr>
      <w:hyperlink w:anchor="_Toc47516685" w:history="1">
        <w:r w:rsidR="004F20BB" w:rsidRPr="00DB2EFF">
          <w:rPr>
            <w:rStyle w:val="Hyperlink"/>
            <w:noProof/>
          </w:rPr>
          <w:drawing>
            <wp:inline distT="0" distB="0" distL="0" distR="0" wp14:anchorId="68E8FFF4" wp14:editId="4DB034F7">
              <wp:extent cx="156845" cy="156845"/>
              <wp:effectExtent l="0" t="0" r="0" b="0"/>
              <wp:docPr id="1165" name="Picture 1165" descr="small_recent_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mall_recent_ord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4F20BB" w:rsidRPr="00DB2EFF">
          <w:rPr>
            <w:rStyle w:val="Hyperlink"/>
            <w:noProof/>
          </w:rPr>
          <w:t xml:space="preserve"> Patient Information Toolbar: Recent Orders</w:t>
        </w:r>
        <w:r w:rsidR="004F20BB">
          <w:rPr>
            <w:noProof/>
            <w:webHidden/>
          </w:rPr>
          <w:tab/>
        </w:r>
        <w:r w:rsidR="004F20BB">
          <w:rPr>
            <w:noProof/>
            <w:webHidden/>
          </w:rPr>
          <w:fldChar w:fldCharType="begin"/>
        </w:r>
        <w:r w:rsidR="004F20BB">
          <w:rPr>
            <w:noProof/>
            <w:webHidden/>
          </w:rPr>
          <w:instrText xml:space="preserve"> PAGEREF _Toc47516685 \h </w:instrText>
        </w:r>
        <w:r w:rsidR="004F20BB">
          <w:rPr>
            <w:noProof/>
            <w:webHidden/>
          </w:rPr>
        </w:r>
        <w:r w:rsidR="004F20BB">
          <w:rPr>
            <w:noProof/>
            <w:webHidden/>
          </w:rPr>
          <w:fldChar w:fldCharType="separate"/>
        </w:r>
        <w:r w:rsidR="004F20BB">
          <w:rPr>
            <w:noProof/>
            <w:webHidden/>
          </w:rPr>
          <w:t>55</w:t>
        </w:r>
        <w:r w:rsidR="004F20BB">
          <w:rPr>
            <w:noProof/>
            <w:webHidden/>
          </w:rPr>
          <w:fldChar w:fldCharType="end"/>
        </w:r>
      </w:hyperlink>
    </w:p>
    <w:p w14:paraId="3BFB182E" w14:textId="5C756BAD" w:rsidR="004F20BB" w:rsidRDefault="00F322E7">
      <w:pPr>
        <w:pStyle w:val="TOC3"/>
        <w:tabs>
          <w:tab w:val="right" w:leader="dot" w:pos="9350"/>
        </w:tabs>
        <w:rPr>
          <w:rFonts w:asciiTheme="minorHAnsi" w:eastAsiaTheme="minorEastAsia" w:hAnsiTheme="minorHAnsi" w:cstheme="minorBidi"/>
          <w:noProof/>
        </w:rPr>
      </w:pPr>
      <w:hyperlink w:anchor="_Toc47516686" w:history="1">
        <w:r w:rsidR="004F20BB" w:rsidRPr="00DB2EFF">
          <w:rPr>
            <w:rStyle w:val="Hyperlink"/>
            <w:noProof/>
          </w:rPr>
          <w:drawing>
            <wp:inline distT="0" distB="0" distL="0" distR="0" wp14:anchorId="7BECD533" wp14:editId="47BBEDD4">
              <wp:extent cx="156845" cy="156845"/>
              <wp:effectExtent l="0" t="0" r="0" b="0"/>
              <wp:docPr id="1166" name="Picture 1166" descr="small_transfusion_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mall_transfusion_histo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4F20BB" w:rsidRPr="00DB2EFF">
          <w:rPr>
            <w:rStyle w:val="Hyperlink"/>
            <w:noProof/>
          </w:rPr>
          <w:t xml:space="preserve"> Patient Information Toolbar: Recent Transfusions/Issued Units</w:t>
        </w:r>
        <w:r w:rsidR="004F20BB">
          <w:rPr>
            <w:noProof/>
            <w:webHidden/>
          </w:rPr>
          <w:tab/>
        </w:r>
        <w:r w:rsidR="004F20BB">
          <w:rPr>
            <w:noProof/>
            <w:webHidden/>
          </w:rPr>
          <w:fldChar w:fldCharType="begin"/>
        </w:r>
        <w:r w:rsidR="004F20BB">
          <w:rPr>
            <w:noProof/>
            <w:webHidden/>
          </w:rPr>
          <w:instrText xml:space="preserve"> PAGEREF _Toc47516686 \h </w:instrText>
        </w:r>
        <w:r w:rsidR="004F20BB">
          <w:rPr>
            <w:noProof/>
            <w:webHidden/>
          </w:rPr>
        </w:r>
        <w:r w:rsidR="004F20BB">
          <w:rPr>
            <w:noProof/>
            <w:webHidden/>
          </w:rPr>
          <w:fldChar w:fldCharType="separate"/>
        </w:r>
        <w:r w:rsidR="004F20BB">
          <w:rPr>
            <w:noProof/>
            <w:webHidden/>
          </w:rPr>
          <w:t>57</w:t>
        </w:r>
        <w:r w:rsidR="004F20BB">
          <w:rPr>
            <w:noProof/>
            <w:webHidden/>
          </w:rPr>
          <w:fldChar w:fldCharType="end"/>
        </w:r>
      </w:hyperlink>
    </w:p>
    <w:p w14:paraId="2ADB5F19" w14:textId="09146C1B" w:rsidR="004F20BB" w:rsidRDefault="00F322E7">
      <w:pPr>
        <w:pStyle w:val="TOC3"/>
        <w:tabs>
          <w:tab w:val="right" w:leader="dot" w:pos="9350"/>
        </w:tabs>
        <w:rPr>
          <w:rFonts w:asciiTheme="minorHAnsi" w:eastAsiaTheme="minorEastAsia" w:hAnsiTheme="minorHAnsi" w:cstheme="minorBidi"/>
          <w:noProof/>
        </w:rPr>
      </w:pPr>
      <w:hyperlink w:anchor="_Toc47516687" w:history="1">
        <w:r w:rsidR="004F20BB" w:rsidRPr="00DB2EFF">
          <w:rPr>
            <w:rStyle w:val="Hyperlink"/>
            <w:noProof/>
          </w:rPr>
          <w:drawing>
            <wp:inline distT="0" distB="0" distL="0" distR="0" wp14:anchorId="0F9FB1DD" wp14:editId="7C772893">
              <wp:extent cx="156845" cy="156845"/>
              <wp:effectExtent l="0" t="0" r="0" b="0"/>
              <wp:docPr id="1167" name="Picture 1167" descr="small_transfusion_re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small_transfusion_reac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4F20BB" w:rsidRPr="00DB2EFF">
          <w:rPr>
            <w:rStyle w:val="Hyperlink"/>
            <w:noProof/>
          </w:rPr>
          <w:t xml:space="preserve"> Patient Information Toolbar: Transfusion Reaction History</w:t>
        </w:r>
        <w:r w:rsidR="004F20BB">
          <w:rPr>
            <w:noProof/>
            <w:webHidden/>
          </w:rPr>
          <w:tab/>
        </w:r>
        <w:r w:rsidR="004F20BB">
          <w:rPr>
            <w:noProof/>
            <w:webHidden/>
          </w:rPr>
          <w:fldChar w:fldCharType="begin"/>
        </w:r>
        <w:r w:rsidR="004F20BB">
          <w:rPr>
            <w:noProof/>
            <w:webHidden/>
          </w:rPr>
          <w:instrText xml:space="preserve"> PAGEREF _Toc47516687 \h </w:instrText>
        </w:r>
        <w:r w:rsidR="004F20BB">
          <w:rPr>
            <w:noProof/>
            <w:webHidden/>
          </w:rPr>
        </w:r>
        <w:r w:rsidR="004F20BB">
          <w:rPr>
            <w:noProof/>
            <w:webHidden/>
          </w:rPr>
          <w:fldChar w:fldCharType="separate"/>
        </w:r>
        <w:r w:rsidR="004F20BB">
          <w:rPr>
            <w:noProof/>
            <w:webHidden/>
          </w:rPr>
          <w:t>57</w:t>
        </w:r>
        <w:r w:rsidR="004F20BB">
          <w:rPr>
            <w:noProof/>
            <w:webHidden/>
          </w:rPr>
          <w:fldChar w:fldCharType="end"/>
        </w:r>
      </w:hyperlink>
    </w:p>
    <w:p w14:paraId="3CDC1960" w14:textId="42F55767" w:rsidR="004F20BB" w:rsidRDefault="00F322E7">
      <w:pPr>
        <w:pStyle w:val="TOC2"/>
        <w:tabs>
          <w:tab w:val="right" w:leader="dot" w:pos="9350"/>
        </w:tabs>
        <w:rPr>
          <w:rFonts w:asciiTheme="minorHAnsi" w:eastAsiaTheme="minorEastAsia" w:hAnsiTheme="minorHAnsi" w:cstheme="minorBidi"/>
          <w:smallCaps w:val="0"/>
          <w:noProof/>
        </w:rPr>
      </w:pPr>
      <w:hyperlink w:anchor="_Toc47516688" w:history="1">
        <w:r w:rsidR="004F20BB" w:rsidRPr="00DB2EFF">
          <w:rPr>
            <w:rStyle w:val="Hyperlink"/>
            <w:noProof/>
          </w:rPr>
          <w:t>Other VBECS Functions</w:t>
        </w:r>
        <w:r w:rsidR="004F20BB">
          <w:rPr>
            <w:noProof/>
            <w:webHidden/>
          </w:rPr>
          <w:tab/>
        </w:r>
        <w:r w:rsidR="004F20BB">
          <w:rPr>
            <w:noProof/>
            <w:webHidden/>
          </w:rPr>
          <w:fldChar w:fldCharType="begin"/>
        </w:r>
        <w:r w:rsidR="004F20BB">
          <w:rPr>
            <w:noProof/>
            <w:webHidden/>
          </w:rPr>
          <w:instrText xml:space="preserve"> PAGEREF _Toc47516688 \h </w:instrText>
        </w:r>
        <w:r w:rsidR="004F20BB">
          <w:rPr>
            <w:noProof/>
            <w:webHidden/>
          </w:rPr>
        </w:r>
        <w:r w:rsidR="004F20BB">
          <w:rPr>
            <w:noProof/>
            <w:webHidden/>
          </w:rPr>
          <w:fldChar w:fldCharType="separate"/>
        </w:r>
        <w:r w:rsidR="004F20BB">
          <w:rPr>
            <w:noProof/>
            <w:webHidden/>
          </w:rPr>
          <w:t>59</w:t>
        </w:r>
        <w:r w:rsidR="004F20BB">
          <w:rPr>
            <w:noProof/>
            <w:webHidden/>
          </w:rPr>
          <w:fldChar w:fldCharType="end"/>
        </w:r>
      </w:hyperlink>
    </w:p>
    <w:p w14:paraId="62C642CD" w14:textId="63E73995" w:rsidR="004F20BB" w:rsidRDefault="00F322E7">
      <w:pPr>
        <w:pStyle w:val="TOC3"/>
        <w:tabs>
          <w:tab w:val="right" w:leader="dot" w:pos="9350"/>
        </w:tabs>
        <w:rPr>
          <w:rFonts w:asciiTheme="minorHAnsi" w:eastAsiaTheme="minorEastAsia" w:hAnsiTheme="minorHAnsi" w:cstheme="minorBidi"/>
          <w:noProof/>
        </w:rPr>
      </w:pPr>
      <w:hyperlink w:anchor="_Toc47516689" w:history="1">
        <w:r w:rsidR="004F20BB" w:rsidRPr="00DB2EFF">
          <w:rPr>
            <w:rStyle w:val="Hyperlink"/>
            <w:noProof/>
          </w:rPr>
          <w:t>Collecting Workload</w:t>
        </w:r>
        <w:r w:rsidR="004F20BB">
          <w:rPr>
            <w:noProof/>
            <w:webHidden/>
          </w:rPr>
          <w:tab/>
        </w:r>
        <w:r w:rsidR="004F20BB">
          <w:rPr>
            <w:noProof/>
            <w:webHidden/>
          </w:rPr>
          <w:fldChar w:fldCharType="begin"/>
        </w:r>
        <w:r w:rsidR="004F20BB">
          <w:rPr>
            <w:noProof/>
            <w:webHidden/>
          </w:rPr>
          <w:instrText xml:space="preserve"> PAGEREF _Toc47516689 \h </w:instrText>
        </w:r>
        <w:r w:rsidR="004F20BB">
          <w:rPr>
            <w:noProof/>
            <w:webHidden/>
          </w:rPr>
        </w:r>
        <w:r w:rsidR="004F20BB">
          <w:rPr>
            <w:noProof/>
            <w:webHidden/>
          </w:rPr>
          <w:fldChar w:fldCharType="separate"/>
        </w:r>
        <w:r w:rsidR="004F20BB">
          <w:rPr>
            <w:noProof/>
            <w:webHidden/>
          </w:rPr>
          <w:t>59</w:t>
        </w:r>
        <w:r w:rsidR="004F20BB">
          <w:rPr>
            <w:noProof/>
            <w:webHidden/>
          </w:rPr>
          <w:fldChar w:fldCharType="end"/>
        </w:r>
      </w:hyperlink>
    </w:p>
    <w:p w14:paraId="6AFDA4E3" w14:textId="0A4B8412" w:rsidR="004F20BB" w:rsidRDefault="00F322E7">
      <w:pPr>
        <w:pStyle w:val="TOC1"/>
        <w:tabs>
          <w:tab w:val="right" w:leader="dot" w:pos="9350"/>
        </w:tabs>
        <w:rPr>
          <w:rFonts w:asciiTheme="minorHAnsi" w:eastAsiaTheme="minorEastAsia" w:hAnsiTheme="minorHAnsi" w:cstheme="minorBidi"/>
          <w:b w:val="0"/>
          <w:caps w:val="0"/>
          <w:noProof/>
        </w:rPr>
      </w:pPr>
      <w:hyperlink w:anchor="_Toc47516690" w:history="1">
        <w:r w:rsidR="004F20BB" w:rsidRPr="00DB2EFF">
          <w:rPr>
            <w:rStyle w:val="Hyperlink"/>
            <w:noProof/>
          </w:rPr>
          <w:t>Configuring Site Parameters</w:t>
        </w:r>
        <w:r w:rsidR="004F20BB">
          <w:rPr>
            <w:noProof/>
            <w:webHidden/>
          </w:rPr>
          <w:tab/>
        </w:r>
        <w:r w:rsidR="004F20BB">
          <w:rPr>
            <w:noProof/>
            <w:webHidden/>
          </w:rPr>
          <w:fldChar w:fldCharType="begin"/>
        </w:r>
        <w:r w:rsidR="004F20BB">
          <w:rPr>
            <w:noProof/>
            <w:webHidden/>
          </w:rPr>
          <w:instrText xml:space="preserve"> PAGEREF _Toc47516690 \h </w:instrText>
        </w:r>
        <w:r w:rsidR="004F20BB">
          <w:rPr>
            <w:noProof/>
            <w:webHidden/>
          </w:rPr>
        </w:r>
        <w:r w:rsidR="004F20BB">
          <w:rPr>
            <w:noProof/>
            <w:webHidden/>
          </w:rPr>
          <w:fldChar w:fldCharType="separate"/>
        </w:r>
        <w:r w:rsidR="004F20BB">
          <w:rPr>
            <w:noProof/>
            <w:webHidden/>
          </w:rPr>
          <w:t>61</w:t>
        </w:r>
        <w:r w:rsidR="004F20BB">
          <w:rPr>
            <w:noProof/>
            <w:webHidden/>
          </w:rPr>
          <w:fldChar w:fldCharType="end"/>
        </w:r>
      </w:hyperlink>
    </w:p>
    <w:p w14:paraId="1FAB8051" w14:textId="4C0C474F" w:rsidR="004F20BB" w:rsidRDefault="00F322E7">
      <w:pPr>
        <w:pStyle w:val="TOC2"/>
        <w:tabs>
          <w:tab w:val="right" w:leader="dot" w:pos="9350"/>
        </w:tabs>
        <w:rPr>
          <w:rFonts w:asciiTheme="minorHAnsi" w:eastAsiaTheme="minorEastAsia" w:hAnsiTheme="minorHAnsi" w:cstheme="minorBidi"/>
          <w:smallCaps w:val="0"/>
          <w:noProof/>
        </w:rPr>
      </w:pPr>
      <w:hyperlink w:anchor="_Toc47516691" w:history="1">
        <w:r w:rsidR="004F20BB" w:rsidRPr="00DB2EFF">
          <w:rPr>
            <w:rStyle w:val="Hyperlink"/>
            <w:noProof/>
          </w:rPr>
          <w:t>Update User Roles</w:t>
        </w:r>
        <w:r w:rsidR="004F20BB">
          <w:rPr>
            <w:noProof/>
            <w:webHidden/>
          </w:rPr>
          <w:tab/>
        </w:r>
        <w:r w:rsidR="004F20BB">
          <w:rPr>
            <w:noProof/>
            <w:webHidden/>
          </w:rPr>
          <w:fldChar w:fldCharType="begin"/>
        </w:r>
        <w:r w:rsidR="004F20BB">
          <w:rPr>
            <w:noProof/>
            <w:webHidden/>
          </w:rPr>
          <w:instrText xml:space="preserve"> PAGEREF _Toc47516691 \h </w:instrText>
        </w:r>
        <w:r w:rsidR="004F20BB">
          <w:rPr>
            <w:noProof/>
            <w:webHidden/>
          </w:rPr>
        </w:r>
        <w:r w:rsidR="004F20BB">
          <w:rPr>
            <w:noProof/>
            <w:webHidden/>
          </w:rPr>
          <w:fldChar w:fldCharType="separate"/>
        </w:r>
        <w:r w:rsidR="004F20BB">
          <w:rPr>
            <w:noProof/>
            <w:webHidden/>
          </w:rPr>
          <w:t>61</w:t>
        </w:r>
        <w:r w:rsidR="004F20BB">
          <w:rPr>
            <w:noProof/>
            <w:webHidden/>
          </w:rPr>
          <w:fldChar w:fldCharType="end"/>
        </w:r>
      </w:hyperlink>
    </w:p>
    <w:p w14:paraId="116673FA" w14:textId="7823C9C6" w:rsidR="004F20BB" w:rsidRDefault="00F322E7">
      <w:pPr>
        <w:pStyle w:val="TOC2"/>
        <w:tabs>
          <w:tab w:val="right" w:leader="dot" w:pos="9350"/>
        </w:tabs>
        <w:rPr>
          <w:rFonts w:asciiTheme="minorHAnsi" w:eastAsiaTheme="minorEastAsia" w:hAnsiTheme="minorHAnsi" w:cstheme="minorBidi"/>
          <w:smallCaps w:val="0"/>
          <w:noProof/>
        </w:rPr>
      </w:pPr>
      <w:hyperlink w:anchor="_Toc47516692" w:history="1">
        <w:r w:rsidR="004F20BB" w:rsidRPr="00DB2EFF">
          <w:rPr>
            <w:rStyle w:val="Hyperlink"/>
            <w:noProof/>
          </w:rPr>
          <w:t>Component Classes</w:t>
        </w:r>
        <w:r w:rsidR="004F20BB">
          <w:rPr>
            <w:noProof/>
            <w:webHidden/>
          </w:rPr>
          <w:tab/>
        </w:r>
        <w:r w:rsidR="004F20BB">
          <w:rPr>
            <w:noProof/>
            <w:webHidden/>
          </w:rPr>
          <w:fldChar w:fldCharType="begin"/>
        </w:r>
        <w:r w:rsidR="004F20BB">
          <w:rPr>
            <w:noProof/>
            <w:webHidden/>
          </w:rPr>
          <w:instrText xml:space="preserve"> PAGEREF _Toc47516692 \h </w:instrText>
        </w:r>
        <w:r w:rsidR="004F20BB">
          <w:rPr>
            <w:noProof/>
            <w:webHidden/>
          </w:rPr>
        </w:r>
        <w:r w:rsidR="004F20BB">
          <w:rPr>
            <w:noProof/>
            <w:webHidden/>
          </w:rPr>
          <w:fldChar w:fldCharType="separate"/>
        </w:r>
        <w:r w:rsidR="004F20BB">
          <w:rPr>
            <w:noProof/>
            <w:webHidden/>
          </w:rPr>
          <w:t>64</w:t>
        </w:r>
        <w:r w:rsidR="004F20BB">
          <w:rPr>
            <w:noProof/>
            <w:webHidden/>
          </w:rPr>
          <w:fldChar w:fldCharType="end"/>
        </w:r>
      </w:hyperlink>
    </w:p>
    <w:p w14:paraId="227BFB6A" w14:textId="4E729C23" w:rsidR="004F20BB" w:rsidRDefault="00F322E7">
      <w:pPr>
        <w:pStyle w:val="TOC2"/>
        <w:tabs>
          <w:tab w:val="right" w:leader="dot" w:pos="9350"/>
        </w:tabs>
        <w:rPr>
          <w:rFonts w:asciiTheme="minorHAnsi" w:eastAsiaTheme="minorEastAsia" w:hAnsiTheme="minorHAnsi" w:cstheme="minorBidi"/>
          <w:smallCaps w:val="0"/>
          <w:noProof/>
        </w:rPr>
      </w:pPr>
      <w:hyperlink w:anchor="_Toc47516693" w:history="1">
        <w:r w:rsidR="004F20BB" w:rsidRPr="00DB2EFF">
          <w:rPr>
            <w:rStyle w:val="Hyperlink"/>
            <w:noProof/>
          </w:rPr>
          <w:t>Configure Daily QC</w:t>
        </w:r>
        <w:r w:rsidR="004F20BB">
          <w:rPr>
            <w:noProof/>
            <w:webHidden/>
          </w:rPr>
          <w:tab/>
        </w:r>
        <w:r w:rsidR="004F20BB">
          <w:rPr>
            <w:noProof/>
            <w:webHidden/>
          </w:rPr>
          <w:fldChar w:fldCharType="begin"/>
        </w:r>
        <w:r w:rsidR="004F20BB">
          <w:rPr>
            <w:noProof/>
            <w:webHidden/>
          </w:rPr>
          <w:instrText xml:space="preserve"> PAGEREF _Toc47516693 \h </w:instrText>
        </w:r>
        <w:r w:rsidR="004F20BB">
          <w:rPr>
            <w:noProof/>
            <w:webHidden/>
          </w:rPr>
        </w:r>
        <w:r w:rsidR="004F20BB">
          <w:rPr>
            <w:noProof/>
            <w:webHidden/>
          </w:rPr>
          <w:fldChar w:fldCharType="separate"/>
        </w:r>
        <w:r w:rsidR="004F20BB">
          <w:rPr>
            <w:noProof/>
            <w:webHidden/>
          </w:rPr>
          <w:t>67</w:t>
        </w:r>
        <w:r w:rsidR="004F20BB">
          <w:rPr>
            <w:noProof/>
            <w:webHidden/>
          </w:rPr>
          <w:fldChar w:fldCharType="end"/>
        </w:r>
      </w:hyperlink>
    </w:p>
    <w:p w14:paraId="0968D0D3" w14:textId="5344020B" w:rsidR="004F20BB" w:rsidRDefault="00F322E7">
      <w:pPr>
        <w:pStyle w:val="TOC2"/>
        <w:tabs>
          <w:tab w:val="right" w:leader="dot" w:pos="9350"/>
        </w:tabs>
        <w:rPr>
          <w:rFonts w:asciiTheme="minorHAnsi" w:eastAsiaTheme="minorEastAsia" w:hAnsiTheme="minorHAnsi" w:cstheme="minorBidi"/>
          <w:smallCaps w:val="0"/>
          <w:noProof/>
        </w:rPr>
      </w:pPr>
      <w:hyperlink w:anchor="_Toc47516694" w:history="1">
        <w:r w:rsidR="004F20BB" w:rsidRPr="00DB2EFF">
          <w:rPr>
            <w:rStyle w:val="Hyperlink"/>
            <w:noProof/>
          </w:rPr>
          <w:t>Configure Division</w:t>
        </w:r>
        <w:r w:rsidR="004F20BB">
          <w:rPr>
            <w:noProof/>
            <w:webHidden/>
          </w:rPr>
          <w:tab/>
        </w:r>
        <w:r w:rsidR="004F20BB">
          <w:rPr>
            <w:noProof/>
            <w:webHidden/>
          </w:rPr>
          <w:fldChar w:fldCharType="begin"/>
        </w:r>
        <w:r w:rsidR="004F20BB">
          <w:rPr>
            <w:noProof/>
            <w:webHidden/>
          </w:rPr>
          <w:instrText xml:space="preserve"> PAGEREF _Toc47516694 \h </w:instrText>
        </w:r>
        <w:r w:rsidR="004F20BB">
          <w:rPr>
            <w:noProof/>
            <w:webHidden/>
          </w:rPr>
        </w:r>
        <w:r w:rsidR="004F20BB">
          <w:rPr>
            <w:noProof/>
            <w:webHidden/>
          </w:rPr>
          <w:fldChar w:fldCharType="separate"/>
        </w:r>
        <w:r w:rsidR="004F20BB">
          <w:rPr>
            <w:noProof/>
            <w:webHidden/>
          </w:rPr>
          <w:t>70</w:t>
        </w:r>
        <w:r w:rsidR="004F20BB">
          <w:rPr>
            <w:noProof/>
            <w:webHidden/>
          </w:rPr>
          <w:fldChar w:fldCharType="end"/>
        </w:r>
      </w:hyperlink>
    </w:p>
    <w:p w14:paraId="151FF4CA" w14:textId="301126AC" w:rsidR="004F20BB" w:rsidRDefault="00F322E7">
      <w:pPr>
        <w:pStyle w:val="TOC3"/>
        <w:tabs>
          <w:tab w:val="right" w:leader="dot" w:pos="9350"/>
        </w:tabs>
        <w:rPr>
          <w:rFonts w:asciiTheme="minorHAnsi" w:eastAsiaTheme="minorEastAsia" w:hAnsiTheme="minorHAnsi" w:cstheme="minorBidi"/>
          <w:noProof/>
        </w:rPr>
      </w:pPr>
      <w:hyperlink w:anchor="_Toc47516695" w:history="1">
        <w:r w:rsidR="004F20BB" w:rsidRPr="00DB2EFF">
          <w:rPr>
            <w:rStyle w:val="Hyperlink"/>
            <w:noProof/>
          </w:rPr>
          <w:t>Configure Division</w:t>
        </w:r>
        <w:r w:rsidR="004F20BB">
          <w:rPr>
            <w:noProof/>
            <w:webHidden/>
          </w:rPr>
          <w:tab/>
        </w:r>
        <w:r w:rsidR="004F20BB">
          <w:rPr>
            <w:noProof/>
            <w:webHidden/>
          </w:rPr>
          <w:fldChar w:fldCharType="begin"/>
        </w:r>
        <w:r w:rsidR="004F20BB">
          <w:rPr>
            <w:noProof/>
            <w:webHidden/>
          </w:rPr>
          <w:instrText xml:space="preserve"> PAGEREF _Toc47516695 \h </w:instrText>
        </w:r>
        <w:r w:rsidR="004F20BB">
          <w:rPr>
            <w:noProof/>
            <w:webHidden/>
          </w:rPr>
        </w:r>
        <w:r w:rsidR="004F20BB">
          <w:rPr>
            <w:noProof/>
            <w:webHidden/>
          </w:rPr>
          <w:fldChar w:fldCharType="separate"/>
        </w:r>
        <w:r w:rsidR="004F20BB">
          <w:rPr>
            <w:noProof/>
            <w:webHidden/>
          </w:rPr>
          <w:t>70</w:t>
        </w:r>
        <w:r w:rsidR="004F20BB">
          <w:rPr>
            <w:noProof/>
            <w:webHidden/>
          </w:rPr>
          <w:fldChar w:fldCharType="end"/>
        </w:r>
      </w:hyperlink>
    </w:p>
    <w:p w14:paraId="05FE9D76" w14:textId="4B0BD5B9" w:rsidR="004F20BB" w:rsidRDefault="00F322E7">
      <w:pPr>
        <w:pStyle w:val="TOC3"/>
        <w:tabs>
          <w:tab w:val="right" w:leader="dot" w:pos="9350"/>
        </w:tabs>
        <w:rPr>
          <w:rFonts w:asciiTheme="minorHAnsi" w:eastAsiaTheme="minorEastAsia" w:hAnsiTheme="minorHAnsi" w:cstheme="minorBidi"/>
          <w:noProof/>
        </w:rPr>
      </w:pPr>
      <w:hyperlink w:anchor="_Toc47516696" w:history="1">
        <w:r w:rsidR="004F20BB" w:rsidRPr="00DB2EFF">
          <w:rPr>
            <w:rStyle w:val="Hyperlink"/>
            <w:noProof/>
          </w:rPr>
          <w:t>Configure Testing</w:t>
        </w:r>
        <w:r w:rsidR="004F20BB">
          <w:rPr>
            <w:noProof/>
            <w:webHidden/>
          </w:rPr>
          <w:tab/>
        </w:r>
        <w:r w:rsidR="004F20BB">
          <w:rPr>
            <w:noProof/>
            <w:webHidden/>
          </w:rPr>
          <w:fldChar w:fldCharType="begin"/>
        </w:r>
        <w:r w:rsidR="004F20BB">
          <w:rPr>
            <w:noProof/>
            <w:webHidden/>
          </w:rPr>
          <w:instrText xml:space="preserve"> PAGEREF _Toc47516696 \h </w:instrText>
        </w:r>
        <w:r w:rsidR="004F20BB">
          <w:rPr>
            <w:noProof/>
            <w:webHidden/>
          </w:rPr>
        </w:r>
        <w:r w:rsidR="004F20BB">
          <w:rPr>
            <w:noProof/>
            <w:webHidden/>
          </w:rPr>
          <w:fldChar w:fldCharType="separate"/>
        </w:r>
        <w:r w:rsidR="004F20BB">
          <w:rPr>
            <w:noProof/>
            <w:webHidden/>
          </w:rPr>
          <w:t>72</w:t>
        </w:r>
        <w:r w:rsidR="004F20BB">
          <w:rPr>
            <w:noProof/>
            <w:webHidden/>
          </w:rPr>
          <w:fldChar w:fldCharType="end"/>
        </w:r>
      </w:hyperlink>
    </w:p>
    <w:p w14:paraId="13EB7490" w14:textId="33C79B09" w:rsidR="004F20BB" w:rsidRDefault="00F322E7">
      <w:pPr>
        <w:pStyle w:val="TOC3"/>
        <w:tabs>
          <w:tab w:val="right" w:leader="dot" w:pos="9350"/>
        </w:tabs>
        <w:rPr>
          <w:rFonts w:asciiTheme="minorHAnsi" w:eastAsiaTheme="minorEastAsia" w:hAnsiTheme="minorHAnsi" w:cstheme="minorBidi"/>
          <w:noProof/>
        </w:rPr>
      </w:pPr>
      <w:hyperlink w:anchor="_Toc47516697" w:history="1">
        <w:r w:rsidR="004F20BB" w:rsidRPr="00DB2EFF">
          <w:rPr>
            <w:rStyle w:val="Hyperlink"/>
            <w:noProof/>
          </w:rPr>
          <w:t>Product Modifications</w:t>
        </w:r>
        <w:r w:rsidR="004F20BB">
          <w:rPr>
            <w:noProof/>
            <w:webHidden/>
          </w:rPr>
          <w:tab/>
        </w:r>
        <w:r w:rsidR="004F20BB">
          <w:rPr>
            <w:noProof/>
            <w:webHidden/>
          </w:rPr>
          <w:fldChar w:fldCharType="begin"/>
        </w:r>
        <w:r w:rsidR="004F20BB">
          <w:rPr>
            <w:noProof/>
            <w:webHidden/>
          </w:rPr>
          <w:instrText xml:space="preserve"> PAGEREF _Toc47516697 \h </w:instrText>
        </w:r>
        <w:r w:rsidR="004F20BB">
          <w:rPr>
            <w:noProof/>
            <w:webHidden/>
          </w:rPr>
        </w:r>
        <w:r w:rsidR="004F20BB">
          <w:rPr>
            <w:noProof/>
            <w:webHidden/>
          </w:rPr>
          <w:fldChar w:fldCharType="separate"/>
        </w:r>
        <w:r w:rsidR="004F20BB">
          <w:rPr>
            <w:noProof/>
            <w:webHidden/>
          </w:rPr>
          <w:t>74</w:t>
        </w:r>
        <w:r w:rsidR="004F20BB">
          <w:rPr>
            <w:noProof/>
            <w:webHidden/>
          </w:rPr>
          <w:fldChar w:fldCharType="end"/>
        </w:r>
      </w:hyperlink>
    </w:p>
    <w:p w14:paraId="4AE370BC" w14:textId="20BF403B" w:rsidR="004F20BB" w:rsidRDefault="00F322E7">
      <w:pPr>
        <w:pStyle w:val="TOC3"/>
        <w:tabs>
          <w:tab w:val="right" w:leader="dot" w:pos="9350"/>
        </w:tabs>
        <w:rPr>
          <w:rFonts w:asciiTheme="minorHAnsi" w:eastAsiaTheme="minorEastAsia" w:hAnsiTheme="minorHAnsi" w:cstheme="minorBidi"/>
          <w:noProof/>
        </w:rPr>
      </w:pPr>
      <w:hyperlink w:anchor="_Toc47516698" w:history="1">
        <w:r w:rsidR="004F20BB" w:rsidRPr="00DB2EFF">
          <w:rPr>
            <w:rStyle w:val="Hyperlink"/>
            <w:noProof/>
          </w:rPr>
          <w:t>Order Alerts</w:t>
        </w:r>
        <w:r w:rsidR="004F20BB">
          <w:rPr>
            <w:noProof/>
            <w:webHidden/>
          </w:rPr>
          <w:tab/>
        </w:r>
        <w:r w:rsidR="004F20BB">
          <w:rPr>
            <w:noProof/>
            <w:webHidden/>
          </w:rPr>
          <w:fldChar w:fldCharType="begin"/>
        </w:r>
        <w:r w:rsidR="004F20BB">
          <w:rPr>
            <w:noProof/>
            <w:webHidden/>
          </w:rPr>
          <w:instrText xml:space="preserve"> PAGEREF _Toc47516698 \h </w:instrText>
        </w:r>
        <w:r w:rsidR="004F20BB">
          <w:rPr>
            <w:noProof/>
            <w:webHidden/>
          </w:rPr>
        </w:r>
        <w:r w:rsidR="004F20BB">
          <w:rPr>
            <w:noProof/>
            <w:webHidden/>
          </w:rPr>
          <w:fldChar w:fldCharType="separate"/>
        </w:r>
        <w:r w:rsidR="004F20BB">
          <w:rPr>
            <w:noProof/>
            <w:webHidden/>
          </w:rPr>
          <w:t>76</w:t>
        </w:r>
        <w:r w:rsidR="004F20BB">
          <w:rPr>
            <w:noProof/>
            <w:webHidden/>
          </w:rPr>
          <w:fldChar w:fldCharType="end"/>
        </w:r>
      </w:hyperlink>
    </w:p>
    <w:p w14:paraId="1268AD86" w14:textId="74008C60" w:rsidR="004F20BB" w:rsidRDefault="00F322E7">
      <w:pPr>
        <w:pStyle w:val="TOC3"/>
        <w:tabs>
          <w:tab w:val="right" w:leader="dot" w:pos="9350"/>
        </w:tabs>
        <w:rPr>
          <w:rFonts w:asciiTheme="minorHAnsi" w:eastAsiaTheme="minorEastAsia" w:hAnsiTheme="minorHAnsi" w:cstheme="minorBidi"/>
          <w:noProof/>
        </w:rPr>
      </w:pPr>
      <w:hyperlink w:anchor="_Toc47516699" w:history="1">
        <w:r w:rsidR="004F20BB" w:rsidRPr="00DB2EFF">
          <w:rPr>
            <w:rStyle w:val="Hyperlink"/>
            <w:noProof/>
          </w:rPr>
          <w:t>Login Message</w:t>
        </w:r>
        <w:r w:rsidR="004F20BB">
          <w:rPr>
            <w:noProof/>
            <w:webHidden/>
          </w:rPr>
          <w:tab/>
        </w:r>
        <w:r w:rsidR="004F20BB">
          <w:rPr>
            <w:noProof/>
            <w:webHidden/>
          </w:rPr>
          <w:fldChar w:fldCharType="begin"/>
        </w:r>
        <w:r w:rsidR="004F20BB">
          <w:rPr>
            <w:noProof/>
            <w:webHidden/>
          </w:rPr>
          <w:instrText xml:space="preserve"> PAGEREF _Toc47516699 \h </w:instrText>
        </w:r>
        <w:r w:rsidR="004F20BB">
          <w:rPr>
            <w:noProof/>
            <w:webHidden/>
          </w:rPr>
        </w:r>
        <w:r w:rsidR="004F20BB">
          <w:rPr>
            <w:noProof/>
            <w:webHidden/>
          </w:rPr>
          <w:fldChar w:fldCharType="separate"/>
        </w:r>
        <w:r w:rsidR="004F20BB">
          <w:rPr>
            <w:noProof/>
            <w:webHidden/>
          </w:rPr>
          <w:t>78</w:t>
        </w:r>
        <w:r w:rsidR="004F20BB">
          <w:rPr>
            <w:noProof/>
            <w:webHidden/>
          </w:rPr>
          <w:fldChar w:fldCharType="end"/>
        </w:r>
      </w:hyperlink>
    </w:p>
    <w:p w14:paraId="54D59D42" w14:textId="47D94BAF" w:rsidR="004F20BB" w:rsidRDefault="00F322E7">
      <w:pPr>
        <w:pStyle w:val="TOC2"/>
        <w:tabs>
          <w:tab w:val="right" w:leader="dot" w:pos="9350"/>
        </w:tabs>
        <w:rPr>
          <w:rFonts w:asciiTheme="minorHAnsi" w:eastAsiaTheme="minorEastAsia" w:hAnsiTheme="minorHAnsi" w:cstheme="minorBidi"/>
          <w:smallCaps w:val="0"/>
          <w:noProof/>
        </w:rPr>
      </w:pPr>
      <w:hyperlink w:anchor="_Toc47516700" w:history="1">
        <w:r w:rsidR="004F20BB" w:rsidRPr="00DB2EFF">
          <w:rPr>
            <w:rStyle w:val="Hyperlink"/>
            <w:noProof/>
          </w:rPr>
          <w:t>Local Facilities</w:t>
        </w:r>
        <w:r w:rsidR="004F20BB">
          <w:rPr>
            <w:noProof/>
            <w:webHidden/>
          </w:rPr>
          <w:tab/>
        </w:r>
        <w:r w:rsidR="004F20BB">
          <w:rPr>
            <w:noProof/>
            <w:webHidden/>
          </w:rPr>
          <w:fldChar w:fldCharType="begin"/>
        </w:r>
        <w:r w:rsidR="004F20BB">
          <w:rPr>
            <w:noProof/>
            <w:webHidden/>
          </w:rPr>
          <w:instrText xml:space="preserve"> PAGEREF _Toc47516700 \h </w:instrText>
        </w:r>
        <w:r w:rsidR="004F20BB">
          <w:rPr>
            <w:noProof/>
            <w:webHidden/>
          </w:rPr>
        </w:r>
        <w:r w:rsidR="004F20BB">
          <w:rPr>
            <w:noProof/>
            <w:webHidden/>
          </w:rPr>
          <w:fldChar w:fldCharType="separate"/>
        </w:r>
        <w:r w:rsidR="004F20BB">
          <w:rPr>
            <w:noProof/>
            <w:webHidden/>
          </w:rPr>
          <w:t>80</w:t>
        </w:r>
        <w:r w:rsidR="004F20BB">
          <w:rPr>
            <w:noProof/>
            <w:webHidden/>
          </w:rPr>
          <w:fldChar w:fldCharType="end"/>
        </w:r>
      </w:hyperlink>
    </w:p>
    <w:p w14:paraId="21FED3EE" w14:textId="3307BE85" w:rsidR="004F20BB" w:rsidRDefault="00F322E7">
      <w:pPr>
        <w:pStyle w:val="TOC3"/>
        <w:tabs>
          <w:tab w:val="right" w:leader="dot" w:pos="9350"/>
        </w:tabs>
        <w:rPr>
          <w:rFonts w:asciiTheme="minorHAnsi" w:eastAsiaTheme="minorEastAsia" w:hAnsiTheme="minorHAnsi" w:cstheme="minorBidi"/>
          <w:noProof/>
        </w:rPr>
      </w:pPr>
      <w:hyperlink w:anchor="_Toc47516701" w:history="1">
        <w:r w:rsidR="004F20BB" w:rsidRPr="00DB2EFF">
          <w:rPr>
            <w:rStyle w:val="Hyperlink"/>
            <w:noProof/>
          </w:rPr>
          <w:t>Blood Products</w:t>
        </w:r>
        <w:r w:rsidR="004F20BB">
          <w:rPr>
            <w:noProof/>
            <w:webHidden/>
          </w:rPr>
          <w:tab/>
        </w:r>
        <w:r w:rsidR="004F20BB">
          <w:rPr>
            <w:noProof/>
            <w:webHidden/>
          </w:rPr>
          <w:fldChar w:fldCharType="begin"/>
        </w:r>
        <w:r w:rsidR="004F20BB">
          <w:rPr>
            <w:noProof/>
            <w:webHidden/>
          </w:rPr>
          <w:instrText xml:space="preserve"> PAGEREF _Toc47516701 \h </w:instrText>
        </w:r>
        <w:r w:rsidR="004F20BB">
          <w:rPr>
            <w:noProof/>
            <w:webHidden/>
          </w:rPr>
        </w:r>
        <w:r w:rsidR="004F20BB">
          <w:rPr>
            <w:noProof/>
            <w:webHidden/>
          </w:rPr>
          <w:fldChar w:fldCharType="separate"/>
        </w:r>
        <w:r w:rsidR="004F20BB">
          <w:rPr>
            <w:noProof/>
            <w:webHidden/>
          </w:rPr>
          <w:t>83</w:t>
        </w:r>
        <w:r w:rsidR="004F20BB">
          <w:rPr>
            <w:noProof/>
            <w:webHidden/>
          </w:rPr>
          <w:fldChar w:fldCharType="end"/>
        </w:r>
      </w:hyperlink>
    </w:p>
    <w:p w14:paraId="48151AF7" w14:textId="3E6B52E8" w:rsidR="004F20BB" w:rsidRDefault="00F322E7">
      <w:pPr>
        <w:pStyle w:val="TOC3"/>
        <w:tabs>
          <w:tab w:val="right" w:leader="dot" w:pos="9350"/>
        </w:tabs>
        <w:rPr>
          <w:rFonts w:asciiTheme="minorHAnsi" w:eastAsiaTheme="minorEastAsia" w:hAnsiTheme="minorHAnsi" w:cstheme="minorBidi"/>
          <w:noProof/>
        </w:rPr>
      </w:pPr>
      <w:hyperlink w:anchor="_Toc47516702" w:history="1">
        <w:r w:rsidR="004F20BB" w:rsidRPr="00DB2EFF">
          <w:rPr>
            <w:rStyle w:val="Hyperlink"/>
            <w:noProof/>
          </w:rPr>
          <w:t>Antibodies</w:t>
        </w:r>
        <w:r w:rsidR="004F20BB">
          <w:rPr>
            <w:noProof/>
            <w:webHidden/>
          </w:rPr>
          <w:tab/>
        </w:r>
        <w:r w:rsidR="004F20BB">
          <w:rPr>
            <w:noProof/>
            <w:webHidden/>
          </w:rPr>
          <w:fldChar w:fldCharType="begin"/>
        </w:r>
        <w:r w:rsidR="004F20BB">
          <w:rPr>
            <w:noProof/>
            <w:webHidden/>
          </w:rPr>
          <w:instrText xml:space="preserve"> PAGEREF _Toc47516702 \h </w:instrText>
        </w:r>
        <w:r w:rsidR="004F20BB">
          <w:rPr>
            <w:noProof/>
            <w:webHidden/>
          </w:rPr>
        </w:r>
        <w:r w:rsidR="004F20BB">
          <w:rPr>
            <w:noProof/>
            <w:webHidden/>
          </w:rPr>
          <w:fldChar w:fldCharType="separate"/>
        </w:r>
        <w:r w:rsidR="004F20BB">
          <w:rPr>
            <w:noProof/>
            <w:webHidden/>
          </w:rPr>
          <w:t>86</w:t>
        </w:r>
        <w:r w:rsidR="004F20BB">
          <w:rPr>
            <w:noProof/>
            <w:webHidden/>
          </w:rPr>
          <w:fldChar w:fldCharType="end"/>
        </w:r>
      </w:hyperlink>
    </w:p>
    <w:p w14:paraId="6CB856D6" w14:textId="5BA2778E" w:rsidR="004F20BB" w:rsidRDefault="00F322E7">
      <w:pPr>
        <w:pStyle w:val="TOC3"/>
        <w:tabs>
          <w:tab w:val="right" w:leader="dot" w:pos="9350"/>
        </w:tabs>
        <w:rPr>
          <w:rFonts w:asciiTheme="minorHAnsi" w:eastAsiaTheme="minorEastAsia" w:hAnsiTheme="minorHAnsi" w:cstheme="minorBidi"/>
          <w:noProof/>
        </w:rPr>
      </w:pPr>
      <w:hyperlink w:anchor="_Toc47516703" w:history="1">
        <w:r w:rsidR="004F20BB" w:rsidRPr="00DB2EFF">
          <w:rPr>
            <w:rStyle w:val="Hyperlink"/>
            <w:noProof/>
          </w:rPr>
          <w:t>Canned Comments</w:t>
        </w:r>
        <w:r w:rsidR="004F20BB">
          <w:rPr>
            <w:noProof/>
            <w:webHidden/>
          </w:rPr>
          <w:tab/>
        </w:r>
        <w:r w:rsidR="004F20BB">
          <w:rPr>
            <w:noProof/>
            <w:webHidden/>
          </w:rPr>
          <w:fldChar w:fldCharType="begin"/>
        </w:r>
        <w:r w:rsidR="004F20BB">
          <w:rPr>
            <w:noProof/>
            <w:webHidden/>
          </w:rPr>
          <w:instrText xml:space="preserve"> PAGEREF _Toc47516703 \h </w:instrText>
        </w:r>
        <w:r w:rsidR="004F20BB">
          <w:rPr>
            <w:noProof/>
            <w:webHidden/>
          </w:rPr>
        </w:r>
        <w:r w:rsidR="004F20BB">
          <w:rPr>
            <w:noProof/>
            <w:webHidden/>
          </w:rPr>
          <w:fldChar w:fldCharType="separate"/>
        </w:r>
        <w:r w:rsidR="004F20BB">
          <w:rPr>
            <w:noProof/>
            <w:webHidden/>
          </w:rPr>
          <w:t>88</w:t>
        </w:r>
        <w:r w:rsidR="004F20BB">
          <w:rPr>
            <w:noProof/>
            <w:webHidden/>
          </w:rPr>
          <w:fldChar w:fldCharType="end"/>
        </w:r>
      </w:hyperlink>
    </w:p>
    <w:p w14:paraId="76E8392A" w14:textId="2C18A6CC" w:rsidR="004F20BB" w:rsidRDefault="00F322E7">
      <w:pPr>
        <w:pStyle w:val="TOC2"/>
        <w:tabs>
          <w:tab w:val="right" w:leader="dot" w:pos="9350"/>
        </w:tabs>
        <w:rPr>
          <w:rFonts w:asciiTheme="minorHAnsi" w:eastAsiaTheme="minorEastAsia" w:hAnsiTheme="minorHAnsi" w:cstheme="minorBidi"/>
          <w:smallCaps w:val="0"/>
          <w:noProof/>
        </w:rPr>
      </w:pPr>
      <w:hyperlink w:anchor="_Toc47516704" w:history="1">
        <w:r w:rsidR="004F20BB" w:rsidRPr="00DB2EFF">
          <w:rPr>
            <w:rStyle w:val="Hyperlink"/>
            <w:noProof/>
          </w:rPr>
          <w:t>Setting Transfusion Parameters</w:t>
        </w:r>
        <w:r w:rsidR="004F20BB">
          <w:rPr>
            <w:noProof/>
            <w:webHidden/>
          </w:rPr>
          <w:tab/>
        </w:r>
        <w:r w:rsidR="004F20BB">
          <w:rPr>
            <w:noProof/>
            <w:webHidden/>
          </w:rPr>
          <w:fldChar w:fldCharType="begin"/>
        </w:r>
        <w:r w:rsidR="004F20BB">
          <w:rPr>
            <w:noProof/>
            <w:webHidden/>
          </w:rPr>
          <w:instrText xml:space="preserve"> PAGEREF _Toc47516704 \h </w:instrText>
        </w:r>
        <w:r w:rsidR="004F20BB">
          <w:rPr>
            <w:noProof/>
            <w:webHidden/>
          </w:rPr>
        </w:r>
        <w:r w:rsidR="004F20BB">
          <w:rPr>
            <w:noProof/>
            <w:webHidden/>
          </w:rPr>
          <w:fldChar w:fldCharType="separate"/>
        </w:r>
        <w:r w:rsidR="004F20BB">
          <w:rPr>
            <w:noProof/>
            <w:webHidden/>
          </w:rPr>
          <w:t>90</w:t>
        </w:r>
        <w:r w:rsidR="004F20BB">
          <w:rPr>
            <w:noProof/>
            <w:webHidden/>
          </w:rPr>
          <w:fldChar w:fldCharType="end"/>
        </w:r>
      </w:hyperlink>
    </w:p>
    <w:p w14:paraId="45E5EFFA" w14:textId="6520E655" w:rsidR="004F20BB" w:rsidRDefault="00F322E7">
      <w:pPr>
        <w:pStyle w:val="TOC3"/>
        <w:tabs>
          <w:tab w:val="right" w:leader="dot" w:pos="9350"/>
        </w:tabs>
        <w:rPr>
          <w:rFonts w:asciiTheme="minorHAnsi" w:eastAsiaTheme="minorEastAsia" w:hAnsiTheme="minorHAnsi" w:cstheme="minorBidi"/>
          <w:noProof/>
        </w:rPr>
      </w:pPr>
      <w:hyperlink w:anchor="_Toc47516705" w:history="1">
        <w:r w:rsidR="004F20BB" w:rsidRPr="00DB2EFF">
          <w:rPr>
            <w:rStyle w:val="Hyperlink"/>
            <w:noProof/>
          </w:rPr>
          <w:t>Transfusion Complications</w:t>
        </w:r>
        <w:r w:rsidR="004F20BB">
          <w:rPr>
            <w:noProof/>
            <w:webHidden/>
          </w:rPr>
          <w:tab/>
        </w:r>
        <w:r w:rsidR="004F20BB">
          <w:rPr>
            <w:noProof/>
            <w:webHidden/>
          </w:rPr>
          <w:fldChar w:fldCharType="begin"/>
        </w:r>
        <w:r w:rsidR="004F20BB">
          <w:rPr>
            <w:noProof/>
            <w:webHidden/>
          </w:rPr>
          <w:instrText xml:space="preserve"> PAGEREF _Toc47516705 \h </w:instrText>
        </w:r>
        <w:r w:rsidR="004F20BB">
          <w:rPr>
            <w:noProof/>
            <w:webHidden/>
          </w:rPr>
        </w:r>
        <w:r w:rsidR="004F20BB">
          <w:rPr>
            <w:noProof/>
            <w:webHidden/>
          </w:rPr>
          <w:fldChar w:fldCharType="separate"/>
        </w:r>
        <w:r w:rsidR="004F20BB">
          <w:rPr>
            <w:noProof/>
            <w:webHidden/>
          </w:rPr>
          <w:t>90</w:t>
        </w:r>
        <w:r w:rsidR="004F20BB">
          <w:rPr>
            <w:noProof/>
            <w:webHidden/>
          </w:rPr>
          <w:fldChar w:fldCharType="end"/>
        </w:r>
      </w:hyperlink>
    </w:p>
    <w:p w14:paraId="21341D11" w14:textId="58334571" w:rsidR="004F20BB" w:rsidRDefault="00F322E7">
      <w:pPr>
        <w:pStyle w:val="TOC3"/>
        <w:tabs>
          <w:tab w:val="right" w:leader="dot" w:pos="9350"/>
        </w:tabs>
        <w:rPr>
          <w:rFonts w:asciiTheme="minorHAnsi" w:eastAsiaTheme="minorEastAsia" w:hAnsiTheme="minorHAnsi" w:cstheme="minorBidi"/>
          <w:noProof/>
        </w:rPr>
      </w:pPr>
      <w:hyperlink w:anchor="_Toc47516706" w:history="1">
        <w:r w:rsidR="004F20BB" w:rsidRPr="00DB2EFF">
          <w:rPr>
            <w:rStyle w:val="Hyperlink"/>
            <w:noProof/>
          </w:rPr>
          <w:t>Transfusion Effectiveness</w:t>
        </w:r>
        <w:r w:rsidR="004F20BB">
          <w:rPr>
            <w:noProof/>
            <w:webHidden/>
          </w:rPr>
          <w:tab/>
        </w:r>
        <w:r w:rsidR="004F20BB">
          <w:rPr>
            <w:noProof/>
            <w:webHidden/>
          </w:rPr>
          <w:fldChar w:fldCharType="begin"/>
        </w:r>
        <w:r w:rsidR="004F20BB">
          <w:rPr>
            <w:noProof/>
            <w:webHidden/>
          </w:rPr>
          <w:instrText xml:space="preserve"> PAGEREF _Toc47516706 \h </w:instrText>
        </w:r>
        <w:r w:rsidR="004F20BB">
          <w:rPr>
            <w:noProof/>
            <w:webHidden/>
          </w:rPr>
        </w:r>
        <w:r w:rsidR="004F20BB">
          <w:rPr>
            <w:noProof/>
            <w:webHidden/>
          </w:rPr>
          <w:fldChar w:fldCharType="separate"/>
        </w:r>
        <w:r w:rsidR="004F20BB">
          <w:rPr>
            <w:noProof/>
            <w:webHidden/>
          </w:rPr>
          <w:t>92</w:t>
        </w:r>
        <w:r w:rsidR="004F20BB">
          <w:rPr>
            <w:noProof/>
            <w:webHidden/>
          </w:rPr>
          <w:fldChar w:fldCharType="end"/>
        </w:r>
      </w:hyperlink>
    </w:p>
    <w:p w14:paraId="674BE772" w14:textId="7DF48D63" w:rsidR="004F20BB" w:rsidRDefault="00F322E7">
      <w:pPr>
        <w:pStyle w:val="TOC3"/>
        <w:tabs>
          <w:tab w:val="right" w:leader="dot" w:pos="9350"/>
        </w:tabs>
        <w:rPr>
          <w:rFonts w:asciiTheme="minorHAnsi" w:eastAsiaTheme="minorEastAsia" w:hAnsiTheme="minorHAnsi" w:cstheme="minorBidi"/>
          <w:noProof/>
        </w:rPr>
      </w:pPr>
      <w:hyperlink w:anchor="_Toc47516707" w:history="1">
        <w:r w:rsidR="004F20BB" w:rsidRPr="00DB2EFF">
          <w:rPr>
            <w:rStyle w:val="Hyperlink"/>
            <w:noProof/>
          </w:rPr>
          <w:t>MSBOS</w:t>
        </w:r>
        <w:r w:rsidR="004F20BB">
          <w:rPr>
            <w:noProof/>
            <w:webHidden/>
          </w:rPr>
          <w:tab/>
        </w:r>
        <w:r w:rsidR="004F20BB">
          <w:rPr>
            <w:noProof/>
            <w:webHidden/>
          </w:rPr>
          <w:fldChar w:fldCharType="begin"/>
        </w:r>
        <w:r w:rsidR="004F20BB">
          <w:rPr>
            <w:noProof/>
            <w:webHidden/>
          </w:rPr>
          <w:instrText xml:space="preserve"> PAGEREF _Toc47516707 \h </w:instrText>
        </w:r>
        <w:r w:rsidR="004F20BB">
          <w:rPr>
            <w:noProof/>
            <w:webHidden/>
          </w:rPr>
        </w:r>
        <w:r w:rsidR="004F20BB">
          <w:rPr>
            <w:noProof/>
            <w:webHidden/>
          </w:rPr>
          <w:fldChar w:fldCharType="separate"/>
        </w:r>
        <w:r w:rsidR="004F20BB">
          <w:rPr>
            <w:noProof/>
            <w:webHidden/>
          </w:rPr>
          <w:t>94</w:t>
        </w:r>
        <w:r w:rsidR="004F20BB">
          <w:rPr>
            <w:noProof/>
            <w:webHidden/>
          </w:rPr>
          <w:fldChar w:fldCharType="end"/>
        </w:r>
      </w:hyperlink>
    </w:p>
    <w:p w14:paraId="65FAEB2F" w14:textId="75BA04B8" w:rsidR="004F20BB" w:rsidRDefault="00F322E7">
      <w:pPr>
        <w:pStyle w:val="TOC3"/>
        <w:tabs>
          <w:tab w:val="right" w:leader="dot" w:pos="9350"/>
        </w:tabs>
        <w:rPr>
          <w:rFonts w:asciiTheme="minorHAnsi" w:eastAsiaTheme="minorEastAsia" w:hAnsiTheme="minorHAnsi" w:cstheme="minorBidi"/>
          <w:noProof/>
        </w:rPr>
      </w:pPr>
      <w:hyperlink w:anchor="_Toc47516708" w:history="1">
        <w:r w:rsidR="004F20BB" w:rsidRPr="00DB2EFF">
          <w:rPr>
            <w:rStyle w:val="Hyperlink"/>
            <w:noProof/>
          </w:rPr>
          <w:t>Workload Codes</w:t>
        </w:r>
        <w:r w:rsidR="004F20BB">
          <w:rPr>
            <w:noProof/>
            <w:webHidden/>
          </w:rPr>
          <w:tab/>
        </w:r>
        <w:r w:rsidR="004F20BB">
          <w:rPr>
            <w:noProof/>
            <w:webHidden/>
          </w:rPr>
          <w:fldChar w:fldCharType="begin"/>
        </w:r>
        <w:r w:rsidR="004F20BB">
          <w:rPr>
            <w:noProof/>
            <w:webHidden/>
          </w:rPr>
          <w:instrText xml:space="preserve"> PAGEREF _Toc47516708 \h </w:instrText>
        </w:r>
        <w:r w:rsidR="004F20BB">
          <w:rPr>
            <w:noProof/>
            <w:webHidden/>
          </w:rPr>
        </w:r>
        <w:r w:rsidR="004F20BB">
          <w:rPr>
            <w:noProof/>
            <w:webHidden/>
          </w:rPr>
          <w:fldChar w:fldCharType="separate"/>
        </w:r>
        <w:r w:rsidR="004F20BB">
          <w:rPr>
            <w:noProof/>
            <w:webHidden/>
          </w:rPr>
          <w:t>96</w:t>
        </w:r>
        <w:r w:rsidR="004F20BB">
          <w:rPr>
            <w:noProof/>
            <w:webHidden/>
          </w:rPr>
          <w:fldChar w:fldCharType="end"/>
        </w:r>
      </w:hyperlink>
    </w:p>
    <w:p w14:paraId="661D640E" w14:textId="5B242372" w:rsidR="004F20BB" w:rsidRDefault="00F322E7">
      <w:pPr>
        <w:pStyle w:val="TOC2"/>
        <w:tabs>
          <w:tab w:val="right" w:leader="dot" w:pos="9350"/>
        </w:tabs>
        <w:rPr>
          <w:rFonts w:asciiTheme="minorHAnsi" w:eastAsiaTheme="minorEastAsia" w:hAnsiTheme="minorHAnsi" w:cstheme="minorBidi"/>
          <w:smallCaps w:val="0"/>
          <w:noProof/>
        </w:rPr>
      </w:pPr>
      <w:hyperlink w:anchor="_Toc47516709" w:history="1">
        <w:r w:rsidR="004F20BB" w:rsidRPr="00DB2EFF">
          <w:rPr>
            <w:rStyle w:val="Hyperlink"/>
            <w:noProof/>
          </w:rPr>
          <w:t>Reagents and Supplies</w:t>
        </w:r>
        <w:r w:rsidR="004F20BB">
          <w:rPr>
            <w:noProof/>
            <w:webHidden/>
          </w:rPr>
          <w:tab/>
        </w:r>
        <w:r w:rsidR="004F20BB">
          <w:rPr>
            <w:noProof/>
            <w:webHidden/>
          </w:rPr>
          <w:fldChar w:fldCharType="begin"/>
        </w:r>
        <w:r w:rsidR="004F20BB">
          <w:rPr>
            <w:noProof/>
            <w:webHidden/>
          </w:rPr>
          <w:instrText xml:space="preserve"> PAGEREF _Toc47516709 \h </w:instrText>
        </w:r>
        <w:r w:rsidR="004F20BB">
          <w:rPr>
            <w:noProof/>
            <w:webHidden/>
          </w:rPr>
        </w:r>
        <w:r w:rsidR="004F20BB">
          <w:rPr>
            <w:noProof/>
            <w:webHidden/>
          </w:rPr>
          <w:fldChar w:fldCharType="separate"/>
        </w:r>
        <w:r w:rsidR="004F20BB">
          <w:rPr>
            <w:noProof/>
            <w:webHidden/>
          </w:rPr>
          <w:t>100</w:t>
        </w:r>
        <w:r w:rsidR="004F20BB">
          <w:rPr>
            <w:noProof/>
            <w:webHidden/>
          </w:rPr>
          <w:fldChar w:fldCharType="end"/>
        </w:r>
      </w:hyperlink>
    </w:p>
    <w:p w14:paraId="10946234" w14:textId="0C62631B" w:rsidR="004F20BB" w:rsidRDefault="00F322E7">
      <w:pPr>
        <w:pStyle w:val="TOC3"/>
        <w:tabs>
          <w:tab w:val="right" w:leader="dot" w:pos="9350"/>
        </w:tabs>
        <w:rPr>
          <w:rFonts w:asciiTheme="minorHAnsi" w:eastAsiaTheme="minorEastAsia" w:hAnsiTheme="minorHAnsi" w:cstheme="minorBidi"/>
          <w:noProof/>
        </w:rPr>
      </w:pPr>
      <w:hyperlink w:anchor="_Toc47516710" w:history="1">
        <w:r w:rsidR="004F20BB" w:rsidRPr="00DB2EFF">
          <w:rPr>
            <w:rStyle w:val="Hyperlink"/>
            <w:noProof/>
          </w:rPr>
          <w:t>Enter Daily QC Results</w:t>
        </w:r>
        <w:r w:rsidR="004F20BB">
          <w:rPr>
            <w:noProof/>
            <w:webHidden/>
          </w:rPr>
          <w:tab/>
        </w:r>
        <w:r w:rsidR="004F20BB">
          <w:rPr>
            <w:noProof/>
            <w:webHidden/>
          </w:rPr>
          <w:fldChar w:fldCharType="begin"/>
        </w:r>
        <w:r w:rsidR="004F20BB">
          <w:rPr>
            <w:noProof/>
            <w:webHidden/>
          </w:rPr>
          <w:instrText xml:space="preserve"> PAGEREF _Toc47516710 \h </w:instrText>
        </w:r>
        <w:r w:rsidR="004F20BB">
          <w:rPr>
            <w:noProof/>
            <w:webHidden/>
          </w:rPr>
        </w:r>
        <w:r w:rsidR="004F20BB">
          <w:rPr>
            <w:noProof/>
            <w:webHidden/>
          </w:rPr>
          <w:fldChar w:fldCharType="separate"/>
        </w:r>
        <w:r w:rsidR="004F20BB">
          <w:rPr>
            <w:noProof/>
            <w:webHidden/>
          </w:rPr>
          <w:t>100</w:t>
        </w:r>
        <w:r w:rsidR="004F20BB">
          <w:rPr>
            <w:noProof/>
            <w:webHidden/>
          </w:rPr>
          <w:fldChar w:fldCharType="end"/>
        </w:r>
      </w:hyperlink>
    </w:p>
    <w:p w14:paraId="278814B2" w14:textId="302908E6" w:rsidR="004F20BB" w:rsidRDefault="00F322E7">
      <w:pPr>
        <w:pStyle w:val="TOC2"/>
        <w:tabs>
          <w:tab w:val="right" w:leader="dot" w:pos="9350"/>
        </w:tabs>
        <w:rPr>
          <w:rFonts w:asciiTheme="minorHAnsi" w:eastAsiaTheme="minorEastAsia" w:hAnsiTheme="minorHAnsi" w:cstheme="minorBidi"/>
          <w:smallCaps w:val="0"/>
          <w:noProof/>
        </w:rPr>
      </w:pPr>
      <w:hyperlink w:anchor="_Toc47516711" w:history="1">
        <w:r w:rsidR="004F20BB" w:rsidRPr="00DB2EFF">
          <w:rPr>
            <w:rStyle w:val="Hyperlink"/>
            <w:noProof/>
          </w:rPr>
          <w:t>Reagents</w:t>
        </w:r>
        <w:r w:rsidR="004F20BB">
          <w:rPr>
            <w:noProof/>
            <w:webHidden/>
          </w:rPr>
          <w:tab/>
        </w:r>
        <w:r w:rsidR="004F20BB">
          <w:rPr>
            <w:noProof/>
            <w:webHidden/>
          </w:rPr>
          <w:fldChar w:fldCharType="begin"/>
        </w:r>
        <w:r w:rsidR="004F20BB">
          <w:rPr>
            <w:noProof/>
            <w:webHidden/>
          </w:rPr>
          <w:instrText xml:space="preserve"> PAGEREF _Toc47516711 \h </w:instrText>
        </w:r>
        <w:r w:rsidR="004F20BB">
          <w:rPr>
            <w:noProof/>
            <w:webHidden/>
          </w:rPr>
        </w:r>
        <w:r w:rsidR="004F20BB">
          <w:rPr>
            <w:noProof/>
            <w:webHidden/>
          </w:rPr>
          <w:fldChar w:fldCharType="separate"/>
        </w:r>
        <w:r w:rsidR="004F20BB">
          <w:rPr>
            <w:noProof/>
            <w:webHidden/>
          </w:rPr>
          <w:t>108</w:t>
        </w:r>
        <w:r w:rsidR="004F20BB">
          <w:rPr>
            <w:noProof/>
            <w:webHidden/>
          </w:rPr>
          <w:fldChar w:fldCharType="end"/>
        </w:r>
      </w:hyperlink>
    </w:p>
    <w:p w14:paraId="2A8EC629" w14:textId="232A42D0" w:rsidR="004F20BB" w:rsidRDefault="00F322E7">
      <w:pPr>
        <w:pStyle w:val="TOC3"/>
        <w:tabs>
          <w:tab w:val="right" w:leader="dot" w:pos="9350"/>
        </w:tabs>
        <w:rPr>
          <w:rFonts w:asciiTheme="minorHAnsi" w:eastAsiaTheme="minorEastAsia" w:hAnsiTheme="minorHAnsi" w:cstheme="minorBidi"/>
          <w:noProof/>
        </w:rPr>
      </w:pPr>
      <w:hyperlink w:anchor="_Toc47516712" w:history="1">
        <w:r w:rsidR="004F20BB" w:rsidRPr="00DB2EFF">
          <w:rPr>
            <w:rStyle w:val="Hyperlink"/>
            <w:noProof/>
          </w:rPr>
          <w:t>Supplies</w:t>
        </w:r>
        <w:r w:rsidR="004F20BB">
          <w:rPr>
            <w:noProof/>
            <w:webHidden/>
          </w:rPr>
          <w:tab/>
        </w:r>
        <w:r w:rsidR="004F20BB">
          <w:rPr>
            <w:noProof/>
            <w:webHidden/>
          </w:rPr>
          <w:fldChar w:fldCharType="begin"/>
        </w:r>
        <w:r w:rsidR="004F20BB">
          <w:rPr>
            <w:noProof/>
            <w:webHidden/>
          </w:rPr>
          <w:instrText xml:space="preserve"> PAGEREF _Toc47516712 \h </w:instrText>
        </w:r>
        <w:r w:rsidR="004F20BB">
          <w:rPr>
            <w:noProof/>
            <w:webHidden/>
          </w:rPr>
        </w:r>
        <w:r w:rsidR="004F20BB">
          <w:rPr>
            <w:noProof/>
            <w:webHidden/>
          </w:rPr>
          <w:fldChar w:fldCharType="separate"/>
        </w:r>
        <w:r w:rsidR="004F20BB">
          <w:rPr>
            <w:noProof/>
            <w:webHidden/>
          </w:rPr>
          <w:t>117</w:t>
        </w:r>
        <w:r w:rsidR="004F20BB">
          <w:rPr>
            <w:noProof/>
            <w:webHidden/>
          </w:rPr>
          <w:fldChar w:fldCharType="end"/>
        </w:r>
      </w:hyperlink>
    </w:p>
    <w:p w14:paraId="4254D009" w14:textId="72B5C8A5" w:rsidR="004F20BB" w:rsidRDefault="00F322E7">
      <w:pPr>
        <w:pStyle w:val="TOC3"/>
        <w:tabs>
          <w:tab w:val="right" w:leader="dot" w:pos="9350"/>
        </w:tabs>
        <w:rPr>
          <w:rFonts w:asciiTheme="minorHAnsi" w:eastAsiaTheme="minorEastAsia" w:hAnsiTheme="minorHAnsi" w:cstheme="minorBidi"/>
          <w:noProof/>
        </w:rPr>
      </w:pPr>
      <w:hyperlink w:anchor="_Toc47516713" w:history="1">
        <w:r w:rsidR="004F20BB" w:rsidRPr="00DB2EFF">
          <w:rPr>
            <w:rStyle w:val="Hyperlink"/>
            <w:noProof/>
          </w:rPr>
          <w:t>Equipment</w:t>
        </w:r>
        <w:r w:rsidR="004F20BB">
          <w:rPr>
            <w:noProof/>
            <w:webHidden/>
          </w:rPr>
          <w:tab/>
        </w:r>
        <w:r w:rsidR="004F20BB">
          <w:rPr>
            <w:noProof/>
            <w:webHidden/>
          </w:rPr>
          <w:fldChar w:fldCharType="begin"/>
        </w:r>
        <w:r w:rsidR="004F20BB">
          <w:rPr>
            <w:noProof/>
            <w:webHidden/>
          </w:rPr>
          <w:instrText xml:space="preserve"> PAGEREF _Toc47516713 \h </w:instrText>
        </w:r>
        <w:r w:rsidR="004F20BB">
          <w:rPr>
            <w:noProof/>
            <w:webHidden/>
          </w:rPr>
        </w:r>
        <w:r w:rsidR="004F20BB">
          <w:rPr>
            <w:noProof/>
            <w:webHidden/>
          </w:rPr>
          <w:fldChar w:fldCharType="separate"/>
        </w:r>
        <w:r w:rsidR="004F20BB">
          <w:rPr>
            <w:noProof/>
            <w:webHidden/>
          </w:rPr>
          <w:t>122</w:t>
        </w:r>
        <w:r w:rsidR="004F20BB">
          <w:rPr>
            <w:noProof/>
            <w:webHidden/>
          </w:rPr>
          <w:fldChar w:fldCharType="end"/>
        </w:r>
      </w:hyperlink>
    </w:p>
    <w:p w14:paraId="4ABDCB80" w14:textId="258EE5ED" w:rsidR="004F20BB" w:rsidRDefault="00F322E7">
      <w:pPr>
        <w:pStyle w:val="TOC1"/>
        <w:tabs>
          <w:tab w:val="right" w:leader="dot" w:pos="9350"/>
        </w:tabs>
        <w:rPr>
          <w:rFonts w:asciiTheme="minorHAnsi" w:eastAsiaTheme="minorEastAsia" w:hAnsiTheme="minorHAnsi" w:cstheme="minorBidi"/>
          <w:b w:val="0"/>
          <w:caps w:val="0"/>
          <w:noProof/>
        </w:rPr>
      </w:pPr>
      <w:hyperlink w:anchor="_Toc47516714" w:history="1">
        <w:r w:rsidR="004F20BB" w:rsidRPr="00DB2EFF">
          <w:rPr>
            <w:rStyle w:val="Hyperlink"/>
            <w:noProof/>
          </w:rPr>
          <w:t>Component Processing</w:t>
        </w:r>
        <w:r w:rsidR="004F20BB">
          <w:rPr>
            <w:noProof/>
            <w:webHidden/>
          </w:rPr>
          <w:tab/>
        </w:r>
        <w:r w:rsidR="004F20BB">
          <w:rPr>
            <w:noProof/>
            <w:webHidden/>
          </w:rPr>
          <w:fldChar w:fldCharType="begin"/>
        </w:r>
        <w:r w:rsidR="004F20BB">
          <w:rPr>
            <w:noProof/>
            <w:webHidden/>
          </w:rPr>
          <w:instrText xml:space="preserve"> PAGEREF _Toc47516714 \h </w:instrText>
        </w:r>
        <w:r w:rsidR="004F20BB">
          <w:rPr>
            <w:noProof/>
            <w:webHidden/>
          </w:rPr>
        </w:r>
        <w:r w:rsidR="004F20BB">
          <w:rPr>
            <w:noProof/>
            <w:webHidden/>
          </w:rPr>
          <w:fldChar w:fldCharType="separate"/>
        </w:r>
        <w:r w:rsidR="004F20BB">
          <w:rPr>
            <w:noProof/>
            <w:webHidden/>
          </w:rPr>
          <w:t>127</w:t>
        </w:r>
        <w:r w:rsidR="004F20BB">
          <w:rPr>
            <w:noProof/>
            <w:webHidden/>
          </w:rPr>
          <w:fldChar w:fldCharType="end"/>
        </w:r>
      </w:hyperlink>
    </w:p>
    <w:p w14:paraId="6E34CC5B" w14:textId="44F97434" w:rsidR="004F20BB" w:rsidRDefault="00F322E7">
      <w:pPr>
        <w:pStyle w:val="TOC2"/>
        <w:tabs>
          <w:tab w:val="right" w:leader="dot" w:pos="9350"/>
        </w:tabs>
        <w:rPr>
          <w:rFonts w:asciiTheme="minorHAnsi" w:eastAsiaTheme="minorEastAsia" w:hAnsiTheme="minorHAnsi" w:cstheme="minorBidi"/>
          <w:smallCaps w:val="0"/>
          <w:noProof/>
        </w:rPr>
      </w:pPr>
      <w:hyperlink w:anchor="_Toc47516715" w:history="1">
        <w:r w:rsidR="004F20BB" w:rsidRPr="00DB2EFF">
          <w:rPr>
            <w:rStyle w:val="Hyperlink"/>
            <w:noProof/>
          </w:rPr>
          <w:t>Shipments</w:t>
        </w:r>
        <w:r w:rsidR="004F20BB">
          <w:rPr>
            <w:noProof/>
            <w:webHidden/>
          </w:rPr>
          <w:tab/>
        </w:r>
        <w:r w:rsidR="004F20BB">
          <w:rPr>
            <w:noProof/>
            <w:webHidden/>
          </w:rPr>
          <w:fldChar w:fldCharType="begin"/>
        </w:r>
        <w:r w:rsidR="004F20BB">
          <w:rPr>
            <w:noProof/>
            <w:webHidden/>
          </w:rPr>
          <w:instrText xml:space="preserve"> PAGEREF _Toc47516715 \h </w:instrText>
        </w:r>
        <w:r w:rsidR="004F20BB">
          <w:rPr>
            <w:noProof/>
            <w:webHidden/>
          </w:rPr>
        </w:r>
        <w:r w:rsidR="004F20BB">
          <w:rPr>
            <w:noProof/>
            <w:webHidden/>
          </w:rPr>
          <w:fldChar w:fldCharType="separate"/>
        </w:r>
        <w:r w:rsidR="004F20BB">
          <w:rPr>
            <w:noProof/>
            <w:webHidden/>
          </w:rPr>
          <w:t>127</w:t>
        </w:r>
        <w:r w:rsidR="004F20BB">
          <w:rPr>
            <w:noProof/>
            <w:webHidden/>
          </w:rPr>
          <w:fldChar w:fldCharType="end"/>
        </w:r>
      </w:hyperlink>
    </w:p>
    <w:p w14:paraId="7A90BD9C" w14:textId="1FBF8589" w:rsidR="004F20BB" w:rsidRDefault="00F322E7">
      <w:pPr>
        <w:pStyle w:val="TOC3"/>
        <w:tabs>
          <w:tab w:val="right" w:leader="dot" w:pos="9350"/>
        </w:tabs>
        <w:rPr>
          <w:rFonts w:asciiTheme="minorHAnsi" w:eastAsiaTheme="minorEastAsia" w:hAnsiTheme="minorHAnsi" w:cstheme="minorBidi"/>
          <w:noProof/>
        </w:rPr>
      </w:pPr>
      <w:hyperlink w:anchor="_Toc47516716" w:history="1">
        <w:r w:rsidR="004F20BB" w:rsidRPr="00DB2EFF">
          <w:rPr>
            <w:rStyle w:val="Hyperlink"/>
            <w:noProof/>
          </w:rPr>
          <w:t>Incoming Shipment</w:t>
        </w:r>
        <w:r w:rsidR="004F20BB">
          <w:rPr>
            <w:noProof/>
            <w:webHidden/>
          </w:rPr>
          <w:tab/>
        </w:r>
        <w:r w:rsidR="004F20BB">
          <w:rPr>
            <w:noProof/>
            <w:webHidden/>
          </w:rPr>
          <w:fldChar w:fldCharType="begin"/>
        </w:r>
        <w:r w:rsidR="004F20BB">
          <w:rPr>
            <w:noProof/>
            <w:webHidden/>
          </w:rPr>
          <w:instrText xml:space="preserve"> PAGEREF _Toc47516716 \h </w:instrText>
        </w:r>
        <w:r w:rsidR="004F20BB">
          <w:rPr>
            <w:noProof/>
            <w:webHidden/>
          </w:rPr>
        </w:r>
        <w:r w:rsidR="004F20BB">
          <w:rPr>
            <w:noProof/>
            <w:webHidden/>
          </w:rPr>
          <w:fldChar w:fldCharType="separate"/>
        </w:r>
        <w:r w:rsidR="004F20BB">
          <w:rPr>
            <w:noProof/>
            <w:webHidden/>
          </w:rPr>
          <w:t>127</w:t>
        </w:r>
        <w:r w:rsidR="004F20BB">
          <w:rPr>
            <w:noProof/>
            <w:webHidden/>
          </w:rPr>
          <w:fldChar w:fldCharType="end"/>
        </w:r>
      </w:hyperlink>
    </w:p>
    <w:p w14:paraId="1DC701EF" w14:textId="074DCB6B" w:rsidR="004F20BB" w:rsidRDefault="00F322E7">
      <w:pPr>
        <w:pStyle w:val="TOC3"/>
        <w:tabs>
          <w:tab w:val="right" w:leader="dot" w:pos="9350"/>
        </w:tabs>
        <w:rPr>
          <w:rFonts w:asciiTheme="minorHAnsi" w:eastAsiaTheme="minorEastAsia" w:hAnsiTheme="minorHAnsi" w:cstheme="minorBidi"/>
          <w:noProof/>
        </w:rPr>
      </w:pPr>
      <w:hyperlink w:anchor="_Toc47516717" w:history="1">
        <w:r w:rsidR="004F20BB" w:rsidRPr="00DB2EFF">
          <w:rPr>
            <w:rStyle w:val="Hyperlink"/>
            <w:noProof/>
          </w:rPr>
          <w:t>Edit Invoice Text</w:t>
        </w:r>
        <w:r w:rsidR="004F20BB">
          <w:rPr>
            <w:noProof/>
            <w:webHidden/>
          </w:rPr>
          <w:tab/>
        </w:r>
        <w:r w:rsidR="004F20BB">
          <w:rPr>
            <w:noProof/>
            <w:webHidden/>
          </w:rPr>
          <w:fldChar w:fldCharType="begin"/>
        </w:r>
        <w:r w:rsidR="004F20BB">
          <w:rPr>
            <w:noProof/>
            <w:webHidden/>
          </w:rPr>
          <w:instrText xml:space="preserve"> PAGEREF _Toc47516717 \h </w:instrText>
        </w:r>
        <w:r w:rsidR="004F20BB">
          <w:rPr>
            <w:noProof/>
            <w:webHidden/>
          </w:rPr>
        </w:r>
        <w:r w:rsidR="004F20BB">
          <w:rPr>
            <w:noProof/>
            <w:webHidden/>
          </w:rPr>
          <w:fldChar w:fldCharType="separate"/>
        </w:r>
        <w:r w:rsidR="004F20BB">
          <w:rPr>
            <w:noProof/>
            <w:webHidden/>
          </w:rPr>
          <w:t>148</w:t>
        </w:r>
        <w:r w:rsidR="004F20BB">
          <w:rPr>
            <w:noProof/>
            <w:webHidden/>
          </w:rPr>
          <w:fldChar w:fldCharType="end"/>
        </w:r>
      </w:hyperlink>
    </w:p>
    <w:p w14:paraId="76A1F5D4" w14:textId="2D25ED09" w:rsidR="004F20BB" w:rsidRDefault="00F322E7">
      <w:pPr>
        <w:pStyle w:val="TOC2"/>
        <w:tabs>
          <w:tab w:val="right" w:leader="dot" w:pos="9350"/>
        </w:tabs>
        <w:rPr>
          <w:rFonts w:asciiTheme="minorHAnsi" w:eastAsiaTheme="minorEastAsia" w:hAnsiTheme="minorHAnsi" w:cstheme="minorBidi"/>
          <w:smallCaps w:val="0"/>
          <w:noProof/>
        </w:rPr>
      </w:pPr>
      <w:hyperlink w:anchor="_Toc47516718" w:history="1">
        <w:r w:rsidR="004F20BB" w:rsidRPr="00DB2EFF">
          <w:rPr>
            <w:rStyle w:val="Hyperlink"/>
            <w:noProof/>
          </w:rPr>
          <w:t>Unit Search Screen</w:t>
        </w:r>
        <w:r w:rsidR="004F20BB">
          <w:rPr>
            <w:noProof/>
            <w:webHidden/>
          </w:rPr>
          <w:tab/>
        </w:r>
        <w:r w:rsidR="004F20BB">
          <w:rPr>
            <w:noProof/>
            <w:webHidden/>
          </w:rPr>
          <w:fldChar w:fldCharType="begin"/>
        </w:r>
        <w:r w:rsidR="004F20BB">
          <w:rPr>
            <w:noProof/>
            <w:webHidden/>
          </w:rPr>
          <w:instrText xml:space="preserve"> PAGEREF _Toc47516718 \h </w:instrText>
        </w:r>
        <w:r w:rsidR="004F20BB">
          <w:rPr>
            <w:noProof/>
            <w:webHidden/>
          </w:rPr>
        </w:r>
        <w:r w:rsidR="004F20BB">
          <w:rPr>
            <w:noProof/>
            <w:webHidden/>
          </w:rPr>
          <w:fldChar w:fldCharType="separate"/>
        </w:r>
        <w:r w:rsidR="004F20BB">
          <w:rPr>
            <w:noProof/>
            <w:webHidden/>
          </w:rPr>
          <w:t>149</w:t>
        </w:r>
        <w:r w:rsidR="004F20BB">
          <w:rPr>
            <w:noProof/>
            <w:webHidden/>
          </w:rPr>
          <w:fldChar w:fldCharType="end"/>
        </w:r>
      </w:hyperlink>
    </w:p>
    <w:p w14:paraId="3E60B536" w14:textId="10DED9F5" w:rsidR="004F20BB" w:rsidRDefault="00F322E7">
      <w:pPr>
        <w:pStyle w:val="TOC2"/>
        <w:tabs>
          <w:tab w:val="right" w:leader="dot" w:pos="9350"/>
        </w:tabs>
        <w:rPr>
          <w:rFonts w:asciiTheme="minorHAnsi" w:eastAsiaTheme="minorEastAsia" w:hAnsiTheme="minorHAnsi" w:cstheme="minorBidi"/>
          <w:smallCaps w:val="0"/>
          <w:noProof/>
        </w:rPr>
      </w:pPr>
      <w:hyperlink w:anchor="_Toc47516719" w:history="1">
        <w:r w:rsidR="004F20BB" w:rsidRPr="00DB2EFF">
          <w:rPr>
            <w:rStyle w:val="Hyperlink"/>
            <w:noProof/>
          </w:rPr>
          <w:t>Test Units</w:t>
        </w:r>
        <w:r w:rsidR="004F20BB">
          <w:rPr>
            <w:noProof/>
            <w:webHidden/>
          </w:rPr>
          <w:tab/>
        </w:r>
        <w:r w:rsidR="004F20BB">
          <w:rPr>
            <w:noProof/>
            <w:webHidden/>
          </w:rPr>
          <w:fldChar w:fldCharType="begin"/>
        </w:r>
        <w:r w:rsidR="004F20BB">
          <w:rPr>
            <w:noProof/>
            <w:webHidden/>
          </w:rPr>
          <w:instrText xml:space="preserve"> PAGEREF _Toc47516719 \h </w:instrText>
        </w:r>
        <w:r w:rsidR="004F20BB">
          <w:rPr>
            <w:noProof/>
            <w:webHidden/>
          </w:rPr>
        </w:r>
        <w:r w:rsidR="004F20BB">
          <w:rPr>
            <w:noProof/>
            <w:webHidden/>
          </w:rPr>
          <w:fldChar w:fldCharType="separate"/>
        </w:r>
        <w:r w:rsidR="004F20BB">
          <w:rPr>
            <w:noProof/>
            <w:webHidden/>
          </w:rPr>
          <w:t>151</w:t>
        </w:r>
        <w:r w:rsidR="004F20BB">
          <w:rPr>
            <w:noProof/>
            <w:webHidden/>
          </w:rPr>
          <w:fldChar w:fldCharType="end"/>
        </w:r>
      </w:hyperlink>
    </w:p>
    <w:p w14:paraId="1F14A160" w14:textId="047F0CD4" w:rsidR="004F20BB" w:rsidRDefault="00F322E7">
      <w:pPr>
        <w:pStyle w:val="TOC3"/>
        <w:tabs>
          <w:tab w:val="right" w:leader="dot" w:pos="9350"/>
        </w:tabs>
        <w:rPr>
          <w:rFonts w:asciiTheme="minorHAnsi" w:eastAsiaTheme="minorEastAsia" w:hAnsiTheme="minorHAnsi" w:cstheme="minorBidi"/>
          <w:noProof/>
        </w:rPr>
      </w:pPr>
      <w:hyperlink w:anchor="_Toc47516720" w:history="1">
        <w:r w:rsidR="004F20BB" w:rsidRPr="00DB2EFF">
          <w:rPr>
            <w:rStyle w:val="Hyperlink"/>
            <w:noProof/>
          </w:rPr>
          <w:t>ABO/Rh Confirmation</w:t>
        </w:r>
        <w:r w:rsidR="004F20BB">
          <w:rPr>
            <w:noProof/>
            <w:webHidden/>
          </w:rPr>
          <w:tab/>
        </w:r>
        <w:r w:rsidR="004F20BB">
          <w:rPr>
            <w:noProof/>
            <w:webHidden/>
          </w:rPr>
          <w:fldChar w:fldCharType="begin"/>
        </w:r>
        <w:r w:rsidR="004F20BB">
          <w:rPr>
            <w:noProof/>
            <w:webHidden/>
          </w:rPr>
          <w:instrText xml:space="preserve"> PAGEREF _Toc47516720 \h </w:instrText>
        </w:r>
        <w:r w:rsidR="004F20BB">
          <w:rPr>
            <w:noProof/>
            <w:webHidden/>
          </w:rPr>
        </w:r>
        <w:r w:rsidR="004F20BB">
          <w:rPr>
            <w:noProof/>
            <w:webHidden/>
          </w:rPr>
          <w:fldChar w:fldCharType="separate"/>
        </w:r>
        <w:r w:rsidR="004F20BB">
          <w:rPr>
            <w:noProof/>
            <w:webHidden/>
          </w:rPr>
          <w:t>151</w:t>
        </w:r>
        <w:r w:rsidR="004F20BB">
          <w:rPr>
            <w:noProof/>
            <w:webHidden/>
          </w:rPr>
          <w:fldChar w:fldCharType="end"/>
        </w:r>
      </w:hyperlink>
    </w:p>
    <w:p w14:paraId="757FA1A9" w14:textId="2B53D54D" w:rsidR="004F20BB" w:rsidRDefault="00F322E7">
      <w:pPr>
        <w:pStyle w:val="TOC3"/>
        <w:tabs>
          <w:tab w:val="right" w:leader="dot" w:pos="9350"/>
        </w:tabs>
        <w:rPr>
          <w:rFonts w:asciiTheme="minorHAnsi" w:eastAsiaTheme="minorEastAsia" w:hAnsiTheme="minorHAnsi" w:cstheme="minorBidi"/>
          <w:noProof/>
        </w:rPr>
      </w:pPr>
      <w:hyperlink w:anchor="_Toc47516721" w:history="1">
        <w:r w:rsidR="004F20BB" w:rsidRPr="00DB2EFF">
          <w:rPr>
            <w:rStyle w:val="Hyperlink"/>
            <w:noProof/>
          </w:rPr>
          <w:t>Unit Antigen Typing</w:t>
        </w:r>
        <w:r w:rsidR="004F20BB">
          <w:rPr>
            <w:noProof/>
            <w:webHidden/>
          </w:rPr>
          <w:tab/>
        </w:r>
        <w:r w:rsidR="004F20BB">
          <w:rPr>
            <w:noProof/>
            <w:webHidden/>
          </w:rPr>
          <w:fldChar w:fldCharType="begin"/>
        </w:r>
        <w:r w:rsidR="004F20BB">
          <w:rPr>
            <w:noProof/>
            <w:webHidden/>
          </w:rPr>
          <w:instrText xml:space="preserve"> PAGEREF _Toc47516721 \h </w:instrText>
        </w:r>
        <w:r w:rsidR="004F20BB">
          <w:rPr>
            <w:noProof/>
            <w:webHidden/>
          </w:rPr>
        </w:r>
        <w:r w:rsidR="004F20BB">
          <w:rPr>
            <w:noProof/>
            <w:webHidden/>
          </w:rPr>
          <w:fldChar w:fldCharType="separate"/>
        </w:r>
        <w:r w:rsidR="004F20BB">
          <w:rPr>
            <w:noProof/>
            <w:webHidden/>
          </w:rPr>
          <w:t>155</w:t>
        </w:r>
        <w:r w:rsidR="004F20BB">
          <w:rPr>
            <w:noProof/>
            <w:webHidden/>
          </w:rPr>
          <w:fldChar w:fldCharType="end"/>
        </w:r>
      </w:hyperlink>
    </w:p>
    <w:p w14:paraId="3C69BCAB" w14:textId="10A09716" w:rsidR="004F20BB" w:rsidRDefault="00F322E7">
      <w:pPr>
        <w:pStyle w:val="TOC2"/>
        <w:tabs>
          <w:tab w:val="right" w:leader="dot" w:pos="9350"/>
        </w:tabs>
        <w:rPr>
          <w:rFonts w:asciiTheme="minorHAnsi" w:eastAsiaTheme="minorEastAsia" w:hAnsiTheme="minorHAnsi" w:cstheme="minorBidi"/>
          <w:smallCaps w:val="0"/>
          <w:noProof/>
        </w:rPr>
      </w:pPr>
      <w:hyperlink w:anchor="_Toc47516722" w:history="1">
        <w:r w:rsidR="004F20BB" w:rsidRPr="00DB2EFF">
          <w:rPr>
            <w:rStyle w:val="Hyperlink"/>
            <w:noProof/>
          </w:rPr>
          <w:t>Modify Components</w:t>
        </w:r>
        <w:r w:rsidR="004F20BB">
          <w:rPr>
            <w:noProof/>
            <w:webHidden/>
          </w:rPr>
          <w:tab/>
        </w:r>
        <w:r w:rsidR="004F20BB">
          <w:rPr>
            <w:noProof/>
            <w:webHidden/>
          </w:rPr>
          <w:fldChar w:fldCharType="begin"/>
        </w:r>
        <w:r w:rsidR="004F20BB">
          <w:rPr>
            <w:noProof/>
            <w:webHidden/>
          </w:rPr>
          <w:instrText xml:space="preserve"> PAGEREF _Toc47516722 \h </w:instrText>
        </w:r>
        <w:r w:rsidR="004F20BB">
          <w:rPr>
            <w:noProof/>
            <w:webHidden/>
          </w:rPr>
        </w:r>
        <w:r w:rsidR="004F20BB">
          <w:rPr>
            <w:noProof/>
            <w:webHidden/>
          </w:rPr>
          <w:fldChar w:fldCharType="separate"/>
        </w:r>
        <w:r w:rsidR="004F20BB">
          <w:rPr>
            <w:noProof/>
            <w:webHidden/>
          </w:rPr>
          <w:t>166</w:t>
        </w:r>
        <w:r w:rsidR="004F20BB">
          <w:rPr>
            <w:noProof/>
            <w:webHidden/>
          </w:rPr>
          <w:fldChar w:fldCharType="end"/>
        </w:r>
      </w:hyperlink>
    </w:p>
    <w:p w14:paraId="3F77B1BB" w14:textId="635DB77A" w:rsidR="004F20BB" w:rsidRDefault="00F322E7">
      <w:pPr>
        <w:pStyle w:val="TOC3"/>
        <w:tabs>
          <w:tab w:val="right" w:leader="dot" w:pos="9350"/>
        </w:tabs>
        <w:rPr>
          <w:rFonts w:asciiTheme="minorHAnsi" w:eastAsiaTheme="minorEastAsia" w:hAnsiTheme="minorHAnsi" w:cstheme="minorBidi"/>
          <w:noProof/>
        </w:rPr>
      </w:pPr>
      <w:hyperlink w:anchor="_Toc47516723" w:history="1">
        <w:r w:rsidR="004F20BB" w:rsidRPr="00DB2EFF">
          <w:rPr>
            <w:rStyle w:val="Hyperlink"/>
            <w:noProof/>
          </w:rPr>
          <w:t>Modify Units</w:t>
        </w:r>
        <w:r w:rsidR="004F20BB">
          <w:rPr>
            <w:noProof/>
            <w:webHidden/>
          </w:rPr>
          <w:tab/>
        </w:r>
        <w:r w:rsidR="004F20BB">
          <w:rPr>
            <w:noProof/>
            <w:webHidden/>
          </w:rPr>
          <w:fldChar w:fldCharType="begin"/>
        </w:r>
        <w:r w:rsidR="004F20BB">
          <w:rPr>
            <w:noProof/>
            <w:webHidden/>
          </w:rPr>
          <w:instrText xml:space="preserve"> PAGEREF _Toc47516723 \h </w:instrText>
        </w:r>
        <w:r w:rsidR="004F20BB">
          <w:rPr>
            <w:noProof/>
            <w:webHidden/>
          </w:rPr>
        </w:r>
        <w:r w:rsidR="004F20BB">
          <w:rPr>
            <w:noProof/>
            <w:webHidden/>
          </w:rPr>
          <w:fldChar w:fldCharType="separate"/>
        </w:r>
        <w:r w:rsidR="004F20BB">
          <w:rPr>
            <w:noProof/>
            <w:webHidden/>
          </w:rPr>
          <w:t>166</w:t>
        </w:r>
        <w:r w:rsidR="004F20BB">
          <w:rPr>
            <w:noProof/>
            <w:webHidden/>
          </w:rPr>
          <w:fldChar w:fldCharType="end"/>
        </w:r>
      </w:hyperlink>
    </w:p>
    <w:p w14:paraId="6DEA22F4" w14:textId="21B5970D" w:rsidR="004F20BB" w:rsidRDefault="00F322E7">
      <w:pPr>
        <w:pStyle w:val="TOC3"/>
        <w:tabs>
          <w:tab w:val="right" w:leader="dot" w:pos="9350"/>
        </w:tabs>
        <w:rPr>
          <w:rFonts w:asciiTheme="minorHAnsi" w:eastAsiaTheme="minorEastAsia" w:hAnsiTheme="minorHAnsi" w:cstheme="minorBidi"/>
          <w:noProof/>
        </w:rPr>
      </w:pPr>
      <w:hyperlink w:anchor="_Toc47516724" w:history="1">
        <w:r w:rsidR="004F20BB" w:rsidRPr="00DB2EFF">
          <w:rPr>
            <w:rStyle w:val="Hyperlink"/>
            <w:noProof/>
          </w:rPr>
          <w:t>Modify Units: Split a Unit</w:t>
        </w:r>
        <w:r w:rsidR="004F20BB">
          <w:rPr>
            <w:noProof/>
            <w:webHidden/>
          </w:rPr>
          <w:tab/>
        </w:r>
        <w:r w:rsidR="004F20BB">
          <w:rPr>
            <w:noProof/>
            <w:webHidden/>
          </w:rPr>
          <w:fldChar w:fldCharType="begin"/>
        </w:r>
        <w:r w:rsidR="004F20BB">
          <w:rPr>
            <w:noProof/>
            <w:webHidden/>
          </w:rPr>
          <w:instrText xml:space="preserve"> PAGEREF _Toc47516724 \h </w:instrText>
        </w:r>
        <w:r w:rsidR="004F20BB">
          <w:rPr>
            <w:noProof/>
            <w:webHidden/>
          </w:rPr>
        </w:r>
        <w:r w:rsidR="004F20BB">
          <w:rPr>
            <w:noProof/>
            <w:webHidden/>
          </w:rPr>
          <w:fldChar w:fldCharType="separate"/>
        </w:r>
        <w:r w:rsidR="004F20BB">
          <w:rPr>
            <w:noProof/>
            <w:webHidden/>
          </w:rPr>
          <w:t>179</w:t>
        </w:r>
        <w:r w:rsidR="004F20BB">
          <w:rPr>
            <w:noProof/>
            <w:webHidden/>
          </w:rPr>
          <w:fldChar w:fldCharType="end"/>
        </w:r>
      </w:hyperlink>
    </w:p>
    <w:p w14:paraId="4A4BEA8B" w14:textId="5F0C4C12" w:rsidR="004F20BB" w:rsidRDefault="00F322E7">
      <w:pPr>
        <w:pStyle w:val="TOC3"/>
        <w:tabs>
          <w:tab w:val="right" w:leader="dot" w:pos="9350"/>
        </w:tabs>
        <w:rPr>
          <w:rFonts w:asciiTheme="minorHAnsi" w:eastAsiaTheme="minorEastAsia" w:hAnsiTheme="minorHAnsi" w:cstheme="minorBidi"/>
          <w:noProof/>
        </w:rPr>
      </w:pPr>
      <w:hyperlink w:anchor="_Toc47516725" w:history="1">
        <w:r w:rsidR="004F20BB" w:rsidRPr="00DB2EFF">
          <w:rPr>
            <w:rStyle w:val="Hyperlink"/>
            <w:noProof/>
          </w:rPr>
          <w:t>Modify Units: Pool Units</w:t>
        </w:r>
        <w:r w:rsidR="004F20BB">
          <w:rPr>
            <w:noProof/>
            <w:webHidden/>
          </w:rPr>
          <w:tab/>
        </w:r>
        <w:r w:rsidR="004F20BB">
          <w:rPr>
            <w:noProof/>
            <w:webHidden/>
          </w:rPr>
          <w:fldChar w:fldCharType="begin"/>
        </w:r>
        <w:r w:rsidR="004F20BB">
          <w:rPr>
            <w:noProof/>
            <w:webHidden/>
          </w:rPr>
          <w:instrText xml:space="preserve"> PAGEREF _Toc47516725 \h </w:instrText>
        </w:r>
        <w:r w:rsidR="004F20BB">
          <w:rPr>
            <w:noProof/>
            <w:webHidden/>
          </w:rPr>
        </w:r>
        <w:r w:rsidR="004F20BB">
          <w:rPr>
            <w:noProof/>
            <w:webHidden/>
          </w:rPr>
          <w:fldChar w:fldCharType="separate"/>
        </w:r>
        <w:r w:rsidR="004F20BB">
          <w:rPr>
            <w:noProof/>
            <w:webHidden/>
          </w:rPr>
          <w:t>182</w:t>
        </w:r>
        <w:r w:rsidR="004F20BB">
          <w:rPr>
            <w:noProof/>
            <w:webHidden/>
          </w:rPr>
          <w:fldChar w:fldCharType="end"/>
        </w:r>
      </w:hyperlink>
    </w:p>
    <w:p w14:paraId="5D71B2BB" w14:textId="736E8728" w:rsidR="004F20BB" w:rsidRDefault="00F322E7">
      <w:pPr>
        <w:pStyle w:val="TOC3"/>
        <w:tabs>
          <w:tab w:val="right" w:leader="dot" w:pos="9350"/>
        </w:tabs>
        <w:rPr>
          <w:rFonts w:asciiTheme="minorHAnsi" w:eastAsiaTheme="minorEastAsia" w:hAnsiTheme="minorHAnsi" w:cstheme="minorBidi"/>
          <w:noProof/>
        </w:rPr>
      </w:pPr>
      <w:hyperlink w:anchor="_Toc47516726" w:history="1">
        <w:r w:rsidR="004F20BB" w:rsidRPr="00DB2EFF">
          <w:rPr>
            <w:rStyle w:val="Hyperlink"/>
            <w:noProof/>
          </w:rPr>
          <w:t>Add and/or Remove Units from a Pool</w:t>
        </w:r>
        <w:r w:rsidR="004F20BB">
          <w:rPr>
            <w:noProof/>
            <w:webHidden/>
          </w:rPr>
          <w:tab/>
        </w:r>
        <w:r w:rsidR="004F20BB">
          <w:rPr>
            <w:noProof/>
            <w:webHidden/>
          </w:rPr>
          <w:fldChar w:fldCharType="begin"/>
        </w:r>
        <w:r w:rsidR="004F20BB">
          <w:rPr>
            <w:noProof/>
            <w:webHidden/>
          </w:rPr>
          <w:instrText xml:space="preserve"> PAGEREF _Toc47516726 \h </w:instrText>
        </w:r>
        <w:r w:rsidR="004F20BB">
          <w:rPr>
            <w:noProof/>
            <w:webHidden/>
          </w:rPr>
        </w:r>
        <w:r w:rsidR="004F20BB">
          <w:rPr>
            <w:noProof/>
            <w:webHidden/>
          </w:rPr>
          <w:fldChar w:fldCharType="separate"/>
        </w:r>
        <w:r w:rsidR="004F20BB">
          <w:rPr>
            <w:noProof/>
            <w:webHidden/>
          </w:rPr>
          <w:t>187</w:t>
        </w:r>
        <w:r w:rsidR="004F20BB">
          <w:rPr>
            <w:noProof/>
            <w:webHidden/>
          </w:rPr>
          <w:fldChar w:fldCharType="end"/>
        </w:r>
      </w:hyperlink>
    </w:p>
    <w:p w14:paraId="6DE2A0C6" w14:textId="54F1C99A" w:rsidR="004F20BB" w:rsidRDefault="00F322E7">
      <w:pPr>
        <w:pStyle w:val="TOC2"/>
        <w:tabs>
          <w:tab w:val="right" w:leader="dot" w:pos="9350"/>
        </w:tabs>
        <w:rPr>
          <w:rFonts w:asciiTheme="minorHAnsi" w:eastAsiaTheme="minorEastAsia" w:hAnsiTheme="minorHAnsi" w:cstheme="minorBidi"/>
          <w:smallCaps w:val="0"/>
          <w:noProof/>
        </w:rPr>
      </w:pPr>
      <w:hyperlink w:anchor="_Toc47516727" w:history="1">
        <w:r w:rsidR="004F20BB" w:rsidRPr="00DB2EFF">
          <w:rPr>
            <w:rStyle w:val="Hyperlink"/>
            <w:noProof/>
          </w:rPr>
          <w:t>Maintain Unit Records</w:t>
        </w:r>
        <w:r w:rsidR="004F20BB">
          <w:rPr>
            <w:noProof/>
            <w:webHidden/>
          </w:rPr>
          <w:tab/>
        </w:r>
        <w:r w:rsidR="004F20BB">
          <w:rPr>
            <w:noProof/>
            <w:webHidden/>
          </w:rPr>
          <w:fldChar w:fldCharType="begin"/>
        </w:r>
        <w:r w:rsidR="004F20BB">
          <w:rPr>
            <w:noProof/>
            <w:webHidden/>
          </w:rPr>
          <w:instrText xml:space="preserve"> PAGEREF _Toc47516727 \h </w:instrText>
        </w:r>
        <w:r w:rsidR="004F20BB">
          <w:rPr>
            <w:noProof/>
            <w:webHidden/>
          </w:rPr>
        </w:r>
        <w:r w:rsidR="004F20BB">
          <w:rPr>
            <w:noProof/>
            <w:webHidden/>
          </w:rPr>
          <w:fldChar w:fldCharType="separate"/>
        </w:r>
        <w:r w:rsidR="004F20BB">
          <w:rPr>
            <w:noProof/>
            <w:webHidden/>
          </w:rPr>
          <w:t>190</w:t>
        </w:r>
        <w:r w:rsidR="004F20BB">
          <w:rPr>
            <w:noProof/>
            <w:webHidden/>
          </w:rPr>
          <w:fldChar w:fldCharType="end"/>
        </w:r>
      </w:hyperlink>
    </w:p>
    <w:p w14:paraId="2A3EBAE6" w14:textId="4A18F36C" w:rsidR="004F20BB" w:rsidRDefault="00F322E7">
      <w:pPr>
        <w:pStyle w:val="TOC3"/>
        <w:tabs>
          <w:tab w:val="right" w:leader="dot" w:pos="9350"/>
        </w:tabs>
        <w:rPr>
          <w:rFonts w:asciiTheme="minorHAnsi" w:eastAsiaTheme="minorEastAsia" w:hAnsiTheme="minorHAnsi" w:cstheme="minorBidi"/>
          <w:noProof/>
        </w:rPr>
      </w:pPr>
      <w:hyperlink w:anchor="_Toc47516728" w:history="1">
        <w:r w:rsidR="004F20BB" w:rsidRPr="00DB2EFF">
          <w:rPr>
            <w:rStyle w:val="Hyperlink"/>
            <w:noProof/>
          </w:rPr>
          <w:t>Edit Unit Information</w:t>
        </w:r>
        <w:r w:rsidR="004F20BB">
          <w:rPr>
            <w:noProof/>
            <w:webHidden/>
          </w:rPr>
          <w:tab/>
        </w:r>
        <w:r w:rsidR="004F20BB">
          <w:rPr>
            <w:noProof/>
            <w:webHidden/>
          </w:rPr>
          <w:fldChar w:fldCharType="begin"/>
        </w:r>
        <w:r w:rsidR="004F20BB">
          <w:rPr>
            <w:noProof/>
            <w:webHidden/>
          </w:rPr>
          <w:instrText xml:space="preserve"> PAGEREF _Toc47516728 \h </w:instrText>
        </w:r>
        <w:r w:rsidR="004F20BB">
          <w:rPr>
            <w:noProof/>
            <w:webHidden/>
          </w:rPr>
        </w:r>
        <w:r w:rsidR="004F20BB">
          <w:rPr>
            <w:noProof/>
            <w:webHidden/>
          </w:rPr>
          <w:fldChar w:fldCharType="separate"/>
        </w:r>
        <w:r w:rsidR="004F20BB">
          <w:rPr>
            <w:noProof/>
            <w:webHidden/>
          </w:rPr>
          <w:t>190</w:t>
        </w:r>
        <w:r w:rsidR="004F20BB">
          <w:rPr>
            <w:noProof/>
            <w:webHidden/>
          </w:rPr>
          <w:fldChar w:fldCharType="end"/>
        </w:r>
      </w:hyperlink>
    </w:p>
    <w:p w14:paraId="4394E3D8" w14:textId="570683B9" w:rsidR="004F20BB" w:rsidRDefault="00F322E7">
      <w:pPr>
        <w:pStyle w:val="TOC3"/>
        <w:tabs>
          <w:tab w:val="right" w:leader="dot" w:pos="9350"/>
        </w:tabs>
        <w:rPr>
          <w:rFonts w:asciiTheme="minorHAnsi" w:eastAsiaTheme="minorEastAsia" w:hAnsiTheme="minorHAnsi" w:cstheme="minorBidi"/>
          <w:noProof/>
        </w:rPr>
      </w:pPr>
      <w:hyperlink w:anchor="_Toc47516729" w:history="1">
        <w:r w:rsidR="004F20BB" w:rsidRPr="00DB2EFF">
          <w:rPr>
            <w:rStyle w:val="Hyperlink"/>
            <w:noProof/>
          </w:rPr>
          <w:t>Edit Financial Data</w:t>
        </w:r>
        <w:r w:rsidR="004F20BB">
          <w:rPr>
            <w:noProof/>
            <w:webHidden/>
          </w:rPr>
          <w:tab/>
        </w:r>
        <w:r w:rsidR="004F20BB">
          <w:rPr>
            <w:noProof/>
            <w:webHidden/>
          </w:rPr>
          <w:fldChar w:fldCharType="begin"/>
        </w:r>
        <w:r w:rsidR="004F20BB">
          <w:rPr>
            <w:noProof/>
            <w:webHidden/>
          </w:rPr>
          <w:instrText xml:space="preserve"> PAGEREF _Toc47516729 \h </w:instrText>
        </w:r>
        <w:r w:rsidR="004F20BB">
          <w:rPr>
            <w:noProof/>
            <w:webHidden/>
          </w:rPr>
        </w:r>
        <w:r w:rsidR="004F20BB">
          <w:rPr>
            <w:noProof/>
            <w:webHidden/>
          </w:rPr>
          <w:fldChar w:fldCharType="separate"/>
        </w:r>
        <w:r w:rsidR="004F20BB">
          <w:rPr>
            <w:noProof/>
            <w:webHidden/>
          </w:rPr>
          <w:t>196</w:t>
        </w:r>
        <w:r w:rsidR="004F20BB">
          <w:rPr>
            <w:noProof/>
            <w:webHidden/>
          </w:rPr>
          <w:fldChar w:fldCharType="end"/>
        </w:r>
      </w:hyperlink>
    </w:p>
    <w:p w14:paraId="41F5AA96" w14:textId="2C61F186" w:rsidR="004F20BB" w:rsidRDefault="00F322E7">
      <w:pPr>
        <w:pStyle w:val="TOC3"/>
        <w:tabs>
          <w:tab w:val="right" w:leader="dot" w:pos="9350"/>
        </w:tabs>
        <w:rPr>
          <w:rFonts w:asciiTheme="minorHAnsi" w:eastAsiaTheme="minorEastAsia" w:hAnsiTheme="minorHAnsi" w:cstheme="minorBidi"/>
          <w:noProof/>
        </w:rPr>
      </w:pPr>
      <w:hyperlink w:anchor="_Toc47516730" w:history="1">
        <w:r w:rsidR="004F20BB" w:rsidRPr="00DB2EFF">
          <w:rPr>
            <w:rStyle w:val="Hyperlink"/>
            <w:noProof/>
          </w:rPr>
          <w:t>Free Directed Unit For Crossover</w:t>
        </w:r>
        <w:r w:rsidR="004F20BB">
          <w:rPr>
            <w:noProof/>
            <w:webHidden/>
          </w:rPr>
          <w:tab/>
        </w:r>
        <w:r w:rsidR="004F20BB">
          <w:rPr>
            <w:noProof/>
            <w:webHidden/>
          </w:rPr>
          <w:fldChar w:fldCharType="begin"/>
        </w:r>
        <w:r w:rsidR="004F20BB">
          <w:rPr>
            <w:noProof/>
            <w:webHidden/>
          </w:rPr>
          <w:instrText xml:space="preserve"> PAGEREF _Toc47516730 \h </w:instrText>
        </w:r>
        <w:r w:rsidR="004F20BB">
          <w:rPr>
            <w:noProof/>
            <w:webHidden/>
          </w:rPr>
        </w:r>
        <w:r w:rsidR="004F20BB">
          <w:rPr>
            <w:noProof/>
            <w:webHidden/>
          </w:rPr>
          <w:fldChar w:fldCharType="separate"/>
        </w:r>
        <w:r w:rsidR="004F20BB">
          <w:rPr>
            <w:noProof/>
            <w:webHidden/>
          </w:rPr>
          <w:t>198</w:t>
        </w:r>
        <w:r w:rsidR="004F20BB">
          <w:rPr>
            <w:noProof/>
            <w:webHidden/>
          </w:rPr>
          <w:fldChar w:fldCharType="end"/>
        </w:r>
      </w:hyperlink>
    </w:p>
    <w:p w14:paraId="089E2386" w14:textId="699780B9" w:rsidR="004F20BB" w:rsidRDefault="00F322E7">
      <w:pPr>
        <w:pStyle w:val="TOC3"/>
        <w:tabs>
          <w:tab w:val="right" w:leader="dot" w:pos="9350"/>
        </w:tabs>
        <w:rPr>
          <w:rFonts w:asciiTheme="minorHAnsi" w:eastAsiaTheme="minorEastAsia" w:hAnsiTheme="minorHAnsi" w:cstheme="minorBidi"/>
          <w:noProof/>
        </w:rPr>
      </w:pPr>
      <w:hyperlink w:anchor="_Toc47516731" w:history="1">
        <w:r w:rsidR="004F20BB" w:rsidRPr="00DB2EFF">
          <w:rPr>
            <w:rStyle w:val="Hyperlink"/>
            <w:noProof/>
          </w:rPr>
          <w:t>Discard or Quarantine</w:t>
        </w:r>
        <w:r w:rsidR="004F20BB">
          <w:rPr>
            <w:noProof/>
            <w:webHidden/>
          </w:rPr>
          <w:tab/>
        </w:r>
        <w:r w:rsidR="004F20BB">
          <w:rPr>
            <w:noProof/>
            <w:webHidden/>
          </w:rPr>
          <w:fldChar w:fldCharType="begin"/>
        </w:r>
        <w:r w:rsidR="004F20BB">
          <w:rPr>
            <w:noProof/>
            <w:webHidden/>
          </w:rPr>
          <w:instrText xml:space="preserve"> PAGEREF _Toc47516731 \h </w:instrText>
        </w:r>
        <w:r w:rsidR="004F20BB">
          <w:rPr>
            <w:noProof/>
            <w:webHidden/>
          </w:rPr>
        </w:r>
        <w:r w:rsidR="004F20BB">
          <w:rPr>
            <w:noProof/>
            <w:webHidden/>
          </w:rPr>
          <w:fldChar w:fldCharType="separate"/>
        </w:r>
        <w:r w:rsidR="004F20BB">
          <w:rPr>
            <w:noProof/>
            <w:webHidden/>
          </w:rPr>
          <w:t>200</w:t>
        </w:r>
        <w:r w:rsidR="004F20BB">
          <w:rPr>
            <w:noProof/>
            <w:webHidden/>
          </w:rPr>
          <w:fldChar w:fldCharType="end"/>
        </w:r>
      </w:hyperlink>
    </w:p>
    <w:p w14:paraId="35C575CA" w14:textId="59C0160A" w:rsidR="004F20BB" w:rsidRDefault="00F322E7">
      <w:pPr>
        <w:pStyle w:val="TOC2"/>
        <w:tabs>
          <w:tab w:val="right" w:leader="dot" w:pos="9350"/>
        </w:tabs>
        <w:rPr>
          <w:rFonts w:asciiTheme="minorHAnsi" w:eastAsiaTheme="minorEastAsia" w:hAnsiTheme="minorHAnsi" w:cstheme="minorBidi"/>
          <w:smallCaps w:val="0"/>
          <w:noProof/>
        </w:rPr>
      </w:pPr>
      <w:hyperlink w:anchor="_Toc47516732" w:history="1">
        <w:r w:rsidR="004F20BB" w:rsidRPr="00DB2EFF">
          <w:rPr>
            <w:rStyle w:val="Hyperlink"/>
            <w:noProof/>
          </w:rPr>
          <w:t>Select Units</w:t>
        </w:r>
        <w:r w:rsidR="004F20BB">
          <w:rPr>
            <w:noProof/>
            <w:webHidden/>
          </w:rPr>
          <w:tab/>
        </w:r>
        <w:r w:rsidR="004F20BB">
          <w:rPr>
            <w:noProof/>
            <w:webHidden/>
          </w:rPr>
          <w:fldChar w:fldCharType="begin"/>
        </w:r>
        <w:r w:rsidR="004F20BB">
          <w:rPr>
            <w:noProof/>
            <w:webHidden/>
          </w:rPr>
          <w:instrText xml:space="preserve"> PAGEREF _Toc47516732 \h </w:instrText>
        </w:r>
        <w:r w:rsidR="004F20BB">
          <w:rPr>
            <w:noProof/>
            <w:webHidden/>
          </w:rPr>
        </w:r>
        <w:r w:rsidR="004F20BB">
          <w:rPr>
            <w:noProof/>
            <w:webHidden/>
          </w:rPr>
          <w:fldChar w:fldCharType="separate"/>
        </w:r>
        <w:r w:rsidR="004F20BB">
          <w:rPr>
            <w:noProof/>
            <w:webHidden/>
          </w:rPr>
          <w:t>206</w:t>
        </w:r>
        <w:r w:rsidR="004F20BB">
          <w:rPr>
            <w:noProof/>
            <w:webHidden/>
          </w:rPr>
          <w:fldChar w:fldCharType="end"/>
        </w:r>
      </w:hyperlink>
    </w:p>
    <w:p w14:paraId="7344A35E" w14:textId="17BFC535" w:rsidR="004F20BB" w:rsidRDefault="00F322E7">
      <w:pPr>
        <w:pStyle w:val="TOC2"/>
        <w:tabs>
          <w:tab w:val="right" w:leader="dot" w:pos="9350"/>
        </w:tabs>
        <w:rPr>
          <w:rFonts w:asciiTheme="minorHAnsi" w:eastAsiaTheme="minorEastAsia" w:hAnsiTheme="minorHAnsi" w:cstheme="minorBidi"/>
          <w:smallCaps w:val="0"/>
          <w:noProof/>
        </w:rPr>
      </w:pPr>
      <w:hyperlink w:anchor="_Toc47516733" w:history="1">
        <w:r w:rsidR="004F20BB" w:rsidRPr="00DB2EFF">
          <w:rPr>
            <w:rStyle w:val="Hyperlink"/>
            <w:noProof/>
          </w:rPr>
          <w:t>Issue Blood Components</w:t>
        </w:r>
        <w:r w:rsidR="004F20BB">
          <w:rPr>
            <w:noProof/>
            <w:webHidden/>
          </w:rPr>
          <w:tab/>
        </w:r>
        <w:r w:rsidR="004F20BB">
          <w:rPr>
            <w:noProof/>
            <w:webHidden/>
          </w:rPr>
          <w:fldChar w:fldCharType="begin"/>
        </w:r>
        <w:r w:rsidR="004F20BB">
          <w:rPr>
            <w:noProof/>
            <w:webHidden/>
          </w:rPr>
          <w:instrText xml:space="preserve"> PAGEREF _Toc47516733 \h </w:instrText>
        </w:r>
        <w:r w:rsidR="004F20BB">
          <w:rPr>
            <w:noProof/>
            <w:webHidden/>
          </w:rPr>
        </w:r>
        <w:r w:rsidR="004F20BB">
          <w:rPr>
            <w:noProof/>
            <w:webHidden/>
          </w:rPr>
          <w:fldChar w:fldCharType="separate"/>
        </w:r>
        <w:r w:rsidR="004F20BB">
          <w:rPr>
            <w:noProof/>
            <w:webHidden/>
          </w:rPr>
          <w:t>217</w:t>
        </w:r>
        <w:r w:rsidR="004F20BB">
          <w:rPr>
            <w:noProof/>
            <w:webHidden/>
          </w:rPr>
          <w:fldChar w:fldCharType="end"/>
        </w:r>
      </w:hyperlink>
    </w:p>
    <w:p w14:paraId="2B3C36F3" w14:textId="646466C2" w:rsidR="004F20BB" w:rsidRDefault="00F322E7">
      <w:pPr>
        <w:pStyle w:val="TOC2"/>
        <w:tabs>
          <w:tab w:val="right" w:leader="dot" w:pos="9350"/>
        </w:tabs>
        <w:rPr>
          <w:rFonts w:asciiTheme="minorHAnsi" w:eastAsiaTheme="minorEastAsia" w:hAnsiTheme="minorHAnsi" w:cstheme="minorBidi"/>
          <w:smallCaps w:val="0"/>
          <w:noProof/>
        </w:rPr>
      </w:pPr>
      <w:hyperlink w:anchor="_Toc47516734" w:history="1">
        <w:r w:rsidR="004F20BB" w:rsidRPr="00DB2EFF">
          <w:rPr>
            <w:rStyle w:val="Hyperlink"/>
            <w:noProof/>
          </w:rPr>
          <w:t>Return Issued Units To Blood Bank</w:t>
        </w:r>
        <w:r w:rsidR="004F20BB">
          <w:rPr>
            <w:noProof/>
            <w:webHidden/>
          </w:rPr>
          <w:tab/>
        </w:r>
        <w:r w:rsidR="004F20BB">
          <w:rPr>
            <w:noProof/>
            <w:webHidden/>
          </w:rPr>
          <w:fldChar w:fldCharType="begin"/>
        </w:r>
        <w:r w:rsidR="004F20BB">
          <w:rPr>
            <w:noProof/>
            <w:webHidden/>
          </w:rPr>
          <w:instrText xml:space="preserve"> PAGEREF _Toc47516734 \h </w:instrText>
        </w:r>
        <w:r w:rsidR="004F20BB">
          <w:rPr>
            <w:noProof/>
            <w:webHidden/>
          </w:rPr>
        </w:r>
        <w:r w:rsidR="004F20BB">
          <w:rPr>
            <w:noProof/>
            <w:webHidden/>
          </w:rPr>
          <w:fldChar w:fldCharType="separate"/>
        </w:r>
        <w:r w:rsidR="004F20BB">
          <w:rPr>
            <w:noProof/>
            <w:webHidden/>
          </w:rPr>
          <w:t>230</w:t>
        </w:r>
        <w:r w:rsidR="004F20BB">
          <w:rPr>
            <w:noProof/>
            <w:webHidden/>
          </w:rPr>
          <w:fldChar w:fldCharType="end"/>
        </w:r>
      </w:hyperlink>
    </w:p>
    <w:p w14:paraId="4014CE09" w14:textId="780713FB" w:rsidR="004F20BB" w:rsidRDefault="00F322E7">
      <w:pPr>
        <w:pStyle w:val="TOC2"/>
        <w:tabs>
          <w:tab w:val="right" w:leader="dot" w:pos="9350"/>
        </w:tabs>
        <w:rPr>
          <w:rFonts w:asciiTheme="minorHAnsi" w:eastAsiaTheme="minorEastAsia" w:hAnsiTheme="minorHAnsi" w:cstheme="minorBidi"/>
          <w:smallCaps w:val="0"/>
          <w:noProof/>
        </w:rPr>
      </w:pPr>
      <w:hyperlink w:anchor="_Toc47516735" w:history="1">
        <w:r w:rsidR="004F20BB" w:rsidRPr="00DB2EFF">
          <w:rPr>
            <w:rStyle w:val="Hyperlink"/>
            <w:noProof/>
          </w:rPr>
          <w:t>Release Units From Patient Assignment</w:t>
        </w:r>
        <w:r w:rsidR="004F20BB">
          <w:rPr>
            <w:noProof/>
            <w:webHidden/>
          </w:rPr>
          <w:tab/>
        </w:r>
        <w:r w:rsidR="004F20BB">
          <w:rPr>
            <w:noProof/>
            <w:webHidden/>
          </w:rPr>
          <w:fldChar w:fldCharType="begin"/>
        </w:r>
        <w:r w:rsidR="004F20BB">
          <w:rPr>
            <w:noProof/>
            <w:webHidden/>
          </w:rPr>
          <w:instrText xml:space="preserve"> PAGEREF _Toc47516735 \h </w:instrText>
        </w:r>
        <w:r w:rsidR="004F20BB">
          <w:rPr>
            <w:noProof/>
            <w:webHidden/>
          </w:rPr>
        </w:r>
        <w:r w:rsidR="004F20BB">
          <w:rPr>
            <w:noProof/>
            <w:webHidden/>
          </w:rPr>
          <w:fldChar w:fldCharType="separate"/>
        </w:r>
        <w:r w:rsidR="004F20BB">
          <w:rPr>
            <w:noProof/>
            <w:webHidden/>
          </w:rPr>
          <w:t>234</w:t>
        </w:r>
        <w:r w:rsidR="004F20BB">
          <w:rPr>
            <w:noProof/>
            <w:webHidden/>
          </w:rPr>
          <w:fldChar w:fldCharType="end"/>
        </w:r>
      </w:hyperlink>
    </w:p>
    <w:p w14:paraId="79310D3A" w14:textId="2BF3C83C" w:rsidR="004F20BB" w:rsidRDefault="00F322E7">
      <w:pPr>
        <w:pStyle w:val="TOC2"/>
        <w:tabs>
          <w:tab w:val="right" w:leader="dot" w:pos="9350"/>
        </w:tabs>
        <w:rPr>
          <w:rFonts w:asciiTheme="minorHAnsi" w:eastAsiaTheme="minorEastAsia" w:hAnsiTheme="minorHAnsi" w:cstheme="minorBidi"/>
          <w:smallCaps w:val="0"/>
          <w:noProof/>
        </w:rPr>
      </w:pPr>
      <w:hyperlink w:anchor="_Toc47516736" w:history="1">
        <w:r w:rsidR="004F20BB" w:rsidRPr="00DB2EFF">
          <w:rPr>
            <w:rStyle w:val="Hyperlink"/>
            <w:noProof/>
          </w:rPr>
          <w:t>Print Unit Caution Tag &amp; Transfusion Record Form</w:t>
        </w:r>
        <w:r w:rsidR="004F20BB">
          <w:rPr>
            <w:noProof/>
            <w:webHidden/>
          </w:rPr>
          <w:tab/>
        </w:r>
        <w:r w:rsidR="004F20BB">
          <w:rPr>
            <w:noProof/>
            <w:webHidden/>
          </w:rPr>
          <w:fldChar w:fldCharType="begin"/>
        </w:r>
        <w:r w:rsidR="004F20BB">
          <w:rPr>
            <w:noProof/>
            <w:webHidden/>
          </w:rPr>
          <w:instrText xml:space="preserve"> PAGEREF _Toc47516736 \h </w:instrText>
        </w:r>
        <w:r w:rsidR="004F20BB">
          <w:rPr>
            <w:noProof/>
            <w:webHidden/>
          </w:rPr>
        </w:r>
        <w:r w:rsidR="004F20BB">
          <w:rPr>
            <w:noProof/>
            <w:webHidden/>
          </w:rPr>
          <w:fldChar w:fldCharType="separate"/>
        </w:r>
        <w:r w:rsidR="004F20BB">
          <w:rPr>
            <w:noProof/>
            <w:webHidden/>
          </w:rPr>
          <w:t>237</w:t>
        </w:r>
        <w:r w:rsidR="004F20BB">
          <w:rPr>
            <w:noProof/>
            <w:webHidden/>
          </w:rPr>
          <w:fldChar w:fldCharType="end"/>
        </w:r>
      </w:hyperlink>
    </w:p>
    <w:p w14:paraId="69D561BB" w14:textId="726D4AE3" w:rsidR="004F20BB" w:rsidRDefault="00F322E7">
      <w:pPr>
        <w:pStyle w:val="TOC2"/>
        <w:tabs>
          <w:tab w:val="right" w:leader="dot" w:pos="9350"/>
        </w:tabs>
        <w:rPr>
          <w:rFonts w:asciiTheme="minorHAnsi" w:eastAsiaTheme="minorEastAsia" w:hAnsiTheme="minorHAnsi" w:cstheme="minorBidi"/>
          <w:smallCaps w:val="0"/>
          <w:noProof/>
        </w:rPr>
      </w:pPr>
      <w:hyperlink w:anchor="_Toc47516737" w:history="1">
        <w:r w:rsidR="004F20BB" w:rsidRPr="00DB2EFF">
          <w:rPr>
            <w:rStyle w:val="Hyperlink"/>
            <w:noProof/>
          </w:rPr>
          <w:t>Invalidate Test Results</w:t>
        </w:r>
        <w:r w:rsidR="004F20BB">
          <w:rPr>
            <w:noProof/>
            <w:webHidden/>
          </w:rPr>
          <w:tab/>
        </w:r>
        <w:r w:rsidR="004F20BB">
          <w:rPr>
            <w:noProof/>
            <w:webHidden/>
          </w:rPr>
          <w:fldChar w:fldCharType="begin"/>
        </w:r>
        <w:r w:rsidR="004F20BB">
          <w:rPr>
            <w:noProof/>
            <w:webHidden/>
          </w:rPr>
          <w:instrText xml:space="preserve"> PAGEREF _Toc47516737 \h </w:instrText>
        </w:r>
        <w:r w:rsidR="004F20BB">
          <w:rPr>
            <w:noProof/>
            <w:webHidden/>
          </w:rPr>
        </w:r>
        <w:r w:rsidR="004F20BB">
          <w:rPr>
            <w:noProof/>
            <w:webHidden/>
          </w:rPr>
          <w:fldChar w:fldCharType="separate"/>
        </w:r>
        <w:r w:rsidR="004F20BB">
          <w:rPr>
            <w:noProof/>
            <w:webHidden/>
          </w:rPr>
          <w:t>247</w:t>
        </w:r>
        <w:r w:rsidR="004F20BB">
          <w:rPr>
            <w:noProof/>
            <w:webHidden/>
          </w:rPr>
          <w:fldChar w:fldCharType="end"/>
        </w:r>
      </w:hyperlink>
    </w:p>
    <w:p w14:paraId="3A131FEC" w14:textId="4B27D064" w:rsidR="004F20BB" w:rsidRDefault="00F322E7">
      <w:pPr>
        <w:pStyle w:val="TOC2"/>
        <w:tabs>
          <w:tab w:val="right" w:leader="dot" w:pos="9350"/>
        </w:tabs>
        <w:rPr>
          <w:rFonts w:asciiTheme="minorHAnsi" w:eastAsiaTheme="minorEastAsia" w:hAnsiTheme="minorHAnsi" w:cstheme="minorBidi"/>
          <w:smallCaps w:val="0"/>
          <w:noProof/>
        </w:rPr>
      </w:pPr>
      <w:hyperlink w:anchor="_Toc47516738" w:history="1">
        <w:r w:rsidR="004F20BB" w:rsidRPr="00DB2EFF">
          <w:rPr>
            <w:rStyle w:val="Hyperlink"/>
            <w:noProof/>
          </w:rPr>
          <w:t>Remove Final Status</w:t>
        </w:r>
        <w:r w:rsidR="004F20BB">
          <w:rPr>
            <w:noProof/>
            <w:webHidden/>
          </w:rPr>
          <w:tab/>
        </w:r>
        <w:r w:rsidR="004F20BB">
          <w:rPr>
            <w:noProof/>
            <w:webHidden/>
          </w:rPr>
          <w:fldChar w:fldCharType="begin"/>
        </w:r>
        <w:r w:rsidR="004F20BB">
          <w:rPr>
            <w:noProof/>
            <w:webHidden/>
          </w:rPr>
          <w:instrText xml:space="preserve"> PAGEREF _Toc47516738 \h </w:instrText>
        </w:r>
        <w:r w:rsidR="004F20BB">
          <w:rPr>
            <w:noProof/>
            <w:webHidden/>
          </w:rPr>
        </w:r>
        <w:r w:rsidR="004F20BB">
          <w:rPr>
            <w:noProof/>
            <w:webHidden/>
          </w:rPr>
          <w:fldChar w:fldCharType="separate"/>
        </w:r>
        <w:r w:rsidR="004F20BB">
          <w:rPr>
            <w:noProof/>
            <w:webHidden/>
          </w:rPr>
          <w:t>251</w:t>
        </w:r>
        <w:r w:rsidR="004F20BB">
          <w:rPr>
            <w:noProof/>
            <w:webHidden/>
          </w:rPr>
          <w:fldChar w:fldCharType="end"/>
        </w:r>
      </w:hyperlink>
    </w:p>
    <w:p w14:paraId="0ABC642C" w14:textId="6B64018D" w:rsidR="004F20BB" w:rsidRDefault="00F322E7">
      <w:pPr>
        <w:pStyle w:val="TOC1"/>
        <w:tabs>
          <w:tab w:val="right" w:leader="dot" w:pos="9350"/>
        </w:tabs>
        <w:rPr>
          <w:rFonts w:asciiTheme="minorHAnsi" w:eastAsiaTheme="minorEastAsia" w:hAnsiTheme="minorHAnsi" w:cstheme="minorBidi"/>
          <w:b w:val="0"/>
          <w:caps w:val="0"/>
          <w:noProof/>
        </w:rPr>
      </w:pPr>
      <w:hyperlink w:anchor="_Toc47516739" w:history="1">
        <w:r w:rsidR="004F20BB" w:rsidRPr="00DB2EFF">
          <w:rPr>
            <w:rStyle w:val="Hyperlink"/>
            <w:noProof/>
          </w:rPr>
          <w:t>Processing Orders</w:t>
        </w:r>
        <w:r w:rsidR="004F20BB">
          <w:rPr>
            <w:noProof/>
            <w:webHidden/>
          </w:rPr>
          <w:tab/>
        </w:r>
        <w:r w:rsidR="004F20BB">
          <w:rPr>
            <w:noProof/>
            <w:webHidden/>
          </w:rPr>
          <w:fldChar w:fldCharType="begin"/>
        </w:r>
        <w:r w:rsidR="004F20BB">
          <w:rPr>
            <w:noProof/>
            <w:webHidden/>
          </w:rPr>
          <w:instrText xml:space="preserve"> PAGEREF _Toc47516739 \h </w:instrText>
        </w:r>
        <w:r w:rsidR="004F20BB">
          <w:rPr>
            <w:noProof/>
            <w:webHidden/>
          </w:rPr>
        </w:r>
        <w:r w:rsidR="004F20BB">
          <w:rPr>
            <w:noProof/>
            <w:webHidden/>
          </w:rPr>
          <w:fldChar w:fldCharType="separate"/>
        </w:r>
        <w:r w:rsidR="004F20BB">
          <w:rPr>
            <w:noProof/>
            <w:webHidden/>
          </w:rPr>
          <w:t>255</w:t>
        </w:r>
        <w:r w:rsidR="004F20BB">
          <w:rPr>
            <w:noProof/>
            <w:webHidden/>
          </w:rPr>
          <w:fldChar w:fldCharType="end"/>
        </w:r>
      </w:hyperlink>
    </w:p>
    <w:p w14:paraId="785BB1BD" w14:textId="0E34CCBA" w:rsidR="004F20BB" w:rsidRDefault="00F322E7">
      <w:pPr>
        <w:pStyle w:val="TOC2"/>
        <w:tabs>
          <w:tab w:val="right" w:leader="dot" w:pos="9350"/>
        </w:tabs>
        <w:rPr>
          <w:rFonts w:asciiTheme="minorHAnsi" w:eastAsiaTheme="minorEastAsia" w:hAnsiTheme="minorHAnsi" w:cstheme="minorBidi"/>
          <w:smallCaps w:val="0"/>
          <w:noProof/>
        </w:rPr>
      </w:pPr>
      <w:hyperlink w:anchor="_Toc47516740" w:history="1">
        <w:r w:rsidR="004F20BB" w:rsidRPr="00DB2EFF">
          <w:rPr>
            <w:rStyle w:val="Hyperlink"/>
            <w:noProof/>
          </w:rPr>
          <w:t>Accept Orders: Accept an Order</w:t>
        </w:r>
        <w:r w:rsidR="004F20BB">
          <w:rPr>
            <w:noProof/>
            <w:webHidden/>
          </w:rPr>
          <w:tab/>
        </w:r>
        <w:r w:rsidR="004F20BB">
          <w:rPr>
            <w:noProof/>
            <w:webHidden/>
          </w:rPr>
          <w:fldChar w:fldCharType="begin"/>
        </w:r>
        <w:r w:rsidR="004F20BB">
          <w:rPr>
            <w:noProof/>
            <w:webHidden/>
          </w:rPr>
          <w:instrText xml:space="preserve"> PAGEREF _Toc47516740 \h </w:instrText>
        </w:r>
        <w:r w:rsidR="004F20BB">
          <w:rPr>
            <w:noProof/>
            <w:webHidden/>
          </w:rPr>
        </w:r>
        <w:r w:rsidR="004F20BB">
          <w:rPr>
            <w:noProof/>
            <w:webHidden/>
          </w:rPr>
          <w:fldChar w:fldCharType="separate"/>
        </w:r>
        <w:r w:rsidR="004F20BB">
          <w:rPr>
            <w:noProof/>
            <w:webHidden/>
          </w:rPr>
          <w:t>255</w:t>
        </w:r>
        <w:r w:rsidR="004F20BB">
          <w:rPr>
            <w:noProof/>
            <w:webHidden/>
          </w:rPr>
          <w:fldChar w:fldCharType="end"/>
        </w:r>
      </w:hyperlink>
    </w:p>
    <w:p w14:paraId="70BEA3FB" w14:textId="41B24114" w:rsidR="004F20BB" w:rsidRDefault="00F322E7">
      <w:pPr>
        <w:pStyle w:val="TOC3"/>
        <w:tabs>
          <w:tab w:val="right" w:leader="dot" w:pos="9350"/>
        </w:tabs>
        <w:rPr>
          <w:rFonts w:asciiTheme="minorHAnsi" w:eastAsiaTheme="minorEastAsia" w:hAnsiTheme="minorHAnsi" w:cstheme="minorBidi"/>
          <w:noProof/>
        </w:rPr>
      </w:pPr>
      <w:hyperlink w:anchor="_Toc47516741" w:history="1">
        <w:r w:rsidR="004F20BB" w:rsidRPr="00DB2EFF">
          <w:rPr>
            <w:rStyle w:val="Hyperlink"/>
            <w:noProof/>
          </w:rPr>
          <w:t>Accept Orders: Pending Order List</w:t>
        </w:r>
        <w:r w:rsidR="004F20BB">
          <w:rPr>
            <w:noProof/>
            <w:webHidden/>
          </w:rPr>
          <w:tab/>
        </w:r>
        <w:r w:rsidR="004F20BB">
          <w:rPr>
            <w:noProof/>
            <w:webHidden/>
          </w:rPr>
          <w:fldChar w:fldCharType="begin"/>
        </w:r>
        <w:r w:rsidR="004F20BB">
          <w:rPr>
            <w:noProof/>
            <w:webHidden/>
          </w:rPr>
          <w:instrText xml:space="preserve"> PAGEREF _Toc47516741 \h </w:instrText>
        </w:r>
        <w:r w:rsidR="004F20BB">
          <w:rPr>
            <w:noProof/>
            <w:webHidden/>
          </w:rPr>
        </w:r>
        <w:r w:rsidR="004F20BB">
          <w:rPr>
            <w:noProof/>
            <w:webHidden/>
          </w:rPr>
          <w:fldChar w:fldCharType="separate"/>
        </w:r>
        <w:r w:rsidR="004F20BB">
          <w:rPr>
            <w:noProof/>
            <w:webHidden/>
          </w:rPr>
          <w:t>261</w:t>
        </w:r>
        <w:r w:rsidR="004F20BB">
          <w:rPr>
            <w:noProof/>
            <w:webHidden/>
          </w:rPr>
          <w:fldChar w:fldCharType="end"/>
        </w:r>
      </w:hyperlink>
    </w:p>
    <w:p w14:paraId="5CA5CBFE" w14:textId="7AE72B86" w:rsidR="004F20BB" w:rsidRDefault="00F322E7">
      <w:pPr>
        <w:pStyle w:val="TOC3"/>
        <w:tabs>
          <w:tab w:val="right" w:leader="dot" w:pos="9350"/>
        </w:tabs>
        <w:rPr>
          <w:rFonts w:asciiTheme="minorHAnsi" w:eastAsiaTheme="minorEastAsia" w:hAnsiTheme="minorHAnsi" w:cstheme="minorBidi"/>
          <w:noProof/>
        </w:rPr>
      </w:pPr>
      <w:hyperlink w:anchor="_Toc47516742" w:history="1">
        <w:r w:rsidR="004F20BB" w:rsidRPr="00DB2EFF">
          <w:rPr>
            <w:rStyle w:val="Hyperlink"/>
            <w:noProof/>
          </w:rPr>
          <w:t>CPRS Order Status Alert</w:t>
        </w:r>
        <w:r w:rsidR="004F20BB">
          <w:rPr>
            <w:noProof/>
            <w:webHidden/>
          </w:rPr>
          <w:tab/>
        </w:r>
        <w:r w:rsidR="004F20BB">
          <w:rPr>
            <w:noProof/>
            <w:webHidden/>
          </w:rPr>
          <w:fldChar w:fldCharType="begin"/>
        </w:r>
        <w:r w:rsidR="004F20BB">
          <w:rPr>
            <w:noProof/>
            <w:webHidden/>
          </w:rPr>
          <w:instrText xml:space="preserve"> PAGEREF _Toc47516742 \h </w:instrText>
        </w:r>
        <w:r w:rsidR="004F20BB">
          <w:rPr>
            <w:noProof/>
            <w:webHidden/>
          </w:rPr>
        </w:r>
        <w:r w:rsidR="004F20BB">
          <w:rPr>
            <w:noProof/>
            <w:webHidden/>
          </w:rPr>
          <w:fldChar w:fldCharType="separate"/>
        </w:r>
        <w:r w:rsidR="004F20BB">
          <w:rPr>
            <w:noProof/>
            <w:webHidden/>
          </w:rPr>
          <w:t>265</w:t>
        </w:r>
        <w:r w:rsidR="004F20BB">
          <w:rPr>
            <w:noProof/>
            <w:webHidden/>
          </w:rPr>
          <w:fldChar w:fldCharType="end"/>
        </w:r>
      </w:hyperlink>
    </w:p>
    <w:p w14:paraId="5F8FBA32" w14:textId="049B7C30" w:rsidR="004F20BB" w:rsidRDefault="00F322E7">
      <w:pPr>
        <w:pStyle w:val="TOC3"/>
        <w:tabs>
          <w:tab w:val="right" w:leader="dot" w:pos="9350"/>
        </w:tabs>
        <w:rPr>
          <w:rFonts w:asciiTheme="minorHAnsi" w:eastAsiaTheme="minorEastAsia" w:hAnsiTheme="minorHAnsi" w:cstheme="minorBidi"/>
          <w:noProof/>
        </w:rPr>
      </w:pPr>
      <w:hyperlink w:anchor="_Toc47516743" w:history="1">
        <w:r w:rsidR="004F20BB" w:rsidRPr="00DB2EFF">
          <w:rPr>
            <w:rStyle w:val="Hyperlink"/>
            <w:noProof/>
          </w:rPr>
          <w:drawing>
            <wp:inline distT="0" distB="0" distL="0" distR="0" wp14:anchorId="025C7F93" wp14:editId="3196DABB">
              <wp:extent cx="166370" cy="156845"/>
              <wp:effectExtent l="0" t="0" r="5080" b="0"/>
              <wp:docPr id="1168" name="Picture 1168"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4F20BB" w:rsidRPr="00DB2EFF">
          <w:rPr>
            <w:rStyle w:val="Hyperlink"/>
            <w:noProof/>
          </w:rPr>
          <w:t xml:space="preserve"> Display Patient Update Alerts</w:t>
        </w:r>
        <w:r w:rsidR="004F20BB">
          <w:rPr>
            <w:noProof/>
            <w:webHidden/>
          </w:rPr>
          <w:tab/>
        </w:r>
        <w:r w:rsidR="004F20BB">
          <w:rPr>
            <w:noProof/>
            <w:webHidden/>
          </w:rPr>
          <w:fldChar w:fldCharType="begin"/>
        </w:r>
        <w:r w:rsidR="004F20BB">
          <w:rPr>
            <w:noProof/>
            <w:webHidden/>
          </w:rPr>
          <w:instrText xml:space="preserve"> PAGEREF _Toc47516743 \h </w:instrText>
        </w:r>
        <w:r w:rsidR="004F20BB">
          <w:rPr>
            <w:noProof/>
            <w:webHidden/>
          </w:rPr>
        </w:r>
        <w:r w:rsidR="004F20BB">
          <w:rPr>
            <w:noProof/>
            <w:webHidden/>
          </w:rPr>
          <w:fldChar w:fldCharType="separate"/>
        </w:r>
        <w:r w:rsidR="004F20BB">
          <w:rPr>
            <w:noProof/>
            <w:webHidden/>
          </w:rPr>
          <w:t>266</w:t>
        </w:r>
        <w:r w:rsidR="004F20BB">
          <w:rPr>
            <w:noProof/>
            <w:webHidden/>
          </w:rPr>
          <w:fldChar w:fldCharType="end"/>
        </w:r>
      </w:hyperlink>
    </w:p>
    <w:p w14:paraId="27E6F1B9" w14:textId="109E4F9F" w:rsidR="004F20BB" w:rsidRDefault="00F322E7">
      <w:pPr>
        <w:pStyle w:val="TOC3"/>
        <w:tabs>
          <w:tab w:val="right" w:leader="dot" w:pos="9350"/>
        </w:tabs>
        <w:rPr>
          <w:rFonts w:asciiTheme="minorHAnsi" w:eastAsiaTheme="minorEastAsia" w:hAnsiTheme="minorHAnsi" w:cstheme="minorBidi"/>
          <w:noProof/>
        </w:rPr>
      </w:pPr>
      <w:hyperlink w:anchor="_Toc47516744" w:history="1">
        <w:r w:rsidR="004F20BB" w:rsidRPr="00DB2EFF">
          <w:rPr>
            <w:rStyle w:val="Hyperlink"/>
            <w:noProof/>
          </w:rPr>
          <w:drawing>
            <wp:inline distT="0" distB="0" distL="0" distR="0" wp14:anchorId="035217D9" wp14:editId="7F699720">
              <wp:extent cx="166370" cy="156845"/>
              <wp:effectExtent l="0" t="0" r="5080" b="0"/>
              <wp:docPr id="1169" name="Picture 1169"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4F20BB" w:rsidRPr="00DB2EFF">
          <w:rPr>
            <w:rStyle w:val="Hyperlink"/>
            <w:noProof/>
          </w:rPr>
          <w:t xml:space="preserve"> Display Patient Merge Alerts</w:t>
        </w:r>
        <w:r w:rsidR="004F20BB">
          <w:rPr>
            <w:noProof/>
            <w:webHidden/>
          </w:rPr>
          <w:tab/>
        </w:r>
        <w:r w:rsidR="004F20BB">
          <w:rPr>
            <w:noProof/>
            <w:webHidden/>
          </w:rPr>
          <w:fldChar w:fldCharType="begin"/>
        </w:r>
        <w:r w:rsidR="004F20BB">
          <w:rPr>
            <w:noProof/>
            <w:webHidden/>
          </w:rPr>
          <w:instrText xml:space="preserve"> PAGEREF _Toc47516744 \h </w:instrText>
        </w:r>
        <w:r w:rsidR="004F20BB">
          <w:rPr>
            <w:noProof/>
            <w:webHidden/>
          </w:rPr>
        </w:r>
        <w:r w:rsidR="004F20BB">
          <w:rPr>
            <w:noProof/>
            <w:webHidden/>
          </w:rPr>
          <w:fldChar w:fldCharType="separate"/>
        </w:r>
        <w:r w:rsidR="004F20BB">
          <w:rPr>
            <w:noProof/>
            <w:webHidden/>
          </w:rPr>
          <w:t>268</w:t>
        </w:r>
        <w:r w:rsidR="004F20BB">
          <w:rPr>
            <w:noProof/>
            <w:webHidden/>
          </w:rPr>
          <w:fldChar w:fldCharType="end"/>
        </w:r>
      </w:hyperlink>
    </w:p>
    <w:p w14:paraId="61D40CB6" w14:textId="2A55F793" w:rsidR="004F20BB" w:rsidRDefault="00F322E7">
      <w:pPr>
        <w:pStyle w:val="TOC2"/>
        <w:tabs>
          <w:tab w:val="right" w:leader="dot" w:pos="9350"/>
        </w:tabs>
        <w:rPr>
          <w:rFonts w:asciiTheme="minorHAnsi" w:eastAsiaTheme="minorEastAsia" w:hAnsiTheme="minorHAnsi" w:cstheme="minorBidi"/>
          <w:smallCaps w:val="0"/>
          <w:noProof/>
        </w:rPr>
      </w:pPr>
      <w:hyperlink w:anchor="_Toc47516745" w:history="1">
        <w:r w:rsidR="004F20BB" w:rsidRPr="00DB2EFF">
          <w:rPr>
            <w:rStyle w:val="Hyperlink"/>
            <w:noProof/>
          </w:rPr>
          <w:t>Emergency Transfusion Order Processing</w:t>
        </w:r>
        <w:r w:rsidR="004F20BB">
          <w:rPr>
            <w:noProof/>
            <w:webHidden/>
          </w:rPr>
          <w:tab/>
        </w:r>
        <w:r w:rsidR="004F20BB">
          <w:rPr>
            <w:noProof/>
            <w:webHidden/>
          </w:rPr>
          <w:fldChar w:fldCharType="begin"/>
        </w:r>
        <w:r w:rsidR="004F20BB">
          <w:rPr>
            <w:noProof/>
            <w:webHidden/>
          </w:rPr>
          <w:instrText xml:space="preserve"> PAGEREF _Toc47516745 \h </w:instrText>
        </w:r>
        <w:r w:rsidR="004F20BB">
          <w:rPr>
            <w:noProof/>
            <w:webHidden/>
          </w:rPr>
        </w:r>
        <w:r w:rsidR="004F20BB">
          <w:rPr>
            <w:noProof/>
            <w:webHidden/>
          </w:rPr>
          <w:fldChar w:fldCharType="separate"/>
        </w:r>
        <w:r w:rsidR="004F20BB">
          <w:rPr>
            <w:noProof/>
            <w:webHidden/>
          </w:rPr>
          <w:t>269</w:t>
        </w:r>
        <w:r w:rsidR="004F20BB">
          <w:rPr>
            <w:noProof/>
            <w:webHidden/>
          </w:rPr>
          <w:fldChar w:fldCharType="end"/>
        </w:r>
      </w:hyperlink>
    </w:p>
    <w:p w14:paraId="1EF89F66" w14:textId="5F2DDACA" w:rsidR="004F20BB" w:rsidRDefault="00F322E7">
      <w:pPr>
        <w:pStyle w:val="TOC2"/>
        <w:tabs>
          <w:tab w:val="right" w:leader="dot" w:pos="9350"/>
        </w:tabs>
        <w:rPr>
          <w:rFonts w:asciiTheme="minorHAnsi" w:eastAsiaTheme="minorEastAsia" w:hAnsiTheme="minorHAnsi" w:cstheme="minorBidi"/>
          <w:smallCaps w:val="0"/>
          <w:noProof/>
        </w:rPr>
      </w:pPr>
      <w:hyperlink w:anchor="_Toc47516746" w:history="1">
        <w:r w:rsidR="004F20BB" w:rsidRPr="00DB2EFF">
          <w:rPr>
            <w:rStyle w:val="Hyperlink"/>
            <w:noProof/>
          </w:rPr>
          <w:t>Maintain Specimen</w:t>
        </w:r>
        <w:r w:rsidR="004F20BB">
          <w:rPr>
            <w:noProof/>
            <w:webHidden/>
          </w:rPr>
          <w:tab/>
        </w:r>
        <w:r w:rsidR="004F20BB">
          <w:rPr>
            <w:noProof/>
            <w:webHidden/>
          </w:rPr>
          <w:fldChar w:fldCharType="begin"/>
        </w:r>
        <w:r w:rsidR="004F20BB">
          <w:rPr>
            <w:noProof/>
            <w:webHidden/>
          </w:rPr>
          <w:instrText xml:space="preserve"> PAGEREF _Toc47516746 \h </w:instrText>
        </w:r>
        <w:r w:rsidR="004F20BB">
          <w:rPr>
            <w:noProof/>
            <w:webHidden/>
          </w:rPr>
        </w:r>
        <w:r w:rsidR="004F20BB">
          <w:rPr>
            <w:noProof/>
            <w:webHidden/>
          </w:rPr>
          <w:fldChar w:fldCharType="separate"/>
        </w:r>
        <w:r w:rsidR="004F20BB">
          <w:rPr>
            <w:noProof/>
            <w:webHidden/>
          </w:rPr>
          <w:t>272</w:t>
        </w:r>
        <w:r w:rsidR="004F20BB">
          <w:rPr>
            <w:noProof/>
            <w:webHidden/>
          </w:rPr>
          <w:fldChar w:fldCharType="end"/>
        </w:r>
      </w:hyperlink>
    </w:p>
    <w:p w14:paraId="4307DA81" w14:textId="673217BA" w:rsidR="004F20BB" w:rsidRDefault="00F322E7">
      <w:pPr>
        <w:pStyle w:val="TOC2"/>
        <w:tabs>
          <w:tab w:val="right" w:leader="dot" w:pos="9350"/>
        </w:tabs>
        <w:rPr>
          <w:rFonts w:asciiTheme="minorHAnsi" w:eastAsiaTheme="minorEastAsia" w:hAnsiTheme="minorHAnsi" w:cstheme="minorBidi"/>
          <w:smallCaps w:val="0"/>
          <w:noProof/>
        </w:rPr>
      </w:pPr>
      <w:hyperlink w:anchor="_Toc47516747" w:history="1">
        <w:r w:rsidR="004F20BB" w:rsidRPr="00DB2EFF">
          <w:rPr>
            <w:rStyle w:val="Hyperlink"/>
            <w:noProof/>
          </w:rPr>
          <w:t>Patient Testing: Cancel an Active Order</w:t>
        </w:r>
        <w:r w:rsidR="004F20BB">
          <w:rPr>
            <w:noProof/>
            <w:webHidden/>
          </w:rPr>
          <w:tab/>
        </w:r>
        <w:r w:rsidR="004F20BB">
          <w:rPr>
            <w:noProof/>
            <w:webHidden/>
          </w:rPr>
          <w:fldChar w:fldCharType="begin"/>
        </w:r>
        <w:r w:rsidR="004F20BB">
          <w:rPr>
            <w:noProof/>
            <w:webHidden/>
          </w:rPr>
          <w:instrText xml:space="preserve"> PAGEREF _Toc47516747 \h </w:instrText>
        </w:r>
        <w:r w:rsidR="004F20BB">
          <w:rPr>
            <w:noProof/>
            <w:webHidden/>
          </w:rPr>
        </w:r>
        <w:r w:rsidR="004F20BB">
          <w:rPr>
            <w:noProof/>
            <w:webHidden/>
          </w:rPr>
          <w:fldChar w:fldCharType="separate"/>
        </w:r>
        <w:r w:rsidR="004F20BB">
          <w:rPr>
            <w:noProof/>
            <w:webHidden/>
          </w:rPr>
          <w:t>276</w:t>
        </w:r>
        <w:r w:rsidR="004F20BB">
          <w:rPr>
            <w:noProof/>
            <w:webHidden/>
          </w:rPr>
          <w:fldChar w:fldCharType="end"/>
        </w:r>
      </w:hyperlink>
    </w:p>
    <w:p w14:paraId="1F566786" w14:textId="0ADC6E51" w:rsidR="004F20BB" w:rsidRDefault="00F322E7">
      <w:pPr>
        <w:pStyle w:val="TOC2"/>
        <w:tabs>
          <w:tab w:val="right" w:leader="dot" w:pos="9350"/>
        </w:tabs>
        <w:rPr>
          <w:rFonts w:asciiTheme="minorHAnsi" w:eastAsiaTheme="minorEastAsia" w:hAnsiTheme="minorHAnsi" w:cstheme="minorBidi"/>
          <w:smallCaps w:val="0"/>
          <w:noProof/>
        </w:rPr>
      </w:pPr>
      <w:hyperlink w:anchor="_Toc47516748" w:history="1">
        <w:r w:rsidR="004F20BB" w:rsidRPr="00DB2EFF">
          <w:rPr>
            <w:rStyle w:val="Hyperlink"/>
            <w:noProof/>
          </w:rPr>
          <w:t>Patient Testing: Pending Task List</w:t>
        </w:r>
        <w:r w:rsidR="004F20BB">
          <w:rPr>
            <w:noProof/>
            <w:webHidden/>
          </w:rPr>
          <w:tab/>
        </w:r>
        <w:r w:rsidR="004F20BB">
          <w:rPr>
            <w:noProof/>
            <w:webHidden/>
          </w:rPr>
          <w:fldChar w:fldCharType="begin"/>
        </w:r>
        <w:r w:rsidR="004F20BB">
          <w:rPr>
            <w:noProof/>
            <w:webHidden/>
          </w:rPr>
          <w:instrText xml:space="preserve"> PAGEREF _Toc47516748 \h </w:instrText>
        </w:r>
        <w:r w:rsidR="004F20BB">
          <w:rPr>
            <w:noProof/>
            <w:webHidden/>
          </w:rPr>
        </w:r>
        <w:r w:rsidR="004F20BB">
          <w:rPr>
            <w:noProof/>
            <w:webHidden/>
          </w:rPr>
          <w:fldChar w:fldCharType="separate"/>
        </w:r>
        <w:r w:rsidR="004F20BB">
          <w:rPr>
            <w:noProof/>
            <w:webHidden/>
          </w:rPr>
          <w:t>278</w:t>
        </w:r>
        <w:r w:rsidR="004F20BB">
          <w:rPr>
            <w:noProof/>
            <w:webHidden/>
          </w:rPr>
          <w:fldChar w:fldCharType="end"/>
        </w:r>
      </w:hyperlink>
    </w:p>
    <w:p w14:paraId="50CE3F4B" w14:textId="222C3494" w:rsidR="004F20BB" w:rsidRDefault="00F322E7">
      <w:pPr>
        <w:pStyle w:val="TOC3"/>
        <w:tabs>
          <w:tab w:val="right" w:leader="dot" w:pos="9350"/>
        </w:tabs>
        <w:rPr>
          <w:rFonts w:asciiTheme="minorHAnsi" w:eastAsiaTheme="minorEastAsia" w:hAnsiTheme="minorHAnsi" w:cstheme="minorBidi"/>
          <w:noProof/>
        </w:rPr>
      </w:pPr>
      <w:hyperlink w:anchor="_Toc47516749" w:history="1">
        <w:r w:rsidR="004F20BB" w:rsidRPr="00DB2EFF">
          <w:rPr>
            <w:rStyle w:val="Hyperlink"/>
            <w:noProof/>
          </w:rPr>
          <w:t>Accept Orders: Cancel a Pending Order</w:t>
        </w:r>
        <w:r w:rsidR="004F20BB">
          <w:rPr>
            <w:noProof/>
            <w:webHidden/>
          </w:rPr>
          <w:tab/>
        </w:r>
        <w:r w:rsidR="004F20BB">
          <w:rPr>
            <w:noProof/>
            <w:webHidden/>
          </w:rPr>
          <w:fldChar w:fldCharType="begin"/>
        </w:r>
        <w:r w:rsidR="004F20BB">
          <w:rPr>
            <w:noProof/>
            <w:webHidden/>
          </w:rPr>
          <w:instrText xml:space="preserve"> PAGEREF _Toc47516749 \h </w:instrText>
        </w:r>
        <w:r w:rsidR="004F20BB">
          <w:rPr>
            <w:noProof/>
            <w:webHidden/>
          </w:rPr>
        </w:r>
        <w:r w:rsidR="004F20BB">
          <w:rPr>
            <w:noProof/>
            <w:webHidden/>
          </w:rPr>
          <w:fldChar w:fldCharType="separate"/>
        </w:r>
        <w:r w:rsidR="004F20BB">
          <w:rPr>
            <w:noProof/>
            <w:webHidden/>
          </w:rPr>
          <w:t>280</w:t>
        </w:r>
        <w:r w:rsidR="004F20BB">
          <w:rPr>
            <w:noProof/>
            <w:webHidden/>
          </w:rPr>
          <w:fldChar w:fldCharType="end"/>
        </w:r>
      </w:hyperlink>
    </w:p>
    <w:p w14:paraId="135F0241" w14:textId="6CC46EB6" w:rsidR="004F20BB" w:rsidRDefault="00F322E7">
      <w:pPr>
        <w:pStyle w:val="TOC2"/>
        <w:tabs>
          <w:tab w:val="right" w:leader="dot" w:pos="9350"/>
        </w:tabs>
        <w:rPr>
          <w:rFonts w:asciiTheme="minorHAnsi" w:eastAsiaTheme="minorEastAsia" w:hAnsiTheme="minorHAnsi" w:cstheme="minorBidi"/>
          <w:smallCaps w:val="0"/>
          <w:noProof/>
        </w:rPr>
      </w:pPr>
      <w:hyperlink w:anchor="_Toc47516750" w:history="1">
        <w:r w:rsidR="004F20BB" w:rsidRPr="00DB2EFF">
          <w:rPr>
            <w:rStyle w:val="Hyperlink"/>
            <w:noProof/>
          </w:rPr>
          <w:t>Order Reflex Tests</w:t>
        </w:r>
        <w:r w:rsidR="004F20BB">
          <w:rPr>
            <w:noProof/>
            <w:webHidden/>
          </w:rPr>
          <w:tab/>
        </w:r>
        <w:r w:rsidR="004F20BB">
          <w:rPr>
            <w:noProof/>
            <w:webHidden/>
          </w:rPr>
          <w:fldChar w:fldCharType="begin"/>
        </w:r>
        <w:r w:rsidR="004F20BB">
          <w:rPr>
            <w:noProof/>
            <w:webHidden/>
          </w:rPr>
          <w:instrText xml:space="preserve"> PAGEREF _Toc47516750 \h </w:instrText>
        </w:r>
        <w:r w:rsidR="004F20BB">
          <w:rPr>
            <w:noProof/>
            <w:webHidden/>
          </w:rPr>
        </w:r>
        <w:r w:rsidR="004F20BB">
          <w:rPr>
            <w:noProof/>
            <w:webHidden/>
          </w:rPr>
          <w:fldChar w:fldCharType="separate"/>
        </w:r>
        <w:r w:rsidR="004F20BB">
          <w:rPr>
            <w:noProof/>
            <w:webHidden/>
          </w:rPr>
          <w:t>282</w:t>
        </w:r>
        <w:r w:rsidR="004F20BB">
          <w:rPr>
            <w:noProof/>
            <w:webHidden/>
          </w:rPr>
          <w:fldChar w:fldCharType="end"/>
        </w:r>
      </w:hyperlink>
    </w:p>
    <w:p w14:paraId="3EE64191" w14:textId="39990C36" w:rsidR="004F20BB" w:rsidRDefault="00F322E7">
      <w:pPr>
        <w:pStyle w:val="TOC1"/>
        <w:tabs>
          <w:tab w:val="right" w:leader="dot" w:pos="9350"/>
        </w:tabs>
        <w:rPr>
          <w:rFonts w:asciiTheme="minorHAnsi" w:eastAsiaTheme="minorEastAsia" w:hAnsiTheme="minorHAnsi" w:cstheme="minorBidi"/>
          <w:b w:val="0"/>
          <w:caps w:val="0"/>
          <w:noProof/>
        </w:rPr>
      </w:pPr>
      <w:hyperlink w:anchor="_Toc47516751" w:history="1">
        <w:r w:rsidR="004F20BB" w:rsidRPr="00DB2EFF">
          <w:rPr>
            <w:rStyle w:val="Hyperlink"/>
            <w:noProof/>
          </w:rPr>
          <w:t>Patient Services</w:t>
        </w:r>
        <w:r w:rsidR="004F20BB">
          <w:rPr>
            <w:noProof/>
            <w:webHidden/>
          </w:rPr>
          <w:tab/>
        </w:r>
        <w:r w:rsidR="004F20BB">
          <w:rPr>
            <w:noProof/>
            <w:webHidden/>
          </w:rPr>
          <w:fldChar w:fldCharType="begin"/>
        </w:r>
        <w:r w:rsidR="004F20BB">
          <w:rPr>
            <w:noProof/>
            <w:webHidden/>
          </w:rPr>
          <w:instrText xml:space="preserve"> PAGEREF _Toc47516751 \h </w:instrText>
        </w:r>
        <w:r w:rsidR="004F20BB">
          <w:rPr>
            <w:noProof/>
            <w:webHidden/>
          </w:rPr>
        </w:r>
        <w:r w:rsidR="004F20BB">
          <w:rPr>
            <w:noProof/>
            <w:webHidden/>
          </w:rPr>
          <w:fldChar w:fldCharType="separate"/>
        </w:r>
        <w:r w:rsidR="004F20BB">
          <w:rPr>
            <w:noProof/>
            <w:webHidden/>
          </w:rPr>
          <w:t>285</w:t>
        </w:r>
        <w:r w:rsidR="004F20BB">
          <w:rPr>
            <w:noProof/>
            <w:webHidden/>
          </w:rPr>
          <w:fldChar w:fldCharType="end"/>
        </w:r>
      </w:hyperlink>
    </w:p>
    <w:p w14:paraId="226E3C3B" w14:textId="0F53E606" w:rsidR="004F20BB" w:rsidRDefault="00F322E7">
      <w:pPr>
        <w:pStyle w:val="TOC2"/>
        <w:tabs>
          <w:tab w:val="right" w:leader="dot" w:pos="9350"/>
        </w:tabs>
        <w:rPr>
          <w:rFonts w:asciiTheme="minorHAnsi" w:eastAsiaTheme="minorEastAsia" w:hAnsiTheme="minorHAnsi" w:cstheme="minorBidi"/>
          <w:smallCaps w:val="0"/>
          <w:noProof/>
        </w:rPr>
      </w:pPr>
      <w:hyperlink w:anchor="_Toc47516752" w:history="1">
        <w:r w:rsidR="004F20BB" w:rsidRPr="00DB2EFF">
          <w:rPr>
            <w:rStyle w:val="Hyperlink"/>
            <w:noProof/>
          </w:rPr>
          <w:t>Patient Search Screen</w:t>
        </w:r>
        <w:r w:rsidR="004F20BB">
          <w:rPr>
            <w:noProof/>
            <w:webHidden/>
          </w:rPr>
          <w:tab/>
        </w:r>
        <w:r w:rsidR="004F20BB">
          <w:rPr>
            <w:noProof/>
            <w:webHidden/>
          </w:rPr>
          <w:fldChar w:fldCharType="begin"/>
        </w:r>
        <w:r w:rsidR="004F20BB">
          <w:rPr>
            <w:noProof/>
            <w:webHidden/>
          </w:rPr>
          <w:instrText xml:space="preserve"> PAGEREF _Toc47516752 \h </w:instrText>
        </w:r>
        <w:r w:rsidR="004F20BB">
          <w:rPr>
            <w:noProof/>
            <w:webHidden/>
          </w:rPr>
        </w:r>
        <w:r w:rsidR="004F20BB">
          <w:rPr>
            <w:noProof/>
            <w:webHidden/>
          </w:rPr>
          <w:fldChar w:fldCharType="separate"/>
        </w:r>
        <w:r w:rsidR="004F20BB">
          <w:rPr>
            <w:noProof/>
            <w:webHidden/>
          </w:rPr>
          <w:t>285</w:t>
        </w:r>
        <w:r w:rsidR="004F20BB">
          <w:rPr>
            <w:noProof/>
            <w:webHidden/>
          </w:rPr>
          <w:fldChar w:fldCharType="end"/>
        </w:r>
      </w:hyperlink>
    </w:p>
    <w:p w14:paraId="7A097421" w14:textId="00A44B96" w:rsidR="004F20BB" w:rsidRDefault="00F322E7">
      <w:pPr>
        <w:pStyle w:val="TOC3"/>
        <w:tabs>
          <w:tab w:val="right" w:leader="dot" w:pos="9350"/>
        </w:tabs>
        <w:rPr>
          <w:rFonts w:asciiTheme="minorHAnsi" w:eastAsiaTheme="minorEastAsia" w:hAnsiTheme="minorHAnsi" w:cstheme="minorBidi"/>
          <w:noProof/>
        </w:rPr>
      </w:pPr>
      <w:hyperlink w:anchor="_Toc47516753" w:history="1">
        <w:r w:rsidR="004F20BB" w:rsidRPr="00DB2EFF">
          <w:rPr>
            <w:rStyle w:val="Hyperlink"/>
            <w:noProof/>
          </w:rPr>
          <w:t>Patient Merge</w:t>
        </w:r>
        <w:r w:rsidR="004F20BB">
          <w:rPr>
            <w:noProof/>
            <w:webHidden/>
          </w:rPr>
          <w:tab/>
        </w:r>
        <w:r w:rsidR="004F20BB">
          <w:rPr>
            <w:noProof/>
            <w:webHidden/>
          </w:rPr>
          <w:fldChar w:fldCharType="begin"/>
        </w:r>
        <w:r w:rsidR="004F20BB">
          <w:rPr>
            <w:noProof/>
            <w:webHidden/>
          </w:rPr>
          <w:instrText xml:space="preserve"> PAGEREF _Toc47516753 \h </w:instrText>
        </w:r>
        <w:r w:rsidR="004F20BB">
          <w:rPr>
            <w:noProof/>
            <w:webHidden/>
          </w:rPr>
        </w:r>
        <w:r w:rsidR="004F20BB">
          <w:rPr>
            <w:noProof/>
            <w:webHidden/>
          </w:rPr>
          <w:fldChar w:fldCharType="separate"/>
        </w:r>
        <w:r w:rsidR="004F20BB">
          <w:rPr>
            <w:noProof/>
            <w:webHidden/>
          </w:rPr>
          <w:t>288</w:t>
        </w:r>
        <w:r w:rsidR="004F20BB">
          <w:rPr>
            <w:noProof/>
            <w:webHidden/>
          </w:rPr>
          <w:fldChar w:fldCharType="end"/>
        </w:r>
      </w:hyperlink>
    </w:p>
    <w:p w14:paraId="57B907E1" w14:textId="6BFF63AB" w:rsidR="004F20BB" w:rsidRDefault="00F322E7">
      <w:pPr>
        <w:pStyle w:val="TOC3"/>
        <w:tabs>
          <w:tab w:val="right" w:leader="dot" w:pos="9350"/>
        </w:tabs>
        <w:rPr>
          <w:rFonts w:asciiTheme="minorHAnsi" w:eastAsiaTheme="minorEastAsia" w:hAnsiTheme="minorHAnsi" w:cstheme="minorBidi"/>
          <w:noProof/>
        </w:rPr>
      </w:pPr>
      <w:hyperlink w:anchor="_Toc47516754" w:history="1">
        <w:r w:rsidR="004F20BB" w:rsidRPr="00DB2EFF">
          <w:rPr>
            <w:rStyle w:val="Hyperlink"/>
            <w:noProof/>
          </w:rPr>
          <w:t>Updated Patients and Deceased Patients</w:t>
        </w:r>
        <w:r w:rsidR="004F20BB">
          <w:rPr>
            <w:noProof/>
            <w:webHidden/>
          </w:rPr>
          <w:tab/>
        </w:r>
        <w:r w:rsidR="004F20BB">
          <w:rPr>
            <w:noProof/>
            <w:webHidden/>
          </w:rPr>
          <w:fldChar w:fldCharType="begin"/>
        </w:r>
        <w:r w:rsidR="004F20BB">
          <w:rPr>
            <w:noProof/>
            <w:webHidden/>
          </w:rPr>
          <w:instrText xml:space="preserve"> PAGEREF _Toc47516754 \h </w:instrText>
        </w:r>
        <w:r w:rsidR="004F20BB">
          <w:rPr>
            <w:noProof/>
            <w:webHidden/>
          </w:rPr>
        </w:r>
        <w:r w:rsidR="004F20BB">
          <w:rPr>
            <w:noProof/>
            <w:webHidden/>
          </w:rPr>
          <w:fldChar w:fldCharType="separate"/>
        </w:r>
        <w:r w:rsidR="004F20BB">
          <w:rPr>
            <w:noProof/>
            <w:webHidden/>
          </w:rPr>
          <w:t>292</w:t>
        </w:r>
        <w:r w:rsidR="004F20BB">
          <w:rPr>
            <w:noProof/>
            <w:webHidden/>
          </w:rPr>
          <w:fldChar w:fldCharType="end"/>
        </w:r>
      </w:hyperlink>
    </w:p>
    <w:p w14:paraId="7070202C" w14:textId="42AC2FB5" w:rsidR="004F20BB" w:rsidRDefault="00F322E7">
      <w:pPr>
        <w:pStyle w:val="TOC3"/>
        <w:tabs>
          <w:tab w:val="right" w:leader="dot" w:pos="9350"/>
        </w:tabs>
        <w:rPr>
          <w:rFonts w:asciiTheme="minorHAnsi" w:eastAsiaTheme="minorEastAsia" w:hAnsiTheme="minorHAnsi" w:cstheme="minorBidi"/>
          <w:noProof/>
        </w:rPr>
      </w:pPr>
      <w:hyperlink w:anchor="_Toc47516755" w:history="1">
        <w:r w:rsidR="004F20BB" w:rsidRPr="00DB2EFF">
          <w:rPr>
            <w:rStyle w:val="Hyperlink"/>
            <w:noProof/>
          </w:rPr>
          <w:t>Patient Testing: General Instructions</w:t>
        </w:r>
        <w:r w:rsidR="004F20BB">
          <w:rPr>
            <w:noProof/>
            <w:webHidden/>
          </w:rPr>
          <w:tab/>
        </w:r>
        <w:r w:rsidR="004F20BB">
          <w:rPr>
            <w:noProof/>
            <w:webHidden/>
          </w:rPr>
          <w:fldChar w:fldCharType="begin"/>
        </w:r>
        <w:r w:rsidR="004F20BB">
          <w:rPr>
            <w:noProof/>
            <w:webHidden/>
          </w:rPr>
          <w:instrText xml:space="preserve"> PAGEREF _Toc47516755 \h </w:instrText>
        </w:r>
        <w:r w:rsidR="004F20BB">
          <w:rPr>
            <w:noProof/>
            <w:webHidden/>
          </w:rPr>
        </w:r>
        <w:r w:rsidR="004F20BB">
          <w:rPr>
            <w:noProof/>
            <w:webHidden/>
          </w:rPr>
          <w:fldChar w:fldCharType="separate"/>
        </w:r>
        <w:r w:rsidR="004F20BB">
          <w:rPr>
            <w:noProof/>
            <w:webHidden/>
          </w:rPr>
          <w:t>293</w:t>
        </w:r>
        <w:r w:rsidR="004F20BB">
          <w:rPr>
            <w:noProof/>
            <w:webHidden/>
          </w:rPr>
          <w:fldChar w:fldCharType="end"/>
        </w:r>
      </w:hyperlink>
    </w:p>
    <w:p w14:paraId="188F253C" w14:textId="111A2845" w:rsidR="004F20BB" w:rsidRDefault="00F322E7">
      <w:pPr>
        <w:pStyle w:val="TOC3"/>
        <w:tabs>
          <w:tab w:val="right" w:leader="dot" w:pos="9350"/>
        </w:tabs>
        <w:rPr>
          <w:rFonts w:asciiTheme="minorHAnsi" w:eastAsiaTheme="minorEastAsia" w:hAnsiTheme="minorHAnsi" w:cstheme="minorBidi"/>
          <w:noProof/>
        </w:rPr>
      </w:pPr>
      <w:hyperlink w:anchor="_Toc47516756" w:history="1">
        <w:r w:rsidR="004F20BB" w:rsidRPr="00DB2EFF">
          <w:rPr>
            <w:rStyle w:val="Hyperlink"/>
            <w:noProof/>
          </w:rPr>
          <w:t>Patient Testing: Record a Patient ABO/Rh</w:t>
        </w:r>
        <w:r w:rsidR="004F20BB">
          <w:rPr>
            <w:noProof/>
            <w:webHidden/>
          </w:rPr>
          <w:tab/>
        </w:r>
        <w:r w:rsidR="004F20BB">
          <w:rPr>
            <w:noProof/>
            <w:webHidden/>
          </w:rPr>
          <w:fldChar w:fldCharType="begin"/>
        </w:r>
        <w:r w:rsidR="004F20BB">
          <w:rPr>
            <w:noProof/>
            <w:webHidden/>
          </w:rPr>
          <w:instrText xml:space="preserve"> PAGEREF _Toc47516756 \h </w:instrText>
        </w:r>
        <w:r w:rsidR="004F20BB">
          <w:rPr>
            <w:noProof/>
            <w:webHidden/>
          </w:rPr>
        </w:r>
        <w:r w:rsidR="004F20BB">
          <w:rPr>
            <w:noProof/>
            <w:webHidden/>
          </w:rPr>
          <w:fldChar w:fldCharType="separate"/>
        </w:r>
        <w:r w:rsidR="004F20BB">
          <w:rPr>
            <w:noProof/>
            <w:webHidden/>
          </w:rPr>
          <w:t>299</w:t>
        </w:r>
        <w:r w:rsidR="004F20BB">
          <w:rPr>
            <w:noProof/>
            <w:webHidden/>
          </w:rPr>
          <w:fldChar w:fldCharType="end"/>
        </w:r>
      </w:hyperlink>
    </w:p>
    <w:p w14:paraId="46941BFB" w14:textId="38C5EF7D" w:rsidR="004F20BB" w:rsidRDefault="00F322E7">
      <w:pPr>
        <w:pStyle w:val="TOC3"/>
        <w:tabs>
          <w:tab w:val="right" w:leader="dot" w:pos="9350"/>
        </w:tabs>
        <w:rPr>
          <w:rFonts w:asciiTheme="minorHAnsi" w:eastAsiaTheme="minorEastAsia" w:hAnsiTheme="minorHAnsi" w:cstheme="minorBidi"/>
          <w:noProof/>
        </w:rPr>
      </w:pPr>
      <w:hyperlink w:anchor="_Toc47516757" w:history="1">
        <w:r w:rsidR="004F20BB" w:rsidRPr="00DB2EFF">
          <w:rPr>
            <w:rStyle w:val="Hyperlink"/>
            <w:noProof/>
          </w:rPr>
          <w:t>Patient Testing: Record a Patient Antibody Screen</w:t>
        </w:r>
        <w:r w:rsidR="004F20BB">
          <w:rPr>
            <w:noProof/>
            <w:webHidden/>
          </w:rPr>
          <w:tab/>
        </w:r>
        <w:r w:rsidR="004F20BB">
          <w:rPr>
            <w:noProof/>
            <w:webHidden/>
          </w:rPr>
          <w:fldChar w:fldCharType="begin"/>
        </w:r>
        <w:r w:rsidR="004F20BB">
          <w:rPr>
            <w:noProof/>
            <w:webHidden/>
          </w:rPr>
          <w:instrText xml:space="preserve"> PAGEREF _Toc47516757 \h </w:instrText>
        </w:r>
        <w:r w:rsidR="004F20BB">
          <w:rPr>
            <w:noProof/>
            <w:webHidden/>
          </w:rPr>
        </w:r>
        <w:r w:rsidR="004F20BB">
          <w:rPr>
            <w:noProof/>
            <w:webHidden/>
          </w:rPr>
          <w:fldChar w:fldCharType="separate"/>
        </w:r>
        <w:r w:rsidR="004F20BB">
          <w:rPr>
            <w:noProof/>
            <w:webHidden/>
          </w:rPr>
          <w:t>302</w:t>
        </w:r>
        <w:r w:rsidR="004F20BB">
          <w:rPr>
            <w:noProof/>
            <w:webHidden/>
          </w:rPr>
          <w:fldChar w:fldCharType="end"/>
        </w:r>
      </w:hyperlink>
    </w:p>
    <w:p w14:paraId="3B0233F7" w14:textId="7773F51D" w:rsidR="004F20BB" w:rsidRDefault="00F322E7">
      <w:pPr>
        <w:pStyle w:val="TOC3"/>
        <w:tabs>
          <w:tab w:val="right" w:leader="dot" w:pos="9350"/>
        </w:tabs>
        <w:rPr>
          <w:rFonts w:asciiTheme="minorHAnsi" w:eastAsiaTheme="minorEastAsia" w:hAnsiTheme="minorHAnsi" w:cstheme="minorBidi"/>
          <w:noProof/>
        </w:rPr>
      </w:pPr>
      <w:hyperlink w:anchor="_Toc47516758" w:history="1">
        <w:r w:rsidR="004F20BB" w:rsidRPr="00DB2EFF">
          <w:rPr>
            <w:rStyle w:val="Hyperlink"/>
            <w:noProof/>
          </w:rPr>
          <w:t>Patient Testing: Record a Direct Antiglobulin Test</w:t>
        </w:r>
        <w:r w:rsidR="004F20BB">
          <w:rPr>
            <w:noProof/>
            <w:webHidden/>
          </w:rPr>
          <w:tab/>
        </w:r>
        <w:r w:rsidR="004F20BB">
          <w:rPr>
            <w:noProof/>
            <w:webHidden/>
          </w:rPr>
          <w:fldChar w:fldCharType="begin"/>
        </w:r>
        <w:r w:rsidR="004F20BB">
          <w:rPr>
            <w:noProof/>
            <w:webHidden/>
          </w:rPr>
          <w:instrText xml:space="preserve"> PAGEREF _Toc47516758 \h </w:instrText>
        </w:r>
        <w:r w:rsidR="004F20BB">
          <w:rPr>
            <w:noProof/>
            <w:webHidden/>
          </w:rPr>
        </w:r>
        <w:r w:rsidR="004F20BB">
          <w:rPr>
            <w:noProof/>
            <w:webHidden/>
          </w:rPr>
          <w:fldChar w:fldCharType="separate"/>
        </w:r>
        <w:r w:rsidR="004F20BB">
          <w:rPr>
            <w:noProof/>
            <w:webHidden/>
          </w:rPr>
          <w:t>304</w:t>
        </w:r>
        <w:r w:rsidR="004F20BB">
          <w:rPr>
            <w:noProof/>
            <w:webHidden/>
          </w:rPr>
          <w:fldChar w:fldCharType="end"/>
        </w:r>
      </w:hyperlink>
    </w:p>
    <w:p w14:paraId="5E906504" w14:textId="5D9845F2" w:rsidR="004F20BB" w:rsidRDefault="00F322E7">
      <w:pPr>
        <w:pStyle w:val="TOC3"/>
        <w:tabs>
          <w:tab w:val="right" w:leader="dot" w:pos="9350"/>
        </w:tabs>
        <w:rPr>
          <w:rFonts w:asciiTheme="minorHAnsi" w:eastAsiaTheme="minorEastAsia" w:hAnsiTheme="minorHAnsi" w:cstheme="minorBidi"/>
          <w:noProof/>
        </w:rPr>
      </w:pPr>
      <w:hyperlink w:anchor="_Toc47516759" w:history="1">
        <w:r w:rsidR="004F20BB" w:rsidRPr="00DB2EFF">
          <w:rPr>
            <w:rStyle w:val="Hyperlink"/>
            <w:noProof/>
          </w:rPr>
          <w:t>Patient Testing: Record a Crossmatch</w:t>
        </w:r>
        <w:r w:rsidR="004F20BB">
          <w:rPr>
            <w:noProof/>
            <w:webHidden/>
          </w:rPr>
          <w:tab/>
        </w:r>
        <w:r w:rsidR="004F20BB">
          <w:rPr>
            <w:noProof/>
            <w:webHidden/>
          </w:rPr>
          <w:fldChar w:fldCharType="begin"/>
        </w:r>
        <w:r w:rsidR="004F20BB">
          <w:rPr>
            <w:noProof/>
            <w:webHidden/>
          </w:rPr>
          <w:instrText xml:space="preserve"> PAGEREF _Toc47516759 \h </w:instrText>
        </w:r>
        <w:r w:rsidR="004F20BB">
          <w:rPr>
            <w:noProof/>
            <w:webHidden/>
          </w:rPr>
        </w:r>
        <w:r w:rsidR="004F20BB">
          <w:rPr>
            <w:noProof/>
            <w:webHidden/>
          </w:rPr>
          <w:fldChar w:fldCharType="separate"/>
        </w:r>
        <w:r w:rsidR="004F20BB">
          <w:rPr>
            <w:noProof/>
            <w:webHidden/>
          </w:rPr>
          <w:t>307</w:t>
        </w:r>
        <w:r w:rsidR="004F20BB">
          <w:rPr>
            <w:noProof/>
            <w:webHidden/>
          </w:rPr>
          <w:fldChar w:fldCharType="end"/>
        </w:r>
      </w:hyperlink>
    </w:p>
    <w:p w14:paraId="648045EF" w14:textId="799EDB16" w:rsidR="004F20BB" w:rsidRDefault="00F322E7">
      <w:pPr>
        <w:pStyle w:val="TOC3"/>
        <w:tabs>
          <w:tab w:val="right" w:leader="dot" w:pos="9350"/>
        </w:tabs>
        <w:rPr>
          <w:rFonts w:asciiTheme="minorHAnsi" w:eastAsiaTheme="minorEastAsia" w:hAnsiTheme="minorHAnsi" w:cstheme="minorBidi"/>
          <w:noProof/>
        </w:rPr>
      </w:pPr>
      <w:hyperlink w:anchor="_Toc47516760" w:history="1">
        <w:r w:rsidR="004F20BB" w:rsidRPr="00DB2EFF">
          <w:rPr>
            <w:rStyle w:val="Hyperlink"/>
            <w:noProof/>
          </w:rPr>
          <w:t>Patient Testing: Record a Patient Antigen Typing</w:t>
        </w:r>
        <w:r w:rsidR="004F20BB">
          <w:rPr>
            <w:noProof/>
            <w:webHidden/>
          </w:rPr>
          <w:tab/>
        </w:r>
        <w:r w:rsidR="004F20BB">
          <w:rPr>
            <w:noProof/>
            <w:webHidden/>
          </w:rPr>
          <w:fldChar w:fldCharType="begin"/>
        </w:r>
        <w:r w:rsidR="004F20BB">
          <w:rPr>
            <w:noProof/>
            <w:webHidden/>
          </w:rPr>
          <w:instrText xml:space="preserve"> PAGEREF _Toc47516760 \h </w:instrText>
        </w:r>
        <w:r w:rsidR="004F20BB">
          <w:rPr>
            <w:noProof/>
            <w:webHidden/>
          </w:rPr>
        </w:r>
        <w:r w:rsidR="004F20BB">
          <w:rPr>
            <w:noProof/>
            <w:webHidden/>
          </w:rPr>
          <w:fldChar w:fldCharType="separate"/>
        </w:r>
        <w:r w:rsidR="004F20BB">
          <w:rPr>
            <w:noProof/>
            <w:webHidden/>
          </w:rPr>
          <w:t>313</w:t>
        </w:r>
        <w:r w:rsidR="004F20BB">
          <w:rPr>
            <w:noProof/>
            <w:webHidden/>
          </w:rPr>
          <w:fldChar w:fldCharType="end"/>
        </w:r>
      </w:hyperlink>
    </w:p>
    <w:p w14:paraId="2807C8DA" w14:textId="0445C927" w:rsidR="004F20BB" w:rsidRDefault="00F322E7">
      <w:pPr>
        <w:pStyle w:val="TOC3"/>
        <w:tabs>
          <w:tab w:val="right" w:leader="dot" w:pos="9350"/>
        </w:tabs>
        <w:rPr>
          <w:rFonts w:asciiTheme="minorHAnsi" w:eastAsiaTheme="minorEastAsia" w:hAnsiTheme="minorHAnsi" w:cstheme="minorBidi"/>
          <w:noProof/>
        </w:rPr>
      </w:pPr>
      <w:hyperlink w:anchor="_Toc47516761" w:history="1">
        <w:r w:rsidR="004F20BB" w:rsidRPr="00DB2EFF">
          <w:rPr>
            <w:rStyle w:val="Hyperlink"/>
            <w:noProof/>
          </w:rPr>
          <w:t>Patient Testing: Enter Antibody Identification Results</w:t>
        </w:r>
        <w:r w:rsidR="004F20BB">
          <w:rPr>
            <w:noProof/>
            <w:webHidden/>
          </w:rPr>
          <w:tab/>
        </w:r>
        <w:r w:rsidR="004F20BB">
          <w:rPr>
            <w:noProof/>
            <w:webHidden/>
          </w:rPr>
          <w:fldChar w:fldCharType="begin"/>
        </w:r>
        <w:r w:rsidR="004F20BB">
          <w:rPr>
            <w:noProof/>
            <w:webHidden/>
          </w:rPr>
          <w:instrText xml:space="preserve"> PAGEREF _Toc47516761 \h </w:instrText>
        </w:r>
        <w:r w:rsidR="004F20BB">
          <w:rPr>
            <w:noProof/>
            <w:webHidden/>
          </w:rPr>
        </w:r>
        <w:r w:rsidR="004F20BB">
          <w:rPr>
            <w:noProof/>
            <w:webHidden/>
          </w:rPr>
          <w:fldChar w:fldCharType="separate"/>
        </w:r>
        <w:r w:rsidR="004F20BB">
          <w:rPr>
            <w:noProof/>
            <w:webHidden/>
          </w:rPr>
          <w:t>319</w:t>
        </w:r>
        <w:r w:rsidR="004F20BB">
          <w:rPr>
            <w:noProof/>
            <w:webHidden/>
          </w:rPr>
          <w:fldChar w:fldCharType="end"/>
        </w:r>
      </w:hyperlink>
    </w:p>
    <w:p w14:paraId="4DB123AB" w14:textId="1AAA8798" w:rsidR="004F20BB" w:rsidRDefault="00F322E7">
      <w:pPr>
        <w:pStyle w:val="TOC3"/>
        <w:tabs>
          <w:tab w:val="right" w:leader="dot" w:pos="9350"/>
        </w:tabs>
        <w:rPr>
          <w:rFonts w:asciiTheme="minorHAnsi" w:eastAsiaTheme="minorEastAsia" w:hAnsiTheme="minorHAnsi" w:cstheme="minorBidi"/>
          <w:noProof/>
        </w:rPr>
      </w:pPr>
      <w:hyperlink w:anchor="_Toc47516762" w:history="1">
        <w:r w:rsidR="004F20BB" w:rsidRPr="00DB2EFF">
          <w:rPr>
            <w:rStyle w:val="Hyperlink"/>
            <w:noProof/>
          </w:rPr>
          <w:t>Patient Testing: Record a Transfusion Reaction Workup</w:t>
        </w:r>
        <w:r w:rsidR="004F20BB">
          <w:rPr>
            <w:noProof/>
            <w:webHidden/>
          </w:rPr>
          <w:tab/>
        </w:r>
        <w:r w:rsidR="004F20BB">
          <w:rPr>
            <w:noProof/>
            <w:webHidden/>
          </w:rPr>
          <w:fldChar w:fldCharType="begin"/>
        </w:r>
        <w:r w:rsidR="004F20BB">
          <w:rPr>
            <w:noProof/>
            <w:webHidden/>
          </w:rPr>
          <w:instrText xml:space="preserve"> PAGEREF _Toc47516762 \h </w:instrText>
        </w:r>
        <w:r w:rsidR="004F20BB">
          <w:rPr>
            <w:noProof/>
            <w:webHidden/>
          </w:rPr>
        </w:r>
        <w:r w:rsidR="004F20BB">
          <w:rPr>
            <w:noProof/>
            <w:webHidden/>
          </w:rPr>
          <w:fldChar w:fldCharType="separate"/>
        </w:r>
        <w:r w:rsidR="004F20BB">
          <w:rPr>
            <w:noProof/>
            <w:webHidden/>
          </w:rPr>
          <w:t>322</w:t>
        </w:r>
        <w:r w:rsidR="004F20BB">
          <w:rPr>
            <w:noProof/>
            <w:webHidden/>
          </w:rPr>
          <w:fldChar w:fldCharType="end"/>
        </w:r>
      </w:hyperlink>
    </w:p>
    <w:p w14:paraId="1FB2341C" w14:textId="00FD75F8" w:rsidR="004F20BB" w:rsidRDefault="00F322E7">
      <w:pPr>
        <w:pStyle w:val="TOC3"/>
        <w:tabs>
          <w:tab w:val="right" w:leader="dot" w:pos="9350"/>
        </w:tabs>
        <w:rPr>
          <w:rFonts w:asciiTheme="minorHAnsi" w:eastAsiaTheme="minorEastAsia" w:hAnsiTheme="minorHAnsi" w:cstheme="minorBidi"/>
          <w:noProof/>
        </w:rPr>
      </w:pPr>
      <w:hyperlink w:anchor="_Toc47516763" w:history="1">
        <w:r w:rsidR="004F20BB" w:rsidRPr="00DB2EFF">
          <w:rPr>
            <w:rStyle w:val="Hyperlink"/>
            <w:noProof/>
          </w:rPr>
          <w:t>Finalize/Print TRW</w:t>
        </w:r>
        <w:r w:rsidR="004F20BB">
          <w:rPr>
            <w:noProof/>
            <w:webHidden/>
          </w:rPr>
          <w:tab/>
        </w:r>
        <w:r w:rsidR="004F20BB">
          <w:rPr>
            <w:noProof/>
            <w:webHidden/>
          </w:rPr>
          <w:fldChar w:fldCharType="begin"/>
        </w:r>
        <w:r w:rsidR="004F20BB">
          <w:rPr>
            <w:noProof/>
            <w:webHidden/>
          </w:rPr>
          <w:instrText xml:space="preserve"> PAGEREF _Toc47516763 \h </w:instrText>
        </w:r>
        <w:r w:rsidR="004F20BB">
          <w:rPr>
            <w:noProof/>
            <w:webHidden/>
          </w:rPr>
        </w:r>
        <w:r w:rsidR="004F20BB">
          <w:rPr>
            <w:noProof/>
            <w:webHidden/>
          </w:rPr>
          <w:fldChar w:fldCharType="separate"/>
        </w:r>
        <w:r w:rsidR="004F20BB">
          <w:rPr>
            <w:noProof/>
            <w:webHidden/>
          </w:rPr>
          <w:t>330</w:t>
        </w:r>
        <w:r w:rsidR="004F20BB">
          <w:rPr>
            <w:noProof/>
            <w:webHidden/>
          </w:rPr>
          <w:fldChar w:fldCharType="end"/>
        </w:r>
      </w:hyperlink>
    </w:p>
    <w:p w14:paraId="1285D99C" w14:textId="67AC6A14" w:rsidR="004F20BB" w:rsidRDefault="00F322E7">
      <w:pPr>
        <w:pStyle w:val="TOC2"/>
        <w:tabs>
          <w:tab w:val="right" w:leader="dot" w:pos="9350"/>
        </w:tabs>
        <w:rPr>
          <w:rFonts w:asciiTheme="minorHAnsi" w:eastAsiaTheme="minorEastAsia" w:hAnsiTheme="minorHAnsi" w:cstheme="minorBidi"/>
          <w:smallCaps w:val="0"/>
          <w:noProof/>
        </w:rPr>
      </w:pPr>
      <w:hyperlink w:anchor="_Toc47516764" w:history="1">
        <w:r w:rsidR="004F20BB" w:rsidRPr="00DB2EFF">
          <w:rPr>
            <w:rStyle w:val="Hyperlink"/>
            <w:noProof/>
          </w:rPr>
          <w:t>Maintain Patient Records</w:t>
        </w:r>
        <w:r w:rsidR="004F20BB">
          <w:rPr>
            <w:noProof/>
            <w:webHidden/>
          </w:rPr>
          <w:tab/>
        </w:r>
        <w:r w:rsidR="004F20BB">
          <w:rPr>
            <w:noProof/>
            <w:webHidden/>
          </w:rPr>
          <w:fldChar w:fldCharType="begin"/>
        </w:r>
        <w:r w:rsidR="004F20BB">
          <w:rPr>
            <w:noProof/>
            <w:webHidden/>
          </w:rPr>
          <w:instrText xml:space="preserve"> PAGEREF _Toc47516764 \h </w:instrText>
        </w:r>
        <w:r w:rsidR="004F20BB">
          <w:rPr>
            <w:noProof/>
            <w:webHidden/>
          </w:rPr>
        </w:r>
        <w:r w:rsidR="004F20BB">
          <w:rPr>
            <w:noProof/>
            <w:webHidden/>
          </w:rPr>
          <w:fldChar w:fldCharType="separate"/>
        </w:r>
        <w:r w:rsidR="004F20BB">
          <w:rPr>
            <w:noProof/>
            <w:webHidden/>
          </w:rPr>
          <w:t>335</w:t>
        </w:r>
        <w:r w:rsidR="004F20BB">
          <w:rPr>
            <w:noProof/>
            <w:webHidden/>
          </w:rPr>
          <w:fldChar w:fldCharType="end"/>
        </w:r>
      </w:hyperlink>
    </w:p>
    <w:p w14:paraId="33F9FB6E" w14:textId="51451057" w:rsidR="004F20BB" w:rsidRDefault="00F322E7">
      <w:pPr>
        <w:pStyle w:val="TOC3"/>
        <w:tabs>
          <w:tab w:val="right" w:leader="dot" w:pos="9350"/>
        </w:tabs>
        <w:rPr>
          <w:rFonts w:asciiTheme="minorHAnsi" w:eastAsiaTheme="minorEastAsia" w:hAnsiTheme="minorHAnsi" w:cstheme="minorBidi"/>
          <w:noProof/>
        </w:rPr>
      </w:pPr>
      <w:hyperlink w:anchor="_Toc47516765" w:history="1">
        <w:r w:rsidR="004F20BB" w:rsidRPr="00DB2EFF">
          <w:rPr>
            <w:rStyle w:val="Hyperlink"/>
            <w:noProof/>
          </w:rPr>
          <w:t>Special Instructions &amp; Transfusion Requirements: Enter a Transfusion Requirement</w:t>
        </w:r>
        <w:r w:rsidR="004F20BB">
          <w:rPr>
            <w:noProof/>
            <w:webHidden/>
          </w:rPr>
          <w:tab/>
        </w:r>
        <w:r w:rsidR="004F20BB">
          <w:rPr>
            <w:noProof/>
            <w:webHidden/>
          </w:rPr>
          <w:fldChar w:fldCharType="begin"/>
        </w:r>
        <w:r w:rsidR="004F20BB">
          <w:rPr>
            <w:noProof/>
            <w:webHidden/>
          </w:rPr>
          <w:instrText xml:space="preserve"> PAGEREF _Toc47516765 \h </w:instrText>
        </w:r>
        <w:r w:rsidR="004F20BB">
          <w:rPr>
            <w:noProof/>
            <w:webHidden/>
          </w:rPr>
        </w:r>
        <w:r w:rsidR="004F20BB">
          <w:rPr>
            <w:noProof/>
            <w:webHidden/>
          </w:rPr>
          <w:fldChar w:fldCharType="separate"/>
        </w:r>
        <w:r w:rsidR="004F20BB">
          <w:rPr>
            <w:noProof/>
            <w:webHidden/>
          </w:rPr>
          <w:t>335</w:t>
        </w:r>
        <w:r w:rsidR="004F20BB">
          <w:rPr>
            <w:noProof/>
            <w:webHidden/>
          </w:rPr>
          <w:fldChar w:fldCharType="end"/>
        </w:r>
      </w:hyperlink>
    </w:p>
    <w:p w14:paraId="182F88EC" w14:textId="1EF15707" w:rsidR="004F20BB" w:rsidRDefault="00F322E7">
      <w:pPr>
        <w:pStyle w:val="TOC3"/>
        <w:tabs>
          <w:tab w:val="right" w:leader="dot" w:pos="9350"/>
        </w:tabs>
        <w:rPr>
          <w:rFonts w:asciiTheme="minorHAnsi" w:eastAsiaTheme="minorEastAsia" w:hAnsiTheme="minorHAnsi" w:cstheme="minorBidi"/>
          <w:noProof/>
        </w:rPr>
      </w:pPr>
      <w:hyperlink w:anchor="_Toc47516766" w:history="1">
        <w:r w:rsidR="004F20BB" w:rsidRPr="00DB2EFF">
          <w:rPr>
            <w:rStyle w:val="Hyperlink"/>
            <w:noProof/>
          </w:rPr>
          <w:t>Special Instructions &amp; Transfusion Requirements: Enter and Remove Special Instructions</w:t>
        </w:r>
        <w:r w:rsidR="004F20BB">
          <w:rPr>
            <w:noProof/>
            <w:webHidden/>
          </w:rPr>
          <w:tab/>
        </w:r>
        <w:r w:rsidR="004F20BB">
          <w:rPr>
            <w:noProof/>
            <w:webHidden/>
          </w:rPr>
          <w:fldChar w:fldCharType="begin"/>
        </w:r>
        <w:r w:rsidR="004F20BB">
          <w:rPr>
            <w:noProof/>
            <w:webHidden/>
          </w:rPr>
          <w:instrText xml:space="preserve"> PAGEREF _Toc47516766 \h </w:instrText>
        </w:r>
        <w:r w:rsidR="004F20BB">
          <w:rPr>
            <w:noProof/>
            <w:webHidden/>
          </w:rPr>
        </w:r>
        <w:r w:rsidR="004F20BB">
          <w:rPr>
            <w:noProof/>
            <w:webHidden/>
          </w:rPr>
          <w:fldChar w:fldCharType="separate"/>
        </w:r>
        <w:r w:rsidR="004F20BB">
          <w:rPr>
            <w:noProof/>
            <w:webHidden/>
          </w:rPr>
          <w:t>340</w:t>
        </w:r>
        <w:r w:rsidR="004F20BB">
          <w:rPr>
            <w:noProof/>
            <w:webHidden/>
          </w:rPr>
          <w:fldChar w:fldCharType="end"/>
        </w:r>
      </w:hyperlink>
    </w:p>
    <w:p w14:paraId="72A49707" w14:textId="3490C56C" w:rsidR="004F20BB" w:rsidRDefault="00F322E7">
      <w:pPr>
        <w:pStyle w:val="TOC2"/>
        <w:tabs>
          <w:tab w:val="right" w:leader="dot" w:pos="9350"/>
        </w:tabs>
        <w:rPr>
          <w:rFonts w:asciiTheme="minorHAnsi" w:eastAsiaTheme="minorEastAsia" w:hAnsiTheme="minorHAnsi" w:cstheme="minorBidi"/>
          <w:smallCaps w:val="0"/>
          <w:noProof/>
        </w:rPr>
      </w:pPr>
      <w:hyperlink w:anchor="_Toc47516767" w:history="1">
        <w:r w:rsidR="004F20BB" w:rsidRPr="00DB2EFF">
          <w:rPr>
            <w:rStyle w:val="Hyperlink"/>
            <w:noProof/>
          </w:rPr>
          <w:t>Post-Transfusion Information</w:t>
        </w:r>
        <w:r w:rsidR="004F20BB">
          <w:rPr>
            <w:noProof/>
            <w:webHidden/>
          </w:rPr>
          <w:tab/>
        </w:r>
        <w:r w:rsidR="004F20BB">
          <w:rPr>
            <w:noProof/>
            <w:webHidden/>
          </w:rPr>
          <w:fldChar w:fldCharType="begin"/>
        </w:r>
        <w:r w:rsidR="004F20BB">
          <w:rPr>
            <w:noProof/>
            <w:webHidden/>
          </w:rPr>
          <w:instrText xml:space="preserve"> PAGEREF _Toc47516767 \h </w:instrText>
        </w:r>
        <w:r w:rsidR="004F20BB">
          <w:rPr>
            <w:noProof/>
            <w:webHidden/>
          </w:rPr>
        </w:r>
        <w:r w:rsidR="004F20BB">
          <w:rPr>
            <w:noProof/>
            <w:webHidden/>
          </w:rPr>
          <w:fldChar w:fldCharType="separate"/>
        </w:r>
        <w:r w:rsidR="004F20BB">
          <w:rPr>
            <w:noProof/>
            <w:webHidden/>
          </w:rPr>
          <w:t>343</w:t>
        </w:r>
        <w:r w:rsidR="004F20BB">
          <w:rPr>
            <w:noProof/>
            <w:webHidden/>
          </w:rPr>
          <w:fldChar w:fldCharType="end"/>
        </w:r>
      </w:hyperlink>
    </w:p>
    <w:p w14:paraId="2F42EAD2" w14:textId="62D51EAC" w:rsidR="004F20BB" w:rsidRDefault="00F322E7">
      <w:pPr>
        <w:pStyle w:val="TOC2"/>
        <w:tabs>
          <w:tab w:val="right" w:leader="dot" w:pos="9350"/>
        </w:tabs>
        <w:rPr>
          <w:rFonts w:asciiTheme="minorHAnsi" w:eastAsiaTheme="minorEastAsia" w:hAnsiTheme="minorHAnsi" w:cstheme="minorBidi"/>
          <w:smallCaps w:val="0"/>
          <w:noProof/>
        </w:rPr>
      </w:pPr>
      <w:hyperlink w:anchor="_Toc47516768" w:history="1">
        <w:r w:rsidR="004F20BB" w:rsidRPr="00DB2EFF">
          <w:rPr>
            <w:rStyle w:val="Hyperlink"/>
            <w:noProof/>
            <w:snapToGrid w:val="0"/>
          </w:rPr>
          <w:t>Document ABO Incompatible Transfusions</w:t>
        </w:r>
        <w:r w:rsidR="004F20BB">
          <w:rPr>
            <w:noProof/>
            <w:webHidden/>
          </w:rPr>
          <w:tab/>
        </w:r>
        <w:r w:rsidR="004F20BB">
          <w:rPr>
            <w:noProof/>
            <w:webHidden/>
          </w:rPr>
          <w:fldChar w:fldCharType="begin"/>
        </w:r>
        <w:r w:rsidR="004F20BB">
          <w:rPr>
            <w:noProof/>
            <w:webHidden/>
          </w:rPr>
          <w:instrText xml:space="preserve"> PAGEREF _Toc47516768 \h </w:instrText>
        </w:r>
        <w:r w:rsidR="004F20BB">
          <w:rPr>
            <w:noProof/>
            <w:webHidden/>
          </w:rPr>
        </w:r>
        <w:r w:rsidR="004F20BB">
          <w:rPr>
            <w:noProof/>
            <w:webHidden/>
          </w:rPr>
          <w:fldChar w:fldCharType="separate"/>
        </w:r>
        <w:r w:rsidR="004F20BB">
          <w:rPr>
            <w:noProof/>
            <w:webHidden/>
          </w:rPr>
          <w:t>349</w:t>
        </w:r>
        <w:r w:rsidR="004F20BB">
          <w:rPr>
            <w:noProof/>
            <w:webHidden/>
          </w:rPr>
          <w:fldChar w:fldCharType="end"/>
        </w:r>
      </w:hyperlink>
    </w:p>
    <w:p w14:paraId="353736C2" w14:textId="6E3EDCD2" w:rsidR="004F20BB" w:rsidRDefault="00F322E7">
      <w:pPr>
        <w:pStyle w:val="TOC3"/>
        <w:tabs>
          <w:tab w:val="right" w:leader="dot" w:pos="9350"/>
        </w:tabs>
        <w:rPr>
          <w:rFonts w:asciiTheme="minorHAnsi" w:eastAsiaTheme="minorEastAsia" w:hAnsiTheme="minorHAnsi" w:cstheme="minorBidi"/>
          <w:noProof/>
        </w:rPr>
      </w:pPr>
      <w:hyperlink w:anchor="_Toc47516769" w:history="1">
        <w:r w:rsidR="004F20BB" w:rsidRPr="00DB2EFF">
          <w:rPr>
            <w:rStyle w:val="Hyperlink"/>
            <w:noProof/>
          </w:rPr>
          <w:t>Justify ABO/Rh Change</w:t>
        </w:r>
        <w:r w:rsidR="004F20BB">
          <w:rPr>
            <w:noProof/>
            <w:webHidden/>
          </w:rPr>
          <w:tab/>
        </w:r>
        <w:r w:rsidR="004F20BB">
          <w:rPr>
            <w:noProof/>
            <w:webHidden/>
          </w:rPr>
          <w:fldChar w:fldCharType="begin"/>
        </w:r>
        <w:r w:rsidR="004F20BB">
          <w:rPr>
            <w:noProof/>
            <w:webHidden/>
          </w:rPr>
          <w:instrText xml:space="preserve"> PAGEREF _Toc47516769 \h </w:instrText>
        </w:r>
        <w:r w:rsidR="004F20BB">
          <w:rPr>
            <w:noProof/>
            <w:webHidden/>
          </w:rPr>
        </w:r>
        <w:r w:rsidR="004F20BB">
          <w:rPr>
            <w:noProof/>
            <w:webHidden/>
          </w:rPr>
          <w:fldChar w:fldCharType="separate"/>
        </w:r>
        <w:r w:rsidR="004F20BB">
          <w:rPr>
            <w:noProof/>
            <w:webHidden/>
          </w:rPr>
          <w:t>351</w:t>
        </w:r>
        <w:r w:rsidR="004F20BB">
          <w:rPr>
            <w:noProof/>
            <w:webHidden/>
          </w:rPr>
          <w:fldChar w:fldCharType="end"/>
        </w:r>
      </w:hyperlink>
    </w:p>
    <w:p w14:paraId="223C7A5C" w14:textId="736796BE" w:rsidR="004F20BB" w:rsidRDefault="00F322E7">
      <w:pPr>
        <w:pStyle w:val="TOC1"/>
        <w:tabs>
          <w:tab w:val="right" w:leader="dot" w:pos="9350"/>
        </w:tabs>
        <w:rPr>
          <w:rFonts w:asciiTheme="minorHAnsi" w:eastAsiaTheme="minorEastAsia" w:hAnsiTheme="minorHAnsi" w:cstheme="minorBidi"/>
          <w:b w:val="0"/>
          <w:caps w:val="0"/>
          <w:noProof/>
        </w:rPr>
      </w:pPr>
      <w:hyperlink w:anchor="_Toc47516770" w:history="1">
        <w:r w:rsidR="004F20BB" w:rsidRPr="00DB2EFF">
          <w:rPr>
            <w:rStyle w:val="Hyperlink"/>
            <w:noProof/>
          </w:rPr>
          <w:t>Automated Testing</w:t>
        </w:r>
        <w:r w:rsidR="004F20BB">
          <w:rPr>
            <w:noProof/>
            <w:webHidden/>
          </w:rPr>
          <w:tab/>
        </w:r>
        <w:r w:rsidR="004F20BB">
          <w:rPr>
            <w:noProof/>
            <w:webHidden/>
          </w:rPr>
          <w:fldChar w:fldCharType="begin"/>
        </w:r>
        <w:r w:rsidR="004F20BB">
          <w:rPr>
            <w:noProof/>
            <w:webHidden/>
          </w:rPr>
          <w:instrText xml:space="preserve"> PAGEREF _Toc47516770 \h </w:instrText>
        </w:r>
        <w:r w:rsidR="004F20BB">
          <w:rPr>
            <w:noProof/>
            <w:webHidden/>
          </w:rPr>
        </w:r>
        <w:r w:rsidR="004F20BB">
          <w:rPr>
            <w:noProof/>
            <w:webHidden/>
          </w:rPr>
          <w:fldChar w:fldCharType="separate"/>
        </w:r>
        <w:r w:rsidR="004F20BB">
          <w:rPr>
            <w:noProof/>
            <w:webHidden/>
          </w:rPr>
          <w:t>355</w:t>
        </w:r>
        <w:r w:rsidR="004F20BB">
          <w:rPr>
            <w:noProof/>
            <w:webHidden/>
          </w:rPr>
          <w:fldChar w:fldCharType="end"/>
        </w:r>
      </w:hyperlink>
    </w:p>
    <w:p w14:paraId="052ED2A6" w14:textId="681EA77F" w:rsidR="004F20BB" w:rsidRDefault="00F322E7">
      <w:pPr>
        <w:pStyle w:val="TOC2"/>
        <w:tabs>
          <w:tab w:val="right" w:leader="dot" w:pos="9350"/>
        </w:tabs>
        <w:rPr>
          <w:rFonts w:asciiTheme="minorHAnsi" w:eastAsiaTheme="minorEastAsia" w:hAnsiTheme="minorHAnsi" w:cstheme="minorBidi"/>
          <w:smallCaps w:val="0"/>
          <w:noProof/>
        </w:rPr>
      </w:pPr>
      <w:hyperlink w:anchor="_Toc47516771" w:history="1">
        <w:r w:rsidR="004F20BB" w:rsidRPr="00DB2EFF">
          <w:rPr>
            <w:rStyle w:val="Hyperlink"/>
            <w:noProof/>
          </w:rPr>
          <w:t>Automated Testing Interface</w:t>
        </w:r>
        <w:r w:rsidR="004F20BB">
          <w:rPr>
            <w:noProof/>
            <w:webHidden/>
          </w:rPr>
          <w:tab/>
        </w:r>
        <w:r w:rsidR="004F20BB">
          <w:rPr>
            <w:noProof/>
            <w:webHidden/>
          </w:rPr>
          <w:fldChar w:fldCharType="begin"/>
        </w:r>
        <w:r w:rsidR="004F20BB">
          <w:rPr>
            <w:noProof/>
            <w:webHidden/>
          </w:rPr>
          <w:instrText xml:space="preserve"> PAGEREF _Toc47516771 \h </w:instrText>
        </w:r>
        <w:r w:rsidR="004F20BB">
          <w:rPr>
            <w:noProof/>
            <w:webHidden/>
          </w:rPr>
        </w:r>
        <w:r w:rsidR="004F20BB">
          <w:rPr>
            <w:noProof/>
            <w:webHidden/>
          </w:rPr>
          <w:fldChar w:fldCharType="separate"/>
        </w:r>
        <w:r w:rsidR="004F20BB">
          <w:rPr>
            <w:noProof/>
            <w:webHidden/>
          </w:rPr>
          <w:t>355</w:t>
        </w:r>
        <w:r w:rsidR="004F20BB">
          <w:rPr>
            <w:noProof/>
            <w:webHidden/>
          </w:rPr>
          <w:fldChar w:fldCharType="end"/>
        </w:r>
      </w:hyperlink>
    </w:p>
    <w:p w14:paraId="7053D8C2" w14:textId="03F94AD1" w:rsidR="004F20BB" w:rsidRDefault="00F322E7">
      <w:pPr>
        <w:pStyle w:val="TOC2"/>
        <w:tabs>
          <w:tab w:val="right" w:leader="dot" w:pos="9350"/>
        </w:tabs>
        <w:rPr>
          <w:rFonts w:asciiTheme="minorHAnsi" w:eastAsiaTheme="minorEastAsia" w:hAnsiTheme="minorHAnsi" w:cstheme="minorBidi"/>
          <w:smallCaps w:val="0"/>
          <w:noProof/>
        </w:rPr>
      </w:pPr>
      <w:hyperlink w:anchor="_Toc47516772" w:history="1">
        <w:r w:rsidR="004F20BB" w:rsidRPr="00DB2EFF">
          <w:rPr>
            <w:rStyle w:val="Hyperlink"/>
            <w:noProof/>
          </w:rPr>
          <w:t>Automated Testing Review for Blood Units</w:t>
        </w:r>
        <w:r w:rsidR="004F20BB">
          <w:rPr>
            <w:noProof/>
            <w:webHidden/>
          </w:rPr>
          <w:tab/>
        </w:r>
        <w:r w:rsidR="004F20BB">
          <w:rPr>
            <w:noProof/>
            <w:webHidden/>
          </w:rPr>
          <w:fldChar w:fldCharType="begin"/>
        </w:r>
        <w:r w:rsidR="004F20BB">
          <w:rPr>
            <w:noProof/>
            <w:webHidden/>
          </w:rPr>
          <w:instrText xml:space="preserve"> PAGEREF _Toc47516772 \h </w:instrText>
        </w:r>
        <w:r w:rsidR="004F20BB">
          <w:rPr>
            <w:noProof/>
            <w:webHidden/>
          </w:rPr>
        </w:r>
        <w:r w:rsidR="004F20BB">
          <w:rPr>
            <w:noProof/>
            <w:webHidden/>
          </w:rPr>
          <w:fldChar w:fldCharType="separate"/>
        </w:r>
        <w:r w:rsidR="004F20BB">
          <w:rPr>
            <w:noProof/>
            <w:webHidden/>
          </w:rPr>
          <w:t>359</w:t>
        </w:r>
        <w:r w:rsidR="004F20BB">
          <w:rPr>
            <w:noProof/>
            <w:webHidden/>
          </w:rPr>
          <w:fldChar w:fldCharType="end"/>
        </w:r>
      </w:hyperlink>
    </w:p>
    <w:p w14:paraId="5BAF7BFE" w14:textId="061024AF" w:rsidR="004F20BB" w:rsidRDefault="00F322E7">
      <w:pPr>
        <w:pStyle w:val="TOC2"/>
        <w:tabs>
          <w:tab w:val="right" w:leader="dot" w:pos="9350"/>
        </w:tabs>
        <w:rPr>
          <w:rFonts w:asciiTheme="minorHAnsi" w:eastAsiaTheme="minorEastAsia" w:hAnsiTheme="minorHAnsi" w:cstheme="minorBidi"/>
          <w:smallCaps w:val="0"/>
          <w:noProof/>
        </w:rPr>
      </w:pPr>
      <w:hyperlink w:anchor="_Toc47516773" w:history="1">
        <w:r w:rsidR="004F20BB" w:rsidRPr="00DB2EFF">
          <w:rPr>
            <w:rStyle w:val="Hyperlink"/>
            <w:noProof/>
          </w:rPr>
          <w:t>Automated Testing Review for Patients</w:t>
        </w:r>
        <w:r w:rsidR="004F20BB">
          <w:rPr>
            <w:noProof/>
            <w:webHidden/>
          </w:rPr>
          <w:tab/>
        </w:r>
        <w:r w:rsidR="004F20BB">
          <w:rPr>
            <w:noProof/>
            <w:webHidden/>
          </w:rPr>
          <w:fldChar w:fldCharType="begin"/>
        </w:r>
        <w:r w:rsidR="004F20BB">
          <w:rPr>
            <w:noProof/>
            <w:webHidden/>
          </w:rPr>
          <w:instrText xml:space="preserve"> PAGEREF _Toc47516773 \h </w:instrText>
        </w:r>
        <w:r w:rsidR="004F20BB">
          <w:rPr>
            <w:noProof/>
            <w:webHidden/>
          </w:rPr>
        </w:r>
        <w:r w:rsidR="004F20BB">
          <w:rPr>
            <w:noProof/>
            <w:webHidden/>
          </w:rPr>
          <w:fldChar w:fldCharType="separate"/>
        </w:r>
        <w:r w:rsidR="004F20BB">
          <w:rPr>
            <w:noProof/>
            <w:webHidden/>
          </w:rPr>
          <w:t>363</w:t>
        </w:r>
        <w:r w:rsidR="004F20BB">
          <w:rPr>
            <w:noProof/>
            <w:webHidden/>
          </w:rPr>
          <w:fldChar w:fldCharType="end"/>
        </w:r>
      </w:hyperlink>
    </w:p>
    <w:p w14:paraId="7634A04D" w14:textId="1469148C" w:rsidR="004F20BB" w:rsidRDefault="00F322E7">
      <w:pPr>
        <w:pStyle w:val="TOC1"/>
        <w:tabs>
          <w:tab w:val="right" w:leader="dot" w:pos="9350"/>
        </w:tabs>
        <w:rPr>
          <w:rFonts w:asciiTheme="minorHAnsi" w:eastAsiaTheme="minorEastAsia" w:hAnsiTheme="minorHAnsi" w:cstheme="minorBidi"/>
          <w:b w:val="0"/>
          <w:caps w:val="0"/>
          <w:noProof/>
        </w:rPr>
      </w:pPr>
      <w:hyperlink w:anchor="_Toc47516774" w:history="1">
        <w:r w:rsidR="004F20BB" w:rsidRPr="00DB2EFF">
          <w:rPr>
            <w:rStyle w:val="Hyperlink"/>
            <w:noProof/>
          </w:rPr>
          <w:t>Reports</w:t>
        </w:r>
        <w:r w:rsidR="004F20BB">
          <w:rPr>
            <w:noProof/>
            <w:webHidden/>
          </w:rPr>
          <w:tab/>
        </w:r>
        <w:r w:rsidR="004F20BB">
          <w:rPr>
            <w:noProof/>
            <w:webHidden/>
          </w:rPr>
          <w:fldChar w:fldCharType="begin"/>
        </w:r>
        <w:r w:rsidR="004F20BB">
          <w:rPr>
            <w:noProof/>
            <w:webHidden/>
          </w:rPr>
          <w:instrText xml:space="preserve"> PAGEREF _Toc47516774 \h </w:instrText>
        </w:r>
        <w:r w:rsidR="004F20BB">
          <w:rPr>
            <w:noProof/>
            <w:webHidden/>
          </w:rPr>
        </w:r>
        <w:r w:rsidR="004F20BB">
          <w:rPr>
            <w:noProof/>
            <w:webHidden/>
          </w:rPr>
          <w:fldChar w:fldCharType="separate"/>
        </w:r>
        <w:r w:rsidR="004F20BB">
          <w:rPr>
            <w:noProof/>
            <w:webHidden/>
          </w:rPr>
          <w:t>369</w:t>
        </w:r>
        <w:r w:rsidR="004F20BB">
          <w:rPr>
            <w:noProof/>
            <w:webHidden/>
          </w:rPr>
          <w:fldChar w:fldCharType="end"/>
        </w:r>
      </w:hyperlink>
    </w:p>
    <w:p w14:paraId="5BF6B2CA" w14:textId="07DFCCE1" w:rsidR="004F20BB" w:rsidRDefault="00F322E7">
      <w:pPr>
        <w:pStyle w:val="TOC2"/>
        <w:tabs>
          <w:tab w:val="right" w:leader="dot" w:pos="9350"/>
        </w:tabs>
        <w:rPr>
          <w:rFonts w:asciiTheme="minorHAnsi" w:eastAsiaTheme="minorEastAsia" w:hAnsiTheme="minorHAnsi" w:cstheme="minorBidi"/>
          <w:smallCaps w:val="0"/>
          <w:noProof/>
        </w:rPr>
      </w:pPr>
      <w:hyperlink w:anchor="_Toc47516775" w:history="1">
        <w:r w:rsidR="004F20BB" w:rsidRPr="00DB2EFF">
          <w:rPr>
            <w:rStyle w:val="Hyperlink"/>
            <w:noProof/>
          </w:rPr>
          <w:t>Administrative Data Report</w:t>
        </w:r>
        <w:r w:rsidR="004F20BB">
          <w:rPr>
            <w:noProof/>
            <w:webHidden/>
          </w:rPr>
          <w:tab/>
        </w:r>
        <w:r w:rsidR="004F20BB">
          <w:rPr>
            <w:noProof/>
            <w:webHidden/>
          </w:rPr>
          <w:fldChar w:fldCharType="begin"/>
        </w:r>
        <w:r w:rsidR="004F20BB">
          <w:rPr>
            <w:noProof/>
            <w:webHidden/>
          </w:rPr>
          <w:instrText xml:space="preserve"> PAGEREF _Toc47516775 \h </w:instrText>
        </w:r>
        <w:r w:rsidR="004F20BB">
          <w:rPr>
            <w:noProof/>
            <w:webHidden/>
          </w:rPr>
        </w:r>
        <w:r w:rsidR="004F20BB">
          <w:rPr>
            <w:noProof/>
            <w:webHidden/>
          </w:rPr>
          <w:fldChar w:fldCharType="separate"/>
        </w:r>
        <w:r w:rsidR="004F20BB">
          <w:rPr>
            <w:noProof/>
            <w:webHidden/>
          </w:rPr>
          <w:t>369</w:t>
        </w:r>
        <w:r w:rsidR="004F20BB">
          <w:rPr>
            <w:noProof/>
            <w:webHidden/>
          </w:rPr>
          <w:fldChar w:fldCharType="end"/>
        </w:r>
      </w:hyperlink>
    </w:p>
    <w:p w14:paraId="2235E34D" w14:textId="526D1171" w:rsidR="004F20BB" w:rsidRDefault="00F322E7">
      <w:pPr>
        <w:pStyle w:val="TOC2"/>
        <w:tabs>
          <w:tab w:val="right" w:leader="dot" w:pos="9350"/>
        </w:tabs>
        <w:rPr>
          <w:rFonts w:asciiTheme="minorHAnsi" w:eastAsiaTheme="minorEastAsia" w:hAnsiTheme="minorHAnsi" w:cstheme="minorBidi"/>
          <w:smallCaps w:val="0"/>
          <w:noProof/>
        </w:rPr>
      </w:pPr>
      <w:hyperlink w:anchor="_Toc47516776" w:history="1">
        <w:r w:rsidR="004F20BB" w:rsidRPr="00DB2EFF">
          <w:rPr>
            <w:rStyle w:val="Hyperlink"/>
            <w:noProof/>
          </w:rPr>
          <w:t>Audit Trail</w:t>
        </w:r>
        <w:r w:rsidR="004F20BB">
          <w:rPr>
            <w:noProof/>
            <w:webHidden/>
          </w:rPr>
          <w:tab/>
        </w:r>
        <w:r w:rsidR="004F20BB">
          <w:rPr>
            <w:noProof/>
            <w:webHidden/>
          </w:rPr>
          <w:fldChar w:fldCharType="begin"/>
        </w:r>
        <w:r w:rsidR="004F20BB">
          <w:rPr>
            <w:noProof/>
            <w:webHidden/>
          </w:rPr>
          <w:instrText xml:space="preserve"> PAGEREF _Toc47516776 \h </w:instrText>
        </w:r>
        <w:r w:rsidR="004F20BB">
          <w:rPr>
            <w:noProof/>
            <w:webHidden/>
          </w:rPr>
        </w:r>
        <w:r w:rsidR="004F20BB">
          <w:rPr>
            <w:noProof/>
            <w:webHidden/>
          </w:rPr>
          <w:fldChar w:fldCharType="separate"/>
        </w:r>
        <w:r w:rsidR="004F20BB">
          <w:rPr>
            <w:noProof/>
            <w:webHidden/>
          </w:rPr>
          <w:t>371</w:t>
        </w:r>
        <w:r w:rsidR="004F20BB">
          <w:rPr>
            <w:noProof/>
            <w:webHidden/>
          </w:rPr>
          <w:fldChar w:fldCharType="end"/>
        </w:r>
      </w:hyperlink>
    </w:p>
    <w:p w14:paraId="085DB461" w14:textId="412F987D" w:rsidR="004F20BB" w:rsidRDefault="00F322E7">
      <w:pPr>
        <w:pStyle w:val="TOC2"/>
        <w:tabs>
          <w:tab w:val="right" w:leader="dot" w:pos="9350"/>
        </w:tabs>
        <w:rPr>
          <w:rFonts w:asciiTheme="minorHAnsi" w:eastAsiaTheme="minorEastAsia" w:hAnsiTheme="minorHAnsi" w:cstheme="minorBidi"/>
          <w:smallCaps w:val="0"/>
          <w:noProof/>
        </w:rPr>
      </w:pPr>
      <w:hyperlink w:anchor="_Toc47516777" w:history="1">
        <w:r w:rsidR="004F20BB" w:rsidRPr="00DB2EFF">
          <w:rPr>
            <w:rStyle w:val="Hyperlink"/>
            <w:noProof/>
          </w:rPr>
          <w:t>Blood Availability</w:t>
        </w:r>
        <w:r w:rsidR="004F20BB">
          <w:rPr>
            <w:noProof/>
            <w:webHidden/>
          </w:rPr>
          <w:tab/>
        </w:r>
        <w:r w:rsidR="004F20BB">
          <w:rPr>
            <w:noProof/>
            <w:webHidden/>
          </w:rPr>
          <w:fldChar w:fldCharType="begin"/>
        </w:r>
        <w:r w:rsidR="004F20BB">
          <w:rPr>
            <w:noProof/>
            <w:webHidden/>
          </w:rPr>
          <w:instrText xml:space="preserve"> PAGEREF _Toc47516777 \h </w:instrText>
        </w:r>
        <w:r w:rsidR="004F20BB">
          <w:rPr>
            <w:noProof/>
            <w:webHidden/>
          </w:rPr>
        </w:r>
        <w:r w:rsidR="004F20BB">
          <w:rPr>
            <w:noProof/>
            <w:webHidden/>
          </w:rPr>
          <w:fldChar w:fldCharType="separate"/>
        </w:r>
        <w:r w:rsidR="004F20BB">
          <w:rPr>
            <w:noProof/>
            <w:webHidden/>
          </w:rPr>
          <w:t>373</w:t>
        </w:r>
        <w:r w:rsidR="004F20BB">
          <w:rPr>
            <w:noProof/>
            <w:webHidden/>
          </w:rPr>
          <w:fldChar w:fldCharType="end"/>
        </w:r>
      </w:hyperlink>
    </w:p>
    <w:p w14:paraId="0DDD9195" w14:textId="16D1F5B2" w:rsidR="004F20BB" w:rsidRDefault="00F322E7">
      <w:pPr>
        <w:pStyle w:val="TOC2"/>
        <w:tabs>
          <w:tab w:val="right" w:leader="dot" w:pos="9350"/>
        </w:tabs>
        <w:rPr>
          <w:rFonts w:asciiTheme="minorHAnsi" w:eastAsiaTheme="minorEastAsia" w:hAnsiTheme="minorHAnsi" w:cstheme="minorBidi"/>
          <w:smallCaps w:val="0"/>
          <w:noProof/>
        </w:rPr>
      </w:pPr>
      <w:hyperlink w:anchor="_Toc47516778" w:history="1">
        <w:r w:rsidR="004F20BB" w:rsidRPr="00DB2EFF">
          <w:rPr>
            <w:rStyle w:val="Hyperlink"/>
            <w:noProof/>
          </w:rPr>
          <w:t>Cost Accounting Report</w:t>
        </w:r>
        <w:r w:rsidR="004F20BB">
          <w:rPr>
            <w:noProof/>
            <w:webHidden/>
          </w:rPr>
          <w:tab/>
        </w:r>
        <w:r w:rsidR="004F20BB">
          <w:rPr>
            <w:noProof/>
            <w:webHidden/>
          </w:rPr>
          <w:fldChar w:fldCharType="begin"/>
        </w:r>
        <w:r w:rsidR="004F20BB">
          <w:rPr>
            <w:noProof/>
            <w:webHidden/>
          </w:rPr>
          <w:instrText xml:space="preserve"> PAGEREF _Toc47516778 \h </w:instrText>
        </w:r>
        <w:r w:rsidR="004F20BB">
          <w:rPr>
            <w:noProof/>
            <w:webHidden/>
          </w:rPr>
        </w:r>
        <w:r w:rsidR="004F20BB">
          <w:rPr>
            <w:noProof/>
            <w:webHidden/>
          </w:rPr>
          <w:fldChar w:fldCharType="separate"/>
        </w:r>
        <w:r w:rsidR="004F20BB">
          <w:rPr>
            <w:noProof/>
            <w:webHidden/>
          </w:rPr>
          <w:t>375</w:t>
        </w:r>
        <w:r w:rsidR="004F20BB">
          <w:rPr>
            <w:noProof/>
            <w:webHidden/>
          </w:rPr>
          <w:fldChar w:fldCharType="end"/>
        </w:r>
      </w:hyperlink>
    </w:p>
    <w:p w14:paraId="0826B848" w14:textId="25DC6AD9" w:rsidR="004F20BB" w:rsidRDefault="00F322E7">
      <w:pPr>
        <w:pStyle w:val="TOC2"/>
        <w:tabs>
          <w:tab w:val="right" w:leader="dot" w:pos="9350"/>
        </w:tabs>
        <w:rPr>
          <w:rFonts w:asciiTheme="minorHAnsi" w:eastAsiaTheme="minorEastAsia" w:hAnsiTheme="minorHAnsi" w:cstheme="minorBidi"/>
          <w:smallCaps w:val="0"/>
          <w:noProof/>
        </w:rPr>
      </w:pPr>
      <w:hyperlink w:anchor="_Toc47516779" w:history="1">
        <w:r w:rsidR="004F20BB" w:rsidRPr="00DB2EFF">
          <w:rPr>
            <w:rStyle w:val="Hyperlink"/>
            <w:noProof/>
          </w:rPr>
          <w:t>C:T Ratio Report</w:t>
        </w:r>
        <w:r w:rsidR="004F20BB">
          <w:rPr>
            <w:noProof/>
            <w:webHidden/>
          </w:rPr>
          <w:tab/>
        </w:r>
        <w:r w:rsidR="004F20BB">
          <w:rPr>
            <w:noProof/>
            <w:webHidden/>
          </w:rPr>
          <w:fldChar w:fldCharType="begin"/>
        </w:r>
        <w:r w:rsidR="004F20BB">
          <w:rPr>
            <w:noProof/>
            <w:webHidden/>
          </w:rPr>
          <w:instrText xml:space="preserve"> PAGEREF _Toc47516779 \h </w:instrText>
        </w:r>
        <w:r w:rsidR="004F20BB">
          <w:rPr>
            <w:noProof/>
            <w:webHidden/>
          </w:rPr>
        </w:r>
        <w:r w:rsidR="004F20BB">
          <w:rPr>
            <w:noProof/>
            <w:webHidden/>
          </w:rPr>
          <w:fldChar w:fldCharType="separate"/>
        </w:r>
        <w:r w:rsidR="004F20BB">
          <w:rPr>
            <w:noProof/>
            <w:webHidden/>
          </w:rPr>
          <w:t>377</w:t>
        </w:r>
        <w:r w:rsidR="004F20BB">
          <w:rPr>
            <w:noProof/>
            <w:webHidden/>
          </w:rPr>
          <w:fldChar w:fldCharType="end"/>
        </w:r>
      </w:hyperlink>
    </w:p>
    <w:p w14:paraId="507849A5" w14:textId="101D2E35" w:rsidR="004F20BB" w:rsidRDefault="00F322E7">
      <w:pPr>
        <w:pStyle w:val="TOC2"/>
        <w:tabs>
          <w:tab w:val="right" w:leader="dot" w:pos="9350"/>
        </w:tabs>
        <w:rPr>
          <w:rFonts w:asciiTheme="minorHAnsi" w:eastAsiaTheme="minorEastAsia" w:hAnsiTheme="minorHAnsi" w:cstheme="minorBidi"/>
          <w:smallCaps w:val="0"/>
          <w:noProof/>
        </w:rPr>
      </w:pPr>
      <w:hyperlink w:anchor="_Toc47516780" w:history="1">
        <w:r w:rsidR="004F20BB" w:rsidRPr="00DB2EFF">
          <w:rPr>
            <w:rStyle w:val="Hyperlink"/>
            <w:noProof/>
          </w:rPr>
          <w:t>CPRS Blood Bank Report</w:t>
        </w:r>
        <w:r w:rsidR="004F20BB">
          <w:rPr>
            <w:noProof/>
            <w:webHidden/>
          </w:rPr>
          <w:tab/>
        </w:r>
        <w:r w:rsidR="004F20BB">
          <w:rPr>
            <w:noProof/>
            <w:webHidden/>
          </w:rPr>
          <w:fldChar w:fldCharType="begin"/>
        </w:r>
        <w:r w:rsidR="004F20BB">
          <w:rPr>
            <w:noProof/>
            <w:webHidden/>
          </w:rPr>
          <w:instrText xml:space="preserve"> PAGEREF _Toc47516780 \h </w:instrText>
        </w:r>
        <w:r w:rsidR="004F20BB">
          <w:rPr>
            <w:noProof/>
            <w:webHidden/>
          </w:rPr>
        </w:r>
        <w:r w:rsidR="004F20BB">
          <w:rPr>
            <w:noProof/>
            <w:webHidden/>
          </w:rPr>
          <w:fldChar w:fldCharType="separate"/>
        </w:r>
        <w:r w:rsidR="004F20BB">
          <w:rPr>
            <w:noProof/>
            <w:webHidden/>
          </w:rPr>
          <w:t>379</w:t>
        </w:r>
        <w:r w:rsidR="004F20BB">
          <w:rPr>
            <w:noProof/>
            <w:webHidden/>
          </w:rPr>
          <w:fldChar w:fldCharType="end"/>
        </w:r>
      </w:hyperlink>
    </w:p>
    <w:p w14:paraId="31AE0E37" w14:textId="639C6248" w:rsidR="004F20BB" w:rsidRDefault="00F322E7">
      <w:pPr>
        <w:pStyle w:val="TOC2"/>
        <w:tabs>
          <w:tab w:val="right" w:leader="dot" w:pos="9350"/>
        </w:tabs>
        <w:rPr>
          <w:rFonts w:asciiTheme="minorHAnsi" w:eastAsiaTheme="minorEastAsia" w:hAnsiTheme="minorHAnsi" w:cstheme="minorBidi"/>
          <w:smallCaps w:val="0"/>
          <w:noProof/>
        </w:rPr>
      </w:pPr>
      <w:hyperlink w:anchor="_Toc47516781" w:history="1">
        <w:r w:rsidR="004F20BB" w:rsidRPr="00DB2EFF">
          <w:rPr>
            <w:rStyle w:val="Hyperlink"/>
            <w:noProof/>
          </w:rPr>
          <w:t>Spell Check</w:t>
        </w:r>
        <w:r w:rsidR="004F20BB">
          <w:rPr>
            <w:noProof/>
            <w:webHidden/>
          </w:rPr>
          <w:tab/>
        </w:r>
        <w:r w:rsidR="004F20BB">
          <w:rPr>
            <w:noProof/>
            <w:webHidden/>
          </w:rPr>
          <w:fldChar w:fldCharType="begin"/>
        </w:r>
        <w:r w:rsidR="004F20BB">
          <w:rPr>
            <w:noProof/>
            <w:webHidden/>
          </w:rPr>
          <w:instrText xml:space="preserve"> PAGEREF _Toc47516781 \h </w:instrText>
        </w:r>
        <w:r w:rsidR="004F20BB">
          <w:rPr>
            <w:noProof/>
            <w:webHidden/>
          </w:rPr>
        </w:r>
        <w:r w:rsidR="004F20BB">
          <w:rPr>
            <w:noProof/>
            <w:webHidden/>
          </w:rPr>
          <w:fldChar w:fldCharType="separate"/>
        </w:r>
        <w:r w:rsidR="004F20BB">
          <w:rPr>
            <w:noProof/>
            <w:webHidden/>
          </w:rPr>
          <w:t>380</w:t>
        </w:r>
        <w:r w:rsidR="004F20BB">
          <w:rPr>
            <w:noProof/>
            <w:webHidden/>
          </w:rPr>
          <w:fldChar w:fldCharType="end"/>
        </w:r>
      </w:hyperlink>
    </w:p>
    <w:p w14:paraId="7D64348F" w14:textId="253FC7BE" w:rsidR="004F20BB" w:rsidRDefault="00F322E7">
      <w:pPr>
        <w:pStyle w:val="TOC2"/>
        <w:tabs>
          <w:tab w:val="right" w:leader="dot" w:pos="9350"/>
        </w:tabs>
        <w:rPr>
          <w:rFonts w:asciiTheme="minorHAnsi" w:eastAsiaTheme="minorEastAsia" w:hAnsiTheme="minorHAnsi" w:cstheme="minorBidi"/>
          <w:smallCaps w:val="0"/>
          <w:noProof/>
        </w:rPr>
      </w:pPr>
      <w:hyperlink w:anchor="_Toc47516782" w:history="1">
        <w:r w:rsidR="004F20BB" w:rsidRPr="00DB2EFF">
          <w:rPr>
            <w:rStyle w:val="Hyperlink"/>
            <w:noProof/>
          </w:rPr>
          <w:t>Division Transfusion Report</w:t>
        </w:r>
        <w:r w:rsidR="004F20BB">
          <w:rPr>
            <w:noProof/>
            <w:webHidden/>
          </w:rPr>
          <w:tab/>
        </w:r>
        <w:r w:rsidR="004F20BB">
          <w:rPr>
            <w:noProof/>
            <w:webHidden/>
          </w:rPr>
          <w:fldChar w:fldCharType="begin"/>
        </w:r>
        <w:r w:rsidR="004F20BB">
          <w:rPr>
            <w:noProof/>
            <w:webHidden/>
          </w:rPr>
          <w:instrText xml:space="preserve"> PAGEREF _Toc47516782 \h </w:instrText>
        </w:r>
        <w:r w:rsidR="004F20BB">
          <w:rPr>
            <w:noProof/>
            <w:webHidden/>
          </w:rPr>
        </w:r>
        <w:r w:rsidR="004F20BB">
          <w:rPr>
            <w:noProof/>
            <w:webHidden/>
          </w:rPr>
          <w:fldChar w:fldCharType="separate"/>
        </w:r>
        <w:r w:rsidR="004F20BB">
          <w:rPr>
            <w:noProof/>
            <w:webHidden/>
          </w:rPr>
          <w:t>382</w:t>
        </w:r>
        <w:r w:rsidR="004F20BB">
          <w:rPr>
            <w:noProof/>
            <w:webHidden/>
          </w:rPr>
          <w:fldChar w:fldCharType="end"/>
        </w:r>
      </w:hyperlink>
    </w:p>
    <w:p w14:paraId="08415753" w14:textId="06D1975B" w:rsidR="004F20BB" w:rsidRDefault="00F322E7">
      <w:pPr>
        <w:pStyle w:val="TOC2"/>
        <w:tabs>
          <w:tab w:val="right" w:leader="dot" w:pos="9350"/>
        </w:tabs>
        <w:rPr>
          <w:rFonts w:asciiTheme="minorHAnsi" w:eastAsiaTheme="minorEastAsia" w:hAnsiTheme="minorHAnsi" w:cstheme="minorBidi"/>
          <w:smallCaps w:val="0"/>
          <w:noProof/>
        </w:rPr>
      </w:pPr>
      <w:hyperlink w:anchor="_Toc47516783" w:history="1">
        <w:r w:rsidR="004F20BB" w:rsidRPr="00DB2EFF">
          <w:rPr>
            <w:rStyle w:val="Hyperlink"/>
            <w:noProof/>
          </w:rPr>
          <w:t>Division Workload Report</w:t>
        </w:r>
        <w:r w:rsidR="004F20BB">
          <w:rPr>
            <w:noProof/>
            <w:webHidden/>
          </w:rPr>
          <w:tab/>
        </w:r>
        <w:r w:rsidR="004F20BB">
          <w:rPr>
            <w:noProof/>
            <w:webHidden/>
          </w:rPr>
          <w:fldChar w:fldCharType="begin"/>
        </w:r>
        <w:r w:rsidR="004F20BB">
          <w:rPr>
            <w:noProof/>
            <w:webHidden/>
          </w:rPr>
          <w:instrText xml:space="preserve"> PAGEREF _Toc47516783 \h </w:instrText>
        </w:r>
        <w:r w:rsidR="004F20BB">
          <w:rPr>
            <w:noProof/>
            <w:webHidden/>
          </w:rPr>
        </w:r>
        <w:r w:rsidR="004F20BB">
          <w:rPr>
            <w:noProof/>
            <w:webHidden/>
          </w:rPr>
          <w:fldChar w:fldCharType="separate"/>
        </w:r>
        <w:r w:rsidR="004F20BB">
          <w:rPr>
            <w:noProof/>
            <w:webHidden/>
          </w:rPr>
          <w:t>384</w:t>
        </w:r>
        <w:r w:rsidR="004F20BB">
          <w:rPr>
            <w:noProof/>
            <w:webHidden/>
          </w:rPr>
          <w:fldChar w:fldCharType="end"/>
        </w:r>
      </w:hyperlink>
    </w:p>
    <w:p w14:paraId="4DBFCAEA" w14:textId="4BAB1461" w:rsidR="004F20BB" w:rsidRDefault="00F322E7">
      <w:pPr>
        <w:pStyle w:val="TOC2"/>
        <w:tabs>
          <w:tab w:val="right" w:leader="dot" w:pos="9350"/>
        </w:tabs>
        <w:rPr>
          <w:rFonts w:asciiTheme="minorHAnsi" w:eastAsiaTheme="minorEastAsia" w:hAnsiTheme="minorHAnsi" w:cstheme="minorBidi"/>
          <w:smallCaps w:val="0"/>
          <w:noProof/>
        </w:rPr>
      </w:pPr>
      <w:hyperlink w:anchor="_Toc47516784" w:history="1">
        <w:r w:rsidR="004F20BB" w:rsidRPr="00DB2EFF">
          <w:rPr>
            <w:rStyle w:val="Hyperlink"/>
            <w:noProof/>
          </w:rPr>
          <w:t>Exception Report</w:t>
        </w:r>
        <w:r w:rsidR="004F20BB">
          <w:rPr>
            <w:noProof/>
            <w:webHidden/>
          </w:rPr>
          <w:tab/>
        </w:r>
        <w:r w:rsidR="004F20BB">
          <w:rPr>
            <w:noProof/>
            <w:webHidden/>
          </w:rPr>
          <w:fldChar w:fldCharType="begin"/>
        </w:r>
        <w:r w:rsidR="004F20BB">
          <w:rPr>
            <w:noProof/>
            <w:webHidden/>
          </w:rPr>
          <w:instrText xml:space="preserve"> PAGEREF _Toc47516784 \h </w:instrText>
        </w:r>
        <w:r w:rsidR="004F20BB">
          <w:rPr>
            <w:noProof/>
            <w:webHidden/>
          </w:rPr>
        </w:r>
        <w:r w:rsidR="004F20BB">
          <w:rPr>
            <w:noProof/>
            <w:webHidden/>
          </w:rPr>
          <w:fldChar w:fldCharType="separate"/>
        </w:r>
        <w:r w:rsidR="004F20BB">
          <w:rPr>
            <w:noProof/>
            <w:webHidden/>
          </w:rPr>
          <w:t>386</w:t>
        </w:r>
        <w:r w:rsidR="004F20BB">
          <w:rPr>
            <w:noProof/>
            <w:webHidden/>
          </w:rPr>
          <w:fldChar w:fldCharType="end"/>
        </w:r>
      </w:hyperlink>
    </w:p>
    <w:p w14:paraId="51D862F3" w14:textId="6F7FF688" w:rsidR="004F20BB" w:rsidRDefault="00F322E7">
      <w:pPr>
        <w:pStyle w:val="TOC2"/>
        <w:tabs>
          <w:tab w:val="right" w:leader="dot" w:pos="9350"/>
        </w:tabs>
        <w:rPr>
          <w:rFonts w:asciiTheme="minorHAnsi" w:eastAsiaTheme="minorEastAsia" w:hAnsiTheme="minorHAnsi" w:cstheme="minorBidi"/>
          <w:smallCaps w:val="0"/>
          <w:noProof/>
        </w:rPr>
      </w:pPr>
      <w:hyperlink w:anchor="_Toc47516785" w:history="1">
        <w:r w:rsidR="004F20BB" w:rsidRPr="00DB2EFF">
          <w:rPr>
            <w:rStyle w:val="Hyperlink"/>
            <w:noProof/>
          </w:rPr>
          <w:t>Finalize/Print TRW (See Patient Services, Finalize/Print TRW)</w:t>
        </w:r>
        <w:r w:rsidR="004F20BB">
          <w:rPr>
            <w:noProof/>
            <w:webHidden/>
          </w:rPr>
          <w:tab/>
        </w:r>
        <w:r w:rsidR="004F20BB">
          <w:rPr>
            <w:noProof/>
            <w:webHidden/>
          </w:rPr>
          <w:fldChar w:fldCharType="begin"/>
        </w:r>
        <w:r w:rsidR="004F20BB">
          <w:rPr>
            <w:noProof/>
            <w:webHidden/>
          </w:rPr>
          <w:instrText xml:space="preserve"> PAGEREF _Toc47516785 \h </w:instrText>
        </w:r>
        <w:r w:rsidR="004F20BB">
          <w:rPr>
            <w:noProof/>
            <w:webHidden/>
          </w:rPr>
        </w:r>
        <w:r w:rsidR="004F20BB">
          <w:rPr>
            <w:noProof/>
            <w:webHidden/>
          </w:rPr>
          <w:fldChar w:fldCharType="separate"/>
        </w:r>
        <w:r w:rsidR="004F20BB">
          <w:rPr>
            <w:noProof/>
            <w:webHidden/>
          </w:rPr>
          <w:t>388</w:t>
        </w:r>
        <w:r w:rsidR="004F20BB">
          <w:rPr>
            <w:noProof/>
            <w:webHidden/>
          </w:rPr>
          <w:fldChar w:fldCharType="end"/>
        </w:r>
      </w:hyperlink>
    </w:p>
    <w:p w14:paraId="7558EC5A" w14:textId="0252F20D" w:rsidR="004F20BB" w:rsidRDefault="00F322E7">
      <w:pPr>
        <w:pStyle w:val="TOC2"/>
        <w:tabs>
          <w:tab w:val="right" w:leader="dot" w:pos="9350"/>
        </w:tabs>
        <w:rPr>
          <w:rFonts w:asciiTheme="minorHAnsi" w:eastAsiaTheme="minorEastAsia" w:hAnsiTheme="minorHAnsi" w:cstheme="minorBidi"/>
          <w:smallCaps w:val="0"/>
          <w:noProof/>
        </w:rPr>
      </w:pPr>
      <w:hyperlink w:anchor="_Toc47516786" w:history="1">
        <w:r w:rsidR="004F20BB" w:rsidRPr="00DB2EFF">
          <w:rPr>
            <w:rStyle w:val="Hyperlink"/>
            <w:noProof/>
          </w:rPr>
          <w:t>Inappropriate Transfusion Request Report</w:t>
        </w:r>
        <w:r w:rsidR="004F20BB">
          <w:rPr>
            <w:noProof/>
            <w:webHidden/>
          </w:rPr>
          <w:tab/>
        </w:r>
        <w:r w:rsidR="004F20BB">
          <w:rPr>
            <w:noProof/>
            <w:webHidden/>
          </w:rPr>
          <w:fldChar w:fldCharType="begin"/>
        </w:r>
        <w:r w:rsidR="004F20BB">
          <w:rPr>
            <w:noProof/>
            <w:webHidden/>
          </w:rPr>
          <w:instrText xml:space="preserve"> PAGEREF _Toc47516786 \h </w:instrText>
        </w:r>
        <w:r w:rsidR="004F20BB">
          <w:rPr>
            <w:noProof/>
            <w:webHidden/>
          </w:rPr>
        </w:r>
        <w:r w:rsidR="004F20BB">
          <w:rPr>
            <w:noProof/>
            <w:webHidden/>
          </w:rPr>
          <w:fldChar w:fldCharType="separate"/>
        </w:r>
        <w:r w:rsidR="004F20BB">
          <w:rPr>
            <w:noProof/>
            <w:webHidden/>
          </w:rPr>
          <w:t>388</w:t>
        </w:r>
        <w:r w:rsidR="004F20BB">
          <w:rPr>
            <w:noProof/>
            <w:webHidden/>
          </w:rPr>
          <w:fldChar w:fldCharType="end"/>
        </w:r>
      </w:hyperlink>
    </w:p>
    <w:p w14:paraId="6F701DFF" w14:textId="048780CF" w:rsidR="004F20BB" w:rsidRDefault="00F322E7">
      <w:pPr>
        <w:pStyle w:val="TOC2"/>
        <w:tabs>
          <w:tab w:val="right" w:leader="dot" w:pos="9350"/>
        </w:tabs>
        <w:rPr>
          <w:rFonts w:asciiTheme="minorHAnsi" w:eastAsiaTheme="minorEastAsia" w:hAnsiTheme="minorHAnsi" w:cstheme="minorBidi"/>
          <w:smallCaps w:val="0"/>
          <w:noProof/>
        </w:rPr>
      </w:pPr>
      <w:hyperlink w:anchor="_Toc47516787" w:history="1">
        <w:r w:rsidR="004F20BB" w:rsidRPr="00DB2EFF">
          <w:rPr>
            <w:rStyle w:val="Hyperlink"/>
            <w:noProof/>
          </w:rPr>
          <w:t>Issued/Returned Unit Report</w:t>
        </w:r>
        <w:r w:rsidR="004F20BB">
          <w:rPr>
            <w:noProof/>
            <w:webHidden/>
          </w:rPr>
          <w:tab/>
        </w:r>
        <w:r w:rsidR="004F20BB">
          <w:rPr>
            <w:noProof/>
            <w:webHidden/>
          </w:rPr>
          <w:fldChar w:fldCharType="begin"/>
        </w:r>
        <w:r w:rsidR="004F20BB">
          <w:rPr>
            <w:noProof/>
            <w:webHidden/>
          </w:rPr>
          <w:instrText xml:space="preserve"> PAGEREF _Toc47516787 \h </w:instrText>
        </w:r>
        <w:r w:rsidR="004F20BB">
          <w:rPr>
            <w:noProof/>
            <w:webHidden/>
          </w:rPr>
        </w:r>
        <w:r w:rsidR="004F20BB">
          <w:rPr>
            <w:noProof/>
            <w:webHidden/>
          </w:rPr>
          <w:fldChar w:fldCharType="separate"/>
        </w:r>
        <w:r w:rsidR="004F20BB">
          <w:rPr>
            <w:noProof/>
            <w:webHidden/>
          </w:rPr>
          <w:t>389</w:t>
        </w:r>
        <w:r w:rsidR="004F20BB">
          <w:rPr>
            <w:noProof/>
            <w:webHidden/>
          </w:rPr>
          <w:fldChar w:fldCharType="end"/>
        </w:r>
      </w:hyperlink>
    </w:p>
    <w:p w14:paraId="3B3BAFA8" w14:textId="262F773C" w:rsidR="004F20BB" w:rsidRDefault="00F322E7">
      <w:pPr>
        <w:pStyle w:val="TOC2"/>
        <w:tabs>
          <w:tab w:val="right" w:leader="dot" w:pos="9350"/>
        </w:tabs>
        <w:rPr>
          <w:rFonts w:asciiTheme="minorHAnsi" w:eastAsiaTheme="minorEastAsia" w:hAnsiTheme="minorHAnsi" w:cstheme="minorBidi"/>
          <w:smallCaps w:val="0"/>
          <w:noProof/>
        </w:rPr>
      </w:pPr>
      <w:hyperlink w:anchor="_Toc47516788" w:history="1">
        <w:r w:rsidR="004F20BB" w:rsidRPr="00DB2EFF">
          <w:rPr>
            <w:rStyle w:val="Hyperlink"/>
            <w:noProof/>
          </w:rPr>
          <w:t>Medication Profile (See Patient Information Toolbar)</w:t>
        </w:r>
        <w:r w:rsidR="004F20BB">
          <w:rPr>
            <w:noProof/>
            <w:webHidden/>
          </w:rPr>
          <w:tab/>
        </w:r>
        <w:r w:rsidR="004F20BB">
          <w:rPr>
            <w:noProof/>
            <w:webHidden/>
          </w:rPr>
          <w:fldChar w:fldCharType="begin"/>
        </w:r>
        <w:r w:rsidR="004F20BB">
          <w:rPr>
            <w:noProof/>
            <w:webHidden/>
          </w:rPr>
          <w:instrText xml:space="preserve"> PAGEREF _Toc47516788 \h </w:instrText>
        </w:r>
        <w:r w:rsidR="004F20BB">
          <w:rPr>
            <w:noProof/>
            <w:webHidden/>
          </w:rPr>
        </w:r>
        <w:r w:rsidR="004F20BB">
          <w:rPr>
            <w:noProof/>
            <w:webHidden/>
          </w:rPr>
          <w:fldChar w:fldCharType="separate"/>
        </w:r>
        <w:r w:rsidR="004F20BB">
          <w:rPr>
            <w:noProof/>
            <w:webHidden/>
          </w:rPr>
          <w:t>391</w:t>
        </w:r>
        <w:r w:rsidR="004F20BB">
          <w:rPr>
            <w:noProof/>
            <w:webHidden/>
          </w:rPr>
          <w:fldChar w:fldCharType="end"/>
        </w:r>
      </w:hyperlink>
    </w:p>
    <w:p w14:paraId="7BCE88C9" w14:textId="16EC328A" w:rsidR="004F20BB" w:rsidRDefault="00F322E7">
      <w:pPr>
        <w:pStyle w:val="TOC2"/>
        <w:tabs>
          <w:tab w:val="right" w:leader="dot" w:pos="9350"/>
        </w:tabs>
        <w:rPr>
          <w:rFonts w:asciiTheme="minorHAnsi" w:eastAsiaTheme="minorEastAsia" w:hAnsiTheme="minorHAnsi" w:cstheme="minorBidi"/>
          <w:smallCaps w:val="0"/>
          <w:noProof/>
        </w:rPr>
      </w:pPr>
      <w:hyperlink w:anchor="_Toc47516789" w:history="1">
        <w:r w:rsidR="004F20BB" w:rsidRPr="00DB2EFF">
          <w:rPr>
            <w:rStyle w:val="Hyperlink"/>
            <w:noProof/>
          </w:rPr>
          <w:t>Order History Report</w:t>
        </w:r>
        <w:r w:rsidR="004F20BB">
          <w:rPr>
            <w:noProof/>
            <w:webHidden/>
          </w:rPr>
          <w:tab/>
        </w:r>
        <w:r w:rsidR="004F20BB">
          <w:rPr>
            <w:noProof/>
            <w:webHidden/>
          </w:rPr>
          <w:fldChar w:fldCharType="begin"/>
        </w:r>
        <w:r w:rsidR="004F20BB">
          <w:rPr>
            <w:noProof/>
            <w:webHidden/>
          </w:rPr>
          <w:instrText xml:space="preserve"> PAGEREF _Toc47516789 \h </w:instrText>
        </w:r>
        <w:r w:rsidR="004F20BB">
          <w:rPr>
            <w:noProof/>
            <w:webHidden/>
          </w:rPr>
        </w:r>
        <w:r w:rsidR="004F20BB">
          <w:rPr>
            <w:noProof/>
            <w:webHidden/>
          </w:rPr>
          <w:fldChar w:fldCharType="separate"/>
        </w:r>
        <w:r w:rsidR="004F20BB">
          <w:rPr>
            <w:noProof/>
            <w:webHidden/>
          </w:rPr>
          <w:t>391</w:t>
        </w:r>
        <w:r w:rsidR="004F20BB">
          <w:rPr>
            <w:noProof/>
            <w:webHidden/>
          </w:rPr>
          <w:fldChar w:fldCharType="end"/>
        </w:r>
      </w:hyperlink>
    </w:p>
    <w:p w14:paraId="3D626F2C" w14:textId="743382EA" w:rsidR="004F20BB" w:rsidRDefault="00F322E7">
      <w:pPr>
        <w:pStyle w:val="TOC2"/>
        <w:tabs>
          <w:tab w:val="right" w:leader="dot" w:pos="9350"/>
        </w:tabs>
        <w:rPr>
          <w:rFonts w:asciiTheme="minorHAnsi" w:eastAsiaTheme="minorEastAsia" w:hAnsiTheme="minorHAnsi" w:cstheme="minorBidi"/>
          <w:smallCaps w:val="0"/>
          <w:noProof/>
        </w:rPr>
      </w:pPr>
      <w:hyperlink w:anchor="_Toc47516790" w:history="1">
        <w:r w:rsidR="004F20BB" w:rsidRPr="00DB2EFF">
          <w:rPr>
            <w:rStyle w:val="Hyperlink"/>
            <w:noProof/>
          </w:rPr>
          <w:t>Patient History Report</w:t>
        </w:r>
        <w:r w:rsidR="004F20BB">
          <w:rPr>
            <w:noProof/>
            <w:webHidden/>
          </w:rPr>
          <w:tab/>
        </w:r>
        <w:r w:rsidR="004F20BB">
          <w:rPr>
            <w:noProof/>
            <w:webHidden/>
          </w:rPr>
          <w:fldChar w:fldCharType="begin"/>
        </w:r>
        <w:r w:rsidR="004F20BB">
          <w:rPr>
            <w:noProof/>
            <w:webHidden/>
          </w:rPr>
          <w:instrText xml:space="preserve"> PAGEREF _Toc47516790 \h </w:instrText>
        </w:r>
        <w:r w:rsidR="004F20BB">
          <w:rPr>
            <w:noProof/>
            <w:webHidden/>
          </w:rPr>
        </w:r>
        <w:r w:rsidR="004F20BB">
          <w:rPr>
            <w:noProof/>
            <w:webHidden/>
          </w:rPr>
          <w:fldChar w:fldCharType="separate"/>
        </w:r>
        <w:r w:rsidR="004F20BB">
          <w:rPr>
            <w:noProof/>
            <w:webHidden/>
          </w:rPr>
          <w:t>394</w:t>
        </w:r>
        <w:r w:rsidR="004F20BB">
          <w:rPr>
            <w:noProof/>
            <w:webHidden/>
          </w:rPr>
          <w:fldChar w:fldCharType="end"/>
        </w:r>
      </w:hyperlink>
    </w:p>
    <w:p w14:paraId="044FB10C" w14:textId="73BCD722" w:rsidR="004F20BB" w:rsidRDefault="00F322E7">
      <w:pPr>
        <w:pStyle w:val="TOC2"/>
        <w:tabs>
          <w:tab w:val="right" w:leader="dot" w:pos="9350"/>
        </w:tabs>
        <w:rPr>
          <w:rFonts w:asciiTheme="minorHAnsi" w:eastAsiaTheme="minorEastAsia" w:hAnsiTheme="minorHAnsi" w:cstheme="minorBidi"/>
          <w:smallCaps w:val="0"/>
          <w:noProof/>
        </w:rPr>
      </w:pPr>
      <w:hyperlink w:anchor="_Toc47516791" w:history="1">
        <w:r w:rsidR="004F20BB" w:rsidRPr="00DB2EFF">
          <w:rPr>
            <w:rStyle w:val="Hyperlink"/>
            <w:noProof/>
          </w:rPr>
          <w:t>Patient Testing Worklist and Testing Worklist Reports</w:t>
        </w:r>
        <w:r w:rsidR="004F20BB">
          <w:rPr>
            <w:noProof/>
            <w:webHidden/>
          </w:rPr>
          <w:tab/>
        </w:r>
        <w:r w:rsidR="004F20BB">
          <w:rPr>
            <w:noProof/>
            <w:webHidden/>
          </w:rPr>
          <w:fldChar w:fldCharType="begin"/>
        </w:r>
        <w:r w:rsidR="004F20BB">
          <w:rPr>
            <w:noProof/>
            <w:webHidden/>
          </w:rPr>
          <w:instrText xml:space="preserve"> PAGEREF _Toc47516791 \h </w:instrText>
        </w:r>
        <w:r w:rsidR="004F20BB">
          <w:rPr>
            <w:noProof/>
            <w:webHidden/>
          </w:rPr>
        </w:r>
        <w:r w:rsidR="004F20BB">
          <w:rPr>
            <w:noProof/>
            <w:webHidden/>
          </w:rPr>
          <w:fldChar w:fldCharType="separate"/>
        </w:r>
        <w:r w:rsidR="004F20BB">
          <w:rPr>
            <w:noProof/>
            <w:webHidden/>
          </w:rPr>
          <w:t>396</w:t>
        </w:r>
        <w:r w:rsidR="004F20BB">
          <w:rPr>
            <w:noProof/>
            <w:webHidden/>
          </w:rPr>
          <w:fldChar w:fldCharType="end"/>
        </w:r>
      </w:hyperlink>
    </w:p>
    <w:p w14:paraId="0047C678" w14:textId="20BF5E16" w:rsidR="004F20BB" w:rsidRDefault="00F322E7">
      <w:pPr>
        <w:pStyle w:val="TOC2"/>
        <w:tabs>
          <w:tab w:val="right" w:leader="dot" w:pos="9350"/>
        </w:tabs>
        <w:rPr>
          <w:rFonts w:asciiTheme="minorHAnsi" w:eastAsiaTheme="minorEastAsia" w:hAnsiTheme="minorHAnsi" w:cstheme="minorBidi"/>
          <w:smallCaps w:val="0"/>
          <w:noProof/>
        </w:rPr>
      </w:pPr>
      <w:hyperlink w:anchor="_Toc47516792" w:history="1">
        <w:r w:rsidR="004F20BB" w:rsidRPr="00DB2EFF">
          <w:rPr>
            <w:rStyle w:val="Hyperlink"/>
            <w:noProof/>
          </w:rPr>
          <w:t>Prolonged Transfusion Time Report</w:t>
        </w:r>
        <w:r w:rsidR="004F20BB">
          <w:rPr>
            <w:noProof/>
            <w:webHidden/>
          </w:rPr>
          <w:tab/>
        </w:r>
        <w:r w:rsidR="004F20BB">
          <w:rPr>
            <w:noProof/>
            <w:webHidden/>
          </w:rPr>
          <w:fldChar w:fldCharType="begin"/>
        </w:r>
        <w:r w:rsidR="004F20BB">
          <w:rPr>
            <w:noProof/>
            <w:webHidden/>
          </w:rPr>
          <w:instrText xml:space="preserve"> PAGEREF _Toc47516792 \h </w:instrText>
        </w:r>
        <w:r w:rsidR="004F20BB">
          <w:rPr>
            <w:noProof/>
            <w:webHidden/>
          </w:rPr>
        </w:r>
        <w:r w:rsidR="004F20BB">
          <w:rPr>
            <w:noProof/>
            <w:webHidden/>
          </w:rPr>
          <w:fldChar w:fldCharType="separate"/>
        </w:r>
        <w:r w:rsidR="004F20BB">
          <w:rPr>
            <w:noProof/>
            <w:webHidden/>
          </w:rPr>
          <w:t>399</w:t>
        </w:r>
        <w:r w:rsidR="004F20BB">
          <w:rPr>
            <w:noProof/>
            <w:webHidden/>
          </w:rPr>
          <w:fldChar w:fldCharType="end"/>
        </w:r>
      </w:hyperlink>
    </w:p>
    <w:p w14:paraId="5C95AA68" w14:textId="2CFBA47A" w:rsidR="004F20BB" w:rsidRDefault="00F322E7">
      <w:pPr>
        <w:pStyle w:val="TOC2"/>
        <w:tabs>
          <w:tab w:val="right" w:leader="dot" w:pos="9350"/>
        </w:tabs>
        <w:rPr>
          <w:rFonts w:asciiTheme="minorHAnsi" w:eastAsiaTheme="minorEastAsia" w:hAnsiTheme="minorHAnsi" w:cstheme="minorBidi"/>
          <w:smallCaps w:val="0"/>
          <w:noProof/>
        </w:rPr>
      </w:pPr>
      <w:hyperlink w:anchor="_Toc47516793" w:history="1">
        <w:r w:rsidR="004F20BB" w:rsidRPr="00DB2EFF">
          <w:rPr>
            <w:rStyle w:val="Hyperlink"/>
            <w:noProof/>
          </w:rPr>
          <w:t>Transfusion Complications Report</w:t>
        </w:r>
        <w:r w:rsidR="004F20BB">
          <w:rPr>
            <w:noProof/>
            <w:webHidden/>
          </w:rPr>
          <w:tab/>
        </w:r>
        <w:r w:rsidR="004F20BB">
          <w:rPr>
            <w:noProof/>
            <w:webHidden/>
          </w:rPr>
          <w:fldChar w:fldCharType="begin"/>
        </w:r>
        <w:r w:rsidR="004F20BB">
          <w:rPr>
            <w:noProof/>
            <w:webHidden/>
          </w:rPr>
          <w:instrText xml:space="preserve"> PAGEREF _Toc47516793 \h </w:instrText>
        </w:r>
        <w:r w:rsidR="004F20BB">
          <w:rPr>
            <w:noProof/>
            <w:webHidden/>
          </w:rPr>
        </w:r>
        <w:r w:rsidR="004F20BB">
          <w:rPr>
            <w:noProof/>
            <w:webHidden/>
          </w:rPr>
          <w:fldChar w:fldCharType="separate"/>
        </w:r>
        <w:r w:rsidR="004F20BB">
          <w:rPr>
            <w:noProof/>
            <w:webHidden/>
          </w:rPr>
          <w:t>402</w:t>
        </w:r>
        <w:r w:rsidR="004F20BB">
          <w:rPr>
            <w:noProof/>
            <w:webHidden/>
          </w:rPr>
          <w:fldChar w:fldCharType="end"/>
        </w:r>
      </w:hyperlink>
    </w:p>
    <w:p w14:paraId="74B73631" w14:textId="5B52DA6C" w:rsidR="004F20BB" w:rsidRDefault="00F322E7">
      <w:pPr>
        <w:pStyle w:val="TOC2"/>
        <w:tabs>
          <w:tab w:val="right" w:leader="dot" w:pos="9350"/>
        </w:tabs>
        <w:rPr>
          <w:rFonts w:asciiTheme="minorHAnsi" w:eastAsiaTheme="minorEastAsia" w:hAnsiTheme="minorHAnsi" w:cstheme="minorBidi"/>
          <w:smallCaps w:val="0"/>
          <w:noProof/>
        </w:rPr>
      </w:pPr>
      <w:hyperlink w:anchor="_Toc47516794" w:history="1">
        <w:r w:rsidR="004F20BB" w:rsidRPr="00DB2EFF">
          <w:rPr>
            <w:rStyle w:val="Hyperlink"/>
            <w:noProof/>
          </w:rPr>
          <w:t>Transfusion Effectiveness Report</w:t>
        </w:r>
        <w:r w:rsidR="004F20BB">
          <w:rPr>
            <w:noProof/>
            <w:webHidden/>
          </w:rPr>
          <w:tab/>
        </w:r>
        <w:r w:rsidR="004F20BB">
          <w:rPr>
            <w:noProof/>
            <w:webHidden/>
          </w:rPr>
          <w:fldChar w:fldCharType="begin"/>
        </w:r>
        <w:r w:rsidR="004F20BB">
          <w:rPr>
            <w:noProof/>
            <w:webHidden/>
          </w:rPr>
          <w:instrText xml:space="preserve"> PAGEREF _Toc47516794 \h </w:instrText>
        </w:r>
        <w:r w:rsidR="004F20BB">
          <w:rPr>
            <w:noProof/>
            <w:webHidden/>
          </w:rPr>
        </w:r>
        <w:r w:rsidR="004F20BB">
          <w:rPr>
            <w:noProof/>
            <w:webHidden/>
          </w:rPr>
          <w:fldChar w:fldCharType="separate"/>
        </w:r>
        <w:r w:rsidR="004F20BB">
          <w:rPr>
            <w:noProof/>
            <w:webHidden/>
          </w:rPr>
          <w:t>404</w:t>
        </w:r>
        <w:r w:rsidR="004F20BB">
          <w:rPr>
            <w:noProof/>
            <w:webHidden/>
          </w:rPr>
          <w:fldChar w:fldCharType="end"/>
        </w:r>
      </w:hyperlink>
    </w:p>
    <w:p w14:paraId="33A6D8EF" w14:textId="57995F8F" w:rsidR="004F20BB" w:rsidRDefault="00F322E7">
      <w:pPr>
        <w:pStyle w:val="TOC2"/>
        <w:tabs>
          <w:tab w:val="right" w:leader="dot" w:pos="9350"/>
        </w:tabs>
        <w:rPr>
          <w:rFonts w:asciiTheme="minorHAnsi" w:eastAsiaTheme="minorEastAsia" w:hAnsiTheme="minorHAnsi" w:cstheme="minorBidi"/>
          <w:smallCaps w:val="0"/>
          <w:noProof/>
        </w:rPr>
      </w:pPr>
      <w:hyperlink w:anchor="_Toc47516795" w:history="1">
        <w:r w:rsidR="004F20BB" w:rsidRPr="00DB2EFF">
          <w:rPr>
            <w:rStyle w:val="Hyperlink"/>
            <w:noProof/>
          </w:rPr>
          <w:t>Transfusion Reaction Count Report</w:t>
        </w:r>
        <w:r w:rsidR="004F20BB">
          <w:rPr>
            <w:noProof/>
            <w:webHidden/>
          </w:rPr>
          <w:tab/>
        </w:r>
        <w:r w:rsidR="004F20BB">
          <w:rPr>
            <w:noProof/>
            <w:webHidden/>
          </w:rPr>
          <w:fldChar w:fldCharType="begin"/>
        </w:r>
        <w:r w:rsidR="004F20BB">
          <w:rPr>
            <w:noProof/>
            <w:webHidden/>
          </w:rPr>
          <w:instrText xml:space="preserve"> PAGEREF _Toc47516795 \h </w:instrText>
        </w:r>
        <w:r w:rsidR="004F20BB">
          <w:rPr>
            <w:noProof/>
            <w:webHidden/>
          </w:rPr>
        </w:r>
        <w:r w:rsidR="004F20BB">
          <w:rPr>
            <w:noProof/>
            <w:webHidden/>
          </w:rPr>
          <w:fldChar w:fldCharType="separate"/>
        </w:r>
        <w:r w:rsidR="004F20BB">
          <w:rPr>
            <w:noProof/>
            <w:webHidden/>
          </w:rPr>
          <w:t>406</w:t>
        </w:r>
        <w:r w:rsidR="004F20BB">
          <w:rPr>
            <w:noProof/>
            <w:webHidden/>
          </w:rPr>
          <w:fldChar w:fldCharType="end"/>
        </w:r>
      </w:hyperlink>
    </w:p>
    <w:p w14:paraId="22DD084A" w14:textId="15586A7F" w:rsidR="004F20BB" w:rsidRDefault="00F322E7">
      <w:pPr>
        <w:pStyle w:val="TOC2"/>
        <w:tabs>
          <w:tab w:val="right" w:leader="dot" w:pos="9350"/>
        </w:tabs>
        <w:rPr>
          <w:rFonts w:asciiTheme="minorHAnsi" w:eastAsiaTheme="minorEastAsia" w:hAnsiTheme="minorHAnsi" w:cstheme="minorBidi"/>
          <w:smallCaps w:val="0"/>
          <w:noProof/>
        </w:rPr>
      </w:pPr>
      <w:hyperlink w:anchor="_Toc47516796" w:history="1">
        <w:r w:rsidR="004F20BB" w:rsidRPr="00DB2EFF">
          <w:rPr>
            <w:rStyle w:val="Hyperlink"/>
            <w:noProof/>
          </w:rPr>
          <w:t>Transfusion Requirements Report</w:t>
        </w:r>
        <w:r w:rsidR="004F20BB">
          <w:rPr>
            <w:noProof/>
            <w:webHidden/>
          </w:rPr>
          <w:tab/>
        </w:r>
        <w:r w:rsidR="004F20BB">
          <w:rPr>
            <w:noProof/>
            <w:webHidden/>
          </w:rPr>
          <w:fldChar w:fldCharType="begin"/>
        </w:r>
        <w:r w:rsidR="004F20BB">
          <w:rPr>
            <w:noProof/>
            <w:webHidden/>
          </w:rPr>
          <w:instrText xml:space="preserve"> PAGEREF _Toc47516796 \h </w:instrText>
        </w:r>
        <w:r w:rsidR="004F20BB">
          <w:rPr>
            <w:noProof/>
            <w:webHidden/>
          </w:rPr>
        </w:r>
        <w:r w:rsidR="004F20BB">
          <w:rPr>
            <w:noProof/>
            <w:webHidden/>
          </w:rPr>
          <w:fldChar w:fldCharType="separate"/>
        </w:r>
        <w:r w:rsidR="004F20BB">
          <w:rPr>
            <w:noProof/>
            <w:webHidden/>
          </w:rPr>
          <w:t>408</w:t>
        </w:r>
        <w:r w:rsidR="004F20BB">
          <w:rPr>
            <w:noProof/>
            <w:webHidden/>
          </w:rPr>
          <w:fldChar w:fldCharType="end"/>
        </w:r>
      </w:hyperlink>
    </w:p>
    <w:p w14:paraId="1493D2F5" w14:textId="7BDA79CC" w:rsidR="004F20BB" w:rsidRDefault="00F322E7">
      <w:pPr>
        <w:pStyle w:val="TOC2"/>
        <w:tabs>
          <w:tab w:val="right" w:leader="dot" w:pos="9350"/>
        </w:tabs>
        <w:rPr>
          <w:rFonts w:asciiTheme="minorHAnsi" w:eastAsiaTheme="minorEastAsia" w:hAnsiTheme="minorHAnsi" w:cstheme="minorBidi"/>
          <w:smallCaps w:val="0"/>
          <w:noProof/>
        </w:rPr>
      </w:pPr>
      <w:hyperlink w:anchor="_Toc47516797" w:history="1">
        <w:r w:rsidR="004F20BB" w:rsidRPr="00DB2EFF">
          <w:rPr>
            <w:rStyle w:val="Hyperlink"/>
            <w:noProof/>
          </w:rPr>
          <w:t>Unit History Report</w:t>
        </w:r>
        <w:r w:rsidR="004F20BB">
          <w:rPr>
            <w:noProof/>
            <w:webHidden/>
          </w:rPr>
          <w:tab/>
        </w:r>
        <w:r w:rsidR="004F20BB">
          <w:rPr>
            <w:noProof/>
            <w:webHidden/>
          </w:rPr>
          <w:fldChar w:fldCharType="begin"/>
        </w:r>
        <w:r w:rsidR="004F20BB">
          <w:rPr>
            <w:noProof/>
            <w:webHidden/>
          </w:rPr>
          <w:instrText xml:space="preserve"> PAGEREF _Toc47516797 \h </w:instrText>
        </w:r>
        <w:r w:rsidR="004F20BB">
          <w:rPr>
            <w:noProof/>
            <w:webHidden/>
          </w:rPr>
        </w:r>
        <w:r w:rsidR="004F20BB">
          <w:rPr>
            <w:noProof/>
            <w:webHidden/>
          </w:rPr>
          <w:fldChar w:fldCharType="separate"/>
        </w:r>
        <w:r w:rsidR="004F20BB">
          <w:rPr>
            <w:noProof/>
            <w:webHidden/>
          </w:rPr>
          <w:t>410</w:t>
        </w:r>
        <w:r w:rsidR="004F20BB">
          <w:rPr>
            <w:noProof/>
            <w:webHidden/>
          </w:rPr>
          <w:fldChar w:fldCharType="end"/>
        </w:r>
      </w:hyperlink>
    </w:p>
    <w:p w14:paraId="0610ACD7" w14:textId="1F43BE6D" w:rsidR="004F20BB" w:rsidRDefault="00F322E7">
      <w:pPr>
        <w:pStyle w:val="TOC1"/>
        <w:tabs>
          <w:tab w:val="right" w:leader="dot" w:pos="9350"/>
        </w:tabs>
        <w:rPr>
          <w:rFonts w:asciiTheme="minorHAnsi" w:eastAsiaTheme="minorEastAsia" w:hAnsiTheme="minorHAnsi" w:cstheme="minorBidi"/>
          <w:b w:val="0"/>
          <w:caps w:val="0"/>
          <w:noProof/>
        </w:rPr>
      </w:pPr>
      <w:hyperlink w:anchor="_Toc47516798" w:history="1">
        <w:r w:rsidR="004F20BB" w:rsidRPr="00DB2EFF">
          <w:rPr>
            <w:rStyle w:val="Hyperlink"/>
            <w:noProof/>
          </w:rPr>
          <w:t>References</w:t>
        </w:r>
        <w:r w:rsidR="004F20BB">
          <w:rPr>
            <w:noProof/>
            <w:webHidden/>
          </w:rPr>
          <w:tab/>
        </w:r>
        <w:r w:rsidR="004F20BB">
          <w:rPr>
            <w:noProof/>
            <w:webHidden/>
          </w:rPr>
          <w:fldChar w:fldCharType="begin"/>
        </w:r>
        <w:r w:rsidR="004F20BB">
          <w:rPr>
            <w:noProof/>
            <w:webHidden/>
          </w:rPr>
          <w:instrText xml:space="preserve"> PAGEREF _Toc47516798 \h </w:instrText>
        </w:r>
        <w:r w:rsidR="004F20BB">
          <w:rPr>
            <w:noProof/>
            <w:webHidden/>
          </w:rPr>
        </w:r>
        <w:r w:rsidR="004F20BB">
          <w:rPr>
            <w:noProof/>
            <w:webHidden/>
          </w:rPr>
          <w:fldChar w:fldCharType="separate"/>
        </w:r>
        <w:r w:rsidR="004F20BB">
          <w:rPr>
            <w:noProof/>
            <w:webHidden/>
          </w:rPr>
          <w:t>413</w:t>
        </w:r>
        <w:r w:rsidR="004F20BB">
          <w:rPr>
            <w:noProof/>
            <w:webHidden/>
          </w:rPr>
          <w:fldChar w:fldCharType="end"/>
        </w:r>
      </w:hyperlink>
    </w:p>
    <w:p w14:paraId="48C3718C" w14:textId="75476758" w:rsidR="004F20BB" w:rsidRDefault="00F322E7">
      <w:pPr>
        <w:pStyle w:val="TOC1"/>
        <w:tabs>
          <w:tab w:val="right" w:leader="dot" w:pos="9350"/>
        </w:tabs>
        <w:rPr>
          <w:rFonts w:asciiTheme="minorHAnsi" w:eastAsiaTheme="minorEastAsia" w:hAnsiTheme="minorHAnsi" w:cstheme="minorBidi"/>
          <w:b w:val="0"/>
          <w:caps w:val="0"/>
          <w:noProof/>
        </w:rPr>
      </w:pPr>
      <w:hyperlink w:anchor="_Toc47516799" w:history="1">
        <w:r w:rsidR="004F20BB" w:rsidRPr="00DB2EFF">
          <w:rPr>
            <w:rStyle w:val="Hyperlink"/>
            <w:noProof/>
          </w:rPr>
          <w:t>Glossary</w:t>
        </w:r>
        <w:r w:rsidR="004F20BB">
          <w:rPr>
            <w:noProof/>
            <w:webHidden/>
          </w:rPr>
          <w:tab/>
        </w:r>
        <w:r w:rsidR="004F20BB">
          <w:rPr>
            <w:noProof/>
            <w:webHidden/>
          </w:rPr>
          <w:fldChar w:fldCharType="begin"/>
        </w:r>
        <w:r w:rsidR="004F20BB">
          <w:rPr>
            <w:noProof/>
            <w:webHidden/>
          </w:rPr>
          <w:instrText xml:space="preserve"> PAGEREF _Toc47516799 \h </w:instrText>
        </w:r>
        <w:r w:rsidR="004F20BB">
          <w:rPr>
            <w:noProof/>
            <w:webHidden/>
          </w:rPr>
        </w:r>
        <w:r w:rsidR="004F20BB">
          <w:rPr>
            <w:noProof/>
            <w:webHidden/>
          </w:rPr>
          <w:fldChar w:fldCharType="separate"/>
        </w:r>
        <w:r w:rsidR="004F20BB">
          <w:rPr>
            <w:noProof/>
            <w:webHidden/>
          </w:rPr>
          <w:t>417</w:t>
        </w:r>
        <w:r w:rsidR="004F20BB">
          <w:rPr>
            <w:noProof/>
            <w:webHidden/>
          </w:rPr>
          <w:fldChar w:fldCharType="end"/>
        </w:r>
      </w:hyperlink>
    </w:p>
    <w:p w14:paraId="0CE7DF9B" w14:textId="38245D8F" w:rsidR="004F20BB" w:rsidRDefault="00F322E7">
      <w:pPr>
        <w:pStyle w:val="TOC1"/>
        <w:tabs>
          <w:tab w:val="right" w:leader="dot" w:pos="9350"/>
        </w:tabs>
        <w:rPr>
          <w:rFonts w:asciiTheme="minorHAnsi" w:eastAsiaTheme="minorEastAsia" w:hAnsiTheme="minorHAnsi" w:cstheme="minorBidi"/>
          <w:b w:val="0"/>
          <w:caps w:val="0"/>
          <w:noProof/>
        </w:rPr>
      </w:pPr>
      <w:hyperlink w:anchor="_Toc47516800" w:history="1">
        <w:r w:rsidR="004F20BB" w:rsidRPr="00DB2EFF">
          <w:rPr>
            <w:rStyle w:val="Hyperlink"/>
            <w:noProof/>
          </w:rPr>
          <w:t>Appendices</w:t>
        </w:r>
        <w:r w:rsidR="004F20BB">
          <w:rPr>
            <w:noProof/>
            <w:webHidden/>
          </w:rPr>
          <w:tab/>
        </w:r>
        <w:r w:rsidR="004F20BB">
          <w:rPr>
            <w:noProof/>
            <w:webHidden/>
          </w:rPr>
          <w:fldChar w:fldCharType="begin"/>
        </w:r>
        <w:r w:rsidR="004F20BB">
          <w:rPr>
            <w:noProof/>
            <w:webHidden/>
          </w:rPr>
          <w:instrText xml:space="preserve"> PAGEREF _Toc47516800 \h </w:instrText>
        </w:r>
        <w:r w:rsidR="004F20BB">
          <w:rPr>
            <w:noProof/>
            <w:webHidden/>
          </w:rPr>
        </w:r>
        <w:r w:rsidR="004F20BB">
          <w:rPr>
            <w:noProof/>
            <w:webHidden/>
          </w:rPr>
          <w:fldChar w:fldCharType="separate"/>
        </w:r>
        <w:r w:rsidR="004F20BB">
          <w:rPr>
            <w:noProof/>
            <w:webHidden/>
          </w:rPr>
          <w:t>427</w:t>
        </w:r>
        <w:r w:rsidR="004F20BB">
          <w:rPr>
            <w:noProof/>
            <w:webHidden/>
          </w:rPr>
          <w:fldChar w:fldCharType="end"/>
        </w:r>
      </w:hyperlink>
    </w:p>
    <w:p w14:paraId="3679E552" w14:textId="14642D72" w:rsidR="004F20BB" w:rsidRDefault="00F322E7">
      <w:pPr>
        <w:pStyle w:val="TOC2"/>
        <w:tabs>
          <w:tab w:val="right" w:leader="dot" w:pos="9350"/>
        </w:tabs>
        <w:rPr>
          <w:rFonts w:asciiTheme="minorHAnsi" w:eastAsiaTheme="minorEastAsia" w:hAnsiTheme="minorHAnsi" w:cstheme="minorBidi"/>
          <w:smallCaps w:val="0"/>
          <w:noProof/>
        </w:rPr>
      </w:pPr>
      <w:hyperlink w:anchor="_Toc47516801" w:history="1">
        <w:r w:rsidR="004F20BB" w:rsidRPr="00DB2EFF">
          <w:rPr>
            <w:rStyle w:val="Hyperlink"/>
            <w:noProof/>
          </w:rPr>
          <w:t>Appendix A: Downtime Forms and Instructions</w:t>
        </w:r>
        <w:r w:rsidR="004F20BB">
          <w:rPr>
            <w:noProof/>
            <w:webHidden/>
          </w:rPr>
          <w:tab/>
        </w:r>
        <w:r w:rsidR="004F20BB">
          <w:rPr>
            <w:noProof/>
            <w:webHidden/>
          </w:rPr>
          <w:fldChar w:fldCharType="begin"/>
        </w:r>
        <w:r w:rsidR="004F20BB">
          <w:rPr>
            <w:noProof/>
            <w:webHidden/>
          </w:rPr>
          <w:instrText xml:space="preserve"> PAGEREF _Toc47516801 \h </w:instrText>
        </w:r>
        <w:r w:rsidR="004F20BB">
          <w:rPr>
            <w:noProof/>
            <w:webHidden/>
          </w:rPr>
        </w:r>
        <w:r w:rsidR="004F20BB">
          <w:rPr>
            <w:noProof/>
            <w:webHidden/>
          </w:rPr>
          <w:fldChar w:fldCharType="separate"/>
        </w:r>
        <w:r w:rsidR="004F20BB">
          <w:rPr>
            <w:noProof/>
            <w:webHidden/>
          </w:rPr>
          <w:t>427</w:t>
        </w:r>
        <w:r w:rsidR="004F20BB">
          <w:rPr>
            <w:noProof/>
            <w:webHidden/>
          </w:rPr>
          <w:fldChar w:fldCharType="end"/>
        </w:r>
      </w:hyperlink>
    </w:p>
    <w:p w14:paraId="7D5F547A" w14:textId="40FA2054" w:rsidR="004F20BB" w:rsidRDefault="00F322E7">
      <w:pPr>
        <w:pStyle w:val="TOC3"/>
        <w:tabs>
          <w:tab w:val="right" w:leader="dot" w:pos="9350"/>
        </w:tabs>
        <w:rPr>
          <w:rFonts w:asciiTheme="minorHAnsi" w:eastAsiaTheme="minorEastAsia" w:hAnsiTheme="minorHAnsi" w:cstheme="minorBidi"/>
          <w:noProof/>
        </w:rPr>
      </w:pPr>
      <w:hyperlink w:anchor="_Toc47516802" w:history="1">
        <w:r w:rsidR="004F20BB" w:rsidRPr="00DB2EFF">
          <w:rPr>
            <w:rStyle w:val="Hyperlink"/>
            <w:noProof/>
          </w:rPr>
          <w:t>Patient Testing Form</w:t>
        </w:r>
        <w:r w:rsidR="004F20BB">
          <w:rPr>
            <w:noProof/>
            <w:webHidden/>
          </w:rPr>
          <w:tab/>
        </w:r>
        <w:r w:rsidR="004F20BB">
          <w:rPr>
            <w:noProof/>
            <w:webHidden/>
          </w:rPr>
          <w:fldChar w:fldCharType="begin"/>
        </w:r>
        <w:r w:rsidR="004F20BB">
          <w:rPr>
            <w:noProof/>
            <w:webHidden/>
          </w:rPr>
          <w:instrText xml:space="preserve"> PAGEREF _Toc47516802 \h </w:instrText>
        </w:r>
        <w:r w:rsidR="004F20BB">
          <w:rPr>
            <w:noProof/>
            <w:webHidden/>
          </w:rPr>
        </w:r>
        <w:r w:rsidR="004F20BB">
          <w:rPr>
            <w:noProof/>
            <w:webHidden/>
          </w:rPr>
          <w:fldChar w:fldCharType="separate"/>
        </w:r>
        <w:r w:rsidR="004F20BB">
          <w:rPr>
            <w:noProof/>
            <w:webHidden/>
          </w:rPr>
          <w:t>429</w:t>
        </w:r>
        <w:r w:rsidR="004F20BB">
          <w:rPr>
            <w:noProof/>
            <w:webHidden/>
          </w:rPr>
          <w:fldChar w:fldCharType="end"/>
        </w:r>
      </w:hyperlink>
    </w:p>
    <w:p w14:paraId="4D38B66B" w14:textId="3EBB8772" w:rsidR="004F20BB" w:rsidRDefault="00F322E7">
      <w:pPr>
        <w:pStyle w:val="TOC3"/>
        <w:tabs>
          <w:tab w:val="right" w:leader="dot" w:pos="9350"/>
        </w:tabs>
        <w:rPr>
          <w:rFonts w:asciiTheme="minorHAnsi" w:eastAsiaTheme="minorEastAsia" w:hAnsiTheme="minorHAnsi" w:cstheme="minorBidi"/>
          <w:noProof/>
        </w:rPr>
      </w:pPr>
      <w:hyperlink w:anchor="_Toc47516803" w:history="1">
        <w:r w:rsidR="004F20BB" w:rsidRPr="00DB2EFF">
          <w:rPr>
            <w:rStyle w:val="Hyperlink"/>
            <w:noProof/>
          </w:rPr>
          <w:t>Unit ABO/Rh Confirmation Form</w:t>
        </w:r>
        <w:r w:rsidR="004F20BB">
          <w:rPr>
            <w:noProof/>
            <w:webHidden/>
          </w:rPr>
          <w:tab/>
        </w:r>
        <w:r w:rsidR="004F20BB">
          <w:rPr>
            <w:noProof/>
            <w:webHidden/>
          </w:rPr>
          <w:fldChar w:fldCharType="begin"/>
        </w:r>
        <w:r w:rsidR="004F20BB">
          <w:rPr>
            <w:noProof/>
            <w:webHidden/>
          </w:rPr>
          <w:instrText xml:space="preserve"> PAGEREF _Toc47516803 \h </w:instrText>
        </w:r>
        <w:r w:rsidR="004F20BB">
          <w:rPr>
            <w:noProof/>
            <w:webHidden/>
          </w:rPr>
        </w:r>
        <w:r w:rsidR="004F20BB">
          <w:rPr>
            <w:noProof/>
            <w:webHidden/>
          </w:rPr>
          <w:fldChar w:fldCharType="separate"/>
        </w:r>
        <w:r w:rsidR="004F20BB">
          <w:rPr>
            <w:noProof/>
            <w:webHidden/>
          </w:rPr>
          <w:t>432</w:t>
        </w:r>
        <w:r w:rsidR="004F20BB">
          <w:rPr>
            <w:noProof/>
            <w:webHidden/>
          </w:rPr>
          <w:fldChar w:fldCharType="end"/>
        </w:r>
      </w:hyperlink>
    </w:p>
    <w:p w14:paraId="13BB0881" w14:textId="60B5FA2D" w:rsidR="004F20BB" w:rsidRDefault="00F322E7">
      <w:pPr>
        <w:pStyle w:val="TOC3"/>
        <w:tabs>
          <w:tab w:val="right" w:leader="dot" w:pos="9350"/>
        </w:tabs>
        <w:rPr>
          <w:rFonts w:asciiTheme="minorHAnsi" w:eastAsiaTheme="minorEastAsia" w:hAnsiTheme="minorHAnsi" w:cstheme="minorBidi"/>
          <w:noProof/>
        </w:rPr>
      </w:pPr>
      <w:hyperlink w:anchor="_Toc47516804" w:history="1">
        <w:r w:rsidR="004F20BB" w:rsidRPr="00DB2EFF">
          <w:rPr>
            <w:rStyle w:val="Hyperlink"/>
            <w:noProof/>
          </w:rPr>
          <w:t>Unit Issue and Inspection Log</w:t>
        </w:r>
        <w:r w:rsidR="004F20BB">
          <w:rPr>
            <w:noProof/>
            <w:webHidden/>
          </w:rPr>
          <w:tab/>
        </w:r>
        <w:r w:rsidR="004F20BB">
          <w:rPr>
            <w:noProof/>
            <w:webHidden/>
          </w:rPr>
          <w:fldChar w:fldCharType="begin"/>
        </w:r>
        <w:r w:rsidR="004F20BB">
          <w:rPr>
            <w:noProof/>
            <w:webHidden/>
          </w:rPr>
          <w:instrText xml:space="preserve"> PAGEREF _Toc47516804 \h </w:instrText>
        </w:r>
        <w:r w:rsidR="004F20BB">
          <w:rPr>
            <w:noProof/>
            <w:webHidden/>
          </w:rPr>
        </w:r>
        <w:r w:rsidR="004F20BB">
          <w:rPr>
            <w:noProof/>
            <w:webHidden/>
          </w:rPr>
          <w:fldChar w:fldCharType="separate"/>
        </w:r>
        <w:r w:rsidR="004F20BB">
          <w:rPr>
            <w:noProof/>
            <w:webHidden/>
          </w:rPr>
          <w:t>433</w:t>
        </w:r>
        <w:r w:rsidR="004F20BB">
          <w:rPr>
            <w:noProof/>
            <w:webHidden/>
          </w:rPr>
          <w:fldChar w:fldCharType="end"/>
        </w:r>
      </w:hyperlink>
    </w:p>
    <w:p w14:paraId="09420A58" w14:textId="69450399" w:rsidR="004F20BB" w:rsidRDefault="00F322E7">
      <w:pPr>
        <w:pStyle w:val="TOC3"/>
        <w:tabs>
          <w:tab w:val="right" w:leader="dot" w:pos="9350"/>
        </w:tabs>
        <w:rPr>
          <w:rFonts w:asciiTheme="minorHAnsi" w:eastAsiaTheme="minorEastAsia" w:hAnsiTheme="minorHAnsi" w:cstheme="minorBidi"/>
          <w:noProof/>
        </w:rPr>
      </w:pPr>
      <w:hyperlink w:anchor="_Toc47516805" w:history="1">
        <w:r w:rsidR="004F20BB" w:rsidRPr="00DB2EFF">
          <w:rPr>
            <w:rStyle w:val="Hyperlink"/>
            <w:noProof/>
          </w:rPr>
          <w:t>Unit Modification Form</w:t>
        </w:r>
        <w:r w:rsidR="004F20BB">
          <w:rPr>
            <w:noProof/>
            <w:webHidden/>
          </w:rPr>
          <w:tab/>
        </w:r>
        <w:r w:rsidR="004F20BB">
          <w:rPr>
            <w:noProof/>
            <w:webHidden/>
          </w:rPr>
          <w:fldChar w:fldCharType="begin"/>
        </w:r>
        <w:r w:rsidR="004F20BB">
          <w:rPr>
            <w:noProof/>
            <w:webHidden/>
          </w:rPr>
          <w:instrText xml:space="preserve"> PAGEREF _Toc47516805 \h </w:instrText>
        </w:r>
        <w:r w:rsidR="004F20BB">
          <w:rPr>
            <w:noProof/>
            <w:webHidden/>
          </w:rPr>
        </w:r>
        <w:r w:rsidR="004F20BB">
          <w:rPr>
            <w:noProof/>
            <w:webHidden/>
          </w:rPr>
          <w:fldChar w:fldCharType="separate"/>
        </w:r>
        <w:r w:rsidR="004F20BB">
          <w:rPr>
            <w:noProof/>
            <w:webHidden/>
          </w:rPr>
          <w:t>434</w:t>
        </w:r>
        <w:r w:rsidR="004F20BB">
          <w:rPr>
            <w:noProof/>
            <w:webHidden/>
          </w:rPr>
          <w:fldChar w:fldCharType="end"/>
        </w:r>
      </w:hyperlink>
    </w:p>
    <w:p w14:paraId="45937E67" w14:textId="28D261D6" w:rsidR="004F20BB" w:rsidRDefault="00F322E7">
      <w:pPr>
        <w:pStyle w:val="TOC2"/>
        <w:tabs>
          <w:tab w:val="right" w:leader="dot" w:pos="9350"/>
        </w:tabs>
        <w:rPr>
          <w:rFonts w:asciiTheme="minorHAnsi" w:eastAsiaTheme="minorEastAsia" w:hAnsiTheme="minorHAnsi" w:cstheme="minorBidi"/>
          <w:smallCaps w:val="0"/>
          <w:noProof/>
        </w:rPr>
      </w:pPr>
      <w:hyperlink w:anchor="_Toc47516806" w:history="1">
        <w:r w:rsidR="004F20BB" w:rsidRPr="00DB2EFF">
          <w:rPr>
            <w:rStyle w:val="Hyperlink"/>
            <w:noProof/>
          </w:rPr>
          <w:t>Appendix B: Database Table Information</w:t>
        </w:r>
        <w:r w:rsidR="004F20BB">
          <w:rPr>
            <w:noProof/>
            <w:webHidden/>
          </w:rPr>
          <w:tab/>
        </w:r>
        <w:r w:rsidR="004F20BB">
          <w:rPr>
            <w:noProof/>
            <w:webHidden/>
          </w:rPr>
          <w:fldChar w:fldCharType="begin"/>
        </w:r>
        <w:r w:rsidR="004F20BB">
          <w:rPr>
            <w:noProof/>
            <w:webHidden/>
          </w:rPr>
          <w:instrText xml:space="preserve"> PAGEREF _Toc47516806 \h </w:instrText>
        </w:r>
        <w:r w:rsidR="004F20BB">
          <w:rPr>
            <w:noProof/>
            <w:webHidden/>
          </w:rPr>
        </w:r>
        <w:r w:rsidR="004F20BB">
          <w:rPr>
            <w:noProof/>
            <w:webHidden/>
          </w:rPr>
          <w:fldChar w:fldCharType="separate"/>
        </w:r>
        <w:r w:rsidR="004F20BB">
          <w:rPr>
            <w:noProof/>
            <w:webHidden/>
          </w:rPr>
          <w:t>437</w:t>
        </w:r>
        <w:r w:rsidR="004F20BB">
          <w:rPr>
            <w:noProof/>
            <w:webHidden/>
          </w:rPr>
          <w:fldChar w:fldCharType="end"/>
        </w:r>
      </w:hyperlink>
    </w:p>
    <w:p w14:paraId="4665043E" w14:textId="4C86FD26" w:rsidR="004F20BB" w:rsidRDefault="00F322E7">
      <w:pPr>
        <w:pStyle w:val="TOC3"/>
        <w:tabs>
          <w:tab w:val="right" w:leader="dot" w:pos="9350"/>
        </w:tabs>
        <w:rPr>
          <w:rFonts w:asciiTheme="minorHAnsi" w:eastAsiaTheme="minorEastAsia" w:hAnsiTheme="minorHAnsi" w:cstheme="minorBidi"/>
          <w:noProof/>
        </w:rPr>
      </w:pPr>
      <w:hyperlink w:anchor="_Toc47516807" w:history="1">
        <w:r w:rsidR="004F20BB" w:rsidRPr="00DB2EFF">
          <w:rPr>
            <w:rStyle w:val="Hyperlink"/>
            <w:noProof/>
          </w:rPr>
          <w:t>Antibody and Antigen Tables</w:t>
        </w:r>
        <w:r w:rsidR="004F20BB">
          <w:rPr>
            <w:noProof/>
            <w:webHidden/>
          </w:rPr>
          <w:tab/>
        </w:r>
        <w:r w:rsidR="004F20BB">
          <w:rPr>
            <w:noProof/>
            <w:webHidden/>
          </w:rPr>
          <w:fldChar w:fldCharType="begin"/>
        </w:r>
        <w:r w:rsidR="004F20BB">
          <w:rPr>
            <w:noProof/>
            <w:webHidden/>
          </w:rPr>
          <w:instrText xml:space="preserve"> PAGEREF _Toc47516807 \h </w:instrText>
        </w:r>
        <w:r w:rsidR="004F20BB">
          <w:rPr>
            <w:noProof/>
            <w:webHidden/>
          </w:rPr>
        </w:r>
        <w:r w:rsidR="004F20BB">
          <w:rPr>
            <w:noProof/>
            <w:webHidden/>
          </w:rPr>
          <w:fldChar w:fldCharType="separate"/>
        </w:r>
        <w:r w:rsidR="004F20BB">
          <w:rPr>
            <w:noProof/>
            <w:webHidden/>
          </w:rPr>
          <w:t>437</w:t>
        </w:r>
        <w:r w:rsidR="004F20BB">
          <w:rPr>
            <w:noProof/>
            <w:webHidden/>
          </w:rPr>
          <w:fldChar w:fldCharType="end"/>
        </w:r>
      </w:hyperlink>
    </w:p>
    <w:p w14:paraId="2C609BA9" w14:textId="49E9A386" w:rsidR="004F20BB" w:rsidRDefault="00F322E7">
      <w:pPr>
        <w:pStyle w:val="TOC3"/>
        <w:tabs>
          <w:tab w:val="right" w:leader="dot" w:pos="9350"/>
        </w:tabs>
        <w:rPr>
          <w:rFonts w:asciiTheme="minorHAnsi" w:eastAsiaTheme="minorEastAsia" w:hAnsiTheme="minorHAnsi" w:cstheme="minorBidi"/>
          <w:noProof/>
        </w:rPr>
      </w:pPr>
      <w:hyperlink w:anchor="_Toc47516808" w:history="1">
        <w:r w:rsidR="004F20BB" w:rsidRPr="00DB2EFF">
          <w:rPr>
            <w:rStyle w:val="Hyperlink"/>
            <w:noProof/>
          </w:rPr>
          <w:t>Antibody and Antigen Table: Irregular Antibodies</w:t>
        </w:r>
        <w:r w:rsidR="004F20BB">
          <w:rPr>
            <w:noProof/>
            <w:webHidden/>
          </w:rPr>
          <w:tab/>
        </w:r>
        <w:r w:rsidR="004F20BB">
          <w:rPr>
            <w:noProof/>
            <w:webHidden/>
          </w:rPr>
          <w:fldChar w:fldCharType="begin"/>
        </w:r>
        <w:r w:rsidR="004F20BB">
          <w:rPr>
            <w:noProof/>
            <w:webHidden/>
          </w:rPr>
          <w:instrText xml:space="preserve"> PAGEREF _Toc47516808 \h </w:instrText>
        </w:r>
        <w:r w:rsidR="004F20BB">
          <w:rPr>
            <w:noProof/>
            <w:webHidden/>
          </w:rPr>
        </w:r>
        <w:r w:rsidR="004F20BB">
          <w:rPr>
            <w:noProof/>
            <w:webHidden/>
          </w:rPr>
          <w:fldChar w:fldCharType="separate"/>
        </w:r>
        <w:r w:rsidR="004F20BB">
          <w:rPr>
            <w:noProof/>
            <w:webHidden/>
          </w:rPr>
          <w:t>437</w:t>
        </w:r>
        <w:r w:rsidR="004F20BB">
          <w:rPr>
            <w:noProof/>
            <w:webHidden/>
          </w:rPr>
          <w:fldChar w:fldCharType="end"/>
        </w:r>
      </w:hyperlink>
    </w:p>
    <w:p w14:paraId="114073C5" w14:textId="5D82A035" w:rsidR="004F20BB" w:rsidRDefault="00F322E7">
      <w:pPr>
        <w:pStyle w:val="TOC3"/>
        <w:tabs>
          <w:tab w:val="right" w:leader="dot" w:pos="9350"/>
        </w:tabs>
        <w:rPr>
          <w:rFonts w:asciiTheme="minorHAnsi" w:eastAsiaTheme="minorEastAsia" w:hAnsiTheme="minorHAnsi" w:cstheme="minorBidi"/>
          <w:noProof/>
        </w:rPr>
      </w:pPr>
      <w:hyperlink w:anchor="_Toc47516809" w:history="1">
        <w:r w:rsidR="004F20BB" w:rsidRPr="00DB2EFF">
          <w:rPr>
            <w:rStyle w:val="Hyperlink"/>
            <w:noProof/>
          </w:rPr>
          <w:t>Antibody and Antigen Table: Database Conversion</w:t>
        </w:r>
        <w:r w:rsidR="004F20BB">
          <w:rPr>
            <w:noProof/>
            <w:webHidden/>
          </w:rPr>
          <w:tab/>
        </w:r>
        <w:r w:rsidR="004F20BB">
          <w:rPr>
            <w:noProof/>
            <w:webHidden/>
          </w:rPr>
          <w:fldChar w:fldCharType="begin"/>
        </w:r>
        <w:r w:rsidR="004F20BB">
          <w:rPr>
            <w:noProof/>
            <w:webHidden/>
          </w:rPr>
          <w:instrText xml:space="preserve"> PAGEREF _Toc47516809 \h </w:instrText>
        </w:r>
        <w:r w:rsidR="004F20BB">
          <w:rPr>
            <w:noProof/>
            <w:webHidden/>
          </w:rPr>
        </w:r>
        <w:r w:rsidR="004F20BB">
          <w:rPr>
            <w:noProof/>
            <w:webHidden/>
          </w:rPr>
          <w:fldChar w:fldCharType="separate"/>
        </w:r>
        <w:r w:rsidR="004F20BB">
          <w:rPr>
            <w:noProof/>
            <w:webHidden/>
          </w:rPr>
          <w:t>440</w:t>
        </w:r>
        <w:r w:rsidR="004F20BB">
          <w:rPr>
            <w:noProof/>
            <w:webHidden/>
          </w:rPr>
          <w:fldChar w:fldCharType="end"/>
        </w:r>
      </w:hyperlink>
    </w:p>
    <w:p w14:paraId="70A60A14" w14:textId="27164ABF" w:rsidR="004F20BB" w:rsidRDefault="00F322E7">
      <w:pPr>
        <w:pStyle w:val="TOC3"/>
        <w:tabs>
          <w:tab w:val="right" w:leader="dot" w:pos="9350"/>
        </w:tabs>
        <w:rPr>
          <w:rFonts w:asciiTheme="minorHAnsi" w:eastAsiaTheme="minorEastAsia" w:hAnsiTheme="minorHAnsi" w:cstheme="minorBidi"/>
          <w:noProof/>
        </w:rPr>
      </w:pPr>
      <w:hyperlink w:anchor="_Toc47516810" w:history="1">
        <w:r w:rsidR="004F20BB" w:rsidRPr="00DB2EFF">
          <w:rPr>
            <w:rStyle w:val="Hyperlink"/>
            <w:noProof/>
          </w:rPr>
          <w:t>Antibody Screen Test Interpretation</w:t>
        </w:r>
        <w:r w:rsidR="004F20BB">
          <w:rPr>
            <w:noProof/>
            <w:webHidden/>
          </w:rPr>
          <w:tab/>
        </w:r>
        <w:r w:rsidR="004F20BB">
          <w:rPr>
            <w:noProof/>
            <w:webHidden/>
          </w:rPr>
          <w:fldChar w:fldCharType="begin"/>
        </w:r>
        <w:r w:rsidR="004F20BB">
          <w:rPr>
            <w:noProof/>
            <w:webHidden/>
          </w:rPr>
          <w:instrText xml:space="preserve"> PAGEREF _Toc47516810 \h </w:instrText>
        </w:r>
        <w:r w:rsidR="004F20BB">
          <w:rPr>
            <w:noProof/>
            <w:webHidden/>
          </w:rPr>
        </w:r>
        <w:r w:rsidR="004F20BB">
          <w:rPr>
            <w:noProof/>
            <w:webHidden/>
          </w:rPr>
          <w:fldChar w:fldCharType="separate"/>
        </w:r>
        <w:r w:rsidR="004F20BB">
          <w:rPr>
            <w:noProof/>
            <w:webHidden/>
          </w:rPr>
          <w:t>442</w:t>
        </w:r>
        <w:r w:rsidR="004F20BB">
          <w:rPr>
            <w:noProof/>
            <w:webHidden/>
          </w:rPr>
          <w:fldChar w:fldCharType="end"/>
        </w:r>
      </w:hyperlink>
    </w:p>
    <w:p w14:paraId="2CDDA657" w14:textId="392BF6F9" w:rsidR="004F20BB" w:rsidRDefault="00F322E7">
      <w:pPr>
        <w:pStyle w:val="TOC3"/>
        <w:tabs>
          <w:tab w:val="right" w:leader="dot" w:pos="9350"/>
        </w:tabs>
        <w:rPr>
          <w:rFonts w:asciiTheme="minorHAnsi" w:eastAsiaTheme="minorEastAsia" w:hAnsiTheme="minorHAnsi" w:cstheme="minorBidi"/>
          <w:noProof/>
        </w:rPr>
      </w:pPr>
      <w:hyperlink w:anchor="_Toc47516811" w:history="1">
        <w:r w:rsidR="004F20BB" w:rsidRPr="00DB2EFF">
          <w:rPr>
            <w:rStyle w:val="Hyperlink"/>
            <w:noProof/>
          </w:rPr>
          <w:t>Canned Comment Category Types and Text</w:t>
        </w:r>
        <w:r w:rsidR="004F20BB">
          <w:rPr>
            <w:noProof/>
            <w:webHidden/>
          </w:rPr>
          <w:tab/>
        </w:r>
        <w:r w:rsidR="004F20BB">
          <w:rPr>
            <w:noProof/>
            <w:webHidden/>
          </w:rPr>
          <w:fldChar w:fldCharType="begin"/>
        </w:r>
        <w:r w:rsidR="004F20BB">
          <w:rPr>
            <w:noProof/>
            <w:webHidden/>
          </w:rPr>
          <w:instrText xml:space="preserve"> PAGEREF _Toc47516811 \h </w:instrText>
        </w:r>
        <w:r w:rsidR="004F20BB">
          <w:rPr>
            <w:noProof/>
            <w:webHidden/>
          </w:rPr>
        </w:r>
        <w:r w:rsidR="004F20BB">
          <w:rPr>
            <w:noProof/>
            <w:webHidden/>
          </w:rPr>
          <w:fldChar w:fldCharType="separate"/>
        </w:r>
        <w:r w:rsidR="004F20BB">
          <w:rPr>
            <w:noProof/>
            <w:webHidden/>
          </w:rPr>
          <w:t>443</w:t>
        </w:r>
        <w:r w:rsidR="004F20BB">
          <w:rPr>
            <w:noProof/>
            <w:webHidden/>
          </w:rPr>
          <w:fldChar w:fldCharType="end"/>
        </w:r>
      </w:hyperlink>
    </w:p>
    <w:p w14:paraId="4E4321DC" w14:textId="0E191436" w:rsidR="004F20BB" w:rsidRDefault="00F322E7">
      <w:pPr>
        <w:pStyle w:val="TOC3"/>
        <w:tabs>
          <w:tab w:val="right" w:leader="dot" w:pos="9350"/>
        </w:tabs>
        <w:rPr>
          <w:rFonts w:asciiTheme="minorHAnsi" w:eastAsiaTheme="minorEastAsia" w:hAnsiTheme="minorHAnsi" w:cstheme="minorBidi"/>
          <w:noProof/>
        </w:rPr>
      </w:pPr>
      <w:hyperlink w:anchor="_Toc47516812" w:history="1">
        <w:r w:rsidR="004F20BB" w:rsidRPr="00DB2EFF">
          <w:rPr>
            <w:rStyle w:val="Hyperlink"/>
            <w:noProof/>
          </w:rPr>
          <w:t>CPRS Orderable Blood Components (Component Classes) Mapped to ICCBBA Component Classes</w:t>
        </w:r>
        <w:r w:rsidR="004F20BB">
          <w:rPr>
            <w:noProof/>
            <w:webHidden/>
          </w:rPr>
          <w:tab/>
        </w:r>
        <w:r w:rsidR="004F20BB">
          <w:rPr>
            <w:noProof/>
            <w:webHidden/>
          </w:rPr>
          <w:fldChar w:fldCharType="begin"/>
        </w:r>
        <w:r w:rsidR="004F20BB">
          <w:rPr>
            <w:noProof/>
            <w:webHidden/>
          </w:rPr>
          <w:instrText xml:space="preserve"> PAGEREF _Toc47516812 \h </w:instrText>
        </w:r>
        <w:r w:rsidR="004F20BB">
          <w:rPr>
            <w:noProof/>
            <w:webHidden/>
          </w:rPr>
        </w:r>
        <w:r w:rsidR="004F20BB">
          <w:rPr>
            <w:noProof/>
            <w:webHidden/>
          </w:rPr>
          <w:fldChar w:fldCharType="separate"/>
        </w:r>
        <w:r w:rsidR="004F20BB">
          <w:rPr>
            <w:noProof/>
            <w:webHidden/>
          </w:rPr>
          <w:t>448</w:t>
        </w:r>
        <w:r w:rsidR="004F20BB">
          <w:rPr>
            <w:noProof/>
            <w:webHidden/>
          </w:rPr>
          <w:fldChar w:fldCharType="end"/>
        </w:r>
      </w:hyperlink>
    </w:p>
    <w:p w14:paraId="0076CEFD" w14:textId="46E5DCCD" w:rsidR="004F20BB" w:rsidRDefault="00F322E7">
      <w:pPr>
        <w:pStyle w:val="TOC3"/>
        <w:tabs>
          <w:tab w:val="right" w:leader="dot" w:pos="9350"/>
        </w:tabs>
        <w:rPr>
          <w:rFonts w:asciiTheme="minorHAnsi" w:eastAsiaTheme="minorEastAsia" w:hAnsiTheme="minorHAnsi" w:cstheme="minorBidi"/>
          <w:noProof/>
        </w:rPr>
      </w:pPr>
      <w:hyperlink w:anchor="_Toc47516813" w:history="1">
        <w:r w:rsidR="004F20BB" w:rsidRPr="00DB2EFF">
          <w:rPr>
            <w:rStyle w:val="Hyperlink"/>
            <w:noProof/>
          </w:rPr>
          <w:t>Details in Audit Trail Report</w:t>
        </w:r>
        <w:r w:rsidR="004F20BB">
          <w:rPr>
            <w:noProof/>
            <w:webHidden/>
          </w:rPr>
          <w:tab/>
        </w:r>
        <w:r w:rsidR="004F20BB">
          <w:rPr>
            <w:noProof/>
            <w:webHidden/>
          </w:rPr>
          <w:fldChar w:fldCharType="begin"/>
        </w:r>
        <w:r w:rsidR="004F20BB">
          <w:rPr>
            <w:noProof/>
            <w:webHidden/>
          </w:rPr>
          <w:instrText xml:space="preserve"> PAGEREF _Toc47516813 \h </w:instrText>
        </w:r>
        <w:r w:rsidR="004F20BB">
          <w:rPr>
            <w:noProof/>
            <w:webHidden/>
          </w:rPr>
        </w:r>
        <w:r w:rsidR="004F20BB">
          <w:rPr>
            <w:noProof/>
            <w:webHidden/>
          </w:rPr>
          <w:fldChar w:fldCharType="separate"/>
        </w:r>
        <w:r w:rsidR="004F20BB">
          <w:rPr>
            <w:noProof/>
            <w:webHidden/>
          </w:rPr>
          <w:t>448</w:t>
        </w:r>
        <w:r w:rsidR="004F20BB">
          <w:rPr>
            <w:noProof/>
            <w:webHidden/>
          </w:rPr>
          <w:fldChar w:fldCharType="end"/>
        </w:r>
      </w:hyperlink>
    </w:p>
    <w:p w14:paraId="68EF801F" w14:textId="70EAA6AA" w:rsidR="004F20BB" w:rsidRDefault="00F322E7">
      <w:pPr>
        <w:pStyle w:val="TOC3"/>
        <w:tabs>
          <w:tab w:val="right" w:leader="dot" w:pos="9350"/>
        </w:tabs>
        <w:rPr>
          <w:rFonts w:asciiTheme="minorHAnsi" w:eastAsiaTheme="minorEastAsia" w:hAnsiTheme="minorHAnsi" w:cstheme="minorBidi"/>
          <w:noProof/>
        </w:rPr>
      </w:pPr>
      <w:hyperlink w:anchor="_Toc47516814" w:history="1">
        <w:r w:rsidR="004F20BB" w:rsidRPr="00DB2EFF">
          <w:rPr>
            <w:rStyle w:val="Hyperlink"/>
            <w:noProof/>
          </w:rPr>
          <w:t>Details in Exception Report</w:t>
        </w:r>
        <w:r w:rsidR="004F20BB">
          <w:rPr>
            <w:noProof/>
            <w:webHidden/>
          </w:rPr>
          <w:tab/>
        </w:r>
        <w:r w:rsidR="004F20BB">
          <w:rPr>
            <w:noProof/>
            <w:webHidden/>
          </w:rPr>
          <w:fldChar w:fldCharType="begin"/>
        </w:r>
        <w:r w:rsidR="004F20BB">
          <w:rPr>
            <w:noProof/>
            <w:webHidden/>
          </w:rPr>
          <w:instrText xml:space="preserve"> PAGEREF _Toc47516814 \h </w:instrText>
        </w:r>
        <w:r w:rsidR="004F20BB">
          <w:rPr>
            <w:noProof/>
            <w:webHidden/>
          </w:rPr>
        </w:r>
        <w:r w:rsidR="004F20BB">
          <w:rPr>
            <w:noProof/>
            <w:webHidden/>
          </w:rPr>
          <w:fldChar w:fldCharType="separate"/>
        </w:r>
        <w:r w:rsidR="004F20BB">
          <w:rPr>
            <w:noProof/>
            <w:webHidden/>
          </w:rPr>
          <w:t>453</w:t>
        </w:r>
        <w:r w:rsidR="004F20BB">
          <w:rPr>
            <w:noProof/>
            <w:webHidden/>
          </w:rPr>
          <w:fldChar w:fldCharType="end"/>
        </w:r>
      </w:hyperlink>
    </w:p>
    <w:p w14:paraId="471318A7" w14:textId="497A1DD8" w:rsidR="004F20BB" w:rsidRDefault="00F322E7">
      <w:pPr>
        <w:pStyle w:val="TOC3"/>
        <w:tabs>
          <w:tab w:val="right" w:leader="dot" w:pos="9350"/>
        </w:tabs>
        <w:rPr>
          <w:rFonts w:asciiTheme="minorHAnsi" w:eastAsiaTheme="minorEastAsia" w:hAnsiTheme="minorHAnsi" w:cstheme="minorBidi"/>
          <w:noProof/>
        </w:rPr>
      </w:pPr>
      <w:hyperlink w:anchor="_Toc47516815" w:history="1">
        <w:r w:rsidR="004F20BB" w:rsidRPr="00DB2EFF">
          <w:rPr>
            <w:rStyle w:val="Hyperlink"/>
            <w:noProof/>
          </w:rPr>
          <w:t>Allowable Product Modifications by Original Product Type</w:t>
        </w:r>
        <w:r w:rsidR="004F20BB">
          <w:rPr>
            <w:noProof/>
            <w:webHidden/>
          </w:rPr>
          <w:tab/>
        </w:r>
        <w:r w:rsidR="004F20BB">
          <w:rPr>
            <w:noProof/>
            <w:webHidden/>
          </w:rPr>
          <w:fldChar w:fldCharType="begin"/>
        </w:r>
        <w:r w:rsidR="004F20BB">
          <w:rPr>
            <w:noProof/>
            <w:webHidden/>
          </w:rPr>
          <w:instrText xml:space="preserve"> PAGEREF _Toc47516815 \h </w:instrText>
        </w:r>
        <w:r w:rsidR="004F20BB">
          <w:rPr>
            <w:noProof/>
            <w:webHidden/>
          </w:rPr>
        </w:r>
        <w:r w:rsidR="004F20BB">
          <w:rPr>
            <w:noProof/>
            <w:webHidden/>
          </w:rPr>
          <w:fldChar w:fldCharType="separate"/>
        </w:r>
        <w:r w:rsidR="004F20BB">
          <w:rPr>
            <w:noProof/>
            <w:webHidden/>
          </w:rPr>
          <w:t>455</w:t>
        </w:r>
        <w:r w:rsidR="004F20BB">
          <w:rPr>
            <w:noProof/>
            <w:webHidden/>
          </w:rPr>
          <w:fldChar w:fldCharType="end"/>
        </w:r>
      </w:hyperlink>
    </w:p>
    <w:p w14:paraId="42A5997B" w14:textId="256C3ECC" w:rsidR="004F20BB" w:rsidRDefault="00F322E7">
      <w:pPr>
        <w:pStyle w:val="TOC3"/>
        <w:tabs>
          <w:tab w:val="right" w:leader="dot" w:pos="9350"/>
        </w:tabs>
        <w:rPr>
          <w:rFonts w:asciiTheme="minorHAnsi" w:eastAsiaTheme="minorEastAsia" w:hAnsiTheme="minorHAnsi" w:cstheme="minorBidi"/>
          <w:noProof/>
        </w:rPr>
      </w:pPr>
      <w:hyperlink w:anchor="_Toc47516816" w:history="1">
        <w:r w:rsidR="004F20BB" w:rsidRPr="00DB2EFF">
          <w:rPr>
            <w:rStyle w:val="Hyperlink"/>
            <w:noProof/>
          </w:rPr>
          <w:t>Order Status Flowchart</w:t>
        </w:r>
        <w:r w:rsidR="004F20BB">
          <w:rPr>
            <w:noProof/>
            <w:webHidden/>
          </w:rPr>
          <w:tab/>
        </w:r>
        <w:r w:rsidR="004F20BB">
          <w:rPr>
            <w:noProof/>
            <w:webHidden/>
          </w:rPr>
          <w:fldChar w:fldCharType="begin"/>
        </w:r>
        <w:r w:rsidR="004F20BB">
          <w:rPr>
            <w:noProof/>
            <w:webHidden/>
          </w:rPr>
          <w:instrText xml:space="preserve"> PAGEREF _Toc47516816 \h </w:instrText>
        </w:r>
        <w:r w:rsidR="004F20BB">
          <w:rPr>
            <w:noProof/>
            <w:webHidden/>
          </w:rPr>
        </w:r>
        <w:r w:rsidR="004F20BB">
          <w:rPr>
            <w:noProof/>
            <w:webHidden/>
          </w:rPr>
          <w:fldChar w:fldCharType="separate"/>
        </w:r>
        <w:r w:rsidR="004F20BB">
          <w:rPr>
            <w:noProof/>
            <w:webHidden/>
          </w:rPr>
          <w:t>461</w:t>
        </w:r>
        <w:r w:rsidR="004F20BB">
          <w:rPr>
            <w:noProof/>
            <w:webHidden/>
          </w:rPr>
          <w:fldChar w:fldCharType="end"/>
        </w:r>
      </w:hyperlink>
    </w:p>
    <w:p w14:paraId="65FDE337" w14:textId="5322103F" w:rsidR="004F20BB" w:rsidRDefault="00F322E7">
      <w:pPr>
        <w:pStyle w:val="TOC3"/>
        <w:tabs>
          <w:tab w:val="right" w:leader="dot" w:pos="9350"/>
        </w:tabs>
        <w:rPr>
          <w:rFonts w:asciiTheme="minorHAnsi" w:eastAsiaTheme="minorEastAsia" w:hAnsiTheme="minorHAnsi" w:cstheme="minorBidi"/>
          <w:noProof/>
        </w:rPr>
      </w:pPr>
      <w:hyperlink w:anchor="_Toc47516817" w:history="1">
        <w:r w:rsidR="004F20BB" w:rsidRPr="00DB2EFF">
          <w:rPr>
            <w:rStyle w:val="Hyperlink"/>
            <w:noProof/>
          </w:rPr>
          <w:t>Rules for Electronic and Serologic Crossmatch</w:t>
        </w:r>
        <w:r w:rsidR="004F20BB">
          <w:rPr>
            <w:noProof/>
            <w:webHidden/>
          </w:rPr>
          <w:tab/>
        </w:r>
        <w:r w:rsidR="004F20BB">
          <w:rPr>
            <w:noProof/>
            <w:webHidden/>
          </w:rPr>
          <w:fldChar w:fldCharType="begin"/>
        </w:r>
        <w:r w:rsidR="004F20BB">
          <w:rPr>
            <w:noProof/>
            <w:webHidden/>
          </w:rPr>
          <w:instrText xml:space="preserve"> PAGEREF _Toc47516817 \h </w:instrText>
        </w:r>
        <w:r w:rsidR="004F20BB">
          <w:rPr>
            <w:noProof/>
            <w:webHidden/>
          </w:rPr>
        </w:r>
        <w:r w:rsidR="004F20BB">
          <w:rPr>
            <w:noProof/>
            <w:webHidden/>
          </w:rPr>
          <w:fldChar w:fldCharType="separate"/>
        </w:r>
        <w:r w:rsidR="004F20BB">
          <w:rPr>
            <w:noProof/>
            <w:webHidden/>
          </w:rPr>
          <w:t>462</w:t>
        </w:r>
        <w:r w:rsidR="004F20BB">
          <w:rPr>
            <w:noProof/>
            <w:webHidden/>
          </w:rPr>
          <w:fldChar w:fldCharType="end"/>
        </w:r>
      </w:hyperlink>
    </w:p>
    <w:p w14:paraId="5802A586" w14:textId="1BD19216" w:rsidR="004F20BB" w:rsidRDefault="00F322E7">
      <w:pPr>
        <w:pStyle w:val="TOC3"/>
        <w:tabs>
          <w:tab w:val="right" w:leader="dot" w:pos="9350"/>
        </w:tabs>
        <w:rPr>
          <w:rFonts w:asciiTheme="minorHAnsi" w:eastAsiaTheme="minorEastAsia" w:hAnsiTheme="minorHAnsi" w:cstheme="minorBidi"/>
          <w:noProof/>
        </w:rPr>
      </w:pPr>
      <w:hyperlink w:anchor="_Toc47516818" w:history="1">
        <w:r w:rsidR="004F20BB" w:rsidRPr="00DB2EFF">
          <w:rPr>
            <w:rStyle w:val="Hyperlink"/>
            <w:noProof/>
          </w:rPr>
          <w:t>Unit Status Flowchart</w:t>
        </w:r>
        <w:r w:rsidR="004F20BB">
          <w:rPr>
            <w:noProof/>
            <w:webHidden/>
          </w:rPr>
          <w:tab/>
        </w:r>
        <w:r w:rsidR="004F20BB">
          <w:rPr>
            <w:noProof/>
            <w:webHidden/>
          </w:rPr>
          <w:fldChar w:fldCharType="begin"/>
        </w:r>
        <w:r w:rsidR="004F20BB">
          <w:rPr>
            <w:noProof/>
            <w:webHidden/>
          </w:rPr>
          <w:instrText xml:space="preserve"> PAGEREF _Toc47516818 \h </w:instrText>
        </w:r>
        <w:r w:rsidR="004F20BB">
          <w:rPr>
            <w:noProof/>
            <w:webHidden/>
          </w:rPr>
        </w:r>
        <w:r w:rsidR="004F20BB">
          <w:rPr>
            <w:noProof/>
            <w:webHidden/>
          </w:rPr>
          <w:fldChar w:fldCharType="separate"/>
        </w:r>
        <w:r w:rsidR="004F20BB">
          <w:rPr>
            <w:noProof/>
            <w:webHidden/>
          </w:rPr>
          <w:t>463</w:t>
        </w:r>
        <w:r w:rsidR="004F20BB">
          <w:rPr>
            <w:noProof/>
            <w:webHidden/>
          </w:rPr>
          <w:fldChar w:fldCharType="end"/>
        </w:r>
      </w:hyperlink>
    </w:p>
    <w:p w14:paraId="7894D8C6" w14:textId="4D944177" w:rsidR="004F20BB" w:rsidRDefault="00F322E7">
      <w:pPr>
        <w:pStyle w:val="TOC3"/>
        <w:tabs>
          <w:tab w:val="right" w:leader="dot" w:pos="9350"/>
        </w:tabs>
        <w:rPr>
          <w:rFonts w:asciiTheme="minorHAnsi" w:eastAsiaTheme="minorEastAsia" w:hAnsiTheme="minorHAnsi" w:cstheme="minorBidi"/>
          <w:noProof/>
        </w:rPr>
      </w:pPr>
      <w:hyperlink w:anchor="_Toc47516819" w:history="1">
        <w:r w:rsidR="004F20BB" w:rsidRPr="00DB2EFF">
          <w:rPr>
            <w:rStyle w:val="Hyperlink"/>
            <w:noProof/>
          </w:rPr>
          <w:t>VBECS Maximum Surgical Blood Order Schedule</w:t>
        </w:r>
        <w:r w:rsidR="004F20BB">
          <w:rPr>
            <w:noProof/>
            <w:webHidden/>
          </w:rPr>
          <w:tab/>
        </w:r>
        <w:r w:rsidR="004F20BB">
          <w:rPr>
            <w:noProof/>
            <w:webHidden/>
          </w:rPr>
          <w:fldChar w:fldCharType="begin"/>
        </w:r>
        <w:r w:rsidR="004F20BB">
          <w:rPr>
            <w:noProof/>
            <w:webHidden/>
          </w:rPr>
          <w:instrText xml:space="preserve"> PAGEREF _Toc47516819 \h </w:instrText>
        </w:r>
        <w:r w:rsidR="004F20BB">
          <w:rPr>
            <w:noProof/>
            <w:webHidden/>
          </w:rPr>
        </w:r>
        <w:r w:rsidR="004F20BB">
          <w:rPr>
            <w:noProof/>
            <w:webHidden/>
          </w:rPr>
          <w:fldChar w:fldCharType="separate"/>
        </w:r>
        <w:r w:rsidR="004F20BB">
          <w:rPr>
            <w:noProof/>
            <w:webHidden/>
          </w:rPr>
          <w:t>465</w:t>
        </w:r>
        <w:r w:rsidR="004F20BB">
          <w:rPr>
            <w:noProof/>
            <w:webHidden/>
          </w:rPr>
          <w:fldChar w:fldCharType="end"/>
        </w:r>
      </w:hyperlink>
    </w:p>
    <w:p w14:paraId="014D0EA2" w14:textId="09799674" w:rsidR="004F20BB" w:rsidRDefault="00F322E7">
      <w:pPr>
        <w:pStyle w:val="TOC3"/>
        <w:tabs>
          <w:tab w:val="right" w:leader="dot" w:pos="9350"/>
        </w:tabs>
        <w:rPr>
          <w:rFonts w:asciiTheme="minorHAnsi" w:eastAsiaTheme="minorEastAsia" w:hAnsiTheme="minorHAnsi" w:cstheme="minorBidi"/>
          <w:noProof/>
        </w:rPr>
      </w:pPr>
      <w:hyperlink w:anchor="_Toc47516820" w:history="1">
        <w:r w:rsidR="004F20BB" w:rsidRPr="00DB2EFF">
          <w:rPr>
            <w:rStyle w:val="Hyperlink"/>
            <w:noProof/>
          </w:rPr>
          <w:t>BCE COTS Message Updates</w:t>
        </w:r>
        <w:r w:rsidR="004F20BB">
          <w:rPr>
            <w:noProof/>
            <w:webHidden/>
          </w:rPr>
          <w:tab/>
        </w:r>
        <w:r w:rsidR="004F20BB">
          <w:rPr>
            <w:noProof/>
            <w:webHidden/>
          </w:rPr>
          <w:fldChar w:fldCharType="begin"/>
        </w:r>
        <w:r w:rsidR="004F20BB">
          <w:rPr>
            <w:noProof/>
            <w:webHidden/>
          </w:rPr>
          <w:instrText xml:space="preserve"> PAGEREF _Toc47516820 \h </w:instrText>
        </w:r>
        <w:r w:rsidR="004F20BB">
          <w:rPr>
            <w:noProof/>
            <w:webHidden/>
          </w:rPr>
        </w:r>
        <w:r w:rsidR="004F20BB">
          <w:rPr>
            <w:noProof/>
            <w:webHidden/>
          </w:rPr>
          <w:fldChar w:fldCharType="separate"/>
        </w:r>
        <w:r w:rsidR="004F20BB">
          <w:rPr>
            <w:noProof/>
            <w:webHidden/>
          </w:rPr>
          <w:t>466</w:t>
        </w:r>
        <w:r w:rsidR="004F20BB">
          <w:rPr>
            <w:noProof/>
            <w:webHidden/>
          </w:rPr>
          <w:fldChar w:fldCharType="end"/>
        </w:r>
      </w:hyperlink>
    </w:p>
    <w:p w14:paraId="04370325" w14:textId="75B795CA" w:rsidR="004F20BB" w:rsidRDefault="00F322E7">
      <w:pPr>
        <w:pStyle w:val="TOC3"/>
        <w:tabs>
          <w:tab w:val="right" w:leader="dot" w:pos="9350"/>
        </w:tabs>
        <w:rPr>
          <w:rFonts w:asciiTheme="minorHAnsi" w:eastAsiaTheme="minorEastAsia" w:hAnsiTheme="minorHAnsi" w:cstheme="minorBidi"/>
          <w:noProof/>
        </w:rPr>
      </w:pPr>
      <w:hyperlink w:anchor="_Toc47516821" w:history="1">
        <w:r w:rsidR="004F20BB" w:rsidRPr="00DB2EFF">
          <w:rPr>
            <w:rStyle w:val="Hyperlink"/>
            <w:noProof/>
          </w:rPr>
          <w:t>Workload Process to Use Case Mapping Table</w:t>
        </w:r>
        <w:r w:rsidR="004F20BB">
          <w:rPr>
            <w:noProof/>
            <w:webHidden/>
          </w:rPr>
          <w:tab/>
        </w:r>
        <w:r w:rsidR="004F20BB">
          <w:rPr>
            <w:noProof/>
            <w:webHidden/>
          </w:rPr>
          <w:fldChar w:fldCharType="begin"/>
        </w:r>
        <w:r w:rsidR="004F20BB">
          <w:rPr>
            <w:noProof/>
            <w:webHidden/>
          </w:rPr>
          <w:instrText xml:space="preserve"> PAGEREF _Toc47516821 \h </w:instrText>
        </w:r>
        <w:r w:rsidR="004F20BB">
          <w:rPr>
            <w:noProof/>
            <w:webHidden/>
          </w:rPr>
        </w:r>
        <w:r w:rsidR="004F20BB">
          <w:rPr>
            <w:noProof/>
            <w:webHidden/>
          </w:rPr>
          <w:fldChar w:fldCharType="separate"/>
        </w:r>
        <w:r w:rsidR="004F20BB">
          <w:rPr>
            <w:noProof/>
            <w:webHidden/>
          </w:rPr>
          <w:t>469</w:t>
        </w:r>
        <w:r w:rsidR="004F20BB">
          <w:rPr>
            <w:noProof/>
            <w:webHidden/>
          </w:rPr>
          <w:fldChar w:fldCharType="end"/>
        </w:r>
      </w:hyperlink>
    </w:p>
    <w:p w14:paraId="4D804EF3" w14:textId="2A2E0664" w:rsidR="004F20BB" w:rsidRDefault="00F322E7">
      <w:pPr>
        <w:pStyle w:val="TOC2"/>
        <w:tabs>
          <w:tab w:val="right" w:leader="dot" w:pos="9350"/>
        </w:tabs>
        <w:rPr>
          <w:rFonts w:asciiTheme="minorHAnsi" w:eastAsiaTheme="minorEastAsia" w:hAnsiTheme="minorHAnsi" w:cstheme="minorBidi"/>
          <w:smallCaps w:val="0"/>
          <w:noProof/>
        </w:rPr>
      </w:pPr>
      <w:hyperlink w:anchor="_Toc47516822" w:history="1">
        <w:r w:rsidR="004F20BB" w:rsidRPr="00DB2EFF">
          <w:rPr>
            <w:rStyle w:val="Hyperlink"/>
            <w:noProof/>
          </w:rPr>
          <w:t>Appendix C: VBECS Work Flow</w:t>
        </w:r>
        <w:r w:rsidR="004F20BB">
          <w:rPr>
            <w:noProof/>
            <w:webHidden/>
          </w:rPr>
          <w:tab/>
        </w:r>
        <w:r w:rsidR="004F20BB">
          <w:rPr>
            <w:noProof/>
            <w:webHidden/>
          </w:rPr>
          <w:fldChar w:fldCharType="begin"/>
        </w:r>
        <w:r w:rsidR="004F20BB">
          <w:rPr>
            <w:noProof/>
            <w:webHidden/>
          </w:rPr>
          <w:instrText xml:space="preserve"> PAGEREF _Toc47516822 \h </w:instrText>
        </w:r>
        <w:r w:rsidR="004F20BB">
          <w:rPr>
            <w:noProof/>
            <w:webHidden/>
          </w:rPr>
        </w:r>
        <w:r w:rsidR="004F20BB">
          <w:rPr>
            <w:noProof/>
            <w:webHidden/>
          </w:rPr>
          <w:fldChar w:fldCharType="separate"/>
        </w:r>
        <w:r w:rsidR="004F20BB">
          <w:rPr>
            <w:noProof/>
            <w:webHidden/>
          </w:rPr>
          <w:t>479</w:t>
        </w:r>
        <w:r w:rsidR="004F20BB">
          <w:rPr>
            <w:noProof/>
            <w:webHidden/>
          </w:rPr>
          <w:fldChar w:fldCharType="end"/>
        </w:r>
      </w:hyperlink>
    </w:p>
    <w:p w14:paraId="4E61A191" w14:textId="6E5D5295" w:rsidR="004F20BB" w:rsidRDefault="00F322E7">
      <w:pPr>
        <w:pStyle w:val="TOC2"/>
        <w:tabs>
          <w:tab w:val="right" w:leader="dot" w:pos="9350"/>
        </w:tabs>
        <w:rPr>
          <w:rFonts w:asciiTheme="minorHAnsi" w:eastAsiaTheme="minorEastAsia" w:hAnsiTheme="minorHAnsi" w:cstheme="minorBidi"/>
          <w:smallCaps w:val="0"/>
          <w:noProof/>
        </w:rPr>
      </w:pPr>
      <w:hyperlink w:anchor="_Toc47516823" w:history="1">
        <w:r w:rsidR="004F20BB" w:rsidRPr="00DB2EFF">
          <w:rPr>
            <w:rStyle w:val="Hyperlink"/>
            <w:noProof/>
          </w:rPr>
          <w:t>Appendix D: Limitations and Restrictions</w:t>
        </w:r>
        <w:r w:rsidR="004F20BB">
          <w:rPr>
            <w:noProof/>
            <w:webHidden/>
          </w:rPr>
          <w:tab/>
        </w:r>
        <w:r w:rsidR="004F20BB">
          <w:rPr>
            <w:noProof/>
            <w:webHidden/>
          </w:rPr>
          <w:fldChar w:fldCharType="begin"/>
        </w:r>
        <w:r w:rsidR="004F20BB">
          <w:rPr>
            <w:noProof/>
            <w:webHidden/>
          </w:rPr>
          <w:instrText xml:space="preserve"> PAGEREF _Toc47516823 \h </w:instrText>
        </w:r>
        <w:r w:rsidR="004F20BB">
          <w:rPr>
            <w:noProof/>
            <w:webHidden/>
          </w:rPr>
        </w:r>
        <w:r w:rsidR="004F20BB">
          <w:rPr>
            <w:noProof/>
            <w:webHidden/>
          </w:rPr>
          <w:fldChar w:fldCharType="separate"/>
        </w:r>
        <w:r w:rsidR="004F20BB">
          <w:rPr>
            <w:noProof/>
            <w:webHidden/>
          </w:rPr>
          <w:t>483</w:t>
        </w:r>
        <w:r w:rsidR="004F20BB">
          <w:rPr>
            <w:noProof/>
            <w:webHidden/>
          </w:rPr>
          <w:fldChar w:fldCharType="end"/>
        </w:r>
      </w:hyperlink>
    </w:p>
    <w:p w14:paraId="128017BD" w14:textId="353A4854" w:rsidR="004F20BB" w:rsidRDefault="00F322E7">
      <w:pPr>
        <w:pStyle w:val="TOC2"/>
        <w:tabs>
          <w:tab w:val="right" w:leader="dot" w:pos="9350"/>
        </w:tabs>
        <w:rPr>
          <w:rFonts w:asciiTheme="minorHAnsi" w:eastAsiaTheme="minorEastAsia" w:hAnsiTheme="minorHAnsi" w:cstheme="minorBidi"/>
          <w:smallCaps w:val="0"/>
          <w:noProof/>
        </w:rPr>
      </w:pPr>
      <w:hyperlink w:anchor="_Toc47516824" w:history="1">
        <w:r w:rsidR="004F20BB" w:rsidRPr="00DB2EFF">
          <w:rPr>
            <w:rStyle w:val="Hyperlink"/>
            <w:noProof/>
          </w:rPr>
          <w:t>Appendix E: Known Defects and Anomalies</w:t>
        </w:r>
        <w:r w:rsidR="004F20BB">
          <w:rPr>
            <w:noProof/>
            <w:webHidden/>
          </w:rPr>
          <w:tab/>
        </w:r>
        <w:r w:rsidR="004F20BB">
          <w:rPr>
            <w:noProof/>
            <w:webHidden/>
          </w:rPr>
          <w:fldChar w:fldCharType="begin"/>
        </w:r>
        <w:r w:rsidR="004F20BB">
          <w:rPr>
            <w:noProof/>
            <w:webHidden/>
          </w:rPr>
          <w:instrText xml:space="preserve"> PAGEREF _Toc47516824 \h </w:instrText>
        </w:r>
        <w:r w:rsidR="004F20BB">
          <w:rPr>
            <w:noProof/>
            <w:webHidden/>
          </w:rPr>
        </w:r>
        <w:r w:rsidR="004F20BB">
          <w:rPr>
            <w:noProof/>
            <w:webHidden/>
          </w:rPr>
          <w:fldChar w:fldCharType="separate"/>
        </w:r>
        <w:r w:rsidR="004F20BB">
          <w:rPr>
            <w:noProof/>
            <w:webHidden/>
          </w:rPr>
          <w:t>501</w:t>
        </w:r>
        <w:r w:rsidR="004F20BB">
          <w:rPr>
            <w:noProof/>
            <w:webHidden/>
          </w:rPr>
          <w:fldChar w:fldCharType="end"/>
        </w:r>
      </w:hyperlink>
    </w:p>
    <w:p w14:paraId="571B5BE4" w14:textId="4F259388" w:rsidR="004F20BB" w:rsidRDefault="00F322E7">
      <w:pPr>
        <w:pStyle w:val="TOC2"/>
        <w:tabs>
          <w:tab w:val="right" w:leader="dot" w:pos="9350"/>
        </w:tabs>
        <w:rPr>
          <w:rFonts w:asciiTheme="minorHAnsi" w:eastAsiaTheme="minorEastAsia" w:hAnsiTheme="minorHAnsi" w:cstheme="minorBidi"/>
          <w:smallCaps w:val="0"/>
          <w:noProof/>
        </w:rPr>
      </w:pPr>
      <w:hyperlink w:anchor="_Toc47516825" w:history="1">
        <w:r w:rsidR="004F20BB" w:rsidRPr="00DB2EFF">
          <w:rPr>
            <w:rStyle w:val="Hyperlink"/>
            <w:noProof/>
          </w:rPr>
          <w:t>Appendix F: System Validation</w:t>
        </w:r>
        <w:r w:rsidR="004F20BB">
          <w:rPr>
            <w:noProof/>
            <w:webHidden/>
          </w:rPr>
          <w:tab/>
        </w:r>
        <w:r w:rsidR="004F20BB">
          <w:rPr>
            <w:noProof/>
            <w:webHidden/>
          </w:rPr>
          <w:fldChar w:fldCharType="begin"/>
        </w:r>
        <w:r w:rsidR="004F20BB">
          <w:rPr>
            <w:noProof/>
            <w:webHidden/>
          </w:rPr>
          <w:instrText xml:space="preserve"> PAGEREF _Toc47516825 \h </w:instrText>
        </w:r>
        <w:r w:rsidR="004F20BB">
          <w:rPr>
            <w:noProof/>
            <w:webHidden/>
          </w:rPr>
        </w:r>
        <w:r w:rsidR="004F20BB">
          <w:rPr>
            <w:noProof/>
            <w:webHidden/>
          </w:rPr>
          <w:fldChar w:fldCharType="separate"/>
        </w:r>
        <w:r w:rsidR="004F20BB">
          <w:rPr>
            <w:noProof/>
            <w:webHidden/>
          </w:rPr>
          <w:t>503</w:t>
        </w:r>
        <w:r w:rsidR="004F20BB">
          <w:rPr>
            <w:noProof/>
            <w:webHidden/>
          </w:rPr>
          <w:fldChar w:fldCharType="end"/>
        </w:r>
      </w:hyperlink>
    </w:p>
    <w:p w14:paraId="4FA11670" w14:textId="3C424B0B" w:rsidR="004F20BB" w:rsidRDefault="00F322E7">
      <w:pPr>
        <w:pStyle w:val="TOC3"/>
        <w:tabs>
          <w:tab w:val="right" w:leader="dot" w:pos="9350"/>
        </w:tabs>
        <w:rPr>
          <w:rFonts w:asciiTheme="minorHAnsi" w:eastAsiaTheme="minorEastAsia" w:hAnsiTheme="minorHAnsi" w:cstheme="minorBidi"/>
          <w:noProof/>
        </w:rPr>
      </w:pPr>
      <w:hyperlink w:anchor="_Toc47516826" w:history="1">
        <w:r w:rsidR="004F20BB" w:rsidRPr="00DB2EFF">
          <w:rPr>
            <w:rStyle w:val="Hyperlink"/>
            <w:noProof/>
          </w:rPr>
          <w:t>Introduction</w:t>
        </w:r>
        <w:r w:rsidR="004F20BB">
          <w:rPr>
            <w:noProof/>
            <w:webHidden/>
          </w:rPr>
          <w:tab/>
        </w:r>
        <w:r w:rsidR="004F20BB">
          <w:rPr>
            <w:noProof/>
            <w:webHidden/>
          </w:rPr>
          <w:fldChar w:fldCharType="begin"/>
        </w:r>
        <w:r w:rsidR="004F20BB">
          <w:rPr>
            <w:noProof/>
            <w:webHidden/>
          </w:rPr>
          <w:instrText xml:space="preserve"> PAGEREF _Toc47516826 \h </w:instrText>
        </w:r>
        <w:r w:rsidR="004F20BB">
          <w:rPr>
            <w:noProof/>
            <w:webHidden/>
          </w:rPr>
        </w:r>
        <w:r w:rsidR="004F20BB">
          <w:rPr>
            <w:noProof/>
            <w:webHidden/>
          </w:rPr>
          <w:fldChar w:fldCharType="separate"/>
        </w:r>
        <w:r w:rsidR="004F20BB">
          <w:rPr>
            <w:noProof/>
            <w:webHidden/>
          </w:rPr>
          <w:t>503</w:t>
        </w:r>
        <w:r w:rsidR="004F20BB">
          <w:rPr>
            <w:noProof/>
            <w:webHidden/>
          </w:rPr>
          <w:fldChar w:fldCharType="end"/>
        </w:r>
      </w:hyperlink>
    </w:p>
    <w:p w14:paraId="71E6B401" w14:textId="49C9B805" w:rsidR="004F20BB" w:rsidRDefault="00F322E7">
      <w:pPr>
        <w:pStyle w:val="TOC3"/>
        <w:tabs>
          <w:tab w:val="right" w:leader="dot" w:pos="9350"/>
        </w:tabs>
        <w:rPr>
          <w:rFonts w:asciiTheme="minorHAnsi" w:eastAsiaTheme="minorEastAsia" w:hAnsiTheme="minorHAnsi" w:cstheme="minorBidi"/>
          <w:noProof/>
        </w:rPr>
      </w:pPr>
      <w:hyperlink w:anchor="_Toc47516827" w:history="1">
        <w:r w:rsidR="004F20BB" w:rsidRPr="00DB2EFF">
          <w:rPr>
            <w:rStyle w:val="Hyperlink"/>
            <w:noProof/>
          </w:rPr>
          <w:t>Validation Plan</w:t>
        </w:r>
        <w:r w:rsidR="004F20BB">
          <w:rPr>
            <w:noProof/>
            <w:webHidden/>
          </w:rPr>
          <w:tab/>
        </w:r>
        <w:r w:rsidR="004F20BB">
          <w:rPr>
            <w:noProof/>
            <w:webHidden/>
          </w:rPr>
          <w:fldChar w:fldCharType="begin"/>
        </w:r>
        <w:r w:rsidR="004F20BB">
          <w:rPr>
            <w:noProof/>
            <w:webHidden/>
          </w:rPr>
          <w:instrText xml:space="preserve"> PAGEREF _Toc47516827 \h </w:instrText>
        </w:r>
        <w:r w:rsidR="004F20BB">
          <w:rPr>
            <w:noProof/>
            <w:webHidden/>
          </w:rPr>
        </w:r>
        <w:r w:rsidR="004F20BB">
          <w:rPr>
            <w:noProof/>
            <w:webHidden/>
          </w:rPr>
          <w:fldChar w:fldCharType="separate"/>
        </w:r>
        <w:r w:rsidR="004F20BB">
          <w:rPr>
            <w:noProof/>
            <w:webHidden/>
          </w:rPr>
          <w:t>503</w:t>
        </w:r>
        <w:r w:rsidR="004F20BB">
          <w:rPr>
            <w:noProof/>
            <w:webHidden/>
          </w:rPr>
          <w:fldChar w:fldCharType="end"/>
        </w:r>
      </w:hyperlink>
    </w:p>
    <w:p w14:paraId="3A948B17" w14:textId="6C3FC987" w:rsidR="004F20BB" w:rsidRDefault="00F322E7">
      <w:pPr>
        <w:pStyle w:val="TOC3"/>
        <w:tabs>
          <w:tab w:val="right" w:leader="dot" w:pos="9350"/>
        </w:tabs>
        <w:rPr>
          <w:rFonts w:asciiTheme="minorHAnsi" w:eastAsiaTheme="minorEastAsia" w:hAnsiTheme="minorHAnsi" w:cstheme="minorBidi"/>
          <w:noProof/>
        </w:rPr>
      </w:pPr>
      <w:hyperlink w:anchor="_Toc47516828" w:history="1">
        <w:r w:rsidR="004F20BB" w:rsidRPr="00DB2EFF">
          <w:rPr>
            <w:rStyle w:val="Hyperlink"/>
            <w:noProof/>
          </w:rPr>
          <w:t>Prerequisites</w:t>
        </w:r>
        <w:r w:rsidR="004F20BB">
          <w:rPr>
            <w:noProof/>
            <w:webHidden/>
          </w:rPr>
          <w:tab/>
        </w:r>
        <w:r w:rsidR="004F20BB">
          <w:rPr>
            <w:noProof/>
            <w:webHidden/>
          </w:rPr>
          <w:fldChar w:fldCharType="begin"/>
        </w:r>
        <w:r w:rsidR="004F20BB">
          <w:rPr>
            <w:noProof/>
            <w:webHidden/>
          </w:rPr>
          <w:instrText xml:space="preserve"> PAGEREF _Toc47516828 \h </w:instrText>
        </w:r>
        <w:r w:rsidR="004F20BB">
          <w:rPr>
            <w:noProof/>
            <w:webHidden/>
          </w:rPr>
        </w:r>
        <w:r w:rsidR="004F20BB">
          <w:rPr>
            <w:noProof/>
            <w:webHidden/>
          </w:rPr>
          <w:fldChar w:fldCharType="separate"/>
        </w:r>
        <w:r w:rsidR="004F20BB">
          <w:rPr>
            <w:noProof/>
            <w:webHidden/>
          </w:rPr>
          <w:t>504</w:t>
        </w:r>
        <w:r w:rsidR="004F20BB">
          <w:rPr>
            <w:noProof/>
            <w:webHidden/>
          </w:rPr>
          <w:fldChar w:fldCharType="end"/>
        </w:r>
      </w:hyperlink>
    </w:p>
    <w:p w14:paraId="6FA8CD97" w14:textId="394BCB91" w:rsidR="004F20BB" w:rsidRDefault="00F322E7">
      <w:pPr>
        <w:pStyle w:val="TOC3"/>
        <w:tabs>
          <w:tab w:val="right" w:leader="dot" w:pos="9350"/>
        </w:tabs>
        <w:rPr>
          <w:rFonts w:asciiTheme="minorHAnsi" w:eastAsiaTheme="minorEastAsia" w:hAnsiTheme="minorHAnsi" w:cstheme="minorBidi"/>
          <w:noProof/>
        </w:rPr>
      </w:pPr>
      <w:hyperlink w:anchor="_Toc47516829" w:history="1">
        <w:r w:rsidR="004F20BB" w:rsidRPr="00DB2EFF">
          <w:rPr>
            <w:rStyle w:val="Hyperlink"/>
            <w:noProof/>
          </w:rPr>
          <w:t>Record System Settings</w:t>
        </w:r>
        <w:r w:rsidR="004F20BB">
          <w:rPr>
            <w:noProof/>
            <w:webHidden/>
          </w:rPr>
          <w:tab/>
        </w:r>
        <w:r w:rsidR="004F20BB">
          <w:rPr>
            <w:noProof/>
            <w:webHidden/>
          </w:rPr>
          <w:fldChar w:fldCharType="begin"/>
        </w:r>
        <w:r w:rsidR="004F20BB">
          <w:rPr>
            <w:noProof/>
            <w:webHidden/>
          </w:rPr>
          <w:instrText xml:space="preserve"> PAGEREF _Toc47516829 \h </w:instrText>
        </w:r>
        <w:r w:rsidR="004F20BB">
          <w:rPr>
            <w:noProof/>
            <w:webHidden/>
          </w:rPr>
        </w:r>
        <w:r w:rsidR="004F20BB">
          <w:rPr>
            <w:noProof/>
            <w:webHidden/>
          </w:rPr>
          <w:fldChar w:fldCharType="separate"/>
        </w:r>
        <w:r w:rsidR="004F20BB">
          <w:rPr>
            <w:noProof/>
            <w:webHidden/>
          </w:rPr>
          <w:t>505</w:t>
        </w:r>
        <w:r w:rsidR="004F20BB">
          <w:rPr>
            <w:noProof/>
            <w:webHidden/>
          </w:rPr>
          <w:fldChar w:fldCharType="end"/>
        </w:r>
      </w:hyperlink>
    </w:p>
    <w:p w14:paraId="39E40AB3" w14:textId="60BAFAF5" w:rsidR="004F20BB" w:rsidRDefault="00F322E7">
      <w:pPr>
        <w:pStyle w:val="TOC3"/>
        <w:tabs>
          <w:tab w:val="right" w:leader="dot" w:pos="9350"/>
        </w:tabs>
        <w:rPr>
          <w:rFonts w:asciiTheme="minorHAnsi" w:eastAsiaTheme="minorEastAsia" w:hAnsiTheme="minorHAnsi" w:cstheme="minorBidi"/>
          <w:noProof/>
        </w:rPr>
      </w:pPr>
      <w:hyperlink w:anchor="_Toc47516830" w:history="1">
        <w:r w:rsidR="004F20BB" w:rsidRPr="00DB2EFF">
          <w:rPr>
            <w:rStyle w:val="Hyperlink"/>
            <w:noProof/>
          </w:rPr>
          <w:t>Configure Division</w:t>
        </w:r>
        <w:r w:rsidR="004F20BB">
          <w:rPr>
            <w:noProof/>
            <w:webHidden/>
          </w:rPr>
          <w:tab/>
        </w:r>
        <w:r w:rsidR="004F20BB">
          <w:rPr>
            <w:noProof/>
            <w:webHidden/>
          </w:rPr>
          <w:fldChar w:fldCharType="begin"/>
        </w:r>
        <w:r w:rsidR="004F20BB">
          <w:rPr>
            <w:noProof/>
            <w:webHidden/>
          </w:rPr>
          <w:instrText xml:space="preserve"> PAGEREF _Toc47516830 \h </w:instrText>
        </w:r>
        <w:r w:rsidR="004F20BB">
          <w:rPr>
            <w:noProof/>
            <w:webHidden/>
          </w:rPr>
        </w:r>
        <w:r w:rsidR="004F20BB">
          <w:rPr>
            <w:noProof/>
            <w:webHidden/>
          </w:rPr>
          <w:fldChar w:fldCharType="separate"/>
        </w:r>
        <w:r w:rsidR="004F20BB">
          <w:rPr>
            <w:noProof/>
            <w:webHidden/>
          </w:rPr>
          <w:t>505</w:t>
        </w:r>
        <w:r w:rsidR="004F20BB">
          <w:rPr>
            <w:noProof/>
            <w:webHidden/>
          </w:rPr>
          <w:fldChar w:fldCharType="end"/>
        </w:r>
      </w:hyperlink>
    </w:p>
    <w:p w14:paraId="7C7B3DC8" w14:textId="04941204" w:rsidR="004F20BB" w:rsidRDefault="00F322E7">
      <w:pPr>
        <w:pStyle w:val="TOC3"/>
        <w:tabs>
          <w:tab w:val="right" w:leader="dot" w:pos="9350"/>
        </w:tabs>
        <w:rPr>
          <w:rFonts w:asciiTheme="minorHAnsi" w:eastAsiaTheme="minorEastAsia" w:hAnsiTheme="minorHAnsi" w:cstheme="minorBidi"/>
          <w:noProof/>
        </w:rPr>
      </w:pPr>
      <w:hyperlink w:anchor="_Toc47516831" w:history="1">
        <w:r w:rsidR="004F20BB" w:rsidRPr="00DB2EFF">
          <w:rPr>
            <w:rStyle w:val="Hyperlink"/>
            <w:noProof/>
          </w:rPr>
          <w:t>Configure Testing: Full Service</w:t>
        </w:r>
        <w:r w:rsidR="004F20BB">
          <w:rPr>
            <w:noProof/>
            <w:webHidden/>
          </w:rPr>
          <w:tab/>
        </w:r>
        <w:r w:rsidR="004F20BB">
          <w:rPr>
            <w:noProof/>
            <w:webHidden/>
          </w:rPr>
          <w:fldChar w:fldCharType="begin"/>
        </w:r>
        <w:r w:rsidR="004F20BB">
          <w:rPr>
            <w:noProof/>
            <w:webHidden/>
          </w:rPr>
          <w:instrText xml:space="preserve"> PAGEREF _Toc47516831 \h </w:instrText>
        </w:r>
        <w:r w:rsidR="004F20BB">
          <w:rPr>
            <w:noProof/>
            <w:webHidden/>
          </w:rPr>
        </w:r>
        <w:r w:rsidR="004F20BB">
          <w:rPr>
            <w:noProof/>
            <w:webHidden/>
          </w:rPr>
          <w:fldChar w:fldCharType="separate"/>
        </w:r>
        <w:r w:rsidR="004F20BB">
          <w:rPr>
            <w:noProof/>
            <w:webHidden/>
          </w:rPr>
          <w:t>505</w:t>
        </w:r>
        <w:r w:rsidR="004F20BB">
          <w:rPr>
            <w:noProof/>
            <w:webHidden/>
          </w:rPr>
          <w:fldChar w:fldCharType="end"/>
        </w:r>
      </w:hyperlink>
    </w:p>
    <w:p w14:paraId="1EFE09CF" w14:textId="41E0B4E2" w:rsidR="004F20BB" w:rsidRDefault="00F322E7">
      <w:pPr>
        <w:pStyle w:val="TOC3"/>
        <w:tabs>
          <w:tab w:val="right" w:leader="dot" w:pos="9350"/>
        </w:tabs>
        <w:rPr>
          <w:rFonts w:asciiTheme="minorHAnsi" w:eastAsiaTheme="minorEastAsia" w:hAnsiTheme="minorHAnsi" w:cstheme="minorBidi"/>
          <w:noProof/>
        </w:rPr>
      </w:pPr>
      <w:hyperlink w:anchor="_Toc47516832" w:history="1">
        <w:r w:rsidR="004F20BB" w:rsidRPr="00DB2EFF">
          <w:rPr>
            <w:rStyle w:val="Hyperlink"/>
            <w:noProof/>
          </w:rPr>
          <w:t>Product Modifications: Full Service</w:t>
        </w:r>
        <w:r w:rsidR="004F20BB">
          <w:rPr>
            <w:noProof/>
            <w:webHidden/>
          </w:rPr>
          <w:tab/>
        </w:r>
        <w:r w:rsidR="004F20BB">
          <w:rPr>
            <w:noProof/>
            <w:webHidden/>
          </w:rPr>
          <w:fldChar w:fldCharType="begin"/>
        </w:r>
        <w:r w:rsidR="004F20BB">
          <w:rPr>
            <w:noProof/>
            <w:webHidden/>
          </w:rPr>
          <w:instrText xml:space="preserve"> PAGEREF _Toc47516832 \h </w:instrText>
        </w:r>
        <w:r w:rsidR="004F20BB">
          <w:rPr>
            <w:noProof/>
            <w:webHidden/>
          </w:rPr>
        </w:r>
        <w:r w:rsidR="004F20BB">
          <w:rPr>
            <w:noProof/>
            <w:webHidden/>
          </w:rPr>
          <w:fldChar w:fldCharType="separate"/>
        </w:r>
        <w:r w:rsidR="004F20BB">
          <w:rPr>
            <w:noProof/>
            <w:webHidden/>
          </w:rPr>
          <w:t>506</w:t>
        </w:r>
        <w:r w:rsidR="004F20BB">
          <w:rPr>
            <w:noProof/>
            <w:webHidden/>
          </w:rPr>
          <w:fldChar w:fldCharType="end"/>
        </w:r>
      </w:hyperlink>
    </w:p>
    <w:p w14:paraId="12CB1043" w14:textId="1F63A787" w:rsidR="004F20BB" w:rsidRDefault="00F322E7">
      <w:pPr>
        <w:pStyle w:val="TOC3"/>
        <w:tabs>
          <w:tab w:val="right" w:leader="dot" w:pos="9350"/>
        </w:tabs>
        <w:rPr>
          <w:rFonts w:asciiTheme="minorHAnsi" w:eastAsiaTheme="minorEastAsia" w:hAnsiTheme="minorHAnsi" w:cstheme="minorBidi"/>
          <w:noProof/>
        </w:rPr>
      </w:pPr>
      <w:hyperlink w:anchor="_Toc47516833" w:history="1">
        <w:r w:rsidR="004F20BB" w:rsidRPr="00DB2EFF">
          <w:rPr>
            <w:rStyle w:val="Hyperlink"/>
            <w:noProof/>
          </w:rPr>
          <w:t>Order Alerts</w:t>
        </w:r>
        <w:r w:rsidR="004F20BB">
          <w:rPr>
            <w:noProof/>
            <w:webHidden/>
          </w:rPr>
          <w:tab/>
        </w:r>
        <w:r w:rsidR="004F20BB">
          <w:rPr>
            <w:noProof/>
            <w:webHidden/>
          </w:rPr>
          <w:fldChar w:fldCharType="begin"/>
        </w:r>
        <w:r w:rsidR="004F20BB">
          <w:rPr>
            <w:noProof/>
            <w:webHidden/>
          </w:rPr>
          <w:instrText xml:space="preserve"> PAGEREF _Toc47516833 \h </w:instrText>
        </w:r>
        <w:r w:rsidR="004F20BB">
          <w:rPr>
            <w:noProof/>
            <w:webHidden/>
          </w:rPr>
        </w:r>
        <w:r w:rsidR="004F20BB">
          <w:rPr>
            <w:noProof/>
            <w:webHidden/>
          </w:rPr>
          <w:fldChar w:fldCharType="separate"/>
        </w:r>
        <w:r w:rsidR="004F20BB">
          <w:rPr>
            <w:noProof/>
            <w:webHidden/>
          </w:rPr>
          <w:t>507</w:t>
        </w:r>
        <w:r w:rsidR="004F20BB">
          <w:rPr>
            <w:noProof/>
            <w:webHidden/>
          </w:rPr>
          <w:fldChar w:fldCharType="end"/>
        </w:r>
      </w:hyperlink>
    </w:p>
    <w:p w14:paraId="133B8773" w14:textId="55E8EFAE" w:rsidR="004F20BB" w:rsidRDefault="00F322E7">
      <w:pPr>
        <w:pStyle w:val="TOC3"/>
        <w:tabs>
          <w:tab w:val="right" w:leader="dot" w:pos="9350"/>
        </w:tabs>
        <w:rPr>
          <w:rFonts w:asciiTheme="minorHAnsi" w:eastAsiaTheme="minorEastAsia" w:hAnsiTheme="minorHAnsi" w:cstheme="minorBidi"/>
          <w:noProof/>
        </w:rPr>
      </w:pPr>
      <w:hyperlink w:anchor="_Toc47516834" w:history="1">
        <w:r w:rsidR="004F20BB" w:rsidRPr="00DB2EFF">
          <w:rPr>
            <w:rStyle w:val="Hyperlink"/>
            <w:noProof/>
          </w:rPr>
          <w:t>Configure Daily QC: Full Service</w:t>
        </w:r>
        <w:r w:rsidR="004F20BB">
          <w:rPr>
            <w:noProof/>
            <w:webHidden/>
          </w:rPr>
          <w:tab/>
        </w:r>
        <w:r w:rsidR="004F20BB">
          <w:rPr>
            <w:noProof/>
            <w:webHidden/>
          </w:rPr>
          <w:fldChar w:fldCharType="begin"/>
        </w:r>
        <w:r w:rsidR="004F20BB">
          <w:rPr>
            <w:noProof/>
            <w:webHidden/>
          </w:rPr>
          <w:instrText xml:space="preserve"> PAGEREF _Toc47516834 \h </w:instrText>
        </w:r>
        <w:r w:rsidR="004F20BB">
          <w:rPr>
            <w:noProof/>
            <w:webHidden/>
          </w:rPr>
        </w:r>
        <w:r w:rsidR="004F20BB">
          <w:rPr>
            <w:noProof/>
            <w:webHidden/>
          </w:rPr>
          <w:fldChar w:fldCharType="separate"/>
        </w:r>
        <w:r w:rsidR="004F20BB">
          <w:rPr>
            <w:noProof/>
            <w:webHidden/>
          </w:rPr>
          <w:t>508</w:t>
        </w:r>
        <w:r w:rsidR="004F20BB">
          <w:rPr>
            <w:noProof/>
            <w:webHidden/>
          </w:rPr>
          <w:fldChar w:fldCharType="end"/>
        </w:r>
      </w:hyperlink>
    </w:p>
    <w:p w14:paraId="6DC80796" w14:textId="7029EAE5" w:rsidR="004F20BB" w:rsidRDefault="00F322E7">
      <w:pPr>
        <w:pStyle w:val="TOC3"/>
        <w:tabs>
          <w:tab w:val="right" w:leader="dot" w:pos="9350"/>
        </w:tabs>
        <w:rPr>
          <w:rFonts w:asciiTheme="minorHAnsi" w:eastAsiaTheme="minorEastAsia" w:hAnsiTheme="minorHAnsi" w:cstheme="minorBidi"/>
          <w:noProof/>
        </w:rPr>
      </w:pPr>
      <w:hyperlink w:anchor="_Toc47516835" w:history="1">
        <w:r w:rsidR="004F20BB" w:rsidRPr="00DB2EFF">
          <w:rPr>
            <w:rStyle w:val="Hyperlink"/>
            <w:noProof/>
          </w:rPr>
          <w:t>Maintain Minimum Levels: Full Service</w:t>
        </w:r>
        <w:r w:rsidR="004F20BB">
          <w:rPr>
            <w:noProof/>
            <w:webHidden/>
          </w:rPr>
          <w:tab/>
        </w:r>
        <w:r w:rsidR="004F20BB">
          <w:rPr>
            <w:noProof/>
            <w:webHidden/>
          </w:rPr>
          <w:fldChar w:fldCharType="begin"/>
        </w:r>
        <w:r w:rsidR="004F20BB">
          <w:rPr>
            <w:noProof/>
            <w:webHidden/>
          </w:rPr>
          <w:instrText xml:space="preserve"> PAGEREF _Toc47516835 \h </w:instrText>
        </w:r>
        <w:r w:rsidR="004F20BB">
          <w:rPr>
            <w:noProof/>
            <w:webHidden/>
          </w:rPr>
        </w:r>
        <w:r w:rsidR="004F20BB">
          <w:rPr>
            <w:noProof/>
            <w:webHidden/>
          </w:rPr>
          <w:fldChar w:fldCharType="separate"/>
        </w:r>
        <w:r w:rsidR="004F20BB">
          <w:rPr>
            <w:noProof/>
            <w:webHidden/>
          </w:rPr>
          <w:t>509</w:t>
        </w:r>
        <w:r w:rsidR="004F20BB">
          <w:rPr>
            <w:noProof/>
            <w:webHidden/>
          </w:rPr>
          <w:fldChar w:fldCharType="end"/>
        </w:r>
      </w:hyperlink>
    </w:p>
    <w:p w14:paraId="2DD80A44" w14:textId="1E0E2245" w:rsidR="004F20BB" w:rsidRDefault="00F322E7">
      <w:pPr>
        <w:pStyle w:val="TOC3"/>
        <w:tabs>
          <w:tab w:val="right" w:leader="dot" w:pos="9350"/>
        </w:tabs>
        <w:rPr>
          <w:rFonts w:asciiTheme="minorHAnsi" w:eastAsiaTheme="minorEastAsia" w:hAnsiTheme="minorHAnsi" w:cstheme="minorBidi"/>
          <w:noProof/>
        </w:rPr>
      </w:pPr>
      <w:hyperlink w:anchor="_Toc47516836" w:history="1">
        <w:r w:rsidR="004F20BB" w:rsidRPr="00DB2EFF">
          <w:rPr>
            <w:rStyle w:val="Hyperlink"/>
            <w:noProof/>
          </w:rPr>
          <w:t>Log In Reagents: Full Service</w:t>
        </w:r>
        <w:r w:rsidR="004F20BB">
          <w:rPr>
            <w:noProof/>
            <w:webHidden/>
          </w:rPr>
          <w:tab/>
        </w:r>
        <w:r w:rsidR="004F20BB">
          <w:rPr>
            <w:noProof/>
            <w:webHidden/>
          </w:rPr>
          <w:fldChar w:fldCharType="begin"/>
        </w:r>
        <w:r w:rsidR="004F20BB">
          <w:rPr>
            <w:noProof/>
            <w:webHidden/>
          </w:rPr>
          <w:instrText xml:space="preserve"> PAGEREF _Toc47516836 \h </w:instrText>
        </w:r>
        <w:r w:rsidR="004F20BB">
          <w:rPr>
            <w:noProof/>
            <w:webHidden/>
          </w:rPr>
        </w:r>
        <w:r w:rsidR="004F20BB">
          <w:rPr>
            <w:noProof/>
            <w:webHidden/>
          </w:rPr>
          <w:fldChar w:fldCharType="separate"/>
        </w:r>
        <w:r w:rsidR="004F20BB">
          <w:rPr>
            <w:noProof/>
            <w:webHidden/>
          </w:rPr>
          <w:t>510</w:t>
        </w:r>
        <w:r w:rsidR="004F20BB">
          <w:rPr>
            <w:noProof/>
            <w:webHidden/>
          </w:rPr>
          <w:fldChar w:fldCharType="end"/>
        </w:r>
      </w:hyperlink>
    </w:p>
    <w:p w14:paraId="540EA772" w14:textId="60ED9A76" w:rsidR="004F20BB" w:rsidRDefault="00F322E7">
      <w:pPr>
        <w:pStyle w:val="TOC3"/>
        <w:tabs>
          <w:tab w:val="right" w:leader="dot" w:pos="9350"/>
        </w:tabs>
        <w:rPr>
          <w:rFonts w:asciiTheme="minorHAnsi" w:eastAsiaTheme="minorEastAsia" w:hAnsiTheme="minorHAnsi" w:cstheme="minorBidi"/>
          <w:noProof/>
        </w:rPr>
      </w:pPr>
      <w:hyperlink w:anchor="_Toc47516837" w:history="1">
        <w:r w:rsidR="004F20BB" w:rsidRPr="00DB2EFF">
          <w:rPr>
            <w:rStyle w:val="Hyperlink"/>
            <w:noProof/>
          </w:rPr>
          <w:t>Blood Products</w:t>
        </w:r>
        <w:r w:rsidR="004F20BB">
          <w:rPr>
            <w:noProof/>
            <w:webHidden/>
          </w:rPr>
          <w:tab/>
        </w:r>
        <w:r w:rsidR="004F20BB">
          <w:rPr>
            <w:noProof/>
            <w:webHidden/>
          </w:rPr>
          <w:fldChar w:fldCharType="begin"/>
        </w:r>
        <w:r w:rsidR="004F20BB">
          <w:rPr>
            <w:noProof/>
            <w:webHidden/>
          </w:rPr>
          <w:instrText xml:space="preserve"> PAGEREF _Toc47516837 \h </w:instrText>
        </w:r>
        <w:r w:rsidR="004F20BB">
          <w:rPr>
            <w:noProof/>
            <w:webHidden/>
          </w:rPr>
        </w:r>
        <w:r w:rsidR="004F20BB">
          <w:rPr>
            <w:noProof/>
            <w:webHidden/>
          </w:rPr>
          <w:fldChar w:fldCharType="separate"/>
        </w:r>
        <w:r w:rsidR="004F20BB">
          <w:rPr>
            <w:noProof/>
            <w:webHidden/>
          </w:rPr>
          <w:t>511</w:t>
        </w:r>
        <w:r w:rsidR="004F20BB">
          <w:rPr>
            <w:noProof/>
            <w:webHidden/>
          </w:rPr>
          <w:fldChar w:fldCharType="end"/>
        </w:r>
      </w:hyperlink>
    </w:p>
    <w:p w14:paraId="513AAAF6" w14:textId="5358E40F" w:rsidR="004F20BB" w:rsidRDefault="00F322E7">
      <w:pPr>
        <w:pStyle w:val="TOC3"/>
        <w:tabs>
          <w:tab w:val="right" w:leader="dot" w:pos="9350"/>
        </w:tabs>
        <w:rPr>
          <w:rFonts w:asciiTheme="minorHAnsi" w:eastAsiaTheme="minorEastAsia" w:hAnsiTheme="minorHAnsi" w:cstheme="minorBidi"/>
          <w:noProof/>
        </w:rPr>
      </w:pPr>
      <w:hyperlink w:anchor="_Toc47516838" w:history="1">
        <w:r w:rsidR="004F20BB" w:rsidRPr="00DB2EFF">
          <w:rPr>
            <w:rStyle w:val="Hyperlink"/>
            <w:noProof/>
          </w:rPr>
          <w:t>Local Facilities</w:t>
        </w:r>
        <w:r w:rsidR="004F20BB">
          <w:rPr>
            <w:noProof/>
            <w:webHidden/>
          </w:rPr>
          <w:tab/>
        </w:r>
        <w:r w:rsidR="004F20BB">
          <w:rPr>
            <w:noProof/>
            <w:webHidden/>
          </w:rPr>
          <w:fldChar w:fldCharType="begin"/>
        </w:r>
        <w:r w:rsidR="004F20BB">
          <w:rPr>
            <w:noProof/>
            <w:webHidden/>
          </w:rPr>
          <w:instrText xml:space="preserve"> PAGEREF _Toc47516838 \h </w:instrText>
        </w:r>
        <w:r w:rsidR="004F20BB">
          <w:rPr>
            <w:noProof/>
            <w:webHidden/>
          </w:rPr>
        </w:r>
        <w:r w:rsidR="004F20BB">
          <w:rPr>
            <w:noProof/>
            <w:webHidden/>
          </w:rPr>
          <w:fldChar w:fldCharType="separate"/>
        </w:r>
        <w:r w:rsidR="004F20BB">
          <w:rPr>
            <w:noProof/>
            <w:webHidden/>
          </w:rPr>
          <w:t>512</w:t>
        </w:r>
        <w:r w:rsidR="004F20BB">
          <w:rPr>
            <w:noProof/>
            <w:webHidden/>
          </w:rPr>
          <w:fldChar w:fldCharType="end"/>
        </w:r>
      </w:hyperlink>
    </w:p>
    <w:p w14:paraId="52BD8472" w14:textId="7AA49E7D" w:rsidR="004F20BB" w:rsidRDefault="00F322E7">
      <w:pPr>
        <w:pStyle w:val="TOC3"/>
        <w:tabs>
          <w:tab w:val="right" w:leader="dot" w:pos="9350"/>
        </w:tabs>
        <w:rPr>
          <w:rFonts w:asciiTheme="minorHAnsi" w:eastAsiaTheme="minorEastAsia" w:hAnsiTheme="minorHAnsi" w:cstheme="minorBidi"/>
          <w:noProof/>
        </w:rPr>
      </w:pPr>
      <w:hyperlink w:anchor="_Toc47516839" w:history="1">
        <w:r w:rsidR="004F20BB" w:rsidRPr="00DB2EFF">
          <w:rPr>
            <w:rStyle w:val="Hyperlink"/>
            <w:noProof/>
          </w:rPr>
          <w:t>Component Classes</w:t>
        </w:r>
        <w:r w:rsidR="004F20BB">
          <w:rPr>
            <w:noProof/>
            <w:webHidden/>
          </w:rPr>
          <w:tab/>
        </w:r>
        <w:r w:rsidR="004F20BB">
          <w:rPr>
            <w:noProof/>
            <w:webHidden/>
          </w:rPr>
          <w:fldChar w:fldCharType="begin"/>
        </w:r>
        <w:r w:rsidR="004F20BB">
          <w:rPr>
            <w:noProof/>
            <w:webHidden/>
          </w:rPr>
          <w:instrText xml:space="preserve"> PAGEREF _Toc47516839 \h </w:instrText>
        </w:r>
        <w:r w:rsidR="004F20BB">
          <w:rPr>
            <w:noProof/>
            <w:webHidden/>
          </w:rPr>
        </w:r>
        <w:r w:rsidR="004F20BB">
          <w:rPr>
            <w:noProof/>
            <w:webHidden/>
          </w:rPr>
          <w:fldChar w:fldCharType="separate"/>
        </w:r>
        <w:r w:rsidR="004F20BB">
          <w:rPr>
            <w:noProof/>
            <w:webHidden/>
          </w:rPr>
          <w:t>513</w:t>
        </w:r>
        <w:r w:rsidR="004F20BB">
          <w:rPr>
            <w:noProof/>
            <w:webHidden/>
          </w:rPr>
          <w:fldChar w:fldCharType="end"/>
        </w:r>
      </w:hyperlink>
    </w:p>
    <w:p w14:paraId="4B8EE487" w14:textId="1936E05C" w:rsidR="004F20BB" w:rsidRDefault="00F322E7">
      <w:pPr>
        <w:pStyle w:val="TOC3"/>
        <w:tabs>
          <w:tab w:val="right" w:leader="dot" w:pos="9350"/>
        </w:tabs>
        <w:rPr>
          <w:rFonts w:asciiTheme="minorHAnsi" w:eastAsiaTheme="minorEastAsia" w:hAnsiTheme="minorHAnsi" w:cstheme="minorBidi"/>
          <w:noProof/>
        </w:rPr>
      </w:pPr>
      <w:hyperlink w:anchor="_Toc47516840" w:history="1">
        <w:r w:rsidR="004F20BB" w:rsidRPr="00DB2EFF">
          <w:rPr>
            <w:rStyle w:val="Hyperlink"/>
            <w:noProof/>
          </w:rPr>
          <w:t>Transfusion Complications</w:t>
        </w:r>
        <w:r w:rsidR="004F20BB">
          <w:rPr>
            <w:noProof/>
            <w:webHidden/>
          </w:rPr>
          <w:tab/>
        </w:r>
        <w:r w:rsidR="004F20BB">
          <w:rPr>
            <w:noProof/>
            <w:webHidden/>
          </w:rPr>
          <w:fldChar w:fldCharType="begin"/>
        </w:r>
        <w:r w:rsidR="004F20BB">
          <w:rPr>
            <w:noProof/>
            <w:webHidden/>
          </w:rPr>
          <w:instrText xml:space="preserve"> PAGEREF _Toc47516840 \h </w:instrText>
        </w:r>
        <w:r w:rsidR="004F20BB">
          <w:rPr>
            <w:noProof/>
            <w:webHidden/>
          </w:rPr>
        </w:r>
        <w:r w:rsidR="004F20BB">
          <w:rPr>
            <w:noProof/>
            <w:webHidden/>
          </w:rPr>
          <w:fldChar w:fldCharType="separate"/>
        </w:r>
        <w:r w:rsidR="004F20BB">
          <w:rPr>
            <w:noProof/>
            <w:webHidden/>
          </w:rPr>
          <w:t>514</w:t>
        </w:r>
        <w:r w:rsidR="004F20BB">
          <w:rPr>
            <w:noProof/>
            <w:webHidden/>
          </w:rPr>
          <w:fldChar w:fldCharType="end"/>
        </w:r>
      </w:hyperlink>
    </w:p>
    <w:p w14:paraId="43E1E416" w14:textId="1E28E373" w:rsidR="004F20BB" w:rsidRDefault="00F322E7">
      <w:pPr>
        <w:pStyle w:val="TOC3"/>
        <w:tabs>
          <w:tab w:val="right" w:leader="dot" w:pos="9350"/>
        </w:tabs>
        <w:rPr>
          <w:rFonts w:asciiTheme="minorHAnsi" w:eastAsiaTheme="minorEastAsia" w:hAnsiTheme="minorHAnsi" w:cstheme="minorBidi"/>
          <w:noProof/>
        </w:rPr>
      </w:pPr>
      <w:hyperlink w:anchor="_Toc47516841" w:history="1">
        <w:r w:rsidR="004F20BB" w:rsidRPr="00DB2EFF">
          <w:rPr>
            <w:rStyle w:val="Hyperlink"/>
            <w:noProof/>
          </w:rPr>
          <w:t>Transfusion Effectiveness</w:t>
        </w:r>
        <w:r w:rsidR="004F20BB">
          <w:rPr>
            <w:noProof/>
            <w:webHidden/>
          </w:rPr>
          <w:tab/>
        </w:r>
        <w:r w:rsidR="004F20BB">
          <w:rPr>
            <w:noProof/>
            <w:webHidden/>
          </w:rPr>
          <w:fldChar w:fldCharType="begin"/>
        </w:r>
        <w:r w:rsidR="004F20BB">
          <w:rPr>
            <w:noProof/>
            <w:webHidden/>
          </w:rPr>
          <w:instrText xml:space="preserve"> PAGEREF _Toc47516841 \h </w:instrText>
        </w:r>
        <w:r w:rsidR="004F20BB">
          <w:rPr>
            <w:noProof/>
            <w:webHidden/>
          </w:rPr>
        </w:r>
        <w:r w:rsidR="004F20BB">
          <w:rPr>
            <w:noProof/>
            <w:webHidden/>
          </w:rPr>
          <w:fldChar w:fldCharType="separate"/>
        </w:r>
        <w:r w:rsidR="004F20BB">
          <w:rPr>
            <w:noProof/>
            <w:webHidden/>
          </w:rPr>
          <w:t>515</w:t>
        </w:r>
        <w:r w:rsidR="004F20BB">
          <w:rPr>
            <w:noProof/>
            <w:webHidden/>
          </w:rPr>
          <w:fldChar w:fldCharType="end"/>
        </w:r>
      </w:hyperlink>
    </w:p>
    <w:p w14:paraId="4BF8000D" w14:textId="44387ED9" w:rsidR="004F20BB" w:rsidRDefault="00F322E7">
      <w:pPr>
        <w:pStyle w:val="TOC3"/>
        <w:tabs>
          <w:tab w:val="right" w:leader="dot" w:pos="9350"/>
        </w:tabs>
        <w:rPr>
          <w:rFonts w:asciiTheme="minorHAnsi" w:eastAsiaTheme="minorEastAsia" w:hAnsiTheme="minorHAnsi" w:cstheme="minorBidi"/>
          <w:noProof/>
        </w:rPr>
      </w:pPr>
      <w:hyperlink w:anchor="_Toc47516842" w:history="1">
        <w:r w:rsidR="004F20BB" w:rsidRPr="00DB2EFF">
          <w:rPr>
            <w:rStyle w:val="Hyperlink"/>
            <w:noProof/>
            <w:snapToGrid w:val="0"/>
          </w:rPr>
          <w:t>Workload Codes</w:t>
        </w:r>
        <w:r w:rsidR="004F20BB">
          <w:rPr>
            <w:noProof/>
            <w:webHidden/>
          </w:rPr>
          <w:tab/>
        </w:r>
        <w:r w:rsidR="004F20BB">
          <w:rPr>
            <w:noProof/>
            <w:webHidden/>
          </w:rPr>
          <w:fldChar w:fldCharType="begin"/>
        </w:r>
        <w:r w:rsidR="004F20BB">
          <w:rPr>
            <w:noProof/>
            <w:webHidden/>
          </w:rPr>
          <w:instrText xml:space="preserve"> PAGEREF _Toc47516842 \h </w:instrText>
        </w:r>
        <w:r w:rsidR="004F20BB">
          <w:rPr>
            <w:noProof/>
            <w:webHidden/>
          </w:rPr>
        </w:r>
        <w:r w:rsidR="004F20BB">
          <w:rPr>
            <w:noProof/>
            <w:webHidden/>
          </w:rPr>
          <w:fldChar w:fldCharType="separate"/>
        </w:r>
        <w:r w:rsidR="004F20BB">
          <w:rPr>
            <w:noProof/>
            <w:webHidden/>
          </w:rPr>
          <w:t>516</w:t>
        </w:r>
        <w:r w:rsidR="004F20BB">
          <w:rPr>
            <w:noProof/>
            <w:webHidden/>
          </w:rPr>
          <w:fldChar w:fldCharType="end"/>
        </w:r>
      </w:hyperlink>
    </w:p>
    <w:p w14:paraId="0426C752" w14:textId="7286F150" w:rsidR="004F20BB" w:rsidRDefault="00F322E7">
      <w:pPr>
        <w:pStyle w:val="TOC3"/>
        <w:tabs>
          <w:tab w:val="right" w:leader="dot" w:pos="9350"/>
        </w:tabs>
        <w:rPr>
          <w:rFonts w:asciiTheme="minorHAnsi" w:eastAsiaTheme="minorEastAsia" w:hAnsiTheme="minorHAnsi" w:cstheme="minorBidi"/>
          <w:noProof/>
        </w:rPr>
      </w:pPr>
      <w:hyperlink w:anchor="_Toc47516843" w:history="1">
        <w:r w:rsidR="004F20BB" w:rsidRPr="00DB2EFF">
          <w:rPr>
            <w:rStyle w:val="Hyperlink"/>
            <w:noProof/>
            <w:snapToGrid w:val="0"/>
          </w:rPr>
          <w:t xml:space="preserve">Canned </w:t>
        </w:r>
        <w:r w:rsidR="004F20BB" w:rsidRPr="00DB2EFF">
          <w:rPr>
            <w:rStyle w:val="Hyperlink"/>
            <w:noProof/>
          </w:rPr>
          <w:t>Comments</w:t>
        </w:r>
        <w:r w:rsidR="004F20BB">
          <w:rPr>
            <w:noProof/>
            <w:webHidden/>
          </w:rPr>
          <w:tab/>
        </w:r>
        <w:r w:rsidR="004F20BB">
          <w:rPr>
            <w:noProof/>
            <w:webHidden/>
          </w:rPr>
          <w:fldChar w:fldCharType="begin"/>
        </w:r>
        <w:r w:rsidR="004F20BB">
          <w:rPr>
            <w:noProof/>
            <w:webHidden/>
          </w:rPr>
          <w:instrText xml:space="preserve"> PAGEREF _Toc47516843 \h </w:instrText>
        </w:r>
        <w:r w:rsidR="004F20BB">
          <w:rPr>
            <w:noProof/>
            <w:webHidden/>
          </w:rPr>
        </w:r>
        <w:r w:rsidR="004F20BB">
          <w:rPr>
            <w:noProof/>
            <w:webHidden/>
          </w:rPr>
          <w:fldChar w:fldCharType="separate"/>
        </w:r>
        <w:r w:rsidR="004F20BB">
          <w:rPr>
            <w:noProof/>
            <w:webHidden/>
          </w:rPr>
          <w:t>516</w:t>
        </w:r>
        <w:r w:rsidR="004F20BB">
          <w:rPr>
            <w:noProof/>
            <w:webHidden/>
          </w:rPr>
          <w:fldChar w:fldCharType="end"/>
        </w:r>
      </w:hyperlink>
    </w:p>
    <w:p w14:paraId="5EB94B09" w14:textId="2469AE65" w:rsidR="004F20BB" w:rsidRDefault="00F322E7">
      <w:pPr>
        <w:pStyle w:val="TOC3"/>
        <w:tabs>
          <w:tab w:val="right" w:leader="dot" w:pos="9350"/>
        </w:tabs>
        <w:rPr>
          <w:rFonts w:asciiTheme="minorHAnsi" w:eastAsiaTheme="minorEastAsia" w:hAnsiTheme="minorHAnsi" w:cstheme="minorBidi"/>
          <w:noProof/>
        </w:rPr>
      </w:pPr>
      <w:hyperlink w:anchor="_Toc47516844" w:history="1">
        <w:r w:rsidR="004F20BB" w:rsidRPr="00DB2EFF">
          <w:rPr>
            <w:rStyle w:val="Hyperlink"/>
            <w:noProof/>
          </w:rPr>
          <w:t>MSBOS</w:t>
        </w:r>
        <w:r w:rsidR="004F20BB">
          <w:rPr>
            <w:noProof/>
            <w:webHidden/>
          </w:rPr>
          <w:tab/>
        </w:r>
        <w:r w:rsidR="004F20BB">
          <w:rPr>
            <w:noProof/>
            <w:webHidden/>
          </w:rPr>
          <w:fldChar w:fldCharType="begin"/>
        </w:r>
        <w:r w:rsidR="004F20BB">
          <w:rPr>
            <w:noProof/>
            <w:webHidden/>
          </w:rPr>
          <w:instrText xml:space="preserve"> PAGEREF _Toc47516844 \h </w:instrText>
        </w:r>
        <w:r w:rsidR="004F20BB">
          <w:rPr>
            <w:noProof/>
            <w:webHidden/>
          </w:rPr>
        </w:r>
        <w:r w:rsidR="004F20BB">
          <w:rPr>
            <w:noProof/>
            <w:webHidden/>
          </w:rPr>
          <w:fldChar w:fldCharType="separate"/>
        </w:r>
        <w:r w:rsidR="004F20BB">
          <w:rPr>
            <w:noProof/>
            <w:webHidden/>
          </w:rPr>
          <w:t>516</w:t>
        </w:r>
        <w:r w:rsidR="004F20BB">
          <w:rPr>
            <w:noProof/>
            <w:webHidden/>
          </w:rPr>
          <w:fldChar w:fldCharType="end"/>
        </w:r>
      </w:hyperlink>
    </w:p>
    <w:p w14:paraId="05808598" w14:textId="1C1D6E64" w:rsidR="004F20BB" w:rsidRDefault="00F322E7">
      <w:pPr>
        <w:pStyle w:val="TOC3"/>
        <w:tabs>
          <w:tab w:val="right" w:leader="dot" w:pos="9350"/>
        </w:tabs>
        <w:rPr>
          <w:rFonts w:asciiTheme="minorHAnsi" w:eastAsiaTheme="minorEastAsia" w:hAnsiTheme="minorHAnsi" w:cstheme="minorBidi"/>
          <w:noProof/>
        </w:rPr>
      </w:pPr>
      <w:hyperlink w:anchor="_Toc47516845" w:history="1">
        <w:r w:rsidR="004F20BB" w:rsidRPr="00DB2EFF">
          <w:rPr>
            <w:rStyle w:val="Hyperlink"/>
            <w:noProof/>
            <w:snapToGrid w:val="0"/>
          </w:rPr>
          <w:t>Edit Invoice Text</w:t>
        </w:r>
        <w:r w:rsidR="004F20BB">
          <w:rPr>
            <w:noProof/>
            <w:webHidden/>
          </w:rPr>
          <w:tab/>
        </w:r>
        <w:r w:rsidR="004F20BB">
          <w:rPr>
            <w:noProof/>
            <w:webHidden/>
          </w:rPr>
          <w:fldChar w:fldCharType="begin"/>
        </w:r>
        <w:r w:rsidR="004F20BB">
          <w:rPr>
            <w:noProof/>
            <w:webHidden/>
          </w:rPr>
          <w:instrText xml:space="preserve"> PAGEREF _Toc47516845 \h </w:instrText>
        </w:r>
        <w:r w:rsidR="004F20BB">
          <w:rPr>
            <w:noProof/>
            <w:webHidden/>
          </w:rPr>
        </w:r>
        <w:r w:rsidR="004F20BB">
          <w:rPr>
            <w:noProof/>
            <w:webHidden/>
          </w:rPr>
          <w:fldChar w:fldCharType="separate"/>
        </w:r>
        <w:r w:rsidR="004F20BB">
          <w:rPr>
            <w:noProof/>
            <w:webHidden/>
          </w:rPr>
          <w:t>516</w:t>
        </w:r>
        <w:r w:rsidR="004F20BB">
          <w:rPr>
            <w:noProof/>
            <w:webHidden/>
          </w:rPr>
          <w:fldChar w:fldCharType="end"/>
        </w:r>
      </w:hyperlink>
    </w:p>
    <w:p w14:paraId="2E91CC38" w14:textId="599E1C74" w:rsidR="004F20BB" w:rsidRDefault="00F322E7">
      <w:pPr>
        <w:pStyle w:val="TOC3"/>
        <w:tabs>
          <w:tab w:val="right" w:leader="dot" w:pos="9350"/>
        </w:tabs>
        <w:rPr>
          <w:rFonts w:asciiTheme="minorHAnsi" w:eastAsiaTheme="minorEastAsia" w:hAnsiTheme="minorHAnsi" w:cstheme="minorBidi"/>
          <w:noProof/>
        </w:rPr>
      </w:pPr>
      <w:hyperlink w:anchor="_Toc47516846" w:history="1">
        <w:r w:rsidR="004F20BB" w:rsidRPr="00DB2EFF">
          <w:rPr>
            <w:rStyle w:val="Hyperlink"/>
            <w:noProof/>
            <w:snapToGrid w:val="0"/>
          </w:rPr>
          <w:t>Antibodies</w:t>
        </w:r>
        <w:r w:rsidR="004F20BB">
          <w:rPr>
            <w:noProof/>
            <w:webHidden/>
          </w:rPr>
          <w:tab/>
        </w:r>
        <w:r w:rsidR="004F20BB">
          <w:rPr>
            <w:noProof/>
            <w:webHidden/>
          </w:rPr>
          <w:fldChar w:fldCharType="begin"/>
        </w:r>
        <w:r w:rsidR="004F20BB">
          <w:rPr>
            <w:noProof/>
            <w:webHidden/>
          </w:rPr>
          <w:instrText xml:space="preserve"> PAGEREF _Toc47516846 \h </w:instrText>
        </w:r>
        <w:r w:rsidR="004F20BB">
          <w:rPr>
            <w:noProof/>
            <w:webHidden/>
          </w:rPr>
        </w:r>
        <w:r w:rsidR="004F20BB">
          <w:rPr>
            <w:noProof/>
            <w:webHidden/>
          </w:rPr>
          <w:fldChar w:fldCharType="separate"/>
        </w:r>
        <w:r w:rsidR="004F20BB">
          <w:rPr>
            <w:noProof/>
            <w:webHidden/>
          </w:rPr>
          <w:t>517</w:t>
        </w:r>
        <w:r w:rsidR="004F20BB">
          <w:rPr>
            <w:noProof/>
            <w:webHidden/>
          </w:rPr>
          <w:fldChar w:fldCharType="end"/>
        </w:r>
      </w:hyperlink>
    </w:p>
    <w:p w14:paraId="2A545C6F" w14:textId="28002979" w:rsidR="004F20BB" w:rsidRDefault="00F322E7">
      <w:pPr>
        <w:pStyle w:val="TOC3"/>
        <w:tabs>
          <w:tab w:val="right" w:leader="dot" w:pos="9350"/>
        </w:tabs>
        <w:rPr>
          <w:rFonts w:asciiTheme="minorHAnsi" w:eastAsiaTheme="minorEastAsia" w:hAnsiTheme="minorHAnsi" w:cstheme="minorBidi"/>
          <w:noProof/>
        </w:rPr>
      </w:pPr>
      <w:hyperlink w:anchor="_Toc47516847" w:history="1">
        <w:r w:rsidR="004F20BB" w:rsidRPr="00DB2EFF">
          <w:rPr>
            <w:rStyle w:val="Hyperlink"/>
            <w:noProof/>
          </w:rPr>
          <w:t>Update User Roles</w:t>
        </w:r>
        <w:r w:rsidR="004F20BB">
          <w:rPr>
            <w:noProof/>
            <w:webHidden/>
          </w:rPr>
          <w:tab/>
        </w:r>
        <w:r w:rsidR="004F20BB">
          <w:rPr>
            <w:noProof/>
            <w:webHidden/>
          </w:rPr>
          <w:fldChar w:fldCharType="begin"/>
        </w:r>
        <w:r w:rsidR="004F20BB">
          <w:rPr>
            <w:noProof/>
            <w:webHidden/>
          </w:rPr>
          <w:instrText xml:space="preserve"> PAGEREF _Toc47516847 \h </w:instrText>
        </w:r>
        <w:r w:rsidR="004F20BB">
          <w:rPr>
            <w:noProof/>
            <w:webHidden/>
          </w:rPr>
        </w:r>
        <w:r w:rsidR="004F20BB">
          <w:rPr>
            <w:noProof/>
            <w:webHidden/>
          </w:rPr>
          <w:fldChar w:fldCharType="separate"/>
        </w:r>
        <w:r w:rsidR="004F20BB">
          <w:rPr>
            <w:noProof/>
            <w:webHidden/>
          </w:rPr>
          <w:t>518</w:t>
        </w:r>
        <w:r w:rsidR="004F20BB">
          <w:rPr>
            <w:noProof/>
            <w:webHidden/>
          </w:rPr>
          <w:fldChar w:fldCharType="end"/>
        </w:r>
      </w:hyperlink>
    </w:p>
    <w:p w14:paraId="016ACADF" w14:textId="33EA7E13" w:rsidR="004F20BB" w:rsidRDefault="00F322E7">
      <w:pPr>
        <w:pStyle w:val="TOC3"/>
        <w:tabs>
          <w:tab w:val="right" w:leader="dot" w:pos="9350"/>
        </w:tabs>
        <w:rPr>
          <w:rFonts w:asciiTheme="minorHAnsi" w:eastAsiaTheme="minorEastAsia" w:hAnsiTheme="minorHAnsi" w:cstheme="minorBidi"/>
          <w:noProof/>
        </w:rPr>
      </w:pPr>
      <w:hyperlink w:anchor="_Toc47516848" w:history="1">
        <w:r w:rsidR="004F20BB" w:rsidRPr="00DB2EFF">
          <w:rPr>
            <w:rStyle w:val="Hyperlink"/>
            <w:noProof/>
            <w:snapToGrid w:val="0"/>
          </w:rPr>
          <w:t>Testing</w:t>
        </w:r>
        <w:r w:rsidR="004F20BB">
          <w:rPr>
            <w:noProof/>
            <w:webHidden/>
          </w:rPr>
          <w:tab/>
        </w:r>
        <w:r w:rsidR="004F20BB">
          <w:rPr>
            <w:noProof/>
            <w:webHidden/>
          </w:rPr>
          <w:fldChar w:fldCharType="begin"/>
        </w:r>
        <w:r w:rsidR="004F20BB">
          <w:rPr>
            <w:noProof/>
            <w:webHidden/>
          </w:rPr>
          <w:instrText xml:space="preserve"> PAGEREF _Toc47516848 \h </w:instrText>
        </w:r>
        <w:r w:rsidR="004F20BB">
          <w:rPr>
            <w:noProof/>
            <w:webHidden/>
          </w:rPr>
        </w:r>
        <w:r w:rsidR="004F20BB">
          <w:rPr>
            <w:noProof/>
            <w:webHidden/>
          </w:rPr>
          <w:fldChar w:fldCharType="separate"/>
        </w:r>
        <w:r w:rsidR="004F20BB">
          <w:rPr>
            <w:noProof/>
            <w:webHidden/>
          </w:rPr>
          <w:t>518</w:t>
        </w:r>
        <w:r w:rsidR="004F20BB">
          <w:rPr>
            <w:noProof/>
            <w:webHidden/>
          </w:rPr>
          <w:fldChar w:fldCharType="end"/>
        </w:r>
      </w:hyperlink>
    </w:p>
    <w:p w14:paraId="78F5777E" w14:textId="765E4FE6" w:rsidR="004F20BB" w:rsidRDefault="00F322E7">
      <w:pPr>
        <w:pStyle w:val="TOC3"/>
        <w:tabs>
          <w:tab w:val="right" w:leader="dot" w:pos="9350"/>
        </w:tabs>
        <w:rPr>
          <w:rFonts w:asciiTheme="minorHAnsi" w:eastAsiaTheme="minorEastAsia" w:hAnsiTheme="minorHAnsi" w:cstheme="minorBidi"/>
          <w:noProof/>
        </w:rPr>
      </w:pPr>
      <w:hyperlink w:anchor="_Toc47516849" w:history="1">
        <w:r w:rsidR="004F20BB" w:rsidRPr="00DB2EFF">
          <w:rPr>
            <w:rStyle w:val="Hyperlink"/>
            <w:noProof/>
          </w:rPr>
          <w:t>VBECS Forms and Reports</w:t>
        </w:r>
        <w:r w:rsidR="004F20BB">
          <w:rPr>
            <w:noProof/>
            <w:webHidden/>
          </w:rPr>
          <w:tab/>
        </w:r>
        <w:r w:rsidR="004F20BB">
          <w:rPr>
            <w:noProof/>
            <w:webHidden/>
          </w:rPr>
          <w:fldChar w:fldCharType="begin"/>
        </w:r>
        <w:r w:rsidR="004F20BB">
          <w:rPr>
            <w:noProof/>
            <w:webHidden/>
          </w:rPr>
          <w:instrText xml:space="preserve"> PAGEREF _Toc47516849 \h </w:instrText>
        </w:r>
        <w:r w:rsidR="004F20BB">
          <w:rPr>
            <w:noProof/>
            <w:webHidden/>
          </w:rPr>
        </w:r>
        <w:r w:rsidR="004F20BB">
          <w:rPr>
            <w:noProof/>
            <w:webHidden/>
          </w:rPr>
          <w:fldChar w:fldCharType="separate"/>
        </w:r>
        <w:r w:rsidR="004F20BB">
          <w:rPr>
            <w:noProof/>
            <w:webHidden/>
          </w:rPr>
          <w:t>519</w:t>
        </w:r>
        <w:r w:rsidR="004F20BB">
          <w:rPr>
            <w:noProof/>
            <w:webHidden/>
          </w:rPr>
          <w:fldChar w:fldCharType="end"/>
        </w:r>
      </w:hyperlink>
    </w:p>
    <w:p w14:paraId="7BF61C99" w14:textId="6AAA29CB" w:rsidR="004F20BB" w:rsidRDefault="00F322E7">
      <w:pPr>
        <w:pStyle w:val="TOC2"/>
        <w:tabs>
          <w:tab w:val="right" w:leader="dot" w:pos="9350"/>
        </w:tabs>
        <w:rPr>
          <w:rFonts w:asciiTheme="minorHAnsi" w:eastAsiaTheme="minorEastAsia" w:hAnsiTheme="minorHAnsi" w:cstheme="minorBidi"/>
          <w:smallCaps w:val="0"/>
          <w:noProof/>
        </w:rPr>
      </w:pPr>
      <w:hyperlink w:anchor="_Toc47516850" w:history="1">
        <w:r w:rsidR="004F20BB" w:rsidRPr="00DB2EFF">
          <w:rPr>
            <w:rStyle w:val="Hyperlink"/>
            <w:noProof/>
          </w:rPr>
          <w:t>Appendix G: Work Process Flowcharts</w:t>
        </w:r>
        <w:r w:rsidR="004F20BB">
          <w:rPr>
            <w:noProof/>
            <w:webHidden/>
          </w:rPr>
          <w:tab/>
        </w:r>
        <w:r w:rsidR="004F20BB">
          <w:rPr>
            <w:noProof/>
            <w:webHidden/>
          </w:rPr>
          <w:fldChar w:fldCharType="begin"/>
        </w:r>
        <w:r w:rsidR="004F20BB">
          <w:rPr>
            <w:noProof/>
            <w:webHidden/>
          </w:rPr>
          <w:instrText xml:space="preserve"> PAGEREF _Toc47516850 \h </w:instrText>
        </w:r>
        <w:r w:rsidR="004F20BB">
          <w:rPr>
            <w:noProof/>
            <w:webHidden/>
          </w:rPr>
        </w:r>
        <w:r w:rsidR="004F20BB">
          <w:rPr>
            <w:noProof/>
            <w:webHidden/>
          </w:rPr>
          <w:fldChar w:fldCharType="separate"/>
        </w:r>
        <w:r w:rsidR="004F20BB">
          <w:rPr>
            <w:noProof/>
            <w:webHidden/>
          </w:rPr>
          <w:t>521</w:t>
        </w:r>
        <w:r w:rsidR="004F20BB">
          <w:rPr>
            <w:noProof/>
            <w:webHidden/>
          </w:rPr>
          <w:fldChar w:fldCharType="end"/>
        </w:r>
      </w:hyperlink>
    </w:p>
    <w:p w14:paraId="2BB420AE" w14:textId="5E7DD757" w:rsidR="004F20BB" w:rsidRDefault="00F322E7">
      <w:pPr>
        <w:pStyle w:val="TOC2"/>
        <w:tabs>
          <w:tab w:val="right" w:leader="dot" w:pos="9350"/>
        </w:tabs>
        <w:rPr>
          <w:rFonts w:asciiTheme="minorHAnsi" w:eastAsiaTheme="minorEastAsia" w:hAnsiTheme="minorHAnsi" w:cstheme="minorBidi"/>
          <w:smallCaps w:val="0"/>
          <w:noProof/>
        </w:rPr>
      </w:pPr>
      <w:hyperlink w:anchor="_Toc47516851" w:history="1">
        <w:r w:rsidR="004F20BB" w:rsidRPr="00DB2EFF">
          <w:rPr>
            <w:rStyle w:val="Hyperlink"/>
            <w:noProof/>
          </w:rPr>
          <w:t>Appendix H: Frequently Asked Questions</w:t>
        </w:r>
        <w:r w:rsidR="004F20BB">
          <w:rPr>
            <w:noProof/>
            <w:webHidden/>
          </w:rPr>
          <w:tab/>
        </w:r>
        <w:r w:rsidR="004F20BB">
          <w:rPr>
            <w:noProof/>
            <w:webHidden/>
          </w:rPr>
          <w:fldChar w:fldCharType="begin"/>
        </w:r>
        <w:r w:rsidR="004F20BB">
          <w:rPr>
            <w:noProof/>
            <w:webHidden/>
          </w:rPr>
          <w:instrText xml:space="preserve"> PAGEREF _Toc47516851 \h </w:instrText>
        </w:r>
        <w:r w:rsidR="004F20BB">
          <w:rPr>
            <w:noProof/>
            <w:webHidden/>
          </w:rPr>
        </w:r>
        <w:r w:rsidR="004F20BB">
          <w:rPr>
            <w:noProof/>
            <w:webHidden/>
          </w:rPr>
          <w:fldChar w:fldCharType="separate"/>
        </w:r>
        <w:r w:rsidR="004F20BB">
          <w:rPr>
            <w:noProof/>
            <w:webHidden/>
          </w:rPr>
          <w:t>531</w:t>
        </w:r>
        <w:r w:rsidR="004F20BB">
          <w:rPr>
            <w:noProof/>
            <w:webHidden/>
          </w:rPr>
          <w:fldChar w:fldCharType="end"/>
        </w:r>
      </w:hyperlink>
    </w:p>
    <w:p w14:paraId="385679DE" w14:textId="679DA7F1" w:rsidR="004F20BB" w:rsidRDefault="00F322E7">
      <w:pPr>
        <w:pStyle w:val="TOC2"/>
        <w:tabs>
          <w:tab w:val="right" w:leader="dot" w:pos="9350"/>
        </w:tabs>
        <w:rPr>
          <w:rFonts w:asciiTheme="minorHAnsi" w:eastAsiaTheme="minorEastAsia" w:hAnsiTheme="minorHAnsi" w:cstheme="minorBidi"/>
          <w:smallCaps w:val="0"/>
          <w:noProof/>
        </w:rPr>
      </w:pPr>
      <w:hyperlink w:anchor="_Toc47516852" w:history="1">
        <w:r w:rsidR="004F20BB" w:rsidRPr="00DB2EFF">
          <w:rPr>
            <w:rStyle w:val="Hyperlink"/>
            <w:noProof/>
          </w:rPr>
          <w:t>Appendix I: Common Error Corrections</w:t>
        </w:r>
        <w:r w:rsidR="004F20BB">
          <w:rPr>
            <w:noProof/>
            <w:webHidden/>
          </w:rPr>
          <w:tab/>
        </w:r>
        <w:r w:rsidR="004F20BB">
          <w:rPr>
            <w:noProof/>
            <w:webHidden/>
          </w:rPr>
          <w:fldChar w:fldCharType="begin"/>
        </w:r>
        <w:r w:rsidR="004F20BB">
          <w:rPr>
            <w:noProof/>
            <w:webHidden/>
          </w:rPr>
          <w:instrText xml:space="preserve"> PAGEREF _Toc47516852 \h </w:instrText>
        </w:r>
        <w:r w:rsidR="004F20BB">
          <w:rPr>
            <w:noProof/>
            <w:webHidden/>
          </w:rPr>
        </w:r>
        <w:r w:rsidR="004F20BB">
          <w:rPr>
            <w:noProof/>
            <w:webHidden/>
          </w:rPr>
          <w:fldChar w:fldCharType="separate"/>
        </w:r>
        <w:r w:rsidR="004F20BB">
          <w:rPr>
            <w:noProof/>
            <w:webHidden/>
          </w:rPr>
          <w:t>533</w:t>
        </w:r>
        <w:r w:rsidR="004F20BB">
          <w:rPr>
            <w:noProof/>
            <w:webHidden/>
          </w:rPr>
          <w:fldChar w:fldCharType="end"/>
        </w:r>
      </w:hyperlink>
    </w:p>
    <w:p w14:paraId="688E1E80" w14:textId="7E89EA3B" w:rsidR="004F20BB" w:rsidRDefault="00F322E7">
      <w:pPr>
        <w:pStyle w:val="TOC3"/>
        <w:tabs>
          <w:tab w:val="right" w:leader="dot" w:pos="9350"/>
        </w:tabs>
        <w:rPr>
          <w:rFonts w:asciiTheme="minorHAnsi" w:eastAsiaTheme="minorEastAsia" w:hAnsiTheme="minorHAnsi" w:cstheme="minorBidi"/>
          <w:noProof/>
        </w:rPr>
      </w:pPr>
      <w:hyperlink w:anchor="_Toc47516853" w:history="1">
        <w:r w:rsidR="004F20BB" w:rsidRPr="00DB2EFF">
          <w:rPr>
            <w:rStyle w:val="Hyperlink"/>
            <w:noProof/>
          </w:rPr>
          <w:t>Correct Patient Test Results</w:t>
        </w:r>
        <w:r w:rsidR="004F20BB">
          <w:rPr>
            <w:noProof/>
            <w:webHidden/>
          </w:rPr>
          <w:tab/>
        </w:r>
        <w:r w:rsidR="004F20BB">
          <w:rPr>
            <w:noProof/>
            <w:webHidden/>
          </w:rPr>
          <w:fldChar w:fldCharType="begin"/>
        </w:r>
        <w:r w:rsidR="004F20BB">
          <w:rPr>
            <w:noProof/>
            <w:webHidden/>
          </w:rPr>
          <w:instrText xml:space="preserve"> PAGEREF _Toc47516853 \h </w:instrText>
        </w:r>
        <w:r w:rsidR="004F20BB">
          <w:rPr>
            <w:noProof/>
            <w:webHidden/>
          </w:rPr>
        </w:r>
        <w:r w:rsidR="004F20BB">
          <w:rPr>
            <w:noProof/>
            <w:webHidden/>
          </w:rPr>
          <w:fldChar w:fldCharType="separate"/>
        </w:r>
        <w:r w:rsidR="004F20BB">
          <w:rPr>
            <w:noProof/>
            <w:webHidden/>
          </w:rPr>
          <w:t>533</w:t>
        </w:r>
        <w:r w:rsidR="004F20BB">
          <w:rPr>
            <w:noProof/>
            <w:webHidden/>
          </w:rPr>
          <w:fldChar w:fldCharType="end"/>
        </w:r>
      </w:hyperlink>
    </w:p>
    <w:p w14:paraId="2F350113" w14:textId="1552DE4C" w:rsidR="004F20BB" w:rsidRDefault="00F322E7">
      <w:pPr>
        <w:pStyle w:val="TOC3"/>
        <w:tabs>
          <w:tab w:val="right" w:leader="dot" w:pos="9350"/>
        </w:tabs>
        <w:rPr>
          <w:rFonts w:asciiTheme="minorHAnsi" w:eastAsiaTheme="minorEastAsia" w:hAnsiTheme="minorHAnsi" w:cstheme="minorBidi"/>
          <w:noProof/>
        </w:rPr>
      </w:pPr>
      <w:hyperlink w:anchor="_Toc47516854" w:history="1">
        <w:r w:rsidR="004F20BB" w:rsidRPr="00DB2EFF">
          <w:rPr>
            <w:rStyle w:val="Hyperlink"/>
            <w:noProof/>
          </w:rPr>
          <w:t>Invalidate Test Results</w:t>
        </w:r>
        <w:r w:rsidR="004F20BB">
          <w:rPr>
            <w:noProof/>
            <w:webHidden/>
          </w:rPr>
          <w:tab/>
        </w:r>
        <w:r w:rsidR="004F20BB">
          <w:rPr>
            <w:noProof/>
            <w:webHidden/>
          </w:rPr>
          <w:fldChar w:fldCharType="begin"/>
        </w:r>
        <w:r w:rsidR="004F20BB">
          <w:rPr>
            <w:noProof/>
            <w:webHidden/>
          </w:rPr>
          <w:instrText xml:space="preserve"> PAGEREF _Toc47516854 \h </w:instrText>
        </w:r>
        <w:r w:rsidR="004F20BB">
          <w:rPr>
            <w:noProof/>
            <w:webHidden/>
          </w:rPr>
        </w:r>
        <w:r w:rsidR="004F20BB">
          <w:rPr>
            <w:noProof/>
            <w:webHidden/>
          </w:rPr>
          <w:fldChar w:fldCharType="separate"/>
        </w:r>
        <w:r w:rsidR="004F20BB">
          <w:rPr>
            <w:noProof/>
            <w:webHidden/>
          </w:rPr>
          <w:t>533</w:t>
        </w:r>
        <w:r w:rsidR="004F20BB">
          <w:rPr>
            <w:noProof/>
            <w:webHidden/>
          </w:rPr>
          <w:fldChar w:fldCharType="end"/>
        </w:r>
      </w:hyperlink>
    </w:p>
    <w:p w14:paraId="1F76F0F3" w14:textId="04DB19E3" w:rsidR="004F20BB" w:rsidRDefault="00F322E7">
      <w:pPr>
        <w:pStyle w:val="TOC3"/>
        <w:tabs>
          <w:tab w:val="right" w:leader="dot" w:pos="9350"/>
        </w:tabs>
        <w:rPr>
          <w:rFonts w:asciiTheme="minorHAnsi" w:eastAsiaTheme="minorEastAsia" w:hAnsiTheme="minorHAnsi" w:cstheme="minorBidi"/>
          <w:noProof/>
        </w:rPr>
      </w:pPr>
      <w:hyperlink w:anchor="_Toc47516855" w:history="1">
        <w:r w:rsidR="004F20BB" w:rsidRPr="00DB2EFF">
          <w:rPr>
            <w:rStyle w:val="Hyperlink"/>
            <w:noProof/>
          </w:rPr>
          <w:t>UN-Pooling a Pooled Unit (in the computer only)</w:t>
        </w:r>
        <w:r w:rsidR="004F20BB">
          <w:rPr>
            <w:noProof/>
            <w:webHidden/>
          </w:rPr>
          <w:tab/>
        </w:r>
        <w:r w:rsidR="004F20BB">
          <w:rPr>
            <w:noProof/>
            <w:webHidden/>
          </w:rPr>
          <w:fldChar w:fldCharType="begin"/>
        </w:r>
        <w:r w:rsidR="004F20BB">
          <w:rPr>
            <w:noProof/>
            <w:webHidden/>
          </w:rPr>
          <w:instrText xml:space="preserve"> PAGEREF _Toc47516855 \h </w:instrText>
        </w:r>
        <w:r w:rsidR="004F20BB">
          <w:rPr>
            <w:noProof/>
            <w:webHidden/>
          </w:rPr>
        </w:r>
        <w:r w:rsidR="004F20BB">
          <w:rPr>
            <w:noProof/>
            <w:webHidden/>
          </w:rPr>
          <w:fldChar w:fldCharType="separate"/>
        </w:r>
        <w:r w:rsidR="004F20BB">
          <w:rPr>
            <w:noProof/>
            <w:webHidden/>
          </w:rPr>
          <w:t>534</w:t>
        </w:r>
        <w:r w:rsidR="004F20BB">
          <w:rPr>
            <w:noProof/>
            <w:webHidden/>
          </w:rPr>
          <w:fldChar w:fldCharType="end"/>
        </w:r>
      </w:hyperlink>
    </w:p>
    <w:p w14:paraId="310652D9" w14:textId="232F1C90" w:rsidR="004F20BB" w:rsidRDefault="00F322E7">
      <w:pPr>
        <w:pStyle w:val="TOC3"/>
        <w:tabs>
          <w:tab w:val="right" w:leader="dot" w:pos="9350"/>
        </w:tabs>
        <w:rPr>
          <w:rFonts w:asciiTheme="minorHAnsi" w:eastAsiaTheme="minorEastAsia" w:hAnsiTheme="minorHAnsi" w:cstheme="minorBidi"/>
          <w:noProof/>
        </w:rPr>
      </w:pPr>
      <w:hyperlink w:anchor="_Toc47516856" w:history="1">
        <w:r w:rsidR="004F20BB" w:rsidRPr="00DB2EFF">
          <w:rPr>
            <w:rStyle w:val="Hyperlink"/>
            <w:noProof/>
          </w:rPr>
          <w:t>UN-Modifying a Unit</w:t>
        </w:r>
        <w:r w:rsidR="004F20BB">
          <w:rPr>
            <w:noProof/>
            <w:webHidden/>
          </w:rPr>
          <w:tab/>
        </w:r>
        <w:r w:rsidR="004F20BB">
          <w:rPr>
            <w:noProof/>
            <w:webHidden/>
          </w:rPr>
          <w:fldChar w:fldCharType="begin"/>
        </w:r>
        <w:r w:rsidR="004F20BB">
          <w:rPr>
            <w:noProof/>
            <w:webHidden/>
          </w:rPr>
          <w:instrText xml:space="preserve"> PAGEREF _Toc47516856 \h </w:instrText>
        </w:r>
        <w:r w:rsidR="004F20BB">
          <w:rPr>
            <w:noProof/>
            <w:webHidden/>
          </w:rPr>
        </w:r>
        <w:r w:rsidR="004F20BB">
          <w:rPr>
            <w:noProof/>
            <w:webHidden/>
          </w:rPr>
          <w:fldChar w:fldCharType="separate"/>
        </w:r>
        <w:r w:rsidR="004F20BB">
          <w:rPr>
            <w:noProof/>
            <w:webHidden/>
          </w:rPr>
          <w:t>534</w:t>
        </w:r>
        <w:r w:rsidR="004F20BB">
          <w:rPr>
            <w:noProof/>
            <w:webHidden/>
          </w:rPr>
          <w:fldChar w:fldCharType="end"/>
        </w:r>
      </w:hyperlink>
    </w:p>
    <w:p w14:paraId="5AA52DFD" w14:textId="706BE3C6" w:rsidR="004F20BB" w:rsidRDefault="00F322E7">
      <w:pPr>
        <w:pStyle w:val="TOC2"/>
        <w:tabs>
          <w:tab w:val="right" w:leader="dot" w:pos="9350"/>
        </w:tabs>
        <w:rPr>
          <w:rFonts w:asciiTheme="minorHAnsi" w:eastAsiaTheme="minorEastAsia" w:hAnsiTheme="minorHAnsi" w:cstheme="minorBidi"/>
          <w:smallCaps w:val="0"/>
          <w:noProof/>
        </w:rPr>
      </w:pPr>
      <w:hyperlink w:anchor="_Toc47516857" w:history="1">
        <w:r w:rsidR="004F20BB" w:rsidRPr="00DB2EFF">
          <w:rPr>
            <w:rStyle w:val="Hyperlink"/>
            <w:noProof/>
          </w:rPr>
          <w:t>Appendix J: Recommended Report Usage</w:t>
        </w:r>
        <w:r w:rsidR="004F20BB">
          <w:rPr>
            <w:noProof/>
            <w:webHidden/>
          </w:rPr>
          <w:tab/>
        </w:r>
        <w:r w:rsidR="004F20BB">
          <w:rPr>
            <w:noProof/>
            <w:webHidden/>
          </w:rPr>
          <w:fldChar w:fldCharType="begin"/>
        </w:r>
        <w:r w:rsidR="004F20BB">
          <w:rPr>
            <w:noProof/>
            <w:webHidden/>
          </w:rPr>
          <w:instrText xml:space="preserve"> PAGEREF _Toc47516857 \h </w:instrText>
        </w:r>
        <w:r w:rsidR="004F20BB">
          <w:rPr>
            <w:noProof/>
            <w:webHidden/>
          </w:rPr>
        </w:r>
        <w:r w:rsidR="004F20BB">
          <w:rPr>
            <w:noProof/>
            <w:webHidden/>
          </w:rPr>
          <w:fldChar w:fldCharType="separate"/>
        </w:r>
        <w:r w:rsidR="004F20BB">
          <w:rPr>
            <w:noProof/>
            <w:webHidden/>
          </w:rPr>
          <w:t>535</w:t>
        </w:r>
        <w:r w:rsidR="004F20BB">
          <w:rPr>
            <w:noProof/>
            <w:webHidden/>
          </w:rPr>
          <w:fldChar w:fldCharType="end"/>
        </w:r>
      </w:hyperlink>
    </w:p>
    <w:p w14:paraId="0DE236FA" w14:textId="59DB66DB" w:rsidR="004F20BB" w:rsidRDefault="00F322E7">
      <w:pPr>
        <w:pStyle w:val="TOC2"/>
        <w:tabs>
          <w:tab w:val="right" w:leader="dot" w:pos="9350"/>
        </w:tabs>
        <w:rPr>
          <w:rFonts w:asciiTheme="minorHAnsi" w:eastAsiaTheme="minorEastAsia" w:hAnsiTheme="minorHAnsi" w:cstheme="minorBidi"/>
          <w:smallCaps w:val="0"/>
          <w:noProof/>
        </w:rPr>
      </w:pPr>
      <w:hyperlink w:anchor="_Toc47516858" w:history="1">
        <w:r w:rsidR="004F20BB" w:rsidRPr="00DB2EFF">
          <w:rPr>
            <w:rStyle w:val="Hyperlink"/>
            <w:noProof/>
          </w:rPr>
          <w:t>Appendix K: Barcode Scanner Configuration and Troubleshooting</w:t>
        </w:r>
        <w:r w:rsidR="004F20BB">
          <w:rPr>
            <w:noProof/>
            <w:webHidden/>
          </w:rPr>
          <w:tab/>
        </w:r>
        <w:r w:rsidR="004F20BB">
          <w:rPr>
            <w:noProof/>
            <w:webHidden/>
          </w:rPr>
          <w:fldChar w:fldCharType="begin"/>
        </w:r>
        <w:r w:rsidR="004F20BB">
          <w:rPr>
            <w:noProof/>
            <w:webHidden/>
          </w:rPr>
          <w:instrText xml:space="preserve"> PAGEREF _Toc47516858 \h </w:instrText>
        </w:r>
        <w:r w:rsidR="004F20BB">
          <w:rPr>
            <w:noProof/>
            <w:webHidden/>
          </w:rPr>
        </w:r>
        <w:r w:rsidR="004F20BB">
          <w:rPr>
            <w:noProof/>
            <w:webHidden/>
          </w:rPr>
          <w:fldChar w:fldCharType="separate"/>
        </w:r>
        <w:r w:rsidR="004F20BB">
          <w:rPr>
            <w:noProof/>
            <w:webHidden/>
          </w:rPr>
          <w:t>537</w:t>
        </w:r>
        <w:r w:rsidR="004F20BB">
          <w:rPr>
            <w:noProof/>
            <w:webHidden/>
          </w:rPr>
          <w:fldChar w:fldCharType="end"/>
        </w:r>
      </w:hyperlink>
    </w:p>
    <w:p w14:paraId="3A63D629" w14:textId="7C471232" w:rsidR="004F20BB" w:rsidRDefault="00F322E7">
      <w:pPr>
        <w:pStyle w:val="TOC2"/>
        <w:tabs>
          <w:tab w:val="right" w:leader="dot" w:pos="9350"/>
        </w:tabs>
        <w:rPr>
          <w:rFonts w:asciiTheme="minorHAnsi" w:eastAsiaTheme="minorEastAsia" w:hAnsiTheme="minorHAnsi" w:cstheme="minorBidi"/>
          <w:smallCaps w:val="0"/>
          <w:noProof/>
        </w:rPr>
      </w:pPr>
      <w:hyperlink w:anchor="_Toc47516859" w:history="1">
        <w:r w:rsidR="004F20BB" w:rsidRPr="00DB2EFF">
          <w:rPr>
            <w:rStyle w:val="Hyperlink"/>
            <w:noProof/>
          </w:rPr>
          <w:t>Appendix L: System Responses to Active Transfusion Requirements in Select Unit and Issue Blood Component</w:t>
        </w:r>
        <w:r w:rsidR="004F20BB">
          <w:rPr>
            <w:noProof/>
            <w:webHidden/>
          </w:rPr>
          <w:tab/>
        </w:r>
        <w:r w:rsidR="004F20BB">
          <w:rPr>
            <w:noProof/>
            <w:webHidden/>
          </w:rPr>
          <w:fldChar w:fldCharType="begin"/>
        </w:r>
        <w:r w:rsidR="004F20BB">
          <w:rPr>
            <w:noProof/>
            <w:webHidden/>
          </w:rPr>
          <w:instrText xml:space="preserve"> PAGEREF _Toc47516859 \h </w:instrText>
        </w:r>
        <w:r w:rsidR="004F20BB">
          <w:rPr>
            <w:noProof/>
            <w:webHidden/>
          </w:rPr>
        </w:r>
        <w:r w:rsidR="004F20BB">
          <w:rPr>
            <w:noProof/>
            <w:webHidden/>
          </w:rPr>
          <w:fldChar w:fldCharType="separate"/>
        </w:r>
        <w:r w:rsidR="004F20BB">
          <w:rPr>
            <w:noProof/>
            <w:webHidden/>
          </w:rPr>
          <w:t>539</w:t>
        </w:r>
        <w:r w:rsidR="004F20BB">
          <w:rPr>
            <w:noProof/>
            <w:webHidden/>
          </w:rPr>
          <w:fldChar w:fldCharType="end"/>
        </w:r>
      </w:hyperlink>
    </w:p>
    <w:p w14:paraId="231BA55C" w14:textId="1D8A5B61" w:rsidR="004F20BB" w:rsidRDefault="00F322E7">
      <w:pPr>
        <w:pStyle w:val="TOC2"/>
        <w:tabs>
          <w:tab w:val="right" w:leader="dot" w:pos="9350"/>
        </w:tabs>
        <w:rPr>
          <w:rFonts w:asciiTheme="minorHAnsi" w:eastAsiaTheme="minorEastAsia" w:hAnsiTheme="minorHAnsi" w:cstheme="minorBidi"/>
          <w:smallCaps w:val="0"/>
          <w:noProof/>
        </w:rPr>
      </w:pPr>
      <w:hyperlink w:anchor="_Toc47516860" w:history="1">
        <w:r w:rsidR="004F20BB" w:rsidRPr="00DB2EFF">
          <w:rPr>
            <w:rStyle w:val="Hyperlink"/>
            <w:noProof/>
          </w:rPr>
          <w:t>Appendix M: Workload Process Mapping to Application Option Table</w:t>
        </w:r>
        <w:r w:rsidR="004F20BB">
          <w:rPr>
            <w:noProof/>
            <w:webHidden/>
          </w:rPr>
          <w:tab/>
        </w:r>
        <w:r w:rsidR="004F20BB">
          <w:rPr>
            <w:noProof/>
            <w:webHidden/>
          </w:rPr>
          <w:fldChar w:fldCharType="begin"/>
        </w:r>
        <w:r w:rsidR="004F20BB">
          <w:rPr>
            <w:noProof/>
            <w:webHidden/>
          </w:rPr>
          <w:instrText xml:space="preserve"> PAGEREF _Toc47516860 \h </w:instrText>
        </w:r>
        <w:r w:rsidR="004F20BB">
          <w:rPr>
            <w:noProof/>
            <w:webHidden/>
          </w:rPr>
        </w:r>
        <w:r w:rsidR="004F20BB">
          <w:rPr>
            <w:noProof/>
            <w:webHidden/>
          </w:rPr>
          <w:fldChar w:fldCharType="separate"/>
        </w:r>
        <w:r w:rsidR="004F20BB">
          <w:rPr>
            <w:noProof/>
            <w:webHidden/>
          </w:rPr>
          <w:t>549</w:t>
        </w:r>
        <w:r w:rsidR="004F20BB">
          <w:rPr>
            <w:noProof/>
            <w:webHidden/>
          </w:rPr>
          <w:fldChar w:fldCharType="end"/>
        </w:r>
      </w:hyperlink>
    </w:p>
    <w:p w14:paraId="76A37251" w14:textId="34EE73D1" w:rsidR="004F20BB" w:rsidRDefault="00F322E7">
      <w:pPr>
        <w:pStyle w:val="TOC1"/>
        <w:tabs>
          <w:tab w:val="right" w:leader="dot" w:pos="9350"/>
        </w:tabs>
        <w:rPr>
          <w:rFonts w:asciiTheme="minorHAnsi" w:eastAsiaTheme="minorEastAsia" w:hAnsiTheme="minorHAnsi" w:cstheme="minorBidi"/>
          <w:b w:val="0"/>
          <w:caps w:val="0"/>
          <w:noProof/>
        </w:rPr>
      </w:pPr>
      <w:hyperlink w:anchor="_Toc47516861" w:history="1">
        <w:r w:rsidR="004F20BB" w:rsidRPr="00DB2EFF">
          <w:rPr>
            <w:rStyle w:val="Hyperlink"/>
            <w:noProof/>
          </w:rPr>
          <w:t>Index</w:t>
        </w:r>
        <w:r w:rsidR="004F20BB">
          <w:rPr>
            <w:noProof/>
            <w:webHidden/>
          </w:rPr>
          <w:tab/>
        </w:r>
        <w:r w:rsidR="004F20BB">
          <w:rPr>
            <w:noProof/>
            <w:webHidden/>
          </w:rPr>
          <w:fldChar w:fldCharType="begin"/>
        </w:r>
        <w:r w:rsidR="004F20BB">
          <w:rPr>
            <w:noProof/>
            <w:webHidden/>
          </w:rPr>
          <w:instrText xml:space="preserve"> PAGEREF _Toc47516861 \h </w:instrText>
        </w:r>
        <w:r w:rsidR="004F20BB">
          <w:rPr>
            <w:noProof/>
            <w:webHidden/>
          </w:rPr>
        </w:r>
        <w:r w:rsidR="004F20BB">
          <w:rPr>
            <w:noProof/>
            <w:webHidden/>
          </w:rPr>
          <w:fldChar w:fldCharType="separate"/>
        </w:r>
        <w:r w:rsidR="004F20BB">
          <w:rPr>
            <w:noProof/>
            <w:webHidden/>
          </w:rPr>
          <w:t>557</w:t>
        </w:r>
        <w:r w:rsidR="004F20BB">
          <w:rPr>
            <w:noProof/>
            <w:webHidden/>
          </w:rPr>
          <w:fldChar w:fldCharType="end"/>
        </w:r>
      </w:hyperlink>
    </w:p>
    <w:p w14:paraId="77657A98" w14:textId="30590342" w:rsidR="004F20BB" w:rsidRDefault="00F322E7">
      <w:pPr>
        <w:pStyle w:val="TOC1"/>
        <w:tabs>
          <w:tab w:val="right" w:leader="dot" w:pos="9350"/>
        </w:tabs>
        <w:rPr>
          <w:rFonts w:asciiTheme="minorHAnsi" w:eastAsiaTheme="minorEastAsia" w:hAnsiTheme="minorHAnsi" w:cstheme="minorBidi"/>
          <w:b w:val="0"/>
          <w:caps w:val="0"/>
          <w:noProof/>
        </w:rPr>
      </w:pPr>
      <w:hyperlink w:anchor="_Toc47516862" w:history="1">
        <w:r w:rsidR="004F20BB" w:rsidRPr="00DB2EFF">
          <w:rPr>
            <w:rStyle w:val="Hyperlink"/>
            <w:noProof/>
          </w:rPr>
          <w:t>Revision History</w:t>
        </w:r>
        <w:r w:rsidR="004F20BB">
          <w:rPr>
            <w:noProof/>
            <w:webHidden/>
          </w:rPr>
          <w:tab/>
        </w:r>
        <w:r w:rsidR="004F20BB">
          <w:rPr>
            <w:noProof/>
            <w:webHidden/>
          </w:rPr>
          <w:fldChar w:fldCharType="begin"/>
        </w:r>
        <w:r w:rsidR="004F20BB">
          <w:rPr>
            <w:noProof/>
            <w:webHidden/>
          </w:rPr>
          <w:instrText xml:space="preserve"> PAGEREF _Toc47516862 \h </w:instrText>
        </w:r>
        <w:r w:rsidR="004F20BB">
          <w:rPr>
            <w:noProof/>
            <w:webHidden/>
          </w:rPr>
        </w:r>
        <w:r w:rsidR="004F20BB">
          <w:rPr>
            <w:noProof/>
            <w:webHidden/>
          </w:rPr>
          <w:fldChar w:fldCharType="separate"/>
        </w:r>
        <w:r w:rsidR="004F20BB">
          <w:rPr>
            <w:noProof/>
            <w:webHidden/>
          </w:rPr>
          <w:t>563</w:t>
        </w:r>
        <w:r w:rsidR="004F20BB">
          <w:rPr>
            <w:noProof/>
            <w:webHidden/>
          </w:rPr>
          <w:fldChar w:fldCharType="end"/>
        </w:r>
      </w:hyperlink>
    </w:p>
    <w:p w14:paraId="1085FCAA" w14:textId="0B1D0C16" w:rsidR="00220380" w:rsidRDefault="002A21AE">
      <w:pPr>
        <w:pStyle w:val="Heading1"/>
        <w:rPr>
          <w:rFonts w:ascii="Times New Roman" w:hAnsi="Times New Roman" w:cs="Times New Roman"/>
          <w:kern w:val="0"/>
          <w:sz w:val="22"/>
          <w:szCs w:val="22"/>
        </w:rPr>
      </w:pPr>
      <w:r>
        <w:rPr>
          <w:rFonts w:ascii="Times New Roman" w:hAnsi="Times New Roman" w:cs="Times New Roman"/>
          <w:kern w:val="0"/>
          <w:sz w:val="22"/>
          <w:szCs w:val="22"/>
        </w:rPr>
        <w:fldChar w:fldCharType="end"/>
      </w:r>
    </w:p>
    <w:p w14:paraId="7F3AAE5E" w14:textId="77777777" w:rsidR="002A21AE" w:rsidRPr="004E21D6" w:rsidRDefault="002A21AE" w:rsidP="00EF233F">
      <w:pPr>
        <w:rPr>
          <w:sz w:val="22"/>
          <w:szCs w:val="22"/>
        </w:rPr>
        <w:sectPr w:rsidR="002A21AE" w:rsidRPr="004E21D6" w:rsidSect="00EE771C">
          <w:footerReference w:type="default" r:id="rId20"/>
          <w:type w:val="nextColumn"/>
          <w:pgSz w:w="12240" w:h="15840" w:code="1"/>
          <w:pgMar w:top="1440" w:right="1440" w:bottom="1440" w:left="1440" w:header="720" w:footer="720" w:gutter="0"/>
          <w:pgNumType w:fmt="lowerRoman" w:start="1"/>
          <w:cols w:space="720"/>
          <w:docGrid w:linePitch="360"/>
        </w:sectPr>
      </w:pPr>
    </w:p>
    <w:p w14:paraId="0940373A" w14:textId="4B92BB74" w:rsidR="002A21AE" w:rsidRPr="00BF677A" w:rsidRDefault="002A21AE" w:rsidP="00061AEC">
      <w:pPr>
        <w:pStyle w:val="Heading1"/>
        <w:rPr>
          <w:rFonts w:ascii="Arial Bold" w:hAnsi="Arial Bold"/>
        </w:rPr>
      </w:pPr>
      <w:bookmarkStart w:id="1" w:name="_Toc47516630"/>
      <w:r>
        <w:lastRenderedPageBreak/>
        <w:t>Introduction</w:t>
      </w:r>
      <w:bookmarkEnd w:id="1"/>
      <w:r>
        <w:fldChar w:fldCharType="begin"/>
      </w:r>
      <w:r>
        <w:instrText xml:space="preserve"> XE </w:instrText>
      </w:r>
      <w:r w:rsidR="00FA7E65">
        <w:instrText>“</w:instrText>
      </w:r>
      <w:r>
        <w:instrText>Introduction</w:instrText>
      </w:r>
      <w:r w:rsidR="00FA7E65">
        <w:instrText>”</w:instrText>
      </w:r>
      <w:r w:rsidR="00DE2677">
        <w:instrText xml:space="preserve"> </w:instrText>
      </w:r>
      <w:r>
        <w:fldChar w:fldCharType="end"/>
      </w:r>
    </w:p>
    <w:p w14:paraId="7F934EE9" w14:textId="77777777" w:rsidR="004F6DF9" w:rsidRDefault="004F6DF9" w:rsidP="004F6DF9">
      <w:pPr>
        <w:pStyle w:val="BodyText"/>
      </w:pPr>
      <w:bookmarkStart w:id="2" w:name="OLE_LINK41"/>
      <w:bookmarkStart w:id="3" w:name="OLE_LINK42"/>
      <w:bookmarkStart w:id="4" w:name="OLE_LINK7"/>
      <w:bookmarkStart w:id="5" w:name="OLE_LINK8"/>
      <w:r>
        <w:t>VistA Blood Establishment Computer Software (VBECS) is a computer software application that manages transfusion service activities. The purpose of VBECS is to automate the documentation and record keeping of selected daily activities of the transfusion service.</w:t>
      </w:r>
    </w:p>
    <w:p w14:paraId="51472C3E" w14:textId="77777777" w:rsidR="004F6DF9" w:rsidRDefault="004F6DF9" w:rsidP="004F6DF9">
      <w:pPr>
        <w:pStyle w:val="BodyText"/>
      </w:pPr>
      <w:r>
        <w:t>VBECS accommodates:</w:t>
      </w:r>
    </w:p>
    <w:p w14:paraId="32791A12" w14:textId="77777777" w:rsidR="004F6DF9" w:rsidRDefault="004F6DF9" w:rsidP="004F6DF9">
      <w:pPr>
        <w:pStyle w:val="ListBullet"/>
      </w:pPr>
      <w:r>
        <w:t>The processing of blood component shipments.</w:t>
      </w:r>
    </w:p>
    <w:p w14:paraId="6AE9EC51" w14:textId="77777777" w:rsidR="004F6DF9" w:rsidRDefault="004F6DF9" w:rsidP="004F6DF9">
      <w:pPr>
        <w:pStyle w:val="ListBullet"/>
      </w:pPr>
      <w:r>
        <w:t>The modification of blood units.</w:t>
      </w:r>
    </w:p>
    <w:p w14:paraId="2B1BE014" w14:textId="77777777" w:rsidR="004F6DF9" w:rsidRDefault="004F6DF9" w:rsidP="004F6DF9">
      <w:pPr>
        <w:pStyle w:val="ListBullet"/>
      </w:pPr>
      <w:r>
        <w:t>Electronic receipt of orders from the Department of Veterans Affairs VistA computer system.</w:t>
      </w:r>
    </w:p>
    <w:p w14:paraId="67703475" w14:textId="77777777" w:rsidR="004F6DF9" w:rsidRDefault="004F6DF9" w:rsidP="004F6DF9">
      <w:pPr>
        <w:pStyle w:val="ListBullet"/>
      </w:pPr>
      <w:r>
        <w:t>The recording of patient compatibility testing, transfusions, transfusion processing requirements, and special instructions.</w:t>
      </w:r>
    </w:p>
    <w:p w14:paraId="56995A7F" w14:textId="77777777" w:rsidR="004F6DF9" w:rsidRDefault="004F6DF9" w:rsidP="004F6DF9">
      <w:pPr>
        <w:pStyle w:val="BodyText"/>
      </w:pPr>
      <w:r>
        <w:t>VBECS does not support the collection of blood products (donor module).</w:t>
      </w:r>
    </w:p>
    <w:p w14:paraId="5431ACDA" w14:textId="77777777" w:rsidR="00473130" w:rsidRDefault="00473130" w:rsidP="00473130">
      <w:pPr>
        <w:pStyle w:val="BodyText"/>
      </w:pPr>
      <w:r>
        <w:t>VBECS is an improved Blood Bank application that facilitates ongoing compliance with Food and Drug Administration (FDA) standards for m</w:t>
      </w:r>
      <w:r w:rsidR="009E2D49">
        <w:t>edical devices and</w:t>
      </w:r>
      <w:r w:rsidR="00A83DCA">
        <w:t xml:space="preserve"> enhances the Department of Veterans Affairs (VA</w:t>
      </w:r>
      <w:r>
        <w:t>s</w:t>
      </w:r>
      <w:r w:rsidR="00A83DCA">
        <w:t>)</w:t>
      </w:r>
      <w:r>
        <w:t xml:space="preserve"> ability to produce high-quality blood products and services to veterans. The system follows blood bank standards, standards of national accrediting agencies, FDA regulations, and VA policies.</w:t>
      </w:r>
    </w:p>
    <w:p w14:paraId="10C1048F" w14:textId="77777777" w:rsidR="0045199A" w:rsidRDefault="0045199A" w:rsidP="0045199A">
      <w:pPr>
        <w:pStyle w:val="Heading4"/>
      </w:pPr>
      <w:r>
        <w:t xml:space="preserve">Limitations and Restrictions </w:t>
      </w:r>
    </w:p>
    <w:p w14:paraId="57D8A1DD" w14:textId="77777777" w:rsidR="0045199A" w:rsidRPr="0045199A" w:rsidRDefault="0045199A" w:rsidP="0045199A">
      <w:pPr>
        <w:pStyle w:val="Heading4"/>
        <w:rPr>
          <w:rFonts w:ascii="Times New Roman" w:hAnsi="Times New Roman"/>
          <w:b w:val="0"/>
          <w:spacing w:val="-5"/>
          <w:szCs w:val="22"/>
        </w:rPr>
      </w:pPr>
      <w:r w:rsidRPr="0045199A">
        <w:rPr>
          <w:rFonts w:ascii="Times New Roman" w:hAnsi="Times New Roman"/>
        </w:rPr>
        <w:t>VBECS does not support:</w:t>
      </w:r>
      <w:r w:rsidRPr="0045199A">
        <w:rPr>
          <w:rFonts w:ascii="Times New Roman" w:hAnsi="Times New Roman"/>
          <w:vanish/>
        </w:rPr>
        <w:t>DR 5105</w:t>
      </w:r>
    </w:p>
    <w:p w14:paraId="2CC672CE" w14:textId="77777777" w:rsidR="0045199A" w:rsidRPr="005E26A6" w:rsidRDefault="0045199A" w:rsidP="0045199A">
      <w:pPr>
        <w:pStyle w:val="ListBullet"/>
      </w:pPr>
      <w:r>
        <w:t>Blood dono</w:t>
      </w:r>
      <w:r w:rsidRPr="005E26A6">
        <w:t>r collection activities</w:t>
      </w:r>
      <w:r>
        <w:t xml:space="preserve"> (donor module)</w:t>
      </w:r>
    </w:p>
    <w:p w14:paraId="542F024E" w14:textId="77777777" w:rsidR="0045199A" w:rsidRPr="005E26A6" w:rsidRDefault="0045199A" w:rsidP="0045199A">
      <w:pPr>
        <w:pStyle w:val="ListBullet"/>
      </w:pPr>
      <w:r w:rsidRPr="005E26A6">
        <w:t>Direct data entry of antibody identification</w:t>
      </w:r>
    </w:p>
    <w:p w14:paraId="2A785064" w14:textId="77777777" w:rsidR="0045199A" w:rsidRPr="005E26A6" w:rsidRDefault="0045199A" w:rsidP="0045199A">
      <w:pPr>
        <w:pStyle w:val="ListBullet"/>
      </w:pPr>
      <w:r w:rsidRPr="005E26A6">
        <w:t xml:space="preserve">Direct data entry of transfusion reaction workups </w:t>
      </w:r>
    </w:p>
    <w:p w14:paraId="64B0CEF0" w14:textId="77777777" w:rsidR="0045199A" w:rsidRPr="005E26A6" w:rsidRDefault="0045199A" w:rsidP="0045199A">
      <w:pPr>
        <w:pStyle w:val="ListBullet"/>
      </w:pPr>
      <w:r w:rsidRPr="005E26A6">
        <w:t>Patient testing, transfusions, and blood components recorded in Legacy VistA are not available in VBECS</w:t>
      </w:r>
    </w:p>
    <w:p w14:paraId="6DFFB962" w14:textId="77777777" w:rsidR="0045199A" w:rsidRDefault="0045199A" w:rsidP="0045199A">
      <w:pPr>
        <w:pStyle w:val="ListBullet"/>
      </w:pPr>
      <w:r w:rsidRPr="005E26A6">
        <w:t>Pediatric blood product preparation</w:t>
      </w:r>
    </w:p>
    <w:p w14:paraId="0677C989" w14:textId="77777777" w:rsidR="0045199A" w:rsidRPr="005E26A6" w:rsidRDefault="0045199A" w:rsidP="0045199A">
      <w:pPr>
        <w:pStyle w:val="ListBullet"/>
      </w:pPr>
      <w:r>
        <w:t>Printing of blood product labels</w:t>
      </w:r>
    </w:p>
    <w:p w14:paraId="3C7B33A8" w14:textId="77777777" w:rsidR="0045199A" w:rsidRPr="005E26A6" w:rsidRDefault="0045199A" w:rsidP="0045199A">
      <w:pPr>
        <w:pStyle w:val="ListBullet"/>
      </w:pPr>
      <w:r w:rsidRPr="005E26A6">
        <w:t>User defined customized queries or reports</w:t>
      </w:r>
    </w:p>
    <w:p w14:paraId="5D799849" w14:textId="77777777" w:rsidR="0045199A" w:rsidRPr="005E26A6" w:rsidRDefault="0045199A" w:rsidP="0045199A">
      <w:pPr>
        <w:pStyle w:val="ListBullet"/>
      </w:pPr>
      <w:r w:rsidRPr="005E26A6">
        <w:t>User editing blood product, antigen, antibody, or transfusion reaction tables</w:t>
      </w:r>
    </w:p>
    <w:p w14:paraId="1CD403B6" w14:textId="77777777" w:rsidR="0045199A" w:rsidRDefault="0045199A" w:rsidP="0045199A">
      <w:pPr>
        <w:pStyle w:val="ListBullet"/>
      </w:pPr>
      <w:r w:rsidRPr="005E26A6">
        <w:t>Validation record storage</w:t>
      </w:r>
    </w:p>
    <w:p w14:paraId="0C9F12C5" w14:textId="77777777" w:rsidR="0045199A" w:rsidRDefault="0045199A" w:rsidP="0045199A">
      <w:pPr>
        <w:rPr>
          <w:sz w:val="22"/>
          <w:szCs w:val="22"/>
        </w:rPr>
      </w:pPr>
    </w:p>
    <w:p w14:paraId="64D71DAD" w14:textId="2986CD4D" w:rsidR="001B0B0C" w:rsidRPr="00F77D81" w:rsidRDefault="0045199A" w:rsidP="001B0B0C">
      <w:pPr>
        <w:rPr>
          <w:sz w:val="22"/>
          <w:szCs w:val="22"/>
        </w:rPr>
      </w:pPr>
      <w:r w:rsidRPr="00F77D81">
        <w:rPr>
          <w:sz w:val="22"/>
          <w:szCs w:val="22"/>
        </w:rPr>
        <w:t>Limitations and Restrictions are listed in</w:t>
      </w:r>
      <w:r w:rsidR="001B0B0C" w:rsidRPr="00F77D81">
        <w:rPr>
          <w:sz w:val="22"/>
          <w:szCs w:val="22"/>
        </w:rPr>
        <w:t xml:space="preserve">  </w:t>
      </w:r>
      <w:r w:rsidR="00F77D81" w:rsidRPr="00F77D81">
        <w:rPr>
          <w:sz w:val="22"/>
          <w:szCs w:val="22"/>
        </w:rPr>
        <w:fldChar w:fldCharType="begin"/>
      </w:r>
      <w:r w:rsidR="00F77D81" w:rsidRPr="00F77D81">
        <w:rPr>
          <w:sz w:val="22"/>
          <w:szCs w:val="22"/>
        </w:rPr>
        <w:instrText xml:space="preserve"> REF _Ref4588935 \h </w:instrText>
      </w:r>
      <w:r w:rsidR="00F77D81" w:rsidRPr="00F77D81">
        <w:rPr>
          <w:sz w:val="22"/>
          <w:szCs w:val="22"/>
        </w:rPr>
      </w:r>
      <w:r w:rsidR="00F77D81" w:rsidRPr="00F77D81">
        <w:rPr>
          <w:sz w:val="22"/>
          <w:szCs w:val="22"/>
        </w:rPr>
        <w:fldChar w:fldCharType="separate"/>
      </w:r>
      <w:r w:rsidR="004353ED">
        <w:t>Appendix D: Limitations and Restrictions</w:t>
      </w:r>
      <w:r w:rsidR="00F77D81" w:rsidRPr="00F77D81">
        <w:rPr>
          <w:sz w:val="22"/>
          <w:szCs w:val="22"/>
        </w:rPr>
        <w:fldChar w:fldCharType="end"/>
      </w:r>
    </w:p>
    <w:p w14:paraId="30C8F1B7" w14:textId="77777777" w:rsidR="00B82DFE" w:rsidRDefault="0045199A" w:rsidP="0045199A">
      <w:pPr>
        <w:rPr>
          <w:sz w:val="22"/>
          <w:szCs w:val="22"/>
        </w:rPr>
      </w:pPr>
      <w:r w:rsidRPr="00F77D81">
        <w:rPr>
          <w:sz w:val="22"/>
          <w:szCs w:val="22"/>
        </w:rPr>
        <w:t xml:space="preserve">by option as well as throughout this document as part of the detailed information associated with the functionality. </w:t>
      </w:r>
    </w:p>
    <w:p w14:paraId="6580F41F" w14:textId="77777777" w:rsidR="00B82DFE" w:rsidRDefault="00B82DFE">
      <w:pPr>
        <w:rPr>
          <w:sz w:val="22"/>
          <w:szCs w:val="22"/>
        </w:rPr>
      </w:pPr>
      <w:r>
        <w:rPr>
          <w:sz w:val="22"/>
          <w:szCs w:val="22"/>
        </w:rPr>
        <w:br w:type="page"/>
      </w:r>
    </w:p>
    <w:p w14:paraId="055ACB0D" w14:textId="27EDB68C" w:rsidR="0045199A" w:rsidRPr="00F77D81" w:rsidRDefault="0045199A" w:rsidP="0045199A">
      <w:pPr>
        <w:rPr>
          <w:sz w:val="22"/>
          <w:szCs w:val="22"/>
        </w:rPr>
      </w:pPr>
      <w:r w:rsidRPr="00F77D81">
        <w:rPr>
          <w:vanish/>
          <w:sz w:val="22"/>
          <w:szCs w:val="22"/>
        </w:rPr>
        <w:lastRenderedPageBreak/>
        <w:t>DR 5105</w:t>
      </w:r>
    </w:p>
    <w:bookmarkEnd w:id="2"/>
    <w:bookmarkEnd w:id="3"/>
    <w:bookmarkEnd w:id="4"/>
    <w:bookmarkEnd w:id="5"/>
    <w:p w14:paraId="072C6474" w14:textId="77777777" w:rsidR="002A21AE" w:rsidRPr="00AB3B2D" w:rsidRDefault="00057948">
      <w:pPr>
        <w:pStyle w:val="Caution"/>
        <w:rPr>
          <w:i w:val="0"/>
        </w:rPr>
      </w:pPr>
      <w:r>
        <w:rPr>
          <w:noProof/>
        </w:rPr>
        <w:drawing>
          <wp:inline distT="0" distB="0" distL="0" distR="0" wp14:anchorId="4105AF37" wp14:editId="01B3B497">
            <wp:extent cx="267970" cy="221615"/>
            <wp:effectExtent l="0" t="0" r="0" b="6985"/>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2A21AE">
        <w:t xml:space="preserve">Unauthorized access or misuse of this system and/or its data is </w:t>
      </w:r>
      <w:r w:rsidR="000A6837">
        <w:t>a federal crime. Use of all data, printed or electronic, must</w:t>
      </w:r>
      <w:r w:rsidR="002A21AE">
        <w:t xml:space="preserve"> be in accordance with VA policy on security and privacy.</w:t>
      </w:r>
      <w:r w:rsidR="00AB3B2D">
        <w:rPr>
          <w:i w:val="0"/>
          <w:vanish/>
        </w:rPr>
        <w:t xml:space="preserve"> DR 3513</w:t>
      </w:r>
    </w:p>
    <w:p w14:paraId="4D16687E" w14:textId="77777777" w:rsidR="002A21AE" w:rsidRDefault="00057948">
      <w:pPr>
        <w:pStyle w:val="Caution"/>
      </w:pPr>
      <w:r>
        <w:rPr>
          <w:noProof/>
        </w:rPr>
        <w:drawing>
          <wp:inline distT="0" distB="0" distL="0" distR="0" wp14:anchorId="6250DE53" wp14:editId="6623C1C5">
            <wp:extent cx="267970" cy="221615"/>
            <wp:effectExtent l="0" t="0" r="0" b="6985"/>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2A21AE">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w:t>
      </w:r>
    </w:p>
    <w:p w14:paraId="6FB38602" w14:textId="77777777" w:rsidR="002A21AE" w:rsidRDefault="002A21AE">
      <w:pPr>
        <w:pStyle w:val="Heading2"/>
      </w:pPr>
      <w:bookmarkStart w:id="6" w:name="_Toc47516631"/>
      <w:r>
        <w:t>Freeware Disclaimer</w:t>
      </w:r>
      <w:bookmarkEnd w:id="6"/>
      <w:r>
        <w:fldChar w:fldCharType="begin"/>
      </w:r>
      <w:r>
        <w:instrText xml:space="preserve"> XE </w:instrText>
      </w:r>
      <w:r w:rsidR="00FA7E65">
        <w:instrText>“</w:instrText>
      </w:r>
      <w:r>
        <w:instrText>Freeware Disclaimer</w:instrText>
      </w:r>
      <w:r w:rsidR="00FA7E65">
        <w:instrText>”</w:instrText>
      </w:r>
      <w:r>
        <w:instrText xml:space="preserve"> </w:instrText>
      </w:r>
      <w:r>
        <w:fldChar w:fldCharType="end"/>
      </w:r>
    </w:p>
    <w:p w14:paraId="5528EB91" w14:textId="77777777" w:rsidR="004C7D98" w:rsidRPr="004C7D98" w:rsidRDefault="00091DC8" w:rsidP="004C7D98">
      <w:pPr>
        <w:pStyle w:val="BodyText"/>
      </w:pPr>
      <w:r w:rsidRPr="004C7D98">
        <w:t xml:space="preserve">Requests for VBECS may be submitted </w:t>
      </w:r>
      <w:r w:rsidR="003B64FF" w:rsidRPr="004C7D98">
        <w:t xml:space="preserve">through the Freedom of Information Act (FOIA). </w:t>
      </w:r>
      <w:r w:rsidR="004C7D98" w:rsidRPr="004C7D98">
        <w:t>Effective on September 19, 2011, the Department of Veterans Affairs will accept</w:t>
      </w:r>
      <w:r w:rsidR="00AF37FE">
        <w:t xml:space="preserve"> FOIA requests electronically. </w:t>
      </w:r>
      <w:r w:rsidR="004C7D98" w:rsidRPr="004C7D98">
        <w:t>Most VA Central Off</w:t>
      </w:r>
      <w:r w:rsidR="004C7D98">
        <w:t xml:space="preserve">ice (VACO) Offices </w:t>
      </w:r>
      <w:r w:rsidR="004C7D98" w:rsidRPr="004C7D98">
        <w:t>are in the process of establ</w:t>
      </w:r>
      <w:r w:rsidR="004C7D98">
        <w:t xml:space="preserve">ishing an electronic mailbox. </w:t>
      </w:r>
      <w:r w:rsidR="004C7D98" w:rsidRPr="004C7D98">
        <w:t>In the meantime, the FOIA Service will accept electronic FOIA requests for any VACO FOIA Office that does not yet have a mailbox in place, and will forward your request to the appropriate office for processing.  </w:t>
      </w:r>
    </w:p>
    <w:p w14:paraId="1DE208CC" w14:textId="0AD366CC" w:rsidR="003B64FF" w:rsidRPr="00234D60" w:rsidRDefault="00CD5D6A" w:rsidP="00234D60">
      <w:pPr>
        <w:pStyle w:val="BodyText"/>
      </w:pPr>
      <w:r>
        <w:t>Submit requests</w:t>
      </w:r>
      <w:r w:rsidR="003B64FF">
        <w:t xml:space="preserve"> to</w:t>
      </w:r>
      <w:r w:rsidR="007C6538">
        <w:t xml:space="preserve"> </w:t>
      </w:r>
      <w:hyperlink r:id="rId22" w:history="1">
        <w:r w:rsidR="007C6538" w:rsidRPr="00892D12">
          <w:rPr>
            <w:rStyle w:val="Hyperlink"/>
          </w:rPr>
          <w:t>http://www.foia.va.gov/FOIA_Offices.asp</w:t>
        </w:r>
      </w:hyperlink>
      <w:r w:rsidR="00234D60">
        <w:rPr>
          <w:vanish/>
        </w:rPr>
        <w:t>DR</w:t>
      </w:r>
    </w:p>
    <w:p w14:paraId="03783BE7" w14:textId="0DC08152" w:rsidR="002A21AE" w:rsidRDefault="002A21AE" w:rsidP="00634FC7">
      <w:pPr>
        <w:pStyle w:val="Heading2"/>
      </w:pPr>
      <w:bookmarkStart w:id="7" w:name="_Toc47516632"/>
      <w:r>
        <w:t>Related Manuals and Materials</w:t>
      </w:r>
      <w:bookmarkEnd w:id="7"/>
      <w:r>
        <w:fldChar w:fldCharType="begin"/>
      </w:r>
      <w:r>
        <w:instrText xml:space="preserve"> XE </w:instrText>
      </w:r>
      <w:r w:rsidR="00FA7E65">
        <w:instrText>“</w:instrText>
      </w:r>
      <w:r>
        <w:instrText>Related Manuals and Materials</w:instrText>
      </w:r>
      <w:r w:rsidR="00FA7E65">
        <w:instrText>”</w:instrText>
      </w:r>
      <w:r>
        <w:instrText xml:space="preserve"> </w:instrText>
      </w:r>
      <w:r>
        <w:fldChar w:fldCharType="end"/>
      </w:r>
    </w:p>
    <w:p w14:paraId="369EAC77" w14:textId="05CA891D" w:rsidR="002A21AE" w:rsidRPr="004F1322" w:rsidRDefault="000C7684">
      <w:pPr>
        <w:pStyle w:val="ListBullet"/>
      </w:pPr>
      <w:r w:rsidRPr="000C7684">
        <w:rPr>
          <w:bCs/>
          <w:i/>
        </w:rPr>
        <w:t>VistA</w:t>
      </w:r>
      <w:r w:rsidR="002A21AE" w:rsidRPr="000C7684">
        <w:rPr>
          <w:i/>
        </w:rPr>
        <w:t xml:space="preserve"> </w:t>
      </w:r>
      <w:r w:rsidR="002A21AE">
        <w:rPr>
          <w:i/>
        </w:rPr>
        <w:t xml:space="preserve">Blood Establishment Computer Software (VBECS) </w:t>
      </w:r>
      <w:r w:rsidR="00C94A42">
        <w:rPr>
          <w:i/>
        </w:rPr>
        <w:t>2.3.</w:t>
      </w:r>
      <w:r w:rsidR="00AD5990">
        <w:rPr>
          <w:i/>
        </w:rPr>
        <w:t>2</w:t>
      </w:r>
      <w:r w:rsidR="008C75A6">
        <w:rPr>
          <w:i/>
        </w:rPr>
        <w:t xml:space="preserve"> </w:t>
      </w:r>
      <w:r w:rsidR="002A21AE">
        <w:rPr>
          <w:i/>
        </w:rPr>
        <w:t>Technical Manual-Security Guide</w:t>
      </w:r>
    </w:p>
    <w:p w14:paraId="004B16C5" w14:textId="41035F57" w:rsidR="004F1322" w:rsidRPr="00151456" w:rsidRDefault="004F1322" w:rsidP="004F1322">
      <w:pPr>
        <w:pStyle w:val="ListBullet"/>
      </w:pPr>
      <w:r w:rsidRPr="000C7684">
        <w:rPr>
          <w:bCs/>
          <w:i/>
        </w:rPr>
        <w:t>VistA</w:t>
      </w:r>
      <w:r w:rsidRPr="000C7684">
        <w:rPr>
          <w:i/>
        </w:rPr>
        <w:t xml:space="preserve"> </w:t>
      </w:r>
      <w:r>
        <w:rPr>
          <w:i/>
        </w:rPr>
        <w:t>Blood Establishment Computer Software (VBECS) 2.3.</w:t>
      </w:r>
      <w:r w:rsidR="00AD5990">
        <w:rPr>
          <w:i/>
        </w:rPr>
        <w:t>2</w:t>
      </w:r>
      <w:r>
        <w:rPr>
          <w:i/>
        </w:rPr>
        <w:t xml:space="preserve"> Admin</w:t>
      </w:r>
      <w:r w:rsidR="00C74185">
        <w:rPr>
          <w:i/>
        </w:rPr>
        <w:t>istrator</w:t>
      </w:r>
      <w:r>
        <w:rPr>
          <w:i/>
        </w:rPr>
        <w:t xml:space="preserve"> User Guide</w:t>
      </w:r>
    </w:p>
    <w:p w14:paraId="5BB52642" w14:textId="3689C35F" w:rsidR="00151456" w:rsidRDefault="00151456">
      <w:pPr>
        <w:pStyle w:val="ListBullet"/>
      </w:pPr>
      <w:r>
        <w:rPr>
          <w:i/>
        </w:rPr>
        <w:t xml:space="preserve">VistA Blood Establishment Computer Software (VBECS) </w:t>
      </w:r>
      <w:r w:rsidR="00C94A42">
        <w:rPr>
          <w:i/>
        </w:rPr>
        <w:t>2.3.</w:t>
      </w:r>
      <w:r w:rsidR="00AD5990">
        <w:rPr>
          <w:i/>
        </w:rPr>
        <w:t>2</w:t>
      </w:r>
      <w:r w:rsidR="004F3C1E">
        <w:rPr>
          <w:i/>
        </w:rPr>
        <w:t xml:space="preserve"> </w:t>
      </w:r>
      <w:r>
        <w:rPr>
          <w:i/>
        </w:rPr>
        <w:t>Release Notes</w:t>
      </w:r>
    </w:p>
    <w:p w14:paraId="4F898FA3" w14:textId="77777777" w:rsidR="008E35BF" w:rsidRDefault="00091DC8" w:rsidP="008A734B">
      <w:pPr>
        <w:pStyle w:val="BodyText"/>
      </w:pPr>
      <w:r>
        <w:t xml:space="preserve">Copies of </w:t>
      </w:r>
      <w:r w:rsidRPr="00FC6E3B">
        <w:rPr>
          <w:i/>
        </w:rPr>
        <w:t>VistA Blood Establishment</w:t>
      </w:r>
      <w:r w:rsidR="00FC6E3B" w:rsidRPr="00FC6E3B">
        <w:rPr>
          <w:i/>
        </w:rPr>
        <w:t xml:space="preserve"> Computer Software (VBECS) User Guide</w:t>
      </w:r>
      <w:r w:rsidR="00FC6E3B">
        <w:t xml:space="preserve"> </w:t>
      </w:r>
      <w:r>
        <w:t>may be obtained from</w:t>
      </w:r>
      <w:r w:rsidR="00FC6E3B">
        <w:t xml:space="preserve"> </w:t>
      </w:r>
      <w:r w:rsidR="00905466">
        <w:t xml:space="preserve">the </w:t>
      </w:r>
      <w:r w:rsidR="002A21AE">
        <w:t xml:space="preserve">VDL: </w:t>
      </w:r>
      <w:r w:rsidR="000C7684" w:rsidRPr="000C7684">
        <w:rPr>
          <w:bCs/>
        </w:rPr>
        <w:t>VistA</w:t>
      </w:r>
      <w:r w:rsidR="002A21AE">
        <w:t xml:space="preserve"> Documenta</w:t>
      </w:r>
      <w:r w:rsidR="0000544A">
        <w:t xml:space="preserve">tion Library (VDL), Clinical Section, Laboratory: VistA </w:t>
      </w:r>
      <w:r w:rsidR="00922AD8">
        <w:t>Blood Establishment</w:t>
      </w:r>
      <w:r w:rsidR="0000544A">
        <w:t xml:space="preserve"> Computer Software (VBECS)</w:t>
      </w:r>
      <w:r w:rsidR="002A21AE">
        <w:t xml:space="preserve"> Web </w:t>
      </w:r>
      <w:r w:rsidR="0000544A">
        <w:t>site</w:t>
      </w:r>
      <w:r>
        <w:t>.</w:t>
      </w:r>
    </w:p>
    <w:p w14:paraId="6B584A63" w14:textId="77777777" w:rsidR="002A21AE" w:rsidRDefault="002A21AE" w:rsidP="008A734B">
      <w:pPr>
        <w:pStyle w:val="BodyText"/>
      </w:pPr>
    </w:p>
    <w:p w14:paraId="3F5EA408" w14:textId="77777777" w:rsidR="00B94CCD" w:rsidRDefault="00B94CCD">
      <w:pPr>
        <w:rPr>
          <w:rFonts w:ascii="Arial" w:hAnsi="Arial" w:cs="Arial"/>
          <w:b/>
          <w:bCs/>
          <w:kern w:val="32"/>
          <w:sz w:val="36"/>
          <w:szCs w:val="32"/>
        </w:rPr>
      </w:pPr>
      <w:r>
        <w:br w:type="page"/>
      </w:r>
    </w:p>
    <w:p w14:paraId="2CC79A14" w14:textId="77777777" w:rsidR="002A21AE" w:rsidRDefault="002A21AE" w:rsidP="000D4810">
      <w:pPr>
        <w:pStyle w:val="Heading1"/>
      </w:pPr>
      <w:bookmarkStart w:id="8" w:name="_Toc47516633"/>
      <w:r>
        <w:lastRenderedPageBreak/>
        <w:t>Orientation</w:t>
      </w:r>
      <w:bookmarkEnd w:id="8"/>
      <w:r>
        <w:fldChar w:fldCharType="begin"/>
      </w:r>
      <w:r>
        <w:instrText xml:space="preserve"> XE </w:instrText>
      </w:r>
      <w:r w:rsidR="00FA7E65">
        <w:instrText>“</w:instrText>
      </w:r>
      <w:r>
        <w:instrText>Orientation</w:instrText>
      </w:r>
      <w:r w:rsidR="00FA7E65">
        <w:instrText>”</w:instrText>
      </w:r>
      <w:r>
        <w:instrText xml:space="preserve"> </w:instrText>
      </w:r>
      <w:r>
        <w:fldChar w:fldCharType="end"/>
      </w:r>
    </w:p>
    <w:p w14:paraId="006EBC93" w14:textId="77777777" w:rsidR="002A21AE" w:rsidRDefault="002A21AE" w:rsidP="00FA7E65">
      <w:pPr>
        <w:pStyle w:val="BodyText"/>
      </w:pPr>
      <w:r>
        <w:t>This section covers:</w:t>
      </w:r>
    </w:p>
    <w:p w14:paraId="3344F592" w14:textId="77777777" w:rsidR="009F591F" w:rsidRDefault="009F591F" w:rsidP="009F591F">
      <w:pPr>
        <w:pStyle w:val="ListBullet"/>
      </w:pPr>
      <w:r>
        <w:t>How This User Guide Is Organized</w:t>
      </w:r>
    </w:p>
    <w:p w14:paraId="778DB548" w14:textId="77777777" w:rsidR="002A21AE" w:rsidRDefault="002A21AE">
      <w:pPr>
        <w:pStyle w:val="ListBullet"/>
      </w:pPr>
      <w:r>
        <w:t>Security: who can use VBECS</w:t>
      </w:r>
    </w:p>
    <w:p w14:paraId="12708F4C" w14:textId="77777777" w:rsidR="005E6F80" w:rsidRDefault="005E6F80" w:rsidP="005E6F80">
      <w:pPr>
        <w:pStyle w:val="ListBullet"/>
      </w:pPr>
      <w:r>
        <w:t>Application Architecture: the architectural requirements for VBECS</w:t>
      </w:r>
    </w:p>
    <w:p w14:paraId="03360358" w14:textId="77777777" w:rsidR="002A21AE" w:rsidRDefault="002A21AE">
      <w:pPr>
        <w:pStyle w:val="ListBullet"/>
      </w:pPr>
      <w:r>
        <w:t xml:space="preserve">Hardware and Infrastructure Architecture: the system environment for installation and operation of VBECS </w:t>
      </w:r>
    </w:p>
    <w:p w14:paraId="4A2B0B4E" w14:textId="77777777" w:rsidR="002A21AE" w:rsidRDefault="000C7684">
      <w:pPr>
        <w:pStyle w:val="ListBullet"/>
      </w:pPr>
      <w:r w:rsidRPr="000C7684">
        <w:rPr>
          <w:bCs/>
        </w:rPr>
        <w:t>VistA</w:t>
      </w:r>
      <w:r w:rsidR="002A21AE">
        <w:t xml:space="preserve"> and VBECS: how VBECS compares to </w:t>
      </w:r>
      <w:r w:rsidRPr="000C7684">
        <w:rPr>
          <w:bCs/>
        </w:rPr>
        <w:t>VistA</w:t>
      </w:r>
      <w:r w:rsidR="002A21AE">
        <w:t xml:space="preserve"> </w:t>
      </w:r>
    </w:p>
    <w:p w14:paraId="705D7BFD" w14:textId="77777777" w:rsidR="002A21AE" w:rsidRDefault="002A21AE">
      <w:pPr>
        <w:pStyle w:val="ListBullet"/>
      </w:pPr>
      <w:r>
        <w:t>Customer Support: how to get help</w:t>
      </w:r>
    </w:p>
    <w:p w14:paraId="4D6A82C9" w14:textId="2EE8F26B" w:rsidR="00361EC2" w:rsidRDefault="009A5D90">
      <w:pPr>
        <w:pStyle w:val="ListBullet"/>
      </w:pPr>
      <w:r>
        <w:t>VBECS Patching</w:t>
      </w:r>
      <w:r w:rsidR="00BD12FB">
        <w:t xml:space="preserve"> </w:t>
      </w:r>
      <w:r w:rsidR="00BD12FB" w:rsidRPr="00BD12FB">
        <w:rPr>
          <w:vanish/>
        </w:rPr>
        <w:t>UC_84</w:t>
      </w:r>
    </w:p>
    <w:p w14:paraId="0A2825D3" w14:textId="77777777" w:rsidR="009F591F" w:rsidRDefault="009F591F" w:rsidP="009F591F">
      <w:pPr>
        <w:pStyle w:val="Heading2"/>
      </w:pPr>
      <w:bookmarkStart w:id="9" w:name="_Toc47516634"/>
      <w:r>
        <w:t>How This User Guide Is Organized</w:t>
      </w:r>
      <w:bookmarkEnd w:id="9"/>
      <w:r>
        <w:fldChar w:fldCharType="begin"/>
      </w:r>
      <w:r>
        <w:instrText xml:space="preserve"> XE “How This User Guide Is Organized” </w:instrText>
      </w:r>
      <w:r>
        <w:fldChar w:fldCharType="end"/>
      </w:r>
    </w:p>
    <w:p w14:paraId="413FCA19" w14:textId="77777777" w:rsidR="009F591F" w:rsidRDefault="009F591F" w:rsidP="009F591F">
      <w:pPr>
        <w:pStyle w:val="Heading3"/>
        <w:ind w:left="720" w:hanging="720"/>
      </w:pPr>
      <w:bookmarkStart w:id="10" w:name="_Toc47516635"/>
      <w:r>
        <w:t>Terms</w:t>
      </w:r>
      <w:bookmarkEnd w:id="10"/>
      <w:r>
        <w:fldChar w:fldCharType="begin"/>
      </w:r>
      <w:r>
        <w:instrText xml:space="preserve"> XE “Terms” </w:instrText>
      </w:r>
      <w:r>
        <w:fldChar w:fldCharType="end"/>
      </w:r>
    </w:p>
    <w:p w14:paraId="4738EEA2" w14:textId="77777777" w:rsidR="009F591F" w:rsidRPr="001B3283" w:rsidRDefault="009F591F" w:rsidP="009F591F">
      <w:pPr>
        <w:pStyle w:val="BodyText"/>
      </w:pPr>
      <w:r w:rsidRPr="001B3283">
        <w:t>For consistency and space considerations, the pronouns “he,” “him,” and “his” are used as pronouns of indeterminate gender equally applicable to males and females.</w:t>
      </w:r>
    </w:p>
    <w:p w14:paraId="6E27969D" w14:textId="77777777" w:rsidR="009F591F" w:rsidRDefault="009F591F" w:rsidP="009F591F">
      <w:pPr>
        <w:pStyle w:val="BodyText"/>
      </w:pPr>
      <w:r>
        <w:t xml:space="preserve">In many instances, a user may scan a barcode or enter data manually (by typing). The term “enter” is used throughout this guide to mean “enter manually.” </w:t>
      </w:r>
    </w:p>
    <w:p w14:paraId="7FC9F619" w14:textId="77777777" w:rsidR="009F591F" w:rsidRDefault="009F591F" w:rsidP="009F591F">
      <w:pPr>
        <w:pStyle w:val="BodyText"/>
      </w:pPr>
      <w:r>
        <w:t>See the Glossary for definitions of other terms and acronyms used in this guide.</w:t>
      </w:r>
    </w:p>
    <w:p w14:paraId="01F32109" w14:textId="77777777" w:rsidR="009F591F" w:rsidRDefault="009F591F" w:rsidP="009F591F">
      <w:pPr>
        <w:pStyle w:val="Heading3"/>
      </w:pPr>
      <w:bookmarkStart w:id="11" w:name="_Toc47516636"/>
      <w:r>
        <w:t>Background and Basic Knowledge</w:t>
      </w:r>
      <w:bookmarkEnd w:id="11"/>
      <w:r>
        <w:fldChar w:fldCharType="begin"/>
      </w:r>
      <w:r>
        <w:instrText xml:space="preserve"> XE “Background and Basic Knowledge” </w:instrText>
      </w:r>
      <w:r>
        <w:fldChar w:fldCharType="end"/>
      </w:r>
    </w:p>
    <w:p w14:paraId="674704CC" w14:textId="77777777" w:rsidR="009F591F" w:rsidRDefault="009F591F" w:rsidP="009F591F">
      <w:pPr>
        <w:pStyle w:val="BodyText"/>
      </w:pPr>
      <w:r>
        <w:t>The Introduction, Orientation, and Using the Software sections provide the background and basic knowledge VBECS users need.</w:t>
      </w:r>
    </w:p>
    <w:p w14:paraId="2A8FFE99" w14:textId="77777777" w:rsidR="009F591F" w:rsidRDefault="009F591F" w:rsidP="009F591F">
      <w:pPr>
        <w:pStyle w:val="Heading3"/>
      </w:pPr>
      <w:bookmarkStart w:id="12" w:name="_Toc47516637"/>
      <w:r>
        <w:t>Figures and Tables</w:t>
      </w:r>
      <w:bookmarkEnd w:id="12"/>
      <w:r w:rsidR="00AB6531">
        <w:fldChar w:fldCharType="begin"/>
      </w:r>
      <w:r w:rsidR="00AB6531">
        <w:instrText xml:space="preserve"> XE "</w:instrText>
      </w:r>
      <w:r w:rsidR="00AB6531" w:rsidRPr="00686ED1">
        <w:instrText>Figures and Tables</w:instrText>
      </w:r>
      <w:r w:rsidR="00AB6531">
        <w:instrText xml:space="preserve">" </w:instrText>
      </w:r>
      <w:r w:rsidR="00AB6531">
        <w:fldChar w:fldCharType="end"/>
      </w:r>
    </w:p>
    <w:p w14:paraId="7127010E" w14:textId="77777777" w:rsidR="009F591F" w:rsidRDefault="009F591F" w:rsidP="009F591F">
      <w:pPr>
        <w:pStyle w:val="BodyText"/>
      </w:pPr>
      <w:r>
        <w:rPr>
          <w:rFonts w:eastAsia="Arial Unicode MS"/>
        </w:rPr>
        <w:t>If you refer to figures and tables from the user guide in your local policy and procedure documents, you may wish to use their titles only, without figure or table numbers: as the user guide is updated, those numbers may change.</w:t>
      </w:r>
    </w:p>
    <w:p w14:paraId="00606F40" w14:textId="77777777" w:rsidR="009F591F" w:rsidRDefault="009F591F" w:rsidP="009F591F">
      <w:pPr>
        <w:pStyle w:val="Heading3"/>
      </w:pPr>
      <w:bookmarkStart w:id="13" w:name="_Toc47516638"/>
      <w:r>
        <w:t>Options</w:t>
      </w:r>
      <w:bookmarkEnd w:id="13"/>
      <w:r>
        <w:fldChar w:fldCharType="begin"/>
      </w:r>
      <w:r>
        <w:instrText xml:space="preserve"> XE “Options” </w:instrText>
      </w:r>
      <w:r>
        <w:fldChar w:fldCharType="end"/>
      </w:r>
    </w:p>
    <w:p w14:paraId="0E9892CA" w14:textId="77777777" w:rsidR="009F591F" w:rsidRDefault="009F591F" w:rsidP="009F591F">
      <w:pPr>
        <w:pStyle w:val="BodyText"/>
      </w:pPr>
      <w:r>
        <w:t>The Configuring Site Parameters, Component Processing, Processing Orders, Patient Services, and Reports sections cover VBECS options.</w:t>
      </w:r>
    </w:p>
    <w:p w14:paraId="0E440D21" w14:textId="77777777" w:rsidR="009F591F" w:rsidRDefault="009F591F" w:rsidP="009F591F">
      <w:pPr>
        <w:pStyle w:val="BodyText"/>
      </w:pPr>
      <w:r>
        <w:t>Each option section starts with an introduction, a short paragraph that explains what a function allows a user to do, followed by:</w:t>
      </w:r>
    </w:p>
    <w:p w14:paraId="63B8603E" w14:textId="77777777" w:rsidR="009F591F" w:rsidRDefault="009F591F" w:rsidP="009F591F">
      <w:pPr>
        <w:pStyle w:val="ListBullet"/>
      </w:pPr>
      <w:r>
        <w:t>Assumptions: tasks that must be completed before performing a function.</w:t>
      </w:r>
    </w:p>
    <w:p w14:paraId="335111D5" w14:textId="77777777" w:rsidR="009F591F" w:rsidRDefault="009F591F" w:rsidP="009F591F">
      <w:pPr>
        <w:pStyle w:val="ListBullet"/>
      </w:pPr>
      <w:r>
        <w:t>Outcome: results of performing a function.</w:t>
      </w:r>
    </w:p>
    <w:p w14:paraId="4825E63B" w14:textId="77777777" w:rsidR="009F591F" w:rsidRDefault="009F591F" w:rsidP="009F591F">
      <w:pPr>
        <w:pStyle w:val="ListBullet"/>
      </w:pPr>
      <w:r>
        <w:t>Limitations and Restrictions: features of the system that are restricted by and exist within this function.</w:t>
      </w:r>
    </w:p>
    <w:p w14:paraId="70FE34B4" w14:textId="77777777" w:rsidR="009F591F" w:rsidRDefault="009F591F" w:rsidP="009F591F">
      <w:pPr>
        <w:pStyle w:val="ListBullet"/>
      </w:pPr>
      <w:r>
        <w:t>Additional Information: information that helps the user perform a function.</w:t>
      </w:r>
    </w:p>
    <w:p w14:paraId="6338E456" w14:textId="77777777" w:rsidR="009F591F" w:rsidRDefault="009F591F" w:rsidP="009F591F">
      <w:pPr>
        <w:pStyle w:val="ListBullet"/>
      </w:pPr>
      <w:bookmarkStart w:id="14" w:name="OLE_LINK21"/>
      <w:bookmarkStart w:id="15" w:name="OLE_LINK22"/>
      <w:r>
        <w:t>User Roles with Access to This Option: which users may perform this option in whole or in part.</w:t>
      </w:r>
    </w:p>
    <w:p w14:paraId="189C9654" w14:textId="77777777" w:rsidR="009F591F" w:rsidRDefault="009F591F" w:rsidP="009F591F">
      <w:pPr>
        <w:pStyle w:val="ListBullet"/>
      </w:pPr>
      <w:r>
        <w:t>A detailed description of what the function allows each user to do. Two or more arrows (</w:t>
      </w:r>
      <w:r w:rsidRPr="00EC7489">
        <w:rPr>
          <w:rFonts w:ascii="Wingdings 3" w:hAnsi="Wingdings 3" w:cs="Wingdings"/>
        </w:rPr>
        <w:t></w:t>
      </w:r>
      <w:r>
        <w:t>) indicate functions limited to a specific role.</w:t>
      </w:r>
    </w:p>
    <w:bookmarkEnd w:id="14"/>
    <w:bookmarkEnd w:id="15"/>
    <w:p w14:paraId="4A3FDB3F" w14:textId="77777777" w:rsidR="009F591F" w:rsidRDefault="009F591F" w:rsidP="009F591F">
      <w:pPr>
        <w:pStyle w:val="ListBullet"/>
      </w:pPr>
      <w:r>
        <w:t>Table of steps for the basic path (user and VBECS actions).</w:t>
      </w:r>
    </w:p>
    <w:p w14:paraId="0ECAEBB6" w14:textId="77777777" w:rsidR="009F591F" w:rsidRDefault="009F591F" w:rsidP="009F591F">
      <w:pPr>
        <w:pStyle w:val="ListBullet"/>
      </w:pPr>
      <w:r>
        <w:t>Tables of steps for alternate paths (user and VBECS actions).</w:t>
      </w:r>
    </w:p>
    <w:p w14:paraId="19C16735" w14:textId="77777777" w:rsidR="009F591F" w:rsidRDefault="009F591F" w:rsidP="009F591F">
      <w:pPr>
        <w:pStyle w:val="ListBullet"/>
      </w:pPr>
      <w:r>
        <w:lastRenderedPageBreak/>
        <w:t>Figures (examples of reports, screen shots, etc.).</w:t>
      </w:r>
    </w:p>
    <w:p w14:paraId="2BA117AC" w14:textId="77777777" w:rsidR="009F591F" w:rsidRDefault="009F591F" w:rsidP="009F591F">
      <w:pPr>
        <w:pStyle w:val="ListBullet"/>
      </w:pPr>
      <w:r>
        <w:t>Table of alerts that may occur during an option.</w:t>
      </w:r>
    </w:p>
    <w:p w14:paraId="5E15FCE5" w14:textId="77777777" w:rsidR="009F591F" w:rsidRDefault="009F591F" w:rsidP="009F591F">
      <w:pPr>
        <w:pStyle w:val="Caution"/>
      </w:pPr>
      <w:r>
        <w:t xml:space="preserve">A </w:t>
      </w:r>
      <w:r w:rsidRPr="008B6F70">
        <w:rPr>
          <w:rStyle w:val="BullhornChar"/>
          <w:i w:val="0"/>
        </w:rPr>
        <w:t></w:t>
      </w:r>
      <w:r w:rsidRPr="00D62E87">
        <w:rPr>
          <w:rFonts w:ascii="Webdings" w:hAnsi="Webdings"/>
        </w:rPr>
        <w:t></w:t>
      </w:r>
      <w:r>
        <w:t>(bullhorn) indicates that VBECS emits an audible alert. Keep the sound on to hear the alerts (see Volume for instructions on adjusting the volume).</w:t>
      </w:r>
    </w:p>
    <w:p w14:paraId="0C93CE1D" w14:textId="77777777" w:rsidR="009F591F" w:rsidRDefault="009F591F" w:rsidP="009F591F">
      <w:pPr>
        <w:pStyle w:val="ListBullet"/>
      </w:pPr>
      <w:r>
        <w:t>Outlined, italicized text highlights tips, warnings, and cautions, for example:</w:t>
      </w:r>
    </w:p>
    <w:p w14:paraId="1D56D7C0" w14:textId="77777777" w:rsidR="009F591F" w:rsidRDefault="009F591F" w:rsidP="009F591F">
      <w:pPr>
        <w:pStyle w:val="Caution"/>
      </w:pPr>
      <w:r>
        <w:t xml:space="preserve">A </w:t>
      </w:r>
      <w:r w:rsidR="00057948">
        <w:rPr>
          <w:noProof/>
        </w:rPr>
        <w:drawing>
          <wp:inline distT="0" distB="0" distL="0" distR="0" wp14:anchorId="3D0124E9" wp14:editId="04CD9643">
            <wp:extent cx="267970" cy="221615"/>
            <wp:effectExtent l="0" t="0" r="0" b="6985"/>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t xml:space="preserve"> signals potential hazards throughout this guide as they occur. </w:t>
      </w:r>
    </w:p>
    <w:p w14:paraId="279F907B" w14:textId="77777777" w:rsidR="009F591F" w:rsidRDefault="009F591F" w:rsidP="009F591F">
      <w:pPr>
        <w:pStyle w:val="Heading3"/>
      </w:pPr>
      <w:bookmarkStart w:id="16" w:name="_Toc47516639"/>
      <w:r>
        <w:t>Supplemental Information</w:t>
      </w:r>
      <w:bookmarkEnd w:id="16"/>
      <w:r>
        <w:fldChar w:fldCharType="begin"/>
      </w:r>
      <w:r>
        <w:instrText xml:space="preserve"> XE “Supplemental Information” </w:instrText>
      </w:r>
      <w:r>
        <w:fldChar w:fldCharType="end"/>
      </w:r>
    </w:p>
    <w:p w14:paraId="2F768D36" w14:textId="77777777" w:rsidR="009F591F" w:rsidRDefault="009F591F" w:rsidP="009F591F">
      <w:pPr>
        <w:pStyle w:val="BodyText"/>
      </w:pPr>
      <w:r>
        <w:t>The third group of sections (References, Glossary) provides knowledge that may be needed beyond the standard, daily use of VBECS.</w:t>
      </w:r>
    </w:p>
    <w:p w14:paraId="721411E1" w14:textId="77777777" w:rsidR="009F591F" w:rsidRDefault="009F591F" w:rsidP="009F591F">
      <w:pPr>
        <w:pStyle w:val="Heading3"/>
      </w:pPr>
      <w:bookmarkStart w:id="17" w:name="_Toc47516640"/>
      <w:r>
        <w:t>Appendices</w:t>
      </w:r>
      <w:bookmarkEnd w:id="17"/>
      <w:r>
        <w:fldChar w:fldCharType="begin"/>
      </w:r>
      <w:r>
        <w:instrText xml:space="preserve"> XE “Appendices” </w:instrText>
      </w:r>
      <w:r>
        <w:fldChar w:fldCharType="end"/>
      </w:r>
    </w:p>
    <w:p w14:paraId="06FEC699" w14:textId="77777777" w:rsidR="009F591F" w:rsidRDefault="009F591F" w:rsidP="009F591F">
      <w:pPr>
        <w:pStyle w:val="BodyText"/>
      </w:pPr>
      <w:r>
        <w:t>The appendices contain truth tables, diagrams, and other materials for reference.</w:t>
      </w:r>
    </w:p>
    <w:p w14:paraId="771597BF" w14:textId="77777777" w:rsidR="009F591F" w:rsidRDefault="009F591F" w:rsidP="009F591F">
      <w:pPr>
        <w:pStyle w:val="BodyText"/>
      </w:pPr>
      <w:r>
        <w:t>Click a section name or page number in the table of contents to move to a section. The index does not incorporate this feature.</w:t>
      </w:r>
    </w:p>
    <w:p w14:paraId="126B751F" w14:textId="77777777" w:rsidR="002A21AE" w:rsidRDefault="002A21AE" w:rsidP="009F591F">
      <w:pPr>
        <w:pStyle w:val="Heading2"/>
      </w:pPr>
      <w:bookmarkStart w:id="18" w:name="_Toc47516641"/>
      <w:r>
        <w:t>Security</w:t>
      </w:r>
      <w:bookmarkEnd w:id="18"/>
      <w:r>
        <w:fldChar w:fldCharType="begin"/>
      </w:r>
      <w:r>
        <w:instrText xml:space="preserve"> XE </w:instrText>
      </w:r>
      <w:r w:rsidR="00FA7E65">
        <w:instrText>“</w:instrText>
      </w:r>
      <w:r>
        <w:instrText>Security</w:instrText>
      </w:r>
      <w:r w:rsidR="00FA7E65">
        <w:instrText>”</w:instrText>
      </w:r>
      <w:r>
        <w:instrText xml:space="preserve"> </w:instrText>
      </w:r>
      <w:r>
        <w:fldChar w:fldCharType="end"/>
      </w:r>
    </w:p>
    <w:p w14:paraId="3F78EE1E" w14:textId="77777777" w:rsidR="002A21AE" w:rsidRDefault="002A21AE" w:rsidP="00FA7E65">
      <w:pPr>
        <w:pStyle w:val="BodyText"/>
      </w:pPr>
      <w:r>
        <w:rPr>
          <w:i/>
        </w:rPr>
        <w:t>User roles</w:t>
      </w:r>
      <w:r>
        <w:t xml:space="preserve"> identify who can access which functions. Not every VBECS user has access to all VBECS options or functions within options. Two or more arrows (</w:t>
      </w:r>
      <w:r w:rsidRPr="00EC7489">
        <w:rPr>
          <w:rFonts w:ascii="Wingdings 3" w:hAnsi="Wingdings 3" w:cs="Wingdings"/>
        </w:rPr>
        <w:t></w:t>
      </w:r>
      <w:r>
        <w:t>) indicate functions limited to a specific role.</w:t>
      </w:r>
    </w:p>
    <w:p w14:paraId="1D53D628" w14:textId="77777777" w:rsidR="00D93651" w:rsidRPr="00D93651" w:rsidRDefault="00057948" w:rsidP="00D93651">
      <w:pPr>
        <w:pStyle w:val="Caution"/>
      </w:pPr>
      <w:r>
        <w:rPr>
          <w:noProof/>
        </w:rPr>
        <w:drawing>
          <wp:inline distT="0" distB="0" distL="0" distR="0" wp14:anchorId="2A2234B5" wp14:editId="5E0A3DD6">
            <wp:extent cx="267970" cy="221615"/>
            <wp:effectExtent l="0" t="0" r="0" b="6985"/>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03FB7">
        <w:t>It is critical that e</w:t>
      </w:r>
      <w:r w:rsidR="00D93651">
        <w:t xml:space="preserve">ach </w:t>
      </w:r>
      <w:r w:rsidR="003C244C">
        <w:t>site</w:t>
      </w:r>
      <w:r w:rsidR="00D93651" w:rsidRPr="00D93651">
        <w:t xml:space="preserve"> </w:t>
      </w:r>
      <w:r w:rsidR="00D93651">
        <w:t xml:space="preserve">evaluate its staff and </w:t>
      </w:r>
      <w:r w:rsidR="00D93651" w:rsidRPr="00D93651">
        <w:t xml:space="preserve">determine </w:t>
      </w:r>
      <w:r w:rsidR="00D93651">
        <w:t xml:space="preserve">appropriate </w:t>
      </w:r>
      <w:r w:rsidR="00D93651" w:rsidRPr="00D93651">
        <w:t>secu</w:t>
      </w:r>
      <w:r w:rsidR="00D93651">
        <w:t>r</w:t>
      </w:r>
      <w:r w:rsidR="00D93651" w:rsidRPr="00D93651">
        <w:t xml:space="preserve">ity </w:t>
      </w:r>
      <w:r w:rsidR="00D93651">
        <w:t>levels</w:t>
      </w:r>
      <w:r w:rsidR="00903FB7">
        <w:t xml:space="preserve"> based on training and qualifications</w:t>
      </w:r>
      <w:r w:rsidR="00D93651" w:rsidRPr="00D93651">
        <w:t>.</w:t>
      </w:r>
    </w:p>
    <w:p w14:paraId="344B8D88" w14:textId="77777777" w:rsidR="002A21AE" w:rsidRDefault="002A21AE" w:rsidP="00FA7E65">
      <w:pPr>
        <w:pStyle w:val="BodyText"/>
      </w:pPr>
      <w:r>
        <w:t xml:space="preserve">User roles also govern which options are available and which warnings can be overridden. </w:t>
      </w:r>
      <w:r>
        <w:rPr>
          <w:vanish/>
        </w:rPr>
        <w:t xml:space="preserve">BR_6.02 </w:t>
      </w:r>
      <w:r>
        <w:t>VBECS displays options that are not available to a user</w:t>
      </w:r>
      <w:r w:rsidR="00494EC6">
        <w:t xml:space="preserve"> in gray text</w:t>
      </w:r>
      <w:r>
        <w:t>.</w:t>
      </w:r>
    </w:p>
    <w:p w14:paraId="51815B71" w14:textId="0AFF0CAA" w:rsidR="00827C1C" w:rsidRDefault="00827C1C" w:rsidP="00827C1C">
      <w:pPr>
        <w:pStyle w:val="BodyText"/>
        <w:rPr>
          <w:snapToGrid w:val="0"/>
        </w:rPr>
      </w:pPr>
      <w:r>
        <w:t>Each of the six user roles is associated with a</w:t>
      </w:r>
      <w:r>
        <w:rPr>
          <w:snapToGrid w:val="0"/>
        </w:rPr>
        <w:t xml:space="preserve"> security level (see </w:t>
      </w:r>
      <w:r w:rsidR="00BD76D0">
        <w:rPr>
          <w:snapToGrid w:val="0"/>
        </w:rPr>
        <w:fldChar w:fldCharType="begin"/>
      </w:r>
      <w:r w:rsidR="00BD76D0">
        <w:rPr>
          <w:snapToGrid w:val="0"/>
        </w:rPr>
        <w:instrText xml:space="preserve"> REF _Ref126468477 \h </w:instrText>
      </w:r>
      <w:r w:rsidR="00BD76D0">
        <w:rPr>
          <w:snapToGrid w:val="0"/>
        </w:rPr>
      </w:r>
      <w:r w:rsidR="00BD76D0">
        <w:rPr>
          <w:snapToGrid w:val="0"/>
        </w:rPr>
        <w:fldChar w:fldCharType="separate"/>
      </w:r>
      <w:r w:rsidR="004353ED">
        <w:t xml:space="preserve">Table </w:t>
      </w:r>
      <w:r w:rsidR="004353ED">
        <w:rPr>
          <w:noProof/>
        </w:rPr>
        <w:t>1</w:t>
      </w:r>
      <w:r w:rsidR="00BD76D0">
        <w:rPr>
          <w:snapToGrid w:val="0"/>
        </w:rPr>
        <w:fldChar w:fldCharType="end"/>
      </w:r>
      <w:r>
        <w:rPr>
          <w:snapToGrid w:val="0"/>
        </w:rPr>
        <w:t xml:space="preserve">). Privileges accumulate as the security level increases. For example, a Lead Technologist’s privileges include those of a Blood Bank Technologist and Enhanced Technologist. </w:t>
      </w:r>
    </w:p>
    <w:p w14:paraId="6A9DF15D" w14:textId="008E1515" w:rsidR="00D24746" w:rsidRDefault="00413ECA" w:rsidP="00D24746">
      <w:pPr>
        <w:pStyle w:val="Caption"/>
        <w:tabs>
          <w:tab w:val="left" w:pos="4740"/>
        </w:tabs>
      </w:pPr>
      <w:bookmarkStart w:id="19" w:name="_Ref126468477"/>
      <w:bookmarkStart w:id="20" w:name="_Ref126484343"/>
      <w:r>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1</w:t>
      </w:r>
      <w:r w:rsidR="004E20BD">
        <w:rPr>
          <w:noProof/>
        </w:rPr>
        <w:fldChar w:fldCharType="end"/>
      </w:r>
      <w:bookmarkEnd w:id="19"/>
      <w:r>
        <w:t xml:space="preserve">: </w:t>
      </w:r>
      <w:r>
        <w:rPr>
          <w:vanish/>
        </w:rPr>
        <w:t xml:space="preserve">PT_19.01 </w:t>
      </w:r>
      <w:r>
        <w:t>User Roles and Functions</w:t>
      </w:r>
      <w:bookmarkEnd w:id="20"/>
      <w:r w:rsidR="00321988">
        <w:fldChar w:fldCharType="begin"/>
      </w:r>
      <w:r w:rsidR="00321988">
        <w:instrText xml:space="preserve"> XE "Tables:</w:instrText>
      </w:r>
      <w:r w:rsidR="00321988" w:rsidRPr="00B97AF3">
        <w:instrText>User Roles and Functions</w:instrText>
      </w:r>
      <w:r w:rsidR="00321988">
        <w:instrText xml:space="preserve">" </w:instrText>
      </w:r>
      <w:r w:rsidR="00321988">
        <w:fldChar w:fldCharType="end"/>
      </w: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958"/>
        <w:gridCol w:w="4080"/>
        <w:gridCol w:w="2322"/>
      </w:tblGrid>
      <w:tr w:rsidR="0028759D" w:rsidRPr="00D25382" w14:paraId="0285F8D3" w14:textId="77777777" w:rsidTr="0005347A">
        <w:trPr>
          <w:cantSplit/>
          <w:tblHeader/>
        </w:trPr>
        <w:tc>
          <w:tcPr>
            <w:tcW w:w="2958" w:type="dxa"/>
            <w:shd w:val="clear" w:color="auto" w:fill="B3B3B3"/>
            <w:vAlign w:val="bottom"/>
          </w:tcPr>
          <w:p w14:paraId="350DBF5E" w14:textId="77777777" w:rsidR="0028759D" w:rsidRDefault="0028759D" w:rsidP="0005347A">
            <w:pPr>
              <w:pStyle w:val="TableText"/>
              <w:rPr>
                <w:b/>
              </w:rPr>
            </w:pPr>
            <w:r>
              <w:rPr>
                <w:b/>
              </w:rPr>
              <w:t>Security Levels and User Roles</w:t>
            </w:r>
          </w:p>
        </w:tc>
        <w:tc>
          <w:tcPr>
            <w:tcW w:w="4080" w:type="dxa"/>
            <w:shd w:val="clear" w:color="auto" w:fill="B3B3B3"/>
            <w:vAlign w:val="bottom"/>
          </w:tcPr>
          <w:p w14:paraId="6B734520" w14:textId="77777777" w:rsidR="0028759D" w:rsidRDefault="0028759D" w:rsidP="0005347A">
            <w:pPr>
              <w:pStyle w:val="TableText"/>
              <w:rPr>
                <w:b/>
              </w:rPr>
            </w:pPr>
            <w:r>
              <w:rPr>
                <w:b/>
              </w:rPr>
              <w:t>Accessible Functions</w:t>
            </w:r>
          </w:p>
        </w:tc>
        <w:tc>
          <w:tcPr>
            <w:tcW w:w="2322" w:type="dxa"/>
            <w:shd w:val="clear" w:color="auto" w:fill="B3B3B3"/>
            <w:vAlign w:val="bottom"/>
          </w:tcPr>
          <w:p w14:paraId="402FBD82" w14:textId="77777777" w:rsidR="0028759D" w:rsidRPr="00D25382" w:rsidRDefault="0028759D" w:rsidP="0005347A">
            <w:pPr>
              <w:pStyle w:val="TableText"/>
              <w:rPr>
                <w:b/>
              </w:rPr>
            </w:pPr>
            <w:r w:rsidRPr="00D25382">
              <w:rPr>
                <w:b/>
              </w:rPr>
              <w:t>Who Should Fill These Roles?</w:t>
            </w:r>
          </w:p>
        </w:tc>
      </w:tr>
      <w:tr w:rsidR="0028759D" w14:paraId="0681040E" w14:textId="77777777" w:rsidTr="0005347A">
        <w:trPr>
          <w:cantSplit/>
        </w:trPr>
        <w:tc>
          <w:tcPr>
            <w:tcW w:w="2958" w:type="dxa"/>
            <w:vAlign w:val="center"/>
          </w:tcPr>
          <w:p w14:paraId="68A76CE6" w14:textId="77777777" w:rsidR="0028759D" w:rsidRDefault="0028759D" w:rsidP="0005347A">
            <w:pPr>
              <w:pStyle w:val="TableText"/>
            </w:pPr>
            <w:r>
              <w:t>Level 1: Blood Bank Technologist (all users)</w:t>
            </w:r>
          </w:p>
        </w:tc>
        <w:tc>
          <w:tcPr>
            <w:tcW w:w="4080" w:type="dxa"/>
          </w:tcPr>
          <w:p w14:paraId="7A09A0E0" w14:textId="77777777" w:rsidR="0028759D" w:rsidRDefault="0028759D" w:rsidP="0005347A">
            <w:pPr>
              <w:pStyle w:val="TableTextBullet"/>
            </w:pPr>
            <w:r>
              <w:t>Standard access:</w:t>
            </w:r>
          </w:p>
          <w:p w14:paraId="5E6DA2BD" w14:textId="77777777" w:rsidR="0028759D" w:rsidRDefault="0028759D" w:rsidP="0028759D">
            <w:pPr>
              <w:pStyle w:val="TableTextBullet"/>
              <w:numPr>
                <w:ilvl w:val="1"/>
                <w:numId w:val="12"/>
              </w:numPr>
            </w:pPr>
            <w:r>
              <w:t>patient and donor testing</w:t>
            </w:r>
          </w:p>
          <w:p w14:paraId="2F09261F" w14:textId="77777777" w:rsidR="0028759D" w:rsidRDefault="0028759D" w:rsidP="0028759D">
            <w:pPr>
              <w:pStyle w:val="TableTextBullet"/>
              <w:numPr>
                <w:ilvl w:val="1"/>
                <w:numId w:val="12"/>
              </w:numPr>
            </w:pPr>
            <w:r>
              <w:t>accepting and canceling orders</w:t>
            </w:r>
          </w:p>
          <w:p w14:paraId="0D08379A" w14:textId="77777777" w:rsidR="0028759D" w:rsidRDefault="0028759D" w:rsidP="0028759D">
            <w:pPr>
              <w:pStyle w:val="TableTextBullet"/>
              <w:numPr>
                <w:ilvl w:val="1"/>
                <w:numId w:val="12"/>
              </w:numPr>
            </w:pPr>
            <w:r>
              <w:t>modifying units</w:t>
            </w:r>
          </w:p>
          <w:p w14:paraId="0F49B53D" w14:textId="77777777" w:rsidR="0028759D" w:rsidRDefault="0028759D" w:rsidP="0028759D">
            <w:pPr>
              <w:pStyle w:val="TableTextBullet"/>
              <w:numPr>
                <w:ilvl w:val="1"/>
                <w:numId w:val="12"/>
              </w:numPr>
            </w:pPr>
            <w:r>
              <w:t>processing shipments</w:t>
            </w:r>
          </w:p>
          <w:p w14:paraId="19BA91AC" w14:textId="77777777" w:rsidR="0028759D" w:rsidRDefault="0028759D" w:rsidP="0028759D">
            <w:pPr>
              <w:pStyle w:val="TableTextBullet"/>
              <w:numPr>
                <w:ilvl w:val="1"/>
                <w:numId w:val="12"/>
              </w:numPr>
            </w:pPr>
            <w:r>
              <w:t>selecting and issuing blood that does not require higher level overrides</w:t>
            </w:r>
          </w:p>
          <w:p w14:paraId="257322EA" w14:textId="77777777" w:rsidR="0028759D" w:rsidRDefault="0028759D" w:rsidP="0028759D">
            <w:pPr>
              <w:pStyle w:val="TableTextBullet"/>
              <w:numPr>
                <w:ilvl w:val="1"/>
                <w:numId w:val="12"/>
              </w:numPr>
            </w:pPr>
            <w:r>
              <w:t>processing transfusion reaction workups</w:t>
            </w:r>
          </w:p>
          <w:p w14:paraId="4D0F4406" w14:textId="77777777" w:rsidR="0028759D" w:rsidRDefault="0028759D" w:rsidP="0028759D">
            <w:pPr>
              <w:pStyle w:val="TableTextBullet"/>
              <w:numPr>
                <w:ilvl w:val="1"/>
                <w:numId w:val="12"/>
              </w:numPr>
            </w:pPr>
            <w:r>
              <w:t>add patient’s transfusion requirements</w:t>
            </w:r>
          </w:p>
          <w:p w14:paraId="5DB16BED" w14:textId="77777777" w:rsidR="0028759D" w:rsidRDefault="0028759D" w:rsidP="0028759D">
            <w:pPr>
              <w:pStyle w:val="TableTextBullet"/>
              <w:numPr>
                <w:ilvl w:val="1"/>
                <w:numId w:val="12"/>
              </w:numPr>
            </w:pPr>
            <w:r>
              <w:t>accessing report functions</w:t>
            </w:r>
          </w:p>
          <w:p w14:paraId="7A864374" w14:textId="77777777" w:rsidR="0028759D" w:rsidRDefault="0028759D" w:rsidP="0028759D">
            <w:pPr>
              <w:pStyle w:val="TableTextBullet"/>
              <w:numPr>
                <w:ilvl w:val="1"/>
                <w:numId w:val="12"/>
              </w:numPr>
            </w:pPr>
            <w:r>
              <w:t>enter daily QC results</w:t>
            </w:r>
          </w:p>
          <w:p w14:paraId="0BD6A99D" w14:textId="77777777" w:rsidR="0028759D" w:rsidRDefault="0028759D" w:rsidP="0028759D">
            <w:pPr>
              <w:pStyle w:val="TableTextBullet"/>
              <w:numPr>
                <w:ilvl w:val="1"/>
                <w:numId w:val="12"/>
              </w:numPr>
            </w:pPr>
            <w:r>
              <w:t>discard/quarantine blood units</w:t>
            </w:r>
          </w:p>
          <w:p w14:paraId="453591E0" w14:textId="77777777" w:rsidR="0028759D" w:rsidRDefault="0028759D" w:rsidP="0028759D">
            <w:pPr>
              <w:pStyle w:val="TableTextBullet"/>
              <w:numPr>
                <w:ilvl w:val="1"/>
                <w:numId w:val="12"/>
              </w:numPr>
            </w:pPr>
            <w:r>
              <w:t>release units from patient assignment</w:t>
            </w:r>
          </w:p>
          <w:p w14:paraId="332A0DCD" w14:textId="77777777" w:rsidR="0028759D" w:rsidRDefault="0028759D" w:rsidP="0028759D">
            <w:pPr>
              <w:pStyle w:val="TableTextBullet"/>
              <w:numPr>
                <w:ilvl w:val="1"/>
                <w:numId w:val="12"/>
              </w:numPr>
            </w:pPr>
            <w:r>
              <w:t>return issued units to blood bank</w:t>
            </w:r>
          </w:p>
          <w:p w14:paraId="6F6039A0" w14:textId="77777777" w:rsidR="0028759D" w:rsidRDefault="0028759D" w:rsidP="0005347A">
            <w:pPr>
              <w:pStyle w:val="TableTextBullet"/>
            </w:pPr>
            <w:r>
              <w:t>Activate/edit some shipper information.</w:t>
            </w:r>
          </w:p>
          <w:p w14:paraId="598FAC41" w14:textId="77777777" w:rsidR="0028759D" w:rsidRDefault="0028759D" w:rsidP="0005347A">
            <w:pPr>
              <w:pStyle w:val="TableTextBullet"/>
            </w:pPr>
            <w:r>
              <w:t>Activate/edit some blood product information.</w:t>
            </w:r>
          </w:p>
        </w:tc>
        <w:tc>
          <w:tcPr>
            <w:tcW w:w="2322" w:type="dxa"/>
            <w:vAlign w:val="center"/>
          </w:tcPr>
          <w:p w14:paraId="77D020A3" w14:textId="77777777" w:rsidR="0028759D" w:rsidRDefault="0028759D" w:rsidP="0005347A">
            <w:pPr>
              <w:pStyle w:val="TableText"/>
            </w:pPr>
            <w:r>
              <w:t>Rotating technologists, n</w:t>
            </w:r>
            <w:r w:rsidRPr="003738EE">
              <w:t>ew employees</w:t>
            </w:r>
            <w:r>
              <w:t>,</w:t>
            </w:r>
            <w:r w:rsidRPr="003738EE">
              <w:t xml:space="preserve"> and </w:t>
            </w:r>
            <w:r>
              <w:t>s</w:t>
            </w:r>
            <w:r w:rsidRPr="003738EE">
              <w:t xml:space="preserve">tudents </w:t>
            </w:r>
            <w:r>
              <w:t>trained</w:t>
            </w:r>
            <w:r w:rsidRPr="003738EE">
              <w:t xml:space="preserve"> to perform </w:t>
            </w:r>
            <w:r>
              <w:t xml:space="preserve">associated tasks and </w:t>
            </w:r>
            <w:r w:rsidRPr="003738EE">
              <w:t>overrides</w:t>
            </w:r>
            <w:r>
              <w:t>.</w:t>
            </w:r>
          </w:p>
        </w:tc>
      </w:tr>
      <w:tr w:rsidR="0028759D" w14:paraId="1A904010" w14:textId="77777777" w:rsidTr="0005347A">
        <w:trPr>
          <w:cantSplit/>
        </w:trPr>
        <w:tc>
          <w:tcPr>
            <w:tcW w:w="2958" w:type="dxa"/>
            <w:vAlign w:val="center"/>
          </w:tcPr>
          <w:p w14:paraId="1E8543DC" w14:textId="77777777" w:rsidR="0028759D" w:rsidRDefault="0028759D" w:rsidP="0005347A">
            <w:pPr>
              <w:pStyle w:val="TableText"/>
            </w:pPr>
            <w:bookmarkStart w:id="21" w:name="OLE_LINK1"/>
            <w:bookmarkStart w:id="22" w:name="OLE_LINK2"/>
            <w:r w:rsidRPr="00EC7489">
              <w:rPr>
                <w:rFonts w:ascii="Wingdings 3" w:hAnsi="Wingdings 3" w:cs="Wingdings"/>
              </w:rPr>
              <w:t></w:t>
            </w:r>
            <w:r w:rsidRPr="00EC7489">
              <w:rPr>
                <w:rFonts w:ascii="Wingdings 3" w:hAnsi="Wingdings 3" w:cs="Wingdings"/>
              </w:rPr>
              <w:t></w:t>
            </w:r>
            <w:r>
              <w:t xml:space="preserve"> </w:t>
            </w:r>
            <w:bookmarkEnd w:id="21"/>
            <w:bookmarkEnd w:id="22"/>
            <w:r>
              <w:t>Level 2: Enhanced Technologist</w:t>
            </w:r>
          </w:p>
        </w:tc>
        <w:tc>
          <w:tcPr>
            <w:tcW w:w="4080" w:type="dxa"/>
          </w:tcPr>
          <w:p w14:paraId="7989204A" w14:textId="77777777" w:rsidR="0028759D" w:rsidRDefault="0028759D" w:rsidP="0005347A">
            <w:pPr>
              <w:pStyle w:val="TableTextBullet"/>
            </w:pPr>
            <w:r>
              <w:t>Edit unit cost.</w:t>
            </w:r>
          </w:p>
          <w:p w14:paraId="1CA8C121" w14:textId="77777777" w:rsidR="0028759D" w:rsidRDefault="0028759D" w:rsidP="0005347A">
            <w:pPr>
              <w:pStyle w:val="TableTextBullet"/>
            </w:pPr>
            <w:r>
              <w:t>Modify/issue expired blood products.</w:t>
            </w:r>
          </w:p>
          <w:p w14:paraId="1105C76A" w14:textId="77777777" w:rsidR="0028759D" w:rsidRDefault="0028759D" w:rsidP="0005347A">
            <w:pPr>
              <w:pStyle w:val="TableTextBullet"/>
            </w:pPr>
            <w:r>
              <w:t>Release blood products from quarantine.</w:t>
            </w:r>
          </w:p>
          <w:p w14:paraId="25BFD85E" w14:textId="77777777" w:rsidR="0028759D" w:rsidRDefault="0028759D" w:rsidP="0005347A">
            <w:pPr>
              <w:pStyle w:val="TableTextBullet"/>
            </w:pPr>
            <w:r>
              <w:t xml:space="preserve">Edit unit information prior to defining patient associations. </w:t>
            </w:r>
          </w:p>
          <w:p w14:paraId="4BDC6417" w14:textId="77777777" w:rsidR="0028759D" w:rsidRDefault="0028759D" w:rsidP="0005347A">
            <w:pPr>
              <w:pStyle w:val="TableTextBullet"/>
            </w:pPr>
            <w:r>
              <w:t>Edit verified unit confirmation testing.</w:t>
            </w:r>
          </w:p>
          <w:p w14:paraId="60F8AD4E" w14:textId="77777777" w:rsidR="0028759D" w:rsidRDefault="0028759D" w:rsidP="0005347A">
            <w:pPr>
              <w:pStyle w:val="TableTextBullet"/>
            </w:pPr>
            <w:r>
              <w:t xml:space="preserve">Edit patient record/verified data and test results (except the ABO/Rh for historic record and the antibody field, which results in an antigen negative requirement). </w:t>
            </w:r>
          </w:p>
          <w:p w14:paraId="3F1D7934" w14:textId="77777777" w:rsidR="0028759D" w:rsidRDefault="0028759D" w:rsidP="0005347A">
            <w:pPr>
              <w:pStyle w:val="TableTextBullet"/>
            </w:pPr>
            <w:r>
              <w:t>Release directed units to the main blood supply.</w:t>
            </w:r>
          </w:p>
        </w:tc>
        <w:tc>
          <w:tcPr>
            <w:tcW w:w="2322" w:type="dxa"/>
            <w:vAlign w:val="center"/>
          </w:tcPr>
          <w:p w14:paraId="68BFA0FF" w14:textId="77777777" w:rsidR="0028759D" w:rsidRDefault="0028759D" w:rsidP="0005347A">
            <w:pPr>
              <w:pStyle w:val="TableText"/>
            </w:pPr>
            <w:r>
              <w:rPr>
                <w:szCs w:val="20"/>
              </w:rPr>
              <w:t>Experienced t</w:t>
            </w:r>
            <w:r>
              <w:t>echnologists trained to process associated overrides and options.</w:t>
            </w:r>
          </w:p>
        </w:tc>
      </w:tr>
      <w:tr w:rsidR="0028759D" w:rsidRPr="005D0D6B" w14:paraId="53890470" w14:textId="77777777" w:rsidTr="0005347A">
        <w:trPr>
          <w:cantSplit/>
        </w:trPr>
        <w:tc>
          <w:tcPr>
            <w:tcW w:w="2958" w:type="dxa"/>
            <w:vAlign w:val="center"/>
          </w:tcPr>
          <w:p w14:paraId="2AF66F18"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3: Lead Technologist</w:t>
            </w:r>
          </w:p>
        </w:tc>
        <w:tc>
          <w:tcPr>
            <w:tcW w:w="4080" w:type="dxa"/>
          </w:tcPr>
          <w:p w14:paraId="4B10B7EC" w14:textId="77777777" w:rsidR="0028759D" w:rsidRDefault="0028759D" w:rsidP="0005347A">
            <w:pPr>
              <w:pStyle w:val="TableTextBullet"/>
              <w:rPr>
                <w:rFonts w:cs="Arial"/>
                <w:szCs w:val="16"/>
              </w:rPr>
            </w:pPr>
            <w:r>
              <w:rPr>
                <w:rFonts w:cs="Arial"/>
                <w:szCs w:val="16"/>
              </w:rPr>
              <w:t>Select/issue ABO incompatible blood.</w:t>
            </w:r>
          </w:p>
          <w:p w14:paraId="5B6CA828" w14:textId="77777777" w:rsidR="0028759D" w:rsidRDefault="0028759D" w:rsidP="0005347A">
            <w:pPr>
              <w:pStyle w:val="TableTextBullet"/>
              <w:rPr>
                <w:rFonts w:cs="Arial"/>
                <w:szCs w:val="16"/>
              </w:rPr>
            </w:pPr>
            <w:r>
              <w:t>Select/issue antigen positive or untyped red blood cells (for the clinically significant antibodies in the table).</w:t>
            </w:r>
          </w:p>
          <w:p w14:paraId="727BF50C" w14:textId="77777777" w:rsidR="0028759D" w:rsidRDefault="0028759D" w:rsidP="0005347A">
            <w:pPr>
              <w:pStyle w:val="TableTextBullet"/>
              <w:rPr>
                <w:rFonts w:cs="Arial"/>
                <w:szCs w:val="16"/>
              </w:rPr>
            </w:pPr>
            <w:r>
              <w:rPr>
                <w:rFonts w:cs="Arial"/>
                <w:szCs w:val="16"/>
              </w:rPr>
              <w:t>Maintain login message.</w:t>
            </w:r>
          </w:p>
        </w:tc>
        <w:tc>
          <w:tcPr>
            <w:tcW w:w="2322" w:type="dxa"/>
            <w:vAlign w:val="center"/>
          </w:tcPr>
          <w:p w14:paraId="1874CA7E" w14:textId="77777777" w:rsidR="0028759D" w:rsidRPr="005D0D6B" w:rsidRDefault="0028759D" w:rsidP="0005347A">
            <w:pPr>
              <w:pStyle w:val="TableText"/>
            </w:pPr>
            <w:r>
              <w:t>Experienced technologists trained to process associated overrides and options (e.g., evening- or night-shift supervisors).</w:t>
            </w:r>
          </w:p>
        </w:tc>
      </w:tr>
      <w:tr w:rsidR="0028759D" w:rsidRPr="005D0D6B" w14:paraId="23D2851D" w14:textId="77777777" w:rsidTr="0005347A">
        <w:trPr>
          <w:cantSplit/>
        </w:trPr>
        <w:tc>
          <w:tcPr>
            <w:tcW w:w="2958" w:type="dxa"/>
            <w:vAlign w:val="center"/>
          </w:tcPr>
          <w:p w14:paraId="4A7C0D29"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4: Traditional Supervisor</w:t>
            </w:r>
          </w:p>
        </w:tc>
        <w:tc>
          <w:tcPr>
            <w:tcW w:w="4080" w:type="dxa"/>
            <w:vAlign w:val="bottom"/>
          </w:tcPr>
          <w:p w14:paraId="1411BAE2" w14:textId="77777777" w:rsidR="0028759D" w:rsidRDefault="0028759D" w:rsidP="0005347A">
            <w:pPr>
              <w:pStyle w:val="TableTextBullet"/>
              <w:rPr>
                <w:rFonts w:cs="Arial"/>
              </w:rPr>
            </w:pPr>
            <w:r>
              <w:rPr>
                <w:rFonts w:cs="Arial"/>
                <w:szCs w:val="16"/>
              </w:rPr>
              <w:t>Maintain reagent minimum levels.</w:t>
            </w:r>
          </w:p>
          <w:p w14:paraId="073B338A" w14:textId="77777777" w:rsidR="0028759D" w:rsidRDefault="0028759D" w:rsidP="0005347A">
            <w:pPr>
              <w:pStyle w:val="TableTextBullet"/>
              <w:rPr>
                <w:rFonts w:cs="Arial"/>
                <w:szCs w:val="16"/>
              </w:rPr>
            </w:pPr>
            <w:r>
              <w:rPr>
                <w:rFonts w:cs="Arial"/>
                <w:szCs w:val="16"/>
              </w:rPr>
              <w:t>Edit permanent record of the patient’s historic ABO/Rh.</w:t>
            </w:r>
          </w:p>
          <w:p w14:paraId="0534FAE5" w14:textId="77777777" w:rsidR="0028759D" w:rsidRDefault="0028759D" w:rsidP="0005347A">
            <w:pPr>
              <w:pStyle w:val="TableTextBullet"/>
              <w:rPr>
                <w:rFonts w:cs="Arial"/>
                <w:szCs w:val="16"/>
              </w:rPr>
            </w:pPr>
            <w:r>
              <w:rPr>
                <w:rFonts w:cs="Arial"/>
                <w:szCs w:val="16"/>
              </w:rPr>
              <w:t>Edit Transfusion Requirements (TRs) and Special Instructions (SIs).</w:t>
            </w:r>
          </w:p>
          <w:p w14:paraId="5C89DAC9" w14:textId="77777777" w:rsidR="0028759D" w:rsidRDefault="0028759D" w:rsidP="0005347A">
            <w:pPr>
              <w:pStyle w:val="TableTextBullet"/>
              <w:rPr>
                <w:rFonts w:cs="Arial"/>
                <w:szCs w:val="16"/>
              </w:rPr>
            </w:pPr>
            <w:r>
              <w:rPr>
                <w:rFonts w:cs="Arial"/>
                <w:szCs w:val="16"/>
              </w:rPr>
              <w:t>Edit patient record red cell antibody permanent fields (match antigens in the antigen table).</w:t>
            </w:r>
          </w:p>
          <w:p w14:paraId="2F9B48AE" w14:textId="77777777" w:rsidR="0028759D" w:rsidRDefault="0028759D" w:rsidP="0005347A">
            <w:pPr>
              <w:pStyle w:val="TableTextBullet"/>
              <w:rPr>
                <w:rFonts w:cs="Arial"/>
                <w:szCs w:val="16"/>
              </w:rPr>
            </w:pPr>
            <w:r>
              <w:rPr>
                <w:rFonts w:cs="Arial"/>
                <w:szCs w:val="16"/>
              </w:rPr>
              <w:t>Edit a blood unit’s record (</w:t>
            </w:r>
            <w:r>
              <w:t>verified unit data when unit has any previous patient associations</w:t>
            </w:r>
            <w:r>
              <w:rPr>
                <w:rFonts w:cs="Arial"/>
                <w:szCs w:val="16"/>
              </w:rPr>
              <w:t>).</w:t>
            </w:r>
          </w:p>
          <w:p w14:paraId="7340181F" w14:textId="77777777" w:rsidR="0028759D" w:rsidRDefault="0028759D" w:rsidP="0005347A">
            <w:pPr>
              <w:pStyle w:val="TableTextBullet"/>
              <w:rPr>
                <w:rFonts w:cs="Arial"/>
                <w:szCs w:val="16"/>
              </w:rPr>
            </w:pPr>
            <w:r>
              <w:rPr>
                <w:rFonts w:cs="Arial"/>
                <w:szCs w:val="16"/>
              </w:rPr>
              <w:t>Edit a Patient’s Transfusion Record.</w:t>
            </w:r>
          </w:p>
          <w:p w14:paraId="7CEA4017" w14:textId="77777777" w:rsidR="0028759D" w:rsidRDefault="0028759D" w:rsidP="0005347A">
            <w:pPr>
              <w:pStyle w:val="TableTextBullet"/>
              <w:rPr>
                <w:rFonts w:cs="Arial"/>
                <w:szCs w:val="16"/>
              </w:rPr>
            </w:pPr>
            <w:r>
              <w:rPr>
                <w:rFonts w:cs="Arial"/>
                <w:szCs w:val="16"/>
              </w:rPr>
              <w:t>Remove a Blood Unit’s Final Status.</w:t>
            </w:r>
          </w:p>
        </w:tc>
        <w:tc>
          <w:tcPr>
            <w:tcW w:w="2322" w:type="dxa"/>
            <w:vAlign w:val="center"/>
          </w:tcPr>
          <w:p w14:paraId="41A9A2AC" w14:textId="77777777" w:rsidR="0028759D" w:rsidRPr="005D0D6B" w:rsidRDefault="0028759D" w:rsidP="0005347A">
            <w:pPr>
              <w:pStyle w:val="TableText"/>
            </w:pPr>
            <w:r>
              <w:rPr>
                <w:szCs w:val="20"/>
              </w:rPr>
              <w:t>Experienced b</w:t>
            </w:r>
            <w:r>
              <w:t>lood bank supervisors trained to process associated overrides and options</w:t>
            </w:r>
          </w:p>
        </w:tc>
      </w:tr>
      <w:tr w:rsidR="0028759D" w14:paraId="6B451824" w14:textId="77777777" w:rsidTr="0005347A">
        <w:trPr>
          <w:cantSplit/>
        </w:trPr>
        <w:tc>
          <w:tcPr>
            <w:tcW w:w="2958" w:type="dxa"/>
            <w:vAlign w:val="center"/>
          </w:tcPr>
          <w:p w14:paraId="5E498133" w14:textId="77777777" w:rsidR="0028759D" w:rsidRDefault="0028759D" w:rsidP="0005347A">
            <w:pPr>
              <w:pStyle w:val="TableText"/>
            </w:pPr>
            <w:r w:rsidRPr="00EC7489">
              <w:rPr>
                <w:rFonts w:ascii="Wingdings 3" w:hAnsi="Wingdings 3" w:cs="Wingdings"/>
              </w:rPr>
              <w:lastRenderedPageBreak/>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5: Enhanced Supervisor</w:t>
            </w:r>
          </w:p>
        </w:tc>
        <w:tc>
          <w:tcPr>
            <w:tcW w:w="4080" w:type="dxa"/>
            <w:vAlign w:val="bottom"/>
          </w:tcPr>
          <w:p w14:paraId="44EE6F4C" w14:textId="77777777" w:rsidR="0028759D" w:rsidRDefault="0028759D" w:rsidP="0005347A">
            <w:pPr>
              <w:pStyle w:val="TableTextBullet"/>
            </w:pPr>
            <w:r>
              <w:t>Edit antigen frequency table to reflect local population.</w:t>
            </w:r>
          </w:p>
          <w:p w14:paraId="0A30946C" w14:textId="77777777" w:rsidR="0028759D" w:rsidRDefault="0028759D" w:rsidP="0005347A">
            <w:pPr>
              <w:pStyle w:val="TableTextBullet"/>
            </w:pPr>
            <w:r>
              <w:t>Add new local shipper, not already on the table issued with VBECS.</w:t>
            </w:r>
          </w:p>
          <w:p w14:paraId="04BAB699" w14:textId="77777777" w:rsidR="0028759D" w:rsidRDefault="0028759D" w:rsidP="0005347A">
            <w:pPr>
              <w:pStyle w:val="TableTextBullet"/>
              <w:rPr>
                <w:rFonts w:cs="Arial"/>
              </w:rPr>
            </w:pPr>
            <w:r>
              <w:t>Edit and create canned comments for the division.</w:t>
            </w:r>
          </w:p>
          <w:p w14:paraId="09FBCA60" w14:textId="77777777" w:rsidR="0028759D" w:rsidRDefault="0028759D" w:rsidP="0005347A">
            <w:pPr>
              <w:pStyle w:val="TableTextBullet"/>
              <w:rPr>
                <w:rFonts w:cs="Arial"/>
              </w:rPr>
            </w:pPr>
            <w:r>
              <w:t>Edit and create consultative reports, templates, MSBOS, reagents, and equipment maintenance logs for the division.</w:t>
            </w:r>
          </w:p>
        </w:tc>
        <w:tc>
          <w:tcPr>
            <w:tcW w:w="2322" w:type="dxa"/>
            <w:vAlign w:val="center"/>
          </w:tcPr>
          <w:p w14:paraId="1B8F8098" w14:textId="77777777" w:rsidR="0028759D" w:rsidRDefault="0028759D" w:rsidP="0005347A">
            <w:pPr>
              <w:pStyle w:val="TableText"/>
            </w:pPr>
            <w:r>
              <w:rPr>
                <w:szCs w:val="20"/>
              </w:rPr>
              <w:t>Experienced b</w:t>
            </w:r>
            <w:r>
              <w:t>lood bank supervisors or VBECS administrators trained to process associated overrides and options</w:t>
            </w:r>
          </w:p>
        </w:tc>
      </w:tr>
      <w:tr w:rsidR="0028759D" w14:paraId="55C9C872" w14:textId="77777777" w:rsidTr="0005347A">
        <w:trPr>
          <w:cantSplit/>
        </w:trPr>
        <w:tc>
          <w:tcPr>
            <w:tcW w:w="2958" w:type="dxa"/>
            <w:vAlign w:val="center"/>
          </w:tcPr>
          <w:p w14:paraId="54BBFD83"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6: Administrator/Supervisor </w:t>
            </w:r>
          </w:p>
        </w:tc>
        <w:tc>
          <w:tcPr>
            <w:tcW w:w="4080" w:type="dxa"/>
            <w:vAlign w:val="bottom"/>
          </w:tcPr>
          <w:p w14:paraId="4AF95BBD" w14:textId="77777777" w:rsidR="0028759D" w:rsidRDefault="0028759D" w:rsidP="0005347A">
            <w:pPr>
              <w:pStyle w:val="TableTextBullet"/>
            </w:pPr>
            <w:r>
              <w:t xml:space="preserve">Define VBECS users’ security settings. </w:t>
            </w:r>
          </w:p>
          <w:p w14:paraId="5B4130A2" w14:textId="77777777" w:rsidR="0028759D" w:rsidRDefault="0028759D" w:rsidP="0005347A">
            <w:pPr>
              <w:pStyle w:val="TableTextBullet"/>
            </w:pPr>
            <w:r>
              <w:t>Define the division as full service or transfusion only.</w:t>
            </w:r>
          </w:p>
          <w:p w14:paraId="6EF3A1EC" w14:textId="77777777" w:rsidR="0028759D" w:rsidRDefault="0028759D" w:rsidP="0005347A">
            <w:pPr>
              <w:pStyle w:val="TableTextBullet"/>
            </w:pPr>
            <w:r>
              <w:t xml:space="preserve">Enable electronic crossmatch at the division. </w:t>
            </w:r>
          </w:p>
          <w:p w14:paraId="1397CA3B" w14:textId="77777777" w:rsidR="0028759D" w:rsidRDefault="0028759D" w:rsidP="0005347A">
            <w:pPr>
              <w:pStyle w:val="TableTextBullet"/>
            </w:pPr>
            <w:r>
              <w:t>Populate International Council for Commonality in Blood Banking Automation, Inc. (ICCBBA) number for the division.</w:t>
            </w:r>
          </w:p>
          <w:p w14:paraId="4135F7B3" w14:textId="77777777" w:rsidR="0028759D" w:rsidRDefault="0028759D" w:rsidP="0005347A">
            <w:pPr>
              <w:pStyle w:val="TableTextBullet"/>
            </w:pPr>
            <w:r>
              <w:t>Define valid unit modifications for the division.</w:t>
            </w:r>
          </w:p>
          <w:p w14:paraId="4E6C65B1" w14:textId="77777777" w:rsidR="0028759D" w:rsidRDefault="0028759D" w:rsidP="0005347A">
            <w:pPr>
              <w:pStyle w:val="TableTextBullet"/>
            </w:pPr>
            <w:r>
              <w:t>Assign workload codes for the division.</w:t>
            </w:r>
          </w:p>
          <w:p w14:paraId="2F862512" w14:textId="77777777" w:rsidR="0028759D" w:rsidRDefault="0028759D" w:rsidP="0005347A">
            <w:pPr>
              <w:pStyle w:val="TableTextBullet"/>
            </w:pPr>
            <w:r>
              <w:t>Configure testing.</w:t>
            </w:r>
          </w:p>
          <w:p w14:paraId="48490159" w14:textId="77777777" w:rsidR="0028759D" w:rsidRDefault="0028759D" w:rsidP="0005347A">
            <w:pPr>
              <w:pStyle w:val="TableTextBullet"/>
              <w:rPr>
                <w:rFonts w:cs="Arial"/>
                <w:color w:val="000000"/>
              </w:rPr>
            </w:pPr>
            <w:r>
              <w:t>Configure division.</w:t>
            </w:r>
          </w:p>
        </w:tc>
        <w:tc>
          <w:tcPr>
            <w:tcW w:w="2322" w:type="dxa"/>
            <w:vAlign w:val="center"/>
          </w:tcPr>
          <w:p w14:paraId="33C59D0F" w14:textId="77777777" w:rsidR="0028759D" w:rsidRDefault="0028759D" w:rsidP="0005347A">
            <w:pPr>
              <w:pStyle w:val="TableText"/>
            </w:pPr>
            <w:r>
              <w:t>VBECS administrators trained to process all overrides and options</w:t>
            </w:r>
            <w:r>
              <w:rPr>
                <w:szCs w:val="20"/>
              </w:rPr>
              <w:t xml:space="preserve"> not designed to change frequently</w:t>
            </w:r>
            <w:r>
              <w:t xml:space="preserve">. This role may be assigned temporarily to a blood bank supervisor at setup to configure the division. </w:t>
            </w:r>
          </w:p>
          <w:p w14:paraId="3F27073D" w14:textId="77777777" w:rsidR="0028759D" w:rsidRDefault="0028759D" w:rsidP="0005347A">
            <w:pPr>
              <w:pStyle w:val="TableText"/>
            </w:pPr>
          </w:p>
          <w:p w14:paraId="574D913D" w14:textId="77777777" w:rsidR="0028759D" w:rsidRDefault="0028759D" w:rsidP="0005347A">
            <w:pPr>
              <w:pStyle w:val="TableText"/>
            </w:pPr>
          </w:p>
        </w:tc>
      </w:tr>
    </w:tbl>
    <w:p w14:paraId="3CAE0026" w14:textId="77777777" w:rsidR="004A2D6F" w:rsidRDefault="002A21AE" w:rsidP="004A2D6F">
      <w:pPr>
        <w:pStyle w:val="BodyText"/>
      </w:pPr>
      <w:r>
        <w:t>The VA Wide Area Network (WAN) is protected from unauthorized access.</w:t>
      </w:r>
      <w:r w:rsidR="00467CDF">
        <w:t xml:space="preserve"> </w:t>
      </w:r>
      <w:r>
        <w:t xml:space="preserve"> The hardware running the VBECS application and its database will be installed</w:t>
      </w:r>
      <w:r w:rsidR="00D52853">
        <w:t xml:space="preserve"> at the Austin Information Technology Center [AITC (primary site)] and the </w:t>
      </w:r>
      <w:r w:rsidR="00C663F2">
        <w:t>Philadelphia</w:t>
      </w:r>
      <w:r w:rsidR="00D52853">
        <w:t xml:space="preserve"> Information Technology Center [PITC (disaster recovery site)]. Both sites are </w:t>
      </w:r>
      <w:r>
        <w:t xml:space="preserve">secure </w:t>
      </w:r>
      <w:r w:rsidR="00D52853">
        <w:t>data centers where they are protected against</w:t>
      </w:r>
      <w:r>
        <w:t xml:space="preserve"> unauthorized modifications and accidental damage.</w:t>
      </w:r>
    </w:p>
    <w:p w14:paraId="7A4889D8" w14:textId="77777777" w:rsidR="002A21AE" w:rsidRDefault="002A21AE" w:rsidP="0031313E">
      <w:pPr>
        <w:pStyle w:val="Heading2"/>
      </w:pPr>
      <w:bookmarkStart w:id="23" w:name="_Toc47516642"/>
      <w:r>
        <w:t>Application Architecture</w:t>
      </w:r>
      <w:bookmarkEnd w:id="23"/>
      <w:r>
        <w:fldChar w:fldCharType="begin"/>
      </w:r>
      <w:r>
        <w:instrText xml:space="preserve"> XE </w:instrText>
      </w:r>
      <w:r w:rsidR="00FA7E65">
        <w:instrText>“</w:instrText>
      </w:r>
      <w:r>
        <w:instrText>Application Architecture</w:instrText>
      </w:r>
      <w:r w:rsidR="00FA7E65">
        <w:instrText>”</w:instrText>
      </w:r>
      <w:r>
        <w:instrText xml:space="preserve"> </w:instrText>
      </w:r>
      <w:r>
        <w:fldChar w:fldCharType="end"/>
      </w:r>
    </w:p>
    <w:p w14:paraId="4BDD0DB7" w14:textId="77777777" w:rsidR="004F6DF9" w:rsidRDefault="004F6DF9" w:rsidP="004F6DF9">
      <w:pPr>
        <w:pStyle w:val="BodyText"/>
      </w:pPr>
      <w:r>
        <w:t>VBECS operates as a discrete application and interfaces with other VA systems using Health Level 7 (HL7) and VistALink.</w:t>
      </w:r>
    </w:p>
    <w:p w14:paraId="7A641532" w14:textId="77777777" w:rsidR="004F6DF9" w:rsidRDefault="004F6DF9" w:rsidP="004F6DF9">
      <w:pPr>
        <w:pStyle w:val="BodyText"/>
      </w:pPr>
      <w:r>
        <w:t>VBECS is a Windows-based application hosted on a server.  Users access VBECS through a graphical user interface and other VA systems interface with VBECS through Health Level 7 (HL7) and VistALink.</w:t>
      </w:r>
    </w:p>
    <w:p w14:paraId="6C8E18B2" w14:textId="77777777" w:rsidR="004F6DF9" w:rsidRDefault="004F6DF9" w:rsidP="004F6DF9">
      <w:pPr>
        <w:pStyle w:val="BodyText"/>
      </w:pPr>
      <w:r>
        <w:t>The major goals of the application are:</w:t>
      </w:r>
    </w:p>
    <w:p w14:paraId="2256567B" w14:textId="77777777" w:rsidR="004F6DF9" w:rsidRDefault="004F6DF9" w:rsidP="004F6DF9">
      <w:pPr>
        <w:pStyle w:val="ListBullet"/>
      </w:pPr>
      <w:r>
        <w:t xml:space="preserve">Improve the safety of blood/blood component transfusions by decreasing the risk of errors through effective use of current technology such as barcode scanning, retrieval of previous records to be used for comparison, and detection of inconsistencies in data input </w:t>
      </w:r>
    </w:p>
    <w:p w14:paraId="65408339" w14:textId="77777777" w:rsidR="004F6DF9" w:rsidRDefault="004F6DF9" w:rsidP="004F6DF9">
      <w:pPr>
        <w:pStyle w:val="ListBullet"/>
      </w:pPr>
      <w:r>
        <w:t>Improve the quality of patient care through evaluation of transfusion appropriateness and follow-up on the effectiveness of transfusions</w:t>
      </w:r>
    </w:p>
    <w:p w14:paraId="76F71A0A" w14:textId="77777777" w:rsidR="004F6DF9" w:rsidRDefault="004F6DF9" w:rsidP="004F6DF9">
      <w:pPr>
        <w:pStyle w:val="ListBullet"/>
      </w:pPr>
      <w:r>
        <w:t>Provide comprehensive reporting capabilities for quality monitoring within the transfusion service and for clinicians</w:t>
      </w:r>
    </w:p>
    <w:p w14:paraId="00AEE6E6" w14:textId="77777777" w:rsidR="004F6DF9" w:rsidRDefault="004F6DF9" w:rsidP="004F6DF9">
      <w:pPr>
        <w:pStyle w:val="BodyText"/>
      </w:pPr>
      <w:r>
        <w:t xml:space="preserve">VBECS operates in accordance with FDA regulations regarding change to a medical device. Areas of operation that are part of the VistA Blood Bank v5.2 software medical device (except for the donor module) are contained in this encapsulated VBECS package. Patient orders originate and are received from the Computerized Patient Record System (CPRS) and Laboratory applications. </w:t>
      </w:r>
    </w:p>
    <w:p w14:paraId="50DCC35F" w14:textId="77777777" w:rsidR="002A21AE" w:rsidRDefault="002A21AE">
      <w:pPr>
        <w:pStyle w:val="Heading2"/>
      </w:pPr>
      <w:bookmarkStart w:id="24" w:name="_Toc47516643"/>
      <w:r>
        <w:lastRenderedPageBreak/>
        <w:t>Hardware and Infrastructure Architecture</w:t>
      </w:r>
      <w:bookmarkEnd w:id="24"/>
      <w:r>
        <w:fldChar w:fldCharType="begin"/>
      </w:r>
      <w:r>
        <w:instrText xml:space="preserve"> XE </w:instrText>
      </w:r>
      <w:r w:rsidR="00FA7E65">
        <w:instrText>“</w:instrText>
      </w:r>
      <w:r>
        <w:instrText>Hardware and Infrastructure Architecture</w:instrText>
      </w:r>
      <w:r w:rsidR="00FA7E65">
        <w:instrText>”</w:instrText>
      </w:r>
      <w:r>
        <w:instrText xml:space="preserve"> </w:instrText>
      </w:r>
      <w:r>
        <w:fldChar w:fldCharType="end"/>
      </w:r>
    </w:p>
    <w:p w14:paraId="403FE7BC" w14:textId="1517E076" w:rsidR="003D487D" w:rsidRDefault="002A21AE" w:rsidP="0093421C">
      <w:pPr>
        <w:pStyle w:val="BodyText"/>
      </w:pPr>
      <w:r>
        <w:t xml:space="preserve">The VBECS application requires </w:t>
      </w:r>
      <w:r w:rsidR="00467CDF">
        <w:t xml:space="preserve">that </w:t>
      </w:r>
      <w:r>
        <w:t>hardware and system software serve five users in a sta</w:t>
      </w:r>
      <w:r w:rsidR="00467CDF">
        <w:t>ndard configuration and up to twenty-five</w:t>
      </w:r>
      <w:r>
        <w:t xml:space="preserve"> users in an integrated Veterans Integrated Service Netw</w:t>
      </w:r>
      <w:r w:rsidR="00295FAE">
        <w:t xml:space="preserve">ork (VISN) environment. </w:t>
      </w:r>
      <w:r w:rsidR="00742B82">
        <w:fldChar w:fldCharType="begin"/>
      </w:r>
      <w:r w:rsidR="00742B82">
        <w:instrText xml:space="preserve"> REF _Ref4511719 \h </w:instrText>
      </w:r>
      <w:r w:rsidR="00742B82">
        <w:fldChar w:fldCharType="separate"/>
      </w:r>
      <w:r w:rsidR="004353ED">
        <w:t xml:space="preserve">Figure </w:t>
      </w:r>
      <w:r w:rsidR="004353ED">
        <w:rPr>
          <w:noProof/>
        </w:rPr>
        <w:t>1</w:t>
      </w:r>
      <w:r w:rsidR="004353ED">
        <w:t>: System Schematic</w:t>
      </w:r>
      <w:r w:rsidR="00742B82">
        <w:fldChar w:fldCharType="end"/>
      </w:r>
      <w:r w:rsidR="00742B82">
        <w:t xml:space="preserve"> </w:t>
      </w:r>
      <w:r>
        <w:t>describes the major s</w:t>
      </w:r>
      <w:r w:rsidR="0025233A">
        <w:t>ystem components: a Windows 2008</w:t>
      </w:r>
      <w:r>
        <w:t xml:space="preserve"> Server system (the execution environment for the VB</w:t>
      </w:r>
      <w:r w:rsidR="009F2628">
        <w:t xml:space="preserve">ECS application) and </w:t>
      </w:r>
      <w:r w:rsidR="00ED264B">
        <w:t xml:space="preserve">Windows </w:t>
      </w:r>
      <w:r>
        <w:t xml:space="preserve">workstations for access to VBECS through Windows Remote Desktop Connection. The VBECS server communicates with and exchanges information with </w:t>
      </w:r>
      <w:r w:rsidR="000C7684" w:rsidRPr="0093421C">
        <w:t>VistA</w:t>
      </w:r>
      <w:r>
        <w:t xml:space="preserve"> applications through Extensible Markup Language (XML) and Health Level 7 (HL7) messages over Transmission Control Protocol/Internet Protocol (TCP/IP) networking.</w:t>
      </w:r>
    </w:p>
    <w:p w14:paraId="6EA9DC87" w14:textId="77777777" w:rsidR="002A249F" w:rsidRDefault="00ED264B" w:rsidP="0093421C">
      <w:pPr>
        <w:pStyle w:val="BodyText"/>
      </w:pPr>
      <w:r>
        <w:t xml:space="preserve">VBECS </w:t>
      </w:r>
      <w:r w:rsidR="003D487D">
        <w:t>is installed in a virtualized network</w:t>
      </w:r>
      <w:r w:rsidR="00CF5ACD">
        <w:t xml:space="preserve"> using </w:t>
      </w:r>
      <w:r w:rsidR="0043543A">
        <w:t>the vSphere platform</w:t>
      </w:r>
      <w:r w:rsidR="00CF5ACD">
        <w:t xml:space="preserve"> as the virtualization platform.</w:t>
      </w:r>
    </w:p>
    <w:p w14:paraId="057E20F5" w14:textId="292308B1" w:rsidR="00985C6D" w:rsidRDefault="00985C6D" w:rsidP="00985C6D">
      <w:pPr>
        <w:pStyle w:val="BodyText"/>
      </w:pPr>
      <w:r>
        <w:t xml:space="preserve">SQL Servers exist in </w:t>
      </w:r>
      <w:r w:rsidR="00FC0845" w:rsidRPr="00B80D79">
        <w:rPr>
          <w:color w:val="000000"/>
        </w:rPr>
        <w:t xml:space="preserve">Windows Server Failover Clustering with </w:t>
      </w:r>
      <w:r w:rsidR="00E86FBC" w:rsidRPr="00B80D79">
        <w:rPr>
          <w:color w:val="000000"/>
        </w:rPr>
        <w:t>Always On</w:t>
      </w:r>
      <w:r w:rsidR="00FC0845" w:rsidRPr="00B80D79">
        <w:rPr>
          <w:color w:val="000000"/>
        </w:rPr>
        <w:t xml:space="preserve"> cluster</w:t>
      </w:r>
      <w:r w:rsidR="00FC0845">
        <w:rPr>
          <w:color w:val="000000"/>
        </w:rPr>
        <w:t xml:space="preserve"> </w:t>
      </w:r>
      <w:r>
        <w:t>which consists of three nodes. The Primary and High Availability server reside at the primary site while a Disaster Recovery server resides at an alternate location:</w:t>
      </w:r>
    </w:p>
    <w:p w14:paraId="52C2F87F" w14:textId="77777777" w:rsidR="00985C6D" w:rsidRDefault="00985C6D" w:rsidP="000409B1">
      <w:pPr>
        <w:pStyle w:val="BodyText"/>
        <w:numPr>
          <w:ilvl w:val="0"/>
          <w:numId w:val="43"/>
        </w:numPr>
        <w:spacing w:before="0"/>
      </w:pPr>
      <w:r>
        <w:t xml:space="preserve">Primary server: This server </w:t>
      </w:r>
      <w:r w:rsidR="00473EA6">
        <w:t>fields all requests. Its data are</w:t>
      </w:r>
      <w:r>
        <w:t xml:space="preserve"> replicated to the High Availability and Disaster Recovery servers.</w:t>
      </w:r>
    </w:p>
    <w:p w14:paraId="1CC40165" w14:textId="77777777" w:rsidR="00473EA6" w:rsidRDefault="00985C6D" w:rsidP="000409B1">
      <w:pPr>
        <w:pStyle w:val="BodyText"/>
        <w:numPr>
          <w:ilvl w:val="0"/>
          <w:numId w:val="43"/>
        </w:numPr>
        <w:spacing w:before="0"/>
      </w:pPr>
      <w:r>
        <w:t xml:space="preserve">High Availability (HA) </w:t>
      </w:r>
      <w:r w:rsidR="00473EA6">
        <w:t xml:space="preserve">SQL </w:t>
      </w:r>
      <w:r>
        <w:t xml:space="preserve">server: </w:t>
      </w:r>
      <w:r w:rsidR="00473EA6">
        <w:t>This server provides database backup services through synchronous replication. Its data are guaranteed to be consistent with the Primary. It becomes the Primary should the original Primary server fail or become unreachable. Failover to this server is automatic.</w:t>
      </w:r>
    </w:p>
    <w:p w14:paraId="267650B1" w14:textId="7E9199D9" w:rsidR="00985C6D" w:rsidRDefault="00985C6D" w:rsidP="000409B1">
      <w:pPr>
        <w:pStyle w:val="BodyText"/>
        <w:numPr>
          <w:ilvl w:val="0"/>
          <w:numId w:val="43"/>
        </w:numPr>
        <w:spacing w:before="0"/>
      </w:pPr>
      <w:r>
        <w:t xml:space="preserve">Disaster Recovery (DR) </w:t>
      </w:r>
      <w:r w:rsidR="00473EA6">
        <w:t xml:space="preserve">SQL </w:t>
      </w:r>
      <w:r>
        <w:t>server: This server resides at a remote site and provides backup database services through asynchronous replication. It become</w:t>
      </w:r>
      <w:r w:rsidR="00473EA6">
        <w:t>s</w:t>
      </w:r>
      <w:r>
        <w:t xml:space="preserve"> the Primary server should both</w:t>
      </w:r>
      <w:r w:rsidR="000668C0">
        <w:t xml:space="preserve"> the Primary and HA server fail or become unreachable. Failover to this server is a manual process.</w:t>
      </w:r>
    </w:p>
    <w:p w14:paraId="32C8158A" w14:textId="0EE81C01" w:rsidR="00742B82" w:rsidRDefault="00742B82" w:rsidP="00742B82">
      <w:pPr>
        <w:pStyle w:val="Caption"/>
      </w:pPr>
      <w:bookmarkStart w:id="25" w:name="_Ref4511719"/>
      <w:r>
        <w:lastRenderedPageBreak/>
        <w:t xml:space="preserve">Figure </w:t>
      </w:r>
      <w:r w:rsidR="009D0CAA">
        <w:rPr>
          <w:noProof/>
        </w:rPr>
        <w:fldChar w:fldCharType="begin"/>
      </w:r>
      <w:r w:rsidR="009D0CAA">
        <w:rPr>
          <w:noProof/>
        </w:rPr>
        <w:instrText xml:space="preserve"> SEQ Figure \* ARABIC </w:instrText>
      </w:r>
      <w:r w:rsidR="009D0CAA">
        <w:rPr>
          <w:noProof/>
        </w:rPr>
        <w:fldChar w:fldCharType="separate"/>
      </w:r>
      <w:r w:rsidR="00022B7B">
        <w:rPr>
          <w:noProof/>
        </w:rPr>
        <w:t>1</w:t>
      </w:r>
      <w:r w:rsidR="009D0CAA">
        <w:rPr>
          <w:noProof/>
        </w:rPr>
        <w:fldChar w:fldCharType="end"/>
      </w:r>
      <w:r>
        <w:t>: System Schematic</w:t>
      </w:r>
      <w:bookmarkEnd w:id="25"/>
    </w:p>
    <w:p w14:paraId="3AB4A9BB" w14:textId="20D77E33" w:rsidR="00742B82" w:rsidRPr="00742B82" w:rsidRDefault="00D73EE4" w:rsidP="00742B82">
      <w:pPr>
        <w:pStyle w:val="BodyText"/>
      </w:pPr>
      <w:r>
        <w:object w:dxaOrig="12910" w:dyaOrig="11366" w14:anchorId="2E9DAC33">
          <v:shape id="_x0000_i1029" type="#_x0000_t75" alt="flow chart" style="width:467.7pt;height:410.1pt" o:ole="">
            <v:imagedata r:id="rId24" o:title=""/>
          </v:shape>
          <o:OLEObject Type="Embed" ProgID="Visio.Drawing.11" ShapeID="_x0000_i1029" DrawAspect="Content" ObjectID="_1693299366" r:id="rId25"/>
        </w:object>
      </w:r>
    </w:p>
    <w:p w14:paraId="29F3539E" w14:textId="77777777" w:rsidR="00966BAC" w:rsidRDefault="00966BAC">
      <w:pPr>
        <w:rPr>
          <w:rFonts w:ascii="Arial" w:hAnsi="Arial" w:cs="Arial"/>
          <w:b/>
          <w:bCs/>
          <w:sz w:val="26"/>
          <w:szCs w:val="26"/>
        </w:rPr>
      </w:pPr>
      <w:r>
        <w:br w:type="page"/>
      </w:r>
    </w:p>
    <w:p w14:paraId="24025757" w14:textId="76DBA937" w:rsidR="00190420" w:rsidRDefault="00D3324B" w:rsidP="002A249F">
      <w:pPr>
        <w:pStyle w:val="Heading3"/>
      </w:pPr>
      <w:bookmarkStart w:id="26" w:name="_Toc47516644"/>
      <w:r>
        <w:lastRenderedPageBreak/>
        <w:t>O</w:t>
      </w:r>
      <w:r w:rsidR="00190420">
        <w:t>ptions That Require VistALink</w:t>
      </w:r>
      <w:bookmarkEnd w:id="26"/>
    </w:p>
    <w:p w14:paraId="08DD718F" w14:textId="77777777" w:rsidR="00D3324B" w:rsidRDefault="00D3324B" w:rsidP="00D3324B">
      <w:pPr>
        <w:pStyle w:val="BodyText"/>
      </w:pPr>
      <w:r>
        <w:t>These options require a connection through VistALink. When VistALink is not active and VBECS requires access to VistA</w:t>
      </w:r>
      <w:r w:rsidR="008452BB">
        <w:t xml:space="preserve"> data</w:t>
      </w:r>
      <w:r>
        <w:t xml:space="preserve">, VBECS </w:t>
      </w:r>
      <w:r w:rsidR="004E13DE">
        <w:t>prompts</w:t>
      </w:r>
      <w:r>
        <w:t xml:space="preserve"> the user to activate VistALink.</w:t>
      </w:r>
      <w:r w:rsidR="00423948">
        <w:t xml:space="preserve"> When VistALink is not available, VBECS </w:t>
      </w:r>
      <w:r w:rsidR="00714365">
        <w:t>warns the user and asks him to</w:t>
      </w:r>
      <w:r w:rsidR="00423948" w:rsidRPr="009F4E8F">
        <w:t xml:space="preserve"> try again later.</w:t>
      </w:r>
    </w:p>
    <w:p w14:paraId="325A4355" w14:textId="77777777" w:rsidR="00C46850" w:rsidRPr="00D93651" w:rsidRDefault="00057948" w:rsidP="00C46850">
      <w:pPr>
        <w:pStyle w:val="Caution"/>
      </w:pPr>
      <w:r>
        <w:rPr>
          <w:noProof/>
        </w:rPr>
        <w:drawing>
          <wp:inline distT="0" distB="0" distL="0" distR="0" wp14:anchorId="048E138E" wp14:editId="061140A0">
            <wp:extent cx="267970" cy="221615"/>
            <wp:effectExtent l="0" t="0" r="0" b="6985"/>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bookmarkStart w:id="27" w:name="OLE_LINK57"/>
      <w:bookmarkStart w:id="28" w:name="OLE_LINK58"/>
      <w:r w:rsidR="00C46850">
        <w:t xml:space="preserve">Contact your local support </w:t>
      </w:r>
      <w:r w:rsidR="00E055FF">
        <w:t>staff immediately when VistALink is not available. VBECS, VistA and CPRS all depend on VistALink to exchange information</w:t>
      </w:r>
      <w:r w:rsidR="00C46850" w:rsidRPr="00D93651">
        <w:t>.</w:t>
      </w:r>
      <w:bookmarkEnd w:id="27"/>
      <w:bookmarkEnd w:id="28"/>
    </w:p>
    <w:p w14:paraId="4BD5D930" w14:textId="77777777" w:rsidR="00956F9E" w:rsidRPr="00D612CA" w:rsidRDefault="00956F9E" w:rsidP="00956F9E">
      <w:pPr>
        <w:pStyle w:val="ListBullet"/>
        <w:numPr>
          <w:ilvl w:val="0"/>
          <w:numId w:val="0"/>
        </w:numPr>
        <w:ind w:left="288" w:hanging="288"/>
      </w:pPr>
      <w:r w:rsidRPr="00956F9E">
        <w:rPr>
          <w:vanish/>
        </w:rPr>
        <w:t>UC</w:t>
      </w:r>
      <w:bookmarkStart w:id="29" w:name="_Ref126467435"/>
      <w:bookmarkStart w:id="30" w:name="_Toc97523611"/>
      <w:bookmarkStart w:id="31" w:name="_Toc97527581"/>
      <w:bookmarkStart w:id="32" w:name="_Ref126467267"/>
      <w:bookmarkStart w:id="33" w:name="_Ref126722632"/>
      <w:r w:rsidRPr="00956F9E">
        <w:t xml:space="preserve"> </w:t>
      </w:r>
      <w:r>
        <w:t xml:space="preserve">Main </w:t>
      </w:r>
      <w:r w:rsidRPr="00D612CA">
        <w:t>Menu: Orders</w:t>
      </w:r>
    </w:p>
    <w:p w14:paraId="65F9E0F3" w14:textId="77777777" w:rsidR="00956F9E" w:rsidRDefault="00956F9E" w:rsidP="00956F9E">
      <w:pPr>
        <w:pStyle w:val="ListBullet"/>
        <w:tabs>
          <w:tab w:val="num" w:pos="720"/>
        </w:tabs>
        <w:spacing w:after="120"/>
        <w:ind w:left="720"/>
      </w:pPr>
      <w:r>
        <w:t>Accept Orders: Pending Order List</w:t>
      </w:r>
      <w:r w:rsidRPr="00953FEE">
        <w:t xml:space="preserve"> </w:t>
      </w:r>
      <w:r w:rsidRPr="00722837">
        <w:rPr>
          <w:vanish/>
        </w:rPr>
        <w:t>UC_88</w:t>
      </w:r>
    </w:p>
    <w:p w14:paraId="3E37B44D" w14:textId="77777777" w:rsidR="00956F9E" w:rsidRDefault="00956F9E" w:rsidP="00956F9E">
      <w:pPr>
        <w:pStyle w:val="ListBullet"/>
        <w:numPr>
          <w:ilvl w:val="0"/>
          <w:numId w:val="0"/>
        </w:numPr>
      </w:pPr>
      <w:r>
        <w:t xml:space="preserve">Main </w:t>
      </w:r>
      <w:r w:rsidRPr="00D612CA">
        <w:t xml:space="preserve">Menu: </w:t>
      </w:r>
      <w:r>
        <w:t>Blood Units</w:t>
      </w:r>
    </w:p>
    <w:p w14:paraId="7A0CC8A2" w14:textId="77777777" w:rsidR="00956F9E" w:rsidRDefault="00956F9E" w:rsidP="00956F9E">
      <w:pPr>
        <w:pStyle w:val="ListBullet"/>
        <w:tabs>
          <w:tab w:val="num" w:pos="720"/>
        </w:tabs>
        <w:ind w:left="720"/>
      </w:pPr>
      <w:r>
        <w:t>Edit Unit Information (used when editing patient restrictions)</w:t>
      </w:r>
    </w:p>
    <w:p w14:paraId="5779E6D0" w14:textId="77777777" w:rsidR="00956F9E" w:rsidRPr="00953FEE" w:rsidRDefault="00956F9E" w:rsidP="00956F9E">
      <w:pPr>
        <w:pStyle w:val="ListBullet"/>
        <w:tabs>
          <w:tab w:val="num" w:pos="720"/>
        </w:tabs>
        <w:spacing w:after="120"/>
        <w:ind w:left="720"/>
      </w:pPr>
      <w:r w:rsidRPr="00953FEE">
        <w:t xml:space="preserve">Return Issued Units To Blood Bank </w:t>
      </w:r>
      <w:r w:rsidRPr="00953FEE">
        <w:rPr>
          <w:vanish/>
        </w:rPr>
        <w:t>UC_59</w:t>
      </w:r>
    </w:p>
    <w:p w14:paraId="7A988C0E" w14:textId="77777777" w:rsidR="00956F9E" w:rsidRPr="00D612CA" w:rsidRDefault="00956F9E" w:rsidP="00956F9E">
      <w:pPr>
        <w:pStyle w:val="ListBullet"/>
        <w:numPr>
          <w:ilvl w:val="0"/>
          <w:numId w:val="0"/>
        </w:numPr>
      </w:pPr>
      <w:r>
        <w:t xml:space="preserve">Main </w:t>
      </w:r>
      <w:r w:rsidRPr="00D612CA">
        <w:t>Menu: Patients</w:t>
      </w:r>
    </w:p>
    <w:p w14:paraId="4941F4C3" w14:textId="77777777" w:rsidR="00956F9E" w:rsidRPr="00D612CA" w:rsidRDefault="00956F9E" w:rsidP="00956F9E">
      <w:pPr>
        <w:pStyle w:val="ListBullet"/>
        <w:tabs>
          <w:tab w:val="num" w:pos="720"/>
        </w:tabs>
        <w:ind w:left="720"/>
      </w:pPr>
      <w:r w:rsidRPr="00D612CA">
        <w:t xml:space="preserve">Post-Transfusion Information </w:t>
      </w:r>
      <w:r w:rsidRPr="00D612CA">
        <w:rPr>
          <w:vanish/>
        </w:rPr>
        <w:t>UC_70</w:t>
      </w:r>
      <w:r w:rsidRPr="00D612CA">
        <w:t xml:space="preserve"> </w:t>
      </w:r>
      <w:r w:rsidRPr="00D612CA">
        <w:rPr>
          <w:vanish/>
        </w:rPr>
        <w:t>DR 4354</w:t>
      </w:r>
    </w:p>
    <w:p w14:paraId="0257CA77" w14:textId="77777777" w:rsidR="00956F9E" w:rsidRPr="00953FEE" w:rsidRDefault="00956F9E" w:rsidP="00956F9E">
      <w:pPr>
        <w:pStyle w:val="ListBullet"/>
        <w:tabs>
          <w:tab w:val="num" w:pos="720"/>
        </w:tabs>
        <w:ind w:left="720"/>
      </w:pPr>
      <w:r w:rsidRPr="00D612CA">
        <w:t>Return</w:t>
      </w:r>
      <w:r w:rsidRPr="00953FEE">
        <w:t xml:space="preserve"> Issued Units To Blood Bank </w:t>
      </w:r>
      <w:r w:rsidRPr="00953FEE">
        <w:rPr>
          <w:vanish/>
        </w:rPr>
        <w:t>UC_59</w:t>
      </w:r>
    </w:p>
    <w:p w14:paraId="7CFEE0BD" w14:textId="77777777" w:rsidR="00956F9E" w:rsidRPr="00D612CA" w:rsidRDefault="00956F9E" w:rsidP="00956F9E">
      <w:pPr>
        <w:pStyle w:val="ListBullet"/>
        <w:tabs>
          <w:tab w:val="num" w:pos="720"/>
        </w:tabs>
        <w:spacing w:after="120"/>
        <w:ind w:left="720"/>
      </w:pPr>
      <w:r w:rsidRPr="00D612CA">
        <w:t>Issue Blood Components</w:t>
      </w:r>
      <w:r w:rsidR="009C7B46">
        <w:t xml:space="preserve"> (to include a hospital location)</w:t>
      </w:r>
      <w:r w:rsidRPr="00D612CA">
        <w:t xml:space="preserve"> </w:t>
      </w:r>
      <w:r w:rsidRPr="00D612CA">
        <w:rPr>
          <w:vanish/>
        </w:rPr>
        <w:t>UC_73</w:t>
      </w:r>
      <w:r w:rsidR="009C7B46">
        <w:rPr>
          <w:vanish/>
        </w:rPr>
        <w:t xml:space="preserve"> </w:t>
      </w:r>
      <w:r w:rsidR="009C7B46" w:rsidRPr="009C7B46">
        <w:rPr>
          <w:vanish/>
        </w:rPr>
        <w:t xml:space="preserve">DR 5073 </w:t>
      </w:r>
    </w:p>
    <w:p w14:paraId="5900A4A1" w14:textId="77777777" w:rsidR="00956F9E" w:rsidRPr="00D612CA" w:rsidRDefault="00956F9E" w:rsidP="00956F9E">
      <w:pPr>
        <w:pStyle w:val="ListBullet"/>
        <w:numPr>
          <w:ilvl w:val="0"/>
          <w:numId w:val="0"/>
        </w:numPr>
        <w:ind w:left="288" w:hanging="288"/>
      </w:pPr>
      <w:r>
        <w:t xml:space="preserve">Main </w:t>
      </w:r>
      <w:r w:rsidRPr="00D612CA">
        <w:t>Menu: Shipments</w:t>
      </w:r>
    </w:p>
    <w:p w14:paraId="08B88989" w14:textId="77777777" w:rsidR="00956F9E" w:rsidRPr="00D612CA" w:rsidRDefault="00956F9E" w:rsidP="00956F9E">
      <w:pPr>
        <w:pStyle w:val="ListBullet"/>
        <w:tabs>
          <w:tab w:val="num" w:pos="720"/>
        </w:tabs>
        <w:spacing w:after="120"/>
        <w:ind w:left="720"/>
      </w:pPr>
      <w:r w:rsidRPr="00D612CA">
        <w:t xml:space="preserve">Incoming Shipment (used when restricting units to patients) </w:t>
      </w:r>
      <w:r w:rsidRPr="00D612CA">
        <w:rPr>
          <w:vanish/>
        </w:rPr>
        <w:t>UC_01</w:t>
      </w:r>
    </w:p>
    <w:p w14:paraId="2A810677" w14:textId="77777777" w:rsidR="00956F9E" w:rsidRPr="00D612CA" w:rsidRDefault="00956F9E" w:rsidP="00956F9E">
      <w:pPr>
        <w:pStyle w:val="ListBullet"/>
        <w:numPr>
          <w:ilvl w:val="0"/>
          <w:numId w:val="0"/>
        </w:numPr>
        <w:ind w:left="288" w:hanging="288"/>
      </w:pPr>
      <w:r>
        <w:t xml:space="preserve">Main </w:t>
      </w:r>
      <w:r w:rsidRPr="00D612CA">
        <w:t>Menu: Tools</w:t>
      </w:r>
    </w:p>
    <w:p w14:paraId="32E1D7D3" w14:textId="05AD2988" w:rsidR="00956F9E" w:rsidRPr="00D612CA" w:rsidRDefault="00956F9E" w:rsidP="00956F9E">
      <w:pPr>
        <w:pStyle w:val="ListBullet"/>
        <w:tabs>
          <w:tab w:val="num" w:pos="720"/>
        </w:tabs>
        <w:ind w:left="720"/>
      </w:pPr>
      <w:r w:rsidRPr="00D612CA">
        <w:t xml:space="preserve">Blood Products </w:t>
      </w:r>
      <w:r w:rsidRPr="00D612CA">
        <w:rPr>
          <w:vanish/>
        </w:rPr>
        <w:t>UC_08</w:t>
      </w:r>
    </w:p>
    <w:p w14:paraId="1D219644" w14:textId="5F1EE799" w:rsidR="00956F9E" w:rsidRPr="00D612CA" w:rsidRDefault="00956F9E" w:rsidP="00956F9E">
      <w:pPr>
        <w:pStyle w:val="ListBullet"/>
        <w:tabs>
          <w:tab w:val="num" w:pos="720"/>
        </w:tabs>
        <w:ind w:left="720"/>
      </w:pPr>
      <w:r w:rsidRPr="00D612CA">
        <w:t xml:space="preserve">Component Classes </w:t>
      </w:r>
      <w:r w:rsidRPr="00D612CA">
        <w:rPr>
          <w:vanish/>
        </w:rPr>
        <w:t>UC_5</w:t>
      </w:r>
      <w:r w:rsidR="00C15955">
        <w:rPr>
          <w:vanish/>
        </w:rPr>
        <w:t>0</w:t>
      </w:r>
    </w:p>
    <w:p w14:paraId="2C8E75A9" w14:textId="3FA7C454" w:rsidR="00956F9E" w:rsidRPr="00D612CA" w:rsidRDefault="00956F9E" w:rsidP="00956F9E">
      <w:pPr>
        <w:pStyle w:val="ListBullet"/>
        <w:tabs>
          <w:tab w:val="num" w:pos="720"/>
        </w:tabs>
        <w:ind w:left="720"/>
      </w:pPr>
      <w:r w:rsidRPr="00D612CA">
        <w:t xml:space="preserve">Transfusion Complications </w:t>
      </w:r>
      <w:r w:rsidRPr="00D612CA">
        <w:rPr>
          <w:vanish/>
        </w:rPr>
        <w:t>UC_3</w:t>
      </w:r>
      <w:r w:rsidR="00C15955">
        <w:rPr>
          <w:vanish/>
        </w:rPr>
        <w:t>4</w:t>
      </w:r>
    </w:p>
    <w:p w14:paraId="7044AEC1" w14:textId="2223AC00" w:rsidR="00956F9E" w:rsidRPr="00D612CA" w:rsidRDefault="00956F9E" w:rsidP="00956F9E">
      <w:pPr>
        <w:pStyle w:val="ListBullet"/>
        <w:tabs>
          <w:tab w:val="num" w:pos="720"/>
        </w:tabs>
        <w:ind w:left="720"/>
      </w:pPr>
      <w:r w:rsidRPr="00D612CA">
        <w:t xml:space="preserve">Transfusion Effectiveness </w:t>
      </w:r>
      <w:r w:rsidRPr="00D612CA">
        <w:rPr>
          <w:vanish/>
        </w:rPr>
        <w:t>UC_3</w:t>
      </w:r>
      <w:r w:rsidR="00C15955">
        <w:rPr>
          <w:vanish/>
        </w:rPr>
        <w:t>3</w:t>
      </w:r>
    </w:p>
    <w:p w14:paraId="15F12491" w14:textId="4D8A3B8A" w:rsidR="00956F9E" w:rsidRPr="00D612CA" w:rsidRDefault="00956F9E" w:rsidP="00956F9E">
      <w:pPr>
        <w:pStyle w:val="ListBullet"/>
        <w:tabs>
          <w:tab w:val="num" w:pos="720"/>
        </w:tabs>
        <w:spacing w:after="120"/>
        <w:ind w:left="720"/>
      </w:pPr>
      <w:r w:rsidRPr="00D612CA">
        <w:t xml:space="preserve"> Workload Codes </w:t>
      </w:r>
      <w:r w:rsidRPr="00D612CA">
        <w:rPr>
          <w:vanish/>
        </w:rPr>
        <w:t>UC_2</w:t>
      </w:r>
      <w:r w:rsidR="00C15955">
        <w:rPr>
          <w:vanish/>
        </w:rPr>
        <w:t>9</w:t>
      </w:r>
    </w:p>
    <w:p w14:paraId="5F148B4B" w14:textId="77777777" w:rsidR="00956F9E" w:rsidRPr="00D612CA" w:rsidRDefault="00956F9E" w:rsidP="00956F9E">
      <w:pPr>
        <w:pStyle w:val="ListBullet"/>
        <w:numPr>
          <w:ilvl w:val="0"/>
          <w:numId w:val="0"/>
        </w:numPr>
        <w:ind w:left="288" w:hanging="288"/>
      </w:pPr>
      <w:r>
        <w:t xml:space="preserve">Main </w:t>
      </w:r>
      <w:r w:rsidRPr="00D612CA">
        <w:t>Menu: Supervisor</w:t>
      </w:r>
    </w:p>
    <w:p w14:paraId="32309410" w14:textId="77777777" w:rsidR="00956F9E" w:rsidRDefault="00956F9E" w:rsidP="00956F9E">
      <w:pPr>
        <w:pStyle w:val="ListBullet"/>
        <w:tabs>
          <w:tab w:val="num" w:pos="720"/>
        </w:tabs>
        <w:spacing w:after="120"/>
        <w:ind w:left="720"/>
        <w:rPr>
          <w:lang w:val="fr-FR"/>
        </w:rPr>
      </w:pPr>
      <w:r w:rsidRPr="00D612CA">
        <w:rPr>
          <w:snapToGrid w:val="0"/>
          <w:lang w:val="fr-FR"/>
        </w:rPr>
        <w:t>Document ABO</w:t>
      </w:r>
      <w:r w:rsidRPr="006E05B3">
        <w:rPr>
          <w:snapToGrid w:val="0"/>
          <w:lang w:val="fr-FR"/>
        </w:rPr>
        <w:t xml:space="preserve"> Incompatible </w:t>
      </w:r>
      <w:r w:rsidRPr="00F3392A">
        <w:rPr>
          <w:snapToGrid w:val="0"/>
          <w:lang w:val="fr-FR"/>
        </w:rPr>
        <w:t>Transfusion</w:t>
      </w:r>
      <w:r w:rsidRPr="00F3392A">
        <w:rPr>
          <w:lang w:val="fr-FR"/>
        </w:rPr>
        <w:t xml:space="preserve"> </w:t>
      </w:r>
      <w:r w:rsidRPr="00F3392A">
        <w:rPr>
          <w:vanish/>
          <w:lang w:val="fr-FR"/>
        </w:rPr>
        <w:t>U</w:t>
      </w:r>
      <w:r w:rsidR="00F3392A" w:rsidRPr="00F3392A">
        <w:rPr>
          <w:vanish/>
          <w:lang w:val="fr-FR"/>
        </w:rPr>
        <w:t>C</w:t>
      </w:r>
      <w:r w:rsidR="00F3392A">
        <w:rPr>
          <w:vanish/>
          <w:lang w:val="fr-FR"/>
        </w:rPr>
        <w:t>_69</w:t>
      </w:r>
    </w:p>
    <w:p w14:paraId="0CACFF29" w14:textId="77777777" w:rsidR="00956F9E" w:rsidRPr="00A8078B" w:rsidRDefault="00956F9E" w:rsidP="00956F9E">
      <w:pPr>
        <w:pStyle w:val="ListBullet"/>
        <w:numPr>
          <w:ilvl w:val="0"/>
          <w:numId w:val="0"/>
        </w:numPr>
      </w:pPr>
      <w:r w:rsidRPr="00A8078B">
        <w:t>Main Menu: Reports</w:t>
      </w:r>
    </w:p>
    <w:p w14:paraId="63C57719" w14:textId="77777777" w:rsidR="00956F9E" w:rsidRPr="00A8078B" w:rsidRDefault="00956F9E" w:rsidP="00956F9E">
      <w:pPr>
        <w:pStyle w:val="ListBullet"/>
        <w:tabs>
          <w:tab w:val="num" w:pos="720"/>
        </w:tabs>
        <w:ind w:left="720"/>
      </w:pPr>
      <w:r w:rsidRPr="00A8078B">
        <w:t xml:space="preserve">Transfusion Complications Report </w:t>
      </w:r>
      <w:r w:rsidRPr="00A8078B">
        <w:rPr>
          <w:vanish/>
        </w:rPr>
        <w:t>UC_90</w:t>
      </w:r>
    </w:p>
    <w:p w14:paraId="2976E48F" w14:textId="77777777" w:rsidR="00956F9E" w:rsidRPr="00A8078B" w:rsidRDefault="00956F9E" w:rsidP="00956F9E">
      <w:pPr>
        <w:pStyle w:val="ListBullet"/>
        <w:tabs>
          <w:tab w:val="num" w:pos="720"/>
        </w:tabs>
        <w:ind w:left="720"/>
      </w:pPr>
      <w:r w:rsidRPr="00A8078B">
        <w:t xml:space="preserve">Transfusion Effectiveness Report </w:t>
      </w:r>
      <w:r w:rsidRPr="00A8078B">
        <w:rPr>
          <w:vanish/>
        </w:rPr>
        <w:t>UC_91</w:t>
      </w:r>
    </w:p>
    <w:p w14:paraId="512AF9B2" w14:textId="77777777" w:rsidR="00956F9E" w:rsidRPr="00A8078B" w:rsidRDefault="00956F9E" w:rsidP="00956F9E">
      <w:pPr>
        <w:pStyle w:val="ListBullet"/>
        <w:tabs>
          <w:tab w:val="num" w:pos="720"/>
        </w:tabs>
        <w:ind w:left="720"/>
      </w:pPr>
      <w:r w:rsidRPr="00A8078B">
        <w:t xml:space="preserve">Transfusion Requirements Report </w:t>
      </w:r>
      <w:r w:rsidRPr="00A8078B">
        <w:rPr>
          <w:vanish/>
        </w:rPr>
        <w:t>UC_89</w:t>
      </w:r>
      <w:r w:rsidRPr="00A8078B">
        <w:t xml:space="preserve"> </w:t>
      </w:r>
    </w:p>
    <w:p w14:paraId="78BA00E5" w14:textId="77777777" w:rsidR="00956F9E" w:rsidRPr="00A8078B" w:rsidRDefault="00956F9E" w:rsidP="00956F9E">
      <w:pPr>
        <w:pStyle w:val="ListBullet"/>
        <w:tabs>
          <w:tab w:val="num" w:pos="720"/>
        </w:tabs>
        <w:spacing w:after="120"/>
        <w:ind w:left="720"/>
      </w:pPr>
      <w:r w:rsidRPr="00A8078B">
        <w:t xml:space="preserve">Medication Profile </w:t>
      </w:r>
      <w:r w:rsidRPr="00A8078B">
        <w:rPr>
          <w:vanish/>
        </w:rPr>
        <w:t>UC_46</w:t>
      </w:r>
      <w:r w:rsidRPr="00A8078B">
        <w:t>(Reports or from the Patient Tool Bar icon)</w:t>
      </w:r>
    </w:p>
    <w:p w14:paraId="12C14C3A" w14:textId="77777777" w:rsidR="00956F9E" w:rsidRPr="00A8078B" w:rsidRDefault="00956F9E" w:rsidP="00956F9E">
      <w:pPr>
        <w:pStyle w:val="ListBullet"/>
        <w:numPr>
          <w:ilvl w:val="0"/>
          <w:numId w:val="0"/>
        </w:numPr>
      </w:pPr>
      <w:r w:rsidRPr="00A8078B">
        <w:t>Main menu window, icon in the bottom of the window:</w:t>
      </w:r>
    </w:p>
    <w:p w14:paraId="1C960A70" w14:textId="68464528" w:rsidR="00956F9E" w:rsidRPr="00A8078B" w:rsidRDefault="00956F9E" w:rsidP="00956F9E">
      <w:pPr>
        <w:pStyle w:val="ListBullet"/>
        <w:tabs>
          <w:tab w:val="num" w:pos="720"/>
        </w:tabs>
        <w:ind w:left="720"/>
      </w:pPr>
      <w:r w:rsidRPr="00A8078B">
        <w:t>Display Order Alerts</w:t>
      </w:r>
      <w:r w:rsidR="00C15955" w:rsidRPr="00A8078B">
        <w:t xml:space="preserve"> </w:t>
      </w:r>
      <w:r w:rsidR="00C15955" w:rsidRPr="00A8078B">
        <w:rPr>
          <w:vanish/>
        </w:rPr>
        <w:t>UC_84</w:t>
      </w:r>
    </w:p>
    <w:p w14:paraId="21AA0B88" w14:textId="77777777" w:rsidR="00742B82" w:rsidRPr="00A8078B" w:rsidRDefault="00742B82">
      <w:pPr>
        <w:rPr>
          <w:rFonts w:ascii="Arial" w:hAnsi="Arial" w:cs="Arial"/>
          <w:b/>
          <w:bCs/>
          <w:sz w:val="26"/>
          <w:szCs w:val="26"/>
        </w:rPr>
      </w:pPr>
      <w:r w:rsidRPr="00A8078B">
        <w:br w:type="page"/>
      </w:r>
    </w:p>
    <w:p w14:paraId="431B3B76" w14:textId="19425B02" w:rsidR="004B200B" w:rsidRDefault="004B200B" w:rsidP="004B200B">
      <w:pPr>
        <w:pStyle w:val="Heading3"/>
      </w:pPr>
      <w:bookmarkStart w:id="34" w:name="_Toc47516645"/>
      <w:r>
        <w:lastRenderedPageBreak/>
        <w:t>VBECS Patching</w:t>
      </w:r>
      <w:bookmarkEnd w:id="34"/>
    </w:p>
    <w:p w14:paraId="06C4F05E" w14:textId="751E36F4" w:rsidR="004B200B" w:rsidRDefault="004B200B" w:rsidP="004B200B">
      <w:pPr>
        <w:pStyle w:val="BodyText"/>
        <w:rPr>
          <w:rFonts w:eastAsia="Arial Unicode MS"/>
        </w:rPr>
      </w:pPr>
      <w:r>
        <w:rPr>
          <w:rFonts w:eastAsia="Arial Unicode MS"/>
        </w:rPr>
        <w:t>During the time a VBECS patch</w:t>
      </w:r>
      <w:r w:rsidR="0088177A">
        <w:rPr>
          <w:rFonts w:eastAsia="Arial Unicode MS"/>
        </w:rPr>
        <w:t>/upgrade</w:t>
      </w:r>
      <w:r w:rsidR="00AE4EE4">
        <w:rPr>
          <w:rFonts w:eastAsia="Arial Unicode MS"/>
        </w:rPr>
        <w:t xml:space="preserve"> is being applied, u</w:t>
      </w:r>
      <w:r w:rsidR="00AE4EE4">
        <w:t xml:space="preserve">sers connected to a VBECS </w:t>
      </w:r>
      <w:r w:rsidR="0088177A">
        <w:t xml:space="preserve">server will see the </w:t>
      </w:r>
      <w:r w:rsidR="00AE4EE4">
        <w:t xml:space="preserve">VBECS </w:t>
      </w:r>
      <w:r w:rsidR="006B2037">
        <w:t>shortcuts</w:t>
      </w:r>
      <w:r w:rsidR="001C6B1F">
        <w:t xml:space="preserve"> for that environment</w:t>
      </w:r>
      <w:r w:rsidR="006B2037">
        <w:t xml:space="preserve"> change to stoplight icons</w:t>
      </w:r>
      <w:r w:rsidR="001C6B1F">
        <w:t>.</w:t>
      </w:r>
      <w:r w:rsidR="0088177A">
        <w:t xml:space="preserve"> If the user clicks on either shortcut, the message</w:t>
      </w:r>
      <w:r w:rsidR="00AE4EE4">
        <w:t xml:space="preserve"> shown in </w:t>
      </w:r>
      <w:r w:rsidR="00AE4EE4">
        <w:fldChar w:fldCharType="begin"/>
      </w:r>
      <w:r w:rsidR="00AE4EE4">
        <w:instrText xml:space="preserve"> REF _Ref474322678 \h </w:instrText>
      </w:r>
      <w:r w:rsidR="00AE4EE4">
        <w:fldChar w:fldCharType="separate"/>
      </w:r>
      <w:r w:rsidR="004353ED">
        <w:t xml:space="preserve">Figure </w:t>
      </w:r>
      <w:r w:rsidR="004353ED">
        <w:rPr>
          <w:noProof/>
        </w:rPr>
        <w:t>2</w:t>
      </w:r>
      <w:r w:rsidR="00AE4EE4">
        <w:fldChar w:fldCharType="end"/>
      </w:r>
      <w:r w:rsidR="0088177A">
        <w:t xml:space="preserve"> is displayed. </w:t>
      </w:r>
      <w:r w:rsidR="006B2037">
        <w:t xml:space="preserve">This message can be closed by clicking </w:t>
      </w:r>
      <w:r w:rsidR="006B2037" w:rsidRPr="006B2037">
        <w:rPr>
          <w:b/>
        </w:rPr>
        <w:t>Close</w:t>
      </w:r>
      <w:r w:rsidR="006B2037">
        <w:t xml:space="preserve">, or it will automatically </w:t>
      </w:r>
      <w:r w:rsidR="00FF5E92">
        <w:t>disappear</w:t>
      </w:r>
      <w:r w:rsidR="006B2037">
        <w:t xml:space="preserve"> after </w:t>
      </w:r>
      <w:r w:rsidR="001C6B1F">
        <w:t>3</w:t>
      </w:r>
      <w:r w:rsidR="006B2037">
        <w:t xml:space="preserve">0 seconds. </w:t>
      </w:r>
      <w:r w:rsidR="0088177A">
        <w:t xml:space="preserve">The shortcuts </w:t>
      </w:r>
      <w:r w:rsidR="00AE4EE4">
        <w:t>will</w:t>
      </w:r>
      <w:r w:rsidR="006B2037">
        <w:t xml:space="preserve"> </w:t>
      </w:r>
      <w:r w:rsidR="004641B8">
        <w:t>revert</w:t>
      </w:r>
      <w:r w:rsidR="00AE4EE4">
        <w:t xml:space="preserve"> </w:t>
      </w:r>
      <w:r w:rsidR="00596BEB">
        <w:t xml:space="preserve">back </w:t>
      </w:r>
      <w:r w:rsidR="00AE4EE4">
        <w:t xml:space="preserve">to VBECS shortcuts </w:t>
      </w:r>
      <w:r w:rsidR="006B2037">
        <w:t>once</w:t>
      </w:r>
      <w:r w:rsidR="0088177A">
        <w:t xml:space="preserve"> the patch </w:t>
      </w:r>
      <w:r w:rsidR="006B2037">
        <w:t xml:space="preserve">completes </w:t>
      </w:r>
      <w:r w:rsidR="0088177A">
        <w:t>successfully</w:t>
      </w:r>
      <w:r w:rsidR="001C6B1F">
        <w:t>. The environment is not ready for use until the VBECS shortcuts have been restored on the desktop.</w:t>
      </w:r>
    </w:p>
    <w:p w14:paraId="4C45F919" w14:textId="2E4BBA21" w:rsidR="0088177A" w:rsidRDefault="0088177A" w:rsidP="0088177A">
      <w:pPr>
        <w:pStyle w:val="Caption"/>
      </w:pPr>
      <w:bookmarkStart w:id="35" w:name="_Ref47432267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2</w:t>
      </w:r>
      <w:r w:rsidR="004E20BD">
        <w:rPr>
          <w:noProof/>
        </w:rPr>
        <w:fldChar w:fldCharType="end"/>
      </w:r>
      <w:bookmarkEnd w:id="35"/>
      <w:r>
        <w:t xml:space="preserve">: </w:t>
      </w:r>
      <w:r w:rsidR="00812458">
        <w:t xml:space="preserve">Example of </w:t>
      </w:r>
      <w:r>
        <w:t>VBECS Patching</w:t>
      </w:r>
    </w:p>
    <w:p w14:paraId="337221B4" w14:textId="77777777" w:rsidR="0088177A" w:rsidRPr="0088177A" w:rsidRDefault="00057948" w:rsidP="00350017">
      <w:pPr>
        <w:pStyle w:val="BodyText"/>
      </w:pPr>
      <w:r>
        <w:rPr>
          <w:noProof/>
        </w:rPr>
        <w:drawing>
          <wp:inline distT="0" distB="0" distL="0" distR="0" wp14:anchorId="27A1C173" wp14:editId="038725E2">
            <wp:extent cx="5994400" cy="3851275"/>
            <wp:effectExtent l="0" t="0" r="6350" b="0"/>
            <wp:docPr id="15" name="Picture 15" descr="VBEC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BECS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94400" cy="3851275"/>
                    </a:xfrm>
                    <a:prstGeom prst="rect">
                      <a:avLst/>
                    </a:prstGeom>
                    <a:noFill/>
                    <a:ln>
                      <a:noFill/>
                    </a:ln>
                  </pic:spPr>
                </pic:pic>
              </a:graphicData>
            </a:graphic>
          </wp:inline>
        </w:drawing>
      </w:r>
    </w:p>
    <w:p w14:paraId="4C0927CA" w14:textId="09298035" w:rsidR="00B94CCD" w:rsidRDefault="00B94CCD">
      <w:pPr>
        <w:rPr>
          <w:rFonts w:ascii="Arial" w:hAnsi="Arial" w:cs="Arial"/>
          <w:b/>
          <w:bCs/>
          <w:kern w:val="32"/>
          <w:sz w:val="36"/>
          <w:szCs w:val="32"/>
        </w:rPr>
      </w:pPr>
      <w:bookmarkStart w:id="36" w:name="_Toc513719373"/>
      <w:bookmarkEnd w:id="29"/>
      <w:bookmarkEnd w:id="30"/>
      <w:bookmarkEnd w:id="31"/>
      <w:bookmarkEnd w:id="32"/>
      <w:bookmarkEnd w:id="33"/>
    </w:p>
    <w:p w14:paraId="591E3432" w14:textId="77777777" w:rsidR="00742B82" w:rsidRDefault="00742B82">
      <w:pPr>
        <w:rPr>
          <w:rFonts w:ascii="Arial" w:hAnsi="Arial" w:cs="Arial"/>
          <w:b/>
          <w:bCs/>
          <w:kern w:val="32"/>
          <w:sz w:val="36"/>
          <w:szCs w:val="32"/>
        </w:rPr>
      </w:pPr>
      <w:r>
        <w:br w:type="page"/>
      </w:r>
    </w:p>
    <w:p w14:paraId="16484D12" w14:textId="1828324B" w:rsidR="003D5E36" w:rsidRPr="00C47A3F" w:rsidRDefault="003D5E36" w:rsidP="003D5E36">
      <w:pPr>
        <w:pStyle w:val="Heading1"/>
      </w:pPr>
      <w:bookmarkStart w:id="37" w:name="_Toc47516646"/>
      <w:r w:rsidRPr="00C47A3F">
        <w:lastRenderedPageBreak/>
        <w:t>Customer Support</w:t>
      </w:r>
      <w:bookmarkEnd w:id="36"/>
      <w:bookmarkEnd w:id="37"/>
      <w:r w:rsidRPr="00C47A3F">
        <w:fldChar w:fldCharType="begin"/>
      </w:r>
      <w:r w:rsidRPr="00C47A3F">
        <w:instrText xml:space="preserve"> XE “Customer Support” </w:instrText>
      </w:r>
      <w:r w:rsidRPr="00C47A3F">
        <w:fldChar w:fldCharType="end"/>
      </w:r>
    </w:p>
    <w:p w14:paraId="6EC17976" w14:textId="77777777" w:rsidR="003D5E36" w:rsidRPr="00C47A3F" w:rsidRDefault="003D5E36" w:rsidP="003D5E36">
      <w:pPr>
        <w:pStyle w:val="Heading2"/>
        <w:spacing w:before="120"/>
      </w:pPr>
      <w:bookmarkStart w:id="38" w:name="_Toc370808848"/>
      <w:bookmarkStart w:id="39" w:name="_Toc513719374"/>
      <w:bookmarkStart w:id="40" w:name="_Toc47516647"/>
      <w:r w:rsidRPr="00C47A3F">
        <w:t>Problems?</w:t>
      </w:r>
      <w:bookmarkEnd w:id="38"/>
      <w:bookmarkEnd w:id="39"/>
      <w:bookmarkEnd w:id="40"/>
      <w:r w:rsidRPr="00C47A3F">
        <w:fldChar w:fldCharType="begin"/>
      </w:r>
      <w:r w:rsidRPr="00C47A3F">
        <w:instrText xml:space="preserve"> XE “Problems?” </w:instrText>
      </w:r>
      <w:r w:rsidRPr="00C47A3F">
        <w:fldChar w:fldCharType="end"/>
      </w:r>
    </w:p>
    <w:p w14:paraId="0F5DA07A" w14:textId="427E41A7" w:rsidR="00D53760" w:rsidRPr="005D4706" w:rsidRDefault="00D53760" w:rsidP="00D53760">
      <w:pPr>
        <w:keepNext/>
        <w:spacing w:before="240" w:after="60"/>
        <w:rPr>
          <w:sz w:val="22"/>
          <w:szCs w:val="22"/>
        </w:rPr>
      </w:pPr>
      <w:r w:rsidRPr="005D4706">
        <w:rPr>
          <w:sz w:val="22"/>
          <w:szCs w:val="22"/>
        </w:rPr>
        <w:t xml:space="preserve">Contact your </w:t>
      </w:r>
      <w:r w:rsidRPr="00D53760">
        <w:rPr>
          <w:b/>
          <w:sz w:val="22"/>
          <w:szCs w:val="22"/>
        </w:rPr>
        <w:t>Local</w:t>
      </w:r>
      <w:r w:rsidRPr="005D4706">
        <w:rPr>
          <w:sz w:val="22"/>
          <w:szCs w:val="22"/>
        </w:rPr>
        <w:t xml:space="preserve"> Office of Information Technology (OIT) or Laboratory Information Manager (LIM) if you encounter VistA or CPRS connection problems and for training support </w:t>
      </w:r>
      <w:r w:rsidRPr="005D4706">
        <w:rPr>
          <w:b/>
          <w:bCs/>
          <w:sz w:val="22"/>
          <w:szCs w:val="22"/>
          <w:u w:val="single"/>
        </w:rPr>
        <w:t>before</w:t>
      </w:r>
      <w:r>
        <w:rPr>
          <w:b/>
          <w:bCs/>
          <w:u w:val="single"/>
        </w:rPr>
        <w:t xml:space="preserve"> </w:t>
      </w:r>
      <w:r w:rsidR="00256A0C">
        <w:rPr>
          <w:sz w:val="22"/>
          <w:szCs w:val="22"/>
        </w:rPr>
        <w:t xml:space="preserve">contacting the </w:t>
      </w:r>
      <w:r w:rsidRPr="005D4706">
        <w:rPr>
          <w:sz w:val="22"/>
          <w:szCs w:val="22"/>
        </w:rPr>
        <w:t>Service Desk (SD).</w:t>
      </w:r>
    </w:p>
    <w:p w14:paraId="15E21E7F" w14:textId="6BFB68E8" w:rsidR="00B868F1" w:rsidRPr="00491D80" w:rsidRDefault="00B868F1" w:rsidP="00B868F1">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491D80">
        <w:rPr>
          <w:b/>
          <w:noProof/>
          <w:sz w:val="22"/>
          <w:szCs w:val="22"/>
        </w:rPr>
        <w:drawing>
          <wp:inline distT="0" distB="0" distL="0" distR="0" wp14:anchorId="73060ED4" wp14:editId="4A73D539">
            <wp:extent cx="266700" cy="219075"/>
            <wp:effectExtent l="0" t="0" r="0" b="9525"/>
            <wp:docPr id="1152" name="Picture 115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91D80">
        <w:rPr>
          <w:b/>
          <w:bCs/>
          <w:sz w:val="22"/>
          <w:szCs w:val="22"/>
        </w:rPr>
        <w:t xml:space="preserve">Please ensure local VistA Support contact information is available at all times. National Support will engage </w:t>
      </w:r>
      <w:r w:rsidR="005A1402">
        <w:rPr>
          <w:b/>
          <w:bCs/>
          <w:sz w:val="22"/>
          <w:szCs w:val="22"/>
        </w:rPr>
        <w:t>Data Center</w:t>
      </w:r>
      <w:r w:rsidRPr="00491D80">
        <w:rPr>
          <w:b/>
          <w:bCs/>
          <w:sz w:val="22"/>
          <w:szCs w:val="22"/>
        </w:rPr>
        <w:t xml:space="preserve"> (</w:t>
      </w:r>
      <w:r w:rsidR="005A1402">
        <w:rPr>
          <w:b/>
          <w:bCs/>
          <w:sz w:val="22"/>
          <w:szCs w:val="22"/>
        </w:rPr>
        <w:t>DC</w:t>
      </w:r>
      <w:r w:rsidRPr="00491D80">
        <w:rPr>
          <w:b/>
          <w:bCs/>
          <w:sz w:val="22"/>
          <w:szCs w:val="22"/>
        </w:rPr>
        <w:t>) personnel as needed.</w:t>
      </w:r>
    </w:p>
    <w:p w14:paraId="1EB8AE21" w14:textId="7FBE0689" w:rsidR="00B868F1" w:rsidRPr="00491D80" w:rsidRDefault="00B868F1" w:rsidP="00B868F1">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491D80">
        <w:rPr>
          <w:b/>
          <w:bCs/>
          <w:sz w:val="22"/>
          <w:szCs w:val="22"/>
        </w:rPr>
        <w:t xml:space="preserve">Problems with connectivity to VistA and CPRS may require personnel from </w:t>
      </w:r>
      <w:r w:rsidR="005A1402">
        <w:rPr>
          <w:b/>
          <w:bCs/>
          <w:sz w:val="22"/>
          <w:szCs w:val="22"/>
        </w:rPr>
        <w:t>DC</w:t>
      </w:r>
      <w:r w:rsidRPr="00491D80">
        <w:rPr>
          <w:b/>
          <w:bCs/>
          <w:sz w:val="22"/>
          <w:szCs w:val="22"/>
        </w:rPr>
        <w:t xml:space="preserve"> with VBECS server administrator access and VistA IT support access.</w:t>
      </w:r>
    </w:p>
    <w:p w14:paraId="48D93DD2" w14:textId="77777777" w:rsidR="0080456F" w:rsidRDefault="00B868F1" w:rsidP="0080456F">
      <w:pPr>
        <w:numPr>
          <w:ilvl w:val="0"/>
          <w:numId w:val="97"/>
        </w:numPr>
        <w:spacing w:before="120" w:after="60"/>
        <w:rPr>
          <w:sz w:val="22"/>
          <w:szCs w:val="22"/>
        </w:rPr>
      </w:pPr>
      <w:r w:rsidRPr="00491D80">
        <w:rPr>
          <w:b/>
          <w:bCs/>
          <w:sz w:val="22"/>
          <w:szCs w:val="22"/>
        </w:rPr>
        <w:t xml:space="preserve">If you experience an FDA reportable adverse event (patient death or serious injury) that VBECS may have caused or contributed to, contact the Service Desk directly to </w:t>
      </w:r>
      <w:r w:rsidR="0080456F">
        <w:rPr>
          <w:highlight w:val="yellow"/>
        </w:rPr>
        <w:t>REDACTED</w:t>
      </w:r>
    </w:p>
    <w:p w14:paraId="2DFCE01C" w14:textId="51258D56" w:rsidR="00B868F1" w:rsidRPr="00491D80" w:rsidRDefault="00B868F1" w:rsidP="00B868F1">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491D80">
        <w:rPr>
          <w:b/>
          <w:bCs/>
          <w:sz w:val="22"/>
          <w:szCs w:val="22"/>
        </w:rPr>
        <w:t>.</w:t>
      </w:r>
      <w:r w:rsidRPr="00491D80">
        <w:rPr>
          <w:b/>
          <w:bCs/>
          <w:vanish/>
          <w:sz w:val="22"/>
          <w:szCs w:val="22"/>
        </w:rPr>
        <w:t xml:space="preserve"> </w:t>
      </w:r>
      <w:r w:rsidRPr="00491D80">
        <w:rPr>
          <w:bCs/>
          <w:vanish/>
          <w:sz w:val="22"/>
          <w:szCs w:val="22"/>
        </w:rPr>
        <w:t>Task 605697</w:t>
      </w:r>
    </w:p>
    <w:p w14:paraId="592E6DE2" w14:textId="77777777" w:rsidR="00491D80" w:rsidRDefault="00491D80" w:rsidP="00B868F1">
      <w:pPr>
        <w:pStyle w:val="BodyText"/>
        <w:rPr>
          <w:b/>
          <w:noProof/>
        </w:rPr>
      </w:pPr>
    </w:p>
    <w:p w14:paraId="653A5D87" w14:textId="23C16E29" w:rsidR="00B868F1" w:rsidRPr="0094684A" w:rsidRDefault="00B868F1" w:rsidP="00B868F1">
      <w:pPr>
        <w:pStyle w:val="BodyText"/>
        <w:rPr>
          <w:b/>
          <w:noProof/>
        </w:rPr>
      </w:pPr>
      <w:r w:rsidRPr="0094684A">
        <w:rPr>
          <w:b/>
          <w:noProof/>
        </w:rPr>
        <w:t>Service Desk</w:t>
      </w:r>
      <w:r w:rsidRPr="0094684A">
        <w:rPr>
          <w:b/>
        </w:rPr>
        <w:fldChar w:fldCharType="begin"/>
      </w:r>
      <w:r w:rsidRPr="0094684A">
        <w:rPr>
          <w:b/>
          <w:noProof/>
        </w:rPr>
        <w:instrText xml:space="preserve"> XE "Service Desk" </w:instrText>
      </w:r>
      <w:r w:rsidRPr="0094684A">
        <w:rPr>
          <w:b/>
        </w:rPr>
        <w:fldChar w:fldCharType="end"/>
      </w:r>
      <w:r w:rsidRPr="0094684A">
        <w:rPr>
          <w:b/>
          <w:noProof/>
        </w:rPr>
        <w:t xml:space="preserve"> Contact</w:t>
      </w:r>
    </w:p>
    <w:p w14:paraId="0B22E980" w14:textId="7926379A" w:rsidR="00B868F1" w:rsidRPr="00AE384C" w:rsidRDefault="00B868F1" w:rsidP="00B868F1">
      <w:pPr>
        <w:pStyle w:val="BodyText"/>
      </w:pPr>
      <w:r>
        <w:t xml:space="preserve">See </w:t>
      </w:r>
      <w:r w:rsidRPr="0094684A">
        <w:rPr>
          <w:b/>
        </w:rPr>
        <w:t>Customer Support</w:t>
      </w:r>
      <w:r>
        <w:t xml:space="preserve"> section of the </w:t>
      </w:r>
      <w:r>
        <w:rPr>
          <w:i/>
        </w:rPr>
        <w:t>VBECS</w:t>
      </w:r>
      <w:r w:rsidRPr="00D04B1B">
        <w:rPr>
          <w:i/>
        </w:rPr>
        <w:t xml:space="preserve"> </w:t>
      </w:r>
      <w:r w:rsidR="00C94A42">
        <w:rPr>
          <w:i/>
        </w:rPr>
        <w:t>2.3.</w:t>
      </w:r>
      <w:r w:rsidR="00AD5990">
        <w:rPr>
          <w:i/>
        </w:rPr>
        <w:t>2</w:t>
      </w:r>
      <w:r>
        <w:rPr>
          <w:i/>
        </w:rPr>
        <w:t xml:space="preserve"> </w:t>
      </w:r>
      <w:r w:rsidRPr="00D04B1B">
        <w:rPr>
          <w:i/>
        </w:rPr>
        <w:t>Release Note</w:t>
      </w:r>
      <w:r w:rsidR="00531617">
        <w:rPr>
          <w:i/>
        </w:rPr>
        <w:t>s</w:t>
      </w:r>
      <w:r w:rsidRPr="007D4D78">
        <w:t>.</w:t>
      </w:r>
      <w:r w:rsidRPr="002C3458">
        <w:rPr>
          <w:vanish/>
        </w:rPr>
        <w:t xml:space="preserve"> Task </w:t>
      </w:r>
      <w:r w:rsidRPr="002C3458">
        <w:rPr>
          <w:noProof/>
          <w:vanish/>
        </w:rPr>
        <w:t>581023</w:t>
      </w:r>
    </w:p>
    <w:p w14:paraId="0C44BA60" w14:textId="571C4490" w:rsidR="00B868F1" w:rsidRPr="00AE384C" w:rsidRDefault="00920237" w:rsidP="00B868F1">
      <w:pPr>
        <w:pStyle w:val="BodyText"/>
        <w:rPr>
          <w:noProof/>
        </w:rPr>
      </w:pPr>
      <w:r>
        <w:t>For troubleshooting e</w:t>
      </w:r>
      <w:r w:rsidRPr="00920237">
        <w:t xml:space="preserve">rror messages in VBECS </w:t>
      </w:r>
      <w:r>
        <w:t xml:space="preserve">that </w:t>
      </w:r>
      <w:r w:rsidRPr="00920237">
        <w:t xml:space="preserve">read </w:t>
      </w:r>
      <w:r w:rsidR="00903CE9">
        <w:t>"C</w:t>
      </w:r>
      <w:r w:rsidRPr="00920237">
        <w:t>ontact</w:t>
      </w:r>
      <w:r w:rsidR="00903CE9">
        <w:t xml:space="preserve"> Your System A</w:t>
      </w:r>
      <w:r>
        <w:t>dministrator"</w:t>
      </w:r>
      <w:r w:rsidRPr="00920237">
        <w:t xml:space="preserve">, contact </w:t>
      </w:r>
      <w:r w:rsidR="00C230C9">
        <w:t xml:space="preserve">the </w:t>
      </w:r>
      <w:r w:rsidRPr="00920237">
        <w:t>Service Desk for VBECS Server support.</w:t>
      </w:r>
      <w:r w:rsidR="008F75F6" w:rsidRPr="008F75F6">
        <w:rPr>
          <w:vanish/>
        </w:rPr>
        <w:t>Defect 210517</w:t>
      </w:r>
      <w:r w:rsidR="00B868F1" w:rsidRPr="002C3458">
        <w:rPr>
          <w:vanish/>
        </w:rPr>
        <w:t xml:space="preserve"> Task </w:t>
      </w:r>
      <w:r w:rsidR="00B868F1" w:rsidRPr="002C3458">
        <w:rPr>
          <w:noProof/>
          <w:vanish/>
        </w:rPr>
        <w:t>581023</w:t>
      </w:r>
    </w:p>
    <w:p w14:paraId="032373C6" w14:textId="7163AD3D" w:rsidR="00742B82" w:rsidRPr="00AB304C" w:rsidRDefault="00742B82" w:rsidP="00AB304C">
      <w:pPr>
        <w:jc w:val="center"/>
        <w:rPr>
          <w:sz w:val="22"/>
          <w:szCs w:val="22"/>
        </w:rPr>
      </w:pPr>
      <w:r>
        <w:br w:type="page"/>
      </w:r>
      <w:r w:rsidR="00AB304C" w:rsidRPr="00AB304C">
        <w:rPr>
          <w:sz w:val="22"/>
          <w:szCs w:val="22"/>
        </w:rPr>
        <w:lastRenderedPageBreak/>
        <w:t>This page intentionally left blank.</w:t>
      </w:r>
    </w:p>
    <w:p w14:paraId="6699DA82" w14:textId="77777777" w:rsidR="00AB304C" w:rsidRDefault="00AB304C">
      <w:pPr>
        <w:rPr>
          <w:rFonts w:ascii="Arial" w:hAnsi="Arial" w:cs="Arial"/>
          <w:b/>
          <w:bCs/>
          <w:kern w:val="32"/>
          <w:sz w:val="36"/>
          <w:szCs w:val="32"/>
        </w:rPr>
      </w:pPr>
      <w:r>
        <w:br w:type="page"/>
      </w:r>
    </w:p>
    <w:p w14:paraId="43AEB071" w14:textId="7EB7A74B" w:rsidR="002A21AE" w:rsidRPr="00963680" w:rsidRDefault="002A21AE" w:rsidP="00826461">
      <w:pPr>
        <w:pStyle w:val="Heading1"/>
      </w:pPr>
      <w:bookmarkStart w:id="41" w:name="_Toc47516648"/>
      <w:r w:rsidRPr="00963680">
        <w:lastRenderedPageBreak/>
        <w:t>Using the Software</w:t>
      </w:r>
      <w:bookmarkEnd w:id="41"/>
      <w:r w:rsidRPr="00963680">
        <w:fldChar w:fldCharType="begin"/>
      </w:r>
      <w:r w:rsidRPr="00963680">
        <w:instrText xml:space="preserve"> XE </w:instrText>
      </w:r>
      <w:r w:rsidR="00FA7E65" w:rsidRPr="00963680">
        <w:instrText>“</w:instrText>
      </w:r>
      <w:r w:rsidRPr="00963680">
        <w:instrText>Using the Software</w:instrText>
      </w:r>
      <w:r w:rsidR="00FA7E65" w:rsidRPr="00963680">
        <w:instrText>”</w:instrText>
      </w:r>
      <w:r w:rsidRPr="00963680">
        <w:instrText xml:space="preserve"> </w:instrText>
      </w:r>
      <w:r w:rsidRPr="00963680">
        <w:fldChar w:fldCharType="end"/>
      </w:r>
    </w:p>
    <w:p w14:paraId="1FB3C867" w14:textId="77777777" w:rsidR="002A21AE" w:rsidRDefault="002A21AE" w:rsidP="00FA7E65">
      <w:pPr>
        <w:pStyle w:val="BodyText"/>
      </w:pPr>
      <w:r w:rsidRPr="00963680">
        <w:t>Using the Software explains:</w:t>
      </w:r>
    </w:p>
    <w:p w14:paraId="4F1BD9BB" w14:textId="77777777" w:rsidR="002A21AE" w:rsidRDefault="002A21AE">
      <w:pPr>
        <w:pStyle w:val="ListBullet"/>
      </w:pPr>
      <w:r>
        <w:t xml:space="preserve">How to access VBECS and </w:t>
      </w:r>
      <w:r w:rsidR="000C7684" w:rsidRPr="000C7684">
        <w:rPr>
          <w:bCs/>
        </w:rPr>
        <w:t>VistA</w:t>
      </w:r>
    </w:p>
    <w:p w14:paraId="7A7CAB41" w14:textId="77777777" w:rsidR="002A21AE" w:rsidRDefault="002A21AE">
      <w:pPr>
        <w:pStyle w:val="ListBullet"/>
      </w:pPr>
      <w:r>
        <w:t>What users will see on the screen</w:t>
      </w:r>
    </w:p>
    <w:p w14:paraId="1BC2D207" w14:textId="77777777" w:rsidR="002A21AE" w:rsidRDefault="002A21AE">
      <w:pPr>
        <w:pStyle w:val="ListBullet"/>
      </w:pPr>
      <w:r>
        <w:t>What the icons and other symbols mean</w:t>
      </w:r>
    </w:p>
    <w:p w14:paraId="1C00224C" w14:textId="77777777" w:rsidR="002A21AE" w:rsidRDefault="002A21AE">
      <w:pPr>
        <w:pStyle w:val="ListBullet"/>
      </w:pPr>
      <w:r>
        <w:t>Which conventions are used in this guide</w:t>
      </w:r>
    </w:p>
    <w:p w14:paraId="4C308996" w14:textId="206DD8F2" w:rsidR="002A21AE" w:rsidRDefault="002A21AE">
      <w:pPr>
        <w:pStyle w:val="ListBullet"/>
      </w:pPr>
      <w:r>
        <w:t xml:space="preserve">How to exit VBECS </w:t>
      </w:r>
    </w:p>
    <w:p w14:paraId="7D1B205F" w14:textId="77777777" w:rsidR="002A21AE" w:rsidRDefault="002A21AE">
      <w:pPr>
        <w:pStyle w:val="Heading2"/>
      </w:pPr>
      <w:bookmarkStart w:id="42" w:name="_Toc78678591"/>
      <w:bookmarkStart w:id="43" w:name="_Toc47516649"/>
      <w:r>
        <w:t>Software Basics</w:t>
      </w:r>
      <w:bookmarkEnd w:id="42"/>
      <w:bookmarkEnd w:id="43"/>
      <w:r>
        <w:fldChar w:fldCharType="begin"/>
      </w:r>
      <w:r>
        <w:instrText xml:space="preserve"> XE </w:instrText>
      </w:r>
      <w:r w:rsidR="00FA7E65">
        <w:instrText>“</w:instrText>
      </w:r>
      <w:r>
        <w:instrText>Software Basics</w:instrText>
      </w:r>
      <w:r w:rsidR="00FA7E65">
        <w:instrText>”</w:instrText>
      </w:r>
      <w:r>
        <w:instrText xml:space="preserve"> </w:instrText>
      </w:r>
      <w:r>
        <w:fldChar w:fldCharType="end"/>
      </w:r>
    </w:p>
    <w:p w14:paraId="14B5D766" w14:textId="2632D34D" w:rsidR="00045762" w:rsidRDefault="00045762" w:rsidP="00045762">
      <w:pPr>
        <w:pStyle w:val="ListBullet"/>
      </w:pPr>
      <w:r>
        <w:t xml:space="preserve">When a message window requires a user response and VBECS displays it </w:t>
      </w:r>
      <w:r w:rsidRPr="00BA627C">
        <w:t xml:space="preserve">behind the active window, the user must minimize the active window </w:t>
      </w:r>
      <w:r>
        <w:t xml:space="preserve">or </w:t>
      </w:r>
      <w:r w:rsidRPr="00BA627C">
        <w:t xml:space="preserve">click and drag dialog boxes to expose the </w:t>
      </w:r>
      <w:r>
        <w:t>message window</w:t>
      </w:r>
      <w:r w:rsidR="00A4315F">
        <w:t>.</w:t>
      </w:r>
    </w:p>
    <w:p w14:paraId="06E1048F" w14:textId="1F3E1CCD" w:rsidR="00DA258E" w:rsidRDefault="00DA258E" w:rsidP="00045762">
      <w:pPr>
        <w:pStyle w:val="ListBullet"/>
      </w:pPr>
      <w:r>
        <w:t xml:space="preserve">Press the </w:t>
      </w:r>
      <w:r w:rsidRPr="00DA258E">
        <w:rPr>
          <w:b/>
        </w:rPr>
        <w:t>F1 key</w:t>
      </w:r>
      <w:r>
        <w:t xml:space="preserve"> to view online help.</w:t>
      </w:r>
    </w:p>
    <w:p w14:paraId="06939553" w14:textId="77777777" w:rsidR="002A21AE" w:rsidRDefault="002A21AE">
      <w:pPr>
        <w:pStyle w:val="ListBullet"/>
      </w:pPr>
      <w:r>
        <w:t xml:space="preserve">A user may click </w:t>
      </w:r>
      <w:r>
        <w:rPr>
          <w:b/>
        </w:rPr>
        <w:t>Cancel</w:t>
      </w:r>
      <w:r>
        <w:t xml:space="preserve">, </w:t>
      </w:r>
      <w:r>
        <w:rPr>
          <w:b/>
        </w:rPr>
        <w:t>Close</w:t>
      </w:r>
      <w:r>
        <w:t xml:space="preserve">, or </w:t>
      </w:r>
      <w:r w:rsidRPr="00D1343E">
        <w:rPr>
          <w:rStyle w:val="BodyTextChar"/>
          <w:rFonts w:ascii="Wingdings 2" w:hAnsi="Wingdings 2"/>
          <w:b/>
        </w:rPr>
        <w:t></w:t>
      </w:r>
      <w:r>
        <w:t xml:space="preserve"> in the upper right corner at any time to exit without saving.</w:t>
      </w:r>
    </w:p>
    <w:p w14:paraId="66D444C7" w14:textId="77777777" w:rsidR="002A21AE" w:rsidRDefault="002A21AE">
      <w:pPr>
        <w:pStyle w:val="ListBullet"/>
      </w:pPr>
      <w:r>
        <w:t>All operations depend on the user being logged into the appropriate division.</w:t>
      </w:r>
    </w:p>
    <w:p w14:paraId="785F65E6" w14:textId="40BC3EE1" w:rsidR="002A21AE" w:rsidRDefault="002A21AE">
      <w:pPr>
        <w:pStyle w:val="ListBullet"/>
      </w:pPr>
      <w:r>
        <w:t>A user may click a column heading to resort the items in that column</w:t>
      </w:r>
      <w:r w:rsidR="00A76428">
        <w:t xml:space="preserve"> (</w:t>
      </w:r>
      <w:r w:rsidR="00FE0C0C">
        <w:fldChar w:fldCharType="begin"/>
      </w:r>
      <w:r w:rsidR="00FE0C0C">
        <w:instrText xml:space="preserve"> REF _Ref126482360 \h </w:instrText>
      </w:r>
      <w:r w:rsidR="00FE0C0C">
        <w:fldChar w:fldCharType="separate"/>
      </w:r>
      <w:r w:rsidR="004353ED">
        <w:t xml:space="preserve">Figure </w:t>
      </w:r>
      <w:r w:rsidR="004353ED">
        <w:rPr>
          <w:noProof/>
        </w:rPr>
        <w:t>3</w:t>
      </w:r>
      <w:r w:rsidR="00FE0C0C">
        <w:fldChar w:fldCharType="end"/>
      </w:r>
      <w:r w:rsidR="00A76428">
        <w:t xml:space="preserve"> and </w:t>
      </w:r>
      <w:r w:rsidR="00FE0C0C">
        <w:fldChar w:fldCharType="begin"/>
      </w:r>
      <w:r w:rsidR="00FE0C0C">
        <w:instrText xml:space="preserve"> REF _Ref126482369 \h </w:instrText>
      </w:r>
      <w:r w:rsidR="00FE0C0C">
        <w:fldChar w:fldCharType="separate"/>
      </w:r>
      <w:r w:rsidR="004353ED">
        <w:t xml:space="preserve">Figure </w:t>
      </w:r>
      <w:r w:rsidR="004353ED">
        <w:rPr>
          <w:noProof/>
        </w:rPr>
        <w:t>4</w:t>
      </w:r>
      <w:r w:rsidR="00FE0C0C">
        <w:fldChar w:fldCharType="end"/>
      </w:r>
      <w:r w:rsidR="00A76428">
        <w:t>)</w:t>
      </w:r>
      <w:r>
        <w:t>.</w:t>
      </w:r>
    </w:p>
    <w:p w14:paraId="7ED52010" w14:textId="77777777" w:rsidR="00163C35" w:rsidRDefault="002A21AE" w:rsidP="00163C35">
      <w:pPr>
        <w:pStyle w:val="ListBullet"/>
      </w:pPr>
      <w:r>
        <w:rPr>
          <w:vanish/>
          <w:spacing w:val="0"/>
        </w:rPr>
        <w:t xml:space="preserve">BR_2.48 </w:t>
      </w:r>
      <w:r>
        <w:t>Reaction results entries are allowed for only those reagents defined as part of the reagent rack</w:t>
      </w:r>
      <w:r w:rsidR="00F53A23">
        <w:t>.</w:t>
      </w:r>
    </w:p>
    <w:p w14:paraId="513BFB39" w14:textId="043E8FAC" w:rsidR="002A21AE" w:rsidRDefault="002A21AE">
      <w:pPr>
        <w:pStyle w:val="ListBullet"/>
      </w:pPr>
      <w:r>
        <w:t>Select a date from the calendar in the drop-down list to edit a date, or click each part of the date to edit the date and time</w:t>
      </w:r>
      <w:r w:rsidR="00F2615F">
        <w:t xml:space="preserve"> (</w:t>
      </w:r>
      <w:r w:rsidR="00622085">
        <w:fldChar w:fldCharType="begin"/>
      </w:r>
      <w:r w:rsidR="00622085">
        <w:instrText xml:space="preserve"> REF _Ref126483157 \h </w:instrText>
      </w:r>
      <w:r w:rsidR="00622085">
        <w:fldChar w:fldCharType="separate"/>
      </w:r>
      <w:r w:rsidR="004353ED">
        <w:t xml:space="preserve">Figure </w:t>
      </w:r>
      <w:r w:rsidR="004353ED">
        <w:rPr>
          <w:noProof/>
        </w:rPr>
        <w:t>5</w:t>
      </w:r>
      <w:r w:rsidR="00622085">
        <w:fldChar w:fldCharType="end"/>
      </w:r>
      <w:r w:rsidR="00622085">
        <w:t xml:space="preserve"> and</w:t>
      </w:r>
      <w:r w:rsidR="00DB4AE0">
        <w:rPr>
          <w:b/>
        </w:rPr>
        <w:t xml:space="preserve"> </w:t>
      </w:r>
      <w:r w:rsidR="00DB4AE0">
        <w:rPr>
          <w:b/>
        </w:rPr>
        <w:fldChar w:fldCharType="begin"/>
      </w:r>
      <w:r w:rsidR="00DB4AE0">
        <w:rPr>
          <w:b/>
        </w:rPr>
        <w:instrText xml:space="preserve"> REF _Ref524523891 \h </w:instrText>
      </w:r>
      <w:r w:rsidR="00DB4AE0">
        <w:rPr>
          <w:b/>
        </w:rPr>
      </w:r>
      <w:r w:rsidR="00DB4AE0">
        <w:rPr>
          <w:b/>
        </w:rPr>
        <w:fldChar w:fldCharType="separate"/>
      </w:r>
      <w:r w:rsidR="004353ED">
        <w:t xml:space="preserve">Figure </w:t>
      </w:r>
      <w:r w:rsidR="004353ED">
        <w:rPr>
          <w:noProof/>
        </w:rPr>
        <w:t>6</w:t>
      </w:r>
      <w:r w:rsidR="00DB4AE0">
        <w:rPr>
          <w:b/>
        </w:rPr>
        <w:fldChar w:fldCharType="end"/>
      </w:r>
      <w:r w:rsidR="00622085">
        <w:t>).</w:t>
      </w:r>
    </w:p>
    <w:p w14:paraId="0521ABD4" w14:textId="77777777" w:rsidR="000C156B" w:rsidRPr="00AA4AB6" w:rsidRDefault="007F6441" w:rsidP="000C156B">
      <w:pPr>
        <w:pStyle w:val="ListBullet"/>
      </w:pPr>
      <w:r>
        <w:rPr>
          <w:rFonts w:eastAsia="Arial Unicode MS"/>
        </w:rPr>
        <w:t>Labels shown in figures</w:t>
      </w:r>
      <w:r w:rsidR="000C156B">
        <w:rPr>
          <w:rFonts w:eastAsia="Arial Unicode MS"/>
        </w:rPr>
        <w:t xml:space="preserve"> are visual aids only and do not represent actual labels</w:t>
      </w:r>
      <w:r>
        <w:rPr>
          <w:rFonts w:eastAsia="Arial Unicode MS"/>
        </w:rPr>
        <w:t>.</w:t>
      </w:r>
    </w:p>
    <w:p w14:paraId="09B1C660" w14:textId="77777777" w:rsidR="00023520" w:rsidRPr="002B06B2" w:rsidRDefault="00057948" w:rsidP="002B06B2">
      <w:pPr>
        <w:pStyle w:val="Caution"/>
      </w:pPr>
      <w:r>
        <w:rPr>
          <w:noProof/>
        </w:rPr>
        <w:drawing>
          <wp:inline distT="0" distB="0" distL="0" distR="0" wp14:anchorId="58C7CF6F" wp14:editId="5EE8E249">
            <wp:extent cx="267970" cy="221615"/>
            <wp:effectExtent l="0" t="0" r="0" b="6985"/>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3640CD">
        <w:t xml:space="preserve"> </w:t>
      </w:r>
      <w:r w:rsidR="002B06B2">
        <w:t>Although t</w:t>
      </w:r>
      <w:r w:rsidR="00023520" w:rsidRPr="002B06B2">
        <w:t>he copy-and-paste function is enabled</w:t>
      </w:r>
      <w:r w:rsidR="002B06B2">
        <w:t>, do</w:t>
      </w:r>
      <w:r w:rsidR="00023520" w:rsidRPr="002B06B2">
        <w:t xml:space="preserve"> not use it to enter patient identification information. </w:t>
      </w:r>
      <w:r w:rsidR="005A68C1">
        <w:t>It is highly</w:t>
      </w:r>
      <w:r w:rsidR="00023520" w:rsidRPr="002B06B2">
        <w:t xml:space="preserve"> recommend</w:t>
      </w:r>
      <w:r w:rsidR="005A68C1">
        <w:t>ed</w:t>
      </w:r>
      <w:r w:rsidR="00023520" w:rsidRPr="002B06B2">
        <w:t xml:space="preserve"> that the user scan this information when possible</w:t>
      </w:r>
      <w:r w:rsidR="002B06B2">
        <w:t>;</w:t>
      </w:r>
      <w:r w:rsidR="00023520" w:rsidRPr="002B06B2">
        <w:t xml:space="preserve"> otherwise</w:t>
      </w:r>
      <w:r w:rsidR="002B06B2">
        <w:t>,</w:t>
      </w:r>
      <w:r w:rsidR="00A137C8">
        <w:t xml:space="preserve"> enter it</w:t>
      </w:r>
      <w:r w:rsidR="00A137C8" w:rsidRPr="00703B36">
        <w:rPr>
          <w:vanish/>
        </w:rPr>
        <w:t xml:space="preserve"> </w:t>
      </w:r>
      <w:r w:rsidR="00C83CF0" w:rsidRPr="002B06B2">
        <w:rPr>
          <w:vanish/>
        </w:rPr>
        <w:t>(DR 2,519)</w:t>
      </w:r>
      <w:r w:rsidR="00C83CF0" w:rsidRPr="002B06B2">
        <w:t>.</w:t>
      </w:r>
    </w:p>
    <w:p w14:paraId="0413FF1C" w14:textId="54221381" w:rsidR="001A234F" w:rsidRDefault="001A234F" w:rsidP="00A76428">
      <w:pPr>
        <w:pStyle w:val="Caption"/>
        <w:tabs>
          <w:tab w:val="left" w:pos="4860"/>
        </w:tabs>
      </w:pPr>
      <w:bookmarkStart w:id="44" w:name="_Ref12648236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3</w:t>
      </w:r>
      <w:r w:rsidR="004E20BD">
        <w:rPr>
          <w:noProof/>
        </w:rPr>
        <w:fldChar w:fldCharType="end"/>
      </w:r>
      <w:bookmarkEnd w:id="44"/>
      <w:r w:rsidR="002418C9">
        <w:t>: Click to Sort by Patient Name</w:t>
      </w:r>
    </w:p>
    <w:p w14:paraId="0E2E8B6C" w14:textId="77777777" w:rsidR="000A2260" w:rsidRDefault="00057948" w:rsidP="000A2260">
      <w:pPr>
        <w:pStyle w:val="BodyText"/>
      </w:pPr>
      <w:r>
        <w:rPr>
          <w:noProof/>
        </w:rPr>
        <w:drawing>
          <wp:inline distT="0" distB="0" distL="0" distR="0" wp14:anchorId="03499D5E" wp14:editId="273DF226">
            <wp:extent cx="5486400" cy="1597660"/>
            <wp:effectExtent l="0" t="0" r="0" b="2540"/>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1597660"/>
                    </a:xfrm>
                    <a:prstGeom prst="rect">
                      <a:avLst/>
                    </a:prstGeom>
                    <a:noFill/>
                    <a:ln>
                      <a:noFill/>
                    </a:ln>
                  </pic:spPr>
                </pic:pic>
              </a:graphicData>
            </a:graphic>
          </wp:inline>
        </w:drawing>
      </w:r>
    </w:p>
    <w:p w14:paraId="2AA77531" w14:textId="0E5E4D06" w:rsidR="00730FE6" w:rsidRDefault="0086195D" w:rsidP="00AA6FFB">
      <w:pPr>
        <w:pStyle w:val="Caption"/>
        <w:tabs>
          <w:tab w:val="left" w:pos="4860"/>
        </w:tabs>
      </w:pPr>
      <w:bookmarkStart w:id="45" w:name="_Ref126482369"/>
      <w:bookmarkStart w:id="46" w:name="_Ref126467446"/>
      <w:bookmarkStart w:id="47" w:name="_Ref12646750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4</w:t>
      </w:r>
      <w:r w:rsidR="004E20BD">
        <w:rPr>
          <w:noProof/>
        </w:rPr>
        <w:fldChar w:fldCharType="end"/>
      </w:r>
      <w:bookmarkEnd w:id="45"/>
      <w:r>
        <w:t>: Click to Sort by Request</w:t>
      </w:r>
    </w:p>
    <w:p w14:paraId="7547B329" w14:textId="77777777" w:rsidR="0086195D" w:rsidRDefault="00057948" w:rsidP="00A542EE">
      <w:pPr>
        <w:pStyle w:val="BodyText"/>
      </w:pPr>
      <w:r>
        <w:rPr>
          <w:b/>
          <w:noProof/>
        </w:rPr>
        <w:drawing>
          <wp:inline distT="0" distB="0" distL="0" distR="0" wp14:anchorId="7E56F6B3" wp14:editId="0E7F574D">
            <wp:extent cx="5486400" cy="1597660"/>
            <wp:effectExtent l="0" t="0" r="0" b="254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1597660"/>
                    </a:xfrm>
                    <a:prstGeom prst="rect">
                      <a:avLst/>
                    </a:prstGeom>
                    <a:noFill/>
                    <a:ln>
                      <a:noFill/>
                    </a:ln>
                  </pic:spPr>
                </pic:pic>
              </a:graphicData>
            </a:graphic>
          </wp:inline>
        </w:drawing>
      </w:r>
    </w:p>
    <w:p w14:paraId="5AB12E58" w14:textId="77777777" w:rsidR="00A542EE" w:rsidRDefault="00A542EE" w:rsidP="00AA6FFB">
      <w:pPr>
        <w:pStyle w:val="Caption"/>
        <w:tabs>
          <w:tab w:val="left" w:pos="4860"/>
        </w:tabs>
        <w:sectPr w:rsidR="00A542EE" w:rsidSect="00EE771C">
          <w:footerReference w:type="default" r:id="rId30"/>
          <w:pgSz w:w="12240" w:h="15840" w:code="1"/>
          <w:pgMar w:top="1440" w:right="1440" w:bottom="1440" w:left="1440" w:header="720" w:footer="720" w:gutter="0"/>
          <w:pgNumType w:start="1"/>
          <w:cols w:space="720"/>
          <w:docGrid w:linePitch="360"/>
        </w:sectPr>
      </w:pPr>
    </w:p>
    <w:p w14:paraId="5A4BC8F3" w14:textId="5198712D" w:rsidR="00A542EE" w:rsidRDefault="008F3522" w:rsidP="00EE11ED">
      <w:pPr>
        <w:pStyle w:val="Caption"/>
      </w:pPr>
      <w:bookmarkStart w:id="48" w:name="_Ref12648315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5</w:t>
      </w:r>
      <w:r w:rsidR="004E20BD">
        <w:rPr>
          <w:noProof/>
        </w:rPr>
        <w:fldChar w:fldCharType="end"/>
      </w:r>
      <w:bookmarkEnd w:id="46"/>
      <w:bookmarkEnd w:id="48"/>
      <w:r>
        <w:t>: Select a Date from the Calendar</w:t>
      </w:r>
    </w:p>
    <w:p w14:paraId="2868EA18" w14:textId="77777777" w:rsidR="004D098F" w:rsidRDefault="00057948" w:rsidP="007C191F">
      <w:pPr>
        <w:pStyle w:val="BodyText"/>
      </w:pPr>
      <w:bookmarkStart w:id="49" w:name="_Ref126483168"/>
      <w:r>
        <w:rPr>
          <w:noProof/>
        </w:rPr>
        <w:drawing>
          <wp:inline distT="0" distB="0" distL="0" distR="0" wp14:anchorId="53B89FAD" wp14:editId="4644E0FD">
            <wp:extent cx="1939925" cy="1958340"/>
            <wp:effectExtent l="0" t="0" r="3175" b="381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39925" cy="1958340"/>
                    </a:xfrm>
                    <a:prstGeom prst="rect">
                      <a:avLst/>
                    </a:prstGeom>
                    <a:noFill/>
                    <a:ln>
                      <a:noFill/>
                    </a:ln>
                  </pic:spPr>
                </pic:pic>
              </a:graphicData>
            </a:graphic>
          </wp:inline>
        </w:drawing>
      </w:r>
    </w:p>
    <w:p w14:paraId="5BE97010" w14:textId="77777777" w:rsidR="00250F92" w:rsidRDefault="00250F92" w:rsidP="007C191F">
      <w:pPr>
        <w:pStyle w:val="BodyText"/>
      </w:pPr>
    </w:p>
    <w:p w14:paraId="5E6520E1" w14:textId="3B6B621C" w:rsidR="007952C0" w:rsidRDefault="007952C0" w:rsidP="007952C0">
      <w:pPr>
        <w:pStyle w:val="Caption"/>
      </w:pPr>
      <w:bookmarkStart w:id="50" w:name="_Ref524523891"/>
      <w:bookmarkEnd w:id="47"/>
      <w:bookmarkEnd w:id="49"/>
      <w:r>
        <w:t xml:space="preserve">Figure </w:t>
      </w:r>
      <w:r>
        <w:rPr>
          <w:noProof/>
        </w:rPr>
        <w:fldChar w:fldCharType="begin"/>
      </w:r>
      <w:r>
        <w:rPr>
          <w:noProof/>
        </w:rPr>
        <w:instrText xml:space="preserve"> SEQ Figure \* ARABIC </w:instrText>
      </w:r>
      <w:r>
        <w:rPr>
          <w:noProof/>
        </w:rPr>
        <w:fldChar w:fldCharType="separate"/>
      </w:r>
      <w:r w:rsidR="00022B7B">
        <w:rPr>
          <w:noProof/>
        </w:rPr>
        <w:t>6</w:t>
      </w:r>
      <w:r>
        <w:rPr>
          <w:noProof/>
        </w:rPr>
        <w:fldChar w:fldCharType="end"/>
      </w:r>
      <w:bookmarkEnd w:id="50"/>
      <w:r>
        <w:t>: Edit the Date and Time</w:t>
      </w:r>
    </w:p>
    <w:p w14:paraId="68AB3E03" w14:textId="77777777" w:rsidR="007952C0" w:rsidRPr="00207521" w:rsidRDefault="007952C0" w:rsidP="007952C0">
      <w:pPr>
        <w:pStyle w:val="BodyText"/>
      </w:pPr>
      <w:r>
        <w:rPr>
          <w:noProof/>
        </w:rPr>
        <w:drawing>
          <wp:inline distT="0" distB="0" distL="0" distR="0" wp14:anchorId="0C76F6F9" wp14:editId="5B7836B4">
            <wp:extent cx="1450340" cy="563245"/>
            <wp:effectExtent l="0" t="0" r="0" b="825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50340" cy="563245"/>
                    </a:xfrm>
                    <a:prstGeom prst="rect">
                      <a:avLst/>
                    </a:prstGeom>
                    <a:noFill/>
                    <a:ln>
                      <a:noFill/>
                    </a:ln>
                  </pic:spPr>
                </pic:pic>
              </a:graphicData>
            </a:graphic>
          </wp:inline>
        </w:drawing>
      </w:r>
    </w:p>
    <w:p w14:paraId="04C66E3B" w14:textId="77777777" w:rsidR="00544CE2" w:rsidRPr="00544CE2" w:rsidRDefault="00544CE2" w:rsidP="00FF4766">
      <w:pPr>
        <w:pStyle w:val="Heading2"/>
        <w:sectPr w:rsidR="00544CE2" w:rsidRPr="00544CE2" w:rsidSect="00EE771C">
          <w:type w:val="continuous"/>
          <w:pgSz w:w="12240" w:h="15840" w:code="1"/>
          <w:pgMar w:top="1440" w:right="1440" w:bottom="1440" w:left="1440" w:header="720" w:footer="720" w:gutter="0"/>
          <w:cols w:num="2" w:space="720"/>
          <w:docGrid w:linePitch="360"/>
        </w:sectPr>
      </w:pPr>
    </w:p>
    <w:p w14:paraId="4B7F864E" w14:textId="569B5ABB" w:rsidR="00C47F9D" w:rsidRDefault="00C47F9D" w:rsidP="00C47F9D">
      <w:pPr>
        <w:pStyle w:val="Heading2"/>
      </w:pPr>
      <w:bookmarkStart w:id="51" w:name="_Toc47516650"/>
      <w:r>
        <w:lastRenderedPageBreak/>
        <w:t>Commonly Used System Rules</w:t>
      </w:r>
      <w:bookmarkEnd w:id="51"/>
      <w:r>
        <w:fldChar w:fldCharType="begin"/>
      </w:r>
      <w:r>
        <w:instrText xml:space="preserve"> XE "</w:instrText>
      </w:r>
      <w:r w:rsidRPr="003536AD">
        <w:instrText>Commonly Used System Rules</w:instrText>
      </w:r>
      <w:r>
        <w:instrText xml:space="preserve">" </w:instrText>
      </w:r>
      <w:r>
        <w:fldChar w:fldCharType="end"/>
      </w:r>
    </w:p>
    <w:p w14:paraId="76503300" w14:textId="77777777" w:rsidR="00C47F9D" w:rsidRDefault="00C47F9D" w:rsidP="00C47F9D">
      <w:pPr>
        <w:pStyle w:val="BodyText"/>
      </w:pPr>
      <w:r>
        <w:t>This section includes system rules that apply to several or all options.</w:t>
      </w:r>
    </w:p>
    <w:p w14:paraId="7DC190F1" w14:textId="77777777" w:rsidR="00995145" w:rsidRDefault="00995145" w:rsidP="00C47F9D">
      <w:pPr>
        <w:pStyle w:val="Heading3"/>
      </w:pPr>
      <w:bookmarkStart w:id="52" w:name="_Toc47516651"/>
      <w:r>
        <w:t>Date and Time</w:t>
      </w:r>
      <w:bookmarkEnd w:id="52"/>
      <w:r w:rsidR="00A51F68">
        <w:fldChar w:fldCharType="begin"/>
      </w:r>
      <w:r w:rsidR="00A51F68">
        <w:instrText xml:space="preserve"> XE "</w:instrText>
      </w:r>
      <w:r w:rsidR="00A51F68" w:rsidRPr="00FA7A9D">
        <w:instrText>Date and Time</w:instrText>
      </w:r>
      <w:r w:rsidR="00A51F68">
        <w:instrText xml:space="preserve">" </w:instrText>
      </w:r>
      <w:r w:rsidR="00A51F68">
        <w:fldChar w:fldCharType="end"/>
      </w:r>
    </w:p>
    <w:p w14:paraId="05E256D4" w14:textId="24FCF763" w:rsidR="00995145" w:rsidRDefault="009204CC" w:rsidP="00995145">
      <w:pPr>
        <w:pStyle w:val="ListBullet"/>
      </w:pPr>
      <w:r>
        <w:t xml:space="preserve">Users must contact the </w:t>
      </w:r>
      <w:r w:rsidR="005364D9">
        <w:t>Service</w:t>
      </w:r>
      <w:r>
        <w:t xml:space="preserve"> Desk </w:t>
      </w:r>
      <w:r w:rsidR="00995145">
        <w:t>when the date or time is incorrect.</w:t>
      </w:r>
    </w:p>
    <w:p w14:paraId="5729BE6F" w14:textId="77777777" w:rsidR="0038414C" w:rsidRDefault="0038414C" w:rsidP="0038414C">
      <w:pPr>
        <w:pStyle w:val="ListBullet"/>
      </w:pPr>
      <w:r>
        <w:t xml:space="preserve">The date, time, and time zone </w:t>
      </w:r>
      <w:r w:rsidRPr="0038414C">
        <w:t xml:space="preserve">in VBECS is defined where the blood bank is located. </w:t>
      </w:r>
      <w:r>
        <w:t>Any requests for</w:t>
      </w:r>
      <w:r w:rsidRPr="0038414C">
        <w:t xml:space="preserve"> data from </w:t>
      </w:r>
      <w:r>
        <w:t>a particul</w:t>
      </w:r>
      <w:r w:rsidR="008B2A87">
        <w:t>ar blood b</w:t>
      </w:r>
      <w:r>
        <w:t xml:space="preserve">ank </w:t>
      </w:r>
      <w:r w:rsidRPr="0038414C">
        <w:t>database will reflect the time zone where the data was created and not the time zone where the report is generated.</w:t>
      </w:r>
      <w:r>
        <w:t xml:space="preserve"> </w:t>
      </w:r>
      <w:r>
        <w:rPr>
          <w:vanish/>
        </w:rPr>
        <w:t>DR 3838</w:t>
      </w:r>
    </w:p>
    <w:p w14:paraId="777B83BC" w14:textId="21072171" w:rsidR="00A51F68" w:rsidRPr="00995145" w:rsidRDefault="00063AED" w:rsidP="00995145">
      <w:pPr>
        <w:pStyle w:val="ListBullet"/>
      </w:pPr>
      <w:r>
        <w:t>Refer to</w:t>
      </w:r>
      <w:r w:rsidR="00A51F68">
        <w:t xml:space="preserve"> </w:t>
      </w:r>
      <w:r w:rsidRPr="00063AED">
        <w:rPr>
          <w:i/>
        </w:rPr>
        <w:t xml:space="preserve">VistA Blood Establishment Computer Software (VBECS) </w:t>
      </w:r>
      <w:r w:rsidR="00B03BDD">
        <w:rPr>
          <w:i/>
        </w:rPr>
        <w:t>2.3.</w:t>
      </w:r>
      <w:r w:rsidR="00AD5990">
        <w:rPr>
          <w:i/>
        </w:rPr>
        <w:t>2</w:t>
      </w:r>
      <w:r w:rsidR="00531617">
        <w:rPr>
          <w:i/>
        </w:rPr>
        <w:t xml:space="preserve"> </w:t>
      </w:r>
      <w:r w:rsidR="00671B56">
        <w:rPr>
          <w:i/>
        </w:rPr>
        <w:t xml:space="preserve">Administrator User </w:t>
      </w:r>
      <w:r w:rsidRPr="00063AED">
        <w:rPr>
          <w:i/>
        </w:rPr>
        <w:t>Guide</w:t>
      </w:r>
      <w:r w:rsidRPr="00063AED">
        <w:t xml:space="preserve"> </w:t>
      </w:r>
      <w:r w:rsidR="00A51F68">
        <w:t>to change the time zone.</w:t>
      </w:r>
    </w:p>
    <w:p w14:paraId="5879B436" w14:textId="77777777" w:rsidR="00C47F9D" w:rsidRPr="00C47F9D" w:rsidRDefault="00C47F9D" w:rsidP="00C47F9D">
      <w:pPr>
        <w:pStyle w:val="Heading3"/>
      </w:pPr>
      <w:bookmarkStart w:id="53" w:name="_Toc47516652"/>
      <w:r>
        <w:t>Locking and Time-Outs</w:t>
      </w:r>
      <w:bookmarkEnd w:id="53"/>
      <w:r>
        <w:fldChar w:fldCharType="begin"/>
      </w:r>
      <w:r>
        <w:instrText xml:space="preserve"> XE "</w:instrText>
      </w:r>
      <w:r w:rsidRPr="001935CB">
        <w:instrText>Locking and Time-Outs</w:instrText>
      </w:r>
      <w:r>
        <w:instrText xml:space="preserve">" </w:instrText>
      </w:r>
      <w:r>
        <w:fldChar w:fldCharType="end"/>
      </w:r>
    </w:p>
    <w:p w14:paraId="030163E9" w14:textId="10707B31" w:rsidR="0053445B" w:rsidRDefault="0053445B" w:rsidP="0053445B">
      <w:pPr>
        <w:pStyle w:val="ListBullet"/>
      </w:pPr>
      <w:r>
        <w:t>VBECS uses Remote Desktop technology</w:t>
      </w:r>
      <w:r w:rsidR="002A1659">
        <w:t>,</w:t>
      </w:r>
      <w:r>
        <w:t xml:space="preserve"> which has its own setting for timing out the entire VBECS application. This is not the VBECS locking described in the following two bullets. The Remote Desktop window will remain active for 60 minutes after a user has stopped being active in the session. After 60 minutes of inactivity</w:t>
      </w:r>
      <w:r w:rsidR="002A1659">
        <w:t>,</w:t>
      </w:r>
      <w:r>
        <w:t xml:space="preserve"> the session will timeout and the user will have to establish a new Remote Desktop session to begin using VBECS again.</w:t>
      </w:r>
      <w:r w:rsidR="001F54B5">
        <w:t xml:space="preserve"> </w:t>
      </w:r>
      <w:r w:rsidR="001F54B5" w:rsidRPr="001F54B5">
        <w:rPr>
          <w:vanish/>
        </w:rPr>
        <w:t>Task 1199000</w:t>
      </w:r>
    </w:p>
    <w:p w14:paraId="500371A1" w14:textId="26843FEC" w:rsidR="00A62384" w:rsidRDefault="00422274" w:rsidP="00422274">
      <w:pPr>
        <w:pStyle w:val="ListBullet"/>
      </w:pPr>
      <w:r w:rsidRPr="00ED2F18">
        <w:t xml:space="preserve">In </w:t>
      </w:r>
      <w:r w:rsidRPr="00422274">
        <w:t>many</w:t>
      </w:r>
      <w:r w:rsidRPr="00ED2F18">
        <w:t xml:space="preserve"> cases, VBECS’s locking feature prevents more than one user from accessing data. </w:t>
      </w:r>
      <w:r>
        <w:t>When</w:t>
      </w:r>
      <w:r w:rsidRPr="00ED2F18">
        <w:t xml:space="preserve"> a user attempts to access locked data, </w:t>
      </w:r>
      <w:r>
        <w:t xml:space="preserve">VBECS displays </w:t>
      </w:r>
      <w:r w:rsidRPr="00ED2F18">
        <w:t xml:space="preserve">a message indicating </w:t>
      </w:r>
      <w:r w:rsidR="0067601B">
        <w:t>which user</w:t>
      </w:r>
      <w:r w:rsidRPr="00ED2F18">
        <w:t xml:space="preserve"> has </w:t>
      </w:r>
      <w:r w:rsidR="0067601B">
        <w:t xml:space="preserve">the </w:t>
      </w:r>
      <w:r w:rsidRPr="00ED2F18">
        <w:t>locked</w:t>
      </w:r>
      <w:r w:rsidR="0067601B">
        <w:t xml:space="preserve"> data</w:t>
      </w:r>
      <w:r w:rsidRPr="00ED2F18">
        <w:t>.</w:t>
      </w:r>
    </w:p>
    <w:p w14:paraId="2F2B0A8D" w14:textId="77777777" w:rsidR="00847A1C" w:rsidRDefault="00847A1C" w:rsidP="00847A1C">
      <w:pPr>
        <w:pStyle w:val="ListBullet"/>
      </w:pPr>
      <w:r>
        <w:t>A local configurable setting (Lock Inactivity Timeout field) specifies how long a user can be idle and in control of data being edited.</w:t>
      </w:r>
      <w:r w:rsidRPr="00847A1C">
        <w:t xml:space="preserve"> </w:t>
      </w:r>
      <w:r>
        <w:rPr>
          <w:vanish/>
          <w:szCs w:val="18"/>
        </w:rPr>
        <w:t>MBR_2.13</w:t>
      </w:r>
      <w:r>
        <w:t>VBECS warns the user 60 seconds before the lock inactivity period expires that he will lose priority for the data. When he responds within 60 seconds, VBECS clears the warning and resets the lock activity timer. Otherwise, VBECS informs him that his lock was released and he must reenter his changes.</w:t>
      </w:r>
    </w:p>
    <w:p w14:paraId="21408DA1" w14:textId="77777777" w:rsidR="00A62384" w:rsidRDefault="00A62384" w:rsidP="00A62384">
      <w:pPr>
        <w:pStyle w:val="Heading3"/>
      </w:pPr>
      <w:bookmarkStart w:id="54" w:name="_Toc47516653"/>
      <w:r>
        <w:t>Working with Data</w:t>
      </w:r>
      <w:bookmarkEnd w:id="54"/>
      <w:r>
        <w:fldChar w:fldCharType="begin"/>
      </w:r>
      <w:r>
        <w:instrText xml:space="preserve"> XE </w:instrText>
      </w:r>
      <w:r w:rsidR="00FA7E65">
        <w:instrText>“</w:instrText>
      </w:r>
      <w:r>
        <w:instrText>Working with Data</w:instrText>
      </w:r>
      <w:r w:rsidR="00FA7E65">
        <w:instrText>”</w:instrText>
      </w:r>
      <w:r>
        <w:instrText xml:space="preserve"> </w:instrText>
      </w:r>
      <w:r>
        <w:fldChar w:fldCharType="end"/>
      </w:r>
    </w:p>
    <w:p w14:paraId="44861B20" w14:textId="7687B012" w:rsidR="009C003E" w:rsidRDefault="009C003E" w:rsidP="00AD73C0">
      <w:pPr>
        <w:pStyle w:val="ListBullet"/>
      </w:pPr>
      <w:r>
        <w:t>VBECS will emit an audible alert when a user exceeds the maximum character limit for a field.</w:t>
      </w:r>
      <w:r>
        <w:rPr>
          <w:vanish/>
        </w:rPr>
        <w:t xml:space="preserve"> DR 3825</w:t>
      </w:r>
    </w:p>
    <w:p w14:paraId="67CB78F5" w14:textId="77777777" w:rsidR="002B6B38" w:rsidRDefault="002B6B38" w:rsidP="002B6B38">
      <w:pPr>
        <w:pStyle w:val="ListBullet"/>
      </w:pPr>
      <w:r>
        <w:t xml:space="preserve">The user may enter interpretations and reactions in full-service facilities. The user may enter only interpretations in transfusion-only facilities. </w:t>
      </w:r>
    </w:p>
    <w:p w14:paraId="03EC4326" w14:textId="77777777" w:rsidR="0067711F" w:rsidRDefault="0067711F" w:rsidP="003B2567">
      <w:pPr>
        <w:pStyle w:val="ListBullet"/>
      </w:pPr>
      <w:r>
        <w:t>Information displayed on a</w:t>
      </w:r>
      <w:r w:rsidR="00AC7D83">
        <w:t>n active</w:t>
      </w:r>
      <w:r>
        <w:t xml:space="preserve"> window is updated with information</w:t>
      </w:r>
      <w:r w:rsidR="00AC7D83">
        <w:t xml:space="preserve"> from other options only when</w:t>
      </w:r>
      <w:r w:rsidR="00C242AA">
        <w:t xml:space="preserve"> it is refreshed (i.e., closed and reopened</w:t>
      </w:r>
      <w:r w:rsidR="00AC7D83">
        <w:t>)</w:t>
      </w:r>
      <w:r w:rsidR="00F569CC">
        <w:t xml:space="preserve"> in </w:t>
      </w:r>
      <w:r>
        <w:t xml:space="preserve">the </w:t>
      </w:r>
      <w:r w:rsidR="00AC7D83">
        <w:t>active window</w:t>
      </w:r>
      <w:r>
        <w:t>.</w:t>
      </w:r>
    </w:p>
    <w:p w14:paraId="19D8AAC0" w14:textId="77777777" w:rsidR="00A62384" w:rsidRDefault="00A62384" w:rsidP="00A62384">
      <w:pPr>
        <w:pStyle w:val="ListBullet"/>
      </w:pPr>
      <w:r>
        <w:rPr>
          <w:vanish/>
          <w:spacing w:val="0"/>
        </w:rPr>
        <w:t xml:space="preserve">BR_1.03 </w:t>
      </w:r>
      <w:r>
        <w:t>When VBECS displays a scanner icon next to a data entry field, a user may enter or scan the data.</w:t>
      </w:r>
      <w:r w:rsidR="00340676">
        <w:t xml:space="preserve"> The Caps Lock key must not be engaged.</w:t>
      </w:r>
      <w:r w:rsidR="00340676" w:rsidRPr="00340676">
        <w:rPr>
          <w:vanish/>
        </w:rPr>
        <w:t xml:space="preserve"> (DR 2,733)</w:t>
      </w:r>
      <w:r w:rsidR="00340676">
        <w:t xml:space="preserve"> </w:t>
      </w:r>
    </w:p>
    <w:p w14:paraId="281B4618" w14:textId="77777777" w:rsidR="00E83D83" w:rsidRPr="00E83D83" w:rsidRDefault="00E83D83" w:rsidP="00E83D83">
      <w:pPr>
        <w:pStyle w:val="ListBullet"/>
        <w:rPr>
          <w:spacing w:val="0"/>
        </w:rPr>
      </w:pPr>
      <w:r w:rsidRPr="00E83D83">
        <w:rPr>
          <w:vanish/>
          <w:spacing w:val="0"/>
        </w:rPr>
        <w:t xml:space="preserve">BR_1.71 </w:t>
      </w:r>
      <w:r w:rsidRPr="00E83D83">
        <w:rPr>
          <w:spacing w:val="0"/>
        </w:rPr>
        <w:t>Entry of Codabar labeled blood units is disabled.</w:t>
      </w:r>
    </w:p>
    <w:p w14:paraId="395CBEFE" w14:textId="77777777" w:rsidR="00413ECA" w:rsidRDefault="00413ECA" w:rsidP="00413ECA">
      <w:pPr>
        <w:pStyle w:val="ListBullet"/>
      </w:pPr>
      <w:r>
        <w:rPr>
          <w:vanish/>
          <w:spacing w:val="0"/>
        </w:rPr>
        <w:t xml:space="preserve">BR_28.26 </w:t>
      </w:r>
      <w:r>
        <w:t>VBECS captures all technologist IDs and the name of the technologist who displays and/or prints testing information on reports associated with entering test results on a worksheet.</w:t>
      </w:r>
    </w:p>
    <w:p w14:paraId="3617D98F" w14:textId="7D68720E" w:rsidR="00413ECA" w:rsidRDefault="00413ECA" w:rsidP="00413ECA">
      <w:pPr>
        <w:pStyle w:val="ListBullet"/>
      </w:pPr>
      <w:r>
        <w:rPr>
          <w:vanish/>
          <w:spacing w:val="0"/>
        </w:rPr>
        <w:t>BR_40.06</w:t>
      </w:r>
      <w:r w:rsidR="00D415FB">
        <w:rPr>
          <w:vanish/>
          <w:spacing w:val="0"/>
        </w:rPr>
        <w:t xml:space="preserve"> </w:t>
      </w:r>
      <w:r w:rsidR="004E0817">
        <w:rPr>
          <w:spacing w:val="0"/>
        </w:rPr>
        <w:t>With each valid keystroke entry in</w:t>
      </w:r>
      <w:r w:rsidR="003937C6" w:rsidRPr="004E0817">
        <w:rPr>
          <w:spacing w:val="0"/>
        </w:rPr>
        <w:t xml:space="preserve"> the antibody screen </w:t>
      </w:r>
      <w:r w:rsidR="004E0817">
        <w:rPr>
          <w:spacing w:val="0"/>
        </w:rPr>
        <w:t>and</w:t>
      </w:r>
      <w:r w:rsidR="003937C6" w:rsidRPr="004E0817">
        <w:rPr>
          <w:spacing w:val="0"/>
        </w:rPr>
        <w:t xml:space="preserve"> crossmatch test grids, VBECS moves </w:t>
      </w:r>
      <w:r>
        <w:t xml:space="preserve">the cursor from top to bottom in the </w:t>
      </w:r>
      <w:r w:rsidR="00AB4BD9">
        <w:t>far-left</w:t>
      </w:r>
      <w:r>
        <w:t xml:space="preserve"> column within the cells in which results are being entered. The cursor returns to the top cell in the next column to the right and so on across the worksheet grid. The cursor stays in the reaction results cells by default (the technologist may navigate independently) until the last entry is made in the reaction result portion of the grid</w:t>
      </w:r>
      <w:r w:rsidR="00D415FB">
        <w:t>, t</w:t>
      </w:r>
      <w:r>
        <w:t>hen the cursor moves to the first (top) interpretation cell.</w:t>
      </w:r>
    </w:p>
    <w:p w14:paraId="4C022122" w14:textId="77777777" w:rsidR="00E73E6C" w:rsidRDefault="00A32CB7" w:rsidP="00A32CB7">
      <w:pPr>
        <w:pStyle w:val="ListBullet"/>
      </w:pPr>
      <w:bookmarkStart w:id="55" w:name="OLE_LINK35"/>
      <w:bookmarkStart w:id="56" w:name="OLE_LINK36"/>
      <w:r>
        <w:t>To clear an entry in a test grid cell, press</w:t>
      </w:r>
      <w:r w:rsidR="004F3C85">
        <w:t xml:space="preserve"> the</w:t>
      </w:r>
      <w:r>
        <w:t xml:space="preserve"> </w:t>
      </w:r>
      <w:r w:rsidRPr="00A32CB7">
        <w:rPr>
          <w:b/>
        </w:rPr>
        <w:t>Backspace</w:t>
      </w:r>
      <w:r w:rsidR="004F3C85">
        <w:t xml:space="preserve"> key.</w:t>
      </w:r>
    </w:p>
    <w:p w14:paraId="08BDFB8F" w14:textId="77777777" w:rsidR="00A32CB7" w:rsidRDefault="00E73E6C" w:rsidP="00E73E6C">
      <w:pPr>
        <w:pStyle w:val="ListBullet"/>
      </w:pPr>
      <w:r>
        <w:lastRenderedPageBreak/>
        <w:t xml:space="preserve">VBECS allows selection of deceased patients without a warning message presented when VBECS has not received a patient death update message from VistA. </w:t>
      </w:r>
      <w:r>
        <w:rPr>
          <w:vanish/>
        </w:rPr>
        <w:t>DR 3064</w:t>
      </w:r>
    </w:p>
    <w:bookmarkEnd w:id="55"/>
    <w:bookmarkEnd w:id="56"/>
    <w:p w14:paraId="7B684721" w14:textId="77777777" w:rsidR="00413ECA" w:rsidRDefault="00413ECA" w:rsidP="00413ECA">
      <w:pPr>
        <w:pStyle w:val="ListBullet"/>
      </w:pPr>
      <w:r w:rsidRPr="009174D5">
        <w:rPr>
          <w:vanish/>
          <w:spacing w:val="0"/>
        </w:rPr>
        <w:t>BR_2.18</w:t>
      </w:r>
      <w:r>
        <w:rPr>
          <w:vanish/>
          <w:spacing w:val="0"/>
        </w:rPr>
        <w:t xml:space="preserve"> </w:t>
      </w:r>
      <w:r>
        <w:t xml:space="preserve">VBECS displays the data that a user enters in a session. The user may edit the data and </w:t>
      </w:r>
      <w:r w:rsidR="008A7BDA">
        <w:t xml:space="preserve">save them. </w:t>
      </w:r>
      <w:r>
        <w:t xml:space="preserve">VBECS warns </w:t>
      </w:r>
      <w:r w:rsidR="008A7BDA">
        <w:t>the user that if he chooses to cancel using the cancel or “X” button or by leaving/refreshing the current page, VBECS will not save any data changes entered during the session</w:t>
      </w:r>
      <w:r>
        <w:t xml:space="preserve">. VBECS </w:t>
      </w:r>
      <w:r w:rsidR="00A62384" w:rsidRPr="00CF619F">
        <w:t>closes the form and</w:t>
      </w:r>
      <w:r w:rsidR="005A3214">
        <w:t xml:space="preserve"> </w:t>
      </w:r>
      <w:r w:rsidRPr="00CF619F">
        <w:t>returns the user to the main menu screen that may include unrelated open windows</w:t>
      </w:r>
      <w:r>
        <w:t>.</w:t>
      </w:r>
    </w:p>
    <w:p w14:paraId="6A7DC74E" w14:textId="77777777" w:rsidR="00413ECA" w:rsidRDefault="00413ECA" w:rsidP="00413ECA">
      <w:pPr>
        <w:pStyle w:val="ListBullet"/>
      </w:pPr>
      <w:r>
        <w:rPr>
          <w:vanish/>
          <w:spacing w:val="0"/>
        </w:rPr>
        <w:t xml:space="preserve">BR_38.08 </w:t>
      </w:r>
      <w:r>
        <w:t xml:space="preserve">VBECS displays </w:t>
      </w:r>
      <w:r w:rsidR="00941683">
        <w:t xml:space="preserve">and enforces active </w:t>
      </w:r>
      <w:r w:rsidR="003937C6">
        <w:t>Transfusion R</w:t>
      </w:r>
      <w:r>
        <w:t xml:space="preserve">equirements </w:t>
      </w:r>
      <w:r w:rsidR="003937C6">
        <w:t xml:space="preserve">(TRs) </w:t>
      </w:r>
      <w:r>
        <w:t>to all divisions in a multi</w:t>
      </w:r>
      <w:r w:rsidR="00941683">
        <w:t>divisional database.</w:t>
      </w:r>
    </w:p>
    <w:p w14:paraId="7653E129" w14:textId="77777777" w:rsidR="00413ECA" w:rsidRDefault="00413ECA" w:rsidP="00413ECA">
      <w:pPr>
        <w:pStyle w:val="ListBullet"/>
      </w:pPr>
      <w:r>
        <w:rPr>
          <w:vanish/>
          <w:spacing w:val="0"/>
        </w:rPr>
        <w:t xml:space="preserve">BR_52.04 </w:t>
      </w:r>
      <w:r>
        <w:t>The user may not edit the title column of the data grid that specifies the reagent used in the test with a patient specimen.</w:t>
      </w:r>
    </w:p>
    <w:p w14:paraId="0AF1DC55" w14:textId="77777777" w:rsidR="00413ECA" w:rsidRDefault="00413ECA" w:rsidP="00413ECA">
      <w:pPr>
        <w:pStyle w:val="ListBullet"/>
      </w:pPr>
      <w:r>
        <w:rPr>
          <w:vanish/>
          <w:spacing w:val="0"/>
        </w:rPr>
        <w:t xml:space="preserve">BR_2.01 </w:t>
      </w:r>
      <w:r>
        <w:t>Unless otherwise indicated, data entry and retrieval are restricted to the division logged into.</w:t>
      </w:r>
    </w:p>
    <w:p w14:paraId="7B9E54DC" w14:textId="77777777" w:rsidR="00413ECA" w:rsidRDefault="00413ECA" w:rsidP="00413ECA">
      <w:pPr>
        <w:pStyle w:val="ListBullet"/>
      </w:pPr>
      <w:r>
        <w:rPr>
          <w:vanish/>
          <w:spacing w:val="0"/>
        </w:rPr>
        <w:t xml:space="preserve">BR_56.08 </w:t>
      </w:r>
      <w:r w:rsidR="00AD6662" w:rsidRPr="00AD6662">
        <w:rPr>
          <w:spacing w:val="0"/>
        </w:rPr>
        <w:t>To enter data after VBECS has been unavailable, a</w:t>
      </w:r>
      <w:r w:rsidRPr="00AD6662">
        <w:t xml:space="preserve"> u</w:t>
      </w:r>
      <w:r>
        <w:t xml:space="preserve">ser may </w:t>
      </w:r>
      <w:r w:rsidR="00AD6662">
        <w:t>enter</w:t>
      </w:r>
      <w:r>
        <w:t xml:space="preserve"> a past date, time, and the technologist who performed the work.</w:t>
      </w:r>
    </w:p>
    <w:p w14:paraId="042A6DAB" w14:textId="77777777" w:rsidR="00413ECA" w:rsidRDefault="00413ECA" w:rsidP="00413ECA">
      <w:pPr>
        <w:pStyle w:val="ListBullet"/>
      </w:pPr>
      <w:r>
        <w:rPr>
          <w:vanish/>
          <w:spacing w:val="0"/>
        </w:rPr>
        <w:t xml:space="preserve">BR_77.10 </w:t>
      </w:r>
      <w:r>
        <w:t>VBECS displays changes in reverse chronological order.</w:t>
      </w:r>
    </w:p>
    <w:p w14:paraId="6ABDE268" w14:textId="77777777" w:rsidR="00A62384" w:rsidRDefault="00413ECA" w:rsidP="00413ECA">
      <w:pPr>
        <w:pStyle w:val="ListBullet"/>
      </w:pPr>
      <w:r>
        <w:rPr>
          <w:vanish/>
          <w:spacing w:val="0"/>
        </w:rPr>
        <w:t xml:space="preserve">BR_3.22 </w:t>
      </w:r>
      <w:r>
        <w:t>VBECS calculates and displays the days (hours, if less than one day) remaining until a unit’s expiration based on the date and time of unit selection entered during modification.</w:t>
      </w:r>
    </w:p>
    <w:p w14:paraId="11A38CD8" w14:textId="77777777" w:rsidR="00E83D83" w:rsidRPr="00E83D83" w:rsidRDefault="00A62384" w:rsidP="00E83D83">
      <w:pPr>
        <w:pStyle w:val="ListBullet"/>
      </w:pPr>
      <w:r w:rsidRPr="00E83D83">
        <w:rPr>
          <w:vanish/>
        </w:rPr>
        <w:t xml:space="preserve">BR_1.23 </w:t>
      </w:r>
      <w:r w:rsidR="00E83D83" w:rsidRPr="00E83D83">
        <w:t>A scanned ISBT 128 expiration date barcode is identified by the presence of ‘"=</w:t>
      </w:r>
      <w:r w:rsidR="00452A6C">
        <w:t xml:space="preserve"> </w:t>
      </w:r>
      <w:r w:rsidR="00E83D83" w:rsidRPr="00E83D83">
        <w:t xml:space="preserve">&gt;’ or ‘&amp;&gt;’ as the hidden identifier. Once the hidden identifier is removed, there are two possible formats of the barcode, one involving the date only and another involving date and time. If no time in the barcode, then 23:59 is assumed. </w:t>
      </w:r>
    </w:p>
    <w:p w14:paraId="4A5F04DF" w14:textId="77777777" w:rsidR="00A62384" w:rsidRDefault="00A62384" w:rsidP="00A62384">
      <w:pPr>
        <w:pStyle w:val="ListBullet"/>
      </w:pPr>
      <w:r>
        <w:t>Data are never deleted: they are saved indefinitely.</w:t>
      </w:r>
    </w:p>
    <w:p w14:paraId="3A4AC703" w14:textId="77777777" w:rsidR="00EF6BBD" w:rsidRDefault="00EF6BBD" w:rsidP="00A62384">
      <w:pPr>
        <w:pStyle w:val="ListBullet"/>
      </w:pPr>
      <w:r>
        <w:t xml:space="preserve">Although a user may </w:t>
      </w:r>
      <w:r w:rsidR="00C71503">
        <w:t xml:space="preserve">appear to </w:t>
      </w:r>
      <w:r>
        <w:t>select and delete data in gray fields, VBECS does not save such edits.</w:t>
      </w:r>
    </w:p>
    <w:p w14:paraId="61C19C6C" w14:textId="77777777" w:rsidR="00993A74" w:rsidRDefault="00993A74" w:rsidP="00A62384">
      <w:pPr>
        <w:pStyle w:val="ListBullet"/>
      </w:pPr>
      <w:r>
        <w:t xml:space="preserve">A column’s width may be adjusted or hidden for a session. This view returns to the default presentation when the view is opened again. </w:t>
      </w:r>
      <w:r w:rsidRPr="00C242AA">
        <w:rPr>
          <w:vanish/>
        </w:rPr>
        <w:t>DR 2218</w:t>
      </w:r>
    </w:p>
    <w:p w14:paraId="5B9ACF5F" w14:textId="77777777" w:rsidR="003128E0" w:rsidRDefault="003128E0" w:rsidP="003128E0">
      <w:pPr>
        <w:pStyle w:val="ListBullet"/>
      </w:pPr>
      <w:r w:rsidRPr="003128E0">
        <w:rPr>
          <w:vanish/>
        </w:rPr>
        <w:t xml:space="preserve">BR_2.19 </w:t>
      </w:r>
      <w:r>
        <w:t>The ABO/Rh confirmation worklist may be sorted by Unit ID, ABO/Rh, Product Type, Component Type, or Date/Time Received. When displaying the Date/Time Received, seconds are not displayed, but are used to sort the worklist when selecting Date/Time Received for the worklist sort criteria.</w:t>
      </w:r>
    </w:p>
    <w:p w14:paraId="5D125E2E" w14:textId="77777777" w:rsidR="00A62384" w:rsidRDefault="00A62384" w:rsidP="00A62384">
      <w:pPr>
        <w:pStyle w:val="Heading3"/>
      </w:pPr>
      <w:bookmarkStart w:id="57" w:name="_Toc47516654"/>
      <w:r>
        <w:t>Searching the Database</w:t>
      </w:r>
      <w:bookmarkEnd w:id="57"/>
      <w:r>
        <w:fldChar w:fldCharType="begin"/>
      </w:r>
      <w:r>
        <w:instrText xml:space="preserve"> XE </w:instrText>
      </w:r>
      <w:r w:rsidR="00FA7E65">
        <w:instrText>“</w:instrText>
      </w:r>
      <w:r>
        <w:instrText>Searching the Database</w:instrText>
      </w:r>
      <w:r w:rsidR="00FA7E65">
        <w:instrText>”</w:instrText>
      </w:r>
      <w:r>
        <w:instrText xml:space="preserve"> </w:instrText>
      </w:r>
      <w:r>
        <w:fldChar w:fldCharType="end"/>
      </w:r>
    </w:p>
    <w:p w14:paraId="24B3EF6B" w14:textId="77777777" w:rsidR="00A62384" w:rsidRDefault="00A62384" w:rsidP="00A62384">
      <w:pPr>
        <w:pStyle w:val="ListBullet"/>
      </w:pPr>
      <w:r>
        <w:rPr>
          <w:vanish/>
          <w:spacing w:val="0"/>
        </w:rPr>
        <w:t xml:space="preserve">BR_3.20 </w:t>
      </w:r>
      <w:r>
        <w:rPr>
          <w:rFonts w:cs="Arial"/>
        </w:rPr>
        <w:t>A user may</w:t>
      </w:r>
      <w:r>
        <w:t xml:space="preserve"> search for a patient by:</w:t>
      </w:r>
    </w:p>
    <w:p w14:paraId="25F49425" w14:textId="278DB675" w:rsidR="00A62384" w:rsidRDefault="005D2D3B" w:rsidP="00A12E97">
      <w:pPr>
        <w:pStyle w:val="ListBullet2"/>
      </w:pPr>
      <w:r>
        <w:t>Patient’s l</w:t>
      </w:r>
      <w:r w:rsidR="00A62384">
        <w:t>ast name</w:t>
      </w:r>
      <w:r w:rsidR="00141237">
        <w:t xml:space="preserve"> (symbols such as</w:t>
      </w:r>
      <w:r>
        <w:t xml:space="preserve"> an apostrophe and/or dash are not allowed)</w:t>
      </w:r>
    </w:p>
    <w:p w14:paraId="32E412BA" w14:textId="1E2B9A51" w:rsidR="00A62384" w:rsidRDefault="005D2D3B" w:rsidP="00A12E97">
      <w:pPr>
        <w:pStyle w:val="ListBullet2"/>
      </w:pPr>
      <w:r>
        <w:t xml:space="preserve">Patient’s </w:t>
      </w:r>
      <w:r w:rsidR="00A62384">
        <w:t>ID</w:t>
      </w:r>
      <w:r w:rsidR="00882CF0">
        <w:t xml:space="preserve"> </w:t>
      </w:r>
      <w:r w:rsidR="00EB26C9">
        <w:t>(omit hyphens)</w:t>
      </w:r>
      <w:r w:rsidR="006F2228">
        <w:t xml:space="preserve"> (“Full”)</w:t>
      </w:r>
    </w:p>
    <w:p w14:paraId="72AF47C1" w14:textId="2E223C52" w:rsidR="00A62384" w:rsidRDefault="005D2D3B" w:rsidP="00A12E97">
      <w:pPr>
        <w:pStyle w:val="ListBullet2"/>
      </w:pPr>
      <w:r>
        <w:t>Patient’s last i</w:t>
      </w:r>
      <w:r w:rsidR="00A62384">
        <w:t xml:space="preserve">nitial and last four </w:t>
      </w:r>
      <w:r>
        <w:t>digits</w:t>
      </w:r>
      <w:r w:rsidR="00A62384">
        <w:t xml:space="preserve"> of the ID</w:t>
      </w:r>
      <w:r w:rsidR="006F2228">
        <w:t xml:space="preserve"> (“Last </w:t>
      </w:r>
      <w:r>
        <w:t>4</w:t>
      </w:r>
      <w:r w:rsidR="006F2228">
        <w:t>”)</w:t>
      </w:r>
    </w:p>
    <w:p w14:paraId="49609D51" w14:textId="32C0E268" w:rsidR="00A62384" w:rsidRDefault="005D2D3B" w:rsidP="00A12E97">
      <w:pPr>
        <w:pStyle w:val="ListBullet2"/>
      </w:pPr>
      <w:r>
        <w:t>Patient’s l</w:t>
      </w:r>
      <w:r w:rsidR="00A62384">
        <w:t xml:space="preserve">ast four </w:t>
      </w:r>
      <w:r>
        <w:t>digits</w:t>
      </w:r>
      <w:r w:rsidR="00A62384">
        <w:t xml:space="preserve"> of the ID</w:t>
      </w:r>
      <w:r w:rsidR="006F2228">
        <w:t xml:space="preserve"> (“Last 4”)</w:t>
      </w:r>
    </w:p>
    <w:p w14:paraId="1E773F79" w14:textId="5FCAC625" w:rsidR="005D2D3B" w:rsidRDefault="005D2D3B" w:rsidP="005D2D3B">
      <w:pPr>
        <w:pStyle w:val="ListBullet2"/>
        <w:numPr>
          <w:ilvl w:val="0"/>
          <w:numId w:val="0"/>
        </w:numPr>
        <w:ind w:left="648"/>
      </w:pPr>
    </w:p>
    <w:p w14:paraId="3736A7AF" w14:textId="77777777" w:rsidR="005D2D3B" w:rsidRPr="005D2D3B" w:rsidRDefault="005D2D3B" w:rsidP="005D2D3B">
      <w:pPr>
        <w:pStyle w:val="ListBullet"/>
        <w:rPr>
          <w:rFonts w:cs="Arial"/>
        </w:rPr>
      </w:pPr>
      <w:r w:rsidRPr="005D2D3B">
        <w:rPr>
          <w:rFonts w:cs="Arial"/>
        </w:rPr>
        <w:t>For example, for a patient whose last name is TEST with an ID of 000-11-2222:</w:t>
      </w:r>
    </w:p>
    <w:p w14:paraId="46CBBCEA" w14:textId="7BF7FBAC" w:rsidR="005D2D3B" w:rsidRPr="00374A4B" w:rsidRDefault="005D2D3B" w:rsidP="005D2D3B">
      <w:pPr>
        <w:pStyle w:val="ListBullet2"/>
      </w:pPr>
      <w:r w:rsidRPr="00374A4B">
        <w:t xml:space="preserve">Patient's last name: user enters "TEST" </w:t>
      </w:r>
    </w:p>
    <w:p w14:paraId="111B3CC5" w14:textId="0ED23BA3" w:rsidR="005D2D3B" w:rsidRPr="00374A4B" w:rsidRDefault="005D2D3B" w:rsidP="005D2D3B">
      <w:pPr>
        <w:pStyle w:val="ListBullet2"/>
      </w:pPr>
      <w:r w:rsidRPr="00374A4B">
        <w:t>Patient's ID: user enters "000112</w:t>
      </w:r>
      <w:r w:rsidR="00326905">
        <w:t>2</w:t>
      </w:r>
      <w:r w:rsidRPr="00374A4B">
        <w:t>22" (no dashes or spaces)</w:t>
      </w:r>
    </w:p>
    <w:p w14:paraId="5CF70A49" w14:textId="74294097" w:rsidR="005D2D3B" w:rsidRPr="00374A4B" w:rsidRDefault="005D2D3B" w:rsidP="005D2D3B">
      <w:pPr>
        <w:pStyle w:val="ListBullet2"/>
      </w:pPr>
      <w:r w:rsidRPr="00374A4B">
        <w:t>Patient's last initial and last four digits of the patient ID: user enters "T2222" (no dashes or spaces)</w:t>
      </w:r>
    </w:p>
    <w:p w14:paraId="0C527F9E" w14:textId="7E6E7210" w:rsidR="005D2D3B" w:rsidRPr="00374A4B" w:rsidRDefault="005D2D3B" w:rsidP="005D2D3B">
      <w:pPr>
        <w:pStyle w:val="ListBullet2"/>
      </w:pPr>
      <w:r w:rsidRPr="00374A4B">
        <w:t xml:space="preserve">Patient's last four digits of the patient ID: user enters "2222" </w:t>
      </w:r>
    </w:p>
    <w:p w14:paraId="53F695DB" w14:textId="77777777" w:rsidR="005D2D3B" w:rsidRPr="00374A4B" w:rsidRDefault="005D2D3B" w:rsidP="005D2D3B">
      <w:pPr>
        <w:pStyle w:val="TableText"/>
      </w:pPr>
      <w:r w:rsidRPr="00374A4B">
        <w:t xml:space="preserve"> </w:t>
      </w:r>
    </w:p>
    <w:p w14:paraId="35DFDB02" w14:textId="77777777" w:rsidR="005D2D3B" w:rsidRPr="000A23ED" w:rsidRDefault="005D2D3B" w:rsidP="000A23ED">
      <w:pPr>
        <w:pStyle w:val="TableText"/>
        <w:ind w:left="648"/>
        <w:rPr>
          <w:rFonts w:ascii="Times New Roman" w:hAnsi="Times New Roman"/>
          <w:sz w:val="22"/>
          <w:szCs w:val="22"/>
        </w:rPr>
      </w:pPr>
      <w:r w:rsidRPr="000A23ED">
        <w:rPr>
          <w:rFonts w:ascii="Times New Roman" w:hAnsi="Times New Roman"/>
          <w:sz w:val="22"/>
          <w:szCs w:val="22"/>
        </w:rPr>
        <w:t>The system displays all patients that fit the search criteria, allowing the user to select a patient from a pick list.</w:t>
      </w:r>
    </w:p>
    <w:p w14:paraId="67E1BD82" w14:textId="77777777" w:rsidR="005D2D3B" w:rsidRPr="000A23ED" w:rsidRDefault="005D2D3B" w:rsidP="000A23ED">
      <w:pPr>
        <w:pStyle w:val="TableText"/>
        <w:ind w:left="648"/>
        <w:rPr>
          <w:rFonts w:ascii="Times New Roman" w:hAnsi="Times New Roman"/>
          <w:sz w:val="22"/>
          <w:szCs w:val="22"/>
        </w:rPr>
      </w:pPr>
    </w:p>
    <w:p w14:paraId="5A2FFFA3" w14:textId="6555E42D" w:rsidR="005D2D3B" w:rsidRPr="000A23ED" w:rsidRDefault="005D2D3B" w:rsidP="000A23ED">
      <w:pPr>
        <w:pStyle w:val="TableText"/>
        <w:ind w:left="648"/>
        <w:rPr>
          <w:rFonts w:ascii="Times New Roman" w:hAnsi="Times New Roman"/>
          <w:sz w:val="22"/>
          <w:szCs w:val="22"/>
        </w:rPr>
      </w:pPr>
      <w:r w:rsidRPr="00BF4EC3">
        <w:rPr>
          <w:rFonts w:ascii="Times New Roman" w:hAnsi="Times New Roman"/>
          <w:b/>
          <w:sz w:val="22"/>
          <w:szCs w:val="22"/>
        </w:rPr>
        <w:t>Note:</w:t>
      </w:r>
      <w:r w:rsidRPr="000A23ED">
        <w:rPr>
          <w:rFonts w:ascii="Times New Roman" w:hAnsi="Times New Roman"/>
          <w:sz w:val="22"/>
          <w:szCs w:val="22"/>
        </w:rPr>
        <w:t xml:space="preserve"> Searching by last four digits on the patient ID in VBECS against the VistA database will return matches on the last four digits or the first four digits.</w:t>
      </w:r>
      <w:r w:rsidR="00A113B2">
        <w:rPr>
          <w:rFonts w:ascii="Times New Roman" w:hAnsi="Times New Roman"/>
          <w:sz w:val="22"/>
          <w:szCs w:val="22"/>
        </w:rPr>
        <w:t xml:space="preserve"> </w:t>
      </w:r>
      <w:r w:rsidRPr="000A23ED">
        <w:rPr>
          <w:rFonts w:ascii="Times New Roman" w:hAnsi="Times New Roman"/>
          <w:sz w:val="22"/>
          <w:szCs w:val="22"/>
        </w:rPr>
        <w:t>The following search formats in VistA are not allowed in VBECS:</w:t>
      </w:r>
    </w:p>
    <w:p w14:paraId="7E6F0121" w14:textId="77777777" w:rsidR="005D2D3B" w:rsidRPr="000A23ED" w:rsidRDefault="005D2D3B" w:rsidP="00BA3292">
      <w:pPr>
        <w:pStyle w:val="TableText"/>
        <w:numPr>
          <w:ilvl w:val="0"/>
          <w:numId w:val="83"/>
        </w:numPr>
        <w:rPr>
          <w:rFonts w:ascii="Times New Roman" w:hAnsi="Times New Roman"/>
          <w:sz w:val="22"/>
          <w:szCs w:val="22"/>
        </w:rPr>
      </w:pPr>
      <w:r w:rsidRPr="000A23ED">
        <w:rPr>
          <w:rFonts w:ascii="Times New Roman" w:hAnsi="Times New Roman"/>
          <w:sz w:val="22"/>
          <w:szCs w:val="22"/>
        </w:rPr>
        <w:t>Last name, first name</w:t>
      </w:r>
    </w:p>
    <w:p w14:paraId="038B44EE" w14:textId="6E1ABF14" w:rsidR="005D2D3B" w:rsidRPr="000A23ED" w:rsidRDefault="005D2D3B" w:rsidP="00BA3292">
      <w:pPr>
        <w:pStyle w:val="TableText"/>
        <w:numPr>
          <w:ilvl w:val="0"/>
          <w:numId w:val="83"/>
        </w:numPr>
        <w:rPr>
          <w:rFonts w:ascii="Times New Roman" w:hAnsi="Times New Roman"/>
          <w:sz w:val="22"/>
          <w:szCs w:val="22"/>
        </w:rPr>
      </w:pPr>
      <w:r w:rsidRPr="000A23ED">
        <w:rPr>
          <w:rFonts w:ascii="Times New Roman" w:hAnsi="Times New Roman"/>
          <w:sz w:val="22"/>
          <w:szCs w:val="22"/>
        </w:rPr>
        <w:t>Various patient ID lengths other than 4 or 9 digits</w:t>
      </w:r>
    </w:p>
    <w:p w14:paraId="01205455" w14:textId="57506883" w:rsidR="005D2D3B" w:rsidRPr="000A23ED" w:rsidRDefault="003E2E8A" w:rsidP="00BA3292">
      <w:pPr>
        <w:pStyle w:val="TableText"/>
        <w:numPr>
          <w:ilvl w:val="0"/>
          <w:numId w:val="83"/>
        </w:numPr>
        <w:rPr>
          <w:rFonts w:ascii="Times New Roman" w:hAnsi="Times New Roman"/>
          <w:sz w:val="22"/>
          <w:szCs w:val="22"/>
        </w:rPr>
      </w:pPr>
      <w:r w:rsidRPr="000A23ED">
        <w:rPr>
          <w:rFonts w:ascii="Times New Roman" w:hAnsi="Times New Roman"/>
          <w:sz w:val="22"/>
          <w:szCs w:val="22"/>
        </w:rPr>
        <w:t>VistA Patient ID</w:t>
      </w:r>
    </w:p>
    <w:p w14:paraId="1A7FFCFA" w14:textId="77777777" w:rsidR="00A62384" w:rsidRDefault="00A62384" w:rsidP="00A62384">
      <w:pPr>
        <w:pStyle w:val="ListBullet"/>
      </w:pPr>
      <w:r>
        <w:rPr>
          <w:vanish/>
          <w:spacing w:val="0"/>
        </w:rPr>
        <w:t xml:space="preserve">BR_4.01 </w:t>
      </w:r>
      <w:r>
        <w:t xml:space="preserve">A user must scan or enter a unit ID and a product code to select a unit from inventory. </w:t>
      </w:r>
    </w:p>
    <w:p w14:paraId="3B18C069" w14:textId="77777777" w:rsidR="00A62384" w:rsidRDefault="00A62384" w:rsidP="00A62384">
      <w:pPr>
        <w:pStyle w:val="ListBullet"/>
        <w:rPr>
          <w:vanish/>
          <w:spacing w:val="0"/>
        </w:rPr>
      </w:pPr>
      <w:r>
        <w:rPr>
          <w:vanish/>
          <w:spacing w:val="0"/>
        </w:rPr>
        <w:t>BR_6.02 This rule is included in the Security section.)</w:t>
      </w:r>
    </w:p>
    <w:p w14:paraId="3F9A61D3" w14:textId="77777777" w:rsidR="00413ECA" w:rsidRDefault="00A62384" w:rsidP="00413ECA">
      <w:pPr>
        <w:pStyle w:val="ListBullet"/>
      </w:pPr>
      <w:r w:rsidRPr="00B36B12">
        <w:rPr>
          <w:vanish/>
          <w:spacing w:val="0"/>
        </w:rPr>
        <w:t>BR_27.13</w:t>
      </w:r>
      <w:r>
        <w:rPr>
          <w:vanish/>
          <w:spacing w:val="0"/>
        </w:rPr>
        <w:t xml:space="preserve"> </w:t>
      </w:r>
      <w:r>
        <w:t>When VBECS does not find a unit record, it displays an error message stating that the unit wa</w:t>
      </w:r>
      <w:r w:rsidR="00413ECA">
        <w:t>s not found and instructing the user to reenter unit information. A user may close this message</w:t>
      </w:r>
      <w:r w:rsidR="0049278C">
        <w:t xml:space="preserve">, click </w:t>
      </w:r>
      <w:r w:rsidR="0049278C" w:rsidRPr="0049278C">
        <w:rPr>
          <w:b/>
        </w:rPr>
        <w:t>Clear</w:t>
      </w:r>
      <w:r w:rsidR="0049278C">
        <w:t>,</w:t>
      </w:r>
      <w:r w:rsidR="00413ECA">
        <w:t xml:space="preserve"> and enter </w:t>
      </w:r>
      <w:r w:rsidR="0049278C">
        <w:t>another</w:t>
      </w:r>
      <w:r w:rsidR="00413ECA">
        <w:t xml:space="preserve"> unit ID and product code.</w:t>
      </w:r>
      <w:r w:rsidR="0049278C">
        <w:t xml:space="preserve"> </w:t>
      </w:r>
    </w:p>
    <w:p w14:paraId="20A7A1CA" w14:textId="77777777" w:rsidR="00D776D1" w:rsidRDefault="00413ECA" w:rsidP="00D776D1">
      <w:pPr>
        <w:pStyle w:val="ListBullet"/>
      </w:pPr>
      <w:r>
        <w:rPr>
          <w:vanish/>
          <w:spacing w:val="0"/>
        </w:rPr>
        <w:t xml:space="preserve">BR_5.02 </w:t>
      </w:r>
      <w:r>
        <w:t>VBECS lists all or part of a division</w:t>
      </w:r>
      <w:r w:rsidR="00FA7E65">
        <w:t>’</w:t>
      </w:r>
      <w:r w:rsidR="00A62384">
        <w:t>s blood component inventory, based on system rules. A user may enter a varied co</w:t>
      </w:r>
      <w:r w:rsidR="00D776D1">
        <w:t>mbination of unit information to create a customized list of selectable units, including:</w:t>
      </w:r>
    </w:p>
    <w:p w14:paraId="59F67675" w14:textId="77777777" w:rsidR="00D776D1" w:rsidRDefault="00D776D1" w:rsidP="00D776D1">
      <w:pPr>
        <w:pStyle w:val="ListBullet2"/>
      </w:pPr>
      <w:r>
        <w:t>Unit ID</w:t>
      </w:r>
    </w:p>
    <w:p w14:paraId="5F2B498F" w14:textId="77777777" w:rsidR="00D776D1" w:rsidRDefault="00D776D1" w:rsidP="00D776D1">
      <w:pPr>
        <w:pStyle w:val="ListBullet2"/>
      </w:pPr>
      <w:r>
        <w:t>Product type</w:t>
      </w:r>
    </w:p>
    <w:p w14:paraId="1AB1D1BC" w14:textId="77777777" w:rsidR="00D776D1" w:rsidRDefault="00D776D1" w:rsidP="00D776D1">
      <w:pPr>
        <w:pStyle w:val="ListBullet2"/>
      </w:pPr>
      <w:r>
        <w:t>ABO/Rh</w:t>
      </w:r>
    </w:p>
    <w:p w14:paraId="32C7EA85" w14:textId="77777777" w:rsidR="00D776D1" w:rsidRDefault="00D776D1" w:rsidP="005E43F0">
      <w:pPr>
        <w:pStyle w:val="ListBullet2"/>
        <w:tabs>
          <w:tab w:val="clear" w:pos="648"/>
        </w:tabs>
        <w:ind w:left="1440" w:hanging="792"/>
      </w:pPr>
      <w:r>
        <w:t>Special testing</w:t>
      </w:r>
      <w:r w:rsidR="00C233B7">
        <w:t xml:space="preserve"> (CMV Neg, SC Neg, or equal to or greater than (= &gt;)</w:t>
      </w:r>
      <w:r w:rsidR="002D3BEC">
        <w:t xml:space="preserve"> 2 </w:t>
      </w:r>
      <w:r w:rsidR="00823261">
        <w:t xml:space="preserve">mL RBC </w:t>
      </w:r>
      <w:r w:rsidR="005E43F0">
        <w:t xml:space="preserve">  </w:t>
      </w:r>
      <w:r w:rsidR="00823261">
        <w:t>Contamination)</w:t>
      </w:r>
    </w:p>
    <w:p w14:paraId="3A7CC643" w14:textId="77777777" w:rsidR="00D776D1" w:rsidRDefault="00D776D1" w:rsidP="00D776D1">
      <w:pPr>
        <w:pStyle w:val="ListBullet2"/>
      </w:pPr>
      <w:r>
        <w:t>RBC antigens (available only for the RED BLOOD CELLS component class)</w:t>
      </w:r>
    </w:p>
    <w:p w14:paraId="5FCEB8ED" w14:textId="77777777" w:rsidR="00A62384" w:rsidRDefault="00D776D1" w:rsidP="00D776D1">
      <w:pPr>
        <w:pStyle w:val="ListBullet2"/>
      </w:pPr>
      <w:r>
        <w:t>Received date range</w:t>
      </w:r>
    </w:p>
    <w:p w14:paraId="18994BF8" w14:textId="77777777" w:rsidR="00A62384" w:rsidRDefault="00A62384" w:rsidP="00A62384">
      <w:pPr>
        <w:pStyle w:val="ListBullet2"/>
      </w:pPr>
      <w:r>
        <w:t>Expiration date range</w:t>
      </w:r>
    </w:p>
    <w:p w14:paraId="4C0423D6" w14:textId="77777777" w:rsidR="00A62384" w:rsidRDefault="00A62384" w:rsidP="00A62384">
      <w:pPr>
        <w:pStyle w:val="TableText"/>
      </w:pPr>
    </w:p>
    <w:p w14:paraId="55DFB22A" w14:textId="77777777" w:rsidR="00A62384" w:rsidRDefault="00A62384" w:rsidP="00A62384">
      <w:pPr>
        <w:pStyle w:val="ListBullet"/>
        <w:numPr>
          <w:ilvl w:val="0"/>
          <w:numId w:val="0"/>
        </w:numPr>
        <w:ind w:left="576"/>
      </w:pPr>
      <w:r>
        <w:t xml:space="preserve">VBECS displays this unit information in the selection list whether full inventory, subset, or filtered subset: </w:t>
      </w:r>
    </w:p>
    <w:p w14:paraId="01C2E4E8" w14:textId="77777777" w:rsidR="00A62384" w:rsidRDefault="00A62384" w:rsidP="00A62384">
      <w:pPr>
        <w:pStyle w:val="ListBullet2"/>
      </w:pPr>
      <w:r>
        <w:t>Unit ID</w:t>
      </w:r>
    </w:p>
    <w:p w14:paraId="2CD43E1F" w14:textId="77777777" w:rsidR="00A62384" w:rsidRDefault="00A62384" w:rsidP="00A62384">
      <w:pPr>
        <w:pStyle w:val="ListBullet2"/>
      </w:pPr>
      <w:r>
        <w:t>Unit ABO/Rh</w:t>
      </w:r>
    </w:p>
    <w:p w14:paraId="655FFAB0" w14:textId="77777777" w:rsidR="00A62384" w:rsidRDefault="00A62384" w:rsidP="00A62384">
      <w:pPr>
        <w:pStyle w:val="ListBullet2"/>
      </w:pPr>
      <w:r>
        <w:t>Product short name</w:t>
      </w:r>
    </w:p>
    <w:p w14:paraId="2E211119" w14:textId="77777777" w:rsidR="00A62384" w:rsidRDefault="00A62384" w:rsidP="00A62384">
      <w:pPr>
        <w:pStyle w:val="ListBullet2"/>
      </w:pPr>
      <w:r>
        <w:t>Product code</w:t>
      </w:r>
    </w:p>
    <w:p w14:paraId="4599B9C8" w14:textId="77777777" w:rsidR="00A62384" w:rsidRDefault="00A62384" w:rsidP="00A62384">
      <w:pPr>
        <w:pStyle w:val="ListBullet2"/>
      </w:pPr>
      <w:r>
        <w:t>Unit status</w:t>
      </w:r>
    </w:p>
    <w:p w14:paraId="3579155C" w14:textId="77777777" w:rsidR="00A62384" w:rsidRDefault="00A62384" w:rsidP="00A62384">
      <w:pPr>
        <w:pStyle w:val="ListBullet2"/>
      </w:pPr>
      <w:r>
        <w:t>Unit expiration date</w:t>
      </w:r>
    </w:p>
    <w:p w14:paraId="01352CE3" w14:textId="77777777" w:rsidR="00A62384" w:rsidRDefault="00A62384" w:rsidP="00A62384">
      <w:pPr>
        <w:pStyle w:val="ListBullet2"/>
      </w:pPr>
      <w:r>
        <w:t>Donation type</w:t>
      </w:r>
    </w:p>
    <w:p w14:paraId="7007B85C" w14:textId="77777777" w:rsidR="00176C67" w:rsidRDefault="00176C67" w:rsidP="00A62384">
      <w:pPr>
        <w:pStyle w:val="ListBullet2"/>
      </w:pPr>
      <w:r>
        <w:t>Restricted f</w:t>
      </w:r>
      <w:r w:rsidR="00823261">
        <w:t>or patient name, when available</w:t>
      </w:r>
    </w:p>
    <w:p w14:paraId="73388E97" w14:textId="77777777" w:rsidR="00A62384" w:rsidRDefault="00A62384" w:rsidP="00A62384">
      <w:pPr>
        <w:pStyle w:val="ListBullet2"/>
      </w:pPr>
      <w:r>
        <w:t>Date and time received (standard format)</w:t>
      </w:r>
    </w:p>
    <w:p w14:paraId="5BC33542" w14:textId="77777777" w:rsidR="00A62384" w:rsidRDefault="00A62384" w:rsidP="00A62384">
      <w:pPr>
        <w:pStyle w:val="Heading3"/>
      </w:pPr>
      <w:bookmarkStart w:id="58" w:name="_Toc47516655"/>
      <w:r>
        <w:t>Testing</w:t>
      </w:r>
      <w:bookmarkEnd w:id="58"/>
      <w:r>
        <w:fldChar w:fldCharType="begin"/>
      </w:r>
      <w:r>
        <w:instrText xml:space="preserve"> XE </w:instrText>
      </w:r>
      <w:r w:rsidR="00FA7E65">
        <w:instrText>“</w:instrText>
      </w:r>
      <w:r>
        <w:instrText>Testing</w:instrText>
      </w:r>
      <w:r w:rsidR="00FA7E65">
        <w:instrText>”</w:instrText>
      </w:r>
      <w:r>
        <w:instrText xml:space="preserve"> </w:instrText>
      </w:r>
      <w:r>
        <w:fldChar w:fldCharType="end"/>
      </w:r>
    </w:p>
    <w:p w14:paraId="6ADF0F4C" w14:textId="77777777" w:rsidR="00FB5C42" w:rsidRDefault="00154095" w:rsidP="00A62384">
      <w:pPr>
        <w:pStyle w:val="Lis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377EE1">
        <w:t xml:space="preserve">Administrator/Supervisors may configure reagent racks to use </w:t>
      </w:r>
      <w:r w:rsidR="002C1235">
        <w:t xml:space="preserve">a </w:t>
      </w:r>
      <w:r w:rsidR="00377EE1">
        <w:t>tube</w:t>
      </w:r>
      <w:r w:rsidR="003937C6">
        <w:t xml:space="preserve">, solid phase, </w:t>
      </w:r>
      <w:r w:rsidR="00377EE1">
        <w:t xml:space="preserve">or gel </w:t>
      </w:r>
      <w:r w:rsidR="002C1235">
        <w:t>method</w:t>
      </w:r>
      <w:r w:rsidR="00377EE1">
        <w:t xml:space="preserve">. </w:t>
      </w:r>
    </w:p>
    <w:p w14:paraId="0A5ACD26" w14:textId="77777777" w:rsidR="004B7774" w:rsidRDefault="000873D0" w:rsidP="004B7774">
      <w:pPr>
        <w:pStyle w:val="ListBullet2"/>
        <w:ind w:left="900" w:hanging="252"/>
      </w:pPr>
      <w:r>
        <w:t xml:space="preserve">VBECS allows a user to </w:t>
      </w:r>
      <w:r w:rsidR="001F33D5">
        <w:t>perform QC testing at AHG and later perform patient testing at all phases using a rack configured for AHG only</w:t>
      </w:r>
      <w:r>
        <w:t xml:space="preserve">. </w:t>
      </w:r>
    </w:p>
    <w:p w14:paraId="587CEC11" w14:textId="77777777" w:rsidR="004B7774" w:rsidRDefault="00FF4225" w:rsidP="004B7774">
      <w:pPr>
        <w:pStyle w:val="ListBullet2"/>
        <w:ind w:left="900" w:hanging="252"/>
      </w:pPr>
      <w:r>
        <w:t xml:space="preserve">VBECS does not verify that the phase of testing matches the reagents used for testing. </w:t>
      </w:r>
    </w:p>
    <w:p w14:paraId="4B792A08" w14:textId="77777777" w:rsidR="00FB5C42" w:rsidRDefault="000F57D8" w:rsidP="004B7774">
      <w:pPr>
        <w:pStyle w:val="ListBullet2"/>
        <w:ind w:left="900" w:hanging="252"/>
      </w:pPr>
      <w:r>
        <w:t xml:space="preserve">Users </w:t>
      </w:r>
      <w:r w:rsidR="00B3507E">
        <w:t>working with</w:t>
      </w:r>
      <w:r w:rsidR="00D47277">
        <w:t xml:space="preserve"> reagent racks </w:t>
      </w:r>
      <w:r w:rsidR="00B3507E">
        <w:t>containing</w:t>
      </w:r>
      <w:r w:rsidR="00D47277">
        <w:t xml:space="preserve"> different reagents must </w:t>
      </w:r>
      <w:r w:rsidR="001911CF">
        <w:t>do so in accordance with</w:t>
      </w:r>
      <w:r w:rsidR="00D47277">
        <w:t xml:space="preserve"> local policy and procedure</w:t>
      </w:r>
      <w:r w:rsidR="00440BE1">
        <w:t>s</w:t>
      </w:r>
      <w:r w:rsidR="00D47277">
        <w:t xml:space="preserve">. </w:t>
      </w:r>
    </w:p>
    <w:p w14:paraId="024E574B" w14:textId="77777777" w:rsidR="0048460C" w:rsidRDefault="00A62384" w:rsidP="00A62384">
      <w:pPr>
        <w:pStyle w:val="ListBullet"/>
      </w:pPr>
      <w:r>
        <w:t>Reaction result cells in the data grid contain only symbols. A legend of the symbols and their meanings, specific to the data grid and its truth tables, is located in the bottom left corner of the form and is available to the user throughout data entry.</w:t>
      </w:r>
      <w:r w:rsidR="0048460C" w:rsidRPr="0048460C">
        <w:t xml:space="preserve"> </w:t>
      </w:r>
    </w:p>
    <w:p w14:paraId="51CE13A8" w14:textId="17322974" w:rsidR="00D05436" w:rsidRDefault="0048460C" w:rsidP="00D05436">
      <w:pPr>
        <w:pStyle w:val="ListBullet"/>
      </w:pPr>
      <w:r>
        <w:lastRenderedPageBreak/>
        <w:t xml:space="preserve">Entry of a symbol (not a number or letter) </w:t>
      </w:r>
      <w:r w:rsidRPr="0048460C">
        <w:t xml:space="preserve">into a test grid reaction result cell or interpretation </w:t>
      </w:r>
      <w:r>
        <w:t>field</w:t>
      </w:r>
      <w:r w:rsidRPr="0048460C">
        <w:t xml:space="preserve"> </w:t>
      </w:r>
      <w:r>
        <w:t>will not elicit a sy</w:t>
      </w:r>
      <w:r w:rsidRPr="0048460C">
        <w:t>stem response. The entry of the symbol is not allowed and does not overwrite the previous entry, if any</w:t>
      </w:r>
      <w:r w:rsidR="002106D5">
        <w:t xml:space="preserve">. </w:t>
      </w:r>
      <w:r w:rsidR="002106D5" w:rsidRPr="00331163">
        <w:t xml:space="preserve">See </w:t>
      </w:r>
      <w:r w:rsidR="00D05436">
        <w:fldChar w:fldCharType="begin"/>
      </w:r>
      <w:r w:rsidR="00D05436">
        <w:instrText xml:space="preserve"> REF _Ref524524574 \h </w:instrText>
      </w:r>
      <w:r w:rsidR="00D05436">
        <w:fldChar w:fldCharType="separate"/>
      </w:r>
      <w:r w:rsidR="004353ED">
        <w:t xml:space="preserve">Table </w:t>
      </w:r>
      <w:r w:rsidR="004353ED">
        <w:rPr>
          <w:noProof/>
        </w:rPr>
        <w:t>2</w:t>
      </w:r>
      <w:r w:rsidR="00D05436">
        <w:fldChar w:fldCharType="end"/>
      </w:r>
      <w:r w:rsidR="00D05436">
        <w:t xml:space="preserve"> for valid observed test result entries.</w:t>
      </w:r>
    </w:p>
    <w:p w14:paraId="0C4F8B61" w14:textId="6DC5A168" w:rsidR="00E755C0" w:rsidRDefault="00E755C0" w:rsidP="00D05436">
      <w:pPr>
        <w:pStyle w:val="ListBullet"/>
      </w:pPr>
      <w:r>
        <w:t xml:space="preserve">After entering a canned or free-text comment in the testing comment field of the testing grid, the user must press </w:t>
      </w:r>
      <w:r w:rsidRPr="00E755C0">
        <w:rPr>
          <w:b/>
        </w:rPr>
        <w:t>Enter</w:t>
      </w:r>
      <w:r>
        <w:t xml:space="preserve"> to store the comment.</w:t>
      </w:r>
    </w:p>
    <w:p w14:paraId="62A2CB72" w14:textId="77777777" w:rsidR="00B071D4" w:rsidRDefault="00A62384" w:rsidP="00B071D4">
      <w:pPr>
        <w:pStyle w:val="ListBullet"/>
      </w:pPr>
      <w:r>
        <w:t>The user may enter canned comments in comment cells by selecting from a pick list, or enter free-text</w:t>
      </w:r>
      <w:r w:rsidR="005A3214">
        <w:t xml:space="preserve"> </w:t>
      </w:r>
      <w:r w:rsidR="00B071D4">
        <w:t>comments by selecting “Other.”</w:t>
      </w:r>
    </w:p>
    <w:p w14:paraId="0BE48AE7" w14:textId="63F7947F" w:rsidR="00207521" w:rsidRDefault="00207521">
      <w:pPr>
        <w:rPr>
          <w:b/>
          <w:sz w:val="22"/>
          <w:szCs w:val="22"/>
        </w:rPr>
      </w:pPr>
      <w:bookmarkStart w:id="59" w:name="_Ref256686283"/>
    </w:p>
    <w:p w14:paraId="1A63D1FF" w14:textId="49B5BF6D" w:rsidR="00A62384" w:rsidRDefault="00B071D4" w:rsidP="00D05436">
      <w:pPr>
        <w:pStyle w:val="Caption"/>
        <w:ind w:firstLine="648"/>
      </w:pPr>
      <w:bookmarkStart w:id="60" w:name="_Ref524524574"/>
      <w:bookmarkStart w:id="61" w:name="_Ref524524567"/>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2</w:t>
      </w:r>
      <w:r w:rsidR="004E20BD">
        <w:rPr>
          <w:noProof/>
        </w:rPr>
        <w:fldChar w:fldCharType="end"/>
      </w:r>
      <w:bookmarkEnd w:id="59"/>
      <w:bookmarkEnd w:id="60"/>
      <w:r>
        <w:t>: Valid Observed Test Result Entries</w:t>
      </w:r>
      <w:bookmarkEnd w:id="61"/>
      <w:r>
        <w:fldChar w:fldCharType="begin"/>
      </w:r>
      <w:r>
        <w:instrText xml:space="preserve"> XE “Tables:Valid Observed Test Results Entries” </w:instrText>
      </w:r>
      <w:r>
        <w:fldChar w:fldCharType="end"/>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20"/>
        <w:gridCol w:w="1260"/>
      </w:tblGrid>
      <w:tr w:rsidR="00F77F81" w14:paraId="0B06DB98" w14:textId="77777777">
        <w:trPr>
          <w:tblHeader/>
        </w:trPr>
        <w:tc>
          <w:tcPr>
            <w:tcW w:w="720" w:type="dxa"/>
            <w:shd w:val="clear" w:color="auto" w:fill="B3B3B3"/>
            <w:vAlign w:val="bottom"/>
          </w:tcPr>
          <w:p w14:paraId="027BE79A" w14:textId="77777777" w:rsidR="00F77F81" w:rsidRDefault="00F77F81" w:rsidP="008E68C8">
            <w:pPr>
              <w:pStyle w:val="TableText"/>
              <w:jc w:val="center"/>
              <w:rPr>
                <w:b/>
              </w:rPr>
            </w:pPr>
            <w:r>
              <w:rPr>
                <w:b/>
              </w:rPr>
              <w:t>Entry</w:t>
            </w:r>
          </w:p>
        </w:tc>
        <w:tc>
          <w:tcPr>
            <w:tcW w:w="3780" w:type="dxa"/>
            <w:gridSpan w:val="2"/>
            <w:shd w:val="clear" w:color="auto" w:fill="B3B3B3"/>
            <w:vAlign w:val="bottom"/>
          </w:tcPr>
          <w:p w14:paraId="6670A8C1" w14:textId="77777777" w:rsidR="00F77F81" w:rsidRDefault="00F77F81" w:rsidP="008E68C8">
            <w:pPr>
              <w:pStyle w:val="TableText"/>
              <w:jc w:val="center"/>
              <w:rPr>
                <w:b/>
              </w:rPr>
            </w:pPr>
            <w:r>
              <w:rPr>
                <w:b/>
              </w:rPr>
              <w:t>VBECS Translation</w:t>
            </w:r>
          </w:p>
        </w:tc>
      </w:tr>
      <w:tr w:rsidR="00F77F81" w14:paraId="211CEA4F" w14:textId="77777777">
        <w:tc>
          <w:tcPr>
            <w:tcW w:w="720" w:type="dxa"/>
            <w:vAlign w:val="bottom"/>
          </w:tcPr>
          <w:p w14:paraId="21231AC8" w14:textId="77777777" w:rsidR="00F77F81" w:rsidRDefault="00F77F81" w:rsidP="008E68C8">
            <w:pPr>
              <w:pStyle w:val="TableText"/>
              <w:jc w:val="center"/>
            </w:pPr>
            <w:r>
              <w:t>H</w:t>
            </w:r>
          </w:p>
        </w:tc>
        <w:tc>
          <w:tcPr>
            <w:tcW w:w="2520" w:type="dxa"/>
            <w:vAlign w:val="bottom"/>
          </w:tcPr>
          <w:p w14:paraId="5AC725D9" w14:textId="77777777" w:rsidR="00F77F81" w:rsidRDefault="00F77F81" w:rsidP="008E68C8">
            <w:pPr>
              <w:pStyle w:val="TableText"/>
            </w:pPr>
            <w:r>
              <w:t>Hemolysis</w:t>
            </w:r>
          </w:p>
        </w:tc>
        <w:tc>
          <w:tcPr>
            <w:tcW w:w="1260" w:type="dxa"/>
            <w:vAlign w:val="bottom"/>
          </w:tcPr>
          <w:p w14:paraId="2503E2B4" w14:textId="77777777" w:rsidR="00F77F81" w:rsidRDefault="00F77F81" w:rsidP="008E68C8">
            <w:pPr>
              <w:pStyle w:val="TableText"/>
            </w:pPr>
            <w:r>
              <w:t>Positive</w:t>
            </w:r>
          </w:p>
        </w:tc>
      </w:tr>
      <w:tr w:rsidR="00F77F81" w14:paraId="16C9A938" w14:textId="77777777">
        <w:tc>
          <w:tcPr>
            <w:tcW w:w="720" w:type="dxa"/>
            <w:vAlign w:val="bottom"/>
          </w:tcPr>
          <w:p w14:paraId="6D55A726" w14:textId="77777777" w:rsidR="00F77F81" w:rsidRDefault="00F77F81" w:rsidP="008E68C8">
            <w:pPr>
              <w:pStyle w:val="TableText"/>
              <w:jc w:val="center"/>
            </w:pPr>
            <w:r>
              <w:t>W</w:t>
            </w:r>
          </w:p>
        </w:tc>
        <w:tc>
          <w:tcPr>
            <w:tcW w:w="2520" w:type="dxa"/>
            <w:vAlign w:val="bottom"/>
          </w:tcPr>
          <w:p w14:paraId="09FA3D77" w14:textId="77777777" w:rsidR="00F77F81" w:rsidRDefault="00F77F81" w:rsidP="008E68C8">
            <w:pPr>
              <w:pStyle w:val="TableText"/>
            </w:pPr>
            <w:r>
              <w:t>Weak</w:t>
            </w:r>
          </w:p>
        </w:tc>
        <w:tc>
          <w:tcPr>
            <w:tcW w:w="1260" w:type="dxa"/>
            <w:vAlign w:val="bottom"/>
          </w:tcPr>
          <w:p w14:paraId="6014BDFE" w14:textId="77777777" w:rsidR="00F77F81" w:rsidRDefault="00F77F81" w:rsidP="008E68C8">
            <w:pPr>
              <w:pStyle w:val="TableText"/>
            </w:pPr>
            <w:r>
              <w:t>Positive</w:t>
            </w:r>
          </w:p>
        </w:tc>
      </w:tr>
      <w:tr w:rsidR="00F77F81" w14:paraId="228E424E" w14:textId="77777777">
        <w:tc>
          <w:tcPr>
            <w:tcW w:w="720" w:type="dxa"/>
            <w:vAlign w:val="bottom"/>
          </w:tcPr>
          <w:p w14:paraId="516D8B0E" w14:textId="77777777" w:rsidR="00F77F81" w:rsidRDefault="00F77F81" w:rsidP="008E68C8">
            <w:pPr>
              <w:pStyle w:val="TableText"/>
              <w:jc w:val="center"/>
            </w:pPr>
            <w:r>
              <w:t>F</w:t>
            </w:r>
          </w:p>
        </w:tc>
        <w:tc>
          <w:tcPr>
            <w:tcW w:w="2520" w:type="dxa"/>
            <w:vAlign w:val="bottom"/>
          </w:tcPr>
          <w:p w14:paraId="727C7D63" w14:textId="77777777" w:rsidR="00F77F81" w:rsidRDefault="00F77F81" w:rsidP="008E68C8">
            <w:pPr>
              <w:pStyle w:val="TableText"/>
            </w:pPr>
            <w:r>
              <w:t>Mixed Field</w:t>
            </w:r>
          </w:p>
        </w:tc>
        <w:tc>
          <w:tcPr>
            <w:tcW w:w="1260" w:type="dxa"/>
            <w:vAlign w:val="bottom"/>
          </w:tcPr>
          <w:p w14:paraId="2CE32EFC" w14:textId="77777777" w:rsidR="00F77F81" w:rsidRDefault="00F77F81" w:rsidP="008E68C8">
            <w:pPr>
              <w:pStyle w:val="TableText"/>
            </w:pPr>
            <w:r>
              <w:t>Positive</w:t>
            </w:r>
          </w:p>
        </w:tc>
      </w:tr>
      <w:tr w:rsidR="00F77F81" w14:paraId="18B36765" w14:textId="77777777">
        <w:tc>
          <w:tcPr>
            <w:tcW w:w="720" w:type="dxa"/>
            <w:vAlign w:val="bottom"/>
          </w:tcPr>
          <w:p w14:paraId="46926C1F" w14:textId="77777777" w:rsidR="00F77F81" w:rsidRDefault="00F77F81" w:rsidP="008E68C8">
            <w:pPr>
              <w:pStyle w:val="TableText"/>
              <w:jc w:val="center"/>
            </w:pPr>
            <w:r>
              <w:t>M</w:t>
            </w:r>
          </w:p>
        </w:tc>
        <w:tc>
          <w:tcPr>
            <w:tcW w:w="2520" w:type="dxa"/>
            <w:vAlign w:val="bottom"/>
          </w:tcPr>
          <w:p w14:paraId="7A4ACD88" w14:textId="77777777" w:rsidR="00F77F81" w:rsidRDefault="00F77F81" w:rsidP="008E68C8">
            <w:pPr>
              <w:pStyle w:val="TableText"/>
            </w:pPr>
            <w:r>
              <w:t>Microscopic</w:t>
            </w:r>
          </w:p>
        </w:tc>
        <w:tc>
          <w:tcPr>
            <w:tcW w:w="1260" w:type="dxa"/>
            <w:vAlign w:val="bottom"/>
          </w:tcPr>
          <w:p w14:paraId="22BBC64E" w14:textId="77777777" w:rsidR="00F77F81" w:rsidRDefault="00F77F81" w:rsidP="008E68C8">
            <w:pPr>
              <w:pStyle w:val="TableText"/>
            </w:pPr>
            <w:r>
              <w:t>Positive</w:t>
            </w:r>
          </w:p>
        </w:tc>
      </w:tr>
      <w:tr w:rsidR="00F77F81" w14:paraId="079713C9" w14:textId="77777777">
        <w:tc>
          <w:tcPr>
            <w:tcW w:w="720" w:type="dxa"/>
            <w:vAlign w:val="bottom"/>
          </w:tcPr>
          <w:p w14:paraId="359244FD" w14:textId="77777777" w:rsidR="00F77F81" w:rsidRDefault="00F77F81" w:rsidP="008E68C8">
            <w:pPr>
              <w:pStyle w:val="TableText"/>
              <w:jc w:val="center"/>
            </w:pPr>
            <w:r>
              <w:t>1</w:t>
            </w:r>
          </w:p>
        </w:tc>
        <w:tc>
          <w:tcPr>
            <w:tcW w:w="2520" w:type="dxa"/>
            <w:vAlign w:val="bottom"/>
          </w:tcPr>
          <w:p w14:paraId="476D79B2" w14:textId="77777777" w:rsidR="00F77F81" w:rsidRDefault="00F77F81" w:rsidP="008E68C8">
            <w:pPr>
              <w:pStyle w:val="TableText"/>
            </w:pPr>
            <w:r>
              <w:t>1+</w:t>
            </w:r>
          </w:p>
        </w:tc>
        <w:tc>
          <w:tcPr>
            <w:tcW w:w="1260" w:type="dxa"/>
            <w:vAlign w:val="bottom"/>
          </w:tcPr>
          <w:p w14:paraId="4DE28F0F" w14:textId="77777777" w:rsidR="00F77F81" w:rsidRDefault="00F77F81" w:rsidP="008E68C8">
            <w:pPr>
              <w:pStyle w:val="TableText"/>
            </w:pPr>
            <w:r>
              <w:t>Positive</w:t>
            </w:r>
          </w:p>
        </w:tc>
      </w:tr>
      <w:tr w:rsidR="00F77F81" w14:paraId="4DAB3E03" w14:textId="77777777">
        <w:tc>
          <w:tcPr>
            <w:tcW w:w="720" w:type="dxa"/>
            <w:vAlign w:val="bottom"/>
          </w:tcPr>
          <w:p w14:paraId="49DEB79F" w14:textId="77777777" w:rsidR="00F77F81" w:rsidRDefault="00F77F81" w:rsidP="008E68C8">
            <w:pPr>
              <w:pStyle w:val="TableText"/>
              <w:jc w:val="center"/>
            </w:pPr>
            <w:r>
              <w:t>2</w:t>
            </w:r>
          </w:p>
        </w:tc>
        <w:tc>
          <w:tcPr>
            <w:tcW w:w="2520" w:type="dxa"/>
            <w:vAlign w:val="bottom"/>
          </w:tcPr>
          <w:p w14:paraId="0037320C" w14:textId="77777777" w:rsidR="00F77F81" w:rsidRDefault="00F77F81" w:rsidP="008E68C8">
            <w:pPr>
              <w:pStyle w:val="TableText"/>
            </w:pPr>
            <w:r>
              <w:t>2+</w:t>
            </w:r>
          </w:p>
        </w:tc>
        <w:tc>
          <w:tcPr>
            <w:tcW w:w="1260" w:type="dxa"/>
            <w:vAlign w:val="bottom"/>
          </w:tcPr>
          <w:p w14:paraId="60879D52" w14:textId="77777777" w:rsidR="00F77F81" w:rsidRDefault="00F77F81" w:rsidP="008E68C8">
            <w:pPr>
              <w:pStyle w:val="TableText"/>
            </w:pPr>
            <w:r>
              <w:t>Positive</w:t>
            </w:r>
          </w:p>
        </w:tc>
      </w:tr>
      <w:tr w:rsidR="00F77F81" w14:paraId="5FA7D9AD" w14:textId="77777777">
        <w:tc>
          <w:tcPr>
            <w:tcW w:w="720" w:type="dxa"/>
            <w:vAlign w:val="bottom"/>
          </w:tcPr>
          <w:p w14:paraId="3D76DE8B" w14:textId="77777777" w:rsidR="00F77F81" w:rsidRDefault="00F77F81" w:rsidP="008E68C8">
            <w:pPr>
              <w:pStyle w:val="TableText"/>
              <w:jc w:val="center"/>
            </w:pPr>
            <w:r>
              <w:t>3</w:t>
            </w:r>
          </w:p>
        </w:tc>
        <w:tc>
          <w:tcPr>
            <w:tcW w:w="2520" w:type="dxa"/>
            <w:vAlign w:val="bottom"/>
          </w:tcPr>
          <w:p w14:paraId="14445217" w14:textId="77777777" w:rsidR="00F77F81" w:rsidRDefault="00F77F81" w:rsidP="008E68C8">
            <w:pPr>
              <w:pStyle w:val="TableText"/>
            </w:pPr>
            <w:r>
              <w:t>3+</w:t>
            </w:r>
          </w:p>
        </w:tc>
        <w:tc>
          <w:tcPr>
            <w:tcW w:w="1260" w:type="dxa"/>
            <w:vAlign w:val="bottom"/>
          </w:tcPr>
          <w:p w14:paraId="1C0DFCCC" w14:textId="77777777" w:rsidR="00F77F81" w:rsidRDefault="00F77F81" w:rsidP="008E68C8">
            <w:pPr>
              <w:pStyle w:val="TableText"/>
            </w:pPr>
            <w:r>
              <w:t>Positive</w:t>
            </w:r>
          </w:p>
        </w:tc>
      </w:tr>
      <w:tr w:rsidR="00F77F81" w14:paraId="1744A003" w14:textId="77777777">
        <w:tc>
          <w:tcPr>
            <w:tcW w:w="720" w:type="dxa"/>
            <w:vAlign w:val="bottom"/>
          </w:tcPr>
          <w:p w14:paraId="4556AB32" w14:textId="77777777" w:rsidR="00F77F81" w:rsidRDefault="00F77F81" w:rsidP="008E68C8">
            <w:pPr>
              <w:pStyle w:val="TableText"/>
              <w:jc w:val="center"/>
            </w:pPr>
            <w:r>
              <w:t>4</w:t>
            </w:r>
          </w:p>
        </w:tc>
        <w:tc>
          <w:tcPr>
            <w:tcW w:w="2520" w:type="dxa"/>
            <w:vAlign w:val="bottom"/>
          </w:tcPr>
          <w:p w14:paraId="28F285D7" w14:textId="77777777" w:rsidR="00F77F81" w:rsidRDefault="00F77F81" w:rsidP="008E68C8">
            <w:pPr>
              <w:pStyle w:val="TableText"/>
            </w:pPr>
            <w:r>
              <w:t>4+</w:t>
            </w:r>
          </w:p>
        </w:tc>
        <w:tc>
          <w:tcPr>
            <w:tcW w:w="1260" w:type="dxa"/>
            <w:vAlign w:val="bottom"/>
          </w:tcPr>
          <w:p w14:paraId="7B05596D" w14:textId="77777777" w:rsidR="00F77F81" w:rsidRDefault="00F77F81" w:rsidP="008E68C8">
            <w:pPr>
              <w:pStyle w:val="TableText"/>
            </w:pPr>
            <w:r>
              <w:t>Positive</w:t>
            </w:r>
          </w:p>
        </w:tc>
      </w:tr>
      <w:tr w:rsidR="00F77F81" w14:paraId="010F6622" w14:textId="77777777">
        <w:tc>
          <w:tcPr>
            <w:tcW w:w="720" w:type="dxa"/>
            <w:vAlign w:val="bottom"/>
          </w:tcPr>
          <w:p w14:paraId="3EBB5ED8" w14:textId="77777777" w:rsidR="00F77F81" w:rsidRDefault="00F77F81" w:rsidP="008E68C8">
            <w:pPr>
              <w:pStyle w:val="TableText"/>
              <w:jc w:val="center"/>
            </w:pPr>
            <w:r>
              <w:t>X</w:t>
            </w:r>
          </w:p>
        </w:tc>
        <w:tc>
          <w:tcPr>
            <w:tcW w:w="2520" w:type="dxa"/>
            <w:vAlign w:val="bottom"/>
          </w:tcPr>
          <w:p w14:paraId="35325072" w14:textId="77777777" w:rsidR="00F77F81" w:rsidRDefault="00F77F81" w:rsidP="008E68C8">
            <w:pPr>
              <w:pStyle w:val="TableText"/>
            </w:pPr>
            <w:r>
              <w:t>Not Tested</w:t>
            </w:r>
          </w:p>
        </w:tc>
        <w:tc>
          <w:tcPr>
            <w:tcW w:w="1260" w:type="dxa"/>
            <w:vAlign w:val="bottom"/>
          </w:tcPr>
          <w:p w14:paraId="6645064B" w14:textId="77777777" w:rsidR="00F77F81" w:rsidRDefault="00F77F81" w:rsidP="008E68C8">
            <w:pPr>
              <w:pStyle w:val="TableText"/>
            </w:pPr>
            <w:r>
              <w:t>Not Tested</w:t>
            </w:r>
          </w:p>
        </w:tc>
      </w:tr>
      <w:tr w:rsidR="00F77F81" w14:paraId="4D225D99" w14:textId="77777777">
        <w:tc>
          <w:tcPr>
            <w:tcW w:w="720" w:type="dxa"/>
            <w:vAlign w:val="bottom"/>
          </w:tcPr>
          <w:p w14:paraId="46CDD5A2" w14:textId="77777777" w:rsidR="00F77F81" w:rsidRDefault="00F77F81" w:rsidP="008E68C8">
            <w:pPr>
              <w:pStyle w:val="TableText"/>
              <w:jc w:val="center"/>
            </w:pPr>
            <w:r>
              <w:t>0</w:t>
            </w:r>
          </w:p>
        </w:tc>
        <w:tc>
          <w:tcPr>
            <w:tcW w:w="2520" w:type="dxa"/>
            <w:vAlign w:val="bottom"/>
          </w:tcPr>
          <w:p w14:paraId="618972EE" w14:textId="77777777" w:rsidR="00F77F81" w:rsidRDefault="00F77F81" w:rsidP="008E68C8">
            <w:pPr>
              <w:pStyle w:val="TableText"/>
            </w:pPr>
            <w:r>
              <w:t>No Agglutination</w:t>
            </w:r>
          </w:p>
        </w:tc>
        <w:tc>
          <w:tcPr>
            <w:tcW w:w="1260" w:type="dxa"/>
            <w:vAlign w:val="bottom"/>
          </w:tcPr>
          <w:p w14:paraId="710AF9E9" w14:textId="77777777" w:rsidR="00F77F81" w:rsidRDefault="00F77F81" w:rsidP="008E68C8">
            <w:pPr>
              <w:pStyle w:val="TableText"/>
            </w:pPr>
            <w:r>
              <w:t>Negative</w:t>
            </w:r>
          </w:p>
        </w:tc>
      </w:tr>
      <w:tr w:rsidR="00F77F81" w14:paraId="6A07F0FD" w14:textId="77777777">
        <w:tc>
          <w:tcPr>
            <w:tcW w:w="720" w:type="dxa"/>
            <w:vAlign w:val="bottom"/>
          </w:tcPr>
          <w:p w14:paraId="3A6D9D76" w14:textId="77777777" w:rsidR="00F77F81" w:rsidRDefault="00F77F81" w:rsidP="008E68C8">
            <w:pPr>
              <w:pStyle w:val="TableText"/>
              <w:jc w:val="center"/>
            </w:pPr>
            <w:r>
              <w:t>R</w:t>
            </w:r>
          </w:p>
        </w:tc>
        <w:tc>
          <w:tcPr>
            <w:tcW w:w="2520" w:type="dxa"/>
            <w:vAlign w:val="bottom"/>
          </w:tcPr>
          <w:p w14:paraId="1A3E7A68" w14:textId="77777777" w:rsidR="00F77F81" w:rsidRDefault="00F77F81" w:rsidP="008E68C8">
            <w:pPr>
              <w:pStyle w:val="TableText"/>
            </w:pPr>
            <w:r>
              <w:t>Rouleaux, No Agglutination</w:t>
            </w:r>
          </w:p>
        </w:tc>
        <w:tc>
          <w:tcPr>
            <w:tcW w:w="1260" w:type="dxa"/>
            <w:vAlign w:val="bottom"/>
          </w:tcPr>
          <w:p w14:paraId="69EAA6A5" w14:textId="77777777" w:rsidR="00F77F81" w:rsidRDefault="00F77F81" w:rsidP="008E68C8">
            <w:pPr>
              <w:pStyle w:val="TableText"/>
            </w:pPr>
            <w:r>
              <w:t>Negative</w:t>
            </w:r>
          </w:p>
        </w:tc>
      </w:tr>
    </w:tbl>
    <w:p w14:paraId="4DB50D13" w14:textId="77777777" w:rsidR="00F77F81" w:rsidRDefault="00F77F81" w:rsidP="00F77F81">
      <w:pPr>
        <w:pStyle w:val="ListBullet"/>
      </w:pPr>
      <w:r>
        <w:t>When recording test results:</w:t>
      </w:r>
    </w:p>
    <w:p w14:paraId="35C372B6" w14:textId="77777777" w:rsidR="00CF5E49" w:rsidRDefault="00F77F81" w:rsidP="000349A0">
      <w:pPr>
        <w:pStyle w:val="ListBullet2"/>
      </w:pPr>
      <w:r>
        <w:t>In the Test Details window, click a check box to select a rack.</w:t>
      </w:r>
    </w:p>
    <w:p w14:paraId="26147DAB" w14:textId="77777777" w:rsidR="00CF5E49" w:rsidRDefault="00F77F81" w:rsidP="0021580D">
      <w:pPr>
        <w:pStyle w:val="ListBullet2"/>
        <w:ind w:left="1440" w:hanging="792"/>
      </w:pPr>
      <w:r>
        <w:t>In the Date Tested field, select the default date and time (current date and time) for testing performed, which the user may edit to a past date and time.</w:t>
      </w:r>
    </w:p>
    <w:p w14:paraId="7B25E2E2" w14:textId="77777777" w:rsidR="00CF5E49" w:rsidRDefault="00F77F81" w:rsidP="0021580D">
      <w:pPr>
        <w:pStyle w:val="ListBullet2"/>
        <w:ind w:left="1440" w:hanging="792"/>
      </w:pPr>
      <w:r>
        <w:t>In the Tested By field, select the default identification (current user) for the testing technologist or another user from the drop-down menu.</w:t>
      </w:r>
    </w:p>
    <w:p w14:paraId="777DE92A" w14:textId="77777777" w:rsidR="00CF5E49" w:rsidRPr="00D0406D" w:rsidRDefault="00F77F81" w:rsidP="0021580D">
      <w:pPr>
        <w:pStyle w:val="ListBullet2"/>
        <w:ind w:left="1440" w:hanging="792"/>
      </w:pPr>
      <w:r w:rsidRPr="00D0406D">
        <w:t>Click the appropriate radio button to determine the grid configuration for antibody screen and crossma</w:t>
      </w:r>
      <w:r w:rsidR="006F2884" w:rsidRPr="00D0406D">
        <w:t xml:space="preserve">tch grids [All phases </w:t>
      </w:r>
      <w:r w:rsidRPr="00D0406D">
        <w:t xml:space="preserve">or </w:t>
      </w:r>
      <w:r w:rsidR="00594F8A" w:rsidRPr="00D0406D">
        <w:t>Anti-Human Globulin (</w:t>
      </w:r>
      <w:r w:rsidRPr="00D0406D">
        <w:t>AHG</w:t>
      </w:r>
      <w:r w:rsidR="00594F8A" w:rsidRPr="00D0406D">
        <w:t>)</w:t>
      </w:r>
      <w:r w:rsidRPr="00D0406D">
        <w:t xml:space="preserve"> only</w:t>
      </w:r>
      <w:r w:rsidR="006F2884" w:rsidRPr="00D0406D">
        <w:t xml:space="preserve"> (pre-checked default varies with local configuration)</w:t>
      </w:r>
      <w:r w:rsidRPr="00D0406D">
        <w:t>].</w:t>
      </w:r>
      <w:r w:rsidR="00F15743" w:rsidRPr="00D0406D">
        <w:t xml:space="preserve"> </w:t>
      </w:r>
      <w:r w:rsidR="00F15743" w:rsidRPr="00D0406D">
        <w:rPr>
          <w:vanish/>
        </w:rPr>
        <w:t>DR 4345</w:t>
      </w:r>
    </w:p>
    <w:p w14:paraId="3466F435" w14:textId="77777777" w:rsidR="00F77F81" w:rsidRDefault="00F77F81" w:rsidP="0021580D">
      <w:pPr>
        <w:pStyle w:val="ListBullet2"/>
        <w:ind w:left="1440" w:hanging="792"/>
      </w:pPr>
      <w:r>
        <w:t xml:space="preserve">When an automated instrument is used, click the </w:t>
      </w:r>
      <w:r>
        <w:rPr>
          <w:b/>
          <w:bCs/>
        </w:rPr>
        <w:t>Using Automated Instrument</w:t>
      </w:r>
      <w:r>
        <w:t xml:space="preserve"> check box, enter the instrument name in the Instrument Name field, and click the</w:t>
      </w:r>
      <w:r w:rsidR="00F77C01">
        <w:rPr>
          <w:b/>
        </w:rPr>
        <w:t xml:space="preserve"> Instrument QC’d</w:t>
      </w:r>
      <w:r>
        <w:rPr>
          <w:b/>
        </w:rPr>
        <w:t>?</w:t>
      </w:r>
      <w:r>
        <w:t xml:space="preserve"> check box, as appropriate.</w:t>
      </w:r>
    </w:p>
    <w:p w14:paraId="6CB36A25" w14:textId="77777777" w:rsidR="00F77F81" w:rsidRDefault="00F77F81" w:rsidP="00577E43">
      <w:pPr>
        <w:pStyle w:val="ListBullet"/>
      </w:pPr>
      <w:r w:rsidRPr="009174D5">
        <w:rPr>
          <w:vanish/>
          <w:spacing w:val="0"/>
        </w:rPr>
        <w:t>BR_2.07</w:t>
      </w:r>
      <w:r w:rsidRPr="00D8503C">
        <w:rPr>
          <w:vanish/>
          <w:color w:val="0000FF"/>
          <w:spacing w:val="0"/>
        </w:rPr>
        <w:t xml:space="preserve"> </w:t>
      </w:r>
      <w:r w:rsidR="00577E43">
        <w:t>VBECS requires units in ICCBBA component classes Red Blood Cells, Whole Blood, Granulocytes and Leukocytes to have ABO confirmation testing (forward typing), and Rh confirmation testing for units labeled as Rh negative</w:t>
      </w:r>
      <w:r>
        <w:t xml:space="preserve">. </w:t>
      </w:r>
    </w:p>
    <w:p w14:paraId="39FC05ED" w14:textId="77777777" w:rsidR="00F77F81" w:rsidRDefault="00F77F81" w:rsidP="00F77F81">
      <w:pPr>
        <w:pStyle w:val="ListBullet"/>
      </w:pPr>
      <w:r>
        <w:rPr>
          <w:vanish/>
          <w:spacing w:val="0"/>
        </w:rPr>
        <w:t xml:space="preserve">BR_2.22 </w:t>
      </w:r>
      <w:r>
        <w:t>The user may not edit VBECS-populated grid worksheet fields that contain unit or patient data.</w:t>
      </w:r>
    </w:p>
    <w:p w14:paraId="147C31F0" w14:textId="77777777" w:rsidR="00F77F81" w:rsidRDefault="00F77F81" w:rsidP="00F77F81">
      <w:pPr>
        <w:pStyle w:val="ListBullet"/>
      </w:pPr>
      <w:r>
        <w:rPr>
          <w:vanish/>
        </w:rPr>
        <w:t xml:space="preserve">BR_2.23 </w:t>
      </w:r>
      <w:r>
        <w:t>The user may sort worksheet entries only before beginning data entry, preferably during unit selection. When the user wishes to sort a worksheet after entering the first reaction result, he must exit without saving the work and begin again.</w:t>
      </w:r>
    </w:p>
    <w:p w14:paraId="7B9479AF" w14:textId="77777777" w:rsidR="00F77F81" w:rsidRDefault="00C549FA" w:rsidP="00F77F81">
      <w:pPr>
        <w:pStyle w:val="ListBullet"/>
      </w:pPr>
      <w:r w:rsidRPr="00896F17">
        <w:rPr>
          <w:rStyle w:val="BullhornChar"/>
        </w:rPr>
        <w:t></w:t>
      </w:r>
      <w:r>
        <w:rPr>
          <w:rFonts w:ascii="Webdings" w:hAnsi="Webdings"/>
        </w:rPr>
        <w:t></w:t>
      </w:r>
      <w:r w:rsidRPr="00263B24">
        <w:t>Wh</w:t>
      </w:r>
      <w:r>
        <w:t>en</w:t>
      </w:r>
      <w:r w:rsidR="00A62384">
        <w:t xml:space="preserve"> a user enters an invalid symbol in a cell, VBECS emits an audible alert and prevents the cursor from moving to th</w:t>
      </w:r>
      <w:r w:rsidR="00F77F81">
        <w:t>e next cell.</w:t>
      </w:r>
    </w:p>
    <w:p w14:paraId="0A0D22F1" w14:textId="77777777" w:rsidR="00F77F81" w:rsidRDefault="00F77F81" w:rsidP="00F77F81">
      <w:pPr>
        <w:pStyle w:val="ListBullet"/>
      </w:pPr>
      <w:r>
        <w:rPr>
          <w:vanish/>
          <w:spacing w:val="0"/>
        </w:rPr>
        <w:t xml:space="preserve">BR_2.29 </w:t>
      </w:r>
      <w:r>
        <w:t>VBECS moves the cursor to the comment cell automatically, when applicable; the user may also use the mouse to move to another cell.</w:t>
      </w:r>
    </w:p>
    <w:p w14:paraId="35022E79" w14:textId="3429146A" w:rsidR="00F77F81" w:rsidRDefault="00F77F81" w:rsidP="00F77F81">
      <w:pPr>
        <w:pStyle w:val="ListBullet"/>
      </w:pPr>
      <w:r>
        <w:rPr>
          <w:vanish/>
          <w:spacing w:val="0"/>
        </w:rPr>
        <w:t xml:space="preserve">BR_2.36, BR_2.37, BR_2.38 </w:t>
      </w:r>
      <w:r>
        <w:t>VBECS displays</w:t>
      </w:r>
      <w:r>
        <w:rPr>
          <w:highlight w:val="red"/>
        </w:rPr>
        <w:fldChar w:fldCharType="begin">
          <w:ffData>
            <w:name w:val="Text1"/>
            <w:enabled/>
            <w:calcOnExit w:val="0"/>
            <w:textInput>
              <w:default w:val=" E "/>
              <w:maxLength w:val="3"/>
            </w:textInput>
          </w:ffData>
        </w:fldChar>
      </w:r>
      <w:r>
        <w:rPr>
          <w:highlight w:val="red"/>
        </w:rPr>
        <w:instrText xml:space="preserve"> FORMTEXT </w:instrText>
      </w:r>
      <w:r>
        <w:rPr>
          <w:highlight w:val="red"/>
        </w:rPr>
      </w:r>
      <w:r>
        <w:rPr>
          <w:highlight w:val="red"/>
        </w:rPr>
        <w:fldChar w:fldCharType="separate"/>
      </w:r>
      <w:r w:rsidR="004772C9">
        <w:rPr>
          <w:noProof/>
          <w:highlight w:val="red"/>
        </w:rPr>
        <w:t xml:space="preserve"> E </w:t>
      </w:r>
      <w:r>
        <w:rPr>
          <w:highlight w:val="red"/>
        </w:rPr>
        <w:fldChar w:fldCharType="end"/>
      </w:r>
      <w:r>
        <w:t>(error) at the beginning of invalid rows and</w:t>
      </w:r>
      <w:r>
        <w:rPr>
          <w:highlight w:val="green"/>
        </w:rPr>
        <w:fldChar w:fldCharType="begin">
          <w:ffData>
            <w:name w:val=""/>
            <w:enabled/>
            <w:calcOnExit w:val="0"/>
            <w:textInput>
              <w:default w:val=" V "/>
              <w:maxLength w:val="3"/>
            </w:textInput>
          </w:ffData>
        </w:fldChar>
      </w:r>
      <w:r>
        <w:rPr>
          <w:highlight w:val="green"/>
        </w:rPr>
        <w:instrText xml:space="preserve"> FORMTEXT </w:instrText>
      </w:r>
      <w:r>
        <w:rPr>
          <w:highlight w:val="green"/>
        </w:rPr>
      </w:r>
      <w:r>
        <w:rPr>
          <w:highlight w:val="green"/>
        </w:rPr>
        <w:fldChar w:fldCharType="separate"/>
      </w:r>
      <w:r w:rsidR="004772C9">
        <w:rPr>
          <w:noProof/>
          <w:highlight w:val="green"/>
        </w:rPr>
        <w:t xml:space="preserve"> V </w:t>
      </w:r>
      <w:r>
        <w:rPr>
          <w:highlight w:val="green"/>
        </w:rPr>
        <w:fldChar w:fldCharType="end"/>
      </w:r>
      <w:r>
        <w:t>(valid reagent) or</w:t>
      </w:r>
      <w:r w:rsidRPr="0025233A">
        <w:rPr>
          <w:highlight w:val="yellow"/>
        </w:rPr>
        <w:fldChar w:fldCharType="begin">
          <w:ffData>
            <w:name w:val=""/>
            <w:enabled/>
            <w:calcOnExit w:val="0"/>
            <w:textInput>
              <w:default w:val=" W  "/>
              <w:maxLength w:val="4"/>
            </w:textInput>
          </w:ffData>
        </w:fldChar>
      </w:r>
      <w:r w:rsidRPr="0025233A">
        <w:rPr>
          <w:highlight w:val="yellow"/>
        </w:rPr>
        <w:instrText xml:space="preserve"> FORMTEXT </w:instrText>
      </w:r>
      <w:r w:rsidRPr="0025233A">
        <w:rPr>
          <w:highlight w:val="yellow"/>
        </w:rPr>
      </w:r>
      <w:r w:rsidRPr="0025233A">
        <w:rPr>
          <w:highlight w:val="yellow"/>
        </w:rPr>
        <w:fldChar w:fldCharType="separate"/>
      </w:r>
      <w:r w:rsidR="004772C9">
        <w:rPr>
          <w:noProof/>
          <w:highlight w:val="yellow"/>
        </w:rPr>
        <w:t xml:space="preserve"> W  </w:t>
      </w:r>
      <w:r w:rsidRPr="0025233A">
        <w:rPr>
          <w:highlight w:val="yellow"/>
        </w:rPr>
        <w:fldChar w:fldCharType="end"/>
      </w:r>
      <w:r>
        <w:t xml:space="preserve">(reagent will expire within 24 hours) at the beginning of valid rows. These warning icons change as the user updates </w:t>
      </w:r>
      <w:r>
        <w:lastRenderedPageBreak/>
        <w:t xml:space="preserve">information. When the user holds the mouse over an icon, VBECS displays the message associated with the truth table interpretation (as with a tool tip). </w:t>
      </w:r>
    </w:p>
    <w:p w14:paraId="2FBDB744" w14:textId="77777777" w:rsidR="00F77F81" w:rsidRDefault="00F77F81" w:rsidP="00F77F81">
      <w:pPr>
        <w:pStyle w:val="ListBullet"/>
      </w:pPr>
      <w:r>
        <w:rPr>
          <w:vanish/>
          <w:spacing w:val="0"/>
        </w:rPr>
        <w:t xml:space="preserve">BR_2.39 </w:t>
      </w:r>
      <w:r>
        <w:t>VBECS compares user-entered interpretations with truth table data.</w:t>
      </w:r>
    </w:p>
    <w:p w14:paraId="1C2C8758" w14:textId="77777777" w:rsidR="00F77F81" w:rsidRDefault="00F77F81" w:rsidP="00F77F81">
      <w:pPr>
        <w:pStyle w:val="ListBullet"/>
      </w:pPr>
      <w:r>
        <w:t xml:space="preserve">The user performs tests and enters data simultaneously. </w:t>
      </w:r>
    </w:p>
    <w:p w14:paraId="7350F410" w14:textId="77777777" w:rsidR="00F77F81" w:rsidRDefault="00F77F81" w:rsidP="00F77F81">
      <w:pPr>
        <w:pStyle w:val="ListBullet"/>
      </w:pPr>
      <w:r>
        <w:t>Throughout this option, the user may view the patient’s VBECS demographics, including the information entered in the patient Special Instructions (SIs), Transfusion Requirements (TRs), and other clinical lab results related to the transfusion through CPRS.</w:t>
      </w:r>
    </w:p>
    <w:p w14:paraId="03AFF364" w14:textId="77777777" w:rsidR="00A62384" w:rsidRDefault="00F77F81" w:rsidP="00F77F81">
      <w:pPr>
        <w:pStyle w:val="ListBullet"/>
      </w:pPr>
      <w:r>
        <w:t>The historical ABO/Rh display includes the date and division of creation or indicates that the record is from the</w:t>
      </w:r>
      <w:r w:rsidR="00A62384">
        <w:t xml:space="preserve"> </w:t>
      </w:r>
      <w:r w:rsidR="000C7684" w:rsidRPr="000C7684">
        <w:t>VistA</w:t>
      </w:r>
      <w:r w:rsidR="00A62384">
        <w:t xml:space="preserve"> database conversion.</w:t>
      </w:r>
    </w:p>
    <w:p w14:paraId="1018F442" w14:textId="77777777" w:rsidR="006C0002" w:rsidRDefault="00A62384" w:rsidP="006C0002">
      <w:pPr>
        <w:pStyle w:val="ListBullet"/>
      </w:pPr>
      <w:r>
        <w:rPr>
          <w:vanish/>
          <w:spacing w:val="0"/>
        </w:rPr>
        <w:t xml:space="preserve">BR_56.06 </w:t>
      </w:r>
      <w:r>
        <w:t>The test record captures the ente</w:t>
      </w:r>
      <w:r w:rsidR="006C0002">
        <w:t>ring and testing technologists’ ID and the display/print technologists’ name, the division, date, and time of the save, the content (details of the verified testing), QC rack ID (if not by automated instrument), test method, automated test instrument information, if indicated, data entries, interpretations, and comments. (When the configuration changes in Configure Testing after the test data are entered, the record is retrievable as originally configured.)</w:t>
      </w:r>
    </w:p>
    <w:p w14:paraId="285F52E8" w14:textId="77777777" w:rsidR="002317C3" w:rsidRDefault="00C549FA" w:rsidP="002317C3">
      <w:pPr>
        <w:pStyle w:val="ListBullet"/>
      </w:pPr>
      <w:r w:rsidRPr="00896F17">
        <w:rPr>
          <w:rStyle w:val="BullhornChar"/>
        </w:rPr>
        <w:t></w:t>
      </w:r>
      <w:r>
        <w:rPr>
          <w:rFonts w:ascii="Webdings" w:hAnsi="Webdings"/>
        </w:rPr>
        <w:t></w:t>
      </w:r>
      <w:r w:rsidR="0073350C" w:rsidRPr="0073350C">
        <w:rPr>
          <w:rStyle w:val="BodyTextChar"/>
          <w:vanish/>
        </w:rPr>
        <w:t xml:space="preserve">BR_56.07 </w:t>
      </w:r>
      <w:r w:rsidRPr="00263B24">
        <w:t>Wh</w:t>
      </w:r>
      <w:r>
        <w:t>en</w:t>
      </w:r>
      <w:r w:rsidR="00A62384">
        <w:t xml:space="preserve"> a </w:t>
      </w:r>
      <w:r w:rsidR="003C244C">
        <w:t>site</w:t>
      </w:r>
      <w:r w:rsidR="00A62384">
        <w:t xml:space="preserve"> is defin</w:t>
      </w:r>
      <w:r w:rsidR="002317C3">
        <w:t xml:space="preserve">ed as “full service” and daily QC was not performed on the selected rack or the Not in Use Today check box was checked for the current 24-hour period (beginning with the time set for the alert defined in Configure Daily QC), VBECS emits an audible alert, warns the user, and asks whether he wishes to continue. </w:t>
      </w:r>
      <w:r w:rsidR="002317C3">
        <w:rPr>
          <w:b/>
        </w:rPr>
        <w:t>Yes</w:t>
      </w:r>
      <w:r w:rsidR="002317C3">
        <w:t xml:space="preserve"> requires a comment and captures details for inclusion in the Exception Report (exception type: QC not performed on rack used for testing). </w:t>
      </w:r>
      <w:r w:rsidR="002317C3">
        <w:rPr>
          <w:b/>
        </w:rPr>
        <w:t>No</w:t>
      </w:r>
      <w:r w:rsidR="002317C3">
        <w:t xml:space="preserve"> allows the user to select a different rack or cancel and return to the main menu.</w:t>
      </w:r>
    </w:p>
    <w:p w14:paraId="4B2256BB" w14:textId="77777777" w:rsidR="002317C3" w:rsidRPr="001F4C96" w:rsidRDefault="002317C3" w:rsidP="002317C3">
      <w:pPr>
        <w:pStyle w:val="ListBullet"/>
      </w:pPr>
      <w:r w:rsidRPr="001F4C96">
        <w:rPr>
          <w:vanish/>
          <w:spacing w:val="0"/>
        </w:rPr>
        <w:t xml:space="preserve">BR_28.09 </w:t>
      </w:r>
      <w:r w:rsidRPr="001F4C96">
        <w:t>When reagent</w:t>
      </w:r>
      <w:r w:rsidR="00F93F8F" w:rsidRPr="001F4C96">
        <w:t>s or antisera are</w:t>
      </w:r>
      <w:r w:rsidRPr="001F4C96">
        <w:t xml:space="preserve"> within 24 hours of expiration (23:59 on th</w:t>
      </w:r>
      <w:r w:rsidR="001F4C96" w:rsidRPr="001F4C96">
        <w:t xml:space="preserve">e expiration date), VBECS warns the user when the </w:t>
      </w:r>
      <w:r w:rsidRPr="001F4C96">
        <w:t xml:space="preserve">reagent will expire and asks whether the user wishes to continue. </w:t>
      </w:r>
      <w:r w:rsidRPr="001F4C96">
        <w:rPr>
          <w:b/>
        </w:rPr>
        <w:t>Yes</w:t>
      </w:r>
      <w:r w:rsidRPr="001F4C96">
        <w:t xml:space="preserve"> allows the user to continue testing. </w:t>
      </w:r>
      <w:r w:rsidRPr="001F4C96">
        <w:rPr>
          <w:b/>
        </w:rPr>
        <w:t xml:space="preserve">No </w:t>
      </w:r>
      <w:r w:rsidRPr="001F4C96">
        <w:t>moves the cursor to a cleared lot number cell, which is ready for the user to enter a new lot number.</w:t>
      </w:r>
    </w:p>
    <w:p w14:paraId="7F66147A" w14:textId="77777777" w:rsidR="002317C3" w:rsidRDefault="002317C3" w:rsidP="002317C3">
      <w:pPr>
        <w:pStyle w:val="ListBullet"/>
      </w:pPr>
      <w:r>
        <w:rPr>
          <w:vanish/>
          <w:spacing w:val="0"/>
        </w:rPr>
        <w:t xml:space="preserve">BR_3.56 </w:t>
      </w:r>
      <w:r>
        <w:t>The unit record will capture the entering tech ID, and display and/or print the entering tech name; the selecting tech ID, and display and/or print the selecting tech name; division, date, and time of the save; and the content (details of the unit selection), if indicated, data entries, interpretations, and comments.</w:t>
      </w:r>
    </w:p>
    <w:p w14:paraId="0A2C96A4" w14:textId="77777777" w:rsidR="002317C3" w:rsidRDefault="002317C3" w:rsidP="002317C3">
      <w:pPr>
        <w:pStyle w:val="ListBullet"/>
      </w:pPr>
      <w:r>
        <w:rPr>
          <w:vanish/>
          <w:spacing w:val="0"/>
        </w:rPr>
        <w:t xml:space="preserve">BR_56.02 </w:t>
      </w:r>
      <w:r>
        <w:t>VBECS allows a user to save partially completed tests and allows the same or different user to complete the tests later. A first or second user may enter only new results and may not edit prior entries. VBECS allows the user to save partially completed testing. The user may return to complete the pending tasks, but may not edit saved interpretations.</w:t>
      </w:r>
    </w:p>
    <w:p w14:paraId="7D081E56" w14:textId="77777777" w:rsidR="00B82DFE" w:rsidRDefault="00B82DFE">
      <w:pPr>
        <w:rPr>
          <w:rFonts w:ascii="Arial" w:hAnsi="Arial" w:cs="Arial"/>
          <w:b/>
          <w:bCs/>
          <w:sz w:val="26"/>
          <w:szCs w:val="26"/>
        </w:rPr>
      </w:pPr>
      <w:r>
        <w:br w:type="page"/>
      </w:r>
    </w:p>
    <w:p w14:paraId="33306362" w14:textId="1F222C3F" w:rsidR="00D05436" w:rsidRDefault="002317C3" w:rsidP="00D05436">
      <w:pPr>
        <w:pStyle w:val="Heading3"/>
      </w:pPr>
      <w:bookmarkStart w:id="62" w:name="_Toc47516656"/>
      <w:r>
        <w:lastRenderedPageBreak/>
        <w:t>Creating and Viewing Reports</w:t>
      </w:r>
      <w:bookmarkEnd w:id="62"/>
      <w:r w:rsidRPr="00D05436">
        <w:fldChar w:fldCharType="begin"/>
      </w:r>
      <w:r>
        <w:instrText xml:space="preserve"> XE “Creating and Viewing Reports” </w:instrText>
      </w:r>
      <w:r w:rsidRPr="00D05436">
        <w:fldChar w:fldCharType="end"/>
      </w:r>
    </w:p>
    <w:p w14:paraId="0B11C987" w14:textId="4F23272F" w:rsidR="002317C3" w:rsidRDefault="002317C3" w:rsidP="002317C3">
      <w:pPr>
        <w:pStyle w:val="ListBullet"/>
      </w:pPr>
      <w:r>
        <w:t xml:space="preserve">Click </w:t>
      </w:r>
      <w:r w:rsidRPr="002D4435">
        <w:rPr>
          <w:rFonts w:ascii="Wingdings" w:hAnsi="Wingdings"/>
        </w:rPr>
        <w:t></w:t>
      </w:r>
      <w:r>
        <w:t xml:space="preserve"> in the Include Report Sections area to select all report sections</w:t>
      </w:r>
      <w:r w:rsidR="00E365A8">
        <w:t xml:space="preserve"> (</w:t>
      </w:r>
      <w:r w:rsidR="00E365A8">
        <w:fldChar w:fldCharType="begin"/>
      </w:r>
      <w:r w:rsidR="00E365A8">
        <w:instrText xml:space="preserve"> REF _Ref127154331 \h </w:instrText>
      </w:r>
      <w:r w:rsidR="00E365A8">
        <w:fldChar w:fldCharType="separate"/>
      </w:r>
      <w:r w:rsidR="004353ED">
        <w:t xml:space="preserve">Figure </w:t>
      </w:r>
      <w:r w:rsidR="004353ED">
        <w:rPr>
          <w:noProof/>
        </w:rPr>
        <w:t>7</w:t>
      </w:r>
      <w:r w:rsidR="00E365A8">
        <w:fldChar w:fldCharType="end"/>
      </w:r>
      <w:r w:rsidR="00E365A8">
        <w:t>)</w:t>
      </w:r>
      <w:r>
        <w:t>.</w:t>
      </w:r>
    </w:p>
    <w:p w14:paraId="446CE50F" w14:textId="74C7FF14" w:rsidR="005B6E37" w:rsidRDefault="002317C3" w:rsidP="002317C3">
      <w:pPr>
        <w:pStyle w:val="ListBullet"/>
        <w:sectPr w:rsidR="005B6E37" w:rsidSect="0003045D">
          <w:headerReference w:type="default" r:id="rId33"/>
          <w:footerReference w:type="default" r:id="rId34"/>
          <w:type w:val="nextColumn"/>
          <w:pgSz w:w="12240" w:h="15840" w:code="1"/>
          <w:pgMar w:top="1440" w:right="1440" w:bottom="1440" w:left="1440" w:header="720" w:footer="720" w:gutter="0"/>
          <w:cols w:space="720"/>
          <w:docGrid w:linePitch="360"/>
        </w:sectPr>
      </w:pPr>
      <w:r>
        <w:t xml:space="preserve">Click </w:t>
      </w:r>
      <w:r w:rsidRPr="00D1343E">
        <w:rPr>
          <w:rFonts w:ascii="Wingdings 2" w:hAnsi="Wingdings 2" w:cs="Geneva"/>
          <w:b/>
        </w:rPr>
        <w:t></w:t>
      </w:r>
      <w:r>
        <w:t xml:space="preserve"> in the Include Report Sections area to clear all report sections</w:t>
      </w:r>
      <w:r w:rsidR="00931AD5">
        <w:t xml:space="preserve"> (</w:t>
      </w:r>
      <w:r w:rsidR="00931AD5">
        <w:fldChar w:fldCharType="begin"/>
      </w:r>
      <w:r w:rsidR="00931AD5">
        <w:instrText xml:space="preserve"> REF _Ref127154367 \h </w:instrText>
      </w:r>
      <w:r w:rsidR="00931AD5">
        <w:fldChar w:fldCharType="separate"/>
      </w:r>
      <w:r w:rsidR="004353ED">
        <w:t xml:space="preserve">Figure </w:t>
      </w:r>
      <w:r w:rsidR="004353ED">
        <w:rPr>
          <w:noProof/>
        </w:rPr>
        <w:t>8</w:t>
      </w:r>
      <w:r w:rsidR="00931AD5">
        <w:fldChar w:fldCharType="end"/>
      </w:r>
      <w:r w:rsidR="00931AD5">
        <w:t>)</w:t>
      </w:r>
      <w:r>
        <w:t>.</w:t>
      </w:r>
    </w:p>
    <w:p w14:paraId="209C3FF3" w14:textId="4D856B93" w:rsidR="005B6E37" w:rsidRDefault="005B6E37" w:rsidP="005B6E37">
      <w:pPr>
        <w:pStyle w:val="Caption"/>
      </w:pPr>
      <w:bookmarkStart w:id="63" w:name="_Ref12715433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7</w:t>
      </w:r>
      <w:r w:rsidR="004E20BD">
        <w:rPr>
          <w:noProof/>
        </w:rPr>
        <w:fldChar w:fldCharType="end"/>
      </w:r>
      <w:bookmarkEnd w:id="63"/>
      <w:r>
        <w:t>: Click to Select All Report Sections</w:t>
      </w:r>
    </w:p>
    <w:p w14:paraId="254E1C67" w14:textId="36792A98" w:rsidR="00814342" w:rsidRPr="00814342" w:rsidRDefault="0003045D" w:rsidP="00814342">
      <w:r>
        <w:rPr>
          <w:noProof/>
        </w:rPr>
        <w:drawing>
          <wp:inline distT="0" distB="0" distL="0" distR="0" wp14:anchorId="6163CBC1" wp14:editId="2DD78DB4">
            <wp:extent cx="2971800" cy="3381375"/>
            <wp:effectExtent l="0" t="0" r="0" b="9525"/>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71800" cy="3381375"/>
                    </a:xfrm>
                    <a:prstGeom prst="rect">
                      <a:avLst/>
                    </a:prstGeom>
                    <a:noFill/>
                    <a:ln>
                      <a:noFill/>
                    </a:ln>
                  </pic:spPr>
                </pic:pic>
              </a:graphicData>
            </a:graphic>
          </wp:inline>
        </w:drawing>
      </w:r>
    </w:p>
    <w:p w14:paraId="40A46E10" w14:textId="10ED74F6" w:rsidR="005B6E37" w:rsidRDefault="005B6E37" w:rsidP="005B6E37">
      <w:pPr>
        <w:pStyle w:val="Caption"/>
      </w:pPr>
      <w:bookmarkStart w:id="64" w:name="_Ref12715436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8</w:t>
      </w:r>
      <w:r w:rsidR="004E20BD">
        <w:rPr>
          <w:noProof/>
        </w:rPr>
        <w:fldChar w:fldCharType="end"/>
      </w:r>
      <w:bookmarkEnd w:id="64"/>
      <w:r>
        <w:t xml:space="preserve">: Click to Clear All Report Sections </w:t>
      </w:r>
    </w:p>
    <w:p w14:paraId="7F1F430F" w14:textId="5C594E32" w:rsidR="005B6E37" w:rsidRDefault="00057948" w:rsidP="00814342">
      <w:pPr>
        <w:pStyle w:val="BodyText"/>
        <w:sectPr w:rsidR="005B6E37" w:rsidSect="00E57AC5">
          <w:type w:val="continuous"/>
          <w:pgSz w:w="12240" w:h="15840" w:code="1"/>
          <w:pgMar w:top="1440" w:right="1440" w:bottom="1440" w:left="1440" w:header="720" w:footer="720" w:gutter="0"/>
          <w:cols w:num="2" w:space="720"/>
          <w:docGrid w:linePitch="360"/>
        </w:sectPr>
      </w:pPr>
      <w:r>
        <w:rPr>
          <w:noProof/>
        </w:rPr>
        <w:drawing>
          <wp:inline distT="0" distB="0" distL="0" distR="0" wp14:anchorId="4C2D0539" wp14:editId="416404F6">
            <wp:extent cx="2974340" cy="3399155"/>
            <wp:effectExtent l="0" t="0" r="0" b="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4340" cy="3399155"/>
                    </a:xfrm>
                    <a:prstGeom prst="rect">
                      <a:avLst/>
                    </a:prstGeom>
                    <a:noFill/>
                    <a:ln>
                      <a:noFill/>
                    </a:ln>
                  </pic:spPr>
                </pic:pic>
              </a:graphicData>
            </a:graphic>
          </wp:inline>
        </w:drawing>
      </w:r>
    </w:p>
    <w:p w14:paraId="6D5CA230" w14:textId="0205486D" w:rsidR="004E67E9" w:rsidRPr="004E67E9" w:rsidRDefault="004E67E9" w:rsidP="004E67E9">
      <w:pPr>
        <w:pStyle w:val="ListBullet"/>
        <w:numPr>
          <w:ilvl w:val="0"/>
          <w:numId w:val="0"/>
        </w:numPr>
      </w:pPr>
    </w:p>
    <w:p w14:paraId="15C70280" w14:textId="0BA04DD5" w:rsidR="002317C3" w:rsidRDefault="002317C3" w:rsidP="005B6E37">
      <w:pPr>
        <w:pStyle w:val="ListBullet"/>
      </w:pPr>
      <w:r>
        <w:rPr>
          <w:vanish/>
        </w:rPr>
        <w:t xml:space="preserve">BR_20.17 </w:t>
      </w:r>
      <w:r>
        <w:t xml:space="preserve">In the Report Compilation area, click the </w:t>
      </w:r>
      <w:r>
        <w:rPr>
          <w:b/>
        </w:rPr>
        <w:t>Create Report Now</w:t>
      </w:r>
      <w:r>
        <w:t xml:space="preserve"> </w:t>
      </w:r>
      <w:r w:rsidRPr="00BF2E41">
        <w:t>radio button</w:t>
      </w:r>
      <w:r>
        <w:t xml:space="preserve"> and </w:t>
      </w:r>
      <w:r>
        <w:rPr>
          <w:b/>
        </w:rPr>
        <w:t>OK</w:t>
      </w:r>
      <w:r>
        <w:t xml:space="preserve"> to view the report, or click the </w:t>
      </w:r>
      <w:r>
        <w:rPr>
          <w:b/>
        </w:rPr>
        <w:t>Schedule Print Job</w:t>
      </w:r>
      <w:r>
        <w:t xml:space="preserve"> </w:t>
      </w:r>
      <w:r w:rsidRPr="00BF2E41">
        <w:t>radio button</w:t>
      </w:r>
      <w:r>
        <w:rPr>
          <w:b/>
        </w:rPr>
        <w:t xml:space="preserve"> </w:t>
      </w:r>
      <w:r>
        <w:t xml:space="preserve">and </w:t>
      </w:r>
      <w:r>
        <w:rPr>
          <w:b/>
        </w:rPr>
        <w:t>OK</w:t>
      </w:r>
      <w:r>
        <w:t xml:space="preserve">, then enter or select a print date and printer name, then click </w:t>
      </w:r>
      <w:r>
        <w:rPr>
          <w:b/>
        </w:rPr>
        <w:t>OK</w:t>
      </w:r>
      <w:r>
        <w:t xml:space="preserve"> to view and print the report.</w:t>
      </w:r>
    </w:p>
    <w:p w14:paraId="0EB7B41B" w14:textId="77777777" w:rsidR="00855A2D" w:rsidRPr="00855A2D" w:rsidRDefault="00855A2D" w:rsidP="002317C3">
      <w:pPr>
        <w:pStyle w:val="ListBullet"/>
      </w:pPr>
      <w:r w:rsidRPr="00855A2D">
        <w:rPr>
          <w:spacing w:val="0"/>
        </w:rPr>
        <w:t>Reports are printed only in their entirety.</w:t>
      </w:r>
    </w:p>
    <w:p w14:paraId="38852DDA" w14:textId="77777777" w:rsidR="002317C3" w:rsidRDefault="002317C3" w:rsidP="002317C3">
      <w:pPr>
        <w:pStyle w:val="ListBullet"/>
      </w:pPr>
      <w:r>
        <w:rPr>
          <w:vanish/>
          <w:spacing w:val="0"/>
        </w:rPr>
        <w:t xml:space="preserve">BR_77.02 </w:t>
      </w:r>
      <w:r>
        <w:t xml:space="preserve">A single-division report includes information from one division. </w:t>
      </w:r>
    </w:p>
    <w:p w14:paraId="683CC6F4" w14:textId="77777777" w:rsidR="002317C3" w:rsidRDefault="002317C3" w:rsidP="002317C3">
      <w:pPr>
        <w:pStyle w:val="ListBullet"/>
      </w:pPr>
      <w:r>
        <w:rPr>
          <w:vanish/>
          <w:spacing w:val="0"/>
        </w:rPr>
        <w:t xml:space="preserve">BR_104.02 </w:t>
      </w:r>
      <w:r>
        <w:t>When a site is a single division or a user does not have multidivisional access and a report has a multiple-division option, the user may not select a multidivisional report.</w:t>
      </w:r>
    </w:p>
    <w:p w14:paraId="7EA978C5" w14:textId="77777777" w:rsidR="002317C3" w:rsidRDefault="002317C3" w:rsidP="002317C3">
      <w:pPr>
        <w:pStyle w:val="ListBullet"/>
      </w:pPr>
      <w:r>
        <w:rPr>
          <w:vanish/>
          <w:spacing w:val="0"/>
        </w:rPr>
        <w:t xml:space="preserve">BR_27.10 </w:t>
      </w:r>
      <w:r>
        <w:t>VBECS maintains a cumulative history of all transactions, including testing and status changes, for every blood unit entered in the database (Unit History Report).</w:t>
      </w:r>
    </w:p>
    <w:p w14:paraId="468B209E" w14:textId="3BB3A1CF" w:rsidR="002317C3" w:rsidRDefault="002317C3" w:rsidP="002317C3">
      <w:pPr>
        <w:pStyle w:val="ListBullet"/>
      </w:pPr>
      <w:r>
        <w:rPr>
          <w:vanish/>
          <w:spacing w:val="0"/>
        </w:rPr>
        <w:t xml:space="preserve">BR_12.02 </w:t>
      </w:r>
      <w:r>
        <w:t xml:space="preserve">VBECS captures changes to verified data for inclusion in an audit trail report (Audit Trail Report, Unit History Report, </w:t>
      </w:r>
      <w:r w:rsidR="001F530A">
        <w:t xml:space="preserve">and </w:t>
      </w:r>
      <w:r>
        <w:t>Patient History Report).</w:t>
      </w:r>
    </w:p>
    <w:p w14:paraId="626F1B66" w14:textId="77777777" w:rsidR="002317C3" w:rsidRDefault="002317C3" w:rsidP="002317C3">
      <w:pPr>
        <w:pStyle w:val="ListBullet"/>
      </w:pPr>
      <w:r>
        <w:rPr>
          <w:vanish/>
          <w:spacing w:val="0"/>
        </w:rPr>
        <w:t xml:space="preserve">BR_56.10 </w:t>
      </w:r>
      <w:r>
        <w:t>VBECS displays patient ABO/Rh results in reverse chronological order, regardless of division, then from the</w:t>
      </w:r>
      <w:r w:rsidR="00A62384">
        <w:t xml:space="preserve"> </w:t>
      </w:r>
      <w:r w:rsidR="000C7684" w:rsidRPr="000C7684">
        <w:rPr>
          <w:bCs/>
        </w:rPr>
        <w:t>VistA</w:t>
      </w:r>
      <w:r w:rsidR="00A62384">
        <w:t xml:space="preserve"> database conversion. When no ABO/Rh records exist, VBECS displays “NR” (no records). When there are discrep</w:t>
      </w:r>
      <w:r>
        <w:t xml:space="preserve">ant ABO/Rh results from the same </w:t>
      </w:r>
      <w:r w:rsidR="00AE2C2C">
        <w:t>universal ID (UID)</w:t>
      </w:r>
      <w:r>
        <w:t xml:space="preserve"> or from two specimen UIDs, VBECS displays the results recorded just prior to the latest result that created the discrepancy and warns the user.</w:t>
      </w:r>
    </w:p>
    <w:p w14:paraId="5B7AF544" w14:textId="0B274D4E" w:rsidR="002317C3" w:rsidRDefault="002317C3" w:rsidP="002317C3">
      <w:pPr>
        <w:pStyle w:val="ListBullet"/>
      </w:pPr>
      <w:r>
        <w:rPr>
          <w:vanish/>
          <w:spacing w:val="0"/>
        </w:rPr>
        <w:t xml:space="preserve">BR_49.05 </w:t>
      </w:r>
      <w:r>
        <w:t xml:space="preserve">When a search will return a large number of items on the report, VBECS notifies the user that the report will be longer than </w:t>
      </w:r>
      <w:r w:rsidR="003C52E6">
        <w:t xml:space="preserve">approximately </w:t>
      </w:r>
      <w:r>
        <w:t xml:space="preserve">50 pages and asks whether he wants to display and perhaps print the </w:t>
      </w:r>
      <w:r>
        <w:lastRenderedPageBreak/>
        <w:t xml:space="preserve">report. </w:t>
      </w:r>
      <w:r>
        <w:rPr>
          <w:b/>
        </w:rPr>
        <w:t>Y</w:t>
      </w:r>
      <w:r w:rsidRPr="002317C3">
        <w:rPr>
          <w:b/>
        </w:rPr>
        <w:t>es</w:t>
      </w:r>
      <w:r>
        <w:t xml:space="preserve"> notifies the user that the process will take a few minutes. </w:t>
      </w:r>
      <w:r>
        <w:rPr>
          <w:b/>
        </w:rPr>
        <w:t>No</w:t>
      </w:r>
      <w:r>
        <w:t xml:space="preserve"> clears the screen and returns to the option’s main menu.</w:t>
      </w:r>
    </w:p>
    <w:p w14:paraId="17200A0C" w14:textId="77777777" w:rsidR="002317C3" w:rsidRDefault="002317C3" w:rsidP="002317C3">
      <w:pPr>
        <w:pStyle w:val="ListBullet"/>
      </w:pPr>
      <w:r>
        <w:rPr>
          <w:vanish/>
          <w:spacing w:val="0"/>
        </w:rPr>
        <w:t xml:space="preserve">BR_49.07 </w:t>
      </w:r>
      <w:r>
        <w:rPr>
          <w:noProof/>
        </w:rPr>
        <w:t>When no information that fulfills search criteria is available, VBECS notifies the user that no information is available, per entered search criteria.</w:t>
      </w:r>
    </w:p>
    <w:p w14:paraId="432E27C1" w14:textId="77777777" w:rsidR="002317C3" w:rsidRDefault="002317C3" w:rsidP="002317C3">
      <w:pPr>
        <w:pStyle w:val="ListBullet"/>
      </w:pPr>
      <w:r>
        <w:rPr>
          <w:noProof/>
          <w:vanish/>
          <w:spacing w:val="0"/>
        </w:rPr>
        <w:t>BR_77.01</w:t>
      </w:r>
      <w:r w:rsidR="00F33FC0">
        <w:rPr>
          <w:noProof/>
          <w:vanish/>
          <w:spacing w:val="0"/>
        </w:rPr>
        <w:t>,</w:t>
      </w:r>
      <w:r>
        <w:rPr>
          <w:noProof/>
          <w:vanish/>
          <w:spacing w:val="0"/>
        </w:rPr>
        <w:t xml:space="preserve"> </w:t>
      </w:r>
      <w:r w:rsidR="00F33FC0">
        <w:rPr>
          <w:vanish/>
          <w:spacing w:val="0"/>
        </w:rPr>
        <w:t xml:space="preserve">BR_77.03, </w:t>
      </w:r>
      <w:r w:rsidR="00F33FC0">
        <w:rPr>
          <w:noProof/>
          <w:vanish/>
          <w:spacing w:val="0"/>
        </w:rPr>
        <w:t>BR_77.05</w:t>
      </w:r>
      <w:r>
        <w:t>The user may change the default start and end dates</w:t>
      </w:r>
      <w:r w:rsidR="00E43586">
        <w:t xml:space="preserve"> (the previous day). The end date</w:t>
      </w:r>
      <w:r>
        <w:t xml:space="preserve"> </w:t>
      </w:r>
      <w:r w:rsidR="00E43586">
        <w:t xml:space="preserve">and time </w:t>
      </w:r>
      <w:r>
        <w:t>must be later than</w:t>
      </w:r>
      <w:r w:rsidR="00F33FC0">
        <w:t xml:space="preserve"> or the same as</w:t>
      </w:r>
      <w:r>
        <w:t xml:space="preserve"> the start date and time</w:t>
      </w:r>
      <w:r w:rsidR="00F33FC0">
        <w:t>. Report activity begins at and includes midnight on the start date, and ends at and includes midnight on the end date. When the date range includes the current date and time, VBECS displays “Preliminary” in the header on each page of the report.</w:t>
      </w:r>
    </w:p>
    <w:p w14:paraId="5CB7F632" w14:textId="77777777" w:rsidR="002317C3" w:rsidRDefault="002317C3" w:rsidP="002317C3">
      <w:pPr>
        <w:pStyle w:val="ListBullet"/>
      </w:pPr>
      <w:r>
        <w:rPr>
          <w:vanish/>
          <w:spacing w:val="0"/>
        </w:rPr>
        <w:t xml:space="preserve">BR_77.07 </w:t>
      </w:r>
      <w:r>
        <w:t>VBECS displays headers on every page of a report; it displays search and sort criteria and date ranges at the end of the report. VBECS identifies whether reports are generated from a test environment or from a production environment.</w:t>
      </w:r>
    </w:p>
    <w:p w14:paraId="186CC943" w14:textId="23FEE50D" w:rsidR="002317C3" w:rsidRDefault="002317C3" w:rsidP="002317C3">
      <w:pPr>
        <w:pStyle w:val="ListBullet"/>
      </w:pPr>
      <w:r>
        <w:rPr>
          <w:vanish/>
          <w:spacing w:val="0"/>
        </w:rPr>
        <w:t xml:space="preserve">BR_77.11 </w:t>
      </w:r>
      <w:r w:rsidR="00D5504F">
        <w:t>The user may choose to schedule a report to run at a future date and time and print on a designated printer. When a date range is supplied for the report, the report's end date must occur before the selected date of printing. The report scheduled to run at the future date/time will start processing the data at the time the report is scheduled to print (future date/time). If the date range spans more than 30 days, the system displays the warning message: "You are requesting more than 30 days of data to be printed. Continue?"</w:t>
      </w:r>
    </w:p>
    <w:p w14:paraId="37D64EBE" w14:textId="5FC6654E" w:rsidR="00BA3336" w:rsidRDefault="00BA3336" w:rsidP="00706312">
      <w:pPr>
        <w:pStyle w:val="ListBullet"/>
      </w:pPr>
      <w:r w:rsidRPr="00BA3336">
        <w:t>A report requested to print in the futu</w:t>
      </w:r>
      <w:r w:rsidR="00706312">
        <w:t>re prints per Central Time (CT).</w:t>
      </w:r>
      <w:r w:rsidR="00AB4BD9">
        <w:t xml:space="preserve"> </w:t>
      </w:r>
      <w:r w:rsidR="00AB4BD9" w:rsidRPr="00AB4BD9">
        <w:rPr>
          <w:vanish/>
        </w:rPr>
        <w:t>Defect 210518</w:t>
      </w:r>
    </w:p>
    <w:p w14:paraId="04D617E6" w14:textId="421599F9" w:rsidR="00D9320F" w:rsidRDefault="00D9320F" w:rsidP="00D9320F">
      <w:pPr>
        <w:pStyle w:val="ListBullet"/>
      </w:pPr>
      <w:r>
        <w:t>When printing reports exceeding 20 pages, allow the report to load in the preview window before selecting “print”. This prevents the VBECS sessio</w:t>
      </w:r>
      <w:r w:rsidR="00A922BB">
        <w:t xml:space="preserve">n from </w:t>
      </w:r>
      <w:r w:rsidR="00AB4BD9">
        <w:t>freezing, and</w:t>
      </w:r>
      <w:r w:rsidR="00A922BB">
        <w:t xml:space="preserve"> </w:t>
      </w:r>
      <w:r>
        <w:t>causing issues with printing future documents.</w:t>
      </w:r>
      <w:r w:rsidR="00AB4BD9">
        <w:t xml:space="preserve"> </w:t>
      </w:r>
      <w:r w:rsidR="00AB4BD9" w:rsidRPr="00AB4BD9">
        <w:rPr>
          <w:vanish/>
        </w:rPr>
        <w:t>Defect 210516</w:t>
      </w:r>
    </w:p>
    <w:p w14:paraId="2071D4CD" w14:textId="77777777" w:rsidR="00A62384" w:rsidRDefault="002317C3" w:rsidP="002317C3">
      <w:pPr>
        <w:pStyle w:val="ListBullet"/>
      </w:pPr>
      <w:r>
        <w:t xml:space="preserve">Local record retention policy instructs users to print, review, document, and save the </w:t>
      </w:r>
      <w:r w:rsidR="002D2971">
        <w:rPr>
          <w:rFonts w:eastAsia="Arial Unicode MS"/>
        </w:rPr>
        <w:t>Audit Trail, Exception, and Testing Worklist Reports</w:t>
      </w:r>
      <w:r>
        <w:t xml:space="preserve">. The reports contain only data entries generated in the user’s login division. </w:t>
      </w:r>
      <w:r>
        <w:rPr>
          <w:vanish/>
          <w:spacing w:val="0"/>
        </w:rPr>
        <w:t xml:space="preserve">BR_77.08 </w:t>
      </w:r>
      <w:r>
        <w:t>Each entry includes an area for supervisor acknowledgement (signature or initials and date of</w:t>
      </w:r>
      <w:r w:rsidR="00A62384">
        <w:t xml:space="preserve"> review) and comment.</w:t>
      </w:r>
    </w:p>
    <w:p w14:paraId="49FD7E8F" w14:textId="77777777" w:rsidR="002C0B9B" w:rsidRPr="002C0B9B" w:rsidRDefault="002C0B9B" w:rsidP="002C0B9B">
      <w:pPr>
        <w:pStyle w:val="ListBullet"/>
      </w:pPr>
      <w:r>
        <w:t xml:space="preserve">The search functionality (binoculars icon) may not </w:t>
      </w:r>
      <w:r w:rsidR="0045199A">
        <w:t>work</w:t>
      </w:r>
      <w:r>
        <w:t xml:space="preserve"> in a displayed report. </w:t>
      </w:r>
      <w:r w:rsidRPr="002C0B9B">
        <w:rPr>
          <w:vanish/>
        </w:rPr>
        <w:t>DR 2538</w:t>
      </w:r>
    </w:p>
    <w:p w14:paraId="1CED15BC" w14:textId="77777777" w:rsidR="00413ECA" w:rsidRDefault="00A62384" w:rsidP="00413ECA">
      <w:pPr>
        <w:pStyle w:val="ListBullet"/>
      </w:pPr>
      <w:r w:rsidRPr="00BC74C6">
        <w:rPr>
          <w:vanish/>
          <w:spacing w:val="0"/>
        </w:rPr>
        <w:t xml:space="preserve">BR_65.01 </w:t>
      </w:r>
      <w:r>
        <w:t>VBECS displays the patient historical ABO/Rh</w:t>
      </w:r>
      <w:r w:rsidR="000A0BE8">
        <w:t>, antibodies identified, antigen negative requirements, and</w:t>
      </w:r>
      <w:r>
        <w:t xml:space="preserve"> </w:t>
      </w:r>
      <w:r w:rsidR="000A0BE8">
        <w:t xml:space="preserve">transfusion reaction history </w:t>
      </w:r>
      <w:r>
        <w:t xml:space="preserve">(date, division of testing, whether from the </w:t>
      </w:r>
      <w:r w:rsidR="000C7684" w:rsidRPr="00BC74C6">
        <w:rPr>
          <w:bCs/>
        </w:rPr>
        <w:t>VistA</w:t>
      </w:r>
      <w:r w:rsidR="00413ECA">
        <w:t xml:space="preserve"> database conversion)</w:t>
      </w:r>
      <w:r w:rsidR="00F53A23">
        <w:t>,</w:t>
      </w:r>
      <w:r w:rsidR="00413ECA">
        <w:t xml:space="preserve"> </w:t>
      </w:r>
      <w:r w:rsidR="000A0BE8">
        <w:t xml:space="preserve">and </w:t>
      </w:r>
      <w:r w:rsidR="00413ECA">
        <w:t>whether the historical ABO/Rh was changed.</w:t>
      </w:r>
    </w:p>
    <w:p w14:paraId="4E678258" w14:textId="77777777" w:rsidR="0092694F" w:rsidRPr="002F1554" w:rsidRDefault="00413ECA" w:rsidP="003D6B91">
      <w:pPr>
        <w:pStyle w:val="ListBullet"/>
      </w:pPr>
      <w:r>
        <w:rPr>
          <w:vanish/>
          <w:spacing w:val="0"/>
        </w:rPr>
        <w:t xml:space="preserve">BR_65.02 </w:t>
      </w:r>
      <w:r>
        <w:t>When a patient has a history of an ABO/Rh change justified through Justify ABO/Rh Change, VBECS displays “History of justified ABO/Rh change” next to the</w:t>
      </w:r>
      <w:r>
        <w:rPr>
          <w:rStyle w:val="CommentReference"/>
          <w:sz w:val="22"/>
        </w:rPr>
        <w:t xml:space="preserve"> historical ABO/Rh information</w:t>
      </w:r>
      <w:r w:rsidR="008925E8">
        <w:rPr>
          <w:rStyle w:val="CommentReference"/>
          <w:sz w:val="22"/>
        </w:rPr>
        <w:t>.</w:t>
      </w:r>
    </w:p>
    <w:p w14:paraId="74005AE2" w14:textId="77777777" w:rsidR="002F1554" w:rsidRPr="002F1554" w:rsidRDefault="002F1554" w:rsidP="002F1554">
      <w:pPr>
        <w:pStyle w:val="ListBullet"/>
        <w:numPr>
          <w:ilvl w:val="0"/>
          <w:numId w:val="0"/>
        </w:numPr>
        <w:ind w:left="648" w:hanging="360"/>
      </w:pPr>
    </w:p>
    <w:p w14:paraId="4CAB860A" w14:textId="77777777" w:rsidR="002F1554" w:rsidRPr="00037A18" w:rsidRDefault="00B54E55" w:rsidP="002F1554">
      <w:pPr>
        <w:rPr>
          <w:sz w:val="22"/>
          <w:szCs w:val="22"/>
        </w:rPr>
      </w:pPr>
      <w:r>
        <w:rPr>
          <w:sz w:val="22"/>
          <w:szCs w:val="22"/>
        </w:rPr>
        <w:br w:type="page"/>
      </w:r>
      <w:r w:rsidR="002F1554" w:rsidRPr="00037A18">
        <w:rPr>
          <w:sz w:val="22"/>
          <w:szCs w:val="22"/>
        </w:rPr>
        <w:lastRenderedPageBreak/>
        <w:t>Reports in VBECS are created using a Microsoft technology called SQL Server Reporting Services (SSRS). Reports are rendered on screen using ReportViewer control. Reports are not deployed on the reporting server but as a part of the main application. All reports can be exported. The user has the option to export reports</w:t>
      </w:r>
      <w:r w:rsidR="002F1554">
        <w:rPr>
          <w:sz w:val="22"/>
          <w:szCs w:val="22"/>
        </w:rPr>
        <w:t xml:space="preserve"> in three different formats (PDF</w:t>
      </w:r>
      <w:r w:rsidR="002F1554" w:rsidRPr="00037A18">
        <w:rPr>
          <w:sz w:val="22"/>
          <w:szCs w:val="22"/>
        </w:rPr>
        <w:t>, Excel and/or Word).</w:t>
      </w:r>
    </w:p>
    <w:p w14:paraId="6B4203DF" w14:textId="77777777" w:rsidR="002F1554" w:rsidRPr="00037A18" w:rsidRDefault="002F1554" w:rsidP="002F1554">
      <w:pPr>
        <w:pStyle w:val="Heading2"/>
      </w:pPr>
      <w:bookmarkStart w:id="65" w:name="_Toc47516657"/>
      <w:r w:rsidRPr="00037A18">
        <w:t>Report Toolbar</w:t>
      </w:r>
      <w:bookmarkEnd w:id="65"/>
      <w:r w:rsidR="002B5CD5">
        <w:t xml:space="preserve"> </w:t>
      </w:r>
      <w:r w:rsidR="002B5CD5" w:rsidRPr="002B5CD5">
        <w:rPr>
          <w:rFonts w:ascii="Arial Bold" w:hAnsi="Arial Bold"/>
          <w:vanish/>
        </w:rPr>
        <w:t>DR 4581</w:t>
      </w:r>
    </w:p>
    <w:p w14:paraId="5E9B84D6" w14:textId="452FD830" w:rsidR="002F1554" w:rsidRPr="00037A18" w:rsidRDefault="002F1554" w:rsidP="002F1554">
      <w:pPr>
        <w:rPr>
          <w:sz w:val="22"/>
          <w:szCs w:val="22"/>
        </w:rPr>
      </w:pPr>
      <w:r w:rsidRPr="00037A18">
        <w:rPr>
          <w:sz w:val="22"/>
          <w:szCs w:val="22"/>
        </w:rPr>
        <w:t>Each report in VBECS will have a toolbar on top that allows the user to interact with the report (</w:t>
      </w:r>
      <w:r w:rsidR="00430868">
        <w:rPr>
          <w:sz w:val="22"/>
          <w:szCs w:val="22"/>
        </w:rPr>
        <w:fldChar w:fldCharType="begin"/>
      </w:r>
      <w:r w:rsidR="00430868">
        <w:rPr>
          <w:sz w:val="22"/>
          <w:szCs w:val="22"/>
        </w:rPr>
        <w:instrText xml:space="preserve"> REF _Ref353374018 \h </w:instrText>
      </w:r>
      <w:r w:rsidR="00430868">
        <w:rPr>
          <w:sz w:val="22"/>
          <w:szCs w:val="22"/>
        </w:rPr>
      </w:r>
      <w:r w:rsidR="00430868">
        <w:rPr>
          <w:sz w:val="22"/>
          <w:szCs w:val="22"/>
        </w:rPr>
        <w:fldChar w:fldCharType="separate"/>
      </w:r>
      <w:r w:rsidR="004353ED" w:rsidRPr="00037A18">
        <w:t xml:space="preserve">Figure </w:t>
      </w:r>
      <w:r w:rsidR="004353ED">
        <w:rPr>
          <w:noProof/>
        </w:rPr>
        <w:t>9</w:t>
      </w:r>
      <w:r w:rsidR="00430868">
        <w:rPr>
          <w:sz w:val="22"/>
          <w:szCs w:val="22"/>
        </w:rPr>
        <w:fldChar w:fldCharType="end"/>
      </w:r>
      <w:r w:rsidRPr="00037A18">
        <w:rPr>
          <w:sz w:val="22"/>
          <w:szCs w:val="22"/>
        </w:rPr>
        <w:t>).</w:t>
      </w:r>
      <w:r w:rsidR="009A5050">
        <w:rPr>
          <w:sz w:val="22"/>
          <w:szCs w:val="22"/>
        </w:rPr>
        <w:t xml:space="preserve"> The following sub-sections elaborate on the controls found on the Report Toolbar. It is suggested that users create a local directory for exporting their reports (see the </w:t>
      </w:r>
      <w:r w:rsidR="009A5050" w:rsidRPr="009A5050">
        <w:rPr>
          <w:i/>
          <w:sz w:val="22"/>
          <w:szCs w:val="22"/>
        </w:rPr>
        <w:t>VistA Blood Establishme</w:t>
      </w:r>
      <w:r w:rsidR="008343A9">
        <w:rPr>
          <w:i/>
          <w:sz w:val="22"/>
          <w:szCs w:val="22"/>
        </w:rPr>
        <w:t>nt Computer Software (VBECS)</w:t>
      </w:r>
      <w:r w:rsidR="00963680">
        <w:rPr>
          <w:i/>
          <w:sz w:val="22"/>
          <w:szCs w:val="22"/>
        </w:rPr>
        <w:t xml:space="preserve"> </w:t>
      </w:r>
      <w:r w:rsidR="00B03BDD">
        <w:rPr>
          <w:i/>
          <w:sz w:val="22"/>
          <w:szCs w:val="22"/>
        </w:rPr>
        <w:t>2.3.</w:t>
      </w:r>
      <w:r w:rsidR="00AD5990">
        <w:rPr>
          <w:i/>
          <w:sz w:val="22"/>
          <w:szCs w:val="22"/>
        </w:rPr>
        <w:t>2</w:t>
      </w:r>
      <w:r w:rsidR="008343A9">
        <w:rPr>
          <w:i/>
          <w:sz w:val="22"/>
          <w:szCs w:val="22"/>
        </w:rPr>
        <w:t xml:space="preserve"> </w:t>
      </w:r>
      <w:r w:rsidR="009A5050" w:rsidRPr="009A5050">
        <w:rPr>
          <w:i/>
          <w:sz w:val="22"/>
          <w:szCs w:val="22"/>
        </w:rPr>
        <w:t>Technical Manual-Security Guide</w:t>
      </w:r>
      <w:r w:rsidR="009A5050">
        <w:rPr>
          <w:sz w:val="22"/>
          <w:szCs w:val="22"/>
        </w:rPr>
        <w:t xml:space="preserve">, Configure the Report Share and the Configure a Shortcut to the Report Share sections for </w:t>
      </w:r>
      <w:r w:rsidR="00E90A01">
        <w:rPr>
          <w:sz w:val="22"/>
          <w:szCs w:val="22"/>
        </w:rPr>
        <w:t>additional</w:t>
      </w:r>
      <w:r w:rsidR="009A5050">
        <w:rPr>
          <w:sz w:val="22"/>
          <w:szCs w:val="22"/>
        </w:rPr>
        <w:t xml:space="preserve"> information).</w:t>
      </w:r>
    </w:p>
    <w:p w14:paraId="0F43E547" w14:textId="789EDEE1" w:rsidR="002F1554" w:rsidRPr="00037A18" w:rsidRDefault="002F1554" w:rsidP="002F1554">
      <w:pPr>
        <w:pStyle w:val="Caption"/>
      </w:pPr>
      <w:bookmarkStart w:id="66" w:name="_Ref353374018"/>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9</w:t>
      </w:r>
      <w:r w:rsidR="004E20BD">
        <w:rPr>
          <w:noProof/>
        </w:rPr>
        <w:fldChar w:fldCharType="end"/>
      </w:r>
      <w:bookmarkEnd w:id="66"/>
      <w:r w:rsidRPr="00037A18">
        <w:t>: Report Toolbar</w:t>
      </w:r>
      <w:r w:rsidR="00BC7F26">
        <w:t xml:space="preserve"> </w:t>
      </w:r>
      <w:r w:rsidR="00BC7F26" w:rsidRPr="00BC7F26">
        <w:rPr>
          <w:vanish/>
        </w:rPr>
        <w:t>DR 4835</w:t>
      </w:r>
    </w:p>
    <w:p w14:paraId="3ABF9EF9" w14:textId="77777777" w:rsidR="002F1554" w:rsidRPr="00A777D2" w:rsidRDefault="00057948" w:rsidP="002F1554">
      <w:pPr>
        <w:pStyle w:val="BodyText"/>
        <w:rPr>
          <w:highlight w:val="yellow"/>
        </w:rPr>
      </w:pPr>
      <w:r>
        <w:rPr>
          <w:noProof/>
        </w:rPr>
        <w:drawing>
          <wp:inline distT="0" distB="0" distL="0" distR="0" wp14:anchorId="6619A0E9" wp14:editId="351F31A7">
            <wp:extent cx="4996815" cy="267970"/>
            <wp:effectExtent l="0" t="0" r="0" b="0"/>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96815" cy="267970"/>
                    </a:xfrm>
                    <a:prstGeom prst="rect">
                      <a:avLst/>
                    </a:prstGeom>
                    <a:noFill/>
                    <a:ln>
                      <a:noFill/>
                    </a:ln>
                  </pic:spPr>
                </pic:pic>
              </a:graphicData>
            </a:graphic>
          </wp:inline>
        </w:drawing>
      </w:r>
    </w:p>
    <w:p w14:paraId="6442898D" w14:textId="77777777" w:rsidR="002F1554" w:rsidRPr="00037A18" w:rsidRDefault="002F1554" w:rsidP="002F1554">
      <w:pPr>
        <w:pStyle w:val="Heading3"/>
      </w:pPr>
      <w:bookmarkStart w:id="67" w:name="_Toc47516658"/>
      <w:r w:rsidRPr="00037A18">
        <w:t>Navigation Arrows and Report Pages</w:t>
      </w:r>
      <w:bookmarkEnd w:id="67"/>
      <w:r w:rsidR="00270083">
        <w:t xml:space="preserve"> </w:t>
      </w:r>
      <w:r w:rsidR="00270083" w:rsidRPr="00270083">
        <w:rPr>
          <w:rFonts w:ascii="Arial Bold" w:hAnsi="Arial Bold"/>
          <w:vanish/>
        </w:rPr>
        <w:t>DR 4761</w:t>
      </w:r>
      <w:r w:rsidRPr="00FC73FB">
        <w:rPr>
          <w:rFonts w:ascii="Arial Bold" w:hAnsi="Arial Bold"/>
          <w:vanish/>
        </w:rPr>
        <w:t xml:space="preserve"> DR 4589</w:t>
      </w:r>
    </w:p>
    <w:p w14:paraId="67A3D0EB" w14:textId="77777777" w:rsidR="002F1554" w:rsidRPr="00037A18" w:rsidRDefault="002F1554" w:rsidP="002F1554">
      <w:pPr>
        <w:rPr>
          <w:sz w:val="22"/>
          <w:szCs w:val="22"/>
        </w:rPr>
      </w:pPr>
      <w:r w:rsidRPr="00037A18">
        <w:rPr>
          <w:sz w:val="22"/>
          <w:szCs w:val="22"/>
        </w:rPr>
        <w:t xml:space="preserve">Navigation arrows allow the user to move to the next or previous page of the report. If the user is on the first page of the report, the arrows pointing to the left will be disabled. If the user is on the last page of the report, the arrows pointing to the right will be disabled. </w:t>
      </w:r>
    </w:p>
    <w:p w14:paraId="1292BA64" w14:textId="4DF59186" w:rsidR="00540EB1" w:rsidRDefault="002F1554" w:rsidP="0066150B">
      <w:pPr>
        <w:spacing w:after="100" w:afterAutospacing="1"/>
        <w:rPr>
          <w:sz w:val="22"/>
          <w:szCs w:val="22"/>
        </w:rPr>
      </w:pPr>
      <w:r w:rsidRPr="00037A18">
        <w:rPr>
          <w:sz w:val="22"/>
          <w:szCs w:val="22"/>
        </w:rPr>
        <w:t xml:space="preserve">The first arrow button </w:t>
      </w:r>
      <w:r w:rsidR="00057948">
        <w:rPr>
          <w:noProof/>
          <w:sz w:val="22"/>
          <w:szCs w:val="22"/>
        </w:rPr>
        <w:drawing>
          <wp:inline distT="0" distB="0" distL="0" distR="0" wp14:anchorId="0C1A4952" wp14:editId="08C096CF">
            <wp:extent cx="221615" cy="249555"/>
            <wp:effectExtent l="0" t="0" r="6985" b="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1615" cy="249555"/>
                    </a:xfrm>
                    <a:prstGeom prst="rect">
                      <a:avLst/>
                    </a:prstGeom>
                    <a:noFill/>
                    <a:ln>
                      <a:noFill/>
                    </a:ln>
                  </pic:spPr>
                </pic:pic>
              </a:graphicData>
            </a:graphic>
          </wp:inline>
        </w:drawing>
      </w:r>
      <w:r w:rsidRPr="00037A18">
        <w:rPr>
          <w:sz w:val="22"/>
          <w:szCs w:val="22"/>
        </w:rPr>
        <w:t xml:space="preserve"> moves the report by one page forward (or backward for left facing arrow). The second </w:t>
      </w:r>
      <w:r w:rsidR="00057948">
        <w:rPr>
          <w:noProof/>
          <w:sz w:val="22"/>
          <w:szCs w:val="22"/>
        </w:rPr>
        <w:drawing>
          <wp:inline distT="0" distB="0" distL="0" distR="0" wp14:anchorId="07FC4DDC" wp14:editId="5F662D15">
            <wp:extent cx="249555" cy="240030"/>
            <wp:effectExtent l="0" t="0" r="0" b="7620"/>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9555" cy="240030"/>
                    </a:xfrm>
                    <a:prstGeom prst="rect">
                      <a:avLst/>
                    </a:prstGeom>
                    <a:noFill/>
                    <a:ln>
                      <a:noFill/>
                    </a:ln>
                  </pic:spPr>
                </pic:pic>
              </a:graphicData>
            </a:graphic>
          </wp:inline>
        </w:drawing>
      </w:r>
      <w:r w:rsidRPr="00037A18">
        <w:rPr>
          <w:sz w:val="22"/>
          <w:szCs w:val="22"/>
        </w:rPr>
        <w:t xml:space="preserve"> moves the report to either the last or first page (in case of the left facing arrow). The number X of Y tells user which page is currently being viewed (X) and what is the total number of pages (Y).</w:t>
      </w:r>
    </w:p>
    <w:p w14:paraId="60DC91DA" w14:textId="4F2C1CFB" w:rsidR="00B413D4" w:rsidRDefault="00B413D4" w:rsidP="0066150B">
      <w:pPr>
        <w:spacing w:after="100" w:afterAutospacing="1"/>
        <w:rPr>
          <w:sz w:val="22"/>
          <w:szCs w:val="22"/>
        </w:rPr>
      </w:pPr>
      <w:r>
        <w:rPr>
          <w:sz w:val="22"/>
          <w:szCs w:val="22"/>
        </w:rPr>
        <w:t xml:space="preserve">Using arrow keys may cause erroneous “Invalid Key Pressed” messages or swap values while entering control results. Use the mouse to move between cells instead of using the arrow keys. Verify the control cell entries are correct before saving. </w:t>
      </w:r>
      <w:r w:rsidRPr="00B413D4">
        <w:rPr>
          <w:vanish/>
          <w:sz w:val="22"/>
          <w:szCs w:val="22"/>
        </w:rPr>
        <w:t>Defect 209946</w:t>
      </w:r>
    </w:p>
    <w:p w14:paraId="22053AD6" w14:textId="77777777" w:rsidR="00BC7F26" w:rsidRDefault="00D611E5" w:rsidP="00D611E5">
      <w:pPr>
        <w:pStyle w:val="Heading3"/>
      </w:pPr>
      <w:bookmarkStart w:id="68" w:name="_Toc369769739"/>
      <w:bookmarkStart w:id="69" w:name="_Ref370117404"/>
      <w:bookmarkStart w:id="70" w:name="_Ref370803698"/>
      <w:bookmarkStart w:id="71" w:name="_Ref370807571"/>
      <w:bookmarkStart w:id="72" w:name="_Toc47516659"/>
      <w:r>
        <w:t>Report Layout</w:t>
      </w:r>
      <w:bookmarkEnd w:id="68"/>
      <w:bookmarkEnd w:id="69"/>
      <w:bookmarkEnd w:id="70"/>
      <w:bookmarkEnd w:id="71"/>
      <w:bookmarkEnd w:id="72"/>
    </w:p>
    <w:p w14:paraId="3DAEF989" w14:textId="77777777" w:rsidR="00D611E5" w:rsidRPr="00BC7F26" w:rsidRDefault="00BC7F26" w:rsidP="00D611E5">
      <w:pPr>
        <w:pStyle w:val="Heading3"/>
        <w:rPr>
          <w:rFonts w:ascii="Arial Bold" w:hAnsi="Arial Bold"/>
          <w:vanish/>
        </w:rPr>
      </w:pPr>
      <w:r w:rsidRPr="00BC7F26">
        <w:rPr>
          <w:rFonts w:ascii="Arial Bold" w:hAnsi="Arial Bold"/>
          <w:vanish/>
        </w:rPr>
        <w:t>DR 4835</w:t>
      </w:r>
    </w:p>
    <w:p w14:paraId="7CA7D5C8" w14:textId="252DA719" w:rsidR="00D611E5" w:rsidRDefault="00D611E5" w:rsidP="00004139">
      <w:pPr>
        <w:spacing w:before="100" w:beforeAutospacing="1" w:after="100" w:afterAutospacing="1"/>
        <w:rPr>
          <w:sz w:val="22"/>
          <w:szCs w:val="22"/>
        </w:rPr>
      </w:pPr>
      <w:r w:rsidRPr="00D611E5">
        <w:rPr>
          <w:sz w:val="22"/>
          <w:szCs w:val="22"/>
        </w:rPr>
        <w:t xml:space="preserve">There are two ways (layouts) in which reports can be displayed. By default, reports are displayed in Print Layout. It allows reports to appear on the screen exactly how they will look when printed. </w:t>
      </w:r>
      <w:r w:rsidR="00525D98" w:rsidRPr="00D611E5">
        <w:rPr>
          <w:sz w:val="22"/>
          <w:szCs w:val="22"/>
        </w:rPr>
        <w:t>However,</w:t>
      </w:r>
      <w:r w:rsidRPr="00D611E5">
        <w:rPr>
          <w:sz w:val="22"/>
          <w:szCs w:val="22"/>
        </w:rPr>
        <w:t xml:space="preserve"> when reports are displayed in Print Layout mode, the Report Search function (see </w:t>
      </w:r>
      <w:r w:rsidRPr="00D611E5">
        <w:rPr>
          <w:sz w:val="22"/>
          <w:szCs w:val="22"/>
        </w:rPr>
        <w:fldChar w:fldCharType="begin"/>
      </w:r>
      <w:r w:rsidRPr="00D611E5">
        <w:rPr>
          <w:sz w:val="22"/>
          <w:szCs w:val="22"/>
        </w:rPr>
        <w:instrText xml:space="preserve"> REF _Ref370803220 \h </w:instrText>
      </w:r>
      <w:r>
        <w:rPr>
          <w:sz w:val="22"/>
          <w:szCs w:val="22"/>
        </w:rPr>
        <w:instrText xml:space="preserve"> \* MERGEFORMAT </w:instrText>
      </w:r>
      <w:r w:rsidRPr="00D611E5">
        <w:rPr>
          <w:sz w:val="22"/>
          <w:szCs w:val="22"/>
        </w:rPr>
      </w:r>
      <w:r w:rsidRPr="00D611E5">
        <w:rPr>
          <w:sz w:val="22"/>
          <w:szCs w:val="22"/>
        </w:rPr>
        <w:fldChar w:fldCharType="separate"/>
      </w:r>
      <w:r w:rsidR="004353ED" w:rsidRPr="004353ED">
        <w:rPr>
          <w:sz w:val="22"/>
          <w:szCs w:val="22"/>
        </w:rPr>
        <w:t>Report Search</w:t>
      </w:r>
      <w:r w:rsidRPr="00D611E5">
        <w:rPr>
          <w:sz w:val="22"/>
          <w:szCs w:val="22"/>
        </w:rPr>
        <w:fldChar w:fldCharType="end"/>
      </w:r>
      <w:r w:rsidRPr="00D611E5">
        <w:rPr>
          <w:sz w:val="22"/>
          <w:szCs w:val="22"/>
        </w:rPr>
        <w:t xml:space="preserve">) is disabled. In order to be able to use Report Search, the user has to turn off Print Layout mode by pressing this icon: </w:t>
      </w:r>
      <w:r w:rsidR="00057948">
        <w:rPr>
          <w:noProof/>
          <w:sz w:val="22"/>
          <w:szCs w:val="22"/>
        </w:rPr>
        <w:drawing>
          <wp:inline distT="0" distB="0" distL="0" distR="0" wp14:anchorId="3F45EBE2" wp14:editId="6DDC6D12">
            <wp:extent cx="276860" cy="276860"/>
            <wp:effectExtent l="0" t="0" r="8890" b="889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6860" cy="276860"/>
                    </a:xfrm>
                    <a:prstGeom prst="rect">
                      <a:avLst/>
                    </a:prstGeom>
                    <a:noFill/>
                    <a:ln>
                      <a:noFill/>
                    </a:ln>
                  </pic:spPr>
                </pic:pic>
              </a:graphicData>
            </a:graphic>
          </wp:inline>
        </w:drawing>
      </w:r>
      <w:r w:rsidRPr="00D611E5">
        <w:rPr>
          <w:sz w:val="22"/>
          <w:szCs w:val="22"/>
        </w:rPr>
        <w:t xml:space="preserve">. When Print Layout is disabled, the icon will look like this: </w:t>
      </w:r>
      <w:r w:rsidR="00057948">
        <w:rPr>
          <w:noProof/>
          <w:sz w:val="22"/>
          <w:szCs w:val="22"/>
        </w:rPr>
        <w:drawing>
          <wp:inline distT="0" distB="0" distL="0" distR="0" wp14:anchorId="0990060F" wp14:editId="3C5141B4">
            <wp:extent cx="221615" cy="249555"/>
            <wp:effectExtent l="0" t="0" r="6985" b="0"/>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1615" cy="249555"/>
                    </a:xfrm>
                    <a:prstGeom prst="rect">
                      <a:avLst/>
                    </a:prstGeom>
                    <a:noFill/>
                    <a:ln>
                      <a:noFill/>
                    </a:ln>
                  </pic:spPr>
                </pic:pic>
              </a:graphicData>
            </a:graphic>
          </wp:inline>
        </w:drawing>
      </w:r>
      <w:r w:rsidRPr="00D611E5">
        <w:rPr>
          <w:sz w:val="22"/>
          <w:szCs w:val="22"/>
        </w:rPr>
        <w:t>. It can be pressed again to return to Print Layout mode.</w:t>
      </w:r>
    </w:p>
    <w:p w14:paraId="4DC151C4" w14:textId="77777777" w:rsidR="00D611E5" w:rsidRPr="00D611E5" w:rsidRDefault="00D611E5" w:rsidP="00D611E5">
      <w:pPr>
        <w:rPr>
          <w:sz w:val="22"/>
          <w:szCs w:val="22"/>
        </w:rPr>
      </w:pPr>
      <w:r w:rsidRPr="00D611E5">
        <w:rPr>
          <w:sz w:val="22"/>
          <w:szCs w:val="22"/>
        </w:rPr>
        <w:t>Page size of reports not displayed in Print Layout mode differs from the regular letter size (8.5in. x 11in.) and that is why the total number of pages for the same report displayed in different layouts may differ.</w:t>
      </w:r>
    </w:p>
    <w:p w14:paraId="0C6AACA4" w14:textId="77777777" w:rsidR="00BF56F1" w:rsidRPr="00037A18" w:rsidRDefault="00004139" w:rsidP="00BF56F1">
      <w:pPr>
        <w:pStyle w:val="Heading3"/>
      </w:pPr>
      <w:r>
        <w:br w:type="page"/>
      </w:r>
      <w:bookmarkStart w:id="73" w:name="_Toc47516660"/>
      <w:r w:rsidR="00BF56F1" w:rsidRPr="00037A18">
        <w:lastRenderedPageBreak/>
        <w:t>Report Zoom-in/Zoom-out</w:t>
      </w:r>
      <w:bookmarkEnd w:id="73"/>
    </w:p>
    <w:p w14:paraId="736DBA49" w14:textId="5D1B1B28" w:rsidR="00BF56F1" w:rsidRPr="00671EA6" w:rsidRDefault="00BF56F1" w:rsidP="00BF56F1">
      <w:pPr>
        <w:rPr>
          <w:sz w:val="22"/>
          <w:szCs w:val="22"/>
        </w:rPr>
      </w:pPr>
      <w:r w:rsidRPr="00671EA6">
        <w:rPr>
          <w:sz w:val="22"/>
          <w:szCs w:val="22"/>
        </w:rPr>
        <w:t>Clicking the drop-down menu showing 100% will give the user a choice of the report display size (</w:t>
      </w:r>
      <w:r w:rsidR="00430868" w:rsidRPr="00671EA6">
        <w:rPr>
          <w:sz w:val="22"/>
          <w:szCs w:val="22"/>
        </w:rPr>
        <w:fldChar w:fldCharType="begin"/>
      </w:r>
      <w:r w:rsidR="00430868" w:rsidRPr="00671EA6">
        <w:rPr>
          <w:sz w:val="22"/>
          <w:szCs w:val="22"/>
        </w:rPr>
        <w:instrText xml:space="preserve"> REF _Ref353985437 \h </w:instrText>
      </w:r>
      <w:r w:rsidR="00671EA6">
        <w:rPr>
          <w:sz w:val="22"/>
          <w:szCs w:val="22"/>
        </w:rPr>
        <w:instrText xml:space="preserve"> \* MERGEFORMAT </w:instrText>
      </w:r>
      <w:r w:rsidR="00430868" w:rsidRPr="00671EA6">
        <w:rPr>
          <w:sz w:val="22"/>
          <w:szCs w:val="22"/>
        </w:rPr>
      </w:r>
      <w:r w:rsidR="00430868" w:rsidRPr="00671EA6">
        <w:rPr>
          <w:sz w:val="22"/>
          <w:szCs w:val="22"/>
        </w:rPr>
        <w:fldChar w:fldCharType="separate"/>
      </w:r>
      <w:r w:rsidR="004353ED" w:rsidRPr="004353ED">
        <w:rPr>
          <w:sz w:val="22"/>
          <w:szCs w:val="22"/>
        </w:rPr>
        <w:t xml:space="preserve">Figure </w:t>
      </w:r>
      <w:r w:rsidR="004353ED" w:rsidRPr="004353ED">
        <w:rPr>
          <w:noProof/>
          <w:sz w:val="22"/>
          <w:szCs w:val="22"/>
        </w:rPr>
        <w:t>10</w:t>
      </w:r>
      <w:r w:rsidR="00430868" w:rsidRPr="00671EA6">
        <w:rPr>
          <w:sz w:val="22"/>
          <w:szCs w:val="22"/>
        </w:rPr>
        <w:fldChar w:fldCharType="end"/>
      </w:r>
      <w:r w:rsidRPr="00671EA6">
        <w:rPr>
          <w:sz w:val="22"/>
          <w:szCs w:val="22"/>
        </w:rPr>
        <w:t>).</w:t>
      </w:r>
    </w:p>
    <w:p w14:paraId="539070E3" w14:textId="57A03851" w:rsidR="00BF56F1" w:rsidRPr="00037A18" w:rsidRDefault="00BF56F1" w:rsidP="00BF56F1">
      <w:pPr>
        <w:pStyle w:val="Caption"/>
      </w:pPr>
      <w:bookmarkStart w:id="74" w:name="_Ref353985437"/>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10</w:t>
      </w:r>
      <w:r w:rsidR="004E20BD">
        <w:rPr>
          <w:noProof/>
        </w:rPr>
        <w:fldChar w:fldCharType="end"/>
      </w:r>
      <w:bookmarkEnd w:id="74"/>
      <w:r w:rsidRPr="00037A18">
        <w:t>: Report Zoom-in/Zoom-out Control</w:t>
      </w:r>
    </w:p>
    <w:p w14:paraId="6747A3BB" w14:textId="77777777" w:rsidR="00BF56F1" w:rsidRPr="00A777D2" w:rsidRDefault="00057948" w:rsidP="00BF56F1">
      <w:pPr>
        <w:pStyle w:val="BodyText"/>
        <w:rPr>
          <w:highlight w:val="yellow"/>
        </w:rPr>
      </w:pPr>
      <w:r>
        <w:rPr>
          <w:noProof/>
        </w:rPr>
        <w:drawing>
          <wp:inline distT="0" distB="0" distL="0" distR="0" wp14:anchorId="75D98F1D" wp14:editId="14525B1A">
            <wp:extent cx="1089660" cy="1412875"/>
            <wp:effectExtent l="19050" t="19050" r="15240" b="15875"/>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89660" cy="1412875"/>
                    </a:xfrm>
                    <a:prstGeom prst="rect">
                      <a:avLst/>
                    </a:prstGeom>
                    <a:noFill/>
                    <a:ln w="6350" cmpd="sng">
                      <a:solidFill>
                        <a:srgbClr val="000000"/>
                      </a:solidFill>
                      <a:miter lim="800000"/>
                      <a:headEnd/>
                      <a:tailEnd/>
                    </a:ln>
                    <a:effectLst/>
                  </pic:spPr>
                </pic:pic>
              </a:graphicData>
            </a:graphic>
          </wp:inline>
        </w:drawing>
      </w:r>
    </w:p>
    <w:p w14:paraId="42613305" w14:textId="77777777" w:rsidR="00BF56F1" w:rsidRDefault="00BF56F1" w:rsidP="002F1554">
      <w:pPr>
        <w:rPr>
          <w:sz w:val="22"/>
          <w:szCs w:val="22"/>
        </w:rPr>
      </w:pPr>
      <w:r w:rsidRPr="00037A18">
        <w:rPr>
          <w:sz w:val="22"/>
          <w:szCs w:val="22"/>
        </w:rPr>
        <w:t>The default value is 100%. The option Page Width will resize the report to fit the screen horizontal size. The option Whole Page will display the entire page on the screen. Selecting an option less than 100% will zoom out the report making the font smaller and allowing more data to fit on the screen. Selecting an option higher than 100% will zoom in the report making the font bigger. If the report does not fit on the screen, the user will be able to use scroll bars to scroll up or down and left or r</w:t>
      </w:r>
      <w:r>
        <w:rPr>
          <w:sz w:val="22"/>
          <w:szCs w:val="22"/>
        </w:rPr>
        <w:t>ight to view the entire report.</w:t>
      </w:r>
    </w:p>
    <w:p w14:paraId="25EF2AD9" w14:textId="77777777" w:rsidR="00540EB1" w:rsidRPr="00037A18" w:rsidRDefault="00540EB1" w:rsidP="00540EB1">
      <w:pPr>
        <w:pStyle w:val="Heading3"/>
      </w:pPr>
      <w:bookmarkStart w:id="75" w:name="_Ref370803220"/>
      <w:bookmarkStart w:id="76" w:name="_Toc47516661"/>
      <w:r w:rsidRPr="00037A18">
        <w:t>Report Search</w:t>
      </w:r>
      <w:bookmarkEnd w:id="75"/>
      <w:bookmarkEnd w:id="76"/>
      <w:r w:rsidR="00BC7F26">
        <w:t xml:space="preserve"> </w:t>
      </w:r>
      <w:r w:rsidR="00BC7F26" w:rsidRPr="00BC7F26">
        <w:rPr>
          <w:rFonts w:ascii="Arial Bold" w:hAnsi="Arial Bold"/>
          <w:vanish/>
        </w:rPr>
        <w:t>DR 4835</w:t>
      </w:r>
    </w:p>
    <w:p w14:paraId="634B8D1D" w14:textId="07367A4B" w:rsidR="00540EB1" w:rsidRPr="00A510F2" w:rsidRDefault="00540EB1" w:rsidP="00540EB1">
      <w:pPr>
        <w:rPr>
          <w:sz w:val="22"/>
          <w:szCs w:val="22"/>
        </w:rPr>
      </w:pPr>
      <w:r w:rsidRPr="00A510F2">
        <w:rPr>
          <w:sz w:val="22"/>
          <w:szCs w:val="22"/>
        </w:rPr>
        <w:t>This option allows the user to searc</w:t>
      </w:r>
      <w:r w:rsidR="006B122E" w:rsidRPr="00A510F2">
        <w:rPr>
          <w:sz w:val="22"/>
          <w:szCs w:val="22"/>
        </w:rPr>
        <w:t>h for specific text in a report and is only enabled if Print Layout is disabled</w:t>
      </w:r>
      <w:r w:rsidR="00A510F2" w:rsidRPr="00A510F2">
        <w:rPr>
          <w:sz w:val="22"/>
          <w:szCs w:val="22"/>
        </w:rPr>
        <w:t xml:space="preserve"> (see </w:t>
      </w:r>
      <w:r w:rsidR="00A510F2" w:rsidRPr="00A510F2">
        <w:rPr>
          <w:sz w:val="22"/>
          <w:szCs w:val="22"/>
        </w:rPr>
        <w:fldChar w:fldCharType="begin"/>
      </w:r>
      <w:r w:rsidR="00A510F2" w:rsidRPr="00A510F2">
        <w:rPr>
          <w:sz w:val="22"/>
          <w:szCs w:val="22"/>
        </w:rPr>
        <w:instrText xml:space="preserve"> REF _Ref370807571 \h </w:instrText>
      </w:r>
      <w:r w:rsidR="00A510F2">
        <w:rPr>
          <w:sz w:val="22"/>
          <w:szCs w:val="22"/>
        </w:rPr>
        <w:instrText xml:space="preserve"> \* MERGEFORMAT </w:instrText>
      </w:r>
      <w:r w:rsidR="00A510F2" w:rsidRPr="00A510F2">
        <w:rPr>
          <w:sz w:val="22"/>
          <w:szCs w:val="22"/>
        </w:rPr>
      </w:r>
      <w:r w:rsidR="00A510F2" w:rsidRPr="00A510F2">
        <w:rPr>
          <w:sz w:val="22"/>
          <w:szCs w:val="22"/>
        </w:rPr>
        <w:fldChar w:fldCharType="separate"/>
      </w:r>
      <w:r w:rsidR="004353ED" w:rsidRPr="004353ED">
        <w:rPr>
          <w:sz w:val="22"/>
          <w:szCs w:val="22"/>
        </w:rPr>
        <w:t>Report Layout</w:t>
      </w:r>
      <w:r w:rsidR="00A510F2" w:rsidRPr="00A510F2">
        <w:rPr>
          <w:sz w:val="22"/>
          <w:szCs w:val="22"/>
        </w:rPr>
        <w:fldChar w:fldCharType="end"/>
      </w:r>
      <w:r w:rsidR="00A510F2" w:rsidRPr="00A510F2">
        <w:rPr>
          <w:sz w:val="22"/>
          <w:szCs w:val="22"/>
        </w:rPr>
        <w:t>)</w:t>
      </w:r>
      <w:r w:rsidR="006B122E" w:rsidRPr="00A510F2">
        <w:rPr>
          <w:sz w:val="22"/>
          <w:szCs w:val="22"/>
        </w:rPr>
        <w:t>.</w:t>
      </w:r>
      <w:r w:rsidRPr="00A510F2">
        <w:rPr>
          <w:sz w:val="22"/>
          <w:szCs w:val="22"/>
        </w:rPr>
        <w:t xml:space="preserve"> By default, the </w:t>
      </w:r>
      <w:r w:rsidRPr="00A510F2">
        <w:rPr>
          <w:b/>
          <w:sz w:val="22"/>
          <w:szCs w:val="22"/>
        </w:rPr>
        <w:t>Find</w:t>
      </w:r>
      <w:r w:rsidRPr="00A510F2">
        <w:rPr>
          <w:sz w:val="22"/>
          <w:szCs w:val="22"/>
        </w:rPr>
        <w:t xml:space="preserve"> and </w:t>
      </w:r>
      <w:r w:rsidRPr="00A510F2">
        <w:rPr>
          <w:b/>
          <w:sz w:val="22"/>
          <w:szCs w:val="22"/>
        </w:rPr>
        <w:t>Next</w:t>
      </w:r>
      <w:r w:rsidRPr="00A510F2">
        <w:rPr>
          <w:sz w:val="22"/>
          <w:szCs w:val="22"/>
        </w:rPr>
        <w:t xml:space="preserve"> buttons are disabled. Once the user enters text in the search box, the </w:t>
      </w:r>
      <w:r w:rsidRPr="00A510F2">
        <w:rPr>
          <w:b/>
          <w:sz w:val="22"/>
          <w:szCs w:val="22"/>
        </w:rPr>
        <w:t>Find</w:t>
      </w:r>
      <w:r w:rsidRPr="00A510F2">
        <w:rPr>
          <w:sz w:val="22"/>
          <w:szCs w:val="22"/>
        </w:rPr>
        <w:t xml:space="preserve"> button becomes enabled (</w:t>
      </w:r>
      <w:r w:rsidR="00430868" w:rsidRPr="00A510F2">
        <w:rPr>
          <w:sz w:val="22"/>
          <w:szCs w:val="22"/>
        </w:rPr>
        <w:fldChar w:fldCharType="begin"/>
      </w:r>
      <w:r w:rsidR="00430868" w:rsidRPr="00A510F2">
        <w:rPr>
          <w:sz w:val="22"/>
          <w:szCs w:val="22"/>
        </w:rPr>
        <w:instrText xml:space="preserve"> REF _Ref353985455 \h </w:instrText>
      </w:r>
      <w:r w:rsidR="00A510F2">
        <w:rPr>
          <w:sz w:val="22"/>
          <w:szCs w:val="22"/>
        </w:rPr>
        <w:instrText xml:space="preserve"> \* MERGEFORMAT </w:instrText>
      </w:r>
      <w:r w:rsidR="00430868" w:rsidRPr="00A510F2">
        <w:rPr>
          <w:sz w:val="22"/>
          <w:szCs w:val="22"/>
        </w:rPr>
      </w:r>
      <w:r w:rsidR="00430868" w:rsidRPr="00A510F2">
        <w:rPr>
          <w:sz w:val="22"/>
          <w:szCs w:val="22"/>
        </w:rPr>
        <w:fldChar w:fldCharType="separate"/>
      </w:r>
      <w:r w:rsidR="004353ED" w:rsidRPr="004353ED">
        <w:rPr>
          <w:sz w:val="22"/>
          <w:szCs w:val="22"/>
        </w:rPr>
        <w:t xml:space="preserve">Figure </w:t>
      </w:r>
      <w:r w:rsidR="004353ED" w:rsidRPr="004353ED">
        <w:rPr>
          <w:noProof/>
          <w:sz w:val="22"/>
          <w:szCs w:val="22"/>
        </w:rPr>
        <w:t>11</w:t>
      </w:r>
      <w:r w:rsidR="00430868" w:rsidRPr="00A510F2">
        <w:rPr>
          <w:sz w:val="22"/>
          <w:szCs w:val="22"/>
        </w:rPr>
        <w:fldChar w:fldCharType="end"/>
      </w:r>
      <w:r w:rsidRPr="00A510F2">
        <w:rPr>
          <w:sz w:val="22"/>
          <w:szCs w:val="22"/>
        </w:rPr>
        <w:t>).</w:t>
      </w:r>
    </w:p>
    <w:p w14:paraId="647179E9" w14:textId="3AD9F5EA" w:rsidR="00540EB1" w:rsidRPr="00037A18" w:rsidRDefault="00540EB1" w:rsidP="00540EB1">
      <w:pPr>
        <w:pStyle w:val="Caption"/>
      </w:pPr>
      <w:bookmarkStart w:id="77" w:name="_Ref353985455"/>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11</w:t>
      </w:r>
      <w:r w:rsidR="004E20BD">
        <w:rPr>
          <w:noProof/>
        </w:rPr>
        <w:fldChar w:fldCharType="end"/>
      </w:r>
      <w:bookmarkEnd w:id="77"/>
      <w:r w:rsidRPr="00037A18">
        <w:t>: Report Search Control</w:t>
      </w:r>
    </w:p>
    <w:p w14:paraId="705EBA74" w14:textId="77777777" w:rsidR="00540EB1" w:rsidRDefault="00057948" w:rsidP="00540EB1">
      <w:pPr>
        <w:pStyle w:val="BodyText"/>
        <w:rPr>
          <w:highlight w:val="yellow"/>
        </w:rPr>
      </w:pPr>
      <w:r>
        <w:rPr>
          <w:noProof/>
        </w:rPr>
        <w:drawing>
          <wp:inline distT="0" distB="0" distL="0" distR="0" wp14:anchorId="5B2F604D" wp14:editId="367DBD94">
            <wp:extent cx="1514475" cy="240030"/>
            <wp:effectExtent l="19050" t="19050" r="28575" b="2667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14475" cy="240030"/>
                    </a:xfrm>
                    <a:prstGeom prst="rect">
                      <a:avLst/>
                    </a:prstGeom>
                    <a:noFill/>
                    <a:ln w="6350" cmpd="sng">
                      <a:solidFill>
                        <a:srgbClr val="000000"/>
                      </a:solidFill>
                      <a:miter lim="800000"/>
                      <a:headEnd/>
                      <a:tailEnd/>
                    </a:ln>
                    <a:effectLst/>
                  </pic:spPr>
                </pic:pic>
              </a:graphicData>
            </a:graphic>
          </wp:inline>
        </w:drawing>
      </w:r>
    </w:p>
    <w:p w14:paraId="7D23FA09" w14:textId="2D4BBAB8" w:rsidR="00540EB1" w:rsidRPr="00037A18" w:rsidRDefault="00540EB1" w:rsidP="00540EB1">
      <w:pPr>
        <w:pStyle w:val="BodyText"/>
      </w:pPr>
      <w:r w:rsidRPr="00037A18">
        <w:t xml:space="preserve">Clicking the </w:t>
      </w:r>
      <w:r w:rsidRPr="00634DAB">
        <w:rPr>
          <w:b/>
        </w:rPr>
        <w:t>Find</w:t>
      </w:r>
      <w:r w:rsidRPr="00037A18">
        <w:t xml:space="preserve"> button will search the entire report. If the searched text is found, the report will display the page where it was found. The </w:t>
      </w:r>
      <w:r w:rsidRPr="00634DAB">
        <w:rPr>
          <w:b/>
        </w:rPr>
        <w:t>Next</w:t>
      </w:r>
      <w:r w:rsidRPr="00037A18">
        <w:t xml:space="preserve"> button will then become enabled allowing the user to search for subsequent instances of the search string. If the searched text cannot be found, the user will be presented with the message shown in</w:t>
      </w:r>
      <w:r w:rsidR="00430868">
        <w:t xml:space="preserve"> </w:t>
      </w:r>
      <w:r w:rsidR="00430868">
        <w:fldChar w:fldCharType="begin"/>
      </w:r>
      <w:r w:rsidR="00430868">
        <w:instrText xml:space="preserve"> REF _Ref353985470 \h </w:instrText>
      </w:r>
      <w:r w:rsidR="00430868">
        <w:fldChar w:fldCharType="separate"/>
      </w:r>
      <w:r w:rsidR="004353ED" w:rsidRPr="00037A18">
        <w:t xml:space="preserve">Figure </w:t>
      </w:r>
      <w:r w:rsidR="004353ED">
        <w:rPr>
          <w:noProof/>
        </w:rPr>
        <w:t>12</w:t>
      </w:r>
      <w:r w:rsidR="00430868">
        <w:fldChar w:fldCharType="end"/>
      </w:r>
      <w:r w:rsidRPr="00037A18">
        <w:t>.</w:t>
      </w:r>
    </w:p>
    <w:p w14:paraId="683C1BE2" w14:textId="3084434E" w:rsidR="00540EB1" w:rsidRPr="00037A18" w:rsidRDefault="00540EB1" w:rsidP="00540EB1">
      <w:pPr>
        <w:pStyle w:val="Caption"/>
      </w:pPr>
      <w:bookmarkStart w:id="78" w:name="_Ref353985470"/>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12</w:t>
      </w:r>
      <w:r w:rsidR="004E20BD">
        <w:rPr>
          <w:noProof/>
        </w:rPr>
        <w:fldChar w:fldCharType="end"/>
      </w:r>
      <w:bookmarkEnd w:id="78"/>
      <w:r w:rsidRPr="00037A18">
        <w:t>: Report Search Warning Message</w:t>
      </w:r>
    </w:p>
    <w:p w14:paraId="6506AD9A" w14:textId="77777777" w:rsidR="002F1554" w:rsidRPr="00D611E5" w:rsidRDefault="00057948" w:rsidP="00BF56F1">
      <w:pPr>
        <w:pStyle w:val="BodyText"/>
      </w:pPr>
      <w:r>
        <w:rPr>
          <w:noProof/>
        </w:rPr>
        <w:drawing>
          <wp:inline distT="0" distB="0" distL="0" distR="0" wp14:anchorId="47334D0C" wp14:editId="10DE9509">
            <wp:extent cx="3417570" cy="1385570"/>
            <wp:effectExtent l="19050" t="19050" r="11430" b="24130"/>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17570" cy="1385570"/>
                    </a:xfrm>
                    <a:prstGeom prst="rect">
                      <a:avLst/>
                    </a:prstGeom>
                    <a:noFill/>
                    <a:ln w="6350" cmpd="sng">
                      <a:solidFill>
                        <a:srgbClr val="000000"/>
                      </a:solidFill>
                      <a:miter lim="800000"/>
                      <a:headEnd/>
                      <a:tailEnd/>
                    </a:ln>
                    <a:effectLst/>
                  </pic:spPr>
                </pic:pic>
              </a:graphicData>
            </a:graphic>
          </wp:inline>
        </w:drawing>
      </w:r>
      <w:r w:rsidR="002F1554" w:rsidRPr="00E4667F">
        <w:rPr>
          <w:vanish/>
        </w:rPr>
        <w:t>DR 4589</w:t>
      </w:r>
    </w:p>
    <w:p w14:paraId="4C3EDA7D" w14:textId="77777777" w:rsidR="002F1554" w:rsidRPr="00037A18" w:rsidRDefault="002F1554" w:rsidP="00416BB3">
      <w:pPr>
        <w:pStyle w:val="Heading3"/>
      </w:pPr>
      <w:bookmarkStart w:id="79" w:name="_Ref2774509"/>
      <w:bookmarkStart w:id="80" w:name="_Toc47516662"/>
      <w:r w:rsidRPr="00037A18">
        <w:lastRenderedPageBreak/>
        <w:t>Report Export</w:t>
      </w:r>
      <w:bookmarkEnd w:id="79"/>
      <w:bookmarkEnd w:id="80"/>
    </w:p>
    <w:p w14:paraId="2250DCAE" w14:textId="376D5220" w:rsidR="0095742F" w:rsidRDefault="0095742F" w:rsidP="009D47C1">
      <w:pPr>
        <w:rPr>
          <w:sz w:val="22"/>
          <w:szCs w:val="22"/>
        </w:rPr>
      </w:pPr>
      <w:bookmarkStart w:id="81" w:name="_Ref353374027"/>
      <w:r>
        <w:rPr>
          <w:sz w:val="22"/>
          <w:szCs w:val="22"/>
        </w:rPr>
        <w:t>For all sites, rep</w:t>
      </w:r>
      <w:r w:rsidR="00FE6F61">
        <w:rPr>
          <w:sz w:val="22"/>
          <w:szCs w:val="22"/>
        </w:rPr>
        <w:t>orts will be saved</w:t>
      </w:r>
      <w:r>
        <w:rPr>
          <w:sz w:val="22"/>
          <w:szCs w:val="22"/>
        </w:rPr>
        <w:t xml:space="preserve"> in subfolders nam</w:t>
      </w:r>
      <w:r w:rsidR="00150D5C">
        <w:rPr>
          <w:sz w:val="22"/>
          <w:szCs w:val="22"/>
        </w:rPr>
        <w:t>ed after Division Code. VBECS</w:t>
      </w:r>
      <w:r>
        <w:rPr>
          <w:sz w:val="22"/>
          <w:szCs w:val="22"/>
        </w:rPr>
        <w:t xml:space="preserve"> will check </w:t>
      </w:r>
      <w:r w:rsidR="00AD1DDD">
        <w:rPr>
          <w:sz w:val="22"/>
          <w:szCs w:val="22"/>
        </w:rPr>
        <w:t xml:space="preserve">to see </w:t>
      </w:r>
      <w:r>
        <w:rPr>
          <w:sz w:val="22"/>
          <w:szCs w:val="22"/>
        </w:rPr>
        <w:t>if the subfolder exists. If the subfolder does not exist, it will attempt to create it. If the creation fails, it will attempt to save the report to the default re</w:t>
      </w:r>
      <w:r w:rsidR="00150D5C">
        <w:rPr>
          <w:sz w:val="22"/>
          <w:szCs w:val="22"/>
        </w:rPr>
        <w:t>port director</w:t>
      </w:r>
      <w:r w:rsidR="00150D5C" w:rsidRPr="00671EA6">
        <w:rPr>
          <w:sz w:val="22"/>
          <w:szCs w:val="22"/>
        </w:rPr>
        <w:t>y</w:t>
      </w:r>
      <w:r w:rsidR="00671EA6" w:rsidRPr="00671EA6">
        <w:rPr>
          <w:sz w:val="22"/>
          <w:szCs w:val="22"/>
        </w:rPr>
        <w:t xml:space="preserve"> (</w:t>
      </w:r>
      <w:r w:rsidR="00671EA6" w:rsidRPr="00671EA6">
        <w:rPr>
          <w:sz w:val="22"/>
          <w:szCs w:val="22"/>
        </w:rPr>
        <w:fldChar w:fldCharType="begin"/>
      </w:r>
      <w:r w:rsidR="00671EA6" w:rsidRPr="00671EA6">
        <w:rPr>
          <w:sz w:val="22"/>
          <w:szCs w:val="22"/>
        </w:rPr>
        <w:instrText xml:space="preserve"> REF _Ref353374029 \h </w:instrText>
      </w:r>
      <w:r w:rsidR="00671EA6">
        <w:rPr>
          <w:sz w:val="22"/>
          <w:szCs w:val="22"/>
        </w:rPr>
        <w:instrText xml:space="preserve"> \* MERGEFORMAT </w:instrText>
      </w:r>
      <w:r w:rsidR="00671EA6" w:rsidRPr="00671EA6">
        <w:rPr>
          <w:sz w:val="22"/>
          <w:szCs w:val="22"/>
        </w:rPr>
      </w:r>
      <w:r w:rsidR="00671EA6" w:rsidRPr="00671EA6">
        <w:rPr>
          <w:sz w:val="22"/>
          <w:szCs w:val="22"/>
        </w:rPr>
        <w:fldChar w:fldCharType="separate"/>
      </w:r>
      <w:r w:rsidR="004353ED" w:rsidRPr="004353ED">
        <w:rPr>
          <w:sz w:val="22"/>
          <w:szCs w:val="22"/>
        </w:rPr>
        <w:t xml:space="preserve">Figure </w:t>
      </w:r>
      <w:r w:rsidR="004353ED" w:rsidRPr="004353ED">
        <w:rPr>
          <w:noProof/>
          <w:sz w:val="22"/>
          <w:szCs w:val="22"/>
        </w:rPr>
        <w:t>14</w:t>
      </w:r>
      <w:r w:rsidR="00671EA6" w:rsidRPr="00671EA6">
        <w:rPr>
          <w:sz w:val="22"/>
          <w:szCs w:val="22"/>
        </w:rPr>
        <w:fldChar w:fldCharType="end"/>
      </w:r>
      <w:r w:rsidR="00671EA6" w:rsidRPr="00671EA6">
        <w:rPr>
          <w:sz w:val="22"/>
          <w:szCs w:val="22"/>
        </w:rPr>
        <w:t>).</w:t>
      </w:r>
      <w:r w:rsidRPr="00E63726">
        <w:rPr>
          <w:vanish/>
          <w:sz w:val="22"/>
          <w:szCs w:val="22"/>
        </w:rPr>
        <w:t xml:space="preserve"> Task 502479</w:t>
      </w:r>
    </w:p>
    <w:p w14:paraId="132ECEF0" w14:textId="77777777" w:rsidR="0095742F" w:rsidRDefault="0095742F" w:rsidP="009D47C1">
      <w:pPr>
        <w:rPr>
          <w:sz w:val="22"/>
          <w:szCs w:val="22"/>
        </w:rPr>
      </w:pPr>
    </w:p>
    <w:p w14:paraId="05C58ADB" w14:textId="77777777" w:rsidR="009D47C1" w:rsidRDefault="009D47C1" w:rsidP="009D47C1">
      <w:pPr>
        <w:rPr>
          <w:b/>
          <w:sz w:val="22"/>
          <w:szCs w:val="22"/>
        </w:rPr>
      </w:pPr>
      <w:r w:rsidRPr="00037A18">
        <w:rPr>
          <w:sz w:val="22"/>
          <w:szCs w:val="22"/>
        </w:rPr>
        <w:t>The user has an option to export the re</w:t>
      </w:r>
      <w:r>
        <w:rPr>
          <w:sz w:val="22"/>
          <w:szCs w:val="22"/>
        </w:rPr>
        <w:t xml:space="preserve">port in three different formats: PDF, Excel and Word. The export to PDF creates a report that is Read-Only (may not be modified) and will match the report that users can see directly in VBECS in terms of data and format. The export to Excel and Word creates a report that may be modified. </w:t>
      </w:r>
      <w:r>
        <w:rPr>
          <w:b/>
          <w:sz w:val="22"/>
          <w:szCs w:val="22"/>
        </w:rPr>
        <w:t xml:space="preserve">VBECS reports </w:t>
      </w:r>
      <w:r w:rsidRPr="007839DA">
        <w:rPr>
          <w:b/>
          <w:sz w:val="22"/>
          <w:szCs w:val="22"/>
        </w:rPr>
        <w:t xml:space="preserve">exported </w:t>
      </w:r>
      <w:r>
        <w:rPr>
          <w:b/>
          <w:sz w:val="22"/>
          <w:szCs w:val="22"/>
        </w:rPr>
        <w:t>to Excel or Word can be altered by a user. O</w:t>
      </w:r>
      <w:r w:rsidRPr="007839DA">
        <w:rPr>
          <w:b/>
          <w:sz w:val="22"/>
          <w:szCs w:val="22"/>
        </w:rPr>
        <w:t xml:space="preserve">nly copies printed directly from VBECS should be shared with clinicians to ensure data integrity. </w:t>
      </w:r>
    </w:p>
    <w:p w14:paraId="066CB9D8" w14:textId="77777777" w:rsidR="009D47C1" w:rsidRDefault="00057948" w:rsidP="009D47C1">
      <w:pPr>
        <w:rPr>
          <w:b/>
          <w:sz w:val="22"/>
          <w:szCs w:val="22"/>
        </w:rPr>
      </w:pPr>
      <w:r>
        <w:rPr>
          <w:noProof/>
        </w:rPr>
        <mc:AlternateContent>
          <mc:Choice Requires="wps">
            <w:drawing>
              <wp:anchor distT="0" distB="0" distL="114300" distR="114300" simplePos="0" relativeHeight="251672576" behindDoc="0" locked="0" layoutInCell="1" allowOverlap="1" wp14:anchorId="58B1FC1A" wp14:editId="3F214451">
                <wp:simplePos x="0" y="0"/>
                <wp:positionH relativeFrom="column">
                  <wp:posOffset>-24130</wp:posOffset>
                </wp:positionH>
                <wp:positionV relativeFrom="paragraph">
                  <wp:posOffset>111760</wp:posOffset>
                </wp:positionV>
                <wp:extent cx="5949950" cy="809625"/>
                <wp:effectExtent l="13970" t="16510" r="17780" b="21590"/>
                <wp:wrapNone/>
                <wp:docPr id="5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809625"/>
                        </a:xfrm>
                        <a:prstGeom prst="rect">
                          <a:avLst/>
                        </a:prstGeom>
                        <a:solidFill>
                          <a:srgbClr val="FFFFFF"/>
                        </a:solidFill>
                        <a:ln w="25400">
                          <a:solidFill>
                            <a:srgbClr val="FF0000"/>
                          </a:solidFill>
                          <a:miter lim="800000"/>
                          <a:headEnd/>
                          <a:tailEnd/>
                        </a:ln>
                      </wps:spPr>
                      <wps:txbx>
                        <w:txbxContent>
                          <w:p w14:paraId="1C56B0D4" w14:textId="77777777" w:rsidR="00F322E7" w:rsidRDefault="00F322E7" w:rsidP="009D47C1">
                            <w:pPr>
                              <w:rPr>
                                <w:sz w:val="22"/>
                                <w:szCs w:val="22"/>
                              </w:rPr>
                            </w:pPr>
                            <w:r w:rsidRPr="007839DA">
                              <w:rPr>
                                <w:b/>
                                <w:sz w:val="22"/>
                                <w:szCs w:val="22"/>
                              </w:rPr>
                              <w:t>The data output from VBECS is not controlled by the medical device and must be strictly regulated by local facility personnel. Many of the reports contain patient sensitive information and must be treated as such. Use of the exported reports, including alteration of data, is the responsibility of the user.</w:t>
                            </w:r>
                            <w:r w:rsidRPr="007839DA">
                              <w:rPr>
                                <w:sz w:val="22"/>
                                <w:szCs w:val="22"/>
                              </w:rPr>
                              <w:t xml:space="preserve"> </w:t>
                            </w:r>
                          </w:p>
                          <w:p w14:paraId="44CA6891" w14:textId="77777777" w:rsidR="00F322E7" w:rsidRDefault="00F322E7" w:rsidP="009D47C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B1FC1A" id="_x0000_t202" coordsize="21600,21600" o:spt="202" path="m,l,21600r21600,l21600,xe">
                <v:stroke joinstyle="miter"/>
                <v:path gradientshapeok="t" o:connecttype="rect"/>
              </v:shapetype>
              <v:shape id="Text Box 2" o:spid="_x0000_s1026" type="#_x0000_t202" style="position:absolute;margin-left:-1.9pt;margin-top:8.8pt;width:468.5pt;height:6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" strokecolor="red" strokeweight="2pt">
                <v:textbox>
                  <w:txbxContent>
                    <w:p w14:paraId="1C56B0D4" w14:textId="77777777" w:rsidR="00F322E7" w:rsidRDefault="00F322E7" w:rsidP="009D47C1">
                      <w:pPr>
                        <w:rPr>
                          <w:sz w:val="22"/>
                          <w:szCs w:val="22"/>
                        </w:rPr>
                      </w:pPr>
                      <w:r w:rsidRPr="007839DA">
                        <w:rPr>
                          <w:b/>
                          <w:sz w:val="22"/>
                          <w:szCs w:val="22"/>
                        </w:rPr>
                        <w:t>The data output from VBECS is not controlled by the medical device and must be strictly regulated by local facility personnel. Many of the reports contain patient sensitive information and must be treated as such. Use of the exported reports, including alteration of data, is the responsibility of the user.</w:t>
                      </w:r>
                      <w:r w:rsidRPr="007839DA">
                        <w:rPr>
                          <w:sz w:val="22"/>
                          <w:szCs w:val="22"/>
                        </w:rPr>
                        <w:t xml:space="preserve"> </w:t>
                      </w:r>
                    </w:p>
                    <w:p w14:paraId="44CA6891" w14:textId="77777777" w:rsidR="00F322E7" w:rsidRDefault="00F322E7" w:rsidP="009D47C1"/>
                  </w:txbxContent>
                </v:textbox>
              </v:shape>
            </w:pict>
          </mc:Fallback>
        </mc:AlternateContent>
      </w:r>
    </w:p>
    <w:p w14:paraId="1422557C" w14:textId="77777777" w:rsidR="009D47C1" w:rsidRDefault="009D47C1" w:rsidP="009D47C1">
      <w:pPr>
        <w:rPr>
          <w:b/>
          <w:sz w:val="22"/>
          <w:szCs w:val="22"/>
        </w:rPr>
      </w:pPr>
    </w:p>
    <w:p w14:paraId="04362A80" w14:textId="77777777" w:rsidR="009D47C1" w:rsidRDefault="009D47C1" w:rsidP="009D47C1">
      <w:pPr>
        <w:rPr>
          <w:b/>
          <w:sz w:val="22"/>
          <w:szCs w:val="22"/>
        </w:rPr>
      </w:pPr>
    </w:p>
    <w:p w14:paraId="2D0929AC" w14:textId="77777777" w:rsidR="009D47C1" w:rsidRDefault="009D47C1" w:rsidP="009D47C1">
      <w:pPr>
        <w:rPr>
          <w:b/>
          <w:sz w:val="22"/>
          <w:szCs w:val="22"/>
        </w:rPr>
      </w:pPr>
    </w:p>
    <w:p w14:paraId="539075AA" w14:textId="77777777" w:rsidR="009D47C1" w:rsidRDefault="009D47C1" w:rsidP="009D47C1">
      <w:pPr>
        <w:rPr>
          <w:b/>
          <w:sz w:val="22"/>
          <w:szCs w:val="22"/>
        </w:rPr>
      </w:pPr>
    </w:p>
    <w:p w14:paraId="67FECDDA" w14:textId="77777777" w:rsidR="009D47C1" w:rsidRDefault="009D47C1" w:rsidP="009D47C1">
      <w:pPr>
        <w:rPr>
          <w:b/>
          <w:sz w:val="22"/>
          <w:szCs w:val="22"/>
        </w:rPr>
      </w:pPr>
    </w:p>
    <w:p w14:paraId="352C0EE5" w14:textId="77777777" w:rsidR="009D47C1" w:rsidRDefault="009D47C1" w:rsidP="009D47C1">
      <w:pPr>
        <w:rPr>
          <w:sz w:val="22"/>
          <w:szCs w:val="22"/>
        </w:rPr>
      </w:pPr>
      <w:r w:rsidRPr="005956D0">
        <w:rPr>
          <w:vanish/>
          <w:sz w:val="22"/>
          <w:szCs w:val="22"/>
        </w:rPr>
        <w:t>DR 4627</w:t>
      </w:r>
    </w:p>
    <w:p w14:paraId="764433D7" w14:textId="62A75B87" w:rsidR="009D47C1" w:rsidRPr="009D47C1" w:rsidRDefault="009D47C1" w:rsidP="009D47C1">
      <w:pPr>
        <w:rPr>
          <w:sz w:val="22"/>
          <w:szCs w:val="22"/>
        </w:rPr>
      </w:pPr>
      <w:r w:rsidRPr="009D47C1">
        <w:rPr>
          <w:sz w:val="22"/>
          <w:szCs w:val="22"/>
        </w:rPr>
        <w:t xml:space="preserve">Export of the reports to Excel and Word comes with known problems. Reports exported to Excel or Word contain the same data as reports that can be seen directly in VBECS; however, their formatting may differ from the original report. Not all reports can be exported to all the identified formats. </w:t>
      </w:r>
      <w:r w:rsidRPr="009D47C1">
        <w:rPr>
          <w:sz w:val="22"/>
          <w:szCs w:val="22"/>
        </w:rPr>
        <w:fldChar w:fldCharType="begin"/>
      </w:r>
      <w:r w:rsidRPr="009D47C1">
        <w:rPr>
          <w:sz w:val="22"/>
          <w:szCs w:val="22"/>
        </w:rPr>
        <w:instrText xml:space="preserve"> REF _Ref416093445 \h </w:instrText>
      </w:r>
      <w:r>
        <w:rPr>
          <w:sz w:val="22"/>
          <w:szCs w:val="22"/>
        </w:rPr>
        <w:instrText xml:space="preserve"> \* MERGEFORMAT </w:instrText>
      </w:r>
      <w:r w:rsidRPr="009D47C1">
        <w:rPr>
          <w:sz w:val="22"/>
          <w:szCs w:val="22"/>
        </w:rPr>
      </w:r>
      <w:r w:rsidRPr="009D47C1">
        <w:rPr>
          <w:sz w:val="22"/>
          <w:szCs w:val="22"/>
        </w:rPr>
        <w:fldChar w:fldCharType="separate"/>
      </w:r>
      <w:r w:rsidR="004353ED" w:rsidRPr="004353ED">
        <w:rPr>
          <w:sz w:val="22"/>
          <w:szCs w:val="22"/>
        </w:rPr>
        <w:t xml:space="preserve">Table </w:t>
      </w:r>
      <w:r w:rsidR="004353ED" w:rsidRPr="004353ED">
        <w:rPr>
          <w:noProof/>
          <w:sz w:val="22"/>
          <w:szCs w:val="22"/>
        </w:rPr>
        <w:t>3</w:t>
      </w:r>
      <w:r w:rsidRPr="009D47C1">
        <w:rPr>
          <w:sz w:val="22"/>
          <w:szCs w:val="22"/>
        </w:rPr>
        <w:fldChar w:fldCharType="end"/>
      </w:r>
      <w:r w:rsidRPr="009D47C1">
        <w:rPr>
          <w:sz w:val="22"/>
          <w:szCs w:val="22"/>
        </w:rPr>
        <w:t xml:space="preserve"> lists the reports and their exportable formats.</w:t>
      </w:r>
    </w:p>
    <w:p w14:paraId="3185B857" w14:textId="5C4D9DF9" w:rsidR="009D47C1" w:rsidRPr="009454C1" w:rsidRDefault="009D47C1" w:rsidP="009D47C1">
      <w:pPr>
        <w:pStyle w:val="Caption"/>
        <w:rPr>
          <w:b w:val="0"/>
        </w:rPr>
      </w:pPr>
      <w:bookmarkStart w:id="82" w:name="_Ref416093445"/>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3</w:t>
      </w:r>
      <w:r w:rsidR="004E20BD">
        <w:rPr>
          <w:noProof/>
        </w:rPr>
        <w:fldChar w:fldCharType="end"/>
      </w:r>
      <w:bookmarkEnd w:id="82"/>
      <w:r>
        <w:t xml:space="preserve">: </w:t>
      </w:r>
      <w:r w:rsidR="00671EA6">
        <w:t xml:space="preserve">Recommended </w:t>
      </w:r>
      <w:r>
        <w:t>Exportable Formats for Reports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6"/>
        <w:gridCol w:w="1064"/>
        <w:gridCol w:w="982"/>
        <w:gridCol w:w="998"/>
      </w:tblGrid>
      <w:tr w:rsidR="009D47C1" w:rsidRPr="00245D96" w14:paraId="2206495D" w14:textId="77777777" w:rsidTr="006462CD">
        <w:tc>
          <w:tcPr>
            <w:tcW w:w="6498" w:type="dxa"/>
            <w:shd w:val="clear" w:color="auto" w:fill="auto"/>
          </w:tcPr>
          <w:p w14:paraId="71FDB78C" w14:textId="77777777" w:rsidR="009D47C1" w:rsidRPr="00245D96" w:rsidRDefault="009D47C1" w:rsidP="006462CD">
            <w:pPr>
              <w:rPr>
                <w:b/>
                <w:sz w:val="22"/>
                <w:szCs w:val="22"/>
              </w:rPr>
            </w:pPr>
            <w:r w:rsidRPr="00245D96">
              <w:rPr>
                <w:b/>
                <w:sz w:val="22"/>
                <w:szCs w:val="22"/>
              </w:rPr>
              <w:t>Report Name</w:t>
            </w:r>
          </w:p>
        </w:tc>
        <w:tc>
          <w:tcPr>
            <w:tcW w:w="1080" w:type="dxa"/>
            <w:shd w:val="clear" w:color="auto" w:fill="auto"/>
          </w:tcPr>
          <w:p w14:paraId="2D775CD0" w14:textId="77777777" w:rsidR="009D47C1" w:rsidRPr="00245D96" w:rsidRDefault="009D47C1" w:rsidP="006462CD">
            <w:pPr>
              <w:rPr>
                <w:b/>
                <w:sz w:val="22"/>
                <w:szCs w:val="22"/>
              </w:rPr>
            </w:pPr>
            <w:r w:rsidRPr="00245D96">
              <w:rPr>
                <w:b/>
                <w:sz w:val="22"/>
                <w:szCs w:val="22"/>
              </w:rPr>
              <w:t>PDF</w:t>
            </w:r>
          </w:p>
        </w:tc>
        <w:tc>
          <w:tcPr>
            <w:tcW w:w="990" w:type="dxa"/>
            <w:shd w:val="clear" w:color="auto" w:fill="auto"/>
          </w:tcPr>
          <w:p w14:paraId="57306137" w14:textId="77777777" w:rsidR="009D47C1" w:rsidRPr="00245D96" w:rsidRDefault="009D47C1" w:rsidP="006462CD">
            <w:pPr>
              <w:rPr>
                <w:b/>
                <w:sz w:val="22"/>
                <w:szCs w:val="22"/>
              </w:rPr>
            </w:pPr>
            <w:r w:rsidRPr="00245D96">
              <w:rPr>
                <w:b/>
                <w:sz w:val="22"/>
                <w:szCs w:val="22"/>
              </w:rPr>
              <w:t>Word</w:t>
            </w:r>
          </w:p>
        </w:tc>
        <w:tc>
          <w:tcPr>
            <w:tcW w:w="1008" w:type="dxa"/>
            <w:shd w:val="clear" w:color="auto" w:fill="auto"/>
          </w:tcPr>
          <w:p w14:paraId="760E6A05" w14:textId="77777777" w:rsidR="009D47C1" w:rsidRPr="00245D96" w:rsidRDefault="009D47C1" w:rsidP="006462CD">
            <w:pPr>
              <w:rPr>
                <w:b/>
                <w:sz w:val="22"/>
                <w:szCs w:val="22"/>
              </w:rPr>
            </w:pPr>
            <w:r w:rsidRPr="00245D96">
              <w:rPr>
                <w:b/>
                <w:sz w:val="22"/>
                <w:szCs w:val="22"/>
              </w:rPr>
              <w:t>Excel</w:t>
            </w:r>
          </w:p>
        </w:tc>
      </w:tr>
      <w:tr w:rsidR="009D47C1" w:rsidRPr="00245D96" w14:paraId="57CF33D5" w14:textId="77777777" w:rsidTr="006462CD">
        <w:tc>
          <w:tcPr>
            <w:tcW w:w="6498" w:type="dxa"/>
            <w:shd w:val="clear" w:color="auto" w:fill="auto"/>
          </w:tcPr>
          <w:p w14:paraId="66393EE3" w14:textId="77777777" w:rsidR="009D47C1" w:rsidRPr="00245D96" w:rsidRDefault="009D47C1" w:rsidP="006462CD">
            <w:pPr>
              <w:rPr>
                <w:sz w:val="22"/>
                <w:szCs w:val="22"/>
              </w:rPr>
            </w:pPr>
            <w:r w:rsidRPr="00245D96">
              <w:rPr>
                <w:sz w:val="22"/>
                <w:szCs w:val="22"/>
              </w:rPr>
              <w:t>Maintain Reagent Inventory</w:t>
            </w:r>
          </w:p>
        </w:tc>
        <w:tc>
          <w:tcPr>
            <w:tcW w:w="1080" w:type="dxa"/>
            <w:shd w:val="clear" w:color="auto" w:fill="auto"/>
          </w:tcPr>
          <w:p w14:paraId="3D2E7CF5"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3B7C8B76"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3FEFA25" w14:textId="77777777" w:rsidR="009D47C1" w:rsidRPr="00245D96" w:rsidRDefault="009D47C1" w:rsidP="006462CD">
            <w:pPr>
              <w:rPr>
                <w:sz w:val="22"/>
                <w:szCs w:val="22"/>
              </w:rPr>
            </w:pPr>
            <w:r w:rsidRPr="00245D96">
              <w:rPr>
                <w:sz w:val="22"/>
                <w:szCs w:val="22"/>
              </w:rPr>
              <w:t>No</w:t>
            </w:r>
          </w:p>
        </w:tc>
      </w:tr>
      <w:tr w:rsidR="009D47C1" w:rsidRPr="00245D96" w14:paraId="2D5AFCF7" w14:textId="77777777" w:rsidTr="006462CD">
        <w:tc>
          <w:tcPr>
            <w:tcW w:w="6498" w:type="dxa"/>
            <w:shd w:val="clear" w:color="auto" w:fill="auto"/>
          </w:tcPr>
          <w:p w14:paraId="43045CC7" w14:textId="77777777" w:rsidR="009D47C1" w:rsidRPr="00245D96" w:rsidRDefault="009D47C1" w:rsidP="006462CD">
            <w:pPr>
              <w:rPr>
                <w:sz w:val="22"/>
                <w:szCs w:val="22"/>
              </w:rPr>
            </w:pPr>
            <w:r w:rsidRPr="00245D96">
              <w:rPr>
                <w:sz w:val="22"/>
                <w:szCs w:val="22"/>
              </w:rPr>
              <w:t>Testing Worklist Report</w:t>
            </w:r>
          </w:p>
        </w:tc>
        <w:tc>
          <w:tcPr>
            <w:tcW w:w="1080" w:type="dxa"/>
            <w:shd w:val="clear" w:color="auto" w:fill="auto"/>
          </w:tcPr>
          <w:p w14:paraId="19681570"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90B26AE"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4BD7B581" w14:textId="77777777" w:rsidR="009D47C1" w:rsidRPr="00245D96" w:rsidRDefault="009D47C1" w:rsidP="006462CD">
            <w:pPr>
              <w:rPr>
                <w:sz w:val="22"/>
                <w:szCs w:val="22"/>
              </w:rPr>
            </w:pPr>
            <w:r w:rsidRPr="00245D96">
              <w:rPr>
                <w:sz w:val="22"/>
                <w:szCs w:val="22"/>
              </w:rPr>
              <w:t>No</w:t>
            </w:r>
          </w:p>
        </w:tc>
      </w:tr>
      <w:tr w:rsidR="009D47C1" w:rsidRPr="00245D96" w14:paraId="51A05116" w14:textId="77777777" w:rsidTr="006462CD">
        <w:tc>
          <w:tcPr>
            <w:tcW w:w="6498" w:type="dxa"/>
            <w:shd w:val="clear" w:color="auto" w:fill="auto"/>
          </w:tcPr>
          <w:p w14:paraId="16A7672D" w14:textId="77777777" w:rsidR="009D47C1" w:rsidRPr="00245D96" w:rsidRDefault="009D47C1" w:rsidP="006462CD">
            <w:pPr>
              <w:rPr>
                <w:sz w:val="22"/>
                <w:szCs w:val="22"/>
              </w:rPr>
            </w:pPr>
            <w:r w:rsidRPr="00245D96">
              <w:rPr>
                <w:sz w:val="22"/>
                <w:szCs w:val="22"/>
              </w:rPr>
              <w:t>Blood Availability Report</w:t>
            </w:r>
          </w:p>
        </w:tc>
        <w:tc>
          <w:tcPr>
            <w:tcW w:w="1080" w:type="dxa"/>
            <w:shd w:val="clear" w:color="auto" w:fill="auto"/>
          </w:tcPr>
          <w:p w14:paraId="2F2DDBDA"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D57FE02"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03B854F8" w14:textId="77777777" w:rsidR="009D47C1" w:rsidRPr="00245D96" w:rsidRDefault="009D47C1" w:rsidP="006462CD">
            <w:pPr>
              <w:rPr>
                <w:sz w:val="22"/>
                <w:szCs w:val="22"/>
              </w:rPr>
            </w:pPr>
            <w:r w:rsidRPr="00245D96">
              <w:rPr>
                <w:sz w:val="22"/>
                <w:szCs w:val="22"/>
              </w:rPr>
              <w:t>No</w:t>
            </w:r>
          </w:p>
        </w:tc>
      </w:tr>
      <w:tr w:rsidR="009D47C1" w:rsidRPr="00245D96" w14:paraId="61D801C0" w14:textId="77777777" w:rsidTr="006462CD">
        <w:tc>
          <w:tcPr>
            <w:tcW w:w="6498" w:type="dxa"/>
            <w:shd w:val="clear" w:color="auto" w:fill="auto"/>
          </w:tcPr>
          <w:p w14:paraId="0E538C2A" w14:textId="77777777" w:rsidR="009D47C1" w:rsidRPr="00245D96" w:rsidRDefault="009D47C1" w:rsidP="006462CD">
            <w:pPr>
              <w:rPr>
                <w:sz w:val="22"/>
                <w:szCs w:val="22"/>
              </w:rPr>
            </w:pPr>
            <w:r w:rsidRPr="00245D96">
              <w:rPr>
                <w:sz w:val="22"/>
                <w:szCs w:val="22"/>
              </w:rPr>
              <w:t>Division Transfusion Report</w:t>
            </w:r>
          </w:p>
        </w:tc>
        <w:tc>
          <w:tcPr>
            <w:tcW w:w="1080" w:type="dxa"/>
            <w:shd w:val="clear" w:color="auto" w:fill="auto"/>
          </w:tcPr>
          <w:p w14:paraId="3634F290"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284A46D8"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448C9FB7" w14:textId="77777777" w:rsidR="009D47C1" w:rsidRPr="00245D96" w:rsidRDefault="009D47C1" w:rsidP="006462CD">
            <w:pPr>
              <w:rPr>
                <w:sz w:val="22"/>
                <w:szCs w:val="22"/>
              </w:rPr>
            </w:pPr>
            <w:r w:rsidRPr="00245D96">
              <w:rPr>
                <w:sz w:val="22"/>
                <w:szCs w:val="22"/>
              </w:rPr>
              <w:t>No</w:t>
            </w:r>
          </w:p>
        </w:tc>
      </w:tr>
      <w:tr w:rsidR="009D47C1" w:rsidRPr="00245D96" w14:paraId="3098685F" w14:textId="77777777" w:rsidTr="006462CD">
        <w:tc>
          <w:tcPr>
            <w:tcW w:w="6498" w:type="dxa"/>
            <w:shd w:val="clear" w:color="auto" w:fill="auto"/>
          </w:tcPr>
          <w:p w14:paraId="36C80D86" w14:textId="77777777" w:rsidR="009D47C1" w:rsidRPr="00245D96" w:rsidRDefault="009D47C1" w:rsidP="006462CD">
            <w:pPr>
              <w:rPr>
                <w:sz w:val="22"/>
                <w:szCs w:val="22"/>
              </w:rPr>
            </w:pPr>
            <w:r w:rsidRPr="00245D96">
              <w:rPr>
                <w:sz w:val="22"/>
                <w:szCs w:val="22"/>
              </w:rPr>
              <w:t>Blood Bank Supplies Report</w:t>
            </w:r>
          </w:p>
        </w:tc>
        <w:tc>
          <w:tcPr>
            <w:tcW w:w="1080" w:type="dxa"/>
            <w:shd w:val="clear" w:color="auto" w:fill="auto"/>
          </w:tcPr>
          <w:p w14:paraId="33BBA14D"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027D5B9"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533EF060" w14:textId="77777777" w:rsidR="009D47C1" w:rsidRPr="00245D96" w:rsidRDefault="009D47C1" w:rsidP="006462CD">
            <w:pPr>
              <w:rPr>
                <w:sz w:val="22"/>
                <w:szCs w:val="22"/>
              </w:rPr>
            </w:pPr>
            <w:r w:rsidRPr="00245D96">
              <w:rPr>
                <w:sz w:val="22"/>
                <w:szCs w:val="22"/>
              </w:rPr>
              <w:t>No</w:t>
            </w:r>
          </w:p>
        </w:tc>
      </w:tr>
      <w:tr w:rsidR="009D47C1" w:rsidRPr="00245D96" w14:paraId="3E85D5D9" w14:textId="77777777" w:rsidTr="006462CD">
        <w:tc>
          <w:tcPr>
            <w:tcW w:w="6498" w:type="dxa"/>
            <w:shd w:val="clear" w:color="auto" w:fill="auto"/>
          </w:tcPr>
          <w:p w14:paraId="61E8C1A7" w14:textId="77777777" w:rsidR="009D47C1" w:rsidRPr="00245D96" w:rsidRDefault="009D47C1" w:rsidP="006462CD">
            <w:pPr>
              <w:rPr>
                <w:sz w:val="22"/>
                <w:szCs w:val="22"/>
              </w:rPr>
            </w:pPr>
            <w:r w:rsidRPr="00245D96">
              <w:rPr>
                <w:sz w:val="22"/>
                <w:szCs w:val="22"/>
              </w:rPr>
              <w:t>Unit History Report</w:t>
            </w:r>
          </w:p>
        </w:tc>
        <w:tc>
          <w:tcPr>
            <w:tcW w:w="1080" w:type="dxa"/>
            <w:shd w:val="clear" w:color="auto" w:fill="auto"/>
          </w:tcPr>
          <w:p w14:paraId="395A05E6"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DA1276A"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A71E5B3" w14:textId="77777777" w:rsidR="009D47C1" w:rsidRPr="00245D96" w:rsidRDefault="009D47C1" w:rsidP="006462CD">
            <w:pPr>
              <w:rPr>
                <w:sz w:val="22"/>
                <w:szCs w:val="22"/>
              </w:rPr>
            </w:pPr>
            <w:r w:rsidRPr="00245D96">
              <w:rPr>
                <w:sz w:val="22"/>
                <w:szCs w:val="22"/>
              </w:rPr>
              <w:t>No</w:t>
            </w:r>
          </w:p>
        </w:tc>
      </w:tr>
      <w:tr w:rsidR="009D47C1" w:rsidRPr="00245D96" w14:paraId="765F6C89" w14:textId="77777777" w:rsidTr="006462CD">
        <w:tc>
          <w:tcPr>
            <w:tcW w:w="6498" w:type="dxa"/>
            <w:shd w:val="clear" w:color="auto" w:fill="auto"/>
          </w:tcPr>
          <w:p w14:paraId="2F69CD29" w14:textId="77777777" w:rsidR="009D47C1" w:rsidRPr="00245D96" w:rsidRDefault="009D47C1" w:rsidP="006462CD">
            <w:pPr>
              <w:rPr>
                <w:sz w:val="22"/>
                <w:szCs w:val="22"/>
              </w:rPr>
            </w:pPr>
            <w:r w:rsidRPr="00245D96">
              <w:rPr>
                <w:sz w:val="22"/>
                <w:szCs w:val="22"/>
              </w:rPr>
              <w:t>Patient History Report</w:t>
            </w:r>
          </w:p>
        </w:tc>
        <w:tc>
          <w:tcPr>
            <w:tcW w:w="1080" w:type="dxa"/>
            <w:shd w:val="clear" w:color="auto" w:fill="auto"/>
          </w:tcPr>
          <w:p w14:paraId="08F063E2"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9347B3E"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D68BE75" w14:textId="77777777" w:rsidR="009D47C1" w:rsidRPr="00245D96" w:rsidRDefault="009D47C1" w:rsidP="006462CD">
            <w:pPr>
              <w:rPr>
                <w:sz w:val="22"/>
                <w:szCs w:val="22"/>
              </w:rPr>
            </w:pPr>
            <w:r w:rsidRPr="00245D96">
              <w:rPr>
                <w:sz w:val="22"/>
                <w:szCs w:val="22"/>
              </w:rPr>
              <w:t>No</w:t>
            </w:r>
          </w:p>
        </w:tc>
      </w:tr>
      <w:tr w:rsidR="009D47C1" w:rsidRPr="00245D96" w14:paraId="251771A4" w14:textId="77777777" w:rsidTr="006462CD">
        <w:tc>
          <w:tcPr>
            <w:tcW w:w="6498" w:type="dxa"/>
            <w:shd w:val="clear" w:color="auto" w:fill="auto"/>
          </w:tcPr>
          <w:p w14:paraId="45D3C266" w14:textId="77777777" w:rsidR="009D47C1" w:rsidRPr="00245D96" w:rsidRDefault="009D47C1" w:rsidP="006462CD">
            <w:pPr>
              <w:rPr>
                <w:sz w:val="22"/>
                <w:szCs w:val="22"/>
              </w:rPr>
            </w:pPr>
            <w:r w:rsidRPr="00245D96">
              <w:rPr>
                <w:sz w:val="22"/>
                <w:szCs w:val="22"/>
              </w:rPr>
              <w:t>Other VBECS reports</w:t>
            </w:r>
          </w:p>
        </w:tc>
        <w:tc>
          <w:tcPr>
            <w:tcW w:w="1080" w:type="dxa"/>
            <w:shd w:val="clear" w:color="auto" w:fill="auto"/>
          </w:tcPr>
          <w:p w14:paraId="67D59BFE"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8CE506B"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6DEFD6FC" w14:textId="77777777" w:rsidR="009D47C1" w:rsidRPr="00245D96" w:rsidRDefault="009D47C1" w:rsidP="006462CD">
            <w:pPr>
              <w:rPr>
                <w:sz w:val="22"/>
                <w:szCs w:val="22"/>
              </w:rPr>
            </w:pPr>
            <w:r w:rsidRPr="00245D96">
              <w:rPr>
                <w:sz w:val="22"/>
                <w:szCs w:val="22"/>
              </w:rPr>
              <w:t>Yes</w:t>
            </w:r>
          </w:p>
        </w:tc>
      </w:tr>
    </w:tbl>
    <w:p w14:paraId="0F6F703B" w14:textId="77777777" w:rsidR="009D47C1" w:rsidRDefault="009D47C1" w:rsidP="009D47C1">
      <w:pPr>
        <w:rPr>
          <w:sz w:val="22"/>
          <w:szCs w:val="22"/>
        </w:rPr>
      </w:pPr>
    </w:p>
    <w:p w14:paraId="41313E22" w14:textId="2B748D39" w:rsidR="009D47C1" w:rsidRPr="009D47C1" w:rsidRDefault="00A66B66" w:rsidP="009D47C1">
      <w:pPr>
        <w:pStyle w:val="BodyText"/>
      </w:pPr>
      <w:r>
        <w:br w:type="page"/>
      </w:r>
      <w:r w:rsidR="009D47C1" w:rsidRPr="009D47C1">
        <w:lastRenderedPageBreak/>
        <w:t xml:space="preserve">By clicking on </w:t>
      </w:r>
      <w:r w:rsidR="00057948">
        <w:rPr>
          <w:noProof/>
        </w:rPr>
        <w:drawing>
          <wp:inline distT="0" distB="0" distL="0" distR="0" wp14:anchorId="7A46AD37" wp14:editId="46082B93">
            <wp:extent cx="323215" cy="240030"/>
            <wp:effectExtent l="0" t="0" r="635" b="7620"/>
            <wp:docPr id="3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6">
                      <a:extLst>
                        <a:ext uri="{C183D7F6-B498-43B3-948B-1728B52AA6E4}">
                          <adec:decorative xmlns:adec="http://schemas.microsoft.com/office/drawing/2017/decorative" val="1"/>
                        </a:ext>
                      </a:extLs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3215" cy="240030"/>
                    </a:xfrm>
                    <a:prstGeom prst="rect">
                      <a:avLst/>
                    </a:prstGeom>
                    <a:noFill/>
                    <a:ln>
                      <a:noFill/>
                    </a:ln>
                  </pic:spPr>
                </pic:pic>
              </a:graphicData>
            </a:graphic>
          </wp:inline>
        </w:drawing>
      </w:r>
      <w:r w:rsidR="009D47C1" w:rsidRPr="009D47C1">
        <w:t xml:space="preserve"> , the user has the option to select and export to an Excel, PDF or Word file (</w:t>
      </w:r>
      <w:r w:rsidR="0095211D">
        <w:fldChar w:fldCharType="begin"/>
      </w:r>
      <w:r w:rsidR="0095211D">
        <w:instrText xml:space="preserve"> REF _Ref416093779 \h </w:instrText>
      </w:r>
      <w:r w:rsidR="0095211D">
        <w:fldChar w:fldCharType="separate"/>
      </w:r>
      <w:r w:rsidR="004353ED">
        <w:t xml:space="preserve">Figure </w:t>
      </w:r>
      <w:r w:rsidR="004353ED">
        <w:rPr>
          <w:noProof/>
        </w:rPr>
        <w:t>13</w:t>
      </w:r>
      <w:r w:rsidR="0095211D">
        <w:fldChar w:fldCharType="end"/>
      </w:r>
      <w:r w:rsidR="009D47C1" w:rsidRPr="009D47C1">
        <w:t>). Choosing any of these options will open the dialog shown in</w:t>
      </w:r>
      <w:r w:rsidR="0095211D">
        <w:t xml:space="preserve"> </w:t>
      </w:r>
      <w:r w:rsidR="0095211D">
        <w:fldChar w:fldCharType="begin"/>
      </w:r>
      <w:r w:rsidR="0095211D">
        <w:instrText xml:space="preserve"> REF _Ref353374029 \h </w:instrText>
      </w:r>
      <w:r w:rsidR="0095211D">
        <w:fldChar w:fldCharType="separate"/>
      </w:r>
      <w:r w:rsidR="004353ED" w:rsidRPr="00037A18">
        <w:t xml:space="preserve">Figure </w:t>
      </w:r>
      <w:r w:rsidR="004353ED">
        <w:rPr>
          <w:noProof/>
        </w:rPr>
        <w:t>14</w:t>
      </w:r>
      <w:r w:rsidR="0095211D">
        <w:fldChar w:fldCharType="end"/>
      </w:r>
      <w:r w:rsidR="009D47C1" w:rsidRPr="009D47C1">
        <w:t xml:space="preserve">. </w:t>
      </w:r>
      <w:r w:rsidR="009D47C1" w:rsidRPr="009D47C1">
        <w:rPr>
          <w:vanish/>
        </w:rPr>
        <w:t>DR 4607</w:t>
      </w:r>
    </w:p>
    <w:p w14:paraId="192968C2" w14:textId="0A7F87C5" w:rsidR="002F1554" w:rsidRDefault="002F1554" w:rsidP="002F1554">
      <w:pPr>
        <w:pStyle w:val="Caption"/>
      </w:pPr>
      <w:bookmarkStart w:id="83" w:name="_Ref41609377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13</w:t>
      </w:r>
      <w:r w:rsidR="004E20BD">
        <w:rPr>
          <w:noProof/>
        </w:rPr>
        <w:fldChar w:fldCharType="end"/>
      </w:r>
      <w:bookmarkEnd w:id="81"/>
      <w:bookmarkEnd w:id="83"/>
      <w:r>
        <w:t>: Report Export Toolbar</w:t>
      </w:r>
    </w:p>
    <w:p w14:paraId="64A49C1D" w14:textId="77777777" w:rsidR="002F1554" w:rsidRPr="00FC73FB" w:rsidRDefault="00057948" w:rsidP="002F1554">
      <w:pPr>
        <w:pStyle w:val="BodyText"/>
      </w:pPr>
      <w:r>
        <w:rPr>
          <w:noProof/>
        </w:rPr>
        <w:drawing>
          <wp:inline distT="0" distB="0" distL="0" distR="0" wp14:anchorId="5B16992B" wp14:editId="427C6DCF">
            <wp:extent cx="923925" cy="868045"/>
            <wp:effectExtent l="19050" t="19050" r="28575" b="27305"/>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23925" cy="868045"/>
                    </a:xfrm>
                    <a:prstGeom prst="rect">
                      <a:avLst/>
                    </a:prstGeom>
                    <a:noFill/>
                    <a:ln w="6350" cmpd="sng">
                      <a:solidFill>
                        <a:srgbClr val="000000"/>
                      </a:solidFill>
                      <a:miter lim="800000"/>
                      <a:headEnd/>
                      <a:tailEnd/>
                    </a:ln>
                    <a:effectLst/>
                  </pic:spPr>
                </pic:pic>
              </a:graphicData>
            </a:graphic>
          </wp:inline>
        </w:drawing>
      </w:r>
    </w:p>
    <w:p w14:paraId="1A05E2DF" w14:textId="2E205117" w:rsidR="002F1554" w:rsidRPr="00037A18" w:rsidRDefault="002F1554" w:rsidP="002F1554">
      <w:pPr>
        <w:pStyle w:val="Caption"/>
      </w:pPr>
      <w:bookmarkStart w:id="84" w:name="_Ref353374029"/>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14</w:t>
      </w:r>
      <w:r w:rsidR="004E20BD">
        <w:rPr>
          <w:noProof/>
        </w:rPr>
        <w:fldChar w:fldCharType="end"/>
      </w:r>
      <w:bookmarkEnd w:id="84"/>
      <w:r w:rsidRPr="00037A18">
        <w:t xml:space="preserve">: Example of Report Export Dialog </w:t>
      </w:r>
      <w:r w:rsidR="008E79E8">
        <w:t xml:space="preserve">for Blood Bank </w:t>
      </w:r>
      <w:r w:rsidRPr="00037A18">
        <w:t xml:space="preserve">with </w:t>
      </w:r>
      <w:r w:rsidR="008E79E8">
        <w:t>Division Code 589</w:t>
      </w:r>
    </w:p>
    <w:p w14:paraId="6EDD52C9" w14:textId="71C30589" w:rsidR="002F1554" w:rsidRPr="00A777D2" w:rsidRDefault="008B508B" w:rsidP="002F1554">
      <w:pPr>
        <w:pStyle w:val="BodyText"/>
        <w:rPr>
          <w:highlight w:val="yellow"/>
        </w:rPr>
      </w:pPr>
      <w:r>
        <w:rPr>
          <w:noProof/>
        </w:rPr>
        <w:drawing>
          <wp:inline distT="0" distB="0" distL="0" distR="0" wp14:anchorId="291F494B" wp14:editId="3A8D7C03">
            <wp:extent cx="5943600" cy="1641828"/>
            <wp:effectExtent l="0" t="0" r="0"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1641828"/>
                    </a:xfrm>
                    <a:prstGeom prst="rect">
                      <a:avLst/>
                    </a:prstGeom>
                    <a:noFill/>
                    <a:ln>
                      <a:noFill/>
                    </a:ln>
                  </pic:spPr>
                </pic:pic>
              </a:graphicData>
            </a:graphic>
          </wp:inline>
        </w:drawing>
      </w:r>
    </w:p>
    <w:p w14:paraId="3BBDD7B0" w14:textId="77777777" w:rsidR="002F1554" w:rsidRDefault="002F1554" w:rsidP="002F1554">
      <w:pPr>
        <w:rPr>
          <w:sz w:val="22"/>
          <w:szCs w:val="22"/>
        </w:rPr>
      </w:pPr>
      <w:r w:rsidRPr="00037A18">
        <w:rPr>
          <w:sz w:val="22"/>
          <w:szCs w:val="22"/>
        </w:rPr>
        <w:t>This dialog allows the user to specify the name of the file to which the report will be exported. The extension of the file is pre-filled for the user and depends on which export option was selected (.xls for Excel, .</w:t>
      </w:r>
      <w:r>
        <w:rPr>
          <w:sz w:val="22"/>
          <w:szCs w:val="22"/>
        </w:rPr>
        <w:t xml:space="preserve">pdf for PDF or .doc for Word). The </w:t>
      </w:r>
      <w:r w:rsidRPr="00037A18">
        <w:rPr>
          <w:sz w:val="22"/>
          <w:szCs w:val="22"/>
        </w:rPr>
        <w:t>file name</w:t>
      </w:r>
      <w:r>
        <w:rPr>
          <w:sz w:val="22"/>
          <w:szCs w:val="22"/>
        </w:rPr>
        <w:t xml:space="preserve"> length is limited to</w:t>
      </w:r>
      <w:r w:rsidRPr="00037A18">
        <w:rPr>
          <w:sz w:val="22"/>
          <w:szCs w:val="22"/>
        </w:rPr>
        <w:t xml:space="preserve"> </w:t>
      </w:r>
      <w:r>
        <w:rPr>
          <w:sz w:val="22"/>
          <w:szCs w:val="22"/>
        </w:rPr>
        <w:t>200</w:t>
      </w:r>
      <w:r w:rsidRPr="00037A18">
        <w:rPr>
          <w:sz w:val="22"/>
          <w:szCs w:val="22"/>
        </w:rPr>
        <w:t xml:space="preserve"> characters</w:t>
      </w:r>
      <w:r>
        <w:rPr>
          <w:sz w:val="22"/>
          <w:szCs w:val="22"/>
        </w:rPr>
        <w:t xml:space="preserve"> and will not accept special characters as part of the name (e.g., \ / ? % * | : ’ ” &lt; &gt;).</w:t>
      </w:r>
    </w:p>
    <w:p w14:paraId="7D085FB6" w14:textId="77777777" w:rsidR="002F1554" w:rsidRPr="00037A18" w:rsidRDefault="002F1554" w:rsidP="002F1554">
      <w:pPr>
        <w:spacing w:before="120"/>
        <w:rPr>
          <w:sz w:val="22"/>
          <w:szCs w:val="22"/>
        </w:rPr>
      </w:pPr>
      <w:r w:rsidRPr="00037A18">
        <w:rPr>
          <w:sz w:val="22"/>
          <w:szCs w:val="22"/>
        </w:rPr>
        <w:t xml:space="preserve">If the user attempts to </w:t>
      </w:r>
      <w:r>
        <w:rPr>
          <w:sz w:val="22"/>
          <w:szCs w:val="22"/>
        </w:rPr>
        <w:t>use a special character in the file name, it will be ignored and not appear on the screen.</w:t>
      </w:r>
    </w:p>
    <w:p w14:paraId="454CD515" w14:textId="6B95A70F" w:rsidR="002F1554" w:rsidRPr="00037A18" w:rsidRDefault="002F1554" w:rsidP="002F1554">
      <w:pPr>
        <w:pStyle w:val="BodyText"/>
      </w:pPr>
      <w:r w:rsidRPr="00037A18">
        <w:t xml:space="preserve">Once the user enters a proper file name, the </w:t>
      </w:r>
      <w:r w:rsidRPr="00037A18">
        <w:rPr>
          <w:b/>
        </w:rPr>
        <w:t>OK</w:t>
      </w:r>
      <w:r w:rsidRPr="00037A18">
        <w:t xml:space="preserve"> button will become enabled. Clicking the </w:t>
      </w:r>
      <w:r w:rsidRPr="00037A18">
        <w:rPr>
          <w:b/>
        </w:rPr>
        <w:t>OK</w:t>
      </w:r>
      <w:r w:rsidRPr="00037A18">
        <w:t xml:space="preserve"> button will present the user with the message shown in</w:t>
      </w:r>
      <w:r w:rsidR="00430868">
        <w:t xml:space="preserve"> </w:t>
      </w:r>
      <w:r w:rsidR="00430868">
        <w:fldChar w:fldCharType="begin"/>
      </w:r>
      <w:r w:rsidR="00430868">
        <w:instrText xml:space="preserve"> REF _Ref353374032 \h </w:instrText>
      </w:r>
      <w:r w:rsidR="00430868">
        <w:fldChar w:fldCharType="separate"/>
      </w:r>
      <w:r w:rsidR="004353ED" w:rsidRPr="00037A18">
        <w:t xml:space="preserve">Figure </w:t>
      </w:r>
      <w:r w:rsidR="004353ED">
        <w:rPr>
          <w:noProof/>
        </w:rPr>
        <w:t>15</w:t>
      </w:r>
      <w:r w:rsidR="00430868">
        <w:fldChar w:fldCharType="end"/>
      </w:r>
      <w:r w:rsidRPr="00037A18">
        <w:t>.</w:t>
      </w:r>
    </w:p>
    <w:p w14:paraId="2F976C28" w14:textId="0A377334" w:rsidR="002F1554" w:rsidRPr="00037A18" w:rsidRDefault="002F1554" w:rsidP="002F1554">
      <w:pPr>
        <w:pStyle w:val="Caption"/>
      </w:pPr>
      <w:bookmarkStart w:id="85" w:name="_Ref353374032"/>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15</w:t>
      </w:r>
      <w:r w:rsidR="004E20BD">
        <w:rPr>
          <w:noProof/>
        </w:rPr>
        <w:fldChar w:fldCharType="end"/>
      </w:r>
      <w:bookmarkEnd w:id="85"/>
      <w:r w:rsidRPr="00037A18">
        <w:t>: Report Exporting in Progress</w:t>
      </w:r>
    </w:p>
    <w:p w14:paraId="5F1D1917" w14:textId="77777777" w:rsidR="002F1554" w:rsidRPr="00A777D2" w:rsidRDefault="00057948" w:rsidP="002F1554">
      <w:pPr>
        <w:pStyle w:val="BodyText"/>
        <w:rPr>
          <w:highlight w:val="yellow"/>
        </w:rPr>
      </w:pPr>
      <w:r>
        <w:rPr>
          <w:noProof/>
        </w:rPr>
        <w:drawing>
          <wp:inline distT="0" distB="0" distL="0" distR="0" wp14:anchorId="5EB50F8B" wp14:editId="60DB4273">
            <wp:extent cx="2641600" cy="1200785"/>
            <wp:effectExtent l="19050" t="19050" r="25400" b="18415"/>
            <wp:docPr id="35"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41600" cy="1200785"/>
                    </a:xfrm>
                    <a:prstGeom prst="rect">
                      <a:avLst/>
                    </a:prstGeom>
                    <a:noFill/>
                    <a:ln w="6350" cmpd="sng">
                      <a:solidFill>
                        <a:srgbClr val="000000"/>
                      </a:solidFill>
                      <a:miter lim="800000"/>
                      <a:headEnd/>
                      <a:tailEnd/>
                    </a:ln>
                    <a:effectLst/>
                  </pic:spPr>
                </pic:pic>
              </a:graphicData>
            </a:graphic>
          </wp:inline>
        </w:drawing>
      </w:r>
    </w:p>
    <w:p w14:paraId="7A586A08" w14:textId="328CC039" w:rsidR="002F1554" w:rsidRPr="00037A18" w:rsidRDefault="00A66B66" w:rsidP="002F1554">
      <w:pPr>
        <w:pStyle w:val="BodyText"/>
      </w:pPr>
      <w:r>
        <w:br w:type="page"/>
      </w:r>
      <w:r w:rsidR="002F1554" w:rsidRPr="00037A18">
        <w:lastRenderedPageBreak/>
        <w:t xml:space="preserve">Clicking the </w:t>
      </w:r>
      <w:r w:rsidR="002F1554" w:rsidRPr="00037A18">
        <w:rPr>
          <w:b/>
        </w:rPr>
        <w:t>Cancel</w:t>
      </w:r>
      <w:r w:rsidR="002F1554" w:rsidRPr="00037A18">
        <w:t xml:space="preserve"> button will stop the e</w:t>
      </w:r>
      <w:r w:rsidR="009144AE">
        <w:t>xport and</w:t>
      </w:r>
      <w:r w:rsidR="005B08F5">
        <w:t xml:space="preserve"> the user will be reverted back to viewing the report</w:t>
      </w:r>
      <w:r w:rsidR="002F1554" w:rsidRPr="00037A18">
        <w:t xml:space="preserve">. If the export </w:t>
      </w:r>
      <w:r w:rsidR="005B08F5">
        <w:t>is</w:t>
      </w:r>
      <w:r w:rsidR="002F1554" w:rsidRPr="00037A18">
        <w:t xml:space="preserve"> successful, the user will be presented with the message shown in</w:t>
      </w:r>
      <w:r w:rsidR="00B2123B">
        <w:t xml:space="preserve"> </w:t>
      </w:r>
      <w:r w:rsidR="00430868">
        <w:fldChar w:fldCharType="begin"/>
      </w:r>
      <w:r w:rsidR="00430868">
        <w:instrText xml:space="preserve"> REF _Ref353374155 \h </w:instrText>
      </w:r>
      <w:r w:rsidR="00430868">
        <w:fldChar w:fldCharType="separate"/>
      </w:r>
      <w:r w:rsidR="004353ED" w:rsidRPr="00037A18">
        <w:t xml:space="preserve">Figure </w:t>
      </w:r>
      <w:r w:rsidR="004353ED">
        <w:rPr>
          <w:noProof/>
        </w:rPr>
        <w:t>16</w:t>
      </w:r>
      <w:r w:rsidR="00430868">
        <w:fldChar w:fldCharType="end"/>
      </w:r>
      <w:r w:rsidR="002F1554" w:rsidRPr="00037A18">
        <w:t>.</w:t>
      </w:r>
    </w:p>
    <w:p w14:paraId="2CE8BD94" w14:textId="3C5F0B44" w:rsidR="002F1554" w:rsidRPr="00037A18" w:rsidRDefault="002F1554" w:rsidP="002F1554">
      <w:pPr>
        <w:pStyle w:val="Caption"/>
      </w:pPr>
      <w:bookmarkStart w:id="86" w:name="_Ref353374155"/>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16</w:t>
      </w:r>
      <w:r w:rsidR="004E20BD">
        <w:rPr>
          <w:noProof/>
        </w:rPr>
        <w:fldChar w:fldCharType="end"/>
      </w:r>
      <w:bookmarkEnd w:id="86"/>
      <w:r w:rsidRPr="00037A18">
        <w:t>: Example of Report Exporting Success</w:t>
      </w:r>
    </w:p>
    <w:p w14:paraId="77BD963A" w14:textId="06D50B7C" w:rsidR="002F1554" w:rsidRPr="00A777D2" w:rsidRDefault="008B508B" w:rsidP="002F1554">
      <w:pPr>
        <w:pStyle w:val="BodyText"/>
        <w:rPr>
          <w:highlight w:val="yellow"/>
        </w:rPr>
      </w:pPr>
      <w:r>
        <w:rPr>
          <w:noProof/>
        </w:rPr>
        <w:drawing>
          <wp:inline distT="0" distB="0" distL="0" distR="0" wp14:anchorId="07956D68" wp14:editId="56911AEE">
            <wp:extent cx="3829050" cy="1362075"/>
            <wp:effectExtent l="19050" t="19050" r="19050" b="28575"/>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29050" cy="1362075"/>
                    </a:xfrm>
                    <a:prstGeom prst="rect">
                      <a:avLst/>
                    </a:prstGeom>
                    <a:noFill/>
                    <a:ln w="6350" cmpd="sng">
                      <a:solidFill>
                        <a:srgbClr val="000000"/>
                      </a:solidFill>
                      <a:miter lim="800000"/>
                      <a:headEnd/>
                      <a:tailEnd/>
                    </a:ln>
                    <a:effectLst/>
                  </pic:spPr>
                </pic:pic>
              </a:graphicData>
            </a:graphic>
          </wp:inline>
        </w:drawing>
      </w:r>
    </w:p>
    <w:p w14:paraId="3F392981" w14:textId="77777777" w:rsidR="002F1554" w:rsidRPr="00037A18" w:rsidRDefault="002F1554" w:rsidP="002F1554">
      <w:pPr>
        <w:pStyle w:val="BodyText"/>
      </w:pPr>
      <w:r w:rsidRPr="00037A18">
        <w:t>This dialog shows the full path to the report and its name allowing the user to find it quickly using Windows Explorer.</w:t>
      </w:r>
    </w:p>
    <w:p w14:paraId="0EFA0C36" w14:textId="4E22D252" w:rsidR="002F1554" w:rsidRPr="00037A18" w:rsidRDefault="002F1554" w:rsidP="002F1554">
      <w:pPr>
        <w:pStyle w:val="BodyText"/>
      </w:pPr>
      <w:r w:rsidRPr="00037A18">
        <w:t>If the user enters the name of a report that already exists, the system will present the message shown in</w:t>
      </w:r>
      <w:r w:rsidR="00430868">
        <w:t xml:space="preserve"> </w:t>
      </w:r>
      <w:r w:rsidR="00430868">
        <w:fldChar w:fldCharType="begin"/>
      </w:r>
      <w:r w:rsidR="00430868">
        <w:instrText xml:space="preserve"> REF _Ref353374172 \h </w:instrText>
      </w:r>
      <w:r w:rsidR="00430868">
        <w:fldChar w:fldCharType="separate"/>
      </w:r>
      <w:r w:rsidR="004353ED" w:rsidRPr="00037A18">
        <w:t xml:space="preserve">Figure </w:t>
      </w:r>
      <w:r w:rsidR="004353ED">
        <w:rPr>
          <w:noProof/>
        </w:rPr>
        <w:t>17</w:t>
      </w:r>
      <w:r w:rsidR="00430868">
        <w:fldChar w:fldCharType="end"/>
      </w:r>
      <w:r w:rsidRPr="00037A18">
        <w:t>.</w:t>
      </w:r>
    </w:p>
    <w:p w14:paraId="29B33EFF" w14:textId="0FE8FCD4" w:rsidR="002F1554" w:rsidRPr="00037A18" w:rsidRDefault="002F1554" w:rsidP="002F1554">
      <w:pPr>
        <w:pStyle w:val="Caption"/>
      </w:pPr>
      <w:bookmarkStart w:id="87" w:name="_Ref353374172"/>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17</w:t>
      </w:r>
      <w:r w:rsidR="004E20BD">
        <w:rPr>
          <w:noProof/>
        </w:rPr>
        <w:fldChar w:fldCharType="end"/>
      </w:r>
      <w:bookmarkEnd w:id="87"/>
      <w:r w:rsidRPr="00037A18">
        <w:t>: Report File Already Exists</w:t>
      </w:r>
    </w:p>
    <w:p w14:paraId="5C848C22" w14:textId="77777777" w:rsidR="002F1554" w:rsidRPr="00A777D2" w:rsidRDefault="00057948" w:rsidP="002F1554">
      <w:pPr>
        <w:pStyle w:val="BodyText"/>
        <w:rPr>
          <w:noProof/>
          <w:highlight w:val="yellow"/>
        </w:rPr>
      </w:pPr>
      <w:r>
        <w:rPr>
          <w:noProof/>
        </w:rPr>
        <w:drawing>
          <wp:inline distT="0" distB="0" distL="0" distR="0" wp14:anchorId="38BD1599" wp14:editId="17C2FE8B">
            <wp:extent cx="3823970" cy="1385570"/>
            <wp:effectExtent l="19050" t="19050" r="24130" b="24130"/>
            <wp:docPr id="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
                      <a:extLst>
                        <a:ext uri="{C183D7F6-B498-43B3-948B-1728B52AA6E4}">
                          <adec:decorative xmlns:adec="http://schemas.microsoft.com/office/drawing/2017/decorative" val="1"/>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23970" cy="1385570"/>
                    </a:xfrm>
                    <a:prstGeom prst="rect">
                      <a:avLst/>
                    </a:prstGeom>
                    <a:noFill/>
                    <a:ln w="6350" cmpd="sng">
                      <a:solidFill>
                        <a:srgbClr val="000000"/>
                      </a:solidFill>
                      <a:miter lim="800000"/>
                      <a:headEnd/>
                      <a:tailEnd/>
                    </a:ln>
                    <a:effectLst/>
                  </pic:spPr>
                </pic:pic>
              </a:graphicData>
            </a:graphic>
          </wp:inline>
        </w:drawing>
      </w:r>
    </w:p>
    <w:p w14:paraId="6400E9D6" w14:textId="77777777" w:rsidR="002F1554" w:rsidRDefault="002F1554" w:rsidP="002F1554">
      <w:pPr>
        <w:pStyle w:val="BodyText"/>
      </w:pPr>
      <w:r w:rsidRPr="00037A18">
        <w:t xml:space="preserve">Clicking </w:t>
      </w:r>
      <w:r w:rsidRPr="00037A18">
        <w:rPr>
          <w:b/>
        </w:rPr>
        <w:t>Yes</w:t>
      </w:r>
      <w:r w:rsidRPr="00037A18">
        <w:t xml:space="preserve"> will overwrite the existing file. Clicking </w:t>
      </w:r>
      <w:r w:rsidRPr="00037A18">
        <w:rPr>
          <w:b/>
        </w:rPr>
        <w:t>No</w:t>
      </w:r>
      <w:r w:rsidRPr="00037A18">
        <w:t xml:space="preserve"> will allow the user to specify a new name.</w:t>
      </w:r>
    </w:p>
    <w:p w14:paraId="1217AFC1" w14:textId="77777777" w:rsidR="00DC40FC" w:rsidRPr="00037A18" w:rsidRDefault="00A66B66" w:rsidP="00DC40FC">
      <w:pPr>
        <w:pStyle w:val="Heading3"/>
      </w:pPr>
      <w:r>
        <w:br w:type="page"/>
      </w:r>
      <w:bookmarkStart w:id="88" w:name="_Toc47516663"/>
      <w:r w:rsidR="00186E73">
        <w:lastRenderedPageBreak/>
        <w:t>Copying</w:t>
      </w:r>
      <w:r w:rsidR="00DC40FC">
        <w:t xml:space="preserve"> an Exported Report</w:t>
      </w:r>
      <w:bookmarkEnd w:id="88"/>
    </w:p>
    <w:p w14:paraId="31BE4001" w14:textId="77777777" w:rsidR="00DC40FC" w:rsidRDefault="00DC40FC" w:rsidP="002F1554">
      <w:pPr>
        <w:pStyle w:val="BodyText"/>
      </w:pPr>
      <w:r>
        <w:t xml:space="preserve">Here are some tips for </w:t>
      </w:r>
      <w:r w:rsidR="00186E73">
        <w:t>copying</w:t>
      </w:r>
      <w:r>
        <w:t xml:space="preserve"> a file or folder of files from </w:t>
      </w:r>
      <w:r w:rsidR="00EF230F">
        <w:t>one location to another</w:t>
      </w:r>
      <w:r>
        <w:t>.</w:t>
      </w:r>
    </w:p>
    <w:p w14:paraId="6AAA2560" w14:textId="77777777" w:rsidR="005F536B" w:rsidRPr="005F536B" w:rsidRDefault="005F536B" w:rsidP="002F1554">
      <w:pPr>
        <w:pStyle w:val="BodyText"/>
        <w:rPr>
          <w:b/>
        </w:rPr>
      </w:pPr>
      <w:r w:rsidRPr="005F536B">
        <w:rPr>
          <w:b/>
        </w:rPr>
        <w:t>Before you begin:</w:t>
      </w:r>
    </w:p>
    <w:p w14:paraId="1C68CADD" w14:textId="77777777" w:rsidR="005F536B" w:rsidRDefault="005F536B" w:rsidP="000409B1">
      <w:pPr>
        <w:pStyle w:val="BodyText"/>
        <w:numPr>
          <w:ilvl w:val="0"/>
          <w:numId w:val="44"/>
        </w:numPr>
      </w:pPr>
      <w:r>
        <w:t xml:space="preserve">Verify that you or the person </w:t>
      </w:r>
      <w:r w:rsidR="00186E73">
        <w:t>copying</w:t>
      </w:r>
      <w:r>
        <w:t xml:space="preserve"> the file has pe</w:t>
      </w:r>
      <w:r w:rsidR="003C4FA9">
        <w:t xml:space="preserve">rmissions to access both the folder you are </w:t>
      </w:r>
      <w:r w:rsidR="00186E73">
        <w:t>copying</w:t>
      </w:r>
      <w:r w:rsidR="003C4FA9">
        <w:t xml:space="preserve"> files from and the folder you are </w:t>
      </w:r>
      <w:r w:rsidR="00186E73">
        <w:t>copying</w:t>
      </w:r>
      <w:r w:rsidR="003C4FA9">
        <w:t xml:space="preserve"> the files to</w:t>
      </w:r>
      <w:r>
        <w:t>.</w:t>
      </w:r>
    </w:p>
    <w:p w14:paraId="7B3B44D7" w14:textId="77777777" w:rsidR="005F536B" w:rsidRDefault="005F536B" w:rsidP="000409B1">
      <w:pPr>
        <w:pStyle w:val="BodyText"/>
        <w:numPr>
          <w:ilvl w:val="0"/>
          <w:numId w:val="44"/>
        </w:numPr>
      </w:pPr>
      <w:r>
        <w:t>Determine the type of file (i.e., PDF, Word or Excel) you want to use for you</w:t>
      </w:r>
      <w:r w:rsidR="003C4FA9">
        <w:t>r</w:t>
      </w:r>
      <w:r>
        <w:t xml:space="preserve"> local document before you export. Do not change the file type during this process.</w:t>
      </w:r>
    </w:p>
    <w:p w14:paraId="2BCCF407" w14:textId="2C2D78FD" w:rsidR="005F536B" w:rsidRDefault="005F536B" w:rsidP="005F536B">
      <w:pPr>
        <w:pStyle w:val="BodyText"/>
      </w:pPr>
      <w:r>
        <w:t>You may have a shortcut defined on your desktop that opens the report export folder on the server. This allows you to open files on the server on your loca</w:t>
      </w:r>
      <w:r w:rsidR="008E79E8">
        <w:t xml:space="preserve">l PC (see the </w:t>
      </w:r>
      <w:r w:rsidR="008E79E8" w:rsidRPr="008E79E8">
        <w:rPr>
          <w:i/>
        </w:rPr>
        <w:t xml:space="preserve">VBECS </w:t>
      </w:r>
      <w:r w:rsidR="00531617">
        <w:rPr>
          <w:i/>
        </w:rPr>
        <w:t>2.3.</w:t>
      </w:r>
      <w:r w:rsidR="00AD5990">
        <w:rPr>
          <w:i/>
        </w:rPr>
        <w:t>2</w:t>
      </w:r>
      <w:r w:rsidR="00531617">
        <w:rPr>
          <w:i/>
        </w:rPr>
        <w:t xml:space="preserve"> </w:t>
      </w:r>
      <w:r w:rsidR="008E79E8" w:rsidRPr="008E79E8">
        <w:rPr>
          <w:i/>
        </w:rPr>
        <w:t>Technical Manual-Security Guide</w:t>
      </w:r>
      <w:r w:rsidR="008E79E8">
        <w:t xml:space="preserve"> for </w:t>
      </w:r>
      <w:r w:rsidR="00E90A01">
        <w:t>additional</w:t>
      </w:r>
      <w:r w:rsidR="008E79E8">
        <w:t xml:space="preserve"> information).</w:t>
      </w:r>
    </w:p>
    <w:p w14:paraId="206A0B5A" w14:textId="77777777" w:rsidR="005F536B" w:rsidRPr="006E65B3" w:rsidRDefault="005F536B" w:rsidP="005F536B">
      <w:pPr>
        <w:pStyle w:val="BodyText"/>
      </w:pPr>
      <w:r w:rsidRPr="006E65B3">
        <w:rPr>
          <w:b/>
        </w:rPr>
        <w:t>Option One</w:t>
      </w:r>
      <w:r w:rsidR="0044329E" w:rsidRPr="006E65B3">
        <w:rPr>
          <w:b/>
        </w:rPr>
        <w:t xml:space="preserve">: </w:t>
      </w:r>
      <w:r w:rsidR="0044329E" w:rsidRPr="006E65B3">
        <w:t xml:space="preserve">Drag and drop a copy of the file in </w:t>
      </w:r>
      <w:r w:rsidR="00EB17AC" w:rsidRPr="006E65B3">
        <w:t>“</w:t>
      </w:r>
      <w:r w:rsidR="0044329E" w:rsidRPr="006E65B3">
        <w:t>MY LOCAL FOLDER</w:t>
      </w:r>
      <w:r w:rsidR="00EB17AC" w:rsidRPr="006E65B3">
        <w:t>”</w:t>
      </w:r>
      <w:r w:rsidR="0044329E" w:rsidRPr="006E65B3">
        <w:t>.</w:t>
      </w:r>
    </w:p>
    <w:p w14:paraId="1F422C2D" w14:textId="77777777" w:rsidR="0044329E" w:rsidRPr="006E65B3" w:rsidRDefault="0044329E" w:rsidP="005F536B">
      <w:pPr>
        <w:pStyle w:val="BodyText"/>
      </w:pPr>
      <w:r w:rsidRPr="006E65B3">
        <w:t xml:space="preserve">This works well when you do not need to change the file name when </w:t>
      </w:r>
      <w:r w:rsidR="00EF230F" w:rsidRPr="006E65B3">
        <w:t>placing</w:t>
      </w:r>
      <w:r w:rsidRPr="006E65B3">
        <w:t xml:space="preserve"> it in your local folder.</w:t>
      </w:r>
    </w:p>
    <w:p w14:paraId="48A581D4" w14:textId="77777777" w:rsidR="0044329E" w:rsidRPr="006E65B3" w:rsidRDefault="0044329E" w:rsidP="0044329E">
      <w:pPr>
        <w:pStyle w:val="ListNumber2"/>
        <w:rPr>
          <w:sz w:val="22"/>
          <w:szCs w:val="22"/>
        </w:rPr>
      </w:pPr>
      <w:r w:rsidRPr="006E65B3">
        <w:rPr>
          <w:sz w:val="22"/>
          <w:szCs w:val="22"/>
        </w:rPr>
        <w:t xml:space="preserve">When in ‘Windows Explorer’ (not Internet Explorer), left-click on the file and </w:t>
      </w:r>
      <w:r w:rsidR="00EF230F" w:rsidRPr="006E65B3">
        <w:rPr>
          <w:sz w:val="22"/>
          <w:szCs w:val="22"/>
        </w:rPr>
        <w:t>while</w:t>
      </w:r>
      <w:r w:rsidRPr="006E65B3">
        <w:rPr>
          <w:sz w:val="22"/>
          <w:szCs w:val="22"/>
        </w:rPr>
        <w:t xml:space="preserve"> </w:t>
      </w:r>
      <w:r w:rsidR="00EF230F" w:rsidRPr="006E65B3">
        <w:rPr>
          <w:sz w:val="22"/>
          <w:szCs w:val="22"/>
        </w:rPr>
        <w:t>holding down</w:t>
      </w:r>
      <w:r w:rsidRPr="006E65B3">
        <w:rPr>
          <w:sz w:val="22"/>
          <w:szCs w:val="22"/>
        </w:rPr>
        <w:t xml:space="preserve"> the mouse button, drag the file to </w:t>
      </w:r>
      <w:r w:rsidR="003C4FA9">
        <w:rPr>
          <w:sz w:val="22"/>
          <w:szCs w:val="22"/>
        </w:rPr>
        <w:t>the destination</w:t>
      </w:r>
      <w:r w:rsidRPr="006E65B3">
        <w:rPr>
          <w:sz w:val="22"/>
          <w:szCs w:val="22"/>
        </w:rPr>
        <w:t xml:space="preserve"> folder.</w:t>
      </w:r>
    </w:p>
    <w:p w14:paraId="107286CC" w14:textId="77777777" w:rsidR="0044329E" w:rsidRPr="006E65B3" w:rsidRDefault="0044329E" w:rsidP="0044329E">
      <w:pPr>
        <w:pStyle w:val="ListNumber2"/>
        <w:rPr>
          <w:sz w:val="22"/>
          <w:szCs w:val="22"/>
        </w:rPr>
      </w:pPr>
      <w:r w:rsidRPr="006E65B3">
        <w:rPr>
          <w:sz w:val="22"/>
          <w:szCs w:val="22"/>
        </w:rPr>
        <w:t xml:space="preserve">Release the left mouse button when hovering over </w:t>
      </w:r>
      <w:r w:rsidR="00EB17AC" w:rsidRPr="006E65B3">
        <w:rPr>
          <w:sz w:val="22"/>
          <w:szCs w:val="22"/>
        </w:rPr>
        <w:t>“</w:t>
      </w:r>
      <w:r w:rsidRPr="006E65B3">
        <w:rPr>
          <w:sz w:val="22"/>
          <w:szCs w:val="22"/>
        </w:rPr>
        <w:t>MY LOCAL FOLDER</w:t>
      </w:r>
      <w:r w:rsidR="00EB17AC" w:rsidRPr="006E65B3">
        <w:rPr>
          <w:sz w:val="22"/>
          <w:szCs w:val="22"/>
        </w:rPr>
        <w:t>”</w:t>
      </w:r>
      <w:r w:rsidRPr="006E65B3">
        <w:rPr>
          <w:sz w:val="22"/>
          <w:szCs w:val="22"/>
        </w:rPr>
        <w:t xml:space="preserve">. The file may </w:t>
      </w:r>
      <w:r w:rsidR="00186E73">
        <w:rPr>
          <w:sz w:val="22"/>
          <w:szCs w:val="22"/>
        </w:rPr>
        <w:t>copy</w:t>
      </w:r>
      <w:r w:rsidRPr="006E65B3">
        <w:rPr>
          <w:sz w:val="22"/>
          <w:szCs w:val="22"/>
        </w:rPr>
        <w:t xml:space="preserve"> without any notification or may have a copying window appear if it is a large file.</w:t>
      </w:r>
    </w:p>
    <w:p w14:paraId="14A9FF5A" w14:textId="77777777" w:rsidR="0044329E" w:rsidRPr="006E65B3" w:rsidRDefault="00EB17AC" w:rsidP="0044329E">
      <w:pPr>
        <w:pStyle w:val="ListNumber2"/>
        <w:rPr>
          <w:sz w:val="22"/>
          <w:szCs w:val="22"/>
        </w:rPr>
      </w:pPr>
      <w:r w:rsidRPr="006E65B3">
        <w:rPr>
          <w:sz w:val="22"/>
          <w:szCs w:val="22"/>
        </w:rPr>
        <w:t>Skip to Step 3 of Option Two.</w:t>
      </w:r>
    </w:p>
    <w:p w14:paraId="58B5DEDC" w14:textId="77777777" w:rsidR="00186E73" w:rsidRDefault="00186E73" w:rsidP="00EB17AC">
      <w:pPr>
        <w:pStyle w:val="BodyText"/>
        <w:rPr>
          <w:b/>
        </w:rPr>
      </w:pPr>
    </w:p>
    <w:p w14:paraId="54337C7B" w14:textId="77777777" w:rsidR="00EB17AC" w:rsidRDefault="00A66B66" w:rsidP="00EB17AC">
      <w:pPr>
        <w:pStyle w:val="BodyText"/>
      </w:pPr>
      <w:r>
        <w:rPr>
          <w:b/>
        </w:rPr>
        <w:br w:type="page"/>
      </w:r>
      <w:r w:rsidR="00EB17AC" w:rsidRPr="0044329E">
        <w:rPr>
          <w:b/>
        </w:rPr>
        <w:lastRenderedPageBreak/>
        <w:t xml:space="preserve">Option </w:t>
      </w:r>
      <w:r w:rsidR="00EB17AC">
        <w:rPr>
          <w:b/>
        </w:rPr>
        <w:t xml:space="preserve">Two: </w:t>
      </w:r>
      <w:r w:rsidR="00EB17AC">
        <w:t>Open the document and save a copy to another file.</w:t>
      </w:r>
    </w:p>
    <w:p w14:paraId="563B5D5D" w14:textId="77777777" w:rsidR="00EB17AC" w:rsidRPr="00A66B66" w:rsidRDefault="00EB17AC" w:rsidP="000409B1">
      <w:pPr>
        <w:pStyle w:val="ListNumber2"/>
        <w:numPr>
          <w:ilvl w:val="0"/>
          <w:numId w:val="46"/>
        </w:numPr>
        <w:rPr>
          <w:sz w:val="22"/>
          <w:szCs w:val="22"/>
        </w:rPr>
      </w:pPr>
      <w:r w:rsidRPr="00A66B66">
        <w:rPr>
          <w:sz w:val="22"/>
          <w:szCs w:val="22"/>
        </w:rPr>
        <w:t>Open the document from the server folder.</w:t>
      </w:r>
    </w:p>
    <w:p w14:paraId="3E799B17" w14:textId="77777777" w:rsidR="00EB17AC" w:rsidRPr="00A66B66" w:rsidRDefault="00EB17AC" w:rsidP="000409B1">
      <w:pPr>
        <w:pStyle w:val="ListNumber2"/>
        <w:numPr>
          <w:ilvl w:val="0"/>
          <w:numId w:val="46"/>
        </w:numPr>
        <w:rPr>
          <w:sz w:val="22"/>
          <w:szCs w:val="22"/>
        </w:rPr>
      </w:pPr>
      <w:r w:rsidRPr="00A66B66">
        <w:rPr>
          <w:sz w:val="22"/>
          <w:szCs w:val="22"/>
        </w:rPr>
        <w:t xml:space="preserve">Select the </w:t>
      </w:r>
      <w:r w:rsidRPr="00A66B66">
        <w:rPr>
          <w:b/>
          <w:sz w:val="22"/>
          <w:szCs w:val="22"/>
        </w:rPr>
        <w:t>Save As</w:t>
      </w:r>
      <w:r w:rsidRPr="00A66B66">
        <w:rPr>
          <w:sz w:val="22"/>
          <w:szCs w:val="22"/>
        </w:rPr>
        <w:t xml:space="preserve"> option and then the local folder, which in this example is called MY LOCAL FOLDER.</w:t>
      </w:r>
    </w:p>
    <w:p w14:paraId="5A3FA72F" w14:textId="77777777" w:rsidR="00CB1989" w:rsidRPr="00A66B66" w:rsidRDefault="00CB1989" w:rsidP="00CB1989">
      <w:pPr>
        <w:pStyle w:val="ListNumber2"/>
        <w:numPr>
          <w:ilvl w:val="0"/>
          <w:numId w:val="0"/>
        </w:numPr>
        <w:ind w:left="720"/>
        <w:rPr>
          <w:sz w:val="22"/>
          <w:szCs w:val="22"/>
        </w:rPr>
      </w:pPr>
    </w:p>
    <w:p w14:paraId="56FD8A25" w14:textId="6950F1FE" w:rsidR="00CB1989" w:rsidRPr="00A66B66" w:rsidRDefault="00CB1989" w:rsidP="00CB1989">
      <w:pPr>
        <w:pStyle w:val="ListNumber2"/>
        <w:numPr>
          <w:ilvl w:val="0"/>
          <w:numId w:val="0"/>
        </w:numPr>
        <w:ind w:left="720"/>
        <w:rPr>
          <w:sz w:val="22"/>
          <w:szCs w:val="22"/>
        </w:rPr>
      </w:pPr>
      <w:r w:rsidRPr="00A66B66">
        <w:rPr>
          <w:sz w:val="22"/>
          <w:szCs w:val="22"/>
        </w:rPr>
        <w:t>You may edit the file name at this point. The name you use for the file in your local folder should be something that allows you to manage those files as you use them. You can name the exported file accordingly or edit the file name in your local folder. A generic file name allows you to save and refresh the information. It may be appropriate for something like the Cumulative Transfusion Requirements report (</w:t>
      </w:r>
      <w:r w:rsidR="00186E73" w:rsidRPr="00A66B66">
        <w:rPr>
          <w:sz w:val="22"/>
          <w:szCs w:val="22"/>
        </w:rPr>
        <w:fldChar w:fldCharType="begin"/>
      </w:r>
      <w:r w:rsidR="00186E73" w:rsidRPr="00A66B66">
        <w:rPr>
          <w:sz w:val="22"/>
          <w:szCs w:val="22"/>
        </w:rPr>
        <w:instrText xml:space="preserve"> REF _Ref414957839 \h </w:instrText>
      </w:r>
      <w:r w:rsidR="00A66B66">
        <w:rPr>
          <w:sz w:val="22"/>
          <w:szCs w:val="22"/>
        </w:rPr>
        <w:instrText xml:space="preserve"> \* MERGEFORMAT </w:instrText>
      </w:r>
      <w:r w:rsidR="00186E73" w:rsidRPr="00A66B66">
        <w:rPr>
          <w:sz w:val="22"/>
          <w:szCs w:val="22"/>
        </w:rPr>
      </w:r>
      <w:r w:rsidR="00186E73" w:rsidRPr="00A66B66">
        <w:rPr>
          <w:sz w:val="22"/>
          <w:szCs w:val="22"/>
        </w:rPr>
        <w:fldChar w:fldCharType="separate"/>
      </w:r>
      <w:r w:rsidR="004353ED" w:rsidRPr="004353ED">
        <w:rPr>
          <w:sz w:val="22"/>
          <w:szCs w:val="22"/>
        </w:rPr>
        <w:t xml:space="preserve">Figure </w:t>
      </w:r>
      <w:r w:rsidR="004353ED" w:rsidRPr="004353ED">
        <w:rPr>
          <w:noProof/>
          <w:sz w:val="22"/>
          <w:szCs w:val="22"/>
        </w:rPr>
        <w:t>18</w:t>
      </w:r>
      <w:r w:rsidR="00186E73" w:rsidRPr="00A66B66">
        <w:rPr>
          <w:sz w:val="22"/>
          <w:szCs w:val="22"/>
        </w:rPr>
        <w:fldChar w:fldCharType="end"/>
      </w:r>
      <w:r w:rsidRPr="00A66B66">
        <w:rPr>
          <w:sz w:val="22"/>
          <w:szCs w:val="22"/>
        </w:rPr>
        <w:t>).</w:t>
      </w:r>
    </w:p>
    <w:p w14:paraId="57A97FA3" w14:textId="51B2FD02" w:rsidR="00CB1989" w:rsidRPr="00A66B66" w:rsidRDefault="00CB1989" w:rsidP="00CB1989">
      <w:pPr>
        <w:pStyle w:val="Caption"/>
      </w:pPr>
      <w:bookmarkStart w:id="89" w:name="_Ref414957839"/>
      <w:r w:rsidRPr="00A66B66">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18</w:t>
      </w:r>
      <w:r w:rsidR="004E20BD">
        <w:rPr>
          <w:noProof/>
        </w:rPr>
        <w:fldChar w:fldCharType="end"/>
      </w:r>
      <w:bookmarkEnd w:id="89"/>
      <w:r w:rsidRPr="00A66B66">
        <w:t>: Example of File Name</w:t>
      </w:r>
    </w:p>
    <w:p w14:paraId="1C927406" w14:textId="77777777" w:rsidR="00CB1989" w:rsidRPr="00CB1989" w:rsidRDefault="00057948" w:rsidP="00CB1989">
      <w:pPr>
        <w:pStyle w:val="BodyText"/>
      </w:pPr>
      <w:r>
        <w:rPr>
          <w:noProof/>
          <w:sz w:val="24"/>
          <w:szCs w:val="24"/>
        </w:rPr>
        <w:drawing>
          <wp:inline distT="0" distB="0" distL="0" distR="0" wp14:anchorId="4D5AB5EE" wp14:editId="2EABEB6C">
            <wp:extent cx="3565525" cy="332740"/>
            <wp:effectExtent l="19050" t="19050" r="15875" b="10160"/>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65525" cy="332740"/>
                    </a:xfrm>
                    <a:prstGeom prst="rect">
                      <a:avLst/>
                    </a:prstGeom>
                    <a:solidFill>
                      <a:srgbClr val="000000"/>
                    </a:solidFill>
                    <a:ln w="12700" cmpd="sng">
                      <a:solidFill>
                        <a:srgbClr val="000000"/>
                      </a:solidFill>
                      <a:miter lim="800000"/>
                      <a:headEnd/>
                      <a:tailEnd/>
                    </a:ln>
                    <a:effectLst/>
                  </pic:spPr>
                </pic:pic>
              </a:graphicData>
            </a:graphic>
          </wp:inline>
        </w:drawing>
      </w:r>
    </w:p>
    <w:p w14:paraId="3979BB8F" w14:textId="4800A7FA" w:rsidR="00CB1989" w:rsidRPr="006E65B3" w:rsidRDefault="00CB1989" w:rsidP="00CB1989">
      <w:pPr>
        <w:pStyle w:val="ListNumber2"/>
        <w:numPr>
          <w:ilvl w:val="0"/>
          <w:numId w:val="0"/>
        </w:numPr>
        <w:ind w:left="720"/>
        <w:rPr>
          <w:sz w:val="22"/>
          <w:szCs w:val="22"/>
        </w:rPr>
      </w:pPr>
      <w:r w:rsidRPr="006E65B3">
        <w:rPr>
          <w:sz w:val="22"/>
          <w:szCs w:val="22"/>
        </w:rPr>
        <w:t>You may also opt to save with a date in the file name to allow a snapshot report for historic purposes (</w:t>
      </w:r>
      <w:r w:rsidR="00EF230F" w:rsidRPr="006E65B3">
        <w:rPr>
          <w:sz w:val="22"/>
          <w:szCs w:val="22"/>
        </w:rPr>
        <w:fldChar w:fldCharType="begin"/>
      </w:r>
      <w:r w:rsidR="00EF230F" w:rsidRPr="006E65B3">
        <w:rPr>
          <w:sz w:val="22"/>
          <w:szCs w:val="22"/>
        </w:rPr>
        <w:instrText xml:space="preserve"> REF _Ref414957853 \h </w:instrText>
      </w:r>
      <w:r w:rsidR="006E65B3">
        <w:rPr>
          <w:sz w:val="22"/>
          <w:szCs w:val="22"/>
        </w:rPr>
        <w:instrText xml:space="preserve"> \* MERGEFORMAT </w:instrText>
      </w:r>
      <w:r w:rsidR="00EF230F" w:rsidRPr="006E65B3">
        <w:rPr>
          <w:sz w:val="22"/>
          <w:szCs w:val="22"/>
        </w:rPr>
      </w:r>
      <w:r w:rsidR="00EF230F" w:rsidRPr="006E65B3">
        <w:rPr>
          <w:sz w:val="22"/>
          <w:szCs w:val="22"/>
        </w:rPr>
        <w:fldChar w:fldCharType="separate"/>
      </w:r>
      <w:r w:rsidR="004353ED" w:rsidRPr="004353ED">
        <w:rPr>
          <w:sz w:val="22"/>
          <w:szCs w:val="22"/>
        </w:rPr>
        <w:t xml:space="preserve">Figure </w:t>
      </w:r>
      <w:r w:rsidR="004353ED" w:rsidRPr="004353ED">
        <w:rPr>
          <w:noProof/>
          <w:sz w:val="22"/>
          <w:szCs w:val="22"/>
        </w:rPr>
        <w:t>19</w:t>
      </w:r>
      <w:r w:rsidR="00EF230F" w:rsidRPr="006E65B3">
        <w:rPr>
          <w:sz w:val="22"/>
          <w:szCs w:val="22"/>
        </w:rPr>
        <w:fldChar w:fldCharType="end"/>
      </w:r>
      <w:r w:rsidRPr="006E65B3">
        <w:rPr>
          <w:sz w:val="22"/>
          <w:szCs w:val="22"/>
        </w:rPr>
        <w:t>).</w:t>
      </w:r>
    </w:p>
    <w:p w14:paraId="0E1D2B54" w14:textId="1B99312E" w:rsidR="00CB1989" w:rsidRPr="006E65B3" w:rsidRDefault="00CB1989" w:rsidP="00CB1989">
      <w:pPr>
        <w:pStyle w:val="Caption"/>
      </w:pPr>
      <w:bookmarkStart w:id="90" w:name="_Ref414957853"/>
      <w:r w:rsidRPr="006E65B3">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19</w:t>
      </w:r>
      <w:r w:rsidR="004E20BD">
        <w:rPr>
          <w:noProof/>
        </w:rPr>
        <w:fldChar w:fldCharType="end"/>
      </w:r>
      <w:bookmarkEnd w:id="90"/>
      <w:r w:rsidRPr="006E65B3">
        <w:t>: Example of Dated File Name</w:t>
      </w:r>
    </w:p>
    <w:p w14:paraId="1013E8D8" w14:textId="77777777" w:rsidR="00CB1989" w:rsidRPr="00CB1989" w:rsidRDefault="00057948" w:rsidP="00CB1989">
      <w:pPr>
        <w:pStyle w:val="BodyText"/>
      </w:pPr>
      <w:r>
        <w:rPr>
          <w:noProof/>
        </w:rPr>
        <w:drawing>
          <wp:inline distT="0" distB="0" distL="0" distR="0" wp14:anchorId="6FD2D980" wp14:editId="1473484F">
            <wp:extent cx="4036060" cy="304800"/>
            <wp:effectExtent l="19050" t="19050" r="21590" b="19050"/>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36060" cy="304800"/>
                    </a:xfrm>
                    <a:prstGeom prst="rect">
                      <a:avLst/>
                    </a:prstGeom>
                    <a:noFill/>
                    <a:ln w="12700" cmpd="sng">
                      <a:solidFill>
                        <a:srgbClr val="000000"/>
                      </a:solidFill>
                      <a:miter lim="800000"/>
                      <a:headEnd/>
                      <a:tailEnd/>
                    </a:ln>
                    <a:effectLst/>
                  </pic:spPr>
                </pic:pic>
              </a:graphicData>
            </a:graphic>
          </wp:inline>
        </w:drawing>
      </w:r>
    </w:p>
    <w:p w14:paraId="66D86A34" w14:textId="6CF3E905" w:rsidR="00CB1989" w:rsidRPr="006E65B3" w:rsidRDefault="00CB1989" w:rsidP="000409B1">
      <w:pPr>
        <w:pStyle w:val="ListNumber2"/>
        <w:numPr>
          <w:ilvl w:val="0"/>
          <w:numId w:val="46"/>
        </w:numPr>
        <w:rPr>
          <w:sz w:val="22"/>
          <w:szCs w:val="22"/>
        </w:rPr>
      </w:pPr>
      <w:r w:rsidRPr="006E65B3">
        <w:rPr>
          <w:sz w:val="22"/>
          <w:szCs w:val="22"/>
        </w:rPr>
        <w:t>Verify that “MY LOCAL FOLD</w:t>
      </w:r>
      <w:r w:rsidR="005E0472">
        <w:rPr>
          <w:sz w:val="22"/>
          <w:szCs w:val="22"/>
        </w:rPr>
        <w:t>E</w:t>
      </w:r>
      <w:r w:rsidRPr="006E65B3">
        <w:rPr>
          <w:sz w:val="22"/>
          <w:szCs w:val="22"/>
        </w:rPr>
        <w:t>R” contains the saved file. You can edit and save to this folder with those changes (</w:t>
      </w:r>
      <w:r w:rsidR="006E65B3" w:rsidRPr="006E65B3">
        <w:rPr>
          <w:sz w:val="22"/>
          <w:szCs w:val="22"/>
        </w:rPr>
        <w:fldChar w:fldCharType="begin"/>
      </w:r>
      <w:r w:rsidR="006E65B3" w:rsidRPr="006E65B3">
        <w:rPr>
          <w:sz w:val="22"/>
          <w:szCs w:val="22"/>
        </w:rPr>
        <w:instrText xml:space="preserve"> REF _Ref414957903 \h </w:instrText>
      </w:r>
      <w:r w:rsidR="006E65B3">
        <w:rPr>
          <w:sz w:val="22"/>
          <w:szCs w:val="22"/>
        </w:rPr>
        <w:instrText xml:space="preserve"> \* MERGEFORMAT </w:instrText>
      </w:r>
      <w:r w:rsidR="006E65B3" w:rsidRPr="006E65B3">
        <w:rPr>
          <w:sz w:val="22"/>
          <w:szCs w:val="22"/>
        </w:rPr>
      </w:r>
      <w:r w:rsidR="006E65B3" w:rsidRPr="006E65B3">
        <w:rPr>
          <w:sz w:val="22"/>
          <w:szCs w:val="22"/>
        </w:rPr>
        <w:fldChar w:fldCharType="separate"/>
      </w:r>
      <w:r w:rsidR="004353ED" w:rsidRPr="004353ED">
        <w:rPr>
          <w:sz w:val="22"/>
          <w:szCs w:val="22"/>
        </w:rPr>
        <w:t xml:space="preserve">Figure </w:t>
      </w:r>
      <w:r w:rsidR="004353ED" w:rsidRPr="004353ED">
        <w:rPr>
          <w:noProof/>
          <w:sz w:val="22"/>
          <w:szCs w:val="22"/>
        </w:rPr>
        <w:t>20</w:t>
      </w:r>
      <w:r w:rsidR="006E65B3" w:rsidRPr="006E65B3">
        <w:rPr>
          <w:sz w:val="22"/>
          <w:szCs w:val="22"/>
        </w:rPr>
        <w:fldChar w:fldCharType="end"/>
      </w:r>
      <w:r w:rsidRPr="006E65B3">
        <w:rPr>
          <w:sz w:val="22"/>
          <w:szCs w:val="22"/>
        </w:rPr>
        <w:t>). Unlike the server file, you may also delete this file.</w:t>
      </w:r>
    </w:p>
    <w:p w14:paraId="176F2E86" w14:textId="164F2487" w:rsidR="00CB1989" w:rsidRPr="006E65B3" w:rsidRDefault="00CB1989" w:rsidP="00CB1989">
      <w:pPr>
        <w:pStyle w:val="Caption"/>
      </w:pPr>
      <w:bookmarkStart w:id="91" w:name="_Ref414957903"/>
      <w:r w:rsidRPr="006E65B3">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20</w:t>
      </w:r>
      <w:r w:rsidR="004E20BD">
        <w:rPr>
          <w:noProof/>
        </w:rPr>
        <w:fldChar w:fldCharType="end"/>
      </w:r>
      <w:bookmarkEnd w:id="91"/>
      <w:r w:rsidRPr="006E65B3">
        <w:t>: Example of Saved File</w:t>
      </w:r>
    </w:p>
    <w:p w14:paraId="1F589828" w14:textId="77777777" w:rsidR="00DC40FC" w:rsidRDefault="00057948" w:rsidP="002F1554">
      <w:pPr>
        <w:pStyle w:val="BodyText"/>
      </w:pPr>
      <w:r>
        <w:rPr>
          <w:noProof/>
        </w:rPr>
        <w:drawing>
          <wp:inline distT="0" distB="0" distL="0" distR="0" wp14:anchorId="1AF21C31" wp14:editId="25A9A969">
            <wp:extent cx="4876800" cy="739140"/>
            <wp:effectExtent l="19050" t="19050" r="19050" b="22860"/>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extLst>
                        <a:ext uri="{C183D7F6-B498-43B3-948B-1728B52AA6E4}">
                          <adec:decorative xmlns:adec="http://schemas.microsoft.com/office/drawing/2017/decorative" val="1"/>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76800" cy="739140"/>
                    </a:xfrm>
                    <a:prstGeom prst="rect">
                      <a:avLst/>
                    </a:prstGeom>
                    <a:noFill/>
                    <a:ln w="12700" cmpd="sng">
                      <a:solidFill>
                        <a:srgbClr val="000000"/>
                      </a:solidFill>
                      <a:miter lim="800000"/>
                      <a:headEnd/>
                      <a:tailEnd/>
                    </a:ln>
                    <a:effectLst/>
                  </pic:spPr>
                </pic:pic>
              </a:graphicData>
            </a:graphic>
          </wp:inline>
        </w:drawing>
      </w:r>
    </w:p>
    <w:p w14:paraId="24D20954" w14:textId="77777777" w:rsidR="006A5B6D" w:rsidRPr="00382DF2" w:rsidRDefault="006A5B6D" w:rsidP="002F1554">
      <w:pPr>
        <w:pStyle w:val="BodyText"/>
      </w:pPr>
      <w:r w:rsidRPr="006A5B6D">
        <w:rPr>
          <w:b/>
        </w:rPr>
        <w:t>Note:</w:t>
      </w:r>
      <w:r>
        <w:t xml:space="preserve"> The copy of the file you save to your local folder is separate and does not update the file in the server folder.</w:t>
      </w:r>
    </w:p>
    <w:p w14:paraId="28BCAA58" w14:textId="77777777" w:rsidR="002A21AE" w:rsidRDefault="00A66B66">
      <w:pPr>
        <w:pStyle w:val="Heading2"/>
      </w:pPr>
      <w:bookmarkStart w:id="92" w:name="OLE_LINK45"/>
      <w:bookmarkStart w:id="93" w:name="OLE_LINK46"/>
      <w:r>
        <w:br w:type="page"/>
      </w:r>
      <w:bookmarkStart w:id="94" w:name="_Toc47516664"/>
      <w:bookmarkStart w:id="95" w:name="_Hlk4563316"/>
      <w:r w:rsidR="002A21AE">
        <w:lastRenderedPageBreak/>
        <w:t>Using VBECS</w:t>
      </w:r>
      <w:bookmarkEnd w:id="94"/>
      <w:r w:rsidR="002A21AE">
        <w:fldChar w:fldCharType="begin"/>
      </w:r>
      <w:r w:rsidR="002A21AE">
        <w:instrText xml:space="preserve"> XE </w:instrText>
      </w:r>
      <w:r w:rsidR="00FA7E65">
        <w:instrText>“</w:instrText>
      </w:r>
      <w:r w:rsidR="002A21AE">
        <w:instrText>Using VBECS</w:instrText>
      </w:r>
      <w:r w:rsidR="00FA7E65">
        <w:instrText>”</w:instrText>
      </w:r>
      <w:r w:rsidR="002A21AE">
        <w:instrText xml:space="preserve"> </w:instrText>
      </w:r>
      <w:r w:rsidR="002A21AE">
        <w:fldChar w:fldCharType="end"/>
      </w:r>
    </w:p>
    <w:p w14:paraId="68DFA8BD" w14:textId="77777777" w:rsidR="002A21AE" w:rsidRDefault="002A21AE" w:rsidP="00FA7E65">
      <w:pPr>
        <w:pStyle w:val="BodyText"/>
      </w:pPr>
      <w:bookmarkStart w:id="96" w:name="OLE_LINK37"/>
      <w:bookmarkStart w:id="97" w:name="OLE_LINK38"/>
      <w:r>
        <w:t xml:space="preserve">VBECS is a Windows-based application. </w:t>
      </w:r>
    </w:p>
    <w:p w14:paraId="67595265" w14:textId="77777777" w:rsidR="002A21AE" w:rsidRDefault="002A21AE" w:rsidP="00FA7E65">
      <w:pPr>
        <w:pStyle w:val="BodyText"/>
      </w:pPr>
      <w:r>
        <w:t>One VBEC</w:t>
      </w:r>
      <w:r w:rsidR="00434529">
        <w:t>S system</w:t>
      </w:r>
      <w:r>
        <w:t xml:space="preserve"> is implemented for each </w:t>
      </w:r>
      <w:r w:rsidR="000C7684" w:rsidRPr="000C7684">
        <w:rPr>
          <w:bCs/>
        </w:rPr>
        <w:t>VistA</w:t>
      </w:r>
      <w:r>
        <w:t xml:space="preserve"> database.</w:t>
      </w:r>
    </w:p>
    <w:p w14:paraId="68BAD092" w14:textId="77777777" w:rsidR="00F07C4D" w:rsidRDefault="00F07C4D" w:rsidP="00F05B26">
      <w:pPr>
        <w:pStyle w:val="BodyText"/>
      </w:pPr>
      <w:r>
        <w:t xml:space="preserve">Subject matter experts (SMEs) at user sites will help implement VBECS and train blood bank staff and </w:t>
      </w:r>
      <w:r w:rsidR="00443802" w:rsidRPr="00F05B26">
        <w:t xml:space="preserve">other </w:t>
      </w:r>
      <w:r w:rsidRPr="00F05B26">
        <w:t>authorized users.</w:t>
      </w:r>
    </w:p>
    <w:p w14:paraId="61E04FBF" w14:textId="2EEB11DF" w:rsidR="002A21AE" w:rsidRPr="00E86FBC" w:rsidRDefault="00200CB8" w:rsidP="00F05B26">
      <w:pPr>
        <w:numPr>
          <w:ilvl w:val="0"/>
          <w:numId w:val="97"/>
        </w:numPr>
        <w:spacing w:before="120" w:after="60"/>
        <w:rPr>
          <w:sz w:val="22"/>
          <w:szCs w:val="22"/>
        </w:rPr>
      </w:pPr>
      <w:r w:rsidRPr="00791497">
        <w:t xml:space="preserve">The VBECS </w:t>
      </w:r>
      <w:r w:rsidR="002A4CB4" w:rsidRPr="00791497">
        <w:t>SharePoint</w:t>
      </w:r>
      <w:r w:rsidRPr="00791497">
        <w:t xml:space="preserve"> site contains training, Frequently Asked Questions (FAQs)</w:t>
      </w:r>
      <w:r w:rsidR="00791497" w:rsidRPr="00791497">
        <w:t xml:space="preserve">, Technical Bulletins, </w:t>
      </w:r>
      <w:r w:rsidRPr="00791497">
        <w:t xml:space="preserve">ListServ </w:t>
      </w:r>
      <w:r w:rsidR="00F94855">
        <w:t>messages and sign up</w:t>
      </w:r>
      <w:r w:rsidR="00D00E0D">
        <w:t>, etc.</w:t>
      </w:r>
      <w:r w:rsidRPr="00791497">
        <w:t xml:space="preserve"> to support the implementation and use of VBECS</w:t>
      </w:r>
      <w:r w:rsidR="00434529">
        <w:t xml:space="preserve"> (</w:t>
      </w:r>
      <w:r w:rsidR="00E86FBC">
        <w:rPr>
          <w:highlight w:val="yellow"/>
        </w:rPr>
        <w:t>REDACTED</w:t>
      </w:r>
      <w:r w:rsidR="00EF2707">
        <w:t>)</w:t>
      </w:r>
      <w:r w:rsidRPr="00791497">
        <w:t>.</w:t>
      </w:r>
      <w:r w:rsidR="00F94855">
        <w:t xml:space="preserve"> </w:t>
      </w:r>
      <w:r w:rsidR="00C84BC5" w:rsidRPr="00F05B26">
        <w:t xml:space="preserve">Users may access links to </w:t>
      </w:r>
      <w:r w:rsidR="00F05B26" w:rsidRPr="00F05B26">
        <w:t xml:space="preserve">VBECS </w:t>
      </w:r>
      <w:r w:rsidR="00C84BC5" w:rsidRPr="00F05B26">
        <w:t xml:space="preserve">training </w:t>
      </w:r>
      <w:r w:rsidR="00FF50AC" w:rsidRPr="00F05B26">
        <w:t>modules</w:t>
      </w:r>
      <w:r w:rsidR="00F05B26" w:rsidRPr="00F05B26">
        <w:t xml:space="preserve"> and frequently asked questions, and join a ListServ (an email distribution list to manage discussion groups) for announcements and updates</w:t>
      </w:r>
      <w:r w:rsidR="00520684">
        <w:t xml:space="preserve"> on the VBECS </w:t>
      </w:r>
      <w:r w:rsidR="002A4CB4">
        <w:t>SharePoint</w:t>
      </w:r>
      <w:r w:rsidR="00520684">
        <w:t xml:space="preserve"> site</w:t>
      </w:r>
      <w:r w:rsidR="00F05B26" w:rsidRPr="00F05B26">
        <w:t>.</w:t>
      </w:r>
      <w:r w:rsidR="00C84BC5" w:rsidRPr="00F05B26">
        <w:t> Contact information is provided for comments and questions</w:t>
      </w:r>
      <w:bookmarkEnd w:id="92"/>
      <w:bookmarkEnd w:id="93"/>
      <w:r w:rsidR="00F05B26" w:rsidRPr="00F05B26">
        <w:t>.</w:t>
      </w:r>
    </w:p>
    <w:bookmarkEnd w:id="96"/>
    <w:bookmarkEnd w:id="97"/>
    <w:p w14:paraId="75604300" w14:textId="77777777" w:rsidR="00FF50AC" w:rsidRDefault="00FF50AC" w:rsidP="00FF50AC">
      <w:pPr>
        <w:pStyle w:val="Heading4"/>
      </w:pPr>
      <w:r>
        <w:t>Documentation</w:t>
      </w:r>
    </w:p>
    <w:p w14:paraId="08F7576E" w14:textId="28380A3C" w:rsidR="00FF50AC" w:rsidRDefault="00FF50AC" w:rsidP="00FF50AC">
      <w:pPr>
        <w:pStyle w:val="BodyText"/>
      </w:pPr>
      <w:r>
        <w:t>Users may retrieve VistA documentation from the VistA Documentation Library (VDL) Web page</w:t>
      </w:r>
      <w:r w:rsidR="005C277F">
        <w:t xml:space="preserve"> </w:t>
      </w:r>
      <w:hyperlink r:id="rId54" w:history="1">
        <w:r w:rsidR="00EF2707" w:rsidRPr="00267899">
          <w:rPr>
            <w:rStyle w:val="Hyperlink"/>
          </w:rPr>
          <w:t>https://www.va.gov/vdl/application.asp?appid=182</w:t>
        </w:r>
      </w:hyperlink>
      <w:r>
        <w:t>.</w:t>
      </w:r>
    </w:p>
    <w:p w14:paraId="13E1D754" w14:textId="1A8E8D15" w:rsidR="00524D66" w:rsidRDefault="00524D66" w:rsidP="00A479CC">
      <w:pPr>
        <w:pStyle w:val="Heading2"/>
      </w:pPr>
      <w:bookmarkStart w:id="98" w:name="_Options_at_a_Glance:_VBECS_and_Vist"/>
      <w:bookmarkStart w:id="99" w:name="_Toc47516665"/>
      <w:bookmarkEnd w:id="95"/>
      <w:bookmarkEnd w:id="98"/>
      <w:r>
        <w:t>Using Online Help</w:t>
      </w:r>
      <w:bookmarkEnd w:id="99"/>
      <w:r>
        <w:fldChar w:fldCharType="begin"/>
      </w:r>
      <w:r>
        <w:instrText xml:space="preserve"> XE "</w:instrText>
      </w:r>
      <w:r w:rsidRPr="00D0500B">
        <w:instrText>Using Online Help</w:instrText>
      </w:r>
      <w:r>
        <w:instrText xml:space="preserve">" </w:instrText>
      </w:r>
      <w:r>
        <w:fldChar w:fldCharType="end"/>
      </w:r>
    </w:p>
    <w:p w14:paraId="5A0E661D" w14:textId="39DB56C3" w:rsidR="006C04E6" w:rsidRDefault="00C57E2F" w:rsidP="009C0BE9">
      <w:pPr>
        <w:pStyle w:val="BodyText"/>
      </w:pPr>
      <w:r>
        <w:t xml:space="preserve">Select </w:t>
      </w:r>
      <w:r w:rsidR="00957F1C" w:rsidRPr="00C57E2F">
        <w:rPr>
          <w:b/>
        </w:rPr>
        <w:t>VBECS Help</w:t>
      </w:r>
      <w:r>
        <w:t xml:space="preserve"> from the Help menu</w:t>
      </w:r>
      <w:r w:rsidR="002118B0">
        <w:t xml:space="preserve"> (</w:t>
      </w:r>
      <w:r w:rsidR="006C04E6">
        <w:fldChar w:fldCharType="begin"/>
      </w:r>
      <w:r w:rsidR="006C04E6">
        <w:instrText xml:space="preserve"> REF _Ref138165913 \h </w:instrText>
      </w:r>
      <w:r w:rsidR="006C04E6">
        <w:fldChar w:fldCharType="separate"/>
      </w:r>
      <w:r w:rsidR="004353ED">
        <w:t xml:space="preserve">Figure </w:t>
      </w:r>
      <w:r w:rsidR="004353ED">
        <w:rPr>
          <w:noProof/>
        </w:rPr>
        <w:t>21</w:t>
      </w:r>
      <w:r w:rsidR="006C04E6">
        <w:fldChar w:fldCharType="end"/>
      </w:r>
      <w:r w:rsidR="002118B0">
        <w:t>)</w:t>
      </w:r>
      <w:r w:rsidR="00891BAC">
        <w:t>.</w:t>
      </w:r>
    </w:p>
    <w:p w14:paraId="75705401" w14:textId="1835F9AD" w:rsidR="00C17F7C" w:rsidRDefault="00C17F7C" w:rsidP="00C17F7C">
      <w:pPr>
        <w:pStyle w:val="Caption"/>
      </w:pPr>
      <w:bookmarkStart w:id="100" w:name="_Ref13816591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21</w:t>
      </w:r>
      <w:r w:rsidR="004E20BD">
        <w:rPr>
          <w:noProof/>
        </w:rPr>
        <w:fldChar w:fldCharType="end"/>
      </w:r>
      <w:bookmarkEnd w:id="100"/>
      <w:r>
        <w:t>: VBECS Help</w:t>
      </w:r>
    </w:p>
    <w:p w14:paraId="42E392AD" w14:textId="13C857D5" w:rsidR="009C0BE9" w:rsidRPr="00891BAC" w:rsidRDefault="00057948" w:rsidP="006128A6">
      <w:pPr>
        <w:pStyle w:val="BodyText"/>
      </w:pPr>
      <w:r>
        <w:rPr>
          <w:noProof/>
        </w:rPr>
        <w:drawing>
          <wp:inline distT="0" distB="0" distL="0" distR="0" wp14:anchorId="3715C156" wp14:editId="58A6C3D4">
            <wp:extent cx="6049645" cy="831215"/>
            <wp:effectExtent l="0" t="0" r="8255" b="6985"/>
            <wp:docPr id="42" name="Picture 42" descr="Fig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igure 2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49645" cy="831215"/>
                    </a:xfrm>
                    <a:prstGeom prst="rect">
                      <a:avLst/>
                    </a:prstGeom>
                    <a:noFill/>
                    <a:ln>
                      <a:noFill/>
                    </a:ln>
                  </pic:spPr>
                </pic:pic>
              </a:graphicData>
            </a:graphic>
          </wp:inline>
        </w:drawing>
      </w:r>
    </w:p>
    <w:p w14:paraId="2F7EC79F" w14:textId="2040066C" w:rsidR="009C0BE9" w:rsidRDefault="00DC5B95" w:rsidP="009C0BE9">
      <w:pPr>
        <w:pStyle w:val="BodyText"/>
      </w:pPr>
      <w:bookmarkStart w:id="101" w:name="_Ref138154110"/>
      <w:r>
        <w:br w:type="page"/>
      </w:r>
      <w:r w:rsidR="006C04E6">
        <w:lastRenderedPageBreak/>
        <w:t xml:space="preserve">Press the </w:t>
      </w:r>
      <w:r w:rsidR="006C04E6" w:rsidRPr="006C04E6">
        <w:rPr>
          <w:b/>
        </w:rPr>
        <w:t>F1 key</w:t>
      </w:r>
      <w:r w:rsidR="003F3892">
        <w:t xml:space="preserve"> to open</w:t>
      </w:r>
      <w:r w:rsidR="006C04E6">
        <w:t xml:space="preserve"> help </w:t>
      </w:r>
      <w:r w:rsidR="003F3892">
        <w:t xml:space="preserve">file </w:t>
      </w:r>
      <w:r w:rsidR="006C04E6">
        <w:t>(</w:t>
      </w:r>
      <w:r w:rsidR="006C04E6">
        <w:fldChar w:fldCharType="begin"/>
      </w:r>
      <w:r w:rsidR="006C04E6">
        <w:instrText xml:space="preserve"> REF _Ref138166056 \h </w:instrText>
      </w:r>
      <w:r w:rsidR="006C04E6">
        <w:fldChar w:fldCharType="separate"/>
      </w:r>
      <w:r w:rsidR="004353ED">
        <w:t xml:space="preserve">Figure </w:t>
      </w:r>
      <w:r w:rsidR="004353ED">
        <w:rPr>
          <w:noProof/>
        </w:rPr>
        <w:t>22</w:t>
      </w:r>
      <w:r w:rsidR="006C04E6">
        <w:fldChar w:fldCharType="end"/>
      </w:r>
      <w:r w:rsidR="003F3892">
        <w:t>).</w:t>
      </w:r>
    </w:p>
    <w:p w14:paraId="2DBCF142" w14:textId="42A15F70" w:rsidR="009C0BE9" w:rsidRDefault="009C0BE9" w:rsidP="009C0BE9">
      <w:pPr>
        <w:pStyle w:val="Caption"/>
      </w:pPr>
      <w:bookmarkStart w:id="102" w:name="_Ref13816605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22</w:t>
      </w:r>
      <w:r w:rsidR="004E20BD">
        <w:rPr>
          <w:noProof/>
        </w:rPr>
        <w:fldChar w:fldCharType="end"/>
      </w:r>
      <w:bookmarkEnd w:id="101"/>
      <w:bookmarkEnd w:id="102"/>
      <w:r w:rsidR="00650F0B">
        <w:t>: Example of Pressing F1 Key From A Specific Option</w:t>
      </w:r>
    </w:p>
    <w:p w14:paraId="08A5036F" w14:textId="3D817831" w:rsidR="00DB31A8" w:rsidRPr="00DB31A8" w:rsidRDefault="00DB31A8" w:rsidP="00DB31A8">
      <w:pPr>
        <w:pStyle w:val="BodyText"/>
      </w:pPr>
      <w:r>
        <w:rPr>
          <w:noProof/>
        </w:rPr>
        <w:drawing>
          <wp:inline distT="0" distB="0" distL="0" distR="0" wp14:anchorId="2AECB27D" wp14:editId="735A6E51">
            <wp:extent cx="5943600" cy="3409315"/>
            <wp:effectExtent l="0" t="0" r="0" b="635"/>
            <wp:docPr id="115" name="Picture 115" descr="cid:image002.png@01D58EFC.39207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58EFC.39207970"/>
                    <pic:cNvPicPr>
                      <a:picLocks noChangeAspect="1" noChangeArrowheads="1"/>
                    </pic:cNvPicPr>
                  </pic:nvPicPr>
                  <pic:blipFill>
                    <a:blip r:embed="rId56" r:link="rId57">
                      <a:extLst>
                        <a:ext uri="{28A0092B-C50C-407E-A947-70E740481C1C}">
                          <a14:useLocalDpi xmlns:a14="http://schemas.microsoft.com/office/drawing/2010/main" val="0"/>
                        </a:ext>
                      </a:extLst>
                    </a:blip>
                    <a:srcRect/>
                    <a:stretch>
                      <a:fillRect/>
                    </a:stretch>
                  </pic:blipFill>
                  <pic:spPr bwMode="auto">
                    <a:xfrm>
                      <a:off x="0" y="0"/>
                      <a:ext cx="5943600" cy="3409315"/>
                    </a:xfrm>
                    <a:prstGeom prst="rect">
                      <a:avLst/>
                    </a:prstGeom>
                    <a:noFill/>
                    <a:ln>
                      <a:noFill/>
                    </a:ln>
                  </pic:spPr>
                </pic:pic>
              </a:graphicData>
            </a:graphic>
          </wp:inline>
        </w:drawing>
      </w:r>
    </w:p>
    <w:p w14:paraId="168A7E25" w14:textId="6F470D30" w:rsidR="00532542" w:rsidRPr="00532542" w:rsidRDefault="00532542" w:rsidP="00532542">
      <w:pPr>
        <w:pStyle w:val="BodyText"/>
      </w:pPr>
    </w:p>
    <w:p w14:paraId="44804A4B" w14:textId="0DCF7385" w:rsidR="00AB0325" w:rsidRDefault="00AB0325" w:rsidP="00A815F7">
      <w:pPr>
        <w:pStyle w:val="BodyText"/>
      </w:pPr>
    </w:p>
    <w:p w14:paraId="08AEE682" w14:textId="77777777" w:rsidR="00E3453A" w:rsidRDefault="0079794A" w:rsidP="00615BD6">
      <w:pPr>
        <w:pStyle w:val="Heading3"/>
      </w:pPr>
      <w:r>
        <w:br w:type="page"/>
      </w:r>
    </w:p>
    <w:p w14:paraId="38CDB2BD" w14:textId="77777777" w:rsidR="00AB0325" w:rsidRDefault="00AB0325" w:rsidP="00352790">
      <w:pPr>
        <w:pStyle w:val="Heading3"/>
      </w:pPr>
      <w:bookmarkStart w:id="103" w:name="_Toc47516666"/>
      <w:r>
        <w:lastRenderedPageBreak/>
        <w:t>Search</w:t>
      </w:r>
      <w:r w:rsidR="00615BD6">
        <w:t>ing Using the Table of Contents</w:t>
      </w:r>
      <w:bookmarkEnd w:id="103"/>
      <w:r w:rsidR="006C04E6">
        <w:fldChar w:fldCharType="begin"/>
      </w:r>
      <w:r w:rsidR="006C04E6">
        <w:instrText xml:space="preserve"> XE "</w:instrText>
      </w:r>
      <w:r w:rsidR="006C04E6" w:rsidRPr="001246FE">
        <w:instrText>Search Tab</w:instrText>
      </w:r>
      <w:r w:rsidR="006C04E6">
        <w:instrText xml:space="preserve">" </w:instrText>
      </w:r>
      <w:r w:rsidR="006C04E6">
        <w:fldChar w:fldCharType="end"/>
      </w:r>
    </w:p>
    <w:p w14:paraId="6F54E025" w14:textId="15BED63F" w:rsidR="002C3957" w:rsidRPr="009D0CAA" w:rsidRDefault="009870B1" w:rsidP="009D0CAA">
      <w:pPr>
        <w:rPr>
          <w:sz w:val="22"/>
          <w:szCs w:val="22"/>
        </w:rPr>
      </w:pPr>
      <w:r>
        <w:rPr>
          <w:sz w:val="22"/>
          <w:szCs w:val="22"/>
        </w:rPr>
        <w:t xml:space="preserve">Scroll through the Table of Contents and </w:t>
      </w:r>
      <w:r w:rsidR="00615BD6">
        <w:rPr>
          <w:sz w:val="22"/>
          <w:szCs w:val="22"/>
        </w:rPr>
        <w:t>click</w:t>
      </w:r>
      <w:r w:rsidR="00615BD6" w:rsidRPr="00615BD6">
        <w:rPr>
          <w:sz w:val="22"/>
          <w:szCs w:val="22"/>
        </w:rPr>
        <w:t xml:space="preserve"> any Table of Contents </w:t>
      </w:r>
      <w:r>
        <w:rPr>
          <w:sz w:val="22"/>
          <w:szCs w:val="22"/>
        </w:rPr>
        <w:t>topic</w:t>
      </w:r>
      <w:r w:rsidR="00D549A4">
        <w:rPr>
          <w:sz w:val="22"/>
          <w:szCs w:val="22"/>
        </w:rPr>
        <w:t>/link</w:t>
      </w:r>
      <w:r>
        <w:rPr>
          <w:sz w:val="22"/>
          <w:szCs w:val="22"/>
        </w:rPr>
        <w:t xml:space="preserve"> to go </w:t>
      </w:r>
      <w:r w:rsidR="00615BD6">
        <w:rPr>
          <w:sz w:val="22"/>
          <w:szCs w:val="22"/>
        </w:rPr>
        <w:t xml:space="preserve">to the </w:t>
      </w:r>
      <w:r w:rsidR="00DE5A90">
        <w:rPr>
          <w:sz w:val="22"/>
          <w:szCs w:val="22"/>
        </w:rPr>
        <w:t>desired</w:t>
      </w:r>
      <w:r w:rsidR="00615BD6">
        <w:rPr>
          <w:sz w:val="22"/>
          <w:szCs w:val="22"/>
        </w:rPr>
        <w:t xml:space="preserve"> page.</w:t>
      </w:r>
    </w:p>
    <w:p w14:paraId="2627E594" w14:textId="6C13A5F7" w:rsidR="00877F00" w:rsidRPr="00D23470" w:rsidRDefault="00877F00" w:rsidP="00292BA5">
      <w:pPr>
        <w:pStyle w:val="Heading3"/>
        <w:rPr>
          <w:b w:val="0"/>
          <w:bCs w:val="0"/>
          <w:i/>
          <w:iCs/>
          <w:sz w:val="18"/>
        </w:rPr>
      </w:pPr>
      <w:bookmarkStart w:id="104" w:name="_Toc47516667"/>
      <w:bookmarkStart w:id="105" w:name="OLE_LINK39"/>
      <w:bookmarkStart w:id="106" w:name="OLE_LINK40"/>
      <w:r>
        <w:t>Viewing the VBECS Version Number</w:t>
      </w:r>
      <w:bookmarkEnd w:id="104"/>
      <w:r>
        <w:fldChar w:fldCharType="begin"/>
      </w:r>
      <w:r>
        <w:instrText xml:space="preserve"> XE “Viewing the VBECS Version Number” </w:instrText>
      </w:r>
      <w:r>
        <w:fldChar w:fldCharType="end"/>
      </w:r>
      <w:r w:rsidR="00263B38">
        <w:t xml:space="preserve"> </w:t>
      </w:r>
      <w:r w:rsidR="00637E48" w:rsidRPr="00637E48">
        <w:rPr>
          <w:rFonts w:ascii="Times New Roman" w:hAnsi="Times New Roman" w:cs="Times New Roman"/>
          <w:b w:val="0"/>
          <w:i/>
          <w:vanish/>
          <w:sz w:val="22"/>
          <w:szCs w:val="22"/>
        </w:rPr>
        <w:t>DR 4991</w:t>
      </w:r>
      <w:r w:rsidR="00637E48">
        <w:rPr>
          <w:rFonts w:ascii="Arial Bold" w:hAnsi="Arial Bold"/>
          <w:vanish/>
        </w:rPr>
        <w:t xml:space="preserve"> </w:t>
      </w:r>
      <w:r w:rsidR="00263B38" w:rsidRPr="00263B38">
        <w:rPr>
          <w:rFonts w:ascii="Times New Roman" w:hAnsi="Times New Roman" w:cs="Times New Roman"/>
          <w:b w:val="0"/>
          <w:i/>
          <w:vanish/>
          <w:sz w:val="22"/>
          <w:szCs w:val="22"/>
        </w:rPr>
        <w:t>Task 1297</w:t>
      </w:r>
    </w:p>
    <w:p w14:paraId="639F153D" w14:textId="77777777" w:rsidR="00D23470" w:rsidRPr="00D23470" w:rsidRDefault="00D23470" w:rsidP="00D23470">
      <w:pPr>
        <w:pStyle w:val="BodyText"/>
      </w:pPr>
      <w:r w:rsidRPr="00D23470">
        <w:t>In earlier VBECS patch releases, the user documentation referred to the VBECS versio</w:t>
      </w:r>
      <w:r w:rsidR="00BD658A">
        <w:t>n in a 4-digit format (e.g., 2.1.0.2 – where 2.1</w:t>
      </w:r>
      <w:r w:rsidRPr="00D23470">
        <w:t xml:space="preserve">.0 represents the patch version and </w:t>
      </w:r>
      <w:r w:rsidR="0055788D">
        <w:t xml:space="preserve">the last </w:t>
      </w:r>
      <w:r w:rsidR="00BD658A">
        <w:t>digit (</w:t>
      </w:r>
      <w:r w:rsidRPr="00D23470">
        <w:t>2</w:t>
      </w:r>
      <w:r w:rsidR="00BD658A">
        <w:t>)</w:t>
      </w:r>
      <w:r w:rsidRPr="00D23470">
        <w:t xml:space="preserve"> is the patch build number). The build number is used by VBECS Product Support for diagnostic and troubleshooting purposes.</w:t>
      </w:r>
    </w:p>
    <w:p w14:paraId="68FEA105" w14:textId="77777777" w:rsidR="00E51319" w:rsidRPr="00E51319" w:rsidRDefault="00E51319" w:rsidP="00E51319">
      <w:pPr>
        <w:pStyle w:val="BodyText"/>
        <w:rPr>
          <w:lang w:val="en"/>
        </w:rPr>
      </w:pPr>
      <w:bookmarkStart w:id="107" w:name="_Ref300821896"/>
      <w:bookmarkStart w:id="108" w:name="_Ref300821872"/>
      <w:r w:rsidRPr="00E51319">
        <w:t xml:space="preserve">The VBECS build number was changed starting with the VBECS 2.2.0 patch release. The new patch release number is now </w:t>
      </w:r>
      <w:r w:rsidRPr="00E51319">
        <w:rPr>
          <w:lang w:val="en"/>
        </w:rPr>
        <w:t>composed of four sets of numbers (a.k.a., elements), separated by periods in this format: “majorminor.patchcontent.days.time” (e.g., 0202.0001.5746.31276). The elements are defined in this manner:</w:t>
      </w:r>
    </w:p>
    <w:p w14:paraId="0B74312F"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major</w:t>
      </w:r>
      <w:r w:rsidRPr="00E51319">
        <w:rPr>
          <w:sz w:val="22"/>
          <w:szCs w:val="22"/>
          <w:lang w:val="en"/>
        </w:rPr>
        <w:t xml:space="preserve"> element is a two-digit number that is incremented when the functionality is significantly altered. </w:t>
      </w:r>
    </w:p>
    <w:p w14:paraId="038F8EED"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minor</w:t>
      </w:r>
      <w:r w:rsidRPr="00E51319">
        <w:rPr>
          <w:sz w:val="22"/>
          <w:szCs w:val="22"/>
          <w:lang w:val="en"/>
        </w:rPr>
        <w:t xml:space="preserve"> element is a two-digit number that is incremented for all other fixes or maintenance. </w:t>
      </w:r>
    </w:p>
    <w:p w14:paraId="356ACC13"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patch</w:t>
      </w:r>
      <w:r w:rsidRPr="00E51319">
        <w:rPr>
          <w:sz w:val="22"/>
          <w:szCs w:val="22"/>
          <w:lang w:val="en"/>
        </w:rPr>
        <w:t xml:space="preserve"> element is a two-digit number that is for emergency cases of a high priority that may impact the application’s production environment execution or processing capabilities. These changes are usually time sensitive and cannot be postponed to the next planned release.</w:t>
      </w:r>
    </w:p>
    <w:p w14:paraId="5D23D4A9"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content</w:t>
      </w:r>
      <w:r w:rsidRPr="00E51319">
        <w:rPr>
          <w:sz w:val="22"/>
          <w:szCs w:val="22"/>
          <w:lang w:val="en"/>
        </w:rPr>
        <w:t xml:space="preserve"> element is a two-digit number used to identify the need for a new build (e.g., scope increases, defect discovered, etc.).</w:t>
      </w:r>
    </w:p>
    <w:p w14:paraId="42A2367B"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days</w:t>
      </w:r>
      <w:r w:rsidRPr="00E51319">
        <w:rPr>
          <w:sz w:val="22"/>
          <w:szCs w:val="22"/>
          <w:lang w:val="en"/>
        </w:rPr>
        <w:t xml:space="preserve"> element is a four-digit number that is incremented daily and represents the number of days since January 1st 2000.</w:t>
      </w:r>
    </w:p>
    <w:p w14:paraId="6410D36A"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time</w:t>
      </w:r>
      <w:r w:rsidRPr="00E51319">
        <w:rPr>
          <w:sz w:val="22"/>
          <w:szCs w:val="22"/>
          <w:lang w:val="en"/>
        </w:rPr>
        <w:t xml:space="preserve"> element is a five-digit number that is calculated by taking the number of seconds since midnight local time (without taking into account time zone adjustments for daylight saving time), divided by 2.</w:t>
      </w:r>
    </w:p>
    <w:p w14:paraId="748B7554" w14:textId="77777777" w:rsidR="00E51319" w:rsidRPr="00E51319" w:rsidRDefault="00E51319" w:rsidP="00E51319">
      <w:pPr>
        <w:rPr>
          <w:sz w:val="22"/>
          <w:szCs w:val="22"/>
        </w:rPr>
      </w:pPr>
    </w:p>
    <w:p w14:paraId="2520FFF8" w14:textId="77777777" w:rsidR="00E51319" w:rsidRPr="00E51319" w:rsidRDefault="00E51319" w:rsidP="00E51319">
      <w:pPr>
        <w:rPr>
          <w:sz w:val="22"/>
          <w:szCs w:val="22"/>
        </w:rPr>
      </w:pPr>
      <w:r w:rsidRPr="00E51319">
        <w:rPr>
          <w:sz w:val="22"/>
          <w:szCs w:val="22"/>
        </w:rPr>
        <w:t>The first two numbers [&lt;MajorMinor&gt; and &lt;PatchContent&gt;] tell us the content/scope that we are building to (e.g., 0202.0001 which can be also referred to as 2.2.0.1).</w:t>
      </w:r>
    </w:p>
    <w:p w14:paraId="7E0888A9" w14:textId="77777777" w:rsidR="00E51319" w:rsidRPr="00E51319" w:rsidRDefault="00E51319" w:rsidP="00E51319">
      <w:pPr>
        <w:rPr>
          <w:sz w:val="22"/>
          <w:szCs w:val="22"/>
        </w:rPr>
      </w:pPr>
    </w:p>
    <w:p w14:paraId="286FA4BF" w14:textId="77777777" w:rsidR="00E51319" w:rsidRPr="00E51319" w:rsidRDefault="00E51319" w:rsidP="00E51319">
      <w:pPr>
        <w:rPr>
          <w:sz w:val="22"/>
          <w:szCs w:val="22"/>
        </w:rPr>
      </w:pPr>
      <w:r w:rsidRPr="00E51319">
        <w:rPr>
          <w:sz w:val="22"/>
          <w:szCs w:val="22"/>
        </w:rPr>
        <w:t>The last two numbers &lt;</w:t>
      </w:r>
      <w:r w:rsidRPr="00E51319">
        <w:rPr>
          <w:i/>
          <w:sz w:val="22"/>
          <w:szCs w:val="22"/>
        </w:rPr>
        <w:t>days</w:t>
      </w:r>
      <w:r w:rsidRPr="00E51319">
        <w:rPr>
          <w:sz w:val="22"/>
          <w:szCs w:val="22"/>
        </w:rPr>
        <w:t>&gt; and &lt;</w:t>
      </w:r>
      <w:r w:rsidRPr="00E51319">
        <w:rPr>
          <w:i/>
          <w:sz w:val="22"/>
          <w:szCs w:val="22"/>
        </w:rPr>
        <w:t>time&gt;</w:t>
      </w:r>
      <w:r w:rsidRPr="00E51319">
        <w:rPr>
          <w:sz w:val="22"/>
          <w:szCs w:val="22"/>
        </w:rPr>
        <w:t xml:space="preserve"> are automatically generated by the software used to perform the code builds and are unique for each build. These last 2 numbers along with the first two numbers formally identify the latest official build (e.g., 0202.0001.</w:t>
      </w:r>
      <w:r w:rsidRPr="00E51319">
        <w:rPr>
          <w:sz w:val="22"/>
          <w:szCs w:val="22"/>
          <w:lang w:val="en"/>
        </w:rPr>
        <w:t>5746.31276</w:t>
      </w:r>
      <w:r w:rsidRPr="00E51319">
        <w:rPr>
          <w:sz w:val="22"/>
          <w:szCs w:val="22"/>
        </w:rPr>
        <w:t>).</w:t>
      </w:r>
    </w:p>
    <w:p w14:paraId="5E0FF5D9" w14:textId="77777777" w:rsidR="00E51319" w:rsidRPr="00E51319" w:rsidRDefault="00E51319" w:rsidP="00E51319">
      <w:pPr>
        <w:rPr>
          <w:sz w:val="22"/>
          <w:szCs w:val="22"/>
        </w:rPr>
      </w:pPr>
    </w:p>
    <w:p w14:paraId="25576418" w14:textId="77777777" w:rsidR="00E51319" w:rsidRPr="00E51319" w:rsidRDefault="00E51319" w:rsidP="00E51319">
      <w:pPr>
        <w:rPr>
          <w:sz w:val="22"/>
          <w:szCs w:val="22"/>
        </w:rPr>
      </w:pPr>
      <w:r w:rsidRPr="00E51319">
        <w:rPr>
          <w:sz w:val="22"/>
          <w:szCs w:val="22"/>
        </w:rPr>
        <w:t>When it comes time to assign a new version number, the first four elements (major, minor, patch, content) are dependent on each other which means that when any of these four elements is incremented, all subsequent elements are reset as follows:</w:t>
      </w:r>
    </w:p>
    <w:p w14:paraId="24A7B387" w14:textId="77777777" w:rsidR="00E51319" w:rsidRPr="00E51319" w:rsidRDefault="00E51319" w:rsidP="000409B1">
      <w:pPr>
        <w:numPr>
          <w:ilvl w:val="0"/>
          <w:numId w:val="57"/>
        </w:numPr>
        <w:rPr>
          <w:sz w:val="22"/>
          <w:szCs w:val="22"/>
          <w:lang w:val="en"/>
        </w:rPr>
      </w:pPr>
      <w:r w:rsidRPr="00E51319">
        <w:rPr>
          <w:sz w:val="22"/>
          <w:szCs w:val="22"/>
          <w:lang w:val="en"/>
        </w:rPr>
        <w:t xml:space="preserve">At a major release start, the major number is incremented by one, the minor and patch numbers return to zero, the content number always returns to one, and the </w:t>
      </w:r>
      <w:r w:rsidRPr="00E51319">
        <w:rPr>
          <w:i/>
          <w:sz w:val="22"/>
          <w:szCs w:val="22"/>
          <w:lang w:val="en"/>
        </w:rPr>
        <w:t xml:space="preserve">days </w:t>
      </w:r>
      <w:r w:rsidRPr="00E51319">
        <w:rPr>
          <w:sz w:val="22"/>
          <w:szCs w:val="22"/>
          <w:lang w:val="en"/>
        </w:rPr>
        <w:t xml:space="preserve">and </w:t>
      </w:r>
      <w:r w:rsidRPr="00E51319">
        <w:rPr>
          <w:i/>
          <w:sz w:val="22"/>
          <w:szCs w:val="22"/>
          <w:lang w:val="en"/>
        </w:rPr>
        <w:t xml:space="preserve">time </w:t>
      </w:r>
      <w:r w:rsidRPr="00E51319">
        <w:rPr>
          <w:sz w:val="22"/>
          <w:szCs w:val="22"/>
          <w:lang w:val="en"/>
        </w:rPr>
        <w:t>numbers are regenerated using the build time (e.g., 0203.0303.</w:t>
      </w:r>
      <w:r w:rsidRPr="00E51319">
        <w:rPr>
          <w:i/>
          <w:sz w:val="22"/>
          <w:szCs w:val="22"/>
          <w:lang w:val="en"/>
        </w:rPr>
        <w:t>days</w:t>
      </w:r>
      <w:r w:rsidRPr="00E51319">
        <w:rPr>
          <w:sz w:val="22"/>
          <w:szCs w:val="22"/>
          <w:lang w:val="en"/>
        </w:rPr>
        <w:t>.</w:t>
      </w:r>
      <w:r w:rsidRPr="00E51319">
        <w:rPr>
          <w:i/>
          <w:sz w:val="22"/>
          <w:szCs w:val="22"/>
          <w:lang w:val="en"/>
        </w:rPr>
        <w:t xml:space="preserve">time </w:t>
      </w:r>
      <w:r w:rsidRPr="00E51319">
        <w:rPr>
          <w:sz w:val="22"/>
          <w:szCs w:val="22"/>
          <w:lang w:val="en"/>
        </w:rPr>
        <w:sym w:font="Wingdings" w:char="F0E0"/>
      </w:r>
      <w:r w:rsidRPr="00E51319">
        <w:rPr>
          <w:sz w:val="22"/>
          <w:szCs w:val="22"/>
          <w:lang w:val="en"/>
        </w:rPr>
        <w:t xml:space="preserve"> 0300.0001.</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 xml:space="preserve">). </w:t>
      </w:r>
    </w:p>
    <w:p w14:paraId="509F0E78" w14:textId="77777777" w:rsidR="00E51319" w:rsidRPr="00E51319" w:rsidRDefault="00E51319" w:rsidP="000409B1">
      <w:pPr>
        <w:numPr>
          <w:ilvl w:val="0"/>
          <w:numId w:val="57"/>
        </w:numPr>
        <w:rPr>
          <w:sz w:val="22"/>
          <w:szCs w:val="22"/>
          <w:lang w:val="en"/>
        </w:rPr>
      </w:pPr>
      <w:r w:rsidRPr="00E51319">
        <w:rPr>
          <w:sz w:val="22"/>
          <w:szCs w:val="22"/>
          <w:lang w:val="en"/>
        </w:rPr>
        <w:t xml:space="preserve">At a minor release start, the major number remains the same, the minor number is incremented by one, the patch number returns to zero and the content number returns to one, and the </w:t>
      </w:r>
      <w:r w:rsidRPr="00E51319">
        <w:rPr>
          <w:i/>
          <w:sz w:val="22"/>
          <w:szCs w:val="22"/>
          <w:lang w:val="en"/>
        </w:rPr>
        <w:t xml:space="preserve">days </w:t>
      </w:r>
      <w:r w:rsidRPr="00E51319">
        <w:rPr>
          <w:sz w:val="22"/>
          <w:szCs w:val="22"/>
          <w:lang w:val="en"/>
        </w:rPr>
        <w:t xml:space="preserve">and </w:t>
      </w:r>
      <w:r w:rsidRPr="00E51319">
        <w:rPr>
          <w:i/>
          <w:sz w:val="22"/>
          <w:szCs w:val="22"/>
          <w:lang w:val="en"/>
        </w:rPr>
        <w:t xml:space="preserve">time </w:t>
      </w:r>
      <w:r w:rsidRPr="00E51319">
        <w:rPr>
          <w:sz w:val="22"/>
          <w:szCs w:val="22"/>
          <w:lang w:val="en"/>
        </w:rPr>
        <w:t>numbers are regenerated using the build time (e.g., 0203.002.</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 xml:space="preserve"> </w:t>
      </w:r>
      <w:r w:rsidRPr="00E51319">
        <w:rPr>
          <w:sz w:val="22"/>
          <w:szCs w:val="22"/>
          <w:lang w:val="en"/>
        </w:rPr>
        <w:sym w:font="Wingdings" w:char="F0E0"/>
      </w:r>
      <w:r w:rsidRPr="00E51319">
        <w:rPr>
          <w:sz w:val="22"/>
          <w:szCs w:val="22"/>
          <w:lang w:val="en"/>
        </w:rPr>
        <w:t>0204.0001.</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 xml:space="preserve">). </w:t>
      </w:r>
    </w:p>
    <w:p w14:paraId="00FAF5ED" w14:textId="77777777" w:rsidR="00E51319" w:rsidRPr="00E51319" w:rsidRDefault="00E51319" w:rsidP="000409B1">
      <w:pPr>
        <w:numPr>
          <w:ilvl w:val="0"/>
          <w:numId w:val="57"/>
        </w:numPr>
        <w:rPr>
          <w:sz w:val="22"/>
          <w:szCs w:val="22"/>
          <w:lang w:val="en"/>
        </w:rPr>
      </w:pPr>
      <w:r w:rsidRPr="00E51319">
        <w:rPr>
          <w:sz w:val="22"/>
          <w:szCs w:val="22"/>
          <w:lang w:val="en"/>
        </w:rPr>
        <w:lastRenderedPageBreak/>
        <w:t xml:space="preserve">At a patch release start, the major and minor numbers remain the same, the patch number is incremented by one, the content number returns to one, and the </w:t>
      </w:r>
      <w:r w:rsidRPr="00E51319">
        <w:rPr>
          <w:i/>
          <w:sz w:val="22"/>
          <w:szCs w:val="22"/>
          <w:lang w:val="en"/>
        </w:rPr>
        <w:t xml:space="preserve">days </w:t>
      </w:r>
      <w:r w:rsidRPr="00E51319">
        <w:rPr>
          <w:sz w:val="22"/>
          <w:szCs w:val="22"/>
          <w:lang w:val="en"/>
        </w:rPr>
        <w:t xml:space="preserve">and </w:t>
      </w:r>
      <w:r w:rsidRPr="00E51319">
        <w:rPr>
          <w:i/>
          <w:sz w:val="22"/>
          <w:szCs w:val="22"/>
          <w:lang w:val="en"/>
        </w:rPr>
        <w:t xml:space="preserve">time </w:t>
      </w:r>
      <w:r w:rsidRPr="00E51319">
        <w:rPr>
          <w:sz w:val="22"/>
          <w:szCs w:val="22"/>
          <w:lang w:val="en"/>
        </w:rPr>
        <w:t>numbers are regenerated using the build time (e.g., 0204.0003.</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 xml:space="preserve"> </w:t>
      </w:r>
      <w:r w:rsidRPr="00E51319">
        <w:rPr>
          <w:sz w:val="22"/>
          <w:szCs w:val="22"/>
          <w:lang w:val="en"/>
        </w:rPr>
        <w:sym w:font="Wingdings" w:char="F0E0"/>
      </w:r>
      <w:r w:rsidRPr="00E51319">
        <w:rPr>
          <w:sz w:val="22"/>
          <w:szCs w:val="22"/>
          <w:lang w:val="en"/>
        </w:rPr>
        <w:t>0204.0101.</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w:t>
      </w:r>
    </w:p>
    <w:p w14:paraId="36B940E4" w14:textId="77777777" w:rsidR="00E51319" w:rsidRPr="00E51319" w:rsidRDefault="00E51319" w:rsidP="000409B1">
      <w:pPr>
        <w:numPr>
          <w:ilvl w:val="0"/>
          <w:numId w:val="57"/>
        </w:numPr>
        <w:rPr>
          <w:sz w:val="22"/>
          <w:szCs w:val="22"/>
          <w:lang w:val="en"/>
        </w:rPr>
      </w:pPr>
      <w:r w:rsidRPr="00E51319">
        <w:rPr>
          <w:sz w:val="22"/>
          <w:szCs w:val="22"/>
          <w:lang w:val="en"/>
        </w:rPr>
        <w:t xml:space="preserve">When new content/scope is being added, the content number is incremented by one (e.g., 0204.0003.days.time </w:t>
      </w:r>
      <w:r w:rsidRPr="00E51319">
        <w:rPr>
          <w:sz w:val="22"/>
          <w:szCs w:val="22"/>
          <w:lang w:val="en"/>
        </w:rPr>
        <w:sym w:font="Wingdings" w:char="F0E0"/>
      </w:r>
      <w:r w:rsidRPr="00E51319">
        <w:rPr>
          <w:sz w:val="22"/>
          <w:szCs w:val="22"/>
          <w:lang w:val="en"/>
        </w:rPr>
        <w:t>0204.0004.days.time).</w:t>
      </w:r>
    </w:p>
    <w:p w14:paraId="7BFB42B8" w14:textId="77777777" w:rsidR="00E51319" w:rsidRPr="00E51319" w:rsidRDefault="00E51319" w:rsidP="00E51319">
      <w:pPr>
        <w:rPr>
          <w:sz w:val="22"/>
          <w:szCs w:val="22"/>
          <w:lang w:val="en"/>
        </w:rPr>
      </w:pPr>
    </w:p>
    <w:p w14:paraId="713B749E" w14:textId="77777777" w:rsidR="00E51319" w:rsidRPr="00E51319" w:rsidRDefault="00E51319" w:rsidP="00E51319">
      <w:pPr>
        <w:rPr>
          <w:sz w:val="22"/>
          <w:szCs w:val="22"/>
        </w:rPr>
      </w:pPr>
      <w:r w:rsidRPr="00E51319">
        <w:rPr>
          <w:sz w:val="22"/>
          <w:szCs w:val="22"/>
        </w:rPr>
        <w:t>This patch release number methodology is specifically used for software identification while VBECS document titles use various elements of the software version number.</w:t>
      </w:r>
    </w:p>
    <w:p w14:paraId="10F5C145" w14:textId="77777777" w:rsidR="00E51319" w:rsidRPr="00E51319" w:rsidRDefault="00E51319" w:rsidP="00E51319">
      <w:pPr>
        <w:pStyle w:val="ListBullet"/>
        <w:numPr>
          <w:ilvl w:val="0"/>
          <w:numId w:val="0"/>
        </w:numPr>
        <w:ind w:left="360"/>
      </w:pPr>
    </w:p>
    <w:p w14:paraId="3F042EE3" w14:textId="77777777" w:rsidR="00E51319" w:rsidRPr="00E51319" w:rsidRDefault="00E51319" w:rsidP="00E51319">
      <w:pPr>
        <w:pStyle w:val="ListBullet"/>
        <w:numPr>
          <w:ilvl w:val="0"/>
          <w:numId w:val="0"/>
        </w:numPr>
      </w:pPr>
      <w:r w:rsidRPr="00E51319">
        <w:t xml:space="preserve">The revision letter tracks database-only updates (e.g., blood product table and canned comment updates). The revision letter is normally a single alpha character (e.g., C), but can be two characters (e.g., AA, AB, AC) in the unlikely event that more than 25 database updates are made before a code change is implemented. The revision letter starts at A with each new code change and is incremented to B when the first database-only update is made. The revision letter is then updated by one alpha character for every successive database-only update until a new code change is implemented at which time the revision letter reverts back to A. The version submitted for system testing will be revision A, but the version customers receive can be revision A, B or higher. </w:t>
      </w:r>
    </w:p>
    <w:p w14:paraId="1E87847F" w14:textId="77777777" w:rsidR="00E51319" w:rsidRPr="00E51319" w:rsidRDefault="00E51319" w:rsidP="00E51319">
      <w:pPr>
        <w:pStyle w:val="ListBullet"/>
        <w:numPr>
          <w:ilvl w:val="0"/>
          <w:numId w:val="0"/>
        </w:numPr>
      </w:pPr>
    </w:p>
    <w:p w14:paraId="4FF2C14B" w14:textId="634C66E3" w:rsidR="00E51319" w:rsidRPr="00E51319" w:rsidRDefault="00E51319" w:rsidP="00E51319">
      <w:pPr>
        <w:pStyle w:val="ListBullet"/>
        <w:numPr>
          <w:ilvl w:val="0"/>
          <w:numId w:val="0"/>
        </w:numPr>
      </w:pPr>
      <w:r w:rsidRPr="00E51319">
        <w:t xml:space="preserve">The VBECS </w:t>
      </w:r>
      <w:r w:rsidRPr="00E51319">
        <w:rPr>
          <w:b/>
        </w:rPr>
        <w:t>Help</w:t>
      </w:r>
      <w:r w:rsidRPr="00E51319">
        <w:t>,</w:t>
      </w:r>
      <w:r w:rsidRPr="00E51319">
        <w:rPr>
          <w:b/>
        </w:rPr>
        <w:t xml:space="preserve"> About VBECS</w:t>
      </w:r>
      <w:r w:rsidRPr="00E51319">
        <w:t xml:space="preserve"> window (</w:t>
      </w:r>
      <w:r w:rsidR="00FE67D6">
        <w:fldChar w:fldCharType="begin"/>
      </w:r>
      <w:r w:rsidR="00FE67D6">
        <w:instrText xml:space="preserve"> REF _Ref447112729 \h </w:instrText>
      </w:r>
      <w:r w:rsidR="00FE67D6">
        <w:fldChar w:fldCharType="separate"/>
      </w:r>
      <w:r w:rsidR="004353ED" w:rsidRPr="00E51319">
        <w:t xml:space="preserve">Figure </w:t>
      </w:r>
      <w:r w:rsidR="004353ED">
        <w:rPr>
          <w:noProof/>
        </w:rPr>
        <w:t>23</w:t>
      </w:r>
      <w:r w:rsidR="00FE67D6">
        <w:fldChar w:fldCharType="end"/>
      </w:r>
      <w:r w:rsidR="00FE67D6">
        <w:t xml:space="preserve"> </w:t>
      </w:r>
      <w:r w:rsidRPr="00E51319">
        <w:t>and</w:t>
      </w:r>
      <w:r w:rsidR="00FE67D6">
        <w:t xml:space="preserve"> </w:t>
      </w:r>
      <w:r w:rsidR="00FE67D6">
        <w:fldChar w:fldCharType="begin"/>
      </w:r>
      <w:r w:rsidR="00FE67D6">
        <w:instrText xml:space="preserve"> REF _Ref2316751 \h </w:instrText>
      </w:r>
      <w:r w:rsidR="00FE67D6">
        <w:fldChar w:fldCharType="separate"/>
      </w:r>
      <w:r w:rsidR="004353ED">
        <w:t xml:space="preserve">Figure </w:t>
      </w:r>
      <w:r w:rsidR="004353ED">
        <w:rPr>
          <w:noProof/>
        </w:rPr>
        <w:t>24</w:t>
      </w:r>
      <w:r w:rsidR="00FE67D6">
        <w:fldChar w:fldCharType="end"/>
      </w:r>
      <w:r w:rsidRPr="00E51319">
        <w:t>) display the release number (e.g., 2.</w:t>
      </w:r>
      <w:r w:rsidR="004E20BD">
        <w:t>3.</w:t>
      </w:r>
      <w:r w:rsidR="00FE67D6">
        <w:t>1</w:t>
      </w:r>
      <w:r w:rsidRPr="00E51319">
        <w:t>), the formal build number (e.g., 020</w:t>
      </w:r>
      <w:r w:rsidR="004E20BD">
        <w:t>3</w:t>
      </w:r>
      <w:r w:rsidRPr="00E51319">
        <w:t>.0</w:t>
      </w:r>
      <w:r w:rsidR="004E20BD">
        <w:t>101</w:t>
      </w:r>
      <w:r w:rsidRPr="00E51319">
        <w:t>.</w:t>
      </w:r>
      <w:r w:rsidR="004E20BD">
        <w:t>6956</w:t>
      </w:r>
      <w:r w:rsidRPr="00E51319">
        <w:t>.</w:t>
      </w:r>
      <w:r w:rsidR="004E20BD">
        <w:t>24</w:t>
      </w:r>
      <w:r w:rsidR="00FE67D6">
        <w:t>14</w:t>
      </w:r>
      <w:r w:rsidRPr="00E51319">
        <w:t>) and the revision letter (e.g., A).</w:t>
      </w:r>
    </w:p>
    <w:p w14:paraId="2EEE4D30" w14:textId="0B7C97C2" w:rsidR="00877F00" w:rsidRPr="00E51319" w:rsidRDefault="00877F00" w:rsidP="00877F00">
      <w:pPr>
        <w:pStyle w:val="Caption"/>
      </w:pPr>
      <w:bookmarkStart w:id="109" w:name="_Ref447112729"/>
      <w:r w:rsidRPr="00E51319">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23</w:t>
      </w:r>
      <w:r w:rsidR="004E20BD">
        <w:rPr>
          <w:noProof/>
        </w:rPr>
        <w:fldChar w:fldCharType="end"/>
      </w:r>
      <w:bookmarkEnd w:id="107"/>
      <w:bookmarkEnd w:id="109"/>
      <w:r w:rsidRPr="00E51319">
        <w:t>: About VBECS</w:t>
      </w:r>
      <w:bookmarkEnd w:id="108"/>
    </w:p>
    <w:p w14:paraId="0713F658" w14:textId="77777777" w:rsidR="00877F00" w:rsidRDefault="00057948" w:rsidP="00C00C0D">
      <w:pPr>
        <w:pStyle w:val="BodyText"/>
      </w:pPr>
      <w:r>
        <w:rPr>
          <w:noProof/>
        </w:rPr>
        <w:drawing>
          <wp:inline distT="0" distB="0" distL="0" distR="0" wp14:anchorId="6F3CEDF7" wp14:editId="0F8209AE">
            <wp:extent cx="6372860" cy="932815"/>
            <wp:effectExtent l="0" t="0" r="8890" b="635"/>
            <wp:docPr id="46" name="Picture 46" descr="Fig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igure 3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372860" cy="932815"/>
                    </a:xfrm>
                    <a:prstGeom prst="rect">
                      <a:avLst/>
                    </a:prstGeom>
                    <a:noFill/>
                    <a:ln>
                      <a:noFill/>
                    </a:ln>
                  </pic:spPr>
                </pic:pic>
              </a:graphicData>
            </a:graphic>
          </wp:inline>
        </w:drawing>
      </w:r>
    </w:p>
    <w:p w14:paraId="3CDE633C" w14:textId="77777777" w:rsidR="001C39A0" w:rsidRDefault="001C39A0">
      <w:pPr>
        <w:rPr>
          <w:b/>
          <w:sz w:val="22"/>
          <w:szCs w:val="22"/>
        </w:rPr>
      </w:pPr>
      <w:bookmarkStart w:id="110" w:name="_Ref300821912"/>
      <w:bookmarkStart w:id="111" w:name="_Ref301523957"/>
      <w:r>
        <w:br w:type="page"/>
      </w:r>
    </w:p>
    <w:p w14:paraId="36E0CE69" w14:textId="023D4941" w:rsidR="001C39A0" w:rsidRDefault="00877F00" w:rsidP="008926C4">
      <w:pPr>
        <w:pStyle w:val="Caption"/>
        <w:spacing w:after="0"/>
      </w:pPr>
      <w:bookmarkStart w:id="112" w:name="_Ref231675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24</w:t>
      </w:r>
      <w:r w:rsidR="004E20BD">
        <w:rPr>
          <w:noProof/>
        </w:rPr>
        <w:fldChar w:fldCharType="end"/>
      </w:r>
      <w:bookmarkEnd w:id="110"/>
      <w:bookmarkEnd w:id="111"/>
      <w:bookmarkEnd w:id="112"/>
      <w:r>
        <w:t>:</w:t>
      </w:r>
      <w:r w:rsidR="001D2967">
        <w:t xml:space="preserve"> Example of</w:t>
      </w:r>
      <w:r>
        <w:t xml:space="preserve"> VBECS Version </w:t>
      </w:r>
      <w:r w:rsidR="001D2967">
        <w:t xml:space="preserve">and Build </w:t>
      </w:r>
      <w:r>
        <w:t>Number</w:t>
      </w:r>
      <w:r w:rsidR="001D2967">
        <w:t>s</w:t>
      </w:r>
      <w:r w:rsidR="00EE771C">
        <w:t xml:space="preserve"> </w:t>
      </w:r>
    </w:p>
    <w:p w14:paraId="2C7890E9" w14:textId="285BFD7B" w:rsidR="001C39A0" w:rsidRPr="001C39A0" w:rsidRDefault="001C39A0" w:rsidP="001C39A0">
      <w:pPr>
        <w:pStyle w:val="BodyText"/>
      </w:pPr>
      <w:r>
        <w:rPr>
          <w:noProof/>
        </w:rPr>
        <w:drawing>
          <wp:inline distT="0" distB="0" distL="0" distR="0" wp14:anchorId="6C18326B" wp14:editId="78D4E926">
            <wp:extent cx="5486400" cy="4974336"/>
            <wp:effectExtent l="0" t="0" r="0" b="0"/>
            <wp:docPr id="1161" name="Picture 1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 name="Picture 1161">
                      <a:extLst>
                        <a:ext uri="{C183D7F6-B498-43B3-948B-1728B52AA6E4}">
                          <adec:decorative xmlns:adec="http://schemas.microsoft.com/office/drawing/2017/decorative" val="1"/>
                        </a:ext>
                      </a:extLst>
                    </pic:cNvPr>
                    <pic:cNvPicPr>
                      <a:picLocks noChangeAspect="1" noChangeArrowheads="1"/>
                    </pic:cNvPicPr>
                  </pic:nvPicPr>
                  <pic:blipFill rotWithShape="1">
                    <a:blip r:embed="rId59">
                      <a:extLst>
                        <a:ext uri="{28A0092B-C50C-407E-A947-70E740481C1C}">
                          <a14:useLocalDpi xmlns:a14="http://schemas.microsoft.com/office/drawing/2010/main" val="0"/>
                        </a:ext>
                      </a:extLst>
                    </a:blip>
                    <a:srcRect r="54423" b="15666"/>
                    <a:stretch/>
                  </pic:blipFill>
                  <pic:spPr bwMode="auto">
                    <a:xfrm>
                      <a:off x="0" y="0"/>
                      <a:ext cx="5486400" cy="4974336"/>
                    </a:xfrm>
                    <a:prstGeom prst="rect">
                      <a:avLst/>
                    </a:prstGeom>
                    <a:noFill/>
                    <a:ln>
                      <a:noFill/>
                    </a:ln>
                    <a:extLst>
                      <a:ext uri="{53640926-AAD7-44D8-BBD7-CCE9431645EC}">
                        <a14:shadowObscured xmlns:a14="http://schemas.microsoft.com/office/drawing/2010/main"/>
                      </a:ext>
                    </a:extLst>
                  </pic:spPr>
                </pic:pic>
              </a:graphicData>
            </a:graphic>
          </wp:inline>
        </w:drawing>
      </w:r>
    </w:p>
    <w:p w14:paraId="208463F5" w14:textId="278B827D" w:rsidR="00877F00" w:rsidRDefault="00EE771C" w:rsidP="00532542">
      <w:pPr>
        <w:pStyle w:val="Caption"/>
      </w:pPr>
      <w:r w:rsidRPr="00EE771C">
        <w:rPr>
          <w:vanish/>
        </w:rPr>
        <w:t>DR 4991</w:t>
      </w:r>
    </w:p>
    <w:p w14:paraId="11FB8347" w14:textId="77777777" w:rsidR="00EE771C" w:rsidRDefault="00EE771C" w:rsidP="00877F00"/>
    <w:p w14:paraId="78E7E307" w14:textId="77777777" w:rsidR="00BB6AB5" w:rsidRDefault="00F05A35" w:rsidP="007E27AF">
      <w:pPr>
        <w:pStyle w:val="Heading2"/>
      </w:pPr>
      <w:r>
        <w:br w:type="page"/>
      </w:r>
      <w:bookmarkStart w:id="113" w:name="_Toc47516668"/>
      <w:r w:rsidR="00BB6AB5">
        <w:lastRenderedPageBreak/>
        <w:t xml:space="preserve">VistA </w:t>
      </w:r>
      <w:r w:rsidR="001A5555">
        <w:t>Records</w:t>
      </w:r>
      <w:r w:rsidR="00BB6AB5">
        <w:t xml:space="preserve"> in VBECS</w:t>
      </w:r>
      <w:bookmarkEnd w:id="113"/>
      <w:r w:rsidR="007E27AF">
        <w:fldChar w:fldCharType="begin"/>
      </w:r>
      <w:r w:rsidR="007E27AF">
        <w:instrText xml:space="preserve"> XE "</w:instrText>
      </w:r>
      <w:r w:rsidR="007E27AF" w:rsidRPr="00C85A38">
        <w:instrText>VistA Records in VBECS</w:instrText>
      </w:r>
      <w:r w:rsidR="007E27AF">
        <w:instrText xml:space="preserve">" </w:instrText>
      </w:r>
      <w:r w:rsidR="007E27AF">
        <w:fldChar w:fldCharType="end"/>
      </w:r>
    </w:p>
    <w:p w14:paraId="72FD7222" w14:textId="77777777" w:rsidR="00C97C16" w:rsidRDefault="000F37DC" w:rsidP="00C97C16">
      <w:pPr>
        <w:pStyle w:val="BodyText"/>
      </w:pPr>
      <w:r>
        <w:t>Historic</w:t>
      </w:r>
      <w:r w:rsidR="00550B93">
        <w:t xml:space="preserve"> </w:t>
      </w:r>
      <w:r w:rsidR="00BB6AB5">
        <w:t xml:space="preserve">VistA blood bank </w:t>
      </w:r>
      <w:r w:rsidR="001A5555">
        <w:t>records were</w:t>
      </w:r>
      <w:r w:rsidR="00BB6AB5">
        <w:t xml:space="preserve"> transferred to VBECS</w:t>
      </w:r>
      <w:r w:rsidR="000C18F8">
        <w:t xml:space="preserve"> </w:t>
      </w:r>
      <w:r w:rsidR="004C470C">
        <w:t xml:space="preserve">and validated </w:t>
      </w:r>
      <w:r w:rsidR="000C18F8">
        <w:t>during the database conversion</w:t>
      </w:r>
      <w:r w:rsidR="00550B93">
        <w:t xml:space="preserve">. </w:t>
      </w:r>
      <w:r w:rsidR="007E27AF">
        <w:t>VBECS handles these records in accordance with system rules:</w:t>
      </w:r>
      <w:r w:rsidR="004C470C" w:rsidRPr="004C470C">
        <w:t xml:space="preserve"> </w:t>
      </w:r>
    </w:p>
    <w:p w14:paraId="00108674" w14:textId="77777777" w:rsidR="002A11A1" w:rsidRDefault="00057948" w:rsidP="004C470C">
      <w:pPr>
        <w:pStyle w:val="Caution"/>
      </w:pPr>
      <w:r>
        <w:rPr>
          <w:noProof/>
        </w:rPr>
        <w:drawing>
          <wp:inline distT="0" distB="0" distL="0" distR="0" wp14:anchorId="643FD3F0" wp14:editId="1B014600">
            <wp:extent cx="267970" cy="221615"/>
            <wp:effectExtent l="0" t="0" r="0" b="6985"/>
            <wp:docPr id="48"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C97C16">
        <w:t xml:space="preserve">Patient names in VistA that exceed the database standard for File </w:t>
      </w:r>
      <w:r w:rsidR="00531232">
        <w:t>#2 (</w:t>
      </w:r>
      <w:r w:rsidR="00C97C16">
        <w:t>30 characters</w:t>
      </w:r>
      <w:r w:rsidR="004E57F7">
        <w:t xml:space="preserve">) </w:t>
      </w:r>
      <w:r w:rsidR="004B00E6">
        <w:t>or do not have a last name</w:t>
      </w:r>
      <w:r w:rsidR="00531232">
        <w:t xml:space="preserve"> </w:t>
      </w:r>
      <w:r w:rsidR="005A7EE0">
        <w:t>do not convert to V</w:t>
      </w:r>
      <w:r w:rsidR="00551EF1">
        <w:t>BECS</w:t>
      </w:r>
      <w:r w:rsidR="002A11A1">
        <w:t>.</w:t>
      </w:r>
    </w:p>
    <w:p w14:paraId="1502CC9C" w14:textId="77777777" w:rsidR="00BB6AB5" w:rsidRDefault="001A5555" w:rsidP="004305BC">
      <w:pPr>
        <w:pStyle w:val="ListBullet"/>
      </w:pPr>
      <w:r>
        <w:t xml:space="preserve">VBECS may display patient information differently from VistA. For example, </w:t>
      </w:r>
      <w:r w:rsidR="00550B93">
        <w:t xml:space="preserve">VBECS displays patient </w:t>
      </w:r>
      <w:r w:rsidR="00810930">
        <w:t>name</w:t>
      </w:r>
      <w:r w:rsidR="0080180A">
        <w:t>s</w:t>
      </w:r>
      <w:r w:rsidR="00550B93">
        <w:t xml:space="preserve"> as “</w:t>
      </w:r>
      <w:r w:rsidR="00BE05CD">
        <w:t xml:space="preserve">LAST NAME, FIRST NAME, MIDDLE NAME </w:t>
      </w:r>
      <w:r w:rsidR="00E12A85">
        <w:t xml:space="preserve">or </w:t>
      </w:r>
      <w:r w:rsidR="00BE05CD">
        <w:t>INITIAL</w:t>
      </w:r>
      <w:r w:rsidR="00102E3E">
        <w:t>, SUFFIX</w:t>
      </w:r>
      <w:r w:rsidR="00550B93">
        <w:t>.”</w:t>
      </w:r>
    </w:p>
    <w:p w14:paraId="2770468E" w14:textId="4E5CF63D" w:rsidR="00506EE2" w:rsidRPr="00B26970" w:rsidRDefault="00506EE2" w:rsidP="00506EE2">
      <w:pPr>
        <w:pStyle w:val="ListBullet"/>
        <w:rPr>
          <w:rFonts w:cs="Arial"/>
          <w:szCs w:val="18"/>
        </w:rPr>
      </w:pPr>
      <w:r w:rsidRPr="00B26970">
        <w:rPr>
          <w:rFonts w:cs="Arial"/>
          <w:szCs w:val="18"/>
        </w:rPr>
        <w:t xml:space="preserve">A patient name will be truncated in </w:t>
      </w:r>
      <w:r>
        <w:rPr>
          <w:rFonts w:cs="Arial"/>
          <w:szCs w:val="18"/>
        </w:rPr>
        <w:t>the following</w:t>
      </w:r>
      <w:r w:rsidRPr="00B26970">
        <w:rPr>
          <w:rFonts w:cs="Arial"/>
          <w:szCs w:val="18"/>
        </w:rPr>
        <w:t xml:space="preserve"> screens when one of the name fields (Last, First, </w:t>
      </w:r>
      <w:r w:rsidR="00C02E65">
        <w:rPr>
          <w:rFonts w:cs="Arial"/>
          <w:szCs w:val="18"/>
        </w:rPr>
        <w:t>or Middle) exceed</w:t>
      </w:r>
      <w:r w:rsidR="00D05436">
        <w:rPr>
          <w:rFonts w:cs="Arial"/>
          <w:szCs w:val="18"/>
        </w:rPr>
        <w:t>s</w:t>
      </w:r>
      <w:r w:rsidR="00C02E65">
        <w:rPr>
          <w:rFonts w:cs="Arial"/>
          <w:szCs w:val="18"/>
        </w:rPr>
        <w:t xml:space="preserve"> 22 characters. </w:t>
      </w:r>
      <w:r w:rsidR="00C02E65" w:rsidRPr="00B26970">
        <w:rPr>
          <w:rFonts w:cs="Arial"/>
          <w:szCs w:val="18"/>
        </w:rPr>
        <w:t>The full name is displayed elsewhere on the screens ident</w:t>
      </w:r>
      <w:r w:rsidR="00C02E65">
        <w:rPr>
          <w:rFonts w:cs="Arial"/>
          <w:szCs w:val="18"/>
        </w:rPr>
        <w:t>ified or it is provided as read-</w:t>
      </w:r>
      <w:r w:rsidR="00C02E65" w:rsidRPr="00B26970">
        <w:rPr>
          <w:rFonts w:cs="Arial"/>
          <w:szCs w:val="18"/>
        </w:rPr>
        <w:t>only information and is not used to make decisions for the selected patient.</w:t>
      </w:r>
      <w:r w:rsidR="00C02E65">
        <w:rPr>
          <w:rFonts w:cs="Arial"/>
          <w:szCs w:val="18"/>
        </w:rPr>
        <w:t xml:space="preserve"> </w:t>
      </w:r>
      <w:r w:rsidR="00C02E65" w:rsidRPr="00C02E65">
        <w:rPr>
          <w:rFonts w:cs="Arial"/>
          <w:vanish/>
          <w:szCs w:val="18"/>
        </w:rPr>
        <w:t>Task 209590</w:t>
      </w:r>
    </w:p>
    <w:p w14:paraId="194F7A77" w14:textId="77777777" w:rsidR="00506EE2" w:rsidRPr="00B26970" w:rsidRDefault="00506EE2" w:rsidP="00506EE2">
      <w:pPr>
        <w:pStyle w:val="ListBullet"/>
        <w:numPr>
          <w:ilvl w:val="1"/>
          <w:numId w:val="15"/>
        </w:numPr>
        <w:rPr>
          <w:rFonts w:cs="Arial"/>
          <w:szCs w:val="18"/>
        </w:rPr>
      </w:pPr>
      <w:r w:rsidRPr="00B26970">
        <w:rPr>
          <w:rFonts w:cs="Arial"/>
          <w:szCs w:val="18"/>
        </w:rPr>
        <w:t>Blood Unit Details tab</w:t>
      </w:r>
    </w:p>
    <w:p w14:paraId="1919F66F" w14:textId="77777777" w:rsidR="00506EE2" w:rsidRPr="00B26970" w:rsidRDefault="00506EE2" w:rsidP="00506EE2">
      <w:pPr>
        <w:pStyle w:val="ListBullet"/>
        <w:numPr>
          <w:ilvl w:val="1"/>
          <w:numId w:val="15"/>
        </w:numPr>
        <w:rPr>
          <w:rFonts w:cs="Arial"/>
          <w:szCs w:val="18"/>
        </w:rPr>
      </w:pPr>
      <w:r w:rsidRPr="00B26970">
        <w:rPr>
          <w:rFonts w:cs="Arial"/>
          <w:szCs w:val="18"/>
        </w:rPr>
        <w:t>Patient Specimen Selector control</w:t>
      </w:r>
    </w:p>
    <w:p w14:paraId="140FB394" w14:textId="77777777" w:rsidR="00506EE2" w:rsidRPr="00B26970" w:rsidRDefault="00506EE2" w:rsidP="00506EE2">
      <w:pPr>
        <w:pStyle w:val="ListBullet"/>
        <w:numPr>
          <w:ilvl w:val="1"/>
          <w:numId w:val="15"/>
        </w:numPr>
        <w:rPr>
          <w:rFonts w:cs="Arial"/>
          <w:szCs w:val="18"/>
        </w:rPr>
      </w:pPr>
      <w:r w:rsidRPr="00B26970">
        <w:rPr>
          <w:rFonts w:cs="Arial"/>
          <w:szCs w:val="18"/>
        </w:rPr>
        <w:t>Patient Order Selector control</w:t>
      </w:r>
    </w:p>
    <w:p w14:paraId="3968F188" w14:textId="77777777" w:rsidR="00506EE2" w:rsidRPr="00B26970" w:rsidRDefault="00506EE2" w:rsidP="00506EE2">
      <w:pPr>
        <w:pStyle w:val="ListBullet"/>
        <w:numPr>
          <w:ilvl w:val="1"/>
          <w:numId w:val="15"/>
        </w:numPr>
        <w:rPr>
          <w:rFonts w:cs="Arial"/>
          <w:szCs w:val="18"/>
        </w:rPr>
      </w:pPr>
      <w:r w:rsidRPr="00B26970">
        <w:rPr>
          <w:rFonts w:cs="Arial"/>
          <w:szCs w:val="18"/>
        </w:rPr>
        <w:t>Patient Order Selector for Report control</w:t>
      </w:r>
    </w:p>
    <w:p w14:paraId="0A06D42A" w14:textId="77777777" w:rsidR="00506EE2" w:rsidRPr="00B26970" w:rsidRDefault="00506EE2" w:rsidP="00506EE2">
      <w:pPr>
        <w:pStyle w:val="TableText"/>
        <w:rPr>
          <w:rFonts w:cs="Arial"/>
          <w:szCs w:val="18"/>
        </w:rPr>
      </w:pPr>
    </w:p>
    <w:p w14:paraId="4305F5FF" w14:textId="7D3EF77C" w:rsidR="00506EE2" w:rsidRDefault="00506EE2" w:rsidP="00506EE2">
      <w:pPr>
        <w:pStyle w:val="ListBullet"/>
      </w:pPr>
      <w:r w:rsidRPr="00B26970">
        <w:rPr>
          <w:rFonts w:cs="Arial"/>
          <w:szCs w:val="18"/>
        </w:rPr>
        <w:t>VBECS will only display the first 25 characters of the name.</w:t>
      </w:r>
    </w:p>
    <w:p w14:paraId="56BB0DF4" w14:textId="77777777" w:rsidR="00CF225C" w:rsidRDefault="00524EDF" w:rsidP="004305BC">
      <w:pPr>
        <w:pStyle w:val="ListBullet"/>
      </w:pPr>
      <w:r w:rsidRPr="00524EDF">
        <w:rPr>
          <w:vanish/>
        </w:rPr>
        <w:t xml:space="preserve">BR_3.05 </w:t>
      </w:r>
      <w:r w:rsidR="00CF225C">
        <w:t xml:space="preserve">VBECS displays historic ABO/Rh types from the database conversion, </w:t>
      </w:r>
      <w:r w:rsidR="00C14A0B">
        <w:t>but</w:t>
      </w:r>
      <w:r w:rsidR="00CF225C">
        <w:t xml:space="preserve"> doesn’t use </w:t>
      </w:r>
      <w:r w:rsidR="005F34AE">
        <w:t>them</w:t>
      </w:r>
      <w:r w:rsidR="00CF225C">
        <w:t xml:space="preserve"> for issuing blood or for comparing test results. </w:t>
      </w:r>
    </w:p>
    <w:p w14:paraId="61132D12" w14:textId="77777777" w:rsidR="00B814B4" w:rsidRDefault="00B814B4" w:rsidP="00B814B4">
      <w:pPr>
        <w:pStyle w:val="ListBullet"/>
      </w:pPr>
      <w:r>
        <w:t>VBECS truncates Special Instructions (SIs) text from the VistA database conversion.</w:t>
      </w:r>
    </w:p>
    <w:p w14:paraId="37B4E6CD" w14:textId="77777777" w:rsidR="00524EDF" w:rsidRDefault="00524EDF" w:rsidP="00524EDF">
      <w:pPr>
        <w:pStyle w:val="ListBullet"/>
      </w:pPr>
      <w:r>
        <w:rPr>
          <w:vanish/>
        </w:rPr>
        <w:t xml:space="preserve">BR_37.05 </w:t>
      </w:r>
      <w:r w:rsidR="00150930" w:rsidRPr="00150930">
        <w:t>SIs from d</w:t>
      </w:r>
      <w:r>
        <w:t>ata</w:t>
      </w:r>
      <w:r w:rsidR="00150930">
        <w:t>base</w:t>
      </w:r>
      <w:r>
        <w:t xml:space="preserve"> conversion entries are labeled as such.</w:t>
      </w:r>
    </w:p>
    <w:p w14:paraId="32072974" w14:textId="77777777" w:rsidR="00150930" w:rsidRDefault="00150930" w:rsidP="00150930">
      <w:pPr>
        <w:pStyle w:val="ListBullet"/>
      </w:pPr>
      <w:r w:rsidRPr="00CA6E27">
        <w:rPr>
          <w:bCs/>
        </w:rPr>
        <w:t>VistA</w:t>
      </w:r>
      <w:r>
        <w:t xml:space="preserve"> SIs from the database conversion </w:t>
      </w:r>
      <w:r w:rsidR="00216287">
        <w:t>may include component or antigen negative requirements. The</w:t>
      </w:r>
      <w:r w:rsidR="00D40EB2">
        <w:t xml:space="preserve"> VistA SIs</w:t>
      </w:r>
      <w:r>
        <w:t xml:space="preserve"> remain SIs and are not enforced unless </w:t>
      </w:r>
      <w:r w:rsidR="00646F65">
        <w:t xml:space="preserve">they are </w:t>
      </w:r>
      <w:r>
        <w:t xml:space="preserve">entered in </w:t>
      </w:r>
      <w:r w:rsidR="00646F65">
        <w:t xml:space="preserve">the </w:t>
      </w:r>
      <w:r>
        <w:t>T</w:t>
      </w:r>
      <w:r w:rsidR="00646F65">
        <w:t xml:space="preserve">ransfusion </w:t>
      </w:r>
      <w:r>
        <w:t>R</w:t>
      </w:r>
      <w:r w:rsidR="00646F65">
        <w:t>equirement</w:t>
      </w:r>
      <w:r>
        <w:t>s</w:t>
      </w:r>
      <w:r w:rsidR="00646F65">
        <w:t xml:space="preserve"> tab in Special Instructions &amp; Transfusion Requirements</w:t>
      </w:r>
      <w:r>
        <w:t>.</w:t>
      </w:r>
    </w:p>
    <w:p w14:paraId="57CE1EF5" w14:textId="77777777" w:rsidR="001F561F" w:rsidRDefault="001F561F" w:rsidP="001F561F">
      <w:pPr>
        <w:pStyle w:val="ListBullet"/>
      </w:pPr>
      <w:r>
        <w:t xml:space="preserve">Patient antibody identifications from </w:t>
      </w:r>
      <w:r w:rsidRPr="00CA6E27">
        <w:rPr>
          <w:bCs/>
        </w:rPr>
        <w:t>VistA</w:t>
      </w:r>
      <w:r>
        <w:t xml:space="preserve"> </w:t>
      </w:r>
      <w:r w:rsidR="00B814B4">
        <w:t>were</w:t>
      </w:r>
      <w:r>
        <w:t xml:space="preserve"> included in the database conversion. </w:t>
      </w:r>
    </w:p>
    <w:p w14:paraId="1986725A" w14:textId="77777777" w:rsidR="005F34AE" w:rsidRDefault="005F34AE" w:rsidP="001F561F">
      <w:pPr>
        <w:pStyle w:val="ListBullet"/>
      </w:pPr>
      <w:r>
        <w:t>Antigen negative requirements properly set in VistA w</w:t>
      </w:r>
      <w:r w:rsidR="00B814B4">
        <w:t>ere</w:t>
      </w:r>
      <w:r>
        <w:t xml:space="preserve"> transferred to antigen negative requirements in VBECS.</w:t>
      </w:r>
    </w:p>
    <w:p w14:paraId="154062E1" w14:textId="3E4CD1E1" w:rsidR="00D05436" w:rsidRPr="00875F0A" w:rsidRDefault="00181ECD" w:rsidP="00875F0A">
      <w:pPr>
        <w:pStyle w:val="ListBullet"/>
        <w:rPr>
          <w:vanish/>
        </w:rPr>
      </w:pPr>
      <w:r w:rsidRPr="00181ECD">
        <w:rPr>
          <w:vanish/>
        </w:rPr>
        <w:t xml:space="preserve">BR_65.03 </w:t>
      </w:r>
      <w:r w:rsidRPr="00181ECD">
        <w:t>VBECS informs the user when the displayed historical ABO/Rh, transfusion reaction history, and/or antigen typing result from the database conversion</w:t>
      </w:r>
      <w:r>
        <w:t>.</w:t>
      </w:r>
      <w:bookmarkEnd w:id="105"/>
      <w:bookmarkEnd w:id="106"/>
    </w:p>
    <w:p w14:paraId="556A2291" w14:textId="77777777" w:rsidR="00875F0A" w:rsidRDefault="00875F0A" w:rsidP="00D05436">
      <w:pPr>
        <w:pStyle w:val="ListBullet"/>
      </w:pPr>
    </w:p>
    <w:p w14:paraId="634F085F" w14:textId="18C840C9" w:rsidR="00875F0A" w:rsidRDefault="00875F0A" w:rsidP="00D05436">
      <w:pPr>
        <w:pStyle w:val="ListBullet"/>
      </w:pPr>
      <w:r>
        <w:t>Transfusion reaction types without their associated units were transferred to VBECS.</w:t>
      </w:r>
    </w:p>
    <w:p w14:paraId="30CB81A7" w14:textId="417E5B2E" w:rsidR="002A21AE" w:rsidRDefault="008F1BF3" w:rsidP="00D05436">
      <w:pPr>
        <w:pStyle w:val="Heading2"/>
      </w:pPr>
      <w:r>
        <w:br w:type="page"/>
      </w:r>
      <w:bookmarkStart w:id="114" w:name="_Toc47516669"/>
      <w:r w:rsidR="002A21AE">
        <w:lastRenderedPageBreak/>
        <w:t>Accessing the System</w:t>
      </w:r>
      <w:bookmarkEnd w:id="114"/>
      <w:r w:rsidR="002A21AE">
        <w:fldChar w:fldCharType="begin"/>
      </w:r>
      <w:r w:rsidR="002A21AE">
        <w:instrText xml:space="preserve"> XE </w:instrText>
      </w:r>
      <w:r w:rsidR="00FA7E65">
        <w:instrText>“</w:instrText>
      </w:r>
      <w:r w:rsidR="002A21AE">
        <w:instrText>Accessing the System</w:instrText>
      </w:r>
      <w:r w:rsidR="00FA7E65">
        <w:instrText>”</w:instrText>
      </w:r>
      <w:r w:rsidR="002A21AE">
        <w:instrText xml:space="preserve"> </w:instrText>
      </w:r>
      <w:r w:rsidR="002A21AE">
        <w:fldChar w:fldCharType="end"/>
      </w:r>
    </w:p>
    <w:p w14:paraId="0A39C2E8" w14:textId="77777777" w:rsidR="002A21AE" w:rsidRDefault="009B4BF9">
      <w:pPr>
        <w:pStyle w:val="Heading3"/>
      </w:pPr>
      <w:bookmarkStart w:id="115" w:name="_Toc86743614"/>
      <w:bookmarkStart w:id="116" w:name="OLE_LINK19"/>
      <w:bookmarkStart w:id="117" w:name="_Toc47516670"/>
      <w:r>
        <w:t>Log i</w:t>
      </w:r>
      <w:r w:rsidR="002A21AE">
        <w:t>nto VBECS</w:t>
      </w:r>
      <w:bookmarkEnd w:id="115"/>
      <w:r w:rsidR="002A21AE">
        <w:t xml:space="preserve"> and</w:t>
      </w:r>
      <w:r w:rsidR="00CA0045">
        <w:t xml:space="preserve"> VistA</w:t>
      </w:r>
      <w:bookmarkEnd w:id="116"/>
      <w:bookmarkEnd w:id="117"/>
      <w:r w:rsidR="002A21AE">
        <w:rPr>
          <w:b w:val="0"/>
          <w:vanish/>
        </w:rPr>
        <w:fldChar w:fldCharType="begin"/>
      </w:r>
      <w:r w:rsidR="002A21AE">
        <w:rPr>
          <w:vanish/>
        </w:rPr>
        <w:instrText xml:space="preserve"> XE </w:instrText>
      </w:r>
      <w:r w:rsidR="00FA7E65">
        <w:rPr>
          <w:vanish/>
        </w:rPr>
        <w:instrText>“</w:instrText>
      </w:r>
      <w:r w:rsidR="002A21AE">
        <w:rPr>
          <w:vanish/>
        </w:rPr>
        <w:instrText>Log Into VBECS and</w:instrText>
      </w:r>
      <w:r w:rsidR="00CA0045">
        <w:rPr>
          <w:vanish/>
        </w:rPr>
        <w:instrText xml:space="preserve"> VistA</w:instrText>
      </w:r>
      <w:r w:rsidR="00FA7E65">
        <w:rPr>
          <w:vanish/>
        </w:rPr>
        <w:instrText>”</w:instrText>
      </w:r>
      <w:r w:rsidR="002A21AE">
        <w:rPr>
          <w:vanish/>
        </w:rPr>
        <w:instrText xml:space="preserve"> </w:instrText>
      </w:r>
      <w:r w:rsidR="002A21AE">
        <w:rPr>
          <w:b w:val="0"/>
          <w:vanish/>
        </w:rPr>
        <w:fldChar w:fldCharType="end"/>
      </w:r>
      <w:r w:rsidR="002A21AE">
        <w:rPr>
          <w:b w:val="0"/>
          <w:vanish/>
        </w:rPr>
        <w:t xml:space="preserve"> </w:t>
      </w:r>
      <w:r w:rsidR="002A21AE">
        <w:rPr>
          <w:vanish/>
        </w:rPr>
        <w:t>UC_18, UC_102</w:t>
      </w:r>
    </w:p>
    <w:p w14:paraId="64F6EC96" w14:textId="77777777" w:rsidR="002A21AE" w:rsidRDefault="002A21AE" w:rsidP="00FA7E65">
      <w:pPr>
        <w:pStyle w:val="BodyText"/>
      </w:pPr>
      <w:r>
        <w:t>A user may work in only one division at a time. After login</w:t>
      </w:r>
      <w:r w:rsidR="00670304">
        <w:rPr>
          <w:rStyle w:val="FootnoteReference"/>
        </w:rPr>
        <w:footnoteReference w:id="1"/>
      </w:r>
      <w:r>
        <w:t xml:space="preserve">, a user with access privileges in several divisions may change divisions. </w:t>
      </w:r>
      <w:r w:rsidR="00191AFE">
        <w:t xml:space="preserve">For users with access to a single division, an option to change divisions will not be available. </w:t>
      </w:r>
      <w:r w:rsidR="009E1728">
        <w:t>VBECS allows access only to valid divisions associated with the user.</w:t>
      </w:r>
    </w:p>
    <w:p w14:paraId="6FDF1A12" w14:textId="77777777" w:rsidR="002A21AE" w:rsidRDefault="002A21AE">
      <w:pPr>
        <w:pStyle w:val="Heading4"/>
      </w:pPr>
      <w:r>
        <w:t>Assumptions</w:t>
      </w:r>
    </w:p>
    <w:p w14:paraId="5CF80DBD" w14:textId="77777777" w:rsidR="009E1728" w:rsidRDefault="009E1728" w:rsidP="009E1728">
      <w:pPr>
        <w:pStyle w:val="ListBullet"/>
      </w:pPr>
      <w:r w:rsidRPr="009E1728">
        <w:t>There is not an active VistALink c</w:t>
      </w:r>
      <w:r>
        <w:t>onnection in VBECS/Administrator.</w:t>
      </w:r>
    </w:p>
    <w:p w14:paraId="3333E666" w14:textId="77777777" w:rsidR="009E1728" w:rsidRDefault="009E1728" w:rsidP="009E1728">
      <w:pPr>
        <w:pStyle w:val="ListBullet"/>
      </w:pPr>
      <w:r w:rsidRPr="009E1728">
        <w:t xml:space="preserve">VistA is set up, operating normally </w:t>
      </w:r>
      <w:r>
        <w:t>and accessible via the network.</w:t>
      </w:r>
    </w:p>
    <w:p w14:paraId="691AAF9E" w14:textId="77777777" w:rsidR="00A333E5" w:rsidRPr="009E1728" w:rsidRDefault="00A333E5">
      <w:pPr>
        <w:pStyle w:val="ListBullet"/>
      </w:pPr>
      <w:r w:rsidRPr="009E1728">
        <w:t>The user is defined in VistA, has a DUZ, and connectivity to VistA can be established.</w:t>
      </w:r>
    </w:p>
    <w:p w14:paraId="3FD03510" w14:textId="77777777" w:rsidR="0080715E" w:rsidRPr="009E1728" w:rsidRDefault="0080715E">
      <w:pPr>
        <w:pStyle w:val="ListBullet"/>
      </w:pPr>
      <w:r w:rsidRPr="009E1728">
        <w:t>The user must be defined in the VistA new person file and have valid Access and Verify Codes.</w:t>
      </w:r>
    </w:p>
    <w:p w14:paraId="31907989" w14:textId="77777777" w:rsidR="002A21AE" w:rsidRDefault="00272139" w:rsidP="00BF32E5">
      <w:pPr>
        <w:pStyle w:val="ListBullet"/>
      </w:pPr>
      <w:r>
        <w:t xml:space="preserve">The user’s </w:t>
      </w:r>
      <w:r w:rsidR="00BF32E5">
        <w:t>division</w:t>
      </w:r>
      <w:r>
        <w:t xml:space="preserve"> is configure</w:t>
      </w:r>
      <w:r w:rsidR="00373CB1">
        <w:t>d</w:t>
      </w:r>
      <w:r>
        <w:t xml:space="preserve"> in both</w:t>
      </w:r>
      <w:r w:rsidR="002A21AE">
        <w:t xml:space="preserve"> </w:t>
      </w:r>
      <w:r w:rsidR="00CA0045" w:rsidRPr="00CA0045">
        <w:t>VistA</w:t>
      </w:r>
      <w:r>
        <w:t xml:space="preserve"> and VBECS. </w:t>
      </w:r>
      <w:r w:rsidR="00C00476">
        <w:t>(</w:t>
      </w:r>
      <w:r w:rsidR="009E1728">
        <w:t>See Update User Roles</w:t>
      </w:r>
      <w:r w:rsidR="00C00476">
        <w:t>)</w:t>
      </w:r>
    </w:p>
    <w:p w14:paraId="0E9344A1" w14:textId="77777777" w:rsidR="002A21AE" w:rsidRDefault="002A21AE">
      <w:pPr>
        <w:pStyle w:val="Heading4"/>
        <w:rPr>
          <w:i/>
        </w:rPr>
      </w:pPr>
      <w:r>
        <w:t>Outcome</w:t>
      </w:r>
      <w:r>
        <w:rPr>
          <w:i/>
        </w:rPr>
        <w:t xml:space="preserve"> </w:t>
      </w:r>
    </w:p>
    <w:p w14:paraId="42BC8F62" w14:textId="77777777" w:rsidR="002A21AE" w:rsidRDefault="009E1728">
      <w:pPr>
        <w:pStyle w:val="ListBullet"/>
      </w:pPr>
      <w:r>
        <w:t>The</w:t>
      </w:r>
      <w:r w:rsidR="002A21AE">
        <w:t xml:space="preserve"> user is logged into the selected division.</w:t>
      </w:r>
    </w:p>
    <w:p w14:paraId="56D57399" w14:textId="77777777" w:rsidR="0080715E" w:rsidRPr="009E1728" w:rsidRDefault="0080715E">
      <w:pPr>
        <w:pStyle w:val="ListBullet"/>
      </w:pPr>
      <w:r w:rsidRPr="009E1728">
        <w:t>A VistALink connection is established or restored and the user is logged onto VistA.</w:t>
      </w:r>
    </w:p>
    <w:p w14:paraId="55C09BFB" w14:textId="77777777" w:rsidR="005A15F5" w:rsidRPr="009E1728" w:rsidRDefault="005A15F5">
      <w:pPr>
        <w:pStyle w:val="ListBullet"/>
      </w:pPr>
      <w:r w:rsidRPr="009E1728">
        <w:t>VBECS is available for use wheth</w:t>
      </w:r>
      <w:r w:rsidR="00121EB7" w:rsidRPr="009E1728">
        <w:t>er or not VistALink is connected</w:t>
      </w:r>
      <w:r w:rsidR="00F3226E" w:rsidRPr="009E1728">
        <w:t>, depending on the option</w:t>
      </w:r>
      <w:r w:rsidRPr="009E1728">
        <w:t>.</w:t>
      </w:r>
    </w:p>
    <w:p w14:paraId="592CDF7F" w14:textId="77777777" w:rsidR="002A21AE" w:rsidRDefault="002A21AE">
      <w:pPr>
        <w:pStyle w:val="Heading4"/>
      </w:pPr>
      <w:r>
        <w:t>Limitations and Restrictions</w:t>
      </w:r>
    </w:p>
    <w:p w14:paraId="2986F9E2" w14:textId="77777777" w:rsidR="002A21AE" w:rsidRDefault="00E27D9F">
      <w:pPr>
        <w:pStyle w:val="ListBullet"/>
      </w:pPr>
      <w:r>
        <w:rPr>
          <w:vanish/>
          <w:spacing w:val="0"/>
        </w:rPr>
        <w:t>BR_18.05</w:t>
      </w:r>
      <w:r w:rsidR="009B4BF9">
        <w:rPr>
          <w:vanish/>
          <w:spacing w:val="0"/>
        </w:rPr>
        <w:t xml:space="preserve"> </w:t>
      </w:r>
      <w:r w:rsidR="002A21AE">
        <w:t>VBECS automatically logs a</w:t>
      </w:r>
      <w:r w:rsidR="002A21AE" w:rsidRPr="00BF7321">
        <w:rPr>
          <w:spacing w:val="0"/>
        </w:rPr>
        <w:t xml:space="preserve"> </w:t>
      </w:r>
      <w:r w:rsidR="002A21AE">
        <w:t>user with access to only o</w:t>
      </w:r>
      <w:r w:rsidR="00D2565B">
        <w:t>ne division into that division.</w:t>
      </w:r>
    </w:p>
    <w:p w14:paraId="3A2D1869" w14:textId="77777777" w:rsidR="00FB121F" w:rsidRDefault="00FB121F" w:rsidP="00FB121F">
      <w:pPr>
        <w:pStyle w:val="ListBullet"/>
      </w:pPr>
      <w:r w:rsidRPr="009E1728">
        <w:t>Connectivity by IAM services access approval (PIV Card) is not possible when IAM services are not available.</w:t>
      </w:r>
    </w:p>
    <w:p w14:paraId="6F0E4EA8" w14:textId="77777777" w:rsidR="00101C69" w:rsidRPr="009E1728" w:rsidRDefault="00101C69" w:rsidP="00101C69">
      <w:pPr>
        <w:pStyle w:val="ListBullet"/>
      </w:pPr>
      <w:r w:rsidRPr="009E1728">
        <w:t xml:space="preserve">Connectivity by IAM services access approval (PIV Card) is not </w:t>
      </w:r>
      <w:r>
        <w:t>required</w:t>
      </w:r>
      <w:r w:rsidRPr="009E1728">
        <w:t xml:space="preserve"> when </w:t>
      </w:r>
      <w:r w:rsidR="00C85A03">
        <w:t>a site has a PIV ex</w:t>
      </w:r>
      <w:r>
        <w:t>emption or when IAM services are not available.</w:t>
      </w:r>
    </w:p>
    <w:p w14:paraId="12EC6D0F" w14:textId="77777777" w:rsidR="00FB121F" w:rsidRDefault="00FB121F" w:rsidP="00FB121F">
      <w:pPr>
        <w:pStyle w:val="ListBullet"/>
      </w:pPr>
      <w:r>
        <w:rPr>
          <w:spacing w:val="0"/>
        </w:rPr>
        <w:t>An Access and Verify code is required to connect to VistA when the IAM services are not available.</w:t>
      </w:r>
    </w:p>
    <w:p w14:paraId="13208CD4" w14:textId="77777777" w:rsidR="007A2FC3" w:rsidRDefault="009E1728">
      <w:pPr>
        <w:pStyle w:val="ListBullet"/>
      </w:pPr>
      <w:r w:rsidRPr="009E1728">
        <w:rPr>
          <w:vanish/>
        </w:rPr>
        <w:t xml:space="preserve">BR_102.12 </w:t>
      </w:r>
      <w:r w:rsidR="007A2FC3" w:rsidRPr="009E1728">
        <w:t>Connectivity is not possible when VistA is not available.</w:t>
      </w:r>
    </w:p>
    <w:p w14:paraId="62C75337" w14:textId="77777777" w:rsidR="006F1029" w:rsidRPr="006F1029" w:rsidRDefault="00BF32E5" w:rsidP="006F1029">
      <w:pPr>
        <w:pStyle w:val="ListBullet"/>
      </w:pPr>
      <w:r>
        <w:t>The user may log into multiple terminals s</w:t>
      </w:r>
      <w:r w:rsidR="00CA1BD2">
        <w:t>imulta</w:t>
      </w:r>
      <w:r>
        <w:t>n</w:t>
      </w:r>
      <w:r w:rsidR="00CA1BD2">
        <w:t>e</w:t>
      </w:r>
      <w:r>
        <w:t>ously, but accessing VBECS in multiple sessions is no longer possible due to the way the PIV card works.</w:t>
      </w:r>
    </w:p>
    <w:p w14:paraId="13D059A6" w14:textId="30DBD241" w:rsidR="006F1029" w:rsidRDefault="006F1029" w:rsidP="00CD4DBB">
      <w:pPr>
        <w:pStyle w:val="ListBullet"/>
        <w:rPr>
          <w:szCs w:val="20"/>
        </w:rPr>
      </w:pPr>
      <w:r>
        <w:rPr>
          <w:szCs w:val="24"/>
        </w:rPr>
        <w:t xml:space="preserve">The </w:t>
      </w:r>
      <w:r w:rsidRPr="00CD4DBB">
        <w:rPr>
          <w:szCs w:val="24"/>
        </w:rPr>
        <w:t xml:space="preserve">Windows Security screen </w:t>
      </w:r>
      <w:r>
        <w:t>may be hidden when a user attempts to restore a VistALink connection</w:t>
      </w:r>
      <w:r w:rsidRPr="00CD4DBB">
        <w:rPr>
          <w:szCs w:val="24"/>
        </w:rPr>
        <w:t>. For the Windows Security screen</w:t>
      </w:r>
      <w:r>
        <w:t xml:space="preserve"> to appear, the user must </w:t>
      </w:r>
      <w:r w:rsidR="00525D98">
        <w:t xml:space="preserve">drag </w:t>
      </w:r>
      <w:r w:rsidR="00525D98" w:rsidRPr="00CD4DBB">
        <w:rPr>
          <w:szCs w:val="24"/>
        </w:rPr>
        <w:t>it</w:t>
      </w:r>
      <w:r w:rsidRPr="00CD4DBB">
        <w:rPr>
          <w:szCs w:val="24"/>
        </w:rPr>
        <w:t xml:space="preserve"> from behind another </w:t>
      </w:r>
      <w:r>
        <w:t>window</w:t>
      </w:r>
      <w:r w:rsidRPr="00CD4DBB">
        <w:rPr>
          <w:szCs w:val="24"/>
        </w:rPr>
        <w:t xml:space="preserve"> in order to select a certificate and log in</w:t>
      </w:r>
      <w:r>
        <w:rPr>
          <w:szCs w:val="24"/>
        </w:rPr>
        <w:t xml:space="preserve">. </w:t>
      </w:r>
      <w:r w:rsidRPr="006F1029">
        <w:rPr>
          <w:vanish/>
          <w:szCs w:val="24"/>
        </w:rPr>
        <w:t>Defect 501388</w:t>
      </w:r>
    </w:p>
    <w:p w14:paraId="3B0BE1AA" w14:textId="77777777" w:rsidR="002A21AE" w:rsidRDefault="002A21AE">
      <w:pPr>
        <w:pStyle w:val="Heading4"/>
      </w:pPr>
      <w:r>
        <w:t>Additional Information</w:t>
      </w:r>
    </w:p>
    <w:p w14:paraId="51DCFE9D" w14:textId="77777777" w:rsidR="00530298" w:rsidRDefault="00530298" w:rsidP="00530298">
      <w:pPr>
        <w:pStyle w:val="ListBullet"/>
        <w:rPr>
          <w:szCs w:val="20"/>
        </w:rPr>
      </w:pPr>
      <w:r>
        <w:rPr>
          <w:szCs w:val="20"/>
        </w:rPr>
        <w:t>The initial entry into VBECS will require a VistA Access and Verify Code in order to initiate the IAM PIV sign on process. This is only required for the first use of the system for each user.</w:t>
      </w:r>
    </w:p>
    <w:p w14:paraId="2620AE4B" w14:textId="77777777" w:rsidR="002115C7" w:rsidRDefault="00723A11" w:rsidP="004B6116">
      <w:pPr>
        <w:pStyle w:val="ListBullet"/>
        <w:rPr>
          <w:szCs w:val="20"/>
        </w:rPr>
      </w:pPr>
      <w:r w:rsidRPr="002115C7">
        <w:rPr>
          <w:szCs w:val="20"/>
        </w:rPr>
        <w:t xml:space="preserve">Users will see </w:t>
      </w:r>
      <w:r w:rsidR="005364D9" w:rsidRPr="002115C7">
        <w:rPr>
          <w:szCs w:val="20"/>
        </w:rPr>
        <w:t>several</w:t>
      </w:r>
      <w:r w:rsidRPr="002115C7">
        <w:rPr>
          <w:szCs w:val="20"/>
        </w:rPr>
        <w:t xml:space="preserve"> certificates listed during the sign on process. User should select the last certificate with their name from the list of certificates.</w:t>
      </w:r>
      <w:r w:rsidRPr="002115C7">
        <w:rPr>
          <w:vanish/>
          <w:szCs w:val="20"/>
        </w:rPr>
        <w:t xml:space="preserve"> </w:t>
      </w:r>
      <w:r w:rsidR="004874F2" w:rsidRPr="002115C7">
        <w:rPr>
          <w:vanish/>
          <w:szCs w:val="20"/>
        </w:rPr>
        <w:t>Defect</w:t>
      </w:r>
      <w:r w:rsidRPr="002115C7">
        <w:rPr>
          <w:vanish/>
          <w:szCs w:val="20"/>
        </w:rPr>
        <w:t xml:space="preserve"> 481387</w:t>
      </w:r>
    </w:p>
    <w:p w14:paraId="4ECB443E" w14:textId="77777777" w:rsidR="009B4BF9" w:rsidRPr="002115C7" w:rsidRDefault="009B4BF9" w:rsidP="004B6116">
      <w:pPr>
        <w:pStyle w:val="ListBullet"/>
        <w:rPr>
          <w:szCs w:val="20"/>
        </w:rPr>
      </w:pPr>
      <w:r w:rsidRPr="002115C7">
        <w:rPr>
          <w:vanish/>
          <w:szCs w:val="20"/>
        </w:rPr>
        <w:lastRenderedPageBreak/>
        <w:t xml:space="preserve">BR_102.03 </w:t>
      </w:r>
      <w:r w:rsidRPr="002115C7">
        <w:rPr>
          <w:szCs w:val="20"/>
        </w:rPr>
        <w:t>VBECS provides an interface (VistALink) with VistA to allow the user to log onto VistA (not required for most options; see the list of options that use VistALink in Hardware and Infrastructure Architecture).</w:t>
      </w:r>
    </w:p>
    <w:p w14:paraId="6705E5EC" w14:textId="77777777" w:rsidR="00530298" w:rsidRDefault="001F56CA" w:rsidP="004B6116">
      <w:pPr>
        <w:pStyle w:val="ListBullet"/>
        <w:rPr>
          <w:szCs w:val="20"/>
        </w:rPr>
      </w:pPr>
      <w:r w:rsidRPr="001F56CA">
        <w:rPr>
          <w:vanish/>
          <w:szCs w:val="20"/>
        </w:rPr>
        <w:t xml:space="preserve">BR_102.13 </w:t>
      </w:r>
      <w:r w:rsidR="00530298">
        <w:rPr>
          <w:szCs w:val="20"/>
        </w:rPr>
        <w:t>The system attempts to reuse the security credentials initially entered in the user’s session to perform VistA logoff and logon without user interaction.</w:t>
      </w:r>
    </w:p>
    <w:p w14:paraId="6852820C" w14:textId="77777777" w:rsidR="00530298" w:rsidRPr="00530298" w:rsidRDefault="00530298" w:rsidP="00530298">
      <w:pPr>
        <w:pStyle w:val="ListBullet"/>
      </w:pPr>
      <w:r w:rsidRPr="00530298">
        <w:t>The VistA security credentials may be saved for the user’s session and may not</w:t>
      </w:r>
      <w:r>
        <w:t xml:space="preserve"> be stored for future sessions.</w:t>
      </w:r>
    </w:p>
    <w:p w14:paraId="4053F51B" w14:textId="77777777" w:rsidR="002A21AE" w:rsidRPr="00F462A4" w:rsidRDefault="001F56CA" w:rsidP="00F462A4">
      <w:pPr>
        <w:pStyle w:val="ListBullet"/>
        <w:rPr>
          <w:szCs w:val="20"/>
        </w:rPr>
      </w:pPr>
      <w:r w:rsidRPr="001F56CA">
        <w:rPr>
          <w:vanish/>
        </w:rPr>
        <w:t xml:space="preserve">BR_102.03 </w:t>
      </w:r>
      <w:r w:rsidR="00F462A4">
        <w:t xml:space="preserve">If the user is required to enter a VistA Access and Verify Code, VBECS checks the characters in the Access and Verify Codes and warns when there are fewer than six characters or when a semicolon (;), colon (:), or caret (^) is entered. VBECS sends the entered Access and Verify Codes to </w:t>
      </w:r>
      <w:r w:rsidR="00F462A4" w:rsidRPr="00CA0045">
        <w:t>VistA</w:t>
      </w:r>
      <w:r w:rsidR="00F462A4">
        <w:t xml:space="preserve">. </w:t>
      </w:r>
      <w:r w:rsidR="00F462A4" w:rsidRPr="00CA0045">
        <w:t>VistA</w:t>
      </w:r>
      <w:r w:rsidR="00F462A4">
        <w:t xml:space="preserve"> checks the codes and responds to VBECS with a message stating whether the entered Access and Verify Codes are invalid or valid for the user attempting to log on. VBECS warns when </w:t>
      </w:r>
      <w:r w:rsidR="00F462A4" w:rsidRPr="00CA0045">
        <w:t>VistA</w:t>
      </w:r>
      <w:r w:rsidR="00F462A4">
        <w:t xml:space="preserve"> does not accept the Access and Verify Codes entered.</w:t>
      </w:r>
      <w:r w:rsidR="002A21AE" w:rsidRPr="00F462A4">
        <w:rPr>
          <w:szCs w:val="20"/>
        </w:rPr>
        <w:t> </w:t>
      </w:r>
    </w:p>
    <w:p w14:paraId="6FEED21D" w14:textId="77777777" w:rsidR="002A21AE" w:rsidRDefault="002A21AE">
      <w:pPr>
        <w:pStyle w:val="ListBullet"/>
      </w:pPr>
      <w:r>
        <w:rPr>
          <w:vanish/>
          <w:spacing w:val="0"/>
        </w:rPr>
        <w:t xml:space="preserve">BR_102.05 </w:t>
      </w:r>
      <w:r>
        <w:t xml:space="preserve">After </w:t>
      </w:r>
      <w:r w:rsidR="001A1C71">
        <w:t>a number of</w:t>
      </w:r>
      <w:r w:rsidR="00EB6924">
        <w:t xml:space="preserve"> </w:t>
      </w:r>
      <w:r w:rsidR="001A1C71">
        <w:t xml:space="preserve">unsuccessful attempts </w:t>
      </w:r>
      <w:r>
        <w:t xml:space="preserve">to log onto </w:t>
      </w:r>
      <w:r w:rsidR="00CA0045" w:rsidRPr="00CA0045">
        <w:t>VistA</w:t>
      </w:r>
      <w:r w:rsidR="001A1C71" w:rsidRPr="001A1C71">
        <w:t xml:space="preserve"> </w:t>
      </w:r>
      <w:r w:rsidR="001A1C71">
        <w:t>(defined in VistA server settings)</w:t>
      </w:r>
      <w:r>
        <w:t xml:space="preserve">, the </w:t>
      </w:r>
      <w:r w:rsidR="00CA0045" w:rsidRPr="00CA0045">
        <w:t>VistA</w:t>
      </w:r>
      <w:r>
        <w:t xml:space="preserve"> server terminates the logon session and displays a message prompting the user to log onto </w:t>
      </w:r>
      <w:r w:rsidR="00CA0045" w:rsidRPr="00CA0045">
        <w:t>VistA</w:t>
      </w:r>
      <w:r>
        <w:t xml:space="preserve"> again. </w:t>
      </w:r>
    </w:p>
    <w:p w14:paraId="4F7121F7" w14:textId="631F8EB7" w:rsidR="0053445B" w:rsidRDefault="0053445B" w:rsidP="00F462A4">
      <w:pPr>
        <w:pStyle w:val="ListBullet"/>
      </w:pPr>
      <w:r w:rsidRPr="0053445B">
        <w:t>After 60 minutes of inactivity, VBECS disconnects the user from the server. When the user logs back in, he will see the last screen he worked on. After 60 minutes of inactivity, work done after the last save will be lost. The user must log in and start over.</w:t>
      </w:r>
      <w:r w:rsidR="001F54B5">
        <w:t xml:space="preserve"> </w:t>
      </w:r>
      <w:r w:rsidR="001F54B5" w:rsidRPr="001F54B5">
        <w:rPr>
          <w:vanish/>
        </w:rPr>
        <w:t>Task 1199000</w:t>
      </w:r>
    </w:p>
    <w:p w14:paraId="652CDD2B" w14:textId="77777777" w:rsidR="003F4C26" w:rsidRDefault="003F4C26" w:rsidP="003F4C26">
      <w:pPr>
        <w:pStyle w:val="ListBullet"/>
      </w:pPr>
      <w:r>
        <w:t xml:space="preserve">Removing PIV card is similar to locking your computer in that it does not close active </w:t>
      </w:r>
      <w:r w:rsidR="00980C38">
        <w:t>programs. The</w:t>
      </w:r>
      <w:r>
        <w:t xml:space="preserve"> VBECS </w:t>
      </w:r>
      <w:r w:rsidR="00980C38">
        <w:t xml:space="preserve">session will </w:t>
      </w:r>
      <w:r>
        <w:t>remain</w:t>
      </w:r>
      <w:r w:rsidR="00980C38">
        <w:t xml:space="preserve"> active</w:t>
      </w:r>
      <w:r>
        <w:t xml:space="preserve"> </w:t>
      </w:r>
      <w:r w:rsidR="003A3484">
        <w:t xml:space="preserve">but disconnected </w:t>
      </w:r>
      <w:r>
        <w:t xml:space="preserve">as </w:t>
      </w:r>
      <w:r w:rsidR="00980C38">
        <w:t xml:space="preserve">long as you log back in within </w:t>
      </w:r>
      <w:r w:rsidR="008C75A6">
        <w:t>15</w:t>
      </w:r>
      <w:r>
        <w:t xml:space="preserve"> minutes.</w:t>
      </w:r>
    </w:p>
    <w:p w14:paraId="052D954A" w14:textId="77777777" w:rsidR="00F462A4" w:rsidRPr="006D284D" w:rsidRDefault="00F462A4" w:rsidP="00F462A4">
      <w:pPr>
        <w:pStyle w:val="ListBullet"/>
        <w:rPr>
          <w:szCs w:val="20"/>
        </w:rPr>
      </w:pPr>
      <w:r>
        <w:t>The</w:t>
      </w:r>
      <w:r w:rsidRPr="008F72F4">
        <w:t xml:space="preserve"> user may log into multiple terminals simultaneously</w:t>
      </w:r>
      <w:r w:rsidR="00980C38">
        <w:t>, but accessing VBECS in multiple sessions is no longer possible due to the way the PIV card works</w:t>
      </w:r>
      <w:r>
        <w:rPr>
          <w:rStyle w:val="FootnoteReference"/>
        </w:rPr>
        <w:footnoteReference w:id="2"/>
      </w:r>
      <w:r w:rsidRPr="008F72F4">
        <w:t>.</w:t>
      </w:r>
      <w:r>
        <w:t xml:space="preserve"> </w:t>
      </w:r>
    </w:p>
    <w:p w14:paraId="40C4E31E" w14:textId="2C117FEC" w:rsidR="00F462A4" w:rsidRDefault="00F462A4" w:rsidP="00F462A4">
      <w:pPr>
        <w:pStyle w:val="ListBullet"/>
      </w:pPr>
      <w:r>
        <w:t>A user with multidivisional access privileges may change divisions during a VBECS session.</w:t>
      </w:r>
    </w:p>
    <w:p w14:paraId="5C49C851" w14:textId="77777777" w:rsidR="002C7ECA" w:rsidRDefault="001F56CA" w:rsidP="00F462A4">
      <w:pPr>
        <w:pStyle w:val="ListBullet"/>
      </w:pPr>
      <w:r w:rsidRPr="001F56CA">
        <w:rPr>
          <w:vanish/>
        </w:rPr>
        <w:t xml:space="preserve">BR_102.09 </w:t>
      </w:r>
      <w:r>
        <w:t>VBECS will attempt to resend queued DSS information when VistALink is available after any user logs in.</w:t>
      </w:r>
    </w:p>
    <w:p w14:paraId="1596C423" w14:textId="77777777" w:rsidR="002A21AE" w:rsidRDefault="002A21AE">
      <w:pPr>
        <w:pStyle w:val="Heading4"/>
        <w:rPr>
          <w:b w:val="0"/>
        </w:rPr>
      </w:pPr>
      <w:r>
        <w:t>User Roles with Access to This Option</w:t>
      </w:r>
      <w:r>
        <w:rPr>
          <w:b w:val="0"/>
        </w:rPr>
        <w:t xml:space="preserve"> </w:t>
      </w:r>
    </w:p>
    <w:p w14:paraId="53EF3E18" w14:textId="77777777" w:rsidR="002A21AE" w:rsidRDefault="00237C52">
      <w:pPr>
        <w:pStyle w:val="Roles"/>
      </w:pPr>
      <w:r>
        <w:t>All users</w:t>
      </w:r>
    </w:p>
    <w:p w14:paraId="1C2DEE38" w14:textId="77777777" w:rsidR="002A21AE" w:rsidRDefault="005A630C">
      <w:pPr>
        <w:pStyle w:val="Heading4"/>
      </w:pPr>
      <w:r>
        <w:t>Log i</w:t>
      </w:r>
      <w:r w:rsidR="002A21AE">
        <w:t>nto VBECS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2A21AE" w14:paraId="17FC926A" w14:textId="77777777">
        <w:trPr>
          <w:tblHeader/>
        </w:trPr>
        <w:tc>
          <w:tcPr>
            <w:tcW w:w="3330" w:type="dxa"/>
            <w:shd w:val="pct30" w:color="auto" w:fill="FFFFFF"/>
            <w:vAlign w:val="bottom"/>
          </w:tcPr>
          <w:p w14:paraId="2918A978" w14:textId="77777777" w:rsidR="002A21AE" w:rsidRDefault="002A21AE">
            <w:pPr>
              <w:pStyle w:val="TableText"/>
              <w:rPr>
                <w:b/>
              </w:rPr>
            </w:pPr>
            <w:r>
              <w:rPr>
                <w:b/>
              </w:rPr>
              <w:t>User Action</w:t>
            </w:r>
          </w:p>
        </w:tc>
        <w:tc>
          <w:tcPr>
            <w:tcW w:w="6138" w:type="dxa"/>
            <w:shd w:val="pct30" w:color="auto" w:fill="FFFFFF"/>
            <w:vAlign w:val="bottom"/>
          </w:tcPr>
          <w:p w14:paraId="322A333E" w14:textId="77777777" w:rsidR="002A21AE" w:rsidRDefault="002A21AE">
            <w:pPr>
              <w:pStyle w:val="TableText"/>
              <w:rPr>
                <w:b/>
              </w:rPr>
            </w:pPr>
            <w:r>
              <w:rPr>
                <w:b/>
              </w:rPr>
              <w:t>VBECS</w:t>
            </w:r>
          </w:p>
        </w:tc>
      </w:tr>
      <w:tr w:rsidR="002A21AE" w14:paraId="11767AD3" w14:textId="77777777">
        <w:trPr>
          <w:trHeight w:val="782"/>
        </w:trPr>
        <w:tc>
          <w:tcPr>
            <w:tcW w:w="3330" w:type="dxa"/>
          </w:tcPr>
          <w:p w14:paraId="4F89AB86" w14:textId="77777777" w:rsidR="00ED7401" w:rsidRDefault="002A21AE" w:rsidP="006B6C5C">
            <w:pPr>
              <w:pStyle w:val="TableTextNumbers"/>
            </w:pPr>
            <w:r>
              <w:t xml:space="preserve">To log into VBECS, </w:t>
            </w:r>
            <w:r w:rsidR="003814BF">
              <w:t>double-</w:t>
            </w:r>
            <w:r w:rsidR="00C81E8B">
              <w:t>click</w:t>
            </w:r>
            <w:r w:rsidR="00EB6924">
              <w:t xml:space="preserve"> </w:t>
            </w:r>
            <w:r w:rsidR="00C81E8B">
              <w:t>the</w:t>
            </w:r>
            <w:r>
              <w:t xml:space="preserve"> </w:t>
            </w:r>
            <w:r w:rsidRPr="00C81E8B">
              <w:rPr>
                <w:b/>
              </w:rPr>
              <w:t>Remote Desktop Connectio</w:t>
            </w:r>
            <w:r w:rsidR="00C81E8B" w:rsidRPr="00C81E8B">
              <w:rPr>
                <w:b/>
              </w:rPr>
              <w:t>n</w:t>
            </w:r>
            <w:r w:rsidR="00C81E8B">
              <w:t xml:space="preserve"> </w:t>
            </w:r>
            <w:r>
              <w:rPr>
                <w:b/>
              </w:rPr>
              <w:t>icon</w:t>
            </w:r>
            <w:r w:rsidR="006C04EE">
              <w:rPr>
                <w:b/>
              </w:rPr>
              <w:t xml:space="preserve"> </w:t>
            </w:r>
            <w:r w:rsidR="00182C38">
              <w:t>on the Windows desktop</w:t>
            </w:r>
            <w:r>
              <w:t>.</w:t>
            </w:r>
            <w:r w:rsidR="00775C2B">
              <w:t xml:space="preserve"> </w:t>
            </w:r>
          </w:p>
          <w:p w14:paraId="6F86044D" w14:textId="77777777" w:rsidR="00775C2B" w:rsidRDefault="00775C2B" w:rsidP="00182C38">
            <w:pPr>
              <w:pStyle w:val="TableTextNumbersContinued"/>
            </w:pPr>
          </w:p>
        </w:tc>
        <w:tc>
          <w:tcPr>
            <w:tcW w:w="6138" w:type="dxa"/>
          </w:tcPr>
          <w:p w14:paraId="035FE8E6" w14:textId="77777777" w:rsidR="00ED7401" w:rsidRDefault="006B6C5C" w:rsidP="006B6C5C">
            <w:pPr>
              <w:pStyle w:val="TableTextBullet"/>
            </w:pPr>
            <w:r>
              <w:t>Displays the Remote Desktop Connection screen.</w:t>
            </w:r>
          </w:p>
        </w:tc>
      </w:tr>
      <w:tr w:rsidR="00182C38" w14:paraId="3DF44FD8" w14:textId="77777777">
        <w:tc>
          <w:tcPr>
            <w:tcW w:w="3330" w:type="dxa"/>
          </w:tcPr>
          <w:p w14:paraId="0952BE22" w14:textId="487E955A" w:rsidR="00182C38" w:rsidRDefault="00182C38">
            <w:pPr>
              <w:pStyle w:val="TableTextNumbers"/>
            </w:pPr>
            <w:r>
              <w:t xml:space="preserve">Enter or select the name of the VBECS server on the </w:t>
            </w:r>
            <w:r w:rsidRPr="00C81E8B">
              <w:rPr>
                <w:b/>
              </w:rPr>
              <w:t>Remote Desktop Connection</w:t>
            </w:r>
            <w:r>
              <w:rPr>
                <w:b/>
              </w:rPr>
              <w:t xml:space="preserve"> </w:t>
            </w:r>
            <w:r w:rsidR="00675961" w:rsidRPr="006C04EE">
              <w:t>(</w:t>
            </w:r>
            <w:r w:rsidR="00675961">
              <w:fldChar w:fldCharType="begin"/>
            </w:r>
            <w:r w:rsidR="00675961">
              <w:instrText xml:space="preserve"> REF _Ref136339357 \h </w:instrText>
            </w:r>
            <w:r w:rsidR="006B6C5C">
              <w:instrText xml:space="preserve"> \* MERGEFORMAT </w:instrText>
            </w:r>
            <w:r w:rsidR="00675961">
              <w:fldChar w:fldCharType="separate"/>
            </w:r>
            <w:r w:rsidR="004353ED">
              <w:t xml:space="preserve">Figure </w:t>
            </w:r>
            <w:r w:rsidR="004353ED">
              <w:rPr>
                <w:noProof/>
              </w:rPr>
              <w:t>25</w:t>
            </w:r>
            <w:r w:rsidR="00675961">
              <w:fldChar w:fldCharType="end"/>
            </w:r>
            <w:r w:rsidR="00675961" w:rsidRPr="006C04EE">
              <w:t>)</w:t>
            </w:r>
            <w:r w:rsidR="00675961">
              <w:t xml:space="preserve"> screen</w:t>
            </w:r>
            <w:r>
              <w:t xml:space="preserve"> and click </w:t>
            </w:r>
            <w:r>
              <w:rPr>
                <w:b/>
              </w:rPr>
              <w:t>Connect</w:t>
            </w:r>
            <w:r>
              <w:t>.</w:t>
            </w:r>
          </w:p>
        </w:tc>
        <w:tc>
          <w:tcPr>
            <w:tcW w:w="6138" w:type="dxa"/>
          </w:tcPr>
          <w:p w14:paraId="4654CAC9" w14:textId="77777777" w:rsidR="00182C38" w:rsidRDefault="00675961">
            <w:pPr>
              <w:pStyle w:val="TableTextBullet"/>
            </w:pPr>
            <w:r>
              <w:t>Displays Security Warning screen.</w:t>
            </w:r>
          </w:p>
        </w:tc>
      </w:tr>
      <w:tr w:rsidR="00675961" w14:paraId="4170D417" w14:textId="77777777">
        <w:tc>
          <w:tcPr>
            <w:tcW w:w="3330" w:type="dxa"/>
          </w:tcPr>
          <w:p w14:paraId="60A7EE9A" w14:textId="77777777" w:rsidR="00675961" w:rsidRDefault="00675961">
            <w:pPr>
              <w:pStyle w:val="TableTextNumbers"/>
            </w:pPr>
            <w:r>
              <w:t xml:space="preserve">Click </w:t>
            </w:r>
            <w:r>
              <w:rPr>
                <w:b/>
              </w:rPr>
              <w:t>OK</w:t>
            </w:r>
            <w:r>
              <w:t xml:space="preserve"> on the Security Warning screen.</w:t>
            </w:r>
          </w:p>
        </w:tc>
        <w:tc>
          <w:tcPr>
            <w:tcW w:w="6138" w:type="dxa"/>
          </w:tcPr>
          <w:p w14:paraId="257981AF" w14:textId="77777777" w:rsidR="00675961" w:rsidRDefault="00675961">
            <w:pPr>
              <w:pStyle w:val="TableTextBullet"/>
            </w:pPr>
            <w:r>
              <w:t>Displays Log On to Windows screen.</w:t>
            </w:r>
          </w:p>
        </w:tc>
      </w:tr>
      <w:tr w:rsidR="00675961" w14:paraId="6C3F472A" w14:textId="77777777">
        <w:tc>
          <w:tcPr>
            <w:tcW w:w="3330" w:type="dxa"/>
          </w:tcPr>
          <w:p w14:paraId="20855511" w14:textId="5E45630F" w:rsidR="00675961" w:rsidRDefault="00F40ED2" w:rsidP="00F617D1">
            <w:pPr>
              <w:pStyle w:val="TableTextNumbers"/>
            </w:pPr>
            <w:r>
              <w:t>If site is not PIV exempt, u</w:t>
            </w:r>
            <w:r w:rsidR="00F617D1">
              <w:t>se PIV and PIN to enter the R</w:t>
            </w:r>
            <w:r w:rsidR="002F5BFE">
              <w:t>emote Desktop Session (</w:t>
            </w:r>
            <w:r w:rsidR="002F5BFE">
              <w:fldChar w:fldCharType="begin"/>
            </w:r>
            <w:r w:rsidR="002F5BFE">
              <w:instrText xml:space="preserve"> REF _Ref136339358 \h </w:instrText>
            </w:r>
            <w:r w:rsidR="002F5BFE">
              <w:fldChar w:fldCharType="separate"/>
            </w:r>
            <w:r w:rsidR="004353ED">
              <w:t xml:space="preserve">Figure </w:t>
            </w:r>
            <w:r w:rsidR="004353ED">
              <w:rPr>
                <w:noProof/>
              </w:rPr>
              <w:t>26</w:t>
            </w:r>
            <w:r w:rsidR="002F5BFE">
              <w:fldChar w:fldCharType="end"/>
            </w:r>
            <w:r w:rsidR="002F5BFE">
              <w:t xml:space="preserve"> and </w:t>
            </w:r>
            <w:r w:rsidR="002F5BFE">
              <w:fldChar w:fldCharType="begin"/>
            </w:r>
            <w:r w:rsidR="002F5BFE">
              <w:instrText xml:space="preserve"> REF _Ref470094328 \h </w:instrText>
            </w:r>
            <w:r w:rsidR="002F5BFE">
              <w:fldChar w:fldCharType="separate"/>
            </w:r>
            <w:r w:rsidR="004353ED">
              <w:t xml:space="preserve">Figure </w:t>
            </w:r>
            <w:r w:rsidR="004353ED">
              <w:rPr>
                <w:noProof/>
              </w:rPr>
              <w:t>27</w:t>
            </w:r>
            <w:r w:rsidR="002F5BFE">
              <w:fldChar w:fldCharType="end"/>
            </w:r>
            <w:r w:rsidR="00F617D1">
              <w:t>)</w:t>
            </w:r>
            <w:r w:rsidR="00372AA3">
              <w:t>.</w:t>
            </w:r>
            <w:r w:rsidRPr="00812458">
              <w:rPr>
                <w:vanish/>
              </w:rPr>
              <w:t xml:space="preserve"> Task 561381</w:t>
            </w:r>
          </w:p>
        </w:tc>
        <w:tc>
          <w:tcPr>
            <w:tcW w:w="6138" w:type="dxa"/>
          </w:tcPr>
          <w:p w14:paraId="361D376E" w14:textId="77777777" w:rsidR="005B1DF4" w:rsidRDefault="006B6C5C" w:rsidP="002A5604">
            <w:pPr>
              <w:pStyle w:val="TableTextBullet"/>
            </w:pPr>
            <w:r>
              <w:t>Displays VBE</w:t>
            </w:r>
            <w:r w:rsidR="00F617D1">
              <w:t>CS server desktop with VBECS Prod, VBECS Test, VBECS Admin Prod</w:t>
            </w:r>
            <w:r>
              <w:t xml:space="preserve"> a</w:t>
            </w:r>
            <w:r w:rsidR="00F617D1">
              <w:t xml:space="preserve">nd VBECS Admin Test </w:t>
            </w:r>
            <w:r>
              <w:t>icons.</w:t>
            </w:r>
          </w:p>
          <w:p w14:paraId="19E45107" w14:textId="77777777" w:rsidR="005B1DF4" w:rsidRDefault="005B1DF4" w:rsidP="005B1DF4">
            <w:pPr>
              <w:pStyle w:val="TableTextBullet"/>
              <w:numPr>
                <w:ilvl w:val="0"/>
                <w:numId w:val="0"/>
              </w:numPr>
            </w:pPr>
          </w:p>
          <w:p w14:paraId="670539C1" w14:textId="3B9B67FA" w:rsidR="005B1DF4" w:rsidRPr="005B1DF4" w:rsidRDefault="005B1DF4" w:rsidP="005B1DF4">
            <w:pPr>
              <w:pStyle w:val="TableText"/>
              <w:rPr>
                <w:b/>
                <w:bCs/>
              </w:rPr>
            </w:pPr>
            <w:r>
              <w:rPr>
                <w:b/>
                <w:bCs/>
              </w:rPr>
              <w:t>NOTES</w:t>
            </w:r>
          </w:p>
          <w:p w14:paraId="4E859481" w14:textId="77777777" w:rsidR="005B1DF4" w:rsidRDefault="005B1DF4" w:rsidP="005B1DF4">
            <w:pPr>
              <w:pStyle w:val="NotesText"/>
            </w:pPr>
            <w:r>
              <w:t>Users with VBECS Administrator access can select to start VBECS administrator or VBECS.</w:t>
            </w:r>
          </w:p>
          <w:p w14:paraId="759EE836" w14:textId="77777777" w:rsidR="002A5604" w:rsidRPr="005B1DF4" w:rsidRDefault="002A5604" w:rsidP="005B1DF4">
            <w:pPr>
              <w:pStyle w:val="TableText"/>
              <w:rPr>
                <w:b/>
                <w:bCs/>
              </w:rPr>
            </w:pPr>
          </w:p>
        </w:tc>
      </w:tr>
      <w:tr w:rsidR="006B6C5C" w14:paraId="22B8168F" w14:textId="77777777">
        <w:tc>
          <w:tcPr>
            <w:tcW w:w="3330" w:type="dxa"/>
          </w:tcPr>
          <w:p w14:paraId="529A17A8" w14:textId="77777777" w:rsidR="006B6C5C" w:rsidRDefault="006B6C5C" w:rsidP="002A5604">
            <w:pPr>
              <w:pStyle w:val="TableTextNumbers"/>
            </w:pPr>
            <w:r>
              <w:lastRenderedPageBreak/>
              <w:t xml:space="preserve">Click on the </w:t>
            </w:r>
            <w:r w:rsidRPr="006B6C5C">
              <w:rPr>
                <w:b/>
              </w:rPr>
              <w:t>VBECS</w:t>
            </w:r>
            <w:r w:rsidR="00F617D1">
              <w:rPr>
                <w:b/>
              </w:rPr>
              <w:t xml:space="preserve"> Prod</w:t>
            </w:r>
            <w:r>
              <w:t xml:space="preserve"> or </w:t>
            </w:r>
            <w:r w:rsidRPr="006B6C5C">
              <w:rPr>
                <w:b/>
              </w:rPr>
              <w:t>VBECS Test</w:t>
            </w:r>
            <w:r>
              <w:t xml:space="preserve"> icon to access VBECS.</w:t>
            </w:r>
          </w:p>
        </w:tc>
        <w:tc>
          <w:tcPr>
            <w:tcW w:w="6138" w:type="dxa"/>
          </w:tcPr>
          <w:p w14:paraId="7C8A7C8B" w14:textId="77777777" w:rsidR="006B6C5C" w:rsidRDefault="006B6C5C" w:rsidP="006B6C5C">
            <w:pPr>
              <w:pStyle w:val="TableTextBullet"/>
            </w:pPr>
            <w:r>
              <w:t>Displays the Select Division screen when the user has access privileges to multiple divisions in a single VBECS installation.</w:t>
            </w:r>
          </w:p>
          <w:p w14:paraId="67D8CBA4" w14:textId="77777777" w:rsidR="006B6C5C" w:rsidRDefault="006B6C5C" w:rsidP="006B6C5C">
            <w:pPr>
              <w:pStyle w:val="TableText"/>
            </w:pPr>
          </w:p>
          <w:p w14:paraId="03094932" w14:textId="53F0C181" w:rsidR="006B6C5C" w:rsidRDefault="006B6C5C" w:rsidP="006B6C5C">
            <w:pPr>
              <w:pStyle w:val="TableText"/>
              <w:rPr>
                <w:b/>
                <w:bCs/>
                <w:szCs w:val="18"/>
              </w:rPr>
            </w:pPr>
            <w:r>
              <w:rPr>
                <w:b/>
                <w:bCs/>
                <w:szCs w:val="18"/>
              </w:rPr>
              <w:t>NOTES</w:t>
            </w:r>
          </w:p>
          <w:p w14:paraId="1649A4E2" w14:textId="77777777" w:rsidR="006B6C5C" w:rsidRDefault="006B6C5C" w:rsidP="006B6C5C">
            <w:pPr>
              <w:pStyle w:val="NotesText"/>
            </w:pPr>
          </w:p>
          <w:p w14:paraId="224741E8" w14:textId="77777777" w:rsidR="006B6C5C" w:rsidRDefault="006B6C5C" w:rsidP="006B6C5C">
            <w:pPr>
              <w:pStyle w:val="NotesText"/>
            </w:pPr>
            <w:r w:rsidRPr="00E274BF">
              <w:rPr>
                <w:rFonts w:cs="Arial"/>
                <w:vanish/>
                <w:szCs w:val="18"/>
              </w:rPr>
              <w:t>BR_18.08</w:t>
            </w:r>
            <w:r>
              <w:rPr>
                <w:rFonts w:ascii="Times New Roman" w:hAnsi="Times New Roman"/>
                <w:vanish/>
                <w:sz w:val="22"/>
              </w:rPr>
              <w:t xml:space="preserve"> </w:t>
            </w:r>
            <w:r>
              <w:t>A user may exit without logging into a division.</w:t>
            </w:r>
          </w:p>
        </w:tc>
      </w:tr>
      <w:tr w:rsidR="002A21AE" w14:paraId="03DB2C6E" w14:textId="77777777">
        <w:tc>
          <w:tcPr>
            <w:tcW w:w="3330" w:type="dxa"/>
          </w:tcPr>
          <w:p w14:paraId="0B46250C" w14:textId="7DA2CC8E" w:rsidR="002A5604" w:rsidRDefault="002A5604" w:rsidP="002F5BFE">
            <w:pPr>
              <w:pStyle w:val="TableTextNumbers"/>
            </w:pPr>
            <w:r>
              <w:t>Multidivision users will be prompted to s</w:t>
            </w:r>
            <w:r w:rsidR="002A21AE">
              <w:t xml:space="preserve">elect a division from the </w:t>
            </w:r>
            <w:r w:rsidR="002A21AE">
              <w:rPr>
                <w:b/>
              </w:rPr>
              <w:t>Select Division</w:t>
            </w:r>
            <w:r w:rsidR="002A21AE">
              <w:t xml:space="preserve"> list and click </w:t>
            </w:r>
            <w:r w:rsidR="002A21AE">
              <w:rPr>
                <w:b/>
              </w:rPr>
              <w:t>OK</w:t>
            </w:r>
            <w:r w:rsidR="003814BF">
              <w:rPr>
                <w:bCs/>
              </w:rPr>
              <w:t>, or double-</w:t>
            </w:r>
            <w:r w:rsidR="002A21AE">
              <w:rPr>
                <w:bCs/>
              </w:rPr>
              <w:t>click the division</w:t>
            </w:r>
            <w:r w:rsidR="002F5BFE">
              <w:rPr>
                <w:bCs/>
              </w:rPr>
              <w:t xml:space="preserve"> (</w:t>
            </w:r>
            <w:r w:rsidR="002F5BFE">
              <w:rPr>
                <w:bCs/>
              </w:rPr>
              <w:fldChar w:fldCharType="begin"/>
            </w:r>
            <w:r w:rsidR="002F5BFE">
              <w:rPr>
                <w:bCs/>
              </w:rPr>
              <w:instrText xml:space="preserve"> REF _Ref470094631 \h </w:instrText>
            </w:r>
            <w:r w:rsidR="002F5BFE">
              <w:rPr>
                <w:bCs/>
              </w:rPr>
            </w:r>
            <w:r w:rsidR="002F5BFE">
              <w:rPr>
                <w:bCs/>
              </w:rPr>
              <w:fldChar w:fldCharType="separate"/>
            </w:r>
            <w:r w:rsidR="004353ED">
              <w:t xml:space="preserve">Figure </w:t>
            </w:r>
            <w:r w:rsidR="004353ED">
              <w:rPr>
                <w:noProof/>
              </w:rPr>
              <w:t>28</w:t>
            </w:r>
            <w:r w:rsidR="002F5BFE">
              <w:rPr>
                <w:bCs/>
              </w:rPr>
              <w:fldChar w:fldCharType="end"/>
            </w:r>
            <w:r w:rsidR="002F5BFE">
              <w:rPr>
                <w:bCs/>
              </w:rPr>
              <w:t>)</w:t>
            </w:r>
            <w:r w:rsidR="007710C5">
              <w:rPr>
                <w:bCs/>
              </w:rPr>
              <w:t>.</w:t>
            </w:r>
          </w:p>
        </w:tc>
        <w:tc>
          <w:tcPr>
            <w:tcW w:w="6138" w:type="dxa"/>
          </w:tcPr>
          <w:p w14:paraId="1D080093" w14:textId="77777777" w:rsidR="007710C5" w:rsidRDefault="000925E5" w:rsidP="007710C5">
            <w:pPr>
              <w:pStyle w:val="TableTextBullet"/>
            </w:pPr>
            <w:r w:rsidRPr="000925E5">
              <w:rPr>
                <w:vanish/>
              </w:rPr>
              <w:t xml:space="preserve">BR_18.10 </w:t>
            </w:r>
            <w:r w:rsidRPr="006B6C5C">
              <w:t xml:space="preserve">Displays an </w:t>
            </w:r>
            <w:r w:rsidRPr="00A942EB">
              <w:t xml:space="preserve">error message to the user when </w:t>
            </w:r>
            <w:r>
              <w:t>logging</w:t>
            </w:r>
            <w:r w:rsidRPr="00A942EB">
              <w:t xml:space="preserve"> into </w:t>
            </w:r>
            <w:r w:rsidR="006B6C5C">
              <w:t>VBECS</w:t>
            </w:r>
            <w:r w:rsidRPr="00A942EB">
              <w:t>, or switch</w:t>
            </w:r>
            <w:r>
              <w:t>ing</w:t>
            </w:r>
            <w:r w:rsidRPr="00A942EB">
              <w:t xml:space="preserve"> divisions, </w:t>
            </w:r>
            <w:r>
              <w:t xml:space="preserve">if the default printer </w:t>
            </w:r>
            <w:r w:rsidR="00842346">
              <w:t xml:space="preserve">for the division </w:t>
            </w:r>
            <w:r>
              <w:t>was removed.</w:t>
            </w:r>
            <w:r w:rsidR="009D459D" w:rsidRPr="009D459D">
              <w:rPr>
                <w:vanish/>
              </w:rPr>
              <w:t>DR 2,884</w:t>
            </w:r>
          </w:p>
          <w:p w14:paraId="570AB841" w14:textId="77777777" w:rsidR="007710C5" w:rsidRDefault="007710C5" w:rsidP="007710C5">
            <w:pPr>
              <w:pStyle w:val="TableTextBullet"/>
            </w:pPr>
            <w:r>
              <w:t>Displays a division login message.</w:t>
            </w:r>
          </w:p>
          <w:p w14:paraId="514B7FF0" w14:textId="77777777" w:rsidR="000925E5" w:rsidRDefault="000925E5" w:rsidP="000925E5">
            <w:pPr>
              <w:pStyle w:val="TableTextBullet"/>
              <w:numPr>
                <w:ilvl w:val="0"/>
                <w:numId w:val="0"/>
              </w:numPr>
            </w:pPr>
          </w:p>
          <w:p w14:paraId="5877EA5C" w14:textId="563C49FA" w:rsidR="002A21AE" w:rsidRDefault="002A21AE">
            <w:pPr>
              <w:pStyle w:val="TableText"/>
              <w:rPr>
                <w:b/>
                <w:bCs/>
                <w:szCs w:val="18"/>
              </w:rPr>
            </w:pPr>
            <w:r>
              <w:rPr>
                <w:b/>
                <w:bCs/>
                <w:szCs w:val="18"/>
              </w:rPr>
              <w:t>NOTES</w:t>
            </w:r>
          </w:p>
          <w:p w14:paraId="0B66B2E7" w14:textId="77777777" w:rsidR="002A21AE" w:rsidRDefault="002A21AE">
            <w:pPr>
              <w:pStyle w:val="NotesText"/>
            </w:pPr>
          </w:p>
          <w:p w14:paraId="7DE9F579" w14:textId="77777777" w:rsidR="002A21AE" w:rsidRDefault="002A21AE">
            <w:pPr>
              <w:pStyle w:val="NotesText"/>
            </w:pPr>
            <w:r>
              <w:t>When VBECS is started, the user may have access to more than one division.</w:t>
            </w:r>
          </w:p>
          <w:p w14:paraId="137B0D95" w14:textId="77777777" w:rsidR="007710C5" w:rsidRDefault="007710C5">
            <w:pPr>
              <w:pStyle w:val="NotesText"/>
            </w:pPr>
          </w:p>
          <w:p w14:paraId="72C4D2E2" w14:textId="77777777" w:rsidR="007710C5" w:rsidRDefault="007710C5">
            <w:pPr>
              <w:pStyle w:val="NotesText"/>
            </w:pPr>
            <w:r>
              <w:t>The division login message allows the display of data as each user logs into his division. When no login message text is entered, VBECS does not display a login message.</w:t>
            </w:r>
          </w:p>
        </w:tc>
      </w:tr>
      <w:tr w:rsidR="002A21AE" w14:paraId="036BE9C8" w14:textId="77777777">
        <w:tc>
          <w:tcPr>
            <w:tcW w:w="3330" w:type="dxa"/>
          </w:tcPr>
          <w:p w14:paraId="0A44230C" w14:textId="419D293E" w:rsidR="00080078" w:rsidRDefault="00F40ED2" w:rsidP="00080078">
            <w:pPr>
              <w:pStyle w:val="TableTextNumbers"/>
            </w:pPr>
            <w:r>
              <w:t>If site is not PIV exempt, u</w:t>
            </w:r>
            <w:r w:rsidR="00080078">
              <w:t xml:space="preserve">se PIV and PIN to connect to </w:t>
            </w:r>
            <w:r w:rsidR="00D2565B">
              <w:t>VistALink</w:t>
            </w:r>
            <w:r w:rsidR="00080078">
              <w:t xml:space="preserve"> (</w:t>
            </w:r>
            <w:r w:rsidR="002F5BFE">
              <w:fldChar w:fldCharType="begin"/>
            </w:r>
            <w:r w:rsidR="002F5BFE">
              <w:instrText xml:space="preserve"> REF _Ref136339358 \h </w:instrText>
            </w:r>
            <w:r w:rsidR="002F5BFE">
              <w:fldChar w:fldCharType="separate"/>
            </w:r>
            <w:r w:rsidR="004353ED">
              <w:t xml:space="preserve">Figure </w:t>
            </w:r>
            <w:r w:rsidR="004353ED">
              <w:rPr>
                <w:noProof/>
              </w:rPr>
              <w:t>26</w:t>
            </w:r>
            <w:r w:rsidR="002F5BFE">
              <w:fldChar w:fldCharType="end"/>
            </w:r>
            <w:r w:rsidR="002F5BFE">
              <w:t xml:space="preserve"> and </w:t>
            </w:r>
            <w:r w:rsidR="002F5BFE">
              <w:fldChar w:fldCharType="begin"/>
            </w:r>
            <w:r w:rsidR="002F5BFE">
              <w:instrText xml:space="preserve"> REF _Ref470094328 \h </w:instrText>
            </w:r>
            <w:r w:rsidR="002F5BFE">
              <w:fldChar w:fldCharType="separate"/>
            </w:r>
            <w:r w:rsidR="004353ED">
              <w:t xml:space="preserve">Figure </w:t>
            </w:r>
            <w:r w:rsidR="004353ED">
              <w:rPr>
                <w:noProof/>
              </w:rPr>
              <w:t>27</w:t>
            </w:r>
            <w:r w:rsidR="002F5BFE">
              <w:fldChar w:fldCharType="end"/>
            </w:r>
            <w:r w:rsidR="00D2565B">
              <w:t>).</w:t>
            </w:r>
            <w:r w:rsidR="00080078" w:rsidRPr="00812458">
              <w:rPr>
                <w:vanish/>
              </w:rPr>
              <w:t xml:space="preserve"> </w:t>
            </w:r>
            <w:r w:rsidRPr="00812458">
              <w:rPr>
                <w:vanish/>
              </w:rPr>
              <w:t>Task 561381</w:t>
            </w:r>
          </w:p>
          <w:p w14:paraId="730147D7" w14:textId="77777777" w:rsidR="00080078" w:rsidRDefault="00080078" w:rsidP="00080078">
            <w:pPr>
              <w:pStyle w:val="TableTextNumbers"/>
              <w:numPr>
                <w:ilvl w:val="0"/>
                <w:numId w:val="0"/>
              </w:numPr>
              <w:ind w:left="288"/>
            </w:pPr>
          </w:p>
          <w:p w14:paraId="132E040F" w14:textId="77777777" w:rsidR="00F876CD" w:rsidRDefault="00F876CD" w:rsidP="00080078">
            <w:pPr>
              <w:pStyle w:val="TableTextNumbers"/>
              <w:numPr>
                <w:ilvl w:val="0"/>
                <w:numId w:val="0"/>
              </w:numPr>
              <w:ind w:left="288"/>
            </w:pPr>
            <w:r>
              <w:t>If the IAM PIV sign on process succeeds, continue at Step 9.</w:t>
            </w:r>
          </w:p>
          <w:p w14:paraId="675E7E27" w14:textId="77777777" w:rsidR="00F876CD" w:rsidRDefault="00F876CD" w:rsidP="00080078">
            <w:pPr>
              <w:pStyle w:val="TableTextNumbers"/>
              <w:numPr>
                <w:ilvl w:val="0"/>
                <w:numId w:val="0"/>
              </w:numPr>
              <w:ind w:left="288"/>
            </w:pPr>
          </w:p>
          <w:p w14:paraId="2F1A7BAE" w14:textId="77777777" w:rsidR="002A21AE" w:rsidRDefault="00080078" w:rsidP="00F876CD">
            <w:pPr>
              <w:pStyle w:val="TableTextNumbers"/>
              <w:numPr>
                <w:ilvl w:val="0"/>
                <w:numId w:val="0"/>
              </w:numPr>
              <w:ind w:left="288"/>
            </w:pPr>
            <w:r>
              <w:t>If the IAM PIV sign on p</w:t>
            </w:r>
            <w:r w:rsidR="00980C38">
              <w:t xml:space="preserve">rocess fails, continue </w:t>
            </w:r>
            <w:r w:rsidR="00F876CD">
              <w:t>at next step</w:t>
            </w:r>
            <w:r>
              <w:t>.</w:t>
            </w:r>
          </w:p>
        </w:tc>
        <w:tc>
          <w:tcPr>
            <w:tcW w:w="6138" w:type="dxa"/>
          </w:tcPr>
          <w:p w14:paraId="26079010" w14:textId="77777777" w:rsidR="002A21AE" w:rsidRDefault="00080078">
            <w:pPr>
              <w:pStyle w:val="TableTextBullet"/>
            </w:pPr>
            <w:r>
              <w:t xml:space="preserve">Directs user to the IAM service interface to select PIV certificate and </w:t>
            </w:r>
            <w:r w:rsidR="00FB7B1E">
              <w:t>possibly to re-</w:t>
            </w:r>
            <w:r>
              <w:t>enter PIN</w:t>
            </w:r>
            <w:r w:rsidR="002A21AE">
              <w:t>.</w:t>
            </w:r>
          </w:p>
          <w:p w14:paraId="0B2E8517" w14:textId="77777777" w:rsidR="002A21AE" w:rsidRDefault="00080078">
            <w:pPr>
              <w:pStyle w:val="TableTextBullet"/>
            </w:pPr>
            <w:r>
              <w:t xml:space="preserve">It the IAM PIV sign on process fails, VBECS continues to the next step and prompts user for VistA Access and </w:t>
            </w:r>
            <w:r w:rsidR="00F876CD">
              <w:t>Verify</w:t>
            </w:r>
            <w:r>
              <w:t xml:space="preserve"> Code. The user may log onto VistA or continue and log on as needed.</w:t>
            </w:r>
          </w:p>
          <w:p w14:paraId="12B47D94" w14:textId="77777777" w:rsidR="002A21AE" w:rsidRDefault="002A21AE">
            <w:pPr>
              <w:pStyle w:val="TableText"/>
              <w:rPr>
                <w:b/>
                <w:bCs/>
                <w:szCs w:val="18"/>
              </w:rPr>
            </w:pPr>
          </w:p>
          <w:p w14:paraId="31424F6A" w14:textId="61EEED09" w:rsidR="002A21AE" w:rsidRDefault="002A21AE">
            <w:pPr>
              <w:pStyle w:val="TableText"/>
              <w:rPr>
                <w:b/>
                <w:bCs/>
                <w:szCs w:val="18"/>
              </w:rPr>
            </w:pPr>
            <w:r>
              <w:rPr>
                <w:b/>
                <w:bCs/>
                <w:szCs w:val="18"/>
              </w:rPr>
              <w:t>NOTES</w:t>
            </w:r>
          </w:p>
          <w:p w14:paraId="57ED5545" w14:textId="77777777" w:rsidR="0078056E" w:rsidRDefault="0078056E" w:rsidP="0078056E">
            <w:pPr>
              <w:pStyle w:val="NotesText"/>
            </w:pPr>
            <w:r w:rsidRPr="00E274BF">
              <w:rPr>
                <w:rFonts w:cs="Arial"/>
                <w:vanish/>
                <w:szCs w:val="18"/>
              </w:rPr>
              <w:t>BR_10</w:t>
            </w:r>
            <w:r w:rsidR="00DE61D9">
              <w:rPr>
                <w:rFonts w:cs="Arial"/>
                <w:vanish/>
                <w:szCs w:val="18"/>
              </w:rPr>
              <w:t>2.10</w:t>
            </w:r>
            <w:r>
              <w:rPr>
                <w:rFonts w:ascii="Times New Roman" w:hAnsi="Times New Roman"/>
                <w:vanish/>
                <w:sz w:val="22"/>
              </w:rPr>
              <w:t xml:space="preserve"> </w:t>
            </w:r>
            <w:r w:rsidR="00080078">
              <w:t>The system prompts the user for their access and verify code when there is no active IAM service certification</w:t>
            </w:r>
            <w:r>
              <w:t>.</w:t>
            </w:r>
          </w:p>
          <w:p w14:paraId="46ED2802" w14:textId="77777777" w:rsidR="0078056E" w:rsidRDefault="0078056E" w:rsidP="0078056E">
            <w:pPr>
              <w:pStyle w:val="NotesText"/>
            </w:pPr>
          </w:p>
          <w:p w14:paraId="1324BCCE" w14:textId="77777777" w:rsidR="00080078" w:rsidRPr="00DE61D9" w:rsidRDefault="00DE61D9" w:rsidP="00DE61D9">
            <w:pPr>
              <w:pStyle w:val="NotesText"/>
            </w:pPr>
            <w:r w:rsidRPr="00DE61D9">
              <w:rPr>
                <w:vanish/>
              </w:rPr>
              <w:t xml:space="preserve">DR 1,116 </w:t>
            </w:r>
            <w:r w:rsidR="00080078">
              <w:t>When a user logs into VBECS, the connection to VistA is established and the data in the cache tables are out of date. VBECS retrieves the current data from VistA and saves them</w:t>
            </w:r>
            <w:r>
              <w:t xml:space="preserve">. </w:t>
            </w:r>
            <w:r w:rsidR="00080078">
              <w:t>This update process may delay user login.</w:t>
            </w:r>
          </w:p>
        </w:tc>
      </w:tr>
      <w:tr w:rsidR="002A21AE" w14:paraId="2796BCA8" w14:textId="77777777" w:rsidTr="007E500E">
        <w:trPr>
          <w:cantSplit/>
        </w:trPr>
        <w:tc>
          <w:tcPr>
            <w:tcW w:w="3330" w:type="dxa"/>
          </w:tcPr>
          <w:p w14:paraId="5DF440F2" w14:textId="679AD791" w:rsidR="002A21AE" w:rsidRDefault="007B7F36" w:rsidP="00D00478">
            <w:pPr>
              <w:pStyle w:val="TableTextNumbers"/>
            </w:pPr>
            <w:r>
              <w:t>Enter the VistA Ac</w:t>
            </w:r>
            <w:r w:rsidR="002F5BFE">
              <w:t>cess and Verify Codes (</w:t>
            </w:r>
            <w:r w:rsidR="00D00478">
              <w:fldChar w:fldCharType="begin"/>
            </w:r>
            <w:r w:rsidR="00D00478">
              <w:instrText xml:space="preserve"> REF _Ref470094882 \h </w:instrText>
            </w:r>
            <w:r w:rsidR="00D00478">
              <w:fldChar w:fldCharType="separate"/>
            </w:r>
            <w:r w:rsidR="004353ED">
              <w:t xml:space="preserve">Figure </w:t>
            </w:r>
            <w:r w:rsidR="004353ED">
              <w:rPr>
                <w:noProof/>
              </w:rPr>
              <w:t>29</w:t>
            </w:r>
            <w:r w:rsidR="00D00478">
              <w:fldChar w:fldCharType="end"/>
            </w:r>
            <w:r>
              <w:t>)</w:t>
            </w:r>
            <w:r w:rsidR="002A21AE">
              <w:t>.</w:t>
            </w:r>
          </w:p>
        </w:tc>
        <w:tc>
          <w:tcPr>
            <w:tcW w:w="6138" w:type="dxa"/>
          </w:tcPr>
          <w:p w14:paraId="7E6C72F4" w14:textId="77777777" w:rsidR="007B7F36" w:rsidRDefault="002A21AE" w:rsidP="007B7F36">
            <w:pPr>
              <w:pStyle w:val="TableTextBullet"/>
            </w:pPr>
            <w:r w:rsidRPr="00E274BF">
              <w:rPr>
                <w:rFonts w:cs="Arial"/>
                <w:vanish/>
                <w:szCs w:val="18"/>
              </w:rPr>
              <w:t>BR_102.06</w:t>
            </w:r>
            <w:r>
              <w:rPr>
                <w:rFonts w:ascii="Times New Roman" w:hAnsi="Times New Roman"/>
                <w:vanish/>
                <w:sz w:val="22"/>
              </w:rPr>
              <w:t xml:space="preserve"> </w:t>
            </w:r>
            <w:r w:rsidR="007B7F36">
              <w:t xml:space="preserve">Allows a user to log on by entering </w:t>
            </w:r>
            <w:r w:rsidR="007B7F36" w:rsidRPr="00CA0045">
              <w:rPr>
                <w:bCs/>
              </w:rPr>
              <w:t>VistA</w:t>
            </w:r>
            <w:r w:rsidR="007B7F36">
              <w:t xml:space="preserve"> Access and Verify Codes, separated by a semicolon (;), in the Access Code data entry field.</w:t>
            </w:r>
          </w:p>
          <w:p w14:paraId="21830230" w14:textId="77777777" w:rsidR="007B7F36" w:rsidRPr="001F5982" w:rsidRDefault="007B7F36" w:rsidP="007B7F36">
            <w:pPr>
              <w:pStyle w:val="TableTextBullet"/>
              <w:rPr>
                <w:szCs w:val="20"/>
              </w:rPr>
            </w:pPr>
            <w:r w:rsidRPr="00E274BF">
              <w:rPr>
                <w:rFonts w:cs="Arial"/>
                <w:vanish/>
                <w:szCs w:val="18"/>
              </w:rPr>
              <w:t>BR_102.02</w:t>
            </w:r>
            <w:r>
              <w:rPr>
                <w:rFonts w:ascii="Times New Roman" w:hAnsi="Times New Roman"/>
                <w:vanish/>
                <w:sz w:val="22"/>
              </w:rPr>
              <w:t xml:space="preserve"> </w:t>
            </w:r>
            <w:r>
              <w:t xml:space="preserve">Verifies that the user credentials for the VBECS and </w:t>
            </w:r>
            <w:r w:rsidRPr="00CA0045">
              <w:rPr>
                <w:bCs/>
              </w:rPr>
              <w:t>VistA</w:t>
            </w:r>
            <w:r>
              <w:t xml:space="preserve"> Access and Verify Codes belong to the same user.</w:t>
            </w:r>
          </w:p>
          <w:p w14:paraId="39F7B58B" w14:textId="77777777" w:rsidR="002A21AE" w:rsidRDefault="007B7F36" w:rsidP="00FB7B1E">
            <w:pPr>
              <w:pStyle w:val="TableTextBullet"/>
            </w:pPr>
            <w:r w:rsidRPr="007B7F36">
              <w:t>Emits a tone to verify that the workstation’s sound works.</w:t>
            </w:r>
          </w:p>
          <w:p w14:paraId="6EFC619F" w14:textId="77777777" w:rsidR="002E5493" w:rsidRDefault="002E5493" w:rsidP="002E5493">
            <w:pPr>
              <w:pStyle w:val="TableTextBullet"/>
              <w:numPr>
                <w:ilvl w:val="0"/>
                <w:numId w:val="0"/>
              </w:numPr>
              <w:ind w:left="288" w:hanging="288"/>
            </w:pPr>
          </w:p>
          <w:p w14:paraId="6339FF94" w14:textId="26085DB8" w:rsidR="002E5493" w:rsidRDefault="002E5493" w:rsidP="002E5493">
            <w:pPr>
              <w:pStyle w:val="TableText"/>
              <w:rPr>
                <w:b/>
                <w:bCs/>
                <w:szCs w:val="18"/>
              </w:rPr>
            </w:pPr>
            <w:r>
              <w:rPr>
                <w:b/>
                <w:bCs/>
                <w:szCs w:val="18"/>
              </w:rPr>
              <w:t>NOTES</w:t>
            </w:r>
          </w:p>
          <w:p w14:paraId="430EC37B" w14:textId="77777777" w:rsidR="002E5493" w:rsidRDefault="002E5493" w:rsidP="002E5493">
            <w:pPr>
              <w:pStyle w:val="TableTextBullet"/>
              <w:numPr>
                <w:ilvl w:val="0"/>
                <w:numId w:val="0"/>
              </w:numPr>
              <w:ind w:left="288" w:hanging="288"/>
            </w:pPr>
          </w:p>
          <w:p w14:paraId="286E230C" w14:textId="77777777" w:rsidR="002E5493" w:rsidRDefault="004A7A55" w:rsidP="002E5493">
            <w:pPr>
              <w:pStyle w:val="NotesText"/>
            </w:pPr>
            <w:r w:rsidRPr="004A7A55">
              <w:rPr>
                <w:vanish/>
              </w:rPr>
              <w:t xml:space="preserve">BR_102.02 </w:t>
            </w:r>
            <w:r w:rsidR="002E5493">
              <w:t>The VBECS user must have his own VistA Access and Verify Codes when accessing VistA. The system will not allow the user to log onto VistA if his DUZ in the VBECS database does not match the user’s DUZ in VistA.</w:t>
            </w:r>
          </w:p>
          <w:p w14:paraId="24434346" w14:textId="77777777" w:rsidR="002E5493" w:rsidRDefault="002E5493" w:rsidP="002E5493">
            <w:pPr>
              <w:pStyle w:val="NotesText"/>
            </w:pPr>
          </w:p>
          <w:p w14:paraId="4378ABF2" w14:textId="77777777" w:rsidR="002E5493" w:rsidRDefault="004A7A55" w:rsidP="004A7A55">
            <w:pPr>
              <w:pStyle w:val="NotesText"/>
            </w:pPr>
            <w:r w:rsidRPr="004A7A55">
              <w:rPr>
                <w:vanish/>
              </w:rPr>
              <w:t xml:space="preserve">BR_102.01 </w:t>
            </w:r>
            <w:r w:rsidR="002E5493">
              <w:t>The user will log onto VistA by entering VistA Access and Verify Codes if the system is reconfigured during this session (for example: VistALink dropout and recovery, division change) and subsequently requires a logoff or logon to VistA</w:t>
            </w:r>
            <w:r>
              <w:t>.</w:t>
            </w:r>
          </w:p>
          <w:p w14:paraId="076942C0" w14:textId="77777777" w:rsidR="00606853" w:rsidRDefault="00606853" w:rsidP="004A7A55">
            <w:pPr>
              <w:pStyle w:val="NotesText"/>
            </w:pPr>
          </w:p>
          <w:p w14:paraId="6C327F70" w14:textId="77777777" w:rsidR="00606853" w:rsidRDefault="00606853" w:rsidP="004A7A55">
            <w:pPr>
              <w:pStyle w:val="NotesText"/>
            </w:pPr>
            <w:r w:rsidRPr="00606853">
              <w:rPr>
                <w:vanish/>
              </w:rPr>
              <w:t xml:space="preserve">BR_102.14 </w:t>
            </w:r>
            <w:r>
              <w:t>The system will</w:t>
            </w:r>
            <w:r w:rsidRPr="00EC1CAE">
              <w:t xml:space="preserve"> </w:t>
            </w:r>
            <w:r>
              <w:t>prompt user to enter current Verify Code, the new Verify Code, and a confirmation for a new Verify Code.</w:t>
            </w:r>
          </w:p>
          <w:p w14:paraId="684FD4A9" w14:textId="77777777" w:rsidR="001B2CBA" w:rsidRDefault="001B2CBA" w:rsidP="004A7A55">
            <w:pPr>
              <w:pStyle w:val="NotesText"/>
            </w:pPr>
          </w:p>
          <w:p w14:paraId="599E43AA" w14:textId="77777777" w:rsidR="001B2CBA" w:rsidRDefault="001B2CBA" w:rsidP="004A7A55">
            <w:pPr>
              <w:pStyle w:val="NotesText"/>
            </w:pPr>
            <w:r w:rsidRPr="001B2CBA">
              <w:rPr>
                <w:vanish/>
              </w:rPr>
              <w:t xml:space="preserve">BR_102.07 </w:t>
            </w:r>
            <w:r>
              <w:t>When a Verify Code is changed, the system must check that the new code is different from the currently used Verify Code.</w:t>
            </w:r>
          </w:p>
        </w:tc>
      </w:tr>
      <w:tr w:rsidR="002A21AE" w14:paraId="34589975" w14:textId="77777777">
        <w:tc>
          <w:tcPr>
            <w:tcW w:w="3330" w:type="dxa"/>
          </w:tcPr>
          <w:p w14:paraId="5CD04216" w14:textId="77777777" w:rsidR="002A21AE" w:rsidRDefault="002A21AE">
            <w:pPr>
              <w:pStyle w:val="TableTextNumbers"/>
            </w:pPr>
            <w:r>
              <w:lastRenderedPageBreak/>
              <w:t>Continue working in VBECS in the selected division.</w:t>
            </w:r>
          </w:p>
        </w:tc>
        <w:tc>
          <w:tcPr>
            <w:tcW w:w="6138" w:type="dxa"/>
          </w:tcPr>
          <w:p w14:paraId="3C8423A7" w14:textId="77777777" w:rsidR="002A21AE" w:rsidRDefault="002A21AE">
            <w:pPr>
              <w:pStyle w:val="TableTextBullet"/>
            </w:pPr>
            <w:r>
              <w:t>Displays the main menu.</w:t>
            </w:r>
          </w:p>
        </w:tc>
      </w:tr>
      <w:tr w:rsidR="002A21AE" w14:paraId="596F5105" w14:textId="77777777">
        <w:tc>
          <w:tcPr>
            <w:tcW w:w="3330" w:type="dxa"/>
          </w:tcPr>
          <w:p w14:paraId="4603E489" w14:textId="77777777" w:rsidR="002A21AE" w:rsidRDefault="00CA4C8E">
            <w:pPr>
              <w:pStyle w:val="TableTextNumbers"/>
            </w:pPr>
            <w:r>
              <w:t>Users with multidivisional access: t</w:t>
            </w:r>
            <w:r w:rsidR="002A21AE">
              <w:t xml:space="preserve">o change division, select </w:t>
            </w:r>
            <w:r w:rsidR="002A21AE">
              <w:rPr>
                <w:b/>
              </w:rPr>
              <w:t>File</w:t>
            </w:r>
            <w:r w:rsidR="002A21AE">
              <w:t xml:space="preserve">. </w:t>
            </w:r>
          </w:p>
          <w:p w14:paraId="1E633D1B" w14:textId="77777777" w:rsidR="002A21AE" w:rsidRDefault="002A21AE">
            <w:pPr>
              <w:pStyle w:val="TableTextNumbersContinued"/>
            </w:pPr>
          </w:p>
          <w:p w14:paraId="602BE669" w14:textId="77777777" w:rsidR="002A21AE" w:rsidRDefault="002A21AE">
            <w:pPr>
              <w:pStyle w:val="TableTextNumbersContinued"/>
            </w:pPr>
            <w:r>
              <w:t xml:space="preserve">Select </w:t>
            </w:r>
            <w:r>
              <w:rPr>
                <w:b/>
              </w:rPr>
              <w:t>Change Division</w:t>
            </w:r>
            <w:r>
              <w:t>.</w:t>
            </w:r>
          </w:p>
          <w:p w14:paraId="0F332D6E" w14:textId="77777777" w:rsidR="002A21AE" w:rsidRDefault="002A21AE">
            <w:pPr>
              <w:pStyle w:val="TableTextNumbersContinued"/>
            </w:pPr>
          </w:p>
          <w:p w14:paraId="39627BED" w14:textId="77777777" w:rsidR="002A21AE" w:rsidRDefault="00F876CD">
            <w:pPr>
              <w:pStyle w:val="TableTextNumbersContinued"/>
            </w:pPr>
            <w:r>
              <w:t>Continue at Step 6</w:t>
            </w:r>
            <w:r w:rsidR="002A21AE">
              <w:t>.</w:t>
            </w:r>
            <w:r w:rsidR="00282A20">
              <w:rPr>
                <w:vanish/>
                <w:color w:val="FFFFFF"/>
                <w:szCs w:val="18"/>
              </w:rPr>
              <w:fldChar w:fldCharType="begin"/>
            </w:r>
            <w:r w:rsidR="00282A20">
              <w:rPr>
                <w:vanish/>
                <w:color w:val="FFFFFF"/>
                <w:szCs w:val="18"/>
              </w:rPr>
              <w:instrText xml:space="preserve"> LISTNUM \l 1 \s 0 </w:instrText>
            </w:r>
            <w:r w:rsidR="00282A20">
              <w:rPr>
                <w:vanish/>
                <w:color w:val="FFFFFF"/>
                <w:szCs w:val="18"/>
              </w:rPr>
              <w:fldChar w:fldCharType="end">
                <w:numberingChange w:id="118" w:author="Blalock, David (Leidos)" w:date="2020-06-15T14:09:00Z" w:original="0."/>
              </w:fldChar>
            </w:r>
          </w:p>
        </w:tc>
        <w:tc>
          <w:tcPr>
            <w:tcW w:w="6138" w:type="dxa"/>
          </w:tcPr>
          <w:p w14:paraId="1238F7F6" w14:textId="77777777" w:rsidR="002A21AE" w:rsidRDefault="002A21AE">
            <w:pPr>
              <w:pStyle w:val="TableTextBullet"/>
              <w:ind w:left="0" w:firstLine="0"/>
            </w:pPr>
            <w:r>
              <w:t>Ensures that there are no incomplete activities for the user’s session.</w:t>
            </w:r>
          </w:p>
          <w:p w14:paraId="2E8D4912" w14:textId="77777777" w:rsidR="002A21AE" w:rsidRDefault="002A21AE">
            <w:pPr>
              <w:pStyle w:val="TableTextBullet"/>
              <w:ind w:left="0" w:firstLine="0"/>
            </w:pPr>
            <w:r>
              <w:t>Displays a division login message.</w:t>
            </w:r>
          </w:p>
          <w:p w14:paraId="7D3913EC" w14:textId="77777777" w:rsidR="002A21AE" w:rsidRDefault="002A21AE">
            <w:pPr>
              <w:pStyle w:val="TableTextBullet"/>
              <w:ind w:left="0" w:firstLine="0"/>
            </w:pPr>
            <w:r>
              <w:t>Opens the selected division.</w:t>
            </w:r>
          </w:p>
          <w:p w14:paraId="11BE4384" w14:textId="77777777" w:rsidR="002A21AE" w:rsidRDefault="002A21AE">
            <w:pPr>
              <w:pStyle w:val="TableText"/>
            </w:pPr>
          </w:p>
          <w:p w14:paraId="4B30DF51" w14:textId="2A002174" w:rsidR="002A21AE" w:rsidRDefault="002A21AE">
            <w:pPr>
              <w:pStyle w:val="TableText"/>
              <w:rPr>
                <w:b/>
                <w:bCs/>
                <w:szCs w:val="18"/>
              </w:rPr>
            </w:pPr>
            <w:r>
              <w:rPr>
                <w:b/>
                <w:bCs/>
                <w:szCs w:val="18"/>
              </w:rPr>
              <w:t>NOTES</w:t>
            </w:r>
          </w:p>
          <w:p w14:paraId="2CF40164" w14:textId="77777777" w:rsidR="002A21AE" w:rsidRDefault="002A21AE">
            <w:pPr>
              <w:pStyle w:val="NotesText"/>
            </w:pPr>
          </w:p>
          <w:p w14:paraId="27E62070" w14:textId="77777777" w:rsidR="002A21AE" w:rsidRDefault="002A21AE">
            <w:pPr>
              <w:pStyle w:val="NotesText"/>
            </w:pPr>
            <w:r w:rsidRPr="00E274BF">
              <w:rPr>
                <w:rFonts w:cs="Arial"/>
                <w:vanish/>
                <w:szCs w:val="18"/>
              </w:rPr>
              <w:t>BR_18.06</w:t>
            </w:r>
            <w:r w:rsidRPr="009660C3">
              <w:rPr>
                <w:vanish/>
                <w:szCs w:val="18"/>
              </w:rPr>
              <w:t xml:space="preserve"> </w:t>
            </w:r>
            <w:r>
              <w:t xml:space="preserve">A user may log into or change divisions without being logged onto </w:t>
            </w:r>
            <w:r w:rsidR="00CA0045" w:rsidRPr="00CA0045">
              <w:rPr>
                <w:bCs/>
              </w:rPr>
              <w:t>VistA</w:t>
            </w:r>
            <w:r>
              <w:t>.</w:t>
            </w:r>
          </w:p>
          <w:p w14:paraId="42772AA0" w14:textId="77777777" w:rsidR="002A21AE" w:rsidRDefault="002A21AE">
            <w:pPr>
              <w:pStyle w:val="TableText"/>
            </w:pPr>
          </w:p>
          <w:p w14:paraId="70AB0FF8" w14:textId="77777777" w:rsidR="002A21AE" w:rsidRDefault="002A21AE">
            <w:pPr>
              <w:pStyle w:val="NotesText"/>
            </w:pPr>
            <w:r w:rsidRPr="00E274BF">
              <w:rPr>
                <w:rFonts w:cs="Arial"/>
                <w:vanish/>
                <w:szCs w:val="18"/>
              </w:rPr>
              <w:t>BR_18.02</w:t>
            </w:r>
            <w:r w:rsidR="00E274BF">
              <w:rPr>
                <w:rFonts w:cs="Arial"/>
                <w:vanish/>
                <w:szCs w:val="18"/>
              </w:rPr>
              <w:t>,</w:t>
            </w:r>
            <w:r w:rsidRPr="00E274BF">
              <w:rPr>
                <w:rFonts w:cs="Arial"/>
                <w:vanish/>
                <w:szCs w:val="18"/>
              </w:rPr>
              <w:t xml:space="preserve"> BR_18.09</w:t>
            </w:r>
            <w:r w:rsidRPr="009660C3">
              <w:rPr>
                <w:vanish/>
                <w:szCs w:val="18"/>
              </w:rPr>
              <w:t xml:space="preserve"> </w:t>
            </w:r>
            <w:r>
              <w:t>VBECS displays a message advising the user to close dialogs and transactions with pending data changes, and closes open dialogs with no pending data changes before the user changes division.</w:t>
            </w:r>
          </w:p>
          <w:p w14:paraId="6D9080BF" w14:textId="77777777" w:rsidR="002A21AE" w:rsidRDefault="002A21AE">
            <w:pPr>
              <w:pStyle w:val="NotesText"/>
              <w:ind w:left="0"/>
            </w:pPr>
          </w:p>
          <w:p w14:paraId="5BA80FB4" w14:textId="77777777" w:rsidR="002A21AE" w:rsidRDefault="002A21AE">
            <w:pPr>
              <w:pStyle w:val="NotesText"/>
            </w:pPr>
            <w:r w:rsidRPr="00E274BF">
              <w:rPr>
                <w:rFonts w:cs="Arial"/>
                <w:vanish/>
                <w:szCs w:val="18"/>
              </w:rPr>
              <w:t>BR_102.04</w:t>
            </w:r>
            <w:r w:rsidRPr="009660C3">
              <w:rPr>
                <w:vanish/>
                <w:szCs w:val="18"/>
              </w:rPr>
              <w:t xml:space="preserve"> </w:t>
            </w:r>
            <w:r>
              <w:t xml:space="preserve">VBECS automatically logs onto </w:t>
            </w:r>
            <w:r w:rsidR="00CA0045" w:rsidRPr="00CA0045">
              <w:rPr>
                <w:bCs/>
              </w:rPr>
              <w:t>VistA</w:t>
            </w:r>
            <w:r>
              <w:t xml:space="preserve"> for the selected division.</w:t>
            </w:r>
          </w:p>
        </w:tc>
      </w:tr>
    </w:tbl>
    <w:p w14:paraId="1E84047C" w14:textId="74ADC878" w:rsidR="00725947" w:rsidRDefault="00725947" w:rsidP="00725947">
      <w:pPr>
        <w:pStyle w:val="Caption"/>
      </w:pPr>
      <w:bookmarkStart w:id="119" w:name="_Ref136339357"/>
      <w:bookmarkStart w:id="120" w:name="_Ref12646782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25</w:t>
      </w:r>
      <w:r w:rsidR="004E20BD">
        <w:rPr>
          <w:noProof/>
        </w:rPr>
        <w:fldChar w:fldCharType="end"/>
      </w:r>
      <w:bookmarkEnd w:id="119"/>
      <w:r>
        <w:t>: Remote Desktop Connection Options</w:t>
      </w:r>
    </w:p>
    <w:p w14:paraId="49ACD074" w14:textId="6828637C" w:rsidR="00725947" w:rsidRDefault="000D3AC3" w:rsidP="00725947">
      <w:pPr>
        <w:pStyle w:val="BodyText"/>
      </w:pPr>
      <w:r>
        <w:rPr>
          <w:noProof/>
        </w:rPr>
        <w:drawing>
          <wp:inline distT="0" distB="0" distL="0" distR="0" wp14:anchorId="2C7CC7E7" wp14:editId="1AE736C2">
            <wp:extent cx="4008755" cy="2466340"/>
            <wp:effectExtent l="0" t="0" r="0" b="0"/>
            <wp:docPr id="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08755" cy="2466340"/>
                    </a:xfrm>
                    <a:prstGeom prst="rect">
                      <a:avLst/>
                    </a:prstGeom>
                    <a:noFill/>
                    <a:ln>
                      <a:noFill/>
                    </a:ln>
                  </pic:spPr>
                </pic:pic>
              </a:graphicData>
            </a:graphic>
          </wp:inline>
        </w:drawing>
      </w:r>
    </w:p>
    <w:p w14:paraId="10C78701" w14:textId="69795F99" w:rsidR="00E35400" w:rsidRDefault="0073377E" w:rsidP="00532542">
      <w:pPr>
        <w:pStyle w:val="Caption"/>
      </w:pPr>
      <w:bookmarkStart w:id="121" w:name="_Ref13633935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26</w:t>
      </w:r>
      <w:r w:rsidR="004E20BD">
        <w:rPr>
          <w:noProof/>
        </w:rPr>
        <w:fldChar w:fldCharType="end"/>
      </w:r>
      <w:bookmarkEnd w:id="120"/>
      <w:bookmarkEnd w:id="121"/>
      <w:r w:rsidR="00314470">
        <w:t xml:space="preserve">: </w:t>
      </w:r>
      <w:r w:rsidR="00AB042C">
        <w:t>User Account and PIN</w:t>
      </w:r>
    </w:p>
    <w:p w14:paraId="4C9E6DDA" w14:textId="237BE1CE" w:rsidR="00532542" w:rsidRPr="00532542" w:rsidRDefault="00BA77E8" w:rsidP="00532542">
      <w:pPr>
        <w:pStyle w:val="BodyText"/>
      </w:pPr>
      <w:r>
        <w:rPr>
          <w:noProof/>
        </w:rPr>
        <w:drawing>
          <wp:inline distT="0" distB="0" distL="0" distR="0" wp14:anchorId="629272D3" wp14:editId="332C7244">
            <wp:extent cx="2924175" cy="3429000"/>
            <wp:effectExtent l="0" t="0" r="9525" b="0"/>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noChangeArrowheads="1"/>
                    </pic:cNvPicPr>
                  </pic:nvPicPr>
                  <pic:blipFill>
                    <a:blip r:embed="rId61" r:link="rId62" cstate="print">
                      <a:extLst>
                        <a:ext uri="{28A0092B-C50C-407E-A947-70E740481C1C}">
                          <a14:useLocalDpi xmlns:a14="http://schemas.microsoft.com/office/drawing/2010/main" val="0"/>
                        </a:ext>
                      </a:extLst>
                    </a:blip>
                    <a:srcRect/>
                    <a:stretch>
                      <a:fillRect/>
                    </a:stretch>
                  </pic:blipFill>
                  <pic:spPr bwMode="auto">
                    <a:xfrm>
                      <a:off x="0" y="0"/>
                      <a:ext cx="2924175" cy="3429000"/>
                    </a:xfrm>
                    <a:prstGeom prst="rect">
                      <a:avLst/>
                    </a:prstGeom>
                    <a:noFill/>
                    <a:ln>
                      <a:noFill/>
                    </a:ln>
                  </pic:spPr>
                </pic:pic>
              </a:graphicData>
            </a:graphic>
          </wp:inline>
        </w:drawing>
      </w:r>
    </w:p>
    <w:p w14:paraId="0D13EA41" w14:textId="368AD1A1" w:rsidR="00632002" w:rsidRDefault="00632002" w:rsidP="00532542">
      <w:pPr>
        <w:pStyle w:val="Caption"/>
      </w:pPr>
      <w:bookmarkStart w:id="122" w:name="_Ref47009432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27</w:t>
      </w:r>
      <w:r w:rsidR="004E20BD">
        <w:rPr>
          <w:noProof/>
        </w:rPr>
        <w:fldChar w:fldCharType="end"/>
      </w:r>
      <w:bookmarkEnd w:id="122"/>
      <w:r>
        <w:t xml:space="preserve">: </w:t>
      </w:r>
      <w:r w:rsidR="00AB042C">
        <w:t>Security Warning Confirmation</w:t>
      </w:r>
    </w:p>
    <w:p w14:paraId="7BBF02C6" w14:textId="1D24CB52" w:rsidR="00532542" w:rsidRPr="00532542" w:rsidRDefault="00BA77E8" w:rsidP="00532542">
      <w:pPr>
        <w:pStyle w:val="BodyText"/>
      </w:pPr>
      <w:r>
        <w:rPr>
          <w:noProof/>
        </w:rPr>
        <w:drawing>
          <wp:inline distT="0" distB="0" distL="0" distR="0" wp14:anchorId="2798B885" wp14:editId="4B28609C">
            <wp:extent cx="4895850" cy="3324225"/>
            <wp:effectExtent l="0" t="0" r="0" b="9525"/>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4895850" cy="3324225"/>
                    </a:xfrm>
                    <a:prstGeom prst="rect">
                      <a:avLst/>
                    </a:prstGeom>
                    <a:noFill/>
                    <a:ln>
                      <a:noFill/>
                    </a:ln>
                  </pic:spPr>
                </pic:pic>
              </a:graphicData>
            </a:graphic>
          </wp:inline>
        </w:drawing>
      </w:r>
    </w:p>
    <w:p w14:paraId="500E6A2C" w14:textId="4C589DBC" w:rsidR="00632002" w:rsidRDefault="00632002" w:rsidP="00632002">
      <w:pPr>
        <w:pStyle w:val="Caption"/>
      </w:pPr>
      <w:bookmarkStart w:id="123" w:name="_Ref47009463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28</w:t>
      </w:r>
      <w:r w:rsidR="004E20BD">
        <w:rPr>
          <w:noProof/>
        </w:rPr>
        <w:fldChar w:fldCharType="end"/>
      </w:r>
      <w:bookmarkEnd w:id="123"/>
      <w:r>
        <w:t>: Division Logon</w:t>
      </w:r>
    </w:p>
    <w:p w14:paraId="540BFA6B" w14:textId="77777777" w:rsidR="00632002" w:rsidRDefault="00057948" w:rsidP="00632002">
      <w:pPr>
        <w:pStyle w:val="BodyText"/>
        <w:rPr>
          <w:noProof/>
        </w:rPr>
      </w:pPr>
      <w:r>
        <w:rPr>
          <w:noProof/>
        </w:rPr>
        <w:drawing>
          <wp:inline distT="0" distB="0" distL="0" distR="0" wp14:anchorId="559B2A53" wp14:editId="3CB39249">
            <wp:extent cx="2900045" cy="1893570"/>
            <wp:effectExtent l="0" t="0" r="0" b="0"/>
            <wp:docPr id="52" name="Picture 15" descr="UC_18_Select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C_18_SelectDivision"/>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900045" cy="1893570"/>
                    </a:xfrm>
                    <a:prstGeom prst="rect">
                      <a:avLst/>
                    </a:prstGeom>
                    <a:noFill/>
                    <a:ln>
                      <a:noFill/>
                    </a:ln>
                  </pic:spPr>
                </pic:pic>
              </a:graphicData>
            </a:graphic>
          </wp:inline>
        </w:drawing>
      </w:r>
    </w:p>
    <w:p w14:paraId="6A92ABF1" w14:textId="05CE4444" w:rsidR="00632002" w:rsidRDefault="00632002" w:rsidP="00632002">
      <w:pPr>
        <w:pStyle w:val="Caption"/>
      </w:pPr>
      <w:bookmarkStart w:id="124" w:name="_Ref47009488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29</w:t>
      </w:r>
      <w:r w:rsidR="004E20BD">
        <w:rPr>
          <w:noProof/>
        </w:rPr>
        <w:fldChar w:fldCharType="end"/>
      </w:r>
      <w:bookmarkEnd w:id="124"/>
      <w:r>
        <w:t>: VistA Access and Verify Code Logon</w:t>
      </w:r>
    </w:p>
    <w:p w14:paraId="17DB2AEC" w14:textId="77777777" w:rsidR="00632002" w:rsidRPr="00632002" w:rsidRDefault="00057948" w:rsidP="00632002">
      <w:pPr>
        <w:pStyle w:val="BodyText"/>
      </w:pPr>
      <w:r>
        <w:rPr>
          <w:noProof/>
        </w:rPr>
        <w:drawing>
          <wp:inline distT="0" distB="0" distL="0" distR="0" wp14:anchorId="4FFFD615" wp14:editId="670F2C91">
            <wp:extent cx="3195955" cy="2383155"/>
            <wp:effectExtent l="0" t="0" r="4445" b="0"/>
            <wp:docPr id="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
                      <a:extLs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195955" cy="2383155"/>
                    </a:xfrm>
                    <a:prstGeom prst="rect">
                      <a:avLst/>
                    </a:prstGeom>
                    <a:noFill/>
                    <a:ln>
                      <a:noFill/>
                    </a:ln>
                  </pic:spPr>
                </pic:pic>
              </a:graphicData>
            </a:graphic>
          </wp:inline>
        </w:drawing>
      </w:r>
    </w:p>
    <w:p w14:paraId="4E0A6890" w14:textId="668B08CE" w:rsidR="002A21AE" w:rsidRDefault="002A21AE">
      <w:pPr>
        <w:pStyle w:val="Heading4"/>
      </w:pPr>
      <w:r>
        <w:t>Restore</w:t>
      </w:r>
      <w:r w:rsidR="00CA0045">
        <w:t xml:space="preserve"> VistA</w:t>
      </w:r>
      <w:r w:rsidR="00FB7B1E">
        <w:t>Link</w:t>
      </w:r>
      <w:r>
        <w:t xml:space="preserve"> Connection</w:t>
      </w:r>
      <w:r>
        <w:fldChar w:fldCharType="begin"/>
      </w:r>
      <w:r>
        <w:instrText xml:space="preserve"> XE </w:instrText>
      </w:r>
      <w:r w:rsidR="00FA7E65">
        <w:instrText>“</w:instrText>
      </w:r>
      <w:r>
        <w:instrText>Restore VistA Connection</w:instrText>
      </w:r>
      <w:r w:rsidR="00FA7E65">
        <w:instrText>”</w:instrText>
      </w:r>
      <w:r>
        <w:instrText xml:space="preserve"> </w:instrText>
      </w:r>
      <w:r>
        <w:fldChar w:fldCharType="end"/>
      </w:r>
      <w:r>
        <w:t xml:space="preserve"> </w:t>
      </w:r>
      <w:r>
        <w:rPr>
          <w:rFonts w:ascii="Times New Roman" w:hAnsi="Times New Roman"/>
          <w:b w:val="0"/>
          <w:vanish/>
        </w:rPr>
        <w:t>UC_10</w:t>
      </w:r>
      <w:r w:rsidR="004E5EEE">
        <w:rPr>
          <w:rFonts w:ascii="Times New Roman" w:hAnsi="Times New Roman"/>
          <w:b w:val="0"/>
          <w:vanish/>
        </w:rPr>
        <w:t>2</w:t>
      </w:r>
    </w:p>
    <w:p w14:paraId="005A4B6F" w14:textId="77777777" w:rsidR="00FB7B1E" w:rsidRDefault="00FB7B1E" w:rsidP="00FB7B1E">
      <w:pPr>
        <w:pStyle w:val="BodyText"/>
      </w:pPr>
      <w:r>
        <w:t>Before any option requiring VistALink is started, the system validates VistALink availability. When the server does not respond or there is no active connection, the system br</w:t>
      </w:r>
      <w:r w:rsidR="00D86E6D">
        <w:t xml:space="preserve">ings up the dialog informing </w:t>
      </w:r>
      <w:r>
        <w:t xml:space="preserve">the user </w:t>
      </w:r>
      <w:r w:rsidR="00D86E6D">
        <w:t>of</w:t>
      </w:r>
      <w:r>
        <w:t xml:space="preserve"> the VistALink connection’s unavailability and offering the option to restore the connection. </w:t>
      </w:r>
    </w:p>
    <w:p w14:paraId="230CA31D" w14:textId="77777777" w:rsidR="002A21AE" w:rsidRDefault="002A21AE">
      <w:pPr>
        <w:pStyle w:val="Heading4"/>
      </w:pPr>
      <w:r>
        <w:t>Restore</w:t>
      </w:r>
      <w:r w:rsidR="00CA0045">
        <w:t xml:space="preserve"> VistA</w:t>
      </w:r>
      <w:r w:rsidR="00D86E6D">
        <w:t>Link</w:t>
      </w:r>
      <w:r>
        <w:t xml:space="preserve"> Connection</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2A21AE" w14:paraId="12BB0981" w14:textId="77777777">
        <w:trPr>
          <w:tblHeader/>
        </w:trPr>
        <w:tc>
          <w:tcPr>
            <w:tcW w:w="3330" w:type="dxa"/>
            <w:shd w:val="pct30" w:color="auto" w:fill="FFFFFF"/>
            <w:vAlign w:val="bottom"/>
          </w:tcPr>
          <w:p w14:paraId="36DA5572" w14:textId="77777777" w:rsidR="002A21AE" w:rsidRDefault="002A21AE">
            <w:pPr>
              <w:pStyle w:val="TableText"/>
              <w:rPr>
                <w:b/>
              </w:rPr>
            </w:pPr>
            <w:r>
              <w:rPr>
                <w:b/>
              </w:rPr>
              <w:t>User Action</w:t>
            </w:r>
          </w:p>
        </w:tc>
        <w:tc>
          <w:tcPr>
            <w:tcW w:w="6138" w:type="dxa"/>
            <w:shd w:val="pct30" w:color="auto" w:fill="FFFFFF"/>
            <w:vAlign w:val="bottom"/>
          </w:tcPr>
          <w:p w14:paraId="710CCA55" w14:textId="77777777" w:rsidR="002A21AE" w:rsidRDefault="002A21AE">
            <w:pPr>
              <w:pStyle w:val="TableText"/>
              <w:rPr>
                <w:b/>
              </w:rPr>
            </w:pPr>
            <w:r>
              <w:rPr>
                <w:b/>
              </w:rPr>
              <w:t>VBECS</w:t>
            </w:r>
          </w:p>
        </w:tc>
      </w:tr>
      <w:tr w:rsidR="002A21AE" w14:paraId="2846B9C3" w14:textId="77777777">
        <w:tc>
          <w:tcPr>
            <w:tcW w:w="3330" w:type="dxa"/>
          </w:tcPr>
          <w:p w14:paraId="2C685F9F" w14:textId="2178799B" w:rsidR="002A21AE" w:rsidRDefault="00D86E6D">
            <w:pPr>
              <w:pStyle w:val="TableTextNumbers"/>
            </w:pPr>
            <w:r>
              <w:t>The</w:t>
            </w:r>
            <w:r w:rsidR="008A2E47">
              <w:t xml:space="preserve"> </w:t>
            </w:r>
            <w:r w:rsidR="008A2E47" w:rsidRPr="008A2E47">
              <w:rPr>
                <w:b/>
              </w:rPr>
              <w:t>Restore</w:t>
            </w:r>
            <w:r w:rsidR="008A2E47">
              <w:t xml:space="preserve"> </w:t>
            </w:r>
            <w:r>
              <w:t>option is presented. C</w:t>
            </w:r>
            <w:r w:rsidR="008A2E47">
              <w:t xml:space="preserve">hoose to </w:t>
            </w:r>
            <w:r>
              <w:t xml:space="preserve">restore or </w:t>
            </w:r>
            <w:r w:rsidR="008A2E47">
              <w:t>cancel</w:t>
            </w:r>
            <w:r w:rsidR="00D00478">
              <w:t xml:space="preserve"> (</w:t>
            </w:r>
            <w:r w:rsidR="00D00478">
              <w:fldChar w:fldCharType="begin"/>
            </w:r>
            <w:r w:rsidR="00D00478">
              <w:instrText xml:space="preserve"> REF _Ref470094912 \h </w:instrText>
            </w:r>
            <w:r w:rsidR="00D00478">
              <w:fldChar w:fldCharType="separate"/>
            </w:r>
            <w:r w:rsidR="004353ED">
              <w:t xml:space="preserve">Figure </w:t>
            </w:r>
            <w:r w:rsidR="004353ED">
              <w:rPr>
                <w:noProof/>
              </w:rPr>
              <w:t>30</w:t>
            </w:r>
            <w:r w:rsidR="00D00478">
              <w:fldChar w:fldCharType="end"/>
            </w:r>
            <w:r w:rsidR="008A2E47">
              <w:t>)</w:t>
            </w:r>
            <w:r w:rsidR="002A21AE">
              <w:t>.</w:t>
            </w:r>
          </w:p>
        </w:tc>
        <w:tc>
          <w:tcPr>
            <w:tcW w:w="6138" w:type="dxa"/>
          </w:tcPr>
          <w:p w14:paraId="3B2934B9" w14:textId="77777777" w:rsidR="002A21AE" w:rsidRDefault="002A21AE">
            <w:pPr>
              <w:pStyle w:val="TableTextBullet"/>
            </w:pPr>
            <w:r>
              <w:t>Attempts to connect using the user’s</w:t>
            </w:r>
            <w:r w:rsidR="00D86E6D">
              <w:t xml:space="preserve"> previously entered PIV/PIN</w:t>
            </w:r>
            <w:r>
              <w:t xml:space="preserve"> information when logon information is entered. </w:t>
            </w:r>
          </w:p>
          <w:p w14:paraId="36D86E81" w14:textId="77777777" w:rsidR="002A21AE" w:rsidRDefault="00D86E6D">
            <w:pPr>
              <w:pStyle w:val="TableTextBullet"/>
            </w:pPr>
            <w:r w:rsidRPr="00D86E6D">
              <w:rPr>
                <w:vanish/>
              </w:rPr>
              <w:t xml:space="preserve">BR_102.11 </w:t>
            </w:r>
            <w:r w:rsidR="002A21AE">
              <w:t xml:space="preserve">When </w:t>
            </w:r>
            <w:r>
              <w:t>VBECS/Administrator is up and running and user attempts to access a VistALink dependent option when VistALink is not connected, the system will prompt a reconnection dialog where user will have two options: to reconnect or to cancel. When the reconnect process fails or when the user cancels, the system shows an error dialog</w:t>
            </w:r>
            <w:r w:rsidR="008A2E47">
              <w:t>.</w:t>
            </w:r>
          </w:p>
          <w:p w14:paraId="281427C7" w14:textId="77777777" w:rsidR="002A21AE" w:rsidRDefault="00DE61D9">
            <w:pPr>
              <w:pStyle w:val="TableTextBullet"/>
            </w:pPr>
            <w:r w:rsidRPr="00DE61D9">
              <w:rPr>
                <w:vanish/>
              </w:rPr>
              <w:t xml:space="preserve">BR_103.03 </w:t>
            </w:r>
            <w:r w:rsidR="002A21AE">
              <w:t xml:space="preserve">Closes the pop-up when the user clicks </w:t>
            </w:r>
            <w:r w:rsidR="002A21AE">
              <w:rPr>
                <w:b/>
              </w:rPr>
              <w:t>Cancel</w:t>
            </w:r>
            <w:r w:rsidR="002A21AE">
              <w:t>.</w:t>
            </w:r>
          </w:p>
        </w:tc>
      </w:tr>
      <w:tr w:rsidR="00D86E6D" w14:paraId="1484CD75" w14:textId="77777777">
        <w:tc>
          <w:tcPr>
            <w:tcW w:w="3330" w:type="dxa"/>
          </w:tcPr>
          <w:p w14:paraId="3C5137B8" w14:textId="6E52E8C8" w:rsidR="00D86E6D" w:rsidRDefault="00F40ED2" w:rsidP="00CC1BC3">
            <w:pPr>
              <w:pStyle w:val="TableTextNumbers"/>
            </w:pPr>
            <w:r>
              <w:lastRenderedPageBreak/>
              <w:t>If site is not PIV exempt, u</w:t>
            </w:r>
            <w:r w:rsidR="00D86E6D">
              <w:t>se PIV and PIN to connect to VistALink</w:t>
            </w:r>
            <w:r w:rsidR="00B437AD">
              <w:t xml:space="preserve"> (</w:t>
            </w:r>
            <w:r w:rsidR="00B437AD">
              <w:fldChar w:fldCharType="begin"/>
            </w:r>
            <w:r w:rsidR="00B437AD">
              <w:instrText xml:space="preserve"> REF _Ref136339358 \h </w:instrText>
            </w:r>
            <w:r w:rsidR="00B437AD">
              <w:fldChar w:fldCharType="separate"/>
            </w:r>
            <w:r w:rsidR="004353ED">
              <w:t xml:space="preserve">Figure </w:t>
            </w:r>
            <w:r w:rsidR="004353ED">
              <w:rPr>
                <w:noProof/>
              </w:rPr>
              <w:t>26</w:t>
            </w:r>
            <w:r w:rsidR="00B437AD">
              <w:fldChar w:fldCharType="end"/>
            </w:r>
            <w:r w:rsidR="00B437AD">
              <w:t xml:space="preserve"> and </w:t>
            </w:r>
            <w:r w:rsidR="00B437AD">
              <w:fldChar w:fldCharType="begin"/>
            </w:r>
            <w:r w:rsidR="00B437AD">
              <w:instrText xml:space="preserve"> REF _Ref470094328 \h </w:instrText>
            </w:r>
            <w:r w:rsidR="00B437AD">
              <w:fldChar w:fldCharType="separate"/>
            </w:r>
            <w:r w:rsidR="004353ED">
              <w:t xml:space="preserve">Figure </w:t>
            </w:r>
            <w:r w:rsidR="004353ED">
              <w:rPr>
                <w:noProof/>
              </w:rPr>
              <w:t>27</w:t>
            </w:r>
            <w:r w:rsidR="00B437AD">
              <w:fldChar w:fldCharType="end"/>
            </w:r>
            <w:r w:rsidR="00D86E6D">
              <w:t>).</w:t>
            </w:r>
            <w:r w:rsidRPr="00812458">
              <w:rPr>
                <w:vanish/>
              </w:rPr>
              <w:t xml:space="preserve"> Task 561381</w:t>
            </w:r>
          </w:p>
          <w:p w14:paraId="12D36B6F" w14:textId="77777777" w:rsidR="00D86E6D" w:rsidRDefault="00D86E6D" w:rsidP="00D86E6D">
            <w:pPr>
              <w:pStyle w:val="TableTextNumbers"/>
              <w:numPr>
                <w:ilvl w:val="0"/>
                <w:numId w:val="0"/>
              </w:numPr>
              <w:ind w:left="288" w:hanging="288"/>
            </w:pPr>
          </w:p>
          <w:p w14:paraId="53CD2FC7" w14:textId="77777777" w:rsidR="00F876CD" w:rsidRDefault="00F876CD" w:rsidP="00F876CD">
            <w:pPr>
              <w:pStyle w:val="TableTextNumbers"/>
              <w:numPr>
                <w:ilvl w:val="0"/>
                <w:numId w:val="0"/>
              </w:numPr>
              <w:ind w:left="288"/>
            </w:pPr>
            <w:r>
              <w:t>If the IAM PIV sign on process succeeds, continue at Step 4.</w:t>
            </w:r>
          </w:p>
          <w:p w14:paraId="01AED6D0" w14:textId="77777777" w:rsidR="00F876CD" w:rsidRDefault="00F876CD" w:rsidP="00F876CD">
            <w:pPr>
              <w:pStyle w:val="TableTextNumbers"/>
              <w:numPr>
                <w:ilvl w:val="0"/>
                <w:numId w:val="0"/>
              </w:numPr>
              <w:ind w:left="288" w:hanging="288"/>
            </w:pPr>
          </w:p>
          <w:p w14:paraId="2B73A428" w14:textId="77777777" w:rsidR="00F876CD" w:rsidRDefault="00F876CD" w:rsidP="00D86E6D">
            <w:pPr>
              <w:pStyle w:val="TableTextNumbers"/>
              <w:numPr>
                <w:ilvl w:val="0"/>
                <w:numId w:val="0"/>
              </w:numPr>
              <w:ind w:left="288" w:hanging="288"/>
            </w:pPr>
          </w:p>
          <w:p w14:paraId="0E6D6E06" w14:textId="77777777" w:rsidR="00D86E6D" w:rsidRDefault="00650B86" w:rsidP="00F876CD">
            <w:pPr>
              <w:pStyle w:val="TableTextNumbers"/>
              <w:numPr>
                <w:ilvl w:val="0"/>
                <w:numId w:val="0"/>
              </w:numPr>
              <w:ind w:left="288"/>
            </w:pPr>
            <w:r>
              <w:t xml:space="preserve"> </w:t>
            </w:r>
            <w:r w:rsidR="00D86E6D">
              <w:t>If the IAM PIV sign on process fails</w:t>
            </w:r>
            <w:r>
              <w:t>, continue to next step.</w:t>
            </w:r>
          </w:p>
        </w:tc>
        <w:tc>
          <w:tcPr>
            <w:tcW w:w="6138" w:type="dxa"/>
          </w:tcPr>
          <w:p w14:paraId="17229E58" w14:textId="77777777" w:rsidR="00650B86" w:rsidRPr="00650B86" w:rsidRDefault="00650B86" w:rsidP="00CC1BC3">
            <w:pPr>
              <w:pStyle w:val="TableTextBullet"/>
            </w:pPr>
            <w:r w:rsidRPr="00650B86">
              <w:t>Directs user to the IAM service interface to select PIV certificate and possibly to re-enter PIN</w:t>
            </w:r>
          </w:p>
          <w:p w14:paraId="2621585B" w14:textId="77777777" w:rsidR="00D86E6D" w:rsidRPr="00650B86" w:rsidRDefault="00650B86" w:rsidP="00CC1BC3">
            <w:pPr>
              <w:pStyle w:val="TableTextBullet"/>
            </w:pPr>
            <w:r w:rsidRPr="00650B86">
              <w:t>If the IAM PIV sign on process fails, VBECS continues to the next step and prompts user for VistA Access and Verify Code. The user may log onto VistA or continue and log on as needed</w:t>
            </w:r>
            <w:r w:rsidR="00D86E6D" w:rsidRPr="00650B86">
              <w:t>.</w:t>
            </w:r>
          </w:p>
          <w:p w14:paraId="68477259" w14:textId="77777777" w:rsidR="00D86E6D" w:rsidRDefault="00D86E6D" w:rsidP="00CC1BC3">
            <w:pPr>
              <w:pStyle w:val="TableTextBullet"/>
              <w:numPr>
                <w:ilvl w:val="0"/>
                <w:numId w:val="0"/>
              </w:numPr>
              <w:ind w:left="288"/>
            </w:pPr>
          </w:p>
          <w:p w14:paraId="17FAB1A0" w14:textId="62102F2A" w:rsidR="00D86E6D" w:rsidRDefault="00D86E6D" w:rsidP="00CC1BC3">
            <w:pPr>
              <w:pStyle w:val="TableText"/>
              <w:rPr>
                <w:b/>
                <w:bCs/>
                <w:szCs w:val="18"/>
              </w:rPr>
            </w:pPr>
            <w:r>
              <w:rPr>
                <w:b/>
                <w:bCs/>
                <w:szCs w:val="18"/>
              </w:rPr>
              <w:t>NOTES</w:t>
            </w:r>
          </w:p>
          <w:p w14:paraId="077D132E" w14:textId="77777777" w:rsidR="00D86E6D" w:rsidRDefault="00D86E6D" w:rsidP="00CC1BC3">
            <w:pPr>
              <w:pStyle w:val="NotesText"/>
            </w:pPr>
          </w:p>
          <w:p w14:paraId="64558D32" w14:textId="77777777" w:rsidR="00D86E6D" w:rsidRDefault="00650B86" w:rsidP="00CC1BC3">
            <w:pPr>
              <w:pStyle w:val="NotesText"/>
            </w:pPr>
            <w:r w:rsidRPr="00650B86">
              <w:rPr>
                <w:vanish/>
              </w:rPr>
              <w:t xml:space="preserve">BR_102.10 </w:t>
            </w:r>
            <w:r>
              <w:t>The system prompts the user for their access and verify code when there is no active IAM service certification</w:t>
            </w:r>
            <w:r w:rsidR="00D86E6D">
              <w:t>.</w:t>
            </w:r>
          </w:p>
          <w:p w14:paraId="4116ADED" w14:textId="77777777" w:rsidR="00650B86" w:rsidRDefault="00650B86" w:rsidP="00CC1BC3">
            <w:pPr>
              <w:pStyle w:val="NotesText"/>
            </w:pPr>
          </w:p>
          <w:p w14:paraId="1E1B331E" w14:textId="77777777" w:rsidR="00650B86" w:rsidRDefault="00650B86" w:rsidP="00CC1BC3">
            <w:pPr>
              <w:pStyle w:val="NotesText"/>
            </w:pPr>
            <w:r w:rsidRPr="00650B86">
              <w:rPr>
                <w:vanish/>
              </w:rPr>
              <w:t xml:space="preserve">DR 1,116 </w:t>
            </w:r>
            <w:r>
              <w:t>When a user logs into VBECS, the connection to VistA is established and the data in the cache tables are out-of-date. VBECS retrieves the current data from VistA and saves them. This update process may delay user login.</w:t>
            </w:r>
          </w:p>
        </w:tc>
      </w:tr>
      <w:tr w:rsidR="00650B86" w14:paraId="2C004C04" w14:textId="77777777">
        <w:tc>
          <w:tcPr>
            <w:tcW w:w="3330" w:type="dxa"/>
          </w:tcPr>
          <w:p w14:paraId="45CAC6E3" w14:textId="6CECC991" w:rsidR="00650B86" w:rsidRDefault="00650B86" w:rsidP="00CC1BC3">
            <w:pPr>
              <w:pStyle w:val="TableTextNumbers"/>
            </w:pPr>
            <w:r>
              <w:t>Enter the VistA Access and Verify Code</w:t>
            </w:r>
            <w:r w:rsidR="00B437AD">
              <w:t>s (</w:t>
            </w:r>
            <w:r w:rsidR="00B437AD">
              <w:fldChar w:fldCharType="begin"/>
            </w:r>
            <w:r w:rsidR="00B437AD">
              <w:instrText xml:space="preserve"> REF _Ref470094882 \h </w:instrText>
            </w:r>
            <w:r w:rsidR="00B437AD">
              <w:fldChar w:fldCharType="separate"/>
            </w:r>
            <w:r w:rsidR="004353ED">
              <w:t xml:space="preserve">Figure </w:t>
            </w:r>
            <w:r w:rsidR="004353ED">
              <w:rPr>
                <w:noProof/>
              </w:rPr>
              <w:t>29</w:t>
            </w:r>
            <w:r w:rsidR="00B437AD">
              <w:fldChar w:fldCharType="end"/>
            </w:r>
            <w:r>
              <w:t>).</w:t>
            </w:r>
          </w:p>
        </w:tc>
        <w:tc>
          <w:tcPr>
            <w:tcW w:w="6138" w:type="dxa"/>
          </w:tcPr>
          <w:p w14:paraId="0F3CD3F3" w14:textId="77777777" w:rsidR="00650B86" w:rsidRPr="00EB7907" w:rsidRDefault="00E8576E" w:rsidP="00650B86">
            <w:pPr>
              <w:pStyle w:val="TableTextBullet"/>
              <w:rPr>
                <w:rFonts w:cs="Arial"/>
                <w:szCs w:val="18"/>
              </w:rPr>
            </w:pPr>
            <w:r w:rsidRPr="00E8576E">
              <w:rPr>
                <w:rFonts w:cs="Arial"/>
                <w:vanish/>
                <w:szCs w:val="18"/>
              </w:rPr>
              <w:t xml:space="preserve">BR_102.13 </w:t>
            </w:r>
            <w:r w:rsidR="00650B86" w:rsidRPr="00EB7907">
              <w:rPr>
                <w:rFonts w:cs="Arial"/>
                <w:szCs w:val="18"/>
              </w:rPr>
              <w:t>The system will reuse the security credentials initially entered in this user’s session (VistA Access and Verify Codes) to perform VistA logoff and logon without user interaction.</w:t>
            </w:r>
          </w:p>
          <w:p w14:paraId="2B9BD0D1" w14:textId="77777777" w:rsidR="00650B86" w:rsidRDefault="00650B86" w:rsidP="00650B86">
            <w:pPr>
              <w:pStyle w:val="TableTextBullet"/>
            </w:pPr>
            <w:r w:rsidRPr="00EB7907">
              <w:rPr>
                <w:vanish/>
              </w:rPr>
              <w:t xml:space="preserve">BR_102.06 </w:t>
            </w:r>
            <w:r>
              <w:t xml:space="preserve">Allows a user to log on by entering </w:t>
            </w:r>
            <w:r w:rsidRPr="00CA0045">
              <w:rPr>
                <w:bCs/>
              </w:rPr>
              <w:t>VistA</w:t>
            </w:r>
            <w:r>
              <w:t xml:space="preserve"> Access and Verify Codes, separated by a semicolon (;), in the Access Code data entry field.</w:t>
            </w:r>
          </w:p>
          <w:p w14:paraId="13A6BCF7" w14:textId="77777777" w:rsidR="00650B86" w:rsidRPr="001F5982" w:rsidRDefault="00650B86" w:rsidP="00650B86">
            <w:pPr>
              <w:pStyle w:val="TableTextBullet"/>
              <w:rPr>
                <w:szCs w:val="20"/>
              </w:rPr>
            </w:pPr>
            <w:r w:rsidRPr="00E274BF">
              <w:rPr>
                <w:rFonts w:cs="Arial"/>
                <w:vanish/>
                <w:szCs w:val="18"/>
              </w:rPr>
              <w:t>BR_102.02</w:t>
            </w:r>
            <w:r>
              <w:rPr>
                <w:rFonts w:ascii="Times New Roman" w:hAnsi="Times New Roman"/>
                <w:vanish/>
                <w:sz w:val="22"/>
              </w:rPr>
              <w:t xml:space="preserve"> </w:t>
            </w:r>
            <w:r>
              <w:t xml:space="preserve">Verifies that the user credentials for the VBECS and </w:t>
            </w:r>
            <w:r w:rsidRPr="00CA0045">
              <w:rPr>
                <w:bCs/>
              </w:rPr>
              <w:t>VistA</w:t>
            </w:r>
            <w:r>
              <w:t xml:space="preserve"> Access and Verify Codes belong to the same user.</w:t>
            </w:r>
          </w:p>
          <w:p w14:paraId="7EAC1DCD" w14:textId="77777777" w:rsidR="00650B86" w:rsidRPr="00650B86" w:rsidRDefault="00650B86" w:rsidP="00650B86">
            <w:pPr>
              <w:pStyle w:val="TableTextBullet"/>
            </w:pPr>
            <w:r w:rsidRPr="007B7F36">
              <w:t>Emits a tone to verify that the workstation’s sound works.</w:t>
            </w:r>
          </w:p>
        </w:tc>
      </w:tr>
      <w:tr w:rsidR="00650B86" w14:paraId="587E51DA" w14:textId="77777777">
        <w:tc>
          <w:tcPr>
            <w:tcW w:w="3330" w:type="dxa"/>
          </w:tcPr>
          <w:p w14:paraId="227109C0" w14:textId="77777777" w:rsidR="00650B86" w:rsidRDefault="00650B86">
            <w:pPr>
              <w:pStyle w:val="TableTextNumbers"/>
            </w:pPr>
            <w:r>
              <w:t xml:space="preserve">Continue working in the VistALink dependent option. </w:t>
            </w:r>
            <w:r w:rsidRPr="00912F51">
              <w:rPr>
                <w:color w:val="FFFFFF"/>
              </w:rPr>
              <w:fldChar w:fldCharType="begin"/>
            </w:r>
            <w:r w:rsidRPr="00912F51">
              <w:rPr>
                <w:color w:val="FFFFFF"/>
              </w:rPr>
              <w:instrText xml:space="preserve"> LISTNUM \l 1 \s 0 </w:instrText>
            </w:r>
            <w:r w:rsidRPr="00912F51">
              <w:rPr>
                <w:color w:val="FFFFFF"/>
              </w:rPr>
              <w:fldChar w:fldCharType="end">
                <w:numberingChange w:id="125" w:author="Blalock, David (Leidos)" w:date="2020-06-15T14:09:00Z" w:original="0."/>
              </w:fldChar>
            </w:r>
            <w:r>
              <w:rPr>
                <w:vanish/>
                <w:szCs w:val="18"/>
              </w:rPr>
              <w:t xml:space="preserve"> </w:t>
            </w:r>
          </w:p>
        </w:tc>
        <w:tc>
          <w:tcPr>
            <w:tcW w:w="6138" w:type="dxa"/>
          </w:tcPr>
          <w:p w14:paraId="658FCB7C" w14:textId="77777777" w:rsidR="00650B86" w:rsidRDefault="00650B86" w:rsidP="00CC1BC3">
            <w:pPr>
              <w:pStyle w:val="TableTextBullet"/>
            </w:pPr>
            <w:r>
              <w:t>Displays the VistALink dependent option.</w:t>
            </w:r>
          </w:p>
        </w:tc>
      </w:tr>
    </w:tbl>
    <w:p w14:paraId="0116F110" w14:textId="2A3534A6" w:rsidR="008C616F" w:rsidRDefault="008C616F" w:rsidP="008C616F">
      <w:pPr>
        <w:pStyle w:val="Caption"/>
      </w:pPr>
      <w:bookmarkStart w:id="126" w:name="_Ref47009491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30</w:t>
      </w:r>
      <w:r w:rsidR="004E20BD">
        <w:rPr>
          <w:noProof/>
        </w:rPr>
        <w:fldChar w:fldCharType="end"/>
      </w:r>
      <w:bookmarkEnd w:id="126"/>
      <w:r>
        <w:t>: Restore VistA Connection</w:t>
      </w:r>
    </w:p>
    <w:p w14:paraId="682AB69F" w14:textId="77777777" w:rsidR="008C616F" w:rsidRPr="008C616F" w:rsidRDefault="00057948" w:rsidP="008C616F">
      <w:pPr>
        <w:pStyle w:val="BodyText"/>
      </w:pPr>
      <w:r>
        <w:rPr>
          <w:noProof/>
        </w:rPr>
        <w:drawing>
          <wp:inline distT="0" distB="0" distL="0" distR="0" wp14:anchorId="50950B4B" wp14:editId="00DF2107">
            <wp:extent cx="4137660" cy="1995170"/>
            <wp:effectExtent l="0" t="0" r="0" b="5080"/>
            <wp:docPr id="54" name="Picture 16" descr="UC_102_VistaLink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C_102_VistaLinkConnectio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137660" cy="1995170"/>
                    </a:xfrm>
                    <a:prstGeom prst="rect">
                      <a:avLst/>
                    </a:prstGeom>
                    <a:noFill/>
                    <a:ln>
                      <a:noFill/>
                    </a:ln>
                  </pic:spPr>
                </pic:pic>
              </a:graphicData>
            </a:graphic>
          </wp:inline>
        </w:drawing>
      </w:r>
    </w:p>
    <w:p w14:paraId="49ACDA5D" w14:textId="77777777" w:rsidR="00A63649" w:rsidRDefault="00A63649" w:rsidP="00A63649">
      <w:pPr>
        <w:pStyle w:val="Heading3"/>
      </w:pPr>
      <w:bookmarkStart w:id="127" w:name="_Toc47516671"/>
      <w:r>
        <w:t>Exit VBECS</w:t>
      </w:r>
      <w:bookmarkEnd w:id="127"/>
    </w:p>
    <w:p w14:paraId="0741F69C" w14:textId="77777777" w:rsidR="00440657" w:rsidRDefault="0066150B" w:rsidP="0066150B">
      <w:pPr>
        <w:pStyle w:val="BodyText"/>
      </w:pPr>
      <w:r>
        <w:t xml:space="preserve">A user may </w:t>
      </w:r>
      <w:r w:rsidR="00A56A63">
        <w:t>log off</w:t>
      </w:r>
      <w:r w:rsidR="00A63649">
        <w:t xml:space="preserve"> the </w:t>
      </w:r>
      <w:r w:rsidR="00FB0351">
        <w:t>VBECS se</w:t>
      </w:r>
      <w:r w:rsidR="00A63649">
        <w:t xml:space="preserve">ssion. </w:t>
      </w:r>
    </w:p>
    <w:p w14:paraId="32C194C8" w14:textId="77777777" w:rsidR="0003045D" w:rsidRDefault="0003045D">
      <w:pPr>
        <w:rPr>
          <w:rFonts w:ascii="Arial" w:hAnsi="Arial"/>
          <w:b/>
          <w:sz w:val="22"/>
        </w:rPr>
      </w:pPr>
      <w:r>
        <w:br w:type="page"/>
      </w:r>
    </w:p>
    <w:p w14:paraId="089E6377" w14:textId="34155DF0" w:rsidR="001615A5" w:rsidRDefault="00A56A63" w:rsidP="001615A5">
      <w:pPr>
        <w:pStyle w:val="Heading4"/>
      </w:pPr>
      <w:r>
        <w:lastRenderedPageBreak/>
        <w:t>Log Off</w:t>
      </w:r>
      <w:r w:rsidR="001615A5">
        <w:t xml:space="preserve"> </w:t>
      </w:r>
      <w:r w:rsidR="00A55BC7">
        <w:t xml:space="preserve">VBECS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1615A5" w14:paraId="2157BE9A" w14:textId="77777777">
        <w:trPr>
          <w:tblHeader/>
        </w:trPr>
        <w:tc>
          <w:tcPr>
            <w:tcW w:w="3330" w:type="dxa"/>
            <w:shd w:val="pct30" w:color="auto" w:fill="FFFFFF"/>
            <w:vAlign w:val="bottom"/>
          </w:tcPr>
          <w:p w14:paraId="3F5A86D3" w14:textId="77777777" w:rsidR="001615A5" w:rsidRDefault="001615A5" w:rsidP="0065349F">
            <w:pPr>
              <w:pStyle w:val="TableText"/>
              <w:rPr>
                <w:b/>
              </w:rPr>
            </w:pPr>
            <w:r>
              <w:rPr>
                <w:b/>
              </w:rPr>
              <w:t>User Action</w:t>
            </w:r>
          </w:p>
        </w:tc>
        <w:tc>
          <w:tcPr>
            <w:tcW w:w="6138" w:type="dxa"/>
            <w:shd w:val="pct30" w:color="auto" w:fill="FFFFFF"/>
            <w:vAlign w:val="bottom"/>
          </w:tcPr>
          <w:p w14:paraId="0EF32825" w14:textId="77777777" w:rsidR="001615A5" w:rsidRDefault="001615A5" w:rsidP="0065349F">
            <w:pPr>
              <w:pStyle w:val="TableText"/>
              <w:rPr>
                <w:b/>
              </w:rPr>
            </w:pPr>
            <w:r>
              <w:rPr>
                <w:b/>
              </w:rPr>
              <w:t>VBECS</w:t>
            </w:r>
          </w:p>
        </w:tc>
      </w:tr>
      <w:tr w:rsidR="001615A5" w14:paraId="7ED55032" w14:textId="77777777">
        <w:tc>
          <w:tcPr>
            <w:tcW w:w="3330" w:type="dxa"/>
          </w:tcPr>
          <w:p w14:paraId="3E37E566" w14:textId="77777777" w:rsidR="001615A5" w:rsidRDefault="00A56A63" w:rsidP="0065349F">
            <w:pPr>
              <w:pStyle w:val="TableTextNumbers"/>
            </w:pPr>
            <w:r>
              <w:t>To log off</w:t>
            </w:r>
            <w:r w:rsidR="001615A5">
              <w:t xml:space="preserve"> </w:t>
            </w:r>
            <w:r w:rsidR="00A55BC7">
              <w:t>VBECS</w:t>
            </w:r>
            <w:r w:rsidR="001615A5">
              <w:t xml:space="preserve">, select </w:t>
            </w:r>
            <w:r w:rsidR="001615A5" w:rsidRPr="001615A5">
              <w:rPr>
                <w:b/>
              </w:rPr>
              <w:t>File</w:t>
            </w:r>
            <w:r w:rsidR="001615A5">
              <w:t xml:space="preserve">, </w:t>
            </w:r>
            <w:r w:rsidR="001615A5" w:rsidRPr="001615A5">
              <w:rPr>
                <w:b/>
              </w:rPr>
              <w:t>Exit VBECS</w:t>
            </w:r>
            <w:r w:rsidR="001615A5">
              <w:t>.</w:t>
            </w:r>
          </w:p>
          <w:p w14:paraId="01685087" w14:textId="77777777" w:rsidR="001615A5" w:rsidRDefault="001615A5" w:rsidP="001615A5">
            <w:pPr>
              <w:pStyle w:val="TableTextNumbers"/>
              <w:numPr>
                <w:ilvl w:val="0"/>
                <w:numId w:val="0"/>
              </w:numPr>
              <w:ind w:left="288" w:hanging="288"/>
            </w:pPr>
          </w:p>
          <w:p w14:paraId="19E5EFB0" w14:textId="77777777" w:rsidR="001615A5" w:rsidRDefault="001615A5" w:rsidP="001615A5">
            <w:pPr>
              <w:pStyle w:val="TableTextNumbersContinued"/>
            </w:pPr>
            <w:r>
              <w:t xml:space="preserve">Click </w:t>
            </w:r>
            <w:r w:rsidRPr="001615A5">
              <w:rPr>
                <w:b/>
              </w:rPr>
              <w:t>Yes</w:t>
            </w:r>
            <w:r>
              <w:t xml:space="preserve"> at the prompt.</w:t>
            </w:r>
          </w:p>
        </w:tc>
        <w:tc>
          <w:tcPr>
            <w:tcW w:w="6138" w:type="dxa"/>
          </w:tcPr>
          <w:p w14:paraId="2528DF99" w14:textId="77777777" w:rsidR="001615A5" w:rsidRPr="002E1917" w:rsidRDefault="001615A5" w:rsidP="0065349F">
            <w:pPr>
              <w:pStyle w:val="TableTextBullet"/>
              <w:rPr>
                <w:b/>
                <w:bCs/>
                <w:szCs w:val="18"/>
              </w:rPr>
            </w:pPr>
            <w:r>
              <w:t>Exposes the server desktop.</w:t>
            </w:r>
          </w:p>
          <w:p w14:paraId="2C16B974" w14:textId="77777777" w:rsidR="002E1917" w:rsidRPr="00440657" w:rsidRDefault="002E1917" w:rsidP="002E1917">
            <w:pPr>
              <w:pStyle w:val="NotesText"/>
              <w:rPr>
                <w:b/>
                <w:bCs/>
                <w:szCs w:val="18"/>
              </w:rPr>
            </w:pPr>
          </w:p>
        </w:tc>
      </w:tr>
      <w:tr w:rsidR="001615A5" w14:paraId="62D8E03C" w14:textId="77777777">
        <w:tc>
          <w:tcPr>
            <w:tcW w:w="3330" w:type="dxa"/>
          </w:tcPr>
          <w:p w14:paraId="5872876F" w14:textId="77777777" w:rsidR="001615A5" w:rsidRDefault="001615A5" w:rsidP="0065349F">
            <w:pPr>
              <w:pStyle w:val="TableTextNumbers"/>
            </w:pPr>
            <w:r>
              <w:t xml:space="preserve">Select </w:t>
            </w:r>
            <w:r>
              <w:rPr>
                <w:b/>
              </w:rPr>
              <w:t>Start</w:t>
            </w:r>
            <w:r>
              <w:t xml:space="preserve">, </w:t>
            </w:r>
            <w:r w:rsidRPr="00440657">
              <w:rPr>
                <w:b/>
              </w:rPr>
              <w:t xml:space="preserve">Log </w:t>
            </w:r>
            <w:r w:rsidR="00192E38">
              <w:rPr>
                <w:b/>
              </w:rPr>
              <w:t>O</w:t>
            </w:r>
            <w:r w:rsidRPr="00440657">
              <w:rPr>
                <w:b/>
              </w:rPr>
              <w:t>ff</w:t>
            </w:r>
            <w:r>
              <w:t xml:space="preserve">. </w:t>
            </w:r>
          </w:p>
          <w:p w14:paraId="3CC299E5" w14:textId="77777777" w:rsidR="001615A5" w:rsidRDefault="001615A5" w:rsidP="0065349F">
            <w:pPr>
              <w:pStyle w:val="TableTextNumbers"/>
              <w:numPr>
                <w:ilvl w:val="0"/>
                <w:numId w:val="0"/>
              </w:numPr>
              <w:ind w:left="288" w:hanging="288"/>
            </w:pPr>
          </w:p>
          <w:p w14:paraId="1096C79A" w14:textId="77777777" w:rsidR="001615A5" w:rsidRDefault="001615A5" w:rsidP="0065349F">
            <w:pPr>
              <w:pStyle w:val="TableTextNumbersContinued"/>
            </w:pPr>
            <w:r>
              <w:t xml:space="preserve">At the prompt, select </w:t>
            </w:r>
            <w:r w:rsidRPr="00440657">
              <w:rPr>
                <w:b/>
              </w:rPr>
              <w:t xml:space="preserve">Log </w:t>
            </w:r>
            <w:r w:rsidR="00192E38">
              <w:rPr>
                <w:b/>
              </w:rPr>
              <w:t>O</w:t>
            </w:r>
            <w:r w:rsidRPr="00440657">
              <w:rPr>
                <w:b/>
              </w:rPr>
              <w:t>ff</w:t>
            </w:r>
            <w:r>
              <w:t xml:space="preserve"> or </w:t>
            </w:r>
            <w:r w:rsidRPr="00440657">
              <w:rPr>
                <w:b/>
              </w:rPr>
              <w:t>Cancel</w:t>
            </w:r>
            <w:r>
              <w:t xml:space="preserve">. </w:t>
            </w:r>
            <w:r w:rsidRPr="00912F51">
              <w:rPr>
                <w:color w:val="FFFFFF"/>
              </w:rPr>
              <w:fldChar w:fldCharType="begin"/>
            </w:r>
            <w:r w:rsidRPr="00912F51">
              <w:rPr>
                <w:color w:val="FFFFFF"/>
              </w:rPr>
              <w:instrText xml:space="preserve"> LISTNUM \l 1 \s 0 </w:instrText>
            </w:r>
            <w:r w:rsidRPr="00912F51">
              <w:rPr>
                <w:color w:val="FFFFFF"/>
              </w:rPr>
              <w:fldChar w:fldCharType="end">
                <w:numberingChange w:id="128" w:author="Blalock, David (Leidos)" w:date="2020-06-15T14:09:00Z" w:original="0."/>
              </w:fldChar>
            </w:r>
          </w:p>
        </w:tc>
        <w:tc>
          <w:tcPr>
            <w:tcW w:w="6138" w:type="dxa"/>
          </w:tcPr>
          <w:p w14:paraId="03741785" w14:textId="77777777" w:rsidR="001615A5" w:rsidRDefault="00A56A63" w:rsidP="0065349F">
            <w:pPr>
              <w:pStyle w:val="TableTextBullet"/>
              <w:ind w:left="0" w:firstLine="0"/>
            </w:pPr>
            <w:r>
              <w:t>Logs off</w:t>
            </w:r>
            <w:r w:rsidR="001615A5">
              <w:t xml:space="preserve"> the session.</w:t>
            </w:r>
          </w:p>
          <w:p w14:paraId="17B7021D" w14:textId="77777777" w:rsidR="001615A5" w:rsidRDefault="001615A5" w:rsidP="00B52C54">
            <w:pPr>
              <w:pStyle w:val="TableTextBullet"/>
              <w:ind w:left="0" w:firstLine="0"/>
            </w:pPr>
            <w:r>
              <w:t>Terminates open applications.</w:t>
            </w:r>
          </w:p>
        </w:tc>
      </w:tr>
    </w:tbl>
    <w:p w14:paraId="79EA18A0" w14:textId="77777777" w:rsidR="009B4546" w:rsidRDefault="009B4546" w:rsidP="00BF1B17">
      <w:pPr>
        <w:pStyle w:val="Heading4"/>
      </w:pPr>
      <w:r>
        <w:t xml:space="preserve">Local Machine Screen </w:t>
      </w:r>
      <w:r w:rsidR="00BF4B65">
        <w:t>Resolution</w:t>
      </w:r>
      <w:r>
        <w:fldChar w:fldCharType="begin"/>
      </w:r>
      <w:r>
        <w:instrText xml:space="preserve"> XE "Local Machine </w:instrText>
      </w:r>
      <w:r w:rsidRPr="00775368">
        <w:instrText xml:space="preserve">Screen </w:instrText>
      </w:r>
      <w:r w:rsidR="00BF4B65">
        <w:instrText>Resolution</w:instrText>
      </w:r>
      <w:r>
        <w:instrText xml:space="preserve">" </w:instrText>
      </w:r>
      <w:r>
        <w:fldChar w:fldCharType="end"/>
      </w:r>
    </w:p>
    <w:p w14:paraId="24BF9F4C" w14:textId="202BA43C" w:rsidR="009B4546" w:rsidRPr="00AB3B2D" w:rsidRDefault="00057948" w:rsidP="009B4546">
      <w:pPr>
        <w:pStyle w:val="Caution"/>
        <w:rPr>
          <w:i w:val="0"/>
        </w:rPr>
      </w:pPr>
      <w:bookmarkStart w:id="129" w:name="OLE_LINK47"/>
      <w:bookmarkStart w:id="130" w:name="OLE_LINK48"/>
      <w:r>
        <w:rPr>
          <w:noProof/>
        </w:rPr>
        <w:drawing>
          <wp:inline distT="0" distB="0" distL="0" distR="0" wp14:anchorId="4171A323" wp14:editId="4C2DA618">
            <wp:extent cx="267970" cy="221615"/>
            <wp:effectExtent l="0" t="0" r="0" b="6985"/>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B4546">
        <w:t xml:space="preserve"> </w:t>
      </w:r>
      <w:bookmarkEnd w:id="129"/>
      <w:bookmarkEnd w:id="130"/>
      <w:r w:rsidR="0078056E">
        <w:t>Set t</w:t>
      </w:r>
      <w:r w:rsidR="009B4546">
        <w:t xml:space="preserve">he local machine’s desktop </w:t>
      </w:r>
      <w:r w:rsidR="00BF4B65">
        <w:t>resolution</w:t>
      </w:r>
      <w:r w:rsidR="009B4546">
        <w:t xml:space="preserve"> to 1</w:t>
      </w:r>
      <w:r w:rsidR="00BF4B65">
        <w:t>02</w:t>
      </w:r>
      <w:r w:rsidR="009B4546">
        <w:t xml:space="preserve">4 </w:t>
      </w:r>
      <w:r w:rsidR="00176587">
        <w:t>by</w:t>
      </w:r>
      <w:r w:rsidR="009B4546">
        <w:t xml:space="preserve"> 768 pixels</w:t>
      </w:r>
      <w:r w:rsidR="006E036F">
        <w:t xml:space="preserve"> </w:t>
      </w:r>
      <w:r w:rsidR="006E036F" w:rsidRPr="00624D16">
        <w:t>or higher</w:t>
      </w:r>
      <w:r w:rsidR="0078056E" w:rsidRPr="00624D16">
        <w:t xml:space="preserve"> for</w:t>
      </w:r>
      <w:r w:rsidR="0078056E">
        <w:t xml:space="preserve"> optimal display</w:t>
      </w:r>
      <w:r w:rsidR="009B4546">
        <w:t>.</w:t>
      </w:r>
      <w:r w:rsidR="00740FD0">
        <w:t xml:space="preserve"> Failure to maintain these settings may result in partial display of safety-critical information.</w:t>
      </w:r>
      <w:r w:rsidR="00AB3B2D">
        <w:rPr>
          <w:i w:val="0"/>
          <w:vanish/>
        </w:rPr>
        <w:t xml:space="preserve"> DR 3738</w:t>
      </w:r>
    </w:p>
    <w:p w14:paraId="5AE48FA4" w14:textId="74CA26DF" w:rsidR="00BF1B17" w:rsidRDefault="00BF1B17" w:rsidP="00BF1B17">
      <w:pPr>
        <w:pStyle w:val="Heading4"/>
      </w:pPr>
      <w:r>
        <w:t>Remote Desktop Connection Screen Size</w:t>
      </w:r>
      <w:r>
        <w:fldChar w:fldCharType="begin"/>
      </w:r>
      <w:r>
        <w:instrText xml:space="preserve"> XE "</w:instrText>
      </w:r>
      <w:r w:rsidRPr="00775368">
        <w:instrText xml:space="preserve">Remote Desktop </w:instrText>
      </w:r>
      <w:r>
        <w:instrText xml:space="preserve">Connections </w:instrText>
      </w:r>
      <w:r w:rsidRPr="00775368">
        <w:instrText>Screen Size</w:instrText>
      </w:r>
      <w:r>
        <w:instrText xml:space="preserve">" </w:instrText>
      </w:r>
      <w:r>
        <w:fldChar w:fldCharType="end"/>
      </w:r>
    </w:p>
    <w:p w14:paraId="0D67685D" w14:textId="77777777" w:rsidR="00BF1B17" w:rsidRDefault="00057948" w:rsidP="00BF1B17">
      <w:pPr>
        <w:pStyle w:val="Caution"/>
      </w:pPr>
      <w:r>
        <w:rPr>
          <w:noProof/>
        </w:rPr>
        <w:drawing>
          <wp:inline distT="0" distB="0" distL="0" distR="0" wp14:anchorId="5492BE12" wp14:editId="0E49C462">
            <wp:extent cx="267970" cy="221615"/>
            <wp:effectExtent l="0" t="0" r="0" b="6985"/>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F1B17">
        <w:t xml:space="preserve"> The Remote Desktop Connection desktop size must be set to “Full Screen.”</w:t>
      </w:r>
    </w:p>
    <w:p w14:paraId="531B6CD5" w14:textId="77777777" w:rsidR="00BF1B17" w:rsidRDefault="00BF1B17" w:rsidP="00DD75E5">
      <w:pPr>
        <w:pStyle w:val="BodyText"/>
      </w:pPr>
      <w:r>
        <w:t>To adjust the dimension of the screens that you view:</w:t>
      </w:r>
    </w:p>
    <w:p w14:paraId="5E2B184B" w14:textId="2742DD7E" w:rsidR="00BF1B17" w:rsidRPr="00624D16" w:rsidRDefault="00430868" w:rsidP="00591A3B">
      <w:pPr>
        <w:pStyle w:val="ListNumber"/>
        <w:numPr>
          <w:ilvl w:val="0"/>
          <w:numId w:val="78"/>
        </w:numPr>
      </w:pPr>
      <w:r>
        <w:t>Double-</w:t>
      </w:r>
      <w:r w:rsidR="00BF1B17" w:rsidRPr="00624D16">
        <w:t xml:space="preserve">click </w:t>
      </w:r>
      <w:r w:rsidR="00D73EE4" w:rsidRPr="00624D16">
        <w:object w:dxaOrig="495" w:dyaOrig="525" w14:anchorId="40ACC664">
          <v:shape id="_x0000_i1030" type="#_x0000_t75" alt="desktop connection screen" style="width:14.4pt;height:14.4pt" o:ole="">
            <v:imagedata r:id="rId68" o:title=""/>
          </v:shape>
          <o:OLEObject Type="Embed" ProgID="PBrush" ShapeID="_x0000_i1030" DrawAspect="Content" ObjectID="_1693299367" r:id="rId69"/>
        </w:object>
      </w:r>
      <w:r w:rsidR="00BF1B17" w:rsidRPr="00624D16">
        <w:t xml:space="preserve"> </w:t>
      </w:r>
      <w:r w:rsidR="006E036F" w:rsidRPr="00624D16">
        <w:t>the VBECS (</w:t>
      </w:r>
      <w:r w:rsidR="00BF1B17" w:rsidRPr="00591A3B">
        <w:rPr>
          <w:b/>
        </w:rPr>
        <w:t>Remote Desktop Connection icon</w:t>
      </w:r>
      <w:r w:rsidR="00BF1B17" w:rsidRPr="00624D16">
        <w:t>)</w:t>
      </w:r>
      <w:r w:rsidR="006E036F" w:rsidRPr="00624D16">
        <w:t xml:space="preserve"> located on the local workstation desktop</w:t>
      </w:r>
      <w:r w:rsidR="00BF1B17" w:rsidRPr="00624D16">
        <w:t>.</w:t>
      </w:r>
      <w:r w:rsidR="00AB3B2D" w:rsidRPr="00591A3B">
        <w:rPr>
          <w:vanish/>
        </w:rPr>
        <w:t xml:space="preserve"> DR 3738</w:t>
      </w:r>
    </w:p>
    <w:p w14:paraId="364FEB2F" w14:textId="0EC16677" w:rsidR="00BF1B17" w:rsidRDefault="00BF1B17" w:rsidP="00BA3292">
      <w:pPr>
        <w:pStyle w:val="ListNumber"/>
        <w:numPr>
          <w:ilvl w:val="0"/>
          <w:numId w:val="78"/>
        </w:numPr>
      </w:pPr>
      <w:r>
        <w:t xml:space="preserve">Click </w:t>
      </w:r>
      <w:r w:rsidR="007C119D" w:rsidRPr="00591A3B">
        <w:rPr>
          <w:b/>
        </w:rPr>
        <w:t xml:space="preserve">Show </w:t>
      </w:r>
      <w:r w:rsidRPr="00591A3B">
        <w:rPr>
          <w:b/>
        </w:rPr>
        <w:t>Options</w:t>
      </w:r>
      <w:r w:rsidRPr="00190BEC">
        <w:t xml:space="preserve"> </w:t>
      </w:r>
      <w:r>
        <w:t>(</w:t>
      </w:r>
      <w:r w:rsidR="00155F6F">
        <w:fldChar w:fldCharType="begin"/>
      </w:r>
      <w:r w:rsidR="00155F6F">
        <w:instrText xml:space="preserve"> REF _Ref133623493 \h </w:instrText>
      </w:r>
      <w:r w:rsidR="00190BEC">
        <w:instrText xml:space="preserve"> \* MERGEFORMAT </w:instrText>
      </w:r>
      <w:r w:rsidR="00155F6F">
        <w:fldChar w:fldCharType="separate"/>
      </w:r>
      <w:r w:rsidR="004353ED">
        <w:t>Figure 31</w:t>
      </w:r>
      <w:r w:rsidR="00155F6F">
        <w:fldChar w:fldCharType="end"/>
      </w:r>
      <w:r>
        <w:t>).</w:t>
      </w:r>
    </w:p>
    <w:p w14:paraId="32FE402B" w14:textId="39E07154" w:rsidR="00BF1B17" w:rsidRDefault="00BF1B17" w:rsidP="00BF1B17">
      <w:pPr>
        <w:pStyle w:val="Caption"/>
      </w:pPr>
      <w:bookmarkStart w:id="131" w:name="_Ref13362349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31</w:t>
      </w:r>
      <w:r w:rsidR="004E20BD">
        <w:rPr>
          <w:noProof/>
        </w:rPr>
        <w:fldChar w:fldCharType="end"/>
      </w:r>
      <w:bookmarkEnd w:id="131"/>
      <w:r>
        <w:t>: Remote Desktop Connection Options</w:t>
      </w:r>
    </w:p>
    <w:p w14:paraId="5EF08025" w14:textId="77777777" w:rsidR="00BF1B17" w:rsidRDefault="00057948" w:rsidP="00BF1B17">
      <w:pPr>
        <w:pStyle w:val="BodyText"/>
      </w:pPr>
      <w:r>
        <w:rPr>
          <w:noProof/>
        </w:rPr>
        <w:drawing>
          <wp:inline distT="0" distB="0" distL="0" distR="0" wp14:anchorId="3F43B63B" wp14:editId="4B37F7B9">
            <wp:extent cx="4008755" cy="2466340"/>
            <wp:effectExtent l="0" t="0" r="0" b="0"/>
            <wp:docPr id="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1">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08755" cy="2466340"/>
                    </a:xfrm>
                    <a:prstGeom prst="rect">
                      <a:avLst/>
                    </a:prstGeom>
                    <a:noFill/>
                    <a:ln>
                      <a:noFill/>
                    </a:ln>
                  </pic:spPr>
                </pic:pic>
              </a:graphicData>
            </a:graphic>
          </wp:inline>
        </w:drawing>
      </w:r>
    </w:p>
    <w:p w14:paraId="4B70F311" w14:textId="10F15CE7" w:rsidR="00BF1B17" w:rsidRDefault="003C25CC" w:rsidP="00BA3292">
      <w:pPr>
        <w:pStyle w:val="ListNumber"/>
        <w:numPr>
          <w:ilvl w:val="0"/>
          <w:numId w:val="78"/>
        </w:numPr>
      </w:pPr>
      <w:r>
        <w:br w:type="page"/>
      </w:r>
      <w:r w:rsidR="00BF1B17">
        <w:lastRenderedPageBreak/>
        <w:t xml:space="preserve">Click the </w:t>
      </w:r>
      <w:r w:rsidR="00BF1B17" w:rsidRPr="00190BEC">
        <w:t xml:space="preserve">Display </w:t>
      </w:r>
      <w:r w:rsidR="00BF1B17" w:rsidRPr="00CC3C89">
        <w:t xml:space="preserve">tab </w:t>
      </w:r>
      <w:r w:rsidR="00BF1B17" w:rsidRPr="00CF76AE">
        <w:t>(</w:t>
      </w:r>
      <w:r w:rsidR="00A058F9">
        <w:fldChar w:fldCharType="begin"/>
      </w:r>
      <w:r w:rsidR="00A058F9">
        <w:instrText xml:space="preserve"> REF _Ref133623604 \h </w:instrText>
      </w:r>
      <w:r w:rsidR="00190BEC">
        <w:instrText xml:space="preserve"> \* MERGEFORMAT </w:instrText>
      </w:r>
      <w:r w:rsidR="00A058F9">
        <w:fldChar w:fldCharType="separate"/>
      </w:r>
      <w:r w:rsidR="004353ED">
        <w:t>Figure 32</w:t>
      </w:r>
      <w:r w:rsidR="00A058F9">
        <w:fldChar w:fldCharType="end"/>
      </w:r>
      <w:r w:rsidR="00BF1B17" w:rsidRPr="009A2B4C">
        <w:t>)</w:t>
      </w:r>
      <w:r w:rsidR="00BF1B17">
        <w:t>.</w:t>
      </w:r>
    </w:p>
    <w:p w14:paraId="4729B508" w14:textId="2D4A24DE" w:rsidR="00BF1B17" w:rsidRDefault="00BF1B17" w:rsidP="00BF1B17">
      <w:pPr>
        <w:pStyle w:val="Caption"/>
      </w:pPr>
      <w:bookmarkStart w:id="132" w:name="_Ref13362360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32</w:t>
      </w:r>
      <w:r w:rsidR="004E20BD">
        <w:rPr>
          <w:noProof/>
        </w:rPr>
        <w:fldChar w:fldCharType="end"/>
      </w:r>
      <w:bookmarkEnd w:id="132"/>
      <w:r>
        <w:t xml:space="preserve">: </w:t>
      </w:r>
      <w:r w:rsidRPr="009E7F89">
        <w:t xml:space="preserve">Remote Desktop Connection Remote </w:t>
      </w:r>
      <w:r>
        <w:t>Desktop Size</w:t>
      </w:r>
    </w:p>
    <w:p w14:paraId="2612D64A" w14:textId="77777777" w:rsidR="00BF1B17" w:rsidRDefault="00057948" w:rsidP="00BF1B17">
      <w:pPr>
        <w:pStyle w:val="BodyText"/>
      </w:pPr>
      <w:r>
        <w:rPr>
          <w:noProof/>
        </w:rPr>
        <w:drawing>
          <wp:inline distT="0" distB="0" distL="0" distR="0" wp14:anchorId="1DC961FA" wp14:editId="3D2762F4">
            <wp:extent cx="3722370" cy="4248785"/>
            <wp:effectExtent l="0" t="0" r="0" b="0"/>
            <wp:docPr id="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1">
                      <a:extLst>
                        <a:ext uri="{C183D7F6-B498-43B3-948B-1728B52AA6E4}">
                          <adec:decorative xmlns:adec="http://schemas.microsoft.com/office/drawing/2017/decorative" val="1"/>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22370" cy="4248785"/>
                    </a:xfrm>
                    <a:prstGeom prst="rect">
                      <a:avLst/>
                    </a:prstGeom>
                    <a:noFill/>
                    <a:ln>
                      <a:noFill/>
                    </a:ln>
                  </pic:spPr>
                </pic:pic>
              </a:graphicData>
            </a:graphic>
          </wp:inline>
        </w:drawing>
      </w:r>
    </w:p>
    <w:p w14:paraId="3BB39B51" w14:textId="77777777" w:rsidR="00BF1B17" w:rsidRDefault="00BF1B17" w:rsidP="00BA3292">
      <w:pPr>
        <w:pStyle w:val="ListNumber"/>
        <w:numPr>
          <w:ilvl w:val="0"/>
          <w:numId w:val="78"/>
        </w:numPr>
      </w:pPr>
      <w:r>
        <w:t>C</w:t>
      </w:r>
      <w:r w:rsidRPr="00035F16">
        <w:t xml:space="preserve">lick, hold, and slide the pointer to </w:t>
      </w:r>
      <w:r>
        <w:t>the right until “Full Screen” appears</w:t>
      </w:r>
      <w:r w:rsidRPr="00035F16">
        <w:t>.</w:t>
      </w:r>
    </w:p>
    <w:p w14:paraId="745A425F" w14:textId="77777777" w:rsidR="006E036F" w:rsidRPr="00624D16" w:rsidRDefault="006E036F" w:rsidP="00BA3292">
      <w:pPr>
        <w:pStyle w:val="ListNumber"/>
        <w:numPr>
          <w:ilvl w:val="0"/>
          <w:numId w:val="78"/>
        </w:numPr>
      </w:pPr>
      <w:r w:rsidRPr="00624D16">
        <w:t xml:space="preserve">Click on the </w:t>
      </w:r>
      <w:r w:rsidRPr="00591A3B">
        <w:rPr>
          <w:b/>
        </w:rPr>
        <w:t>General</w:t>
      </w:r>
      <w:r w:rsidRPr="00624D16">
        <w:t xml:space="preserve"> tab.</w:t>
      </w:r>
      <w:r w:rsidR="00522BC8" w:rsidRPr="00A56A63">
        <w:rPr>
          <w:vanish/>
        </w:rPr>
        <w:t xml:space="preserve"> DR 3738</w:t>
      </w:r>
    </w:p>
    <w:p w14:paraId="45B12F72" w14:textId="5FF0B470" w:rsidR="00BF1B17" w:rsidRDefault="00BF1B17" w:rsidP="00BA3292">
      <w:pPr>
        <w:pStyle w:val="ListNumber"/>
        <w:numPr>
          <w:ilvl w:val="0"/>
          <w:numId w:val="78"/>
        </w:numPr>
      </w:pPr>
      <w:r w:rsidRPr="00035F16">
        <w:t>Cl</w:t>
      </w:r>
      <w:r>
        <w:t xml:space="preserve">ick </w:t>
      </w:r>
      <w:r w:rsidR="00591A3B" w:rsidRPr="00591A3B">
        <w:rPr>
          <w:b/>
        </w:rPr>
        <w:t>Save</w:t>
      </w:r>
      <w:r>
        <w:t xml:space="preserve"> to save the setting.</w:t>
      </w:r>
    </w:p>
    <w:p w14:paraId="397608D9" w14:textId="77777777" w:rsidR="00727879" w:rsidRDefault="003C25CC">
      <w:pPr>
        <w:pStyle w:val="Heading3"/>
      </w:pPr>
      <w:r>
        <w:br w:type="page"/>
      </w:r>
      <w:bookmarkStart w:id="133" w:name="_Toc47516672"/>
      <w:r w:rsidR="002A21AE">
        <w:lastRenderedPageBreak/>
        <w:t>Screen Display</w:t>
      </w:r>
      <w:bookmarkEnd w:id="133"/>
      <w:r w:rsidR="00D07403">
        <w:fldChar w:fldCharType="begin"/>
      </w:r>
      <w:r w:rsidR="00D07403">
        <w:instrText xml:space="preserve"> XE "</w:instrText>
      </w:r>
      <w:r w:rsidR="00D07403" w:rsidRPr="00775368">
        <w:instrText>Screen Display</w:instrText>
      </w:r>
      <w:r w:rsidR="00D07403">
        <w:instrText xml:space="preserve">" </w:instrText>
      </w:r>
      <w:r w:rsidR="00D07403">
        <w:fldChar w:fldCharType="end"/>
      </w:r>
    </w:p>
    <w:p w14:paraId="003E3DE9" w14:textId="77777777" w:rsidR="002A21AE" w:rsidRDefault="002A21AE" w:rsidP="00FA7E65">
      <w:pPr>
        <w:pStyle w:val="BodyText"/>
      </w:pPr>
      <w:r>
        <w:t xml:space="preserve">A </w:t>
      </w:r>
      <w:r>
        <w:rPr>
          <w:i/>
        </w:rPr>
        <w:t>window</w:t>
      </w:r>
      <w:r>
        <w:t xml:space="preserve"> is the section of the screen that displays the active application or file. </w:t>
      </w:r>
    </w:p>
    <w:p w14:paraId="6ED9B549" w14:textId="2D8D39AF" w:rsidR="002A21AE" w:rsidRDefault="002A21AE" w:rsidP="00FA7E65">
      <w:pPr>
        <w:pStyle w:val="BodyText"/>
      </w:pPr>
      <w:r>
        <w:t>Click t</w:t>
      </w:r>
      <w:r w:rsidR="00634DAB">
        <w:t>he control buttons in the upper-</w:t>
      </w:r>
      <w:r>
        <w:t xml:space="preserve">right corner </w:t>
      </w:r>
      <w:r w:rsidR="00E627F1">
        <w:t>(</w:t>
      </w:r>
      <w:r w:rsidR="00E627F1">
        <w:fldChar w:fldCharType="begin"/>
      </w:r>
      <w:r w:rsidR="00E627F1">
        <w:instrText xml:space="preserve"> REF _Ref393444039 \h </w:instrText>
      </w:r>
      <w:r w:rsidR="00E627F1">
        <w:fldChar w:fldCharType="separate"/>
      </w:r>
      <w:r w:rsidR="004353ED">
        <w:t xml:space="preserve">Figure </w:t>
      </w:r>
      <w:r w:rsidR="004353ED">
        <w:rPr>
          <w:noProof/>
        </w:rPr>
        <w:t>33</w:t>
      </w:r>
      <w:r w:rsidR="00E627F1">
        <w:fldChar w:fldCharType="end"/>
      </w:r>
      <w:r w:rsidR="00E627F1">
        <w:t xml:space="preserve">) </w:t>
      </w:r>
      <w:r>
        <w:t xml:space="preserve">of an open file or application window to: </w:t>
      </w:r>
    </w:p>
    <w:p w14:paraId="310CA0B7" w14:textId="77777777" w:rsidR="002A21AE" w:rsidRDefault="002A21AE">
      <w:pPr>
        <w:pStyle w:val="ListBullet"/>
      </w:pPr>
      <w:r>
        <w:t xml:space="preserve">Minimize: reduce the window </w:t>
      </w:r>
      <w:r>
        <w:rPr>
          <w:szCs w:val="24"/>
        </w:rPr>
        <w:t>to appear as a button (rectangle) at the bottom of the screen. Click the button to enlarge the window to its original size.</w:t>
      </w:r>
    </w:p>
    <w:p w14:paraId="4C7E639F" w14:textId="77777777" w:rsidR="002A21AE" w:rsidRDefault="002A21AE">
      <w:pPr>
        <w:pStyle w:val="ListBullet"/>
      </w:pPr>
      <w:r>
        <w:t>Maximize: enlarge a window to fill the entire screen</w:t>
      </w:r>
    </w:p>
    <w:p w14:paraId="27C0AE1E" w14:textId="17D37B79" w:rsidR="002A21AE" w:rsidRDefault="002A21AE">
      <w:pPr>
        <w:pStyle w:val="ListBullet"/>
      </w:pPr>
      <w:r>
        <w:t>Restore: return a window to a smaller size that can be adjusted</w:t>
      </w:r>
      <w:r w:rsidR="00486D34">
        <w:t xml:space="preserve"> (Figure 38</w:t>
      </w:r>
      <w:r w:rsidR="00E627F1">
        <w:t>)</w:t>
      </w:r>
    </w:p>
    <w:p w14:paraId="25E48932" w14:textId="77777777" w:rsidR="002A21AE" w:rsidRDefault="002A21AE">
      <w:pPr>
        <w:pStyle w:val="ListBullet"/>
      </w:pPr>
      <w:r>
        <w:t xml:space="preserve">Close: shut down a document or application quickly </w:t>
      </w:r>
    </w:p>
    <w:p w14:paraId="4B7003E7" w14:textId="77777777" w:rsidR="00DF4846" w:rsidRPr="00DF4846" w:rsidRDefault="00057948" w:rsidP="00DF4846">
      <w:pPr>
        <w:pStyle w:val="Caution"/>
      </w:pPr>
      <w:r>
        <w:rPr>
          <w:noProof/>
        </w:rPr>
        <w:drawing>
          <wp:inline distT="0" distB="0" distL="0" distR="0" wp14:anchorId="5C98482B" wp14:editId="2B0BEFF3">
            <wp:extent cx="267970" cy="221615"/>
            <wp:effectExtent l="0" t="0" r="0" b="6985"/>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DF4846">
        <w:t xml:space="preserve"> Maximize option windows</w:t>
      </w:r>
      <w:r w:rsidR="00DF4846" w:rsidRPr="00DF4846">
        <w:t xml:space="preserve"> to display safety-critical information</w:t>
      </w:r>
      <w:r w:rsidR="00DF4846">
        <w:t xml:space="preserve"> in full.</w:t>
      </w:r>
      <w:r w:rsidR="00DF4846" w:rsidRPr="00DF4846">
        <w:rPr>
          <w:vanish/>
        </w:rPr>
        <w:t xml:space="preserve"> UserDoc Task 1124.</w:t>
      </w:r>
    </w:p>
    <w:p w14:paraId="23528C5D" w14:textId="172604D8" w:rsidR="007E150C" w:rsidRDefault="007E150C" w:rsidP="007E150C">
      <w:pPr>
        <w:pStyle w:val="Caption"/>
        <w:tabs>
          <w:tab w:val="left" w:pos="6120"/>
        </w:tabs>
      </w:pPr>
      <w:bookmarkStart w:id="134" w:name="_Ref39344403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33</w:t>
      </w:r>
      <w:r w:rsidR="004E20BD">
        <w:rPr>
          <w:noProof/>
        </w:rPr>
        <w:fldChar w:fldCharType="end"/>
      </w:r>
      <w:bookmarkEnd w:id="134"/>
      <w:r>
        <w:t>: Resize or Close a Window</w:t>
      </w:r>
      <w:r>
        <w:tab/>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34</w:t>
      </w:r>
      <w:r w:rsidR="004E20BD">
        <w:rPr>
          <w:noProof/>
        </w:rPr>
        <w:fldChar w:fldCharType="end"/>
      </w:r>
      <w:r>
        <w:t>: Restore a Window</w:t>
      </w:r>
    </w:p>
    <w:p w14:paraId="30DF7E4A" w14:textId="3D228B4A" w:rsidR="002A21AE" w:rsidRDefault="00057948">
      <w:pPr>
        <w:pStyle w:val="BodyText"/>
      </w:pPr>
      <w:r>
        <w:rPr>
          <w:noProof/>
        </w:rPr>
        <mc:AlternateContent>
          <mc:Choice Requires="wpc">
            <w:drawing>
              <wp:inline distT="0" distB="0" distL="0" distR="0" wp14:anchorId="2A1783B8" wp14:editId="040117CB">
                <wp:extent cx="3848100" cy="1009650"/>
                <wp:effectExtent l="0" t="0" r="0" b="0"/>
                <wp:docPr id="591" name="Canvas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584"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10160" y="494665"/>
                            <a:ext cx="344360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5" name="Line 5"/>
                        <wps:cNvCnPr/>
                        <wps:spPr bwMode="auto">
                          <a:xfrm flipH="1">
                            <a:off x="3299460" y="349250"/>
                            <a:ext cx="208280" cy="229235"/>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586" name="Rectangle 6"/>
                        <wps:cNvSpPr>
                          <a:spLocks noChangeArrowheads="1"/>
                        </wps:cNvSpPr>
                        <wps:spPr bwMode="auto">
                          <a:xfrm>
                            <a:off x="3597910" y="298450"/>
                            <a:ext cx="2273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E07B2" w14:textId="77777777" w:rsidR="00F322E7" w:rsidRDefault="00F322E7">
                              <w:r>
                                <w:rPr>
                                  <w:rFonts w:ascii="Arial" w:hAnsi="Arial" w:cs="Arial"/>
                                  <w:color w:val="000000"/>
                                  <w:sz w:val="14"/>
                                  <w:szCs w:val="14"/>
                                </w:rPr>
                                <w:t>Close</w:t>
                              </w:r>
                            </w:p>
                          </w:txbxContent>
                        </wps:txbx>
                        <wps:bodyPr rot="0" vert="horz" wrap="square" lIns="0" tIns="0" rIns="0" bIns="0" anchor="t" anchorCtr="0" upright="1">
                          <a:noAutofit/>
                        </wps:bodyPr>
                      </wps:wsp>
                      <wps:wsp>
                        <wps:cNvPr id="587" name="Line 7"/>
                        <wps:cNvCnPr/>
                        <wps:spPr bwMode="auto">
                          <a:xfrm>
                            <a:off x="2880995" y="421005"/>
                            <a:ext cx="104775" cy="157480"/>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588" name="Rectangle 8"/>
                        <wps:cNvSpPr>
                          <a:spLocks noChangeArrowheads="1"/>
                        </wps:cNvSpPr>
                        <wps:spPr bwMode="auto">
                          <a:xfrm>
                            <a:off x="2693035" y="267970"/>
                            <a:ext cx="3511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F26EF" w14:textId="77777777" w:rsidR="00F322E7" w:rsidRDefault="00F322E7">
                              <w:r>
                                <w:rPr>
                                  <w:rFonts w:ascii="Arial" w:hAnsi="Arial" w:cs="Arial"/>
                                  <w:color w:val="000000"/>
                                  <w:sz w:val="14"/>
                                  <w:szCs w:val="14"/>
                                </w:rPr>
                                <w:t>Minimize</w:t>
                              </w:r>
                            </w:p>
                          </w:txbxContent>
                        </wps:txbx>
                        <wps:bodyPr rot="0" vert="horz" wrap="square" lIns="0" tIns="0" rIns="0" bIns="0" anchor="t" anchorCtr="0" upright="1">
                          <a:noAutofit/>
                        </wps:bodyPr>
                      </wps:wsp>
                      <wps:wsp>
                        <wps:cNvPr id="589" name="Line 9"/>
                        <wps:cNvCnPr/>
                        <wps:spPr bwMode="auto">
                          <a:xfrm flipH="1">
                            <a:off x="3142615" y="185420"/>
                            <a:ext cx="52070" cy="366395"/>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590" name="Rectangle 10"/>
                        <wps:cNvSpPr>
                          <a:spLocks noChangeArrowheads="1"/>
                        </wps:cNvSpPr>
                        <wps:spPr bwMode="auto">
                          <a:xfrm>
                            <a:off x="3011805" y="30480"/>
                            <a:ext cx="37592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85CB5" w14:textId="77777777" w:rsidR="00F322E7" w:rsidRDefault="00F322E7">
                              <w:r>
                                <w:rPr>
                                  <w:rFonts w:ascii="Arial" w:hAnsi="Arial" w:cs="Arial"/>
                                  <w:color w:val="000000"/>
                                  <w:sz w:val="14"/>
                                  <w:szCs w:val="14"/>
                                </w:rPr>
                                <w:t xml:space="preserve">Maximize </w:t>
                              </w:r>
                            </w:p>
                          </w:txbxContent>
                        </wps:txbx>
                        <wps:bodyPr rot="0" vert="horz" wrap="square" lIns="0" tIns="0" rIns="0" bIns="0" anchor="t" anchorCtr="0" upright="1">
                          <a:noAutofit/>
                        </wps:bodyPr>
                      </wps:wsp>
                    </wpc:wpc>
                  </a:graphicData>
                </a:graphic>
              </wp:inline>
            </w:drawing>
          </mc:Choice>
          <mc:Fallback>
            <w:pict>
              <v:group w14:anchorId="2A1783B8" id="Canvas 2" o:spid="_x0000_s1027" editas="canvas" alt="&quot;&quot;" style="width:303pt;height:79.5pt;mso-position-horizontal-relative:char;mso-position-vertical-relative:line" coordsize="38481,1009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">
                <v:shape id="_x0000_s1028" type="#_x0000_t75" alt="&quot;&quot;" style="position:absolute;width:38481;height:10096;visibility:visible;mso-wrap-style:square">
                  <v:fill o:detectmouseclick="t"/>
                  <v:path o:connecttype="none"/>
                </v:shape>
                <v:shape id="Picture 4" o:spid="_x0000_s1029" type="#_x0000_t75" style="position:absolute;left:101;top:4946;width:34436;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">
                  <v:imagedata r:id="rId72" o:title=""/>
                </v:shape>
                <v:line id="Line 5" o:spid="_x0000_s1030" style="position:absolute;flip:x;visibility:visible;mso-wrap-style:square" from="32994,3492" to="35077,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" strokeweight=".2pt">
                  <v:stroke endcap="round"/>
                </v:line>
                <v:rect id="Rectangle 6" o:spid="_x0000_s1031" style="position:absolute;left:35979;top:2984;width:2273;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222E07B2" w14:textId="77777777" w:rsidR="00F322E7" w:rsidRDefault="00F322E7">
                        <w:r>
                          <w:rPr>
                            <w:rFonts w:ascii="Arial" w:hAnsi="Arial" w:cs="Arial"/>
                            <w:color w:val="000000"/>
                            <w:sz w:val="14"/>
                            <w:szCs w:val="14"/>
                          </w:rPr>
                          <w:t>Close</w:t>
                        </w:r>
                      </w:p>
                    </w:txbxContent>
                  </v:textbox>
                </v:rect>
                <v:line id="Line 7" o:spid="_x0000_s1032" style="position:absolute;visibility:visible;mso-wrap-style:square" from="28809,4210" to="29857,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" strokeweight=".2pt">
                  <v:stroke endcap="round"/>
                </v:line>
                <v:rect id="Rectangle 8" o:spid="_x0000_s1033" style="position:absolute;left:26930;top:2679;width:3511;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5EFF26EF" w14:textId="77777777" w:rsidR="00F322E7" w:rsidRDefault="00F322E7">
                        <w:r>
                          <w:rPr>
                            <w:rFonts w:ascii="Arial" w:hAnsi="Arial" w:cs="Arial"/>
                            <w:color w:val="000000"/>
                            <w:sz w:val="14"/>
                            <w:szCs w:val="14"/>
                          </w:rPr>
                          <w:t>Minimize</w:t>
                        </w:r>
                      </w:p>
                    </w:txbxContent>
                  </v:textbox>
                </v:rect>
                <v:line id="Line 9" o:spid="_x0000_s1034" style="position:absolute;flip:x;visibility:visible;mso-wrap-style:square" from="31426,1854" to="31946,5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" strokeweight=".2pt">
                  <v:stroke endcap="round"/>
                </v:line>
                <v:rect id="Rectangle 10" o:spid="_x0000_s1035" style="position:absolute;left:30118;top:304;width:3759;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tXUwQAAANwAAAAPAAAAZHJzL2Rvd25yZXYueG1sRE/LisIw&#10;FN0L/kO4gjtNFRT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Dy+1dTBAAAA3AAAAA8AAAAA&#10;AAAAAAAAAAAABwIAAGRycy9kb3ducmV2LnhtbFBLBQYAAAAAAwADALcAAAD1AgAAAAA=&#10;" filled="f" stroked="f">
                  <v:textbox inset="0,0,0,0">
                    <w:txbxContent>
                      <w:p w14:paraId="05085CB5" w14:textId="77777777" w:rsidR="00F322E7" w:rsidRDefault="00F322E7">
                        <w:r>
                          <w:rPr>
                            <w:rFonts w:ascii="Arial" w:hAnsi="Arial" w:cs="Arial"/>
                            <w:color w:val="000000"/>
                            <w:sz w:val="14"/>
                            <w:szCs w:val="14"/>
                          </w:rPr>
                          <w:t xml:space="preserve">Maximize </w:t>
                        </w:r>
                      </w:p>
                    </w:txbxContent>
                  </v:textbox>
                </v:rect>
                <w10:anchorlock/>
              </v:group>
            </w:pict>
          </mc:Fallback>
        </mc:AlternateContent>
      </w:r>
      <w:r>
        <w:rPr>
          <w:noProof/>
        </w:rPr>
        <w:drawing>
          <wp:inline distT="0" distB="0" distL="0" distR="0" wp14:anchorId="5DDCE654" wp14:editId="38FA8A68">
            <wp:extent cx="1597660" cy="591185"/>
            <wp:effectExtent l="0" t="0" r="2540" b="0"/>
            <wp:docPr id="63"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a:extLst>
                        <a:ext uri="{C183D7F6-B498-43B3-948B-1728B52AA6E4}">
                          <adec:decorative xmlns:adec="http://schemas.microsoft.com/office/drawing/2017/decorative" val="1"/>
                        </a:ext>
                      </a:extLs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97660" cy="591185"/>
                    </a:xfrm>
                    <a:prstGeom prst="rect">
                      <a:avLst/>
                    </a:prstGeom>
                    <a:noFill/>
                    <a:ln>
                      <a:noFill/>
                    </a:ln>
                  </pic:spPr>
                </pic:pic>
              </a:graphicData>
            </a:graphic>
          </wp:inline>
        </w:drawing>
      </w:r>
    </w:p>
    <w:p w14:paraId="08FCA0B2" w14:textId="77777777" w:rsidR="002A21AE" w:rsidRPr="00762A84" w:rsidRDefault="00EF41C4" w:rsidP="00EF41C4">
      <w:pPr>
        <w:pStyle w:val="Caution"/>
      </w:pPr>
      <w:bookmarkStart w:id="135" w:name="OLE_LINK43"/>
      <w:bookmarkStart w:id="136" w:name="OLE_LINK44"/>
      <w:r>
        <w:t>When</w:t>
      </w:r>
      <w:r w:rsidR="00762A84">
        <w:t xml:space="preserve"> a</w:t>
      </w:r>
      <w:r>
        <w:t xml:space="preserve"> </w:t>
      </w:r>
      <w:r w:rsidR="00947497">
        <w:t xml:space="preserve">window is partially displayed or </w:t>
      </w:r>
      <w:r>
        <w:t>freezes</w:t>
      </w:r>
      <w:r w:rsidR="00762A84">
        <w:t>;</w:t>
      </w:r>
      <w:r>
        <w:t xml:space="preserve"> </w:t>
      </w:r>
      <w:r w:rsidR="00762A84">
        <w:t xml:space="preserve">or when you move from one window to another, enter information, return to the original window, and the entered information is not available, minimize then maximize the window to refresh it. </w:t>
      </w:r>
      <w:bookmarkEnd w:id="135"/>
      <w:bookmarkEnd w:id="136"/>
    </w:p>
    <w:p w14:paraId="5EAD8EE6" w14:textId="77777777" w:rsidR="002A21AE" w:rsidRDefault="002A21AE" w:rsidP="00FA7E65">
      <w:pPr>
        <w:pStyle w:val="BodyText"/>
      </w:pPr>
      <w:r>
        <w:t xml:space="preserve">To resize an open window: </w:t>
      </w:r>
    </w:p>
    <w:p w14:paraId="434FFD46" w14:textId="77777777" w:rsidR="002A21AE" w:rsidRDefault="002A21AE">
      <w:pPr>
        <w:pStyle w:val="ListBullet"/>
      </w:pPr>
      <w:r>
        <w:t>Make sure the Maximize symbol is visible.</w:t>
      </w:r>
    </w:p>
    <w:p w14:paraId="6EB43999" w14:textId="77777777" w:rsidR="002A21AE" w:rsidRDefault="002A21AE">
      <w:pPr>
        <w:pStyle w:val="ListBullet"/>
      </w:pPr>
      <w:r>
        <w:t xml:space="preserve">Change the width: move the mouse cursor to the left or right window border until the pointer changes into a horizontal double-headed arrow, then drag the border to the right or left. </w:t>
      </w:r>
    </w:p>
    <w:p w14:paraId="13129440" w14:textId="77777777" w:rsidR="002A21AE" w:rsidRDefault="002A21AE">
      <w:pPr>
        <w:pStyle w:val="ListBullet"/>
      </w:pPr>
      <w:r>
        <w:t xml:space="preserve">Change the height: move the mouse cursor to the top or bottom window border until the pointer changes into a vertical double-headed arrow, then drag the border up or down. </w:t>
      </w:r>
    </w:p>
    <w:p w14:paraId="4ACE23DB" w14:textId="77777777" w:rsidR="002A21AE" w:rsidRDefault="002A21AE">
      <w:pPr>
        <w:pStyle w:val="ListBullet"/>
      </w:pPr>
      <w:r>
        <w:t xml:space="preserve">Change the height and width together: move the mouse cursor to any window corner until the pointer changes into a diagonal double-headed arrow, and then drag the border in any direction. </w:t>
      </w:r>
    </w:p>
    <w:p w14:paraId="614262C5" w14:textId="77777777" w:rsidR="002A21AE" w:rsidRDefault="002A21AE">
      <w:pPr>
        <w:pStyle w:val="Caution"/>
      </w:pPr>
      <w:r>
        <w:t>A maximized window cannot be resized or moved.</w:t>
      </w:r>
    </w:p>
    <w:p w14:paraId="4AD41414" w14:textId="77777777" w:rsidR="003802FB" w:rsidRDefault="002A21AE" w:rsidP="003802FB">
      <w:pPr>
        <w:pStyle w:val="BodyText"/>
      </w:pPr>
      <w:r>
        <w:t xml:space="preserve">To move a window, click the dark blue bar at the top of the window. While </w:t>
      </w:r>
      <w:r w:rsidR="00DA43CD">
        <w:t>depressing</w:t>
      </w:r>
      <w:r>
        <w:t xml:space="preserve"> the mouse button, drag the </w:t>
      </w:r>
      <w:r w:rsidR="00B917A8">
        <w:t>window to the desired position.</w:t>
      </w:r>
    </w:p>
    <w:p w14:paraId="45132E6A" w14:textId="64B6A9D7" w:rsidR="002755DA" w:rsidRDefault="00EB27C1" w:rsidP="003802FB">
      <w:pPr>
        <w:pStyle w:val="BodyText"/>
      </w:pPr>
      <w:r>
        <w:t xml:space="preserve">Select </w:t>
      </w:r>
      <w:r w:rsidRPr="00EB27C1">
        <w:rPr>
          <w:b/>
        </w:rPr>
        <w:t>Help</w:t>
      </w:r>
      <w:r>
        <w:t xml:space="preserve">, </w:t>
      </w:r>
      <w:r w:rsidRPr="00EB27C1">
        <w:rPr>
          <w:b/>
        </w:rPr>
        <w:t>VBECS Help</w:t>
      </w:r>
      <w:r w:rsidRPr="00EB27C1">
        <w:t>,</w:t>
      </w:r>
      <w:r>
        <w:t xml:space="preserve"> or p</w:t>
      </w:r>
      <w:r w:rsidR="002755DA">
        <w:t>ress F1 at any time for online help</w:t>
      </w:r>
      <w:r w:rsidR="00BA2D0A">
        <w:fldChar w:fldCharType="begin"/>
      </w:r>
      <w:r w:rsidR="00BA2D0A">
        <w:instrText xml:space="preserve"> XE </w:instrText>
      </w:r>
      <w:r w:rsidR="00FA7E65">
        <w:instrText>“</w:instrText>
      </w:r>
      <w:r w:rsidR="00BA2D0A">
        <w:instrText>O</w:instrText>
      </w:r>
      <w:r w:rsidR="00BA2D0A" w:rsidRPr="00C1058E">
        <w:instrText xml:space="preserve">nline </w:instrText>
      </w:r>
      <w:r w:rsidR="00BA2D0A">
        <w:instrText>H</w:instrText>
      </w:r>
      <w:r w:rsidR="00BA2D0A" w:rsidRPr="00C1058E">
        <w:instrText>elp</w:instrText>
      </w:r>
      <w:r w:rsidR="00BA2D0A">
        <w:instrText xml:space="preserve"> F1</w:instrText>
      </w:r>
      <w:r w:rsidR="00FA7E65">
        <w:instrText>”</w:instrText>
      </w:r>
      <w:r w:rsidR="00BA2D0A">
        <w:instrText xml:space="preserve"> </w:instrText>
      </w:r>
      <w:r w:rsidR="00BA2D0A">
        <w:fldChar w:fldCharType="end"/>
      </w:r>
      <w:r w:rsidR="002755DA">
        <w:t>.</w:t>
      </w:r>
    </w:p>
    <w:p w14:paraId="0BE8689C" w14:textId="77777777" w:rsidR="002A21AE" w:rsidRDefault="002A21AE" w:rsidP="00FA7E65">
      <w:pPr>
        <w:pStyle w:val="BodyText"/>
      </w:pPr>
      <w:r>
        <w:t xml:space="preserve">The </w:t>
      </w:r>
      <w:r w:rsidR="00794B04">
        <w:t>first time a user opens a form [</w:t>
      </w:r>
      <w:r>
        <w:t>such as the Blood Transfusion Record Form</w:t>
      </w:r>
      <w:r w:rsidR="00794B04">
        <w:t xml:space="preserve"> (BTRF</w:t>
      </w:r>
      <w:r>
        <w:t>)</w:t>
      </w:r>
      <w:r w:rsidR="00794B04">
        <w:t>]</w:t>
      </w:r>
      <w:r>
        <w:t>, VBECS displays it in cascade style. When a user opens the form again, VBECS displays it in the size and position last selected.</w:t>
      </w:r>
    </w:p>
    <w:p w14:paraId="6E01E2D0" w14:textId="77777777" w:rsidR="002A21AE" w:rsidRDefault="002A21AE">
      <w:pPr>
        <w:pStyle w:val="Caution"/>
      </w:pPr>
      <w:r>
        <w:t>Forms can be resized and moved in the same way that windows are resized and moved.</w:t>
      </w:r>
    </w:p>
    <w:p w14:paraId="596743F7" w14:textId="77777777" w:rsidR="009521D3" w:rsidRDefault="009521D3" w:rsidP="009521D3">
      <w:pPr>
        <w:pStyle w:val="Heading3"/>
      </w:pPr>
      <w:bookmarkStart w:id="137" w:name="_Toc47516673"/>
      <w:r>
        <w:lastRenderedPageBreak/>
        <w:t>Sound</w:t>
      </w:r>
      <w:bookmarkEnd w:id="137"/>
      <w:r>
        <w:fldChar w:fldCharType="begin"/>
      </w:r>
      <w:r>
        <w:instrText xml:space="preserve"> XE "</w:instrText>
      </w:r>
      <w:r w:rsidRPr="0052484B">
        <w:instrText>Sound</w:instrText>
      </w:r>
      <w:r>
        <w:instrText xml:space="preserve">" </w:instrText>
      </w:r>
      <w:r>
        <w:fldChar w:fldCharType="end"/>
      </w:r>
    </w:p>
    <w:p w14:paraId="69A7450D" w14:textId="77777777" w:rsidR="009521D3" w:rsidRDefault="009521D3" w:rsidP="009521D3">
      <w:pPr>
        <w:pStyle w:val="BodyText"/>
      </w:pPr>
      <w:r>
        <w:t xml:space="preserve">To enable sound on Remote Desktop Connection: </w:t>
      </w:r>
    </w:p>
    <w:p w14:paraId="5110FA42" w14:textId="5DBFC74C" w:rsidR="009521D3" w:rsidRDefault="00430868" w:rsidP="002F6D7B">
      <w:pPr>
        <w:pStyle w:val="ListNumber"/>
        <w:numPr>
          <w:ilvl w:val="0"/>
          <w:numId w:val="17"/>
        </w:numPr>
      </w:pPr>
      <w:r>
        <w:t>Double-</w:t>
      </w:r>
      <w:r w:rsidR="009521D3">
        <w:t xml:space="preserve">click </w:t>
      </w:r>
      <w:r w:rsidR="00D73EE4">
        <w:object w:dxaOrig="495" w:dyaOrig="525" w14:anchorId="204A2BCA">
          <v:shape id="_x0000_i1031" type="#_x0000_t75" alt="desktop connection icon" style="width:14.4pt;height:14.4pt" o:ole="">
            <v:imagedata r:id="rId68" o:title=""/>
          </v:shape>
          <o:OLEObject Type="Embed" ProgID="PBrush" ShapeID="_x0000_i1031" DrawAspect="Content" ObjectID="_1693299368" r:id="rId74"/>
        </w:object>
      </w:r>
      <w:r w:rsidR="00440D46">
        <w:t xml:space="preserve"> </w:t>
      </w:r>
      <w:r w:rsidR="009521D3">
        <w:t xml:space="preserve">(the </w:t>
      </w:r>
      <w:r w:rsidR="009521D3" w:rsidRPr="00D75808">
        <w:rPr>
          <w:b/>
        </w:rPr>
        <w:t xml:space="preserve">Remote Desktop Connection </w:t>
      </w:r>
      <w:r w:rsidR="009521D3" w:rsidRPr="000E5904">
        <w:t>icon</w:t>
      </w:r>
      <w:r w:rsidR="009521D3" w:rsidRPr="006B174A">
        <w:t>).</w:t>
      </w:r>
    </w:p>
    <w:p w14:paraId="135D9D75" w14:textId="18506462" w:rsidR="009521D3" w:rsidRDefault="009521D3" w:rsidP="00190BEC">
      <w:pPr>
        <w:pStyle w:val="ListNumber"/>
        <w:numPr>
          <w:ilvl w:val="0"/>
          <w:numId w:val="17"/>
        </w:numPr>
      </w:pPr>
      <w:r>
        <w:t xml:space="preserve">Click </w:t>
      </w:r>
      <w:r w:rsidR="00536B57" w:rsidRPr="00F973D1">
        <w:rPr>
          <w:b/>
        </w:rPr>
        <w:t xml:space="preserve">Show </w:t>
      </w:r>
      <w:r w:rsidRPr="00F973D1">
        <w:rPr>
          <w:b/>
        </w:rPr>
        <w:t>Options</w:t>
      </w:r>
      <w:r w:rsidR="00AA5C48" w:rsidRPr="00190BEC">
        <w:t xml:space="preserve"> </w:t>
      </w:r>
      <w:r w:rsidR="00AA5C48" w:rsidRPr="00AA5C48">
        <w:t>(</w:t>
      </w:r>
      <w:r w:rsidR="00AA5C48">
        <w:fldChar w:fldCharType="begin"/>
      </w:r>
      <w:r w:rsidR="00AA5C48">
        <w:instrText xml:space="preserve"> REF _Ref506971874 \h </w:instrText>
      </w:r>
      <w:r w:rsidR="00190BEC">
        <w:instrText xml:space="preserve"> \* MERGEFORMAT </w:instrText>
      </w:r>
      <w:r w:rsidR="00AA5C48">
        <w:fldChar w:fldCharType="separate"/>
      </w:r>
      <w:r w:rsidR="004353ED">
        <w:t>Figure 35</w:t>
      </w:r>
      <w:r w:rsidR="00AA5C48">
        <w:fldChar w:fldCharType="end"/>
      </w:r>
      <w:r w:rsidR="00AA5C48" w:rsidRPr="00AA5C48">
        <w:t>)</w:t>
      </w:r>
      <w:r>
        <w:t>.</w:t>
      </w:r>
    </w:p>
    <w:p w14:paraId="096E3F10" w14:textId="5AFDA884" w:rsidR="000E5904" w:rsidRDefault="000E5904" w:rsidP="000E5904">
      <w:pPr>
        <w:pStyle w:val="Caption"/>
      </w:pPr>
      <w:bookmarkStart w:id="138" w:name="_Ref50697187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35</w:t>
      </w:r>
      <w:r w:rsidR="004E20BD">
        <w:rPr>
          <w:noProof/>
        </w:rPr>
        <w:fldChar w:fldCharType="end"/>
      </w:r>
      <w:bookmarkEnd w:id="138"/>
      <w:r>
        <w:t xml:space="preserve">: Remote Desktop </w:t>
      </w:r>
      <w:r w:rsidR="00486D34">
        <w:t>Connection</w:t>
      </w:r>
      <w:r>
        <w:t xml:space="preserve"> Options</w:t>
      </w:r>
    </w:p>
    <w:p w14:paraId="65760D12" w14:textId="77777777" w:rsidR="000E5904" w:rsidRPr="000E5904" w:rsidRDefault="00057948" w:rsidP="000E5904">
      <w:pPr>
        <w:pStyle w:val="BodyText"/>
      </w:pPr>
      <w:r>
        <w:rPr>
          <w:noProof/>
        </w:rPr>
        <w:drawing>
          <wp:inline distT="0" distB="0" distL="0" distR="0" wp14:anchorId="587E97B5" wp14:editId="214D84DB">
            <wp:extent cx="4008755" cy="2466340"/>
            <wp:effectExtent l="0" t="0" r="0" b="0"/>
            <wp:docPr id="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1">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08755" cy="2466340"/>
                    </a:xfrm>
                    <a:prstGeom prst="rect">
                      <a:avLst/>
                    </a:prstGeom>
                    <a:noFill/>
                    <a:ln>
                      <a:noFill/>
                    </a:ln>
                  </pic:spPr>
                </pic:pic>
              </a:graphicData>
            </a:graphic>
          </wp:inline>
        </w:drawing>
      </w:r>
    </w:p>
    <w:p w14:paraId="7CE05795" w14:textId="45D03B92" w:rsidR="000E5904" w:rsidRDefault="00AA5C48" w:rsidP="00190BEC">
      <w:pPr>
        <w:pStyle w:val="ListNumber"/>
        <w:numPr>
          <w:ilvl w:val="0"/>
          <w:numId w:val="17"/>
        </w:numPr>
      </w:pPr>
      <w:r>
        <w:br w:type="page"/>
      </w:r>
      <w:r w:rsidR="009521D3" w:rsidRPr="000E5904">
        <w:lastRenderedPageBreak/>
        <w:t>Click the</w:t>
      </w:r>
      <w:r w:rsidR="009521D3">
        <w:t xml:space="preserve"> </w:t>
      </w:r>
      <w:r w:rsidR="009521D3" w:rsidRPr="00F973D1">
        <w:rPr>
          <w:b/>
        </w:rPr>
        <w:t>Local Resources</w:t>
      </w:r>
      <w:r w:rsidR="009521D3" w:rsidRPr="00190BEC">
        <w:t xml:space="preserve"> </w:t>
      </w:r>
      <w:r w:rsidR="009521D3" w:rsidRPr="000E5904">
        <w:t>ta</w:t>
      </w:r>
      <w:r w:rsidR="000E5904">
        <w:t>b (</w:t>
      </w:r>
      <w:r>
        <w:fldChar w:fldCharType="begin"/>
      </w:r>
      <w:r>
        <w:instrText xml:space="preserve"> REF _Ref506972009 \h </w:instrText>
      </w:r>
      <w:r w:rsidR="00190BEC">
        <w:instrText xml:space="preserve"> \* MERGEFORMAT </w:instrText>
      </w:r>
      <w:r>
        <w:fldChar w:fldCharType="separate"/>
      </w:r>
      <w:r w:rsidR="004353ED">
        <w:t>Figure 36</w:t>
      </w:r>
      <w:r>
        <w:fldChar w:fldCharType="end"/>
      </w:r>
      <w:r w:rsidR="000E5904">
        <w:t>).</w:t>
      </w:r>
    </w:p>
    <w:p w14:paraId="458CEC7C" w14:textId="12362491" w:rsidR="00B95014" w:rsidRDefault="00B95014" w:rsidP="00B95014">
      <w:pPr>
        <w:pStyle w:val="Caption"/>
      </w:pPr>
      <w:bookmarkStart w:id="139" w:name="_Ref50697200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36</w:t>
      </w:r>
      <w:r w:rsidR="004E20BD">
        <w:rPr>
          <w:noProof/>
        </w:rPr>
        <w:fldChar w:fldCharType="end"/>
      </w:r>
      <w:bookmarkEnd w:id="139"/>
      <w:r w:rsidR="00AA5C48">
        <w:t>: Remote Desktop Connection Remote Computer Sound</w:t>
      </w:r>
    </w:p>
    <w:p w14:paraId="4A59268A" w14:textId="77777777" w:rsidR="00B95014" w:rsidRPr="00B95014" w:rsidRDefault="00057948" w:rsidP="00B95014">
      <w:pPr>
        <w:pStyle w:val="BodyText"/>
      </w:pPr>
      <w:r>
        <w:rPr>
          <w:noProof/>
        </w:rPr>
        <w:drawing>
          <wp:inline distT="0" distB="0" distL="0" distR="0" wp14:anchorId="03EE60D5" wp14:editId="35EE7BA8">
            <wp:extent cx="4008755" cy="4572000"/>
            <wp:effectExtent l="0" t="0" r="0" b="0"/>
            <wp:docPr id="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1">
                      <a:extLst>
                        <a:ext uri="{C183D7F6-B498-43B3-948B-1728B52AA6E4}">
                          <adec:decorative xmlns:adec="http://schemas.microsoft.com/office/drawing/2017/decorative" val="1"/>
                        </a:ext>
                      </a:extLs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008755" cy="4572000"/>
                    </a:xfrm>
                    <a:prstGeom prst="rect">
                      <a:avLst/>
                    </a:prstGeom>
                    <a:noFill/>
                    <a:ln>
                      <a:noFill/>
                    </a:ln>
                  </pic:spPr>
                </pic:pic>
              </a:graphicData>
            </a:graphic>
          </wp:inline>
        </w:drawing>
      </w:r>
    </w:p>
    <w:p w14:paraId="59285FA3" w14:textId="7AFEC997" w:rsidR="00536B57" w:rsidRDefault="00527340" w:rsidP="00190BEC">
      <w:pPr>
        <w:pStyle w:val="ListNumber"/>
        <w:numPr>
          <w:ilvl w:val="0"/>
          <w:numId w:val="17"/>
        </w:numPr>
      </w:pPr>
      <w:r>
        <w:br w:type="page"/>
      </w:r>
      <w:r w:rsidR="00536B57">
        <w:lastRenderedPageBreak/>
        <w:t xml:space="preserve">Click </w:t>
      </w:r>
      <w:r w:rsidR="00536B57" w:rsidRPr="00F973D1">
        <w:rPr>
          <w:b/>
        </w:rPr>
        <w:t>Settings</w:t>
      </w:r>
      <w:r w:rsidR="003052D6" w:rsidRPr="00190BEC">
        <w:t xml:space="preserve"> </w:t>
      </w:r>
      <w:r w:rsidR="003052D6" w:rsidRPr="003052D6">
        <w:t>(</w:t>
      </w:r>
      <w:r>
        <w:fldChar w:fldCharType="begin"/>
      </w:r>
      <w:r>
        <w:instrText xml:space="preserve"> REF _Ref506975297 \h </w:instrText>
      </w:r>
      <w:r w:rsidR="00190BEC">
        <w:instrText xml:space="preserve"> \* MERGEFORMAT </w:instrText>
      </w:r>
      <w:r>
        <w:fldChar w:fldCharType="separate"/>
      </w:r>
      <w:r w:rsidR="004353ED">
        <w:t>Figure 37</w:t>
      </w:r>
      <w:r>
        <w:fldChar w:fldCharType="end"/>
      </w:r>
      <w:r w:rsidR="003052D6" w:rsidRPr="003052D6">
        <w:t>)</w:t>
      </w:r>
      <w:r w:rsidR="00536B57">
        <w:t>.</w:t>
      </w:r>
    </w:p>
    <w:p w14:paraId="7CE9D271" w14:textId="3551C00F" w:rsidR="004E1E95" w:rsidRDefault="004E1E95" w:rsidP="004E1E95">
      <w:pPr>
        <w:pStyle w:val="Caption"/>
      </w:pPr>
      <w:bookmarkStart w:id="140" w:name="_Ref50697529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37</w:t>
      </w:r>
      <w:r w:rsidR="004E20BD">
        <w:rPr>
          <w:noProof/>
        </w:rPr>
        <w:fldChar w:fldCharType="end"/>
      </w:r>
      <w:bookmarkEnd w:id="140"/>
      <w:r>
        <w:t>: Remote Desktop Connection Settings</w:t>
      </w:r>
    </w:p>
    <w:p w14:paraId="313B3E46" w14:textId="77777777" w:rsidR="004E1E95" w:rsidRPr="004E1E95" w:rsidRDefault="00057948" w:rsidP="004E1E95">
      <w:pPr>
        <w:pStyle w:val="BodyText"/>
      </w:pPr>
      <w:r>
        <w:rPr>
          <w:noProof/>
        </w:rPr>
        <w:drawing>
          <wp:inline distT="0" distB="0" distL="0" distR="0" wp14:anchorId="4B061E92" wp14:editId="190ABB6B">
            <wp:extent cx="4008755" cy="4572000"/>
            <wp:effectExtent l="0" t="0" r="0" b="0"/>
            <wp:docPr id="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1">
                      <a:extLst>
                        <a:ext uri="{C183D7F6-B498-43B3-948B-1728B52AA6E4}">
                          <adec:decorative xmlns:adec="http://schemas.microsoft.com/office/drawing/2017/decorative" val="1"/>
                        </a:ext>
                      </a:extLs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008755" cy="4572000"/>
                    </a:xfrm>
                    <a:prstGeom prst="rect">
                      <a:avLst/>
                    </a:prstGeom>
                    <a:noFill/>
                    <a:ln>
                      <a:noFill/>
                    </a:ln>
                  </pic:spPr>
                </pic:pic>
              </a:graphicData>
            </a:graphic>
          </wp:inline>
        </w:drawing>
      </w:r>
    </w:p>
    <w:p w14:paraId="48D0DBC5" w14:textId="67B57167" w:rsidR="009521D3" w:rsidRDefault="00527340" w:rsidP="00190BEC">
      <w:pPr>
        <w:pStyle w:val="ListNumber"/>
        <w:numPr>
          <w:ilvl w:val="0"/>
          <w:numId w:val="17"/>
        </w:numPr>
      </w:pPr>
      <w:r>
        <w:br w:type="page"/>
      </w:r>
      <w:r w:rsidR="009521D3">
        <w:lastRenderedPageBreak/>
        <w:t xml:space="preserve">Select </w:t>
      </w:r>
      <w:r w:rsidR="00536B57" w:rsidRPr="00F973D1">
        <w:rPr>
          <w:b/>
        </w:rPr>
        <w:t>Play on</w:t>
      </w:r>
      <w:r w:rsidR="009521D3" w:rsidRPr="00F973D1">
        <w:rPr>
          <w:b/>
        </w:rPr>
        <w:t xml:space="preserve"> this computer</w:t>
      </w:r>
      <w:r w:rsidR="009521D3" w:rsidRPr="00190BEC">
        <w:t xml:space="preserve"> </w:t>
      </w:r>
      <w:r w:rsidR="009521D3">
        <w:t xml:space="preserve">from the Remote computer sound </w:t>
      </w:r>
      <w:r w:rsidR="00F036AD">
        <w:t>radio buttons</w:t>
      </w:r>
      <w:r>
        <w:t xml:space="preserve"> (</w:t>
      </w:r>
      <w:r>
        <w:fldChar w:fldCharType="begin"/>
      </w:r>
      <w:r>
        <w:instrText xml:space="preserve"> REF _Ref506975324 \h </w:instrText>
      </w:r>
      <w:r w:rsidR="00190BEC">
        <w:instrText xml:space="preserve"> \* MERGEFORMAT </w:instrText>
      </w:r>
      <w:r>
        <w:fldChar w:fldCharType="separate"/>
      </w:r>
      <w:r w:rsidR="004353ED">
        <w:t>Figure 38</w:t>
      </w:r>
      <w:r>
        <w:fldChar w:fldCharType="end"/>
      </w:r>
      <w:r>
        <w:t>)</w:t>
      </w:r>
      <w:r w:rsidR="009521D3">
        <w:t>.</w:t>
      </w:r>
    </w:p>
    <w:p w14:paraId="0F8BF454" w14:textId="2C84BEB1" w:rsidR="004E1E95" w:rsidRDefault="004E1E95" w:rsidP="004E1E95">
      <w:pPr>
        <w:pStyle w:val="Caption"/>
      </w:pPr>
      <w:bookmarkStart w:id="141" w:name="_Ref50697532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38</w:t>
      </w:r>
      <w:r w:rsidR="004E20BD">
        <w:rPr>
          <w:noProof/>
        </w:rPr>
        <w:fldChar w:fldCharType="end"/>
      </w:r>
      <w:bookmarkEnd w:id="141"/>
      <w:r>
        <w:t>: Remote Desktop Connection Play on this computer</w:t>
      </w:r>
    </w:p>
    <w:p w14:paraId="0728F33D" w14:textId="77777777" w:rsidR="004E1E95" w:rsidRPr="004E1E95" w:rsidRDefault="00057948" w:rsidP="004E1E95">
      <w:pPr>
        <w:pStyle w:val="BodyText"/>
      </w:pPr>
      <w:r>
        <w:rPr>
          <w:noProof/>
        </w:rPr>
        <w:drawing>
          <wp:inline distT="0" distB="0" distL="0" distR="0" wp14:anchorId="6AB7FC4A" wp14:editId="4BC4B41D">
            <wp:extent cx="4008755" cy="3232785"/>
            <wp:effectExtent l="0" t="0" r="0" b="5715"/>
            <wp:docPr id="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1">
                      <a:extLst>
                        <a:ext uri="{C183D7F6-B498-43B3-948B-1728B52AA6E4}">
                          <adec:decorative xmlns:adec="http://schemas.microsoft.com/office/drawing/2017/decorative" val="1"/>
                        </a:ext>
                      </a:extLst>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008755" cy="3232785"/>
                    </a:xfrm>
                    <a:prstGeom prst="rect">
                      <a:avLst/>
                    </a:prstGeom>
                    <a:noFill/>
                    <a:ln>
                      <a:noFill/>
                    </a:ln>
                  </pic:spPr>
                </pic:pic>
              </a:graphicData>
            </a:graphic>
          </wp:inline>
        </w:drawing>
      </w:r>
    </w:p>
    <w:p w14:paraId="490831E4" w14:textId="77777777" w:rsidR="00536B57" w:rsidRDefault="00536B57" w:rsidP="00190BEC">
      <w:pPr>
        <w:pStyle w:val="ListNumber"/>
        <w:numPr>
          <w:ilvl w:val="0"/>
          <w:numId w:val="17"/>
        </w:numPr>
      </w:pPr>
      <w:r>
        <w:t xml:space="preserve">Click </w:t>
      </w:r>
      <w:r w:rsidRPr="00F973D1">
        <w:rPr>
          <w:b/>
        </w:rPr>
        <w:t>OK</w:t>
      </w:r>
      <w:r>
        <w:t>.</w:t>
      </w:r>
    </w:p>
    <w:p w14:paraId="5A6EE3A6" w14:textId="13DF2211" w:rsidR="009521D3" w:rsidRDefault="00527340" w:rsidP="00190BEC">
      <w:pPr>
        <w:pStyle w:val="ListNumber"/>
        <w:numPr>
          <w:ilvl w:val="0"/>
          <w:numId w:val="17"/>
        </w:numPr>
      </w:pPr>
      <w:r>
        <w:br w:type="page"/>
      </w:r>
      <w:r w:rsidR="009521D3">
        <w:lastRenderedPageBreak/>
        <w:t xml:space="preserve">Click the </w:t>
      </w:r>
      <w:r w:rsidR="009521D3" w:rsidRPr="00F973D1">
        <w:rPr>
          <w:b/>
        </w:rPr>
        <w:t>Experience</w:t>
      </w:r>
      <w:r w:rsidR="009521D3" w:rsidRPr="00190BEC">
        <w:t xml:space="preserve"> </w:t>
      </w:r>
      <w:r w:rsidR="009521D3" w:rsidRPr="00430868">
        <w:t>tab</w:t>
      </w:r>
      <w:r>
        <w:t xml:space="preserve"> (</w:t>
      </w:r>
      <w:r>
        <w:fldChar w:fldCharType="begin"/>
      </w:r>
      <w:r>
        <w:instrText xml:space="preserve"> REF _Ref506975351 \h </w:instrText>
      </w:r>
      <w:r w:rsidR="00190BEC">
        <w:instrText xml:space="preserve"> \* MERGEFORMAT </w:instrText>
      </w:r>
      <w:r>
        <w:fldChar w:fldCharType="separate"/>
      </w:r>
      <w:r w:rsidR="004353ED">
        <w:t>Figure 39</w:t>
      </w:r>
      <w:r>
        <w:fldChar w:fldCharType="end"/>
      </w:r>
      <w:r>
        <w:t>)</w:t>
      </w:r>
      <w:r w:rsidR="009521D3">
        <w:t>.</w:t>
      </w:r>
    </w:p>
    <w:p w14:paraId="6B203FC1" w14:textId="10FCC287" w:rsidR="004E1E95" w:rsidRDefault="004E1E95" w:rsidP="004E1E95">
      <w:pPr>
        <w:pStyle w:val="Caption"/>
      </w:pPr>
      <w:bookmarkStart w:id="142" w:name="_Ref50697535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39</w:t>
      </w:r>
      <w:r w:rsidR="004E20BD">
        <w:rPr>
          <w:noProof/>
        </w:rPr>
        <w:fldChar w:fldCharType="end"/>
      </w:r>
      <w:bookmarkEnd w:id="142"/>
      <w:r>
        <w:t xml:space="preserve">: </w:t>
      </w:r>
      <w:r w:rsidRPr="005404F9">
        <w:t>Remote Desktop Connection Choose Connection Speed</w:t>
      </w:r>
    </w:p>
    <w:p w14:paraId="4F3AB0E5" w14:textId="77777777" w:rsidR="004E1E95" w:rsidRDefault="00057948" w:rsidP="00527340">
      <w:pPr>
        <w:pStyle w:val="BodyText"/>
      </w:pPr>
      <w:r>
        <w:rPr>
          <w:noProof/>
        </w:rPr>
        <w:drawing>
          <wp:inline distT="0" distB="0" distL="0" distR="0" wp14:anchorId="27D86A64" wp14:editId="543E97DF">
            <wp:extent cx="4008755" cy="4572000"/>
            <wp:effectExtent l="0" t="0" r="0" b="0"/>
            <wp:docPr id="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1">
                      <a:extLst>
                        <a:ext uri="{C183D7F6-B498-43B3-948B-1728B52AA6E4}">
                          <adec:decorative xmlns:adec="http://schemas.microsoft.com/office/drawing/2017/decorative" val="1"/>
                        </a:ext>
                      </a:extLs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008755" cy="4572000"/>
                    </a:xfrm>
                    <a:prstGeom prst="rect">
                      <a:avLst/>
                    </a:prstGeom>
                    <a:noFill/>
                    <a:ln>
                      <a:noFill/>
                    </a:ln>
                  </pic:spPr>
                </pic:pic>
              </a:graphicData>
            </a:graphic>
          </wp:inline>
        </w:drawing>
      </w:r>
    </w:p>
    <w:p w14:paraId="19A11CAE" w14:textId="231E3141" w:rsidR="009521D3" w:rsidRDefault="00527340" w:rsidP="00190BEC">
      <w:pPr>
        <w:pStyle w:val="ListNumber"/>
        <w:numPr>
          <w:ilvl w:val="0"/>
          <w:numId w:val="17"/>
        </w:numPr>
      </w:pPr>
      <w:r>
        <w:br w:type="page"/>
      </w:r>
      <w:r w:rsidR="009521D3">
        <w:lastRenderedPageBreak/>
        <w:t xml:space="preserve">Select </w:t>
      </w:r>
      <w:r w:rsidR="009521D3" w:rsidRPr="00F973D1">
        <w:rPr>
          <w:b/>
        </w:rPr>
        <w:t>LAN</w:t>
      </w:r>
      <w:r w:rsidR="009521D3">
        <w:t xml:space="preserve"> from the </w:t>
      </w:r>
      <w:r w:rsidR="009521D3" w:rsidRPr="00F973D1">
        <w:rPr>
          <w:b/>
        </w:rPr>
        <w:t>Choose your connect</w:t>
      </w:r>
      <w:r w:rsidR="00D051B7" w:rsidRPr="00F973D1">
        <w:rPr>
          <w:b/>
        </w:rPr>
        <w:t>i</w:t>
      </w:r>
      <w:r w:rsidR="009521D3" w:rsidRPr="00F973D1">
        <w:rPr>
          <w:b/>
        </w:rPr>
        <w:t>on speed to optimize performance</w:t>
      </w:r>
      <w:r w:rsidR="009521D3">
        <w:t xml:space="preserve"> drop-down list</w:t>
      </w:r>
      <w:r w:rsidR="0059143B">
        <w:t xml:space="preserve"> (</w:t>
      </w:r>
      <w:r>
        <w:fldChar w:fldCharType="begin"/>
      </w:r>
      <w:r>
        <w:instrText xml:space="preserve"> REF _Ref506975377 \h </w:instrText>
      </w:r>
      <w:r w:rsidR="00190BEC">
        <w:instrText xml:space="preserve"> \* MERGEFORMAT </w:instrText>
      </w:r>
      <w:r>
        <w:fldChar w:fldCharType="separate"/>
      </w:r>
      <w:r w:rsidR="004353ED">
        <w:t>Figure 40</w:t>
      </w:r>
      <w:r>
        <w:fldChar w:fldCharType="end"/>
      </w:r>
      <w:r w:rsidR="0059143B">
        <w:t>).</w:t>
      </w:r>
    </w:p>
    <w:p w14:paraId="54D610BB" w14:textId="2C53D518" w:rsidR="004E1E95" w:rsidRDefault="004E1E95" w:rsidP="004E1E95">
      <w:pPr>
        <w:pStyle w:val="Caption"/>
      </w:pPr>
      <w:bookmarkStart w:id="143" w:name="_Ref50697537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40</w:t>
      </w:r>
      <w:r w:rsidR="004E20BD">
        <w:rPr>
          <w:noProof/>
        </w:rPr>
        <w:fldChar w:fldCharType="end"/>
      </w:r>
      <w:bookmarkEnd w:id="143"/>
      <w:r>
        <w:t>: Remote Desktop Connection Choose Connection Speed</w:t>
      </w:r>
    </w:p>
    <w:p w14:paraId="334CC7C0" w14:textId="77777777" w:rsidR="004E1E95" w:rsidRPr="004E1E95" w:rsidRDefault="00057948" w:rsidP="004E1E95">
      <w:pPr>
        <w:pStyle w:val="BodyText"/>
      </w:pPr>
      <w:r>
        <w:rPr>
          <w:noProof/>
        </w:rPr>
        <w:drawing>
          <wp:inline distT="0" distB="0" distL="0" distR="0" wp14:anchorId="3B54F8F7" wp14:editId="00552FF7">
            <wp:extent cx="4008755" cy="4572000"/>
            <wp:effectExtent l="0" t="0" r="0" b="0"/>
            <wp:docPr id="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a:extLst>
                        <a:ext uri="{C183D7F6-B498-43B3-948B-1728B52AA6E4}">
                          <adec:decorative xmlns:adec="http://schemas.microsoft.com/office/drawing/2017/decorative" val="1"/>
                        </a:ext>
                      </a:extLs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008755" cy="4572000"/>
                    </a:xfrm>
                    <a:prstGeom prst="rect">
                      <a:avLst/>
                    </a:prstGeom>
                    <a:noFill/>
                    <a:ln>
                      <a:noFill/>
                    </a:ln>
                  </pic:spPr>
                </pic:pic>
              </a:graphicData>
            </a:graphic>
          </wp:inline>
        </w:drawing>
      </w:r>
    </w:p>
    <w:p w14:paraId="2397E738" w14:textId="77777777" w:rsidR="00F973D1" w:rsidRDefault="00F973D1" w:rsidP="00190BEC">
      <w:pPr>
        <w:pStyle w:val="ListNumber"/>
        <w:numPr>
          <w:ilvl w:val="0"/>
          <w:numId w:val="17"/>
        </w:numPr>
      </w:pPr>
      <w:r>
        <w:t xml:space="preserve">Click the </w:t>
      </w:r>
      <w:r w:rsidRPr="00F973D1">
        <w:rPr>
          <w:b/>
        </w:rPr>
        <w:t>General</w:t>
      </w:r>
      <w:r>
        <w:t xml:space="preserve"> tab and click </w:t>
      </w:r>
      <w:r w:rsidRPr="00F973D1">
        <w:rPr>
          <w:b/>
        </w:rPr>
        <w:t>Save</w:t>
      </w:r>
      <w:r>
        <w:t>.</w:t>
      </w:r>
    </w:p>
    <w:p w14:paraId="158E1A5A" w14:textId="5393EE26" w:rsidR="009521D3" w:rsidRDefault="009521D3" w:rsidP="00190BEC">
      <w:pPr>
        <w:pStyle w:val="ListNumber"/>
        <w:numPr>
          <w:ilvl w:val="0"/>
          <w:numId w:val="17"/>
        </w:numPr>
      </w:pPr>
      <w:r>
        <w:t xml:space="preserve">Click </w:t>
      </w:r>
      <w:r w:rsidRPr="00F973D1">
        <w:rPr>
          <w:b/>
        </w:rPr>
        <w:t>Connect</w:t>
      </w:r>
      <w:r w:rsidR="003C1391" w:rsidRPr="00190BEC">
        <w:t xml:space="preserve"> </w:t>
      </w:r>
      <w:r w:rsidR="003C1391" w:rsidRPr="003C1391">
        <w:t>(</w:t>
      </w:r>
      <w:r w:rsidR="00527340">
        <w:fldChar w:fldCharType="begin"/>
      </w:r>
      <w:r w:rsidR="00527340">
        <w:instrText xml:space="preserve"> REF _Ref506975377 \h </w:instrText>
      </w:r>
      <w:r w:rsidR="00190BEC">
        <w:instrText xml:space="preserve"> \* MERGEFORMAT </w:instrText>
      </w:r>
      <w:r w:rsidR="00527340">
        <w:fldChar w:fldCharType="separate"/>
      </w:r>
      <w:r w:rsidR="004353ED">
        <w:t>Figure 40</w:t>
      </w:r>
      <w:r w:rsidR="00527340">
        <w:fldChar w:fldCharType="end"/>
      </w:r>
      <w:r w:rsidR="003C1391" w:rsidRPr="003C1391">
        <w:t>)</w:t>
      </w:r>
      <w:r>
        <w:t>.</w:t>
      </w:r>
    </w:p>
    <w:p w14:paraId="07959B5B" w14:textId="77777777" w:rsidR="009521D3" w:rsidRDefault="003221AE" w:rsidP="009521D3">
      <w:pPr>
        <w:pStyle w:val="Heading3"/>
      </w:pPr>
      <w:r>
        <w:br w:type="page"/>
      </w:r>
      <w:bookmarkStart w:id="144" w:name="_Toc47516674"/>
      <w:r w:rsidR="009521D3">
        <w:lastRenderedPageBreak/>
        <w:t>Volume</w:t>
      </w:r>
      <w:bookmarkEnd w:id="144"/>
      <w:r w:rsidR="009521D3">
        <w:fldChar w:fldCharType="begin"/>
      </w:r>
      <w:r w:rsidR="009521D3">
        <w:instrText xml:space="preserve"> XE "</w:instrText>
      </w:r>
      <w:r w:rsidR="009521D3" w:rsidRPr="001226D8">
        <w:instrText xml:space="preserve"> Volume</w:instrText>
      </w:r>
      <w:r w:rsidR="009521D3">
        <w:instrText xml:space="preserve">" </w:instrText>
      </w:r>
      <w:r w:rsidR="009521D3">
        <w:fldChar w:fldCharType="end"/>
      </w:r>
    </w:p>
    <w:p w14:paraId="1175AF6E" w14:textId="77777777" w:rsidR="009521D3" w:rsidRDefault="00057948" w:rsidP="009521D3">
      <w:pPr>
        <w:pStyle w:val="Caution"/>
      </w:pPr>
      <w:r>
        <w:rPr>
          <w:noProof/>
        </w:rPr>
        <w:drawing>
          <wp:inline distT="0" distB="0" distL="0" distR="0" wp14:anchorId="3C2D3017" wp14:editId="5F1DC40F">
            <wp:extent cx="267970" cy="221615"/>
            <wp:effectExtent l="0" t="0" r="0" b="6985"/>
            <wp:docPr id="71" name="Pictur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521D3">
        <w:t>Do not change volume settings unless alerts are inaudible (muted) or low.</w:t>
      </w:r>
    </w:p>
    <w:p w14:paraId="6AD7B95E" w14:textId="77777777" w:rsidR="009521D3" w:rsidRDefault="009521D3" w:rsidP="009521D3">
      <w:pPr>
        <w:pStyle w:val="BodyText"/>
      </w:pPr>
      <w:r>
        <w:t xml:space="preserve">VBECS uses sound </w:t>
      </w:r>
      <w:r w:rsidR="00DF3323">
        <w:t xml:space="preserve">as one way </w:t>
      </w:r>
      <w:r>
        <w:t>to alert users. To restore the volume setting on your workstation so that alerts are audible:</w:t>
      </w:r>
    </w:p>
    <w:p w14:paraId="70EF4401" w14:textId="77777777" w:rsidR="00190939" w:rsidRDefault="00190939" w:rsidP="002F6D7B">
      <w:pPr>
        <w:pStyle w:val="ListNumber"/>
        <w:numPr>
          <w:ilvl w:val="0"/>
          <w:numId w:val="18"/>
        </w:numPr>
      </w:pPr>
      <w:r>
        <w:t xml:space="preserve">Click </w:t>
      </w:r>
      <w:r w:rsidRPr="00F8408D">
        <w:rPr>
          <w:b/>
        </w:rPr>
        <w:t>Start</w:t>
      </w:r>
      <w:r>
        <w:t xml:space="preserve">, </w:t>
      </w:r>
      <w:r w:rsidRPr="00F8408D">
        <w:rPr>
          <w:b/>
        </w:rPr>
        <w:t>Control Panel</w:t>
      </w:r>
      <w:r>
        <w:t>.</w:t>
      </w:r>
    </w:p>
    <w:p w14:paraId="2610DA1E" w14:textId="77777777" w:rsidR="00190939" w:rsidRPr="00F8408D" w:rsidRDefault="00190939" w:rsidP="00190BEC">
      <w:pPr>
        <w:pStyle w:val="ListNumber"/>
        <w:numPr>
          <w:ilvl w:val="0"/>
          <w:numId w:val="17"/>
        </w:numPr>
      </w:pPr>
      <w:r w:rsidRPr="00190939">
        <w:t xml:space="preserve">Click </w:t>
      </w:r>
      <w:r w:rsidRPr="00F973D1">
        <w:rPr>
          <w:b/>
        </w:rPr>
        <w:t>Sound</w:t>
      </w:r>
      <w:r w:rsidRPr="00F8408D">
        <w:t>.</w:t>
      </w:r>
    </w:p>
    <w:p w14:paraId="6F8C7F32" w14:textId="77777777" w:rsidR="00190939" w:rsidRPr="00F8408D" w:rsidRDefault="00190939" w:rsidP="00190BEC">
      <w:pPr>
        <w:pStyle w:val="ListNumber"/>
        <w:numPr>
          <w:ilvl w:val="0"/>
          <w:numId w:val="17"/>
        </w:numPr>
      </w:pPr>
      <w:r w:rsidRPr="00F8408D">
        <w:t xml:space="preserve">Click </w:t>
      </w:r>
      <w:r w:rsidR="00D72664" w:rsidRPr="00F973D1">
        <w:rPr>
          <w:b/>
        </w:rPr>
        <w:t>Properties</w:t>
      </w:r>
      <w:r w:rsidRPr="00F8408D">
        <w:t>.</w:t>
      </w:r>
    </w:p>
    <w:p w14:paraId="7BF89A3F" w14:textId="1B157BF5" w:rsidR="00190939" w:rsidRPr="00F8408D" w:rsidRDefault="00190939" w:rsidP="00190BEC">
      <w:pPr>
        <w:pStyle w:val="ListNumber"/>
        <w:numPr>
          <w:ilvl w:val="0"/>
          <w:numId w:val="17"/>
        </w:numPr>
      </w:pPr>
      <w:r w:rsidRPr="00F8408D">
        <w:t xml:space="preserve">Select the </w:t>
      </w:r>
      <w:r w:rsidR="00D72664" w:rsidRPr="00F973D1">
        <w:rPr>
          <w:b/>
        </w:rPr>
        <w:t>Levels</w:t>
      </w:r>
      <w:r w:rsidRPr="00190BEC">
        <w:t xml:space="preserve"> </w:t>
      </w:r>
      <w:r w:rsidRPr="003814BF">
        <w:t>tab</w:t>
      </w:r>
      <w:r w:rsidR="007F06CA" w:rsidRPr="00190BEC">
        <w:t xml:space="preserve"> </w:t>
      </w:r>
      <w:r w:rsidR="007F06CA" w:rsidRPr="007F06CA">
        <w:t>(</w:t>
      </w:r>
      <w:r w:rsidR="007F06CA">
        <w:fldChar w:fldCharType="begin"/>
      </w:r>
      <w:r w:rsidR="007F06CA">
        <w:instrText xml:space="preserve"> REF _Ref220808182 \h </w:instrText>
      </w:r>
      <w:r w:rsidR="00190BEC">
        <w:instrText xml:space="preserve"> \* MERGEFORMAT </w:instrText>
      </w:r>
      <w:r w:rsidR="007F06CA">
        <w:fldChar w:fldCharType="separate"/>
      </w:r>
      <w:r w:rsidR="004353ED">
        <w:t>Figure 41</w:t>
      </w:r>
      <w:r w:rsidR="007F06CA">
        <w:fldChar w:fldCharType="end"/>
      </w:r>
      <w:r w:rsidR="007F06CA" w:rsidRPr="007F06CA">
        <w:t>)</w:t>
      </w:r>
      <w:r w:rsidRPr="007F06CA">
        <w:t>.</w:t>
      </w:r>
    </w:p>
    <w:p w14:paraId="0B42511C" w14:textId="77777777" w:rsidR="00190939" w:rsidRPr="00F8408D" w:rsidRDefault="00190939" w:rsidP="00190BEC">
      <w:pPr>
        <w:pStyle w:val="ListNumber"/>
        <w:numPr>
          <w:ilvl w:val="0"/>
          <w:numId w:val="17"/>
        </w:numPr>
      </w:pPr>
      <w:r w:rsidRPr="00F8408D">
        <w:t>Click, hold, and slide the pointer to adjust the volume.</w:t>
      </w:r>
    </w:p>
    <w:p w14:paraId="0A2E5A25" w14:textId="77777777" w:rsidR="00190939" w:rsidRPr="00F8408D" w:rsidRDefault="00190939" w:rsidP="00190BEC">
      <w:pPr>
        <w:pStyle w:val="ListNumber"/>
        <w:numPr>
          <w:ilvl w:val="0"/>
          <w:numId w:val="17"/>
        </w:numPr>
      </w:pPr>
      <w:r w:rsidRPr="00F8408D">
        <w:t xml:space="preserve">Click </w:t>
      </w:r>
      <w:r w:rsidRPr="00F973D1">
        <w:rPr>
          <w:b/>
        </w:rPr>
        <w:t>OK</w:t>
      </w:r>
      <w:r w:rsidRPr="00F8408D">
        <w:t xml:space="preserve"> to save the setting.</w:t>
      </w:r>
    </w:p>
    <w:p w14:paraId="2F44EF0C" w14:textId="2979C2C7" w:rsidR="009521D3" w:rsidRDefault="009521D3" w:rsidP="009521D3">
      <w:pPr>
        <w:pStyle w:val="Caption"/>
      </w:pPr>
      <w:bookmarkStart w:id="145" w:name="_Ref22080818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41</w:t>
      </w:r>
      <w:r w:rsidR="004E20BD">
        <w:rPr>
          <w:noProof/>
        </w:rPr>
        <w:fldChar w:fldCharType="end"/>
      </w:r>
      <w:bookmarkEnd w:id="145"/>
      <w:r>
        <w:t>: Sounds and Audio Devices: Volume</w:t>
      </w:r>
    </w:p>
    <w:p w14:paraId="02935C48" w14:textId="77777777" w:rsidR="009521D3" w:rsidRDefault="00057948" w:rsidP="009521D3">
      <w:pPr>
        <w:pStyle w:val="BodyText"/>
      </w:pPr>
      <w:r>
        <w:rPr>
          <w:noProof/>
        </w:rPr>
        <w:drawing>
          <wp:inline distT="0" distB="0" distL="0" distR="0" wp14:anchorId="4715DD21" wp14:editId="13F76F89">
            <wp:extent cx="3943985" cy="4387215"/>
            <wp:effectExtent l="0" t="0" r="0" b="0"/>
            <wp:docPr id="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1">
                      <a:extLst>
                        <a:ext uri="{C183D7F6-B498-43B3-948B-1728B52AA6E4}">
                          <adec:decorative xmlns:adec="http://schemas.microsoft.com/office/drawing/2017/decorative" val="1"/>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943985" cy="4387215"/>
                    </a:xfrm>
                    <a:prstGeom prst="rect">
                      <a:avLst/>
                    </a:prstGeom>
                    <a:noFill/>
                    <a:ln>
                      <a:noFill/>
                    </a:ln>
                  </pic:spPr>
                </pic:pic>
              </a:graphicData>
            </a:graphic>
          </wp:inline>
        </w:drawing>
      </w:r>
    </w:p>
    <w:p w14:paraId="6A47DD1E" w14:textId="77777777" w:rsidR="00963F12" w:rsidRDefault="003221AE" w:rsidP="00963F12">
      <w:pPr>
        <w:pStyle w:val="Heading3"/>
      </w:pPr>
      <w:r>
        <w:br w:type="page"/>
      </w:r>
      <w:bookmarkStart w:id="146" w:name="_Toc47516675"/>
      <w:r w:rsidR="00963F12">
        <w:lastRenderedPageBreak/>
        <w:t>Keyboard Shortcuts for Windows</w:t>
      </w:r>
      <w:bookmarkEnd w:id="146"/>
      <w:r w:rsidR="00963F12">
        <w:fldChar w:fldCharType="begin"/>
      </w:r>
      <w:r w:rsidR="00963F12">
        <w:instrText xml:space="preserve"> XE </w:instrText>
      </w:r>
      <w:r w:rsidR="00FA7E65">
        <w:instrText>“</w:instrText>
      </w:r>
      <w:r w:rsidR="00963F12" w:rsidRPr="00DB2C0F">
        <w:instrText>Keyboard Shortcuts for Windows</w:instrText>
      </w:r>
      <w:r w:rsidR="00FA7E65">
        <w:instrText>”</w:instrText>
      </w:r>
      <w:r w:rsidR="00963F12">
        <w:instrText xml:space="preserve"> </w:instrText>
      </w:r>
      <w:r w:rsidR="00963F12">
        <w:fldChar w:fldCharType="end"/>
      </w:r>
    </w:p>
    <w:p w14:paraId="61FAB31F" w14:textId="77777777" w:rsidR="00963F12" w:rsidRDefault="00963F12" w:rsidP="00FA7E65">
      <w:pPr>
        <w:pStyle w:val="BodyText"/>
      </w:pPr>
      <w:r w:rsidRPr="00FA7E65">
        <w:t>Using a mouse to navigate VBECS requires fewer steps than using the keyboard. A user who prefers using the keyboard may refer to these keyboard shortcuts</w:t>
      </w:r>
      <w:r w:rsidR="00327BDD" w:rsidRPr="00FA7E65">
        <w:t>. Keys precede</w:t>
      </w:r>
      <w:r w:rsidR="00031138" w:rsidRPr="00FA7E65">
        <w:t>d</w:t>
      </w:r>
      <w:r w:rsidR="00327BDD" w:rsidRPr="00FA7E65">
        <w:t xml:space="preserve"> </w:t>
      </w:r>
      <w:r w:rsidR="009A316C" w:rsidRPr="00FA7E65">
        <w:t>and/</w:t>
      </w:r>
      <w:r w:rsidR="00686D70">
        <w:t>or followed by “+” indicate</w:t>
      </w:r>
      <w:r w:rsidR="00327BDD" w:rsidRPr="00FA7E65">
        <w:t xml:space="preserve"> that they must be pressed simultaneously</w:t>
      </w:r>
      <w:r w:rsidRPr="00FA7E65">
        <w:t>:</w:t>
      </w:r>
    </w:p>
    <w:p w14:paraId="69B69A54" w14:textId="77777777" w:rsidR="00BC58B1" w:rsidRPr="008D0D9B" w:rsidRDefault="00BC58B1" w:rsidP="00BC58B1">
      <w:pPr>
        <w:pStyle w:val="Caution"/>
        <w:rPr>
          <w:i w:val="0"/>
        </w:rPr>
      </w:pPr>
      <w:r>
        <w:t>Keyboard navigation of VBECS does not accommodate the presentation of error providers or tool tips. A mouse is required to reveal this information as needed.</w:t>
      </w:r>
      <w:r>
        <w:rPr>
          <w:vanish/>
        </w:rPr>
        <w:t xml:space="preserve"> DR 3590</w:t>
      </w:r>
    </w:p>
    <w:p w14:paraId="1D4B8234" w14:textId="77777777" w:rsidR="00CD612D" w:rsidRDefault="00CD612D" w:rsidP="00CD612D">
      <w:pPr>
        <w:pStyle w:val="Heading4"/>
      </w:pPr>
      <w:r>
        <w:t>CPRS and VBECS</w:t>
      </w:r>
    </w:p>
    <w:p w14:paraId="74CEB7C4" w14:textId="77777777" w:rsidR="00CD612D" w:rsidRDefault="00CD612D" w:rsidP="00CD612D">
      <w:pPr>
        <w:pStyle w:val="ListBullet"/>
      </w:pPr>
      <w:r>
        <w:t xml:space="preserve">Toggle between </w:t>
      </w:r>
      <w:r w:rsidRPr="00634DAB">
        <w:rPr>
          <w:b/>
        </w:rPr>
        <w:t>VBECS</w:t>
      </w:r>
      <w:r>
        <w:t xml:space="preserve"> and </w:t>
      </w:r>
      <w:r w:rsidRPr="00634DAB">
        <w:rPr>
          <w:b/>
        </w:rPr>
        <w:t>CPRS</w:t>
      </w:r>
      <w:r>
        <w:t xml:space="preserve"> or another application: </w:t>
      </w:r>
      <w:r w:rsidRPr="00634DAB">
        <w:rPr>
          <w:b/>
        </w:rPr>
        <w:t>Alt</w:t>
      </w:r>
      <w:r w:rsidRPr="00823F58">
        <w:t xml:space="preserve"> + </w:t>
      </w:r>
      <w:r w:rsidRPr="00634DAB">
        <w:rPr>
          <w:b/>
        </w:rPr>
        <w:t>Tab</w:t>
      </w:r>
    </w:p>
    <w:p w14:paraId="396CC0DB" w14:textId="77777777" w:rsidR="00031138" w:rsidRDefault="00031138" w:rsidP="00031138">
      <w:pPr>
        <w:pStyle w:val="Heading4"/>
      </w:pPr>
      <w:r>
        <w:t>Menus</w:t>
      </w:r>
    </w:p>
    <w:p w14:paraId="1C2F65B5" w14:textId="77777777" w:rsidR="00CA479B" w:rsidRPr="007E7887" w:rsidRDefault="00CA479B" w:rsidP="00CA479B">
      <w:pPr>
        <w:pStyle w:val="ListBullet"/>
      </w:pPr>
      <w:r>
        <w:t>Display</w:t>
      </w:r>
      <w:r w:rsidRPr="007E7887">
        <w:t xml:space="preserve"> the </w:t>
      </w:r>
      <w:r w:rsidRPr="00634DAB">
        <w:rPr>
          <w:b/>
        </w:rPr>
        <w:t>Start</w:t>
      </w:r>
      <w:r w:rsidRPr="007E7887">
        <w:t xml:space="preserve"> menu (use the </w:t>
      </w:r>
      <w:r>
        <w:t>arrow</w:t>
      </w:r>
      <w:r w:rsidRPr="007E7887">
        <w:t xml:space="preserve"> keys to select an item)</w:t>
      </w:r>
      <w:r>
        <w:t xml:space="preserve">: </w:t>
      </w:r>
      <w:r w:rsidRPr="00634DAB">
        <w:rPr>
          <w:b/>
        </w:rPr>
        <w:t>Alt</w:t>
      </w:r>
      <w:r>
        <w:t xml:space="preserve"> + </w:t>
      </w:r>
      <w:r w:rsidRPr="00634DAB">
        <w:rPr>
          <w:b/>
        </w:rPr>
        <w:t>Home</w:t>
      </w:r>
    </w:p>
    <w:p w14:paraId="615D838E" w14:textId="77777777" w:rsidR="00CA479B" w:rsidRPr="007E7887" w:rsidRDefault="00CA479B" w:rsidP="00CA479B">
      <w:pPr>
        <w:pStyle w:val="ListBullet"/>
      </w:pPr>
      <w:r w:rsidRPr="007E7887">
        <w:t xml:space="preserve">Start </w:t>
      </w:r>
      <w:r>
        <w:t xml:space="preserve">VBECS </w:t>
      </w:r>
      <w:r w:rsidRPr="007E7887">
        <w:t>online help</w:t>
      </w:r>
      <w:r>
        <w:t>:</w:t>
      </w:r>
      <w:r w:rsidRPr="00634DAB">
        <w:rPr>
          <w:b/>
        </w:rPr>
        <w:t xml:space="preserve"> F1</w:t>
      </w:r>
    </w:p>
    <w:p w14:paraId="5B8CBE45" w14:textId="77777777" w:rsidR="00CA479B" w:rsidRPr="007E7887" w:rsidRDefault="00CA479B" w:rsidP="00CA479B">
      <w:pPr>
        <w:pStyle w:val="ListBullet"/>
      </w:pPr>
      <w:r w:rsidRPr="007E7887">
        <w:t xml:space="preserve">Activate </w:t>
      </w:r>
      <w:r>
        <w:t xml:space="preserve">a </w:t>
      </w:r>
      <w:r w:rsidRPr="007E7887">
        <w:t>menu bar option</w:t>
      </w:r>
      <w:r>
        <w:t xml:space="preserve">: </w:t>
      </w:r>
      <w:r w:rsidRPr="00634DAB">
        <w:rPr>
          <w:b/>
        </w:rPr>
        <w:t>F10</w:t>
      </w:r>
    </w:p>
    <w:p w14:paraId="416C352F" w14:textId="77777777" w:rsidR="00CA479B" w:rsidRPr="007E7887" w:rsidRDefault="00CA479B" w:rsidP="00CA479B">
      <w:pPr>
        <w:pStyle w:val="ListBullet"/>
      </w:pPr>
      <w:r w:rsidRPr="007E7887">
        <w:t>Open a menu</w:t>
      </w:r>
      <w:r>
        <w:t xml:space="preserve">: </w:t>
      </w:r>
      <w:r w:rsidRPr="00634DAB">
        <w:rPr>
          <w:b/>
        </w:rPr>
        <w:t>Alt</w:t>
      </w:r>
      <w:r w:rsidRPr="007E7887">
        <w:t xml:space="preserve"> + underscored letter</w:t>
      </w:r>
    </w:p>
    <w:p w14:paraId="6F4116ED" w14:textId="77777777" w:rsidR="00CA479B" w:rsidRPr="007E7887" w:rsidRDefault="00CA479B" w:rsidP="00CA479B">
      <w:pPr>
        <w:pStyle w:val="ListBullet"/>
      </w:pPr>
      <w:r>
        <w:t xml:space="preserve">Move to and select a menu item: Arrow key + </w:t>
      </w:r>
      <w:r w:rsidRPr="00634DAB">
        <w:rPr>
          <w:b/>
        </w:rPr>
        <w:t>Enter</w:t>
      </w:r>
    </w:p>
    <w:p w14:paraId="2F196D8C" w14:textId="77777777" w:rsidR="00CA479B" w:rsidRPr="007E7887" w:rsidRDefault="00CA479B" w:rsidP="00CA479B">
      <w:pPr>
        <w:pStyle w:val="ListBullet"/>
      </w:pPr>
      <w:r>
        <w:t xml:space="preserve">Open a submenu item: </w:t>
      </w:r>
      <w:r w:rsidRPr="00634DAB">
        <w:rPr>
          <w:b/>
        </w:rPr>
        <w:t>Shift</w:t>
      </w:r>
      <w:r>
        <w:t xml:space="preserve"> + letter (case insensitive)</w:t>
      </w:r>
    </w:p>
    <w:p w14:paraId="7D8C599D" w14:textId="77777777" w:rsidR="00CA479B" w:rsidRPr="007E7887" w:rsidRDefault="00CA479B" w:rsidP="00CA479B">
      <w:pPr>
        <w:pStyle w:val="ListBullet"/>
      </w:pPr>
      <w:r w:rsidRPr="007E7887">
        <w:t>Open a drop-down menu</w:t>
      </w:r>
      <w:r>
        <w:t xml:space="preserve">: </w:t>
      </w:r>
      <w:r w:rsidRPr="00634DAB">
        <w:rPr>
          <w:b/>
        </w:rPr>
        <w:t>Alt</w:t>
      </w:r>
      <w:r w:rsidRPr="007E7887">
        <w:t xml:space="preserve"> + </w:t>
      </w:r>
      <w:r>
        <w:t>down arrow key</w:t>
      </w:r>
    </w:p>
    <w:p w14:paraId="0C56E05D" w14:textId="77777777" w:rsidR="00CA479B" w:rsidRPr="007E7887" w:rsidRDefault="00CA479B" w:rsidP="00CA479B">
      <w:pPr>
        <w:pStyle w:val="ListBullet"/>
      </w:pPr>
      <w:r w:rsidRPr="007E7887">
        <w:t>Close a drop-down menu</w:t>
      </w:r>
      <w:r>
        <w:t xml:space="preserve">: </w:t>
      </w:r>
      <w:r w:rsidRPr="00634DAB">
        <w:rPr>
          <w:b/>
        </w:rPr>
        <w:t>Alt</w:t>
      </w:r>
      <w:r w:rsidRPr="007E7887">
        <w:t xml:space="preserve"> + </w:t>
      </w:r>
      <w:r>
        <w:t>up arrow key</w:t>
      </w:r>
    </w:p>
    <w:p w14:paraId="7BE9FADE" w14:textId="1799CAAC" w:rsidR="00CA479B" w:rsidRPr="00031138" w:rsidRDefault="00CA479B" w:rsidP="00CA479B">
      <w:pPr>
        <w:pStyle w:val="ListBullet"/>
      </w:pPr>
      <w:r>
        <w:t>Display</w:t>
      </w:r>
      <w:r w:rsidRPr="007E7887">
        <w:t xml:space="preserve"> a shortcut menu for the selected item</w:t>
      </w:r>
      <w:r>
        <w:t xml:space="preserve">: </w:t>
      </w:r>
      <w:r w:rsidRPr="007E7887">
        <w:t>Application key</w:t>
      </w:r>
      <w:r>
        <w:t xml:space="preserve"> </w:t>
      </w:r>
      <w:r>
        <w:rPr>
          <w:rFonts w:ascii="Arial" w:hAnsi="Arial"/>
          <w:sz w:val="16"/>
          <w:szCs w:val="16"/>
        </w:rPr>
        <w:t>(</w:t>
      </w:r>
      <w:r w:rsidR="00591A3B">
        <w:rPr>
          <w:noProof/>
        </w:rPr>
        <w:drawing>
          <wp:inline distT="0" distB="0" distL="0" distR="0" wp14:anchorId="1081A57D" wp14:editId="167E94D8">
            <wp:extent cx="156845" cy="156845"/>
            <wp:effectExtent l="0" t="0" r="0" b="0"/>
            <wp:docPr id="5" name="Picture 5">
              <a:hlinkClick xmlns:a="http://schemas.openxmlformats.org/drawingml/2006/main" r:id="rId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80"/>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Pr>
          <w:rFonts w:ascii="Arial" w:hAnsi="Arial"/>
          <w:sz w:val="16"/>
          <w:szCs w:val="16"/>
        </w:rPr>
        <w:t>)</w:t>
      </w:r>
    </w:p>
    <w:p w14:paraId="5A4A017F" w14:textId="77777777" w:rsidR="00957EE4" w:rsidRDefault="00C52F72" w:rsidP="00957EE4">
      <w:pPr>
        <w:pStyle w:val="Heading4"/>
      </w:pPr>
      <w:r>
        <w:t>Buttons, Check Boxes, and Fields</w:t>
      </w:r>
    </w:p>
    <w:p w14:paraId="64283FDF" w14:textId="77777777" w:rsidR="00CA479B" w:rsidRPr="007E7887" w:rsidRDefault="00CA479B" w:rsidP="00CA479B">
      <w:pPr>
        <w:pStyle w:val="ListBullet"/>
      </w:pPr>
      <w:r>
        <w:t xml:space="preserve">Move to and select fields and buttons: </w:t>
      </w:r>
      <w:r w:rsidRPr="00634DAB">
        <w:rPr>
          <w:b/>
        </w:rPr>
        <w:t>Tab</w:t>
      </w:r>
      <w:r>
        <w:t xml:space="preserve"> + </w:t>
      </w:r>
      <w:r w:rsidRPr="00634DAB">
        <w:rPr>
          <w:b/>
        </w:rPr>
        <w:t>Enter</w:t>
      </w:r>
    </w:p>
    <w:p w14:paraId="77274CF0" w14:textId="77777777" w:rsidR="00CA479B" w:rsidRDefault="00CA479B" w:rsidP="00CA479B">
      <w:pPr>
        <w:pStyle w:val="ListBullet"/>
      </w:pPr>
      <w:r>
        <w:t xml:space="preserve">Select or clear a check box: </w:t>
      </w:r>
      <w:r w:rsidRPr="00634DAB">
        <w:rPr>
          <w:b/>
        </w:rPr>
        <w:t>Tab</w:t>
      </w:r>
      <w:r>
        <w:t xml:space="preserve">, arrow key (or </w:t>
      </w:r>
      <w:r w:rsidRPr="00634DAB">
        <w:rPr>
          <w:b/>
        </w:rPr>
        <w:t>Alt</w:t>
      </w:r>
      <w:r>
        <w:t xml:space="preserve"> + underscored letter), spacebar</w:t>
      </w:r>
    </w:p>
    <w:p w14:paraId="39BF87DA" w14:textId="77777777" w:rsidR="00CA479B" w:rsidRDefault="00CA479B" w:rsidP="00CA479B">
      <w:pPr>
        <w:pStyle w:val="ListBullet"/>
      </w:pPr>
      <w:r>
        <w:t xml:space="preserve">Select or clear a radio button: </w:t>
      </w:r>
      <w:r w:rsidRPr="00634DAB">
        <w:rPr>
          <w:b/>
        </w:rPr>
        <w:t>Tab</w:t>
      </w:r>
      <w:r>
        <w:t xml:space="preserve">, arrow key (or </w:t>
      </w:r>
      <w:r w:rsidRPr="00634DAB">
        <w:rPr>
          <w:b/>
        </w:rPr>
        <w:t>Alt</w:t>
      </w:r>
      <w:r>
        <w:t xml:space="preserve"> + underscored letter)</w:t>
      </w:r>
    </w:p>
    <w:p w14:paraId="03CB88FF" w14:textId="77777777" w:rsidR="00623CD2" w:rsidRDefault="00623CD2" w:rsidP="00623CD2">
      <w:pPr>
        <w:pStyle w:val="Heading4"/>
      </w:pPr>
      <w:r>
        <w:t>Windows</w:t>
      </w:r>
    </w:p>
    <w:p w14:paraId="32534719" w14:textId="77777777" w:rsidR="00623CD2" w:rsidRDefault="00623CD2" w:rsidP="00623CD2">
      <w:pPr>
        <w:pStyle w:val="ListBullet"/>
      </w:pPr>
      <w:r w:rsidRPr="007E7887">
        <w:t xml:space="preserve">Display the </w:t>
      </w:r>
      <w:r w:rsidRPr="00634DAB">
        <w:rPr>
          <w:b/>
        </w:rPr>
        <w:t>Control</w:t>
      </w:r>
      <w:r>
        <w:t xml:space="preserve"> window</w:t>
      </w:r>
      <w:r w:rsidRPr="007E7887">
        <w:t xml:space="preserve"> </w:t>
      </w:r>
      <w:r>
        <w:t>to</w:t>
      </w:r>
      <w:r w:rsidRPr="007E7887">
        <w:t xml:space="preserve"> restore, move, resize, minimize, maximize, or close the window</w:t>
      </w:r>
      <w:r>
        <w:t xml:space="preserve">: </w:t>
      </w:r>
      <w:r w:rsidRPr="00634DAB">
        <w:rPr>
          <w:b/>
        </w:rPr>
        <w:t>Alt</w:t>
      </w:r>
      <w:r>
        <w:t xml:space="preserve"> + </w:t>
      </w:r>
      <w:r w:rsidRPr="00634DAB">
        <w:rPr>
          <w:b/>
        </w:rPr>
        <w:t>Delete</w:t>
      </w:r>
    </w:p>
    <w:p w14:paraId="3FDB6738" w14:textId="77777777" w:rsidR="00623CD2" w:rsidRDefault="00623CD2" w:rsidP="00623CD2">
      <w:pPr>
        <w:pStyle w:val="ListBullet"/>
      </w:pPr>
      <w:r>
        <w:t xml:space="preserve">Switch between a window and a full screen: </w:t>
      </w:r>
      <w:r w:rsidRPr="00634DAB">
        <w:rPr>
          <w:b/>
        </w:rPr>
        <w:t>Ctrl</w:t>
      </w:r>
      <w:r>
        <w:t xml:space="preserve"> + </w:t>
      </w:r>
      <w:r w:rsidRPr="00634DAB">
        <w:rPr>
          <w:b/>
        </w:rPr>
        <w:t>Alt</w:t>
      </w:r>
      <w:r>
        <w:t xml:space="preserve"> + </w:t>
      </w:r>
      <w:r w:rsidRPr="00634DAB">
        <w:rPr>
          <w:b/>
        </w:rPr>
        <w:t>Break</w:t>
      </w:r>
    </w:p>
    <w:p w14:paraId="5F13A0B7" w14:textId="77777777" w:rsidR="00623CD2" w:rsidRPr="007E7887" w:rsidRDefault="00623CD2" w:rsidP="00623CD2">
      <w:pPr>
        <w:pStyle w:val="ListBullet"/>
      </w:pPr>
      <w:r w:rsidRPr="007E7887">
        <w:t>Close the current window</w:t>
      </w:r>
      <w:r>
        <w:t xml:space="preserve">: </w:t>
      </w:r>
      <w:r w:rsidRPr="00634DAB">
        <w:rPr>
          <w:b/>
        </w:rPr>
        <w:t>Alt</w:t>
      </w:r>
      <w:r w:rsidRPr="007E7887">
        <w:t xml:space="preserve"> + </w:t>
      </w:r>
      <w:r w:rsidRPr="00634DAB">
        <w:rPr>
          <w:b/>
        </w:rPr>
        <w:t>F4</w:t>
      </w:r>
    </w:p>
    <w:p w14:paraId="0F09705D" w14:textId="77777777" w:rsidR="00623CD2" w:rsidRDefault="00623CD2" w:rsidP="00623CD2">
      <w:pPr>
        <w:pStyle w:val="ListBullet"/>
      </w:pPr>
      <w:r>
        <w:t xml:space="preserve">Display the </w:t>
      </w:r>
      <w:r w:rsidRPr="00634DAB">
        <w:rPr>
          <w:b/>
        </w:rPr>
        <w:t>Windows Security</w:t>
      </w:r>
      <w:r>
        <w:t xml:space="preserve"> dialog box to lock the computer, log off, shut down, change a password, and access </w:t>
      </w:r>
      <w:r w:rsidRPr="00634DAB">
        <w:rPr>
          <w:b/>
        </w:rPr>
        <w:t>Task Manager</w:t>
      </w:r>
      <w:r>
        <w:t xml:space="preserve">: </w:t>
      </w:r>
      <w:r w:rsidRPr="00634DAB">
        <w:rPr>
          <w:b/>
        </w:rPr>
        <w:t>Ctrl</w:t>
      </w:r>
      <w:r>
        <w:t xml:space="preserve"> + </w:t>
      </w:r>
      <w:r w:rsidRPr="00634DAB">
        <w:rPr>
          <w:b/>
        </w:rPr>
        <w:t>Alt</w:t>
      </w:r>
      <w:r>
        <w:t xml:space="preserve"> + </w:t>
      </w:r>
      <w:r w:rsidRPr="00634DAB">
        <w:rPr>
          <w:b/>
        </w:rPr>
        <w:t>End</w:t>
      </w:r>
    </w:p>
    <w:p w14:paraId="78285821" w14:textId="264DFFB8" w:rsidR="00CD612D" w:rsidRDefault="00CD612D" w:rsidP="00CD612D">
      <w:pPr>
        <w:pStyle w:val="Heading4"/>
      </w:pPr>
      <w:r>
        <w:t>Screen Prints</w:t>
      </w:r>
    </w:p>
    <w:p w14:paraId="3EC9DA9B" w14:textId="77777777" w:rsidR="00CD612D" w:rsidRDefault="00CD612D" w:rsidP="00CD612D">
      <w:pPr>
        <w:pStyle w:val="ListBullet"/>
      </w:pPr>
      <w:r>
        <w:t xml:space="preserve">Place a snapshot of the desktop on the local clipboard and paste it in another application: </w:t>
      </w:r>
      <w:r w:rsidRPr="00634DAB">
        <w:rPr>
          <w:b/>
        </w:rPr>
        <w:t>Ctrl</w:t>
      </w:r>
      <w:r>
        <w:t xml:space="preserve"> + </w:t>
      </w:r>
      <w:r w:rsidRPr="00634DAB">
        <w:rPr>
          <w:b/>
        </w:rPr>
        <w:t>Alt</w:t>
      </w:r>
      <w:r>
        <w:t xml:space="preserve"> + Plus (+ on the numeric keypad; </w:t>
      </w:r>
      <w:r w:rsidRPr="00634DAB">
        <w:rPr>
          <w:b/>
        </w:rPr>
        <w:t>Ctrl</w:t>
      </w:r>
      <w:r>
        <w:t xml:space="preserve"> + </w:t>
      </w:r>
      <w:r w:rsidRPr="00634DAB">
        <w:rPr>
          <w:b/>
        </w:rPr>
        <w:t>V</w:t>
      </w:r>
      <w:r>
        <w:t xml:space="preserve"> to paste)</w:t>
      </w:r>
    </w:p>
    <w:p w14:paraId="60D44672" w14:textId="1C7068A3" w:rsidR="00CD612D" w:rsidRDefault="00CD612D" w:rsidP="00CD612D">
      <w:pPr>
        <w:pStyle w:val="ListBullet"/>
      </w:pPr>
      <w:r>
        <w:t xml:space="preserve">Place a snapshot of the active window on the local clipboard and paste it in another application: </w:t>
      </w:r>
      <w:r w:rsidRPr="00634DAB">
        <w:rPr>
          <w:b/>
        </w:rPr>
        <w:t>Ctrl</w:t>
      </w:r>
      <w:r>
        <w:t xml:space="preserve"> + </w:t>
      </w:r>
      <w:r w:rsidRPr="00634DAB">
        <w:rPr>
          <w:b/>
        </w:rPr>
        <w:t>Alt</w:t>
      </w:r>
      <w:r>
        <w:t xml:space="preserve"> + Minus (</w:t>
      </w:r>
      <w:r w:rsidRPr="00634DAB">
        <w:rPr>
          <w:b/>
        </w:rPr>
        <w:t>–</w:t>
      </w:r>
      <w:r>
        <w:t xml:space="preserve"> on the numeric keypad; </w:t>
      </w:r>
      <w:r w:rsidRPr="00634DAB">
        <w:rPr>
          <w:b/>
        </w:rPr>
        <w:t>Ctrl</w:t>
      </w:r>
      <w:r>
        <w:t xml:space="preserve"> + </w:t>
      </w:r>
      <w:r w:rsidRPr="00634DAB">
        <w:rPr>
          <w:b/>
        </w:rPr>
        <w:t>V</w:t>
      </w:r>
      <w:r>
        <w:t xml:space="preserve"> to paste)</w:t>
      </w:r>
    </w:p>
    <w:p w14:paraId="1F6AF189" w14:textId="4EC17AE8" w:rsidR="007B32B4" w:rsidRDefault="007B32B4" w:rsidP="00CD612D">
      <w:pPr>
        <w:pStyle w:val="ListBullet"/>
      </w:pPr>
      <w:r>
        <w:t>See FAQ How to take faster screen shots from Remote Desktop Session</w:t>
      </w:r>
      <w:r w:rsidR="00911CAF">
        <w:t xml:space="preserve"> for additional information.</w:t>
      </w:r>
    </w:p>
    <w:p w14:paraId="4A9F70F5" w14:textId="77777777" w:rsidR="002A21AE" w:rsidRDefault="003221AE" w:rsidP="00963F12">
      <w:pPr>
        <w:pStyle w:val="Heading3"/>
      </w:pPr>
      <w:r>
        <w:br w:type="page"/>
      </w:r>
      <w:bookmarkStart w:id="147" w:name="_Toc47516676"/>
      <w:r w:rsidR="002A21AE">
        <w:lastRenderedPageBreak/>
        <w:t>Drop-Down Menus</w:t>
      </w:r>
      <w:bookmarkEnd w:id="147"/>
      <w:r w:rsidR="002A21AE">
        <w:fldChar w:fldCharType="begin"/>
      </w:r>
      <w:r w:rsidR="002A21AE">
        <w:instrText xml:space="preserve"> XE </w:instrText>
      </w:r>
      <w:r w:rsidR="00FA7E65">
        <w:instrText>“</w:instrText>
      </w:r>
      <w:r w:rsidR="002A21AE">
        <w:instrText>Drop-Down Menus</w:instrText>
      </w:r>
      <w:r w:rsidR="00FA7E65">
        <w:instrText>”</w:instrText>
      </w:r>
      <w:r w:rsidR="002A21AE">
        <w:instrText xml:space="preserve"> </w:instrText>
      </w:r>
      <w:r w:rsidR="002A21AE">
        <w:fldChar w:fldCharType="end"/>
      </w:r>
      <w:r w:rsidR="002A21AE">
        <w:t xml:space="preserve"> </w:t>
      </w:r>
    </w:p>
    <w:p w14:paraId="61BD5645" w14:textId="77777777" w:rsidR="002A21AE" w:rsidRDefault="002A21AE" w:rsidP="00FA7E65">
      <w:pPr>
        <w:pStyle w:val="BodyText"/>
      </w:pPr>
      <w:r>
        <w:t xml:space="preserve">A </w:t>
      </w:r>
      <w:r>
        <w:rPr>
          <w:i/>
        </w:rPr>
        <w:t>drop-down menu</w:t>
      </w:r>
      <w:r>
        <w:t xml:space="preserve"> may appear when a button is clicked or text is selected. Click or hold the mouse pointer over an item in a drop-down menu to reveal other items and submenus. Press an underscored letter (mnemonic) to select a menu it</w:t>
      </w:r>
      <w:r w:rsidR="000F5C7E">
        <w:t xml:space="preserve">em. To view underscored letters, press the </w:t>
      </w:r>
      <w:r w:rsidR="000F5C7E" w:rsidRPr="000F5C7E">
        <w:rPr>
          <w:b/>
        </w:rPr>
        <w:t>Alt</w:t>
      </w:r>
      <w:r w:rsidR="000F5C7E">
        <w:t xml:space="preserve"> key once.</w:t>
      </w:r>
    </w:p>
    <w:p w14:paraId="37A38B27" w14:textId="77777777" w:rsidR="002A21AE" w:rsidRDefault="002A21AE">
      <w:pPr>
        <w:pStyle w:val="Caution"/>
      </w:pPr>
      <w:r>
        <w:t xml:space="preserve">A </w:t>
      </w:r>
      <w:r w:rsidRPr="00092254">
        <w:rPr>
          <w:rFonts w:ascii="Webdings" w:hAnsi="Webdings"/>
          <w:i w:val="0"/>
        </w:rPr>
        <w:t></w:t>
      </w:r>
      <w:r w:rsidRPr="00092254">
        <w:rPr>
          <w:rFonts w:ascii="Webdings" w:hAnsi="Webdings"/>
        </w:rPr>
        <w:t></w:t>
      </w:r>
      <w:r>
        <w:t xml:space="preserve">(submenu arrow) next to a menu item indicates that a submenu is </w:t>
      </w:r>
      <w:r w:rsidR="00541DC0">
        <w:t>available. An</w:t>
      </w:r>
      <w:r>
        <w:t xml:space="preserve"> option that is not available to a user is visible but grayed out.</w:t>
      </w:r>
    </w:p>
    <w:p w14:paraId="181E3B33" w14:textId="77777777" w:rsidR="002A21AE" w:rsidRDefault="002A21AE">
      <w:pPr>
        <w:pStyle w:val="Heading3"/>
      </w:pPr>
      <w:bookmarkStart w:id="148" w:name="_Toc47516677"/>
      <w:r>
        <w:t>Tool Tips</w:t>
      </w:r>
      <w:bookmarkEnd w:id="148"/>
      <w:r>
        <w:fldChar w:fldCharType="begin"/>
      </w:r>
      <w:r>
        <w:instrText xml:space="preserve"> XE </w:instrText>
      </w:r>
      <w:r w:rsidR="00FA7E65">
        <w:instrText>“</w:instrText>
      </w:r>
      <w:r>
        <w:instrText>Tool Tips</w:instrText>
      </w:r>
      <w:r w:rsidR="00FA7E65">
        <w:instrText>”</w:instrText>
      </w:r>
      <w:r>
        <w:instrText xml:space="preserve"> </w:instrText>
      </w:r>
      <w:r>
        <w:fldChar w:fldCharType="end"/>
      </w:r>
    </w:p>
    <w:p w14:paraId="5AD1D9CF" w14:textId="77777777" w:rsidR="002A21AE" w:rsidRDefault="002A21AE" w:rsidP="00FA7E65">
      <w:pPr>
        <w:pStyle w:val="BodyText"/>
      </w:pPr>
      <w:bookmarkStart w:id="149" w:name="OLE_LINK49"/>
      <w:bookmarkStart w:id="150" w:name="OLE_LINK50"/>
      <w:r>
        <w:t xml:space="preserve">A </w:t>
      </w:r>
      <w:r>
        <w:rPr>
          <w:i/>
          <w:iCs/>
        </w:rPr>
        <w:t>tool tip</w:t>
      </w:r>
      <w:r>
        <w:t xml:space="preserve"> is a description or explanation that appears when the mouse pointer is held over </w:t>
      </w:r>
      <w:r w:rsidR="00DB268C">
        <w:t xml:space="preserve">(not selected or highlighted) </w:t>
      </w:r>
      <w:r>
        <w:t>a tool, button, or other object (without clicking a mouse button).</w:t>
      </w:r>
      <w:bookmarkEnd w:id="149"/>
      <w:bookmarkEnd w:id="150"/>
      <w:r>
        <w:t xml:space="preserve"> </w:t>
      </w:r>
    </w:p>
    <w:p w14:paraId="3F9DC293" w14:textId="77777777" w:rsidR="002A21AE" w:rsidRDefault="002A21AE">
      <w:pPr>
        <w:pStyle w:val="Caution"/>
      </w:pPr>
      <w:r>
        <w:t xml:space="preserve">When a tool tip does not </w:t>
      </w:r>
      <w:r w:rsidR="00643C9A">
        <w:t>appear</w:t>
      </w:r>
      <w:r>
        <w:t>, wait a few moments, then reposition the mouse pointer over the tool, button, or other object. If necessary, exit and reenter the window.</w:t>
      </w:r>
    </w:p>
    <w:p w14:paraId="223E5C38" w14:textId="77777777" w:rsidR="002A21AE" w:rsidRDefault="002A21AE" w:rsidP="00FA7E65">
      <w:pPr>
        <w:pStyle w:val="BodyText"/>
      </w:pPr>
      <w:r>
        <w:t>Tool tips appear with:</w:t>
      </w:r>
    </w:p>
    <w:p w14:paraId="4D648983" w14:textId="77777777" w:rsidR="002A21AE" w:rsidRDefault="002A21AE">
      <w:pPr>
        <w:pStyle w:val="ListBullet"/>
      </w:pPr>
      <w:r>
        <w:t>Some control buttons</w:t>
      </w:r>
    </w:p>
    <w:p w14:paraId="24FC5722" w14:textId="77777777" w:rsidR="002A21AE" w:rsidRDefault="002A21AE">
      <w:pPr>
        <w:pStyle w:val="ListBullet"/>
      </w:pPr>
      <w:r>
        <w:t>Icons in the Patient Information Toolbar</w:t>
      </w:r>
    </w:p>
    <w:p w14:paraId="7FA78672" w14:textId="77777777" w:rsidR="002A21AE" w:rsidRDefault="002A21AE">
      <w:pPr>
        <w:pStyle w:val="Caution"/>
      </w:pPr>
      <w:r>
        <w:t xml:space="preserve">Text enclosed in angle brackets (&lt; &gt;) in tool tips and messages </w:t>
      </w:r>
      <w:r w:rsidR="00443024">
        <w:t>will change</w:t>
      </w:r>
      <w:r>
        <w:t xml:space="preserve"> to reflect the current activity. </w:t>
      </w:r>
    </w:p>
    <w:p w14:paraId="58DDAE1C" w14:textId="77777777" w:rsidR="002A21AE" w:rsidRDefault="00040E3B" w:rsidP="00832E21">
      <w:pPr>
        <w:pStyle w:val="Caution"/>
        <w:pBdr>
          <w:top w:val="single" w:sz="4" w:space="3" w:color="auto"/>
        </w:pBdr>
      </w:pPr>
      <w:r>
        <w:t xml:space="preserve">The user may click column headings in some data displays, such as the Pending Task List, Pending Order List, and Select Units, to sort the information in those columns. </w:t>
      </w:r>
    </w:p>
    <w:p w14:paraId="4B6D5B30" w14:textId="613B55EE" w:rsidR="002A21AE" w:rsidRDefault="002A21AE">
      <w:pPr>
        <w:pStyle w:val="Heading3"/>
      </w:pPr>
      <w:bookmarkStart w:id="151" w:name="_Toc47516678"/>
      <w:r>
        <w:t>Icons and Buttons</w:t>
      </w:r>
      <w:bookmarkEnd w:id="151"/>
      <w:r>
        <w:fldChar w:fldCharType="begin"/>
      </w:r>
      <w:r>
        <w:instrText xml:space="preserve"> XE </w:instrText>
      </w:r>
      <w:r w:rsidR="00FA7E65">
        <w:instrText>“</w:instrText>
      </w:r>
      <w:r>
        <w:instrText>Icons and Buttons</w:instrText>
      </w:r>
      <w:r w:rsidR="00FA7E65">
        <w:instrText>”</w:instrText>
      </w:r>
      <w:r>
        <w:instrText xml:space="preserve"> </w:instrText>
      </w:r>
      <w:r>
        <w:fldChar w:fldCharType="end"/>
      </w:r>
    </w:p>
    <w:p w14:paraId="3D50134F" w14:textId="77777777" w:rsidR="002A21AE" w:rsidRDefault="002A21AE" w:rsidP="00FA7E65">
      <w:pPr>
        <w:pStyle w:val="BodyText"/>
      </w:pPr>
      <w:r>
        <w:t xml:space="preserve">VBECS uses several types of images to help you move through the system: </w:t>
      </w:r>
    </w:p>
    <w:p w14:paraId="4401937E" w14:textId="77777777" w:rsidR="002A21AE" w:rsidRDefault="002A21AE">
      <w:pPr>
        <w:pStyle w:val="ListBullet"/>
      </w:pPr>
      <w:r>
        <w:rPr>
          <w:i/>
          <w:iCs/>
        </w:rPr>
        <w:t>Icons</w:t>
      </w:r>
      <w:r>
        <w:t xml:space="preserve"> represent objects (information used in an application). The rectangular area in the lower right corner of the screen (system tray) contains icons of programs that always run in the background, such as the clock.</w:t>
      </w:r>
    </w:p>
    <w:p w14:paraId="0B8421CB" w14:textId="77777777" w:rsidR="002A21AE" w:rsidRDefault="002A21AE">
      <w:pPr>
        <w:pStyle w:val="ListBullet"/>
      </w:pPr>
      <w:r>
        <w:rPr>
          <w:i/>
          <w:iCs/>
        </w:rPr>
        <w:t>Buttons</w:t>
      </w:r>
      <w:r>
        <w:t xml:space="preserve"> are icons that represent tools or commands. </w:t>
      </w:r>
    </w:p>
    <w:p w14:paraId="67111421" w14:textId="77777777" w:rsidR="002A21AE" w:rsidRDefault="002A21AE">
      <w:pPr>
        <w:pStyle w:val="ListBullet"/>
      </w:pPr>
      <w:r>
        <w:rPr>
          <w:i/>
          <w:iCs/>
        </w:rPr>
        <w:t xml:space="preserve">Radio buttons </w:t>
      </w:r>
      <w:r>
        <w:t>are small circles preceding text. Related radio buttons are grouped together. Only one button in a group may be selected: clicking a button turns the other radio buttons off.</w:t>
      </w:r>
    </w:p>
    <w:p w14:paraId="153E1659" w14:textId="77777777" w:rsidR="002A21AE" w:rsidRDefault="002A21AE">
      <w:pPr>
        <w:pStyle w:val="Heading3"/>
      </w:pPr>
      <w:bookmarkStart w:id="152" w:name="_Toc47516679"/>
      <w:r>
        <w:t>Toolbars</w:t>
      </w:r>
      <w:bookmarkEnd w:id="152"/>
      <w:r>
        <w:fldChar w:fldCharType="begin"/>
      </w:r>
      <w:r>
        <w:instrText xml:space="preserve"> XE </w:instrText>
      </w:r>
      <w:r w:rsidR="00FA7E65">
        <w:instrText>“</w:instrText>
      </w:r>
      <w:r>
        <w:instrText>Toolbars</w:instrText>
      </w:r>
      <w:r w:rsidR="00FA7E65">
        <w:instrText>”</w:instrText>
      </w:r>
      <w:r>
        <w:instrText xml:space="preserve"> </w:instrText>
      </w:r>
      <w:r>
        <w:fldChar w:fldCharType="end"/>
      </w:r>
      <w:r>
        <w:t xml:space="preserve"> </w:t>
      </w:r>
    </w:p>
    <w:p w14:paraId="09EC1E71" w14:textId="77777777" w:rsidR="002A21AE" w:rsidRDefault="002A21AE" w:rsidP="00FA7E65">
      <w:pPr>
        <w:pStyle w:val="BodyText"/>
      </w:pPr>
      <w:r>
        <w:t xml:space="preserve">A </w:t>
      </w:r>
      <w:r>
        <w:rPr>
          <w:i/>
        </w:rPr>
        <w:t>tool</w:t>
      </w:r>
      <w:r>
        <w:t xml:space="preserve"> is a shortcut button, usually shown on a bar near the top of a window. Tools provide quick access to commonly used functions. A </w:t>
      </w:r>
      <w:r>
        <w:rPr>
          <w:i/>
        </w:rPr>
        <w:t>toolbar</w:t>
      </w:r>
      <w:r>
        <w:t xml:space="preserve"> displays groups of tools. Toolbars may contain buttons, menus, or combinations of both. (See also Patient Information Toolbar.)</w:t>
      </w:r>
    </w:p>
    <w:p w14:paraId="42587AD1" w14:textId="77777777" w:rsidR="002A21AE" w:rsidRDefault="002A21AE">
      <w:pPr>
        <w:pStyle w:val="Caution"/>
      </w:pPr>
      <w:r>
        <w:t>A toolbar with tools for several options (Main Toolbar) appears near the top of the screen.</w:t>
      </w:r>
    </w:p>
    <w:p w14:paraId="576C6C61" w14:textId="77777777" w:rsidR="002A21AE" w:rsidRDefault="002A21AE" w:rsidP="00FA7E65">
      <w:pPr>
        <w:pStyle w:val="BodyText"/>
      </w:pPr>
      <w:r>
        <w:t>Click a tool to open a function</w:t>
      </w:r>
      <w:r w:rsidR="00541DC0">
        <w:t xml:space="preserve"> quickly</w:t>
      </w:r>
      <w:r>
        <w:t>.</w:t>
      </w:r>
    </w:p>
    <w:p w14:paraId="7586B7E0" w14:textId="77777777" w:rsidR="002A21AE" w:rsidRDefault="002A21AE">
      <w:pPr>
        <w:pStyle w:val="Caution"/>
      </w:pPr>
      <w:r>
        <w:lastRenderedPageBreak/>
        <w:t xml:space="preserve">A function may also be opened by pressing </w:t>
      </w:r>
      <w:r>
        <w:rPr>
          <w:b/>
        </w:rPr>
        <w:t>Alt</w:t>
      </w:r>
      <w:r>
        <w:t xml:space="preserve"> and the </w:t>
      </w:r>
      <w:r w:rsidRPr="00443024">
        <w:rPr>
          <w:b/>
        </w:rPr>
        <w:t xml:space="preserve">key for the </w:t>
      </w:r>
      <w:r>
        <w:rPr>
          <w:b/>
        </w:rPr>
        <w:t xml:space="preserve">underscored letter </w:t>
      </w:r>
      <w:r>
        <w:t>in the tool name.</w:t>
      </w:r>
    </w:p>
    <w:p w14:paraId="4C490921" w14:textId="77777777" w:rsidR="002A21AE" w:rsidRDefault="002A21AE">
      <w:pPr>
        <w:pStyle w:val="Heading4"/>
      </w:pPr>
      <w:r>
        <w:t>Main Toolbar</w:t>
      </w:r>
      <w:r>
        <w:fldChar w:fldCharType="begin"/>
      </w:r>
      <w:r>
        <w:instrText xml:space="preserve"> XE </w:instrText>
      </w:r>
      <w:r w:rsidR="00FA7E65">
        <w:instrText>“</w:instrText>
      </w:r>
      <w:r>
        <w:instrText>Main Toolbar</w:instrText>
      </w:r>
      <w:r w:rsidR="00FA7E65">
        <w:instrText>”</w:instrText>
      </w:r>
      <w:r>
        <w:instrText xml:space="preserve"> </w:instrText>
      </w:r>
      <w:r>
        <w:fldChar w:fldCharType="end"/>
      </w:r>
    </w:p>
    <w:p w14:paraId="28F02177" w14:textId="77777777" w:rsidR="002A21AE" w:rsidRDefault="002A21AE" w:rsidP="00FA7E65">
      <w:pPr>
        <w:pStyle w:val="BodyText"/>
      </w:pPr>
      <w:r>
        <w:t xml:space="preserve">The </w:t>
      </w:r>
      <w:r>
        <w:rPr>
          <w:i/>
          <w:iCs/>
        </w:rPr>
        <w:t>Main Toolbar</w:t>
      </w:r>
      <w:r>
        <w:t xml:space="preserve"> appears at the top of the screen. Click the icons in the Main Toolbar to access</w:t>
      </w:r>
      <w:r>
        <w:rPr>
          <w:rStyle w:val="FootnoteReference"/>
        </w:rPr>
        <w:footnoteReference w:id="3"/>
      </w:r>
      <w:r>
        <w:t>:</w:t>
      </w:r>
    </w:p>
    <w:p w14:paraId="1F4089FB" w14:textId="77777777" w:rsidR="002A21AE" w:rsidRDefault="00057948" w:rsidP="00246EC0">
      <w:pPr>
        <w:pStyle w:val="BodyText"/>
        <w:spacing w:after="60"/>
        <w:ind w:left="360" w:hanging="360"/>
      </w:pPr>
      <w:r>
        <w:rPr>
          <w:noProof/>
        </w:rPr>
        <w:drawing>
          <wp:inline distT="0" distB="0" distL="0" distR="0" wp14:anchorId="12CE4A4F" wp14:editId="1120CD2E">
            <wp:extent cx="156845" cy="156845"/>
            <wp:effectExtent l="0" t="0" r="0" b="0"/>
            <wp:docPr id="74" name="Picture 74">
              <a:hlinkClick xmlns:a="http://schemas.openxmlformats.org/drawingml/2006/main" r:id="rId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hlinkClick r:id="rId82"/>
                      <a:extLst>
                        <a:ext uri="{C183D7F6-B498-43B3-948B-1728B52AA6E4}">
                          <adec:decorative xmlns:adec="http://schemas.microsoft.com/office/drawing/2017/decorative" val="1"/>
                        </a:ext>
                      </a:extLs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Log In Reagents</w:t>
      </w:r>
    </w:p>
    <w:p w14:paraId="09FA1B0F" w14:textId="77777777" w:rsidR="002A21AE" w:rsidRDefault="00057948" w:rsidP="00246EC0">
      <w:pPr>
        <w:pStyle w:val="BodyText"/>
        <w:spacing w:after="60"/>
        <w:ind w:left="360" w:hanging="360"/>
      </w:pPr>
      <w:r>
        <w:rPr>
          <w:noProof/>
        </w:rPr>
        <w:drawing>
          <wp:inline distT="0" distB="0" distL="0" distR="0" wp14:anchorId="5D5EB42A" wp14:editId="326C25B8">
            <wp:extent cx="156845" cy="156845"/>
            <wp:effectExtent l="0" t="0" r="0" b="0"/>
            <wp:docPr id="75" name="Picture 75">
              <a:hlinkClick xmlns:a="http://schemas.openxmlformats.org/drawingml/2006/main" r:id="rId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a:hlinkClick r:id="rId84"/>
                      <a:extLst>
                        <a:ext uri="{C183D7F6-B498-43B3-948B-1728B52AA6E4}">
                          <adec:decorative xmlns:adec="http://schemas.microsoft.com/office/drawing/2017/decorative" val="1"/>
                        </a:ext>
                      </a:extLst>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Enter Daily QC Results</w:t>
      </w:r>
    </w:p>
    <w:p w14:paraId="5AECBCC1" w14:textId="77777777" w:rsidR="002A21AE" w:rsidRDefault="00057948" w:rsidP="00246EC0">
      <w:pPr>
        <w:pStyle w:val="BodyText"/>
        <w:spacing w:after="60"/>
        <w:ind w:left="360" w:hanging="360"/>
      </w:pPr>
      <w:r>
        <w:rPr>
          <w:noProof/>
        </w:rPr>
        <w:drawing>
          <wp:inline distT="0" distB="0" distL="0" distR="0" wp14:anchorId="531AC3B4" wp14:editId="79EFCCAC">
            <wp:extent cx="156845" cy="156845"/>
            <wp:effectExtent l="0" t="0" r="0" b="0"/>
            <wp:docPr id="76" name="Picture 76">
              <a:hlinkClick xmlns:a="http://schemas.openxmlformats.org/drawingml/2006/main" r:id="rId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a:hlinkClick r:id="rId86"/>
                      <a:extLst>
                        <a:ext uri="{C183D7F6-B498-43B3-948B-1728B52AA6E4}">
                          <adec:decorative xmlns:adec="http://schemas.microsoft.com/office/drawing/2017/decorative" val="1"/>
                        </a:ext>
                      </a:extLst>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Incoming Shipment</w:t>
      </w:r>
    </w:p>
    <w:p w14:paraId="47121BB1" w14:textId="77777777" w:rsidR="002A21AE" w:rsidRDefault="00057948" w:rsidP="00246EC0">
      <w:pPr>
        <w:pStyle w:val="BodyText"/>
        <w:spacing w:after="60"/>
        <w:ind w:left="360" w:hanging="360"/>
      </w:pPr>
      <w:r>
        <w:rPr>
          <w:noProof/>
        </w:rPr>
        <w:drawing>
          <wp:inline distT="0" distB="0" distL="0" distR="0" wp14:anchorId="633DAF8F" wp14:editId="7F8BD199">
            <wp:extent cx="156845" cy="156845"/>
            <wp:effectExtent l="0" t="0" r="0" b="0"/>
            <wp:docPr id="77" name="Picture 77">
              <a:hlinkClick xmlns:a="http://schemas.openxmlformats.org/drawingml/2006/main" r:id="rId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a:hlinkClick r:id="rId88"/>
                      <a:extLst>
                        <a:ext uri="{C183D7F6-B498-43B3-948B-1728B52AA6E4}">
                          <adec:decorative xmlns:adec="http://schemas.microsoft.com/office/drawing/2017/decorative" val="1"/>
                        </a:ext>
                      </a:extLs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ABO/Rh Confirmation</w:t>
      </w:r>
    </w:p>
    <w:p w14:paraId="1CBD3E81" w14:textId="77777777" w:rsidR="002A21AE" w:rsidRDefault="00057948" w:rsidP="00246EC0">
      <w:pPr>
        <w:pStyle w:val="BodyText"/>
        <w:spacing w:after="60"/>
        <w:ind w:left="360" w:hanging="360"/>
      </w:pPr>
      <w:r>
        <w:rPr>
          <w:noProof/>
        </w:rPr>
        <w:drawing>
          <wp:inline distT="0" distB="0" distL="0" distR="0" wp14:anchorId="146861F2" wp14:editId="31F4E92C">
            <wp:extent cx="156845" cy="156845"/>
            <wp:effectExtent l="0" t="0" r="0" b="0"/>
            <wp:docPr id="78" name="Picture 78">
              <a:hlinkClick xmlns:a="http://schemas.openxmlformats.org/drawingml/2006/main" r:id="rId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a:hlinkClick r:id="rId90"/>
                      <a:extLst>
                        <a:ext uri="{C183D7F6-B498-43B3-948B-1728B52AA6E4}">
                          <adec:decorative xmlns:adec="http://schemas.microsoft.com/office/drawing/2017/decorative" val="1"/>
                        </a:ext>
                      </a:extLst>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Modify Units</w:t>
      </w:r>
    </w:p>
    <w:p w14:paraId="23138F3E" w14:textId="77777777" w:rsidR="002A21AE" w:rsidRDefault="00057948" w:rsidP="00246EC0">
      <w:pPr>
        <w:pStyle w:val="BodyText"/>
        <w:spacing w:after="60"/>
        <w:ind w:left="360" w:hanging="360"/>
      </w:pPr>
      <w:r>
        <w:rPr>
          <w:noProof/>
        </w:rPr>
        <w:drawing>
          <wp:inline distT="0" distB="0" distL="0" distR="0" wp14:anchorId="35968CB3" wp14:editId="1BA209F0">
            <wp:extent cx="156845" cy="156845"/>
            <wp:effectExtent l="0" t="0" r="0" b="0"/>
            <wp:docPr id="79" name="Picture 79">
              <a:hlinkClick xmlns:a="http://schemas.openxmlformats.org/drawingml/2006/main" r:id="rId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a:hlinkClick r:id="rId92"/>
                      <a:extLst>
                        <a:ext uri="{C183D7F6-B498-43B3-948B-1728B52AA6E4}">
                          <adec:decorative xmlns:adec="http://schemas.microsoft.com/office/drawing/2017/decorative" val="1"/>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Unit Antigen Typing</w:t>
      </w:r>
    </w:p>
    <w:p w14:paraId="406AEFBA" w14:textId="77777777" w:rsidR="002A21AE" w:rsidRDefault="00057948" w:rsidP="00246EC0">
      <w:pPr>
        <w:pStyle w:val="BodyText"/>
        <w:spacing w:after="60"/>
        <w:ind w:left="360" w:hanging="360"/>
      </w:pPr>
      <w:r>
        <w:rPr>
          <w:noProof/>
        </w:rPr>
        <w:drawing>
          <wp:inline distT="0" distB="0" distL="0" distR="0" wp14:anchorId="064B39DF" wp14:editId="32640492">
            <wp:extent cx="156845" cy="156845"/>
            <wp:effectExtent l="0" t="0" r="0" b="0"/>
            <wp:docPr id="80" name="Picture 80">
              <a:hlinkClick xmlns:a="http://schemas.openxmlformats.org/drawingml/2006/main" r:id="rId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hlinkClick r:id="rId80"/>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Outgoing Shipment</w:t>
      </w:r>
    </w:p>
    <w:p w14:paraId="617B80DE" w14:textId="77777777" w:rsidR="002A21AE" w:rsidRDefault="00057948" w:rsidP="00246EC0">
      <w:pPr>
        <w:pStyle w:val="BodyText"/>
        <w:spacing w:after="60"/>
        <w:ind w:left="360" w:hanging="360"/>
      </w:pPr>
      <w:r>
        <w:rPr>
          <w:noProof/>
        </w:rPr>
        <w:drawing>
          <wp:inline distT="0" distB="0" distL="0" distR="0" wp14:anchorId="53BB7C9E" wp14:editId="42101A59">
            <wp:extent cx="156845" cy="156845"/>
            <wp:effectExtent l="0" t="0" r="0" b="0"/>
            <wp:docPr id="81" name="Picture 81">
              <a:hlinkClick xmlns:a="http://schemas.openxmlformats.org/drawingml/2006/main" r:id="rId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a:hlinkClick r:id="rId94"/>
                      <a:extLst>
                        <a:ext uri="{C183D7F6-B498-43B3-948B-1728B52AA6E4}">
                          <adec:decorative xmlns:adec="http://schemas.microsoft.com/office/drawing/2017/decorative" val="1"/>
                        </a:ext>
                      </a:extLst>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Accept Orders: Accept an Order</w:t>
      </w:r>
    </w:p>
    <w:p w14:paraId="5A0BBDBB" w14:textId="77777777" w:rsidR="002A21AE" w:rsidRDefault="00057948" w:rsidP="00246EC0">
      <w:pPr>
        <w:pStyle w:val="BodyText"/>
        <w:spacing w:after="60"/>
        <w:ind w:left="360" w:hanging="360"/>
      </w:pPr>
      <w:r>
        <w:rPr>
          <w:noProof/>
        </w:rPr>
        <w:drawing>
          <wp:inline distT="0" distB="0" distL="0" distR="0" wp14:anchorId="109857AA" wp14:editId="7ECFA2D8">
            <wp:extent cx="156845" cy="156845"/>
            <wp:effectExtent l="0" t="0" r="0" b="0"/>
            <wp:docPr id="82" name="Picture 82">
              <a:hlinkClick xmlns:a="http://schemas.openxmlformats.org/drawingml/2006/main" r:id="rId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hlinkClick r:id="rId96"/>
                      <a:extLst>
                        <a:ext uri="{C183D7F6-B498-43B3-948B-1728B52AA6E4}">
                          <adec:decorative xmlns:adec="http://schemas.microsoft.com/office/drawing/2017/decorative" val="1"/>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Maintain Specimen</w:t>
      </w:r>
    </w:p>
    <w:p w14:paraId="0F7A9D28" w14:textId="77777777" w:rsidR="002A21AE" w:rsidRDefault="00057948" w:rsidP="00246EC0">
      <w:pPr>
        <w:pStyle w:val="BodyText"/>
        <w:spacing w:after="60"/>
        <w:ind w:left="360" w:hanging="360"/>
      </w:pPr>
      <w:r>
        <w:rPr>
          <w:noProof/>
        </w:rPr>
        <w:drawing>
          <wp:inline distT="0" distB="0" distL="0" distR="0" wp14:anchorId="09B34BE8" wp14:editId="7EA7227D">
            <wp:extent cx="156845" cy="156845"/>
            <wp:effectExtent l="0" t="0" r="0" b="0"/>
            <wp:docPr id="83" name="Picture 83">
              <a:hlinkClick xmlns:a="http://schemas.openxmlformats.org/drawingml/2006/main" r:id="rId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a:hlinkClick r:id="rId98"/>
                      <a:extLst>
                        <a:ext uri="{C183D7F6-B498-43B3-948B-1728B52AA6E4}">
                          <adec:decorative xmlns:adec="http://schemas.microsoft.com/office/drawing/2017/decorative" val="1"/>
                        </a:ext>
                      </a:extLs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Patient Testing</w:t>
      </w:r>
    </w:p>
    <w:p w14:paraId="6DEBC26C" w14:textId="77777777" w:rsidR="00246EC0" w:rsidRDefault="00057948" w:rsidP="00246EC0">
      <w:pPr>
        <w:pStyle w:val="BodyText"/>
        <w:spacing w:after="60"/>
        <w:ind w:left="360" w:hanging="360"/>
      </w:pPr>
      <w:r>
        <w:rPr>
          <w:noProof/>
        </w:rPr>
        <w:drawing>
          <wp:inline distT="0" distB="0" distL="0" distR="0" wp14:anchorId="77FD84BB" wp14:editId="6CE31682">
            <wp:extent cx="156845" cy="156845"/>
            <wp:effectExtent l="0" t="0" r="0" b="0"/>
            <wp:docPr id="84" name="Pictur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a:extLst>
                        <a:ext uri="{C183D7F6-B498-43B3-948B-1728B52AA6E4}">
                          <adec:decorative xmlns:adec="http://schemas.microsoft.com/office/drawing/2017/decorative" val="1"/>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46EC0">
        <w:t xml:space="preserve">  Automated Instrument Pending </w:t>
      </w:r>
      <w:r w:rsidR="00E57FEA">
        <w:t>Blood Unit</w:t>
      </w:r>
      <w:r w:rsidR="00246EC0">
        <w:t xml:space="preserve"> Tests</w:t>
      </w:r>
    </w:p>
    <w:p w14:paraId="088EA099" w14:textId="77777777" w:rsidR="00246EC0" w:rsidRDefault="00057948" w:rsidP="00246EC0">
      <w:pPr>
        <w:pStyle w:val="BodyText"/>
        <w:spacing w:after="60"/>
        <w:ind w:left="360" w:hanging="360"/>
      </w:pPr>
      <w:r>
        <w:rPr>
          <w:noProof/>
        </w:rPr>
        <w:drawing>
          <wp:inline distT="0" distB="0" distL="0" distR="0" wp14:anchorId="6D271968" wp14:editId="5EE3783A">
            <wp:extent cx="156845" cy="156845"/>
            <wp:effectExtent l="0" t="0" r="0" b="0"/>
            <wp:docPr id="85" name="Pictur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a:extLst>
                        <a:ext uri="{C183D7F6-B498-43B3-948B-1728B52AA6E4}">
                          <adec:decorative xmlns:adec="http://schemas.microsoft.com/office/drawing/2017/decorative" val="1"/>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46EC0">
        <w:t xml:space="preserve">  Automated Inst</w:t>
      </w:r>
      <w:r w:rsidR="00E57FEA">
        <w:t>rument Pending Patient</w:t>
      </w:r>
      <w:r w:rsidR="00246EC0">
        <w:t xml:space="preserve"> Tests</w:t>
      </w:r>
    </w:p>
    <w:p w14:paraId="62B3CEB1" w14:textId="77777777" w:rsidR="002A21AE" w:rsidRDefault="00057948" w:rsidP="00246EC0">
      <w:pPr>
        <w:pStyle w:val="BodyText"/>
        <w:spacing w:after="60"/>
        <w:ind w:left="360" w:hanging="360"/>
      </w:pPr>
      <w:r>
        <w:rPr>
          <w:noProof/>
        </w:rPr>
        <w:drawing>
          <wp:inline distT="0" distB="0" distL="0" distR="0" wp14:anchorId="68D7CE5E" wp14:editId="578844C7">
            <wp:extent cx="156845" cy="156845"/>
            <wp:effectExtent l="0" t="0" r="0" b="0"/>
            <wp:docPr id="86" name="Picture 86">
              <a:hlinkClick xmlns:a="http://schemas.openxmlformats.org/drawingml/2006/main" r:id="rId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a:hlinkClick r:id="rId102"/>
                      <a:extLst>
                        <a:ext uri="{C183D7F6-B498-43B3-948B-1728B52AA6E4}">
                          <adec:decorative xmlns:adec="http://schemas.microsoft.com/office/drawing/2017/decorative" val="1"/>
                        </a:ext>
                      </a:extLs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Select Units</w:t>
      </w:r>
    </w:p>
    <w:p w14:paraId="270D5696" w14:textId="77777777" w:rsidR="002A21AE" w:rsidRDefault="00057948" w:rsidP="00246EC0">
      <w:pPr>
        <w:pStyle w:val="BodyText"/>
        <w:spacing w:after="60"/>
        <w:ind w:left="360" w:hanging="360"/>
      </w:pPr>
      <w:r>
        <w:rPr>
          <w:noProof/>
        </w:rPr>
        <w:drawing>
          <wp:inline distT="0" distB="0" distL="0" distR="0" wp14:anchorId="4B3B5E3A" wp14:editId="21C35BDD">
            <wp:extent cx="156845" cy="156845"/>
            <wp:effectExtent l="0" t="0" r="0" b="0"/>
            <wp:docPr id="87" name="Picture 87">
              <a:hlinkClick xmlns:a="http://schemas.openxmlformats.org/drawingml/2006/main" r:id="rId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a:hlinkClick r:id="rId104"/>
                      <a:extLst>
                        <a:ext uri="{C183D7F6-B498-43B3-948B-1728B52AA6E4}">
                          <adec:decorative xmlns:adec="http://schemas.microsoft.com/office/drawing/2017/decorative" val="1"/>
                        </a:ext>
                      </a:extLst>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Issue Blood Components</w:t>
      </w:r>
    </w:p>
    <w:p w14:paraId="45BF7CC0" w14:textId="77777777" w:rsidR="002A21AE" w:rsidRDefault="00057948" w:rsidP="00246EC0">
      <w:pPr>
        <w:pStyle w:val="BodyText"/>
        <w:spacing w:after="60"/>
        <w:ind w:left="360" w:hanging="360"/>
      </w:pPr>
      <w:r>
        <w:rPr>
          <w:noProof/>
        </w:rPr>
        <w:drawing>
          <wp:inline distT="0" distB="0" distL="0" distR="0" wp14:anchorId="2CE0880D" wp14:editId="5EA7F165">
            <wp:extent cx="156845" cy="156845"/>
            <wp:effectExtent l="0" t="0" r="0" b="0"/>
            <wp:docPr id="88" name="Picture 88">
              <a:hlinkClick xmlns:a="http://schemas.openxmlformats.org/drawingml/2006/main" r:id="rId1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a:hlinkClick r:id="rId106"/>
                      <a:extLst>
                        <a:ext uri="{C183D7F6-B498-43B3-948B-1728B52AA6E4}">
                          <adec:decorative xmlns:adec="http://schemas.microsoft.com/office/drawing/2017/decorative" val="1"/>
                        </a:ext>
                      </a:extLst>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Post-Transfusion Information</w:t>
      </w:r>
    </w:p>
    <w:p w14:paraId="5E21BDCC" w14:textId="77777777" w:rsidR="00E15889" w:rsidRDefault="00E15889" w:rsidP="00E15889">
      <w:pPr>
        <w:pStyle w:val="BodyText"/>
        <w:ind w:left="360"/>
      </w:pPr>
    </w:p>
    <w:p w14:paraId="4F7B121A" w14:textId="77777777" w:rsidR="002A21AE" w:rsidRDefault="002A21AE">
      <w:pPr>
        <w:pStyle w:val="Caution"/>
      </w:pPr>
      <w:r>
        <w:t>Clicking an icon in the Main Toolbar saves a step: it’s the same as clicking the main menu item, and then on the option.</w:t>
      </w:r>
    </w:p>
    <w:p w14:paraId="3F7244DD" w14:textId="0B13AFC5" w:rsidR="002A21AE" w:rsidRDefault="002A21AE">
      <w:pPr>
        <w:pStyle w:val="BodyText"/>
      </w:pPr>
      <w:r>
        <w:t>VBECS uses tree views to display list items. Click a plus sign (+) to expand a list. Click a minus sign (–) to condense a list.</w:t>
      </w:r>
    </w:p>
    <w:p w14:paraId="1DC8AED3" w14:textId="77777777" w:rsidR="002A21AE" w:rsidRDefault="002A21AE">
      <w:pPr>
        <w:pStyle w:val="Heading2"/>
      </w:pPr>
      <w:bookmarkStart w:id="153" w:name="_Toc47516680"/>
      <w:r>
        <w:t>Patient Information Toolbar</w:t>
      </w:r>
      <w:bookmarkEnd w:id="153"/>
      <w:r>
        <w:fldChar w:fldCharType="begin"/>
      </w:r>
      <w:r>
        <w:instrText xml:space="preserve"> XE </w:instrText>
      </w:r>
      <w:r w:rsidR="00FA7E65">
        <w:instrText>“</w:instrText>
      </w:r>
      <w:r>
        <w:instrText>Patient Information Toolbar</w:instrText>
      </w:r>
      <w:r w:rsidR="00FA7E65">
        <w:instrText>”</w:instrText>
      </w:r>
      <w:r>
        <w:instrText xml:space="preserve"> </w:instrText>
      </w:r>
      <w:r>
        <w:fldChar w:fldCharType="end"/>
      </w:r>
    </w:p>
    <w:p w14:paraId="36E794A4" w14:textId="77777777" w:rsidR="002A21AE" w:rsidRDefault="002A21AE" w:rsidP="00FA7E65">
      <w:pPr>
        <w:pStyle w:val="BodyText"/>
      </w:pPr>
      <w:r>
        <w:t xml:space="preserve">The </w:t>
      </w:r>
      <w:r>
        <w:rPr>
          <w:i/>
          <w:iCs/>
        </w:rPr>
        <w:t>Patient Information Toolbar</w:t>
      </w:r>
      <w:r>
        <w:t xml:space="preserve"> appears in the active window when a patient record is displayed.</w:t>
      </w:r>
      <w:r w:rsidR="00AD1B87">
        <w:t xml:space="preserve"> VBECS displays only the icons appropriate to the option. </w:t>
      </w:r>
      <w:r>
        <w:t>Click the icons in the Patient Information Toolbar to display:</w:t>
      </w:r>
    </w:p>
    <w:p w14:paraId="6D3E360F" w14:textId="77777777" w:rsidR="002A21AE" w:rsidRDefault="00057948">
      <w:pPr>
        <w:pStyle w:val="BodyText"/>
        <w:ind w:left="360" w:hanging="360"/>
      </w:pPr>
      <w:r>
        <w:rPr>
          <w:noProof/>
        </w:rPr>
        <w:drawing>
          <wp:inline distT="0" distB="0" distL="0" distR="0" wp14:anchorId="174A0ED8" wp14:editId="0F283F1A">
            <wp:extent cx="156845" cy="156845"/>
            <wp:effectExtent l="0" t="0" r="0" b="0"/>
            <wp:docPr id="89" name="Picture 89" descr="small_blood_availability">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mall_blood_availability"/>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a Blood Availability Report (Blood Availability) </w:t>
      </w:r>
      <w:r w:rsidR="002A21AE">
        <w:rPr>
          <w:vanish/>
        </w:rPr>
        <w:t>UC_49</w:t>
      </w:r>
    </w:p>
    <w:p w14:paraId="06ACDF87" w14:textId="77777777" w:rsidR="002A21AE" w:rsidRDefault="00057948">
      <w:pPr>
        <w:pStyle w:val="BodyText"/>
        <w:ind w:left="360" w:hanging="360"/>
      </w:pPr>
      <w:r>
        <w:rPr>
          <w:noProof/>
        </w:rPr>
        <w:drawing>
          <wp:inline distT="0" distB="0" distL="0" distR="0" wp14:anchorId="160978A1" wp14:editId="0465641A">
            <wp:extent cx="156845" cy="156845"/>
            <wp:effectExtent l="0" t="0" r="0" b="0"/>
            <wp:docPr id="90" name="Picture 90" descr="small_patient_medications">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mall_patient_medica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current medication profile (Medication Profile)</w:t>
      </w:r>
      <w:r w:rsidR="002A21AE">
        <w:rPr>
          <w:vanish/>
        </w:rPr>
        <w:t xml:space="preserve"> UC_46</w:t>
      </w:r>
    </w:p>
    <w:p w14:paraId="3107FE1C" w14:textId="77777777" w:rsidR="002A21AE" w:rsidRDefault="00057948">
      <w:pPr>
        <w:pStyle w:val="BodyText"/>
        <w:ind w:left="360" w:hanging="360"/>
      </w:pPr>
      <w:r>
        <w:rPr>
          <w:noProof/>
        </w:rPr>
        <w:lastRenderedPageBreak/>
        <w:drawing>
          <wp:inline distT="0" distB="0" distL="0" distR="0" wp14:anchorId="40BDE1FB" wp14:editId="4F933E4A">
            <wp:extent cx="156845" cy="156845"/>
            <wp:effectExtent l="0" t="0" r="0" b="0"/>
            <wp:docPr id="91" name="Picture 91" descr="small_recent_orders">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mall_recent_ord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recent orders (Recent Orders)</w:t>
      </w:r>
      <w:r w:rsidR="002A21AE">
        <w:rPr>
          <w:vanish/>
        </w:rPr>
        <w:t xml:space="preserve"> UC_65</w:t>
      </w:r>
    </w:p>
    <w:p w14:paraId="1AAC3744" w14:textId="77777777" w:rsidR="002A21AE" w:rsidRDefault="00057948">
      <w:pPr>
        <w:pStyle w:val="BodyText"/>
        <w:ind w:left="360" w:hanging="360"/>
      </w:pPr>
      <w:r>
        <w:rPr>
          <w:noProof/>
        </w:rPr>
        <w:drawing>
          <wp:inline distT="0" distB="0" distL="0" distR="0" wp14:anchorId="5EC96A22" wp14:editId="6FF97E9A">
            <wp:extent cx="156845" cy="156845"/>
            <wp:effectExtent l="0" t="0" r="0" b="0"/>
            <wp:docPr id="92" name="Picture 92" descr="small_si_tr">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a patient’s Special Instructions and/or Transfusion Requirements (View Special Instructions and Transfusion Requirements) </w:t>
      </w:r>
      <w:r w:rsidR="002A21AE">
        <w:rPr>
          <w:vanish/>
        </w:rPr>
        <w:t>UC_36</w:t>
      </w:r>
    </w:p>
    <w:p w14:paraId="5BD0DCEE" w14:textId="77777777" w:rsidR="002A21AE" w:rsidRDefault="00057948">
      <w:pPr>
        <w:pStyle w:val="BodyText"/>
        <w:ind w:left="360" w:hanging="360"/>
      </w:pPr>
      <w:r>
        <w:rPr>
          <w:noProof/>
        </w:rPr>
        <w:drawing>
          <wp:inline distT="0" distB="0" distL="0" distR="0" wp14:anchorId="517ADB7F" wp14:editId="71437339">
            <wp:extent cx="156845" cy="156845"/>
            <wp:effectExtent l="0" t="0" r="0" b="0"/>
            <wp:docPr id="93" name="Picture 93" descr="small_transfusion_history">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mall_transfusion_histo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recent transfusion history (Recent Transfusions/Issued Units)</w:t>
      </w:r>
      <w:r w:rsidR="002A21AE">
        <w:rPr>
          <w:vanish/>
        </w:rPr>
        <w:t xml:space="preserve"> UC_65</w:t>
      </w:r>
    </w:p>
    <w:p w14:paraId="1EAA5546" w14:textId="086DE2FA" w:rsidR="00C12CF8" w:rsidRDefault="00057948" w:rsidP="00591A3B">
      <w:pPr>
        <w:pStyle w:val="BodyText"/>
        <w:ind w:left="360" w:hanging="360"/>
      </w:pPr>
      <w:r>
        <w:rPr>
          <w:noProof/>
        </w:rPr>
        <w:drawing>
          <wp:inline distT="0" distB="0" distL="0" distR="0" wp14:anchorId="43A8349D" wp14:editId="26F73BE2">
            <wp:extent cx="156845" cy="156845"/>
            <wp:effectExtent l="0" t="0" r="0" b="0"/>
            <wp:docPr id="94" name="Picture 94" descr="small_transfusion_reactions">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mall_transfusion_reac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transfusion reaction history (Transfusion Reaction History)</w:t>
      </w:r>
      <w:r w:rsidR="00547F23" w:rsidRPr="00547F23">
        <w:rPr>
          <w:vanish/>
        </w:rPr>
        <w:t xml:space="preserve"> </w:t>
      </w:r>
      <w:r w:rsidR="00547F23">
        <w:rPr>
          <w:vanish/>
        </w:rPr>
        <w:t>UC_65</w:t>
      </w:r>
      <w:r w:rsidR="002A21AE">
        <w:rPr>
          <w:vanish/>
        </w:rPr>
        <w:t xml:space="preserve"> </w:t>
      </w:r>
    </w:p>
    <w:p w14:paraId="79B32D70" w14:textId="77777777" w:rsidR="00591A3B" w:rsidRDefault="00591A3B" w:rsidP="00C12CF8">
      <w:pPr>
        <w:pStyle w:val="BodyText"/>
        <w:ind w:left="360" w:hanging="360"/>
        <w:rPr>
          <w:vanish/>
        </w:rPr>
      </w:pPr>
    </w:p>
    <w:p w14:paraId="0796217F" w14:textId="77777777" w:rsidR="00577C1F" w:rsidRDefault="00577C1F" w:rsidP="00577C1F">
      <w:pPr>
        <w:pStyle w:val="Heading3"/>
      </w:pPr>
      <w:bookmarkStart w:id="154" w:name="_Medication_Profile_UC_46"/>
      <w:bookmarkStart w:id="155" w:name="_Toc47516681"/>
      <w:bookmarkEnd w:id="154"/>
      <w:r>
        <w:t>Patient Blood Availability</w:t>
      </w:r>
      <w:bookmarkEnd w:id="155"/>
      <w:r w:rsidR="00B973E2">
        <w:fldChar w:fldCharType="begin"/>
      </w:r>
      <w:r w:rsidR="00B973E2">
        <w:instrText xml:space="preserve"> XE "</w:instrText>
      </w:r>
      <w:r w:rsidR="00B973E2" w:rsidRPr="00DC29FC">
        <w:instrText>Patient Blood Availability</w:instrText>
      </w:r>
      <w:r w:rsidR="00B973E2">
        <w:instrText xml:space="preserve">" </w:instrText>
      </w:r>
      <w:r w:rsidR="00B973E2">
        <w:fldChar w:fldCharType="end"/>
      </w:r>
    </w:p>
    <w:p w14:paraId="258FA80E" w14:textId="77777777" w:rsidR="00971D59" w:rsidRPr="00971D59" w:rsidRDefault="00971D59" w:rsidP="00971D59">
      <w:pPr>
        <w:pStyle w:val="BodyText"/>
      </w:pPr>
      <w:r w:rsidRPr="00971D59">
        <w:t>The user views blood products available to a patient. The Blood Availability Report does not include unassigned, restricted blood products. To view unassigned, restricted blood products and other custom reports, see Blood Availability.</w:t>
      </w:r>
      <w:r w:rsidR="00D407D0" w:rsidRPr="00D407D0">
        <w:rPr>
          <w:vanish/>
        </w:rPr>
        <w:t>DR 1,041</w:t>
      </w:r>
    </w:p>
    <w:p w14:paraId="132EED4B" w14:textId="77777777" w:rsidR="002A21AE" w:rsidRPr="001F24A4" w:rsidRDefault="00E75E0A" w:rsidP="001F24A4">
      <w:pPr>
        <w:pStyle w:val="Heading3"/>
      </w:pPr>
      <w:r>
        <w:br w:type="page"/>
      </w:r>
      <w:bookmarkStart w:id="156" w:name="_Toc47516682"/>
      <w:r w:rsidR="00057948">
        <w:rPr>
          <w:noProof/>
        </w:rPr>
        <w:lastRenderedPageBreak/>
        <w:drawing>
          <wp:inline distT="0" distB="0" distL="0" distR="0" wp14:anchorId="7FAAFBB7" wp14:editId="5D87952A">
            <wp:extent cx="156845" cy="193675"/>
            <wp:effectExtent l="0" t="0" r="0" b="0"/>
            <wp:docPr id="96" name="Picture 96" descr="small_patient_med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mall_patient_medica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sidR="002A21AE" w:rsidRPr="004C2A71">
        <w:t xml:space="preserve"> Medication Profile</w:t>
      </w:r>
      <w:bookmarkEnd w:id="156"/>
      <w:r w:rsidR="002A21AE" w:rsidRPr="004C2A71">
        <w:fldChar w:fldCharType="begin"/>
      </w:r>
      <w:r w:rsidR="002A21AE" w:rsidRPr="004C2A71">
        <w:instrText xml:space="preserve"> XE </w:instrText>
      </w:r>
      <w:r w:rsidR="00FA7E65" w:rsidRPr="004C2A71">
        <w:instrText>“</w:instrText>
      </w:r>
      <w:r w:rsidR="002A21AE" w:rsidRPr="004C2A71">
        <w:instrText>Medication Profile</w:instrText>
      </w:r>
      <w:r w:rsidR="00FA7E65" w:rsidRPr="004C2A71">
        <w:instrText>”</w:instrText>
      </w:r>
      <w:r w:rsidR="002A21AE" w:rsidRPr="004C2A71">
        <w:instrText xml:space="preserve"> </w:instrText>
      </w:r>
      <w:r w:rsidR="002A21AE" w:rsidRPr="004C2A71">
        <w:fldChar w:fldCharType="end"/>
      </w:r>
      <w:r w:rsidR="002A21AE">
        <w:t xml:space="preserve"> </w:t>
      </w:r>
      <w:r w:rsidR="002A21AE" w:rsidRPr="00C12CF8">
        <w:rPr>
          <w:vanish/>
        </w:rPr>
        <w:t>UC_46</w:t>
      </w:r>
      <w:r w:rsidR="002A21AE">
        <w:t xml:space="preserve"> </w:t>
      </w:r>
    </w:p>
    <w:p w14:paraId="0A51FF4F" w14:textId="77777777" w:rsidR="002A21AE" w:rsidRDefault="002A21AE" w:rsidP="004C2A71">
      <w:pPr>
        <w:pStyle w:val="BodyText"/>
      </w:pPr>
      <w:r>
        <w:t>The user views a patient’s current medication profile.</w:t>
      </w:r>
    </w:p>
    <w:p w14:paraId="06BC41DC" w14:textId="77777777" w:rsidR="002A21AE" w:rsidRDefault="002A21AE">
      <w:pPr>
        <w:pStyle w:val="Heading4"/>
      </w:pPr>
      <w:r>
        <w:t xml:space="preserve">Assumptions </w:t>
      </w:r>
    </w:p>
    <w:p w14:paraId="7F374552" w14:textId="77777777" w:rsidR="002A21AE" w:rsidRDefault="002A21AE">
      <w:pPr>
        <w:pStyle w:val="ListBullet"/>
      </w:pPr>
      <w:r>
        <w:t xml:space="preserve">The connection to </w:t>
      </w:r>
      <w:r w:rsidR="00CA0045" w:rsidRPr="00CA0045">
        <w:rPr>
          <w:bCs/>
        </w:rPr>
        <w:t>VistA</w:t>
      </w:r>
      <w:r>
        <w:t xml:space="preserve"> is active. </w:t>
      </w:r>
    </w:p>
    <w:p w14:paraId="066B6808" w14:textId="77777777" w:rsidR="00DD75E5" w:rsidRDefault="002A21AE" w:rsidP="00DD75E5">
      <w:pPr>
        <w:pStyle w:val="Heading4"/>
      </w:pPr>
      <w:r>
        <w:t>Outcome</w:t>
      </w:r>
    </w:p>
    <w:p w14:paraId="6182BD84" w14:textId="77777777" w:rsidR="002A21AE" w:rsidRDefault="002A21AE" w:rsidP="00DD75E5">
      <w:pPr>
        <w:pStyle w:val="ListBullet"/>
      </w:pPr>
      <w:r>
        <w:t>VBECS displays a patient’s current medications.</w:t>
      </w:r>
    </w:p>
    <w:p w14:paraId="6FAD5D26" w14:textId="77777777" w:rsidR="002A21AE" w:rsidRDefault="002A21AE">
      <w:pPr>
        <w:pStyle w:val="Heading4"/>
      </w:pPr>
      <w:r>
        <w:t>Limitations and Restrictions</w:t>
      </w:r>
    </w:p>
    <w:p w14:paraId="68DB5FBB" w14:textId="77777777" w:rsidR="002A21AE" w:rsidRDefault="002A21AE">
      <w:pPr>
        <w:pStyle w:val="ListBullet"/>
      </w:pPr>
      <w:r>
        <w:t>None</w:t>
      </w:r>
    </w:p>
    <w:p w14:paraId="42F47C8C" w14:textId="77777777" w:rsidR="002A21AE" w:rsidRDefault="00DD75E5">
      <w:pPr>
        <w:pStyle w:val="Heading4"/>
      </w:pPr>
      <w:r>
        <w:t>Additional Information</w:t>
      </w:r>
    </w:p>
    <w:p w14:paraId="385AEB1D" w14:textId="77777777" w:rsidR="002A21AE" w:rsidRDefault="002A21AE">
      <w:pPr>
        <w:pStyle w:val="ListBullet"/>
      </w:pPr>
      <w:r>
        <w:t xml:space="preserve">The user may access CPRS for </w:t>
      </w:r>
      <w:r w:rsidR="00E90A01">
        <w:t>additional</w:t>
      </w:r>
      <w:r>
        <w:t xml:space="preserve"> information on a patient medication order.</w:t>
      </w:r>
    </w:p>
    <w:p w14:paraId="12FA92BA" w14:textId="77777777" w:rsidR="002A21AE" w:rsidRDefault="002A21AE">
      <w:pPr>
        <w:pStyle w:val="ListBullet"/>
      </w:pPr>
      <w:r>
        <w:t>These data are accessible to the user through the Patient Information Toolbar on all patient-specific screens.</w:t>
      </w:r>
    </w:p>
    <w:p w14:paraId="31DB9F38" w14:textId="77777777" w:rsidR="002A21AE" w:rsidRDefault="002A21AE">
      <w:pPr>
        <w:pStyle w:val="Heading4"/>
        <w:rPr>
          <w:b w:val="0"/>
        </w:rPr>
      </w:pPr>
      <w:r>
        <w:t>User Roles with Access to This Option</w:t>
      </w:r>
      <w:r>
        <w:rPr>
          <w:b w:val="0"/>
        </w:rPr>
        <w:t xml:space="preserve"> </w:t>
      </w:r>
    </w:p>
    <w:p w14:paraId="51780348" w14:textId="77777777" w:rsidR="002A21AE" w:rsidRDefault="00237C52" w:rsidP="00237C52">
      <w:pPr>
        <w:pStyle w:val="Roles"/>
      </w:pPr>
      <w:r>
        <w:t>All users</w:t>
      </w:r>
    </w:p>
    <w:p w14:paraId="0422B621" w14:textId="77777777" w:rsidR="002A21AE" w:rsidRDefault="002A21AE">
      <w:pPr>
        <w:pStyle w:val="Heading4"/>
      </w:pPr>
      <w:r>
        <w:t xml:space="preserve">Medication Profile </w:t>
      </w:r>
    </w:p>
    <w:p w14:paraId="42B1C2B7" w14:textId="77777777" w:rsidR="002A21AE" w:rsidRDefault="002A21AE" w:rsidP="00FA7E65">
      <w:pPr>
        <w:pStyle w:val="BodyText"/>
      </w:pPr>
      <w:r>
        <w:rPr>
          <w:bCs/>
        </w:rPr>
        <w:t>At the user’s request, VBECS queries</w:t>
      </w:r>
      <w:r>
        <w:rPr>
          <w:b/>
          <w:bCs/>
        </w:rPr>
        <w:t xml:space="preserve"> </w:t>
      </w:r>
      <w:r w:rsidR="00CA0045" w:rsidRPr="00CA0045">
        <w:rPr>
          <w:bCs/>
        </w:rPr>
        <w:t>VistA</w:t>
      </w:r>
      <w:r>
        <w:t xml:space="preserve"> to search for active prescriptions within a user-specified time frame or a default time frame of six months, regardless of division, in a multidivisional database.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74E2E6" w14:textId="77777777">
        <w:trPr>
          <w:tblHeader/>
        </w:trPr>
        <w:tc>
          <w:tcPr>
            <w:tcW w:w="3240" w:type="dxa"/>
            <w:shd w:val="pct30" w:color="auto" w:fill="FFFFFF"/>
            <w:vAlign w:val="bottom"/>
          </w:tcPr>
          <w:p w14:paraId="3887BF32" w14:textId="77777777" w:rsidR="002A21AE" w:rsidRDefault="002A21AE">
            <w:pPr>
              <w:pStyle w:val="TableText"/>
              <w:rPr>
                <w:b/>
              </w:rPr>
            </w:pPr>
            <w:r>
              <w:rPr>
                <w:b/>
              </w:rPr>
              <w:t>User Action</w:t>
            </w:r>
          </w:p>
        </w:tc>
        <w:tc>
          <w:tcPr>
            <w:tcW w:w="6120" w:type="dxa"/>
            <w:shd w:val="pct30" w:color="auto" w:fill="FFFFFF"/>
            <w:vAlign w:val="bottom"/>
          </w:tcPr>
          <w:p w14:paraId="4ABEBD67" w14:textId="77777777" w:rsidR="002A21AE" w:rsidRDefault="002A21AE">
            <w:pPr>
              <w:pStyle w:val="TableText"/>
              <w:rPr>
                <w:b/>
              </w:rPr>
            </w:pPr>
            <w:r>
              <w:rPr>
                <w:b/>
              </w:rPr>
              <w:t>VBECS</w:t>
            </w:r>
          </w:p>
        </w:tc>
      </w:tr>
      <w:tr w:rsidR="002A21AE" w14:paraId="4B1668CD" w14:textId="77777777">
        <w:tc>
          <w:tcPr>
            <w:tcW w:w="3240" w:type="dxa"/>
          </w:tcPr>
          <w:p w14:paraId="29315A29" w14:textId="77777777" w:rsidR="002A21AE" w:rsidRDefault="002A21AE" w:rsidP="009D60F4">
            <w:pPr>
              <w:pStyle w:val="TableTextNumbers"/>
            </w:pPr>
            <w:r>
              <w:t xml:space="preserve">Select </w:t>
            </w:r>
            <w:r>
              <w:rPr>
                <w:b/>
              </w:rPr>
              <w:t>Reports</w:t>
            </w:r>
            <w:r>
              <w:t xml:space="preserve"> from the main menu.</w:t>
            </w:r>
          </w:p>
          <w:p w14:paraId="655CB11B" w14:textId="77777777" w:rsidR="002A21AE" w:rsidRDefault="002A21AE">
            <w:pPr>
              <w:pStyle w:val="TableTextNumbersContinued"/>
              <w:rPr>
                <w:b/>
                <w:bCs/>
              </w:rPr>
            </w:pPr>
          </w:p>
          <w:p w14:paraId="30034D53" w14:textId="77777777" w:rsidR="002A21AE" w:rsidRDefault="002A21AE">
            <w:pPr>
              <w:pStyle w:val="TableTextNumbersContinued"/>
              <w:rPr>
                <w:b/>
                <w:bCs/>
              </w:rPr>
            </w:pPr>
            <w:r>
              <w:rPr>
                <w:bCs/>
              </w:rPr>
              <w:t>Select</w:t>
            </w:r>
            <w:r>
              <w:rPr>
                <w:b/>
                <w:bCs/>
              </w:rPr>
              <w:t xml:space="preserve"> Medication Profile.</w:t>
            </w:r>
          </w:p>
          <w:p w14:paraId="09BA2DF1" w14:textId="77777777" w:rsidR="002A21AE" w:rsidRDefault="002A21AE">
            <w:pPr>
              <w:pStyle w:val="TableTextNumbersContinued"/>
              <w:rPr>
                <w:b/>
                <w:bCs/>
              </w:rPr>
            </w:pPr>
          </w:p>
          <w:p w14:paraId="46812049" w14:textId="77777777" w:rsidR="002A21AE" w:rsidRDefault="002A21AE">
            <w:pPr>
              <w:pStyle w:val="TableTextNumbersContinued"/>
              <w:rPr>
                <w:bCs/>
              </w:rPr>
            </w:pPr>
            <w:r>
              <w:rPr>
                <w:bCs/>
              </w:rPr>
              <w:t>Select a patient, or</w:t>
            </w:r>
          </w:p>
          <w:p w14:paraId="62C07106" w14:textId="77777777" w:rsidR="002A21AE" w:rsidRDefault="002A21AE">
            <w:pPr>
              <w:pStyle w:val="TableTextNumbersContinued"/>
              <w:rPr>
                <w:bCs/>
              </w:rPr>
            </w:pPr>
          </w:p>
          <w:p w14:paraId="0BBCF196" w14:textId="77777777" w:rsidR="002A21AE" w:rsidRDefault="002A21AE">
            <w:pPr>
              <w:pStyle w:val="TableTextNumbersContinued"/>
              <w:rPr>
                <w:bCs/>
              </w:rPr>
            </w:pPr>
            <w:r>
              <w:rPr>
                <w:bCs/>
              </w:rPr>
              <w:t>Select an option that displays the Patient Information Toolbar.</w:t>
            </w:r>
          </w:p>
          <w:p w14:paraId="6A8CCB60" w14:textId="77777777" w:rsidR="002A21AE" w:rsidRDefault="002A21AE">
            <w:pPr>
              <w:pStyle w:val="TableTextNumbersContinued"/>
              <w:rPr>
                <w:bCs/>
              </w:rPr>
            </w:pPr>
          </w:p>
          <w:p w14:paraId="36631172" w14:textId="77777777" w:rsidR="002A21AE" w:rsidRDefault="002A21AE">
            <w:pPr>
              <w:pStyle w:val="TableTextNumbersContinued"/>
              <w:rPr>
                <w:b/>
                <w:bCs/>
              </w:rPr>
            </w:pPr>
            <w:r>
              <w:rPr>
                <w:bCs/>
              </w:rPr>
              <w:t xml:space="preserve">Click </w:t>
            </w:r>
            <w:r w:rsidR="00057948">
              <w:rPr>
                <w:bCs/>
                <w:noProof/>
              </w:rPr>
              <w:drawing>
                <wp:inline distT="0" distB="0" distL="0" distR="0" wp14:anchorId="35724580" wp14:editId="7BE0FFC9">
                  <wp:extent cx="156845" cy="193675"/>
                  <wp:effectExtent l="0" t="0" r="0" b="0"/>
                  <wp:docPr id="97" name="Picture 97" descr="small_patient_med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mall_patient_medica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Pr>
                <w:bCs/>
              </w:rPr>
              <w:t xml:space="preserve"> to view a patient’s current medication list.</w:t>
            </w:r>
          </w:p>
        </w:tc>
        <w:tc>
          <w:tcPr>
            <w:tcW w:w="6120" w:type="dxa"/>
          </w:tcPr>
          <w:p w14:paraId="11A107A7" w14:textId="77777777" w:rsidR="002A21AE" w:rsidRDefault="002A21AE">
            <w:pPr>
              <w:pStyle w:val="TableTextBullet"/>
            </w:pPr>
            <w:r>
              <w:t>Lists report names.</w:t>
            </w:r>
          </w:p>
          <w:p w14:paraId="69AF3ED9" w14:textId="77777777" w:rsidR="002A21AE" w:rsidRDefault="002A21AE">
            <w:pPr>
              <w:pStyle w:val="TableTextBullet"/>
            </w:pPr>
            <w:r>
              <w:t>Displays the report date range, sections, and compilation criteria.</w:t>
            </w:r>
          </w:p>
          <w:p w14:paraId="030AF8FB" w14:textId="77777777" w:rsidR="002A21AE" w:rsidRDefault="002A21AE">
            <w:pPr>
              <w:pStyle w:val="TableTextBullet"/>
            </w:pPr>
            <w:r>
              <w:t>Displays options for processing patient-related functions.</w:t>
            </w:r>
          </w:p>
          <w:p w14:paraId="56FE691C" w14:textId="77777777" w:rsidR="002A21AE" w:rsidRDefault="002A21AE">
            <w:pPr>
              <w:pStyle w:val="TableTextBullet"/>
            </w:pPr>
            <w:r>
              <w:t>Compiles the active patient identification data.</w:t>
            </w:r>
          </w:p>
          <w:p w14:paraId="79132C4A" w14:textId="77777777" w:rsidR="002A21AE" w:rsidRDefault="002A21AE">
            <w:pPr>
              <w:pStyle w:val="TableText"/>
            </w:pPr>
          </w:p>
          <w:p w14:paraId="6F9710E9" w14:textId="21EE37CD" w:rsidR="002A21AE" w:rsidRDefault="002A21AE">
            <w:pPr>
              <w:pStyle w:val="TableText"/>
              <w:rPr>
                <w:b/>
                <w:bCs/>
                <w:szCs w:val="18"/>
              </w:rPr>
            </w:pPr>
            <w:r>
              <w:rPr>
                <w:b/>
                <w:bCs/>
                <w:szCs w:val="18"/>
              </w:rPr>
              <w:t>NOTES</w:t>
            </w:r>
          </w:p>
          <w:p w14:paraId="1170A891" w14:textId="77777777" w:rsidR="002A21AE" w:rsidRDefault="002A21AE">
            <w:pPr>
              <w:pStyle w:val="NotesText"/>
            </w:pPr>
          </w:p>
          <w:p w14:paraId="29FF8823" w14:textId="77777777" w:rsidR="002A21AE" w:rsidRDefault="002A21AE">
            <w:pPr>
              <w:pStyle w:val="NotesText"/>
            </w:pPr>
            <w:r w:rsidRPr="00E274BF">
              <w:rPr>
                <w:rFonts w:cs="Arial"/>
                <w:vanish/>
                <w:szCs w:val="18"/>
              </w:rPr>
              <w:t xml:space="preserve">BR_46.02 </w:t>
            </w:r>
            <w:r>
              <w:t>The user may edit the default start date (six months before the current date) for the patient medication search.</w:t>
            </w:r>
          </w:p>
        </w:tc>
      </w:tr>
      <w:tr w:rsidR="002A21AE" w14:paraId="6F01B4A7" w14:textId="77777777">
        <w:tc>
          <w:tcPr>
            <w:tcW w:w="3240" w:type="dxa"/>
          </w:tcPr>
          <w:p w14:paraId="35BF6241" w14:textId="77777777" w:rsidR="002A21AE" w:rsidRDefault="002A21AE">
            <w:pPr>
              <w:pStyle w:val="TableTextNumbers"/>
            </w:pPr>
            <w:r>
              <w:t>Accept or edit the default start and end dates.</w:t>
            </w:r>
          </w:p>
        </w:tc>
        <w:tc>
          <w:tcPr>
            <w:tcW w:w="6120" w:type="dxa"/>
          </w:tcPr>
          <w:p w14:paraId="0A293308" w14:textId="77777777" w:rsidR="002A21AE" w:rsidRDefault="002A21AE">
            <w:pPr>
              <w:pStyle w:val="TableTextBullet"/>
            </w:pPr>
            <w:r>
              <w:t xml:space="preserve">Displays each medication name status, order number, and issue/start date returned from the </w:t>
            </w:r>
            <w:r w:rsidR="00CA0045" w:rsidRPr="00CA0045">
              <w:rPr>
                <w:bCs/>
              </w:rPr>
              <w:t>VistA</w:t>
            </w:r>
            <w:r>
              <w:t xml:space="preserve"> query. </w:t>
            </w:r>
          </w:p>
          <w:p w14:paraId="69975E18" w14:textId="77777777" w:rsidR="002A21AE" w:rsidRDefault="002A21AE">
            <w:pPr>
              <w:pStyle w:val="TableTextBullet"/>
            </w:pPr>
            <w:r w:rsidRPr="00E274BF">
              <w:rPr>
                <w:rFonts w:cs="Arial"/>
                <w:vanish/>
                <w:szCs w:val="18"/>
              </w:rPr>
              <w:t>BR_46.04</w:t>
            </w:r>
            <w:r w:rsidRPr="009660C3">
              <w:rPr>
                <w:vanish/>
                <w:szCs w:val="18"/>
              </w:rPr>
              <w:t xml:space="preserve"> </w:t>
            </w:r>
            <w:r>
              <w:t>When a query does not return any medications, notifies the user that he may repeat the query with a different date range.</w:t>
            </w:r>
          </w:p>
        </w:tc>
      </w:tr>
      <w:tr w:rsidR="002A21AE" w14:paraId="070E4A4E" w14:textId="77777777">
        <w:tc>
          <w:tcPr>
            <w:tcW w:w="3240" w:type="dxa"/>
          </w:tcPr>
          <w:p w14:paraId="2F7C6720" w14:textId="77777777" w:rsidR="002A21AE" w:rsidRDefault="002A21AE">
            <w:pPr>
              <w:pStyle w:val="TableTextNumbers"/>
            </w:pPr>
            <w:r>
              <w:t xml:space="preserve">View the display. When desired, go to Step 1 to repeat the query, </w:t>
            </w:r>
          </w:p>
        </w:tc>
        <w:tc>
          <w:tcPr>
            <w:tcW w:w="6120" w:type="dxa"/>
          </w:tcPr>
          <w:p w14:paraId="528D0539" w14:textId="77777777" w:rsidR="002A21AE" w:rsidRDefault="002A21AE">
            <w:pPr>
              <w:pStyle w:val="TableTextBullet"/>
            </w:pPr>
            <w:r>
              <w:t>Allows the user to print the displayed patient medication profile.</w:t>
            </w:r>
          </w:p>
        </w:tc>
      </w:tr>
      <w:tr w:rsidR="002A21AE" w14:paraId="57406F80" w14:textId="77777777">
        <w:tc>
          <w:tcPr>
            <w:tcW w:w="3240" w:type="dxa"/>
          </w:tcPr>
          <w:p w14:paraId="4A4549B5" w14:textId="77777777" w:rsidR="002A21AE" w:rsidRDefault="002A21AE">
            <w:pPr>
              <w:pStyle w:val="TableTextNumbers"/>
            </w:pPr>
            <w:r>
              <w:t xml:space="preserve">Print the profile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57" w:author="Blalock, David (Leidos)" w:date="2020-06-15T14:09:00Z" w:original="0."/>
              </w:fldChar>
            </w:r>
          </w:p>
        </w:tc>
        <w:tc>
          <w:tcPr>
            <w:tcW w:w="6120" w:type="dxa"/>
          </w:tcPr>
          <w:p w14:paraId="5F298782" w14:textId="77777777" w:rsidR="002A21AE" w:rsidRDefault="002A21AE">
            <w:pPr>
              <w:pStyle w:val="TableTextBullet"/>
            </w:pPr>
            <w:r>
              <w:t xml:space="preserve">Displays and prints the medication information profile. </w:t>
            </w:r>
          </w:p>
        </w:tc>
      </w:tr>
    </w:tbl>
    <w:p w14:paraId="5E026334" w14:textId="77777777" w:rsidR="002A21AE" w:rsidRDefault="002A21AE">
      <w:pPr>
        <w:pStyle w:val="Heading3"/>
        <w:sectPr w:rsidR="002A21AE" w:rsidSect="009516A4">
          <w:type w:val="continuous"/>
          <w:pgSz w:w="12240" w:h="15840" w:code="1"/>
          <w:pgMar w:top="1440" w:right="1440" w:bottom="1440" w:left="1440" w:header="720" w:footer="720" w:gutter="0"/>
          <w:pgNumType w:start="16"/>
          <w:cols w:space="720"/>
          <w:docGrid w:linePitch="360"/>
        </w:sectPr>
      </w:pPr>
    </w:p>
    <w:p w14:paraId="1CA4BCB3" w14:textId="77777777" w:rsidR="002A21AE" w:rsidRDefault="00057948">
      <w:pPr>
        <w:pStyle w:val="Heading3"/>
      </w:pPr>
      <w:bookmarkStart w:id="158" w:name="_View_Special_Instructions_and_Trans"/>
      <w:bookmarkStart w:id="159" w:name="_Toc92426411"/>
      <w:bookmarkStart w:id="160" w:name="_Toc47516683"/>
      <w:bookmarkEnd w:id="158"/>
      <w:r>
        <w:rPr>
          <w:noProof/>
        </w:rPr>
        <w:lastRenderedPageBreak/>
        <w:drawing>
          <wp:inline distT="0" distB="0" distL="0" distR="0" wp14:anchorId="2F6FBD08" wp14:editId="6CB39FC9">
            <wp:extent cx="156845" cy="156845"/>
            <wp:effectExtent l="0" t="0" r="0" b="0"/>
            <wp:docPr id="98" name="Picture 98"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View Special Instructions and Transfusion Requirements</w:t>
      </w:r>
      <w:bookmarkEnd w:id="159"/>
      <w:bookmarkEnd w:id="160"/>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View Special Instructions and Transfusion Requirements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UC_36</w:t>
      </w:r>
    </w:p>
    <w:p w14:paraId="76E7EDB3" w14:textId="77777777" w:rsidR="002A21AE" w:rsidRDefault="002A21AE" w:rsidP="00FA7E65">
      <w:pPr>
        <w:pStyle w:val="BodyText"/>
      </w:pPr>
      <w:r>
        <w:t xml:space="preserve">The user views patient-specific Special Instructions (SIs) and Transfusion Requirements (TRs). </w:t>
      </w:r>
    </w:p>
    <w:p w14:paraId="3A96E197" w14:textId="77777777" w:rsidR="002A21AE" w:rsidRDefault="002A21AE">
      <w:pPr>
        <w:pStyle w:val="Heading4"/>
      </w:pPr>
      <w:r>
        <w:t>Assumptions</w:t>
      </w:r>
    </w:p>
    <w:p w14:paraId="4959378B" w14:textId="77777777" w:rsidR="002A21AE" w:rsidRDefault="002A21AE">
      <w:pPr>
        <w:pStyle w:val="ListBullet"/>
      </w:pPr>
      <w:r>
        <w:t xml:space="preserve">SI entries were created through Special Instructions &amp; Transfusion Requirements: Enter a Special Instruction or from </w:t>
      </w:r>
      <w:r w:rsidR="00150930">
        <w:t>database conversion</w:t>
      </w:r>
      <w:r>
        <w:t>.</w:t>
      </w:r>
    </w:p>
    <w:p w14:paraId="7EB4B997" w14:textId="77777777" w:rsidR="002A21AE" w:rsidRDefault="002A21AE">
      <w:pPr>
        <w:pStyle w:val="ListBullet"/>
      </w:pPr>
      <w:r>
        <w:t xml:space="preserve">TR entries were entered through Special Instructions &amp; Transfusion Requirements: Enter a Transfusion Requirement or Patient Testing: </w:t>
      </w:r>
      <w:r w:rsidR="00244FCD">
        <w:t>Enter Antibody Identification Results</w:t>
      </w:r>
      <w:r>
        <w:t>.</w:t>
      </w:r>
    </w:p>
    <w:p w14:paraId="7640DDD9" w14:textId="77777777" w:rsidR="002A21AE" w:rsidRDefault="002A21AE">
      <w:pPr>
        <w:pStyle w:val="Heading4"/>
        <w:rPr>
          <w:i/>
        </w:rPr>
      </w:pPr>
      <w:r>
        <w:t>Outcome</w:t>
      </w:r>
      <w:r>
        <w:rPr>
          <w:i/>
        </w:rPr>
        <w:t xml:space="preserve"> </w:t>
      </w:r>
    </w:p>
    <w:p w14:paraId="318BC1BF" w14:textId="77777777" w:rsidR="002A21AE" w:rsidRDefault="002A21AE">
      <w:pPr>
        <w:pStyle w:val="ListBullet"/>
      </w:pPr>
      <w:r>
        <w:t>VBECS displays a patient’s SIs and TRs.</w:t>
      </w:r>
    </w:p>
    <w:p w14:paraId="345400BE" w14:textId="77777777" w:rsidR="002A21AE" w:rsidRDefault="002A21AE" w:rsidP="00C602D5">
      <w:pPr>
        <w:pStyle w:val="Heading4"/>
      </w:pPr>
      <w:r>
        <w:t>Limitations and Restrictions</w:t>
      </w:r>
      <w:r>
        <w:rPr>
          <w:b w:val="0"/>
        </w:rPr>
        <w:t xml:space="preserve"> </w:t>
      </w:r>
    </w:p>
    <w:p w14:paraId="15AD526A" w14:textId="77777777" w:rsidR="00C602D5" w:rsidRDefault="00C602D5" w:rsidP="00C602D5">
      <w:pPr>
        <w:pStyle w:val="ListBullet"/>
      </w:pPr>
      <w:r w:rsidRPr="00633316">
        <w:t xml:space="preserve">Changing a patient's antigen negative requirement or antibody identified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p w14:paraId="353F7ABC" w14:textId="77777777" w:rsidR="0014357E" w:rsidRDefault="0083732D" w:rsidP="0083732D">
      <w:pPr>
        <w:pStyle w:val="ListBullet"/>
      </w:pPr>
      <w:r w:rsidRPr="00A2186F">
        <w:t xml:space="preserve">This icon </w:t>
      </w:r>
      <w:r w:rsidR="00057948">
        <w:rPr>
          <w:noProof/>
        </w:rPr>
        <w:drawing>
          <wp:inline distT="0" distB="0" distL="0" distR="0" wp14:anchorId="4F3EAAA0" wp14:editId="6BE48DCD">
            <wp:extent cx="156845" cy="156845"/>
            <wp:effectExtent l="0" t="0" r="0" b="0"/>
            <wp:docPr id="100" name="Picture 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a:extLst>
                        <a:ext uri="{C183D7F6-B498-43B3-948B-1728B52AA6E4}">
                          <adec:decorative xmlns:adec="http://schemas.microsoft.com/office/drawing/2017/decorative" val="1"/>
                        </a:ext>
                      </a:extLst>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A2186F">
        <w:t xml:space="preserve"> will be disabled </w:t>
      </w:r>
      <w:r w:rsidR="00B814B4">
        <w:t>when</w:t>
      </w:r>
      <w:r w:rsidRPr="00A2186F">
        <w:t xml:space="preserve"> the icon is displayed</w:t>
      </w:r>
      <w:r w:rsidR="0014357E">
        <w:t>:</w:t>
      </w:r>
    </w:p>
    <w:p w14:paraId="5F544A0C" w14:textId="77777777" w:rsidR="0014357E" w:rsidRDefault="0014357E" w:rsidP="00BA3292">
      <w:pPr>
        <w:pStyle w:val="ListBullet"/>
        <w:numPr>
          <w:ilvl w:val="0"/>
          <w:numId w:val="76"/>
        </w:numPr>
      </w:pPr>
      <w:r w:rsidRPr="00A2186F">
        <w:t xml:space="preserve">within the </w:t>
      </w:r>
      <w:r w:rsidR="00102E3E" w:rsidRPr="004F7630">
        <w:t xml:space="preserve">patient </w:t>
      </w:r>
      <w:r w:rsidR="00102E3E">
        <w:t>search window</w:t>
      </w:r>
      <w:r w:rsidRPr="00A2186F">
        <w:t xml:space="preserve"> because special instructions and transfusion requirements are </w:t>
      </w:r>
      <w:r>
        <w:t>already displayed automatically within this option.</w:t>
      </w:r>
    </w:p>
    <w:p w14:paraId="48A62B18" w14:textId="77777777" w:rsidR="00D167B0" w:rsidRDefault="00D852DB" w:rsidP="00BA3292">
      <w:pPr>
        <w:pStyle w:val="ListBullet"/>
        <w:numPr>
          <w:ilvl w:val="0"/>
          <w:numId w:val="76"/>
        </w:numPr>
      </w:pPr>
      <w:r>
        <w:t>within this option</w:t>
      </w:r>
    </w:p>
    <w:p w14:paraId="3FA9A0B3" w14:textId="309FD135" w:rsidR="0083732D" w:rsidRDefault="0083732D" w:rsidP="00BA3292">
      <w:pPr>
        <w:pStyle w:val="ListBullet"/>
        <w:numPr>
          <w:ilvl w:val="0"/>
          <w:numId w:val="76"/>
        </w:numPr>
      </w:pPr>
      <w:r w:rsidRPr="00A2186F">
        <w:t>the selected patient does no</w:t>
      </w:r>
      <w:r>
        <w:t>t have SIs or TR</w:t>
      </w:r>
      <w:r w:rsidRPr="00A2186F">
        <w:t>s to display.</w:t>
      </w:r>
      <w:r w:rsidRPr="00812458">
        <w:rPr>
          <w:vanish/>
        </w:rPr>
        <w:t xml:space="preserve"> Task 606914</w:t>
      </w:r>
    </w:p>
    <w:p w14:paraId="6986D3E8" w14:textId="77777777" w:rsidR="002A21AE" w:rsidRDefault="002A21AE">
      <w:pPr>
        <w:pStyle w:val="Heading4"/>
      </w:pPr>
      <w:r>
        <w:t>Additional Information</w:t>
      </w:r>
      <w:r>
        <w:rPr>
          <w:i/>
        </w:rPr>
        <w:t xml:space="preserve"> </w:t>
      </w:r>
    </w:p>
    <w:p w14:paraId="747C6629" w14:textId="77777777" w:rsidR="002A21AE" w:rsidRDefault="002A21AE">
      <w:pPr>
        <w:pStyle w:val="ListBullet"/>
      </w:pPr>
      <w:r>
        <w:t>VBECS displays a patient’s known antibodies in all divisions in a multidivisional database. VBECS does not restrict viewing SI and TR entries by division; they are linked to the patient’s record and not to an order, a specimen, or a unit.</w:t>
      </w:r>
    </w:p>
    <w:p w14:paraId="63682EE6" w14:textId="77777777" w:rsidR="002A21AE" w:rsidRDefault="002A21AE" w:rsidP="00C602D5">
      <w:pPr>
        <w:pStyle w:val="ListBullet"/>
      </w:pPr>
      <w:r>
        <w:t>VBECS does not enforce SIs; VBECS enforces TRs and persistent antigen negative requirements throughout the database.</w:t>
      </w:r>
    </w:p>
    <w:p w14:paraId="2EDC1F13" w14:textId="77777777" w:rsidR="002A21AE" w:rsidRDefault="002A21AE">
      <w:pPr>
        <w:pStyle w:val="Heading4"/>
      </w:pPr>
      <w:r>
        <w:t>User Roles with Access to This Option</w:t>
      </w:r>
    </w:p>
    <w:p w14:paraId="4DA0D67F" w14:textId="77777777" w:rsidR="002A21AE" w:rsidRPr="00237C52" w:rsidRDefault="00237C52" w:rsidP="00237C52">
      <w:pPr>
        <w:pStyle w:val="Roles"/>
      </w:pPr>
      <w:r>
        <w:t xml:space="preserve">All users </w:t>
      </w:r>
    </w:p>
    <w:p w14:paraId="2E51A1A0" w14:textId="77777777" w:rsidR="002A21AE" w:rsidRDefault="002A21AE">
      <w:pPr>
        <w:pStyle w:val="Heading4"/>
      </w:pPr>
      <w:bookmarkStart w:id="161" w:name="_Toc90551769"/>
      <w:r>
        <w:t>View Special Instructions and Transfusion Requirements</w:t>
      </w:r>
      <w:bookmarkEnd w:id="161"/>
    </w:p>
    <w:p w14:paraId="0CB248A7" w14:textId="77777777" w:rsidR="002A21AE" w:rsidRDefault="002A21AE" w:rsidP="00FA7E65">
      <w:pPr>
        <w:pStyle w:val="BodyText"/>
      </w:pPr>
      <w:r>
        <w:t xml:space="preserve">The user views a patient record. When SIs and TRs are available for the patient, VBECS activates the Patient Information Toolbar icons. VBECS alerts the user when a patient’s record includes SIs and TRs. </w:t>
      </w:r>
    </w:p>
    <w:p w14:paraId="2E99D3C2" w14:textId="77777777" w:rsidR="002A21AE" w:rsidRDefault="00057948">
      <w:pPr>
        <w:pStyle w:val="Caution"/>
      </w:pPr>
      <w:r>
        <w:rPr>
          <w:noProof/>
        </w:rPr>
        <w:drawing>
          <wp:inline distT="0" distB="0" distL="0" distR="0" wp14:anchorId="42FB5AFC" wp14:editId="3A20D0B5">
            <wp:extent cx="267970" cy="221615"/>
            <wp:effectExtent l="0" t="0" r="0" b="6985"/>
            <wp:docPr id="101" name="Picture 1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43024">
        <w:t xml:space="preserve"> </w:t>
      </w:r>
      <w:r w:rsidR="002A21AE">
        <w:t xml:space="preserve">It is highly recommended that the user click every active icon when reviewing patient data.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F1E6765" w14:textId="77777777">
        <w:trPr>
          <w:tblHeader/>
        </w:trPr>
        <w:tc>
          <w:tcPr>
            <w:tcW w:w="3240" w:type="dxa"/>
            <w:shd w:val="pct30" w:color="auto" w:fill="FFFFFF"/>
            <w:vAlign w:val="bottom"/>
          </w:tcPr>
          <w:p w14:paraId="5E5D8FF1" w14:textId="77777777" w:rsidR="002A21AE" w:rsidRDefault="002A21AE">
            <w:pPr>
              <w:pStyle w:val="TableText"/>
              <w:rPr>
                <w:b/>
              </w:rPr>
            </w:pPr>
            <w:bookmarkStart w:id="162" w:name="_Toc90551770"/>
            <w:r>
              <w:rPr>
                <w:b/>
              </w:rPr>
              <w:t>User Action</w:t>
            </w:r>
          </w:p>
        </w:tc>
        <w:tc>
          <w:tcPr>
            <w:tcW w:w="6120" w:type="dxa"/>
            <w:shd w:val="pct30" w:color="auto" w:fill="FFFFFF"/>
            <w:vAlign w:val="bottom"/>
          </w:tcPr>
          <w:p w14:paraId="466801EB" w14:textId="77777777" w:rsidR="002A21AE" w:rsidRDefault="002A21AE">
            <w:pPr>
              <w:pStyle w:val="TableText"/>
              <w:rPr>
                <w:b/>
              </w:rPr>
            </w:pPr>
            <w:r>
              <w:rPr>
                <w:b/>
              </w:rPr>
              <w:t>VBECS</w:t>
            </w:r>
          </w:p>
        </w:tc>
      </w:tr>
      <w:tr w:rsidR="002A21AE" w14:paraId="13ACD7DC" w14:textId="77777777">
        <w:tc>
          <w:tcPr>
            <w:tcW w:w="3240" w:type="dxa"/>
          </w:tcPr>
          <w:p w14:paraId="6C714B0E" w14:textId="77777777" w:rsidR="002A21AE" w:rsidRDefault="002A21AE">
            <w:pPr>
              <w:pStyle w:val="TableTextNumbers"/>
            </w:pPr>
            <w:r>
              <w:t xml:space="preserve">Select </w:t>
            </w:r>
            <w:r>
              <w:rPr>
                <w:b/>
              </w:rPr>
              <w:t>Patients</w:t>
            </w:r>
            <w:r>
              <w:t xml:space="preserve"> from the main menu.</w:t>
            </w:r>
          </w:p>
          <w:p w14:paraId="51594F39" w14:textId="77777777" w:rsidR="002A21AE" w:rsidRDefault="002A21AE">
            <w:pPr>
              <w:pStyle w:val="TableTextNumbersContinued"/>
              <w:rPr>
                <w:b/>
                <w:bCs/>
              </w:rPr>
            </w:pPr>
          </w:p>
          <w:p w14:paraId="6A41105A" w14:textId="77777777" w:rsidR="002A21AE" w:rsidRDefault="002A21AE">
            <w:pPr>
              <w:pStyle w:val="TableTextNumbersContinued"/>
            </w:pPr>
            <w:r>
              <w:t xml:space="preserve">Select </w:t>
            </w:r>
            <w:r>
              <w:rPr>
                <w:b/>
              </w:rPr>
              <w:t>Special Instructions &amp; Transfusion Requirements</w:t>
            </w:r>
            <w:r>
              <w:t>, or</w:t>
            </w:r>
          </w:p>
          <w:p w14:paraId="5D1D33F2" w14:textId="77777777" w:rsidR="002A21AE" w:rsidRDefault="002A21AE">
            <w:pPr>
              <w:pStyle w:val="TableTextNumbersContinued"/>
            </w:pPr>
          </w:p>
          <w:p w14:paraId="445EB04B" w14:textId="77777777" w:rsidR="002A21AE" w:rsidRDefault="002A21AE">
            <w:pPr>
              <w:pStyle w:val="TableTextNumbersContinued"/>
            </w:pPr>
            <w:r>
              <w:t xml:space="preserve">Click </w:t>
            </w:r>
            <w:r w:rsidR="00057948">
              <w:rPr>
                <w:noProof/>
              </w:rPr>
              <w:drawing>
                <wp:inline distT="0" distB="0" distL="0" distR="0" wp14:anchorId="4FD48C69" wp14:editId="281B7894">
                  <wp:extent cx="156845" cy="156845"/>
                  <wp:effectExtent l="0" t="0" r="0" b="0"/>
                  <wp:docPr id="102" name="Picture 102"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it is active.</w:t>
            </w:r>
          </w:p>
        </w:tc>
        <w:tc>
          <w:tcPr>
            <w:tcW w:w="6120" w:type="dxa"/>
          </w:tcPr>
          <w:p w14:paraId="7F9DFDDE" w14:textId="77777777" w:rsidR="002A21AE" w:rsidRDefault="002A21AE">
            <w:pPr>
              <w:pStyle w:val="TableTextBullet"/>
            </w:pPr>
            <w:r>
              <w:lastRenderedPageBreak/>
              <w:t>Displays options for processing patient-related functions.</w:t>
            </w:r>
          </w:p>
          <w:p w14:paraId="6B211892" w14:textId="77777777" w:rsidR="002A21AE" w:rsidRDefault="002A21AE">
            <w:pPr>
              <w:pStyle w:val="TableTextBullet"/>
            </w:pPr>
            <w:r>
              <w:t xml:space="preserve">Displays the option to select a patient, when one is not already selected. </w:t>
            </w:r>
          </w:p>
          <w:p w14:paraId="6FB87AAB" w14:textId="77777777" w:rsidR="002A21AE" w:rsidRDefault="002A21AE">
            <w:pPr>
              <w:pStyle w:val="TableText"/>
              <w:rPr>
                <w:b/>
                <w:bCs/>
                <w:szCs w:val="18"/>
              </w:rPr>
            </w:pPr>
          </w:p>
          <w:p w14:paraId="1346E60A" w14:textId="4ADF6945" w:rsidR="002A21AE" w:rsidRDefault="002A21AE">
            <w:pPr>
              <w:pStyle w:val="TableText"/>
              <w:rPr>
                <w:b/>
                <w:bCs/>
                <w:szCs w:val="18"/>
              </w:rPr>
            </w:pPr>
            <w:r>
              <w:rPr>
                <w:b/>
                <w:bCs/>
                <w:szCs w:val="18"/>
              </w:rPr>
              <w:t>NOTES</w:t>
            </w:r>
          </w:p>
          <w:p w14:paraId="21F3C11C" w14:textId="77777777" w:rsidR="002A21AE" w:rsidRDefault="002A21AE">
            <w:pPr>
              <w:pStyle w:val="NotesText"/>
            </w:pPr>
          </w:p>
          <w:p w14:paraId="1F4420D9" w14:textId="77777777" w:rsidR="002A21AE" w:rsidRDefault="00D62E87">
            <w:pPr>
              <w:pStyle w:val="NotesText"/>
            </w:pPr>
            <w:r w:rsidRPr="00896F17">
              <w:rPr>
                <w:rStyle w:val="BullhornChar"/>
              </w:rPr>
              <w:t></w:t>
            </w:r>
            <w:r w:rsidRPr="00D62E87">
              <w:rPr>
                <w:rFonts w:ascii="Webdings" w:hAnsi="Webdings"/>
                <w:szCs w:val="22"/>
              </w:rPr>
              <w:t></w:t>
            </w:r>
            <w:r w:rsidR="002A21AE">
              <w:t>When a patient’s VBECS record includes an active TR, SI, or antigen negative requirement, VBECS emits an audible alert and notifies the user by enabling the icon.</w:t>
            </w:r>
          </w:p>
        </w:tc>
      </w:tr>
      <w:tr w:rsidR="002A21AE" w14:paraId="314BFCC5" w14:textId="77777777">
        <w:tc>
          <w:tcPr>
            <w:tcW w:w="3240" w:type="dxa"/>
          </w:tcPr>
          <w:p w14:paraId="68E1E125" w14:textId="77777777" w:rsidR="002A21AE" w:rsidRDefault="002A21AE">
            <w:pPr>
              <w:pStyle w:val="TableTextNumbers"/>
            </w:pPr>
            <w:r>
              <w:lastRenderedPageBreak/>
              <w:t xml:space="preserve">Select a patient and click </w:t>
            </w:r>
            <w:r>
              <w:rPr>
                <w:b/>
              </w:rPr>
              <w:t>OK</w:t>
            </w:r>
            <w:r>
              <w:t>.</w:t>
            </w:r>
          </w:p>
          <w:p w14:paraId="3C873A8F" w14:textId="77777777" w:rsidR="002A21AE" w:rsidRDefault="002A21AE">
            <w:pPr>
              <w:pStyle w:val="TableTextNumbersContinued"/>
              <w:rPr>
                <w:b/>
                <w:bCs/>
              </w:rPr>
            </w:pPr>
          </w:p>
          <w:p w14:paraId="2ADE4BEE" w14:textId="77777777" w:rsidR="002A21AE" w:rsidRDefault="002A21AE">
            <w:pPr>
              <w:pStyle w:val="TableTextNumbersContinued"/>
            </w:pPr>
            <w:r>
              <w:t xml:space="preserve">View the data. </w:t>
            </w:r>
          </w:p>
          <w:p w14:paraId="2D13A3FB" w14:textId="77777777" w:rsidR="002A21AE" w:rsidRDefault="002A21AE">
            <w:pPr>
              <w:pStyle w:val="TableTextNumbersContinued"/>
            </w:pPr>
          </w:p>
          <w:p w14:paraId="6586A8B3" w14:textId="77777777" w:rsidR="002A21AE" w:rsidRDefault="002A21AE">
            <w:pPr>
              <w:pStyle w:val="TableTextNumbersContinued"/>
            </w:pPr>
            <w:r>
              <w:t xml:space="preserve">Click </w:t>
            </w:r>
            <w:r>
              <w:rPr>
                <w:b/>
              </w:rPr>
              <w:t>OK</w:t>
            </w:r>
            <w:r>
              <w:t xml:space="preserve"> to continue.</w:t>
            </w:r>
          </w:p>
        </w:tc>
        <w:tc>
          <w:tcPr>
            <w:tcW w:w="6120" w:type="dxa"/>
          </w:tcPr>
          <w:p w14:paraId="7A02D708" w14:textId="77777777" w:rsidR="002A21AE" w:rsidRDefault="002A21AE">
            <w:pPr>
              <w:pStyle w:val="TableTextBullet"/>
            </w:pPr>
            <w:r>
              <w:t xml:space="preserve">Displays the data. </w:t>
            </w:r>
          </w:p>
          <w:p w14:paraId="5A003F59" w14:textId="77777777" w:rsidR="002A21AE" w:rsidRDefault="002A21AE">
            <w:pPr>
              <w:pStyle w:val="TableText"/>
            </w:pPr>
          </w:p>
          <w:p w14:paraId="568B1378" w14:textId="77D665F0" w:rsidR="002A21AE" w:rsidRDefault="002A21AE">
            <w:pPr>
              <w:pStyle w:val="TableText"/>
              <w:rPr>
                <w:b/>
                <w:bCs/>
                <w:szCs w:val="18"/>
              </w:rPr>
            </w:pPr>
            <w:r>
              <w:rPr>
                <w:b/>
                <w:bCs/>
                <w:szCs w:val="18"/>
              </w:rPr>
              <w:t>NOTES</w:t>
            </w:r>
          </w:p>
          <w:p w14:paraId="3076D024" w14:textId="77777777" w:rsidR="002A21AE" w:rsidRDefault="002A21AE">
            <w:pPr>
              <w:pStyle w:val="NotesText"/>
            </w:pPr>
          </w:p>
          <w:p w14:paraId="591BBDFB" w14:textId="77777777" w:rsidR="002A21AE" w:rsidRPr="008D574C" w:rsidRDefault="002A21AE">
            <w:pPr>
              <w:pStyle w:val="NotesText"/>
              <w:rPr>
                <w:rFonts w:cs="Arial"/>
                <w:szCs w:val="18"/>
              </w:rPr>
            </w:pPr>
            <w:r w:rsidRPr="008D574C">
              <w:rPr>
                <w:rFonts w:cs="Arial"/>
                <w:vanish/>
                <w:szCs w:val="18"/>
              </w:rPr>
              <w:t xml:space="preserve">BR_36.02 </w:t>
            </w:r>
            <w:r w:rsidR="0058054E">
              <w:rPr>
                <w:rFonts w:cs="Arial"/>
                <w:szCs w:val="18"/>
              </w:rPr>
              <w:t xml:space="preserve">VBECS displays active TRs to all divisions within a multidivisional database. </w:t>
            </w:r>
          </w:p>
          <w:p w14:paraId="18543C46" w14:textId="77777777" w:rsidR="002A21AE" w:rsidRPr="008D574C" w:rsidRDefault="002A21AE">
            <w:pPr>
              <w:pStyle w:val="NotesText"/>
              <w:rPr>
                <w:rFonts w:cs="Arial"/>
                <w:szCs w:val="18"/>
              </w:rPr>
            </w:pPr>
          </w:p>
          <w:p w14:paraId="72990718" w14:textId="77777777" w:rsidR="00201E35" w:rsidRPr="008D574C" w:rsidRDefault="00201E35">
            <w:pPr>
              <w:pStyle w:val="NotesText"/>
              <w:rPr>
                <w:rFonts w:cs="Arial"/>
                <w:szCs w:val="18"/>
              </w:rPr>
            </w:pPr>
            <w:r w:rsidRPr="008D574C">
              <w:rPr>
                <w:rFonts w:cs="Arial"/>
                <w:vanish/>
                <w:szCs w:val="18"/>
              </w:rPr>
              <w:t>BR_36.07</w:t>
            </w:r>
            <w:r w:rsidRPr="008D574C">
              <w:rPr>
                <w:rFonts w:cs="Arial"/>
                <w:szCs w:val="18"/>
              </w:rPr>
              <w:t xml:space="preserve"> VBECS alerts the user when an active TR, SI, or antigen negative requirement is in a patient’s record.</w:t>
            </w:r>
          </w:p>
          <w:p w14:paraId="73B2105D" w14:textId="77777777" w:rsidR="00201E35" w:rsidRPr="008D574C" w:rsidRDefault="00201E35">
            <w:pPr>
              <w:pStyle w:val="NotesText"/>
              <w:rPr>
                <w:rFonts w:cs="Arial"/>
                <w:szCs w:val="18"/>
              </w:rPr>
            </w:pPr>
          </w:p>
          <w:p w14:paraId="112AA850" w14:textId="77777777" w:rsidR="002A21AE" w:rsidRPr="008D574C" w:rsidRDefault="002A21AE">
            <w:pPr>
              <w:pStyle w:val="NotesText"/>
              <w:rPr>
                <w:rFonts w:cs="Arial"/>
                <w:szCs w:val="18"/>
              </w:rPr>
            </w:pPr>
            <w:r w:rsidRPr="008D574C">
              <w:rPr>
                <w:rFonts w:cs="Arial"/>
                <w:vanish/>
                <w:szCs w:val="18"/>
              </w:rPr>
              <w:t xml:space="preserve">BR_38.08 </w:t>
            </w:r>
            <w:r w:rsidRPr="008D574C">
              <w:rPr>
                <w:rFonts w:cs="Arial"/>
                <w:szCs w:val="18"/>
              </w:rPr>
              <w:t>VBECS displays component requirements to all divisions in a multidivisional database. No division allows issue until requirements are met.</w:t>
            </w:r>
          </w:p>
          <w:p w14:paraId="2C87C787" w14:textId="77777777" w:rsidR="002A21AE" w:rsidRPr="008D574C" w:rsidRDefault="002A21AE">
            <w:pPr>
              <w:pStyle w:val="NotesText"/>
              <w:rPr>
                <w:rFonts w:cs="Arial"/>
                <w:szCs w:val="18"/>
              </w:rPr>
            </w:pPr>
          </w:p>
          <w:p w14:paraId="6FFE3DF0" w14:textId="77777777" w:rsidR="002A21AE" w:rsidRDefault="002A21AE">
            <w:pPr>
              <w:pStyle w:val="NotesText"/>
            </w:pPr>
            <w:r w:rsidRPr="008D574C">
              <w:rPr>
                <w:rFonts w:cs="Arial"/>
                <w:vanish/>
                <w:szCs w:val="18"/>
              </w:rPr>
              <w:t>BR_36.05</w:t>
            </w:r>
            <w:r w:rsidR="00E274BF">
              <w:rPr>
                <w:rFonts w:cs="Arial"/>
                <w:vanish/>
                <w:szCs w:val="18"/>
              </w:rPr>
              <w:t>,</w:t>
            </w:r>
            <w:r w:rsidRPr="008D574C">
              <w:rPr>
                <w:rFonts w:cs="Arial"/>
                <w:vanish/>
                <w:szCs w:val="18"/>
              </w:rPr>
              <w:t xml:space="preserve"> BR_36.06</w:t>
            </w:r>
            <w:r w:rsidRPr="00E274BF">
              <w:rPr>
                <w:rFonts w:cs="Arial"/>
                <w:vanish/>
                <w:szCs w:val="18"/>
              </w:rPr>
              <w:t xml:space="preserve"> </w:t>
            </w:r>
            <w:r w:rsidRPr="008D574C">
              <w:rPr>
                <w:szCs w:val="18"/>
              </w:rPr>
              <w:t>When</w:t>
            </w:r>
            <w:r>
              <w:t xml:space="preserve"> VBECS displays the </w:t>
            </w:r>
            <w:r>
              <w:rPr>
                <w:rFonts w:cs="Arial"/>
                <w:snapToGrid w:val="0"/>
                <w:color w:val="000000"/>
              </w:rPr>
              <w:t>Patient Information Toolbar, it</w:t>
            </w:r>
            <w:r>
              <w:t xml:space="preserve"> calculates the overall compatibility percentage of units to be screened to find compatible units.</w:t>
            </w:r>
          </w:p>
          <w:p w14:paraId="079B0D5D" w14:textId="77777777" w:rsidR="007109BA" w:rsidRDefault="007109BA">
            <w:pPr>
              <w:pStyle w:val="NotesText"/>
            </w:pPr>
          </w:p>
          <w:p w14:paraId="625C4EEC" w14:textId="77777777" w:rsidR="007109BA" w:rsidRDefault="00115A2A">
            <w:pPr>
              <w:pStyle w:val="NotesText"/>
            </w:pPr>
            <w:r w:rsidRPr="00115A2A">
              <w:rPr>
                <w:vanish/>
              </w:rPr>
              <w:t>DR 4503</w:t>
            </w:r>
            <w:r>
              <w:rPr>
                <w:vanish/>
              </w:rPr>
              <w:t xml:space="preserve"> </w:t>
            </w:r>
            <w:r w:rsidR="007109BA">
              <w:t>The compatibility percentage displayed is based on the following calculation:</w:t>
            </w:r>
          </w:p>
          <w:p w14:paraId="0A4C9F09" w14:textId="77777777" w:rsidR="007109BA" w:rsidRDefault="007109BA">
            <w:pPr>
              <w:pStyle w:val="NotesText"/>
            </w:pPr>
          </w:p>
          <w:p w14:paraId="387DD3F1" w14:textId="77777777" w:rsidR="007109BA" w:rsidRDefault="007109BA">
            <w:pPr>
              <w:pStyle w:val="NotesText"/>
            </w:pPr>
            <w:r>
              <w:t>Type Specific ABO % x Antigen compatibility % as defined in Antibodies equals % compatible.</w:t>
            </w:r>
          </w:p>
          <w:p w14:paraId="4E389CD1" w14:textId="77777777" w:rsidR="007109BA" w:rsidRDefault="007109BA">
            <w:pPr>
              <w:pStyle w:val="NotesText"/>
            </w:pPr>
          </w:p>
          <w:p w14:paraId="6CE4D6B7" w14:textId="77777777" w:rsidR="007109BA" w:rsidRDefault="007109BA">
            <w:pPr>
              <w:pStyle w:val="NotesText"/>
            </w:pPr>
            <w:r>
              <w:t>For example, if a patient is A Positive and has both Anti-E (</w:t>
            </w:r>
            <w:r w:rsidR="00C242AA">
              <w:t>compatibility</w:t>
            </w:r>
            <w:r>
              <w:t xml:space="preserve"> percentage = 75%) and Anti-K (compatibility percentage = 91%) antigen negative requirements, the percentage of the population considered compatible for this patient would be .45 x .75 x .91 = .30 (rounded).</w:t>
            </w:r>
          </w:p>
          <w:p w14:paraId="220E0DB0" w14:textId="77777777" w:rsidR="007109BA" w:rsidRDefault="007109BA" w:rsidP="007109BA">
            <w:pPr>
              <w:pStyle w:val="NotesText"/>
            </w:pPr>
            <w:r>
              <w:t>Rh type of the patient is not used in the calculation when the patient does not have an Anti-D as Rh Pos or Rh Neg units may be screened.</w:t>
            </w:r>
          </w:p>
          <w:p w14:paraId="102FDF4C" w14:textId="77777777" w:rsidR="007109BA" w:rsidRDefault="007109BA" w:rsidP="007109BA">
            <w:pPr>
              <w:pStyle w:val="NotesText"/>
            </w:pPr>
          </w:p>
          <w:p w14:paraId="17962F98" w14:textId="77777777" w:rsidR="007109BA" w:rsidRDefault="007109BA" w:rsidP="007556BD">
            <w:pPr>
              <w:pStyle w:val="NotesText"/>
            </w:pPr>
            <w:r>
              <w:t>The blood type percentages in VBECS are as follows and are general percentages for the American population: A is 45%, B</w:t>
            </w:r>
            <w:r w:rsidR="007556BD">
              <w:t xml:space="preserve"> is 15%, AB is 6% and O is 45%.</w:t>
            </w:r>
          </w:p>
          <w:p w14:paraId="77AC8A8B" w14:textId="77777777" w:rsidR="007109BA" w:rsidRDefault="007109BA">
            <w:pPr>
              <w:pStyle w:val="NotesText"/>
            </w:pPr>
          </w:p>
        </w:tc>
      </w:tr>
      <w:tr w:rsidR="002A21AE" w14:paraId="6A134585" w14:textId="77777777">
        <w:tc>
          <w:tcPr>
            <w:tcW w:w="3240" w:type="dxa"/>
          </w:tcPr>
          <w:p w14:paraId="4B2CD839" w14:textId="77777777" w:rsidR="002A21AE" w:rsidRDefault="002A21AE">
            <w:pPr>
              <w:pStyle w:val="TableTextNumbers"/>
            </w:pPr>
            <w:r>
              <w:t>Select another patient and return to Step 2, if desired.</w:t>
            </w:r>
          </w:p>
        </w:tc>
        <w:tc>
          <w:tcPr>
            <w:tcW w:w="6120" w:type="dxa"/>
          </w:tcPr>
          <w:p w14:paraId="126FE790" w14:textId="77777777" w:rsidR="002A21AE" w:rsidRDefault="002A21AE">
            <w:pPr>
              <w:pStyle w:val="TableText"/>
            </w:pPr>
          </w:p>
        </w:tc>
      </w:tr>
      <w:tr w:rsidR="002A21AE" w14:paraId="753F5C3C" w14:textId="77777777">
        <w:tc>
          <w:tcPr>
            <w:tcW w:w="3240" w:type="dxa"/>
          </w:tcPr>
          <w:p w14:paraId="005EE0BA" w14:textId="77777777" w:rsidR="002A21AE" w:rsidRDefault="002A21AE">
            <w:pPr>
              <w:pStyle w:val="TableTextNumbers"/>
            </w:pPr>
            <w:r>
              <w:t xml:space="preserve">Click </w:t>
            </w:r>
            <w:r>
              <w:rPr>
                <w:b/>
              </w:rPr>
              <w:t>OK</w:t>
            </w:r>
            <w:r>
              <w:t xml:space="preserve"> to exit.</w:t>
            </w:r>
            <w:r w:rsidRPr="00B93B42">
              <w:rPr>
                <w:rStyle w:val="StyleTableTextNumbersWhite1Char"/>
              </w:rPr>
              <w:t xml:space="preserve"> </w:t>
            </w:r>
            <w:r w:rsidR="00816D1E" w:rsidRPr="00200B6D">
              <w:rPr>
                <w:rFonts w:cs="Arial"/>
                <w:vanish/>
                <w:szCs w:val="18"/>
              </w:rPr>
              <w:fldChar w:fldCharType="begin"/>
            </w:r>
            <w:r w:rsidR="00816D1E" w:rsidRPr="00200B6D">
              <w:rPr>
                <w:rFonts w:cs="Arial"/>
                <w:vanish/>
                <w:szCs w:val="18"/>
              </w:rPr>
              <w:instrText xml:space="preserve"> LISTNUM \l 1 \s 0 </w:instrText>
            </w:r>
            <w:r w:rsidR="00816D1E" w:rsidRPr="00200B6D">
              <w:rPr>
                <w:rFonts w:cs="Arial"/>
                <w:vanish/>
                <w:szCs w:val="18"/>
              </w:rPr>
              <w:fldChar w:fldCharType="end">
                <w:numberingChange w:id="163" w:author="Blalock, David (Leidos)" w:date="2020-06-15T14:09:00Z" w:original="0."/>
              </w:fldChar>
            </w:r>
          </w:p>
        </w:tc>
        <w:tc>
          <w:tcPr>
            <w:tcW w:w="6120" w:type="dxa"/>
          </w:tcPr>
          <w:p w14:paraId="52DFF824" w14:textId="77777777" w:rsidR="002A21AE" w:rsidRDefault="002A21AE">
            <w:pPr>
              <w:pStyle w:val="TableText"/>
            </w:pPr>
          </w:p>
        </w:tc>
      </w:tr>
      <w:bookmarkEnd w:id="162"/>
    </w:tbl>
    <w:p w14:paraId="1AC26C40" w14:textId="77777777" w:rsidR="003E1A45" w:rsidRDefault="003E1A45">
      <w:pPr>
        <w:pStyle w:val="Heading3"/>
      </w:pPr>
    </w:p>
    <w:p w14:paraId="2FBF8FDE" w14:textId="77777777" w:rsidR="002A21AE" w:rsidRDefault="003E1A45">
      <w:pPr>
        <w:pStyle w:val="Heading3"/>
      </w:pPr>
      <w:r>
        <w:br w:type="page"/>
      </w:r>
      <w:bookmarkStart w:id="164" w:name="_Toc47516684"/>
      <w:r w:rsidR="002A21AE">
        <w:lastRenderedPageBreak/>
        <w:t>View Recent Orders, Recent Transfusions/Issued Units, and Transfusion Reaction History</w:t>
      </w:r>
      <w:bookmarkEnd w:id="164"/>
    </w:p>
    <w:p w14:paraId="62FF0F76" w14:textId="77777777" w:rsidR="002A21AE" w:rsidRDefault="002A21AE" w:rsidP="00FA7E65">
      <w:pPr>
        <w:pStyle w:val="BodyText"/>
      </w:pPr>
      <w:r>
        <w:t>The user views portions of a patient’s data previously recorded in VBECS in three formats:</w:t>
      </w:r>
      <w:r w:rsidR="00573228">
        <w:t xml:space="preserve"> recent orders, recent transfusions/issued units, and transfusion reaction history.</w:t>
      </w:r>
    </w:p>
    <w:p w14:paraId="6E011D92" w14:textId="77777777" w:rsidR="002A21AE" w:rsidRDefault="002A21AE">
      <w:pPr>
        <w:pStyle w:val="Heading4"/>
      </w:pPr>
      <w:r>
        <w:t>Assumptions</w:t>
      </w:r>
    </w:p>
    <w:p w14:paraId="3BD865F9" w14:textId="77777777" w:rsidR="002A21AE" w:rsidRDefault="002A21AE" w:rsidP="00C00476">
      <w:pPr>
        <w:pStyle w:val="ListBullet"/>
        <w:rPr>
          <w:b/>
        </w:rPr>
      </w:pPr>
      <w:r>
        <w:t>A VBECS record must be established for a patient in this database in at least one division, if multidivisional.</w:t>
      </w:r>
    </w:p>
    <w:p w14:paraId="77CCC5B7" w14:textId="77777777" w:rsidR="002A21AE" w:rsidRDefault="002A21AE">
      <w:pPr>
        <w:pStyle w:val="Heading4"/>
      </w:pPr>
      <w:r>
        <w:t xml:space="preserve">Outcome </w:t>
      </w:r>
    </w:p>
    <w:p w14:paraId="05C9E988" w14:textId="77777777" w:rsidR="002A21AE" w:rsidRDefault="002A21AE" w:rsidP="00C00476">
      <w:pPr>
        <w:pStyle w:val="ListBullet"/>
      </w:pPr>
      <w:r>
        <w:t xml:space="preserve">The user </w:t>
      </w:r>
      <w:r w:rsidRPr="00C00476">
        <w:t>views</w:t>
      </w:r>
      <w:r>
        <w:t>:</w:t>
      </w:r>
    </w:p>
    <w:p w14:paraId="2E10B730" w14:textId="77777777" w:rsidR="002A21AE" w:rsidRDefault="002A21AE" w:rsidP="00716ED8">
      <w:pPr>
        <w:pStyle w:val="ListBullet2"/>
      </w:pPr>
      <w:r>
        <w:t>A patient’s active order data (recent orders).</w:t>
      </w:r>
    </w:p>
    <w:p w14:paraId="5250696E" w14:textId="77777777" w:rsidR="002A21AE" w:rsidRDefault="002A21AE" w:rsidP="00716ED8">
      <w:pPr>
        <w:pStyle w:val="ListBullet2"/>
      </w:pPr>
      <w:r>
        <w:t>A patient’s transfusions and currently issued units (recent transfusion history).</w:t>
      </w:r>
    </w:p>
    <w:p w14:paraId="71E97541" w14:textId="77777777" w:rsidR="002A21AE" w:rsidRDefault="002A21AE" w:rsidP="00716ED8">
      <w:pPr>
        <w:pStyle w:val="ListBullet2"/>
      </w:pPr>
      <w:r>
        <w:t>A snapshot of the patient’s VBECS clinical record (transfusion reaction history).</w:t>
      </w:r>
    </w:p>
    <w:p w14:paraId="244425B7" w14:textId="77777777" w:rsidR="002A21AE" w:rsidRDefault="002A21AE">
      <w:pPr>
        <w:pStyle w:val="Heading4"/>
      </w:pPr>
      <w:r>
        <w:t>Limitations and Restrictions</w:t>
      </w:r>
    </w:p>
    <w:p w14:paraId="6567B4EB" w14:textId="1EE73624" w:rsidR="002A21AE" w:rsidRDefault="006A4AFF" w:rsidP="00C00476">
      <w:pPr>
        <w:pStyle w:val="ListBullet"/>
      </w:pPr>
      <w:r>
        <w:t>Recent Orders is showing Order Status values like “Not Started” and “Filled”, which are actually Task Statuses.</w:t>
      </w:r>
      <w:r w:rsidR="00B7221D">
        <w:t xml:space="preserve"> </w:t>
      </w:r>
      <w:r w:rsidR="00B7221D" w:rsidRPr="00B7221D">
        <w:rPr>
          <w:vanish/>
        </w:rPr>
        <w:t>Defect 214974</w:t>
      </w:r>
    </w:p>
    <w:p w14:paraId="2714D461" w14:textId="1448AC26" w:rsidR="003209A5" w:rsidRDefault="003209A5" w:rsidP="00C00476">
      <w:pPr>
        <w:pStyle w:val="ListBullet"/>
      </w:pPr>
      <w:r>
        <w:t xml:space="preserve">Completed TRWs do not display on the Recent Orders screen. Completed TRWs can be found by searching in the Reports, Finalize/Print TRW option. </w:t>
      </w:r>
      <w:r w:rsidRPr="003209A5">
        <w:rPr>
          <w:vanish/>
        </w:rPr>
        <w:t>Defect 2</w:t>
      </w:r>
      <w:r w:rsidR="008C5F1E">
        <w:rPr>
          <w:vanish/>
        </w:rPr>
        <w:t>10171</w:t>
      </w:r>
    </w:p>
    <w:p w14:paraId="56949A99" w14:textId="77777777" w:rsidR="002A21AE" w:rsidRDefault="002A21AE">
      <w:pPr>
        <w:pStyle w:val="Heading4"/>
      </w:pPr>
      <w:r>
        <w:t>Additional Information</w:t>
      </w:r>
    </w:p>
    <w:p w14:paraId="1DFBC9C2" w14:textId="77777777" w:rsidR="002A21AE" w:rsidRDefault="002A21AE" w:rsidP="00C00476">
      <w:pPr>
        <w:pStyle w:val="ListBullet"/>
        <w:rPr>
          <w:b/>
        </w:rPr>
      </w:pPr>
      <w:r w:rsidRPr="00C00476">
        <w:t>None</w:t>
      </w:r>
    </w:p>
    <w:p w14:paraId="5F77D9B6" w14:textId="77777777" w:rsidR="002A21AE" w:rsidRDefault="002A21AE">
      <w:pPr>
        <w:pStyle w:val="Heading4"/>
        <w:rPr>
          <w:b w:val="0"/>
        </w:rPr>
      </w:pPr>
      <w:r>
        <w:t>User Roles with Access to This Option</w:t>
      </w:r>
      <w:r>
        <w:rPr>
          <w:b w:val="0"/>
        </w:rPr>
        <w:t xml:space="preserve"> </w:t>
      </w:r>
    </w:p>
    <w:p w14:paraId="13E80AD7" w14:textId="77777777" w:rsidR="002A21AE" w:rsidRDefault="00237C52">
      <w:pPr>
        <w:pStyle w:val="Roles"/>
      </w:pPr>
      <w:r>
        <w:t>All users</w:t>
      </w:r>
    </w:p>
    <w:p w14:paraId="47F486EA" w14:textId="77777777" w:rsidR="002A21AE" w:rsidRDefault="00057948">
      <w:pPr>
        <w:pStyle w:val="Heading3"/>
      </w:pPr>
      <w:bookmarkStart w:id="165" w:name="_Patient_Information_Toolbar:_Recent"/>
      <w:bookmarkStart w:id="166" w:name="_Toc47516685"/>
      <w:bookmarkEnd w:id="165"/>
      <w:r>
        <w:rPr>
          <w:noProof/>
        </w:rPr>
        <w:drawing>
          <wp:inline distT="0" distB="0" distL="0" distR="0" wp14:anchorId="7EE88B24" wp14:editId="3A2ED752">
            <wp:extent cx="156845" cy="156845"/>
            <wp:effectExtent l="0" t="0" r="0" b="0"/>
            <wp:docPr id="103" name="Picture 103" descr="small_recent_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mall_recent_ord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Recent Orders</w:t>
      </w:r>
      <w:bookmarkEnd w:id="166"/>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Recent Orders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0AE88A50" w14:textId="77777777" w:rsidR="002A21AE" w:rsidRDefault="002A21AE" w:rsidP="00FA7E65">
      <w:pPr>
        <w:pStyle w:val="BodyText"/>
      </w:pPr>
      <w:r>
        <w:t xml:space="preserve">The user views current (pending and active) order data (including reflex tests), which include clinical data from all divisions within a multidivisional database.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B27F880" w14:textId="77777777">
        <w:trPr>
          <w:tblHeader/>
        </w:trPr>
        <w:tc>
          <w:tcPr>
            <w:tcW w:w="3240" w:type="dxa"/>
            <w:shd w:val="clear" w:color="auto" w:fill="B3B3B3"/>
          </w:tcPr>
          <w:p w14:paraId="160EE799" w14:textId="77777777" w:rsidR="002A21AE" w:rsidRDefault="002A21AE">
            <w:pPr>
              <w:pStyle w:val="TableText"/>
              <w:rPr>
                <w:b/>
              </w:rPr>
            </w:pPr>
            <w:r>
              <w:rPr>
                <w:b/>
              </w:rPr>
              <w:t>User Action</w:t>
            </w:r>
          </w:p>
        </w:tc>
        <w:tc>
          <w:tcPr>
            <w:tcW w:w="6120" w:type="dxa"/>
            <w:shd w:val="clear" w:color="auto" w:fill="B3B3B3"/>
          </w:tcPr>
          <w:p w14:paraId="54D78577" w14:textId="77777777" w:rsidR="002A21AE" w:rsidRDefault="002A21AE">
            <w:pPr>
              <w:pStyle w:val="TableText"/>
              <w:rPr>
                <w:b/>
              </w:rPr>
            </w:pPr>
            <w:r>
              <w:rPr>
                <w:b/>
              </w:rPr>
              <w:t>VBECS</w:t>
            </w:r>
          </w:p>
        </w:tc>
      </w:tr>
      <w:tr w:rsidR="002A21AE" w14:paraId="562927DD" w14:textId="77777777">
        <w:tc>
          <w:tcPr>
            <w:tcW w:w="3240" w:type="dxa"/>
          </w:tcPr>
          <w:p w14:paraId="77753145" w14:textId="77777777" w:rsidR="002A21AE" w:rsidRDefault="002A21AE">
            <w:pPr>
              <w:pStyle w:val="TableTextNumbers"/>
            </w:pPr>
            <w:r>
              <w:t xml:space="preserve">In the Patient Information Toolbar, click </w:t>
            </w:r>
            <w:r w:rsidR="00057948">
              <w:rPr>
                <w:noProof/>
              </w:rPr>
              <w:drawing>
                <wp:inline distT="0" distB="0" distL="0" distR="0" wp14:anchorId="3207265A" wp14:editId="57572210">
                  <wp:extent cx="156845" cy="156845"/>
                  <wp:effectExtent l="0" t="0" r="0" b="0"/>
                  <wp:docPr id="104" name="Picture 104" descr="small_recent_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mall_recent_ord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patient’s recent orders. </w:t>
            </w:r>
          </w:p>
        </w:tc>
        <w:tc>
          <w:tcPr>
            <w:tcW w:w="6120" w:type="dxa"/>
          </w:tcPr>
          <w:p w14:paraId="65F01E1F" w14:textId="77777777" w:rsidR="002A21AE" w:rsidRDefault="002A21AE">
            <w:pPr>
              <w:pStyle w:val="TableTextBullet"/>
            </w:pPr>
            <w:r>
              <w:t>Allows the user to click an icon to view a patient’s recent orders.</w:t>
            </w:r>
          </w:p>
          <w:p w14:paraId="47C0876B" w14:textId="77777777" w:rsidR="002A21AE" w:rsidRDefault="002A21AE">
            <w:pPr>
              <w:pStyle w:val="TableText"/>
            </w:pPr>
          </w:p>
          <w:p w14:paraId="4017ECE3" w14:textId="77119B46" w:rsidR="002A21AE" w:rsidRDefault="002A21AE">
            <w:pPr>
              <w:pStyle w:val="TableText"/>
              <w:rPr>
                <w:b/>
                <w:bCs/>
                <w:szCs w:val="18"/>
              </w:rPr>
            </w:pPr>
            <w:r>
              <w:rPr>
                <w:b/>
                <w:bCs/>
                <w:szCs w:val="18"/>
              </w:rPr>
              <w:t>NOTES</w:t>
            </w:r>
          </w:p>
          <w:p w14:paraId="70E79235" w14:textId="77777777" w:rsidR="002A21AE" w:rsidRDefault="002A21AE">
            <w:pPr>
              <w:pStyle w:val="NotesText"/>
            </w:pPr>
          </w:p>
          <w:p w14:paraId="7EE101F9" w14:textId="77777777" w:rsidR="002A21AE" w:rsidRDefault="002A21AE">
            <w:pPr>
              <w:pStyle w:val="NotesText"/>
              <w:rPr>
                <w:snapToGrid w:val="0"/>
              </w:rPr>
            </w:pPr>
            <w:r w:rsidRPr="00E274BF">
              <w:rPr>
                <w:rFonts w:cs="Arial"/>
                <w:vanish/>
                <w:szCs w:val="18"/>
              </w:rPr>
              <w:t>BR_65.08</w:t>
            </w:r>
            <w:r w:rsidRPr="009660C3">
              <w:rPr>
                <w:vanish/>
                <w:szCs w:val="18"/>
              </w:rPr>
              <w:t xml:space="preserve"> </w:t>
            </w:r>
            <w:r>
              <w:t xml:space="preserve">When the user selects </w:t>
            </w:r>
            <w:r w:rsidR="00057948">
              <w:rPr>
                <w:noProof/>
              </w:rPr>
              <w:drawing>
                <wp:inline distT="0" distB="0" distL="0" distR="0" wp14:anchorId="3B80A396" wp14:editId="51107E71">
                  <wp:extent cx="156845" cy="156845"/>
                  <wp:effectExtent l="0" t="0" r="0" b="0"/>
                  <wp:docPr id="105" name="Picture 105" descr="small_recent_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mall_recent_ord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Pr>
                <w:snapToGrid w:val="0"/>
              </w:rPr>
              <w:t>, VBECS displays all orders associated with the selected patient, including open orders and orders placed and processed within the last 14 days.</w:t>
            </w:r>
          </w:p>
          <w:p w14:paraId="19159E14" w14:textId="77777777" w:rsidR="00173A2B" w:rsidRDefault="00173A2B">
            <w:pPr>
              <w:pStyle w:val="NotesText"/>
              <w:rPr>
                <w:snapToGrid w:val="0"/>
              </w:rPr>
            </w:pPr>
          </w:p>
          <w:p w14:paraId="6D5E190A" w14:textId="77777777" w:rsidR="001970AB" w:rsidRDefault="00D806A1" w:rsidP="00173A2B">
            <w:pPr>
              <w:pStyle w:val="NotesText"/>
            </w:pPr>
            <w:r>
              <w:t>Diagnostic Test</w:t>
            </w:r>
            <w:r w:rsidR="00173A2B">
              <w:t xml:space="preserve"> orders sort and display by the date the order was placed in CPRS. Component orders sort and display by the date the order was accepted in VBECS.</w:t>
            </w:r>
          </w:p>
          <w:p w14:paraId="4DF3822D" w14:textId="77777777" w:rsidR="001970AB" w:rsidRDefault="001970AB" w:rsidP="00173A2B">
            <w:pPr>
              <w:pStyle w:val="NotesText"/>
            </w:pPr>
          </w:p>
          <w:p w14:paraId="11D5E7C5" w14:textId="0B42570F" w:rsidR="00173A2B" w:rsidRPr="00522BC8" w:rsidRDefault="001970AB" w:rsidP="001970AB">
            <w:pPr>
              <w:pStyle w:val="NotesText"/>
              <w:rPr>
                <w:vanish/>
              </w:rPr>
            </w:pPr>
            <w:r>
              <w:t>Orders with a status of Cance</w:t>
            </w:r>
            <w:r w:rsidR="002F7E19">
              <w:t>l</w:t>
            </w:r>
            <w:r>
              <w:t xml:space="preserve">led, Completed, Expired or Filled are not displayed in this view. See Order History Report. </w:t>
            </w:r>
            <w:r w:rsidRPr="004F0095">
              <w:rPr>
                <w:vanish/>
              </w:rPr>
              <w:t>DR 2218</w:t>
            </w:r>
            <w:r w:rsidR="00522BC8">
              <w:rPr>
                <w:vanish/>
              </w:rPr>
              <w:t xml:space="preserve"> DR 3727</w:t>
            </w:r>
          </w:p>
        </w:tc>
      </w:tr>
      <w:tr w:rsidR="002A21AE" w14:paraId="0A688229" w14:textId="77777777">
        <w:tc>
          <w:tcPr>
            <w:tcW w:w="3240" w:type="dxa"/>
          </w:tcPr>
          <w:p w14:paraId="03EB2514" w14:textId="77777777" w:rsidR="002A21AE" w:rsidRDefault="002A21AE">
            <w:pPr>
              <w:pStyle w:val="TableTextNumbers"/>
            </w:pPr>
            <w:r>
              <w:lastRenderedPageBreak/>
              <w:t xml:space="preserve">View the data and click </w:t>
            </w:r>
            <w:r>
              <w:rPr>
                <w:b/>
              </w:rPr>
              <w:t>Close</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67" w:author="Blalock, David (Leidos)" w:date="2020-06-15T14:09:00Z" w:original="0."/>
              </w:fldChar>
            </w:r>
          </w:p>
        </w:tc>
        <w:tc>
          <w:tcPr>
            <w:tcW w:w="6120" w:type="dxa"/>
          </w:tcPr>
          <w:p w14:paraId="6EFA10EF" w14:textId="77777777" w:rsidR="002A21AE" w:rsidRDefault="002A21AE">
            <w:pPr>
              <w:pStyle w:val="TableText"/>
            </w:pPr>
          </w:p>
        </w:tc>
      </w:tr>
    </w:tbl>
    <w:p w14:paraId="0EC69B4A" w14:textId="77777777" w:rsidR="002A21AE" w:rsidRDefault="003E1A45">
      <w:pPr>
        <w:pStyle w:val="Heading3"/>
      </w:pPr>
      <w:bookmarkStart w:id="168" w:name="_Patient_Information_Toolbar:_Recent_1"/>
      <w:bookmarkEnd w:id="168"/>
      <w:r>
        <w:br w:type="page"/>
      </w:r>
      <w:bookmarkStart w:id="169" w:name="_Toc47516686"/>
      <w:r w:rsidR="00057948">
        <w:rPr>
          <w:noProof/>
        </w:rPr>
        <w:lastRenderedPageBreak/>
        <w:drawing>
          <wp:inline distT="0" distB="0" distL="0" distR="0" wp14:anchorId="00CFA3CD" wp14:editId="38CB8E6B">
            <wp:extent cx="156845" cy="156845"/>
            <wp:effectExtent l="0" t="0" r="0" b="0"/>
            <wp:docPr id="106" name="Picture 106" descr="small_transfusion_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mall_transfusion_histo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Recent Transfusions/Issued Units</w:t>
      </w:r>
      <w:bookmarkEnd w:id="169"/>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Recent Transfusions/Issues Units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74402F16" w14:textId="77777777" w:rsidR="002A21AE" w:rsidRDefault="002A21AE" w:rsidP="00FA7E65">
      <w:pPr>
        <w:pStyle w:val="BodyText"/>
      </w:pPr>
      <w:r>
        <w:t xml:space="preserve">The user views transfused and currently issued units for a patient.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2847534" w14:textId="77777777">
        <w:trPr>
          <w:tblHeader/>
        </w:trPr>
        <w:tc>
          <w:tcPr>
            <w:tcW w:w="3240" w:type="dxa"/>
            <w:shd w:val="clear" w:color="auto" w:fill="B3B3B3"/>
          </w:tcPr>
          <w:p w14:paraId="5D5B4A96" w14:textId="77777777" w:rsidR="002A21AE" w:rsidRDefault="002A21AE">
            <w:pPr>
              <w:pStyle w:val="TableText"/>
              <w:rPr>
                <w:b/>
              </w:rPr>
            </w:pPr>
            <w:r>
              <w:rPr>
                <w:b/>
              </w:rPr>
              <w:t>User Action</w:t>
            </w:r>
          </w:p>
        </w:tc>
        <w:tc>
          <w:tcPr>
            <w:tcW w:w="6120" w:type="dxa"/>
            <w:shd w:val="clear" w:color="auto" w:fill="B3B3B3"/>
          </w:tcPr>
          <w:p w14:paraId="12495667" w14:textId="77777777" w:rsidR="002A21AE" w:rsidRDefault="002A21AE">
            <w:pPr>
              <w:pStyle w:val="TableText"/>
              <w:rPr>
                <w:b/>
              </w:rPr>
            </w:pPr>
            <w:r>
              <w:rPr>
                <w:b/>
              </w:rPr>
              <w:t>VBECS</w:t>
            </w:r>
          </w:p>
        </w:tc>
      </w:tr>
      <w:tr w:rsidR="002A21AE" w14:paraId="1DCAD95B" w14:textId="77777777">
        <w:tc>
          <w:tcPr>
            <w:tcW w:w="3240" w:type="dxa"/>
          </w:tcPr>
          <w:p w14:paraId="4E90FFD1" w14:textId="77777777" w:rsidR="002A21AE" w:rsidRDefault="002A21AE">
            <w:pPr>
              <w:pStyle w:val="TableTextNumbers"/>
            </w:pPr>
            <w:r>
              <w:t>In the Patient Information Toolbar,</w:t>
            </w:r>
            <w:r w:rsidR="00716ED8">
              <w:t xml:space="preserve"> click</w:t>
            </w:r>
            <w:r>
              <w:t xml:space="preserve"> </w:t>
            </w:r>
            <w:r w:rsidR="00057948">
              <w:rPr>
                <w:noProof/>
              </w:rPr>
              <w:drawing>
                <wp:inline distT="0" distB="0" distL="0" distR="0" wp14:anchorId="74237962" wp14:editId="0FF49A18">
                  <wp:extent cx="156845" cy="156845"/>
                  <wp:effectExtent l="0" t="0" r="0" b="0"/>
                  <wp:docPr id="107" name="Picture 107" descr="small_transfusion_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mall_transfusion_histo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recent transfusion history. </w:t>
            </w:r>
          </w:p>
        </w:tc>
        <w:tc>
          <w:tcPr>
            <w:tcW w:w="6120" w:type="dxa"/>
          </w:tcPr>
          <w:p w14:paraId="2BB2CA0C" w14:textId="77777777" w:rsidR="002A21AE" w:rsidRDefault="002A21AE">
            <w:pPr>
              <w:pStyle w:val="TableTextBullet"/>
            </w:pPr>
            <w:r>
              <w:t>Allows the user to click an icon to view a patient’s</w:t>
            </w:r>
            <w:r>
              <w:rPr>
                <w:snapToGrid w:val="0"/>
              </w:rPr>
              <w:t xml:space="preserve"> recent transfusion history.</w:t>
            </w:r>
          </w:p>
          <w:p w14:paraId="04FDEF07" w14:textId="77777777" w:rsidR="002A21AE" w:rsidRDefault="002A21AE">
            <w:pPr>
              <w:pStyle w:val="TableText"/>
            </w:pPr>
          </w:p>
          <w:p w14:paraId="1CC789A8" w14:textId="797ECCA1" w:rsidR="002A21AE" w:rsidRDefault="002A21AE">
            <w:pPr>
              <w:pStyle w:val="TableText"/>
              <w:rPr>
                <w:b/>
                <w:bCs/>
                <w:szCs w:val="18"/>
              </w:rPr>
            </w:pPr>
            <w:r>
              <w:rPr>
                <w:b/>
                <w:bCs/>
                <w:szCs w:val="18"/>
              </w:rPr>
              <w:t>NOTES</w:t>
            </w:r>
          </w:p>
          <w:p w14:paraId="2DF8A8A8" w14:textId="77777777" w:rsidR="002A21AE" w:rsidRDefault="002A21AE">
            <w:pPr>
              <w:pStyle w:val="NotesText"/>
            </w:pPr>
          </w:p>
          <w:p w14:paraId="376AF878" w14:textId="77777777" w:rsidR="00A8302F" w:rsidRPr="00522BC8" w:rsidRDefault="002A21AE" w:rsidP="000A3D20">
            <w:pPr>
              <w:pStyle w:val="NotesText"/>
              <w:rPr>
                <w:szCs w:val="18"/>
              </w:rPr>
            </w:pPr>
            <w:r w:rsidRPr="00E274BF">
              <w:rPr>
                <w:rFonts w:cs="Arial"/>
                <w:vanish/>
                <w:szCs w:val="18"/>
              </w:rPr>
              <w:t>BR_65.07</w:t>
            </w:r>
            <w:r w:rsidR="00E274BF" w:rsidRPr="00E274BF">
              <w:rPr>
                <w:rFonts w:cs="Arial"/>
                <w:vanish/>
                <w:szCs w:val="18"/>
              </w:rPr>
              <w:t>,</w:t>
            </w:r>
            <w:r w:rsidRPr="00E274BF">
              <w:rPr>
                <w:rFonts w:cs="Arial"/>
                <w:vanish/>
                <w:szCs w:val="18"/>
              </w:rPr>
              <w:t xml:space="preserve"> BR_65.09</w:t>
            </w:r>
            <w:r w:rsidRPr="009660C3">
              <w:rPr>
                <w:vanish/>
                <w:szCs w:val="18"/>
              </w:rPr>
              <w:t xml:space="preserve"> </w:t>
            </w:r>
            <w:r>
              <w:t xml:space="preserve">When the user selects </w:t>
            </w:r>
            <w:r w:rsidR="00057948">
              <w:rPr>
                <w:noProof/>
              </w:rPr>
              <w:drawing>
                <wp:inline distT="0" distB="0" distL="0" distR="0" wp14:anchorId="6CDE96A0" wp14:editId="32456F1D">
                  <wp:extent cx="156845" cy="156845"/>
                  <wp:effectExtent l="0" t="0" r="0" b="0"/>
                  <wp:docPr id="108" name="Picture 108" descr="small_transfusion_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mall_transfusion_histo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w:t>
            </w:r>
            <w:r w:rsidRPr="00A8302F">
              <w:rPr>
                <w:rStyle w:val="CommentReference"/>
                <w:sz w:val="18"/>
                <w:szCs w:val="18"/>
              </w:rPr>
              <w:t>VBECS displays blood units issued and transfused within the last seven days in reverse chronological order</w:t>
            </w:r>
            <w:r w:rsidR="000A3D20">
              <w:rPr>
                <w:rStyle w:val="CommentReference"/>
                <w:sz w:val="18"/>
                <w:szCs w:val="18"/>
              </w:rPr>
              <w:t>. The date and time issued or the location issued to does not display.</w:t>
            </w:r>
            <w:r w:rsidR="00522BC8">
              <w:rPr>
                <w:rStyle w:val="CommentReference"/>
                <w:vanish/>
                <w:sz w:val="18"/>
                <w:szCs w:val="18"/>
              </w:rPr>
              <w:t>DR 3666</w:t>
            </w:r>
          </w:p>
        </w:tc>
      </w:tr>
      <w:tr w:rsidR="002A21AE" w14:paraId="673BA06D" w14:textId="77777777">
        <w:tc>
          <w:tcPr>
            <w:tcW w:w="3240" w:type="dxa"/>
          </w:tcPr>
          <w:p w14:paraId="0A012FA9" w14:textId="77777777" w:rsidR="002A21AE" w:rsidRDefault="002A21AE">
            <w:pPr>
              <w:pStyle w:val="TableTextNumbers"/>
            </w:pPr>
            <w:r>
              <w:t xml:space="preserve">View the data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70" w:author="Blalock, David (Leidos)" w:date="2020-06-15T14:09:00Z" w:original="0."/>
              </w:fldChar>
            </w:r>
          </w:p>
        </w:tc>
        <w:tc>
          <w:tcPr>
            <w:tcW w:w="6120" w:type="dxa"/>
          </w:tcPr>
          <w:p w14:paraId="6A8E1154" w14:textId="77777777" w:rsidR="002A21AE" w:rsidRDefault="002A21AE">
            <w:pPr>
              <w:pStyle w:val="TableText"/>
            </w:pPr>
          </w:p>
        </w:tc>
      </w:tr>
    </w:tbl>
    <w:p w14:paraId="7586586D" w14:textId="77777777" w:rsidR="002A21AE" w:rsidRDefault="00057948">
      <w:pPr>
        <w:pStyle w:val="Heading3"/>
      </w:pPr>
      <w:bookmarkStart w:id="171" w:name="_Patient_Information_Toolbar:_Transf"/>
      <w:bookmarkStart w:id="172" w:name="_Toc47516687"/>
      <w:bookmarkEnd w:id="171"/>
      <w:r>
        <w:rPr>
          <w:noProof/>
        </w:rPr>
        <w:drawing>
          <wp:inline distT="0" distB="0" distL="0" distR="0" wp14:anchorId="2CC47019" wp14:editId="070D2A47">
            <wp:extent cx="156845" cy="156845"/>
            <wp:effectExtent l="0" t="0" r="0" b="0"/>
            <wp:docPr id="109" name="Picture 109" descr="small_transfusion_re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small_transfusion_reac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Transfusion Reaction History</w:t>
      </w:r>
      <w:bookmarkEnd w:id="172"/>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Transfusion Reaction History</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3DFB3DD7" w14:textId="77777777" w:rsidR="002A21AE" w:rsidRDefault="002A21AE" w:rsidP="00FA7E65">
      <w:pPr>
        <w:pStyle w:val="BodyText"/>
      </w:pPr>
      <w:r>
        <w:t>The user views a snapshot of the patient’s transfusion reaction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AE30132" w14:textId="77777777">
        <w:trPr>
          <w:tblHeader/>
        </w:trPr>
        <w:tc>
          <w:tcPr>
            <w:tcW w:w="3240" w:type="dxa"/>
            <w:shd w:val="clear" w:color="auto" w:fill="B3B3B3"/>
          </w:tcPr>
          <w:p w14:paraId="6A803ED7" w14:textId="77777777" w:rsidR="002A21AE" w:rsidRDefault="002A21AE">
            <w:pPr>
              <w:pStyle w:val="TableText"/>
              <w:rPr>
                <w:b/>
              </w:rPr>
            </w:pPr>
            <w:r>
              <w:rPr>
                <w:b/>
              </w:rPr>
              <w:t>User Action</w:t>
            </w:r>
          </w:p>
        </w:tc>
        <w:tc>
          <w:tcPr>
            <w:tcW w:w="6120" w:type="dxa"/>
            <w:shd w:val="clear" w:color="auto" w:fill="B3B3B3"/>
          </w:tcPr>
          <w:p w14:paraId="54F7A0DC" w14:textId="77777777" w:rsidR="002A21AE" w:rsidRDefault="002A21AE">
            <w:pPr>
              <w:pStyle w:val="TableText"/>
              <w:rPr>
                <w:b/>
              </w:rPr>
            </w:pPr>
            <w:r>
              <w:rPr>
                <w:b/>
              </w:rPr>
              <w:t>VBECS</w:t>
            </w:r>
          </w:p>
        </w:tc>
      </w:tr>
      <w:tr w:rsidR="002A21AE" w14:paraId="3A465590" w14:textId="77777777">
        <w:tc>
          <w:tcPr>
            <w:tcW w:w="3240" w:type="dxa"/>
          </w:tcPr>
          <w:p w14:paraId="31B1BCDF" w14:textId="77777777" w:rsidR="002A21AE" w:rsidRDefault="002A21AE">
            <w:pPr>
              <w:pStyle w:val="TableTextNumbers"/>
            </w:pPr>
            <w:r>
              <w:t xml:space="preserve">In the Patient Information Toolbar, click </w:t>
            </w:r>
            <w:r w:rsidR="00057948">
              <w:rPr>
                <w:noProof/>
              </w:rPr>
              <w:drawing>
                <wp:inline distT="0" distB="0" distL="0" distR="0" wp14:anchorId="1F1BAC4E" wp14:editId="03ADDCE5">
                  <wp:extent cx="156845" cy="156845"/>
                  <wp:effectExtent l="0" t="0" r="0" b="0"/>
                  <wp:docPr id="110" name="Picture 110" descr="small_transfusion_re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small_transfusion_reac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transfusion reaction history. </w:t>
            </w:r>
          </w:p>
        </w:tc>
        <w:tc>
          <w:tcPr>
            <w:tcW w:w="6120" w:type="dxa"/>
          </w:tcPr>
          <w:p w14:paraId="0AA78B76" w14:textId="77777777" w:rsidR="002A21AE" w:rsidRDefault="002A21AE">
            <w:pPr>
              <w:pStyle w:val="TableTextBullet"/>
            </w:pPr>
            <w:r>
              <w:t>Allows the user to click an icon to view a patient’s t</w:t>
            </w:r>
            <w:r>
              <w:rPr>
                <w:snapToGrid w:val="0"/>
              </w:rPr>
              <w:t>ransfusion reaction history.</w:t>
            </w:r>
          </w:p>
          <w:p w14:paraId="589DD62D" w14:textId="77777777" w:rsidR="002A21AE" w:rsidRDefault="002A21AE">
            <w:pPr>
              <w:pStyle w:val="TableText"/>
            </w:pPr>
          </w:p>
          <w:p w14:paraId="3A2E71E9" w14:textId="107D349A" w:rsidR="002A21AE" w:rsidRDefault="002A21AE">
            <w:pPr>
              <w:pStyle w:val="TableText"/>
              <w:rPr>
                <w:b/>
                <w:bCs/>
                <w:szCs w:val="18"/>
              </w:rPr>
            </w:pPr>
            <w:r>
              <w:rPr>
                <w:b/>
                <w:bCs/>
                <w:szCs w:val="18"/>
              </w:rPr>
              <w:t>NOTES</w:t>
            </w:r>
          </w:p>
          <w:p w14:paraId="22D4D143" w14:textId="77777777" w:rsidR="002A21AE" w:rsidRDefault="002A21AE">
            <w:pPr>
              <w:pStyle w:val="NotesText"/>
            </w:pPr>
          </w:p>
          <w:p w14:paraId="596CB41B" w14:textId="43F8DDA1" w:rsidR="002A21AE" w:rsidRDefault="002A21AE">
            <w:pPr>
              <w:pStyle w:val="NotesText"/>
            </w:pPr>
            <w:r w:rsidRPr="00E274BF">
              <w:rPr>
                <w:rFonts w:cs="Arial"/>
                <w:vanish/>
                <w:szCs w:val="18"/>
              </w:rPr>
              <w:t>BR_65.03</w:t>
            </w:r>
            <w:r w:rsidR="00E274BF" w:rsidRPr="00E274BF">
              <w:rPr>
                <w:rFonts w:cs="Arial"/>
                <w:vanish/>
                <w:szCs w:val="18"/>
              </w:rPr>
              <w:t>,</w:t>
            </w:r>
            <w:r w:rsidRPr="00E274BF">
              <w:rPr>
                <w:rFonts w:cs="Arial"/>
                <w:vanish/>
                <w:szCs w:val="18"/>
              </w:rPr>
              <w:t xml:space="preserve"> BR_65.05</w:t>
            </w:r>
            <w:r w:rsidRPr="009660C3">
              <w:rPr>
                <w:vanish/>
                <w:szCs w:val="18"/>
              </w:rPr>
              <w:t xml:space="preserve"> </w:t>
            </w:r>
            <w:r>
              <w:t xml:space="preserve">When the user selects </w:t>
            </w:r>
            <w:r w:rsidR="00057948">
              <w:rPr>
                <w:noProof/>
              </w:rPr>
              <w:drawing>
                <wp:inline distT="0" distB="0" distL="0" distR="0" wp14:anchorId="773CE2C0" wp14:editId="75D3E81E">
                  <wp:extent cx="156845" cy="156845"/>
                  <wp:effectExtent l="0" t="0" r="0" b="0"/>
                  <wp:docPr id="111" name="Picture 111" descr="small_transfusion_re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mall_transfusion_reac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VBECS displays all</w:t>
            </w:r>
            <w:r w:rsidR="00DE6AA7">
              <w:t xml:space="preserve"> finalized</w:t>
            </w:r>
            <w:r>
              <w:t xml:space="preserve"> transfusion reaction entries in the database.</w:t>
            </w:r>
            <w:r w:rsidR="00AB4BD9">
              <w:t xml:space="preserve"> </w:t>
            </w:r>
            <w:r w:rsidR="00AB4BD9" w:rsidRPr="00AB4BD9">
              <w:rPr>
                <w:vanish/>
              </w:rPr>
              <w:t>Defect 208590</w:t>
            </w:r>
          </w:p>
        </w:tc>
      </w:tr>
      <w:tr w:rsidR="002A21AE" w14:paraId="6B4E2C14" w14:textId="77777777">
        <w:tc>
          <w:tcPr>
            <w:tcW w:w="3240" w:type="dxa"/>
          </w:tcPr>
          <w:p w14:paraId="374D426A" w14:textId="77777777" w:rsidR="002A21AE" w:rsidRDefault="002A21AE">
            <w:pPr>
              <w:pStyle w:val="TableTextNumbers"/>
            </w:pPr>
            <w:r>
              <w:t xml:space="preserve">View the data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73" w:author="Blalock, David (Leidos)" w:date="2020-06-15T14:09:00Z" w:original="0."/>
              </w:fldChar>
            </w:r>
          </w:p>
        </w:tc>
        <w:tc>
          <w:tcPr>
            <w:tcW w:w="6120" w:type="dxa"/>
          </w:tcPr>
          <w:p w14:paraId="29F9B2D4" w14:textId="77777777" w:rsidR="002A21AE" w:rsidRDefault="002A21AE">
            <w:pPr>
              <w:pStyle w:val="TableText"/>
            </w:pPr>
          </w:p>
        </w:tc>
      </w:tr>
    </w:tbl>
    <w:p w14:paraId="30FDFCE5" w14:textId="77777777" w:rsidR="00AF089A" w:rsidRDefault="00AF089A">
      <w:pPr>
        <w:pStyle w:val="Heading4"/>
      </w:pPr>
    </w:p>
    <w:p w14:paraId="1ADB99F6" w14:textId="77777777" w:rsidR="002A21AE" w:rsidRDefault="00AF089A">
      <w:pPr>
        <w:pStyle w:val="Heading4"/>
      </w:pPr>
      <w:r>
        <w:br w:type="page"/>
      </w:r>
      <w:r w:rsidR="002A21AE">
        <w:lastRenderedPageBreak/>
        <w:t>Main Status Bar</w:t>
      </w:r>
      <w:r w:rsidR="002A21AE">
        <w:fldChar w:fldCharType="begin"/>
      </w:r>
      <w:r w:rsidR="002A21AE">
        <w:instrText xml:space="preserve"> XE </w:instrText>
      </w:r>
      <w:r w:rsidR="00FA7E65">
        <w:instrText>“</w:instrText>
      </w:r>
      <w:r w:rsidR="002A21AE">
        <w:instrText>Main Status Bar</w:instrText>
      </w:r>
      <w:r w:rsidR="00FA7E65">
        <w:instrText>”</w:instrText>
      </w:r>
      <w:r w:rsidR="002A21AE">
        <w:instrText xml:space="preserve"> </w:instrText>
      </w:r>
      <w:r w:rsidR="002A21AE">
        <w:fldChar w:fldCharType="end"/>
      </w:r>
    </w:p>
    <w:p w14:paraId="75AE31C1" w14:textId="77777777" w:rsidR="002A21AE" w:rsidRDefault="002A21AE" w:rsidP="00FA7E65">
      <w:pPr>
        <w:pStyle w:val="BodyText"/>
      </w:pPr>
      <w:r>
        <w:t>The following icons are displayed in the main status bar:</w:t>
      </w:r>
    </w:p>
    <w:p w14:paraId="36B7AC94" w14:textId="77777777" w:rsidR="002A21AE" w:rsidRDefault="00057948">
      <w:pPr>
        <w:pStyle w:val="BodyText"/>
        <w:ind w:left="360" w:hanging="360"/>
      </w:pPr>
      <w:r>
        <w:rPr>
          <w:noProof/>
        </w:rPr>
        <w:drawing>
          <wp:inline distT="0" distB="0" distL="0" distR="0" wp14:anchorId="5D7CB737" wp14:editId="148D9D9D">
            <wp:extent cx="156845" cy="156845"/>
            <wp:effectExtent l="0" t="0" r="0" b="0"/>
            <wp:docPr id="112" name="Picture 112" descr="small_order_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mall_order_alert"/>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The Order Alert icon </w:t>
      </w:r>
      <w:r w:rsidR="00267432">
        <w:t>blinks</w:t>
      </w:r>
      <w:r w:rsidR="002A21AE">
        <w:t xml:space="preserve"> </w:t>
      </w:r>
      <w:r w:rsidR="00716FBE">
        <w:t xml:space="preserve">three times and remains </w:t>
      </w:r>
      <w:r w:rsidR="00267432">
        <w:t>visible</w:t>
      </w:r>
      <w:r w:rsidR="00716FBE">
        <w:t xml:space="preserve"> </w:t>
      </w:r>
      <w:r w:rsidR="002A21AE">
        <w:t xml:space="preserve">when orders are added to the system. Hold the mouse pointer over the icon to see order information. Click the associated button to open the Pending Order List. </w:t>
      </w:r>
      <w:r w:rsidR="00267432" w:rsidRPr="00267432">
        <w:rPr>
          <w:vanish/>
        </w:rPr>
        <w:t>DR 4963</w:t>
      </w:r>
    </w:p>
    <w:p w14:paraId="3F648029" w14:textId="77777777" w:rsidR="002A21AE" w:rsidRDefault="00057948">
      <w:pPr>
        <w:pStyle w:val="BodyText"/>
        <w:ind w:left="360" w:hanging="360"/>
      </w:pPr>
      <w:r>
        <w:rPr>
          <w:noProof/>
        </w:rPr>
        <w:drawing>
          <wp:inline distT="0" distB="0" distL="0" distR="0" wp14:anchorId="17E44157" wp14:editId="2AAB6E04">
            <wp:extent cx="156845" cy="138430"/>
            <wp:effectExtent l="0" t="0" r="0" b="0"/>
            <wp:docPr id="113" name="Picture 113" descr="small_patient_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mall_patient_alert"/>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56845" cy="138430"/>
                    </a:xfrm>
                    <a:prstGeom prst="rect">
                      <a:avLst/>
                    </a:prstGeom>
                    <a:noFill/>
                    <a:ln>
                      <a:noFill/>
                    </a:ln>
                  </pic:spPr>
                </pic:pic>
              </a:graphicData>
            </a:graphic>
          </wp:inline>
        </w:drawing>
      </w:r>
      <w:r w:rsidR="002A21AE">
        <w:tab/>
        <w:t xml:space="preserve">The Patient Alert icon flashes </w:t>
      </w:r>
      <w:r w:rsidR="00716FBE">
        <w:t xml:space="preserve">three times and remains displayed </w:t>
      </w:r>
      <w:r w:rsidR="002A21AE">
        <w:t>when patient information is updated. Hold the mouse pointer over the icon to see what type of patient change occu</w:t>
      </w:r>
      <w:r w:rsidR="005C271B">
        <w:t>rred. Click the Patient Alert Icon</w:t>
      </w:r>
      <w:r w:rsidR="002A21AE">
        <w:t xml:space="preserve"> to view</w:t>
      </w:r>
      <w:r w:rsidR="005C271B">
        <w:t xml:space="preserve"> the menu which allows navigation to Updated Patients, Deceased Patients, Patient Merge</w:t>
      </w:r>
      <w:r w:rsidR="002A21AE">
        <w:t>.</w:t>
      </w:r>
      <w:r w:rsidR="005C271B">
        <w:t xml:space="preserve"> These menu options enable when alerts exist in each category.</w:t>
      </w:r>
      <w:r w:rsidR="002A21AE">
        <w:t xml:space="preserve"> </w:t>
      </w:r>
    </w:p>
    <w:p w14:paraId="0D9568EF" w14:textId="77777777" w:rsidR="002A21AE" w:rsidRDefault="00057948">
      <w:pPr>
        <w:pStyle w:val="BodyText"/>
        <w:ind w:left="360" w:hanging="360"/>
      </w:pPr>
      <w:r>
        <w:rPr>
          <w:noProof/>
        </w:rPr>
        <w:drawing>
          <wp:inline distT="0" distB="0" distL="0" distR="0" wp14:anchorId="0DA846E7" wp14:editId="0BB4CF48">
            <wp:extent cx="156845" cy="156845"/>
            <wp:effectExtent l="0" t="0" r="0" b="0"/>
            <wp:docPr id="114" name="Picture 114" descr="small_vista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mall_vistalink"/>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The VistALink icon indicates that the connection to </w:t>
      </w:r>
      <w:r w:rsidR="00CA0045" w:rsidRPr="00CA0045">
        <w:rPr>
          <w:bCs/>
        </w:rPr>
        <w:t>VistA</w:t>
      </w:r>
      <w:r w:rsidR="002A21AE">
        <w:t xml:space="preserve"> is active.</w:t>
      </w:r>
    </w:p>
    <w:p w14:paraId="5B053655" w14:textId="5D631C67" w:rsidR="00E95BB0" w:rsidRDefault="002A21AE" w:rsidP="00C96CC3">
      <w:pPr>
        <w:pStyle w:val="BodyText"/>
        <w:numPr>
          <w:ilvl w:val="0"/>
          <w:numId w:val="86"/>
        </w:numPr>
      </w:pPr>
      <w:r>
        <w:t xml:space="preserve">The VistALink Failure icon indicates that the connection to </w:t>
      </w:r>
      <w:r w:rsidR="00CA0045" w:rsidRPr="00CA0045">
        <w:rPr>
          <w:bCs/>
        </w:rPr>
        <w:t>VistA</w:t>
      </w:r>
      <w:r>
        <w:t xml:space="preserve"> is severed.</w:t>
      </w:r>
    </w:p>
    <w:p w14:paraId="3E458DAF" w14:textId="77777777" w:rsidR="00C96CC3" w:rsidRDefault="00C96CC3" w:rsidP="00C96CC3">
      <w:pPr>
        <w:pStyle w:val="BodyText"/>
        <w:ind w:left="360" w:hanging="360"/>
        <w:rPr>
          <w:noProof/>
        </w:rPr>
      </w:pPr>
      <w:r w:rsidRPr="00C96CC3">
        <w:rPr>
          <w:noProof/>
        </w:rPr>
        <w:drawing>
          <wp:inline distT="0" distB="0" distL="0" distR="0" wp14:anchorId="35D8300D" wp14:editId="17F38480">
            <wp:extent cx="161925" cy="161925"/>
            <wp:effectExtent l="0" t="0" r="9525" b="9525"/>
            <wp:docPr id="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C183D7F6-B498-43B3-948B-1728B52AA6E4}">
                          <adec:decorative xmlns:adec="http://schemas.microsoft.com/office/drawing/2017/decorative"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C96CC3">
        <w:rPr>
          <w:noProof/>
        </w:rPr>
        <w:t xml:space="preserve"> CPRS Communications Error</w:t>
      </w:r>
      <w:r w:rsidRPr="00C81B15">
        <w:rPr>
          <w:noProof/>
        </w:rPr>
        <w:t>.</w:t>
      </w:r>
      <w:r>
        <w:rPr>
          <w:noProof/>
        </w:rPr>
        <w:t xml:space="preserve"> Some orders in CPRS will not reflect the same status as VBECS. Contact Customer Support to have the issue investigated and resolved. Most problems can typically be resolved by restarting the VBECS-OERR HL7 link in VistA.</w:t>
      </w:r>
    </w:p>
    <w:p w14:paraId="087DCA36" w14:textId="0DE90D61" w:rsidR="00C96CC3" w:rsidRDefault="00C96CC3" w:rsidP="00C96CC3">
      <w:pPr>
        <w:pStyle w:val="BodyText"/>
        <w:ind w:left="360" w:hanging="360"/>
        <w:rPr>
          <w:noProof/>
        </w:rPr>
      </w:pPr>
      <w:r w:rsidRPr="00C96CC3">
        <w:rPr>
          <w:noProof/>
        </w:rPr>
        <w:drawing>
          <wp:inline distT="0" distB="0" distL="0" distR="0" wp14:anchorId="5348D9DF" wp14:editId="742EE6AF">
            <wp:extent cx="152400" cy="152400"/>
            <wp:effectExtent l="0" t="0" r="0" b="0"/>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96CC3">
        <w:rPr>
          <w:noProof/>
        </w:rPr>
        <w:t xml:space="preserve"> CPRS Communications Good</w:t>
      </w:r>
      <w:r w:rsidRPr="00CE404D">
        <w:rPr>
          <w:noProof/>
        </w:rPr>
        <w:t>.</w:t>
      </w:r>
      <w:r w:rsidRPr="00C96CC3">
        <w:rPr>
          <w:noProof/>
        </w:rPr>
        <w:t xml:space="preserve"> </w:t>
      </w:r>
      <w:r w:rsidRPr="00CE404D">
        <w:rPr>
          <w:noProof/>
        </w:rPr>
        <w:t>All VBECS order</w:t>
      </w:r>
      <w:r>
        <w:rPr>
          <w:noProof/>
        </w:rPr>
        <w:t xml:space="preserve"> status messages have been sent to CPRS.</w:t>
      </w:r>
    </w:p>
    <w:p w14:paraId="3EFF7C4D" w14:textId="77777777" w:rsidR="002A21AE" w:rsidRDefault="002A21AE">
      <w:pPr>
        <w:pStyle w:val="Heading4"/>
      </w:pPr>
      <w:r>
        <w:t>Throughout VBECS</w:t>
      </w:r>
      <w:r>
        <w:fldChar w:fldCharType="begin"/>
      </w:r>
      <w:r>
        <w:instrText xml:space="preserve"> XE </w:instrText>
      </w:r>
      <w:r w:rsidR="00FA7E65">
        <w:instrText>“</w:instrText>
      </w:r>
      <w:r>
        <w:instrText>Throughout VBECS</w:instrText>
      </w:r>
      <w:r w:rsidR="00FA7E65">
        <w:instrText>”</w:instrText>
      </w:r>
      <w:r>
        <w:instrText xml:space="preserve"> </w:instrText>
      </w:r>
      <w:r>
        <w:fldChar w:fldCharType="end"/>
      </w:r>
    </w:p>
    <w:p w14:paraId="6A506A44" w14:textId="77777777" w:rsidR="002A21AE" w:rsidRDefault="00057948">
      <w:pPr>
        <w:pStyle w:val="BodyText"/>
        <w:ind w:left="360" w:hanging="360"/>
      </w:pPr>
      <w:r>
        <w:rPr>
          <w:noProof/>
        </w:rPr>
        <w:drawing>
          <wp:inline distT="0" distB="0" distL="0" distR="0" wp14:anchorId="7DAD4B8E" wp14:editId="7C388D61">
            <wp:extent cx="156845" cy="156845"/>
            <wp:effectExtent l="0" t="0" r="0" b="0"/>
            <wp:docPr id="116" name="Picture 116" descr="small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small_delet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Delete/Invalidate icon appears on buttons that cause entries to be deleted or invalidated in the database.</w:t>
      </w:r>
    </w:p>
    <w:p w14:paraId="2A0999CE" w14:textId="77777777" w:rsidR="005A3214" w:rsidRDefault="005A3214" w:rsidP="000E3E6B">
      <w:pPr>
        <w:pStyle w:val="BodyText"/>
        <w:ind w:left="360" w:hangingChars="153" w:hanging="360"/>
      </w:pPr>
      <w:r w:rsidRPr="005742CF">
        <w:rPr>
          <w:rFonts w:ascii="Wingdings" w:hAnsi="Wingdings"/>
          <w:spacing w:val="-5"/>
          <w:sz w:val="24"/>
          <w:szCs w:val="24"/>
        </w:rPr>
        <w:t></w:t>
      </w:r>
      <w:r>
        <w:rPr>
          <w:rFonts w:ascii="Wingdings" w:hAnsi="Wingdings"/>
        </w:rPr>
        <w:tab/>
      </w:r>
      <w:r>
        <w:t>Click to select all items in a list.</w:t>
      </w:r>
    </w:p>
    <w:p w14:paraId="4D5E4B47" w14:textId="77777777" w:rsidR="005A3214" w:rsidRDefault="005A3214" w:rsidP="000E3E6B">
      <w:pPr>
        <w:pStyle w:val="BodyText"/>
        <w:ind w:left="359" w:hangingChars="149" w:hanging="359"/>
      </w:pPr>
      <w:r w:rsidRPr="005742CF">
        <w:rPr>
          <w:rFonts w:ascii="Wingdings 2" w:hAnsi="Wingdings 2" w:cs="Geneva"/>
          <w:b/>
          <w:sz w:val="24"/>
          <w:szCs w:val="24"/>
        </w:rPr>
        <w:t></w:t>
      </w:r>
      <w:r>
        <w:rPr>
          <w:rFonts w:ascii="Wingdings 2" w:hAnsi="Wingdings 2" w:cs="Geneva"/>
          <w:b/>
        </w:rPr>
        <w:tab/>
      </w:r>
      <w:r>
        <w:t>Click to clear all items in list.</w:t>
      </w:r>
    </w:p>
    <w:p w14:paraId="357ABBA9" w14:textId="77777777" w:rsidR="002A21AE" w:rsidRDefault="00057948" w:rsidP="00FC6604">
      <w:pPr>
        <w:pStyle w:val="BodyText"/>
      </w:pPr>
      <w:r>
        <w:rPr>
          <w:noProof/>
        </w:rPr>
        <w:drawing>
          <wp:inline distT="0" distB="0" distL="0" distR="0" wp14:anchorId="2094B9C0" wp14:editId="4654ACA7">
            <wp:extent cx="258445" cy="203200"/>
            <wp:effectExtent l="0" t="0" r="8255" b="6350"/>
            <wp:docPr id="117" name="Picture 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a:extLst>
                        <a:ext uri="{C183D7F6-B498-43B3-948B-1728B52AA6E4}">
                          <adec:decorative xmlns:adec="http://schemas.microsoft.com/office/drawing/2017/decorative" val="1"/>
                        </a:ext>
                      </a:extLs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58445" cy="203200"/>
                    </a:xfrm>
                    <a:prstGeom prst="rect">
                      <a:avLst/>
                    </a:prstGeom>
                    <a:noFill/>
                    <a:ln>
                      <a:noFill/>
                    </a:ln>
                  </pic:spPr>
                </pic:pic>
              </a:graphicData>
            </a:graphic>
          </wp:inline>
        </w:drawing>
      </w:r>
      <w:r w:rsidR="002A21AE" w:rsidRPr="00FC6604">
        <w:t xml:space="preserve">Click the </w:t>
      </w:r>
      <w:r w:rsidR="00FC6604" w:rsidRPr="00FC6604">
        <w:rPr>
          <w:b/>
        </w:rPr>
        <w:t>find</w:t>
      </w:r>
      <w:r w:rsidR="002A21AE" w:rsidRPr="00FC6604">
        <w:rPr>
          <w:b/>
        </w:rPr>
        <w:t xml:space="preserve"> </w:t>
      </w:r>
      <w:r w:rsidR="002A21AE" w:rsidRPr="00FC6604">
        <w:t>button to display a list of items for selection.</w:t>
      </w:r>
    </w:p>
    <w:p w14:paraId="407E0634" w14:textId="77777777" w:rsidR="002A21AE" w:rsidRDefault="00057948">
      <w:pPr>
        <w:pStyle w:val="BodyText"/>
        <w:ind w:left="360" w:hanging="360"/>
      </w:pPr>
      <w:r>
        <w:rPr>
          <w:noProof/>
        </w:rPr>
        <w:drawing>
          <wp:inline distT="0" distB="0" distL="0" distR="0" wp14:anchorId="0D988927" wp14:editId="2FD2622E">
            <wp:extent cx="156845" cy="156845"/>
            <wp:effectExtent l="0" t="0" r="0" b="0"/>
            <wp:docPr id="118" name="Picture 118" descr="small_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mall_print"/>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Print</w:t>
      </w:r>
      <w:r w:rsidR="002A21AE">
        <w:t xml:space="preserve"> icon’s associated button to print a document.</w:t>
      </w:r>
    </w:p>
    <w:p w14:paraId="3DC0E17E" w14:textId="77777777" w:rsidR="002A21AE" w:rsidRDefault="00057948">
      <w:pPr>
        <w:pStyle w:val="BodyText"/>
        <w:ind w:left="360" w:hanging="360"/>
      </w:pPr>
      <w:r>
        <w:rPr>
          <w:noProof/>
        </w:rPr>
        <w:drawing>
          <wp:inline distT="0" distB="0" distL="0" distR="0" wp14:anchorId="350D3D5A" wp14:editId="57F779D7">
            <wp:extent cx="156845" cy="156845"/>
            <wp:effectExtent l="0" t="0" r="0" b="0"/>
            <wp:docPr id="119" name="Picture 119" descr="small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mall_sav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Save</w:t>
      </w:r>
      <w:r w:rsidR="002A21AE">
        <w:t xml:space="preserve"> icon’s associated button to update the database.</w:t>
      </w:r>
    </w:p>
    <w:p w14:paraId="2B976821" w14:textId="77777777" w:rsidR="002A21AE" w:rsidRDefault="00057948">
      <w:pPr>
        <w:pStyle w:val="BodyText"/>
        <w:ind w:left="360" w:hanging="360"/>
      </w:pPr>
      <w:r>
        <w:rPr>
          <w:noProof/>
        </w:rPr>
        <w:drawing>
          <wp:inline distT="0" distB="0" distL="0" distR="0" wp14:anchorId="4C0A0645" wp14:editId="379F64C0">
            <wp:extent cx="156845" cy="156845"/>
            <wp:effectExtent l="0" t="0" r="0" b="0"/>
            <wp:docPr id="120" name="Picture 120" descr="small_sc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small_scanne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Scanner icon indicates which screen prompts permit scanned entries.</w:t>
      </w:r>
    </w:p>
    <w:p w14:paraId="6A828D28" w14:textId="77777777" w:rsidR="002A21AE" w:rsidRDefault="00057948">
      <w:pPr>
        <w:pStyle w:val="BodyText"/>
        <w:ind w:left="360" w:hanging="360"/>
      </w:pPr>
      <w:r>
        <w:rPr>
          <w:noProof/>
        </w:rPr>
        <w:drawing>
          <wp:inline distT="0" distB="0" distL="0" distR="0" wp14:anchorId="78E8F1DD" wp14:editId="1B939C81">
            <wp:extent cx="156845" cy="156845"/>
            <wp:effectExtent l="0" t="0" r="0" b="0"/>
            <wp:docPr id="121" name="Picture 121" descr="small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small_search"/>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Search</w:t>
      </w:r>
      <w:r w:rsidR="002A21AE">
        <w:t xml:space="preserve"> icon’s associated button to search for entries meeting search criteria entered.</w:t>
      </w:r>
    </w:p>
    <w:p w14:paraId="2D6E2933" w14:textId="77777777" w:rsidR="002A21AE" w:rsidRDefault="00057948">
      <w:pPr>
        <w:pStyle w:val="BodyText"/>
        <w:ind w:left="360" w:hanging="360"/>
      </w:pPr>
      <w:r>
        <w:rPr>
          <w:noProof/>
        </w:rPr>
        <w:drawing>
          <wp:inline distT="0" distB="0" distL="0" distR="0" wp14:anchorId="08E7C607" wp14:editId="3EA4A0C2">
            <wp:extent cx="156845" cy="156845"/>
            <wp:effectExtent l="0" t="0" r="0" b="0"/>
            <wp:docPr id="122" name="Picture 122" descr="small_view_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small_view_orde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Order Details</w:t>
      </w:r>
      <w:r w:rsidR="002A21AE">
        <w:t xml:space="preserve"> icon’s associated button to display the full details of a selected order.</w:t>
      </w:r>
    </w:p>
    <w:p w14:paraId="762F520E" w14:textId="77777777" w:rsidR="002A21AE" w:rsidRDefault="00057948">
      <w:pPr>
        <w:pStyle w:val="BodyText"/>
        <w:ind w:left="360" w:hanging="360"/>
      </w:pPr>
      <w:r>
        <w:rPr>
          <w:noProof/>
        </w:rPr>
        <w:drawing>
          <wp:inline distT="0" distB="0" distL="0" distR="0" wp14:anchorId="4CB7FE61" wp14:editId="49A6A927">
            <wp:extent cx="156845" cy="156845"/>
            <wp:effectExtent l="0" t="0" r="0" b="0"/>
            <wp:docPr id="123" name="Picture 123" descr="small_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small_warni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Input Error icon indicates that a user made an invalid entry at a screen prompt. The icon appears and flashes next to the invalid entry. Hold the mouse pointer over the icon to see a message explaining the problem. Enter valid information to make the icon disappear.</w:t>
      </w:r>
    </w:p>
    <w:p w14:paraId="3DAAF228" w14:textId="77777777" w:rsidR="00486D34" w:rsidRDefault="00486D34">
      <w:pPr>
        <w:rPr>
          <w:rFonts w:ascii="Arial" w:hAnsi="Arial" w:cs="Arial"/>
          <w:b/>
          <w:bCs/>
          <w:i/>
          <w:iCs/>
          <w:sz w:val="28"/>
          <w:szCs w:val="28"/>
        </w:rPr>
      </w:pPr>
      <w:r>
        <w:br w:type="page"/>
      </w:r>
    </w:p>
    <w:p w14:paraId="106BDCB3" w14:textId="76E4AC17" w:rsidR="002A21AE" w:rsidRDefault="002A21AE">
      <w:pPr>
        <w:pStyle w:val="Heading2"/>
      </w:pPr>
      <w:bookmarkStart w:id="174" w:name="_Toc47516688"/>
      <w:r>
        <w:lastRenderedPageBreak/>
        <w:t>Other VBECS Functions</w:t>
      </w:r>
      <w:bookmarkEnd w:id="174"/>
      <w:r>
        <w:fldChar w:fldCharType="begin"/>
      </w:r>
      <w:r>
        <w:instrText xml:space="preserve"> XE </w:instrText>
      </w:r>
      <w:r w:rsidR="00FA7E65">
        <w:instrText>“</w:instrText>
      </w:r>
      <w:r>
        <w:instrText>Other VBECS Functions</w:instrText>
      </w:r>
      <w:r w:rsidR="00FA7E65">
        <w:instrText>”</w:instrText>
      </w:r>
      <w:r>
        <w:instrText xml:space="preserve"> </w:instrText>
      </w:r>
      <w:r>
        <w:fldChar w:fldCharType="end"/>
      </w:r>
    </w:p>
    <w:p w14:paraId="14FE6B03" w14:textId="77777777" w:rsidR="002A21AE" w:rsidRPr="006C187F" w:rsidRDefault="002A21AE">
      <w:pPr>
        <w:pStyle w:val="Heading3"/>
        <w:rPr>
          <w:rFonts w:ascii="Arial Bold" w:hAnsi="Arial Bold"/>
          <w:vanish/>
        </w:rPr>
      </w:pPr>
      <w:bookmarkStart w:id="175" w:name="_Toc47516689"/>
      <w:r>
        <w:t>Collecting Workload</w:t>
      </w:r>
      <w:bookmarkEnd w:id="175"/>
      <w:r>
        <w:fldChar w:fldCharType="begin"/>
      </w:r>
      <w:r>
        <w:instrText xml:space="preserve"> XE </w:instrText>
      </w:r>
      <w:r w:rsidR="00FA7E65">
        <w:instrText>“</w:instrText>
      </w:r>
      <w:r>
        <w:instrText>Collecting Workload</w:instrText>
      </w:r>
      <w:r w:rsidR="00FA7E65">
        <w:instrText>”</w:instrText>
      </w:r>
      <w:r>
        <w:instrText xml:space="preserve"> </w:instrText>
      </w:r>
      <w:r>
        <w:fldChar w:fldCharType="end"/>
      </w:r>
      <w:r w:rsidR="006C187F">
        <w:t xml:space="preserve"> </w:t>
      </w:r>
      <w:r w:rsidR="006C187F">
        <w:rPr>
          <w:rFonts w:ascii="Arial Bold" w:hAnsi="Arial Bold"/>
          <w:vanish/>
        </w:rPr>
        <w:t>UC_15</w:t>
      </w:r>
    </w:p>
    <w:p w14:paraId="7F5C1D77" w14:textId="77777777" w:rsidR="002A21AE" w:rsidRDefault="002A21AE" w:rsidP="00FA7E65">
      <w:pPr>
        <w:pStyle w:val="BodyText"/>
      </w:pPr>
      <w:r>
        <w:t xml:space="preserve">In some options, VBECS collects workload (statistical data used to calculate productivity) when the user saves data: </w:t>
      </w:r>
    </w:p>
    <w:p w14:paraId="0BE35419" w14:textId="77777777" w:rsidR="002A21AE" w:rsidRDefault="002A21AE" w:rsidP="007716F7">
      <w:pPr>
        <w:pStyle w:val="ListBullet"/>
      </w:pPr>
      <w:r>
        <w:t>ABO/</w:t>
      </w:r>
      <w:r w:rsidRPr="007716F7">
        <w:t>Rh Confirmation</w:t>
      </w:r>
    </w:p>
    <w:p w14:paraId="2B1DEBEB" w14:textId="77777777" w:rsidR="00645BE3" w:rsidRPr="007716F7" w:rsidRDefault="00645BE3" w:rsidP="007716F7">
      <w:pPr>
        <w:pStyle w:val="ListBullet"/>
      </w:pPr>
      <w:r>
        <w:t>Automated Testing</w:t>
      </w:r>
    </w:p>
    <w:p w14:paraId="35F06FFC" w14:textId="77777777" w:rsidR="002A21AE" w:rsidRDefault="002A21AE" w:rsidP="007716F7">
      <w:pPr>
        <w:pStyle w:val="ListBullet"/>
      </w:pPr>
      <w:r w:rsidRPr="007716F7">
        <w:t xml:space="preserve">Discard </w:t>
      </w:r>
      <w:r>
        <w:t>or Quarantine</w:t>
      </w:r>
    </w:p>
    <w:p w14:paraId="6404F9AD" w14:textId="77777777" w:rsidR="002A21AE" w:rsidRDefault="002A21AE">
      <w:pPr>
        <w:pStyle w:val="ListBullet"/>
      </w:pPr>
      <w:r>
        <w:t>Document ABO Incompatible Transfusion</w:t>
      </w:r>
    </w:p>
    <w:p w14:paraId="2DEB479A" w14:textId="77777777" w:rsidR="002A21AE" w:rsidRDefault="002A21AE">
      <w:pPr>
        <w:pStyle w:val="ListBullet"/>
      </w:pPr>
      <w:r>
        <w:t>Edit Unit Information</w:t>
      </w:r>
    </w:p>
    <w:p w14:paraId="3626AC0C" w14:textId="77777777" w:rsidR="002A21AE" w:rsidRDefault="002A21AE">
      <w:pPr>
        <w:pStyle w:val="ListBullet"/>
      </w:pPr>
      <w:r>
        <w:t>Enter Daily QC Results</w:t>
      </w:r>
    </w:p>
    <w:p w14:paraId="04A31EAE" w14:textId="77777777" w:rsidR="002A21AE" w:rsidRDefault="002A21AE">
      <w:pPr>
        <w:pStyle w:val="ListBullet"/>
      </w:pPr>
      <w:r>
        <w:t>Finalize/Print TRW</w:t>
      </w:r>
    </w:p>
    <w:p w14:paraId="00DCB648" w14:textId="77777777" w:rsidR="002A21AE" w:rsidRDefault="002A21AE">
      <w:pPr>
        <w:pStyle w:val="ListBullet"/>
      </w:pPr>
      <w:r>
        <w:rPr>
          <w:snapToGrid w:val="0"/>
        </w:rPr>
        <w:t>Free Directed Unit For Crossover</w:t>
      </w:r>
    </w:p>
    <w:p w14:paraId="2E499D0F" w14:textId="77777777" w:rsidR="002A21AE" w:rsidRDefault="002A21AE">
      <w:pPr>
        <w:pStyle w:val="ListBullet"/>
        <w:rPr>
          <w:bCs/>
        </w:rPr>
      </w:pPr>
      <w:r>
        <w:t>Invalidate Test Results</w:t>
      </w:r>
    </w:p>
    <w:p w14:paraId="591B0511" w14:textId="77777777" w:rsidR="002A21AE" w:rsidRDefault="002A21AE">
      <w:pPr>
        <w:pStyle w:val="ListBullet"/>
      </w:pPr>
      <w:r>
        <w:rPr>
          <w:snapToGrid w:val="0"/>
        </w:rPr>
        <w:t>Issue Blood Components</w:t>
      </w:r>
    </w:p>
    <w:p w14:paraId="7C9E407D" w14:textId="77777777" w:rsidR="002A21AE" w:rsidRDefault="002A21AE">
      <w:pPr>
        <w:pStyle w:val="ListBullet"/>
      </w:pPr>
      <w:r>
        <w:t>Modify Units</w:t>
      </w:r>
    </w:p>
    <w:p w14:paraId="5E1D05BA" w14:textId="77777777" w:rsidR="002A21AE" w:rsidRDefault="002A21AE">
      <w:pPr>
        <w:pStyle w:val="ListBullet"/>
      </w:pPr>
      <w:r>
        <w:t>Modify Units: Pool Units</w:t>
      </w:r>
    </w:p>
    <w:p w14:paraId="1A719667" w14:textId="77777777" w:rsidR="002A21AE" w:rsidRDefault="002A21AE">
      <w:pPr>
        <w:pStyle w:val="ListBullet"/>
      </w:pPr>
      <w:r>
        <w:t>Modify Units: Split a Unit</w:t>
      </w:r>
    </w:p>
    <w:p w14:paraId="12A39B21" w14:textId="77777777" w:rsidR="002A21AE" w:rsidRDefault="002A21AE">
      <w:pPr>
        <w:pStyle w:val="ListBullet"/>
      </w:pPr>
      <w:r>
        <w:t>Outgoing Shipment</w:t>
      </w:r>
    </w:p>
    <w:p w14:paraId="2982ECD3" w14:textId="77777777" w:rsidR="002A21AE" w:rsidRDefault="002A21AE">
      <w:pPr>
        <w:pStyle w:val="ListBullet"/>
      </w:pPr>
      <w:r>
        <w:t xml:space="preserve">Patient Testing: </w:t>
      </w:r>
      <w:r w:rsidR="00244FCD">
        <w:t>Enter Antibody Identification Results</w:t>
      </w:r>
    </w:p>
    <w:p w14:paraId="1EC41819" w14:textId="77777777" w:rsidR="002A21AE" w:rsidRDefault="002A21AE">
      <w:pPr>
        <w:pStyle w:val="ListBullet"/>
      </w:pPr>
      <w:r>
        <w:rPr>
          <w:snapToGrid w:val="0"/>
        </w:rPr>
        <w:t>Patient Testing: Record a Patient Antigen Typing</w:t>
      </w:r>
    </w:p>
    <w:p w14:paraId="63DD2875" w14:textId="77777777" w:rsidR="002A21AE" w:rsidRDefault="002A21AE">
      <w:pPr>
        <w:pStyle w:val="ListBullet"/>
      </w:pPr>
      <w:r>
        <w:t xml:space="preserve">Patient Testing: Record a Transfusion Reaction Workup </w:t>
      </w:r>
    </w:p>
    <w:p w14:paraId="3666053E" w14:textId="77777777" w:rsidR="002A21AE" w:rsidRDefault="002A21AE">
      <w:pPr>
        <w:pStyle w:val="ListBullet"/>
      </w:pPr>
      <w:r>
        <w:t>Patient Testing: Record Patient Test Results</w:t>
      </w:r>
    </w:p>
    <w:p w14:paraId="02E3F537" w14:textId="77777777" w:rsidR="002A21AE" w:rsidRDefault="002A21AE">
      <w:pPr>
        <w:pStyle w:val="ListBullet"/>
      </w:pPr>
      <w:r>
        <w:t xml:space="preserve">Post-Transfusion Information </w:t>
      </w:r>
    </w:p>
    <w:p w14:paraId="7E4302B6" w14:textId="77777777" w:rsidR="002A21AE" w:rsidRDefault="002A21AE">
      <w:pPr>
        <w:pStyle w:val="ListBullet"/>
      </w:pPr>
      <w:r>
        <w:t>Processing Incoming Shipment</w:t>
      </w:r>
    </w:p>
    <w:p w14:paraId="6BCC081D" w14:textId="77777777" w:rsidR="002A21AE" w:rsidRDefault="002A21AE">
      <w:pPr>
        <w:pStyle w:val="ListBullet"/>
      </w:pPr>
      <w:r>
        <w:t>Release Units From Patient Assignment</w:t>
      </w:r>
    </w:p>
    <w:p w14:paraId="0D602504" w14:textId="77777777" w:rsidR="002A21AE" w:rsidRDefault="002A21AE">
      <w:pPr>
        <w:pStyle w:val="ListBullet"/>
      </w:pPr>
      <w:r>
        <w:rPr>
          <w:snapToGrid w:val="0"/>
        </w:rPr>
        <w:t>Remove Final Status</w:t>
      </w:r>
    </w:p>
    <w:p w14:paraId="3C78D442" w14:textId="77777777" w:rsidR="002A21AE" w:rsidRDefault="002A21AE">
      <w:pPr>
        <w:pStyle w:val="ListBullet"/>
      </w:pPr>
      <w:r>
        <w:t>Return Issued Units To Blood Bank</w:t>
      </w:r>
    </w:p>
    <w:p w14:paraId="0273BE99" w14:textId="77777777" w:rsidR="002A21AE" w:rsidRDefault="002A21AE">
      <w:pPr>
        <w:pStyle w:val="ListBullet"/>
      </w:pPr>
      <w:r>
        <w:t>Select Units</w:t>
      </w:r>
    </w:p>
    <w:p w14:paraId="2D63A629" w14:textId="77777777" w:rsidR="002A21AE" w:rsidRDefault="002A21AE" w:rsidP="0065457E">
      <w:pPr>
        <w:pStyle w:val="ListBullet"/>
      </w:pPr>
      <w:r>
        <w:t>Unit Antigen Typing</w:t>
      </w:r>
    </w:p>
    <w:p w14:paraId="1C2186A5" w14:textId="20738603" w:rsidR="0064481B" w:rsidRDefault="00F4409D" w:rsidP="0064481B">
      <w:pPr>
        <w:jc w:val="center"/>
        <w:rPr>
          <w:rStyle w:val="BodyTextChar"/>
        </w:rPr>
      </w:pPr>
      <w:r>
        <w:rPr>
          <w:rStyle w:val="BodyTextChar"/>
        </w:rPr>
        <w:br w:type="page"/>
      </w:r>
      <w:r w:rsidR="0064481B">
        <w:rPr>
          <w:rStyle w:val="BodyTextChar"/>
        </w:rPr>
        <w:lastRenderedPageBreak/>
        <w:t>This page intentionally left blank.</w:t>
      </w:r>
    </w:p>
    <w:p w14:paraId="4EAF48A9" w14:textId="77777777" w:rsidR="00F4409D" w:rsidRDefault="00F4409D">
      <w:pPr>
        <w:rPr>
          <w:rStyle w:val="BodyTextChar"/>
        </w:rPr>
      </w:pPr>
    </w:p>
    <w:p w14:paraId="6B6A875B" w14:textId="77777777" w:rsidR="0064481B" w:rsidRDefault="0064481B">
      <w:pPr>
        <w:rPr>
          <w:rStyle w:val="Heading1Char"/>
        </w:rPr>
      </w:pPr>
      <w:r>
        <w:rPr>
          <w:rStyle w:val="Heading1Char"/>
        </w:rPr>
        <w:br w:type="page"/>
      </w:r>
    </w:p>
    <w:p w14:paraId="4F4CEAF7" w14:textId="5870689F" w:rsidR="002A21AE" w:rsidRDefault="002A21AE" w:rsidP="001E5CC3">
      <w:pPr>
        <w:pStyle w:val="BodyText"/>
      </w:pPr>
      <w:bookmarkStart w:id="176" w:name="_Toc47516690"/>
      <w:r w:rsidRPr="005944FC">
        <w:rPr>
          <w:rStyle w:val="Heading1Char"/>
        </w:rPr>
        <w:lastRenderedPageBreak/>
        <w:t>Configuring Site Parameters</w:t>
      </w:r>
      <w:bookmarkEnd w:id="176"/>
      <w:r>
        <w:fldChar w:fldCharType="begin"/>
      </w:r>
      <w:r>
        <w:instrText xml:space="preserve"> XE </w:instrText>
      </w:r>
      <w:r w:rsidR="00FA7E65">
        <w:instrText>“</w:instrText>
      </w:r>
      <w:r>
        <w:instrText>Configuring Site Parameters</w:instrText>
      </w:r>
      <w:r w:rsidR="00FA7E65">
        <w:instrText>”</w:instrText>
      </w:r>
      <w:r>
        <w:instrText xml:space="preserve"> </w:instrText>
      </w:r>
      <w:r>
        <w:fldChar w:fldCharType="end"/>
      </w:r>
    </w:p>
    <w:p w14:paraId="54DEECC2" w14:textId="77777777" w:rsidR="002A21AE" w:rsidRPr="002A6D29" w:rsidRDefault="002A21AE" w:rsidP="002A6D29">
      <w:pPr>
        <w:rPr>
          <w:sz w:val="22"/>
          <w:szCs w:val="22"/>
        </w:rPr>
      </w:pPr>
      <w:r w:rsidRPr="002A6D29">
        <w:rPr>
          <w:sz w:val="22"/>
          <w:szCs w:val="22"/>
        </w:rPr>
        <w:t>Configuration must be done as part of the VBECS installation.</w:t>
      </w:r>
    </w:p>
    <w:p w14:paraId="072D9EF4" w14:textId="77777777" w:rsidR="00B51CFF" w:rsidRDefault="00B51CFF" w:rsidP="00B51CFF">
      <w:pPr>
        <w:pStyle w:val="Heading2"/>
      </w:pPr>
      <w:bookmarkStart w:id="177" w:name="_Toc47516691"/>
      <w:r>
        <w:t>Update User Roles</w:t>
      </w:r>
      <w:bookmarkEnd w:id="177"/>
      <w:r w:rsidRPr="00AB67A6">
        <w:rPr>
          <w:rFonts w:ascii="Arial Bold" w:hAnsi="Arial Bold"/>
          <w:vanish/>
        </w:rPr>
        <w:fldChar w:fldCharType="begin"/>
      </w:r>
      <w:r w:rsidRPr="00AB67A6">
        <w:rPr>
          <w:rFonts w:ascii="Arial Bold" w:hAnsi="Arial Bold"/>
          <w:vanish/>
        </w:rPr>
        <w:instrText xml:space="preserve"> XE “Update User Roles” </w:instrText>
      </w:r>
      <w:r w:rsidRPr="00AB67A6">
        <w:rPr>
          <w:rFonts w:ascii="Arial Bold" w:hAnsi="Arial Bold"/>
          <w:vanish/>
        </w:rPr>
        <w:fldChar w:fldCharType="end"/>
      </w:r>
      <w:r w:rsidRPr="00AB67A6">
        <w:rPr>
          <w:rFonts w:ascii="Arial Bold" w:hAnsi="Arial Bold"/>
          <w:vanish/>
        </w:rPr>
        <w:t xml:space="preserve"> UC_19</w:t>
      </w:r>
    </w:p>
    <w:p w14:paraId="7C37AD43" w14:textId="77777777" w:rsidR="00B51CFF" w:rsidRDefault="00B51CFF" w:rsidP="00B51CFF">
      <w:pPr>
        <w:pStyle w:val="BodyText"/>
      </w:pPr>
      <w:r>
        <w:t>The user reviews and changes the user roles and associated security levels that determine which options and functions are available to a user in the division.</w:t>
      </w:r>
    </w:p>
    <w:p w14:paraId="7EFECD23" w14:textId="77777777" w:rsidR="00B51CFF" w:rsidRDefault="00B51CFF" w:rsidP="00B51CFF">
      <w:pPr>
        <w:pStyle w:val="Heading4"/>
      </w:pPr>
      <w:r>
        <w:t>Assumptions</w:t>
      </w:r>
    </w:p>
    <w:p w14:paraId="1010A3D7" w14:textId="77777777" w:rsidR="00B51CFF" w:rsidRDefault="00B51CFF" w:rsidP="00B51CFF">
      <w:pPr>
        <w:pStyle w:val="ListBullet"/>
      </w:pPr>
      <w:r>
        <w:t>The user is logged into VBECS in the division of the users to be edited.</w:t>
      </w:r>
    </w:p>
    <w:p w14:paraId="696A26C6" w14:textId="77777777" w:rsidR="00B51CFF" w:rsidRDefault="00B51CFF" w:rsidP="00B51CFF">
      <w:pPr>
        <w:pStyle w:val="ListBullet"/>
      </w:pPr>
      <w:r>
        <w:t xml:space="preserve">A </w:t>
      </w:r>
      <w:r w:rsidR="0093195D">
        <w:t>VBECS Application</w:t>
      </w:r>
      <w:r>
        <w:t xml:space="preserve"> Administrator </w:t>
      </w:r>
      <w:r w:rsidR="006E4408">
        <w:t>defined</w:t>
      </w:r>
      <w:r>
        <w:t xml:space="preserve"> the users to the VBECS database and assigned </w:t>
      </w:r>
      <w:r w:rsidR="00E95395">
        <w:t>a</w:t>
      </w:r>
      <w:r>
        <w:t xml:space="preserve"> division-specific role to each user. </w:t>
      </w:r>
    </w:p>
    <w:p w14:paraId="285E788F" w14:textId="77777777" w:rsidR="00B51CFF" w:rsidRDefault="00B51CFF" w:rsidP="00B51CFF">
      <w:pPr>
        <w:pStyle w:val="Heading4"/>
      </w:pPr>
      <w:r>
        <w:t>Outcome</w:t>
      </w:r>
    </w:p>
    <w:p w14:paraId="4B43DEBD" w14:textId="77777777" w:rsidR="00B51CFF" w:rsidRDefault="00B51CFF" w:rsidP="00B51CFF">
      <w:pPr>
        <w:pStyle w:val="ListBullet"/>
      </w:pPr>
      <w:r>
        <w:t xml:space="preserve">A user’s role code changed. </w:t>
      </w:r>
    </w:p>
    <w:p w14:paraId="05C4DBDE" w14:textId="77777777" w:rsidR="00B51CFF" w:rsidRDefault="00B51CFF" w:rsidP="00B51CFF">
      <w:pPr>
        <w:pStyle w:val="Heading4"/>
      </w:pPr>
      <w:r>
        <w:t>Limitations and Restrictions</w:t>
      </w:r>
    </w:p>
    <w:p w14:paraId="6C339A01" w14:textId="77777777" w:rsidR="00B51CFF" w:rsidRDefault="00B51CFF" w:rsidP="00B51CFF">
      <w:pPr>
        <w:pStyle w:val="ListBullet"/>
      </w:pPr>
      <w:r>
        <w:rPr>
          <w:vanish/>
          <w:spacing w:val="0"/>
        </w:rPr>
        <w:t>BR_19.01</w:t>
      </w:r>
      <w:r w:rsidR="009660C3">
        <w:rPr>
          <w:vanish/>
          <w:spacing w:val="0"/>
        </w:rPr>
        <w:t>,</w:t>
      </w:r>
      <w:r>
        <w:rPr>
          <w:vanish/>
          <w:spacing w:val="0"/>
        </w:rPr>
        <w:t xml:space="preserve"> BR_19.03 </w:t>
      </w:r>
      <w:r>
        <w:t>One role at a time may be assigned to a user at a division. The role may be reset.</w:t>
      </w:r>
    </w:p>
    <w:p w14:paraId="12A807B6" w14:textId="77777777" w:rsidR="00B51CFF" w:rsidRDefault="002A7EE9" w:rsidP="00B51CFF">
      <w:pPr>
        <w:pStyle w:val="ListBullet"/>
      </w:pPr>
      <w:r>
        <w:rPr>
          <w:spacing w:val="0"/>
        </w:rPr>
        <w:t xml:space="preserve">VBECS does not allow users </w:t>
      </w:r>
      <w:r w:rsidR="00B51CFF">
        <w:rPr>
          <w:vanish/>
          <w:spacing w:val="0"/>
        </w:rPr>
        <w:t xml:space="preserve">BR_19.06 </w:t>
      </w:r>
      <w:r w:rsidR="004D224B">
        <w:t>t</w:t>
      </w:r>
      <w:r>
        <w:t>o</w:t>
      </w:r>
      <w:r w:rsidR="00B51CFF">
        <w:t xml:space="preserve"> </w:t>
      </w:r>
      <w:r w:rsidR="004D224B">
        <w:t>edit or delete</w:t>
      </w:r>
      <w:r w:rsidR="00B51CFF">
        <w:t xml:space="preserve"> the </w:t>
      </w:r>
      <w:r w:rsidR="004D5297">
        <w:t>sole</w:t>
      </w:r>
      <w:r w:rsidR="00B51CFF">
        <w:t xml:space="preserve"> Administrator/Supervisor.</w:t>
      </w:r>
    </w:p>
    <w:p w14:paraId="533C8198" w14:textId="77777777" w:rsidR="00B51CFF" w:rsidRDefault="00B51CFF" w:rsidP="00B51CFF">
      <w:pPr>
        <w:pStyle w:val="Heading4"/>
      </w:pPr>
      <w:r>
        <w:t>Additional Information</w:t>
      </w:r>
    </w:p>
    <w:p w14:paraId="53449210" w14:textId="77777777" w:rsidR="003234B3" w:rsidRDefault="003234B3" w:rsidP="003234B3">
      <w:pPr>
        <w:pStyle w:val="ListBullet"/>
      </w:pPr>
      <w:r>
        <w:t xml:space="preserve">An </w:t>
      </w:r>
      <w:r w:rsidR="006E4408">
        <w:t>undefined</w:t>
      </w:r>
      <w:r>
        <w:t xml:space="preserve"> user remains in the VBECS database.</w:t>
      </w:r>
    </w:p>
    <w:p w14:paraId="08A45498" w14:textId="77777777" w:rsidR="003234B3" w:rsidRDefault="003234B3" w:rsidP="003234B3">
      <w:pPr>
        <w:pStyle w:val="ListBullet"/>
      </w:pPr>
      <w:r>
        <w:rPr>
          <w:vanish/>
          <w:spacing w:val="0"/>
        </w:rPr>
        <w:t xml:space="preserve">BR_19.16, BR_19.11 </w:t>
      </w:r>
      <w:r w:rsidR="006F3D70">
        <w:t>There must be at least one Administrator/Supervisor in the division to maintain users.</w:t>
      </w:r>
    </w:p>
    <w:p w14:paraId="234E0A76" w14:textId="77777777" w:rsidR="00B51CFF" w:rsidRDefault="00B51CFF" w:rsidP="00B51CFF">
      <w:pPr>
        <w:pStyle w:val="ListBullet"/>
      </w:pPr>
      <w:r>
        <w:t xml:space="preserve">A VBECS user ID is the user’s </w:t>
      </w:r>
      <w:r w:rsidR="006E4408">
        <w:t>Windows</w:t>
      </w:r>
      <w:r>
        <w:t xml:space="preserve"> Logon ID. </w:t>
      </w:r>
    </w:p>
    <w:p w14:paraId="03F41009" w14:textId="77777777" w:rsidR="00B51CFF" w:rsidRDefault="00B51CFF" w:rsidP="00B51CFF">
      <w:pPr>
        <w:pStyle w:val="ListBullet"/>
      </w:pPr>
      <w:r>
        <w:t>One or more users may be selected for batch update.</w:t>
      </w:r>
    </w:p>
    <w:p w14:paraId="4517E177" w14:textId="1C8D96C4" w:rsidR="00B51CFF" w:rsidRDefault="00B51CFF" w:rsidP="00B51CFF">
      <w:pPr>
        <w:pStyle w:val="ListBullet"/>
      </w:pPr>
      <w:r>
        <w:t xml:space="preserve">A </w:t>
      </w:r>
      <w:r w:rsidR="0093195D">
        <w:t>VBECS Application</w:t>
      </w:r>
      <w:r>
        <w:t xml:space="preserve"> Administrator </w:t>
      </w:r>
      <w:r w:rsidR="006E4408">
        <w:t>defines</w:t>
      </w:r>
      <w:r>
        <w:t xml:space="preserve"> and </w:t>
      </w:r>
      <w:r w:rsidR="006E4408">
        <w:t>undefines</w:t>
      </w:r>
      <w:r>
        <w:t xml:space="preserve"> VBECS users.</w:t>
      </w:r>
      <w:r w:rsidR="00BA2EAA">
        <w:t xml:space="preserve"> See </w:t>
      </w:r>
      <w:r w:rsidR="00BA2EAA">
        <w:rPr>
          <w:i/>
          <w:iCs/>
        </w:rPr>
        <w:t>VistA Blood Establishment Computer Software (VBECS) 2.3.2 Administrator User Guide</w:t>
      </w:r>
      <w:r w:rsidR="00BA2EAA">
        <w:t>.</w:t>
      </w:r>
    </w:p>
    <w:p w14:paraId="403174E9" w14:textId="77777777" w:rsidR="00B51CFF" w:rsidRDefault="00B51CFF" w:rsidP="00B51CFF">
      <w:pPr>
        <w:pStyle w:val="ListBullet"/>
      </w:pPr>
      <w:r>
        <w:t xml:space="preserve">A user may be defined at multiple divisions within a multidivisional database. The settings for a user may differ from division to division and are mutually exclusive. </w:t>
      </w:r>
    </w:p>
    <w:p w14:paraId="348C0CF0" w14:textId="77777777" w:rsidR="00B51CFF" w:rsidRDefault="00B51CFF" w:rsidP="00B51CFF">
      <w:pPr>
        <w:pStyle w:val="Heading4"/>
      </w:pPr>
      <w:r>
        <w:t>User Roles with Access to This Option</w:t>
      </w:r>
    </w:p>
    <w:p w14:paraId="7BD910A0"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515FC83B"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Lead Technologist</w:t>
      </w:r>
    </w:p>
    <w:p w14:paraId="62914DE2" w14:textId="77777777" w:rsidR="00B51CFF" w:rsidRDefault="00B51CFF" w:rsidP="00B51CFF">
      <w:pPr>
        <w:pStyle w:val="Heading4"/>
      </w:pPr>
      <w:r>
        <w:t>Update User Roles</w:t>
      </w:r>
    </w:p>
    <w:p w14:paraId="7B65B7C1" w14:textId="77777777" w:rsidR="00B51CFF" w:rsidRDefault="00154095" w:rsidP="00B51CFF">
      <w:pPr>
        <w:pStyle w:val="Body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B51CFF">
        <w:t xml:space="preserve">An Administrator/Supervisor maintains assigned user roles, including associated levels of system access and the ability to process system overrides. These roles determine the available </w:t>
      </w:r>
      <w:r w:rsidR="00932460">
        <w:t xml:space="preserve">options </w:t>
      </w:r>
      <w:r w:rsidR="00B51CFF">
        <w:t xml:space="preserve">and the ability to override certain warnings. </w:t>
      </w:r>
    </w:p>
    <w:p w14:paraId="08477375" w14:textId="77777777" w:rsidR="00F317E7" w:rsidRDefault="003B4BF0" w:rsidP="00E87A80">
      <w:pPr>
        <w:pStyle w:val="Caution"/>
      </w:pPr>
      <w:bookmarkStart w:id="178" w:name="OLE_LINK13"/>
      <w:bookmarkStart w:id="179" w:name="OLE_LINK14"/>
      <w:r>
        <w:t xml:space="preserve">It is recommended that </w:t>
      </w:r>
      <w:r w:rsidR="00A868BE">
        <w:t>more than</w:t>
      </w:r>
      <w:r>
        <w:t xml:space="preserve"> one staff member be assigned the role of Administrator/Supervisor: when more than one Administrator/Supervisor updates roles simultaneously, changes made by one user are not visible to the other.</w:t>
      </w:r>
    </w:p>
    <w:bookmarkEnd w:id="178"/>
    <w:bookmarkEnd w:id="179"/>
    <w:p w14:paraId="38250B39" w14:textId="77777777" w:rsidR="00B51CFF" w:rsidRDefault="00B51CFF" w:rsidP="00B51CFF">
      <w:pPr>
        <w:pStyle w:val="BodyText"/>
      </w:pPr>
      <w:r>
        <w:t xml:space="preserve">One of six user roles may be assigned to users, by division: </w:t>
      </w:r>
    </w:p>
    <w:p w14:paraId="002C5AA2" w14:textId="77777777" w:rsidR="00B51CFF" w:rsidRDefault="00B51CFF" w:rsidP="00491BEC">
      <w:pPr>
        <w:pStyle w:val="ListBullet"/>
      </w:pPr>
      <w:r>
        <w:lastRenderedPageBreak/>
        <w:t>Level 1: Technologist</w:t>
      </w:r>
      <w:r w:rsidR="00491BEC">
        <w:t xml:space="preserve"> </w:t>
      </w:r>
      <w:r w:rsidR="00491BEC" w:rsidRPr="00EC7489">
        <w:rPr>
          <w:rFonts w:ascii="Wingdings 3" w:hAnsi="Wingdings 3" w:cs="Wingdings"/>
        </w:rPr>
        <w:t></w:t>
      </w:r>
    </w:p>
    <w:p w14:paraId="409DB2EC" w14:textId="77777777" w:rsidR="00B51CFF" w:rsidRDefault="00B51CFF" w:rsidP="00B51CFF">
      <w:pPr>
        <w:pStyle w:val="ListBullet"/>
      </w:pPr>
      <w:r>
        <w:t>Level 2: Enhanced Technologist</w:t>
      </w:r>
      <w:r w:rsidR="00491BEC">
        <w:t xml:space="preserve"> </w:t>
      </w:r>
      <w:r w:rsidR="00491BEC" w:rsidRPr="00EC7489">
        <w:rPr>
          <w:rFonts w:ascii="Wingdings 3" w:hAnsi="Wingdings 3" w:cs="Wingdings"/>
        </w:rPr>
        <w:t></w:t>
      </w:r>
      <w:r w:rsidR="00491BEC" w:rsidRPr="00EC7489">
        <w:rPr>
          <w:rFonts w:ascii="Wingdings 3" w:hAnsi="Wingdings 3" w:cs="Wingdings"/>
        </w:rPr>
        <w:t></w:t>
      </w:r>
    </w:p>
    <w:p w14:paraId="7CE5D8CE" w14:textId="77777777" w:rsidR="00B51CFF" w:rsidRDefault="00B51CFF" w:rsidP="00B51CFF">
      <w:pPr>
        <w:pStyle w:val="ListBullet"/>
      </w:pPr>
      <w:r>
        <w:t>Level 3: Lead Technologist</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18BB5398" w14:textId="77777777" w:rsidR="00B51CFF" w:rsidRDefault="00B51CFF" w:rsidP="00B51CFF">
      <w:pPr>
        <w:pStyle w:val="ListBullet"/>
      </w:pPr>
      <w:r>
        <w:t>Level 4: Traditional Supervisor</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6582B254" w14:textId="77777777" w:rsidR="00B51CFF" w:rsidRDefault="00B51CFF" w:rsidP="00B51CFF">
      <w:pPr>
        <w:pStyle w:val="ListBullet"/>
      </w:pPr>
      <w:r>
        <w:t>Level 5: Enhanced Supervisor</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62001EA0" w14:textId="472C8522" w:rsidR="00B51CFF" w:rsidRDefault="00B51CFF" w:rsidP="00B51CFF">
      <w:pPr>
        <w:pStyle w:val="ListBullet"/>
      </w:pPr>
      <w:r>
        <w:t xml:space="preserve">Level 6: Administrator/Supervisor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39A3BF5C" w14:textId="45E10696" w:rsidR="00B51CFF" w:rsidRDefault="00B51CFF" w:rsidP="00B51CFF">
      <w:pPr>
        <w:pStyle w:val="BodyText"/>
      </w:pPr>
      <w:r>
        <w:t>The functions associated with each user role are described in</w:t>
      </w:r>
      <w:r w:rsidR="00DA05C9">
        <w:t xml:space="preserve"> </w:t>
      </w:r>
      <w:r w:rsidR="00DA05C9">
        <w:fldChar w:fldCharType="begin"/>
      </w:r>
      <w:r w:rsidR="00DA05C9">
        <w:instrText xml:space="preserve"> REF _Ref126484343 \h </w:instrText>
      </w:r>
      <w:r w:rsidR="00DA05C9">
        <w:fldChar w:fldCharType="separate"/>
      </w:r>
      <w:r w:rsidR="004353ED">
        <w:t xml:space="preserve">Table </w:t>
      </w:r>
      <w:r w:rsidR="004353ED">
        <w:rPr>
          <w:noProof/>
        </w:rPr>
        <w:t>1</w:t>
      </w:r>
      <w:r w:rsidR="004353ED">
        <w:t xml:space="preserve">: </w:t>
      </w:r>
      <w:r w:rsidR="004353ED">
        <w:rPr>
          <w:vanish/>
        </w:rPr>
        <w:t xml:space="preserve">PT_19.01 </w:t>
      </w:r>
      <w:r w:rsidR="004353ED">
        <w:t>User Roles and Functions</w:t>
      </w:r>
      <w:r w:rsidR="00DA05C9">
        <w:fldChar w:fldCharType="end"/>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27B46406" w14:textId="77777777">
        <w:trPr>
          <w:cantSplit/>
          <w:tblHeader/>
        </w:trPr>
        <w:tc>
          <w:tcPr>
            <w:tcW w:w="3240" w:type="dxa"/>
            <w:shd w:val="pct30" w:color="auto" w:fill="FFFFFF"/>
            <w:vAlign w:val="bottom"/>
          </w:tcPr>
          <w:p w14:paraId="59F10117" w14:textId="77777777" w:rsidR="00B51CFF" w:rsidRDefault="00B51CFF" w:rsidP="00DB1D38">
            <w:pPr>
              <w:pStyle w:val="TableText"/>
              <w:rPr>
                <w:b/>
              </w:rPr>
            </w:pPr>
            <w:r>
              <w:rPr>
                <w:b/>
              </w:rPr>
              <w:t>User Action</w:t>
            </w:r>
          </w:p>
        </w:tc>
        <w:tc>
          <w:tcPr>
            <w:tcW w:w="6120" w:type="dxa"/>
            <w:shd w:val="pct30" w:color="auto" w:fill="FFFFFF"/>
            <w:vAlign w:val="bottom"/>
          </w:tcPr>
          <w:p w14:paraId="0DC3B2F0" w14:textId="77777777" w:rsidR="00B51CFF" w:rsidRDefault="00B51CFF" w:rsidP="00DB1D38">
            <w:pPr>
              <w:pStyle w:val="TableText"/>
              <w:rPr>
                <w:b/>
              </w:rPr>
            </w:pPr>
            <w:r>
              <w:rPr>
                <w:b/>
              </w:rPr>
              <w:t>VBECS</w:t>
            </w:r>
          </w:p>
        </w:tc>
      </w:tr>
      <w:tr w:rsidR="00B51CFF" w14:paraId="0A8082C7" w14:textId="77777777">
        <w:trPr>
          <w:cantSplit/>
        </w:trPr>
        <w:tc>
          <w:tcPr>
            <w:tcW w:w="3240" w:type="dxa"/>
            <w:tcBorders>
              <w:top w:val="single" w:sz="4" w:space="0" w:color="auto"/>
              <w:left w:val="single" w:sz="4" w:space="0" w:color="auto"/>
              <w:bottom w:val="single" w:sz="4" w:space="0" w:color="auto"/>
              <w:right w:val="single" w:sz="4" w:space="0" w:color="auto"/>
            </w:tcBorders>
          </w:tcPr>
          <w:p w14:paraId="4E6E14EB" w14:textId="77777777" w:rsidR="00B51CFF" w:rsidRDefault="00B51CFF" w:rsidP="00DB1D38">
            <w:pPr>
              <w:pStyle w:val="TableTextNumbers"/>
            </w:pPr>
            <w:r>
              <w:t xml:space="preserve">Select </w:t>
            </w:r>
            <w:r>
              <w:rPr>
                <w:b/>
              </w:rPr>
              <w:t>Tools</w:t>
            </w:r>
            <w:r>
              <w:t xml:space="preserve"> from the main menu.</w:t>
            </w:r>
          </w:p>
          <w:p w14:paraId="702553EF" w14:textId="77777777" w:rsidR="00B51CFF" w:rsidRDefault="00B51CFF" w:rsidP="00DB1D38">
            <w:pPr>
              <w:pStyle w:val="TableTextNumbersContinued"/>
            </w:pPr>
          </w:p>
          <w:p w14:paraId="6311EC7C" w14:textId="512AD014" w:rsidR="00B51CFF" w:rsidRDefault="00B51CFF" w:rsidP="008D26FD">
            <w:pPr>
              <w:pStyle w:val="TableTextNumbersContinued"/>
            </w:pPr>
            <w:r>
              <w:t xml:space="preserve">Select </w:t>
            </w:r>
            <w:r>
              <w:rPr>
                <w:b/>
              </w:rPr>
              <w:t>Update User Roles</w:t>
            </w:r>
            <w:r w:rsidR="007A18CD" w:rsidRPr="007A18CD">
              <w:t xml:space="preserve"> (</w:t>
            </w:r>
            <w:r w:rsidR="007A18CD">
              <w:fldChar w:fldCharType="begin"/>
            </w:r>
            <w:r w:rsidR="007A18CD">
              <w:instrText xml:space="preserve"> REF _Ref508779548 \h </w:instrText>
            </w:r>
            <w:r w:rsidR="007A18CD">
              <w:fldChar w:fldCharType="separate"/>
            </w:r>
            <w:r w:rsidR="004353ED">
              <w:t xml:space="preserve">Figure </w:t>
            </w:r>
            <w:r w:rsidR="004353ED">
              <w:rPr>
                <w:noProof/>
              </w:rPr>
              <w:t>42</w:t>
            </w:r>
            <w:r w:rsidR="007A18CD">
              <w:fldChar w:fldCharType="end"/>
            </w:r>
            <w:r w:rsidR="007A18CD" w:rsidRPr="007A18CD">
              <w:t>).</w:t>
            </w:r>
          </w:p>
        </w:tc>
        <w:tc>
          <w:tcPr>
            <w:tcW w:w="6120" w:type="dxa"/>
            <w:tcBorders>
              <w:top w:val="single" w:sz="4" w:space="0" w:color="auto"/>
              <w:left w:val="single" w:sz="4" w:space="0" w:color="auto"/>
              <w:bottom w:val="single" w:sz="4" w:space="0" w:color="auto"/>
              <w:right w:val="single" w:sz="4" w:space="0" w:color="auto"/>
            </w:tcBorders>
          </w:tcPr>
          <w:p w14:paraId="41AA4A35" w14:textId="77777777" w:rsidR="00B51CFF" w:rsidRDefault="00B51CFF" w:rsidP="00DB1D38">
            <w:pPr>
              <w:pStyle w:val="TableTextBullet"/>
            </w:pPr>
            <w:r>
              <w:t>Displays options for processing administrative functions.</w:t>
            </w:r>
          </w:p>
          <w:p w14:paraId="3CEDA214" w14:textId="77777777" w:rsidR="00B51CFF" w:rsidRDefault="00B51CFF" w:rsidP="00DB1D38">
            <w:pPr>
              <w:pStyle w:val="TableTextBullet"/>
            </w:pPr>
            <w:r>
              <w:t>Lists active users and associated information, including user name, ID, role, initials and email address.</w:t>
            </w:r>
          </w:p>
          <w:p w14:paraId="036FB668" w14:textId="77777777" w:rsidR="00B51CFF" w:rsidRDefault="00B51CFF" w:rsidP="00DB1D38">
            <w:pPr>
              <w:pStyle w:val="TableTextBullet"/>
            </w:pPr>
            <w:r>
              <w:t>Displays an option to print a VBECS User Report.</w:t>
            </w:r>
          </w:p>
          <w:p w14:paraId="6FB55ECA" w14:textId="77777777" w:rsidR="00B51CFF" w:rsidRDefault="00B51CFF" w:rsidP="00DB1D38">
            <w:pPr>
              <w:pStyle w:val="TableText"/>
            </w:pPr>
          </w:p>
          <w:p w14:paraId="1C024F44" w14:textId="2E57B204" w:rsidR="00B51CFF" w:rsidRDefault="00B51CFF" w:rsidP="00DB1D38">
            <w:pPr>
              <w:pStyle w:val="TableText"/>
              <w:rPr>
                <w:b/>
                <w:bCs/>
                <w:szCs w:val="18"/>
              </w:rPr>
            </w:pPr>
            <w:r>
              <w:rPr>
                <w:b/>
                <w:bCs/>
                <w:szCs w:val="18"/>
              </w:rPr>
              <w:t>NOTES</w:t>
            </w:r>
          </w:p>
          <w:p w14:paraId="1FA79C20" w14:textId="77777777" w:rsidR="00B51CFF" w:rsidRDefault="00B51CFF" w:rsidP="00DB1D38">
            <w:pPr>
              <w:pStyle w:val="NotesText"/>
            </w:pPr>
          </w:p>
          <w:p w14:paraId="7C1D48D8" w14:textId="77777777" w:rsidR="00B51CFF" w:rsidRDefault="00B51CFF" w:rsidP="00DB1D38">
            <w:pPr>
              <w:pStyle w:val="NotesText"/>
            </w:pPr>
            <w:r w:rsidRPr="00E274BF">
              <w:rPr>
                <w:rFonts w:cs="Arial"/>
                <w:vanish/>
                <w:szCs w:val="18"/>
              </w:rPr>
              <w:t>BR_19.17</w:t>
            </w:r>
            <w:r w:rsidRPr="009660C3">
              <w:rPr>
                <w:vanish/>
                <w:szCs w:val="18"/>
              </w:rPr>
              <w:t xml:space="preserve"> </w:t>
            </w:r>
            <w:r>
              <w:t xml:space="preserve">Click </w:t>
            </w:r>
            <w:r>
              <w:rPr>
                <w:b/>
              </w:rPr>
              <w:t>Print</w:t>
            </w:r>
            <w:r>
              <w:t xml:space="preserve"> at any time in this process to print a VBECS User Report.</w:t>
            </w:r>
          </w:p>
        </w:tc>
      </w:tr>
      <w:tr w:rsidR="00B51CFF" w14:paraId="7B1DF3EA" w14:textId="77777777">
        <w:trPr>
          <w:cantSplit/>
        </w:trPr>
        <w:tc>
          <w:tcPr>
            <w:tcW w:w="3240" w:type="dxa"/>
            <w:tcBorders>
              <w:bottom w:val="single" w:sz="4" w:space="0" w:color="auto"/>
            </w:tcBorders>
          </w:tcPr>
          <w:p w14:paraId="7F25CCF4" w14:textId="77777777" w:rsidR="00B51CFF" w:rsidRDefault="00B51CFF" w:rsidP="00DB1D38">
            <w:pPr>
              <w:pStyle w:val="TableTextNumbers"/>
            </w:pPr>
            <w:r>
              <w:t>Click one or more check boxes to select users.</w:t>
            </w:r>
          </w:p>
          <w:p w14:paraId="6834A37A" w14:textId="77777777" w:rsidR="00B51CFF" w:rsidRDefault="00B51CFF" w:rsidP="00DB1D38">
            <w:pPr>
              <w:pStyle w:val="TableTextNumbersContinued"/>
            </w:pPr>
          </w:p>
          <w:p w14:paraId="46705C75" w14:textId="77777777" w:rsidR="00B51CFF" w:rsidRDefault="00B51CFF" w:rsidP="00DB1D38">
            <w:pPr>
              <w:pStyle w:val="TableTextNumbersContinued"/>
            </w:pPr>
          </w:p>
        </w:tc>
        <w:tc>
          <w:tcPr>
            <w:tcW w:w="6120" w:type="dxa"/>
            <w:tcBorders>
              <w:bottom w:val="single" w:sz="4" w:space="0" w:color="auto"/>
            </w:tcBorders>
          </w:tcPr>
          <w:p w14:paraId="5F97C5E0" w14:textId="77777777" w:rsidR="00B51CFF" w:rsidRDefault="00B51CFF" w:rsidP="00DB1D38">
            <w:pPr>
              <w:pStyle w:val="TableTextBullet"/>
            </w:pPr>
            <w:r w:rsidRPr="00E274BF">
              <w:rPr>
                <w:rFonts w:cs="Arial"/>
                <w:vanish/>
                <w:szCs w:val="18"/>
              </w:rPr>
              <w:t>BR_19.05</w:t>
            </w:r>
            <w:r w:rsidRPr="009660C3">
              <w:rPr>
                <w:vanish/>
                <w:szCs w:val="18"/>
              </w:rPr>
              <w:t xml:space="preserve"> </w:t>
            </w:r>
            <w:r>
              <w:t>Allows the assignment of a security level to one or more users at a time.</w:t>
            </w:r>
          </w:p>
          <w:p w14:paraId="5C8F0641" w14:textId="77777777" w:rsidR="00B51CFF" w:rsidRDefault="00B51CFF" w:rsidP="00DB1D38">
            <w:pPr>
              <w:pStyle w:val="TableText"/>
            </w:pPr>
          </w:p>
          <w:p w14:paraId="75EFCA52" w14:textId="75551486" w:rsidR="00B51CFF" w:rsidRDefault="00B51CFF" w:rsidP="00DB1D38">
            <w:pPr>
              <w:pStyle w:val="TableText"/>
              <w:rPr>
                <w:b/>
                <w:bCs/>
                <w:szCs w:val="18"/>
              </w:rPr>
            </w:pPr>
            <w:r>
              <w:rPr>
                <w:b/>
                <w:bCs/>
                <w:szCs w:val="18"/>
              </w:rPr>
              <w:t>NOTES</w:t>
            </w:r>
          </w:p>
          <w:p w14:paraId="0B319C69" w14:textId="77777777" w:rsidR="00B51CFF" w:rsidRDefault="00B51CFF" w:rsidP="00DB1D38">
            <w:pPr>
              <w:pStyle w:val="NotesText"/>
            </w:pPr>
          </w:p>
          <w:p w14:paraId="094A1BEC" w14:textId="77777777" w:rsidR="00B51CFF" w:rsidRDefault="00B51CFF" w:rsidP="00DB1D38">
            <w:pPr>
              <w:pStyle w:val="NotesText"/>
            </w:pPr>
            <w:r>
              <w:t>The role that a user selects is assigned to all selected users.</w:t>
            </w:r>
          </w:p>
        </w:tc>
      </w:tr>
      <w:tr w:rsidR="00B51CFF" w14:paraId="47BB3B98" w14:textId="77777777">
        <w:trPr>
          <w:cantSplit/>
        </w:trPr>
        <w:tc>
          <w:tcPr>
            <w:tcW w:w="3240" w:type="dxa"/>
            <w:tcBorders>
              <w:bottom w:val="single" w:sz="4" w:space="0" w:color="auto"/>
            </w:tcBorders>
          </w:tcPr>
          <w:p w14:paraId="47234747" w14:textId="327EA562" w:rsidR="00B51CFF" w:rsidRDefault="00B51CFF" w:rsidP="00DB1D38">
            <w:pPr>
              <w:pStyle w:val="TableTextNumbersContinued"/>
            </w:pPr>
            <w:r>
              <w:t>Select a user role from the drop-down list in the Use</w:t>
            </w:r>
            <w:r w:rsidR="0039783A">
              <w:t>r</w:t>
            </w:r>
            <w:r>
              <w:t xml:space="preserve"> Role field.</w:t>
            </w:r>
          </w:p>
          <w:p w14:paraId="2F723E98" w14:textId="77777777" w:rsidR="00B51CFF" w:rsidRDefault="00B51CFF" w:rsidP="00DB1D38">
            <w:pPr>
              <w:pStyle w:val="TableTextNumbersContinued"/>
            </w:pPr>
          </w:p>
          <w:p w14:paraId="4CD811DA" w14:textId="77777777" w:rsidR="00B51CFF" w:rsidRDefault="00B51CFF" w:rsidP="00DB1D38">
            <w:pPr>
              <w:pStyle w:val="TableTextNumbers"/>
            </w:pPr>
            <w:r>
              <w:t xml:space="preserve">Click </w:t>
            </w:r>
            <w:r>
              <w:rPr>
                <w:b/>
              </w:rPr>
              <w:t>OK</w:t>
            </w:r>
            <w:r>
              <w:t>.</w:t>
            </w:r>
          </w:p>
        </w:tc>
        <w:tc>
          <w:tcPr>
            <w:tcW w:w="6120" w:type="dxa"/>
            <w:tcBorders>
              <w:bottom w:val="single" w:sz="4" w:space="0" w:color="auto"/>
            </w:tcBorders>
          </w:tcPr>
          <w:p w14:paraId="1831C0B9" w14:textId="77777777" w:rsidR="00B51CFF" w:rsidRDefault="00B51CFF" w:rsidP="00DB1D38">
            <w:pPr>
              <w:pStyle w:val="TableTextBullet"/>
            </w:pPr>
            <w:r>
              <w:t>Requests confirmation of the names of users to be changed and the role to be assigned.</w:t>
            </w:r>
          </w:p>
        </w:tc>
      </w:tr>
      <w:tr w:rsidR="00B51CFF" w14:paraId="36C72455" w14:textId="77777777">
        <w:trPr>
          <w:cantSplit/>
        </w:trPr>
        <w:tc>
          <w:tcPr>
            <w:tcW w:w="3240" w:type="dxa"/>
          </w:tcPr>
          <w:p w14:paraId="74EA0D82" w14:textId="77777777" w:rsidR="00B51CFF" w:rsidRDefault="00B51CFF" w:rsidP="00DB1D38">
            <w:pPr>
              <w:pStyle w:val="TableTextNumbers"/>
            </w:pPr>
            <w:r>
              <w:t xml:space="preserve">Click </w:t>
            </w:r>
            <w:r>
              <w:rPr>
                <w:b/>
              </w:rPr>
              <w:t>Yes</w:t>
            </w:r>
            <w:r>
              <w:t xml:space="preserve"> to confirm the save or </w:t>
            </w:r>
            <w:r>
              <w:rPr>
                <w:b/>
              </w:rPr>
              <w:t>No</w:t>
            </w:r>
            <w:r>
              <w:t xml:space="preserve"> to change the users selected.</w:t>
            </w:r>
          </w:p>
        </w:tc>
        <w:tc>
          <w:tcPr>
            <w:tcW w:w="6120" w:type="dxa"/>
          </w:tcPr>
          <w:p w14:paraId="52152584" w14:textId="77777777" w:rsidR="00B51CFF" w:rsidRDefault="00B51CFF" w:rsidP="00DB1D38">
            <w:pPr>
              <w:pStyle w:val="TableTextBullet"/>
            </w:pPr>
            <w:r>
              <w:t>Creates an Audit Trail Report entry.</w:t>
            </w:r>
          </w:p>
          <w:p w14:paraId="1974F426" w14:textId="2E883D10" w:rsidR="00B51CFF" w:rsidRDefault="00B51CFF" w:rsidP="00001639">
            <w:pPr>
              <w:pStyle w:val="NotesText"/>
              <w:ind w:left="0"/>
            </w:pPr>
          </w:p>
        </w:tc>
      </w:tr>
      <w:tr w:rsidR="00B51CFF" w14:paraId="1445C335" w14:textId="77777777">
        <w:trPr>
          <w:cantSplit/>
        </w:trPr>
        <w:tc>
          <w:tcPr>
            <w:tcW w:w="3240" w:type="dxa"/>
          </w:tcPr>
          <w:p w14:paraId="10C99225" w14:textId="77777777" w:rsidR="00B51CFF" w:rsidRDefault="00B51CFF" w:rsidP="00DB1D38">
            <w:pPr>
              <w:pStyle w:val="TableTextNumbers"/>
            </w:pPr>
            <w:r>
              <w:t>Repeat Steps 2–4 to change the roles of additional users.</w:t>
            </w:r>
          </w:p>
        </w:tc>
        <w:tc>
          <w:tcPr>
            <w:tcW w:w="6120" w:type="dxa"/>
          </w:tcPr>
          <w:p w14:paraId="1FF850F0" w14:textId="77777777" w:rsidR="00B51CFF" w:rsidRDefault="00B51CFF" w:rsidP="00DB1D38">
            <w:pPr>
              <w:pStyle w:val="TableText"/>
            </w:pPr>
          </w:p>
        </w:tc>
      </w:tr>
      <w:tr w:rsidR="00B51CFF" w14:paraId="7F786808" w14:textId="77777777">
        <w:trPr>
          <w:cantSplit/>
        </w:trPr>
        <w:tc>
          <w:tcPr>
            <w:tcW w:w="3240" w:type="dxa"/>
          </w:tcPr>
          <w:p w14:paraId="535E8EB0" w14:textId="77777777" w:rsidR="00B51CFF" w:rsidRDefault="00B51CFF" w:rsidP="00DB1D38">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80" w:author="Blalock, David (Leidos)" w:date="2020-06-15T14:09:00Z" w:original="0."/>
              </w:fldChar>
            </w:r>
          </w:p>
        </w:tc>
        <w:tc>
          <w:tcPr>
            <w:tcW w:w="6120" w:type="dxa"/>
          </w:tcPr>
          <w:p w14:paraId="6D94C5E2" w14:textId="77777777" w:rsidR="00B51CFF" w:rsidRDefault="00B51CFF" w:rsidP="00DB1D38">
            <w:pPr>
              <w:pStyle w:val="TableText"/>
            </w:pPr>
          </w:p>
        </w:tc>
      </w:tr>
    </w:tbl>
    <w:p w14:paraId="493C01B4" w14:textId="36E6A1BB" w:rsidR="007A18CD" w:rsidRDefault="007A18CD" w:rsidP="007A18CD">
      <w:pPr>
        <w:pStyle w:val="Caption"/>
      </w:pPr>
      <w:bookmarkStart w:id="181" w:name="_Ref50877954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42</w:t>
      </w:r>
      <w:r w:rsidR="004E20BD">
        <w:rPr>
          <w:noProof/>
        </w:rPr>
        <w:fldChar w:fldCharType="end"/>
      </w:r>
      <w:bookmarkEnd w:id="181"/>
      <w:r>
        <w:t>: Update User Roles</w:t>
      </w:r>
    </w:p>
    <w:p w14:paraId="1E1A278A" w14:textId="77777777" w:rsidR="007A18CD" w:rsidRPr="007A18CD" w:rsidRDefault="00057948" w:rsidP="007A18CD">
      <w:pPr>
        <w:pStyle w:val="BodyText"/>
      </w:pPr>
      <w:r>
        <w:rPr>
          <w:noProof/>
        </w:rPr>
        <w:drawing>
          <wp:inline distT="0" distB="0" distL="0" distR="0" wp14:anchorId="5BD8E4F8" wp14:editId="2AD4DFCD">
            <wp:extent cx="5939155" cy="3269615"/>
            <wp:effectExtent l="0" t="0" r="4445" b="6985"/>
            <wp:docPr id="124" name="Picture 124" descr="UC_19_UpdateUserR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UC_19_UpdateUserRoles"/>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39155" cy="3269615"/>
                    </a:xfrm>
                    <a:prstGeom prst="rect">
                      <a:avLst/>
                    </a:prstGeom>
                    <a:noFill/>
                    <a:ln>
                      <a:noFill/>
                    </a:ln>
                  </pic:spPr>
                </pic:pic>
              </a:graphicData>
            </a:graphic>
          </wp:inline>
        </w:drawing>
      </w:r>
    </w:p>
    <w:p w14:paraId="6C6BA81B" w14:textId="77777777" w:rsidR="00B51CFF" w:rsidRDefault="00B51CFF" w:rsidP="00B51CFF">
      <w:pPr>
        <w:pStyle w:val="Heading4"/>
      </w:pPr>
      <w:r>
        <w:t>VBECS User Report</w:t>
      </w:r>
      <w:r>
        <w:fldChar w:fldCharType="begin"/>
      </w:r>
      <w:r>
        <w:instrText xml:space="preserve"> XE “VBECS User Report” </w:instrText>
      </w:r>
      <w:r>
        <w:fldChar w:fldCharType="end"/>
      </w:r>
    </w:p>
    <w:p w14:paraId="791CFEE1" w14:textId="77777777" w:rsidR="00B51CFF" w:rsidRDefault="00B51CFF" w:rsidP="00B51CFF">
      <w:pPr>
        <w:pStyle w:val="BodyText"/>
      </w:pPr>
      <w:r>
        <w:t xml:space="preserve">The user may generate a </w:t>
      </w:r>
      <w:r w:rsidR="00F55505">
        <w:t xml:space="preserve">division </w:t>
      </w:r>
      <w:r>
        <w:t xml:space="preserve">report that includes the names, VBECS user IDs, and roles of active users. </w:t>
      </w:r>
      <w:r w:rsidR="005C768D" w:rsidRPr="00EC7489">
        <w:rPr>
          <w:rFonts w:ascii="Wingdings 3" w:hAnsi="Wingdings 3" w:cs="Wingdings"/>
        </w:rPr>
        <w:t></w:t>
      </w:r>
      <w:r w:rsidR="005C768D" w:rsidRPr="00EC7489">
        <w:rPr>
          <w:rFonts w:ascii="Wingdings 3" w:hAnsi="Wingdings 3" w:cs="Wingdings"/>
        </w:rPr>
        <w:t></w:t>
      </w:r>
      <w:r w:rsidR="005C768D" w:rsidRPr="00EC7489">
        <w:rPr>
          <w:rFonts w:ascii="Wingdings 3" w:hAnsi="Wingdings 3" w:cs="Wingdings"/>
        </w:rPr>
        <w:t></w:t>
      </w:r>
      <w:r w:rsidR="005C768D">
        <w:t xml:space="preserve"> </w:t>
      </w:r>
      <w:r w:rsidR="002E7EBF">
        <w:t xml:space="preserve">A </w:t>
      </w:r>
      <w:r w:rsidR="002E7EBF">
        <w:rPr>
          <w:snapToGrid w:val="0"/>
        </w:rPr>
        <w:t>Lead Technologist</w:t>
      </w:r>
      <w:r w:rsidR="002E7EBF">
        <w:t xml:space="preserve"> may generate a report of current VBECS users, by division, that includes the users’ name, user ID, division, and role. </w:t>
      </w:r>
    </w:p>
    <w:p w14:paraId="686AED4E" w14:textId="77777777" w:rsidR="00B51CFF" w:rsidRDefault="00B51CFF" w:rsidP="00B51CFF">
      <w:pPr>
        <w:pStyle w:val="Heading2"/>
      </w:pPr>
      <w:bookmarkStart w:id="182" w:name="_Toc49233584"/>
      <w:bookmarkStart w:id="183" w:name="_Toc61845162"/>
      <w:r>
        <w:br w:type="page"/>
      </w:r>
      <w:bookmarkStart w:id="184" w:name="_Toc47516692"/>
      <w:bookmarkEnd w:id="182"/>
      <w:bookmarkEnd w:id="183"/>
      <w:r>
        <w:lastRenderedPageBreak/>
        <w:t>Component Classes</w:t>
      </w:r>
      <w:bookmarkEnd w:id="184"/>
      <w:r w:rsidRPr="00AB67A6">
        <w:rPr>
          <w:rFonts w:ascii="Arial Bold" w:hAnsi="Arial Bold"/>
          <w:vanish/>
        </w:rPr>
        <w:fldChar w:fldCharType="begin"/>
      </w:r>
      <w:r w:rsidRPr="00AB67A6">
        <w:rPr>
          <w:rFonts w:ascii="Arial Bold" w:hAnsi="Arial Bold"/>
          <w:vanish/>
        </w:rPr>
        <w:instrText xml:space="preserve"> XE “Component Classes” </w:instrText>
      </w:r>
      <w:r w:rsidRPr="00AB67A6">
        <w:rPr>
          <w:rFonts w:ascii="Arial Bold" w:hAnsi="Arial Bold"/>
          <w:vanish/>
        </w:rPr>
        <w:fldChar w:fldCharType="end"/>
      </w:r>
      <w:r w:rsidRPr="00AB67A6">
        <w:rPr>
          <w:rFonts w:ascii="Arial Bold" w:hAnsi="Arial Bold"/>
          <w:vanish/>
        </w:rPr>
        <w:t xml:space="preserve"> UC_50</w:t>
      </w:r>
    </w:p>
    <w:p w14:paraId="691EB501" w14:textId="0954945B" w:rsidR="00B51CFF" w:rsidRDefault="00B51CFF" w:rsidP="00B51CFF">
      <w:pPr>
        <w:pStyle w:val="BodyText"/>
      </w:pPr>
      <w:r>
        <w:t>The user configures the component class parameters for the selected division.</w:t>
      </w:r>
      <w:r w:rsidR="008D2779">
        <w:t xml:space="preserve"> For more information, see </w:t>
      </w:r>
      <w:r w:rsidR="008D2779">
        <w:fldChar w:fldCharType="begin"/>
      </w:r>
      <w:r w:rsidR="008D2779">
        <w:instrText xml:space="preserve"> REF _Ref508960075 \h </w:instrText>
      </w:r>
      <w:r w:rsidR="008D2779">
        <w:fldChar w:fldCharType="separate"/>
      </w:r>
      <w:r w:rsidR="004353ED">
        <w:t xml:space="preserve">Appendix </w:t>
      </w:r>
      <w:r w:rsidR="004353ED">
        <w:rPr>
          <w:noProof/>
        </w:rPr>
        <w:t>G</w:t>
      </w:r>
      <w:r w:rsidR="004353ED">
        <w:t>: Work Process Flowcharts</w:t>
      </w:r>
      <w:r w:rsidR="008D2779">
        <w:fldChar w:fldCharType="end"/>
      </w:r>
      <w:r w:rsidR="008D2779">
        <w:t>.</w:t>
      </w:r>
    </w:p>
    <w:p w14:paraId="5A12E83D" w14:textId="77777777" w:rsidR="00B51CFF" w:rsidRDefault="00B51CFF" w:rsidP="00B51CFF">
      <w:pPr>
        <w:pStyle w:val="Heading4"/>
      </w:pPr>
      <w:r>
        <w:t>Assumptions</w:t>
      </w:r>
    </w:p>
    <w:p w14:paraId="22645630" w14:textId="77777777" w:rsidR="00B51CFF" w:rsidRDefault="00B51CFF" w:rsidP="00B51CFF">
      <w:pPr>
        <w:pStyle w:val="ListBullet"/>
      </w:pPr>
      <w:r>
        <w:t xml:space="preserve">The connection to </w:t>
      </w:r>
      <w:r w:rsidRPr="00CA0045">
        <w:rPr>
          <w:bCs/>
        </w:rPr>
        <w:t>VistA</w:t>
      </w:r>
      <w:r>
        <w:t xml:space="preserve"> is active.</w:t>
      </w:r>
    </w:p>
    <w:p w14:paraId="7E4B23BC" w14:textId="77777777" w:rsidR="00B51CFF" w:rsidRDefault="00B51CFF" w:rsidP="00B51CFF">
      <w:pPr>
        <w:pStyle w:val="ListBullet"/>
      </w:pPr>
      <w:r>
        <w:rPr>
          <w:vanish/>
          <w:spacing w:val="0"/>
        </w:rPr>
        <w:t xml:space="preserve">BR_50.03 </w:t>
      </w:r>
      <w:r>
        <w:t>The WHOLE BLOOD and RED BLOOD CELLS component classes are deployed as requiring current specimen ABO/Rh results before issue and may not be edited.</w:t>
      </w:r>
    </w:p>
    <w:p w14:paraId="23A6DB42" w14:textId="77777777" w:rsidR="00B51CFF" w:rsidRDefault="00B51CFF" w:rsidP="00B51CFF">
      <w:pPr>
        <w:pStyle w:val="ListBullet"/>
      </w:pPr>
      <w:r>
        <w:t xml:space="preserve">The FFP, PLT, CRYO and OTHER component classes do not have a specimen requirement defined at deployment. </w:t>
      </w:r>
    </w:p>
    <w:p w14:paraId="53364579" w14:textId="77777777" w:rsidR="00B51CFF" w:rsidRDefault="00B51CFF" w:rsidP="00B51CFF">
      <w:pPr>
        <w:pStyle w:val="Heading4"/>
      </w:pPr>
      <w:r>
        <w:t>Outcome</w:t>
      </w:r>
    </w:p>
    <w:p w14:paraId="64140C45" w14:textId="77777777" w:rsidR="00B51CFF" w:rsidRDefault="00B51CFF" w:rsidP="00B51CFF">
      <w:pPr>
        <w:pStyle w:val="ListBullet"/>
      </w:pPr>
      <w:r>
        <w:t>Divisions have local settings for all component classes.</w:t>
      </w:r>
    </w:p>
    <w:p w14:paraId="7027A0AF" w14:textId="77777777" w:rsidR="00B51CFF" w:rsidRDefault="00B51CFF" w:rsidP="00B51CFF">
      <w:pPr>
        <w:pStyle w:val="Heading4"/>
      </w:pPr>
      <w:r>
        <w:t>Limitations and Restrictions</w:t>
      </w:r>
    </w:p>
    <w:p w14:paraId="3B4C4FD0" w14:textId="77777777" w:rsidR="00B51CFF" w:rsidRDefault="00B51CFF" w:rsidP="00B51CFF">
      <w:pPr>
        <w:pStyle w:val="ListBullet"/>
      </w:pPr>
      <w:r>
        <w:t xml:space="preserve">The user may not change the specimen requirement for a component class when there are incomplete orders for that component class. </w:t>
      </w:r>
    </w:p>
    <w:p w14:paraId="799EAA50" w14:textId="77777777" w:rsidR="00B51CFF" w:rsidRDefault="00B51CFF" w:rsidP="00B51CFF">
      <w:pPr>
        <w:pStyle w:val="ListBullet"/>
      </w:pPr>
      <w:r>
        <w:t xml:space="preserve">There is no retrospective data entry or user selection </w:t>
      </w:r>
      <w:r w:rsidR="00F468B5">
        <w:t>for this</w:t>
      </w:r>
      <w:r>
        <w:t xml:space="preserve"> </w:t>
      </w:r>
      <w:r w:rsidR="00932460">
        <w:t>option</w:t>
      </w:r>
      <w:r>
        <w:t xml:space="preserve">. </w:t>
      </w:r>
    </w:p>
    <w:p w14:paraId="56F8B167" w14:textId="77777777" w:rsidR="00B51CFF" w:rsidRDefault="00B51CFF" w:rsidP="00B51CFF">
      <w:pPr>
        <w:pStyle w:val="Heading4"/>
      </w:pPr>
      <w:r>
        <w:t>Additional Information</w:t>
      </w:r>
    </w:p>
    <w:p w14:paraId="1DBA9D74" w14:textId="77777777" w:rsidR="00B51CFF" w:rsidRDefault="00B51CFF" w:rsidP="00B51CFF">
      <w:pPr>
        <w:pStyle w:val="ListBullet"/>
      </w:pPr>
      <w:r>
        <w:t xml:space="preserve">None </w:t>
      </w:r>
    </w:p>
    <w:p w14:paraId="1B37273C" w14:textId="77777777" w:rsidR="00B51CFF" w:rsidRDefault="00B51CFF" w:rsidP="00B51CFF">
      <w:pPr>
        <w:pStyle w:val="Heading4"/>
      </w:pPr>
      <w:r>
        <w:t>User Roles with Access to This Option</w:t>
      </w:r>
    </w:p>
    <w:p w14:paraId="2DE8F633" w14:textId="77777777" w:rsidR="00B51CFF" w:rsidRDefault="00B51CFF" w:rsidP="00B51CFF">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5D39CE5A" w14:textId="77777777" w:rsidR="00B51CFF" w:rsidRDefault="00B51CFF" w:rsidP="00B51CFF">
      <w:pPr>
        <w:pStyle w:val="Heading4"/>
      </w:pPr>
      <w:r>
        <w:t>Component Classes</w:t>
      </w:r>
    </w:p>
    <w:p w14:paraId="0DAE4C02" w14:textId="77777777" w:rsidR="00B51CFF" w:rsidRDefault="00B51CFF" w:rsidP="00B51CFF">
      <w:pPr>
        <w:pStyle w:val="BodyText"/>
      </w:pPr>
      <w:r>
        <w:t>The user configures the parameters for the division’s component classes. These parameters are applied to all blood units that descend from this class. Component classes may be reset when business practices affecting the use of component classes change at a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377DB783" w14:textId="77777777">
        <w:trPr>
          <w:tblHeader/>
        </w:trPr>
        <w:tc>
          <w:tcPr>
            <w:tcW w:w="3240" w:type="dxa"/>
            <w:shd w:val="pct30" w:color="auto" w:fill="FFFFFF"/>
            <w:vAlign w:val="bottom"/>
          </w:tcPr>
          <w:p w14:paraId="72A69F1F" w14:textId="77777777" w:rsidR="00B51CFF" w:rsidRDefault="00B51CFF" w:rsidP="00DB1D38">
            <w:pPr>
              <w:pStyle w:val="TableText"/>
              <w:rPr>
                <w:b/>
              </w:rPr>
            </w:pPr>
            <w:r>
              <w:rPr>
                <w:b/>
              </w:rPr>
              <w:t>User Action</w:t>
            </w:r>
          </w:p>
        </w:tc>
        <w:tc>
          <w:tcPr>
            <w:tcW w:w="6120" w:type="dxa"/>
            <w:shd w:val="pct30" w:color="auto" w:fill="FFFFFF"/>
            <w:vAlign w:val="bottom"/>
          </w:tcPr>
          <w:p w14:paraId="7D336384" w14:textId="77777777" w:rsidR="00B51CFF" w:rsidRDefault="00B51CFF" w:rsidP="00DB1D38">
            <w:pPr>
              <w:pStyle w:val="TableText"/>
              <w:rPr>
                <w:b/>
              </w:rPr>
            </w:pPr>
            <w:r>
              <w:rPr>
                <w:b/>
              </w:rPr>
              <w:t>VBECS</w:t>
            </w:r>
          </w:p>
        </w:tc>
      </w:tr>
      <w:tr w:rsidR="00B51CFF" w14:paraId="61FF3A9A" w14:textId="77777777">
        <w:tc>
          <w:tcPr>
            <w:tcW w:w="3240" w:type="dxa"/>
          </w:tcPr>
          <w:p w14:paraId="6CF60078" w14:textId="77777777" w:rsidR="00B51CFF" w:rsidRDefault="00B51CFF" w:rsidP="00DB1D38">
            <w:pPr>
              <w:pStyle w:val="TableTextNumbers"/>
            </w:pPr>
            <w:r>
              <w:t xml:space="preserve">Select </w:t>
            </w:r>
            <w:r>
              <w:rPr>
                <w:b/>
                <w:bCs/>
              </w:rPr>
              <w:t>Tools</w:t>
            </w:r>
            <w:r>
              <w:t xml:space="preserve"> from the main menu.</w:t>
            </w:r>
          </w:p>
          <w:p w14:paraId="347CDA4E" w14:textId="77777777" w:rsidR="00B51CFF" w:rsidRDefault="00B51CFF" w:rsidP="00DB1D38">
            <w:pPr>
              <w:pStyle w:val="TableTextNumbersContinued"/>
            </w:pPr>
          </w:p>
          <w:p w14:paraId="34CFAC97" w14:textId="11F537B0" w:rsidR="00B51CFF" w:rsidRDefault="00B51CFF" w:rsidP="00DB1D38">
            <w:pPr>
              <w:pStyle w:val="TableTextNumbersContinued"/>
            </w:pPr>
            <w:r>
              <w:t xml:space="preserve">Select </w:t>
            </w:r>
            <w:r>
              <w:rPr>
                <w:b/>
              </w:rPr>
              <w:t>Component Classes</w:t>
            </w:r>
            <w:r w:rsidR="00255293" w:rsidRPr="00255293">
              <w:t xml:space="preserve"> (</w:t>
            </w:r>
            <w:r w:rsidR="00255293">
              <w:fldChar w:fldCharType="begin"/>
            </w:r>
            <w:r w:rsidR="00255293">
              <w:instrText xml:space="preserve"> REF _Ref126470219 \h </w:instrText>
            </w:r>
            <w:r w:rsidR="00255293">
              <w:fldChar w:fldCharType="separate"/>
            </w:r>
            <w:r w:rsidR="004353ED">
              <w:t xml:space="preserve">Figure </w:t>
            </w:r>
            <w:r w:rsidR="004353ED">
              <w:rPr>
                <w:noProof/>
              </w:rPr>
              <w:t>43</w:t>
            </w:r>
            <w:r w:rsidR="00255293">
              <w:fldChar w:fldCharType="end"/>
            </w:r>
            <w:r w:rsidR="00255293">
              <w:t>)</w:t>
            </w:r>
            <w:r>
              <w:t>.</w:t>
            </w:r>
          </w:p>
        </w:tc>
        <w:tc>
          <w:tcPr>
            <w:tcW w:w="6120" w:type="dxa"/>
          </w:tcPr>
          <w:p w14:paraId="1E1CF6EC" w14:textId="77777777" w:rsidR="00B51CFF" w:rsidRDefault="00B51CFF" w:rsidP="00DB1D38">
            <w:pPr>
              <w:pStyle w:val="TableTextBullet"/>
            </w:pPr>
            <w:r>
              <w:t>Displays options for processing administrative functions.</w:t>
            </w:r>
          </w:p>
          <w:p w14:paraId="58397BF2" w14:textId="77777777" w:rsidR="00B51CFF" w:rsidRDefault="00B51CFF" w:rsidP="00DB1D38">
            <w:pPr>
              <w:pStyle w:val="TableTextBullet"/>
            </w:pPr>
            <w:r>
              <w:t>Lists component classes.</w:t>
            </w:r>
          </w:p>
          <w:p w14:paraId="3054E64E" w14:textId="77777777" w:rsidR="00B51CFF" w:rsidRDefault="00B51CFF" w:rsidP="00DB1D38">
            <w:pPr>
              <w:pStyle w:val="TableTextBullet"/>
            </w:pPr>
            <w:r>
              <w:t>Displays options for configuring division component classes:</w:t>
            </w:r>
          </w:p>
          <w:p w14:paraId="44140DAF" w14:textId="77777777" w:rsidR="00B51CFF" w:rsidRDefault="00B51CFF" w:rsidP="00DB1D38">
            <w:pPr>
              <w:pStyle w:val="TableTextBullet1"/>
            </w:pPr>
            <w:r>
              <w:t>Require Current Specimen ABO/Rh Results?</w:t>
            </w:r>
          </w:p>
          <w:p w14:paraId="505DDA20" w14:textId="77777777" w:rsidR="00B51CFF" w:rsidRDefault="0052794C" w:rsidP="00DB1D38">
            <w:pPr>
              <w:pStyle w:val="TableTextBullet1"/>
            </w:pPr>
            <w:r>
              <w:t>Maximum Transfusion Time.</w:t>
            </w:r>
          </w:p>
          <w:p w14:paraId="3B85D883" w14:textId="77777777" w:rsidR="00B51CFF" w:rsidRDefault="00B51CFF" w:rsidP="00DB1D38">
            <w:pPr>
              <w:pStyle w:val="TableTextBullet"/>
            </w:pPr>
            <w:r>
              <w:t>Displays options for defining inappropriate request indicators.</w:t>
            </w:r>
          </w:p>
          <w:p w14:paraId="18D00018" w14:textId="77777777" w:rsidR="00B51CFF" w:rsidRDefault="00B51CFF" w:rsidP="00DB1D38">
            <w:pPr>
              <w:pStyle w:val="TableText"/>
              <w:rPr>
                <w:b/>
                <w:bCs/>
                <w:szCs w:val="18"/>
              </w:rPr>
            </w:pPr>
          </w:p>
          <w:p w14:paraId="7EA05EC6" w14:textId="5C01470C" w:rsidR="00B51CFF" w:rsidRDefault="00B51CFF" w:rsidP="00DB1D38">
            <w:pPr>
              <w:pStyle w:val="TableText"/>
              <w:rPr>
                <w:b/>
                <w:bCs/>
                <w:szCs w:val="18"/>
              </w:rPr>
            </w:pPr>
            <w:r>
              <w:rPr>
                <w:b/>
                <w:bCs/>
                <w:szCs w:val="18"/>
              </w:rPr>
              <w:t>NOTES</w:t>
            </w:r>
          </w:p>
          <w:p w14:paraId="6960CBC3" w14:textId="77777777" w:rsidR="00B51CFF" w:rsidRDefault="00B51CFF" w:rsidP="00DB1D38">
            <w:pPr>
              <w:pStyle w:val="NotesText"/>
            </w:pPr>
          </w:p>
          <w:p w14:paraId="4175DF2B" w14:textId="0E3F4C71" w:rsidR="00B51CFF" w:rsidRDefault="00B51CFF" w:rsidP="006A576D">
            <w:pPr>
              <w:pStyle w:val="NotesText"/>
            </w:pPr>
            <w:r>
              <w:t xml:space="preserve">See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w:t>
            </w:r>
            <w:r w:rsidR="006A576D">
              <w:t xml:space="preserve"> </w:t>
            </w:r>
            <w:r w:rsidR="006A576D">
              <w:fldChar w:fldCharType="begin"/>
            </w:r>
            <w:r w:rsidR="006A576D">
              <w:instrText xml:space="preserve"> REF _Ref507152797 \h </w:instrText>
            </w:r>
            <w:r w:rsidR="006A576D">
              <w:fldChar w:fldCharType="separate"/>
            </w:r>
            <w:r w:rsidR="004353ED" w:rsidRPr="00575E6D">
              <w:t xml:space="preserve">Table </w:t>
            </w:r>
            <w:r w:rsidR="004353ED">
              <w:rPr>
                <w:noProof/>
              </w:rPr>
              <w:t>19</w:t>
            </w:r>
            <w:r w:rsidR="004353ED" w:rsidRPr="00575E6D">
              <w:t xml:space="preserve">: </w:t>
            </w:r>
            <w:r w:rsidR="004353ED" w:rsidRPr="00575E6D">
              <w:rPr>
                <w:vanish/>
              </w:rPr>
              <w:t xml:space="preserve">PT_1.06 </w:t>
            </w:r>
            <w:r w:rsidR="004353ED" w:rsidRPr="00575E6D">
              <w:t>CPRS Orderable Blood Components (Component Classes) Mapped to ICCBBA Component Classes</w:t>
            </w:r>
            <w:r w:rsidR="006A576D">
              <w:fldChar w:fldCharType="end"/>
            </w:r>
            <w:r w:rsidR="006A576D">
              <w:t>.</w:t>
            </w:r>
          </w:p>
        </w:tc>
      </w:tr>
      <w:tr w:rsidR="00B51CFF" w14:paraId="0D077E49" w14:textId="77777777" w:rsidTr="007E500E">
        <w:trPr>
          <w:cantSplit/>
        </w:trPr>
        <w:tc>
          <w:tcPr>
            <w:tcW w:w="3240" w:type="dxa"/>
          </w:tcPr>
          <w:p w14:paraId="177818D0" w14:textId="77777777" w:rsidR="00B51CFF" w:rsidRDefault="00B51CFF" w:rsidP="00DB1D38">
            <w:pPr>
              <w:pStyle w:val="TableTextNumbers"/>
            </w:pPr>
            <w:r>
              <w:lastRenderedPageBreak/>
              <w:t>Select a class from the Select Component Class list.</w:t>
            </w:r>
          </w:p>
          <w:p w14:paraId="755CA87E" w14:textId="77777777" w:rsidR="00B51CFF" w:rsidRDefault="00B51CFF" w:rsidP="00DB1D38">
            <w:pPr>
              <w:pStyle w:val="TableTextNumbersContinued"/>
              <w:rPr>
                <w:b/>
                <w:bCs/>
              </w:rPr>
            </w:pPr>
          </w:p>
          <w:p w14:paraId="7EB8EE2B" w14:textId="77777777" w:rsidR="00B51CFF" w:rsidRDefault="00B51CFF" w:rsidP="00DB1D38">
            <w:pPr>
              <w:pStyle w:val="TableTextNumbersContinued"/>
            </w:pPr>
            <w:r>
              <w:t xml:space="preserve">Click </w:t>
            </w:r>
            <w:r>
              <w:rPr>
                <w:b/>
              </w:rPr>
              <w:t>OK</w:t>
            </w:r>
            <w:r>
              <w:t xml:space="preserve"> to accept the list, or click the </w:t>
            </w:r>
            <w:r>
              <w:rPr>
                <w:b/>
              </w:rPr>
              <w:t xml:space="preserve">Require Current Specimen ABO/Rh Results? </w:t>
            </w:r>
            <w:r w:rsidRPr="00D1100E">
              <w:t>check box</w:t>
            </w:r>
            <w:r>
              <w:t>, when appropriate.</w:t>
            </w:r>
          </w:p>
        </w:tc>
        <w:tc>
          <w:tcPr>
            <w:tcW w:w="6120" w:type="dxa"/>
          </w:tcPr>
          <w:p w14:paraId="1795E654" w14:textId="77777777" w:rsidR="00B51CFF" w:rsidRDefault="00B51CFF" w:rsidP="00DB1D38">
            <w:pPr>
              <w:pStyle w:val="TableTextBullet"/>
            </w:pPr>
            <w:r>
              <w:t xml:space="preserve">Requires current specimen ABO/Rh results for issue. </w:t>
            </w:r>
          </w:p>
          <w:p w14:paraId="6CB1DDFC" w14:textId="77777777" w:rsidR="00B51CFF" w:rsidRDefault="00B51CFF" w:rsidP="00DB1D38">
            <w:pPr>
              <w:pStyle w:val="TableTextBullet"/>
            </w:pPr>
            <w:r>
              <w:t xml:space="preserve">Defines the maximum transfusion times. </w:t>
            </w:r>
          </w:p>
          <w:p w14:paraId="7E9DF299" w14:textId="77777777" w:rsidR="00B51CFF" w:rsidRDefault="00B51CFF" w:rsidP="00DB1D38">
            <w:pPr>
              <w:pStyle w:val="TableTextBullet"/>
            </w:pPr>
            <w:r>
              <w:t>Defines inappropriate request indicators.</w:t>
            </w:r>
          </w:p>
          <w:p w14:paraId="0C70C0B6" w14:textId="77777777" w:rsidR="00B51CFF" w:rsidRDefault="00B51CFF" w:rsidP="00DB1D38">
            <w:pPr>
              <w:pStyle w:val="TableTextBullet"/>
            </w:pPr>
            <w:r>
              <w:t>Allows the user to edit this parameter for component classes that do not contain only red blood cells.</w:t>
            </w:r>
          </w:p>
          <w:p w14:paraId="5C9DB399" w14:textId="77777777" w:rsidR="00B51CFF" w:rsidRDefault="00B51CFF" w:rsidP="00DB1D38">
            <w:pPr>
              <w:pStyle w:val="TableTextBullet"/>
            </w:pPr>
            <w:r>
              <w:t>Saves the component to the division list.</w:t>
            </w:r>
          </w:p>
          <w:p w14:paraId="28FFD83D" w14:textId="77777777" w:rsidR="00B51CFF" w:rsidRDefault="00B51CFF" w:rsidP="00DB1D38">
            <w:pPr>
              <w:pStyle w:val="TableText"/>
            </w:pPr>
          </w:p>
          <w:p w14:paraId="7A1765F6" w14:textId="380F86A1" w:rsidR="00B51CFF" w:rsidRDefault="00B51CFF" w:rsidP="00DB1D38">
            <w:pPr>
              <w:pStyle w:val="TableText"/>
              <w:rPr>
                <w:b/>
                <w:bCs/>
                <w:szCs w:val="18"/>
              </w:rPr>
            </w:pPr>
            <w:r>
              <w:rPr>
                <w:b/>
                <w:bCs/>
                <w:szCs w:val="18"/>
              </w:rPr>
              <w:t>NOTES</w:t>
            </w:r>
          </w:p>
          <w:p w14:paraId="6EAF8B58" w14:textId="77777777" w:rsidR="00B51CFF" w:rsidRDefault="00B51CFF" w:rsidP="00DB1D38">
            <w:pPr>
              <w:pStyle w:val="NotesText"/>
            </w:pPr>
          </w:p>
          <w:p w14:paraId="5F81AE45" w14:textId="77777777" w:rsidR="00B51CFF" w:rsidRDefault="00B51CFF" w:rsidP="00DB1D38">
            <w:pPr>
              <w:pStyle w:val="NotesText"/>
            </w:pPr>
            <w:r>
              <w:t>Component class configuration is required. Component classes: RED BLOOD CELLS, FFP, CRYO, PLT, WHOLE BLOOD, and OTHER.</w:t>
            </w:r>
          </w:p>
        </w:tc>
      </w:tr>
      <w:tr w:rsidR="00B51CFF" w14:paraId="36CC9029" w14:textId="77777777">
        <w:tc>
          <w:tcPr>
            <w:tcW w:w="3240" w:type="dxa"/>
          </w:tcPr>
          <w:p w14:paraId="73847B9A" w14:textId="77777777" w:rsidR="00B51CFF" w:rsidRDefault="00B51CFF" w:rsidP="00DB1D38">
            <w:pPr>
              <w:pStyle w:val="TableTextNumbers"/>
            </w:pPr>
            <w:r>
              <w:t>Edit the maximum transfusion time.</w:t>
            </w:r>
          </w:p>
        </w:tc>
        <w:tc>
          <w:tcPr>
            <w:tcW w:w="6120" w:type="dxa"/>
          </w:tcPr>
          <w:p w14:paraId="3C86AEEB" w14:textId="77777777" w:rsidR="00B51CFF" w:rsidRDefault="00B51CFF" w:rsidP="00DB1D38">
            <w:pPr>
              <w:pStyle w:val="TableText"/>
            </w:pPr>
          </w:p>
          <w:p w14:paraId="15F13D79" w14:textId="46AC9E36" w:rsidR="00B51CFF" w:rsidRDefault="00B51CFF" w:rsidP="00DB1D38">
            <w:pPr>
              <w:pStyle w:val="TableText"/>
              <w:rPr>
                <w:b/>
                <w:bCs/>
                <w:szCs w:val="18"/>
              </w:rPr>
            </w:pPr>
            <w:r>
              <w:rPr>
                <w:b/>
                <w:bCs/>
                <w:szCs w:val="18"/>
              </w:rPr>
              <w:t>NOTES</w:t>
            </w:r>
          </w:p>
          <w:p w14:paraId="62D00519" w14:textId="77777777" w:rsidR="00B51CFF" w:rsidRDefault="00B51CFF" w:rsidP="00DB1D38">
            <w:pPr>
              <w:pStyle w:val="NotesText"/>
            </w:pPr>
          </w:p>
          <w:p w14:paraId="61608E7C" w14:textId="77777777" w:rsidR="00B51CFF" w:rsidRDefault="00B51CFF" w:rsidP="00DB1D38">
            <w:pPr>
              <w:pStyle w:val="NotesText"/>
            </w:pPr>
            <w:r w:rsidRPr="00C21893">
              <w:rPr>
                <w:rFonts w:cs="Arial"/>
                <w:vanish/>
                <w:szCs w:val="18"/>
              </w:rPr>
              <w:t xml:space="preserve">BR_50.04 </w:t>
            </w:r>
            <w:r w:rsidRPr="00C21893">
              <w:rPr>
                <w:rFonts w:cs="Arial"/>
                <w:szCs w:val="18"/>
              </w:rPr>
              <w:t>V</w:t>
            </w:r>
            <w:r>
              <w:t>BECS records the maximum transfusion time from the transfusion start to the transfusion end time in minutes with a default of 270 minutes. The user may edit the maximum transfusion time to a minimum time of 5 minutes and a maximum time of 999 minutes.</w:t>
            </w:r>
          </w:p>
          <w:p w14:paraId="5047154B" w14:textId="77777777" w:rsidR="00B51CFF" w:rsidRDefault="00B51CFF" w:rsidP="00DB1D38">
            <w:pPr>
              <w:pStyle w:val="NotesText"/>
            </w:pPr>
          </w:p>
          <w:p w14:paraId="5208CDD0" w14:textId="77777777" w:rsidR="00B51CFF" w:rsidRDefault="00B51CFF" w:rsidP="00DB1D38">
            <w:pPr>
              <w:pStyle w:val="NotesText"/>
            </w:pPr>
            <w:r>
              <w:t xml:space="preserve">VBECS uses the maximum transfusion times in minutes to determine whether the time used to transfuse a unit of blood is inappropriate for a class. </w:t>
            </w:r>
          </w:p>
        </w:tc>
      </w:tr>
      <w:tr w:rsidR="00B51CFF" w14:paraId="0BA631FE" w14:textId="77777777">
        <w:tc>
          <w:tcPr>
            <w:tcW w:w="3240" w:type="dxa"/>
          </w:tcPr>
          <w:p w14:paraId="60C34870" w14:textId="77777777" w:rsidR="00B51CFF" w:rsidRDefault="00B51CFF" w:rsidP="00DB1D38">
            <w:pPr>
              <w:pStyle w:val="TableTextNumbers"/>
            </w:pPr>
            <w:r>
              <w:t>Define the inappropriate request indicators.</w:t>
            </w:r>
          </w:p>
          <w:p w14:paraId="3EBEDED5" w14:textId="77777777" w:rsidR="00B51CFF" w:rsidRDefault="00B51CFF" w:rsidP="00DB1D38">
            <w:pPr>
              <w:pStyle w:val="TableTextNumbersContinued"/>
              <w:rPr>
                <w:b/>
                <w:bCs/>
              </w:rPr>
            </w:pPr>
          </w:p>
          <w:p w14:paraId="3B776BAB" w14:textId="77777777" w:rsidR="00B51CFF" w:rsidRDefault="00B51CFF" w:rsidP="00DB1D38">
            <w:pPr>
              <w:pStyle w:val="TableTextNumbersContinued"/>
            </w:pPr>
            <w:r>
              <w:t xml:space="preserve">Click the </w:t>
            </w:r>
            <w:r w:rsidR="00A6373D">
              <w:rPr>
                <w:b/>
              </w:rPr>
              <w:t>find</w:t>
            </w:r>
            <w:r w:rsidRPr="00BF2E41">
              <w:t xml:space="preserve"> button</w:t>
            </w:r>
            <w:r>
              <w:t xml:space="preserve"> to search for a new laboratory test name.</w:t>
            </w:r>
          </w:p>
          <w:p w14:paraId="6F6A543D" w14:textId="77777777" w:rsidR="00B51CFF" w:rsidRDefault="00B51CFF" w:rsidP="00DB1D38">
            <w:pPr>
              <w:pStyle w:val="TableTextNumbersContinued"/>
            </w:pPr>
          </w:p>
          <w:p w14:paraId="5D2E8F2F" w14:textId="77777777" w:rsidR="00B51CFF" w:rsidRDefault="00B51CFF" w:rsidP="00DB1D38">
            <w:pPr>
              <w:pStyle w:val="TableTextNumbersContinued"/>
            </w:pPr>
            <w:r>
              <w:t>Enter a partial lab</w:t>
            </w:r>
            <w:r w:rsidR="008632FE">
              <w:t>oratory</w:t>
            </w:r>
            <w:r>
              <w:t xml:space="preserve"> test name and click </w:t>
            </w:r>
            <w:r w:rsidR="00173187" w:rsidRPr="00173187">
              <w:rPr>
                <w:b/>
              </w:rPr>
              <w:t>Search</w:t>
            </w:r>
            <w:r>
              <w:t>.</w:t>
            </w:r>
          </w:p>
          <w:p w14:paraId="5E37F4FC" w14:textId="77777777" w:rsidR="00B51CFF" w:rsidRDefault="00B51CFF" w:rsidP="00DB1D38">
            <w:pPr>
              <w:pStyle w:val="TableTextNumbersContinued"/>
            </w:pPr>
          </w:p>
          <w:p w14:paraId="23BE4B81" w14:textId="77777777" w:rsidR="00B51CFF" w:rsidRDefault="00B51CFF" w:rsidP="00DB1D38">
            <w:pPr>
              <w:pStyle w:val="TableTextNumbersContinued"/>
            </w:pPr>
            <w:r>
              <w:t>Select a lab</w:t>
            </w:r>
            <w:r w:rsidR="008632FE">
              <w:t>oratory</w:t>
            </w:r>
            <w:r>
              <w:t xml:space="preserve"> test name and click </w:t>
            </w:r>
            <w:r>
              <w:rPr>
                <w:b/>
              </w:rPr>
              <w:t>OK</w:t>
            </w:r>
            <w:r>
              <w:t xml:space="preserve"> to add it.</w:t>
            </w:r>
          </w:p>
          <w:p w14:paraId="5663532D" w14:textId="77777777" w:rsidR="00B51CFF" w:rsidRDefault="00B51CFF" w:rsidP="00DB1D38">
            <w:pPr>
              <w:pStyle w:val="TableTextNumbersContinued"/>
            </w:pPr>
          </w:p>
          <w:p w14:paraId="3B7AD1D8" w14:textId="77777777" w:rsidR="00B51CFF" w:rsidRDefault="00B51CFF" w:rsidP="00DB1D38">
            <w:pPr>
              <w:pStyle w:val="TableTextNumbersContinued"/>
            </w:pPr>
            <w:r>
              <w:t xml:space="preserve">Click the </w:t>
            </w:r>
            <w:r>
              <w:rPr>
                <w:b/>
              </w:rPr>
              <w:t xml:space="preserve">Show Inactive Inappropriate Request Indicators </w:t>
            </w:r>
            <w:r w:rsidRPr="00D1100E">
              <w:t>check box</w:t>
            </w:r>
            <w:r>
              <w:t>, if desired.</w:t>
            </w:r>
          </w:p>
        </w:tc>
        <w:tc>
          <w:tcPr>
            <w:tcW w:w="6120" w:type="dxa"/>
          </w:tcPr>
          <w:p w14:paraId="71D125E8" w14:textId="77777777" w:rsidR="00B51CFF" w:rsidRDefault="00B51CFF" w:rsidP="00DB1D38">
            <w:pPr>
              <w:pStyle w:val="TableTextBullet"/>
            </w:pPr>
            <w:r>
              <w:t>Facilitates data entry of one or more inappropriate request indicators:</w:t>
            </w:r>
          </w:p>
          <w:p w14:paraId="7FA81855" w14:textId="77777777" w:rsidR="00B51CFF" w:rsidRDefault="00B51CFF" w:rsidP="00DB1D38">
            <w:pPr>
              <w:pStyle w:val="TableTextBullet1"/>
            </w:pPr>
            <w:r>
              <w:t>Laboratory Test Name</w:t>
            </w:r>
          </w:p>
          <w:p w14:paraId="6EBA7A2C" w14:textId="77777777" w:rsidR="00B51CFF" w:rsidRDefault="00B51CFF" w:rsidP="00DB1D38">
            <w:pPr>
              <w:pStyle w:val="TableTextBullet1"/>
            </w:pPr>
            <w:r>
              <w:t>Specimen Type</w:t>
            </w:r>
          </w:p>
          <w:p w14:paraId="02EDEF96" w14:textId="77777777" w:rsidR="00B51CFF" w:rsidRDefault="00B51CFF" w:rsidP="00DB1D38">
            <w:pPr>
              <w:pStyle w:val="TableTextBullet1"/>
            </w:pPr>
            <w:r>
              <w:t>Threshold Result</w:t>
            </w:r>
          </w:p>
          <w:p w14:paraId="7D0CFBDF" w14:textId="77777777" w:rsidR="00B51CFF" w:rsidRDefault="00B51CFF" w:rsidP="00DB1D38">
            <w:pPr>
              <w:pStyle w:val="TableTextBullet"/>
            </w:pPr>
            <w:r>
              <w:t>Uses VistALink to retrieve the laboratory test name and specimen type indicators. The user enters the threshold result indicator.</w:t>
            </w:r>
          </w:p>
          <w:p w14:paraId="7627848F" w14:textId="77777777" w:rsidR="00B51CFF" w:rsidRDefault="00B51CFF" w:rsidP="00DB1D38">
            <w:pPr>
              <w:pStyle w:val="TableTextBullet"/>
            </w:pPr>
            <w:r>
              <w:t>Displays the entry and allows the user to edit it.</w:t>
            </w:r>
          </w:p>
          <w:p w14:paraId="65155E1A" w14:textId="77777777" w:rsidR="008632FE" w:rsidRDefault="00595334" w:rsidP="00DB1D38">
            <w:pPr>
              <w:pStyle w:val="TableTextBullet"/>
            </w:pPr>
            <w:r>
              <w:t>Displays inactive tests and allows the user to reactivate them.</w:t>
            </w:r>
          </w:p>
          <w:p w14:paraId="7FC80AE5" w14:textId="77777777" w:rsidR="00B51CFF" w:rsidRDefault="00B51CFF" w:rsidP="00DB1D38">
            <w:pPr>
              <w:pStyle w:val="TableText"/>
            </w:pPr>
          </w:p>
          <w:p w14:paraId="3856F245" w14:textId="673E61A5" w:rsidR="00B51CFF" w:rsidRDefault="00B51CFF" w:rsidP="00DB1D38">
            <w:pPr>
              <w:pStyle w:val="TableText"/>
              <w:rPr>
                <w:b/>
                <w:bCs/>
                <w:szCs w:val="18"/>
              </w:rPr>
            </w:pPr>
            <w:r>
              <w:rPr>
                <w:b/>
                <w:bCs/>
                <w:szCs w:val="18"/>
              </w:rPr>
              <w:t>NOTES</w:t>
            </w:r>
          </w:p>
          <w:p w14:paraId="7A991D4D" w14:textId="77777777" w:rsidR="00B51CFF" w:rsidRDefault="00B51CFF" w:rsidP="00DB1D38">
            <w:pPr>
              <w:pStyle w:val="NotesText"/>
            </w:pPr>
          </w:p>
          <w:p w14:paraId="5F0603D0" w14:textId="77777777" w:rsidR="00B51CFF" w:rsidRDefault="00B51CFF" w:rsidP="00DB1D38">
            <w:pPr>
              <w:pStyle w:val="NotesText"/>
            </w:pPr>
            <w:r w:rsidRPr="00E274BF">
              <w:rPr>
                <w:rFonts w:cs="Arial"/>
                <w:vanish/>
                <w:szCs w:val="18"/>
              </w:rPr>
              <w:t>BR_33.01</w:t>
            </w:r>
            <w:r w:rsidRPr="009660C3">
              <w:rPr>
                <w:vanish/>
                <w:szCs w:val="18"/>
              </w:rPr>
              <w:t xml:space="preserve"> </w:t>
            </w:r>
            <w:r>
              <w:t xml:space="preserve">VBECS uses the laboratory test name as the only input parameter to search for all possible matches and return the Laboratory Test Name, Specimen Type(s), and </w:t>
            </w:r>
            <w:r w:rsidRPr="00CA0045">
              <w:t>VistA</w:t>
            </w:r>
            <w:r>
              <w:t xml:space="preserve"> Lab Test </w:t>
            </w:r>
            <w:r w:rsidR="001A1559">
              <w:t>Internal Entry Number (</w:t>
            </w:r>
            <w:r>
              <w:t>IEN</w:t>
            </w:r>
            <w:r w:rsidR="001A1559">
              <w:t>)</w:t>
            </w:r>
            <w:r>
              <w:t>.</w:t>
            </w:r>
          </w:p>
          <w:p w14:paraId="04CD31AF" w14:textId="77777777" w:rsidR="00B51CFF" w:rsidRDefault="00B51CFF" w:rsidP="00DB1D38">
            <w:pPr>
              <w:pStyle w:val="NotesText"/>
            </w:pPr>
          </w:p>
          <w:p w14:paraId="4EF7C85C" w14:textId="77777777" w:rsidR="00B51CFF" w:rsidRDefault="00B51CFF" w:rsidP="00DB1D38">
            <w:pPr>
              <w:pStyle w:val="NotesText"/>
            </w:pPr>
            <w:r w:rsidRPr="00E274BF">
              <w:rPr>
                <w:rFonts w:cs="Arial"/>
                <w:vanish/>
                <w:szCs w:val="18"/>
              </w:rPr>
              <w:t>BR_50.05</w:t>
            </w:r>
            <w:r w:rsidRPr="009660C3">
              <w:rPr>
                <w:vanish/>
                <w:szCs w:val="18"/>
              </w:rPr>
              <w:t xml:space="preserve"> </w:t>
            </w:r>
            <w:r>
              <w:t>A numeric threshold result must include “&lt;” or “&gt;”and a numerical result, e.g., “&gt;8.0.”</w:t>
            </w:r>
          </w:p>
          <w:p w14:paraId="12CE5DB2" w14:textId="77777777" w:rsidR="00B51CFF" w:rsidRDefault="00B51CFF" w:rsidP="00DB1D38">
            <w:pPr>
              <w:pStyle w:val="NotesText"/>
            </w:pPr>
          </w:p>
          <w:p w14:paraId="11ED3B33" w14:textId="77777777" w:rsidR="00B51CFF" w:rsidRDefault="00B51CFF" w:rsidP="00DB1D38">
            <w:pPr>
              <w:pStyle w:val="NotesText"/>
            </w:pPr>
            <w:r>
              <w:t xml:space="preserve">The settings here indicate predetermined levels used to determine the appropriateness of a component order. Settings are different for each component class. The example of a “&gt;8.0” hemoglobin level is set according to local policy. </w:t>
            </w:r>
          </w:p>
          <w:p w14:paraId="5504DC95" w14:textId="77777777" w:rsidR="00B51CFF" w:rsidRDefault="00B51CFF" w:rsidP="00DB1D38">
            <w:pPr>
              <w:pStyle w:val="NotesText"/>
            </w:pPr>
          </w:p>
          <w:p w14:paraId="368F1DCA" w14:textId="77777777" w:rsidR="00B51CFF" w:rsidRDefault="00B51CFF" w:rsidP="00DB1D38">
            <w:pPr>
              <w:pStyle w:val="NotesText"/>
            </w:pPr>
            <w:r>
              <w:t>An example of an inappropriate request indicator:</w:t>
            </w:r>
          </w:p>
          <w:p w14:paraId="2B76AA2C" w14:textId="77777777" w:rsidR="00B51CFF" w:rsidRDefault="00B51CFF" w:rsidP="00DB1D38">
            <w:pPr>
              <w:pStyle w:val="NotesTextBullet"/>
              <w:rPr>
                <w:b/>
              </w:rPr>
            </w:pPr>
            <w:r>
              <w:t>The test name is “HGB.”</w:t>
            </w:r>
          </w:p>
          <w:p w14:paraId="026B2105" w14:textId="77777777" w:rsidR="00B51CFF" w:rsidRDefault="00B51CFF" w:rsidP="00DB1D38">
            <w:pPr>
              <w:pStyle w:val="NotesTextBullet"/>
            </w:pPr>
            <w:r>
              <w:t>The specimen is entered as “Blood.”</w:t>
            </w:r>
          </w:p>
          <w:p w14:paraId="62DE77C8" w14:textId="77777777" w:rsidR="00B51CFF" w:rsidRDefault="00B51CFF" w:rsidP="00DB1D38">
            <w:pPr>
              <w:pStyle w:val="NotesTextBullet"/>
              <w:rPr>
                <w:b/>
              </w:rPr>
            </w:pPr>
            <w:r>
              <w:t>The threshold result is set to “&gt;8.0.”</w:t>
            </w:r>
          </w:p>
        </w:tc>
      </w:tr>
      <w:tr w:rsidR="00B51CFF" w14:paraId="5A316669" w14:textId="77777777">
        <w:tc>
          <w:tcPr>
            <w:tcW w:w="3240" w:type="dxa"/>
          </w:tcPr>
          <w:p w14:paraId="01D88AD5" w14:textId="77777777" w:rsidR="00B51CFF" w:rsidRDefault="00B51CFF" w:rsidP="00DB1D38">
            <w:pPr>
              <w:pStyle w:val="TableTextNumbers"/>
            </w:pPr>
            <w:r>
              <w:t xml:space="preserve">Click </w:t>
            </w:r>
            <w:r>
              <w:rPr>
                <w:b/>
              </w:rPr>
              <w:t>Add</w:t>
            </w:r>
            <w:r>
              <w:t xml:space="preserve"> to add the VBECS component class site parameters to the database.</w:t>
            </w:r>
          </w:p>
        </w:tc>
        <w:tc>
          <w:tcPr>
            <w:tcW w:w="6120" w:type="dxa"/>
          </w:tcPr>
          <w:p w14:paraId="6B52D1A3" w14:textId="77777777" w:rsidR="00B51CFF" w:rsidRDefault="00B51CFF" w:rsidP="00DB1D38">
            <w:pPr>
              <w:pStyle w:val="TableTextBullet"/>
            </w:pPr>
            <w:r>
              <w:t>Displays the component class parameters and allows the user to edit them before saving.</w:t>
            </w:r>
          </w:p>
          <w:p w14:paraId="63414643" w14:textId="77777777" w:rsidR="00B51CFF" w:rsidRDefault="00B51CFF" w:rsidP="00DB1D38">
            <w:pPr>
              <w:pStyle w:val="TableText"/>
            </w:pPr>
          </w:p>
        </w:tc>
      </w:tr>
      <w:tr w:rsidR="00B51CFF" w14:paraId="7FBE5D3E" w14:textId="77777777">
        <w:tc>
          <w:tcPr>
            <w:tcW w:w="3240" w:type="dxa"/>
          </w:tcPr>
          <w:p w14:paraId="34329D77" w14:textId="77777777" w:rsidR="00B51CFF" w:rsidRDefault="00047C63" w:rsidP="00DB1D38">
            <w:pPr>
              <w:pStyle w:val="TableTextNumbers"/>
            </w:pPr>
            <w:r>
              <w:lastRenderedPageBreak/>
              <w:t>Repeat Steps 2–5</w:t>
            </w:r>
            <w:r w:rsidR="00B51CFF">
              <w:t xml:space="preserve"> for each component class to be edited.</w:t>
            </w:r>
          </w:p>
        </w:tc>
        <w:tc>
          <w:tcPr>
            <w:tcW w:w="6120" w:type="dxa"/>
          </w:tcPr>
          <w:p w14:paraId="14CFB779" w14:textId="77777777" w:rsidR="00B51CFF" w:rsidRDefault="00B51CFF" w:rsidP="00DB1D38">
            <w:pPr>
              <w:pStyle w:val="TableText"/>
            </w:pPr>
          </w:p>
        </w:tc>
      </w:tr>
      <w:tr w:rsidR="00B51CFF" w14:paraId="1DAAF0F9" w14:textId="77777777">
        <w:tc>
          <w:tcPr>
            <w:tcW w:w="3240" w:type="dxa"/>
          </w:tcPr>
          <w:p w14:paraId="450C0DE2" w14:textId="77777777" w:rsidR="00B51CFF" w:rsidRDefault="00B51CFF" w:rsidP="00DB1D38">
            <w:pPr>
              <w:pStyle w:val="TableTextNumbers"/>
            </w:pPr>
            <w:r>
              <w:t xml:space="preserve">Click </w:t>
            </w:r>
            <w:r>
              <w:rPr>
                <w:b/>
              </w:rPr>
              <w:t>OK</w:t>
            </w:r>
            <w:r>
              <w:t xml:space="preserve"> to save.</w:t>
            </w:r>
          </w:p>
          <w:p w14:paraId="7A7D6267" w14:textId="77777777" w:rsidR="00B51CFF" w:rsidRDefault="00B51CFF" w:rsidP="00DB1D38">
            <w:pPr>
              <w:pStyle w:val="TableTextNumbersContinued"/>
              <w:rPr>
                <w:b/>
                <w:bCs/>
              </w:rPr>
            </w:pPr>
          </w:p>
          <w:p w14:paraId="3734F850" w14:textId="77777777" w:rsidR="00B51CFF" w:rsidRDefault="00B51CFF" w:rsidP="00DB1D38">
            <w:pPr>
              <w:pStyle w:val="TableTextNumbersContinued"/>
              <w:rPr>
                <w:b/>
                <w:bCs/>
              </w:rPr>
            </w:pPr>
            <w:r>
              <w:rPr>
                <w:rStyle w:val="TableTextNumbersChar"/>
              </w:rPr>
              <w:t xml:space="preserve">Click </w:t>
            </w:r>
            <w:r>
              <w:rPr>
                <w:rStyle w:val="TableTextNumbersChar"/>
                <w:b/>
              </w:rPr>
              <w:t>Yes</w:t>
            </w:r>
            <w:r>
              <w:rPr>
                <w:rStyle w:val="TableTextNumbersChar"/>
              </w:rPr>
              <w:t xml:space="preserve"> to confirm changes and exit.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185" w:author="Blalock, David (Leidos)" w:date="2020-06-15T14:09:00Z" w:original="0."/>
              </w:fldChar>
            </w:r>
          </w:p>
        </w:tc>
        <w:tc>
          <w:tcPr>
            <w:tcW w:w="6120" w:type="dxa"/>
          </w:tcPr>
          <w:p w14:paraId="0626E850" w14:textId="77777777" w:rsidR="00B51CFF" w:rsidRDefault="00B51CFF" w:rsidP="00DB1D38">
            <w:pPr>
              <w:pStyle w:val="TableTextBullet"/>
            </w:pPr>
            <w:r>
              <w:t>Updates the database and captures changes to previously defined parameters for inclusion in an Audit Trail Report.</w:t>
            </w:r>
          </w:p>
        </w:tc>
      </w:tr>
    </w:tbl>
    <w:p w14:paraId="41EB44DE" w14:textId="77777777" w:rsidR="002118B0" w:rsidRDefault="002118B0" w:rsidP="00B51CFF">
      <w:pPr>
        <w:pStyle w:val="Heading2"/>
      </w:pPr>
    </w:p>
    <w:p w14:paraId="79BDCC44" w14:textId="0A9D9FEF" w:rsidR="002118B0" w:rsidRDefault="002118B0" w:rsidP="002118B0">
      <w:pPr>
        <w:pStyle w:val="Caption"/>
      </w:pPr>
      <w:bookmarkStart w:id="186" w:name="_Ref12647021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43</w:t>
      </w:r>
      <w:r w:rsidR="004E20BD">
        <w:rPr>
          <w:noProof/>
        </w:rPr>
        <w:fldChar w:fldCharType="end"/>
      </w:r>
      <w:bookmarkEnd w:id="186"/>
      <w:r>
        <w:t>: Component Classes</w:t>
      </w:r>
    </w:p>
    <w:p w14:paraId="015241D2" w14:textId="77777777" w:rsidR="002118B0" w:rsidRPr="002118B0" w:rsidRDefault="00057948" w:rsidP="0066425F">
      <w:pPr>
        <w:pStyle w:val="BodyText"/>
      </w:pPr>
      <w:r>
        <w:rPr>
          <w:noProof/>
        </w:rPr>
        <w:drawing>
          <wp:inline distT="0" distB="0" distL="0" distR="0" wp14:anchorId="7B7A5E12" wp14:editId="39705DDB">
            <wp:extent cx="5356860" cy="3971925"/>
            <wp:effectExtent l="0" t="0" r="0" b="9525"/>
            <wp:docPr id="125" name="Picture 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a:extLst>
                        <a:ext uri="{C183D7F6-B498-43B3-948B-1728B52AA6E4}">
                          <adec:decorative xmlns:adec="http://schemas.microsoft.com/office/drawing/2017/decorative" val="1"/>
                        </a:ext>
                      </a:extLst>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356860" cy="3971925"/>
                    </a:xfrm>
                    <a:prstGeom prst="rect">
                      <a:avLst/>
                    </a:prstGeom>
                    <a:noFill/>
                    <a:ln>
                      <a:noFill/>
                    </a:ln>
                  </pic:spPr>
                </pic:pic>
              </a:graphicData>
            </a:graphic>
          </wp:inline>
        </w:drawing>
      </w:r>
    </w:p>
    <w:p w14:paraId="4BB3C52B" w14:textId="77777777" w:rsidR="00B51CFF" w:rsidRDefault="00AE1227" w:rsidP="00B51CFF">
      <w:pPr>
        <w:pStyle w:val="Heading2"/>
      </w:pPr>
      <w:r>
        <w:br w:type="page"/>
      </w:r>
      <w:bookmarkStart w:id="187" w:name="_Toc47516693"/>
      <w:r w:rsidR="00B51CFF">
        <w:lastRenderedPageBreak/>
        <w:t>Configure Daily QC</w:t>
      </w:r>
      <w:bookmarkEnd w:id="187"/>
      <w:r w:rsidR="00B51CFF" w:rsidRPr="00AB67A6">
        <w:rPr>
          <w:rFonts w:ascii="Arial Bold" w:hAnsi="Arial Bold"/>
          <w:vanish/>
        </w:rPr>
        <w:fldChar w:fldCharType="begin"/>
      </w:r>
      <w:r w:rsidR="00B51CFF" w:rsidRPr="00AB67A6">
        <w:rPr>
          <w:rFonts w:ascii="Arial Bold" w:hAnsi="Arial Bold"/>
          <w:vanish/>
        </w:rPr>
        <w:instrText xml:space="preserve"> XE “Configure Daily QC” </w:instrText>
      </w:r>
      <w:r w:rsidR="00B51CFF" w:rsidRPr="00AB67A6">
        <w:rPr>
          <w:rFonts w:ascii="Arial Bold" w:hAnsi="Arial Bold"/>
          <w:vanish/>
        </w:rPr>
        <w:fldChar w:fldCharType="end"/>
      </w:r>
      <w:r w:rsidR="00B51CFF" w:rsidRPr="00AB67A6">
        <w:rPr>
          <w:rFonts w:ascii="Arial Bold" w:hAnsi="Arial Bold"/>
          <w:vanish/>
        </w:rPr>
        <w:t xml:space="preserve"> UC_51</w:t>
      </w:r>
    </w:p>
    <w:p w14:paraId="4A9FDF15" w14:textId="77777777" w:rsidR="00B51CFF" w:rsidRDefault="00B51CFF" w:rsidP="00B51CFF">
      <w:pPr>
        <w:pStyle w:val="BodyText"/>
      </w:pPr>
      <w:bookmarkStart w:id="188" w:name="_Toc63680373"/>
      <w:r>
        <w:t>The user sets up the routine reagent racks and QC template for the division before performing daily reagent QC.</w:t>
      </w:r>
    </w:p>
    <w:p w14:paraId="723E1379" w14:textId="77777777" w:rsidR="00B51CFF" w:rsidRDefault="00B51CFF" w:rsidP="00B51CFF">
      <w:pPr>
        <w:pStyle w:val="Heading4"/>
      </w:pPr>
      <w:r>
        <w:t>Assumptions</w:t>
      </w:r>
      <w:r>
        <w:rPr>
          <w:b w:val="0"/>
        </w:rPr>
        <w:t xml:space="preserve"> </w:t>
      </w:r>
    </w:p>
    <w:p w14:paraId="527E09E8" w14:textId="77777777" w:rsidR="00B51CFF" w:rsidRDefault="00B51CFF" w:rsidP="00B51CFF">
      <w:pPr>
        <w:pStyle w:val="ListBullet"/>
      </w:pPr>
      <w:r>
        <w:t xml:space="preserve">The division is “full service.” </w:t>
      </w:r>
    </w:p>
    <w:p w14:paraId="484EFA59" w14:textId="77777777" w:rsidR="00B51CFF" w:rsidRDefault="00B51CFF" w:rsidP="00B51CFF">
      <w:pPr>
        <w:pStyle w:val="ListBullet"/>
      </w:pPr>
      <w:r>
        <w:t>In the first use of this option, there are no defaults or data in place until the user selects the type of QC template (commercial or non-commercial).</w:t>
      </w:r>
    </w:p>
    <w:p w14:paraId="18E705D8" w14:textId="77777777" w:rsidR="00B51CFF" w:rsidRDefault="00DD75E5" w:rsidP="00B51CFF">
      <w:pPr>
        <w:pStyle w:val="Heading4"/>
      </w:pPr>
      <w:r>
        <w:t>Outcome</w:t>
      </w:r>
    </w:p>
    <w:p w14:paraId="71D7FD51" w14:textId="77777777" w:rsidR="00B51CFF" w:rsidRDefault="00B51CFF" w:rsidP="00B51CFF">
      <w:pPr>
        <w:pStyle w:val="ListBullet"/>
      </w:pPr>
      <w:r>
        <w:t>A testing template is available for Enter Daily QC Results; reagent racks and identifiers were created.</w:t>
      </w:r>
    </w:p>
    <w:p w14:paraId="061E0211" w14:textId="77777777" w:rsidR="00B51CFF" w:rsidRDefault="00B51CFF" w:rsidP="00B51CFF">
      <w:pPr>
        <w:pStyle w:val="ListBullet"/>
      </w:pPr>
      <w:r>
        <w:t>Minimum reaction strengths for each reagent type are defined and used by Enter Daily QC Results.</w:t>
      </w:r>
    </w:p>
    <w:p w14:paraId="4842008B" w14:textId="77777777" w:rsidR="00B51CFF" w:rsidRDefault="00B51CFF" w:rsidP="00B51CFF">
      <w:pPr>
        <w:pStyle w:val="ListBullet"/>
      </w:pPr>
      <w:r>
        <w:rPr>
          <w:rFonts w:ascii="Arial" w:hAnsi="Arial" w:cs="Arial"/>
          <w:vanish/>
          <w:spacing w:val="0"/>
          <w:sz w:val="18"/>
        </w:rPr>
        <w:t xml:space="preserve">BR_51.16 </w:t>
      </w:r>
      <w:r>
        <w:t>A historical record for each rack will be maintained.</w:t>
      </w:r>
    </w:p>
    <w:p w14:paraId="271BC172" w14:textId="77777777" w:rsidR="00B51CFF" w:rsidRDefault="00B51CFF" w:rsidP="00B51CFF">
      <w:pPr>
        <w:pStyle w:val="ListBullet"/>
      </w:pPr>
      <w:r>
        <w:rPr>
          <w:rFonts w:ascii="Arial" w:hAnsi="Arial" w:cs="Arial"/>
          <w:vanish/>
          <w:spacing w:val="0"/>
          <w:sz w:val="18"/>
        </w:rPr>
        <w:t xml:space="preserve">BR_51.11 </w:t>
      </w:r>
      <w:r>
        <w:t>Rack names created are available for use by other options.</w:t>
      </w:r>
    </w:p>
    <w:p w14:paraId="6ED8E9EF" w14:textId="77777777" w:rsidR="00B51CFF" w:rsidRDefault="00B51CFF" w:rsidP="00B51CFF">
      <w:pPr>
        <w:pStyle w:val="Heading4"/>
      </w:pPr>
      <w:r>
        <w:t>Limitations and Restrictions</w:t>
      </w:r>
      <w:r>
        <w:rPr>
          <w:b w:val="0"/>
        </w:rPr>
        <w:t xml:space="preserve"> </w:t>
      </w:r>
    </w:p>
    <w:p w14:paraId="12936685" w14:textId="77777777" w:rsidR="00B51CFF" w:rsidRDefault="00B51CFF" w:rsidP="00B51CFF">
      <w:pPr>
        <w:pStyle w:val="ListBullet"/>
      </w:pPr>
      <w:r>
        <w:t xml:space="preserve">This option pertains only to routine reagents. </w:t>
      </w:r>
    </w:p>
    <w:p w14:paraId="3BD0B6FC" w14:textId="77777777" w:rsidR="00FC35D4" w:rsidRDefault="00FC35D4" w:rsidP="00B51CFF">
      <w:pPr>
        <w:pStyle w:val="ListBullet"/>
      </w:pPr>
      <w:r>
        <w:rPr>
          <w:rFonts w:cs="Arial"/>
        </w:rPr>
        <w:t xml:space="preserve">When there are partially or currently QC’d racks in the system, the user may not change the QC template. </w:t>
      </w:r>
    </w:p>
    <w:p w14:paraId="5108C400" w14:textId="77777777" w:rsidR="00B51CFF" w:rsidRDefault="00B51CFF" w:rsidP="00B51CFF">
      <w:pPr>
        <w:pStyle w:val="Heading4"/>
      </w:pPr>
      <w:r>
        <w:t>Additional Information</w:t>
      </w:r>
    </w:p>
    <w:p w14:paraId="585427C3" w14:textId="77777777" w:rsidR="00852AC1" w:rsidRPr="00852AC1" w:rsidRDefault="00852AC1" w:rsidP="00852AC1">
      <w:pPr>
        <w:pStyle w:val="ListBullet"/>
      </w:pPr>
      <w:r w:rsidRPr="00852AC1">
        <w:rPr>
          <w:snapToGrid w:val="0"/>
          <w:vanish/>
        </w:rPr>
        <w:t>BR_41.32</w:t>
      </w:r>
      <w:r>
        <w:rPr>
          <w:snapToGrid w:val="0"/>
        </w:rPr>
        <w:t>This option is disabled for transfusion-only facilities.</w:t>
      </w:r>
      <w:r w:rsidR="003D71A3">
        <w:rPr>
          <w:snapToGrid w:val="0"/>
        </w:rPr>
        <w:t xml:space="preserve"> </w:t>
      </w:r>
    </w:p>
    <w:p w14:paraId="2F865608" w14:textId="1F55374C" w:rsidR="00B51CFF" w:rsidRPr="00AB4BD9" w:rsidRDefault="00B51CFF" w:rsidP="00384190">
      <w:pPr>
        <w:pStyle w:val="ListBullet"/>
        <w:rPr>
          <w:vanish/>
        </w:rPr>
      </w:pPr>
      <w:r>
        <w:rPr>
          <w:snapToGrid w:val="0"/>
        </w:rPr>
        <w:t>The naming convention for the active template is not editable.</w:t>
      </w:r>
      <w:r>
        <w:t xml:space="preserve"> When fewer racks are indicated, the system will inactivate existing rack names to keep the list in order without skipping a number or letter. Rack names are reusable.</w:t>
      </w:r>
      <w:r w:rsidR="00FC4E14">
        <w:t xml:space="preserve"> </w:t>
      </w:r>
      <w:r w:rsidR="00A922BB">
        <w:t>It is recommended for</w:t>
      </w:r>
      <w:r w:rsidR="00FC4E14">
        <w:t xml:space="preserve"> s</w:t>
      </w:r>
      <w:r w:rsidR="00FC4E14" w:rsidRPr="00FC4E14">
        <w:t>ites comprisi</w:t>
      </w:r>
      <w:r w:rsidR="00A922BB">
        <w:t xml:space="preserve">ng a multidivision to </w:t>
      </w:r>
      <w:r w:rsidR="00FC4E14" w:rsidRPr="00FC4E14">
        <w:t>assign different reagent rack names to prevent overlap</w:t>
      </w:r>
      <w:r w:rsidR="002B64D8">
        <w:t xml:space="preserve"> (See FAQ </w:t>
      </w:r>
      <w:r w:rsidR="00384190" w:rsidRPr="00384190">
        <w:t>Multidivisional QC Rack Workaroun</w:t>
      </w:r>
      <w:r w:rsidR="00384190">
        <w:t>d).</w:t>
      </w:r>
      <w:r w:rsidR="00AB4BD9">
        <w:t xml:space="preserve"> </w:t>
      </w:r>
      <w:r w:rsidR="00AB4BD9" w:rsidRPr="00AB4BD9">
        <w:rPr>
          <w:vanish/>
        </w:rPr>
        <w:t>Defect 209622</w:t>
      </w:r>
    </w:p>
    <w:p w14:paraId="4F9F43DA" w14:textId="77777777" w:rsidR="00B51CFF" w:rsidRDefault="00B51CFF" w:rsidP="00B51CFF">
      <w:pPr>
        <w:pStyle w:val="ListBullet"/>
      </w:pPr>
      <w:r>
        <w:rPr>
          <w:rFonts w:ascii="Arial" w:hAnsi="Arial" w:cs="Arial"/>
          <w:vanish/>
          <w:spacing w:val="0"/>
          <w:sz w:val="18"/>
        </w:rPr>
        <w:t xml:space="preserve">BR_51.09 </w:t>
      </w:r>
      <w:r>
        <w:t>The daily use field for QC Rack template entries exported as REQUIRED for Daily Use are not editable by the user. The daily use field for entries exported with the daily use as OPTIONAL may be changed to be REQUIRED and remain editable by the user at any time.</w:t>
      </w:r>
    </w:p>
    <w:p w14:paraId="2BFADEF5" w14:textId="77777777" w:rsidR="00B51CFF" w:rsidRDefault="00B51CFF" w:rsidP="00B51CFF">
      <w:pPr>
        <w:pStyle w:val="ListBullet"/>
      </w:pPr>
      <w:r>
        <w:rPr>
          <w:rFonts w:ascii="Arial" w:hAnsi="Arial" w:cs="Arial"/>
          <w:vanish/>
          <w:spacing w:val="0"/>
          <w:sz w:val="18"/>
        </w:rPr>
        <w:t xml:space="preserve">BR_51.08 </w:t>
      </w:r>
      <w:r>
        <w:t>If Screening Cell 3 (SC3) and/or (SC4) are set to “required” as part of the configuration of the antibody screening cell set they are enabled on the antibody screen data grid.</w:t>
      </w:r>
    </w:p>
    <w:p w14:paraId="524831E6" w14:textId="77777777" w:rsidR="00B51CFF" w:rsidRDefault="00B51CFF" w:rsidP="00B51CFF">
      <w:pPr>
        <w:pStyle w:val="ListBullet"/>
      </w:pPr>
      <w:r>
        <w:rPr>
          <w:rFonts w:ascii="Arial" w:hAnsi="Arial" w:cs="Arial"/>
          <w:vanish/>
          <w:spacing w:val="0"/>
          <w:sz w:val="18"/>
        </w:rPr>
        <w:t xml:space="preserve">BR_51.07 </w:t>
      </w:r>
      <w:r w:rsidR="009D7320">
        <w:t xml:space="preserve">The user must identify an enhancement media reagent type as the primary. </w:t>
      </w:r>
      <w:r w:rsidR="00256CC3">
        <w:t>I</w:t>
      </w:r>
      <w:r>
        <w:t>n addition</w:t>
      </w:r>
      <w:r w:rsidR="00256CC3">
        <w:t xml:space="preserve">, the user </w:t>
      </w:r>
      <w:r>
        <w:t xml:space="preserve">must identify </w:t>
      </w:r>
      <w:r w:rsidR="004A1342">
        <w:t>the Anti-</w:t>
      </w:r>
      <w:r>
        <w:t>Human Globulin serum used during daily quality control testing of the screening cells and primary enhancement media.</w:t>
      </w:r>
    </w:p>
    <w:p w14:paraId="36AF16AD" w14:textId="77777777" w:rsidR="00B51CFF" w:rsidRDefault="00B51CFF" w:rsidP="00B51CFF">
      <w:pPr>
        <w:pStyle w:val="ListBullet"/>
      </w:pPr>
      <w:r>
        <w:t>VBECS does not evaluate maximum strength of reaction for daily QC, as required by CAP. Local policy must define maximum strength of reaction.</w:t>
      </w:r>
    </w:p>
    <w:p w14:paraId="7605C7AE" w14:textId="77777777" w:rsidR="00B51CFF" w:rsidRDefault="00B51CFF" w:rsidP="00B51CFF">
      <w:pPr>
        <w:pStyle w:val="Heading4"/>
        <w:rPr>
          <w:b w:val="0"/>
        </w:rPr>
      </w:pPr>
      <w:r>
        <w:t>User Roles with Access to This Option</w:t>
      </w:r>
      <w:r>
        <w:rPr>
          <w:b w:val="0"/>
        </w:rPr>
        <w:t xml:space="preserve"> </w:t>
      </w:r>
    </w:p>
    <w:p w14:paraId="56CA606F"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CE276D7" w14:textId="77777777" w:rsidR="00B51CFF" w:rsidRDefault="00B51CFF" w:rsidP="00B51CFF">
      <w:pPr>
        <w:pStyle w:val="Heading4"/>
      </w:pPr>
      <w:r>
        <w:t xml:space="preserve">Configure Daily QC </w:t>
      </w:r>
    </w:p>
    <w:p w14:paraId="06F5DAE5" w14:textId="5968A6D9" w:rsidR="00B51CFF" w:rsidRDefault="00B51CFF" w:rsidP="00B51CFF">
      <w:pPr>
        <w:pStyle w:val="BodyText"/>
      </w:pPr>
      <w:r>
        <w:t xml:space="preserve">The user sets up the daily reagent QC template for reagent rack testing for the division. In the first use of this option, all fields default to blank with no template preferred. </w:t>
      </w:r>
      <w:r>
        <w:rPr>
          <w:rFonts w:ascii="Arial" w:hAnsi="Arial" w:cs="Arial"/>
          <w:vanish/>
          <w:sz w:val="18"/>
        </w:rPr>
        <w:t xml:space="preserve">BR_51.19 </w:t>
      </w:r>
      <w:r w:rsidR="00F92E73">
        <w:t xml:space="preserve">Additional tests are available and may be included in the daily QC testing template in accordance with local </w:t>
      </w:r>
      <w:r w:rsidR="00541DC0">
        <w:t>practice. When</w:t>
      </w:r>
      <w:r>
        <w:t xml:space="preserve"> a user changes the </w:t>
      </w:r>
      <w:r>
        <w:lastRenderedPageBreak/>
        <w:t>active template, there is no carryover of field settings to the new template. All are set to the default and configuration must be completed.</w:t>
      </w:r>
      <w:r w:rsidR="00F92E73" w:rsidRPr="00F92E73">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1A21F25A" w14:textId="77777777">
        <w:trPr>
          <w:cantSplit/>
          <w:tblHeader/>
        </w:trPr>
        <w:tc>
          <w:tcPr>
            <w:tcW w:w="3240" w:type="dxa"/>
            <w:shd w:val="pct30" w:color="auto" w:fill="FFFFFF"/>
            <w:vAlign w:val="bottom"/>
          </w:tcPr>
          <w:p w14:paraId="20DB2CEE" w14:textId="77777777" w:rsidR="00B51CFF" w:rsidRDefault="00B51CFF" w:rsidP="00DB1D38">
            <w:pPr>
              <w:pStyle w:val="TableText"/>
              <w:rPr>
                <w:b/>
              </w:rPr>
            </w:pPr>
            <w:r>
              <w:rPr>
                <w:b/>
              </w:rPr>
              <w:t>User Action</w:t>
            </w:r>
          </w:p>
        </w:tc>
        <w:tc>
          <w:tcPr>
            <w:tcW w:w="6120" w:type="dxa"/>
            <w:shd w:val="pct30" w:color="auto" w:fill="FFFFFF"/>
            <w:vAlign w:val="bottom"/>
          </w:tcPr>
          <w:p w14:paraId="1357609C" w14:textId="77777777" w:rsidR="00B51CFF" w:rsidRDefault="00B51CFF" w:rsidP="00DB1D38">
            <w:pPr>
              <w:pStyle w:val="TableText"/>
              <w:rPr>
                <w:b/>
              </w:rPr>
            </w:pPr>
            <w:r>
              <w:rPr>
                <w:b/>
              </w:rPr>
              <w:t>VBECS</w:t>
            </w:r>
          </w:p>
        </w:tc>
      </w:tr>
      <w:tr w:rsidR="00B51CFF" w14:paraId="654EBC3F" w14:textId="77777777">
        <w:trPr>
          <w:cantSplit/>
        </w:trPr>
        <w:tc>
          <w:tcPr>
            <w:tcW w:w="3240" w:type="dxa"/>
          </w:tcPr>
          <w:p w14:paraId="235B2A95" w14:textId="77777777" w:rsidR="00B51CFF" w:rsidRDefault="00B51CFF" w:rsidP="00DB1D38">
            <w:pPr>
              <w:pStyle w:val="TableTextNumbers"/>
            </w:pPr>
            <w:r>
              <w:t xml:space="preserve">Select </w:t>
            </w:r>
            <w:r>
              <w:rPr>
                <w:b/>
              </w:rPr>
              <w:t>Reagents</w:t>
            </w:r>
            <w:r>
              <w:t xml:space="preserve"> from the main menu. </w:t>
            </w:r>
          </w:p>
          <w:p w14:paraId="7B7D5F55" w14:textId="77777777" w:rsidR="00B51CFF" w:rsidRDefault="00B51CFF" w:rsidP="00DB1D38">
            <w:pPr>
              <w:pStyle w:val="TableTextNumbersContinued"/>
            </w:pPr>
          </w:p>
          <w:p w14:paraId="13BF2B7B" w14:textId="77777777" w:rsidR="00B51CFF" w:rsidRDefault="00B51CFF" w:rsidP="00DB1D38">
            <w:pPr>
              <w:pStyle w:val="TableTextNumbersContinued"/>
            </w:pPr>
            <w:r>
              <w:t xml:space="preserve">Select </w:t>
            </w:r>
            <w:r>
              <w:rPr>
                <w:b/>
              </w:rPr>
              <w:t>Configure Daily QC</w:t>
            </w:r>
            <w:r>
              <w:t>.</w:t>
            </w:r>
          </w:p>
        </w:tc>
        <w:tc>
          <w:tcPr>
            <w:tcW w:w="6120" w:type="dxa"/>
          </w:tcPr>
          <w:p w14:paraId="27F3BADE" w14:textId="77777777" w:rsidR="00B51CFF" w:rsidRDefault="00B51CFF" w:rsidP="00DB1D38">
            <w:pPr>
              <w:pStyle w:val="TableTextBullet"/>
            </w:pPr>
            <w:r>
              <w:t>Displays options for processing reagents.</w:t>
            </w:r>
          </w:p>
          <w:p w14:paraId="4C549E6E" w14:textId="77777777" w:rsidR="00B51CFF" w:rsidRDefault="00B51CFF" w:rsidP="00DB1D38">
            <w:pPr>
              <w:pStyle w:val="TableTextBullet"/>
            </w:pPr>
            <w:r>
              <w:t>Displays an option to configure online Daily Reagent Rack Quality Control.</w:t>
            </w:r>
          </w:p>
        </w:tc>
      </w:tr>
      <w:tr w:rsidR="00B51CFF" w14:paraId="7337E5C2" w14:textId="77777777">
        <w:trPr>
          <w:cantSplit/>
        </w:trPr>
        <w:tc>
          <w:tcPr>
            <w:tcW w:w="3240" w:type="dxa"/>
          </w:tcPr>
          <w:p w14:paraId="1898B85F" w14:textId="44299BC4" w:rsidR="00B51CFF" w:rsidRDefault="00B51CFF" w:rsidP="00DB1D38">
            <w:pPr>
              <w:pStyle w:val="TableTextNumbers"/>
            </w:pPr>
            <w:r>
              <w:t xml:space="preserve">Click the </w:t>
            </w:r>
            <w:r>
              <w:rPr>
                <w:b/>
              </w:rPr>
              <w:t>Commercial</w:t>
            </w:r>
            <w:r>
              <w:t xml:space="preserve"> or </w:t>
            </w:r>
            <w:r>
              <w:rPr>
                <w:b/>
              </w:rPr>
              <w:t>Non-Commercial</w:t>
            </w:r>
            <w:r>
              <w:t xml:space="preserve"> </w:t>
            </w:r>
            <w:r w:rsidRPr="00BF2E41">
              <w:t>radio button</w:t>
            </w:r>
            <w:r w:rsidR="00EC1B75">
              <w:t xml:space="preserve"> (</w:t>
            </w:r>
            <w:r w:rsidR="00295FAE">
              <w:fldChar w:fldCharType="begin"/>
            </w:r>
            <w:r w:rsidR="00295FAE">
              <w:instrText xml:space="preserve"> REF _Ref126467867 \h </w:instrText>
            </w:r>
            <w:r w:rsidR="00295FAE">
              <w:fldChar w:fldCharType="separate"/>
            </w:r>
            <w:r w:rsidR="004353ED" w:rsidRPr="00584AF9">
              <w:t xml:space="preserve">Figure </w:t>
            </w:r>
            <w:r w:rsidR="004353ED">
              <w:rPr>
                <w:noProof/>
                <w:lang w:val="fr-CA"/>
              </w:rPr>
              <w:t>44</w:t>
            </w:r>
            <w:r w:rsidR="00295FAE">
              <w:fldChar w:fldCharType="end"/>
            </w:r>
            <w:r w:rsidR="00910AA5" w:rsidRPr="00910AA5">
              <w:t>)</w:t>
            </w:r>
            <w:r>
              <w:t>.</w:t>
            </w:r>
          </w:p>
          <w:p w14:paraId="35E5D52D" w14:textId="77777777" w:rsidR="00B51CFF" w:rsidRDefault="00B51CFF" w:rsidP="00DB1D38">
            <w:pPr>
              <w:pStyle w:val="TableText"/>
            </w:pPr>
          </w:p>
        </w:tc>
        <w:tc>
          <w:tcPr>
            <w:tcW w:w="6120" w:type="dxa"/>
          </w:tcPr>
          <w:p w14:paraId="4D2FEFD2" w14:textId="77777777" w:rsidR="00B51CFF" w:rsidRDefault="00B51CFF" w:rsidP="00DB1D38">
            <w:pPr>
              <w:pStyle w:val="TableTextBullet"/>
            </w:pPr>
            <w:r>
              <w:t>Lists the two system-supplied Daily QC templates.</w:t>
            </w:r>
          </w:p>
          <w:p w14:paraId="43102846" w14:textId="77777777" w:rsidR="00B51CFF" w:rsidRDefault="00B51CFF" w:rsidP="00DB1D38">
            <w:pPr>
              <w:pStyle w:val="TableTextBullet1"/>
            </w:pPr>
            <w:r>
              <w:t>Commercial Daily QC</w:t>
            </w:r>
          </w:p>
          <w:p w14:paraId="5DE5EF3A" w14:textId="77777777" w:rsidR="00B51CFF" w:rsidRDefault="00B51CFF" w:rsidP="00DB1D38">
            <w:pPr>
              <w:pStyle w:val="TableTextBullet1"/>
            </w:pPr>
            <w:r>
              <w:t>Non-commercial Daily QC</w:t>
            </w:r>
          </w:p>
          <w:p w14:paraId="59177031" w14:textId="77777777" w:rsidR="00545664" w:rsidRDefault="00545664" w:rsidP="00545664">
            <w:pPr>
              <w:pStyle w:val="TableTextBullet"/>
            </w:pPr>
            <w:r>
              <w:t>When there are partially or currently QC’d racks in the system, warns the user to wait until QC expires (passes the daily alert time) and then make the changes.</w:t>
            </w:r>
          </w:p>
        </w:tc>
      </w:tr>
      <w:tr w:rsidR="00B51CFF" w14:paraId="154E1D3C" w14:textId="77777777">
        <w:trPr>
          <w:cantSplit/>
        </w:trPr>
        <w:tc>
          <w:tcPr>
            <w:tcW w:w="3240" w:type="dxa"/>
          </w:tcPr>
          <w:p w14:paraId="42763B23" w14:textId="77777777" w:rsidR="00B51CFF" w:rsidRDefault="00B51CFF" w:rsidP="00DB1D38">
            <w:pPr>
              <w:pStyle w:val="TableTextNumbers"/>
            </w:pPr>
            <w:r>
              <w:t>Set the daily alert time.</w:t>
            </w:r>
          </w:p>
        </w:tc>
        <w:tc>
          <w:tcPr>
            <w:tcW w:w="6120" w:type="dxa"/>
          </w:tcPr>
          <w:p w14:paraId="4CC78AB3" w14:textId="77777777" w:rsidR="00B51CFF" w:rsidRDefault="00B51CFF" w:rsidP="00DB1D38">
            <w:pPr>
              <w:pStyle w:val="TableTextBullet"/>
            </w:pPr>
            <w:r>
              <w:t>Asks the user to set the time the daily alert to all users at the site will begin.</w:t>
            </w:r>
          </w:p>
          <w:p w14:paraId="1E20DED4" w14:textId="77777777" w:rsidR="00B51CFF" w:rsidRDefault="00B51CFF" w:rsidP="00DB1D38">
            <w:pPr>
              <w:pStyle w:val="TableText"/>
            </w:pPr>
          </w:p>
          <w:p w14:paraId="6E1130C5" w14:textId="5F34E396" w:rsidR="00B51CFF" w:rsidRDefault="00B51CFF" w:rsidP="00DB1D38">
            <w:pPr>
              <w:pStyle w:val="TableText"/>
              <w:rPr>
                <w:b/>
                <w:bCs/>
                <w:szCs w:val="18"/>
              </w:rPr>
            </w:pPr>
            <w:r>
              <w:rPr>
                <w:b/>
                <w:bCs/>
                <w:szCs w:val="18"/>
              </w:rPr>
              <w:t>NOTES</w:t>
            </w:r>
          </w:p>
          <w:p w14:paraId="2488F9E4" w14:textId="77777777" w:rsidR="00B51CFF" w:rsidRDefault="00B51CFF" w:rsidP="00DB1D38">
            <w:pPr>
              <w:pStyle w:val="NotesText"/>
            </w:pPr>
          </w:p>
          <w:p w14:paraId="35E77147" w14:textId="77777777" w:rsidR="00B51CFF" w:rsidRDefault="00B51CFF" w:rsidP="00DB1D38">
            <w:pPr>
              <w:pStyle w:val="NotesText"/>
            </w:pPr>
            <w:r>
              <w:rPr>
                <w:rFonts w:cs="Arial"/>
                <w:vanish/>
              </w:rPr>
              <w:t xml:space="preserve">BR_51.02 </w:t>
            </w:r>
            <w:r>
              <w:t>The user indicates the local time that defines the start of the 24-hour period (the QC day) during which a rack is considered QC’d. VBECS alerts users when a rack was not performed after this local time passed.</w:t>
            </w:r>
          </w:p>
          <w:p w14:paraId="0AF17548" w14:textId="77777777" w:rsidR="00122EF8" w:rsidRDefault="00122EF8" w:rsidP="00122EF8">
            <w:pPr>
              <w:pStyle w:val="NotesText"/>
              <w:rPr>
                <w:rFonts w:cs="Arial"/>
                <w:szCs w:val="18"/>
              </w:rPr>
            </w:pPr>
          </w:p>
          <w:p w14:paraId="6C2CFF61" w14:textId="77777777" w:rsidR="000D0722" w:rsidRPr="00122EF8" w:rsidRDefault="000D0722" w:rsidP="00122EF8">
            <w:pPr>
              <w:pStyle w:val="NotesText"/>
              <w:rPr>
                <w:rFonts w:cs="Arial"/>
                <w:szCs w:val="18"/>
              </w:rPr>
            </w:pPr>
            <w:r>
              <w:t>The user may test a rack no earlier than the alert time</w:t>
            </w:r>
            <w:r w:rsidR="00543DAF">
              <w:t xml:space="preserve"> for the next 24 hours</w:t>
            </w:r>
            <w:r>
              <w:t xml:space="preserve">. </w:t>
            </w:r>
            <w:r w:rsidR="00D94DA3" w:rsidRPr="00D94DA3">
              <w:rPr>
                <w:vanish/>
              </w:rPr>
              <w:t xml:space="preserve"> (DR 2,716)</w:t>
            </w:r>
          </w:p>
        </w:tc>
      </w:tr>
      <w:tr w:rsidR="00B51CFF" w14:paraId="78628DC8" w14:textId="77777777">
        <w:trPr>
          <w:cantSplit/>
        </w:trPr>
        <w:tc>
          <w:tcPr>
            <w:tcW w:w="3240" w:type="dxa"/>
          </w:tcPr>
          <w:p w14:paraId="70C436F9" w14:textId="77777777" w:rsidR="00B51CFF" w:rsidRDefault="00B51CFF" w:rsidP="00DB1D38">
            <w:pPr>
              <w:pStyle w:val="TableTextNumbers"/>
            </w:pPr>
            <w:r>
              <w:t>Enter the number of racks at the site.</w:t>
            </w:r>
          </w:p>
          <w:p w14:paraId="327DE6CB" w14:textId="77777777" w:rsidR="00B51CFF" w:rsidRDefault="00B51CFF" w:rsidP="00DB1D38">
            <w:pPr>
              <w:pStyle w:val="TableTextNumbersContinued"/>
            </w:pPr>
          </w:p>
          <w:p w14:paraId="230BC8CC" w14:textId="77777777" w:rsidR="00B51CFF" w:rsidRDefault="00B51CFF" w:rsidP="00DB1D38">
            <w:pPr>
              <w:pStyle w:val="TableTextNumbersContinued"/>
            </w:pPr>
            <w:r>
              <w:t>Select a naming convention.</w:t>
            </w:r>
          </w:p>
        </w:tc>
        <w:tc>
          <w:tcPr>
            <w:tcW w:w="6120" w:type="dxa"/>
          </w:tcPr>
          <w:p w14:paraId="162305CA" w14:textId="77777777" w:rsidR="00B51CFF" w:rsidRDefault="00B51CFF" w:rsidP="00DB1D38">
            <w:pPr>
              <w:pStyle w:val="TableTextBullet"/>
            </w:pPr>
            <w:r>
              <w:t>Asks the user to set the number of racks to be QC’d daily at the division.</w:t>
            </w:r>
          </w:p>
          <w:p w14:paraId="58A1DB64" w14:textId="77777777" w:rsidR="00B51CFF" w:rsidRDefault="00B51CFF" w:rsidP="00DB1D38">
            <w:pPr>
              <w:pStyle w:val="TableTextBullet"/>
            </w:pPr>
            <w:r>
              <w:t>Asks the user to set the naming convention for racks.</w:t>
            </w:r>
          </w:p>
          <w:p w14:paraId="546A7055" w14:textId="77777777" w:rsidR="00B51CFF" w:rsidRDefault="00B51CFF" w:rsidP="00DB1D38">
            <w:pPr>
              <w:pStyle w:val="TableText"/>
              <w:rPr>
                <w:b/>
                <w:bCs/>
                <w:szCs w:val="18"/>
              </w:rPr>
            </w:pPr>
          </w:p>
          <w:p w14:paraId="12644107" w14:textId="0B0BD9DF" w:rsidR="00B51CFF" w:rsidRDefault="00B51CFF" w:rsidP="00DB1D38">
            <w:pPr>
              <w:pStyle w:val="TableText"/>
              <w:rPr>
                <w:b/>
                <w:bCs/>
                <w:szCs w:val="18"/>
              </w:rPr>
            </w:pPr>
            <w:r>
              <w:rPr>
                <w:b/>
                <w:bCs/>
                <w:szCs w:val="18"/>
              </w:rPr>
              <w:t>NOTES</w:t>
            </w:r>
          </w:p>
          <w:p w14:paraId="2B1F5C59" w14:textId="77777777" w:rsidR="00B51CFF" w:rsidRDefault="00B51CFF" w:rsidP="00DB1D38">
            <w:pPr>
              <w:pStyle w:val="NotesText"/>
              <w:ind w:left="0"/>
            </w:pPr>
          </w:p>
          <w:p w14:paraId="6D267BA6" w14:textId="77777777" w:rsidR="00B51CFF" w:rsidRDefault="00B51CFF" w:rsidP="00DB1D38">
            <w:pPr>
              <w:pStyle w:val="NotesText"/>
            </w:pPr>
            <w:r>
              <w:rPr>
                <w:rFonts w:cs="Arial"/>
                <w:vanish/>
                <w:szCs w:val="18"/>
              </w:rPr>
              <w:t>BR_51.01</w:t>
            </w:r>
            <w:r w:rsidR="00CE3961">
              <w:rPr>
                <w:rFonts w:cs="Arial"/>
                <w:vanish/>
                <w:szCs w:val="18"/>
              </w:rPr>
              <w:t>,</w:t>
            </w:r>
            <w:r>
              <w:rPr>
                <w:rFonts w:cs="Arial"/>
                <w:vanish/>
                <w:szCs w:val="18"/>
              </w:rPr>
              <w:t xml:space="preserve"> </w:t>
            </w:r>
            <w:r>
              <w:rPr>
                <w:vanish/>
                <w:szCs w:val="18"/>
              </w:rPr>
              <w:t>BR_51.13</w:t>
            </w:r>
            <w:r w:rsidR="00CE3961">
              <w:rPr>
                <w:vanish/>
                <w:szCs w:val="18"/>
              </w:rPr>
              <w:t>,</w:t>
            </w:r>
            <w:r>
              <w:rPr>
                <w:vanish/>
                <w:szCs w:val="18"/>
              </w:rPr>
              <w:t xml:space="preserve"> BR_51.14 </w:t>
            </w:r>
            <w:r>
              <w:t>A user may indicate 1–26 racks per site and names them according to the convention selected (A–Z or 1–26).</w:t>
            </w:r>
          </w:p>
        </w:tc>
      </w:tr>
      <w:tr w:rsidR="00B51CFF" w14:paraId="795CB94E" w14:textId="77777777">
        <w:trPr>
          <w:cantSplit/>
        </w:trPr>
        <w:tc>
          <w:tcPr>
            <w:tcW w:w="3240" w:type="dxa"/>
          </w:tcPr>
          <w:p w14:paraId="77E622DF" w14:textId="77777777" w:rsidR="00B51CFF" w:rsidRDefault="00B51CFF" w:rsidP="00DB1D38">
            <w:pPr>
              <w:pStyle w:val="TableTextNumbers"/>
            </w:pPr>
            <w:r>
              <w:t>Accept or edit the default settings of the template.</w:t>
            </w:r>
          </w:p>
          <w:p w14:paraId="52D4B088" w14:textId="77777777" w:rsidR="00B51CFF" w:rsidRDefault="00B51CFF" w:rsidP="00DB1D38">
            <w:pPr>
              <w:pStyle w:val="TableTextNumbersContinued"/>
            </w:pPr>
          </w:p>
          <w:p w14:paraId="4485446C" w14:textId="77777777" w:rsidR="00B51CFF" w:rsidRDefault="00B51CFF" w:rsidP="00DB1D38">
            <w:pPr>
              <w:pStyle w:val="TableTextNumbersContinued"/>
            </w:pPr>
            <w:r>
              <w:t>Select primary and secondary enhancement medium options from the drop-down menus.</w:t>
            </w:r>
          </w:p>
        </w:tc>
        <w:tc>
          <w:tcPr>
            <w:tcW w:w="6120" w:type="dxa"/>
          </w:tcPr>
          <w:p w14:paraId="479EB61B" w14:textId="77777777" w:rsidR="00B51CFF" w:rsidRDefault="00B51CFF" w:rsidP="00DB1D38">
            <w:pPr>
              <w:pStyle w:val="TableTextBullet"/>
            </w:pPr>
            <w:r>
              <w:t xml:space="preserve">Lists the default reagent types for inclusion in the daily reagent rack quality control and expected minimum reactions for each test type. </w:t>
            </w:r>
          </w:p>
          <w:p w14:paraId="2EBCFF9A" w14:textId="77777777" w:rsidR="00B51CFF" w:rsidRDefault="00B51CFF" w:rsidP="00DB1D38">
            <w:pPr>
              <w:pStyle w:val="TableTextBullet"/>
            </w:pPr>
            <w:r>
              <w:t>Displays changes and edits for review before saving.</w:t>
            </w:r>
          </w:p>
          <w:p w14:paraId="23A68FF6" w14:textId="77777777" w:rsidR="00B51CFF" w:rsidRDefault="00B51CFF" w:rsidP="00DB1D38">
            <w:pPr>
              <w:pStyle w:val="TableText"/>
            </w:pPr>
          </w:p>
          <w:p w14:paraId="47EDA21D" w14:textId="60B1F476" w:rsidR="00B51CFF" w:rsidRDefault="00B51CFF" w:rsidP="00DB1D38">
            <w:pPr>
              <w:pStyle w:val="TableText"/>
              <w:rPr>
                <w:b/>
                <w:bCs/>
                <w:szCs w:val="18"/>
              </w:rPr>
            </w:pPr>
            <w:r>
              <w:rPr>
                <w:b/>
                <w:bCs/>
                <w:szCs w:val="18"/>
              </w:rPr>
              <w:t>NOTES</w:t>
            </w:r>
          </w:p>
          <w:p w14:paraId="027112E6" w14:textId="77777777" w:rsidR="00B51CFF" w:rsidRDefault="00B51CFF" w:rsidP="00DB1D38">
            <w:pPr>
              <w:pStyle w:val="NotesText"/>
            </w:pPr>
          </w:p>
          <w:p w14:paraId="46EEA54C" w14:textId="77777777" w:rsidR="00B51CFF" w:rsidRDefault="00B51CFF" w:rsidP="00DB1D38">
            <w:pPr>
              <w:pStyle w:val="NotesText"/>
            </w:pPr>
            <w:r>
              <w:t xml:space="preserve">One setting covers all racks at the site. </w:t>
            </w:r>
          </w:p>
          <w:p w14:paraId="4C4820BD" w14:textId="77777777" w:rsidR="00B51CFF" w:rsidRDefault="00B51CFF" w:rsidP="00DB1D38">
            <w:pPr>
              <w:pStyle w:val="NotesText"/>
            </w:pPr>
          </w:p>
          <w:p w14:paraId="061CD21F" w14:textId="77777777" w:rsidR="00B51CFF" w:rsidRDefault="00B51CFF" w:rsidP="00DB1D38">
            <w:pPr>
              <w:pStyle w:val="NotesText"/>
            </w:pPr>
            <w:r>
              <w:rPr>
                <w:rFonts w:cs="Arial"/>
                <w:vanish/>
              </w:rPr>
              <w:t xml:space="preserve">BR_51.10 </w:t>
            </w:r>
            <w:r>
              <w:t>Reagent types selected display on the rack lot number template and the reaction result entry worksheet for each rack in Enter Daily QC Results with some exceptions: gel kit, selected AHG, and automated testing lots numbers.</w:t>
            </w:r>
          </w:p>
          <w:p w14:paraId="1AB5B27A" w14:textId="77777777" w:rsidR="00B51CFF" w:rsidRDefault="00B51CFF" w:rsidP="00DB1D38">
            <w:pPr>
              <w:pStyle w:val="NotesText"/>
            </w:pPr>
          </w:p>
          <w:p w14:paraId="478CA32C" w14:textId="77777777" w:rsidR="00B51CFF" w:rsidRDefault="00B51CFF" w:rsidP="00DB1D38">
            <w:pPr>
              <w:pStyle w:val="NotesText"/>
            </w:pPr>
            <w:r>
              <w:rPr>
                <w:rFonts w:cs="Arial"/>
                <w:vanish/>
              </w:rPr>
              <w:t xml:space="preserve">BR_51.15 </w:t>
            </w:r>
            <w:r>
              <w:t>When previously entered parameters for daily QC rack definitions are changed, VBECS requires a comment before the user saves the update.</w:t>
            </w:r>
          </w:p>
        </w:tc>
      </w:tr>
      <w:tr w:rsidR="00B51CFF" w14:paraId="78650C25" w14:textId="77777777">
        <w:trPr>
          <w:cantSplit/>
        </w:trPr>
        <w:tc>
          <w:tcPr>
            <w:tcW w:w="3240" w:type="dxa"/>
          </w:tcPr>
          <w:p w14:paraId="753DDBDF" w14:textId="77777777" w:rsidR="00B51CFF" w:rsidRDefault="00B51CFF" w:rsidP="00DB1D38">
            <w:pPr>
              <w:pStyle w:val="TableTextNumbers"/>
            </w:pPr>
            <w:r>
              <w:t xml:space="preserve">Click </w:t>
            </w:r>
            <w:r>
              <w:rPr>
                <w:b/>
              </w:rPr>
              <w:t>OK</w:t>
            </w:r>
            <w:r>
              <w:t xml:space="preserve"> to save.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89" w:author="Blalock, David (Leidos)" w:date="2020-06-15T14:09:00Z" w:original="0."/>
              </w:fldChar>
            </w:r>
          </w:p>
        </w:tc>
        <w:tc>
          <w:tcPr>
            <w:tcW w:w="6120" w:type="dxa"/>
          </w:tcPr>
          <w:p w14:paraId="6128E1A3" w14:textId="77777777" w:rsidR="00B51CFF" w:rsidRDefault="00B51CFF" w:rsidP="00DB1D38">
            <w:pPr>
              <w:pStyle w:val="TableText"/>
            </w:pPr>
          </w:p>
        </w:tc>
      </w:tr>
    </w:tbl>
    <w:p w14:paraId="578FD0CA" w14:textId="5594BFF5" w:rsidR="008F0A39" w:rsidRPr="00584AF9" w:rsidRDefault="008F0A39" w:rsidP="008F0A39">
      <w:pPr>
        <w:pStyle w:val="Caption"/>
      </w:pPr>
      <w:bookmarkStart w:id="190" w:name="_Ref126467867"/>
      <w:bookmarkEnd w:id="188"/>
      <w:r w:rsidRPr="00584AF9">
        <w:lastRenderedPageBreak/>
        <w:t xml:space="preserve">Figure </w:t>
      </w:r>
      <w:r w:rsidR="00C17F7C">
        <w:fldChar w:fldCharType="begin"/>
      </w:r>
      <w:r w:rsidR="00C17F7C" w:rsidRPr="001E3F01">
        <w:rPr>
          <w:lang w:val="fr-CA"/>
        </w:rPr>
        <w:instrText xml:space="preserve"> SEQ Figure \* ARABIC </w:instrText>
      </w:r>
      <w:r w:rsidR="00C17F7C">
        <w:fldChar w:fldCharType="separate"/>
      </w:r>
      <w:r w:rsidR="00022B7B">
        <w:rPr>
          <w:noProof/>
          <w:lang w:val="fr-CA"/>
        </w:rPr>
        <w:t>44</w:t>
      </w:r>
      <w:r w:rsidR="00C17F7C">
        <w:fldChar w:fldCharType="end"/>
      </w:r>
      <w:bookmarkEnd w:id="190"/>
      <w:r w:rsidRPr="00584AF9">
        <w:t>: Commercial and Non-Commercial Radio Buttons</w:t>
      </w:r>
    </w:p>
    <w:p w14:paraId="4349BE35" w14:textId="77777777" w:rsidR="0053799A" w:rsidRDefault="00057948" w:rsidP="00424F28">
      <w:pPr>
        <w:pStyle w:val="BodyText"/>
      </w:pPr>
      <w:r>
        <w:rPr>
          <w:noProof/>
        </w:rPr>
        <w:drawing>
          <wp:inline distT="0" distB="0" distL="0" distR="0" wp14:anchorId="70224E7D" wp14:editId="26CD7693">
            <wp:extent cx="3204845" cy="2521585"/>
            <wp:effectExtent l="0" t="0" r="0" b="0"/>
            <wp:docPr id="126" name="Picture 1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a:extLst>
                        <a:ext uri="{C183D7F6-B498-43B3-948B-1728B52AA6E4}">
                          <adec:decorative xmlns:adec="http://schemas.microsoft.com/office/drawing/2017/decorative" val="1"/>
                        </a:ext>
                      </a:extLst>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204845" cy="2521585"/>
                    </a:xfrm>
                    <a:prstGeom prst="rect">
                      <a:avLst/>
                    </a:prstGeom>
                    <a:noFill/>
                    <a:ln>
                      <a:noFill/>
                    </a:ln>
                  </pic:spPr>
                </pic:pic>
              </a:graphicData>
            </a:graphic>
          </wp:inline>
        </w:drawing>
      </w:r>
    </w:p>
    <w:p w14:paraId="7F12D583" w14:textId="77777777" w:rsidR="00733B28" w:rsidRPr="008000E5" w:rsidRDefault="00B51CFF" w:rsidP="0053799A">
      <w:pPr>
        <w:pStyle w:val="Heading2"/>
      </w:pPr>
      <w:r w:rsidRPr="008000E5">
        <w:br w:type="page"/>
      </w:r>
      <w:bookmarkStart w:id="191" w:name="_Toc47516694"/>
      <w:r w:rsidR="00733B28" w:rsidRPr="008000E5">
        <w:lastRenderedPageBreak/>
        <w:t>Configure Division</w:t>
      </w:r>
      <w:bookmarkEnd w:id="191"/>
      <w:r w:rsidR="00733B28">
        <w:fldChar w:fldCharType="begin"/>
      </w:r>
      <w:r w:rsidR="00733B28" w:rsidRPr="008000E5">
        <w:instrText xml:space="preserve"> XE "Configure Division" </w:instrText>
      </w:r>
      <w:r w:rsidR="00733B28">
        <w:fldChar w:fldCharType="end"/>
      </w:r>
    </w:p>
    <w:p w14:paraId="1095EFC3" w14:textId="77777777" w:rsidR="002A21AE" w:rsidRPr="008000E5" w:rsidRDefault="00D567C9" w:rsidP="007716F7">
      <w:pPr>
        <w:pStyle w:val="Heading3"/>
      </w:pPr>
      <w:bookmarkStart w:id="192" w:name="_Toc63680384"/>
      <w:bookmarkStart w:id="193" w:name="_Toc87166918"/>
      <w:bookmarkStart w:id="194" w:name="_Toc47516695"/>
      <w:r w:rsidRPr="008000E5">
        <w:t>Configure Division</w:t>
      </w:r>
      <w:bookmarkEnd w:id="192"/>
      <w:bookmarkEnd w:id="193"/>
      <w:bookmarkEnd w:id="194"/>
      <w:r w:rsidR="00733B28">
        <w:fldChar w:fldCharType="begin"/>
      </w:r>
      <w:r w:rsidR="00733B28" w:rsidRPr="008000E5">
        <w:instrText xml:space="preserve"> XE "Configure Division" </w:instrText>
      </w:r>
      <w:r w:rsidR="00733B28">
        <w:fldChar w:fldCharType="end"/>
      </w:r>
      <w:r w:rsidR="002A21AE" w:rsidRPr="008000E5">
        <w:rPr>
          <w:rFonts w:ascii="Arial Bold" w:hAnsi="Arial Bold"/>
          <w:vanish/>
        </w:rPr>
        <w:t xml:space="preserve"> UC_09</w:t>
      </w:r>
    </w:p>
    <w:p w14:paraId="631BD857" w14:textId="41C4A5EB" w:rsidR="002A21AE" w:rsidRDefault="002A21AE" w:rsidP="00FA7E65">
      <w:pPr>
        <w:pStyle w:val="BodyText"/>
      </w:pPr>
      <w:r>
        <w:t>A user defines site parameters that affect how VBECS behaves at a specific division. VBECS may be configured to function differently at each division within a consolidated database. Site parameters may be redefined.</w:t>
      </w:r>
      <w:r w:rsidR="00E90A01">
        <w:t xml:space="preserve"> For additional information, see </w:t>
      </w:r>
      <w:r w:rsidR="00E90A01">
        <w:fldChar w:fldCharType="begin"/>
      </w:r>
      <w:r w:rsidR="00E90A01">
        <w:instrText xml:space="preserve"> REF _Ref508960075 \h </w:instrText>
      </w:r>
      <w:r w:rsidR="00E90A01">
        <w:fldChar w:fldCharType="separate"/>
      </w:r>
      <w:r w:rsidR="004353ED">
        <w:t xml:space="preserve">Appendix </w:t>
      </w:r>
      <w:r w:rsidR="004353ED">
        <w:rPr>
          <w:noProof/>
        </w:rPr>
        <w:t>G</w:t>
      </w:r>
      <w:r w:rsidR="004353ED">
        <w:t>: Work Process Flowcharts</w:t>
      </w:r>
      <w:r w:rsidR="00E90A01">
        <w:fldChar w:fldCharType="end"/>
      </w:r>
      <w:r w:rsidR="00E90A01">
        <w:t>.</w:t>
      </w:r>
    </w:p>
    <w:p w14:paraId="3E476CE7" w14:textId="77777777" w:rsidR="002A21AE" w:rsidRDefault="002A21AE">
      <w:pPr>
        <w:pStyle w:val="Heading4"/>
      </w:pPr>
      <w:r>
        <w:t>Assumptions</w:t>
      </w:r>
    </w:p>
    <w:p w14:paraId="5529B7F4" w14:textId="77777777" w:rsidR="002A21AE" w:rsidRDefault="002A21AE">
      <w:pPr>
        <w:pStyle w:val="ListBullet"/>
      </w:pPr>
      <w:r>
        <w:t xml:space="preserve">The site administrator defines the VBECS configuration, adds users, and assigns privileges for each division so that they mirror the associated </w:t>
      </w:r>
      <w:r w:rsidR="00CA0045" w:rsidRPr="00CA0045">
        <w:rPr>
          <w:bCs/>
        </w:rPr>
        <w:t>VistA</w:t>
      </w:r>
      <w:r>
        <w:t xml:space="preserve"> database.</w:t>
      </w:r>
    </w:p>
    <w:p w14:paraId="3C82E3E8" w14:textId="77777777" w:rsidR="002A21AE" w:rsidRDefault="002A21AE">
      <w:pPr>
        <w:pStyle w:val="Heading4"/>
      </w:pPr>
      <w:r>
        <w:t>Outcome</w:t>
      </w:r>
    </w:p>
    <w:p w14:paraId="046E1413" w14:textId="77777777" w:rsidR="002A21AE" w:rsidRDefault="002A21AE">
      <w:pPr>
        <w:pStyle w:val="ListBullet"/>
      </w:pPr>
      <w:r>
        <w:t xml:space="preserve">Functional parameters are set for divisions that use the </w:t>
      </w:r>
      <w:r w:rsidR="00CA0045" w:rsidRPr="00CA0045">
        <w:rPr>
          <w:bCs/>
        </w:rPr>
        <w:t>VistA</w:t>
      </w:r>
      <w:r>
        <w:t xml:space="preserve"> database.</w:t>
      </w:r>
    </w:p>
    <w:p w14:paraId="0E04D9BF" w14:textId="77777777" w:rsidR="002A21AE" w:rsidRDefault="002A21AE">
      <w:pPr>
        <w:pStyle w:val="Heading4"/>
      </w:pPr>
      <w:r>
        <w:t>Limitations and Restrictions</w:t>
      </w:r>
    </w:p>
    <w:p w14:paraId="6B223ABE" w14:textId="77777777" w:rsidR="002A21AE" w:rsidRDefault="0041670F">
      <w:pPr>
        <w:pStyle w:val="ListBullet"/>
      </w:pPr>
      <w:r>
        <w:t>Changes made to the division setting are not applied to a user until they re-connect to VBECS after the change is made. It is highly recommended that all users log off VBECS prior to any configuration setting change.</w:t>
      </w:r>
      <w:r>
        <w:rPr>
          <w:vanish/>
        </w:rPr>
        <w:t xml:space="preserve"> DR 4136</w:t>
      </w:r>
    </w:p>
    <w:p w14:paraId="1B347A5F" w14:textId="77777777" w:rsidR="002E7EBF" w:rsidRDefault="002E7EBF" w:rsidP="002E7EBF">
      <w:pPr>
        <w:pStyle w:val="Caution"/>
      </w:pPr>
      <w:r>
        <w:t xml:space="preserve">It is recommended that users configure a division before configuring testing (click the </w:t>
      </w:r>
      <w:r>
        <w:rPr>
          <w:b/>
        </w:rPr>
        <w:t xml:space="preserve">Configure Testing </w:t>
      </w:r>
      <w:r w:rsidRPr="007004B1">
        <w:t>tab</w:t>
      </w:r>
      <w:r>
        <w:t>).</w:t>
      </w:r>
    </w:p>
    <w:p w14:paraId="47473EFD" w14:textId="77777777" w:rsidR="002A21AE" w:rsidRDefault="002A21AE">
      <w:pPr>
        <w:pStyle w:val="Heading4"/>
      </w:pPr>
      <w:r>
        <w:t>Additional Information</w:t>
      </w:r>
    </w:p>
    <w:p w14:paraId="13485DC2" w14:textId="05F729EC" w:rsidR="002A21AE" w:rsidRPr="000C7C69" w:rsidRDefault="00C428B3" w:rsidP="004D7ECB">
      <w:pPr>
        <w:pStyle w:val="ListBullet"/>
      </w:pPr>
      <w:r>
        <w:t>To incorporate changes in division codes and names from</w:t>
      </w:r>
      <w:r w:rsidR="004D7ECB">
        <w:t xml:space="preserve"> V</w:t>
      </w:r>
      <w:r>
        <w:t>istA to VBECS,</w:t>
      </w:r>
      <w:r w:rsidR="00844E41">
        <w:t xml:space="preserve"> and to change time zones, </w:t>
      </w:r>
      <w:r w:rsidR="004D7ECB">
        <w:t>see</w:t>
      </w:r>
      <w:r w:rsidR="00BA2EAA">
        <w:t xml:space="preserve"> the</w:t>
      </w:r>
      <w:r w:rsidR="004D7ECB">
        <w:t xml:space="preserve"> </w:t>
      </w:r>
      <w:r w:rsidR="004D7ECB" w:rsidRPr="004D7ECB">
        <w:rPr>
          <w:i/>
        </w:rPr>
        <w:t>V</w:t>
      </w:r>
      <w:r w:rsidR="00BA2EAA">
        <w:rPr>
          <w:i/>
        </w:rPr>
        <w:t>BECS 2.3.2 Administrator User</w:t>
      </w:r>
      <w:r w:rsidR="004D7ECB" w:rsidRPr="004D7ECB">
        <w:rPr>
          <w:i/>
        </w:rPr>
        <w:t xml:space="preserve"> Guid</w:t>
      </w:r>
      <w:r w:rsidR="004D7ECB" w:rsidRPr="00461A0A">
        <w:rPr>
          <w:i/>
        </w:rPr>
        <w:t>e</w:t>
      </w:r>
      <w:r w:rsidR="004D7ECB" w:rsidRPr="00461A0A">
        <w:rPr>
          <w:rFonts w:ascii="Arial" w:hAnsi="Arial"/>
          <w:snapToGrid w:val="0"/>
          <w:sz w:val="18"/>
        </w:rPr>
        <w:t>.</w:t>
      </w:r>
    </w:p>
    <w:p w14:paraId="5A4199E4" w14:textId="77777777" w:rsidR="000C7C69" w:rsidRPr="00844E41" w:rsidRDefault="000C7C69" w:rsidP="004D7ECB">
      <w:pPr>
        <w:pStyle w:val="ListBullet"/>
      </w:pPr>
      <w:r>
        <w:t xml:space="preserve">VBECS records configuration changes </w:t>
      </w:r>
      <w:r w:rsidR="00D84237">
        <w:t xml:space="preserve">(such as time zone) </w:t>
      </w:r>
      <w:r>
        <w:t>on the Audit Trail Report.</w:t>
      </w:r>
    </w:p>
    <w:p w14:paraId="21B9A56F" w14:textId="77777777" w:rsidR="002A21AE" w:rsidRDefault="002A21AE" w:rsidP="00461A0A">
      <w:pPr>
        <w:pStyle w:val="Heading4"/>
        <w:tabs>
          <w:tab w:val="center" w:pos="4680"/>
        </w:tabs>
      </w:pPr>
      <w:r>
        <w:t xml:space="preserve">User Roles with Access to This Option </w:t>
      </w:r>
      <w:r w:rsidR="00461A0A">
        <w:tab/>
      </w:r>
    </w:p>
    <w:p w14:paraId="6A0C527D" w14:textId="77777777" w:rsidR="00237C52" w:rsidRDefault="00237C52" w:rsidP="00237C52">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5C563F7" w14:textId="77777777" w:rsidR="002A21AE" w:rsidRDefault="00D567C9">
      <w:pPr>
        <w:pStyle w:val="Heading4"/>
      </w:pPr>
      <w:r>
        <w:t>Configure Division</w:t>
      </w:r>
    </w:p>
    <w:p w14:paraId="309903C7" w14:textId="77777777" w:rsidR="002A21AE" w:rsidRDefault="002A21AE" w:rsidP="00FA7E65">
      <w:pPr>
        <w:pStyle w:val="BodyText"/>
      </w:pPr>
      <w:r>
        <w:t>Once VBECS is configured to identify all of the divisions, the user sets up critical fields required for routine use of VBECS.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7A53C16" w14:textId="77777777">
        <w:trPr>
          <w:cantSplit/>
          <w:tblHeader/>
        </w:trPr>
        <w:tc>
          <w:tcPr>
            <w:tcW w:w="3240" w:type="dxa"/>
            <w:shd w:val="pct30" w:color="auto" w:fill="FFFFFF"/>
            <w:vAlign w:val="bottom"/>
          </w:tcPr>
          <w:p w14:paraId="7932A54F" w14:textId="77777777" w:rsidR="002A21AE" w:rsidRDefault="002A21AE">
            <w:pPr>
              <w:pStyle w:val="TableText"/>
              <w:rPr>
                <w:b/>
              </w:rPr>
            </w:pPr>
            <w:r>
              <w:rPr>
                <w:b/>
              </w:rPr>
              <w:t>User Action</w:t>
            </w:r>
          </w:p>
        </w:tc>
        <w:tc>
          <w:tcPr>
            <w:tcW w:w="6120" w:type="dxa"/>
            <w:shd w:val="pct30" w:color="auto" w:fill="FFFFFF"/>
            <w:vAlign w:val="bottom"/>
          </w:tcPr>
          <w:p w14:paraId="26FCB47F" w14:textId="77777777" w:rsidR="002A21AE" w:rsidRDefault="002A21AE">
            <w:pPr>
              <w:pStyle w:val="TableText"/>
              <w:rPr>
                <w:b/>
              </w:rPr>
            </w:pPr>
            <w:r>
              <w:rPr>
                <w:b/>
              </w:rPr>
              <w:t>VBECS</w:t>
            </w:r>
          </w:p>
        </w:tc>
      </w:tr>
      <w:tr w:rsidR="002A21AE" w14:paraId="1000E946" w14:textId="77777777">
        <w:tc>
          <w:tcPr>
            <w:tcW w:w="3240" w:type="dxa"/>
          </w:tcPr>
          <w:p w14:paraId="28FEEA91" w14:textId="77777777" w:rsidR="002A21AE" w:rsidRDefault="002A21AE">
            <w:pPr>
              <w:pStyle w:val="TableTextNumbers"/>
            </w:pPr>
            <w:r>
              <w:t xml:space="preserve">Select </w:t>
            </w:r>
            <w:r>
              <w:rPr>
                <w:b/>
                <w:bCs/>
              </w:rPr>
              <w:t>Tools</w:t>
            </w:r>
            <w:r>
              <w:t xml:space="preserve"> from the main menu.</w:t>
            </w:r>
          </w:p>
          <w:p w14:paraId="56797698" w14:textId="77777777" w:rsidR="002A21AE" w:rsidRDefault="002A21AE">
            <w:pPr>
              <w:pStyle w:val="TableTextNumbersContinued"/>
              <w:rPr>
                <w:b/>
                <w:bCs/>
              </w:rPr>
            </w:pPr>
          </w:p>
          <w:p w14:paraId="0CC78EB9" w14:textId="4C4ECB27" w:rsidR="002A21AE" w:rsidRDefault="002A21AE">
            <w:pPr>
              <w:pStyle w:val="TableTextNumbersContinued"/>
              <w:rPr>
                <w:b/>
                <w:bCs/>
              </w:rPr>
            </w:pPr>
            <w:r w:rsidRPr="00090795">
              <w:rPr>
                <w:bCs/>
              </w:rPr>
              <w:t>Select</w:t>
            </w:r>
            <w:r>
              <w:rPr>
                <w:b/>
                <w:bCs/>
              </w:rPr>
              <w:t xml:space="preserve"> Configure Division</w:t>
            </w:r>
            <w:r w:rsidR="004E4889">
              <w:rPr>
                <w:b/>
                <w:bCs/>
              </w:rPr>
              <w:t xml:space="preserve"> </w:t>
            </w:r>
            <w:r w:rsidR="004E4889" w:rsidRPr="004E4889">
              <w:rPr>
                <w:bCs/>
              </w:rPr>
              <w:t>(</w:t>
            </w:r>
            <w:r w:rsidR="00295FAE">
              <w:rPr>
                <w:bCs/>
              </w:rPr>
              <w:fldChar w:fldCharType="begin"/>
            </w:r>
            <w:r w:rsidR="00295FAE">
              <w:rPr>
                <w:bCs/>
              </w:rPr>
              <w:instrText xml:space="preserve"> REF _Ref126467884 \h </w:instrText>
            </w:r>
            <w:r w:rsidR="00295FAE">
              <w:rPr>
                <w:bCs/>
              </w:rPr>
            </w:r>
            <w:r w:rsidR="00295FAE">
              <w:rPr>
                <w:bCs/>
              </w:rPr>
              <w:fldChar w:fldCharType="separate"/>
            </w:r>
            <w:r w:rsidR="004353ED">
              <w:t xml:space="preserve">Figure </w:t>
            </w:r>
            <w:r w:rsidR="004353ED">
              <w:rPr>
                <w:noProof/>
              </w:rPr>
              <w:t>45</w:t>
            </w:r>
            <w:r w:rsidR="00295FAE">
              <w:rPr>
                <w:bCs/>
              </w:rPr>
              <w:fldChar w:fldCharType="end"/>
            </w:r>
            <w:r w:rsidR="004E4889" w:rsidRPr="004E4889">
              <w:rPr>
                <w:bCs/>
              </w:rPr>
              <w:t>)</w:t>
            </w:r>
            <w:r w:rsidRPr="00090795">
              <w:rPr>
                <w:bCs/>
              </w:rPr>
              <w:t>.</w:t>
            </w:r>
          </w:p>
        </w:tc>
        <w:tc>
          <w:tcPr>
            <w:tcW w:w="6120" w:type="dxa"/>
          </w:tcPr>
          <w:p w14:paraId="5EBAF917" w14:textId="77777777" w:rsidR="002A21AE" w:rsidRDefault="002A21AE">
            <w:pPr>
              <w:pStyle w:val="TableTextBullet"/>
            </w:pPr>
            <w:r>
              <w:t>Displays options for processing administrative functions.</w:t>
            </w:r>
          </w:p>
          <w:p w14:paraId="45F2D5CD" w14:textId="77777777" w:rsidR="002A21AE" w:rsidRDefault="002A21AE">
            <w:pPr>
              <w:pStyle w:val="TableTextBullet"/>
            </w:pPr>
            <w:r>
              <w:t>Displays the Configure Division tab with fields for entering division-specific blood product information.</w:t>
            </w:r>
          </w:p>
        </w:tc>
      </w:tr>
      <w:tr w:rsidR="002A21AE" w14:paraId="5551F766" w14:textId="77777777" w:rsidTr="007E500E">
        <w:trPr>
          <w:cantSplit/>
        </w:trPr>
        <w:tc>
          <w:tcPr>
            <w:tcW w:w="3240" w:type="dxa"/>
          </w:tcPr>
          <w:p w14:paraId="0E01E711" w14:textId="77777777" w:rsidR="002A21AE" w:rsidRDefault="002A21AE">
            <w:pPr>
              <w:pStyle w:val="TableTextNumbers"/>
            </w:pPr>
            <w:r>
              <w:lastRenderedPageBreak/>
              <w:t xml:space="preserve">Enter the ICCBBA </w:t>
            </w:r>
            <w:r w:rsidR="00B85812">
              <w:t>Registration Number</w:t>
            </w:r>
            <w:r>
              <w:t>, the medical director’s name (or select it from the drop-down list), and the maximum number of days until the specimen expires in their respective fields.</w:t>
            </w:r>
          </w:p>
        </w:tc>
        <w:tc>
          <w:tcPr>
            <w:tcW w:w="6120" w:type="dxa"/>
          </w:tcPr>
          <w:p w14:paraId="7A0A3956" w14:textId="77777777" w:rsidR="002A21AE" w:rsidRDefault="002A21AE">
            <w:pPr>
              <w:pStyle w:val="TableText"/>
            </w:pPr>
          </w:p>
          <w:p w14:paraId="754680FD" w14:textId="25FC3267" w:rsidR="002A21AE" w:rsidRDefault="002A21AE">
            <w:pPr>
              <w:pStyle w:val="TableText"/>
              <w:rPr>
                <w:b/>
                <w:bCs/>
                <w:szCs w:val="18"/>
              </w:rPr>
            </w:pPr>
            <w:r>
              <w:rPr>
                <w:b/>
                <w:bCs/>
                <w:szCs w:val="18"/>
              </w:rPr>
              <w:t>NOTES</w:t>
            </w:r>
          </w:p>
          <w:p w14:paraId="2CCF67B7" w14:textId="77777777" w:rsidR="002A21AE" w:rsidRDefault="002A21AE">
            <w:pPr>
              <w:pStyle w:val="NotesText"/>
            </w:pPr>
          </w:p>
          <w:p w14:paraId="2BCAB06C" w14:textId="77777777" w:rsidR="002A21AE" w:rsidRDefault="002A21AE">
            <w:pPr>
              <w:pStyle w:val="NotesText"/>
            </w:pPr>
            <w:r w:rsidRPr="00E274BF">
              <w:rPr>
                <w:rFonts w:cs="Arial"/>
                <w:vanish/>
                <w:szCs w:val="18"/>
              </w:rPr>
              <w:t>BR_9.04</w:t>
            </w:r>
            <w:r w:rsidRPr="009660C3">
              <w:rPr>
                <w:vanish/>
                <w:szCs w:val="18"/>
              </w:rPr>
              <w:t xml:space="preserve"> </w:t>
            </w:r>
            <w:r>
              <w:t xml:space="preserve">An ICCBBA </w:t>
            </w:r>
            <w:r w:rsidR="00B85812">
              <w:t>Registration Number</w:t>
            </w:r>
            <w:r>
              <w:t xml:space="preserve"> contains an alphabetical character followed by four numeric characters.</w:t>
            </w:r>
          </w:p>
          <w:p w14:paraId="19DEEA04" w14:textId="77777777" w:rsidR="002A21AE" w:rsidRDefault="002A21AE">
            <w:pPr>
              <w:pStyle w:val="NotesText"/>
            </w:pPr>
          </w:p>
          <w:p w14:paraId="17C45992" w14:textId="77777777" w:rsidR="002A21AE" w:rsidRDefault="002A21AE">
            <w:pPr>
              <w:pStyle w:val="NotesText"/>
            </w:pPr>
            <w:r w:rsidRPr="00E274BF">
              <w:rPr>
                <w:rFonts w:cs="Arial"/>
                <w:vanish/>
                <w:szCs w:val="18"/>
              </w:rPr>
              <w:t>BR_9.07</w:t>
            </w:r>
            <w:r w:rsidRPr="009660C3">
              <w:rPr>
                <w:vanish/>
                <w:szCs w:val="18"/>
              </w:rPr>
              <w:t xml:space="preserve"> </w:t>
            </w:r>
            <w:r>
              <w:t>A user may enter the name of the blood bank medical director or acting medical director to appear on reports. The user may edit the name and title but may select only one name at a time for use. VBECS saves these edits for retrieval.</w:t>
            </w:r>
          </w:p>
          <w:p w14:paraId="62ACFFC4" w14:textId="77777777" w:rsidR="002A21AE" w:rsidRDefault="002A21AE">
            <w:pPr>
              <w:pStyle w:val="NotesText"/>
            </w:pPr>
          </w:p>
          <w:p w14:paraId="21DCF838" w14:textId="77777777" w:rsidR="002A21AE" w:rsidRDefault="002A21AE">
            <w:pPr>
              <w:pStyle w:val="NotesText"/>
            </w:pPr>
            <w:r w:rsidRPr="00E274BF">
              <w:rPr>
                <w:rFonts w:cs="Arial"/>
                <w:vanish/>
                <w:szCs w:val="18"/>
              </w:rPr>
              <w:t>BR_9.05</w:t>
            </w:r>
            <w:r w:rsidRPr="009660C3">
              <w:rPr>
                <w:vanish/>
                <w:szCs w:val="18"/>
              </w:rPr>
              <w:t xml:space="preserve"> </w:t>
            </w:r>
            <w:r>
              <w:t>The user may edit the default setting for the maximum number of specimen expiration days from “3” to any value from “3” to “93.”</w:t>
            </w:r>
          </w:p>
          <w:p w14:paraId="352B330B" w14:textId="77777777" w:rsidR="00B24419" w:rsidRPr="0015382B" w:rsidRDefault="00B24419">
            <w:pPr>
              <w:pStyle w:val="NotesText"/>
            </w:pPr>
            <w:r w:rsidRPr="00B24419">
              <w:t>This setting allows the user to extend the expiration date of any one specimen to the maximum date indicated.  This does not change the normal specimen expiration date of all specimens received</w:t>
            </w:r>
            <w:r>
              <w:t>.</w:t>
            </w:r>
            <w:r w:rsidR="0015382B">
              <w:rPr>
                <w:vanish/>
              </w:rPr>
              <w:t xml:space="preserve"> DR 3592</w:t>
            </w:r>
          </w:p>
        </w:tc>
      </w:tr>
      <w:tr w:rsidR="002A21AE" w14:paraId="50815A23" w14:textId="77777777">
        <w:tc>
          <w:tcPr>
            <w:tcW w:w="3240" w:type="dxa"/>
          </w:tcPr>
          <w:p w14:paraId="448CEC0E"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95" w:author="Blalock, David (Leidos)" w:date="2020-06-15T14:09:00Z" w:original="0."/>
              </w:fldChar>
            </w:r>
          </w:p>
        </w:tc>
        <w:tc>
          <w:tcPr>
            <w:tcW w:w="6120" w:type="dxa"/>
          </w:tcPr>
          <w:p w14:paraId="6D48B36B" w14:textId="77777777" w:rsidR="002A21AE" w:rsidRDefault="002A21AE">
            <w:pPr>
              <w:pStyle w:val="TableTextBullet"/>
            </w:pPr>
            <w:r>
              <w:t>Displays the information entered.</w:t>
            </w:r>
          </w:p>
          <w:p w14:paraId="19180403" w14:textId="77777777" w:rsidR="002A21AE" w:rsidRDefault="002A21AE">
            <w:pPr>
              <w:pStyle w:val="TableTextBullet"/>
            </w:pPr>
            <w:r>
              <w:t>Requests confirmation to update the database.</w:t>
            </w:r>
          </w:p>
          <w:p w14:paraId="495EAF8C" w14:textId="77777777" w:rsidR="002A21AE" w:rsidRDefault="002A21AE" w:rsidP="002E7EBF">
            <w:pPr>
              <w:pStyle w:val="TableTextBullet"/>
            </w:pPr>
            <w:r>
              <w:t>Updates the database.</w:t>
            </w:r>
          </w:p>
        </w:tc>
      </w:tr>
    </w:tbl>
    <w:p w14:paraId="0D6BC71C" w14:textId="61EC3932" w:rsidR="00D43EF7" w:rsidRDefault="00D43EF7" w:rsidP="00D43EF7">
      <w:pPr>
        <w:pStyle w:val="Caption"/>
      </w:pPr>
      <w:bookmarkStart w:id="196" w:name="_Ref12646788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45</w:t>
      </w:r>
      <w:r w:rsidR="004E20BD">
        <w:rPr>
          <w:noProof/>
        </w:rPr>
        <w:fldChar w:fldCharType="end"/>
      </w:r>
      <w:bookmarkEnd w:id="196"/>
      <w:r>
        <w:t>: Configure Division Tabs</w:t>
      </w:r>
    </w:p>
    <w:p w14:paraId="7AC24134" w14:textId="77777777" w:rsidR="008D2925" w:rsidRDefault="00057948" w:rsidP="008D2925">
      <w:pPr>
        <w:pStyle w:val="BodyText"/>
      </w:pPr>
      <w:r>
        <w:rPr>
          <w:noProof/>
        </w:rPr>
        <mc:AlternateContent>
          <mc:Choice Requires="wps">
            <w:drawing>
              <wp:anchor distT="0" distB="0" distL="114300" distR="114300" simplePos="0" relativeHeight="251724800" behindDoc="0" locked="0" layoutInCell="1" allowOverlap="1" wp14:anchorId="325F0D8A" wp14:editId="334A9AFA">
                <wp:simplePos x="0" y="0"/>
                <wp:positionH relativeFrom="column">
                  <wp:posOffset>0</wp:posOffset>
                </wp:positionH>
                <wp:positionV relativeFrom="paragraph">
                  <wp:posOffset>478790</wp:posOffset>
                </wp:positionV>
                <wp:extent cx="3086100" cy="457200"/>
                <wp:effectExtent l="9525" t="12065" r="9525" b="6985"/>
                <wp:wrapNone/>
                <wp:docPr id="566" name="Oval 11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457200"/>
                        </a:xfrm>
                        <a:prstGeom prst="ellipse">
                          <a:avLst/>
                        </a:prstGeom>
                        <a:solidFill>
                          <a:srgbClr val="FFFFFF">
                            <a:alpha val="0"/>
                          </a:srgbClr>
                        </a:solidFill>
                        <a:ln w="9525" algn="ctr">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C95003" id="Oval 1144" o:spid="_x0000_s1026" alt="&quot;&quot;" style="position:absolute;margin-left:0;margin-top:37.7pt;width:243pt;height: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" strokecolor="red">
                <v:fill opacity="0"/>
              </v:oval>
            </w:pict>
          </mc:Fallback>
        </mc:AlternateContent>
      </w:r>
      <w:r>
        <w:rPr>
          <w:noProof/>
        </w:rPr>
        <w:drawing>
          <wp:inline distT="0" distB="0" distL="0" distR="0" wp14:anchorId="5BDB2B2E" wp14:editId="50283DCA">
            <wp:extent cx="3195955" cy="3204845"/>
            <wp:effectExtent l="0" t="0" r="4445" b="0"/>
            <wp:docPr id="127" name="Picture 1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a:extLst>
                        <a:ext uri="{C183D7F6-B498-43B3-948B-1728B52AA6E4}">
                          <adec:decorative xmlns:adec="http://schemas.microsoft.com/office/drawing/2017/decorative" val="1"/>
                        </a:ext>
                      </a:extLst>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195955" cy="3204845"/>
                    </a:xfrm>
                    <a:prstGeom prst="rect">
                      <a:avLst/>
                    </a:prstGeom>
                    <a:noFill/>
                    <a:ln>
                      <a:noFill/>
                    </a:ln>
                  </pic:spPr>
                </pic:pic>
              </a:graphicData>
            </a:graphic>
          </wp:inline>
        </w:drawing>
      </w:r>
    </w:p>
    <w:p w14:paraId="094C6566" w14:textId="77777777" w:rsidR="002A21AE" w:rsidRDefault="00AF089A" w:rsidP="007716F7">
      <w:pPr>
        <w:pStyle w:val="Heading3"/>
      </w:pPr>
      <w:r>
        <w:br w:type="page"/>
      </w:r>
      <w:bookmarkStart w:id="197" w:name="_Toc47516696"/>
      <w:r w:rsidR="002A21AE" w:rsidRPr="007716F7">
        <w:lastRenderedPageBreak/>
        <w:t>Configure Testing</w:t>
      </w:r>
      <w:bookmarkEnd w:id="197"/>
      <w:r w:rsidR="002A21AE" w:rsidRPr="00796039">
        <w:rPr>
          <w:rFonts w:ascii="Arial Bold" w:hAnsi="Arial Bold"/>
          <w:vanish/>
        </w:rPr>
        <w:fldChar w:fldCharType="begin"/>
      </w:r>
      <w:r w:rsidR="002A21AE" w:rsidRPr="00796039">
        <w:rPr>
          <w:rFonts w:ascii="Arial Bold" w:hAnsi="Arial Bold"/>
          <w:vanish/>
        </w:rPr>
        <w:instrText xml:space="preserve"> XE </w:instrText>
      </w:r>
      <w:r w:rsidR="00FA7E65" w:rsidRPr="00796039">
        <w:rPr>
          <w:rFonts w:ascii="Arial Bold" w:hAnsi="Arial Bold"/>
          <w:vanish/>
        </w:rPr>
        <w:instrText>“</w:instrText>
      </w:r>
      <w:r w:rsidR="007716F7" w:rsidRPr="00796039">
        <w:rPr>
          <w:rFonts w:ascii="Arial Bold" w:hAnsi="Arial Bold"/>
          <w:vanish/>
        </w:rPr>
        <w:instrText xml:space="preserve">Configure </w:instrText>
      </w:r>
      <w:r w:rsidR="002A21AE" w:rsidRPr="00796039">
        <w:rPr>
          <w:rFonts w:ascii="Arial Bold" w:hAnsi="Arial Bold"/>
          <w:vanish/>
        </w:rPr>
        <w:instrText>Testing</w:instrText>
      </w:r>
      <w:r w:rsidR="00FA7E65" w:rsidRPr="00796039">
        <w:rPr>
          <w:rFonts w:ascii="Arial Bold" w:hAnsi="Arial Bold"/>
          <w:vanish/>
        </w:rPr>
        <w:instrText>”</w:instrText>
      </w:r>
      <w:r w:rsidR="002A21AE" w:rsidRPr="00796039">
        <w:rPr>
          <w:rFonts w:ascii="Arial Bold" w:hAnsi="Arial Bold"/>
          <w:vanish/>
        </w:rPr>
        <w:instrText xml:space="preserve"> </w:instrText>
      </w:r>
      <w:r w:rsidR="002A21AE" w:rsidRPr="00796039">
        <w:rPr>
          <w:rFonts w:ascii="Arial Bold" w:hAnsi="Arial Bold"/>
          <w:vanish/>
        </w:rPr>
        <w:fldChar w:fldCharType="end"/>
      </w:r>
      <w:r w:rsidR="002A21AE" w:rsidRPr="00796039">
        <w:rPr>
          <w:rFonts w:ascii="Arial Bold" w:hAnsi="Arial Bold"/>
          <w:vanish/>
        </w:rPr>
        <w:t xml:space="preserve"> UC_55</w:t>
      </w:r>
    </w:p>
    <w:p w14:paraId="52DAB71F" w14:textId="77777777" w:rsidR="002A21AE" w:rsidRDefault="002A21AE" w:rsidP="00FA7E65">
      <w:pPr>
        <w:pStyle w:val="BodyText"/>
      </w:pPr>
      <w:r>
        <w:t xml:space="preserve">The user sets testing preferences according to a division’s medical policies. </w:t>
      </w:r>
    </w:p>
    <w:p w14:paraId="2BAFFB87" w14:textId="77777777" w:rsidR="002A21AE" w:rsidRDefault="002A21AE">
      <w:pPr>
        <w:pStyle w:val="Heading4"/>
      </w:pPr>
      <w:r>
        <w:t>Assumptions</w:t>
      </w:r>
    </w:p>
    <w:p w14:paraId="195126AA" w14:textId="77777777" w:rsidR="002A21AE" w:rsidRDefault="002A21AE">
      <w:pPr>
        <w:pStyle w:val="ListBullet"/>
      </w:pPr>
      <w:r>
        <w:t>A division’s worksheets affected by the option are not open or incomplete at the time of configuration.</w:t>
      </w:r>
    </w:p>
    <w:p w14:paraId="5944F936" w14:textId="77777777" w:rsidR="002A21AE" w:rsidRDefault="002A21AE">
      <w:pPr>
        <w:pStyle w:val="Heading4"/>
      </w:pPr>
      <w:r>
        <w:t>Outcome</w:t>
      </w:r>
    </w:p>
    <w:p w14:paraId="461961F6" w14:textId="77777777" w:rsidR="002A21AE" w:rsidRDefault="002A21AE">
      <w:pPr>
        <w:pStyle w:val="ListBullet"/>
      </w:pPr>
      <w:r>
        <w:t>Division testing preferences are configured.</w:t>
      </w:r>
    </w:p>
    <w:p w14:paraId="56CFEFEF" w14:textId="77777777" w:rsidR="002A21AE" w:rsidRDefault="002A21AE">
      <w:pPr>
        <w:pStyle w:val="Heading4"/>
        <w:rPr>
          <w:b w:val="0"/>
        </w:rPr>
      </w:pPr>
      <w:r>
        <w:t>Limitations and Restrictions</w:t>
      </w:r>
      <w:r>
        <w:rPr>
          <w:b w:val="0"/>
        </w:rPr>
        <w:t xml:space="preserve"> </w:t>
      </w:r>
    </w:p>
    <w:p w14:paraId="02348E4D" w14:textId="77777777" w:rsidR="002A21AE" w:rsidRDefault="002A21AE">
      <w:pPr>
        <w:pStyle w:val="ListBullet"/>
      </w:pPr>
      <w:r>
        <w:t>None</w:t>
      </w:r>
    </w:p>
    <w:p w14:paraId="3543D7B8" w14:textId="77777777" w:rsidR="002E7EBF" w:rsidRDefault="002E7EBF" w:rsidP="002E7EBF">
      <w:pPr>
        <w:pStyle w:val="Caution"/>
      </w:pPr>
      <w:r>
        <w:t xml:space="preserve">It is recommended that users configure testing before modifying products (click the </w:t>
      </w:r>
      <w:r>
        <w:rPr>
          <w:b/>
        </w:rPr>
        <w:t xml:space="preserve">Product Modifications </w:t>
      </w:r>
      <w:r w:rsidRPr="003814BF">
        <w:t>tab</w:t>
      </w:r>
      <w:r>
        <w:t>).</w:t>
      </w:r>
    </w:p>
    <w:p w14:paraId="06B78D15" w14:textId="77777777" w:rsidR="002A21AE" w:rsidRDefault="002A21AE">
      <w:pPr>
        <w:pStyle w:val="Heading4"/>
      </w:pPr>
      <w:r>
        <w:t xml:space="preserve">Additional Information </w:t>
      </w:r>
    </w:p>
    <w:p w14:paraId="4AAC23F0" w14:textId="77777777" w:rsidR="002A21AE" w:rsidRDefault="002A21AE">
      <w:pPr>
        <w:pStyle w:val="ListBullet"/>
      </w:pPr>
      <w:r>
        <w:t>None</w:t>
      </w:r>
    </w:p>
    <w:p w14:paraId="48EB88B3" w14:textId="77777777" w:rsidR="002A21AE" w:rsidRDefault="002A21AE">
      <w:pPr>
        <w:pStyle w:val="Heading4"/>
        <w:rPr>
          <w:b w:val="0"/>
        </w:rPr>
      </w:pPr>
      <w:r>
        <w:t>User Roles with Access to This Option</w:t>
      </w:r>
      <w:r>
        <w:rPr>
          <w:b w:val="0"/>
        </w:rPr>
        <w:t xml:space="preserve"> </w:t>
      </w:r>
    </w:p>
    <w:p w14:paraId="0EE8250E" w14:textId="77777777" w:rsidR="002A21AE" w:rsidRDefault="00237C52">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AE23E62" w14:textId="77777777" w:rsidR="002A21AE" w:rsidRDefault="002A21AE">
      <w:pPr>
        <w:pStyle w:val="Heading4"/>
      </w:pPr>
      <w:r>
        <w:t>Configure Testing</w:t>
      </w:r>
    </w:p>
    <w:p w14:paraId="54802D90" w14:textId="77777777" w:rsidR="002A21AE" w:rsidRDefault="002A21AE" w:rsidP="00FA7E65">
      <w:pPr>
        <w:pStyle w:val="BodyText"/>
      </w:pPr>
      <w:r>
        <w:t xml:space="preserve">The user sets the system to display testing grids to the users in their division. The user determines whether an autocontrol is used and whether a Direct Antiglobulin Test (DAT) is added as part of the routine </w:t>
      </w:r>
      <w:r w:rsidR="008E2E30">
        <w:t>A</w:t>
      </w:r>
      <w:r>
        <w:t xml:space="preserve">ntibody </w:t>
      </w:r>
      <w:r w:rsidR="008E2E30">
        <w:t>Screen T</w:t>
      </w:r>
      <w:r>
        <w:t>est (ABS) described in Patient Testing: Record a Patient Antibody Screen.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AFD2C36" w14:textId="77777777">
        <w:trPr>
          <w:tblHeader/>
        </w:trPr>
        <w:tc>
          <w:tcPr>
            <w:tcW w:w="3240" w:type="dxa"/>
            <w:shd w:val="pct30" w:color="auto" w:fill="FFFFFF"/>
            <w:vAlign w:val="bottom"/>
          </w:tcPr>
          <w:p w14:paraId="5460BFCF" w14:textId="77777777" w:rsidR="002A21AE" w:rsidRDefault="002A21AE">
            <w:pPr>
              <w:pStyle w:val="TableText"/>
              <w:rPr>
                <w:b/>
              </w:rPr>
            </w:pPr>
            <w:r>
              <w:rPr>
                <w:b/>
              </w:rPr>
              <w:t>User Action</w:t>
            </w:r>
          </w:p>
        </w:tc>
        <w:tc>
          <w:tcPr>
            <w:tcW w:w="6120" w:type="dxa"/>
            <w:shd w:val="pct30" w:color="auto" w:fill="FFFFFF"/>
            <w:vAlign w:val="bottom"/>
          </w:tcPr>
          <w:p w14:paraId="1EAB4184" w14:textId="77777777" w:rsidR="002A21AE" w:rsidRDefault="002A21AE">
            <w:pPr>
              <w:pStyle w:val="TableText"/>
              <w:rPr>
                <w:b/>
              </w:rPr>
            </w:pPr>
            <w:r>
              <w:rPr>
                <w:b/>
              </w:rPr>
              <w:t>VBECS</w:t>
            </w:r>
          </w:p>
        </w:tc>
      </w:tr>
      <w:tr w:rsidR="002A21AE" w14:paraId="48EFF3EA" w14:textId="77777777">
        <w:tc>
          <w:tcPr>
            <w:tcW w:w="3240" w:type="dxa"/>
          </w:tcPr>
          <w:p w14:paraId="4D95E37E" w14:textId="77777777" w:rsidR="002A21AE" w:rsidRDefault="002A21AE">
            <w:pPr>
              <w:pStyle w:val="TableTextNumbers"/>
            </w:pPr>
            <w:r>
              <w:t xml:space="preserve">Select </w:t>
            </w:r>
            <w:r>
              <w:rPr>
                <w:b/>
                <w:bCs/>
              </w:rPr>
              <w:t>Tools</w:t>
            </w:r>
            <w:r>
              <w:t xml:space="preserve"> from the main menu.</w:t>
            </w:r>
          </w:p>
          <w:p w14:paraId="0A452461" w14:textId="77777777" w:rsidR="002A21AE" w:rsidRDefault="002A21AE">
            <w:pPr>
              <w:pStyle w:val="TableTextNumbersContinued"/>
              <w:rPr>
                <w:b/>
                <w:bCs/>
              </w:rPr>
            </w:pPr>
          </w:p>
          <w:p w14:paraId="19915B48" w14:textId="77777777" w:rsidR="002A21AE" w:rsidRDefault="002A21AE">
            <w:pPr>
              <w:pStyle w:val="TableTextNumbersContinued"/>
            </w:pPr>
            <w:r>
              <w:t xml:space="preserve">Select </w:t>
            </w:r>
            <w:r>
              <w:rPr>
                <w:b/>
              </w:rPr>
              <w:t>Configure Division</w:t>
            </w:r>
            <w:r>
              <w:t>.</w:t>
            </w:r>
          </w:p>
        </w:tc>
        <w:tc>
          <w:tcPr>
            <w:tcW w:w="6120" w:type="dxa"/>
          </w:tcPr>
          <w:p w14:paraId="78679BEA" w14:textId="77777777" w:rsidR="002A21AE" w:rsidRDefault="002A21AE">
            <w:pPr>
              <w:pStyle w:val="TableTextBullet"/>
            </w:pPr>
            <w:r>
              <w:t>Displays options for processing administrative functions.</w:t>
            </w:r>
          </w:p>
          <w:p w14:paraId="39D55A24" w14:textId="77777777" w:rsidR="002A21AE" w:rsidRDefault="002A21AE">
            <w:pPr>
              <w:pStyle w:val="TableTextBullet"/>
            </w:pPr>
            <w:r>
              <w:t>Displays the Configure Division tab with fields for entering division-specific testing information.</w:t>
            </w:r>
          </w:p>
        </w:tc>
      </w:tr>
      <w:tr w:rsidR="002A21AE" w14:paraId="531F06D2" w14:textId="77777777">
        <w:tc>
          <w:tcPr>
            <w:tcW w:w="3240" w:type="dxa"/>
          </w:tcPr>
          <w:p w14:paraId="386D33DF" w14:textId="16FFBD9B" w:rsidR="002A21AE" w:rsidRDefault="002A21AE">
            <w:pPr>
              <w:pStyle w:val="TableTextNumbers"/>
            </w:pPr>
            <w:r>
              <w:t xml:space="preserve">Click the </w:t>
            </w:r>
            <w:r>
              <w:rPr>
                <w:b/>
                <w:bCs/>
              </w:rPr>
              <w:t xml:space="preserve">Configure Testing </w:t>
            </w:r>
            <w:r w:rsidRPr="00773FF6">
              <w:rPr>
                <w:bCs/>
              </w:rPr>
              <w:t>tab</w:t>
            </w:r>
            <w:r w:rsidR="00B22EAF">
              <w:t xml:space="preserve"> </w:t>
            </w:r>
            <w:r w:rsidR="000A273B">
              <w:t>(</w:t>
            </w:r>
            <w:r w:rsidR="000A273B">
              <w:fldChar w:fldCharType="begin"/>
            </w:r>
            <w:r w:rsidR="000A273B">
              <w:instrText xml:space="preserve"> REF _Ref300722854 \h </w:instrText>
            </w:r>
            <w:r w:rsidR="000A273B">
              <w:fldChar w:fldCharType="separate"/>
            </w:r>
            <w:r w:rsidR="004353ED">
              <w:t xml:space="preserve">Figure </w:t>
            </w:r>
            <w:r w:rsidR="004353ED">
              <w:rPr>
                <w:noProof/>
              </w:rPr>
              <w:t>46</w:t>
            </w:r>
            <w:r w:rsidR="000A273B">
              <w:fldChar w:fldCharType="end"/>
            </w:r>
            <w:r w:rsidR="000A273B">
              <w:t>)</w:t>
            </w:r>
            <w:r w:rsidR="00B22EAF" w:rsidRPr="00090795">
              <w:rPr>
                <w:bCs/>
              </w:rPr>
              <w:t>.</w:t>
            </w:r>
          </w:p>
          <w:p w14:paraId="506BC003" w14:textId="77777777" w:rsidR="002A21AE" w:rsidRPr="00EF0F79" w:rsidRDefault="002A21AE" w:rsidP="007270C3">
            <w:pPr>
              <w:pStyle w:val="TableTextNumbersContinued"/>
              <w:ind w:left="0"/>
              <w:rPr>
                <w:strike/>
              </w:rPr>
            </w:pPr>
          </w:p>
        </w:tc>
        <w:tc>
          <w:tcPr>
            <w:tcW w:w="6120" w:type="dxa"/>
          </w:tcPr>
          <w:p w14:paraId="50B2104D" w14:textId="77777777" w:rsidR="002A21AE" w:rsidRDefault="002A21AE">
            <w:pPr>
              <w:pStyle w:val="TableTextBullet"/>
            </w:pPr>
            <w:r>
              <w:t>Displays the Configure Testing tab with fields for entering division-specific blood product information.</w:t>
            </w:r>
          </w:p>
          <w:p w14:paraId="5A283250" w14:textId="77777777" w:rsidR="004E0061" w:rsidRPr="007270C3" w:rsidRDefault="002A21AE" w:rsidP="007270C3">
            <w:pPr>
              <w:pStyle w:val="TableTextBullet"/>
            </w:pPr>
            <w:r>
              <w:t>Displays options to set standard operating procedures for a division’s laboratory testing.</w:t>
            </w:r>
          </w:p>
        </w:tc>
      </w:tr>
      <w:tr w:rsidR="00EF0F79" w14:paraId="2576FA41" w14:textId="77777777">
        <w:tc>
          <w:tcPr>
            <w:tcW w:w="3240" w:type="dxa"/>
          </w:tcPr>
          <w:p w14:paraId="6855855F" w14:textId="77777777" w:rsidR="00C7159B" w:rsidRDefault="00EF0F79" w:rsidP="00EF0F79">
            <w:pPr>
              <w:pStyle w:val="TableTextNumbers"/>
            </w:pPr>
            <w:r>
              <w:t>Click the appropriate radio buttons to</w:t>
            </w:r>
            <w:r w:rsidR="00C7159B">
              <w:t>:</w:t>
            </w:r>
          </w:p>
          <w:p w14:paraId="33EA7A9C" w14:textId="77777777" w:rsidR="00C7159B" w:rsidRDefault="00C7159B" w:rsidP="00C7159B">
            <w:pPr>
              <w:pStyle w:val="TableTextNumbers"/>
              <w:numPr>
                <w:ilvl w:val="0"/>
                <w:numId w:val="0"/>
              </w:numPr>
              <w:ind w:left="288"/>
            </w:pPr>
          </w:p>
          <w:p w14:paraId="456E7821" w14:textId="77777777" w:rsidR="00C7159B" w:rsidRDefault="00C7159B" w:rsidP="00C7159B">
            <w:pPr>
              <w:pStyle w:val="TableTextNumbers"/>
              <w:numPr>
                <w:ilvl w:val="0"/>
                <w:numId w:val="0"/>
              </w:numPr>
              <w:ind w:left="288"/>
            </w:pPr>
            <w:r w:rsidRPr="00C7159B">
              <w:rPr>
                <w:b/>
              </w:rPr>
              <w:t>E</w:t>
            </w:r>
            <w:r w:rsidR="00EF0F79" w:rsidRPr="00C7159B">
              <w:rPr>
                <w:b/>
              </w:rPr>
              <w:t>nable</w:t>
            </w:r>
            <w:r w:rsidR="00EF0F79">
              <w:t xml:space="preserve"> Electronic Crossmatch</w:t>
            </w:r>
          </w:p>
          <w:p w14:paraId="3A037270" w14:textId="77777777" w:rsidR="00C7159B" w:rsidRDefault="00C7159B" w:rsidP="00C7159B">
            <w:pPr>
              <w:pStyle w:val="TableTextNumbers"/>
              <w:numPr>
                <w:ilvl w:val="0"/>
                <w:numId w:val="0"/>
              </w:numPr>
              <w:ind w:left="288"/>
            </w:pPr>
          </w:p>
          <w:p w14:paraId="314A1478" w14:textId="77777777" w:rsidR="00C7159B" w:rsidRDefault="00C7159B" w:rsidP="00C7159B">
            <w:pPr>
              <w:pStyle w:val="TableTextNumbers"/>
              <w:numPr>
                <w:ilvl w:val="0"/>
                <w:numId w:val="0"/>
              </w:numPr>
              <w:ind w:left="288"/>
            </w:pPr>
            <w:r>
              <w:t>D</w:t>
            </w:r>
            <w:r w:rsidR="00EF0F79">
              <w:t>etermine antibody screen (display antibody screen only, or with a DAT or Autocontrol)</w:t>
            </w:r>
          </w:p>
          <w:p w14:paraId="02001B03" w14:textId="77777777" w:rsidR="00C7159B" w:rsidRDefault="00C7159B" w:rsidP="00C7159B">
            <w:pPr>
              <w:pStyle w:val="TableTextNumbers"/>
              <w:numPr>
                <w:ilvl w:val="0"/>
                <w:numId w:val="0"/>
              </w:numPr>
              <w:ind w:left="288"/>
            </w:pPr>
          </w:p>
          <w:p w14:paraId="5918E647" w14:textId="77777777" w:rsidR="00EF0F79" w:rsidRDefault="00C7159B" w:rsidP="00C7159B">
            <w:pPr>
              <w:pStyle w:val="TableTextNumbers"/>
              <w:numPr>
                <w:ilvl w:val="0"/>
                <w:numId w:val="0"/>
              </w:numPr>
              <w:ind w:left="288"/>
            </w:pPr>
            <w:r>
              <w:t xml:space="preserve">Determine the default test grid displayed </w:t>
            </w:r>
            <w:r w:rsidR="00EF0F79">
              <w:t>for ABS and XM Testing Phases</w:t>
            </w:r>
          </w:p>
        </w:tc>
        <w:tc>
          <w:tcPr>
            <w:tcW w:w="6120" w:type="dxa"/>
          </w:tcPr>
          <w:p w14:paraId="2B4727BC" w14:textId="77777777" w:rsidR="00E77D78" w:rsidRDefault="00A4668B" w:rsidP="002E7EBF">
            <w:pPr>
              <w:pStyle w:val="TableTextBullet"/>
            </w:pPr>
            <w:r>
              <w:t>Displays default configuration settings of</w:t>
            </w:r>
            <w:r w:rsidR="00E77D78">
              <w:t>:</w:t>
            </w:r>
          </w:p>
          <w:p w14:paraId="63CC1E07" w14:textId="77777777" w:rsidR="00E77D78" w:rsidRDefault="00A4668B" w:rsidP="00E77D78">
            <w:pPr>
              <w:pStyle w:val="TableTextBullet1"/>
            </w:pPr>
            <w:r>
              <w:t>Electronic Crossmatch</w:t>
            </w:r>
            <w:r w:rsidR="00E77D78">
              <w:t>:</w:t>
            </w:r>
            <w:r>
              <w:t xml:space="preserve"> Disabled</w:t>
            </w:r>
          </w:p>
          <w:p w14:paraId="28A8DE5E" w14:textId="77777777" w:rsidR="00EF0F79" w:rsidRDefault="00E77D78" w:rsidP="00E77D78">
            <w:pPr>
              <w:pStyle w:val="TableTextBullet1"/>
            </w:pPr>
            <w:r>
              <w:t>Antibody Screen: Antibody Screen Only</w:t>
            </w:r>
          </w:p>
          <w:p w14:paraId="71677E3C" w14:textId="77777777" w:rsidR="00E77D78" w:rsidRDefault="00E77D78" w:rsidP="00E77D78">
            <w:pPr>
              <w:pStyle w:val="TableTextBullet1"/>
            </w:pPr>
            <w:r>
              <w:t>ABS and XM Testing Phases: All Phases</w:t>
            </w:r>
          </w:p>
          <w:p w14:paraId="2A62A594" w14:textId="77777777" w:rsidR="00E77D78" w:rsidRDefault="00E77D78" w:rsidP="00E77D78">
            <w:pPr>
              <w:pStyle w:val="TableTextBullet"/>
            </w:pPr>
            <w:r>
              <w:rPr>
                <w:vanish/>
              </w:rPr>
              <w:t xml:space="preserve">BR_55.04 </w:t>
            </w:r>
            <w:r>
              <w:t>Changes to the configuration settings are captured for the Audit Trail Report.</w:t>
            </w:r>
          </w:p>
        </w:tc>
      </w:tr>
      <w:tr w:rsidR="002A21AE" w14:paraId="78091316" w14:textId="77777777">
        <w:tc>
          <w:tcPr>
            <w:tcW w:w="3240" w:type="dxa"/>
          </w:tcPr>
          <w:p w14:paraId="606B6122"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98" w:author="Blalock, David (Leidos)" w:date="2020-06-15T14:09:00Z" w:original="0."/>
              </w:fldChar>
            </w:r>
          </w:p>
        </w:tc>
        <w:tc>
          <w:tcPr>
            <w:tcW w:w="6120" w:type="dxa"/>
          </w:tcPr>
          <w:p w14:paraId="127A472C" w14:textId="77777777" w:rsidR="002A21AE" w:rsidRPr="002E7EBF" w:rsidRDefault="002A21AE" w:rsidP="002E7EBF">
            <w:pPr>
              <w:pStyle w:val="TableTextBullet"/>
            </w:pPr>
            <w:r>
              <w:t>Displays the appropriate testing grids for subsequent patient orders.</w:t>
            </w:r>
          </w:p>
        </w:tc>
      </w:tr>
    </w:tbl>
    <w:p w14:paraId="0F2E245D" w14:textId="6734030D" w:rsidR="000A273B" w:rsidRDefault="000A273B" w:rsidP="000A273B">
      <w:pPr>
        <w:pStyle w:val="Caption"/>
      </w:pPr>
      <w:bookmarkStart w:id="199" w:name="_Ref300722854"/>
      <w:bookmarkStart w:id="200" w:name="_Ref300722837"/>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46</w:t>
      </w:r>
      <w:r w:rsidR="004E20BD">
        <w:rPr>
          <w:noProof/>
        </w:rPr>
        <w:fldChar w:fldCharType="end"/>
      </w:r>
      <w:bookmarkEnd w:id="199"/>
      <w:r>
        <w:t>: Configure Testing Tab</w:t>
      </w:r>
      <w:bookmarkEnd w:id="200"/>
    </w:p>
    <w:p w14:paraId="7835B084" w14:textId="77777777" w:rsidR="000A273B" w:rsidRPr="000A273B" w:rsidRDefault="00057948" w:rsidP="000A273B">
      <w:pPr>
        <w:pStyle w:val="BodyText"/>
      </w:pPr>
      <w:r>
        <w:rPr>
          <w:noProof/>
        </w:rPr>
        <w:drawing>
          <wp:inline distT="0" distB="0" distL="0" distR="0" wp14:anchorId="65411A45" wp14:editId="32D74779">
            <wp:extent cx="3657600" cy="3657600"/>
            <wp:effectExtent l="0" t="0" r="0" b="0"/>
            <wp:docPr id="128" name="Picture 1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a:extLst>
                        <a:ext uri="{C183D7F6-B498-43B3-948B-1728B52AA6E4}">
                          <adec:decorative xmlns:adec="http://schemas.microsoft.com/office/drawing/2017/decorative" val="1"/>
                        </a:ext>
                      </a:extLst>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14:paraId="3EC1A2A7" w14:textId="77777777" w:rsidR="00AF089A" w:rsidRDefault="00AF089A" w:rsidP="007716F7">
      <w:pPr>
        <w:pStyle w:val="Heading3"/>
      </w:pPr>
    </w:p>
    <w:p w14:paraId="2589AD52" w14:textId="77777777" w:rsidR="002A21AE" w:rsidRDefault="00AF089A" w:rsidP="007716F7">
      <w:pPr>
        <w:pStyle w:val="Heading3"/>
      </w:pPr>
      <w:r>
        <w:br w:type="page"/>
      </w:r>
      <w:bookmarkStart w:id="201" w:name="_Toc47516697"/>
      <w:r w:rsidR="00046402">
        <w:lastRenderedPageBreak/>
        <w:t>Product Modifications</w:t>
      </w:r>
      <w:bookmarkEnd w:id="201"/>
      <w:r w:rsidR="002A21AE">
        <w:fldChar w:fldCharType="begin"/>
      </w:r>
      <w:r w:rsidR="002A21AE">
        <w:instrText xml:space="preserve"> XE </w:instrText>
      </w:r>
      <w:r w:rsidR="00FA7E65">
        <w:instrText>“</w:instrText>
      </w:r>
      <w:r w:rsidR="00046402">
        <w:instrText>Product Modifications</w:instrText>
      </w:r>
      <w:r w:rsidR="00FA7E65">
        <w:instrText>”</w:instrText>
      </w:r>
      <w:r w:rsidR="002A21AE">
        <w:instrText xml:space="preserve"> </w:instrText>
      </w:r>
      <w:r w:rsidR="002A21AE">
        <w:fldChar w:fldCharType="end"/>
      </w:r>
      <w:r w:rsidR="002A21AE">
        <w:t xml:space="preserve"> </w:t>
      </w:r>
      <w:r w:rsidR="002A21AE" w:rsidRPr="00796039">
        <w:rPr>
          <w:rFonts w:ascii="Arial Bold" w:hAnsi="Arial Bold"/>
          <w:vanish/>
        </w:rPr>
        <w:t>UC_10</w:t>
      </w:r>
    </w:p>
    <w:p w14:paraId="2DCAF5A9" w14:textId="0052C28B" w:rsidR="002A21AE" w:rsidRDefault="002A21AE" w:rsidP="00FA7E65">
      <w:pPr>
        <w:pStyle w:val="BodyText"/>
      </w:pPr>
      <w:r>
        <w:t xml:space="preserve">The user enables the types of modifications made at a division. </w:t>
      </w:r>
      <w:r w:rsidR="0056674A">
        <w:t xml:space="preserve">For additional information, see </w:t>
      </w:r>
      <w:r w:rsidR="0056674A">
        <w:fldChar w:fldCharType="begin"/>
      </w:r>
      <w:r w:rsidR="0056674A">
        <w:instrText xml:space="preserve"> REF _Ref508960811 \h </w:instrText>
      </w:r>
      <w:r w:rsidR="0056674A">
        <w:fldChar w:fldCharType="separate"/>
      </w:r>
      <w:r w:rsidR="004353ED">
        <w:t xml:space="preserve">Appendix </w:t>
      </w:r>
      <w:r w:rsidR="004353ED">
        <w:rPr>
          <w:noProof/>
        </w:rPr>
        <w:t>G</w:t>
      </w:r>
      <w:r w:rsidR="004353ED">
        <w:t>: Work Process Flowcharts</w:t>
      </w:r>
      <w:r w:rsidR="0056674A">
        <w:fldChar w:fldCharType="end"/>
      </w:r>
      <w:r w:rsidR="0056674A">
        <w:t>.</w:t>
      </w:r>
    </w:p>
    <w:p w14:paraId="5E3F2A30" w14:textId="77777777" w:rsidR="002A21AE" w:rsidRDefault="002A21AE">
      <w:pPr>
        <w:pStyle w:val="Heading4"/>
      </w:pPr>
      <w:r>
        <w:t>Assumptions</w:t>
      </w:r>
      <w:r>
        <w:rPr>
          <w:b w:val="0"/>
        </w:rPr>
        <w:t xml:space="preserve"> </w:t>
      </w:r>
    </w:p>
    <w:p w14:paraId="38424C74" w14:textId="77777777" w:rsidR="002A21AE" w:rsidRDefault="002A21AE">
      <w:pPr>
        <w:pStyle w:val="ListBullet"/>
      </w:pPr>
      <w:r>
        <w:t>An ICCBBA number was entered for the division.</w:t>
      </w:r>
    </w:p>
    <w:p w14:paraId="627BCFE3" w14:textId="77777777" w:rsidR="002A21AE" w:rsidRDefault="002A21AE">
      <w:pPr>
        <w:pStyle w:val="ListBullet"/>
      </w:pPr>
      <w:r>
        <w:rPr>
          <w:vanish/>
          <w:spacing w:val="0"/>
        </w:rPr>
        <w:t xml:space="preserve">BR_55.02 </w:t>
      </w:r>
      <w:r>
        <w:t>VBECS locks a user out when the user attempts to change the configuration and there are open or partially completed worksheets or processes in the division.</w:t>
      </w:r>
    </w:p>
    <w:p w14:paraId="42E317D3" w14:textId="77777777" w:rsidR="002A21AE" w:rsidRDefault="002A21AE">
      <w:pPr>
        <w:pStyle w:val="Heading4"/>
      </w:pPr>
      <w:r>
        <w:t xml:space="preserve">Outcome </w:t>
      </w:r>
    </w:p>
    <w:p w14:paraId="1D15C3C2" w14:textId="77777777" w:rsidR="002A21AE" w:rsidRDefault="002A21AE">
      <w:pPr>
        <w:pStyle w:val="ListBullet"/>
      </w:pPr>
      <w:r>
        <w:t>This option dictates the available modification types displayed in Modify Units: Pool Units, Modify Units: Split a Unit, and Modify Units.</w:t>
      </w:r>
    </w:p>
    <w:p w14:paraId="6703B59A" w14:textId="77777777" w:rsidR="002A21AE" w:rsidRDefault="002A21AE">
      <w:pPr>
        <w:pStyle w:val="Heading4"/>
        <w:rPr>
          <w:b w:val="0"/>
        </w:rPr>
      </w:pPr>
      <w:r>
        <w:t>Limitations and Restrictions</w:t>
      </w:r>
      <w:r>
        <w:rPr>
          <w:b w:val="0"/>
        </w:rPr>
        <w:t xml:space="preserve"> </w:t>
      </w:r>
    </w:p>
    <w:p w14:paraId="145AC3C4" w14:textId="77777777" w:rsidR="002A21AE" w:rsidRDefault="002A21AE">
      <w:pPr>
        <w:pStyle w:val="ListBullet"/>
      </w:pPr>
      <w:r>
        <w:rPr>
          <w:snapToGrid w:val="0"/>
        </w:rPr>
        <w:t>None</w:t>
      </w:r>
    </w:p>
    <w:p w14:paraId="7915027A" w14:textId="77777777" w:rsidR="002A21AE" w:rsidRDefault="002A21AE">
      <w:pPr>
        <w:pStyle w:val="Heading4"/>
      </w:pPr>
      <w:r>
        <w:t xml:space="preserve">Additional Information </w:t>
      </w:r>
    </w:p>
    <w:p w14:paraId="360CFF14" w14:textId="77777777" w:rsidR="002A21AE" w:rsidRDefault="002A21AE">
      <w:pPr>
        <w:pStyle w:val="ListBullet"/>
      </w:pPr>
      <w:r>
        <w:rPr>
          <w:snapToGrid w:val="0"/>
        </w:rPr>
        <w:t>None</w:t>
      </w:r>
    </w:p>
    <w:p w14:paraId="2BA26661" w14:textId="77777777" w:rsidR="002A21AE" w:rsidRDefault="002A21AE">
      <w:pPr>
        <w:pStyle w:val="Heading4"/>
      </w:pPr>
      <w:r>
        <w:t xml:space="preserve">User Roles with Access to This Option </w:t>
      </w:r>
    </w:p>
    <w:p w14:paraId="103E4EFD" w14:textId="77777777" w:rsidR="002A21AE" w:rsidRDefault="00237C52">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4168F8C8" w14:textId="77777777" w:rsidR="002A21AE" w:rsidRDefault="00046402">
      <w:pPr>
        <w:pStyle w:val="Heading4"/>
        <w:rPr>
          <w:u w:val="single"/>
        </w:rPr>
      </w:pPr>
      <w:r>
        <w:t>Product Modifications</w:t>
      </w:r>
    </w:p>
    <w:p w14:paraId="731CE553" w14:textId="77777777" w:rsidR="002A21AE" w:rsidRDefault="002A21AE" w:rsidP="00FA7E65">
      <w:pPr>
        <w:pStyle w:val="BodyText"/>
      </w:pPr>
      <w:r>
        <w:t>The user enables specific modification type procedures performed in the blood bank in the hospital division. The user may enable one, all, or some of the modification processes. Once the types of modifications are enabled, individual blood unit modification is controlled by the rules of modification truth tables. VBECS is exported with all modification types disabled. VBECS allows for full customization upon deployment as well as changes to the enabled modifications when a division’s capabilities and procedures change.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40F49F7" w14:textId="77777777">
        <w:trPr>
          <w:tblHeader/>
        </w:trPr>
        <w:tc>
          <w:tcPr>
            <w:tcW w:w="3240" w:type="dxa"/>
            <w:shd w:val="pct30" w:color="auto" w:fill="FFFFFF"/>
            <w:vAlign w:val="bottom"/>
          </w:tcPr>
          <w:p w14:paraId="369684BC" w14:textId="77777777" w:rsidR="002A21AE" w:rsidRDefault="002A21AE">
            <w:pPr>
              <w:pStyle w:val="TableText"/>
              <w:rPr>
                <w:b/>
              </w:rPr>
            </w:pPr>
            <w:r>
              <w:rPr>
                <w:b/>
              </w:rPr>
              <w:t>User Action</w:t>
            </w:r>
          </w:p>
        </w:tc>
        <w:tc>
          <w:tcPr>
            <w:tcW w:w="6120" w:type="dxa"/>
            <w:shd w:val="pct30" w:color="auto" w:fill="FFFFFF"/>
            <w:vAlign w:val="bottom"/>
          </w:tcPr>
          <w:p w14:paraId="476EE335" w14:textId="77777777" w:rsidR="002A21AE" w:rsidRDefault="002A21AE">
            <w:pPr>
              <w:pStyle w:val="TableText"/>
              <w:rPr>
                <w:b/>
              </w:rPr>
            </w:pPr>
            <w:r>
              <w:rPr>
                <w:b/>
              </w:rPr>
              <w:t>VBECS</w:t>
            </w:r>
          </w:p>
        </w:tc>
      </w:tr>
      <w:tr w:rsidR="002A21AE" w14:paraId="68FECCCE" w14:textId="77777777">
        <w:tc>
          <w:tcPr>
            <w:tcW w:w="3240" w:type="dxa"/>
          </w:tcPr>
          <w:p w14:paraId="599536CF" w14:textId="77777777" w:rsidR="002A21AE" w:rsidRDefault="002A21AE">
            <w:pPr>
              <w:pStyle w:val="TableTextNumbers"/>
            </w:pPr>
            <w:r>
              <w:t xml:space="preserve">Select </w:t>
            </w:r>
            <w:r>
              <w:rPr>
                <w:b/>
                <w:bCs/>
              </w:rPr>
              <w:t>Tools</w:t>
            </w:r>
            <w:r>
              <w:t xml:space="preserve"> from the main menu.</w:t>
            </w:r>
          </w:p>
          <w:p w14:paraId="4C64983D" w14:textId="77777777" w:rsidR="002A21AE" w:rsidRDefault="002A21AE">
            <w:pPr>
              <w:pStyle w:val="TableTextNumbersContinued"/>
              <w:rPr>
                <w:b/>
                <w:bCs/>
              </w:rPr>
            </w:pPr>
          </w:p>
          <w:p w14:paraId="4A312B5C" w14:textId="77777777" w:rsidR="002A21AE" w:rsidRDefault="002A21AE">
            <w:pPr>
              <w:pStyle w:val="TableTextNumbersContinued"/>
            </w:pPr>
            <w:r>
              <w:t xml:space="preserve">Select </w:t>
            </w:r>
            <w:r>
              <w:rPr>
                <w:b/>
              </w:rPr>
              <w:t>Configure Division</w:t>
            </w:r>
            <w:r>
              <w:t>.</w:t>
            </w:r>
          </w:p>
        </w:tc>
        <w:tc>
          <w:tcPr>
            <w:tcW w:w="6120" w:type="dxa"/>
          </w:tcPr>
          <w:p w14:paraId="5B594209" w14:textId="77777777" w:rsidR="002A21AE" w:rsidRDefault="002A21AE">
            <w:pPr>
              <w:pStyle w:val="TableTextBullet"/>
            </w:pPr>
            <w:r>
              <w:t>Displays options for processing administrative functions.</w:t>
            </w:r>
          </w:p>
          <w:p w14:paraId="0A473667" w14:textId="77777777" w:rsidR="002A21AE" w:rsidRDefault="002A21AE">
            <w:pPr>
              <w:pStyle w:val="TableTextBullet"/>
            </w:pPr>
            <w:r>
              <w:t>Displays the Configure Division tab with fields for entering division-specific testing information.</w:t>
            </w:r>
          </w:p>
        </w:tc>
      </w:tr>
      <w:tr w:rsidR="002A21AE" w14:paraId="529BF1D6" w14:textId="77777777">
        <w:tc>
          <w:tcPr>
            <w:tcW w:w="3240" w:type="dxa"/>
          </w:tcPr>
          <w:p w14:paraId="1203EE4E" w14:textId="13119BB4" w:rsidR="002A21AE" w:rsidRDefault="002A21AE">
            <w:pPr>
              <w:pStyle w:val="TableTextNumbers"/>
            </w:pPr>
            <w:r>
              <w:t xml:space="preserve">Click the </w:t>
            </w:r>
            <w:r>
              <w:rPr>
                <w:b/>
              </w:rPr>
              <w:t xml:space="preserve">Product Modifications </w:t>
            </w:r>
            <w:r w:rsidRPr="00CC3C89">
              <w:t>tab</w:t>
            </w:r>
            <w:r w:rsidR="001266F5" w:rsidRPr="00CC3C89">
              <w:t xml:space="preserve"> </w:t>
            </w:r>
            <w:r w:rsidR="001266F5">
              <w:t>(</w:t>
            </w:r>
            <w:r w:rsidR="001266F5">
              <w:fldChar w:fldCharType="begin"/>
            </w:r>
            <w:r w:rsidR="001266F5">
              <w:instrText xml:space="preserve"> REF _Ref126470383 \h </w:instrText>
            </w:r>
            <w:r w:rsidR="001266F5">
              <w:fldChar w:fldCharType="separate"/>
            </w:r>
            <w:r w:rsidR="004353ED">
              <w:t xml:space="preserve">Figure </w:t>
            </w:r>
            <w:r w:rsidR="004353ED">
              <w:rPr>
                <w:noProof/>
              </w:rPr>
              <w:t>47</w:t>
            </w:r>
            <w:r w:rsidR="001266F5">
              <w:fldChar w:fldCharType="end"/>
            </w:r>
            <w:r w:rsidR="001266F5">
              <w:t>)</w:t>
            </w:r>
            <w:r>
              <w:t>.</w:t>
            </w:r>
          </w:p>
        </w:tc>
        <w:tc>
          <w:tcPr>
            <w:tcW w:w="6120" w:type="dxa"/>
          </w:tcPr>
          <w:p w14:paraId="3BD9D64A" w14:textId="77777777" w:rsidR="002A21AE" w:rsidRDefault="002A21AE">
            <w:pPr>
              <w:pStyle w:val="TableTextBullet"/>
            </w:pPr>
            <w:r>
              <w:t xml:space="preserve">Lists valid modification procedures. </w:t>
            </w:r>
          </w:p>
          <w:p w14:paraId="2EFEB850" w14:textId="77777777" w:rsidR="002A21AE" w:rsidRDefault="002A21AE">
            <w:pPr>
              <w:pStyle w:val="TableText"/>
            </w:pPr>
          </w:p>
          <w:p w14:paraId="7CF1B052" w14:textId="57266399" w:rsidR="002A21AE" w:rsidRDefault="002A21AE">
            <w:pPr>
              <w:pStyle w:val="TableText"/>
              <w:rPr>
                <w:b/>
                <w:bCs/>
                <w:szCs w:val="18"/>
              </w:rPr>
            </w:pPr>
            <w:r>
              <w:rPr>
                <w:b/>
                <w:bCs/>
                <w:szCs w:val="18"/>
              </w:rPr>
              <w:t>NOTES</w:t>
            </w:r>
          </w:p>
          <w:p w14:paraId="5F064322" w14:textId="77777777" w:rsidR="002A21AE" w:rsidRDefault="002A21AE">
            <w:pPr>
              <w:pStyle w:val="NotesText"/>
            </w:pPr>
          </w:p>
          <w:p w14:paraId="0E4A473F" w14:textId="77777777" w:rsidR="002A21AE" w:rsidRDefault="002A21AE">
            <w:pPr>
              <w:pStyle w:val="NotesText"/>
              <w:rPr>
                <w:strike/>
              </w:rPr>
            </w:pPr>
            <w:r>
              <w:t xml:space="preserve">A user may enable one, more, or all modification types. </w:t>
            </w:r>
          </w:p>
        </w:tc>
      </w:tr>
      <w:tr w:rsidR="002A21AE" w14:paraId="4A96F405" w14:textId="77777777" w:rsidTr="007E500E">
        <w:trPr>
          <w:cantSplit/>
        </w:trPr>
        <w:tc>
          <w:tcPr>
            <w:tcW w:w="3240" w:type="dxa"/>
          </w:tcPr>
          <w:p w14:paraId="43997030" w14:textId="77777777" w:rsidR="002A21AE" w:rsidRDefault="002A21AE">
            <w:pPr>
              <w:pStyle w:val="TableTextNumbers"/>
            </w:pPr>
            <w:r>
              <w:lastRenderedPageBreak/>
              <w:t>Click one or more check boxes to enable modification types.</w:t>
            </w:r>
          </w:p>
          <w:p w14:paraId="7071CC48" w14:textId="77777777" w:rsidR="002A21AE" w:rsidRDefault="002A21AE">
            <w:pPr>
              <w:pStyle w:val="TableTextNumbersContinued"/>
              <w:rPr>
                <w:b/>
                <w:bCs/>
              </w:rPr>
            </w:pPr>
          </w:p>
          <w:p w14:paraId="58B6E71B" w14:textId="77777777" w:rsidR="002A21AE" w:rsidRDefault="002A21AE">
            <w:pPr>
              <w:pStyle w:val="TableTextNumbersContinued"/>
            </w:pPr>
            <w:r>
              <w:t>Enter the</w:t>
            </w:r>
            <w:r w:rsidR="00B917A8">
              <w:t xml:space="preserve"> processing cost </w:t>
            </w:r>
            <w:r>
              <w:t xml:space="preserve">associated with each modification procedure. </w:t>
            </w:r>
          </w:p>
        </w:tc>
        <w:tc>
          <w:tcPr>
            <w:tcW w:w="6120" w:type="dxa"/>
          </w:tcPr>
          <w:p w14:paraId="7BCCE7DF" w14:textId="77777777" w:rsidR="002A21AE" w:rsidRDefault="002A21AE">
            <w:pPr>
              <w:pStyle w:val="TableTextBullet"/>
            </w:pPr>
            <w:r>
              <w:t>Lists modification procedures.</w:t>
            </w:r>
          </w:p>
          <w:p w14:paraId="7EE859E2" w14:textId="77777777" w:rsidR="002A21AE" w:rsidRDefault="002A21AE">
            <w:pPr>
              <w:pStyle w:val="TableText"/>
              <w:rPr>
                <w:b/>
                <w:bCs/>
                <w:szCs w:val="18"/>
              </w:rPr>
            </w:pPr>
          </w:p>
          <w:p w14:paraId="32CD2751" w14:textId="76C7B7AD" w:rsidR="002A21AE" w:rsidRDefault="002A21AE">
            <w:pPr>
              <w:pStyle w:val="TableText"/>
              <w:rPr>
                <w:b/>
                <w:bCs/>
                <w:szCs w:val="18"/>
              </w:rPr>
            </w:pPr>
            <w:r>
              <w:rPr>
                <w:b/>
                <w:bCs/>
                <w:szCs w:val="18"/>
              </w:rPr>
              <w:t>NOTES</w:t>
            </w:r>
          </w:p>
          <w:p w14:paraId="036A1DC7" w14:textId="77777777" w:rsidR="002A21AE" w:rsidRDefault="002A21AE">
            <w:pPr>
              <w:pStyle w:val="NotesText"/>
            </w:pPr>
          </w:p>
          <w:p w14:paraId="19051C7C" w14:textId="77777777" w:rsidR="002A21AE" w:rsidRDefault="002A21AE">
            <w:pPr>
              <w:pStyle w:val="NotesText"/>
            </w:pPr>
            <w:r>
              <w:t>Modification procedures:</w:t>
            </w:r>
          </w:p>
          <w:p w14:paraId="74227592" w14:textId="77777777" w:rsidR="002A21AE" w:rsidRDefault="002A21AE">
            <w:pPr>
              <w:pStyle w:val="NotesTextBullet"/>
            </w:pPr>
            <w:r>
              <w:t xml:space="preserve">Thaw </w:t>
            </w:r>
          </w:p>
          <w:p w14:paraId="6905488A" w14:textId="77777777" w:rsidR="002A21AE" w:rsidRDefault="002A21AE">
            <w:pPr>
              <w:pStyle w:val="NotesTextBullet"/>
            </w:pPr>
            <w:r>
              <w:t>Pool</w:t>
            </w:r>
          </w:p>
          <w:p w14:paraId="0ABCC28F" w14:textId="77777777" w:rsidR="002A21AE" w:rsidRDefault="002A21AE">
            <w:pPr>
              <w:pStyle w:val="NotesTextBullet"/>
            </w:pPr>
            <w:r>
              <w:t>Thaw/Pool Cryo</w:t>
            </w:r>
          </w:p>
          <w:p w14:paraId="0680950F" w14:textId="77777777" w:rsidR="002A21AE" w:rsidRDefault="002A21AE">
            <w:pPr>
              <w:pStyle w:val="NotesTextBullet"/>
            </w:pPr>
            <w:r>
              <w:t>Split/Divide</w:t>
            </w:r>
          </w:p>
          <w:p w14:paraId="0DE32144" w14:textId="77777777" w:rsidR="002A21AE" w:rsidRDefault="002A21AE">
            <w:pPr>
              <w:pStyle w:val="NotesTextBullet"/>
            </w:pPr>
            <w:r>
              <w:t>Irradiate</w:t>
            </w:r>
          </w:p>
          <w:p w14:paraId="5D7FE5BF" w14:textId="77777777" w:rsidR="002A21AE" w:rsidRDefault="002A21AE">
            <w:pPr>
              <w:pStyle w:val="NotesTextBullet"/>
            </w:pPr>
            <w:r>
              <w:t>Leukoreduce</w:t>
            </w:r>
          </w:p>
          <w:p w14:paraId="0E9DCB7F" w14:textId="77777777" w:rsidR="002A21AE" w:rsidRDefault="002A21AE">
            <w:pPr>
              <w:pStyle w:val="NotesTextBullet"/>
            </w:pPr>
            <w:r>
              <w:t>Volume reduce</w:t>
            </w:r>
          </w:p>
          <w:p w14:paraId="56948B52" w14:textId="77777777" w:rsidR="002A21AE" w:rsidRDefault="002A21AE">
            <w:pPr>
              <w:pStyle w:val="NotesTextBullet"/>
            </w:pPr>
            <w:r>
              <w:t>Wash</w:t>
            </w:r>
          </w:p>
          <w:p w14:paraId="1BB1ADDF" w14:textId="77777777" w:rsidR="002A21AE" w:rsidRDefault="002A21AE">
            <w:pPr>
              <w:pStyle w:val="NotesTextBullet"/>
            </w:pPr>
            <w:r>
              <w:t xml:space="preserve">Rejuvenate </w:t>
            </w:r>
          </w:p>
          <w:p w14:paraId="0A67F8C4" w14:textId="77777777" w:rsidR="002A21AE" w:rsidRDefault="002A21AE">
            <w:pPr>
              <w:pStyle w:val="NotesTextBullet"/>
            </w:pPr>
            <w:r>
              <w:t>Freeze</w:t>
            </w:r>
          </w:p>
          <w:p w14:paraId="51BF25E2" w14:textId="77777777" w:rsidR="002A21AE" w:rsidRDefault="002A21AE">
            <w:pPr>
              <w:pStyle w:val="NotesTextBullet"/>
            </w:pPr>
            <w:r>
              <w:t>Deglycerolize</w:t>
            </w:r>
          </w:p>
          <w:p w14:paraId="2D1D2F29" w14:textId="77777777" w:rsidR="002A21AE" w:rsidRPr="009D316D" w:rsidRDefault="002A21AE" w:rsidP="009D316D">
            <w:pPr>
              <w:pStyle w:val="NotesText"/>
            </w:pPr>
          </w:p>
          <w:p w14:paraId="53A70C7D" w14:textId="77777777" w:rsidR="000E19EE" w:rsidRDefault="002A21AE" w:rsidP="009D316D">
            <w:pPr>
              <w:pStyle w:val="NotesText"/>
            </w:pPr>
            <w:r w:rsidRPr="009D316D">
              <w:rPr>
                <w:vanish/>
                <w:szCs w:val="18"/>
              </w:rPr>
              <w:t xml:space="preserve">BR_10.03 </w:t>
            </w:r>
            <w:r w:rsidRPr="009D316D">
              <w:t xml:space="preserve">The modification process fee is added to the base unit cost </w:t>
            </w:r>
            <w:r w:rsidR="00D2265D" w:rsidRPr="009D316D">
              <w:t xml:space="preserve">of the first target unit </w:t>
            </w:r>
            <w:r w:rsidRPr="009D316D">
              <w:t>and special testing costs, creating a patient bill for a transfused blood product, not including on-site antigen typing performed. The modification process fee may be U.S. $0.00 to $9,999.99.</w:t>
            </w:r>
            <w:r w:rsidR="00A76634">
              <w:t xml:space="preserve"> VBECS will generate an audit trail report entry when this field is filled or changed.</w:t>
            </w:r>
          </w:p>
        </w:tc>
      </w:tr>
      <w:tr w:rsidR="002A21AE" w14:paraId="0961895B" w14:textId="77777777">
        <w:tc>
          <w:tcPr>
            <w:tcW w:w="3240" w:type="dxa"/>
          </w:tcPr>
          <w:p w14:paraId="1C1C5124"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02" w:author="Blalock, David (Leidos)" w:date="2020-06-15T14:09:00Z" w:original="0."/>
              </w:fldChar>
            </w:r>
          </w:p>
        </w:tc>
        <w:tc>
          <w:tcPr>
            <w:tcW w:w="6120" w:type="dxa"/>
          </w:tcPr>
          <w:p w14:paraId="05618615" w14:textId="77777777" w:rsidR="002A21AE" w:rsidRDefault="002A21AE">
            <w:pPr>
              <w:pStyle w:val="TableTextBullet"/>
            </w:pPr>
            <w:r>
              <w:t>Updates the database and captures changes to any previously defined parameters for inclusion in the Audit Trail Report.</w:t>
            </w:r>
          </w:p>
        </w:tc>
      </w:tr>
    </w:tbl>
    <w:p w14:paraId="7DDF2499" w14:textId="5EF13CE1" w:rsidR="001266F5" w:rsidRDefault="001266F5" w:rsidP="001266F5">
      <w:pPr>
        <w:pStyle w:val="Caption"/>
      </w:pPr>
      <w:bookmarkStart w:id="203" w:name="_Ref126470383"/>
      <w:bookmarkStart w:id="204" w:name="_Toc6368038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47</w:t>
      </w:r>
      <w:r w:rsidR="004E20BD">
        <w:rPr>
          <w:noProof/>
        </w:rPr>
        <w:fldChar w:fldCharType="end"/>
      </w:r>
      <w:bookmarkEnd w:id="203"/>
      <w:r>
        <w:t>: Product Modifications Tab</w:t>
      </w:r>
    </w:p>
    <w:p w14:paraId="748BF8CA" w14:textId="77777777" w:rsidR="0066425F" w:rsidRDefault="00057948" w:rsidP="0066425F">
      <w:pPr>
        <w:pStyle w:val="BodyText"/>
      </w:pPr>
      <w:r>
        <w:rPr>
          <w:noProof/>
        </w:rPr>
        <w:drawing>
          <wp:inline distT="0" distB="0" distL="0" distR="0" wp14:anchorId="58CB2321" wp14:editId="07DDC5AD">
            <wp:extent cx="3195955" cy="3214370"/>
            <wp:effectExtent l="0" t="0" r="4445" b="5080"/>
            <wp:docPr id="129" name="Picture 1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a:extLst>
                        <a:ext uri="{C183D7F6-B498-43B3-948B-1728B52AA6E4}">
                          <adec:decorative xmlns:adec="http://schemas.microsoft.com/office/drawing/2017/decorative" val="1"/>
                        </a:ext>
                      </a:extLst>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195955" cy="3214370"/>
                    </a:xfrm>
                    <a:prstGeom prst="rect">
                      <a:avLst/>
                    </a:prstGeom>
                    <a:noFill/>
                    <a:ln>
                      <a:noFill/>
                    </a:ln>
                  </pic:spPr>
                </pic:pic>
              </a:graphicData>
            </a:graphic>
          </wp:inline>
        </w:drawing>
      </w:r>
      <w:r w:rsidR="001266F5">
        <w:t xml:space="preserve"> </w:t>
      </w:r>
    </w:p>
    <w:p w14:paraId="38D45D49" w14:textId="77777777" w:rsidR="00796039" w:rsidRDefault="00AF089A" w:rsidP="0066425F">
      <w:pPr>
        <w:pStyle w:val="Heading3"/>
      </w:pPr>
      <w:r>
        <w:br w:type="page"/>
      </w:r>
      <w:bookmarkStart w:id="205" w:name="_Toc47516698"/>
      <w:r w:rsidR="006068DE">
        <w:lastRenderedPageBreak/>
        <w:t>Order Alerts</w:t>
      </w:r>
      <w:bookmarkEnd w:id="205"/>
      <w:r w:rsidR="00796039">
        <w:fldChar w:fldCharType="begin"/>
      </w:r>
      <w:r w:rsidR="00796039">
        <w:instrText xml:space="preserve"> XE “</w:instrText>
      </w:r>
      <w:r w:rsidR="006068DE">
        <w:instrText>Order Alerts</w:instrText>
      </w:r>
      <w:r w:rsidR="00796039">
        <w:instrText xml:space="preserve">” </w:instrText>
      </w:r>
      <w:r w:rsidR="00796039">
        <w:fldChar w:fldCharType="end"/>
      </w:r>
      <w:r w:rsidR="00796039">
        <w:t xml:space="preserve"> </w:t>
      </w:r>
      <w:r w:rsidR="00796039">
        <w:rPr>
          <w:vanish/>
        </w:rPr>
        <w:t>UC_95</w:t>
      </w:r>
    </w:p>
    <w:p w14:paraId="460B95C2" w14:textId="381AADB9" w:rsidR="00796039" w:rsidRDefault="00796039" w:rsidP="00796039">
      <w:pPr>
        <w:pStyle w:val="BodyText"/>
      </w:pPr>
      <w:r>
        <w:t xml:space="preserve">The user configures </w:t>
      </w:r>
      <w:r w:rsidRPr="00CA0045">
        <w:rPr>
          <w:bCs/>
        </w:rPr>
        <w:t>VistA</w:t>
      </w:r>
      <w:r>
        <w:t xml:space="preserve"> alerts that appear at login. </w:t>
      </w:r>
      <w:r w:rsidR="00E90A01">
        <w:t xml:space="preserve">For additional information, see </w:t>
      </w:r>
      <w:r w:rsidR="00E90A01">
        <w:fldChar w:fldCharType="begin"/>
      </w:r>
      <w:r w:rsidR="00E90A01">
        <w:instrText xml:space="preserve"> REF _Ref508960349 \h </w:instrText>
      </w:r>
      <w:r w:rsidR="00E90A01">
        <w:fldChar w:fldCharType="separate"/>
      </w:r>
      <w:r w:rsidR="004353ED">
        <w:t xml:space="preserve">Appendix </w:t>
      </w:r>
      <w:r w:rsidR="004353ED">
        <w:rPr>
          <w:noProof/>
        </w:rPr>
        <w:t>G</w:t>
      </w:r>
      <w:r w:rsidR="004353ED">
        <w:t>: Work Process Flowcharts</w:t>
      </w:r>
      <w:r w:rsidR="00E90A01">
        <w:fldChar w:fldCharType="end"/>
      </w:r>
      <w:r w:rsidR="00E90A01">
        <w:t>.</w:t>
      </w:r>
    </w:p>
    <w:p w14:paraId="457CFDF5" w14:textId="77777777" w:rsidR="00796039" w:rsidRDefault="00796039" w:rsidP="00796039">
      <w:pPr>
        <w:pStyle w:val="Heading4"/>
      </w:pPr>
      <w:r>
        <w:t>Assumptions</w:t>
      </w:r>
      <w:r>
        <w:rPr>
          <w:b w:val="0"/>
        </w:rPr>
        <w:t xml:space="preserve"> </w:t>
      </w:r>
    </w:p>
    <w:p w14:paraId="6727689B" w14:textId="77777777" w:rsidR="00796039" w:rsidRDefault="00796039" w:rsidP="00796039">
      <w:pPr>
        <w:pStyle w:val="ListBullet"/>
      </w:pPr>
      <w:r>
        <w:t>None</w:t>
      </w:r>
    </w:p>
    <w:p w14:paraId="6DE502E2" w14:textId="77777777" w:rsidR="00796039" w:rsidRDefault="00796039" w:rsidP="00796039">
      <w:pPr>
        <w:pStyle w:val="Heading4"/>
      </w:pPr>
      <w:r>
        <w:t xml:space="preserve">Outcome </w:t>
      </w:r>
    </w:p>
    <w:p w14:paraId="05AC8C9E" w14:textId="77777777" w:rsidR="00796039" w:rsidRDefault="00796039" w:rsidP="00796039">
      <w:pPr>
        <w:pStyle w:val="ListBullet"/>
      </w:pPr>
      <w:r>
        <w:t>User alerts of physician orders for blood bank diagnostic tests and blood components are configured.</w:t>
      </w:r>
    </w:p>
    <w:p w14:paraId="479B4E42" w14:textId="77777777" w:rsidR="00796039" w:rsidRDefault="00796039" w:rsidP="00796039">
      <w:pPr>
        <w:pStyle w:val="Heading4"/>
      </w:pPr>
      <w:r>
        <w:t>Limitations and Restrictions</w:t>
      </w:r>
      <w:r>
        <w:rPr>
          <w:b w:val="0"/>
        </w:rPr>
        <w:t xml:space="preserve"> </w:t>
      </w:r>
    </w:p>
    <w:p w14:paraId="2C16110B" w14:textId="77777777" w:rsidR="000D7828" w:rsidRDefault="000D7828" w:rsidP="00796039">
      <w:pPr>
        <w:pStyle w:val="ListBullet"/>
      </w:pPr>
      <w:r>
        <w:t xml:space="preserve">This is an alert only and contains limited information from the CPRS order. </w:t>
      </w:r>
      <w:r w:rsidRPr="000D7828">
        <w:rPr>
          <w:vanish/>
        </w:rPr>
        <w:t>Defect 368207</w:t>
      </w:r>
    </w:p>
    <w:p w14:paraId="6598AF61" w14:textId="77777777" w:rsidR="00796039" w:rsidRDefault="00796039" w:rsidP="00796039">
      <w:pPr>
        <w:pStyle w:val="ListBullet"/>
      </w:pPr>
      <w:r>
        <w:t>This option does not create a mechanism to accept or reject orders or specimens or define reports for viewing orders.</w:t>
      </w:r>
    </w:p>
    <w:p w14:paraId="2D8D1B05" w14:textId="77777777" w:rsidR="00796039" w:rsidRDefault="00796039" w:rsidP="00796039">
      <w:pPr>
        <w:pStyle w:val="ListBullet"/>
      </w:pPr>
      <w:r>
        <w:t>The user may select the option to display printer alerts only when the designated printer is configured and available.</w:t>
      </w:r>
    </w:p>
    <w:p w14:paraId="19524F2F" w14:textId="77777777" w:rsidR="00796039" w:rsidRDefault="00796039" w:rsidP="00796039">
      <w:pPr>
        <w:pStyle w:val="ListBullet"/>
      </w:pPr>
      <w:r>
        <w:t>The printer</w:t>
      </w:r>
      <w:r w:rsidR="006C2ED3" w:rsidRPr="006C2ED3">
        <w:t xml:space="preserve"> </w:t>
      </w:r>
      <w:r w:rsidR="006C2ED3">
        <w:t>must be configured by the System Administrator</w:t>
      </w:r>
      <w:r>
        <w:t>.</w:t>
      </w:r>
    </w:p>
    <w:p w14:paraId="05B472AE" w14:textId="77777777" w:rsidR="00796039" w:rsidRDefault="00796039" w:rsidP="00796039">
      <w:pPr>
        <w:pStyle w:val="Heading4"/>
      </w:pPr>
      <w:r>
        <w:t xml:space="preserve">Additional Information </w:t>
      </w:r>
    </w:p>
    <w:p w14:paraId="76A01DF4" w14:textId="77777777" w:rsidR="00796039" w:rsidRDefault="00796039" w:rsidP="00796039">
      <w:pPr>
        <w:pStyle w:val="ListBullet"/>
      </w:pPr>
      <w:r>
        <w:t>A user may review current user alert configurations.</w:t>
      </w:r>
    </w:p>
    <w:p w14:paraId="77AA01F0" w14:textId="77777777" w:rsidR="00796039" w:rsidRDefault="00796039" w:rsidP="00796039">
      <w:pPr>
        <w:pStyle w:val="ListBullet"/>
      </w:pPr>
      <w:r>
        <w:t>VBECS uses other alerts (patient update alerts, VistALink status alerts) that do not require configuration.</w:t>
      </w:r>
    </w:p>
    <w:p w14:paraId="50194E65" w14:textId="77777777" w:rsidR="007004B1" w:rsidRDefault="007004B1" w:rsidP="00796039">
      <w:pPr>
        <w:pStyle w:val="ListBullet"/>
      </w:pPr>
      <w:r>
        <w:t xml:space="preserve">The user may set </w:t>
      </w:r>
      <w:r w:rsidR="00922AD8">
        <w:t>VBECS to</w:t>
      </w:r>
      <w:r>
        <w:t xml:space="preserve"> automatically print an order alert on the designated printer when VBECS ackn</w:t>
      </w:r>
      <w:r w:rsidR="000D7828">
        <w:t xml:space="preserve">owledges the order. </w:t>
      </w:r>
      <w:r>
        <w:t>The CPRS can be configured to print a copy of the order on a printer in the blood bank.</w:t>
      </w:r>
    </w:p>
    <w:p w14:paraId="75E15C6B" w14:textId="77777777" w:rsidR="00491BEC" w:rsidRDefault="00491BEC" w:rsidP="00796039">
      <w:pPr>
        <w:pStyle w:val="ListBullet"/>
      </w:pPr>
      <w:r>
        <w:t>Printed order alerts are not queued.</w:t>
      </w:r>
    </w:p>
    <w:p w14:paraId="61A36C01" w14:textId="77777777" w:rsidR="00796039" w:rsidRDefault="00796039" w:rsidP="00796039">
      <w:pPr>
        <w:pStyle w:val="Heading4"/>
        <w:rPr>
          <w:b w:val="0"/>
        </w:rPr>
      </w:pPr>
      <w:r>
        <w:t>User Roles with Access to This Option</w:t>
      </w:r>
      <w:r>
        <w:rPr>
          <w:b w:val="0"/>
        </w:rPr>
        <w:t xml:space="preserve"> </w:t>
      </w:r>
    </w:p>
    <w:p w14:paraId="55735B5F" w14:textId="77777777" w:rsidR="00237C52" w:rsidRDefault="00237C52" w:rsidP="00796039">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458532C3" w14:textId="77777777" w:rsidR="00796039" w:rsidRDefault="006068DE" w:rsidP="00796039">
      <w:pPr>
        <w:pStyle w:val="Heading4"/>
      </w:pPr>
      <w:r>
        <w:t>Order Alerts</w:t>
      </w:r>
    </w:p>
    <w:p w14:paraId="21F94838" w14:textId="0B1281A4" w:rsidR="00796039" w:rsidRDefault="00796039" w:rsidP="00796039">
      <w:pPr>
        <w:pStyle w:val="BodyText"/>
      </w:pPr>
      <w:r>
        <w:t>The user configures diagnostic test or component order alerts, and turns them on or off. The alerts notify users when new orders are entered, updated, or cancel</w:t>
      </w:r>
      <w:r w:rsidR="002F7E19">
        <w:t>l</w:t>
      </w:r>
      <w:r>
        <w:t xml:space="preserve">ed in </w:t>
      </w:r>
      <w:r w:rsidRPr="00CA0045">
        <w:rPr>
          <w:bCs/>
        </w:rPr>
        <w:t>VistA</w:t>
      </w:r>
      <w:r>
        <w:rPr>
          <w:bCs/>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96039" w14:paraId="5EC59A4C" w14:textId="77777777">
        <w:trPr>
          <w:cantSplit/>
          <w:tblHeader/>
        </w:trPr>
        <w:tc>
          <w:tcPr>
            <w:tcW w:w="3240" w:type="dxa"/>
            <w:shd w:val="pct30" w:color="auto" w:fill="FFFFFF"/>
            <w:vAlign w:val="bottom"/>
          </w:tcPr>
          <w:p w14:paraId="73545CF7" w14:textId="77777777" w:rsidR="00796039" w:rsidRDefault="00796039" w:rsidP="00796039">
            <w:pPr>
              <w:pStyle w:val="TableText"/>
              <w:rPr>
                <w:b/>
              </w:rPr>
            </w:pPr>
            <w:r>
              <w:rPr>
                <w:b/>
              </w:rPr>
              <w:t>User Action</w:t>
            </w:r>
          </w:p>
        </w:tc>
        <w:tc>
          <w:tcPr>
            <w:tcW w:w="6120" w:type="dxa"/>
            <w:shd w:val="pct30" w:color="auto" w:fill="FFFFFF"/>
            <w:vAlign w:val="bottom"/>
          </w:tcPr>
          <w:p w14:paraId="067F5AA8" w14:textId="77777777" w:rsidR="00796039" w:rsidRDefault="00796039" w:rsidP="00796039">
            <w:pPr>
              <w:pStyle w:val="TableText"/>
              <w:rPr>
                <w:b/>
              </w:rPr>
            </w:pPr>
            <w:r>
              <w:rPr>
                <w:b/>
              </w:rPr>
              <w:t>VBECS</w:t>
            </w:r>
          </w:p>
        </w:tc>
      </w:tr>
      <w:tr w:rsidR="00796039" w14:paraId="2A200728" w14:textId="77777777">
        <w:tc>
          <w:tcPr>
            <w:tcW w:w="3240" w:type="dxa"/>
          </w:tcPr>
          <w:p w14:paraId="5DBD4972" w14:textId="77777777" w:rsidR="00796039" w:rsidRDefault="00796039" w:rsidP="00796039">
            <w:pPr>
              <w:pStyle w:val="TableTextNumbers"/>
            </w:pPr>
            <w:r>
              <w:t xml:space="preserve">Select </w:t>
            </w:r>
            <w:r>
              <w:rPr>
                <w:b/>
                <w:bCs/>
              </w:rPr>
              <w:t>Tools</w:t>
            </w:r>
            <w:r>
              <w:t xml:space="preserve"> from the main menu.</w:t>
            </w:r>
          </w:p>
          <w:p w14:paraId="41B79393" w14:textId="77777777" w:rsidR="00796039" w:rsidRDefault="00796039" w:rsidP="00796039">
            <w:pPr>
              <w:pStyle w:val="TableTextNumbersContinued"/>
              <w:rPr>
                <w:b/>
                <w:bCs/>
              </w:rPr>
            </w:pPr>
          </w:p>
          <w:p w14:paraId="3AA53D3A" w14:textId="77777777" w:rsidR="00796039" w:rsidRDefault="00796039" w:rsidP="00796039">
            <w:pPr>
              <w:pStyle w:val="TableTextNumbersContinued"/>
              <w:rPr>
                <w:b/>
                <w:bCs/>
              </w:rPr>
            </w:pPr>
            <w:r>
              <w:rPr>
                <w:b/>
                <w:bCs/>
              </w:rPr>
              <w:t>Select Configure Division.</w:t>
            </w:r>
          </w:p>
        </w:tc>
        <w:tc>
          <w:tcPr>
            <w:tcW w:w="6120" w:type="dxa"/>
          </w:tcPr>
          <w:p w14:paraId="702AB734" w14:textId="77777777" w:rsidR="00796039" w:rsidRDefault="00796039" w:rsidP="00796039">
            <w:pPr>
              <w:pStyle w:val="TableTextBullet"/>
            </w:pPr>
            <w:r>
              <w:t>Displays options for processing administrative functions.</w:t>
            </w:r>
          </w:p>
          <w:p w14:paraId="31C33DA1" w14:textId="77777777" w:rsidR="00796039" w:rsidRDefault="00796039" w:rsidP="00796039">
            <w:pPr>
              <w:pStyle w:val="TableTextBullet"/>
            </w:pPr>
            <w:r>
              <w:t>Displays configuration tabs.</w:t>
            </w:r>
          </w:p>
        </w:tc>
      </w:tr>
      <w:tr w:rsidR="00796039" w14:paraId="3B5D0941" w14:textId="77777777" w:rsidTr="007E500E">
        <w:trPr>
          <w:cantSplit/>
        </w:trPr>
        <w:tc>
          <w:tcPr>
            <w:tcW w:w="3240" w:type="dxa"/>
          </w:tcPr>
          <w:p w14:paraId="29BF4FD1" w14:textId="6B35FA44" w:rsidR="00796039" w:rsidRDefault="00796039" w:rsidP="00796039">
            <w:pPr>
              <w:pStyle w:val="TableTextNumbers"/>
            </w:pPr>
            <w:r>
              <w:lastRenderedPageBreak/>
              <w:t xml:space="preserve">Click the </w:t>
            </w:r>
            <w:r>
              <w:rPr>
                <w:b/>
                <w:bCs/>
              </w:rPr>
              <w:t xml:space="preserve">Order Alerts </w:t>
            </w:r>
            <w:r w:rsidRPr="00CC3C89">
              <w:rPr>
                <w:bCs/>
              </w:rPr>
              <w:t>tab</w:t>
            </w:r>
            <w:r w:rsidR="008A6E48" w:rsidRPr="00CC3C89">
              <w:rPr>
                <w:bCs/>
              </w:rPr>
              <w:t xml:space="preserve"> </w:t>
            </w:r>
            <w:r w:rsidR="008A6E48">
              <w:rPr>
                <w:bCs/>
              </w:rPr>
              <w:t>(</w:t>
            </w:r>
            <w:r w:rsidR="008A6E48">
              <w:rPr>
                <w:bCs/>
              </w:rPr>
              <w:fldChar w:fldCharType="begin"/>
            </w:r>
            <w:r w:rsidR="008A6E48">
              <w:rPr>
                <w:bCs/>
              </w:rPr>
              <w:instrText xml:space="preserve"> REF _Ref126470573 \h </w:instrText>
            </w:r>
            <w:r w:rsidR="008A6E48">
              <w:rPr>
                <w:bCs/>
              </w:rPr>
            </w:r>
            <w:r w:rsidR="008A6E48">
              <w:rPr>
                <w:bCs/>
              </w:rPr>
              <w:fldChar w:fldCharType="separate"/>
            </w:r>
            <w:r w:rsidR="004353ED">
              <w:t xml:space="preserve">Figure </w:t>
            </w:r>
            <w:r w:rsidR="004353ED">
              <w:rPr>
                <w:noProof/>
              </w:rPr>
              <w:t>48</w:t>
            </w:r>
            <w:r w:rsidR="008A6E48">
              <w:rPr>
                <w:bCs/>
              </w:rPr>
              <w:fldChar w:fldCharType="end"/>
            </w:r>
            <w:r w:rsidR="008A6E48">
              <w:rPr>
                <w:bCs/>
              </w:rPr>
              <w:t>)</w:t>
            </w:r>
            <w:r>
              <w:t xml:space="preserve">. </w:t>
            </w:r>
          </w:p>
          <w:p w14:paraId="2B65C6F0" w14:textId="77777777" w:rsidR="00796039" w:rsidRDefault="00796039" w:rsidP="00796039">
            <w:pPr>
              <w:pStyle w:val="TableTextNumbersContinued"/>
            </w:pPr>
          </w:p>
          <w:p w14:paraId="7A8DBFFF" w14:textId="77777777" w:rsidR="00796039" w:rsidRDefault="00796039" w:rsidP="00796039">
            <w:pPr>
              <w:pStyle w:val="TableTextNumbersContinued"/>
            </w:pPr>
            <w:r>
              <w:t xml:space="preserve">Click the </w:t>
            </w:r>
            <w:r>
              <w:rPr>
                <w:b/>
              </w:rPr>
              <w:t>Printer Alerts On</w:t>
            </w:r>
            <w:r>
              <w:t xml:space="preserve"> and/or the</w:t>
            </w:r>
            <w:r>
              <w:rPr>
                <w:b/>
              </w:rPr>
              <w:t xml:space="preserve"> Icon Alerts On </w:t>
            </w:r>
            <w:r w:rsidRPr="00D1100E">
              <w:t>check box</w:t>
            </w:r>
            <w:r>
              <w:t>.</w:t>
            </w:r>
          </w:p>
          <w:p w14:paraId="2B0B9F89" w14:textId="77777777" w:rsidR="00796039" w:rsidRDefault="00796039" w:rsidP="00796039">
            <w:pPr>
              <w:pStyle w:val="TableTextNumbersContinued"/>
            </w:pPr>
          </w:p>
          <w:p w14:paraId="77F41505" w14:textId="77777777" w:rsidR="00796039" w:rsidRDefault="00796039" w:rsidP="00796039">
            <w:pPr>
              <w:pStyle w:val="TableTextNumbersContinued"/>
              <w:rPr>
                <w:b/>
                <w:bCs/>
              </w:rPr>
            </w:pPr>
            <w:r>
              <w:t>Select the order alert type from the drop-down menus in the Order Alert Type fields.</w:t>
            </w:r>
          </w:p>
        </w:tc>
        <w:tc>
          <w:tcPr>
            <w:tcW w:w="6120" w:type="dxa"/>
          </w:tcPr>
          <w:p w14:paraId="69D7613E" w14:textId="77777777" w:rsidR="00796039" w:rsidRDefault="00796039" w:rsidP="00796039">
            <w:pPr>
              <w:pStyle w:val="TableTextBullet"/>
            </w:pPr>
            <w:r>
              <w:t xml:space="preserve">Displays the existing order alert configuration and allows the user to edit it. </w:t>
            </w:r>
          </w:p>
          <w:p w14:paraId="06BA6E41" w14:textId="77777777" w:rsidR="00796039" w:rsidRDefault="00796039" w:rsidP="00796039">
            <w:pPr>
              <w:pStyle w:val="TableTextBullet"/>
            </w:pPr>
            <w:r>
              <w:rPr>
                <w:rFonts w:cs="Arial"/>
                <w:vanish/>
              </w:rPr>
              <w:t xml:space="preserve">BR_95.08 </w:t>
            </w:r>
            <w:r>
              <w:t>Requires the user to select a printer name and to define which orders to print.</w:t>
            </w:r>
          </w:p>
          <w:p w14:paraId="39246837" w14:textId="77777777" w:rsidR="00796039" w:rsidRDefault="00796039" w:rsidP="00796039">
            <w:pPr>
              <w:pStyle w:val="TableTextBullet"/>
            </w:pPr>
            <w:r>
              <w:rPr>
                <w:rFonts w:cs="Arial"/>
                <w:vanish/>
              </w:rPr>
              <w:t xml:space="preserve">BR_95.05 </w:t>
            </w:r>
            <w:r>
              <w:t>Displays the selected printer, the selected order alert type, and the number of hours (default: 48 hours) entered for review.</w:t>
            </w:r>
          </w:p>
          <w:p w14:paraId="44BECD16" w14:textId="77777777" w:rsidR="00796039" w:rsidRDefault="00796039" w:rsidP="00796039">
            <w:pPr>
              <w:pStyle w:val="TableText"/>
            </w:pPr>
          </w:p>
          <w:p w14:paraId="66CEAD4A" w14:textId="66DE528B" w:rsidR="00796039" w:rsidRDefault="00796039" w:rsidP="00796039">
            <w:pPr>
              <w:pStyle w:val="TableText"/>
              <w:rPr>
                <w:b/>
                <w:bCs/>
                <w:szCs w:val="18"/>
              </w:rPr>
            </w:pPr>
            <w:r>
              <w:rPr>
                <w:b/>
                <w:bCs/>
                <w:szCs w:val="18"/>
              </w:rPr>
              <w:t>NOTES</w:t>
            </w:r>
          </w:p>
          <w:p w14:paraId="21DAEA18" w14:textId="77777777" w:rsidR="00796039" w:rsidRDefault="00796039" w:rsidP="00796039">
            <w:pPr>
              <w:pStyle w:val="NotesText"/>
            </w:pPr>
          </w:p>
          <w:p w14:paraId="66535802" w14:textId="77777777" w:rsidR="00796039" w:rsidRDefault="002E301F" w:rsidP="00796039">
            <w:pPr>
              <w:pStyle w:val="NotesText"/>
            </w:pPr>
            <w:r w:rsidRPr="002E301F">
              <w:t>VBECS lists app</w:t>
            </w:r>
            <w:r>
              <w:t>lication</w:t>
            </w:r>
            <w:r w:rsidRPr="002E301F">
              <w:t xml:space="preserve"> server printers</w:t>
            </w:r>
            <w:r w:rsidR="00796039">
              <w:t>.</w:t>
            </w:r>
          </w:p>
          <w:p w14:paraId="266434E5" w14:textId="77777777" w:rsidR="00796039" w:rsidRDefault="00796039" w:rsidP="00796039">
            <w:pPr>
              <w:pStyle w:val="NotesText"/>
            </w:pPr>
          </w:p>
          <w:p w14:paraId="6D4E0BCE" w14:textId="77777777" w:rsidR="00796039" w:rsidRDefault="00796039" w:rsidP="00796039">
            <w:pPr>
              <w:pStyle w:val="NotesText"/>
            </w:pPr>
            <w:r>
              <w:rPr>
                <w:rFonts w:cs="Arial"/>
                <w:vanish/>
              </w:rPr>
              <w:t xml:space="preserve">BR_95.04 </w:t>
            </w:r>
            <w:r>
              <w:t>The user must select an order alert type:</w:t>
            </w:r>
          </w:p>
          <w:p w14:paraId="6627DD23" w14:textId="77777777" w:rsidR="00796039" w:rsidRDefault="00796039" w:rsidP="00796039">
            <w:pPr>
              <w:pStyle w:val="NotesTextBullet"/>
            </w:pPr>
            <w:r>
              <w:t>All orders (orders received by VBECS)</w:t>
            </w:r>
          </w:p>
          <w:p w14:paraId="225B78EF" w14:textId="77777777" w:rsidR="00796039" w:rsidRDefault="00796039" w:rsidP="00796039">
            <w:pPr>
              <w:pStyle w:val="NotesTextBullet"/>
            </w:pPr>
            <w:r>
              <w:t xml:space="preserve">Hours limit to fill </w:t>
            </w:r>
            <w:r w:rsidR="008426BA">
              <w:t>o</w:t>
            </w:r>
            <w:r>
              <w:t xml:space="preserve">rder (orders received by VBECS needed in the next </w:t>
            </w:r>
            <w:r w:rsidRPr="00A65947">
              <w:rPr>
                <w:i/>
              </w:rPr>
              <w:t>n</w:t>
            </w:r>
            <w:r>
              <w:t xml:space="preserve"> hours) </w:t>
            </w:r>
          </w:p>
          <w:p w14:paraId="2A3B2DE9" w14:textId="77777777" w:rsidR="00796039" w:rsidRDefault="00796039" w:rsidP="00796039">
            <w:pPr>
              <w:pStyle w:val="NotesTextBullet"/>
            </w:pPr>
            <w:r>
              <w:t>Spec</w:t>
            </w:r>
            <w:r w:rsidR="00802EE9">
              <w:t>imen OK or N/A (orders where</w:t>
            </w:r>
            <w:r>
              <w:t xml:space="preserve"> no specimen is require</w:t>
            </w:r>
            <w:r w:rsidR="00802EE9">
              <w:t>d</w:t>
            </w:r>
            <w:r>
              <w:t>)</w:t>
            </w:r>
          </w:p>
        </w:tc>
      </w:tr>
      <w:tr w:rsidR="00796039" w14:paraId="4CEB29F4" w14:textId="77777777">
        <w:tc>
          <w:tcPr>
            <w:tcW w:w="3240" w:type="dxa"/>
          </w:tcPr>
          <w:p w14:paraId="7B38D2A2" w14:textId="77777777" w:rsidR="00796039" w:rsidRDefault="00796039" w:rsidP="00796039">
            <w:pPr>
              <w:pStyle w:val="TableTextNumbers"/>
            </w:pPr>
            <w:r>
              <w:t>Enter or select a refresh rate</w:t>
            </w:r>
            <w:r w:rsidR="00B917A8">
              <w:t xml:space="preserve"> (the interval between searches for new orders)</w:t>
            </w:r>
            <w:r>
              <w:t xml:space="preserve"> for the order alert in the Refresh Rate field. </w:t>
            </w:r>
          </w:p>
        </w:tc>
        <w:tc>
          <w:tcPr>
            <w:tcW w:w="6120" w:type="dxa"/>
          </w:tcPr>
          <w:p w14:paraId="4DF590C1" w14:textId="77777777" w:rsidR="00796039" w:rsidRDefault="00796039" w:rsidP="00796039">
            <w:pPr>
              <w:pStyle w:val="TableTextBullet"/>
            </w:pPr>
            <w:r>
              <w:rPr>
                <w:rFonts w:cs="Arial"/>
                <w:vanish/>
              </w:rPr>
              <w:t xml:space="preserve">BR_95.07 </w:t>
            </w:r>
            <w:r>
              <w:t>Requires the user to enter a refresh rate (default: 60 seconds) (Icon Alerts On).</w:t>
            </w:r>
          </w:p>
          <w:p w14:paraId="60BF1859" w14:textId="77777777" w:rsidR="00796039" w:rsidRDefault="00796039" w:rsidP="00796039">
            <w:pPr>
              <w:pStyle w:val="TableTextBullet"/>
            </w:pPr>
            <w:r>
              <w:t>Displays the updated refresh rate.</w:t>
            </w:r>
          </w:p>
          <w:p w14:paraId="1E15FF2D" w14:textId="77777777" w:rsidR="00796039" w:rsidRDefault="00796039" w:rsidP="00796039">
            <w:pPr>
              <w:pStyle w:val="TableTextBullet"/>
            </w:pPr>
            <w:r>
              <w:t xml:space="preserve">Displays the selected order alert type. </w:t>
            </w:r>
          </w:p>
        </w:tc>
      </w:tr>
      <w:tr w:rsidR="00796039" w14:paraId="2F02D4FA" w14:textId="77777777">
        <w:tc>
          <w:tcPr>
            <w:tcW w:w="3240" w:type="dxa"/>
          </w:tcPr>
          <w:p w14:paraId="74B54FDA" w14:textId="77777777" w:rsidR="00796039" w:rsidRDefault="00796039" w:rsidP="00796039">
            <w:pPr>
              <w:pStyle w:val="TableTextNumbers"/>
            </w:pPr>
            <w:r>
              <w:t xml:space="preserve">Click </w:t>
            </w:r>
            <w:r>
              <w:rPr>
                <w:b/>
              </w:rPr>
              <w:t>OK</w:t>
            </w:r>
            <w:r>
              <w:t xml:space="preserve"> to save</w:t>
            </w:r>
          </w:p>
        </w:tc>
        <w:tc>
          <w:tcPr>
            <w:tcW w:w="6120" w:type="dxa"/>
          </w:tcPr>
          <w:p w14:paraId="6AC552B5" w14:textId="77777777" w:rsidR="00796039" w:rsidRDefault="00796039" w:rsidP="00796039">
            <w:pPr>
              <w:pStyle w:val="TableTextBullet"/>
            </w:pPr>
            <w:r>
              <w:t>Saves the user alert configuration settings.</w:t>
            </w:r>
          </w:p>
        </w:tc>
      </w:tr>
      <w:tr w:rsidR="00796039" w14:paraId="2BC0E681" w14:textId="77777777">
        <w:tc>
          <w:tcPr>
            <w:tcW w:w="3240" w:type="dxa"/>
          </w:tcPr>
          <w:p w14:paraId="1AB151F7" w14:textId="77777777" w:rsidR="00796039" w:rsidRDefault="00796039" w:rsidP="00796039">
            <w:pPr>
              <w:pStyle w:val="TableTextNumbers"/>
            </w:pPr>
            <w:r>
              <w:t xml:space="preserve">Click </w:t>
            </w:r>
            <w:r>
              <w:rPr>
                <w:b/>
              </w:rPr>
              <w:t>Yes</w:t>
            </w:r>
            <w:r>
              <w:t xml:space="preserve"> to confirm the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06" w:author="Blalock, David (Leidos)" w:date="2020-06-15T14:09:00Z" w:original="0."/>
              </w:fldChar>
            </w:r>
          </w:p>
        </w:tc>
        <w:tc>
          <w:tcPr>
            <w:tcW w:w="6120" w:type="dxa"/>
          </w:tcPr>
          <w:p w14:paraId="1FA22DB9" w14:textId="77777777" w:rsidR="00796039" w:rsidRDefault="00796039" w:rsidP="00796039">
            <w:pPr>
              <w:pStyle w:val="NotesText"/>
            </w:pPr>
          </w:p>
        </w:tc>
      </w:tr>
    </w:tbl>
    <w:p w14:paraId="2257A39A" w14:textId="16AFB527" w:rsidR="008A6E48" w:rsidRDefault="008A6E48" w:rsidP="008A6E48">
      <w:pPr>
        <w:pStyle w:val="Caption"/>
      </w:pPr>
      <w:bookmarkStart w:id="207" w:name="_Ref12647057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48</w:t>
      </w:r>
      <w:r w:rsidR="004E20BD">
        <w:rPr>
          <w:noProof/>
        </w:rPr>
        <w:fldChar w:fldCharType="end"/>
      </w:r>
      <w:bookmarkEnd w:id="207"/>
      <w:r>
        <w:t>: Order Alerts Tab</w:t>
      </w:r>
    </w:p>
    <w:p w14:paraId="172C2264" w14:textId="77777777" w:rsidR="00796039" w:rsidRDefault="00057948" w:rsidP="0066425F">
      <w:pPr>
        <w:pStyle w:val="BodyText"/>
      </w:pPr>
      <w:r>
        <w:rPr>
          <w:noProof/>
        </w:rPr>
        <w:drawing>
          <wp:inline distT="0" distB="0" distL="0" distR="0" wp14:anchorId="14646D10" wp14:editId="61F533B8">
            <wp:extent cx="3195955" cy="3186430"/>
            <wp:effectExtent l="0" t="0" r="4445" b="0"/>
            <wp:docPr id="130" name="Picture 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a:extLst>
                        <a:ext uri="{C183D7F6-B498-43B3-948B-1728B52AA6E4}">
                          <adec:decorative xmlns:adec="http://schemas.microsoft.com/office/drawing/2017/decorative" val="1"/>
                        </a:ext>
                      </a:extLst>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195955" cy="3186430"/>
                    </a:xfrm>
                    <a:prstGeom prst="rect">
                      <a:avLst/>
                    </a:prstGeom>
                    <a:noFill/>
                    <a:ln>
                      <a:noFill/>
                    </a:ln>
                  </pic:spPr>
                </pic:pic>
              </a:graphicData>
            </a:graphic>
          </wp:inline>
        </w:drawing>
      </w:r>
    </w:p>
    <w:p w14:paraId="133008D5" w14:textId="77777777" w:rsidR="00796039" w:rsidRDefault="00AF089A" w:rsidP="00796039">
      <w:pPr>
        <w:pStyle w:val="Heading3"/>
      </w:pPr>
      <w:r>
        <w:br w:type="page"/>
      </w:r>
      <w:bookmarkStart w:id="208" w:name="_Toc47516699"/>
      <w:r w:rsidR="006068DE">
        <w:lastRenderedPageBreak/>
        <w:t>Login Message</w:t>
      </w:r>
      <w:bookmarkEnd w:id="208"/>
      <w:r w:rsidR="00796039">
        <w:fldChar w:fldCharType="begin"/>
      </w:r>
      <w:r w:rsidR="00796039">
        <w:instrText xml:space="preserve"> XE “</w:instrText>
      </w:r>
      <w:r w:rsidR="006068DE">
        <w:instrText>Login Message</w:instrText>
      </w:r>
      <w:r w:rsidR="00796039">
        <w:instrText xml:space="preserve">” </w:instrText>
      </w:r>
      <w:r w:rsidR="00796039">
        <w:fldChar w:fldCharType="end"/>
      </w:r>
    </w:p>
    <w:p w14:paraId="34CF9731" w14:textId="77777777" w:rsidR="00796039" w:rsidRDefault="00796039" w:rsidP="00796039">
      <w:pPr>
        <w:pStyle w:val="BodyText"/>
      </w:pPr>
      <w:r>
        <w:t>The user creates a division-wide VBECS message that appears at login.</w:t>
      </w:r>
    </w:p>
    <w:p w14:paraId="1AE7F50A" w14:textId="77777777" w:rsidR="00796039" w:rsidRDefault="00796039" w:rsidP="00796039">
      <w:pPr>
        <w:pStyle w:val="Heading4"/>
      </w:pPr>
      <w:r>
        <w:t>Assumptions</w:t>
      </w:r>
      <w:r>
        <w:rPr>
          <w:b w:val="0"/>
        </w:rPr>
        <w:t xml:space="preserve"> </w:t>
      </w:r>
    </w:p>
    <w:p w14:paraId="4FB049FD" w14:textId="77777777" w:rsidR="00796039" w:rsidRDefault="00796039" w:rsidP="00796039">
      <w:pPr>
        <w:pStyle w:val="ListBullet"/>
      </w:pPr>
      <w:r>
        <w:t xml:space="preserve">None </w:t>
      </w:r>
    </w:p>
    <w:p w14:paraId="39134215" w14:textId="77777777" w:rsidR="00796039" w:rsidRDefault="00796039" w:rsidP="00796039">
      <w:pPr>
        <w:pStyle w:val="Heading4"/>
      </w:pPr>
      <w:r>
        <w:t>Outcome</w:t>
      </w:r>
      <w:r>
        <w:rPr>
          <w:i/>
          <w:color w:val="0000FF"/>
          <w:sz w:val="24"/>
        </w:rPr>
        <w:t xml:space="preserve"> </w:t>
      </w:r>
    </w:p>
    <w:p w14:paraId="32DAEAEF" w14:textId="77777777" w:rsidR="00796039" w:rsidRDefault="00796039" w:rsidP="00796039">
      <w:pPr>
        <w:pStyle w:val="ListBullet"/>
      </w:pPr>
      <w:r>
        <w:t>A message was created for display when users log into a VBECS division.</w:t>
      </w:r>
    </w:p>
    <w:p w14:paraId="13739B5C" w14:textId="77777777" w:rsidR="00796039" w:rsidRDefault="00796039" w:rsidP="00796039">
      <w:pPr>
        <w:pStyle w:val="Heading4"/>
      </w:pPr>
      <w:r>
        <w:t>Limitations and Restrictions</w:t>
      </w:r>
      <w:r>
        <w:rPr>
          <w:b w:val="0"/>
        </w:rPr>
        <w:t xml:space="preserve"> </w:t>
      </w:r>
    </w:p>
    <w:p w14:paraId="551BC54E" w14:textId="77777777" w:rsidR="00796039" w:rsidRDefault="00796039" w:rsidP="00796039">
      <w:pPr>
        <w:pStyle w:val="ListBullet"/>
      </w:pPr>
      <w:r>
        <w:t>None</w:t>
      </w:r>
    </w:p>
    <w:p w14:paraId="256D139C" w14:textId="77777777" w:rsidR="00796039" w:rsidRDefault="00796039" w:rsidP="00796039">
      <w:pPr>
        <w:pStyle w:val="Heading4"/>
      </w:pPr>
      <w:r>
        <w:t>Additional Information</w:t>
      </w:r>
    </w:p>
    <w:p w14:paraId="64960C14" w14:textId="77777777" w:rsidR="00796039" w:rsidRDefault="00796039" w:rsidP="00796039">
      <w:pPr>
        <w:pStyle w:val="ListBullet"/>
      </w:pPr>
      <w:r>
        <w:t>None</w:t>
      </w:r>
    </w:p>
    <w:p w14:paraId="6B5A553F" w14:textId="77777777" w:rsidR="00796039" w:rsidRDefault="00796039" w:rsidP="00796039">
      <w:pPr>
        <w:pStyle w:val="Heading4"/>
        <w:rPr>
          <w:b w:val="0"/>
        </w:rPr>
      </w:pPr>
      <w:r>
        <w:t>User Roles with Access to This Option</w:t>
      </w:r>
      <w:r>
        <w:rPr>
          <w:b w:val="0"/>
        </w:rPr>
        <w:t xml:space="preserve"> </w:t>
      </w:r>
    </w:p>
    <w:p w14:paraId="03854701" w14:textId="77777777" w:rsidR="00796039" w:rsidRDefault="00237C52" w:rsidP="00796039">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Lead Technologist</w:t>
      </w:r>
    </w:p>
    <w:p w14:paraId="2B01A13E" w14:textId="77777777" w:rsidR="00796039" w:rsidRDefault="006068DE" w:rsidP="00796039">
      <w:pPr>
        <w:pStyle w:val="Heading4"/>
      </w:pPr>
      <w:r>
        <w:t>Login Message</w:t>
      </w:r>
    </w:p>
    <w:p w14:paraId="7893A3FB" w14:textId="77777777" w:rsidR="00796039" w:rsidRDefault="00796039" w:rsidP="00796039">
      <w:pPr>
        <w:pStyle w:val="BodyText"/>
      </w:pPr>
      <w:r>
        <w:t>The user may add, update, or delete a message that VBECS displays to users logging into the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96039" w14:paraId="5638E162" w14:textId="77777777">
        <w:trPr>
          <w:cantSplit/>
          <w:tblHeader/>
        </w:trPr>
        <w:tc>
          <w:tcPr>
            <w:tcW w:w="3240" w:type="dxa"/>
            <w:shd w:val="pct30" w:color="auto" w:fill="FFFFFF"/>
            <w:vAlign w:val="bottom"/>
          </w:tcPr>
          <w:p w14:paraId="5306D9EE" w14:textId="77777777" w:rsidR="00796039" w:rsidRDefault="00796039" w:rsidP="00796039">
            <w:pPr>
              <w:pStyle w:val="TableText"/>
              <w:rPr>
                <w:b/>
              </w:rPr>
            </w:pPr>
            <w:r>
              <w:rPr>
                <w:b/>
              </w:rPr>
              <w:t>User Action</w:t>
            </w:r>
          </w:p>
        </w:tc>
        <w:tc>
          <w:tcPr>
            <w:tcW w:w="6120" w:type="dxa"/>
            <w:shd w:val="pct30" w:color="auto" w:fill="FFFFFF"/>
            <w:vAlign w:val="bottom"/>
          </w:tcPr>
          <w:p w14:paraId="48E36224" w14:textId="77777777" w:rsidR="00796039" w:rsidRDefault="00796039" w:rsidP="00796039">
            <w:pPr>
              <w:pStyle w:val="TableText"/>
              <w:rPr>
                <w:b/>
              </w:rPr>
            </w:pPr>
            <w:r>
              <w:rPr>
                <w:b/>
              </w:rPr>
              <w:t>VBECS</w:t>
            </w:r>
          </w:p>
        </w:tc>
      </w:tr>
      <w:tr w:rsidR="00796039" w14:paraId="11DEF8BA" w14:textId="77777777">
        <w:tc>
          <w:tcPr>
            <w:tcW w:w="3240" w:type="dxa"/>
          </w:tcPr>
          <w:p w14:paraId="5F2B526D" w14:textId="77777777" w:rsidR="00796039" w:rsidRDefault="00796039" w:rsidP="00796039">
            <w:pPr>
              <w:pStyle w:val="TableTextNumbers"/>
            </w:pPr>
            <w:r>
              <w:t xml:space="preserve">Select </w:t>
            </w:r>
            <w:r>
              <w:rPr>
                <w:b/>
                <w:bCs/>
              </w:rPr>
              <w:t>Tools</w:t>
            </w:r>
            <w:r>
              <w:t xml:space="preserve"> from the main menu.</w:t>
            </w:r>
          </w:p>
          <w:p w14:paraId="1C061A08" w14:textId="77777777" w:rsidR="00796039" w:rsidRDefault="00796039" w:rsidP="00796039">
            <w:pPr>
              <w:pStyle w:val="TableTextNumbersContinued"/>
            </w:pPr>
          </w:p>
          <w:p w14:paraId="3121771B" w14:textId="77777777" w:rsidR="00796039" w:rsidRDefault="00796039" w:rsidP="00796039">
            <w:pPr>
              <w:pStyle w:val="TableTextNumbersContinued"/>
            </w:pPr>
            <w:r>
              <w:t xml:space="preserve">Select </w:t>
            </w:r>
            <w:r>
              <w:rPr>
                <w:b/>
              </w:rPr>
              <w:t>Configure Division</w:t>
            </w:r>
            <w:r>
              <w:t>.</w:t>
            </w:r>
          </w:p>
        </w:tc>
        <w:tc>
          <w:tcPr>
            <w:tcW w:w="6120" w:type="dxa"/>
          </w:tcPr>
          <w:p w14:paraId="6BE3043F" w14:textId="77777777" w:rsidR="00796039" w:rsidRDefault="00796039" w:rsidP="00796039">
            <w:pPr>
              <w:pStyle w:val="TableTextBullet"/>
            </w:pPr>
            <w:r>
              <w:t>Displays options for processing administrative functions.</w:t>
            </w:r>
          </w:p>
          <w:p w14:paraId="7F26E2FD" w14:textId="77777777" w:rsidR="00796039" w:rsidRDefault="00796039" w:rsidP="00796039">
            <w:pPr>
              <w:pStyle w:val="TableTextBullet"/>
            </w:pPr>
            <w:r>
              <w:t>Displays configuration tabs.</w:t>
            </w:r>
          </w:p>
        </w:tc>
      </w:tr>
      <w:tr w:rsidR="00796039" w14:paraId="3864E959" w14:textId="77777777">
        <w:tc>
          <w:tcPr>
            <w:tcW w:w="3240" w:type="dxa"/>
            <w:tcBorders>
              <w:top w:val="single" w:sz="4" w:space="0" w:color="auto"/>
              <w:left w:val="single" w:sz="4" w:space="0" w:color="auto"/>
              <w:bottom w:val="single" w:sz="4" w:space="0" w:color="auto"/>
              <w:right w:val="single" w:sz="4" w:space="0" w:color="auto"/>
            </w:tcBorders>
          </w:tcPr>
          <w:p w14:paraId="31F8B1F1" w14:textId="063BB353" w:rsidR="00796039" w:rsidRDefault="00796039" w:rsidP="00796039">
            <w:pPr>
              <w:pStyle w:val="TableTextNumbers"/>
            </w:pPr>
            <w:r>
              <w:t xml:space="preserve">Click the </w:t>
            </w:r>
            <w:r>
              <w:rPr>
                <w:b/>
              </w:rPr>
              <w:t xml:space="preserve">Login Message </w:t>
            </w:r>
            <w:r w:rsidRPr="00CC3C89">
              <w:t>tab</w:t>
            </w:r>
            <w:r w:rsidR="008A6E48" w:rsidRPr="00CC3C89">
              <w:t xml:space="preserve"> </w:t>
            </w:r>
            <w:r w:rsidR="008A6E48">
              <w:t>(</w:t>
            </w:r>
            <w:r w:rsidR="008A6E48">
              <w:fldChar w:fldCharType="begin"/>
            </w:r>
            <w:r w:rsidR="008A6E48">
              <w:instrText xml:space="preserve"> REF _Ref126470750 \h </w:instrText>
            </w:r>
            <w:r w:rsidR="008A6E48">
              <w:fldChar w:fldCharType="separate"/>
            </w:r>
            <w:r w:rsidR="004353ED">
              <w:t xml:space="preserve">Figure </w:t>
            </w:r>
            <w:r w:rsidR="004353ED">
              <w:rPr>
                <w:noProof/>
              </w:rPr>
              <w:t>49</w:t>
            </w:r>
            <w:r w:rsidR="008A6E48">
              <w:fldChar w:fldCharType="end"/>
            </w:r>
            <w:r w:rsidR="008A6E48">
              <w:t>)</w:t>
            </w:r>
            <w:r>
              <w:t>.</w:t>
            </w:r>
          </w:p>
          <w:p w14:paraId="2CCF3122" w14:textId="77777777" w:rsidR="00796039" w:rsidRDefault="00796039" w:rsidP="00796039">
            <w:pPr>
              <w:pStyle w:val="TableTextNumbersContinued"/>
            </w:pPr>
          </w:p>
          <w:p w14:paraId="239CC33D" w14:textId="77777777" w:rsidR="00796039" w:rsidRDefault="00796039" w:rsidP="00796039">
            <w:pPr>
              <w:pStyle w:val="TableTextNumbersContinued"/>
            </w:pPr>
            <w:r>
              <w:t>Enter a message in the message field to display at login.</w:t>
            </w:r>
          </w:p>
        </w:tc>
        <w:tc>
          <w:tcPr>
            <w:tcW w:w="6120" w:type="dxa"/>
            <w:tcBorders>
              <w:top w:val="single" w:sz="4" w:space="0" w:color="auto"/>
              <w:left w:val="single" w:sz="4" w:space="0" w:color="auto"/>
              <w:bottom w:val="single" w:sz="4" w:space="0" w:color="auto"/>
              <w:right w:val="single" w:sz="4" w:space="0" w:color="auto"/>
            </w:tcBorders>
          </w:tcPr>
          <w:p w14:paraId="4FFAC57D" w14:textId="77777777" w:rsidR="00796039" w:rsidRDefault="00796039" w:rsidP="00796039">
            <w:pPr>
              <w:pStyle w:val="TableTextBullet"/>
            </w:pPr>
            <w:r>
              <w:t>Displays the existing login message and allows the user to edit or delete it.</w:t>
            </w:r>
          </w:p>
          <w:p w14:paraId="62772D71" w14:textId="77777777" w:rsidR="00796039" w:rsidRDefault="00796039" w:rsidP="00796039">
            <w:pPr>
              <w:pStyle w:val="TableTextBullet"/>
            </w:pPr>
            <w:r>
              <w:t>Displays the updated login message.</w:t>
            </w:r>
          </w:p>
          <w:p w14:paraId="11172A82" w14:textId="77777777" w:rsidR="00796039" w:rsidRDefault="00796039" w:rsidP="00796039">
            <w:pPr>
              <w:pStyle w:val="TableText"/>
            </w:pPr>
          </w:p>
          <w:p w14:paraId="40C68AA1" w14:textId="7A119182" w:rsidR="00796039" w:rsidRDefault="00796039" w:rsidP="00796039">
            <w:pPr>
              <w:pStyle w:val="TableText"/>
              <w:rPr>
                <w:b/>
              </w:rPr>
            </w:pPr>
            <w:r>
              <w:rPr>
                <w:b/>
              </w:rPr>
              <w:t>NOTES</w:t>
            </w:r>
          </w:p>
          <w:p w14:paraId="1BC10E51" w14:textId="77777777" w:rsidR="00796039" w:rsidRDefault="00796039" w:rsidP="00796039">
            <w:pPr>
              <w:pStyle w:val="NotesText"/>
            </w:pPr>
          </w:p>
          <w:p w14:paraId="584F0C5F" w14:textId="77777777" w:rsidR="00796039" w:rsidRDefault="00796039" w:rsidP="00796039">
            <w:pPr>
              <w:pStyle w:val="NotesText"/>
            </w:pPr>
            <w:r>
              <w:t>VBECS does not display a blank login message.</w:t>
            </w:r>
          </w:p>
          <w:p w14:paraId="6B9A7545" w14:textId="77777777" w:rsidR="00796039" w:rsidRDefault="00796039" w:rsidP="00796039">
            <w:pPr>
              <w:pStyle w:val="NotesText"/>
            </w:pPr>
          </w:p>
          <w:p w14:paraId="1F91D353" w14:textId="77777777" w:rsidR="00796039" w:rsidRDefault="00796039" w:rsidP="00796039">
            <w:pPr>
              <w:pStyle w:val="NotesText"/>
            </w:pPr>
            <w:r>
              <w:t xml:space="preserve">The user may click </w:t>
            </w:r>
            <w:r>
              <w:rPr>
                <w:b/>
              </w:rPr>
              <w:t>Clear</w:t>
            </w:r>
            <w:r>
              <w:t xml:space="preserve"> to clear the message field and enter a new login message.</w:t>
            </w:r>
          </w:p>
        </w:tc>
      </w:tr>
      <w:tr w:rsidR="00796039" w14:paraId="055E6BE2" w14:textId="77777777">
        <w:tc>
          <w:tcPr>
            <w:tcW w:w="3240" w:type="dxa"/>
          </w:tcPr>
          <w:p w14:paraId="1258DF24" w14:textId="77777777" w:rsidR="00796039" w:rsidRDefault="00796039" w:rsidP="00796039">
            <w:pPr>
              <w:pStyle w:val="TableTextNumbers"/>
            </w:pPr>
            <w:r>
              <w:t xml:space="preserve">Click </w:t>
            </w:r>
            <w:r>
              <w:rPr>
                <w:b/>
              </w:rPr>
              <w:t>OK</w:t>
            </w:r>
            <w:r>
              <w:t xml:space="preserve"> to save.</w:t>
            </w:r>
          </w:p>
        </w:tc>
        <w:tc>
          <w:tcPr>
            <w:tcW w:w="6120" w:type="dxa"/>
          </w:tcPr>
          <w:p w14:paraId="76751974" w14:textId="77777777" w:rsidR="00796039" w:rsidRDefault="00796039" w:rsidP="00796039">
            <w:pPr>
              <w:pStyle w:val="TableTextBullet"/>
            </w:pPr>
            <w:r>
              <w:t>Saves the login message changes.</w:t>
            </w:r>
          </w:p>
        </w:tc>
      </w:tr>
      <w:tr w:rsidR="00796039" w14:paraId="1FBB3514" w14:textId="77777777">
        <w:tc>
          <w:tcPr>
            <w:tcW w:w="3240" w:type="dxa"/>
          </w:tcPr>
          <w:p w14:paraId="125D7095" w14:textId="77777777" w:rsidR="00796039" w:rsidRDefault="00796039" w:rsidP="00796039">
            <w:pPr>
              <w:pStyle w:val="TableTextNumbers"/>
            </w:pPr>
            <w:r>
              <w:t xml:space="preserve">Click </w:t>
            </w:r>
            <w:r>
              <w:rPr>
                <w:b/>
              </w:rPr>
              <w:t>Yes</w:t>
            </w:r>
            <w:r>
              <w:t xml:space="preserve"> to confirm the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09" w:author="Blalock, David (Leidos)" w:date="2020-06-15T14:09:00Z" w:original="0."/>
              </w:fldChar>
            </w:r>
          </w:p>
        </w:tc>
        <w:tc>
          <w:tcPr>
            <w:tcW w:w="6120" w:type="dxa"/>
          </w:tcPr>
          <w:p w14:paraId="25B4AF70" w14:textId="77777777" w:rsidR="00796039" w:rsidRDefault="00796039" w:rsidP="00796039">
            <w:pPr>
              <w:pStyle w:val="NotesText"/>
            </w:pPr>
          </w:p>
        </w:tc>
      </w:tr>
    </w:tbl>
    <w:p w14:paraId="6BF00E7D" w14:textId="19E8F357" w:rsidR="008A6E48" w:rsidRDefault="008A6E48" w:rsidP="008A6E48">
      <w:pPr>
        <w:pStyle w:val="Caption"/>
      </w:pPr>
      <w:bookmarkStart w:id="210" w:name="_Ref12647075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49</w:t>
      </w:r>
      <w:r w:rsidR="004E20BD">
        <w:rPr>
          <w:noProof/>
        </w:rPr>
        <w:fldChar w:fldCharType="end"/>
      </w:r>
      <w:bookmarkEnd w:id="210"/>
      <w:r>
        <w:t>: Login Message Tab</w:t>
      </w:r>
    </w:p>
    <w:p w14:paraId="7368C386" w14:textId="77777777" w:rsidR="0066425F" w:rsidRDefault="00057948" w:rsidP="0066425F">
      <w:pPr>
        <w:pStyle w:val="BodyText"/>
      </w:pPr>
      <w:r>
        <w:rPr>
          <w:noProof/>
        </w:rPr>
        <w:drawing>
          <wp:inline distT="0" distB="0" distL="0" distR="0" wp14:anchorId="2EEF5702" wp14:editId="16CE0AB0">
            <wp:extent cx="3204845" cy="3159125"/>
            <wp:effectExtent l="0" t="0" r="0" b="3175"/>
            <wp:docPr id="131" name="Picture 1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a:extLst>
                        <a:ext uri="{C183D7F6-B498-43B3-948B-1728B52AA6E4}">
                          <adec:decorative xmlns:adec="http://schemas.microsoft.com/office/drawing/2017/decorative" val="1"/>
                        </a:ext>
                      </a:extLst>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204845" cy="3159125"/>
                    </a:xfrm>
                    <a:prstGeom prst="rect">
                      <a:avLst/>
                    </a:prstGeom>
                    <a:noFill/>
                    <a:ln>
                      <a:noFill/>
                    </a:ln>
                  </pic:spPr>
                </pic:pic>
              </a:graphicData>
            </a:graphic>
          </wp:inline>
        </w:drawing>
      </w:r>
      <w:r w:rsidR="008A6E48">
        <w:t xml:space="preserve"> </w:t>
      </w:r>
    </w:p>
    <w:p w14:paraId="1521DE19" w14:textId="77777777" w:rsidR="002A21AE" w:rsidRDefault="00AE1227" w:rsidP="00B937AA">
      <w:pPr>
        <w:pStyle w:val="Heading2"/>
      </w:pPr>
      <w:bookmarkStart w:id="211" w:name="_Toc63680387"/>
      <w:bookmarkEnd w:id="204"/>
      <w:r>
        <w:br w:type="page"/>
      </w:r>
      <w:bookmarkStart w:id="212" w:name="_Toc47516700"/>
      <w:r w:rsidR="002A21AE">
        <w:lastRenderedPageBreak/>
        <w:t>Local Facilities</w:t>
      </w:r>
      <w:bookmarkEnd w:id="211"/>
      <w:bookmarkEnd w:id="212"/>
      <w:r w:rsidR="002A21AE">
        <w:fldChar w:fldCharType="begin"/>
      </w:r>
      <w:r w:rsidR="002A21AE">
        <w:instrText xml:space="preserve"> XE </w:instrText>
      </w:r>
      <w:r w:rsidR="00FA7E65">
        <w:instrText>“</w:instrText>
      </w:r>
      <w:r w:rsidR="002A21AE">
        <w:instrText>Local Facilities</w:instrText>
      </w:r>
      <w:r w:rsidR="00FA7E65">
        <w:instrText>”</w:instrText>
      </w:r>
      <w:r w:rsidR="002A21AE">
        <w:instrText xml:space="preserve"> </w:instrText>
      </w:r>
      <w:r w:rsidR="002A21AE">
        <w:fldChar w:fldCharType="end"/>
      </w:r>
      <w:r w:rsidR="002A21AE">
        <w:t xml:space="preserve"> </w:t>
      </w:r>
      <w:r w:rsidR="002A21AE">
        <w:rPr>
          <w:vanish/>
        </w:rPr>
        <w:t>UC_06</w:t>
      </w:r>
    </w:p>
    <w:p w14:paraId="4F5226A5" w14:textId="1C6C3D33" w:rsidR="002A21AE" w:rsidRDefault="002A21AE" w:rsidP="00FA7E65">
      <w:pPr>
        <w:pStyle w:val="BodyText"/>
      </w:pPr>
      <w:bookmarkStart w:id="213" w:name="_Toc63680388"/>
      <w:r>
        <w:t>The user customizes collection facility information.</w:t>
      </w:r>
      <w:r w:rsidR="00DD635C">
        <w:t xml:space="preserve"> (A </w:t>
      </w:r>
      <w:r w:rsidR="00F06ADF">
        <w:t>“</w:t>
      </w:r>
      <w:r w:rsidR="00DD635C">
        <w:t>collection facility</w:t>
      </w:r>
      <w:r w:rsidR="00F06ADF">
        <w:t>”</w:t>
      </w:r>
      <w:r w:rsidR="00DD635C">
        <w:t xml:space="preserve"> </w:t>
      </w:r>
      <w:r w:rsidR="00F06ADF">
        <w:t>is not</w:t>
      </w:r>
      <w:r w:rsidR="00DD635C">
        <w:t xml:space="preserve"> a facility for blood collection</w:t>
      </w:r>
      <w:r w:rsidR="00F06ADF">
        <w:t>:</w:t>
      </w:r>
      <w:r w:rsidR="00DD635C">
        <w:t xml:space="preserve"> it is </w:t>
      </w:r>
      <w:r w:rsidR="00F06ADF">
        <w:t>for</w:t>
      </w:r>
      <w:r w:rsidR="00DD635C">
        <w:t xml:space="preserve"> blood distribution </w:t>
      </w:r>
      <w:r w:rsidR="00F06ADF">
        <w:t>only</w:t>
      </w:r>
      <w:r w:rsidR="00DD635C">
        <w:t>.</w:t>
      </w:r>
      <w:r w:rsidR="00E3508E">
        <w:t xml:space="preserve"> See FAQ Local Facilities FDA and FIN Registration Numbers</w:t>
      </w:r>
      <w:r w:rsidR="00DD635C">
        <w:t>)</w:t>
      </w:r>
    </w:p>
    <w:p w14:paraId="1DA15F4F" w14:textId="77777777" w:rsidR="002A21AE" w:rsidRDefault="002A21AE">
      <w:pPr>
        <w:pStyle w:val="Heading4"/>
      </w:pPr>
      <w:r>
        <w:t>Assumptions</w:t>
      </w:r>
    </w:p>
    <w:p w14:paraId="52D22B98" w14:textId="77777777" w:rsidR="002A21AE" w:rsidRDefault="002A21AE">
      <w:pPr>
        <w:pStyle w:val="ListBullet"/>
      </w:pPr>
      <w:r>
        <w:t>A table of known FDA-registered facilities accompanies VBECS.</w:t>
      </w:r>
    </w:p>
    <w:p w14:paraId="63DF5483" w14:textId="77777777" w:rsidR="002A21AE" w:rsidRDefault="002A21AE">
      <w:pPr>
        <w:pStyle w:val="Heading4"/>
      </w:pPr>
      <w:r>
        <w:t>Outcome</w:t>
      </w:r>
    </w:p>
    <w:p w14:paraId="09BA0DD2" w14:textId="77777777" w:rsidR="002A21AE" w:rsidRDefault="002A21AE">
      <w:pPr>
        <w:pStyle w:val="ListBullet"/>
      </w:pPr>
      <w:r>
        <w:t>The supplier is configured for a division.</w:t>
      </w:r>
    </w:p>
    <w:p w14:paraId="41B0D7CD" w14:textId="77777777" w:rsidR="002A21AE" w:rsidRDefault="002A21AE">
      <w:pPr>
        <w:pStyle w:val="Heading4"/>
      </w:pPr>
      <w:r>
        <w:t>Limitations and Restrictions</w:t>
      </w:r>
    </w:p>
    <w:p w14:paraId="3853BB40" w14:textId="77777777" w:rsidR="002A21AE" w:rsidRDefault="002A21AE">
      <w:pPr>
        <w:pStyle w:val="ListBullet"/>
      </w:pPr>
      <w:bookmarkStart w:id="214" w:name="OLE_LINK55"/>
      <w:bookmarkStart w:id="215" w:name="OLE_LINK56"/>
      <w:r>
        <w:t>A user may:</w:t>
      </w:r>
    </w:p>
    <w:p w14:paraId="7F434FAD" w14:textId="77777777" w:rsidR="002A21AE" w:rsidRDefault="002A21AE" w:rsidP="001414E9">
      <w:pPr>
        <w:pStyle w:val="ListBullet2"/>
        <w:tabs>
          <w:tab w:val="clear" w:pos="648"/>
        </w:tabs>
        <w:ind w:left="1080" w:hanging="432"/>
      </w:pPr>
      <w:r>
        <w:t>Activate and edit collection facility records distributed with VBECS.</w:t>
      </w:r>
    </w:p>
    <w:p w14:paraId="5454A059" w14:textId="77777777" w:rsidR="002A21AE" w:rsidRDefault="002A21AE" w:rsidP="001414E9">
      <w:pPr>
        <w:pStyle w:val="ListBullet2"/>
        <w:tabs>
          <w:tab w:val="clear" w:pos="648"/>
        </w:tabs>
        <w:ind w:left="1080" w:hanging="432"/>
      </w:pPr>
      <w:r>
        <w:t>Add and locally edit active collection facilities.</w:t>
      </w:r>
    </w:p>
    <w:p w14:paraId="4D9863F4" w14:textId="77777777" w:rsidR="002A21AE" w:rsidRDefault="002A21AE" w:rsidP="001414E9">
      <w:pPr>
        <w:pStyle w:val="ListBullet2"/>
        <w:tabs>
          <w:tab w:val="clear" w:pos="648"/>
        </w:tabs>
        <w:ind w:left="1080" w:hanging="432"/>
      </w:pPr>
      <w:r>
        <w:t xml:space="preserve">Activate and/or deactivate local collection facilities. </w:t>
      </w:r>
    </w:p>
    <w:p w14:paraId="6A3F5783" w14:textId="77777777" w:rsidR="004B1F58" w:rsidRPr="00742F59" w:rsidRDefault="004B1F58" w:rsidP="001414E9">
      <w:pPr>
        <w:pStyle w:val="ListBullet2"/>
        <w:tabs>
          <w:tab w:val="clear" w:pos="648"/>
        </w:tabs>
        <w:ind w:left="1080" w:hanging="432"/>
      </w:pPr>
      <w:r>
        <w:t>Edit a division name, which may result in a mismatch between VistA and VBECS division names.</w:t>
      </w:r>
      <w:r w:rsidR="00072131" w:rsidRPr="00524280">
        <w:rPr>
          <w:vanish/>
        </w:rPr>
        <w:t xml:space="preserve"> (DR 2,113)</w:t>
      </w:r>
    </w:p>
    <w:p w14:paraId="1B0D2E8F" w14:textId="77777777" w:rsidR="00742F59" w:rsidRPr="005705B4" w:rsidRDefault="00742F59" w:rsidP="001414E9">
      <w:pPr>
        <w:pStyle w:val="ListBullet2"/>
        <w:tabs>
          <w:tab w:val="clear" w:pos="648"/>
        </w:tabs>
        <w:ind w:left="1080" w:hanging="432"/>
      </w:pPr>
      <w:r w:rsidRPr="005705B4">
        <w:t xml:space="preserve">The </w:t>
      </w:r>
      <w:r w:rsidR="004853C7" w:rsidRPr="005705B4">
        <w:t xml:space="preserve">Local Facility Address </w:t>
      </w:r>
      <w:r w:rsidRPr="005705B4">
        <w:t xml:space="preserve">maximum length </w:t>
      </w:r>
      <w:r w:rsidR="00467976" w:rsidRPr="005705B4">
        <w:t>is 45 characters</w:t>
      </w:r>
      <w:r w:rsidR="00AE19A0">
        <w:t xml:space="preserve"> including spaces </w:t>
      </w:r>
      <w:r w:rsidR="005705B4" w:rsidRPr="005705B4">
        <w:t xml:space="preserve">to allow the address to display </w:t>
      </w:r>
      <w:r w:rsidRPr="005705B4">
        <w:t>on VBECS repo</w:t>
      </w:r>
      <w:r w:rsidR="005705B4">
        <w:t>rts. The third line of the facility address is not displayed on VBECS reports</w:t>
      </w:r>
      <w:r w:rsidRPr="005705B4">
        <w:t xml:space="preserve">. </w:t>
      </w:r>
      <w:r w:rsidRPr="005705B4">
        <w:rPr>
          <w:vanish/>
        </w:rPr>
        <w:t>DR 4980</w:t>
      </w:r>
    </w:p>
    <w:bookmarkEnd w:id="214"/>
    <w:bookmarkEnd w:id="215"/>
    <w:p w14:paraId="63BFE1FD" w14:textId="77777777" w:rsidR="002A21AE" w:rsidRDefault="002A21AE">
      <w:pPr>
        <w:pStyle w:val="Heading4"/>
      </w:pPr>
      <w:r>
        <w:t>Additional Information</w:t>
      </w:r>
    </w:p>
    <w:p w14:paraId="534D9009" w14:textId="77777777" w:rsidR="00B62541" w:rsidRDefault="00B62541">
      <w:pPr>
        <w:pStyle w:val="ListBullet"/>
      </w:pPr>
      <w:r>
        <w:t xml:space="preserve">A facility must be </w:t>
      </w:r>
      <w:r w:rsidR="009D390D">
        <w:t>activated and have</w:t>
      </w:r>
      <w:r>
        <w:t xml:space="preserve"> at least one blood product defined to be a shipper.</w:t>
      </w:r>
    </w:p>
    <w:p w14:paraId="619B7D0A" w14:textId="77777777" w:rsidR="00F17965" w:rsidRPr="00F17965" w:rsidRDefault="00F17965">
      <w:pPr>
        <w:pStyle w:val="ListBullet"/>
      </w:pPr>
      <w:r>
        <w:t xml:space="preserve">A user may </w:t>
      </w:r>
      <w:r w:rsidR="00DD635C">
        <w:t xml:space="preserve">identify </w:t>
      </w:r>
      <w:r>
        <w:t>his</w:t>
      </w:r>
      <w:r w:rsidR="00706360">
        <w:t xml:space="preserve"> site as</w:t>
      </w:r>
      <w:r>
        <w:t xml:space="preserve"> a collection facility through this option.</w:t>
      </w:r>
    </w:p>
    <w:p w14:paraId="2518C552" w14:textId="77777777" w:rsidR="002A21AE" w:rsidRDefault="002A21AE">
      <w:pPr>
        <w:pStyle w:val="ListBullet"/>
      </w:pPr>
      <w:r>
        <w:rPr>
          <w:vanish/>
          <w:spacing w:val="0"/>
        </w:rPr>
        <w:t xml:space="preserve">BR_6.11 </w:t>
      </w:r>
      <w:r>
        <w:t xml:space="preserve">An ICCBBA </w:t>
      </w:r>
      <w:r w:rsidR="00B85812">
        <w:t>Registration Number</w:t>
      </w:r>
      <w:r>
        <w:t xml:space="preserve"> has one letter, indicating the country of origin (“W” for the U.S.) and four numbers. The field is five characters long.</w:t>
      </w:r>
    </w:p>
    <w:p w14:paraId="4256A8B7" w14:textId="77777777" w:rsidR="00E507A1" w:rsidRPr="00E507A1" w:rsidRDefault="00E507A1">
      <w:pPr>
        <w:pStyle w:val="ListBullet"/>
      </w:pPr>
      <w:bookmarkStart w:id="216" w:name="OLE_LINK3"/>
      <w:bookmarkStart w:id="217" w:name="OLE_LINK4"/>
      <w:r>
        <w:rPr>
          <w:spacing w:val="0"/>
        </w:rPr>
        <w:t>The user may change facility addresses that appear on reports.</w:t>
      </w:r>
    </w:p>
    <w:bookmarkEnd w:id="216"/>
    <w:bookmarkEnd w:id="217"/>
    <w:p w14:paraId="11934ABA" w14:textId="77777777" w:rsidR="002A21AE" w:rsidRDefault="002A21AE">
      <w:pPr>
        <w:pStyle w:val="Heading4"/>
      </w:pPr>
      <w:r>
        <w:t xml:space="preserve">User Roles with Access to This Option </w:t>
      </w:r>
    </w:p>
    <w:p w14:paraId="5AA677AB" w14:textId="77777777" w:rsidR="00215931" w:rsidRDefault="00215931" w:rsidP="00215931">
      <w:pPr>
        <w:pStyle w:val="Roles"/>
      </w:pPr>
      <w:r>
        <w:rPr>
          <w:snapToGrid w:val="0"/>
        </w:rPr>
        <w:t xml:space="preserve">All users </w:t>
      </w:r>
    </w:p>
    <w:p w14:paraId="3F49BA81" w14:textId="77777777" w:rsidR="002A21AE" w:rsidRDefault="002A21AE">
      <w:pPr>
        <w:pStyle w:val="Heading4"/>
      </w:pPr>
      <w:r>
        <w:t>Local Facilities</w:t>
      </w:r>
    </w:p>
    <w:p w14:paraId="0A84C979" w14:textId="77777777" w:rsidR="002A21AE" w:rsidRDefault="002A21AE" w:rsidP="00FA7E65">
      <w:pPr>
        <w:pStyle w:val="BodyText"/>
      </w:pPr>
      <w:r>
        <w:t xml:space="preserve">This option allows a user to activate an entry from the national collection facility table, thereby adding it to a division’s local collection facility table, and add or update the facility’s information (except for the FDA </w:t>
      </w:r>
      <w:r w:rsidR="00B85812">
        <w:t>Registration Number</w:t>
      </w:r>
      <w:r>
        <w:t xml:space="preserve">). A user may select an active collection facility to associate blood products (which makes the facility a shipper). </w:t>
      </w:r>
    </w:p>
    <w:p w14:paraId="2331DBEF" w14:textId="77777777" w:rsidR="002A21AE" w:rsidRDefault="002A21AE" w:rsidP="00FA7E65">
      <w:pPr>
        <w:pStyle w:val="BodyText"/>
      </w:pPr>
      <w:r>
        <w:t>This option also allows a user to create a collection facility.</w:t>
      </w:r>
    </w:p>
    <w:p w14:paraId="4ACF2369" w14:textId="77777777" w:rsidR="00D210F0" w:rsidRDefault="00D210F0" w:rsidP="00D210F0">
      <w:pPr>
        <w:pStyle w:val="Caution"/>
      </w:pPr>
      <w:r>
        <w:t>Verify that site information entered during installation is correct prior to adding local facilities.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CDB1FB3" w14:textId="77777777">
        <w:trPr>
          <w:tblHeader/>
        </w:trPr>
        <w:tc>
          <w:tcPr>
            <w:tcW w:w="3240" w:type="dxa"/>
            <w:shd w:val="pct30" w:color="auto" w:fill="FFFFFF"/>
            <w:vAlign w:val="bottom"/>
          </w:tcPr>
          <w:p w14:paraId="078E46D8" w14:textId="77777777" w:rsidR="002A21AE" w:rsidRDefault="002A21AE">
            <w:pPr>
              <w:pStyle w:val="TableText"/>
              <w:rPr>
                <w:b/>
              </w:rPr>
            </w:pPr>
            <w:r>
              <w:rPr>
                <w:b/>
              </w:rPr>
              <w:t>User Action</w:t>
            </w:r>
          </w:p>
        </w:tc>
        <w:tc>
          <w:tcPr>
            <w:tcW w:w="6120" w:type="dxa"/>
            <w:shd w:val="pct30" w:color="auto" w:fill="FFFFFF"/>
            <w:vAlign w:val="bottom"/>
          </w:tcPr>
          <w:p w14:paraId="78407BD2" w14:textId="77777777" w:rsidR="002A21AE" w:rsidRDefault="002A21AE">
            <w:pPr>
              <w:pStyle w:val="TableText"/>
              <w:rPr>
                <w:b/>
              </w:rPr>
            </w:pPr>
            <w:r>
              <w:rPr>
                <w:b/>
              </w:rPr>
              <w:t>VBECS</w:t>
            </w:r>
          </w:p>
        </w:tc>
      </w:tr>
      <w:tr w:rsidR="002A21AE" w14:paraId="02D3ACC5" w14:textId="77777777">
        <w:tc>
          <w:tcPr>
            <w:tcW w:w="3240" w:type="dxa"/>
            <w:tcBorders>
              <w:top w:val="single" w:sz="4" w:space="0" w:color="auto"/>
              <w:left w:val="single" w:sz="4" w:space="0" w:color="auto"/>
              <w:bottom w:val="single" w:sz="4" w:space="0" w:color="auto"/>
              <w:right w:val="single" w:sz="4" w:space="0" w:color="auto"/>
            </w:tcBorders>
          </w:tcPr>
          <w:p w14:paraId="5D5BEBF8" w14:textId="77777777" w:rsidR="002A21AE" w:rsidRDefault="002A21AE">
            <w:pPr>
              <w:pStyle w:val="TableTextNumbers"/>
            </w:pPr>
            <w:r>
              <w:t xml:space="preserve">Select </w:t>
            </w:r>
            <w:r>
              <w:rPr>
                <w:b/>
              </w:rPr>
              <w:t>Tools</w:t>
            </w:r>
            <w:r>
              <w:t xml:space="preserve"> from the main menu.</w:t>
            </w:r>
          </w:p>
          <w:p w14:paraId="2A78700C" w14:textId="77777777" w:rsidR="002A21AE" w:rsidRDefault="002A21AE">
            <w:pPr>
              <w:pStyle w:val="TableTextNumbersContinued"/>
              <w:rPr>
                <w:b/>
                <w:bCs/>
              </w:rPr>
            </w:pPr>
          </w:p>
          <w:p w14:paraId="696F45DD" w14:textId="77777777" w:rsidR="002A21AE" w:rsidRDefault="002A21AE">
            <w:pPr>
              <w:pStyle w:val="TableTextNumbersContinued"/>
            </w:pPr>
            <w:r>
              <w:t xml:space="preserve">Select </w:t>
            </w:r>
            <w:r>
              <w:rPr>
                <w:b/>
              </w:rPr>
              <w:t>Local Facilities</w:t>
            </w:r>
            <w:r>
              <w:t>.</w:t>
            </w:r>
          </w:p>
        </w:tc>
        <w:tc>
          <w:tcPr>
            <w:tcW w:w="6120" w:type="dxa"/>
            <w:tcBorders>
              <w:top w:val="single" w:sz="4" w:space="0" w:color="auto"/>
              <w:left w:val="single" w:sz="4" w:space="0" w:color="auto"/>
              <w:bottom w:val="single" w:sz="4" w:space="0" w:color="auto"/>
              <w:right w:val="single" w:sz="4" w:space="0" w:color="auto"/>
            </w:tcBorders>
          </w:tcPr>
          <w:p w14:paraId="6CD81064" w14:textId="77777777" w:rsidR="002A21AE" w:rsidRDefault="002A21AE">
            <w:pPr>
              <w:pStyle w:val="TableTextBullet"/>
            </w:pPr>
            <w:r>
              <w:t>Displays options for processing administrative functions.</w:t>
            </w:r>
          </w:p>
          <w:p w14:paraId="37F9B5C1" w14:textId="77777777" w:rsidR="002A21AE" w:rsidRDefault="002A21AE">
            <w:pPr>
              <w:pStyle w:val="TableTextBullet"/>
            </w:pPr>
            <w:r>
              <w:t>Displays fields for entering facility information.</w:t>
            </w:r>
          </w:p>
          <w:p w14:paraId="01BE7679" w14:textId="77777777" w:rsidR="002A21AE" w:rsidRDefault="002A21AE">
            <w:pPr>
              <w:pStyle w:val="TableTextBullet"/>
            </w:pPr>
            <w:r>
              <w:t>Allows a user to access an existing facility record.</w:t>
            </w:r>
          </w:p>
        </w:tc>
      </w:tr>
      <w:tr w:rsidR="002A21AE" w14:paraId="3EE5DD08" w14:textId="77777777">
        <w:tc>
          <w:tcPr>
            <w:tcW w:w="3240" w:type="dxa"/>
          </w:tcPr>
          <w:p w14:paraId="0D97A683" w14:textId="251007C7" w:rsidR="002A21AE" w:rsidRDefault="002A21AE">
            <w:pPr>
              <w:pStyle w:val="TableTextNumbers"/>
            </w:pPr>
            <w:r>
              <w:lastRenderedPageBreak/>
              <w:t xml:space="preserve">To find a collection facility, scan or enter an FDA </w:t>
            </w:r>
            <w:r w:rsidR="00B85812">
              <w:t>Registration Number</w:t>
            </w:r>
            <w:r>
              <w:t xml:space="preserve"> in the FDA Reg. No. field and go to Step 4 (or click the </w:t>
            </w:r>
            <w:r w:rsidR="00A6373D">
              <w:rPr>
                <w:b/>
              </w:rPr>
              <w:t>find</w:t>
            </w:r>
            <w:r w:rsidRPr="00BF2E41">
              <w:t xml:space="preserve"> button</w:t>
            </w:r>
            <w:r>
              <w:t xml:space="preserve"> to open the Facility Search window).</w:t>
            </w:r>
            <w:r w:rsidR="004277F6">
              <w:t xml:space="preserve"> FDA Reg. No. must be 7 or 10 characters long. </w:t>
            </w:r>
          </w:p>
        </w:tc>
        <w:tc>
          <w:tcPr>
            <w:tcW w:w="6120" w:type="dxa"/>
          </w:tcPr>
          <w:p w14:paraId="0DDBA8C2" w14:textId="77777777" w:rsidR="002A21AE" w:rsidRDefault="002A21AE">
            <w:pPr>
              <w:pStyle w:val="TableTextBullet"/>
            </w:pPr>
            <w:r>
              <w:t>Displays the collection facilities that match the search criteria.</w:t>
            </w:r>
          </w:p>
        </w:tc>
      </w:tr>
      <w:tr w:rsidR="002A21AE" w14:paraId="1F7E922B" w14:textId="77777777">
        <w:tc>
          <w:tcPr>
            <w:tcW w:w="3240" w:type="dxa"/>
          </w:tcPr>
          <w:p w14:paraId="135D594A" w14:textId="77777777" w:rsidR="002A21AE" w:rsidRDefault="002A21AE">
            <w:pPr>
              <w:pStyle w:val="TableTextNumbers"/>
            </w:pPr>
            <w:r>
              <w:t xml:space="preserve">In the Facility Search window, enter a full or partial facility name in the Partial Facility Name field (or enter a full or partial FDA </w:t>
            </w:r>
            <w:r w:rsidR="00B85812">
              <w:t>Registration Number</w:t>
            </w:r>
            <w:r>
              <w:t xml:space="preserve"> in the FDA Reg. No. field), and click </w:t>
            </w:r>
            <w:r w:rsidR="00173187" w:rsidRPr="00173187">
              <w:rPr>
                <w:b/>
              </w:rPr>
              <w:t>Search</w:t>
            </w:r>
            <w:r>
              <w:t xml:space="preserve"> to view a list of active facilities.</w:t>
            </w:r>
          </w:p>
          <w:p w14:paraId="7F3723ED" w14:textId="77777777" w:rsidR="002A21AE" w:rsidRDefault="002A21AE">
            <w:pPr>
              <w:pStyle w:val="TableTextNumbersContinued"/>
              <w:rPr>
                <w:b/>
                <w:bCs/>
              </w:rPr>
            </w:pPr>
          </w:p>
          <w:p w14:paraId="016A3636" w14:textId="77777777" w:rsidR="002A21AE" w:rsidRDefault="002A21AE">
            <w:pPr>
              <w:pStyle w:val="TableTextNumbersContinued"/>
            </w:pPr>
            <w:r>
              <w:t xml:space="preserve">Select a facility name from the list and click </w:t>
            </w:r>
            <w:r>
              <w:rPr>
                <w:b/>
              </w:rPr>
              <w:t>OK</w:t>
            </w:r>
            <w:r>
              <w:t>.</w:t>
            </w:r>
          </w:p>
        </w:tc>
        <w:tc>
          <w:tcPr>
            <w:tcW w:w="6120" w:type="dxa"/>
          </w:tcPr>
          <w:p w14:paraId="62AE5383" w14:textId="77777777" w:rsidR="002A21AE" w:rsidRDefault="002A21AE">
            <w:pPr>
              <w:pStyle w:val="TableTextBullet"/>
            </w:pPr>
            <w:r>
              <w:t xml:space="preserve">Displays properties of the selected collection facility. </w:t>
            </w:r>
          </w:p>
          <w:p w14:paraId="54C6B4A3" w14:textId="77777777" w:rsidR="002A21AE" w:rsidRDefault="002A21AE">
            <w:pPr>
              <w:pStyle w:val="TableText"/>
            </w:pPr>
          </w:p>
          <w:p w14:paraId="660CB3AB" w14:textId="0F082177" w:rsidR="002A21AE" w:rsidRDefault="002A21AE">
            <w:pPr>
              <w:pStyle w:val="TableText"/>
              <w:rPr>
                <w:b/>
                <w:bCs/>
                <w:szCs w:val="18"/>
              </w:rPr>
            </w:pPr>
            <w:r>
              <w:rPr>
                <w:b/>
                <w:bCs/>
                <w:szCs w:val="18"/>
              </w:rPr>
              <w:t>NOTES</w:t>
            </w:r>
          </w:p>
          <w:p w14:paraId="10559AE3" w14:textId="77777777" w:rsidR="002A21AE" w:rsidRDefault="002A21AE">
            <w:pPr>
              <w:pStyle w:val="NotesText"/>
            </w:pPr>
          </w:p>
          <w:p w14:paraId="3F23C24B" w14:textId="77777777" w:rsidR="002A21AE" w:rsidRDefault="002A21AE">
            <w:pPr>
              <w:pStyle w:val="NotesText"/>
            </w:pPr>
            <w:r>
              <w:t>The collection facility is tied to the user’s current login division.</w:t>
            </w:r>
          </w:p>
          <w:p w14:paraId="59E18A31" w14:textId="77777777" w:rsidR="002A21AE" w:rsidRDefault="002A21AE">
            <w:pPr>
              <w:pStyle w:val="NotesText"/>
            </w:pPr>
          </w:p>
          <w:p w14:paraId="3C7F5690" w14:textId="77777777" w:rsidR="002A21AE" w:rsidRDefault="002A21AE">
            <w:pPr>
              <w:pStyle w:val="NotesText"/>
            </w:pPr>
            <w:r w:rsidRPr="009660C3">
              <w:rPr>
                <w:vanish/>
                <w:szCs w:val="18"/>
              </w:rPr>
              <w:t xml:space="preserve">BR_6.05 </w:t>
            </w:r>
            <w:r>
              <w:t>A user may activate a facility. By default, VBECS marks active facilities as collection facilities.</w:t>
            </w:r>
          </w:p>
          <w:p w14:paraId="7C28A734" w14:textId="77777777" w:rsidR="002A21AE" w:rsidRDefault="002A21AE">
            <w:pPr>
              <w:pStyle w:val="NotesText"/>
            </w:pPr>
          </w:p>
          <w:p w14:paraId="3EA36E60" w14:textId="77777777" w:rsidR="002A21AE" w:rsidRDefault="00700CE1">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The Enhanced Supervisor may</w:t>
            </w:r>
            <w:r w:rsidR="002A21AE">
              <w:t xml:space="preserve"> enter search criteria that do not exist in the national or the local collection facility tables to add a collection facility to the division’s local list. By default, VBECS marks such entries as a collection facility.</w:t>
            </w:r>
          </w:p>
          <w:p w14:paraId="1ECE35B7" w14:textId="77777777" w:rsidR="002A21AE" w:rsidRDefault="002A21AE">
            <w:pPr>
              <w:pStyle w:val="NotesText"/>
            </w:pPr>
          </w:p>
          <w:p w14:paraId="67EF62FA" w14:textId="77777777" w:rsidR="002A21AE" w:rsidRDefault="002A21AE">
            <w:pPr>
              <w:pStyle w:val="NotesText"/>
            </w:pPr>
            <w:r w:rsidRPr="009660C3">
              <w:rPr>
                <w:vanish/>
                <w:szCs w:val="18"/>
              </w:rPr>
              <w:t xml:space="preserve">BR_6.06 </w:t>
            </w:r>
            <w:r>
              <w:t>When a user clears the Active Facility check box for a collection facility in a division, warns the user, and asks whether he wishes to inactivate this facility and continue.</w:t>
            </w:r>
          </w:p>
          <w:p w14:paraId="65B5052F" w14:textId="77777777" w:rsidR="002A21AE" w:rsidRDefault="002A21AE">
            <w:pPr>
              <w:pStyle w:val="NotesText"/>
            </w:pPr>
          </w:p>
          <w:p w14:paraId="6C94B948" w14:textId="77777777" w:rsidR="002A21AE" w:rsidRDefault="002A21AE">
            <w:pPr>
              <w:pStyle w:val="NotesText"/>
            </w:pPr>
            <w:r>
              <w:rPr>
                <w:b/>
              </w:rPr>
              <w:t>Yes</w:t>
            </w:r>
            <w:r>
              <w:t xml:space="preserve"> allows the action to continue. </w:t>
            </w:r>
            <w:r>
              <w:rPr>
                <w:b/>
              </w:rPr>
              <w:t>No</w:t>
            </w:r>
            <w:r>
              <w:t xml:space="preserve"> leaves the collection facility marked as active for the division.</w:t>
            </w:r>
          </w:p>
          <w:p w14:paraId="2094FDDD" w14:textId="77777777" w:rsidR="002A21AE" w:rsidRDefault="002A21AE">
            <w:pPr>
              <w:pStyle w:val="NotesText"/>
            </w:pPr>
          </w:p>
          <w:p w14:paraId="0EDBC0C2" w14:textId="1DC6BC61" w:rsidR="00143160" w:rsidRDefault="00143160">
            <w:pPr>
              <w:pStyle w:val="NotesText"/>
            </w:pPr>
            <w:r w:rsidRPr="00143160">
              <w:rPr>
                <w:vanish/>
              </w:rPr>
              <w:t xml:space="preserve">BR_8.11 </w:t>
            </w:r>
            <w:r>
              <w:t>In order to inactivate a facility that has been previously configured as a product shipper, you must first inactivate all product shipper entries for that facility. To deactivate prod</w:t>
            </w:r>
            <w:r w:rsidR="005375AC">
              <w:t xml:space="preserve">uct shippers, refer to the </w:t>
            </w:r>
            <w:r w:rsidR="00761165">
              <w:fldChar w:fldCharType="begin"/>
            </w:r>
            <w:r w:rsidR="00761165">
              <w:instrText xml:space="preserve"> REF _Ref1732323 \h </w:instrText>
            </w:r>
            <w:r w:rsidR="00761165">
              <w:fldChar w:fldCharType="separate"/>
            </w:r>
            <w:r w:rsidR="004353ED">
              <w:t>Blood Products</w:t>
            </w:r>
            <w:r w:rsidR="00761165">
              <w:fldChar w:fldCharType="end"/>
            </w:r>
            <w:r w:rsidR="005375AC">
              <w:t xml:space="preserve"> section</w:t>
            </w:r>
            <w:r>
              <w:t>. Contact the Service Desk if you would like a list of products linked to the facility you want to inactivate.</w:t>
            </w:r>
          </w:p>
        </w:tc>
      </w:tr>
      <w:tr w:rsidR="002A21AE" w14:paraId="3986EDCF" w14:textId="77777777">
        <w:tc>
          <w:tcPr>
            <w:tcW w:w="3240" w:type="dxa"/>
          </w:tcPr>
          <w:p w14:paraId="55BA3E3B" w14:textId="5AB2F0ED" w:rsidR="002A21AE" w:rsidRDefault="002A21AE">
            <w:pPr>
              <w:pStyle w:val="TableTextNumbers"/>
            </w:pPr>
            <w:r>
              <w:t xml:space="preserve">Edit or enter information in the collection facility information fields (for example, address, telephone number, whether the facility is a testing and/or collection facility) </w:t>
            </w:r>
            <w:r w:rsidR="00363757">
              <w:t>(</w:t>
            </w:r>
            <w:r w:rsidR="00363757">
              <w:fldChar w:fldCharType="begin"/>
            </w:r>
            <w:r w:rsidR="00363757">
              <w:instrText xml:space="preserve"> REF _Ref126471029 \h </w:instrText>
            </w:r>
            <w:r w:rsidR="00363757">
              <w:fldChar w:fldCharType="separate"/>
            </w:r>
            <w:r w:rsidR="004353ED">
              <w:t xml:space="preserve">Figure </w:t>
            </w:r>
            <w:r w:rsidR="004353ED">
              <w:rPr>
                <w:noProof/>
              </w:rPr>
              <w:t>50</w:t>
            </w:r>
            <w:r w:rsidR="00363757">
              <w:fldChar w:fldCharType="end"/>
            </w:r>
            <w:r w:rsidR="00363757">
              <w:t xml:space="preserve">) </w:t>
            </w:r>
            <w:r>
              <w:t xml:space="preserve">and click </w:t>
            </w:r>
            <w:r>
              <w:rPr>
                <w:b/>
              </w:rPr>
              <w:t>OK</w:t>
            </w:r>
            <w:r>
              <w:t xml:space="preserve"> to save the updated information.</w:t>
            </w:r>
          </w:p>
        </w:tc>
        <w:tc>
          <w:tcPr>
            <w:tcW w:w="6120" w:type="dxa"/>
          </w:tcPr>
          <w:p w14:paraId="64F249A1" w14:textId="77777777" w:rsidR="002A21AE" w:rsidRDefault="002A21AE">
            <w:pPr>
              <w:pStyle w:val="TableTextBullet"/>
            </w:pPr>
            <w:r>
              <w:t xml:space="preserve">Displays entries for review and acceptance. </w:t>
            </w:r>
          </w:p>
          <w:p w14:paraId="3DFF8A6B" w14:textId="77777777" w:rsidR="002A21AE" w:rsidRDefault="002A21AE">
            <w:pPr>
              <w:pStyle w:val="TableTextBullet"/>
            </w:pPr>
            <w:r>
              <w:t>Prompts to save.</w:t>
            </w:r>
          </w:p>
          <w:p w14:paraId="0F6DF80D" w14:textId="77777777" w:rsidR="002A21AE" w:rsidRDefault="002A21AE">
            <w:pPr>
              <w:pStyle w:val="TableText"/>
            </w:pPr>
          </w:p>
          <w:p w14:paraId="08D1C1A6" w14:textId="45F881CF" w:rsidR="002A21AE" w:rsidRDefault="002A21AE">
            <w:pPr>
              <w:pStyle w:val="TableText"/>
              <w:rPr>
                <w:b/>
                <w:bCs/>
                <w:szCs w:val="18"/>
              </w:rPr>
            </w:pPr>
            <w:r>
              <w:rPr>
                <w:b/>
                <w:bCs/>
                <w:szCs w:val="18"/>
              </w:rPr>
              <w:t>NOTES</w:t>
            </w:r>
          </w:p>
          <w:p w14:paraId="71FEB63F" w14:textId="77777777" w:rsidR="002A21AE" w:rsidRDefault="002A21AE">
            <w:pPr>
              <w:pStyle w:val="NotesText"/>
            </w:pPr>
          </w:p>
          <w:p w14:paraId="714D8BAF" w14:textId="77777777" w:rsidR="002A21AE" w:rsidRDefault="002A21AE" w:rsidP="004E5EEE">
            <w:pPr>
              <w:pStyle w:val="NotesText"/>
            </w:pPr>
            <w:r>
              <w:rPr>
                <w:b/>
              </w:rPr>
              <w:t>OK</w:t>
            </w:r>
            <w:r>
              <w:t xml:space="preserve"> remains disabled until the user edits or enters information or simply clicks in a field or check box.</w:t>
            </w:r>
          </w:p>
          <w:p w14:paraId="33F18C98" w14:textId="77777777" w:rsidR="00962AB7" w:rsidRDefault="00962AB7" w:rsidP="004E5EEE">
            <w:pPr>
              <w:pStyle w:val="NotesText"/>
            </w:pPr>
          </w:p>
          <w:p w14:paraId="0FE0AE2F" w14:textId="0A8E3DF9" w:rsidR="00962AB7" w:rsidRDefault="005E0BEC" w:rsidP="004E5EEE">
            <w:pPr>
              <w:pStyle w:val="NotesText"/>
            </w:pPr>
            <w:r w:rsidRPr="005E0BEC">
              <w:rPr>
                <w:vanish/>
              </w:rPr>
              <w:t xml:space="preserve">BR_6.07 </w:t>
            </w:r>
            <w:r w:rsidR="00962AB7">
              <w:t>The eye-readable prefix (when used) is always a 2-character numeric field.</w:t>
            </w:r>
          </w:p>
        </w:tc>
      </w:tr>
      <w:tr w:rsidR="002A21AE" w14:paraId="1BC092BD" w14:textId="77777777">
        <w:tc>
          <w:tcPr>
            <w:tcW w:w="3240" w:type="dxa"/>
          </w:tcPr>
          <w:p w14:paraId="085DE28A" w14:textId="77777777" w:rsidR="002A21AE" w:rsidRDefault="002A21AE">
            <w:pPr>
              <w:pStyle w:val="TableTextNumbers"/>
            </w:pPr>
            <w:r>
              <w:t xml:space="preserve">Click </w:t>
            </w:r>
            <w:r>
              <w:rPr>
                <w:b/>
              </w:rPr>
              <w:t>Yes</w:t>
            </w:r>
            <w:r>
              <w:t xml:space="preserve"> to confirm the save.</w:t>
            </w:r>
          </w:p>
        </w:tc>
        <w:tc>
          <w:tcPr>
            <w:tcW w:w="6120" w:type="dxa"/>
          </w:tcPr>
          <w:p w14:paraId="14C86E6D" w14:textId="77777777" w:rsidR="002A21AE" w:rsidRDefault="002A21AE">
            <w:pPr>
              <w:pStyle w:val="TableTextBullet"/>
            </w:pPr>
            <w:r>
              <w:t>Saves the active collection facility record and prompts to add or edit another facility.</w:t>
            </w:r>
          </w:p>
          <w:p w14:paraId="6840F81A" w14:textId="77777777" w:rsidR="002A21AE" w:rsidRDefault="002A21AE">
            <w:pPr>
              <w:pStyle w:val="TableText"/>
            </w:pPr>
          </w:p>
          <w:p w14:paraId="1F7AF99B" w14:textId="6998C926" w:rsidR="002A21AE" w:rsidRDefault="002A21AE">
            <w:pPr>
              <w:pStyle w:val="TableText"/>
              <w:rPr>
                <w:b/>
                <w:bCs/>
                <w:szCs w:val="18"/>
              </w:rPr>
            </w:pPr>
            <w:r>
              <w:rPr>
                <w:b/>
                <w:bCs/>
                <w:szCs w:val="18"/>
              </w:rPr>
              <w:t>NOTES</w:t>
            </w:r>
          </w:p>
          <w:p w14:paraId="4BC661F6" w14:textId="77777777" w:rsidR="002A21AE" w:rsidRDefault="002A21AE">
            <w:pPr>
              <w:pStyle w:val="NotesText"/>
            </w:pPr>
          </w:p>
          <w:p w14:paraId="14A8EC1E" w14:textId="77777777" w:rsidR="00B62541" w:rsidRDefault="002A21AE">
            <w:pPr>
              <w:pStyle w:val="NotesText"/>
            </w:pPr>
            <w:r w:rsidRPr="009660C3">
              <w:rPr>
                <w:vanish/>
                <w:szCs w:val="18"/>
              </w:rPr>
              <w:t xml:space="preserve">BR_6.09 </w:t>
            </w:r>
            <w:r>
              <w:t>VBECS saves an active collection facility only when it is iden</w:t>
            </w:r>
            <w:r w:rsidR="00836F52">
              <w:t>tified as a collection facility</w:t>
            </w:r>
            <w:r>
              <w:t>.</w:t>
            </w:r>
          </w:p>
          <w:p w14:paraId="2F76F4E5" w14:textId="77777777" w:rsidR="00B62541" w:rsidRDefault="00B62541">
            <w:pPr>
              <w:pStyle w:val="NotesText"/>
            </w:pPr>
          </w:p>
          <w:p w14:paraId="019DBF4D" w14:textId="77777777" w:rsidR="002A21AE" w:rsidRDefault="00B62541" w:rsidP="00E90A01">
            <w:pPr>
              <w:pStyle w:val="NotesText"/>
            </w:pPr>
            <w:r>
              <w:t xml:space="preserve">A facility must be activated and </w:t>
            </w:r>
            <w:r w:rsidR="009D390D">
              <w:t xml:space="preserve">have </w:t>
            </w:r>
            <w:r>
              <w:t xml:space="preserve">at least one blood product defined to be a shipper. Refer to Blood Products section for </w:t>
            </w:r>
            <w:r w:rsidR="00E90A01">
              <w:t>additional</w:t>
            </w:r>
            <w:r>
              <w:t xml:space="preserve"> information.</w:t>
            </w:r>
          </w:p>
        </w:tc>
      </w:tr>
      <w:tr w:rsidR="002A21AE" w14:paraId="273F1CDA" w14:textId="77777777">
        <w:tc>
          <w:tcPr>
            <w:tcW w:w="3240" w:type="dxa"/>
          </w:tcPr>
          <w:p w14:paraId="45CA251E" w14:textId="77777777" w:rsidR="002A21AE" w:rsidRDefault="002A21AE">
            <w:pPr>
              <w:pStyle w:val="TableTextNumbers"/>
            </w:pPr>
            <w:r>
              <w:lastRenderedPageBreak/>
              <w:t>Repeat these steps to process another facility.</w:t>
            </w:r>
          </w:p>
        </w:tc>
        <w:tc>
          <w:tcPr>
            <w:tcW w:w="6120" w:type="dxa"/>
          </w:tcPr>
          <w:p w14:paraId="76FEC7AD" w14:textId="77777777" w:rsidR="002A21AE" w:rsidRDefault="002A21AE">
            <w:pPr>
              <w:pStyle w:val="TableText"/>
            </w:pPr>
          </w:p>
        </w:tc>
      </w:tr>
      <w:tr w:rsidR="002A21AE" w14:paraId="748CE95D" w14:textId="77777777">
        <w:tc>
          <w:tcPr>
            <w:tcW w:w="3240" w:type="dxa"/>
          </w:tcPr>
          <w:p w14:paraId="3B42AB57" w14:textId="77777777" w:rsidR="002A21AE" w:rsidRDefault="002A21AE">
            <w:pPr>
              <w:pStyle w:val="TableTextNumbers"/>
            </w:pPr>
            <w:r>
              <w:t xml:space="preserve">Click </w:t>
            </w:r>
            <w:r>
              <w:rPr>
                <w:b/>
              </w:rPr>
              <w:t>Cancel</w:t>
            </w:r>
            <w:r>
              <w:t xml:space="preserve"> in the Maintain Facility screen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18" w:author="Blalock, David (Leidos)" w:date="2020-06-15T14:09:00Z" w:original="0."/>
              </w:fldChar>
            </w:r>
          </w:p>
        </w:tc>
        <w:tc>
          <w:tcPr>
            <w:tcW w:w="6120" w:type="dxa"/>
          </w:tcPr>
          <w:p w14:paraId="07B401C6" w14:textId="77777777" w:rsidR="002A21AE" w:rsidRDefault="002A21AE">
            <w:pPr>
              <w:pStyle w:val="TableText"/>
            </w:pPr>
          </w:p>
          <w:p w14:paraId="1FB4C241" w14:textId="77777777" w:rsidR="002A21AE" w:rsidRDefault="002A21AE">
            <w:pPr>
              <w:pStyle w:val="TableText"/>
            </w:pPr>
          </w:p>
        </w:tc>
      </w:tr>
    </w:tbl>
    <w:p w14:paraId="5CE18600" w14:textId="77777777" w:rsidR="002A21AE" w:rsidRDefault="002A21AE" w:rsidP="00FA7E65">
      <w:pPr>
        <w:pStyle w:val="BodyText"/>
      </w:pPr>
    </w:p>
    <w:p w14:paraId="52DE9985" w14:textId="012105E0" w:rsidR="00363757" w:rsidRDefault="00363757" w:rsidP="00363757">
      <w:pPr>
        <w:pStyle w:val="Caption"/>
      </w:pPr>
      <w:bookmarkStart w:id="219" w:name="_Ref12647102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50</w:t>
      </w:r>
      <w:r w:rsidR="004E20BD">
        <w:rPr>
          <w:noProof/>
        </w:rPr>
        <w:fldChar w:fldCharType="end"/>
      </w:r>
      <w:bookmarkEnd w:id="219"/>
      <w:r>
        <w:t>: Maintain Facility</w:t>
      </w:r>
    </w:p>
    <w:p w14:paraId="40B47642" w14:textId="77777777" w:rsidR="0066425F" w:rsidRDefault="00057948" w:rsidP="0066425F">
      <w:pPr>
        <w:pStyle w:val="BodyText"/>
      </w:pPr>
      <w:r>
        <w:rPr>
          <w:noProof/>
        </w:rPr>
        <w:drawing>
          <wp:inline distT="0" distB="0" distL="0" distR="0" wp14:anchorId="7BAC7860" wp14:editId="797CCA8A">
            <wp:extent cx="4304030" cy="5135245"/>
            <wp:effectExtent l="0" t="0" r="1270" b="8255"/>
            <wp:docPr id="132" name="Picture 1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a:extLst>
                        <a:ext uri="{C183D7F6-B498-43B3-948B-1728B52AA6E4}">
                          <adec:decorative xmlns:adec="http://schemas.microsoft.com/office/drawing/2017/decorative" val="1"/>
                        </a:ext>
                      </a:extLst>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304030" cy="5135245"/>
                    </a:xfrm>
                    <a:prstGeom prst="rect">
                      <a:avLst/>
                    </a:prstGeom>
                    <a:noFill/>
                    <a:ln>
                      <a:noFill/>
                    </a:ln>
                  </pic:spPr>
                </pic:pic>
              </a:graphicData>
            </a:graphic>
          </wp:inline>
        </w:drawing>
      </w:r>
      <w:r w:rsidR="00363757">
        <w:t xml:space="preserve"> </w:t>
      </w:r>
    </w:p>
    <w:p w14:paraId="66298DE0" w14:textId="77777777" w:rsidR="002A21AE" w:rsidRDefault="00AF089A">
      <w:pPr>
        <w:pStyle w:val="Heading3"/>
      </w:pPr>
      <w:r>
        <w:br w:type="page"/>
      </w:r>
      <w:bookmarkStart w:id="220" w:name="_Ref1732323"/>
      <w:bookmarkStart w:id="221" w:name="_Toc47516701"/>
      <w:r w:rsidR="002A21AE">
        <w:lastRenderedPageBreak/>
        <w:t>Blood Products</w:t>
      </w:r>
      <w:bookmarkEnd w:id="213"/>
      <w:bookmarkEnd w:id="220"/>
      <w:bookmarkEnd w:id="221"/>
      <w:r w:rsidR="002A21AE" w:rsidRPr="00AB67A6">
        <w:rPr>
          <w:rFonts w:ascii="Arial Bold" w:hAnsi="Arial Bold"/>
          <w:vanish/>
        </w:rPr>
        <w:fldChar w:fldCharType="begin"/>
      </w:r>
      <w:r w:rsidR="002A21AE" w:rsidRPr="00AB67A6">
        <w:rPr>
          <w:rFonts w:ascii="Arial Bold" w:hAnsi="Arial Bold"/>
          <w:vanish/>
        </w:rPr>
        <w:instrText xml:space="preserve"> XE </w:instrText>
      </w:r>
      <w:r w:rsidR="00FA7E65" w:rsidRPr="00AB67A6">
        <w:rPr>
          <w:rFonts w:ascii="Arial Bold" w:hAnsi="Arial Bold"/>
          <w:vanish/>
        </w:rPr>
        <w:instrText>“</w:instrText>
      </w:r>
      <w:r w:rsidR="002A21AE" w:rsidRPr="00AB67A6">
        <w:rPr>
          <w:rFonts w:ascii="Arial Bold" w:hAnsi="Arial Bold"/>
          <w:vanish/>
        </w:rPr>
        <w:instrText>Blood Products</w:instrText>
      </w:r>
      <w:r w:rsidR="00FA7E65" w:rsidRPr="00AB67A6">
        <w:rPr>
          <w:rFonts w:ascii="Arial Bold" w:hAnsi="Arial Bold"/>
          <w:vanish/>
        </w:rPr>
        <w:instrText>”</w:instrText>
      </w:r>
      <w:r w:rsidR="002A21AE" w:rsidRPr="00AB67A6">
        <w:rPr>
          <w:rFonts w:ascii="Arial Bold" w:hAnsi="Arial Bold"/>
          <w:vanish/>
        </w:rPr>
        <w:instrText xml:space="preserve"> </w:instrText>
      </w:r>
      <w:r w:rsidR="002A21AE" w:rsidRPr="00AB67A6">
        <w:rPr>
          <w:rFonts w:ascii="Arial Bold" w:hAnsi="Arial Bold"/>
          <w:vanish/>
        </w:rPr>
        <w:fldChar w:fldCharType="end"/>
      </w:r>
      <w:r w:rsidR="002A21AE" w:rsidRPr="00AB67A6">
        <w:rPr>
          <w:rFonts w:ascii="Arial Bold" w:hAnsi="Arial Bold"/>
          <w:vanish/>
        </w:rPr>
        <w:t xml:space="preserve"> UC_08</w:t>
      </w:r>
    </w:p>
    <w:p w14:paraId="6334CAA7" w14:textId="7C4D783B" w:rsidR="002A21AE" w:rsidRDefault="002A21AE" w:rsidP="00FA7E65">
      <w:pPr>
        <w:pStyle w:val="BodyText"/>
      </w:pPr>
      <w:r>
        <w:t xml:space="preserve">The user activates, deactivates, and edits a limited number of variables for an existing blood product site parameter. VBECS </w:t>
      </w:r>
      <w:r w:rsidR="003D3067">
        <w:t>provides.</w:t>
      </w:r>
      <w:r>
        <w:t xml:space="preserve"> an ISBT 128 Blood Product reference table to facilitate these and other actions.</w:t>
      </w:r>
      <w:r w:rsidR="002F5EE5">
        <w:t xml:space="preserve"> (See FAQ Blood Product Table Processes</w:t>
      </w:r>
      <w:r w:rsidR="0054074A">
        <w:t xml:space="preserve"> and FAQ Identifying a Comparable Blood Product Code</w:t>
      </w:r>
      <w:r w:rsidR="002F5EE5">
        <w:t>)</w:t>
      </w:r>
    </w:p>
    <w:p w14:paraId="7B4F414E" w14:textId="77777777" w:rsidR="002A21AE" w:rsidRDefault="002A21AE">
      <w:pPr>
        <w:pStyle w:val="Heading4"/>
      </w:pPr>
      <w:r>
        <w:t>Assumptions</w:t>
      </w:r>
    </w:p>
    <w:p w14:paraId="2A8948F8" w14:textId="77777777" w:rsidR="002A21AE" w:rsidRDefault="002A21AE">
      <w:pPr>
        <w:pStyle w:val="ListBullet"/>
      </w:pPr>
      <w:r>
        <w:t xml:space="preserve">The connection to </w:t>
      </w:r>
      <w:r w:rsidR="00CA0045" w:rsidRPr="00CA0045">
        <w:t>VistA</w:t>
      </w:r>
      <w:r>
        <w:t xml:space="preserve"> is active.</w:t>
      </w:r>
    </w:p>
    <w:p w14:paraId="6FC120D7" w14:textId="77777777" w:rsidR="002A21AE" w:rsidRDefault="002A21AE">
      <w:pPr>
        <w:pStyle w:val="ListBullet"/>
      </w:pPr>
      <w:r>
        <w:t xml:space="preserve">The user understands </w:t>
      </w:r>
      <w:r w:rsidR="00735532">
        <w:t>Healthcare Common Procedure Coding System (</w:t>
      </w:r>
      <w:r>
        <w:t>HCPCS</w:t>
      </w:r>
      <w:r w:rsidR="00735532">
        <w:t>)</w:t>
      </w:r>
      <w:r>
        <w:t xml:space="preserve"> codes. (See Additional Information.)</w:t>
      </w:r>
    </w:p>
    <w:p w14:paraId="5F15D4A2" w14:textId="77777777" w:rsidR="002A21AE" w:rsidRDefault="002A21AE">
      <w:pPr>
        <w:pStyle w:val="ListBullet"/>
      </w:pPr>
      <w:r>
        <w:rPr>
          <w:vanish/>
          <w:spacing w:val="0"/>
        </w:rPr>
        <w:t xml:space="preserve">BR_8.03 </w:t>
      </w:r>
      <w:r>
        <w:t>A shipper must be marked as an active collection facility for a division before a user may select it as a valid shipper for a blood product for that division. This includes marking the division facility itself as an active collection facility to accommodate the creation of new blood products through modification.</w:t>
      </w:r>
    </w:p>
    <w:p w14:paraId="638B46DB" w14:textId="77777777" w:rsidR="002A21AE" w:rsidRDefault="002A21AE">
      <w:pPr>
        <w:pStyle w:val="Heading4"/>
      </w:pPr>
      <w:r>
        <w:t>Outcome</w:t>
      </w:r>
    </w:p>
    <w:p w14:paraId="712A30FF" w14:textId="77777777" w:rsidR="002A21AE" w:rsidRDefault="002A21AE">
      <w:pPr>
        <w:pStyle w:val="ListBullet"/>
      </w:pPr>
      <w:r>
        <w:t xml:space="preserve">Blood product codes are activated in the user’s division. </w:t>
      </w:r>
    </w:p>
    <w:p w14:paraId="7AA6A6FC" w14:textId="77777777" w:rsidR="002A21AE" w:rsidRDefault="002A21AE">
      <w:pPr>
        <w:pStyle w:val="ListBullet"/>
      </w:pPr>
      <w:r>
        <w:rPr>
          <w:vanish/>
          <w:spacing w:val="0"/>
        </w:rPr>
        <w:t xml:space="preserve">BR_8.07 </w:t>
      </w:r>
      <w:r>
        <w:t xml:space="preserve">Each product’s HCPCS code and its activation and deactivation dates are maintained in a permanent historical record. </w:t>
      </w:r>
    </w:p>
    <w:p w14:paraId="66611797" w14:textId="77777777" w:rsidR="002A21AE" w:rsidRDefault="002A21AE">
      <w:pPr>
        <w:pStyle w:val="Heading4"/>
      </w:pPr>
      <w:r>
        <w:t>Limitations and Restrictions</w:t>
      </w:r>
    </w:p>
    <w:p w14:paraId="35D2FA69" w14:textId="77777777" w:rsidR="002A21AE" w:rsidRDefault="002A21AE">
      <w:pPr>
        <w:pStyle w:val="ListBullet"/>
      </w:pPr>
      <w:r>
        <w:t xml:space="preserve">Blood product records distributed through VBECS are national standards. </w:t>
      </w:r>
    </w:p>
    <w:p w14:paraId="79DD5FF7" w14:textId="77777777" w:rsidR="002A21AE" w:rsidRDefault="002A21AE">
      <w:pPr>
        <w:pStyle w:val="ListBullet"/>
      </w:pPr>
      <w:r>
        <w:t>The division must have activated the valid target blood products for modification.</w:t>
      </w:r>
    </w:p>
    <w:p w14:paraId="3CB76E0F" w14:textId="77777777" w:rsidR="002A21AE" w:rsidRDefault="002A21AE" w:rsidP="00755193">
      <w:pPr>
        <w:pStyle w:val="Heading4"/>
        <w:tabs>
          <w:tab w:val="left" w:pos="3060"/>
        </w:tabs>
      </w:pPr>
      <w:r>
        <w:t>Additional Information</w:t>
      </w:r>
      <w:r w:rsidR="00755193">
        <w:tab/>
      </w:r>
    </w:p>
    <w:p w14:paraId="6405FB81" w14:textId="77777777" w:rsidR="002A21AE" w:rsidRDefault="00735532">
      <w:pPr>
        <w:pStyle w:val="ListBullet"/>
      </w:pPr>
      <w:r>
        <w:t>HCPCS</w:t>
      </w:r>
      <w:r w:rsidR="002A21AE">
        <w:t xml:space="preserve"> codes are required for medical and surgical services and supplies for the outpatient setting under the final code set standards for the Health Insurance Portability and Accountability Act of 1996 (HIPAA). See your local </w:t>
      </w:r>
      <w:r w:rsidR="002A21AE">
        <w:rPr>
          <w:szCs w:val="24"/>
        </w:rPr>
        <w:t>Current Procedural Terminology</w:t>
      </w:r>
      <w:r w:rsidR="002A21AE">
        <w:t xml:space="preserve"> (CPT) coordinator for </w:t>
      </w:r>
      <w:r w:rsidR="00E90A01">
        <w:t>additional</w:t>
      </w:r>
      <w:r w:rsidR="002A21AE">
        <w:t xml:space="preserve"> information.</w:t>
      </w:r>
    </w:p>
    <w:p w14:paraId="548E7DB2" w14:textId="77777777" w:rsidR="002A21AE" w:rsidRDefault="002A21AE">
      <w:pPr>
        <w:pStyle w:val="ListBullet"/>
      </w:pPr>
      <w:r>
        <w:rPr>
          <w:vanish/>
          <w:spacing w:val="0"/>
        </w:rPr>
        <w:t xml:space="preserve">BR_8.04 </w:t>
      </w:r>
      <w:r>
        <w:t>At least one valid shipper and product cost must be defined for each active product code in use in the division; multiple shippers may be associated with a blood product code.</w:t>
      </w:r>
    </w:p>
    <w:p w14:paraId="7978FCD6" w14:textId="77777777" w:rsidR="002A21AE" w:rsidRDefault="002A21AE">
      <w:pPr>
        <w:pStyle w:val="Heading4"/>
      </w:pPr>
      <w:r>
        <w:t>User Roles with Access to This Option</w:t>
      </w:r>
    </w:p>
    <w:p w14:paraId="3188A284" w14:textId="77777777" w:rsidR="002A21AE" w:rsidRDefault="0007426E">
      <w:pPr>
        <w:pStyle w:val="Roles"/>
      </w:pPr>
      <w:r>
        <w:t>All users</w:t>
      </w:r>
    </w:p>
    <w:p w14:paraId="61CF76B2" w14:textId="77777777" w:rsidR="002A21AE" w:rsidRDefault="002A21AE">
      <w:pPr>
        <w:pStyle w:val="Heading4"/>
      </w:pPr>
      <w:r>
        <w:t>Blood Products</w:t>
      </w:r>
    </w:p>
    <w:p w14:paraId="6F097536" w14:textId="77777777" w:rsidR="002A21AE" w:rsidRDefault="002A21AE" w:rsidP="00FA7E65">
      <w:pPr>
        <w:pStyle w:val="BodyText"/>
      </w:pPr>
      <w:r>
        <w:t>Before processing a blood unit in an incoming shipment, or activating or creating a blood unit in-house, the user identifies the shipper(s), cost, and return credit percentage for each shipper. The user also tags each product as active for use within the division and assigns a</w:t>
      </w:r>
      <w:r w:rsidR="00C43566">
        <w:t>n</w:t>
      </w:r>
      <w:r>
        <w:t xml:space="preserve"> HCPCS code to each. These are the only fields the user may edit when maintaining an existing blood product</w:t>
      </w:r>
      <w:r w:rsidR="00C816A6">
        <w:t xml:space="preserve"> code</w:t>
      </w:r>
      <w:r>
        <w:t xml:space="preserve">. </w:t>
      </w:r>
    </w:p>
    <w:p w14:paraId="58E27DB2" w14:textId="77777777" w:rsidR="00776377" w:rsidRDefault="002A21AE" w:rsidP="00FA7E65">
      <w:pPr>
        <w:pStyle w:val="BodyText"/>
      </w:pPr>
      <w:r>
        <w:t>A “shipper” is the collection facility that delivers and bills for the blood product, regardless of the facility named on the unit’s label. The collection facility that delivers the product to the shipper is not considered a shipper nor does it have a product cost associated with it, but it needs to be activated in the division for VBECS to interpret the unit ID. When components are modified within the division, the shipper is defined as the division. The cost may be $0.00 or other U.S. dollar value assigned by the shipper.</w:t>
      </w:r>
    </w:p>
    <w:p w14:paraId="03FCF0DB" w14:textId="77777777" w:rsidR="002A21AE" w:rsidRDefault="00776377" w:rsidP="00FA7E65">
      <w:pPr>
        <w:pStyle w:val="BodyText"/>
      </w:pPr>
      <w:r>
        <w:br w:type="page"/>
      </w: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2"/>
        <w:gridCol w:w="6120"/>
      </w:tblGrid>
      <w:tr w:rsidR="002A21AE" w14:paraId="33EB54C5" w14:textId="77777777">
        <w:trPr>
          <w:tblHeader/>
        </w:trPr>
        <w:tc>
          <w:tcPr>
            <w:tcW w:w="3132" w:type="dxa"/>
            <w:shd w:val="pct30" w:color="auto" w:fill="FFFFFF"/>
            <w:vAlign w:val="bottom"/>
          </w:tcPr>
          <w:p w14:paraId="19B0B736" w14:textId="77777777" w:rsidR="002A21AE" w:rsidRDefault="002A21AE">
            <w:pPr>
              <w:pStyle w:val="TableText"/>
              <w:rPr>
                <w:b/>
              </w:rPr>
            </w:pPr>
            <w:r>
              <w:rPr>
                <w:b/>
              </w:rPr>
              <w:lastRenderedPageBreak/>
              <w:t>User Action</w:t>
            </w:r>
          </w:p>
        </w:tc>
        <w:tc>
          <w:tcPr>
            <w:tcW w:w="6120" w:type="dxa"/>
            <w:shd w:val="pct30" w:color="auto" w:fill="FFFFFF"/>
            <w:vAlign w:val="bottom"/>
          </w:tcPr>
          <w:p w14:paraId="2B714831" w14:textId="77777777" w:rsidR="002A21AE" w:rsidRDefault="002A21AE">
            <w:pPr>
              <w:pStyle w:val="TableText"/>
              <w:rPr>
                <w:b/>
              </w:rPr>
            </w:pPr>
            <w:r>
              <w:rPr>
                <w:b/>
              </w:rPr>
              <w:t>VBECS</w:t>
            </w:r>
          </w:p>
        </w:tc>
      </w:tr>
      <w:tr w:rsidR="002A21AE" w14:paraId="66DC890E" w14:textId="77777777">
        <w:tc>
          <w:tcPr>
            <w:tcW w:w="3132" w:type="dxa"/>
          </w:tcPr>
          <w:p w14:paraId="661FE2A7" w14:textId="77777777" w:rsidR="002A21AE" w:rsidRDefault="002A21AE">
            <w:pPr>
              <w:pStyle w:val="TableTextNumbers"/>
            </w:pPr>
            <w:r>
              <w:t xml:space="preserve">Select </w:t>
            </w:r>
            <w:r>
              <w:rPr>
                <w:b/>
              </w:rPr>
              <w:t xml:space="preserve">Tools </w:t>
            </w:r>
            <w:r>
              <w:t>from the main menu.</w:t>
            </w:r>
          </w:p>
          <w:p w14:paraId="70471FBE" w14:textId="77777777" w:rsidR="002A21AE" w:rsidRDefault="002A21AE">
            <w:pPr>
              <w:pStyle w:val="TableTextNumbersContinued"/>
              <w:rPr>
                <w:b/>
                <w:bCs/>
              </w:rPr>
            </w:pPr>
          </w:p>
          <w:p w14:paraId="7399BE9F" w14:textId="77777777" w:rsidR="002A21AE" w:rsidRDefault="002A21AE">
            <w:pPr>
              <w:pStyle w:val="TableTextNumbersContinued"/>
              <w:rPr>
                <w:b/>
                <w:bCs/>
              </w:rPr>
            </w:pPr>
            <w:r w:rsidRPr="00FA0EEB">
              <w:rPr>
                <w:bCs/>
              </w:rPr>
              <w:t>Select</w:t>
            </w:r>
            <w:r>
              <w:rPr>
                <w:b/>
                <w:bCs/>
              </w:rPr>
              <w:t xml:space="preserve"> Blood Products</w:t>
            </w:r>
            <w:r w:rsidRPr="00FA0EEB">
              <w:rPr>
                <w:bCs/>
              </w:rPr>
              <w:t>.</w:t>
            </w:r>
          </w:p>
        </w:tc>
        <w:tc>
          <w:tcPr>
            <w:tcW w:w="6120" w:type="dxa"/>
          </w:tcPr>
          <w:p w14:paraId="6C32CAAD" w14:textId="77777777" w:rsidR="002A21AE" w:rsidRDefault="002A21AE">
            <w:pPr>
              <w:pStyle w:val="TableTextBullet"/>
            </w:pPr>
            <w:r>
              <w:t>Displays options for processing administrative functions.</w:t>
            </w:r>
          </w:p>
          <w:p w14:paraId="739644DB" w14:textId="77777777" w:rsidR="002A21AE" w:rsidRDefault="002A21AE">
            <w:pPr>
              <w:pStyle w:val="TableTextBullet"/>
            </w:pPr>
            <w:r>
              <w:t>Displays fields for entering blood product information.</w:t>
            </w:r>
          </w:p>
        </w:tc>
      </w:tr>
      <w:tr w:rsidR="002A21AE" w14:paraId="327AEE4C" w14:textId="77777777">
        <w:tc>
          <w:tcPr>
            <w:tcW w:w="3132" w:type="dxa"/>
          </w:tcPr>
          <w:p w14:paraId="3582D5E6" w14:textId="6F6D1238" w:rsidR="002A21AE" w:rsidRDefault="002A21AE">
            <w:pPr>
              <w:pStyle w:val="TableTextNumbers"/>
            </w:pPr>
            <w:r>
              <w:t>To identify the product, scan or enter a</w:t>
            </w:r>
            <w:r w:rsidR="0050114F">
              <w:t>.</w:t>
            </w:r>
            <w:r>
              <w:t xml:space="preserve"> ISBT product code.</w:t>
            </w:r>
          </w:p>
          <w:p w14:paraId="77549D09" w14:textId="77777777" w:rsidR="002A21AE" w:rsidRDefault="002A21AE">
            <w:pPr>
              <w:pStyle w:val="TableTextNumbersContinued"/>
            </w:pPr>
          </w:p>
          <w:p w14:paraId="0419633A" w14:textId="77777777" w:rsidR="002A21AE" w:rsidRDefault="002A21AE">
            <w:pPr>
              <w:pStyle w:val="TableTextNumbersContinued"/>
            </w:pPr>
            <w:r>
              <w:t xml:space="preserve">Click the </w:t>
            </w:r>
            <w:r w:rsidR="00A6373D">
              <w:rPr>
                <w:b/>
              </w:rPr>
              <w:t>find</w:t>
            </w:r>
            <w:r w:rsidRPr="00BF2E41">
              <w:t xml:space="preserve"> button</w:t>
            </w:r>
            <w:r>
              <w:t xml:space="preserve"> to search for a product.</w:t>
            </w:r>
          </w:p>
          <w:p w14:paraId="5D004C69" w14:textId="77777777" w:rsidR="002A21AE" w:rsidRDefault="002A21AE">
            <w:pPr>
              <w:pStyle w:val="TableTextNumbersContinued"/>
            </w:pPr>
          </w:p>
          <w:p w14:paraId="6F8035A7" w14:textId="77777777" w:rsidR="002A21AE" w:rsidRDefault="002A21AE">
            <w:pPr>
              <w:pStyle w:val="TableTextNumbersContinued"/>
            </w:pPr>
            <w:r>
              <w:t>Select a product type from the drop-down Product Type list or enter a partial product name in the Partial Product Name field.</w:t>
            </w:r>
          </w:p>
          <w:p w14:paraId="24973BE2" w14:textId="77777777" w:rsidR="002A21AE" w:rsidRDefault="002A21AE">
            <w:pPr>
              <w:pStyle w:val="TableTextNumbersContinued"/>
            </w:pPr>
          </w:p>
          <w:p w14:paraId="58E11C73" w14:textId="77777777" w:rsidR="002A21AE" w:rsidRDefault="002A21AE">
            <w:pPr>
              <w:pStyle w:val="TableTextNumbersContinued"/>
            </w:pPr>
            <w:r>
              <w:t xml:space="preserve">Click </w:t>
            </w:r>
            <w:r>
              <w:rPr>
                <w:b/>
              </w:rPr>
              <w:t>Search</w:t>
            </w:r>
            <w:r>
              <w:t>.</w:t>
            </w:r>
          </w:p>
        </w:tc>
        <w:tc>
          <w:tcPr>
            <w:tcW w:w="6120" w:type="dxa"/>
          </w:tcPr>
          <w:p w14:paraId="4F0D4F54" w14:textId="77777777" w:rsidR="002A21AE" w:rsidRDefault="002A21AE">
            <w:pPr>
              <w:pStyle w:val="TableTextBullet"/>
            </w:pPr>
            <w:r>
              <w:t>Displays current blood product information.</w:t>
            </w:r>
          </w:p>
          <w:p w14:paraId="4CA92467" w14:textId="77777777" w:rsidR="002A21AE" w:rsidRDefault="002A21AE">
            <w:pPr>
              <w:pStyle w:val="TableText"/>
            </w:pPr>
          </w:p>
          <w:p w14:paraId="0FE669EC" w14:textId="2569A6AD" w:rsidR="002A21AE" w:rsidRDefault="002A21AE">
            <w:pPr>
              <w:pStyle w:val="TableText"/>
              <w:rPr>
                <w:b/>
                <w:bCs/>
                <w:szCs w:val="18"/>
              </w:rPr>
            </w:pPr>
            <w:r>
              <w:rPr>
                <w:b/>
                <w:bCs/>
                <w:szCs w:val="18"/>
              </w:rPr>
              <w:t>NOTES</w:t>
            </w:r>
          </w:p>
          <w:p w14:paraId="157A48CC" w14:textId="77777777" w:rsidR="002A21AE" w:rsidRDefault="002A21AE">
            <w:pPr>
              <w:pStyle w:val="NotesText"/>
            </w:pPr>
          </w:p>
          <w:p w14:paraId="0F476738" w14:textId="77777777" w:rsidR="002A21AE" w:rsidRDefault="002A21AE">
            <w:pPr>
              <w:pStyle w:val="NotesText"/>
            </w:pPr>
            <w:r w:rsidRPr="009660C3">
              <w:rPr>
                <w:vanish/>
                <w:szCs w:val="18"/>
              </w:rPr>
              <w:t xml:space="preserve">BR_8.12 </w:t>
            </w:r>
            <w:r>
              <w:t>When a user enters a product code</w:t>
            </w:r>
            <w:r w:rsidR="00DA09BD">
              <w:t xml:space="preserve"> that VBECS does not recognize</w:t>
            </w:r>
            <w:r>
              <w:t>, VBECS warns that the blood product was not found and that it does not support entry of new blood products.</w:t>
            </w:r>
          </w:p>
          <w:p w14:paraId="414F9028" w14:textId="77777777" w:rsidR="002A21AE" w:rsidRDefault="002A21AE">
            <w:pPr>
              <w:pStyle w:val="NotesText"/>
            </w:pPr>
          </w:p>
          <w:p w14:paraId="245A2CF1" w14:textId="77777777" w:rsidR="002A21AE" w:rsidRDefault="002A21AE">
            <w:pPr>
              <w:pStyle w:val="NotesText"/>
            </w:pPr>
            <w:r>
              <w:rPr>
                <w:b/>
                <w:bCs/>
              </w:rPr>
              <w:t>OK</w:t>
            </w:r>
            <w:r>
              <w:t xml:space="preserve"> returns the user to a blank screen to enter a different product. VBECS clears the screen. The user may enter a different product code.</w:t>
            </w:r>
            <w:r>
              <w:rPr>
                <w:rStyle w:val="CommentReference"/>
                <w:rFonts w:ascii="Times New Roman" w:hAnsi="Times New Roman"/>
                <w:vanish/>
              </w:rPr>
              <w:t xml:space="preserve"> </w:t>
            </w:r>
          </w:p>
        </w:tc>
      </w:tr>
      <w:tr w:rsidR="002A21AE" w14:paraId="00DD85F1" w14:textId="77777777">
        <w:tc>
          <w:tcPr>
            <w:tcW w:w="3132" w:type="dxa"/>
            <w:tcBorders>
              <w:bottom w:val="single" w:sz="4" w:space="0" w:color="auto"/>
            </w:tcBorders>
          </w:tcPr>
          <w:p w14:paraId="31149DCC" w14:textId="0C21E50F" w:rsidR="002A21AE" w:rsidRDefault="002A21AE">
            <w:pPr>
              <w:pStyle w:val="TableTextNumbers"/>
            </w:pPr>
            <w:r>
              <w:t xml:space="preserve">Select a product from the Search Results list and click </w:t>
            </w:r>
            <w:r>
              <w:rPr>
                <w:b/>
                <w:bCs/>
              </w:rPr>
              <w:t>OK</w:t>
            </w:r>
            <w:r w:rsidR="00FF1B65">
              <w:rPr>
                <w:bCs/>
              </w:rPr>
              <w:t xml:space="preserve"> (</w:t>
            </w:r>
            <w:r w:rsidR="00FF1B65">
              <w:rPr>
                <w:bCs/>
              </w:rPr>
              <w:fldChar w:fldCharType="begin"/>
            </w:r>
            <w:r w:rsidR="00FF1B65">
              <w:rPr>
                <w:bCs/>
              </w:rPr>
              <w:instrText xml:space="preserve"> REF _Ref126471445 \h </w:instrText>
            </w:r>
            <w:r w:rsidR="00FF1B65">
              <w:rPr>
                <w:bCs/>
              </w:rPr>
            </w:r>
            <w:r w:rsidR="00FF1B65">
              <w:rPr>
                <w:bCs/>
              </w:rPr>
              <w:fldChar w:fldCharType="separate"/>
            </w:r>
            <w:r w:rsidR="004353ED">
              <w:t xml:space="preserve">Figure </w:t>
            </w:r>
            <w:r w:rsidR="004353ED">
              <w:rPr>
                <w:noProof/>
              </w:rPr>
              <w:t>51</w:t>
            </w:r>
            <w:r w:rsidR="00FF1B65">
              <w:rPr>
                <w:bCs/>
              </w:rPr>
              <w:fldChar w:fldCharType="end"/>
            </w:r>
            <w:r w:rsidR="00FF1B65">
              <w:rPr>
                <w:bCs/>
              </w:rPr>
              <w:t>)</w:t>
            </w:r>
            <w:r>
              <w:t>.</w:t>
            </w:r>
          </w:p>
          <w:p w14:paraId="7EF659D2" w14:textId="77777777" w:rsidR="002A21AE" w:rsidRDefault="002A21AE">
            <w:pPr>
              <w:pStyle w:val="TableTextNumbersContinued"/>
            </w:pPr>
          </w:p>
          <w:p w14:paraId="4BE0CEC4" w14:textId="77777777" w:rsidR="002A21AE" w:rsidRDefault="002A21AE">
            <w:pPr>
              <w:pStyle w:val="TableTextNumbersContinued"/>
            </w:pPr>
            <w:r>
              <w:t>Select an HCPCS code from the drop-down HCPCS Code list or enter an HCPCS code.</w:t>
            </w:r>
          </w:p>
        </w:tc>
        <w:tc>
          <w:tcPr>
            <w:tcW w:w="6120" w:type="dxa"/>
            <w:tcBorders>
              <w:bottom w:val="single" w:sz="4" w:space="0" w:color="auto"/>
            </w:tcBorders>
          </w:tcPr>
          <w:p w14:paraId="0A690A40" w14:textId="77777777" w:rsidR="002A21AE" w:rsidRDefault="002A21AE">
            <w:pPr>
              <w:pStyle w:val="TableTextBullet"/>
            </w:pPr>
            <w:r>
              <w:t xml:space="preserve">Allows a user to enter the HCPCS code. </w:t>
            </w:r>
          </w:p>
          <w:p w14:paraId="7ABAF2F1" w14:textId="77777777" w:rsidR="002A21AE" w:rsidRDefault="002A21AE">
            <w:pPr>
              <w:pStyle w:val="TableText"/>
            </w:pPr>
          </w:p>
          <w:p w14:paraId="71070281" w14:textId="4660CEDA" w:rsidR="002A21AE" w:rsidRDefault="002A21AE">
            <w:pPr>
              <w:pStyle w:val="TableText"/>
              <w:rPr>
                <w:b/>
                <w:bCs/>
                <w:szCs w:val="18"/>
              </w:rPr>
            </w:pPr>
            <w:r>
              <w:rPr>
                <w:b/>
                <w:bCs/>
                <w:szCs w:val="18"/>
              </w:rPr>
              <w:t>NOTES</w:t>
            </w:r>
          </w:p>
          <w:p w14:paraId="34F811EA" w14:textId="77777777" w:rsidR="002A21AE" w:rsidRDefault="002A21AE">
            <w:pPr>
              <w:pStyle w:val="NotesText"/>
            </w:pPr>
          </w:p>
          <w:p w14:paraId="66A22EA8" w14:textId="77777777" w:rsidR="002A21AE" w:rsidRDefault="002A21AE">
            <w:pPr>
              <w:pStyle w:val="NotesText"/>
            </w:pPr>
            <w:r w:rsidRPr="009660C3">
              <w:rPr>
                <w:vanish/>
                <w:szCs w:val="18"/>
              </w:rPr>
              <w:t xml:space="preserve">BR_8.06 </w:t>
            </w:r>
            <w:r>
              <w:t>A blood product may have only one HCPCS code at a time.</w:t>
            </w:r>
          </w:p>
          <w:p w14:paraId="1C1201B1" w14:textId="77777777" w:rsidR="007C5D69" w:rsidRDefault="007C5D69">
            <w:pPr>
              <w:pStyle w:val="NotesText"/>
            </w:pPr>
          </w:p>
          <w:p w14:paraId="2BD40C02" w14:textId="41853D4F" w:rsidR="007C5D69" w:rsidRDefault="007C5D69">
            <w:pPr>
              <w:pStyle w:val="NotesText"/>
            </w:pPr>
            <w:r>
              <w:t xml:space="preserve">A user may also add a </w:t>
            </w:r>
            <w:r w:rsidRPr="007C5D69">
              <w:t>HCPCS code after the blood product code is activated.</w:t>
            </w:r>
            <w:r w:rsidR="00AB4BD9">
              <w:t xml:space="preserve"> </w:t>
            </w:r>
            <w:r w:rsidR="00AB4BD9" w:rsidRPr="00AB4BD9">
              <w:rPr>
                <w:vanish/>
              </w:rPr>
              <w:t>Defect 208150</w:t>
            </w:r>
          </w:p>
        </w:tc>
      </w:tr>
      <w:tr w:rsidR="002A21AE" w14:paraId="0B25FDF6" w14:textId="77777777">
        <w:tc>
          <w:tcPr>
            <w:tcW w:w="3132" w:type="dxa"/>
            <w:tcBorders>
              <w:bottom w:val="single" w:sz="4" w:space="0" w:color="auto"/>
            </w:tcBorders>
          </w:tcPr>
          <w:p w14:paraId="4D682087" w14:textId="77777777" w:rsidR="002A21AE" w:rsidRPr="007144AE" w:rsidRDefault="002A21AE" w:rsidP="007144AE">
            <w:pPr>
              <w:pStyle w:val="TableTextNumbers"/>
              <w:rPr>
                <w:bCs/>
              </w:rPr>
            </w:pPr>
            <w:r>
              <w:t xml:space="preserve">Select or enter product shipper information: shipper name, FDA </w:t>
            </w:r>
            <w:r w:rsidR="00B85812">
              <w:t>Registration Number</w:t>
            </w:r>
            <w:r>
              <w:t>, c</w:t>
            </w:r>
            <w:r>
              <w:rPr>
                <w:bCs/>
              </w:rPr>
              <w:t>ost, and return credit percentage.</w:t>
            </w:r>
          </w:p>
        </w:tc>
        <w:tc>
          <w:tcPr>
            <w:tcW w:w="6120" w:type="dxa"/>
            <w:tcBorders>
              <w:bottom w:val="single" w:sz="4" w:space="0" w:color="auto"/>
            </w:tcBorders>
          </w:tcPr>
          <w:p w14:paraId="2EB4BACE" w14:textId="77777777" w:rsidR="002A21AE" w:rsidRDefault="002A21AE">
            <w:pPr>
              <w:pStyle w:val="TableText"/>
            </w:pPr>
          </w:p>
          <w:p w14:paraId="666F3505" w14:textId="612BF597" w:rsidR="002A21AE" w:rsidRDefault="002A21AE">
            <w:pPr>
              <w:pStyle w:val="TableText"/>
              <w:rPr>
                <w:b/>
                <w:bCs/>
                <w:szCs w:val="18"/>
              </w:rPr>
            </w:pPr>
            <w:r>
              <w:rPr>
                <w:b/>
                <w:bCs/>
                <w:szCs w:val="18"/>
              </w:rPr>
              <w:t>NOTES</w:t>
            </w:r>
          </w:p>
          <w:p w14:paraId="5351E5E5" w14:textId="77777777" w:rsidR="002A21AE" w:rsidRDefault="002A21AE">
            <w:pPr>
              <w:pStyle w:val="NotesText"/>
            </w:pPr>
          </w:p>
          <w:p w14:paraId="07ED5D4F" w14:textId="77777777" w:rsidR="002A21AE" w:rsidRDefault="002A21AE">
            <w:pPr>
              <w:pStyle w:val="NotesText"/>
              <w:rPr>
                <w:color w:val="000000"/>
                <w:szCs w:val="18"/>
              </w:rPr>
            </w:pPr>
            <w:r w:rsidRPr="009660C3">
              <w:rPr>
                <w:vanish/>
                <w:szCs w:val="18"/>
              </w:rPr>
              <w:t xml:space="preserve">BR_8.01 </w:t>
            </w:r>
            <w:r>
              <w:t xml:space="preserve">Site parameters determine which products are active for a division. Products marked as active can be received in an incoming shipment or created in-house through modification. </w:t>
            </w:r>
          </w:p>
          <w:p w14:paraId="38214E61" w14:textId="77777777" w:rsidR="002A21AE" w:rsidRDefault="002A21AE">
            <w:pPr>
              <w:pStyle w:val="NotesText"/>
            </w:pPr>
          </w:p>
          <w:p w14:paraId="70C8BF4B" w14:textId="77777777" w:rsidR="002A21AE" w:rsidRDefault="002A21AE">
            <w:pPr>
              <w:pStyle w:val="NotesText"/>
              <w:tabs>
                <w:tab w:val="center" w:pos="3312"/>
              </w:tabs>
            </w:pPr>
            <w:r w:rsidRPr="009660C3">
              <w:rPr>
                <w:vanish/>
                <w:szCs w:val="18"/>
              </w:rPr>
              <w:t xml:space="preserve">BR_8.02 </w:t>
            </w:r>
            <w:r>
              <w:t>A user with no increased security can maintain an existing blood product for use only within the user’s current division.</w:t>
            </w:r>
            <w:r>
              <w:tab/>
            </w:r>
          </w:p>
          <w:p w14:paraId="605F9B34" w14:textId="77777777" w:rsidR="002A21AE" w:rsidRDefault="002A21AE">
            <w:pPr>
              <w:pStyle w:val="NotesText"/>
            </w:pPr>
          </w:p>
          <w:p w14:paraId="4ED1F694" w14:textId="77777777" w:rsidR="002A21AE" w:rsidRDefault="002A21AE">
            <w:pPr>
              <w:pStyle w:val="NotesText"/>
            </w:pPr>
            <w:r>
              <w:t>The return credit default is “100%.”</w:t>
            </w:r>
          </w:p>
          <w:p w14:paraId="67ED59B0" w14:textId="77777777" w:rsidR="002A21AE" w:rsidRDefault="002A21AE">
            <w:pPr>
              <w:pStyle w:val="NotesText"/>
            </w:pPr>
          </w:p>
          <w:p w14:paraId="1796B18C" w14:textId="5D7A36C6" w:rsidR="002A21AE" w:rsidRDefault="002A21AE">
            <w:pPr>
              <w:pStyle w:val="NotesText"/>
            </w:pPr>
            <w:r w:rsidRPr="009660C3">
              <w:rPr>
                <w:rFonts w:cs="Arial"/>
                <w:vanish/>
                <w:color w:val="0000FF"/>
                <w:szCs w:val="18"/>
              </w:rPr>
              <w:t>BR_8.11</w:t>
            </w:r>
            <w:r w:rsidRPr="009660C3">
              <w:rPr>
                <w:vanish/>
                <w:szCs w:val="18"/>
              </w:rPr>
              <w:t xml:space="preserve"> </w:t>
            </w:r>
            <w:r w:rsidR="00CC5FE9">
              <w:t xml:space="preserve">In order to inactivate a product shipper, all units via that shipper must be in a final status (or inactivated). </w:t>
            </w:r>
            <w:r w:rsidR="00276D7F">
              <w:t>Contact the Service Desk if you would like a list of units linked to the product shipper you want to inactivate.</w:t>
            </w:r>
          </w:p>
        </w:tc>
      </w:tr>
      <w:tr w:rsidR="002A21AE" w14:paraId="2487F159" w14:textId="77777777">
        <w:tc>
          <w:tcPr>
            <w:tcW w:w="3132" w:type="dxa"/>
            <w:tcBorders>
              <w:bottom w:val="single" w:sz="4" w:space="0" w:color="auto"/>
            </w:tcBorders>
          </w:tcPr>
          <w:p w14:paraId="4B8C7F63" w14:textId="77777777" w:rsidR="002A21AE" w:rsidRDefault="002A21AE">
            <w:pPr>
              <w:pStyle w:val="TableTextNumbers"/>
            </w:pPr>
            <w:r>
              <w:t xml:space="preserve">Repeat Steps 3 and 4 for each selected product’s shipper and for other products. </w:t>
            </w:r>
          </w:p>
        </w:tc>
        <w:tc>
          <w:tcPr>
            <w:tcW w:w="6120" w:type="dxa"/>
            <w:tcBorders>
              <w:bottom w:val="single" w:sz="4" w:space="0" w:color="auto"/>
            </w:tcBorders>
          </w:tcPr>
          <w:p w14:paraId="67FFDB92" w14:textId="77777777" w:rsidR="002A21AE" w:rsidRDefault="002A21AE">
            <w:pPr>
              <w:pStyle w:val="TableTextBullet"/>
            </w:pPr>
            <w:r>
              <w:t>Displays the information entered.</w:t>
            </w:r>
          </w:p>
          <w:p w14:paraId="5D974B60" w14:textId="77777777" w:rsidR="002A21AE" w:rsidRDefault="002A21AE">
            <w:pPr>
              <w:pStyle w:val="TableTextBullet"/>
            </w:pPr>
            <w:r>
              <w:t>Requests confirmation to update the database.</w:t>
            </w:r>
          </w:p>
          <w:p w14:paraId="10338BD4" w14:textId="77777777" w:rsidR="002A21AE" w:rsidRDefault="002A21AE">
            <w:pPr>
              <w:pStyle w:val="TableTextBullet"/>
            </w:pPr>
            <w:r>
              <w:t>Updates the database or warns the user with no override for discrepancies.</w:t>
            </w:r>
          </w:p>
        </w:tc>
      </w:tr>
      <w:tr w:rsidR="002A21AE" w14:paraId="1C97D070" w14:textId="77777777">
        <w:tc>
          <w:tcPr>
            <w:tcW w:w="3132" w:type="dxa"/>
            <w:tcBorders>
              <w:bottom w:val="single" w:sz="4" w:space="0" w:color="auto"/>
            </w:tcBorders>
          </w:tcPr>
          <w:p w14:paraId="0E42B90E"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22" w:author="Blalock, David (Leidos)" w:date="2020-06-15T14:09:00Z" w:original="0."/>
              </w:fldChar>
            </w:r>
          </w:p>
        </w:tc>
        <w:tc>
          <w:tcPr>
            <w:tcW w:w="6120" w:type="dxa"/>
            <w:tcBorders>
              <w:bottom w:val="single" w:sz="4" w:space="0" w:color="auto"/>
            </w:tcBorders>
          </w:tcPr>
          <w:p w14:paraId="30C1F9C5" w14:textId="77777777" w:rsidR="002A21AE" w:rsidRDefault="002A21AE">
            <w:pPr>
              <w:pStyle w:val="NotesText"/>
            </w:pPr>
          </w:p>
        </w:tc>
      </w:tr>
    </w:tbl>
    <w:p w14:paraId="07241250" w14:textId="77777777" w:rsidR="002A21AE" w:rsidRDefault="002A21AE">
      <w:pPr>
        <w:pStyle w:val="BodyText"/>
      </w:pPr>
    </w:p>
    <w:p w14:paraId="0DDF2E54" w14:textId="58AD0CAF" w:rsidR="00FF1B65" w:rsidRDefault="00FF1B65" w:rsidP="00FF1B65">
      <w:pPr>
        <w:pStyle w:val="Caption"/>
      </w:pPr>
      <w:bookmarkStart w:id="223" w:name="_Ref126471445"/>
      <w:bookmarkStart w:id="224" w:name="_Toc6368038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51</w:t>
      </w:r>
      <w:r w:rsidR="004E20BD">
        <w:rPr>
          <w:noProof/>
        </w:rPr>
        <w:fldChar w:fldCharType="end"/>
      </w:r>
      <w:bookmarkEnd w:id="223"/>
      <w:r>
        <w:t>: Maintain Blood Products</w:t>
      </w:r>
    </w:p>
    <w:p w14:paraId="460106E2" w14:textId="77777777" w:rsidR="0066425F" w:rsidRDefault="00057948" w:rsidP="0066425F">
      <w:pPr>
        <w:pStyle w:val="BodyText"/>
      </w:pPr>
      <w:r>
        <w:rPr>
          <w:noProof/>
        </w:rPr>
        <w:drawing>
          <wp:inline distT="0" distB="0" distL="0" distR="0" wp14:anchorId="39894E82" wp14:editId="437310B6">
            <wp:extent cx="5347970" cy="3084830"/>
            <wp:effectExtent l="0" t="0" r="5080" b="1270"/>
            <wp:docPr id="133" name="Picture 1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a:extLst>
                        <a:ext uri="{C183D7F6-B498-43B3-948B-1728B52AA6E4}">
                          <adec:decorative xmlns:adec="http://schemas.microsoft.com/office/drawing/2017/decorative" val="1"/>
                        </a:ext>
                      </a:extLst>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347970" cy="3084830"/>
                    </a:xfrm>
                    <a:prstGeom prst="rect">
                      <a:avLst/>
                    </a:prstGeom>
                    <a:noFill/>
                    <a:ln>
                      <a:noFill/>
                    </a:ln>
                  </pic:spPr>
                </pic:pic>
              </a:graphicData>
            </a:graphic>
          </wp:inline>
        </w:drawing>
      </w:r>
      <w:r w:rsidR="00FF1B65">
        <w:t xml:space="preserve"> </w:t>
      </w:r>
    </w:p>
    <w:p w14:paraId="3071F90C" w14:textId="77777777" w:rsidR="002A21AE" w:rsidRDefault="003A2D61">
      <w:pPr>
        <w:pStyle w:val="Heading3"/>
      </w:pPr>
      <w:r>
        <w:br w:type="page"/>
      </w:r>
      <w:bookmarkStart w:id="225" w:name="_Toc47516702"/>
      <w:r w:rsidR="002A21AE">
        <w:lastRenderedPageBreak/>
        <w:t>Antibodies</w:t>
      </w:r>
      <w:bookmarkEnd w:id="224"/>
      <w:bookmarkEnd w:id="225"/>
      <w:r w:rsidR="002A21AE" w:rsidRPr="00AB67A6">
        <w:rPr>
          <w:rFonts w:ascii="Arial Bold" w:hAnsi="Arial Bold"/>
          <w:vanish/>
        </w:rPr>
        <w:fldChar w:fldCharType="begin"/>
      </w:r>
      <w:r w:rsidR="002A21AE" w:rsidRPr="00AB67A6">
        <w:rPr>
          <w:rFonts w:ascii="Arial Bold" w:hAnsi="Arial Bold"/>
          <w:vanish/>
        </w:rPr>
        <w:instrText xml:space="preserve"> XE </w:instrText>
      </w:r>
      <w:r w:rsidR="00FA7E65" w:rsidRPr="00AB67A6">
        <w:rPr>
          <w:rFonts w:ascii="Arial Bold" w:hAnsi="Arial Bold"/>
          <w:vanish/>
        </w:rPr>
        <w:instrText>“</w:instrText>
      </w:r>
      <w:r w:rsidR="002A21AE" w:rsidRPr="00AB67A6">
        <w:rPr>
          <w:rFonts w:ascii="Arial Bold" w:hAnsi="Arial Bold"/>
          <w:vanish/>
        </w:rPr>
        <w:instrText>Antibodies</w:instrText>
      </w:r>
      <w:r w:rsidR="00FA7E65" w:rsidRPr="00AB67A6">
        <w:rPr>
          <w:rFonts w:ascii="Arial Bold" w:hAnsi="Arial Bold"/>
          <w:vanish/>
        </w:rPr>
        <w:instrText>”</w:instrText>
      </w:r>
      <w:r w:rsidR="002A21AE" w:rsidRPr="00AB67A6">
        <w:rPr>
          <w:rFonts w:ascii="Arial Bold" w:hAnsi="Arial Bold"/>
          <w:vanish/>
        </w:rPr>
        <w:instrText xml:space="preserve"> </w:instrText>
      </w:r>
      <w:r w:rsidR="002A21AE" w:rsidRPr="00AB67A6">
        <w:rPr>
          <w:rFonts w:ascii="Arial Bold" w:hAnsi="Arial Bold"/>
          <w:vanish/>
        </w:rPr>
        <w:fldChar w:fldCharType="end"/>
      </w:r>
      <w:r w:rsidR="002A21AE" w:rsidRPr="00AB67A6">
        <w:rPr>
          <w:rFonts w:ascii="Arial Bold" w:hAnsi="Arial Bold"/>
          <w:vanish/>
        </w:rPr>
        <w:t xml:space="preserve"> UC_23</w:t>
      </w:r>
    </w:p>
    <w:p w14:paraId="1F6C1F3F" w14:textId="77777777" w:rsidR="002A21AE" w:rsidRDefault="002A21AE" w:rsidP="00FA7E65">
      <w:pPr>
        <w:pStyle w:val="BodyText"/>
      </w:pPr>
      <w:r>
        <w:t>The user edit</w:t>
      </w:r>
      <w:r w:rsidR="00657A5C">
        <w:t xml:space="preserve">s </w:t>
      </w:r>
      <w:r>
        <w:t>certain fields in the supplied antibody table.</w:t>
      </w:r>
    </w:p>
    <w:p w14:paraId="11F77E38" w14:textId="77777777" w:rsidR="002A21AE" w:rsidRDefault="002A21AE">
      <w:pPr>
        <w:pStyle w:val="Heading4"/>
      </w:pPr>
      <w:r>
        <w:t xml:space="preserve">Assumptions </w:t>
      </w:r>
    </w:p>
    <w:p w14:paraId="5EB1E503" w14:textId="77777777" w:rsidR="002A21AE" w:rsidRDefault="002A21AE">
      <w:pPr>
        <w:pStyle w:val="ListBullet"/>
      </w:pPr>
      <w:r>
        <w:t>VBECS is configured to reflect antibody reference parameters. Only some of these parameters may be changed locally.</w:t>
      </w:r>
    </w:p>
    <w:p w14:paraId="69AB868B" w14:textId="77777777" w:rsidR="002A21AE" w:rsidRDefault="002A21AE">
      <w:pPr>
        <w:pStyle w:val="ListBullet"/>
      </w:pPr>
      <w:r>
        <w:t>The default settings are enforced without user interaction.</w:t>
      </w:r>
    </w:p>
    <w:p w14:paraId="74557642" w14:textId="77777777" w:rsidR="002A21AE" w:rsidRDefault="002A21AE">
      <w:pPr>
        <w:pStyle w:val="Heading4"/>
      </w:pPr>
      <w:r>
        <w:t>Outcome</w:t>
      </w:r>
    </w:p>
    <w:p w14:paraId="0DA6B42C" w14:textId="77777777" w:rsidR="002A21AE" w:rsidRDefault="002A21AE">
      <w:pPr>
        <w:pStyle w:val="ListBullet"/>
      </w:pPr>
      <w:r>
        <w:t xml:space="preserve">Each division has a populated antibody table whether or not the user makes any edits. </w:t>
      </w:r>
    </w:p>
    <w:p w14:paraId="4F5AA891" w14:textId="77777777" w:rsidR="002A21AE" w:rsidRDefault="002A21AE">
      <w:pPr>
        <w:pStyle w:val="Heading4"/>
      </w:pPr>
      <w:r>
        <w:t>Limitations and Restrictions</w:t>
      </w:r>
    </w:p>
    <w:p w14:paraId="64019F6F" w14:textId="77777777" w:rsidR="002A21AE" w:rsidRDefault="002A21AE">
      <w:pPr>
        <w:pStyle w:val="ListBullet"/>
      </w:pPr>
      <w:r>
        <w:t>None</w:t>
      </w:r>
    </w:p>
    <w:p w14:paraId="2D4E6095" w14:textId="77777777" w:rsidR="002A21AE" w:rsidRDefault="002A21AE">
      <w:pPr>
        <w:pStyle w:val="Heading4"/>
      </w:pPr>
      <w:r>
        <w:t>Additional Information</w:t>
      </w:r>
    </w:p>
    <w:p w14:paraId="32DC0640" w14:textId="0CAC4ADF" w:rsidR="002A21AE" w:rsidRDefault="002A21AE">
      <w:pPr>
        <w:pStyle w:val="ListBullet"/>
      </w:pPr>
      <w:r>
        <w:t xml:space="preserve">The </w:t>
      </w:r>
      <w:r w:rsidR="007F7AC7">
        <w:t>antibody table</w:t>
      </w:r>
      <w:r>
        <w:t xml:space="preserve"> define</w:t>
      </w:r>
      <w:r w:rsidR="005321B0">
        <w:t>s</w:t>
      </w:r>
      <w:r>
        <w:t xml:space="preserve"> an antigen negative requirement for all instances of the antibody for all patients in the division. When an antibody specificity does not generally require antigen negative blood but a patient has a unique appearance of that antibody </w:t>
      </w:r>
      <w:r w:rsidR="005321B0">
        <w:t xml:space="preserve">that </w:t>
      </w:r>
      <w:r>
        <w:t>require</w:t>
      </w:r>
      <w:r w:rsidR="004547A0">
        <w:t>s</w:t>
      </w:r>
      <w:r>
        <w:t xml:space="preserve"> antigen negative blood, the user may enter the antigen negative requirement for that patient in Special Instructions &amp; Transfusion Requirements: Enter a Transfusion Requirement.</w:t>
      </w:r>
    </w:p>
    <w:p w14:paraId="3DE8A216" w14:textId="77777777" w:rsidR="002A21AE" w:rsidRDefault="002A21AE">
      <w:pPr>
        <w:pStyle w:val="Heading4"/>
      </w:pPr>
      <w:r>
        <w:t>User Roles with Access to This Option</w:t>
      </w:r>
    </w:p>
    <w:p w14:paraId="209F01DB" w14:textId="77777777" w:rsidR="002A21AE" w:rsidRDefault="00A91BAF">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0F16FC90" w14:textId="77777777" w:rsidR="002A21AE" w:rsidRDefault="002A21AE">
      <w:pPr>
        <w:pStyle w:val="Heading4"/>
      </w:pPr>
      <w:r>
        <w:t>Antibodies</w:t>
      </w:r>
    </w:p>
    <w:p w14:paraId="7FE3D728" w14:textId="77777777" w:rsidR="002A21AE" w:rsidRDefault="002A21AE" w:rsidP="00FA7E65">
      <w:pPr>
        <w:pStyle w:val="BodyText"/>
      </w:pPr>
      <w:r>
        <w:t xml:space="preserve">The user chooses to edit the system-supplied blood antibody table. The Compatibility Percentage field is fully editable </w:t>
      </w:r>
      <w:r w:rsidR="00F276FF">
        <w:t xml:space="preserve">(except for ABO antibodies and anti-D) </w:t>
      </w:r>
      <w:r>
        <w:t>to allow facilities to reflect local populations. The user may edit only the Clinically Significant entries initially exported as “No.”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F01278A" w14:textId="77777777">
        <w:trPr>
          <w:tblHeader/>
        </w:trPr>
        <w:tc>
          <w:tcPr>
            <w:tcW w:w="3240" w:type="dxa"/>
            <w:shd w:val="pct30" w:color="auto" w:fill="FFFFFF"/>
            <w:vAlign w:val="bottom"/>
          </w:tcPr>
          <w:p w14:paraId="62C2183C" w14:textId="77777777" w:rsidR="002A21AE" w:rsidRDefault="002A21AE">
            <w:pPr>
              <w:pStyle w:val="TableText"/>
              <w:rPr>
                <w:b/>
              </w:rPr>
            </w:pPr>
            <w:r>
              <w:rPr>
                <w:b/>
              </w:rPr>
              <w:t>User Action</w:t>
            </w:r>
          </w:p>
        </w:tc>
        <w:tc>
          <w:tcPr>
            <w:tcW w:w="6120" w:type="dxa"/>
            <w:shd w:val="pct30" w:color="auto" w:fill="FFFFFF"/>
            <w:vAlign w:val="bottom"/>
          </w:tcPr>
          <w:p w14:paraId="4B2895A1" w14:textId="77777777" w:rsidR="002A21AE" w:rsidRDefault="002A21AE">
            <w:pPr>
              <w:pStyle w:val="TableText"/>
              <w:rPr>
                <w:b/>
              </w:rPr>
            </w:pPr>
            <w:r>
              <w:rPr>
                <w:b/>
              </w:rPr>
              <w:t>VBECS</w:t>
            </w:r>
          </w:p>
        </w:tc>
      </w:tr>
      <w:tr w:rsidR="002A21AE" w14:paraId="4D14B97C" w14:textId="77777777">
        <w:tc>
          <w:tcPr>
            <w:tcW w:w="3240" w:type="dxa"/>
          </w:tcPr>
          <w:p w14:paraId="1A56C21C" w14:textId="77777777" w:rsidR="002A21AE" w:rsidRDefault="002A21AE">
            <w:pPr>
              <w:pStyle w:val="TableTextNumbers"/>
            </w:pPr>
            <w:r>
              <w:t xml:space="preserve">Select </w:t>
            </w:r>
            <w:r>
              <w:rPr>
                <w:b/>
              </w:rPr>
              <w:t>Tools</w:t>
            </w:r>
            <w:r>
              <w:t xml:space="preserve"> from the main menu. </w:t>
            </w:r>
          </w:p>
          <w:p w14:paraId="0D617215" w14:textId="77777777" w:rsidR="002A21AE" w:rsidRDefault="002A21AE">
            <w:pPr>
              <w:pStyle w:val="TableTextNumbersContinued"/>
            </w:pPr>
          </w:p>
          <w:p w14:paraId="6E625529" w14:textId="77777777" w:rsidR="002A21AE" w:rsidRDefault="002A21AE">
            <w:pPr>
              <w:pStyle w:val="TableTextNumbersContinued"/>
            </w:pPr>
            <w:r>
              <w:t xml:space="preserve">Select </w:t>
            </w:r>
            <w:r>
              <w:rPr>
                <w:b/>
              </w:rPr>
              <w:t>Antibodies</w:t>
            </w:r>
            <w:r>
              <w:t>.</w:t>
            </w:r>
          </w:p>
        </w:tc>
        <w:tc>
          <w:tcPr>
            <w:tcW w:w="6120" w:type="dxa"/>
          </w:tcPr>
          <w:p w14:paraId="4D69F550" w14:textId="77777777" w:rsidR="002A21AE" w:rsidRDefault="002A21AE">
            <w:pPr>
              <w:pStyle w:val="TableTextBullet"/>
            </w:pPr>
            <w:r>
              <w:t>Displays options for processing administrative functions.</w:t>
            </w:r>
          </w:p>
          <w:p w14:paraId="74F4DBCB" w14:textId="77777777" w:rsidR="002A21AE" w:rsidRDefault="002A21AE">
            <w:pPr>
              <w:pStyle w:val="TableTextBullet"/>
            </w:pPr>
            <w:r>
              <w:t>Lists available antibodies based on the system-supplied table.</w:t>
            </w:r>
          </w:p>
          <w:p w14:paraId="70A103DD" w14:textId="77777777" w:rsidR="002A21AE" w:rsidRDefault="002A21AE">
            <w:pPr>
              <w:pStyle w:val="TableText"/>
            </w:pPr>
          </w:p>
          <w:p w14:paraId="6C1E1EB5" w14:textId="6E798B47" w:rsidR="002A21AE" w:rsidRDefault="002A21AE">
            <w:pPr>
              <w:pStyle w:val="TableText"/>
              <w:rPr>
                <w:b/>
                <w:bCs/>
                <w:szCs w:val="18"/>
              </w:rPr>
            </w:pPr>
            <w:r>
              <w:rPr>
                <w:b/>
                <w:bCs/>
                <w:szCs w:val="18"/>
              </w:rPr>
              <w:t>NOTES</w:t>
            </w:r>
          </w:p>
          <w:p w14:paraId="5A8CF578" w14:textId="77777777" w:rsidR="002A21AE" w:rsidRDefault="002A21AE">
            <w:pPr>
              <w:pStyle w:val="NotesText"/>
            </w:pPr>
          </w:p>
          <w:p w14:paraId="6CB1F633" w14:textId="3C030D1A" w:rsidR="002A21AE" w:rsidRDefault="002A21AE">
            <w:pPr>
              <w:pStyle w:val="NotesText"/>
            </w:pPr>
            <w:r>
              <w:t xml:space="preserve">See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 xml:space="preserve">: </w:t>
            </w:r>
            <w:r w:rsidR="00DA05C9">
              <w:fldChar w:fldCharType="begin"/>
            </w:r>
            <w:r w:rsidR="00DA05C9">
              <w:instrText xml:space="preserve"> REF _Ref126484449 \h </w:instrText>
            </w:r>
            <w:r w:rsidR="00DA05C9">
              <w:fldChar w:fldCharType="separate"/>
            </w:r>
            <w:r w:rsidR="004353ED">
              <w:t xml:space="preserve">Table </w:t>
            </w:r>
            <w:r w:rsidR="004353ED">
              <w:rPr>
                <w:noProof/>
              </w:rPr>
              <w:t>14</w:t>
            </w:r>
            <w:r w:rsidR="004353ED">
              <w:t xml:space="preserve">: </w:t>
            </w:r>
            <w:r w:rsidR="004353ED">
              <w:rPr>
                <w:vanish/>
              </w:rPr>
              <w:t xml:space="preserve">TT_23.01A </w:t>
            </w:r>
            <w:r w:rsidR="004353ED">
              <w:t>Antibody and Antigen Table: Irregular Antibodies</w:t>
            </w:r>
            <w:r w:rsidR="00DA05C9">
              <w:fldChar w:fldCharType="end"/>
            </w:r>
            <w:r>
              <w:t>.</w:t>
            </w:r>
          </w:p>
          <w:p w14:paraId="023EFB2A" w14:textId="77777777" w:rsidR="002A21AE" w:rsidRDefault="002A21AE">
            <w:pPr>
              <w:pStyle w:val="NotesText"/>
            </w:pPr>
          </w:p>
          <w:p w14:paraId="45363ED1" w14:textId="77777777" w:rsidR="002A21AE" w:rsidRDefault="002A21AE">
            <w:pPr>
              <w:pStyle w:val="NotesText"/>
            </w:pPr>
            <w:r w:rsidRPr="009660C3">
              <w:rPr>
                <w:vanish/>
                <w:szCs w:val="18"/>
              </w:rPr>
              <w:t xml:space="preserve">BR_31.07 </w:t>
            </w:r>
            <w:r>
              <w:t>The table’s presentation order is predefined at implementation and may not be sorted.</w:t>
            </w:r>
          </w:p>
        </w:tc>
      </w:tr>
      <w:tr w:rsidR="002A21AE" w14:paraId="222B47C8" w14:textId="77777777" w:rsidTr="007E500E">
        <w:trPr>
          <w:cantSplit/>
        </w:trPr>
        <w:tc>
          <w:tcPr>
            <w:tcW w:w="3240" w:type="dxa"/>
          </w:tcPr>
          <w:p w14:paraId="2F1CA78F" w14:textId="5F6BEB1F" w:rsidR="002A21AE" w:rsidRDefault="002A21AE">
            <w:pPr>
              <w:pStyle w:val="TableTextNumbers"/>
            </w:pPr>
            <w:r>
              <w:lastRenderedPageBreak/>
              <w:t xml:space="preserve">Select the antibody, edit each field, and click </w:t>
            </w:r>
            <w:r>
              <w:rPr>
                <w:b/>
              </w:rPr>
              <w:t>Update</w:t>
            </w:r>
            <w:r w:rsidR="006E74F2" w:rsidRPr="006E74F2">
              <w:t xml:space="preserve"> </w:t>
            </w:r>
            <w:r w:rsidR="006E74F2">
              <w:t>(</w:t>
            </w:r>
            <w:r w:rsidR="006E74F2">
              <w:fldChar w:fldCharType="begin"/>
            </w:r>
            <w:r w:rsidR="006E74F2">
              <w:instrText xml:space="preserve"> REF _Ref126471658 \h </w:instrText>
            </w:r>
            <w:r w:rsidR="006E74F2">
              <w:fldChar w:fldCharType="separate"/>
            </w:r>
            <w:r w:rsidR="004353ED">
              <w:t xml:space="preserve">Figure </w:t>
            </w:r>
            <w:r w:rsidR="004353ED">
              <w:rPr>
                <w:noProof/>
              </w:rPr>
              <w:t>52</w:t>
            </w:r>
            <w:r w:rsidR="006E74F2">
              <w:fldChar w:fldCharType="end"/>
            </w:r>
            <w:r w:rsidR="006E74F2">
              <w:t>)</w:t>
            </w:r>
            <w:r w:rsidRPr="00B65BA7">
              <w:t xml:space="preserve">. </w:t>
            </w:r>
          </w:p>
        </w:tc>
        <w:tc>
          <w:tcPr>
            <w:tcW w:w="6120" w:type="dxa"/>
          </w:tcPr>
          <w:p w14:paraId="7954E6CC" w14:textId="77777777" w:rsidR="002A21AE" w:rsidRDefault="002A21AE">
            <w:pPr>
              <w:pStyle w:val="TableTextBullet"/>
            </w:pPr>
            <w:r>
              <w:t>Displays data and allows the user to edit them.</w:t>
            </w:r>
          </w:p>
          <w:p w14:paraId="492715BF" w14:textId="79A7201B" w:rsidR="002A21AE" w:rsidRDefault="002A21AE" w:rsidP="005321B0">
            <w:pPr>
              <w:pStyle w:val="TableTextBullet"/>
            </w:pPr>
            <w:r>
              <w:t>Accommodates data entry</w:t>
            </w:r>
            <w:r w:rsidR="00D037D5">
              <w:t xml:space="preserve"> of whole numbers</w:t>
            </w:r>
            <w:r w:rsidR="005321B0">
              <w:t xml:space="preserve"> </w:t>
            </w:r>
            <w:r w:rsidR="000F2235">
              <w:t xml:space="preserve">(0–100) </w:t>
            </w:r>
            <w:r w:rsidR="005321B0">
              <w:t xml:space="preserve">and </w:t>
            </w:r>
            <w:r>
              <w:t>edit of the</w:t>
            </w:r>
            <w:r w:rsidR="005321B0">
              <w:t xml:space="preserve"> </w:t>
            </w:r>
            <w:r w:rsidR="000F2235">
              <w:t xml:space="preserve">Antigen Negative </w:t>
            </w:r>
            <w:r w:rsidR="005321B0">
              <w:t>C</w:t>
            </w:r>
            <w:r>
              <w:t xml:space="preserve">ompatibility </w:t>
            </w:r>
            <w:r w:rsidR="005321B0">
              <w:t>P</w:t>
            </w:r>
            <w:r>
              <w:t xml:space="preserve">ercentage </w:t>
            </w:r>
            <w:r w:rsidR="005321B0">
              <w:t xml:space="preserve">and </w:t>
            </w:r>
            <w:r w:rsidR="00435F15">
              <w:t>Higher-Level O</w:t>
            </w:r>
            <w:r>
              <w:t xml:space="preserve">verride </w:t>
            </w:r>
            <w:r w:rsidR="005321B0">
              <w:t>fields.</w:t>
            </w:r>
            <w:r w:rsidR="00EE3F5F">
              <w:t xml:space="preserve"> The user may not edit field</w:t>
            </w:r>
            <w:r w:rsidR="009363FF">
              <w:t>s</w:t>
            </w:r>
            <w:r w:rsidR="00EE3F5F">
              <w:t xml:space="preserve"> </w:t>
            </w:r>
            <w:r w:rsidR="007A3914">
              <w:t xml:space="preserve">displayed </w:t>
            </w:r>
            <w:r w:rsidR="00EE3F5F">
              <w:t>on a gray background.</w:t>
            </w:r>
            <w:r w:rsidR="00B72A6B">
              <w:t xml:space="preserve"> </w:t>
            </w:r>
            <w:r w:rsidR="00B72A6B" w:rsidRPr="00B72A6B">
              <w:rPr>
                <w:vanish/>
              </w:rPr>
              <w:t>Defect 208774</w:t>
            </w:r>
          </w:p>
          <w:p w14:paraId="7B7A211E" w14:textId="77777777" w:rsidR="002A21AE" w:rsidRDefault="002A21AE">
            <w:pPr>
              <w:pStyle w:val="TableText"/>
            </w:pPr>
          </w:p>
          <w:p w14:paraId="175568D9" w14:textId="47E11270" w:rsidR="002A21AE" w:rsidRDefault="002A21AE">
            <w:pPr>
              <w:pStyle w:val="TableText"/>
              <w:rPr>
                <w:b/>
                <w:bCs/>
                <w:szCs w:val="18"/>
              </w:rPr>
            </w:pPr>
            <w:r>
              <w:rPr>
                <w:b/>
                <w:bCs/>
                <w:szCs w:val="18"/>
              </w:rPr>
              <w:t>NOTES</w:t>
            </w:r>
          </w:p>
          <w:p w14:paraId="42A40481" w14:textId="77777777" w:rsidR="002A21AE" w:rsidRDefault="002A21AE">
            <w:pPr>
              <w:pStyle w:val="NotesText"/>
            </w:pPr>
          </w:p>
          <w:p w14:paraId="294DA121" w14:textId="23B4E089" w:rsidR="002A21AE" w:rsidRDefault="002A21AE">
            <w:pPr>
              <w:pStyle w:val="NotesText"/>
            </w:pPr>
            <w:r>
              <w:rPr>
                <w:rFonts w:cs="Arial"/>
                <w:vanish/>
              </w:rPr>
              <w:t xml:space="preserve">BR_23.01 </w:t>
            </w:r>
            <w:r>
              <w:t xml:space="preserve">When </w:t>
            </w:r>
            <w:r w:rsidR="00DA05C9">
              <w:fldChar w:fldCharType="begin"/>
            </w:r>
            <w:r w:rsidR="00DA05C9">
              <w:instrText xml:space="preserve"> REF _Ref126484449 \h </w:instrText>
            </w:r>
            <w:r w:rsidR="00DA05C9">
              <w:fldChar w:fldCharType="separate"/>
            </w:r>
            <w:r w:rsidR="004353ED">
              <w:t xml:space="preserve">Table </w:t>
            </w:r>
            <w:r w:rsidR="004353ED">
              <w:rPr>
                <w:noProof/>
              </w:rPr>
              <w:t>14</w:t>
            </w:r>
            <w:r w:rsidR="004353ED">
              <w:t xml:space="preserve">: </w:t>
            </w:r>
            <w:r w:rsidR="004353ED">
              <w:rPr>
                <w:vanish/>
              </w:rPr>
              <w:t xml:space="preserve">TT_23.01A </w:t>
            </w:r>
            <w:r w:rsidR="004353ED">
              <w:t>Antibody and Antigen Table: Irregular Antibodies</w:t>
            </w:r>
            <w:r w:rsidR="00DA05C9">
              <w:fldChar w:fldCharType="end"/>
            </w:r>
            <w:r>
              <w:t xml:space="preserve"> “antibody sets an antigen negative requirement” field is defined as REQ (required) at installation, it is not editable. When the default settings is OPT (optional), the user may change the name to REQ at any time and it will remain editable. </w:t>
            </w:r>
          </w:p>
        </w:tc>
      </w:tr>
      <w:tr w:rsidR="002A21AE" w14:paraId="1A7AE4FB" w14:textId="77777777">
        <w:tc>
          <w:tcPr>
            <w:tcW w:w="3240" w:type="dxa"/>
          </w:tcPr>
          <w:p w14:paraId="716D807F" w14:textId="77777777" w:rsidR="002A21AE" w:rsidRDefault="002A21AE">
            <w:pPr>
              <w:pStyle w:val="TableTextNumbers"/>
            </w:pPr>
            <w:r>
              <w:t xml:space="preserve">Repeat for each antibody to be edited. </w:t>
            </w:r>
          </w:p>
        </w:tc>
        <w:tc>
          <w:tcPr>
            <w:tcW w:w="6120" w:type="dxa"/>
          </w:tcPr>
          <w:p w14:paraId="10E774DC" w14:textId="77777777" w:rsidR="002A21AE" w:rsidRDefault="002A21AE">
            <w:pPr>
              <w:pStyle w:val="TableText"/>
            </w:pPr>
          </w:p>
        </w:tc>
      </w:tr>
      <w:tr w:rsidR="002A21AE" w14:paraId="3B873311" w14:textId="77777777">
        <w:tc>
          <w:tcPr>
            <w:tcW w:w="3240" w:type="dxa"/>
          </w:tcPr>
          <w:p w14:paraId="77AF287A" w14:textId="77777777" w:rsidR="002A21AE" w:rsidRDefault="002A21AE">
            <w:pPr>
              <w:pStyle w:val="TableTextNumbers"/>
            </w:pPr>
            <w:r>
              <w:t xml:space="preserve">Click </w:t>
            </w:r>
            <w:r>
              <w:rPr>
                <w:b/>
              </w:rPr>
              <w:t>OK</w:t>
            </w:r>
            <w:r>
              <w:t xml:space="preserve"> and </w:t>
            </w:r>
            <w:r>
              <w:rPr>
                <w:b/>
              </w:rPr>
              <w:t>Yes</w:t>
            </w:r>
            <w:r>
              <w:t xml:space="preserve"> to confirm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26" w:author="Blalock, David (Leidos)" w:date="2020-06-15T14:09:00Z" w:original="0."/>
              </w:fldChar>
            </w:r>
          </w:p>
        </w:tc>
        <w:tc>
          <w:tcPr>
            <w:tcW w:w="6120" w:type="dxa"/>
          </w:tcPr>
          <w:p w14:paraId="15B0D279" w14:textId="77777777" w:rsidR="002A21AE" w:rsidRDefault="002A21AE">
            <w:pPr>
              <w:pStyle w:val="TableText"/>
            </w:pPr>
          </w:p>
        </w:tc>
      </w:tr>
    </w:tbl>
    <w:p w14:paraId="4CBED51D" w14:textId="077BF9D1" w:rsidR="006E74F2" w:rsidRDefault="006E74F2" w:rsidP="006E74F2">
      <w:pPr>
        <w:pStyle w:val="Caption"/>
      </w:pPr>
      <w:bookmarkStart w:id="227" w:name="_Ref1264716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52</w:t>
      </w:r>
      <w:r w:rsidR="004E20BD">
        <w:rPr>
          <w:noProof/>
        </w:rPr>
        <w:fldChar w:fldCharType="end"/>
      </w:r>
      <w:bookmarkEnd w:id="227"/>
      <w:r>
        <w:t>: Maintain Antibodies</w:t>
      </w:r>
    </w:p>
    <w:p w14:paraId="50028D61" w14:textId="77777777" w:rsidR="002A21AE" w:rsidRDefault="00057948">
      <w:pPr>
        <w:pStyle w:val="BodyText"/>
      </w:pPr>
      <w:r>
        <w:rPr>
          <w:noProof/>
        </w:rPr>
        <w:drawing>
          <wp:inline distT="0" distB="0" distL="0" distR="0" wp14:anchorId="5ECC81AD" wp14:editId="3054E445">
            <wp:extent cx="3546475" cy="2835275"/>
            <wp:effectExtent l="0" t="0" r="0" b="3175"/>
            <wp:docPr id="134" name="Picture 1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a:extLst>
                        <a:ext uri="{C183D7F6-B498-43B3-948B-1728B52AA6E4}">
                          <adec:decorative xmlns:adec="http://schemas.microsoft.com/office/drawing/2017/decorative" val="1"/>
                        </a:ext>
                      </a:extLst>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546475" cy="2835275"/>
                    </a:xfrm>
                    <a:prstGeom prst="rect">
                      <a:avLst/>
                    </a:prstGeom>
                    <a:noFill/>
                    <a:ln>
                      <a:noFill/>
                    </a:ln>
                  </pic:spPr>
                </pic:pic>
              </a:graphicData>
            </a:graphic>
          </wp:inline>
        </w:drawing>
      </w:r>
    </w:p>
    <w:p w14:paraId="0CF6A5E5" w14:textId="77777777" w:rsidR="002A21AE" w:rsidRDefault="00AF089A">
      <w:pPr>
        <w:pStyle w:val="Heading3"/>
      </w:pPr>
      <w:bookmarkStart w:id="228" w:name="_Toc63680390"/>
      <w:r>
        <w:br w:type="page"/>
      </w:r>
      <w:bookmarkStart w:id="229" w:name="_Toc47516703"/>
      <w:r w:rsidR="002A21AE">
        <w:lastRenderedPageBreak/>
        <w:t>Canned Comments</w:t>
      </w:r>
      <w:bookmarkEnd w:id="228"/>
      <w:bookmarkEnd w:id="229"/>
      <w:r w:rsidR="002A21AE" w:rsidRPr="00AB67A6">
        <w:rPr>
          <w:rFonts w:ascii="Arial Bold" w:hAnsi="Arial Bold"/>
          <w:vanish/>
        </w:rPr>
        <w:fldChar w:fldCharType="begin"/>
      </w:r>
      <w:r w:rsidR="002A21AE" w:rsidRPr="00AB67A6">
        <w:rPr>
          <w:rFonts w:ascii="Arial Bold" w:hAnsi="Arial Bold"/>
          <w:vanish/>
        </w:rPr>
        <w:instrText xml:space="preserve"> XE </w:instrText>
      </w:r>
      <w:r w:rsidR="00FA7E65" w:rsidRPr="00AB67A6">
        <w:rPr>
          <w:rFonts w:ascii="Arial Bold" w:hAnsi="Arial Bold"/>
          <w:vanish/>
        </w:rPr>
        <w:instrText>“</w:instrText>
      </w:r>
      <w:r w:rsidR="002A21AE" w:rsidRPr="00AB67A6">
        <w:rPr>
          <w:rFonts w:ascii="Arial Bold" w:hAnsi="Arial Bold"/>
          <w:vanish/>
        </w:rPr>
        <w:instrText>Canned Comments</w:instrText>
      </w:r>
      <w:r w:rsidR="00FA7E65" w:rsidRPr="00AB67A6">
        <w:rPr>
          <w:rFonts w:ascii="Arial Bold" w:hAnsi="Arial Bold"/>
          <w:vanish/>
        </w:rPr>
        <w:instrText>”</w:instrText>
      </w:r>
      <w:r w:rsidR="002A21AE" w:rsidRPr="00AB67A6">
        <w:rPr>
          <w:rFonts w:ascii="Arial Bold" w:hAnsi="Arial Bold"/>
          <w:vanish/>
        </w:rPr>
        <w:instrText xml:space="preserve"> </w:instrText>
      </w:r>
      <w:r w:rsidR="002A21AE" w:rsidRPr="00AB67A6">
        <w:rPr>
          <w:rFonts w:ascii="Arial Bold" w:hAnsi="Arial Bold"/>
          <w:vanish/>
        </w:rPr>
        <w:fldChar w:fldCharType="end"/>
      </w:r>
      <w:r w:rsidR="002A21AE" w:rsidRPr="00AB67A6">
        <w:rPr>
          <w:rFonts w:ascii="Arial Bold" w:hAnsi="Arial Bold"/>
          <w:vanish/>
        </w:rPr>
        <w:t xml:space="preserve"> UC_31</w:t>
      </w:r>
    </w:p>
    <w:p w14:paraId="6D470BFE" w14:textId="77777777" w:rsidR="002A21AE" w:rsidRDefault="002A21AE" w:rsidP="00FA7E65">
      <w:pPr>
        <w:pStyle w:val="BodyText"/>
      </w:pPr>
      <w:r>
        <w:t>The user defines canned comments for a division.</w:t>
      </w:r>
    </w:p>
    <w:p w14:paraId="59A40C41" w14:textId="77777777" w:rsidR="002A21AE" w:rsidRDefault="002A21AE">
      <w:pPr>
        <w:pStyle w:val="Heading4"/>
      </w:pPr>
      <w:r>
        <w:t>Assumptions</w:t>
      </w:r>
    </w:p>
    <w:p w14:paraId="0576F28F" w14:textId="77777777" w:rsidR="002A21AE" w:rsidRDefault="002A21AE">
      <w:pPr>
        <w:pStyle w:val="ListBullet"/>
      </w:pPr>
      <w:r>
        <w:t>None</w:t>
      </w:r>
    </w:p>
    <w:p w14:paraId="3F43FC5D" w14:textId="77777777" w:rsidR="002A21AE" w:rsidRDefault="002A21AE">
      <w:pPr>
        <w:pStyle w:val="Heading4"/>
      </w:pPr>
      <w:r>
        <w:t>Outcome</w:t>
      </w:r>
    </w:p>
    <w:p w14:paraId="2E356044" w14:textId="77777777" w:rsidR="002A21AE" w:rsidRDefault="002A21AE">
      <w:pPr>
        <w:pStyle w:val="ListBullet"/>
      </w:pPr>
      <w:r>
        <w:t>Canned comments for a division are available for selection.</w:t>
      </w:r>
    </w:p>
    <w:p w14:paraId="50BADA6F" w14:textId="77777777" w:rsidR="002A21AE" w:rsidRDefault="002A21AE">
      <w:pPr>
        <w:pStyle w:val="Heading4"/>
      </w:pPr>
      <w:r>
        <w:t>Limitations and Restrictions</w:t>
      </w:r>
    </w:p>
    <w:p w14:paraId="2B5AA3F9" w14:textId="28441C6C" w:rsidR="002F3BCC" w:rsidRDefault="002A21AE" w:rsidP="00C973F9">
      <w:pPr>
        <w:pStyle w:val="ListBullet"/>
      </w:pPr>
      <w:r>
        <w:t>The user may not edit comments</w:t>
      </w:r>
      <w:r w:rsidR="00E47F66">
        <w:t xml:space="preserve"> provided with VBECS </w:t>
      </w:r>
      <w:r>
        <w:t xml:space="preserve">but may create </w:t>
      </w:r>
      <w:r w:rsidR="00B97198">
        <w:t>additional comments</w:t>
      </w:r>
      <w:r>
        <w:t>.</w:t>
      </w:r>
      <w:r w:rsidR="0002020B">
        <w:t xml:space="preserve"> </w:t>
      </w:r>
      <w:r w:rsidR="00C973F9">
        <w:t xml:space="preserve">Although comments can </w:t>
      </w:r>
      <w:r w:rsidR="002211C7">
        <w:t xml:space="preserve">also </w:t>
      </w:r>
      <w:r w:rsidR="00C973F9">
        <w:t xml:space="preserve">be removed, there should remain at least one comment </w:t>
      </w:r>
      <w:r w:rsidR="00B72A6B">
        <w:t xml:space="preserve">per category </w:t>
      </w:r>
      <w:r w:rsidR="00C973F9">
        <w:t>available for selection, (e.g., “Other”).</w:t>
      </w:r>
      <w:r w:rsidR="0002020B">
        <w:t xml:space="preserve"> </w:t>
      </w:r>
      <w:r w:rsidR="0002020B" w:rsidRPr="0002020B">
        <w:rPr>
          <w:vanish/>
        </w:rPr>
        <w:t>Defect 209175</w:t>
      </w:r>
    </w:p>
    <w:p w14:paraId="4F516484" w14:textId="0B5237BE" w:rsidR="002C6BD1" w:rsidRDefault="002C6BD1" w:rsidP="002C6BD1">
      <w:pPr>
        <w:pStyle w:val="ListBullet"/>
      </w:pPr>
      <w:r>
        <w:t>Site personnel must enter comments in accordance with local policy and procedures.</w:t>
      </w:r>
    </w:p>
    <w:p w14:paraId="008A0CB9" w14:textId="77777777" w:rsidR="002A21AE" w:rsidRDefault="002A21AE">
      <w:pPr>
        <w:pStyle w:val="Heading4"/>
      </w:pPr>
      <w:r>
        <w:t>Additional Information</w:t>
      </w:r>
    </w:p>
    <w:p w14:paraId="4B16D6D8" w14:textId="37E5EE5D" w:rsidR="002A21AE" w:rsidRDefault="002A21AE">
      <w:pPr>
        <w:pStyle w:val="ListBullet"/>
      </w:pPr>
      <w:r>
        <w:rPr>
          <w:rFonts w:ascii="Arial" w:hAnsi="Arial" w:cs="Arial"/>
          <w:vanish/>
          <w:spacing w:val="0"/>
          <w:sz w:val="18"/>
        </w:rPr>
        <w:t xml:space="preserve">BR_31.01 </w:t>
      </w:r>
      <w:r>
        <w:t xml:space="preserve">Canned comments are specific to each division. See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 xml:space="preserve">: </w:t>
      </w:r>
      <w:r w:rsidR="00DA05C9">
        <w:fldChar w:fldCharType="begin"/>
      </w:r>
      <w:r w:rsidR="00DA05C9">
        <w:instrText xml:space="preserve"> REF _Ref126484498 \h </w:instrText>
      </w:r>
      <w:r w:rsidR="00DA05C9">
        <w:fldChar w:fldCharType="separate"/>
      </w:r>
      <w:r w:rsidR="004353ED">
        <w:t xml:space="preserve">Table </w:t>
      </w:r>
      <w:r w:rsidR="004353ED">
        <w:rPr>
          <w:noProof/>
        </w:rPr>
        <w:t>17</w:t>
      </w:r>
      <w:r w:rsidR="004353ED">
        <w:t xml:space="preserve">: </w:t>
      </w:r>
      <w:r w:rsidR="004353ED">
        <w:rPr>
          <w:vanish/>
        </w:rPr>
        <w:t xml:space="preserve">PT_31.01 </w:t>
      </w:r>
      <w:r w:rsidR="004353ED">
        <w:t>Canned Comment Category Types and Message Text</w:t>
      </w:r>
      <w:r w:rsidR="00DA05C9">
        <w:fldChar w:fldCharType="end"/>
      </w:r>
      <w:r w:rsidR="00DA05C9">
        <w:t xml:space="preserve"> </w:t>
      </w:r>
      <w:r>
        <w:t>defines the category types and comments.</w:t>
      </w:r>
    </w:p>
    <w:p w14:paraId="4AB251BA" w14:textId="025160A9" w:rsidR="00EF0B68" w:rsidRDefault="00EF0B68" w:rsidP="00867DFC">
      <w:pPr>
        <w:pStyle w:val="ListBullet"/>
      </w:pPr>
      <w:r w:rsidRPr="00AE3748">
        <w:t xml:space="preserve">Currently, VBECS does not </w:t>
      </w:r>
      <w:r w:rsidR="00867DFC" w:rsidRPr="00AE3748">
        <w:t xml:space="preserve">identify the testing laboratory and include its address on results reports in CPRS. </w:t>
      </w:r>
      <w:r w:rsidR="00D44689">
        <w:t>A</w:t>
      </w:r>
      <w:r w:rsidR="00867DFC" w:rsidRPr="00AE3748">
        <w:t xml:space="preserve"> workaround for the issue is to create Canned Comments for the missing information and apply them to blood bank results.</w:t>
      </w:r>
    </w:p>
    <w:p w14:paraId="463CFACE" w14:textId="77777777" w:rsidR="002A21AE" w:rsidRPr="00AE3748" w:rsidRDefault="002A21AE">
      <w:pPr>
        <w:pStyle w:val="Heading4"/>
        <w:rPr>
          <w:rFonts w:ascii="Times New Roman" w:hAnsi="Times New Roman"/>
          <w:b w:val="0"/>
          <w:spacing w:val="-5"/>
          <w:szCs w:val="22"/>
        </w:rPr>
      </w:pPr>
      <w:r w:rsidRPr="00AE3748">
        <w:rPr>
          <w:rFonts w:ascii="Times New Roman" w:hAnsi="Times New Roman"/>
          <w:b w:val="0"/>
          <w:spacing w:val="-5"/>
          <w:szCs w:val="22"/>
        </w:rPr>
        <w:t>User Roles with Access to This Option</w:t>
      </w:r>
    </w:p>
    <w:p w14:paraId="2C6E8A14" w14:textId="77777777" w:rsidR="002A21AE" w:rsidRDefault="00785DA1">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7B3E18E" w14:textId="77777777" w:rsidR="002A21AE" w:rsidRDefault="002A21AE">
      <w:pPr>
        <w:pStyle w:val="Heading4"/>
      </w:pPr>
      <w:r>
        <w:t>Canned Comments</w:t>
      </w:r>
    </w:p>
    <w:p w14:paraId="3AE0D895" w14:textId="77777777" w:rsidR="00434F15" w:rsidRPr="00A0090C" w:rsidRDefault="00434F15" w:rsidP="00434F15">
      <w:pPr>
        <w:pStyle w:val="BodyText"/>
      </w:pPr>
      <w:r>
        <w:t xml:space="preserve">It is recommended that the user </w:t>
      </w:r>
      <w:r w:rsidRPr="00A0090C">
        <w:t xml:space="preserve">review the canned comments </w:t>
      </w:r>
      <w:r w:rsidR="0011459B">
        <w:t xml:space="preserve">provided with VBECS </w:t>
      </w:r>
      <w:r w:rsidRPr="00A0090C">
        <w:t xml:space="preserve">for each </w:t>
      </w:r>
      <w:r>
        <w:t>category type</w:t>
      </w:r>
      <w:r w:rsidRPr="00A0090C">
        <w:t xml:space="preserve"> and inactivate those that </w:t>
      </w:r>
      <w:r>
        <w:t>will not be used</w:t>
      </w:r>
      <w:r w:rsidRPr="00A0090C">
        <w:t>.</w:t>
      </w:r>
      <w:r w:rsidR="0011459B">
        <w:t xml:space="preserve"> </w:t>
      </w:r>
    </w:p>
    <w:p w14:paraId="5EE1975B" w14:textId="77777777" w:rsidR="002A21AE" w:rsidRDefault="002A21AE" w:rsidP="00FA7E65">
      <w:pPr>
        <w:pStyle w:val="BodyText"/>
      </w:pPr>
      <w:r>
        <w:t xml:space="preserve">The user creates canned comments to use in lieu of entering text. Canned comments are restricted for selection based on the </w:t>
      </w:r>
      <w:r w:rsidR="0036471F">
        <w:t>category type</w:t>
      </w:r>
      <w:r>
        <w:t xml:space="preserve"> of the comment field. </w:t>
      </w:r>
    </w:p>
    <w:p w14:paraId="0F7865FD" w14:textId="77777777" w:rsidR="002A21AE" w:rsidRDefault="002A21AE" w:rsidP="00FA7E65">
      <w:pPr>
        <w:pStyle w:val="BodyText"/>
      </w:pPr>
      <w:r>
        <w:t>The user may select a comment and has the option to enter explanatory text in the details field.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ECF8936" w14:textId="77777777">
        <w:trPr>
          <w:tblHeader/>
        </w:trPr>
        <w:tc>
          <w:tcPr>
            <w:tcW w:w="3240" w:type="dxa"/>
            <w:shd w:val="pct30" w:color="auto" w:fill="FFFFFF"/>
            <w:vAlign w:val="bottom"/>
          </w:tcPr>
          <w:p w14:paraId="18ED4BEA" w14:textId="77777777" w:rsidR="002A21AE" w:rsidRDefault="002A21AE">
            <w:pPr>
              <w:pStyle w:val="TableText"/>
              <w:rPr>
                <w:b/>
              </w:rPr>
            </w:pPr>
            <w:bookmarkStart w:id="230" w:name="_Toc63680392"/>
            <w:r>
              <w:rPr>
                <w:b/>
              </w:rPr>
              <w:t>User Action</w:t>
            </w:r>
          </w:p>
        </w:tc>
        <w:tc>
          <w:tcPr>
            <w:tcW w:w="6120" w:type="dxa"/>
            <w:shd w:val="pct30" w:color="auto" w:fill="FFFFFF"/>
            <w:vAlign w:val="bottom"/>
          </w:tcPr>
          <w:p w14:paraId="628621E7" w14:textId="77777777" w:rsidR="002A21AE" w:rsidRDefault="002A21AE">
            <w:pPr>
              <w:pStyle w:val="TableText"/>
              <w:rPr>
                <w:b/>
              </w:rPr>
            </w:pPr>
            <w:r>
              <w:rPr>
                <w:b/>
              </w:rPr>
              <w:t>VBECS</w:t>
            </w:r>
          </w:p>
        </w:tc>
      </w:tr>
      <w:tr w:rsidR="002A21AE" w14:paraId="0012DE12" w14:textId="77777777">
        <w:tc>
          <w:tcPr>
            <w:tcW w:w="3240" w:type="dxa"/>
          </w:tcPr>
          <w:p w14:paraId="0ACFC4D9" w14:textId="77777777" w:rsidR="002A21AE" w:rsidRDefault="002A21AE">
            <w:pPr>
              <w:pStyle w:val="TableTextNumbers"/>
            </w:pPr>
            <w:r>
              <w:t xml:space="preserve">Select </w:t>
            </w:r>
            <w:r>
              <w:rPr>
                <w:b/>
              </w:rPr>
              <w:t>Tools</w:t>
            </w:r>
            <w:r>
              <w:t xml:space="preserve"> from the main menu.</w:t>
            </w:r>
          </w:p>
          <w:p w14:paraId="5FBF5F58" w14:textId="77777777" w:rsidR="002A21AE" w:rsidRDefault="002A21AE">
            <w:pPr>
              <w:pStyle w:val="TableTextNumbersContinued"/>
            </w:pPr>
          </w:p>
          <w:p w14:paraId="4BB99ABE" w14:textId="77777777" w:rsidR="002A21AE" w:rsidRDefault="002A21AE">
            <w:pPr>
              <w:pStyle w:val="TableTextNumbersContinued"/>
            </w:pPr>
            <w:r>
              <w:t xml:space="preserve">Select </w:t>
            </w:r>
            <w:r>
              <w:rPr>
                <w:b/>
              </w:rPr>
              <w:t>Canned Comments</w:t>
            </w:r>
            <w:r>
              <w:t>.</w:t>
            </w:r>
          </w:p>
        </w:tc>
        <w:tc>
          <w:tcPr>
            <w:tcW w:w="6120" w:type="dxa"/>
          </w:tcPr>
          <w:p w14:paraId="2A725AD1" w14:textId="77777777" w:rsidR="002A21AE" w:rsidRDefault="002A21AE">
            <w:pPr>
              <w:pStyle w:val="TableTextBullet"/>
            </w:pPr>
            <w:r>
              <w:t>Displays options for processing administrative functions.</w:t>
            </w:r>
          </w:p>
        </w:tc>
      </w:tr>
      <w:tr w:rsidR="002A21AE" w14:paraId="5E069D85" w14:textId="77777777">
        <w:tc>
          <w:tcPr>
            <w:tcW w:w="3240" w:type="dxa"/>
          </w:tcPr>
          <w:p w14:paraId="6EDDF95B" w14:textId="73FBF125" w:rsidR="002A21AE" w:rsidRDefault="002A21AE">
            <w:pPr>
              <w:pStyle w:val="TableTextNumbers"/>
            </w:pPr>
            <w:r>
              <w:t>Select a comment category type from the drop-down list</w:t>
            </w:r>
            <w:r w:rsidR="00A9458F">
              <w:t xml:space="preserve"> (</w:t>
            </w:r>
            <w:r w:rsidR="00A9458F">
              <w:fldChar w:fldCharType="begin"/>
            </w:r>
            <w:r w:rsidR="00A9458F">
              <w:instrText xml:space="preserve"> REF _Ref126471989 \h </w:instrText>
            </w:r>
            <w:r w:rsidR="00A9458F">
              <w:fldChar w:fldCharType="separate"/>
            </w:r>
            <w:r w:rsidR="004353ED">
              <w:t xml:space="preserve">Figure </w:t>
            </w:r>
            <w:r w:rsidR="004353ED">
              <w:rPr>
                <w:noProof/>
              </w:rPr>
              <w:t>53</w:t>
            </w:r>
            <w:r w:rsidR="00A9458F">
              <w:fldChar w:fldCharType="end"/>
            </w:r>
            <w:r w:rsidR="00A9458F">
              <w:t>)</w:t>
            </w:r>
            <w:r>
              <w:t>.</w:t>
            </w:r>
          </w:p>
        </w:tc>
        <w:tc>
          <w:tcPr>
            <w:tcW w:w="6120" w:type="dxa"/>
          </w:tcPr>
          <w:p w14:paraId="54B40754" w14:textId="77777777" w:rsidR="002A21AE" w:rsidRDefault="002A21AE">
            <w:pPr>
              <w:pStyle w:val="TableTextBullet"/>
            </w:pPr>
            <w:r>
              <w:t>Lists the category types for canned comments.</w:t>
            </w:r>
          </w:p>
          <w:p w14:paraId="1989FEF4" w14:textId="77777777" w:rsidR="002A21AE" w:rsidRDefault="002A21AE">
            <w:pPr>
              <w:pStyle w:val="TableTextBullet"/>
            </w:pPr>
            <w:r>
              <w:t>Allows the user to create a comment or inactivate an existing one.</w:t>
            </w:r>
          </w:p>
        </w:tc>
      </w:tr>
      <w:tr w:rsidR="002A21AE" w14:paraId="7FAA57A9" w14:textId="77777777" w:rsidTr="007E500E">
        <w:trPr>
          <w:cantSplit/>
        </w:trPr>
        <w:tc>
          <w:tcPr>
            <w:tcW w:w="3240" w:type="dxa"/>
          </w:tcPr>
          <w:p w14:paraId="3ED5F113" w14:textId="77777777" w:rsidR="002A21AE" w:rsidRDefault="002A21AE">
            <w:pPr>
              <w:pStyle w:val="TableTextNumbers"/>
            </w:pPr>
            <w:r>
              <w:lastRenderedPageBreak/>
              <w:t xml:space="preserve">Enter text in the Comment field and click </w:t>
            </w:r>
            <w:r>
              <w:rPr>
                <w:b/>
              </w:rPr>
              <w:t>Add</w:t>
            </w:r>
            <w:r>
              <w:t xml:space="preserve"> to add a comment.</w:t>
            </w:r>
          </w:p>
          <w:p w14:paraId="308E461D" w14:textId="77777777" w:rsidR="002A21AE" w:rsidRDefault="002A21AE">
            <w:pPr>
              <w:pStyle w:val="TableTextNumbersContinued"/>
            </w:pPr>
          </w:p>
          <w:p w14:paraId="5D2482B3" w14:textId="77777777" w:rsidR="002A21AE" w:rsidRDefault="002A21AE">
            <w:pPr>
              <w:pStyle w:val="TableTextNumbersContinued"/>
            </w:pPr>
            <w:r>
              <w:t>Click one or more check boxes to inactivate existing comments.</w:t>
            </w:r>
          </w:p>
        </w:tc>
        <w:tc>
          <w:tcPr>
            <w:tcW w:w="6120" w:type="dxa"/>
          </w:tcPr>
          <w:p w14:paraId="5CB707C2" w14:textId="77777777" w:rsidR="002A21AE" w:rsidRDefault="002A21AE">
            <w:pPr>
              <w:pStyle w:val="TableTextBullet"/>
            </w:pPr>
            <w:r>
              <w:t>Displays entered data and allows the user to edit them before saving.</w:t>
            </w:r>
          </w:p>
          <w:p w14:paraId="74B18B8B" w14:textId="77777777" w:rsidR="000144A0" w:rsidRDefault="000144A0" w:rsidP="000144A0">
            <w:pPr>
              <w:pStyle w:val="TableText"/>
            </w:pPr>
          </w:p>
          <w:p w14:paraId="5A434D2E" w14:textId="208D1F0B" w:rsidR="000144A0" w:rsidRDefault="000144A0" w:rsidP="000144A0">
            <w:pPr>
              <w:pStyle w:val="TableText"/>
              <w:rPr>
                <w:b/>
                <w:bCs/>
                <w:szCs w:val="18"/>
              </w:rPr>
            </w:pPr>
            <w:r>
              <w:rPr>
                <w:b/>
                <w:bCs/>
                <w:szCs w:val="18"/>
              </w:rPr>
              <w:t>NOTES</w:t>
            </w:r>
          </w:p>
          <w:p w14:paraId="62F4B6F3" w14:textId="77777777" w:rsidR="000144A0" w:rsidRDefault="000144A0" w:rsidP="000144A0">
            <w:pPr>
              <w:pStyle w:val="NotesText"/>
            </w:pPr>
          </w:p>
          <w:p w14:paraId="611B6EED" w14:textId="77777777" w:rsidR="002A21AE" w:rsidRDefault="002A21AE">
            <w:pPr>
              <w:pStyle w:val="NotesText"/>
            </w:pPr>
            <w:r>
              <w:rPr>
                <w:vanish/>
                <w:szCs w:val="18"/>
              </w:rPr>
              <w:t xml:space="preserve">BR_31.03, BR_31.04, BR_31.06, BR_31.05, BR_31.02 </w:t>
            </w:r>
            <w:r>
              <w:t>A user may:</w:t>
            </w:r>
          </w:p>
          <w:p w14:paraId="747B7474" w14:textId="77777777" w:rsidR="002A21AE" w:rsidRDefault="002A21AE">
            <w:pPr>
              <w:pStyle w:val="NotesTextBullet"/>
            </w:pPr>
            <w:r>
              <w:t>Add canned comments.</w:t>
            </w:r>
          </w:p>
          <w:p w14:paraId="3F2F77BB" w14:textId="77777777" w:rsidR="002A21AE" w:rsidRDefault="002A21AE">
            <w:pPr>
              <w:pStyle w:val="NotesTextBullet"/>
            </w:pPr>
            <w:r>
              <w:t>Inactivate canned comments.</w:t>
            </w:r>
          </w:p>
          <w:p w14:paraId="1B1128DD" w14:textId="77777777" w:rsidR="002A21AE" w:rsidRDefault="002A21AE">
            <w:pPr>
              <w:pStyle w:val="NotesTextBullet"/>
            </w:pPr>
            <w:r>
              <w:t>Reactivate inactive comments.</w:t>
            </w:r>
          </w:p>
          <w:p w14:paraId="7C595749" w14:textId="77777777" w:rsidR="002A21AE" w:rsidRDefault="002A21AE">
            <w:pPr>
              <w:pStyle w:val="NotesTextBullet"/>
            </w:pPr>
            <w:r>
              <w:t>View inactive comments and dates of inactivation.</w:t>
            </w:r>
          </w:p>
          <w:p w14:paraId="0A7683C8" w14:textId="77777777" w:rsidR="002A21AE" w:rsidRDefault="002A21AE" w:rsidP="000144A0">
            <w:pPr>
              <w:pStyle w:val="NotesTextBullet"/>
            </w:pPr>
            <w:r>
              <w:t>Control the order in which VBECS displays comments in a context.</w:t>
            </w:r>
          </w:p>
        </w:tc>
      </w:tr>
      <w:tr w:rsidR="002A21AE" w14:paraId="57D8AFD8" w14:textId="77777777">
        <w:tc>
          <w:tcPr>
            <w:tcW w:w="3240" w:type="dxa"/>
          </w:tcPr>
          <w:p w14:paraId="44F1DD97" w14:textId="77777777" w:rsidR="002A21AE" w:rsidRDefault="002A21AE">
            <w:pPr>
              <w:pStyle w:val="TableTextNumbers"/>
            </w:pPr>
            <w:r>
              <w:t xml:space="preserve">Click the </w:t>
            </w:r>
            <w:r>
              <w:rPr>
                <w:b/>
              </w:rPr>
              <w:t xml:space="preserve">Show inactive Comments </w:t>
            </w:r>
            <w:r w:rsidRPr="00D1100E">
              <w:t>check box</w:t>
            </w:r>
            <w:r>
              <w:t xml:space="preserve"> to view inactive comments.</w:t>
            </w:r>
          </w:p>
          <w:p w14:paraId="0DCEB29D" w14:textId="77777777" w:rsidR="002A21AE" w:rsidRDefault="002A21AE">
            <w:pPr>
              <w:pStyle w:val="TableTextNumbersContinued"/>
            </w:pPr>
          </w:p>
          <w:p w14:paraId="4DA6F2D2" w14:textId="77777777" w:rsidR="002A21AE" w:rsidRDefault="002A21AE">
            <w:pPr>
              <w:pStyle w:val="TableTextNumbersContinued"/>
            </w:pPr>
            <w:r>
              <w:t>Click one or more check boxes to reactivate inactive comments.</w:t>
            </w:r>
          </w:p>
        </w:tc>
        <w:tc>
          <w:tcPr>
            <w:tcW w:w="6120" w:type="dxa"/>
          </w:tcPr>
          <w:p w14:paraId="18BE4E90" w14:textId="77777777" w:rsidR="002A21AE" w:rsidRDefault="002A21AE">
            <w:pPr>
              <w:pStyle w:val="TableTextBullet"/>
            </w:pPr>
            <w:r>
              <w:t>Displays inactive comments and allows the user to reactivate them.</w:t>
            </w:r>
          </w:p>
        </w:tc>
      </w:tr>
      <w:tr w:rsidR="002A21AE" w14:paraId="76575D76" w14:textId="77777777">
        <w:tc>
          <w:tcPr>
            <w:tcW w:w="3240" w:type="dxa"/>
          </w:tcPr>
          <w:p w14:paraId="2EDEE0E3" w14:textId="77777777" w:rsidR="002A21AE" w:rsidRDefault="002A21AE">
            <w:pPr>
              <w:pStyle w:val="TableTextNumbers"/>
            </w:pPr>
            <w:r>
              <w:t xml:space="preserve">Repeat Steps 2–4, as needed. </w:t>
            </w:r>
          </w:p>
          <w:p w14:paraId="37664220" w14:textId="77777777" w:rsidR="002A21AE" w:rsidRDefault="002A21AE">
            <w:pPr>
              <w:pStyle w:val="TableTextNumbersContinued"/>
            </w:pPr>
          </w:p>
          <w:p w14:paraId="6903A169" w14:textId="77777777" w:rsidR="002A21AE" w:rsidRDefault="002A21AE">
            <w:pPr>
              <w:pStyle w:val="TableTextNumbersContinued"/>
            </w:pPr>
            <w:r>
              <w:t xml:space="preserve">Click </w:t>
            </w:r>
            <w:r>
              <w:rPr>
                <w:b/>
              </w:rPr>
              <w:t>OK</w:t>
            </w:r>
            <w:r>
              <w:t xml:space="preserve"> and </w:t>
            </w:r>
            <w:r>
              <w:rPr>
                <w:b/>
              </w:rPr>
              <w:t>Yes</w:t>
            </w:r>
            <w:r>
              <w:t xml:space="preserve"> to save and exit, or </w:t>
            </w:r>
            <w:r>
              <w:rPr>
                <w:b/>
              </w:rPr>
              <w:t>Cancel</w:t>
            </w:r>
            <w:r>
              <w:t xml:space="preserve"> to exit without saving.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31" w:author="Blalock, David (Leidos)" w:date="2020-06-15T14:09:00Z" w:original="0."/>
              </w:fldChar>
            </w:r>
          </w:p>
        </w:tc>
        <w:tc>
          <w:tcPr>
            <w:tcW w:w="6120" w:type="dxa"/>
          </w:tcPr>
          <w:p w14:paraId="4B54268A" w14:textId="77777777" w:rsidR="002A21AE" w:rsidRDefault="002A21AE">
            <w:pPr>
              <w:pStyle w:val="TableTextBullet"/>
            </w:pPr>
            <w:r>
              <w:t>Updates the database.</w:t>
            </w:r>
          </w:p>
        </w:tc>
      </w:tr>
    </w:tbl>
    <w:p w14:paraId="10A97633" w14:textId="61091389" w:rsidR="00A9458F" w:rsidRDefault="00A9458F" w:rsidP="00A9458F">
      <w:pPr>
        <w:pStyle w:val="Caption"/>
      </w:pPr>
      <w:bookmarkStart w:id="232" w:name="_Ref12647198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53</w:t>
      </w:r>
      <w:r w:rsidR="004E20BD">
        <w:rPr>
          <w:noProof/>
        </w:rPr>
        <w:fldChar w:fldCharType="end"/>
      </w:r>
      <w:bookmarkEnd w:id="232"/>
      <w:r>
        <w:t>: Maintain Comments</w:t>
      </w:r>
    </w:p>
    <w:p w14:paraId="50283F98" w14:textId="77777777" w:rsidR="002A21AE" w:rsidRDefault="00057948" w:rsidP="0066425F">
      <w:pPr>
        <w:pStyle w:val="BodyText"/>
      </w:pPr>
      <w:r>
        <w:rPr>
          <w:noProof/>
        </w:rPr>
        <w:drawing>
          <wp:inline distT="0" distB="0" distL="0" distR="0" wp14:anchorId="4424B221" wp14:editId="43C5EFDA">
            <wp:extent cx="3657600" cy="3315970"/>
            <wp:effectExtent l="0" t="0" r="0" b="0"/>
            <wp:docPr id="135" name="Picture 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a:extLst>
                        <a:ext uri="{C183D7F6-B498-43B3-948B-1728B52AA6E4}">
                          <adec:decorative xmlns:adec="http://schemas.microsoft.com/office/drawing/2017/decorative" val="1"/>
                        </a:ext>
                      </a:extLst>
                    </pic:cNvP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657600" cy="3315970"/>
                    </a:xfrm>
                    <a:prstGeom prst="rect">
                      <a:avLst/>
                    </a:prstGeom>
                    <a:noFill/>
                    <a:ln>
                      <a:noFill/>
                    </a:ln>
                  </pic:spPr>
                </pic:pic>
              </a:graphicData>
            </a:graphic>
          </wp:inline>
        </w:drawing>
      </w:r>
    </w:p>
    <w:p w14:paraId="331C857C" w14:textId="77777777" w:rsidR="002A21AE" w:rsidRDefault="00AF089A">
      <w:pPr>
        <w:pStyle w:val="Heading2"/>
      </w:pPr>
      <w:r>
        <w:br w:type="page"/>
      </w:r>
      <w:bookmarkStart w:id="233" w:name="_Toc47516704"/>
      <w:r w:rsidR="002A21AE">
        <w:lastRenderedPageBreak/>
        <w:t>Setting Transfusion Parameters</w:t>
      </w:r>
      <w:bookmarkEnd w:id="230"/>
      <w:bookmarkEnd w:id="233"/>
      <w:r w:rsidR="002A21AE">
        <w:fldChar w:fldCharType="begin"/>
      </w:r>
      <w:r w:rsidR="002A21AE">
        <w:instrText xml:space="preserve"> XE </w:instrText>
      </w:r>
      <w:r w:rsidR="00FA7E65">
        <w:instrText>“</w:instrText>
      </w:r>
      <w:r w:rsidR="002A21AE">
        <w:instrText>Setting Transfusion Parameters</w:instrText>
      </w:r>
      <w:r w:rsidR="00FA7E65">
        <w:instrText>”</w:instrText>
      </w:r>
      <w:r w:rsidR="002A21AE">
        <w:instrText xml:space="preserve"> </w:instrText>
      </w:r>
      <w:r w:rsidR="002A21AE">
        <w:fldChar w:fldCharType="end"/>
      </w:r>
    </w:p>
    <w:p w14:paraId="6839A2A9" w14:textId="77777777" w:rsidR="002A21AE" w:rsidRDefault="002A21AE">
      <w:pPr>
        <w:pStyle w:val="Heading3"/>
      </w:pPr>
      <w:bookmarkStart w:id="234" w:name="_Toc47516705"/>
      <w:r>
        <w:t>Transfusion Complications</w:t>
      </w:r>
      <w:bookmarkEnd w:id="234"/>
      <w:r w:rsidRPr="0050203A">
        <w:rPr>
          <w:rFonts w:ascii="Arial Bold" w:hAnsi="Arial Bold"/>
          <w:vanish/>
        </w:rPr>
        <w:fldChar w:fldCharType="begin"/>
      </w:r>
      <w:r w:rsidRPr="0050203A">
        <w:rPr>
          <w:rFonts w:ascii="Arial Bold" w:hAnsi="Arial Bold"/>
          <w:vanish/>
        </w:rPr>
        <w:instrText xml:space="preserve"> XE </w:instrText>
      </w:r>
      <w:r w:rsidR="00FA7E65" w:rsidRPr="0050203A">
        <w:rPr>
          <w:rFonts w:ascii="Arial Bold" w:hAnsi="Arial Bold"/>
          <w:vanish/>
        </w:rPr>
        <w:instrText>“</w:instrText>
      </w:r>
      <w:r w:rsidRPr="0050203A">
        <w:rPr>
          <w:rFonts w:ascii="Arial Bold" w:hAnsi="Arial Bold"/>
          <w:vanish/>
        </w:rPr>
        <w:instrText>Transfusion Complications</w:instrText>
      </w:r>
      <w:r w:rsidR="00FA7E65" w:rsidRPr="0050203A">
        <w:rPr>
          <w:rFonts w:ascii="Arial Bold" w:hAnsi="Arial Bold"/>
          <w:vanish/>
        </w:rPr>
        <w:instrText>”</w:instrText>
      </w:r>
      <w:r w:rsidRPr="0050203A">
        <w:rPr>
          <w:rFonts w:ascii="Arial Bold" w:hAnsi="Arial Bold"/>
          <w:vanish/>
        </w:rPr>
        <w:instrText xml:space="preserve"> </w:instrText>
      </w:r>
      <w:r w:rsidRPr="0050203A">
        <w:rPr>
          <w:rFonts w:ascii="Arial Bold" w:hAnsi="Arial Bold"/>
          <w:vanish/>
        </w:rPr>
        <w:fldChar w:fldCharType="end"/>
      </w:r>
      <w:r w:rsidRPr="0050203A">
        <w:rPr>
          <w:rFonts w:ascii="Arial Bold" w:hAnsi="Arial Bold"/>
          <w:vanish/>
        </w:rPr>
        <w:t xml:space="preserve"> UC_34</w:t>
      </w:r>
    </w:p>
    <w:p w14:paraId="06222B94" w14:textId="4B1EF584" w:rsidR="002A21AE" w:rsidRDefault="002A21AE" w:rsidP="00FA7E65">
      <w:pPr>
        <w:pStyle w:val="BodyText"/>
      </w:pPr>
      <w:r>
        <w:t xml:space="preserve">The user defines Laboratory tests and threshold values used to generate a report listing patients who were transfused within a specified period and who may have developed a transfusion-associated disease. </w:t>
      </w:r>
      <w:r w:rsidR="00E90A01">
        <w:t xml:space="preserve">For additional information, see </w:t>
      </w:r>
      <w:r w:rsidR="00E90A01">
        <w:fldChar w:fldCharType="begin"/>
      </w:r>
      <w:r w:rsidR="00E90A01">
        <w:instrText xml:space="preserve"> REF _Ref508960299 \h </w:instrText>
      </w:r>
      <w:r w:rsidR="00E90A01">
        <w:fldChar w:fldCharType="separate"/>
      </w:r>
      <w:r w:rsidR="004353ED">
        <w:t xml:space="preserve">Appendix </w:t>
      </w:r>
      <w:r w:rsidR="004353ED">
        <w:rPr>
          <w:noProof/>
        </w:rPr>
        <w:t>G</w:t>
      </w:r>
      <w:r w:rsidR="004353ED">
        <w:t>: Work Process Flowcharts</w:t>
      </w:r>
      <w:r w:rsidR="00E90A01">
        <w:fldChar w:fldCharType="end"/>
      </w:r>
      <w:r w:rsidR="00E90A01">
        <w:t>.</w:t>
      </w:r>
    </w:p>
    <w:p w14:paraId="67EE7BBE" w14:textId="77777777" w:rsidR="002A21AE" w:rsidRDefault="002A21AE">
      <w:pPr>
        <w:pStyle w:val="Heading4"/>
      </w:pPr>
      <w:r>
        <w:t>Assumptions</w:t>
      </w:r>
    </w:p>
    <w:p w14:paraId="430E23F4" w14:textId="77777777" w:rsidR="002A21AE" w:rsidRDefault="00CA0045">
      <w:pPr>
        <w:pStyle w:val="ListBullet"/>
      </w:pPr>
      <w:r w:rsidRPr="00CA0045">
        <w:rPr>
          <w:bCs/>
        </w:rPr>
        <w:t>VistA</w:t>
      </w:r>
      <w:r w:rsidR="002A21AE">
        <w:t xml:space="preserve"> tests are defined.</w:t>
      </w:r>
    </w:p>
    <w:p w14:paraId="1086321E" w14:textId="77777777" w:rsidR="002A21AE" w:rsidRDefault="002A21AE">
      <w:pPr>
        <w:pStyle w:val="ListBullet"/>
      </w:pPr>
      <w:r>
        <w:t xml:space="preserve">The connection to </w:t>
      </w:r>
      <w:r w:rsidR="00CA0045" w:rsidRPr="00CA0045">
        <w:rPr>
          <w:bCs/>
        </w:rPr>
        <w:t>VistA</w:t>
      </w:r>
      <w:r>
        <w:t xml:space="preserve"> is active.</w:t>
      </w:r>
    </w:p>
    <w:p w14:paraId="073D60A6" w14:textId="77777777" w:rsidR="002A21AE" w:rsidRDefault="002A21AE">
      <w:pPr>
        <w:pStyle w:val="Heading4"/>
      </w:pPr>
      <w:r>
        <w:t>Outcome</w:t>
      </w:r>
    </w:p>
    <w:p w14:paraId="58B1792D" w14:textId="77777777" w:rsidR="002A21AE" w:rsidRDefault="002A21AE">
      <w:pPr>
        <w:pStyle w:val="ListBullet"/>
      </w:pPr>
      <w:r>
        <w:t>Parameters are defined for future Transfusion Complication Reports.</w:t>
      </w:r>
    </w:p>
    <w:p w14:paraId="2B828805" w14:textId="77777777" w:rsidR="002A21AE" w:rsidRDefault="002A21AE">
      <w:pPr>
        <w:pStyle w:val="Heading4"/>
      </w:pPr>
      <w:r>
        <w:t>Limitations and Restrictions</w:t>
      </w:r>
    </w:p>
    <w:p w14:paraId="49A8E508" w14:textId="77777777" w:rsidR="002A21AE" w:rsidRDefault="002A21AE">
      <w:pPr>
        <w:pStyle w:val="ListBullet"/>
      </w:pPr>
      <w:r>
        <w:t>None</w:t>
      </w:r>
    </w:p>
    <w:p w14:paraId="6F674D1A" w14:textId="77777777" w:rsidR="002A21AE" w:rsidRDefault="002A21AE">
      <w:pPr>
        <w:pStyle w:val="Heading4"/>
      </w:pPr>
      <w:r>
        <w:t>Additional Information</w:t>
      </w:r>
    </w:p>
    <w:p w14:paraId="6905DF8B" w14:textId="06ECFF11" w:rsidR="002A21AE" w:rsidRDefault="00E35EAC" w:rsidP="00E35EAC">
      <w:pPr>
        <w:pStyle w:val="ListBullet"/>
      </w:pPr>
      <w:r>
        <w:t>None</w:t>
      </w:r>
    </w:p>
    <w:p w14:paraId="215DD680" w14:textId="77777777" w:rsidR="002A21AE" w:rsidRDefault="002A21AE">
      <w:pPr>
        <w:pStyle w:val="Heading4"/>
      </w:pPr>
      <w:r>
        <w:t>User Roles with Access to This Option</w:t>
      </w:r>
    </w:p>
    <w:p w14:paraId="27FAC1C5" w14:textId="77777777" w:rsidR="002A21AE" w:rsidRDefault="00804DED">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59E8712A" w14:textId="77777777" w:rsidR="002A21AE" w:rsidRDefault="002A21AE">
      <w:pPr>
        <w:pStyle w:val="Heading4"/>
      </w:pPr>
      <w:r>
        <w:t>Transfusion Complications</w:t>
      </w:r>
    </w:p>
    <w:p w14:paraId="454A46DA" w14:textId="77777777" w:rsidR="002A21AE" w:rsidRDefault="002A21AE" w:rsidP="00FA7E65">
      <w:pPr>
        <w:pStyle w:val="BodyText"/>
      </w:pPr>
      <w:r>
        <w:t>The user defines Laboratory tests for use in the transfusion complication table.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FF18642" w14:textId="77777777">
        <w:trPr>
          <w:tblHeader/>
        </w:trPr>
        <w:tc>
          <w:tcPr>
            <w:tcW w:w="3240" w:type="dxa"/>
            <w:shd w:val="pct30" w:color="auto" w:fill="FFFFFF"/>
            <w:vAlign w:val="bottom"/>
          </w:tcPr>
          <w:p w14:paraId="4D8CF6EE" w14:textId="77777777" w:rsidR="002A21AE" w:rsidRDefault="002A21AE">
            <w:pPr>
              <w:pStyle w:val="TableText"/>
              <w:rPr>
                <w:b/>
              </w:rPr>
            </w:pPr>
            <w:r>
              <w:rPr>
                <w:b/>
              </w:rPr>
              <w:t>User Action</w:t>
            </w:r>
          </w:p>
        </w:tc>
        <w:tc>
          <w:tcPr>
            <w:tcW w:w="6120" w:type="dxa"/>
            <w:shd w:val="pct30" w:color="auto" w:fill="FFFFFF"/>
            <w:vAlign w:val="bottom"/>
          </w:tcPr>
          <w:p w14:paraId="33E9EB38" w14:textId="77777777" w:rsidR="002A21AE" w:rsidRDefault="002A21AE">
            <w:pPr>
              <w:pStyle w:val="TableText"/>
              <w:rPr>
                <w:b/>
              </w:rPr>
            </w:pPr>
            <w:r>
              <w:rPr>
                <w:b/>
              </w:rPr>
              <w:t>VBECS</w:t>
            </w:r>
          </w:p>
        </w:tc>
      </w:tr>
      <w:tr w:rsidR="002A21AE" w14:paraId="28BEE293" w14:textId="77777777">
        <w:tc>
          <w:tcPr>
            <w:tcW w:w="3240" w:type="dxa"/>
          </w:tcPr>
          <w:p w14:paraId="5FB84D51" w14:textId="77777777" w:rsidR="002A21AE" w:rsidRDefault="002A21AE">
            <w:pPr>
              <w:pStyle w:val="TableTextNumbers"/>
            </w:pPr>
            <w:r>
              <w:t xml:space="preserve">Select </w:t>
            </w:r>
            <w:r>
              <w:rPr>
                <w:b/>
                <w:bCs/>
              </w:rPr>
              <w:t>Tools</w:t>
            </w:r>
            <w:r>
              <w:t xml:space="preserve"> from the main menu.</w:t>
            </w:r>
          </w:p>
          <w:p w14:paraId="3C7B173C" w14:textId="77777777" w:rsidR="002A21AE" w:rsidRDefault="002A21AE">
            <w:pPr>
              <w:pStyle w:val="TableTextNumbersContinued"/>
              <w:rPr>
                <w:b/>
                <w:bCs/>
              </w:rPr>
            </w:pPr>
          </w:p>
          <w:p w14:paraId="59372778" w14:textId="77777777" w:rsidR="002A21AE" w:rsidRDefault="002A21AE">
            <w:pPr>
              <w:pStyle w:val="TableTextNumbersContinued"/>
            </w:pPr>
            <w:r>
              <w:t xml:space="preserve">Select </w:t>
            </w:r>
            <w:r>
              <w:rPr>
                <w:b/>
              </w:rPr>
              <w:t>Transfusion Complications</w:t>
            </w:r>
            <w:r>
              <w:t>.</w:t>
            </w:r>
          </w:p>
        </w:tc>
        <w:tc>
          <w:tcPr>
            <w:tcW w:w="6120" w:type="dxa"/>
          </w:tcPr>
          <w:p w14:paraId="33F21C28" w14:textId="77777777" w:rsidR="002A21AE" w:rsidRDefault="002A21AE">
            <w:pPr>
              <w:pStyle w:val="TableTextBullet"/>
            </w:pPr>
            <w:r>
              <w:t>Displays options for processing administrative functions.</w:t>
            </w:r>
          </w:p>
          <w:p w14:paraId="6A2F0425" w14:textId="77777777" w:rsidR="002A21AE" w:rsidRDefault="002A21AE">
            <w:pPr>
              <w:pStyle w:val="TableTextBullet"/>
            </w:pPr>
            <w:r>
              <w:t>Displays fields for entering transfusion complication threshold data.</w:t>
            </w:r>
          </w:p>
        </w:tc>
      </w:tr>
      <w:tr w:rsidR="002A21AE" w14:paraId="5AE838BC" w14:textId="77777777">
        <w:tc>
          <w:tcPr>
            <w:tcW w:w="3240" w:type="dxa"/>
          </w:tcPr>
          <w:p w14:paraId="3E06E0CB" w14:textId="77777777" w:rsidR="002A21AE" w:rsidRDefault="002A21AE">
            <w:pPr>
              <w:pStyle w:val="TableTextNumbers"/>
            </w:pPr>
            <w:r>
              <w:t xml:space="preserve">Click the </w:t>
            </w:r>
            <w:r w:rsidR="00A6373D">
              <w:rPr>
                <w:b/>
              </w:rPr>
              <w:t>find</w:t>
            </w:r>
            <w:r w:rsidRPr="00BF2E41">
              <w:t xml:space="preserve"> button</w:t>
            </w:r>
            <w:r>
              <w:t xml:space="preserve"> to search for a Laboratory test.</w:t>
            </w:r>
          </w:p>
          <w:p w14:paraId="28EA98D9" w14:textId="77777777" w:rsidR="002A21AE" w:rsidRDefault="002A21AE">
            <w:pPr>
              <w:pStyle w:val="TableTextNumbersContinued"/>
            </w:pPr>
          </w:p>
          <w:p w14:paraId="4AF69326" w14:textId="77777777" w:rsidR="002A21AE" w:rsidRDefault="002A21AE">
            <w:pPr>
              <w:pStyle w:val="TableTextNumbersContinued"/>
            </w:pPr>
            <w:r>
              <w:t>Select a test.</w:t>
            </w:r>
          </w:p>
          <w:p w14:paraId="7077FC3B" w14:textId="77777777" w:rsidR="002A21AE" w:rsidRDefault="002A21AE">
            <w:pPr>
              <w:pStyle w:val="TableTextNumbersContinued"/>
            </w:pPr>
          </w:p>
          <w:p w14:paraId="4614650F" w14:textId="77777777" w:rsidR="002A21AE" w:rsidRDefault="002A21AE">
            <w:pPr>
              <w:pStyle w:val="TableTextNumbersContinued"/>
            </w:pPr>
            <w:r>
              <w:t xml:space="preserve">Click </w:t>
            </w:r>
            <w:r>
              <w:rPr>
                <w:b/>
              </w:rPr>
              <w:t>OK</w:t>
            </w:r>
            <w:r>
              <w:t>.</w:t>
            </w:r>
          </w:p>
        </w:tc>
        <w:tc>
          <w:tcPr>
            <w:tcW w:w="6120" w:type="dxa"/>
          </w:tcPr>
          <w:p w14:paraId="1775D395" w14:textId="77777777" w:rsidR="0048718E" w:rsidRDefault="002A21AE">
            <w:pPr>
              <w:pStyle w:val="TableTextBullet"/>
            </w:pPr>
            <w:r>
              <w:t xml:space="preserve">Allows the user to edit or add previously defined tests for use in a Transfusion Complication Report. </w:t>
            </w:r>
          </w:p>
          <w:p w14:paraId="1E42BA85" w14:textId="77777777" w:rsidR="00CB6A89" w:rsidRDefault="00CB6A89" w:rsidP="00CB6A89">
            <w:pPr>
              <w:pStyle w:val="TableText"/>
              <w:rPr>
                <w:b/>
                <w:bCs/>
                <w:szCs w:val="18"/>
              </w:rPr>
            </w:pPr>
          </w:p>
          <w:p w14:paraId="00FA4D6C" w14:textId="60EC9FFE" w:rsidR="00CB6A89" w:rsidRDefault="00CB6A89" w:rsidP="00CB6A89">
            <w:pPr>
              <w:pStyle w:val="TableText"/>
              <w:rPr>
                <w:b/>
                <w:bCs/>
                <w:szCs w:val="18"/>
              </w:rPr>
            </w:pPr>
            <w:r>
              <w:rPr>
                <w:b/>
                <w:bCs/>
                <w:szCs w:val="18"/>
              </w:rPr>
              <w:t>NOTES</w:t>
            </w:r>
          </w:p>
          <w:p w14:paraId="1D78D831" w14:textId="77777777" w:rsidR="00CB6A89" w:rsidRDefault="00CB6A89" w:rsidP="00CB6A89">
            <w:pPr>
              <w:pStyle w:val="NotesText"/>
            </w:pPr>
          </w:p>
          <w:p w14:paraId="400A8CDE" w14:textId="77777777" w:rsidR="002A21AE" w:rsidRDefault="00CB6A89" w:rsidP="00CB6A89">
            <w:pPr>
              <w:pStyle w:val="TableTextBullet"/>
              <w:numPr>
                <w:ilvl w:val="0"/>
                <w:numId w:val="0"/>
              </w:numPr>
              <w:ind w:left="720" w:hanging="720"/>
              <w:rPr>
                <w:rFonts w:ascii="MS Shell Dlg 2" w:hAnsi="MS Shell Dlg 2"/>
                <w:color w:val="000000"/>
                <w:szCs w:val="18"/>
              </w:rPr>
            </w:pPr>
            <w:r w:rsidRPr="00D0406D">
              <w:rPr>
                <w:rFonts w:cs="Arial"/>
                <w:vanish/>
              </w:rPr>
              <w:t>BR_34</w:t>
            </w:r>
            <w:r w:rsidR="00E170B3" w:rsidRPr="00D0406D">
              <w:rPr>
                <w:rFonts w:cs="Arial"/>
                <w:vanish/>
              </w:rPr>
              <w:t>.03, DR 4364</w:t>
            </w:r>
            <w:r w:rsidR="0048718E" w:rsidRPr="00D0406D">
              <w:tab/>
              <w:t xml:space="preserve">VBECS displays the </w:t>
            </w:r>
            <w:r w:rsidR="0043684E">
              <w:t xml:space="preserve">entered </w:t>
            </w:r>
            <w:r w:rsidR="0048718E" w:rsidRPr="00D0406D">
              <w:t>l</w:t>
            </w:r>
            <w:r w:rsidR="009C4F04">
              <w:t xml:space="preserve">aboratory test names in all uppercase </w:t>
            </w:r>
            <w:r w:rsidR="00A403FD">
              <w:t>letters</w:t>
            </w:r>
            <w:r w:rsidR="0048718E" w:rsidRPr="00D0406D">
              <w:t xml:space="preserve">. The retrieval of lab tests </w:t>
            </w:r>
            <w:r w:rsidR="00A1211F">
              <w:t>occurs</w:t>
            </w:r>
            <w:r w:rsidR="009C4F04">
              <w:t xml:space="preserve"> in VistA </w:t>
            </w:r>
            <w:r w:rsidR="0048718E" w:rsidRPr="00D0406D">
              <w:t>and results for the Transfusion Complications Report are not case sensitive. There is a limit of 25 active entries. (If the user enters all of the available results for the test, he can get results that are not filtered by VBECS.)</w:t>
            </w:r>
          </w:p>
          <w:p w14:paraId="6FCB0769" w14:textId="77777777" w:rsidR="00CB6A89" w:rsidRPr="00CB6A89" w:rsidRDefault="00CB6A89" w:rsidP="00CB6A89">
            <w:pPr>
              <w:pStyle w:val="TableTextBullet"/>
              <w:numPr>
                <w:ilvl w:val="0"/>
                <w:numId w:val="0"/>
              </w:numPr>
              <w:ind w:left="720" w:hanging="720"/>
              <w:rPr>
                <w:rFonts w:ascii="MS Shell Dlg 2" w:hAnsi="MS Shell Dlg 2"/>
                <w:color w:val="000000"/>
                <w:szCs w:val="18"/>
              </w:rPr>
            </w:pPr>
          </w:p>
        </w:tc>
      </w:tr>
      <w:tr w:rsidR="002A21AE" w14:paraId="00F19155" w14:textId="77777777">
        <w:tc>
          <w:tcPr>
            <w:tcW w:w="3240" w:type="dxa"/>
          </w:tcPr>
          <w:p w14:paraId="19D56C3A" w14:textId="4D31A25E" w:rsidR="002A21AE" w:rsidRDefault="002A21AE">
            <w:pPr>
              <w:pStyle w:val="TableTextNumbers"/>
            </w:pPr>
            <w:r>
              <w:t xml:space="preserve">Click the </w:t>
            </w:r>
            <w:r>
              <w:rPr>
                <w:b/>
              </w:rPr>
              <w:t xml:space="preserve">Numeric Threshold </w:t>
            </w:r>
            <w:r w:rsidRPr="00BF2E41">
              <w:t>radio button</w:t>
            </w:r>
            <w:r>
              <w:t xml:space="preserve"> and enter or edit test threshold information</w:t>
            </w:r>
            <w:r w:rsidR="00E1279C">
              <w:t xml:space="preserve"> (</w:t>
            </w:r>
            <w:r w:rsidR="00E1279C">
              <w:fldChar w:fldCharType="begin"/>
            </w:r>
            <w:r w:rsidR="00E1279C">
              <w:instrText xml:space="preserve"> REF _Ref126472169 \h </w:instrText>
            </w:r>
            <w:r w:rsidR="00E1279C">
              <w:fldChar w:fldCharType="separate"/>
            </w:r>
            <w:r w:rsidR="004353ED">
              <w:t xml:space="preserve">Figure </w:t>
            </w:r>
            <w:r w:rsidR="004353ED">
              <w:rPr>
                <w:noProof/>
              </w:rPr>
              <w:t>54</w:t>
            </w:r>
            <w:r w:rsidR="00E1279C">
              <w:fldChar w:fldCharType="end"/>
            </w:r>
            <w:r w:rsidR="00E1279C">
              <w:t>)</w:t>
            </w:r>
            <w:r>
              <w:t>.</w:t>
            </w:r>
          </w:p>
          <w:p w14:paraId="2BA59E13" w14:textId="77777777" w:rsidR="002A21AE" w:rsidRDefault="002A21AE">
            <w:pPr>
              <w:pStyle w:val="TableTextNumbersContinued"/>
            </w:pPr>
          </w:p>
          <w:p w14:paraId="0BAE10CD" w14:textId="77777777" w:rsidR="002A21AE" w:rsidRDefault="002A21AE">
            <w:pPr>
              <w:pStyle w:val="TableTextNumbersContinued"/>
            </w:pPr>
            <w:r>
              <w:t xml:space="preserve">Click </w:t>
            </w:r>
            <w:r>
              <w:rPr>
                <w:b/>
              </w:rPr>
              <w:t>Add</w:t>
            </w:r>
            <w:r>
              <w:t xml:space="preserve"> to add the test to the list, or</w:t>
            </w:r>
          </w:p>
          <w:p w14:paraId="2FC75068" w14:textId="77777777" w:rsidR="002A21AE" w:rsidRDefault="002A21AE">
            <w:pPr>
              <w:pStyle w:val="TableTextNumbersContinued"/>
            </w:pPr>
          </w:p>
          <w:p w14:paraId="0C6467A6" w14:textId="77777777" w:rsidR="002A21AE" w:rsidRDefault="002A21AE">
            <w:pPr>
              <w:pStyle w:val="TableTextNumbersContinued"/>
            </w:pPr>
            <w:r>
              <w:t xml:space="preserve">Click </w:t>
            </w:r>
            <w:r>
              <w:rPr>
                <w:b/>
              </w:rPr>
              <w:t>Update</w:t>
            </w:r>
            <w:r>
              <w:t xml:space="preserve"> to save changes to a previously saved test.</w:t>
            </w:r>
          </w:p>
          <w:p w14:paraId="02E8F1D2" w14:textId="77777777" w:rsidR="002A21AE" w:rsidRDefault="002A21AE">
            <w:pPr>
              <w:pStyle w:val="TableTextNumbersContinued"/>
            </w:pPr>
          </w:p>
          <w:p w14:paraId="3D91C6B4" w14:textId="77777777" w:rsidR="002A21AE" w:rsidRDefault="002A21AE">
            <w:pPr>
              <w:pStyle w:val="TableTextNumbersContinued"/>
            </w:pPr>
            <w:r>
              <w:t xml:space="preserve">Click </w:t>
            </w:r>
            <w:r>
              <w:rPr>
                <w:b/>
              </w:rPr>
              <w:t>OK</w:t>
            </w:r>
            <w:r>
              <w:t xml:space="preserve"> to save and </w:t>
            </w:r>
            <w:r>
              <w:rPr>
                <w:b/>
              </w:rPr>
              <w:t>Yes</w:t>
            </w:r>
            <w:r>
              <w:t xml:space="preserve"> to confirm the save.</w:t>
            </w:r>
          </w:p>
        </w:tc>
        <w:tc>
          <w:tcPr>
            <w:tcW w:w="6120" w:type="dxa"/>
          </w:tcPr>
          <w:p w14:paraId="1C80B0D3" w14:textId="77777777" w:rsidR="002A21AE" w:rsidRDefault="002A21AE">
            <w:pPr>
              <w:pStyle w:val="TableTextBullet"/>
            </w:pPr>
            <w:r>
              <w:lastRenderedPageBreak/>
              <w:t>Allows the user to enter one or more tests.</w:t>
            </w:r>
          </w:p>
          <w:p w14:paraId="100C596F" w14:textId="77777777" w:rsidR="002A21AE" w:rsidRDefault="002A21AE">
            <w:pPr>
              <w:pStyle w:val="TableTextBullet"/>
            </w:pPr>
            <w:r>
              <w:t>Uses VistALink to retrieve test data.</w:t>
            </w:r>
          </w:p>
          <w:p w14:paraId="44CFB571" w14:textId="77777777" w:rsidR="002A21AE" w:rsidRDefault="002A21AE">
            <w:pPr>
              <w:pStyle w:val="TableText"/>
            </w:pPr>
          </w:p>
          <w:p w14:paraId="6F7079C7" w14:textId="70C2B98C" w:rsidR="002A21AE" w:rsidRDefault="002A21AE">
            <w:pPr>
              <w:pStyle w:val="TableText"/>
              <w:rPr>
                <w:b/>
                <w:bCs/>
                <w:szCs w:val="18"/>
              </w:rPr>
            </w:pPr>
            <w:r>
              <w:rPr>
                <w:b/>
                <w:bCs/>
                <w:szCs w:val="18"/>
              </w:rPr>
              <w:t>NOTES</w:t>
            </w:r>
          </w:p>
          <w:p w14:paraId="48FCBD4E" w14:textId="77777777" w:rsidR="002A21AE" w:rsidRDefault="002A21AE">
            <w:pPr>
              <w:pStyle w:val="NotesText"/>
            </w:pPr>
          </w:p>
          <w:p w14:paraId="22F73679" w14:textId="77777777" w:rsidR="002A21AE" w:rsidRDefault="002A21AE">
            <w:pPr>
              <w:pStyle w:val="NotesText"/>
            </w:pPr>
            <w:r w:rsidRPr="008879B5">
              <w:rPr>
                <w:rFonts w:cs="Arial"/>
                <w:vanish/>
              </w:rPr>
              <w:lastRenderedPageBreak/>
              <w:t xml:space="preserve">BR_34.02 </w:t>
            </w:r>
            <w:r w:rsidRPr="008879B5">
              <w:t>When defining a test reported as a text value, VBECS accommodates the input of specific text (1–255 characters) that will be used to search for matching values.</w:t>
            </w:r>
          </w:p>
        </w:tc>
      </w:tr>
      <w:tr w:rsidR="002A21AE" w14:paraId="79814122" w14:textId="77777777">
        <w:tc>
          <w:tcPr>
            <w:tcW w:w="3240" w:type="dxa"/>
          </w:tcPr>
          <w:p w14:paraId="4E612765" w14:textId="77777777" w:rsidR="002A21AE" w:rsidRDefault="002A21AE">
            <w:pPr>
              <w:pStyle w:val="TableTextNumbers"/>
            </w:pPr>
            <w:r>
              <w:lastRenderedPageBreak/>
              <w:t xml:space="preserve">Click </w:t>
            </w:r>
            <w:r>
              <w:rPr>
                <w:b/>
              </w:rPr>
              <w:t>OK</w:t>
            </w:r>
            <w:r>
              <w:t xml:space="preserve"> to save and </w:t>
            </w:r>
            <w:r>
              <w:rPr>
                <w:b/>
              </w:rPr>
              <w:t>Yes</w:t>
            </w:r>
            <w:r>
              <w:t xml:space="preserve"> to confirm the save and exit.</w:t>
            </w:r>
          </w:p>
        </w:tc>
        <w:tc>
          <w:tcPr>
            <w:tcW w:w="6120" w:type="dxa"/>
          </w:tcPr>
          <w:p w14:paraId="00312C68" w14:textId="77777777" w:rsidR="002A21AE" w:rsidRDefault="002A21AE">
            <w:pPr>
              <w:pStyle w:val="TableTextBullet"/>
            </w:pPr>
            <w:r>
              <w:t>Updates the database.</w:t>
            </w:r>
          </w:p>
        </w:tc>
      </w:tr>
      <w:tr w:rsidR="002A21AE" w14:paraId="2DFAB1DB" w14:textId="77777777">
        <w:tc>
          <w:tcPr>
            <w:tcW w:w="3240" w:type="dxa"/>
          </w:tcPr>
          <w:p w14:paraId="6EACADC3" w14:textId="77777777" w:rsidR="002A21AE" w:rsidRDefault="002A21AE">
            <w:pPr>
              <w:pStyle w:val="TableTextNumbers"/>
            </w:pPr>
            <w:r>
              <w:t xml:space="preserve">Repeat Steps 2–4 for each transfusion complication test to be defined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35" w:author="Blalock, David (Leidos)" w:date="2020-06-15T14:09:00Z" w:original="0."/>
              </w:fldChar>
            </w:r>
          </w:p>
        </w:tc>
        <w:tc>
          <w:tcPr>
            <w:tcW w:w="6120" w:type="dxa"/>
          </w:tcPr>
          <w:p w14:paraId="7192F62B" w14:textId="77777777" w:rsidR="002A21AE" w:rsidRDefault="002A21AE">
            <w:pPr>
              <w:pStyle w:val="TableText"/>
            </w:pPr>
          </w:p>
        </w:tc>
      </w:tr>
    </w:tbl>
    <w:p w14:paraId="0585D722" w14:textId="35B7219E" w:rsidR="00E1279C" w:rsidRDefault="00E1279C" w:rsidP="00E1279C">
      <w:pPr>
        <w:pStyle w:val="Caption"/>
      </w:pPr>
      <w:bookmarkStart w:id="236" w:name="_Ref12647216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54</w:t>
      </w:r>
      <w:r w:rsidR="004E20BD">
        <w:rPr>
          <w:noProof/>
        </w:rPr>
        <w:fldChar w:fldCharType="end"/>
      </w:r>
      <w:bookmarkEnd w:id="236"/>
      <w:r>
        <w:t>: Transfusion Complication Thresholds</w:t>
      </w:r>
    </w:p>
    <w:p w14:paraId="7A9AEC25" w14:textId="77777777" w:rsidR="00E1279C" w:rsidRDefault="00057948" w:rsidP="00E1279C">
      <w:pPr>
        <w:pStyle w:val="BodyText"/>
      </w:pPr>
      <w:r>
        <w:rPr>
          <w:noProof/>
        </w:rPr>
        <w:drawing>
          <wp:inline distT="0" distB="0" distL="0" distR="0" wp14:anchorId="29045821" wp14:editId="1B8F4E4C">
            <wp:extent cx="3888740" cy="2909570"/>
            <wp:effectExtent l="0" t="0" r="0" b="5080"/>
            <wp:docPr id="136" name="Picture 1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a:extLst>
                        <a:ext uri="{C183D7F6-B498-43B3-948B-1728B52AA6E4}">
                          <adec:decorative xmlns:adec="http://schemas.microsoft.com/office/drawing/2017/decorative" val="1"/>
                        </a:ext>
                      </a:extLst>
                    </pic:cNvPr>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888740" cy="2909570"/>
                    </a:xfrm>
                    <a:prstGeom prst="rect">
                      <a:avLst/>
                    </a:prstGeom>
                    <a:noFill/>
                    <a:ln>
                      <a:noFill/>
                    </a:ln>
                  </pic:spPr>
                </pic:pic>
              </a:graphicData>
            </a:graphic>
          </wp:inline>
        </w:drawing>
      </w:r>
    </w:p>
    <w:p w14:paraId="24623B82" w14:textId="77777777" w:rsidR="002A21AE" w:rsidRDefault="00466CF2">
      <w:pPr>
        <w:pStyle w:val="Heading3"/>
      </w:pPr>
      <w:r>
        <w:br w:type="page"/>
      </w:r>
      <w:bookmarkStart w:id="237" w:name="_Toc47516706"/>
      <w:r w:rsidR="002A21AE">
        <w:lastRenderedPageBreak/>
        <w:t>Transfusion Effectiveness</w:t>
      </w:r>
      <w:bookmarkEnd w:id="237"/>
      <w:r w:rsidR="002A21AE">
        <w:fldChar w:fldCharType="begin"/>
      </w:r>
      <w:r w:rsidR="002A21AE">
        <w:instrText xml:space="preserve"> XE </w:instrText>
      </w:r>
      <w:r w:rsidR="00FA7E65">
        <w:instrText>“</w:instrText>
      </w:r>
      <w:r w:rsidR="002A21AE">
        <w:instrText>Transfusion Effectiveness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UC_33</w:t>
      </w:r>
    </w:p>
    <w:p w14:paraId="6791ABA3" w14:textId="77777777" w:rsidR="002A21AE" w:rsidRDefault="00095BAC" w:rsidP="00FA7E65">
      <w:pPr>
        <w:pStyle w:val="BodyText"/>
      </w:pPr>
      <w:bookmarkStart w:id="238" w:name="_Toc63680393"/>
      <w:r>
        <w:t>The user defines L</w:t>
      </w:r>
      <w:r w:rsidR="002A21AE">
        <w:t xml:space="preserve">aboratory tests to monitor the effectiveness of transfusions. </w:t>
      </w:r>
    </w:p>
    <w:p w14:paraId="5A727C02" w14:textId="77777777" w:rsidR="002A21AE" w:rsidRDefault="002A21AE">
      <w:pPr>
        <w:pStyle w:val="Heading4"/>
      </w:pPr>
      <w:r>
        <w:t>Assumptions</w:t>
      </w:r>
    </w:p>
    <w:p w14:paraId="750C32DD" w14:textId="77777777" w:rsidR="00CA0045" w:rsidRDefault="00CA0045">
      <w:pPr>
        <w:pStyle w:val="ListBullet"/>
      </w:pPr>
      <w:r w:rsidRPr="00CA0045">
        <w:rPr>
          <w:bCs/>
        </w:rPr>
        <w:t>VistA</w:t>
      </w:r>
      <w:r w:rsidR="002A21AE">
        <w:t xml:space="preserve"> lab tests are defined</w:t>
      </w:r>
      <w:r>
        <w:t>.</w:t>
      </w:r>
    </w:p>
    <w:p w14:paraId="700835D4" w14:textId="77777777" w:rsidR="002A21AE" w:rsidRDefault="00CA0045">
      <w:pPr>
        <w:pStyle w:val="ListBullet"/>
      </w:pPr>
      <w:r>
        <w:t>T</w:t>
      </w:r>
      <w:r w:rsidR="002A21AE">
        <w:t xml:space="preserve">he connection to </w:t>
      </w:r>
      <w:r w:rsidRPr="00CA0045">
        <w:rPr>
          <w:bCs/>
        </w:rPr>
        <w:t>VistA</w:t>
      </w:r>
      <w:r w:rsidR="002A21AE">
        <w:t xml:space="preserve"> is active.</w:t>
      </w:r>
    </w:p>
    <w:p w14:paraId="0605F570" w14:textId="77777777" w:rsidR="002A21AE" w:rsidRDefault="002A21AE">
      <w:pPr>
        <w:pStyle w:val="Heading4"/>
      </w:pPr>
      <w:r>
        <w:t>Outcome</w:t>
      </w:r>
    </w:p>
    <w:p w14:paraId="2DA58110" w14:textId="77777777" w:rsidR="002A21AE" w:rsidRDefault="002A21AE">
      <w:pPr>
        <w:pStyle w:val="ListBullet"/>
      </w:pPr>
      <w:r>
        <w:t>Parameters are defined for future reports.</w:t>
      </w:r>
    </w:p>
    <w:p w14:paraId="4154FF34" w14:textId="77777777" w:rsidR="002A21AE" w:rsidRDefault="002A21AE">
      <w:pPr>
        <w:pStyle w:val="Heading4"/>
      </w:pPr>
      <w:r>
        <w:t>Limitations and Restrictions</w:t>
      </w:r>
    </w:p>
    <w:p w14:paraId="74CF5729" w14:textId="77777777" w:rsidR="002A21AE" w:rsidRDefault="002A21AE">
      <w:pPr>
        <w:pStyle w:val="ListBullet"/>
      </w:pPr>
      <w:r>
        <w:t xml:space="preserve">None </w:t>
      </w:r>
    </w:p>
    <w:p w14:paraId="514FC7F7" w14:textId="77777777" w:rsidR="002A21AE" w:rsidRDefault="002A21AE">
      <w:pPr>
        <w:pStyle w:val="Heading4"/>
      </w:pPr>
      <w:r>
        <w:t>Additional Information</w:t>
      </w:r>
    </w:p>
    <w:p w14:paraId="7CB7232C" w14:textId="77777777" w:rsidR="002A21AE" w:rsidRDefault="002A21AE">
      <w:pPr>
        <w:pStyle w:val="ListBullet"/>
      </w:pPr>
      <w:r>
        <w:t xml:space="preserve">None </w:t>
      </w:r>
    </w:p>
    <w:p w14:paraId="18CD4406" w14:textId="77777777" w:rsidR="002A21AE" w:rsidRDefault="002A21AE">
      <w:pPr>
        <w:pStyle w:val="Heading4"/>
      </w:pPr>
      <w:r>
        <w:t xml:space="preserve">User Roles with Access to This Option </w:t>
      </w:r>
    </w:p>
    <w:p w14:paraId="15B76988" w14:textId="77777777" w:rsidR="002A21AE" w:rsidRDefault="002A09A9">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38584798" w14:textId="77777777" w:rsidR="002A21AE" w:rsidRDefault="002A21AE">
      <w:pPr>
        <w:pStyle w:val="Heading4"/>
      </w:pPr>
      <w:r>
        <w:t>Transfusion Effectiveness</w:t>
      </w:r>
    </w:p>
    <w:p w14:paraId="2DBF6D1C" w14:textId="77777777" w:rsidR="002A21AE" w:rsidRDefault="002A21AE" w:rsidP="00FA7E65">
      <w:pPr>
        <w:pStyle w:val="BodyText"/>
      </w:pPr>
      <w:r>
        <w:t>The user enters the tests to be included in the Transfusion Effectiveness Report.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9DF72BC" w14:textId="77777777">
        <w:trPr>
          <w:tblHeader/>
        </w:trPr>
        <w:tc>
          <w:tcPr>
            <w:tcW w:w="3240" w:type="dxa"/>
            <w:shd w:val="pct30" w:color="auto" w:fill="FFFFFF"/>
            <w:vAlign w:val="bottom"/>
          </w:tcPr>
          <w:p w14:paraId="23C98B50" w14:textId="77777777" w:rsidR="002A21AE" w:rsidRDefault="002A21AE">
            <w:pPr>
              <w:pStyle w:val="TableText"/>
              <w:rPr>
                <w:b/>
              </w:rPr>
            </w:pPr>
            <w:r>
              <w:rPr>
                <w:b/>
              </w:rPr>
              <w:t>User Action</w:t>
            </w:r>
          </w:p>
        </w:tc>
        <w:tc>
          <w:tcPr>
            <w:tcW w:w="6120" w:type="dxa"/>
            <w:shd w:val="pct30" w:color="auto" w:fill="FFFFFF"/>
            <w:vAlign w:val="bottom"/>
          </w:tcPr>
          <w:p w14:paraId="05F24220" w14:textId="77777777" w:rsidR="002A21AE" w:rsidRDefault="002A21AE">
            <w:pPr>
              <w:pStyle w:val="TableText"/>
              <w:rPr>
                <w:b/>
              </w:rPr>
            </w:pPr>
            <w:r>
              <w:rPr>
                <w:b/>
              </w:rPr>
              <w:t>VBECS</w:t>
            </w:r>
          </w:p>
        </w:tc>
      </w:tr>
      <w:tr w:rsidR="002A21AE" w14:paraId="2D1E86D3" w14:textId="77777777">
        <w:tc>
          <w:tcPr>
            <w:tcW w:w="3240" w:type="dxa"/>
          </w:tcPr>
          <w:p w14:paraId="4C41571C" w14:textId="77777777" w:rsidR="002A21AE" w:rsidRDefault="002A21AE">
            <w:pPr>
              <w:pStyle w:val="TableTextNumbers"/>
            </w:pPr>
            <w:r>
              <w:t xml:space="preserve">Select </w:t>
            </w:r>
            <w:r>
              <w:rPr>
                <w:b/>
                <w:bCs/>
              </w:rPr>
              <w:t>Tools</w:t>
            </w:r>
            <w:r>
              <w:t xml:space="preserve"> from the main menu.</w:t>
            </w:r>
          </w:p>
          <w:p w14:paraId="01B7AB96" w14:textId="77777777" w:rsidR="002A21AE" w:rsidRDefault="002A21AE">
            <w:pPr>
              <w:pStyle w:val="TableTextNumbersContinued"/>
              <w:rPr>
                <w:bCs/>
              </w:rPr>
            </w:pPr>
          </w:p>
          <w:p w14:paraId="7E3E47DF" w14:textId="77777777" w:rsidR="002A21AE" w:rsidRDefault="002A21AE">
            <w:pPr>
              <w:pStyle w:val="TableTextNumbersContinued"/>
              <w:rPr>
                <w:b/>
                <w:bCs/>
              </w:rPr>
            </w:pPr>
            <w:r>
              <w:rPr>
                <w:bCs/>
              </w:rPr>
              <w:t>Select</w:t>
            </w:r>
            <w:r>
              <w:rPr>
                <w:b/>
                <w:bCs/>
              </w:rPr>
              <w:t xml:space="preserve"> Transfusion Effectiveness</w:t>
            </w:r>
            <w:r>
              <w:rPr>
                <w:bCs/>
              </w:rPr>
              <w:t>.</w:t>
            </w:r>
          </w:p>
        </w:tc>
        <w:tc>
          <w:tcPr>
            <w:tcW w:w="6120" w:type="dxa"/>
          </w:tcPr>
          <w:p w14:paraId="36582090" w14:textId="77777777" w:rsidR="002A21AE" w:rsidRDefault="002A21AE">
            <w:pPr>
              <w:pStyle w:val="TableTextBullet"/>
            </w:pPr>
            <w:r>
              <w:t xml:space="preserve">Displays options for processing administrative functions. </w:t>
            </w:r>
          </w:p>
          <w:p w14:paraId="6DE60A1A" w14:textId="77777777" w:rsidR="002A21AE" w:rsidRDefault="002A21AE">
            <w:pPr>
              <w:pStyle w:val="TableTextBullet"/>
            </w:pPr>
            <w:r>
              <w:t>Allows the user to edit a previously defined Transfusion Effectiveness Tests or add a test.</w:t>
            </w:r>
          </w:p>
        </w:tc>
      </w:tr>
      <w:tr w:rsidR="002A21AE" w14:paraId="009083DB" w14:textId="77777777">
        <w:tc>
          <w:tcPr>
            <w:tcW w:w="3240" w:type="dxa"/>
          </w:tcPr>
          <w:p w14:paraId="07271E67" w14:textId="77777777" w:rsidR="002A21AE" w:rsidRDefault="002A21AE">
            <w:pPr>
              <w:pStyle w:val="TableTextNumbers"/>
            </w:pPr>
            <w:r>
              <w:t xml:space="preserve">Click the </w:t>
            </w:r>
            <w:r w:rsidR="00A6373D">
              <w:rPr>
                <w:b/>
              </w:rPr>
              <w:t>find</w:t>
            </w:r>
            <w:r w:rsidRPr="00BF2E41">
              <w:t xml:space="preserve"> button</w:t>
            </w:r>
            <w:r>
              <w:t xml:space="preserve"> to search for a Transfusion Effectiveness Test. </w:t>
            </w:r>
          </w:p>
          <w:p w14:paraId="02C60F6B" w14:textId="77777777" w:rsidR="002A21AE" w:rsidRDefault="002A21AE">
            <w:pPr>
              <w:pStyle w:val="TableTextNumbersContinued"/>
            </w:pPr>
          </w:p>
          <w:p w14:paraId="034A1F9E" w14:textId="77777777" w:rsidR="005E16D4" w:rsidRDefault="005E16D4">
            <w:pPr>
              <w:pStyle w:val="TableTextNumbersContinued"/>
            </w:pPr>
            <w:r>
              <w:t>Enter part or all of a laboratory test name.</w:t>
            </w:r>
          </w:p>
          <w:p w14:paraId="4DAB962A" w14:textId="77777777" w:rsidR="005E16D4" w:rsidRDefault="005E16D4">
            <w:pPr>
              <w:pStyle w:val="TableTextNumbersContinued"/>
            </w:pPr>
          </w:p>
          <w:p w14:paraId="4AACA8B6" w14:textId="77777777" w:rsidR="005E16D4" w:rsidRDefault="005E16D4">
            <w:pPr>
              <w:pStyle w:val="TableTextNumbersContinued"/>
            </w:pPr>
            <w:r>
              <w:t xml:space="preserve">Click </w:t>
            </w:r>
            <w:r w:rsidRPr="005E16D4">
              <w:rPr>
                <w:b/>
              </w:rPr>
              <w:t>Search</w:t>
            </w:r>
            <w:r>
              <w:t>.</w:t>
            </w:r>
          </w:p>
          <w:p w14:paraId="5CD1300C" w14:textId="77777777" w:rsidR="005E16D4" w:rsidRDefault="005E16D4">
            <w:pPr>
              <w:pStyle w:val="TableTextNumbersContinued"/>
            </w:pPr>
          </w:p>
          <w:p w14:paraId="602D25B5" w14:textId="77777777" w:rsidR="002A21AE" w:rsidRDefault="002A21AE">
            <w:pPr>
              <w:pStyle w:val="TableTextNumbersContinued"/>
            </w:pPr>
            <w:r>
              <w:t xml:space="preserve">Click one </w:t>
            </w:r>
            <w:r w:rsidR="005E16D4">
              <w:t>to four</w:t>
            </w:r>
            <w:r>
              <w:t xml:space="preserve"> check boxes to select tests.</w:t>
            </w:r>
          </w:p>
          <w:p w14:paraId="3F0C796E" w14:textId="77777777" w:rsidR="002A21AE" w:rsidRDefault="002A21AE">
            <w:pPr>
              <w:pStyle w:val="TableTextNumbersContinued"/>
            </w:pPr>
          </w:p>
          <w:p w14:paraId="5C9B4148" w14:textId="77777777" w:rsidR="00E959B5" w:rsidRDefault="00E959B5">
            <w:pPr>
              <w:pStyle w:val="TableTextNumbersContinued"/>
            </w:pPr>
            <w:r>
              <w:t xml:space="preserve">Click </w:t>
            </w:r>
            <w:r w:rsidRPr="00E959B5">
              <w:rPr>
                <w:b/>
              </w:rPr>
              <w:t>OK</w:t>
            </w:r>
            <w:r>
              <w:t>.</w:t>
            </w:r>
          </w:p>
          <w:p w14:paraId="4B245C92" w14:textId="77777777" w:rsidR="00E959B5" w:rsidRDefault="00E959B5">
            <w:pPr>
              <w:pStyle w:val="TableTextNumbersContinued"/>
            </w:pPr>
          </w:p>
          <w:p w14:paraId="4D0018B7" w14:textId="51926A09" w:rsidR="002A21AE" w:rsidRDefault="002A21AE">
            <w:pPr>
              <w:pStyle w:val="TableTextNumbersContinued"/>
            </w:pPr>
            <w:r>
              <w:t xml:space="preserve">Click </w:t>
            </w:r>
            <w:r>
              <w:rPr>
                <w:b/>
              </w:rPr>
              <w:t>Add</w:t>
            </w:r>
            <w:r>
              <w:t xml:space="preserve"> to add the tests</w:t>
            </w:r>
            <w:r w:rsidR="005E5594">
              <w:t xml:space="preserve"> (</w:t>
            </w:r>
            <w:r w:rsidR="005E5594">
              <w:fldChar w:fldCharType="begin"/>
            </w:r>
            <w:r w:rsidR="005E5594">
              <w:instrText xml:space="preserve"> REF _Ref126472575 \h </w:instrText>
            </w:r>
            <w:r w:rsidR="005E5594">
              <w:fldChar w:fldCharType="separate"/>
            </w:r>
            <w:r w:rsidR="004353ED">
              <w:t xml:space="preserve">Figure </w:t>
            </w:r>
            <w:r w:rsidR="004353ED">
              <w:rPr>
                <w:noProof/>
              </w:rPr>
              <w:t>55</w:t>
            </w:r>
            <w:r w:rsidR="005E5594">
              <w:fldChar w:fldCharType="end"/>
            </w:r>
            <w:r w:rsidR="005E5594">
              <w:t>)</w:t>
            </w:r>
            <w:r>
              <w:t>, or</w:t>
            </w:r>
          </w:p>
          <w:p w14:paraId="17C10FDB" w14:textId="77777777" w:rsidR="002A21AE" w:rsidRDefault="002A21AE">
            <w:pPr>
              <w:pStyle w:val="TableTextNumbersContinued"/>
            </w:pPr>
          </w:p>
          <w:p w14:paraId="648A0332" w14:textId="77777777" w:rsidR="002A21AE" w:rsidRDefault="00C15633">
            <w:pPr>
              <w:pStyle w:val="TableTextNumbersContinued"/>
            </w:pPr>
            <w:r>
              <w:t xml:space="preserve">Click the </w:t>
            </w:r>
            <w:r>
              <w:rPr>
                <w:b/>
              </w:rPr>
              <w:t>Show Inactive Transfusion Effectiveness Report</w:t>
            </w:r>
            <w:r w:rsidR="008632FE">
              <w:rPr>
                <w:b/>
              </w:rPr>
              <w:t xml:space="preserve"> </w:t>
            </w:r>
            <w:r>
              <w:rPr>
                <w:b/>
              </w:rPr>
              <w:t xml:space="preserve">Tests </w:t>
            </w:r>
            <w:r w:rsidRPr="00D1100E">
              <w:t>check box</w:t>
            </w:r>
            <w:r>
              <w:t>, if desired.</w:t>
            </w:r>
            <w:r w:rsidR="002A21AE">
              <w:t xml:space="preserve"> </w:t>
            </w:r>
          </w:p>
          <w:p w14:paraId="1DA98FAD" w14:textId="77777777" w:rsidR="002A21AE" w:rsidRDefault="002A21AE">
            <w:pPr>
              <w:pStyle w:val="TableTextNumbersContinued"/>
            </w:pPr>
          </w:p>
          <w:p w14:paraId="0CF992A7" w14:textId="77777777" w:rsidR="002A21AE" w:rsidRDefault="002A21AE">
            <w:pPr>
              <w:pStyle w:val="TableTextNumbersContinued"/>
            </w:pPr>
            <w:r>
              <w:t xml:space="preserve">Click </w:t>
            </w:r>
            <w:r>
              <w:rPr>
                <w:b/>
              </w:rPr>
              <w:t>Update</w:t>
            </w:r>
            <w:r>
              <w:t xml:space="preserve"> to edit the tests.</w:t>
            </w:r>
          </w:p>
        </w:tc>
        <w:tc>
          <w:tcPr>
            <w:tcW w:w="6120" w:type="dxa"/>
          </w:tcPr>
          <w:p w14:paraId="5D7BC9FD" w14:textId="77777777" w:rsidR="002A21AE" w:rsidRDefault="002A21AE">
            <w:pPr>
              <w:pStyle w:val="TableTextBullet"/>
            </w:pPr>
            <w:r>
              <w:t xml:space="preserve">Allows the user to enter one or more Transfusion Effectiveness Tests. </w:t>
            </w:r>
          </w:p>
          <w:p w14:paraId="7100C706" w14:textId="77777777" w:rsidR="002A21AE" w:rsidRDefault="002A21AE">
            <w:pPr>
              <w:pStyle w:val="TableTextBullet"/>
            </w:pPr>
            <w:r>
              <w:t>Uses VistALink to retrieve Laboratory test data for each of these indicators:</w:t>
            </w:r>
          </w:p>
          <w:p w14:paraId="45E02265" w14:textId="77777777" w:rsidR="002A21AE" w:rsidRDefault="002A21AE">
            <w:pPr>
              <w:pStyle w:val="TableTextBullet1"/>
            </w:pPr>
            <w:r>
              <w:t>Laboratory test name</w:t>
            </w:r>
          </w:p>
          <w:p w14:paraId="42946837" w14:textId="77777777" w:rsidR="002A21AE" w:rsidRDefault="00CA0045">
            <w:pPr>
              <w:pStyle w:val="TableTextBullet1"/>
            </w:pPr>
            <w:r w:rsidRPr="00CA0045">
              <w:rPr>
                <w:bCs/>
              </w:rPr>
              <w:t>VistA</w:t>
            </w:r>
            <w:r w:rsidR="002A21AE">
              <w:t xml:space="preserve"> Laboratory test Internal Entry Number (IEN)</w:t>
            </w:r>
          </w:p>
          <w:p w14:paraId="526ED28E" w14:textId="77777777" w:rsidR="002A21AE" w:rsidRDefault="002A21AE">
            <w:pPr>
              <w:pStyle w:val="TableTextBullet1"/>
            </w:pPr>
            <w:r>
              <w:t>Specimen type</w:t>
            </w:r>
          </w:p>
        </w:tc>
      </w:tr>
      <w:tr w:rsidR="002A21AE" w14:paraId="06F1AA4C" w14:textId="77777777">
        <w:tc>
          <w:tcPr>
            <w:tcW w:w="3240" w:type="dxa"/>
          </w:tcPr>
          <w:p w14:paraId="431F1C1C" w14:textId="77777777" w:rsidR="002A21AE" w:rsidRDefault="002A21AE">
            <w:pPr>
              <w:pStyle w:val="TableTextNumbers"/>
            </w:pPr>
            <w:r>
              <w:lastRenderedPageBreak/>
              <w:t xml:space="preserve">Repeat Step 2 for each Transfusion Effectiveness Test to be defined, or click </w:t>
            </w:r>
            <w:r>
              <w:rPr>
                <w:b/>
              </w:rPr>
              <w:t>Cancel</w:t>
            </w:r>
            <w:r>
              <w:t xml:space="preserve"> to exit. </w:t>
            </w:r>
          </w:p>
        </w:tc>
        <w:tc>
          <w:tcPr>
            <w:tcW w:w="6120" w:type="dxa"/>
          </w:tcPr>
          <w:p w14:paraId="1B8636D1" w14:textId="77777777" w:rsidR="002A21AE" w:rsidRDefault="002A21AE">
            <w:pPr>
              <w:pStyle w:val="TableText"/>
            </w:pPr>
          </w:p>
        </w:tc>
      </w:tr>
      <w:tr w:rsidR="00E51B8B" w14:paraId="71DFB744" w14:textId="77777777">
        <w:tc>
          <w:tcPr>
            <w:tcW w:w="3240" w:type="dxa"/>
            <w:tcBorders>
              <w:top w:val="single" w:sz="4" w:space="0" w:color="auto"/>
              <w:left w:val="single" w:sz="4" w:space="0" w:color="auto"/>
              <w:bottom w:val="single" w:sz="4" w:space="0" w:color="auto"/>
              <w:right w:val="single" w:sz="4" w:space="0" w:color="auto"/>
            </w:tcBorders>
          </w:tcPr>
          <w:p w14:paraId="001EEC32" w14:textId="77777777" w:rsidR="00E51B8B" w:rsidRDefault="00E51B8B" w:rsidP="00E51B8B">
            <w:pPr>
              <w:pStyle w:val="TableTextNumbers"/>
            </w:pPr>
            <w:r>
              <w:t xml:space="preserve">Click </w:t>
            </w:r>
            <w:r w:rsidRPr="00E51B8B">
              <w:rPr>
                <w:b/>
              </w:rPr>
              <w:t>OK</w:t>
            </w:r>
            <w:r>
              <w:t xml:space="preserve"> to save</w:t>
            </w:r>
            <w:r w:rsidR="00F8353F">
              <w:t xml:space="preserve"> and </w:t>
            </w:r>
            <w:r w:rsidR="00F8353F" w:rsidRPr="00F8353F">
              <w:rPr>
                <w:b/>
              </w:rPr>
              <w:t>Yes</w:t>
            </w:r>
            <w:r w:rsidR="00F8353F">
              <w:t xml:space="preserve"> to confirm the save</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39"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3D57F1B0" w14:textId="77777777" w:rsidR="00E51B8B" w:rsidRDefault="00E51B8B" w:rsidP="00EF41C4">
            <w:pPr>
              <w:pStyle w:val="TableTextBullet"/>
            </w:pPr>
            <w:r>
              <w:t>Updates the database, including the date and time and the technologist ID. Saves changes to previously defined tests for inclusion in an Audit Trail Report.</w:t>
            </w:r>
          </w:p>
        </w:tc>
      </w:tr>
    </w:tbl>
    <w:p w14:paraId="2E869B1F" w14:textId="33633591" w:rsidR="005E5594" w:rsidRDefault="005E5594" w:rsidP="005E5594">
      <w:pPr>
        <w:pStyle w:val="Caption"/>
      </w:pPr>
      <w:bookmarkStart w:id="240" w:name="_Ref12647257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55</w:t>
      </w:r>
      <w:r w:rsidR="004E20BD">
        <w:rPr>
          <w:noProof/>
        </w:rPr>
        <w:fldChar w:fldCharType="end"/>
      </w:r>
      <w:bookmarkEnd w:id="240"/>
      <w:r>
        <w:t>: Transfusion Effectiveness Report Tests</w:t>
      </w:r>
    </w:p>
    <w:p w14:paraId="7CF9D1FE" w14:textId="77777777" w:rsidR="005E5594" w:rsidRDefault="00057948" w:rsidP="005E5594">
      <w:pPr>
        <w:pStyle w:val="BodyText"/>
      </w:pPr>
      <w:r>
        <w:rPr>
          <w:noProof/>
        </w:rPr>
        <w:drawing>
          <wp:inline distT="0" distB="0" distL="0" distR="0" wp14:anchorId="23606DA2" wp14:editId="63BB73C0">
            <wp:extent cx="3454400" cy="2891155"/>
            <wp:effectExtent l="0" t="0" r="0" b="4445"/>
            <wp:docPr id="137" name="Picture 1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a:extLst>
                        <a:ext uri="{C183D7F6-B498-43B3-948B-1728B52AA6E4}">
                          <adec:decorative xmlns:adec="http://schemas.microsoft.com/office/drawing/2017/decorative" val="1"/>
                        </a:ext>
                      </a:extLst>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454400" cy="2891155"/>
                    </a:xfrm>
                    <a:prstGeom prst="rect">
                      <a:avLst/>
                    </a:prstGeom>
                    <a:noFill/>
                    <a:ln>
                      <a:noFill/>
                    </a:ln>
                  </pic:spPr>
                </pic:pic>
              </a:graphicData>
            </a:graphic>
          </wp:inline>
        </w:drawing>
      </w:r>
    </w:p>
    <w:bookmarkEnd w:id="238"/>
    <w:p w14:paraId="16FA0665" w14:textId="77777777" w:rsidR="00D75EF6" w:rsidRDefault="00466CF2" w:rsidP="005E5594">
      <w:pPr>
        <w:pStyle w:val="Heading3"/>
      </w:pPr>
      <w:r>
        <w:br w:type="page"/>
      </w:r>
      <w:bookmarkStart w:id="241" w:name="_Toc47516707"/>
      <w:r w:rsidR="00D75EF6">
        <w:lastRenderedPageBreak/>
        <w:t>MSBOS</w:t>
      </w:r>
      <w:bookmarkEnd w:id="241"/>
      <w:r w:rsidR="00D75EF6">
        <w:fldChar w:fldCharType="begin"/>
      </w:r>
      <w:r w:rsidR="00D75EF6">
        <w:instrText xml:space="preserve"> XE “MSBOS” </w:instrText>
      </w:r>
      <w:r w:rsidR="00D75EF6">
        <w:fldChar w:fldCharType="end"/>
      </w:r>
      <w:r w:rsidR="00D75EF6">
        <w:t xml:space="preserve"> </w:t>
      </w:r>
      <w:r w:rsidR="00D75EF6">
        <w:rPr>
          <w:rFonts w:ascii="Times New Roman" w:hAnsi="Times New Roman" w:cs="Times New Roman"/>
          <w:vanish/>
          <w:sz w:val="22"/>
        </w:rPr>
        <w:t>UC_32</w:t>
      </w:r>
    </w:p>
    <w:p w14:paraId="10D413C1" w14:textId="77777777" w:rsidR="00D75EF6" w:rsidRDefault="00D75EF6" w:rsidP="00D75EF6">
      <w:pPr>
        <w:pStyle w:val="BodyText"/>
      </w:pPr>
      <w:r>
        <w:t xml:space="preserve">The user defines parameters for comparing blood component orders placed by a clinician with the Maximum Surgical Blood Ordering Schedule (MSBOS). </w:t>
      </w:r>
    </w:p>
    <w:p w14:paraId="33069C65" w14:textId="77777777" w:rsidR="00D75EF6" w:rsidRDefault="00D75EF6" w:rsidP="00D75EF6">
      <w:pPr>
        <w:pStyle w:val="Heading4"/>
      </w:pPr>
      <w:r>
        <w:t>Assumptions</w:t>
      </w:r>
    </w:p>
    <w:p w14:paraId="1FAA9AE5" w14:textId="77777777" w:rsidR="00D75EF6" w:rsidRDefault="00D75EF6" w:rsidP="00D75EF6">
      <w:pPr>
        <w:pStyle w:val="ListBullet"/>
      </w:pPr>
      <w:r>
        <w:t>A table of generic surgery names is available for MSBOS activation.</w:t>
      </w:r>
      <w:r>
        <w:rPr>
          <w:noProof/>
        </w:rPr>
        <w:t xml:space="preserve"> </w:t>
      </w:r>
    </w:p>
    <w:p w14:paraId="6F05129D" w14:textId="77777777" w:rsidR="00D75EF6" w:rsidRDefault="00D75EF6" w:rsidP="00D75EF6">
      <w:pPr>
        <w:pStyle w:val="Heading4"/>
      </w:pPr>
      <w:r>
        <w:t>Outcome</w:t>
      </w:r>
    </w:p>
    <w:p w14:paraId="30A7FF8E" w14:textId="77777777" w:rsidR="00D75EF6" w:rsidRDefault="00D75EF6" w:rsidP="00D75EF6">
      <w:pPr>
        <w:pStyle w:val="ListBullet"/>
      </w:pPr>
      <w:r>
        <w:t xml:space="preserve">CPRS users will see only active surgery names when placing a blood bank order. </w:t>
      </w:r>
    </w:p>
    <w:p w14:paraId="3803C16E" w14:textId="77777777" w:rsidR="00D75EF6" w:rsidRDefault="00D75EF6" w:rsidP="00D75EF6">
      <w:pPr>
        <w:pStyle w:val="ListBullet"/>
      </w:pPr>
      <w:r>
        <w:t xml:space="preserve">MSBOS will be available to VBECS users to evaluate the appropriateness of </w:t>
      </w:r>
      <w:r w:rsidR="00200425">
        <w:t xml:space="preserve">pre-op </w:t>
      </w:r>
      <w:r>
        <w:t>orders.</w:t>
      </w:r>
    </w:p>
    <w:p w14:paraId="03206072" w14:textId="77777777" w:rsidR="00D75EF6" w:rsidRDefault="00D75EF6" w:rsidP="00D75EF6">
      <w:pPr>
        <w:pStyle w:val="Heading4"/>
      </w:pPr>
      <w:r>
        <w:t>Limitations and Restrictions</w:t>
      </w:r>
    </w:p>
    <w:p w14:paraId="0C20B3D5" w14:textId="77777777" w:rsidR="00D75EF6" w:rsidRDefault="00D75EF6" w:rsidP="00D75EF6">
      <w:pPr>
        <w:pStyle w:val="ListBullet"/>
      </w:pPr>
      <w:r>
        <w:t>None</w:t>
      </w:r>
    </w:p>
    <w:p w14:paraId="5D9FB19F" w14:textId="77777777" w:rsidR="00D75EF6" w:rsidRDefault="00D75EF6" w:rsidP="00D75EF6">
      <w:pPr>
        <w:pStyle w:val="Heading4"/>
      </w:pPr>
      <w:r>
        <w:t>Additional Information</w:t>
      </w:r>
    </w:p>
    <w:p w14:paraId="526DF6EB" w14:textId="77777777" w:rsidR="00D75EF6" w:rsidRDefault="00D75EF6" w:rsidP="00D75EF6">
      <w:pPr>
        <w:pStyle w:val="ListBullet"/>
      </w:pPr>
      <w:r>
        <w:t>The maximum number of blood products serves as a guideline. Orders in excess of the MSBOS are not prohibited.</w:t>
      </w:r>
    </w:p>
    <w:p w14:paraId="5FA681F1" w14:textId="77777777" w:rsidR="00D75EF6" w:rsidRDefault="00D75EF6" w:rsidP="00D75EF6">
      <w:pPr>
        <w:pStyle w:val="ListBullet"/>
      </w:pPr>
      <w:r>
        <w:t>The VBECS user may view active and inactive surgery names.</w:t>
      </w:r>
    </w:p>
    <w:p w14:paraId="11D3DBF6" w14:textId="77777777" w:rsidR="00D75EF6" w:rsidRDefault="00D75EF6" w:rsidP="00D75EF6">
      <w:pPr>
        <w:pStyle w:val="Heading4"/>
      </w:pPr>
      <w:r>
        <w:t>User Roles with Access to This Option</w:t>
      </w:r>
    </w:p>
    <w:p w14:paraId="07AA24F1" w14:textId="77777777" w:rsidR="00D75EF6" w:rsidRDefault="00D75EF6" w:rsidP="00D75EF6">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557EA59" w14:textId="77777777" w:rsidR="00D75EF6" w:rsidRDefault="00D75EF6" w:rsidP="00D75EF6">
      <w:pPr>
        <w:pStyle w:val="Heading4"/>
      </w:pPr>
      <w:r>
        <w:t>MSBOS</w:t>
      </w:r>
    </w:p>
    <w:p w14:paraId="38C62609" w14:textId="77777777" w:rsidR="00D75EF6" w:rsidRDefault="00D75EF6" w:rsidP="00D75EF6">
      <w:pPr>
        <w:pStyle w:val="BodyText"/>
      </w:pPr>
      <w:r>
        <w:t xml:space="preserve">The user selects a surgery name from the generic surgery list or creates a new surgery name, then defines the associated MSBOS recommendation. MSBOS is used when VBECS acknowledges orders from </w:t>
      </w:r>
      <w:r w:rsidRPr="00CA0045">
        <w:rPr>
          <w:bCs/>
        </w:rPr>
        <w:t>VistA</w:t>
      </w:r>
      <w:r>
        <w:t xml:space="preserve"> that are written for preoperative patients.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D75EF6" w14:paraId="1D37D59D" w14:textId="77777777">
        <w:trPr>
          <w:tblHeader/>
        </w:trPr>
        <w:tc>
          <w:tcPr>
            <w:tcW w:w="3240" w:type="dxa"/>
            <w:shd w:val="pct30" w:color="auto" w:fill="FFFFFF"/>
            <w:vAlign w:val="bottom"/>
          </w:tcPr>
          <w:p w14:paraId="24ADE89C" w14:textId="77777777" w:rsidR="00D75EF6" w:rsidRDefault="00D75EF6" w:rsidP="00DB1D38">
            <w:pPr>
              <w:pStyle w:val="TableText"/>
              <w:rPr>
                <w:b/>
              </w:rPr>
            </w:pPr>
            <w:r>
              <w:rPr>
                <w:b/>
              </w:rPr>
              <w:t>User Action</w:t>
            </w:r>
          </w:p>
        </w:tc>
        <w:tc>
          <w:tcPr>
            <w:tcW w:w="6120" w:type="dxa"/>
            <w:shd w:val="pct30" w:color="auto" w:fill="FFFFFF"/>
            <w:vAlign w:val="bottom"/>
          </w:tcPr>
          <w:p w14:paraId="3EC16B22" w14:textId="77777777" w:rsidR="00D75EF6" w:rsidRDefault="00D75EF6" w:rsidP="00DB1D38">
            <w:pPr>
              <w:pStyle w:val="TableText"/>
              <w:rPr>
                <w:b/>
              </w:rPr>
            </w:pPr>
            <w:r>
              <w:rPr>
                <w:b/>
              </w:rPr>
              <w:t>VBECS</w:t>
            </w:r>
          </w:p>
        </w:tc>
      </w:tr>
      <w:tr w:rsidR="00D75EF6" w14:paraId="36EF6B73" w14:textId="77777777">
        <w:tc>
          <w:tcPr>
            <w:tcW w:w="3240" w:type="dxa"/>
          </w:tcPr>
          <w:p w14:paraId="020AAED9" w14:textId="77777777" w:rsidR="00D75EF6" w:rsidRDefault="00D75EF6" w:rsidP="00DB1D38">
            <w:pPr>
              <w:pStyle w:val="TableTextNumbers"/>
            </w:pPr>
            <w:r>
              <w:t xml:space="preserve">Select </w:t>
            </w:r>
            <w:r>
              <w:rPr>
                <w:b/>
                <w:bCs/>
              </w:rPr>
              <w:t>Tools</w:t>
            </w:r>
            <w:r>
              <w:t xml:space="preserve"> from the main menu.</w:t>
            </w:r>
          </w:p>
          <w:p w14:paraId="6EE260E5" w14:textId="77777777" w:rsidR="00D75EF6" w:rsidRDefault="00D75EF6" w:rsidP="00DB1D38">
            <w:pPr>
              <w:pStyle w:val="TableTextNumbersContinued"/>
            </w:pPr>
          </w:p>
          <w:p w14:paraId="7DAC1585" w14:textId="77777777" w:rsidR="00D75EF6" w:rsidRDefault="00D75EF6" w:rsidP="00DB1D38">
            <w:pPr>
              <w:pStyle w:val="TableTextNumbersContinued"/>
            </w:pPr>
            <w:r>
              <w:t xml:space="preserve">Select </w:t>
            </w:r>
            <w:r>
              <w:rPr>
                <w:b/>
              </w:rPr>
              <w:t>MSBOS</w:t>
            </w:r>
            <w:r>
              <w:t>.</w:t>
            </w:r>
          </w:p>
        </w:tc>
        <w:tc>
          <w:tcPr>
            <w:tcW w:w="6120" w:type="dxa"/>
          </w:tcPr>
          <w:p w14:paraId="4DC2887A" w14:textId="77777777" w:rsidR="00D75EF6" w:rsidRDefault="00D75EF6" w:rsidP="00DB1D38">
            <w:pPr>
              <w:pStyle w:val="TableTextBullet"/>
            </w:pPr>
            <w:r>
              <w:t>Displays options for processing administrative functions.</w:t>
            </w:r>
          </w:p>
          <w:p w14:paraId="3AFA7F38" w14:textId="77777777" w:rsidR="00D75EF6" w:rsidRDefault="00D75EF6" w:rsidP="00DB1D38">
            <w:pPr>
              <w:pStyle w:val="TableTextBullet"/>
            </w:pPr>
            <w:r>
              <w:t xml:space="preserve">Displays the schedule and component recommendation options. </w:t>
            </w:r>
          </w:p>
        </w:tc>
      </w:tr>
      <w:tr w:rsidR="00D75EF6" w14:paraId="3A051B4E" w14:textId="77777777" w:rsidTr="007E500E">
        <w:trPr>
          <w:cantSplit/>
        </w:trPr>
        <w:tc>
          <w:tcPr>
            <w:tcW w:w="3240" w:type="dxa"/>
          </w:tcPr>
          <w:p w14:paraId="19F9E808" w14:textId="5BFA1991" w:rsidR="00D75EF6" w:rsidRDefault="00D75EF6" w:rsidP="00DB1D38">
            <w:pPr>
              <w:pStyle w:val="TableTextNumbers"/>
            </w:pPr>
            <w:r>
              <w:lastRenderedPageBreak/>
              <w:t xml:space="preserve">To activate an existing surgery name, click the </w:t>
            </w:r>
            <w:r>
              <w:rPr>
                <w:b/>
                <w:bCs/>
              </w:rPr>
              <w:t xml:space="preserve">Show Inactive MSBOS entries </w:t>
            </w:r>
            <w:r w:rsidRPr="00D1100E">
              <w:rPr>
                <w:bCs/>
              </w:rPr>
              <w:t>check box</w:t>
            </w:r>
            <w:r w:rsidR="00070D1C">
              <w:rPr>
                <w:bCs/>
              </w:rPr>
              <w:t xml:space="preserve"> (</w:t>
            </w:r>
            <w:r w:rsidR="00070D1C">
              <w:rPr>
                <w:bCs/>
              </w:rPr>
              <w:fldChar w:fldCharType="begin"/>
            </w:r>
            <w:r w:rsidR="00070D1C">
              <w:rPr>
                <w:bCs/>
              </w:rPr>
              <w:instrText xml:space="preserve"> REF _Ref126472861 \h </w:instrText>
            </w:r>
            <w:r w:rsidR="00070D1C">
              <w:rPr>
                <w:bCs/>
              </w:rPr>
            </w:r>
            <w:r w:rsidR="00070D1C">
              <w:rPr>
                <w:bCs/>
              </w:rPr>
              <w:fldChar w:fldCharType="separate"/>
            </w:r>
            <w:r w:rsidR="004353ED">
              <w:t xml:space="preserve">Figure </w:t>
            </w:r>
            <w:r w:rsidR="004353ED">
              <w:rPr>
                <w:noProof/>
              </w:rPr>
              <w:t>56</w:t>
            </w:r>
            <w:r w:rsidR="00070D1C">
              <w:rPr>
                <w:bCs/>
              </w:rPr>
              <w:fldChar w:fldCharType="end"/>
            </w:r>
            <w:r w:rsidR="00070D1C">
              <w:rPr>
                <w:bCs/>
              </w:rPr>
              <w:t>)</w:t>
            </w:r>
            <w:r>
              <w:t>.</w:t>
            </w:r>
          </w:p>
          <w:p w14:paraId="234738CD" w14:textId="77777777" w:rsidR="00D75EF6" w:rsidRDefault="00D75EF6" w:rsidP="00DB1D38">
            <w:pPr>
              <w:pStyle w:val="TableTextNumbersContinued"/>
            </w:pPr>
          </w:p>
          <w:p w14:paraId="7E5AC54B" w14:textId="77777777" w:rsidR="00D75EF6" w:rsidRDefault="00D75EF6" w:rsidP="00DB1D38">
            <w:pPr>
              <w:pStyle w:val="TableTextNumbersContinued"/>
            </w:pPr>
            <w:r>
              <w:t>Select a surgery name.</w:t>
            </w:r>
          </w:p>
          <w:p w14:paraId="7B4FD09E" w14:textId="77777777" w:rsidR="00D75EF6" w:rsidRDefault="00D75EF6" w:rsidP="00DB1D38">
            <w:pPr>
              <w:pStyle w:val="TableTextNumbersContinued"/>
            </w:pPr>
          </w:p>
          <w:p w14:paraId="40033FB3" w14:textId="77777777" w:rsidR="00D75EF6" w:rsidRDefault="00D75EF6" w:rsidP="00DB1D38">
            <w:pPr>
              <w:pStyle w:val="TableTextNumbersContinued"/>
            </w:pPr>
            <w:r>
              <w:t xml:space="preserve">Click the </w:t>
            </w:r>
            <w:r>
              <w:rPr>
                <w:b/>
                <w:bCs/>
              </w:rPr>
              <w:t xml:space="preserve">Active MSBOS Entry? </w:t>
            </w:r>
            <w:r w:rsidRPr="00D1100E">
              <w:rPr>
                <w:bCs/>
              </w:rPr>
              <w:t>check box</w:t>
            </w:r>
            <w:r>
              <w:t>, or</w:t>
            </w:r>
          </w:p>
          <w:p w14:paraId="57AF8B12" w14:textId="77777777" w:rsidR="00D75EF6" w:rsidRDefault="00D75EF6" w:rsidP="00DB1D38">
            <w:pPr>
              <w:pStyle w:val="TableTextNumbersContinued"/>
            </w:pPr>
          </w:p>
          <w:p w14:paraId="0477119A" w14:textId="77777777" w:rsidR="00D75EF6" w:rsidRDefault="00D75EF6" w:rsidP="00DB1D38">
            <w:pPr>
              <w:pStyle w:val="TableTextNumbersContinued"/>
            </w:pPr>
            <w:r>
              <w:t xml:space="preserve">To add and activate a surgery name, click </w:t>
            </w:r>
            <w:r>
              <w:rPr>
                <w:b/>
                <w:bCs/>
              </w:rPr>
              <w:t xml:space="preserve">New Surgery </w:t>
            </w:r>
            <w:r>
              <w:t xml:space="preserve">and enter a surgery name in the Surgery Name field. Click </w:t>
            </w:r>
            <w:r>
              <w:rPr>
                <w:b/>
                <w:bCs/>
              </w:rPr>
              <w:t>Add</w:t>
            </w:r>
            <w:r>
              <w:t xml:space="preserve">, or </w:t>
            </w:r>
          </w:p>
          <w:p w14:paraId="66EAEF2D" w14:textId="77777777" w:rsidR="00D75EF6" w:rsidRDefault="00D75EF6" w:rsidP="00DB1D38">
            <w:pPr>
              <w:pStyle w:val="TableTextNumbersContinued"/>
            </w:pPr>
          </w:p>
          <w:p w14:paraId="5DE66DF5" w14:textId="77777777" w:rsidR="00D75EF6" w:rsidRDefault="00D75EF6" w:rsidP="00DB1D38">
            <w:pPr>
              <w:pStyle w:val="TableTextNumbersContinued"/>
            </w:pPr>
            <w:r>
              <w:t xml:space="preserve">To edit and/or inactivate an existing surgery name, click the appropriate options in the MSBOS Component Recommendation area of the screen edit. Click </w:t>
            </w:r>
            <w:r>
              <w:rPr>
                <w:b/>
                <w:bCs/>
              </w:rPr>
              <w:t>Update</w:t>
            </w:r>
            <w:r>
              <w:t>.</w:t>
            </w:r>
          </w:p>
        </w:tc>
        <w:tc>
          <w:tcPr>
            <w:tcW w:w="6120" w:type="dxa"/>
          </w:tcPr>
          <w:p w14:paraId="6C153D52" w14:textId="77777777" w:rsidR="00D75EF6" w:rsidRDefault="00D75EF6" w:rsidP="00DB1D38">
            <w:pPr>
              <w:pStyle w:val="TableTextBullet"/>
            </w:pPr>
            <w:r>
              <w:t>Lists active surgery names or allows the user to create an entry.</w:t>
            </w:r>
          </w:p>
          <w:p w14:paraId="05DE7385" w14:textId="77777777" w:rsidR="00D75EF6" w:rsidRDefault="00D75EF6" w:rsidP="00DB1D38">
            <w:pPr>
              <w:pStyle w:val="TableTextBullet"/>
            </w:pPr>
            <w:r>
              <w:t>Activate, add, or edit a MSBOS entry and its associated data.</w:t>
            </w:r>
          </w:p>
          <w:p w14:paraId="42026B31" w14:textId="77777777" w:rsidR="00D75EF6" w:rsidRDefault="00D75EF6" w:rsidP="00DB1D38">
            <w:pPr>
              <w:pStyle w:val="TableTextBullet"/>
            </w:pPr>
            <w:r>
              <w:t>Displays surgery names available for activation.</w:t>
            </w:r>
          </w:p>
          <w:p w14:paraId="71D70147" w14:textId="77777777" w:rsidR="00D75EF6" w:rsidRDefault="00D75EF6" w:rsidP="00DB1D38">
            <w:pPr>
              <w:pStyle w:val="TableTextBullet"/>
            </w:pPr>
            <w:r>
              <w:t>Displays entries for review and acceptance.</w:t>
            </w:r>
          </w:p>
          <w:p w14:paraId="6058EFC3" w14:textId="77777777" w:rsidR="00D75EF6" w:rsidRDefault="00D75EF6" w:rsidP="00DB1D38">
            <w:pPr>
              <w:pStyle w:val="TableText"/>
            </w:pPr>
          </w:p>
          <w:p w14:paraId="4EF2E621" w14:textId="79552DBC" w:rsidR="00D75EF6" w:rsidRDefault="00D75EF6" w:rsidP="00DB1D38">
            <w:pPr>
              <w:pStyle w:val="TableText"/>
              <w:rPr>
                <w:b/>
                <w:bCs/>
                <w:szCs w:val="18"/>
              </w:rPr>
            </w:pPr>
            <w:r>
              <w:rPr>
                <w:b/>
                <w:bCs/>
                <w:szCs w:val="18"/>
              </w:rPr>
              <w:t>NOTES</w:t>
            </w:r>
          </w:p>
          <w:p w14:paraId="5773551B" w14:textId="77777777" w:rsidR="00D75EF6" w:rsidRDefault="00D75EF6" w:rsidP="00DB1D38">
            <w:pPr>
              <w:pStyle w:val="NotesText"/>
            </w:pPr>
          </w:p>
          <w:p w14:paraId="7E94D3D5" w14:textId="77777777" w:rsidR="00D75EF6" w:rsidRDefault="00D75EF6" w:rsidP="00DB1D38">
            <w:pPr>
              <w:pStyle w:val="NotesText"/>
            </w:pPr>
            <w:r w:rsidRPr="009660C3">
              <w:rPr>
                <w:vanish/>
                <w:szCs w:val="18"/>
              </w:rPr>
              <w:t xml:space="preserve">BR_32.01 </w:t>
            </w:r>
            <w:r>
              <w:t>MSBOS is specific to the division.</w:t>
            </w:r>
          </w:p>
          <w:p w14:paraId="2E8F8937" w14:textId="77777777" w:rsidR="00D75EF6" w:rsidRDefault="00D75EF6" w:rsidP="00DB1D38">
            <w:pPr>
              <w:pStyle w:val="NotesText"/>
            </w:pPr>
          </w:p>
          <w:p w14:paraId="538FE01E" w14:textId="1F723628" w:rsidR="00D75EF6" w:rsidRDefault="00D75EF6" w:rsidP="00DB1D38">
            <w:pPr>
              <w:pStyle w:val="NotesText"/>
            </w:pPr>
            <w:r>
              <w:t xml:space="preserve">See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rsidR="00DB529D">
              <w:t xml:space="preserve">: </w:t>
            </w:r>
            <w:r w:rsidR="00DA05C9">
              <w:fldChar w:fldCharType="begin"/>
            </w:r>
            <w:r w:rsidR="00DA05C9">
              <w:instrText xml:space="preserve"> REF _Ref126484549 \h </w:instrText>
            </w:r>
            <w:r w:rsidR="00DA05C9">
              <w:fldChar w:fldCharType="separate"/>
            </w:r>
            <w:r w:rsidR="004353ED">
              <w:t xml:space="preserve">Table </w:t>
            </w:r>
            <w:r w:rsidR="004353ED">
              <w:rPr>
                <w:noProof/>
              </w:rPr>
              <w:t>24</w:t>
            </w:r>
            <w:r w:rsidR="004353ED">
              <w:t xml:space="preserve">: </w:t>
            </w:r>
            <w:r w:rsidR="004353ED">
              <w:rPr>
                <w:vanish/>
              </w:rPr>
              <w:t>PT_32.01</w:t>
            </w:r>
            <w:r w:rsidR="004353ED">
              <w:rPr>
                <w:vanish/>
                <w:sz w:val="16"/>
              </w:rPr>
              <w:t xml:space="preserve"> </w:t>
            </w:r>
            <w:r w:rsidR="004353ED">
              <w:t>VBECS Maximum Surgical Blood Order Schedule (MSBOS)</w:t>
            </w:r>
            <w:r w:rsidR="00DA05C9">
              <w:fldChar w:fldCharType="end"/>
            </w:r>
            <w:r>
              <w:t>.</w:t>
            </w:r>
          </w:p>
          <w:p w14:paraId="5195B045" w14:textId="77777777" w:rsidR="00D75EF6" w:rsidRDefault="00D75EF6" w:rsidP="00DB1D38">
            <w:pPr>
              <w:pStyle w:val="NotesText"/>
            </w:pPr>
          </w:p>
          <w:p w14:paraId="76982AF1" w14:textId="77777777" w:rsidR="00D75EF6" w:rsidRDefault="00D75EF6" w:rsidP="00DB1D38">
            <w:pPr>
              <w:pStyle w:val="NotesText"/>
            </w:pPr>
            <w:r w:rsidRPr="009660C3">
              <w:rPr>
                <w:vanish/>
                <w:szCs w:val="18"/>
              </w:rPr>
              <w:t xml:space="preserve">BR_32.04 </w:t>
            </w:r>
            <w:r>
              <w:t>Each surgery name has a Type &amp; Screen (TAS) (no blood order recommended) or one or more component classes defined as recommended orders.</w:t>
            </w:r>
          </w:p>
          <w:p w14:paraId="46B464A0" w14:textId="77777777" w:rsidR="00D75EF6" w:rsidRDefault="00D75EF6" w:rsidP="00DB1D38">
            <w:pPr>
              <w:pStyle w:val="NotesText"/>
            </w:pPr>
          </w:p>
          <w:p w14:paraId="11851862" w14:textId="77777777" w:rsidR="00D75EF6" w:rsidRDefault="00D75EF6" w:rsidP="00DB1D38">
            <w:pPr>
              <w:pStyle w:val="NotesText"/>
            </w:pPr>
            <w:r w:rsidRPr="009660C3">
              <w:rPr>
                <w:vanish/>
                <w:szCs w:val="18"/>
              </w:rPr>
              <w:t>BR_32.02</w:t>
            </w:r>
            <w:r w:rsidR="009660C3" w:rsidRPr="009660C3">
              <w:rPr>
                <w:vanish/>
                <w:szCs w:val="18"/>
              </w:rPr>
              <w:t>,</w:t>
            </w:r>
            <w:r w:rsidRPr="009660C3">
              <w:rPr>
                <w:vanish/>
                <w:szCs w:val="18"/>
              </w:rPr>
              <w:t xml:space="preserve"> BR_32.03 </w:t>
            </w:r>
            <w:r>
              <w:t>The user may select one or more component classes for MSBOS recommendation. Each defined component class must have an associated maximum number recommended. The user may inactivate previously activated component classes for an MSBOS recommendation. The OTHER component class is not available for selection.</w:t>
            </w:r>
          </w:p>
        </w:tc>
      </w:tr>
      <w:tr w:rsidR="00D75EF6" w14:paraId="476AC749" w14:textId="77777777">
        <w:tc>
          <w:tcPr>
            <w:tcW w:w="3240" w:type="dxa"/>
          </w:tcPr>
          <w:p w14:paraId="70F53F8C" w14:textId="77777777" w:rsidR="00D75EF6" w:rsidRDefault="00D75EF6" w:rsidP="00DB1D38">
            <w:pPr>
              <w:pStyle w:val="TableTextNumbers"/>
            </w:pPr>
            <w:r>
              <w:t>Repeat Step 2 until all new entries are created or existing entries are edited.</w:t>
            </w:r>
          </w:p>
          <w:p w14:paraId="0B93D141" w14:textId="77777777" w:rsidR="00D75EF6" w:rsidRDefault="00D75EF6" w:rsidP="00DB1D38">
            <w:pPr>
              <w:pStyle w:val="TableTextNumbersContinued"/>
            </w:pPr>
          </w:p>
          <w:p w14:paraId="40CF5399" w14:textId="77777777" w:rsidR="00D75EF6" w:rsidRDefault="00D75EF6" w:rsidP="00DB1D38">
            <w:pPr>
              <w:pStyle w:val="TableTextNumbersContinued"/>
            </w:pPr>
            <w:r>
              <w:t xml:space="preserve">Click </w:t>
            </w:r>
            <w:r>
              <w:rPr>
                <w:b/>
              </w:rPr>
              <w:t>OK</w:t>
            </w:r>
            <w:r>
              <w:t xml:space="preserve"> to save the updated data.</w:t>
            </w:r>
          </w:p>
        </w:tc>
        <w:tc>
          <w:tcPr>
            <w:tcW w:w="6120" w:type="dxa"/>
          </w:tcPr>
          <w:p w14:paraId="6CC6FC21" w14:textId="77777777" w:rsidR="00D75EF6" w:rsidRDefault="00D75EF6" w:rsidP="00DB1D38">
            <w:pPr>
              <w:pStyle w:val="TableText"/>
              <w:rPr>
                <w:b/>
                <w:bCs/>
                <w:szCs w:val="18"/>
              </w:rPr>
            </w:pPr>
          </w:p>
          <w:p w14:paraId="28C37F3E" w14:textId="53C88B7E" w:rsidR="00D75EF6" w:rsidRDefault="00D75EF6" w:rsidP="00DB1D38">
            <w:pPr>
              <w:pStyle w:val="TableText"/>
              <w:rPr>
                <w:b/>
                <w:bCs/>
                <w:szCs w:val="18"/>
              </w:rPr>
            </w:pPr>
            <w:r>
              <w:rPr>
                <w:b/>
                <w:bCs/>
                <w:szCs w:val="18"/>
              </w:rPr>
              <w:t>NOTES</w:t>
            </w:r>
          </w:p>
          <w:p w14:paraId="6EF52DBC" w14:textId="77777777" w:rsidR="00D75EF6" w:rsidRDefault="00D75EF6" w:rsidP="00DB1D38">
            <w:pPr>
              <w:pStyle w:val="NotesText"/>
            </w:pPr>
          </w:p>
          <w:p w14:paraId="4EE878B0" w14:textId="77777777" w:rsidR="00D75EF6" w:rsidRDefault="00D75EF6" w:rsidP="00DB1D38">
            <w:pPr>
              <w:pStyle w:val="NotesText"/>
            </w:pPr>
            <w:r>
              <w:t xml:space="preserve">VBECS does not save changes to the database when the user clicks </w:t>
            </w:r>
            <w:r>
              <w:rPr>
                <w:b/>
                <w:bCs/>
              </w:rPr>
              <w:t>Cancel</w:t>
            </w:r>
            <w:r>
              <w:t xml:space="preserve"> without clicking </w:t>
            </w:r>
            <w:r>
              <w:rPr>
                <w:b/>
                <w:bCs/>
              </w:rPr>
              <w:t>OK</w:t>
            </w:r>
            <w:r>
              <w:t>.</w:t>
            </w:r>
          </w:p>
        </w:tc>
      </w:tr>
      <w:tr w:rsidR="00D75EF6" w14:paraId="1C6FF01A" w14:textId="77777777">
        <w:tc>
          <w:tcPr>
            <w:tcW w:w="3240" w:type="dxa"/>
          </w:tcPr>
          <w:p w14:paraId="666C2312" w14:textId="77777777" w:rsidR="00D75EF6" w:rsidRDefault="00D75EF6" w:rsidP="00DB1D38">
            <w:pPr>
              <w:pStyle w:val="TableTextNumbers"/>
            </w:pPr>
            <w:r>
              <w:t xml:space="preserve">Click </w:t>
            </w:r>
            <w:r>
              <w:rPr>
                <w:b/>
              </w:rPr>
              <w:t>Cancel</w:t>
            </w:r>
            <w:r>
              <w:rPr>
                <w:bCs/>
              </w:rPr>
              <w:t xml:space="preserve"> to exit</w:t>
            </w:r>
            <w: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242" w:author="Blalock, David (Leidos)" w:date="2020-06-15T14:09:00Z" w:original="0."/>
              </w:fldChar>
            </w:r>
          </w:p>
        </w:tc>
        <w:tc>
          <w:tcPr>
            <w:tcW w:w="6120" w:type="dxa"/>
          </w:tcPr>
          <w:p w14:paraId="5D8A446D" w14:textId="77777777" w:rsidR="00D75EF6" w:rsidRDefault="00D75EF6" w:rsidP="00DB1D38">
            <w:pPr>
              <w:pStyle w:val="TableText"/>
            </w:pPr>
          </w:p>
        </w:tc>
      </w:tr>
    </w:tbl>
    <w:p w14:paraId="0D5ADB82" w14:textId="7B0A7533" w:rsidR="00070D1C" w:rsidRDefault="00070D1C" w:rsidP="00070D1C">
      <w:pPr>
        <w:pStyle w:val="Caption"/>
      </w:pPr>
      <w:bookmarkStart w:id="243" w:name="_Ref12647286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56</w:t>
      </w:r>
      <w:r w:rsidR="004E20BD">
        <w:rPr>
          <w:noProof/>
        </w:rPr>
        <w:fldChar w:fldCharType="end"/>
      </w:r>
      <w:bookmarkEnd w:id="243"/>
      <w:r>
        <w:t>: Maintain MSBOS</w:t>
      </w:r>
    </w:p>
    <w:p w14:paraId="71A3B755" w14:textId="77777777" w:rsidR="00D75EF6" w:rsidRDefault="00057948" w:rsidP="00070D1C">
      <w:pPr>
        <w:pStyle w:val="BodyText"/>
      </w:pPr>
      <w:r>
        <w:rPr>
          <w:noProof/>
        </w:rPr>
        <w:drawing>
          <wp:inline distT="0" distB="0" distL="0" distR="0" wp14:anchorId="1027D1CB" wp14:editId="29548B28">
            <wp:extent cx="3546475" cy="2936875"/>
            <wp:effectExtent l="0" t="0" r="0" b="0"/>
            <wp:docPr id="138" name="Picture 1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a:extLst>
                        <a:ext uri="{C183D7F6-B498-43B3-948B-1728B52AA6E4}">
                          <adec:decorative xmlns:adec="http://schemas.microsoft.com/office/drawing/2017/decorative" val="1"/>
                        </a:ext>
                      </a:extLst>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546475" cy="2936875"/>
                    </a:xfrm>
                    <a:prstGeom prst="rect">
                      <a:avLst/>
                    </a:prstGeom>
                    <a:noFill/>
                    <a:ln>
                      <a:noFill/>
                    </a:ln>
                  </pic:spPr>
                </pic:pic>
              </a:graphicData>
            </a:graphic>
          </wp:inline>
        </w:drawing>
      </w:r>
    </w:p>
    <w:p w14:paraId="30BD1F0E" w14:textId="77777777" w:rsidR="002A21AE" w:rsidRDefault="00466CF2" w:rsidP="00D75EF6">
      <w:pPr>
        <w:pStyle w:val="Heading3"/>
      </w:pPr>
      <w:r>
        <w:br w:type="page"/>
      </w:r>
      <w:bookmarkStart w:id="244" w:name="_Toc47516708"/>
      <w:r w:rsidR="002A21AE">
        <w:lastRenderedPageBreak/>
        <w:t>Workload Codes</w:t>
      </w:r>
      <w:bookmarkEnd w:id="244"/>
      <w:r w:rsidR="002A21AE">
        <w:fldChar w:fldCharType="begin"/>
      </w:r>
      <w:r w:rsidR="002A21AE">
        <w:instrText xml:space="preserve"> XE </w:instrText>
      </w:r>
      <w:r w:rsidR="00FA7E65">
        <w:instrText>“</w:instrText>
      </w:r>
      <w:r w:rsidR="002A21AE">
        <w:instrText>Workload Codes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UC_29</w:t>
      </w:r>
    </w:p>
    <w:p w14:paraId="625D3A92" w14:textId="1B55C148" w:rsidR="009D7052" w:rsidRDefault="009D7052" w:rsidP="009D7052">
      <w:pPr>
        <w:pStyle w:val="BodyText"/>
      </w:pPr>
      <w:r>
        <w:t xml:space="preserve">The user assigns workload Laboratory Management Index Program/National Laboratory Test (LMIP/NLT) tests to processes performed through VBECS. VBECS test names are associated with </w:t>
      </w:r>
      <w:r w:rsidRPr="00CA0045">
        <w:rPr>
          <w:bCs/>
        </w:rPr>
        <w:t>VistA</w:t>
      </w:r>
      <w:r>
        <w:t xml:space="preserve"> workload codes, which VBECS uses when compiling and storing data to provide workload-related reports to </w:t>
      </w:r>
      <w:r w:rsidRPr="00CA0045">
        <w:rPr>
          <w:bCs/>
        </w:rPr>
        <w:t>VistA</w:t>
      </w:r>
      <w:r>
        <w:t>.</w:t>
      </w:r>
      <w:r w:rsidR="001414E9">
        <w:t xml:space="preserve"> See FAQ </w:t>
      </w:r>
      <w:r w:rsidR="002F7CC9">
        <w:t xml:space="preserve">Workload Assignments </w:t>
      </w:r>
      <w:r w:rsidR="001414E9">
        <w:t>Single vs Batch Processing.</w:t>
      </w:r>
      <w:r w:rsidR="00E90A01">
        <w:t xml:space="preserve"> For additional information, see </w:t>
      </w:r>
      <w:r w:rsidR="00E90A01">
        <w:fldChar w:fldCharType="begin"/>
      </w:r>
      <w:r w:rsidR="00E90A01">
        <w:instrText xml:space="preserve"> REF _Ref508960255 \h </w:instrText>
      </w:r>
      <w:r w:rsidR="00E90A01">
        <w:fldChar w:fldCharType="separate"/>
      </w:r>
      <w:r w:rsidR="004353ED">
        <w:t xml:space="preserve">Appendix </w:t>
      </w:r>
      <w:r w:rsidR="004353ED">
        <w:rPr>
          <w:noProof/>
        </w:rPr>
        <w:t>G</w:t>
      </w:r>
      <w:r w:rsidR="004353ED">
        <w:t>: Work Process Flowcharts</w:t>
      </w:r>
      <w:r w:rsidR="00E90A01">
        <w:fldChar w:fldCharType="end"/>
      </w:r>
      <w:r w:rsidR="00E90A01">
        <w:t>.</w:t>
      </w:r>
    </w:p>
    <w:p w14:paraId="2D9CCEC1" w14:textId="77777777" w:rsidR="002A21AE" w:rsidRDefault="002A21AE">
      <w:pPr>
        <w:pStyle w:val="Heading4"/>
      </w:pPr>
      <w:r>
        <w:t>Assumptions</w:t>
      </w:r>
    </w:p>
    <w:p w14:paraId="73B4822D" w14:textId="77777777" w:rsidR="002A21AE" w:rsidRDefault="002A21AE">
      <w:pPr>
        <w:pStyle w:val="ListBullet"/>
      </w:pPr>
      <w:r>
        <w:t xml:space="preserve">The </w:t>
      </w:r>
      <w:r w:rsidR="00CA0045" w:rsidRPr="00CA0045">
        <w:rPr>
          <w:bCs/>
        </w:rPr>
        <w:t>VistA</w:t>
      </w:r>
      <w:r>
        <w:t xml:space="preserve"> database was updated to include all required workload codes for the VBECS process.</w:t>
      </w:r>
    </w:p>
    <w:p w14:paraId="6EF2DDCC" w14:textId="77777777" w:rsidR="002A21AE" w:rsidRDefault="002A21AE">
      <w:pPr>
        <w:pStyle w:val="ListBullet"/>
      </w:pPr>
      <w:r>
        <w:t xml:space="preserve">The </w:t>
      </w:r>
      <w:r w:rsidR="00CA0045" w:rsidRPr="00CA0045">
        <w:rPr>
          <w:bCs/>
        </w:rPr>
        <w:t>VistA</w:t>
      </w:r>
      <w:r>
        <w:t xml:space="preserve"> database was updated to associate CPT codes and costs with the workload codes to be used by VBECS.</w:t>
      </w:r>
    </w:p>
    <w:p w14:paraId="7633D936" w14:textId="77777777" w:rsidR="002A21AE" w:rsidRDefault="002A21AE">
      <w:pPr>
        <w:pStyle w:val="ListBullet"/>
      </w:pPr>
      <w:r>
        <w:t xml:space="preserve">The connection to </w:t>
      </w:r>
      <w:r w:rsidR="00CA0045" w:rsidRPr="00CA0045">
        <w:rPr>
          <w:bCs/>
        </w:rPr>
        <w:t>VistA</w:t>
      </w:r>
      <w:r>
        <w:t xml:space="preserve"> is active.</w:t>
      </w:r>
    </w:p>
    <w:p w14:paraId="3E20E16E" w14:textId="77777777" w:rsidR="002A21AE" w:rsidRDefault="002A21AE">
      <w:pPr>
        <w:pStyle w:val="Heading4"/>
      </w:pPr>
      <w:r>
        <w:t>Outcome</w:t>
      </w:r>
    </w:p>
    <w:p w14:paraId="0E7519B2" w14:textId="77777777" w:rsidR="002A21AE" w:rsidRDefault="002A21AE">
      <w:pPr>
        <w:pStyle w:val="ListBullet"/>
      </w:pPr>
      <w:r>
        <w:t xml:space="preserve">Data are available to the </w:t>
      </w:r>
      <w:r w:rsidR="00CA0045" w:rsidRPr="00CA0045">
        <w:rPr>
          <w:bCs/>
        </w:rPr>
        <w:t>VistA</w:t>
      </w:r>
      <w:r>
        <w:t xml:space="preserve"> workload package.</w:t>
      </w:r>
    </w:p>
    <w:p w14:paraId="3D67883F" w14:textId="77777777" w:rsidR="002A21AE" w:rsidRDefault="002A21AE">
      <w:pPr>
        <w:pStyle w:val="Heading4"/>
      </w:pPr>
      <w:r>
        <w:t>Limitations and Restrictions</w:t>
      </w:r>
    </w:p>
    <w:p w14:paraId="47E2B6C6" w14:textId="77777777" w:rsidR="002A21AE" w:rsidRDefault="001016A5">
      <w:pPr>
        <w:pStyle w:val="ListBullet"/>
      </w:pPr>
      <w:r>
        <w:t>Transfusion-only sites must not map workload codes to processes</w:t>
      </w:r>
      <w:r w:rsidR="009D4700">
        <w:t xml:space="preserve">, such as ABO/Rh testing, </w:t>
      </w:r>
      <w:r>
        <w:t>not performed on site.</w:t>
      </w:r>
    </w:p>
    <w:p w14:paraId="5F8A9442" w14:textId="5C992680" w:rsidR="0024008D" w:rsidRDefault="0024008D">
      <w:pPr>
        <w:pStyle w:val="ListBullet"/>
      </w:pPr>
      <w:r>
        <w:t xml:space="preserve">Retrieved </w:t>
      </w:r>
      <w:r w:rsidR="00D34F22">
        <w:t xml:space="preserve">LMIP/NLT </w:t>
      </w:r>
      <w:r>
        <w:t>codes from VistA may have multiple CPT codes. Inactivating any of the associated CPT codes in VBECS will inactivate the LMIP</w:t>
      </w:r>
      <w:r w:rsidR="00D34F22">
        <w:t>/NLT</w:t>
      </w:r>
      <w:r>
        <w:t xml:space="preserve"> code. Editing of the LMIP/NLT code associations </w:t>
      </w:r>
      <w:r w:rsidR="00D34F22">
        <w:t xml:space="preserve">must be done in </w:t>
      </w:r>
      <w:r w:rsidR="00D34F22" w:rsidRPr="00D34F22">
        <w:t>VistA</w:t>
      </w:r>
      <w:r w:rsidR="00D34F22">
        <w:t>.</w:t>
      </w:r>
      <w:r w:rsidR="00395ABB">
        <w:rPr>
          <w:vanish/>
        </w:rPr>
        <w:t xml:space="preserve"> DR 3090</w:t>
      </w:r>
      <w:r w:rsidR="00377878">
        <w:t xml:space="preserve"> </w:t>
      </w:r>
      <w:r w:rsidR="00377878" w:rsidRPr="00377878">
        <w:rPr>
          <w:vanish/>
        </w:rPr>
        <w:t>Defect 209370</w:t>
      </w:r>
    </w:p>
    <w:p w14:paraId="7A66F236" w14:textId="5687C1D7" w:rsidR="002C4355" w:rsidRDefault="002C4355">
      <w:pPr>
        <w:pStyle w:val="ListBullet"/>
      </w:pPr>
      <w:r>
        <w:t xml:space="preserve">Invalidating split units will result in extra workload equal to the number of splits created applied to the total number of units logged in. This occurs when split units are incorrectly processed in VBECS. </w:t>
      </w:r>
      <w:r w:rsidRPr="002C4355">
        <w:rPr>
          <w:vanish/>
        </w:rPr>
        <w:t>Defect 209156</w:t>
      </w:r>
    </w:p>
    <w:p w14:paraId="62668902" w14:textId="77777777" w:rsidR="002A21AE" w:rsidRDefault="002A21AE">
      <w:pPr>
        <w:pStyle w:val="Heading4"/>
      </w:pPr>
      <w:r>
        <w:t>Additional Information</w:t>
      </w:r>
    </w:p>
    <w:p w14:paraId="12A2F42F" w14:textId="77777777" w:rsidR="002A21AE" w:rsidRDefault="002A21AE">
      <w:pPr>
        <w:pStyle w:val="ListBullet"/>
      </w:pPr>
      <w:r>
        <w:t xml:space="preserve">VistALink is required to query </w:t>
      </w:r>
      <w:r w:rsidR="00CA0045" w:rsidRPr="00CA0045">
        <w:rPr>
          <w:bCs/>
        </w:rPr>
        <w:t>VistA</w:t>
      </w:r>
      <w:r>
        <w:t xml:space="preserve"> files 64 (NLT/LMIP) and 81 (CPT) for appropriate entries.</w:t>
      </w:r>
    </w:p>
    <w:p w14:paraId="107E7C7A" w14:textId="77777777" w:rsidR="001B4207" w:rsidRDefault="003605E3" w:rsidP="001B4207">
      <w:pPr>
        <w:pStyle w:val="ListBullet"/>
      </w:pPr>
      <w:r>
        <w:t>The division provides CPT codes and costs associated with the workload codes when they need updating.</w:t>
      </w:r>
    </w:p>
    <w:p w14:paraId="5F7A2025" w14:textId="77777777" w:rsidR="003605E3" w:rsidRDefault="001B4207" w:rsidP="001B4207">
      <w:pPr>
        <w:pStyle w:val="ListBullet"/>
      </w:pPr>
      <w:r w:rsidRPr="001B4207">
        <w:t>Each</w:t>
      </w:r>
      <w:r>
        <w:t xml:space="preserve"> site is responsible for notifying users when incorrect CPT codes are used.</w:t>
      </w:r>
    </w:p>
    <w:p w14:paraId="6B3024BF" w14:textId="77777777" w:rsidR="00B32F1A" w:rsidRDefault="00B32F1A" w:rsidP="00B32F1A">
      <w:pPr>
        <w:pStyle w:val="ListBullet"/>
      </w:pPr>
      <w:r w:rsidRPr="009F086D">
        <w:rPr>
          <w:vanish/>
        </w:rPr>
        <w:t xml:space="preserve">BR_15.09 </w:t>
      </w:r>
      <w:r>
        <w:t xml:space="preserve">Workload events are placed in a queue for transmission via </w:t>
      </w:r>
      <w:r w:rsidR="00922AD8">
        <w:t>VistALink</w:t>
      </w:r>
      <w:r>
        <w:t>.</w:t>
      </w:r>
    </w:p>
    <w:p w14:paraId="30FEB683" w14:textId="77777777" w:rsidR="002A21AE" w:rsidRDefault="002A21AE">
      <w:pPr>
        <w:pStyle w:val="Heading4"/>
      </w:pPr>
      <w:r>
        <w:t>User Roles with Access to This Option</w:t>
      </w:r>
    </w:p>
    <w:p w14:paraId="36AC94A2" w14:textId="77777777" w:rsidR="002A21AE" w:rsidRDefault="00230841">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15CEEAEA" w14:textId="77777777" w:rsidR="002A21AE" w:rsidRDefault="002A21AE">
      <w:pPr>
        <w:pStyle w:val="Heading4"/>
      </w:pPr>
      <w:r>
        <w:t>Workload Codes</w:t>
      </w:r>
    </w:p>
    <w:p w14:paraId="3E16C13D" w14:textId="77777777" w:rsidR="002A21AE" w:rsidRDefault="002A21AE" w:rsidP="00FA7E65">
      <w:pPr>
        <w:pStyle w:val="BodyText"/>
      </w:pPr>
      <w:r>
        <w:t xml:space="preserve">As part of record-keeping activity, VBECS allows the user to account for workload units associated with each activity and to assign costs incurred by the blood bank due to these activities. Data gathered because of this workload collection are available to </w:t>
      </w:r>
      <w:r w:rsidR="00CA0045" w:rsidRPr="00CA0045">
        <w:rPr>
          <w:bCs/>
        </w:rPr>
        <w:t>VistA</w:t>
      </w:r>
      <w:r>
        <w:t>, as needed, for various reports.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9060DD4" w14:textId="77777777">
        <w:trPr>
          <w:tblHeader/>
        </w:trPr>
        <w:tc>
          <w:tcPr>
            <w:tcW w:w="3240" w:type="dxa"/>
            <w:shd w:val="pct30" w:color="auto" w:fill="FFFFFF"/>
            <w:vAlign w:val="bottom"/>
          </w:tcPr>
          <w:p w14:paraId="0A001DC6" w14:textId="77777777" w:rsidR="002A21AE" w:rsidRDefault="002A21AE">
            <w:pPr>
              <w:pStyle w:val="TableText"/>
              <w:rPr>
                <w:b/>
              </w:rPr>
            </w:pPr>
            <w:r>
              <w:rPr>
                <w:b/>
              </w:rPr>
              <w:t>User Action</w:t>
            </w:r>
          </w:p>
        </w:tc>
        <w:tc>
          <w:tcPr>
            <w:tcW w:w="6120" w:type="dxa"/>
            <w:shd w:val="pct30" w:color="auto" w:fill="FFFFFF"/>
            <w:vAlign w:val="bottom"/>
          </w:tcPr>
          <w:p w14:paraId="4182FBE3" w14:textId="77777777" w:rsidR="002A21AE" w:rsidRDefault="002A21AE">
            <w:pPr>
              <w:pStyle w:val="TableText"/>
              <w:rPr>
                <w:b/>
              </w:rPr>
            </w:pPr>
            <w:r>
              <w:rPr>
                <w:b/>
              </w:rPr>
              <w:t>VBECS</w:t>
            </w:r>
          </w:p>
        </w:tc>
      </w:tr>
      <w:tr w:rsidR="002A21AE" w14:paraId="37F81144" w14:textId="77777777">
        <w:tc>
          <w:tcPr>
            <w:tcW w:w="3240" w:type="dxa"/>
          </w:tcPr>
          <w:p w14:paraId="584D5A1A" w14:textId="77777777" w:rsidR="002A21AE" w:rsidRDefault="002A21AE">
            <w:pPr>
              <w:pStyle w:val="TableTextNumbers"/>
            </w:pPr>
            <w:r>
              <w:t xml:space="preserve">Select </w:t>
            </w:r>
            <w:r>
              <w:rPr>
                <w:b/>
              </w:rPr>
              <w:t>Tools</w:t>
            </w:r>
            <w:r>
              <w:t xml:space="preserve"> from the main menu.</w:t>
            </w:r>
          </w:p>
          <w:p w14:paraId="2A867A5A" w14:textId="77777777" w:rsidR="002A21AE" w:rsidRDefault="002A21AE">
            <w:pPr>
              <w:pStyle w:val="TableTextNumbersContinued"/>
              <w:rPr>
                <w:b/>
                <w:bCs/>
              </w:rPr>
            </w:pPr>
          </w:p>
          <w:p w14:paraId="04109F8C" w14:textId="77777777" w:rsidR="002A21AE" w:rsidRDefault="002A21AE">
            <w:pPr>
              <w:pStyle w:val="TableTextNumbersContinued"/>
            </w:pPr>
            <w:r>
              <w:t xml:space="preserve">Select </w:t>
            </w:r>
            <w:r>
              <w:rPr>
                <w:b/>
              </w:rPr>
              <w:t>Workload Codes</w:t>
            </w:r>
            <w:r>
              <w:t>.</w:t>
            </w:r>
          </w:p>
        </w:tc>
        <w:tc>
          <w:tcPr>
            <w:tcW w:w="6120" w:type="dxa"/>
          </w:tcPr>
          <w:p w14:paraId="0CC570F7" w14:textId="77777777" w:rsidR="002A21AE" w:rsidRDefault="002A21AE">
            <w:pPr>
              <w:pStyle w:val="TableTextBullet"/>
            </w:pPr>
            <w:r>
              <w:t>Displays options for processing administrative functions.</w:t>
            </w:r>
          </w:p>
          <w:p w14:paraId="0D8B6290" w14:textId="77777777" w:rsidR="002A21AE" w:rsidRDefault="002A21AE">
            <w:pPr>
              <w:pStyle w:val="TableTextBullet"/>
            </w:pPr>
            <w:r>
              <w:t>Displays fields for entering workload-related data.</w:t>
            </w:r>
          </w:p>
          <w:p w14:paraId="3750F5F2" w14:textId="77777777" w:rsidR="002A21AE" w:rsidRDefault="002A21AE" w:rsidP="00FE130E">
            <w:pPr>
              <w:pStyle w:val="TableTextBullet"/>
            </w:pPr>
            <w:r>
              <w:t xml:space="preserve">Lists and retrieves processes that may involve workload. </w:t>
            </w:r>
          </w:p>
        </w:tc>
      </w:tr>
      <w:tr w:rsidR="002A21AE" w14:paraId="7A072B56" w14:textId="77777777" w:rsidTr="007E500E">
        <w:trPr>
          <w:cantSplit/>
        </w:trPr>
        <w:tc>
          <w:tcPr>
            <w:tcW w:w="3240" w:type="dxa"/>
          </w:tcPr>
          <w:p w14:paraId="42BB3B10" w14:textId="77777777" w:rsidR="002A21AE" w:rsidRDefault="002A21AE">
            <w:pPr>
              <w:pStyle w:val="TableTextNumbers"/>
            </w:pPr>
            <w:r>
              <w:lastRenderedPageBreak/>
              <w:t>Select a process for which to define workload codes.</w:t>
            </w:r>
          </w:p>
        </w:tc>
        <w:tc>
          <w:tcPr>
            <w:tcW w:w="6120" w:type="dxa"/>
          </w:tcPr>
          <w:p w14:paraId="23D5BB17" w14:textId="77777777" w:rsidR="002A21AE" w:rsidRDefault="002A21AE">
            <w:pPr>
              <w:pStyle w:val="TableTextBullet"/>
            </w:pPr>
            <w:r>
              <w:t>Allows the user to edit existing data or add data.</w:t>
            </w:r>
          </w:p>
          <w:p w14:paraId="597738DF" w14:textId="77777777" w:rsidR="002A21AE" w:rsidRDefault="002A21AE">
            <w:pPr>
              <w:pStyle w:val="TableText"/>
            </w:pPr>
          </w:p>
          <w:p w14:paraId="4DCDA2D8" w14:textId="4F9C46E6" w:rsidR="002A21AE" w:rsidRDefault="002A21AE">
            <w:pPr>
              <w:pStyle w:val="TableText"/>
              <w:rPr>
                <w:b/>
                <w:bCs/>
                <w:szCs w:val="18"/>
              </w:rPr>
            </w:pPr>
            <w:r>
              <w:rPr>
                <w:b/>
                <w:bCs/>
                <w:szCs w:val="18"/>
              </w:rPr>
              <w:t>NOTES</w:t>
            </w:r>
          </w:p>
          <w:p w14:paraId="64ED1E85" w14:textId="77777777" w:rsidR="002A21AE" w:rsidRDefault="002A21AE">
            <w:pPr>
              <w:pStyle w:val="NotesText"/>
            </w:pPr>
          </w:p>
          <w:p w14:paraId="77B8BD4A" w14:textId="77777777" w:rsidR="002A21AE" w:rsidRDefault="002A21AE">
            <w:pPr>
              <w:pStyle w:val="NotesText"/>
            </w:pPr>
            <w:r>
              <w:rPr>
                <w:rFonts w:cs="Arial"/>
                <w:vanish/>
              </w:rPr>
              <w:t xml:space="preserve">BR_29.02 </w:t>
            </w:r>
            <w:r>
              <w:t>The user may assign multiple LMIP and CPT workload codes to a process.</w:t>
            </w:r>
          </w:p>
          <w:p w14:paraId="0542AC15" w14:textId="77777777" w:rsidR="002A21AE" w:rsidRDefault="002A21AE">
            <w:pPr>
              <w:pStyle w:val="NotesText"/>
            </w:pPr>
          </w:p>
          <w:p w14:paraId="69D06031" w14:textId="77777777" w:rsidR="0024008D" w:rsidRDefault="002A21AE" w:rsidP="0024008D">
            <w:pPr>
              <w:pStyle w:val="NotesText"/>
            </w:pPr>
            <w:r>
              <w:rPr>
                <w:rFonts w:cs="Arial"/>
                <w:vanish/>
              </w:rPr>
              <w:t xml:space="preserve">BR_29.08 </w:t>
            </w:r>
            <w:r>
              <w:t xml:space="preserve">VBECS checks for active and </w:t>
            </w:r>
            <w:r w:rsidR="00F1401D">
              <w:t>inactivated</w:t>
            </w:r>
            <w:r>
              <w:t xml:space="preserve"> workload associations and does not allow the user to enter a duplicate association. VBECS allows the user to reactivate previously inactivate entries and add workload associations.</w:t>
            </w:r>
          </w:p>
        </w:tc>
      </w:tr>
      <w:tr w:rsidR="002A21AE" w14:paraId="0484A684" w14:textId="77777777">
        <w:tc>
          <w:tcPr>
            <w:tcW w:w="3240" w:type="dxa"/>
          </w:tcPr>
          <w:p w14:paraId="001685E5" w14:textId="77777777" w:rsidR="002A21AE" w:rsidRDefault="002A21AE">
            <w:pPr>
              <w:pStyle w:val="TableTextNumbers"/>
            </w:pPr>
            <w:r>
              <w:t>Select an LMIP/NLT code.</w:t>
            </w:r>
          </w:p>
          <w:p w14:paraId="7B1B5B35" w14:textId="77777777" w:rsidR="002A21AE" w:rsidRDefault="002A21AE">
            <w:pPr>
              <w:pStyle w:val="TableTextNumbersContinued"/>
              <w:rPr>
                <w:b/>
                <w:bCs/>
              </w:rPr>
            </w:pPr>
          </w:p>
          <w:p w14:paraId="63870939" w14:textId="77777777" w:rsidR="002A21AE" w:rsidRDefault="002A21AE">
            <w:pPr>
              <w:pStyle w:val="TableTextNumbersContinued"/>
            </w:pPr>
            <w:r>
              <w:t xml:space="preserve">Click </w:t>
            </w:r>
            <w:r>
              <w:rPr>
                <w:b/>
              </w:rPr>
              <w:t>Add</w:t>
            </w:r>
            <w:r>
              <w:t xml:space="preserve"> to add the code, or click </w:t>
            </w:r>
            <w:r>
              <w:rPr>
                <w:b/>
              </w:rPr>
              <w:t>Update</w:t>
            </w:r>
            <w:r>
              <w:t xml:space="preserve"> to select a current association to edit.</w:t>
            </w:r>
          </w:p>
          <w:p w14:paraId="4E79B8D5" w14:textId="77777777" w:rsidR="002A21AE" w:rsidRDefault="002A21AE">
            <w:pPr>
              <w:pStyle w:val="TableTextNumbersContinued"/>
            </w:pPr>
          </w:p>
          <w:p w14:paraId="2EB49726" w14:textId="77777777" w:rsidR="002A21AE" w:rsidRDefault="002A21AE">
            <w:pPr>
              <w:pStyle w:val="TableTextNumbersContinued"/>
            </w:pPr>
          </w:p>
        </w:tc>
        <w:tc>
          <w:tcPr>
            <w:tcW w:w="6120" w:type="dxa"/>
          </w:tcPr>
          <w:p w14:paraId="6117697D" w14:textId="77777777" w:rsidR="002A21AE" w:rsidRDefault="002A21AE">
            <w:pPr>
              <w:pStyle w:val="TableTextBullet"/>
            </w:pPr>
            <w:r>
              <w:t>Lists previously assigned LMIP/NLT codes for the selected process.</w:t>
            </w:r>
          </w:p>
          <w:p w14:paraId="5A36D4B3" w14:textId="189D27F3" w:rsidR="002A21AE" w:rsidRDefault="002A21AE">
            <w:pPr>
              <w:pStyle w:val="TableTextBullet"/>
            </w:pPr>
            <w:r>
              <w:t xml:space="preserve">Allows the user to select an </w:t>
            </w:r>
            <w:r w:rsidR="00F8401C">
              <w:t>LMIP</w:t>
            </w:r>
            <w:r>
              <w:t>/NLT code.</w:t>
            </w:r>
          </w:p>
          <w:p w14:paraId="048AAD46" w14:textId="77777777" w:rsidR="002A21AE" w:rsidRDefault="002A21AE">
            <w:pPr>
              <w:pStyle w:val="TableText"/>
            </w:pPr>
          </w:p>
          <w:p w14:paraId="57260C87" w14:textId="3958D580" w:rsidR="002A21AE" w:rsidRDefault="002A21AE">
            <w:pPr>
              <w:pStyle w:val="TableText"/>
              <w:rPr>
                <w:b/>
                <w:bCs/>
                <w:szCs w:val="18"/>
              </w:rPr>
            </w:pPr>
            <w:r>
              <w:rPr>
                <w:b/>
                <w:bCs/>
                <w:szCs w:val="18"/>
              </w:rPr>
              <w:t>NOTES</w:t>
            </w:r>
          </w:p>
          <w:p w14:paraId="69BB766D" w14:textId="77777777" w:rsidR="002A21AE" w:rsidRDefault="002A21AE">
            <w:pPr>
              <w:pStyle w:val="NotesText"/>
            </w:pPr>
          </w:p>
          <w:p w14:paraId="57BB1634" w14:textId="77777777" w:rsidR="002A21AE" w:rsidRDefault="002A21AE">
            <w:pPr>
              <w:pStyle w:val="NotesText"/>
            </w:pPr>
            <w:r>
              <w:t xml:space="preserve">VBECS uses VistALink to query the </w:t>
            </w:r>
            <w:r w:rsidR="00CA0045" w:rsidRPr="00CA0045">
              <w:rPr>
                <w:bCs/>
              </w:rPr>
              <w:t>VistA</w:t>
            </w:r>
            <w:r>
              <w:t xml:space="preserve"> WKLD CODE File (#64) for valid LMIP/NLT codes. </w:t>
            </w:r>
          </w:p>
          <w:p w14:paraId="3F4FA43B" w14:textId="77777777" w:rsidR="002A21AE" w:rsidRDefault="002A21AE">
            <w:pPr>
              <w:pStyle w:val="NotesText"/>
            </w:pPr>
          </w:p>
          <w:p w14:paraId="6D5C2F04" w14:textId="35208642" w:rsidR="002A21AE" w:rsidRDefault="00CA0045">
            <w:pPr>
              <w:pStyle w:val="NotesText"/>
            </w:pPr>
            <w:r w:rsidRPr="00CA0045">
              <w:rPr>
                <w:bCs/>
              </w:rPr>
              <w:t>VistA</w:t>
            </w:r>
            <w:r w:rsidR="002A21AE">
              <w:t xml:space="preserve"> uses the LMIP/NLT code to create workload reports as well as reports to </w:t>
            </w:r>
            <w:r w:rsidR="009B5B80">
              <w:t>patient care encounter (</w:t>
            </w:r>
            <w:r w:rsidR="002A21AE">
              <w:t>PCE</w:t>
            </w:r>
            <w:r w:rsidR="009B5B80">
              <w:t>)</w:t>
            </w:r>
            <w:r w:rsidR="002A21AE">
              <w:t xml:space="preserve"> and the</w:t>
            </w:r>
            <w:r w:rsidR="00A814C4">
              <w:t xml:space="preserve"> decision support system (</w:t>
            </w:r>
            <w:r w:rsidR="002A21AE">
              <w:t>DSS</w:t>
            </w:r>
            <w:r w:rsidR="00A814C4">
              <w:t>)</w:t>
            </w:r>
            <w:r w:rsidR="002A21AE">
              <w:t xml:space="preserve"> database.</w:t>
            </w:r>
          </w:p>
        </w:tc>
      </w:tr>
      <w:tr w:rsidR="002A21AE" w14:paraId="1697C986" w14:textId="77777777">
        <w:tc>
          <w:tcPr>
            <w:tcW w:w="3240" w:type="dxa"/>
          </w:tcPr>
          <w:p w14:paraId="6FF4C561" w14:textId="1EAC5F07" w:rsidR="002A21AE" w:rsidRDefault="007E004C">
            <w:pPr>
              <w:pStyle w:val="TableTextNumbers"/>
            </w:pPr>
            <w:r>
              <w:t>Enter</w:t>
            </w:r>
            <w:r w:rsidR="002A21AE">
              <w:t xml:space="preserve"> the </w:t>
            </w:r>
            <w:r w:rsidR="000144A0">
              <w:t>start</w:t>
            </w:r>
            <w:r w:rsidR="002A21AE">
              <w:t xml:space="preserve"> or </w:t>
            </w:r>
            <w:r w:rsidR="000144A0">
              <w:t>stop</w:t>
            </w:r>
            <w:r w:rsidR="002A21AE">
              <w:t xml:space="preserve"> date (whichever is appropriate) of the workload code association with the VBECS process</w:t>
            </w:r>
            <w:r w:rsidR="006A1989">
              <w:t xml:space="preserve"> (</w:t>
            </w:r>
            <w:r w:rsidR="006A1989">
              <w:fldChar w:fldCharType="begin"/>
            </w:r>
            <w:r w:rsidR="006A1989">
              <w:instrText xml:space="preserve"> REF _Ref126473082 \h </w:instrText>
            </w:r>
            <w:r w:rsidR="006A1989">
              <w:fldChar w:fldCharType="separate"/>
            </w:r>
            <w:r w:rsidR="004353ED">
              <w:t xml:space="preserve">Figure </w:t>
            </w:r>
            <w:r w:rsidR="004353ED">
              <w:rPr>
                <w:noProof/>
              </w:rPr>
              <w:t>57</w:t>
            </w:r>
            <w:r w:rsidR="006A1989">
              <w:fldChar w:fldCharType="end"/>
            </w:r>
            <w:r w:rsidR="006A1989">
              <w:t>)</w:t>
            </w:r>
            <w:r w:rsidR="002A21AE">
              <w:t>.</w:t>
            </w:r>
          </w:p>
        </w:tc>
        <w:tc>
          <w:tcPr>
            <w:tcW w:w="6120" w:type="dxa"/>
          </w:tcPr>
          <w:p w14:paraId="1C45199E" w14:textId="77777777" w:rsidR="002A21AE" w:rsidRDefault="002A21AE">
            <w:pPr>
              <w:pStyle w:val="TableTextBullet"/>
            </w:pPr>
            <w:r>
              <w:t xml:space="preserve">Allows the user to enter a date. </w:t>
            </w:r>
          </w:p>
          <w:p w14:paraId="21F49426" w14:textId="77777777" w:rsidR="002A21AE" w:rsidRDefault="002A21AE">
            <w:pPr>
              <w:pStyle w:val="TableText"/>
            </w:pPr>
          </w:p>
          <w:p w14:paraId="3EE42FCD" w14:textId="20035137" w:rsidR="002A21AE" w:rsidRDefault="002A21AE">
            <w:pPr>
              <w:pStyle w:val="TableText"/>
              <w:rPr>
                <w:b/>
                <w:bCs/>
                <w:szCs w:val="18"/>
              </w:rPr>
            </w:pPr>
            <w:r>
              <w:rPr>
                <w:b/>
                <w:bCs/>
                <w:szCs w:val="18"/>
              </w:rPr>
              <w:t>NOTES</w:t>
            </w:r>
          </w:p>
          <w:p w14:paraId="530A9593" w14:textId="77777777" w:rsidR="002A21AE" w:rsidRDefault="002A21AE">
            <w:pPr>
              <w:pStyle w:val="NotesText"/>
            </w:pPr>
          </w:p>
          <w:p w14:paraId="58191AE4" w14:textId="77777777" w:rsidR="002A21AE" w:rsidRDefault="002A21AE">
            <w:pPr>
              <w:pStyle w:val="NotesText"/>
            </w:pPr>
            <w:r>
              <w:rPr>
                <w:rFonts w:cs="Arial"/>
                <w:vanish/>
              </w:rPr>
              <w:t xml:space="preserve">BR_29.05 </w:t>
            </w:r>
            <w:r>
              <w:t>The user may enter an inactivation date only when an activation date was previously entered (default start date and time: current date and time).</w:t>
            </w:r>
          </w:p>
          <w:p w14:paraId="56298BA5" w14:textId="77777777" w:rsidR="002A21AE" w:rsidRDefault="002A21AE">
            <w:pPr>
              <w:pStyle w:val="NotesText"/>
            </w:pPr>
          </w:p>
          <w:p w14:paraId="12DF2B96" w14:textId="77777777" w:rsidR="002A21AE" w:rsidRDefault="002A21AE">
            <w:pPr>
              <w:pStyle w:val="NotesText"/>
            </w:pPr>
            <w:r>
              <w:rPr>
                <w:rFonts w:cs="Arial"/>
                <w:vanish/>
              </w:rPr>
              <w:t xml:space="preserve">BR_29.06 </w:t>
            </w:r>
            <w:r>
              <w:t>The inactivation date must be later than or the same as the activation date. When the user attempts to enter an inactivation date that is earlier than the activation date, VBECS warns the user. There is no override.</w:t>
            </w:r>
          </w:p>
        </w:tc>
      </w:tr>
      <w:tr w:rsidR="002A21AE" w14:paraId="57F7931E" w14:textId="77777777">
        <w:tc>
          <w:tcPr>
            <w:tcW w:w="3240" w:type="dxa"/>
          </w:tcPr>
          <w:p w14:paraId="581ADDB7" w14:textId="77777777" w:rsidR="002A21AE" w:rsidRDefault="00047C63">
            <w:pPr>
              <w:pStyle w:val="TableTextNumbers"/>
            </w:pPr>
            <w:r>
              <w:t>Repeat Steps 3–4</w:t>
            </w:r>
            <w:r w:rsidR="002A21AE">
              <w:t xml:space="preserve"> for each LMIP/NLT code to be associated with the selected process.</w:t>
            </w:r>
          </w:p>
        </w:tc>
        <w:tc>
          <w:tcPr>
            <w:tcW w:w="6120" w:type="dxa"/>
          </w:tcPr>
          <w:p w14:paraId="19B88CA0" w14:textId="77777777" w:rsidR="002A21AE" w:rsidRDefault="002A21AE" w:rsidP="0037534D">
            <w:pPr>
              <w:pStyle w:val="TableText"/>
            </w:pPr>
          </w:p>
        </w:tc>
      </w:tr>
      <w:tr w:rsidR="002A21AE" w14:paraId="364D055C" w14:textId="77777777">
        <w:tc>
          <w:tcPr>
            <w:tcW w:w="3240" w:type="dxa"/>
          </w:tcPr>
          <w:p w14:paraId="4FD3BA31" w14:textId="77777777" w:rsidR="002A21AE" w:rsidRDefault="002A21AE">
            <w:pPr>
              <w:pStyle w:val="TableTextNumbers"/>
            </w:pPr>
            <w:r>
              <w:t>Add the selected parameters to the selected process.</w:t>
            </w:r>
          </w:p>
        </w:tc>
        <w:tc>
          <w:tcPr>
            <w:tcW w:w="6120" w:type="dxa"/>
          </w:tcPr>
          <w:p w14:paraId="089AD0E8" w14:textId="77777777" w:rsidR="002A21AE" w:rsidRDefault="002A21AE">
            <w:pPr>
              <w:pStyle w:val="TableTextBullet"/>
            </w:pPr>
            <w:r>
              <w:t xml:space="preserve">Allows the user to add the selected parameters. </w:t>
            </w:r>
          </w:p>
        </w:tc>
      </w:tr>
      <w:tr w:rsidR="002A21AE" w14:paraId="2719EBE7" w14:textId="77777777">
        <w:tc>
          <w:tcPr>
            <w:tcW w:w="3240" w:type="dxa"/>
          </w:tcPr>
          <w:p w14:paraId="43D37349" w14:textId="77777777" w:rsidR="002A21AE" w:rsidRDefault="002A21AE" w:rsidP="00047C63">
            <w:pPr>
              <w:pStyle w:val="TableTextNumbers"/>
            </w:pPr>
            <w:r>
              <w:t>Repeat Steps 1–</w:t>
            </w:r>
            <w:r w:rsidR="00047C63">
              <w:t>6</w:t>
            </w:r>
            <w:r>
              <w:t xml:space="preserve"> for to define workload parameters for another process, or exit. </w:t>
            </w:r>
            <w:r w:rsidRPr="0079067D">
              <w:rPr>
                <w:vanish/>
                <w:color w:val="FFFFFF"/>
                <w:szCs w:val="18"/>
              </w:rPr>
              <w:fldChar w:fldCharType="begin"/>
            </w:r>
            <w:r w:rsidRPr="0079067D">
              <w:rPr>
                <w:vanish/>
                <w:color w:val="FFFFFF"/>
                <w:szCs w:val="18"/>
              </w:rPr>
              <w:instrText xml:space="preserve"> LISTNUM \l 1 \s 0 </w:instrText>
            </w:r>
            <w:r w:rsidRPr="0079067D">
              <w:rPr>
                <w:vanish/>
                <w:color w:val="FFFFFF"/>
                <w:szCs w:val="18"/>
              </w:rPr>
              <w:fldChar w:fldCharType="end">
                <w:numberingChange w:id="245" w:author="Blalock, David (Leidos)" w:date="2020-06-15T14:09:00Z" w:original="0."/>
              </w:fldChar>
            </w:r>
          </w:p>
        </w:tc>
        <w:tc>
          <w:tcPr>
            <w:tcW w:w="6120" w:type="dxa"/>
          </w:tcPr>
          <w:p w14:paraId="21FAA1B2" w14:textId="77777777" w:rsidR="002A21AE" w:rsidRDefault="002A21AE">
            <w:pPr>
              <w:pStyle w:val="TableText"/>
            </w:pPr>
          </w:p>
        </w:tc>
      </w:tr>
    </w:tbl>
    <w:p w14:paraId="287BC646" w14:textId="3B598750" w:rsidR="006A1989" w:rsidRDefault="006A1989" w:rsidP="006A1989">
      <w:pPr>
        <w:pStyle w:val="Caption"/>
      </w:pPr>
      <w:bookmarkStart w:id="246" w:name="_Ref126473082"/>
      <w:bookmarkStart w:id="247" w:name="_Toc6368039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57</w:t>
      </w:r>
      <w:r w:rsidR="004E20BD">
        <w:rPr>
          <w:noProof/>
        </w:rPr>
        <w:fldChar w:fldCharType="end"/>
      </w:r>
      <w:bookmarkEnd w:id="246"/>
      <w:r>
        <w:t>: Assign Workload Codes</w:t>
      </w:r>
    </w:p>
    <w:p w14:paraId="2F723E9A" w14:textId="77777777" w:rsidR="00AA3950" w:rsidRDefault="00057948" w:rsidP="006A1989">
      <w:pPr>
        <w:pStyle w:val="BodyText"/>
      </w:pPr>
      <w:r>
        <w:rPr>
          <w:noProof/>
        </w:rPr>
        <w:drawing>
          <wp:inline distT="0" distB="0" distL="0" distR="0" wp14:anchorId="2CEA1965" wp14:editId="2B6B416B">
            <wp:extent cx="3657600" cy="2484755"/>
            <wp:effectExtent l="0" t="0" r="0" b="0"/>
            <wp:docPr id="139" name="Picture 1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a:extLst>
                        <a:ext uri="{C183D7F6-B498-43B3-948B-1728B52AA6E4}">
                          <adec:decorative xmlns:adec="http://schemas.microsoft.com/office/drawing/2017/decorative" val="1"/>
                        </a:ext>
                      </a:extLst>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657600" cy="2484755"/>
                    </a:xfrm>
                    <a:prstGeom prst="rect">
                      <a:avLst/>
                    </a:prstGeom>
                    <a:noFill/>
                    <a:ln>
                      <a:noFill/>
                    </a:ln>
                  </pic:spPr>
                </pic:pic>
              </a:graphicData>
            </a:graphic>
          </wp:inline>
        </w:drawing>
      </w:r>
    </w:p>
    <w:p w14:paraId="4CD8653F" w14:textId="77777777" w:rsidR="00F46B5A" w:rsidRDefault="00F46B5A" w:rsidP="00F46B5A">
      <w:pPr>
        <w:pStyle w:val="Heading4"/>
        <w:rPr>
          <w:rFonts w:ascii="Arial Bold" w:hAnsi="Arial Bold"/>
          <w:vanish/>
        </w:rPr>
      </w:pPr>
      <w:bookmarkStart w:id="248" w:name="_Toc91651289"/>
      <w:bookmarkStart w:id="249" w:name="_Toc91651290"/>
      <w:bookmarkStart w:id="250" w:name="_Toc63680374"/>
      <w:bookmarkStart w:id="251" w:name="_Toc63680383"/>
      <w:bookmarkEnd w:id="247"/>
      <w:r>
        <w:t>Remapping Workload Codes</w:t>
      </w:r>
      <w:r w:rsidR="00F067E0">
        <w:rPr>
          <w:rFonts w:ascii="Arial Bold" w:hAnsi="Arial Bold"/>
          <w:vanish/>
        </w:rPr>
        <w:t xml:space="preserve"> DR 3762</w:t>
      </w:r>
    </w:p>
    <w:p w14:paraId="24B110C8" w14:textId="77777777" w:rsidR="00D77997" w:rsidRPr="00D77997" w:rsidRDefault="00D77997" w:rsidP="00D77997"/>
    <w:p w14:paraId="37DD9BE7" w14:textId="77777777" w:rsidR="00F46B5A" w:rsidRDefault="00F46B5A" w:rsidP="00F46B5A">
      <w:pPr>
        <w:pStyle w:val="BodyText"/>
      </w:pPr>
      <w:r>
        <w:t xml:space="preserve">When workload codes or a workload code multiplier is </w:t>
      </w:r>
      <w:r w:rsidR="004641B8">
        <w:t>changed,</w:t>
      </w:r>
      <w:r>
        <w:t xml:space="preserve"> VBECS must be updated. The active workload process to LMIP/NLT Code association must be inactivated and remapped for VBECS to track workload correctly.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46B5A" w14:paraId="54E60E3C" w14:textId="77777777" w:rsidTr="00F46B5A">
        <w:trPr>
          <w:tblHeader/>
        </w:trPr>
        <w:tc>
          <w:tcPr>
            <w:tcW w:w="3240" w:type="dxa"/>
            <w:shd w:val="pct30" w:color="auto" w:fill="FFFFFF"/>
            <w:vAlign w:val="bottom"/>
          </w:tcPr>
          <w:p w14:paraId="4BB2BF30" w14:textId="77777777" w:rsidR="00F46B5A" w:rsidRDefault="00F46B5A" w:rsidP="00F46B5A">
            <w:pPr>
              <w:pStyle w:val="TableText"/>
              <w:rPr>
                <w:b/>
              </w:rPr>
            </w:pPr>
            <w:r>
              <w:rPr>
                <w:b/>
              </w:rPr>
              <w:t>User Action</w:t>
            </w:r>
          </w:p>
        </w:tc>
        <w:tc>
          <w:tcPr>
            <w:tcW w:w="6120" w:type="dxa"/>
            <w:shd w:val="pct30" w:color="auto" w:fill="FFFFFF"/>
            <w:vAlign w:val="bottom"/>
          </w:tcPr>
          <w:p w14:paraId="235D7F36" w14:textId="77777777" w:rsidR="00F46B5A" w:rsidRDefault="00F46B5A" w:rsidP="00F46B5A">
            <w:pPr>
              <w:pStyle w:val="TableText"/>
              <w:rPr>
                <w:b/>
              </w:rPr>
            </w:pPr>
            <w:r>
              <w:rPr>
                <w:b/>
              </w:rPr>
              <w:t>VBECS</w:t>
            </w:r>
          </w:p>
        </w:tc>
      </w:tr>
      <w:tr w:rsidR="00F46B5A" w14:paraId="728AE562" w14:textId="77777777" w:rsidTr="00F46B5A">
        <w:tc>
          <w:tcPr>
            <w:tcW w:w="3240" w:type="dxa"/>
          </w:tcPr>
          <w:p w14:paraId="18BD08EA" w14:textId="77777777" w:rsidR="00F46B5A" w:rsidRDefault="00F46B5A" w:rsidP="00F46B5A">
            <w:pPr>
              <w:pStyle w:val="TableTextNumbers"/>
            </w:pPr>
            <w:r>
              <w:t xml:space="preserve">Select </w:t>
            </w:r>
            <w:r>
              <w:rPr>
                <w:b/>
              </w:rPr>
              <w:t>Tools</w:t>
            </w:r>
            <w:r>
              <w:t xml:space="preserve"> from the main menu.</w:t>
            </w:r>
          </w:p>
          <w:p w14:paraId="270BA8D0" w14:textId="77777777" w:rsidR="00F46B5A" w:rsidRDefault="00F46B5A" w:rsidP="00F46B5A">
            <w:pPr>
              <w:pStyle w:val="TableTextNumbersContinued"/>
              <w:rPr>
                <w:b/>
                <w:bCs/>
              </w:rPr>
            </w:pPr>
          </w:p>
          <w:p w14:paraId="0558090F" w14:textId="77777777" w:rsidR="00F46B5A" w:rsidRDefault="00F46B5A" w:rsidP="00F46B5A">
            <w:pPr>
              <w:pStyle w:val="TableTextNumbersContinued"/>
            </w:pPr>
            <w:r>
              <w:t xml:space="preserve">Select </w:t>
            </w:r>
            <w:r>
              <w:rPr>
                <w:b/>
              </w:rPr>
              <w:t>Workload Codes</w:t>
            </w:r>
            <w:r>
              <w:t>.</w:t>
            </w:r>
          </w:p>
        </w:tc>
        <w:tc>
          <w:tcPr>
            <w:tcW w:w="6120" w:type="dxa"/>
          </w:tcPr>
          <w:p w14:paraId="1D604198" w14:textId="77777777" w:rsidR="00F46B5A" w:rsidRDefault="00F46B5A" w:rsidP="00F46B5A">
            <w:pPr>
              <w:pStyle w:val="TableTextBullet"/>
            </w:pPr>
            <w:r>
              <w:t>Displays options for processing administrative functions.</w:t>
            </w:r>
          </w:p>
          <w:p w14:paraId="10C12017" w14:textId="77777777" w:rsidR="00F46B5A" w:rsidRDefault="00F46B5A" w:rsidP="00F46B5A">
            <w:pPr>
              <w:pStyle w:val="TableTextBullet"/>
            </w:pPr>
            <w:r>
              <w:t>Displays fields for entering workload-related data.</w:t>
            </w:r>
          </w:p>
          <w:p w14:paraId="5BF8CADA" w14:textId="77777777" w:rsidR="00F46B5A" w:rsidRDefault="00F46B5A" w:rsidP="00F46B5A">
            <w:pPr>
              <w:pStyle w:val="TableTextBullet"/>
            </w:pPr>
            <w:r>
              <w:t xml:space="preserve">Lists and retrieves processes that may involve workload. </w:t>
            </w:r>
          </w:p>
        </w:tc>
      </w:tr>
      <w:tr w:rsidR="00F46B5A" w14:paraId="273EE251" w14:textId="77777777" w:rsidTr="00F46B5A">
        <w:tc>
          <w:tcPr>
            <w:tcW w:w="3240" w:type="dxa"/>
          </w:tcPr>
          <w:p w14:paraId="558ED8C9" w14:textId="77777777" w:rsidR="00F46B5A" w:rsidRDefault="00F46B5A" w:rsidP="00F46B5A">
            <w:pPr>
              <w:pStyle w:val="TableTextNumbers"/>
            </w:pPr>
            <w:r>
              <w:t xml:space="preserve">Select a process to </w:t>
            </w:r>
            <w:r w:rsidR="008B6D25">
              <w:t>edit</w:t>
            </w:r>
            <w:r>
              <w:t xml:space="preserve"> workload codes.</w:t>
            </w:r>
          </w:p>
        </w:tc>
        <w:tc>
          <w:tcPr>
            <w:tcW w:w="6120" w:type="dxa"/>
          </w:tcPr>
          <w:p w14:paraId="641F7E58" w14:textId="77777777" w:rsidR="00F46B5A" w:rsidRDefault="00F46B5A" w:rsidP="00F46B5A">
            <w:pPr>
              <w:pStyle w:val="TableTextBullet"/>
            </w:pPr>
            <w:r>
              <w:t>Allows the user to edit existing data or add data.</w:t>
            </w:r>
          </w:p>
        </w:tc>
      </w:tr>
      <w:tr w:rsidR="00F46B5A" w14:paraId="190970BD" w14:textId="77777777" w:rsidTr="00F46B5A">
        <w:tc>
          <w:tcPr>
            <w:tcW w:w="3240" w:type="dxa"/>
          </w:tcPr>
          <w:p w14:paraId="327D09EE" w14:textId="77777777" w:rsidR="00F46B5A" w:rsidRDefault="00F46B5A" w:rsidP="00F46B5A">
            <w:pPr>
              <w:pStyle w:val="TableTextNumbers"/>
            </w:pPr>
            <w:r>
              <w:t>Click one or more check boxes to inactivate LMIP/NLT Code.</w:t>
            </w:r>
          </w:p>
          <w:p w14:paraId="01F2B466" w14:textId="77777777" w:rsidR="00202ACF" w:rsidRDefault="00202ACF" w:rsidP="00202ACF">
            <w:pPr>
              <w:pStyle w:val="TableTextNumbers"/>
              <w:numPr>
                <w:ilvl w:val="0"/>
                <w:numId w:val="0"/>
              </w:numPr>
              <w:ind w:left="288"/>
            </w:pPr>
          </w:p>
          <w:p w14:paraId="56FF64BA" w14:textId="77777777" w:rsidR="00202ACF" w:rsidRDefault="00202ACF" w:rsidP="00202ACF">
            <w:pPr>
              <w:pStyle w:val="TableTextNumbers"/>
              <w:numPr>
                <w:ilvl w:val="0"/>
                <w:numId w:val="0"/>
              </w:numPr>
              <w:ind w:left="288"/>
            </w:pPr>
            <w:r>
              <w:t xml:space="preserve">Click </w:t>
            </w:r>
            <w:r>
              <w:rPr>
                <w:b/>
              </w:rPr>
              <w:t>OK</w:t>
            </w:r>
            <w:r>
              <w:t xml:space="preserve"> and </w:t>
            </w:r>
            <w:r>
              <w:rPr>
                <w:b/>
              </w:rPr>
              <w:t xml:space="preserve">Yes </w:t>
            </w:r>
            <w:r>
              <w:t>to save and exit.</w:t>
            </w:r>
          </w:p>
        </w:tc>
        <w:tc>
          <w:tcPr>
            <w:tcW w:w="6120" w:type="dxa"/>
          </w:tcPr>
          <w:p w14:paraId="1EC80BD7" w14:textId="77777777" w:rsidR="00F46B5A" w:rsidRDefault="00F46B5A" w:rsidP="00202ACF">
            <w:pPr>
              <w:pStyle w:val="TableTextBullet"/>
            </w:pPr>
            <w:r>
              <w:t>Removes the code from the Current Associations window.</w:t>
            </w:r>
          </w:p>
          <w:p w14:paraId="7B7B0088" w14:textId="77777777" w:rsidR="00202ACF" w:rsidRDefault="00202ACF" w:rsidP="00202ACF">
            <w:pPr>
              <w:pStyle w:val="TableText"/>
            </w:pPr>
          </w:p>
          <w:p w14:paraId="38D061E9" w14:textId="3A4F69EC" w:rsidR="00202ACF" w:rsidRDefault="00202ACF" w:rsidP="00202ACF">
            <w:pPr>
              <w:pStyle w:val="TableText"/>
              <w:rPr>
                <w:b/>
                <w:bCs/>
                <w:szCs w:val="18"/>
              </w:rPr>
            </w:pPr>
            <w:r>
              <w:rPr>
                <w:b/>
                <w:bCs/>
                <w:szCs w:val="18"/>
              </w:rPr>
              <w:t>NOTES</w:t>
            </w:r>
          </w:p>
          <w:p w14:paraId="2D48EEE7" w14:textId="77777777" w:rsidR="00202ACF" w:rsidRDefault="00202ACF" w:rsidP="00202ACF">
            <w:pPr>
              <w:pStyle w:val="NotesText"/>
            </w:pPr>
          </w:p>
          <w:p w14:paraId="6201E3CA" w14:textId="77777777" w:rsidR="00344E38" w:rsidRDefault="00344E38" w:rsidP="00202ACF">
            <w:pPr>
              <w:pStyle w:val="NotesText"/>
            </w:pPr>
            <w:r>
              <w:t>Inactive codes can be viewed by clicking the Show Inactive Workload Codes checkbox.</w:t>
            </w:r>
          </w:p>
          <w:p w14:paraId="7D8CAE58" w14:textId="77777777" w:rsidR="00202ACF" w:rsidRDefault="00202ACF" w:rsidP="00202ACF">
            <w:pPr>
              <w:pStyle w:val="TableTextBullet"/>
              <w:numPr>
                <w:ilvl w:val="0"/>
                <w:numId w:val="0"/>
              </w:numPr>
              <w:ind w:left="288"/>
            </w:pPr>
          </w:p>
        </w:tc>
      </w:tr>
      <w:tr w:rsidR="00F46B5A" w14:paraId="427AC70D" w14:textId="77777777" w:rsidTr="00F46B5A">
        <w:tc>
          <w:tcPr>
            <w:tcW w:w="3240" w:type="dxa"/>
          </w:tcPr>
          <w:p w14:paraId="1A36C56D" w14:textId="77777777" w:rsidR="00F46B5A" w:rsidRDefault="00202ACF" w:rsidP="00F46B5A">
            <w:pPr>
              <w:pStyle w:val="TableTextNumbers"/>
            </w:pPr>
            <w:r>
              <w:t xml:space="preserve">Click </w:t>
            </w:r>
            <w:r>
              <w:rPr>
                <w:b/>
              </w:rPr>
              <w:t>OK</w:t>
            </w:r>
            <w:r>
              <w:t xml:space="preserve"> and </w:t>
            </w:r>
            <w:r>
              <w:rPr>
                <w:b/>
              </w:rPr>
              <w:t xml:space="preserve">Yes </w:t>
            </w:r>
            <w:r>
              <w:t>to save and exit.</w:t>
            </w:r>
          </w:p>
        </w:tc>
        <w:tc>
          <w:tcPr>
            <w:tcW w:w="6120" w:type="dxa"/>
          </w:tcPr>
          <w:p w14:paraId="42409401" w14:textId="77777777" w:rsidR="00F46B5A" w:rsidRDefault="00202ACF" w:rsidP="00F46B5A">
            <w:pPr>
              <w:pStyle w:val="TableTextBullet"/>
            </w:pPr>
            <w:r>
              <w:t>Saves the changes to the workload code mapping.</w:t>
            </w:r>
          </w:p>
        </w:tc>
      </w:tr>
      <w:tr w:rsidR="00202ACF" w14:paraId="4CCF2452" w14:textId="77777777" w:rsidTr="00F46B5A">
        <w:tc>
          <w:tcPr>
            <w:tcW w:w="3240" w:type="dxa"/>
          </w:tcPr>
          <w:p w14:paraId="7B330BA5" w14:textId="77777777" w:rsidR="00202ACF" w:rsidRDefault="00202ACF" w:rsidP="00202ACF">
            <w:pPr>
              <w:pStyle w:val="TableTextNumbers"/>
            </w:pPr>
            <w:r>
              <w:t xml:space="preserve">Select </w:t>
            </w:r>
            <w:r>
              <w:rPr>
                <w:b/>
              </w:rPr>
              <w:t>Tools</w:t>
            </w:r>
            <w:r>
              <w:t xml:space="preserve"> from the main menu.</w:t>
            </w:r>
          </w:p>
          <w:p w14:paraId="7052B58B" w14:textId="77777777" w:rsidR="00202ACF" w:rsidRDefault="00202ACF" w:rsidP="00202ACF">
            <w:pPr>
              <w:pStyle w:val="TableTextNumbersContinued"/>
              <w:rPr>
                <w:b/>
                <w:bCs/>
              </w:rPr>
            </w:pPr>
          </w:p>
          <w:p w14:paraId="300B9866" w14:textId="77777777" w:rsidR="00202ACF" w:rsidRDefault="00202ACF" w:rsidP="00202ACF">
            <w:pPr>
              <w:pStyle w:val="TableTextNumbers"/>
              <w:numPr>
                <w:ilvl w:val="0"/>
                <w:numId w:val="0"/>
              </w:numPr>
              <w:ind w:left="288"/>
            </w:pPr>
            <w:r>
              <w:t xml:space="preserve">Select </w:t>
            </w:r>
            <w:r>
              <w:rPr>
                <w:b/>
              </w:rPr>
              <w:t>Workload Codes</w:t>
            </w:r>
          </w:p>
        </w:tc>
        <w:tc>
          <w:tcPr>
            <w:tcW w:w="6120" w:type="dxa"/>
          </w:tcPr>
          <w:p w14:paraId="47E2411E" w14:textId="77777777" w:rsidR="008D0D9B" w:rsidRDefault="008D0D9B" w:rsidP="008D0D9B">
            <w:pPr>
              <w:pStyle w:val="TableTextBullet"/>
            </w:pPr>
            <w:r>
              <w:t>Displays options for processing administrative functions.</w:t>
            </w:r>
          </w:p>
          <w:p w14:paraId="4DE9015A" w14:textId="77777777" w:rsidR="008D0D9B" w:rsidRDefault="008D0D9B" w:rsidP="008D0D9B">
            <w:pPr>
              <w:pStyle w:val="TableTextBullet"/>
            </w:pPr>
            <w:r>
              <w:t>Displays fields for entering workload-related data.</w:t>
            </w:r>
          </w:p>
          <w:p w14:paraId="7EE5B148" w14:textId="77777777" w:rsidR="00202ACF" w:rsidRDefault="00857128" w:rsidP="00857128">
            <w:pPr>
              <w:pStyle w:val="TableTextBullet"/>
            </w:pPr>
            <w:r>
              <w:t>Lists and retrieves processes that may involve workload.</w:t>
            </w:r>
          </w:p>
        </w:tc>
      </w:tr>
      <w:tr w:rsidR="00202ACF" w14:paraId="6BDEC379" w14:textId="77777777" w:rsidTr="00F46B5A">
        <w:tc>
          <w:tcPr>
            <w:tcW w:w="3240" w:type="dxa"/>
          </w:tcPr>
          <w:p w14:paraId="41B13FB8" w14:textId="77777777" w:rsidR="00202ACF" w:rsidRDefault="00202ACF" w:rsidP="00202ACF">
            <w:pPr>
              <w:pStyle w:val="TableTextNumbers"/>
            </w:pPr>
            <w:r>
              <w:t xml:space="preserve">Select a process to </w:t>
            </w:r>
            <w:r w:rsidR="008B6D25">
              <w:t>edit</w:t>
            </w:r>
            <w:r>
              <w:t xml:space="preserve"> workload codes.</w:t>
            </w:r>
          </w:p>
        </w:tc>
        <w:tc>
          <w:tcPr>
            <w:tcW w:w="6120" w:type="dxa"/>
          </w:tcPr>
          <w:p w14:paraId="47E65F31" w14:textId="77777777" w:rsidR="00202ACF" w:rsidRDefault="00344E38" w:rsidP="00F46B5A">
            <w:pPr>
              <w:pStyle w:val="TableTextBullet"/>
            </w:pPr>
            <w:r>
              <w:t>Allows the user to edit existing data or add data.</w:t>
            </w:r>
          </w:p>
        </w:tc>
      </w:tr>
      <w:tr w:rsidR="00202ACF" w14:paraId="782F3FDF" w14:textId="77777777" w:rsidTr="007E500E">
        <w:trPr>
          <w:cantSplit/>
        </w:trPr>
        <w:tc>
          <w:tcPr>
            <w:tcW w:w="3240" w:type="dxa"/>
          </w:tcPr>
          <w:p w14:paraId="5BFDEFA4" w14:textId="77777777" w:rsidR="00202ACF" w:rsidRDefault="00202ACF" w:rsidP="00202ACF">
            <w:pPr>
              <w:pStyle w:val="TableTextNumbers"/>
            </w:pPr>
            <w:r>
              <w:lastRenderedPageBreak/>
              <w:t>Select an LMIP/NLT code.</w:t>
            </w:r>
          </w:p>
          <w:p w14:paraId="37DF5BFE" w14:textId="77777777" w:rsidR="00202ACF" w:rsidRDefault="00202ACF" w:rsidP="00202ACF">
            <w:pPr>
              <w:pStyle w:val="TableTextNumbersContinued"/>
            </w:pPr>
          </w:p>
          <w:p w14:paraId="0ED8EAF4" w14:textId="77777777" w:rsidR="00202ACF" w:rsidRPr="00202ACF" w:rsidRDefault="00202ACF" w:rsidP="00202ACF">
            <w:pPr>
              <w:pStyle w:val="TableTextNumbersContinued"/>
              <w:rPr>
                <w:b/>
                <w:bCs/>
              </w:rPr>
            </w:pPr>
            <w:r>
              <w:t xml:space="preserve">Click </w:t>
            </w:r>
            <w:r>
              <w:rPr>
                <w:b/>
              </w:rPr>
              <w:t>Add</w:t>
            </w:r>
            <w:r>
              <w:t xml:space="preserve"> to add the code.</w:t>
            </w:r>
          </w:p>
        </w:tc>
        <w:tc>
          <w:tcPr>
            <w:tcW w:w="6120" w:type="dxa"/>
          </w:tcPr>
          <w:p w14:paraId="32BA57A7" w14:textId="601249CD" w:rsidR="00344E38" w:rsidRDefault="00344E38" w:rsidP="00344E38">
            <w:pPr>
              <w:pStyle w:val="TableTextBullet"/>
            </w:pPr>
            <w:r>
              <w:t xml:space="preserve">Allows the user to select an </w:t>
            </w:r>
            <w:r w:rsidR="00F8401C">
              <w:t>LMIP</w:t>
            </w:r>
            <w:r>
              <w:t>/NLT code.</w:t>
            </w:r>
          </w:p>
          <w:p w14:paraId="31C1604F" w14:textId="77777777" w:rsidR="00202ACF" w:rsidRDefault="00202ACF" w:rsidP="00344E38">
            <w:pPr>
              <w:pStyle w:val="TableTextBullet"/>
              <w:numPr>
                <w:ilvl w:val="0"/>
                <w:numId w:val="0"/>
              </w:numPr>
            </w:pPr>
          </w:p>
          <w:p w14:paraId="62988AD8" w14:textId="139F4C64" w:rsidR="00344E38" w:rsidRPr="00344E38" w:rsidRDefault="00344E38" w:rsidP="00344E38">
            <w:pPr>
              <w:pStyle w:val="TableText"/>
              <w:rPr>
                <w:b/>
                <w:bCs/>
              </w:rPr>
            </w:pPr>
            <w:r w:rsidRPr="00344E38">
              <w:rPr>
                <w:b/>
                <w:bCs/>
              </w:rPr>
              <w:t>NOTES</w:t>
            </w:r>
          </w:p>
          <w:p w14:paraId="111359A3" w14:textId="77777777" w:rsidR="00344E38" w:rsidRDefault="00344E38" w:rsidP="00344E38">
            <w:pPr>
              <w:pStyle w:val="TableText"/>
            </w:pPr>
          </w:p>
          <w:p w14:paraId="2E627B89" w14:textId="77777777" w:rsidR="00F067E0" w:rsidRDefault="00F067E0" w:rsidP="00F067E0">
            <w:pPr>
              <w:pStyle w:val="NotesText"/>
            </w:pPr>
            <w:r>
              <w:t>LMIP/NLT weight multipliers values are set in VistA and that value is imported into VBECS.</w:t>
            </w:r>
          </w:p>
          <w:p w14:paraId="132A0EE3" w14:textId="77777777" w:rsidR="00F067E0" w:rsidRDefault="00F067E0" w:rsidP="00F067E0">
            <w:pPr>
              <w:pStyle w:val="NotesText"/>
            </w:pPr>
          </w:p>
          <w:p w14:paraId="4F89E551" w14:textId="561ACE92" w:rsidR="00F067E0" w:rsidRDefault="00344E38" w:rsidP="00F067E0">
            <w:pPr>
              <w:pStyle w:val="NotesText"/>
            </w:pPr>
            <w:r>
              <w:t xml:space="preserve">Changes made to </w:t>
            </w:r>
            <w:r w:rsidRPr="00CA0045">
              <w:rPr>
                <w:bCs/>
              </w:rPr>
              <w:t>VistA</w:t>
            </w:r>
            <w:r>
              <w:t xml:space="preserve"> files 64 (NLT/LMIP) and 81 (CPT) are updated in VBECS </w:t>
            </w:r>
            <w:r w:rsidR="00F067E0">
              <w:t xml:space="preserve">on a rolling </w:t>
            </w:r>
            <w:r w:rsidR="002E5AC8">
              <w:t>24-hour</w:t>
            </w:r>
            <w:r w:rsidR="00F067E0">
              <w:t xml:space="preserve"> clock. The first user to log in 24 hours after the last update will trigger the next update.</w:t>
            </w:r>
          </w:p>
        </w:tc>
      </w:tr>
      <w:tr w:rsidR="00202ACF" w14:paraId="645AC272" w14:textId="77777777" w:rsidTr="00F46B5A">
        <w:tc>
          <w:tcPr>
            <w:tcW w:w="3240" w:type="dxa"/>
          </w:tcPr>
          <w:p w14:paraId="47B239FC" w14:textId="77777777" w:rsidR="00202ACF" w:rsidRDefault="00202ACF" w:rsidP="00722DBF">
            <w:pPr>
              <w:pStyle w:val="TableTextNumbers"/>
            </w:pPr>
            <w:r>
              <w:t>Repeat Steps 1–7 for to edit workload parameters for another process</w:t>
            </w:r>
            <w:r w:rsidR="00722DBF">
              <w:t xml:space="preserve">. </w:t>
            </w:r>
            <w:r w:rsidR="00722DBF" w:rsidRPr="0079067D">
              <w:rPr>
                <w:vanish/>
                <w:color w:val="FFFFFF"/>
                <w:szCs w:val="18"/>
              </w:rPr>
              <w:fldChar w:fldCharType="begin"/>
            </w:r>
            <w:r w:rsidR="00722DBF" w:rsidRPr="0079067D">
              <w:rPr>
                <w:vanish/>
                <w:color w:val="FFFFFF"/>
                <w:szCs w:val="18"/>
              </w:rPr>
              <w:instrText xml:space="preserve"> LISTNUM \l 1 \s 0 </w:instrText>
            </w:r>
            <w:r w:rsidR="00722DBF" w:rsidRPr="0079067D">
              <w:rPr>
                <w:vanish/>
                <w:color w:val="FFFFFF"/>
                <w:szCs w:val="18"/>
              </w:rPr>
              <w:fldChar w:fldCharType="end">
                <w:numberingChange w:id="252" w:author="Blalock, David (Leidos)" w:date="2020-06-15T14:09:00Z" w:original="0."/>
              </w:fldChar>
            </w:r>
          </w:p>
        </w:tc>
        <w:tc>
          <w:tcPr>
            <w:tcW w:w="6120" w:type="dxa"/>
          </w:tcPr>
          <w:p w14:paraId="1B6748A6" w14:textId="77777777" w:rsidR="00202ACF" w:rsidRDefault="00202ACF" w:rsidP="00F067E0">
            <w:pPr>
              <w:pStyle w:val="TableTextBullet"/>
              <w:numPr>
                <w:ilvl w:val="0"/>
                <w:numId w:val="0"/>
              </w:numPr>
            </w:pPr>
          </w:p>
        </w:tc>
      </w:tr>
    </w:tbl>
    <w:p w14:paraId="08E28DD2" w14:textId="77777777" w:rsidR="00466CF2" w:rsidRDefault="00466CF2" w:rsidP="00597EEA">
      <w:pPr>
        <w:pStyle w:val="Heading2"/>
      </w:pPr>
    </w:p>
    <w:p w14:paraId="7667752C" w14:textId="77777777" w:rsidR="002A21AE" w:rsidRDefault="00466CF2" w:rsidP="00597EEA">
      <w:pPr>
        <w:pStyle w:val="Heading2"/>
      </w:pPr>
      <w:r>
        <w:br w:type="page"/>
      </w:r>
      <w:bookmarkStart w:id="253" w:name="_Toc47516709"/>
      <w:r w:rsidR="002A21AE">
        <w:lastRenderedPageBreak/>
        <w:t>Reagents and Supplies</w:t>
      </w:r>
      <w:bookmarkEnd w:id="248"/>
      <w:bookmarkEnd w:id="249"/>
      <w:bookmarkEnd w:id="253"/>
      <w:r w:rsidR="002A21AE">
        <w:fldChar w:fldCharType="begin"/>
      </w:r>
      <w:r w:rsidR="002A21AE">
        <w:instrText xml:space="preserve"> XE </w:instrText>
      </w:r>
      <w:r w:rsidR="00FA7E65">
        <w:instrText>“</w:instrText>
      </w:r>
      <w:r w:rsidR="002A21AE">
        <w:instrText>Reagents and Supplies</w:instrText>
      </w:r>
      <w:r w:rsidR="00FA7E65">
        <w:instrText>”</w:instrText>
      </w:r>
      <w:r w:rsidR="002A21AE">
        <w:instrText xml:space="preserve"> </w:instrText>
      </w:r>
      <w:r w:rsidR="002A21AE">
        <w:fldChar w:fldCharType="end"/>
      </w:r>
    </w:p>
    <w:p w14:paraId="7A07088D" w14:textId="77777777" w:rsidR="002A21AE" w:rsidRDefault="002A21AE">
      <w:pPr>
        <w:pStyle w:val="Heading3"/>
      </w:pPr>
      <w:bookmarkStart w:id="254" w:name="_Enter_Daily_QC_Results"/>
      <w:bookmarkStart w:id="255" w:name="_Toc47516710"/>
      <w:bookmarkEnd w:id="254"/>
      <w:r>
        <w:t>Enter Daily QC Results</w:t>
      </w:r>
      <w:bookmarkEnd w:id="255"/>
      <w:r>
        <w:fldChar w:fldCharType="begin"/>
      </w:r>
      <w:r>
        <w:instrText xml:space="preserve"> XE </w:instrText>
      </w:r>
      <w:r w:rsidR="00FA7E65">
        <w:instrText>“</w:instrText>
      </w:r>
      <w:r>
        <w:instrText>Enter Daily QC Results</w:instrText>
      </w:r>
      <w:r w:rsidR="00FA7E65">
        <w:instrText>”</w:instrText>
      </w:r>
      <w:r>
        <w:instrText xml:space="preserve"> </w:instrText>
      </w:r>
      <w:r>
        <w:fldChar w:fldCharType="end"/>
      </w:r>
      <w:r>
        <w:t xml:space="preserve"> </w:t>
      </w:r>
      <w:r>
        <w:rPr>
          <w:rFonts w:ascii="Times New Roman" w:hAnsi="Times New Roman" w:cs="Times New Roman"/>
          <w:b w:val="0"/>
          <w:vanish/>
          <w:sz w:val="22"/>
        </w:rPr>
        <w:t>UC_28</w:t>
      </w:r>
    </w:p>
    <w:p w14:paraId="7ADFF4E4" w14:textId="77777777" w:rsidR="002A21AE" w:rsidRDefault="002A21AE" w:rsidP="00FA7E65">
      <w:pPr>
        <w:pStyle w:val="BodyText"/>
      </w:pPr>
      <w:r>
        <w:t>The user enters observed serological reactions for all phases of testing and interpretations of the various routine reagents.</w:t>
      </w:r>
    </w:p>
    <w:p w14:paraId="7CC2CFC7" w14:textId="77777777" w:rsidR="002A21AE" w:rsidRDefault="002A21AE">
      <w:pPr>
        <w:pStyle w:val="Heading4"/>
      </w:pPr>
      <w:r>
        <w:t>Assumptions</w:t>
      </w:r>
      <w:r>
        <w:rPr>
          <w:b w:val="0"/>
        </w:rPr>
        <w:t xml:space="preserve"> </w:t>
      </w:r>
    </w:p>
    <w:p w14:paraId="58A9F65C" w14:textId="77777777" w:rsidR="002A21AE" w:rsidRDefault="002A21AE">
      <w:pPr>
        <w:pStyle w:val="ListBullet"/>
      </w:pPr>
      <w:r>
        <w:t>The division is “full service.”</w:t>
      </w:r>
    </w:p>
    <w:p w14:paraId="0B5D0503" w14:textId="77777777" w:rsidR="002A21AE" w:rsidRDefault="002A21AE">
      <w:pPr>
        <w:pStyle w:val="ListBullet"/>
      </w:pPr>
      <w:r>
        <w:t>Site parameters regarding reagent quality control are set up.</w:t>
      </w:r>
    </w:p>
    <w:p w14:paraId="0A95F28D" w14:textId="77777777" w:rsidR="002A21AE" w:rsidRDefault="002A21AE">
      <w:pPr>
        <w:pStyle w:val="ListBullet"/>
      </w:pPr>
      <w:r>
        <w:t xml:space="preserve">Minimum inventory levels for reagent types are defined. </w:t>
      </w:r>
    </w:p>
    <w:p w14:paraId="3586B003" w14:textId="77777777" w:rsidR="002A21AE" w:rsidRDefault="002A21AE">
      <w:pPr>
        <w:pStyle w:val="ListBullet"/>
      </w:pPr>
      <w:r>
        <w:t xml:space="preserve">Inventory control functionality is in use and reagents are in the inventory of the user’s division. </w:t>
      </w:r>
    </w:p>
    <w:p w14:paraId="0B1B440D" w14:textId="77777777" w:rsidR="002A21AE" w:rsidRDefault="002A21AE">
      <w:pPr>
        <w:pStyle w:val="ListBullet"/>
      </w:pPr>
      <w:r>
        <w:t>Daily QC testing does not include reagents used in special antigen typing.</w:t>
      </w:r>
    </w:p>
    <w:p w14:paraId="300E5BD9" w14:textId="77777777" w:rsidR="002A21AE" w:rsidRDefault="002A21AE">
      <w:pPr>
        <w:pStyle w:val="Heading4"/>
      </w:pPr>
      <w:r>
        <w:t xml:space="preserve">Outcome </w:t>
      </w:r>
    </w:p>
    <w:p w14:paraId="31E6655B" w14:textId="77777777" w:rsidR="002A21AE" w:rsidRDefault="002A21AE">
      <w:pPr>
        <w:pStyle w:val="ListBullet"/>
      </w:pPr>
      <w:r>
        <w:t>Routine reagents are available for use, shutting down the alert for the day associated with the rack.</w:t>
      </w:r>
    </w:p>
    <w:p w14:paraId="6ECB1F82" w14:textId="77777777" w:rsidR="002A21AE" w:rsidRDefault="002A21AE">
      <w:pPr>
        <w:pStyle w:val="ListBullet"/>
      </w:pPr>
      <w:r>
        <w:t>The user may enter and save reaction results below the minimum expected reaction; an Exception Report may be generated for supervisory review; the rack may or may not be used by the site for routine testing throughout that day.</w:t>
      </w:r>
    </w:p>
    <w:p w14:paraId="0184BB10" w14:textId="77777777" w:rsidR="002A21AE" w:rsidRDefault="002A21AE">
      <w:pPr>
        <w:pStyle w:val="Heading4"/>
      </w:pPr>
      <w:r>
        <w:t>Limitations and Restrictions</w:t>
      </w:r>
      <w:r>
        <w:rPr>
          <w:b w:val="0"/>
        </w:rPr>
        <w:t xml:space="preserve"> </w:t>
      </w:r>
    </w:p>
    <w:p w14:paraId="5C08F99A" w14:textId="77777777" w:rsidR="002A21AE" w:rsidRDefault="002A21AE">
      <w:pPr>
        <w:pStyle w:val="ListBullet"/>
      </w:pPr>
      <w:r>
        <w:t xml:space="preserve">Additional user-defined reagent types not available in Configure Daily QC or Enter Daily QC Results are not part of a reagent rack’s daily QC testing. </w:t>
      </w:r>
    </w:p>
    <w:p w14:paraId="5F5C69E7" w14:textId="77777777" w:rsidR="002A21AE" w:rsidRDefault="002A21AE">
      <w:pPr>
        <w:pStyle w:val="Heading4"/>
      </w:pPr>
      <w:r>
        <w:t xml:space="preserve">Additional Information </w:t>
      </w:r>
    </w:p>
    <w:p w14:paraId="7757A9DE" w14:textId="77777777" w:rsidR="002A21AE" w:rsidRDefault="002A21AE">
      <w:pPr>
        <w:pStyle w:val="ListBullet"/>
      </w:pPr>
      <w:r>
        <w:rPr>
          <w:rFonts w:ascii="Arial" w:hAnsi="Arial" w:cs="Arial"/>
          <w:vanish/>
          <w:spacing w:val="0"/>
          <w:sz w:val="18"/>
        </w:rPr>
        <w:t xml:space="preserve">BR_28.19 </w:t>
      </w:r>
      <w:r>
        <w:t>VBECS allows the user to save a partially filled worksheet for a specific QC rack ID and allows the same or a different user to redisplay the form for the entry of remaining test results at a later time. The user, first or second, may enter new results but may not edit prior entries. VBECS records the ID of each user who enters test observations on a worksheet.</w:t>
      </w:r>
    </w:p>
    <w:p w14:paraId="791C9983" w14:textId="77777777" w:rsidR="002A21AE" w:rsidRDefault="002A21AE">
      <w:pPr>
        <w:pStyle w:val="ListBullet"/>
      </w:pPr>
      <w:r>
        <w:t>VBECS issues warnings when they are defined in Maintain Minimum Levels.</w:t>
      </w:r>
    </w:p>
    <w:p w14:paraId="593A3E22" w14:textId="77777777" w:rsidR="002A21AE" w:rsidRDefault="002A21AE">
      <w:pPr>
        <w:pStyle w:val="ListBullet"/>
      </w:pPr>
      <w:r>
        <w:t xml:space="preserve">VistALink does not need to be active when a user enters </w:t>
      </w:r>
      <w:r>
        <w:rPr>
          <w:bCs/>
        </w:rPr>
        <w:t>daily quality control results</w:t>
      </w:r>
      <w:r>
        <w:t>.</w:t>
      </w:r>
    </w:p>
    <w:p w14:paraId="2A6E8ED2" w14:textId="77777777" w:rsidR="002A21AE" w:rsidRDefault="002A21AE">
      <w:pPr>
        <w:pStyle w:val="ListBullet"/>
      </w:pPr>
      <w:r>
        <w:t>A testing template is generated for daily quality control testing of routine reagents for each rack in a division. (Multiple templates may be used on a given day.)</w:t>
      </w:r>
    </w:p>
    <w:p w14:paraId="6E69DA6A" w14:textId="77777777" w:rsidR="002A21AE" w:rsidRDefault="002A21AE">
      <w:pPr>
        <w:pStyle w:val="ListBullet"/>
      </w:pPr>
      <w:r>
        <w:t>System rules</w:t>
      </w:r>
      <w:r w:rsidR="00AA6C54">
        <w:t xml:space="preserve"> </w:t>
      </w:r>
      <w:r>
        <w:t>determine the validity of the test interpretations and determine if all phases of testing were recorded for both scenarios.</w:t>
      </w:r>
    </w:p>
    <w:p w14:paraId="6DED0353" w14:textId="77777777" w:rsidR="002A21AE" w:rsidRDefault="002A21AE">
      <w:pPr>
        <w:pStyle w:val="ListBullet"/>
      </w:pPr>
      <w:r>
        <w:t>A user must enter and may view one day’s QC data at a time. The supervisor or administrator must review these entries and the reagent information daily.</w:t>
      </w:r>
    </w:p>
    <w:p w14:paraId="38A579DE" w14:textId="77777777" w:rsidR="002A21AE" w:rsidRDefault="002A21AE">
      <w:pPr>
        <w:pStyle w:val="ListBullet"/>
      </w:pPr>
      <w:r>
        <w:t xml:space="preserve">VBECS compares the current rack QC results with the prior day’s QC results. </w:t>
      </w:r>
    </w:p>
    <w:p w14:paraId="3F411716" w14:textId="77777777" w:rsidR="002A21AE" w:rsidRDefault="002A21AE">
      <w:pPr>
        <w:pStyle w:val="ListBullet"/>
      </w:pPr>
      <w:r>
        <w:t xml:space="preserve">Multiple technologists may use the same rack. </w:t>
      </w:r>
    </w:p>
    <w:p w14:paraId="3F1F6DE0" w14:textId="77777777" w:rsidR="002A21AE" w:rsidRDefault="002A21AE">
      <w:pPr>
        <w:pStyle w:val="ListBullet"/>
      </w:pPr>
      <w:r>
        <w:t>Rack number and reagents used to test a specimen are linked to the lot number, manufacturer, and expiration date of the reagent type as well as the rack identifier.</w:t>
      </w:r>
    </w:p>
    <w:p w14:paraId="33C6FDC5" w14:textId="77777777" w:rsidR="00254E7B" w:rsidRDefault="00254E7B">
      <w:pPr>
        <w:pStyle w:val="ListBullet"/>
      </w:pPr>
      <w:r>
        <w:t>A user may use more than one testing method in accordance with local policies and procedures.</w:t>
      </w:r>
    </w:p>
    <w:p w14:paraId="74024EC5" w14:textId="15F691AC" w:rsidR="00F62041" w:rsidRDefault="00F62041" w:rsidP="00F62041">
      <w:pPr>
        <w:pStyle w:val="ListBullet"/>
      </w:pPr>
      <w:r w:rsidRPr="00622C54">
        <w:t xml:space="preserve">If a rack has never been used with reagents prior to using the QC Documentation Offline option and the rack is not so checked when the user attempts to use this untested rack, the message appears that this </w:t>
      </w:r>
      <w:r w:rsidRPr="00622C54">
        <w:lastRenderedPageBreak/>
        <w:t xml:space="preserve">rack has never been tested and cannot be used. The user may not proceed. To use this rack on this date, the QC Offline check needs to be indicated or testing performed. </w:t>
      </w:r>
      <w:r w:rsidRPr="00622C54">
        <w:rPr>
          <w:vanish/>
        </w:rPr>
        <w:t>DR 4317</w:t>
      </w:r>
    </w:p>
    <w:p w14:paraId="2F3F2BE8" w14:textId="741D13C4" w:rsidR="00A03C1C" w:rsidRDefault="00A03C1C" w:rsidP="00A03C1C">
      <w:pPr>
        <w:pStyle w:val="ListBullet"/>
      </w:pPr>
      <w:r w:rsidRPr="00A03C1C">
        <w:t>A rack can be set as pa</w:t>
      </w:r>
      <w:r w:rsidR="00AE3748">
        <w:t>rtially tested and marked as "QC</w:t>
      </w:r>
      <w:r w:rsidRPr="00A03C1C">
        <w:t xml:space="preserve">’d Offline" at the same time. </w:t>
      </w:r>
      <w:r>
        <w:t>The r</w:t>
      </w:r>
      <w:r w:rsidRPr="00A03C1C">
        <w:t>ack wi</w:t>
      </w:r>
      <w:r>
        <w:t>ll be listed as "Tested = No", S</w:t>
      </w:r>
      <w:r w:rsidRPr="00A03C1C">
        <w:t>electing it will prompt for the "Rack QC not performed" override</w:t>
      </w:r>
      <w:r>
        <w:t>,</w:t>
      </w:r>
      <w:r w:rsidRPr="00A03C1C">
        <w:t xml:space="preserve"> as the partially tested rack setting is enforced.</w:t>
      </w:r>
      <w:r w:rsidR="00AB4BD9">
        <w:t xml:space="preserve"> </w:t>
      </w:r>
      <w:r w:rsidR="00AB4BD9" w:rsidRPr="00AB4BD9">
        <w:rPr>
          <w:vanish/>
        </w:rPr>
        <w:t>Defect 210297</w:t>
      </w:r>
    </w:p>
    <w:p w14:paraId="66D9AC81" w14:textId="725EBE85" w:rsidR="003A7501" w:rsidRDefault="003A7501" w:rsidP="003A7501">
      <w:pPr>
        <w:pStyle w:val="ListBullet"/>
      </w:pPr>
      <w:r>
        <w:t xml:space="preserve">The </w:t>
      </w:r>
      <w:r w:rsidRPr="003A7501">
        <w:t>antiglobulin testing grids for QC have a title of IAT. The same grid for patient testing is titled AHG.</w:t>
      </w:r>
      <w:r w:rsidR="00AB4BD9">
        <w:t xml:space="preserve"> </w:t>
      </w:r>
      <w:r w:rsidR="00AB4BD9" w:rsidRPr="00AB4BD9">
        <w:rPr>
          <w:vanish/>
        </w:rPr>
        <w:t>Defect 211747</w:t>
      </w:r>
    </w:p>
    <w:p w14:paraId="1794E477" w14:textId="7C5C4AEC" w:rsidR="00E86766" w:rsidRPr="00622C54" w:rsidRDefault="009A1817" w:rsidP="00F62041">
      <w:pPr>
        <w:pStyle w:val="ListBullet"/>
      </w:pPr>
      <w:r>
        <w:t>If two instances of Enter Daily QC are opened, the second instance will not recognize testing performed in the first instance, and will accept retesting of the rack.</w:t>
      </w:r>
      <w:r w:rsidR="00AB4BD9">
        <w:t xml:space="preserve"> </w:t>
      </w:r>
      <w:r w:rsidR="00203682">
        <w:t>(</w:t>
      </w:r>
      <w:r w:rsidR="004C63BA">
        <w:t>See</w:t>
      </w:r>
      <w:r w:rsidR="00AC093B">
        <w:t xml:space="preserve"> </w:t>
      </w:r>
      <w:r w:rsidR="00E86766">
        <w:t>FAQ QC Setup</w:t>
      </w:r>
      <w:r w:rsidR="00AB4BD9">
        <w:t xml:space="preserve"> </w:t>
      </w:r>
      <w:r w:rsidR="00AC093B">
        <w:t>and FAQ Re</w:t>
      </w:r>
      <w:r w:rsidR="004C63BA">
        <w:t xml:space="preserve">testing QC for </w:t>
      </w:r>
      <w:r w:rsidR="00E90A01">
        <w:t>additional</w:t>
      </w:r>
      <w:r w:rsidR="004C63BA">
        <w:t xml:space="preserve"> information.</w:t>
      </w:r>
      <w:r w:rsidR="00A868BE" w:rsidRPr="00A868BE">
        <w:rPr>
          <w:vanish/>
        </w:rPr>
        <w:t xml:space="preserve"> Task 628088</w:t>
      </w:r>
      <w:r w:rsidR="00203682">
        <w:t>)</w:t>
      </w:r>
      <w:r w:rsidR="0002020B">
        <w:t xml:space="preserve"> </w:t>
      </w:r>
      <w:r w:rsidR="0002020B" w:rsidRPr="0002020B">
        <w:rPr>
          <w:vanish/>
        </w:rPr>
        <w:t>Defect 210503</w:t>
      </w:r>
    </w:p>
    <w:p w14:paraId="460D5750" w14:textId="77777777" w:rsidR="002A21AE" w:rsidRDefault="002A21AE">
      <w:pPr>
        <w:pStyle w:val="Heading4"/>
        <w:rPr>
          <w:b w:val="0"/>
        </w:rPr>
      </w:pPr>
      <w:r>
        <w:t>User Roles with Access to This Option</w:t>
      </w:r>
      <w:r>
        <w:rPr>
          <w:b w:val="0"/>
        </w:rPr>
        <w:t xml:space="preserve"> </w:t>
      </w:r>
    </w:p>
    <w:p w14:paraId="08DB66BE" w14:textId="77777777" w:rsidR="002A21AE" w:rsidRDefault="00046C55">
      <w:pPr>
        <w:pStyle w:val="Roles"/>
        <w:rPr>
          <w:snapToGrid w:val="0"/>
        </w:rPr>
      </w:pPr>
      <w:r>
        <w:t>All users</w:t>
      </w:r>
    </w:p>
    <w:p w14:paraId="64012FDC" w14:textId="77777777" w:rsidR="002A21AE" w:rsidRDefault="002A21AE">
      <w:pPr>
        <w:pStyle w:val="Heading4"/>
      </w:pPr>
      <w:r>
        <w:t xml:space="preserve">Enter Daily QC Results </w:t>
      </w:r>
    </w:p>
    <w:p w14:paraId="1C95E48A" w14:textId="77777777" w:rsidR="002A21AE" w:rsidRDefault="002A21AE" w:rsidP="00FA7E65">
      <w:pPr>
        <w:pStyle w:val="BodyText"/>
      </w:pPr>
      <w:r>
        <w:t xml:space="preserve">The American Association of Blood Banks’ </w:t>
      </w:r>
      <w:r>
        <w:rPr>
          <w:i/>
        </w:rPr>
        <w:t>Standards for Blood Banks and Transfusion Services</w:t>
      </w:r>
      <w:r>
        <w:t xml:space="preserve"> requires that commercial reagents in the blood bank—antisera and routinely-used red cell reagents—must be tested for performance “on the day of use.” As routine reagents are always used, they are tested daily. Records of these reagents, their lot numbers, and their testing results must be stored for reference. VBECS verifies and indicates whether the reagent is satisfactory for use. </w:t>
      </w:r>
    </w:p>
    <w:p w14:paraId="3D6D3EE6" w14:textId="77777777" w:rsidR="002A21AE" w:rsidRDefault="002A21AE" w:rsidP="00FA7E65">
      <w:pPr>
        <w:pStyle w:val="BodyText"/>
      </w:pPr>
      <w:r>
        <w:t xml:space="preserve">This option facilitates the direct entry of reaction results and interpretations, constituting daily reagent quality control testing for a rack of reagents. </w:t>
      </w:r>
    </w:p>
    <w:p w14:paraId="2312E34F" w14:textId="77777777" w:rsidR="002A21AE" w:rsidRDefault="002A21AE" w:rsidP="00FA7E65">
      <w:pPr>
        <w:pStyle w:val="BodyText"/>
      </w:pPr>
      <w:r>
        <w:t>VBECS allows the user to change individual reagents without repeating the QC for the full rack during the day.</w:t>
      </w:r>
    </w:p>
    <w:tbl>
      <w:tblPr>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356"/>
      </w:tblGrid>
      <w:tr w:rsidR="002A21AE" w14:paraId="0E7728D1" w14:textId="77777777">
        <w:trPr>
          <w:tblHeader/>
        </w:trPr>
        <w:tc>
          <w:tcPr>
            <w:tcW w:w="3240" w:type="dxa"/>
            <w:shd w:val="pct30" w:color="auto" w:fill="FFFFFF"/>
            <w:vAlign w:val="bottom"/>
          </w:tcPr>
          <w:p w14:paraId="26A71ACD" w14:textId="77777777" w:rsidR="002A21AE" w:rsidRDefault="002A21AE">
            <w:pPr>
              <w:pStyle w:val="TableText"/>
              <w:rPr>
                <w:b/>
              </w:rPr>
            </w:pPr>
            <w:bookmarkStart w:id="256" w:name="_Toc30304250"/>
            <w:bookmarkStart w:id="257" w:name="_Toc30912571"/>
            <w:bookmarkStart w:id="258" w:name="_Toc49251208"/>
            <w:bookmarkStart w:id="259" w:name="_Toc49251692"/>
            <w:bookmarkStart w:id="260" w:name="_Toc68448916"/>
            <w:r>
              <w:rPr>
                <w:b/>
              </w:rPr>
              <w:t>User Action</w:t>
            </w:r>
          </w:p>
        </w:tc>
        <w:tc>
          <w:tcPr>
            <w:tcW w:w="6356" w:type="dxa"/>
            <w:shd w:val="pct30" w:color="auto" w:fill="FFFFFF"/>
            <w:vAlign w:val="bottom"/>
          </w:tcPr>
          <w:p w14:paraId="73BC00CA" w14:textId="77777777" w:rsidR="002A21AE" w:rsidRDefault="002A21AE">
            <w:pPr>
              <w:pStyle w:val="TableText"/>
              <w:rPr>
                <w:b/>
              </w:rPr>
            </w:pPr>
            <w:r>
              <w:rPr>
                <w:b/>
              </w:rPr>
              <w:t>VBECS</w:t>
            </w:r>
          </w:p>
        </w:tc>
      </w:tr>
      <w:tr w:rsidR="002A21AE" w14:paraId="2812042B" w14:textId="77777777">
        <w:tc>
          <w:tcPr>
            <w:tcW w:w="3240" w:type="dxa"/>
          </w:tcPr>
          <w:p w14:paraId="0C658EE7" w14:textId="77777777" w:rsidR="002A21AE" w:rsidRDefault="002A21AE">
            <w:pPr>
              <w:pStyle w:val="TableTextNumbers"/>
            </w:pPr>
            <w:r>
              <w:t xml:space="preserve">Select </w:t>
            </w:r>
            <w:r>
              <w:rPr>
                <w:b/>
              </w:rPr>
              <w:t>Reagents</w:t>
            </w:r>
            <w:r>
              <w:t xml:space="preserve"> from the main menu.</w:t>
            </w:r>
          </w:p>
          <w:p w14:paraId="2F27F781" w14:textId="77777777" w:rsidR="002A21AE" w:rsidRDefault="002A21AE">
            <w:pPr>
              <w:pStyle w:val="TableTextNumbersContinued"/>
              <w:rPr>
                <w:b/>
                <w:bCs/>
              </w:rPr>
            </w:pPr>
          </w:p>
          <w:p w14:paraId="2B4EE38F" w14:textId="77777777" w:rsidR="002A21AE" w:rsidRDefault="002A21AE">
            <w:pPr>
              <w:pStyle w:val="TableTextNumbersContinued"/>
            </w:pPr>
            <w:r>
              <w:t xml:space="preserve">Select </w:t>
            </w:r>
            <w:r>
              <w:rPr>
                <w:b/>
              </w:rPr>
              <w:t>Enter Daily QC Results</w:t>
            </w:r>
            <w:r>
              <w:t>.</w:t>
            </w:r>
          </w:p>
        </w:tc>
        <w:tc>
          <w:tcPr>
            <w:tcW w:w="6356" w:type="dxa"/>
          </w:tcPr>
          <w:p w14:paraId="0C7CBAAC" w14:textId="77777777" w:rsidR="002A21AE" w:rsidRDefault="002A21AE" w:rsidP="003356B8">
            <w:pPr>
              <w:pStyle w:val="TableTextBullet"/>
            </w:pPr>
            <w:r>
              <w:t>Displays options to perform daily reagent rack QC</w:t>
            </w:r>
            <w:r w:rsidR="000D380C">
              <w:t>.</w:t>
            </w:r>
          </w:p>
        </w:tc>
      </w:tr>
      <w:tr w:rsidR="000B5EBA" w14:paraId="2D6D8A80" w14:textId="77777777">
        <w:tc>
          <w:tcPr>
            <w:tcW w:w="3240" w:type="dxa"/>
          </w:tcPr>
          <w:p w14:paraId="5636BB7D" w14:textId="77777777" w:rsidR="000B5EBA" w:rsidRDefault="00003AD3" w:rsidP="00D148D7">
            <w:pPr>
              <w:pStyle w:val="TableTextNumbers"/>
            </w:pPr>
            <w:r>
              <w:t>Verify</w:t>
            </w:r>
            <w:r w:rsidR="000B5EBA">
              <w:t xml:space="preserve"> the default date tested and tester</w:t>
            </w:r>
            <w:r>
              <w:t xml:space="preserve">, </w:t>
            </w:r>
            <w:r w:rsidR="00686785">
              <w:t>and</w:t>
            </w:r>
            <w:r>
              <w:t xml:space="preserve"> edit them</w:t>
            </w:r>
            <w:r w:rsidR="000B5EBA">
              <w:t>, if needed.</w:t>
            </w:r>
          </w:p>
        </w:tc>
        <w:tc>
          <w:tcPr>
            <w:tcW w:w="6356" w:type="dxa"/>
          </w:tcPr>
          <w:p w14:paraId="0CC38A66" w14:textId="77777777" w:rsidR="000B5EBA" w:rsidRDefault="000B5EBA" w:rsidP="00D148D7">
            <w:pPr>
              <w:pStyle w:val="TableTextBullet"/>
            </w:pPr>
            <w:r>
              <w:t>Displays the date and time the testing was performed; the default is the current date and time, which are editable to allow retrospective entry.</w:t>
            </w:r>
          </w:p>
          <w:p w14:paraId="44A11251" w14:textId="77777777" w:rsidR="000B5EBA" w:rsidRDefault="000B5EBA" w:rsidP="00D148D7">
            <w:pPr>
              <w:pStyle w:val="TableTextBullet"/>
            </w:pPr>
            <w:r>
              <w:t>Displays the testing technologist’s identification; the default is the current user. Lists valid division users for selection.</w:t>
            </w:r>
          </w:p>
          <w:p w14:paraId="72488E28" w14:textId="77777777" w:rsidR="000B5EBA" w:rsidRDefault="000B5EBA" w:rsidP="00D148D7">
            <w:pPr>
              <w:pStyle w:val="TableTextBullet"/>
            </w:pPr>
            <w:r>
              <w:t>Displays the option to indicate the rack number of the reagents to test, a list of racks to be tested for the current date, and a retest option for the racks with testing completed for the date.</w:t>
            </w:r>
          </w:p>
          <w:p w14:paraId="6482817A" w14:textId="77777777" w:rsidR="000B5EBA" w:rsidRDefault="000B5EBA" w:rsidP="00D148D7">
            <w:pPr>
              <w:pStyle w:val="TableText"/>
            </w:pPr>
          </w:p>
          <w:p w14:paraId="7DAE035A" w14:textId="61426102" w:rsidR="000B5EBA" w:rsidRDefault="000B5EBA" w:rsidP="00D148D7">
            <w:pPr>
              <w:pStyle w:val="TableText"/>
              <w:rPr>
                <w:b/>
                <w:bCs/>
                <w:szCs w:val="18"/>
              </w:rPr>
            </w:pPr>
            <w:r>
              <w:rPr>
                <w:b/>
                <w:bCs/>
                <w:szCs w:val="18"/>
              </w:rPr>
              <w:t>NOTES</w:t>
            </w:r>
          </w:p>
          <w:p w14:paraId="17C39254" w14:textId="77777777" w:rsidR="000B5EBA" w:rsidRDefault="000B5EBA" w:rsidP="00D148D7">
            <w:pPr>
              <w:pStyle w:val="NotesText"/>
            </w:pPr>
          </w:p>
          <w:p w14:paraId="44D15318" w14:textId="77777777" w:rsidR="000B5EBA" w:rsidRDefault="000B5EBA" w:rsidP="001272CA">
            <w:pPr>
              <w:pStyle w:val="NotesText"/>
            </w:pPr>
            <w:r>
              <w:t>Daily QC testing does not include reagents used in special antigen typing.</w:t>
            </w:r>
          </w:p>
        </w:tc>
      </w:tr>
      <w:tr w:rsidR="002A21AE" w14:paraId="37D8DEBB"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5E670E9D" w14:textId="6AC2F88A" w:rsidR="000D380C" w:rsidRDefault="000D380C">
            <w:pPr>
              <w:pStyle w:val="TableTextNumbers"/>
            </w:pPr>
            <w:r>
              <w:lastRenderedPageBreak/>
              <w:t xml:space="preserve">Select the </w:t>
            </w:r>
            <w:r w:rsidRPr="000D380C">
              <w:rPr>
                <w:b/>
              </w:rPr>
              <w:t>Test Rack(s)</w:t>
            </w:r>
            <w:r w:rsidRPr="000D380C">
              <w:t>,</w:t>
            </w:r>
            <w:r w:rsidRPr="000D380C">
              <w:rPr>
                <w:b/>
              </w:rPr>
              <w:t xml:space="preserve"> </w:t>
            </w:r>
            <w:r>
              <w:rPr>
                <w:b/>
              </w:rPr>
              <w:t>P</w:t>
            </w:r>
            <w:r w:rsidRPr="000D380C">
              <w:rPr>
                <w:b/>
              </w:rPr>
              <w:t>artially Tested Rack(s)</w:t>
            </w:r>
            <w:r w:rsidRPr="00F62D64">
              <w:t>, or</w:t>
            </w:r>
            <w:r w:rsidRPr="000D380C">
              <w:rPr>
                <w:b/>
              </w:rPr>
              <w:t xml:space="preserve"> Retest Rack(s</w:t>
            </w:r>
            <w:r w:rsidRPr="00F62D64">
              <w:rPr>
                <w:b/>
              </w:rPr>
              <w:t xml:space="preserve">) </w:t>
            </w:r>
            <w:r w:rsidRPr="00CC3C89">
              <w:t>tab</w:t>
            </w:r>
            <w:r w:rsidR="00957095" w:rsidRPr="00CC3C89">
              <w:t xml:space="preserve"> </w:t>
            </w:r>
            <w:r w:rsidR="00957095">
              <w:t>(</w:t>
            </w:r>
            <w:r w:rsidR="00957095">
              <w:fldChar w:fldCharType="begin"/>
            </w:r>
            <w:r w:rsidR="00957095">
              <w:instrText xml:space="preserve"> REF _Ref126641381 \h </w:instrText>
            </w:r>
            <w:r w:rsidR="00957095">
              <w:fldChar w:fldCharType="separate"/>
            </w:r>
            <w:r w:rsidR="004353ED">
              <w:t xml:space="preserve">Figure </w:t>
            </w:r>
            <w:r w:rsidR="004353ED">
              <w:rPr>
                <w:noProof/>
              </w:rPr>
              <w:t>58</w:t>
            </w:r>
            <w:r w:rsidR="00957095">
              <w:fldChar w:fldCharType="end"/>
            </w:r>
            <w:r w:rsidR="00957095">
              <w:t>)</w:t>
            </w:r>
            <w:r>
              <w:t>.</w:t>
            </w:r>
          </w:p>
          <w:p w14:paraId="32A88D21" w14:textId="77777777" w:rsidR="000D380C" w:rsidRDefault="000D380C" w:rsidP="000D380C">
            <w:pPr>
              <w:pStyle w:val="TableTextNumbersContinued"/>
            </w:pPr>
          </w:p>
          <w:p w14:paraId="073AFAA4" w14:textId="77777777" w:rsidR="002A21AE" w:rsidRDefault="00922EBC" w:rsidP="000D380C">
            <w:pPr>
              <w:pStyle w:val="TableTextNumbersContinued"/>
            </w:pPr>
            <w:r>
              <w:t>Click one or more check boxes to select</w:t>
            </w:r>
            <w:r w:rsidR="002A21AE">
              <w:t xml:space="preserve"> rack numbers.</w:t>
            </w:r>
          </w:p>
          <w:p w14:paraId="7CAE1C46" w14:textId="77777777" w:rsidR="00C36763" w:rsidRDefault="00C36763" w:rsidP="000D380C">
            <w:pPr>
              <w:pStyle w:val="TableTextNumbersContinued"/>
            </w:pPr>
          </w:p>
          <w:p w14:paraId="3E7F9A32" w14:textId="77777777" w:rsidR="00C36763" w:rsidRDefault="00C36763" w:rsidP="000D380C">
            <w:pPr>
              <w:pStyle w:val="TableTextNumbersContinued"/>
            </w:pPr>
            <w:r>
              <w:t xml:space="preserve">Click </w:t>
            </w:r>
            <w:r w:rsidRPr="00C36763">
              <w:rPr>
                <w:b/>
              </w:rPr>
              <w:t>OK</w:t>
            </w:r>
            <w:r>
              <w:t>.</w:t>
            </w:r>
          </w:p>
          <w:p w14:paraId="404B583D" w14:textId="77777777" w:rsidR="002A21AE" w:rsidRDefault="002A21AE" w:rsidP="00107CEB">
            <w:pPr>
              <w:pStyle w:val="TableTextNumbersContinued"/>
            </w:pPr>
          </w:p>
        </w:tc>
        <w:tc>
          <w:tcPr>
            <w:tcW w:w="6356" w:type="dxa"/>
            <w:tcBorders>
              <w:top w:val="single" w:sz="4" w:space="0" w:color="auto"/>
              <w:left w:val="single" w:sz="4" w:space="0" w:color="auto"/>
              <w:bottom w:val="single" w:sz="4" w:space="0" w:color="auto"/>
              <w:right w:val="single" w:sz="4" w:space="0" w:color="auto"/>
            </w:tcBorders>
          </w:tcPr>
          <w:p w14:paraId="25850177" w14:textId="77777777" w:rsidR="002A21AE" w:rsidRDefault="002A21AE">
            <w:pPr>
              <w:pStyle w:val="TableTextBullet"/>
            </w:pPr>
            <w:r>
              <w:t>Displays the lot number verification template for each rack selected.</w:t>
            </w:r>
          </w:p>
          <w:p w14:paraId="7A95FBE2" w14:textId="77777777" w:rsidR="002A21AE" w:rsidRDefault="002A21AE">
            <w:pPr>
              <w:pStyle w:val="TableText"/>
            </w:pPr>
          </w:p>
          <w:p w14:paraId="66ECFC25" w14:textId="4A906AE9" w:rsidR="002A21AE" w:rsidRDefault="002A21AE">
            <w:pPr>
              <w:pStyle w:val="TableText"/>
              <w:rPr>
                <w:b/>
                <w:bCs/>
                <w:szCs w:val="18"/>
              </w:rPr>
            </w:pPr>
            <w:r>
              <w:rPr>
                <w:b/>
                <w:bCs/>
                <w:szCs w:val="18"/>
              </w:rPr>
              <w:t>NOTES</w:t>
            </w:r>
          </w:p>
          <w:p w14:paraId="2C91F8C6" w14:textId="77777777" w:rsidR="00A013ED" w:rsidRDefault="00A013ED" w:rsidP="00A013ED">
            <w:pPr>
              <w:pStyle w:val="NotesText"/>
            </w:pPr>
          </w:p>
          <w:p w14:paraId="77019BE4" w14:textId="77777777" w:rsidR="00F233CC" w:rsidRDefault="005C1490" w:rsidP="00F233CC">
            <w:pPr>
              <w:pStyle w:val="NotesText"/>
            </w:pPr>
            <w:r>
              <w:rPr>
                <w:vanish/>
              </w:rPr>
              <w:t>BR_</w:t>
            </w:r>
            <w:r w:rsidRPr="00707B78">
              <w:rPr>
                <w:vanish/>
              </w:rPr>
              <w:t>28.3</w:t>
            </w:r>
            <w:r w:rsidR="00324E04" w:rsidRPr="00707B78">
              <w:rPr>
                <w:vanish/>
              </w:rPr>
              <w:t xml:space="preserve">3 </w:t>
            </w:r>
            <w:r w:rsidRPr="005C1490">
              <w:t>A</w:t>
            </w:r>
            <w:r w:rsidR="00F233CC" w:rsidRPr="005C1490">
              <w:t xml:space="preserve"> </w:t>
            </w:r>
            <w:r>
              <w:t xml:space="preserve">reagent </w:t>
            </w:r>
            <w:r w:rsidR="00F233CC">
              <w:t xml:space="preserve">rack </w:t>
            </w:r>
            <w:r>
              <w:t>is</w:t>
            </w:r>
            <w:r w:rsidR="00F233CC">
              <w:t xml:space="preserve"> displayed on one of three tabs based on its testing status and the daily alert time setting:</w:t>
            </w:r>
          </w:p>
          <w:p w14:paraId="13C68379" w14:textId="77777777" w:rsidR="00F233CC" w:rsidRDefault="00F233CC" w:rsidP="00F233CC">
            <w:pPr>
              <w:pStyle w:val="NotesTextBullet"/>
            </w:pPr>
            <w:r>
              <w:t>Test Rack(s): the current alert time has passed and is/are considered “untested”</w:t>
            </w:r>
          </w:p>
          <w:p w14:paraId="41AE865C" w14:textId="3880B745" w:rsidR="00F233CC" w:rsidRDefault="00F233CC" w:rsidP="00F233CC">
            <w:pPr>
              <w:pStyle w:val="NotesTextBullet"/>
            </w:pPr>
            <w:r>
              <w:t xml:space="preserve">Partially tested: racks that have incomplete test results for the current </w:t>
            </w:r>
            <w:r w:rsidR="002E5AC8">
              <w:t>24-hour</w:t>
            </w:r>
            <w:r>
              <w:t xml:space="preserve"> time clock and are considered “untested”</w:t>
            </w:r>
          </w:p>
          <w:p w14:paraId="5F65433F" w14:textId="77777777" w:rsidR="00F233CC" w:rsidRDefault="00F233CC" w:rsidP="00F233CC">
            <w:pPr>
              <w:pStyle w:val="NotesTextBullet"/>
            </w:pPr>
            <w:r>
              <w:t>Retest Racks: racks that are fully tested within the current alert time and are available for new lot number selection and its testing.</w:t>
            </w:r>
          </w:p>
          <w:p w14:paraId="4AD1C132" w14:textId="77777777" w:rsidR="00503F5E" w:rsidRDefault="00503F5E" w:rsidP="00A013ED">
            <w:pPr>
              <w:pStyle w:val="NotesText"/>
            </w:pPr>
          </w:p>
          <w:p w14:paraId="6BED77EC" w14:textId="77777777" w:rsidR="00F233CC" w:rsidRPr="00503F5E" w:rsidRDefault="00503F5E" w:rsidP="00A013ED">
            <w:pPr>
              <w:pStyle w:val="NotesText"/>
            </w:pPr>
            <w:r w:rsidRPr="00503F5E">
              <w:t>The user may test a rack no earlier than the alert time for the next 24 hours</w:t>
            </w:r>
            <w:r>
              <w:t>.</w:t>
            </w:r>
            <w:r>
              <w:rPr>
                <w:vanish/>
              </w:rPr>
              <w:t xml:space="preserve"> DR 4014</w:t>
            </w:r>
          </w:p>
          <w:p w14:paraId="101E93FF" w14:textId="77777777" w:rsidR="00503F5E" w:rsidRDefault="00503F5E" w:rsidP="00A013ED">
            <w:pPr>
              <w:pStyle w:val="NotesText"/>
            </w:pPr>
          </w:p>
          <w:p w14:paraId="00204979" w14:textId="77777777" w:rsidR="00A013ED" w:rsidRDefault="00A013ED" w:rsidP="00A013ED">
            <w:pPr>
              <w:pStyle w:val="NotesText"/>
            </w:pPr>
            <w:r>
              <w:t>On occasion, a user may save a partially completed QC worksheet and finish it later. The same user or a different user may complete the testing.</w:t>
            </w:r>
          </w:p>
          <w:p w14:paraId="71AF6465" w14:textId="77777777" w:rsidR="00A013ED" w:rsidRDefault="00A013ED" w:rsidP="00A013ED">
            <w:pPr>
              <w:pStyle w:val="NotesText"/>
            </w:pPr>
          </w:p>
          <w:p w14:paraId="70AB74CB" w14:textId="77777777" w:rsidR="00A013ED" w:rsidRDefault="00A013ED" w:rsidP="00A013ED">
            <w:pPr>
              <w:pStyle w:val="NotesText"/>
            </w:pPr>
            <w:r>
              <w:t>The user may retest a rack when a reagent lot number changes after initial testing. VBECS does not allow the user to retest saved valid results.</w:t>
            </w:r>
          </w:p>
          <w:p w14:paraId="7CAC92F1" w14:textId="77777777" w:rsidR="00A013ED" w:rsidRDefault="00A013ED" w:rsidP="00A013ED">
            <w:pPr>
              <w:pStyle w:val="NotesText"/>
              <w:rPr>
                <w:vanish/>
                <w:szCs w:val="18"/>
              </w:rPr>
            </w:pPr>
          </w:p>
          <w:p w14:paraId="038E29DB" w14:textId="77777777" w:rsidR="002A21AE" w:rsidRDefault="002A21AE">
            <w:pPr>
              <w:pStyle w:val="NotesText"/>
            </w:pPr>
            <w:r>
              <w:rPr>
                <w:vanish/>
                <w:szCs w:val="18"/>
              </w:rPr>
              <w:t xml:space="preserve">PT_28.01 </w:t>
            </w:r>
            <w:r>
              <w:t xml:space="preserve">VBECS requires the user to indicate the rack identifier to provide a testing template for each daily reagent rack QC. </w:t>
            </w:r>
          </w:p>
          <w:p w14:paraId="7FE8653C" w14:textId="77777777" w:rsidR="002A21AE" w:rsidRDefault="002A21AE" w:rsidP="00995EAA">
            <w:pPr>
              <w:pStyle w:val="NotesText"/>
            </w:pPr>
          </w:p>
          <w:p w14:paraId="1180B539" w14:textId="77777777" w:rsidR="002A21AE" w:rsidRDefault="002A21AE">
            <w:pPr>
              <w:pStyle w:val="NotesText"/>
            </w:pPr>
            <w:r>
              <w:rPr>
                <w:rFonts w:cs="Arial"/>
                <w:vanish/>
                <w:szCs w:val="18"/>
              </w:rPr>
              <w:t>BR_28.11</w:t>
            </w:r>
            <w:r w:rsidR="00CE3961">
              <w:rPr>
                <w:rFonts w:cs="Arial"/>
                <w:vanish/>
                <w:szCs w:val="18"/>
              </w:rPr>
              <w:t>,</w:t>
            </w:r>
            <w:r>
              <w:rPr>
                <w:rFonts w:cs="Arial"/>
                <w:vanish/>
                <w:szCs w:val="18"/>
              </w:rPr>
              <w:t xml:space="preserve"> </w:t>
            </w:r>
            <w:r>
              <w:rPr>
                <w:vanish/>
                <w:szCs w:val="18"/>
              </w:rPr>
              <w:t xml:space="preserve">BR_28.23 </w:t>
            </w:r>
            <w:r>
              <w:t>Site settings determine reagent types and lot numbers present. VBECS displays only reagent types previously entered for the division using the reagent inventory function. VBECS allows entry of lot numbers only. When VBECS displays lot numbers for selection, it checks the inventory system for the reagent name and lot numbers in use in a rack. VBECS does not offer a reagent with an unsatisfactory value in the “Inspection” field or with a quantity of zero as a selectable reagent. The user cannot force the entry of a lot number that VBECS disallowed on the selection list. The user must choose a different reagent.</w:t>
            </w:r>
          </w:p>
          <w:p w14:paraId="11B4FA17" w14:textId="77777777" w:rsidR="002A21AE" w:rsidRDefault="002A21AE">
            <w:pPr>
              <w:pStyle w:val="NotesText"/>
            </w:pPr>
          </w:p>
          <w:p w14:paraId="66EB088A" w14:textId="77777777" w:rsidR="002A21AE" w:rsidRDefault="002A21AE">
            <w:pPr>
              <w:pStyle w:val="NotesText"/>
            </w:pPr>
            <w:r>
              <w:rPr>
                <w:rFonts w:cs="Arial"/>
                <w:vanish/>
              </w:rPr>
              <w:t xml:space="preserve">BR_28.24 </w:t>
            </w:r>
            <w:r w:rsidR="00D62E87" w:rsidRPr="00896F17">
              <w:rPr>
                <w:rStyle w:val="BullhornChar"/>
              </w:rPr>
              <w:t></w:t>
            </w:r>
            <w:r w:rsidR="00D62E87" w:rsidRPr="00D62E87">
              <w:rPr>
                <w:rFonts w:ascii="Webdings" w:hAnsi="Webdings"/>
              </w:rPr>
              <w:t></w:t>
            </w:r>
            <w:r w:rsidR="00D62E87" w:rsidRPr="00D62E87">
              <w:t>V</w:t>
            </w:r>
            <w:r>
              <w:t>BECS compares the expiration date of each reagent on the selected rack to the testing date, emits an audible alert, and warns when the reagent is expired.</w:t>
            </w:r>
          </w:p>
          <w:p w14:paraId="61B37B36" w14:textId="77777777" w:rsidR="002A21AE" w:rsidRDefault="002A21AE">
            <w:pPr>
              <w:pStyle w:val="NotesText"/>
            </w:pPr>
          </w:p>
          <w:p w14:paraId="3D8AA1BB" w14:textId="77777777" w:rsidR="002A21AE" w:rsidRDefault="002A21AE">
            <w:pPr>
              <w:pStyle w:val="NotesText"/>
            </w:pPr>
            <w:r>
              <w:rPr>
                <w:b/>
              </w:rPr>
              <w:t>Yes</w:t>
            </w:r>
            <w:r>
              <w:t xml:space="preserve"> requires a comment and VBECS captures details for inclusion in an Exception Report (exception type: expired reagent QC’d).</w:t>
            </w:r>
          </w:p>
          <w:p w14:paraId="0A6B57FB" w14:textId="77777777" w:rsidR="002A21AE" w:rsidRDefault="002A21AE">
            <w:pPr>
              <w:pStyle w:val="NotesText"/>
            </w:pPr>
          </w:p>
          <w:p w14:paraId="531AF1E1" w14:textId="77777777" w:rsidR="002A21AE" w:rsidRDefault="002A21AE">
            <w:pPr>
              <w:pStyle w:val="NotesText"/>
            </w:pPr>
            <w:r>
              <w:rPr>
                <w:b/>
              </w:rPr>
              <w:t>No</w:t>
            </w:r>
            <w:r>
              <w:t xml:space="preserve"> removes the unsatisfactory reagent from the daily QC rack. The user must select a new one. VBECS does not display unsatisfactory lot numbers.</w:t>
            </w:r>
          </w:p>
          <w:p w14:paraId="4BBE1955" w14:textId="77777777" w:rsidR="002A21AE" w:rsidRDefault="002A21AE">
            <w:pPr>
              <w:pStyle w:val="NotesText"/>
            </w:pPr>
          </w:p>
          <w:p w14:paraId="56DEAE7D" w14:textId="77777777" w:rsidR="002A21AE" w:rsidRDefault="002A21AE">
            <w:pPr>
              <w:pStyle w:val="NotesText"/>
            </w:pPr>
            <w:r>
              <w:rPr>
                <w:rFonts w:cs="Arial"/>
                <w:vanish/>
              </w:rPr>
              <w:t xml:space="preserve">BR_28.32 </w:t>
            </w:r>
            <w:r>
              <w:t>The user may enter the lot numbers of the reagents used for the daily QC rack and the lot numbers of the enhancement media reagents defined in Configure Daily QC. VBECS does not display these reagents on the reaction results grid for a rack.</w:t>
            </w:r>
          </w:p>
        </w:tc>
      </w:tr>
      <w:tr w:rsidR="002A21AE" w14:paraId="260979B4"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15E5864D" w14:textId="2135E4A3" w:rsidR="002A21AE" w:rsidRDefault="002A21AE">
            <w:pPr>
              <w:pStyle w:val="TableTextNumbers"/>
            </w:pPr>
            <w:r>
              <w:lastRenderedPageBreak/>
              <w:t>Select a wo</w:t>
            </w:r>
            <w:r w:rsidR="0086218A">
              <w:t>rksheet to complete the testing</w:t>
            </w:r>
            <w:r w:rsidR="00F20BC5">
              <w:t xml:space="preserve"> (</w:t>
            </w:r>
            <w:r w:rsidR="00957095">
              <w:fldChar w:fldCharType="begin"/>
            </w:r>
            <w:r w:rsidR="00957095">
              <w:instrText xml:space="preserve"> REF _Ref126641476 \h </w:instrText>
            </w:r>
            <w:r w:rsidR="00957095">
              <w:fldChar w:fldCharType="separate"/>
            </w:r>
            <w:r w:rsidR="004353ED">
              <w:t xml:space="preserve">Figure </w:t>
            </w:r>
            <w:r w:rsidR="004353ED">
              <w:rPr>
                <w:noProof/>
              </w:rPr>
              <w:t>59</w:t>
            </w:r>
            <w:r w:rsidR="00957095">
              <w:fldChar w:fldCharType="end"/>
            </w:r>
            <w:r w:rsidR="00F20BC5">
              <w:t>)</w:t>
            </w:r>
            <w:r w:rsidR="0086218A">
              <w:t>, or</w:t>
            </w:r>
          </w:p>
          <w:p w14:paraId="215DEDB3" w14:textId="77777777" w:rsidR="0086218A" w:rsidRDefault="0086218A" w:rsidP="0086218A">
            <w:pPr>
              <w:pStyle w:val="TableTextNumbersContinued"/>
            </w:pPr>
          </w:p>
          <w:p w14:paraId="2B74A892" w14:textId="77777777" w:rsidR="002A21AE" w:rsidRDefault="0086218A" w:rsidP="001D6DF1">
            <w:pPr>
              <w:pStyle w:val="TableTextNumbersContinued"/>
            </w:pPr>
            <w:r>
              <w:rPr>
                <w:rFonts w:cs="Arial"/>
                <w:vanish/>
              </w:rPr>
              <w:t xml:space="preserve">BR_28.05 </w:t>
            </w:r>
            <w:r>
              <w:t xml:space="preserve">Click the </w:t>
            </w:r>
            <w:r w:rsidRPr="0086218A">
              <w:rPr>
                <w:b/>
              </w:rPr>
              <w:t xml:space="preserve">Rack not in use today </w:t>
            </w:r>
            <w:r w:rsidRPr="00D1100E">
              <w:t>check box</w:t>
            </w:r>
            <w:r>
              <w:t xml:space="preserve"> to indicate that testing of a rack will not be performed.</w:t>
            </w:r>
          </w:p>
          <w:p w14:paraId="3573B9E3" w14:textId="77777777" w:rsidR="006D3D24" w:rsidRDefault="006D3D24" w:rsidP="001D6DF1">
            <w:pPr>
              <w:pStyle w:val="TableTextNumbersContinued"/>
            </w:pPr>
          </w:p>
          <w:p w14:paraId="33AF12EE" w14:textId="77777777" w:rsidR="006D3D24" w:rsidRPr="006D3D24" w:rsidRDefault="006D3D24" w:rsidP="006D3D24">
            <w:pPr>
              <w:pStyle w:val="TableTextNumbersContinued"/>
            </w:pPr>
            <w:r>
              <w:rPr>
                <w:vanish/>
              </w:rPr>
              <w:t xml:space="preserve">BR_28.34 </w:t>
            </w:r>
            <w:r>
              <w:t xml:space="preserve">Click the </w:t>
            </w:r>
            <w:r>
              <w:rPr>
                <w:b/>
              </w:rPr>
              <w:t>QC Testing Documentation Offline</w:t>
            </w:r>
            <w:r>
              <w:t xml:space="preserve"> check box to acknowledge QC is not performed in VBECS but has been properly documented.</w:t>
            </w:r>
            <w:r w:rsidR="00D827B9">
              <w:t xml:space="preserve"> Click </w:t>
            </w:r>
            <w:r w:rsidR="00D827B9" w:rsidRPr="00D827B9">
              <w:rPr>
                <w:b/>
              </w:rPr>
              <w:t>Yes</w:t>
            </w:r>
            <w:r w:rsidR="00D827B9">
              <w:t xml:space="preserve"> to save changes. Close the window.</w:t>
            </w:r>
          </w:p>
        </w:tc>
        <w:tc>
          <w:tcPr>
            <w:tcW w:w="6356" w:type="dxa"/>
            <w:tcBorders>
              <w:top w:val="single" w:sz="4" w:space="0" w:color="auto"/>
              <w:left w:val="single" w:sz="4" w:space="0" w:color="auto"/>
              <w:bottom w:val="single" w:sz="4" w:space="0" w:color="auto"/>
              <w:right w:val="single" w:sz="4" w:space="0" w:color="auto"/>
            </w:tcBorders>
          </w:tcPr>
          <w:p w14:paraId="5E7609A7" w14:textId="77777777" w:rsidR="002A21AE" w:rsidRDefault="002A21AE">
            <w:pPr>
              <w:pStyle w:val="TableTextBullet"/>
            </w:pPr>
            <w:r>
              <w:t>Displays the selected worksheet.</w:t>
            </w:r>
          </w:p>
          <w:p w14:paraId="715D39A9" w14:textId="77777777" w:rsidR="002A21AE" w:rsidRDefault="002A21AE">
            <w:pPr>
              <w:pStyle w:val="TableTextBullet"/>
            </w:pPr>
            <w:r>
              <w:t>Displays the selected partially completed worksheet with the option to cancel the worksheet or continue to enter more testing information.</w:t>
            </w:r>
          </w:p>
          <w:p w14:paraId="2079FB1D" w14:textId="77777777" w:rsidR="002A21AE" w:rsidRDefault="002A21AE">
            <w:pPr>
              <w:pStyle w:val="TableText"/>
            </w:pPr>
          </w:p>
          <w:p w14:paraId="02A33E9D" w14:textId="216236AD" w:rsidR="002A21AE" w:rsidRDefault="002A21AE">
            <w:pPr>
              <w:pStyle w:val="TableText"/>
              <w:rPr>
                <w:b/>
                <w:bCs/>
                <w:szCs w:val="18"/>
              </w:rPr>
            </w:pPr>
            <w:r>
              <w:rPr>
                <w:b/>
                <w:bCs/>
                <w:szCs w:val="18"/>
              </w:rPr>
              <w:t>NOTES</w:t>
            </w:r>
          </w:p>
          <w:p w14:paraId="4BA5AD8E" w14:textId="77777777" w:rsidR="002A21AE" w:rsidRDefault="002A21AE">
            <w:pPr>
              <w:pStyle w:val="NotesText"/>
            </w:pPr>
          </w:p>
          <w:p w14:paraId="2DFFF3FC" w14:textId="77777777" w:rsidR="00CF0BDB" w:rsidRDefault="006D3D24">
            <w:pPr>
              <w:pStyle w:val="NotesText"/>
              <w:rPr>
                <w:rFonts w:cs="Arial"/>
              </w:rPr>
            </w:pPr>
            <w:r>
              <w:rPr>
                <w:rFonts w:cs="Arial"/>
              </w:rPr>
              <w:t xml:space="preserve">When the QC Testing Documentation Offline check box is checked </w:t>
            </w:r>
            <w:r w:rsidR="00CF0BDB">
              <w:rPr>
                <w:rFonts w:cs="Arial"/>
              </w:rPr>
              <w:t>for a reagent rack</w:t>
            </w:r>
            <w:r w:rsidR="00FE130E">
              <w:rPr>
                <w:rFonts w:cs="Arial"/>
              </w:rPr>
              <w:t>,</w:t>
            </w:r>
            <w:r w:rsidR="00CF0BDB">
              <w:rPr>
                <w:rFonts w:cs="Arial"/>
              </w:rPr>
              <w:t xml:space="preserve"> VBECS allows the rack to be used for patient testing until the next daily alert time.</w:t>
            </w:r>
          </w:p>
          <w:p w14:paraId="4F3FDB65" w14:textId="77777777" w:rsidR="006D3D24" w:rsidRPr="006D3D24" w:rsidRDefault="006D3D24">
            <w:pPr>
              <w:pStyle w:val="NotesText"/>
              <w:rPr>
                <w:rFonts w:cs="Arial"/>
              </w:rPr>
            </w:pPr>
            <w:r>
              <w:rPr>
                <w:rFonts w:cs="Arial"/>
              </w:rPr>
              <w:t xml:space="preserve"> </w:t>
            </w:r>
          </w:p>
          <w:p w14:paraId="5FD08B27" w14:textId="77777777" w:rsidR="002A21AE" w:rsidRDefault="00E10815">
            <w:pPr>
              <w:pStyle w:val="NotesText"/>
            </w:pPr>
            <w:r>
              <w:t>The primary lot number can be tested and changed and the results for both will display on the Testing Worklist Report.</w:t>
            </w:r>
          </w:p>
          <w:p w14:paraId="5E7752B9" w14:textId="77777777" w:rsidR="002A21AE" w:rsidRDefault="002A21AE">
            <w:pPr>
              <w:pStyle w:val="NotesText"/>
            </w:pPr>
          </w:p>
          <w:p w14:paraId="22AD7134" w14:textId="77777777" w:rsidR="002A21AE" w:rsidRDefault="00D62E87">
            <w:pPr>
              <w:pStyle w:val="NotesText"/>
            </w:pPr>
            <w:r w:rsidRPr="00896F17">
              <w:rPr>
                <w:rStyle w:val="BullhornChar"/>
              </w:rPr>
              <w:t></w:t>
            </w:r>
            <w:r w:rsidRPr="00D62E87">
              <w:rPr>
                <w:rFonts w:ascii="Webdings" w:hAnsi="Webdings"/>
              </w:rPr>
              <w:t></w:t>
            </w:r>
            <w:r w:rsidR="002A21AE">
              <w:t>A user may cancel or invalidate a partially completed QC rack worksheet when it is available. VBECS emits an audible alert and warns that invalidating this worksheet will necessitate starting over and asks whether the user wishes to continue.</w:t>
            </w:r>
          </w:p>
          <w:p w14:paraId="72DCA43D" w14:textId="77777777" w:rsidR="002A21AE" w:rsidRDefault="002A21AE">
            <w:pPr>
              <w:pStyle w:val="NotesText"/>
            </w:pPr>
          </w:p>
          <w:p w14:paraId="1595BBE3" w14:textId="77777777" w:rsidR="002A21AE" w:rsidRDefault="002A21AE">
            <w:pPr>
              <w:pStyle w:val="NotesText"/>
            </w:pPr>
            <w:r>
              <w:rPr>
                <w:b/>
              </w:rPr>
              <w:t>No</w:t>
            </w:r>
            <w:r>
              <w:t xml:space="preserve"> returns the user to the partially partially-completed worksheet. </w:t>
            </w:r>
          </w:p>
          <w:p w14:paraId="2C55B388" w14:textId="77777777" w:rsidR="002A21AE" w:rsidRDefault="002A21AE">
            <w:pPr>
              <w:pStyle w:val="NotesText"/>
            </w:pPr>
            <w:r>
              <w:rPr>
                <w:b/>
              </w:rPr>
              <w:t>Yes</w:t>
            </w:r>
            <w:r>
              <w:t xml:space="preserve"> invalidates the worksheet. VBECS does not delete reaction results from the database. </w:t>
            </w:r>
          </w:p>
          <w:p w14:paraId="6ED5277E" w14:textId="77777777" w:rsidR="002A21AE" w:rsidRDefault="002A21AE">
            <w:pPr>
              <w:pStyle w:val="NotesText"/>
            </w:pPr>
          </w:p>
          <w:p w14:paraId="02590ABB" w14:textId="77777777" w:rsidR="002A21AE" w:rsidRDefault="002A21AE">
            <w:pPr>
              <w:pStyle w:val="NotesText"/>
            </w:pPr>
            <w:r>
              <w:t>An Exception Report comment documents the invalidation of the rack’s worksheet. VBECS does not record workload calculation for invalidated testing. The invalidated reaction results and associated testing information remain in the database for future retrieval (exception type: deletion of partially completed QC).</w:t>
            </w:r>
          </w:p>
          <w:p w14:paraId="2CFD6873" w14:textId="77777777" w:rsidR="002A21AE" w:rsidRDefault="002A21AE">
            <w:pPr>
              <w:pStyle w:val="NotesText"/>
            </w:pPr>
          </w:p>
          <w:p w14:paraId="109CC652" w14:textId="77777777" w:rsidR="002A21AE" w:rsidRDefault="002A21AE">
            <w:pPr>
              <w:pStyle w:val="NotesText"/>
            </w:pPr>
            <w:r>
              <w:rPr>
                <w:rFonts w:cs="Arial"/>
                <w:vanish/>
              </w:rPr>
              <w:t xml:space="preserve">BR_28.12 </w:t>
            </w:r>
            <w:r w:rsidR="00D62E87" w:rsidRPr="00896F17">
              <w:rPr>
                <w:rStyle w:val="BullhornChar"/>
              </w:rPr>
              <w:t></w:t>
            </w:r>
            <w:r w:rsidR="00D62E87" w:rsidRPr="00D62E87">
              <w:rPr>
                <w:rFonts w:ascii="Webdings" w:hAnsi="Webdings"/>
              </w:rPr>
              <w:t></w:t>
            </w:r>
            <w:r w:rsidR="00D62E87" w:rsidRPr="00D62E87">
              <w:t>V</w:t>
            </w:r>
            <w:r>
              <w:t xml:space="preserve">BECS compares the results entered to those of the previous day for the same rack number and alerts the user when there is a </w:t>
            </w:r>
            <w:r w:rsidR="001F4C96">
              <w:t>change</w:t>
            </w:r>
            <w:r>
              <w:t xml:space="preserve"> in reactivity of two or more </w:t>
            </w:r>
            <w:r w:rsidR="001F4C96">
              <w:t>or when the result is changed from positive to negative</w:t>
            </w:r>
            <w:r>
              <w:t xml:space="preserve"> for each reagent type by lot number. VBECS </w:t>
            </w:r>
            <w:r>
              <w:rPr>
                <w:noProof/>
              </w:rPr>
              <w:t>emits an audible a</w:t>
            </w:r>
            <w:r w:rsidR="000C0766">
              <w:rPr>
                <w:noProof/>
              </w:rPr>
              <w:t xml:space="preserve">lert and warns that there is a </w:t>
            </w:r>
            <w:r w:rsidR="000C0766">
              <w:t>decrease</w:t>
            </w:r>
            <w:r>
              <w:t xml:space="preserve"> in reagent reactivity of two or more and asks whether the user wishes to continue to use this vial.</w:t>
            </w:r>
          </w:p>
          <w:p w14:paraId="6970E74B" w14:textId="77777777" w:rsidR="002A21AE" w:rsidRDefault="002A21AE">
            <w:pPr>
              <w:pStyle w:val="NotesText"/>
            </w:pPr>
          </w:p>
          <w:p w14:paraId="2B66083B" w14:textId="77777777" w:rsidR="002A21AE" w:rsidRDefault="002A21AE">
            <w:pPr>
              <w:pStyle w:val="NotesText"/>
            </w:pPr>
            <w:r>
              <w:rPr>
                <w:b/>
              </w:rPr>
              <w:t>Yes</w:t>
            </w:r>
            <w:r>
              <w:t xml:space="preserve"> allows the user to continue and requires a comment. VBECS captures details for inclusion in an Exception Report and allows this reagent to be used with the change (within acceptable limits) (exception type: QC decrease reagent reactivity </w:t>
            </w:r>
            <w:r w:rsidR="00DE5EF3" w:rsidRPr="00DE5EF3">
              <w:rPr>
                <w:rStyle w:val="Char"/>
                <w:rFonts w:cs="Arial"/>
                <w:sz w:val="18"/>
                <w:szCs w:val="18"/>
              </w:rPr>
              <w:t>≥</w:t>
            </w:r>
            <w:r>
              <w:t>2).</w:t>
            </w:r>
            <w:r w:rsidR="00DE5EF3">
              <w:t xml:space="preserve"> </w:t>
            </w:r>
          </w:p>
          <w:p w14:paraId="04568D10" w14:textId="77777777" w:rsidR="002A21AE" w:rsidRDefault="002A21AE">
            <w:pPr>
              <w:pStyle w:val="NotesText"/>
            </w:pPr>
          </w:p>
          <w:p w14:paraId="076E592F" w14:textId="77777777" w:rsidR="002A21AE" w:rsidRDefault="002A21AE">
            <w:pPr>
              <w:pStyle w:val="NotesText"/>
            </w:pPr>
            <w:r>
              <w:rPr>
                <w:b/>
              </w:rPr>
              <w:t>No</w:t>
            </w:r>
            <w:r>
              <w:t xml:space="preserve"> allows the user to return to the lot number entry for this reagent type and approve this lot number (different vial) or enter a new lot number. VBECS returns to the testing worksheet where the user left off. (An individual vial of the same lot number may replace the one losing its reactivity.)</w:t>
            </w:r>
          </w:p>
          <w:p w14:paraId="2F6026A8" w14:textId="77777777" w:rsidR="002A21AE" w:rsidRDefault="002A21AE">
            <w:pPr>
              <w:pStyle w:val="NotesText"/>
            </w:pPr>
          </w:p>
          <w:p w14:paraId="16B7D8EB" w14:textId="77777777" w:rsidR="002A21AE" w:rsidRDefault="002A21AE">
            <w:pPr>
              <w:pStyle w:val="NotesText"/>
            </w:pPr>
            <w:r>
              <w:rPr>
                <w:rFonts w:cs="Arial"/>
                <w:vanish/>
              </w:rPr>
              <w:t>BR_28.30</w:t>
            </w:r>
            <w:r w:rsidR="00C852BF">
              <w:rPr>
                <w:rFonts w:cs="Arial"/>
                <w:vanish/>
              </w:rPr>
              <w:t>,</w:t>
            </w:r>
            <w:r>
              <w:rPr>
                <w:rFonts w:cs="Arial"/>
                <w:vanish/>
              </w:rPr>
              <w:t xml:space="preserve"> </w:t>
            </w:r>
            <w:r w:rsidR="00C852BF">
              <w:rPr>
                <w:rFonts w:cs="Arial"/>
                <w:vanish/>
              </w:rPr>
              <w:t>BR_28.31</w:t>
            </w:r>
            <w:r>
              <w:t xml:space="preserve">The </w:t>
            </w:r>
            <w:r w:rsidR="00C377F3">
              <w:t>s</w:t>
            </w:r>
            <w:r>
              <w:t xml:space="preserve">creening </w:t>
            </w:r>
            <w:r w:rsidR="00C377F3">
              <w:t>c</w:t>
            </w:r>
            <w:r w:rsidR="00F20BC5">
              <w:t>ell</w:t>
            </w:r>
            <w:r w:rsidR="00462FB1">
              <w:t xml:space="preserve"> and reverse typing</w:t>
            </w:r>
            <w:r>
              <w:t xml:space="preserve"> reagents are delivered in set</w:t>
            </w:r>
            <w:r w:rsidR="00462FB1">
              <w:t>s</w:t>
            </w:r>
            <w:r>
              <w:t xml:space="preserve"> and share the same lot number; therefore, VBECS displays only one reagent type on the lot number template.</w:t>
            </w:r>
          </w:p>
        </w:tc>
      </w:tr>
      <w:tr w:rsidR="002A21AE" w14:paraId="7C6BD218" w14:textId="77777777" w:rsidTr="007E500E">
        <w:trPr>
          <w:cantSplit/>
        </w:trPr>
        <w:tc>
          <w:tcPr>
            <w:tcW w:w="3240" w:type="dxa"/>
          </w:tcPr>
          <w:p w14:paraId="548EA90F" w14:textId="77777777" w:rsidR="00A83F42" w:rsidRDefault="00A83F42" w:rsidP="00A83F42">
            <w:pPr>
              <w:pStyle w:val="TableTextNumbers"/>
            </w:pPr>
            <w:r>
              <w:lastRenderedPageBreak/>
              <w:t>Verify or select from the drop-down menu the reagent type lot number and test method for each rack chosen for processing.</w:t>
            </w:r>
          </w:p>
          <w:p w14:paraId="7FF886E7" w14:textId="77777777" w:rsidR="00107CEB" w:rsidRDefault="00107CEB" w:rsidP="00107CEB">
            <w:pPr>
              <w:pStyle w:val="TableTextNumbersContinued"/>
            </w:pPr>
          </w:p>
          <w:p w14:paraId="7C5C3FAE" w14:textId="77777777" w:rsidR="00107CEB" w:rsidRDefault="00A83F42" w:rsidP="00107CEB">
            <w:pPr>
              <w:pStyle w:val="TableTextNumbersContinued"/>
            </w:pPr>
            <w:r>
              <w:t xml:space="preserve">Click </w:t>
            </w:r>
            <w:r w:rsidRPr="001272CA">
              <w:rPr>
                <w:b/>
              </w:rPr>
              <w:t>OK</w:t>
            </w:r>
            <w:r>
              <w:t>.</w:t>
            </w:r>
          </w:p>
          <w:p w14:paraId="7A03E879" w14:textId="77777777" w:rsidR="00107CEB" w:rsidRDefault="00107CEB" w:rsidP="00A83F42">
            <w:pPr>
              <w:pStyle w:val="TableTextNumbersContinued"/>
            </w:pPr>
          </w:p>
        </w:tc>
        <w:tc>
          <w:tcPr>
            <w:tcW w:w="6356" w:type="dxa"/>
          </w:tcPr>
          <w:p w14:paraId="02FA6A50" w14:textId="77777777" w:rsidR="00A83F42" w:rsidRDefault="00A83F42" w:rsidP="00A83F42">
            <w:pPr>
              <w:pStyle w:val="TableTextBullet"/>
            </w:pPr>
            <w:r>
              <w:t xml:space="preserve">Displays the lot numbers and expiration dates for verification, if any. </w:t>
            </w:r>
          </w:p>
          <w:p w14:paraId="5BCD3862" w14:textId="77777777" w:rsidR="00687D72" w:rsidRDefault="00687D72" w:rsidP="00A83F42">
            <w:pPr>
              <w:pStyle w:val="TableTextBullet"/>
            </w:pPr>
            <w:r>
              <w:t>Displays each rack in its own tab.</w:t>
            </w:r>
          </w:p>
          <w:p w14:paraId="6AF8DFB8" w14:textId="77777777" w:rsidR="00A83F42" w:rsidRDefault="00A83F42" w:rsidP="00A83F42">
            <w:pPr>
              <w:pStyle w:val="TableText"/>
            </w:pPr>
          </w:p>
          <w:p w14:paraId="68AB77B3" w14:textId="4FD85001" w:rsidR="00A83F42" w:rsidRDefault="00A83F42" w:rsidP="00A83F42">
            <w:pPr>
              <w:pStyle w:val="TableText"/>
              <w:rPr>
                <w:b/>
                <w:bCs/>
                <w:szCs w:val="18"/>
              </w:rPr>
            </w:pPr>
            <w:r>
              <w:rPr>
                <w:b/>
                <w:bCs/>
                <w:szCs w:val="18"/>
              </w:rPr>
              <w:t>NOTES</w:t>
            </w:r>
          </w:p>
          <w:p w14:paraId="151BF090" w14:textId="77777777" w:rsidR="00A83F42" w:rsidRDefault="00A83F42" w:rsidP="00A83F42">
            <w:pPr>
              <w:pStyle w:val="NotesText"/>
            </w:pPr>
          </w:p>
          <w:p w14:paraId="6BE87251" w14:textId="77777777" w:rsidR="00A83F42" w:rsidRDefault="00A83F42" w:rsidP="00A83F42">
            <w:pPr>
              <w:pStyle w:val="NotesText"/>
            </w:pPr>
            <w:r>
              <w:rPr>
                <w:vanish/>
                <w:szCs w:val="18"/>
              </w:rPr>
              <w:t>BR_28.02</w:t>
            </w:r>
            <w:r w:rsidR="00CE3961">
              <w:rPr>
                <w:vanish/>
                <w:szCs w:val="18"/>
              </w:rPr>
              <w:t>,</w:t>
            </w:r>
            <w:r>
              <w:rPr>
                <w:vanish/>
                <w:szCs w:val="18"/>
              </w:rPr>
              <w:t xml:space="preserve"> BR_28.03 </w:t>
            </w:r>
            <w:r>
              <w:t xml:space="preserve">VBECS allows for one lot number entry per reagent type per rack template. </w:t>
            </w:r>
          </w:p>
          <w:p w14:paraId="4F767B7F" w14:textId="77777777" w:rsidR="00A83F42" w:rsidRDefault="00A83F42" w:rsidP="00A83F42">
            <w:pPr>
              <w:pStyle w:val="NotesText"/>
              <w:rPr>
                <w:rFonts w:cs="Arial"/>
                <w:vanish/>
              </w:rPr>
            </w:pPr>
          </w:p>
          <w:p w14:paraId="0F6C8A89" w14:textId="77777777" w:rsidR="002A21AE" w:rsidRDefault="00A83F42" w:rsidP="00A83F42">
            <w:pPr>
              <w:pStyle w:val="NotesText"/>
            </w:pPr>
            <w:r>
              <w:rPr>
                <w:rFonts w:cs="Arial"/>
                <w:vanish/>
              </w:rPr>
              <w:t xml:space="preserve">BR_28.13 </w:t>
            </w:r>
            <w:r>
              <w:t xml:space="preserve">When an entry was made, VBECS fills in the reagent type lot number, the expiration date of that lot number, and the manufacturer. The user may edit the lot number. </w:t>
            </w:r>
            <w:r w:rsidR="002A21AE">
              <w:t>The user must verify the lot numbers of racks in the selected batch before VBECS allows the user to move to the reaction results grids.</w:t>
            </w:r>
          </w:p>
          <w:p w14:paraId="520B639D" w14:textId="77777777" w:rsidR="002A21AE" w:rsidRDefault="002A21AE">
            <w:pPr>
              <w:pStyle w:val="NotesText"/>
            </w:pPr>
          </w:p>
          <w:p w14:paraId="19F96092" w14:textId="77777777" w:rsidR="002A21AE" w:rsidRDefault="002A21AE">
            <w:pPr>
              <w:pStyle w:val="NotesText"/>
            </w:pPr>
            <w:r>
              <w:rPr>
                <w:rFonts w:cs="Arial"/>
                <w:vanish/>
              </w:rPr>
              <w:t xml:space="preserve">BR_28.15 </w:t>
            </w:r>
            <w:r>
              <w:t xml:space="preserve">Each reagent rack has a separate reaction results grid to collect the user’s direct observations. </w:t>
            </w:r>
            <w:r>
              <w:rPr>
                <w:vanish/>
                <w:szCs w:val="18"/>
              </w:rPr>
              <w:t>See PT_28.02 Commercial QC Kit in Use and PT_28.03 Non-Commercial Daily QC Template.</w:t>
            </w:r>
          </w:p>
          <w:p w14:paraId="0EFA6F0C" w14:textId="77777777" w:rsidR="002A21AE" w:rsidRDefault="002A21AE">
            <w:pPr>
              <w:pStyle w:val="NotesText"/>
            </w:pPr>
          </w:p>
          <w:p w14:paraId="3882E711" w14:textId="77777777" w:rsidR="002A21AE" w:rsidRDefault="002A21AE">
            <w:pPr>
              <w:pStyle w:val="NotesText"/>
              <w:rPr>
                <w:vanish/>
                <w:szCs w:val="18"/>
              </w:rPr>
            </w:pPr>
            <w:r>
              <w:rPr>
                <w:rFonts w:cs="Arial"/>
                <w:vanish/>
              </w:rPr>
              <w:t xml:space="preserve">BR_51.10 </w:t>
            </w:r>
            <w:r>
              <w:t>VBECS displays reagent types (except for the gel and the instrument lot numbers) listed as REQUIRED (by VBECS or by the user) in the daily use field on the rack lot number template and the reaction result entry worksheet for each rack in Enter Daily QC Results.</w:t>
            </w:r>
          </w:p>
          <w:p w14:paraId="10E74A80" w14:textId="77777777" w:rsidR="00DF355E" w:rsidRDefault="00DF355E" w:rsidP="00DF355E">
            <w:pPr>
              <w:pStyle w:val="NotesText"/>
            </w:pPr>
          </w:p>
          <w:p w14:paraId="1421C361" w14:textId="77777777" w:rsidR="00DF355E" w:rsidRDefault="00DF355E" w:rsidP="00DF355E">
            <w:pPr>
              <w:pStyle w:val="NotesText"/>
            </w:pPr>
            <w:r>
              <w:rPr>
                <w:vanish/>
                <w:szCs w:val="18"/>
              </w:rPr>
              <w:t>BR_28.06</w:t>
            </w:r>
            <w:r w:rsidR="00CE3961">
              <w:rPr>
                <w:vanish/>
                <w:szCs w:val="18"/>
              </w:rPr>
              <w:t>,</w:t>
            </w:r>
            <w:r>
              <w:rPr>
                <w:vanish/>
                <w:szCs w:val="18"/>
              </w:rPr>
              <w:t xml:space="preserve"> BR_28.07 </w:t>
            </w:r>
            <w:r>
              <w:t xml:space="preserve">When a rack is tested, VBECS displays a retest option at the daily reagent QC prompt with the untested rack numbers. When a user requests to retest a rack on a given date, VBECS displays the option to reenter a lot number for reagent types for all or part of the daily QC with a comment. All other reagent type results previously entered are locked and may not be edited. VBECS saves the new information and the original data, then generates a report entry. </w:t>
            </w:r>
          </w:p>
          <w:p w14:paraId="6E512086" w14:textId="77777777" w:rsidR="00DF355E" w:rsidRDefault="00DF355E" w:rsidP="00DF355E">
            <w:pPr>
              <w:pStyle w:val="NotesText"/>
            </w:pPr>
          </w:p>
          <w:p w14:paraId="3959AF0A" w14:textId="77777777" w:rsidR="00DF355E" w:rsidRDefault="00DF355E" w:rsidP="00DF355E">
            <w:pPr>
              <w:pStyle w:val="NotesText"/>
            </w:pPr>
            <w:r>
              <w:t>When a user changes a reagent lot number, VBECS clears the testing template for that reagent type and allows the user to enter new results.</w:t>
            </w:r>
          </w:p>
          <w:p w14:paraId="409CDDF0" w14:textId="77777777" w:rsidR="00DF355E" w:rsidRDefault="00DF355E">
            <w:pPr>
              <w:pStyle w:val="NotesText"/>
              <w:rPr>
                <w:vanish/>
                <w:szCs w:val="18"/>
              </w:rPr>
            </w:pPr>
          </w:p>
          <w:p w14:paraId="5CFB08B7" w14:textId="77777777" w:rsidR="002A21AE" w:rsidRDefault="002A21AE">
            <w:pPr>
              <w:pStyle w:val="NotesText"/>
              <w:rPr>
                <w:vanish/>
                <w:szCs w:val="18"/>
              </w:rPr>
            </w:pPr>
            <w:r>
              <w:rPr>
                <w:vanish/>
                <w:szCs w:val="18"/>
              </w:rPr>
              <w:t xml:space="preserve">TT_28.01 Daily QC Using a Commercial QC Template or PT_28.02 Commercial QC Kit </w:t>
            </w:r>
          </w:p>
          <w:p w14:paraId="258A4E17" w14:textId="77777777" w:rsidR="002A21AE" w:rsidRDefault="002A21AE">
            <w:pPr>
              <w:pStyle w:val="NotesText"/>
              <w:rPr>
                <w:vanish/>
                <w:szCs w:val="18"/>
              </w:rPr>
            </w:pPr>
          </w:p>
          <w:p w14:paraId="45E29AA0" w14:textId="77777777" w:rsidR="002A21AE" w:rsidRDefault="002A21AE">
            <w:pPr>
              <w:pStyle w:val="NotesText"/>
              <w:rPr>
                <w:vanish/>
                <w:szCs w:val="18"/>
              </w:rPr>
            </w:pPr>
            <w:r>
              <w:rPr>
                <w:vanish/>
                <w:szCs w:val="18"/>
              </w:rPr>
              <w:t>TT_28.02 Daily QC Using Non-Commercial QC Template</w:t>
            </w:r>
          </w:p>
          <w:p w14:paraId="2152D6E6" w14:textId="77777777" w:rsidR="002A21AE" w:rsidRDefault="002A21AE">
            <w:pPr>
              <w:pStyle w:val="NotesText"/>
              <w:rPr>
                <w:vanish/>
                <w:szCs w:val="18"/>
              </w:rPr>
            </w:pPr>
          </w:p>
          <w:p w14:paraId="020B092E" w14:textId="77777777" w:rsidR="002A21AE" w:rsidRDefault="002A21AE">
            <w:pPr>
              <w:pStyle w:val="NotesText"/>
            </w:pPr>
            <w:r>
              <w:rPr>
                <w:vanish/>
                <w:szCs w:val="18"/>
              </w:rPr>
              <w:t>PT_28.03 Non-Commercial Daily QC Template</w:t>
            </w:r>
          </w:p>
        </w:tc>
      </w:tr>
      <w:tr w:rsidR="002A21AE" w14:paraId="2B4763C8" w14:textId="77777777" w:rsidTr="007E500E">
        <w:trPr>
          <w:cantSplit/>
        </w:trPr>
        <w:tc>
          <w:tcPr>
            <w:tcW w:w="3240" w:type="dxa"/>
          </w:tcPr>
          <w:p w14:paraId="4F67DF40" w14:textId="67C313FA" w:rsidR="002A21AE" w:rsidRDefault="002A21AE">
            <w:pPr>
              <w:pStyle w:val="TableTextNumbers"/>
            </w:pPr>
            <w:r>
              <w:lastRenderedPageBreak/>
              <w:t>Enter the observed serologic reacti</w:t>
            </w:r>
            <w:r w:rsidR="009C1A31">
              <w:t>ons</w:t>
            </w:r>
            <w:r w:rsidR="00462FB1">
              <w:t xml:space="preserve"> (</w:t>
            </w:r>
            <w:r w:rsidR="00462FB1">
              <w:fldChar w:fldCharType="begin"/>
            </w:r>
            <w:r w:rsidR="00462FB1">
              <w:instrText xml:space="preserve"> REF _Ref126642061 \h </w:instrText>
            </w:r>
            <w:r w:rsidR="00462FB1">
              <w:fldChar w:fldCharType="separate"/>
            </w:r>
            <w:r w:rsidR="004353ED">
              <w:t xml:space="preserve">Figure </w:t>
            </w:r>
            <w:r w:rsidR="004353ED">
              <w:rPr>
                <w:noProof/>
              </w:rPr>
              <w:t>60</w:t>
            </w:r>
            <w:r w:rsidR="00462FB1">
              <w:fldChar w:fldCharType="end"/>
            </w:r>
            <w:r w:rsidR="00462FB1">
              <w:t>)</w:t>
            </w:r>
            <w:r>
              <w:t>.</w:t>
            </w:r>
          </w:p>
          <w:p w14:paraId="5EEC86D2" w14:textId="77777777" w:rsidR="007D23B5" w:rsidRDefault="007D23B5" w:rsidP="007D23B5">
            <w:pPr>
              <w:pStyle w:val="TableTextNumbersContinued"/>
            </w:pPr>
          </w:p>
          <w:p w14:paraId="32FD07B2" w14:textId="77777777" w:rsidR="007D23B5" w:rsidRDefault="007D23B5" w:rsidP="007D23B5">
            <w:pPr>
              <w:pStyle w:val="TableTextNumbersContinued"/>
            </w:pPr>
            <w:r>
              <w:t xml:space="preserve">Click </w:t>
            </w:r>
            <w:r w:rsidRPr="007D23B5">
              <w:rPr>
                <w:b/>
              </w:rPr>
              <w:t>OK</w:t>
            </w:r>
            <w:r>
              <w:t xml:space="preserve"> and </w:t>
            </w:r>
            <w:r w:rsidRPr="007D23B5">
              <w:rPr>
                <w:b/>
              </w:rPr>
              <w:t>Yes</w:t>
            </w:r>
            <w:r>
              <w:t xml:space="preserve"> to save</w:t>
            </w:r>
            <w:r w:rsidR="00281172">
              <w:t xml:space="preserve"> and exit</w:t>
            </w:r>
            <w:r>
              <w:t>.</w:t>
            </w:r>
          </w:p>
          <w:p w14:paraId="301D1699" w14:textId="77777777" w:rsidR="00881170" w:rsidRDefault="00881170" w:rsidP="00881170">
            <w:pPr>
              <w:pStyle w:val="TableTextNumbersContinued"/>
            </w:pPr>
          </w:p>
          <w:p w14:paraId="66F8CABD" w14:textId="77777777" w:rsidR="00881170" w:rsidRDefault="00881170" w:rsidP="00881170">
            <w:pPr>
              <w:pStyle w:val="TableTextNumbersContinued"/>
            </w:pPr>
            <w:r>
              <w:t xml:space="preserve">Repeat for </w:t>
            </w:r>
            <w:r w:rsidR="00281172">
              <w:t>each rack</w:t>
            </w:r>
            <w:r>
              <w:t xml:space="preserve"> selected in Step 3. </w:t>
            </w:r>
            <w:r w:rsidR="005F23AD">
              <w:rPr>
                <w:rStyle w:val="TableTextNumbersChar"/>
                <w:vanish/>
                <w:color w:val="FFFFFF"/>
                <w:szCs w:val="18"/>
              </w:rPr>
              <w:fldChar w:fldCharType="begin"/>
            </w:r>
            <w:r w:rsidR="005F23AD">
              <w:rPr>
                <w:rStyle w:val="TableTextNumbersChar"/>
                <w:vanish/>
                <w:color w:val="FFFFFF"/>
                <w:szCs w:val="18"/>
              </w:rPr>
              <w:instrText xml:space="preserve"> LISTNUM \l 1 \s 0 </w:instrText>
            </w:r>
            <w:r w:rsidR="005F23AD">
              <w:rPr>
                <w:rStyle w:val="TableTextNumbersChar"/>
                <w:vanish/>
                <w:color w:val="FFFFFF"/>
                <w:szCs w:val="18"/>
              </w:rPr>
              <w:fldChar w:fldCharType="end">
                <w:numberingChange w:id="261" w:author="Blalock, David (Leidos)" w:date="2020-06-15T14:09:00Z" w:original="0."/>
              </w:fldChar>
            </w:r>
          </w:p>
        </w:tc>
        <w:tc>
          <w:tcPr>
            <w:tcW w:w="6356" w:type="dxa"/>
          </w:tcPr>
          <w:p w14:paraId="7186A8B9" w14:textId="77777777" w:rsidR="000F2E95" w:rsidRDefault="000F2E95" w:rsidP="000F2E95">
            <w:pPr>
              <w:pStyle w:val="TableTextBullet"/>
            </w:pPr>
            <w:r>
              <w:t>Displays the testing template reaction results grid for each rack selected, when</w:t>
            </w:r>
            <w:r>
              <w:rPr>
                <w:i/>
              </w:rPr>
              <w:t xml:space="preserve"> </w:t>
            </w:r>
            <w:r>
              <w:t>no lot number changes were made.</w:t>
            </w:r>
          </w:p>
          <w:p w14:paraId="5603A8E8" w14:textId="77777777" w:rsidR="002A21AE" w:rsidRDefault="002A21AE">
            <w:pPr>
              <w:pStyle w:val="TableTextBullet"/>
            </w:pPr>
            <w:r>
              <w:t>Determines whether the entered results are acceptable and indicates acceptability of the lot number for the reagent type.</w:t>
            </w:r>
          </w:p>
          <w:p w14:paraId="6573B51B" w14:textId="77777777" w:rsidR="00881170" w:rsidRDefault="002A21AE" w:rsidP="00881170">
            <w:pPr>
              <w:pStyle w:val="TableTextBullet"/>
            </w:pPr>
            <w:r>
              <w:t>Verifies (by type and lot number) that the reagent is satisfactory or unsatisfactory for use.</w:t>
            </w:r>
            <w:r w:rsidR="00881170">
              <w:t xml:space="preserve"> </w:t>
            </w:r>
          </w:p>
          <w:p w14:paraId="22F7AB12" w14:textId="77777777" w:rsidR="002A21AE" w:rsidRDefault="00881170" w:rsidP="00881170">
            <w:pPr>
              <w:pStyle w:val="TableTextBullet"/>
            </w:pPr>
            <w:r>
              <w:t xml:space="preserve">Saves the partially or fully completed data. </w:t>
            </w:r>
          </w:p>
          <w:p w14:paraId="126A9859" w14:textId="77777777" w:rsidR="002A21AE" w:rsidRDefault="002A21AE">
            <w:pPr>
              <w:pStyle w:val="TableText"/>
            </w:pPr>
          </w:p>
          <w:p w14:paraId="1E635AC3" w14:textId="3882294E" w:rsidR="002A21AE" w:rsidRDefault="002A21AE">
            <w:pPr>
              <w:pStyle w:val="TableText"/>
              <w:rPr>
                <w:b/>
                <w:bCs/>
                <w:szCs w:val="18"/>
              </w:rPr>
            </w:pPr>
            <w:r>
              <w:rPr>
                <w:b/>
                <w:bCs/>
                <w:szCs w:val="18"/>
              </w:rPr>
              <w:t>NOTES</w:t>
            </w:r>
          </w:p>
          <w:p w14:paraId="649DA8CE" w14:textId="77777777" w:rsidR="002A21AE" w:rsidRDefault="002A21AE">
            <w:pPr>
              <w:pStyle w:val="NotesText"/>
            </w:pPr>
          </w:p>
          <w:p w14:paraId="0F61C8FF" w14:textId="77777777" w:rsidR="002A21AE" w:rsidRDefault="002A21AE">
            <w:pPr>
              <w:pStyle w:val="NotesText"/>
            </w:pPr>
            <w:r>
              <w:t xml:space="preserve">The user may enter results on multiple reagent racks. VBECS displays each rack in its own tab. </w:t>
            </w:r>
          </w:p>
          <w:p w14:paraId="3568902A" w14:textId="77777777" w:rsidR="00881170" w:rsidRDefault="00881170">
            <w:pPr>
              <w:pStyle w:val="NotesText"/>
            </w:pPr>
          </w:p>
          <w:p w14:paraId="076F7793" w14:textId="77777777" w:rsidR="00881170" w:rsidRDefault="00881170" w:rsidP="00881170">
            <w:pPr>
              <w:pStyle w:val="NotesText"/>
            </w:pPr>
            <w:r>
              <w:rPr>
                <w:rFonts w:cs="Arial"/>
                <w:vanish/>
              </w:rPr>
              <w:t xml:space="preserve">BR_28.20 </w:t>
            </w:r>
            <w:r>
              <w:t>VBECS verifies satisfactory and unsatisfactory QC testing based on site parameters and user data entry. If the user-entered test results indicate a satisfactory interpretation, VBECS displays “Satisfactory.” VBECS saves results that are satisfactory only when the testing for a row is complete and the worksheet is saved. VBECS clears results associated with an unsatisfactory interpretation from the screen/worksheet and the testing for the affected QC rack is considered incomplete until the rack is retested with satisfactory results for the affected row. (Warnings generated by other options when QC testing is incomplete apply).</w:t>
            </w:r>
          </w:p>
          <w:p w14:paraId="5A4AED7C" w14:textId="77777777" w:rsidR="00881170" w:rsidRDefault="00881170" w:rsidP="00881170">
            <w:pPr>
              <w:pStyle w:val="NotesText"/>
            </w:pPr>
          </w:p>
          <w:p w14:paraId="078598E6" w14:textId="77777777" w:rsidR="00881170" w:rsidRDefault="00881170" w:rsidP="00881170">
            <w:pPr>
              <w:pStyle w:val="NotesText"/>
            </w:pPr>
            <w:r>
              <w:rPr>
                <w:rFonts w:cs="Arial"/>
                <w:vanish/>
              </w:rPr>
              <w:t xml:space="preserve">BR_28.14 </w:t>
            </w:r>
            <w:r>
              <w:t>The daily reagent QC for a date requires a valid entry for each reagent displayed on the worksheet. VBECS considers a rack ready and available for patient testing on that date when all reagents on a rack have valid test results.</w:t>
            </w:r>
          </w:p>
        </w:tc>
      </w:tr>
    </w:tbl>
    <w:p w14:paraId="6CCBBA48" w14:textId="16073569" w:rsidR="00957095" w:rsidRDefault="00957095" w:rsidP="00957095">
      <w:pPr>
        <w:pStyle w:val="Caption"/>
      </w:pPr>
      <w:bookmarkStart w:id="262" w:name="_Ref126641381"/>
      <w:bookmarkStart w:id="263" w:name="_Ref126548442"/>
      <w:bookmarkEnd w:id="256"/>
      <w:bookmarkEnd w:id="257"/>
      <w:bookmarkEnd w:id="258"/>
      <w:bookmarkEnd w:id="259"/>
      <w:bookmarkEnd w:id="26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58</w:t>
      </w:r>
      <w:r w:rsidR="004E20BD">
        <w:rPr>
          <w:noProof/>
        </w:rPr>
        <w:fldChar w:fldCharType="end"/>
      </w:r>
      <w:bookmarkEnd w:id="262"/>
      <w:r>
        <w:t>: Enter Daily QC Results</w:t>
      </w:r>
    </w:p>
    <w:p w14:paraId="5EB6590F" w14:textId="77777777" w:rsidR="00957095" w:rsidRDefault="00057948" w:rsidP="00957095">
      <w:pPr>
        <w:pStyle w:val="BodyText"/>
      </w:pPr>
      <w:r>
        <w:rPr>
          <w:noProof/>
        </w:rPr>
        <w:drawing>
          <wp:inline distT="0" distB="0" distL="0" distR="0" wp14:anchorId="76731457" wp14:editId="4CB96F13">
            <wp:extent cx="4460875" cy="4220845"/>
            <wp:effectExtent l="0" t="0" r="0" b="8255"/>
            <wp:docPr id="140" name="Picture 1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a:extLst>
                        <a:ext uri="{C183D7F6-B498-43B3-948B-1728B52AA6E4}">
                          <adec:decorative xmlns:adec="http://schemas.microsoft.com/office/drawing/2017/decorative" val="1"/>
                        </a:ext>
                      </a:extLst>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460875" cy="4220845"/>
                    </a:xfrm>
                    <a:prstGeom prst="rect">
                      <a:avLst/>
                    </a:prstGeom>
                    <a:noFill/>
                    <a:ln>
                      <a:noFill/>
                    </a:ln>
                  </pic:spPr>
                </pic:pic>
              </a:graphicData>
            </a:graphic>
          </wp:inline>
        </w:drawing>
      </w:r>
    </w:p>
    <w:p w14:paraId="14838CDD" w14:textId="57AD5347" w:rsidR="002118B0" w:rsidRDefault="002118B0" w:rsidP="002118B0">
      <w:pPr>
        <w:pStyle w:val="Caption"/>
      </w:pPr>
      <w:bookmarkStart w:id="264" w:name="_Ref12664147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59</w:t>
      </w:r>
      <w:r w:rsidR="004E20BD">
        <w:rPr>
          <w:noProof/>
        </w:rPr>
        <w:fldChar w:fldCharType="end"/>
      </w:r>
      <w:bookmarkEnd w:id="263"/>
      <w:bookmarkEnd w:id="264"/>
      <w:r>
        <w:t>:</w:t>
      </w:r>
      <w:r w:rsidR="00F20BC5">
        <w:t xml:space="preserve"> </w:t>
      </w:r>
      <w:r w:rsidR="00957095">
        <w:t>Record Lot Numbers for</w:t>
      </w:r>
      <w:r w:rsidR="00F20BC5">
        <w:t xml:space="preserve"> Daily QC </w:t>
      </w:r>
      <w:r w:rsidR="00957095">
        <w:t>Testing</w:t>
      </w:r>
    </w:p>
    <w:p w14:paraId="15BFA9CB" w14:textId="77777777" w:rsidR="00F20BC5" w:rsidRPr="00F20BC5" w:rsidRDefault="00057948" w:rsidP="00580E36">
      <w:pPr>
        <w:pStyle w:val="BodyText"/>
      </w:pPr>
      <w:r>
        <w:rPr>
          <w:noProof/>
        </w:rPr>
        <w:drawing>
          <wp:inline distT="0" distB="0" distL="0" distR="0" wp14:anchorId="31CB3EBF" wp14:editId="00E71781">
            <wp:extent cx="4728845" cy="3444875"/>
            <wp:effectExtent l="0" t="0" r="0" b="3175"/>
            <wp:docPr id="141" name="Picture 1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a:extLst>
                        <a:ext uri="{C183D7F6-B498-43B3-948B-1728B52AA6E4}">
                          <adec:decorative xmlns:adec="http://schemas.microsoft.com/office/drawing/2017/decorative" val="1"/>
                        </a:ext>
                      </a:extLst>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728845" cy="3444875"/>
                    </a:xfrm>
                    <a:prstGeom prst="rect">
                      <a:avLst/>
                    </a:prstGeom>
                    <a:noFill/>
                    <a:ln>
                      <a:noFill/>
                    </a:ln>
                  </pic:spPr>
                </pic:pic>
              </a:graphicData>
            </a:graphic>
          </wp:inline>
        </w:drawing>
      </w:r>
    </w:p>
    <w:p w14:paraId="74E18A5D" w14:textId="30DC3D17" w:rsidR="00462FB1" w:rsidRDefault="00462FB1" w:rsidP="00462FB1">
      <w:pPr>
        <w:pStyle w:val="Caption"/>
      </w:pPr>
      <w:bookmarkStart w:id="265" w:name="_Ref12664206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60</w:t>
      </w:r>
      <w:r w:rsidR="004E20BD">
        <w:rPr>
          <w:noProof/>
        </w:rPr>
        <w:fldChar w:fldCharType="end"/>
      </w:r>
      <w:bookmarkEnd w:id="265"/>
      <w:r>
        <w:t>: Enter Daily QC Results with Serologic Reactions</w:t>
      </w:r>
    </w:p>
    <w:p w14:paraId="0B8605C7" w14:textId="77777777" w:rsidR="00F759ED" w:rsidRDefault="00057948" w:rsidP="00462FB1">
      <w:pPr>
        <w:pStyle w:val="BodyText"/>
      </w:pPr>
      <w:r>
        <w:rPr>
          <w:noProof/>
        </w:rPr>
        <w:drawing>
          <wp:inline distT="0" distB="0" distL="0" distR="0" wp14:anchorId="04AD7154" wp14:editId="3C7D5D0C">
            <wp:extent cx="4803140" cy="3509645"/>
            <wp:effectExtent l="0" t="0" r="0" b="0"/>
            <wp:docPr id="142" name="Picture 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a:extLst>
                        <a:ext uri="{C183D7F6-B498-43B3-948B-1728B52AA6E4}">
                          <adec:decorative xmlns:adec="http://schemas.microsoft.com/office/drawing/2017/decorative" val="1"/>
                        </a:ext>
                      </a:extLst>
                    </pic:cNvPr>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803140" cy="3509645"/>
                    </a:xfrm>
                    <a:prstGeom prst="rect">
                      <a:avLst/>
                    </a:prstGeom>
                    <a:noFill/>
                    <a:ln>
                      <a:noFill/>
                    </a:ln>
                  </pic:spPr>
                </pic:pic>
              </a:graphicData>
            </a:graphic>
          </wp:inline>
        </w:drawing>
      </w:r>
    </w:p>
    <w:p w14:paraId="2F985DAA" w14:textId="77777777" w:rsidR="002A21AE" w:rsidRDefault="00E645A6" w:rsidP="00F759ED">
      <w:pPr>
        <w:pStyle w:val="Heading2"/>
      </w:pPr>
      <w:bookmarkStart w:id="266" w:name="_Toc47516711"/>
      <w:r>
        <w:lastRenderedPageBreak/>
        <w:t>Reagents</w:t>
      </w:r>
      <w:bookmarkEnd w:id="266"/>
      <w:r w:rsidR="00C4437D">
        <w:fldChar w:fldCharType="begin"/>
      </w:r>
      <w:r w:rsidR="00C4437D">
        <w:instrText xml:space="preserve"> XE "</w:instrText>
      </w:r>
      <w:r w:rsidR="00C4437D" w:rsidRPr="00BC2841">
        <w:instrText>Reagents</w:instrText>
      </w:r>
      <w:r w:rsidR="00C4437D">
        <w:instrText xml:space="preserve">" </w:instrText>
      </w:r>
      <w:r w:rsidR="00C4437D">
        <w:fldChar w:fldCharType="end"/>
      </w:r>
      <w:r w:rsidR="002A21AE">
        <w:t xml:space="preserve"> </w:t>
      </w:r>
      <w:r w:rsidR="002A21AE">
        <w:rPr>
          <w:vanish/>
        </w:rPr>
        <w:t>UC_20</w:t>
      </w:r>
    </w:p>
    <w:p w14:paraId="034E0958" w14:textId="77777777" w:rsidR="002A21AE" w:rsidRDefault="002A21AE" w:rsidP="00FA7E65">
      <w:pPr>
        <w:pStyle w:val="BodyText"/>
      </w:pPr>
      <w:r>
        <w:t>The options related to reagent inventory control record the receipt of specific reagents by reagent type for each division.</w:t>
      </w:r>
    </w:p>
    <w:p w14:paraId="63C92C7D" w14:textId="77777777" w:rsidR="002A21AE" w:rsidRDefault="002A21AE">
      <w:pPr>
        <w:pStyle w:val="Heading4"/>
      </w:pPr>
      <w:bookmarkStart w:id="267" w:name="_Log_In_Reagents,_Update_Inventory,_"/>
      <w:bookmarkEnd w:id="250"/>
      <w:bookmarkEnd w:id="267"/>
      <w:r>
        <w:t>Log In Reagents, Update Inventory,</w:t>
      </w:r>
      <w:bookmarkStart w:id="268" w:name="_Toc63680376"/>
      <w:r>
        <w:t xml:space="preserve"> View/Print Inventory</w:t>
      </w:r>
      <w:bookmarkEnd w:id="268"/>
      <w:r w:rsidR="00771C65">
        <w:t xml:space="preserve">, Maintain </w:t>
      </w:r>
      <w:r w:rsidR="005F6016">
        <w:t>Minimum Levels</w:t>
      </w:r>
    </w:p>
    <w:p w14:paraId="37BCA81B" w14:textId="77777777" w:rsidR="002A21AE" w:rsidRDefault="002A21AE" w:rsidP="00FA7E65">
      <w:pPr>
        <w:pStyle w:val="BodyText"/>
      </w:pPr>
      <w:r>
        <w:t>The reagent log is maintained by individual division even in a multidivisional database. Update Inventory allows the user to update reagent inventory by changing the number of vials available. The user may view inventory online using various search criteria and prin</w:t>
      </w:r>
      <w:r w:rsidR="00447051">
        <w:t>t a copy of the search results.</w:t>
      </w:r>
    </w:p>
    <w:p w14:paraId="5B89E57B" w14:textId="77777777" w:rsidR="002A21AE" w:rsidRDefault="002A21AE">
      <w:pPr>
        <w:pStyle w:val="Heading4"/>
      </w:pPr>
      <w:r>
        <w:t>Assumptions</w:t>
      </w:r>
      <w:r>
        <w:rPr>
          <w:b w:val="0"/>
        </w:rPr>
        <w:t xml:space="preserve"> </w:t>
      </w:r>
    </w:p>
    <w:p w14:paraId="54357912" w14:textId="77777777" w:rsidR="00852AC1" w:rsidRDefault="00852AC1" w:rsidP="00852AC1">
      <w:pPr>
        <w:pStyle w:val="ListBullet"/>
      </w:pPr>
      <w:r>
        <w:t>The division is “full service.”</w:t>
      </w:r>
    </w:p>
    <w:p w14:paraId="22729C21" w14:textId="77777777" w:rsidR="002A21AE" w:rsidRDefault="002A21AE">
      <w:pPr>
        <w:pStyle w:val="ListBullet"/>
      </w:pPr>
      <w:r>
        <w:t>Reagents are in the inventory of the user’s division.</w:t>
      </w:r>
    </w:p>
    <w:p w14:paraId="21DC69BE" w14:textId="77777777" w:rsidR="002A21AE" w:rsidRDefault="002A21AE">
      <w:pPr>
        <w:pStyle w:val="Heading4"/>
      </w:pPr>
      <w:r>
        <w:t xml:space="preserve">Outcome </w:t>
      </w:r>
    </w:p>
    <w:p w14:paraId="1FD16A01" w14:textId="77777777" w:rsidR="002A21AE" w:rsidRDefault="002A21AE">
      <w:pPr>
        <w:pStyle w:val="ListBullet"/>
      </w:pPr>
      <w:r>
        <w:t>A user may select previously logged-in reagents through Enter Daily QC Results, Patient Testing: Record a Patient Antigen Typing, and Unit Antigen Typing.</w:t>
      </w:r>
    </w:p>
    <w:p w14:paraId="3FDC62E2" w14:textId="77777777" w:rsidR="002A21AE" w:rsidRDefault="002A21AE">
      <w:pPr>
        <w:pStyle w:val="ListBullet"/>
      </w:pPr>
      <w:r>
        <w:t>Reagents entered are accessible only within the division in which they were entered.</w:t>
      </w:r>
    </w:p>
    <w:p w14:paraId="04CA4CA0" w14:textId="77777777" w:rsidR="002A21AE" w:rsidRDefault="002A21AE">
      <w:pPr>
        <w:pStyle w:val="Heading4"/>
      </w:pPr>
      <w:r>
        <w:t>Limitations and Restrictions</w:t>
      </w:r>
      <w:r>
        <w:rPr>
          <w:b w:val="0"/>
        </w:rPr>
        <w:t xml:space="preserve"> </w:t>
      </w:r>
    </w:p>
    <w:p w14:paraId="5FEA4567" w14:textId="77777777" w:rsidR="002A21AE" w:rsidRDefault="002A21AE">
      <w:pPr>
        <w:pStyle w:val="ListBullet"/>
      </w:pPr>
      <w:r>
        <w:t>VBECS does not display a reagent report by invoice number.</w:t>
      </w:r>
    </w:p>
    <w:p w14:paraId="397571DC" w14:textId="77777777" w:rsidR="0029147B" w:rsidRDefault="0029147B">
      <w:pPr>
        <w:pStyle w:val="ListBullet"/>
      </w:pPr>
      <w:r>
        <w:t>The unsatisfactory portion of a shipment must be recorded individually.</w:t>
      </w:r>
    </w:p>
    <w:p w14:paraId="699DDEE9" w14:textId="77777777" w:rsidR="00BE53DD" w:rsidRDefault="00BE53DD" w:rsidP="00BE53DD">
      <w:pPr>
        <w:pStyle w:val="ListBullet"/>
      </w:pPr>
      <w:r>
        <w:t>There is no retrospective data entry or user selection for th</w:t>
      </w:r>
      <w:r w:rsidR="0061702F">
        <w:t>ese</w:t>
      </w:r>
      <w:r>
        <w:t xml:space="preserve"> </w:t>
      </w:r>
      <w:r w:rsidR="0061702F">
        <w:t>options</w:t>
      </w:r>
      <w:r>
        <w:t>.</w:t>
      </w:r>
    </w:p>
    <w:p w14:paraId="687D7040" w14:textId="77777777" w:rsidR="00053349" w:rsidRDefault="00053349" w:rsidP="00053349">
      <w:pPr>
        <w:pStyle w:val="ListBullet"/>
      </w:pPr>
      <w:r>
        <w:t xml:space="preserve">Each site must set a standard for recording quantity: it may use the number of cases or the number of units within the cases. </w:t>
      </w:r>
    </w:p>
    <w:p w14:paraId="2F483EC3" w14:textId="77777777" w:rsidR="00F759ED" w:rsidRPr="00993A74" w:rsidRDefault="00F759ED" w:rsidP="00053349">
      <w:pPr>
        <w:pStyle w:val="ListBullet"/>
      </w:pPr>
      <w:r>
        <w:t xml:space="preserve">When a user enters a lot number in the Lot # field and clicks the </w:t>
      </w:r>
      <w:r>
        <w:rPr>
          <w:b/>
        </w:rPr>
        <w:t>magnifying glass</w:t>
      </w:r>
      <w:r>
        <w:t xml:space="preserve">, VBECS displays only the first instance of a duplicate lot number. </w:t>
      </w:r>
      <w:r w:rsidRPr="00F759ED">
        <w:rPr>
          <w:vanish/>
        </w:rPr>
        <w:t>(UserDoc Task 1083)</w:t>
      </w:r>
    </w:p>
    <w:p w14:paraId="019C8DD2" w14:textId="526FBA72" w:rsidR="00993A74" w:rsidRDefault="00993A74" w:rsidP="00053349">
      <w:pPr>
        <w:pStyle w:val="ListBullet"/>
      </w:pPr>
      <w:r>
        <w:t xml:space="preserve">Free text details can be added only when “Other” is selected as the canned comment. </w:t>
      </w:r>
      <w:r w:rsidRPr="004F0095">
        <w:rPr>
          <w:vanish/>
        </w:rPr>
        <w:t>DR 2218</w:t>
      </w:r>
    </w:p>
    <w:p w14:paraId="23508AFF" w14:textId="7D31D4E0" w:rsidR="004F5DF6" w:rsidRDefault="004F5DF6" w:rsidP="00053349">
      <w:pPr>
        <w:pStyle w:val="ListBullet"/>
      </w:pPr>
      <w:r>
        <w:t>When reagents with the same Manufacturer Reagent Name and Lot Number are entered from multiple invoices, only one of the reagents is visible for update.</w:t>
      </w:r>
      <w:r w:rsidR="005E3B7C">
        <w:t xml:space="preserve"> </w:t>
      </w:r>
      <w:r w:rsidR="005E3B7C" w:rsidRPr="005E3B7C">
        <w:rPr>
          <w:vanish/>
        </w:rPr>
        <w:t>Defect 209141</w:t>
      </w:r>
    </w:p>
    <w:p w14:paraId="7BC088B0" w14:textId="14B9F091" w:rsidR="00917168" w:rsidRDefault="00917168" w:rsidP="00053349">
      <w:pPr>
        <w:pStyle w:val="ListBullet"/>
      </w:pPr>
      <w:r>
        <w:t>Reagents that have had their Number of Vials Available set to zero (0) are no longer visible on the Update Reagent Inventory screen o</w:t>
      </w:r>
      <w:r w:rsidR="00A11CA3">
        <w:t>r</w:t>
      </w:r>
      <w:r>
        <w:t xml:space="preserve"> the Reagent Inventory Report. Print a copy of the Reagent Inventory Report prior to setting the Number of Vials Available to zero (0). </w:t>
      </w:r>
      <w:r w:rsidRPr="00917168">
        <w:rPr>
          <w:vanish/>
        </w:rPr>
        <w:t>Defects 208863, 208890, 210063</w:t>
      </w:r>
    </w:p>
    <w:p w14:paraId="6DF94FA2" w14:textId="77777777" w:rsidR="002A21AE" w:rsidRDefault="002A21AE">
      <w:pPr>
        <w:pStyle w:val="Heading4"/>
      </w:pPr>
      <w:r>
        <w:t>Additional Information</w:t>
      </w:r>
    </w:p>
    <w:p w14:paraId="1070E959" w14:textId="77777777" w:rsidR="00852AC1" w:rsidRPr="00852AC1" w:rsidRDefault="00852AC1" w:rsidP="00852AC1">
      <w:pPr>
        <w:pStyle w:val="ListBullet"/>
      </w:pPr>
      <w:r w:rsidRPr="00852AC1">
        <w:rPr>
          <w:snapToGrid w:val="0"/>
          <w:vanish/>
        </w:rPr>
        <w:t>BR_41.32</w:t>
      </w:r>
      <w:r>
        <w:rPr>
          <w:snapToGrid w:val="0"/>
        </w:rPr>
        <w:t xml:space="preserve">This option is disabled for transfusion-only facilities. </w:t>
      </w:r>
    </w:p>
    <w:p w14:paraId="56B4C523" w14:textId="77777777" w:rsidR="002A21AE" w:rsidRDefault="002A21AE">
      <w:pPr>
        <w:pStyle w:val="ListBullet"/>
      </w:pPr>
      <w:r>
        <w:t>VBECS displays alerts, as appropriate, during execution of Enter Daily QC Results to notify the user when reagent inventory levels fall below minimum inventory levels, as defined in Maintain Minimum Levels.</w:t>
      </w:r>
    </w:p>
    <w:p w14:paraId="6FFBA654" w14:textId="77777777" w:rsidR="00CA67F2" w:rsidRDefault="00CA67F2">
      <w:pPr>
        <w:pStyle w:val="ListBullet"/>
      </w:pPr>
      <w:r>
        <w:t>Local policies and procedures must define the use of patient antisera as reagents.</w:t>
      </w:r>
    </w:p>
    <w:p w14:paraId="2428E3D2" w14:textId="77777777" w:rsidR="002A21AE" w:rsidRDefault="002A21AE">
      <w:pPr>
        <w:pStyle w:val="Heading4"/>
        <w:rPr>
          <w:b w:val="0"/>
        </w:rPr>
      </w:pPr>
      <w:r>
        <w:t>User Roles with Access to This Option</w:t>
      </w:r>
      <w:r>
        <w:rPr>
          <w:b w:val="0"/>
        </w:rPr>
        <w:t xml:space="preserve"> </w:t>
      </w:r>
    </w:p>
    <w:p w14:paraId="4FB8BA24" w14:textId="77777777" w:rsidR="002A21AE" w:rsidRDefault="00560BC1">
      <w:pPr>
        <w:pStyle w:val="Roles"/>
        <w:rPr>
          <w:snapToGrid w:val="0"/>
        </w:rPr>
      </w:pPr>
      <w:r>
        <w:t>All users</w:t>
      </w:r>
    </w:p>
    <w:p w14:paraId="7CC9E286" w14:textId="77777777" w:rsidR="00D34814" w:rsidRDefault="00D34814" w:rsidP="00D34814">
      <w:pPr>
        <w:pStyle w:val="Heading4"/>
      </w:pPr>
      <w:r>
        <w:lastRenderedPageBreak/>
        <w:t>Log in Reagents</w:t>
      </w:r>
      <w:r>
        <w:fldChar w:fldCharType="begin"/>
      </w:r>
      <w:r>
        <w:instrText xml:space="preserve"> XE </w:instrText>
      </w:r>
      <w:r w:rsidR="00FA7E65">
        <w:instrText>“</w:instrText>
      </w:r>
      <w:r>
        <w:instrText>Log in Reagents</w:instrText>
      </w:r>
      <w:r w:rsidR="00FA7E65">
        <w:instrText>”</w:instrText>
      </w:r>
      <w:r>
        <w:instrText xml:space="preserve"> </w:instrText>
      </w:r>
      <w:r>
        <w:fldChar w:fldCharType="end"/>
      </w:r>
      <w:r>
        <w:t xml:space="preserve"> </w:t>
      </w:r>
    </w:p>
    <w:p w14:paraId="68041AA6" w14:textId="77777777" w:rsidR="009C34E7" w:rsidRDefault="00D34814" w:rsidP="00FA7E65">
      <w:pPr>
        <w:pStyle w:val="BodyText"/>
      </w:pPr>
      <w:r w:rsidRPr="00FA7E65">
        <w:t>A user records the receipt of specific reagents by type. The reagent record includes the date the shipment was received, reagent name, lot number, expiration date, manufacturer, and number of vials received in a shipment.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B4E58" w14:paraId="52F28929" w14:textId="77777777">
        <w:trPr>
          <w:cantSplit/>
          <w:tblHeader/>
        </w:trPr>
        <w:tc>
          <w:tcPr>
            <w:tcW w:w="3240" w:type="dxa"/>
            <w:shd w:val="pct30" w:color="auto" w:fill="FFFFFF"/>
            <w:vAlign w:val="bottom"/>
          </w:tcPr>
          <w:p w14:paraId="007F48C5" w14:textId="77777777" w:rsidR="00FB4E58" w:rsidRDefault="009C34E7" w:rsidP="00A65805">
            <w:pPr>
              <w:pStyle w:val="TableText"/>
              <w:rPr>
                <w:b/>
              </w:rPr>
            </w:pPr>
            <w:r>
              <w:br w:type="page"/>
            </w:r>
            <w:r w:rsidR="00FB4E58">
              <w:rPr>
                <w:b/>
              </w:rPr>
              <w:t>User Action</w:t>
            </w:r>
          </w:p>
        </w:tc>
        <w:tc>
          <w:tcPr>
            <w:tcW w:w="6120" w:type="dxa"/>
            <w:shd w:val="pct30" w:color="auto" w:fill="FFFFFF"/>
            <w:vAlign w:val="bottom"/>
          </w:tcPr>
          <w:p w14:paraId="2E1767B6" w14:textId="77777777" w:rsidR="00FB4E58" w:rsidRDefault="00FB4E58" w:rsidP="00A65805">
            <w:pPr>
              <w:pStyle w:val="TableText"/>
              <w:rPr>
                <w:b/>
              </w:rPr>
            </w:pPr>
            <w:r>
              <w:rPr>
                <w:b/>
              </w:rPr>
              <w:t>VBECS</w:t>
            </w:r>
          </w:p>
        </w:tc>
      </w:tr>
      <w:tr w:rsidR="00FB4E58" w14:paraId="236B050B" w14:textId="77777777">
        <w:tc>
          <w:tcPr>
            <w:tcW w:w="3240" w:type="dxa"/>
            <w:tcBorders>
              <w:top w:val="single" w:sz="4" w:space="0" w:color="auto"/>
              <w:left w:val="single" w:sz="4" w:space="0" w:color="auto"/>
              <w:bottom w:val="single" w:sz="4" w:space="0" w:color="auto"/>
              <w:right w:val="single" w:sz="4" w:space="0" w:color="auto"/>
            </w:tcBorders>
          </w:tcPr>
          <w:p w14:paraId="3D84B948" w14:textId="77777777" w:rsidR="00FB4E58" w:rsidRDefault="00FB4E58" w:rsidP="00FB4E58">
            <w:pPr>
              <w:pStyle w:val="TableTextNumbers"/>
            </w:pPr>
            <w:r>
              <w:t xml:space="preserve">Select </w:t>
            </w:r>
            <w:r>
              <w:rPr>
                <w:b/>
              </w:rPr>
              <w:t>Reagents</w:t>
            </w:r>
            <w:r>
              <w:t xml:space="preserve"> from the main menu.</w:t>
            </w:r>
          </w:p>
        </w:tc>
        <w:tc>
          <w:tcPr>
            <w:tcW w:w="6120" w:type="dxa"/>
            <w:tcBorders>
              <w:top w:val="single" w:sz="4" w:space="0" w:color="auto"/>
              <w:left w:val="single" w:sz="4" w:space="0" w:color="auto"/>
              <w:bottom w:val="single" w:sz="4" w:space="0" w:color="auto"/>
              <w:right w:val="single" w:sz="4" w:space="0" w:color="auto"/>
            </w:tcBorders>
          </w:tcPr>
          <w:p w14:paraId="27C4D6F9" w14:textId="77777777" w:rsidR="00FB4E58" w:rsidRDefault="00FB4E58" w:rsidP="00A65805">
            <w:pPr>
              <w:pStyle w:val="TableTextBullet"/>
            </w:pPr>
            <w:r>
              <w:t xml:space="preserve">Displays options for Quality Control functions. </w:t>
            </w:r>
          </w:p>
          <w:p w14:paraId="4577E3CD" w14:textId="77777777" w:rsidR="00FB4E58" w:rsidRDefault="00FB4E58" w:rsidP="00A65805">
            <w:pPr>
              <w:pStyle w:val="TableTextBullet"/>
            </w:pPr>
            <w:r>
              <w:t>Displays options for processing reagents.</w:t>
            </w:r>
          </w:p>
        </w:tc>
      </w:tr>
      <w:tr w:rsidR="00FB4E58" w14:paraId="577D0E9B" w14:textId="77777777">
        <w:tc>
          <w:tcPr>
            <w:tcW w:w="3240" w:type="dxa"/>
          </w:tcPr>
          <w:p w14:paraId="5BAD3B1B" w14:textId="77777777" w:rsidR="00FB4E58" w:rsidRDefault="00FB4E58" w:rsidP="00A65805">
            <w:pPr>
              <w:pStyle w:val="TableTextNumbers"/>
            </w:pPr>
            <w:r>
              <w:t xml:space="preserve">Select </w:t>
            </w:r>
            <w:r>
              <w:rPr>
                <w:b/>
              </w:rPr>
              <w:t>Log In Reagents</w:t>
            </w:r>
            <w:r w:rsidRPr="00FB4E58">
              <w:t>.</w:t>
            </w:r>
          </w:p>
        </w:tc>
        <w:tc>
          <w:tcPr>
            <w:tcW w:w="6120" w:type="dxa"/>
          </w:tcPr>
          <w:p w14:paraId="1FC158EC" w14:textId="77777777" w:rsidR="00FB4E58" w:rsidRDefault="00FB4E58" w:rsidP="00A65805">
            <w:pPr>
              <w:pStyle w:val="TableTextBullet"/>
            </w:pPr>
            <w:r>
              <w:t>Displays fields for entering invoice and reagent information.</w:t>
            </w:r>
          </w:p>
        </w:tc>
      </w:tr>
      <w:tr w:rsidR="00FB4E58" w14:paraId="55B29153" w14:textId="77777777">
        <w:tc>
          <w:tcPr>
            <w:tcW w:w="3240" w:type="dxa"/>
            <w:tcBorders>
              <w:top w:val="single" w:sz="4" w:space="0" w:color="auto"/>
              <w:left w:val="single" w:sz="4" w:space="0" w:color="auto"/>
              <w:bottom w:val="single" w:sz="4" w:space="0" w:color="auto"/>
              <w:right w:val="single" w:sz="4" w:space="0" w:color="auto"/>
            </w:tcBorders>
          </w:tcPr>
          <w:p w14:paraId="73A624FA" w14:textId="77777777" w:rsidR="00FB4E58" w:rsidRDefault="00FB4E58" w:rsidP="00A65805">
            <w:pPr>
              <w:pStyle w:val="TableTextNumbers"/>
            </w:pPr>
            <w:r>
              <w:t>Invoice Information:</w:t>
            </w:r>
          </w:p>
          <w:p w14:paraId="47E56E66" w14:textId="77777777" w:rsidR="00FB4E58" w:rsidRDefault="00FB4E58" w:rsidP="00A65805">
            <w:pPr>
              <w:pStyle w:val="TableTextNumbersContinued"/>
              <w:rPr>
                <w:b/>
                <w:bCs/>
              </w:rPr>
            </w:pPr>
          </w:p>
          <w:p w14:paraId="47C92854" w14:textId="77777777" w:rsidR="00FB4E58" w:rsidRDefault="00FB4E58" w:rsidP="00A65805">
            <w:pPr>
              <w:pStyle w:val="TableTextNumbersContinued"/>
            </w:pPr>
            <w:r>
              <w:t>Select or edit the date and time in the Date Received field.</w:t>
            </w:r>
          </w:p>
          <w:p w14:paraId="0B1D003A" w14:textId="77777777" w:rsidR="00FB4E58" w:rsidRDefault="00FB4E58" w:rsidP="00A65805">
            <w:pPr>
              <w:pStyle w:val="TableTextNumbersContinued"/>
            </w:pPr>
          </w:p>
          <w:p w14:paraId="729E5F26" w14:textId="77777777" w:rsidR="00FB4E58" w:rsidRDefault="00FB4E58" w:rsidP="00A65805">
            <w:pPr>
              <w:pStyle w:val="TableTextNumbersContinued"/>
            </w:pPr>
            <w:r>
              <w:t>Enter the invoice number in the Invoice Number field.</w:t>
            </w:r>
          </w:p>
          <w:p w14:paraId="40B529D8" w14:textId="77777777" w:rsidR="00FB4E58" w:rsidRDefault="00FB4E58" w:rsidP="00A65805">
            <w:pPr>
              <w:pStyle w:val="TableTextNumbersContinued"/>
            </w:pPr>
          </w:p>
          <w:p w14:paraId="011312D2" w14:textId="77777777" w:rsidR="00FB4E58" w:rsidRDefault="00FB4E58" w:rsidP="00A65805">
            <w:pPr>
              <w:pStyle w:val="TableTextNumbersContinued"/>
            </w:pPr>
            <w:r>
              <w:t>Enter the name of the manufacturer in the Manufacturer field, or select a name from the drop-down list.</w:t>
            </w:r>
          </w:p>
        </w:tc>
        <w:tc>
          <w:tcPr>
            <w:tcW w:w="6120" w:type="dxa"/>
            <w:tcBorders>
              <w:top w:val="single" w:sz="4" w:space="0" w:color="auto"/>
              <w:left w:val="single" w:sz="4" w:space="0" w:color="auto"/>
              <w:bottom w:val="single" w:sz="4" w:space="0" w:color="auto"/>
              <w:right w:val="single" w:sz="4" w:space="0" w:color="auto"/>
            </w:tcBorders>
          </w:tcPr>
          <w:p w14:paraId="53C5C37A" w14:textId="77777777" w:rsidR="00FB4E58" w:rsidRDefault="00FB4E58" w:rsidP="00A65805">
            <w:pPr>
              <w:pStyle w:val="TableText"/>
            </w:pPr>
          </w:p>
          <w:p w14:paraId="64E8FA35" w14:textId="7477613C" w:rsidR="00FB4E58" w:rsidRDefault="00FB4E58" w:rsidP="00A65805">
            <w:pPr>
              <w:pStyle w:val="TableText"/>
              <w:rPr>
                <w:b/>
                <w:bCs/>
                <w:szCs w:val="18"/>
              </w:rPr>
            </w:pPr>
            <w:r>
              <w:rPr>
                <w:b/>
                <w:bCs/>
                <w:szCs w:val="18"/>
              </w:rPr>
              <w:t>NOTES</w:t>
            </w:r>
          </w:p>
          <w:p w14:paraId="58D3B538" w14:textId="77777777" w:rsidR="00FB4E58" w:rsidRDefault="00FB4E58" w:rsidP="00A65805">
            <w:pPr>
              <w:pStyle w:val="NotesText"/>
            </w:pPr>
          </w:p>
          <w:p w14:paraId="4CDC09BF" w14:textId="77777777" w:rsidR="00FB4E58" w:rsidRDefault="00FB4E58" w:rsidP="00A65805">
            <w:pPr>
              <w:pStyle w:val="NotesText"/>
            </w:pPr>
            <w:r w:rsidRPr="00FB4E58">
              <w:rPr>
                <w:rFonts w:cs="Arial"/>
                <w:vanish/>
                <w:szCs w:val="18"/>
              </w:rPr>
              <w:t xml:space="preserve">BR_81.10 </w:t>
            </w:r>
            <w:r>
              <w:t xml:space="preserve">More than one technologist at a time may process a large shipment of reagents; only one technologist at a time may process individual reagents in the shipment. </w:t>
            </w:r>
          </w:p>
          <w:p w14:paraId="306ECD83" w14:textId="77777777" w:rsidR="00FB4E58" w:rsidRDefault="00FB4E58" w:rsidP="00A65805">
            <w:pPr>
              <w:pStyle w:val="NotesText"/>
            </w:pPr>
          </w:p>
          <w:p w14:paraId="25CEEE5D" w14:textId="77777777" w:rsidR="00FB4E58" w:rsidRDefault="00FB4E58" w:rsidP="00A65805">
            <w:pPr>
              <w:pStyle w:val="NotesText"/>
            </w:pPr>
            <w:r w:rsidRPr="00FB4E58">
              <w:rPr>
                <w:rFonts w:cs="Arial"/>
                <w:vanish/>
                <w:szCs w:val="18"/>
              </w:rPr>
              <w:t xml:space="preserve">BR_20.01 </w:t>
            </w:r>
            <w:r>
              <w:t>The default date received is the current date and time. The user may edit it to a past date and time only.</w:t>
            </w:r>
          </w:p>
          <w:p w14:paraId="0E9B1C1D" w14:textId="77777777" w:rsidR="00FB4E58" w:rsidRDefault="00FB4E58" w:rsidP="00A65805">
            <w:pPr>
              <w:pStyle w:val="NotesText"/>
            </w:pPr>
          </w:p>
          <w:p w14:paraId="6F922C18" w14:textId="77777777" w:rsidR="00FB4E58" w:rsidRDefault="00FB4E58" w:rsidP="00A65805">
            <w:pPr>
              <w:pStyle w:val="NotesText"/>
            </w:pPr>
            <w:r w:rsidRPr="001017A2">
              <w:rPr>
                <w:rFonts w:cs="Arial"/>
                <w:vanish/>
                <w:szCs w:val="18"/>
              </w:rPr>
              <w:t xml:space="preserve">BR_81.07 </w:t>
            </w:r>
            <w:r>
              <w:t xml:space="preserve">When the reagent type and lot number were already entered for this invoice, VBECS </w:t>
            </w:r>
            <w:r>
              <w:rPr>
                <w:noProof/>
              </w:rPr>
              <w:t>warns that the user is</w:t>
            </w:r>
            <w:r>
              <w:t xml:space="preserve"> trying to enter </w:t>
            </w:r>
            <w:r w:rsidR="001017A2">
              <w:t xml:space="preserve">a </w:t>
            </w:r>
            <w:r>
              <w:t xml:space="preserve">reagent that was already logged into the system for this invoice. </w:t>
            </w:r>
            <w:r>
              <w:rPr>
                <w:b/>
              </w:rPr>
              <w:t>Yes</w:t>
            </w:r>
            <w:r>
              <w:t xml:space="preserve"> takes the user to the </w:t>
            </w:r>
            <w:r w:rsidR="00FA7E65">
              <w:t>“</w:t>
            </w:r>
            <w:r>
              <w:t>Update Reagent Inventory</w:t>
            </w:r>
            <w:r w:rsidR="00FA7E65">
              <w:t>”</w:t>
            </w:r>
            <w:r>
              <w:t xml:space="preserve"> screen where VBECS displays the reagent type and lot number for update. </w:t>
            </w:r>
            <w:r>
              <w:rPr>
                <w:b/>
              </w:rPr>
              <w:t>No</w:t>
            </w:r>
            <w:r>
              <w:t xml:space="preserve"> clears all fields on the screen, allowing the user to log in another reagent. </w:t>
            </w:r>
          </w:p>
        </w:tc>
      </w:tr>
      <w:tr w:rsidR="00FB4E58" w14:paraId="78DAC8C7" w14:textId="77777777">
        <w:tc>
          <w:tcPr>
            <w:tcW w:w="3240" w:type="dxa"/>
            <w:tcBorders>
              <w:top w:val="single" w:sz="4" w:space="0" w:color="auto"/>
              <w:left w:val="single" w:sz="4" w:space="0" w:color="auto"/>
              <w:bottom w:val="single" w:sz="4" w:space="0" w:color="auto"/>
              <w:right w:val="single" w:sz="4" w:space="0" w:color="auto"/>
            </w:tcBorders>
          </w:tcPr>
          <w:p w14:paraId="3E7DF9B0" w14:textId="77777777" w:rsidR="00FB4E58" w:rsidRDefault="00FB4E58" w:rsidP="00A65805">
            <w:pPr>
              <w:pStyle w:val="TableTextNumbers"/>
            </w:pPr>
            <w:r>
              <w:t>Reagent Information:</w:t>
            </w:r>
          </w:p>
          <w:p w14:paraId="01E0BB4B" w14:textId="77777777" w:rsidR="00FB4E58" w:rsidRDefault="00FB4E58" w:rsidP="00A65805">
            <w:pPr>
              <w:pStyle w:val="TableTextNumbersContinued"/>
              <w:rPr>
                <w:b/>
                <w:bCs/>
              </w:rPr>
            </w:pPr>
          </w:p>
          <w:p w14:paraId="257DE45F" w14:textId="77777777" w:rsidR="00FB4E58" w:rsidRDefault="00FB4E58" w:rsidP="00A65805">
            <w:pPr>
              <w:pStyle w:val="TableTextNumbersContinued"/>
            </w:pPr>
            <w:r>
              <w:t>Enter the reagent name and reagent type in the Manufacturer Reagent Name and Reagent Type fields, or select from the drop-down lists.</w:t>
            </w:r>
          </w:p>
          <w:p w14:paraId="69AEC5DC" w14:textId="77777777" w:rsidR="00FB4E58" w:rsidRDefault="00FB4E58" w:rsidP="00A65805">
            <w:pPr>
              <w:pStyle w:val="TableTextNumbersContinued"/>
            </w:pPr>
          </w:p>
          <w:p w14:paraId="70E98659" w14:textId="77777777" w:rsidR="00FB4E58" w:rsidRDefault="00FB4E58" w:rsidP="00A65805">
            <w:pPr>
              <w:pStyle w:val="TableTextNumbersContinued"/>
            </w:pPr>
            <w:r>
              <w:t>Enter the lot number in the Lot Number field.</w:t>
            </w:r>
          </w:p>
          <w:p w14:paraId="49D40715" w14:textId="77777777" w:rsidR="00FB4E58" w:rsidRDefault="00FB4E58" w:rsidP="00A65805">
            <w:pPr>
              <w:pStyle w:val="TableTextNumbersContinued"/>
            </w:pPr>
          </w:p>
          <w:p w14:paraId="6620891E" w14:textId="77777777" w:rsidR="00FB4E58" w:rsidRDefault="00FB4E58" w:rsidP="00A65805">
            <w:pPr>
              <w:pStyle w:val="TableTextNumbersContinued"/>
            </w:pPr>
            <w:r>
              <w:t>Select or edit the date and time in the Lot Expiration Date field.</w:t>
            </w:r>
          </w:p>
          <w:p w14:paraId="09393199" w14:textId="77777777" w:rsidR="00FB4E58" w:rsidRDefault="00FB4E58" w:rsidP="00A65805">
            <w:pPr>
              <w:pStyle w:val="TableTextNumbersContinued"/>
            </w:pPr>
          </w:p>
          <w:p w14:paraId="72306B0F" w14:textId="77777777" w:rsidR="00FB4E58" w:rsidRDefault="00FB4E58" w:rsidP="00A65805">
            <w:pPr>
              <w:pStyle w:val="TableTextNumbersContinued"/>
            </w:pPr>
            <w:r>
              <w:t>Enter (or select) a quantity (1–999) in the Vials Received per Lot Number field.</w:t>
            </w:r>
          </w:p>
        </w:tc>
        <w:tc>
          <w:tcPr>
            <w:tcW w:w="6120" w:type="dxa"/>
            <w:tcBorders>
              <w:top w:val="single" w:sz="4" w:space="0" w:color="auto"/>
              <w:left w:val="single" w:sz="4" w:space="0" w:color="auto"/>
              <w:bottom w:val="single" w:sz="4" w:space="0" w:color="auto"/>
              <w:right w:val="single" w:sz="4" w:space="0" w:color="auto"/>
            </w:tcBorders>
          </w:tcPr>
          <w:p w14:paraId="46880C4B" w14:textId="77777777" w:rsidR="00FB4E58" w:rsidRDefault="00FB4E58" w:rsidP="00A65805">
            <w:pPr>
              <w:pStyle w:val="TableText"/>
              <w:rPr>
                <w:b/>
                <w:bCs/>
                <w:szCs w:val="18"/>
              </w:rPr>
            </w:pPr>
          </w:p>
          <w:p w14:paraId="6C4C7E2C" w14:textId="22DA3B14" w:rsidR="00FB4E58" w:rsidRDefault="00FB4E58" w:rsidP="00A65805">
            <w:pPr>
              <w:pStyle w:val="TableText"/>
              <w:rPr>
                <w:b/>
                <w:bCs/>
                <w:szCs w:val="18"/>
              </w:rPr>
            </w:pPr>
            <w:r>
              <w:rPr>
                <w:b/>
                <w:bCs/>
                <w:szCs w:val="18"/>
              </w:rPr>
              <w:t>NOTES</w:t>
            </w:r>
          </w:p>
          <w:p w14:paraId="4D915186" w14:textId="77777777" w:rsidR="00FB4E58" w:rsidRDefault="00FB4E58" w:rsidP="00A65805">
            <w:pPr>
              <w:pStyle w:val="NotesText"/>
            </w:pPr>
          </w:p>
          <w:p w14:paraId="5AF15F1D" w14:textId="77777777" w:rsidR="00FB4E58" w:rsidRDefault="00FB4E58" w:rsidP="00F95BCA">
            <w:pPr>
              <w:pStyle w:val="NotesText"/>
            </w:pPr>
            <w:r>
              <w:t>The default lot expiration date is one minute before midnig</w:t>
            </w:r>
            <w:r w:rsidR="00F95BCA">
              <w:t>ht (23:59) of the current date.</w:t>
            </w:r>
          </w:p>
        </w:tc>
      </w:tr>
      <w:tr w:rsidR="00FB4E58" w14:paraId="6F903EB3" w14:textId="77777777">
        <w:tc>
          <w:tcPr>
            <w:tcW w:w="3240" w:type="dxa"/>
            <w:tcBorders>
              <w:top w:val="single" w:sz="4" w:space="0" w:color="auto"/>
              <w:left w:val="single" w:sz="4" w:space="0" w:color="auto"/>
              <w:bottom w:val="single" w:sz="4" w:space="0" w:color="auto"/>
              <w:right w:val="single" w:sz="4" w:space="0" w:color="auto"/>
            </w:tcBorders>
          </w:tcPr>
          <w:p w14:paraId="7C55740C" w14:textId="77777777" w:rsidR="00FB4E58" w:rsidRDefault="00FB4E58" w:rsidP="00A65805">
            <w:pPr>
              <w:pStyle w:val="TableTextNumbers"/>
            </w:pPr>
            <w:r>
              <w:t>Visual Inspection Information:</w:t>
            </w:r>
          </w:p>
          <w:p w14:paraId="7551F701" w14:textId="77777777" w:rsidR="00FB4E58" w:rsidRDefault="00FB4E58" w:rsidP="00A65805">
            <w:pPr>
              <w:pStyle w:val="TableTextNumbersContinued"/>
              <w:rPr>
                <w:b/>
                <w:bCs/>
              </w:rPr>
            </w:pPr>
          </w:p>
          <w:p w14:paraId="647DCAEF" w14:textId="77777777" w:rsidR="00FB4E58" w:rsidRDefault="00FB4E58" w:rsidP="00A65805">
            <w:pPr>
              <w:pStyle w:val="TableTextNumbersContinued"/>
            </w:pPr>
            <w:r>
              <w:t xml:space="preserve">Click the </w:t>
            </w:r>
            <w:r>
              <w:rPr>
                <w:b/>
              </w:rPr>
              <w:t xml:space="preserve">Satisfactory </w:t>
            </w:r>
            <w:r w:rsidRPr="00BF2E41">
              <w:t>radio button</w:t>
            </w:r>
            <w:r>
              <w:t xml:space="preserve">, or click the </w:t>
            </w:r>
            <w:r>
              <w:rPr>
                <w:b/>
              </w:rPr>
              <w:t xml:space="preserve">Unsatisfactory </w:t>
            </w:r>
            <w:r w:rsidRPr="00BF2E41">
              <w:t>radio button</w:t>
            </w:r>
            <w:r>
              <w:t xml:space="preserve"> and select a comment from the drop-down list in the Comment field.</w:t>
            </w:r>
          </w:p>
          <w:p w14:paraId="48DF307B" w14:textId="77777777" w:rsidR="00FB4E58" w:rsidRDefault="00FB4E58" w:rsidP="00A65805">
            <w:pPr>
              <w:pStyle w:val="TableTextNumbersContinued"/>
            </w:pPr>
          </w:p>
          <w:p w14:paraId="3553A99D" w14:textId="77777777" w:rsidR="00FB4E58" w:rsidRDefault="00FB4E58" w:rsidP="00A65805">
            <w:pPr>
              <w:pStyle w:val="TableTextNumbersContinued"/>
            </w:pPr>
            <w:r>
              <w:t xml:space="preserve">Click </w:t>
            </w:r>
            <w:r>
              <w:rPr>
                <w:b/>
              </w:rPr>
              <w:t>Add</w:t>
            </w:r>
            <w:r>
              <w:t xml:space="preserve"> to add the reagents to the inventory list.</w:t>
            </w:r>
          </w:p>
        </w:tc>
        <w:tc>
          <w:tcPr>
            <w:tcW w:w="6120" w:type="dxa"/>
            <w:tcBorders>
              <w:top w:val="single" w:sz="4" w:space="0" w:color="auto"/>
              <w:left w:val="single" w:sz="4" w:space="0" w:color="auto"/>
              <w:bottom w:val="single" w:sz="4" w:space="0" w:color="auto"/>
              <w:right w:val="single" w:sz="4" w:space="0" w:color="auto"/>
            </w:tcBorders>
          </w:tcPr>
          <w:p w14:paraId="659EB816" w14:textId="77777777" w:rsidR="00FB4E58" w:rsidRDefault="00FB4E58" w:rsidP="00A65805">
            <w:pPr>
              <w:pStyle w:val="TableText"/>
              <w:rPr>
                <w:b/>
                <w:bCs/>
                <w:szCs w:val="18"/>
              </w:rPr>
            </w:pPr>
          </w:p>
          <w:p w14:paraId="15090BD9" w14:textId="2919208B" w:rsidR="00FB4E58" w:rsidRDefault="00FB4E58" w:rsidP="00A65805">
            <w:pPr>
              <w:pStyle w:val="TableText"/>
              <w:rPr>
                <w:b/>
                <w:bCs/>
                <w:szCs w:val="18"/>
              </w:rPr>
            </w:pPr>
            <w:r>
              <w:rPr>
                <w:b/>
                <w:bCs/>
                <w:szCs w:val="18"/>
              </w:rPr>
              <w:t>NOTES</w:t>
            </w:r>
          </w:p>
          <w:p w14:paraId="17182DDF" w14:textId="77777777" w:rsidR="00FB4E58" w:rsidRDefault="00FB4E58" w:rsidP="00A65805">
            <w:pPr>
              <w:pStyle w:val="NotesText"/>
            </w:pPr>
          </w:p>
          <w:p w14:paraId="15A473AB" w14:textId="77777777" w:rsidR="00FB4E58" w:rsidRDefault="00FB4E58" w:rsidP="00A65805">
            <w:pPr>
              <w:pStyle w:val="NotesText"/>
            </w:pPr>
            <w:r>
              <w:t>Satisfactory reagent</w:t>
            </w:r>
            <w:r w:rsidR="001017A2">
              <w:t>s are</w:t>
            </w:r>
            <w:r>
              <w:t xml:space="preserve"> available for later selection, unsatisfactory reagent</w:t>
            </w:r>
            <w:r w:rsidR="001017A2">
              <w:t>s</w:t>
            </w:r>
            <w:r>
              <w:t xml:space="preserve"> are not.</w:t>
            </w:r>
          </w:p>
          <w:p w14:paraId="60F62EAD" w14:textId="77777777" w:rsidR="00FB4E58" w:rsidRDefault="00FB4E58" w:rsidP="00A65805">
            <w:pPr>
              <w:pStyle w:val="NotesText"/>
            </w:pPr>
          </w:p>
          <w:p w14:paraId="5F698E98" w14:textId="77777777" w:rsidR="00FB4E58" w:rsidRDefault="00FB4E58" w:rsidP="00A65805">
            <w:pPr>
              <w:pStyle w:val="NotesText"/>
            </w:pPr>
            <w:r>
              <w:t>When a user selects Other from the drop-down list in the Comment field, entry of additional text in the Details field is required.</w:t>
            </w:r>
          </w:p>
        </w:tc>
      </w:tr>
      <w:tr w:rsidR="00FB4E58" w14:paraId="56B42877"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0BC23EEF" w14:textId="77777777" w:rsidR="00FB4E58" w:rsidRDefault="00FB4E58" w:rsidP="00A65805">
            <w:pPr>
              <w:pStyle w:val="TableTextNumbers"/>
            </w:pPr>
            <w:r>
              <w:lastRenderedPageBreak/>
              <w:t>Repeat Steps 3–5 to log in more supplies, as desired.</w:t>
            </w:r>
          </w:p>
        </w:tc>
        <w:tc>
          <w:tcPr>
            <w:tcW w:w="6120" w:type="dxa"/>
            <w:tcBorders>
              <w:top w:val="single" w:sz="4" w:space="0" w:color="auto"/>
              <w:left w:val="single" w:sz="4" w:space="0" w:color="auto"/>
              <w:bottom w:val="single" w:sz="4" w:space="0" w:color="auto"/>
              <w:right w:val="single" w:sz="4" w:space="0" w:color="auto"/>
            </w:tcBorders>
          </w:tcPr>
          <w:p w14:paraId="35F50B80" w14:textId="77777777" w:rsidR="00FB4E58" w:rsidRDefault="00FB4E58" w:rsidP="00A65805">
            <w:pPr>
              <w:pStyle w:val="TableText"/>
              <w:rPr>
                <w:b/>
                <w:bCs/>
                <w:szCs w:val="18"/>
              </w:rPr>
            </w:pPr>
          </w:p>
          <w:p w14:paraId="14C6FB94" w14:textId="440249C4" w:rsidR="00FB4E58" w:rsidRDefault="00FB4E58" w:rsidP="00A65805">
            <w:pPr>
              <w:pStyle w:val="TableText"/>
              <w:rPr>
                <w:b/>
                <w:bCs/>
                <w:szCs w:val="18"/>
              </w:rPr>
            </w:pPr>
            <w:r>
              <w:rPr>
                <w:b/>
                <w:bCs/>
                <w:szCs w:val="18"/>
              </w:rPr>
              <w:t>NOTES</w:t>
            </w:r>
          </w:p>
          <w:p w14:paraId="30AE1A95" w14:textId="77777777" w:rsidR="00FB4E58" w:rsidRDefault="00FB4E58" w:rsidP="00A65805">
            <w:pPr>
              <w:pStyle w:val="NotesText"/>
            </w:pPr>
          </w:p>
          <w:p w14:paraId="223E9A5A" w14:textId="77777777" w:rsidR="00FB4E58" w:rsidRDefault="00FB4E58" w:rsidP="00A65805">
            <w:pPr>
              <w:pStyle w:val="NotesText"/>
            </w:pPr>
            <w:r>
              <w:rPr>
                <w:rFonts w:cs="Arial"/>
                <w:vanish/>
              </w:rPr>
              <w:t xml:space="preserve">BR_81.03 </w:t>
            </w:r>
            <w:r>
              <w:t xml:space="preserve">Click </w:t>
            </w:r>
            <w:r>
              <w:rPr>
                <w:b/>
              </w:rPr>
              <w:t>Clear</w:t>
            </w:r>
            <w:r>
              <w:t xml:space="preserve"> to clear all but the Invoice Number, Date Received, Manufacturer, and Lot Expiration Date fields.</w:t>
            </w:r>
          </w:p>
        </w:tc>
      </w:tr>
      <w:tr w:rsidR="00FB4E58" w14:paraId="12ADDBE2" w14:textId="77777777">
        <w:tc>
          <w:tcPr>
            <w:tcW w:w="3240" w:type="dxa"/>
            <w:tcBorders>
              <w:top w:val="single" w:sz="4" w:space="0" w:color="auto"/>
              <w:left w:val="single" w:sz="4" w:space="0" w:color="auto"/>
              <w:bottom w:val="single" w:sz="4" w:space="0" w:color="auto"/>
              <w:right w:val="single" w:sz="4" w:space="0" w:color="auto"/>
            </w:tcBorders>
          </w:tcPr>
          <w:p w14:paraId="588138CB" w14:textId="77777777" w:rsidR="00FB4E58" w:rsidRDefault="00FB4E58" w:rsidP="00A65805">
            <w:pPr>
              <w:pStyle w:val="TableTextNumbers"/>
            </w:pPr>
            <w:r>
              <w:t xml:space="preserve">Click </w:t>
            </w:r>
            <w:r>
              <w:rPr>
                <w:b/>
              </w:rPr>
              <w:t>OK</w:t>
            </w:r>
            <w:r>
              <w:t xml:space="preserve"> to save.</w:t>
            </w:r>
          </w:p>
          <w:p w14:paraId="706C9C3C" w14:textId="77777777" w:rsidR="00FB4E58" w:rsidRDefault="00FB4E58" w:rsidP="00A65805">
            <w:pPr>
              <w:pStyle w:val="TableTextNumbersContinued"/>
              <w:rPr>
                <w:b/>
                <w:bCs/>
              </w:rPr>
            </w:pPr>
          </w:p>
          <w:p w14:paraId="11B2977F" w14:textId="77777777" w:rsidR="00FB4E58" w:rsidRDefault="00FB4E58" w:rsidP="00A65805">
            <w:pPr>
              <w:pStyle w:val="TableTextNumbersContinued"/>
              <w:rPr>
                <w:b/>
                <w:bCs/>
              </w:rPr>
            </w:pPr>
            <w:r>
              <w:rPr>
                <w:bCs/>
              </w:rPr>
              <w:t>Clic</w:t>
            </w:r>
            <w:r>
              <w:t xml:space="preserve">k </w:t>
            </w:r>
            <w:r>
              <w:rPr>
                <w:b/>
              </w:rPr>
              <w:t>Yes</w:t>
            </w:r>
            <w:r>
              <w:t xml:space="preserve"> to confirm the save and exit</w:t>
            </w:r>
            <w:r>
              <w:rPr>
                <w:bCs/>
              </w:rPr>
              <w: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269"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0B6A939E" w14:textId="77777777" w:rsidR="00FB4E58" w:rsidRDefault="00FB4E58" w:rsidP="00A65805">
            <w:pPr>
              <w:pStyle w:val="TableTextBullet"/>
            </w:pPr>
            <w:r>
              <w:t>Requests confirmation to update the database.</w:t>
            </w:r>
          </w:p>
        </w:tc>
      </w:tr>
    </w:tbl>
    <w:p w14:paraId="32D92B85" w14:textId="77777777" w:rsidR="00466CF2" w:rsidRDefault="00466CF2" w:rsidP="00613D46">
      <w:pPr>
        <w:pStyle w:val="Heading4"/>
      </w:pPr>
    </w:p>
    <w:p w14:paraId="50674C8E" w14:textId="77777777" w:rsidR="00613D46" w:rsidRDefault="00466CF2" w:rsidP="00613D46">
      <w:pPr>
        <w:pStyle w:val="Heading4"/>
      </w:pPr>
      <w:r>
        <w:br w:type="page"/>
      </w:r>
      <w:r w:rsidR="00613D46">
        <w:lastRenderedPageBreak/>
        <w:t>Update Reagent Inventory</w:t>
      </w:r>
      <w:r w:rsidR="00613D46">
        <w:fldChar w:fldCharType="begin"/>
      </w:r>
      <w:r w:rsidR="00613D46">
        <w:instrText xml:space="preserve"> XE </w:instrText>
      </w:r>
      <w:r w:rsidR="00FA7E65">
        <w:instrText>“</w:instrText>
      </w:r>
      <w:r w:rsidR="00613D46">
        <w:instrText>Update Reagent Inventory</w:instrText>
      </w:r>
      <w:r w:rsidR="00FA7E65">
        <w:instrText>”</w:instrText>
      </w:r>
      <w:r w:rsidR="00613D46">
        <w:instrText xml:space="preserve"> </w:instrText>
      </w:r>
      <w:r w:rsidR="00613D46">
        <w:fldChar w:fldCharType="end"/>
      </w:r>
      <w:r w:rsidR="00613D46">
        <w:t xml:space="preserve"> </w:t>
      </w:r>
    </w:p>
    <w:p w14:paraId="25F0C91E" w14:textId="77777777" w:rsidR="002A21AE" w:rsidRDefault="00C461C7" w:rsidP="007F12F1">
      <w:pPr>
        <w:pStyle w:val="BodyText"/>
      </w:pPr>
      <w:r>
        <w:t>The</w:t>
      </w:r>
      <w:r w:rsidR="00613D46">
        <w:t xml:space="preserve"> user change</w:t>
      </w:r>
      <w:r w:rsidR="003B2E74">
        <w:t>s</w:t>
      </w:r>
      <w:r w:rsidR="00613D46">
        <w:t xml:space="preserve"> the number of available items in the reagent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613D46" w14:paraId="6735F65C" w14:textId="77777777">
        <w:trPr>
          <w:cantSplit/>
          <w:tblHeader/>
        </w:trPr>
        <w:tc>
          <w:tcPr>
            <w:tcW w:w="3240" w:type="dxa"/>
            <w:shd w:val="pct30" w:color="auto" w:fill="FFFFFF"/>
            <w:vAlign w:val="bottom"/>
          </w:tcPr>
          <w:p w14:paraId="21603C19" w14:textId="77777777" w:rsidR="00613D46" w:rsidRDefault="00613D46" w:rsidP="00A65805">
            <w:pPr>
              <w:pStyle w:val="TableText"/>
              <w:rPr>
                <w:b/>
              </w:rPr>
            </w:pPr>
            <w:r>
              <w:rPr>
                <w:b/>
              </w:rPr>
              <w:t>User Action</w:t>
            </w:r>
          </w:p>
        </w:tc>
        <w:tc>
          <w:tcPr>
            <w:tcW w:w="6120" w:type="dxa"/>
            <w:shd w:val="pct30" w:color="auto" w:fill="FFFFFF"/>
            <w:vAlign w:val="bottom"/>
          </w:tcPr>
          <w:p w14:paraId="03EE4767" w14:textId="77777777" w:rsidR="00613D46" w:rsidRDefault="00613D46" w:rsidP="00A65805">
            <w:pPr>
              <w:pStyle w:val="TableText"/>
              <w:rPr>
                <w:b/>
              </w:rPr>
            </w:pPr>
            <w:r>
              <w:rPr>
                <w:b/>
              </w:rPr>
              <w:t>VBECS</w:t>
            </w:r>
          </w:p>
        </w:tc>
      </w:tr>
      <w:tr w:rsidR="00613D46" w14:paraId="2A31BA5A" w14:textId="77777777">
        <w:tc>
          <w:tcPr>
            <w:tcW w:w="3240" w:type="dxa"/>
            <w:tcBorders>
              <w:top w:val="single" w:sz="4" w:space="0" w:color="auto"/>
              <w:left w:val="single" w:sz="4" w:space="0" w:color="auto"/>
              <w:bottom w:val="single" w:sz="4" w:space="0" w:color="auto"/>
              <w:right w:val="single" w:sz="4" w:space="0" w:color="auto"/>
            </w:tcBorders>
          </w:tcPr>
          <w:p w14:paraId="1C390D40" w14:textId="77777777" w:rsidR="00613D46" w:rsidRDefault="00613D46" w:rsidP="002244F1">
            <w:pPr>
              <w:pStyle w:val="TableTextNumbers"/>
            </w:pPr>
            <w:r>
              <w:t xml:space="preserve">Select </w:t>
            </w:r>
            <w:r>
              <w:rPr>
                <w:b/>
              </w:rPr>
              <w:t>Reagents</w:t>
            </w:r>
            <w:r>
              <w:t xml:space="preserve"> from the main menu.</w:t>
            </w:r>
          </w:p>
        </w:tc>
        <w:tc>
          <w:tcPr>
            <w:tcW w:w="6120" w:type="dxa"/>
            <w:tcBorders>
              <w:top w:val="single" w:sz="4" w:space="0" w:color="auto"/>
              <w:left w:val="single" w:sz="4" w:space="0" w:color="auto"/>
              <w:bottom w:val="single" w:sz="4" w:space="0" w:color="auto"/>
              <w:right w:val="single" w:sz="4" w:space="0" w:color="auto"/>
            </w:tcBorders>
          </w:tcPr>
          <w:p w14:paraId="53BE2452" w14:textId="77777777" w:rsidR="00613D46" w:rsidRDefault="00613D46" w:rsidP="00A65805">
            <w:pPr>
              <w:pStyle w:val="TableTextBullet"/>
            </w:pPr>
            <w:r>
              <w:t xml:space="preserve">Displays options for Quality Control functions. </w:t>
            </w:r>
          </w:p>
          <w:p w14:paraId="40842FFC" w14:textId="77777777" w:rsidR="00613D46" w:rsidRDefault="00613D46" w:rsidP="00A65805">
            <w:pPr>
              <w:pStyle w:val="TableTextBullet"/>
            </w:pPr>
            <w:r>
              <w:t>Displays options for processing reagents.</w:t>
            </w:r>
          </w:p>
        </w:tc>
      </w:tr>
      <w:tr w:rsidR="00613D46" w14:paraId="3731B081" w14:textId="77777777">
        <w:tc>
          <w:tcPr>
            <w:tcW w:w="3240" w:type="dxa"/>
          </w:tcPr>
          <w:p w14:paraId="50C6E670" w14:textId="77777777" w:rsidR="00613D46" w:rsidRDefault="00613D46" w:rsidP="00AB00F0">
            <w:pPr>
              <w:pStyle w:val="TableTextNumbers"/>
            </w:pPr>
            <w:r>
              <w:t xml:space="preserve">Select </w:t>
            </w:r>
            <w:r>
              <w:rPr>
                <w:b/>
              </w:rPr>
              <w:t>Update Inventory</w:t>
            </w:r>
            <w:r>
              <w:t>.</w:t>
            </w:r>
          </w:p>
        </w:tc>
        <w:tc>
          <w:tcPr>
            <w:tcW w:w="6120" w:type="dxa"/>
          </w:tcPr>
          <w:p w14:paraId="7983250F" w14:textId="77777777" w:rsidR="00613D46" w:rsidRDefault="00613D46" w:rsidP="00A65805">
            <w:pPr>
              <w:pStyle w:val="TableTextBullet"/>
            </w:pPr>
            <w:r>
              <w:t>Lists existing satisfactory reagents by default.</w:t>
            </w:r>
          </w:p>
        </w:tc>
      </w:tr>
      <w:tr w:rsidR="00613D46" w14:paraId="4EBCA6C7" w14:textId="77777777">
        <w:tc>
          <w:tcPr>
            <w:tcW w:w="3240" w:type="dxa"/>
            <w:tcBorders>
              <w:top w:val="single" w:sz="4" w:space="0" w:color="auto"/>
              <w:left w:val="single" w:sz="4" w:space="0" w:color="auto"/>
              <w:bottom w:val="single" w:sz="4" w:space="0" w:color="auto"/>
              <w:right w:val="single" w:sz="4" w:space="0" w:color="auto"/>
            </w:tcBorders>
          </w:tcPr>
          <w:p w14:paraId="084D08AD" w14:textId="77777777" w:rsidR="00613D46" w:rsidRDefault="00613D46" w:rsidP="00A65805">
            <w:pPr>
              <w:pStyle w:val="TableTextNumbers"/>
            </w:pPr>
            <w:r>
              <w:t>Select a reagent to edit.</w:t>
            </w:r>
          </w:p>
          <w:p w14:paraId="0E529716" w14:textId="77777777" w:rsidR="00613D46" w:rsidRDefault="00613D46" w:rsidP="00A65805">
            <w:pPr>
              <w:pStyle w:val="TableTextNumbersContinued"/>
            </w:pPr>
          </w:p>
          <w:p w14:paraId="117AF05A" w14:textId="77777777" w:rsidR="00613D46" w:rsidRDefault="00613D46" w:rsidP="00A65805">
            <w:pPr>
              <w:pStyle w:val="TableTextNumbersContinued"/>
            </w:pPr>
            <w:r>
              <w:t xml:space="preserve">To view </w:t>
            </w:r>
            <w:r w:rsidR="00E516F6">
              <w:t>reagents</w:t>
            </w:r>
            <w:r>
              <w:t xml:space="preserve"> with a specific lot number, enter the lot number in the Lot # field and click the </w:t>
            </w:r>
            <w:r>
              <w:rPr>
                <w:b/>
              </w:rPr>
              <w:t>magnifying glass</w:t>
            </w:r>
            <w:r>
              <w:t>.</w:t>
            </w:r>
          </w:p>
        </w:tc>
        <w:tc>
          <w:tcPr>
            <w:tcW w:w="6120" w:type="dxa"/>
            <w:tcBorders>
              <w:top w:val="single" w:sz="4" w:space="0" w:color="auto"/>
              <w:left w:val="single" w:sz="4" w:space="0" w:color="auto"/>
              <w:bottom w:val="single" w:sz="4" w:space="0" w:color="auto"/>
              <w:right w:val="single" w:sz="4" w:space="0" w:color="auto"/>
            </w:tcBorders>
          </w:tcPr>
          <w:p w14:paraId="34635981" w14:textId="77777777" w:rsidR="00613D46" w:rsidRDefault="00613D46" w:rsidP="00A65805">
            <w:pPr>
              <w:pStyle w:val="TableText"/>
            </w:pPr>
          </w:p>
          <w:p w14:paraId="626D752A" w14:textId="26D4B2CE" w:rsidR="00613D46" w:rsidRDefault="00613D46" w:rsidP="00A65805">
            <w:pPr>
              <w:pStyle w:val="TableText"/>
              <w:rPr>
                <w:b/>
                <w:bCs/>
                <w:szCs w:val="18"/>
              </w:rPr>
            </w:pPr>
            <w:r>
              <w:rPr>
                <w:b/>
                <w:bCs/>
                <w:szCs w:val="18"/>
              </w:rPr>
              <w:t>NOTES</w:t>
            </w:r>
          </w:p>
          <w:p w14:paraId="1C34BB27" w14:textId="77777777" w:rsidR="00613D46" w:rsidRDefault="00613D46" w:rsidP="00A65805">
            <w:pPr>
              <w:pStyle w:val="NotesText"/>
            </w:pPr>
          </w:p>
          <w:p w14:paraId="2DFC9A6A" w14:textId="77777777" w:rsidR="00613D46" w:rsidRDefault="00613D46" w:rsidP="00A65805">
            <w:pPr>
              <w:pStyle w:val="NotesText"/>
            </w:pPr>
            <w:r>
              <w:t>Click a reagent type to reveal manufacturer names. Click a manufacturer name to reveal lot numbers.</w:t>
            </w:r>
          </w:p>
        </w:tc>
      </w:tr>
      <w:tr w:rsidR="00613D46" w14:paraId="257998E3" w14:textId="77777777">
        <w:tc>
          <w:tcPr>
            <w:tcW w:w="3240" w:type="dxa"/>
            <w:tcBorders>
              <w:top w:val="single" w:sz="4" w:space="0" w:color="auto"/>
              <w:left w:val="single" w:sz="4" w:space="0" w:color="auto"/>
              <w:bottom w:val="single" w:sz="4" w:space="0" w:color="auto"/>
              <w:right w:val="single" w:sz="4" w:space="0" w:color="auto"/>
            </w:tcBorders>
          </w:tcPr>
          <w:p w14:paraId="36570B11" w14:textId="77777777" w:rsidR="00613D46" w:rsidRDefault="00613D46" w:rsidP="00A65805">
            <w:pPr>
              <w:pStyle w:val="TableTextNumbers"/>
            </w:pPr>
            <w:r>
              <w:t>Click a lot number to enable the Number of Vials Available field.</w:t>
            </w:r>
          </w:p>
          <w:p w14:paraId="44505ECC" w14:textId="77777777" w:rsidR="00613D46" w:rsidRDefault="00613D46" w:rsidP="00A65805">
            <w:pPr>
              <w:pStyle w:val="TableTextNumbersContinued"/>
            </w:pPr>
          </w:p>
          <w:p w14:paraId="5A5186DC" w14:textId="77777777" w:rsidR="00613D46" w:rsidRDefault="00613D46" w:rsidP="00A65805">
            <w:pPr>
              <w:pStyle w:val="TableTextNumbersContinued"/>
            </w:pPr>
            <w:r>
              <w:t>Enter (or select) a quantity that is less than or equal to the current entry in the Quantity Available field.</w:t>
            </w:r>
          </w:p>
          <w:p w14:paraId="04AF7C18" w14:textId="77777777" w:rsidR="00613D46" w:rsidRDefault="00613D46" w:rsidP="00A65805">
            <w:pPr>
              <w:pStyle w:val="TableTextNumbersContinued"/>
            </w:pPr>
          </w:p>
          <w:p w14:paraId="5B3853D9" w14:textId="38AD4A93" w:rsidR="00613D46" w:rsidRDefault="00613D46" w:rsidP="00A65805">
            <w:pPr>
              <w:pStyle w:val="TableTextNumbersContinued"/>
            </w:pPr>
            <w:r>
              <w:t>Select or edit the date and time in the Date Changed field</w:t>
            </w:r>
            <w:r w:rsidR="00580E36">
              <w:t xml:space="preserve"> (</w:t>
            </w:r>
            <w:r w:rsidR="00580E36">
              <w:fldChar w:fldCharType="begin"/>
            </w:r>
            <w:r w:rsidR="00580E36">
              <w:instrText xml:space="preserve"> REF _Ref126549074 \h </w:instrText>
            </w:r>
            <w:r w:rsidR="00580E36">
              <w:fldChar w:fldCharType="separate"/>
            </w:r>
            <w:r w:rsidR="004353ED">
              <w:t xml:space="preserve">Figure </w:t>
            </w:r>
            <w:r w:rsidR="004353ED">
              <w:rPr>
                <w:noProof/>
              </w:rPr>
              <w:t>61</w:t>
            </w:r>
            <w:r w:rsidR="00580E36">
              <w:fldChar w:fldCharType="end"/>
            </w:r>
            <w:r w:rsidR="00580E36">
              <w:t>)</w:t>
            </w:r>
            <w:r>
              <w:t>.</w:t>
            </w:r>
          </w:p>
        </w:tc>
        <w:tc>
          <w:tcPr>
            <w:tcW w:w="6120" w:type="dxa"/>
            <w:tcBorders>
              <w:top w:val="single" w:sz="4" w:space="0" w:color="auto"/>
              <w:left w:val="single" w:sz="4" w:space="0" w:color="auto"/>
              <w:bottom w:val="single" w:sz="4" w:space="0" w:color="auto"/>
              <w:right w:val="single" w:sz="4" w:space="0" w:color="auto"/>
            </w:tcBorders>
          </w:tcPr>
          <w:p w14:paraId="1AF58F57" w14:textId="77777777" w:rsidR="00613D46" w:rsidRDefault="00613D46" w:rsidP="00A65805">
            <w:pPr>
              <w:pStyle w:val="TableText"/>
            </w:pPr>
          </w:p>
          <w:p w14:paraId="5988B879" w14:textId="48DC5111" w:rsidR="00613D46" w:rsidRDefault="00613D46" w:rsidP="00A65805">
            <w:pPr>
              <w:pStyle w:val="TableText"/>
              <w:rPr>
                <w:b/>
                <w:bCs/>
                <w:szCs w:val="18"/>
              </w:rPr>
            </w:pPr>
            <w:r>
              <w:rPr>
                <w:b/>
                <w:bCs/>
                <w:szCs w:val="18"/>
              </w:rPr>
              <w:t>NOTES</w:t>
            </w:r>
          </w:p>
          <w:p w14:paraId="6D19D8D0" w14:textId="77777777" w:rsidR="00613D46" w:rsidRDefault="00613D46" w:rsidP="00A65805">
            <w:pPr>
              <w:pStyle w:val="NotesText"/>
            </w:pPr>
          </w:p>
          <w:p w14:paraId="139FA21F" w14:textId="77777777" w:rsidR="00613D46" w:rsidRDefault="00613D46" w:rsidP="00A65805">
            <w:pPr>
              <w:pStyle w:val="NotesText"/>
            </w:pPr>
            <w:r>
              <w:t>The default change date is the current date and time. The user may edit it to a past date and time only.</w:t>
            </w:r>
          </w:p>
          <w:p w14:paraId="6E1B2ACB" w14:textId="77777777" w:rsidR="00613D46" w:rsidRDefault="00613D46" w:rsidP="00A65805">
            <w:pPr>
              <w:pStyle w:val="NotesText"/>
            </w:pPr>
          </w:p>
          <w:p w14:paraId="23459C0B" w14:textId="5E12FEB6" w:rsidR="00613D46" w:rsidRDefault="00AC4234" w:rsidP="00A65805">
            <w:pPr>
              <w:pStyle w:val="NotesText"/>
            </w:pPr>
            <w:r w:rsidRPr="00AC4234">
              <w:t xml:space="preserve">The list of selectable comments in Reason for Change field is not associated with a canned comment category. </w:t>
            </w:r>
            <w:r w:rsidR="00613D46">
              <w:t>When a user selects Other from the drop-down list in the Reason for Change field, he may enter additional text in the Comments field.</w:t>
            </w:r>
          </w:p>
          <w:p w14:paraId="408013DC" w14:textId="67AEB418" w:rsidR="006B451C" w:rsidRDefault="006B451C" w:rsidP="00A65805">
            <w:pPr>
              <w:pStyle w:val="NotesText"/>
            </w:pPr>
            <w:r>
              <w:t>To avoid a system error, d</w:t>
            </w:r>
            <w:r w:rsidRPr="006B451C">
              <w:t>o not remove the reason for change before saving.</w:t>
            </w:r>
            <w:r w:rsidR="0002020B">
              <w:t xml:space="preserve"> </w:t>
            </w:r>
            <w:r w:rsidR="0002020B" w:rsidRPr="0002020B">
              <w:rPr>
                <w:vanish/>
              </w:rPr>
              <w:t>Defect 209684</w:t>
            </w:r>
            <w:r w:rsidR="0002020B">
              <w:rPr>
                <w:vanish/>
              </w:rPr>
              <w:t>, 210320</w:t>
            </w:r>
          </w:p>
          <w:p w14:paraId="0C86ABCD" w14:textId="77777777" w:rsidR="00613D46" w:rsidRDefault="00613D46" w:rsidP="00A65805">
            <w:pPr>
              <w:pStyle w:val="NotesText"/>
            </w:pPr>
          </w:p>
        </w:tc>
      </w:tr>
      <w:tr w:rsidR="00613D46" w14:paraId="55D6100F" w14:textId="77777777">
        <w:tc>
          <w:tcPr>
            <w:tcW w:w="3240" w:type="dxa"/>
            <w:tcBorders>
              <w:top w:val="single" w:sz="4" w:space="0" w:color="auto"/>
              <w:left w:val="single" w:sz="4" w:space="0" w:color="auto"/>
              <w:bottom w:val="single" w:sz="4" w:space="0" w:color="auto"/>
              <w:right w:val="single" w:sz="4" w:space="0" w:color="auto"/>
            </w:tcBorders>
          </w:tcPr>
          <w:p w14:paraId="44EB05E5" w14:textId="77777777" w:rsidR="00613D46" w:rsidRDefault="00613D46" w:rsidP="00A65805">
            <w:pPr>
              <w:pStyle w:val="TableTextNumbers"/>
            </w:pPr>
            <w:r>
              <w:t>Repeat Steps 3 and 4 to edit more reagents</w:t>
            </w:r>
            <w:r w:rsidR="00E516F6">
              <w:t>,</w:t>
            </w:r>
            <w:r>
              <w:t xml:space="preserve"> as desired.</w:t>
            </w:r>
          </w:p>
        </w:tc>
        <w:tc>
          <w:tcPr>
            <w:tcW w:w="6120" w:type="dxa"/>
            <w:tcBorders>
              <w:top w:val="single" w:sz="4" w:space="0" w:color="auto"/>
              <w:left w:val="single" w:sz="4" w:space="0" w:color="auto"/>
              <w:bottom w:val="single" w:sz="4" w:space="0" w:color="auto"/>
              <w:right w:val="single" w:sz="4" w:space="0" w:color="auto"/>
            </w:tcBorders>
          </w:tcPr>
          <w:p w14:paraId="074DFC55" w14:textId="77777777" w:rsidR="00613D46" w:rsidRDefault="00613D46" w:rsidP="00A65805">
            <w:pPr>
              <w:pStyle w:val="TableText"/>
            </w:pPr>
          </w:p>
        </w:tc>
      </w:tr>
      <w:tr w:rsidR="00613D46" w14:paraId="3E9E568F" w14:textId="77777777">
        <w:tc>
          <w:tcPr>
            <w:tcW w:w="3240" w:type="dxa"/>
            <w:tcBorders>
              <w:top w:val="single" w:sz="4" w:space="0" w:color="auto"/>
              <w:left w:val="single" w:sz="4" w:space="0" w:color="auto"/>
              <w:bottom w:val="single" w:sz="4" w:space="0" w:color="auto"/>
              <w:right w:val="single" w:sz="4" w:space="0" w:color="auto"/>
            </w:tcBorders>
          </w:tcPr>
          <w:p w14:paraId="1032FEB9" w14:textId="77777777" w:rsidR="00613D46" w:rsidRDefault="00613D46" w:rsidP="00A65805">
            <w:pPr>
              <w:pStyle w:val="TableTextNumbers"/>
            </w:pPr>
            <w:r>
              <w:t xml:space="preserve">Click </w:t>
            </w:r>
            <w:r>
              <w:rPr>
                <w:b/>
              </w:rPr>
              <w:t>OK</w:t>
            </w:r>
            <w:r>
              <w:t xml:space="preserve"> to save.</w:t>
            </w:r>
          </w:p>
          <w:p w14:paraId="0F62A892" w14:textId="77777777" w:rsidR="00613D46" w:rsidRDefault="00613D46" w:rsidP="00A65805">
            <w:pPr>
              <w:pStyle w:val="TableTextNumbersContinued"/>
            </w:pPr>
          </w:p>
          <w:p w14:paraId="56E9A6B4" w14:textId="77777777" w:rsidR="00613D46" w:rsidRDefault="00613D46" w:rsidP="00A65805">
            <w:pPr>
              <w:pStyle w:val="TableTextNumbersContinued"/>
            </w:pPr>
            <w:r>
              <w:t xml:space="preserve">Click </w:t>
            </w:r>
            <w:r>
              <w:rPr>
                <w:b/>
              </w:rPr>
              <w:t>Yes</w:t>
            </w:r>
            <w:r>
              <w:t xml:space="preserve"> to confirm the save and view the updated list.</w:t>
            </w:r>
          </w:p>
        </w:tc>
        <w:tc>
          <w:tcPr>
            <w:tcW w:w="6120" w:type="dxa"/>
            <w:tcBorders>
              <w:top w:val="single" w:sz="4" w:space="0" w:color="auto"/>
              <w:left w:val="single" w:sz="4" w:space="0" w:color="auto"/>
              <w:bottom w:val="single" w:sz="4" w:space="0" w:color="auto"/>
              <w:right w:val="single" w:sz="4" w:space="0" w:color="auto"/>
            </w:tcBorders>
          </w:tcPr>
          <w:p w14:paraId="5CAD3409" w14:textId="77777777" w:rsidR="00613D46" w:rsidRDefault="00613D46" w:rsidP="00A65805">
            <w:pPr>
              <w:pStyle w:val="TableTextBullet"/>
            </w:pPr>
            <w:r>
              <w:t xml:space="preserve">Prompts </w:t>
            </w:r>
            <w:r w:rsidR="00E516F6">
              <w:t>the user to confirm</w:t>
            </w:r>
            <w:r>
              <w:t xml:space="preserve"> the save.</w:t>
            </w:r>
          </w:p>
          <w:p w14:paraId="7BB225A4" w14:textId="77777777" w:rsidR="00613D46" w:rsidRDefault="00613D46" w:rsidP="00A65805">
            <w:pPr>
              <w:pStyle w:val="TableTextBullet"/>
            </w:pPr>
            <w:r>
              <w:t xml:space="preserve">Saves the record and redisplays current inventory, as in Step 3. </w:t>
            </w:r>
          </w:p>
          <w:p w14:paraId="7C5B05C0" w14:textId="77777777" w:rsidR="00613D46" w:rsidRDefault="00613D46" w:rsidP="00A65805">
            <w:pPr>
              <w:pStyle w:val="TableTextBullet"/>
            </w:pPr>
            <w:r>
              <w:t>Displays an option to exit.</w:t>
            </w:r>
          </w:p>
          <w:p w14:paraId="4AF89CA6" w14:textId="68C39AB3" w:rsidR="0050266C" w:rsidRDefault="0050266C" w:rsidP="0050266C">
            <w:pPr>
              <w:pStyle w:val="TableTextBullet"/>
            </w:pPr>
            <w:r w:rsidRPr="0050266C">
              <w:t>Click the Clear button to continue</w:t>
            </w:r>
            <w:r>
              <w:t xml:space="preserve"> if a warning message displays after selecting “No” to the entry confirmation message.</w:t>
            </w:r>
            <w:r w:rsidR="0002020B">
              <w:t xml:space="preserve"> </w:t>
            </w:r>
            <w:r w:rsidR="0002020B" w:rsidRPr="0002020B">
              <w:rPr>
                <w:vanish/>
              </w:rPr>
              <w:t>Defect 208884</w:t>
            </w:r>
          </w:p>
        </w:tc>
      </w:tr>
      <w:tr w:rsidR="00613D46" w14:paraId="0D8FF827" w14:textId="77777777">
        <w:tc>
          <w:tcPr>
            <w:tcW w:w="3240" w:type="dxa"/>
            <w:tcBorders>
              <w:top w:val="single" w:sz="4" w:space="0" w:color="auto"/>
              <w:left w:val="single" w:sz="4" w:space="0" w:color="auto"/>
              <w:bottom w:val="single" w:sz="4" w:space="0" w:color="auto"/>
              <w:right w:val="single" w:sz="4" w:space="0" w:color="auto"/>
            </w:tcBorders>
          </w:tcPr>
          <w:p w14:paraId="5B6B8603" w14:textId="77777777" w:rsidR="00613D46" w:rsidRDefault="00613D46" w:rsidP="00A65805">
            <w:pPr>
              <w:pStyle w:val="TableTextNumbers"/>
            </w:pPr>
            <w:r>
              <w:t xml:space="preserve">Click </w:t>
            </w:r>
            <w:r>
              <w:rPr>
                <w:b/>
              </w:rPr>
              <w:t>Close</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70"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470107AB" w14:textId="77777777" w:rsidR="00613D46" w:rsidRDefault="00613D46" w:rsidP="00A65805">
            <w:pPr>
              <w:pStyle w:val="NotesText"/>
              <w:ind w:left="0"/>
            </w:pPr>
          </w:p>
        </w:tc>
      </w:tr>
    </w:tbl>
    <w:p w14:paraId="672F9927" w14:textId="1CF4C2DA" w:rsidR="00580E36" w:rsidRDefault="00580E36" w:rsidP="00580E36">
      <w:pPr>
        <w:pStyle w:val="Caption"/>
      </w:pPr>
      <w:bookmarkStart w:id="271" w:name="_Ref12654907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61</w:t>
      </w:r>
      <w:r w:rsidR="004E20BD">
        <w:rPr>
          <w:noProof/>
        </w:rPr>
        <w:fldChar w:fldCharType="end"/>
      </w:r>
      <w:bookmarkEnd w:id="271"/>
      <w:r>
        <w:t>: Update Reagent Inventory</w:t>
      </w:r>
    </w:p>
    <w:p w14:paraId="281354B8" w14:textId="77777777" w:rsidR="00580E36" w:rsidRDefault="00057948" w:rsidP="00580E36">
      <w:pPr>
        <w:pStyle w:val="BodyText"/>
      </w:pPr>
      <w:r>
        <w:rPr>
          <w:noProof/>
        </w:rPr>
        <w:drawing>
          <wp:inline distT="0" distB="0" distL="0" distR="0" wp14:anchorId="00E18D60" wp14:editId="30675D25">
            <wp:extent cx="4460875" cy="3667125"/>
            <wp:effectExtent l="0" t="0" r="0" b="9525"/>
            <wp:docPr id="143" name="Picture 1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a:extLst>
                        <a:ext uri="{C183D7F6-B498-43B3-948B-1728B52AA6E4}">
                          <adec:decorative xmlns:adec="http://schemas.microsoft.com/office/drawing/2017/decorative" val="1"/>
                        </a:ext>
                      </a:extLst>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460875" cy="3667125"/>
                    </a:xfrm>
                    <a:prstGeom prst="rect">
                      <a:avLst/>
                    </a:prstGeom>
                    <a:noFill/>
                    <a:ln>
                      <a:noFill/>
                    </a:ln>
                  </pic:spPr>
                </pic:pic>
              </a:graphicData>
            </a:graphic>
          </wp:inline>
        </w:drawing>
      </w:r>
    </w:p>
    <w:p w14:paraId="08A5F1BC" w14:textId="77777777" w:rsidR="00FE6B9A" w:rsidRDefault="00466CF2" w:rsidP="00FE6B9A">
      <w:pPr>
        <w:pStyle w:val="Heading4"/>
      </w:pPr>
      <w:r>
        <w:br w:type="page"/>
      </w:r>
      <w:r w:rsidR="00FE6B9A">
        <w:lastRenderedPageBreak/>
        <w:t>View/Print Reagent Inventory</w:t>
      </w:r>
      <w:r w:rsidR="00FE6B9A">
        <w:fldChar w:fldCharType="begin"/>
      </w:r>
      <w:r w:rsidR="00FE6B9A">
        <w:instrText xml:space="preserve"> XE </w:instrText>
      </w:r>
      <w:r w:rsidR="00FA7E65">
        <w:instrText>“</w:instrText>
      </w:r>
      <w:r w:rsidR="00FE6B9A">
        <w:instrText>View/Print Reagent Inventory</w:instrText>
      </w:r>
      <w:r w:rsidR="00FA7E65">
        <w:instrText>”</w:instrText>
      </w:r>
      <w:r w:rsidR="00FE6B9A">
        <w:instrText xml:space="preserve"> </w:instrText>
      </w:r>
      <w:r w:rsidR="00FE6B9A">
        <w:fldChar w:fldCharType="end"/>
      </w:r>
      <w:r w:rsidR="00FE6B9A">
        <w:t xml:space="preserve"> </w:t>
      </w:r>
    </w:p>
    <w:p w14:paraId="6137796F" w14:textId="77777777" w:rsidR="002A21AE" w:rsidRDefault="00C461C7" w:rsidP="007F12F1">
      <w:pPr>
        <w:pStyle w:val="BodyText"/>
      </w:pPr>
      <w:r>
        <w:t>The</w:t>
      </w:r>
      <w:r w:rsidR="00FE6B9A">
        <w:t xml:space="preserve"> user view</w:t>
      </w:r>
      <w:r w:rsidR="00F859D5">
        <w:t>s</w:t>
      </w:r>
      <w:r w:rsidR="00FE6B9A">
        <w:t xml:space="preserve"> inventory online based on various search criteria and print</w:t>
      </w:r>
      <w:r w:rsidR="00F859D5">
        <w:t>s</w:t>
      </w:r>
      <w:r w:rsidR="00FE6B9A">
        <w:t xml:space="preserve"> the search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E6B9A" w14:paraId="25CFFDBD" w14:textId="77777777">
        <w:trPr>
          <w:cantSplit/>
          <w:tblHeader/>
        </w:trPr>
        <w:tc>
          <w:tcPr>
            <w:tcW w:w="3240" w:type="dxa"/>
            <w:shd w:val="pct30" w:color="auto" w:fill="FFFFFF"/>
            <w:vAlign w:val="bottom"/>
          </w:tcPr>
          <w:p w14:paraId="283A83BF" w14:textId="77777777" w:rsidR="00FE6B9A" w:rsidRDefault="00FE6B9A" w:rsidP="00A65805">
            <w:pPr>
              <w:pStyle w:val="TableText"/>
              <w:rPr>
                <w:b/>
              </w:rPr>
            </w:pPr>
            <w:r>
              <w:rPr>
                <w:b/>
              </w:rPr>
              <w:t>User Action</w:t>
            </w:r>
          </w:p>
        </w:tc>
        <w:tc>
          <w:tcPr>
            <w:tcW w:w="6120" w:type="dxa"/>
            <w:shd w:val="pct30" w:color="auto" w:fill="FFFFFF"/>
            <w:vAlign w:val="bottom"/>
          </w:tcPr>
          <w:p w14:paraId="67DD09DB" w14:textId="77777777" w:rsidR="00FE6B9A" w:rsidRDefault="00FE6B9A" w:rsidP="00A65805">
            <w:pPr>
              <w:pStyle w:val="TableText"/>
              <w:rPr>
                <w:b/>
              </w:rPr>
            </w:pPr>
            <w:r>
              <w:rPr>
                <w:b/>
              </w:rPr>
              <w:t>VBECS</w:t>
            </w:r>
          </w:p>
        </w:tc>
      </w:tr>
      <w:tr w:rsidR="00FE6B9A" w14:paraId="35D6F0C8" w14:textId="77777777">
        <w:tc>
          <w:tcPr>
            <w:tcW w:w="3240" w:type="dxa"/>
            <w:tcBorders>
              <w:top w:val="single" w:sz="4" w:space="0" w:color="auto"/>
              <w:left w:val="single" w:sz="4" w:space="0" w:color="auto"/>
              <w:bottom w:val="single" w:sz="4" w:space="0" w:color="auto"/>
              <w:right w:val="single" w:sz="4" w:space="0" w:color="auto"/>
            </w:tcBorders>
          </w:tcPr>
          <w:p w14:paraId="3745F3B5" w14:textId="77777777" w:rsidR="00FE6B9A" w:rsidRDefault="00FE6B9A" w:rsidP="00A65805">
            <w:pPr>
              <w:pStyle w:val="TableTextNumbers"/>
            </w:pPr>
            <w:r>
              <w:t xml:space="preserve">Select </w:t>
            </w:r>
            <w:r>
              <w:rPr>
                <w:b/>
              </w:rPr>
              <w:t>Reagents</w:t>
            </w:r>
            <w:r>
              <w:t xml:space="preserve"> from the main menu.</w:t>
            </w:r>
          </w:p>
          <w:p w14:paraId="11A33B80" w14:textId="77777777" w:rsidR="00FE6B9A" w:rsidRDefault="00FE6B9A" w:rsidP="00A65805">
            <w:pPr>
              <w:pStyle w:val="TableTextNumbersContinued"/>
            </w:pPr>
          </w:p>
        </w:tc>
        <w:tc>
          <w:tcPr>
            <w:tcW w:w="6120" w:type="dxa"/>
            <w:tcBorders>
              <w:top w:val="single" w:sz="4" w:space="0" w:color="auto"/>
              <w:left w:val="single" w:sz="4" w:space="0" w:color="auto"/>
              <w:bottom w:val="single" w:sz="4" w:space="0" w:color="auto"/>
              <w:right w:val="single" w:sz="4" w:space="0" w:color="auto"/>
            </w:tcBorders>
          </w:tcPr>
          <w:p w14:paraId="3E2E61AF" w14:textId="77777777" w:rsidR="00FE6B9A" w:rsidRDefault="00FE6B9A" w:rsidP="00A65805">
            <w:pPr>
              <w:pStyle w:val="TableTextBullet"/>
            </w:pPr>
            <w:r>
              <w:t xml:space="preserve">Displays options for Quality Control functions. </w:t>
            </w:r>
          </w:p>
          <w:p w14:paraId="14665BA8" w14:textId="77777777" w:rsidR="00FE6B9A" w:rsidRDefault="00FE6B9A" w:rsidP="00A65805">
            <w:pPr>
              <w:pStyle w:val="TableTextBullet"/>
            </w:pPr>
            <w:r>
              <w:t>Displays options for processing reagents.</w:t>
            </w:r>
          </w:p>
        </w:tc>
      </w:tr>
      <w:tr w:rsidR="00FE6B9A" w14:paraId="06B4CC97" w14:textId="77777777">
        <w:tc>
          <w:tcPr>
            <w:tcW w:w="3240" w:type="dxa"/>
          </w:tcPr>
          <w:p w14:paraId="11DFFDB4" w14:textId="77777777" w:rsidR="00FE6B9A" w:rsidRDefault="00FE6B9A" w:rsidP="00A65805">
            <w:pPr>
              <w:pStyle w:val="TableTextNumbers"/>
            </w:pPr>
            <w:r>
              <w:t xml:space="preserve">Select </w:t>
            </w:r>
            <w:r>
              <w:rPr>
                <w:b/>
              </w:rPr>
              <w:t>View/Print Inventory</w:t>
            </w:r>
            <w:r>
              <w:t>.</w:t>
            </w:r>
          </w:p>
        </w:tc>
        <w:tc>
          <w:tcPr>
            <w:tcW w:w="6120" w:type="dxa"/>
          </w:tcPr>
          <w:p w14:paraId="59149C16" w14:textId="77777777" w:rsidR="00FE6B9A" w:rsidRDefault="00FE6B9A" w:rsidP="00A65805">
            <w:pPr>
              <w:pStyle w:val="TableTextBullet"/>
            </w:pPr>
            <w:r>
              <w:t xml:space="preserve">Lists </w:t>
            </w:r>
            <w:r w:rsidR="006B2239">
              <w:t>r</w:t>
            </w:r>
            <w:r>
              <w:t xml:space="preserve">eagent </w:t>
            </w:r>
            <w:r w:rsidR="006B2239">
              <w:t>t</w:t>
            </w:r>
            <w:r>
              <w:t>ypes.</w:t>
            </w:r>
          </w:p>
        </w:tc>
      </w:tr>
      <w:tr w:rsidR="00FE6B9A" w14:paraId="3FEFAD77" w14:textId="77777777">
        <w:tc>
          <w:tcPr>
            <w:tcW w:w="3240" w:type="dxa"/>
            <w:tcBorders>
              <w:top w:val="single" w:sz="4" w:space="0" w:color="auto"/>
              <w:left w:val="single" w:sz="4" w:space="0" w:color="auto"/>
              <w:bottom w:val="single" w:sz="4" w:space="0" w:color="auto"/>
              <w:right w:val="single" w:sz="4" w:space="0" w:color="auto"/>
            </w:tcBorders>
          </w:tcPr>
          <w:p w14:paraId="6119731A" w14:textId="77777777" w:rsidR="00FE6B9A" w:rsidRDefault="00FE6B9A" w:rsidP="00A65805">
            <w:pPr>
              <w:pStyle w:val="TableTextNumbers"/>
            </w:pPr>
            <w:r>
              <w:t>Click one or more check boxes in the Reagent Type list to select reagent types.</w:t>
            </w:r>
          </w:p>
        </w:tc>
        <w:tc>
          <w:tcPr>
            <w:tcW w:w="6120" w:type="dxa"/>
            <w:tcBorders>
              <w:top w:val="single" w:sz="4" w:space="0" w:color="auto"/>
              <w:left w:val="single" w:sz="4" w:space="0" w:color="auto"/>
              <w:bottom w:val="single" w:sz="4" w:space="0" w:color="auto"/>
              <w:right w:val="single" w:sz="4" w:space="0" w:color="auto"/>
            </w:tcBorders>
          </w:tcPr>
          <w:p w14:paraId="286199C4" w14:textId="77777777" w:rsidR="00FE6B9A" w:rsidRDefault="00FE6B9A" w:rsidP="00A65805">
            <w:pPr>
              <w:pStyle w:val="TableTextBullet"/>
            </w:pPr>
            <w:r>
              <w:t xml:space="preserve">Displays or allows </w:t>
            </w:r>
            <w:r w:rsidR="006B2239">
              <w:t xml:space="preserve">the </w:t>
            </w:r>
            <w:r>
              <w:t>user to print a report of all current in-date, unsatisfactory, expired reagent inventory and minimum stock levels as a read-only display based on the selection criteria entered:</w:t>
            </w:r>
          </w:p>
          <w:p w14:paraId="4354CE91" w14:textId="77777777" w:rsidR="00FE6B9A" w:rsidRDefault="00FE6B9A" w:rsidP="00A65805">
            <w:pPr>
              <w:pStyle w:val="TableTextBullet1"/>
            </w:pPr>
            <w:r>
              <w:t xml:space="preserve">Reagent </w:t>
            </w:r>
            <w:r w:rsidR="006B2239">
              <w:t>t</w:t>
            </w:r>
            <w:r>
              <w:t>ype</w:t>
            </w:r>
          </w:p>
          <w:p w14:paraId="27856CC4" w14:textId="77777777" w:rsidR="00FE6B9A" w:rsidRDefault="00FE6B9A" w:rsidP="00A65805">
            <w:pPr>
              <w:pStyle w:val="TableTextBullet1"/>
            </w:pPr>
            <w:r>
              <w:t xml:space="preserve">In-date (active) </w:t>
            </w:r>
            <w:r w:rsidR="006B2239">
              <w:t>r</w:t>
            </w:r>
            <w:r>
              <w:t>eagents</w:t>
            </w:r>
          </w:p>
          <w:p w14:paraId="44AA57BF" w14:textId="77777777" w:rsidR="00FE6B9A" w:rsidRDefault="00FE6B9A" w:rsidP="00A65805">
            <w:pPr>
              <w:pStyle w:val="TableTextBullet1"/>
            </w:pPr>
            <w:r>
              <w:t xml:space="preserve">Unsatisfactory </w:t>
            </w:r>
            <w:r w:rsidR="006B2239">
              <w:t>r</w:t>
            </w:r>
            <w:r>
              <w:t>eagents</w:t>
            </w:r>
          </w:p>
          <w:p w14:paraId="55F50B3C" w14:textId="77777777" w:rsidR="00FE6B9A" w:rsidRDefault="00FE6B9A" w:rsidP="00A65805">
            <w:pPr>
              <w:pStyle w:val="TableTextBullet1"/>
            </w:pPr>
            <w:r>
              <w:t xml:space="preserve">Expired (inactive) </w:t>
            </w:r>
            <w:r w:rsidR="006B2239">
              <w:t>r</w:t>
            </w:r>
            <w:r>
              <w:t>eagents</w:t>
            </w:r>
          </w:p>
          <w:p w14:paraId="34BCD643" w14:textId="77777777" w:rsidR="00FE6B9A" w:rsidRDefault="00FE6B9A" w:rsidP="00A65805">
            <w:pPr>
              <w:pStyle w:val="TableTextBullet1"/>
            </w:pPr>
            <w:r>
              <w:t xml:space="preserve">Expiration </w:t>
            </w:r>
            <w:r w:rsidR="006B2239">
              <w:t>d</w:t>
            </w:r>
            <w:r>
              <w:t xml:space="preserve">ate </w:t>
            </w:r>
            <w:r w:rsidR="006B2239">
              <w:t>r</w:t>
            </w:r>
            <w:r>
              <w:t>ange (</w:t>
            </w:r>
            <w:r w:rsidR="006B2239">
              <w:t xml:space="preserve">the </w:t>
            </w:r>
            <w:r>
              <w:t>user enters a date to begin and end the search)</w:t>
            </w:r>
          </w:p>
          <w:p w14:paraId="4B749D88" w14:textId="77777777" w:rsidR="00FE6B9A" w:rsidRDefault="00A517D3" w:rsidP="00A65805">
            <w:pPr>
              <w:pStyle w:val="TableTextBullet1"/>
            </w:pPr>
            <w:r>
              <w:t>Date received</w:t>
            </w:r>
            <w:r w:rsidR="00FE6B9A">
              <w:t xml:space="preserve"> (</w:t>
            </w:r>
            <w:r w:rsidR="006B2239">
              <w:t xml:space="preserve">the </w:t>
            </w:r>
            <w:r w:rsidR="00FE6B9A">
              <w:t>user enters a date to begin and end the search)</w:t>
            </w:r>
          </w:p>
          <w:p w14:paraId="53CC5866" w14:textId="77777777" w:rsidR="00FE6B9A" w:rsidRDefault="00FE6B9A" w:rsidP="00A65805">
            <w:pPr>
              <w:pStyle w:val="TableText"/>
            </w:pPr>
          </w:p>
          <w:p w14:paraId="616833C5" w14:textId="471ED6E9" w:rsidR="00FE6B9A" w:rsidRDefault="00FE6B9A" w:rsidP="00A65805">
            <w:pPr>
              <w:pStyle w:val="TableText"/>
              <w:rPr>
                <w:b/>
                <w:bCs/>
                <w:szCs w:val="18"/>
              </w:rPr>
            </w:pPr>
            <w:r>
              <w:rPr>
                <w:b/>
                <w:bCs/>
                <w:szCs w:val="18"/>
              </w:rPr>
              <w:t>NOTES</w:t>
            </w:r>
          </w:p>
          <w:p w14:paraId="7596E9ED" w14:textId="77777777" w:rsidR="00FE6B9A" w:rsidRDefault="00FE6B9A" w:rsidP="00A65805">
            <w:pPr>
              <w:pStyle w:val="NotesText"/>
            </w:pPr>
          </w:p>
          <w:p w14:paraId="6944DAF5" w14:textId="31970020" w:rsidR="00FE6B9A" w:rsidRDefault="00FE6B9A" w:rsidP="00165119">
            <w:pPr>
              <w:pStyle w:val="NotesText"/>
            </w:pPr>
            <w:r>
              <w:rPr>
                <w:rFonts w:cs="Arial"/>
                <w:vanish/>
              </w:rPr>
              <w:t>BR_</w:t>
            </w:r>
            <w:r w:rsidR="00C8315E">
              <w:rPr>
                <w:rFonts w:cs="Arial"/>
                <w:vanish/>
              </w:rPr>
              <w:t>20.16</w:t>
            </w:r>
            <w:r>
              <w:rPr>
                <w:rFonts w:cs="Arial"/>
                <w:vanish/>
              </w:rPr>
              <w:t xml:space="preserve"> </w:t>
            </w:r>
            <w:bookmarkStart w:id="272" w:name="OLE_LINK11"/>
            <w:bookmarkStart w:id="273" w:name="OLE_LINK12"/>
            <w:r w:rsidR="00C8315E">
              <w:t>VBECS display</w:t>
            </w:r>
            <w:r w:rsidR="005E01BC">
              <w:t>s</w:t>
            </w:r>
            <w:r w:rsidR="00C8315E">
              <w:t xml:space="preserve"> only reagents selected based on search criteria.</w:t>
            </w:r>
            <w:bookmarkEnd w:id="272"/>
            <w:bookmarkEnd w:id="273"/>
          </w:p>
          <w:p w14:paraId="6A6822B8" w14:textId="77777777" w:rsidR="005E01BC" w:rsidRDefault="005E01BC" w:rsidP="00165119">
            <w:pPr>
              <w:pStyle w:val="NotesText"/>
            </w:pPr>
          </w:p>
          <w:p w14:paraId="1AFABB26" w14:textId="0C0BFCC5" w:rsidR="005E01BC" w:rsidRDefault="0055690F" w:rsidP="00165119">
            <w:pPr>
              <w:pStyle w:val="NotesText"/>
              <w:rPr>
                <w:szCs w:val="18"/>
              </w:rPr>
            </w:pPr>
            <w:r w:rsidRPr="0055690F">
              <w:rPr>
                <w:szCs w:val="18"/>
              </w:rPr>
              <w:t>In a multidivi</w:t>
            </w:r>
            <w:r>
              <w:rPr>
                <w:szCs w:val="18"/>
              </w:rPr>
              <w:t xml:space="preserve">sional environment, the </w:t>
            </w:r>
            <w:r w:rsidRPr="0055690F">
              <w:rPr>
                <w:szCs w:val="18"/>
              </w:rPr>
              <w:t>repor</w:t>
            </w:r>
            <w:r w:rsidR="002C71AF">
              <w:rPr>
                <w:szCs w:val="18"/>
              </w:rPr>
              <w:t xml:space="preserve">t for a division will print one </w:t>
            </w:r>
            <w:r w:rsidR="00AE3748">
              <w:rPr>
                <w:szCs w:val="18"/>
              </w:rPr>
              <w:t>line-</w:t>
            </w:r>
            <w:r w:rsidRPr="0055690F">
              <w:rPr>
                <w:szCs w:val="18"/>
              </w:rPr>
              <w:t>item for each division that has set minimum levels for that reagent type.</w:t>
            </w:r>
            <w:r w:rsidR="0002020B">
              <w:rPr>
                <w:szCs w:val="18"/>
              </w:rPr>
              <w:t xml:space="preserve"> </w:t>
            </w:r>
            <w:r w:rsidR="0002020B" w:rsidRPr="0002020B">
              <w:rPr>
                <w:vanish/>
                <w:szCs w:val="18"/>
              </w:rPr>
              <w:t>Defect 209165</w:t>
            </w:r>
          </w:p>
          <w:p w14:paraId="69396FBC" w14:textId="77777777" w:rsidR="00817083" w:rsidRDefault="00817083" w:rsidP="00165119">
            <w:pPr>
              <w:pStyle w:val="NotesText"/>
              <w:rPr>
                <w:szCs w:val="18"/>
              </w:rPr>
            </w:pPr>
          </w:p>
          <w:p w14:paraId="39990F60" w14:textId="16B11285" w:rsidR="00817083" w:rsidRPr="00165119" w:rsidRDefault="00817083" w:rsidP="00165119">
            <w:pPr>
              <w:pStyle w:val="NotesText"/>
              <w:rPr>
                <w:vanish/>
                <w:szCs w:val="18"/>
              </w:rPr>
            </w:pPr>
            <w:r w:rsidRPr="00817083">
              <w:rPr>
                <w:szCs w:val="18"/>
              </w:rPr>
              <w:t>Multiple shipments of the same lot number of a reagent type can cause a discrepancy in the total number available displayed on the</w:t>
            </w:r>
            <w:r w:rsidR="00D14259">
              <w:rPr>
                <w:szCs w:val="18"/>
              </w:rPr>
              <w:t xml:space="preserve"> report. Always r</w:t>
            </w:r>
            <w:r w:rsidR="00D14259" w:rsidRPr="00D14259">
              <w:rPr>
                <w:szCs w:val="18"/>
              </w:rPr>
              <w:t>efer to the most recent entry of a reagent for the number of vials available when the shipment was received.</w:t>
            </w:r>
            <w:r w:rsidR="0002020B">
              <w:rPr>
                <w:szCs w:val="18"/>
              </w:rPr>
              <w:t xml:space="preserve"> </w:t>
            </w:r>
            <w:r w:rsidR="0002020B" w:rsidRPr="0002020B">
              <w:rPr>
                <w:vanish/>
                <w:szCs w:val="18"/>
              </w:rPr>
              <w:t>Defect 209</w:t>
            </w:r>
            <w:r w:rsidR="00963554">
              <w:rPr>
                <w:vanish/>
                <w:szCs w:val="18"/>
              </w:rPr>
              <w:t>531</w:t>
            </w:r>
          </w:p>
        </w:tc>
      </w:tr>
      <w:tr w:rsidR="00FE6B9A" w14:paraId="763C2707" w14:textId="77777777">
        <w:tc>
          <w:tcPr>
            <w:tcW w:w="3240" w:type="dxa"/>
            <w:tcBorders>
              <w:top w:val="single" w:sz="4" w:space="0" w:color="auto"/>
              <w:left w:val="single" w:sz="4" w:space="0" w:color="auto"/>
              <w:bottom w:val="single" w:sz="4" w:space="0" w:color="auto"/>
              <w:right w:val="single" w:sz="4" w:space="0" w:color="auto"/>
            </w:tcBorders>
          </w:tcPr>
          <w:p w14:paraId="68DE9508" w14:textId="30B97C93" w:rsidR="00FE6B9A" w:rsidRDefault="000D70D6" w:rsidP="00A65805">
            <w:pPr>
              <w:pStyle w:val="TableTextNumbers"/>
            </w:pPr>
            <w:r>
              <w:t xml:space="preserve">Click </w:t>
            </w:r>
            <w:r w:rsidRPr="000D70D6">
              <w:rPr>
                <w:b/>
              </w:rPr>
              <w:t>OK</w:t>
            </w:r>
            <w:r>
              <w:t xml:space="preserve"> to a</w:t>
            </w:r>
            <w:r w:rsidR="00FE6B9A">
              <w:t>ccept the displayed selection criteria</w:t>
            </w:r>
            <w:r w:rsidR="00686D38">
              <w:t xml:space="preserve"> (</w:t>
            </w:r>
            <w:r w:rsidR="00686D38">
              <w:fldChar w:fldCharType="begin"/>
            </w:r>
            <w:r w:rsidR="00686D38">
              <w:instrText xml:space="preserve"> REF _Ref126550016 \h </w:instrText>
            </w:r>
            <w:r w:rsidR="00686D38">
              <w:fldChar w:fldCharType="separate"/>
            </w:r>
            <w:r w:rsidR="004353ED">
              <w:t xml:space="preserve">Figure </w:t>
            </w:r>
            <w:r w:rsidR="004353ED">
              <w:rPr>
                <w:noProof/>
              </w:rPr>
              <w:t>62</w:t>
            </w:r>
            <w:r w:rsidR="00686D38">
              <w:fldChar w:fldCharType="end"/>
            </w:r>
            <w:r w:rsidR="00686D38">
              <w:t>)</w:t>
            </w:r>
            <w:r w:rsidR="00FE6B9A">
              <w:t>.</w:t>
            </w:r>
          </w:p>
          <w:p w14:paraId="3E0835D7" w14:textId="77777777" w:rsidR="00FE6B9A" w:rsidRDefault="00FE6B9A" w:rsidP="00A65805">
            <w:pPr>
              <w:pStyle w:val="TableTextNumbers"/>
              <w:numPr>
                <w:ilvl w:val="0"/>
                <w:numId w:val="0"/>
              </w:numPr>
            </w:pPr>
          </w:p>
        </w:tc>
        <w:tc>
          <w:tcPr>
            <w:tcW w:w="6120" w:type="dxa"/>
            <w:tcBorders>
              <w:top w:val="single" w:sz="4" w:space="0" w:color="auto"/>
              <w:left w:val="single" w:sz="4" w:space="0" w:color="auto"/>
              <w:bottom w:val="single" w:sz="4" w:space="0" w:color="auto"/>
              <w:right w:val="single" w:sz="4" w:space="0" w:color="auto"/>
            </w:tcBorders>
          </w:tcPr>
          <w:p w14:paraId="5C063C17" w14:textId="77777777" w:rsidR="00FE6B9A" w:rsidRDefault="00FE6B9A" w:rsidP="00A65805">
            <w:pPr>
              <w:pStyle w:val="TableTextBullet"/>
            </w:pPr>
            <w:r>
              <w:t>Compiles the report and displays an option to print or exit the report.</w:t>
            </w:r>
          </w:p>
        </w:tc>
      </w:tr>
      <w:tr w:rsidR="00FE6B9A" w14:paraId="6E7CCCCC" w14:textId="77777777">
        <w:tc>
          <w:tcPr>
            <w:tcW w:w="3240" w:type="dxa"/>
            <w:tcBorders>
              <w:top w:val="single" w:sz="4" w:space="0" w:color="auto"/>
              <w:left w:val="single" w:sz="4" w:space="0" w:color="auto"/>
              <w:bottom w:val="single" w:sz="4" w:space="0" w:color="auto"/>
              <w:right w:val="single" w:sz="4" w:space="0" w:color="auto"/>
            </w:tcBorders>
          </w:tcPr>
          <w:p w14:paraId="7CB22E3A" w14:textId="77777777" w:rsidR="00FE6B9A" w:rsidRDefault="00FE6B9A" w:rsidP="00A65805">
            <w:pPr>
              <w:pStyle w:val="TableTextNumbers"/>
            </w:pPr>
            <w:r>
              <w:t xml:space="preserve">Click </w:t>
            </w:r>
            <w:r>
              <w:rPr>
                <w:b/>
              </w:rPr>
              <w:t xml:space="preserve">Print </w:t>
            </w:r>
            <w:r>
              <w:t>to print the list of reagents.</w:t>
            </w:r>
          </w:p>
        </w:tc>
        <w:tc>
          <w:tcPr>
            <w:tcW w:w="6120" w:type="dxa"/>
            <w:tcBorders>
              <w:top w:val="single" w:sz="4" w:space="0" w:color="auto"/>
              <w:left w:val="single" w:sz="4" w:space="0" w:color="auto"/>
              <w:bottom w:val="single" w:sz="4" w:space="0" w:color="auto"/>
              <w:right w:val="single" w:sz="4" w:space="0" w:color="auto"/>
            </w:tcBorders>
          </w:tcPr>
          <w:p w14:paraId="5AA45C7B" w14:textId="77777777" w:rsidR="00FE6B9A" w:rsidRDefault="00FE6B9A" w:rsidP="009710F9">
            <w:pPr>
              <w:pStyle w:val="TableTextBullet"/>
            </w:pPr>
            <w:r>
              <w:t>Sends the report to print on the printer selected by the user.</w:t>
            </w:r>
          </w:p>
        </w:tc>
      </w:tr>
      <w:tr w:rsidR="00FE6B9A" w14:paraId="2AB2B3A8" w14:textId="77777777">
        <w:tc>
          <w:tcPr>
            <w:tcW w:w="3240" w:type="dxa"/>
            <w:tcBorders>
              <w:top w:val="single" w:sz="4" w:space="0" w:color="auto"/>
              <w:left w:val="single" w:sz="4" w:space="0" w:color="auto"/>
              <w:bottom w:val="single" w:sz="4" w:space="0" w:color="auto"/>
              <w:right w:val="single" w:sz="4" w:space="0" w:color="auto"/>
            </w:tcBorders>
          </w:tcPr>
          <w:p w14:paraId="44C9A073" w14:textId="77777777" w:rsidR="00FE6B9A" w:rsidRDefault="00FE6B9A" w:rsidP="00A65805">
            <w:pPr>
              <w:pStyle w:val="TableTextNumbers"/>
            </w:pPr>
            <w:r>
              <w:t xml:space="preserve">Print another report or </w:t>
            </w:r>
            <w:r w:rsidR="000D70D6">
              <w:t xml:space="preserve">click </w:t>
            </w:r>
            <w:r w:rsidR="000D70D6" w:rsidRPr="000D70D6">
              <w:rPr>
                <w:b/>
              </w:rPr>
              <w:t>Close</w:t>
            </w:r>
            <w:r w:rsidR="000D70D6">
              <w:t xml:space="preserve"> </w:t>
            </w:r>
            <w:r w:rsidR="005D7E72">
              <w:t xml:space="preserve">to </w:t>
            </w: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74"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061D3CD0" w14:textId="77777777" w:rsidR="00FE6B9A" w:rsidRDefault="00FE6B9A" w:rsidP="00A65805">
            <w:pPr>
              <w:pStyle w:val="TableText"/>
            </w:pPr>
          </w:p>
        </w:tc>
      </w:tr>
    </w:tbl>
    <w:p w14:paraId="24A3016F" w14:textId="56CE5F9F" w:rsidR="00686D38" w:rsidRDefault="00686D38" w:rsidP="00686D38">
      <w:pPr>
        <w:pStyle w:val="Caption"/>
      </w:pPr>
      <w:bookmarkStart w:id="275" w:name="_Ref12655001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62</w:t>
      </w:r>
      <w:r w:rsidR="004E20BD">
        <w:rPr>
          <w:noProof/>
        </w:rPr>
        <w:fldChar w:fldCharType="end"/>
      </w:r>
      <w:bookmarkEnd w:id="275"/>
      <w:r>
        <w:t xml:space="preserve">: Reagent </w:t>
      </w:r>
      <w:r w:rsidR="006406D8">
        <w:t>Search</w:t>
      </w:r>
    </w:p>
    <w:p w14:paraId="1C7ACB27" w14:textId="77777777" w:rsidR="00307D76" w:rsidRDefault="00057948" w:rsidP="00307D76">
      <w:pPr>
        <w:pStyle w:val="BodyText"/>
      </w:pPr>
      <w:r>
        <w:rPr>
          <w:noProof/>
        </w:rPr>
        <w:drawing>
          <wp:inline distT="0" distB="0" distL="0" distR="0" wp14:anchorId="18FA9AC9" wp14:editId="086D13D6">
            <wp:extent cx="4017645" cy="2872740"/>
            <wp:effectExtent l="0" t="0" r="1905" b="3810"/>
            <wp:docPr id="144" name="Picture 1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a:extLst>
                        <a:ext uri="{C183D7F6-B498-43B3-948B-1728B52AA6E4}">
                          <adec:decorative xmlns:adec="http://schemas.microsoft.com/office/drawing/2017/decorative" val="1"/>
                        </a:ext>
                      </a:extLst>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017645" cy="2872740"/>
                    </a:xfrm>
                    <a:prstGeom prst="rect">
                      <a:avLst/>
                    </a:prstGeom>
                    <a:noFill/>
                    <a:ln>
                      <a:noFill/>
                    </a:ln>
                  </pic:spPr>
                </pic:pic>
              </a:graphicData>
            </a:graphic>
          </wp:inline>
        </w:drawing>
      </w:r>
    </w:p>
    <w:p w14:paraId="2DD06A1D" w14:textId="77777777" w:rsidR="00771C65" w:rsidRDefault="00B06E01" w:rsidP="00FD24BA">
      <w:pPr>
        <w:pStyle w:val="Heading4"/>
      </w:pPr>
      <w:r>
        <w:br w:type="page"/>
      </w:r>
      <w:r w:rsidR="005F6016">
        <w:lastRenderedPageBreak/>
        <w:t xml:space="preserve">Maintain Minimum Levels </w:t>
      </w:r>
      <w:r w:rsidR="00771C65">
        <w:fldChar w:fldCharType="begin"/>
      </w:r>
      <w:r w:rsidR="00771C65">
        <w:instrText xml:space="preserve"> XE </w:instrText>
      </w:r>
      <w:r w:rsidR="00FA7E65">
        <w:instrText>“</w:instrText>
      </w:r>
      <w:r w:rsidR="005F6016">
        <w:instrText xml:space="preserve">Maintain Minimum Levels </w:instrText>
      </w:r>
      <w:r w:rsidR="00FA7E65">
        <w:instrText>”</w:instrText>
      </w:r>
      <w:r w:rsidR="00771C65">
        <w:instrText xml:space="preserve"> </w:instrText>
      </w:r>
      <w:r w:rsidR="00771C65">
        <w:fldChar w:fldCharType="end"/>
      </w:r>
      <w:r w:rsidR="00771C65">
        <w:t xml:space="preserve"> </w:t>
      </w:r>
    </w:p>
    <w:p w14:paraId="2F83B74C" w14:textId="77777777" w:rsidR="002A21AE" w:rsidRPr="00CF3293" w:rsidRDefault="00CF3293" w:rsidP="00CF3293">
      <w:pPr>
        <w:pStyle w:val="BodyText"/>
        <w:rPr>
          <w:rFonts w:cs="Arial"/>
          <w:snapToGrid w:val="0"/>
          <w:color w:val="000000"/>
          <w:szCs w:val="18"/>
        </w:rPr>
      </w:pPr>
      <w:r>
        <w:t>The user sets minimum stock levels for reagent types used in the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1B61D3" w14:paraId="546AF962" w14:textId="77777777">
        <w:trPr>
          <w:cantSplit/>
          <w:tblHeader/>
        </w:trPr>
        <w:tc>
          <w:tcPr>
            <w:tcW w:w="3240" w:type="dxa"/>
            <w:shd w:val="pct30" w:color="auto" w:fill="FFFFFF"/>
            <w:vAlign w:val="bottom"/>
          </w:tcPr>
          <w:p w14:paraId="6B1BB380" w14:textId="77777777" w:rsidR="001B61D3" w:rsidRDefault="001B61D3" w:rsidP="00A65805">
            <w:pPr>
              <w:pStyle w:val="TableText"/>
              <w:rPr>
                <w:b/>
              </w:rPr>
            </w:pPr>
            <w:r>
              <w:rPr>
                <w:b/>
              </w:rPr>
              <w:t>User Action</w:t>
            </w:r>
          </w:p>
        </w:tc>
        <w:tc>
          <w:tcPr>
            <w:tcW w:w="6120" w:type="dxa"/>
            <w:shd w:val="pct30" w:color="auto" w:fill="FFFFFF"/>
            <w:vAlign w:val="bottom"/>
          </w:tcPr>
          <w:p w14:paraId="20C22DFD" w14:textId="77777777" w:rsidR="001B61D3" w:rsidRDefault="001B61D3" w:rsidP="00A65805">
            <w:pPr>
              <w:pStyle w:val="TableText"/>
              <w:rPr>
                <w:b/>
              </w:rPr>
            </w:pPr>
            <w:r>
              <w:rPr>
                <w:b/>
              </w:rPr>
              <w:t>VBECS</w:t>
            </w:r>
          </w:p>
        </w:tc>
      </w:tr>
      <w:tr w:rsidR="001B61D3" w14:paraId="63CAF148" w14:textId="77777777">
        <w:tc>
          <w:tcPr>
            <w:tcW w:w="3240" w:type="dxa"/>
          </w:tcPr>
          <w:p w14:paraId="26EE0077" w14:textId="77777777" w:rsidR="001B61D3" w:rsidRDefault="001B61D3" w:rsidP="006D628A">
            <w:pPr>
              <w:pStyle w:val="TableTextNumbers"/>
            </w:pPr>
            <w:r>
              <w:t xml:space="preserve">Select </w:t>
            </w:r>
            <w:r>
              <w:rPr>
                <w:b/>
              </w:rPr>
              <w:t>Reagents</w:t>
            </w:r>
            <w:r w:rsidR="006D628A">
              <w:t xml:space="preserve"> from the main menu.</w:t>
            </w:r>
          </w:p>
        </w:tc>
        <w:tc>
          <w:tcPr>
            <w:tcW w:w="6120" w:type="dxa"/>
          </w:tcPr>
          <w:p w14:paraId="1394A33C" w14:textId="77777777" w:rsidR="001B61D3" w:rsidRDefault="001B61D3" w:rsidP="006D628A">
            <w:pPr>
              <w:pStyle w:val="TableTextBullet"/>
            </w:pPr>
            <w:r>
              <w:t>Displays o</w:t>
            </w:r>
            <w:r w:rsidR="006D628A">
              <w:t>ptions for processing reagents.</w:t>
            </w:r>
          </w:p>
          <w:p w14:paraId="4846EBA5" w14:textId="77777777" w:rsidR="001B61D3" w:rsidRDefault="001B61D3" w:rsidP="00A65805">
            <w:pPr>
              <w:pStyle w:val="NotesText"/>
            </w:pPr>
          </w:p>
        </w:tc>
      </w:tr>
      <w:tr w:rsidR="001B61D3" w14:paraId="0FB1F587" w14:textId="77777777">
        <w:tc>
          <w:tcPr>
            <w:tcW w:w="3240" w:type="dxa"/>
            <w:tcBorders>
              <w:top w:val="single" w:sz="4" w:space="0" w:color="auto"/>
              <w:left w:val="single" w:sz="4" w:space="0" w:color="auto"/>
              <w:bottom w:val="single" w:sz="4" w:space="0" w:color="auto"/>
              <w:right w:val="single" w:sz="4" w:space="0" w:color="auto"/>
            </w:tcBorders>
          </w:tcPr>
          <w:p w14:paraId="7B9736E9" w14:textId="77777777" w:rsidR="001B61D3" w:rsidRDefault="001B61D3" w:rsidP="00A65805">
            <w:pPr>
              <w:pStyle w:val="TableTextNumbers"/>
            </w:pPr>
            <w:r>
              <w:t xml:space="preserve">Select </w:t>
            </w:r>
            <w:r>
              <w:rPr>
                <w:b/>
              </w:rPr>
              <w:t>Maintain Minimum Levels</w:t>
            </w:r>
            <w:r>
              <w:rPr>
                <w:rStyle w:val="TableTextNumbersContinuedChar"/>
              </w:rPr>
              <w:t>.</w:t>
            </w:r>
          </w:p>
        </w:tc>
        <w:tc>
          <w:tcPr>
            <w:tcW w:w="6120" w:type="dxa"/>
            <w:tcBorders>
              <w:top w:val="single" w:sz="4" w:space="0" w:color="auto"/>
              <w:left w:val="single" w:sz="4" w:space="0" w:color="auto"/>
              <w:bottom w:val="single" w:sz="4" w:space="0" w:color="auto"/>
              <w:right w:val="single" w:sz="4" w:space="0" w:color="auto"/>
            </w:tcBorders>
          </w:tcPr>
          <w:p w14:paraId="73228E17" w14:textId="77777777" w:rsidR="001B61D3" w:rsidRDefault="001B61D3" w:rsidP="00A65805">
            <w:pPr>
              <w:pStyle w:val="TableTextBullet"/>
            </w:pPr>
            <w:r>
              <w:t>Lists available reagent types and their associated minimum stock levels.</w:t>
            </w:r>
          </w:p>
        </w:tc>
      </w:tr>
      <w:tr w:rsidR="001B61D3" w14:paraId="44362FD3" w14:textId="77777777">
        <w:tc>
          <w:tcPr>
            <w:tcW w:w="3240" w:type="dxa"/>
            <w:tcBorders>
              <w:top w:val="single" w:sz="4" w:space="0" w:color="auto"/>
              <w:left w:val="single" w:sz="4" w:space="0" w:color="auto"/>
              <w:bottom w:val="single" w:sz="4" w:space="0" w:color="auto"/>
              <w:right w:val="single" w:sz="4" w:space="0" w:color="auto"/>
            </w:tcBorders>
          </w:tcPr>
          <w:p w14:paraId="3925088C" w14:textId="77777777" w:rsidR="001B61D3" w:rsidRDefault="001B61D3" w:rsidP="00A65805">
            <w:pPr>
              <w:pStyle w:val="TableTextNumbers"/>
            </w:pPr>
            <w:r>
              <w:t xml:space="preserve">Select a </w:t>
            </w:r>
            <w:r w:rsidRPr="00A96756">
              <w:rPr>
                <w:b/>
              </w:rPr>
              <w:t>Reagent Type</w:t>
            </w:r>
            <w:r>
              <w:t xml:space="preserve"> to edit the minimum level threshold. </w:t>
            </w:r>
          </w:p>
        </w:tc>
        <w:tc>
          <w:tcPr>
            <w:tcW w:w="6120" w:type="dxa"/>
            <w:tcBorders>
              <w:top w:val="single" w:sz="4" w:space="0" w:color="auto"/>
              <w:left w:val="single" w:sz="4" w:space="0" w:color="auto"/>
              <w:bottom w:val="single" w:sz="4" w:space="0" w:color="auto"/>
              <w:right w:val="single" w:sz="4" w:space="0" w:color="auto"/>
            </w:tcBorders>
          </w:tcPr>
          <w:p w14:paraId="5CC5A7CB" w14:textId="77777777" w:rsidR="001B61D3" w:rsidRDefault="006D628A" w:rsidP="00A65805">
            <w:pPr>
              <w:pStyle w:val="TableTextBullet"/>
            </w:pPr>
            <w:r>
              <w:t>Displays the r</w:t>
            </w:r>
            <w:r w:rsidR="001B61D3">
              <w:t xml:space="preserve">eagent </w:t>
            </w:r>
            <w:r>
              <w:t>t</w:t>
            </w:r>
            <w:r w:rsidR="001B61D3">
              <w:t xml:space="preserve">ype selected and allows the user to edit the Minimum Stock Level field or select </w:t>
            </w:r>
            <w:r>
              <w:t>another</w:t>
            </w:r>
            <w:r w:rsidR="001B61D3">
              <w:t xml:space="preserve"> reagent.</w:t>
            </w:r>
          </w:p>
          <w:p w14:paraId="25C2F4C8" w14:textId="77777777" w:rsidR="001B61D3" w:rsidRDefault="001B61D3" w:rsidP="006D628A">
            <w:pPr>
              <w:pStyle w:val="TableText"/>
            </w:pPr>
          </w:p>
          <w:p w14:paraId="433574EC" w14:textId="05278B67" w:rsidR="001B61D3" w:rsidRDefault="001B61D3" w:rsidP="00A65805">
            <w:pPr>
              <w:pStyle w:val="TableText"/>
              <w:rPr>
                <w:b/>
                <w:bCs/>
                <w:szCs w:val="18"/>
              </w:rPr>
            </w:pPr>
            <w:r>
              <w:rPr>
                <w:b/>
                <w:bCs/>
                <w:szCs w:val="18"/>
              </w:rPr>
              <w:t>NOTES</w:t>
            </w:r>
          </w:p>
          <w:p w14:paraId="74D35A86" w14:textId="77777777" w:rsidR="001B61D3" w:rsidRDefault="001B61D3" w:rsidP="00A65805">
            <w:pPr>
              <w:pStyle w:val="NotesText"/>
            </w:pPr>
          </w:p>
          <w:p w14:paraId="6B44A9E2" w14:textId="77777777" w:rsidR="001B61D3" w:rsidRDefault="001B61D3" w:rsidP="006D628A">
            <w:pPr>
              <w:pStyle w:val="NotesText"/>
            </w:pPr>
            <w:r w:rsidRPr="00A96756">
              <w:rPr>
                <w:rFonts w:cs="Arial"/>
              </w:rPr>
              <w:t xml:space="preserve">A minimum inventory level (a whole number from 0 to 999) is set for each reagent type. This is related to the reagent type, independent of manufacturer name and lot numbers. </w:t>
            </w:r>
          </w:p>
        </w:tc>
      </w:tr>
      <w:tr w:rsidR="001B61D3" w14:paraId="653E05BC" w14:textId="77777777">
        <w:tc>
          <w:tcPr>
            <w:tcW w:w="3240" w:type="dxa"/>
            <w:tcBorders>
              <w:top w:val="single" w:sz="4" w:space="0" w:color="auto"/>
              <w:left w:val="single" w:sz="4" w:space="0" w:color="auto"/>
              <w:bottom w:val="single" w:sz="4" w:space="0" w:color="auto"/>
              <w:right w:val="single" w:sz="4" w:space="0" w:color="auto"/>
            </w:tcBorders>
          </w:tcPr>
          <w:p w14:paraId="6DD57AB4" w14:textId="77777777" w:rsidR="001B61D3" w:rsidRDefault="001B61D3" w:rsidP="00A65805">
            <w:pPr>
              <w:pStyle w:val="TableTextNumbers"/>
            </w:pPr>
            <w:r>
              <w:t xml:space="preserve">Enter (or select) a minimum number of vials in the </w:t>
            </w:r>
            <w:r w:rsidRPr="00A96756">
              <w:rPr>
                <w:b/>
              </w:rPr>
              <w:t xml:space="preserve">Minimum Stock </w:t>
            </w:r>
            <w:r>
              <w:rPr>
                <w:b/>
              </w:rPr>
              <w:t>L</w:t>
            </w:r>
            <w:r w:rsidRPr="00A96756">
              <w:rPr>
                <w:b/>
              </w:rPr>
              <w:t>evel</w:t>
            </w:r>
            <w:r>
              <w:t xml:space="preserve"> field.</w:t>
            </w:r>
          </w:p>
        </w:tc>
        <w:tc>
          <w:tcPr>
            <w:tcW w:w="6120" w:type="dxa"/>
            <w:tcBorders>
              <w:top w:val="single" w:sz="4" w:space="0" w:color="auto"/>
              <w:left w:val="single" w:sz="4" w:space="0" w:color="auto"/>
              <w:bottom w:val="single" w:sz="4" w:space="0" w:color="auto"/>
              <w:right w:val="single" w:sz="4" w:space="0" w:color="auto"/>
            </w:tcBorders>
          </w:tcPr>
          <w:p w14:paraId="31D14F6A" w14:textId="77777777" w:rsidR="001B61D3" w:rsidRDefault="001B61D3" w:rsidP="00A65805">
            <w:pPr>
              <w:pStyle w:val="TableTextBullet"/>
            </w:pPr>
            <w:r>
              <w:t>Displays the changes and allows the user to</w:t>
            </w:r>
            <w:r w:rsidR="00BC0E81">
              <w:t xml:space="preserve"> select another reagent to edit.</w:t>
            </w:r>
          </w:p>
          <w:p w14:paraId="45E07172" w14:textId="77777777" w:rsidR="001B61D3" w:rsidRDefault="001B61D3" w:rsidP="00A65805">
            <w:pPr>
              <w:pStyle w:val="TableText"/>
            </w:pPr>
          </w:p>
          <w:p w14:paraId="4E6CF762" w14:textId="591BB154" w:rsidR="001B61D3" w:rsidRDefault="001B61D3" w:rsidP="00A65805">
            <w:pPr>
              <w:pStyle w:val="TableText"/>
              <w:rPr>
                <w:b/>
                <w:bCs/>
                <w:szCs w:val="18"/>
              </w:rPr>
            </w:pPr>
            <w:r>
              <w:rPr>
                <w:b/>
                <w:bCs/>
                <w:szCs w:val="18"/>
              </w:rPr>
              <w:t>NOTES</w:t>
            </w:r>
          </w:p>
          <w:p w14:paraId="455B43B1" w14:textId="77777777" w:rsidR="001B61D3" w:rsidRDefault="001B61D3" w:rsidP="00A65805">
            <w:pPr>
              <w:pStyle w:val="NotesText"/>
            </w:pPr>
          </w:p>
          <w:p w14:paraId="5940B604" w14:textId="77777777" w:rsidR="001B61D3" w:rsidRDefault="001B61D3" w:rsidP="00A65805">
            <w:pPr>
              <w:pStyle w:val="NotesText"/>
            </w:pPr>
            <w:r>
              <w:rPr>
                <w:rFonts w:cs="Arial"/>
                <w:vanish/>
              </w:rPr>
              <w:t xml:space="preserve">BR_20.09 </w:t>
            </w:r>
            <w:r>
              <w:t xml:space="preserve">When the number of vials in stock is at or is less than the stock minimum, VBECS notifies the user and instructs him to check the inventory. </w:t>
            </w:r>
          </w:p>
          <w:p w14:paraId="229393B1" w14:textId="77777777" w:rsidR="001B61D3" w:rsidRDefault="001B61D3" w:rsidP="00A65805">
            <w:pPr>
              <w:pStyle w:val="NotesText"/>
            </w:pPr>
          </w:p>
          <w:p w14:paraId="1295B7C8" w14:textId="77777777" w:rsidR="001B61D3" w:rsidRDefault="001B61D3" w:rsidP="00A65805">
            <w:pPr>
              <w:pStyle w:val="NotesText"/>
            </w:pPr>
            <w:r>
              <w:t>Inventory levels are tied to the reagent type, not to the manufacturer reagent name or the lot number. A particular type may have multiple manufacturer reagent names and multiple lot numbers associated with that manufacturer reagent name, all of which are summed to create the inventory of that reagent type. VBECS tracks the total number of vials in the system for a particular reagent type.</w:t>
            </w:r>
          </w:p>
          <w:p w14:paraId="14B83C44" w14:textId="77777777" w:rsidR="0079067D" w:rsidRDefault="0079067D" w:rsidP="00A65805">
            <w:pPr>
              <w:pStyle w:val="NotesText"/>
            </w:pPr>
          </w:p>
          <w:p w14:paraId="7AECB08D" w14:textId="77777777" w:rsidR="0079067D" w:rsidRDefault="0079067D" w:rsidP="00A65805">
            <w:pPr>
              <w:pStyle w:val="NotesText"/>
            </w:pPr>
            <w:r>
              <w:rPr>
                <w:rFonts w:cs="Arial"/>
                <w:vanish/>
              </w:rPr>
              <w:t xml:space="preserve">BR_58.02 </w:t>
            </w:r>
            <w:r>
              <w:t xml:space="preserve">Each reagent type has one minimum inventory level established regardless of manufacturer name and lot numbers. Valid entries are whole numbers from </w:t>
            </w:r>
            <w:r w:rsidR="00133C70">
              <w:t>0</w:t>
            </w:r>
            <w:r>
              <w:t xml:space="preserve"> to 999.</w:t>
            </w:r>
          </w:p>
        </w:tc>
      </w:tr>
      <w:tr w:rsidR="001B61D3" w14:paraId="566C7653" w14:textId="77777777">
        <w:tc>
          <w:tcPr>
            <w:tcW w:w="3240" w:type="dxa"/>
            <w:tcBorders>
              <w:top w:val="single" w:sz="4" w:space="0" w:color="auto"/>
              <w:left w:val="single" w:sz="4" w:space="0" w:color="auto"/>
              <w:bottom w:val="single" w:sz="4" w:space="0" w:color="auto"/>
              <w:right w:val="single" w:sz="4" w:space="0" w:color="auto"/>
            </w:tcBorders>
          </w:tcPr>
          <w:p w14:paraId="176EE886" w14:textId="1F6FDB19" w:rsidR="001B61D3" w:rsidRDefault="001B61D3" w:rsidP="00A65805">
            <w:pPr>
              <w:pStyle w:val="TableTextNumbers"/>
            </w:pPr>
            <w:r>
              <w:t xml:space="preserve">Review the displayed information and click </w:t>
            </w:r>
            <w:r>
              <w:rPr>
                <w:b/>
              </w:rPr>
              <w:t>U</w:t>
            </w:r>
            <w:r w:rsidR="00B31DEA">
              <w:rPr>
                <w:b/>
              </w:rPr>
              <w:t>pdate</w:t>
            </w:r>
            <w:r w:rsidR="00307D76" w:rsidRPr="00307D76">
              <w:t xml:space="preserve"> (</w:t>
            </w:r>
            <w:r w:rsidR="00307D76">
              <w:fldChar w:fldCharType="begin"/>
            </w:r>
            <w:r w:rsidR="00307D76">
              <w:instrText xml:space="preserve"> REF _Ref126550654 \h </w:instrText>
            </w:r>
            <w:r w:rsidR="00307D76">
              <w:fldChar w:fldCharType="separate"/>
            </w:r>
            <w:r w:rsidR="004353ED">
              <w:t xml:space="preserve">Figure </w:t>
            </w:r>
            <w:r w:rsidR="004353ED">
              <w:rPr>
                <w:noProof/>
              </w:rPr>
              <w:t>63</w:t>
            </w:r>
            <w:r w:rsidR="00307D76">
              <w:fldChar w:fldCharType="end"/>
            </w:r>
            <w:r w:rsidR="00307D76" w:rsidRPr="00307D76">
              <w:t>)</w:t>
            </w:r>
            <w:r>
              <w:t>.</w:t>
            </w:r>
          </w:p>
        </w:tc>
        <w:tc>
          <w:tcPr>
            <w:tcW w:w="6120" w:type="dxa"/>
            <w:tcBorders>
              <w:top w:val="single" w:sz="4" w:space="0" w:color="auto"/>
              <w:left w:val="single" w:sz="4" w:space="0" w:color="auto"/>
              <w:bottom w:val="single" w:sz="4" w:space="0" w:color="auto"/>
              <w:right w:val="single" w:sz="4" w:space="0" w:color="auto"/>
            </w:tcBorders>
          </w:tcPr>
          <w:p w14:paraId="14DB0D63" w14:textId="77777777" w:rsidR="001B61D3" w:rsidRDefault="001B61D3" w:rsidP="00A65805">
            <w:pPr>
              <w:pStyle w:val="TableTextBullet"/>
            </w:pPr>
            <w:r>
              <w:t>Displays the changes and allows the user to select another reagent to edit</w:t>
            </w:r>
            <w:r w:rsidR="002F1731">
              <w:t>.</w:t>
            </w:r>
          </w:p>
          <w:p w14:paraId="329D44FD" w14:textId="77777777" w:rsidR="001B61D3" w:rsidRDefault="001B61D3" w:rsidP="00A65805">
            <w:pPr>
              <w:pStyle w:val="TableTextBullet"/>
            </w:pPr>
            <w:r>
              <w:t xml:space="preserve">Prompts </w:t>
            </w:r>
            <w:r w:rsidR="00B31DEA">
              <w:t>the user to confirm</w:t>
            </w:r>
            <w:r>
              <w:t xml:space="preserve"> the save. </w:t>
            </w:r>
          </w:p>
        </w:tc>
      </w:tr>
      <w:tr w:rsidR="00BE3C21" w14:paraId="386F9E80" w14:textId="77777777">
        <w:tc>
          <w:tcPr>
            <w:tcW w:w="3240" w:type="dxa"/>
            <w:tcBorders>
              <w:top w:val="single" w:sz="4" w:space="0" w:color="auto"/>
              <w:left w:val="single" w:sz="4" w:space="0" w:color="auto"/>
              <w:bottom w:val="single" w:sz="4" w:space="0" w:color="auto"/>
              <w:right w:val="single" w:sz="4" w:space="0" w:color="auto"/>
            </w:tcBorders>
          </w:tcPr>
          <w:p w14:paraId="1A0434E2" w14:textId="77777777" w:rsidR="00BE3C21" w:rsidRDefault="00BE3C21" w:rsidP="004A7373">
            <w:pPr>
              <w:pStyle w:val="TableTextNumbers"/>
            </w:pPr>
            <w:r>
              <w:t>Repeat Steps 3–5 until all minimum reagent levels are set.</w:t>
            </w:r>
          </w:p>
        </w:tc>
        <w:tc>
          <w:tcPr>
            <w:tcW w:w="6120" w:type="dxa"/>
            <w:tcBorders>
              <w:top w:val="single" w:sz="4" w:space="0" w:color="auto"/>
              <w:left w:val="single" w:sz="4" w:space="0" w:color="auto"/>
              <w:bottom w:val="single" w:sz="4" w:space="0" w:color="auto"/>
              <w:right w:val="single" w:sz="4" w:space="0" w:color="auto"/>
            </w:tcBorders>
          </w:tcPr>
          <w:p w14:paraId="2E6D76B4" w14:textId="77777777" w:rsidR="00BE3C21" w:rsidRDefault="00BE3C21" w:rsidP="00BE3C21">
            <w:pPr>
              <w:pStyle w:val="TableText"/>
            </w:pPr>
          </w:p>
        </w:tc>
      </w:tr>
      <w:tr w:rsidR="001B61D3" w14:paraId="51EC770F" w14:textId="77777777">
        <w:tc>
          <w:tcPr>
            <w:tcW w:w="3240" w:type="dxa"/>
            <w:tcBorders>
              <w:top w:val="single" w:sz="4" w:space="0" w:color="auto"/>
              <w:left w:val="single" w:sz="4" w:space="0" w:color="auto"/>
              <w:bottom w:val="single" w:sz="4" w:space="0" w:color="auto"/>
              <w:right w:val="single" w:sz="4" w:space="0" w:color="auto"/>
            </w:tcBorders>
          </w:tcPr>
          <w:p w14:paraId="2D205670" w14:textId="77777777" w:rsidR="001B61D3" w:rsidRDefault="001B61D3" w:rsidP="004A7373">
            <w:pPr>
              <w:pStyle w:val="TableTextNumbers"/>
            </w:pPr>
            <w:r>
              <w:t xml:space="preserve">Click </w:t>
            </w:r>
            <w:r>
              <w:rPr>
                <w:b/>
              </w:rPr>
              <w:t>OK</w:t>
            </w:r>
            <w:r>
              <w:t xml:space="preserve"> to save</w:t>
            </w:r>
            <w:r w:rsidR="004A7373">
              <w:t>,</w:t>
            </w:r>
            <w:r w:rsidR="00B31DEA">
              <w:t xml:space="preserve"> and </w:t>
            </w:r>
            <w:r>
              <w:rPr>
                <w:b/>
              </w:rPr>
              <w:t>Yes</w:t>
            </w:r>
            <w:r>
              <w:t xml:space="preserve"> to confirm the save.</w:t>
            </w:r>
            <w:r w:rsidR="005D6F0D">
              <w:rPr>
                <w:vanish/>
                <w:color w:val="FFFFFF"/>
                <w:szCs w:val="18"/>
              </w:rPr>
              <w:t xml:space="preserve"> </w:t>
            </w:r>
            <w:r w:rsidR="005D6F0D">
              <w:rPr>
                <w:vanish/>
                <w:color w:val="FFFFFF"/>
                <w:szCs w:val="18"/>
              </w:rPr>
              <w:fldChar w:fldCharType="begin"/>
            </w:r>
            <w:r w:rsidR="005D6F0D">
              <w:rPr>
                <w:vanish/>
                <w:color w:val="FFFFFF"/>
                <w:szCs w:val="18"/>
              </w:rPr>
              <w:instrText xml:space="preserve"> LISTNUM \l 1 \s 0 </w:instrText>
            </w:r>
            <w:r w:rsidR="005D6F0D">
              <w:rPr>
                <w:vanish/>
                <w:color w:val="FFFFFF"/>
                <w:szCs w:val="18"/>
              </w:rPr>
              <w:fldChar w:fldCharType="end">
                <w:numberingChange w:id="276"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4CA0DA88" w14:textId="77777777" w:rsidR="001B61D3" w:rsidRDefault="001B61D3" w:rsidP="00A65805">
            <w:pPr>
              <w:pStyle w:val="TableTextBullet"/>
            </w:pPr>
            <w:r>
              <w:t>Saves the record and exits.</w:t>
            </w:r>
          </w:p>
        </w:tc>
      </w:tr>
    </w:tbl>
    <w:p w14:paraId="77A06A9D" w14:textId="19FC45F3" w:rsidR="00307D76" w:rsidRDefault="00307D76" w:rsidP="00307D76">
      <w:pPr>
        <w:pStyle w:val="Caption"/>
      </w:pPr>
      <w:bookmarkStart w:id="277" w:name="_Ref12655065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63</w:t>
      </w:r>
      <w:r w:rsidR="004E20BD">
        <w:rPr>
          <w:noProof/>
        </w:rPr>
        <w:fldChar w:fldCharType="end"/>
      </w:r>
      <w:bookmarkEnd w:id="277"/>
      <w:r>
        <w:t>: Maintain Minimum Reagent Levels</w:t>
      </w:r>
    </w:p>
    <w:p w14:paraId="60270604" w14:textId="77777777" w:rsidR="00771C65" w:rsidRDefault="00057948" w:rsidP="00771C65">
      <w:pPr>
        <w:pStyle w:val="BodyText"/>
      </w:pPr>
      <w:r>
        <w:rPr>
          <w:noProof/>
        </w:rPr>
        <w:drawing>
          <wp:inline distT="0" distB="0" distL="0" distR="0" wp14:anchorId="6101395D" wp14:editId="5B9E9F7B">
            <wp:extent cx="3417570" cy="3519170"/>
            <wp:effectExtent l="0" t="0" r="0" b="5080"/>
            <wp:docPr id="145" name="Picture 1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a:extLst>
                        <a:ext uri="{C183D7F6-B498-43B3-948B-1728B52AA6E4}">
                          <adec:decorative xmlns:adec="http://schemas.microsoft.com/office/drawing/2017/decorative" val="1"/>
                        </a:ext>
                      </a:extLst>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417570" cy="3519170"/>
                    </a:xfrm>
                    <a:prstGeom prst="rect">
                      <a:avLst/>
                    </a:prstGeom>
                    <a:noFill/>
                    <a:ln>
                      <a:noFill/>
                    </a:ln>
                  </pic:spPr>
                </pic:pic>
              </a:graphicData>
            </a:graphic>
          </wp:inline>
        </w:drawing>
      </w:r>
    </w:p>
    <w:p w14:paraId="541EA064" w14:textId="77777777" w:rsidR="002A21AE" w:rsidRDefault="00864906">
      <w:pPr>
        <w:pStyle w:val="Heading3"/>
      </w:pPr>
      <w:r>
        <w:br w:type="page"/>
      </w:r>
      <w:bookmarkStart w:id="278" w:name="_Toc47516712"/>
      <w:r w:rsidR="00FF225E">
        <w:lastRenderedPageBreak/>
        <w:t>Supplies</w:t>
      </w:r>
      <w:bookmarkEnd w:id="278"/>
      <w:r w:rsidR="002A21AE">
        <w:fldChar w:fldCharType="begin"/>
      </w:r>
      <w:r w:rsidR="002A21AE">
        <w:instrText xml:space="preserve"> XE </w:instrText>
      </w:r>
      <w:r w:rsidR="00FA7E65">
        <w:instrText>“</w:instrText>
      </w:r>
      <w:r w:rsidR="00FF225E">
        <w:instrText>Supplies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UC_81</w:t>
      </w:r>
    </w:p>
    <w:p w14:paraId="35FC0D79" w14:textId="77777777" w:rsidR="002A21AE" w:rsidRDefault="002A21AE" w:rsidP="00FA7E65">
      <w:pPr>
        <w:pStyle w:val="BodyText"/>
      </w:pPr>
      <w:r>
        <w:t xml:space="preserve">The user documents the receipt of supplies, and updates and views the supply inventory. </w:t>
      </w:r>
    </w:p>
    <w:p w14:paraId="219D9913" w14:textId="77777777" w:rsidR="002A21AE" w:rsidRDefault="002A21AE">
      <w:pPr>
        <w:pStyle w:val="Heading4"/>
      </w:pPr>
      <w:r>
        <w:t>Assumptions</w:t>
      </w:r>
      <w:r>
        <w:rPr>
          <w:b w:val="0"/>
        </w:rPr>
        <w:t xml:space="preserve"> </w:t>
      </w:r>
    </w:p>
    <w:p w14:paraId="360637A2" w14:textId="77777777" w:rsidR="002A21AE" w:rsidRDefault="002A21AE">
      <w:pPr>
        <w:pStyle w:val="ListBullet"/>
      </w:pPr>
      <w:r>
        <w:rPr>
          <w:rFonts w:ascii="Arial" w:hAnsi="Arial" w:cs="Arial"/>
          <w:vanish/>
          <w:spacing w:val="0"/>
          <w:sz w:val="18"/>
        </w:rPr>
        <w:t xml:space="preserve">BR_81.01 </w:t>
      </w:r>
      <w:r>
        <w:t>A user may maintain supply inventory only in the division logged into.</w:t>
      </w:r>
    </w:p>
    <w:p w14:paraId="27911181" w14:textId="77777777" w:rsidR="002A21AE" w:rsidRDefault="002A21AE">
      <w:pPr>
        <w:pStyle w:val="Heading4"/>
      </w:pPr>
      <w:r>
        <w:t xml:space="preserve">Outcome </w:t>
      </w:r>
    </w:p>
    <w:p w14:paraId="03593891" w14:textId="77777777" w:rsidR="002A21AE" w:rsidRDefault="002A21AE">
      <w:pPr>
        <w:pStyle w:val="ListBullet"/>
      </w:pPr>
      <w:r>
        <w:t>A supply inventory that is accessible only within the division of entry was established.</w:t>
      </w:r>
    </w:p>
    <w:p w14:paraId="10DBB6B8" w14:textId="77777777" w:rsidR="002A21AE" w:rsidRDefault="002A21AE">
      <w:pPr>
        <w:pStyle w:val="Heading4"/>
      </w:pPr>
      <w:r>
        <w:t>Limitations and Restrictions</w:t>
      </w:r>
      <w:r>
        <w:rPr>
          <w:b w:val="0"/>
        </w:rPr>
        <w:t xml:space="preserve"> </w:t>
      </w:r>
    </w:p>
    <w:p w14:paraId="57FD727B" w14:textId="77777777" w:rsidR="002A21AE" w:rsidRDefault="002A21AE">
      <w:pPr>
        <w:pStyle w:val="ListBullet"/>
      </w:pPr>
      <w:r>
        <w:t xml:space="preserve">The division’s modification processes may allow or require the user to select previously entered supplies for association with a blood unit’s modification. An inventory of containers (transfer bags) and sterile </w:t>
      </w:r>
      <w:r w:rsidR="00AD29E0">
        <w:t>connection</w:t>
      </w:r>
      <w:r>
        <w:t xml:space="preserve"> device (SCD) wafers is </w:t>
      </w:r>
      <w:r>
        <w:rPr>
          <w:i/>
        </w:rPr>
        <w:t>required</w:t>
      </w:r>
      <w:r>
        <w:t xml:space="preserve"> for various modification processes. </w:t>
      </w:r>
    </w:p>
    <w:p w14:paraId="311DB705" w14:textId="77777777" w:rsidR="002A21AE" w:rsidRDefault="002A21AE">
      <w:pPr>
        <w:pStyle w:val="ListBullet"/>
      </w:pPr>
      <w:r>
        <w:t>There is no retrospective data entry or user selection for th</w:t>
      </w:r>
      <w:r w:rsidR="00932460">
        <w:t>is</w:t>
      </w:r>
      <w:r>
        <w:t xml:space="preserve"> </w:t>
      </w:r>
      <w:r w:rsidR="00932460">
        <w:t>option</w:t>
      </w:r>
      <w:r>
        <w:t>.</w:t>
      </w:r>
    </w:p>
    <w:p w14:paraId="5C030897" w14:textId="77777777" w:rsidR="0007472F" w:rsidRDefault="0007472F" w:rsidP="0007472F">
      <w:pPr>
        <w:pStyle w:val="ListBullet"/>
      </w:pPr>
      <w:r>
        <w:t>The unsatisfactory portion of a shipment must be recorded individually.</w:t>
      </w:r>
    </w:p>
    <w:p w14:paraId="7B6D7785" w14:textId="77777777" w:rsidR="00A90872" w:rsidRDefault="007F4949">
      <w:pPr>
        <w:pStyle w:val="ListBullet"/>
      </w:pPr>
      <w:r>
        <w:t>Each site must set a standard for recording quantity: it may</w:t>
      </w:r>
      <w:r w:rsidR="00A90872">
        <w:t xml:space="preserve"> </w:t>
      </w:r>
      <w:r>
        <w:t>use</w:t>
      </w:r>
      <w:r w:rsidR="00A90872">
        <w:t xml:space="preserve"> </w:t>
      </w:r>
      <w:r>
        <w:t xml:space="preserve">the number of </w:t>
      </w:r>
      <w:r w:rsidR="009335DA">
        <w:t>case</w:t>
      </w:r>
      <w:r>
        <w:t>s</w:t>
      </w:r>
      <w:r w:rsidR="00A90872">
        <w:t xml:space="preserve"> or the number of units </w:t>
      </w:r>
      <w:r>
        <w:t>within the cases</w:t>
      </w:r>
      <w:r w:rsidR="00A90872">
        <w:t>.</w:t>
      </w:r>
      <w:r>
        <w:t xml:space="preserve"> </w:t>
      </w:r>
    </w:p>
    <w:p w14:paraId="318F3462" w14:textId="77777777" w:rsidR="002A21AE" w:rsidRDefault="002A21AE">
      <w:pPr>
        <w:pStyle w:val="Heading4"/>
      </w:pPr>
      <w:r>
        <w:t xml:space="preserve">Additional Information </w:t>
      </w:r>
    </w:p>
    <w:p w14:paraId="5DD9723C" w14:textId="77777777" w:rsidR="002A21AE" w:rsidRDefault="002A21AE">
      <w:pPr>
        <w:pStyle w:val="ListBullet"/>
      </w:pPr>
      <w:r>
        <w:t xml:space="preserve">Maintaining Blood Bank Equipment (Equipment: Log In Equipment, Equipment: Maintain Equipment) and </w:t>
      </w:r>
      <w:r w:rsidR="005F6016">
        <w:t>Reagents</w:t>
      </w:r>
      <w:r>
        <w:t xml:space="preserve"> (Log In Reagents, Update Inventory, View/Print Inventory</w:t>
      </w:r>
      <w:r w:rsidR="005F6016">
        <w:t>, Maintain Minimum Levels</w:t>
      </w:r>
      <w:r>
        <w:t xml:space="preserve">) accommodate the maintenance of reagents and equipment, respectively. </w:t>
      </w:r>
    </w:p>
    <w:p w14:paraId="7A005171" w14:textId="77777777" w:rsidR="002A21AE" w:rsidRDefault="002A21AE">
      <w:pPr>
        <w:pStyle w:val="ListBullet"/>
      </w:pPr>
      <w:r>
        <w:t xml:space="preserve">VBECS saves the lot number, manufacturer name, and expiration date of supplies used in a unit’s modification process as part of a unit’s modification record when associated during the modification transaction. </w:t>
      </w:r>
    </w:p>
    <w:p w14:paraId="79416099" w14:textId="77777777" w:rsidR="002A21AE" w:rsidRDefault="002A21AE">
      <w:pPr>
        <w:pStyle w:val="ListBullet"/>
      </w:pPr>
      <w:r>
        <w:t>VBECS creates a list of manufacturers as they are entered and makes the list available for selection. Users may not edit entries.</w:t>
      </w:r>
    </w:p>
    <w:p w14:paraId="5C23B3DC" w14:textId="77777777" w:rsidR="002A21AE" w:rsidRDefault="002A21AE">
      <w:pPr>
        <w:pStyle w:val="Heading4"/>
        <w:rPr>
          <w:b w:val="0"/>
        </w:rPr>
      </w:pPr>
      <w:r>
        <w:t>User Roles with Access to This Option</w:t>
      </w:r>
      <w:r>
        <w:rPr>
          <w:b w:val="0"/>
        </w:rPr>
        <w:t xml:space="preserve"> </w:t>
      </w:r>
    </w:p>
    <w:p w14:paraId="60B7D683" w14:textId="77777777" w:rsidR="002A21AE" w:rsidRDefault="00BB1B50">
      <w:pPr>
        <w:pStyle w:val="Roles"/>
        <w:rPr>
          <w:snapToGrid w:val="0"/>
        </w:rPr>
      </w:pPr>
      <w:r>
        <w:t>All users</w:t>
      </w:r>
    </w:p>
    <w:p w14:paraId="07AD4665" w14:textId="77777777" w:rsidR="002A21AE" w:rsidRDefault="002A21AE">
      <w:pPr>
        <w:pStyle w:val="Heading4"/>
      </w:pPr>
      <w:r>
        <w:t>Log in Supplies</w:t>
      </w:r>
      <w:r>
        <w:fldChar w:fldCharType="begin"/>
      </w:r>
      <w:r>
        <w:instrText xml:space="preserve"> XE </w:instrText>
      </w:r>
      <w:r w:rsidR="00FA7E65">
        <w:instrText>“</w:instrText>
      </w:r>
      <w:r>
        <w:instrText>Log in Supplies</w:instrText>
      </w:r>
      <w:r w:rsidR="00FA7E65">
        <w:instrText>”</w:instrText>
      </w:r>
      <w:r>
        <w:instrText xml:space="preserve"> </w:instrText>
      </w:r>
      <w:r>
        <w:fldChar w:fldCharType="end"/>
      </w:r>
      <w:r>
        <w:t xml:space="preserve"> </w:t>
      </w:r>
    </w:p>
    <w:p w14:paraId="1D724C43" w14:textId="77777777" w:rsidR="002A21AE" w:rsidRDefault="00153A27" w:rsidP="00FA7E65">
      <w:pPr>
        <w:pStyle w:val="BodyText"/>
      </w:pPr>
      <w:r>
        <w:t>The</w:t>
      </w:r>
      <w:r w:rsidR="002A21AE">
        <w:t xml:space="preserve"> user records the receipt of specific supplies by type. The supply record includes the date the shipment was received, supply name, lot number, expiration date, manufacturer, and number of items received in a shipment.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64CFE57" w14:textId="77777777">
        <w:trPr>
          <w:cantSplit/>
          <w:tblHeader/>
        </w:trPr>
        <w:tc>
          <w:tcPr>
            <w:tcW w:w="3240" w:type="dxa"/>
            <w:shd w:val="pct30" w:color="auto" w:fill="FFFFFF"/>
            <w:vAlign w:val="bottom"/>
          </w:tcPr>
          <w:p w14:paraId="44E46953" w14:textId="77777777" w:rsidR="002A21AE" w:rsidRDefault="002A21AE">
            <w:pPr>
              <w:pStyle w:val="TableText"/>
              <w:rPr>
                <w:b/>
              </w:rPr>
            </w:pPr>
            <w:r>
              <w:rPr>
                <w:b/>
              </w:rPr>
              <w:t>User Action</w:t>
            </w:r>
          </w:p>
        </w:tc>
        <w:tc>
          <w:tcPr>
            <w:tcW w:w="6120" w:type="dxa"/>
            <w:shd w:val="pct30" w:color="auto" w:fill="FFFFFF"/>
            <w:vAlign w:val="bottom"/>
          </w:tcPr>
          <w:p w14:paraId="09A97DD5" w14:textId="77777777" w:rsidR="002A21AE" w:rsidRDefault="002A21AE">
            <w:pPr>
              <w:pStyle w:val="TableText"/>
              <w:rPr>
                <w:b/>
              </w:rPr>
            </w:pPr>
            <w:r>
              <w:rPr>
                <w:b/>
              </w:rPr>
              <w:t>VBECS</w:t>
            </w:r>
          </w:p>
        </w:tc>
      </w:tr>
      <w:tr w:rsidR="002A21AE" w14:paraId="29366905" w14:textId="77777777">
        <w:tc>
          <w:tcPr>
            <w:tcW w:w="3240" w:type="dxa"/>
            <w:tcBorders>
              <w:top w:val="single" w:sz="4" w:space="0" w:color="auto"/>
              <w:left w:val="single" w:sz="4" w:space="0" w:color="auto"/>
              <w:bottom w:val="single" w:sz="4" w:space="0" w:color="auto"/>
              <w:right w:val="single" w:sz="4" w:space="0" w:color="auto"/>
            </w:tcBorders>
          </w:tcPr>
          <w:p w14:paraId="12C61EA8" w14:textId="77777777" w:rsidR="002A21AE" w:rsidRDefault="002A21AE">
            <w:pPr>
              <w:pStyle w:val="TableTextNumbers"/>
            </w:pPr>
            <w:r>
              <w:t xml:space="preserve">Select </w:t>
            </w:r>
            <w:r>
              <w:rPr>
                <w:b/>
              </w:rPr>
              <w:t>Tools</w:t>
            </w:r>
            <w:r>
              <w:t xml:space="preserve"> from the main menu.</w:t>
            </w:r>
          </w:p>
          <w:p w14:paraId="5592DEB5" w14:textId="77777777" w:rsidR="002A21AE" w:rsidRDefault="002A21AE">
            <w:pPr>
              <w:pStyle w:val="TableTextNumbersContinued"/>
            </w:pPr>
          </w:p>
          <w:p w14:paraId="7E76B11F"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2A75FDA1" w14:textId="77777777" w:rsidR="002A21AE" w:rsidRDefault="002A21AE">
            <w:pPr>
              <w:pStyle w:val="TableTextBullet"/>
            </w:pPr>
            <w:r>
              <w:t xml:space="preserve">Displays options for processing administrative functions. </w:t>
            </w:r>
          </w:p>
          <w:p w14:paraId="0B8FDDA3" w14:textId="77777777" w:rsidR="002A21AE" w:rsidRDefault="002A21AE">
            <w:pPr>
              <w:pStyle w:val="TableTextBullet"/>
            </w:pPr>
            <w:r>
              <w:t>Displays options for processing supplies.</w:t>
            </w:r>
          </w:p>
        </w:tc>
      </w:tr>
      <w:tr w:rsidR="002A21AE" w14:paraId="7203C23B" w14:textId="77777777">
        <w:tc>
          <w:tcPr>
            <w:tcW w:w="3240" w:type="dxa"/>
          </w:tcPr>
          <w:p w14:paraId="27679E23" w14:textId="77777777" w:rsidR="002A21AE" w:rsidRDefault="002A21AE">
            <w:pPr>
              <w:pStyle w:val="TableTextNumbers"/>
            </w:pPr>
            <w:r>
              <w:t xml:space="preserve">Select </w:t>
            </w:r>
            <w:r>
              <w:rPr>
                <w:b/>
              </w:rPr>
              <w:t>Log In Supplies</w:t>
            </w:r>
            <w:r>
              <w:t>.</w:t>
            </w:r>
          </w:p>
        </w:tc>
        <w:tc>
          <w:tcPr>
            <w:tcW w:w="6120" w:type="dxa"/>
          </w:tcPr>
          <w:p w14:paraId="4D2A7CD4" w14:textId="77777777" w:rsidR="002A21AE" w:rsidRDefault="002A21AE">
            <w:pPr>
              <w:pStyle w:val="TableTextBullet"/>
            </w:pPr>
            <w:r>
              <w:t>Displays fields for entering invoice and supply information.</w:t>
            </w:r>
          </w:p>
        </w:tc>
      </w:tr>
      <w:tr w:rsidR="002A21AE" w14:paraId="42D51A75"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153F3CE2" w14:textId="77777777" w:rsidR="002A21AE" w:rsidRDefault="002A21AE">
            <w:pPr>
              <w:pStyle w:val="TableTextNumbers"/>
            </w:pPr>
            <w:r>
              <w:lastRenderedPageBreak/>
              <w:t>Invoice Information:</w:t>
            </w:r>
          </w:p>
          <w:p w14:paraId="360F6FDC" w14:textId="77777777" w:rsidR="002A21AE" w:rsidRDefault="002A21AE">
            <w:pPr>
              <w:pStyle w:val="TableTextNumbersContinued"/>
              <w:rPr>
                <w:b/>
                <w:bCs/>
              </w:rPr>
            </w:pPr>
          </w:p>
          <w:p w14:paraId="094328E3" w14:textId="77777777" w:rsidR="002A21AE" w:rsidRDefault="002A21AE">
            <w:pPr>
              <w:pStyle w:val="TableTextNumbersContinued"/>
            </w:pPr>
            <w:r>
              <w:t>Enter the invoice number in the Invoice Number field.</w:t>
            </w:r>
          </w:p>
          <w:p w14:paraId="70843765" w14:textId="77777777" w:rsidR="002A21AE" w:rsidRDefault="002A21AE">
            <w:pPr>
              <w:pStyle w:val="TableTextNumbersContinued"/>
            </w:pPr>
          </w:p>
          <w:p w14:paraId="1B4E20F8" w14:textId="77777777" w:rsidR="002A21AE" w:rsidRDefault="002A21AE">
            <w:pPr>
              <w:pStyle w:val="TableTextNumbersContinued"/>
            </w:pPr>
            <w:r>
              <w:t>Select or edit the date and time in the Date Received field</w:t>
            </w:r>
            <w:r w:rsidR="00FB4E58">
              <w:t>.</w:t>
            </w:r>
          </w:p>
          <w:p w14:paraId="1F538690" w14:textId="77777777" w:rsidR="002A21AE" w:rsidRDefault="002A21AE">
            <w:pPr>
              <w:pStyle w:val="TableTextNumbersContinued"/>
            </w:pPr>
          </w:p>
          <w:p w14:paraId="625E0C31" w14:textId="77777777" w:rsidR="002A21AE" w:rsidRDefault="002A21AE">
            <w:pPr>
              <w:pStyle w:val="TableTextNumbersContinued"/>
            </w:pPr>
            <w:r>
              <w:t>Enter the name of the manufacturer in the Manufacturer field, or select a name from the drop-down list.</w:t>
            </w:r>
          </w:p>
        </w:tc>
        <w:tc>
          <w:tcPr>
            <w:tcW w:w="6120" w:type="dxa"/>
            <w:tcBorders>
              <w:top w:val="single" w:sz="4" w:space="0" w:color="auto"/>
              <w:left w:val="single" w:sz="4" w:space="0" w:color="auto"/>
              <w:bottom w:val="single" w:sz="4" w:space="0" w:color="auto"/>
              <w:right w:val="single" w:sz="4" w:space="0" w:color="auto"/>
            </w:tcBorders>
          </w:tcPr>
          <w:p w14:paraId="4D069163" w14:textId="77777777" w:rsidR="002A21AE" w:rsidRDefault="002A21AE">
            <w:pPr>
              <w:pStyle w:val="TableText"/>
            </w:pPr>
          </w:p>
          <w:p w14:paraId="100457C9" w14:textId="166EC53A" w:rsidR="002A21AE" w:rsidRDefault="002A21AE">
            <w:pPr>
              <w:pStyle w:val="TableText"/>
              <w:rPr>
                <w:b/>
                <w:bCs/>
                <w:szCs w:val="18"/>
              </w:rPr>
            </w:pPr>
            <w:r>
              <w:rPr>
                <w:b/>
                <w:bCs/>
                <w:szCs w:val="18"/>
              </w:rPr>
              <w:t>NOTES</w:t>
            </w:r>
          </w:p>
          <w:p w14:paraId="11A8852D" w14:textId="77777777" w:rsidR="002A21AE" w:rsidRDefault="002A21AE">
            <w:pPr>
              <w:pStyle w:val="NotesText"/>
            </w:pPr>
          </w:p>
          <w:p w14:paraId="0909C9F2" w14:textId="77777777" w:rsidR="002A21AE" w:rsidRDefault="002A21AE">
            <w:pPr>
              <w:pStyle w:val="NotesText"/>
            </w:pPr>
            <w:r>
              <w:rPr>
                <w:rFonts w:cs="Arial"/>
                <w:vanish/>
              </w:rPr>
              <w:t xml:space="preserve">BR_81.10 </w:t>
            </w:r>
            <w:r>
              <w:t xml:space="preserve">More than one technologist at a time may process a large shipment of supplies; only one technologist at a time may process individual supplies in the shipment. </w:t>
            </w:r>
          </w:p>
          <w:p w14:paraId="5794FE0A" w14:textId="77777777" w:rsidR="002A21AE" w:rsidRDefault="002A21AE">
            <w:pPr>
              <w:pStyle w:val="NotesText"/>
            </w:pPr>
          </w:p>
          <w:p w14:paraId="09E29729" w14:textId="77777777" w:rsidR="002A21AE" w:rsidRDefault="002A21AE">
            <w:pPr>
              <w:pStyle w:val="NotesText"/>
            </w:pPr>
            <w:r>
              <w:rPr>
                <w:rFonts w:cs="Arial"/>
                <w:vanish/>
              </w:rPr>
              <w:t xml:space="preserve">BR_20.01 </w:t>
            </w:r>
            <w:r>
              <w:t>The default date received is the current date and time. The user may edit it to a past date and time only.</w:t>
            </w:r>
          </w:p>
          <w:p w14:paraId="54CDA4FC" w14:textId="77777777" w:rsidR="002A21AE" w:rsidRDefault="002A21AE">
            <w:pPr>
              <w:pStyle w:val="NotesText"/>
            </w:pPr>
          </w:p>
          <w:p w14:paraId="703F2E03" w14:textId="77777777" w:rsidR="002A21AE" w:rsidRDefault="002A21AE">
            <w:pPr>
              <w:pStyle w:val="NotesText"/>
            </w:pPr>
            <w:r>
              <w:rPr>
                <w:rFonts w:cs="Arial"/>
                <w:vanish/>
              </w:rPr>
              <w:t xml:space="preserve">BR_81.07 </w:t>
            </w:r>
            <w:r>
              <w:t xml:space="preserve">When the supply type and lot number were already entered for this invoice, VBECS </w:t>
            </w:r>
            <w:r>
              <w:rPr>
                <w:noProof/>
              </w:rPr>
              <w:t>warns that the user is</w:t>
            </w:r>
            <w:r>
              <w:t xml:space="preserve"> trying to enter </w:t>
            </w:r>
            <w:r w:rsidR="001017A2">
              <w:t xml:space="preserve">a </w:t>
            </w:r>
            <w:r>
              <w:t xml:space="preserve">supply that was already logged into the system for this invoice. </w:t>
            </w:r>
            <w:r>
              <w:rPr>
                <w:b/>
              </w:rPr>
              <w:t>Yes</w:t>
            </w:r>
            <w:r>
              <w:t xml:space="preserve"> takes the user to the </w:t>
            </w:r>
            <w:r w:rsidR="00FA7E65">
              <w:t>“</w:t>
            </w:r>
            <w:r>
              <w:t>Update Supply Inventory</w:t>
            </w:r>
            <w:r w:rsidR="00FA7E65">
              <w:t>”</w:t>
            </w:r>
            <w:r>
              <w:t xml:space="preserve"> screen where VBECS displays the supply type and lot number for update. </w:t>
            </w:r>
            <w:r>
              <w:rPr>
                <w:b/>
              </w:rPr>
              <w:t>No</w:t>
            </w:r>
            <w:r>
              <w:t xml:space="preserve"> clears all fields on the screen, allowing the user to log in another supply. </w:t>
            </w:r>
          </w:p>
        </w:tc>
      </w:tr>
      <w:tr w:rsidR="002A21AE" w14:paraId="2847B64B" w14:textId="77777777">
        <w:tc>
          <w:tcPr>
            <w:tcW w:w="3240" w:type="dxa"/>
            <w:tcBorders>
              <w:top w:val="single" w:sz="4" w:space="0" w:color="auto"/>
              <w:left w:val="single" w:sz="4" w:space="0" w:color="auto"/>
              <w:bottom w:val="single" w:sz="4" w:space="0" w:color="auto"/>
              <w:right w:val="single" w:sz="4" w:space="0" w:color="auto"/>
            </w:tcBorders>
          </w:tcPr>
          <w:p w14:paraId="0464CD9A" w14:textId="77777777" w:rsidR="002A21AE" w:rsidRDefault="002A21AE">
            <w:pPr>
              <w:pStyle w:val="TableTextNumbers"/>
            </w:pPr>
            <w:r>
              <w:t>Supply Information:</w:t>
            </w:r>
          </w:p>
          <w:p w14:paraId="2A305148" w14:textId="77777777" w:rsidR="002A21AE" w:rsidRDefault="002A21AE">
            <w:pPr>
              <w:pStyle w:val="TableTextNumbersContinued"/>
              <w:rPr>
                <w:b/>
                <w:bCs/>
              </w:rPr>
            </w:pPr>
          </w:p>
          <w:p w14:paraId="1AAB03CF" w14:textId="77777777" w:rsidR="002A21AE" w:rsidRDefault="002A21AE">
            <w:pPr>
              <w:pStyle w:val="TableTextNumbersContinued"/>
            </w:pPr>
            <w:r>
              <w:t>Enter the name of the manufacturer and supply type in the Manufacturer and Supply Type fields, or select from the drop-down lists.</w:t>
            </w:r>
          </w:p>
          <w:p w14:paraId="2DBDEF12" w14:textId="77777777" w:rsidR="002A21AE" w:rsidRDefault="002A21AE">
            <w:pPr>
              <w:pStyle w:val="TableTextNumbersContinued"/>
            </w:pPr>
          </w:p>
          <w:p w14:paraId="6A895B54" w14:textId="77777777" w:rsidR="002A21AE" w:rsidRDefault="002A21AE">
            <w:pPr>
              <w:pStyle w:val="TableTextNumbersContinued"/>
            </w:pPr>
            <w:r>
              <w:t>Enter the lot number in the Lot Number field.</w:t>
            </w:r>
          </w:p>
          <w:p w14:paraId="3281A4E5" w14:textId="77777777" w:rsidR="002A21AE" w:rsidRDefault="002A21AE">
            <w:pPr>
              <w:pStyle w:val="TableTextNumbersContinued"/>
            </w:pPr>
          </w:p>
          <w:p w14:paraId="329FB6F0" w14:textId="77777777" w:rsidR="002A21AE" w:rsidRDefault="002A21AE">
            <w:pPr>
              <w:pStyle w:val="TableTextNumbersContinued"/>
            </w:pPr>
            <w:r>
              <w:t>Select or edit the date and time in the Lot Expiration Date field.</w:t>
            </w:r>
          </w:p>
          <w:p w14:paraId="3439F58C" w14:textId="77777777" w:rsidR="002A21AE" w:rsidRDefault="002A21AE">
            <w:pPr>
              <w:pStyle w:val="TableTextNumbersContinued"/>
            </w:pPr>
          </w:p>
          <w:p w14:paraId="2E8DC5F7" w14:textId="77777777" w:rsidR="002A21AE" w:rsidRDefault="002A21AE">
            <w:pPr>
              <w:pStyle w:val="TableTextNumbersContinued"/>
            </w:pPr>
            <w:r>
              <w:t>Enter (or select) a quantity (1–999) in the Quantity Received field.</w:t>
            </w:r>
          </w:p>
        </w:tc>
        <w:tc>
          <w:tcPr>
            <w:tcW w:w="6120" w:type="dxa"/>
            <w:tcBorders>
              <w:top w:val="single" w:sz="4" w:space="0" w:color="auto"/>
              <w:left w:val="single" w:sz="4" w:space="0" w:color="auto"/>
              <w:bottom w:val="single" w:sz="4" w:space="0" w:color="auto"/>
              <w:right w:val="single" w:sz="4" w:space="0" w:color="auto"/>
            </w:tcBorders>
          </w:tcPr>
          <w:p w14:paraId="0FF060DC" w14:textId="77777777" w:rsidR="002A21AE" w:rsidRDefault="002A21AE">
            <w:pPr>
              <w:pStyle w:val="TableText"/>
              <w:rPr>
                <w:b/>
                <w:bCs/>
                <w:szCs w:val="18"/>
              </w:rPr>
            </w:pPr>
          </w:p>
          <w:p w14:paraId="13C0A061" w14:textId="3290F027" w:rsidR="002A21AE" w:rsidRDefault="002A21AE">
            <w:pPr>
              <w:pStyle w:val="TableText"/>
              <w:rPr>
                <w:b/>
                <w:bCs/>
                <w:szCs w:val="18"/>
              </w:rPr>
            </w:pPr>
            <w:r>
              <w:rPr>
                <w:b/>
                <w:bCs/>
                <w:szCs w:val="18"/>
              </w:rPr>
              <w:t>NOTES</w:t>
            </w:r>
          </w:p>
          <w:p w14:paraId="5FD57583" w14:textId="77777777" w:rsidR="002A21AE" w:rsidRDefault="002A21AE">
            <w:pPr>
              <w:pStyle w:val="NotesText"/>
            </w:pPr>
          </w:p>
          <w:p w14:paraId="1B0A1F59" w14:textId="77777777" w:rsidR="002A21AE" w:rsidRDefault="002A21AE">
            <w:pPr>
              <w:pStyle w:val="NotesText"/>
            </w:pPr>
            <w:r>
              <w:t>The default lot expiration date is one minute before midnight (23:59) of the current date.</w:t>
            </w:r>
          </w:p>
          <w:p w14:paraId="6E615D5D" w14:textId="77777777" w:rsidR="002A21AE" w:rsidRDefault="002A21AE">
            <w:pPr>
              <w:pStyle w:val="TableText"/>
            </w:pPr>
          </w:p>
        </w:tc>
      </w:tr>
      <w:tr w:rsidR="002A21AE" w14:paraId="0C00DEB5" w14:textId="77777777">
        <w:tc>
          <w:tcPr>
            <w:tcW w:w="3240" w:type="dxa"/>
            <w:tcBorders>
              <w:top w:val="single" w:sz="4" w:space="0" w:color="auto"/>
              <w:left w:val="single" w:sz="4" w:space="0" w:color="auto"/>
              <w:bottom w:val="single" w:sz="4" w:space="0" w:color="auto"/>
              <w:right w:val="single" w:sz="4" w:space="0" w:color="auto"/>
            </w:tcBorders>
          </w:tcPr>
          <w:p w14:paraId="62291850" w14:textId="77777777" w:rsidR="002A21AE" w:rsidRDefault="002A21AE">
            <w:pPr>
              <w:pStyle w:val="TableTextNumbers"/>
            </w:pPr>
            <w:r>
              <w:t>Visual Inspection Information:</w:t>
            </w:r>
          </w:p>
          <w:p w14:paraId="5D969053" w14:textId="77777777" w:rsidR="002A21AE" w:rsidRDefault="002A21AE">
            <w:pPr>
              <w:pStyle w:val="TableTextNumbersContinued"/>
              <w:rPr>
                <w:b/>
                <w:bCs/>
              </w:rPr>
            </w:pPr>
          </w:p>
          <w:p w14:paraId="742BA321" w14:textId="77777777" w:rsidR="002A21AE" w:rsidRDefault="002A21AE">
            <w:pPr>
              <w:pStyle w:val="TableTextNumbersContinued"/>
            </w:pPr>
            <w:r>
              <w:t xml:space="preserve">Click the </w:t>
            </w:r>
            <w:r>
              <w:rPr>
                <w:b/>
              </w:rPr>
              <w:t xml:space="preserve">Satisfactory </w:t>
            </w:r>
            <w:r w:rsidRPr="00BF2E41">
              <w:t>radio button</w:t>
            </w:r>
            <w:r>
              <w:t xml:space="preserve">, or click the </w:t>
            </w:r>
            <w:r>
              <w:rPr>
                <w:b/>
              </w:rPr>
              <w:t xml:space="preserve">Unsatisfactory </w:t>
            </w:r>
            <w:r w:rsidRPr="00BF2E41">
              <w:t>radio button</w:t>
            </w:r>
            <w:r>
              <w:t xml:space="preserve"> and select a comment from the drop-down list in the Comment field.</w:t>
            </w:r>
          </w:p>
          <w:p w14:paraId="491E272B" w14:textId="77777777" w:rsidR="002A21AE" w:rsidRDefault="002A21AE">
            <w:pPr>
              <w:pStyle w:val="TableTextNumbersContinued"/>
            </w:pPr>
          </w:p>
          <w:p w14:paraId="24D171F7" w14:textId="35905593" w:rsidR="002A21AE" w:rsidRDefault="002A21AE">
            <w:pPr>
              <w:pStyle w:val="TableTextNumbersContinued"/>
            </w:pPr>
            <w:r>
              <w:t xml:space="preserve">Click </w:t>
            </w:r>
            <w:r>
              <w:rPr>
                <w:b/>
              </w:rPr>
              <w:t>Add</w:t>
            </w:r>
            <w:r>
              <w:t xml:space="preserve"> to add the supplies to the inventory list</w:t>
            </w:r>
            <w:r w:rsidR="00FD24BA">
              <w:t xml:space="preserve"> (</w:t>
            </w:r>
            <w:r w:rsidR="00FD24BA">
              <w:fldChar w:fldCharType="begin"/>
            </w:r>
            <w:r w:rsidR="00FD24BA">
              <w:instrText xml:space="preserve"> REF _Ref126551514 \h </w:instrText>
            </w:r>
            <w:r w:rsidR="00FD24BA">
              <w:fldChar w:fldCharType="separate"/>
            </w:r>
            <w:r w:rsidR="004353ED">
              <w:t xml:space="preserve">Figure </w:t>
            </w:r>
            <w:r w:rsidR="004353ED">
              <w:rPr>
                <w:noProof/>
              </w:rPr>
              <w:t>64</w:t>
            </w:r>
            <w:r w:rsidR="00FD24BA">
              <w:fldChar w:fldCharType="end"/>
            </w:r>
            <w:r w:rsidR="00FD24BA">
              <w:t>)</w:t>
            </w:r>
            <w:r>
              <w:t>.</w:t>
            </w:r>
          </w:p>
        </w:tc>
        <w:tc>
          <w:tcPr>
            <w:tcW w:w="6120" w:type="dxa"/>
            <w:tcBorders>
              <w:top w:val="single" w:sz="4" w:space="0" w:color="auto"/>
              <w:left w:val="single" w:sz="4" w:space="0" w:color="auto"/>
              <w:bottom w:val="single" w:sz="4" w:space="0" w:color="auto"/>
              <w:right w:val="single" w:sz="4" w:space="0" w:color="auto"/>
            </w:tcBorders>
          </w:tcPr>
          <w:p w14:paraId="120DE64D" w14:textId="77777777" w:rsidR="002A21AE" w:rsidRDefault="002A21AE">
            <w:pPr>
              <w:pStyle w:val="TableText"/>
              <w:rPr>
                <w:b/>
                <w:bCs/>
                <w:szCs w:val="18"/>
              </w:rPr>
            </w:pPr>
          </w:p>
          <w:p w14:paraId="3A48DC15" w14:textId="7D59D6D7" w:rsidR="002A21AE" w:rsidRDefault="002A21AE">
            <w:pPr>
              <w:pStyle w:val="TableText"/>
              <w:rPr>
                <w:b/>
                <w:bCs/>
                <w:szCs w:val="18"/>
              </w:rPr>
            </w:pPr>
            <w:r>
              <w:rPr>
                <w:b/>
                <w:bCs/>
                <w:szCs w:val="18"/>
              </w:rPr>
              <w:t>NOTES</w:t>
            </w:r>
          </w:p>
          <w:p w14:paraId="182FEFBE" w14:textId="77777777" w:rsidR="002A21AE" w:rsidRDefault="002A21AE">
            <w:pPr>
              <w:pStyle w:val="NotesText"/>
            </w:pPr>
          </w:p>
          <w:p w14:paraId="020D04E6" w14:textId="77777777" w:rsidR="002A21AE" w:rsidRDefault="002A21AE">
            <w:pPr>
              <w:pStyle w:val="NotesText"/>
            </w:pPr>
            <w:r>
              <w:t xml:space="preserve">Satisfactory inventory is available for later selection, unsatisfactory inventory </w:t>
            </w:r>
            <w:r w:rsidR="001017A2">
              <w:t xml:space="preserve">is </w:t>
            </w:r>
            <w:r>
              <w:t>not.</w:t>
            </w:r>
          </w:p>
          <w:p w14:paraId="488199DC" w14:textId="77777777" w:rsidR="002A21AE" w:rsidRDefault="002A21AE">
            <w:pPr>
              <w:pStyle w:val="NotesText"/>
            </w:pPr>
          </w:p>
          <w:p w14:paraId="2EF87081" w14:textId="77777777" w:rsidR="002A21AE" w:rsidRDefault="002A21AE">
            <w:pPr>
              <w:pStyle w:val="NotesText"/>
            </w:pPr>
            <w:r>
              <w:t>When a user selects Other from the drop-down list in the Comment field, entry of additional text in the Details field is required.</w:t>
            </w:r>
          </w:p>
        </w:tc>
      </w:tr>
      <w:tr w:rsidR="002A21AE" w14:paraId="305F07D3" w14:textId="77777777">
        <w:tc>
          <w:tcPr>
            <w:tcW w:w="3240" w:type="dxa"/>
            <w:tcBorders>
              <w:top w:val="single" w:sz="4" w:space="0" w:color="auto"/>
              <w:left w:val="single" w:sz="4" w:space="0" w:color="auto"/>
              <w:bottom w:val="single" w:sz="4" w:space="0" w:color="auto"/>
              <w:right w:val="single" w:sz="4" w:space="0" w:color="auto"/>
            </w:tcBorders>
          </w:tcPr>
          <w:p w14:paraId="186C7111" w14:textId="77777777" w:rsidR="002A21AE" w:rsidRDefault="002A21AE">
            <w:pPr>
              <w:pStyle w:val="TableTextNumbers"/>
            </w:pPr>
            <w:r>
              <w:t>Repeat Steps 3–5 to log in more supplies, as desired.</w:t>
            </w:r>
          </w:p>
        </w:tc>
        <w:tc>
          <w:tcPr>
            <w:tcW w:w="6120" w:type="dxa"/>
            <w:tcBorders>
              <w:top w:val="single" w:sz="4" w:space="0" w:color="auto"/>
              <w:left w:val="single" w:sz="4" w:space="0" w:color="auto"/>
              <w:bottom w:val="single" w:sz="4" w:space="0" w:color="auto"/>
              <w:right w:val="single" w:sz="4" w:space="0" w:color="auto"/>
            </w:tcBorders>
          </w:tcPr>
          <w:p w14:paraId="133A4C34" w14:textId="77777777" w:rsidR="002A21AE" w:rsidRDefault="002A21AE">
            <w:pPr>
              <w:pStyle w:val="TableText"/>
              <w:rPr>
                <w:b/>
                <w:bCs/>
                <w:szCs w:val="18"/>
              </w:rPr>
            </w:pPr>
          </w:p>
          <w:p w14:paraId="3E8A351E" w14:textId="7A93EBAA" w:rsidR="002A21AE" w:rsidRDefault="002A21AE">
            <w:pPr>
              <w:pStyle w:val="TableText"/>
              <w:rPr>
                <w:b/>
                <w:bCs/>
                <w:szCs w:val="18"/>
              </w:rPr>
            </w:pPr>
            <w:r>
              <w:rPr>
                <w:b/>
                <w:bCs/>
                <w:szCs w:val="18"/>
              </w:rPr>
              <w:t>NOTES</w:t>
            </w:r>
          </w:p>
          <w:p w14:paraId="57248BA6" w14:textId="77777777" w:rsidR="002A21AE" w:rsidRDefault="002A21AE">
            <w:pPr>
              <w:pStyle w:val="NotesText"/>
            </w:pPr>
          </w:p>
          <w:p w14:paraId="300E51A6" w14:textId="77777777" w:rsidR="002A21AE" w:rsidRDefault="002A21AE">
            <w:pPr>
              <w:pStyle w:val="NotesText"/>
            </w:pPr>
            <w:r>
              <w:rPr>
                <w:rFonts w:cs="Arial"/>
                <w:vanish/>
              </w:rPr>
              <w:t xml:space="preserve">BR_81.03 </w:t>
            </w:r>
            <w:r>
              <w:t xml:space="preserve">Click </w:t>
            </w:r>
            <w:r>
              <w:rPr>
                <w:b/>
              </w:rPr>
              <w:t>Clear</w:t>
            </w:r>
            <w:r>
              <w:t xml:space="preserve"> to clear all but the Invoice Number, Date Received, Manufacturer, and Lot Expiration Date fields.</w:t>
            </w:r>
          </w:p>
        </w:tc>
      </w:tr>
      <w:tr w:rsidR="002A21AE" w14:paraId="4F64DF1B" w14:textId="77777777">
        <w:tc>
          <w:tcPr>
            <w:tcW w:w="3240" w:type="dxa"/>
            <w:tcBorders>
              <w:top w:val="single" w:sz="4" w:space="0" w:color="auto"/>
              <w:left w:val="single" w:sz="4" w:space="0" w:color="auto"/>
              <w:bottom w:val="single" w:sz="4" w:space="0" w:color="auto"/>
              <w:right w:val="single" w:sz="4" w:space="0" w:color="auto"/>
            </w:tcBorders>
          </w:tcPr>
          <w:p w14:paraId="48BBFE2C" w14:textId="77777777" w:rsidR="002A21AE" w:rsidRDefault="002A21AE">
            <w:pPr>
              <w:pStyle w:val="TableTextNumbers"/>
            </w:pPr>
            <w:r>
              <w:t xml:space="preserve">Click </w:t>
            </w:r>
            <w:r>
              <w:rPr>
                <w:b/>
              </w:rPr>
              <w:t>OK</w:t>
            </w:r>
            <w:r>
              <w:t xml:space="preserve"> to save.</w:t>
            </w:r>
          </w:p>
          <w:p w14:paraId="6F12B3A0" w14:textId="77777777" w:rsidR="002A21AE" w:rsidRDefault="002A21AE">
            <w:pPr>
              <w:pStyle w:val="TableTextNumbersContinued"/>
              <w:rPr>
                <w:b/>
                <w:bCs/>
              </w:rPr>
            </w:pPr>
          </w:p>
          <w:p w14:paraId="3B81F291" w14:textId="77777777" w:rsidR="002A21AE" w:rsidRDefault="002A21AE">
            <w:pPr>
              <w:pStyle w:val="TableTextNumbersContinued"/>
              <w:rPr>
                <w:b/>
                <w:bCs/>
              </w:rPr>
            </w:pPr>
            <w:r>
              <w:rPr>
                <w:bCs/>
              </w:rPr>
              <w:t>Clic</w:t>
            </w:r>
            <w:r>
              <w:t xml:space="preserve">k </w:t>
            </w:r>
            <w:r>
              <w:rPr>
                <w:b/>
              </w:rPr>
              <w:t>Yes</w:t>
            </w:r>
            <w:r>
              <w:t xml:space="preserve"> to confirm the save and exit</w:t>
            </w:r>
            <w:r>
              <w:rPr>
                <w:bCs/>
              </w:rPr>
              <w: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279"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03437ED2" w14:textId="77777777" w:rsidR="002A21AE" w:rsidRDefault="002A21AE">
            <w:pPr>
              <w:pStyle w:val="TableTextBullet"/>
            </w:pPr>
            <w:r>
              <w:t>Requests confirmation to update the database.</w:t>
            </w:r>
          </w:p>
        </w:tc>
      </w:tr>
    </w:tbl>
    <w:p w14:paraId="6BCFFE14" w14:textId="7D57BB1E" w:rsidR="00FD24BA" w:rsidRDefault="00FD24BA" w:rsidP="00FD24BA">
      <w:pPr>
        <w:pStyle w:val="Caption"/>
      </w:pPr>
      <w:bookmarkStart w:id="280" w:name="_Ref12655151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64</w:t>
      </w:r>
      <w:r w:rsidR="004E20BD">
        <w:rPr>
          <w:noProof/>
        </w:rPr>
        <w:fldChar w:fldCharType="end"/>
      </w:r>
      <w:bookmarkEnd w:id="280"/>
      <w:r>
        <w:t>: Log In Supplies</w:t>
      </w:r>
    </w:p>
    <w:p w14:paraId="25532BFF" w14:textId="77777777" w:rsidR="00FD24BA" w:rsidRDefault="00057948" w:rsidP="00FD24BA">
      <w:pPr>
        <w:pStyle w:val="BodyText"/>
      </w:pPr>
      <w:r>
        <w:rPr>
          <w:noProof/>
        </w:rPr>
        <w:drawing>
          <wp:inline distT="0" distB="0" distL="0" distR="0" wp14:anchorId="2A3BD9B0" wp14:editId="6F590800">
            <wp:extent cx="5144770" cy="3444875"/>
            <wp:effectExtent l="0" t="0" r="0" b="3175"/>
            <wp:docPr id="146" name="Picture 1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a:extLst>
                        <a:ext uri="{C183D7F6-B498-43B3-948B-1728B52AA6E4}">
                          <adec:decorative xmlns:adec="http://schemas.microsoft.com/office/drawing/2017/decorative" val="1"/>
                        </a:ext>
                      </a:extLst>
                    </pic:cNvP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144770" cy="3444875"/>
                    </a:xfrm>
                    <a:prstGeom prst="rect">
                      <a:avLst/>
                    </a:prstGeom>
                    <a:noFill/>
                    <a:ln>
                      <a:noFill/>
                    </a:ln>
                  </pic:spPr>
                </pic:pic>
              </a:graphicData>
            </a:graphic>
          </wp:inline>
        </w:drawing>
      </w:r>
    </w:p>
    <w:p w14:paraId="02CB8A51" w14:textId="77777777" w:rsidR="002A21AE" w:rsidRDefault="002A21AE">
      <w:pPr>
        <w:pStyle w:val="Heading4"/>
      </w:pPr>
      <w:r>
        <w:t>Update Supply Inventory</w:t>
      </w:r>
      <w:r>
        <w:fldChar w:fldCharType="begin"/>
      </w:r>
      <w:r>
        <w:instrText xml:space="preserve"> XE </w:instrText>
      </w:r>
      <w:r w:rsidR="00FA7E65">
        <w:instrText>“</w:instrText>
      </w:r>
      <w:r>
        <w:instrText>Update Supply Inventory</w:instrText>
      </w:r>
      <w:r w:rsidR="00FA7E65">
        <w:instrText>”</w:instrText>
      </w:r>
      <w:r>
        <w:instrText xml:space="preserve"> </w:instrText>
      </w:r>
      <w:r>
        <w:fldChar w:fldCharType="end"/>
      </w:r>
      <w:r>
        <w:t xml:space="preserve"> </w:t>
      </w:r>
    </w:p>
    <w:p w14:paraId="5585ED23" w14:textId="77777777" w:rsidR="002A21AE" w:rsidRDefault="00153A27" w:rsidP="00FA7E65">
      <w:pPr>
        <w:pStyle w:val="BodyText"/>
      </w:pPr>
      <w:r>
        <w:t>The</w:t>
      </w:r>
      <w:r w:rsidR="002A21AE">
        <w:t xml:space="preserve"> user change</w:t>
      </w:r>
      <w:r w:rsidR="00CE6B22">
        <w:t>s</w:t>
      </w:r>
      <w:r w:rsidR="002A21AE">
        <w:t xml:space="preserve"> the number of available items in the supply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449D894" w14:textId="77777777">
        <w:trPr>
          <w:cantSplit/>
          <w:tblHeader/>
        </w:trPr>
        <w:tc>
          <w:tcPr>
            <w:tcW w:w="3240" w:type="dxa"/>
            <w:shd w:val="pct30" w:color="auto" w:fill="FFFFFF"/>
            <w:vAlign w:val="bottom"/>
          </w:tcPr>
          <w:p w14:paraId="0DE73BE6" w14:textId="77777777" w:rsidR="002A21AE" w:rsidRDefault="002A21AE">
            <w:pPr>
              <w:pStyle w:val="TableText"/>
              <w:rPr>
                <w:b/>
              </w:rPr>
            </w:pPr>
            <w:r>
              <w:rPr>
                <w:b/>
              </w:rPr>
              <w:t>User Action</w:t>
            </w:r>
          </w:p>
        </w:tc>
        <w:tc>
          <w:tcPr>
            <w:tcW w:w="6120" w:type="dxa"/>
            <w:shd w:val="pct30" w:color="auto" w:fill="FFFFFF"/>
            <w:vAlign w:val="bottom"/>
          </w:tcPr>
          <w:p w14:paraId="7AF1AB69" w14:textId="77777777" w:rsidR="002A21AE" w:rsidRDefault="002A21AE">
            <w:pPr>
              <w:pStyle w:val="TableText"/>
              <w:rPr>
                <w:b/>
              </w:rPr>
            </w:pPr>
            <w:r>
              <w:rPr>
                <w:b/>
              </w:rPr>
              <w:t>VBECS</w:t>
            </w:r>
          </w:p>
        </w:tc>
      </w:tr>
      <w:tr w:rsidR="002A21AE" w14:paraId="614B841C" w14:textId="77777777">
        <w:tc>
          <w:tcPr>
            <w:tcW w:w="3240" w:type="dxa"/>
            <w:tcBorders>
              <w:top w:val="single" w:sz="4" w:space="0" w:color="auto"/>
              <w:left w:val="single" w:sz="4" w:space="0" w:color="auto"/>
              <w:bottom w:val="single" w:sz="4" w:space="0" w:color="auto"/>
              <w:right w:val="single" w:sz="4" w:space="0" w:color="auto"/>
            </w:tcBorders>
          </w:tcPr>
          <w:p w14:paraId="40065BF0" w14:textId="77777777" w:rsidR="002A21AE" w:rsidRDefault="002A21AE">
            <w:pPr>
              <w:pStyle w:val="TableTextNumbers"/>
            </w:pPr>
            <w:r>
              <w:t xml:space="preserve">Select </w:t>
            </w:r>
            <w:r>
              <w:rPr>
                <w:b/>
              </w:rPr>
              <w:t>Tools</w:t>
            </w:r>
            <w:r>
              <w:t xml:space="preserve"> from the main menu.</w:t>
            </w:r>
          </w:p>
          <w:p w14:paraId="4F01EC8A" w14:textId="77777777" w:rsidR="002A21AE" w:rsidRDefault="002A21AE">
            <w:pPr>
              <w:pStyle w:val="TableTextNumbersContinued"/>
            </w:pPr>
          </w:p>
          <w:p w14:paraId="17DC489F"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78DAB11C" w14:textId="77777777" w:rsidR="002A21AE" w:rsidRDefault="002A21AE">
            <w:pPr>
              <w:pStyle w:val="TableTextBullet"/>
            </w:pPr>
            <w:r>
              <w:t xml:space="preserve">Displays options for processing administrative functions. </w:t>
            </w:r>
          </w:p>
          <w:p w14:paraId="78C96599" w14:textId="77777777" w:rsidR="002A21AE" w:rsidRDefault="002A21AE">
            <w:pPr>
              <w:pStyle w:val="TableTextBullet"/>
            </w:pPr>
            <w:r>
              <w:t>Displays options for processing supplies.</w:t>
            </w:r>
          </w:p>
        </w:tc>
      </w:tr>
      <w:tr w:rsidR="002A21AE" w14:paraId="47035DC3" w14:textId="77777777">
        <w:tc>
          <w:tcPr>
            <w:tcW w:w="3240" w:type="dxa"/>
          </w:tcPr>
          <w:p w14:paraId="291804CF" w14:textId="77777777" w:rsidR="002A21AE" w:rsidRDefault="002A21AE">
            <w:pPr>
              <w:pStyle w:val="TableTextNumbers"/>
            </w:pPr>
            <w:r>
              <w:t xml:space="preserve">Select </w:t>
            </w:r>
            <w:r>
              <w:rPr>
                <w:b/>
              </w:rPr>
              <w:t>Update Supply Inventory</w:t>
            </w:r>
            <w:r>
              <w:t>.</w:t>
            </w:r>
          </w:p>
          <w:p w14:paraId="197D3C7D" w14:textId="77777777" w:rsidR="002A21AE" w:rsidRDefault="002A21AE">
            <w:pPr>
              <w:pStyle w:val="TableTextNumbersContinued"/>
            </w:pPr>
          </w:p>
          <w:p w14:paraId="74863F3B" w14:textId="77777777" w:rsidR="002A21AE" w:rsidRDefault="002A21AE">
            <w:pPr>
              <w:pStyle w:val="TableTextNumbersContinued"/>
            </w:pPr>
            <w:r>
              <w:rPr>
                <w:rFonts w:cs="Arial"/>
                <w:vanish/>
              </w:rPr>
              <w:t xml:space="preserve">BR_81.12 </w:t>
            </w:r>
            <w:r>
              <w:t xml:space="preserve">Click the </w:t>
            </w:r>
            <w:r>
              <w:rPr>
                <w:b/>
              </w:rPr>
              <w:t xml:space="preserve">Include Expired Supplies </w:t>
            </w:r>
            <w:r w:rsidRPr="00D1100E">
              <w:t>check box</w:t>
            </w:r>
            <w:r>
              <w:t xml:space="preserve"> to include expired supplies in the list.</w:t>
            </w:r>
          </w:p>
        </w:tc>
        <w:tc>
          <w:tcPr>
            <w:tcW w:w="6120" w:type="dxa"/>
          </w:tcPr>
          <w:p w14:paraId="5D34A0A2" w14:textId="77777777" w:rsidR="002A21AE" w:rsidRDefault="002A21AE">
            <w:pPr>
              <w:pStyle w:val="TableTextBullet"/>
            </w:pPr>
            <w:r>
              <w:t>Lists existing satisfactory supplies by default.</w:t>
            </w:r>
          </w:p>
        </w:tc>
      </w:tr>
      <w:tr w:rsidR="002A21AE" w14:paraId="0B8DE93C" w14:textId="77777777">
        <w:tc>
          <w:tcPr>
            <w:tcW w:w="3240" w:type="dxa"/>
            <w:tcBorders>
              <w:top w:val="single" w:sz="4" w:space="0" w:color="auto"/>
              <w:left w:val="single" w:sz="4" w:space="0" w:color="auto"/>
              <w:bottom w:val="single" w:sz="4" w:space="0" w:color="auto"/>
              <w:right w:val="single" w:sz="4" w:space="0" w:color="auto"/>
            </w:tcBorders>
          </w:tcPr>
          <w:p w14:paraId="6730E5CB" w14:textId="77777777" w:rsidR="002A21AE" w:rsidRDefault="002A21AE">
            <w:pPr>
              <w:pStyle w:val="TableTextNumbers"/>
            </w:pPr>
            <w:r>
              <w:t>Select a supply to edit.</w:t>
            </w:r>
          </w:p>
          <w:p w14:paraId="59EC826C" w14:textId="77777777" w:rsidR="002A21AE" w:rsidRDefault="002A21AE">
            <w:pPr>
              <w:pStyle w:val="TableTextNumbersContinued"/>
            </w:pPr>
          </w:p>
          <w:p w14:paraId="615455BB" w14:textId="77777777" w:rsidR="002A21AE" w:rsidRDefault="002A21AE">
            <w:pPr>
              <w:pStyle w:val="TableTextNumbersContinued"/>
            </w:pPr>
            <w:r>
              <w:t xml:space="preserve">To view supplies with a specific lot number, enter the lot number in the Lot # field and click the </w:t>
            </w:r>
            <w:r>
              <w:rPr>
                <w:b/>
              </w:rPr>
              <w:t>magnifying glass</w:t>
            </w:r>
            <w:r>
              <w:t>.</w:t>
            </w:r>
          </w:p>
        </w:tc>
        <w:tc>
          <w:tcPr>
            <w:tcW w:w="6120" w:type="dxa"/>
            <w:tcBorders>
              <w:top w:val="single" w:sz="4" w:space="0" w:color="auto"/>
              <w:left w:val="single" w:sz="4" w:space="0" w:color="auto"/>
              <w:bottom w:val="single" w:sz="4" w:space="0" w:color="auto"/>
              <w:right w:val="single" w:sz="4" w:space="0" w:color="auto"/>
            </w:tcBorders>
          </w:tcPr>
          <w:p w14:paraId="7B69C15E" w14:textId="77777777" w:rsidR="002A21AE" w:rsidRDefault="002A21AE">
            <w:pPr>
              <w:pStyle w:val="TableText"/>
            </w:pPr>
          </w:p>
          <w:p w14:paraId="232C3C92" w14:textId="17C4D8D0" w:rsidR="002A21AE" w:rsidRDefault="002A21AE">
            <w:pPr>
              <w:pStyle w:val="TableText"/>
              <w:rPr>
                <w:b/>
                <w:bCs/>
                <w:szCs w:val="18"/>
              </w:rPr>
            </w:pPr>
            <w:r>
              <w:rPr>
                <w:b/>
                <w:bCs/>
                <w:szCs w:val="18"/>
              </w:rPr>
              <w:t>NOTES</w:t>
            </w:r>
          </w:p>
          <w:p w14:paraId="731C659B" w14:textId="77777777" w:rsidR="002A21AE" w:rsidRDefault="002A21AE">
            <w:pPr>
              <w:pStyle w:val="NotesText"/>
            </w:pPr>
          </w:p>
          <w:p w14:paraId="2372F0D5" w14:textId="77777777" w:rsidR="002A21AE" w:rsidRDefault="002A21AE">
            <w:pPr>
              <w:pStyle w:val="NotesText"/>
            </w:pPr>
            <w:r>
              <w:t>Click a supply type to reveal manufacturer supply names. Click a manufacturer supply name to reveal lot numbers.</w:t>
            </w:r>
          </w:p>
        </w:tc>
      </w:tr>
      <w:tr w:rsidR="002A21AE" w14:paraId="6F9B7FE5"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5E394BB5" w14:textId="77777777" w:rsidR="002A21AE" w:rsidRDefault="002A21AE">
            <w:pPr>
              <w:pStyle w:val="TableTextNumbers"/>
            </w:pPr>
            <w:r>
              <w:lastRenderedPageBreak/>
              <w:t>Click a lot number to enable the Quantity Available field.</w:t>
            </w:r>
          </w:p>
          <w:p w14:paraId="571A3F56" w14:textId="77777777" w:rsidR="002A21AE" w:rsidRDefault="002A21AE">
            <w:pPr>
              <w:pStyle w:val="TableTextNumbersContinued"/>
            </w:pPr>
          </w:p>
          <w:p w14:paraId="24FCA541" w14:textId="77777777" w:rsidR="002A21AE" w:rsidRDefault="002A21AE">
            <w:pPr>
              <w:pStyle w:val="TableTextNumbersContinued"/>
            </w:pPr>
            <w:r>
              <w:t>Enter (or select) a quantity that is less than or equal to the current entry in the Quantity Available field.</w:t>
            </w:r>
          </w:p>
          <w:p w14:paraId="0B5C6E61" w14:textId="77777777" w:rsidR="002A21AE" w:rsidRDefault="002A21AE">
            <w:pPr>
              <w:pStyle w:val="TableTextNumbersContinued"/>
            </w:pPr>
          </w:p>
          <w:p w14:paraId="740348D1" w14:textId="3A97EB31" w:rsidR="002A21AE" w:rsidRDefault="002A21AE">
            <w:pPr>
              <w:pStyle w:val="TableTextNumbersContinued"/>
            </w:pPr>
            <w:r>
              <w:t>Select or edit the date and time in the Date Changed field</w:t>
            </w:r>
            <w:r w:rsidR="001556AE">
              <w:t xml:space="preserve"> (</w:t>
            </w:r>
            <w:r w:rsidR="001556AE">
              <w:fldChar w:fldCharType="begin"/>
            </w:r>
            <w:r w:rsidR="001556AE">
              <w:instrText xml:space="preserve"> REF _Ref126552250 \h </w:instrText>
            </w:r>
            <w:r w:rsidR="001556AE">
              <w:fldChar w:fldCharType="separate"/>
            </w:r>
            <w:r w:rsidR="004353ED">
              <w:t xml:space="preserve">Figure </w:t>
            </w:r>
            <w:r w:rsidR="004353ED">
              <w:rPr>
                <w:noProof/>
              </w:rPr>
              <w:t>65</w:t>
            </w:r>
            <w:r w:rsidR="001556AE">
              <w:fldChar w:fldCharType="end"/>
            </w:r>
            <w:r w:rsidR="001556AE">
              <w:t>)</w:t>
            </w:r>
            <w:r>
              <w:t>.</w:t>
            </w:r>
          </w:p>
        </w:tc>
        <w:tc>
          <w:tcPr>
            <w:tcW w:w="6120" w:type="dxa"/>
            <w:tcBorders>
              <w:top w:val="single" w:sz="4" w:space="0" w:color="auto"/>
              <w:left w:val="single" w:sz="4" w:space="0" w:color="auto"/>
              <w:bottom w:val="single" w:sz="4" w:space="0" w:color="auto"/>
              <w:right w:val="single" w:sz="4" w:space="0" w:color="auto"/>
            </w:tcBorders>
          </w:tcPr>
          <w:p w14:paraId="3D0D6200" w14:textId="77777777" w:rsidR="002A21AE" w:rsidRDefault="002A21AE">
            <w:pPr>
              <w:pStyle w:val="TableText"/>
            </w:pPr>
          </w:p>
          <w:p w14:paraId="45757F61" w14:textId="75BE675F" w:rsidR="002A21AE" w:rsidRDefault="002A21AE">
            <w:pPr>
              <w:pStyle w:val="TableText"/>
              <w:rPr>
                <w:b/>
                <w:bCs/>
                <w:szCs w:val="18"/>
              </w:rPr>
            </w:pPr>
            <w:r>
              <w:rPr>
                <w:b/>
                <w:bCs/>
                <w:szCs w:val="18"/>
              </w:rPr>
              <w:t>NOTES</w:t>
            </w:r>
          </w:p>
          <w:p w14:paraId="47A47CDC" w14:textId="77777777" w:rsidR="002A21AE" w:rsidRDefault="002A21AE">
            <w:pPr>
              <w:pStyle w:val="NotesText"/>
            </w:pPr>
          </w:p>
          <w:p w14:paraId="0C56EED9" w14:textId="77777777" w:rsidR="002A21AE" w:rsidRDefault="002A21AE">
            <w:pPr>
              <w:pStyle w:val="NotesText"/>
            </w:pPr>
            <w:r>
              <w:t>The default change date is the current date and time. The user may edit it to a past date and time only.</w:t>
            </w:r>
          </w:p>
          <w:p w14:paraId="7E15B606" w14:textId="77777777" w:rsidR="002A21AE" w:rsidRDefault="002A21AE">
            <w:pPr>
              <w:pStyle w:val="NotesText"/>
            </w:pPr>
          </w:p>
          <w:p w14:paraId="21F4F10D" w14:textId="77777777" w:rsidR="002A21AE" w:rsidRDefault="002A21AE">
            <w:pPr>
              <w:pStyle w:val="NotesText"/>
            </w:pPr>
            <w:r>
              <w:t>When a user selects Other from the drop-down list in the Reason for Change field, he may enter additional text in the Comments field.</w:t>
            </w:r>
          </w:p>
          <w:p w14:paraId="4CD056B7" w14:textId="77777777" w:rsidR="002A21AE" w:rsidRDefault="002A21AE">
            <w:pPr>
              <w:pStyle w:val="NotesText"/>
            </w:pPr>
          </w:p>
        </w:tc>
      </w:tr>
      <w:tr w:rsidR="002A21AE" w14:paraId="2899451C" w14:textId="77777777">
        <w:tc>
          <w:tcPr>
            <w:tcW w:w="3240" w:type="dxa"/>
            <w:tcBorders>
              <w:top w:val="single" w:sz="4" w:space="0" w:color="auto"/>
              <w:left w:val="single" w:sz="4" w:space="0" w:color="auto"/>
              <w:bottom w:val="single" w:sz="4" w:space="0" w:color="auto"/>
              <w:right w:val="single" w:sz="4" w:space="0" w:color="auto"/>
            </w:tcBorders>
          </w:tcPr>
          <w:p w14:paraId="3B867717" w14:textId="77777777" w:rsidR="002A21AE" w:rsidRDefault="002A21AE">
            <w:pPr>
              <w:pStyle w:val="TableTextNumbers"/>
            </w:pPr>
            <w:r>
              <w:t>Repeat Steps 3 and 4 to edit more supplies, as desired.</w:t>
            </w:r>
          </w:p>
        </w:tc>
        <w:tc>
          <w:tcPr>
            <w:tcW w:w="6120" w:type="dxa"/>
            <w:tcBorders>
              <w:top w:val="single" w:sz="4" w:space="0" w:color="auto"/>
              <w:left w:val="single" w:sz="4" w:space="0" w:color="auto"/>
              <w:bottom w:val="single" w:sz="4" w:space="0" w:color="auto"/>
              <w:right w:val="single" w:sz="4" w:space="0" w:color="auto"/>
            </w:tcBorders>
          </w:tcPr>
          <w:p w14:paraId="309393C9" w14:textId="77777777" w:rsidR="002A21AE" w:rsidRDefault="002A21AE">
            <w:pPr>
              <w:pStyle w:val="TableText"/>
            </w:pPr>
          </w:p>
        </w:tc>
      </w:tr>
      <w:tr w:rsidR="002A21AE" w14:paraId="22AED5F3" w14:textId="77777777">
        <w:tc>
          <w:tcPr>
            <w:tcW w:w="3240" w:type="dxa"/>
            <w:tcBorders>
              <w:top w:val="single" w:sz="4" w:space="0" w:color="auto"/>
              <w:left w:val="single" w:sz="4" w:space="0" w:color="auto"/>
              <w:bottom w:val="single" w:sz="4" w:space="0" w:color="auto"/>
              <w:right w:val="single" w:sz="4" w:space="0" w:color="auto"/>
            </w:tcBorders>
          </w:tcPr>
          <w:p w14:paraId="1AFD1AC4" w14:textId="77777777" w:rsidR="002A21AE" w:rsidRDefault="002A21AE">
            <w:pPr>
              <w:pStyle w:val="TableTextNumbers"/>
            </w:pPr>
            <w:r>
              <w:t xml:space="preserve">Click </w:t>
            </w:r>
            <w:r>
              <w:rPr>
                <w:b/>
              </w:rPr>
              <w:t>OK</w:t>
            </w:r>
            <w:r>
              <w:t xml:space="preserve"> to save.</w:t>
            </w:r>
          </w:p>
          <w:p w14:paraId="7AF891A3" w14:textId="77777777" w:rsidR="002A21AE" w:rsidRDefault="002A21AE">
            <w:pPr>
              <w:pStyle w:val="TableTextNumbersContinued"/>
            </w:pPr>
          </w:p>
          <w:p w14:paraId="2CF82283" w14:textId="77777777" w:rsidR="002A21AE" w:rsidRDefault="002A21AE">
            <w:pPr>
              <w:pStyle w:val="TableTextNumbersContinued"/>
            </w:pPr>
            <w:r>
              <w:t xml:space="preserve">Click </w:t>
            </w:r>
            <w:r>
              <w:rPr>
                <w:b/>
              </w:rPr>
              <w:t>Yes</w:t>
            </w:r>
            <w:r>
              <w:t xml:space="preserve"> to confirm the save and view the updated list.</w:t>
            </w:r>
          </w:p>
        </w:tc>
        <w:tc>
          <w:tcPr>
            <w:tcW w:w="6120" w:type="dxa"/>
            <w:tcBorders>
              <w:top w:val="single" w:sz="4" w:space="0" w:color="auto"/>
              <w:left w:val="single" w:sz="4" w:space="0" w:color="auto"/>
              <w:bottom w:val="single" w:sz="4" w:space="0" w:color="auto"/>
              <w:right w:val="single" w:sz="4" w:space="0" w:color="auto"/>
            </w:tcBorders>
          </w:tcPr>
          <w:p w14:paraId="4650BEA7" w14:textId="77777777" w:rsidR="002A21AE" w:rsidRDefault="002A21AE">
            <w:pPr>
              <w:pStyle w:val="TableText"/>
            </w:pPr>
          </w:p>
        </w:tc>
      </w:tr>
      <w:tr w:rsidR="002A21AE" w14:paraId="63F20F53" w14:textId="77777777">
        <w:tc>
          <w:tcPr>
            <w:tcW w:w="3240" w:type="dxa"/>
            <w:tcBorders>
              <w:top w:val="single" w:sz="4" w:space="0" w:color="auto"/>
              <w:left w:val="single" w:sz="4" w:space="0" w:color="auto"/>
              <w:bottom w:val="single" w:sz="4" w:space="0" w:color="auto"/>
              <w:right w:val="single" w:sz="4" w:space="0" w:color="auto"/>
            </w:tcBorders>
          </w:tcPr>
          <w:p w14:paraId="2852977B" w14:textId="77777777" w:rsidR="002A21AE" w:rsidRDefault="002A21AE">
            <w:pPr>
              <w:pStyle w:val="TableTextNumbers"/>
            </w:pPr>
            <w:r>
              <w:t xml:space="preserve">Click </w:t>
            </w:r>
            <w:r>
              <w:rPr>
                <w:b/>
              </w:rPr>
              <w:t>Print Supply Inventory</w:t>
            </w:r>
            <w:r>
              <w:t xml:space="preserve"> to print the list of supplies.</w:t>
            </w:r>
          </w:p>
        </w:tc>
        <w:tc>
          <w:tcPr>
            <w:tcW w:w="6120" w:type="dxa"/>
            <w:tcBorders>
              <w:top w:val="single" w:sz="4" w:space="0" w:color="auto"/>
              <w:left w:val="single" w:sz="4" w:space="0" w:color="auto"/>
              <w:bottom w:val="single" w:sz="4" w:space="0" w:color="auto"/>
              <w:right w:val="single" w:sz="4" w:space="0" w:color="auto"/>
            </w:tcBorders>
          </w:tcPr>
          <w:p w14:paraId="038A191D" w14:textId="77777777" w:rsidR="002A21AE" w:rsidRDefault="002A21AE">
            <w:pPr>
              <w:pStyle w:val="TableTextBullet"/>
            </w:pPr>
            <w:r>
              <w:t>Displays the Supply Inventory window (see View/Print Supply Inventory).</w:t>
            </w:r>
          </w:p>
        </w:tc>
      </w:tr>
      <w:tr w:rsidR="002A21AE" w14:paraId="42D148CE" w14:textId="77777777">
        <w:tc>
          <w:tcPr>
            <w:tcW w:w="3240" w:type="dxa"/>
            <w:tcBorders>
              <w:top w:val="single" w:sz="4" w:space="0" w:color="auto"/>
              <w:left w:val="single" w:sz="4" w:space="0" w:color="auto"/>
              <w:bottom w:val="single" w:sz="4" w:space="0" w:color="auto"/>
              <w:right w:val="single" w:sz="4" w:space="0" w:color="auto"/>
            </w:tcBorders>
          </w:tcPr>
          <w:p w14:paraId="5842E048" w14:textId="77777777" w:rsidR="002A21AE" w:rsidRDefault="002A21AE">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81"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18A31109" w14:textId="77777777" w:rsidR="002A21AE" w:rsidRDefault="002A21AE">
            <w:pPr>
              <w:pStyle w:val="NotesText"/>
              <w:ind w:left="0"/>
            </w:pPr>
          </w:p>
        </w:tc>
      </w:tr>
    </w:tbl>
    <w:p w14:paraId="71E2EC10" w14:textId="4049310D" w:rsidR="001556AE" w:rsidRDefault="001556AE" w:rsidP="001556AE">
      <w:pPr>
        <w:pStyle w:val="Caption"/>
      </w:pPr>
      <w:bookmarkStart w:id="282" w:name="_Ref12655225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65</w:t>
      </w:r>
      <w:r w:rsidR="004E20BD">
        <w:rPr>
          <w:noProof/>
        </w:rPr>
        <w:fldChar w:fldCharType="end"/>
      </w:r>
      <w:bookmarkEnd w:id="282"/>
      <w:r>
        <w:t>: Update Supplies</w:t>
      </w:r>
    </w:p>
    <w:p w14:paraId="29870ADD" w14:textId="77777777" w:rsidR="001556AE" w:rsidRDefault="00057948" w:rsidP="001556AE">
      <w:pPr>
        <w:pStyle w:val="BodyText"/>
      </w:pPr>
      <w:r>
        <w:rPr>
          <w:noProof/>
        </w:rPr>
        <w:drawing>
          <wp:inline distT="0" distB="0" distL="0" distR="0" wp14:anchorId="0F04B074" wp14:editId="4594CB6E">
            <wp:extent cx="5144770" cy="3888740"/>
            <wp:effectExtent l="0" t="0" r="0" b="0"/>
            <wp:docPr id="147" name="Picture 1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a:extLst>
                        <a:ext uri="{C183D7F6-B498-43B3-948B-1728B52AA6E4}">
                          <adec:decorative xmlns:adec="http://schemas.microsoft.com/office/drawing/2017/decorative" val="1"/>
                        </a:ext>
                      </a:extLst>
                    </pic:cNvPr>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144770" cy="3888740"/>
                    </a:xfrm>
                    <a:prstGeom prst="rect">
                      <a:avLst/>
                    </a:prstGeom>
                    <a:noFill/>
                    <a:ln>
                      <a:noFill/>
                    </a:ln>
                  </pic:spPr>
                </pic:pic>
              </a:graphicData>
            </a:graphic>
          </wp:inline>
        </w:drawing>
      </w:r>
    </w:p>
    <w:p w14:paraId="2F5B271B" w14:textId="77777777" w:rsidR="007E500E" w:rsidRDefault="007E500E">
      <w:pPr>
        <w:rPr>
          <w:rFonts w:ascii="Arial" w:hAnsi="Arial"/>
          <w:b/>
          <w:sz w:val="22"/>
        </w:rPr>
      </w:pPr>
      <w:r>
        <w:br w:type="page"/>
      </w:r>
    </w:p>
    <w:p w14:paraId="3CB88D3D" w14:textId="37CC3006" w:rsidR="002A21AE" w:rsidRDefault="002A21AE">
      <w:pPr>
        <w:pStyle w:val="Heading4"/>
      </w:pPr>
      <w:r>
        <w:lastRenderedPageBreak/>
        <w:t>View/Print Supply Inventory</w:t>
      </w:r>
      <w:r>
        <w:fldChar w:fldCharType="begin"/>
      </w:r>
      <w:r>
        <w:instrText xml:space="preserve"> XE </w:instrText>
      </w:r>
      <w:r w:rsidR="00FA7E65">
        <w:instrText>“</w:instrText>
      </w:r>
      <w:r>
        <w:instrText>View/Print Supply Inventory</w:instrText>
      </w:r>
      <w:r w:rsidR="00FA7E65">
        <w:instrText>”</w:instrText>
      </w:r>
      <w:r>
        <w:instrText xml:space="preserve"> </w:instrText>
      </w:r>
      <w:r>
        <w:fldChar w:fldCharType="end"/>
      </w:r>
      <w:r>
        <w:t xml:space="preserve"> </w:t>
      </w:r>
    </w:p>
    <w:p w14:paraId="0F0F258B" w14:textId="77777777" w:rsidR="002A21AE" w:rsidRDefault="00153A27" w:rsidP="00FA7E65">
      <w:pPr>
        <w:pStyle w:val="BodyText"/>
      </w:pPr>
      <w:r>
        <w:t>The</w:t>
      </w:r>
      <w:r w:rsidR="002A21AE">
        <w:t xml:space="preserve"> user view</w:t>
      </w:r>
      <w:r w:rsidR="00A91655">
        <w:t>s</w:t>
      </w:r>
      <w:r w:rsidR="002A21AE">
        <w:t xml:space="preserve"> inventory online based on various search criteria and print</w:t>
      </w:r>
      <w:r w:rsidR="00A91655">
        <w:t>s</w:t>
      </w:r>
      <w:r w:rsidR="002A21AE">
        <w:t xml:space="preserve"> the search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8FC4F5B" w14:textId="77777777">
        <w:trPr>
          <w:cantSplit/>
          <w:tblHeader/>
        </w:trPr>
        <w:tc>
          <w:tcPr>
            <w:tcW w:w="3240" w:type="dxa"/>
            <w:shd w:val="pct30" w:color="auto" w:fill="FFFFFF"/>
            <w:vAlign w:val="bottom"/>
          </w:tcPr>
          <w:p w14:paraId="53200ACE" w14:textId="77777777" w:rsidR="002A21AE" w:rsidRDefault="002A21AE">
            <w:pPr>
              <w:pStyle w:val="TableText"/>
              <w:rPr>
                <w:b/>
              </w:rPr>
            </w:pPr>
            <w:bookmarkStart w:id="283" w:name="_Toc73176862"/>
            <w:r>
              <w:rPr>
                <w:b/>
              </w:rPr>
              <w:t>User Action</w:t>
            </w:r>
          </w:p>
        </w:tc>
        <w:tc>
          <w:tcPr>
            <w:tcW w:w="6120" w:type="dxa"/>
            <w:shd w:val="pct30" w:color="auto" w:fill="FFFFFF"/>
            <w:vAlign w:val="bottom"/>
          </w:tcPr>
          <w:p w14:paraId="0F4B5B5A" w14:textId="77777777" w:rsidR="002A21AE" w:rsidRDefault="002A21AE">
            <w:pPr>
              <w:pStyle w:val="TableText"/>
              <w:rPr>
                <w:b/>
              </w:rPr>
            </w:pPr>
            <w:r>
              <w:rPr>
                <w:b/>
              </w:rPr>
              <w:t>VBECS</w:t>
            </w:r>
          </w:p>
        </w:tc>
      </w:tr>
      <w:tr w:rsidR="002A21AE" w14:paraId="0B27150F" w14:textId="77777777">
        <w:tc>
          <w:tcPr>
            <w:tcW w:w="3240" w:type="dxa"/>
            <w:tcBorders>
              <w:top w:val="single" w:sz="4" w:space="0" w:color="auto"/>
              <w:left w:val="single" w:sz="4" w:space="0" w:color="auto"/>
              <w:bottom w:val="single" w:sz="4" w:space="0" w:color="auto"/>
              <w:right w:val="single" w:sz="4" w:space="0" w:color="auto"/>
            </w:tcBorders>
          </w:tcPr>
          <w:p w14:paraId="627D30B8" w14:textId="77777777" w:rsidR="002A21AE" w:rsidRDefault="002A21AE">
            <w:pPr>
              <w:pStyle w:val="TableTextNumbers"/>
            </w:pPr>
            <w:r>
              <w:t xml:space="preserve">Select </w:t>
            </w:r>
            <w:r>
              <w:rPr>
                <w:b/>
              </w:rPr>
              <w:t>Tools</w:t>
            </w:r>
            <w:r>
              <w:t xml:space="preserve"> from the main menu.</w:t>
            </w:r>
          </w:p>
          <w:p w14:paraId="77C2FACD" w14:textId="77777777" w:rsidR="002A21AE" w:rsidRDefault="002A21AE">
            <w:pPr>
              <w:pStyle w:val="TableTextNumbersContinued"/>
            </w:pPr>
          </w:p>
          <w:p w14:paraId="0E1C8343"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76E44D52" w14:textId="77777777" w:rsidR="002A21AE" w:rsidRDefault="002A21AE">
            <w:pPr>
              <w:pStyle w:val="TableTextBullet"/>
            </w:pPr>
            <w:r>
              <w:t xml:space="preserve">Displays options for processing administrative functions. </w:t>
            </w:r>
          </w:p>
          <w:p w14:paraId="2F773488" w14:textId="77777777" w:rsidR="002A21AE" w:rsidRDefault="002A21AE">
            <w:pPr>
              <w:pStyle w:val="TableTextBullet"/>
            </w:pPr>
            <w:r>
              <w:t>Displays options for processing supplies.</w:t>
            </w:r>
          </w:p>
        </w:tc>
      </w:tr>
      <w:tr w:rsidR="002A21AE" w14:paraId="12BC7455" w14:textId="77777777">
        <w:tc>
          <w:tcPr>
            <w:tcW w:w="3240" w:type="dxa"/>
          </w:tcPr>
          <w:p w14:paraId="755F9725" w14:textId="77777777" w:rsidR="002A21AE" w:rsidRDefault="002A21AE">
            <w:pPr>
              <w:pStyle w:val="TableTextNumbers"/>
            </w:pPr>
            <w:r>
              <w:t xml:space="preserve">Select </w:t>
            </w:r>
            <w:r>
              <w:rPr>
                <w:b/>
              </w:rPr>
              <w:t>View/Print Supply Inventory</w:t>
            </w:r>
            <w:r>
              <w:t>.</w:t>
            </w:r>
          </w:p>
        </w:tc>
        <w:tc>
          <w:tcPr>
            <w:tcW w:w="6120" w:type="dxa"/>
          </w:tcPr>
          <w:p w14:paraId="6F365735" w14:textId="77777777" w:rsidR="002A21AE" w:rsidRDefault="002A21AE">
            <w:pPr>
              <w:pStyle w:val="TableTextBullet"/>
            </w:pPr>
            <w:r>
              <w:t>Lists supply types.</w:t>
            </w:r>
          </w:p>
        </w:tc>
      </w:tr>
      <w:tr w:rsidR="002A21AE" w14:paraId="2E0E87BF" w14:textId="77777777">
        <w:tc>
          <w:tcPr>
            <w:tcW w:w="3240" w:type="dxa"/>
            <w:tcBorders>
              <w:top w:val="single" w:sz="4" w:space="0" w:color="auto"/>
              <w:left w:val="single" w:sz="4" w:space="0" w:color="auto"/>
              <w:bottom w:val="single" w:sz="4" w:space="0" w:color="auto"/>
              <w:right w:val="single" w:sz="4" w:space="0" w:color="auto"/>
            </w:tcBorders>
          </w:tcPr>
          <w:p w14:paraId="62C79FE4" w14:textId="77777777" w:rsidR="002A21AE" w:rsidRDefault="002A21AE">
            <w:pPr>
              <w:pStyle w:val="TableTextNumbers"/>
            </w:pPr>
            <w:r>
              <w:t>Click one or more check boxes in the Supply Type list to select supply types.</w:t>
            </w:r>
          </w:p>
        </w:tc>
        <w:tc>
          <w:tcPr>
            <w:tcW w:w="6120" w:type="dxa"/>
            <w:tcBorders>
              <w:top w:val="single" w:sz="4" w:space="0" w:color="auto"/>
              <w:left w:val="single" w:sz="4" w:space="0" w:color="auto"/>
              <w:bottom w:val="single" w:sz="4" w:space="0" w:color="auto"/>
              <w:right w:val="single" w:sz="4" w:space="0" w:color="auto"/>
            </w:tcBorders>
          </w:tcPr>
          <w:p w14:paraId="1F4DE4D1" w14:textId="77777777" w:rsidR="002A21AE" w:rsidRDefault="002A21AE">
            <w:pPr>
              <w:pStyle w:val="TableTextBullet"/>
            </w:pPr>
            <w:r>
              <w:t>Displays or allows</w:t>
            </w:r>
            <w:r w:rsidR="006B2239">
              <w:t xml:space="preserve"> the</w:t>
            </w:r>
            <w:r>
              <w:t xml:space="preserve"> user to print a report of all current in-date, expired, and unsatisfactory supply inventory and minimum stock levels as a read-only display based on the selection criteria entered:</w:t>
            </w:r>
          </w:p>
          <w:p w14:paraId="0A4FEA7D" w14:textId="77777777" w:rsidR="002A21AE" w:rsidRDefault="002A21AE">
            <w:pPr>
              <w:pStyle w:val="TableTextBullet1"/>
            </w:pPr>
            <w:r>
              <w:t>Date range (</w:t>
            </w:r>
            <w:r w:rsidR="006B2239">
              <w:t xml:space="preserve">the </w:t>
            </w:r>
            <w:r>
              <w:t>user enter</w:t>
            </w:r>
            <w:r w:rsidR="006B2239">
              <w:t>s</w:t>
            </w:r>
            <w:r>
              <w:t xml:space="preserve"> a date to begin and end the search)</w:t>
            </w:r>
          </w:p>
          <w:p w14:paraId="36E3789B" w14:textId="77777777" w:rsidR="002A21AE" w:rsidRDefault="002A21AE">
            <w:pPr>
              <w:pStyle w:val="TableTextBullet1"/>
            </w:pPr>
            <w:r>
              <w:t>Supply type</w:t>
            </w:r>
          </w:p>
          <w:p w14:paraId="4F9698D1" w14:textId="77777777" w:rsidR="002A21AE" w:rsidRDefault="002A21AE">
            <w:pPr>
              <w:pStyle w:val="TableTextBullet1"/>
            </w:pPr>
            <w:r>
              <w:t>In-date (active) Supplies</w:t>
            </w:r>
          </w:p>
          <w:p w14:paraId="5F7160D7" w14:textId="77777777" w:rsidR="002A21AE" w:rsidRDefault="002A21AE">
            <w:pPr>
              <w:pStyle w:val="TableTextBullet1"/>
            </w:pPr>
            <w:r>
              <w:t>Expired (inactive) Supplies</w:t>
            </w:r>
          </w:p>
          <w:p w14:paraId="1B9D0CEC" w14:textId="77777777" w:rsidR="002A21AE" w:rsidRDefault="002A21AE">
            <w:pPr>
              <w:pStyle w:val="TableTextBullet1"/>
            </w:pPr>
            <w:r>
              <w:t>Expiration date of the supply</w:t>
            </w:r>
          </w:p>
          <w:p w14:paraId="73057407" w14:textId="77777777" w:rsidR="002A21AE" w:rsidRDefault="002A21AE">
            <w:pPr>
              <w:pStyle w:val="TableTextBullet1"/>
            </w:pPr>
            <w:r>
              <w:t>Date received</w:t>
            </w:r>
          </w:p>
          <w:p w14:paraId="33411685" w14:textId="77777777" w:rsidR="002A21AE" w:rsidRDefault="002A21AE">
            <w:pPr>
              <w:pStyle w:val="TableText"/>
            </w:pPr>
          </w:p>
          <w:p w14:paraId="6309CE65" w14:textId="2490901D" w:rsidR="002A21AE" w:rsidRDefault="002A21AE">
            <w:pPr>
              <w:pStyle w:val="TableText"/>
              <w:rPr>
                <w:b/>
                <w:bCs/>
                <w:szCs w:val="18"/>
              </w:rPr>
            </w:pPr>
            <w:r>
              <w:rPr>
                <w:b/>
                <w:bCs/>
                <w:szCs w:val="18"/>
              </w:rPr>
              <w:t>NOTES</w:t>
            </w:r>
          </w:p>
          <w:p w14:paraId="0A3FEFFB" w14:textId="77777777" w:rsidR="002A21AE" w:rsidRDefault="002A21AE">
            <w:pPr>
              <w:pStyle w:val="NotesText"/>
            </w:pPr>
          </w:p>
          <w:p w14:paraId="51E62A41" w14:textId="77777777" w:rsidR="002A21AE" w:rsidRDefault="002A21AE">
            <w:pPr>
              <w:pStyle w:val="NotesText"/>
              <w:rPr>
                <w:vanish/>
                <w:szCs w:val="18"/>
              </w:rPr>
            </w:pPr>
            <w:r>
              <w:rPr>
                <w:rFonts w:cs="Arial"/>
                <w:vanish/>
              </w:rPr>
              <w:t xml:space="preserve">BR_81.08 </w:t>
            </w:r>
            <w:r>
              <w:t>A user may view the supply inventory by one, some, or all of the selection criteria.</w:t>
            </w:r>
          </w:p>
          <w:p w14:paraId="05EFD0B1" w14:textId="77777777" w:rsidR="002A21AE" w:rsidRDefault="002A21AE">
            <w:pPr>
              <w:pStyle w:val="NotesText"/>
              <w:rPr>
                <w:vanish/>
                <w:szCs w:val="18"/>
              </w:rPr>
            </w:pPr>
          </w:p>
          <w:p w14:paraId="5C25B7F1" w14:textId="77777777" w:rsidR="002A21AE" w:rsidRDefault="002A21AE">
            <w:pPr>
              <w:pStyle w:val="NotesText"/>
            </w:pPr>
            <w:r>
              <w:rPr>
                <w:vanish/>
                <w:szCs w:val="18"/>
              </w:rPr>
              <w:t>PT_81.01 Supply Types</w:t>
            </w:r>
          </w:p>
        </w:tc>
      </w:tr>
      <w:tr w:rsidR="002A21AE" w14:paraId="2A34E17E" w14:textId="77777777">
        <w:tc>
          <w:tcPr>
            <w:tcW w:w="3240" w:type="dxa"/>
            <w:tcBorders>
              <w:top w:val="single" w:sz="4" w:space="0" w:color="auto"/>
              <w:left w:val="single" w:sz="4" w:space="0" w:color="auto"/>
              <w:bottom w:val="single" w:sz="4" w:space="0" w:color="auto"/>
              <w:right w:val="single" w:sz="4" w:space="0" w:color="auto"/>
            </w:tcBorders>
          </w:tcPr>
          <w:p w14:paraId="7E7A7323" w14:textId="77777777" w:rsidR="002A21AE" w:rsidRDefault="00165119">
            <w:pPr>
              <w:pStyle w:val="TableTextNumbers"/>
            </w:pPr>
            <w:r>
              <w:t xml:space="preserve">Click </w:t>
            </w:r>
            <w:r w:rsidRPr="00165119">
              <w:rPr>
                <w:b/>
              </w:rPr>
              <w:t>OK</w:t>
            </w:r>
            <w:r>
              <w:t xml:space="preserve"> to a</w:t>
            </w:r>
            <w:r w:rsidR="002A21AE">
              <w:t>ccept the displayed selection criteria.</w:t>
            </w:r>
          </w:p>
        </w:tc>
        <w:tc>
          <w:tcPr>
            <w:tcW w:w="6120" w:type="dxa"/>
            <w:tcBorders>
              <w:top w:val="single" w:sz="4" w:space="0" w:color="auto"/>
              <w:left w:val="single" w:sz="4" w:space="0" w:color="auto"/>
              <w:bottom w:val="single" w:sz="4" w:space="0" w:color="auto"/>
              <w:right w:val="single" w:sz="4" w:space="0" w:color="auto"/>
            </w:tcBorders>
          </w:tcPr>
          <w:p w14:paraId="3AA0143B" w14:textId="77777777" w:rsidR="002A21AE" w:rsidRDefault="002A21AE">
            <w:pPr>
              <w:pStyle w:val="TableTextBullet"/>
            </w:pPr>
            <w:r>
              <w:t>Compiles the report and displays an option to print or exit the report.</w:t>
            </w:r>
          </w:p>
        </w:tc>
      </w:tr>
      <w:tr w:rsidR="002A21AE" w14:paraId="184BAAFD" w14:textId="77777777">
        <w:tc>
          <w:tcPr>
            <w:tcW w:w="3240" w:type="dxa"/>
            <w:tcBorders>
              <w:top w:val="single" w:sz="4" w:space="0" w:color="auto"/>
              <w:left w:val="single" w:sz="4" w:space="0" w:color="auto"/>
              <w:bottom w:val="single" w:sz="4" w:space="0" w:color="auto"/>
              <w:right w:val="single" w:sz="4" w:space="0" w:color="auto"/>
            </w:tcBorders>
          </w:tcPr>
          <w:p w14:paraId="49BB723E" w14:textId="77777777" w:rsidR="002A21AE" w:rsidRDefault="002A21AE">
            <w:pPr>
              <w:pStyle w:val="TableTextNumbers"/>
            </w:pPr>
            <w:r>
              <w:t xml:space="preserve">Click </w:t>
            </w:r>
            <w:r>
              <w:rPr>
                <w:b/>
              </w:rPr>
              <w:t>Print Supply Inventory</w:t>
            </w:r>
            <w:r>
              <w:t xml:space="preserve"> to print the list of supplies.</w:t>
            </w:r>
          </w:p>
        </w:tc>
        <w:tc>
          <w:tcPr>
            <w:tcW w:w="6120" w:type="dxa"/>
            <w:tcBorders>
              <w:top w:val="single" w:sz="4" w:space="0" w:color="auto"/>
              <w:left w:val="single" w:sz="4" w:space="0" w:color="auto"/>
              <w:bottom w:val="single" w:sz="4" w:space="0" w:color="auto"/>
              <w:right w:val="single" w:sz="4" w:space="0" w:color="auto"/>
            </w:tcBorders>
          </w:tcPr>
          <w:p w14:paraId="371A9BB3" w14:textId="77777777" w:rsidR="002A21AE" w:rsidRDefault="002A21AE">
            <w:pPr>
              <w:pStyle w:val="TableTextBullet"/>
            </w:pPr>
            <w:r>
              <w:t>Sends the report to print on the printer selected by the user.</w:t>
            </w:r>
          </w:p>
          <w:p w14:paraId="12D40071" w14:textId="77777777" w:rsidR="002A21AE" w:rsidRDefault="002A21AE">
            <w:pPr>
              <w:pStyle w:val="TableText"/>
            </w:pPr>
          </w:p>
          <w:p w14:paraId="6A219D6E" w14:textId="58F571E4" w:rsidR="002A21AE" w:rsidRDefault="002A21AE">
            <w:pPr>
              <w:pStyle w:val="TableText"/>
              <w:rPr>
                <w:b/>
                <w:bCs/>
                <w:szCs w:val="18"/>
              </w:rPr>
            </w:pPr>
            <w:r>
              <w:rPr>
                <w:b/>
                <w:bCs/>
                <w:szCs w:val="18"/>
              </w:rPr>
              <w:t>NOTES</w:t>
            </w:r>
          </w:p>
          <w:p w14:paraId="26A16F83" w14:textId="77777777" w:rsidR="002A21AE" w:rsidRDefault="002A21AE">
            <w:pPr>
              <w:pStyle w:val="NotesText"/>
            </w:pPr>
          </w:p>
          <w:p w14:paraId="1A3FB34F" w14:textId="77777777" w:rsidR="002A21AE" w:rsidRDefault="002A21AE">
            <w:pPr>
              <w:pStyle w:val="NotesText"/>
            </w:pPr>
            <w:r>
              <w:rPr>
                <w:rFonts w:cs="Arial"/>
                <w:vanish/>
              </w:rPr>
              <w:t xml:space="preserve">BR_81.09 </w:t>
            </w:r>
            <w:r>
              <w:t>VBECS displays and prints the report in the supply type order</w:t>
            </w:r>
            <w:r w:rsidR="00F85F11">
              <w:t xml:space="preserve"> </w:t>
            </w:r>
            <w:r>
              <w:rPr>
                <w:vanish/>
                <w:szCs w:val="18"/>
              </w:rPr>
              <w:t>(as defined in PT_81.01)</w:t>
            </w:r>
            <w:r>
              <w:t>: in-date by lot number in reverse chronological order of expiration date, followed by expired and unsatisfactory supplies. Details included in the report:</w:t>
            </w:r>
          </w:p>
          <w:p w14:paraId="18CE9274" w14:textId="77777777" w:rsidR="002A21AE" w:rsidRDefault="002A21AE">
            <w:pPr>
              <w:pStyle w:val="NotesTextBullet"/>
            </w:pPr>
            <w:r>
              <w:t xml:space="preserve">Supply Type (Unit of Measure) </w:t>
            </w:r>
          </w:p>
          <w:p w14:paraId="47D51AD2" w14:textId="77777777" w:rsidR="002A21AE" w:rsidRDefault="002A21AE">
            <w:pPr>
              <w:pStyle w:val="NotesTextBullet"/>
            </w:pPr>
            <w:r>
              <w:t>Manufacturer</w:t>
            </w:r>
          </w:p>
          <w:p w14:paraId="5572CA59" w14:textId="77777777" w:rsidR="002A21AE" w:rsidRDefault="002A21AE">
            <w:pPr>
              <w:pStyle w:val="NotesTextBullet"/>
            </w:pPr>
            <w:r>
              <w:t>Manufacturer’s Supply Name</w:t>
            </w:r>
          </w:p>
          <w:p w14:paraId="2FC98CED" w14:textId="77777777" w:rsidR="002A21AE" w:rsidRDefault="002A21AE">
            <w:pPr>
              <w:pStyle w:val="NotesTextBullet"/>
            </w:pPr>
            <w:r>
              <w:t>Lot Number</w:t>
            </w:r>
          </w:p>
          <w:p w14:paraId="62303CB5" w14:textId="77777777" w:rsidR="002A21AE" w:rsidRDefault="002A21AE">
            <w:pPr>
              <w:pStyle w:val="NotesTextBullet"/>
            </w:pPr>
            <w:r>
              <w:t>Expiration Date</w:t>
            </w:r>
          </w:p>
          <w:p w14:paraId="6F95D912" w14:textId="77777777" w:rsidR="002A21AE" w:rsidRDefault="002A21AE">
            <w:pPr>
              <w:pStyle w:val="NotesTextBullet"/>
            </w:pPr>
            <w:r>
              <w:t>Number Available</w:t>
            </w:r>
          </w:p>
          <w:p w14:paraId="62B58844" w14:textId="77777777" w:rsidR="002A21AE" w:rsidRDefault="002A21AE">
            <w:pPr>
              <w:pStyle w:val="NotesTextBullet"/>
            </w:pPr>
            <w:r>
              <w:t>Inspection upon receipt</w:t>
            </w:r>
          </w:p>
          <w:p w14:paraId="693974F0" w14:textId="77777777" w:rsidR="002A21AE" w:rsidRDefault="002A21AE">
            <w:pPr>
              <w:pStyle w:val="NotesTextBullet"/>
            </w:pPr>
            <w:r>
              <w:t>Invoice Number</w:t>
            </w:r>
          </w:p>
          <w:p w14:paraId="5C480C07" w14:textId="77777777" w:rsidR="002A21AE" w:rsidRDefault="002A21AE">
            <w:pPr>
              <w:pStyle w:val="NotesTextBullet"/>
            </w:pPr>
            <w:r>
              <w:t xml:space="preserve">Received Date/Time </w:t>
            </w:r>
          </w:p>
          <w:p w14:paraId="53025783" w14:textId="77777777" w:rsidR="002A21AE" w:rsidRDefault="002A21AE">
            <w:pPr>
              <w:pStyle w:val="NotesTextBullet"/>
            </w:pPr>
            <w:r>
              <w:t>Received by Tech Name</w:t>
            </w:r>
          </w:p>
          <w:p w14:paraId="1BE416CE" w14:textId="77777777" w:rsidR="002A21AE" w:rsidRDefault="002A21AE" w:rsidP="000C4324">
            <w:pPr>
              <w:pStyle w:val="NotesTextBullet"/>
            </w:pPr>
            <w:r>
              <w:t>Comments</w:t>
            </w:r>
          </w:p>
        </w:tc>
      </w:tr>
      <w:tr w:rsidR="002A21AE" w14:paraId="2075155A" w14:textId="77777777">
        <w:tc>
          <w:tcPr>
            <w:tcW w:w="3240" w:type="dxa"/>
            <w:tcBorders>
              <w:top w:val="single" w:sz="4" w:space="0" w:color="auto"/>
              <w:left w:val="single" w:sz="4" w:space="0" w:color="auto"/>
              <w:bottom w:val="single" w:sz="4" w:space="0" w:color="auto"/>
              <w:right w:val="single" w:sz="4" w:space="0" w:color="auto"/>
            </w:tcBorders>
          </w:tcPr>
          <w:p w14:paraId="29EB70B2" w14:textId="77777777" w:rsidR="002A21AE" w:rsidRDefault="002A21AE">
            <w:pPr>
              <w:pStyle w:val="TableTextNumbers"/>
            </w:pPr>
            <w:r>
              <w:t>Print another report or</w:t>
            </w:r>
            <w:r w:rsidR="00165119">
              <w:t xml:space="preserve"> click </w:t>
            </w:r>
            <w:r w:rsidR="00165119" w:rsidRPr="00165119">
              <w:rPr>
                <w:b/>
              </w:rPr>
              <w:t>Cancel</w:t>
            </w:r>
            <w:r w:rsidR="00165119">
              <w:t xml:space="preserve"> to</w:t>
            </w:r>
            <w:r>
              <w:t xml:space="preserve">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84"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484F2CC3" w14:textId="77777777" w:rsidR="002A21AE" w:rsidRDefault="002A21AE">
            <w:pPr>
              <w:pStyle w:val="TableText"/>
            </w:pPr>
          </w:p>
        </w:tc>
      </w:tr>
      <w:bookmarkEnd w:id="283"/>
    </w:tbl>
    <w:p w14:paraId="46C0CF5F" w14:textId="77777777" w:rsidR="00DC6F96" w:rsidRDefault="00DC6F96">
      <w:pPr>
        <w:pStyle w:val="Heading3"/>
      </w:pPr>
    </w:p>
    <w:p w14:paraId="6DE059C2" w14:textId="77777777" w:rsidR="002A21AE" w:rsidRDefault="00DC6F96">
      <w:pPr>
        <w:pStyle w:val="Heading3"/>
      </w:pPr>
      <w:r>
        <w:br w:type="page"/>
      </w:r>
      <w:bookmarkStart w:id="285" w:name="_Toc47516713"/>
      <w:r w:rsidR="002A21AE">
        <w:lastRenderedPageBreak/>
        <w:t>Equipment</w:t>
      </w:r>
      <w:bookmarkEnd w:id="285"/>
      <w:r w:rsidR="002A21AE">
        <w:fldChar w:fldCharType="begin"/>
      </w:r>
      <w:r w:rsidR="002A21AE">
        <w:instrText xml:space="preserve"> XE </w:instrText>
      </w:r>
      <w:r w:rsidR="00FA7E65">
        <w:instrText>“</w:instrText>
      </w:r>
      <w:r w:rsidR="002A21AE">
        <w:instrText>Equipment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UC_22</w:t>
      </w:r>
    </w:p>
    <w:p w14:paraId="52E0570B" w14:textId="77777777" w:rsidR="002A21AE" w:rsidRDefault="002A21AE" w:rsidP="00FA7E65">
      <w:pPr>
        <w:pStyle w:val="BodyText"/>
      </w:pPr>
      <w:r>
        <w:t>The user registers blood bank instruments and other equipment (refrigerators, freezers, thawing bath, incubators, centrifuges, etc.) and records associated maintenance activities.</w:t>
      </w:r>
    </w:p>
    <w:p w14:paraId="03782CAC" w14:textId="77777777" w:rsidR="002A21AE" w:rsidRDefault="002A21AE">
      <w:pPr>
        <w:pStyle w:val="Heading4"/>
        <w:rPr>
          <w:b w:val="0"/>
        </w:rPr>
      </w:pPr>
      <w:r>
        <w:t>Assumptions</w:t>
      </w:r>
    </w:p>
    <w:p w14:paraId="345676A3" w14:textId="77777777" w:rsidR="002A21AE" w:rsidRDefault="002A21AE">
      <w:pPr>
        <w:pStyle w:val="ListBullet"/>
      </w:pPr>
      <w:r>
        <w:rPr>
          <w:rFonts w:ascii="Arial" w:hAnsi="Arial" w:cs="Arial"/>
          <w:vanish/>
          <w:spacing w:val="0"/>
          <w:sz w:val="18"/>
        </w:rPr>
        <w:t xml:space="preserve">BR_22.01 </w:t>
      </w:r>
      <w:r>
        <w:t>A user may maintain equipment inventory only in the division currently logged into.</w:t>
      </w:r>
    </w:p>
    <w:p w14:paraId="74120EDF" w14:textId="77777777" w:rsidR="002A21AE" w:rsidRDefault="002A21AE">
      <w:pPr>
        <w:pStyle w:val="Heading4"/>
      </w:pPr>
      <w:r>
        <w:t xml:space="preserve">Outcome </w:t>
      </w:r>
    </w:p>
    <w:p w14:paraId="73D18209" w14:textId="77777777" w:rsidR="002A21AE" w:rsidRDefault="002A21AE">
      <w:pPr>
        <w:pStyle w:val="ListBullet"/>
        <w:rPr>
          <w:b/>
        </w:rPr>
      </w:pPr>
      <w:r>
        <w:t>An equipment maintenance record, accessible within the division of entry, was established.</w:t>
      </w:r>
    </w:p>
    <w:p w14:paraId="47768B61" w14:textId="77777777" w:rsidR="002A21AE" w:rsidRDefault="002A21AE">
      <w:pPr>
        <w:pStyle w:val="Heading4"/>
      </w:pPr>
      <w:r>
        <w:t xml:space="preserve">Limitations and Restrictions </w:t>
      </w:r>
    </w:p>
    <w:p w14:paraId="29CDE8AC" w14:textId="77777777" w:rsidR="002A21AE" w:rsidRDefault="002A21AE">
      <w:pPr>
        <w:pStyle w:val="ListBullet"/>
      </w:pPr>
      <w:r>
        <w:t>VBECS does not check for duplicate entries of equipment names and identifiers.</w:t>
      </w:r>
    </w:p>
    <w:p w14:paraId="5B63DF8E" w14:textId="77777777" w:rsidR="002A21AE" w:rsidRDefault="002A21AE">
      <w:pPr>
        <w:pStyle w:val="ListBullet"/>
      </w:pPr>
      <w:r>
        <w:t xml:space="preserve">There is no retrospective data entry or user selection for </w:t>
      </w:r>
      <w:r w:rsidR="00932460">
        <w:t>this option</w:t>
      </w:r>
      <w:r>
        <w:t>.</w:t>
      </w:r>
    </w:p>
    <w:p w14:paraId="218438F5" w14:textId="77777777" w:rsidR="002A21AE" w:rsidRDefault="002A21AE">
      <w:pPr>
        <w:pStyle w:val="Heading4"/>
      </w:pPr>
      <w:r>
        <w:t xml:space="preserve">Additional Information </w:t>
      </w:r>
    </w:p>
    <w:p w14:paraId="6889D7D5" w14:textId="77777777" w:rsidR="002A21AE" w:rsidRDefault="002A21AE">
      <w:pPr>
        <w:pStyle w:val="ListBullet"/>
      </w:pPr>
      <w:r>
        <w:t>VBECS does not calculate inventory levels for supplies or equipment.</w:t>
      </w:r>
    </w:p>
    <w:p w14:paraId="0B29F580" w14:textId="77777777" w:rsidR="002A21AE" w:rsidRDefault="002A21AE">
      <w:pPr>
        <w:pStyle w:val="Heading4"/>
        <w:rPr>
          <w:b w:val="0"/>
        </w:rPr>
      </w:pPr>
      <w:r>
        <w:t>User Roles with Access to This Option</w:t>
      </w:r>
      <w:r>
        <w:rPr>
          <w:b w:val="0"/>
        </w:rPr>
        <w:t xml:space="preserve"> </w:t>
      </w:r>
    </w:p>
    <w:p w14:paraId="63BBF149" w14:textId="77777777" w:rsidR="002A21AE" w:rsidRDefault="00410B0E">
      <w:pPr>
        <w:pStyle w:val="Roles"/>
        <w:rPr>
          <w:snapToGrid w:val="0"/>
        </w:rPr>
      </w:pPr>
      <w:r>
        <w:t>All users</w:t>
      </w:r>
    </w:p>
    <w:p w14:paraId="3C2469CB" w14:textId="77777777" w:rsidR="002A21AE" w:rsidRDefault="002A21AE">
      <w:pPr>
        <w:pStyle w:val="Heading4"/>
      </w:pPr>
      <w:r>
        <w:t>Equipment: Log In Equipment</w:t>
      </w:r>
      <w:r>
        <w:fldChar w:fldCharType="begin"/>
      </w:r>
      <w:r>
        <w:instrText xml:space="preserve"> XE </w:instrText>
      </w:r>
      <w:r w:rsidR="00FA7E65">
        <w:instrText>“</w:instrText>
      </w:r>
      <w:r>
        <w:instrText>Equipment\: Log In Equipment</w:instrText>
      </w:r>
      <w:r w:rsidR="00FA7E65">
        <w:instrText>”</w:instrText>
      </w:r>
      <w:r>
        <w:instrText xml:space="preserve"> </w:instrText>
      </w:r>
      <w:r>
        <w:fldChar w:fldCharType="end"/>
      </w:r>
    </w:p>
    <w:p w14:paraId="5BFB5647" w14:textId="77777777" w:rsidR="002A21AE" w:rsidRDefault="002A21AE" w:rsidP="00FA7E65">
      <w:pPr>
        <w:pStyle w:val="BodyText"/>
      </w:pPr>
      <w:r>
        <w:t>A user add</w:t>
      </w:r>
      <w:r w:rsidR="0000095B">
        <w:t>s</w:t>
      </w:r>
      <w:r>
        <w:t xml:space="preserve"> new equipment or maintain</w:t>
      </w:r>
      <w:r w:rsidR="0000095B">
        <w:t>s</w:t>
      </w:r>
      <w:r>
        <w:t xml:space="preserve"> existing equipment. After equipment is registered, the user must record periodic maintenance. The equipment records are updated and retained according to local procedure and policy. Once an equipment record is established, it may be selected as equipment used during a blood product modification.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1349994" w14:textId="77777777">
        <w:trPr>
          <w:cantSplit/>
          <w:tblHeader/>
        </w:trPr>
        <w:tc>
          <w:tcPr>
            <w:tcW w:w="3240" w:type="dxa"/>
            <w:shd w:val="pct30" w:color="auto" w:fill="FFFFFF"/>
            <w:vAlign w:val="bottom"/>
          </w:tcPr>
          <w:p w14:paraId="5429D136" w14:textId="77777777" w:rsidR="002A21AE" w:rsidRDefault="002A21AE">
            <w:pPr>
              <w:pStyle w:val="TableText"/>
              <w:rPr>
                <w:b/>
              </w:rPr>
            </w:pPr>
            <w:r>
              <w:rPr>
                <w:b/>
              </w:rPr>
              <w:t>User Action</w:t>
            </w:r>
          </w:p>
        </w:tc>
        <w:tc>
          <w:tcPr>
            <w:tcW w:w="6120" w:type="dxa"/>
            <w:shd w:val="pct30" w:color="auto" w:fill="FFFFFF"/>
            <w:vAlign w:val="bottom"/>
          </w:tcPr>
          <w:p w14:paraId="634BE247" w14:textId="77777777" w:rsidR="002A21AE" w:rsidRDefault="002A21AE">
            <w:pPr>
              <w:pStyle w:val="TableText"/>
              <w:rPr>
                <w:b/>
              </w:rPr>
            </w:pPr>
            <w:r>
              <w:rPr>
                <w:b/>
              </w:rPr>
              <w:t>VBECS</w:t>
            </w:r>
          </w:p>
        </w:tc>
      </w:tr>
      <w:tr w:rsidR="002A21AE" w14:paraId="546EFB15" w14:textId="77777777">
        <w:tc>
          <w:tcPr>
            <w:tcW w:w="3240" w:type="dxa"/>
          </w:tcPr>
          <w:p w14:paraId="09F4B02A" w14:textId="77777777" w:rsidR="002A21AE" w:rsidRDefault="002A21AE">
            <w:pPr>
              <w:pStyle w:val="TableTextNumbers"/>
            </w:pPr>
            <w:r>
              <w:t xml:space="preserve">To add new equipment, select </w:t>
            </w:r>
            <w:r>
              <w:rPr>
                <w:b/>
              </w:rPr>
              <w:t>Tools</w:t>
            </w:r>
            <w:r>
              <w:t xml:space="preserve"> from the main menu.</w:t>
            </w:r>
          </w:p>
          <w:p w14:paraId="0B16F63B" w14:textId="77777777" w:rsidR="002A21AE" w:rsidRDefault="002A21AE">
            <w:pPr>
              <w:pStyle w:val="TableTextNumbersContinued"/>
            </w:pPr>
          </w:p>
          <w:p w14:paraId="0AF0E70A" w14:textId="77777777" w:rsidR="002A21AE" w:rsidRDefault="002A21AE">
            <w:pPr>
              <w:pStyle w:val="TableTextNumbersContinued"/>
            </w:pPr>
            <w:r>
              <w:t xml:space="preserve">Select </w:t>
            </w:r>
            <w:r>
              <w:rPr>
                <w:b/>
              </w:rPr>
              <w:t>Equipment</w:t>
            </w:r>
            <w:r>
              <w:t>.</w:t>
            </w:r>
          </w:p>
        </w:tc>
        <w:tc>
          <w:tcPr>
            <w:tcW w:w="6120" w:type="dxa"/>
          </w:tcPr>
          <w:p w14:paraId="56DC278C" w14:textId="77777777" w:rsidR="002A21AE" w:rsidRDefault="002A21AE">
            <w:pPr>
              <w:pStyle w:val="TableTextBullet"/>
            </w:pPr>
            <w:r>
              <w:t>Displays options to maintain equipment maintenance.</w:t>
            </w:r>
          </w:p>
          <w:p w14:paraId="56E6198C" w14:textId="77777777" w:rsidR="002A21AE" w:rsidRDefault="002A21AE">
            <w:pPr>
              <w:pStyle w:val="NotesText"/>
            </w:pPr>
          </w:p>
        </w:tc>
      </w:tr>
      <w:tr w:rsidR="002A21AE" w14:paraId="088B4C72" w14:textId="77777777">
        <w:tc>
          <w:tcPr>
            <w:tcW w:w="3240" w:type="dxa"/>
            <w:tcBorders>
              <w:top w:val="single" w:sz="4" w:space="0" w:color="auto"/>
              <w:left w:val="single" w:sz="4" w:space="0" w:color="auto"/>
              <w:bottom w:val="single" w:sz="4" w:space="0" w:color="auto"/>
              <w:right w:val="single" w:sz="4" w:space="0" w:color="auto"/>
            </w:tcBorders>
          </w:tcPr>
          <w:p w14:paraId="40A32BB2" w14:textId="77777777" w:rsidR="002A21AE" w:rsidRDefault="002A21AE">
            <w:pPr>
              <w:pStyle w:val="TableTextNumbers"/>
            </w:pPr>
            <w:r>
              <w:t xml:space="preserve">Select </w:t>
            </w:r>
            <w:r>
              <w:rPr>
                <w:b/>
              </w:rPr>
              <w:t>Log In Equipment</w:t>
            </w:r>
            <w:r>
              <w:t xml:space="preserve"> to create an equipment record or </w:t>
            </w:r>
            <w:r>
              <w:rPr>
                <w:b/>
              </w:rPr>
              <w:t>Maintain Equipment</w:t>
            </w:r>
            <w:r>
              <w:t xml:space="preserve"> to record maintenance (see Equipment: Maintain Equipment).</w:t>
            </w:r>
          </w:p>
        </w:tc>
        <w:tc>
          <w:tcPr>
            <w:tcW w:w="6120" w:type="dxa"/>
            <w:tcBorders>
              <w:top w:val="single" w:sz="4" w:space="0" w:color="auto"/>
              <w:left w:val="single" w:sz="4" w:space="0" w:color="auto"/>
              <w:bottom w:val="single" w:sz="4" w:space="0" w:color="auto"/>
              <w:right w:val="single" w:sz="4" w:space="0" w:color="auto"/>
            </w:tcBorders>
          </w:tcPr>
          <w:p w14:paraId="4ED0280D" w14:textId="77777777" w:rsidR="002A21AE" w:rsidRDefault="002A21AE">
            <w:pPr>
              <w:pStyle w:val="TableTextBullet"/>
            </w:pPr>
            <w:r>
              <w:rPr>
                <w:rFonts w:cs="Arial"/>
                <w:vanish/>
              </w:rPr>
              <w:t xml:space="preserve">BR_22.05 </w:t>
            </w:r>
            <w:r>
              <w:t>Displays an empty equipment property template.</w:t>
            </w:r>
          </w:p>
          <w:p w14:paraId="229D5324" w14:textId="77777777" w:rsidR="002A21AE" w:rsidRDefault="002A21AE">
            <w:pPr>
              <w:pStyle w:val="TableTextBullet"/>
            </w:pPr>
            <w:r>
              <w:t>Displays all in-service equipment items for the blood bank associated with the user’s division and offers the option to display out-of-service equipment.</w:t>
            </w:r>
          </w:p>
        </w:tc>
      </w:tr>
      <w:tr w:rsidR="002A21AE" w14:paraId="10E5BC00"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63006603" w14:textId="77777777" w:rsidR="002A21AE" w:rsidRDefault="002A21AE">
            <w:pPr>
              <w:pStyle w:val="TableTextNumbers"/>
            </w:pPr>
            <w:r>
              <w:lastRenderedPageBreak/>
              <w:t>Equipment Info area: Enter the equipment information in the appropriate fields. Enter or select an equipment type from the drop-down menu.</w:t>
            </w:r>
          </w:p>
          <w:p w14:paraId="21566E90" w14:textId="77777777" w:rsidR="002A21AE" w:rsidRDefault="002A21AE">
            <w:pPr>
              <w:pStyle w:val="TableTextNumbersContinued"/>
              <w:rPr>
                <w:b/>
                <w:bCs/>
              </w:rPr>
            </w:pPr>
          </w:p>
          <w:p w14:paraId="0BDC4C41" w14:textId="77777777" w:rsidR="002A21AE" w:rsidRDefault="002A21AE">
            <w:pPr>
              <w:pStyle w:val="TableTextNumbersContinued"/>
            </w:pPr>
            <w:r>
              <w:t>Installation Info area: Select or edit the date and time in the Date Received/Installed field.</w:t>
            </w:r>
          </w:p>
          <w:p w14:paraId="1D660719" w14:textId="77777777" w:rsidR="002A21AE" w:rsidRDefault="002A21AE">
            <w:pPr>
              <w:pStyle w:val="TableTextNumbersContinued"/>
            </w:pPr>
          </w:p>
          <w:p w14:paraId="6E2B075F" w14:textId="77777777" w:rsidR="002A21AE" w:rsidRDefault="002A21AE">
            <w:pPr>
              <w:pStyle w:val="TableTextNumbersContinued"/>
            </w:pPr>
            <w:r>
              <w:t xml:space="preserve">Click the </w:t>
            </w:r>
            <w:r>
              <w:rPr>
                <w:b/>
              </w:rPr>
              <w:t xml:space="preserve">Expiration/Renewal Date </w:t>
            </w:r>
            <w:r w:rsidRPr="00D1100E">
              <w:t>check box</w:t>
            </w:r>
            <w:r>
              <w:rPr>
                <w:b/>
              </w:rPr>
              <w:t xml:space="preserve"> </w:t>
            </w:r>
            <w:r>
              <w:t xml:space="preserve">when there’s an expiration or renewal date, and edit the date as above. </w:t>
            </w:r>
          </w:p>
          <w:p w14:paraId="03C6B7AF" w14:textId="77777777" w:rsidR="002A21AE" w:rsidRDefault="002A21AE">
            <w:pPr>
              <w:pStyle w:val="TableTextNumbersContinued"/>
            </w:pPr>
          </w:p>
          <w:p w14:paraId="798164E6" w14:textId="77777777" w:rsidR="002A21AE" w:rsidRDefault="002A21AE">
            <w:pPr>
              <w:pStyle w:val="TableTextNumbersContinued"/>
            </w:pPr>
            <w:r>
              <w:t>Manufacturer Info area: Enter the manufacturer name or select a manufacturer from the drop-down list.</w:t>
            </w:r>
          </w:p>
          <w:p w14:paraId="7408D1D3" w14:textId="77777777" w:rsidR="002A21AE" w:rsidRDefault="002A21AE">
            <w:pPr>
              <w:pStyle w:val="TableTextNumbersContinued"/>
            </w:pPr>
          </w:p>
          <w:p w14:paraId="116678AD" w14:textId="77777777" w:rsidR="002A21AE" w:rsidRDefault="002A21AE">
            <w:pPr>
              <w:pStyle w:val="TableTextNumbersContinued"/>
            </w:pPr>
            <w:r>
              <w:t xml:space="preserve">Enter the manufacturer’s contact information in the appropriate fields or click the </w:t>
            </w:r>
            <w:r w:rsidR="00A6373D">
              <w:rPr>
                <w:b/>
              </w:rPr>
              <w:t>find</w:t>
            </w:r>
            <w:r w:rsidRPr="00BF2E41">
              <w:t xml:space="preserve"> button</w:t>
            </w:r>
            <w:r>
              <w:t xml:space="preserve"> to select the manufacturer’s address.</w:t>
            </w:r>
          </w:p>
          <w:p w14:paraId="2330436A" w14:textId="77777777" w:rsidR="002A21AE" w:rsidRDefault="002A21AE">
            <w:pPr>
              <w:pStyle w:val="TableTextNumbersContinued"/>
            </w:pPr>
          </w:p>
          <w:p w14:paraId="0D9706B0" w14:textId="4AE81B18" w:rsidR="002A21AE" w:rsidRDefault="002A21AE">
            <w:pPr>
              <w:pStyle w:val="TableTextNumbersContinued"/>
            </w:pPr>
            <w:r>
              <w:t xml:space="preserve">Click </w:t>
            </w:r>
            <w:r>
              <w:rPr>
                <w:b/>
              </w:rPr>
              <w:t>Add</w:t>
            </w:r>
            <w:r>
              <w:t xml:space="preserve"> to add the equipment to inventory</w:t>
            </w:r>
            <w:r w:rsidR="00D33C56">
              <w:t xml:space="preserve"> (</w:t>
            </w:r>
            <w:r w:rsidR="00D33C56">
              <w:fldChar w:fldCharType="begin"/>
            </w:r>
            <w:r w:rsidR="00D33C56">
              <w:instrText xml:space="preserve"> REF _Ref126556319 \h </w:instrText>
            </w:r>
            <w:r w:rsidR="00D33C56">
              <w:fldChar w:fldCharType="separate"/>
            </w:r>
            <w:r w:rsidR="004353ED">
              <w:t xml:space="preserve">Figure </w:t>
            </w:r>
            <w:r w:rsidR="004353ED">
              <w:rPr>
                <w:noProof/>
              </w:rPr>
              <w:t>66</w:t>
            </w:r>
            <w:r w:rsidR="00D33C56">
              <w:fldChar w:fldCharType="end"/>
            </w:r>
            <w:r w:rsidR="00D33C56">
              <w:t>)</w:t>
            </w:r>
            <w:r>
              <w:t>.</w:t>
            </w:r>
          </w:p>
        </w:tc>
        <w:tc>
          <w:tcPr>
            <w:tcW w:w="6120" w:type="dxa"/>
            <w:tcBorders>
              <w:top w:val="single" w:sz="4" w:space="0" w:color="auto"/>
              <w:left w:val="single" w:sz="4" w:space="0" w:color="auto"/>
              <w:bottom w:val="single" w:sz="4" w:space="0" w:color="auto"/>
              <w:right w:val="single" w:sz="4" w:space="0" w:color="auto"/>
            </w:tcBorders>
          </w:tcPr>
          <w:p w14:paraId="75E844DB" w14:textId="77777777" w:rsidR="002A21AE" w:rsidRDefault="002A21AE">
            <w:pPr>
              <w:pStyle w:val="TableTextBullet"/>
            </w:pPr>
            <w:r>
              <w:t>Displays fields for entering equipment name, ID, serial number, and type in the Equipment Info area.</w:t>
            </w:r>
          </w:p>
          <w:p w14:paraId="6AA68B3A" w14:textId="77777777" w:rsidR="002A21AE" w:rsidRDefault="002A21AE">
            <w:pPr>
              <w:pStyle w:val="TableTextBullet"/>
            </w:pPr>
            <w:r>
              <w:t>Displays fields for entering the date the equipment was received or installed, warranty or service contract number, and expiration or renewal service contract date in the Installation Info area.</w:t>
            </w:r>
          </w:p>
          <w:p w14:paraId="12383213" w14:textId="77777777" w:rsidR="002A21AE" w:rsidRDefault="002A21AE">
            <w:pPr>
              <w:pStyle w:val="TableTextBullet"/>
            </w:pPr>
            <w:r>
              <w:t>Displays fields for entering the manufacturer name, address, and phone in the Manufacturer Info area.</w:t>
            </w:r>
          </w:p>
        </w:tc>
      </w:tr>
      <w:tr w:rsidR="002A21AE" w14:paraId="00DB82BD" w14:textId="77777777">
        <w:tc>
          <w:tcPr>
            <w:tcW w:w="3240" w:type="dxa"/>
            <w:tcBorders>
              <w:top w:val="single" w:sz="4" w:space="0" w:color="auto"/>
              <w:left w:val="single" w:sz="4" w:space="0" w:color="auto"/>
              <w:bottom w:val="single" w:sz="4" w:space="0" w:color="auto"/>
              <w:right w:val="single" w:sz="4" w:space="0" w:color="auto"/>
            </w:tcBorders>
          </w:tcPr>
          <w:p w14:paraId="586A0F36" w14:textId="77777777" w:rsidR="002A21AE" w:rsidRDefault="002A21AE">
            <w:pPr>
              <w:pStyle w:val="TableTextNumbers"/>
            </w:pPr>
            <w:r>
              <w:t>Repeat Step 3 to add new items to the equipment list.</w:t>
            </w:r>
          </w:p>
          <w:p w14:paraId="77D661D5" w14:textId="77777777" w:rsidR="002A21AE" w:rsidRDefault="002A21AE">
            <w:pPr>
              <w:pStyle w:val="TableTextNumbersContinued"/>
            </w:pPr>
          </w:p>
          <w:p w14:paraId="767412B3" w14:textId="77777777" w:rsidR="002A21AE" w:rsidRDefault="002A21AE">
            <w:pPr>
              <w:pStyle w:val="TableTextNumbersContinued"/>
            </w:pPr>
            <w:r>
              <w:t xml:space="preserve">Click </w:t>
            </w:r>
            <w:r>
              <w:rPr>
                <w:b/>
              </w:rPr>
              <w:t>OK</w:t>
            </w:r>
            <w:r>
              <w:t xml:space="preserve"> to save.</w:t>
            </w:r>
          </w:p>
        </w:tc>
        <w:tc>
          <w:tcPr>
            <w:tcW w:w="6120" w:type="dxa"/>
            <w:tcBorders>
              <w:top w:val="single" w:sz="4" w:space="0" w:color="auto"/>
              <w:left w:val="single" w:sz="4" w:space="0" w:color="auto"/>
              <w:bottom w:val="single" w:sz="4" w:space="0" w:color="auto"/>
              <w:right w:val="single" w:sz="4" w:space="0" w:color="auto"/>
            </w:tcBorders>
          </w:tcPr>
          <w:p w14:paraId="5DFE53A3" w14:textId="77777777" w:rsidR="002A21AE" w:rsidRDefault="002A21AE">
            <w:pPr>
              <w:pStyle w:val="TableTextBullet"/>
            </w:pPr>
            <w:r>
              <w:rPr>
                <w:rFonts w:cs="Arial"/>
                <w:vanish/>
              </w:rPr>
              <w:t xml:space="preserve">BR_22.02 </w:t>
            </w:r>
            <w:r>
              <w:t>VBECS maintains a historical record for each piece of equipment entered.</w:t>
            </w:r>
          </w:p>
        </w:tc>
      </w:tr>
      <w:tr w:rsidR="002A21AE" w14:paraId="3441D556" w14:textId="77777777">
        <w:tc>
          <w:tcPr>
            <w:tcW w:w="3240" w:type="dxa"/>
            <w:tcBorders>
              <w:top w:val="single" w:sz="4" w:space="0" w:color="auto"/>
              <w:left w:val="single" w:sz="4" w:space="0" w:color="auto"/>
              <w:bottom w:val="single" w:sz="4" w:space="0" w:color="auto"/>
              <w:right w:val="single" w:sz="4" w:space="0" w:color="auto"/>
            </w:tcBorders>
          </w:tcPr>
          <w:p w14:paraId="00333D11" w14:textId="77777777" w:rsidR="002A21AE" w:rsidRDefault="002A21AE">
            <w:pPr>
              <w:pStyle w:val="TableTextNumbers"/>
            </w:pPr>
            <w:r>
              <w:t xml:space="preserve">Click </w:t>
            </w:r>
            <w:r>
              <w:rPr>
                <w:b/>
              </w:rPr>
              <w:t>Yes</w:t>
            </w:r>
            <w:r>
              <w:t xml:space="preserve"> to confirm and exit.</w:t>
            </w:r>
            <w:r>
              <w:rPr>
                <w:vanish/>
                <w:szCs w:val="18"/>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86"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48BA75B1" w14:textId="77777777" w:rsidR="002A21AE" w:rsidRDefault="002A21AE">
            <w:pPr>
              <w:pStyle w:val="TableText"/>
            </w:pPr>
          </w:p>
        </w:tc>
      </w:tr>
    </w:tbl>
    <w:p w14:paraId="5CA22400" w14:textId="325381D9" w:rsidR="00D33C56" w:rsidRDefault="00D33C56" w:rsidP="00D33C56">
      <w:pPr>
        <w:pStyle w:val="Caption"/>
      </w:pPr>
      <w:bookmarkStart w:id="287" w:name="_Toc67109534"/>
      <w:bookmarkStart w:id="288" w:name="_Ref126556319"/>
      <w:bookmarkEnd w:id="287"/>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66</w:t>
      </w:r>
      <w:r w:rsidR="004E20BD">
        <w:rPr>
          <w:noProof/>
        </w:rPr>
        <w:fldChar w:fldCharType="end"/>
      </w:r>
      <w:bookmarkEnd w:id="288"/>
      <w:r>
        <w:t>: Log In Equipment</w:t>
      </w:r>
    </w:p>
    <w:p w14:paraId="534BF315" w14:textId="77777777" w:rsidR="00F00E49" w:rsidRDefault="00057948" w:rsidP="00F00E49">
      <w:pPr>
        <w:pStyle w:val="BodyText"/>
      </w:pPr>
      <w:r>
        <w:rPr>
          <w:noProof/>
        </w:rPr>
        <w:drawing>
          <wp:inline distT="0" distB="0" distL="0" distR="0" wp14:anchorId="5CF459A1" wp14:editId="784D164C">
            <wp:extent cx="5939155" cy="3814445"/>
            <wp:effectExtent l="0" t="0" r="4445" b="0"/>
            <wp:docPr id="148" name="Picture 1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a:extLst>
                        <a:ext uri="{C183D7F6-B498-43B3-948B-1728B52AA6E4}">
                          <adec:decorative xmlns:adec="http://schemas.microsoft.com/office/drawing/2017/decorative" val="1"/>
                        </a:ext>
                      </a:extLst>
                    </pic:cNvPr>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939155" cy="3814445"/>
                    </a:xfrm>
                    <a:prstGeom prst="rect">
                      <a:avLst/>
                    </a:prstGeom>
                    <a:noFill/>
                    <a:ln>
                      <a:noFill/>
                    </a:ln>
                  </pic:spPr>
                </pic:pic>
              </a:graphicData>
            </a:graphic>
          </wp:inline>
        </w:drawing>
      </w:r>
    </w:p>
    <w:p w14:paraId="23B959BA" w14:textId="77777777" w:rsidR="002A21AE" w:rsidRDefault="00DC6F96">
      <w:pPr>
        <w:pStyle w:val="Heading4"/>
      </w:pPr>
      <w:r>
        <w:br w:type="page"/>
      </w:r>
      <w:r w:rsidR="002A21AE">
        <w:lastRenderedPageBreak/>
        <w:t>Equipment: Maintain Equipment</w:t>
      </w:r>
      <w:r w:rsidR="002A21AE">
        <w:fldChar w:fldCharType="begin"/>
      </w:r>
      <w:r w:rsidR="002A21AE">
        <w:instrText xml:space="preserve"> XE </w:instrText>
      </w:r>
      <w:r w:rsidR="00FA7E65">
        <w:instrText>“</w:instrText>
      </w:r>
      <w:r w:rsidR="002A21AE">
        <w:instrText>Equipment\: Maintain Equipment</w:instrText>
      </w:r>
      <w:r w:rsidR="00FA7E65">
        <w:instrText>”</w:instrText>
      </w:r>
      <w:r w:rsidR="002A21AE">
        <w:instrText xml:space="preserve"> </w:instrText>
      </w:r>
      <w:r w:rsidR="002A21AE">
        <w:fldChar w:fldCharType="end"/>
      </w:r>
      <w:r w:rsidR="002A21AE">
        <w:t xml:space="preserve"> </w:t>
      </w:r>
    </w:p>
    <w:p w14:paraId="18B3FA08" w14:textId="77777777" w:rsidR="002A21AE" w:rsidRDefault="002A21AE" w:rsidP="00FA7E65">
      <w:pPr>
        <w:pStyle w:val="BodyText"/>
      </w:pPr>
      <w:r>
        <w:t>The user maintain</w:t>
      </w:r>
      <w:r w:rsidR="00D268A9">
        <w:t>s</w:t>
      </w:r>
      <w:r>
        <w:t xml:space="preserve"> an online equipment record to record periodic maintenance. Equipment records are updated and retained according to local procedure and policy.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8695480" w14:textId="77777777">
        <w:trPr>
          <w:tblHeader/>
        </w:trPr>
        <w:tc>
          <w:tcPr>
            <w:tcW w:w="3240" w:type="dxa"/>
            <w:shd w:val="clear" w:color="auto" w:fill="B3B3B3"/>
            <w:vAlign w:val="bottom"/>
          </w:tcPr>
          <w:p w14:paraId="4B8BC6FE" w14:textId="77777777" w:rsidR="002A21AE" w:rsidRDefault="002A21AE">
            <w:pPr>
              <w:pStyle w:val="TableText"/>
              <w:rPr>
                <w:b/>
              </w:rPr>
            </w:pPr>
            <w:r>
              <w:rPr>
                <w:b/>
              </w:rPr>
              <w:t>User Action</w:t>
            </w:r>
          </w:p>
        </w:tc>
        <w:tc>
          <w:tcPr>
            <w:tcW w:w="6120" w:type="dxa"/>
            <w:shd w:val="clear" w:color="auto" w:fill="B3B3B3"/>
            <w:vAlign w:val="bottom"/>
          </w:tcPr>
          <w:p w14:paraId="4C5DE00E" w14:textId="77777777" w:rsidR="002A21AE" w:rsidRDefault="002A21AE">
            <w:pPr>
              <w:pStyle w:val="TableText"/>
              <w:rPr>
                <w:b/>
              </w:rPr>
            </w:pPr>
            <w:r>
              <w:rPr>
                <w:b/>
              </w:rPr>
              <w:t>VBECS</w:t>
            </w:r>
          </w:p>
        </w:tc>
      </w:tr>
      <w:tr w:rsidR="002A21AE" w14:paraId="4997DE86" w14:textId="77777777">
        <w:tc>
          <w:tcPr>
            <w:tcW w:w="3240" w:type="dxa"/>
          </w:tcPr>
          <w:p w14:paraId="0BDB7D0F" w14:textId="77777777" w:rsidR="002A21AE" w:rsidRDefault="002A21AE">
            <w:pPr>
              <w:pStyle w:val="TableTextNumbers"/>
            </w:pPr>
            <w:r>
              <w:t xml:space="preserve">To maintain equipment, select </w:t>
            </w:r>
            <w:r>
              <w:rPr>
                <w:b/>
              </w:rPr>
              <w:t>Tools</w:t>
            </w:r>
            <w:r>
              <w:t xml:space="preserve"> from the main menu.</w:t>
            </w:r>
          </w:p>
          <w:p w14:paraId="7E5951A8" w14:textId="77777777" w:rsidR="002A21AE" w:rsidRDefault="002A21AE">
            <w:pPr>
              <w:pStyle w:val="TableTextNumbersContinued"/>
              <w:rPr>
                <w:b/>
                <w:bCs/>
              </w:rPr>
            </w:pPr>
          </w:p>
          <w:p w14:paraId="439E967D" w14:textId="77777777" w:rsidR="002A21AE" w:rsidRDefault="002A21AE">
            <w:pPr>
              <w:pStyle w:val="TableTextNumbersContinued"/>
            </w:pPr>
            <w:r>
              <w:t xml:space="preserve">Select </w:t>
            </w:r>
            <w:r>
              <w:rPr>
                <w:b/>
              </w:rPr>
              <w:t>Equipment</w:t>
            </w:r>
            <w:r>
              <w:t>.</w:t>
            </w:r>
          </w:p>
        </w:tc>
        <w:tc>
          <w:tcPr>
            <w:tcW w:w="6120" w:type="dxa"/>
          </w:tcPr>
          <w:p w14:paraId="36000803" w14:textId="77777777" w:rsidR="002A21AE" w:rsidRDefault="002A21AE">
            <w:pPr>
              <w:pStyle w:val="TableTextBullet"/>
            </w:pPr>
            <w:r>
              <w:t>Displays options to maintain equipment maintenance.</w:t>
            </w:r>
          </w:p>
          <w:p w14:paraId="3A402352" w14:textId="77777777" w:rsidR="002A21AE" w:rsidRDefault="002A21AE">
            <w:pPr>
              <w:pStyle w:val="NotesText"/>
            </w:pPr>
          </w:p>
        </w:tc>
      </w:tr>
      <w:tr w:rsidR="002A21AE" w14:paraId="5325934A" w14:textId="77777777">
        <w:tc>
          <w:tcPr>
            <w:tcW w:w="3240" w:type="dxa"/>
            <w:tcBorders>
              <w:top w:val="single" w:sz="4" w:space="0" w:color="auto"/>
              <w:left w:val="single" w:sz="4" w:space="0" w:color="auto"/>
              <w:bottom w:val="single" w:sz="4" w:space="0" w:color="auto"/>
              <w:right w:val="single" w:sz="4" w:space="0" w:color="auto"/>
            </w:tcBorders>
          </w:tcPr>
          <w:p w14:paraId="62409D6F" w14:textId="77777777" w:rsidR="002A21AE" w:rsidRDefault="002A21AE">
            <w:pPr>
              <w:pStyle w:val="TableTextNumbers"/>
            </w:pPr>
            <w:r>
              <w:t xml:space="preserve">Select </w:t>
            </w:r>
            <w:r>
              <w:rPr>
                <w:b/>
              </w:rPr>
              <w:t>Maintain Equipment</w:t>
            </w:r>
            <w:r>
              <w:t xml:space="preserve"> to record maintenance or </w:t>
            </w:r>
            <w:r>
              <w:rPr>
                <w:b/>
              </w:rPr>
              <w:t>Log In Equipment</w:t>
            </w:r>
            <w:r>
              <w:t xml:space="preserve"> to create an equipment record (see Equipment: Log In Equipment).</w:t>
            </w:r>
            <w:r>
              <w:rPr>
                <w:b/>
              </w:rPr>
              <w:t xml:space="preserve"> </w:t>
            </w:r>
          </w:p>
        </w:tc>
        <w:tc>
          <w:tcPr>
            <w:tcW w:w="6120" w:type="dxa"/>
            <w:tcBorders>
              <w:top w:val="single" w:sz="4" w:space="0" w:color="auto"/>
              <w:left w:val="single" w:sz="4" w:space="0" w:color="auto"/>
              <w:bottom w:val="single" w:sz="4" w:space="0" w:color="auto"/>
              <w:right w:val="single" w:sz="4" w:space="0" w:color="auto"/>
            </w:tcBorders>
          </w:tcPr>
          <w:p w14:paraId="63E49499" w14:textId="77777777" w:rsidR="002A21AE" w:rsidRDefault="002A21AE">
            <w:pPr>
              <w:pStyle w:val="TableTextBullet"/>
            </w:pPr>
            <w:r>
              <w:t>Displays entered in-service equipment items for the blood bank associated with the user’s division and offers the option to display out-of-service equipment.</w:t>
            </w:r>
          </w:p>
        </w:tc>
      </w:tr>
      <w:tr w:rsidR="002A21AE" w14:paraId="70F0D41E" w14:textId="77777777">
        <w:tc>
          <w:tcPr>
            <w:tcW w:w="3240" w:type="dxa"/>
          </w:tcPr>
          <w:p w14:paraId="63905253" w14:textId="65D9DF65" w:rsidR="002A21AE" w:rsidRDefault="002A21AE">
            <w:pPr>
              <w:pStyle w:val="TableTextNumbers"/>
            </w:pPr>
            <w:r>
              <w:t>In the Equipment tab, enter the equipment serial number</w:t>
            </w:r>
            <w:r w:rsidR="005B4E11">
              <w:t xml:space="preserve"> (or </w:t>
            </w:r>
            <w:r>
              <w:t xml:space="preserve">enter part of the serial number and click the </w:t>
            </w:r>
            <w:r>
              <w:rPr>
                <w:b/>
              </w:rPr>
              <w:t>magnifying glass</w:t>
            </w:r>
            <w:r>
              <w:t xml:space="preserve"> to view serial numbers</w:t>
            </w:r>
            <w:r w:rsidR="005B4E11">
              <w:t>)</w:t>
            </w:r>
            <w:r>
              <w:t xml:space="preserve">, or click </w:t>
            </w:r>
            <w:r>
              <w:rPr>
                <w:bdr w:val="single" w:sz="4" w:space="0" w:color="auto"/>
              </w:rPr>
              <w:fldChar w:fldCharType="begin">
                <w:ffData>
                  <w:name w:val=""/>
                  <w:enabled w:val="0"/>
                  <w:calcOnExit w:val="0"/>
                  <w:textInput>
                    <w:default w:val=" + "/>
                  </w:textInput>
                </w:ffData>
              </w:fldChar>
            </w:r>
            <w:r>
              <w:rPr>
                <w:bdr w:val="single" w:sz="4" w:space="0" w:color="auto"/>
              </w:rPr>
              <w:instrText xml:space="preserve"> FORMTEXT </w:instrText>
            </w:r>
            <w:r>
              <w:rPr>
                <w:bdr w:val="single" w:sz="4" w:space="0" w:color="auto"/>
              </w:rPr>
            </w:r>
            <w:r>
              <w:rPr>
                <w:bdr w:val="single" w:sz="4" w:space="0" w:color="auto"/>
              </w:rPr>
              <w:fldChar w:fldCharType="separate"/>
            </w:r>
            <w:r w:rsidR="004772C9">
              <w:rPr>
                <w:noProof/>
                <w:bdr w:val="single" w:sz="4" w:space="0" w:color="auto"/>
              </w:rPr>
              <w:t xml:space="preserve"> + </w:t>
            </w:r>
            <w:r>
              <w:rPr>
                <w:bdr w:val="single" w:sz="4" w:space="0" w:color="auto"/>
              </w:rPr>
              <w:fldChar w:fldCharType="end"/>
            </w:r>
            <w:r>
              <w:t xml:space="preserve"> in front of each equipment type and name to view equipment items.</w:t>
            </w:r>
          </w:p>
          <w:p w14:paraId="32B32F31" w14:textId="77777777" w:rsidR="002A21AE" w:rsidRDefault="002A21AE">
            <w:pPr>
              <w:pStyle w:val="TableTextNumbersContinued"/>
            </w:pPr>
          </w:p>
          <w:p w14:paraId="1F263A01" w14:textId="77777777" w:rsidR="002A21AE" w:rsidRDefault="002A21AE">
            <w:pPr>
              <w:pStyle w:val="TableTextNumbersContinued"/>
            </w:pPr>
            <w:r>
              <w:t>Select the serial number of the item whose record will be maintained.</w:t>
            </w:r>
          </w:p>
          <w:p w14:paraId="188BEB9E" w14:textId="77777777" w:rsidR="002A21AE" w:rsidRDefault="002A21AE">
            <w:pPr>
              <w:pStyle w:val="TableTextNumbersContinued"/>
            </w:pPr>
          </w:p>
          <w:p w14:paraId="4ADAC92A" w14:textId="77777777" w:rsidR="002A21AE" w:rsidRDefault="002A21AE">
            <w:pPr>
              <w:pStyle w:val="TableTextNumbersContinued"/>
            </w:pPr>
            <w:r>
              <w:t xml:space="preserve">Click the </w:t>
            </w:r>
            <w:r>
              <w:rPr>
                <w:b/>
              </w:rPr>
              <w:t xml:space="preserve">Include Out of Service Equipment </w:t>
            </w:r>
            <w:r w:rsidRPr="00D1100E">
              <w:t>check box</w:t>
            </w:r>
            <w:r>
              <w:t>, if desired.</w:t>
            </w:r>
          </w:p>
        </w:tc>
        <w:tc>
          <w:tcPr>
            <w:tcW w:w="6120" w:type="dxa"/>
          </w:tcPr>
          <w:p w14:paraId="46643603" w14:textId="77777777" w:rsidR="002A21AE" w:rsidRDefault="002A21AE">
            <w:pPr>
              <w:pStyle w:val="TableTextBullet"/>
            </w:pPr>
            <w:r>
              <w:t>Displays fields for entering the type of maintenance event performed, the date the maintenance was performed, the results of the event, the next scheduled event, the next scheduled maintenance date, and pending maintenance issues in the Maintenance tab, and allows the user to select a maintenance event type and event details.</w:t>
            </w:r>
          </w:p>
          <w:p w14:paraId="0D78DE32" w14:textId="77777777" w:rsidR="002A21AE" w:rsidRDefault="002A21AE">
            <w:pPr>
              <w:pStyle w:val="TableTextBullet"/>
            </w:pPr>
            <w:r>
              <w:t>Displays entered information.</w:t>
            </w:r>
          </w:p>
        </w:tc>
      </w:tr>
      <w:tr w:rsidR="002A21AE" w14:paraId="0485B826" w14:textId="77777777">
        <w:tc>
          <w:tcPr>
            <w:tcW w:w="3240" w:type="dxa"/>
          </w:tcPr>
          <w:p w14:paraId="62066654" w14:textId="77777777" w:rsidR="002A21AE" w:rsidRDefault="002A21AE">
            <w:pPr>
              <w:pStyle w:val="TableTextNumbers"/>
            </w:pPr>
            <w:r>
              <w:t>Review and edit the equipment data in the Equipment tab.</w:t>
            </w:r>
          </w:p>
        </w:tc>
        <w:tc>
          <w:tcPr>
            <w:tcW w:w="6120" w:type="dxa"/>
          </w:tcPr>
          <w:p w14:paraId="2A907FDB" w14:textId="77777777" w:rsidR="002A21AE" w:rsidRDefault="002A21AE">
            <w:pPr>
              <w:pStyle w:val="TableTextBullet"/>
            </w:pPr>
            <w:r>
              <w:t>Displays entered information.</w:t>
            </w:r>
          </w:p>
        </w:tc>
      </w:tr>
      <w:tr w:rsidR="002A21AE" w14:paraId="33DA3297" w14:textId="77777777">
        <w:tc>
          <w:tcPr>
            <w:tcW w:w="3240" w:type="dxa"/>
          </w:tcPr>
          <w:p w14:paraId="18F63724" w14:textId="77777777" w:rsidR="002A21AE" w:rsidRDefault="002A21AE">
            <w:pPr>
              <w:pStyle w:val="TableTextNumbers"/>
            </w:pPr>
            <w:r>
              <w:t xml:space="preserve">Select the </w:t>
            </w:r>
            <w:r>
              <w:rPr>
                <w:b/>
              </w:rPr>
              <w:t>Maintenance</w:t>
            </w:r>
            <w:r>
              <w:t xml:space="preserve"> </w:t>
            </w:r>
            <w:r>
              <w:rPr>
                <w:b/>
              </w:rPr>
              <w:t>tab</w:t>
            </w:r>
            <w:r>
              <w:t>.</w:t>
            </w:r>
          </w:p>
          <w:p w14:paraId="38AE0F6F" w14:textId="77777777" w:rsidR="002A21AE" w:rsidRDefault="002A21AE">
            <w:pPr>
              <w:pStyle w:val="TableTextNumbersContinued"/>
            </w:pPr>
          </w:p>
          <w:p w14:paraId="0892E760" w14:textId="77777777" w:rsidR="002A21AE" w:rsidRDefault="002A21AE">
            <w:pPr>
              <w:pStyle w:val="TableTextNumbersContinued"/>
            </w:pPr>
            <w:r>
              <w:t xml:space="preserve">To add a maintenance event, enter the maintenance type or select it from the drop-down list. </w:t>
            </w:r>
          </w:p>
          <w:p w14:paraId="06C2FD62" w14:textId="77777777" w:rsidR="002A21AE" w:rsidRDefault="002A21AE">
            <w:pPr>
              <w:pStyle w:val="TableTextNumbersContinued"/>
            </w:pPr>
          </w:p>
          <w:p w14:paraId="017F523A" w14:textId="77777777" w:rsidR="002A21AE" w:rsidRDefault="002A21AE">
            <w:pPr>
              <w:pStyle w:val="TableTextNumbersContinued"/>
            </w:pPr>
            <w:r>
              <w:t>Select or edit the date and time in the Maintenance Date field.</w:t>
            </w:r>
          </w:p>
          <w:p w14:paraId="0C822256" w14:textId="77777777" w:rsidR="002A21AE" w:rsidRDefault="002A21AE">
            <w:pPr>
              <w:pStyle w:val="TableTextNumbersContinued"/>
            </w:pPr>
          </w:p>
          <w:p w14:paraId="776BF79C" w14:textId="77777777" w:rsidR="002A21AE" w:rsidRDefault="002A21AE">
            <w:pPr>
              <w:pStyle w:val="TableTextNumbersContinued"/>
            </w:pPr>
            <w:r>
              <w:t>Enter details in the Maintenance Results and Pending Issues fields.</w:t>
            </w:r>
          </w:p>
          <w:p w14:paraId="04071420" w14:textId="77777777" w:rsidR="002A21AE" w:rsidRDefault="002A21AE">
            <w:pPr>
              <w:pStyle w:val="TableTextNumbersContinued"/>
            </w:pPr>
          </w:p>
          <w:p w14:paraId="1E9BAF79" w14:textId="50A0FE94" w:rsidR="002A21AE" w:rsidRDefault="002A21AE">
            <w:pPr>
              <w:pStyle w:val="TableTextNumbersContinued"/>
            </w:pPr>
            <w:r>
              <w:t xml:space="preserve">Click </w:t>
            </w:r>
            <w:r>
              <w:rPr>
                <w:b/>
              </w:rPr>
              <w:t>Add</w:t>
            </w:r>
            <w:r>
              <w:t xml:space="preserve"> to add the maintenance event to the Maintenance Events list</w:t>
            </w:r>
            <w:r w:rsidR="005B4E11">
              <w:t xml:space="preserve"> (</w:t>
            </w:r>
            <w:r w:rsidR="005B4E11">
              <w:fldChar w:fldCharType="begin"/>
            </w:r>
            <w:r w:rsidR="005B4E11">
              <w:instrText xml:space="preserve"> REF _Ref126556751 \h </w:instrText>
            </w:r>
            <w:r w:rsidR="005B4E11">
              <w:fldChar w:fldCharType="separate"/>
            </w:r>
            <w:r w:rsidR="004353ED">
              <w:t xml:space="preserve">Figure </w:t>
            </w:r>
            <w:r w:rsidR="004353ED">
              <w:rPr>
                <w:noProof/>
              </w:rPr>
              <w:t>67</w:t>
            </w:r>
            <w:r w:rsidR="005B4E11">
              <w:fldChar w:fldCharType="end"/>
            </w:r>
            <w:r w:rsidR="005B4E11">
              <w:t>)</w:t>
            </w:r>
            <w:r>
              <w:t>.</w:t>
            </w:r>
          </w:p>
          <w:p w14:paraId="55A77000" w14:textId="77777777" w:rsidR="002A21AE" w:rsidRDefault="002A21AE">
            <w:pPr>
              <w:pStyle w:val="TableTextNumbersContinued"/>
            </w:pPr>
          </w:p>
          <w:p w14:paraId="13808EF0" w14:textId="77777777" w:rsidR="002A21AE" w:rsidRDefault="002A21AE">
            <w:pPr>
              <w:pStyle w:val="TableTextNumbersContinued"/>
            </w:pPr>
            <w:r>
              <w:t xml:space="preserve">Click </w:t>
            </w:r>
            <w:r>
              <w:rPr>
                <w:b/>
              </w:rPr>
              <w:t>Print</w:t>
            </w:r>
            <w:r>
              <w:t xml:space="preserve"> to print the record.</w:t>
            </w:r>
          </w:p>
        </w:tc>
        <w:tc>
          <w:tcPr>
            <w:tcW w:w="6120" w:type="dxa"/>
          </w:tcPr>
          <w:p w14:paraId="45F845FC" w14:textId="77777777" w:rsidR="002A21AE" w:rsidRDefault="002A21AE">
            <w:pPr>
              <w:pStyle w:val="TableTextBullet"/>
            </w:pPr>
            <w:r>
              <w:t>Displays recorded maintenance information and allows the user to update information.</w:t>
            </w:r>
          </w:p>
          <w:p w14:paraId="60A1A23F" w14:textId="77777777" w:rsidR="002A21AE" w:rsidRDefault="002A21AE">
            <w:pPr>
              <w:pStyle w:val="TableTextBullet"/>
            </w:pPr>
            <w:r>
              <w:t>Displays an option to print an Equipment Report.</w:t>
            </w:r>
          </w:p>
        </w:tc>
      </w:tr>
      <w:tr w:rsidR="002A21AE" w14:paraId="259538BF" w14:textId="77777777">
        <w:tc>
          <w:tcPr>
            <w:tcW w:w="3240" w:type="dxa"/>
          </w:tcPr>
          <w:p w14:paraId="54D38D51" w14:textId="77777777" w:rsidR="002A21AE" w:rsidRDefault="002A21AE">
            <w:pPr>
              <w:pStyle w:val="TableTextNumbers"/>
            </w:pPr>
            <w:r>
              <w:t xml:space="preserve">Click the </w:t>
            </w:r>
            <w:r>
              <w:rPr>
                <w:b/>
              </w:rPr>
              <w:t>Out of Service Equipment</w:t>
            </w:r>
            <w:r>
              <w:t xml:space="preserve"> </w:t>
            </w:r>
            <w:r w:rsidRPr="00D1100E">
              <w:t>check box</w:t>
            </w:r>
            <w:r>
              <w:t xml:space="preserve"> to remove equipment.</w:t>
            </w:r>
          </w:p>
        </w:tc>
        <w:tc>
          <w:tcPr>
            <w:tcW w:w="6120" w:type="dxa"/>
          </w:tcPr>
          <w:p w14:paraId="52E13AAF" w14:textId="77777777" w:rsidR="002A21AE" w:rsidRDefault="002A21AE">
            <w:pPr>
              <w:pStyle w:val="TableTextBullet"/>
            </w:pPr>
            <w:r>
              <w:t>Removes the equipment from the list of currently maintained equipment.</w:t>
            </w:r>
          </w:p>
        </w:tc>
      </w:tr>
      <w:tr w:rsidR="002A21AE" w14:paraId="38989AFC" w14:textId="77777777">
        <w:tc>
          <w:tcPr>
            <w:tcW w:w="3240" w:type="dxa"/>
          </w:tcPr>
          <w:p w14:paraId="68AEC3D0" w14:textId="77777777" w:rsidR="002A21AE" w:rsidRDefault="002A21AE">
            <w:pPr>
              <w:pStyle w:val="TableTextNumbers"/>
            </w:pPr>
            <w:r>
              <w:t>Repeat Steps 3–6, as desired.</w:t>
            </w:r>
          </w:p>
        </w:tc>
        <w:tc>
          <w:tcPr>
            <w:tcW w:w="6120" w:type="dxa"/>
          </w:tcPr>
          <w:p w14:paraId="139AE6E5" w14:textId="77777777" w:rsidR="002A21AE" w:rsidRDefault="002A21AE">
            <w:pPr>
              <w:pStyle w:val="TableText"/>
            </w:pPr>
          </w:p>
        </w:tc>
      </w:tr>
      <w:tr w:rsidR="002A21AE" w14:paraId="6D03E5D9" w14:textId="77777777" w:rsidTr="007E500E">
        <w:trPr>
          <w:cantSplit/>
        </w:trPr>
        <w:tc>
          <w:tcPr>
            <w:tcW w:w="3240" w:type="dxa"/>
          </w:tcPr>
          <w:p w14:paraId="517E8D70" w14:textId="77777777" w:rsidR="002A21AE" w:rsidRDefault="002A21AE">
            <w:pPr>
              <w:pStyle w:val="TableTextNumbers"/>
            </w:pPr>
            <w:r>
              <w:lastRenderedPageBreak/>
              <w:t xml:space="preserve">Click </w:t>
            </w:r>
            <w:r>
              <w:rPr>
                <w:b/>
              </w:rPr>
              <w:t xml:space="preserve">OK </w:t>
            </w:r>
            <w:r>
              <w:t xml:space="preserve">and </w:t>
            </w:r>
            <w:r>
              <w:rPr>
                <w:b/>
              </w:rPr>
              <w:t>Yes</w:t>
            </w:r>
            <w:r>
              <w:t xml:space="preserve"> to save and continue, or </w:t>
            </w:r>
            <w:r>
              <w:rPr>
                <w:b/>
              </w:rPr>
              <w:t>No</w:t>
            </w:r>
            <w:r>
              <w:t xml:space="preserve"> to return to the screen and continue.</w:t>
            </w:r>
          </w:p>
          <w:p w14:paraId="7F04DDFF" w14:textId="77777777" w:rsidR="002A21AE" w:rsidRDefault="002A21AE">
            <w:pPr>
              <w:pStyle w:val="TableTextNumbersContinued"/>
            </w:pPr>
          </w:p>
          <w:p w14:paraId="78C57772" w14:textId="77777777" w:rsidR="002A21AE" w:rsidRDefault="002A21AE">
            <w:pPr>
              <w:pStyle w:val="TableTextNumbersContinued"/>
            </w:pPr>
            <w:r>
              <w:t xml:space="preserve">Click </w:t>
            </w:r>
            <w:r>
              <w:rPr>
                <w:b/>
              </w:rPr>
              <w:t>Cancel</w:t>
            </w:r>
            <w:r>
              <w:t xml:space="preserve"> to exit without saving.</w:t>
            </w:r>
            <w:r>
              <w:rPr>
                <w:vanish/>
                <w:szCs w:val="18"/>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289" w:author="Blalock, David (Leidos)" w:date="2020-06-15T14:09:00Z" w:original="0."/>
              </w:fldChar>
            </w:r>
          </w:p>
        </w:tc>
        <w:tc>
          <w:tcPr>
            <w:tcW w:w="6120" w:type="dxa"/>
          </w:tcPr>
          <w:p w14:paraId="4A843B56" w14:textId="77777777" w:rsidR="002A21AE" w:rsidRDefault="002A21AE">
            <w:pPr>
              <w:pStyle w:val="TableTextBullet"/>
              <w:ind w:left="0" w:firstLine="0"/>
            </w:pPr>
            <w:r>
              <w:t>Prompts the user to confirm the save.</w:t>
            </w:r>
          </w:p>
          <w:p w14:paraId="4DE533E0" w14:textId="77777777" w:rsidR="002A21AE" w:rsidRDefault="002A21AE">
            <w:pPr>
              <w:pStyle w:val="TableTextBullet"/>
              <w:ind w:left="0" w:firstLine="0"/>
            </w:pPr>
            <w:r>
              <w:t>Saves the updates to the equipment record.</w:t>
            </w:r>
          </w:p>
        </w:tc>
      </w:tr>
    </w:tbl>
    <w:p w14:paraId="4995AEFE" w14:textId="1B660D30" w:rsidR="005B4E11" w:rsidRDefault="005B4E11" w:rsidP="005B4E11">
      <w:pPr>
        <w:pStyle w:val="Caption"/>
      </w:pPr>
      <w:bookmarkStart w:id="290" w:name="_Ref12655675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67</w:t>
      </w:r>
      <w:r w:rsidR="004E20BD">
        <w:rPr>
          <w:noProof/>
        </w:rPr>
        <w:fldChar w:fldCharType="end"/>
      </w:r>
      <w:bookmarkEnd w:id="290"/>
      <w:r>
        <w:t>: Maintain Equipment</w:t>
      </w:r>
    </w:p>
    <w:p w14:paraId="0E67152D" w14:textId="77777777" w:rsidR="009516A4" w:rsidRDefault="00057948" w:rsidP="005B4E11">
      <w:pPr>
        <w:pStyle w:val="BodyText"/>
      </w:pPr>
      <w:r>
        <w:rPr>
          <w:noProof/>
        </w:rPr>
        <w:drawing>
          <wp:inline distT="0" distB="0" distL="0" distR="0" wp14:anchorId="3CD71F54" wp14:editId="405D4B8F">
            <wp:extent cx="5597525" cy="4405630"/>
            <wp:effectExtent l="0" t="0" r="3175" b="0"/>
            <wp:docPr id="149" name="Picture 1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a:extLst>
                        <a:ext uri="{C183D7F6-B498-43B3-948B-1728B52AA6E4}">
                          <adec:decorative xmlns:adec="http://schemas.microsoft.com/office/drawing/2017/decorative" val="1"/>
                        </a:ext>
                      </a:extLst>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597525" cy="4405630"/>
                    </a:xfrm>
                    <a:prstGeom prst="rect">
                      <a:avLst/>
                    </a:prstGeom>
                    <a:noFill/>
                    <a:ln>
                      <a:noFill/>
                    </a:ln>
                  </pic:spPr>
                </pic:pic>
              </a:graphicData>
            </a:graphic>
          </wp:inline>
        </w:drawing>
      </w:r>
    </w:p>
    <w:p w14:paraId="69FCC89B" w14:textId="77777777" w:rsidR="002A21AE" w:rsidRDefault="003C25CC">
      <w:pPr>
        <w:pStyle w:val="Heading1"/>
      </w:pPr>
      <w:bookmarkStart w:id="291" w:name="_Toc63680360"/>
      <w:bookmarkEnd w:id="251"/>
      <w:r>
        <w:br w:type="page"/>
      </w:r>
      <w:bookmarkStart w:id="292" w:name="_Toc47516714"/>
      <w:r w:rsidR="002A21AE">
        <w:lastRenderedPageBreak/>
        <w:t>Component Processing</w:t>
      </w:r>
      <w:bookmarkEnd w:id="292"/>
      <w:r w:rsidR="002A21AE">
        <w:fldChar w:fldCharType="begin"/>
      </w:r>
      <w:r w:rsidR="002A21AE">
        <w:instrText xml:space="preserve"> XE </w:instrText>
      </w:r>
      <w:r w:rsidR="00FA7E65">
        <w:instrText>“</w:instrText>
      </w:r>
      <w:r w:rsidR="002A21AE">
        <w:instrText>Component Processing</w:instrText>
      </w:r>
      <w:r w:rsidR="00FA7E65">
        <w:instrText>”</w:instrText>
      </w:r>
      <w:r w:rsidR="002A21AE">
        <w:instrText xml:space="preserve"> </w:instrText>
      </w:r>
      <w:r w:rsidR="002A21AE">
        <w:fldChar w:fldCharType="end"/>
      </w:r>
    </w:p>
    <w:p w14:paraId="21A8C691" w14:textId="77777777" w:rsidR="002A21AE" w:rsidRDefault="002A21AE">
      <w:pPr>
        <w:pStyle w:val="Heading2"/>
      </w:pPr>
      <w:bookmarkStart w:id="293" w:name="_Toc63680357"/>
      <w:bookmarkStart w:id="294" w:name="_Toc47516715"/>
      <w:bookmarkStart w:id="295" w:name="_Toc63680361"/>
      <w:bookmarkEnd w:id="291"/>
      <w:r>
        <w:t>Shipments</w:t>
      </w:r>
      <w:bookmarkEnd w:id="293"/>
      <w:bookmarkEnd w:id="294"/>
      <w:r>
        <w:fldChar w:fldCharType="begin"/>
      </w:r>
      <w:r>
        <w:instrText xml:space="preserve"> XE </w:instrText>
      </w:r>
      <w:r w:rsidR="00FA7E65">
        <w:instrText>“</w:instrText>
      </w:r>
      <w:r>
        <w:instrText>Shipments</w:instrText>
      </w:r>
      <w:r w:rsidR="00FA7E65">
        <w:instrText>”</w:instrText>
      </w:r>
      <w:r>
        <w:instrText xml:space="preserve"> </w:instrText>
      </w:r>
      <w:r>
        <w:fldChar w:fldCharType="end"/>
      </w:r>
    </w:p>
    <w:p w14:paraId="62D65D80" w14:textId="77777777" w:rsidR="002A21AE" w:rsidRDefault="002A21AE">
      <w:pPr>
        <w:pStyle w:val="Heading3"/>
      </w:pPr>
      <w:bookmarkStart w:id="296" w:name="_Incoming_Shipment"/>
      <w:bookmarkStart w:id="297" w:name="_Toc47516716"/>
      <w:bookmarkStart w:id="298" w:name="_Toc63680358"/>
      <w:bookmarkEnd w:id="296"/>
      <w:r>
        <w:t>Incoming Shipment</w:t>
      </w:r>
      <w:bookmarkEnd w:id="297"/>
      <w:r w:rsidRPr="007716F7">
        <w:rPr>
          <w:vanish/>
        </w:rPr>
        <w:fldChar w:fldCharType="begin"/>
      </w:r>
      <w:r w:rsidRPr="007716F7">
        <w:rPr>
          <w:vanish/>
        </w:rPr>
        <w:instrText xml:space="preserve"> XE </w:instrText>
      </w:r>
      <w:r w:rsidR="00FA7E65" w:rsidRPr="007716F7">
        <w:rPr>
          <w:vanish/>
        </w:rPr>
        <w:instrText>“</w:instrText>
      </w:r>
      <w:r w:rsidRPr="007716F7">
        <w:rPr>
          <w:vanish/>
        </w:rPr>
        <w:instrText>Incoming Shipment</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UC_01</w:t>
      </w:r>
    </w:p>
    <w:p w14:paraId="54CDD383" w14:textId="77777777" w:rsidR="002A21AE" w:rsidRDefault="002A21AE" w:rsidP="00FA7E65">
      <w:pPr>
        <w:pStyle w:val="BodyText"/>
      </w:pPr>
      <w:r>
        <w:t xml:space="preserve">A shipment handled in this option contains one or more containers of human blood products. </w:t>
      </w:r>
    </w:p>
    <w:p w14:paraId="77382486" w14:textId="77777777" w:rsidR="002A21AE" w:rsidRDefault="002A21AE" w:rsidP="00FA7E65">
      <w:pPr>
        <w:pStyle w:val="BodyText"/>
      </w:pPr>
      <w:r>
        <w:t>The user may use a barcode scanner to read information from a unit blood bag (recommended) or enter this information. The user reviews and confirms the information before adding a unit to the database.</w:t>
      </w:r>
    </w:p>
    <w:p w14:paraId="3FDE2403" w14:textId="77777777" w:rsidR="002A21AE" w:rsidRDefault="002A21AE">
      <w:pPr>
        <w:pStyle w:val="Heading4"/>
      </w:pPr>
      <w:r>
        <w:t>Assumptions</w:t>
      </w:r>
    </w:p>
    <w:p w14:paraId="48186054" w14:textId="77777777" w:rsidR="002A21AE" w:rsidRDefault="002A21AE">
      <w:pPr>
        <w:pStyle w:val="ListBullet"/>
      </w:pPr>
      <w:r>
        <w:t>The division is configured.</w:t>
      </w:r>
    </w:p>
    <w:p w14:paraId="6A345D2A" w14:textId="77777777" w:rsidR="006B4DCB" w:rsidRDefault="00AF37DA" w:rsidP="006B4DCB">
      <w:pPr>
        <w:pStyle w:val="ListBullet"/>
      </w:pPr>
      <w:r>
        <w:t>The shipper is active.</w:t>
      </w:r>
    </w:p>
    <w:p w14:paraId="75E70E9D" w14:textId="77777777" w:rsidR="00AE02FE" w:rsidRDefault="00AE02FE">
      <w:pPr>
        <w:pStyle w:val="ListBullet"/>
      </w:pPr>
      <w:r>
        <w:t>Units are inspected and deemed satisfactory for receipt before they are entered in VBECS.</w:t>
      </w:r>
    </w:p>
    <w:p w14:paraId="3C288EA1" w14:textId="77777777" w:rsidR="002A21AE" w:rsidRDefault="002A21AE">
      <w:pPr>
        <w:pStyle w:val="Heading4"/>
      </w:pPr>
      <w:r>
        <w:t>Outcome</w:t>
      </w:r>
    </w:p>
    <w:p w14:paraId="7AF4780C" w14:textId="77777777" w:rsidR="002A21AE" w:rsidRDefault="002A21AE">
      <w:pPr>
        <w:pStyle w:val="ListBullet"/>
      </w:pPr>
      <w:r>
        <w:t>A shipment or partial shipment of blood units was processed and added to the blood bank inventory.</w:t>
      </w:r>
    </w:p>
    <w:p w14:paraId="0FAE6218" w14:textId="77777777" w:rsidR="002A21AE" w:rsidRDefault="002A21AE">
      <w:pPr>
        <w:pStyle w:val="ListBullet"/>
      </w:pPr>
      <w:r>
        <w:t>The initial status for each unit was set in accordance with component class.</w:t>
      </w:r>
    </w:p>
    <w:p w14:paraId="2FF5DE67" w14:textId="77777777" w:rsidR="002A21AE" w:rsidRDefault="002A21AE">
      <w:pPr>
        <w:pStyle w:val="Heading4"/>
      </w:pPr>
      <w:r>
        <w:t>Limitations and Restrictions</w:t>
      </w:r>
    </w:p>
    <w:p w14:paraId="758C2F80" w14:textId="77777777" w:rsidR="007B6D4B" w:rsidRDefault="007B6D4B" w:rsidP="007B6D4B">
      <w:pPr>
        <w:pStyle w:val="ListBullet"/>
      </w:pPr>
      <w:bookmarkStart w:id="299" w:name="OLE_LINK29"/>
      <w:bookmarkStart w:id="300" w:name="OLE_LINK30"/>
      <w:r w:rsidRPr="009212B0">
        <w:t>VBECS does not check whether blood products with the same unit ID and different product</w:t>
      </w:r>
      <w:r>
        <w:t xml:space="preserve"> codes are the same blood type.</w:t>
      </w:r>
    </w:p>
    <w:p w14:paraId="1E07357E" w14:textId="77777777" w:rsidR="00F862E5" w:rsidRDefault="00F862E5" w:rsidP="009212B0">
      <w:pPr>
        <w:pStyle w:val="ListBullet"/>
      </w:pPr>
      <w:r>
        <w:t>VBECS d</w:t>
      </w:r>
      <w:r w:rsidRPr="00F862E5">
        <w:t xml:space="preserve">oes not </w:t>
      </w:r>
      <w:r w:rsidR="008C657D">
        <w:t>compare</w:t>
      </w:r>
      <w:r w:rsidRPr="00F862E5">
        <w:t xml:space="preserve"> </w:t>
      </w:r>
      <w:r w:rsidR="008C657D">
        <w:t xml:space="preserve">the ABO/Rh </w:t>
      </w:r>
      <w:r w:rsidRPr="00F862E5">
        <w:t xml:space="preserve">of </w:t>
      </w:r>
      <w:r>
        <w:t>a</w:t>
      </w:r>
      <w:r w:rsidR="008C657D">
        <w:t>n</w:t>
      </w:r>
      <w:r w:rsidRPr="00F862E5">
        <w:t xml:space="preserve"> </w:t>
      </w:r>
      <w:r w:rsidR="008C657D">
        <w:t>a</w:t>
      </w:r>
      <w:r w:rsidRPr="00F862E5">
        <w:t xml:space="preserve">utologous unit </w:t>
      </w:r>
      <w:r w:rsidR="008C657D">
        <w:t xml:space="preserve">or display a message when the ABO/Rh </w:t>
      </w:r>
      <w:r w:rsidRPr="00F862E5">
        <w:t xml:space="preserve">is incompatible with the </w:t>
      </w:r>
      <w:r>
        <w:t>r</w:t>
      </w:r>
      <w:r w:rsidRPr="00F862E5">
        <w:t xml:space="preserve">estricted </w:t>
      </w:r>
      <w:r>
        <w:t>f</w:t>
      </w:r>
      <w:r w:rsidRPr="00F862E5">
        <w:t>or patient</w:t>
      </w:r>
      <w:r>
        <w:t>.</w:t>
      </w:r>
    </w:p>
    <w:bookmarkEnd w:id="299"/>
    <w:bookmarkEnd w:id="300"/>
    <w:p w14:paraId="159BDD25" w14:textId="03C8921A" w:rsidR="00DC5A13" w:rsidRDefault="00DC5A13" w:rsidP="004B3753">
      <w:pPr>
        <w:pStyle w:val="Caution"/>
        <w:pBdr>
          <w:top w:val="single" w:sz="4" w:space="5" w:color="auto"/>
        </w:pBdr>
      </w:pPr>
      <w:r w:rsidRPr="009A667D">
        <w:t>When a product typ</w:t>
      </w:r>
      <w:r w:rsidR="009A667D" w:rsidRPr="009A667D">
        <w:t>e, cod</w:t>
      </w:r>
      <w:r w:rsidRPr="009A667D">
        <w:t>e</w:t>
      </w:r>
      <w:r w:rsidR="009A667D" w:rsidRPr="009A667D">
        <w:t>,</w:t>
      </w:r>
      <w:r w:rsidRPr="009A667D">
        <w:t xml:space="preserve"> or</w:t>
      </w:r>
      <w:r w:rsidR="009A667D" w:rsidRPr="009A667D">
        <w:t xml:space="preserve"> local</w:t>
      </w:r>
      <w:r w:rsidRPr="009A667D">
        <w:t xml:space="preserve"> code is not in</w:t>
      </w:r>
      <w:r>
        <w:t xml:space="preserve"> VBECS or a blood supplier creates a</w:t>
      </w:r>
      <w:r w:rsidR="00C230C9">
        <w:t xml:space="preserve"> product code, contact the </w:t>
      </w:r>
      <w:r w:rsidR="005364D9">
        <w:t xml:space="preserve">Service </w:t>
      </w:r>
      <w:r>
        <w:t>Desk. See Customer Support for contact information.</w:t>
      </w:r>
      <w:r w:rsidR="00703780" w:rsidRPr="00703780">
        <w:rPr>
          <w:vanish/>
        </w:rPr>
        <w:t>(DR 2,640)</w:t>
      </w:r>
    </w:p>
    <w:p w14:paraId="177F9B07" w14:textId="77777777" w:rsidR="00E63663" w:rsidRDefault="00E63663" w:rsidP="00E63663">
      <w:pPr>
        <w:pStyle w:val="ListBullet"/>
      </w:pPr>
      <w:r w:rsidRPr="00E63663">
        <w:rPr>
          <w:vanish/>
        </w:rPr>
        <w:t xml:space="preserve">BR_1.72 </w:t>
      </w:r>
      <w:r w:rsidRPr="00E63663">
        <w:t>T</w:t>
      </w:r>
      <w:r w:rsidRPr="0030088C">
        <w:t>he user may not save the unit record until the donation type and its requirements are satisfied.</w:t>
      </w:r>
    </w:p>
    <w:p w14:paraId="156B1311" w14:textId="77777777" w:rsidR="001131F9" w:rsidRPr="009212B0" w:rsidRDefault="001131F9" w:rsidP="001131F9">
      <w:pPr>
        <w:pStyle w:val="ListBullet"/>
      </w:pPr>
      <w:r w:rsidRPr="001131F9">
        <w:t>No longer supports the entry of blood products labeled in Codabar label type to new or existing invoices.</w:t>
      </w:r>
    </w:p>
    <w:p w14:paraId="47C73D81" w14:textId="77777777" w:rsidR="008C1BD3" w:rsidRDefault="008C1BD3" w:rsidP="00C805FB">
      <w:pPr>
        <w:pStyle w:val="ListBullet"/>
      </w:pPr>
      <w:r>
        <w:t>T</w:t>
      </w:r>
      <w:r w:rsidRPr="008C1BD3">
        <w:t xml:space="preserve">he </w:t>
      </w:r>
      <w:r>
        <w:t>unit expiration [</w:t>
      </w:r>
      <w:r w:rsidRPr="008C1BD3">
        <w:t>Maximum Storage Time (MST)</w:t>
      </w:r>
      <w:r>
        <w:t>]</w:t>
      </w:r>
      <w:r w:rsidRPr="008C1BD3">
        <w:t xml:space="preserve"> is set to the longest possible storage time based on product type, core condition</w:t>
      </w:r>
      <w:r w:rsidR="00922AD8" w:rsidRPr="008C1BD3">
        <w:t>, attributes</w:t>
      </w:r>
      <w:r w:rsidRPr="008C1BD3">
        <w:t>, and available references as a guide. The MST is set at a higher leve</w:t>
      </w:r>
      <w:r>
        <w:t>l</w:t>
      </w:r>
      <w:r w:rsidRPr="008C1BD3">
        <w:t xml:space="preserve"> than an individual collection product code. VBECS does not know the specific collection details.  It is the </w:t>
      </w:r>
      <w:r w:rsidR="008B6D25" w:rsidRPr="008C1BD3">
        <w:t>responsibility</w:t>
      </w:r>
      <w:r w:rsidRPr="008C1BD3">
        <w:t xml:space="preserve"> of each user to accurately enter and process any one blood unit based on its expiration date/time as labeled by the collection facility.</w:t>
      </w:r>
      <w:r>
        <w:rPr>
          <w:vanish/>
        </w:rPr>
        <w:t xml:space="preserve"> Task 1280</w:t>
      </w:r>
    </w:p>
    <w:p w14:paraId="418F5EE5" w14:textId="77777777" w:rsidR="00947FF8" w:rsidRDefault="003D0CA1" w:rsidP="009212B0">
      <w:pPr>
        <w:pStyle w:val="ListBullet"/>
      </w:pPr>
      <w:r w:rsidRPr="009212B0">
        <w:t>When blood products intended for quarantine are scanned, VBECS does not automatically quarantine them: the user must do so.</w:t>
      </w:r>
    </w:p>
    <w:p w14:paraId="343859A6" w14:textId="77777777" w:rsidR="00B4679A" w:rsidRPr="009212B0" w:rsidRDefault="005D3F4F" w:rsidP="009212B0">
      <w:pPr>
        <w:pStyle w:val="ListBullet"/>
      </w:pPr>
      <w:r>
        <w:t>VBECS does not recognize scanned</w:t>
      </w:r>
      <w:r w:rsidR="00190AFA" w:rsidRPr="009212B0">
        <w:t xml:space="preserve"> labels for </w:t>
      </w:r>
      <w:r w:rsidR="00EF77F8">
        <w:t>para-Bombay or B</w:t>
      </w:r>
      <w:r w:rsidR="00B4679A" w:rsidRPr="009212B0">
        <w:t xml:space="preserve">ombay </w:t>
      </w:r>
      <w:r w:rsidR="00190AFA" w:rsidRPr="009212B0">
        <w:t xml:space="preserve">ISBT </w:t>
      </w:r>
      <w:r w:rsidR="00B4679A" w:rsidRPr="009212B0">
        <w:t>unit</w:t>
      </w:r>
      <w:r w:rsidR="00190AFA" w:rsidRPr="009212B0">
        <w:t>s</w:t>
      </w:r>
      <w:r w:rsidR="00B4679A" w:rsidRPr="009212B0">
        <w:t>.</w:t>
      </w:r>
    </w:p>
    <w:p w14:paraId="70D402B4" w14:textId="77777777" w:rsidR="0078512B" w:rsidRDefault="005D3F4F" w:rsidP="009212B0">
      <w:pPr>
        <w:pStyle w:val="ListBullet"/>
      </w:pPr>
      <w:r>
        <w:t>VBECS does not allow duplicate IDs for the same product code.</w:t>
      </w:r>
    </w:p>
    <w:p w14:paraId="1078A596" w14:textId="77777777" w:rsidR="00452BA4" w:rsidRDefault="00452BA4" w:rsidP="009212B0">
      <w:pPr>
        <w:pStyle w:val="ListBullet"/>
      </w:pPr>
      <w:r>
        <w:t>When a user scans a p</w:t>
      </w:r>
      <w:r w:rsidRPr="00452BA4">
        <w:t xml:space="preserve">roduct </w:t>
      </w:r>
      <w:r>
        <w:t>c</w:t>
      </w:r>
      <w:r w:rsidRPr="00452BA4">
        <w:t xml:space="preserve">ode </w:t>
      </w:r>
      <w:r>
        <w:t>or</w:t>
      </w:r>
      <w:r w:rsidRPr="00452BA4">
        <w:t xml:space="preserve"> </w:t>
      </w:r>
      <w:r>
        <w:t>e</w:t>
      </w:r>
      <w:r w:rsidRPr="00452BA4">
        <w:t xml:space="preserve">xpiration </w:t>
      </w:r>
      <w:r>
        <w:t>d</w:t>
      </w:r>
      <w:r w:rsidRPr="00452BA4">
        <w:t>ate barcode in the Unit ID field</w:t>
      </w:r>
      <w:r>
        <w:t>, VBECS does not displ</w:t>
      </w:r>
      <w:r w:rsidR="00940D48">
        <w:t>ay the entered information</w:t>
      </w:r>
      <w:r w:rsidRPr="00452BA4">
        <w:t xml:space="preserve">. </w:t>
      </w:r>
    </w:p>
    <w:p w14:paraId="7F751812" w14:textId="77777777" w:rsidR="00DC22C9" w:rsidRDefault="00DC22C9" w:rsidP="009212B0">
      <w:pPr>
        <w:pStyle w:val="ListBullet"/>
      </w:pPr>
      <w:bookmarkStart w:id="301" w:name="OLE_LINK33"/>
      <w:bookmarkStart w:id="302" w:name="OLE_LINK34"/>
      <w:r w:rsidRPr="00DC22C9">
        <w:t xml:space="preserve">When </w:t>
      </w:r>
      <w:r>
        <w:t>a user scans an ISBT</w:t>
      </w:r>
      <w:r w:rsidR="00940D48">
        <w:t xml:space="preserve"> blood</w:t>
      </w:r>
      <w:r>
        <w:t xml:space="preserve"> </w:t>
      </w:r>
      <w:r w:rsidR="00D723CF">
        <w:t xml:space="preserve">product </w:t>
      </w:r>
      <w:r w:rsidR="00940D48">
        <w:t xml:space="preserve">code </w:t>
      </w:r>
      <w:r w:rsidR="00D723CF">
        <w:t xml:space="preserve">ID </w:t>
      </w:r>
      <w:r>
        <w:t xml:space="preserve">with “0” as </w:t>
      </w:r>
      <w:r w:rsidR="004F2A80">
        <w:t xml:space="preserve">the </w:t>
      </w:r>
      <w:r w:rsidR="00D723CF">
        <w:t>donation type (</w:t>
      </w:r>
      <w:r>
        <w:t>sixth character</w:t>
      </w:r>
      <w:r w:rsidR="00D723CF">
        <w:t>)</w:t>
      </w:r>
      <w:r>
        <w:t xml:space="preserve">, VBECS indicates that the donation type is not specified. </w:t>
      </w:r>
      <w:r w:rsidR="004F2A80">
        <w:t>W</w:t>
      </w:r>
      <w:r w:rsidR="00205693">
        <w:t>h</w:t>
      </w:r>
      <w:r>
        <w:t xml:space="preserve">en the user selects </w:t>
      </w:r>
      <w:r w:rsidR="00DF2243">
        <w:t xml:space="preserve">a donation type </w:t>
      </w:r>
      <w:r>
        <w:t>from</w:t>
      </w:r>
      <w:r w:rsidRPr="00DC22C9">
        <w:t xml:space="preserve"> the </w:t>
      </w:r>
      <w:r w:rsidR="005131BC">
        <w:t>drop-down</w:t>
      </w:r>
      <w:r w:rsidRPr="00DC22C9">
        <w:t xml:space="preserve"> </w:t>
      </w:r>
      <w:r>
        <w:t xml:space="preserve">menu, VBECS </w:t>
      </w:r>
      <w:r w:rsidR="00DF2243">
        <w:t xml:space="preserve">replaces “0” with </w:t>
      </w:r>
      <w:r w:rsidR="00FD697C">
        <w:t>a</w:t>
      </w:r>
      <w:r w:rsidR="004F2A80">
        <w:t xml:space="preserve"> recognizable</w:t>
      </w:r>
      <w:r w:rsidR="00DF2243">
        <w:t xml:space="preserve"> </w:t>
      </w:r>
      <w:r w:rsidRPr="00DC22C9">
        <w:t xml:space="preserve">character in the product code text box and </w:t>
      </w:r>
      <w:r w:rsidRPr="00DC22C9">
        <w:lastRenderedPageBreak/>
        <w:t>store</w:t>
      </w:r>
      <w:r w:rsidR="00DF2243">
        <w:t>s it as such</w:t>
      </w:r>
      <w:r w:rsidRPr="00DC22C9">
        <w:t xml:space="preserve">. </w:t>
      </w:r>
      <w:r w:rsidR="004F2A80">
        <w:t xml:space="preserve">When the user rescans the product ID, </w:t>
      </w:r>
      <w:r w:rsidR="00693E8E">
        <w:t xml:space="preserve">he </w:t>
      </w:r>
      <w:r w:rsidR="004F2A80">
        <w:t xml:space="preserve">must </w:t>
      </w:r>
      <w:r w:rsidRPr="00DC22C9">
        <w:t xml:space="preserve">manually </w:t>
      </w:r>
      <w:r w:rsidR="004F2A80">
        <w:t>replace</w:t>
      </w:r>
      <w:r w:rsidRPr="00DC22C9">
        <w:t xml:space="preserve"> </w:t>
      </w:r>
      <w:r w:rsidR="00693E8E">
        <w:t>“0”</w:t>
      </w:r>
      <w:r w:rsidR="004F2A80">
        <w:t xml:space="preserve"> or search using the unit ID alone, or the unit ID and the first five characters of the product ID</w:t>
      </w:r>
      <w:r w:rsidRPr="00DC22C9">
        <w:t xml:space="preserve">. </w:t>
      </w:r>
      <w:r w:rsidR="00940D48">
        <w:t>When scanning a blood product derivative, this does not apply.</w:t>
      </w:r>
    </w:p>
    <w:p w14:paraId="4A296DAA" w14:textId="77777777" w:rsidR="000E07BD" w:rsidRDefault="000E07BD" w:rsidP="000E07BD">
      <w:pPr>
        <w:pStyle w:val="ListBullet"/>
      </w:pPr>
      <w:bookmarkStart w:id="303" w:name="_Toc76279374"/>
      <w:bookmarkEnd w:id="301"/>
      <w:bookmarkEnd w:id="302"/>
      <w:r>
        <w:t xml:space="preserve">Blood product code entries in the blood product table include those from ICCBBA for ISBT 128. Product codes created after </w:t>
      </w:r>
      <w:r w:rsidR="00D76A13">
        <w:t>the release of VBECS</w:t>
      </w:r>
      <w:r>
        <w:t xml:space="preserve"> cannot be entered until the updated tables are incorporated through patches to VBECS. Refuse acceptance of the unit, if possible.</w:t>
      </w:r>
      <w:r w:rsidR="003D71A3">
        <w:t xml:space="preserve"> </w:t>
      </w:r>
      <w:r>
        <w:t>U</w:t>
      </w:r>
      <w:r w:rsidRPr="009212B0">
        <w:t>ser</w:t>
      </w:r>
      <w:r>
        <w:t>s</w:t>
      </w:r>
      <w:r w:rsidRPr="009212B0">
        <w:t xml:space="preserve"> may not </w:t>
      </w:r>
      <w:r>
        <w:t>edit the blood product table.</w:t>
      </w:r>
    </w:p>
    <w:p w14:paraId="3260E7CD" w14:textId="77777777" w:rsidR="009C0C39" w:rsidRDefault="009C0C39" w:rsidP="009C0C39">
      <w:pPr>
        <w:pStyle w:val="ListBullet"/>
      </w:pPr>
      <w:r>
        <w:t>ISBT 128 tables include blood product codes labeled as not for manufacturing or transfusion.</w:t>
      </w:r>
      <w:r w:rsidR="00A25BC9">
        <w:t xml:space="preserve"> </w:t>
      </w:r>
      <w:r>
        <w:t>VBECS does not restrict such products from being entered, issued, or transferred</w:t>
      </w:r>
      <w:r w:rsidR="00F964B4">
        <w:t xml:space="preserve"> (</w:t>
      </w:r>
      <w:r>
        <w:t>local policy controls their use</w:t>
      </w:r>
      <w:r w:rsidR="00F964B4">
        <w:t>), but</w:t>
      </w:r>
      <w:r>
        <w:t xml:space="preserve"> does not accommodate blood modification for </w:t>
      </w:r>
      <w:r w:rsidR="00F964B4">
        <w:t>the</w:t>
      </w:r>
      <w:r w:rsidR="00976013">
        <w:t>se products</w:t>
      </w:r>
      <w:r w:rsidR="00F964B4">
        <w:t>.</w:t>
      </w:r>
    </w:p>
    <w:p w14:paraId="4AA98388" w14:textId="6E9B7D8E" w:rsidR="00DC382A" w:rsidRDefault="00DC382A" w:rsidP="009C0C39">
      <w:pPr>
        <w:pStyle w:val="ListBullet"/>
      </w:pPr>
      <w:r>
        <w:t xml:space="preserve">No entry of an ICCBBA </w:t>
      </w:r>
      <w:r w:rsidRPr="00630C68">
        <w:t xml:space="preserve">Product Description Code </w:t>
      </w:r>
      <w:r>
        <w:t>starting with A, B, C, or D aka</w:t>
      </w:r>
      <w:r w:rsidRPr="00630C68">
        <w:t xml:space="preserve"> National or Local Codes A0000-D9999</w:t>
      </w:r>
      <w:r>
        <w:t>.</w:t>
      </w:r>
      <w:r w:rsidRPr="00630C68">
        <w:rPr>
          <w:i/>
        </w:rPr>
        <w:t xml:space="preserve"> If use of such a code is necessary for patient care, contact Service Desk and file a request fo</w:t>
      </w:r>
      <w:r>
        <w:rPr>
          <w:i/>
        </w:rPr>
        <w:t>r the code to be added to VBECS</w:t>
      </w:r>
      <w:r w:rsidR="00526F70">
        <w:rPr>
          <w:i/>
        </w:rPr>
        <w:t>.</w:t>
      </w:r>
    </w:p>
    <w:p w14:paraId="6427CD00" w14:textId="77777777" w:rsidR="002A21AE" w:rsidRDefault="002A21AE">
      <w:pPr>
        <w:pStyle w:val="Heading4"/>
      </w:pPr>
      <w:r>
        <w:t>Additional Information</w:t>
      </w:r>
      <w:bookmarkEnd w:id="303"/>
    </w:p>
    <w:p w14:paraId="65F0559C" w14:textId="77777777" w:rsidR="00B743A4" w:rsidRPr="00922928" w:rsidRDefault="0004202A" w:rsidP="00B743A4">
      <w:pPr>
        <w:pStyle w:val="ListBullet"/>
      </w:pPr>
      <w:bookmarkStart w:id="304" w:name="_Toc76279375"/>
      <w:r w:rsidRPr="00B743A4">
        <w:rPr>
          <w:vanish/>
        </w:rPr>
        <w:t xml:space="preserve">BR_1.14 </w:t>
      </w:r>
      <w:r w:rsidR="00B743A4" w:rsidRPr="00922928">
        <w:t xml:space="preserve">A unique blood unit record is defined by the following data elements: </w:t>
      </w:r>
    </w:p>
    <w:p w14:paraId="50112EFE" w14:textId="77777777" w:rsidR="00B743A4" w:rsidRPr="00922928" w:rsidRDefault="00B743A4" w:rsidP="00B743A4">
      <w:pPr>
        <w:pStyle w:val="ListBullet2"/>
        <w:tabs>
          <w:tab w:val="clear" w:pos="648"/>
          <w:tab w:val="num" w:pos="576"/>
        </w:tabs>
        <w:ind w:left="1008" w:hanging="360"/>
      </w:pPr>
      <w:r w:rsidRPr="00922928">
        <w:t>VBECS Division</w:t>
      </w:r>
    </w:p>
    <w:p w14:paraId="3E44A0A3" w14:textId="77777777" w:rsidR="00B743A4" w:rsidRPr="00922928" w:rsidRDefault="00B743A4" w:rsidP="00B743A4">
      <w:pPr>
        <w:pStyle w:val="ListBullet2"/>
        <w:tabs>
          <w:tab w:val="clear" w:pos="648"/>
          <w:tab w:val="num" w:pos="576"/>
        </w:tabs>
        <w:ind w:left="1008" w:hanging="360"/>
      </w:pPr>
      <w:r w:rsidRPr="00922928">
        <w:t>Unit ID</w:t>
      </w:r>
    </w:p>
    <w:p w14:paraId="69D3694D" w14:textId="77777777" w:rsidR="00B743A4" w:rsidRPr="00922928" w:rsidRDefault="00B743A4" w:rsidP="00B743A4">
      <w:pPr>
        <w:pStyle w:val="ListBullet2"/>
        <w:tabs>
          <w:tab w:val="clear" w:pos="648"/>
          <w:tab w:val="num" w:pos="576"/>
        </w:tabs>
        <w:ind w:left="1008" w:hanging="360"/>
      </w:pPr>
      <w:r w:rsidRPr="00922928">
        <w:t>Product code</w:t>
      </w:r>
    </w:p>
    <w:p w14:paraId="6E7B91E0" w14:textId="77777777" w:rsidR="00B743A4" w:rsidRPr="0029712B" w:rsidRDefault="00B743A4" w:rsidP="000409B1">
      <w:pPr>
        <w:pStyle w:val="TableText"/>
        <w:numPr>
          <w:ilvl w:val="2"/>
          <w:numId w:val="40"/>
        </w:numPr>
        <w:tabs>
          <w:tab w:val="clear" w:pos="2160"/>
          <w:tab w:val="num" w:pos="1528"/>
        </w:tabs>
        <w:ind w:hanging="992"/>
        <w:rPr>
          <w:rFonts w:ascii="Times New Roman" w:hAnsi="Times New Roman"/>
          <w:sz w:val="22"/>
          <w:szCs w:val="22"/>
        </w:rPr>
      </w:pPr>
      <w:r w:rsidRPr="0029712B">
        <w:rPr>
          <w:rFonts w:ascii="Times New Roman" w:hAnsi="Times New Roman"/>
          <w:sz w:val="22"/>
          <w:szCs w:val="22"/>
        </w:rPr>
        <w:t>ISBT 128 (8 alphanumeric characters).</w:t>
      </w:r>
    </w:p>
    <w:p w14:paraId="15983597" w14:textId="77777777" w:rsidR="0004202A" w:rsidRDefault="0004202A" w:rsidP="0004202A">
      <w:pPr>
        <w:pStyle w:val="ListBullet"/>
      </w:pPr>
      <w:r>
        <w:t>VBECS stores scanned ISBT 128 product codes and displays them as eight characters:</w:t>
      </w:r>
    </w:p>
    <w:p w14:paraId="0B4C9509" w14:textId="77777777" w:rsidR="0004202A" w:rsidRDefault="0004202A" w:rsidP="0004202A">
      <w:pPr>
        <w:pStyle w:val="ListBullet2"/>
      </w:pPr>
      <w:r>
        <w:t>Characters 1–5: product type</w:t>
      </w:r>
    </w:p>
    <w:p w14:paraId="13FE3012" w14:textId="77777777" w:rsidR="0004202A" w:rsidRDefault="0004202A" w:rsidP="0004202A">
      <w:pPr>
        <w:pStyle w:val="ListBullet2"/>
      </w:pPr>
      <w:r>
        <w:t>Character 6: donation type</w:t>
      </w:r>
    </w:p>
    <w:p w14:paraId="1986E60D" w14:textId="77777777" w:rsidR="0004202A" w:rsidRDefault="0004202A" w:rsidP="0004202A">
      <w:pPr>
        <w:pStyle w:val="ListBullet2"/>
      </w:pPr>
      <w:r>
        <w:t>Characters 7 and 8: division code (split)</w:t>
      </w:r>
    </w:p>
    <w:p w14:paraId="67344D72" w14:textId="77777777" w:rsidR="00467C77" w:rsidRPr="00467C77" w:rsidRDefault="0087742E" w:rsidP="00363509">
      <w:pPr>
        <w:pStyle w:val="ListBullet"/>
      </w:pPr>
      <w:r w:rsidRPr="00467C77">
        <w:t xml:space="preserve">When </w:t>
      </w:r>
      <w:r w:rsidR="0004065B" w:rsidRPr="00467C77">
        <w:t xml:space="preserve">ISBT 128 </w:t>
      </w:r>
      <w:r w:rsidRPr="00467C77">
        <w:t xml:space="preserve">units received during downtime must be issued, it is recommended that the user record the check character. </w:t>
      </w:r>
      <w:r w:rsidR="00871BF5" w:rsidRPr="00467C77">
        <w:t xml:space="preserve">When a blood unit is to be logged in after downtime and the unit is unavailable for scanning, the user must enter the </w:t>
      </w:r>
      <w:r w:rsidR="00DC36C4" w:rsidRPr="00467C77">
        <w:t xml:space="preserve">ISBT </w:t>
      </w:r>
      <w:r w:rsidR="00363509" w:rsidRPr="00467C77">
        <w:t>unit ID</w:t>
      </w:r>
      <w:r w:rsidR="00871BF5" w:rsidRPr="00467C77">
        <w:t xml:space="preserve"> and </w:t>
      </w:r>
      <w:r w:rsidR="00DC36C4" w:rsidRPr="00467C77">
        <w:t>the case-sensitive check character (</w:t>
      </w:r>
      <w:r w:rsidR="00363509" w:rsidRPr="00467C77">
        <w:t xml:space="preserve">the character in the </w:t>
      </w:r>
      <w:r w:rsidR="00DC36C4" w:rsidRPr="00467C77">
        <w:t xml:space="preserve">square following the </w:t>
      </w:r>
      <w:r w:rsidR="00363509" w:rsidRPr="00467C77">
        <w:t>unit ID</w:t>
      </w:r>
      <w:r w:rsidR="00DC36C4" w:rsidRPr="00467C77">
        <w:t>).</w:t>
      </w:r>
      <w:r w:rsidR="00871BF5" w:rsidRPr="00467C77">
        <w:t xml:space="preserve"> </w:t>
      </w:r>
      <w:bookmarkStart w:id="305" w:name="OLE_LINK9"/>
      <w:bookmarkStart w:id="306" w:name="OLE_LINK10"/>
    </w:p>
    <w:p w14:paraId="5C8C0E9D" w14:textId="77777777" w:rsidR="00467C77" w:rsidRPr="00467C77" w:rsidRDefault="00363509">
      <w:pPr>
        <w:pStyle w:val="ListBullet"/>
      </w:pPr>
      <w:r w:rsidRPr="00467C77">
        <w:t>To calculate a check character</w:t>
      </w:r>
      <w:r w:rsidRPr="00467C77">
        <w:fldChar w:fldCharType="begin"/>
      </w:r>
      <w:r w:rsidRPr="00467C77">
        <w:instrText xml:space="preserve"> XE "check character" </w:instrText>
      </w:r>
      <w:r w:rsidRPr="00467C77">
        <w:fldChar w:fldCharType="end"/>
      </w:r>
      <w:r w:rsidRPr="00467C77">
        <w:t>, see the Quick K Calculator</w:t>
      </w:r>
      <w:r w:rsidR="00985C7F" w:rsidRPr="00467C77">
        <w:fldChar w:fldCharType="begin"/>
      </w:r>
      <w:r w:rsidR="00985C7F" w:rsidRPr="00467C77">
        <w:instrText xml:space="preserve"> XE "Quick K Calculator" </w:instrText>
      </w:r>
      <w:r w:rsidR="00985C7F" w:rsidRPr="00467C77">
        <w:fldChar w:fldCharType="end"/>
      </w:r>
      <w:r w:rsidRPr="00467C77">
        <w:t xml:space="preserve"> on the ICCBBA Web page under ISBT 128, Other Tools. Follow the instructions to download the application.</w:t>
      </w:r>
      <w:bookmarkEnd w:id="305"/>
      <w:bookmarkEnd w:id="306"/>
    </w:p>
    <w:p w14:paraId="04199513" w14:textId="77777777" w:rsidR="00467C77" w:rsidRPr="00467C77" w:rsidRDefault="002A21AE" w:rsidP="00C718D7">
      <w:pPr>
        <w:pStyle w:val="ListBullet"/>
      </w:pPr>
      <w:r w:rsidRPr="00467C77">
        <w:t>Each division may have only one blood unit record of the same product type, product code, and unit ID. A unit shipped out (transferred) and subsequently shipped to (received by) a division in the same database will maintain individual records of the unit ID and product code for each division.</w:t>
      </w:r>
    </w:p>
    <w:p w14:paraId="6478ACED" w14:textId="77777777" w:rsidR="00467C77" w:rsidRPr="00467C77" w:rsidRDefault="00C718D7" w:rsidP="00C718D7">
      <w:pPr>
        <w:pStyle w:val="ListBullet"/>
      </w:pPr>
      <w:r w:rsidRPr="00467C77">
        <w:t xml:space="preserve">Several data elements, including the unit ID and product code, define a blood unit record as unique. </w:t>
      </w:r>
      <w:r w:rsidR="0078512B" w:rsidRPr="00467C77">
        <w:t xml:space="preserve">The unit record also includes </w:t>
      </w:r>
      <w:r w:rsidRPr="00467C77">
        <w:t>expiration date</w:t>
      </w:r>
      <w:r w:rsidR="0078512B" w:rsidRPr="00467C77">
        <w:t xml:space="preserve"> and </w:t>
      </w:r>
      <w:r w:rsidRPr="00467C77">
        <w:t>time, blood type</w:t>
      </w:r>
      <w:r w:rsidR="0078512B" w:rsidRPr="00467C77">
        <w:t>,</w:t>
      </w:r>
      <w:r w:rsidRPr="00467C77">
        <w:t xml:space="preserve"> and donation type. </w:t>
      </w:r>
      <w:r w:rsidR="0078512B" w:rsidRPr="00467C77">
        <w:t>These data elements are not editable.</w:t>
      </w:r>
    </w:p>
    <w:p w14:paraId="048EF4B1" w14:textId="77777777" w:rsidR="00992C7D" w:rsidRPr="00467C77" w:rsidRDefault="00992C7D" w:rsidP="00C718D7">
      <w:pPr>
        <w:pStyle w:val="ListBullet"/>
      </w:pPr>
      <w:r w:rsidRPr="00467C77">
        <w:t xml:space="preserve">Some suppliers relabel blood products and do not affix their own FDA Registration Number to </w:t>
      </w:r>
      <w:r w:rsidR="009026B6" w:rsidRPr="00467C77">
        <w:t xml:space="preserve">those </w:t>
      </w:r>
      <w:r w:rsidRPr="00467C77">
        <w:t xml:space="preserve">units. </w:t>
      </w:r>
      <w:r w:rsidR="00D86843" w:rsidRPr="00467C77">
        <w:t xml:space="preserve">It is recommended that the user obtain FDA Registration Number barcodes from their suppliers and </w:t>
      </w:r>
      <w:r w:rsidR="00DD5226" w:rsidRPr="00467C77">
        <w:t>use them for</w:t>
      </w:r>
      <w:r w:rsidR="00D86843" w:rsidRPr="00467C77">
        <w:t xml:space="preserve"> scanning </w:t>
      </w:r>
      <w:r w:rsidRPr="00467C77">
        <w:t>the shipper.</w:t>
      </w:r>
    </w:p>
    <w:p w14:paraId="7B4DCFB0" w14:textId="77777777" w:rsidR="002A21AE" w:rsidRDefault="002A21AE">
      <w:pPr>
        <w:pStyle w:val="Heading4"/>
      </w:pPr>
      <w:r>
        <w:t>User Roles with Access to This Option</w:t>
      </w:r>
      <w:bookmarkEnd w:id="304"/>
    </w:p>
    <w:p w14:paraId="73258546" w14:textId="77777777" w:rsidR="002A21AE" w:rsidRDefault="00873EEB">
      <w:pPr>
        <w:pStyle w:val="Roles"/>
        <w:rPr>
          <w:snapToGrid w:val="0"/>
        </w:rPr>
      </w:pPr>
      <w:r>
        <w:t>All users</w:t>
      </w:r>
    </w:p>
    <w:p w14:paraId="0176D5D4" w14:textId="77777777" w:rsidR="002A21AE" w:rsidRDefault="00057948">
      <w:pPr>
        <w:pStyle w:val="Heading4"/>
      </w:pPr>
      <w:r>
        <w:rPr>
          <w:noProof/>
        </w:rPr>
        <w:lastRenderedPageBreak/>
        <w:drawing>
          <wp:inline distT="0" distB="0" distL="0" distR="0" wp14:anchorId="6E7561C0" wp14:editId="562880CB">
            <wp:extent cx="156845" cy="156845"/>
            <wp:effectExtent l="0" t="0" r="0" b="0"/>
            <wp:docPr id="150" name="Picture 1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a:extLst>
                        <a:ext uri="{C183D7F6-B498-43B3-948B-1728B52AA6E4}">
                          <adec:decorative xmlns:adec="http://schemas.microsoft.com/office/drawing/2017/decorative" val="1"/>
                        </a:ext>
                      </a:extLst>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Incoming Shipment </w:t>
      </w:r>
    </w:p>
    <w:p w14:paraId="46F5E22F" w14:textId="77777777" w:rsidR="002A21AE" w:rsidRDefault="00A367A9" w:rsidP="00FA7E65">
      <w:pPr>
        <w:pStyle w:val="BodyText"/>
      </w:pPr>
      <w:r>
        <w:t>I</w:t>
      </w:r>
      <w:r w:rsidR="002A21AE">
        <w:t>n a “transfusion-only” facility, units must be restricted for use by a specific patient while an incoming shipment is processed. VBECS identifies the original collection facility to determine the presence of</w:t>
      </w:r>
      <w:r w:rsidR="0029712B">
        <w:t xml:space="preserve"> an eye-readable prefix</w:t>
      </w:r>
      <w:r w:rsidR="002A21AE">
        <w:t>. A user may enter unique unit information regarding special testing and antigen phenotyping. The user confirms that all entered units from the shipment were added to the database in the blood bank.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60B0ECB" w14:textId="77777777">
        <w:trPr>
          <w:tblHeader/>
        </w:trPr>
        <w:tc>
          <w:tcPr>
            <w:tcW w:w="3240" w:type="dxa"/>
            <w:shd w:val="pct30" w:color="auto" w:fill="FFFFFF"/>
            <w:vAlign w:val="bottom"/>
          </w:tcPr>
          <w:p w14:paraId="61F2F971" w14:textId="77777777" w:rsidR="002A21AE" w:rsidRDefault="002A21AE">
            <w:pPr>
              <w:pStyle w:val="TableText"/>
              <w:rPr>
                <w:b/>
              </w:rPr>
            </w:pPr>
            <w:r>
              <w:rPr>
                <w:b/>
              </w:rPr>
              <w:t>User Action</w:t>
            </w:r>
          </w:p>
        </w:tc>
        <w:tc>
          <w:tcPr>
            <w:tcW w:w="6120" w:type="dxa"/>
            <w:shd w:val="pct30" w:color="auto" w:fill="FFFFFF"/>
            <w:vAlign w:val="bottom"/>
          </w:tcPr>
          <w:p w14:paraId="41585D96" w14:textId="77777777" w:rsidR="002A21AE" w:rsidRDefault="002A21AE">
            <w:pPr>
              <w:pStyle w:val="TableText"/>
              <w:rPr>
                <w:b/>
              </w:rPr>
            </w:pPr>
            <w:r>
              <w:rPr>
                <w:b/>
              </w:rPr>
              <w:t>VBECS</w:t>
            </w:r>
          </w:p>
        </w:tc>
      </w:tr>
      <w:tr w:rsidR="002A21AE" w14:paraId="12010085" w14:textId="77777777">
        <w:tc>
          <w:tcPr>
            <w:tcW w:w="3240" w:type="dxa"/>
          </w:tcPr>
          <w:p w14:paraId="214370A4" w14:textId="77777777" w:rsidR="002A21AE" w:rsidRDefault="002A21AE">
            <w:pPr>
              <w:pStyle w:val="TableTextNumbers"/>
            </w:pPr>
            <w:r>
              <w:t xml:space="preserve">Select </w:t>
            </w:r>
            <w:r>
              <w:rPr>
                <w:b/>
              </w:rPr>
              <w:t>Shipments</w:t>
            </w:r>
            <w:r>
              <w:t xml:space="preserve"> from the main menu.</w:t>
            </w:r>
          </w:p>
          <w:p w14:paraId="334516D3" w14:textId="77777777" w:rsidR="002A21AE" w:rsidRDefault="002A21AE">
            <w:pPr>
              <w:pStyle w:val="TableTextNumbersContinued"/>
              <w:rPr>
                <w:b/>
                <w:bCs/>
              </w:rPr>
            </w:pPr>
          </w:p>
          <w:p w14:paraId="7C896EEC" w14:textId="77777777" w:rsidR="002A21AE" w:rsidRDefault="002A21AE">
            <w:pPr>
              <w:pStyle w:val="TableTextNumbersContinued"/>
              <w:rPr>
                <w:b/>
                <w:bCs/>
              </w:rPr>
            </w:pPr>
            <w:r w:rsidRPr="00C761CD">
              <w:rPr>
                <w:bCs/>
              </w:rPr>
              <w:t>Select</w:t>
            </w:r>
            <w:r>
              <w:rPr>
                <w:b/>
                <w:bCs/>
              </w:rPr>
              <w:t xml:space="preserve"> Incoming Shipment</w:t>
            </w:r>
            <w:r w:rsidRPr="00C761CD">
              <w:rPr>
                <w:bCs/>
              </w:rPr>
              <w:t>.</w:t>
            </w:r>
          </w:p>
        </w:tc>
        <w:tc>
          <w:tcPr>
            <w:tcW w:w="6120" w:type="dxa"/>
          </w:tcPr>
          <w:p w14:paraId="3F713E82" w14:textId="77777777" w:rsidR="002A21AE" w:rsidRDefault="002A21AE">
            <w:pPr>
              <w:pStyle w:val="TableTextBullet"/>
            </w:pPr>
            <w:r>
              <w:t xml:space="preserve">Displays options for processing blood product shipments. </w:t>
            </w:r>
          </w:p>
          <w:p w14:paraId="7677D4EB" w14:textId="77777777" w:rsidR="0038298F" w:rsidRDefault="002A21AE" w:rsidP="0038298F">
            <w:pPr>
              <w:pStyle w:val="TableTextBullet"/>
            </w:pPr>
            <w:r>
              <w:t>Displays invoice information fields for entering shipment information.</w:t>
            </w:r>
          </w:p>
          <w:p w14:paraId="6E303773" w14:textId="77777777" w:rsidR="0038298F" w:rsidRDefault="0038298F" w:rsidP="0038298F">
            <w:pPr>
              <w:pStyle w:val="TableTextBullet"/>
              <w:numPr>
                <w:ilvl w:val="0"/>
                <w:numId w:val="0"/>
              </w:numPr>
              <w:ind w:left="288"/>
            </w:pPr>
          </w:p>
          <w:p w14:paraId="4ACC2F30" w14:textId="5B1F0AFF" w:rsidR="0038298F" w:rsidRDefault="0038298F" w:rsidP="0038298F">
            <w:pPr>
              <w:pStyle w:val="TableText"/>
              <w:rPr>
                <w:b/>
                <w:bCs/>
                <w:szCs w:val="18"/>
              </w:rPr>
            </w:pPr>
            <w:r>
              <w:rPr>
                <w:b/>
                <w:bCs/>
                <w:szCs w:val="18"/>
              </w:rPr>
              <w:t>NOTES</w:t>
            </w:r>
          </w:p>
          <w:p w14:paraId="163B1A62" w14:textId="77777777" w:rsidR="0038298F" w:rsidRDefault="0038298F" w:rsidP="0038298F">
            <w:pPr>
              <w:pStyle w:val="TableTextBullet"/>
              <w:numPr>
                <w:ilvl w:val="0"/>
                <w:numId w:val="0"/>
              </w:numPr>
              <w:ind w:left="288" w:hanging="288"/>
              <w:rPr>
                <w:rFonts w:cs="Arial"/>
                <w:szCs w:val="18"/>
              </w:rPr>
            </w:pPr>
          </w:p>
          <w:p w14:paraId="746FE230" w14:textId="77777777" w:rsidR="0038298F" w:rsidRDefault="0038298F" w:rsidP="0038298F">
            <w:pPr>
              <w:pStyle w:val="NotesText"/>
            </w:pPr>
            <w:r w:rsidRPr="0038298F">
              <w:rPr>
                <w:vanish/>
              </w:rPr>
              <w:t xml:space="preserve">BR_1.62 </w:t>
            </w:r>
            <w:r w:rsidRPr="0038298F">
              <w:t>The system is s</w:t>
            </w:r>
            <w:r>
              <w:t xml:space="preserve">et as a default to ISBT </w:t>
            </w:r>
            <w:r w:rsidRPr="0038298F">
              <w:t>128 label type.</w:t>
            </w:r>
          </w:p>
          <w:p w14:paraId="03453B4F" w14:textId="77777777" w:rsidR="009F2A03" w:rsidRDefault="009F2A03" w:rsidP="0038298F">
            <w:pPr>
              <w:pStyle w:val="NotesText"/>
            </w:pPr>
          </w:p>
        </w:tc>
      </w:tr>
      <w:tr w:rsidR="002A21AE" w14:paraId="2625EF2D" w14:textId="77777777" w:rsidTr="007E500E">
        <w:trPr>
          <w:cantSplit/>
        </w:trPr>
        <w:tc>
          <w:tcPr>
            <w:tcW w:w="3240" w:type="dxa"/>
          </w:tcPr>
          <w:p w14:paraId="4B7DB859" w14:textId="77777777" w:rsidR="002A21AE" w:rsidRDefault="002A21AE">
            <w:pPr>
              <w:pStyle w:val="TableTextNumbers"/>
            </w:pPr>
            <w:r>
              <w:lastRenderedPageBreak/>
              <w:t xml:space="preserve">Scan the invoice number barcode or enter the invoice number. </w:t>
            </w:r>
          </w:p>
          <w:p w14:paraId="31160A7F" w14:textId="77777777" w:rsidR="002A21AE" w:rsidRDefault="002A21AE">
            <w:pPr>
              <w:pStyle w:val="TableTextNumbersContinued"/>
            </w:pPr>
          </w:p>
          <w:p w14:paraId="359D6DA6" w14:textId="77777777" w:rsidR="002A21AE" w:rsidRDefault="002A21AE">
            <w:pPr>
              <w:pStyle w:val="TableTextNumbersContinued"/>
            </w:pPr>
            <w:r>
              <w:t xml:space="preserve">To search for an existing invoice, click the </w:t>
            </w:r>
            <w:r w:rsidR="00A6373D">
              <w:rPr>
                <w:b/>
              </w:rPr>
              <w:t>find</w:t>
            </w:r>
            <w:r w:rsidRPr="00BF2E41">
              <w:t xml:space="preserve"> button</w:t>
            </w:r>
            <w:r>
              <w:t xml:space="preserve">. Enter an invoice number and/or select a shipper from the drop-down list, then click </w:t>
            </w:r>
            <w:r>
              <w:rPr>
                <w:b/>
              </w:rPr>
              <w:t>Search</w:t>
            </w:r>
            <w:r>
              <w:t xml:space="preserve">. Click an invoice number to select it and click </w:t>
            </w:r>
            <w:r>
              <w:rPr>
                <w:b/>
              </w:rPr>
              <w:t>OK</w:t>
            </w:r>
            <w:r>
              <w:t>.</w:t>
            </w:r>
          </w:p>
        </w:tc>
        <w:tc>
          <w:tcPr>
            <w:tcW w:w="6120" w:type="dxa"/>
          </w:tcPr>
          <w:p w14:paraId="73844607" w14:textId="77777777" w:rsidR="002A21AE" w:rsidRDefault="002A21AE">
            <w:pPr>
              <w:pStyle w:val="TableTextBullet"/>
            </w:pPr>
            <w:r>
              <w:t>When an identified invoice does not exist, asks the user whether he wants to create an invoice and add units to it.</w:t>
            </w:r>
          </w:p>
          <w:p w14:paraId="347F7ABF" w14:textId="77777777" w:rsidR="002A21AE" w:rsidRDefault="002A21AE">
            <w:pPr>
              <w:pStyle w:val="TableTextBullet"/>
            </w:pPr>
            <w:r>
              <w:t>Displays the option to search for existing invoices by invoice number and/or by active shipper. When no match is found, notifies the user.</w:t>
            </w:r>
          </w:p>
          <w:p w14:paraId="1994C323" w14:textId="77777777" w:rsidR="002A21AE" w:rsidRDefault="002A21AE">
            <w:pPr>
              <w:pStyle w:val="TableText"/>
              <w:rPr>
                <w:b/>
                <w:bCs/>
                <w:szCs w:val="18"/>
              </w:rPr>
            </w:pPr>
          </w:p>
          <w:p w14:paraId="7B0ECFB5" w14:textId="50F5CA4D" w:rsidR="002A21AE" w:rsidRDefault="002A21AE">
            <w:pPr>
              <w:pStyle w:val="TableText"/>
              <w:rPr>
                <w:b/>
                <w:bCs/>
                <w:szCs w:val="18"/>
              </w:rPr>
            </w:pPr>
            <w:r>
              <w:rPr>
                <w:b/>
                <w:bCs/>
                <w:szCs w:val="18"/>
              </w:rPr>
              <w:t>NOTES</w:t>
            </w:r>
          </w:p>
          <w:p w14:paraId="0243433A" w14:textId="77777777" w:rsidR="002A21AE" w:rsidRPr="0051299B" w:rsidRDefault="002A21AE" w:rsidP="0051299B">
            <w:pPr>
              <w:pStyle w:val="NotesText"/>
            </w:pPr>
          </w:p>
          <w:p w14:paraId="6976ADE8" w14:textId="77777777" w:rsidR="002A21AE" w:rsidRDefault="002A21AE" w:rsidP="0051299B">
            <w:pPr>
              <w:pStyle w:val="NotesText"/>
            </w:pPr>
            <w:r w:rsidRPr="00A800FB">
              <w:rPr>
                <w:vanish/>
                <w:szCs w:val="18"/>
              </w:rPr>
              <w:t xml:space="preserve">BR_1.63 </w:t>
            </w:r>
            <w:r w:rsidRPr="00A800FB">
              <w:t>When a user chooses to select an existing invoice to add units, VBECS ensures that the shipper is marked as active. VBECS displays and allows the user to edit existing invoices associated with active shippers.</w:t>
            </w:r>
          </w:p>
          <w:p w14:paraId="08FA9313" w14:textId="77777777" w:rsidR="00126AF8" w:rsidRDefault="00126AF8">
            <w:pPr>
              <w:pStyle w:val="NotesText"/>
            </w:pPr>
          </w:p>
          <w:p w14:paraId="0FE8F8B4" w14:textId="7CD20F7D" w:rsidR="00126AF8" w:rsidRDefault="00126AF8">
            <w:pPr>
              <w:pStyle w:val="NotesText"/>
            </w:pPr>
            <w:r w:rsidRPr="004B0900">
              <w:t>To correct an invoice associated with an inactive shipper, the user must reactivate the shipper.</w:t>
            </w:r>
            <w:r w:rsidRPr="00126AF8">
              <w:t xml:space="preserve"> </w:t>
            </w:r>
            <w:r w:rsidR="004B0900">
              <w:t>(See FAQ CAP Comprehensive Transfusion Medicine Crossmatch Survey)</w:t>
            </w:r>
          </w:p>
          <w:p w14:paraId="01880B9E" w14:textId="77777777" w:rsidR="00117986" w:rsidRDefault="00117986">
            <w:pPr>
              <w:pStyle w:val="NotesText"/>
            </w:pPr>
          </w:p>
          <w:p w14:paraId="1A7D369B" w14:textId="7308CF38" w:rsidR="00117986" w:rsidRPr="00126AF8" w:rsidRDefault="00117986">
            <w:pPr>
              <w:pStyle w:val="NotesText"/>
            </w:pPr>
            <w:r w:rsidRPr="00A800FB">
              <w:t>Do not select the blank row in the shipper list box. If the blank row is selected, click it, close the window and start a new search.</w:t>
            </w:r>
            <w:r w:rsidR="0002020B" w:rsidRPr="00A800FB">
              <w:t xml:space="preserve"> </w:t>
            </w:r>
            <w:r w:rsidR="0002020B" w:rsidRPr="00A800FB">
              <w:rPr>
                <w:vanish/>
              </w:rPr>
              <w:t>Defect 210200</w:t>
            </w:r>
          </w:p>
          <w:p w14:paraId="7799B8BA" w14:textId="77777777" w:rsidR="002A21AE" w:rsidRDefault="002A21AE">
            <w:pPr>
              <w:pStyle w:val="NotesText"/>
            </w:pPr>
          </w:p>
          <w:p w14:paraId="5F509F45" w14:textId="77777777" w:rsidR="002A21AE" w:rsidRDefault="002A21AE" w:rsidP="00297B57">
            <w:pPr>
              <w:pStyle w:val="NotesText"/>
            </w:pPr>
            <w:r w:rsidRPr="009660C3">
              <w:rPr>
                <w:vanish/>
                <w:szCs w:val="18"/>
              </w:rPr>
              <w:t xml:space="preserve">BR_1.38 </w:t>
            </w:r>
            <w:r>
              <w:t xml:space="preserve">Multiple users may process different units from a </w:t>
            </w:r>
            <w:r>
              <w:rPr>
                <w:iCs/>
              </w:rPr>
              <w:t>shipment</w:t>
            </w:r>
            <w:r w:rsidR="00297B57">
              <w:t xml:space="preserve">. </w:t>
            </w:r>
            <w:r w:rsidR="009F2A03">
              <w:t xml:space="preserve"> </w:t>
            </w:r>
            <w:r w:rsidR="009F2A03" w:rsidRPr="0030088C">
              <w:rPr>
                <w:rFonts w:cs="Arial"/>
                <w:szCs w:val="18"/>
              </w:rPr>
              <w:t>A large shipment of blood can be physically processed by more than one tech simultaneously, however, each individual unit in the shipment can only be processed by one tech.</w:t>
            </w:r>
          </w:p>
          <w:p w14:paraId="32FB02E4" w14:textId="77777777" w:rsidR="009A7DAC" w:rsidRDefault="009A7DAC" w:rsidP="00297B57">
            <w:pPr>
              <w:pStyle w:val="NotesText"/>
            </w:pPr>
          </w:p>
          <w:p w14:paraId="62AAC316" w14:textId="77777777" w:rsidR="009A7DAC" w:rsidRDefault="009A7DAC" w:rsidP="00297B57">
            <w:pPr>
              <w:pStyle w:val="NotesText"/>
            </w:pPr>
            <w:bookmarkStart w:id="307" w:name="OLE_LINK31"/>
            <w:bookmarkStart w:id="308" w:name="OLE_LINK32"/>
            <w:r w:rsidRPr="009A7DAC">
              <w:t xml:space="preserve">When </w:t>
            </w:r>
            <w:r w:rsidR="006829C9">
              <w:t>more than one user</w:t>
            </w:r>
            <w:r w:rsidRPr="009A7DAC">
              <w:t xml:space="preserve"> intend</w:t>
            </w:r>
            <w:r w:rsidR="006829C9">
              <w:t>s</w:t>
            </w:r>
            <w:r w:rsidRPr="009A7DAC">
              <w:t xml:space="preserve"> to work on </w:t>
            </w:r>
            <w:r w:rsidR="006829C9">
              <w:t>an</w:t>
            </w:r>
            <w:r w:rsidRPr="009A7DAC">
              <w:t xml:space="preserve"> invoice, one </w:t>
            </w:r>
            <w:r>
              <w:t>user</w:t>
            </w:r>
            <w:r w:rsidRPr="009A7DAC">
              <w:t xml:space="preserve"> </w:t>
            </w:r>
            <w:r>
              <w:t>must</w:t>
            </w:r>
            <w:r w:rsidRPr="009A7DAC">
              <w:t xml:space="preserve"> create </w:t>
            </w:r>
            <w:r w:rsidR="006829C9">
              <w:t>the</w:t>
            </w:r>
            <w:r w:rsidRPr="009A7DAC">
              <w:t xml:space="preserve"> invoice</w:t>
            </w:r>
            <w:r>
              <w:t>. T</w:t>
            </w:r>
            <w:r w:rsidRPr="009A7DAC">
              <w:t xml:space="preserve">he other users </w:t>
            </w:r>
            <w:r>
              <w:t>must</w:t>
            </w:r>
            <w:r w:rsidRPr="009A7DAC">
              <w:t xml:space="preserve"> select </w:t>
            </w:r>
            <w:r w:rsidR="00551508">
              <w:t>that</w:t>
            </w:r>
            <w:r w:rsidRPr="009A7DAC">
              <w:t xml:space="preserve"> invoice and add units to it.</w:t>
            </w:r>
            <w:bookmarkEnd w:id="307"/>
            <w:bookmarkEnd w:id="308"/>
          </w:p>
          <w:p w14:paraId="4C0B102A" w14:textId="77777777" w:rsidR="005710CE" w:rsidRDefault="005710CE" w:rsidP="00297B57">
            <w:pPr>
              <w:pStyle w:val="NotesText"/>
            </w:pPr>
          </w:p>
          <w:p w14:paraId="5F77E7AF" w14:textId="77777777" w:rsidR="005710CE" w:rsidRDefault="005710CE" w:rsidP="00297B57">
            <w:pPr>
              <w:pStyle w:val="NotesText"/>
            </w:pPr>
            <w:r w:rsidRPr="005710CE">
              <w:rPr>
                <w:vanish/>
              </w:rPr>
              <w:t xml:space="preserve">BR_1.07 </w:t>
            </w:r>
            <w:r>
              <w:t>When using a scanner to read barcodes on blood product bags, the system must display the input to the user in the eye-readable form that appears on the blood bag.</w:t>
            </w:r>
          </w:p>
          <w:p w14:paraId="160008E8" w14:textId="77777777" w:rsidR="005710CE" w:rsidRDefault="005710CE" w:rsidP="00297B57">
            <w:pPr>
              <w:pStyle w:val="NotesText"/>
            </w:pPr>
          </w:p>
          <w:p w14:paraId="1A626814" w14:textId="77777777" w:rsidR="005710CE" w:rsidRDefault="009F2A03" w:rsidP="00297B57">
            <w:pPr>
              <w:pStyle w:val="NotesText"/>
              <w:rPr>
                <w:rFonts w:cs="Arial"/>
                <w:szCs w:val="18"/>
              </w:rPr>
            </w:pPr>
            <w:r w:rsidRPr="009F2A03">
              <w:rPr>
                <w:rFonts w:cs="Arial"/>
                <w:vanish/>
                <w:szCs w:val="18"/>
              </w:rPr>
              <w:t xml:space="preserve">BR_1.06 </w:t>
            </w:r>
            <w:r w:rsidRPr="0030088C">
              <w:rPr>
                <w:rFonts w:cs="Arial"/>
                <w:szCs w:val="18"/>
              </w:rPr>
              <w:t>When processing a shipment, the system should provide an indication to the user which specific barcode the system is expecting. Once the scan is complete, the system automatically ‘moves’ the indication to the next logical input. The user can override this progression by manually selecting a different input field. It is assumed that the scanners will be configured to append the proper command at the completion of each scan.</w:t>
            </w:r>
          </w:p>
          <w:p w14:paraId="4C3F78CB" w14:textId="77777777" w:rsidR="009F2A03" w:rsidRDefault="009F2A03" w:rsidP="00297B57">
            <w:pPr>
              <w:pStyle w:val="NotesText"/>
              <w:rPr>
                <w:rFonts w:cs="Arial"/>
                <w:szCs w:val="18"/>
              </w:rPr>
            </w:pPr>
          </w:p>
          <w:p w14:paraId="3A09E00F" w14:textId="77777777" w:rsidR="009F2A03" w:rsidRDefault="00EC25E3" w:rsidP="00297B57">
            <w:pPr>
              <w:pStyle w:val="NotesText"/>
              <w:rPr>
                <w:rFonts w:cs="Arial"/>
                <w:szCs w:val="18"/>
              </w:rPr>
            </w:pPr>
            <w:r w:rsidRPr="00EC25E3">
              <w:rPr>
                <w:rFonts w:cs="Arial"/>
                <w:vanish/>
                <w:szCs w:val="18"/>
              </w:rPr>
              <w:t xml:space="preserve">BR_1.54 </w:t>
            </w:r>
            <w:r w:rsidRPr="0030088C">
              <w:rPr>
                <w:rFonts w:cs="Arial"/>
                <w:szCs w:val="18"/>
              </w:rPr>
              <w:t>If the user entered shipment propertie</w:t>
            </w:r>
            <w:r>
              <w:rPr>
                <w:rFonts w:cs="Arial"/>
                <w:szCs w:val="18"/>
              </w:rPr>
              <w:t xml:space="preserve">s for an existing invoice, VBECS </w:t>
            </w:r>
            <w:r w:rsidRPr="0030088C">
              <w:rPr>
                <w:rFonts w:cs="Arial"/>
                <w:szCs w:val="18"/>
              </w:rPr>
              <w:t>displays a message: Do you want to continue and add units to an existing invoice? (Select “No” to use another invoice.) If the user responds “No,” the shipment property fields are cleared, allowing the user to enter data for anothe</w:t>
            </w:r>
            <w:r>
              <w:rPr>
                <w:rFonts w:cs="Arial"/>
                <w:szCs w:val="18"/>
              </w:rPr>
              <w:t>r invoice; otherwise, VBECS</w:t>
            </w:r>
            <w:r w:rsidRPr="0030088C">
              <w:rPr>
                <w:rFonts w:cs="Arial"/>
                <w:szCs w:val="18"/>
              </w:rPr>
              <w:t xml:space="preserve"> continues to the next step.</w:t>
            </w:r>
          </w:p>
          <w:p w14:paraId="27E570E6" w14:textId="77777777" w:rsidR="00EC25E3" w:rsidRDefault="00EC25E3" w:rsidP="00297B57">
            <w:pPr>
              <w:pStyle w:val="NotesText"/>
              <w:rPr>
                <w:rFonts w:cs="Arial"/>
                <w:szCs w:val="18"/>
              </w:rPr>
            </w:pPr>
          </w:p>
          <w:p w14:paraId="2828EC0A" w14:textId="77777777" w:rsidR="00EC25E3" w:rsidRDefault="00EC25E3" w:rsidP="00297B57">
            <w:pPr>
              <w:pStyle w:val="NotesText"/>
              <w:rPr>
                <w:rFonts w:cs="Arial"/>
                <w:szCs w:val="18"/>
              </w:rPr>
            </w:pPr>
            <w:r w:rsidRPr="00EC25E3">
              <w:rPr>
                <w:rFonts w:cs="Arial"/>
                <w:vanish/>
                <w:szCs w:val="18"/>
              </w:rPr>
              <w:t xml:space="preserve">BR_1.55 </w:t>
            </w:r>
            <w:r w:rsidRPr="0030088C">
              <w:rPr>
                <w:rFonts w:cs="Arial"/>
                <w:szCs w:val="18"/>
              </w:rPr>
              <w:t>If the user entered shipment properties</w:t>
            </w:r>
            <w:r>
              <w:rPr>
                <w:rFonts w:cs="Arial"/>
                <w:szCs w:val="18"/>
              </w:rPr>
              <w:t xml:space="preserve"> for a new invoice, VBECS</w:t>
            </w:r>
            <w:r w:rsidRPr="0030088C">
              <w:rPr>
                <w:rFonts w:cs="Arial"/>
                <w:szCs w:val="18"/>
              </w:rPr>
              <w:t xml:space="preserve"> displays a message: Do you want to continue and add units to the new invoice? (Select “No” to use another invoice.) If the user responds “No,” the shipment property fields are cleared, allowing the user to enter data for another invoice; otherwise, the system continues to the next step.</w:t>
            </w:r>
          </w:p>
          <w:p w14:paraId="44F41639" w14:textId="77777777" w:rsidR="00EC25E3" w:rsidRDefault="00EC25E3" w:rsidP="00297B57">
            <w:pPr>
              <w:pStyle w:val="NotesText"/>
              <w:rPr>
                <w:rFonts w:cs="Arial"/>
                <w:szCs w:val="18"/>
              </w:rPr>
            </w:pPr>
          </w:p>
          <w:p w14:paraId="63055355" w14:textId="77777777" w:rsidR="00EC25E3" w:rsidRDefault="004B3753" w:rsidP="00297B57">
            <w:pPr>
              <w:pStyle w:val="NotesText"/>
              <w:rPr>
                <w:rFonts w:cs="Arial"/>
                <w:szCs w:val="18"/>
              </w:rPr>
            </w:pPr>
            <w:r w:rsidRPr="004B3753">
              <w:rPr>
                <w:rFonts w:cs="Arial"/>
                <w:vanish/>
                <w:szCs w:val="18"/>
              </w:rPr>
              <w:t xml:space="preserve">BR_1.56 </w:t>
            </w:r>
            <w:r w:rsidRPr="0030088C">
              <w:rPr>
                <w:rFonts w:cs="Arial"/>
                <w:szCs w:val="18"/>
              </w:rPr>
              <w:t>The combination of invoice number, shipper, and date</w:t>
            </w:r>
            <w:r>
              <w:rPr>
                <w:rFonts w:cs="Arial"/>
                <w:szCs w:val="18"/>
              </w:rPr>
              <w:t>/time</w:t>
            </w:r>
            <w:r w:rsidRPr="0030088C">
              <w:rPr>
                <w:rFonts w:cs="Arial"/>
                <w:szCs w:val="18"/>
              </w:rPr>
              <w:t xml:space="preserve"> received uniquely identifies the shipment for data retrieval.</w:t>
            </w:r>
          </w:p>
          <w:p w14:paraId="5E5AE0C8" w14:textId="77777777" w:rsidR="004B3753" w:rsidRDefault="004B3753" w:rsidP="00297B57">
            <w:pPr>
              <w:pStyle w:val="NotesText"/>
              <w:rPr>
                <w:rFonts w:cs="Arial"/>
                <w:szCs w:val="18"/>
              </w:rPr>
            </w:pPr>
          </w:p>
          <w:p w14:paraId="5F6E50FD" w14:textId="53A58A25" w:rsidR="004B3753" w:rsidRPr="009A7DAC" w:rsidRDefault="004B3753" w:rsidP="00297B57">
            <w:pPr>
              <w:pStyle w:val="NotesText"/>
            </w:pPr>
          </w:p>
        </w:tc>
      </w:tr>
      <w:tr w:rsidR="00DA1590" w14:paraId="22E50377" w14:textId="77777777">
        <w:tc>
          <w:tcPr>
            <w:tcW w:w="3240" w:type="dxa"/>
          </w:tcPr>
          <w:p w14:paraId="18554F17" w14:textId="77777777" w:rsidR="00DA1590" w:rsidRDefault="00DA1590">
            <w:pPr>
              <w:pStyle w:val="TableTextNumbers"/>
            </w:pPr>
            <w:r>
              <w:lastRenderedPageBreak/>
              <w:t>Select a source</w:t>
            </w:r>
            <w:r w:rsidR="007536F3">
              <w:t xml:space="preserve"> from the Source (Shipper) drop-down list. If needed, edit the date received in the Date Received field.</w:t>
            </w:r>
          </w:p>
        </w:tc>
        <w:tc>
          <w:tcPr>
            <w:tcW w:w="6120" w:type="dxa"/>
          </w:tcPr>
          <w:p w14:paraId="1BC7F29C" w14:textId="77777777" w:rsidR="00297B57" w:rsidRDefault="00297B57" w:rsidP="00297B57">
            <w:pPr>
              <w:pStyle w:val="TableText"/>
              <w:rPr>
                <w:b/>
                <w:bCs/>
                <w:szCs w:val="18"/>
              </w:rPr>
            </w:pPr>
          </w:p>
          <w:p w14:paraId="60B30890" w14:textId="005EDADF" w:rsidR="00297B57" w:rsidRDefault="00297B57" w:rsidP="00297B57">
            <w:pPr>
              <w:pStyle w:val="TableText"/>
              <w:rPr>
                <w:b/>
                <w:bCs/>
                <w:szCs w:val="18"/>
              </w:rPr>
            </w:pPr>
            <w:r>
              <w:rPr>
                <w:b/>
                <w:bCs/>
                <w:szCs w:val="18"/>
              </w:rPr>
              <w:t>NOTES</w:t>
            </w:r>
          </w:p>
          <w:p w14:paraId="4F5C5780" w14:textId="77777777" w:rsidR="00297B57" w:rsidRDefault="00297B57" w:rsidP="00297B57">
            <w:pPr>
              <w:pStyle w:val="NotesText"/>
            </w:pPr>
          </w:p>
          <w:p w14:paraId="17CC0604" w14:textId="77777777" w:rsidR="00297B57" w:rsidRDefault="00297B57" w:rsidP="00297B57">
            <w:pPr>
              <w:pStyle w:val="NotesText"/>
            </w:pPr>
            <w:r>
              <w:t>After a user enters or selects an invoice number, the user may enter information in the shipper, date received, and processing technologist fields.</w:t>
            </w:r>
          </w:p>
          <w:p w14:paraId="090F7A2F" w14:textId="77777777" w:rsidR="00297B57" w:rsidRDefault="00297B57" w:rsidP="00297B57">
            <w:pPr>
              <w:pStyle w:val="NotesText"/>
            </w:pPr>
          </w:p>
          <w:p w14:paraId="31CF0F6D" w14:textId="77777777" w:rsidR="00DA1590" w:rsidRDefault="00297B57" w:rsidP="00297B57">
            <w:pPr>
              <w:pStyle w:val="NotesText"/>
            </w:pPr>
            <w:r>
              <w:t>During retrospective entry, the user must enter the shipment date and time before entering any other unit transaction.</w:t>
            </w:r>
          </w:p>
          <w:p w14:paraId="6F8FA4D5" w14:textId="77777777" w:rsidR="009F2A03" w:rsidRDefault="009F2A03" w:rsidP="00297B57">
            <w:pPr>
              <w:pStyle w:val="NotesText"/>
            </w:pPr>
          </w:p>
          <w:p w14:paraId="74B37038" w14:textId="29EA0A38" w:rsidR="009F2A03" w:rsidRDefault="009F2A03" w:rsidP="00297B57">
            <w:pPr>
              <w:pStyle w:val="NotesText"/>
            </w:pPr>
            <w:r w:rsidRPr="009F2A03">
              <w:rPr>
                <w:rFonts w:cs="Arial"/>
                <w:vanish/>
                <w:szCs w:val="18"/>
              </w:rPr>
              <w:t xml:space="preserve">BR_1.51 </w:t>
            </w:r>
            <w:r w:rsidRPr="0030088C">
              <w:rPr>
                <w:rFonts w:cs="Arial"/>
                <w:szCs w:val="18"/>
              </w:rPr>
              <w:t>Shipment received date/time cannot be a future date/time</w:t>
            </w:r>
            <w:r>
              <w:rPr>
                <w:rFonts w:cs="Arial"/>
                <w:szCs w:val="18"/>
              </w:rPr>
              <w:t>.</w:t>
            </w:r>
            <w:r w:rsidR="00963554">
              <w:rPr>
                <w:rFonts w:cs="Arial"/>
                <w:szCs w:val="18"/>
              </w:rPr>
              <w:t xml:space="preserve"> </w:t>
            </w:r>
            <w:r w:rsidR="00963554" w:rsidRPr="00963554">
              <w:rPr>
                <w:rFonts w:cs="Arial"/>
                <w:vanish/>
                <w:szCs w:val="18"/>
              </w:rPr>
              <w:t>Defect 209865</w:t>
            </w:r>
          </w:p>
        </w:tc>
      </w:tr>
      <w:tr w:rsidR="002A21AE" w14:paraId="4A4C0AFE" w14:textId="77777777">
        <w:tc>
          <w:tcPr>
            <w:tcW w:w="3240" w:type="dxa"/>
          </w:tcPr>
          <w:p w14:paraId="46C2AE18" w14:textId="77777777" w:rsidR="002A21AE" w:rsidRDefault="002A21AE">
            <w:pPr>
              <w:pStyle w:val="TableTextNumbers"/>
            </w:pPr>
            <w:r>
              <w:t xml:space="preserve">Click </w:t>
            </w:r>
            <w:r>
              <w:rPr>
                <w:b/>
              </w:rPr>
              <w:t>OK</w:t>
            </w:r>
            <w:r>
              <w:t xml:space="preserve"> again to continue. </w:t>
            </w:r>
          </w:p>
        </w:tc>
        <w:tc>
          <w:tcPr>
            <w:tcW w:w="6120" w:type="dxa"/>
          </w:tcPr>
          <w:p w14:paraId="7A66FDFE" w14:textId="77777777" w:rsidR="0038298F" w:rsidRDefault="0038298F" w:rsidP="0038298F">
            <w:pPr>
              <w:pStyle w:val="TableTextBullet"/>
              <w:numPr>
                <w:ilvl w:val="0"/>
                <w:numId w:val="0"/>
              </w:numPr>
              <w:ind w:left="288" w:hanging="288"/>
            </w:pPr>
          </w:p>
          <w:p w14:paraId="5C2AE911" w14:textId="51FF49E5" w:rsidR="0038298F" w:rsidRDefault="0038298F" w:rsidP="0038298F">
            <w:pPr>
              <w:pStyle w:val="TableText"/>
              <w:rPr>
                <w:b/>
                <w:bCs/>
                <w:szCs w:val="18"/>
              </w:rPr>
            </w:pPr>
            <w:r>
              <w:rPr>
                <w:b/>
                <w:bCs/>
                <w:szCs w:val="18"/>
              </w:rPr>
              <w:t>NOTES</w:t>
            </w:r>
          </w:p>
          <w:p w14:paraId="753C0B50" w14:textId="77777777" w:rsidR="0038298F" w:rsidRDefault="0038298F" w:rsidP="0038298F">
            <w:pPr>
              <w:pStyle w:val="NotesText"/>
              <w:rPr>
                <w:vanish/>
              </w:rPr>
            </w:pPr>
          </w:p>
          <w:p w14:paraId="26F2C3BE" w14:textId="0A381DEC" w:rsidR="004B3753" w:rsidRDefault="0038298F" w:rsidP="0039783A">
            <w:pPr>
              <w:pStyle w:val="NotesText"/>
            </w:pPr>
            <w:r w:rsidRPr="0038298F">
              <w:rPr>
                <w:vanish/>
              </w:rPr>
              <w:t xml:space="preserve">BR_1.71 </w:t>
            </w:r>
            <w:r>
              <w:t>Entry of Codabar labeled blood units is disabled.</w:t>
            </w:r>
          </w:p>
        </w:tc>
      </w:tr>
      <w:tr w:rsidR="002A21AE" w14:paraId="58B4A160" w14:textId="77777777">
        <w:tc>
          <w:tcPr>
            <w:tcW w:w="3240" w:type="dxa"/>
          </w:tcPr>
          <w:p w14:paraId="624E8A3D" w14:textId="77777777" w:rsidR="002A21AE" w:rsidRDefault="002A21AE">
            <w:pPr>
              <w:pStyle w:val="TableTextNumbers"/>
            </w:pPr>
            <w:r>
              <w:t xml:space="preserve">Click </w:t>
            </w:r>
            <w:r>
              <w:rPr>
                <w:b/>
              </w:rPr>
              <w:t>Yes</w:t>
            </w:r>
            <w:r>
              <w:t xml:space="preserve"> to add units to the invoice or click </w:t>
            </w:r>
            <w:r>
              <w:rPr>
                <w:b/>
              </w:rPr>
              <w:t>No</w:t>
            </w:r>
            <w:r>
              <w:t xml:space="preserve"> to select another invoice.</w:t>
            </w:r>
          </w:p>
        </w:tc>
        <w:tc>
          <w:tcPr>
            <w:tcW w:w="6120" w:type="dxa"/>
          </w:tcPr>
          <w:p w14:paraId="7A1A2970" w14:textId="77777777" w:rsidR="002A21AE" w:rsidRDefault="002A21AE">
            <w:pPr>
              <w:pStyle w:val="TableTextBullet"/>
            </w:pPr>
            <w:r>
              <w:t>When a user selects an existing invoice, displays the shipment information and blood unit details associated with the invoice.</w:t>
            </w:r>
          </w:p>
        </w:tc>
      </w:tr>
      <w:tr w:rsidR="002A21AE" w14:paraId="14D1B863" w14:textId="77777777">
        <w:tc>
          <w:tcPr>
            <w:tcW w:w="3240" w:type="dxa"/>
          </w:tcPr>
          <w:p w14:paraId="249FCB19" w14:textId="77777777" w:rsidR="00F5287E" w:rsidRDefault="00F5287E">
            <w:pPr>
              <w:pStyle w:val="TableTextNumbers"/>
            </w:pPr>
            <w:r>
              <w:t>Select a unit to add.</w:t>
            </w:r>
          </w:p>
          <w:p w14:paraId="213F5527" w14:textId="77777777" w:rsidR="002A21AE" w:rsidRDefault="002A21AE" w:rsidP="00F5287E">
            <w:pPr>
              <w:pStyle w:val="TableTextNumbers"/>
              <w:numPr>
                <w:ilvl w:val="0"/>
                <w:numId w:val="0"/>
              </w:numPr>
              <w:ind w:left="288"/>
            </w:pPr>
            <w:r>
              <w:t>For an ISBT 128-labeled unit, scan</w:t>
            </w:r>
            <w:r w:rsidR="00A83A22">
              <w:t xml:space="preserve"> the label,</w:t>
            </w:r>
            <w:r>
              <w:t xml:space="preserve"> or enter the unit ID</w:t>
            </w:r>
            <w:r w:rsidR="00A83A22">
              <w:t xml:space="preserve"> and check character (in that order)</w:t>
            </w:r>
            <w:r>
              <w:t>.</w:t>
            </w:r>
          </w:p>
        </w:tc>
        <w:tc>
          <w:tcPr>
            <w:tcW w:w="6120" w:type="dxa"/>
          </w:tcPr>
          <w:p w14:paraId="15B26F32" w14:textId="77777777" w:rsidR="002A21AE" w:rsidRDefault="002A21AE">
            <w:pPr>
              <w:pStyle w:val="TableTextBullet"/>
            </w:pPr>
            <w:r>
              <w:t xml:space="preserve">Disables the FDA </w:t>
            </w:r>
            <w:r w:rsidR="00B85812">
              <w:t>Registration Number</w:t>
            </w:r>
            <w:r>
              <w:t xml:space="preserve"> field.</w:t>
            </w:r>
          </w:p>
          <w:p w14:paraId="79608337" w14:textId="77777777" w:rsidR="002A21AE" w:rsidRDefault="002A21AE">
            <w:pPr>
              <w:pStyle w:val="TableTextBullet"/>
            </w:pPr>
            <w:r>
              <w:t>Displays information corresponding to the unit ID barcode scanned. When a user enters an ISBT 128-labeled unit ID, VBECS prompts the user to enter the check character from the blood bag.</w:t>
            </w:r>
          </w:p>
          <w:p w14:paraId="0696BBB6" w14:textId="77777777" w:rsidR="002A21AE" w:rsidRDefault="002A21AE">
            <w:pPr>
              <w:pStyle w:val="TableTextBullet1"/>
            </w:pPr>
            <w:r>
              <w:rPr>
                <w:vanish/>
              </w:rPr>
              <w:t xml:space="preserve">BR_1.08 </w:t>
            </w:r>
            <w:r>
              <w:t xml:space="preserve">When a user scans ISBT 128 labels units and the cursor is in an inappropriate field, VBECS </w:t>
            </w:r>
            <w:r>
              <w:rPr>
                <w:noProof/>
              </w:rPr>
              <w:t xml:space="preserve">warns that the </w:t>
            </w:r>
            <w:r w:rsidR="00346B6E">
              <w:rPr>
                <w:noProof/>
              </w:rPr>
              <w:t>incorrect</w:t>
            </w:r>
            <w:r>
              <w:t xml:space="preserve"> barcode was scanned.</w:t>
            </w:r>
          </w:p>
          <w:p w14:paraId="5FABE9CA" w14:textId="77777777" w:rsidR="002A21AE" w:rsidRDefault="002A21AE">
            <w:pPr>
              <w:pStyle w:val="TableText"/>
            </w:pPr>
          </w:p>
          <w:p w14:paraId="6134DED2" w14:textId="49C2A877" w:rsidR="002A21AE" w:rsidRDefault="002A21AE">
            <w:pPr>
              <w:pStyle w:val="TableText"/>
              <w:rPr>
                <w:b/>
                <w:bCs/>
                <w:szCs w:val="18"/>
              </w:rPr>
            </w:pPr>
            <w:r>
              <w:rPr>
                <w:b/>
                <w:bCs/>
                <w:szCs w:val="18"/>
              </w:rPr>
              <w:t>NOTES</w:t>
            </w:r>
          </w:p>
          <w:p w14:paraId="44550278" w14:textId="77777777" w:rsidR="002A21AE" w:rsidRDefault="002A21AE">
            <w:pPr>
              <w:pStyle w:val="NotesText"/>
            </w:pPr>
          </w:p>
          <w:p w14:paraId="0C4C89D1" w14:textId="77777777" w:rsidR="002A21AE" w:rsidRDefault="002A21AE">
            <w:pPr>
              <w:pStyle w:val="NotesText"/>
              <w:ind w:left="0"/>
            </w:pPr>
            <w:r>
              <w:t>For ISBT 128-labeled units:</w:t>
            </w:r>
          </w:p>
          <w:p w14:paraId="6F4FD0B1" w14:textId="77777777" w:rsidR="002A21AE" w:rsidRDefault="002A21AE">
            <w:pPr>
              <w:pStyle w:val="NotesText"/>
            </w:pPr>
            <w:r w:rsidRPr="00DC786E">
              <w:rPr>
                <w:rFonts w:cs="Arial"/>
                <w:vanish/>
                <w:szCs w:val="18"/>
              </w:rPr>
              <w:t>BR_1.19</w:t>
            </w:r>
            <w:r w:rsidRPr="009660C3">
              <w:rPr>
                <w:vanish/>
                <w:szCs w:val="18"/>
              </w:rPr>
              <w:t xml:space="preserve"> </w:t>
            </w:r>
            <w:r>
              <w:t>When the user-entered check character from the label does not match the VBECS-generated check character, VBECS warns the user.</w:t>
            </w:r>
          </w:p>
          <w:p w14:paraId="64061839" w14:textId="77777777" w:rsidR="002A21AE" w:rsidRDefault="002A21AE">
            <w:pPr>
              <w:pStyle w:val="NotesText"/>
            </w:pPr>
          </w:p>
          <w:p w14:paraId="0E6010F6" w14:textId="77777777" w:rsidR="002A21AE" w:rsidRDefault="002A21AE">
            <w:pPr>
              <w:pStyle w:val="NotesText"/>
            </w:pPr>
            <w:r w:rsidRPr="00781DAE">
              <w:rPr>
                <w:rFonts w:cs="Arial"/>
                <w:vanish/>
                <w:szCs w:val="18"/>
              </w:rPr>
              <w:t>BR_1.64</w:t>
            </w:r>
            <w:r w:rsidRPr="009660C3">
              <w:rPr>
                <w:vanish/>
                <w:szCs w:val="18"/>
              </w:rPr>
              <w:t xml:space="preserve"> </w:t>
            </w:r>
            <w:r>
              <w:t xml:space="preserve">When VBECS does not find a matching entry for the ICCBBA </w:t>
            </w:r>
            <w:r w:rsidR="00B85812">
              <w:t>Registration Number</w:t>
            </w:r>
            <w:r>
              <w:t xml:space="preserve"> on the local supplier table, the user must activate or add a local supplier before continuing.</w:t>
            </w:r>
          </w:p>
          <w:p w14:paraId="7B63C04E" w14:textId="77777777" w:rsidR="0039783A" w:rsidRDefault="0039783A">
            <w:pPr>
              <w:pStyle w:val="NotesText"/>
            </w:pPr>
          </w:p>
          <w:p w14:paraId="58DC41B6" w14:textId="5FEFB679" w:rsidR="0039783A" w:rsidRPr="0039783A" w:rsidRDefault="0039783A" w:rsidP="0039783A">
            <w:pPr>
              <w:pStyle w:val="NotesText"/>
              <w:rPr>
                <w:rFonts w:cs="Arial"/>
                <w:szCs w:val="18"/>
              </w:rPr>
            </w:pPr>
            <w:r w:rsidRPr="00C92599">
              <w:rPr>
                <w:rFonts w:cs="Arial"/>
                <w:vanish/>
                <w:szCs w:val="18"/>
              </w:rPr>
              <w:t xml:space="preserve">BR_1.18 </w:t>
            </w:r>
            <w:r w:rsidRPr="00030C52">
              <w:rPr>
                <w:rFonts w:cs="Arial"/>
                <w:szCs w:val="18"/>
              </w:rPr>
              <w:t>A scanned ISBT 128 Unit ID barcode is identified by the presence of the ‘=’ as the hidden identifier. Once the hidden identifier is removed</w:t>
            </w:r>
            <w:r>
              <w:rPr>
                <w:rFonts w:cs="Arial"/>
                <w:szCs w:val="18"/>
              </w:rPr>
              <w:t xml:space="preserve"> or when the </w:t>
            </w:r>
            <w:r w:rsidRPr="00030C52">
              <w:rPr>
                <w:rFonts w:cs="Arial"/>
                <w:szCs w:val="18"/>
              </w:rPr>
              <w:t xml:space="preserve">Unit ID </w:t>
            </w:r>
            <w:r>
              <w:rPr>
                <w:rFonts w:cs="Arial"/>
                <w:szCs w:val="18"/>
              </w:rPr>
              <w:t>is manually entered</w:t>
            </w:r>
            <w:r w:rsidRPr="00030C52">
              <w:rPr>
                <w:rFonts w:cs="Arial"/>
                <w:szCs w:val="18"/>
              </w:rPr>
              <w:t xml:space="preserve">, the Unit ID is validated to ensure that the first five characters are alphanumeric and the remaining </w:t>
            </w:r>
            <w:r>
              <w:rPr>
                <w:rFonts w:cs="Arial"/>
                <w:szCs w:val="18"/>
              </w:rPr>
              <w:t>eight</w:t>
            </w:r>
            <w:r w:rsidRPr="00030C52">
              <w:rPr>
                <w:rFonts w:cs="Arial"/>
                <w:szCs w:val="18"/>
              </w:rPr>
              <w:t xml:space="preserve"> characters are numeric; totaling a 13-character unit ID. The Unit record is flagged as scanned during initial receipt</w:t>
            </w:r>
            <w:r>
              <w:rPr>
                <w:rFonts w:cs="Arial"/>
                <w:szCs w:val="18"/>
              </w:rPr>
              <w:t xml:space="preserve"> only if the hidden identifier was present</w:t>
            </w:r>
            <w:r w:rsidRPr="00030C52">
              <w:rPr>
                <w:rFonts w:cs="Arial"/>
                <w:szCs w:val="18"/>
              </w:rPr>
              <w:t>.</w:t>
            </w:r>
          </w:p>
        </w:tc>
      </w:tr>
      <w:tr w:rsidR="002A21AE" w14:paraId="3E57AECE" w14:textId="77777777">
        <w:tc>
          <w:tcPr>
            <w:tcW w:w="3240" w:type="dxa"/>
          </w:tcPr>
          <w:p w14:paraId="4C9B7C90" w14:textId="77777777" w:rsidR="002A21AE" w:rsidRDefault="002A21AE">
            <w:pPr>
              <w:pStyle w:val="TableTextNumbers"/>
            </w:pPr>
            <w:r>
              <w:t xml:space="preserve">Scan the product code barcode or enter the product code. </w:t>
            </w:r>
          </w:p>
        </w:tc>
        <w:tc>
          <w:tcPr>
            <w:tcW w:w="6120" w:type="dxa"/>
          </w:tcPr>
          <w:p w14:paraId="04068EE9" w14:textId="77777777" w:rsidR="004641E8" w:rsidRPr="004641E8" w:rsidRDefault="004641E8">
            <w:pPr>
              <w:pStyle w:val="TableTextBullet"/>
              <w:rPr>
                <w:color w:val="000000"/>
              </w:rPr>
            </w:pPr>
            <w:r>
              <w:t xml:space="preserve">When a user scans a product code </w:t>
            </w:r>
            <w:r w:rsidR="006D09BD">
              <w:t>barcode that is not activ</w:t>
            </w:r>
            <w:r>
              <w:t>ated in the user’s division, prompts the user to activate the code.</w:t>
            </w:r>
            <w:r w:rsidR="006D09BD">
              <w:t xml:space="preserve"> (See Blood Products.)</w:t>
            </w:r>
          </w:p>
          <w:p w14:paraId="0AA53805" w14:textId="77777777" w:rsidR="002A21AE" w:rsidRDefault="002A21AE">
            <w:pPr>
              <w:pStyle w:val="TableTextBullet"/>
              <w:rPr>
                <w:color w:val="000000"/>
              </w:rPr>
            </w:pPr>
            <w:r>
              <w:t xml:space="preserve">Displays the corresponding product code, product name, and (for </w:t>
            </w:r>
            <w:r w:rsidR="00073282">
              <w:t>ISBT) donation type (see Step 10</w:t>
            </w:r>
            <w:r>
              <w:t>).</w:t>
            </w:r>
          </w:p>
          <w:p w14:paraId="7F62D434" w14:textId="77777777" w:rsidR="002A21AE" w:rsidRDefault="002A21AE">
            <w:pPr>
              <w:pStyle w:val="TableTextBullet"/>
            </w:pPr>
            <w:r>
              <w:rPr>
                <w:color w:val="000000"/>
              </w:rPr>
              <w:t>When a unit ID of the same product type and code exists in a division, t</w:t>
            </w:r>
            <w:r>
              <w:t>he expiration date is in the future, and there is no record of inactivation or transfer of that unit ID and product code in the division’s record:</w:t>
            </w:r>
          </w:p>
          <w:p w14:paraId="0D73DE88" w14:textId="77777777" w:rsidR="002A21AE" w:rsidRDefault="002A21AE">
            <w:pPr>
              <w:pStyle w:val="TableTextBullet1"/>
            </w:pPr>
            <w:r>
              <w:t>Warns that the blood unit already exists in the division.</w:t>
            </w:r>
          </w:p>
          <w:p w14:paraId="312CC2D3" w14:textId="77777777" w:rsidR="002A21AE" w:rsidRDefault="002A21AE">
            <w:pPr>
              <w:pStyle w:val="TableTextBullet1"/>
            </w:pPr>
            <w:r>
              <w:lastRenderedPageBreak/>
              <w:t>Clears the data entry fields. The user may enter a different unit ID and product code.</w:t>
            </w:r>
          </w:p>
          <w:p w14:paraId="1D3AF411" w14:textId="77777777" w:rsidR="002A21AE" w:rsidRDefault="002A21AE">
            <w:pPr>
              <w:pStyle w:val="TableTextBullet"/>
            </w:pPr>
            <w:r>
              <w:rPr>
                <w:color w:val="000000"/>
              </w:rPr>
              <w:t>When a unit ID of the same product type and code exists in a division and t</w:t>
            </w:r>
            <w:r>
              <w:t xml:space="preserve">he unit in the division has an expiration date in the past, </w:t>
            </w:r>
            <w:r>
              <w:rPr>
                <w:noProof/>
              </w:rPr>
              <w:t>warns that t</w:t>
            </w:r>
            <w:r>
              <w:t>he blood unit already exists in the division.</w:t>
            </w:r>
          </w:p>
          <w:p w14:paraId="79B1FABA" w14:textId="77777777" w:rsidR="002A21AE" w:rsidRDefault="002A21AE">
            <w:pPr>
              <w:pStyle w:val="TableTextBullet"/>
            </w:pPr>
            <w:r>
              <w:rPr>
                <w:color w:val="000000"/>
              </w:rPr>
              <w:t>When a unit ID of the same product type and code exists in a division, t</w:t>
            </w:r>
            <w:r>
              <w:t>he unit status is “Transferred,” and the ABO/Rh and unit expiration date are identical to the existing unit of record:</w:t>
            </w:r>
          </w:p>
          <w:p w14:paraId="3BECA782" w14:textId="77777777" w:rsidR="002A21AE" w:rsidRDefault="002A21AE">
            <w:pPr>
              <w:pStyle w:val="TableTextBullet1"/>
            </w:pPr>
            <w:r>
              <w:t>Makes the existing unit record available.</w:t>
            </w:r>
          </w:p>
          <w:p w14:paraId="00E2FC79" w14:textId="77777777" w:rsidR="002A21AE" w:rsidRDefault="002A21AE">
            <w:pPr>
              <w:pStyle w:val="TableTextBullet1"/>
            </w:pPr>
            <w:r>
              <w:t xml:space="preserve">Warns that the user is attempting to reenter a unit in inventory. </w:t>
            </w:r>
            <w:r>
              <w:rPr>
                <w:b/>
              </w:rPr>
              <w:t>No</w:t>
            </w:r>
            <w:r>
              <w:t xml:space="preserve"> clears the unit. </w:t>
            </w:r>
            <w:r>
              <w:rPr>
                <w:b/>
              </w:rPr>
              <w:t>Yes</w:t>
            </w:r>
            <w:r>
              <w:t xml:space="preserve"> and saves the unit.</w:t>
            </w:r>
          </w:p>
          <w:p w14:paraId="1EFC640F" w14:textId="77777777" w:rsidR="002A21AE" w:rsidRDefault="002A21AE">
            <w:pPr>
              <w:pStyle w:val="TableTextBullet1"/>
            </w:pPr>
            <w:r>
              <w:t>Updates the unit status to “Limited” or “Available</w:t>
            </w:r>
            <w:r w:rsidR="00BA7846">
              <w:t>.</w:t>
            </w:r>
            <w:r>
              <w:t xml:space="preserve">” </w:t>
            </w:r>
          </w:p>
          <w:p w14:paraId="53974C78" w14:textId="77777777" w:rsidR="002A21AE" w:rsidRDefault="002A21AE">
            <w:pPr>
              <w:pStyle w:val="TableTextBullet1"/>
            </w:pPr>
            <w:r>
              <w:t>Updates the unit record to reflect the reentry of the unit in the division’s inventory. The user may add new information about this unit through Edit Unit Information.</w:t>
            </w:r>
          </w:p>
          <w:p w14:paraId="6E5D85B3" w14:textId="77777777" w:rsidR="004B4CE8" w:rsidRDefault="004B4CE8" w:rsidP="004B4CE8">
            <w:pPr>
              <w:pStyle w:val="TableTextBullet"/>
            </w:pPr>
            <w:r>
              <w:t>System determines barcode type(s) scanned based on hidden identifiers. System interprets and displays product name and donation type, as appropriate.</w:t>
            </w:r>
          </w:p>
          <w:p w14:paraId="14DF0DFB" w14:textId="77777777" w:rsidR="004B4CE8" w:rsidRDefault="004B4CE8" w:rsidP="004B4CE8">
            <w:pPr>
              <w:pStyle w:val="TableTextBullet"/>
            </w:pPr>
            <w:r>
              <w:t>System determines if the facility it full service or transfusion only.</w:t>
            </w:r>
          </w:p>
          <w:p w14:paraId="4C2803AA" w14:textId="77777777" w:rsidR="004B4CE8" w:rsidRDefault="004B4CE8" w:rsidP="004B4CE8">
            <w:pPr>
              <w:pStyle w:val="TableTextBullet"/>
            </w:pPr>
            <w:r>
              <w:t>System assigns the donation type to the unit or requires user input, as appropriate.</w:t>
            </w:r>
          </w:p>
          <w:p w14:paraId="3621746A" w14:textId="77777777" w:rsidR="002A21AE" w:rsidRDefault="002A21AE">
            <w:pPr>
              <w:pStyle w:val="TableText"/>
            </w:pPr>
          </w:p>
          <w:p w14:paraId="3C7BD050" w14:textId="4BC5B007" w:rsidR="002A21AE" w:rsidRDefault="002A21AE">
            <w:pPr>
              <w:pStyle w:val="TableText"/>
              <w:rPr>
                <w:b/>
                <w:bCs/>
                <w:szCs w:val="18"/>
              </w:rPr>
            </w:pPr>
            <w:r>
              <w:rPr>
                <w:b/>
                <w:bCs/>
                <w:szCs w:val="18"/>
              </w:rPr>
              <w:t>NOTES</w:t>
            </w:r>
          </w:p>
          <w:p w14:paraId="74F363AD" w14:textId="77777777" w:rsidR="002A21AE" w:rsidRDefault="002A21AE">
            <w:pPr>
              <w:pStyle w:val="NotesText"/>
              <w:ind w:left="0"/>
            </w:pPr>
            <w:r>
              <w:br/>
              <w:t>Scanned Product Codes</w:t>
            </w:r>
          </w:p>
          <w:p w14:paraId="3843E327" w14:textId="77777777" w:rsidR="002A21AE" w:rsidRPr="00DE7667" w:rsidRDefault="002A21AE" w:rsidP="00DE7667">
            <w:pPr>
              <w:pStyle w:val="NotesText"/>
            </w:pPr>
            <w:r w:rsidRPr="00781DAE">
              <w:rPr>
                <w:rFonts w:cs="Arial"/>
                <w:vanish/>
              </w:rPr>
              <w:t>BR_1.42</w:t>
            </w:r>
            <w:r w:rsidRPr="009660C3">
              <w:rPr>
                <w:vanish/>
                <w:szCs w:val="18"/>
              </w:rPr>
              <w:t xml:space="preserve"> </w:t>
            </w:r>
            <w:r>
              <w:t>When a unit is transferred between facilities in a consolidated database or is reentered after transfer to an unrelated facility, VBECS records all unit activity.</w:t>
            </w:r>
          </w:p>
          <w:p w14:paraId="1F6E1A06" w14:textId="77777777" w:rsidR="002A21AE" w:rsidRDefault="002A21AE">
            <w:pPr>
              <w:pStyle w:val="NotesText"/>
            </w:pPr>
          </w:p>
          <w:p w14:paraId="5DE91D43" w14:textId="77777777" w:rsidR="002A21AE" w:rsidRDefault="002A21AE">
            <w:pPr>
              <w:pStyle w:val="NotesText"/>
            </w:pPr>
            <w:r>
              <w:rPr>
                <w:b/>
                <w:bCs/>
              </w:rPr>
              <w:t>OK</w:t>
            </w:r>
            <w:r>
              <w:t xml:space="preserve"> returns the user to a blank screen to enter a different product. The user may enter a different product code.</w:t>
            </w:r>
          </w:p>
          <w:p w14:paraId="53147F50" w14:textId="77777777" w:rsidR="00185119" w:rsidRDefault="00185119">
            <w:pPr>
              <w:pStyle w:val="NotesText"/>
            </w:pPr>
          </w:p>
          <w:p w14:paraId="5464F016" w14:textId="4EC48D86" w:rsidR="00185119" w:rsidRDefault="00185119" w:rsidP="00185119">
            <w:pPr>
              <w:pStyle w:val="NotesText"/>
            </w:pPr>
            <w:r>
              <w:t xml:space="preserve">VBECS requires the full 8-digit ISBT 128 product code. The user should enter the 8-digit ISBT 128 product code as it appears on the blood unit label of the actual blood unit being entered into VBECS. When a user does not enter the sixth through eighth characters, VBECS automatically completes the required information with defaults, V and 00, respectively. This may be changed by clearing the unit information and entering the complete 8-digit ISBT </w:t>
            </w:r>
            <w:r w:rsidR="002E5AC8">
              <w:t>128-unit</w:t>
            </w:r>
            <w:r>
              <w:t xml:space="preserve"> product code.</w:t>
            </w:r>
            <w:r>
              <w:rPr>
                <w:vanish/>
              </w:rPr>
              <w:t xml:space="preserve"> </w:t>
            </w:r>
            <w:r w:rsidRPr="00185119">
              <w:rPr>
                <w:vanish/>
              </w:rPr>
              <w:t>DR 4484</w:t>
            </w:r>
          </w:p>
          <w:p w14:paraId="3F5B5588" w14:textId="77777777" w:rsidR="002A21AE" w:rsidRDefault="002A21AE">
            <w:pPr>
              <w:pStyle w:val="NotesText"/>
            </w:pPr>
          </w:p>
          <w:p w14:paraId="2DED1E92" w14:textId="77777777" w:rsidR="002A21AE" w:rsidRDefault="002A21AE">
            <w:pPr>
              <w:pStyle w:val="NotesText"/>
            </w:pPr>
            <w:r>
              <w:rPr>
                <w:rFonts w:cs="Arial"/>
                <w:vanish/>
              </w:rPr>
              <w:t xml:space="preserve">BR_1.50 </w:t>
            </w:r>
            <w:r>
              <w:t>VBECS assigns a volume to the unit based on the average volum</w:t>
            </w:r>
            <w:r w:rsidR="00BC1CDD">
              <w:t>e field from the Blood Product T</w:t>
            </w:r>
            <w:r>
              <w:t>able entry corresponding to the unit’s blood product code</w:t>
            </w:r>
            <w:r w:rsidR="00A71C30">
              <w:t xml:space="preserve"> of the unit</w:t>
            </w:r>
            <w:r>
              <w:t>.</w:t>
            </w:r>
          </w:p>
          <w:p w14:paraId="7CBA8A8C" w14:textId="77777777" w:rsidR="002A21AE" w:rsidRDefault="002A21AE">
            <w:pPr>
              <w:pStyle w:val="NotesText"/>
            </w:pPr>
          </w:p>
          <w:p w14:paraId="1B620FF4" w14:textId="77777777" w:rsidR="002A21AE" w:rsidRDefault="002A21AE" w:rsidP="003947ED">
            <w:pPr>
              <w:pStyle w:val="NotesText"/>
              <w:rPr>
                <w:rFonts w:cs="Arial"/>
                <w:szCs w:val="18"/>
              </w:rPr>
            </w:pPr>
            <w:r>
              <w:rPr>
                <w:rFonts w:cs="Arial"/>
                <w:vanish/>
              </w:rPr>
              <w:t xml:space="preserve">BR_1.02 </w:t>
            </w:r>
            <w:r>
              <w:t>For each product type in a shipment, site parameters must indicate that the product is marked as active for the division and that a cost is associated with the shipper. If not, VBECS prompts the user to</w:t>
            </w:r>
            <w:r w:rsidR="003947ED">
              <w:t xml:space="preserve"> mark the component as active.</w:t>
            </w:r>
            <w:r w:rsidR="00AA6C54">
              <w:t xml:space="preserve"> </w:t>
            </w:r>
            <w:r w:rsidR="00D53BD0" w:rsidRPr="0030088C">
              <w:rPr>
                <w:rFonts w:cs="Arial"/>
                <w:szCs w:val="18"/>
              </w:rPr>
              <w:t>Blood product data entry cannot continue until the product is marked as active and a base unit cost is associated with the shipper.</w:t>
            </w:r>
          </w:p>
          <w:p w14:paraId="78D1796D" w14:textId="77777777" w:rsidR="008E48F6" w:rsidRDefault="008E48F6" w:rsidP="008E48F6">
            <w:pPr>
              <w:pStyle w:val="NotesText"/>
            </w:pPr>
          </w:p>
          <w:p w14:paraId="172C3F30" w14:textId="77777777" w:rsidR="008E48F6" w:rsidRDefault="008E48F6" w:rsidP="008E48F6">
            <w:pPr>
              <w:pStyle w:val="NotesText"/>
              <w:ind w:left="0"/>
            </w:pPr>
            <w:r>
              <w:t>For ISBT 128-labeled units:</w:t>
            </w:r>
          </w:p>
          <w:p w14:paraId="1780E031" w14:textId="77777777" w:rsidR="008E48F6" w:rsidRDefault="008E48F6" w:rsidP="008E48F6">
            <w:pPr>
              <w:pStyle w:val="NotesText"/>
            </w:pPr>
            <w:r>
              <w:rPr>
                <w:rFonts w:cs="Arial"/>
                <w:vanish/>
              </w:rPr>
              <w:t xml:space="preserve">BR_1.14 </w:t>
            </w:r>
            <w:r>
              <w:t>VBECS stores scanned ISBT 128 product codes and displays them as eight characters:</w:t>
            </w:r>
          </w:p>
          <w:p w14:paraId="462583C7" w14:textId="77777777" w:rsidR="008E48F6" w:rsidRDefault="008E48F6" w:rsidP="008E48F6">
            <w:pPr>
              <w:pStyle w:val="NotesTextBullet"/>
            </w:pPr>
            <w:r>
              <w:lastRenderedPageBreak/>
              <w:t>Characters 1–5 are used to search the ISBT Blood Product Table to identify the product type.</w:t>
            </w:r>
          </w:p>
          <w:p w14:paraId="283D4A2D" w14:textId="77777777" w:rsidR="008E48F6" w:rsidRDefault="008E48F6" w:rsidP="008E48F6">
            <w:pPr>
              <w:pStyle w:val="NotesTextBullet"/>
            </w:pPr>
            <w:r>
              <w:t>Character 6 indicates donation type.</w:t>
            </w:r>
          </w:p>
          <w:p w14:paraId="525374DE" w14:textId="77777777" w:rsidR="008E48F6" w:rsidRDefault="008E48F6" w:rsidP="008E48F6">
            <w:pPr>
              <w:pStyle w:val="NotesTextBullet"/>
            </w:pPr>
            <w:r>
              <w:t>Character 7 indicates a division at the time of collection.</w:t>
            </w:r>
          </w:p>
          <w:p w14:paraId="66B73E4A" w14:textId="77777777" w:rsidR="008E48F6" w:rsidRDefault="008E48F6" w:rsidP="008E48F6">
            <w:pPr>
              <w:pStyle w:val="NotesTextBullet"/>
            </w:pPr>
            <w:r>
              <w:t xml:space="preserve">Character 8 indicates an additional aliquot. </w:t>
            </w:r>
          </w:p>
          <w:p w14:paraId="1EDD8E54" w14:textId="77777777" w:rsidR="00FF1194" w:rsidRDefault="00FF1194" w:rsidP="00FF1194">
            <w:pPr>
              <w:pStyle w:val="NotesTextBullet"/>
              <w:numPr>
                <w:ilvl w:val="0"/>
                <w:numId w:val="0"/>
              </w:numPr>
              <w:ind w:left="1008" w:hanging="288"/>
            </w:pPr>
          </w:p>
          <w:p w14:paraId="34A9E024" w14:textId="77777777" w:rsidR="00FF1194" w:rsidRDefault="00FF1194" w:rsidP="0086447D">
            <w:pPr>
              <w:pStyle w:val="NotesText"/>
            </w:pPr>
            <w:r w:rsidRPr="0086447D">
              <w:rPr>
                <w:vanish/>
              </w:rPr>
              <w:t xml:space="preserve">BR_1.75 </w:t>
            </w:r>
            <w:r w:rsidRPr="00FF1194">
              <w:t>When the user does not enter a donation type and unit division codes when manually entering a unit, the donation type is defaulted to "V" and defaults to "00" for the division characters. These are not editable after the unit is saved to the invoice.</w:t>
            </w:r>
          </w:p>
          <w:p w14:paraId="7408A4AF" w14:textId="77777777" w:rsidR="0086447D" w:rsidRDefault="0086447D" w:rsidP="0086447D">
            <w:pPr>
              <w:pStyle w:val="NotesText"/>
            </w:pPr>
          </w:p>
          <w:p w14:paraId="0AA2C517" w14:textId="77777777" w:rsidR="0086447D" w:rsidRDefault="0086447D" w:rsidP="0086447D">
            <w:pPr>
              <w:pStyle w:val="NotesText"/>
            </w:pPr>
            <w:r w:rsidRPr="0086447D">
              <w:rPr>
                <w:vanish/>
              </w:rPr>
              <w:t xml:space="preserve">BR_1.70 </w:t>
            </w:r>
            <w:r w:rsidRPr="0086447D">
              <w:t>Allow the entry of individual products associated with the active product categories.</w:t>
            </w:r>
          </w:p>
          <w:p w14:paraId="216FAC0B" w14:textId="77777777" w:rsidR="00813AE2" w:rsidRDefault="00813AE2" w:rsidP="0086447D">
            <w:pPr>
              <w:pStyle w:val="NotesText"/>
            </w:pPr>
          </w:p>
          <w:p w14:paraId="5427EDAC" w14:textId="77777777" w:rsidR="00813AE2" w:rsidRDefault="00813AE2" w:rsidP="0086447D">
            <w:pPr>
              <w:pStyle w:val="NotesText"/>
            </w:pPr>
            <w:r>
              <w:t>When a blood product code in the RED BLOOD CELLS or WHOLE BLOOD component class is entered, VBECS enables data entry of sickle cell negative and antigen typing.</w:t>
            </w:r>
          </w:p>
          <w:p w14:paraId="1AD5CADC" w14:textId="77777777" w:rsidR="006223D2" w:rsidRDefault="006223D2" w:rsidP="0086447D">
            <w:pPr>
              <w:pStyle w:val="NotesText"/>
            </w:pPr>
          </w:p>
          <w:p w14:paraId="16D41891" w14:textId="77777777" w:rsidR="006223D2" w:rsidRDefault="006223D2" w:rsidP="0086447D">
            <w:pPr>
              <w:pStyle w:val="NotesText"/>
            </w:pPr>
            <w:r>
              <w:t>The cytomegalovirus (CMV) negative data entry option is always enabled.</w:t>
            </w:r>
          </w:p>
          <w:p w14:paraId="61BF2075" w14:textId="77777777" w:rsidR="00462CAD" w:rsidRDefault="00462CAD" w:rsidP="0086447D">
            <w:pPr>
              <w:pStyle w:val="NotesText"/>
            </w:pPr>
          </w:p>
          <w:p w14:paraId="7C4D01AA" w14:textId="77777777" w:rsidR="00462CAD" w:rsidRPr="00462CAD" w:rsidRDefault="00462CAD" w:rsidP="00462CAD">
            <w:pPr>
              <w:pStyle w:val="NotesText"/>
            </w:pPr>
            <w:r w:rsidRPr="00462CAD">
              <w:rPr>
                <w:vanish/>
              </w:rPr>
              <w:t xml:space="preserve">BR_1.73 </w:t>
            </w:r>
            <w:r w:rsidR="00645BE3">
              <w:t xml:space="preserve">The system </w:t>
            </w:r>
            <w:r w:rsidRPr="00462CAD">
              <w:t>present</w:t>
            </w:r>
            <w:r w:rsidR="00645BE3">
              <w:t>s</w:t>
            </w:r>
            <w:r w:rsidRPr="00462CAD">
              <w:t xml:space="preserve"> </w:t>
            </w:r>
            <w:r w:rsidR="00645BE3">
              <w:t xml:space="preserve">an indicator for RBC </w:t>
            </w:r>
            <w:r w:rsidRPr="00462CAD">
              <w:t>contamination of equal to or greater than (</w:t>
            </w:r>
            <w:r w:rsidR="00C233B7">
              <w:t xml:space="preserve">= </w:t>
            </w:r>
            <w:r w:rsidRPr="00462CAD">
              <w:t xml:space="preserve">&gt;) 2 mL. </w:t>
            </w:r>
            <w:r w:rsidR="00645BE3">
              <w:t>RBC, WB and plasma products are set and not editable. PLATELET and OTHER products require evaluation and entry by the user.</w:t>
            </w:r>
          </w:p>
          <w:p w14:paraId="3145DCCE" w14:textId="77777777" w:rsidR="00462CAD" w:rsidRPr="00462CAD" w:rsidRDefault="00462CAD" w:rsidP="00462CAD">
            <w:pPr>
              <w:pStyle w:val="NotesText"/>
            </w:pPr>
          </w:p>
          <w:p w14:paraId="6034A306" w14:textId="77777777" w:rsidR="00462CAD" w:rsidRDefault="00462CAD" w:rsidP="00462CAD">
            <w:pPr>
              <w:pStyle w:val="NotesText"/>
            </w:pPr>
            <w:r w:rsidRPr="00462CAD">
              <w:rPr>
                <w:vanish/>
              </w:rPr>
              <w:t xml:space="preserve">BR_1.73 </w:t>
            </w:r>
            <w:r w:rsidRPr="00462CAD">
              <w:t>The</w:t>
            </w:r>
            <w:r w:rsidR="00813AE2">
              <w:t xml:space="preserve"> RBC contamination</w:t>
            </w:r>
            <w:r w:rsidRPr="00462CAD">
              <w:t xml:space="preserve"> indicator setting as saved is recorded as part of the unit record. The indicator displays with the Incoming Shipment entry on the Unit History Report</w:t>
            </w:r>
            <w:r>
              <w:t>.</w:t>
            </w:r>
          </w:p>
          <w:p w14:paraId="5E5F155D" w14:textId="77777777" w:rsidR="008B5229" w:rsidRDefault="008B5229" w:rsidP="00462CAD">
            <w:pPr>
              <w:pStyle w:val="NotesText"/>
            </w:pPr>
          </w:p>
          <w:p w14:paraId="00C3781E" w14:textId="77777777" w:rsidR="008B5229" w:rsidRDefault="008B5229" w:rsidP="00462CAD">
            <w:pPr>
              <w:pStyle w:val="NotesText"/>
              <w:rPr>
                <w:rFonts w:cs="Arial"/>
                <w:szCs w:val="18"/>
              </w:rPr>
            </w:pPr>
            <w:r w:rsidRPr="008B5229">
              <w:rPr>
                <w:rStyle w:val="StyleTableText9ptCharChar"/>
                <w:rFonts w:cs="Arial"/>
                <w:vanish/>
                <w:szCs w:val="18"/>
              </w:rPr>
              <w:t xml:space="preserve">BR_1.30 </w:t>
            </w:r>
            <w:r w:rsidRPr="0030088C">
              <w:rPr>
                <w:rStyle w:val="StyleTableText9ptCharChar"/>
                <w:rFonts w:cs="Arial"/>
                <w:szCs w:val="18"/>
              </w:rPr>
              <w:t>When the site parameter indicates that the site is</w:t>
            </w:r>
            <w:r w:rsidRPr="0030088C">
              <w:rPr>
                <w:rFonts w:cs="Arial"/>
                <w:szCs w:val="18"/>
              </w:rPr>
              <w:t xml:space="preserve"> a ‘Transfusion Only’ facility when units are added to the database, they are given a status of Available regardless of the required need for ABO/Rh confirmation testing as it is not required in this configuration.</w:t>
            </w:r>
          </w:p>
          <w:p w14:paraId="65E3B684" w14:textId="77777777" w:rsidR="008B5229" w:rsidRDefault="008B5229" w:rsidP="00462CAD">
            <w:pPr>
              <w:pStyle w:val="NotesText"/>
            </w:pPr>
          </w:p>
          <w:p w14:paraId="6BDDD8D1" w14:textId="77777777" w:rsidR="008B5229" w:rsidRPr="008B5229" w:rsidRDefault="008B5229" w:rsidP="008B5229">
            <w:pPr>
              <w:pStyle w:val="NotesText"/>
              <w:rPr>
                <w:rStyle w:val="StyleTableText9ptCharChar"/>
                <w:szCs w:val="18"/>
              </w:rPr>
            </w:pPr>
            <w:r w:rsidRPr="008B5229">
              <w:rPr>
                <w:rStyle w:val="StyleTableText9ptCharChar"/>
                <w:vanish/>
                <w:szCs w:val="18"/>
              </w:rPr>
              <w:t xml:space="preserve">BR_1.35 </w:t>
            </w:r>
            <w:r w:rsidRPr="008B5229">
              <w:rPr>
                <w:rStyle w:val="StyleTableText9ptCharChar"/>
                <w:szCs w:val="18"/>
              </w:rPr>
              <w:t>When processing units labeled using ISBT 128, all eight (8) characters are required when either:</w:t>
            </w:r>
          </w:p>
          <w:p w14:paraId="38D3C0B0" w14:textId="77777777" w:rsidR="008B5229" w:rsidRPr="0030088C" w:rsidRDefault="008B5229" w:rsidP="00BA3292">
            <w:pPr>
              <w:pStyle w:val="StyleTableText9ptChar"/>
              <w:numPr>
                <w:ilvl w:val="0"/>
                <w:numId w:val="67"/>
              </w:numPr>
              <w:rPr>
                <w:rFonts w:cs="Arial"/>
              </w:rPr>
            </w:pPr>
            <w:r w:rsidRPr="0030088C">
              <w:rPr>
                <w:rFonts w:cs="Arial"/>
              </w:rPr>
              <w:t>The site parameter indicates the site is a ‘transfusion only’ facility</w:t>
            </w:r>
          </w:p>
          <w:p w14:paraId="2E93F608" w14:textId="77777777" w:rsidR="008B5229" w:rsidRDefault="008B5229" w:rsidP="00BA3292">
            <w:pPr>
              <w:pStyle w:val="StyleTableText9ptChar"/>
              <w:numPr>
                <w:ilvl w:val="0"/>
                <w:numId w:val="67"/>
              </w:numPr>
              <w:rPr>
                <w:rFonts w:cs="Arial"/>
              </w:rPr>
            </w:pPr>
            <w:r w:rsidRPr="0030088C">
              <w:rPr>
                <w:rFonts w:cs="Arial"/>
              </w:rPr>
              <w:t>The donation type re</w:t>
            </w:r>
            <w:r>
              <w:rPr>
                <w:rFonts w:cs="Arial"/>
              </w:rPr>
              <w:t>quires restriction</w:t>
            </w:r>
            <w:r w:rsidRPr="0030088C">
              <w:rPr>
                <w:rFonts w:cs="Arial"/>
              </w:rPr>
              <w:t>. The blood unit processed must be restricted with a specific patient.</w:t>
            </w:r>
          </w:p>
          <w:p w14:paraId="7D525F6D" w14:textId="77777777" w:rsidR="008B5229" w:rsidRDefault="008B5229" w:rsidP="008B5229">
            <w:pPr>
              <w:pStyle w:val="NotesText"/>
              <w:rPr>
                <w:rFonts w:cs="Arial"/>
              </w:rPr>
            </w:pPr>
          </w:p>
          <w:p w14:paraId="5C23E696" w14:textId="77777777" w:rsidR="008B5229" w:rsidRDefault="00545FFE" w:rsidP="008B5229">
            <w:pPr>
              <w:pStyle w:val="NotesText"/>
              <w:rPr>
                <w:rFonts w:cs="Arial"/>
                <w:szCs w:val="18"/>
              </w:rPr>
            </w:pPr>
            <w:r w:rsidRPr="00545FFE">
              <w:rPr>
                <w:rFonts w:cs="Arial"/>
                <w:vanish/>
                <w:szCs w:val="18"/>
              </w:rPr>
              <w:t xml:space="preserve">BR_1.21 </w:t>
            </w:r>
            <w:r w:rsidRPr="0030088C">
              <w:rPr>
                <w:rFonts w:cs="Arial"/>
                <w:szCs w:val="18"/>
              </w:rPr>
              <w:t>An ISBT 128 ABO/Rh barcode is identified by the presence of “=%” as the hidden identifier. Once the hidden identifier is removed, the ABO/Rh is a four-character code.</w:t>
            </w:r>
          </w:p>
          <w:p w14:paraId="6851EA6C" w14:textId="77777777" w:rsidR="00545FFE" w:rsidRDefault="00545FFE" w:rsidP="008B5229">
            <w:pPr>
              <w:pStyle w:val="NotesText"/>
              <w:rPr>
                <w:rFonts w:cs="Arial"/>
                <w:szCs w:val="18"/>
              </w:rPr>
            </w:pPr>
          </w:p>
          <w:p w14:paraId="299B1A96" w14:textId="77777777" w:rsidR="00545FFE" w:rsidRDefault="00545FFE" w:rsidP="008B5229">
            <w:pPr>
              <w:pStyle w:val="NotesText"/>
            </w:pPr>
          </w:p>
        </w:tc>
      </w:tr>
      <w:tr w:rsidR="002A21AE" w14:paraId="1FA2ACD1" w14:textId="77777777" w:rsidTr="007E500E">
        <w:trPr>
          <w:cantSplit/>
        </w:trPr>
        <w:tc>
          <w:tcPr>
            <w:tcW w:w="3240" w:type="dxa"/>
          </w:tcPr>
          <w:p w14:paraId="44D9E529" w14:textId="77777777" w:rsidR="002A21AE" w:rsidRDefault="00073282">
            <w:pPr>
              <w:pStyle w:val="TableTextNumbers"/>
            </w:pPr>
            <w:r>
              <w:lastRenderedPageBreak/>
              <w:t xml:space="preserve">For </w:t>
            </w:r>
            <w:r w:rsidR="002A21AE">
              <w:t xml:space="preserve">ISBT 128-labeled units, scan the ABO/Rh number barcode, enter the ABO/Rh, or select the ABO/Rh from the drop-down list. </w:t>
            </w:r>
          </w:p>
        </w:tc>
        <w:tc>
          <w:tcPr>
            <w:tcW w:w="6120" w:type="dxa"/>
          </w:tcPr>
          <w:p w14:paraId="763924F1" w14:textId="77777777" w:rsidR="002A21AE" w:rsidRDefault="002A21AE">
            <w:pPr>
              <w:pStyle w:val="TableTextBullet"/>
            </w:pPr>
            <w:r>
              <w:t>Displays the corresponding ABO/Rh.</w:t>
            </w:r>
          </w:p>
          <w:p w14:paraId="094B2398" w14:textId="77777777" w:rsidR="002A21AE" w:rsidRDefault="002A21AE">
            <w:pPr>
              <w:pStyle w:val="TableTextBullet"/>
              <w:rPr>
                <w:color w:val="000000"/>
              </w:rPr>
            </w:pPr>
            <w:r>
              <w:t>Allows the selection of only ABO/Rh types acceptable for ICCBBA component classes.</w:t>
            </w:r>
          </w:p>
          <w:p w14:paraId="22A14361" w14:textId="77777777" w:rsidR="002A21AE" w:rsidRDefault="002A21AE">
            <w:pPr>
              <w:pStyle w:val="TableTextBullet"/>
            </w:pPr>
            <w:r>
              <w:rPr>
                <w:rFonts w:cs="Arial"/>
                <w:vanish/>
              </w:rPr>
              <w:t xml:space="preserve">BR_1.66 </w:t>
            </w:r>
            <w:r>
              <w:t xml:space="preserve">Enables the ABO/Rh field when a valid product code is entered. </w:t>
            </w:r>
          </w:p>
        </w:tc>
      </w:tr>
      <w:tr w:rsidR="002A21AE" w14:paraId="1906F6F9" w14:textId="77777777">
        <w:tc>
          <w:tcPr>
            <w:tcW w:w="3240" w:type="dxa"/>
          </w:tcPr>
          <w:p w14:paraId="3ECC99D4" w14:textId="77777777" w:rsidR="002A21AE" w:rsidRDefault="002A21AE">
            <w:pPr>
              <w:pStyle w:val="TableTextNumbers"/>
            </w:pPr>
            <w:r>
              <w:t xml:space="preserve">Scan the expiration date barcode or enter the expiration date and </w:t>
            </w:r>
            <w:r>
              <w:lastRenderedPageBreak/>
              <w:t>time when an expiration time is required.</w:t>
            </w:r>
          </w:p>
        </w:tc>
        <w:tc>
          <w:tcPr>
            <w:tcW w:w="6120" w:type="dxa"/>
          </w:tcPr>
          <w:p w14:paraId="4A3633EE" w14:textId="77777777" w:rsidR="002A21AE" w:rsidRDefault="002A21AE">
            <w:pPr>
              <w:pStyle w:val="TableTextBullet"/>
            </w:pPr>
            <w:r>
              <w:lastRenderedPageBreak/>
              <w:t>Displays the corresponding expiration date and time.</w:t>
            </w:r>
          </w:p>
          <w:p w14:paraId="1C730A1B" w14:textId="77777777" w:rsidR="002A21AE" w:rsidRDefault="002A21AE">
            <w:pPr>
              <w:pStyle w:val="TableText"/>
              <w:ind w:left="720"/>
            </w:pPr>
          </w:p>
          <w:p w14:paraId="04575CB8" w14:textId="79FECB5D" w:rsidR="002A21AE" w:rsidRDefault="002A21AE">
            <w:pPr>
              <w:pStyle w:val="TableText"/>
              <w:rPr>
                <w:b/>
                <w:bCs/>
                <w:szCs w:val="18"/>
              </w:rPr>
            </w:pPr>
            <w:r>
              <w:rPr>
                <w:b/>
                <w:bCs/>
                <w:szCs w:val="18"/>
              </w:rPr>
              <w:t>NOTES</w:t>
            </w:r>
          </w:p>
          <w:p w14:paraId="268CA715" w14:textId="77777777" w:rsidR="002A21AE" w:rsidRDefault="002A21AE">
            <w:pPr>
              <w:pStyle w:val="NotesText"/>
            </w:pPr>
          </w:p>
          <w:p w14:paraId="7CF298DB" w14:textId="77777777" w:rsidR="00FF1194" w:rsidRPr="00FF1194" w:rsidRDefault="002A21AE" w:rsidP="00FF1194">
            <w:pPr>
              <w:pStyle w:val="NotesText"/>
            </w:pPr>
            <w:r w:rsidRPr="00FF1194">
              <w:rPr>
                <w:vanish/>
              </w:rPr>
              <w:t xml:space="preserve">BR_1.23 </w:t>
            </w:r>
            <w:r w:rsidR="00FF1194" w:rsidRPr="00FF1194">
              <w:t>A scanned ISBT 128 expiration date barcode is identified by the presence of ‘"=</w:t>
            </w:r>
            <w:r w:rsidR="00452A6C">
              <w:t xml:space="preserve"> </w:t>
            </w:r>
            <w:r w:rsidR="00FF1194" w:rsidRPr="00FF1194">
              <w:t>&gt;’ or ‘&amp;&gt;’ as the hidden identifier. Once the hidden identifier is removed, there are two possible formats of the barcode, one involving the date only and another involving date and time. If no time in the barcode, the default expiration time is 23:59.</w:t>
            </w:r>
          </w:p>
          <w:p w14:paraId="01DF0DA9" w14:textId="77777777" w:rsidR="002A21AE" w:rsidRDefault="002A21AE" w:rsidP="00FF1194">
            <w:pPr>
              <w:pStyle w:val="NotesText"/>
            </w:pPr>
            <w:r>
              <w:t>.</w:t>
            </w:r>
          </w:p>
          <w:p w14:paraId="651BC8DC" w14:textId="77777777" w:rsidR="002A21AE" w:rsidRDefault="002A21AE">
            <w:pPr>
              <w:pStyle w:val="NotesText"/>
            </w:pPr>
            <w:r>
              <w:rPr>
                <w:rFonts w:cs="Arial"/>
                <w:vanish/>
              </w:rPr>
              <w:t xml:space="preserve">BR_1.31 </w:t>
            </w:r>
            <w:r>
              <w:t xml:space="preserve">VBECS compares the entered blood product’s expiration date to the maximum storage date and time limit for the </w:t>
            </w:r>
            <w:r w:rsidR="00B10B13">
              <w:t>blood product</w:t>
            </w:r>
            <w:r>
              <w:t xml:space="preserve">. The date and time of shipment receipt are used as the collection date and time. When the expiration date entered exceeds the defined maximum storage time, VBECS displays an error message and clears the field. The user may reenter an expiration date and time for the product. </w:t>
            </w:r>
          </w:p>
          <w:p w14:paraId="75F5902A" w14:textId="77777777" w:rsidR="002A21AE" w:rsidRDefault="002A21AE">
            <w:pPr>
              <w:pStyle w:val="NotesText"/>
            </w:pPr>
            <w:r>
              <w:t> </w:t>
            </w:r>
          </w:p>
          <w:p w14:paraId="68A88FD8" w14:textId="3D7C1BB2" w:rsidR="002A21AE" w:rsidRDefault="002A21AE">
            <w:pPr>
              <w:pStyle w:val="NotesText"/>
            </w:pPr>
            <w:r>
              <w:t xml:space="preserve">Products </w:t>
            </w:r>
            <w:r w:rsidR="00352C41">
              <w:t>with</w:t>
            </w:r>
            <w:r>
              <w:t xml:space="preserve"> a maximum expiration date and time of </w:t>
            </w:r>
            <w:r>
              <w:rPr>
                <w:u w:val="single"/>
              </w:rPr>
              <w:t>&lt;</w:t>
            </w:r>
            <w:r>
              <w:t xml:space="preserve">24 hours default to an expiration time </w:t>
            </w:r>
            <w:r w:rsidR="00352C41">
              <w:rPr>
                <w:u w:val="single"/>
              </w:rPr>
              <w:t>&lt;</w:t>
            </w:r>
            <w:r>
              <w:t xml:space="preserve">24 hours from the time of the </w:t>
            </w:r>
            <w:r w:rsidR="00B10B13">
              <w:t xml:space="preserve">incoming shipment. Blood products </w:t>
            </w:r>
            <w:r>
              <w:t xml:space="preserve">with a maximum expiration date and time of </w:t>
            </w:r>
            <w:r>
              <w:rPr>
                <w:u w:val="single"/>
              </w:rPr>
              <w:t>&gt;</w:t>
            </w:r>
            <w:r>
              <w:t xml:space="preserve"> 24 hours have a default expiration time of 23:59.</w:t>
            </w:r>
          </w:p>
          <w:p w14:paraId="5D3F3F3F" w14:textId="77777777" w:rsidR="00B51FD4" w:rsidRDefault="00B51FD4">
            <w:pPr>
              <w:pStyle w:val="NotesText"/>
            </w:pPr>
          </w:p>
          <w:p w14:paraId="404937CD" w14:textId="346C3AC4" w:rsidR="00B51FD4" w:rsidRDefault="004A34A4">
            <w:pPr>
              <w:pStyle w:val="NotesText"/>
            </w:pPr>
            <w:r>
              <w:t>Expiration date entries can be c</w:t>
            </w:r>
            <w:r w:rsidR="00B51FD4" w:rsidRPr="00B51FD4">
              <w:t>orrect</w:t>
            </w:r>
            <w:r>
              <w:t>ed before saving, as th</w:t>
            </w:r>
            <w:r w:rsidR="00B51FD4" w:rsidRPr="00B51FD4">
              <w:t>e</w:t>
            </w:r>
            <w:r>
              <w:t xml:space="preserve"> date</w:t>
            </w:r>
            <w:r w:rsidR="00B51FD4" w:rsidRPr="00B51FD4">
              <w:t xml:space="preserve"> is prese</w:t>
            </w:r>
            <w:r>
              <w:t xml:space="preserve">nted for review before final acceptance. </w:t>
            </w:r>
            <w:r w:rsidR="00E66ACD">
              <w:t>To correct a saved,</w:t>
            </w:r>
            <w:r>
              <w:t xml:space="preserve"> invalid Expiration Date, i</w:t>
            </w:r>
            <w:r w:rsidRPr="004A34A4">
              <w:t>nactivate and reente</w:t>
            </w:r>
            <w:r>
              <w:t>r the unit.</w:t>
            </w:r>
            <w:r w:rsidR="0002020B">
              <w:t xml:space="preserve"> </w:t>
            </w:r>
            <w:r w:rsidR="0002020B" w:rsidRPr="0002020B">
              <w:rPr>
                <w:vanish/>
              </w:rPr>
              <w:t>Defect 208537</w:t>
            </w:r>
          </w:p>
          <w:p w14:paraId="76C7DB3D" w14:textId="24D0FE24" w:rsidR="00B51FD4" w:rsidRDefault="00B51FD4">
            <w:pPr>
              <w:pStyle w:val="NotesText"/>
            </w:pPr>
            <w:r>
              <w:t xml:space="preserve"> </w:t>
            </w:r>
          </w:p>
          <w:p w14:paraId="25A34396" w14:textId="77777777" w:rsidR="002A21AE" w:rsidRDefault="002A21AE">
            <w:pPr>
              <w:pStyle w:val="NotesText"/>
            </w:pPr>
          </w:p>
          <w:p w14:paraId="03649D79" w14:textId="77777777" w:rsidR="002A21AE" w:rsidRDefault="002A21AE">
            <w:pPr>
              <w:pStyle w:val="NotesText"/>
            </w:pPr>
            <w:r>
              <w:rPr>
                <w:rFonts w:cs="Arial"/>
                <w:vanish/>
              </w:rPr>
              <w:t xml:space="preserve">BR_1.61 </w:t>
            </w:r>
            <w:r w:rsidR="009965B7" w:rsidRPr="00896F17">
              <w:rPr>
                <w:rStyle w:val="BullhornChar"/>
              </w:rPr>
              <w:t></w:t>
            </w:r>
            <w:r w:rsidR="009965B7" w:rsidRPr="00D62E87">
              <w:rPr>
                <w:rFonts w:ascii="Webdings" w:hAnsi="Webdings"/>
              </w:rPr>
              <w:t></w:t>
            </w:r>
            <w:r>
              <w:t xml:space="preserve">When a unit expiration date precedes the incoming shipment date and time, VBECS emits an audible alert, </w:t>
            </w:r>
            <w:r>
              <w:rPr>
                <w:noProof/>
              </w:rPr>
              <w:t>warns that the user</w:t>
            </w:r>
            <w:r>
              <w:t xml:space="preserve"> is attempting to enter an expired unit, and asks whether the user wishes to continue. </w:t>
            </w:r>
          </w:p>
          <w:p w14:paraId="45F9E57A" w14:textId="77777777" w:rsidR="002A21AE" w:rsidRDefault="002A21AE">
            <w:pPr>
              <w:pStyle w:val="NotesText"/>
              <w:rPr>
                <w:b/>
              </w:rPr>
            </w:pPr>
          </w:p>
          <w:p w14:paraId="1EE54DD7" w14:textId="77777777" w:rsidR="002A21AE" w:rsidRDefault="002A21AE">
            <w:pPr>
              <w:pStyle w:val="NotesText"/>
            </w:pPr>
            <w:r>
              <w:rPr>
                <w:b/>
              </w:rPr>
              <w:t>No</w:t>
            </w:r>
            <w:r>
              <w:t xml:space="preserve"> clears the unit expiration date field. The user must enter a new, acceptable expiration date. </w:t>
            </w:r>
            <w:r>
              <w:rPr>
                <w:b/>
              </w:rPr>
              <w:t>Yes</w:t>
            </w:r>
            <w:r>
              <w:t xml:space="preserve"> requires the user to enter a comment.</w:t>
            </w:r>
          </w:p>
          <w:p w14:paraId="5DE806BF" w14:textId="77777777" w:rsidR="002A21AE" w:rsidRDefault="002A21AE">
            <w:pPr>
              <w:pStyle w:val="NotesText"/>
              <w:rPr>
                <w:rFonts w:cs="Arial"/>
              </w:rPr>
            </w:pPr>
          </w:p>
          <w:p w14:paraId="2957BED4" w14:textId="77777777" w:rsidR="002A21AE" w:rsidRDefault="002A21AE">
            <w:pPr>
              <w:pStyle w:val="NotesText"/>
              <w:rPr>
                <w:rFonts w:cs="Arial"/>
              </w:rPr>
            </w:pPr>
            <w:r>
              <w:rPr>
                <w:rFonts w:cs="Arial"/>
              </w:rPr>
              <w:t>VBECS captures details of this override in an Exception Report.</w:t>
            </w:r>
          </w:p>
          <w:p w14:paraId="2640A502" w14:textId="77777777" w:rsidR="00D30BE6" w:rsidRDefault="00D30BE6" w:rsidP="004C6F72">
            <w:pPr>
              <w:pStyle w:val="TableText"/>
              <w:rPr>
                <w:rFonts w:cs="Arial"/>
              </w:rPr>
            </w:pPr>
          </w:p>
        </w:tc>
      </w:tr>
      <w:tr w:rsidR="002A21AE" w14:paraId="7037DE73" w14:textId="77777777" w:rsidTr="007E500E">
        <w:trPr>
          <w:cantSplit/>
        </w:trPr>
        <w:tc>
          <w:tcPr>
            <w:tcW w:w="3240" w:type="dxa"/>
          </w:tcPr>
          <w:p w14:paraId="3B3D7F9B" w14:textId="77777777" w:rsidR="002A21AE" w:rsidRDefault="00073282" w:rsidP="00073282">
            <w:pPr>
              <w:pStyle w:val="TableTextNumbers"/>
            </w:pPr>
            <w:r>
              <w:lastRenderedPageBreak/>
              <w:t xml:space="preserve"> </w:t>
            </w:r>
            <w:r w:rsidR="002A21AE">
              <w:t>For ISBT 128-labeled units, accept the donation type based on character 6 of the product code (cannot be edited) or, when character 6 is “0,” indicate a donation type.</w:t>
            </w:r>
          </w:p>
        </w:tc>
        <w:tc>
          <w:tcPr>
            <w:tcW w:w="6120" w:type="dxa"/>
          </w:tcPr>
          <w:p w14:paraId="41552C49" w14:textId="77777777" w:rsidR="002A21AE" w:rsidRDefault="002A21AE">
            <w:pPr>
              <w:pStyle w:val="TableTextBullet"/>
            </w:pPr>
            <w:r>
              <w:t xml:space="preserve">Assigns the donation type to the unit or requires user input, as needed. </w:t>
            </w:r>
          </w:p>
          <w:p w14:paraId="7B90B13A" w14:textId="77777777" w:rsidR="002A21AE" w:rsidRDefault="002A21AE">
            <w:pPr>
              <w:pStyle w:val="TableTextBullet"/>
            </w:pPr>
            <w:r>
              <w:t>Requires data entry of the “reserved for” patient name and/or patient ID and the disease market testing status for “autologous” and “directed” donation types.</w:t>
            </w:r>
          </w:p>
          <w:p w14:paraId="78EBED8F" w14:textId="77777777" w:rsidR="002A21AE" w:rsidRDefault="002A21AE">
            <w:pPr>
              <w:pStyle w:val="TableText"/>
              <w:ind w:left="720"/>
            </w:pPr>
          </w:p>
          <w:p w14:paraId="0E0591F2" w14:textId="3ECCB249" w:rsidR="002A21AE" w:rsidRDefault="002A21AE">
            <w:pPr>
              <w:pStyle w:val="TableText"/>
              <w:rPr>
                <w:b/>
                <w:bCs/>
                <w:szCs w:val="18"/>
              </w:rPr>
            </w:pPr>
            <w:r>
              <w:rPr>
                <w:b/>
                <w:bCs/>
                <w:szCs w:val="18"/>
              </w:rPr>
              <w:t>NOTES</w:t>
            </w:r>
          </w:p>
          <w:p w14:paraId="06BCA24C" w14:textId="77777777" w:rsidR="002A21AE" w:rsidRDefault="002A21AE">
            <w:pPr>
              <w:pStyle w:val="NotesText"/>
            </w:pPr>
          </w:p>
          <w:p w14:paraId="0DAAE5A0" w14:textId="77777777" w:rsidR="002A21AE" w:rsidRDefault="002A21AE">
            <w:pPr>
              <w:pStyle w:val="NotesText"/>
            </w:pPr>
            <w:r>
              <w:rPr>
                <w:rFonts w:cs="Arial"/>
                <w:vanish/>
              </w:rPr>
              <w:t xml:space="preserve">BR_1.26 </w:t>
            </w:r>
            <w:r>
              <w:t>When a site is a transfusion-only facility, each unit processed must be restricted to a specific patient regardless of donation type.</w:t>
            </w:r>
          </w:p>
        </w:tc>
      </w:tr>
      <w:tr w:rsidR="002A21AE" w14:paraId="6B529E43" w14:textId="77777777">
        <w:tc>
          <w:tcPr>
            <w:tcW w:w="3240" w:type="dxa"/>
          </w:tcPr>
          <w:p w14:paraId="2A5DCBE1" w14:textId="77777777" w:rsidR="002A21AE" w:rsidRDefault="0017553F">
            <w:pPr>
              <w:pStyle w:val="TableTextNumbers"/>
            </w:pPr>
            <w:r>
              <w:t xml:space="preserve">Click the </w:t>
            </w:r>
            <w:r w:rsidR="00A6373D">
              <w:rPr>
                <w:b/>
              </w:rPr>
              <w:t>find</w:t>
            </w:r>
            <w:r w:rsidRPr="00BF2E41">
              <w:t xml:space="preserve"> button</w:t>
            </w:r>
            <w:r>
              <w:t xml:space="preserve"> next to the Restricted For Patient field to </w:t>
            </w:r>
            <w:r w:rsidR="00034390">
              <w:t>i</w:t>
            </w:r>
            <w:r w:rsidR="002A21AE">
              <w:t>ndicate the patient for whom the unit is reserved, as needed.</w:t>
            </w:r>
          </w:p>
        </w:tc>
        <w:tc>
          <w:tcPr>
            <w:tcW w:w="6120" w:type="dxa"/>
          </w:tcPr>
          <w:p w14:paraId="6B633201" w14:textId="77777777" w:rsidR="002A21AE" w:rsidRDefault="002A21AE">
            <w:pPr>
              <w:pStyle w:val="TableTextBullet"/>
            </w:pPr>
            <w:r>
              <w:t xml:space="preserve">Allows the user to search for active </w:t>
            </w:r>
            <w:r w:rsidR="00CA0045" w:rsidRPr="00CA0045">
              <w:rPr>
                <w:bCs/>
              </w:rPr>
              <w:t>VistA</w:t>
            </w:r>
            <w:r>
              <w:rPr>
                <w:bCs/>
              </w:rPr>
              <w:t xml:space="preserve"> patients to associate with the unit.</w:t>
            </w:r>
          </w:p>
          <w:p w14:paraId="57824434" w14:textId="77777777" w:rsidR="002A21AE" w:rsidRDefault="002A21AE">
            <w:pPr>
              <w:pStyle w:val="TableTextBullet"/>
            </w:pPr>
            <w:r>
              <w:t>Requires data entry of a patient name and/or patient ID to associate the unit with that patient when a unit has a “directed” or “autologous” donation type or the receiving facility is a “transfusion-only” facility.</w:t>
            </w:r>
          </w:p>
          <w:p w14:paraId="3B7F51D6" w14:textId="77777777" w:rsidR="002A21AE" w:rsidRDefault="002A21AE">
            <w:pPr>
              <w:pStyle w:val="TableTextBullet"/>
            </w:pPr>
            <w:r>
              <w:t xml:space="preserve">When no match exists, </w:t>
            </w:r>
            <w:r>
              <w:rPr>
                <w:noProof/>
              </w:rPr>
              <w:t>warns the user.</w:t>
            </w:r>
          </w:p>
          <w:p w14:paraId="1E735B81" w14:textId="77777777" w:rsidR="002A21AE" w:rsidRDefault="002A21AE">
            <w:pPr>
              <w:pStyle w:val="TableTextBullet"/>
            </w:pPr>
            <w:r>
              <w:lastRenderedPageBreak/>
              <w:t>When the unit is autologous, requires a user to indicate the disease marker testing status:</w:t>
            </w:r>
          </w:p>
          <w:p w14:paraId="4A8A38C2" w14:textId="77777777" w:rsidR="002A21AE" w:rsidRDefault="002A21AE">
            <w:pPr>
              <w:pStyle w:val="TableTextBullet1"/>
            </w:pPr>
            <w:r>
              <w:t>NEG: unit fully tested and negative for all disease markers</w:t>
            </w:r>
          </w:p>
          <w:p w14:paraId="33B03C99" w14:textId="77777777" w:rsidR="002A21AE" w:rsidRDefault="002A21AE">
            <w:pPr>
              <w:pStyle w:val="TableTextBullet1"/>
            </w:pPr>
            <w:r>
              <w:t>POS: unit tested and positive for one or more disease markers (biohazard)</w:t>
            </w:r>
          </w:p>
          <w:p w14:paraId="0B11966C" w14:textId="77777777" w:rsidR="002A21AE" w:rsidRDefault="002A21AE">
            <w:pPr>
              <w:pStyle w:val="TableTextBullet1"/>
            </w:pPr>
            <w:r>
              <w:t>NFT: unit not fully tested for one or more disease markers (biohazard)</w:t>
            </w:r>
          </w:p>
          <w:p w14:paraId="3CC462BC" w14:textId="77777777" w:rsidR="002A21AE" w:rsidRDefault="002A21AE">
            <w:pPr>
              <w:pStyle w:val="TableText"/>
            </w:pPr>
          </w:p>
          <w:p w14:paraId="550C944C" w14:textId="4DE06BF7" w:rsidR="002A21AE" w:rsidRDefault="002A21AE">
            <w:pPr>
              <w:pStyle w:val="TableText"/>
              <w:rPr>
                <w:b/>
                <w:bCs/>
                <w:szCs w:val="18"/>
              </w:rPr>
            </w:pPr>
            <w:r>
              <w:rPr>
                <w:b/>
                <w:bCs/>
                <w:szCs w:val="18"/>
              </w:rPr>
              <w:t>NOTES</w:t>
            </w:r>
          </w:p>
          <w:p w14:paraId="5EA204D2" w14:textId="77777777" w:rsidR="002A21AE" w:rsidRDefault="002A21AE">
            <w:pPr>
              <w:pStyle w:val="NotesText"/>
            </w:pPr>
          </w:p>
          <w:p w14:paraId="089FC4A2" w14:textId="77777777" w:rsidR="001C50C2" w:rsidRDefault="001C50C2">
            <w:pPr>
              <w:pStyle w:val="NotesText"/>
              <w:rPr>
                <w:rFonts w:cs="Arial"/>
              </w:rPr>
            </w:pPr>
            <w:r w:rsidRPr="001C50C2">
              <w:rPr>
                <w:rFonts w:cs="Arial"/>
              </w:rPr>
              <w:t xml:space="preserve">Displays a message when the user selects a patient with a blank first or last name, or the name is too long. The user is instructed to contact the VBECS Administrator for assistance. </w:t>
            </w:r>
            <w:r w:rsidRPr="001C50C2">
              <w:rPr>
                <w:rFonts w:cs="Arial"/>
                <w:vanish/>
              </w:rPr>
              <w:t>DR 3444</w:t>
            </w:r>
          </w:p>
          <w:p w14:paraId="7447343E" w14:textId="77777777" w:rsidR="001C50C2" w:rsidRDefault="001C50C2">
            <w:pPr>
              <w:pStyle w:val="NotesText"/>
              <w:rPr>
                <w:rFonts w:cs="Arial"/>
              </w:rPr>
            </w:pPr>
          </w:p>
          <w:p w14:paraId="6AAC33F8" w14:textId="77777777" w:rsidR="002A21AE" w:rsidRDefault="00D407D0">
            <w:pPr>
              <w:pStyle w:val="NotesText"/>
            </w:pPr>
            <w:r>
              <w:rPr>
                <w:rFonts w:cs="Arial"/>
                <w:vanish/>
              </w:rPr>
              <w:t>DR 1,041</w:t>
            </w:r>
            <w:r w:rsidRPr="00D407D0">
              <w:rPr>
                <w:rFonts w:cs="Arial"/>
                <w:szCs w:val="18"/>
              </w:rPr>
              <w:t xml:space="preserve">The Patient Blood Availability Report does not include restricted units not assigned </w:t>
            </w:r>
            <w:r>
              <w:rPr>
                <w:rFonts w:cs="Arial"/>
                <w:szCs w:val="18"/>
              </w:rPr>
              <w:t xml:space="preserve">to a patient. To track such units, the user may enter restricted units’ IDs in the Special Instruction field in Special Instructions &amp; Transfusion Requirements: Enter and Remove Special </w:t>
            </w:r>
            <w:r w:rsidR="00541DC0">
              <w:rPr>
                <w:rFonts w:cs="Arial"/>
                <w:szCs w:val="18"/>
              </w:rPr>
              <w:t>Instructions. When</w:t>
            </w:r>
            <w:r w:rsidR="002A21AE">
              <w:t xml:space="preserve"> a user restricts a unit to a patient and VBECS does not find that patient in its database, VBECS searches </w:t>
            </w:r>
            <w:r w:rsidR="00CA0045" w:rsidRPr="00CA0045">
              <w:rPr>
                <w:bCs/>
              </w:rPr>
              <w:t>VistA</w:t>
            </w:r>
            <w:r w:rsidR="002A21AE">
              <w:t>. When it finds a valid patient, VBECS adds the patient to the database.</w:t>
            </w:r>
          </w:p>
        </w:tc>
      </w:tr>
      <w:tr w:rsidR="002A21AE" w14:paraId="15299BBF" w14:textId="77777777" w:rsidTr="001A459B">
        <w:trPr>
          <w:cantSplit/>
        </w:trPr>
        <w:tc>
          <w:tcPr>
            <w:tcW w:w="3240" w:type="dxa"/>
          </w:tcPr>
          <w:p w14:paraId="5B8E6321" w14:textId="77777777" w:rsidR="002A21AE" w:rsidRDefault="002A21AE">
            <w:pPr>
              <w:pStyle w:val="TableTextNumbers"/>
            </w:pPr>
            <w:r>
              <w:lastRenderedPageBreak/>
              <w:t>Do one or more:</w:t>
            </w:r>
          </w:p>
          <w:p w14:paraId="007DCD52" w14:textId="77777777" w:rsidR="002A21AE" w:rsidRDefault="002A21AE">
            <w:pPr>
              <w:pStyle w:val="TableTextNumbersContinued"/>
            </w:pPr>
          </w:p>
          <w:p w14:paraId="753A7E94" w14:textId="77777777" w:rsidR="002A21AE" w:rsidRDefault="002A21AE">
            <w:pPr>
              <w:pStyle w:val="TableTextNumbersContinued"/>
            </w:pPr>
            <w:r>
              <w:t xml:space="preserve">Accept the blank check boxes or click a check box to indicate that a unit is CMV Negative or Sickle Cell Negative. </w:t>
            </w:r>
          </w:p>
          <w:p w14:paraId="6016F205" w14:textId="77777777" w:rsidR="002A21AE" w:rsidRDefault="002A21AE">
            <w:pPr>
              <w:pStyle w:val="TableTextNumbersContinued"/>
            </w:pPr>
          </w:p>
          <w:p w14:paraId="6B4F91BD" w14:textId="77777777" w:rsidR="002A21AE" w:rsidRDefault="002A21AE">
            <w:pPr>
              <w:pStyle w:val="TableTextNumbersContinued"/>
            </w:pPr>
            <w:r>
              <w:t>Enter an additional cost.</w:t>
            </w:r>
          </w:p>
          <w:p w14:paraId="6696FD63" w14:textId="77777777" w:rsidR="002A21AE" w:rsidRDefault="002A21AE">
            <w:pPr>
              <w:pStyle w:val="TableTextNumbersContinued"/>
            </w:pPr>
          </w:p>
          <w:p w14:paraId="4983B760" w14:textId="5972E5AB" w:rsidR="002A21AE" w:rsidRDefault="002A21AE">
            <w:pPr>
              <w:pStyle w:val="TableTextNumbersContinued"/>
            </w:pPr>
            <w:r>
              <w:t>Enter an antigen phenotype for a unit</w:t>
            </w:r>
            <w:r w:rsidR="00DC6B68">
              <w:t xml:space="preserve"> (</w:t>
            </w:r>
            <w:r w:rsidR="00DC6B68">
              <w:fldChar w:fldCharType="begin"/>
            </w:r>
            <w:r w:rsidR="00DC6B68">
              <w:instrText xml:space="preserve"> REF _Ref126645045 \h </w:instrText>
            </w:r>
            <w:r w:rsidR="00DC6B68">
              <w:fldChar w:fldCharType="separate"/>
            </w:r>
            <w:r w:rsidR="004353ED">
              <w:t xml:space="preserve">Figure </w:t>
            </w:r>
            <w:r w:rsidR="004353ED">
              <w:rPr>
                <w:noProof/>
              </w:rPr>
              <w:t>68</w:t>
            </w:r>
            <w:r w:rsidR="00DC6B68">
              <w:fldChar w:fldCharType="end"/>
            </w:r>
            <w:r w:rsidR="00DC6B68">
              <w:t>)</w:t>
            </w:r>
            <w:r>
              <w:t xml:space="preserve">. </w:t>
            </w:r>
          </w:p>
        </w:tc>
        <w:tc>
          <w:tcPr>
            <w:tcW w:w="6120" w:type="dxa"/>
          </w:tcPr>
          <w:p w14:paraId="5D1EB3BE" w14:textId="77777777" w:rsidR="002A21AE" w:rsidRDefault="002A21AE">
            <w:pPr>
              <w:pStyle w:val="TableTextBullet"/>
            </w:pPr>
            <w:r>
              <w:t>Displays an option to save or clear unit information.</w:t>
            </w:r>
          </w:p>
          <w:p w14:paraId="7DE26001" w14:textId="77777777" w:rsidR="002A21AE" w:rsidRDefault="002A21AE">
            <w:pPr>
              <w:pStyle w:val="TableText"/>
            </w:pPr>
          </w:p>
          <w:p w14:paraId="7089FA5A" w14:textId="359ACD94" w:rsidR="002A21AE" w:rsidRDefault="002A21AE">
            <w:pPr>
              <w:pStyle w:val="TableText"/>
              <w:rPr>
                <w:b/>
                <w:bCs/>
                <w:szCs w:val="18"/>
              </w:rPr>
            </w:pPr>
            <w:r>
              <w:rPr>
                <w:b/>
                <w:bCs/>
                <w:szCs w:val="18"/>
              </w:rPr>
              <w:t>NOTES</w:t>
            </w:r>
          </w:p>
          <w:p w14:paraId="78562F6D" w14:textId="77777777" w:rsidR="002A21AE" w:rsidRDefault="002A21AE">
            <w:pPr>
              <w:pStyle w:val="NotesText"/>
            </w:pPr>
          </w:p>
          <w:p w14:paraId="1D66559F" w14:textId="77777777" w:rsidR="002A21AE" w:rsidRDefault="002A21AE" w:rsidP="00137C68">
            <w:pPr>
              <w:pStyle w:val="NotesText"/>
            </w:pPr>
            <w:r>
              <w:t>VBECS accommodates data entry of:</w:t>
            </w:r>
          </w:p>
          <w:p w14:paraId="79EF7353" w14:textId="77777777" w:rsidR="002A21AE" w:rsidRDefault="002A21AE">
            <w:pPr>
              <w:pStyle w:val="NotesTextBullet"/>
            </w:pPr>
            <w:r>
              <w:rPr>
                <w:rFonts w:cs="Arial"/>
                <w:vanish/>
              </w:rPr>
              <w:t xml:space="preserve">BR_1.46 </w:t>
            </w:r>
            <w:r>
              <w:t>A single special typing cost (the sum of charges from $0.00 to $999.00, other than the base unit cost) to associate with a unit.</w:t>
            </w:r>
          </w:p>
          <w:p w14:paraId="72282AB0" w14:textId="77777777" w:rsidR="002A21AE" w:rsidRDefault="002A21AE">
            <w:pPr>
              <w:pStyle w:val="NotesText"/>
            </w:pPr>
          </w:p>
          <w:p w14:paraId="09FAA5BD" w14:textId="159C24B3" w:rsidR="002A21AE" w:rsidRDefault="002A21AE">
            <w:pPr>
              <w:pStyle w:val="NotesText"/>
            </w:pPr>
            <w:r>
              <w:rPr>
                <w:rFonts w:cs="Arial"/>
                <w:vanish/>
              </w:rPr>
              <w:t xml:space="preserve">BR_1.45 </w:t>
            </w:r>
            <w:r>
              <w:t xml:space="preserve">An antigen type may be positive or negative for any antigen listed as a VBECS corresponding antigen in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 xml:space="preserve">: </w:t>
            </w:r>
            <w:r w:rsidR="00771DBD">
              <w:fldChar w:fldCharType="begin"/>
            </w:r>
            <w:r w:rsidR="00771DBD">
              <w:instrText xml:space="preserve"> REF _Ref126484449 \h </w:instrText>
            </w:r>
            <w:r w:rsidR="00771DBD">
              <w:fldChar w:fldCharType="separate"/>
            </w:r>
            <w:r w:rsidR="004353ED">
              <w:t xml:space="preserve">Table </w:t>
            </w:r>
            <w:r w:rsidR="004353ED">
              <w:rPr>
                <w:noProof/>
              </w:rPr>
              <w:t>14</w:t>
            </w:r>
            <w:r w:rsidR="004353ED">
              <w:t xml:space="preserve">: </w:t>
            </w:r>
            <w:r w:rsidR="004353ED">
              <w:rPr>
                <w:vanish/>
              </w:rPr>
              <w:t xml:space="preserve">TT_23.01A </w:t>
            </w:r>
            <w:r w:rsidR="004353ED">
              <w:t>Antibody and Antigen Table: Irregular Antibodies</w:t>
            </w:r>
            <w:r w:rsidR="00771DBD">
              <w:fldChar w:fldCharType="end"/>
            </w:r>
            <w:r>
              <w:t>. An antigen may not be positive and negative for the same unit.</w:t>
            </w:r>
          </w:p>
          <w:p w14:paraId="6FB50A9D" w14:textId="77777777" w:rsidR="005710CE" w:rsidRDefault="005710CE">
            <w:pPr>
              <w:pStyle w:val="NotesText"/>
            </w:pPr>
          </w:p>
          <w:p w14:paraId="0F6529C4" w14:textId="77777777" w:rsidR="005710CE" w:rsidRDefault="005710CE" w:rsidP="005710CE">
            <w:pPr>
              <w:pStyle w:val="NotesText"/>
              <w:rPr>
                <w:rFonts w:cs="Arial"/>
                <w:szCs w:val="18"/>
              </w:rPr>
            </w:pPr>
            <w:r w:rsidRPr="005710CE">
              <w:rPr>
                <w:rFonts w:cs="Arial"/>
                <w:vanish/>
                <w:szCs w:val="18"/>
              </w:rPr>
              <w:t xml:space="preserve">BR_1.01 </w:t>
            </w:r>
            <w:r w:rsidRPr="0030088C">
              <w:rPr>
                <w:rFonts w:cs="Arial"/>
                <w:szCs w:val="18"/>
              </w:rPr>
              <w:t>The shipper of the shipment is used to determine the actual costs of the blood products contained in the shipment. The shipper is the “ship from/ship to” shipper and may or may not be the same as the shipper that collected and/or processed the blood product as indicated on the blood component label. A user can select a shipper from previously activated shipper entries that have been marked as active shipper for a division.</w:t>
            </w:r>
          </w:p>
          <w:p w14:paraId="36FFFA14" w14:textId="77777777" w:rsidR="005710CE" w:rsidRDefault="005710CE">
            <w:pPr>
              <w:pStyle w:val="NotesText"/>
            </w:pPr>
          </w:p>
        </w:tc>
      </w:tr>
      <w:tr w:rsidR="002A21AE" w14:paraId="18974901" w14:textId="77777777">
        <w:tc>
          <w:tcPr>
            <w:tcW w:w="3240" w:type="dxa"/>
          </w:tcPr>
          <w:p w14:paraId="7848B6FD" w14:textId="77777777" w:rsidR="002A21AE" w:rsidRDefault="002A21AE">
            <w:pPr>
              <w:pStyle w:val="TableTextNumbers"/>
            </w:pPr>
            <w:r>
              <w:t xml:space="preserve">Review and click </w:t>
            </w:r>
            <w:r>
              <w:rPr>
                <w:b/>
              </w:rPr>
              <w:t>Save</w:t>
            </w:r>
            <w:r>
              <w:t xml:space="preserve"> to accept the unit.</w:t>
            </w:r>
          </w:p>
        </w:tc>
        <w:tc>
          <w:tcPr>
            <w:tcW w:w="6120" w:type="dxa"/>
          </w:tcPr>
          <w:p w14:paraId="18A1087D" w14:textId="77777777" w:rsidR="002A21AE" w:rsidRDefault="00590A7C" w:rsidP="004A4FC6">
            <w:pPr>
              <w:pStyle w:val="TableTextBullet"/>
            </w:pPr>
            <w:r w:rsidRPr="004A4FC6">
              <w:rPr>
                <w:vanish/>
              </w:rPr>
              <w:t xml:space="preserve">BR_1.68 </w:t>
            </w:r>
            <w:r w:rsidR="004A4FC6" w:rsidRPr="004A4FC6">
              <w:t>The confirmation message presented when saving a unit record states: “Are you sure you want to add this unit, by clicking Yes, you acknowledge that you inspected this uni</w:t>
            </w:r>
            <w:r w:rsidR="004A4FC6">
              <w:t>t and that it is satisfactory.”</w:t>
            </w:r>
          </w:p>
          <w:p w14:paraId="74CF718F" w14:textId="77777777" w:rsidR="000E3E6B" w:rsidRDefault="000E3E6B" w:rsidP="000E3E6B">
            <w:pPr>
              <w:pStyle w:val="TableTextBullet"/>
            </w:pPr>
            <w:r>
              <w:t xml:space="preserve">When the user clicks yes, the unit record is added to the division’s inventory.  When the user clicks no, </w:t>
            </w:r>
            <w:r w:rsidR="00EF64BD" w:rsidRPr="0030088C">
              <w:rPr>
                <w:rFonts w:cs="Arial"/>
                <w:szCs w:val="18"/>
              </w:rPr>
              <w:t>the user is allowed to edit information, clear the unit information or may attempt to save again.</w:t>
            </w:r>
          </w:p>
          <w:p w14:paraId="55446619" w14:textId="77777777" w:rsidR="002A21AE" w:rsidRDefault="002A21AE">
            <w:pPr>
              <w:pStyle w:val="TableTextBullet"/>
            </w:pPr>
            <w:r>
              <w:t>Adds the unit to the database.</w:t>
            </w:r>
          </w:p>
          <w:p w14:paraId="3C0D9D55" w14:textId="77777777" w:rsidR="002A21AE" w:rsidRDefault="002A21AE">
            <w:pPr>
              <w:pStyle w:val="TableTextBullet"/>
            </w:pPr>
            <w:r>
              <w:t xml:space="preserve">Lists summary information for the accepted unit. </w:t>
            </w:r>
          </w:p>
          <w:p w14:paraId="71598DF5" w14:textId="77777777" w:rsidR="002A21AE" w:rsidRDefault="002A21AE">
            <w:pPr>
              <w:pStyle w:val="TableTextBullet"/>
            </w:pPr>
            <w:r>
              <w:t xml:space="preserve">Allows the user to begin processing a new unit. </w:t>
            </w:r>
          </w:p>
          <w:p w14:paraId="13A7E62B" w14:textId="77777777" w:rsidR="002A21AE" w:rsidRDefault="002A21AE">
            <w:pPr>
              <w:pStyle w:val="TableText"/>
            </w:pPr>
          </w:p>
          <w:p w14:paraId="2B35C455" w14:textId="0ECD815B" w:rsidR="002A21AE" w:rsidRDefault="002A21AE">
            <w:pPr>
              <w:pStyle w:val="TableText"/>
              <w:rPr>
                <w:b/>
                <w:bCs/>
                <w:szCs w:val="18"/>
              </w:rPr>
            </w:pPr>
            <w:r>
              <w:rPr>
                <w:b/>
                <w:bCs/>
                <w:szCs w:val="18"/>
              </w:rPr>
              <w:t>NOTES</w:t>
            </w:r>
          </w:p>
          <w:p w14:paraId="48B9BA02" w14:textId="77777777" w:rsidR="002A21AE" w:rsidRDefault="002A21AE">
            <w:pPr>
              <w:pStyle w:val="NotesText"/>
            </w:pPr>
          </w:p>
          <w:p w14:paraId="1821C35C" w14:textId="77777777" w:rsidR="00B21CEA" w:rsidRPr="00B21CEA" w:rsidRDefault="00B21CEA" w:rsidP="00B21CEA">
            <w:pPr>
              <w:pStyle w:val="NotesText"/>
            </w:pPr>
            <w:r w:rsidRPr="00B21CEA">
              <w:t>If the unit is not satisfactory per the visual inspection, the user must click no. The unit is not entered into VBECS inventory and should be processed according to local procedure and policy.</w:t>
            </w:r>
          </w:p>
          <w:p w14:paraId="625051B9" w14:textId="77777777" w:rsidR="00B21CEA" w:rsidRDefault="00B21CEA">
            <w:pPr>
              <w:pStyle w:val="NotesText"/>
            </w:pPr>
          </w:p>
          <w:p w14:paraId="3E5C13FA" w14:textId="77777777" w:rsidR="002A21AE" w:rsidRDefault="002A21AE">
            <w:pPr>
              <w:pStyle w:val="NotesText"/>
            </w:pPr>
            <w:r>
              <w:t>VBECS assigns unit statuses based on a site’s configuration in Configure Division. For a:</w:t>
            </w:r>
          </w:p>
          <w:p w14:paraId="6D773BA1" w14:textId="77777777" w:rsidR="002A21AE" w:rsidRDefault="002A21AE">
            <w:pPr>
              <w:pStyle w:val="NotesTextBullet"/>
            </w:pPr>
            <w:r>
              <w:t>“Full-service” facility, VBECS assigns “Limited” status to blood products that contain red cells and “Available” status to all other components.</w:t>
            </w:r>
          </w:p>
          <w:p w14:paraId="12377937" w14:textId="77777777" w:rsidR="002A21AE" w:rsidRDefault="002A21AE">
            <w:pPr>
              <w:pStyle w:val="NotesTextBullet"/>
            </w:pPr>
            <w:r>
              <w:t>“Transfusion-only” facility, VBECS assigns “Available” status to the units. ABO/Rh confirmation testing is not required.</w:t>
            </w:r>
          </w:p>
          <w:p w14:paraId="7531F1D8" w14:textId="77777777" w:rsidR="002A21AE" w:rsidRDefault="002A21AE">
            <w:pPr>
              <w:pStyle w:val="NotesText"/>
            </w:pPr>
          </w:p>
          <w:p w14:paraId="1817D485" w14:textId="77777777" w:rsidR="002A21AE" w:rsidRDefault="002A21AE">
            <w:pPr>
              <w:pStyle w:val="NotesText"/>
            </w:pPr>
            <w:r>
              <w:t>Units are available only to users in the division in which the units were processed (separate inventories are maintained in a multidivisional site).</w:t>
            </w:r>
          </w:p>
          <w:p w14:paraId="6540BF44" w14:textId="77777777" w:rsidR="00260D14" w:rsidRDefault="00260D14">
            <w:pPr>
              <w:pStyle w:val="NotesText"/>
            </w:pPr>
          </w:p>
          <w:p w14:paraId="7FF68272" w14:textId="77777777" w:rsidR="00260D14" w:rsidRDefault="00260D14">
            <w:pPr>
              <w:pStyle w:val="NotesText"/>
            </w:pPr>
            <w:r>
              <w:t>To edit incorrect saved information, inactivate the unit through Edit Unit Information</w:t>
            </w:r>
            <w:r w:rsidR="00AB2CA4">
              <w:t>, then ree</w:t>
            </w:r>
            <w:r>
              <w:t xml:space="preserve">nter </w:t>
            </w:r>
            <w:r w:rsidR="00AB2CA4">
              <w:t xml:space="preserve">unit </w:t>
            </w:r>
            <w:r>
              <w:t>information in Incoming Shipment.</w:t>
            </w:r>
          </w:p>
          <w:p w14:paraId="2EF73B16" w14:textId="77777777" w:rsidR="00CE13F4" w:rsidRDefault="00CE13F4">
            <w:pPr>
              <w:pStyle w:val="NotesText"/>
            </w:pPr>
          </w:p>
          <w:p w14:paraId="5DA29594" w14:textId="21655E82" w:rsidR="00CE13F4" w:rsidRDefault="00CE13F4">
            <w:pPr>
              <w:pStyle w:val="NotesText"/>
              <w:rPr>
                <w:rFonts w:cs="Arial"/>
                <w:szCs w:val="18"/>
              </w:rPr>
            </w:pPr>
            <w:r w:rsidRPr="00CE13F4">
              <w:rPr>
                <w:rFonts w:cs="Arial"/>
                <w:vanish/>
                <w:szCs w:val="18"/>
              </w:rPr>
              <w:t xml:space="preserve">BR_1.74 </w:t>
            </w:r>
            <w:r w:rsidRPr="0030088C">
              <w:rPr>
                <w:rFonts w:cs="Arial"/>
                <w:szCs w:val="18"/>
              </w:rPr>
              <w:t xml:space="preserve">Existing invoices continue </w:t>
            </w:r>
            <w:r w:rsidR="00073282">
              <w:rPr>
                <w:rFonts w:cs="Arial"/>
                <w:szCs w:val="18"/>
              </w:rPr>
              <w:t xml:space="preserve">to display historic </w:t>
            </w:r>
            <w:r w:rsidRPr="0030088C">
              <w:rPr>
                <w:rFonts w:cs="Arial"/>
                <w:szCs w:val="18"/>
              </w:rPr>
              <w:t>ISBT 128 labeled units.</w:t>
            </w:r>
          </w:p>
          <w:p w14:paraId="41513FC2" w14:textId="77777777" w:rsidR="0040523B" w:rsidRDefault="0040523B">
            <w:pPr>
              <w:pStyle w:val="NotesText"/>
            </w:pPr>
          </w:p>
          <w:p w14:paraId="6507CC04" w14:textId="77777777" w:rsidR="0040523B" w:rsidRDefault="0040523B" w:rsidP="0040523B">
            <w:pPr>
              <w:pStyle w:val="NotesText"/>
            </w:pPr>
            <w:r w:rsidRPr="0040523B">
              <w:rPr>
                <w:vanish/>
              </w:rPr>
              <w:t xml:space="preserve">BR_1.72 </w:t>
            </w:r>
            <w:r w:rsidRPr="0040523B">
              <w:t>The user may not save the unit record until the donation type and its requirements are satisfied.</w:t>
            </w:r>
          </w:p>
          <w:p w14:paraId="772AADC9" w14:textId="77777777" w:rsidR="00674B59" w:rsidRDefault="00674B59" w:rsidP="0040523B">
            <w:pPr>
              <w:pStyle w:val="NotesText"/>
              <w:rPr>
                <w:rFonts w:cs="Arial"/>
                <w:szCs w:val="18"/>
              </w:rPr>
            </w:pPr>
          </w:p>
          <w:p w14:paraId="3B59ED48" w14:textId="77777777" w:rsidR="00674B59" w:rsidRDefault="00674B59" w:rsidP="0040523B">
            <w:pPr>
              <w:pStyle w:val="NotesText"/>
              <w:rPr>
                <w:rFonts w:cs="Arial"/>
                <w:szCs w:val="18"/>
              </w:rPr>
            </w:pPr>
            <w:r w:rsidRPr="00674B59">
              <w:rPr>
                <w:rFonts w:cs="Arial"/>
                <w:vanish/>
                <w:szCs w:val="18"/>
              </w:rPr>
              <w:t xml:space="preserve">BR_1.10 </w:t>
            </w:r>
            <w:r w:rsidRPr="0030088C">
              <w:rPr>
                <w:rFonts w:cs="Arial"/>
                <w:szCs w:val="18"/>
              </w:rPr>
              <w:t>The system determines that valid required data exist for individual units before adding to the database. The newly added unit displays in a list. This list includes Unit ID, ABO/Rh, Product Code, and Expiration date.</w:t>
            </w:r>
          </w:p>
          <w:p w14:paraId="03F0C757" w14:textId="77777777" w:rsidR="00674B59" w:rsidRDefault="00674B59" w:rsidP="0040523B">
            <w:pPr>
              <w:pStyle w:val="NotesText"/>
              <w:rPr>
                <w:rFonts w:cs="Arial"/>
                <w:szCs w:val="18"/>
              </w:rPr>
            </w:pPr>
          </w:p>
          <w:p w14:paraId="471C0276" w14:textId="77777777" w:rsidR="00674B59" w:rsidRPr="0040523B" w:rsidRDefault="00674B59" w:rsidP="0040523B">
            <w:pPr>
              <w:pStyle w:val="NotesText"/>
              <w:rPr>
                <w:rFonts w:cs="Arial"/>
                <w:szCs w:val="18"/>
              </w:rPr>
            </w:pPr>
            <w:r>
              <w:rPr>
                <w:vanish/>
              </w:rPr>
              <w:t>BR_1.47</w:t>
            </w:r>
            <w:r w:rsidRPr="00674B59">
              <w:rPr>
                <w:vanish/>
              </w:rPr>
              <w:t xml:space="preserve"> </w:t>
            </w:r>
            <w:r>
              <w:t>When units are added to the database, the records must be created in a manner that the units are retrievable for other VBECS functionality by scanning the Unit ID and Product Code barcodes.</w:t>
            </w:r>
          </w:p>
        </w:tc>
      </w:tr>
      <w:tr w:rsidR="002A21AE" w14:paraId="0978423F" w14:textId="77777777">
        <w:tc>
          <w:tcPr>
            <w:tcW w:w="3240" w:type="dxa"/>
          </w:tcPr>
          <w:p w14:paraId="7ED8608F" w14:textId="77777777" w:rsidR="002A21AE" w:rsidRDefault="002A21AE">
            <w:pPr>
              <w:pStyle w:val="TableTextNumbers"/>
            </w:pPr>
            <w:r>
              <w:lastRenderedPageBreak/>
              <w:t>Repeat until all units are entered.</w:t>
            </w:r>
          </w:p>
        </w:tc>
        <w:tc>
          <w:tcPr>
            <w:tcW w:w="6120" w:type="dxa"/>
          </w:tcPr>
          <w:p w14:paraId="4DFD4CCD" w14:textId="77777777" w:rsidR="002A21AE" w:rsidRDefault="002A21AE">
            <w:pPr>
              <w:pStyle w:val="TableTextBullet"/>
            </w:pPr>
            <w:r>
              <w:t>Displays all unit data entries.</w:t>
            </w:r>
          </w:p>
        </w:tc>
      </w:tr>
      <w:tr w:rsidR="002A21AE" w14:paraId="42EFF919" w14:textId="77777777">
        <w:tc>
          <w:tcPr>
            <w:tcW w:w="3240" w:type="dxa"/>
            <w:tcBorders>
              <w:bottom w:val="single" w:sz="4" w:space="0" w:color="auto"/>
            </w:tcBorders>
          </w:tcPr>
          <w:p w14:paraId="65922255" w14:textId="77777777" w:rsidR="002A21AE" w:rsidRDefault="002A21AE">
            <w:pPr>
              <w:pStyle w:val="TableTextNumbers"/>
            </w:pPr>
            <w:r>
              <w:t xml:space="preserve">Click </w:t>
            </w:r>
            <w:r>
              <w:rPr>
                <w:b/>
              </w:rPr>
              <w:t>Close</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09" w:author="Blalock, David (Leidos)" w:date="2020-06-15T14:09:00Z" w:original="0."/>
              </w:fldChar>
            </w:r>
          </w:p>
        </w:tc>
        <w:tc>
          <w:tcPr>
            <w:tcW w:w="6120" w:type="dxa"/>
            <w:tcBorders>
              <w:bottom w:val="single" w:sz="4" w:space="0" w:color="auto"/>
            </w:tcBorders>
          </w:tcPr>
          <w:p w14:paraId="323C009B" w14:textId="77777777" w:rsidR="002A21AE" w:rsidRDefault="002A21AE">
            <w:pPr>
              <w:pStyle w:val="TableText"/>
            </w:pPr>
          </w:p>
        </w:tc>
      </w:tr>
    </w:tbl>
    <w:p w14:paraId="0B34162B" w14:textId="5217041F" w:rsidR="00DC6B68" w:rsidRDefault="00DC6B68" w:rsidP="00DC6B68">
      <w:pPr>
        <w:pStyle w:val="Caption"/>
      </w:pPr>
      <w:bookmarkStart w:id="310" w:name="_Ref126645045"/>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68</w:t>
      </w:r>
      <w:r w:rsidR="004E20BD">
        <w:rPr>
          <w:noProof/>
        </w:rPr>
        <w:fldChar w:fldCharType="end"/>
      </w:r>
      <w:bookmarkEnd w:id="310"/>
      <w:r>
        <w:t>: Process Incoming Shipment</w:t>
      </w:r>
    </w:p>
    <w:p w14:paraId="68431A2E" w14:textId="77777777" w:rsidR="00DA7128" w:rsidRDefault="00057948" w:rsidP="00DA7128">
      <w:pPr>
        <w:pStyle w:val="BodyText"/>
      </w:pPr>
      <w:bookmarkStart w:id="311" w:name="_Outgoing_Shipment"/>
      <w:bookmarkStart w:id="312" w:name="_Toc63680359"/>
      <w:bookmarkEnd w:id="298"/>
      <w:bookmarkEnd w:id="311"/>
      <w:r>
        <w:rPr>
          <w:noProof/>
        </w:rPr>
        <w:drawing>
          <wp:inline distT="0" distB="0" distL="0" distR="0" wp14:anchorId="16F4E33D" wp14:editId="6AE1CF66">
            <wp:extent cx="5467985" cy="3916045"/>
            <wp:effectExtent l="0" t="0" r="0" b="8255"/>
            <wp:docPr id="151" name="Picture 1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a:extLst>
                        <a:ext uri="{C183D7F6-B498-43B3-948B-1728B52AA6E4}">
                          <adec:decorative xmlns:adec="http://schemas.microsoft.com/office/drawing/2017/decorative" val="1"/>
                        </a:ext>
                      </a:extLst>
                    </pic:cNvPr>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467985" cy="3916045"/>
                    </a:xfrm>
                    <a:prstGeom prst="rect">
                      <a:avLst/>
                    </a:prstGeom>
                    <a:noFill/>
                    <a:ln>
                      <a:noFill/>
                    </a:ln>
                  </pic:spPr>
                </pic:pic>
              </a:graphicData>
            </a:graphic>
          </wp:inline>
        </w:drawing>
      </w:r>
    </w:p>
    <w:p w14:paraId="3DB08C47" w14:textId="77777777" w:rsidR="001A459B" w:rsidRDefault="001A459B">
      <w:pPr>
        <w:rPr>
          <w:rFonts w:ascii="Arial" w:hAnsi="Arial"/>
          <w:b/>
          <w:sz w:val="22"/>
        </w:rPr>
      </w:pPr>
      <w:r>
        <w:br w:type="page"/>
      </w:r>
    </w:p>
    <w:p w14:paraId="71503724" w14:textId="44A30982" w:rsidR="002A21AE" w:rsidRPr="00897252" w:rsidRDefault="002A21AE" w:rsidP="00DA7128">
      <w:pPr>
        <w:pStyle w:val="Heading4"/>
        <w:rPr>
          <w:rFonts w:ascii="Arial Bold" w:hAnsi="Arial Bold"/>
        </w:rPr>
      </w:pPr>
      <w:r>
        <w:lastRenderedPageBreak/>
        <w:t>Outgoing Shipment</w:t>
      </w:r>
      <w:bookmarkEnd w:id="312"/>
      <w:r w:rsidRPr="007716F7">
        <w:fldChar w:fldCharType="begin"/>
      </w:r>
      <w:r w:rsidRPr="007716F7">
        <w:instrText xml:space="preserve"> XE </w:instrText>
      </w:r>
      <w:r w:rsidR="00FA7E65" w:rsidRPr="007716F7">
        <w:instrText>“</w:instrText>
      </w:r>
      <w:r w:rsidRPr="007716F7">
        <w:instrText>Outgoing Shipment</w:instrText>
      </w:r>
      <w:r w:rsidR="00FA7E65" w:rsidRPr="007716F7">
        <w:instrText>”</w:instrText>
      </w:r>
      <w:r w:rsidRPr="007716F7">
        <w:instrText xml:space="preserve"> </w:instrText>
      </w:r>
      <w:r w:rsidRPr="007716F7">
        <w:fldChar w:fldCharType="end"/>
      </w:r>
      <w:r w:rsidRPr="007716F7">
        <w:t xml:space="preserve"> </w:t>
      </w:r>
      <w:r w:rsidRPr="00897252">
        <w:rPr>
          <w:rFonts w:ascii="Arial Bold" w:hAnsi="Arial Bold"/>
          <w:vanish/>
        </w:rPr>
        <w:t>UC_11</w:t>
      </w:r>
    </w:p>
    <w:p w14:paraId="2D605784" w14:textId="77777777" w:rsidR="002A21AE" w:rsidRDefault="002A21AE" w:rsidP="00FA7E65">
      <w:pPr>
        <w:pStyle w:val="BodyText"/>
      </w:pPr>
      <w:bookmarkStart w:id="313" w:name="_Toc49225137"/>
      <w:bookmarkStart w:id="314" w:name="_Toc49225235"/>
      <w:bookmarkStart w:id="315" w:name="_Toc75920287"/>
      <w:r>
        <w:t xml:space="preserve">The user processes and ships available blood units from his division to an outside facility, blood center, or hospital. </w:t>
      </w:r>
    </w:p>
    <w:p w14:paraId="640A2B1B" w14:textId="77777777" w:rsidR="002A21AE" w:rsidRDefault="002A21AE" w:rsidP="00FA7E65">
      <w:pPr>
        <w:pStyle w:val="BodyText"/>
      </w:pPr>
      <w:r>
        <w:t>The user may edit return credits (additional fees or credits may be issued from one site to another) before processing the shipment.</w:t>
      </w:r>
    </w:p>
    <w:p w14:paraId="7524A7F0" w14:textId="77777777" w:rsidR="002A21AE" w:rsidRDefault="002A21AE" w:rsidP="00FA7E65">
      <w:pPr>
        <w:pStyle w:val="BodyText"/>
      </w:pPr>
      <w:r>
        <w:t>VBECS generates a shipping invoice.</w:t>
      </w:r>
    </w:p>
    <w:p w14:paraId="1A4B8911" w14:textId="77777777" w:rsidR="002A21AE" w:rsidRDefault="002A21AE">
      <w:pPr>
        <w:pStyle w:val="Heading4"/>
      </w:pPr>
      <w:r>
        <w:t>Assumptions</w:t>
      </w:r>
    </w:p>
    <w:p w14:paraId="5ED613C9" w14:textId="77777777" w:rsidR="002A21AE" w:rsidRDefault="002A21AE">
      <w:pPr>
        <w:pStyle w:val="ListBullet"/>
      </w:pPr>
      <w:r>
        <w:t>Users are authorized to release units from inventory.</w:t>
      </w:r>
    </w:p>
    <w:p w14:paraId="55C1F237" w14:textId="77777777" w:rsidR="002A21AE" w:rsidRDefault="002A21AE">
      <w:pPr>
        <w:pStyle w:val="ListBullet"/>
      </w:pPr>
      <w:r>
        <w:t>Blood units being shipped:</w:t>
      </w:r>
    </w:p>
    <w:p w14:paraId="0C760CEA" w14:textId="77777777" w:rsidR="002A21AE" w:rsidRDefault="002A21AE" w:rsidP="00802EE9">
      <w:pPr>
        <w:pStyle w:val="ListBullet2"/>
        <w:tabs>
          <w:tab w:val="clear" w:pos="648"/>
        </w:tabs>
        <w:ind w:left="900" w:hanging="270"/>
      </w:pPr>
      <w:r>
        <w:t xml:space="preserve">Were entered in the </w:t>
      </w:r>
      <w:r w:rsidR="009D2C46">
        <w:t>division</w:t>
      </w:r>
      <w:r>
        <w:t>.</w:t>
      </w:r>
    </w:p>
    <w:p w14:paraId="27DA13D3" w14:textId="77777777" w:rsidR="002A21AE" w:rsidRDefault="002A21AE" w:rsidP="00802EE9">
      <w:pPr>
        <w:pStyle w:val="ListBullet2"/>
        <w:tabs>
          <w:tab w:val="clear" w:pos="648"/>
        </w:tabs>
        <w:ind w:left="900" w:hanging="270"/>
      </w:pPr>
      <w:r>
        <w:t>Are available for scanning.</w:t>
      </w:r>
    </w:p>
    <w:p w14:paraId="74373C92" w14:textId="77777777" w:rsidR="002A21AE" w:rsidRDefault="002A21AE" w:rsidP="00802EE9">
      <w:pPr>
        <w:pStyle w:val="ListBullet2"/>
        <w:tabs>
          <w:tab w:val="clear" w:pos="648"/>
        </w:tabs>
        <w:ind w:left="900" w:hanging="270"/>
      </w:pPr>
      <w:r>
        <w:t>Are located in the user’s division.</w:t>
      </w:r>
    </w:p>
    <w:p w14:paraId="061BB2B7" w14:textId="77777777" w:rsidR="002A21AE" w:rsidRDefault="002A21AE">
      <w:pPr>
        <w:pStyle w:val="Heading4"/>
      </w:pPr>
      <w:r>
        <w:t>Outcome</w:t>
      </w:r>
    </w:p>
    <w:p w14:paraId="6FA3CBC0" w14:textId="77777777" w:rsidR="002A21AE" w:rsidRDefault="002A21AE">
      <w:pPr>
        <w:pStyle w:val="ListBullet"/>
      </w:pPr>
      <w:r>
        <w:t>An invoice for a completed shipment is closed and may not be modified.</w:t>
      </w:r>
    </w:p>
    <w:p w14:paraId="79CC8A92" w14:textId="77777777" w:rsidR="002A21AE" w:rsidRDefault="002A21AE">
      <w:pPr>
        <w:pStyle w:val="ListBullet"/>
      </w:pPr>
      <w:r>
        <w:t>An invoice for a shipment that is not confirmed is open and may be edited.</w:t>
      </w:r>
    </w:p>
    <w:p w14:paraId="36ECECC4" w14:textId="77777777" w:rsidR="002A21AE" w:rsidRDefault="002A21AE">
      <w:pPr>
        <w:pStyle w:val="ListBullet"/>
      </w:pPr>
      <w:r>
        <w:t>The units are not available in the division’s inventory.</w:t>
      </w:r>
    </w:p>
    <w:p w14:paraId="3A43DA12" w14:textId="77777777" w:rsidR="002A21AE" w:rsidRDefault="002A21AE">
      <w:pPr>
        <w:pStyle w:val="ListBullet"/>
      </w:pPr>
      <w:r>
        <w:t>When a unit is transferred to another division in the database, VBECS displays the history of the unit at both divisions. The unit is active in one division at a time.</w:t>
      </w:r>
    </w:p>
    <w:p w14:paraId="5811A739" w14:textId="77777777" w:rsidR="002A21AE" w:rsidRDefault="002A21AE">
      <w:pPr>
        <w:pStyle w:val="ListBullet"/>
      </w:pPr>
      <w:r>
        <w:t>A credit for a returned product may be assigned.</w:t>
      </w:r>
    </w:p>
    <w:p w14:paraId="384928DF" w14:textId="77777777" w:rsidR="002A21AE" w:rsidRDefault="002A21AE">
      <w:pPr>
        <w:pStyle w:val="Heading4"/>
      </w:pPr>
      <w:r>
        <w:t>Limitations and Restrictions</w:t>
      </w:r>
    </w:p>
    <w:p w14:paraId="69B1D3D1" w14:textId="77777777" w:rsidR="002A21AE" w:rsidRDefault="002A21AE">
      <w:pPr>
        <w:pStyle w:val="ListBullet"/>
      </w:pPr>
      <w:r>
        <w:t>A user may edit only unconfirmed invoices.</w:t>
      </w:r>
    </w:p>
    <w:p w14:paraId="6617ECD6" w14:textId="77777777" w:rsidR="007F1742" w:rsidRDefault="007F1742">
      <w:pPr>
        <w:pStyle w:val="ListBullet"/>
      </w:pPr>
      <w:bookmarkStart w:id="316" w:name="OLE_LINK25"/>
      <w:bookmarkStart w:id="317" w:name="OLE_LINK26"/>
      <w:r>
        <w:t xml:space="preserve">The number of tests </w:t>
      </w:r>
      <w:r w:rsidRPr="007F1742">
        <w:t xml:space="preserve">displayed on </w:t>
      </w:r>
      <w:r>
        <w:t>an</w:t>
      </w:r>
      <w:r w:rsidRPr="007F1742">
        <w:t xml:space="preserve"> invoice is limited to 8</w:t>
      </w:r>
      <w:r>
        <w:t>,000 characters</w:t>
      </w:r>
      <w:r w:rsidR="0083592C">
        <w:t xml:space="preserve"> per unit</w:t>
      </w:r>
      <w:r>
        <w:t>.</w:t>
      </w:r>
    </w:p>
    <w:p w14:paraId="3EE5CDDF" w14:textId="272A56CB" w:rsidR="00DE6961" w:rsidRDefault="00DE6961">
      <w:pPr>
        <w:pStyle w:val="ListBullet"/>
      </w:pPr>
      <w:r>
        <w:t>When the user creates an invoice and cancels before saving it, VBECS excludes the invoice number from use.</w:t>
      </w:r>
    </w:p>
    <w:p w14:paraId="1E507F18" w14:textId="4312A339" w:rsidR="0043651F" w:rsidRDefault="0043651F">
      <w:pPr>
        <w:pStyle w:val="ListBullet"/>
      </w:pPr>
      <w:r>
        <w:t>When assigned or restricted, the patient first name and ID are not printed on the outgoing shipment document to maintain patient privacy.</w:t>
      </w:r>
    </w:p>
    <w:p w14:paraId="68259511" w14:textId="093213A5" w:rsidR="00D141A2" w:rsidRDefault="00D141A2">
      <w:pPr>
        <w:pStyle w:val="ListBullet"/>
      </w:pPr>
      <w:r>
        <w:t xml:space="preserve">Cost entry is capped at 999.99. </w:t>
      </w:r>
      <w:r w:rsidRPr="00D141A2">
        <w:rPr>
          <w:vanish/>
        </w:rPr>
        <w:t>Defect 942523</w:t>
      </w:r>
    </w:p>
    <w:bookmarkEnd w:id="316"/>
    <w:bookmarkEnd w:id="317"/>
    <w:p w14:paraId="1117AEB8" w14:textId="77777777" w:rsidR="002A21AE" w:rsidRDefault="002A21AE">
      <w:pPr>
        <w:pStyle w:val="Heading4"/>
      </w:pPr>
      <w:r>
        <w:t>Additional Information</w:t>
      </w:r>
    </w:p>
    <w:p w14:paraId="54967FFD" w14:textId="77777777" w:rsidR="002A21AE" w:rsidRDefault="002A21AE">
      <w:pPr>
        <w:pStyle w:val="ListBullet"/>
      </w:pPr>
      <w:r>
        <w:t>None</w:t>
      </w:r>
    </w:p>
    <w:p w14:paraId="2CB90120" w14:textId="77777777" w:rsidR="002A21AE" w:rsidRDefault="002A21AE">
      <w:pPr>
        <w:pStyle w:val="Heading4"/>
      </w:pPr>
      <w:r>
        <w:t>User Roles with Access to This Option</w:t>
      </w:r>
    </w:p>
    <w:p w14:paraId="506CF7E6" w14:textId="77777777" w:rsidR="002A21AE" w:rsidRDefault="00873EEB">
      <w:pPr>
        <w:pStyle w:val="Roles"/>
        <w:rPr>
          <w:snapToGrid w:val="0"/>
        </w:rPr>
      </w:pPr>
      <w:r>
        <w:t>All users</w:t>
      </w:r>
    </w:p>
    <w:bookmarkEnd w:id="313"/>
    <w:bookmarkEnd w:id="314"/>
    <w:bookmarkEnd w:id="315"/>
    <w:p w14:paraId="7F6F1322" w14:textId="77777777" w:rsidR="002A21AE" w:rsidRDefault="00057948">
      <w:pPr>
        <w:pStyle w:val="Heading4"/>
      </w:pPr>
      <w:r>
        <w:rPr>
          <w:noProof/>
        </w:rPr>
        <w:drawing>
          <wp:inline distT="0" distB="0" distL="0" distR="0" wp14:anchorId="6187B61B" wp14:editId="73DE6C38">
            <wp:extent cx="156845" cy="156845"/>
            <wp:effectExtent l="0" t="0" r="0" b="0"/>
            <wp:docPr id="152" name="Picture 1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Outgoing Shipment </w:t>
      </w:r>
    </w:p>
    <w:p w14:paraId="633E04B9" w14:textId="77777777" w:rsidR="002A21AE" w:rsidRDefault="002A21AE" w:rsidP="00FA7E65">
      <w:pPr>
        <w:pStyle w:val="BodyText"/>
      </w:pPr>
      <w:r>
        <w:t xml:space="preserve">A user ships blood units from his division’s inventory to a facility that is not a transfusion location of his division. These units were removed from inventory and are available for scanning and packaging. </w:t>
      </w:r>
    </w:p>
    <w:p w14:paraId="5D481355" w14:textId="77777777" w:rsidR="002A21AE" w:rsidRDefault="002A21AE" w:rsidP="00FA7E65">
      <w:pPr>
        <w:pStyle w:val="BodyText"/>
      </w:pPr>
      <w:r>
        <w:t xml:space="preserve">The user identifies the shipment destination, scans the unit ID and product code for the first unit in the shipment, and repeats this process for each unit added to the shipment. The user completes the data entry </w:t>
      </w:r>
      <w:r>
        <w:lastRenderedPageBreak/>
        <w:t>and then reviews and accepts the shipment information. When the shipment is confirmed, the user may print a shipping invoice.</w:t>
      </w:r>
    </w:p>
    <w:p w14:paraId="311A93D3" w14:textId="77777777" w:rsidR="002A21AE" w:rsidRDefault="002A21AE" w:rsidP="00FA7E65">
      <w:pPr>
        <w:pStyle w:val="BodyText"/>
      </w:pPr>
      <w:r>
        <w:t>VBECS generates an invoice that includes information for the blood units on that invoice.</w:t>
      </w:r>
    </w:p>
    <w:p w14:paraId="63A5C75D" w14:textId="77777777" w:rsidR="002A21AE" w:rsidRDefault="002A21AE" w:rsidP="00FA7E65">
      <w:pPr>
        <w:pStyle w:val="BodyText"/>
      </w:pPr>
      <w:r>
        <w:t>A user may edit return credits (additional fees or credits may be issued from one site to another) before processing the shipment.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E227C5" w14:textId="77777777">
        <w:trPr>
          <w:tblHeader/>
        </w:trPr>
        <w:tc>
          <w:tcPr>
            <w:tcW w:w="3240" w:type="dxa"/>
            <w:shd w:val="pct30" w:color="auto" w:fill="FFFFFF"/>
            <w:vAlign w:val="bottom"/>
          </w:tcPr>
          <w:p w14:paraId="69DE2016" w14:textId="77777777" w:rsidR="002A21AE" w:rsidRDefault="002A21AE">
            <w:pPr>
              <w:pStyle w:val="TableText"/>
              <w:rPr>
                <w:b/>
              </w:rPr>
            </w:pPr>
            <w:r>
              <w:rPr>
                <w:b/>
              </w:rPr>
              <w:t>User Action</w:t>
            </w:r>
          </w:p>
        </w:tc>
        <w:tc>
          <w:tcPr>
            <w:tcW w:w="6120" w:type="dxa"/>
            <w:shd w:val="pct30" w:color="auto" w:fill="FFFFFF"/>
            <w:vAlign w:val="bottom"/>
          </w:tcPr>
          <w:p w14:paraId="0981DC03" w14:textId="77777777" w:rsidR="002A21AE" w:rsidRDefault="002A21AE">
            <w:pPr>
              <w:pStyle w:val="TableText"/>
              <w:rPr>
                <w:b/>
              </w:rPr>
            </w:pPr>
            <w:r>
              <w:rPr>
                <w:b/>
              </w:rPr>
              <w:t>VBECS</w:t>
            </w:r>
          </w:p>
        </w:tc>
      </w:tr>
      <w:tr w:rsidR="002A21AE" w14:paraId="7F42141D" w14:textId="77777777">
        <w:tc>
          <w:tcPr>
            <w:tcW w:w="3240" w:type="dxa"/>
          </w:tcPr>
          <w:p w14:paraId="601C91BF" w14:textId="77777777" w:rsidR="002A21AE" w:rsidRDefault="002A21AE">
            <w:pPr>
              <w:pStyle w:val="TableTextNumbers"/>
            </w:pPr>
            <w:r>
              <w:t xml:space="preserve">Select </w:t>
            </w:r>
            <w:r>
              <w:rPr>
                <w:b/>
              </w:rPr>
              <w:t>Shipments</w:t>
            </w:r>
            <w:r>
              <w:t xml:space="preserve"> from the main menu.</w:t>
            </w:r>
          </w:p>
          <w:p w14:paraId="43103CC7" w14:textId="77777777" w:rsidR="002A21AE" w:rsidRDefault="002A21AE">
            <w:pPr>
              <w:pStyle w:val="TableTextNumbersContinued"/>
              <w:rPr>
                <w:b/>
                <w:bCs/>
              </w:rPr>
            </w:pPr>
          </w:p>
          <w:p w14:paraId="60F889D0" w14:textId="77777777" w:rsidR="002A21AE" w:rsidRDefault="002A21AE">
            <w:pPr>
              <w:pStyle w:val="TableTextNumbersContinued"/>
              <w:rPr>
                <w:b/>
                <w:bCs/>
              </w:rPr>
            </w:pPr>
            <w:r>
              <w:rPr>
                <w:b/>
                <w:bCs/>
              </w:rPr>
              <w:t>Select Outgoing Shipment.</w:t>
            </w:r>
          </w:p>
        </w:tc>
        <w:tc>
          <w:tcPr>
            <w:tcW w:w="6120" w:type="dxa"/>
          </w:tcPr>
          <w:p w14:paraId="39CBE381" w14:textId="77777777" w:rsidR="002A21AE" w:rsidRDefault="002A21AE">
            <w:pPr>
              <w:pStyle w:val="TableTextBullet"/>
            </w:pPr>
            <w:r>
              <w:t xml:space="preserve">Displays options for processing shipments. </w:t>
            </w:r>
          </w:p>
          <w:p w14:paraId="5DE397C4" w14:textId="77777777" w:rsidR="002A21AE" w:rsidRDefault="002A21AE">
            <w:pPr>
              <w:pStyle w:val="TableTextBullet"/>
            </w:pPr>
            <w:r>
              <w:t>Displays options for selecting a new invoice or an existing (recent) invoice.</w:t>
            </w:r>
          </w:p>
        </w:tc>
      </w:tr>
      <w:tr w:rsidR="002A21AE" w14:paraId="49CCD582" w14:textId="77777777">
        <w:tc>
          <w:tcPr>
            <w:tcW w:w="3240" w:type="dxa"/>
          </w:tcPr>
          <w:p w14:paraId="250A9B8A" w14:textId="77777777" w:rsidR="002A21AE" w:rsidRDefault="002A21AE">
            <w:pPr>
              <w:pStyle w:val="TableTextNumbers"/>
            </w:pPr>
            <w:r>
              <w:t xml:space="preserve">To process a new invoice, select </w:t>
            </w:r>
            <w:r>
              <w:rPr>
                <w:b/>
              </w:rPr>
              <w:t>New Invoice</w:t>
            </w:r>
            <w:r>
              <w:t xml:space="preserve">. (To process an existing invoice, </w:t>
            </w:r>
            <w:r w:rsidR="0059575A">
              <w:t>continue at</w:t>
            </w:r>
            <w:r>
              <w:t xml:space="preserve"> Step </w:t>
            </w:r>
            <w:r w:rsidR="007E11BF">
              <w:t>3</w:t>
            </w:r>
            <w:r>
              <w:t>.)</w:t>
            </w:r>
          </w:p>
          <w:p w14:paraId="22FDD27A" w14:textId="77777777" w:rsidR="002A21AE" w:rsidRDefault="002A21AE">
            <w:pPr>
              <w:pStyle w:val="TableTextNumbersContinued"/>
            </w:pPr>
          </w:p>
          <w:p w14:paraId="7E8067E3" w14:textId="77777777" w:rsidR="002A21AE" w:rsidRDefault="002A21AE">
            <w:pPr>
              <w:pStyle w:val="TableTextNumbersContinued"/>
            </w:pPr>
            <w:r>
              <w:t>Enter the invoice number provided by the outside facility or leave the Invoice Number field blank.</w:t>
            </w:r>
          </w:p>
          <w:p w14:paraId="1F1E59F1" w14:textId="77777777" w:rsidR="002A21AE" w:rsidRDefault="002A21AE">
            <w:pPr>
              <w:pStyle w:val="TableTextNumbersContinued"/>
            </w:pPr>
          </w:p>
          <w:p w14:paraId="6A6D2A5F" w14:textId="77777777" w:rsidR="002A21AE" w:rsidRDefault="002A21AE">
            <w:pPr>
              <w:pStyle w:val="TableTextNumbersContinued"/>
            </w:pPr>
            <w:r>
              <w:t>Select a shipment destination from the drop-down list.</w:t>
            </w:r>
          </w:p>
          <w:p w14:paraId="78FF64B6" w14:textId="77777777" w:rsidR="002A21AE" w:rsidRDefault="002A21AE">
            <w:pPr>
              <w:pStyle w:val="TableTextNumbersContinued"/>
            </w:pPr>
          </w:p>
          <w:p w14:paraId="78C79106" w14:textId="4F1A9DE6" w:rsidR="002A21AE" w:rsidRDefault="007E11BF">
            <w:pPr>
              <w:pStyle w:val="TableTextNumbersContinued"/>
            </w:pPr>
            <w:r>
              <w:t xml:space="preserve">Click the </w:t>
            </w:r>
            <w:r w:rsidRPr="007E11BF">
              <w:rPr>
                <w:b/>
              </w:rPr>
              <w:t>Return to Shipper</w:t>
            </w:r>
            <w:r>
              <w:t xml:space="preserve"> or </w:t>
            </w:r>
            <w:r w:rsidRPr="007E11BF">
              <w:rPr>
                <w:b/>
              </w:rPr>
              <w:t xml:space="preserve">Send to Unrelated Shipper </w:t>
            </w:r>
            <w:r w:rsidRPr="00BF2E41">
              <w:t>radio button</w:t>
            </w:r>
            <w:r>
              <w:t xml:space="preserve"> to select a shipment type</w:t>
            </w:r>
            <w:r w:rsidR="00D039A6">
              <w:t xml:space="preserve"> (</w:t>
            </w:r>
            <w:r w:rsidR="00D039A6">
              <w:fldChar w:fldCharType="begin"/>
            </w:r>
            <w:r w:rsidR="00D039A6">
              <w:instrText xml:space="preserve"> REF _Ref126554236 \h </w:instrText>
            </w:r>
            <w:r w:rsidR="00D039A6">
              <w:fldChar w:fldCharType="separate"/>
            </w:r>
            <w:r w:rsidR="004353ED">
              <w:t xml:space="preserve">Figure </w:t>
            </w:r>
            <w:r w:rsidR="004353ED">
              <w:rPr>
                <w:noProof/>
              </w:rPr>
              <w:t>69</w:t>
            </w:r>
            <w:r w:rsidR="00D039A6">
              <w:fldChar w:fldCharType="end"/>
            </w:r>
            <w:r w:rsidR="00D039A6">
              <w:t>)</w:t>
            </w:r>
            <w:r>
              <w:t>.</w:t>
            </w:r>
          </w:p>
          <w:p w14:paraId="1B139D93" w14:textId="77777777" w:rsidR="002A21AE" w:rsidRDefault="002A21AE">
            <w:pPr>
              <w:pStyle w:val="TableTextNumbersContinued"/>
            </w:pPr>
          </w:p>
          <w:p w14:paraId="5A90D6C2" w14:textId="77777777" w:rsidR="002A21AE" w:rsidRDefault="002A21AE">
            <w:pPr>
              <w:pStyle w:val="TableTextNumbersContinued"/>
            </w:pPr>
            <w:r>
              <w:t>Continue at Step 4.</w:t>
            </w:r>
          </w:p>
        </w:tc>
        <w:tc>
          <w:tcPr>
            <w:tcW w:w="6120" w:type="dxa"/>
          </w:tcPr>
          <w:p w14:paraId="018BBFD3" w14:textId="77777777" w:rsidR="002A21AE" w:rsidRDefault="002A21AE">
            <w:pPr>
              <w:pStyle w:val="TableTextBullet"/>
            </w:pPr>
            <w:r>
              <w:t>Displays fields for entering shipment information.</w:t>
            </w:r>
          </w:p>
          <w:p w14:paraId="694AB1FB" w14:textId="77777777" w:rsidR="002A21AE" w:rsidRDefault="002A21AE">
            <w:pPr>
              <w:pStyle w:val="TableTextBullet"/>
            </w:pPr>
            <w:r>
              <w:t>Generates an invoice number when the Invoice Number field is blank.</w:t>
            </w:r>
          </w:p>
          <w:p w14:paraId="719ACA17" w14:textId="77777777" w:rsidR="002A21AE" w:rsidRDefault="002A21AE">
            <w:pPr>
              <w:pStyle w:val="TableText"/>
            </w:pPr>
          </w:p>
          <w:p w14:paraId="5A47CCD7" w14:textId="7CE84AAF" w:rsidR="002A21AE" w:rsidRDefault="002A21AE">
            <w:pPr>
              <w:pStyle w:val="TableText"/>
              <w:rPr>
                <w:b/>
                <w:bCs/>
                <w:szCs w:val="18"/>
              </w:rPr>
            </w:pPr>
            <w:r>
              <w:rPr>
                <w:b/>
                <w:bCs/>
                <w:szCs w:val="18"/>
              </w:rPr>
              <w:t>NOTES</w:t>
            </w:r>
          </w:p>
          <w:p w14:paraId="0F8A30F2" w14:textId="77777777" w:rsidR="002A21AE" w:rsidRDefault="002A21AE">
            <w:pPr>
              <w:pStyle w:val="NotesText"/>
            </w:pPr>
          </w:p>
          <w:p w14:paraId="4384696A" w14:textId="77777777" w:rsidR="002A21AE" w:rsidRDefault="002A21AE">
            <w:pPr>
              <w:pStyle w:val="NotesText"/>
            </w:pPr>
            <w:r>
              <w:t xml:space="preserve">To select an existing invoice while in the new invoice window, click </w:t>
            </w:r>
            <w:r>
              <w:rPr>
                <w:b/>
              </w:rPr>
              <w:t>Use Existing Invoice</w:t>
            </w:r>
            <w:r>
              <w:t>.</w:t>
            </w:r>
          </w:p>
        </w:tc>
      </w:tr>
      <w:tr w:rsidR="002A21AE" w14:paraId="62FD769F" w14:textId="77777777">
        <w:tc>
          <w:tcPr>
            <w:tcW w:w="3240" w:type="dxa"/>
          </w:tcPr>
          <w:p w14:paraId="5227B970" w14:textId="77777777" w:rsidR="002A21AE" w:rsidRDefault="002A21AE">
            <w:pPr>
              <w:pStyle w:val="TableTextNumbers"/>
            </w:pPr>
            <w:r>
              <w:t xml:space="preserve">To process an existing invoice, select </w:t>
            </w:r>
            <w:r>
              <w:rPr>
                <w:b/>
              </w:rPr>
              <w:t>Recent Invoice</w:t>
            </w:r>
            <w:r>
              <w:t xml:space="preserve"> from the Outgoing Shipment menu. </w:t>
            </w:r>
          </w:p>
          <w:p w14:paraId="5901D607" w14:textId="77777777" w:rsidR="002A21AE" w:rsidRDefault="002A21AE">
            <w:pPr>
              <w:pStyle w:val="TableTextNumbersContinued"/>
            </w:pPr>
          </w:p>
          <w:p w14:paraId="367CAA4D" w14:textId="77777777" w:rsidR="002A21AE" w:rsidRDefault="002A21AE">
            <w:pPr>
              <w:pStyle w:val="TableTextNumbersContinued"/>
            </w:pPr>
            <w:r>
              <w:t>Select an invoice.</w:t>
            </w:r>
          </w:p>
        </w:tc>
        <w:tc>
          <w:tcPr>
            <w:tcW w:w="6120" w:type="dxa"/>
          </w:tcPr>
          <w:p w14:paraId="679E2B0E" w14:textId="77777777" w:rsidR="002A21AE" w:rsidRDefault="002A21AE">
            <w:pPr>
              <w:pStyle w:val="TableTextBullet"/>
            </w:pPr>
            <w:r>
              <w:t>Displays a list of open (unconfirmed) invoices.</w:t>
            </w:r>
          </w:p>
          <w:p w14:paraId="39E6A52F" w14:textId="77777777" w:rsidR="002A21AE" w:rsidRDefault="002A21AE">
            <w:pPr>
              <w:pStyle w:val="TableText"/>
            </w:pPr>
          </w:p>
          <w:p w14:paraId="605BC188" w14:textId="7686187A" w:rsidR="002A21AE" w:rsidRDefault="002A21AE">
            <w:pPr>
              <w:pStyle w:val="TableText"/>
              <w:rPr>
                <w:b/>
                <w:bCs/>
                <w:szCs w:val="18"/>
              </w:rPr>
            </w:pPr>
            <w:r>
              <w:rPr>
                <w:b/>
                <w:bCs/>
                <w:szCs w:val="18"/>
              </w:rPr>
              <w:t>NOTES</w:t>
            </w:r>
          </w:p>
          <w:p w14:paraId="3B1C66DB" w14:textId="77777777" w:rsidR="002A21AE" w:rsidRDefault="002A21AE">
            <w:pPr>
              <w:pStyle w:val="NotesText"/>
            </w:pPr>
          </w:p>
          <w:p w14:paraId="4BA2C157" w14:textId="77777777" w:rsidR="002A21AE" w:rsidRDefault="002A21AE">
            <w:pPr>
              <w:pStyle w:val="NotesText"/>
            </w:pPr>
            <w:r>
              <w:t xml:space="preserve">To select a new invoice while in the existing invoice window, click </w:t>
            </w:r>
            <w:r>
              <w:rPr>
                <w:b/>
              </w:rPr>
              <w:t>Create New Invoice</w:t>
            </w:r>
            <w:r>
              <w:t>.</w:t>
            </w:r>
          </w:p>
          <w:p w14:paraId="3DE00205" w14:textId="77777777" w:rsidR="002A21AE" w:rsidRDefault="002A21AE">
            <w:pPr>
              <w:pStyle w:val="NotesText"/>
            </w:pPr>
          </w:p>
          <w:p w14:paraId="55BA445E" w14:textId="77777777" w:rsidR="002A21AE" w:rsidRDefault="002A21AE">
            <w:pPr>
              <w:pStyle w:val="NotesText"/>
            </w:pPr>
            <w:r>
              <w:rPr>
                <w:rFonts w:cs="Arial"/>
                <w:vanish/>
              </w:rPr>
              <w:t xml:space="preserve">BR_11.20 </w:t>
            </w:r>
            <w:r>
              <w:t xml:space="preserve">A user may edit only saved, not </w:t>
            </w:r>
            <w:r w:rsidR="0096027B">
              <w:t>confirmed</w:t>
            </w:r>
            <w:r>
              <w:t>, outgoing shipment invoices.</w:t>
            </w:r>
          </w:p>
          <w:p w14:paraId="65DDC015" w14:textId="77777777" w:rsidR="002A21AE" w:rsidRDefault="002A21AE">
            <w:pPr>
              <w:pStyle w:val="NotesText"/>
            </w:pPr>
          </w:p>
          <w:p w14:paraId="071EE217" w14:textId="77777777" w:rsidR="002A21AE" w:rsidRDefault="002A21AE">
            <w:pPr>
              <w:pStyle w:val="NotesText"/>
            </w:pPr>
            <w:r>
              <w:rPr>
                <w:rFonts w:cs="Arial"/>
                <w:vanish/>
              </w:rPr>
              <w:t xml:space="preserve">BR_11.10 </w:t>
            </w:r>
            <w:r>
              <w:t>A user may select shipping destination (ship-to) facilities based on site parameters that define a shipper for a division.</w:t>
            </w:r>
          </w:p>
          <w:p w14:paraId="46D43484" w14:textId="77777777" w:rsidR="002A21AE" w:rsidRDefault="002A21AE">
            <w:pPr>
              <w:pStyle w:val="NotesText"/>
            </w:pPr>
          </w:p>
          <w:p w14:paraId="55EF9394" w14:textId="77777777" w:rsidR="002A21AE" w:rsidRDefault="002A21AE">
            <w:pPr>
              <w:pStyle w:val="NotesText"/>
            </w:pPr>
            <w:r>
              <w:rPr>
                <w:rFonts w:cs="Arial"/>
                <w:vanish/>
              </w:rPr>
              <w:t xml:space="preserve">BR_8.03 </w:t>
            </w:r>
            <w:r>
              <w:t>A shipper must be marked as an active collection facility for a division before a user may select it as a valid shipper for a blood product for that division. This includes marking the division facility itself as an active collection facility to accommodate the creation of new blood products through modification.</w:t>
            </w:r>
          </w:p>
        </w:tc>
      </w:tr>
      <w:tr w:rsidR="002A21AE" w14:paraId="12300254" w14:textId="77777777">
        <w:tc>
          <w:tcPr>
            <w:tcW w:w="3240" w:type="dxa"/>
          </w:tcPr>
          <w:p w14:paraId="30BC9425" w14:textId="7C620CC8" w:rsidR="002A21AE" w:rsidRDefault="002A21AE">
            <w:pPr>
              <w:pStyle w:val="TableTextNumbers"/>
            </w:pPr>
            <w:r>
              <w:t xml:space="preserve">Click </w:t>
            </w:r>
            <w:r>
              <w:rPr>
                <w:b/>
              </w:rPr>
              <w:t>OK</w:t>
            </w:r>
            <w:r>
              <w:t xml:space="preserve"> to save the information entered</w:t>
            </w:r>
            <w:r w:rsidR="0023533F">
              <w:t xml:space="preserve"> (</w:t>
            </w:r>
            <w:r w:rsidR="0023533F">
              <w:fldChar w:fldCharType="begin"/>
            </w:r>
            <w:r w:rsidR="0023533F">
              <w:instrText xml:space="preserve"> REF _Ref126554236 \h </w:instrText>
            </w:r>
            <w:r w:rsidR="0023533F">
              <w:fldChar w:fldCharType="separate"/>
            </w:r>
            <w:r w:rsidR="004353ED">
              <w:t xml:space="preserve">Figure </w:t>
            </w:r>
            <w:r w:rsidR="004353ED">
              <w:rPr>
                <w:noProof/>
              </w:rPr>
              <w:t>69</w:t>
            </w:r>
            <w:r w:rsidR="0023533F">
              <w:fldChar w:fldCharType="end"/>
            </w:r>
            <w:r w:rsidR="0023533F">
              <w:t>)</w:t>
            </w:r>
            <w:r>
              <w:t>.</w:t>
            </w:r>
          </w:p>
        </w:tc>
        <w:tc>
          <w:tcPr>
            <w:tcW w:w="6120" w:type="dxa"/>
          </w:tcPr>
          <w:p w14:paraId="4D8C15E0" w14:textId="77777777" w:rsidR="002A21AE" w:rsidRDefault="002A21AE">
            <w:pPr>
              <w:pStyle w:val="TableTextBullet"/>
            </w:pPr>
            <w:r>
              <w:t>Displays fields for entering unit information.</w:t>
            </w:r>
          </w:p>
        </w:tc>
      </w:tr>
      <w:tr w:rsidR="002A21AE" w14:paraId="2BB5319A" w14:textId="77777777" w:rsidTr="001A459B">
        <w:trPr>
          <w:cantSplit/>
        </w:trPr>
        <w:tc>
          <w:tcPr>
            <w:tcW w:w="3240" w:type="dxa"/>
          </w:tcPr>
          <w:p w14:paraId="56D5FCB9" w14:textId="2B7D80B8" w:rsidR="002A21AE" w:rsidRDefault="002A21AE" w:rsidP="004D1052">
            <w:pPr>
              <w:pStyle w:val="TableTextNumbers"/>
            </w:pPr>
            <w:r>
              <w:lastRenderedPageBreak/>
              <w:t>For each unit to be added to the shipping invoice, scan the unit ID and product code barcodes or enter them in</w:t>
            </w:r>
            <w:r w:rsidR="007D28E0">
              <w:t xml:space="preserve"> the Unit ID and Product fields (</w:t>
            </w:r>
            <w:r w:rsidR="007D28E0">
              <w:fldChar w:fldCharType="begin"/>
            </w:r>
            <w:r w:rsidR="007D28E0">
              <w:instrText xml:space="preserve"> REF _Ref137886628 \h </w:instrText>
            </w:r>
            <w:r w:rsidR="007D28E0">
              <w:fldChar w:fldCharType="separate"/>
            </w:r>
            <w:r w:rsidR="004353ED">
              <w:t xml:space="preserve">Figure </w:t>
            </w:r>
            <w:r w:rsidR="004353ED">
              <w:rPr>
                <w:noProof/>
              </w:rPr>
              <w:t>70</w:t>
            </w:r>
            <w:r w:rsidR="007D28E0">
              <w:fldChar w:fldCharType="end"/>
            </w:r>
            <w:r w:rsidR="007D28E0">
              <w:t xml:space="preserve"> and </w:t>
            </w:r>
            <w:r w:rsidR="007D28E0">
              <w:fldChar w:fldCharType="begin"/>
            </w:r>
            <w:r w:rsidR="007D28E0">
              <w:instrText xml:space="preserve"> REF _Ref137886705 \h </w:instrText>
            </w:r>
            <w:r w:rsidR="007D28E0">
              <w:fldChar w:fldCharType="separate"/>
            </w:r>
            <w:r w:rsidR="004353ED">
              <w:t xml:space="preserve">Figure </w:t>
            </w:r>
            <w:r w:rsidR="004353ED">
              <w:rPr>
                <w:noProof/>
              </w:rPr>
              <w:t>71</w:t>
            </w:r>
            <w:r w:rsidR="007D28E0">
              <w:fldChar w:fldCharType="end"/>
            </w:r>
            <w:r w:rsidR="007D28E0">
              <w:t>).</w:t>
            </w:r>
          </w:p>
          <w:p w14:paraId="6A4D257D" w14:textId="77777777" w:rsidR="009567F0" w:rsidRDefault="009567F0" w:rsidP="009567F0">
            <w:pPr>
              <w:pStyle w:val="TableTextNumbers"/>
              <w:numPr>
                <w:ilvl w:val="0"/>
                <w:numId w:val="0"/>
              </w:numPr>
              <w:ind w:left="288" w:hanging="288"/>
            </w:pPr>
          </w:p>
          <w:p w14:paraId="2CA415E9" w14:textId="77777777" w:rsidR="009567F0" w:rsidRDefault="009567F0" w:rsidP="009567F0">
            <w:pPr>
              <w:pStyle w:val="TableTextNumbersContinued"/>
            </w:pPr>
            <w:r>
              <w:t xml:space="preserve">Click </w:t>
            </w:r>
            <w:r>
              <w:rPr>
                <w:b/>
              </w:rPr>
              <w:t>OK</w:t>
            </w:r>
            <w:r>
              <w:t>.</w:t>
            </w:r>
          </w:p>
        </w:tc>
        <w:tc>
          <w:tcPr>
            <w:tcW w:w="6120" w:type="dxa"/>
          </w:tcPr>
          <w:p w14:paraId="2DE95BE5" w14:textId="77777777" w:rsidR="002A21AE" w:rsidRDefault="002A21AE">
            <w:pPr>
              <w:pStyle w:val="TableTextBullet"/>
            </w:pPr>
            <w:r>
              <w:t>Displays corresponding unit data.</w:t>
            </w:r>
          </w:p>
          <w:p w14:paraId="6C772845" w14:textId="77777777" w:rsidR="002A21AE" w:rsidRDefault="002A21AE">
            <w:pPr>
              <w:pStyle w:val="TableText"/>
            </w:pPr>
          </w:p>
          <w:p w14:paraId="3250D53B" w14:textId="1165F8BC" w:rsidR="002A21AE" w:rsidRDefault="002A21AE">
            <w:pPr>
              <w:pStyle w:val="TableText"/>
              <w:rPr>
                <w:b/>
                <w:bCs/>
                <w:szCs w:val="18"/>
              </w:rPr>
            </w:pPr>
            <w:r>
              <w:rPr>
                <w:b/>
                <w:bCs/>
                <w:szCs w:val="18"/>
              </w:rPr>
              <w:t>NOTES</w:t>
            </w:r>
          </w:p>
          <w:p w14:paraId="6210FD24" w14:textId="77777777" w:rsidR="002A21AE" w:rsidRDefault="002A21AE">
            <w:pPr>
              <w:pStyle w:val="NotesText"/>
            </w:pPr>
          </w:p>
          <w:p w14:paraId="40CC3D92" w14:textId="77777777" w:rsidR="002A21AE" w:rsidRDefault="002A21AE">
            <w:pPr>
              <w:pStyle w:val="NotesText"/>
            </w:pPr>
            <w:r>
              <w:rPr>
                <w:rFonts w:cs="Arial"/>
                <w:vanish/>
              </w:rPr>
              <w:t xml:space="preserve">BR_11.15 </w:t>
            </w:r>
            <w:r>
              <w:t xml:space="preserve">When a unit selected for inclusion in a shipment is quarantined, VBECS </w:t>
            </w:r>
            <w:r>
              <w:rPr>
                <w:noProof/>
              </w:rPr>
              <w:t>warns the user and asks the user whether he wishes to continue.</w:t>
            </w:r>
            <w:r>
              <w:t xml:space="preserve"> </w:t>
            </w:r>
          </w:p>
          <w:p w14:paraId="7662EEAA" w14:textId="77777777" w:rsidR="002A21AE" w:rsidRDefault="002A21AE">
            <w:pPr>
              <w:pStyle w:val="NotesText"/>
            </w:pPr>
          </w:p>
          <w:p w14:paraId="4C6AEDC9" w14:textId="77777777" w:rsidR="002A21AE" w:rsidRDefault="002A21AE">
            <w:pPr>
              <w:pStyle w:val="NotesText"/>
            </w:pPr>
            <w:r>
              <w:rPr>
                <w:b/>
              </w:rPr>
              <w:t>No</w:t>
            </w:r>
            <w:r>
              <w:t xml:space="preserve"> clears the unit information and allows entry of a new unit or shipment process. </w:t>
            </w:r>
            <w:r>
              <w:rPr>
                <w:b/>
              </w:rPr>
              <w:t>Yes</w:t>
            </w:r>
            <w:r>
              <w:t xml:space="preserve"> adds the unit to the shipment.</w:t>
            </w:r>
          </w:p>
          <w:p w14:paraId="3D3125F1" w14:textId="77777777" w:rsidR="002A21AE" w:rsidRDefault="002A21AE">
            <w:pPr>
              <w:pStyle w:val="NotesText"/>
            </w:pPr>
          </w:p>
          <w:p w14:paraId="218953F0" w14:textId="77777777" w:rsidR="002A21AE" w:rsidRDefault="002A21AE">
            <w:pPr>
              <w:pStyle w:val="NotesText"/>
            </w:pPr>
            <w:r>
              <w:rPr>
                <w:rFonts w:cs="Arial"/>
                <w:vanish/>
              </w:rPr>
              <w:t xml:space="preserve">BR_11.03 </w:t>
            </w:r>
            <w:r>
              <w:t>VBECS allows the shipment or transfer of units located only in the same division as the user and in the blood bank (for “Limited,” “Available,” “Assigned,” and “Crossmatched” unit statuses only).</w:t>
            </w:r>
          </w:p>
          <w:p w14:paraId="2C65D94F" w14:textId="77777777" w:rsidR="002A21AE" w:rsidRDefault="002A21AE">
            <w:pPr>
              <w:pStyle w:val="NotesText"/>
            </w:pPr>
          </w:p>
          <w:p w14:paraId="5A4E6B3D" w14:textId="77777777" w:rsidR="002A21AE" w:rsidRDefault="002A21AE">
            <w:pPr>
              <w:pStyle w:val="NotesText"/>
            </w:pPr>
            <w:r>
              <w:rPr>
                <w:rFonts w:cs="Arial"/>
                <w:vanish/>
              </w:rPr>
              <w:t xml:space="preserve">BR_11.12 </w:t>
            </w:r>
            <w:r>
              <w:t>When a unit is expired, VBECS warns the user.</w:t>
            </w:r>
          </w:p>
          <w:p w14:paraId="0D74DE34" w14:textId="77777777" w:rsidR="002A21AE" w:rsidRDefault="002A21AE">
            <w:pPr>
              <w:pStyle w:val="NotesText"/>
            </w:pPr>
          </w:p>
          <w:p w14:paraId="577D189A" w14:textId="77777777" w:rsidR="002A21AE" w:rsidRDefault="002A21AE">
            <w:pPr>
              <w:pStyle w:val="NotesText"/>
            </w:pPr>
            <w:r>
              <w:rPr>
                <w:rFonts w:cs="Arial"/>
                <w:vanish/>
              </w:rPr>
              <w:t xml:space="preserve">BR_11.05 </w:t>
            </w:r>
            <w:r>
              <w:t xml:space="preserve">When units selected for shipment are assigned </w:t>
            </w:r>
            <w:r w:rsidR="0009383F">
              <w:t xml:space="preserve">or crossmatched </w:t>
            </w:r>
            <w:r>
              <w:t xml:space="preserve">to a patient, VBECS warns the user and asks the user whether to release the unit before shipping. </w:t>
            </w:r>
          </w:p>
          <w:p w14:paraId="7525B01F" w14:textId="77777777" w:rsidR="002A21AE" w:rsidRDefault="002A21AE">
            <w:pPr>
              <w:pStyle w:val="NotesText"/>
            </w:pPr>
          </w:p>
          <w:p w14:paraId="41E28FD8" w14:textId="77777777" w:rsidR="00D31A97" w:rsidRDefault="0009383F" w:rsidP="00D31A97">
            <w:pPr>
              <w:pStyle w:val="NotesText"/>
            </w:pPr>
            <w:r>
              <w:rPr>
                <w:b/>
              </w:rPr>
              <w:t>Yes</w:t>
            </w:r>
            <w:r>
              <w:t xml:space="preserve"> releases all patient assignments from the unit </w:t>
            </w:r>
            <w:r w:rsidRPr="00203AFF">
              <w:t>prior to adding the unit to the invoice (no assignment information is displayed on the invoice)</w:t>
            </w:r>
            <w:r>
              <w:t xml:space="preserve">. </w:t>
            </w:r>
            <w:r>
              <w:rPr>
                <w:b/>
              </w:rPr>
              <w:t>No</w:t>
            </w:r>
            <w:r>
              <w:t xml:space="preserve"> indicates that </w:t>
            </w:r>
            <w:r w:rsidRPr="00203AFF">
              <w:t>the outgoing shipment invoice must include the unit’s patient association details.</w:t>
            </w:r>
          </w:p>
        </w:tc>
      </w:tr>
      <w:tr w:rsidR="002A21AE" w14:paraId="20230549" w14:textId="77777777">
        <w:tc>
          <w:tcPr>
            <w:tcW w:w="3240" w:type="dxa"/>
            <w:tcBorders>
              <w:bottom w:val="single" w:sz="4" w:space="0" w:color="auto"/>
            </w:tcBorders>
          </w:tcPr>
          <w:p w14:paraId="613CBC82" w14:textId="77777777" w:rsidR="002A21AE" w:rsidRDefault="002A21AE">
            <w:pPr>
              <w:pStyle w:val="TableTextNumbers"/>
            </w:pPr>
            <w:r>
              <w:t xml:space="preserve">Respond to warnings, when indicated. </w:t>
            </w:r>
          </w:p>
          <w:p w14:paraId="72189FB7" w14:textId="77777777" w:rsidR="002A21AE" w:rsidRDefault="002A21AE">
            <w:pPr>
              <w:pStyle w:val="TableTextNumbersContinued"/>
            </w:pPr>
          </w:p>
          <w:p w14:paraId="35B41D2D" w14:textId="3F19F527" w:rsidR="002A21AE" w:rsidRDefault="002A21AE">
            <w:pPr>
              <w:pStyle w:val="TableTextNumbersContinued"/>
            </w:pPr>
            <w:r>
              <w:t>Clic</w:t>
            </w:r>
            <w:r>
              <w:rPr>
                <w:rStyle w:val="TableTextNumbersContinuedChar"/>
              </w:rPr>
              <w:t xml:space="preserve">k </w:t>
            </w:r>
            <w:r>
              <w:rPr>
                <w:rStyle w:val="TableTextNumbersContinuedChar"/>
                <w:b/>
              </w:rPr>
              <w:t>Select</w:t>
            </w:r>
            <w:r>
              <w:rPr>
                <w:rStyle w:val="TableTextNumbersContinuedChar"/>
              </w:rPr>
              <w:t xml:space="preserve"> to add the selected unit t</w:t>
            </w:r>
            <w:r>
              <w:t xml:space="preserve">o the shipping invoice or click </w:t>
            </w:r>
            <w:r>
              <w:rPr>
                <w:b/>
              </w:rPr>
              <w:t>Clear</w:t>
            </w:r>
            <w:r>
              <w:t xml:space="preserve"> to delete a unit</w:t>
            </w:r>
            <w:r w:rsidR="00AA511E">
              <w:t xml:space="preserve"> (</w:t>
            </w:r>
            <w:r w:rsidR="00AA511E">
              <w:fldChar w:fldCharType="begin"/>
            </w:r>
            <w:r w:rsidR="00AA511E">
              <w:instrText xml:space="preserve"> REF _Ref137888427 \h </w:instrText>
            </w:r>
            <w:r w:rsidR="00AA511E">
              <w:fldChar w:fldCharType="separate"/>
            </w:r>
            <w:r w:rsidR="004353ED">
              <w:t xml:space="preserve">Figure </w:t>
            </w:r>
            <w:r w:rsidR="004353ED">
              <w:rPr>
                <w:noProof/>
              </w:rPr>
              <w:t>72</w:t>
            </w:r>
            <w:r w:rsidR="00AA511E">
              <w:fldChar w:fldCharType="end"/>
            </w:r>
            <w:r w:rsidR="00AA511E">
              <w:t>)</w:t>
            </w:r>
            <w:r>
              <w:t>.</w:t>
            </w:r>
          </w:p>
        </w:tc>
        <w:tc>
          <w:tcPr>
            <w:tcW w:w="6120" w:type="dxa"/>
            <w:tcBorders>
              <w:bottom w:val="single" w:sz="4" w:space="0" w:color="auto"/>
            </w:tcBorders>
          </w:tcPr>
          <w:p w14:paraId="59D01E30" w14:textId="77777777" w:rsidR="002A21AE" w:rsidRDefault="002A21AE">
            <w:pPr>
              <w:pStyle w:val="TableTextBullet"/>
            </w:pPr>
            <w:r>
              <w:t xml:space="preserve">Adds unit to </w:t>
            </w:r>
            <w:r w:rsidR="00F2752C">
              <w:t xml:space="preserve">or removes </w:t>
            </w:r>
            <w:r w:rsidR="005E58CF">
              <w:t>unit</w:t>
            </w:r>
            <w:r w:rsidR="00F2752C">
              <w:t xml:space="preserve"> from </w:t>
            </w:r>
            <w:r>
              <w:t>a temporary list of selected units.</w:t>
            </w:r>
          </w:p>
        </w:tc>
      </w:tr>
      <w:tr w:rsidR="00351221" w14:paraId="552EE931" w14:textId="77777777">
        <w:tc>
          <w:tcPr>
            <w:tcW w:w="3240" w:type="dxa"/>
            <w:tcBorders>
              <w:bottom w:val="single" w:sz="4" w:space="0" w:color="auto"/>
            </w:tcBorders>
          </w:tcPr>
          <w:p w14:paraId="7A8E7FEE" w14:textId="77777777" w:rsidR="00CB20E3" w:rsidRDefault="00CB20E3" w:rsidP="00CB20E3">
            <w:pPr>
              <w:pStyle w:val="TableTextNumbers"/>
            </w:pPr>
            <w:r>
              <w:t xml:space="preserve">Repeat Steps 5 and 6 until all units for outgoing shipment are entered. </w:t>
            </w:r>
          </w:p>
          <w:p w14:paraId="47CED96D" w14:textId="77777777" w:rsidR="00CB20E3" w:rsidRDefault="00CB20E3" w:rsidP="00CB20E3">
            <w:pPr>
              <w:pStyle w:val="TableTextNumbersContinued"/>
            </w:pPr>
          </w:p>
          <w:p w14:paraId="65781020" w14:textId="554665F6" w:rsidR="00CB20E3" w:rsidRDefault="00CB20E3" w:rsidP="00CB20E3">
            <w:pPr>
              <w:pStyle w:val="TableTextNumbersContinued"/>
            </w:pPr>
            <w:r>
              <w:t xml:space="preserve">Click </w:t>
            </w:r>
            <w:r>
              <w:rPr>
                <w:b/>
              </w:rPr>
              <w:t>Save</w:t>
            </w:r>
            <w:r>
              <w:t xml:space="preserve"> to save the information entered</w:t>
            </w:r>
            <w:r w:rsidR="00AA511E">
              <w:t xml:space="preserve"> (</w:t>
            </w:r>
            <w:r w:rsidR="00AA511E">
              <w:fldChar w:fldCharType="begin"/>
            </w:r>
            <w:r w:rsidR="00AA511E">
              <w:instrText xml:space="preserve"> REF _Ref137888482 \h </w:instrText>
            </w:r>
            <w:r w:rsidR="00AA511E">
              <w:fldChar w:fldCharType="separate"/>
            </w:r>
            <w:r w:rsidR="004353ED">
              <w:t xml:space="preserve">Figure </w:t>
            </w:r>
            <w:r w:rsidR="004353ED">
              <w:rPr>
                <w:noProof/>
              </w:rPr>
              <w:t>73</w:t>
            </w:r>
            <w:r w:rsidR="00AA511E">
              <w:fldChar w:fldCharType="end"/>
            </w:r>
            <w:r w:rsidR="00AA511E">
              <w:t xml:space="preserve">) and </w:t>
            </w:r>
            <w:r w:rsidR="00AA511E" w:rsidRPr="00AA511E">
              <w:rPr>
                <w:b/>
              </w:rPr>
              <w:t>Yes</w:t>
            </w:r>
            <w:r w:rsidR="00AA511E">
              <w:t xml:space="preserve"> to confirm the save</w:t>
            </w:r>
            <w:r>
              <w:t>.</w:t>
            </w:r>
          </w:p>
          <w:p w14:paraId="4A0F7A2F" w14:textId="77777777" w:rsidR="00CB20E3" w:rsidRDefault="00CB20E3" w:rsidP="00CB20E3">
            <w:pPr>
              <w:pStyle w:val="TableTextNumbersContinued"/>
            </w:pPr>
          </w:p>
          <w:p w14:paraId="4ECF3FC1" w14:textId="217A800A" w:rsidR="003B03EA" w:rsidRDefault="00CB20E3" w:rsidP="005C043C">
            <w:pPr>
              <w:pStyle w:val="TableTextNumbersContinued"/>
            </w:pPr>
            <w:r>
              <w:t xml:space="preserve">To cancel the shipment, click </w:t>
            </w:r>
            <w:r>
              <w:rPr>
                <w:b/>
              </w:rPr>
              <w:t>Cancel Shipment</w:t>
            </w:r>
            <w:r>
              <w:t xml:space="preserve">, then </w:t>
            </w:r>
            <w:r>
              <w:rPr>
                <w:b/>
              </w:rPr>
              <w:t>Yes</w:t>
            </w:r>
            <w:r>
              <w:t xml:space="preserve"> to delete the invoice and return to Step 1 to begin again, or click </w:t>
            </w:r>
            <w:r>
              <w:rPr>
                <w:b/>
              </w:rPr>
              <w:t>No</w:t>
            </w:r>
            <w:r>
              <w:t xml:space="preserve"> to return to the invoice</w:t>
            </w:r>
            <w:r w:rsidR="00AA511E">
              <w:t xml:space="preserve"> (</w:t>
            </w:r>
            <w:r w:rsidR="00AA511E">
              <w:fldChar w:fldCharType="begin"/>
            </w:r>
            <w:r w:rsidR="00AA511E">
              <w:instrText xml:space="preserve"> REF _Ref137888790 \h </w:instrText>
            </w:r>
            <w:r w:rsidR="00AA511E">
              <w:fldChar w:fldCharType="separate"/>
            </w:r>
            <w:r w:rsidR="004353ED">
              <w:t xml:space="preserve">Figure </w:t>
            </w:r>
            <w:r w:rsidR="004353ED">
              <w:rPr>
                <w:noProof/>
              </w:rPr>
              <w:t>74</w:t>
            </w:r>
            <w:r w:rsidR="00AA511E">
              <w:fldChar w:fldCharType="end"/>
            </w:r>
            <w:r w:rsidR="00AA511E">
              <w:t>)</w:t>
            </w:r>
            <w:r>
              <w:t>.</w:t>
            </w:r>
          </w:p>
        </w:tc>
        <w:tc>
          <w:tcPr>
            <w:tcW w:w="6120" w:type="dxa"/>
            <w:tcBorders>
              <w:bottom w:val="single" w:sz="4" w:space="0" w:color="auto"/>
            </w:tcBorders>
          </w:tcPr>
          <w:p w14:paraId="7FCDB16A" w14:textId="77777777" w:rsidR="00CB20E3" w:rsidRDefault="00CB20E3" w:rsidP="00CB20E3">
            <w:pPr>
              <w:pStyle w:val="TableTextBullet"/>
            </w:pPr>
            <w:r>
              <w:t xml:space="preserve">Displays shipment information. </w:t>
            </w:r>
          </w:p>
          <w:p w14:paraId="111C3BB4" w14:textId="77777777" w:rsidR="00CB20E3" w:rsidRDefault="00CB20E3" w:rsidP="00CB20E3">
            <w:pPr>
              <w:pStyle w:val="TableTextBullet"/>
            </w:pPr>
            <w:r>
              <w:t xml:space="preserve">When a user clicks </w:t>
            </w:r>
            <w:r>
              <w:rPr>
                <w:b/>
              </w:rPr>
              <w:t>Cancel Shipment</w:t>
            </w:r>
            <w:r>
              <w:t xml:space="preserve">, asks whether the user wants to remove all units from the invoice. </w:t>
            </w:r>
            <w:r>
              <w:rPr>
                <w:b/>
              </w:rPr>
              <w:t>Yes</w:t>
            </w:r>
            <w:r>
              <w:t xml:space="preserve"> deletes the invoice. </w:t>
            </w:r>
            <w:r>
              <w:rPr>
                <w:b/>
              </w:rPr>
              <w:t xml:space="preserve">No </w:t>
            </w:r>
            <w:r>
              <w:t>returns to the invoice.</w:t>
            </w:r>
          </w:p>
          <w:p w14:paraId="032B162D" w14:textId="77777777" w:rsidR="00CB20E3" w:rsidRDefault="00CB20E3" w:rsidP="00CB20E3">
            <w:pPr>
              <w:pStyle w:val="TableText"/>
            </w:pPr>
          </w:p>
          <w:p w14:paraId="26FE6F27" w14:textId="1003F3E1" w:rsidR="00CB20E3" w:rsidRDefault="00CB20E3" w:rsidP="00CB20E3">
            <w:pPr>
              <w:pStyle w:val="TableText"/>
              <w:rPr>
                <w:b/>
                <w:bCs/>
                <w:szCs w:val="18"/>
              </w:rPr>
            </w:pPr>
            <w:r>
              <w:rPr>
                <w:b/>
                <w:bCs/>
                <w:szCs w:val="18"/>
              </w:rPr>
              <w:t>NOTES</w:t>
            </w:r>
          </w:p>
          <w:p w14:paraId="09FAE47E" w14:textId="77777777" w:rsidR="00CB20E3" w:rsidRDefault="00CB20E3" w:rsidP="00CB20E3">
            <w:pPr>
              <w:pStyle w:val="NotesText"/>
            </w:pPr>
          </w:p>
          <w:p w14:paraId="791C7E87" w14:textId="77777777" w:rsidR="00351221" w:rsidRDefault="00CB20E3" w:rsidP="00CB20E3">
            <w:pPr>
              <w:pStyle w:val="TableTextBullet"/>
            </w:pPr>
            <w:r>
              <w:t>A user may add or delete units from a temporary list before accepting the information entered.</w:t>
            </w:r>
          </w:p>
        </w:tc>
      </w:tr>
      <w:tr w:rsidR="005C043C" w14:paraId="2CDCEF8E" w14:textId="77777777" w:rsidTr="001A459B">
        <w:trPr>
          <w:cantSplit/>
        </w:trPr>
        <w:tc>
          <w:tcPr>
            <w:tcW w:w="3240" w:type="dxa"/>
            <w:tcBorders>
              <w:bottom w:val="single" w:sz="4" w:space="0" w:color="auto"/>
            </w:tcBorders>
          </w:tcPr>
          <w:p w14:paraId="03B4E93A" w14:textId="1944EA23" w:rsidR="005C043C" w:rsidRDefault="005C043C" w:rsidP="005C043C">
            <w:pPr>
              <w:pStyle w:val="TableTextNumbers"/>
            </w:pPr>
            <w:r>
              <w:lastRenderedPageBreak/>
              <w:t xml:space="preserve">To change the return credit amount for a unit in a “Return to Shipper” unconfirmed shipment, select a unit and right-click the mouse. Select </w:t>
            </w:r>
            <w:r>
              <w:rPr>
                <w:b/>
                <w:bCs/>
              </w:rPr>
              <w:t>Return Credit Update</w:t>
            </w:r>
            <w:r w:rsidR="00AA511E">
              <w:rPr>
                <w:b/>
                <w:bCs/>
              </w:rPr>
              <w:t xml:space="preserve"> </w:t>
            </w:r>
            <w:r w:rsidR="00AA511E" w:rsidRPr="00AA511E">
              <w:rPr>
                <w:bCs/>
              </w:rPr>
              <w:t>(</w:t>
            </w:r>
            <w:r w:rsidR="00AA511E">
              <w:rPr>
                <w:bCs/>
              </w:rPr>
              <w:fldChar w:fldCharType="begin"/>
            </w:r>
            <w:r w:rsidR="00AA511E">
              <w:rPr>
                <w:bCs/>
              </w:rPr>
              <w:instrText xml:space="preserve"> REF _Ref137888867 \h </w:instrText>
            </w:r>
            <w:r w:rsidR="00AA511E">
              <w:rPr>
                <w:bCs/>
              </w:rPr>
            </w:r>
            <w:r w:rsidR="00AA511E">
              <w:rPr>
                <w:bCs/>
              </w:rPr>
              <w:fldChar w:fldCharType="separate"/>
            </w:r>
            <w:r w:rsidR="004353ED">
              <w:t xml:space="preserve">Figure </w:t>
            </w:r>
            <w:r w:rsidR="004353ED">
              <w:rPr>
                <w:noProof/>
              </w:rPr>
              <w:t>75</w:t>
            </w:r>
            <w:r w:rsidR="00AA511E">
              <w:rPr>
                <w:bCs/>
              </w:rPr>
              <w:fldChar w:fldCharType="end"/>
            </w:r>
            <w:r w:rsidR="00AA511E" w:rsidRPr="00AA511E">
              <w:rPr>
                <w:bCs/>
              </w:rPr>
              <w:t>)</w:t>
            </w:r>
            <w:r>
              <w:t>.</w:t>
            </w:r>
          </w:p>
          <w:p w14:paraId="4E64032D" w14:textId="77777777" w:rsidR="005C043C" w:rsidRDefault="005C043C" w:rsidP="005C043C">
            <w:pPr>
              <w:pStyle w:val="TableTextNumbersContinued"/>
            </w:pPr>
          </w:p>
          <w:p w14:paraId="6DDABC85" w14:textId="77777777" w:rsidR="005C043C" w:rsidRDefault="005C043C" w:rsidP="005C043C">
            <w:pPr>
              <w:pStyle w:val="TableTextNumbersContinued"/>
            </w:pPr>
            <w:r>
              <w:t xml:space="preserve">Enter the return credit amount. </w:t>
            </w:r>
          </w:p>
          <w:p w14:paraId="7B7F3F16" w14:textId="77777777" w:rsidR="005C043C" w:rsidRDefault="005C043C" w:rsidP="005C043C">
            <w:pPr>
              <w:pStyle w:val="TableTextNumbersContinued"/>
            </w:pPr>
          </w:p>
          <w:p w14:paraId="5BA42A19" w14:textId="77777777" w:rsidR="005C043C" w:rsidRDefault="005C043C" w:rsidP="005C043C">
            <w:pPr>
              <w:pStyle w:val="TableTextNumbersContinued"/>
            </w:pPr>
            <w:r>
              <w:t xml:space="preserve">Click </w:t>
            </w:r>
            <w:r>
              <w:rPr>
                <w:b/>
              </w:rPr>
              <w:t>OK</w:t>
            </w:r>
            <w:r>
              <w:t xml:space="preserve"> to save the information entered or </w:t>
            </w:r>
            <w:r>
              <w:rPr>
                <w:b/>
              </w:rPr>
              <w:t>Cancel</w:t>
            </w:r>
            <w:r>
              <w:t xml:space="preserve"> to return to the invoice.</w:t>
            </w:r>
          </w:p>
        </w:tc>
        <w:tc>
          <w:tcPr>
            <w:tcW w:w="6120" w:type="dxa"/>
            <w:tcBorders>
              <w:bottom w:val="single" w:sz="4" w:space="0" w:color="auto"/>
            </w:tcBorders>
          </w:tcPr>
          <w:p w14:paraId="43EFEBB4" w14:textId="77777777" w:rsidR="0035003C" w:rsidRDefault="0035003C" w:rsidP="0035003C">
            <w:pPr>
              <w:pStyle w:val="TableTextBullet"/>
            </w:pPr>
            <w:r>
              <w:t xml:space="preserve">Prompts the user to accept the new amount. </w:t>
            </w:r>
          </w:p>
          <w:p w14:paraId="6632446F" w14:textId="77777777" w:rsidR="005C043C" w:rsidRDefault="0035003C" w:rsidP="0035003C">
            <w:pPr>
              <w:pStyle w:val="TableTextBullet"/>
            </w:pPr>
            <w:r>
              <w:t>Returns to the invoice and displays the return credit amount on the invoice.</w:t>
            </w:r>
          </w:p>
          <w:p w14:paraId="317853AE" w14:textId="77777777" w:rsidR="00FC12DC" w:rsidRDefault="00FC12DC" w:rsidP="00FC12DC">
            <w:pPr>
              <w:pStyle w:val="TableTextBullet"/>
            </w:pPr>
            <w:r>
              <w:t>Displays the unit’s financial information and allows the user to edit the return credit amount.</w:t>
            </w:r>
          </w:p>
          <w:p w14:paraId="702F0FA0" w14:textId="77777777" w:rsidR="00FC12DC" w:rsidRDefault="00FC12DC" w:rsidP="00FC12DC">
            <w:pPr>
              <w:pStyle w:val="TableText"/>
            </w:pPr>
          </w:p>
          <w:p w14:paraId="58777006" w14:textId="02AFBF55" w:rsidR="00FC12DC" w:rsidRDefault="00FC12DC" w:rsidP="00FC12DC">
            <w:pPr>
              <w:pStyle w:val="TableText"/>
              <w:rPr>
                <w:b/>
              </w:rPr>
            </w:pPr>
            <w:r>
              <w:rPr>
                <w:b/>
              </w:rPr>
              <w:t>NOTES</w:t>
            </w:r>
          </w:p>
          <w:p w14:paraId="79117C9A" w14:textId="77777777" w:rsidR="00FC12DC" w:rsidRDefault="00FC12DC" w:rsidP="00FC12DC">
            <w:pPr>
              <w:pStyle w:val="NotesText"/>
            </w:pPr>
          </w:p>
          <w:p w14:paraId="2EE62BC3" w14:textId="77777777" w:rsidR="00FC12DC" w:rsidRDefault="00FC12DC" w:rsidP="00FC12DC">
            <w:pPr>
              <w:pStyle w:val="NotesText"/>
            </w:pPr>
            <w:r>
              <w:rPr>
                <w:rFonts w:cs="Arial"/>
                <w:vanish/>
              </w:rPr>
              <w:t xml:space="preserve">BR_11.14 </w:t>
            </w:r>
            <w:r>
              <w:t>VBECS applies a return credit (equal to the return credit percentage of the original cost of the unit) to units processed in an outgoing shipment to the original shipper. Users may edit return credits for individual units.</w:t>
            </w:r>
          </w:p>
          <w:p w14:paraId="4F29AF95" w14:textId="77777777" w:rsidR="00FC12DC" w:rsidRDefault="00FC12DC" w:rsidP="00FC12DC">
            <w:pPr>
              <w:pStyle w:val="NotesText"/>
            </w:pPr>
          </w:p>
          <w:p w14:paraId="0D41B582" w14:textId="39A13DB3" w:rsidR="00FC12DC" w:rsidRDefault="00FC12DC" w:rsidP="00FC12DC">
            <w:pPr>
              <w:pStyle w:val="NotesText"/>
            </w:pPr>
            <w:r>
              <w:t xml:space="preserve">Instead of right-clicking the mouse, a user may press the application key </w:t>
            </w:r>
            <w:r>
              <w:rPr>
                <w:sz w:val="16"/>
                <w:szCs w:val="16"/>
              </w:rPr>
              <w:t>(</w:t>
            </w:r>
            <w:r w:rsidR="004D0A41">
              <w:rPr>
                <w:noProof/>
              </w:rPr>
              <w:drawing>
                <wp:inline distT="0" distB="0" distL="0" distR="0" wp14:anchorId="79C8DC88" wp14:editId="36EA9D66">
                  <wp:extent cx="156845" cy="156845"/>
                  <wp:effectExtent l="0" t="0" r="0" b="0"/>
                  <wp:docPr id="3" name="Picture 3">
                    <a:hlinkClick xmlns:a="http://schemas.openxmlformats.org/drawingml/2006/main" r:id="rId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80"/>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Pr>
                <w:sz w:val="16"/>
                <w:szCs w:val="16"/>
              </w:rPr>
              <w:t xml:space="preserve">) </w:t>
            </w:r>
            <w:r>
              <w:t>on the keyboard.</w:t>
            </w:r>
          </w:p>
        </w:tc>
      </w:tr>
      <w:tr w:rsidR="002A21AE" w14:paraId="571421F9" w14:textId="77777777">
        <w:tc>
          <w:tcPr>
            <w:tcW w:w="3240" w:type="dxa"/>
            <w:tcBorders>
              <w:bottom w:val="single" w:sz="4" w:space="0" w:color="auto"/>
            </w:tcBorders>
          </w:tcPr>
          <w:p w14:paraId="32DEDE52" w14:textId="19D9AB71" w:rsidR="002A21AE" w:rsidRDefault="002A21AE" w:rsidP="00670529">
            <w:pPr>
              <w:pStyle w:val="TableTextNumbers"/>
            </w:pPr>
            <w:r>
              <w:t xml:space="preserve">To confirm the shipment, click </w:t>
            </w:r>
            <w:r w:rsidR="00AA511E">
              <w:rPr>
                <w:b/>
              </w:rPr>
              <w:t>Save</w:t>
            </w:r>
            <w:r>
              <w:t xml:space="preserve">, then </w:t>
            </w:r>
            <w:r w:rsidR="00AA511E">
              <w:rPr>
                <w:b/>
              </w:rPr>
              <w:t>Yes</w:t>
            </w:r>
            <w:r>
              <w:t xml:space="preserve"> to save the invoice, or </w:t>
            </w:r>
            <w:r>
              <w:rPr>
                <w:b/>
              </w:rPr>
              <w:t>Cancel</w:t>
            </w:r>
            <w:r>
              <w:t xml:space="preserve"> to return to the invoice</w:t>
            </w:r>
            <w:r w:rsidR="00AA511E">
              <w:t xml:space="preserve"> (</w:t>
            </w:r>
            <w:r w:rsidR="00AA511E">
              <w:fldChar w:fldCharType="begin"/>
            </w:r>
            <w:r w:rsidR="00AA511E">
              <w:instrText xml:space="preserve"> REF _Ref137889266 \h </w:instrText>
            </w:r>
            <w:r w:rsidR="00AA511E">
              <w:fldChar w:fldCharType="separate"/>
            </w:r>
            <w:r w:rsidR="004353ED">
              <w:t xml:space="preserve">Figure </w:t>
            </w:r>
            <w:r w:rsidR="004353ED">
              <w:rPr>
                <w:noProof/>
              </w:rPr>
              <w:t>76</w:t>
            </w:r>
            <w:r w:rsidR="00AA511E">
              <w:fldChar w:fldCharType="end"/>
            </w:r>
            <w:r w:rsidR="00AA511E">
              <w:t>)</w:t>
            </w:r>
            <w:r>
              <w:t>.</w:t>
            </w:r>
          </w:p>
          <w:p w14:paraId="2B03D16C" w14:textId="77777777" w:rsidR="002A21AE" w:rsidRDefault="002A21AE">
            <w:pPr>
              <w:pStyle w:val="TableTextNumbersContinued"/>
            </w:pPr>
          </w:p>
          <w:p w14:paraId="4C85E9B6" w14:textId="77777777" w:rsidR="002A21AE" w:rsidRDefault="002A21AE">
            <w:pPr>
              <w:pStyle w:val="TableTextNumbersContinued"/>
            </w:pPr>
            <w:r>
              <w:t xml:space="preserve">Click </w:t>
            </w:r>
            <w:r>
              <w:rPr>
                <w:b/>
              </w:rPr>
              <w:t>Print Invoice</w:t>
            </w:r>
            <w:r>
              <w:t xml:space="preserve"> to generate and view an invoice.</w:t>
            </w:r>
          </w:p>
          <w:p w14:paraId="4863BDEA" w14:textId="77777777" w:rsidR="002A21AE" w:rsidRDefault="002A21AE">
            <w:pPr>
              <w:pStyle w:val="TableTextNumbersContinued"/>
            </w:pPr>
          </w:p>
          <w:p w14:paraId="357988D5" w14:textId="77777777" w:rsidR="002A21AE" w:rsidRDefault="002A21AE">
            <w:pPr>
              <w:pStyle w:val="TableTextNumbersContinued"/>
            </w:pPr>
            <w:r>
              <w:t xml:space="preserve">Click </w:t>
            </w:r>
            <w:r w:rsidR="00172C39">
              <w:rPr>
                <w:b/>
              </w:rPr>
              <w:t>P</w:t>
            </w:r>
            <w:r>
              <w:rPr>
                <w:b/>
              </w:rPr>
              <w:t xml:space="preserve">rinter </w:t>
            </w:r>
            <w:r>
              <w:t xml:space="preserve">to print an invoice to send with the shipment or click </w:t>
            </w:r>
            <w:r w:rsidR="00007EFF" w:rsidRPr="00007EFF">
              <w:rPr>
                <w:b/>
              </w:rPr>
              <w:t>Close</w:t>
            </w:r>
            <w:r>
              <w:t xml:space="preserve"> to return to the invoice.</w:t>
            </w:r>
          </w:p>
          <w:p w14:paraId="12833085" w14:textId="77777777" w:rsidR="002A21AE" w:rsidRDefault="002A21AE">
            <w:pPr>
              <w:pStyle w:val="TableTextNumbersContinued"/>
            </w:pPr>
          </w:p>
          <w:p w14:paraId="4DE90953" w14:textId="77777777" w:rsidR="002A21AE" w:rsidRDefault="002A21AE">
            <w:pPr>
              <w:pStyle w:val="TableTextNumbersContinued"/>
            </w:pPr>
            <w:r>
              <w:t xml:space="preserve">Click </w:t>
            </w:r>
            <w:r>
              <w:rPr>
                <w:b/>
              </w:rPr>
              <w:t>Cancel</w:t>
            </w:r>
            <w:r>
              <w:t xml:space="preserve"> to exit or move to Step 9 to change a return credit amount.</w:t>
            </w:r>
          </w:p>
        </w:tc>
        <w:tc>
          <w:tcPr>
            <w:tcW w:w="6120" w:type="dxa"/>
            <w:tcBorders>
              <w:bottom w:val="single" w:sz="4" w:space="0" w:color="auto"/>
            </w:tcBorders>
          </w:tcPr>
          <w:p w14:paraId="00179909" w14:textId="77777777" w:rsidR="008F675A" w:rsidRDefault="008F675A" w:rsidP="008F675A">
            <w:pPr>
              <w:pStyle w:val="TableText"/>
            </w:pPr>
          </w:p>
          <w:p w14:paraId="2456A69E" w14:textId="2B4BC306" w:rsidR="008F675A" w:rsidRDefault="008F675A" w:rsidP="008F675A">
            <w:pPr>
              <w:pStyle w:val="TableText"/>
              <w:rPr>
                <w:b/>
              </w:rPr>
            </w:pPr>
            <w:r>
              <w:rPr>
                <w:b/>
              </w:rPr>
              <w:t>NOTES</w:t>
            </w:r>
          </w:p>
          <w:p w14:paraId="2B42C5A8" w14:textId="77777777" w:rsidR="008F675A" w:rsidRDefault="008F675A" w:rsidP="008F675A">
            <w:pPr>
              <w:pStyle w:val="NotesText"/>
            </w:pPr>
          </w:p>
          <w:p w14:paraId="3BA57F5F" w14:textId="77777777" w:rsidR="002A21AE" w:rsidRDefault="008F675A" w:rsidP="008F675A">
            <w:pPr>
              <w:pStyle w:val="NotesText"/>
            </w:pPr>
            <w:r>
              <w:rPr>
                <w:rFonts w:cs="Arial"/>
                <w:vanish/>
              </w:rPr>
              <w:t>BR_11.21</w:t>
            </w:r>
            <w:r w:rsidRPr="00203AFF">
              <w:t xml:space="preserve">When units selected for shipment are currently </w:t>
            </w:r>
            <w:r>
              <w:t>restricted to a patient and the donation type of the unit is Voluntary Allogeneic, in addition to releasing the patient assignment, VBECS al</w:t>
            </w:r>
            <w:r w:rsidR="00B21CEA">
              <w:t>so removes the unit restriction in a Transfusion Only division configuration.</w:t>
            </w:r>
            <w:r w:rsidR="002A21AE">
              <w:t xml:space="preserve"> </w:t>
            </w:r>
          </w:p>
        </w:tc>
      </w:tr>
      <w:tr w:rsidR="002A21AE" w14:paraId="73CEFB2E" w14:textId="77777777">
        <w:tc>
          <w:tcPr>
            <w:tcW w:w="3240" w:type="dxa"/>
          </w:tcPr>
          <w:p w14:paraId="3A682BB8" w14:textId="77777777" w:rsidR="002A21AE" w:rsidRDefault="002A21AE" w:rsidP="00007EFF">
            <w:pPr>
              <w:pStyle w:val="TableTextNumbers"/>
            </w:pPr>
            <w:r>
              <w:t xml:space="preserve">Cancel or confirm the shipment as in Step </w:t>
            </w:r>
            <w:r w:rsidR="00007EFF">
              <w:t>9</w:t>
            </w:r>
            <w:r>
              <w:t>.</w:t>
            </w:r>
          </w:p>
        </w:tc>
        <w:tc>
          <w:tcPr>
            <w:tcW w:w="6120" w:type="dxa"/>
          </w:tcPr>
          <w:p w14:paraId="4961F8A7" w14:textId="77777777" w:rsidR="002A21AE" w:rsidRDefault="002A21AE">
            <w:pPr>
              <w:pStyle w:val="TableTextBullet"/>
            </w:pPr>
            <w:r>
              <w:t>Displays a “Confirm Shipment” option and stores the open invoice until the user chooses to complete the shipment.</w:t>
            </w:r>
          </w:p>
          <w:p w14:paraId="4E8CEB18" w14:textId="77777777" w:rsidR="002A21AE" w:rsidRDefault="002A21AE">
            <w:pPr>
              <w:pStyle w:val="TableText"/>
            </w:pPr>
          </w:p>
          <w:p w14:paraId="0F23DC0D" w14:textId="148577EE" w:rsidR="002A21AE" w:rsidRDefault="002A21AE">
            <w:pPr>
              <w:pStyle w:val="TableText"/>
              <w:rPr>
                <w:b/>
                <w:bCs/>
                <w:szCs w:val="18"/>
              </w:rPr>
            </w:pPr>
            <w:r>
              <w:rPr>
                <w:b/>
                <w:bCs/>
                <w:szCs w:val="18"/>
              </w:rPr>
              <w:t>NOTES</w:t>
            </w:r>
          </w:p>
          <w:p w14:paraId="6DBD9A83" w14:textId="77777777" w:rsidR="002A21AE" w:rsidRDefault="002A21AE">
            <w:pPr>
              <w:pStyle w:val="NotesText"/>
            </w:pPr>
          </w:p>
          <w:p w14:paraId="1DDD91D9" w14:textId="77777777" w:rsidR="002A21AE" w:rsidRDefault="002A21AE">
            <w:pPr>
              <w:pStyle w:val="NotesText"/>
            </w:pPr>
            <w:r>
              <w:rPr>
                <w:rFonts w:cs="Arial"/>
                <w:vanish/>
              </w:rPr>
              <w:t xml:space="preserve">BR_11.18 </w:t>
            </w:r>
            <w:r>
              <w:t>When a shipment is saved but not confirmed, VBECS displays “NOT CONFIRMED” as the shipment date on the print version of the invoice.</w:t>
            </w:r>
          </w:p>
          <w:p w14:paraId="5830E7DB" w14:textId="77777777" w:rsidR="002A21AE" w:rsidRDefault="002A21AE">
            <w:pPr>
              <w:pStyle w:val="NotesText"/>
            </w:pPr>
          </w:p>
          <w:p w14:paraId="673B94F9" w14:textId="77777777" w:rsidR="002A21AE" w:rsidRDefault="002A21AE">
            <w:pPr>
              <w:pStyle w:val="NotesText"/>
            </w:pPr>
            <w:r>
              <w:rPr>
                <w:rFonts w:cs="Arial"/>
                <w:vanish/>
              </w:rPr>
              <w:t xml:space="preserve">BR_17.02 </w:t>
            </w:r>
            <w:r>
              <w:t>The shipping invoice includes patient assignment, restriction, quarantine indicator, biohazard information, antigen typing (specificity and interpretation only), special testing information, and (when it is in a unit record) the autologous unit testing status.</w:t>
            </w:r>
          </w:p>
        </w:tc>
      </w:tr>
      <w:tr w:rsidR="002A21AE" w14:paraId="0BFAF546" w14:textId="77777777" w:rsidTr="001A459B">
        <w:trPr>
          <w:cantSplit/>
        </w:trPr>
        <w:tc>
          <w:tcPr>
            <w:tcW w:w="3240" w:type="dxa"/>
          </w:tcPr>
          <w:p w14:paraId="66871509" w14:textId="77777777" w:rsidR="002A21AE" w:rsidRDefault="002A21AE">
            <w:pPr>
              <w:pStyle w:val="TableTextNumbers"/>
            </w:pPr>
            <w:r>
              <w:lastRenderedPageBreak/>
              <w:t>When the shipment is confirmed, select or edit the date and time in the Shipment Date/Time field.</w:t>
            </w:r>
          </w:p>
          <w:p w14:paraId="673EE7E3" w14:textId="77777777" w:rsidR="002A21AE" w:rsidRDefault="002A21AE">
            <w:pPr>
              <w:pStyle w:val="TableTextNumbersContinued"/>
            </w:pPr>
          </w:p>
          <w:p w14:paraId="7352E5B3" w14:textId="77777777" w:rsidR="002A21AE" w:rsidRDefault="002A21AE">
            <w:pPr>
              <w:pStyle w:val="TableTextNumbersContinued"/>
            </w:pPr>
            <w:r>
              <w:t xml:space="preserve">Click </w:t>
            </w:r>
            <w:r>
              <w:rPr>
                <w:b/>
              </w:rPr>
              <w:t>OK</w:t>
            </w:r>
            <w:r>
              <w:t xml:space="preserve"> to save the information entered or </w:t>
            </w:r>
            <w:r>
              <w:rPr>
                <w:b/>
              </w:rPr>
              <w:t>Cancel</w:t>
            </w:r>
            <w:r>
              <w:t xml:space="preserve"> to return to the invoice.</w:t>
            </w:r>
          </w:p>
        </w:tc>
        <w:tc>
          <w:tcPr>
            <w:tcW w:w="6120" w:type="dxa"/>
          </w:tcPr>
          <w:p w14:paraId="4E42F5FE" w14:textId="77777777" w:rsidR="002A21AE" w:rsidRDefault="002A21AE">
            <w:pPr>
              <w:pStyle w:val="TableTextBullet"/>
            </w:pPr>
            <w:r>
              <w:t>Displays shipment information, including the shipment date and time. When a user accepts the entered date and time, displays the invoice to be printed.</w:t>
            </w:r>
          </w:p>
          <w:p w14:paraId="79E3F5C0" w14:textId="77777777" w:rsidR="002A21AE" w:rsidRDefault="002A21AE">
            <w:pPr>
              <w:pStyle w:val="TableTextBullet"/>
            </w:pPr>
            <w:r>
              <w:t xml:space="preserve">Updates the status of each unit in the shipment to show that each unit was transferred to the ship-to facility and assigns the shipment date and time as the date and time of the transaction. </w:t>
            </w:r>
          </w:p>
          <w:p w14:paraId="3957B6D8" w14:textId="77777777" w:rsidR="002A21AE" w:rsidRDefault="002A21AE">
            <w:pPr>
              <w:pStyle w:val="TableText"/>
            </w:pPr>
          </w:p>
          <w:p w14:paraId="750E4C1D" w14:textId="5F569929" w:rsidR="002A21AE" w:rsidRDefault="002A21AE">
            <w:pPr>
              <w:pStyle w:val="TableText"/>
              <w:rPr>
                <w:b/>
                <w:bCs/>
                <w:szCs w:val="18"/>
              </w:rPr>
            </w:pPr>
            <w:r>
              <w:rPr>
                <w:b/>
                <w:bCs/>
                <w:szCs w:val="18"/>
              </w:rPr>
              <w:t>NOTES</w:t>
            </w:r>
          </w:p>
          <w:p w14:paraId="408AF7F6" w14:textId="77777777" w:rsidR="002A21AE" w:rsidRDefault="002A21AE">
            <w:pPr>
              <w:pStyle w:val="NotesText"/>
            </w:pPr>
          </w:p>
          <w:p w14:paraId="2E5762EC" w14:textId="77777777" w:rsidR="002A21AE" w:rsidRDefault="002A21AE">
            <w:pPr>
              <w:pStyle w:val="NotesText"/>
            </w:pPr>
            <w:r>
              <w:t>When VBECS confirms an outgoing shipment, it:</w:t>
            </w:r>
          </w:p>
          <w:p w14:paraId="697AC74E" w14:textId="77777777" w:rsidR="002A21AE" w:rsidRDefault="002A21AE">
            <w:pPr>
              <w:pStyle w:val="NotesTextBullet"/>
            </w:pPr>
            <w:r>
              <w:rPr>
                <w:rFonts w:cs="Arial"/>
                <w:vanish/>
              </w:rPr>
              <w:t xml:space="preserve">BR_11.08 </w:t>
            </w:r>
            <w:r>
              <w:t xml:space="preserve">Adds the shipment information to the unit record, changes the status of each unit in the shipment to </w:t>
            </w:r>
            <w:r w:rsidR="00FA7E65">
              <w:t>“</w:t>
            </w:r>
            <w:r>
              <w:t>Transferred,</w:t>
            </w:r>
            <w:r w:rsidR="00FA7E65">
              <w:t>”</w:t>
            </w:r>
            <w:r>
              <w:t xml:space="preserve"> and assigns the date and time of the transaction to the shipment.</w:t>
            </w:r>
          </w:p>
          <w:p w14:paraId="263CF7CB" w14:textId="77777777" w:rsidR="002A21AE" w:rsidRDefault="002A21AE">
            <w:pPr>
              <w:pStyle w:val="NotesTextBullet"/>
            </w:pPr>
            <w:r>
              <w:rPr>
                <w:rFonts w:cs="Arial"/>
                <w:vanish/>
              </w:rPr>
              <w:t xml:space="preserve">BR_11.09 </w:t>
            </w:r>
            <w:r>
              <w:t xml:space="preserve">Saves the technologist ID, the name of the printing technologist, the division, and the date and time the shipment was processed. It also saves the confirmation date and time as the date and time of shipment. The user may accept or edit the current date and time </w:t>
            </w:r>
            <w:r w:rsidRPr="00D31A97">
              <w:t>displayed (no future date or time may be entered).</w:t>
            </w:r>
            <w:r w:rsidR="00D31A97" w:rsidRPr="00D31A97">
              <w:t xml:space="preserve"> The unit status is changed to transferred upon invoice confirmation.</w:t>
            </w:r>
          </w:p>
        </w:tc>
      </w:tr>
      <w:tr w:rsidR="002A21AE" w14:paraId="3EBF274A" w14:textId="77777777">
        <w:tc>
          <w:tcPr>
            <w:tcW w:w="3240" w:type="dxa"/>
            <w:tcBorders>
              <w:top w:val="single" w:sz="4" w:space="0" w:color="auto"/>
              <w:left w:val="single" w:sz="4" w:space="0" w:color="auto"/>
              <w:bottom w:val="single" w:sz="4" w:space="0" w:color="auto"/>
              <w:right w:val="single" w:sz="4" w:space="0" w:color="auto"/>
            </w:tcBorders>
          </w:tcPr>
          <w:p w14:paraId="35A03FB1" w14:textId="77777777" w:rsidR="002A21AE" w:rsidRDefault="002A21AE">
            <w:pPr>
              <w:pStyle w:val="TableTextNumbers"/>
            </w:pPr>
            <w:r>
              <w:t xml:space="preserve">Click </w:t>
            </w:r>
            <w:r>
              <w:rPr>
                <w:b/>
              </w:rPr>
              <w:t>Print Invoice</w:t>
            </w:r>
            <w:r>
              <w:t xml:space="preserve"> to generate and view an invoice as in Step </w:t>
            </w:r>
            <w:r w:rsidR="00007EFF">
              <w:t>9</w:t>
            </w:r>
            <w:r>
              <w:t xml:space="preserve">,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18"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5FB84B28" w14:textId="77777777" w:rsidR="002A21AE" w:rsidRDefault="002A21AE">
            <w:pPr>
              <w:pStyle w:val="TableTextBullet"/>
            </w:pPr>
            <w:r>
              <w:t xml:space="preserve">Displays the information to be printed on the invoice. </w:t>
            </w:r>
          </w:p>
          <w:p w14:paraId="3C281FEA" w14:textId="77777777" w:rsidR="002A21AE" w:rsidRDefault="002A21AE">
            <w:pPr>
              <w:pStyle w:val="TableTextBullet"/>
            </w:pPr>
            <w:r>
              <w:t>Prints the shipping invoice.</w:t>
            </w:r>
          </w:p>
          <w:p w14:paraId="6A5D1A70" w14:textId="77777777" w:rsidR="002A21AE" w:rsidRDefault="002A21AE">
            <w:pPr>
              <w:pStyle w:val="TableText"/>
            </w:pPr>
          </w:p>
          <w:p w14:paraId="10CC3101" w14:textId="183EA079" w:rsidR="002A21AE" w:rsidRDefault="002A21AE">
            <w:pPr>
              <w:pStyle w:val="TableText"/>
              <w:rPr>
                <w:b/>
              </w:rPr>
            </w:pPr>
            <w:r>
              <w:rPr>
                <w:b/>
              </w:rPr>
              <w:t>NOTES</w:t>
            </w:r>
          </w:p>
          <w:p w14:paraId="04809F93" w14:textId="77777777" w:rsidR="002A21AE" w:rsidRDefault="002A21AE">
            <w:pPr>
              <w:pStyle w:val="NotesText"/>
            </w:pPr>
          </w:p>
          <w:p w14:paraId="55768452" w14:textId="77777777" w:rsidR="002A21AE" w:rsidRDefault="002A21AE">
            <w:pPr>
              <w:pStyle w:val="NotesText"/>
            </w:pPr>
            <w:r>
              <w:rPr>
                <w:rFonts w:cs="Arial"/>
                <w:vanish/>
              </w:rPr>
              <w:t xml:space="preserve">BR_92.07 </w:t>
            </w:r>
            <w:r>
              <w:t>When a user prints an invoice and VBECS does not find information to include in the invoice, VBECS notifies the user and asks whether he wants to continue to print. The user may cancel or print the report, which will include “No pending orders found.”</w:t>
            </w:r>
          </w:p>
        </w:tc>
      </w:tr>
    </w:tbl>
    <w:p w14:paraId="46531222" w14:textId="75855DE4" w:rsidR="00D039A6" w:rsidRDefault="00D039A6" w:rsidP="00D039A6">
      <w:pPr>
        <w:pStyle w:val="Caption"/>
      </w:pPr>
      <w:bookmarkStart w:id="319" w:name="_Ref12655423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69</w:t>
      </w:r>
      <w:r w:rsidR="004E20BD">
        <w:rPr>
          <w:noProof/>
        </w:rPr>
        <w:fldChar w:fldCharType="end"/>
      </w:r>
      <w:bookmarkEnd w:id="319"/>
      <w:r>
        <w:t>: Process Outgoing Shipment</w:t>
      </w:r>
    </w:p>
    <w:p w14:paraId="7BEB6A6E" w14:textId="77777777" w:rsidR="00D039A6" w:rsidRDefault="00057948" w:rsidP="00D039A6">
      <w:pPr>
        <w:pStyle w:val="BodyText"/>
      </w:pPr>
      <w:r>
        <w:rPr>
          <w:noProof/>
        </w:rPr>
        <w:drawing>
          <wp:inline distT="0" distB="0" distL="0" distR="0" wp14:anchorId="3C69040D" wp14:editId="61A53209">
            <wp:extent cx="4572000" cy="2567940"/>
            <wp:effectExtent l="0" t="0" r="0" b="3810"/>
            <wp:docPr id="154" name="Picture 1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a:extLst>
                        <a:ext uri="{C183D7F6-B498-43B3-948B-1728B52AA6E4}">
                          <adec:decorative xmlns:adec="http://schemas.microsoft.com/office/drawing/2017/decorative" val="1"/>
                        </a:ext>
                      </a:extLst>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572000" cy="2567940"/>
                    </a:xfrm>
                    <a:prstGeom prst="rect">
                      <a:avLst/>
                    </a:prstGeom>
                    <a:noFill/>
                    <a:ln>
                      <a:noFill/>
                    </a:ln>
                  </pic:spPr>
                </pic:pic>
              </a:graphicData>
            </a:graphic>
          </wp:inline>
        </w:drawing>
      </w:r>
    </w:p>
    <w:p w14:paraId="115EF420" w14:textId="590C6F0F" w:rsidR="00A36F63" w:rsidRDefault="00A36F63" w:rsidP="00A36F63">
      <w:pPr>
        <w:pStyle w:val="Caption"/>
      </w:pPr>
      <w:bookmarkStart w:id="320" w:name="_Ref13788662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70</w:t>
      </w:r>
      <w:r w:rsidR="004E20BD">
        <w:rPr>
          <w:noProof/>
        </w:rPr>
        <w:fldChar w:fldCharType="end"/>
      </w:r>
      <w:bookmarkEnd w:id="320"/>
      <w:r>
        <w:t xml:space="preserve">: </w:t>
      </w:r>
      <w:bookmarkStart w:id="321" w:name="OLE_LINK53"/>
      <w:bookmarkStart w:id="322" w:name="OLE_LINK54"/>
      <w:r>
        <w:t>Select Units</w:t>
      </w:r>
      <w:r w:rsidR="0084755D">
        <w:t xml:space="preserve"> 1</w:t>
      </w:r>
      <w:bookmarkEnd w:id="321"/>
      <w:bookmarkEnd w:id="322"/>
    </w:p>
    <w:p w14:paraId="02C83457" w14:textId="77777777" w:rsidR="005438DD" w:rsidRDefault="00057948" w:rsidP="00D039A6">
      <w:pPr>
        <w:pStyle w:val="BodyText"/>
      </w:pPr>
      <w:r>
        <w:rPr>
          <w:noProof/>
        </w:rPr>
        <w:drawing>
          <wp:inline distT="0" distB="0" distL="0" distR="0" wp14:anchorId="13E5097B" wp14:editId="197D7743">
            <wp:extent cx="4572000" cy="3168015"/>
            <wp:effectExtent l="0" t="0" r="0" b="0"/>
            <wp:docPr id="155" name="Picture 1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a:extLst>
                        <a:ext uri="{C183D7F6-B498-43B3-948B-1728B52AA6E4}">
                          <adec:decorative xmlns:adec="http://schemas.microsoft.com/office/drawing/2017/decorative" val="1"/>
                        </a:ext>
                      </a:extLst>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572000" cy="3168015"/>
                    </a:xfrm>
                    <a:prstGeom prst="rect">
                      <a:avLst/>
                    </a:prstGeom>
                    <a:noFill/>
                    <a:ln>
                      <a:noFill/>
                    </a:ln>
                  </pic:spPr>
                </pic:pic>
              </a:graphicData>
            </a:graphic>
          </wp:inline>
        </w:drawing>
      </w:r>
    </w:p>
    <w:p w14:paraId="558C905F" w14:textId="0C67F124" w:rsidR="00A36F63" w:rsidRDefault="00A36F63" w:rsidP="00A36F63">
      <w:pPr>
        <w:pStyle w:val="Caption"/>
      </w:pPr>
      <w:bookmarkStart w:id="323" w:name="_Ref13788670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71</w:t>
      </w:r>
      <w:r w:rsidR="004E20BD">
        <w:rPr>
          <w:noProof/>
        </w:rPr>
        <w:fldChar w:fldCharType="end"/>
      </w:r>
      <w:bookmarkEnd w:id="323"/>
      <w:r>
        <w:t xml:space="preserve">: </w:t>
      </w:r>
      <w:r w:rsidR="0084755D">
        <w:t>Select Units 2</w:t>
      </w:r>
    </w:p>
    <w:p w14:paraId="0C8B7125" w14:textId="77777777" w:rsidR="004171E1" w:rsidRDefault="00057948" w:rsidP="00D039A6">
      <w:pPr>
        <w:pStyle w:val="BodyText"/>
      </w:pPr>
      <w:r>
        <w:rPr>
          <w:noProof/>
        </w:rPr>
        <w:drawing>
          <wp:inline distT="0" distB="0" distL="0" distR="0" wp14:anchorId="014388F1" wp14:editId="7D54FFB5">
            <wp:extent cx="4692015" cy="3195955"/>
            <wp:effectExtent l="0" t="0" r="0" b="4445"/>
            <wp:docPr id="156" name="Picture 1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a:extLst>
                        <a:ext uri="{C183D7F6-B498-43B3-948B-1728B52AA6E4}">
                          <adec:decorative xmlns:adec="http://schemas.microsoft.com/office/drawing/2017/decorative" val="1"/>
                        </a:ext>
                      </a:extLst>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692015" cy="3195955"/>
                    </a:xfrm>
                    <a:prstGeom prst="rect">
                      <a:avLst/>
                    </a:prstGeom>
                    <a:noFill/>
                    <a:ln>
                      <a:noFill/>
                    </a:ln>
                  </pic:spPr>
                </pic:pic>
              </a:graphicData>
            </a:graphic>
          </wp:inline>
        </w:drawing>
      </w:r>
    </w:p>
    <w:p w14:paraId="5C8060BF" w14:textId="60118DA0" w:rsidR="0084755D" w:rsidRDefault="0084755D" w:rsidP="0084755D">
      <w:pPr>
        <w:pStyle w:val="Caption"/>
      </w:pPr>
      <w:bookmarkStart w:id="324" w:name="_Ref137888427"/>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72</w:t>
      </w:r>
      <w:r w:rsidR="004E20BD">
        <w:rPr>
          <w:noProof/>
        </w:rPr>
        <w:fldChar w:fldCharType="end"/>
      </w:r>
      <w:bookmarkEnd w:id="324"/>
      <w:r>
        <w:t>: Select Units 3</w:t>
      </w:r>
    </w:p>
    <w:p w14:paraId="440C6417" w14:textId="77777777" w:rsidR="0084755D" w:rsidRDefault="00057948" w:rsidP="00D039A6">
      <w:pPr>
        <w:pStyle w:val="BodyText"/>
      </w:pPr>
      <w:r>
        <w:rPr>
          <w:noProof/>
        </w:rPr>
        <w:drawing>
          <wp:inline distT="0" distB="0" distL="0" distR="0" wp14:anchorId="0CE16BD9" wp14:editId="40E2AFB3">
            <wp:extent cx="4683125" cy="3241675"/>
            <wp:effectExtent l="0" t="0" r="3175" b="0"/>
            <wp:docPr id="157" name="Picture 1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a:extLst>
                        <a:ext uri="{C183D7F6-B498-43B3-948B-1728B52AA6E4}">
                          <adec:decorative xmlns:adec="http://schemas.microsoft.com/office/drawing/2017/decorative" val="1"/>
                        </a:ext>
                      </a:extLst>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683125" cy="3241675"/>
                    </a:xfrm>
                    <a:prstGeom prst="rect">
                      <a:avLst/>
                    </a:prstGeom>
                    <a:noFill/>
                    <a:ln>
                      <a:noFill/>
                    </a:ln>
                  </pic:spPr>
                </pic:pic>
              </a:graphicData>
            </a:graphic>
          </wp:inline>
        </w:drawing>
      </w:r>
    </w:p>
    <w:p w14:paraId="2A68A4FE" w14:textId="79A4E368" w:rsidR="0084755D" w:rsidRDefault="0084755D" w:rsidP="0084755D">
      <w:pPr>
        <w:pStyle w:val="Caption"/>
      </w:pPr>
      <w:bookmarkStart w:id="325" w:name="_Ref13788848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73</w:t>
      </w:r>
      <w:r w:rsidR="004E20BD">
        <w:rPr>
          <w:noProof/>
        </w:rPr>
        <w:fldChar w:fldCharType="end"/>
      </w:r>
      <w:bookmarkEnd w:id="325"/>
      <w:r>
        <w:t>: Select Units 4</w:t>
      </w:r>
    </w:p>
    <w:p w14:paraId="0B8E6790" w14:textId="77777777" w:rsidR="00FC76B3" w:rsidRDefault="00057948" w:rsidP="00D039A6">
      <w:pPr>
        <w:pStyle w:val="BodyText"/>
      </w:pPr>
      <w:r>
        <w:rPr>
          <w:noProof/>
        </w:rPr>
        <w:drawing>
          <wp:inline distT="0" distB="0" distL="0" distR="0" wp14:anchorId="0FC4E872" wp14:editId="537B4410">
            <wp:extent cx="4627245" cy="3195955"/>
            <wp:effectExtent l="0" t="0" r="1905" b="4445"/>
            <wp:docPr id="158" name="Picture 1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a:extLst>
                        <a:ext uri="{C183D7F6-B498-43B3-948B-1728B52AA6E4}">
                          <adec:decorative xmlns:adec="http://schemas.microsoft.com/office/drawing/2017/decorative" val="1"/>
                        </a:ext>
                      </a:extLst>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627245" cy="3195955"/>
                    </a:xfrm>
                    <a:prstGeom prst="rect">
                      <a:avLst/>
                    </a:prstGeom>
                    <a:noFill/>
                    <a:ln>
                      <a:noFill/>
                    </a:ln>
                  </pic:spPr>
                </pic:pic>
              </a:graphicData>
            </a:graphic>
          </wp:inline>
        </w:drawing>
      </w:r>
    </w:p>
    <w:p w14:paraId="7127B722" w14:textId="3524D025" w:rsidR="00AA511E" w:rsidRDefault="00AA511E" w:rsidP="00AA511E">
      <w:pPr>
        <w:pStyle w:val="Caption"/>
      </w:pPr>
      <w:bookmarkStart w:id="326" w:name="_Ref13788879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74</w:t>
      </w:r>
      <w:r w:rsidR="004E20BD">
        <w:rPr>
          <w:noProof/>
        </w:rPr>
        <w:fldChar w:fldCharType="end"/>
      </w:r>
      <w:bookmarkEnd w:id="326"/>
      <w:r>
        <w:t>: Select Units 5</w:t>
      </w:r>
    </w:p>
    <w:p w14:paraId="1BA9798E" w14:textId="77777777" w:rsidR="00AA511E" w:rsidRDefault="00057948" w:rsidP="00A36F63">
      <w:pPr>
        <w:pStyle w:val="Caption"/>
      </w:pPr>
      <w:r>
        <w:rPr>
          <w:b w:val="0"/>
          <w:noProof/>
        </w:rPr>
        <w:drawing>
          <wp:inline distT="0" distB="0" distL="0" distR="0" wp14:anchorId="3BF15136" wp14:editId="3AEEF214">
            <wp:extent cx="4405630" cy="3038475"/>
            <wp:effectExtent l="0" t="0" r="0" b="9525"/>
            <wp:docPr id="159" name="Picture 1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a:extLst>
                        <a:ext uri="{C183D7F6-B498-43B3-948B-1728B52AA6E4}">
                          <adec:decorative xmlns:adec="http://schemas.microsoft.com/office/drawing/2017/decorative" val="1"/>
                        </a:ext>
                      </a:extLst>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405630" cy="3038475"/>
                    </a:xfrm>
                    <a:prstGeom prst="rect">
                      <a:avLst/>
                    </a:prstGeom>
                    <a:noFill/>
                    <a:ln>
                      <a:noFill/>
                    </a:ln>
                  </pic:spPr>
                </pic:pic>
              </a:graphicData>
            </a:graphic>
          </wp:inline>
        </w:drawing>
      </w:r>
    </w:p>
    <w:p w14:paraId="4FA90D22" w14:textId="58D12E8A" w:rsidR="00A36F63" w:rsidRDefault="00A36F63" w:rsidP="00A36F63">
      <w:pPr>
        <w:pStyle w:val="Caption"/>
      </w:pPr>
      <w:bookmarkStart w:id="327" w:name="_Ref13788886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75</w:t>
      </w:r>
      <w:r w:rsidR="004E20BD">
        <w:rPr>
          <w:noProof/>
        </w:rPr>
        <w:fldChar w:fldCharType="end"/>
      </w:r>
      <w:bookmarkEnd w:id="327"/>
      <w:r>
        <w:t>: Return Credit Update</w:t>
      </w:r>
    </w:p>
    <w:p w14:paraId="2369B54F" w14:textId="77777777" w:rsidR="00FC76B3" w:rsidRDefault="00057948" w:rsidP="00D039A6">
      <w:pPr>
        <w:pStyle w:val="BodyText"/>
      </w:pPr>
      <w:r>
        <w:rPr>
          <w:noProof/>
        </w:rPr>
        <w:drawing>
          <wp:inline distT="0" distB="0" distL="0" distR="0" wp14:anchorId="379FCAD6" wp14:editId="7BC9C20D">
            <wp:extent cx="4378325" cy="3020060"/>
            <wp:effectExtent l="0" t="0" r="3175" b="8890"/>
            <wp:docPr id="160" name="Picture 1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a:extLst>
                        <a:ext uri="{C183D7F6-B498-43B3-948B-1728B52AA6E4}">
                          <adec:decorative xmlns:adec="http://schemas.microsoft.com/office/drawing/2017/decorative" val="1"/>
                        </a:ext>
                      </a:extLst>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378325" cy="3020060"/>
                    </a:xfrm>
                    <a:prstGeom prst="rect">
                      <a:avLst/>
                    </a:prstGeom>
                    <a:noFill/>
                    <a:ln>
                      <a:noFill/>
                    </a:ln>
                  </pic:spPr>
                </pic:pic>
              </a:graphicData>
            </a:graphic>
          </wp:inline>
        </w:drawing>
      </w:r>
    </w:p>
    <w:p w14:paraId="295D5704" w14:textId="66958AF5" w:rsidR="00AA511E" w:rsidRDefault="00AA511E" w:rsidP="00AA511E">
      <w:pPr>
        <w:pStyle w:val="Caption"/>
      </w:pPr>
      <w:bookmarkStart w:id="328" w:name="_Ref13788926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76</w:t>
      </w:r>
      <w:r w:rsidR="004E20BD">
        <w:rPr>
          <w:noProof/>
        </w:rPr>
        <w:fldChar w:fldCharType="end"/>
      </w:r>
      <w:bookmarkEnd w:id="328"/>
      <w:r>
        <w:t>: Confirm Invoice</w:t>
      </w:r>
    </w:p>
    <w:p w14:paraId="7CDFFA95" w14:textId="77777777" w:rsidR="00AA511E" w:rsidRDefault="00057948" w:rsidP="00A36F63">
      <w:pPr>
        <w:pStyle w:val="Caption"/>
      </w:pPr>
      <w:r>
        <w:rPr>
          <w:b w:val="0"/>
          <w:noProof/>
        </w:rPr>
        <w:drawing>
          <wp:inline distT="0" distB="0" distL="0" distR="0" wp14:anchorId="01722D59" wp14:editId="0626764B">
            <wp:extent cx="4405630" cy="3038475"/>
            <wp:effectExtent l="0" t="0" r="0" b="9525"/>
            <wp:docPr id="161" name="Picture 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a:extLst>
                        <a:ext uri="{C183D7F6-B498-43B3-948B-1728B52AA6E4}">
                          <adec:decorative xmlns:adec="http://schemas.microsoft.com/office/drawing/2017/decorative" val="1"/>
                        </a:ext>
                      </a:extLst>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405630" cy="3038475"/>
                    </a:xfrm>
                    <a:prstGeom prst="rect">
                      <a:avLst/>
                    </a:prstGeom>
                    <a:noFill/>
                    <a:ln>
                      <a:noFill/>
                    </a:ln>
                  </pic:spPr>
                </pic:pic>
              </a:graphicData>
            </a:graphic>
          </wp:inline>
        </w:drawing>
      </w:r>
    </w:p>
    <w:p w14:paraId="379D26EE" w14:textId="20940614" w:rsidR="00A36F63" w:rsidRDefault="00A36F63" w:rsidP="00A36F63">
      <w:pPr>
        <w:pStyle w:val="Caption"/>
      </w:pPr>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77</w:t>
      </w:r>
      <w:r w:rsidR="004E20BD">
        <w:rPr>
          <w:noProof/>
        </w:rPr>
        <w:fldChar w:fldCharType="end"/>
      </w:r>
      <w:r>
        <w:t>: Modify Return Credit</w:t>
      </w:r>
    </w:p>
    <w:p w14:paraId="22EB5B98" w14:textId="77777777" w:rsidR="00FC76B3" w:rsidRDefault="00057948" w:rsidP="00D039A6">
      <w:pPr>
        <w:pStyle w:val="BodyText"/>
      </w:pPr>
      <w:r>
        <w:rPr>
          <w:noProof/>
        </w:rPr>
        <w:drawing>
          <wp:inline distT="0" distB="0" distL="0" distR="0" wp14:anchorId="4EE172E2" wp14:editId="0C94E19B">
            <wp:extent cx="3444875" cy="2050415"/>
            <wp:effectExtent l="0" t="0" r="3175" b="6985"/>
            <wp:docPr id="162" name="Picture 1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a:extLst>
                        <a:ext uri="{C183D7F6-B498-43B3-948B-1728B52AA6E4}">
                          <adec:decorative xmlns:adec="http://schemas.microsoft.com/office/drawing/2017/decorative" val="1"/>
                        </a:ext>
                      </a:extLst>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444875" cy="2050415"/>
                    </a:xfrm>
                    <a:prstGeom prst="rect">
                      <a:avLst/>
                    </a:prstGeom>
                    <a:noFill/>
                    <a:ln>
                      <a:noFill/>
                    </a:ln>
                  </pic:spPr>
                </pic:pic>
              </a:graphicData>
            </a:graphic>
          </wp:inline>
        </w:drawing>
      </w:r>
    </w:p>
    <w:p w14:paraId="3A25959C" w14:textId="780BD922" w:rsidR="002041DB" w:rsidRDefault="002041DB" w:rsidP="002041DB">
      <w:pPr>
        <w:pStyle w:val="Caption"/>
      </w:pPr>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78</w:t>
      </w:r>
      <w:r w:rsidR="004E20BD">
        <w:rPr>
          <w:noProof/>
        </w:rPr>
        <w:fldChar w:fldCharType="end"/>
      </w:r>
      <w:r>
        <w:t>: Confirm Shipment</w:t>
      </w:r>
    </w:p>
    <w:p w14:paraId="4EE94EC6" w14:textId="77777777" w:rsidR="002041DB" w:rsidRDefault="00057948" w:rsidP="00D039A6">
      <w:pPr>
        <w:pStyle w:val="BodyText"/>
      </w:pPr>
      <w:r>
        <w:rPr>
          <w:b/>
          <w:noProof/>
        </w:rPr>
        <w:drawing>
          <wp:inline distT="0" distB="0" distL="0" distR="0" wp14:anchorId="5B9AB86D" wp14:editId="469FC04A">
            <wp:extent cx="4405630" cy="3038475"/>
            <wp:effectExtent l="0" t="0" r="0" b="9525"/>
            <wp:docPr id="163" name="Picture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a:extLst>
                        <a:ext uri="{C183D7F6-B498-43B3-948B-1728B52AA6E4}">
                          <adec:decorative xmlns:adec="http://schemas.microsoft.com/office/drawing/2017/decorative" val="1"/>
                        </a:ext>
                      </a:extLst>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405630" cy="3038475"/>
                    </a:xfrm>
                    <a:prstGeom prst="rect">
                      <a:avLst/>
                    </a:prstGeom>
                    <a:noFill/>
                    <a:ln>
                      <a:noFill/>
                    </a:ln>
                  </pic:spPr>
                </pic:pic>
              </a:graphicData>
            </a:graphic>
          </wp:inline>
        </w:drawing>
      </w:r>
    </w:p>
    <w:p w14:paraId="677FD83F" w14:textId="703A2F93" w:rsidR="002041DB" w:rsidRDefault="002041DB" w:rsidP="002041DB">
      <w:pPr>
        <w:pStyle w:val="Caption"/>
      </w:pPr>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79</w:t>
      </w:r>
      <w:r w:rsidR="004E20BD">
        <w:rPr>
          <w:noProof/>
        </w:rPr>
        <w:fldChar w:fldCharType="end"/>
      </w:r>
      <w:r>
        <w:t>: Confirm Shipment Date</w:t>
      </w:r>
    </w:p>
    <w:p w14:paraId="2E97CC51" w14:textId="77777777" w:rsidR="002041DB" w:rsidRDefault="00057948" w:rsidP="00A815F7">
      <w:pPr>
        <w:pStyle w:val="BodyText"/>
      </w:pPr>
      <w:r>
        <w:rPr>
          <w:noProof/>
        </w:rPr>
        <w:drawing>
          <wp:inline distT="0" distB="0" distL="0" distR="0" wp14:anchorId="3923986D" wp14:editId="79A0AD92">
            <wp:extent cx="4405630" cy="3048000"/>
            <wp:effectExtent l="0" t="0" r="0" b="0"/>
            <wp:docPr id="164" name="Picture 1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a:extLst>
                        <a:ext uri="{C183D7F6-B498-43B3-948B-1728B52AA6E4}">
                          <adec:decorative xmlns:adec="http://schemas.microsoft.com/office/drawing/2017/decorative" val="1"/>
                        </a:ext>
                      </a:extLst>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405630" cy="3048000"/>
                    </a:xfrm>
                    <a:prstGeom prst="rect">
                      <a:avLst/>
                    </a:prstGeom>
                    <a:noFill/>
                    <a:ln>
                      <a:noFill/>
                    </a:ln>
                  </pic:spPr>
                </pic:pic>
              </a:graphicData>
            </a:graphic>
          </wp:inline>
        </w:drawing>
      </w:r>
    </w:p>
    <w:p w14:paraId="10861AB1" w14:textId="4D574478" w:rsidR="002041DB" w:rsidRDefault="002041DB" w:rsidP="002041DB">
      <w:pPr>
        <w:pStyle w:val="Caption"/>
      </w:pPr>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80</w:t>
      </w:r>
      <w:r w:rsidR="004E20BD">
        <w:rPr>
          <w:noProof/>
        </w:rPr>
        <w:fldChar w:fldCharType="end"/>
      </w:r>
      <w:r>
        <w:t>: Confirmation of Invoice</w:t>
      </w:r>
    </w:p>
    <w:p w14:paraId="03BAB4EC" w14:textId="77777777" w:rsidR="00A815F7" w:rsidRDefault="00057948" w:rsidP="00A815F7">
      <w:pPr>
        <w:pStyle w:val="BodyText"/>
      </w:pPr>
      <w:r>
        <w:rPr>
          <w:noProof/>
        </w:rPr>
        <w:drawing>
          <wp:inline distT="0" distB="0" distL="0" distR="0" wp14:anchorId="57463510" wp14:editId="242FC050">
            <wp:extent cx="1588770" cy="1136015"/>
            <wp:effectExtent l="0" t="0" r="0" b="6985"/>
            <wp:docPr id="165" name="Picture 1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a:extLst>
                        <a:ext uri="{C183D7F6-B498-43B3-948B-1728B52AA6E4}">
                          <adec:decorative xmlns:adec="http://schemas.microsoft.com/office/drawing/2017/decorative" val="1"/>
                        </a:ext>
                      </a:extLst>
                    </pic:cNvPr>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88770" cy="1136015"/>
                    </a:xfrm>
                    <a:prstGeom prst="rect">
                      <a:avLst/>
                    </a:prstGeom>
                    <a:noFill/>
                    <a:ln>
                      <a:noFill/>
                    </a:ln>
                  </pic:spPr>
                </pic:pic>
              </a:graphicData>
            </a:graphic>
          </wp:inline>
        </w:drawing>
      </w:r>
    </w:p>
    <w:p w14:paraId="2CBB7330" w14:textId="77777777" w:rsidR="002A21AE" w:rsidRDefault="002A21AE" w:rsidP="00597EEA">
      <w:pPr>
        <w:pStyle w:val="Heading3"/>
      </w:pPr>
      <w:bookmarkStart w:id="329" w:name="_Toc47516717"/>
      <w:r>
        <w:t>Edit Invoice Text</w:t>
      </w:r>
      <w:bookmarkEnd w:id="329"/>
      <w:r w:rsidRPr="009F1B54">
        <w:rPr>
          <w:rFonts w:ascii="Arial Bold" w:hAnsi="Arial Bold"/>
          <w:vanish/>
        </w:rPr>
        <w:fldChar w:fldCharType="begin"/>
      </w:r>
      <w:r w:rsidRPr="009F1B54">
        <w:rPr>
          <w:rFonts w:ascii="Arial Bold" w:hAnsi="Arial Bold"/>
          <w:vanish/>
        </w:rPr>
        <w:instrText xml:space="preserve"> XE </w:instrText>
      </w:r>
      <w:r w:rsidR="00FA7E65" w:rsidRPr="009F1B54">
        <w:rPr>
          <w:rFonts w:ascii="Arial Bold" w:hAnsi="Arial Bold"/>
          <w:vanish/>
        </w:rPr>
        <w:instrText>“</w:instrText>
      </w:r>
      <w:r w:rsidRPr="009F1B54">
        <w:rPr>
          <w:rFonts w:ascii="Arial Bold" w:hAnsi="Arial Bold"/>
          <w:vanish/>
        </w:rPr>
        <w:instrText>Edit Invoice Text</w:instrText>
      </w:r>
      <w:r w:rsidR="00FA7E65" w:rsidRPr="009F1B54">
        <w:rPr>
          <w:rFonts w:ascii="Arial Bold" w:hAnsi="Arial Bold"/>
          <w:vanish/>
        </w:rPr>
        <w:instrText>”</w:instrText>
      </w:r>
      <w:r w:rsidRPr="009F1B54">
        <w:rPr>
          <w:rFonts w:ascii="Arial Bold" w:hAnsi="Arial Bold"/>
          <w:vanish/>
        </w:rPr>
        <w:instrText xml:space="preserve"> </w:instrText>
      </w:r>
      <w:r w:rsidRPr="009F1B54">
        <w:rPr>
          <w:rFonts w:ascii="Arial Bold" w:hAnsi="Arial Bold"/>
          <w:vanish/>
        </w:rPr>
        <w:fldChar w:fldCharType="end"/>
      </w:r>
      <w:r w:rsidRPr="009F1B54">
        <w:rPr>
          <w:rFonts w:ascii="Arial Bold" w:hAnsi="Arial Bold"/>
          <w:vanish/>
        </w:rPr>
        <w:t xml:space="preserve"> UC_17</w:t>
      </w:r>
    </w:p>
    <w:p w14:paraId="2E3ECDC8" w14:textId="77777777" w:rsidR="002A21AE" w:rsidRDefault="002A21AE" w:rsidP="00FA7E65">
      <w:pPr>
        <w:pStyle w:val="BodyText"/>
      </w:pPr>
      <w:r>
        <w:t xml:space="preserve">VBECS includes a shipping invoice. The user may edit the explanatory text above the signature on the last page of a shipping invoice. </w:t>
      </w:r>
    </w:p>
    <w:p w14:paraId="3A69473A" w14:textId="77777777" w:rsidR="002A21AE" w:rsidRDefault="002A21AE">
      <w:pPr>
        <w:pStyle w:val="Heading4"/>
        <w:rPr>
          <w:b w:val="0"/>
        </w:rPr>
      </w:pPr>
      <w:r>
        <w:t>Assumptions</w:t>
      </w:r>
      <w:r>
        <w:rPr>
          <w:b w:val="0"/>
        </w:rPr>
        <w:t xml:space="preserve"> </w:t>
      </w:r>
    </w:p>
    <w:p w14:paraId="73DE402D" w14:textId="77777777" w:rsidR="002A21AE" w:rsidRDefault="002A21AE">
      <w:pPr>
        <w:pStyle w:val="ListBullet"/>
      </w:pPr>
      <w:r>
        <w:t>Information on the outgoing shipment invoice is generated during Outgoing Shipment.</w:t>
      </w:r>
    </w:p>
    <w:p w14:paraId="305102D2" w14:textId="77777777" w:rsidR="002A21AE" w:rsidRDefault="002A21AE">
      <w:pPr>
        <w:pStyle w:val="Heading4"/>
      </w:pPr>
      <w:r>
        <w:t>Outcome</w:t>
      </w:r>
    </w:p>
    <w:p w14:paraId="2EE61186" w14:textId="77777777" w:rsidR="002A21AE" w:rsidRDefault="002A21AE">
      <w:pPr>
        <w:pStyle w:val="ListBullet"/>
      </w:pPr>
      <w:r>
        <w:t>A division customized the text displayed on an outgoing shipment invoice.</w:t>
      </w:r>
    </w:p>
    <w:p w14:paraId="4B3B1659" w14:textId="77777777" w:rsidR="002A21AE" w:rsidRDefault="002A21AE">
      <w:pPr>
        <w:pStyle w:val="Heading4"/>
        <w:rPr>
          <w:b w:val="0"/>
        </w:rPr>
      </w:pPr>
      <w:r>
        <w:t>Limitations and Restrictions</w:t>
      </w:r>
      <w:r>
        <w:rPr>
          <w:b w:val="0"/>
        </w:rPr>
        <w:t xml:space="preserve"> </w:t>
      </w:r>
    </w:p>
    <w:p w14:paraId="34D537EA" w14:textId="77777777" w:rsidR="002A21AE" w:rsidRDefault="002A21AE">
      <w:pPr>
        <w:pStyle w:val="ListBullet"/>
        <w:ind w:left="720"/>
      </w:pPr>
      <w:r>
        <w:t>None</w:t>
      </w:r>
    </w:p>
    <w:p w14:paraId="72CECED7" w14:textId="77777777" w:rsidR="002A21AE" w:rsidRDefault="002A21AE">
      <w:pPr>
        <w:pStyle w:val="Heading4"/>
      </w:pPr>
      <w:r>
        <w:t xml:space="preserve">Additional Information </w:t>
      </w:r>
    </w:p>
    <w:p w14:paraId="02E20F36" w14:textId="77777777" w:rsidR="000D6A15" w:rsidRDefault="000D6A15" w:rsidP="000D6A15">
      <w:pPr>
        <w:pStyle w:val="ListBullet"/>
      </w:pPr>
      <w:r w:rsidRPr="000D6A15">
        <w:rPr>
          <w:vanish/>
        </w:rPr>
        <w:t>BR_17.05</w:t>
      </w:r>
      <w:r w:rsidRPr="00D21BA8">
        <w:t>T</w:t>
      </w:r>
      <w:r>
        <w:t>he default explanatory text</w:t>
      </w:r>
      <w:r w:rsidR="00D21BA8">
        <w:t xml:space="preserve"> reads</w:t>
      </w:r>
      <w:r>
        <w:t>: “</w:t>
      </w:r>
      <w:r w:rsidRPr="005861CC">
        <w:t>I certify that the blood products listed were properly maintained, in accordance with the Code of Federal Regulations, while in storage at this institution. Components were inspected when packed for shipment and found to be satisfactory in color and appearance.</w:t>
      </w:r>
      <w:r>
        <w:t>”</w:t>
      </w:r>
    </w:p>
    <w:p w14:paraId="356E3CE5" w14:textId="77777777" w:rsidR="002A21AE" w:rsidRDefault="002A21AE">
      <w:pPr>
        <w:pStyle w:val="Heading4"/>
        <w:tabs>
          <w:tab w:val="left" w:pos="4140"/>
        </w:tabs>
        <w:rPr>
          <w:snapToGrid w:val="0"/>
        </w:rPr>
      </w:pPr>
      <w:r>
        <w:rPr>
          <w:snapToGrid w:val="0"/>
        </w:rPr>
        <w:t xml:space="preserve">User Roles with Access to This Option </w:t>
      </w:r>
    </w:p>
    <w:p w14:paraId="6122F276" w14:textId="77777777" w:rsidR="002A21AE" w:rsidRDefault="00B2267D">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Enhanced Supervisor</w:t>
      </w:r>
    </w:p>
    <w:p w14:paraId="14BC7E79" w14:textId="77777777" w:rsidR="002A21AE" w:rsidRDefault="002A21AE">
      <w:pPr>
        <w:pStyle w:val="Heading4"/>
        <w:rPr>
          <w:snapToGrid w:val="0"/>
        </w:rPr>
      </w:pPr>
      <w:r>
        <w:rPr>
          <w:snapToGrid w:val="0"/>
        </w:rPr>
        <w:t>Edit Invoice Text</w:t>
      </w:r>
    </w:p>
    <w:p w14:paraId="1E4CA720" w14:textId="77777777" w:rsidR="002A21AE" w:rsidRDefault="002A21AE" w:rsidP="00FA7E65">
      <w:pPr>
        <w:pStyle w:val="BodyText"/>
      </w:pPr>
      <w:r>
        <w:t>The blood bank user needs to edit the shipping invoice text box to conform to changes in regulations or division requirements. When the edit is complete, the user saves the altered text for future shipping invoices. An audit trail of changes is maintained.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A18DC7A" w14:textId="77777777">
        <w:trPr>
          <w:cantSplit/>
          <w:tblHeader/>
        </w:trPr>
        <w:tc>
          <w:tcPr>
            <w:tcW w:w="3240" w:type="dxa"/>
            <w:shd w:val="pct30" w:color="auto" w:fill="FFFFFF"/>
            <w:vAlign w:val="bottom"/>
          </w:tcPr>
          <w:p w14:paraId="7DB42ED1" w14:textId="77777777" w:rsidR="002A21AE" w:rsidRDefault="002A21AE">
            <w:pPr>
              <w:pStyle w:val="TableText"/>
              <w:rPr>
                <w:b/>
              </w:rPr>
            </w:pPr>
            <w:r>
              <w:rPr>
                <w:b/>
              </w:rPr>
              <w:t>User Action</w:t>
            </w:r>
          </w:p>
        </w:tc>
        <w:tc>
          <w:tcPr>
            <w:tcW w:w="6120" w:type="dxa"/>
            <w:shd w:val="pct30" w:color="auto" w:fill="FFFFFF"/>
            <w:vAlign w:val="bottom"/>
          </w:tcPr>
          <w:p w14:paraId="047510F9" w14:textId="77777777" w:rsidR="002A21AE" w:rsidRDefault="002A21AE">
            <w:pPr>
              <w:pStyle w:val="TableText"/>
              <w:rPr>
                <w:b/>
              </w:rPr>
            </w:pPr>
            <w:r>
              <w:rPr>
                <w:b/>
              </w:rPr>
              <w:t>VBECS</w:t>
            </w:r>
          </w:p>
        </w:tc>
      </w:tr>
      <w:tr w:rsidR="002A21AE" w14:paraId="42DA7C32" w14:textId="77777777">
        <w:trPr>
          <w:cantSplit/>
        </w:trPr>
        <w:tc>
          <w:tcPr>
            <w:tcW w:w="3240" w:type="dxa"/>
          </w:tcPr>
          <w:p w14:paraId="46CEFAC1" w14:textId="77777777" w:rsidR="002A21AE" w:rsidRDefault="002A21AE">
            <w:pPr>
              <w:pStyle w:val="TableTextNumbers"/>
            </w:pPr>
            <w:r>
              <w:t xml:space="preserve">Select </w:t>
            </w:r>
            <w:r>
              <w:rPr>
                <w:b/>
              </w:rPr>
              <w:t>Shipments</w:t>
            </w:r>
            <w:r>
              <w:t xml:space="preserve"> from the main menu. </w:t>
            </w:r>
          </w:p>
          <w:p w14:paraId="0D768E11" w14:textId="77777777" w:rsidR="002A21AE" w:rsidRDefault="002A21AE">
            <w:pPr>
              <w:pStyle w:val="TableTextNumbersContinued"/>
            </w:pPr>
          </w:p>
          <w:p w14:paraId="1834CE63" w14:textId="77777777" w:rsidR="002A21AE" w:rsidRDefault="002A21AE">
            <w:pPr>
              <w:pStyle w:val="TableTextNumbersContinued"/>
            </w:pPr>
            <w:r>
              <w:t xml:space="preserve">Select </w:t>
            </w:r>
            <w:r>
              <w:rPr>
                <w:b/>
              </w:rPr>
              <w:t>Edit Invoice Text.</w:t>
            </w:r>
          </w:p>
        </w:tc>
        <w:tc>
          <w:tcPr>
            <w:tcW w:w="6120" w:type="dxa"/>
          </w:tcPr>
          <w:p w14:paraId="3CDE65E3" w14:textId="77777777" w:rsidR="002A21AE" w:rsidRDefault="002A21AE">
            <w:pPr>
              <w:pStyle w:val="TableTextBullet"/>
            </w:pPr>
            <w:r>
              <w:t xml:space="preserve">Displays options for processing blood product shipments. </w:t>
            </w:r>
          </w:p>
          <w:p w14:paraId="3AF7789A" w14:textId="77777777" w:rsidR="002A21AE" w:rsidRDefault="002A21AE">
            <w:pPr>
              <w:pStyle w:val="TableTextBullet"/>
            </w:pPr>
            <w:r>
              <w:t>Displays the current text for outgoing shipment invoice.</w:t>
            </w:r>
          </w:p>
        </w:tc>
      </w:tr>
      <w:tr w:rsidR="002A21AE" w14:paraId="45C3B790" w14:textId="77777777">
        <w:trPr>
          <w:cantSplit/>
        </w:trPr>
        <w:tc>
          <w:tcPr>
            <w:tcW w:w="3240" w:type="dxa"/>
          </w:tcPr>
          <w:p w14:paraId="52DB523F" w14:textId="77777777" w:rsidR="002A21AE" w:rsidRDefault="002A21AE">
            <w:pPr>
              <w:pStyle w:val="TableTextNumbers"/>
            </w:pPr>
            <w:r>
              <w:t>Edit the text.</w:t>
            </w:r>
          </w:p>
        </w:tc>
        <w:tc>
          <w:tcPr>
            <w:tcW w:w="6120" w:type="dxa"/>
          </w:tcPr>
          <w:p w14:paraId="42EF0AAF" w14:textId="77777777" w:rsidR="002A21AE" w:rsidRDefault="002A21AE">
            <w:pPr>
              <w:pStyle w:val="TableTextBullet"/>
            </w:pPr>
            <w:r>
              <w:t xml:space="preserve">Displays entered data and changes for review. </w:t>
            </w:r>
          </w:p>
          <w:p w14:paraId="6779C692" w14:textId="77777777" w:rsidR="002A21AE" w:rsidRDefault="002A21AE">
            <w:pPr>
              <w:pStyle w:val="TableTextBullet"/>
            </w:pPr>
            <w:r>
              <w:t>Prompts the user to save or reject the changes.</w:t>
            </w:r>
          </w:p>
        </w:tc>
      </w:tr>
      <w:tr w:rsidR="002A21AE" w14:paraId="5ED702CC" w14:textId="77777777">
        <w:trPr>
          <w:cantSplit/>
        </w:trPr>
        <w:tc>
          <w:tcPr>
            <w:tcW w:w="3240" w:type="dxa"/>
          </w:tcPr>
          <w:p w14:paraId="0065F811" w14:textId="77777777" w:rsidR="002A21AE" w:rsidRDefault="002A21AE">
            <w:pPr>
              <w:pStyle w:val="TableTextNumbers"/>
            </w:pPr>
            <w:r>
              <w:lastRenderedPageBreak/>
              <w:t>Review the changes.</w:t>
            </w:r>
          </w:p>
          <w:p w14:paraId="62EA551A" w14:textId="77777777" w:rsidR="002A21AE" w:rsidRDefault="002A21AE">
            <w:pPr>
              <w:pStyle w:val="TableTextNumbersContinued"/>
            </w:pPr>
          </w:p>
          <w:p w14:paraId="52CFB7BD" w14:textId="77777777" w:rsidR="002A21AE" w:rsidRDefault="002A21AE">
            <w:pPr>
              <w:pStyle w:val="TableTextNumbersContinued"/>
            </w:pPr>
            <w:r>
              <w:t xml:space="preserve">Click </w:t>
            </w:r>
            <w:r>
              <w:rPr>
                <w:b/>
              </w:rPr>
              <w:t>OK</w:t>
            </w:r>
            <w:r>
              <w:t xml:space="preserve"> to save the text.</w:t>
            </w:r>
          </w:p>
          <w:p w14:paraId="05C8A81A" w14:textId="77777777" w:rsidR="002A21AE" w:rsidRDefault="002A21AE">
            <w:pPr>
              <w:pStyle w:val="TableTextNumbersContinued"/>
            </w:pPr>
          </w:p>
          <w:p w14:paraId="7DE5AA22" w14:textId="77777777" w:rsidR="002A21AE" w:rsidRDefault="002A21AE">
            <w:pPr>
              <w:pStyle w:val="TableTextNumbersContinued"/>
            </w:pPr>
            <w:r>
              <w:t xml:space="preserve">Click </w:t>
            </w:r>
            <w:r>
              <w:rPr>
                <w:b/>
              </w:rPr>
              <w:t>Yes</w:t>
            </w:r>
            <w:r>
              <w:t xml:space="preserve"> to confirm the save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30" w:author="Blalock, David (Leidos)" w:date="2020-06-15T14:09:00Z" w:original="0."/>
              </w:fldChar>
            </w:r>
          </w:p>
        </w:tc>
        <w:tc>
          <w:tcPr>
            <w:tcW w:w="6120" w:type="dxa"/>
          </w:tcPr>
          <w:p w14:paraId="6EBCDF7F" w14:textId="77777777" w:rsidR="002A21AE" w:rsidRDefault="002A21AE">
            <w:pPr>
              <w:pStyle w:val="TableTextBullet"/>
            </w:pPr>
            <w:r>
              <w:t>Saves the new text and makes it available for outgoing shipment invoices.</w:t>
            </w:r>
          </w:p>
        </w:tc>
      </w:tr>
    </w:tbl>
    <w:p w14:paraId="79932918" w14:textId="77777777" w:rsidR="00696609" w:rsidRDefault="00D53FD3" w:rsidP="00696609">
      <w:pPr>
        <w:pStyle w:val="Heading2"/>
      </w:pPr>
      <w:bookmarkStart w:id="331" w:name="_Toc47516718"/>
      <w:r>
        <w:t>Unit Search</w:t>
      </w:r>
      <w:r w:rsidR="005259AC">
        <w:t xml:space="preserve"> </w:t>
      </w:r>
      <w:r w:rsidR="00696609">
        <w:t>Screen</w:t>
      </w:r>
      <w:bookmarkEnd w:id="331"/>
      <w:r w:rsidR="00696609">
        <w:fldChar w:fldCharType="begin"/>
      </w:r>
      <w:r w:rsidR="00696609">
        <w:instrText xml:space="preserve"> XE “</w:instrText>
      </w:r>
      <w:r>
        <w:instrText>Unit Search</w:instrText>
      </w:r>
      <w:r w:rsidR="00696609">
        <w:instrText xml:space="preserve"> Screen” </w:instrText>
      </w:r>
      <w:r w:rsidR="00696609">
        <w:fldChar w:fldCharType="end"/>
      </w:r>
    </w:p>
    <w:p w14:paraId="1D9C6785" w14:textId="71184ACE" w:rsidR="00696609" w:rsidRDefault="00696609" w:rsidP="00696609">
      <w:pPr>
        <w:pStyle w:val="BodyText"/>
      </w:pPr>
      <w:r>
        <w:t xml:space="preserve">VBECS displays the </w:t>
      </w:r>
      <w:r w:rsidR="000E2F87">
        <w:t>Unit Search</w:t>
      </w:r>
      <w:r>
        <w:t xml:space="preserve"> screen </w:t>
      </w:r>
      <w:r w:rsidR="00A86D14">
        <w:t>(</w:t>
      </w:r>
      <w:r w:rsidR="00A6373D">
        <w:fldChar w:fldCharType="begin"/>
      </w:r>
      <w:r w:rsidR="00A6373D">
        <w:instrText xml:space="preserve"> REF _Ref300839358 \h </w:instrText>
      </w:r>
      <w:r w:rsidR="00A6373D">
        <w:fldChar w:fldCharType="separate"/>
      </w:r>
      <w:r w:rsidR="004353ED">
        <w:t xml:space="preserve">Figure </w:t>
      </w:r>
      <w:r w:rsidR="004353ED">
        <w:rPr>
          <w:noProof/>
        </w:rPr>
        <w:t>81</w:t>
      </w:r>
      <w:r w:rsidR="00A6373D">
        <w:fldChar w:fldCharType="end"/>
      </w:r>
      <w:r w:rsidR="00A86D14">
        <w:t xml:space="preserve">) </w:t>
      </w:r>
      <w:r>
        <w:t xml:space="preserve">when the user </w:t>
      </w:r>
      <w:r w:rsidR="00C57F9C">
        <w:t xml:space="preserve">clicks the </w:t>
      </w:r>
      <w:r w:rsidR="00A6373D">
        <w:rPr>
          <w:b/>
        </w:rPr>
        <w:t>find</w:t>
      </w:r>
      <w:r w:rsidR="00C57F9C" w:rsidRPr="00C57F9C">
        <w:rPr>
          <w:b/>
        </w:rPr>
        <w:t xml:space="preserve"> </w:t>
      </w:r>
      <w:r w:rsidR="00C57F9C" w:rsidRPr="00BF2E41">
        <w:t>button</w:t>
      </w:r>
      <w:r w:rsidR="002A36EF" w:rsidRPr="002A36EF">
        <w:t xml:space="preserve"> </w:t>
      </w:r>
      <w:r w:rsidR="00CA2640">
        <w:t>to select a unit</w:t>
      </w:r>
      <w:r w:rsidR="00574388">
        <w:t xml:space="preserve"> through some of the Blood Units, Patients, Shipments, and Supervisor main menu items</w:t>
      </w:r>
      <w:r>
        <w:t>.</w:t>
      </w:r>
      <w:r w:rsidR="005259AC">
        <w:t xml:space="preserve"> The title of the screen may vary </w:t>
      </w:r>
      <w:r w:rsidR="00A134BA">
        <w:t xml:space="preserve">(e.g., </w:t>
      </w:r>
      <w:r w:rsidR="003B7116">
        <w:t xml:space="preserve">Select Unit for Printing, Unit ABO/Rh Confirmation, </w:t>
      </w:r>
      <w:r w:rsidR="001A7E50">
        <w:t>Unit Antigen Typing,</w:t>
      </w:r>
      <w:r w:rsidR="005627A6">
        <w:t xml:space="preserve"> </w:t>
      </w:r>
      <w:r w:rsidR="00F47488">
        <w:t>Edit Unit Information</w:t>
      </w:r>
      <w:r w:rsidR="00A86581">
        <w:t>)</w:t>
      </w:r>
      <w:r w:rsidR="009046B4" w:rsidRPr="009046B4">
        <w:t xml:space="preserve"> </w:t>
      </w:r>
      <w:r w:rsidR="009046B4">
        <w:t>depending on the option selected.</w:t>
      </w:r>
      <w:r w:rsidR="003308A2">
        <w:t xml:space="preserve"> (The user then selects criteria to continue the search.)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696609" w14:paraId="2BFE6495" w14:textId="77777777">
        <w:trPr>
          <w:cantSplit/>
          <w:tblHeader/>
        </w:trPr>
        <w:tc>
          <w:tcPr>
            <w:tcW w:w="3240" w:type="dxa"/>
            <w:shd w:val="pct30" w:color="auto" w:fill="FFFFFF"/>
            <w:vAlign w:val="bottom"/>
          </w:tcPr>
          <w:p w14:paraId="143C1F14" w14:textId="77777777" w:rsidR="00696609" w:rsidRDefault="00696609" w:rsidP="00F52014">
            <w:pPr>
              <w:pStyle w:val="TableText"/>
              <w:rPr>
                <w:b/>
              </w:rPr>
            </w:pPr>
            <w:r>
              <w:rPr>
                <w:b/>
              </w:rPr>
              <w:t>User Action</w:t>
            </w:r>
          </w:p>
        </w:tc>
        <w:tc>
          <w:tcPr>
            <w:tcW w:w="6120" w:type="dxa"/>
            <w:shd w:val="pct30" w:color="auto" w:fill="FFFFFF"/>
            <w:vAlign w:val="bottom"/>
          </w:tcPr>
          <w:p w14:paraId="6180F9DC" w14:textId="77777777" w:rsidR="00696609" w:rsidRDefault="00696609" w:rsidP="00F52014">
            <w:pPr>
              <w:pStyle w:val="TableText"/>
              <w:rPr>
                <w:b/>
              </w:rPr>
            </w:pPr>
            <w:r>
              <w:rPr>
                <w:b/>
              </w:rPr>
              <w:t>VBECS</w:t>
            </w:r>
          </w:p>
        </w:tc>
      </w:tr>
      <w:tr w:rsidR="00696609" w14:paraId="681C0D2A" w14:textId="77777777">
        <w:tc>
          <w:tcPr>
            <w:tcW w:w="3240" w:type="dxa"/>
            <w:tcBorders>
              <w:top w:val="single" w:sz="4" w:space="0" w:color="auto"/>
              <w:left w:val="single" w:sz="4" w:space="0" w:color="auto"/>
              <w:bottom w:val="single" w:sz="4" w:space="0" w:color="auto"/>
              <w:right w:val="single" w:sz="4" w:space="0" w:color="auto"/>
            </w:tcBorders>
          </w:tcPr>
          <w:p w14:paraId="5965850A" w14:textId="77777777" w:rsidR="00696609" w:rsidRDefault="00574388" w:rsidP="00F52014">
            <w:pPr>
              <w:pStyle w:val="TableTextNumbers"/>
            </w:pPr>
            <w:r>
              <w:t>Select an item from the main menu and the desired option.</w:t>
            </w:r>
          </w:p>
          <w:p w14:paraId="26ADB377" w14:textId="77777777" w:rsidR="00574388" w:rsidRDefault="00574388" w:rsidP="00574388">
            <w:pPr>
              <w:pStyle w:val="TableTextNumbersContinued"/>
            </w:pPr>
          </w:p>
          <w:p w14:paraId="70CAA61B" w14:textId="77777777" w:rsidR="00653EEA" w:rsidRPr="00653EEA" w:rsidRDefault="00574388" w:rsidP="00574388">
            <w:pPr>
              <w:pStyle w:val="TableTextNumbersContinued"/>
            </w:pPr>
            <w:r>
              <w:t>Click additional buttons as needed.</w:t>
            </w:r>
          </w:p>
        </w:tc>
        <w:tc>
          <w:tcPr>
            <w:tcW w:w="6120" w:type="dxa"/>
            <w:tcBorders>
              <w:top w:val="single" w:sz="4" w:space="0" w:color="auto"/>
              <w:left w:val="single" w:sz="4" w:space="0" w:color="auto"/>
              <w:bottom w:val="single" w:sz="4" w:space="0" w:color="auto"/>
              <w:right w:val="single" w:sz="4" w:space="0" w:color="auto"/>
            </w:tcBorders>
          </w:tcPr>
          <w:p w14:paraId="29535DC2" w14:textId="77777777" w:rsidR="00696609" w:rsidRDefault="00696609" w:rsidP="00F52014">
            <w:pPr>
              <w:pStyle w:val="TableTextBullet"/>
            </w:pPr>
            <w:r>
              <w:t xml:space="preserve">Displays the </w:t>
            </w:r>
            <w:r w:rsidR="000E2F87">
              <w:t>Unit</w:t>
            </w:r>
            <w:r>
              <w:t xml:space="preserve"> Search screen.</w:t>
            </w:r>
          </w:p>
          <w:p w14:paraId="7E40B05E" w14:textId="77777777" w:rsidR="00EC1534" w:rsidRDefault="00EC1534" w:rsidP="00EC1534">
            <w:pPr>
              <w:pStyle w:val="TableText"/>
              <w:rPr>
                <w:b/>
                <w:bCs/>
              </w:rPr>
            </w:pPr>
          </w:p>
          <w:p w14:paraId="12BAFEA3" w14:textId="359F0EFC" w:rsidR="00EC1534" w:rsidRDefault="00EC1534" w:rsidP="00EC1534">
            <w:pPr>
              <w:pStyle w:val="TableText"/>
              <w:rPr>
                <w:b/>
                <w:bCs/>
              </w:rPr>
            </w:pPr>
            <w:r>
              <w:rPr>
                <w:b/>
                <w:bCs/>
              </w:rPr>
              <w:t xml:space="preserve">NOTES </w:t>
            </w:r>
          </w:p>
          <w:p w14:paraId="2AC769B0" w14:textId="77777777" w:rsidR="00EC1534" w:rsidRPr="0008348E" w:rsidRDefault="00EC1534" w:rsidP="00EC1534">
            <w:pPr>
              <w:pStyle w:val="NotesText"/>
            </w:pPr>
            <w:r w:rsidRPr="00EC1534">
              <w:t xml:space="preserve">Although multiple </w:t>
            </w:r>
            <w:r>
              <w:t xml:space="preserve">search </w:t>
            </w:r>
            <w:r w:rsidRPr="00EC1534">
              <w:t>criteria can be c</w:t>
            </w:r>
            <w:r>
              <w:t xml:space="preserve">hecked, the Unit Search screen </w:t>
            </w:r>
            <w:r w:rsidRPr="00EC1534">
              <w:t>perform</w:t>
            </w:r>
            <w:r>
              <w:t>s</w:t>
            </w:r>
            <w:r w:rsidRPr="00EC1534">
              <w:t xml:space="preserve"> independent searches not a summary search </w:t>
            </w:r>
            <w:r>
              <w:t>for all the selected variables.</w:t>
            </w:r>
            <w:r w:rsidR="0008348E">
              <w:rPr>
                <w:vanish/>
              </w:rPr>
              <w:t xml:space="preserve"> DR 3597</w:t>
            </w:r>
          </w:p>
          <w:p w14:paraId="3F2E60CD" w14:textId="77777777" w:rsidR="00EC1534" w:rsidRDefault="00EC1534" w:rsidP="00EC1534">
            <w:pPr>
              <w:pStyle w:val="NotesText"/>
            </w:pPr>
          </w:p>
          <w:p w14:paraId="71446678" w14:textId="77777777" w:rsidR="00EC1534" w:rsidRPr="0008348E" w:rsidRDefault="00EC1534" w:rsidP="00EC1534">
            <w:pPr>
              <w:pStyle w:val="NotesText"/>
            </w:pPr>
            <w:r>
              <w:t>Users can obtain a listing of all available unit specifics by creating a custom Blood Availability Report allowing them to make the appropriate selections without looking at each unit’s record.</w:t>
            </w:r>
            <w:r w:rsidR="0008348E">
              <w:rPr>
                <w:vanish/>
              </w:rPr>
              <w:t xml:space="preserve"> DR 3597</w:t>
            </w:r>
          </w:p>
        </w:tc>
      </w:tr>
      <w:tr w:rsidR="00696609" w14:paraId="1E355C9F" w14:textId="77777777">
        <w:tc>
          <w:tcPr>
            <w:tcW w:w="3240" w:type="dxa"/>
            <w:tcBorders>
              <w:top w:val="single" w:sz="4" w:space="0" w:color="auto"/>
              <w:left w:val="single" w:sz="4" w:space="0" w:color="auto"/>
              <w:bottom w:val="single" w:sz="4" w:space="0" w:color="auto"/>
              <w:right w:val="single" w:sz="4" w:space="0" w:color="auto"/>
            </w:tcBorders>
          </w:tcPr>
          <w:p w14:paraId="173202F7" w14:textId="777DA304" w:rsidR="000C426C" w:rsidRDefault="00696609" w:rsidP="008E012C">
            <w:pPr>
              <w:pStyle w:val="TableTextNumbers"/>
            </w:pPr>
            <w:r>
              <w:t xml:space="preserve">To search for a </w:t>
            </w:r>
            <w:r w:rsidR="000C426C">
              <w:t>unit</w:t>
            </w:r>
            <w:r w:rsidR="008E012C">
              <w:t xml:space="preserve">, </w:t>
            </w:r>
            <w:r w:rsidR="00415C5B">
              <w:t>enter the full or partial unit ID</w:t>
            </w:r>
            <w:r w:rsidR="00ED20E2">
              <w:t xml:space="preserve"> and click the </w:t>
            </w:r>
            <w:r w:rsidR="00A6373D" w:rsidRPr="00A6373D">
              <w:rPr>
                <w:b/>
              </w:rPr>
              <w:t>find</w:t>
            </w:r>
            <w:r w:rsidR="00ED20E2" w:rsidRPr="00ED20E2">
              <w:rPr>
                <w:b/>
              </w:rPr>
              <w:t xml:space="preserve"> </w:t>
            </w:r>
            <w:r w:rsidR="00ED20E2" w:rsidRPr="00D1100E">
              <w:t>button</w:t>
            </w:r>
            <w:r w:rsidR="00415C5B">
              <w:t xml:space="preserve">, or </w:t>
            </w:r>
            <w:r w:rsidR="00ED20E2">
              <w:t xml:space="preserve">just </w:t>
            </w:r>
            <w:r w:rsidR="008E012C">
              <w:t>c</w:t>
            </w:r>
            <w:r w:rsidR="000C426C">
              <w:t xml:space="preserve">lick the </w:t>
            </w:r>
            <w:r w:rsidR="00A6373D" w:rsidRPr="00A6373D">
              <w:rPr>
                <w:b/>
              </w:rPr>
              <w:t>find</w:t>
            </w:r>
            <w:r w:rsidR="000C426C" w:rsidRPr="008E012C">
              <w:rPr>
                <w:b/>
              </w:rPr>
              <w:t xml:space="preserve"> </w:t>
            </w:r>
            <w:r w:rsidR="000C426C" w:rsidRPr="00D1100E">
              <w:t>button</w:t>
            </w:r>
            <w:r w:rsidR="00A86D14">
              <w:rPr>
                <w:b/>
              </w:rPr>
              <w:t xml:space="preserve"> </w:t>
            </w:r>
            <w:r w:rsidR="00A86D14" w:rsidRPr="00A86D14">
              <w:t>(</w:t>
            </w:r>
            <w:r w:rsidR="00D76C2F">
              <w:fldChar w:fldCharType="begin"/>
            </w:r>
            <w:r w:rsidR="00D76C2F">
              <w:instrText xml:space="preserve"> REF _Ref300839358 \h </w:instrText>
            </w:r>
            <w:r w:rsidR="00D76C2F">
              <w:fldChar w:fldCharType="separate"/>
            </w:r>
            <w:r w:rsidR="004353ED">
              <w:t xml:space="preserve">Figure </w:t>
            </w:r>
            <w:r w:rsidR="004353ED">
              <w:rPr>
                <w:noProof/>
              </w:rPr>
              <w:t>81</w:t>
            </w:r>
            <w:r w:rsidR="00D76C2F">
              <w:fldChar w:fldCharType="end"/>
            </w:r>
            <w:r w:rsidR="000275FF">
              <w:t>)</w:t>
            </w:r>
            <w:r w:rsidR="000C426C">
              <w:t>.</w:t>
            </w:r>
          </w:p>
          <w:p w14:paraId="74A8771F" w14:textId="77777777" w:rsidR="008E012C" w:rsidRDefault="008E012C" w:rsidP="008E012C">
            <w:pPr>
              <w:pStyle w:val="TableTextNumbersContinued"/>
            </w:pPr>
          </w:p>
          <w:p w14:paraId="7DEEE5B5" w14:textId="77777777" w:rsidR="00696609" w:rsidRDefault="008E012C" w:rsidP="008E012C">
            <w:pPr>
              <w:pStyle w:val="TableTextNumbersContinued"/>
            </w:pPr>
            <w:r>
              <w:t>Click a check box to select a unit.</w:t>
            </w:r>
          </w:p>
          <w:p w14:paraId="50EF3DEC" w14:textId="77777777" w:rsidR="008E012C" w:rsidRDefault="008E012C" w:rsidP="008E012C">
            <w:pPr>
              <w:pStyle w:val="TableTextNumbersContinued"/>
            </w:pPr>
          </w:p>
          <w:p w14:paraId="0527799A" w14:textId="77777777" w:rsidR="00696609" w:rsidRDefault="008E012C" w:rsidP="008E012C">
            <w:pPr>
              <w:pStyle w:val="TableTextNumbersContinued"/>
            </w:pPr>
            <w:r>
              <w:t xml:space="preserve">Click </w:t>
            </w:r>
            <w:r w:rsidRPr="008E012C">
              <w:rPr>
                <w:b/>
              </w:rPr>
              <w:t>OK</w:t>
            </w:r>
            <w:r w:rsidR="00696609">
              <w:t>.</w:t>
            </w:r>
            <w:r w:rsidR="003F7207">
              <w:t xml:space="preserve"> </w:t>
            </w:r>
            <w:r w:rsidR="003F7207">
              <w:rPr>
                <w:vanish/>
                <w:color w:val="FFFFFF"/>
                <w:szCs w:val="18"/>
              </w:rPr>
              <w:fldChar w:fldCharType="begin"/>
            </w:r>
            <w:r w:rsidR="003F7207">
              <w:rPr>
                <w:vanish/>
                <w:color w:val="FFFFFF"/>
                <w:szCs w:val="18"/>
              </w:rPr>
              <w:instrText xml:space="preserve"> LISTNUM \l 1 \s 0 </w:instrText>
            </w:r>
            <w:r w:rsidR="003F7207">
              <w:rPr>
                <w:vanish/>
                <w:color w:val="FFFFFF"/>
                <w:szCs w:val="18"/>
              </w:rPr>
              <w:fldChar w:fldCharType="end">
                <w:numberingChange w:id="332"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5670CDE1" w14:textId="77777777" w:rsidR="00050576" w:rsidRDefault="00696609" w:rsidP="00050576">
            <w:pPr>
              <w:pStyle w:val="TableTextBullet"/>
            </w:pPr>
            <w:r>
              <w:t xml:space="preserve">Lists </w:t>
            </w:r>
            <w:r w:rsidR="000C426C">
              <w:t>units</w:t>
            </w:r>
            <w:r>
              <w:t xml:space="preserve"> that meet the search criteria.</w:t>
            </w:r>
            <w:r w:rsidR="00050576">
              <w:t xml:space="preserve"> </w:t>
            </w:r>
          </w:p>
          <w:p w14:paraId="40970EC6" w14:textId="77777777" w:rsidR="00696609" w:rsidRDefault="00050576" w:rsidP="00574388">
            <w:pPr>
              <w:pStyle w:val="TableTextBullet"/>
            </w:pPr>
            <w:r>
              <w:t>Displays unit-associated data.</w:t>
            </w:r>
          </w:p>
          <w:p w14:paraId="7E1E9A31" w14:textId="77777777" w:rsidR="00415C5B" w:rsidRDefault="00415C5B" w:rsidP="00415C5B">
            <w:pPr>
              <w:pStyle w:val="TableText"/>
            </w:pPr>
          </w:p>
          <w:p w14:paraId="770E48F3" w14:textId="320EA8E6" w:rsidR="00415C5B" w:rsidRDefault="00415C5B" w:rsidP="00415C5B">
            <w:pPr>
              <w:pStyle w:val="TableText"/>
              <w:rPr>
                <w:b/>
                <w:bCs/>
              </w:rPr>
            </w:pPr>
            <w:r>
              <w:rPr>
                <w:b/>
                <w:bCs/>
              </w:rPr>
              <w:t xml:space="preserve">NOTES </w:t>
            </w:r>
          </w:p>
          <w:p w14:paraId="7A119BEB" w14:textId="77777777" w:rsidR="00415C5B" w:rsidRDefault="00415C5B" w:rsidP="00415C5B">
            <w:pPr>
              <w:pStyle w:val="NotesText"/>
            </w:pPr>
          </w:p>
          <w:p w14:paraId="10977A23" w14:textId="77777777" w:rsidR="00415C5B" w:rsidRDefault="00ED20E2" w:rsidP="00A6373D">
            <w:pPr>
              <w:pStyle w:val="NotesText"/>
            </w:pPr>
            <w:r>
              <w:t>To speed the search, e</w:t>
            </w:r>
            <w:r w:rsidR="00415C5B">
              <w:t xml:space="preserve">nter a </w:t>
            </w:r>
            <w:r>
              <w:t xml:space="preserve">full or partial </w:t>
            </w:r>
            <w:r w:rsidR="00415C5B">
              <w:t xml:space="preserve">unit ID instead </w:t>
            </w:r>
            <w:r>
              <w:t xml:space="preserve">of just clicking the </w:t>
            </w:r>
            <w:r w:rsidR="00A6373D">
              <w:rPr>
                <w:b/>
              </w:rPr>
              <w:t>find</w:t>
            </w:r>
            <w:r>
              <w:t xml:space="preserve"> button</w:t>
            </w:r>
            <w:r w:rsidR="00C54571">
              <w:t xml:space="preserve"> (which causes VBECS to search the entire database and takes longer)</w:t>
            </w:r>
            <w:r>
              <w:t>.</w:t>
            </w:r>
          </w:p>
        </w:tc>
      </w:tr>
    </w:tbl>
    <w:p w14:paraId="002EF351" w14:textId="77777777" w:rsidR="00DB3F75" w:rsidRDefault="0002560C" w:rsidP="0002560C">
      <w:pPr>
        <w:pStyle w:val="Caution"/>
      </w:pPr>
      <w:r>
        <w:t>VBECS checks unit IDs and product codes after the user enters the product code. When there is a discrepancy, VBECS displays the Input Error icon and allows the user to edit the data.</w:t>
      </w:r>
    </w:p>
    <w:p w14:paraId="24391CB4" w14:textId="4A2DB17B" w:rsidR="00156636" w:rsidRPr="00A6373D" w:rsidRDefault="00A6373D" w:rsidP="00A6373D">
      <w:pPr>
        <w:pStyle w:val="Caption"/>
      </w:pPr>
      <w:bookmarkStart w:id="333" w:name="_Ref300839358"/>
      <w:bookmarkStart w:id="334" w:name="_Ref30083935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81</w:t>
      </w:r>
      <w:r w:rsidR="004E20BD">
        <w:rPr>
          <w:noProof/>
        </w:rPr>
        <w:fldChar w:fldCharType="end"/>
      </w:r>
      <w:bookmarkEnd w:id="333"/>
      <w:r>
        <w:t xml:space="preserve">: </w:t>
      </w:r>
      <w:r w:rsidR="00156636" w:rsidRPr="00A6373D">
        <w:t>Click the Find Button</w:t>
      </w:r>
      <w:bookmarkEnd w:id="334"/>
    </w:p>
    <w:p w14:paraId="3E0EFAA9" w14:textId="77777777" w:rsidR="00A6373D" w:rsidRDefault="00057948" w:rsidP="00A6373D">
      <w:pPr>
        <w:pStyle w:val="BodyText"/>
      </w:pPr>
      <w:r>
        <w:rPr>
          <w:noProof/>
        </w:rPr>
        <w:drawing>
          <wp:inline distT="0" distB="0" distL="0" distR="0" wp14:anchorId="7E5255E7" wp14:editId="56F183B8">
            <wp:extent cx="4627245" cy="2733675"/>
            <wp:effectExtent l="0" t="0" r="1905" b="9525"/>
            <wp:docPr id="166" name="Picture 1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a:extLst>
                        <a:ext uri="{C183D7F6-B498-43B3-948B-1728B52AA6E4}">
                          <adec:decorative xmlns:adec="http://schemas.microsoft.com/office/drawing/2017/decorative" val="1"/>
                        </a:ext>
                      </a:extLst>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627245" cy="2733675"/>
                    </a:xfrm>
                    <a:prstGeom prst="rect">
                      <a:avLst/>
                    </a:prstGeom>
                    <a:noFill/>
                    <a:ln>
                      <a:noFill/>
                    </a:ln>
                  </pic:spPr>
                </pic:pic>
              </a:graphicData>
            </a:graphic>
          </wp:inline>
        </w:drawing>
      </w:r>
    </w:p>
    <w:p w14:paraId="5FB30261" w14:textId="312545F2" w:rsidR="00A6373D" w:rsidRPr="00A6373D" w:rsidRDefault="00A6373D" w:rsidP="00A6373D">
      <w:pPr>
        <w:pStyle w:val="Caption"/>
      </w:pPr>
      <w:bookmarkStart w:id="335" w:name="_Ref30083938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82</w:t>
      </w:r>
      <w:r w:rsidR="004E20BD">
        <w:rPr>
          <w:noProof/>
        </w:rPr>
        <w:fldChar w:fldCharType="end"/>
      </w:r>
      <w:bookmarkEnd w:id="335"/>
      <w:r>
        <w:t xml:space="preserve">: </w:t>
      </w:r>
      <w:r w:rsidRPr="00A6373D">
        <w:t>Display Unit Search Screen</w:t>
      </w:r>
    </w:p>
    <w:p w14:paraId="716F2D09" w14:textId="77777777" w:rsidR="00156636" w:rsidRDefault="00057948" w:rsidP="00156636">
      <w:pPr>
        <w:pStyle w:val="BodyText"/>
      </w:pPr>
      <w:r>
        <w:rPr>
          <w:noProof/>
        </w:rPr>
        <w:drawing>
          <wp:inline distT="0" distB="0" distL="0" distR="0" wp14:anchorId="6C68FA56" wp14:editId="0A570EB3">
            <wp:extent cx="5939155" cy="3352800"/>
            <wp:effectExtent l="0" t="0" r="4445" b="0"/>
            <wp:docPr id="167" name="Picture 1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a:extLst>
                        <a:ext uri="{C183D7F6-B498-43B3-948B-1728B52AA6E4}">
                          <adec:decorative xmlns:adec="http://schemas.microsoft.com/office/drawing/2017/decorative" val="1"/>
                        </a:ext>
                      </a:extLst>
                    </pic:cNvPr>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939155" cy="3352800"/>
                    </a:xfrm>
                    <a:prstGeom prst="rect">
                      <a:avLst/>
                    </a:prstGeom>
                    <a:noFill/>
                    <a:ln>
                      <a:noFill/>
                    </a:ln>
                  </pic:spPr>
                </pic:pic>
              </a:graphicData>
            </a:graphic>
          </wp:inline>
        </w:drawing>
      </w:r>
    </w:p>
    <w:p w14:paraId="511F9E64" w14:textId="77777777" w:rsidR="00156636" w:rsidRDefault="00156636" w:rsidP="00156636">
      <w:pPr>
        <w:pStyle w:val="BodyText"/>
      </w:pPr>
    </w:p>
    <w:p w14:paraId="450C405D" w14:textId="77777777" w:rsidR="00156636" w:rsidRPr="00156636" w:rsidRDefault="00156636" w:rsidP="00156636">
      <w:pPr>
        <w:pStyle w:val="BodyText"/>
        <w:sectPr w:rsidR="00156636" w:rsidRPr="00156636" w:rsidSect="00EE771C">
          <w:headerReference w:type="default" r:id="rId168"/>
          <w:pgSz w:w="12240" w:h="15840" w:code="1"/>
          <w:pgMar w:top="1440" w:right="1440" w:bottom="1440" w:left="1440" w:header="720" w:footer="720" w:gutter="0"/>
          <w:cols w:space="720"/>
          <w:docGrid w:linePitch="360"/>
        </w:sectPr>
      </w:pPr>
    </w:p>
    <w:p w14:paraId="020E080E" w14:textId="77777777" w:rsidR="002A21AE" w:rsidRDefault="002A21AE" w:rsidP="00CE6B6A">
      <w:pPr>
        <w:pStyle w:val="Heading2"/>
      </w:pPr>
      <w:bookmarkStart w:id="336" w:name="_Toc47516719"/>
      <w:r>
        <w:lastRenderedPageBreak/>
        <w:t>Test Units</w:t>
      </w:r>
      <w:bookmarkEnd w:id="295"/>
      <w:bookmarkEnd w:id="336"/>
      <w:r>
        <w:fldChar w:fldCharType="begin"/>
      </w:r>
      <w:r>
        <w:instrText xml:space="preserve"> XE </w:instrText>
      </w:r>
      <w:r w:rsidR="00FA7E65">
        <w:instrText>“</w:instrText>
      </w:r>
      <w:r>
        <w:instrText>Test Units</w:instrText>
      </w:r>
      <w:r w:rsidR="00FA7E65">
        <w:instrText>”</w:instrText>
      </w:r>
      <w:r>
        <w:instrText xml:space="preserve"> </w:instrText>
      </w:r>
      <w:r>
        <w:fldChar w:fldCharType="end"/>
      </w:r>
    </w:p>
    <w:p w14:paraId="6F57B383" w14:textId="77777777" w:rsidR="002A21AE" w:rsidRDefault="002A21AE">
      <w:pPr>
        <w:pStyle w:val="Heading3"/>
      </w:pPr>
      <w:bookmarkStart w:id="337" w:name="_ABO/Rh_Confirmation"/>
      <w:bookmarkStart w:id="338" w:name="_Toc47516720"/>
      <w:bookmarkEnd w:id="337"/>
      <w:r>
        <w:t>ABO/Rh Confirmation</w:t>
      </w:r>
      <w:bookmarkEnd w:id="338"/>
      <w:r w:rsidRPr="007716F7">
        <w:rPr>
          <w:vanish/>
        </w:rPr>
        <w:fldChar w:fldCharType="begin"/>
      </w:r>
      <w:r w:rsidRPr="007716F7">
        <w:rPr>
          <w:vanish/>
        </w:rPr>
        <w:instrText xml:space="preserve"> XE </w:instrText>
      </w:r>
      <w:r w:rsidR="00FA7E65" w:rsidRPr="007716F7">
        <w:rPr>
          <w:vanish/>
        </w:rPr>
        <w:instrText>“</w:instrText>
      </w:r>
      <w:r w:rsidRPr="007716F7">
        <w:rPr>
          <w:vanish/>
        </w:rPr>
        <w:instrText>ABO/Rh Confirmation</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UC_02</w:t>
      </w:r>
    </w:p>
    <w:p w14:paraId="128E8BCD" w14:textId="77777777" w:rsidR="002A21AE" w:rsidRDefault="002A21AE" w:rsidP="00FA7E65">
      <w:pPr>
        <w:pStyle w:val="BodyText"/>
      </w:pPr>
      <w:r>
        <w:t>Blood produc</w:t>
      </w:r>
      <w:r w:rsidR="006C5ACC">
        <w:t xml:space="preserve">ts </w:t>
      </w:r>
      <w:r w:rsidR="00C55227">
        <w:t xml:space="preserve">that contain </w:t>
      </w:r>
      <w:r w:rsidR="00C0155E">
        <w:t xml:space="preserve">equal to or greater than (= &gt;) of </w:t>
      </w:r>
      <w:r w:rsidR="00C55227">
        <w:t xml:space="preserve">red blood cells (Red Blood Cells, Whole Blood, Granulocytes and Leukocytes) </w:t>
      </w:r>
      <w:r>
        <w:t>require ABO/Rh confirmation</w:t>
      </w:r>
      <w:r w:rsidR="00D2652F" w:rsidRPr="00D2652F">
        <w:rPr>
          <w:vanish/>
        </w:rPr>
        <w:t>(PT_1.06 Product Types)</w:t>
      </w:r>
      <w:r>
        <w:t>. The user may process ABO/Rh confirmation results by selecting an invoice or individual units of blood received in a shipment. VBECS records the ABO/Rh test results for the list of blood units tested.</w:t>
      </w:r>
    </w:p>
    <w:p w14:paraId="0195EE8D" w14:textId="77777777" w:rsidR="002A21AE" w:rsidRDefault="002A21AE">
      <w:pPr>
        <w:pStyle w:val="Heading4"/>
      </w:pPr>
      <w:r>
        <w:t>Assumptions</w:t>
      </w:r>
    </w:p>
    <w:p w14:paraId="6FED37BD" w14:textId="77777777" w:rsidR="00852AC1" w:rsidRDefault="00852AC1" w:rsidP="00852AC1">
      <w:pPr>
        <w:pStyle w:val="ListBullet"/>
      </w:pPr>
      <w:r>
        <w:t>The division is “full service.”</w:t>
      </w:r>
    </w:p>
    <w:p w14:paraId="7A80476B" w14:textId="77777777" w:rsidR="002A21AE" w:rsidRDefault="002A21AE">
      <w:pPr>
        <w:pStyle w:val="ListBullet"/>
      </w:pPr>
      <w:r>
        <w:t xml:space="preserve">A unit’s labeled ABO/Rh was entered in the same division as the user during login of an incoming shipment. </w:t>
      </w:r>
    </w:p>
    <w:p w14:paraId="2640BFB2" w14:textId="77777777" w:rsidR="002A21AE" w:rsidRDefault="002A21AE">
      <w:pPr>
        <w:pStyle w:val="ListBullet"/>
      </w:pPr>
      <w:r>
        <w:rPr>
          <w:rFonts w:ascii="Arial" w:hAnsi="Arial" w:cs="Arial"/>
          <w:vanish/>
          <w:spacing w:val="0"/>
          <w:sz w:val="18"/>
        </w:rPr>
        <w:t xml:space="preserve">BR_2.02 </w:t>
      </w:r>
      <w:r>
        <w:t>Only invoices processed within a user’s division may be accessed to create an ABO/Rh confirmation worklist.</w:t>
      </w:r>
    </w:p>
    <w:p w14:paraId="1D06D1D4" w14:textId="77777777" w:rsidR="002A21AE" w:rsidRDefault="002A21AE">
      <w:pPr>
        <w:pStyle w:val="Heading4"/>
      </w:pPr>
      <w:r>
        <w:t>Outcome</w:t>
      </w:r>
    </w:p>
    <w:p w14:paraId="29AC7467" w14:textId="77777777" w:rsidR="002A21AE" w:rsidRDefault="002A21AE">
      <w:pPr>
        <w:pStyle w:val="ListBullet"/>
      </w:pPr>
      <w:r>
        <w:t>Unit ABO/Rh observed test results and interpretations are available for selection for patient use.</w:t>
      </w:r>
    </w:p>
    <w:p w14:paraId="57FA6AB5" w14:textId="77777777" w:rsidR="002A21AE" w:rsidRDefault="002A21AE">
      <w:pPr>
        <w:pStyle w:val="Heading4"/>
      </w:pPr>
      <w:r>
        <w:t>Limitations and Restrictions</w:t>
      </w:r>
    </w:p>
    <w:p w14:paraId="3CDC930C" w14:textId="77777777" w:rsidR="00164B44" w:rsidRPr="00164B44" w:rsidRDefault="00164B44">
      <w:pPr>
        <w:pStyle w:val="ListBullet"/>
      </w:pPr>
      <w:r w:rsidRPr="00164B44">
        <w:rPr>
          <w:vanish/>
        </w:rPr>
        <w:t xml:space="preserve">BR_41.32 </w:t>
      </w:r>
      <w:r>
        <w:t>This option is disabled for transfusion-only facilities.</w:t>
      </w:r>
    </w:p>
    <w:p w14:paraId="7501FF69" w14:textId="77777777" w:rsidR="002A21AE" w:rsidRDefault="002A21AE">
      <w:pPr>
        <w:pStyle w:val="ListBullet"/>
      </w:pPr>
      <w:r>
        <w:rPr>
          <w:rFonts w:ascii="Arial" w:hAnsi="Arial" w:cs="Arial"/>
          <w:vanish/>
          <w:spacing w:val="0"/>
          <w:sz w:val="18"/>
        </w:rPr>
        <w:t xml:space="preserve">BR_2.04 </w:t>
      </w:r>
      <w:r w:rsidR="007D535F">
        <w:t>When building a worklist by invoice number, only invoiced units not previously tested and confirmed appear on the worklist. The user may deselect or add additional units.</w:t>
      </w:r>
    </w:p>
    <w:p w14:paraId="68B046FE" w14:textId="77777777" w:rsidR="00513A28" w:rsidRPr="008631E9" w:rsidRDefault="002A21AE" w:rsidP="008631E9">
      <w:pPr>
        <w:pStyle w:val="ListBullet"/>
      </w:pPr>
      <w:r>
        <w:rPr>
          <w:rFonts w:ascii="Arial" w:hAnsi="Arial" w:cs="Arial"/>
          <w:vanish/>
          <w:spacing w:val="0"/>
          <w:sz w:val="18"/>
        </w:rPr>
        <w:t xml:space="preserve">BR_27.09 </w:t>
      </w:r>
      <w:r w:rsidR="001E3F16">
        <w:t>For batch processing, the user can select incoming shipment invoices from his division, processed within the previous five days</w:t>
      </w:r>
      <w:r w:rsidR="001E3F16" w:rsidRPr="008631E9">
        <w:t>.</w:t>
      </w:r>
    </w:p>
    <w:p w14:paraId="4DA0752F" w14:textId="77777777" w:rsidR="00E44A83" w:rsidRDefault="008631E9" w:rsidP="008631E9">
      <w:pPr>
        <w:pStyle w:val="ListBullet"/>
      </w:pPr>
      <w:r>
        <w:t xml:space="preserve">VBECS does not display product </w:t>
      </w:r>
      <w:r w:rsidRPr="008631E9">
        <w:t>code</w:t>
      </w:r>
      <w:r>
        <w:t xml:space="preserve">s associated with unit IDs in ABO/Rh Confirmation. </w:t>
      </w:r>
      <w:r w:rsidR="0011459B">
        <w:t>Therefore, d</w:t>
      </w:r>
      <w:r>
        <w:t>o not create ABO/Rh confirmation worklists containing units with the same unit ID.</w:t>
      </w:r>
    </w:p>
    <w:p w14:paraId="1FBC7008" w14:textId="48E753CE" w:rsidR="00E44A83" w:rsidRPr="00D12C95" w:rsidRDefault="00E44A83" w:rsidP="00E44A83">
      <w:pPr>
        <w:pStyle w:val="ListBullet"/>
      </w:pPr>
      <w:r>
        <w:t xml:space="preserve">POOLED </w:t>
      </w:r>
      <w:r w:rsidRPr="00D12C95">
        <w:t xml:space="preserve">GRANULOCYTES </w:t>
      </w:r>
      <w:r w:rsidRPr="00C60EBB">
        <w:rPr>
          <w:vanish/>
        </w:rPr>
        <w:t xml:space="preserve">(ICCBBA Component Class E036) </w:t>
      </w:r>
      <w:r w:rsidRPr="00D12C95">
        <w:t>labeled with an Rh type of “Pooled” is considered an Rh Positive unit which does not require confirmation testing.</w:t>
      </w:r>
    </w:p>
    <w:p w14:paraId="1B22A239" w14:textId="3CE5C96D" w:rsidR="008631E9" w:rsidRDefault="00E44A83" w:rsidP="00E44A83">
      <w:pPr>
        <w:pStyle w:val="ListBullet"/>
      </w:pPr>
      <w:r w:rsidRPr="00E44A83">
        <w:t xml:space="preserve">POOLED GRANULOCYTES </w:t>
      </w:r>
      <w:r w:rsidRPr="00C60EBB">
        <w:rPr>
          <w:vanish/>
        </w:rPr>
        <w:t xml:space="preserve">(ICCBBA Component Class E036) </w:t>
      </w:r>
      <w:r w:rsidRPr="00E44A83">
        <w:t>labeled with an ABO group of “Pooled” cannot be confirmed. A blood component unit received as “POOLED ABO” will have to be transfused using the Supervisory option, Document ABO Incompatible Transfusion.</w:t>
      </w:r>
    </w:p>
    <w:p w14:paraId="566D2932" w14:textId="30DCE1B7" w:rsidR="00FE6750" w:rsidRPr="008631E9" w:rsidRDefault="00AA7B45" w:rsidP="00AA7B45">
      <w:pPr>
        <w:pStyle w:val="ListBullet"/>
      </w:pPr>
      <w:r w:rsidRPr="00B26970">
        <w:rPr>
          <w:rFonts w:cs="Arial"/>
          <w:szCs w:val="18"/>
        </w:rPr>
        <w:t>Patient assignment is not released automatically when a unit is quarantined due to discrepant ABO/Rh retype testing.</w:t>
      </w:r>
      <w:r>
        <w:rPr>
          <w:rFonts w:cs="Arial"/>
          <w:szCs w:val="18"/>
        </w:rPr>
        <w:t xml:space="preserve"> </w:t>
      </w:r>
      <w:r w:rsidRPr="00B26970">
        <w:rPr>
          <w:rFonts w:cs="Arial"/>
          <w:szCs w:val="18"/>
        </w:rPr>
        <w:t xml:space="preserve">The unit is quarantined and cannot be selected for a different patient or issued for </w:t>
      </w:r>
      <w:r>
        <w:rPr>
          <w:rFonts w:cs="Arial"/>
          <w:szCs w:val="18"/>
        </w:rPr>
        <w:t>the current</w:t>
      </w:r>
      <w:r w:rsidRPr="00B26970">
        <w:rPr>
          <w:rFonts w:cs="Arial"/>
          <w:szCs w:val="18"/>
        </w:rPr>
        <w:t xml:space="preserve"> patient.</w:t>
      </w:r>
      <w:r>
        <w:rPr>
          <w:rFonts w:cs="Arial"/>
          <w:szCs w:val="18"/>
        </w:rPr>
        <w:t xml:space="preserve"> Quarantined units are clearly marked in VBECS and cannot be issued. </w:t>
      </w:r>
      <w:r w:rsidRPr="00C11B6E">
        <w:rPr>
          <w:rFonts w:cs="Arial"/>
          <w:vanish/>
          <w:szCs w:val="18"/>
        </w:rPr>
        <w:t>Task 213499</w:t>
      </w:r>
    </w:p>
    <w:p w14:paraId="1AB62AD8" w14:textId="77777777" w:rsidR="00852AC1" w:rsidRPr="00852AC1" w:rsidRDefault="002A21AE" w:rsidP="002F55AF">
      <w:pPr>
        <w:pStyle w:val="Heading4"/>
      </w:pPr>
      <w:r>
        <w:t>Additional Information</w:t>
      </w:r>
    </w:p>
    <w:p w14:paraId="5996548B" w14:textId="77777777" w:rsidR="002A21AE" w:rsidRPr="00995EAA" w:rsidRDefault="002A21AE">
      <w:pPr>
        <w:pStyle w:val="ListBullet"/>
        <w:rPr>
          <w:rStyle w:val="CommentReference"/>
          <w:sz w:val="22"/>
          <w:szCs w:val="22"/>
        </w:rPr>
      </w:pPr>
      <w:r>
        <w:rPr>
          <w:rFonts w:ascii="Arial" w:hAnsi="Arial" w:cs="Arial"/>
          <w:vanish/>
          <w:spacing w:val="0"/>
          <w:sz w:val="18"/>
        </w:rPr>
        <w:t xml:space="preserve">BR_2.11 </w:t>
      </w:r>
      <w:r>
        <w:t>Within a multidivisional facility when ABO/Rh confirmation is repeated on units from a facility within the same database, both the originating facility ABO/Rh confirmation testing results and the current testing results are stored.</w:t>
      </w:r>
      <w:r>
        <w:rPr>
          <w:rStyle w:val="CommentReference"/>
          <w:b/>
          <w:vanish/>
        </w:rPr>
        <w:t xml:space="preserve"> </w:t>
      </w:r>
    </w:p>
    <w:p w14:paraId="77363B8C" w14:textId="77777777" w:rsidR="002A21AE" w:rsidRDefault="002A21AE">
      <w:pPr>
        <w:pStyle w:val="Heading4"/>
      </w:pPr>
      <w:r>
        <w:t>User Roles with Access to This Option</w:t>
      </w:r>
    </w:p>
    <w:p w14:paraId="76976F01" w14:textId="77777777" w:rsidR="002A21AE" w:rsidRDefault="002B1D25">
      <w:pPr>
        <w:pStyle w:val="Roles"/>
        <w:rPr>
          <w:snapToGrid w:val="0"/>
        </w:rPr>
      </w:pPr>
      <w:r>
        <w:t>All users</w:t>
      </w:r>
    </w:p>
    <w:p w14:paraId="2A8A7107" w14:textId="77777777" w:rsidR="002A21AE" w:rsidRDefault="00057948">
      <w:pPr>
        <w:pStyle w:val="Heading4"/>
      </w:pPr>
      <w:r>
        <w:rPr>
          <w:noProof/>
        </w:rPr>
        <w:lastRenderedPageBreak/>
        <w:drawing>
          <wp:inline distT="0" distB="0" distL="0" distR="0" wp14:anchorId="705B0667" wp14:editId="48DBAF3C">
            <wp:extent cx="156845" cy="156845"/>
            <wp:effectExtent l="0" t="0" r="0" b="0"/>
            <wp:docPr id="168" name="Picture 1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a:extLst>
                        <a:ext uri="{C183D7F6-B498-43B3-948B-1728B52AA6E4}">
                          <adec:decorative xmlns:adec="http://schemas.microsoft.com/office/drawing/2017/decorative" val="1"/>
                        </a:ext>
                      </a:extLs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ABO/Rh Confirmation Testing</w:t>
      </w:r>
    </w:p>
    <w:p w14:paraId="1C1ED02B" w14:textId="77777777" w:rsidR="002A21AE" w:rsidRDefault="002A21AE" w:rsidP="00FA7E65">
      <w:pPr>
        <w:pStyle w:val="BodyText"/>
      </w:pPr>
      <w:r>
        <w:t>To confirm ABO/Rh testing, the user creates a worklist of individual units from an invoice, or creates a custom worklist. The user records observed test reactions and interpretations. VBECS uses truth tables to verify that user-entered interpretations are consistent with observed reactions. VBECS compares ABO and/or Rh interpretations to units labeled “ABO/Rh” during login and displays warnings when there are inconsistencies.</w:t>
      </w:r>
    </w:p>
    <w:p w14:paraId="6524C50E" w14:textId="77777777" w:rsidR="006F25B6" w:rsidRPr="00D73AB9" w:rsidRDefault="00057948" w:rsidP="006F25B6">
      <w:pPr>
        <w:pStyle w:val="Caution"/>
        <w:rPr>
          <w:spacing w:val="-5"/>
        </w:rPr>
      </w:pPr>
      <w:r>
        <w:rPr>
          <w:noProof/>
        </w:rPr>
        <w:drawing>
          <wp:inline distT="0" distB="0" distL="0" distR="0" wp14:anchorId="0F7FE99E" wp14:editId="2EDE7234">
            <wp:extent cx="267970" cy="221615"/>
            <wp:effectExtent l="0" t="0" r="0" b="6985"/>
            <wp:docPr id="169" name="Picture 1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43024">
        <w:t xml:space="preserve"> </w:t>
      </w:r>
      <w:r w:rsidR="006F25B6" w:rsidRPr="00D73AB9">
        <w:t>When a unit</w:t>
      </w:r>
      <w:r w:rsidR="006F25B6">
        <w:t>’</w:t>
      </w:r>
      <w:r w:rsidR="006F25B6" w:rsidRPr="00D73AB9">
        <w:t>s ABO/Rh confirmation test is repea</w:t>
      </w:r>
      <w:r w:rsidR="006F25B6">
        <w:t>ted after issue to a patient</w:t>
      </w:r>
      <w:r w:rsidR="006F25B6" w:rsidRPr="00D73AB9">
        <w:t xml:space="preserve">, </w:t>
      </w:r>
      <w:r w:rsidR="006F25B6">
        <w:t xml:space="preserve">VBECS does not compare the </w:t>
      </w:r>
      <w:r w:rsidR="006F25B6" w:rsidRPr="00D73AB9">
        <w:t>test result</w:t>
      </w:r>
      <w:r w:rsidR="006F25B6">
        <w:t>s</w:t>
      </w:r>
      <w:r w:rsidR="006F25B6" w:rsidRPr="00D73AB9">
        <w:t xml:space="preserve"> </w:t>
      </w:r>
      <w:r w:rsidR="006F25B6">
        <w:t>to</w:t>
      </w:r>
      <w:r w:rsidR="006F25B6" w:rsidRPr="00D73AB9">
        <w:t xml:space="preserve"> the patient</w:t>
      </w:r>
      <w:r w:rsidR="006F25B6">
        <w:t>’</w:t>
      </w:r>
      <w:r w:rsidR="006F25B6" w:rsidRPr="00D73AB9">
        <w:t xml:space="preserve">s blood type at time of issue. </w:t>
      </w:r>
      <w:r w:rsidR="006F25B6">
        <w:t>T</w:t>
      </w:r>
      <w:r w:rsidR="006F25B6" w:rsidRPr="00D73AB9">
        <w:t xml:space="preserve">he user </w:t>
      </w:r>
      <w:r w:rsidR="006F25B6">
        <w:t>must</w:t>
      </w:r>
      <w:r w:rsidR="006F25B6" w:rsidRPr="00D73AB9">
        <w:t xml:space="preserve"> </w:t>
      </w:r>
      <w:r w:rsidR="006F25B6">
        <w:t>detect discrepancies</w:t>
      </w:r>
      <w:r w:rsidR="006F25B6" w:rsidRPr="00D73AB9">
        <w:t xml:space="preserve"> and </w:t>
      </w:r>
      <w:r w:rsidR="006F25B6">
        <w:t xml:space="preserve">notify </w:t>
      </w:r>
      <w:r w:rsidR="006F25B6" w:rsidRPr="00D73AB9">
        <w:t>clinical personnel</w:t>
      </w:r>
      <w:r w:rsidR="006F25B6">
        <w:t>, in accordance with local policy</w:t>
      </w:r>
      <w:r w:rsidR="006F25B6" w:rsidRPr="00D73AB9">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B7A0847" w14:textId="77777777">
        <w:trPr>
          <w:tblHeader/>
        </w:trPr>
        <w:tc>
          <w:tcPr>
            <w:tcW w:w="3240" w:type="dxa"/>
            <w:shd w:val="pct30" w:color="auto" w:fill="FFFFFF"/>
            <w:vAlign w:val="bottom"/>
          </w:tcPr>
          <w:p w14:paraId="4EA89635" w14:textId="77777777" w:rsidR="002A21AE" w:rsidRDefault="002A21AE">
            <w:pPr>
              <w:pStyle w:val="TableText"/>
              <w:rPr>
                <w:b/>
              </w:rPr>
            </w:pPr>
            <w:bookmarkStart w:id="339" w:name="_Toc78036833"/>
            <w:r>
              <w:rPr>
                <w:b/>
              </w:rPr>
              <w:t>User Action</w:t>
            </w:r>
          </w:p>
        </w:tc>
        <w:tc>
          <w:tcPr>
            <w:tcW w:w="6120" w:type="dxa"/>
            <w:shd w:val="pct30" w:color="auto" w:fill="FFFFFF"/>
            <w:vAlign w:val="bottom"/>
          </w:tcPr>
          <w:p w14:paraId="34974D37" w14:textId="77777777" w:rsidR="002A21AE" w:rsidRDefault="002A21AE">
            <w:pPr>
              <w:pStyle w:val="TableText"/>
              <w:rPr>
                <w:b/>
              </w:rPr>
            </w:pPr>
            <w:r>
              <w:rPr>
                <w:b/>
              </w:rPr>
              <w:t>VBECS</w:t>
            </w:r>
          </w:p>
        </w:tc>
      </w:tr>
      <w:tr w:rsidR="002A21AE" w14:paraId="7112FB46" w14:textId="77777777">
        <w:tc>
          <w:tcPr>
            <w:tcW w:w="3240" w:type="dxa"/>
          </w:tcPr>
          <w:p w14:paraId="039C68B5" w14:textId="77777777" w:rsidR="002A21AE" w:rsidRDefault="002A21AE">
            <w:pPr>
              <w:pStyle w:val="TableTextNumbers"/>
            </w:pPr>
            <w:r>
              <w:t xml:space="preserve">When processing a shipment, select </w:t>
            </w:r>
            <w:r>
              <w:rPr>
                <w:b/>
              </w:rPr>
              <w:t>Shipments</w:t>
            </w:r>
            <w:r>
              <w:t xml:space="preserve"> from the main menu. </w:t>
            </w:r>
          </w:p>
          <w:p w14:paraId="2269A439" w14:textId="77777777" w:rsidR="002A21AE" w:rsidRDefault="002A21AE">
            <w:pPr>
              <w:pStyle w:val="TableTextNumbersContinued"/>
              <w:rPr>
                <w:b/>
                <w:bCs/>
              </w:rPr>
            </w:pPr>
          </w:p>
          <w:p w14:paraId="49CDE896" w14:textId="77777777" w:rsidR="002A21AE" w:rsidRDefault="002A21AE">
            <w:pPr>
              <w:pStyle w:val="TableTextNumbersContinued"/>
            </w:pPr>
            <w:r>
              <w:t xml:space="preserve">When processing selected units, select </w:t>
            </w:r>
            <w:r>
              <w:rPr>
                <w:b/>
              </w:rPr>
              <w:t>Blood Units</w:t>
            </w:r>
            <w:r>
              <w:t xml:space="preserve"> from the main menu.</w:t>
            </w:r>
          </w:p>
          <w:p w14:paraId="7B60A013" w14:textId="77777777" w:rsidR="002A21AE" w:rsidRDefault="002A21AE">
            <w:pPr>
              <w:pStyle w:val="TableTextNumbersContinued"/>
            </w:pPr>
          </w:p>
          <w:p w14:paraId="44E9F416" w14:textId="77777777" w:rsidR="002A21AE" w:rsidRDefault="002A21AE">
            <w:pPr>
              <w:pStyle w:val="TableTextNumbersContinued"/>
            </w:pPr>
            <w:r>
              <w:t xml:space="preserve">Select </w:t>
            </w:r>
            <w:r>
              <w:rPr>
                <w:b/>
              </w:rPr>
              <w:t>ABO/Rh Confirmation</w:t>
            </w:r>
            <w:r>
              <w:t>.</w:t>
            </w:r>
          </w:p>
          <w:p w14:paraId="5E45BB25" w14:textId="77777777" w:rsidR="002A21AE" w:rsidRDefault="002A21AE">
            <w:pPr>
              <w:pStyle w:val="TableTextNumbersContinued"/>
            </w:pPr>
          </w:p>
          <w:p w14:paraId="34295B66" w14:textId="77777777" w:rsidR="002A21AE" w:rsidRDefault="002A21AE">
            <w:pPr>
              <w:pStyle w:val="TableTextNumbersContinued"/>
            </w:pPr>
            <w:r>
              <w:t>Select an invoice or units.</w:t>
            </w:r>
          </w:p>
          <w:p w14:paraId="31A4338B" w14:textId="77777777" w:rsidR="002A21AE" w:rsidRDefault="002A21AE">
            <w:pPr>
              <w:pStyle w:val="TableTextNumbersContinued"/>
            </w:pPr>
            <w:r>
              <w:t xml:space="preserve"> </w:t>
            </w:r>
          </w:p>
          <w:p w14:paraId="035A2D06" w14:textId="77777777" w:rsidR="002A21AE" w:rsidRDefault="002A21AE">
            <w:pPr>
              <w:pStyle w:val="TableTextNumbersContinued"/>
            </w:pPr>
            <w:r>
              <w:t xml:space="preserve">Click </w:t>
            </w:r>
            <w:r>
              <w:rPr>
                <w:b/>
              </w:rPr>
              <w:t>OK</w:t>
            </w:r>
            <w:r>
              <w:t>.</w:t>
            </w:r>
          </w:p>
        </w:tc>
        <w:tc>
          <w:tcPr>
            <w:tcW w:w="6120" w:type="dxa"/>
          </w:tcPr>
          <w:p w14:paraId="357DE445" w14:textId="77777777" w:rsidR="002A21AE" w:rsidRDefault="002A21AE">
            <w:pPr>
              <w:pStyle w:val="TableTextBullet"/>
            </w:pPr>
            <w:r>
              <w:t xml:space="preserve">Displays options for processing blood product shipments. By default, displays units in the worklist in the order in which they were entered during Incoming Shipment. </w:t>
            </w:r>
          </w:p>
          <w:p w14:paraId="39AB0189" w14:textId="77777777" w:rsidR="002A21AE" w:rsidRDefault="002A21AE">
            <w:pPr>
              <w:pStyle w:val="TableTextBullet"/>
            </w:pPr>
            <w:r>
              <w:t>Lists invoices processed within the last five days in reverse chronological order.</w:t>
            </w:r>
          </w:p>
          <w:p w14:paraId="7066AFC5" w14:textId="77777777" w:rsidR="002A21AE" w:rsidRDefault="002A21AE">
            <w:pPr>
              <w:pStyle w:val="TableTextBullet"/>
            </w:pPr>
            <w:r>
              <w:t xml:space="preserve">Displays fields for entering rack information. </w:t>
            </w:r>
          </w:p>
          <w:p w14:paraId="2E7211F4" w14:textId="77777777" w:rsidR="002A21AE" w:rsidRDefault="002A21AE">
            <w:pPr>
              <w:pStyle w:val="TableTextBullet"/>
            </w:pPr>
            <w:r>
              <w:t>Allows units to be deleted from or added to the worklist.</w:t>
            </w:r>
          </w:p>
          <w:p w14:paraId="69277B01" w14:textId="77777777" w:rsidR="002A21AE" w:rsidRDefault="002A21AE">
            <w:pPr>
              <w:pStyle w:val="TableText"/>
            </w:pPr>
          </w:p>
          <w:p w14:paraId="2AA6CC80" w14:textId="777240BD" w:rsidR="002A21AE" w:rsidRDefault="002A21AE">
            <w:pPr>
              <w:pStyle w:val="TableText"/>
              <w:rPr>
                <w:b/>
                <w:bCs/>
              </w:rPr>
            </w:pPr>
            <w:r>
              <w:rPr>
                <w:b/>
                <w:bCs/>
              </w:rPr>
              <w:t xml:space="preserve">NOTES </w:t>
            </w:r>
          </w:p>
          <w:p w14:paraId="5C001CFF" w14:textId="77777777" w:rsidR="002A21AE" w:rsidRDefault="002A21AE">
            <w:pPr>
              <w:pStyle w:val="NotesText"/>
            </w:pPr>
          </w:p>
          <w:p w14:paraId="0B653BF4" w14:textId="77777777" w:rsidR="006C18E7" w:rsidRDefault="006C18E7" w:rsidP="006C18E7">
            <w:pPr>
              <w:pStyle w:val="NotesText"/>
            </w:pPr>
            <w:r>
              <w:rPr>
                <w:rFonts w:cs="Arial"/>
                <w:vanish/>
              </w:rPr>
              <w:t xml:space="preserve">BR_5.03 </w:t>
            </w:r>
            <w:r>
              <w:t xml:space="preserve">The user may select only active units and those not in an inactive or final status. </w:t>
            </w:r>
          </w:p>
          <w:p w14:paraId="45B9C6E6" w14:textId="77777777" w:rsidR="006C18E7" w:rsidRDefault="006C18E7">
            <w:pPr>
              <w:pStyle w:val="NotesText"/>
            </w:pPr>
          </w:p>
          <w:p w14:paraId="0310356F" w14:textId="77777777" w:rsidR="002A21AE" w:rsidRDefault="002A21AE">
            <w:pPr>
              <w:pStyle w:val="NotesText"/>
            </w:pPr>
            <w:r>
              <w:t>To create a customized list of units:</w:t>
            </w:r>
          </w:p>
          <w:p w14:paraId="1FDE8891" w14:textId="77777777" w:rsidR="002A21AE" w:rsidRDefault="002A21AE">
            <w:pPr>
              <w:pStyle w:val="NotesTextBullet"/>
            </w:pPr>
            <w:r>
              <w:t xml:space="preserve">Enter a unit ID or click the </w:t>
            </w:r>
            <w:r w:rsidR="00A6373D">
              <w:rPr>
                <w:b/>
              </w:rPr>
              <w:t>find</w:t>
            </w:r>
            <w:r>
              <w:rPr>
                <w:b/>
              </w:rPr>
              <w:t xml:space="preserve"> </w:t>
            </w:r>
            <w:r w:rsidRPr="00D1100E">
              <w:t>button</w:t>
            </w:r>
            <w:r>
              <w:t xml:space="preserve"> to search for a unit. VBECS lists</w:t>
            </w:r>
            <w:r>
              <w:rPr>
                <w:rStyle w:val="historydatafont1"/>
              </w:rPr>
              <w:t xml:space="preserve"> units with “limited” status</w:t>
            </w:r>
            <w:r>
              <w:t>.</w:t>
            </w:r>
          </w:p>
          <w:p w14:paraId="3729E0B8" w14:textId="77777777" w:rsidR="002A21AE" w:rsidRDefault="002A21AE">
            <w:pPr>
              <w:pStyle w:val="NotesTextBullet"/>
            </w:pPr>
            <w:r>
              <w:t>Select parameters from the options on the Select Units for ABO/Rh Confirmation screen.</w:t>
            </w:r>
          </w:p>
          <w:p w14:paraId="5C9ECC9B" w14:textId="77777777" w:rsidR="002A21AE" w:rsidRDefault="002A21AE">
            <w:pPr>
              <w:pStyle w:val="NotesTextBullet"/>
            </w:pPr>
            <w:r>
              <w:t xml:space="preserve">Select </w:t>
            </w:r>
            <w:r>
              <w:rPr>
                <w:b/>
              </w:rPr>
              <w:t>Units within Criteria</w:t>
            </w:r>
            <w:r>
              <w:t xml:space="preserve"> to work with.</w:t>
            </w:r>
          </w:p>
          <w:p w14:paraId="531C4760" w14:textId="77777777" w:rsidR="002A21AE" w:rsidRDefault="002A21AE">
            <w:pPr>
              <w:pStyle w:val="NotesTextBullet"/>
            </w:pPr>
            <w:r>
              <w:t xml:space="preserve">Click </w:t>
            </w:r>
            <w:r>
              <w:rPr>
                <w:b/>
              </w:rPr>
              <w:t>OK</w:t>
            </w:r>
            <w:r>
              <w:t>.</w:t>
            </w:r>
          </w:p>
          <w:p w14:paraId="7EEB0B62" w14:textId="77777777" w:rsidR="002A21AE" w:rsidRDefault="002A21AE">
            <w:pPr>
              <w:pStyle w:val="NotesTextBullet"/>
            </w:pPr>
            <w:r>
              <w:t>Repeat this step until all units are included in the Selected Units list on the Unit ABO/Rh Confirmation screen.</w:t>
            </w:r>
          </w:p>
          <w:p w14:paraId="1A20A2D1" w14:textId="77777777" w:rsidR="002A21AE" w:rsidRDefault="002A21AE">
            <w:pPr>
              <w:pStyle w:val="NotesTextBullet"/>
            </w:pPr>
            <w:r>
              <w:t xml:space="preserve">Click </w:t>
            </w:r>
            <w:r>
              <w:rPr>
                <w:b/>
              </w:rPr>
              <w:t>OK</w:t>
            </w:r>
            <w:r>
              <w:t>.</w:t>
            </w:r>
          </w:p>
        </w:tc>
      </w:tr>
      <w:tr w:rsidR="002A21AE" w14:paraId="6BD916CE" w14:textId="77777777" w:rsidTr="001A459B">
        <w:trPr>
          <w:cantSplit/>
        </w:trPr>
        <w:tc>
          <w:tcPr>
            <w:tcW w:w="3240" w:type="dxa"/>
          </w:tcPr>
          <w:p w14:paraId="003E93FC" w14:textId="77777777" w:rsidR="002A21AE" w:rsidRDefault="002A21AE" w:rsidP="009023E2">
            <w:pPr>
              <w:pStyle w:val="TableTextNumbers"/>
            </w:pPr>
            <w:r>
              <w:lastRenderedPageBreak/>
              <w:t>Select a rack.</w:t>
            </w:r>
          </w:p>
          <w:p w14:paraId="7BBFDF38" w14:textId="77777777" w:rsidR="002A21AE" w:rsidRDefault="002A21AE">
            <w:pPr>
              <w:pStyle w:val="TableTextNumbersContinued"/>
            </w:pPr>
          </w:p>
          <w:p w14:paraId="0AE35BCA" w14:textId="77777777" w:rsidR="002A21AE" w:rsidRDefault="002A21AE">
            <w:pPr>
              <w:pStyle w:val="TableTextNumbersContinued"/>
            </w:pPr>
            <w:r>
              <w:t>Select a date or accept the default.</w:t>
            </w:r>
          </w:p>
          <w:p w14:paraId="4F44FA39" w14:textId="77777777" w:rsidR="002A21AE" w:rsidRDefault="002A21AE">
            <w:pPr>
              <w:pStyle w:val="TableTextNumbersContinued"/>
            </w:pPr>
          </w:p>
          <w:p w14:paraId="24402C22" w14:textId="77777777" w:rsidR="002A21AE" w:rsidRDefault="002A21AE">
            <w:pPr>
              <w:pStyle w:val="TableTextNumbersContinued"/>
            </w:pPr>
            <w:r>
              <w:t>Select a Tested By name.</w:t>
            </w:r>
          </w:p>
          <w:p w14:paraId="4CE9DC82" w14:textId="77777777" w:rsidR="002A21AE" w:rsidRDefault="002A21AE">
            <w:pPr>
              <w:pStyle w:val="TableTextNumbersContinued"/>
            </w:pPr>
          </w:p>
          <w:p w14:paraId="42BD3DFE" w14:textId="77777777" w:rsidR="002A21AE" w:rsidRDefault="002A21AE">
            <w:pPr>
              <w:pStyle w:val="TableTextNumbersContinued"/>
            </w:pPr>
            <w:r>
              <w:t xml:space="preserve">Click </w:t>
            </w:r>
            <w:r>
              <w:rPr>
                <w:b/>
              </w:rPr>
              <w:t>Using Automated Instrument</w:t>
            </w:r>
            <w:r>
              <w:t xml:space="preserve">, as appropriate. </w:t>
            </w:r>
          </w:p>
          <w:p w14:paraId="71002026" w14:textId="77777777" w:rsidR="002A21AE" w:rsidRDefault="002A21AE">
            <w:pPr>
              <w:pStyle w:val="TableTextNumbersContinued"/>
            </w:pPr>
          </w:p>
          <w:p w14:paraId="2CDE3AB5" w14:textId="77777777" w:rsidR="002A21AE" w:rsidRDefault="002A21AE">
            <w:pPr>
              <w:pStyle w:val="TableTextNumbersContinued"/>
            </w:pPr>
            <w:r>
              <w:t xml:space="preserve">Click the </w:t>
            </w:r>
            <w:r>
              <w:rPr>
                <w:b/>
              </w:rPr>
              <w:t xml:space="preserve">Perform Anti-D Testing </w:t>
            </w:r>
            <w:r w:rsidRPr="00D1100E">
              <w:t>check box</w:t>
            </w:r>
            <w:r>
              <w:t>, when appropriate.</w:t>
            </w:r>
          </w:p>
          <w:p w14:paraId="647EF09E" w14:textId="77777777" w:rsidR="002A21AE" w:rsidRDefault="002A21AE">
            <w:pPr>
              <w:pStyle w:val="TableTextNumbersContinued"/>
            </w:pPr>
          </w:p>
          <w:p w14:paraId="74E1C672" w14:textId="77777777" w:rsidR="002A21AE" w:rsidRDefault="002A21AE">
            <w:pPr>
              <w:pStyle w:val="TableTextNumbersContinued"/>
            </w:pPr>
            <w:r>
              <w:t xml:space="preserve">Click </w:t>
            </w:r>
            <w:r>
              <w:rPr>
                <w:b/>
              </w:rPr>
              <w:t>OK</w:t>
            </w:r>
            <w:r>
              <w:t>.</w:t>
            </w:r>
          </w:p>
        </w:tc>
        <w:tc>
          <w:tcPr>
            <w:tcW w:w="6120" w:type="dxa"/>
          </w:tcPr>
          <w:p w14:paraId="1486F695" w14:textId="77777777" w:rsidR="002A21AE" w:rsidRDefault="002A21AE">
            <w:pPr>
              <w:pStyle w:val="TableTextBullet"/>
            </w:pPr>
            <w:r>
              <w:t xml:space="preserve">Displays the racks available using the pick list provided. </w:t>
            </w:r>
          </w:p>
          <w:p w14:paraId="18AE6CA7" w14:textId="77777777" w:rsidR="002A21AE" w:rsidRDefault="002A21AE">
            <w:pPr>
              <w:pStyle w:val="TableTextBullet"/>
            </w:pPr>
            <w:r>
              <w:t xml:space="preserve">Displays the date and time testing was performed. The default is the current date and time. The date may be edited using the pick list provided. </w:t>
            </w:r>
          </w:p>
          <w:p w14:paraId="768AF0D2" w14:textId="77777777" w:rsidR="002A21AE" w:rsidRDefault="002A21AE">
            <w:pPr>
              <w:pStyle w:val="TableTextBullet"/>
            </w:pPr>
            <w:r>
              <w:t xml:space="preserve">Displays the testing technologist’s identification. The default is the current user. Select a name from the pick list of valid division users to show a different testing technologist. </w:t>
            </w:r>
          </w:p>
          <w:p w14:paraId="4B45A44C" w14:textId="77777777" w:rsidR="002A21AE" w:rsidRDefault="002A21AE">
            <w:pPr>
              <w:pStyle w:val="TableTextBullet"/>
            </w:pPr>
            <w:r>
              <w:t>Displays warnings and the option to indicate that the user is ready to begin entering results after all warnings are addressed.</w:t>
            </w:r>
          </w:p>
          <w:p w14:paraId="49BCC2C3" w14:textId="77777777" w:rsidR="002A21AE" w:rsidRDefault="002A21AE">
            <w:pPr>
              <w:pStyle w:val="TableTextBullet"/>
            </w:pPr>
            <w:r>
              <w:t>Generates an Exception Report entry when the user inactivates or deletes the partially completed result grids and enters a comment.</w:t>
            </w:r>
          </w:p>
          <w:p w14:paraId="698893CB" w14:textId="77777777" w:rsidR="002A21AE" w:rsidRDefault="002A21AE">
            <w:pPr>
              <w:pStyle w:val="TableText"/>
            </w:pPr>
          </w:p>
          <w:p w14:paraId="379AD499" w14:textId="752A93E9" w:rsidR="002A21AE" w:rsidRDefault="002A21AE">
            <w:pPr>
              <w:pStyle w:val="TableText"/>
              <w:rPr>
                <w:b/>
                <w:bCs/>
              </w:rPr>
            </w:pPr>
            <w:r>
              <w:rPr>
                <w:b/>
                <w:bCs/>
              </w:rPr>
              <w:t xml:space="preserve">NOTES </w:t>
            </w:r>
          </w:p>
          <w:p w14:paraId="49DAC31B" w14:textId="77777777" w:rsidR="002A21AE" w:rsidRDefault="002A21AE">
            <w:pPr>
              <w:pStyle w:val="NotesText"/>
            </w:pPr>
          </w:p>
          <w:p w14:paraId="687BAE42" w14:textId="77777777" w:rsidR="002A21AE" w:rsidRDefault="002A21AE" w:rsidP="00C0155E">
            <w:pPr>
              <w:pStyle w:val="NotesText"/>
            </w:pPr>
            <w:r>
              <w:rPr>
                <w:rFonts w:cs="Arial"/>
                <w:vanish/>
              </w:rPr>
              <w:t xml:space="preserve">BR_2.47 </w:t>
            </w:r>
            <w:r>
              <w:t>A user may disable the anti-D testing grid column in the ABO/Rh unit confirmation worksheet.</w:t>
            </w:r>
            <w:r w:rsidR="00632245">
              <w:t xml:space="preserve"> When the Anti-D testing grid display is disabled, the user </w:t>
            </w:r>
            <w:r w:rsidR="00C0155E">
              <w:t>may</w:t>
            </w:r>
            <w:r w:rsidR="00632245">
              <w:t xml:space="preserve"> select only RH Positive labeled units for confirmation testing.</w:t>
            </w:r>
          </w:p>
        </w:tc>
      </w:tr>
      <w:tr w:rsidR="002A21AE" w14:paraId="4D42A5BA" w14:textId="77777777">
        <w:tc>
          <w:tcPr>
            <w:tcW w:w="3240" w:type="dxa"/>
          </w:tcPr>
          <w:p w14:paraId="024CCE35" w14:textId="77777777" w:rsidR="002A21AE" w:rsidRDefault="002A21AE">
            <w:pPr>
              <w:pStyle w:val="TableTextNumbers"/>
            </w:pPr>
            <w:r>
              <w:t>Select a unit for which to record test results.</w:t>
            </w:r>
          </w:p>
          <w:p w14:paraId="578F73FC" w14:textId="77777777" w:rsidR="002A21AE" w:rsidRDefault="002A21AE">
            <w:pPr>
              <w:pStyle w:val="TableTextNumbersContinued"/>
            </w:pPr>
          </w:p>
          <w:p w14:paraId="35617540" w14:textId="77777777" w:rsidR="002A21AE" w:rsidRDefault="002A21AE">
            <w:pPr>
              <w:pStyle w:val="TableTextNumbersContinued"/>
            </w:pPr>
            <w:r>
              <w:t>Select a cell and enter an observed test result from the legend at the bottom of the screen.</w:t>
            </w:r>
          </w:p>
          <w:p w14:paraId="76DBD58A" w14:textId="77777777" w:rsidR="002A21AE" w:rsidRDefault="002A21AE">
            <w:pPr>
              <w:pStyle w:val="TableTextNumbersContinued"/>
            </w:pPr>
          </w:p>
          <w:p w14:paraId="6A9BFF4C" w14:textId="77777777" w:rsidR="002A21AE" w:rsidRDefault="002A21AE">
            <w:pPr>
              <w:pStyle w:val="TableTextNumbersContinued"/>
            </w:pPr>
            <w:r>
              <w:rPr>
                <w:rFonts w:cs="Arial"/>
                <w:vanish/>
                <w:szCs w:val="18"/>
              </w:rPr>
              <w:t>BR_2.30</w:t>
            </w:r>
            <w:r w:rsidR="00CE3961">
              <w:rPr>
                <w:rFonts w:cs="Arial"/>
                <w:vanish/>
                <w:szCs w:val="18"/>
              </w:rPr>
              <w:t>,</w:t>
            </w:r>
            <w:r>
              <w:rPr>
                <w:rFonts w:cs="Arial"/>
                <w:vanish/>
                <w:szCs w:val="18"/>
              </w:rPr>
              <w:t xml:space="preserve"> </w:t>
            </w:r>
            <w:r>
              <w:rPr>
                <w:vanish/>
                <w:szCs w:val="18"/>
              </w:rPr>
              <w:t xml:space="preserve">BR_2.31 </w:t>
            </w:r>
            <w:r>
              <w:t xml:space="preserve">Enter a valid interpretation, then press </w:t>
            </w:r>
            <w:r w:rsidR="00DF74D1">
              <w:t xml:space="preserve">the </w:t>
            </w:r>
            <w:r>
              <w:rPr>
                <w:b/>
              </w:rPr>
              <w:t>Enter</w:t>
            </w:r>
            <w:r w:rsidR="00DF74D1">
              <w:rPr>
                <w:b/>
              </w:rPr>
              <w:t xml:space="preserve"> key</w:t>
            </w:r>
            <w:r>
              <w:t xml:space="preserve"> to go to the next data grid interpretation or Comment cell.</w:t>
            </w:r>
          </w:p>
          <w:p w14:paraId="7D9E03A9" w14:textId="77777777" w:rsidR="002A21AE" w:rsidRDefault="002A21AE">
            <w:pPr>
              <w:pStyle w:val="TableTextNumbersContinued"/>
            </w:pPr>
          </w:p>
          <w:p w14:paraId="31FF70AB" w14:textId="77777777" w:rsidR="002A21AE" w:rsidRDefault="002A21AE">
            <w:pPr>
              <w:pStyle w:val="TableTextNumbersContinued"/>
            </w:pPr>
            <w:r>
              <w:t>Select enter comments from the Unit Testing for the ABO and Rh interpretations, as needed.</w:t>
            </w:r>
          </w:p>
          <w:p w14:paraId="2F9216C8" w14:textId="77777777" w:rsidR="002A21AE" w:rsidRDefault="002A21AE">
            <w:pPr>
              <w:pStyle w:val="TableTextNumbersContinued"/>
            </w:pPr>
          </w:p>
          <w:p w14:paraId="1280B526" w14:textId="77777777" w:rsidR="002A21AE" w:rsidRDefault="002A21AE">
            <w:pPr>
              <w:pStyle w:val="TableTextNumbersContinued"/>
            </w:pPr>
            <w:r>
              <w:t>Repeat until all test results for the selected unit are entered.</w:t>
            </w:r>
          </w:p>
        </w:tc>
        <w:tc>
          <w:tcPr>
            <w:tcW w:w="6120" w:type="dxa"/>
          </w:tcPr>
          <w:p w14:paraId="6EB23903" w14:textId="77777777" w:rsidR="002A21AE" w:rsidRDefault="002A21AE">
            <w:pPr>
              <w:pStyle w:val="TableTextBullet"/>
            </w:pPr>
            <w:r>
              <w:t>Creates a grid for data entry of results and interpretations, displaying units in the order selected.</w:t>
            </w:r>
          </w:p>
          <w:p w14:paraId="4642097F" w14:textId="77777777" w:rsidR="002A21AE" w:rsidRDefault="002A21AE">
            <w:pPr>
              <w:pStyle w:val="TableTextBullet"/>
            </w:pPr>
            <w:r>
              <w:t>Allows the user to select a blood test type and enter a test result for the unit.</w:t>
            </w:r>
          </w:p>
          <w:p w14:paraId="6E732C11" w14:textId="77777777" w:rsidR="002A21AE" w:rsidRDefault="002A21AE">
            <w:pPr>
              <w:pStyle w:val="TableTextBullet"/>
            </w:pPr>
            <w:r>
              <w:t>Restricts data entry to valid selections for testing results. Displays testing results and interpretations entered.</w:t>
            </w:r>
          </w:p>
          <w:p w14:paraId="536E8DB2" w14:textId="77777777" w:rsidR="002A21AE" w:rsidRDefault="002A21AE">
            <w:pPr>
              <w:pStyle w:val="TableTextBullet"/>
            </w:pPr>
            <w:r>
              <w:t>An interpretation indicates that all appropriate test results were entered for the unit.</w:t>
            </w:r>
          </w:p>
          <w:p w14:paraId="533ED9E1" w14:textId="77777777" w:rsidR="002A21AE" w:rsidRDefault="002A21AE">
            <w:pPr>
              <w:pStyle w:val="TableText"/>
            </w:pPr>
          </w:p>
          <w:p w14:paraId="2D395C04" w14:textId="7D793838" w:rsidR="002A21AE" w:rsidRDefault="002A21AE">
            <w:pPr>
              <w:pStyle w:val="TableText"/>
              <w:rPr>
                <w:b/>
                <w:bCs/>
                <w:szCs w:val="18"/>
              </w:rPr>
            </w:pPr>
            <w:r>
              <w:rPr>
                <w:b/>
                <w:bCs/>
                <w:szCs w:val="18"/>
              </w:rPr>
              <w:t>NOTES</w:t>
            </w:r>
          </w:p>
          <w:p w14:paraId="0C8BBFAD" w14:textId="77777777" w:rsidR="002A21AE" w:rsidRDefault="009965B7">
            <w:pPr>
              <w:pStyle w:val="NotesText"/>
              <w:spacing w:before="240"/>
            </w:pPr>
            <w:r w:rsidRPr="00896F17">
              <w:rPr>
                <w:rStyle w:val="BullhornChar"/>
              </w:rPr>
              <w:t></w:t>
            </w:r>
            <w:r w:rsidRPr="00D62E87">
              <w:rPr>
                <w:rFonts w:ascii="Webdings" w:hAnsi="Webdings"/>
              </w:rPr>
              <w:t></w:t>
            </w:r>
            <w:r w:rsidRPr="00D62E87">
              <w:t>V</w:t>
            </w:r>
            <w:r w:rsidR="002A21AE">
              <w:t xml:space="preserve">BECS emits an audible alert and generates a warning requiring override when the ABO and/or Rh confirmation interpretation does not match the ABO and/or Rh of the unit at initial login. When the user confirms the discrepancy, inventory units whose ABO/Rh confirmation does not match the ABO/Rh at login are marked “Quarantined.” VBECS captures details for inclusion in an Exception Report (exception type: Unit ABO/Rh </w:t>
            </w:r>
            <w:r w:rsidR="00922AD8">
              <w:t>login</w:t>
            </w:r>
            <w:r w:rsidR="002A21AE">
              <w:t xml:space="preserve"> vs. confirmation do not match, unit quarantined).</w:t>
            </w:r>
          </w:p>
          <w:p w14:paraId="6845087E" w14:textId="77777777" w:rsidR="002A21AE" w:rsidRDefault="002A21AE">
            <w:pPr>
              <w:pStyle w:val="NotesText"/>
            </w:pPr>
          </w:p>
          <w:p w14:paraId="3B63AFE7" w14:textId="77777777" w:rsidR="002A21AE" w:rsidRDefault="002A21AE" w:rsidP="005F1F08">
            <w:pPr>
              <w:pStyle w:val="NotesText"/>
            </w:pPr>
            <w:r>
              <w:rPr>
                <w:rFonts w:cs="Arial"/>
                <w:vanish/>
              </w:rPr>
              <w:t xml:space="preserve">BR_2.03 </w:t>
            </w:r>
            <w:r>
              <w:t>ABO/Rh confirmation testing data grids accommodate uniform data entry for Forward ABO testing</w:t>
            </w:r>
            <w:r w:rsidR="005F1F08">
              <w:t>.</w:t>
            </w:r>
          </w:p>
          <w:p w14:paraId="7A5FFA7F" w14:textId="77777777" w:rsidR="002A21AE" w:rsidRDefault="002A21AE">
            <w:pPr>
              <w:pStyle w:val="NotesText"/>
            </w:pPr>
          </w:p>
          <w:p w14:paraId="4F19C236" w14:textId="77777777" w:rsidR="002A21AE" w:rsidRDefault="002A21AE">
            <w:pPr>
              <w:pStyle w:val="NotesText"/>
            </w:pPr>
            <w:r>
              <w:rPr>
                <w:rFonts w:cs="Arial"/>
                <w:vanish/>
              </w:rPr>
              <w:t xml:space="preserve">BR_2.27 </w:t>
            </w:r>
            <w:r w:rsidR="00EC34E1" w:rsidRPr="0094281E">
              <w:t>The cursor move</w:t>
            </w:r>
            <w:r w:rsidR="00EC34E1">
              <w:t>s</w:t>
            </w:r>
            <w:r w:rsidR="00EC34E1" w:rsidRPr="0094281E">
              <w:t xml:space="preserve"> with a single valid keystroke from the top left cell </w:t>
            </w:r>
            <w:r w:rsidR="00EC34E1">
              <w:t>across</w:t>
            </w:r>
            <w:r w:rsidR="00EC34E1" w:rsidRPr="0094281E">
              <w:t xml:space="preserve"> the row</w:t>
            </w:r>
            <w:r w:rsidR="00EC34E1">
              <w:t>,</w:t>
            </w:r>
            <w:r w:rsidR="00EC34E1" w:rsidRPr="0094281E">
              <w:t xml:space="preserve"> returning to the </w:t>
            </w:r>
            <w:r w:rsidR="00EC34E1">
              <w:t>left</w:t>
            </w:r>
            <w:r w:rsidR="00EC34E1" w:rsidRPr="0094281E">
              <w:t>most cell in the next row</w:t>
            </w:r>
            <w:r w:rsidR="00EC34E1">
              <w:t>,</w:t>
            </w:r>
            <w:r w:rsidR="00EC34E1" w:rsidRPr="0094281E">
              <w:t xml:space="preserve"> and so on down the worksheet grid.</w:t>
            </w:r>
            <w:r>
              <w:t xml:space="preserve"> The cursor stays in the reaction results cells by default (the technologist may use the mouse to click in the interpretation area) until the last entry is made in the reaction result portion of the grid. The cursor then goes to the first (top) interpretation cell.</w:t>
            </w:r>
          </w:p>
          <w:p w14:paraId="2A3C76FF" w14:textId="77777777" w:rsidR="002A21AE" w:rsidRDefault="002A21AE">
            <w:pPr>
              <w:pStyle w:val="NotesText"/>
              <w:ind w:left="0"/>
            </w:pPr>
          </w:p>
          <w:p w14:paraId="6CADE542" w14:textId="0724F9A5" w:rsidR="002A21AE" w:rsidRDefault="002A21AE">
            <w:pPr>
              <w:pStyle w:val="NotesText"/>
            </w:pPr>
            <w:r>
              <w:t>The user may enter free-text comments or comments from the Unit Testing for the ABO and Rh interpretations</w:t>
            </w:r>
            <w:r w:rsidR="002106D5">
              <w:t xml:space="preserve"> (</w:t>
            </w:r>
            <w:r w:rsidR="002106D5">
              <w:fldChar w:fldCharType="begin"/>
            </w:r>
            <w:r w:rsidR="002106D5">
              <w:instrText xml:space="preserve"> REF _Ref256686527 \h </w:instrText>
            </w:r>
            <w:r w:rsidR="002106D5">
              <w:fldChar w:fldCharType="separate"/>
            </w:r>
            <w:r w:rsidR="004353ED">
              <w:t xml:space="preserve">Table </w:t>
            </w:r>
            <w:r w:rsidR="004353ED">
              <w:rPr>
                <w:noProof/>
              </w:rPr>
              <w:t>4</w:t>
            </w:r>
            <w:r w:rsidR="002106D5">
              <w:fldChar w:fldCharType="end"/>
            </w:r>
            <w:r w:rsidR="002106D5">
              <w:t>)</w:t>
            </w:r>
            <w:r>
              <w:t>.</w:t>
            </w:r>
          </w:p>
          <w:p w14:paraId="6640FFE6" w14:textId="6B7A2136" w:rsidR="002A21AE" w:rsidRDefault="002A21AE">
            <w:pPr>
              <w:pStyle w:val="Caption"/>
              <w:ind w:left="720"/>
            </w:pPr>
            <w:bookmarkStart w:id="340" w:name="_Ref256686527"/>
            <w:bookmarkStart w:id="341" w:name="_Toc97523616"/>
            <w:bookmarkStart w:id="342" w:name="_Toc97527586"/>
            <w:bookmarkStart w:id="343" w:name="_Ref126504333"/>
            <w:r>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4</w:t>
            </w:r>
            <w:r w:rsidR="004E20BD">
              <w:rPr>
                <w:noProof/>
              </w:rPr>
              <w:fldChar w:fldCharType="end"/>
            </w:r>
            <w:bookmarkEnd w:id="340"/>
            <w:r>
              <w:t xml:space="preserve">: </w:t>
            </w:r>
            <w:r>
              <w:rPr>
                <w:rFonts w:ascii="Arial" w:hAnsi="Arial" w:cs="Arial"/>
                <w:b w:val="0"/>
                <w:vanish/>
                <w:sz w:val="18"/>
              </w:rPr>
              <w:t xml:space="preserve">BR_2.10 </w:t>
            </w:r>
            <w:r>
              <w:t>Valid Interpretations</w:t>
            </w:r>
            <w:bookmarkEnd w:id="341"/>
            <w:bookmarkEnd w:id="342"/>
            <w:bookmarkEnd w:id="343"/>
            <w:r>
              <w:fldChar w:fldCharType="begin"/>
            </w:r>
            <w:r>
              <w:instrText xml:space="preserve"> XE </w:instrText>
            </w:r>
            <w:r w:rsidR="00FA7E65">
              <w:instrText>“</w:instrText>
            </w:r>
            <w:r>
              <w:instrText>Tables:Valid Interpretations</w:instrText>
            </w:r>
            <w:r w:rsidR="00FA7E65">
              <w:instrText>”</w:instrText>
            </w:r>
            <w:r>
              <w:instrText xml:space="preserve"> </w:instrText>
            </w:r>
            <w:r>
              <w:fldChar w:fldCharType="end"/>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5"/>
              <w:gridCol w:w="1800"/>
            </w:tblGrid>
            <w:tr w:rsidR="002A21AE" w14:paraId="108605CF" w14:textId="77777777">
              <w:trPr>
                <w:tblHeader/>
              </w:trPr>
              <w:tc>
                <w:tcPr>
                  <w:tcW w:w="1615" w:type="dxa"/>
                  <w:shd w:val="clear" w:color="auto" w:fill="B3B3B3"/>
                  <w:vAlign w:val="bottom"/>
                </w:tcPr>
                <w:p w14:paraId="66A5FC2F" w14:textId="77777777" w:rsidR="002A21AE" w:rsidRDefault="002A21AE">
                  <w:pPr>
                    <w:pStyle w:val="TableText"/>
                    <w:jc w:val="center"/>
                    <w:rPr>
                      <w:b/>
                    </w:rPr>
                  </w:pPr>
                  <w:r>
                    <w:rPr>
                      <w:b/>
                    </w:rPr>
                    <w:t>ABO</w:t>
                  </w:r>
                </w:p>
              </w:tc>
              <w:tc>
                <w:tcPr>
                  <w:tcW w:w="1800" w:type="dxa"/>
                  <w:shd w:val="clear" w:color="auto" w:fill="B3B3B3"/>
                  <w:vAlign w:val="bottom"/>
                </w:tcPr>
                <w:p w14:paraId="08C88AEB" w14:textId="77777777" w:rsidR="002A21AE" w:rsidRDefault="002A21AE">
                  <w:pPr>
                    <w:pStyle w:val="TableText"/>
                    <w:jc w:val="center"/>
                    <w:rPr>
                      <w:b/>
                    </w:rPr>
                  </w:pPr>
                  <w:r>
                    <w:rPr>
                      <w:b/>
                    </w:rPr>
                    <w:t>Rh</w:t>
                  </w:r>
                </w:p>
              </w:tc>
            </w:tr>
            <w:tr w:rsidR="002A21AE" w14:paraId="6FAA90C7" w14:textId="77777777">
              <w:tc>
                <w:tcPr>
                  <w:tcW w:w="1615" w:type="dxa"/>
                  <w:vAlign w:val="bottom"/>
                </w:tcPr>
                <w:p w14:paraId="00997EAA" w14:textId="77777777" w:rsidR="002A21AE" w:rsidRDefault="002A21AE">
                  <w:pPr>
                    <w:pStyle w:val="TableText"/>
                  </w:pPr>
                  <w:r>
                    <w:t>A</w:t>
                  </w:r>
                </w:p>
              </w:tc>
              <w:tc>
                <w:tcPr>
                  <w:tcW w:w="1800" w:type="dxa"/>
                  <w:vAlign w:val="bottom"/>
                </w:tcPr>
                <w:p w14:paraId="1B9CF688" w14:textId="77777777" w:rsidR="002A21AE" w:rsidRDefault="002A21AE">
                  <w:pPr>
                    <w:pStyle w:val="TableText"/>
                  </w:pPr>
                  <w:r>
                    <w:t>P, POS (positive)</w:t>
                  </w:r>
                </w:p>
              </w:tc>
            </w:tr>
            <w:tr w:rsidR="002A21AE" w14:paraId="39B5D904" w14:textId="77777777">
              <w:tc>
                <w:tcPr>
                  <w:tcW w:w="1615" w:type="dxa"/>
                  <w:vAlign w:val="bottom"/>
                </w:tcPr>
                <w:p w14:paraId="7D8111AC" w14:textId="77777777" w:rsidR="002A21AE" w:rsidRDefault="002A21AE">
                  <w:pPr>
                    <w:pStyle w:val="TableText"/>
                  </w:pPr>
                  <w:r>
                    <w:t>B</w:t>
                  </w:r>
                </w:p>
              </w:tc>
              <w:tc>
                <w:tcPr>
                  <w:tcW w:w="1800" w:type="dxa"/>
                  <w:vAlign w:val="bottom"/>
                </w:tcPr>
                <w:p w14:paraId="5B8FE0F4" w14:textId="77777777" w:rsidR="002A21AE" w:rsidRDefault="002A21AE">
                  <w:pPr>
                    <w:pStyle w:val="TableText"/>
                  </w:pPr>
                  <w:r>
                    <w:t>N, NEG (negative)</w:t>
                  </w:r>
                </w:p>
              </w:tc>
            </w:tr>
            <w:tr w:rsidR="002A21AE" w14:paraId="24200F57" w14:textId="77777777">
              <w:tc>
                <w:tcPr>
                  <w:tcW w:w="1615" w:type="dxa"/>
                  <w:vAlign w:val="bottom"/>
                </w:tcPr>
                <w:p w14:paraId="10534945" w14:textId="77777777" w:rsidR="002A21AE" w:rsidRDefault="002A21AE">
                  <w:pPr>
                    <w:pStyle w:val="TableText"/>
                  </w:pPr>
                  <w:r>
                    <w:t>AB</w:t>
                  </w:r>
                </w:p>
              </w:tc>
              <w:tc>
                <w:tcPr>
                  <w:tcW w:w="1800" w:type="dxa"/>
                  <w:tcBorders>
                    <w:bottom w:val="single" w:sz="4" w:space="0" w:color="auto"/>
                  </w:tcBorders>
                  <w:vAlign w:val="bottom"/>
                </w:tcPr>
                <w:p w14:paraId="662E953C" w14:textId="77777777" w:rsidR="002A21AE" w:rsidRDefault="002A21AE">
                  <w:pPr>
                    <w:pStyle w:val="TableText"/>
                  </w:pPr>
                  <w:r>
                    <w:t>I, Inconclusive</w:t>
                  </w:r>
                </w:p>
              </w:tc>
            </w:tr>
            <w:tr w:rsidR="002A21AE" w14:paraId="7EB85C38" w14:textId="77777777">
              <w:trPr>
                <w:cantSplit/>
              </w:trPr>
              <w:tc>
                <w:tcPr>
                  <w:tcW w:w="1615" w:type="dxa"/>
                  <w:vAlign w:val="bottom"/>
                </w:tcPr>
                <w:p w14:paraId="7CF94FB3" w14:textId="77777777" w:rsidR="002A21AE" w:rsidRDefault="002A21AE">
                  <w:pPr>
                    <w:pStyle w:val="TableText"/>
                  </w:pPr>
                  <w:r>
                    <w:t>O</w:t>
                  </w:r>
                </w:p>
              </w:tc>
              <w:tc>
                <w:tcPr>
                  <w:tcW w:w="1800" w:type="dxa"/>
                  <w:vMerge w:val="restart"/>
                  <w:shd w:val="clear" w:color="auto" w:fill="B3B3B3"/>
                  <w:vAlign w:val="bottom"/>
                </w:tcPr>
                <w:p w14:paraId="037370BB" w14:textId="77777777" w:rsidR="002A21AE" w:rsidRDefault="002A21AE">
                  <w:pPr>
                    <w:pStyle w:val="TableText"/>
                  </w:pPr>
                </w:p>
              </w:tc>
            </w:tr>
            <w:tr w:rsidR="002A21AE" w14:paraId="6B3AEEB5" w14:textId="77777777">
              <w:trPr>
                <w:cantSplit/>
              </w:trPr>
              <w:tc>
                <w:tcPr>
                  <w:tcW w:w="1615" w:type="dxa"/>
                  <w:vAlign w:val="bottom"/>
                </w:tcPr>
                <w:p w14:paraId="01B6C995" w14:textId="77777777" w:rsidR="002A21AE" w:rsidRDefault="002A21AE">
                  <w:pPr>
                    <w:pStyle w:val="TableText"/>
                  </w:pPr>
                  <w:r>
                    <w:t>I, Inconclusive</w:t>
                  </w:r>
                </w:p>
              </w:tc>
              <w:tc>
                <w:tcPr>
                  <w:tcW w:w="1800" w:type="dxa"/>
                  <w:vMerge/>
                  <w:vAlign w:val="bottom"/>
                </w:tcPr>
                <w:p w14:paraId="5C6008B5" w14:textId="77777777" w:rsidR="002A21AE" w:rsidRDefault="002A21AE">
                  <w:pPr>
                    <w:pStyle w:val="NotesText"/>
                  </w:pPr>
                </w:p>
              </w:tc>
            </w:tr>
          </w:tbl>
          <w:p w14:paraId="4EE47643" w14:textId="77777777" w:rsidR="002A21AE" w:rsidRDefault="002A21AE">
            <w:pPr>
              <w:pStyle w:val="NotesText"/>
              <w:ind w:left="0"/>
            </w:pPr>
          </w:p>
          <w:p w14:paraId="2D99C062" w14:textId="77777777" w:rsidR="002A21AE" w:rsidRDefault="002A21AE">
            <w:pPr>
              <w:pStyle w:val="NotesText"/>
            </w:pPr>
            <w:r>
              <w:rPr>
                <w:rFonts w:cs="Arial"/>
                <w:vanish/>
              </w:rPr>
              <w:t xml:space="preserve">BR_2.15 </w:t>
            </w:r>
            <w:r>
              <w:t>When a user saves a partially completed ABO/Rh testing worklist, VBECS clears unit entries with incomplete or no results, releases them from the worklist, and makes them available for inclusion in a future worklist.</w:t>
            </w:r>
          </w:p>
          <w:p w14:paraId="7E76337C" w14:textId="77777777" w:rsidR="002A21AE" w:rsidRDefault="002A21AE">
            <w:pPr>
              <w:pStyle w:val="NotesText"/>
            </w:pPr>
          </w:p>
          <w:p w14:paraId="17A20B9E" w14:textId="77777777" w:rsidR="002A21AE" w:rsidRDefault="002A21AE">
            <w:pPr>
              <w:pStyle w:val="NotesText"/>
            </w:pPr>
            <w:r>
              <w:rPr>
                <w:rFonts w:cs="Arial"/>
                <w:vanish/>
              </w:rPr>
              <w:t xml:space="preserve">BR_2.35 </w:t>
            </w:r>
            <w:r>
              <w:t>Row validation is established for the interpretation vs. reaction results pattern by system rules</w:t>
            </w:r>
            <w:r>
              <w:rPr>
                <w:vanish/>
                <w:szCs w:val="18"/>
              </w:rPr>
              <w:t>TT_2.01 Forward ABO Confirmation and TT_2.02 Rh Confirmation: Forward Testing Truth Tables</w:t>
            </w:r>
            <w:r>
              <w:t>.</w:t>
            </w:r>
          </w:p>
          <w:p w14:paraId="3EA471B5" w14:textId="77777777" w:rsidR="00C55908" w:rsidRPr="00200B6D" w:rsidRDefault="00C55908" w:rsidP="00200B6D">
            <w:pPr>
              <w:pStyle w:val="NotesText"/>
            </w:pPr>
          </w:p>
          <w:p w14:paraId="45AB0744" w14:textId="77777777" w:rsidR="002A21AE" w:rsidRDefault="002A21AE" w:rsidP="00200B6D">
            <w:pPr>
              <w:pStyle w:val="NotesText"/>
              <w:rPr>
                <w:noProof/>
                <w:color w:val="000000"/>
              </w:rPr>
            </w:pPr>
            <w:r w:rsidRPr="00200B6D">
              <w:rPr>
                <w:vanish/>
                <w:szCs w:val="18"/>
              </w:rPr>
              <w:t>BR_2.05</w:t>
            </w:r>
            <w:r w:rsidR="00CE3961">
              <w:rPr>
                <w:vanish/>
                <w:szCs w:val="18"/>
              </w:rPr>
              <w:t>,</w:t>
            </w:r>
            <w:r w:rsidRPr="00200B6D">
              <w:rPr>
                <w:vanish/>
                <w:szCs w:val="18"/>
              </w:rPr>
              <w:t xml:space="preserve"> BR_2.06 </w:t>
            </w:r>
            <w:r w:rsidRPr="00200B6D">
              <w:t>ABO</w:t>
            </w:r>
            <w:r w:rsidR="004A178C" w:rsidRPr="00200B6D">
              <w:t>/Rh</w:t>
            </w:r>
            <w:r w:rsidRPr="00200B6D">
              <w:t xml:space="preserve"> interpretations are consistent with observed test results based on system rules. Discrepancies are resolved before VBECS can verify ABO</w:t>
            </w:r>
            <w:r w:rsidR="004A178C" w:rsidRPr="00200B6D">
              <w:t>/Rh</w:t>
            </w:r>
            <w:r w:rsidRPr="00200B6D">
              <w:t xml:space="preserve"> confirmation results and add them to the database. The user may reenter valid results or delete entries and start over. </w:t>
            </w:r>
          </w:p>
        </w:tc>
      </w:tr>
      <w:tr w:rsidR="002A21AE" w14:paraId="20F59AF1" w14:textId="77777777">
        <w:tc>
          <w:tcPr>
            <w:tcW w:w="3240" w:type="dxa"/>
          </w:tcPr>
          <w:p w14:paraId="10DCAB3D" w14:textId="77777777" w:rsidR="002A21AE" w:rsidRDefault="002A21AE">
            <w:pPr>
              <w:pStyle w:val="TableTextNumbers"/>
            </w:pPr>
            <w:r>
              <w:lastRenderedPageBreak/>
              <w:t>Confirm that all results were reviewed and are acceptable.</w:t>
            </w:r>
          </w:p>
          <w:p w14:paraId="7CA1EE64" w14:textId="77777777" w:rsidR="002A21AE" w:rsidRDefault="002A21AE">
            <w:pPr>
              <w:pStyle w:val="TableTextNumbersContinued"/>
            </w:pPr>
          </w:p>
        </w:tc>
        <w:tc>
          <w:tcPr>
            <w:tcW w:w="6120" w:type="dxa"/>
          </w:tcPr>
          <w:p w14:paraId="6B436B1C" w14:textId="77777777" w:rsidR="002A21AE" w:rsidRDefault="002A21AE">
            <w:pPr>
              <w:pStyle w:val="TableTextBullet"/>
            </w:pPr>
            <w:r>
              <w:t>Repeats data validation and prompts the user to save.</w:t>
            </w:r>
          </w:p>
          <w:p w14:paraId="147109E2" w14:textId="77777777" w:rsidR="002A21AE" w:rsidRDefault="002A21AE">
            <w:pPr>
              <w:pStyle w:val="TableText"/>
            </w:pPr>
          </w:p>
          <w:p w14:paraId="4F94EE8E" w14:textId="7C210945" w:rsidR="002A21AE" w:rsidRDefault="002A21AE">
            <w:pPr>
              <w:pStyle w:val="TableText"/>
              <w:rPr>
                <w:b/>
                <w:bCs/>
                <w:szCs w:val="18"/>
              </w:rPr>
            </w:pPr>
            <w:r>
              <w:rPr>
                <w:b/>
                <w:bCs/>
                <w:szCs w:val="18"/>
              </w:rPr>
              <w:t>NOTES</w:t>
            </w:r>
          </w:p>
          <w:p w14:paraId="1F90940E" w14:textId="77777777" w:rsidR="002A21AE" w:rsidRDefault="002A21AE">
            <w:pPr>
              <w:pStyle w:val="NotesText"/>
            </w:pPr>
          </w:p>
          <w:p w14:paraId="088CA818" w14:textId="77777777" w:rsidR="002A21AE" w:rsidRDefault="002A21AE">
            <w:pPr>
              <w:pStyle w:val="NotesText"/>
            </w:pPr>
            <w:r>
              <w:rPr>
                <w:rFonts w:cs="Arial"/>
                <w:vanish/>
              </w:rPr>
              <w:t xml:space="preserve">BR_2.44 </w:t>
            </w:r>
            <w:r>
              <w:t xml:space="preserve">VBECS warns that it doesn’t save partially completed unit ABO/Rh confirmation worksheets. </w:t>
            </w:r>
          </w:p>
          <w:p w14:paraId="17194D61" w14:textId="77777777" w:rsidR="002A21AE" w:rsidRDefault="002A21AE">
            <w:pPr>
              <w:pStyle w:val="NotesText"/>
            </w:pPr>
          </w:p>
          <w:p w14:paraId="40BA3F9B" w14:textId="44A03FD4" w:rsidR="002A21AE" w:rsidRDefault="002A21AE">
            <w:pPr>
              <w:pStyle w:val="NotesText"/>
            </w:pPr>
            <w:r>
              <w:rPr>
                <w:rFonts w:cs="Arial"/>
                <w:vanish/>
              </w:rPr>
              <w:t xml:space="preserve">BR_2.21 </w:t>
            </w:r>
            <w:r w:rsidR="009965B7">
              <w:rPr>
                <w:rFonts w:ascii="Webdings" w:hAnsi="Webdings"/>
                <w:sz w:val="40"/>
                <w:szCs w:val="40"/>
              </w:rPr>
              <w:t></w:t>
            </w:r>
            <w:r w:rsidR="009965B7" w:rsidRPr="00D62E87">
              <w:rPr>
                <w:rFonts w:ascii="Webdings" w:hAnsi="Webdings"/>
              </w:rPr>
              <w:t></w:t>
            </w:r>
            <w:r w:rsidR="009965B7">
              <w:t>W</w:t>
            </w:r>
            <w:r>
              <w:t>hen VBECS verifies that the ABO or Rh interpretation is “Inconclusive,” it assigns the unit a “Quarantine” indicator, emits an audible alert, and captures details for inclusion in an Exception Report (exception type: ABO/Rh confirmation Inconclusiv</w:t>
            </w:r>
            <w:r w:rsidR="0038568C">
              <w:t>e, unit quarantined).</w:t>
            </w:r>
            <w:r w:rsidR="0002020B">
              <w:t xml:space="preserve"> </w:t>
            </w:r>
            <w:r w:rsidR="00C4296C">
              <w:t>An Exception Report entry is not created when a unit is r</w:t>
            </w:r>
            <w:r w:rsidR="00C4296C" w:rsidRPr="00C4296C">
              <w:t>esulted as weak D positive or weak D inconclusive and is properly quarantined.</w:t>
            </w:r>
            <w:r w:rsidR="0002020B">
              <w:t xml:space="preserve"> </w:t>
            </w:r>
            <w:r w:rsidR="0002020B" w:rsidRPr="0002020B">
              <w:rPr>
                <w:vanish/>
              </w:rPr>
              <w:t>Defect 214349</w:t>
            </w:r>
            <w:r w:rsidR="00C4296C" w:rsidRPr="0002020B">
              <w:rPr>
                <w:vanish/>
              </w:rPr>
              <w:t xml:space="preserve">  </w:t>
            </w:r>
          </w:p>
          <w:p w14:paraId="4426EE15" w14:textId="77777777" w:rsidR="002A21AE" w:rsidRDefault="002A21AE">
            <w:pPr>
              <w:pStyle w:val="NotesText"/>
            </w:pPr>
          </w:p>
          <w:p w14:paraId="24886E21" w14:textId="77777777" w:rsidR="002A21AE" w:rsidRDefault="002A21AE">
            <w:pPr>
              <w:pStyle w:val="NotesText"/>
            </w:pPr>
            <w:r>
              <w:rPr>
                <w:rFonts w:cs="Arial"/>
                <w:vanish/>
              </w:rPr>
              <w:t xml:space="preserve">BR_2.12 </w:t>
            </w:r>
            <w:r w:rsidR="00D91CEA">
              <w:t>Upon successful completion of ABO/Rh confirmation, the unit status is</w:t>
            </w:r>
            <w:r w:rsidR="001C17DF">
              <w:t xml:space="preserve"> updated</w:t>
            </w:r>
            <w:r w:rsidR="00D91CEA">
              <w:t>. Successful completion means that the ABO and Rh (if required) interpretation is consistent with recorded observed results and matches the ABO/Rh at unit login and any repeat ABO/Rh tests on the unit that are not invalidated.</w:t>
            </w:r>
          </w:p>
        </w:tc>
      </w:tr>
      <w:tr w:rsidR="00A751E4" w14:paraId="7C6D0B80" w14:textId="77777777">
        <w:tc>
          <w:tcPr>
            <w:tcW w:w="3240" w:type="dxa"/>
          </w:tcPr>
          <w:p w14:paraId="0945D6D0" w14:textId="77777777" w:rsidR="00A751E4" w:rsidRDefault="00A751E4">
            <w:pPr>
              <w:pStyle w:val="TableTextNumbers"/>
            </w:pPr>
            <w:r>
              <w:t xml:space="preserve">Click </w:t>
            </w:r>
            <w:r w:rsidRPr="008C3BED">
              <w:rPr>
                <w:b/>
              </w:rPr>
              <w:t>OK</w:t>
            </w:r>
            <w:r>
              <w:t xml:space="preserve"> to save the ABO/Rh confirmation testing.</w:t>
            </w:r>
          </w:p>
        </w:tc>
        <w:tc>
          <w:tcPr>
            <w:tcW w:w="6120" w:type="dxa"/>
          </w:tcPr>
          <w:p w14:paraId="574E9312" w14:textId="77777777" w:rsidR="00A751E4" w:rsidRDefault="00A751E4" w:rsidP="00A751E4">
            <w:pPr>
              <w:pStyle w:val="TableTextBullet"/>
              <w:rPr>
                <w:b/>
                <w:bCs/>
                <w:szCs w:val="18"/>
              </w:rPr>
            </w:pPr>
            <w:r>
              <w:t>Prompts the user to confirm that all results were reviewed and are acceptable.</w:t>
            </w:r>
          </w:p>
        </w:tc>
      </w:tr>
      <w:tr w:rsidR="002A21AE" w14:paraId="2D61A5DD" w14:textId="77777777">
        <w:tc>
          <w:tcPr>
            <w:tcW w:w="3240" w:type="dxa"/>
          </w:tcPr>
          <w:p w14:paraId="7E5F3844" w14:textId="77777777" w:rsidR="002A21AE" w:rsidRDefault="002A21AE">
            <w:pPr>
              <w:pStyle w:val="TableTextNumbers"/>
            </w:pPr>
            <w:r>
              <w:t xml:space="preserve">Click </w:t>
            </w:r>
            <w:r>
              <w:rPr>
                <w:b/>
              </w:rPr>
              <w:t>OK</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44" w:author="Blalock, David (Leidos)" w:date="2020-06-15T14:09:00Z" w:original="0."/>
              </w:fldChar>
            </w:r>
          </w:p>
        </w:tc>
        <w:tc>
          <w:tcPr>
            <w:tcW w:w="6120" w:type="dxa"/>
          </w:tcPr>
          <w:p w14:paraId="25FE71D4" w14:textId="77777777" w:rsidR="002A21AE" w:rsidRDefault="002A21AE">
            <w:pPr>
              <w:pStyle w:val="TableText"/>
              <w:keepNext/>
              <w:rPr>
                <w:b/>
                <w:bCs/>
                <w:szCs w:val="18"/>
              </w:rPr>
            </w:pPr>
          </w:p>
        </w:tc>
      </w:tr>
    </w:tbl>
    <w:p w14:paraId="1624CC94" w14:textId="77777777" w:rsidR="00C0155E" w:rsidRDefault="00C0155E">
      <w:pPr>
        <w:pStyle w:val="Heading3"/>
      </w:pPr>
      <w:bookmarkStart w:id="345" w:name="_Unit_Antigen_Typing"/>
      <w:bookmarkEnd w:id="339"/>
      <w:bookmarkEnd w:id="345"/>
    </w:p>
    <w:p w14:paraId="1CC91393" w14:textId="77777777" w:rsidR="002A21AE" w:rsidRDefault="00C0155E">
      <w:pPr>
        <w:pStyle w:val="Heading3"/>
      </w:pPr>
      <w:r>
        <w:br w:type="page"/>
      </w:r>
      <w:bookmarkStart w:id="346" w:name="_Toc47516721"/>
      <w:r w:rsidR="002A21AE">
        <w:lastRenderedPageBreak/>
        <w:t>Unit Antigen Typing</w:t>
      </w:r>
      <w:bookmarkEnd w:id="346"/>
      <w:r w:rsidR="002A21AE" w:rsidRPr="00796039">
        <w:rPr>
          <w:rFonts w:ascii="Arial Bold" w:hAnsi="Arial Bold"/>
          <w:vanish/>
        </w:rPr>
        <w:fldChar w:fldCharType="begin"/>
      </w:r>
      <w:r w:rsidR="002A21AE" w:rsidRPr="00796039">
        <w:rPr>
          <w:rFonts w:ascii="Arial Bold" w:hAnsi="Arial Bold"/>
          <w:vanish/>
        </w:rPr>
        <w:instrText xml:space="preserve"> XE </w:instrText>
      </w:r>
      <w:r w:rsidR="00FA7E65" w:rsidRPr="00796039">
        <w:rPr>
          <w:rFonts w:ascii="Arial Bold" w:hAnsi="Arial Bold"/>
          <w:vanish/>
        </w:rPr>
        <w:instrText>“</w:instrText>
      </w:r>
      <w:r w:rsidR="002A21AE" w:rsidRPr="00796039">
        <w:rPr>
          <w:rFonts w:ascii="Arial Bold" w:hAnsi="Arial Bold"/>
          <w:vanish/>
        </w:rPr>
        <w:instrText>Unit Antigen Typing</w:instrText>
      </w:r>
      <w:r w:rsidR="00FA7E65" w:rsidRPr="00796039">
        <w:rPr>
          <w:rFonts w:ascii="Arial Bold" w:hAnsi="Arial Bold"/>
          <w:vanish/>
        </w:rPr>
        <w:instrText>”</w:instrText>
      </w:r>
      <w:r w:rsidR="002A21AE" w:rsidRPr="00796039">
        <w:rPr>
          <w:rFonts w:ascii="Arial Bold" w:hAnsi="Arial Bold"/>
          <w:vanish/>
        </w:rPr>
        <w:instrText xml:space="preserve"> </w:instrText>
      </w:r>
      <w:r w:rsidR="002A21AE" w:rsidRPr="00796039">
        <w:rPr>
          <w:rFonts w:ascii="Arial Bold" w:hAnsi="Arial Bold"/>
          <w:vanish/>
        </w:rPr>
        <w:fldChar w:fldCharType="end"/>
      </w:r>
      <w:r w:rsidR="002A21AE" w:rsidRPr="00796039">
        <w:rPr>
          <w:rFonts w:ascii="Arial Bold" w:hAnsi="Arial Bold"/>
          <w:vanish/>
        </w:rPr>
        <w:t xml:space="preserve"> UC_41 </w:t>
      </w:r>
    </w:p>
    <w:p w14:paraId="69009EA7" w14:textId="77777777" w:rsidR="002A21AE" w:rsidRDefault="002A21AE" w:rsidP="00FA7E65">
      <w:pPr>
        <w:pStyle w:val="BodyText"/>
      </w:pPr>
      <w:bookmarkStart w:id="347" w:name="_Toc78171570"/>
      <w:r>
        <w:t>The user performs antigen typing for one or more of the antigens in a blood unit and records the results in a worklist.</w:t>
      </w:r>
    </w:p>
    <w:p w14:paraId="57D36BF8" w14:textId="77777777" w:rsidR="002A21AE" w:rsidRDefault="002A21AE">
      <w:pPr>
        <w:pStyle w:val="Heading4"/>
      </w:pPr>
      <w:r>
        <w:t>Assumptions</w:t>
      </w:r>
    </w:p>
    <w:p w14:paraId="64E1FA3C" w14:textId="77777777" w:rsidR="002A21AE" w:rsidRDefault="002A21AE">
      <w:pPr>
        <w:pStyle w:val="ListBullet"/>
      </w:pPr>
      <w:r>
        <w:rPr>
          <w:rFonts w:ascii="Arial" w:hAnsi="Arial" w:cs="Arial"/>
          <w:vanish/>
          <w:spacing w:val="0"/>
          <w:sz w:val="18"/>
        </w:rPr>
        <w:t xml:space="preserve">BR_2.43 </w:t>
      </w:r>
      <w:r w:rsidR="00B540C0">
        <w:t>The division is “full service”.</w:t>
      </w:r>
    </w:p>
    <w:p w14:paraId="4C49B446" w14:textId="77777777" w:rsidR="002A21AE" w:rsidRDefault="00A8101B">
      <w:pPr>
        <w:pStyle w:val="ListBullet"/>
      </w:pPr>
      <w:r>
        <w:t>The units</w:t>
      </w:r>
      <w:r w:rsidR="002A21AE">
        <w:t xml:space="preserve"> and the user are in the same division.</w:t>
      </w:r>
    </w:p>
    <w:p w14:paraId="4295D186" w14:textId="77777777" w:rsidR="002A21AE" w:rsidRDefault="002A21AE">
      <w:pPr>
        <w:pStyle w:val="ListBullet"/>
      </w:pPr>
      <w:r>
        <w:t>Antiserum inventory is entered during Log In Reagents.</w:t>
      </w:r>
    </w:p>
    <w:p w14:paraId="0893D155" w14:textId="77777777" w:rsidR="002A21AE" w:rsidRDefault="002A21AE">
      <w:pPr>
        <w:pStyle w:val="ListBullet"/>
      </w:pPr>
      <w:r>
        <w:t>Workload codes are assigned through Workload Codes.</w:t>
      </w:r>
    </w:p>
    <w:p w14:paraId="29D26094" w14:textId="77777777" w:rsidR="002A21AE" w:rsidRDefault="002A21AE">
      <w:pPr>
        <w:pStyle w:val="Heading4"/>
      </w:pPr>
      <w:r>
        <w:t>Outcome</w:t>
      </w:r>
    </w:p>
    <w:p w14:paraId="06CFD82C" w14:textId="77777777" w:rsidR="002A21AE" w:rsidRDefault="002A21AE">
      <w:pPr>
        <w:pStyle w:val="ListBullet"/>
      </w:pPr>
      <w:r>
        <w:t>Antigen typing was applied in the unit record for informational purposes in other options.</w:t>
      </w:r>
    </w:p>
    <w:p w14:paraId="6EA4D19E" w14:textId="77777777" w:rsidR="002A21AE" w:rsidRDefault="002A21AE">
      <w:pPr>
        <w:pStyle w:val="ListBullet"/>
      </w:pPr>
      <w:r>
        <w:rPr>
          <w:rFonts w:ascii="Arial" w:hAnsi="Arial" w:cs="Arial"/>
          <w:vanish/>
          <w:spacing w:val="0"/>
          <w:sz w:val="18"/>
        </w:rPr>
        <w:t xml:space="preserve">BR_41.06 </w:t>
      </w:r>
      <w:r>
        <w:t>VBECS stores the lot number, vial identifier, manufacturer, and expiration date of the positive and negative control cells with the testing record.</w:t>
      </w:r>
    </w:p>
    <w:p w14:paraId="440A9F19" w14:textId="77777777" w:rsidR="002A21AE" w:rsidRDefault="002A21AE">
      <w:pPr>
        <w:pStyle w:val="Heading4"/>
      </w:pPr>
      <w:r>
        <w:t>Limitations and Restrictions</w:t>
      </w:r>
    </w:p>
    <w:p w14:paraId="66864FEE" w14:textId="77777777" w:rsidR="002A21AE" w:rsidRDefault="002A21AE">
      <w:pPr>
        <w:pStyle w:val="ListBullet"/>
      </w:pPr>
      <w:r>
        <w:t>Antigen ty</w:t>
      </w:r>
      <w:r w:rsidR="00C0155E">
        <w:t>ping applies only to red blood cell antigens</w:t>
      </w:r>
      <w:r>
        <w:t xml:space="preserve">. This option does not address platelet, </w:t>
      </w:r>
      <w:r w:rsidR="007A6452">
        <w:t>histocompatibility locus antigens (</w:t>
      </w:r>
      <w:r>
        <w:t>HLA</w:t>
      </w:r>
      <w:r w:rsidR="00FF15AD">
        <w:t>s</w:t>
      </w:r>
      <w:r w:rsidR="007A6452">
        <w:t>)</w:t>
      </w:r>
      <w:r>
        <w:t xml:space="preserve">, or </w:t>
      </w:r>
      <w:r w:rsidR="007A6452">
        <w:t>Immunoglobulin A (</w:t>
      </w:r>
      <w:r>
        <w:t>IgA</w:t>
      </w:r>
      <w:r w:rsidR="007A6452">
        <w:t>)</w:t>
      </w:r>
      <w:r>
        <w:t xml:space="preserve"> antigenicity.</w:t>
      </w:r>
    </w:p>
    <w:p w14:paraId="49B55319" w14:textId="77777777" w:rsidR="00391084" w:rsidRDefault="00391084">
      <w:pPr>
        <w:pStyle w:val="ListBullet"/>
      </w:pPr>
      <w:r>
        <w:t>Only blood units of the “WHOLE BLOOD” and “RED BLOOD CELLS” ICCBBA component classes can be selected for inclusion in the antigen type worklist.</w:t>
      </w:r>
    </w:p>
    <w:p w14:paraId="4C41C6AA" w14:textId="6D86D09D" w:rsidR="00C0155E" w:rsidRDefault="00C0155E">
      <w:pPr>
        <w:pStyle w:val="ListBullet"/>
      </w:pPr>
      <w:r>
        <w:t>Antigen typing is not required on products with = &gt; 2 mL of RBC contamination that are not Red Blood Cells or Whole Blood.</w:t>
      </w:r>
    </w:p>
    <w:p w14:paraId="126F46C5" w14:textId="77777777" w:rsidR="002A21AE" w:rsidRDefault="002A21AE">
      <w:pPr>
        <w:pStyle w:val="ListBullet"/>
      </w:pPr>
      <w:r>
        <w:t>VBECS does not check whether the lot and vial numbers selected for the positive control cells differ from those of the negative control cells.</w:t>
      </w:r>
    </w:p>
    <w:p w14:paraId="51FAB354" w14:textId="51C2C1CC" w:rsidR="00AC52D9" w:rsidRDefault="00FF15AD" w:rsidP="00383985">
      <w:pPr>
        <w:pStyle w:val="ListBullet"/>
      </w:pPr>
      <w:r>
        <w:t>D antigen typing must not be combined in batch testing of Rh positive units.</w:t>
      </w:r>
    </w:p>
    <w:p w14:paraId="37919144" w14:textId="73A002D2" w:rsidR="00C86AB4" w:rsidRDefault="002C4355" w:rsidP="00383985">
      <w:pPr>
        <w:pStyle w:val="ListBullet"/>
      </w:pPr>
      <w:r>
        <w:t xml:space="preserve">The sort order of the selected units may not be inherited by the testing grid. Organize physical test materials according to the order of units presented on the testing grid. </w:t>
      </w:r>
      <w:r w:rsidRPr="002C4355">
        <w:rPr>
          <w:vanish/>
        </w:rPr>
        <w:t>Defect 209578</w:t>
      </w:r>
    </w:p>
    <w:p w14:paraId="19BE8D76" w14:textId="169F154D" w:rsidR="004675C2" w:rsidRDefault="004675C2" w:rsidP="00383985">
      <w:pPr>
        <w:pStyle w:val="ListBullet"/>
        <w:numPr>
          <w:ilvl w:val="0"/>
          <w:numId w:val="0"/>
        </w:numPr>
        <w:ind w:left="648"/>
      </w:pPr>
    </w:p>
    <w:p w14:paraId="3E45A994" w14:textId="77777777" w:rsidR="002A21AE" w:rsidRDefault="002A21AE" w:rsidP="005B025F">
      <w:pPr>
        <w:pStyle w:val="Heading4"/>
      </w:pPr>
      <w:r>
        <w:t>Additional Information</w:t>
      </w:r>
    </w:p>
    <w:p w14:paraId="11877812" w14:textId="77777777" w:rsidR="00852AC1" w:rsidRPr="00852AC1" w:rsidRDefault="00852AC1" w:rsidP="009A6575">
      <w:pPr>
        <w:pStyle w:val="ListBullet"/>
      </w:pPr>
      <w:r w:rsidRPr="00852AC1">
        <w:rPr>
          <w:snapToGrid w:val="0"/>
          <w:vanish/>
        </w:rPr>
        <w:t>BR_41.32</w:t>
      </w:r>
      <w:r>
        <w:rPr>
          <w:snapToGrid w:val="0"/>
        </w:rPr>
        <w:t xml:space="preserve">This option is disabled for transfusion-only facilities. </w:t>
      </w:r>
    </w:p>
    <w:p w14:paraId="15161432" w14:textId="77777777" w:rsidR="009A6575" w:rsidRDefault="009A6575" w:rsidP="009A6575">
      <w:pPr>
        <w:pStyle w:val="ListBullet"/>
      </w:pPr>
      <w:r>
        <w:t>Clinical significance and availability of typing reagents are not implied when antigens are included in the list of antigen type tests.</w:t>
      </w:r>
    </w:p>
    <w:p w14:paraId="0B118AD9" w14:textId="77777777" w:rsidR="002A21AE" w:rsidRDefault="002A21AE">
      <w:pPr>
        <w:pStyle w:val="ListBullet"/>
      </w:pPr>
      <w:r>
        <w:t xml:space="preserve">A CPRS patient order is not required to perform antigen typing of units. </w:t>
      </w:r>
    </w:p>
    <w:p w14:paraId="3B0861A7" w14:textId="77777777" w:rsidR="002A21AE" w:rsidRDefault="002A21AE">
      <w:pPr>
        <w:pStyle w:val="ListBullet"/>
      </w:pPr>
      <w:r>
        <w:t>A user may query the database for the presence of antigen-typed units and display or print the query results</w:t>
      </w:r>
      <w:r w:rsidR="006D5D06">
        <w:t xml:space="preserve"> in Blood Availability.</w:t>
      </w:r>
    </w:p>
    <w:p w14:paraId="4B970DB2" w14:textId="77777777" w:rsidR="002A21AE" w:rsidRDefault="002A21AE">
      <w:pPr>
        <w:pStyle w:val="ListBullet"/>
      </w:pPr>
      <w:r>
        <w:t>A user may retrieve evidence of antigen typing for any date or date range. Regulatory agencies require documentation of the reagent name, lot number, reagent expiration date, and positive and negative control.</w:t>
      </w:r>
    </w:p>
    <w:p w14:paraId="7CF5512F" w14:textId="7CE89508" w:rsidR="00AC52D9" w:rsidRDefault="00AC52D9">
      <w:pPr>
        <w:pStyle w:val="ListBullet"/>
      </w:pPr>
      <w:r>
        <w:t>A user is required to complete antigen typing QC in order to save test results. If an antigen testing worklist is started but not saved and a second testing worklist is started for the same antigen</w:t>
      </w:r>
      <w:r w:rsidR="00FE130E">
        <w:t>,</w:t>
      </w:r>
      <w:r>
        <w:t xml:space="preserve"> the QC grid will display and require completion because the first worklist has not been saved.</w:t>
      </w:r>
      <w:r>
        <w:rPr>
          <w:vanish/>
        </w:rPr>
        <w:t xml:space="preserve"> Task 1307</w:t>
      </w:r>
    </w:p>
    <w:p w14:paraId="01AA52C4" w14:textId="2CE7F570" w:rsidR="00261D97" w:rsidRDefault="00261D97" w:rsidP="00383985">
      <w:pPr>
        <w:pStyle w:val="ListBullet"/>
      </w:pPr>
      <w:r w:rsidRPr="00261D97">
        <w:lastRenderedPageBreak/>
        <w:t>When invalidating results from Unit Antigen Typing</w:t>
      </w:r>
      <w:r w:rsidR="00383985">
        <w:t>,</w:t>
      </w:r>
      <w:r w:rsidRPr="00261D97">
        <w:t xml:space="preserve"> the Exception Report does not show all invalidated values.</w:t>
      </w:r>
      <w:r w:rsidR="00383985" w:rsidRPr="00383985">
        <w:t xml:space="preserve"> View the invalidated tests on the Testing Worklist Report and the Unit History Report.</w:t>
      </w:r>
      <w:r w:rsidR="005A75E0">
        <w:t xml:space="preserve"> </w:t>
      </w:r>
      <w:r w:rsidR="005A75E0" w:rsidRPr="005A75E0">
        <w:rPr>
          <w:vanish/>
        </w:rPr>
        <w:t>Defect 210521</w:t>
      </w:r>
    </w:p>
    <w:p w14:paraId="6A386B03" w14:textId="77777777" w:rsidR="002A21AE" w:rsidRDefault="002A21AE">
      <w:pPr>
        <w:pStyle w:val="Heading4"/>
      </w:pPr>
      <w:r>
        <w:t>User Roles with Access to This Option</w:t>
      </w:r>
    </w:p>
    <w:p w14:paraId="116E4482" w14:textId="77777777" w:rsidR="002A21AE" w:rsidRDefault="002B1D25">
      <w:pPr>
        <w:pStyle w:val="Roles"/>
        <w:rPr>
          <w:snapToGrid w:val="0"/>
        </w:rPr>
      </w:pPr>
      <w:r>
        <w:t>All users</w:t>
      </w:r>
    </w:p>
    <w:bookmarkEnd w:id="347"/>
    <w:p w14:paraId="4E46F0B7" w14:textId="77777777" w:rsidR="002A21AE" w:rsidRDefault="002A21AE">
      <w:pPr>
        <w:pStyle w:val="Heading4"/>
      </w:pPr>
      <w:r>
        <w:t xml:space="preserve">Unit Antigen Typing </w:t>
      </w:r>
    </w:p>
    <w:p w14:paraId="128D6CE2" w14:textId="77777777" w:rsidR="002A21AE" w:rsidRDefault="002A21AE" w:rsidP="00FA7E65">
      <w:pPr>
        <w:pStyle w:val="BodyText"/>
      </w:pPr>
      <w:r>
        <w:t>The user performs antigen typing for one or more of the antigens on blood units. VBECS creates a list of available antigen specificities, including weak D, that can be tested. For each antigen tested, the user must select a reagent from available inventory. VBECS will check to see if valid positive and negative controls were tested for the selected reagent on the calendar day of testing. When controls are not tested, VBECS adds tests for the positive and negative controls to the worksheet.</w:t>
      </w:r>
    </w:p>
    <w:p w14:paraId="5696C9C1" w14:textId="77777777" w:rsidR="002A21AE" w:rsidRDefault="002A21AE" w:rsidP="00FA7E65">
      <w:pPr>
        <w:pStyle w:val="BodyText"/>
      </w:pPr>
      <w:r>
        <w:t>Red cell units prepared for patient transfusion may need to be negative for this antibody specificity based on their setting in the antibody table defined in Antibodies.</w:t>
      </w:r>
    </w:p>
    <w:p w14:paraId="71C6DF08" w14:textId="77777777" w:rsidR="00970274" w:rsidRDefault="00057948" w:rsidP="00970274">
      <w:pPr>
        <w:pStyle w:val="Caution"/>
      </w:pPr>
      <w:r>
        <w:rPr>
          <w:noProof/>
        </w:rPr>
        <w:drawing>
          <wp:inline distT="0" distB="0" distL="0" distR="0" wp14:anchorId="55CC5395" wp14:editId="26D013D4">
            <wp:extent cx="267970" cy="221615"/>
            <wp:effectExtent l="0" t="0" r="0" b="6985"/>
            <wp:docPr id="170" name="Picture 1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70274">
        <w:t xml:space="preserve"> Deletion of a partially completed antigen typing worklist invalidates any completed tests contained on the worklist regardless of the status of the unit, including transfused units.</w:t>
      </w:r>
    </w:p>
    <w:p w14:paraId="756721A6" w14:textId="77777777" w:rsidR="00970274" w:rsidRPr="00D73AB9" w:rsidRDefault="00970274" w:rsidP="00970274">
      <w:pPr>
        <w:pStyle w:val="Caution"/>
        <w:rPr>
          <w:spacing w:val="-5"/>
        </w:rPr>
      </w:pPr>
      <w:r>
        <w:t>It is the user’s responsibility to verify that the records are being invalidated appropriately.</w:t>
      </w:r>
    </w:p>
    <w:p w14:paraId="1082E54E" w14:textId="77777777" w:rsidR="00970274" w:rsidRDefault="00970274" w:rsidP="00FA7E65">
      <w:pPr>
        <w:pStyle w:val="BodyTex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361E1E" w14:textId="77777777">
        <w:trPr>
          <w:tblHeader/>
        </w:trPr>
        <w:tc>
          <w:tcPr>
            <w:tcW w:w="3240" w:type="dxa"/>
            <w:shd w:val="pct30" w:color="auto" w:fill="FFFFFF"/>
            <w:vAlign w:val="bottom"/>
          </w:tcPr>
          <w:p w14:paraId="08A38887" w14:textId="77777777" w:rsidR="002A21AE" w:rsidRDefault="002A21AE">
            <w:pPr>
              <w:pStyle w:val="TableText"/>
              <w:rPr>
                <w:b/>
                <w:bCs/>
              </w:rPr>
            </w:pPr>
            <w:r>
              <w:rPr>
                <w:b/>
                <w:bCs/>
              </w:rPr>
              <w:t>User Action</w:t>
            </w:r>
          </w:p>
        </w:tc>
        <w:tc>
          <w:tcPr>
            <w:tcW w:w="6120" w:type="dxa"/>
            <w:shd w:val="pct30" w:color="auto" w:fill="FFFFFF"/>
            <w:vAlign w:val="bottom"/>
          </w:tcPr>
          <w:p w14:paraId="04B95673" w14:textId="77777777" w:rsidR="002A21AE" w:rsidRDefault="002A21AE">
            <w:pPr>
              <w:pStyle w:val="TableText"/>
              <w:rPr>
                <w:b/>
                <w:bCs/>
              </w:rPr>
            </w:pPr>
            <w:r>
              <w:rPr>
                <w:b/>
                <w:bCs/>
              </w:rPr>
              <w:t>VBECS</w:t>
            </w:r>
          </w:p>
        </w:tc>
      </w:tr>
      <w:tr w:rsidR="002A21AE" w14:paraId="3347A465" w14:textId="77777777">
        <w:tc>
          <w:tcPr>
            <w:tcW w:w="3240" w:type="dxa"/>
          </w:tcPr>
          <w:p w14:paraId="182E4269" w14:textId="77777777" w:rsidR="002A21AE" w:rsidRDefault="002A21AE">
            <w:pPr>
              <w:pStyle w:val="TableTextNumbers"/>
            </w:pPr>
            <w:r>
              <w:t xml:space="preserve">Select </w:t>
            </w:r>
            <w:r>
              <w:rPr>
                <w:b/>
              </w:rPr>
              <w:t>Blood Units</w:t>
            </w:r>
            <w:r>
              <w:t xml:space="preserve"> from the main menu. </w:t>
            </w:r>
          </w:p>
          <w:p w14:paraId="41B683FF" w14:textId="77777777" w:rsidR="002A21AE" w:rsidRDefault="002A21AE">
            <w:pPr>
              <w:pStyle w:val="TableTextNumbersContinued"/>
            </w:pPr>
          </w:p>
          <w:p w14:paraId="11F29CEA" w14:textId="77777777" w:rsidR="002A21AE" w:rsidRDefault="002A21AE">
            <w:pPr>
              <w:pStyle w:val="TableTextNumbersContinued"/>
            </w:pPr>
            <w:r>
              <w:t xml:space="preserve">Select </w:t>
            </w:r>
            <w:r>
              <w:rPr>
                <w:b/>
              </w:rPr>
              <w:t>Unit Antigen Typing</w:t>
            </w:r>
            <w:r>
              <w:t>.</w:t>
            </w:r>
          </w:p>
        </w:tc>
        <w:tc>
          <w:tcPr>
            <w:tcW w:w="6120" w:type="dxa"/>
          </w:tcPr>
          <w:p w14:paraId="237A773B" w14:textId="77777777" w:rsidR="002A21AE" w:rsidRDefault="002A21AE">
            <w:pPr>
              <w:pStyle w:val="TableTextBullet"/>
            </w:pPr>
            <w:r>
              <w:t>Displays options for processing blood units.</w:t>
            </w:r>
          </w:p>
          <w:p w14:paraId="2C3CCB15" w14:textId="77777777" w:rsidR="002A21AE" w:rsidRDefault="002A21AE">
            <w:pPr>
              <w:pStyle w:val="TableTextBullet"/>
            </w:pPr>
            <w:r>
              <w:t>Displays options for processing antisera.</w:t>
            </w:r>
          </w:p>
        </w:tc>
      </w:tr>
      <w:tr w:rsidR="002A21AE" w14:paraId="3A20B377" w14:textId="77777777">
        <w:tc>
          <w:tcPr>
            <w:tcW w:w="3240" w:type="dxa"/>
          </w:tcPr>
          <w:p w14:paraId="5E7A8045" w14:textId="77777777" w:rsidR="002A21AE" w:rsidRDefault="002A21AE">
            <w:pPr>
              <w:pStyle w:val="TableTextNumbers"/>
            </w:pPr>
            <w:r>
              <w:t xml:space="preserve">Click </w:t>
            </w:r>
            <w:r>
              <w:rPr>
                <w:b/>
              </w:rPr>
              <w:t>Create New Worklist</w:t>
            </w:r>
          </w:p>
          <w:p w14:paraId="1C97BF25" w14:textId="59658676" w:rsidR="002A21AE" w:rsidRDefault="00F465E9">
            <w:pPr>
              <w:pStyle w:val="TableTextNumbersContinued"/>
            </w:pPr>
            <w:r w:rsidRPr="00F465E9">
              <w:t>(</w:t>
            </w:r>
            <w:r>
              <w:fldChar w:fldCharType="begin"/>
            </w:r>
            <w:r>
              <w:instrText xml:space="preserve"> REF _Ref126648704 \h </w:instrText>
            </w:r>
            <w:r>
              <w:fldChar w:fldCharType="separate"/>
            </w:r>
            <w:r w:rsidR="004353ED">
              <w:t xml:space="preserve">Figure </w:t>
            </w:r>
            <w:r w:rsidR="004353ED">
              <w:rPr>
                <w:noProof/>
              </w:rPr>
              <w:t>83</w:t>
            </w:r>
            <w:r>
              <w:fldChar w:fldCharType="end"/>
            </w:r>
            <w:r>
              <w:t xml:space="preserve">, </w:t>
            </w:r>
            <w:r>
              <w:fldChar w:fldCharType="begin"/>
            </w:r>
            <w:r>
              <w:instrText xml:space="preserve"> REF _Ref508957032 \h </w:instrText>
            </w:r>
            <w:r>
              <w:fldChar w:fldCharType="separate"/>
            </w:r>
            <w:r w:rsidR="004353ED">
              <w:t xml:space="preserve">Figure </w:t>
            </w:r>
            <w:r w:rsidR="004353ED">
              <w:rPr>
                <w:noProof/>
              </w:rPr>
              <w:t>84</w:t>
            </w:r>
            <w:r>
              <w:fldChar w:fldCharType="end"/>
            </w:r>
            <w:r w:rsidRPr="00F465E9">
              <w:t>)</w:t>
            </w:r>
            <w:r>
              <w:t>.</w:t>
            </w:r>
          </w:p>
          <w:p w14:paraId="048CAD63" w14:textId="77777777" w:rsidR="00F465E9" w:rsidRDefault="00F465E9">
            <w:pPr>
              <w:pStyle w:val="TableTextNumbersContinued"/>
            </w:pPr>
          </w:p>
          <w:p w14:paraId="23E45242" w14:textId="73A1CC7A" w:rsidR="002A21AE" w:rsidRDefault="002A21AE">
            <w:pPr>
              <w:pStyle w:val="TableTextNumbersContinued"/>
            </w:pPr>
            <w:r>
              <w:t>When partially completed worklists exist, click a check box to select an existing worklist and go to Step 5</w:t>
            </w:r>
            <w:r w:rsidR="00F465E9">
              <w:t xml:space="preserve"> (</w:t>
            </w:r>
            <w:r w:rsidR="00F465E9">
              <w:fldChar w:fldCharType="begin"/>
            </w:r>
            <w:r w:rsidR="00F465E9">
              <w:instrText xml:space="preserve"> REF _Ref508957112 \h </w:instrText>
            </w:r>
            <w:r w:rsidR="00F465E9">
              <w:fldChar w:fldCharType="separate"/>
            </w:r>
            <w:r w:rsidR="004353ED">
              <w:t xml:space="preserve">Figure </w:t>
            </w:r>
            <w:r w:rsidR="004353ED">
              <w:rPr>
                <w:noProof/>
              </w:rPr>
              <w:t>85</w:t>
            </w:r>
            <w:r w:rsidR="00F465E9">
              <w:fldChar w:fldCharType="end"/>
            </w:r>
            <w:r w:rsidR="00F465E9">
              <w:t>)</w:t>
            </w:r>
            <w:r>
              <w:t xml:space="preserve">. </w:t>
            </w:r>
          </w:p>
          <w:p w14:paraId="093476A9" w14:textId="77777777" w:rsidR="002A21AE" w:rsidRDefault="002A21AE">
            <w:pPr>
              <w:pStyle w:val="TableTextNumbersContinued"/>
            </w:pPr>
          </w:p>
          <w:p w14:paraId="3CB8EC37" w14:textId="77777777" w:rsidR="002A21AE" w:rsidRDefault="002A21AE">
            <w:pPr>
              <w:pStyle w:val="TableTextNumbersContinued"/>
            </w:pPr>
            <w:r>
              <w:t xml:space="preserve">Click </w:t>
            </w:r>
            <w:r>
              <w:rPr>
                <w:b/>
              </w:rPr>
              <w:t>Delete</w:t>
            </w:r>
            <w:r>
              <w:t xml:space="preserve"> to delete the worklist from the list or </w:t>
            </w:r>
            <w:r>
              <w:rPr>
                <w:b/>
              </w:rPr>
              <w:t>OK</w:t>
            </w:r>
            <w:r>
              <w:t xml:space="preserve"> to continue.</w:t>
            </w:r>
          </w:p>
          <w:p w14:paraId="1D4AC403" w14:textId="77777777" w:rsidR="002A21AE" w:rsidRDefault="002A21AE">
            <w:pPr>
              <w:pStyle w:val="TableTextNumbersContinued"/>
              <w:rPr>
                <w:b/>
                <w:bCs/>
              </w:rPr>
            </w:pPr>
          </w:p>
          <w:p w14:paraId="584E6C3F" w14:textId="77777777" w:rsidR="002A21AE" w:rsidRDefault="002A21AE"/>
        </w:tc>
        <w:tc>
          <w:tcPr>
            <w:tcW w:w="6120" w:type="dxa"/>
          </w:tcPr>
          <w:p w14:paraId="539B9FD3" w14:textId="77777777" w:rsidR="002A21AE" w:rsidRDefault="002A21AE">
            <w:pPr>
              <w:pStyle w:val="TableTextBullet"/>
            </w:pPr>
            <w:r>
              <w:t>Accommodates selection of a partially completed testing worklist or creation of a new testing worklist.</w:t>
            </w:r>
          </w:p>
          <w:p w14:paraId="144F53EC" w14:textId="77777777" w:rsidR="002A21AE" w:rsidRDefault="002A21AE">
            <w:pPr>
              <w:pStyle w:val="TableTextBullet"/>
            </w:pPr>
            <w:r>
              <w:t>Displays an option to select or delete a partially completed worksheet.</w:t>
            </w:r>
          </w:p>
          <w:p w14:paraId="42533849" w14:textId="77777777" w:rsidR="002A21AE" w:rsidRDefault="002A21AE">
            <w:pPr>
              <w:pStyle w:val="TableTextBullet"/>
            </w:pPr>
            <w:r>
              <w:rPr>
                <w:rFonts w:cs="Arial"/>
                <w:vanish/>
              </w:rPr>
              <w:t xml:space="preserve">BR_41.15 </w:t>
            </w:r>
            <w:r>
              <w:t>When selecting a partially completed worklist, the user verifies the lot numbers, manufacturer name, and expiration date of the antiserum and control cells previously selected. These may not be edited. When a discrepancy is found, the user must delete the worklist and start over.</w:t>
            </w:r>
          </w:p>
          <w:p w14:paraId="0DA3212A" w14:textId="77777777" w:rsidR="002A21AE" w:rsidRDefault="002A21AE">
            <w:pPr>
              <w:pStyle w:val="TableText"/>
            </w:pPr>
          </w:p>
          <w:p w14:paraId="463BF72A" w14:textId="1A6DA3FD" w:rsidR="002A21AE" w:rsidRDefault="002A21AE">
            <w:pPr>
              <w:pStyle w:val="TableText"/>
              <w:rPr>
                <w:b/>
                <w:bCs/>
                <w:szCs w:val="18"/>
              </w:rPr>
            </w:pPr>
            <w:r>
              <w:rPr>
                <w:b/>
                <w:bCs/>
                <w:szCs w:val="18"/>
              </w:rPr>
              <w:t>NOTES</w:t>
            </w:r>
          </w:p>
          <w:p w14:paraId="0585D4DD" w14:textId="77777777" w:rsidR="002A21AE" w:rsidRDefault="002A21AE">
            <w:pPr>
              <w:pStyle w:val="NotesText"/>
            </w:pPr>
          </w:p>
          <w:p w14:paraId="7A43C426" w14:textId="77777777" w:rsidR="002A21AE" w:rsidRDefault="002A21AE">
            <w:pPr>
              <w:pStyle w:val="NotesText"/>
            </w:pPr>
            <w:r>
              <w:t>VBECS displays the date and time the testing was performed (default: current date and time). These are editable to allow for retrospective entry.</w:t>
            </w:r>
          </w:p>
          <w:p w14:paraId="14C8E9E8" w14:textId="77777777" w:rsidR="002A21AE" w:rsidRDefault="002A21AE">
            <w:pPr>
              <w:pStyle w:val="NotesText"/>
            </w:pPr>
          </w:p>
          <w:p w14:paraId="7AC225BF" w14:textId="77777777" w:rsidR="002A21AE" w:rsidRDefault="002A21AE">
            <w:pPr>
              <w:pStyle w:val="NotesText"/>
            </w:pPr>
            <w:r>
              <w:t>VBECS displays the testing technologist ID (default: current user). A pick list of valid division users is available for the user’s selection.</w:t>
            </w:r>
          </w:p>
          <w:p w14:paraId="052F00A2" w14:textId="77777777" w:rsidR="002A21AE" w:rsidRDefault="002A21AE">
            <w:pPr>
              <w:pStyle w:val="NotesText"/>
              <w:ind w:left="0"/>
            </w:pPr>
          </w:p>
          <w:p w14:paraId="7737FE38" w14:textId="77777777" w:rsidR="002A21AE" w:rsidRDefault="002A21AE">
            <w:pPr>
              <w:pStyle w:val="NotesText"/>
            </w:pPr>
            <w:r>
              <w:rPr>
                <w:rFonts w:cs="Arial"/>
                <w:vanish/>
              </w:rPr>
              <w:t xml:space="preserve">BR_56.14 </w:t>
            </w:r>
            <w:r>
              <w:t>When an automated instrument was used for testing, the user enters the name of the instrument and may indicate that successful quality control testing was done for the date.</w:t>
            </w:r>
          </w:p>
        </w:tc>
      </w:tr>
      <w:tr w:rsidR="002A21AE" w14:paraId="0B9F8EF5" w14:textId="77777777">
        <w:tc>
          <w:tcPr>
            <w:tcW w:w="3240" w:type="dxa"/>
          </w:tcPr>
          <w:p w14:paraId="13919F4B" w14:textId="77777777" w:rsidR="002A21AE" w:rsidRDefault="002A21AE">
            <w:pPr>
              <w:pStyle w:val="TableTextNumbers"/>
            </w:pPr>
            <w:r>
              <w:lastRenderedPageBreak/>
              <w:t>To create a new testing worklist, select a date or accept the default.</w:t>
            </w:r>
          </w:p>
          <w:p w14:paraId="5498C986" w14:textId="77777777" w:rsidR="002A21AE" w:rsidRDefault="002A21AE">
            <w:pPr>
              <w:pStyle w:val="TableTextNumbersContinued"/>
            </w:pPr>
          </w:p>
          <w:p w14:paraId="04780C40" w14:textId="77777777" w:rsidR="002A21AE" w:rsidRDefault="002A21AE">
            <w:pPr>
              <w:pStyle w:val="TableTextNumbersContinued"/>
            </w:pPr>
            <w:r>
              <w:t>Select a “Tested By” name.</w:t>
            </w:r>
          </w:p>
          <w:p w14:paraId="0C7A9C50" w14:textId="77777777" w:rsidR="002A21AE" w:rsidRDefault="002A21AE">
            <w:pPr>
              <w:pStyle w:val="TableTextNumbersContinued"/>
            </w:pPr>
          </w:p>
          <w:p w14:paraId="56CB7138" w14:textId="77777777" w:rsidR="002A21AE" w:rsidRDefault="002A21AE">
            <w:pPr>
              <w:pStyle w:val="TableTextNumbersContinued"/>
            </w:pPr>
            <w:r>
              <w:t>Click a radio button to select Tube, Gel, or Solid Phase.</w:t>
            </w:r>
          </w:p>
          <w:p w14:paraId="55C3481C" w14:textId="77777777" w:rsidR="002A21AE" w:rsidRDefault="002A21AE">
            <w:pPr>
              <w:pStyle w:val="TableTextNumbersContinued"/>
            </w:pPr>
          </w:p>
          <w:p w14:paraId="3FB2410C" w14:textId="77777777" w:rsidR="002A21AE" w:rsidRDefault="002A21AE">
            <w:pPr>
              <w:pStyle w:val="TableTextNumbersContinued"/>
            </w:pPr>
            <w:r>
              <w:t xml:space="preserve">Click </w:t>
            </w:r>
            <w:r>
              <w:rPr>
                <w:b/>
              </w:rPr>
              <w:t>Using Automated Instrument</w:t>
            </w:r>
            <w:r>
              <w:t xml:space="preserve">, as appropriate. </w:t>
            </w:r>
          </w:p>
          <w:p w14:paraId="34765243" w14:textId="77777777" w:rsidR="002A21AE" w:rsidRDefault="002A21AE">
            <w:pPr>
              <w:pStyle w:val="TableTextNumbersContinued"/>
            </w:pPr>
          </w:p>
          <w:p w14:paraId="3A3E9335" w14:textId="77777777" w:rsidR="002A21AE" w:rsidRDefault="002A21AE">
            <w:pPr>
              <w:pStyle w:val="TableTextNumbersContinued"/>
            </w:pPr>
            <w:r>
              <w:t xml:space="preserve">Click </w:t>
            </w:r>
            <w:r>
              <w:rPr>
                <w:b/>
              </w:rPr>
              <w:t>OK</w:t>
            </w:r>
            <w:r>
              <w:t>.</w:t>
            </w:r>
          </w:p>
          <w:p w14:paraId="0DA21AF2" w14:textId="77777777" w:rsidR="002A21AE" w:rsidRDefault="002A21AE">
            <w:pPr>
              <w:pStyle w:val="TableTextNumbersContinued"/>
            </w:pPr>
          </w:p>
        </w:tc>
        <w:tc>
          <w:tcPr>
            <w:tcW w:w="6120" w:type="dxa"/>
          </w:tcPr>
          <w:p w14:paraId="1EF05C5B" w14:textId="77777777" w:rsidR="002A21AE" w:rsidRDefault="002A21AE">
            <w:pPr>
              <w:pStyle w:val="TableTextBullet"/>
            </w:pPr>
            <w:r>
              <w:t xml:space="preserve">Displays an option to select antiserum types. </w:t>
            </w:r>
          </w:p>
          <w:p w14:paraId="0613C982" w14:textId="77777777" w:rsidR="002A21AE" w:rsidRDefault="002A21AE">
            <w:pPr>
              <w:pStyle w:val="TableTextBullet"/>
            </w:pPr>
            <w:r>
              <w:t xml:space="preserve">Displays an option to select a lot number for each antiserum type selected. </w:t>
            </w:r>
          </w:p>
          <w:p w14:paraId="4026276A" w14:textId="77777777" w:rsidR="002A21AE" w:rsidRDefault="002A21AE">
            <w:pPr>
              <w:pStyle w:val="TableTextBullet"/>
            </w:pPr>
            <w:r>
              <w:t>Displays the lot number information.</w:t>
            </w:r>
          </w:p>
          <w:p w14:paraId="12C2E746" w14:textId="77777777" w:rsidR="002A21AE" w:rsidRDefault="002A21AE">
            <w:pPr>
              <w:pStyle w:val="TableTextBullet"/>
            </w:pPr>
            <w:r>
              <w:t>Prompts the user to select the correct antiserum entry for the specificity selected.</w:t>
            </w:r>
          </w:p>
          <w:p w14:paraId="5A2F3322" w14:textId="77777777" w:rsidR="002A21AE" w:rsidRDefault="002A21AE">
            <w:pPr>
              <w:pStyle w:val="TableText"/>
            </w:pPr>
          </w:p>
          <w:p w14:paraId="5FC97CDC" w14:textId="7B38E790" w:rsidR="002A21AE" w:rsidRDefault="002A21AE">
            <w:pPr>
              <w:pStyle w:val="TableText"/>
              <w:rPr>
                <w:b/>
                <w:bCs/>
                <w:szCs w:val="18"/>
              </w:rPr>
            </w:pPr>
            <w:r>
              <w:rPr>
                <w:b/>
                <w:bCs/>
                <w:szCs w:val="18"/>
              </w:rPr>
              <w:t>NOTES</w:t>
            </w:r>
          </w:p>
          <w:p w14:paraId="4FC7F823" w14:textId="77777777" w:rsidR="002A21AE" w:rsidRDefault="002A21AE">
            <w:pPr>
              <w:pStyle w:val="NotesText"/>
            </w:pPr>
          </w:p>
          <w:p w14:paraId="458725FD" w14:textId="01A3E76C" w:rsidR="002A21AE" w:rsidRDefault="002A21AE">
            <w:pPr>
              <w:pStyle w:val="NotesText"/>
            </w:pPr>
            <w:r>
              <w:rPr>
                <w:rFonts w:cs="Arial"/>
                <w:vanish/>
              </w:rPr>
              <w:t xml:space="preserve">BR_41.01 </w:t>
            </w:r>
            <w:r>
              <w:t xml:space="preserve">VBECS lists available antigen type tests from which the user may select and allows the user to enter the specificity to expedite the search. The list of antigen type tests is derived from the Corresponding Antigens field from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w:t>
            </w:r>
            <w:r w:rsidR="0059553A">
              <w:t xml:space="preserve"> </w:t>
            </w:r>
            <w:r w:rsidR="00771DBD">
              <w:fldChar w:fldCharType="begin"/>
            </w:r>
            <w:r w:rsidR="00771DBD">
              <w:instrText xml:space="preserve"> REF _Ref126484449 \h </w:instrText>
            </w:r>
            <w:r w:rsidR="00771DBD">
              <w:fldChar w:fldCharType="separate"/>
            </w:r>
            <w:r w:rsidR="004353ED">
              <w:t xml:space="preserve">Table </w:t>
            </w:r>
            <w:r w:rsidR="004353ED">
              <w:rPr>
                <w:noProof/>
              </w:rPr>
              <w:t>14</w:t>
            </w:r>
            <w:r w:rsidR="004353ED">
              <w:t xml:space="preserve">: </w:t>
            </w:r>
            <w:r w:rsidR="004353ED">
              <w:rPr>
                <w:vanish/>
              </w:rPr>
              <w:t xml:space="preserve">TT_23.01A </w:t>
            </w:r>
            <w:r w:rsidR="004353ED">
              <w:t>Antibody and Antigen Table: Irregular Antibodies</w:t>
            </w:r>
            <w:r w:rsidR="00771DBD">
              <w:fldChar w:fldCharType="end"/>
            </w:r>
            <w:r>
              <w:t xml:space="preserve">. </w:t>
            </w:r>
          </w:p>
          <w:p w14:paraId="6CC93B7E" w14:textId="77777777" w:rsidR="002A21AE" w:rsidRDefault="002A21AE">
            <w:pPr>
              <w:pStyle w:val="NotesText"/>
            </w:pPr>
          </w:p>
          <w:p w14:paraId="7EFC2FC7" w14:textId="77777777" w:rsidR="002A21AE" w:rsidRDefault="002A21AE">
            <w:pPr>
              <w:pStyle w:val="NotesText"/>
            </w:pPr>
            <w:r>
              <w:rPr>
                <w:rFonts w:cs="Arial"/>
                <w:vanish/>
              </w:rPr>
              <w:t xml:space="preserve">BR_41.04 </w:t>
            </w:r>
            <w:r w:rsidR="009965B7" w:rsidRPr="00896F17">
              <w:rPr>
                <w:rStyle w:val="BullhornChar"/>
              </w:rPr>
              <w:t></w:t>
            </w:r>
            <w:r w:rsidR="009965B7" w:rsidRPr="00D62E87">
              <w:rPr>
                <w:rFonts w:ascii="Webdings" w:hAnsi="Webdings"/>
              </w:rPr>
              <w:t></w:t>
            </w:r>
            <w:r w:rsidR="009965B7" w:rsidRPr="00D62E87">
              <w:t>V</w:t>
            </w:r>
            <w:r>
              <w:t>BECS displays data fields for the user to select or enter the lot number, and displays the manufacturer and expiration date of each antiserum to be used in this transaction to allow the user to choose the correct antiserum. VBECS displays in-date antisera and allows the selection of outdated antisera, if needed, emits an audible alert, and requires an override and generation of an Exception Report (exception type: expired antisera used). A comment is required.</w:t>
            </w:r>
          </w:p>
          <w:p w14:paraId="2BC1F1C9" w14:textId="77777777" w:rsidR="002A21AE" w:rsidRDefault="002A21AE">
            <w:pPr>
              <w:pStyle w:val="NotesText"/>
            </w:pPr>
          </w:p>
          <w:p w14:paraId="4A6575AC" w14:textId="77777777" w:rsidR="002A21AE" w:rsidRDefault="002A21AE">
            <w:pPr>
              <w:pStyle w:val="NotesText"/>
            </w:pPr>
            <w:r>
              <w:rPr>
                <w:rFonts w:cs="Arial"/>
                <w:vanish/>
              </w:rPr>
              <w:t xml:space="preserve">BR_41.26 </w:t>
            </w:r>
            <w:r w:rsidR="00263B24" w:rsidRPr="00896F17">
              <w:rPr>
                <w:rStyle w:val="BullhornChar"/>
              </w:rPr>
              <w:t></w:t>
            </w:r>
            <w:r w:rsidR="00263B24">
              <w:rPr>
                <w:rFonts w:ascii="Webdings" w:hAnsi="Webdings"/>
              </w:rPr>
              <w:t></w:t>
            </w:r>
            <w:r w:rsidR="00263B24">
              <w:t>W</w:t>
            </w:r>
            <w:r>
              <w:t>hen a user attempts to change the phases of reactivity, VBECS emits an audible alert, warns that the user selected phases that were not used previously for this reagent, and asks whether the user wishes to continue.</w:t>
            </w:r>
          </w:p>
          <w:p w14:paraId="31603688" w14:textId="77777777" w:rsidR="002A21AE" w:rsidRDefault="002A21AE">
            <w:pPr>
              <w:pStyle w:val="NotesText"/>
            </w:pPr>
          </w:p>
          <w:p w14:paraId="5318BA39" w14:textId="77777777" w:rsidR="002A21AE" w:rsidRDefault="002A21AE">
            <w:pPr>
              <w:pStyle w:val="NotesText"/>
            </w:pPr>
            <w:r>
              <w:rPr>
                <w:b/>
              </w:rPr>
              <w:t>No</w:t>
            </w:r>
            <w:r>
              <w:t xml:space="preserve"> returns the user to the screen to select the correct testing phases. </w:t>
            </w:r>
            <w:r>
              <w:rPr>
                <w:b/>
              </w:rPr>
              <w:t>Yes</w:t>
            </w:r>
            <w:r>
              <w:t xml:space="preserve"> requires the user to enter a comment explaining why different testing phases are selected, and captures details for inclusion in an Exception Report (exception type: antigen testing phase change).</w:t>
            </w:r>
          </w:p>
          <w:p w14:paraId="76AD0D19" w14:textId="77777777" w:rsidR="002A21AE" w:rsidRDefault="002A21AE">
            <w:pPr>
              <w:pStyle w:val="NotesText"/>
            </w:pPr>
          </w:p>
          <w:p w14:paraId="67DC639A" w14:textId="77777777" w:rsidR="00722DBF" w:rsidRDefault="00722DBF" w:rsidP="00722DBF">
            <w:pPr>
              <w:pStyle w:val="NotesText"/>
            </w:pPr>
            <w:r>
              <w:rPr>
                <w:snapToGrid w:val="0"/>
                <w:vanish/>
              </w:rPr>
              <w:t xml:space="preserve">BR_41.30 </w:t>
            </w:r>
            <w:r>
              <w:t>When a user selects a reagent rack for which quality control (QC) testing was never performed in Enter Daily QC Results, VBECS displays a warning message, clears the selection, and allows the user to select a different rack.</w:t>
            </w:r>
            <w:r w:rsidR="000371B2">
              <w:rPr>
                <w:vanish/>
              </w:rPr>
              <w:t xml:space="preserve"> DR 3945</w:t>
            </w:r>
          </w:p>
          <w:p w14:paraId="0CE5FDF7" w14:textId="77777777" w:rsidR="00722DBF" w:rsidRDefault="00722DBF">
            <w:pPr>
              <w:pStyle w:val="NotesText"/>
              <w:rPr>
                <w:rFonts w:cs="Arial"/>
                <w:vanish/>
              </w:rPr>
            </w:pPr>
          </w:p>
          <w:p w14:paraId="6E4C993C" w14:textId="77777777" w:rsidR="002A21AE" w:rsidRDefault="002A21AE">
            <w:pPr>
              <w:pStyle w:val="NotesText"/>
            </w:pPr>
            <w:r>
              <w:rPr>
                <w:rFonts w:cs="Arial"/>
                <w:vanish/>
              </w:rPr>
              <w:t xml:space="preserve">BR_41.27 </w:t>
            </w:r>
            <w:r>
              <w:t>When the user QC’d the antigen typing reagent lot number and performed patient antigen typing on the same date under different testing phases, VBECS enables the QC grid for the antisera in the phases the user selected.</w:t>
            </w:r>
          </w:p>
        </w:tc>
      </w:tr>
      <w:tr w:rsidR="002A21AE" w14:paraId="036D2862" w14:textId="77777777">
        <w:tc>
          <w:tcPr>
            <w:tcW w:w="3240" w:type="dxa"/>
          </w:tcPr>
          <w:p w14:paraId="033BFFBC" w14:textId="77777777" w:rsidR="002A21AE" w:rsidRDefault="002A21AE">
            <w:pPr>
              <w:pStyle w:val="TableTextNumbers"/>
            </w:pPr>
            <w:r>
              <w:t xml:space="preserve">Define the antiserum used. </w:t>
            </w:r>
          </w:p>
          <w:p w14:paraId="2FCE81A6" w14:textId="77777777" w:rsidR="002A21AE" w:rsidRDefault="002A21AE">
            <w:pPr>
              <w:pStyle w:val="TableTextNumbersContinued"/>
            </w:pPr>
          </w:p>
          <w:p w14:paraId="2050998C" w14:textId="77777777" w:rsidR="002A21AE" w:rsidRDefault="002A21AE">
            <w:pPr>
              <w:pStyle w:val="TableTextNumbersContinued"/>
            </w:pPr>
            <w:r>
              <w:t>Enter a lot number for each antiserum specificity.</w:t>
            </w:r>
          </w:p>
          <w:p w14:paraId="4F1F4AFA" w14:textId="77777777" w:rsidR="002A21AE" w:rsidRDefault="002A21AE">
            <w:pPr>
              <w:pStyle w:val="TableTextNumbersContinued"/>
            </w:pPr>
          </w:p>
          <w:p w14:paraId="7E8C3EB8" w14:textId="77777777" w:rsidR="002A21AE" w:rsidRDefault="002A21AE">
            <w:pPr>
              <w:pStyle w:val="TableTextNumbersContinued"/>
            </w:pPr>
            <w:r>
              <w:t>Select the testing phase:</w:t>
            </w:r>
          </w:p>
          <w:p w14:paraId="654F1A3E" w14:textId="77777777" w:rsidR="002A21AE" w:rsidRDefault="002A21AE">
            <w:pPr>
              <w:pStyle w:val="TableTextNumbersBullet"/>
            </w:pPr>
            <w:r>
              <w:t>IS</w:t>
            </w:r>
          </w:p>
          <w:p w14:paraId="26AEB10A" w14:textId="77777777" w:rsidR="002A21AE" w:rsidRDefault="002A21AE">
            <w:pPr>
              <w:pStyle w:val="TableTextNumbersBullet"/>
            </w:pPr>
            <w:r>
              <w:t>IS/RT</w:t>
            </w:r>
          </w:p>
          <w:p w14:paraId="16CA916B" w14:textId="77777777" w:rsidR="002A21AE" w:rsidRDefault="002A21AE">
            <w:pPr>
              <w:pStyle w:val="TableTextNumbersBullet"/>
            </w:pPr>
            <w:r>
              <w:t>IS/37</w:t>
            </w:r>
          </w:p>
          <w:p w14:paraId="743985F7" w14:textId="77777777" w:rsidR="002A21AE" w:rsidRDefault="002A21AE">
            <w:pPr>
              <w:pStyle w:val="TableTextNumbersBullet"/>
            </w:pPr>
            <w:r>
              <w:t>AHG/CC.</w:t>
            </w:r>
            <w:r>
              <w:br/>
            </w:r>
          </w:p>
          <w:p w14:paraId="5DD55B9A" w14:textId="77777777" w:rsidR="002A21AE" w:rsidRDefault="002A21AE">
            <w:pPr>
              <w:pStyle w:val="TableTextNumbersContinued"/>
            </w:pPr>
            <w:r>
              <w:lastRenderedPageBreak/>
              <w:t>Select the rack, if applicable.</w:t>
            </w:r>
            <w:r>
              <w:br/>
            </w:r>
          </w:p>
          <w:p w14:paraId="5D27FAFC" w14:textId="77777777" w:rsidR="002A21AE" w:rsidRDefault="002A21AE">
            <w:pPr>
              <w:pStyle w:val="TableTextNumbersContinued"/>
            </w:pPr>
            <w:r>
              <w:t xml:space="preserve">Select </w:t>
            </w:r>
            <w:r>
              <w:rPr>
                <w:b/>
              </w:rPr>
              <w:t>Add</w:t>
            </w:r>
            <w:r>
              <w:t xml:space="preserve">. </w:t>
            </w:r>
          </w:p>
          <w:p w14:paraId="61D47FCB" w14:textId="77777777" w:rsidR="002A21AE" w:rsidRDefault="002A21AE">
            <w:pPr>
              <w:pStyle w:val="TableTextNumbersContinued"/>
            </w:pPr>
          </w:p>
          <w:p w14:paraId="30377E51" w14:textId="77777777" w:rsidR="002A21AE" w:rsidRDefault="002A21AE">
            <w:pPr>
              <w:pStyle w:val="TableTextNumbersContinued"/>
            </w:pPr>
            <w:r>
              <w:t>Select additional antisera, if desired.</w:t>
            </w:r>
          </w:p>
          <w:p w14:paraId="5BF5AEA8" w14:textId="77777777" w:rsidR="002A21AE" w:rsidRDefault="002A21AE">
            <w:pPr>
              <w:pStyle w:val="TableTextNumbersContinued"/>
            </w:pPr>
          </w:p>
          <w:p w14:paraId="7B3A5CF0" w14:textId="77777777" w:rsidR="002A21AE" w:rsidRDefault="002A21AE">
            <w:pPr>
              <w:pStyle w:val="TableTextNumbersContinued"/>
            </w:pPr>
            <w:r>
              <w:t>Respond to warnings and enter comments, when indicated.</w:t>
            </w:r>
            <w:r>
              <w:br/>
            </w:r>
          </w:p>
          <w:p w14:paraId="090C5156" w14:textId="3851AD10" w:rsidR="002A21AE" w:rsidRDefault="002A21AE" w:rsidP="0027394C">
            <w:pPr>
              <w:pStyle w:val="TableTextNumbersContinued"/>
              <w:rPr>
                <w:b/>
                <w:bCs/>
              </w:rPr>
            </w:pPr>
            <w:r>
              <w:t xml:space="preserve">Select </w:t>
            </w:r>
            <w:r>
              <w:rPr>
                <w:b/>
              </w:rPr>
              <w:t>OK</w:t>
            </w:r>
            <w:r w:rsidR="00030E55" w:rsidRPr="00030E55">
              <w:t xml:space="preserve"> (</w:t>
            </w:r>
            <w:r w:rsidR="0027394C">
              <w:fldChar w:fldCharType="begin"/>
            </w:r>
            <w:r w:rsidR="0027394C">
              <w:instrText xml:space="preserve"> REF _Ref508953074 \h </w:instrText>
            </w:r>
            <w:r w:rsidR="0027394C">
              <w:fldChar w:fldCharType="separate"/>
            </w:r>
            <w:r w:rsidR="004353ED">
              <w:t xml:space="preserve">Figure </w:t>
            </w:r>
            <w:r w:rsidR="004353ED">
              <w:rPr>
                <w:noProof/>
              </w:rPr>
              <w:t>86</w:t>
            </w:r>
            <w:r w:rsidR="0027394C">
              <w:fldChar w:fldCharType="end"/>
            </w:r>
            <w:r w:rsidR="00030E55" w:rsidRPr="00030E55">
              <w:t>)</w:t>
            </w:r>
            <w:r>
              <w:t>.</w:t>
            </w:r>
          </w:p>
        </w:tc>
        <w:tc>
          <w:tcPr>
            <w:tcW w:w="6120" w:type="dxa"/>
          </w:tcPr>
          <w:p w14:paraId="38990451" w14:textId="77777777" w:rsidR="002A21AE" w:rsidRDefault="002A21AE">
            <w:pPr>
              <w:pStyle w:val="TableTextBullet"/>
            </w:pPr>
            <w:r>
              <w:lastRenderedPageBreak/>
              <w:t xml:space="preserve">Displays an option to select the testing phases for the antiserum specificity by lot number. </w:t>
            </w:r>
          </w:p>
          <w:p w14:paraId="61477A7B" w14:textId="77777777" w:rsidR="002A21AE" w:rsidRDefault="002A21AE">
            <w:pPr>
              <w:pStyle w:val="TableTextBullet"/>
            </w:pPr>
            <w:r>
              <w:t>Displays a testing grid disabling the phases not to be entered.</w:t>
            </w:r>
          </w:p>
          <w:p w14:paraId="0E329F79" w14:textId="77777777" w:rsidR="002A21AE" w:rsidRDefault="002A21AE">
            <w:pPr>
              <w:pStyle w:val="TableTextBullet"/>
            </w:pPr>
            <w:r>
              <w:t>Stores the antiserum information and checks whether the positive and negative controls need to be tested with this batch.</w:t>
            </w:r>
          </w:p>
          <w:p w14:paraId="471C8FD1" w14:textId="77777777" w:rsidR="002A21AE" w:rsidRDefault="002A21AE">
            <w:pPr>
              <w:pStyle w:val="TableTextBullet"/>
            </w:pPr>
            <w:r>
              <w:t>Prompts the user to enter the lot number and vial identifier for the positive and negative control used for each antiserum tested.</w:t>
            </w:r>
          </w:p>
          <w:p w14:paraId="2DC61ADF" w14:textId="77777777" w:rsidR="002A21AE" w:rsidRDefault="002A21AE">
            <w:pPr>
              <w:pStyle w:val="TableText"/>
            </w:pPr>
          </w:p>
          <w:p w14:paraId="24019D9A" w14:textId="51188A87" w:rsidR="002A21AE" w:rsidRDefault="002A21AE">
            <w:pPr>
              <w:pStyle w:val="TableText"/>
              <w:rPr>
                <w:b/>
                <w:bCs/>
                <w:szCs w:val="18"/>
              </w:rPr>
            </w:pPr>
            <w:r>
              <w:rPr>
                <w:b/>
                <w:bCs/>
                <w:szCs w:val="18"/>
              </w:rPr>
              <w:t>NOTES</w:t>
            </w:r>
          </w:p>
          <w:p w14:paraId="6D07E673" w14:textId="77777777" w:rsidR="002A21AE" w:rsidRDefault="002A21AE">
            <w:pPr>
              <w:pStyle w:val="NotesText"/>
            </w:pPr>
          </w:p>
          <w:p w14:paraId="6320AAE2" w14:textId="77777777" w:rsidR="002A21AE" w:rsidRDefault="002A21AE">
            <w:pPr>
              <w:pStyle w:val="NotesText"/>
            </w:pPr>
            <w:r>
              <w:rPr>
                <w:rFonts w:cs="Arial"/>
                <w:vanish/>
              </w:rPr>
              <w:lastRenderedPageBreak/>
              <w:t xml:space="preserve">BR_28.23 </w:t>
            </w:r>
            <w:r>
              <w:t>When VBECS displays lot numbers for selection, it checks the inventory system for the reagent name and lot numbers in a rack. The user cannot force the entry of a lot number that VBECS disallowed on the selection list. The user must choose a different reagent. The user may not select a reagent with an “unsatisfactory” value in the Inspection field or with a quantity of zero.</w:t>
            </w:r>
          </w:p>
          <w:p w14:paraId="77488986" w14:textId="77777777" w:rsidR="008C5A8F" w:rsidRDefault="008C5A8F">
            <w:pPr>
              <w:pStyle w:val="NotesText"/>
            </w:pPr>
          </w:p>
          <w:p w14:paraId="34D0C953" w14:textId="77777777" w:rsidR="008C5A8F" w:rsidRDefault="008C5A8F" w:rsidP="008C5A8F">
            <w:pPr>
              <w:pStyle w:val="NotesText"/>
            </w:pPr>
            <w:r>
              <w:rPr>
                <w:rFonts w:cs="Arial"/>
                <w:vanish/>
              </w:rPr>
              <w:t xml:space="preserve">BR_28.24 </w:t>
            </w:r>
            <w:r w:rsidRPr="00896F17">
              <w:rPr>
                <w:rStyle w:val="BullhornChar"/>
              </w:rPr>
              <w:t></w:t>
            </w:r>
            <w:r w:rsidRPr="00D62E87">
              <w:rPr>
                <w:rFonts w:ascii="Webdings" w:hAnsi="Webdings"/>
              </w:rPr>
              <w:t></w:t>
            </w:r>
            <w:r w:rsidRPr="00D62E87">
              <w:t>V</w:t>
            </w:r>
            <w:r>
              <w:t>BECS compares the expiration date of each reagent on the selected rack to the testing date, emits an audible alert, and warns when the reagent is expired.</w:t>
            </w:r>
          </w:p>
          <w:p w14:paraId="48C84181" w14:textId="77777777" w:rsidR="002A21AE" w:rsidRDefault="002A21AE">
            <w:pPr>
              <w:pStyle w:val="NotesText"/>
            </w:pPr>
          </w:p>
          <w:p w14:paraId="4585CF39" w14:textId="77777777" w:rsidR="002A21AE" w:rsidRDefault="002A21AE">
            <w:pPr>
              <w:pStyle w:val="NotesText"/>
            </w:pPr>
            <w:r>
              <w:rPr>
                <w:rFonts w:cs="Arial"/>
                <w:vanish/>
              </w:rPr>
              <w:t xml:space="preserve">BR_41.02 </w:t>
            </w:r>
            <w:r>
              <w:t xml:space="preserve">VBECS enables the rack identifier field when a user selects the weak D or AHG/CC phase and disables the field when a user selects other phases. </w:t>
            </w:r>
          </w:p>
          <w:p w14:paraId="396BA3FC" w14:textId="77777777" w:rsidR="002A21AE" w:rsidRDefault="002A21AE">
            <w:pPr>
              <w:pStyle w:val="NotesText"/>
            </w:pPr>
          </w:p>
          <w:p w14:paraId="717ED20F" w14:textId="77777777" w:rsidR="002A21AE" w:rsidRPr="00D452FC" w:rsidRDefault="002A21AE">
            <w:pPr>
              <w:pStyle w:val="NotesText"/>
              <w:rPr>
                <w:vanish/>
              </w:rPr>
            </w:pPr>
            <w:r>
              <w:rPr>
                <w:rFonts w:cs="Arial"/>
                <w:vanish/>
              </w:rPr>
              <w:t xml:space="preserve">BR_41.03 </w:t>
            </w:r>
            <w:r w:rsidR="004F2D49">
              <w:t>VBECS automatically adds the positive and negative control tests to the selected reagent type worklist if they have not been tested on that calendar date for the selected antisera lot number</w:t>
            </w:r>
            <w:r>
              <w:t>.</w:t>
            </w:r>
            <w:r w:rsidR="00D452FC">
              <w:t xml:space="preserve"> </w:t>
            </w:r>
            <w:r w:rsidR="00D452FC" w:rsidRPr="00D452FC">
              <w:rPr>
                <w:vanish/>
              </w:rPr>
              <w:t>DR 3717</w:t>
            </w:r>
          </w:p>
          <w:p w14:paraId="294D8FA6" w14:textId="77777777" w:rsidR="002A21AE" w:rsidRDefault="002A21AE">
            <w:pPr>
              <w:pStyle w:val="NotesText"/>
            </w:pPr>
          </w:p>
          <w:p w14:paraId="1F8C9312" w14:textId="77777777" w:rsidR="002A21AE" w:rsidRDefault="002A21AE">
            <w:pPr>
              <w:pStyle w:val="NotesText"/>
            </w:pPr>
            <w:r>
              <w:rPr>
                <w:rFonts w:cs="Arial"/>
                <w:vanish/>
              </w:rPr>
              <w:t xml:space="preserve">BR_41.25 </w:t>
            </w:r>
            <w:r>
              <w:t xml:space="preserve">Reagent lot numbers that are selectable for positive and negative control cells: </w:t>
            </w:r>
          </w:p>
          <w:p w14:paraId="6EF2E31E" w14:textId="77777777" w:rsidR="002A21AE" w:rsidRDefault="002A21AE">
            <w:pPr>
              <w:pStyle w:val="NotesTextBullet"/>
            </w:pPr>
            <w:r>
              <w:t>Reverse ABO Typing Cells (set)</w:t>
            </w:r>
          </w:p>
          <w:p w14:paraId="76FFDDF9" w14:textId="77777777" w:rsidR="002A21AE" w:rsidRDefault="002A21AE">
            <w:pPr>
              <w:pStyle w:val="NotesTextBullet"/>
            </w:pPr>
            <w:r>
              <w:t>A2 cell (vial)</w:t>
            </w:r>
          </w:p>
          <w:p w14:paraId="50F37ED6" w14:textId="77777777" w:rsidR="002A21AE" w:rsidRDefault="002A21AE">
            <w:pPr>
              <w:pStyle w:val="NotesTextBullet"/>
            </w:pPr>
            <w:r>
              <w:t>Screening Cells (set)</w:t>
            </w:r>
          </w:p>
          <w:p w14:paraId="2855A871" w14:textId="77777777" w:rsidR="002A21AE" w:rsidRDefault="002A21AE">
            <w:pPr>
              <w:pStyle w:val="NotesTextBullet"/>
            </w:pPr>
            <w:r>
              <w:t>Check Cells (vial)</w:t>
            </w:r>
          </w:p>
          <w:p w14:paraId="792BC293" w14:textId="77777777" w:rsidR="002A21AE" w:rsidRDefault="002A21AE">
            <w:pPr>
              <w:pStyle w:val="NotesTextBullet"/>
            </w:pPr>
            <w:r>
              <w:t>Panel (set)</w:t>
            </w:r>
          </w:p>
          <w:p w14:paraId="1ED48534" w14:textId="77777777" w:rsidR="002A21AE" w:rsidRDefault="002A21AE">
            <w:pPr>
              <w:pStyle w:val="NotesTextBullet"/>
            </w:pPr>
            <w:r>
              <w:t>Other (set)</w:t>
            </w:r>
          </w:p>
          <w:p w14:paraId="5A06E2D9" w14:textId="77777777" w:rsidR="00B062CD" w:rsidRDefault="00B062CD" w:rsidP="00B062CD">
            <w:pPr>
              <w:pStyle w:val="NotesText"/>
            </w:pPr>
          </w:p>
          <w:p w14:paraId="55397932" w14:textId="77777777" w:rsidR="00B062CD" w:rsidRDefault="00B062CD" w:rsidP="00B062CD">
            <w:pPr>
              <w:pStyle w:val="NotesText"/>
            </w:pPr>
            <w:r>
              <w:t>VBECS r</w:t>
            </w:r>
            <w:r w:rsidRPr="00AA089C">
              <w:t>equest</w:t>
            </w:r>
            <w:r>
              <w:t>s</w:t>
            </w:r>
            <w:r w:rsidRPr="00AA089C">
              <w:t xml:space="preserve"> information about </w:t>
            </w:r>
            <w:r>
              <w:t>an antigen</w:t>
            </w:r>
            <w:r w:rsidRPr="00AA089C">
              <w:t xml:space="preserve"> lot number </w:t>
            </w:r>
            <w:r>
              <w:t xml:space="preserve">only </w:t>
            </w:r>
            <w:r w:rsidRPr="00AA089C">
              <w:t xml:space="preserve">the first time it is used </w:t>
            </w:r>
            <w:r>
              <w:t>on a specific</w:t>
            </w:r>
            <w:r w:rsidRPr="00AA089C">
              <w:t xml:space="preserve"> day. </w:t>
            </w:r>
          </w:p>
          <w:p w14:paraId="18EB4F41" w14:textId="77777777" w:rsidR="00B062CD" w:rsidRDefault="00B062CD" w:rsidP="00B062CD">
            <w:pPr>
              <w:pStyle w:val="NotesText"/>
            </w:pPr>
          </w:p>
          <w:p w14:paraId="164C2D29" w14:textId="77777777" w:rsidR="00B062CD" w:rsidRDefault="00B062CD" w:rsidP="00B062CD">
            <w:pPr>
              <w:pStyle w:val="NotesText"/>
            </w:pPr>
            <w:r w:rsidRPr="00AA089C">
              <w:t xml:space="preserve">If there are multiple test tabs, </w:t>
            </w:r>
            <w:r>
              <w:t>VBECS displays a</w:t>
            </w:r>
            <w:r w:rsidRPr="00AA089C">
              <w:t xml:space="preserve"> </w:t>
            </w:r>
            <w:r>
              <w:t>message</w:t>
            </w:r>
            <w:r w:rsidRPr="00AA089C">
              <w:t xml:space="preserve"> </w:t>
            </w:r>
            <w:r>
              <w:t xml:space="preserve">that </w:t>
            </w:r>
            <w:r w:rsidRPr="00AA089C">
              <w:t xml:space="preserve">may not </w:t>
            </w:r>
            <w:r>
              <w:t>correspond to</w:t>
            </w:r>
            <w:r w:rsidRPr="00AA089C">
              <w:t xml:space="preserve"> the</w:t>
            </w:r>
            <w:r>
              <w:t xml:space="preserve"> selected</w:t>
            </w:r>
            <w:r w:rsidRPr="00AA089C">
              <w:t xml:space="preserve"> tab, but will </w:t>
            </w:r>
            <w:r>
              <w:t xml:space="preserve">correspond to </w:t>
            </w:r>
            <w:r w:rsidRPr="00AA089C">
              <w:t xml:space="preserve">information </w:t>
            </w:r>
            <w:r>
              <w:t xml:space="preserve">required by </w:t>
            </w:r>
            <w:r w:rsidRPr="00AA089C">
              <w:t>one of the requested tests.</w:t>
            </w:r>
          </w:p>
        </w:tc>
      </w:tr>
      <w:tr w:rsidR="002A21AE" w14:paraId="5EEE1B3C" w14:textId="77777777">
        <w:tc>
          <w:tcPr>
            <w:tcW w:w="3240" w:type="dxa"/>
          </w:tcPr>
          <w:p w14:paraId="0DB2EAB5" w14:textId="77777777" w:rsidR="002A21AE" w:rsidRDefault="002A21AE">
            <w:pPr>
              <w:pStyle w:val="TableTextNumbers"/>
            </w:pPr>
            <w:r>
              <w:lastRenderedPageBreak/>
              <w:t xml:space="preserve">Select one or more blood units to add to the worklist. </w:t>
            </w:r>
          </w:p>
          <w:p w14:paraId="23E2D096" w14:textId="77777777" w:rsidR="002A21AE" w:rsidRDefault="002A21AE">
            <w:pPr>
              <w:pStyle w:val="TableTextNumbersContinued"/>
            </w:pPr>
          </w:p>
          <w:p w14:paraId="4F68D21F" w14:textId="77777777" w:rsidR="002A21AE" w:rsidRDefault="002A21AE">
            <w:pPr>
              <w:pStyle w:val="TableTextNumbersContinued"/>
            </w:pPr>
            <w:r>
              <w:t xml:space="preserve">Enter the unit ID and the product code from the inventory, or click the </w:t>
            </w:r>
            <w:r w:rsidR="00A6373D">
              <w:rPr>
                <w:b/>
              </w:rPr>
              <w:t>find</w:t>
            </w:r>
            <w:r>
              <w:rPr>
                <w:b/>
              </w:rPr>
              <w:t xml:space="preserve"> </w:t>
            </w:r>
            <w:r w:rsidRPr="00D1100E">
              <w:t>button</w:t>
            </w:r>
            <w:r>
              <w:t xml:space="preserve"> to search for a blood unit and select from the list of available units.</w:t>
            </w:r>
          </w:p>
          <w:p w14:paraId="0351E1FB" w14:textId="77777777" w:rsidR="002A21AE" w:rsidRDefault="002A21AE">
            <w:pPr>
              <w:pStyle w:val="TableTextNumbersContinued"/>
            </w:pPr>
          </w:p>
          <w:p w14:paraId="7757112E" w14:textId="77777777" w:rsidR="002A21AE" w:rsidRDefault="002A21AE" w:rsidP="001E4417">
            <w:pPr>
              <w:pStyle w:val="TableTextNumbersContinued"/>
            </w:pPr>
            <w:r>
              <w:t xml:space="preserve">Click </w:t>
            </w:r>
            <w:r>
              <w:rPr>
                <w:b/>
              </w:rPr>
              <w:t>OK</w:t>
            </w:r>
            <w:r>
              <w:t xml:space="preserve"> when all units are selected.</w:t>
            </w:r>
          </w:p>
        </w:tc>
        <w:tc>
          <w:tcPr>
            <w:tcW w:w="6120" w:type="dxa"/>
          </w:tcPr>
          <w:p w14:paraId="623AF7FD" w14:textId="77777777" w:rsidR="002A21AE" w:rsidRDefault="002A21AE">
            <w:pPr>
              <w:pStyle w:val="TableTextBullet"/>
            </w:pPr>
            <w:r>
              <w:t>Allows the user to scan or enter units to be included in the worklist or select them from a list.</w:t>
            </w:r>
          </w:p>
          <w:p w14:paraId="0B48936F" w14:textId="77777777" w:rsidR="001C07B3" w:rsidRPr="000B4589" w:rsidRDefault="002A21AE" w:rsidP="001C07B3">
            <w:pPr>
              <w:pStyle w:val="TableTextBullet"/>
              <w:rPr>
                <w:bCs/>
              </w:rPr>
            </w:pPr>
            <w:r>
              <w:t>Lists the selected units</w:t>
            </w:r>
            <w:r w:rsidRPr="001E4417">
              <w:rPr>
                <w:bCs/>
              </w:rPr>
              <w:t>.</w:t>
            </w:r>
          </w:p>
          <w:p w14:paraId="7A4CB9BA" w14:textId="77777777" w:rsidR="000B4589" w:rsidRDefault="000B4589">
            <w:pPr>
              <w:pStyle w:val="TableTextBullet"/>
              <w:numPr>
                <w:ilvl w:val="0"/>
                <w:numId w:val="0"/>
              </w:numPr>
              <w:rPr>
                <w:bCs/>
              </w:rPr>
            </w:pPr>
          </w:p>
          <w:p w14:paraId="38242D64" w14:textId="05F91D9E" w:rsidR="000B4589" w:rsidRPr="001C07B3" w:rsidRDefault="000B4589" w:rsidP="002B3455">
            <w:pPr>
              <w:pStyle w:val="NotesText"/>
              <w:rPr>
                <w:b/>
                <w:bCs/>
              </w:rPr>
            </w:pPr>
          </w:p>
        </w:tc>
      </w:tr>
      <w:tr w:rsidR="002A21AE" w14:paraId="27382E5E" w14:textId="77777777">
        <w:tc>
          <w:tcPr>
            <w:tcW w:w="3240" w:type="dxa"/>
          </w:tcPr>
          <w:p w14:paraId="6F97B8B1" w14:textId="77777777" w:rsidR="00B6515C" w:rsidRDefault="00B6515C" w:rsidP="00B6515C">
            <w:pPr>
              <w:pStyle w:val="TableTextNumbers"/>
            </w:pPr>
            <w:r>
              <w:t>Select the lot number for the reagent and the positive and negative control cells. Enter the vial identifiers, if required. Enter “0” when not using panel cells.</w:t>
            </w:r>
          </w:p>
          <w:p w14:paraId="2A954DB9" w14:textId="77777777" w:rsidR="00B6515C" w:rsidRDefault="00B6515C" w:rsidP="00B6515C">
            <w:pPr>
              <w:pStyle w:val="TableTextNumbersContinued"/>
            </w:pPr>
          </w:p>
          <w:p w14:paraId="3CD36994" w14:textId="77777777" w:rsidR="0048389A" w:rsidRDefault="00B6515C" w:rsidP="00B6515C">
            <w:pPr>
              <w:pStyle w:val="TableTextNumbersContinued"/>
            </w:pPr>
            <w:r>
              <w:t>Verify the reagent type and the positive and negative control cell lot numbers selected and vial identifiers entered, if required.</w:t>
            </w:r>
          </w:p>
        </w:tc>
        <w:tc>
          <w:tcPr>
            <w:tcW w:w="6120" w:type="dxa"/>
          </w:tcPr>
          <w:p w14:paraId="15863586" w14:textId="77777777" w:rsidR="002A21AE" w:rsidRDefault="002A21AE">
            <w:pPr>
              <w:pStyle w:val="TableTextBullet"/>
            </w:pPr>
            <w:r>
              <w:t xml:space="preserve">Displays the reagent type and lot numbers, including the vial identifier. </w:t>
            </w:r>
          </w:p>
          <w:p w14:paraId="58C01897" w14:textId="77777777" w:rsidR="002A21AE" w:rsidRDefault="002A21AE">
            <w:pPr>
              <w:pStyle w:val="TableText"/>
            </w:pPr>
          </w:p>
          <w:p w14:paraId="5C7C3A90" w14:textId="2225AD2F" w:rsidR="002A21AE" w:rsidRDefault="002A21AE">
            <w:pPr>
              <w:pStyle w:val="TableText"/>
              <w:rPr>
                <w:b/>
                <w:bCs/>
                <w:szCs w:val="18"/>
              </w:rPr>
            </w:pPr>
            <w:r>
              <w:rPr>
                <w:b/>
                <w:bCs/>
                <w:szCs w:val="18"/>
              </w:rPr>
              <w:t>NOTES</w:t>
            </w:r>
          </w:p>
          <w:p w14:paraId="24DF7AC2" w14:textId="77777777" w:rsidR="002A21AE" w:rsidRDefault="002A21AE">
            <w:pPr>
              <w:pStyle w:val="NotesText"/>
            </w:pPr>
          </w:p>
          <w:p w14:paraId="2C753327" w14:textId="77777777" w:rsidR="002A21AE" w:rsidRDefault="00B6515C">
            <w:pPr>
              <w:pStyle w:val="NotesText"/>
            </w:pPr>
            <w:r>
              <w:t>The vial identifier, comprising one or two digits, identifies the vial contained in a kit of reagent red blood cells. A vial contains antigen positive or antigen negative blood cells to be used in quality control of the antisera.</w:t>
            </w:r>
          </w:p>
        </w:tc>
      </w:tr>
      <w:tr w:rsidR="002A21AE" w14:paraId="125A891F" w14:textId="77777777">
        <w:tc>
          <w:tcPr>
            <w:tcW w:w="3240" w:type="dxa"/>
          </w:tcPr>
          <w:p w14:paraId="3157A5C4" w14:textId="77777777" w:rsidR="002A21AE" w:rsidRDefault="002A21AE">
            <w:pPr>
              <w:pStyle w:val="TableTextNumbers"/>
            </w:pPr>
            <w:r>
              <w:lastRenderedPageBreak/>
              <w:t xml:space="preserve">Respond to warnings and continue with antigen typing. </w:t>
            </w:r>
          </w:p>
          <w:p w14:paraId="0A7F0CF9" w14:textId="77777777" w:rsidR="002A21AE" w:rsidRDefault="002A21AE">
            <w:pPr>
              <w:pStyle w:val="TableTextNumbersContinued"/>
            </w:pPr>
          </w:p>
          <w:p w14:paraId="47216BD9" w14:textId="77777777" w:rsidR="002A21AE" w:rsidRDefault="002A21AE">
            <w:pPr>
              <w:pStyle w:val="TableTextNumbersContinued"/>
            </w:pPr>
            <w:r>
              <w:t>Review the lot number, manufacturer name, and expiration date for the antiserum and control cells. If they are not correct, start over.</w:t>
            </w:r>
          </w:p>
          <w:p w14:paraId="683330EE" w14:textId="77777777" w:rsidR="002A21AE" w:rsidRDefault="002A21AE">
            <w:pPr>
              <w:pStyle w:val="TableTextNumbersContinued"/>
            </w:pPr>
          </w:p>
          <w:p w14:paraId="0EE91725" w14:textId="77777777" w:rsidR="002A21AE" w:rsidRDefault="002A21AE">
            <w:pPr>
              <w:pStyle w:val="TableTextNumbersContinued"/>
            </w:pPr>
            <w:r>
              <w:t>Select a control cell or unit to begin entering serologic reactions and interpretations in the data entry grid.</w:t>
            </w:r>
          </w:p>
          <w:p w14:paraId="1F29A383" w14:textId="77777777" w:rsidR="002A21AE" w:rsidRDefault="002A21AE">
            <w:pPr>
              <w:pStyle w:val="TableTextNumbersContinued"/>
            </w:pPr>
          </w:p>
          <w:p w14:paraId="1B728D7E" w14:textId="77777777" w:rsidR="002A21AE" w:rsidRDefault="002A21AE">
            <w:pPr>
              <w:pStyle w:val="TableTextNumbersContinued"/>
              <w:rPr>
                <w:b/>
                <w:bCs/>
              </w:rPr>
            </w:pPr>
          </w:p>
          <w:p w14:paraId="14AAD765" w14:textId="77777777" w:rsidR="002A21AE" w:rsidRDefault="002A21AE">
            <w:pPr>
              <w:pStyle w:val="TableTextNumbersContinued"/>
            </w:pPr>
          </w:p>
        </w:tc>
        <w:tc>
          <w:tcPr>
            <w:tcW w:w="6120" w:type="dxa"/>
          </w:tcPr>
          <w:p w14:paraId="7915EF24" w14:textId="77777777" w:rsidR="002A21AE" w:rsidRDefault="002A21AE">
            <w:pPr>
              <w:pStyle w:val="TableTextBullet"/>
            </w:pPr>
            <w:r>
              <w:t>Displays each selected unit in a separate tab for each selected specificity with its own grids and quality control.</w:t>
            </w:r>
          </w:p>
          <w:p w14:paraId="598433C9" w14:textId="77777777" w:rsidR="002A21AE" w:rsidRDefault="002A21AE">
            <w:pPr>
              <w:pStyle w:val="TableTextBullet"/>
            </w:pPr>
            <w:r>
              <w:t xml:space="preserve">Displays a direct data entry </w:t>
            </w:r>
            <w:r w:rsidR="00917E9F">
              <w:t xml:space="preserve">(DDE) </w:t>
            </w:r>
            <w:r>
              <w:t>grid to enter serologic reaction results for antigen typing of units. This may already be filled with results from a previously saved partially completed worksheet.</w:t>
            </w:r>
          </w:p>
          <w:p w14:paraId="3FC37BAA" w14:textId="77777777" w:rsidR="002A21AE" w:rsidRDefault="002A21AE">
            <w:pPr>
              <w:pStyle w:val="TableTextBullet"/>
            </w:pPr>
            <w:r>
              <w:t>Allows a user to select a unit or control cell and enter a test result.</w:t>
            </w:r>
          </w:p>
          <w:p w14:paraId="496BF3D6" w14:textId="77777777" w:rsidR="002A21AE" w:rsidRDefault="002A21AE">
            <w:pPr>
              <w:pStyle w:val="TableTextBullet"/>
            </w:pPr>
            <w:r>
              <w:t>Allows only valid data entries in the grid reaction result and interpretation cells.</w:t>
            </w:r>
          </w:p>
          <w:p w14:paraId="4D7632BB" w14:textId="77777777" w:rsidR="002A21AE" w:rsidRDefault="002A21AE">
            <w:pPr>
              <w:pStyle w:val="TableTextBullet"/>
            </w:pPr>
            <w:r>
              <w:t>Restricts data entry to valid selections for testing results.</w:t>
            </w:r>
          </w:p>
          <w:p w14:paraId="4A850F8B" w14:textId="77777777" w:rsidR="002A21AE" w:rsidRDefault="002A21AE">
            <w:pPr>
              <w:pStyle w:val="TableTextBullet"/>
            </w:pPr>
            <w:r>
              <w:t>Keeps all testing results and entered interpretations on the screen until the user saves them.</w:t>
            </w:r>
          </w:p>
          <w:p w14:paraId="6DB218A4" w14:textId="77777777" w:rsidR="002A21AE" w:rsidRDefault="002A21AE">
            <w:pPr>
              <w:pStyle w:val="TableText"/>
            </w:pPr>
          </w:p>
          <w:p w14:paraId="646840EA" w14:textId="1A71BAC5" w:rsidR="002A21AE" w:rsidRDefault="002A21AE">
            <w:pPr>
              <w:pStyle w:val="TableText"/>
              <w:rPr>
                <w:b/>
                <w:bCs/>
                <w:szCs w:val="18"/>
              </w:rPr>
            </w:pPr>
            <w:r>
              <w:rPr>
                <w:b/>
                <w:bCs/>
                <w:szCs w:val="18"/>
              </w:rPr>
              <w:t>NOTES</w:t>
            </w:r>
          </w:p>
          <w:p w14:paraId="0E8F3C3C" w14:textId="77777777" w:rsidR="002A21AE" w:rsidRDefault="002A21AE">
            <w:pPr>
              <w:pStyle w:val="NotesText"/>
            </w:pPr>
          </w:p>
          <w:p w14:paraId="28067A81" w14:textId="77777777" w:rsidR="002A21AE" w:rsidRDefault="002A21AE">
            <w:pPr>
              <w:pStyle w:val="NotesText"/>
            </w:pPr>
            <w:r>
              <w:rPr>
                <w:rFonts w:cs="Arial"/>
                <w:vanish/>
              </w:rPr>
              <w:t xml:space="preserve">BR_41.07 </w:t>
            </w:r>
            <w:r>
              <w:t>VBECS displays the worklist for the grids by antiserum types.</w:t>
            </w:r>
          </w:p>
          <w:p w14:paraId="1B965CE4" w14:textId="77777777" w:rsidR="002A21AE" w:rsidRDefault="002A21AE">
            <w:pPr>
              <w:pStyle w:val="NotesText"/>
            </w:pPr>
          </w:p>
          <w:p w14:paraId="727648E1" w14:textId="77777777" w:rsidR="002A21AE" w:rsidRDefault="002A21AE">
            <w:pPr>
              <w:pStyle w:val="NotesText"/>
            </w:pPr>
            <w:r>
              <w:rPr>
                <w:rFonts w:cs="Arial"/>
                <w:vanish/>
              </w:rPr>
              <w:t xml:space="preserve">BR_41.09 </w:t>
            </w:r>
            <w:r>
              <w:t>Valid observed test results entered by a user:</w:t>
            </w:r>
          </w:p>
          <w:p w14:paraId="3ED6C677" w14:textId="77777777" w:rsidR="002A21AE" w:rsidRDefault="002A21AE">
            <w:pPr>
              <w:pStyle w:val="NotesTextBullet"/>
            </w:pPr>
            <w:r>
              <w:t>1 [1+ (positive)]</w:t>
            </w:r>
          </w:p>
          <w:p w14:paraId="50889E45" w14:textId="77777777" w:rsidR="002A21AE" w:rsidRDefault="002A21AE">
            <w:pPr>
              <w:pStyle w:val="NotesTextBullet"/>
            </w:pPr>
            <w:r>
              <w:t>2 [2+ (positive)]</w:t>
            </w:r>
          </w:p>
          <w:p w14:paraId="242C8B25" w14:textId="77777777" w:rsidR="002A21AE" w:rsidRDefault="002A21AE">
            <w:pPr>
              <w:pStyle w:val="NotesTextBullet"/>
            </w:pPr>
            <w:r>
              <w:t>3 [3+ (positive)]</w:t>
            </w:r>
          </w:p>
          <w:p w14:paraId="5BE2C842" w14:textId="77777777" w:rsidR="002A21AE" w:rsidRDefault="002A21AE">
            <w:pPr>
              <w:pStyle w:val="NotesTextBullet"/>
            </w:pPr>
            <w:r>
              <w:t>4 [4+ (positive)]</w:t>
            </w:r>
          </w:p>
          <w:p w14:paraId="26296033" w14:textId="77777777" w:rsidR="002A21AE" w:rsidRDefault="002A21AE">
            <w:pPr>
              <w:pStyle w:val="NotesTextBullet"/>
            </w:pPr>
            <w:r>
              <w:t>W [Weak (</w:t>
            </w:r>
            <w:r w:rsidR="006D384A">
              <w:t>positive</w:t>
            </w:r>
            <w:r>
              <w:t>)]</w:t>
            </w:r>
          </w:p>
          <w:p w14:paraId="1C5C3E4D" w14:textId="77777777" w:rsidR="002A21AE" w:rsidRDefault="002A21AE">
            <w:pPr>
              <w:pStyle w:val="NotesTextBullet"/>
            </w:pPr>
            <w:r>
              <w:t>F [Mixed Field (</w:t>
            </w:r>
            <w:r w:rsidR="006D384A">
              <w:t>positive</w:t>
            </w:r>
            <w:r>
              <w:t>)]</w:t>
            </w:r>
          </w:p>
          <w:p w14:paraId="19CEC52D" w14:textId="77777777" w:rsidR="002A21AE" w:rsidRDefault="002A21AE">
            <w:pPr>
              <w:pStyle w:val="NotesTextBullet"/>
            </w:pPr>
            <w:r>
              <w:t>M [Microscopic (</w:t>
            </w:r>
            <w:r w:rsidR="006D384A">
              <w:t>positive</w:t>
            </w:r>
            <w:r>
              <w:t>)]</w:t>
            </w:r>
          </w:p>
          <w:p w14:paraId="2C6F017A" w14:textId="77777777" w:rsidR="002A21AE" w:rsidRDefault="002A21AE">
            <w:pPr>
              <w:pStyle w:val="NotesTextBullet"/>
            </w:pPr>
            <w:r>
              <w:t>R [rouleaux (negative)]</w:t>
            </w:r>
          </w:p>
          <w:p w14:paraId="39986CA7" w14:textId="77777777" w:rsidR="002A21AE" w:rsidRDefault="002A21AE">
            <w:pPr>
              <w:pStyle w:val="NotesTextBullet"/>
            </w:pPr>
            <w:r>
              <w:t>0 (zero) [No Agglutination (negative)]</w:t>
            </w:r>
          </w:p>
          <w:p w14:paraId="278D1983" w14:textId="77777777" w:rsidR="002A21AE" w:rsidRDefault="002A21AE">
            <w:pPr>
              <w:pStyle w:val="NotesTextBullet"/>
            </w:pPr>
            <w:r>
              <w:t>X (Not Tested)</w:t>
            </w:r>
            <w:r w:rsidR="002F7FF1">
              <w:t xml:space="preserve"> (does not indicate a disabled cell)</w:t>
            </w:r>
          </w:p>
          <w:p w14:paraId="6B187E12" w14:textId="77777777" w:rsidR="002A21AE" w:rsidRDefault="002A21AE">
            <w:pPr>
              <w:pStyle w:val="NotesText"/>
            </w:pPr>
          </w:p>
          <w:p w14:paraId="25A95D52" w14:textId="77777777" w:rsidR="002A21AE" w:rsidRDefault="002A21AE">
            <w:pPr>
              <w:pStyle w:val="NotesText"/>
            </w:pPr>
            <w:r>
              <w:t>When the AHG phase is selected for testing, the AHG must be negative and the CC must be at least 1+ positive to consider the test negative for a unit or for the negative control cell.</w:t>
            </w:r>
          </w:p>
          <w:p w14:paraId="6D6DD21A" w14:textId="77777777" w:rsidR="002A21AE" w:rsidRDefault="002A21AE">
            <w:pPr>
              <w:pStyle w:val="NotesText"/>
            </w:pPr>
          </w:p>
          <w:p w14:paraId="29221BF1" w14:textId="77777777" w:rsidR="002A21AE" w:rsidRDefault="002A21AE">
            <w:pPr>
              <w:pStyle w:val="NotesText"/>
            </w:pPr>
            <w:r>
              <w:rPr>
                <w:rFonts w:cs="Arial"/>
                <w:vanish/>
              </w:rPr>
              <w:t xml:space="preserve">BR_41.17 </w:t>
            </w:r>
            <w:r>
              <w:t xml:space="preserve">The column heading of the data grid specifies the phases of reactivity that may be used in a test selected for the specificity. </w:t>
            </w:r>
          </w:p>
          <w:p w14:paraId="1C96C6FE" w14:textId="77777777" w:rsidR="002A21AE" w:rsidRDefault="002A21AE">
            <w:pPr>
              <w:pStyle w:val="NotesText"/>
            </w:pPr>
          </w:p>
          <w:p w14:paraId="5F5CBAF7" w14:textId="77777777" w:rsidR="002A21AE" w:rsidRDefault="002A21AE">
            <w:pPr>
              <w:pStyle w:val="NotesText"/>
            </w:pPr>
            <w:r>
              <w:rPr>
                <w:rFonts w:cs="Arial"/>
                <w:vanish/>
              </w:rPr>
              <w:t xml:space="preserve">BR_41.18 </w:t>
            </w:r>
            <w:r>
              <w:t>The row heading of the data grid specifies the unit ID being tested. These fields cannot be edited.</w:t>
            </w:r>
          </w:p>
          <w:p w14:paraId="037D7485" w14:textId="77777777" w:rsidR="002A21AE" w:rsidRDefault="002A21AE">
            <w:pPr>
              <w:pStyle w:val="NotesText"/>
            </w:pPr>
          </w:p>
          <w:p w14:paraId="7EEBBD2C" w14:textId="77777777" w:rsidR="002A21AE" w:rsidRDefault="002A21AE">
            <w:pPr>
              <w:pStyle w:val="NotesText"/>
            </w:pPr>
            <w:r>
              <w:rPr>
                <w:rFonts w:cs="Arial"/>
                <w:vanish/>
              </w:rPr>
              <w:t xml:space="preserve">BR_41.21 </w:t>
            </w:r>
            <w:r>
              <w:t>The rows for each antiserum type grid display the positive and negative control cells, then units, in the order in which a user added units to the worklist.</w:t>
            </w:r>
          </w:p>
          <w:p w14:paraId="34C53D4B" w14:textId="77777777" w:rsidR="002A21AE" w:rsidRDefault="002A21AE">
            <w:pPr>
              <w:pStyle w:val="NotesText"/>
            </w:pPr>
          </w:p>
          <w:p w14:paraId="0DCD26EA" w14:textId="77777777" w:rsidR="002A21AE" w:rsidRDefault="002A21AE">
            <w:pPr>
              <w:pStyle w:val="NotesText"/>
            </w:pPr>
            <w:r>
              <w:rPr>
                <w:rFonts w:cs="Arial"/>
                <w:vanish/>
              </w:rPr>
              <w:t xml:space="preserve">BR_41.14 </w:t>
            </w:r>
            <w:r>
              <w:t xml:space="preserve">A comment can be associated with any antigen test performed. A user may select canned comments required by an override from the drop-down list or select </w:t>
            </w:r>
            <w:r>
              <w:rPr>
                <w:b/>
              </w:rPr>
              <w:t>Other</w:t>
            </w:r>
            <w:r>
              <w:t xml:space="preserve"> to enter free-text comments.</w:t>
            </w:r>
          </w:p>
        </w:tc>
      </w:tr>
      <w:tr w:rsidR="002A21AE" w14:paraId="1571F2FC" w14:textId="77777777" w:rsidTr="001A459B">
        <w:trPr>
          <w:cantSplit/>
        </w:trPr>
        <w:tc>
          <w:tcPr>
            <w:tcW w:w="3240" w:type="dxa"/>
          </w:tcPr>
          <w:p w14:paraId="364B20E3" w14:textId="7CEA2CE5" w:rsidR="002A21AE" w:rsidRDefault="002A21AE" w:rsidP="0027394C">
            <w:pPr>
              <w:pStyle w:val="TableTextNumbers"/>
            </w:pPr>
            <w:r>
              <w:lastRenderedPageBreak/>
              <w:t>Enter results for the control cells and for all selected units. Refer to the legend at the bottom of the screen</w:t>
            </w:r>
            <w:r w:rsidR="002A4159">
              <w:t xml:space="preserve"> (</w:t>
            </w:r>
            <w:r w:rsidR="0027394C">
              <w:fldChar w:fldCharType="begin"/>
            </w:r>
            <w:r w:rsidR="0027394C">
              <w:instrText xml:space="preserve"> REF _Ref126649091 \h </w:instrText>
            </w:r>
            <w:r w:rsidR="0027394C">
              <w:fldChar w:fldCharType="separate"/>
            </w:r>
            <w:r w:rsidR="004353ED">
              <w:br w:type="page"/>
              <w:t xml:space="preserve">Figure </w:t>
            </w:r>
            <w:r w:rsidR="004353ED">
              <w:rPr>
                <w:noProof/>
              </w:rPr>
              <w:t>87</w:t>
            </w:r>
            <w:r w:rsidR="0027394C">
              <w:fldChar w:fldCharType="end"/>
            </w:r>
            <w:r w:rsidR="002A4159">
              <w:t>)</w:t>
            </w:r>
            <w:r>
              <w:t>.</w:t>
            </w:r>
          </w:p>
        </w:tc>
        <w:tc>
          <w:tcPr>
            <w:tcW w:w="6120" w:type="dxa"/>
          </w:tcPr>
          <w:p w14:paraId="7B3967E6" w14:textId="77777777" w:rsidR="002A21AE" w:rsidRDefault="002A21AE">
            <w:pPr>
              <w:pStyle w:val="TableTextBullet"/>
            </w:pPr>
            <w:r>
              <w:t>Prompts the user to confirm that all results were reviewed and are acceptable.</w:t>
            </w:r>
          </w:p>
          <w:p w14:paraId="6453CEAD" w14:textId="77777777" w:rsidR="002A21AE" w:rsidRDefault="002A21AE">
            <w:pPr>
              <w:pStyle w:val="TableText"/>
            </w:pPr>
          </w:p>
          <w:p w14:paraId="7E2CA0E1" w14:textId="1816D11D" w:rsidR="002A21AE" w:rsidRDefault="002A21AE">
            <w:pPr>
              <w:pStyle w:val="TableText"/>
              <w:rPr>
                <w:b/>
                <w:bCs/>
                <w:szCs w:val="18"/>
              </w:rPr>
            </w:pPr>
            <w:r>
              <w:rPr>
                <w:b/>
                <w:bCs/>
                <w:szCs w:val="18"/>
              </w:rPr>
              <w:t>NOTES</w:t>
            </w:r>
          </w:p>
          <w:p w14:paraId="1124D65F" w14:textId="77777777" w:rsidR="002A21AE" w:rsidRDefault="002A21AE">
            <w:pPr>
              <w:pStyle w:val="NotesText"/>
            </w:pPr>
          </w:p>
          <w:p w14:paraId="4D40AD16" w14:textId="77777777" w:rsidR="002A21AE" w:rsidRDefault="002A21AE" w:rsidP="009256FE">
            <w:pPr>
              <w:pStyle w:val="NotesText"/>
            </w:pPr>
            <w:r>
              <w:t xml:space="preserve">The positive and/or negative control cell test results on the date of testing must be </w:t>
            </w:r>
            <w:r w:rsidR="009256FE">
              <w:t>a valid positive or negative.</w:t>
            </w:r>
          </w:p>
          <w:p w14:paraId="453D1622" w14:textId="77777777" w:rsidR="002A21AE" w:rsidRDefault="002A21AE">
            <w:pPr>
              <w:pStyle w:val="NotesText"/>
            </w:pPr>
          </w:p>
          <w:p w14:paraId="5386FAD4" w14:textId="77777777" w:rsidR="002A21AE" w:rsidRDefault="002A21AE">
            <w:pPr>
              <w:pStyle w:val="NotesText"/>
            </w:pPr>
            <w:r>
              <w:rPr>
                <w:rFonts w:cs="Arial"/>
                <w:vanish/>
              </w:rPr>
              <w:t xml:space="preserve">BR_41.22 </w:t>
            </w:r>
            <w:r>
              <w:t xml:space="preserve">When a weak D interpretation is positive </w:t>
            </w:r>
            <w:r w:rsidR="00C749CF">
              <w:t xml:space="preserve">or inconclusive </w:t>
            </w:r>
            <w:r>
              <w:t xml:space="preserve">and is verified for a tested blood unit that was labeled as (Rh) D negative, VBECS warns the user and adds the quarantine indicator to the unit. </w:t>
            </w:r>
          </w:p>
          <w:p w14:paraId="7C51871B" w14:textId="77777777" w:rsidR="002A21AE" w:rsidRDefault="002A21AE">
            <w:pPr>
              <w:pStyle w:val="NotesText"/>
            </w:pPr>
          </w:p>
          <w:p w14:paraId="5EB90CD2" w14:textId="77777777" w:rsidR="00A33DDA" w:rsidRDefault="002A21AE" w:rsidP="00A33DDA">
            <w:pPr>
              <w:pStyle w:val="NotesText"/>
              <w:rPr>
                <w:rFonts w:cs="Arial"/>
                <w:vanish/>
              </w:rPr>
            </w:pPr>
            <w:r>
              <w:rPr>
                <w:rFonts w:cs="Arial"/>
                <w:vanish/>
              </w:rPr>
              <w:t xml:space="preserve">BR_41.12 </w:t>
            </w:r>
            <w:r w:rsidR="00A33DDA">
              <w:t>VBECS compares the antigen typing interpretation a user enters to previously assigned antigen typings for the same antigen (as assigned during Incoming Shipment, Edit Unit Information, or previous testing). When the previous interpretation was not “inconclusive” and the current interpretation does not match the previously identified antigen type, VBECS warns the user and quarantines the unit.</w:t>
            </w:r>
          </w:p>
          <w:p w14:paraId="7C2DB16C" w14:textId="77777777" w:rsidR="00BC3648" w:rsidRDefault="00BC3648">
            <w:pPr>
              <w:pStyle w:val="NotesText"/>
            </w:pPr>
          </w:p>
          <w:p w14:paraId="7FFC73F7" w14:textId="77777777" w:rsidR="009230AA" w:rsidRDefault="009230AA" w:rsidP="00BC3648">
            <w:pPr>
              <w:pStyle w:val="NotesText"/>
              <w:rPr>
                <w:rFonts w:cs="Arial"/>
                <w:szCs w:val="18"/>
              </w:rPr>
            </w:pPr>
          </w:p>
          <w:p w14:paraId="12F9D520" w14:textId="77777777" w:rsidR="00BC3648" w:rsidRDefault="00BC3648" w:rsidP="00BC3648">
            <w:pPr>
              <w:pStyle w:val="NotesText"/>
            </w:pPr>
            <w:r w:rsidRPr="00BC3648">
              <w:rPr>
                <w:rFonts w:cs="Arial"/>
                <w:vanish/>
                <w:szCs w:val="18"/>
              </w:rPr>
              <w:t>BR_41.19</w:t>
            </w:r>
            <w:r>
              <w:t>System rules establish row validation for the interpretation vs. reaction results pattern [for all user-indicated phase(s) of reactivity] for blood unit and quality control tests.</w:t>
            </w:r>
          </w:p>
        </w:tc>
      </w:tr>
      <w:tr w:rsidR="002A21AE" w14:paraId="6507DF34" w14:textId="77777777">
        <w:tc>
          <w:tcPr>
            <w:tcW w:w="3240" w:type="dxa"/>
          </w:tcPr>
          <w:p w14:paraId="4F837687" w14:textId="77777777" w:rsidR="002A21AE" w:rsidRDefault="002A21AE">
            <w:pPr>
              <w:pStyle w:val="TableTextNumbers"/>
            </w:pPr>
            <w:r>
              <w:t>Repeat Steps 4–8 for each antiserum type.</w:t>
            </w:r>
          </w:p>
        </w:tc>
        <w:tc>
          <w:tcPr>
            <w:tcW w:w="6120" w:type="dxa"/>
          </w:tcPr>
          <w:p w14:paraId="0166EFBD" w14:textId="77777777" w:rsidR="002A21AE" w:rsidRDefault="002A21AE">
            <w:pPr>
              <w:pStyle w:val="TableTextBullet"/>
            </w:pPr>
            <w:r>
              <w:t>Displays the option to save.</w:t>
            </w:r>
          </w:p>
        </w:tc>
      </w:tr>
      <w:tr w:rsidR="002A21AE" w14:paraId="541F9216" w14:textId="77777777">
        <w:tc>
          <w:tcPr>
            <w:tcW w:w="3240" w:type="dxa"/>
          </w:tcPr>
          <w:p w14:paraId="7A0ABAE9" w14:textId="77777777" w:rsidR="002A21AE" w:rsidRDefault="002A21AE">
            <w:pPr>
              <w:pStyle w:val="TableTextNumbers"/>
            </w:pPr>
            <w:r>
              <w:t>Respond to warnings and save.</w:t>
            </w:r>
          </w:p>
        </w:tc>
        <w:tc>
          <w:tcPr>
            <w:tcW w:w="6120" w:type="dxa"/>
          </w:tcPr>
          <w:p w14:paraId="08B16CF7" w14:textId="77777777" w:rsidR="002A21AE" w:rsidRDefault="00C96530">
            <w:pPr>
              <w:pStyle w:val="TableTextBullet"/>
            </w:pPr>
            <w:r>
              <w:t xml:space="preserve">Saves the completed QC results with </w:t>
            </w:r>
            <w:r w:rsidR="002A21AE">
              <w:t xml:space="preserve">partially or fully completed </w:t>
            </w:r>
            <w:r>
              <w:t xml:space="preserve">unit testing </w:t>
            </w:r>
            <w:r w:rsidR="002A21AE">
              <w:t xml:space="preserve">data. </w:t>
            </w:r>
          </w:p>
          <w:p w14:paraId="19ADFE00" w14:textId="77777777" w:rsidR="002A21AE" w:rsidRDefault="002A21AE">
            <w:pPr>
              <w:pStyle w:val="TableTextBullet"/>
            </w:pPr>
            <w:r>
              <w:t xml:space="preserve">Reconfirms that all appropriate test results were entered, repeats all data validation, and saves the information on the worksheet displayed. </w:t>
            </w:r>
          </w:p>
          <w:p w14:paraId="42F5F74E" w14:textId="77777777" w:rsidR="002A21AE" w:rsidRDefault="002A21AE">
            <w:pPr>
              <w:pStyle w:val="TableText"/>
            </w:pPr>
          </w:p>
          <w:p w14:paraId="711D32BD" w14:textId="3E610C31" w:rsidR="002A21AE" w:rsidRDefault="002A21AE">
            <w:pPr>
              <w:pStyle w:val="TableText"/>
              <w:rPr>
                <w:b/>
                <w:bCs/>
                <w:szCs w:val="18"/>
              </w:rPr>
            </w:pPr>
            <w:r>
              <w:rPr>
                <w:b/>
                <w:bCs/>
                <w:szCs w:val="18"/>
              </w:rPr>
              <w:t>NOTES</w:t>
            </w:r>
          </w:p>
          <w:p w14:paraId="083080D6" w14:textId="77777777" w:rsidR="002A21AE" w:rsidRDefault="002A21AE">
            <w:pPr>
              <w:pStyle w:val="NotesText"/>
            </w:pPr>
          </w:p>
          <w:p w14:paraId="47CB551A" w14:textId="77777777" w:rsidR="002A21AE" w:rsidRDefault="002A21AE">
            <w:pPr>
              <w:pStyle w:val="NotesText"/>
            </w:pPr>
            <w:r>
              <w:rPr>
                <w:rFonts w:cs="Arial"/>
                <w:vanish/>
              </w:rPr>
              <w:t xml:space="preserve">BR_41.16 </w:t>
            </w:r>
            <w:r>
              <w:t>VBECS saves the testing of one antiserum specificity at a time.</w:t>
            </w:r>
          </w:p>
          <w:p w14:paraId="5E8CAB99" w14:textId="77777777" w:rsidR="00C96530" w:rsidRDefault="00C96530">
            <w:pPr>
              <w:pStyle w:val="NotesText"/>
            </w:pPr>
          </w:p>
          <w:p w14:paraId="559FEEAA" w14:textId="77777777" w:rsidR="002A21AE" w:rsidRDefault="00C96530">
            <w:pPr>
              <w:pStyle w:val="NotesText"/>
            </w:pPr>
            <w:r>
              <w:rPr>
                <w:vanish/>
              </w:rPr>
              <w:t xml:space="preserve">BR_41.33 </w:t>
            </w:r>
            <w:r w:rsidRPr="00C96530">
              <w:t>T</w:t>
            </w:r>
            <w:r w:rsidRPr="00176F35">
              <w:t xml:space="preserve">he Positive and Negative control cells must be complete and valid prior to the save of a unit antigen typing result. </w:t>
            </w:r>
            <w:r>
              <w:t>VBECS will d</w:t>
            </w:r>
            <w:r w:rsidRPr="00176F35">
              <w:t xml:space="preserve">isplay a </w:t>
            </w:r>
            <w:r w:rsidR="00D51933">
              <w:t xml:space="preserve">tooltip </w:t>
            </w:r>
            <w:r w:rsidRPr="00176F35">
              <w:t xml:space="preserve">message to the user </w:t>
            </w:r>
            <w:r>
              <w:t>if an attempt to save is made and the QC is not valid.</w:t>
            </w:r>
          </w:p>
          <w:p w14:paraId="7393C0AD" w14:textId="77777777" w:rsidR="00C96530" w:rsidRDefault="00C96530">
            <w:pPr>
              <w:pStyle w:val="NotesText"/>
            </w:pPr>
          </w:p>
          <w:p w14:paraId="0653B3A6" w14:textId="77777777" w:rsidR="002A21AE" w:rsidRDefault="002A21AE">
            <w:pPr>
              <w:pStyle w:val="NotesText"/>
            </w:pPr>
            <w:r>
              <w:rPr>
                <w:rFonts w:cs="Arial"/>
                <w:vanish/>
              </w:rPr>
              <w:t xml:space="preserve">BR_41.06 </w:t>
            </w:r>
            <w:r>
              <w:t>VBECS stores the lot number, vial identifier, manufacturer, and expiration date of the positive and negative control cells with the testing record.</w:t>
            </w:r>
          </w:p>
        </w:tc>
      </w:tr>
      <w:tr w:rsidR="002A21AE" w14:paraId="1FFB29FD" w14:textId="77777777">
        <w:tc>
          <w:tcPr>
            <w:tcW w:w="3240" w:type="dxa"/>
          </w:tcPr>
          <w:p w14:paraId="5A344B54"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48" w:author="Blalock, David (Leidos)" w:date="2020-06-15T14:09:00Z" w:original="0."/>
              </w:fldChar>
            </w:r>
          </w:p>
        </w:tc>
        <w:tc>
          <w:tcPr>
            <w:tcW w:w="6120" w:type="dxa"/>
          </w:tcPr>
          <w:p w14:paraId="233AC097" w14:textId="77777777" w:rsidR="002A21AE" w:rsidRDefault="002A21AE">
            <w:pPr>
              <w:pStyle w:val="TableText"/>
            </w:pPr>
          </w:p>
        </w:tc>
      </w:tr>
    </w:tbl>
    <w:p w14:paraId="01868D2E" w14:textId="4242FD85" w:rsidR="00030E55" w:rsidRDefault="00030E55" w:rsidP="00030E55">
      <w:pPr>
        <w:pStyle w:val="Caption"/>
      </w:pPr>
      <w:bookmarkStart w:id="349" w:name="_Ref126648704"/>
      <w:bookmarkStart w:id="350" w:name="_Toc6368036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83</w:t>
      </w:r>
      <w:r w:rsidR="004E20BD">
        <w:rPr>
          <w:noProof/>
        </w:rPr>
        <w:fldChar w:fldCharType="end"/>
      </w:r>
      <w:bookmarkEnd w:id="349"/>
      <w:r>
        <w:t>: Unit Antigen Typing</w:t>
      </w:r>
      <w:r w:rsidR="004E0AFB">
        <w:t xml:space="preserve"> (Initial screen)</w:t>
      </w:r>
    </w:p>
    <w:p w14:paraId="21E2CF04" w14:textId="77777777" w:rsidR="0004496F" w:rsidRPr="0004496F" w:rsidRDefault="00057948" w:rsidP="0004496F">
      <w:pPr>
        <w:pStyle w:val="BodyText"/>
      </w:pPr>
      <w:r>
        <w:rPr>
          <w:noProof/>
        </w:rPr>
        <w:drawing>
          <wp:inline distT="0" distB="0" distL="0" distR="0" wp14:anchorId="1EEFDBEF" wp14:editId="72D526B4">
            <wp:extent cx="7278370" cy="4738370"/>
            <wp:effectExtent l="0" t="0" r="0" b="5080"/>
            <wp:docPr id="171" name="Picture 171" descr="figure 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figure xx"/>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7278370" cy="4738370"/>
                    </a:xfrm>
                    <a:prstGeom prst="rect">
                      <a:avLst/>
                    </a:prstGeom>
                    <a:noFill/>
                    <a:ln>
                      <a:noFill/>
                    </a:ln>
                  </pic:spPr>
                </pic:pic>
              </a:graphicData>
            </a:graphic>
          </wp:inline>
        </w:drawing>
      </w:r>
    </w:p>
    <w:p w14:paraId="152C93DD" w14:textId="1619EAE5" w:rsidR="0004496F" w:rsidRDefault="0004496F" w:rsidP="0004496F">
      <w:pPr>
        <w:pStyle w:val="Caption"/>
      </w:pPr>
      <w:bookmarkStart w:id="351" w:name="_Ref50895703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84</w:t>
      </w:r>
      <w:r w:rsidR="004E20BD">
        <w:rPr>
          <w:noProof/>
        </w:rPr>
        <w:fldChar w:fldCharType="end"/>
      </w:r>
      <w:bookmarkEnd w:id="351"/>
      <w:r>
        <w:t>: Unit Antigen Typing (New worklist)</w:t>
      </w:r>
    </w:p>
    <w:p w14:paraId="6A31483B" w14:textId="77777777" w:rsidR="0004496F" w:rsidRDefault="00057948" w:rsidP="0004496F">
      <w:pPr>
        <w:pStyle w:val="BodyText"/>
      </w:pPr>
      <w:r>
        <w:rPr>
          <w:noProof/>
        </w:rPr>
        <w:drawing>
          <wp:inline distT="0" distB="0" distL="0" distR="0" wp14:anchorId="763AC125" wp14:editId="179564D0">
            <wp:extent cx="5080000" cy="4756785"/>
            <wp:effectExtent l="0" t="0" r="6350" b="5715"/>
            <wp:docPr id="172" name="Picture 1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a:extLst>
                        <a:ext uri="{C183D7F6-B498-43B3-948B-1728B52AA6E4}">
                          <adec:decorative xmlns:adec="http://schemas.microsoft.com/office/drawing/2017/decorative" val="1"/>
                        </a:ext>
                      </a:extLst>
                    </pic:cNvPr>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080000" cy="4756785"/>
                    </a:xfrm>
                    <a:prstGeom prst="rect">
                      <a:avLst/>
                    </a:prstGeom>
                    <a:noFill/>
                    <a:ln>
                      <a:noFill/>
                    </a:ln>
                  </pic:spPr>
                </pic:pic>
              </a:graphicData>
            </a:graphic>
          </wp:inline>
        </w:drawing>
      </w:r>
    </w:p>
    <w:p w14:paraId="7FACF7CD" w14:textId="77777777" w:rsidR="0004496F" w:rsidRDefault="0004496F" w:rsidP="0004496F">
      <w:pPr>
        <w:pStyle w:val="BodyText"/>
      </w:pPr>
    </w:p>
    <w:p w14:paraId="29AB7F71" w14:textId="720E2FE3" w:rsidR="0004496F" w:rsidRDefault="0004496F" w:rsidP="0004496F">
      <w:pPr>
        <w:pStyle w:val="Caption"/>
      </w:pPr>
      <w:bookmarkStart w:id="352" w:name="_Ref50895711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85</w:t>
      </w:r>
      <w:r w:rsidR="004E20BD">
        <w:rPr>
          <w:noProof/>
        </w:rPr>
        <w:fldChar w:fldCharType="end"/>
      </w:r>
      <w:bookmarkEnd w:id="352"/>
      <w:r>
        <w:t>: Unit Antigen Typing (Partially Completed Worklist)</w:t>
      </w:r>
    </w:p>
    <w:p w14:paraId="3344D137" w14:textId="77777777" w:rsidR="0004496F" w:rsidRPr="0004496F" w:rsidRDefault="00057948" w:rsidP="0004496F">
      <w:pPr>
        <w:pStyle w:val="BodyText"/>
      </w:pPr>
      <w:r>
        <w:rPr>
          <w:noProof/>
        </w:rPr>
        <w:drawing>
          <wp:inline distT="0" distB="0" distL="0" distR="0" wp14:anchorId="6619C890" wp14:editId="59494D43">
            <wp:extent cx="5939155" cy="4230370"/>
            <wp:effectExtent l="0" t="0" r="4445" b="0"/>
            <wp:docPr id="173" name="Picture 1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a:extLst>
                        <a:ext uri="{C183D7F6-B498-43B3-948B-1728B52AA6E4}">
                          <adec:decorative xmlns:adec="http://schemas.microsoft.com/office/drawing/2017/decorative" val="1"/>
                        </a:ext>
                      </a:extLst>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939155" cy="4230370"/>
                    </a:xfrm>
                    <a:prstGeom prst="rect">
                      <a:avLst/>
                    </a:prstGeom>
                    <a:noFill/>
                    <a:ln>
                      <a:noFill/>
                    </a:ln>
                  </pic:spPr>
                </pic:pic>
              </a:graphicData>
            </a:graphic>
          </wp:inline>
        </w:drawing>
      </w:r>
    </w:p>
    <w:p w14:paraId="721B098A" w14:textId="0A6CABB0" w:rsidR="0004496F" w:rsidRPr="0004496F" w:rsidRDefault="0004496F" w:rsidP="004E0AFB">
      <w:pPr>
        <w:pStyle w:val="Caption"/>
        <w:widowControl w:val="0"/>
      </w:pPr>
      <w:bookmarkStart w:id="353" w:name="_Ref50895307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86</w:t>
      </w:r>
      <w:r w:rsidR="004E20BD">
        <w:rPr>
          <w:noProof/>
        </w:rPr>
        <w:fldChar w:fldCharType="end"/>
      </w:r>
      <w:bookmarkEnd w:id="353"/>
      <w:r>
        <w:t>: Unit Antigen Typing</w:t>
      </w:r>
    </w:p>
    <w:p w14:paraId="1249D5D1" w14:textId="77777777" w:rsidR="002A4159" w:rsidRDefault="00057948" w:rsidP="0004496F">
      <w:pPr>
        <w:pStyle w:val="BodyText"/>
        <w:keepNext/>
        <w:widowControl w:val="0"/>
      </w:pPr>
      <w:r>
        <w:rPr>
          <w:noProof/>
        </w:rPr>
        <w:drawing>
          <wp:inline distT="0" distB="0" distL="0" distR="0" wp14:anchorId="0329CA28" wp14:editId="6C25EB0A">
            <wp:extent cx="5939155" cy="4073525"/>
            <wp:effectExtent l="0" t="0" r="4445" b="3175"/>
            <wp:docPr id="174" name="Picture 1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a:extLst>
                        <a:ext uri="{C183D7F6-B498-43B3-948B-1728B52AA6E4}">
                          <adec:decorative xmlns:adec="http://schemas.microsoft.com/office/drawing/2017/decorative" val="1"/>
                        </a:ext>
                      </a:extLst>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939155" cy="4073525"/>
                    </a:xfrm>
                    <a:prstGeom prst="rect">
                      <a:avLst/>
                    </a:prstGeom>
                    <a:noFill/>
                    <a:ln>
                      <a:noFill/>
                    </a:ln>
                  </pic:spPr>
                </pic:pic>
              </a:graphicData>
            </a:graphic>
          </wp:inline>
        </w:drawing>
      </w:r>
      <w:r w:rsidR="00030E55">
        <w:t xml:space="preserve"> </w:t>
      </w:r>
    </w:p>
    <w:p w14:paraId="359C6EF2" w14:textId="49913504" w:rsidR="002A4159" w:rsidRDefault="0027394C" w:rsidP="002A4159">
      <w:pPr>
        <w:pStyle w:val="Caption"/>
      </w:pPr>
      <w:bookmarkStart w:id="354" w:name="_Ref126649091"/>
      <w:r>
        <w:br w:type="page"/>
      </w:r>
      <w:r w:rsidR="002A415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87</w:t>
      </w:r>
      <w:r w:rsidR="004E20BD">
        <w:rPr>
          <w:noProof/>
        </w:rPr>
        <w:fldChar w:fldCharType="end"/>
      </w:r>
      <w:bookmarkEnd w:id="354"/>
      <w:r w:rsidR="002A4159">
        <w:t>: Unit Antigen Typing Serologic Results</w:t>
      </w:r>
    </w:p>
    <w:p w14:paraId="4D590059" w14:textId="77777777" w:rsidR="001B4885" w:rsidRDefault="00057948" w:rsidP="00030E55">
      <w:pPr>
        <w:pStyle w:val="BodyText"/>
      </w:pPr>
      <w:r>
        <w:rPr>
          <w:noProof/>
        </w:rPr>
        <w:drawing>
          <wp:inline distT="0" distB="0" distL="0" distR="0" wp14:anchorId="41C29316" wp14:editId="05B6C776">
            <wp:extent cx="5948045" cy="3574415"/>
            <wp:effectExtent l="0" t="0" r="0" b="6985"/>
            <wp:docPr id="175" name="Picture 1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a:extLst>
                        <a:ext uri="{C183D7F6-B498-43B3-948B-1728B52AA6E4}">
                          <adec:decorative xmlns:adec="http://schemas.microsoft.com/office/drawing/2017/decorative" val="1"/>
                        </a:ext>
                      </a:extLst>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948045" cy="3574415"/>
                    </a:xfrm>
                    <a:prstGeom prst="rect">
                      <a:avLst/>
                    </a:prstGeom>
                    <a:noFill/>
                    <a:ln>
                      <a:noFill/>
                    </a:ln>
                  </pic:spPr>
                </pic:pic>
              </a:graphicData>
            </a:graphic>
          </wp:inline>
        </w:drawing>
      </w:r>
      <w:r w:rsidR="002A4159">
        <w:t xml:space="preserve"> </w:t>
      </w:r>
    </w:p>
    <w:p w14:paraId="6A6F2647" w14:textId="77777777" w:rsidR="002A21AE" w:rsidRDefault="002A21AE" w:rsidP="00E3402B">
      <w:pPr>
        <w:pStyle w:val="Heading2"/>
      </w:pPr>
      <w:r>
        <w:br w:type="page"/>
      </w:r>
      <w:bookmarkStart w:id="355" w:name="_Toc47516722"/>
      <w:bookmarkStart w:id="356" w:name="_Toc92426453"/>
      <w:bookmarkStart w:id="357" w:name="_Toc94349314"/>
      <w:bookmarkEnd w:id="350"/>
      <w:r>
        <w:lastRenderedPageBreak/>
        <w:t>Modify Components</w:t>
      </w:r>
      <w:bookmarkEnd w:id="355"/>
      <w:r>
        <w:fldChar w:fldCharType="begin"/>
      </w:r>
      <w:r>
        <w:instrText xml:space="preserve"> XE </w:instrText>
      </w:r>
      <w:r w:rsidR="00FA7E65">
        <w:instrText>“</w:instrText>
      </w:r>
      <w:r>
        <w:instrText>Modify Component</w:instrText>
      </w:r>
      <w:r w:rsidR="00FA7E65">
        <w:instrText>”</w:instrText>
      </w:r>
      <w:r>
        <w:instrText xml:space="preserve"> </w:instrText>
      </w:r>
      <w:r>
        <w:fldChar w:fldCharType="end"/>
      </w:r>
      <w:bookmarkEnd w:id="356"/>
      <w:bookmarkEnd w:id="357"/>
    </w:p>
    <w:p w14:paraId="451C6ABA" w14:textId="77777777" w:rsidR="002A21AE" w:rsidRDefault="002A21AE">
      <w:pPr>
        <w:pStyle w:val="Heading3"/>
      </w:pPr>
      <w:bookmarkStart w:id="358" w:name="_Modify_Units"/>
      <w:bookmarkStart w:id="359" w:name="_Toc47516723"/>
      <w:bookmarkStart w:id="360" w:name="_Toc94349315"/>
      <w:bookmarkEnd w:id="358"/>
      <w:r>
        <w:t>Modify Units</w:t>
      </w:r>
      <w:bookmarkEnd w:id="359"/>
      <w:r w:rsidRPr="00796039">
        <w:rPr>
          <w:rFonts w:ascii="Arial Bold" w:hAnsi="Arial Bold"/>
          <w:vanish/>
        </w:rPr>
        <w:fldChar w:fldCharType="begin"/>
      </w:r>
      <w:r w:rsidRPr="00796039">
        <w:rPr>
          <w:rFonts w:ascii="Arial Bold" w:hAnsi="Arial Bold"/>
          <w:vanish/>
        </w:rPr>
        <w:instrText xml:space="preserve"> XE </w:instrText>
      </w:r>
      <w:r w:rsidR="00FA7E65" w:rsidRPr="00796039">
        <w:rPr>
          <w:rFonts w:ascii="Arial Bold" w:hAnsi="Arial Bold"/>
          <w:vanish/>
        </w:rPr>
        <w:instrText>“</w:instrText>
      </w:r>
      <w:r w:rsidRPr="00796039">
        <w:rPr>
          <w:rFonts w:ascii="Arial Bold" w:hAnsi="Arial Bold"/>
          <w:vanish/>
        </w:rPr>
        <w:instrText>Modify Units</w:instrText>
      </w:r>
      <w:r w:rsidR="00FA7E65" w:rsidRPr="00796039">
        <w:rPr>
          <w:rFonts w:ascii="Arial Bold" w:hAnsi="Arial Bold"/>
          <w:vanish/>
        </w:rPr>
        <w:instrText>”</w:instrText>
      </w:r>
      <w:r w:rsidRPr="00796039">
        <w:rPr>
          <w:rFonts w:ascii="Arial Bold" w:hAnsi="Arial Bold"/>
          <w:vanish/>
        </w:rPr>
        <w:instrText xml:space="preserve"> </w:instrText>
      </w:r>
      <w:r w:rsidRPr="00796039">
        <w:rPr>
          <w:rFonts w:ascii="Arial Bold" w:hAnsi="Arial Bold"/>
          <w:vanish/>
        </w:rPr>
        <w:fldChar w:fldCharType="end"/>
      </w:r>
      <w:r w:rsidRPr="00796039">
        <w:rPr>
          <w:rFonts w:ascii="Arial Bold" w:hAnsi="Arial Bold"/>
          <w:vanish/>
        </w:rPr>
        <w:t xml:space="preserve"> UC_26</w:t>
      </w:r>
      <w:bookmarkEnd w:id="360"/>
    </w:p>
    <w:p w14:paraId="6E3741DA" w14:textId="529F5102" w:rsidR="002A21AE" w:rsidRDefault="002A21AE" w:rsidP="00FA7E65">
      <w:pPr>
        <w:pStyle w:val="BodyText"/>
      </w:pPr>
      <w:bookmarkStart w:id="361" w:name="_Toc77662608"/>
      <w:r>
        <w:t xml:space="preserve">The user modifies a unit, which results in a different blood product (target product) with </w:t>
      </w:r>
      <w:r w:rsidR="00AC457B">
        <w:t>its own</w:t>
      </w:r>
      <w:r>
        <w:t xml:space="preserve"> properties. A division’s configuration determines the available modification types</w:t>
      </w:r>
      <w:r w:rsidR="003B6DCF">
        <w:t>.</w:t>
      </w:r>
    </w:p>
    <w:p w14:paraId="58E631B1" w14:textId="77777777" w:rsidR="002A21AE" w:rsidRDefault="002A21AE">
      <w:pPr>
        <w:pStyle w:val="Heading4"/>
      </w:pPr>
      <w:bookmarkStart w:id="362" w:name="_Toc94349316"/>
      <w:r>
        <w:t>Assumptions</w:t>
      </w:r>
      <w:bookmarkEnd w:id="362"/>
      <w:r w:rsidR="00AC457B">
        <w:fldChar w:fldCharType="begin"/>
      </w:r>
      <w:r w:rsidR="00AC457B">
        <w:instrText xml:space="preserve"> XE "</w:instrText>
      </w:r>
      <w:r w:rsidR="00AC457B" w:rsidRPr="00A60D38">
        <w:instrText>Assumptions</w:instrText>
      </w:r>
      <w:r w:rsidR="00AC457B">
        <w:instrText xml:space="preserve">" </w:instrText>
      </w:r>
      <w:r w:rsidR="00AC457B">
        <w:fldChar w:fldCharType="end"/>
      </w:r>
    </w:p>
    <w:p w14:paraId="120D49EA" w14:textId="77777777" w:rsidR="002A21AE" w:rsidRDefault="00046402">
      <w:pPr>
        <w:pStyle w:val="ListBullet"/>
      </w:pPr>
      <w:r>
        <w:t>Product Modifications</w:t>
      </w:r>
      <w:r w:rsidR="002A21AE">
        <w:t xml:space="preserve"> was executed.</w:t>
      </w:r>
    </w:p>
    <w:p w14:paraId="22D95E17" w14:textId="77777777" w:rsidR="002A21AE" w:rsidRDefault="00CB7D9B">
      <w:pPr>
        <w:pStyle w:val="ListBullet"/>
      </w:pPr>
      <w:r>
        <w:t>The division is the active shipper for target blood products.</w:t>
      </w:r>
    </w:p>
    <w:p w14:paraId="07FB6828" w14:textId="77777777" w:rsidR="002A21AE" w:rsidRDefault="002A21AE">
      <w:pPr>
        <w:pStyle w:val="ListBullet"/>
      </w:pPr>
      <w:r>
        <w:t>A unit may be modified with or without patient assignment or restriction.</w:t>
      </w:r>
    </w:p>
    <w:p w14:paraId="52D78B2A" w14:textId="77777777" w:rsidR="002A21AE" w:rsidRDefault="002A21AE">
      <w:pPr>
        <w:pStyle w:val="ListBullet"/>
      </w:pPr>
      <w:r>
        <w:t>A unit may be modified with or without a patient order.</w:t>
      </w:r>
    </w:p>
    <w:p w14:paraId="3202B2C9" w14:textId="77777777" w:rsidR="002A21AE" w:rsidRDefault="002A21AE">
      <w:pPr>
        <w:pStyle w:val="ListBullet"/>
      </w:pPr>
      <w:r>
        <w:t>Units selected for modification must be in the same division as the user.</w:t>
      </w:r>
    </w:p>
    <w:p w14:paraId="2C918B68" w14:textId="77777777" w:rsidR="00F81D5E" w:rsidRDefault="00F81D5E">
      <w:pPr>
        <w:pStyle w:val="ListBullet"/>
      </w:pPr>
      <w:r>
        <w:t>Product labels and unit numbers for modified products</w:t>
      </w:r>
      <w:r w:rsidRPr="00F81D5E">
        <w:t xml:space="preserve"> </w:t>
      </w:r>
      <w:r>
        <w:t>are on hand.</w:t>
      </w:r>
    </w:p>
    <w:p w14:paraId="669DEC12" w14:textId="77777777" w:rsidR="0014066B" w:rsidRDefault="0014066B">
      <w:pPr>
        <w:pStyle w:val="ListBullet"/>
      </w:pPr>
      <w:r>
        <w:t>Supplies needed for the unit modification were entered in VBECS.</w:t>
      </w:r>
    </w:p>
    <w:p w14:paraId="53765FD4" w14:textId="77777777" w:rsidR="002A21AE" w:rsidRDefault="002A21AE">
      <w:pPr>
        <w:pStyle w:val="Heading4"/>
      </w:pPr>
      <w:bookmarkStart w:id="363" w:name="_Toc94349317"/>
      <w:r>
        <w:t>Outcome</w:t>
      </w:r>
      <w:bookmarkEnd w:id="363"/>
    </w:p>
    <w:p w14:paraId="7F473A6D" w14:textId="77777777" w:rsidR="002A21AE" w:rsidRDefault="002A21AE">
      <w:pPr>
        <w:pStyle w:val="ListBullet"/>
      </w:pPr>
      <w:r>
        <w:t>Data generated for an Exception Report are stored for inclusion in the next Exception Report.</w:t>
      </w:r>
    </w:p>
    <w:p w14:paraId="6A9975CF" w14:textId="77777777" w:rsidR="002A21AE" w:rsidRDefault="002A21AE">
      <w:pPr>
        <w:pStyle w:val="ListBullet"/>
      </w:pPr>
      <w:r>
        <w:t>Workload-related data collected as the result of unit modification are stored for inclusion in Workload Reports.</w:t>
      </w:r>
    </w:p>
    <w:p w14:paraId="1C497D1D" w14:textId="77777777" w:rsidR="002A21AE" w:rsidRDefault="002A21AE">
      <w:pPr>
        <w:pStyle w:val="ListBullet"/>
      </w:pPr>
      <w:r>
        <w:t>At the completion of a unit modification, VBECS assigns the original unit a final status of “modified.”</w:t>
      </w:r>
    </w:p>
    <w:p w14:paraId="4A517F20" w14:textId="77777777" w:rsidR="002A21AE" w:rsidRDefault="002A21AE">
      <w:pPr>
        <w:pStyle w:val="ListBullet"/>
      </w:pPr>
      <w:r>
        <w:t>A permanent virtual link exists between the original unit and target units created.</w:t>
      </w:r>
    </w:p>
    <w:p w14:paraId="3386D44E" w14:textId="77777777" w:rsidR="002A21AE" w:rsidRDefault="002A21AE">
      <w:pPr>
        <w:pStyle w:val="ListBullet"/>
      </w:pPr>
      <w:r>
        <w:t>The shipper of the target unit created is the division in which the modification was performed. The cost assigned to the target unit is based on what was defined in Blood Products.</w:t>
      </w:r>
    </w:p>
    <w:p w14:paraId="568B7A78" w14:textId="77777777" w:rsidR="002A21AE" w:rsidRDefault="002A21AE">
      <w:pPr>
        <w:pStyle w:val="Heading4"/>
      </w:pPr>
      <w:bookmarkStart w:id="364" w:name="_Toc94349318"/>
      <w:r>
        <w:t>Limitations and Restrictions</w:t>
      </w:r>
      <w:bookmarkEnd w:id="364"/>
    </w:p>
    <w:p w14:paraId="3FE62808" w14:textId="77777777" w:rsidR="002A21AE" w:rsidRDefault="00CC5F64">
      <w:pPr>
        <w:pStyle w:val="ListBullet"/>
      </w:pPr>
      <w:r>
        <w:t>VBECS allows modification of units only in limited, assigned, crossmatched, and available statuses.</w:t>
      </w:r>
    </w:p>
    <w:p w14:paraId="7B9A9DF5" w14:textId="77777777" w:rsidR="002D6306" w:rsidRPr="004E1DF1" w:rsidRDefault="002D6306" w:rsidP="002D6306">
      <w:pPr>
        <w:pStyle w:val="ListBullet"/>
      </w:pPr>
      <w:r>
        <w:t>VBECS presents the conservative expiration date for target units. VBECS does not know th</w:t>
      </w:r>
      <w:r w:rsidR="008B6D25">
        <w:t xml:space="preserve">e specific collection details. </w:t>
      </w:r>
      <w:r>
        <w:t>It is the responsib</w:t>
      </w:r>
      <w:r w:rsidR="008B6D25">
        <w:t>i</w:t>
      </w:r>
      <w:r>
        <w:t>lity of each user to accurately enter and process any one blood unit based on its expiration date/time as labeled by the collection facility.</w:t>
      </w:r>
      <w:r>
        <w:rPr>
          <w:vanish/>
        </w:rPr>
        <w:t xml:space="preserve"> Task 1324</w:t>
      </w:r>
    </w:p>
    <w:p w14:paraId="75AAC526" w14:textId="2D2C2501" w:rsidR="004E1DF1" w:rsidRPr="0050055B" w:rsidRDefault="004E1DF1" w:rsidP="002D6306">
      <w:pPr>
        <w:pStyle w:val="ListBullet"/>
      </w:pPr>
      <w:r>
        <w:t xml:space="preserve">Pooling of units that have the attribute form </w:t>
      </w:r>
      <w:r>
        <w:rPr>
          <w:rFonts w:cs="Arial"/>
          <w:szCs w:val="18"/>
        </w:rPr>
        <w:t xml:space="preserve">V0013 (irradiated) and attribute </w:t>
      </w:r>
      <w:r w:rsidRPr="00DC60F9">
        <w:rPr>
          <w:rFonts w:cs="Arial"/>
          <w:szCs w:val="18"/>
        </w:rPr>
        <w:t>V0021005</w:t>
      </w:r>
      <w:r>
        <w:rPr>
          <w:rFonts w:cs="Arial"/>
          <w:szCs w:val="18"/>
        </w:rPr>
        <w:t xml:space="preserve"> (psoralen treatment) does not produce a target.</w:t>
      </w:r>
    </w:p>
    <w:p w14:paraId="335A3A77" w14:textId="77777777" w:rsidR="002A21AE" w:rsidRDefault="002A21AE">
      <w:pPr>
        <w:pStyle w:val="Heading4"/>
      </w:pPr>
      <w:bookmarkStart w:id="365" w:name="_Toc94349319"/>
      <w:r>
        <w:t>Additional Information</w:t>
      </w:r>
      <w:bookmarkEnd w:id="365"/>
    </w:p>
    <w:p w14:paraId="2781C438" w14:textId="77777777" w:rsidR="002A21AE" w:rsidRDefault="002A21AE">
      <w:pPr>
        <w:pStyle w:val="ListBullet"/>
      </w:pPr>
      <w:r>
        <w:t>VBECS requires the identification of the transferred-to container when using an open method</w:t>
      </w:r>
      <w:r w:rsidR="00C249B1">
        <w:t xml:space="preserve"> or </w:t>
      </w:r>
      <w:r w:rsidR="00922AD8">
        <w:t>a</w:t>
      </w:r>
      <w:r w:rsidR="00C249B1">
        <w:t xml:space="preserve"> </w:t>
      </w:r>
      <w:r w:rsidR="00AD29E0">
        <w:t>sterile connection</w:t>
      </w:r>
      <w:r w:rsidR="00F17F64">
        <w:t xml:space="preserve"> device (SCD)</w:t>
      </w:r>
      <w:r w:rsidR="00C249B1">
        <w:t>.</w:t>
      </w:r>
    </w:p>
    <w:p w14:paraId="38515BC8" w14:textId="77777777" w:rsidR="002A21AE" w:rsidRDefault="002A21AE">
      <w:pPr>
        <w:pStyle w:val="ListBullet"/>
      </w:pPr>
      <w:r>
        <w:t xml:space="preserve">VBECS requires the identification of the SCD wafer data when using an SCD. </w:t>
      </w:r>
    </w:p>
    <w:p w14:paraId="243ACD6B" w14:textId="77777777" w:rsidR="00B57CCA" w:rsidRDefault="00B57CCA">
      <w:pPr>
        <w:pStyle w:val="ListBullet"/>
      </w:pPr>
      <w:r w:rsidRPr="00B57CCA">
        <w:t xml:space="preserve">When </w:t>
      </w:r>
      <w:r>
        <w:t>a user extends an</w:t>
      </w:r>
      <w:r w:rsidRPr="00B57CCA">
        <w:t xml:space="preserve"> expiration date</w:t>
      </w:r>
      <w:r>
        <w:t xml:space="preserve"> beyond the default expiration date</w:t>
      </w:r>
      <w:r w:rsidRPr="00B57CCA">
        <w:t xml:space="preserve">, </w:t>
      </w:r>
      <w:r>
        <w:t xml:space="preserve">the override message </w:t>
      </w:r>
      <w:r w:rsidRPr="00B57CCA">
        <w:t xml:space="preserve">displays the </w:t>
      </w:r>
      <w:r>
        <w:t xml:space="preserve">original </w:t>
      </w:r>
      <w:r w:rsidRPr="00B57CCA">
        <w:t>expiration date.</w:t>
      </w:r>
    </w:p>
    <w:p w14:paraId="7EE73977" w14:textId="77777777" w:rsidR="002A21AE" w:rsidRDefault="002A21AE">
      <w:pPr>
        <w:pStyle w:val="ListBullet"/>
      </w:pPr>
      <w:r>
        <w:t xml:space="preserve">Due to the variations in supplies </w:t>
      </w:r>
      <w:r w:rsidR="00C249B1">
        <w:t xml:space="preserve">and equipment </w:t>
      </w:r>
      <w:r>
        <w:t>used for other modification types, VBECS does not require supply</w:t>
      </w:r>
      <w:r w:rsidR="00C249B1">
        <w:t xml:space="preserve"> or equipment</w:t>
      </w:r>
      <w:r>
        <w:t xml:space="preserve"> entry</w:t>
      </w:r>
      <w:r w:rsidR="00C249B1">
        <w:t>,</w:t>
      </w:r>
      <w:r>
        <w:t xml:space="preserve"> but allows entry of those data as part of the modification record.</w:t>
      </w:r>
    </w:p>
    <w:p w14:paraId="079481E5" w14:textId="77777777" w:rsidR="002A21AE" w:rsidRDefault="002A21AE">
      <w:pPr>
        <w:pStyle w:val="ListBullet"/>
      </w:pPr>
      <w:r>
        <w:t>During the modification options (Modify Units: Pool Units; Modify Units: Split a Unit; Modify Units), a user may select an assigned blood unit for modification and transfer one patient assignment to the target units created.</w:t>
      </w:r>
    </w:p>
    <w:p w14:paraId="6747E4D0" w14:textId="77777777" w:rsidR="000145FB" w:rsidRDefault="000145FB" w:rsidP="000145FB">
      <w:pPr>
        <w:pStyle w:val="ListBullet"/>
      </w:pPr>
      <w:r>
        <w:lastRenderedPageBreak/>
        <w:t xml:space="preserve">To reverse other modifications, remove the “modified” status from each unit through </w:t>
      </w:r>
      <w:r w:rsidR="00F078F4">
        <w:t xml:space="preserve">Supervisor Menu, </w:t>
      </w:r>
      <w:r>
        <w:t>Remove Final Status.</w:t>
      </w:r>
    </w:p>
    <w:p w14:paraId="4C21E95C" w14:textId="77777777" w:rsidR="003221B7" w:rsidRDefault="003221B7" w:rsidP="000145FB">
      <w:pPr>
        <w:pStyle w:val="ListBullet"/>
      </w:pPr>
      <w:r>
        <w:t>To edit the number of units in a</w:t>
      </w:r>
      <w:r w:rsidR="00892AB1">
        <w:t>n existing pool, use Add/Remove Units from a Pool.</w:t>
      </w:r>
    </w:p>
    <w:p w14:paraId="4C025A8B" w14:textId="165E6A67" w:rsidR="003F0E80" w:rsidRDefault="003F0E80" w:rsidP="000145FB">
      <w:pPr>
        <w:pStyle w:val="ListBullet"/>
      </w:pPr>
      <w:r>
        <w:t>The user can scan to select the target</w:t>
      </w:r>
      <w:r w:rsidR="00A032AC">
        <w:t>,</w:t>
      </w:r>
      <w:r w:rsidR="00110B97">
        <w:t xml:space="preserve"> </w:t>
      </w:r>
      <w:r>
        <w:t>but it will only present the product codes available as a target by VBECS</w:t>
      </w:r>
      <w:r w:rsidR="002F7E19">
        <w:t xml:space="preserve"> (See </w:t>
      </w:r>
      <w:r w:rsidR="00311F17">
        <w:t xml:space="preserve">FAQ </w:t>
      </w:r>
      <w:r w:rsidR="002F7E19">
        <w:t>Modification Target Not Available)</w:t>
      </w:r>
      <w:r>
        <w:t>.</w:t>
      </w:r>
    </w:p>
    <w:p w14:paraId="11586476" w14:textId="77777777" w:rsidR="00C61ED6" w:rsidRDefault="00C61ED6" w:rsidP="00C61ED6">
      <w:pPr>
        <w:pStyle w:val="ListBullet"/>
      </w:pPr>
      <w:r>
        <w:t>The user can change the expiration date and time prior to completing bl</w:t>
      </w:r>
      <w:r w:rsidR="00071143">
        <w:t>ood unit’s modification</w:t>
      </w:r>
      <w:r w:rsidR="003502C9">
        <w:t xml:space="preserve">. </w:t>
      </w:r>
      <w:r w:rsidR="003502C9" w:rsidRPr="003502C9">
        <w:rPr>
          <w:vanish/>
        </w:rPr>
        <w:t>Task 618684</w:t>
      </w:r>
    </w:p>
    <w:p w14:paraId="0712ADCE" w14:textId="77777777" w:rsidR="002A21AE" w:rsidRDefault="002A21AE">
      <w:pPr>
        <w:pStyle w:val="Heading4"/>
      </w:pPr>
      <w:bookmarkStart w:id="366" w:name="_Toc94349320"/>
      <w:r>
        <w:t>User Roles with Access to This Option</w:t>
      </w:r>
      <w:bookmarkEnd w:id="366"/>
    </w:p>
    <w:bookmarkEnd w:id="361"/>
    <w:p w14:paraId="72A26E62" w14:textId="77777777" w:rsidR="000D69CE" w:rsidRDefault="000D69CE" w:rsidP="000D69CE">
      <w:pPr>
        <w:pStyle w:val="Roles"/>
        <w:rPr>
          <w:snapToGrid w:val="0"/>
        </w:rPr>
      </w:pPr>
      <w:r>
        <w:t>All users</w:t>
      </w:r>
    </w:p>
    <w:p w14:paraId="5C71886E" w14:textId="77777777" w:rsidR="002A21AE" w:rsidRDefault="002A21AE">
      <w:pPr>
        <w:pStyle w:val="Heading4"/>
      </w:pPr>
      <w:bookmarkStart w:id="367" w:name="OLE_LINK27"/>
      <w:bookmarkStart w:id="368" w:name="OLE_LINK28"/>
      <w:r>
        <w:t>Modify Units</w:t>
      </w:r>
      <w:bookmarkEnd w:id="367"/>
      <w:bookmarkEnd w:id="368"/>
    </w:p>
    <w:p w14:paraId="0A8BD448" w14:textId="77777777" w:rsidR="002A21AE" w:rsidRDefault="002A21AE" w:rsidP="00FA7E65">
      <w:pPr>
        <w:pStyle w:val="BodyText"/>
      </w:pPr>
      <w:r>
        <w:t xml:space="preserve">The user selects the units to be modified. The user indicates the type of modification to be performed, then enters (preferably by scanning) the unit ID and product code. </w:t>
      </w:r>
    </w:p>
    <w:p w14:paraId="315B8C59" w14:textId="77777777" w:rsidR="002A21AE" w:rsidRDefault="002A21AE" w:rsidP="00FA7E65">
      <w:pPr>
        <w:pStyle w:val="BodyText"/>
      </w:pPr>
      <w:r>
        <w:t>VBECS displays a creation date and time (default: current date and time) for the target units, which the user may change to a date and time in the past and not before the login date and time of the original unit. VBECS calculates a new expiration date for the target unit (based on the creation date and time</w:t>
      </w:r>
      <w:r w:rsidR="00C5700C">
        <w:t>, modification type, method, and original unit product type</w:t>
      </w:r>
      <w:r w:rsidR="00B14F35">
        <w:t>)</w:t>
      </w:r>
      <w:r>
        <w:t xml:space="preserve"> and records the date and time the original unit was modified. Some modification procedures require materials in addition to the new container. VBECS requires the entry of a new container lot number and SCD wafer, if indicated. </w:t>
      </w:r>
    </w:p>
    <w:p w14:paraId="20240308" w14:textId="77777777" w:rsidR="002A21AE" w:rsidRDefault="00AA7C63" w:rsidP="00FA7E65">
      <w:pPr>
        <w:pStyle w:val="BodyText"/>
      </w:pPr>
      <w:r>
        <w:t>The modified target unit is now available for use.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6499FB9" w14:textId="77777777">
        <w:trPr>
          <w:tblHeader/>
        </w:trPr>
        <w:tc>
          <w:tcPr>
            <w:tcW w:w="3240" w:type="dxa"/>
            <w:shd w:val="pct30" w:color="auto" w:fill="FFFFFF"/>
            <w:vAlign w:val="bottom"/>
          </w:tcPr>
          <w:p w14:paraId="20951570" w14:textId="77777777" w:rsidR="002A21AE" w:rsidRDefault="002A21AE">
            <w:pPr>
              <w:pStyle w:val="TableText"/>
              <w:rPr>
                <w:b/>
              </w:rPr>
            </w:pPr>
            <w:bookmarkStart w:id="369" w:name="_Toc79478694"/>
            <w:bookmarkStart w:id="370" w:name="_Toc63680363"/>
            <w:r>
              <w:rPr>
                <w:b/>
              </w:rPr>
              <w:t>User Action</w:t>
            </w:r>
          </w:p>
        </w:tc>
        <w:tc>
          <w:tcPr>
            <w:tcW w:w="6120" w:type="dxa"/>
            <w:shd w:val="pct30" w:color="auto" w:fill="FFFFFF"/>
            <w:vAlign w:val="bottom"/>
          </w:tcPr>
          <w:p w14:paraId="126420C3" w14:textId="77777777" w:rsidR="002A21AE" w:rsidRDefault="002A21AE">
            <w:pPr>
              <w:pStyle w:val="TableText"/>
              <w:rPr>
                <w:b/>
              </w:rPr>
            </w:pPr>
            <w:r>
              <w:rPr>
                <w:b/>
              </w:rPr>
              <w:t>VBECS</w:t>
            </w:r>
          </w:p>
        </w:tc>
      </w:tr>
      <w:tr w:rsidR="002A21AE" w14:paraId="2316F43D" w14:textId="77777777">
        <w:tc>
          <w:tcPr>
            <w:tcW w:w="3240" w:type="dxa"/>
          </w:tcPr>
          <w:p w14:paraId="71814F99" w14:textId="77777777" w:rsidR="002A21AE" w:rsidRDefault="002A21AE" w:rsidP="002C6BD1">
            <w:pPr>
              <w:pStyle w:val="TableTextNumbers"/>
            </w:pPr>
            <w:r>
              <w:t xml:space="preserve">Select </w:t>
            </w:r>
            <w:r>
              <w:rPr>
                <w:b/>
              </w:rPr>
              <w:t>Blood Units</w:t>
            </w:r>
            <w:r>
              <w:t xml:space="preserve"> from the main menu. </w:t>
            </w:r>
          </w:p>
          <w:p w14:paraId="08D7A728" w14:textId="77777777" w:rsidR="002A21AE" w:rsidRDefault="002A21AE">
            <w:pPr>
              <w:pStyle w:val="TableTextNumbersContinued"/>
            </w:pPr>
          </w:p>
          <w:p w14:paraId="543465B3" w14:textId="77777777" w:rsidR="002A21AE" w:rsidRDefault="002A21AE">
            <w:pPr>
              <w:pStyle w:val="TableTextNumbersContinued"/>
            </w:pPr>
            <w:r>
              <w:t xml:space="preserve">Select </w:t>
            </w:r>
            <w:r>
              <w:rPr>
                <w:b/>
              </w:rPr>
              <w:t>Modify Units</w:t>
            </w:r>
            <w:r>
              <w:t>.</w:t>
            </w:r>
          </w:p>
        </w:tc>
        <w:tc>
          <w:tcPr>
            <w:tcW w:w="6120" w:type="dxa"/>
          </w:tcPr>
          <w:p w14:paraId="792E5865" w14:textId="77777777" w:rsidR="002A21AE" w:rsidRDefault="002A21AE">
            <w:pPr>
              <w:pStyle w:val="TableTextBullet"/>
            </w:pPr>
            <w:r>
              <w:t>Displays options for processing blood units.</w:t>
            </w:r>
          </w:p>
          <w:p w14:paraId="020208C4" w14:textId="77777777" w:rsidR="002A21AE" w:rsidRDefault="00792C64">
            <w:pPr>
              <w:pStyle w:val="TableTextBullet"/>
            </w:pPr>
            <w:r w:rsidRPr="00792C64">
              <w:rPr>
                <w:vanish/>
                <w:szCs w:val="18"/>
              </w:rPr>
              <w:t>BR_26.32</w:t>
            </w:r>
            <w:r w:rsidR="002B1949">
              <w:rPr>
                <w:vanish/>
                <w:szCs w:val="18"/>
              </w:rPr>
              <w:t xml:space="preserve"> </w:t>
            </w:r>
            <w:r w:rsidR="002A21AE">
              <w:t xml:space="preserve">Displays valid modification options </w:t>
            </w:r>
            <w:r w:rsidR="00794BA2">
              <w:t xml:space="preserve">configured </w:t>
            </w:r>
            <w:r w:rsidR="002A21AE">
              <w:t xml:space="preserve">for the division and allows the user to select an option. </w:t>
            </w:r>
          </w:p>
        </w:tc>
      </w:tr>
      <w:tr w:rsidR="00504CD6" w14:paraId="6AE2BFD7" w14:textId="77777777">
        <w:tc>
          <w:tcPr>
            <w:tcW w:w="3240" w:type="dxa"/>
          </w:tcPr>
          <w:p w14:paraId="42A48202" w14:textId="77777777" w:rsidR="00504CD6" w:rsidRDefault="00504CD6" w:rsidP="00C92722">
            <w:pPr>
              <w:pStyle w:val="TableTextNumbers"/>
            </w:pPr>
            <w:r>
              <w:t>Enter the date and time of the unit modification.</w:t>
            </w:r>
          </w:p>
          <w:p w14:paraId="3C1C59E6" w14:textId="77777777" w:rsidR="00504CD6" w:rsidRDefault="00504CD6" w:rsidP="007C035C">
            <w:pPr>
              <w:pStyle w:val="TableTextNumbersContinued"/>
            </w:pPr>
          </w:p>
          <w:p w14:paraId="26B197DC" w14:textId="77777777" w:rsidR="00504CD6" w:rsidRDefault="00504CD6" w:rsidP="007C035C">
            <w:pPr>
              <w:pStyle w:val="TableTextNumbersContinued"/>
            </w:pPr>
            <w:r>
              <w:t xml:space="preserve">Enter the </w:t>
            </w:r>
            <w:r w:rsidR="007C035C">
              <w:t>name of the user who modifies the unit.</w:t>
            </w:r>
          </w:p>
        </w:tc>
        <w:tc>
          <w:tcPr>
            <w:tcW w:w="6120" w:type="dxa"/>
          </w:tcPr>
          <w:p w14:paraId="061B9B75" w14:textId="77777777" w:rsidR="00504CD6" w:rsidRDefault="00504CD6" w:rsidP="00C92722">
            <w:pPr>
              <w:pStyle w:val="TableTextBullet"/>
            </w:pPr>
            <w:r>
              <w:t xml:space="preserve">Displays the default (current) date and time as the modification date and time. </w:t>
            </w:r>
          </w:p>
          <w:p w14:paraId="6C278462" w14:textId="77777777" w:rsidR="00504CD6" w:rsidRDefault="00504CD6" w:rsidP="00C92722">
            <w:pPr>
              <w:pStyle w:val="TableTextBullet"/>
            </w:pPr>
            <w:r>
              <w:t>Allows the user to change the date and time to a past date and time.</w:t>
            </w:r>
          </w:p>
          <w:p w14:paraId="430E9C3C" w14:textId="77777777" w:rsidR="00504CD6" w:rsidRDefault="00504CD6" w:rsidP="00C92722">
            <w:pPr>
              <w:pStyle w:val="TableText"/>
            </w:pPr>
          </w:p>
          <w:p w14:paraId="228C94B9" w14:textId="2C1D98A8" w:rsidR="00504CD6" w:rsidRDefault="00504CD6" w:rsidP="00C92722">
            <w:pPr>
              <w:pStyle w:val="TableText"/>
              <w:rPr>
                <w:b/>
                <w:bCs/>
                <w:szCs w:val="18"/>
              </w:rPr>
            </w:pPr>
            <w:r>
              <w:rPr>
                <w:b/>
                <w:bCs/>
                <w:szCs w:val="18"/>
              </w:rPr>
              <w:t>NOTES</w:t>
            </w:r>
          </w:p>
          <w:p w14:paraId="06323867" w14:textId="77777777" w:rsidR="00504CD6" w:rsidRDefault="00504CD6" w:rsidP="00C92722">
            <w:pPr>
              <w:pStyle w:val="NotesText"/>
            </w:pPr>
          </w:p>
          <w:p w14:paraId="4FAA8DED" w14:textId="77777777" w:rsidR="00504CD6" w:rsidRDefault="00504CD6" w:rsidP="00C92722">
            <w:pPr>
              <w:pStyle w:val="NotesText"/>
            </w:pPr>
            <w:r>
              <w:rPr>
                <w:rFonts w:cs="Arial"/>
                <w:vanish/>
              </w:rPr>
              <w:t xml:space="preserve">BR_26.01 </w:t>
            </w:r>
            <w:r>
              <w:t>The user may not enter a future date and time.</w:t>
            </w:r>
          </w:p>
          <w:p w14:paraId="5D139403" w14:textId="77777777" w:rsidR="000430E8" w:rsidRDefault="000430E8" w:rsidP="00C92722">
            <w:pPr>
              <w:pStyle w:val="NotesText"/>
            </w:pPr>
          </w:p>
          <w:p w14:paraId="53222BE7" w14:textId="77777777" w:rsidR="000430E8" w:rsidRDefault="000430E8" w:rsidP="000430E8">
            <w:pPr>
              <w:pStyle w:val="NotesText"/>
            </w:pPr>
            <w:r w:rsidRPr="004E2963">
              <w:rPr>
                <w:vanish/>
              </w:rPr>
              <w:t xml:space="preserve">BR_25.57 </w:t>
            </w:r>
            <w:r>
              <w:t>When a unit is modified, the processing fee is added to the cost of a modified unit target.</w:t>
            </w:r>
          </w:p>
          <w:p w14:paraId="60FB1D93" w14:textId="77777777" w:rsidR="000430E8" w:rsidRDefault="000430E8" w:rsidP="000430E8">
            <w:pPr>
              <w:pStyle w:val="NotesText"/>
            </w:pPr>
            <w:r>
              <w:t>A single unit modification has the processing fee added to the target unit.</w:t>
            </w:r>
          </w:p>
          <w:p w14:paraId="1CAA7662" w14:textId="77777777" w:rsidR="000430E8" w:rsidRDefault="000430E8" w:rsidP="000430E8">
            <w:pPr>
              <w:pStyle w:val="NotesText"/>
            </w:pPr>
            <w:r>
              <w:t>When split, the processing fee is divided and a portion is added to each target unit.</w:t>
            </w:r>
          </w:p>
          <w:p w14:paraId="528C493E" w14:textId="77777777" w:rsidR="000430E8" w:rsidRDefault="000430E8" w:rsidP="000430E8">
            <w:pPr>
              <w:pStyle w:val="NotesText"/>
            </w:pPr>
            <w:r>
              <w:t>When pooling, the processing fee is multiplied for each original unit included in the pool.</w:t>
            </w:r>
          </w:p>
        </w:tc>
      </w:tr>
      <w:tr w:rsidR="00504CD6" w14:paraId="4A4AA0B2" w14:textId="77777777" w:rsidTr="001A459B">
        <w:trPr>
          <w:cantSplit/>
          <w:hidden/>
        </w:trPr>
        <w:tc>
          <w:tcPr>
            <w:tcW w:w="3240" w:type="dxa"/>
          </w:tcPr>
          <w:p w14:paraId="17E67FA9" w14:textId="77777777" w:rsidR="00504CD6" w:rsidRDefault="00504CD6" w:rsidP="00C92722">
            <w:pPr>
              <w:pStyle w:val="TableTextNumbers"/>
              <w:rPr>
                <w:b/>
              </w:rPr>
            </w:pPr>
            <w:r>
              <w:rPr>
                <w:rFonts w:cs="Arial"/>
                <w:vanish/>
              </w:rPr>
              <w:lastRenderedPageBreak/>
              <w:t xml:space="preserve">BR_26.10 </w:t>
            </w:r>
            <w:r>
              <w:t>Click a radio button to select a modification type:</w:t>
            </w:r>
            <w:r>
              <w:rPr>
                <w:b/>
              </w:rPr>
              <w:t xml:space="preserve"> </w:t>
            </w:r>
          </w:p>
          <w:p w14:paraId="00BC473F" w14:textId="77777777" w:rsidR="00504CD6" w:rsidRDefault="00504CD6" w:rsidP="00C92722">
            <w:pPr>
              <w:pStyle w:val="TableTextNumbersBullet"/>
            </w:pPr>
            <w:r>
              <w:t xml:space="preserve">Thaw </w:t>
            </w:r>
          </w:p>
          <w:p w14:paraId="5205EEFD" w14:textId="77777777" w:rsidR="00504CD6" w:rsidRDefault="00504CD6" w:rsidP="00C92722">
            <w:pPr>
              <w:pStyle w:val="TableTextNumbersBullet"/>
            </w:pPr>
            <w:r>
              <w:t>Pool (See Modify Units: Pool Units.)</w:t>
            </w:r>
          </w:p>
          <w:p w14:paraId="48AE351B" w14:textId="77777777" w:rsidR="00504CD6" w:rsidRDefault="00504CD6" w:rsidP="00C92722">
            <w:pPr>
              <w:pStyle w:val="TableTextNumbersBullet"/>
            </w:pPr>
            <w:r>
              <w:t>Thaw/Pool Cryo (See Modify Units: Pool Units.)</w:t>
            </w:r>
          </w:p>
          <w:p w14:paraId="5E381FE7" w14:textId="77777777" w:rsidR="00504CD6" w:rsidRDefault="00504CD6" w:rsidP="00C92722">
            <w:pPr>
              <w:pStyle w:val="TableTextNumbersBullet"/>
            </w:pPr>
            <w:r>
              <w:t>Split/Divide (See Modify Units: Split a Unit.)</w:t>
            </w:r>
          </w:p>
          <w:p w14:paraId="2A2CCB9E" w14:textId="77777777" w:rsidR="00504CD6" w:rsidRDefault="00504CD6" w:rsidP="00C92722">
            <w:pPr>
              <w:pStyle w:val="TableTextNumbersBullet"/>
            </w:pPr>
            <w:r>
              <w:t>Irradiate</w:t>
            </w:r>
          </w:p>
          <w:p w14:paraId="138C390E" w14:textId="77777777" w:rsidR="00504CD6" w:rsidRDefault="00504CD6" w:rsidP="00C92722">
            <w:pPr>
              <w:pStyle w:val="TableTextNumbersBullet"/>
            </w:pPr>
            <w:r>
              <w:t>Leukoreduce</w:t>
            </w:r>
          </w:p>
          <w:p w14:paraId="05757A99" w14:textId="77777777" w:rsidR="00504CD6" w:rsidRDefault="00504CD6" w:rsidP="00C92722">
            <w:pPr>
              <w:pStyle w:val="TableTextNumbersBullet"/>
            </w:pPr>
            <w:r>
              <w:t>Volume Reduce</w:t>
            </w:r>
          </w:p>
          <w:p w14:paraId="06ECEF04" w14:textId="77777777" w:rsidR="00504CD6" w:rsidRDefault="00504CD6" w:rsidP="00C92722">
            <w:pPr>
              <w:pStyle w:val="TableTextNumbersBullet"/>
            </w:pPr>
            <w:r>
              <w:t>Wash</w:t>
            </w:r>
          </w:p>
          <w:p w14:paraId="4A9A1F1B" w14:textId="77777777" w:rsidR="00504CD6" w:rsidRDefault="00504CD6" w:rsidP="00C92722">
            <w:pPr>
              <w:pStyle w:val="TableTextNumbersBullet"/>
            </w:pPr>
            <w:r>
              <w:t xml:space="preserve">Rejuvenate </w:t>
            </w:r>
          </w:p>
          <w:p w14:paraId="15A8208F" w14:textId="77777777" w:rsidR="00504CD6" w:rsidRDefault="00504CD6" w:rsidP="00C92722">
            <w:pPr>
              <w:pStyle w:val="TableTextNumbersBullet"/>
            </w:pPr>
            <w:r>
              <w:t xml:space="preserve">Freeze </w:t>
            </w:r>
          </w:p>
          <w:p w14:paraId="6DF5C7F1" w14:textId="77777777" w:rsidR="00504CD6" w:rsidRDefault="00504CD6" w:rsidP="00C92722">
            <w:pPr>
              <w:pStyle w:val="TableTextNumbersBullet"/>
            </w:pPr>
            <w:r>
              <w:t>Deglycerolize</w:t>
            </w:r>
          </w:p>
          <w:p w14:paraId="09045906" w14:textId="77777777" w:rsidR="00504CD6" w:rsidRDefault="00504CD6" w:rsidP="00C92722">
            <w:pPr>
              <w:pStyle w:val="TableTextNumbersBullet"/>
            </w:pPr>
            <w:r>
              <w:t>Add/Remove Units from Pool (See Add/Remove Units from a Pool.)</w:t>
            </w:r>
          </w:p>
        </w:tc>
        <w:tc>
          <w:tcPr>
            <w:tcW w:w="6120" w:type="dxa"/>
          </w:tcPr>
          <w:p w14:paraId="06D7E106" w14:textId="77777777" w:rsidR="00504CD6" w:rsidRDefault="00504CD6" w:rsidP="00C92722">
            <w:pPr>
              <w:pStyle w:val="TableTextBullet"/>
            </w:pPr>
            <w:r>
              <w:t>Allows the user to enter data based on the modification type selected.</w:t>
            </w:r>
          </w:p>
          <w:p w14:paraId="22E04C3E" w14:textId="77777777" w:rsidR="00504CD6" w:rsidRDefault="00504CD6" w:rsidP="00C92722">
            <w:pPr>
              <w:pStyle w:val="TableTextBullet"/>
            </w:pPr>
            <w:r>
              <w:t>Allows the user to select a different processing technologist.</w:t>
            </w:r>
          </w:p>
          <w:p w14:paraId="11D9AEAF" w14:textId="77777777" w:rsidR="00504CD6" w:rsidRDefault="00504CD6" w:rsidP="00C92722">
            <w:pPr>
              <w:pStyle w:val="TableTextBullet"/>
            </w:pPr>
            <w:r>
              <w:t>Displays only modifications enabled for the division.</w:t>
            </w:r>
          </w:p>
          <w:p w14:paraId="670F1FFA" w14:textId="77777777" w:rsidR="00504CD6" w:rsidRDefault="00504CD6" w:rsidP="00C92722">
            <w:pPr>
              <w:pStyle w:val="NotesText"/>
            </w:pPr>
          </w:p>
        </w:tc>
      </w:tr>
      <w:tr w:rsidR="002A21AE" w14:paraId="5C882EB7" w14:textId="77777777">
        <w:tc>
          <w:tcPr>
            <w:tcW w:w="3240" w:type="dxa"/>
          </w:tcPr>
          <w:p w14:paraId="753BC02A" w14:textId="22158006" w:rsidR="0039783A" w:rsidRDefault="0039783A" w:rsidP="0007120F">
            <w:pPr>
              <w:pStyle w:val="TableTextNumbers"/>
            </w:pPr>
            <w:r>
              <w:t>Click a radio button to select a modification method, if required:</w:t>
            </w:r>
          </w:p>
          <w:p w14:paraId="2DDD3C93" w14:textId="0EA22877" w:rsidR="00B87C33" w:rsidRDefault="00B87C33" w:rsidP="00B87C33">
            <w:pPr>
              <w:pStyle w:val="TableTextNumbersBullet"/>
              <w:ind w:left="576" w:hanging="288"/>
            </w:pPr>
            <w:r>
              <w:t>Open</w:t>
            </w:r>
          </w:p>
          <w:p w14:paraId="7DF7210A" w14:textId="3035A87E" w:rsidR="00B87C33" w:rsidRDefault="00B87C33" w:rsidP="00B87C33">
            <w:pPr>
              <w:pStyle w:val="TableTextNumbersBullet"/>
              <w:ind w:left="576" w:hanging="288"/>
            </w:pPr>
            <w:r>
              <w:t>Closed</w:t>
            </w:r>
          </w:p>
          <w:p w14:paraId="158DAE56" w14:textId="016AEBDA" w:rsidR="00B87C33" w:rsidRDefault="00B87C33" w:rsidP="00B87C33">
            <w:pPr>
              <w:pStyle w:val="TableTextNumbersBullet"/>
              <w:ind w:left="576" w:hanging="288"/>
            </w:pPr>
            <w:r>
              <w:t>Sterile Connection Device</w:t>
            </w:r>
          </w:p>
          <w:p w14:paraId="7DE6BAAC" w14:textId="1BE88A9E" w:rsidR="00B87C33" w:rsidRDefault="00B87C33" w:rsidP="00B87C33">
            <w:pPr>
              <w:pStyle w:val="TableTextNumbersBullet"/>
              <w:numPr>
                <w:ilvl w:val="0"/>
                <w:numId w:val="0"/>
              </w:numPr>
              <w:ind w:left="288"/>
            </w:pPr>
            <w:r>
              <w:t>(</w:t>
            </w:r>
            <w:r>
              <w:fldChar w:fldCharType="begin"/>
            </w:r>
            <w:r>
              <w:instrText xml:space="preserve"> REF _Ref126649536 \h </w:instrText>
            </w:r>
            <w:r>
              <w:fldChar w:fldCharType="separate"/>
            </w:r>
            <w:r w:rsidR="004353ED">
              <w:t xml:space="preserve">Figure </w:t>
            </w:r>
            <w:r w:rsidR="004353ED">
              <w:rPr>
                <w:noProof/>
              </w:rPr>
              <w:t>88</w:t>
            </w:r>
            <w:r>
              <w:fldChar w:fldCharType="end"/>
            </w:r>
            <w:r>
              <w:t>)</w:t>
            </w:r>
          </w:p>
          <w:p w14:paraId="339F65A3" w14:textId="77777777" w:rsidR="0039783A" w:rsidRDefault="0039783A" w:rsidP="0039783A">
            <w:pPr>
              <w:pStyle w:val="TableTextNumbers"/>
              <w:numPr>
                <w:ilvl w:val="0"/>
                <w:numId w:val="0"/>
              </w:numPr>
            </w:pPr>
          </w:p>
          <w:p w14:paraId="6B923CE0" w14:textId="38BF6886" w:rsidR="00AA3DF4" w:rsidRDefault="0007120F" w:rsidP="00B87C33">
            <w:pPr>
              <w:pStyle w:val="TableTextNumbers"/>
              <w:numPr>
                <w:ilvl w:val="0"/>
                <w:numId w:val="0"/>
              </w:numPr>
              <w:ind w:left="288"/>
            </w:pPr>
            <w:r>
              <w:t xml:space="preserve">Click the </w:t>
            </w:r>
            <w:r w:rsidRPr="00764A64">
              <w:rPr>
                <w:b/>
              </w:rPr>
              <w:t>Weld Complete</w:t>
            </w:r>
            <w:r>
              <w:t xml:space="preserve"> or </w:t>
            </w:r>
            <w:r w:rsidRPr="00764A64">
              <w:rPr>
                <w:b/>
              </w:rPr>
              <w:t xml:space="preserve">Weld Incomplete </w:t>
            </w:r>
            <w:r w:rsidRPr="00BF2E41">
              <w:t>radio button</w:t>
            </w:r>
            <w:r>
              <w:t xml:space="preserve"> to indicate the integrity of the SCD weld, when indicated.</w:t>
            </w:r>
          </w:p>
        </w:tc>
        <w:tc>
          <w:tcPr>
            <w:tcW w:w="6120" w:type="dxa"/>
          </w:tcPr>
          <w:p w14:paraId="64363E41" w14:textId="77777777" w:rsidR="002A21AE" w:rsidRDefault="002A21AE">
            <w:pPr>
              <w:pStyle w:val="TableTextBullet"/>
            </w:pPr>
            <w:r>
              <w:t>Displays the selected method.</w:t>
            </w:r>
          </w:p>
          <w:p w14:paraId="0FFF3E93" w14:textId="77777777" w:rsidR="002A21AE" w:rsidRDefault="002A21AE" w:rsidP="0009404D">
            <w:pPr>
              <w:pStyle w:val="TableText"/>
            </w:pPr>
          </w:p>
          <w:p w14:paraId="4E1043A6" w14:textId="06762B3E" w:rsidR="002A21AE" w:rsidRDefault="002A21AE">
            <w:pPr>
              <w:pStyle w:val="TableText"/>
              <w:rPr>
                <w:b/>
                <w:bCs/>
                <w:szCs w:val="18"/>
              </w:rPr>
            </w:pPr>
            <w:r>
              <w:rPr>
                <w:b/>
                <w:bCs/>
                <w:szCs w:val="18"/>
              </w:rPr>
              <w:t>NOTES</w:t>
            </w:r>
          </w:p>
          <w:p w14:paraId="610024A0" w14:textId="77777777" w:rsidR="002A21AE" w:rsidRDefault="002A21AE">
            <w:pPr>
              <w:pStyle w:val="NotesText"/>
            </w:pPr>
          </w:p>
          <w:p w14:paraId="5D89E87D" w14:textId="77777777" w:rsidR="002A21AE" w:rsidRDefault="002A21AE">
            <w:pPr>
              <w:pStyle w:val="NotesText"/>
            </w:pPr>
            <w:r>
              <w:rPr>
                <w:rFonts w:cs="Arial"/>
                <w:vanish/>
              </w:rPr>
              <w:t xml:space="preserve">BR_26.22 </w:t>
            </w:r>
            <w:r>
              <w:t xml:space="preserve">VBECS stores the date and time for the original unit when it is modified. The </w:t>
            </w:r>
            <w:r w:rsidR="00600F6F">
              <w:t xml:space="preserve">modification </w:t>
            </w:r>
            <w:r>
              <w:t>date and time are also stored as the creation time for the target unit</w:t>
            </w:r>
            <w:r w:rsidR="00071143">
              <w:t xml:space="preserve"> for splits and pools only</w:t>
            </w:r>
            <w:r>
              <w:t>.</w:t>
            </w:r>
          </w:p>
          <w:p w14:paraId="0EA8DF80" w14:textId="77777777" w:rsidR="002A21AE" w:rsidRDefault="002A21AE">
            <w:pPr>
              <w:pStyle w:val="NotesText"/>
            </w:pPr>
          </w:p>
          <w:p w14:paraId="7F92EE0A" w14:textId="77777777" w:rsidR="002A21AE" w:rsidRDefault="002A21AE">
            <w:pPr>
              <w:pStyle w:val="NotesText"/>
            </w:pPr>
            <w:r>
              <w:rPr>
                <w:rFonts w:cs="Arial"/>
                <w:vanish/>
              </w:rPr>
              <w:t xml:space="preserve">BR_26.37 </w:t>
            </w:r>
            <w:r>
              <w:t>When the modification method is “Open” or “Sterile Connection Device (SCD),” the user must select a container supply type. When the modification method is “Closed,” VBECS does not allow the user to select a container supply type.</w:t>
            </w:r>
          </w:p>
          <w:p w14:paraId="42C2ECD8" w14:textId="77777777" w:rsidR="002A21AE" w:rsidRDefault="002A21AE">
            <w:pPr>
              <w:pStyle w:val="NotesText"/>
            </w:pPr>
          </w:p>
          <w:p w14:paraId="4B04F402" w14:textId="77777777" w:rsidR="002A21AE" w:rsidRDefault="002A21AE">
            <w:pPr>
              <w:pStyle w:val="NotesText"/>
            </w:pPr>
            <w:r>
              <w:rPr>
                <w:rFonts w:cs="Arial"/>
                <w:vanish/>
              </w:rPr>
              <w:t xml:space="preserve">BR_26.30 </w:t>
            </w:r>
            <w:r>
              <w:t>For an SCD modification method, the user must indicate the completeness of the weld</w:t>
            </w:r>
            <w:r w:rsidR="00725E6E">
              <w:t>, in accordance with local policy and procedures. VBECS defines weld status</w:t>
            </w:r>
            <w:r w:rsidR="007E2543">
              <w:t xml:space="preserve"> as</w:t>
            </w:r>
            <w:r>
              <w:t xml:space="preserve">: </w:t>
            </w:r>
          </w:p>
          <w:p w14:paraId="1811CCE4" w14:textId="77777777" w:rsidR="00396A5D" w:rsidRDefault="002A21AE" w:rsidP="00396A5D">
            <w:pPr>
              <w:pStyle w:val="NotesTextBullet"/>
            </w:pPr>
            <w:r>
              <w:t>Complete: the weld is complete and has no leakage or air bubbles.</w:t>
            </w:r>
          </w:p>
          <w:p w14:paraId="7DEE0A56" w14:textId="77777777" w:rsidR="002A21AE" w:rsidRDefault="002A21AE" w:rsidP="00396A5D">
            <w:pPr>
              <w:pStyle w:val="NotesTextBullet"/>
            </w:pPr>
            <w:r>
              <w:t>Incomplete: the weld has a leak or air bubbles are present.</w:t>
            </w:r>
            <w:r w:rsidR="00396A5D">
              <w:t xml:space="preserve"> </w:t>
            </w:r>
            <w:r>
              <w:t xml:space="preserve">VBECS changes the expiration date and time of the unit to those of an open system for that product type. VBECS stores this weld check with the </w:t>
            </w:r>
            <w:r w:rsidR="0051757B">
              <w:t>historic</w:t>
            </w:r>
            <w:r>
              <w:t xml:space="preserve"> record of the target unit created in the modification.</w:t>
            </w:r>
          </w:p>
          <w:p w14:paraId="300F7855" w14:textId="77777777" w:rsidR="0039034C" w:rsidRDefault="0039034C" w:rsidP="004E2963">
            <w:pPr>
              <w:pStyle w:val="NotesText"/>
            </w:pPr>
            <w:r>
              <w:t>The system store</w:t>
            </w:r>
            <w:r w:rsidR="004E2963">
              <w:t>s</w:t>
            </w:r>
            <w:r>
              <w:t xml:space="preserve"> this weld check with the longitudinal record of the target unit </w:t>
            </w:r>
            <w:r w:rsidR="004E2963">
              <w:t>created</w:t>
            </w:r>
            <w:r>
              <w:t>.</w:t>
            </w:r>
          </w:p>
        </w:tc>
      </w:tr>
      <w:tr w:rsidR="002A21AE" w14:paraId="2AFDE545" w14:textId="77777777">
        <w:tc>
          <w:tcPr>
            <w:tcW w:w="3240" w:type="dxa"/>
          </w:tcPr>
          <w:p w14:paraId="6F751A83" w14:textId="77777777" w:rsidR="002A21AE" w:rsidRDefault="00764A64">
            <w:pPr>
              <w:pStyle w:val="TableTextNumbers"/>
            </w:pPr>
            <w:r>
              <w:t xml:space="preserve">Click </w:t>
            </w:r>
            <w:r w:rsidRPr="00764A64">
              <w:rPr>
                <w:b/>
              </w:rPr>
              <w:t>OK</w:t>
            </w:r>
            <w:r>
              <w:t xml:space="preserve"> to a</w:t>
            </w:r>
            <w:r w:rsidR="002A21AE">
              <w:t xml:space="preserve">ccept </w:t>
            </w:r>
            <w:r w:rsidR="00403743">
              <w:t>the selected method</w:t>
            </w:r>
            <w:r>
              <w:t xml:space="preserve">, </w:t>
            </w:r>
            <w:r w:rsidR="002A21AE">
              <w:t xml:space="preserve">or edit </w:t>
            </w:r>
            <w:r>
              <w:t>it</w:t>
            </w:r>
            <w:r w:rsidR="002A21AE">
              <w:t>.</w:t>
            </w:r>
          </w:p>
        </w:tc>
        <w:tc>
          <w:tcPr>
            <w:tcW w:w="6120" w:type="dxa"/>
          </w:tcPr>
          <w:p w14:paraId="7A871357" w14:textId="77777777" w:rsidR="002A21AE" w:rsidRDefault="002A21AE">
            <w:pPr>
              <w:pStyle w:val="TableTextBullet"/>
            </w:pPr>
            <w:r>
              <w:t>Allows the user to scan, enter, or select units to modify.</w:t>
            </w:r>
          </w:p>
        </w:tc>
      </w:tr>
      <w:tr w:rsidR="002A21AE" w14:paraId="51C12A53" w14:textId="77777777" w:rsidTr="001A459B">
        <w:trPr>
          <w:cantSplit/>
        </w:trPr>
        <w:tc>
          <w:tcPr>
            <w:tcW w:w="3240" w:type="dxa"/>
          </w:tcPr>
          <w:p w14:paraId="69515ADC" w14:textId="77777777" w:rsidR="002A21AE" w:rsidRDefault="002A21AE">
            <w:pPr>
              <w:pStyle w:val="TableTextNumbers"/>
            </w:pPr>
            <w:r>
              <w:lastRenderedPageBreak/>
              <w:t>Scan, enter, or select the ID and product code of the unit to be modified.</w:t>
            </w:r>
          </w:p>
        </w:tc>
        <w:tc>
          <w:tcPr>
            <w:tcW w:w="6120" w:type="dxa"/>
          </w:tcPr>
          <w:p w14:paraId="71179F1B" w14:textId="77777777" w:rsidR="002A21AE" w:rsidRDefault="002A21AE">
            <w:pPr>
              <w:pStyle w:val="TableTextBullet"/>
            </w:pPr>
            <w:r>
              <w:t>Displays current data for the selected unit.</w:t>
            </w:r>
          </w:p>
          <w:p w14:paraId="323FD24F" w14:textId="77777777" w:rsidR="002A21AE" w:rsidRDefault="002A21AE">
            <w:pPr>
              <w:pStyle w:val="TableTextBullet"/>
            </w:pPr>
            <w:r>
              <w:t>Verifies the appropriateness of the selected unit based on system rules and truth tables and displays error and warning messages based on the modification type selected and the user’s security level.</w:t>
            </w:r>
          </w:p>
          <w:p w14:paraId="5573F225" w14:textId="77777777" w:rsidR="002A21AE" w:rsidRDefault="002A21AE">
            <w:pPr>
              <w:pStyle w:val="TableTextBullet"/>
            </w:pPr>
            <w:r>
              <w:t>Prompts the user to continue with the selected unit or select a new unit based on the data in the review window.</w:t>
            </w:r>
          </w:p>
          <w:p w14:paraId="5C1D604A" w14:textId="77777777" w:rsidR="002A21AE" w:rsidRDefault="002A21AE">
            <w:pPr>
              <w:pStyle w:val="TableText"/>
            </w:pPr>
          </w:p>
          <w:p w14:paraId="6E03D178" w14:textId="7E65A490" w:rsidR="002A21AE" w:rsidRDefault="002A21AE">
            <w:pPr>
              <w:pStyle w:val="TableText"/>
              <w:rPr>
                <w:b/>
                <w:bCs/>
                <w:szCs w:val="18"/>
              </w:rPr>
            </w:pPr>
            <w:r>
              <w:rPr>
                <w:b/>
                <w:bCs/>
                <w:szCs w:val="18"/>
              </w:rPr>
              <w:t>NOTES</w:t>
            </w:r>
          </w:p>
          <w:p w14:paraId="2387D996" w14:textId="77777777" w:rsidR="002A21AE" w:rsidRDefault="002A21AE">
            <w:pPr>
              <w:pStyle w:val="NotesText"/>
            </w:pPr>
          </w:p>
          <w:p w14:paraId="2DB32609" w14:textId="77777777" w:rsidR="002A21AE" w:rsidRDefault="002A21AE">
            <w:pPr>
              <w:pStyle w:val="NotesText"/>
            </w:pPr>
            <w:r>
              <w:rPr>
                <w:rFonts w:cs="Arial"/>
                <w:vanish/>
              </w:rPr>
              <w:t xml:space="preserve">BR_26.43 </w:t>
            </w:r>
            <w:r w:rsidR="0039034C" w:rsidRPr="00CF3A1F">
              <w:rPr>
                <w:rFonts w:cs="Arial"/>
              </w:rPr>
              <w:t>The modification</w:t>
            </w:r>
            <w:r w:rsidR="0039034C">
              <w:rPr>
                <w:rFonts w:cs="Arial"/>
              </w:rPr>
              <w:t xml:space="preserve"> types</w:t>
            </w:r>
            <w:r w:rsidR="0039034C" w:rsidRPr="00CF3A1F">
              <w:rPr>
                <w:rFonts w:cs="Arial"/>
              </w:rPr>
              <w:t xml:space="preserve"> are </w:t>
            </w:r>
            <w:r w:rsidR="0039034C">
              <w:rPr>
                <w:rFonts w:cs="Arial"/>
              </w:rPr>
              <w:t>presented in the</w:t>
            </w:r>
            <w:r w:rsidR="00F14DF3">
              <w:rPr>
                <w:rFonts w:cs="Arial"/>
              </w:rPr>
              <w:t xml:space="preserve"> sort order displayed</w:t>
            </w:r>
            <w:r w:rsidR="0039034C">
              <w:rPr>
                <w:rFonts w:cs="Arial"/>
              </w:rPr>
              <w:t xml:space="preserve"> followed by </w:t>
            </w:r>
            <w:r w:rsidR="0039034C" w:rsidRPr="009E0726">
              <w:rPr>
                <w:rFonts w:cs="Arial"/>
              </w:rPr>
              <w:t>Add/Remove Units from Pool</w:t>
            </w:r>
            <w:r w:rsidR="0039034C">
              <w:rPr>
                <w:rFonts w:cs="Arial"/>
              </w:rPr>
              <w:t>.</w:t>
            </w:r>
          </w:p>
          <w:p w14:paraId="4CC6F93E" w14:textId="77777777" w:rsidR="002A21AE" w:rsidRDefault="002A21AE">
            <w:pPr>
              <w:pStyle w:val="NotesText"/>
            </w:pPr>
          </w:p>
          <w:p w14:paraId="08548E6D" w14:textId="68BCAC63" w:rsidR="002A21AE" w:rsidRDefault="002A21AE">
            <w:pPr>
              <w:pStyle w:val="NotesText"/>
            </w:pPr>
            <w:r>
              <w:t xml:space="preserve">See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 xml:space="preserve">: </w:t>
            </w:r>
            <w:r w:rsidR="00771DBD">
              <w:fldChar w:fldCharType="begin"/>
            </w:r>
            <w:r w:rsidR="00771DBD">
              <w:instrText xml:space="preserve"> REF _Ref126485019 \h </w:instrText>
            </w:r>
            <w:r w:rsidR="00771DBD">
              <w:fldChar w:fldCharType="separate"/>
            </w:r>
            <w:r w:rsidR="004353ED">
              <w:t xml:space="preserve">Table </w:t>
            </w:r>
            <w:r w:rsidR="004353ED">
              <w:rPr>
                <w:noProof/>
              </w:rPr>
              <w:t>22</w:t>
            </w:r>
            <w:r w:rsidR="004353ED">
              <w:t xml:space="preserve">: </w:t>
            </w:r>
            <w:r w:rsidR="004353ED">
              <w:rPr>
                <w:vanish/>
              </w:rPr>
              <w:t xml:space="preserve">TT_26.02A </w:t>
            </w:r>
            <w:r w:rsidR="004353ED">
              <w:t>Allowable Product Modifications by Original Product Type</w:t>
            </w:r>
            <w:r w:rsidR="00771DBD">
              <w:fldChar w:fldCharType="end"/>
            </w:r>
            <w:r>
              <w:t>.</w:t>
            </w:r>
          </w:p>
          <w:p w14:paraId="2EE8A957" w14:textId="77777777" w:rsidR="002A21AE" w:rsidRDefault="002A21AE">
            <w:pPr>
              <w:pStyle w:val="NotesText"/>
            </w:pPr>
          </w:p>
          <w:p w14:paraId="2EB53BDC" w14:textId="77777777" w:rsidR="00B00DEF" w:rsidRDefault="00B00DEF" w:rsidP="00B00DEF">
            <w:pPr>
              <w:pStyle w:val="NotesText"/>
            </w:pPr>
            <w:r>
              <w:rPr>
                <w:rFonts w:cs="Arial"/>
                <w:vanish/>
              </w:rPr>
              <w:t xml:space="preserve">BR_5.03 </w:t>
            </w:r>
            <w:r>
              <w:t xml:space="preserve">The user may select only active units and those not in an inactive or final status. </w:t>
            </w:r>
          </w:p>
          <w:p w14:paraId="79C624CF" w14:textId="77777777" w:rsidR="002A21AE" w:rsidRDefault="002A21AE">
            <w:pPr>
              <w:pStyle w:val="NotesText"/>
            </w:pPr>
          </w:p>
          <w:p w14:paraId="417F1AC0" w14:textId="77777777" w:rsidR="002A21AE" w:rsidRDefault="002A21AE">
            <w:pPr>
              <w:pStyle w:val="NotesText"/>
            </w:pPr>
            <w:r w:rsidRPr="00636659">
              <w:rPr>
                <w:rFonts w:cs="Arial"/>
                <w:vanish/>
                <w:color w:val="0000FF"/>
              </w:rPr>
              <w:t>BR_26.33</w:t>
            </w:r>
            <w:r>
              <w:rPr>
                <w:rFonts w:cs="Arial"/>
                <w:vanish/>
              </w:rPr>
              <w:t xml:space="preserve"> </w:t>
            </w:r>
            <w:r>
              <w:t>When the user selects a status other than “limited,” “available,” “assigned,” or “crossmatched” for an original unit, VBECS warns the user. There is no override.</w:t>
            </w:r>
          </w:p>
          <w:p w14:paraId="443213D6" w14:textId="77777777" w:rsidR="002A21AE" w:rsidRDefault="002A21AE">
            <w:pPr>
              <w:pStyle w:val="NotesText"/>
            </w:pPr>
          </w:p>
          <w:p w14:paraId="502FDBA6" w14:textId="0DBDBAB0" w:rsidR="002A21AE" w:rsidRDefault="002A21AE">
            <w:pPr>
              <w:pStyle w:val="NotesText"/>
            </w:pPr>
            <w:r w:rsidRPr="00FD2A6F">
              <w:rPr>
                <w:rFonts w:cs="Arial"/>
                <w:vanish/>
                <w:color w:val="0000FF"/>
              </w:rPr>
              <w:t>BR_26.36</w:t>
            </w:r>
            <w:r>
              <w:rPr>
                <w:rFonts w:cs="Arial"/>
                <w:vanish/>
              </w:rPr>
              <w:t xml:space="preserve"> </w:t>
            </w:r>
            <w:r>
              <w:t>When the selected unit is not appropriate for the modification type selected, VBECS warns the user and instructs him to verify the selected unit and modification type. There is no override. When the unit is expired or quarantined, VBECS displays an error message.</w:t>
            </w:r>
            <w:r w:rsidR="00643699">
              <w:t xml:space="preserve"> </w:t>
            </w:r>
            <w:r w:rsidR="00643699">
              <w:rPr>
                <w:rFonts w:cs="Arial"/>
                <w:szCs w:val="18"/>
              </w:rPr>
              <w:t>When multiple selected units that individually may be pooled or thaw/pooled, but together do not have a target product, the system does not display this warning message.</w:t>
            </w:r>
            <w:r w:rsidR="001B5B84">
              <w:rPr>
                <w:rFonts w:cs="Arial"/>
                <w:szCs w:val="18"/>
              </w:rPr>
              <w:t xml:space="preserve"> </w:t>
            </w:r>
            <w:r w:rsidR="00DE7D81" w:rsidRPr="00DE7D81">
              <w:rPr>
                <w:rFonts w:cs="Arial"/>
                <w:vanish/>
                <w:szCs w:val="18"/>
              </w:rPr>
              <w:t>Task 733924</w:t>
            </w:r>
          </w:p>
          <w:p w14:paraId="570A4027" w14:textId="77777777" w:rsidR="002A21AE" w:rsidRDefault="002A21AE">
            <w:pPr>
              <w:pStyle w:val="NotesText"/>
            </w:pPr>
          </w:p>
          <w:p w14:paraId="3F4BF1A2" w14:textId="77777777" w:rsidR="002A21AE" w:rsidRDefault="002A21AE">
            <w:pPr>
              <w:pStyle w:val="NotesText"/>
            </w:pPr>
            <w:r>
              <w:rPr>
                <w:rFonts w:cs="Arial"/>
                <w:vanish/>
              </w:rPr>
              <w:t xml:space="preserve">BR_26.09 </w:t>
            </w:r>
            <w:r>
              <w:t>The user may select units containing red blood cells chosen for rejuvenation within three full days past their labeled expiration date. (For example, when a unit’s expiration date is the current day, VBECS counts this day as “day 0,” the next day as “day 1,” etc. The last acceptable date and time for selection is day 3 at 23:59). After this three-day period, VBECS considers the unit to be expired.</w:t>
            </w:r>
          </w:p>
          <w:p w14:paraId="5F81A90B" w14:textId="77777777" w:rsidR="002A21AE" w:rsidRDefault="002A21AE">
            <w:pPr>
              <w:pStyle w:val="NotesText"/>
            </w:pPr>
          </w:p>
          <w:p w14:paraId="0C3EF8FF" w14:textId="77777777" w:rsidR="002A21AE" w:rsidRDefault="002A21AE">
            <w:pPr>
              <w:pStyle w:val="NotesText"/>
            </w:pPr>
            <w:r>
              <w:rPr>
                <w:rFonts w:cs="Arial"/>
                <w:vanish/>
              </w:rPr>
              <w:t xml:space="preserve">BR_26.41 </w:t>
            </w:r>
            <w:r>
              <w:t>When the modification type is “volume reduce,” VBECS records the discarded plasma volume on the unit record. Otherwise, the user may not edit the Discarded Plasma Volume field. The discarded plasma volume may not be “0” (zero).</w:t>
            </w:r>
          </w:p>
          <w:p w14:paraId="66E2F4A0" w14:textId="77777777" w:rsidR="008847B8" w:rsidRDefault="008847B8">
            <w:pPr>
              <w:pStyle w:val="NotesText"/>
            </w:pPr>
          </w:p>
          <w:p w14:paraId="2BCF7B7D" w14:textId="744B9357" w:rsidR="002A21AE" w:rsidRDefault="002A21AE" w:rsidP="006A576D">
            <w:pPr>
              <w:pStyle w:val="NotesText"/>
            </w:pPr>
            <w:r w:rsidRPr="00896F17">
              <w:rPr>
                <w:rStyle w:val="BullhornChar"/>
              </w:rPr>
              <w:t></w:t>
            </w:r>
            <w:r w:rsidR="00C51C45" w:rsidRPr="00C51C45">
              <w:t xml:space="preserve"> </w:t>
            </w:r>
            <w:r>
              <w:t xml:space="preserve">See </w:t>
            </w:r>
            <w:r w:rsidR="006A576D">
              <w:fldChar w:fldCharType="begin"/>
            </w:r>
            <w:r w:rsidR="006A576D">
              <w:instrText xml:space="preserve"> REF _Ref509898996 \h </w:instrText>
            </w:r>
            <w:r w:rsidR="006A576D">
              <w:fldChar w:fldCharType="separate"/>
            </w:r>
            <w:r w:rsidR="004353ED">
              <w:t xml:space="preserve">Table </w:t>
            </w:r>
            <w:r w:rsidR="004353ED">
              <w:rPr>
                <w:noProof/>
              </w:rPr>
              <w:t>5</w:t>
            </w:r>
            <w:r w:rsidR="006A576D">
              <w:fldChar w:fldCharType="end"/>
            </w:r>
            <w:r w:rsidR="006A576D">
              <w:t xml:space="preserve"> </w:t>
            </w:r>
            <w:r>
              <w:t>for alerts that may occur during this option.</w:t>
            </w:r>
          </w:p>
        </w:tc>
      </w:tr>
      <w:tr w:rsidR="002A21AE" w14:paraId="3CC50B97" w14:textId="77777777">
        <w:tc>
          <w:tcPr>
            <w:tcW w:w="3240" w:type="dxa"/>
          </w:tcPr>
          <w:p w14:paraId="7A8189AA" w14:textId="77777777" w:rsidR="002A21AE" w:rsidRDefault="00764A64">
            <w:pPr>
              <w:pStyle w:val="TableTextNumbers"/>
            </w:pPr>
            <w:r>
              <w:t xml:space="preserve">Click </w:t>
            </w:r>
            <w:r w:rsidRPr="00764A64">
              <w:rPr>
                <w:b/>
              </w:rPr>
              <w:t>OK</w:t>
            </w:r>
            <w:r>
              <w:t xml:space="preserve"> to accept </w:t>
            </w:r>
            <w:r w:rsidR="002A21AE">
              <w:t xml:space="preserve">the unit for modification. </w:t>
            </w:r>
          </w:p>
        </w:tc>
        <w:tc>
          <w:tcPr>
            <w:tcW w:w="6120" w:type="dxa"/>
          </w:tcPr>
          <w:p w14:paraId="568B44F4" w14:textId="77777777" w:rsidR="002A21AE" w:rsidRDefault="002A21AE">
            <w:pPr>
              <w:pStyle w:val="TableTextBullet"/>
            </w:pPr>
            <w:r>
              <w:t xml:space="preserve">When the modification type is “thaw” or “irradiate,” </w:t>
            </w:r>
            <w:r w:rsidR="00971715">
              <w:t>allows</w:t>
            </w:r>
            <w:r>
              <w:t xml:space="preserve"> the user to select additional units to process or to continue processing the selected units. Otherwise, go to Step 8.</w:t>
            </w:r>
          </w:p>
          <w:p w14:paraId="37E12AC5" w14:textId="77777777" w:rsidR="002A21AE" w:rsidRDefault="002A21AE">
            <w:pPr>
              <w:pStyle w:val="TableText"/>
            </w:pPr>
          </w:p>
          <w:p w14:paraId="54329125" w14:textId="1C672D9D" w:rsidR="002A21AE" w:rsidRDefault="002A21AE">
            <w:pPr>
              <w:pStyle w:val="TableText"/>
              <w:rPr>
                <w:b/>
                <w:bCs/>
                <w:szCs w:val="18"/>
              </w:rPr>
            </w:pPr>
            <w:r>
              <w:rPr>
                <w:b/>
                <w:bCs/>
                <w:szCs w:val="18"/>
              </w:rPr>
              <w:t>NOTES</w:t>
            </w:r>
          </w:p>
          <w:p w14:paraId="32F72085" w14:textId="77777777" w:rsidR="002A21AE" w:rsidRDefault="002A21AE">
            <w:pPr>
              <w:pStyle w:val="NotesText"/>
            </w:pPr>
          </w:p>
          <w:p w14:paraId="4DA74D41" w14:textId="77777777" w:rsidR="002A21AE" w:rsidRDefault="002A21AE">
            <w:pPr>
              <w:pStyle w:val="NotesText"/>
            </w:pPr>
            <w:r>
              <w:rPr>
                <w:rFonts w:cs="Arial"/>
                <w:vanish/>
              </w:rPr>
              <w:t xml:space="preserve">BR_26.02 </w:t>
            </w:r>
            <w:r>
              <w:t>The user may process multiple products in a batch when the units are thawed or irradiated. The creation date and time apply to all units in the batch.</w:t>
            </w:r>
          </w:p>
          <w:p w14:paraId="264BA6A2" w14:textId="77777777" w:rsidR="003C1A05" w:rsidRDefault="003C1A05">
            <w:pPr>
              <w:pStyle w:val="NotesText"/>
            </w:pPr>
          </w:p>
          <w:p w14:paraId="3F445D88" w14:textId="77777777" w:rsidR="003C1A05" w:rsidRDefault="003C1A05" w:rsidP="003C1A05">
            <w:pPr>
              <w:pStyle w:val="NotesText"/>
            </w:pPr>
            <w:r w:rsidRPr="003C1A05">
              <w:rPr>
                <w:vanish/>
              </w:rPr>
              <w:lastRenderedPageBreak/>
              <w:t xml:space="preserve">BR_29.04 </w:t>
            </w:r>
            <w:r w:rsidR="000A126F">
              <w:t>VBECS</w:t>
            </w:r>
            <w:r>
              <w:t xml:space="preserve"> record</w:t>
            </w:r>
            <w:r w:rsidR="000A126F">
              <w:t xml:space="preserve">s the </w:t>
            </w:r>
            <w:r>
              <w:t>codes/costs assigned or unassigned with a date/time stam</w:t>
            </w:r>
            <w:r w:rsidR="000A126F">
              <w:t xml:space="preserve">p and the user ID and </w:t>
            </w:r>
            <w:r>
              <w:t>user name on any reports of the person creating the update.</w:t>
            </w:r>
          </w:p>
        </w:tc>
      </w:tr>
      <w:tr w:rsidR="002A21AE" w14:paraId="4A948136" w14:textId="77777777">
        <w:tc>
          <w:tcPr>
            <w:tcW w:w="3240" w:type="dxa"/>
          </w:tcPr>
          <w:p w14:paraId="287B3CC7" w14:textId="244413DB" w:rsidR="002A21AE" w:rsidRDefault="00F437F8" w:rsidP="00751755">
            <w:pPr>
              <w:pStyle w:val="TableTextNumbers"/>
            </w:pPr>
            <w:r>
              <w:lastRenderedPageBreak/>
              <w:t xml:space="preserve">Click the </w:t>
            </w:r>
            <w:r w:rsidRPr="00751755">
              <w:rPr>
                <w:b/>
              </w:rPr>
              <w:t>Container</w:t>
            </w:r>
            <w:r>
              <w:t xml:space="preserve">, </w:t>
            </w:r>
            <w:r w:rsidRPr="00751755">
              <w:rPr>
                <w:b/>
              </w:rPr>
              <w:t>Supplies</w:t>
            </w:r>
            <w:r w:rsidRPr="007B7DEC">
              <w:t>,</w:t>
            </w:r>
            <w:r w:rsidR="0023261D">
              <w:t xml:space="preserve"> </w:t>
            </w:r>
            <w:r w:rsidRPr="00751755">
              <w:rPr>
                <w:b/>
              </w:rPr>
              <w:t>Equipment</w:t>
            </w:r>
            <w:r w:rsidRPr="007B7DEC">
              <w:t>, or</w:t>
            </w:r>
            <w:r w:rsidRPr="00751755">
              <w:rPr>
                <w:b/>
              </w:rPr>
              <w:t xml:space="preserve"> SCD Wafer </w:t>
            </w:r>
            <w:r w:rsidRPr="00CC3C89">
              <w:t>tab</w:t>
            </w:r>
            <w:r w:rsidR="00764A64" w:rsidRPr="00CC3C89">
              <w:t xml:space="preserve"> </w:t>
            </w:r>
            <w:r w:rsidR="00764A64">
              <w:t>and enter</w:t>
            </w:r>
            <w:r w:rsidR="002A21AE">
              <w:t xml:space="preserve"> </w:t>
            </w:r>
            <w:r w:rsidR="00764A64">
              <w:t>an</w:t>
            </w:r>
            <w:r w:rsidR="002A21AE">
              <w:t>other supply and</w:t>
            </w:r>
            <w:r w:rsidR="00764A64">
              <w:t>/</w:t>
            </w:r>
            <w:r w:rsidR="002A21AE">
              <w:t>or equipment lot or ID number</w:t>
            </w:r>
            <w:r w:rsidR="00443BD5">
              <w:t xml:space="preserve"> (</w:t>
            </w:r>
            <w:r w:rsidR="00443BD5">
              <w:fldChar w:fldCharType="begin"/>
            </w:r>
            <w:r w:rsidR="00443BD5">
              <w:instrText xml:space="preserve"> REF _Ref126650409 \h </w:instrText>
            </w:r>
            <w:r w:rsidR="00443BD5">
              <w:fldChar w:fldCharType="separate"/>
            </w:r>
            <w:r w:rsidR="004353ED">
              <w:t xml:space="preserve">Figure </w:t>
            </w:r>
            <w:r w:rsidR="004353ED">
              <w:rPr>
                <w:noProof/>
              </w:rPr>
              <w:t>89</w:t>
            </w:r>
            <w:r w:rsidR="00443BD5">
              <w:fldChar w:fldCharType="end"/>
            </w:r>
            <w:r w:rsidR="00443BD5">
              <w:t>)</w:t>
            </w:r>
            <w:r w:rsidR="002A21AE">
              <w:t xml:space="preserve">. </w:t>
            </w:r>
          </w:p>
          <w:p w14:paraId="1AD7712B" w14:textId="77777777" w:rsidR="002A21AE" w:rsidRDefault="002A21AE">
            <w:pPr>
              <w:pStyle w:val="TableTextNumbers"/>
              <w:numPr>
                <w:ilvl w:val="0"/>
                <w:numId w:val="0"/>
              </w:numPr>
            </w:pPr>
          </w:p>
        </w:tc>
        <w:tc>
          <w:tcPr>
            <w:tcW w:w="6120" w:type="dxa"/>
          </w:tcPr>
          <w:p w14:paraId="561D2E0D" w14:textId="77777777" w:rsidR="002A21AE" w:rsidRDefault="002A21AE">
            <w:pPr>
              <w:pStyle w:val="TableTextBullet"/>
            </w:pPr>
            <w:r>
              <w:t>Calculates and displays a default expiration date and time of the target unit based on rules specific to the original blood product, the modification type, and processing conditions (open, closed); prompts the user to accept the date and time; and allows the user to edit them.</w:t>
            </w:r>
          </w:p>
          <w:p w14:paraId="387C81BD" w14:textId="77777777" w:rsidR="002A21AE" w:rsidRDefault="002A21AE">
            <w:pPr>
              <w:pStyle w:val="TableText"/>
            </w:pPr>
          </w:p>
          <w:p w14:paraId="1B8A0169" w14:textId="3D4D98E8" w:rsidR="002A21AE" w:rsidRDefault="002A21AE">
            <w:pPr>
              <w:pStyle w:val="TableText"/>
              <w:rPr>
                <w:b/>
                <w:bCs/>
                <w:szCs w:val="18"/>
              </w:rPr>
            </w:pPr>
            <w:r>
              <w:rPr>
                <w:b/>
                <w:bCs/>
                <w:szCs w:val="18"/>
              </w:rPr>
              <w:t>NOTES</w:t>
            </w:r>
          </w:p>
          <w:p w14:paraId="1864D324" w14:textId="77777777" w:rsidR="002A21AE" w:rsidRDefault="002A21AE">
            <w:pPr>
              <w:pStyle w:val="NotesText"/>
            </w:pPr>
          </w:p>
          <w:p w14:paraId="6F04D62E" w14:textId="77777777" w:rsidR="002A21AE" w:rsidRDefault="002A21AE">
            <w:pPr>
              <w:pStyle w:val="NotesText"/>
            </w:pPr>
            <w:r>
              <w:rPr>
                <w:rFonts w:cs="Arial"/>
                <w:vanish/>
              </w:rPr>
              <w:t xml:space="preserve">BR_26.31 </w:t>
            </w:r>
            <w:r>
              <w:t xml:space="preserve">VBECS maintains lot and ID numbers entered, the new container lot number in the unit modification record, and the </w:t>
            </w:r>
            <w:r w:rsidR="0051757B">
              <w:t>historic</w:t>
            </w:r>
            <w:r>
              <w:t xml:space="preserve"> record of the target unit.</w:t>
            </w:r>
          </w:p>
          <w:p w14:paraId="27999534" w14:textId="77777777" w:rsidR="002A21AE" w:rsidRDefault="002A21AE">
            <w:pPr>
              <w:pStyle w:val="NotesText"/>
            </w:pPr>
          </w:p>
          <w:p w14:paraId="49FDB459" w14:textId="77777777" w:rsidR="002A21AE" w:rsidRDefault="002A21AE">
            <w:pPr>
              <w:pStyle w:val="NotesText"/>
            </w:pPr>
            <w:r w:rsidRPr="009174D5">
              <w:rPr>
                <w:rFonts w:cs="Arial"/>
                <w:vanish/>
              </w:rPr>
              <w:t>BR_26.45</w:t>
            </w:r>
            <w:r>
              <w:rPr>
                <w:rFonts w:cs="Arial"/>
                <w:vanish/>
              </w:rPr>
              <w:t xml:space="preserve"> </w:t>
            </w:r>
            <w:r>
              <w:t>VBECS checks the inventory system for the supply name, lot numbers, expiration date, and a quantity greater than “0” (zero). VBECS does not allow the user to select supplies with an “unsatisfactory” value in the Inspection field. When the user enters an unsatisfactory supply lot number, VBECS warns the user. The user must select a different supply item.</w:t>
            </w:r>
          </w:p>
          <w:p w14:paraId="24FC869C" w14:textId="77777777" w:rsidR="002A21AE" w:rsidRDefault="002A21AE">
            <w:pPr>
              <w:pStyle w:val="NotesText"/>
            </w:pPr>
          </w:p>
          <w:p w14:paraId="06C4E511" w14:textId="5FDA31B3" w:rsidR="002A21AE" w:rsidRDefault="00C51C45" w:rsidP="006A576D">
            <w:pPr>
              <w:pStyle w:val="NotesText"/>
            </w:pPr>
            <w:r w:rsidRPr="00896F17">
              <w:rPr>
                <w:rStyle w:val="BullhornChar"/>
              </w:rPr>
              <w:t></w:t>
            </w:r>
            <w:r w:rsidRPr="00C51C45">
              <w:t xml:space="preserve"> </w:t>
            </w:r>
            <w:r>
              <w:t>See</w:t>
            </w:r>
            <w:r w:rsidR="002A21AE">
              <w:t xml:space="preserve"> </w:t>
            </w:r>
            <w:r w:rsidR="006A576D">
              <w:fldChar w:fldCharType="begin"/>
            </w:r>
            <w:r w:rsidR="006A576D">
              <w:instrText xml:space="preserve"> REF _Ref509898996 \h </w:instrText>
            </w:r>
            <w:r w:rsidR="006A576D">
              <w:fldChar w:fldCharType="separate"/>
            </w:r>
            <w:r w:rsidR="004353ED">
              <w:t xml:space="preserve">Table </w:t>
            </w:r>
            <w:r w:rsidR="004353ED">
              <w:rPr>
                <w:noProof/>
              </w:rPr>
              <w:t>5</w:t>
            </w:r>
            <w:r w:rsidR="006A576D">
              <w:fldChar w:fldCharType="end"/>
            </w:r>
            <w:r w:rsidR="006A576D">
              <w:t xml:space="preserve"> </w:t>
            </w:r>
            <w:r w:rsidR="002A21AE">
              <w:t>for alerts that may occur during this option.</w:t>
            </w:r>
          </w:p>
        </w:tc>
      </w:tr>
      <w:tr w:rsidR="002A21AE" w14:paraId="70C6A68C" w14:textId="77777777">
        <w:tc>
          <w:tcPr>
            <w:tcW w:w="3240" w:type="dxa"/>
          </w:tcPr>
          <w:p w14:paraId="3E2DCBC2" w14:textId="77777777" w:rsidR="002A21AE" w:rsidRDefault="002A21AE">
            <w:pPr>
              <w:pStyle w:val="TableTextNumbers"/>
            </w:pPr>
            <w:r>
              <w:t>Select</w:t>
            </w:r>
            <w:r w:rsidR="00764A64">
              <w:t xml:space="preserve"> a target product type from the drop-down list in the Product field.</w:t>
            </w:r>
          </w:p>
        </w:tc>
        <w:tc>
          <w:tcPr>
            <w:tcW w:w="6120" w:type="dxa"/>
          </w:tcPr>
          <w:p w14:paraId="7DEEB4D4" w14:textId="77777777" w:rsidR="002A21AE" w:rsidRDefault="002A21AE">
            <w:pPr>
              <w:pStyle w:val="TableTextBullet"/>
            </w:pPr>
            <w:r>
              <w:t xml:space="preserve">Displays target component types for the modification, conditions selected, and the original unit product type, and allows the user to select a single </w:t>
            </w:r>
            <w:r w:rsidR="00AF09D3">
              <w:t xml:space="preserve">product </w:t>
            </w:r>
            <w:r>
              <w:t>type.</w:t>
            </w:r>
          </w:p>
          <w:p w14:paraId="499C23AC" w14:textId="77777777" w:rsidR="002A21AE" w:rsidRDefault="002A21AE">
            <w:pPr>
              <w:pStyle w:val="TableTextBullet"/>
            </w:pPr>
            <w:r>
              <w:t>Verifies that an active target component was selected and warns the user.</w:t>
            </w:r>
          </w:p>
          <w:p w14:paraId="061164AA" w14:textId="77777777" w:rsidR="002A21AE" w:rsidRDefault="002A21AE">
            <w:pPr>
              <w:pStyle w:val="TableTextBullet"/>
            </w:pPr>
            <w:r>
              <w:t>Allows the user to enter lot and ID numbers (with auto-completion) or select multiple items from the supply and equipment lists.</w:t>
            </w:r>
          </w:p>
          <w:p w14:paraId="644F85CD" w14:textId="77777777" w:rsidR="002A21AE" w:rsidRDefault="002A21AE">
            <w:pPr>
              <w:pStyle w:val="TableTextBullet"/>
            </w:pPr>
            <w:r>
              <w:t>Warns that the target unit is not active and allows the user to activate the target component.</w:t>
            </w:r>
          </w:p>
          <w:p w14:paraId="59CD0494" w14:textId="77777777" w:rsidR="002A21AE" w:rsidRDefault="002A21AE">
            <w:pPr>
              <w:pStyle w:val="TableText"/>
            </w:pPr>
          </w:p>
          <w:p w14:paraId="29358C51" w14:textId="64EFD0F3" w:rsidR="002A21AE" w:rsidRDefault="002A21AE">
            <w:pPr>
              <w:pStyle w:val="TableText"/>
              <w:rPr>
                <w:b/>
                <w:bCs/>
                <w:szCs w:val="18"/>
              </w:rPr>
            </w:pPr>
            <w:r>
              <w:rPr>
                <w:b/>
                <w:bCs/>
                <w:szCs w:val="18"/>
              </w:rPr>
              <w:t>NOTES</w:t>
            </w:r>
          </w:p>
          <w:p w14:paraId="0654BE25" w14:textId="77777777" w:rsidR="002A21AE" w:rsidRDefault="002A21AE">
            <w:pPr>
              <w:pStyle w:val="NotesText"/>
            </w:pPr>
          </w:p>
          <w:p w14:paraId="7C0F4630" w14:textId="672E85CF" w:rsidR="002A21AE" w:rsidRDefault="002A21AE">
            <w:pPr>
              <w:pStyle w:val="NotesText"/>
            </w:pPr>
            <w:r>
              <w:rPr>
                <w:rFonts w:cs="Arial"/>
                <w:vanish/>
              </w:rPr>
              <w:t xml:space="preserve">BR_26.13 </w:t>
            </w:r>
            <w:r>
              <w:t xml:space="preserve">The user must select a modification method (open, closed, Sterile Connection Device) for modification types, as described in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 xml:space="preserve">: </w:t>
            </w:r>
            <w:r w:rsidR="00771DBD">
              <w:fldChar w:fldCharType="begin"/>
            </w:r>
            <w:r w:rsidR="00771DBD">
              <w:instrText xml:space="preserve"> REF _Ref126485828 \h </w:instrText>
            </w:r>
            <w:r w:rsidR="00771DBD">
              <w:fldChar w:fldCharType="separate"/>
            </w:r>
            <w:r w:rsidR="004353ED">
              <w:t xml:space="preserve">Table </w:t>
            </w:r>
            <w:r w:rsidR="004353ED">
              <w:rPr>
                <w:noProof/>
              </w:rPr>
              <w:t>22</w:t>
            </w:r>
            <w:r w:rsidR="004353ED">
              <w:t xml:space="preserve">: </w:t>
            </w:r>
            <w:r w:rsidR="004353ED">
              <w:rPr>
                <w:vanish/>
              </w:rPr>
              <w:t xml:space="preserve">TT_26.02A </w:t>
            </w:r>
            <w:r w:rsidR="004353ED">
              <w:t>Allowable Product Modifications by Original Product Type</w:t>
            </w:r>
            <w:r w:rsidR="00771DBD">
              <w:fldChar w:fldCharType="end"/>
            </w:r>
            <w:r>
              <w:t>.</w:t>
            </w:r>
          </w:p>
          <w:p w14:paraId="71049AD7" w14:textId="77777777" w:rsidR="002A21AE" w:rsidRDefault="002A21AE">
            <w:pPr>
              <w:pStyle w:val="NotesText"/>
            </w:pPr>
          </w:p>
          <w:p w14:paraId="58B5309A" w14:textId="77777777" w:rsidR="002A21AE" w:rsidRDefault="002A21AE">
            <w:pPr>
              <w:pStyle w:val="NotesText"/>
            </w:pPr>
            <w:r>
              <w:rPr>
                <w:rFonts w:cs="Arial"/>
                <w:vanish/>
              </w:rPr>
              <w:t xml:space="preserve">BR_26.12 </w:t>
            </w:r>
            <w:r>
              <w:t>VBECS displays available target component types based on ISBT 128 modification rules and site parameters for the division.</w:t>
            </w:r>
            <w:r w:rsidR="00B15FBF">
              <w:t xml:space="preserve"> </w:t>
            </w:r>
            <w:r w:rsidR="00B15FBF" w:rsidRPr="00E14216">
              <w:t>When no target is found, VBECS indicates this to the user and prevents the modification from being saved.</w:t>
            </w:r>
          </w:p>
          <w:p w14:paraId="3A165F95" w14:textId="77777777" w:rsidR="002A21AE" w:rsidRDefault="002A21AE">
            <w:pPr>
              <w:pStyle w:val="NotesText"/>
            </w:pPr>
          </w:p>
          <w:p w14:paraId="075DB697" w14:textId="77777777" w:rsidR="002A21AE" w:rsidRDefault="002A21AE">
            <w:pPr>
              <w:pStyle w:val="NotesText"/>
            </w:pPr>
            <w:r>
              <w:rPr>
                <w:rFonts w:cs="Arial"/>
                <w:vanish/>
              </w:rPr>
              <w:t xml:space="preserve">BR_26.11 </w:t>
            </w:r>
            <w:r>
              <w:t>When the user selects a target component type not marked as active, VBECS warns the user, allows him to mark the target component as active, and returns him to this step in the modification process. Otherwise, VBECS returns the user to this step and allows him to select another target component type.</w:t>
            </w:r>
          </w:p>
          <w:p w14:paraId="31328211" w14:textId="77777777" w:rsidR="002A21AE" w:rsidRDefault="002A21AE">
            <w:pPr>
              <w:pStyle w:val="NotesText"/>
            </w:pPr>
          </w:p>
          <w:p w14:paraId="79B49D64" w14:textId="77777777" w:rsidR="002A21AE" w:rsidRDefault="002A21AE">
            <w:pPr>
              <w:pStyle w:val="NotesText"/>
            </w:pPr>
            <w:r>
              <w:rPr>
                <w:rFonts w:cs="Arial"/>
                <w:vanish/>
              </w:rPr>
              <w:t xml:space="preserve">BR_26.16 </w:t>
            </w:r>
            <w:r>
              <w:t>When the original unit type did not require ABO/Rh confirmation, the target unit</w:t>
            </w:r>
            <w:r w:rsidR="00004786">
              <w:t>, when created,</w:t>
            </w:r>
            <w:r>
              <w:t xml:space="preserve"> does not either. The target unit is immediately available for assignment, crossmatch, issue, or transfusion on completion of the modification. </w:t>
            </w:r>
          </w:p>
          <w:p w14:paraId="2106EFA7" w14:textId="77777777" w:rsidR="002A21AE" w:rsidRDefault="002A21AE">
            <w:pPr>
              <w:pStyle w:val="NotesText"/>
            </w:pPr>
          </w:p>
          <w:p w14:paraId="2224A9EB" w14:textId="77777777" w:rsidR="00B15FBF" w:rsidRPr="00B15FBF" w:rsidRDefault="00B15FBF" w:rsidP="00B15FBF">
            <w:pPr>
              <w:pStyle w:val="NotesText"/>
            </w:pPr>
            <w:r w:rsidRPr="00B15FBF">
              <w:rPr>
                <w:vanish/>
              </w:rPr>
              <w:lastRenderedPageBreak/>
              <w:t xml:space="preserve">BR_26.23 </w:t>
            </w:r>
            <w:r w:rsidRPr="00B15FBF">
              <w:t>When the original (parent) unit type required A</w:t>
            </w:r>
            <w:r>
              <w:t>BO/Rh confirmation</w:t>
            </w:r>
            <w:r w:rsidRPr="00B15FBF">
              <w:t xml:space="preserve">, the target (child) unit, when created, does too. </w:t>
            </w:r>
          </w:p>
          <w:p w14:paraId="73976473" w14:textId="77777777" w:rsidR="00B15FBF" w:rsidRPr="00A301B0" w:rsidRDefault="00B15FBF" w:rsidP="00B15FBF">
            <w:pPr>
              <w:pStyle w:val="TableText"/>
              <w:tabs>
                <w:tab w:val="left" w:pos="1526"/>
              </w:tabs>
              <w:ind w:left="36"/>
              <w:rPr>
                <w:rFonts w:cs="Arial"/>
                <w:szCs w:val="18"/>
              </w:rPr>
            </w:pPr>
          </w:p>
          <w:p w14:paraId="11F585F1" w14:textId="77777777" w:rsidR="00B15FBF" w:rsidRPr="00A301B0" w:rsidRDefault="00B15FBF" w:rsidP="00BA3292">
            <w:pPr>
              <w:pStyle w:val="TableText"/>
              <w:numPr>
                <w:ilvl w:val="1"/>
                <w:numId w:val="73"/>
              </w:numPr>
              <w:tabs>
                <w:tab w:val="left" w:pos="252"/>
              </w:tabs>
              <w:ind w:left="1116" w:hanging="198"/>
              <w:rPr>
                <w:rFonts w:cs="Arial"/>
                <w:szCs w:val="18"/>
              </w:rPr>
            </w:pPr>
            <w:r w:rsidRPr="00A301B0">
              <w:rPr>
                <w:rFonts w:cs="Arial"/>
                <w:szCs w:val="18"/>
              </w:rPr>
              <w:t>If the target is not inheriting ABORh con</w:t>
            </w:r>
            <w:r>
              <w:rPr>
                <w:rFonts w:cs="Arial"/>
                <w:szCs w:val="18"/>
              </w:rPr>
              <w:t>firmation testing</w:t>
            </w:r>
            <w:r w:rsidRPr="00A301B0">
              <w:rPr>
                <w:rFonts w:cs="Arial"/>
                <w:szCs w:val="18"/>
              </w:rPr>
              <w:t>, then the target unit’s status is Limited.</w:t>
            </w:r>
          </w:p>
          <w:p w14:paraId="13203343" w14:textId="77777777" w:rsidR="00B15FBF" w:rsidRPr="00A301B0" w:rsidRDefault="00B15FBF" w:rsidP="00B15FBF">
            <w:pPr>
              <w:pStyle w:val="TableText"/>
              <w:tabs>
                <w:tab w:val="left" w:pos="1526"/>
              </w:tabs>
              <w:ind w:left="1116" w:hanging="198"/>
              <w:rPr>
                <w:rFonts w:cs="Arial"/>
                <w:szCs w:val="18"/>
              </w:rPr>
            </w:pPr>
          </w:p>
          <w:p w14:paraId="555B5A78" w14:textId="77777777" w:rsidR="00B15FBF" w:rsidRDefault="00B15FBF" w:rsidP="00BA3292">
            <w:pPr>
              <w:pStyle w:val="TableText"/>
              <w:numPr>
                <w:ilvl w:val="1"/>
                <w:numId w:val="73"/>
              </w:numPr>
              <w:tabs>
                <w:tab w:val="left" w:pos="252"/>
              </w:tabs>
              <w:ind w:left="1116" w:hanging="198"/>
            </w:pPr>
            <w:r w:rsidRPr="00A301B0">
              <w:rPr>
                <w:rFonts w:cs="Arial"/>
                <w:szCs w:val="18"/>
              </w:rPr>
              <w:t>If the target is inheriting ABORh con</w:t>
            </w:r>
            <w:r>
              <w:rPr>
                <w:rFonts w:cs="Arial"/>
                <w:szCs w:val="18"/>
              </w:rPr>
              <w:t>firmation testing</w:t>
            </w:r>
            <w:r w:rsidRPr="00A301B0">
              <w:rPr>
                <w:rFonts w:cs="Arial"/>
                <w:szCs w:val="18"/>
              </w:rPr>
              <w:t>, then the target unit is immediately available for assignment, crossmatch, issuance, or transfusion upon completion of modification.</w:t>
            </w:r>
          </w:p>
          <w:p w14:paraId="2CAA9239" w14:textId="77777777" w:rsidR="002A21AE" w:rsidRDefault="002A21AE">
            <w:pPr>
              <w:pStyle w:val="NotesText"/>
            </w:pPr>
            <w:r>
              <w:tab/>
            </w:r>
          </w:p>
          <w:p w14:paraId="26B86C60" w14:textId="77777777" w:rsidR="002A21AE" w:rsidRDefault="002A21AE">
            <w:pPr>
              <w:pStyle w:val="NotesText"/>
            </w:pPr>
            <w:r w:rsidRPr="003F0C14">
              <w:rPr>
                <w:rFonts w:cs="Arial"/>
                <w:vanish/>
                <w:color w:val="0000FF"/>
              </w:rPr>
              <w:t>BR_26.25</w:t>
            </w:r>
            <w:r>
              <w:rPr>
                <w:rFonts w:cs="Arial"/>
                <w:vanish/>
              </w:rPr>
              <w:t xml:space="preserve"> </w:t>
            </w:r>
            <w:r>
              <w:t xml:space="preserve">When the original unit is assigned or crossmatched to a patient at the time of modification, VBECS notifies the user and asks whether he wishes to automatically assign the modified units to the patient. </w:t>
            </w:r>
            <w:r>
              <w:rPr>
                <w:b/>
              </w:rPr>
              <w:t>Yes</w:t>
            </w:r>
            <w:r>
              <w:t xml:space="preserve"> (default) applies the unit’s assignment or crossmatch data to the target component. </w:t>
            </w:r>
            <w:r>
              <w:rPr>
                <w:b/>
              </w:rPr>
              <w:t>No</w:t>
            </w:r>
            <w:r>
              <w:t xml:space="preserve"> does not apply the assignment to the target, and changes the target unit status to “available.” The original unit </w:t>
            </w:r>
            <w:r w:rsidR="006212E6">
              <w:t>retains patient assignment</w:t>
            </w:r>
            <w:r w:rsidR="00AA6C54">
              <w:t xml:space="preserve"> </w:t>
            </w:r>
            <w:r>
              <w:t>in both cases.</w:t>
            </w:r>
          </w:p>
          <w:p w14:paraId="0C226649" w14:textId="77777777" w:rsidR="00C26FA7" w:rsidRDefault="00C26FA7">
            <w:pPr>
              <w:pStyle w:val="NotesText"/>
            </w:pPr>
          </w:p>
          <w:p w14:paraId="1EBAB5F8" w14:textId="77777777" w:rsidR="00C26FA7" w:rsidRDefault="00C26FA7">
            <w:pPr>
              <w:pStyle w:val="NotesText"/>
              <w:rPr>
                <w:rFonts w:cs="Arial"/>
                <w:szCs w:val="18"/>
              </w:rPr>
            </w:pPr>
            <w:r>
              <w:rPr>
                <w:rFonts w:cs="Arial"/>
                <w:vanish/>
                <w:szCs w:val="18"/>
              </w:rPr>
              <w:t>BR_26.58</w:t>
            </w:r>
            <w:r w:rsidRPr="00C26FA7">
              <w:rPr>
                <w:rFonts w:cs="Arial"/>
                <w:vanish/>
                <w:szCs w:val="18"/>
              </w:rPr>
              <w:t xml:space="preserve"> </w:t>
            </w:r>
            <w:r>
              <w:rPr>
                <w:rFonts w:cs="Arial"/>
                <w:szCs w:val="18"/>
              </w:rPr>
              <w:t>The user may select the target product code from available targets by scanning.</w:t>
            </w:r>
          </w:p>
          <w:p w14:paraId="0C0D02BE" w14:textId="5FC1FA58" w:rsidR="002A21AE" w:rsidRDefault="002A21AE" w:rsidP="000C5084">
            <w:pPr>
              <w:pStyle w:val="NotesText"/>
              <w:ind w:left="0"/>
            </w:pPr>
          </w:p>
          <w:p w14:paraId="6A2EF3FC" w14:textId="77777777" w:rsidR="00B448CE" w:rsidRDefault="00562516" w:rsidP="00032278">
            <w:pPr>
              <w:pStyle w:val="NotesText"/>
            </w:pPr>
            <w:r w:rsidRPr="00562516">
              <w:rPr>
                <w:vanish/>
              </w:rPr>
              <w:t xml:space="preserve">BR_26.49 </w:t>
            </w:r>
            <w:r w:rsidRPr="00F02C5D">
              <w:t xml:space="preserve">When the Blood Group (V0076) attribute </w:t>
            </w:r>
            <w:r>
              <w:t>group</w:t>
            </w:r>
            <w:r w:rsidRPr="00F02C5D">
              <w:t>, is present in the original it is required in the target</w:t>
            </w:r>
            <w:r w:rsidR="000A126F">
              <w:t xml:space="preserve"> but is not used by VBECS</w:t>
            </w:r>
            <w:r w:rsidRPr="00F02C5D">
              <w:t>.</w:t>
            </w:r>
          </w:p>
          <w:p w14:paraId="2652F6E5" w14:textId="77777777" w:rsidR="00B448CE" w:rsidRDefault="00B448CE" w:rsidP="00032278">
            <w:pPr>
              <w:pStyle w:val="NotesText"/>
            </w:pPr>
          </w:p>
          <w:p w14:paraId="57D67BB1" w14:textId="77777777" w:rsidR="00B448CE" w:rsidRDefault="00B448CE" w:rsidP="00B448CE">
            <w:pPr>
              <w:pStyle w:val="NotesText"/>
            </w:pPr>
            <w:r w:rsidRPr="00B448CE">
              <w:rPr>
                <w:vanish/>
              </w:rPr>
              <w:t xml:space="preserve">BR_26.57 </w:t>
            </w:r>
            <w:r>
              <w:t xml:space="preserve">When a unit is modified, the processing fee as set in </w:t>
            </w:r>
            <w:r w:rsidR="000A126F">
              <w:t>Configure Division</w:t>
            </w:r>
            <w:r>
              <w:t xml:space="preserve"> is added to the cost of a modified unit target.</w:t>
            </w:r>
          </w:p>
          <w:p w14:paraId="5A542099" w14:textId="77777777" w:rsidR="00B448CE" w:rsidRDefault="00B448CE" w:rsidP="00B448CE">
            <w:pPr>
              <w:pStyle w:val="NotesText"/>
            </w:pPr>
            <w:r>
              <w:t>When split, the processing fee is divided and a portion is added to each target unit.</w:t>
            </w:r>
          </w:p>
          <w:p w14:paraId="68736B9D" w14:textId="77777777" w:rsidR="00E1658C" w:rsidRDefault="00E1658C" w:rsidP="00B448CE">
            <w:pPr>
              <w:pStyle w:val="NotesText"/>
            </w:pPr>
          </w:p>
          <w:p w14:paraId="2EF464AA" w14:textId="03795A94" w:rsidR="002A21AE" w:rsidRDefault="00C51C45" w:rsidP="006A576D">
            <w:pPr>
              <w:pStyle w:val="NotesText"/>
            </w:pPr>
            <w:r w:rsidRPr="00896F17">
              <w:rPr>
                <w:rStyle w:val="BullhornChar"/>
              </w:rPr>
              <w:t></w:t>
            </w:r>
            <w:r w:rsidRPr="00C51C45">
              <w:t xml:space="preserve"> </w:t>
            </w:r>
            <w:r>
              <w:t>See</w:t>
            </w:r>
            <w:r w:rsidR="002A21AE">
              <w:t xml:space="preserve"> </w:t>
            </w:r>
            <w:r w:rsidR="006A576D">
              <w:fldChar w:fldCharType="begin"/>
            </w:r>
            <w:r w:rsidR="006A576D">
              <w:instrText xml:space="preserve"> REF _Ref509898996 \h </w:instrText>
            </w:r>
            <w:r w:rsidR="006A576D">
              <w:fldChar w:fldCharType="separate"/>
            </w:r>
            <w:r w:rsidR="004353ED">
              <w:t xml:space="preserve">Table </w:t>
            </w:r>
            <w:r w:rsidR="004353ED">
              <w:rPr>
                <w:noProof/>
              </w:rPr>
              <w:t>5</w:t>
            </w:r>
            <w:r w:rsidR="006A576D">
              <w:fldChar w:fldCharType="end"/>
            </w:r>
            <w:r w:rsidR="006A576D">
              <w:t xml:space="preserve"> </w:t>
            </w:r>
            <w:r w:rsidR="002A21AE">
              <w:t>for alerts that may occur during this option.</w:t>
            </w:r>
          </w:p>
        </w:tc>
      </w:tr>
      <w:tr w:rsidR="002A21AE" w14:paraId="7146408D" w14:textId="77777777">
        <w:tc>
          <w:tcPr>
            <w:tcW w:w="3240" w:type="dxa"/>
          </w:tcPr>
          <w:p w14:paraId="0FF02C11" w14:textId="77777777" w:rsidR="002A21AE" w:rsidRDefault="00C239D1" w:rsidP="00C239D1">
            <w:pPr>
              <w:pStyle w:val="TableTextNumbers"/>
            </w:pPr>
            <w:r>
              <w:lastRenderedPageBreak/>
              <w:t>Accept or edit</w:t>
            </w:r>
            <w:r w:rsidR="00A77D1F">
              <w:t xml:space="preserve"> the</w:t>
            </w:r>
            <w:r w:rsidR="002A21AE">
              <w:t xml:space="preserve"> expiration date.</w:t>
            </w:r>
          </w:p>
        </w:tc>
        <w:tc>
          <w:tcPr>
            <w:tcW w:w="6120" w:type="dxa"/>
          </w:tcPr>
          <w:p w14:paraId="0BD74E89" w14:textId="77777777" w:rsidR="002A21AE" w:rsidRDefault="002A21AE">
            <w:pPr>
              <w:pStyle w:val="TableTextBullet"/>
            </w:pPr>
            <w:r>
              <w:t>Verifies the validity of the expiration date and warns the user, if indicated.</w:t>
            </w:r>
          </w:p>
          <w:p w14:paraId="5DECA6C0" w14:textId="77777777" w:rsidR="002A21AE" w:rsidRDefault="002A21AE">
            <w:pPr>
              <w:pStyle w:val="TableText"/>
            </w:pPr>
          </w:p>
          <w:p w14:paraId="5AC5EA71" w14:textId="5F2FDDDB" w:rsidR="002A21AE" w:rsidRDefault="002A21AE">
            <w:pPr>
              <w:pStyle w:val="TableText"/>
              <w:rPr>
                <w:b/>
                <w:bCs/>
                <w:szCs w:val="18"/>
              </w:rPr>
            </w:pPr>
            <w:r>
              <w:rPr>
                <w:b/>
                <w:bCs/>
                <w:szCs w:val="18"/>
              </w:rPr>
              <w:t>NOTES</w:t>
            </w:r>
          </w:p>
          <w:p w14:paraId="1A98AF1C" w14:textId="71007535" w:rsidR="002A21AE" w:rsidRDefault="002A21AE" w:rsidP="003D61DB">
            <w:pPr>
              <w:pStyle w:val="NotesText"/>
              <w:ind w:left="0"/>
            </w:pPr>
          </w:p>
          <w:p w14:paraId="6E829258" w14:textId="77777777" w:rsidR="00B448CE" w:rsidRPr="00B448CE" w:rsidRDefault="00B448CE" w:rsidP="00B448CE">
            <w:pPr>
              <w:pStyle w:val="NotesText"/>
            </w:pPr>
            <w:r w:rsidRPr="00B448CE">
              <w:rPr>
                <w:vanish/>
              </w:rPr>
              <w:t xml:space="preserve">BR_26.20 </w:t>
            </w:r>
            <w:r>
              <w:t>VBECS</w:t>
            </w:r>
            <w:r w:rsidRPr="00B448CE">
              <w:t xml:space="preserve"> calculate</w:t>
            </w:r>
            <w:r>
              <w:t>s</w:t>
            </w:r>
            <w:r w:rsidRPr="00B448CE">
              <w:t xml:space="preserve"> an expiration date for the target component type and the system integrity (Open or Closed).</w:t>
            </w:r>
          </w:p>
          <w:p w14:paraId="22353D9F" w14:textId="77777777" w:rsidR="00B448CE" w:rsidRPr="00B448CE" w:rsidRDefault="00B448CE" w:rsidP="00B448CE">
            <w:pPr>
              <w:pStyle w:val="NotesText"/>
            </w:pPr>
            <w:r w:rsidRPr="00B448CE">
              <w:t>The system will calculate an expiration date for the target component based</w:t>
            </w:r>
            <w:r>
              <w:t xml:space="preserve"> on the following. (Due to the nature of the process, the calculated expiration date will greatly exceed the original expiration date of the original unit for Rejuvenate and Freeze, and will supersede the unit’s original expiration date.)</w:t>
            </w:r>
          </w:p>
          <w:p w14:paraId="6F89B5C8" w14:textId="77777777" w:rsidR="00B448CE" w:rsidRPr="007B53AE" w:rsidRDefault="00B448CE" w:rsidP="00B448CE">
            <w:pPr>
              <w:pStyle w:val="StyleTableText9ptChar"/>
              <w:rPr>
                <w:rFonts w:cs="Arial"/>
              </w:rPr>
            </w:pPr>
          </w:p>
          <w:p w14:paraId="110F9C44" w14:textId="77777777" w:rsidR="00B448CE" w:rsidRPr="007B53AE" w:rsidRDefault="00B448CE" w:rsidP="00B448CE">
            <w:pPr>
              <w:pStyle w:val="CommentText"/>
              <w:rPr>
                <w:rFonts w:ascii="Arial" w:hAnsi="Arial" w:cs="Arial"/>
                <w:sz w:val="18"/>
                <w:szCs w:val="18"/>
              </w:rPr>
            </w:pPr>
            <w:r w:rsidRPr="007B53AE">
              <w:rPr>
                <w:rFonts w:ascii="Arial" w:hAnsi="Arial" w:cs="Arial"/>
                <w:sz w:val="18"/>
                <w:szCs w:val="18"/>
              </w:rPr>
              <w:t>Expiration Date is the shortest of:</w:t>
            </w:r>
          </w:p>
          <w:p w14:paraId="1EEA91AE" w14:textId="4DF6F712" w:rsidR="00B448CE" w:rsidRDefault="00B448CE" w:rsidP="00BA3292">
            <w:pPr>
              <w:pStyle w:val="CommentText"/>
              <w:numPr>
                <w:ilvl w:val="0"/>
                <w:numId w:val="75"/>
              </w:numPr>
              <w:ind w:left="1080"/>
              <w:rPr>
                <w:rFonts w:ascii="Arial" w:hAnsi="Arial" w:cs="Arial"/>
                <w:sz w:val="18"/>
                <w:szCs w:val="18"/>
              </w:rPr>
            </w:pPr>
            <w:r w:rsidRPr="007B53AE">
              <w:rPr>
                <w:rFonts w:ascii="Arial" w:hAnsi="Arial" w:cs="Arial"/>
                <w:sz w:val="18"/>
                <w:szCs w:val="18"/>
              </w:rPr>
              <w:t>Original unit’s expiration date/time (For Rejuv</w:t>
            </w:r>
            <w:r>
              <w:rPr>
                <w:rFonts w:ascii="Arial" w:hAnsi="Arial" w:cs="Arial"/>
                <w:sz w:val="18"/>
                <w:szCs w:val="18"/>
              </w:rPr>
              <w:t>enate and Freeze</w:t>
            </w:r>
            <w:r w:rsidRPr="007B53AE">
              <w:rPr>
                <w:rFonts w:ascii="Arial" w:hAnsi="Arial" w:cs="Arial"/>
                <w:sz w:val="18"/>
                <w:szCs w:val="18"/>
              </w:rPr>
              <w:t>, the Original unit’s expiration is not factored in the calculation)</w:t>
            </w:r>
          </w:p>
          <w:p w14:paraId="16715727" w14:textId="0BF28041" w:rsidR="008E2CB0" w:rsidRDefault="008E2CB0" w:rsidP="00BA3292">
            <w:pPr>
              <w:pStyle w:val="CommentText"/>
              <w:numPr>
                <w:ilvl w:val="0"/>
                <w:numId w:val="75"/>
              </w:numPr>
              <w:ind w:left="1080"/>
              <w:rPr>
                <w:rFonts w:ascii="Arial" w:hAnsi="Arial" w:cs="Arial"/>
                <w:sz w:val="18"/>
                <w:szCs w:val="18"/>
              </w:rPr>
            </w:pPr>
            <w:r>
              <w:rPr>
                <w:rFonts w:ascii="Arial" w:hAnsi="Arial" w:cs="Arial"/>
                <w:sz w:val="18"/>
                <w:szCs w:val="18"/>
              </w:rPr>
              <w:t>If Expiration hours is &gt; 0, the Modification date/time + Expiration hours**</w:t>
            </w:r>
          </w:p>
          <w:p w14:paraId="472E6289" w14:textId="77777777" w:rsidR="00B448CE" w:rsidRDefault="008E2CB0" w:rsidP="00BA3292">
            <w:pPr>
              <w:pStyle w:val="CommentText"/>
              <w:numPr>
                <w:ilvl w:val="0"/>
                <w:numId w:val="75"/>
              </w:numPr>
              <w:ind w:left="1080"/>
              <w:rPr>
                <w:rFonts w:ascii="Arial" w:hAnsi="Arial" w:cs="Arial"/>
                <w:sz w:val="18"/>
                <w:szCs w:val="18"/>
              </w:rPr>
            </w:pPr>
            <w:r>
              <w:rPr>
                <w:rFonts w:ascii="Arial" w:hAnsi="Arial" w:cs="Arial"/>
                <w:sz w:val="18"/>
                <w:szCs w:val="18"/>
              </w:rPr>
              <w:t>Modification date/time + Target blood product’s maximum storage time (MST)**</w:t>
            </w:r>
          </w:p>
          <w:p w14:paraId="04A1B8AC" w14:textId="77777777" w:rsidR="008E2CB0" w:rsidRDefault="008E2CB0" w:rsidP="008E2CB0">
            <w:pPr>
              <w:pStyle w:val="CommentText"/>
              <w:tabs>
                <w:tab w:val="clear" w:pos="1080"/>
              </w:tabs>
              <w:rPr>
                <w:rFonts w:ascii="Arial" w:hAnsi="Arial" w:cs="Arial"/>
                <w:sz w:val="18"/>
                <w:szCs w:val="18"/>
              </w:rPr>
            </w:pPr>
          </w:p>
          <w:p w14:paraId="5E43FCCE" w14:textId="2958DA5B" w:rsidR="008E2CB0" w:rsidRPr="008E2CB0" w:rsidRDefault="008E2CB0" w:rsidP="008E2CB0">
            <w:pPr>
              <w:pStyle w:val="CommentText"/>
              <w:tabs>
                <w:tab w:val="clear" w:pos="1080"/>
              </w:tabs>
              <w:rPr>
                <w:rFonts w:ascii="Arial" w:hAnsi="Arial" w:cs="Arial"/>
                <w:sz w:val="18"/>
                <w:szCs w:val="18"/>
              </w:rPr>
            </w:pPr>
            <w:r>
              <w:rPr>
                <w:rFonts w:ascii="Arial" w:hAnsi="Arial"/>
                <w:sz w:val="18"/>
                <w:szCs w:val="24"/>
              </w:rPr>
              <w:lastRenderedPageBreak/>
              <w:t xml:space="preserve">    </w:t>
            </w:r>
            <w:r w:rsidRPr="008E2CB0">
              <w:rPr>
                <w:rFonts w:ascii="Arial" w:hAnsi="Arial"/>
                <w:sz w:val="18"/>
                <w:szCs w:val="24"/>
              </w:rPr>
              <w:t>**If Expiration hours or Target blood product’s MST is greater than (&gt;) 24 hours: divide the hours by 24 to get the number of days (no rounding); add the number of days to the Modification date/time and the time will be 23:59.</w:t>
            </w:r>
          </w:p>
        </w:tc>
      </w:tr>
      <w:tr w:rsidR="002A21AE" w14:paraId="0ABE9EC8" w14:textId="77777777">
        <w:tc>
          <w:tcPr>
            <w:tcW w:w="3240" w:type="dxa"/>
          </w:tcPr>
          <w:p w14:paraId="2F2759A2" w14:textId="77777777" w:rsidR="002A21AE" w:rsidRDefault="002A21AE">
            <w:pPr>
              <w:pStyle w:val="TableTextNumbers"/>
            </w:pPr>
            <w:r>
              <w:lastRenderedPageBreak/>
              <w:t xml:space="preserve">Review the displayed unit data and </w:t>
            </w:r>
            <w:r w:rsidR="00A77D1F">
              <w:t xml:space="preserve">click </w:t>
            </w:r>
            <w:r w:rsidR="00A77D1F" w:rsidRPr="00A77D1F">
              <w:rPr>
                <w:b/>
              </w:rPr>
              <w:t>OK</w:t>
            </w:r>
            <w:r w:rsidR="00A77D1F">
              <w:t xml:space="preserve"> to </w:t>
            </w:r>
            <w:r>
              <w:t>confirm the modification.</w:t>
            </w:r>
          </w:p>
          <w:p w14:paraId="13A671CC" w14:textId="77777777" w:rsidR="00A77D1F" w:rsidRDefault="00A77D1F" w:rsidP="00A77D1F">
            <w:pPr>
              <w:pStyle w:val="TableTextNumbersContinued"/>
            </w:pPr>
          </w:p>
          <w:p w14:paraId="73685FB2" w14:textId="2E67FAEF" w:rsidR="00A77D1F" w:rsidRDefault="00C239D1" w:rsidP="00A77D1F">
            <w:pPr>
              <w:pStyle w:val="TableTextNumbersContinued"/>
            </w:pPr>
            <w:r>
              <w:t>If the unit has been relabeled, c</w:t>
            </w:r>
            <w:r w:rsidR="00A77D1F">
              <w:t xml:space="preserve">lick </w:t>
            </w:r>
            <w:r w:rsidR="00A77D1F" w:rsidRPr="00A77D1F">
              <w:rPr>
                <w:b/>
              </w:rPr>
              <w:t>Yes</w:t>
            </w:r>
            <w:r w:rsidR="00A77D1F">
              <w:t xml:space="preserve"> to verify the label</w:t>
            </w:r>
            <w:r>
              <w:t xml:space="preserve"> </w:t>
            </w:r>
            <w:r w:rsidR="00F331EC">
              <w:t>(</w:t>
            </w:r>
            <w:r w:rsidR="00051E30">
              <w:fldChar w:fldCharType="begin"/>
            </w:r>
            <w:r w:rsidR="00051E30">
              <w:instrText xml:space="preserve"> REF _Ref126650852 \h </w:instrText>
            </w:r>
            <w:r w:rsidR="00051E30">
              <w:fldChar w:fldCharType="separate"/>
            </w:r>
            <w:r w:rsidR="004353ED">
              <w:t xml:space="preserve">Figure </w:t>
            </w:r>
            <w:r w:rsidR="004353ED">
              <w:rPr>
                <w:noProof/>
              </w:rPr>
              <w:t>90</w:t>
            </w:r>
            <w:r w:rsidR="00051E30">
              <w:fldChar w:fldCharType="end"/>
            </w:r>
            <w:r w:rsidR="00F331EC">
              <w:t>)</w:t>
            </w:r>
            <w:r w:rsidR="00A77D1F">
              <w:t>.</w:t>
            </w:r>
          </w:p>
          <w:p w14:paraId="062C1F89" w14:textId="77777777" w:rsidR="0014066B" w:rsidRDefault="0014066B" w:rsidP="00A77D1F">
            <w:pPr>
              <w:pStyle w:val="TableTextNumbersContinued"/>
            </w:pPr>
          </w:p>
          <w:p w14:paraId="65C28596" w14:textId="77777777" w:rsidR="0014066B" w:rsidRDefault="0014066B" w:rsidP="00A77D1F">
            <w:pPr>
              <w:pStyle w:val="TableTextNumbersContinued"/>
            </w:pPr>
            <w:r>
              <w:t xml:space="preserve">Click </w:t>
            </w:r>
            <w:r w:rsidRPr="0014066B">
              <w:rPr>
                <w:b/>
              </w:rPr>
              <w:t>No</w:t>
            </w:r>
            <w:r>
              <w:t xml:space="preserve"> to cancel and continue at Step 14.</w:t>
            </w:r>
          </w:p>
        </w:tc>
        <w:tc>
          <w:tcPr>
            <w:tcW w:w="6120" w:type="dxa"/>
          </w:tcPr>
          <w:p w14:paraId="728BBBE2" w14:textId="77777777" w:rsidR="005D32B0" w:rsidRDefault="005D32B0" w:rsidP="005D32B0">
            <w:pPr>
              <w:pStyle w:val="TableTextBullet"/>
            </w:pPr>
            <w:r>
              <w:t>When the original unit is currently assigned to a patient, notifies the user and asks whether he wishes to transfer the status to the target un</w:t>
            </w:r>
            <w:r w:rsidR="00E1658C">
              <w:t>it.</w:t>
            </w:r>
          </w:p>
          <w:p w14:paraId="75B3B89F" w14:textId="77777777" w:rsidR="002A21AE" w:rsidRDefault="002A21AE">
            <w:pPr>
              <w:pStyle w:val="NotesText"/>
            </w:pPr>
          </w:p>
        </w:tc>
      </w:tr>
      <w:tr w:rsidR="002A21AE" w14:paraId="649CEFE7" w14:textId="77777777">
        <w:tc>
          <w:tcPr>
            <w:tcW w:w="3240" w:type="dxa"/>
          </w:tcPr>
          <w:p w14:paraId="4DDE0B3D" w14:textId="77777777" w:rsidR="002A21AE" w:rsidRDefault="00A77D1F">
            <w:pPr>
              <w:pStyle w:val="TableTextNumbers"/>
            </w:pPr>
            <w:r>
              <w:t>Scan the label barcodes to v</w:t>
            </w:r>
            <w:r w:rsidR="002A21AE">
              <w:t>erify the target labels, based on local practice and labeling type of the modified unit.</w:t>
            </w:r>
          </w:p>
          <w:p w14:paraId="5A61FFEC" w14:textId="77777777" w:rsidR="00A77D1F" w:rsidRDefault="00A77D1F" w:rsidP="00A77D1F">
            <w:pPr>
              <w:pStyle w:val="TableTextNumbersContinued"/>
            </w:pPr>
          </w:p>
          <w:p w14:paraId="7CA3D5A0" w14:textId="77777777" w:rsidR="00A77D1F" w:rsidRDefault="00A77D1F" w:rsidP="00A77D1F">
            <w:pPr>
              <w:pStyle w:val="TableTextNumbersContinued"/>
            </w:pPr>
            <w:r>
              <w:t>Enter a comment to complete the verification.</w:t>
            </w:r>
            <w:r w:rsidR="00403743">
              <w:t xml:space="preserve"> (This step is optional.)</w:t>
            </w:r>
          </w:p>
        </w:tc>
        <w:tc>
          <w:tcPr>
            <w:tcW w:w="6120" w:type="dxa"/>
          </w:tcPr>
          <w:p w14:paraId="3447539C" w14:textId="77777777" w:rsidR="002A21AE" w:rsidRDefault="002A21AE">
            <w:pPr>
              <w:pStyle w:val="TableTextBullet"/>
            </w:pPr>
            <w:r>
              <w:t>Displays the label verification window.</w:t>
            </w:r>
          </w:p>
          <w:p w14:paraId="2F5F6482" w14:textId="77777777" w:rsidR="00A77D1F" w:rsidRDefault="00A77D1F">
            <w:pPr>
              <w:pStyle w:val="TableTextBullet"/>
            </w:pPr>
            <w:r>
              <w:t>Indicates whether the scanned barcodes match those in the label.</w:t>
            </w:r>
          </w:p>
          <w:p w14:paraId="799FAB16" w14:textId="77777777" w:rsidR="00403743" w:rsidRDefault="00403743" w:rsidP="00403743">
            <w:pPr>
              <w:pStyle w:val="TableTextBullet"/>
              <w:tabs>
                <w:tab w:val="num" w:pos="360"/>
              </w:tabs>
            </w:pPr>
            <w:r>
              <w:t xml:space="preserve">For each target created, system prompts user to indicate readiness to verify the labeling of the modified product. </w:t>
            </w:r>
          </w:p>
          <w:p w14:paraId="7D735F5A" w14:textId="77777777" w:rsidR="00403743" w:rsidRDefault="00403743" w:rsidP="00403743">
            <w:pPr>
              <w:pStyle w:val="TableTextBullet"/>
              <w:tabs>
                <w:tab w:val="num" w:pos="360"/>
              </w:tabs>
            </w:pPr>
            <w:r>
              <w:t>No new labels applied to modified product. Proceed to save the unit.</w:t>
            </w:r>
          </w:p>
          <w:p w14:paraId="4E1E0358" w14:textId="77777777" w:rsidR="00403743" w:rsidRDefault="00403743" w:rsidP="00403743">
            <w:pPr>
              <w:pStyle w:val="TableTextBullet"/>
              <w:tabs>
                <w:tab w:val="num" w:pos="360"/>
              </w:tabs>
            </w:pPr>
            <w:r>
              <w:t>Displays a screen to accommodate data entry of the modified unit’s:</w:t>
            </w:r>
          </w:p>
          <w:p w14:paraId="7073265A" w14:textId="77777777" w:rsidR="00403743" w:rsidRDefault="00403743" w:rsidP="00403743">
            <w:pPr>
              <w:pStyle w:val="TableTextBullet1"/>
              <w:tabs>
                <w:tab w:val="clear" w:pos="576"/>
                <w:tab w:val="num" w:pos="288"/>
              </w:tabs>
            </w:pPr>
            <w:r>
              <w:t>ABO/Rh</w:t>
            </w:r>
          </w:p>
          <w:p w14:paraId="0C932D4E" w14:textId="77777777" w:rsidR="00403743" w:rsidRDefault="00403743" w:rsidP="00403743">
            <w:pPr>
              <w:pStyle w:val="TableTextBullet1"/>
              <w:tabs>
                <w:tab w:val="clear" w:pos="576"/>
                <w:tab w:val="num" w:pos="288"/>
              </w:tabs>
            </w:pPr>
            <w:r>
              <w:t>Product Code</w:t>
            </w:r>
          </w:p>
          <w:p w14:paraId="053DBE50" w14:textId="77777777" w:rsidR="00403743" w:rsidRDefault="00403743" w:rsidP="00403743">
            <w:pPr>
              <w:pStyle w:val="TableTextBullet1"/>
              <w:tabs>
                <w:tab w:val="clear" w:pos="576"/>
                <w:tab w:val="num" w:pos="288"/>
              </w:tabs>
            </w:pPr>
            <w:r>
              <w:t>Expiration Date</w:t>
            </w:r>
          </w:p>
          <w:p w14:paraId="2CBAC6A6" w14:textId="77777777" w:rsidR="00403743" w:rsidRDefault="00403743" w:rsidP="00403743">
            <w:pPr>
              <w:pStyle w:val="TableTextBullet"/>
              <w:tabs>
                <w:tab w:val="num" w:pos="360"/>
              </w:tabs>
            </w:pPr>
            <w:r>
              <w:t>This step repeats until all targets have been labeled and/or are ready for continued processing.</w:t>
            </w:r>
          </w:p>
          <w:p w14:paraId="1463A201" w14:textId="77777777" w:rsidR="00403743" w:rsidRDefault="00403743" w:rsidP="00403743">
            <w:pPr>
              <w:pStyle w:val="TableText"/>
            </w:pPr>
          </w:p>
          <w:p w14:paraId="4D4AAFB8" w14:textId="4A5F03C2" w:rsidR="00403743" w:rsidRDefault="00403743" w:rsidP="00403743">
            <w:pPr>
              <w:pStyle w:val="TableText"/>
              <w:rPr>
                <w:b/>
                <w:bCs/>
                <w:szCs w:val="18"/>
              </w:rPr>
            </w:pPr>
            <w:r>
              <w:rPr>
                <w:b/>
                <w:bCs/>
                <w:szCs w:val="18"/>
              </w:rPr>
              <w:t>NOTES</w:t>
            </w:r>
          </w:p>
          <w:p w14:paraId="4543F7E4" w14:textId="77777777" w:rsidR="00403743" w:rsidRDefault="00403743" w:rsidP="00403743">
            <w:pPr>
              <w:pStyle w:val="NotesText"/>
            </w:pPr>
          </w:p>
          <w:p w14:paraId="5B89BBB2" w14:textId="77777777" w:rsidR="00403743" w:rsidRDefault="00403743" w:rsidP="00403743">
            <w:pPr>
              <w:pStyle w:val="NotesText"/>
            </w:pPr>
            <w:r>
              <w:t>The user may select “Verify modified unit label” to verify the modified unit label</w:t>
            </w:r>
            <w:r w:rsidR="00380967">
              <w:t>.</w:t>
            </w:r>
            <w:r>
              <w:t xml:space="preserve"> </w:t>
            </w:r>
            <w:r w:rsidR="00542972">
              <w:t xml:space="preserve">When the user does not verify the label, he </w:t>
            </w:r>
            <w:r w:rsidR="006832A2">
              <w:t xml:space="preserve">must enter a comment and </w:t>
            </w:r>
            <w:r w:rsidR="00BD738E">
              <w:t xml:space="preserve">then </w:t>
            </w:r>
            <w:r w:rsidR="006832A2">
              <w:t>click</w:t>
            </w:r>
            <w:r w:rsidR="00542972">
              <w:t xml:space="preserve"> </w:t>
            </w:r>
            <w:r w:rsidR="00542972" w:rsidRPr="00542972">
              <w:rPr>
                <w:b/>
              </w:rPr>
              <w:t>Cancel</w:t>
            </w:r>
            <w:r w:rsidR="006832A2">
              <w:t xml:space="preserve"> </w:t>
            </w:r>
            <w:r>
              <w:t>to exit.</w:t>
            </w:r>
          </w:p>
          <w:p w14:paraId="4DF27BA6" w14:textId="77777777" w:rsidR="00403743" w:rsidRDefault="00403743" w:rsidP="00403743">
            <w:pPr>
              <w:pStyle w:val="NotesText"/>
            </w:pPr>
          </w:p>
          <w:p w14:paraId="6A7E5CEE" w14:textId="77777777" w:rsidR="00403743" w:rsidRDefault="00403743" w:rsidP="00403743">
            <w:pPr>
              <w:pStyle w:val="NotesText"/>
            </w:pPr>
            <w:r>
              <w:t>When the user does not select “Verify modified unit label,” he may continue at Step 1</w:t>
            </w:r>
            <w:r w:rsidR="00027FF5">
              <w:t>4</w:t>
            </w:r>
            <w:r>
              <w:t xml:space="preserve">. VBECS bypasses the label verification and does not create an Exception Report. </w:t>
            </w:r>
          </w:p>
          <w:p w14:paraId="0CBFF732" w14:textId="77777777" w:rsidR="00403743" w:rsidRDefault="00403743" w:rsidP="00403743">
            <w:pPr>
              <w:pStyle w:val="NotesText"/>
            </w:pPr>
          </w:p>
          <w:p w14:paraId="3B7AFFBF" w14:textId="77777777" w:rsidR="00403743" w:rsidRDefault="00403743" w:rsidP="00403743">
            <w:pPr>
              <w:pStyle w:val="NotesText"/>
              <w:rPr>
                <w:b/>
              </w:rPr>
            </w:pPr>
            <w:r>
              <w:t xml:space="preserve">When a component is modified and a new label is applied, </w:t>
            </w:r>
            <w:r w:rsidR="002A6CE1">
              <w:t>American Association of Blood Banks (</w:t>
            </w:r>
            <w:r>
              <w:t>AABB</w:t>
            </w:r>
            <w:r w:rsidR="002A6CE1">
              <w:t>)</w:t>
            </w:r>
            <w:r>
              <w:t xml:space="preserve"> standards require the labeling process to include a method to ensure the correctness of the unit number, ABO/Rh, expiration date, and component label.</w:t>
            </w:r>
          </w:p>
          <w:p w14:paraId="78B22045" w14:textId="77777777" w:rsidR="00403743" w:rsidRDefault="00403743" w:rsidP="00403743">
            <w:pPr>
              <w:pStyle w:val="NotesText"/>
              <w:rPr>
                <w:b/>
              </w:rPr>
            </w:pPr>
          </w:p>
          <w:p w14:paraId="648CE7C2" w14:textId="77777777" w:rsidR="00403743" w:rsidRDefault="00403743" w:rsidP="00403743">
            <w:pPr>
              <w:pStyle w:val="NotesText"/>
            </w:pPr>
            <w:r w:rsidRPr="00DE10EE">
              <w:rPr>
                <w:rFonts w:cs="Arial"/>
                <w:vanish/>
                <w:color w:val="0000FF"/>
              </w:rPr>
              <w:t>BR_26.29</w:t>
            </w:r>
            <w:r>
              <w:rPr>
                <w:rFonts w:cs="Arial"/>
                <w:vanish/>
              </w:rPr>
              <w:t xml:space="preserve"> </w:t>
            </w:r>
            <w:r>
              <w:t>To verify the label, VBECS compares the entered data with the data of the target unit from the database. The user may scan or enter:</w:t>
            </w:r>
          </w:p>
          <w:p w14:paraId="0CA3DE83" w14:textId="77777777" w:rsidR="00403743" w:rsidRDefault="00403743" w:rsidP="00403743">
            <w:pPr>
              <w:pStyle w:val="NotesTextBullet"/>
            </w:pPr>
            <w:r>
              <w:t>Unit ABO/Rh Label</w:t>
            </w:r>
            <w:r w:rsidR="00682656">
              <w:t xml:space="preserve"> (scan or manual entry)</w:t>
            </w:r>
          </w:p>
          <w:p w14:paraId="059C03B0" w14:textId="77777777" w:rsidR="00403743" w:rsidRDefault="00403743" w:rsidP="00403743">
            <w:pPr>
              <w:pStyle w:val="NotesTextBullet"/>
            </w:pPr>
            <w:r>
              <w:t>Unit Product Code</w:t>
            </w:r>
            <w:r w:rsidR="00682656">
              <w:t xml:space="preserve"> (scan or manual entry)</w:t>
            </w:r>
          </w:p>
          <w:p w14:paraId="4D461DFA" w14:textId="77777777" w:rsidR="00403743" w:rsidRDefault="00403743" w:rsidP="00027FF5">
            <w:pPr>
              <w:pStyle w:val="NotesTextBullet"/>
            </w:pPr>
            <w:r>
              <w:t>Unit Expiration Date</w:t>
            </w:r>
            <w:r w:rsidR="00682656">
              <w:t xml:space="preserve"> (scan or manual entry)</w:t>
            </w:r>
          </w:p>
          <w:p w14:paraId="15F8CBA7" w14:textId="77777777" w:rsidR="00682656" w:rsidRDefault="00682656" w:rsidP="00682656">
            <w:pPr>
              <w:rPr>
                <w:rFonts w:ascii="Arial" w:hAnsi="Arial"/>
                <w:sz w:val="18"/>
              </w:rPr>
            </w:pPr>
          </w:p>
          <w:p w14:paraId="04A97241" w14:textId="77777777" w:rsidR="00682656" w:rsidRDefault="00682656" w:rsidP="00682656">
            <w:pPr>
              <w:pStyle w:val="NotesText"/>
            </w:pPr>
            <w:r>
              <w:t>If all comparisons are okay, VBECS displays a message stating that label verification is complete and asks whether the user wishes to continue.</w:t>
            </w:r>
          </w:p>
          <w:p w14:paraId="7390DE02" w14:textId="77777777" w:rsidR="00682656" w:rsidRDefault="00682656" w:rsidP="00682656">
            <w:pPr>
              <w:pStyle w:val="NotesText"/>
            </w:pPr>
          </w:p>
          <w:p w14:paraId="17A1EDFD" w14:textId="77777777" w:rsidR="00682656" w:rsidRDefault="00682656" w:rsidP="00682656">
            <w:pPr>
              <w:pStyle w:val="NotesText"/>
            </w:pPr>
            <w:r>
              <w:t>If there is not a match, VBECS</w:t>
            </w:r>
            <w:r w:rsidRPr="00682656">
              <w:t xml:space="preserve"> provides an audible alert and displays</w:t>
            </w:r>
            <w:r>
              <w:t xml:space="preserve"> an error message stating that &lt;data element&gt; does </w:t>
            </w:r>
            <w:r>
              <w:lastRenderedPageBreak/>
              <w:t xml:space="preserve">NOT match &lt;data element&gt; of record and asks the user to verify labeling and reenter, or select </w:t>
            </w:r>
            <w:r w:rsidRPr="00682656">
              <w:rPr>
                <w:b/>
              </w:rPr>
              <w:t>Continue</w:t>
            </w:r>
            <w:r>
              <w:t>.</w:t>
            </w:r>
          </w:p>
          <w:p w14:paraId="3A33AEBE" w14:textId="77777777" w:rsidR="00682656" w:rsidRDefault="00682656" w:rsidP="00682656">
            <w:pPr>
              <w:pStyle w:val="NotesText"/>
            </w:pPr>
          </w:p>
          <w:p w14:paraId="6BC392D3" w14:textId="77777777" w:rsidR="00682656" w:rsidRDefault="00682656" w:rsidP="00682656">
            <w:pPr>
              <w:pStyle w:val="NotesText"/>
            </w:pPr>
            <w:r>
              <w:t xml:space="preserve">If there is a null or no user entry for one of the fields, VBECS displays an error message stating that &lt;data element&gt; was not entered and asks the user to enter a value or select </w:t>
            </w:r>
            <w:r w:rsidRPr="00682656">
              <w:rPr>
                <w:b/>
              </w:rPr>
              <w:t>Continue</w:t>
            </w:r>
            <w:r>
              <w:t>.</w:t>
            </w:r>
          </w:p>
          <w:p w14:paraId="48E4A6C2" w14:textId="77777777" w:rsidR="00682656" w:rsidRDefault="00682656" w:rsidP="00682656">
            <w:pPr>
              <w:pStyle w:val="NotesText"/>
            </w:pPr>
          </w:p>
          <w:p w14:paraId="06DE2EEE" w14:textId="77777777" w:rsidR="00682656" w:rsidRDefault="00682656" w:rsidP="00682656">
            <w:pPr>
              <w:pStyle w:val="NotesText"/>
            </w:pPr>
            <w:r>
              <w:t>If checks were either invalid or incomplete, VBECS</w:t>
            </w:r>
            <w:r w:rsidRPr="00682656">
              <w:t xml:space="preserve"> will not allow unit issue to this </w:t>
            </w:r>
            <w:r>
              <w:t>or any other patient. VBECS</w:t>
            </w:r>
            <w:r w:rsidRPr="00682656">
              <w:t xml:space="preserve"> displays a warning message: “Unit is unacceptable for transfusion. Releasing all patient assignments and qu</w:t>
            </w:r>
            <w:r>
              <w:t>arantining the unit.” VBECS</w:t>
            </w:r>
            <w:r w:rsidRPr="00682656">
              <w:t xml:space="preserve"> clears the unit data and allows for entry of a different unit number. </w:t>
            </w:r>
            <w:r>
              <w:t xml:space="preserve">When the user selects </w:t>
            </w:r>
            <w:r w:rsidRPr="00682656">
              <w:rPr>
                <w:b/>
              </w:rPr>
              <w:t>Continue</w:t>
            </w:r>
            <w:r>
              <w:t>, a comment is required and details are captured in an exception report. Details in the exception report include:</w:t>
            </w:r>
          </w:p>
          <w:p w14:paraId="14BB1AC2" w14:textId="77777777" w:rsidR="00682656" w:rsidRDefault="00682656" w:rsidP="00BA3292">
            <w:pPr>
              <w:pStyle w:val="StyleTableText9ptChar"/>
              <w:numPr>
                <w:ilvl w:val="0"/>
                <w:numId w:val="72"/>
              </w:numPr>
            </w:pPr>
            <w:r>
              <w:t xml:space="preserve">Transaction type: Target Product Label Failed checks </w:t>
            </w:r>
          </w:p>
          <w:p w14:paraId="68FE4417" w14:textId="77777777" w:rsidR="00682656" w:rsidRDefault="00682656" w:rsidP="00BA3292">
            <w:pPr>
              <w:pStyle w:val="StyleTableText9ptChar"/>
              <w:numPr>
                <w:ilvl w:val="0"/>
                <w:numId w:val="72"/>
              </w:numPr>
            </w:pPr>
            <w:r>
              <w:t>Type of modification: &lt;insert type defined by the transaction&gt;</w:t>
            </w:r>
          </w:p>
          <w:p w14:paraId="7D87085C" w14:textId="77777777" w:rsidR="00682656" w:rsidRDefault="00682656" w:rsidP="00BA3292">
            <w:pPr>
              <w:pStyle w:val="StyleTableText9ptChar"/>
              <w:numPr>
                <w:ilvl w:val="0"/>
                <w:numId w:val="72"/>
              </w:numPr>
            </w:pPr>
            <w:r>
              <w:t>Target Unit ID</w:t>
            </w:r>
          </w:p>
          <w:p w14:paraId="4058A1BD" w14:textId="77777777" w:rsidR="00682656" w:rsidRDefault="00682656" w:rsidP="00BA3292">
            <w:pPr>
              <w:pStyle w:val="StyleTableText9ptChar"/>
              <w:numPr>
                <w:ilvl w:val="0"/>
                <w:numId w:val="72"/>
              </w:numPr>
            </w:pPr>
            <w:r>
              <w:t>Target Unit ABO/Rh</w:t>
            </w:r>
          </w:p>
          <w:p w14:paraId="2341B44A" w14:textId="77777777" w:rsidR="00682656" w:rsidRDefault="00682656" w:rsidP="00BA3292">
            <w:pPr>
              <w:pStyle w:val="StyleTableText9ptChar"/>
              <w:numPr>
                <w:ilvl w:val="0"/>
                <w:numId w:val="72"/>
              </w:numPr>
            </w:pPr>
            <w:r>
              <w:t>Target Unit Product Code</w:t>
            </w:r>
          </w:p>
          <w:p w14:paraId="2AAE528D" w14:textId="77777777" w:rsidR="00682656" w:rsidRDefault="00682656" w:rsidP="00BA3292">
            <w:pPr>
              <w:pStyle w:val="StyleTableText9ptChar"/>
              <w:numPr>
                <w:ilvl w:val="0"/>
                <w:numId w:val="72"/>
              </w:numPr>
            </w:pPr>
            <w:r>
              <w:t>Target Unit Product (Short) Name</w:t>
            </w:r>
          </w:p>
          <w:p w14:paraId="7CA1B2A0" w14:textId="77777777" w:rsidR="00682656" w:rsidRDefault="00682656" w:rsidP="00BA3292">
            <w:pPr>
              <w:pStyle w:val="StyleTableText9ptChar"/>
              <w:numPr>
                <w:ilvl w:val="0"/>
                <w:numId w:val="72"/>
              </w:numPr>
            </w:pPr>
            <w:r>
              <w:t>Target Expiration Date</w:t>
            </w:r>
          </w:p>
          <w:p w14:paraId="624EA84C" w14:textId="77777777" w:rsidR="00682656" w:rsidRDefault="00682656" w:rsidP="00BA3292">
            <w:pPr>
              <w:pStyle w:val="StyleTableText9ptChar"/>
              <w:numPr>
                <w:ilvl w:val="0"/>
                <w:numId w:val="72"/>
              </w:numPr>
            </w:pPr>
            <w:r>
              <w:t>Date/Time of Modification (transaction)</w:t>
            </w:r>
          </w:p>
          <w:p w14:paraId="7E9B5554" w14:textId="77777777" w:rsidR="00682656" w:rsidRDefault="00682656" w:rsidP="00BA3292">
            <w:pPr>
              <w:pStyle w:val="StyleTableText9ptChar"/>
              <w:numPr>
                <w:ilvl w:val="0"/>
                <w:numId w:val="72"/>
              </w:numPr>
            </w:pPr>
            <w:r>
              <w:t>Data Field User Entered Value or “no entry” if null</w:t>
            </w:r>
          </w:p>
          <w:p w14:paraId="28258309" w14:textId="77777777" w:rsidR="00682656" w:rsidRDefault="00682656" w:rsidP="00BA3292">
            <w:pPr>
              <w:pStyle w:val="StyleTableText9ptChar"/>
              <w:numPr>
                <w:ilvl w:val="0"/>
                <w:numId w:val="72"/>
              </w:numPr>
            </w:pPr>
            <w:r>
              <w:t>Data Field Correct or Expected Value</w:t>
            </w:r>
          </w:p>
          <w:p w14:paraId="4220AC23" w14:textId="77777777" w:rsidR="00682656" w:rsidRDefault="00682656" w:rsidP="00BA3292">
            <w:pPr>
              <w:pStyle w:val="StyleTableText9ptChar"/>
              <w:numPr>
                <w:ilvl w:val="0"/>
                <w:numId w:val="72"/>
              </w:numPr>
            </w:pPr>
            <w:r>
              <w:t>Required Comment (“unit modification” context)</w:t>
            </w:r>
          </w:p>
          <w:p w14:paraId="7A789992" w14:textId="77777777" w:rsidR="00682656" w:rsidRDefault="00682656" w:rsidP="00BA3292">
            <w:pPr>
              <w:pStyle w:val="StyleTableText9ptChar"/>
              <w:numPr>
                <w:ilvl w:val="0"/>
                <w:numId w:val="72"/>
              </w:numPr>
            </w:pPr>
            <w:r>
              <w:t>Modifying Tech ID, print Tech name on report</w:t>
            </w:r>
          </w:p>
          <w:p w14:paraId="7FA87497" w14:textId="77777777" w:rsidR="00682656" w:rsidRDefault="00682656" w:rsidP="00BA3292">
            <w:pPr>
              <w:pStyle w:val="StyleTableText9ptChar"/>
              <w:numPr>
                <w:ilvl w:val="0"/>
                <w:numId w:val="72"/>
              </w:numPr>
            </w:pPr>
            <w:r>
              <w:t>Login Tech ID, print Tech name on report</w:t>
            </w:r>
          </w:p>
          <w:p w14:paraId="7C8DBD1D" w14:textId="77777777" w:rsidR="00682656" w:rsidRDefault="00682656" w:rsidP="00BA3292">
            <w:pPr>
              <w:pStyle w:val="StyleTableText9ptChar"/>
              <w:numPr>
                <w:ilvl w:val="0"/>
                <w:numId w:val="72"/>
              </w:numPr>
            </w:pPr>
            <w:r>
              <w:t>Division</w:t>
            </w:r>
          </w:p>
        </w:tc>
      </w:tr>
      <w:tr w:rsidR="002A21AE" w14:paraId="7A454AAF" w14:textId="77777777">
        <w:tc>
          <w:tcPr>
            <w:tcW w:w="3240" w:type="dxa"/>
          </w:tcPr>
          <w:p w14:paraId="73AC602F" w14:textId="77777777" w:rsidR="002A21AE" w:rsidRDefault="002A21AE">
            <w:pPr>
              <w:pStyle w:val="TableTextNumbers"/>
            </w:pPr>
            <w:r>
              <w:lastRenderedPageBreak/>
              <w:t>Scan or enter each label on the target unit.</w:t>
            </w:r>
          </w:p>
        </w:tc>
        <w:tc>
          <w:tcPr>
            <w:tcW w:w="6120" w:type="dxa"/>
          </w:tcPr>
          <w:p w14:paraId="36F2E129" w14:textId="77777777" w:rsidR="002A21AE" w:rsidRDefault="002A21AE">
            <w:pPr>
              <w:pStyle w:val="TableTextBullet"/>
            </w:pPr>
            <w:r>
              <w:t xml:space="preserve">Compares the data entered in each field to the database. </w:t>
            </w:r>
          </w:p>
          <w:p w14:paraId="1EB4C5ED" w14:textId="77777777" w:rsidR="002A21AE" w:rsidRDefault="002A21AE">
            <w:pPr>
              <w:pStyle w:val="TableTextBullet"/>
            </w:pPr>
            <w:r>
              <w:t>Asks whether the user wishes to save the data. When the user confirms that the data are correct, notifies him that the label verification is complete.</w:t>
            </w:r>
          </w:p>
          <w:p w14:paraId="1819DB62" w14:textId="77777777" w:rsidR="002A21AE" w:rsidRDefault="002A21AE">
            <w:pPr>
              <w:pStyle w:val="TableTextBullet"/>
            </w:pPr>
            <w:r>
              <w:rPr>
                <w:rFonts w:cs="Arial"/>
                <w:vanish/>
              </w:rPr>
              <w:t xml:space="preserve">BR_26.27 </w:t>
            </w:r>
            <w:r>
              <w:t xml:space="preserve">Records the modified or restriction-released unit relabeling data as part of the unit record and stores the data for inclusion in the unit </w:t>
            </w:r>
            <w:r w:rsidR="0051757B">
              <w:t>history</w:t>
            </w:r>
            <w:r>
              <w:t xml:space="preserve"> report.</w:t>
            </w:r>
          </w:p>
          <w:p w14:paraId="3302009D" w14:textId="77777777" w:rsidR="002A21AE" w:rsidRDefault="002A21AE">
            <w:pPr>
              <w:pStyle w:val="TableTextBullet"/>
              <w:tabs>
                <w:tab w:val="clear" w:pos="288"/>
              </w:tabs>
            </w:pPr>
            <w:r>
              <w:t>When the user confirms that the comparisons are correct, notifies him and asks whether he wishes to continue.</w:t>
            </w:r>
          </w:p>
          <w:p w14:paraId="6EDE61D9" w14:textId="77777777" w:rsidR="002A21AE" w:rsidRDefault="002A21AE">
            <w:pPr>
              <w:pStyle w:val="TableText"/>
            </w:pPr>
          </w:p>
          <w:p w14:paraId="645CA15D" w14:textId="3A200437" w:rsidR="002A21AE" w:rsidRDefault="002A21AE">
            <w:pPr>
              <w:pStyle w:val="TableText"/>
              <w:rPr>
                <w:b/>
                <w:bCs/>
                <w:szCs w:val="18"/>
              </w:rPr>
            </w:pPr>
            <w:r>
              <w:rPr>
                <w:b/>
                <w:bCs/>
                <w:szCs w:val="18"/>
              </w:rPr>
              <w:t>NOTES</w:t>
            </w:r>
          </w:p>
          <w:p w14:paraId="50A75D67" w14:textId="77777777" w:rsidR="002A21AE" w:rsidRDefault="002A21AE">
            <w:pPr>
              <w:pStyle w:val="NotesText"/>
            </w:pPr>
          </w:p>
          <w:p w14:paraId="3FB7127B" w14:textId="77777777" w:rsidR="002A21AE" w:rsidRDefault="00E979DB">
            <w:pPr>
              <w:pStyle w:val="NotesText"/>
            </w:pPr>
            <w:r>
              <w:t xml:space="preserve"> </w:t>
            </w:r>
          </w:p>
          <w:p w14:paraId="6D4CDF42" w14:textId="77777777" w:rsidR="002A21AE" w:rsidRDefault="002A21AE">
            <w:pPr>
              <w:pStyle w:val="NotesText"/>
            </w:pPr>
            <w:r>
              <w:t xml:space="preserve">When there is no previous entry for a field, VBECS notifies the user and instructs him to enter a value or select </w:t>
            </w:r>
            <w:r w:rsidR="0082101B">
              <w:rPr>
                <w:b/>
              </w:rPr>
              <w:t>Cancel</w:t>
            </w:r>
            <w:r>
              <w:t>.</w:t>
            </w:r>
          </w:p>
          <w:p w14:paraId="391DDA5E" w14:textId="77777777" w:rsidR="002A21AE" w:rsidRDefault="002A21AE">
            <w:pPr>
              <w:pStyle w:val="NotesText"/>
            </w:pPr>
          </w:p>
          <w:p w14:paraId="494F177F" w14:textId="77777777" w:rsidR="002A21AE" w:rsidRDefault="00892350">
            <w:pPr>
              <w:pStyle w:val="NotesText"/>
            </w:pPr>
            <w:r>
              <w:t>VBECS requires a comment w</w:t>
            </w:r>
            <w:r w:rsidR="002A21AE">
              <w:t xml:space="preserve">hen the user selects </w:t>
            </w:r>
            <w:r w:rsidR="0082101B">
              <w:rPr>
                <w:b/>
              </w:rPr>
              <w:t>Cancel</w:t>
            </w:r>
            <w:r w:rsidR="002A21AE">
              <w:t>, and captures details for inclusion in an Exception Report (exception type: target product label failed checks).</w:t>
            </w:r>
          </w:p>
        </w:tc>
      </w:tr>
      <w:tr w:rsidR="002A21AE" w14:paraId="3EBDA77C" w14:textId="77777777">
        <w:tc>
          <w:tcPr>
            <w:tcW w:w="3240" w:type="dxa"/>
          </w:tcPr>
          <w:p w14:paraId="4F4F1CD3" w14:textId="77777777" w:rsidR="002A21AE" w:rsidRDefault="002A21AE">
            <w:pPr>
              <w:pStyle w:val="TableTextNumbers"/>
            </w:pPr>
            <w:r>
              <w:t xml:space="preserve">Click </w:t>
            </w:r>
            <w:r>
              <w:rPr>
                <w:b/>
              </w:rPr>
              <w:t>OK</w:t>
            </w:r>
            <w:r>
              <w:t xml:space="preserve"> to confirm the save.</w:t>
            </w:r>
          </w:p>
        </w:tc>
        <w:tc>
          <w:tcPr>
            <w:tcW w:w="6120" w:type="dxa"/>
          </w:tcPr>
          <w:p w14:paraId="2911B13B" w14:textId="77777777" w:rsidR="002A21AE" w:rsidRDefault="002A21AE">
            <w:pPr>
              <w:pStyle w:val="TableTextBullet"/>
              <w:tabs>
                <w:tab w:val="clear" w:pos="288"/>
              </w:tabs>
            </w:pPr>
            <w:r>
              <w:t>Saves the new modified unit data.</w:t>
            </w:r>
          </w:p>
          <w:p w14:paraId="26C8F176" w14:textId="77777777" w:rsidR="002A21AE" w:rsidRDefault="002A21AE">
            <w:pPr>
              <w:pStyle w:val="TableTextBullet"/>
              <w:tabs>
                <w:tab w:val="clear" w:pos="288"/>
              </w:tabs>
            </w:pPr>
            <w:r>
              <w:t>Updates the status of the original unit to “modified.”</w:t>
            </w:r>
          </w:p>
          <w:p w14:paraId="05E40B38" w14:textId="77777777" w:rsidR="00EE2911" w:rsidRDefault="00EE2911">
            <w:pPr>
              <w:pStyle w:val="TableTextBullet"/>
              <w:tabs>
                <w:tab w:val="clear" w:pos="288"/>
              </w:tabs>
            </w:pPr>
            <w:r>
              <w:t>Records the unit ID of the target unit on the record of the original unit.</w:t>
            </w:r>
          </w:p>
          <w:p w14:paraId="188F2489" w14:textId="77777777" w:rsidR="002A21AE" w:rsidRDefault="002A21AE">
            <w:pPr>
              <w:pStyle w:val="TableTextBullet"/>
              <w:tabs>
                <w:tab w:val="clear" w:pos="288"/>
              </w:tabs>
            </w:pPr>
            <w:r>
              <w:t>Prompts the user to modify another unit.</w:t>
            </w:r>
          </w:p>
          <w:p w14:paraId="4679504B" w14:textId="77777777" w:rsidR="002A21AE" w:rsidRDefault="002A21AE">
            <w:pPr>
              <w:pStyle w:val="TableText"/>
            </w:pPr>
          </w:p>
          <w:p w14:paraId="370A33C0" w14:textId="794E8A8B" w:rsidR="002A21AE" w:rsidRDefault="002A21AE">
            <w:pPr>
              <w:pStyle w:val="TableText"/>
              <w:rPr>
                <w:b/>
                <w:bCs/>
                <w:szCs w:val="18"/>
              </w:rPr>
            </w:pPr>
            <w:r>
              <w:rPr>
                <w:b/>
                <w:bCs/>
                <w:szCs w:val="18"/>
              </w:rPr>
              <w:t>NOTES</w:t>
            </w:r>
          </w:p>
          <w:p w14:paraId="1D7012CF" w14:textId="77777777" w:rsidR="002A21AE" w:rsidRDefault="002A21AE">
            <w:pPr>
              <w:pStyle w:val="NotesText"/>
            </w:pPr>
          </w:p>
          <w:p w14:paraId="6F8E62AB" w14:textId="77777777" w:rsidR="002A21AE" w:rsidRDefault="002A21AE">
            <w:pPr>
              <w:pStyle w:val="NotesText"/>
              <w:rPr>
                <w:i/>
              </w:rPr>
            </w:pPr>
            <w:r>
              <w:rPr>
                <w:rFonts w:cs="Arial"/>
                <w:vanish/>
              </w:rPr>
              <w:t xml:space="preserve">BR_26.15 </w:t>
            </w:r>
            <w:r>
              <w:t>The target unit automatically inh</w:t>
            </w:r>
            <w:r w:rsidR="00131240">
              <w:t>erits original unit data</w:t>
            </w:r>
            <w:r>
              <w:t>:</w:t>
            </w:r>
            <w:r>
              <w:rPr>
                <w:i/>
              </w:rPr>
              <w:t xml:space="preserve"> </w:t>
            </w:r>
          </w:p>
          <w:p w14:paraId="446C214C" w14:textId="77777777" w:rsidR="00391084" w:rsidRDefault="00391084">
            <w:pPr>
              <w:pStyle w:val="NotesTextBullet"/>
            </w:pPr>
            <w:r>
              <w:t>Additional unit testing (CMV, Sickle Cell, antigen typings, = &gt; 2 mL RBC contamination)</w:t>
            </w:r>
          </w:p>
          <w:p w14:paraId="03463F19" w14:textId="77777777" w:rsidR="002A21AE" w:rsidRDefault="002A21AE">
            <w:pPr>
              <w:pStyle w:val="NotesTextBullet"/>
            </w:pPr>
            <w:r>
              <w:t>Unit ABO/Rh (from login)</w:t>
            </w:r>
          </w:p>
          <w:p w14:paraId="38EF576F" w14:textId="77777777" w:rsidR="002A21AE" w:rsidRDefault="002A21AE">
            <w:pPr>
              <w:pStyle w:val="NotesTextBullet"/>
            </w:pPr>
            <w:r>
              <w:t>ABO/Rh confirmation testing information (when performed)</w:t>
            </w:r>
          </w:p>
          <w:p w14:paraId="50F9FD64" w14:textId="77777777" w:rsidR="002A21AE" w:rsidRDefault="002A21AE">
            <w:pPr>
              <w:pStyle w:val="NotesTextBullet"/>
            </w:pPr>
            <w:r>
              <w:t>Unit ID</w:t>
            </w:r>
          </w:p>
          <w:p w14:paraId="217ABB6C" w14:textId="77777777" w:rsidR="002A21AE" w:rsidRDefault="002A21AE">
            <w:pPr>
              <w:pStyle w:val="NotesTextBullet"/>
            </w:pPr>
            <w:r>
              <w:t xml:space="preserve">Unit Volume </w:t>
            </w:r>
            <w:r w:rsidR="0039034C">
              <w:t>(exceptions – target unit created as a result of Split or Volume Reduce does not inherit original unit volume. Target unit volume must be manually entered for volume reduced units)</w:t>
            </w:r>
          </w:p>
          <w:p w14:paraId="7C74ECC2" w14:textId="77777777" w:rsidR="002A21AE" w:rsidRDefault="002A21AE">
            <w:pPr>
              <w:pStyle w:val="NotesTextBullet"/>
            </w:pPr>
            <w:r>
              <w:t>Donation type</w:t>
            </w:r>
          </w:p>
          <w:p w14:paraId="2CABB61B" w14:textId="77777777" w:rsidR="002A21AE" w:rsidRDefault="002A21AE">
            <w:pPr>
              <w:pStyle w:val="NotesTextBullet"/>
            </w:pPr>
            <w:r>
              <w:t>Disease marker testing information, when autologous.</w:t>
            </w:r>
          </w:p>
          <w:p w14:paraId="5275E560" w14:textId="77777777" w:rsidR="002A21AE" w:rsidRDefault="002A21AE">
            <w:pPr>
              <w:pStyle w:val="NotesTextBullet"/>
            </w:pPr>
            <w:r>
              <w:t>Restricted for patient name, ID.</w:t>
            </w:r>
          </w:p>
          <w:p w14:paraId="0FED7D3A" w14:textId="77777777" w:rsidR="002A21AE" w:rsidRDefault="002A21AE">
            <w:pPr>
              <w:pStyle w:val="NotesTextBullet"/>
            </w:pPr>
            <w:r>
              <w:t>Current status</w:t>
            </w:r>
          </w:p>
          <w:p w14:paraId="24E9DC62" w14:textId="77777777" w:rsidR="002A21AE" w:rsidRDefault="002A21AE">
            <w:pPr>
              <w:pStyle w:val="NotesTextBullet"/>
            </w:pPr>
            <w:r>
              <w:t>Biohazard Indicator</w:t>
            </w:r>
          </w:p>
          <w:p w14:paraId="3AB86BED" w14:textId="77777777" w:rsidR="002A21AE" w:rsidRDefault="002A21AE">
            <w:pPr>
              <w:pStyle w:val="NotesTextBullet"/>
            </w:pPr>
            <w:r>
              <w:t>Quarantine Indicator</w:t>
            </w:r>
          </w:p>
          <w:p w14:paraId="50113225" w14:textId="77777777" w:rsidR="002A21AE" w:rsidRDefault="002A21AE" w:rsidP="00391084">
            <w:pPr>
              <w:pStyle w:val="NotesTextBullet"/>
            </w:pPr>
            <w:r>
              <w:t>Division</w:t>
            </w:r>
          </w:p>
        </w:tc>
      </w:tr>
      <w:tr w:rsidR="002A21AE" w14:paraId="49727980" w14:textId="77777777">
        <w:tc>
          <w:tcPr>
            <w:tcW w:w="3240" w:type="dxa"/>
          </w:tcPr>
          <w:p w14:paraId="0CCF050F" w14:textId="77777777" w:rsidR="002A21AE" w:rsidRDefault="002A21AE">
            <w:pPr>
              <w:pStyle w:val="TableTextNumbers"/>
            </w:pPr>
            <w:r>
              <w:lastRenderedPageBreak/>
              <w:t xml:space="preserve">Repeat Steps 3–14 to modify another unit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71" w:author="Blalock, David (Leidos)" w:date="2020-06-15T14:09:00Z" w:original="0."/>
              </w:fldChar>
            </w:r>
          </w:p>
        </w:tc>
        <w:tc>
          <w:tcPr>
            <w:tcW w:w="6120" w:type="dxa"/>
          </w:tcPr>
          <w:p w14:paraId="7D01CF16" w14:textId="77777777" w:rsidR="002A21AE" w:rsidRDefault="002A21AE">
            <w:pPr>
              <w:pStyle w:val="TableText"/>
            </w:pPr>
          </w:p>
        </w:tc>
      </w:tr>
    </w:tbl>
    <w:p w14:paraId="47ABFCBD" w14:textId="36239A7D" w:rsidR="001B4885" w:rsidRDefault="001B4885" w:rsidP="001B4885">
      <w:pPr>
        <w:pStyle w:val="Caption"/>
      </w:pPr>
      <w:bookmarkStart w:id="372" w:name="_Ref126649536"/>
      <w:bookmarkStart w:id="373" w:name="_Ref23852327"/>
      <w:bookmarkStart w:id="374" w:name="_Toc9434932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88</w:t>
      </w:r>
      <w:r w:rsidR="004E20BD">
        <w:rPr>
          <w:noProof/>
        </w:rPr>
        <w:fldChar w:fldCharType="end"/>
      </w:r>
      <w:bookmarkEnd w:id="372"/>
      <w:r>
        <w:t>: Modify Unit(s)</w:t>
      </w:r>
      <w:bookmarkEnd w:id="373"/>
    </w:p>
    <w:p w14:paraId="2C0BC550" w14:textId="734E5C47" w:rsidR="001B4885" w:rsidRDefault="00570C93" w:rsidP="00AB1E83">
      <w:pPr>
        <w:pStyle w:val="BodyText"/>
      </w:pPr>
      <w:r>
        <w:rPr>
          <w:noProof/>
        </w:rPr>
        <w:drawing>
          <wp:inline distT="0" distB="0" distL="0" distR="0" wp14:anchorId="0777C66E" wp14:editId="500EB1D7">
            <wp:extent cx="3752850" cy="4965700"/>
            <wp:effectExtent l="0" t="0" r="0" b="6350"/>
            <wp:docPr id="64" name="Picture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a:extLst>
                        <a:ext uri="{C183D7F6-B498-43B3-948B-1728B52AA6E4}">
                          <adec:decorative xmlns:adec="http://schemas.microsoft.com/office/drawing/2017/decorative" val="1"/>
                        </a:ext>
                      </a:extLst>
                    </pic:cNvPr>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752850" cy="4965700"/>
                    </a:xfrm>
                    <a:prstGeom prst="rect">
                      <a:avLst/>
                    </a:prstGeom>
                    <a:noFill/>
                    <a:ln>
                      <a:noFill/>
                    </a:ln>
                  </pic:spPr>
                </pic:pic>
              </a:graphicData>
            </a:graphic>
          </wp:inline>
        </w:drawing>
      </w:r>
    </w:p>
    <w:p w14:paraId="5A9D620E" w14:textId="43D98780" w:rsidR="00443BD5" w:rsidRDefault="00443BD5" w:rsidP="00443BD5">
      <w:pPr>
        <w:pStyle w:val="Caption"/>
      </w:pPr>
      <w:bookmarkStart w:id="375" w:name="_Ref12665040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89</w:t>
      </w:r>
      <w:r w:rsidR="004E20BD">
        <w:rPr>
          <w:noProof/>
        </w:rPr>
        <w:fldChar w:fldCharType="end"/>
      </w:r>
      <w:bookmarkEnd w:id="375"/>
      <w:r>
        <w:t>: Split/Divide Unit</w:t>
      </w:r>
    </w:p>
    <w:p w14:paraId="62C7A4AD" w14:textId="56AE3E47" w:rsidR="00443BD5" w:rsidRDefault="00570C93" w:rsidP="00443BD5">
      <w:pPr>
        <w:pStyle w:val="BodyText"/>
      </w:pPr>
      <w:r>
        <w:rPr>
          <w:noProof/>
        </w:rPr>
        <w:drawing>
          <wp:inline distT="0" distB="0" distL="0" distR="0" wp14:anchorId="5653F3A0" wp14:editId="5EC952E1">
            <wp:extent cx="5943600" cy="4898390"/>
            <wp:effectExtent l="0" t="0" r="0" b="0"/>
            <wp:docPr id="55" name="Picture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a:extLst>
                        <a:ext uri="{C183D7F6-B498-43B3-948B-1728B52AA6E4}">
                          <adec:decorative xmlns:adec="http://schemas.microsoft.com/office/drawing/2017/decorative" val="1"/>
                        </a:ext>
                      </a:extLst>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943600" cy="4898390"/>
                    </a:xfrm>
                    <a:prstGeom prst="rect">
                      <a:avLst/>
                    </a:prstGeom>
                    <a:noFill/>
                    <a:ln>
                      <a:noFill/>
                    </a:ln>
                  </pic:spPr>
                </pic:pic>
              </a:graphicData>
            </a:graphic>
          </wp:inline>
        </w:drawing>
      </w:r>
    </w:p>
    <w:p w14:paraId="200568C7" w14:textId="79BA99F4" w:rsidR="00051E30" w:rsidRDefault="00051E30" w:rsidP="00051E30">
      <w:pPr>
        <w:pStyle w:val="Caption"/>
      </w:pPr>
      <w:bookmarkStart w:id="376" w:name="_Ref12665085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90</w:t>
      </w:r>
      <w:r w:rsidR="004E20BD">
        <w:rPr>
          <w:noProof/>
        </w:rPr>
        <w:fldChar w:fldCharType="end"/>
      </w:r>
      <w:bookmarkEnd w:id="376"/>
      <w:r>
        <w:t>: Verify Printed Label</w:t>
      </w:r>
    </w:p>
    <w:p w14:paraId="0A914B4D" w14:textId="77777777" w:rsidR="00051E30" w:rsidRDefault="00057948" w:rsidP="00443BD5">
      <w:pPr>
        <w:pStyle w:val="BodyText"/>
      </w:pPr>
      <w:r>
        <w:rPr>
          <w:noProof/>
        </w:rPr>
        <w:drawing>
          <wp:inline distT="0" distB="0" distL="0" distR="0" wp14:anchorId="39ACF2C4" wp14:editId="6C7D7068">
            <wp:extent cx="5809615" cy="3371215"/>
            <wp:effectExtent l="0" t="0" r="635" b="635"/>
            <wp:docPr id="178" name="Picture 1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a:extLst>
                        <a:ext uri="{C183D7F6-B498-43B3-948B-1728B52AA6E4}">
                          <adec:decorative xmlns:adec="http://schemas.microsoft.com/office/drawing/2017/decorative" val="1"/>
                        </a:ext>
                      </a:extLst>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809615" cy="3371215"/>
                    </a:xfrm>
                    <a:prstGeom prst="rect">
                      <a:avLst/>
                    </a:prstGeom>
                    <a:noFill/>
                    <a:ln>
                      <a:noFill/>
                    </a:ln>
                  </pic:spPr>
                </pic:pic>
              </a:graphicData>
            </a:graphic>
          </wp:inline>
        </w:drawing>
      </w:r>
    </w:p>
    <w:p w14:paraId="03027483" w14:textId="77777777" w:rsidR="002A21AE" w:rsidRDefault="00263B24">
      <w:pPr>
        <w:pStyle w:val="Heading4"/>
      </w:pPr>
      <w:r w:rsidRPr="00896F17">
        <w:rPr>
          <w:rStyle w:val="BullhornChar"/>
        </w:rPr>
        <w:t></w:t>
      </w:r>
      <w:r>
        <w:rPr>
          <w:rFonts w:ascii="Webdings" w:hAnsi="Webdings"/>
        </w:rPr>
        <w:t></w:t>
      </w:r>
      <w:r>
        <w:t>A</w:t>
      </w:r>
      <w:r w:rsidR="002A21AE">
        <w:t>lerts</w:t>
      </w:r>
      <w:bookmarkEnd w:id="374"/>
    </w:p>
    <w:p w14:paraId="103C6729" w14:textId="70E78526" w:rsidR="002A21AE" w:rsidRDefault="00B94CA8" w:rsidP="00B94CA8">
      <w:pPr>
        <w:pStyle w:val="Caption"/>
      </w:pPr>
      <w:bookmarkStart w:id="377" w:name="_Ref50989899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5</w:t>
      </w:r>
      <w:r w:rsidR="004E20BD">
        <w:rPr>
          <w:noProof/>
        </w:rPr>
        <w:fldChar w:fldCharType="end"/>
      </w:r>
      <w:bookmarkEnd w:id="377"/>
      <w:r>
        <w:t>: Alerts That May Occur in Modify Units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6A2778D7" w14:textId="77777777">
        <w:trPr>
          <w:tblHeader/>
        </w:trPr>
        <w:tc>
          <w:tcPr>
            <w:tcW w:w="780" w:type="dxa"/>
            <w:shd w:val="clear" w:color="auto" w:fill="B3B3B3"/>
          </w:tcPr>
          <w:p w14:paraId="784E51C1" w14:textId="77777777" w:rsidR="002A21AE" w:rsidRDefault="002A21AE">
            <w:pPr>
              <w:pStyle w:val="TableText"/>
              <w:rPr>
                <w:b/>
              </w:rPr>
            </w:pPr>
            <w:r>
              <w:rPr>
                <w:b/>
              </w:rPr>
              <w:t>Step</w:t>
            </w:r>
          </w:p>
        </w:tc>
        <w:tc>
          <w:tcPr>
            <w:tcW w:w="8580" w:type="dxa"/>
            <w:shd w:val="clear" w:color="auto" w:fill="B3B3B3"/>
          </w:tcPr>
          <w:p w14:paraId="6FA3635A" w14:textId="77777777" w:rsidR="002A21AE" w:rsidRDefault="002A21AE">
            <w:pPr>
              <w:pStyle w:val="TableText"/>
              <w:rPr>
                <w:b/>
              </w:rPr>
            </w:pPr>
            <w:r>
              <w:rPr>
                <w:b/>
              </w:rPr>
              <w:t>Alerts</w:t>
            </w:r>
          </w:p>
        </w:tc>
      </w:tr>
      <w:tr w:rsidR="002A21AE" w14:paraId="7A514020" w14:textId="77777777">
        <w:tc>
          <w:tcPr>
            <w:tcW w:w="780" w:type="dxa"/>
          </w:tcPr>
          <w:p w14:paraId="0753C7C5" w14:textId="77777777" w:rsidR="002A21AE" w:rsidRDefault="002A21AE">
            <w:pPr>
              <w:pStyle w:val="TableText"/>
            </w:pPr>
            <w:r>
              <w:t>6</w:t>
            </w:r>
          </w:p>
        </w:tc>
        <w:tc>
          <w:tcPr>
            <w:tcW w:w="8580" w:type="dxa"/>
          </w:tcPr>
          <w:p w14:paraId="3423871E" w14:textId="77777777" w:rsidR="002A21AE" w:rsidRDefault="002A21AE">
            <w:pPr>
              <w:pStyle w:val="TableText"/>
            </w:pPr>
            <w:r w:rsidRPr="002D7202">
              <w:rPr>
                <w:rFonts w:cs="Arial"/>
                <w:vanish/>
                <w:color w:val="0000FF"/>
                <w:szCs w:val="18"/>
              </w:rPr>
              <w:t>BR_26.03</w:t>
            </w:r>
            <w:r w:rsidR="00CE3961" w:rsidRPr="00CE3961">
              <w:rPr>
                <w:vanish/>
                <w:szCs w:val="18"/>
              </w:rPr>
              <w:t>,</w:t>
            </w:r>
            <w:r w:rsidRPr="00CE3961">
              <w:rPr>
                <w:vanish/>
                <w:szCs w:val="18"/>
              </w:rPr>
              <w:t xml:space="preserve"> </w:t>
            </w:r>
            <w:r>
              <w:rPr>
                <w:vanish/>
                <w:szCs w:val="18"/>
              </w:rPr>
              <w:t xml:space="preserve">BR_26.44 </w:t>
            </w:r>
            <w:r>
              <w:t xml:space="preserve">VBECS compares the original unit’s expiration date and time to those of the modification to determine whether the selected unit was expired at the time of modification. When the user is a Blood Bank Technologist and the unit selected for modification expired, VBECS </w:t>
            </w:r>
            <w:r w:rsidR="007313EB">
              <w:t xml:space="preserve">emits an audible alert, </w:t>
            </w:r>
            <w:r>
              <w:t>displays an error message, clears the selected unit, and allows the user to select another unit for modification.</w:t>
            </w:r>
          </w:p>
          <w:p w14:paraId="5203465D" w14:textId="77777777" w:rsidR="002A21AE" w:rsidRDefault="002A21AE">
            <w:pPr>
              <w:pStyle w:val="TableText"/>
            </w:pPr>
          </w:p>
          <w:p w14:paraId="62AF4E07" w14:textId="77777777" w:rsidR="002A21AE" w:rsidRDefault="002A21AE">
            <w:pPr>
              <w:pStyle w:val="TableTextBullet1"/>
              <w:numPr>
                <w:ilvl w:val="0"/>
                <w:numId w:val="0"/>
              </w:numPr>
            </w:pPr>
            <w:r w:rsidRPr="00EC7489">
              <w:rPr>
                <w:rFonts w:ascii="Wingdings 3" w:hAnsi="Wingdings 3" w:cs="Wingdings"/>
              </w:rPr>
              <w:t></w:t>
            </w:r>
            <w:r w:rsidRPr="00EC7489">
              <w:rPr>
                <w:rFonts w:ascii="Wingdings 3" w:hAnsi="Wingdings 3" w:cs="Wingdings"/>
              </w:rPr>
              <w:t></w:t>
            </w:r>
            <w:r>
              <w:t xml:space="preserve"> When the user is an Enhanced Technologist and the unit selected for modification is expired, VBECS emits an audible alert, notifies the user, and asks him to verify to continue, or cancel to correct the entry data. </w:t>
            </w:r>
            <w:r w:rsidR="00692DD1">
              <w:rPr>
                <w:b/>
              </w:rPr>
              <w:t>Override</w:t>
            </w:r>
            <w:r w:rsidR="00692DD1">
              <w:t xml:space="preserve"> </w:t>
            </w:r>
            <w:r>
              <w:t xml:space="preserve">requires a comment and VBECS captures details for inclusion in an Exception Report (exception type: expires unit modified). </w:t>
            </w:r>
            <w:r>
              <w:rPr>
                <w:b/>
              </w:rPr>
              <w:t>Cancel</w:t>
            </w:r>
            <w:r>
              <w:t xml:space="preserve"> clears the selected unit and allows the user to select another unit for modification.</w:t>
            </w:r>
          </w:p>
        </w:tc>
      </w:tr>
      <w:tr w:rsidR="002A21AE" w14:paraId="329DA3A7" w14:textId="77777777">
        <w:tc>
          <w:tcPr>
            <w:tcW w:w="780" w:type="dxa"/>
          </w:tcPr>
          <w:p w14:paraId="1A1606CF" w14:textId="77777777" w:rsidR="002A21AE" w:rsidRDefault="002A21AE">
            <w:pPr>
              <w:pStyle w:val="TableText"/>
            </w:pPr>
            <w:r>
              <w:t>6</w:t>
            </w:r>
          </w:p>
        </w:tc>
        <w:tc>
          <w:tcPr>
            <w:tcW w:w="8580" w:type="dxa"/>
          </w:tcPr>
          <w:p w14:paraId="5A0FFE5A" w14:textId="77777777" w:rsidR="002A21AE" w:rsidRDefault="002A21AE">
            <w:pPr>
              <w:pStyle w:val="TableText"/>
            </w:pPr>
            <w:r w:rsidRPr="00317A8A">
              <w:rPr>
                <w:rFonts w:cs="Arial"/>
                <w:vanish/>
                <w:color w:val="0000FF"/>
              </w:rPr>
              <w:t>BR_26.07</w:t>
            </w:r>
            <w:r>
              <w:rPr>
                <w:rFonts w:cs="Arial"/>
                <w:vanish/>
              </w:rPr>
              <w:t xml:space="preserve"> </w:t>
            </w:r>
            <w:r>
              <w:t>When ABO/Rh confirmation testing is required but not performed, VBECS notifies the user that testing must be completed before issuing a target unit. The user may continue with the modification.</w:t>
            </w:r>
          </w:p>
        </w:tc>
      </w:tr>
      <w:tr w:rsidR="002A21AE" w14:paraId="044B4FF4" w14:textId="77777777">
        <w:tc>
          <w:tcPr>
            <w:tcW w:w="780" w:type="dxa"/>
          </w:tcPr>
          <w:p w14:paraId="649C1927" w14:textId="77777777" w:rsidR="002A21AE" w:rsidRDefault="002A21AE">
            <w:pPr>
              <w:pStyle w:val="TableText"/>
            </w:pPr>
            <w:r>
              <w:t>6</w:t>
            </w:r>
          </w:p>
        </w:tc>
        <w:tc>
          <w:tcPr>
            <w:tcW w:w="8580" w:type="dxa"/>
          </w:tcPr>
          <w:p w14:paraId="537DE50D" w14:textId="77777777" w:rsidR="00A36571" w:rsidRDefault="00A36571" w:rsidP="00A36571">
            <w:pPr>
              <w:pStyle w:val="TableText"/>
            </w:pPr>
            <w:r w:rsidRPr="004A4EC2">
              <w:rPr>
                <w:rFonts w:cs="Arial"/>
                <w:vanish/>
                <w:color w:val="0000FF"/>
              </w:rPr>
              <w:t>BR_26.05</w:t>
            </w:r>
            <w:r>
              <w:rPr>
                <w:rFonts w:cs="Arial"/>
                <w:vanish/>
              </w:rPr>
              <w:t xml:space="preserve"> </w:t>
            </w:r>
            <w:r>
              <w:t>When a unit has an indicator of “quarantined,” VBECS notifies the user that it must be released before processing may continue, clears the selected unit, and allows the user to select another unit.</w:t>
            </w:r>
          </w:p>
          <w:p w14:paraId="1FC9158B" w14:textId="77777777" w:rsidR="00A36571" w:rsidRDefault="00A36571" w:rsidP="00A36571">
            <w:pPr>
              <w:pStyle w:val="TableText"/>
            </w:pPr>
          </w:p>
          <w:p w14:paraId="004C259B" w14:textId="77777777" w:rsidR="002A21AE" w:rsidRDefault="00A36571" w:rsidP="00A36571">
            <w:pPr>
              <w:pStyle w:val="TableText"/>
            </w:pPr>
            <w:r w:rsidRPr="004A4EC2">
              <w:rPr>
                <w:rFonts w:cs="Arial"/>
                <w:vanish/>
                <w:color w:val="0000FF"/>
              </w:rPr>
              <w:t>BR_26.06</w:t>
            </w:r>
            <w:r>
              <w:rPr>
                <w:rFonts w:cs="Arial"/>
                <w:vanish/>
              </w:rPr>
              <w:t xml:space="preserve"> </w:t>
            </w:r>
            <w:r w:rsidRPr="00EC7489">
              <w:rPr>
                <w:rFonts w:ascii="Wingdings 3" w:hAnsi="Wingdings 3" w:cs="Wingdings"/>
              </w:rPr>
              <w:t></w:t>
            </w:r>
            <w:r w:rsidRPr="00EC7489">
              <w:rPr>
                <w:rFonts w:ascii="Wingdings 3" w:hAnsi="Wingdings 3" w:cs="Wingdings"/>
              </w:rPr>
              <w:t></w:t>
            </w:r>
            <w:r>
              <w:t xml:space="preserve"> When the user is an Enhanced Technologist and a unit has an indicator of “quarantined,” VBECS notifies the user that it must be released before processing may continue and asks whether the user wishes to release the unit. </w:t>
            </w:r>
            <w:r>
              <w:rPr>
                <w:b/>
              </w:rPr>
              <w:t>Cancel</w:t>
            </w:r>
            <w:r>
              <w:t xml:space="preserve"> clears the selected unit and allows the user to select another unit. </w:t>
            </w:r>
            <w:r>
              <w:rPr>
                <w:b/>
              </w:rPr>
              <w:t>Override</w:t>
            </w:r>
            <w:r>
              <w:t xml:space="preserve"> releases the unit through Discard or Quarantine.</w:t>
            </w:r>
          </w:p>
        </w:tc>
      </w:tr>
      <w:tr w:rsidR="002A21AE" w14:paraId="0A5C75D6" w14:textId="77777777">
        <w:tc>
          <w:tcPr>
            <w:tcW w:w="780" w:type="dxa"/>
          </w:tcPr>
          <w:p w14:paraId="5846F04C" w14:textId="77777777" w:rsidR="002A21AE" w:rsidRDefault="002A21AE">
            <w:pPr>
              <w:pStyle w:val="TableText"/>
            </w:pPr>
            <w:r>
              <w:t>6</w:t>
            </w:r>
          </w:p>
        </w:tc>
        <w:tc>
          <w:tcPr>
            <w:tcW w:w="8580" w:type="dxa"/>
          </w:tcPr>
          <w:p w14:paraId="347D85B6" w14:textId="77777777" w:rsidR="002A21AE" w:rsidRDefault="002A21AE">
            <w:pPr>
              <w:pStyle w:val="TableText"/>
            </w:pPr>
            <w:r w:rsidRPr="00150E0F">
              <w:rPr>
                <w:rFonts w:cs="Arial"/>
                <w:vanish/>
                <w:color w:val="0000FF"/>
              </w:rPr>
              <w:t>BR_26.42</w:t>
            </w:r>
            <w:r>
              <w:rPr>
                <w:rFonts w:cs="Arial"/>
                <w:vanish/>
              </w:rPr>
              <w:t xml:space="preserve"> </w:t>
            </w:r>
            <w:r>
              <w:t xml:space="preserve">When the selected unit has a positive biohazard Indicator, </w:t>
            </w:r>
            <w:r w:rsidR="00796883">
              <w:t xml:space="preserve">VBECS will not allow modification unless the user role is Enhanced Technologist, VBECS security levels 2 and above. When the user role is Technologist, VBECS security level 1, the system emits an audible alert and displays a warning </w:t>
            </w:r>
            <w:r w:rsidR="00796883">
              <w:lastRenderedPageBreak/>
              <w:t>message stating that the user does not have the proper security to perform this function. The system does not allow an override.</w:t>
            </w:r>
          </w:p>
          <w:p w14:paraId="4E7F729B" w14:textId="77777777" w:rsidR="00796883" w:rsidRDefault="00796883">
            <w:pPr>
              <w:pStyle w:val="TableText"/>
            </w:pPr>
            <w:r>
              <w:t>When the user role is Enhanced Technologist, VBECS security levels 2 and above, VBECS provides an audible alert and displays a warning message: "&lt;Unit ID, Product Name&gt; is Biohazardous. Do you wish to continue with the modification?" If the user responds “No,” the unit is cleared from the screen and a new unit can be selected. If the user responds “Yes,” a comment (context: Unit modification) is required. Details of this override are captured for inclusion in an exception report.</w:t>
            </w:r>
          </w:p>
        </w:tc>
      </w:tr>
      <w:tr w:rsidR="002A21AE" w14:paraId="1FC49BD6" w14:textId="77777777">
        <w:tc>
          <w:tcPr>
            <w:tcW w:w="780" w:type="dxa"/>
          </w:tcPr>
          <w:p w14:paraId="182137D6" w14:textId="77777777" w:rsidR="002A21AE" w:rsidRDefault="007B681E">
            <w:pPr>
              <w:pStyle w:val="TableText"/>
            </w:pPr>
            <w:r>
              <w:lastRenderedPageBreak/>
              <w:t>8</w:t>
            </w:r>
          </w:p>
        </w:tc>
        <w:tc>
          <w:tcPr>
            <w:tcW w:w="8580" w:type="dxa"/>
          </w:tcPr>
          <w:p w14:paraId="4D67BCD8" w14:textId="77777777" w:rsidR="002A21AE" w:rsidRDefault="002A21AE">
            <w:pPr>
              <w:pStyle w:val="TableText"/>
            </w:pPr>
            <w:r>
              <w:rPr>
                <w:rFonts w:cs="Arial"/>
                <w:vanish/>
              </w:rPr>
              <w:t xml:space="preserve">BR_26.46 </w:t>
            </w:r>
            <w:r>
              <w:t xml:space="preserve">When a supply item is expired, VBECS emits an audible alert, warns the user, and asks whether the user still wishes to use the item. </w:t>
            </w:r>
            <w:r>
              <w:rPr>
                <w:b/>
              </w:rPr>
              <w:t>Yes</w:t>
            </w:r>
            <w:r>
              <w:t xml:space="preserve"> requires a comment and VBECS captures details for inclusion in an Exception Report (exception type: expires supply used in unit modification). </w:t>
            </w:r>
            <w:r>
              <w:rPr>
                <w:b/>
              </w:rPr>
              <w:t>No</w:t>
            </w:r>
            <w:r>
              <w:t xml:space="preserve"> requires the user to select another supply lot number.</w:t>
            </w:r>
          </w:p>
        </w:tc>
      </w:tr>
      <w:tr w:rsidR="002A21AE" w14:paraId="619486C3" w14:textId="77777777">
        <w:tc>
          <w:tcPr>
            <w:tcW w:w="780" w:type="dxa"/>
          </w:tcPr>
          <w:p w14:paraId="549B33C3" w14:textId="77777777" w:rsidR="002A21AE" w:rsidRDefault="002A21AE">
            <w:pPr>
              <w:pStyle w:val="TableText"/>
            </w:pPr>
            <w:r>
              <w:t>10</w:t>
            </w:r>
          </w:p>
        </w:tc>
        <w:tc>
          <w:tcPr>
            <w:tcW w:w="8580" w:type="dxa"/>
          </w:tcPr>
          <w:p w14:paraId="611DA391" w14:textId="77777777" w:rsidR="002A21AE" w:rsidRDefault="002A21AE">
            <w:pPr>
              <w:pStyle w:val="TableText"/>
            </w:pPr>
            <w:r w:rsidRPr="003354C6">
              <w:rPr>
                <w:rFonts w:cs="Arial"/>
                <w:vanish/>
                <w:color w:val="0000FF"/>
              </w:rPr>
              <w:t>BR_26.28</w:t>
            </w:r>
            <w:r>
              <w:rPr>
                <w:rFonts w:cs="Arial"/>
                <w:vanish/>
              </w:rPr>
              <w:t xml:space="preserve"> </w:t>
            </w:r>
            <w:r>
              <w:t xml:space="preserve">When the user </w:t>
            </w:r>
            <w:r w:rsidR="005C01E3">
              <w:t>extends</w:t>
            </w:r>
            <w:r>
              <w:t xml:space="preserve"> the </w:t>
            </w:r>
            <w:r w:rsidR="0003608A">
              <w:t>system-recommended</w:t>
            </w:r>
            <w:r>
              <w:t xml:space="preserve"> expiration date and time, VBECS warns the user, asks him to reenter the unit expiration date, and </w:t>
            </w:r>
            <w:r w:rsidR="00C877D1">
              <w:t>redisplays</w:t>
            </w:r>
            <w:r w:rsidR="00811354">
              <w:t xml:space="preserve"> </w:t>
            </w:r>
            <w:r>
              <w:t xml:space="preserve">the </w:t>
            </w:r>
            <w:r w:rsidR="00C877D1">
              <w:t xml:space="preserve">original </w:t>
            </w:r>
            <w:r>
              <w:t>entry. The user may enter another expiration date and time for the target unit.</w:t>
            </w:r>
          </w:p>
          <w:p w14:paraId="4918E8D0" w14:textId="77777777" w:rsidR="002A21AE" w:rsidRDefault="002A21AE">
            <w:pPr>
              <w:pStyle w:val="TableText"/>
            </w:pPr>
          </w:p>
          <w:p w14:paraId="5BA8460F" w14:textId="77777777" w:rsidR="002A21AE" w:rsidRDefault="002A21AE">
            <w:pPr>
              <w:pStyle w:val="TableText"/>
            </w:pPr>
            <w:r w:rsidRPr="003354C6">
              <w:rPr>
                <w:rFonts w:cs="Arial"/>
                <w:vanish/>
                <w:color w:val="0000FF"/>
              </w:rPr>
              <w:t>BR_26.21</w:t>
            </w:r>
            <w:r>
              <w:rPr>
                <w:rFonts w:cs="Arial"/>
                <w:vanish/>
              </w:rPr>
              <w:t xml:space="preserve"> </w:t>
            </w:r>
            <w:r w:rsidRPr="00EC7489">
              <w:rPr>
                <w:rFonts w:ascii="Wingdings 3" w:hAnsi="Wingdings 3" w:cs="Wingdings"/>
              </w:rPr>
              <w:t></w:t>
            </w:r>
            <w:r w:rsidRPr="00EC7489">
              <w:rPr>
                <w:rFonts w:ascii="Wingdings 3" w:hAnsi="Wingdings 3" w:cs="Wingdings"/>
              </w:rPr>
              <w:t></w:t>
            </w:r>
            <w:r>
              <w:t xml:space="preserve"> When an Enhanced Technologist extends the target unit expiration date and time past the system-recommended expiration date and time, VBECS emits an audible alert, warns the user, and asks whether he wishes to continue.</w:t>
            </w:r>
            <w:r w:rsidR="00323872">
              <w:t xml:space="preserve"> </w:t>
            </w:r>
            <w:r w:rsidR="00323872" w:rsidRPr="00323872">
              <w:rPr>
                <w:b/>
              </w:rPr>
              <w:t>Cancel</w:t>
            </w:r>
            <w:r w:rsidR="00323872">
              <w:t xml:space="preserve"> restores the expiration</w:t>
            </w:r>
            <w:r w:rsidR="00E00D0E">
              <w:t xml:space="preserve"> date</w:t>
            </w:r>
            <w:r w:rsidR="00323872">
              <w:t xml:space="preserve">. </w:t>
            </w:r>
            <w:r w:rsidR="00323872" w:rsidRPr="00323872">
              <w:rPr>
                <w:b/>
              </w:rPr>
              <w:t>Override</w:t>
            </w:r>
            <w:r w:rsidR="00323872">
              <w:t xml:space="preserve"> allows the user to</w:t>
            </w:r>
            <w:r w:rsidR="00AA6C54">
              <w:t xml:space="preserve"> </w:t>
            </w:r>
            <w:r w:rsidR="00323872">
              <w:t>continue</w:t>
            </w:r>
            <w:r>
              <w:t xml:space="preserve"> with this date</w:t>
            </w:r>
            <w:r w:rsidR="00323872">
              <w:t>,</w:t>
            </w:r>
            <w:r>
              <w:t xml:space="preserve"> requires a comment</w:t>
            </w:r>
            <w:r w:rsidR="00323872">
              <w:t>,</w:t>
            </w:r>
            <w:r>
              <w:t xml:space="preserve"> and captures details for inclusion in an Exception Report (exception type: target product outdate extended).</w:t>
            </w:r>
            <w:r w:rsidR="00D76D67">
              <w:t xml:space="preserve"> </w:t>
            </w:r>
            <w:r w:rsidR="00D76D67">
              <w:rPr>
                <w:rStyle w:val="StyleTableText9ptCharChar"/>
              </w:rPr>
              <w:t>Information about this transaction and the comment are queued for an exception report.</w:t>
            </w:r>
          </w:p>
        </w:tc>
      </w:tr>
      <w:tr w:rsidR="00E979DB" w14:paraId="5CDFA49A" w14:textId="77777777">
        <w:tc>
          <w:tcPr>
            <w:tcW w:w="780" w:type="dxa"/>
          </w:tcPr>
          <w:p w14:paraId="1A02D476" w14:textId="77777777" w:rsidR="00E979DB" w:rsidRDefault="00E979DB">
            <w:pPr>
              <w:pStyle w:val="TableText"/>
            </w:pPr>
            <w:r>
              <w:t>13</w:t>
            </w:r>
          </w:p>
        </w:tc>
        <w:tc>
          <w:tcPr>
            <w:tcW w:w="8580" w:type="dxa"/>
          </w:tcPr>
          <w:p w14:paraId="799D82BD" w14:textId="77777777" w:rsidR="00E979DB" w:rsidRDefault="00E979DB" w:rsidP="00E979DB">
            <w:pPr>
              <w:pStyle w:val="NotesText"/>
              <w:ind w:left="0"/>
            </w:pPr>
            <w:r>
              <w:t>When there is no match,</w:t>
            </w:r>
            <w:r>
              <w:rPr>
                <w:noProof/>
                <w:color w:val="000000"/>
              </w:rPr>
              <w:t xml:space="preserve"> VBECS emits an audible alert, notifies the user, </w:t>
            </w:r>
            <w:r>
              <w:t xml:space="preserve">and instructs him to verify the labeling and reenter label data or select </w:t>
            </w:r>
            <w:r>
              <w:rPr>
                <w:b/>
              </w:rPr>
              <w:t>Cancel</w:t>
            </w:r>
            <w:r>
              <w:t xml:space="preserve">. </w:t>
            </w:r>
          </w:p>
          <w:p w14:paraId="2AAD7EA1" w14:textId="77777777" w:rsidR="00E979DB" w:rsidRPr="003354C6" w:rsidRDefault="00E979DB">
            <w:pPr>
              <w:pStyle w:val="TableText"/>
              <w:rPr>
                <w:rFonts w:cs="Arial"/>
                <w:vanish/>
                <w:color w:val="0000FF"/>
              </w:rPr>
            </w:pPr>
          </w:p>
        </w:tc>
      </w:tr>
    </w:tbl>
    <w:p w14:paraId="0ABA980B" w14:textId="77777777" w:rsidR="000A126F" w:rsidRDefault="000A126F">
      <w:pPr>
        <w:pStyle w:val="Heading3"/>
      </w:pPr>
      <w:bookmarkStart w:id="378" w:name="_Toc94349323"/>
      <w:bookmarkEnd w:id="369"/>
    </w:p>
    <w:p w14:paraId="33678748" w14:textId="77777777" w:rsidR="002A21AE" w:rsidRDefault="000A126F">
      <w:pPr>
        <w:pStyle w:val="Heading3"/>
      </w:pPr>
      <w:r>
        <w:br w:type="page"/>
      </w:r>
      <w:bookmarkStart w:id="379" w:name="_Toc47516724"/>
      <w:r w:rsidR="002A21AE">
        <w:lastRenderedPageBreak/>
        <w:t>Modify Units: Split a Unit</w:t>
      </w:r>
      <w:bookmarkEnd w:id="379"/>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Modify Units\: Split a Unit</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w:t>
      </w:r>
      <w:bookmarkEnd w:id="378"/>
      <w:r w:rsidR="00B30CE5">
        <w:rPr>
          <w:vanish/>
        </w:rPr>
        <w:t>6</w:t>
      </w:r>
    </w:p>
    <w:p w14:paraId="25BDB238" w14:textId="77777777" w:rsidR="002A21AE" w:rsidRDefault="002A21AE" w:rsidP="00FA7E65">
      <w:pPr>
        <w:pStyle w:val="BodyText"/>
      </w:pPr>
      <w:bookmarkStart w:id="380" w:name="_Toc77662537"/>
      <w:r>
        <w:t xml:space="preserve">The user selects the unit to be split (divided) for transfusion. </w:t>
      </w:r>
    </w:p>
    <w:p w14:paraId="796AD8BF" w14:textId="77777777" w:rsidR="002A21AE" w:rsidRDefault="002A21AE">
      <w:pPr>
        <w:pStyle w:val="Heading4"/>
      </w:pPr>
      <w:bookmarkStart w:id="381" w:name="_Toc94349324"/>
      <w:r>
        <w:t>Assumptions</w:t>
      </w:r>
      <w:bookmarkEnd w:id="381"/>
    </w:p>
    <w:p w14:paraId="1309FF64" w14:textId="77777777" w:rsidR="002A21AE" w:rsidRDefault="002A21AE">
      <w:pPr>
        <w:pStyle w:val="ListBullet"/>
      </w:pPr>
      <w:r>
        <w:t>See Modify Units.</w:t>
      </w:r>
    </w:p>
    <w:p w14:paraId="0197574E" w14:textId="77777777" w:rsidR="002A21AE" w:rsidRDefault="002A21AE">
      <w:pPr>
        <w:pStyle w:val="Heading4"/>
      </w:pPr>
      <w:bookmarkStart w:id="382" w:name="_Toc94349325"/>
      <w:r>
        <w:t>Outcome</w:t>
      </w:r>
      <w:bookmarkEnd w:id="382"/>
    </w:p>
    <w:p w14:paraId="25FCF2C0" w14:textId="77777777" w:rsidR="002A21AE" w:rsidRDefault="002A21AE">
      <w:pPr>
        <w:pStyle w:val="ListBullet"/>
      </w:pPr>
      <w:r>
        <w:t>See Modify Units.</w:t>
      </w:r>
    </w:p>
    <w:p w14:paraId="73F9780E" w14:textId="77777777" w:rsidR="002A21AE" w:rsidRDefault="002A21AE">
      <w:pPr>
        <w:pStyle w:val="Heading4"/>
      </w:pPr>
      <w:bookmarkStart w:id="383" w:name="_Toc94349326"/>
      <w:r>
        <w:t>Limitations and Restrictions</w:t>
      </w:r>
      <w:bookmarkEnd w:id="383"/>
    </w:p>
    <w:p w14:paraId="447FA14B" w14:textId="77777777" w:rsidR="00516343" w:rsidRDefault="002A21AE">
      <w:pPr>
        <w:pStyle w:val="ListBullet"/>
      </w:pPr>
      <w:r>
        <w:rPr>
          <w:rFonts w:ascii="Arial" w:hAnsi="Arial" w:cs="Arial"/>
          <w:vanish/>
          <w:spacing w:val="0"/>
          <w:sz w:val="18"/>
        </w:rPr>
        <w:t xml:space="preserve">BR_25.21 </w:t>
      </w:r>
      <w:r>
        <w:t xml:space="preserve">A </w:t>
      </w:r>
      <w:r w:rsidR="004248F5">
        <w:t xml:space="preserve">unit </w:t>
      </w:r>
      <w:r>
        <w:t xml:space="preserve">previously split </w:t>
      </w:r>
      <w:r w:rsidR="004248F5">
        <w:t xml:space="preserve">in VBECS </w:t>
      </w:r>
      <w:r>
        <w:t xml:space="preserve">cannot be split again. </w:t>
      </w:r>
      <w:r w:rsidR="00516343">
        <w:t>Only an ISBT unit that was split outside of VBECS can be split again.</w:t>
      </w:r>
    </w:p>
    <w:p w14:paraId="6F5B8133" w14:textId="6F313010" w:rsidR="00516343" w:rsidRDefault="00516343">
      <w:pPr>
        <w:pStyle w:val="ListBullet"/>
      </w:pPr>
      <w:r w:rsidRPr="00516343">
        <w:rPr>
          <w:vanish/>
        </w:rPr>
        <w:t xml:space="preserve">BR_25.21 </w:t>
      </w:r>
      <w:r w:rsidR="00CD635A">
        <w:t>A unit pooled in VBECS may no</w:t>
      </w:r>
      <w:r w:rsidR="00F744C5">
        <w:t>t be split</w:t>
      </w:r>
      <w:r>
        <w:t>.</w:t>
      </w:r>
    </w:p>
    <w:p w14:paraId="3E29D3DA" w14:textId="24DC1859" w:rsidR="002A21AE" w:rsidRDefault="00516343" w:rsidP="00F744C5">
      <w:pPr>
        <w:pStyle w:val="ListBullet"/>
      </w:pPr>
      <w:r w:rsidRPr="00516343">
        <w:rPr>
          <w:vanish/>
        </w:rPr>
        <w:t xml:space="preserve">BR_25.21 </w:t>
      </w:r>
      <w:r w:rsidR="00CD635A">
        <w:t>A unit that has a division code present upon receipt in incoming shipment may be split in VBECS.</w:t>
      </w:r>
    </w:p>
    <w:p w14:paraId="65B11CAC" w14:textId="77777777" w:rsidR="002A21AE" w:rsidRDefault="002A21AE">
      <w:pPr>
        <w:pStyle w:val="Heading4"/>
      </w:pPr>
      <w:bookmarkStart w:id="384" w:name="_Toc94349327"/>
      <w:r>
        <w:t>Additional Information</w:t>
      </w:r>
      <w:bookmarkEnd w:id="384"/>
    </w:p>
    <w:p w14:paraId="56A5E174" w14:textId="77777777" w:rsidR="00A03B5F" w:rsidRDefault="00A03B5F" w:rsidP="00A03B5F">
      <w:pPr>
        <w:pStyle w:val="ListBullet"/>
      </w:pPr>
      <w:r>
        <w:t xml:space="preserve">To reverse other modifications, remove the “modified” status from each unit through </w:t>
      </w:r>
      <w:r w:rsidR="00131240">
        <w:t xml:space="preserve">Supervisor Menu, </w:t>
      </w:r>
      <w:r>
        <w:t>Remove Final Status.</w:t>
      </w:r>
    </w:p>
    <w:p w14:paraId="34C6F95B" w14:textId="77777777" w:rsidR="002A21AE" w:rsidRDefault="002A21AE">
      <w:pPr>
        <w:pStyle w:val="Heading4"/>
      </w:pPr>
      <w:bookmarkStart w:id="385" w:name="_Toc94349328"/>
      <w:r>
        <w:t>User Roles with Access to This Option</w:t>
      </w:r>
      <w:bookmarkEnd w:id="385"/>
    </w:p>
    <w:p w14:paraId="5058E635" w14:textId="77777777" w:rsidR="00700CAA" w:rsidRDefault="00700CAA" w:rsidP="00700CAA">
      <w:pPr>
        <w:pStyle w:val="Roles"/>
        <w:rPr>
          <w:snapToGrid w:val="0"/>
        </w:rPr>
      </w:pPr>
      <w:r>
        <w:t>All users</w:t>
      </w:r>
    </w:p>
    <w:bookmarkEnd w:id="380"/>
    <w:p w14:paraId="7D846A66" w14:textId="77777777" w:rsidR="002A21AE" w:rsidRDefault="002A21AE">
      <w:pPr>
        <w:pStyle w:val="Heading4"/>
      </w:pPr>
      <w:r w:rsidRPr="00FA2D4C">
        <w:t>Modify Units: Split a Unit</w:t>
      </w:r>
    </w:p>
    <w:p w14:paraId="5BF2C184" w14:textId="77777777" w:rsidR="002A21AE" w:rsidRDefault="002A21AE" w:rsidP="00FA7E65">
      <w:pPr>
        <w:pStyle w:val="BodyText"/>
      </w:pPr>
      <w:r>
        <w:t>The user selects the unit to be split for transfusion. VBECS automatically applies directed and autologous restrictions to aliquots created. The user may or may not maintain patient assignments (usually, these units are crossmatched and available for the patient before the split is made). This section lists only rules unique to the division of a blood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A2736C" w14:textId="77777777">
        <w:trPr>
          <w:tblHeader/>
        </w:trPr>
        <w:tc>
          <w:tcPr>
            <w:tcW w:w="3240" w:type="dxa"/>
            <w:shd w:val="pct30" w:color="auto" w:fill="FFFFFF"/>
            <w:vAlign w:val="bottom"/>
          </w:tcPr>
          <w:p w14:paraId="0AF6C58A" w14:textId="77777777" w:rsidR="002A21AE" w:rsidRDefault="002A21AE">
            <w:pPr>
              <w:pStyle w:val="TableText"/>
              <w:rPr>
                <w:b/>
              </w:rPr>
            </w:pPr>
            <w:r>
              <w:rPr>
                <w:b/>
              </w:rPr>
              <w:t>User Action</w:t>
            </w:r>
          </w:p>
        </w:tc>
        <w:tc>
          <w:tcPr>
            <w:tcW w:w="6120" w:type="dxa"/>
            <w:shd w:val="pct30" w:color="auto" w:fill="FFFFFF"/>
            <w:vAlign w:val="bottom"/>
          </w:tcPr>
          <w:p w14:paraId="3804F7C8" w14:textId="77777777" w:rsidR="002A21AE" w:rsidRDefault="002A21AE">
            <w:pPr>
              <w:pStyle w:val="TableText"/>
              <w:rPr>
                <w:b/>
              </w:rPr>
            </w:pPr>
            <w:r>
              <w:rPr>
                <w:b/>
              </w:rPr>
              <w:t>VBECS</w:t>
            </w:r>
          </w:p>
        </w:tc>
      </w:tr>
      <w:tr w:rsidR="002A21AE" w14:paraId="7E6FD3E5" w14:textId="77777777">
        <w:tc>
          <w:tcPr>
            <w:tcW w:w="3240" w:type="dxa"/>
          </w:tcPr>
          <w:p w14:paraId="4032BFD0" w14:textId="77777777" w:rsidR="002A21AE" w:rsidRDefault="002A21AE">
            <w:pPr>
              <w:pStyle w:val="TableTextNumbers"/>
            </w:pPr>
            <w:r>
              <w:t xml:space="preserve">Select </w:t>
            </w:r>
            <w:r>
              <w:rPr>
                <w:b/>
              </w:rPr>
              <w:t>Blood Units</w:t>
            </w:r>
            <w:r>
              <w:t xml:space="preserve"> from the main menu. </w:t>
            </w:r>
          </w:p>
          <w:p w14:paraId="75F576A3" w14:textId="77777777" w:rsidR="002A21AE" w:rsidRDefault="002A21AE">
            <w:pPr>
              <w:pStyle w:val="TableTextNumbersContinued"/>
            </w:pPr>
          </w:p>
          <w:p w14:paraId="64D53084" w14:textId="77777777" w:rsidR="002A21AE" w:rsidRDefault="002A21AE">
            <w:pPr>
              <w:pStyle w:val="TableTextNumbersContinued"/>
            </w:pPr>
            <w:r>
              <w:t xml:space="preserve">Select </w:t>
            </w:r>
            <w:r>
              <w:rPr>
                <w:b/>
              </w:rPr>
              <w:t>Modify Units</w:t>
            </w:r>
            <w:r>
              <w:t>.</w:t>
            </w:r>
          </w:p>
        </w:tc>
        <w:tc>
          <w:tcPr>
            <w:tcW w:w="6120" w:type="dxa"/>
          </w:tcPr>
          <w:p w14:paraId="61B327F8" w14:textId="77777777" w:rsidR="002A21AE" w:rsidRDefault="002A21AE">
            <w:pPr>
              <w:pStyle w:val="TableTextBullet"/>
            </w:pPr>
            <w:r>
              <w:t>Displays options for processing blood units.</w:t>
            </w:r>
          </w:p>
          <w:p w14:paraId="31114424" w14:textId="77777777" w:rsidR="002A21AE" w:rsidRDefault="002A21AE">
            <w:pPr>
              <w:pStyle w:val="TableTextBullet"/>
            </w:pPr>
            <w:r>
              <w:t>Displays valid modification types for selection.</w:t>
            </w:r>
          </w:p>
        </w:tc>
      </w:tr>
      <w:tr w:rsidR="002A21AE" w14:paraId="52BE394C" w14:textId="77777777">
        <w:tc>
          <w:tcPr>
            <w:tcW w:w="3240" w:type="dxa"/>
          </w:tcPr>
          <w:p w14:paraId="2320E896" w14:textId="2312B04F" w:rsidR="002A21AE" w:rsidRDefault="002A21AE">
            <w:pPr>
              <w:pStyle w:val="TableTextNumbers"/>
            </w:pPr>
            <w:r>
              <w:t xml:space="preserve">Click the </w:t>
            </w:r>
            <w:r>
              <w:rPr>
                <w:b/>
              </w:rPr>
              <w:t xml:space="preserve">Split/Divide </w:t>
            </w:r>
            <w:r w:rsidRPr="00BF2E41">
              <w:t>radio button</w:t>
            </w:r>
            <w:r>
              <w:t>.</w:t>
            </w:r>
          </w:p>
          <w:p w14:paraId="1F029574" w14:textId="412C32F2" w:rsidR="00B87C33" w:rsidRDefault="00B87C33" w:rsidP="00B87C33">
            <w:pPr>
              <w:pStyle w:val="TableTextNumbers"/>
              <w:numPr>
                <w:ilvl w:val="0"/>
                <w:numId w:val="0"/>
              </w:numPr>
              <w:ind w:left="288" w:hanging="288"/>
            </w:pPr>
          </w:p>
          <w:p w14:paraId="2EA7B5D9" w14:textId="77777777" w:rsidR="00B87C33" w:rsidRPr="00D431F7" w:rsidRDefault="00B87C33" w:rsidP="00D431F7">
            <w:pPr>
              <w:pStyle w:val="TableText"/>
              <w:ind w:left="288"/>
              <w:rPr>
                <w:rFonts w:cs="Arial"/>
                <w:szCs w:val="18"/>
              </w:rPr>
            </w:pPr>
            <w:r w:rsidRPr="00D431F7">
              <w:rPr>
                <w:rFonts w:cs="Arial"/>
                <w:szCs w:val="18"/>
              </w:rPr>
              <w:t>Click a radio button to select a modification method, if required:</w:t>
            </w:r>
          </w:p>
          <w:p w14:paraId="72F824EA" w14:textId="77777777" w:rsidR="00B87C33" w:rsidRPr="00D431F7" w:rsidRDefault="00B87C33" w:rsidP="00D431F7">
            <w:pPr>
              <w:pStyle w:val="TableText"/>
              <w:numPr>
                <w:ilvl w:val="0"/>
                <w:numId w:val="88"/>
              </w:numPr>
              <w:ind w:left="604"/>
              <w:rPr>
                <w:rFonts w:cs="Arial"/>
                <w:szCs w:val="18"/>
              </w:rPr>
            </w:pPr>
            <w:r w:rsidRPr="00D431F7">
              <w:rPr>
                <w:rFonts w:cs="Arial"/>
                <w:szCs w:val="18"/>
              </w:rPr>
              <w:t>Open</w:t>
            </w:r>
          </w:p>
          <w:p w14:paraId="34AD121B" w14:textId="40DE6DB5" w:rsidR="00B87C33" w:rsidRPr="00D431F7" w:rsidRDefault="00B87C33" w:rsidP="00D431F7">
            <w:pPr>
              <w:pStyle w:val="TableText"/>
              <w:numPr>
                <w:ilvl w:val="0"/>
                <w:numId w:val="88"/>
              </w:numPr>
              <w:ind w:left="604"/>
              <w:rPr>
                <w:rFonts w:cs="Arial"/>
                <w:szCs w:val="18"/>
              </w:rPr>
            </w:pPr>
            <w:r w:rsidRPr="00D431F7">
              <w:rPr>
                <w:rFonts w:cs="Arial"/>
                <w:szCs w:val="18"/>
              </w:rPr>
              <w:t>Closed</w:t>
            </w:r>
          </w:p>
          <w:p w14:paraId="57AB4368" w14:textId="5D66239B" w:rsidR="00B87C33" w:rsidRPr="00D431F7" w:rsidRDefault="00B87C33" w:rsidP="00D431F7">
            <w:pPr>
              <w:pStyle w:val="TableText"/>
              <w:numPr>
                <w:ilvl w:val="0"/>
                <w:numId w:val="88"/>
              </w:numPr>
              <w:ind w:left="604"/>
              <w:rPr>
                <w:rFonts w:cs="Arial"/>
                <w:szCs w:val="18"/>
              </w:rPr>
            </w:pPr>
            <w:r w:rsidRPr="00D431F7">
              <w:rPr>
                <w:rFonts w:cs="Arial"/>
                <w:szCs w:val="18"/>
              </w:rPr>
              <w:t xml:space="preserve">Sterile </w:t>
            </w:r>
            <w:r w:rsidR="00D431F7" w:rsidRPr="00D431F7">
              <w:rPr>
                <w:rFonts w:cs="Arial"/>
                <w:szCs w:val="18"/>
              </w:rPr>
              <w:t>Connection Device</w:t>
            </w:r>
          </w:p>
          <w:p w14:paraId="171C08E3" w14:textId="77777777" w:rsidR="00C96CC3" w:rsidRDefault="00C96CC3" w:rsidP="00C96CC3">
            <w:pPr>
              <w:pStyle w:val="TableTextNumbers"/>
              <w:numPr>
                <w:ilvl w:val="0"/>
                <w:numId w:val="0"/>
              </w:numPr>
              <w:ind w:left="288"/>
            </w:pPr>
          </w:p>
          <w:p w14:paraId="488F5BC5" w14:textId="76C0044E" w:rsidR="00C96CC3" w:rsidRDefault="00C96CC3" w:rsidP="00C96CC3">
            <w:pPr>
              <w:pStyle w:val="TableTextNumbersContinued"/>
            </w:pPr>
            <w:r>
              <w:t xml:space="preserve">For a Sterile Connection Device modification method, click the </w:t>
            </w:r>
            <w:r>
              <w:rPr>
                <w:b/>
              </w:rPr>
              <w:t>Weld Complete</w:t>
            </w:r>
            <w:r>
              <w:t xml:space="preserve"> or</w:t>
            </w:r>
            <w:r>
              <w:rPr>
                <w:b/>
              </w:rPr>
              <w:t xml:space="preserve"> Weld Incomplete </w:t>
            </w:r>
            <w:r w:rsidRPr="00BF2E41">
              <w:t>radio button</w:t>
            </w:r>
            <w:r>
              <w:rPr>
                <w:b/>
              </w:rPr>
              <w:t xml:space="preserve"> </w:t>
            </w:r>
            <w:r>
              <w:t>to indicate the condition of the weld.</w:t>
            </w:r>
          </w:p>
          <w:p w14:paraId="408787A7" w14:textId="77777777" w:rsidR="002A21AE" w:rsidRDefault="002A21AE">
            <w:pPr>
              <w:pStyle w:val="TableTextNumbersContinued"/>
            </w:pPr>
          </w:p>
          <w:p w14:paraId="2A6BDE3F" w14:textId="77777777" w:rsidR="002A21AE" w:rsidRDefault="002A21AE">
            <w:pPr>
              <w:pStyle w:val="TableTextNumbersContinued"/>
            </w:pPr>
            <w:r>
              <w:t xml:space="preserve">Click </w:t>
            </w:r>
            <w:r>
              <w:rPr>
                <w:b/>
              </w:rPr>
              <w:t>OK</w:t>
            </w:r>
            <w:r>
              <w:t>.</w:t>
            </w:r>
          </w:p>
        </w:tc>
        <w:tc>
          <w:tcPr>
            <w:tcW w:w="6120" w:type="dxa"/>
          </w:tcPr>
          <w:p w14:paraId="0739E2CB" w14:textId="77777777" w:rsidR="002A21AE" w:rsidRDefault="002A21AE">
            <w:pPr>
              <w:pStyle w:val="TableTextBullet"/>
              <w:tabs>
                <w:tab w:val="num" w:pos="360"/>
              </w:tabs>
            </w:pPr>
            <w:r>
              <w:t>Allows the user to search for a unit.</w:t>
            </w:r>
          </w:p>
        </w:tc>
      </w:tr>
      <w:tr w:rsidR="002A21AE" w14:paraId="4FA3ED8D" w14:textId="77777777">
        <w:tc>
          <w:tcPr>
            <w:tcW w:w="3240" w:type="dxa"/>
          </w:tcPr>
          <w:p w14:paraId="66A8F13F" w14:textId="77777777" w:rsidR="002A21AE" w:rsidRDefault="002A21AE">
            <w:pPr>
              <w:pStyle w:val="TableTextNumbers"/>
            </w:pPr>
            <w:r>
              <w:lastRenderedPageBreak/>
              <w:t xml:space="preserve">Select a unit and click </w:t>
            </w:r>
            <w:r>
              <w:rPr>
                <w:b/>
              </w:rPr>
              <w:t>OK</w:t>
            </w:r>
            <w:r>
              <w:t>.</w:t>
            </w:r>
          </w:p>
          <w:p w14:paraId="7A3BF984" w14:textId="77777777" w:rsidR="002A21AE" w:rsidRDefault="002A21AE">
            <w:pPr>
              <w:pStyle w:val="TableTextNumbersContinued"/>
            </w:pPr>
          </w:p>
          <w:p w14:paraId="69E031EA" w14:textId="77777777" w:rsidR="002A21AE" w:rsidRDefault="002A21AE">
            <w:pPr>
              <w:pStyle w:val="TableTextNumbersContinued"/>
            </w:pPr>
            <w:r>
              <w:t xml:space="preserve">Click </w:t>
            </w:r>
            <w:r>
              <w:rPr>
                <w:b/>
              </w:rPr>
              <w:t>Select</w:t>
            </w:r>
            <w:r w:rsidR="00462E2C" w:rsidRPr="00462E2C">
              <w:t xml:space="preserve"> to confirm the unit selected.</w:t>
            </w:r>
          </w:p>
        </w:tc>
        <w:tc>
          <w:tcPr>
            <w:tcW w:w="6120" w:type="dxa"/>
          </w:tcPr>
          <w:p w14:paraId="58E7CCAD" w14:textId="77777777" w:rsidR="002A21AE" w:rsidRDefault="002A21AE">
            <w:pPr>
              <w:pStyle w:val="TableTextBullet"/>
              <w:tabs>
                <w:tab w:val="num" w:pos="360"/>
              </w:tabs>
            </w:pPr>
            <w:r>
              <w:t>Displays data for the original and target units.</w:t>
            </w:r>
          </w:p>
        </w:tc>
      </w:tr>
      <w:tr w:rsidR="002A21AE" w14:paraId="4305180F" w14:textId="77777777" w:rsidTr="001A459B">
        <w:trPr>
          <w:cantSplit/>
        </w:trPr>
        <w:tc>
          <w:tcPr>
            <w:tcW w:w="3240" w:type="dxa"/>
          </w:tcPr>
          <w:p w14:paraId="5EDD18DB" w14:textId="1317321A" w:rsidR="002A21AE" w:rsidRDefault="002A21AE">
            <w:pPr>
              <w:pStyle w:val="TableTextNumbers"/>
            </w:pPr>
            <w:r>
              <w:t>Edit the number of adult splits to be created, if required</w:t>
            </w:r>
            <w:r w:rsidR="004C6777">
              <w:t xml:space="preserve"> (</w:t>
            </w:r>
            <w:r w:rsidR="004C6777">
              <w:fldChar w:fldCharType="begin"/>
            </w:r>
            <w:r w:rsidR="004C6777">
              <w:instrText xml:space="preserve"> REF _Ref126650409 \h </w:instrText>
            </w:r>
            <w:r w:rsidR="004C6777">
              <w:fldChar w:fldCharType="separate"/>
            </w:r>
            <w:r w:rsidR="004353ED">
              <w:t xml:space="preserve">Figure </w:t>
            </w:r>
            <w:r w:rsidR="004353ED">
              <w:rPr>
                <w:noProof/>
              </w:rPr>
              <w:t>89</w:t>
            </w:r>
            <w:r w:rsidR="004C6777">
              <w:fldChar w:fldCharType="end"/>
            </w:r>
            <w:r w:rsidR="004C6777">
              <w:t>)</w:t>
            </w:r>
            <w:r>
              <w:t>.</w:t>
            </w:r>
          </w:p>
          <w:p w14:paraId="630F7335" w14:textId="77777777" w:rsidR="002A21AE" w:rsidRDefault="002A21AE">
            <w:pPr>
              <w:pStyle w:val="TableTextNumbersContinued"/>
            </w:pPr>
          </w:p>
          <w:p w14:paraId="62C39670" w14:textId="77777777" w:rsidR="002A21AE" w:rsidRDefault="002A21AE">
            <w:pPr>
              <w:pStyle w:val="TableTextNumbersContinued"/>
            </w:pPr>
            <w:r>
              <w:t xml:space="preserve">Click </w:t>
            </w:r>
            <w:r>
              <w:rPr>
                <w:b/>
              </w:rPr>
              <w:t>Split*</w:t>
            </w:r>
            <w:r>
              <w:t xml:space="preserve"> to verify the number of splits to be created and add the appropriate number of target unit tabs.</w:t>
            </w:r>
          </w:p>
          <w:p w14:paraId="046F2CE5" w14:textId="77777777" w:rsidR="002A21AE" w:rsidRDefault="002A21AE">
            <w:pPr>
              <w:pStyle w:val="TableTextNumbers"/>
              <w:numPr>
                <w:ilvl w:val="0"/>
                <w:numId w:val="0"/>
              </w:numPr>
            </w:pPr>
          </w:p>
        </w:tc>
        <w:tc>
          <w:tcPr>
            <w:tcW w:w="6120" w:type="dxa"/>
          </w:tcPr>
          <w:p w14:paraId="3819F760" w14:textId="77777777" w:rsidR="002A21AE" w:rsidRDefault="002A21AE">
            <w:pPr>
              <w:pStyle w:val="TableTextBullet"/>
              <w:tabs>
                <w:tab w:val="num" w:pos="360"/>
              </w:tabs>
            </w:pPr>
            <w:r>
              <w:t xml:space="preserve">Displays the number of splits to be created (default: 2) for verification. </w:t>
            </w:r>
          </w:p>
          <w:p w14:paraId="573401D4" w14:textId="77777777" w:rsidR="002A21AE" w:rsidRDefault="002A21AE">
            <w:pPr>
              <w:pStyle w:val="TableTextBullet"/>
              <w:tabs>
                <w:tab w:val="num" w:pos="360"/>
              </w:tabs>
            </w:pPr>
            <w:r>
              <w:t>Requires entry of the number of splits to be created.</w:t>
            </w:r>
          </w:p>
          <w:p w14:paraId="013707B3" w14:textId="77777777" w:rsidR="002A21AE" w:rsidRDefault="002A21AE">
            <w:pPr>
              <w:pStyle w:val="TableText"/>
            </w:pPr>
          </w:p>
          <w:p w14:paraId="372EFDCC" w14:textId="5525EB29" w:rsidR="002A21AE" w:rsidRDefault="002A21AE">
            <w:pPr>
              <w:pStyle w:val="TableText"/>
              <w:rPr>
                <w:b/>
                <w:bCs/>
                <w:szCs w:val="18"/>
              </w:rPr>
            </w:pPr>
            <w:r>
              <w:rPr>
                <w:b/>
                <w:bCs/>
                <w:szCs w:val="18"/>
              </w:rPr>
              <w:t>NOTES</w:t>
            </w:r>
          </w:p>
          <w:p w14:paraId="20CB558D" w14:textId="77777777" w:rsidR="002A21AE" w:rsidRDefault="002A21AE">
            <w:pPr>
              <w:pStyle w:val="NotesText"/>
            </w:pPr>
          </w:p>
          <w:p w14:paraId="339DCA61" w14:textId="77777777" w:rsidR="00A93FEA" w:rsidRDefault="00A93FEA" w:rsidP="001132DE">
            <w:pPr>
              <w:pStyle w:val="NotesText"/>
              <w:rPr>
                <w:rFonts w:cs="Arial"/>
                <w:szCs w:val="18"/>
              </w:rPr>
            </w:pPr>
            <w:r w:rsidRPr="00A93FEA">
              <w:rPr>
                <w:rFonts w:cs="Arial"/>
                <w:vanish/>
                <w:szCs w:val="18"/>
              </w:rPr>
              <w:t xml:space="preserve">BR_25.01 </w:t>
            </w:r>
            <w:r w:rsidRPr="00D06747">
              <w:rPr>
                <w:rFonts w:cs="Arial"/>
                <w:szCs w:val="18"/>
              </w:rPr>
              <w:t>The user may split a unit into 2 to 26 subunits (or however many available alphabetic characters remain) until the volume of the original container is consumed. The system will calculate the patient charge of each split (fraction) as its portion of the original unit cost in U.S. dollars ($0,000.00).</w:t>
            </w:r>
          </w:p>
          <w:p w14:paraId="4769C201" w14:textId="77777777" w:rsidR="00A93FEA" w:rsidRDefault="00A93FEA" w:rsidP="001132DE">
            <w:pPr>
              <w:pStyle w:val="NotesText"/>
              <w:rPr>
                <w:rFonts w:cs="Arial"/>
                <w:szCs w:val="18"/>
              </w:rPr>
            </w:pPr>
          </w:p>
          <w:p w14:paraId="3F44873D" w14:textId="77777777" w:rsidR="00A93FEA" w:rsidRDefault="00A93FEA" w:rsidP="00A93FEA">
            <w:pPr>
              <w:pStyle w:val="NotesText"/>
            </w:pPr>
            <w:r w:rsidRPr="00A93FEA">
              <w:rPr>
                <w:vanish/>
              </w:rPr>
              <w:t xml:space="preserve">BR_25.16 </w:t>
            </w:r>
            <w:r w:rsidRPr="00D06747">
              <w:t>When split is selected, users must indicate the number of split units to be created if other than the default number of 2.</w:t>
            </w:r>
          </w:p>
        </w:tc>
      </w:tr>
      <w:tr w:rsidR="002A21AE" w14:paraId="4A8DCA5A" w14:textId="77777777">
        <w:tc>
          <w:tcPr>
            <w:tcW w:w="3240" w:type="dxa"/>
          </w:tcPr>
          <w:p w14:paraId="3578DCAE" w14:textId="77777777" w:rsidR="002A21AE" w:rsidRDefault="002A21AE">
            <w:pPr>
              <w:pStyle w:val="TableTextNumbers"/>
            </w:pPr>
            <w:r>
              <w:t>Select or confirm the desired target component type.</w:t>
            </w:r>
          </w:p>
          <w:p w14:paraId="78B6C1E5" w14:textId="77777777" w:rsidR="002A21AE" w:rsidRDefault="002A21AE">
            <w:pPr>
              <w:pStyle w:val="TableTextNumbersContinued"/>
            </w:pPr>
          </w:p>
          <w:p w14:paraId="11EEB213" w14:textId="77777777" w:rsidR="000E6E10" w:rsidRDefault="00F437F8">
            <w:pPr>
              <w:pStyle w:val="TableTextNumbersContinued"/>
            </w:pPr>
            <w:r>
              <w:t xml:space="preserve">Click the </w:t>
            </w:r>
            <w:r w:rsidRPr="007B7DEC">
              <w:rPr>
                <w:b/>
              </w:rPr>
              <w:t>Container</w:t>
            </w:r>
            <w:r>
              <w:t xml:space="preserve">, </w:t>
            </w:r>
            <w:r w:rsidRPr="00764A64">
              <w:rPr>
                <w:b/>
              </w:rPr>
              <w:t>Supplies</w:t>
            </w:r>
            <w:r w:rsidRPr="007B7DEC">
              <w:t>,</w:t>
            </w:r>
            <w:r w:rsidR="0023261D">
              <w:t xml:space="preserve"> </w:t>
            </w:r>
            <w:r w:rsidRPr="00764A64">
              <w:rPr>
                <w:b/>
              </w:rPr>
              <w:t>Equipment</w:t>
            </w:r>
            <w:r w:rsidRPr="007B7DEC">
              <w:t>, or</w:t>
            </w:r>
            <w:r>
              <w:rPr>
                <w:b/>
              </w:rPr>
              <w:t xml:space="preserve"> SCD Wafer</w:t>
            </w:r>
            <w:r w:rsidRPr="00764A64">
              <w:rPr>
                <w:b/>
              </w:rPr>
              <w:t xml:space="preserve"> </w:t>
            </w:r>
            <w:r w:rsidRPr="00CC3C89">
              <w:t>tab</w:t>
            </w:r>
            <w:r w:rsidR="000E6E10" w:rsidRPr="00CC3C89">
              <w:t xml:space="preserve"> </w:t>
            </w:r>
            <w:r w:rsidR="000E6E10">
              <w:t>and enter another supply and/or equipment lot or ID number.</w:t>
            </w:r>
          </w:p>
          <w:p w14:paraId="0D32322F" w14:textId="77777777" w:rsidR="002A21AE" w:rsidRDefault="002A21AE">
            <w:pPr>
              <w:pStyle w:val="TableTextNumbers"/>
              <w:numPr>
                <w:ilvl w:val="0"/>
                <w:numId w:val="0"/>
              </w:numPr>
            </w:pPr>
          </w:p>
        </w:tc>
        <w:tc>
          <w:tcPr>
            <w:tcW w:w="6120" w:type="dxa"/>
          </w:tcPr>
          <w:p w14:paraId="59BC0027" w14:textId="77777777" w:rsidR="002A21AE" w:rsidRDefault="002A21AE">
            <w:pPr>
              <w:pStyle w:val="TableTextBullet"/>
              <w:tabs>
                <w:tab w:val="num" w:pos="360"/>
              </w:tabs>
            </w:pPr>
            <w:r>
              <w:t>Allows the user to enter lot and ID numbers or select multiple items from the supply and equipment lists.</w:t>
            </w:r>
          </w:p>
          <w:p w14:paraId="1C5EB229" w14:textId="77777777" w:rsidR="002A21AE" w:rsidRDefault="002A21AE">
            <w:pPr>
              <w:pStyle w:val="TableText"/>
            </w:pPr>
          </w:p>
          <w:p w14:paraId="77E58823" w14:textId="2ABB56B1" w:rsidR="002A21AE" w:rsidRDefault="002A21AE">
            <w:pPr>
              <w:pStyle w:val="TableText"/>
              <w:rPr>
                <w:b/>
                <w:bCs/>
                <w:szCs w:val="18"/>
              </w:rPr>
            </w:pPr>
            <w:r>
              <w:rPr>
                <w:b/>
                <w:bCs/>
                <w:szCs w:val="18"/>
              </w:rPr>
              <w:t>NOTES</w:t>
            </w:r>
          </w:p>
          <w:p w14:paraId="3BA49E3A" w14:textId="77777777" w:rsidR="002A21AE" w:rsidRDefault="002A21AE">
            <w:pPr>
              <w:pStyle w:val="NotesText"/>
            </w:pPr>
          </w:p>
          <w:p w14:paraId="3556E61F" w14:textId="77777777" w:rsidR="002A21AE" w:rsidRDefault="002A21AE">
            <w:pPr>
              <w:pStyle w:val="NotesText"/>
              <w:rPr>
                <w:color w:val="000000"/>
              </w:rPr>
            </w:pPr>
            <w:r>
              <w:rPr>
                <w:rFonts w:cs="Arial"/>
                <w:vanish/>
              </w:rPr>
              <w:t xml:space="preserve">BR_25.04 </w:t>
            </w:r>
            <w:r>
              <w:rPr>
                <w:color w:val="000000"/>
              </w:rPr>
              <w:t xml:space="preserve">When multiple </w:t>
            </w:r>
            <w:r w:rsidR="003133AE">
              <w:rPr>
                <w:color w:val="000000"/>
              </w:rPr>
              <w:t>aliquot/split</w:t>
            </w:r>
            <w:r>
              <w:rPr>
                <w:color w:val="000000"/>
              </w:rPr>
              <w:t xml:space="preserve"> units are created, the user must associate a container lot number with each unit created. “Original container” may serve as the lot number for one of the aliquots created.</w:t>
            </w:r>
          </w:p>
          <w:p w14:paraId="61C6FEF0" w14:textId="77777777" w:rsidR="002A21AE" w:rsidRDefault="002A21AE">
            <w:pPr>
              <w:pStyle w:val="NotesText"/>
            </w:pPr>
          </w:p>
          <w:p w14:paraId="2A2F2890" w14:textId="77777777" w:rsidR="002A21AE" w:rsidRDefault="002A21AE">
            <w:pPr>
              <w:pStyle w:val="NotesText"/>
            </w:pPr>
            <w:r>
              <w:t xml:space="preserve">The original blood collection facility must keep a record of the original container lot numbers so that, when a lot number is recalled, it is known which patient was exposed to it. </w:t>
            </w:r>
          </w:p>
          <w:p w14:paraId="459C7642" w14:textId="52C1E474" w:rsidR="00025409" w:rsidRDefault="00025409" w:rsidP="003D61DB">
            <w:pPr>
              <w:pStyle w:val="NotesText"/>
              <w:ind w:left="0"/>
            </w:pPr>
          </w:p>
          <w:p w14:paraId="1E71A8A1" w14:textId="77777777" w:rsidR="00025409" w:rsidRDefault="00025409">
            <w:pPr>
              <w:pStyle w:val="NotesText"/>
              <w:rPr>
                <w:rFonts w:cs="Arial"/>
                <w:szCs w:val="18"/>
              </w:rPr>
            </w:pPr>
            <w:r w:rsidRPr="00025409">
              <w:rPr>
                <w:rFonts w:cs="Arial"/>
                <w:vanish/>
                <w:szCs w:val="18"/>
              </w:rPr>
              <w:t xml:space="preserve">BR_26.58 </w:t>
            </w:r>
            <w:r>
              <w:rPr>
                <w:rFonts w:cs="Arial"/>
                <w:szCs w:val="18"/>
              </w:rPr>
              <w:t>The user may select the target product code from available targets by scanning.</w:t>
            </w:r>
          </w:p>
          <w:p w14:paraId="095EFC7D" w14:textId="77777777" w:rsidR="00025409" w:rsidRDefault="00025409">
            <w:pPr>
              <w:pStyle w:val="NotesText"/>
            </w:pPr>
          </w:p>
          <w:p w14:paraId="1C08EC47" w14:textId="77777777" w:rsidR="00025409" w:rsidRPr="00025409" w:rsidRDefault="00025409" w:rsidP="00025409">
            <w:pPr>
              <w:pStyle w:val="NotesText"/>
              <w:rPr>
                <w:rFonts w:cs="Arial"/>
                <w:szCs w:val="18"/>
              </w:rPr>
            </w:pPr>
            <w:r w:rsidRPr="00025409">
              <w:rPr>
                <w:rFonts w:cs="Arial"/>
                <w:vanish/>
                <w:szCs w:val="18"/>
              </w:rPr>
              <w:t xml:space="preserve">BR_26.59 </w:t>
            </w:r>
            <w:r w:rsidRPr="00025409">
              <w:rPr>
                <w:rFonts w:cs="Arial"/>
                <w:szCs w:val="18"/>
              </w:rPr>
              <w:t>For THAW modification type:</w:t>
            </w:r>
          </w:p>
          <w:p w14:paraId="1D5D215C" w14:textId="77777777" w:rsidR="00025409" w:rsidRPr="00C05AF1" w:rsidRDefault="00025409" w:rsidP="00025409">
            <w:pPr>
              <w:pStyle w:val="NotesTextBullet"/>
              <w:rPr>
                <w:rFonts w:cs="Arial"/>
                <w:szCs w:val="18"/>
              </w:rPr>
            </w:pPr>
            <w:r w:rsidRPr="00C05AF1">
              <w:rPr>
                <w:rFonts w:cs="Arial"/>
                <w:szCs w:val="18"/>
              </w:rPr>
              <w:t xml:space="preserve">There is no attribute assigned for thaw. </w:t>
            </w:r>
          </w:p>
          <w:p w14:paraId="18D5776D" w14:textId="77777777" w:rsidR="00025409" w:rsidRPr="00C05AF1" w:rsidRDefault="00025409" w:rsidP="00025409">
            <w:pPr>
              <w:pStyle w:val="NotesTextBullet"/>
              <w:rPr>
                <w:rFonts w:cs="Arial"/>
                <w:szCs w:val="18"/>
              </w:rPr>
            </w:pPr>
            <w:r w:rsidRPr="00C05AF1">
              <w:rPr>
                <w:rFonts w:cs="Arial"/>
                <w:szCs w:val="18"/>
              </w:rPr>
              <w:t>The product class, modifier and Blood Core (V001) change.</w:t>
            </w:r>
          </w:p>
          <w:p w14:paraId="5053627E" w14:textId="77777777" w:rsidR="00025409" w:rsidRPr="00C05AF1" w:rsidRDefault="00025409" w:rsidP="00025409">
            <w:pPr>
              <w:pStyle w:val="NotesTextBullet"/>
              <w:rPr>
                <w:rFonts w:cs="Arial"/>
                <w:szCs w:val="18"/>
              </w:rPr>
            </w:pPr>
            <w:r w:rsidRPr="00C05AF1">
              <w:rPr>
                <w:rFonts w:cs="Arial"/>
                <w:szCs w:val="18"/>
              </w:rPr>
              <w:t>The system integrity should not change (V0012)</w:t>
            </w:r>
          </w:p>
          <w:p w14:paraId="29F66A12" w14:textId="77777777" w:rsidR="00025409" w:rsidRPr="00C05AF1" w:rsidRDefault="00025409" w:rsidP="00025409">
            <w:pPr>
              <w:pStyle w:val="NotesTextBullet"/>
              <w:rPr>
                <w:rFonts w:cs="Arial"/>
                <w:szCs w:val="18"/>
              </w:rPr>
            </w:pPr>
            <w:r w:rsidRPr="00C05AF1">
              <w:rPr>
                <w:rFonts w:cs="Arial"/>
                <w:szCs w:val="18"/>
              </w:rPr>
              <w:t>Maintain original attribute groups to the target; do not add any attribute values.</w:t>
            </w:r>
          </w:p>
          <w:p w14:paraId="6D4FF666" w14:textId="77777777" w:rsidR="00025409" w:rsidRPr="00C05AF1" w:rsidRDefault="00025409" w:rsidP="00025409">
            <w:pPr>
              <w:pStyle w:val="NotesTextBullet"/>
              <w:rPr>
                <w:rFonts w:cs="Arial"/>
                <w:szCs w:val="18"/>
              </w:rPr>
            </w:pPr>
            <w:r w:rsidRPr="00C05AF1">
              <w:rPr>
                <w:rFonts w:cs="Arial"/>
                <w:szCs w:val="18"/>
              </w:rPr>
              <w:t>Maintain the original anticoagulant or NS.</w:t>
            </w:r>
          </w:p>
          <w:p w14:paraId="2FAC9A4C" w14:textId="7510C461" w:rsidR="00025409" w:rsidRDefault="00025409" w:rsidP="00025409">
            <w:pPr>
              <w:pStyle w:val="NotesTextBullet"/>
              <w:rPr>
                <w:rFonts w:cs="Arial"/>
                <w:szCs w:val="18"/>
              </w:rPr>
            </w:pPr>
            <w:r w:rsidRPr="00C05AF1">
              <w:rPr>
                <w:rFonts w:cs="Arial"/>
                <w:szCs w:val="18"/>
              </w:rPr>
              <w:t>Temperature must change to a non-frozen temperature</w:t>
            </w:r>
          </w:p>
          <w:p w14:paraId="1F4ABC2B" w14:textId="623DC10B" w:rsidR="00491E6F" w:rsidRPr="00025409" w:rsidRDefault="00491E6F" w:rsidP="00025409">
            <w:pPr>
              <w:pStyle w:val="NotesTextBullet"/>
              <w:rPr>
                <w:rFonts w:cs="Arial"/>
                <w:szCs w:val="18"/>
              </w:rPr>
            </w:pPr>
            <w:r>
              <w:rPr>
                <w:rFonts w:cs="Arial"/>
                <w:szCs w:val="18"/>
              </w:rPr>
              <w:t>Target volume may be XX, or match the volume of the parent</w:t>
            </w:r>
          </w:p>
          <w:p w14:paraId="0BA8172D" w14:textId="77777777" w:rsidR="00025409" w:rsidRDefault="00025409" w:rsidP="00025409">
            <w:pPr>
              <w:pStyle w:val="TableText"/>
              <w:ind w:left="252"/>
            </w:pPr>
          </w:p>
        </w:tc>
      </w:tr>
      <w:tr w:rsidR="002A21AE" w14:paraId="442B49D3" w14:textId="77777777">
        <w:tc>
          <w:tcPr>
            <w:tcW w:w="3240" w:type="dxa"/>
          </w:tcPr>
          <w:p w14:paraId="3C98B098" w14:textId="77777777" w:rsidR="002A21AE" w:rsidRDefault="002A21AE">
            <w:pPr>
              <w:pStyle w:val="TableTextNumbers"/>
            </w:pPr>
            <w:r>
              <w:t>Accept or edit the displayed expiration date.</w:t>
            </w:r>
          </w:p>
        </w:tc>
        <w:tc>
          <w:tcPr>
            <w:tcW w:w="6120" w:type="dxa"/>
          </w:tcPr>
          <w:p w14:paraId="48BB7F26" w14:textId="77777777" w:rsidR="002A21AE" w:rsidRDefault="002A21AE">
            <w:pPr>
              <w:pStyle w:val="TableTextBullet"/>
              <w:tabs>
                <w:tab w:val="num" w:pos="360"/>
              </w:tabs>
            </w:pPr>
            <w:r>
              <w:t>Displays the expiration date.</w:t>
            </w:r>
          </w:p>
          <w:p w14:paraId="5C09BD07" w14:textId="77777777" w:rsidR="002A21AE" w:rsidRDefault="002A21AE">
            <w:pPr>
              <w:pStyle w:val="TableTextBullet"/>
              <w:tabs>
                <w:tab w:val="num" w:pos="360"/>
              </w:tabs>
            </w:pPr>
            <w:r>
              <w:t xml:space="preserve">Calculates and displays the volume of each split unit. </w:t>
            </w:r>
          </w:p>
          <w:p w14:paraId="7CA5A8C8" w14:textId="77777777" w:rsidR="002A21AE" w:rsidRDefault="002A21AE">
            <w:pPr>
              <w:pStyle w:val="TableText"/>
            </w:pPr>
          </w:p>
          <w:p w14:paraId="7A48E86E" w14:textId="6FF9931F" w:rsidR="002A21AE" w:rsidRDefault="002A21AE">
            <w:pPr>
              <w:pStyle w:val="TableText"/>
              <w:rPr>
                <w:b/>
                <w:bCs/>
                <w:szCs w:val="18"/>
              </w:rPr>
            </w:pPr>
            <w:r>
              <w:rPr>
                <w:b/>
                <w:bCs/>
                <w:szCs w:val="18"/>
              </w:rPr>
              <w:t>NOTES</w:t>
            </w:r>
          </w:p>
          <w:p w14:paraId="02B54790" w14:textId="6B0C7D4D" w:rsidR="002A21AE" w:rsidRDefault="002A21AE">
            <w:pPr>
              <w:pStyle w:val="TableText"/>
              <w:rPr>
                <w:b/>
                <w:bCs/>
                <w:szCs w:val="18"/>
              </w:rPr>
            </w:pPr>
          </w:p>
          <w:p w14:paraId="7F86FE1B" w14:textId="77777777" w:rsidR="00E93AC0" w:rsidRPr="00E93AC0" w:rsidRDefault="002A21AE" w:rsidP="00E93AC0">
            <w:pPr>
              <w:pStyle w:val="NotesText"/>
            </w:pPr>
            <w:r w:rsidRPr="00E93AC0">
              <w:rPr>
                <w:vanish/>
              </w:rPr>
              <w:t xml:space="preserve">BR_25.05 </w:t>
            </w:r>
            <w:r w:rsidR="00E93AC0" w:rsidRPr="00E93AC0">
              <w:t>VBECS calculates and displays default volumes for each target split (does not include pediatric aliquots) based on the volume of the original unit and the number of splits being created, consuming the total volume of the original unit. The system will restrict the user from entering a value between 1 and 2000.</w:t>
            </w:r>
          </w:p>
          <w:p w14:paraId="78CF44BF" w14:textId="77777777" w:rsidR="00E93AC0" w:rsidRPr="00D06747" w:rsidRDefault="00E93AC0" w:rsidP="00E93AC0">
            <w:pPr>
              <w:pStyle w:val="TableText"/>
              <w:rPr>
                <w:rFonts w:cs="Arial"/>
                <w:szCs w:val="18"/>
              </w:rPr>
            </w:pPr>
          </w:p>
          <w:p w14:paraId="428D5CBB" w14:textId="77777777" w:rsidR="002A21AE" w:rsidRDefault="00E93AC0" w:rsidP="00E93AC0">
            <w:pPr>
              <w:pStyle w:val="NotesText"/>
            </w:pPr>
            <w:r w:rsidRPr="00D06747">
              <w:lastRenderedPageBreak/>
              <w:t>The system will split the volume evenly among the splits and add the remainder to the first split.</w:t>
            </w:r>
          </w:p>
        </w:tc>
      </w:tr>
      <w:tr w:rsidR="002A21AE" w14:paraId="77AB46E2" w14:textId="77777777" w:rsidTr="001A459B">
        <w:trPr>
          <w:cantSplit/>
        </w:trPr>
        <w:tc>
          <w:tcPr>
            <w:tcW w:w="3240" w:type="dxa"/>
          </w:tcPr>
          <w:p w14:paraId="4BBBFFF7" w14:textId="77777777" w:rsidR="002A21AE" w:rsidRDefault="002A21AE">
            <w:pPr>
              <w:pStyle w:val="TableTextNumbers"/>
            </w:pPr>
            <w:r>
              <w:lastRenderedPageBreak/>
              <w:t>Accept or edit the displayed unit volumes.</w:t>
            </w:r>
          </w:p>
        </w:tc>
        <w:tc>
          <w:tcPr>
            <w:tcW w:w="6120" w:type="dxa"/>
          </w:tcPr>
          <w:p w14:paraId="0657782E" w14:textId="77777777" w:rsidR="002A21AE" w:rsidRDefault="002A21AE">
            <w:pPr>
              <w:pStyle w:val="TableTextBullet"/>
              <w:tabs>
                <w:tab w:val="num" w:pos="360"/>
              </w:tabs>
            </w:pPr>
            <w:r>
              <w:t>Displays the original and target unit data for review.</w:t>
            </w:r>
          </w:p>
          <w:p w14:paraId="64AA4132" w14:textId="77777777" w:rsidR="002A21AE" w:rsidRDefault="002A21AE">
            <w:pPr>
              <w:pStyle w:val="TableText"/>
            </w:pPr>
          </w:p>
          <w:p w14:paraId="7293F5C0" w14:textId="548E0FC3" w:rsidR="002A21AE" w:rsidRDefault="002A21AE">
            <w:pPr>
              <w:pStyle w:val="TableText"/>
              <w:rPr>
                <w:b/>
                <w:bCs/>
                <w:szCs w:val="18"/>
              </w:rPr>
            </w:pPr>
            <w:r>
              <w:rPr>
                <w:b/>
                <w:bCs/>
                <w:szCs w:val="18"/>
              </w:rPr>
              <w:t>NOTES</w:t>
            </w:r>
          </w:p>
          <w:p w14:paraId="3147B7BE" w14:textId="77777777" w:rsidR="002A21AE" w:rsidRDefault="002A21AE">
            <w:pPr>
              <w:pStyle w:val="NotesText"/>
            </w:pPr>
          </w:p>
          <w:p w14:paraId="2760CA91" w14:textId="77777777" w:rsidR="002A21AE" w:rsidRDefault="002A21AE">
            <w:pPr>
              <w:pStyle w:val="NotesText"/>
            </w:pPr>
            <w:r>
              <w:t>The user may not edit original unit data.</w:t>
            </w:r>
          </w:p>
          <w:p w14:paraId="4747EEA6" w14:textId="77777777" w:rsidR="002A21AE" w:rsidRDefault="002A21AE">
            <w:pPr>
              <w:pStyle w:val="NotesText"/>
            </w:pPr>
          </w:p>
          <w:p w14:paraId="087E7A6D" w14:textId="77777777" w:rsidR="00A40202" w:rsidRDefault="002A21AE" w:rsidP="00A40202">
            <w:pPr>
              <w:pStyle w:val="TableText"/>
              <w:rPr>
                <w:b/>
                <w:bCs/>
                <w:sz w:val="20"/>
              </w:rPr>
            </w:pPr>
            <w:r>
              <w:rPr>
                <w:rFonts w:cs="Arial"/>
                <w:vanish/>
              </w:rPr>
              <w:t xml:space="preserve">BR_25.11 </w:t>
            </w:r>
            <w:r w:rsidR="00A40202">
              <w:rPr>
                <w:b/>
                <w:bCs/>
              </w:rPr>
              <w:t>For Split modification type:</w:t>
            </w:r>
          </w:p>
          <w:p w14:paraId="772B5D78" w14:textId="77777777" w:rsidR="00A40202" w:rsidRDefault="00A40202" w:rsidP="00BA3292">
            <w:pPr>
              <w:pStyle w:val="TableText"/>
              <w:numPr>
                <w:ilvl w:val="0"/>
                <w:numId w:val="79"/>
              </w:numPr>
              <w:ind w:left="252" w:hanging="198"/>
            </w:pPr>
            <w:r>
              <w:t>Do not allow splitting frozen products.</w:t>
            </w:r>
          </w:p>
          <w:p w14:paraId="55ADB56F" w14:textId="4AB7A73C" w:rsidR="00A40202" w:rsidRDefault="00A40202" w:rsidP="00BA3292">
            <w:pPr>
              <w:pStyle w:val="TableText"/>
              <w:numPr>
                <w:ilvl w:val="0"/>
                <w:numId w:val="79"/>
              </w:numPr>
              <w:ind w:left="252" w:hanging="198"/>
            </w:pPr>
            <w:r>
              <w:t>There is no attribute assigned for split.</w:t>
            </w:r>
          </w:p>
          <w:p w14:paraId="2D9B2535" w14:textId="62C63DE4" w:rsidR="002A21AE" w:rsidRDefault="00F744C5" w:rsidP="00BA3292">
            <w:pPr>
              <w:pStyle w:val="TableText"/>
              <w:numPr>
                <w:ilvl w:val="0"/>
                <w:numId w:val="79"/>
              </w:numPr>
              <w:ind w:left="252" w:hanging="198"/>
            </w:pPr>
            <w:r>
              <w:t>Maintain original product type attributes to the target.</w:t>
            </w:r>
          </w:p>
          <w:p w14:paraId="33EF1FFF" w14:textId="77777777" w:rsidR="002A21AE" w:rsidRDefault="002A21AE" w:rsidP="00FD0D8C">
            <w:pPr>
              <w:pStyle w:val="NotesText"/>
              <w:ind w:left="0"/>
            </w:pPr>
          </w:p>
        </w:tc>
      </w:tr>
      <w:tr w:rsidR="002A21AE" w14:paraId="3EED31AB" w14:textId="77777777">
        <w:tc>
          <w:tcPr>
            <w:tcW w:w="3240" w:type="dxa"/>
          </w:tcPr>
          <w:p w14:paraId="00CB56B9" w14:textId="77777777" w:rsidR="002A21AE" w:rsidRDefault="002A21AE">
            <w:pPr>
              <w:pStyle w:val="TableTextNumbers"/>
            </w:pPr>
            <w:r>
              <w:t>Review the displayed data for the target units and confirm the modification type.</w:t>
            </w:r>
          </w:p>
        </w:tc>
        <w:tc>
          <w:tcPr>
            <w:tcW w:w="6120" w:type="dxa"/>
          </w:tcPr>
          <w:p w14:paraId="13CAAC2F" w14:textId="77777777" w:rsidR="002A21AE" w:rsidRDefault="002A21AE" w:rsidP="000C3495">
            <w:pPr>
              <w:pStyle w:val="TableTextBullet"/>
            </w:pPr>
            <w:r>
              <w:t>Displays the target unit’s ID number.</w:t>
            </w:r>
          </w:p>
          <w:p w14:paraId="613C4AA9" w14:textId="77777777" w:rsidR="002A21AE" w:rsidRDefault="002A21AE">
            <w:pPr>
              <w:pStyle w:val="TableText"/>
            </w:pPr>
          </w:p>
          <w:p w14:paraId="61091497" w14:textId="68FF7D49" w:rsidR="002A21AE" w:rsidRDefault="002A21AE">
            <w:pPr>
              <w:pStyle w:val="TableText"/>
              <w:rPr>
                <w:b/>
                <w:bCs/>
                <w:szCs w:val="18"/>
              </w:rPr>
            </w:pPr>
            <w:r>
              <w:rPr>
                <w:b/>
                <w:bCs/>
                <w:szCs w:val="18"/>
              </w:rPr>
              <w:t>NOTES</w:t>
            </w:r>
          </w:p>
          <w:p w14:paraId="3467C943" w14:textId="77777777" w:rsidR="002A21AE" w:rsidRDefault="002A21AE">
            <w:pPr>
              <w:pStyle w:val="NotesText"/>
            </w:pPr>
          </w:p>
          <w:p w14:paraId="0CA0D21B" w14:textId="77777777" w:rsidR="002A21AE" w:rsidRPr="001416EA" w:rsidRDefault="002A21AE">
            <w:pPr>
              <w:pStyle w:val="NotesTextBullet"/>
              <w:rPr>
                <w:rStyle w:val="NotesTextBullet1Char"/>
                <w:color w:val="auto"/>
              </w:rPr>
            </w:pPr>
            <w:r>
              <w:rPr>
                <w:rFonts w:cs="Arial"/>
                <w:vanish/>
              </w:rPr>
              <w:t>BR</w:t>
            </w:r>
            <w:r>
              <w:rPr>
                <w:rStyle w:val="NotesTextBullet1Char"/>
                <w:rFonts w:cs="Arial"/>
                <w:vanish/>
                <w:color w:val="auto"/>
              </w:rPr>
              <w:t xml:space="preserve">_25.07 </w:t>
            </w:r>
            <w:r>
              <w:rPr>
                <w:rStyle w:val="NotesTextBullet1Char"/>
              </w:rPr>
              <w:t xml:space="preserve">ISBT 128: the unit ID, five-digit product description code, and sixth-character donation code remain the same. Characters 7 and 8 of the ISBT 128 product code barcode reflect the aliquot level: when a previously undivided unit is split, character 7 of the unique eight-digit ISBT 128 product code is incremented alphabetically in uppercase letters, resulting in characters 7 and 8: A0, B0, C0, </w:t>
            </w:r>
            <w:r w:rsidR="00A10483">
              <w:rPr>
                <w:rStyle w:val="NotesTextBullet1Char"/>
              </w:rPr>
              <w:t>D0 …</w:t>
            </w:r>
            <w:r>
              <w:rPr>
                <w:rStyle w:val="NotesTextBullet1Char"/>
              </w:rPr>
              <w:t xml:space="preserve"> Z0.</w:t>
            </w:r>
          </w:p>
          <w:p w14:paraId="10A90338" w14:textId="77777777" w:rsidR="001416EA" w:rsidRDefault="001416EA" w:rsidP="001416EA">
            <w:pPr>
              <w:pStyle w:val="NotesTextBullet"/>
              <w:numPr>
                <w:ilvl w:val="0"/>
                <w:numId w:val="0"/>
              </w:numPr>
              <w:ind w:left="1008" w:hanging="288"/>
            </w:pPr>
          </w:p>
        </w:tc>
      </w:tr>
      <w:tr w:rsidR="002A21AE" w14:paraId="738282F6" w14:textId="77777777">
        <w:tc>
          <w:tcPr>
            <w:tcW w:w="3240" w:type="dxa"/>
          </w:tcPr>
          <w:p w14:paraId="2C973B0C" w14:textId="77777777" w:rsidR="002A21AE" w:rsidRDefault="002A21AE">
            <w:pPr>
              <w:pStyle w:val="TableTextNumbers"/>
            </w:pPr>
            <w:r>
              <w:t xml:space="preserve">Click </w:t>
            </w:r>
            <w:r>
              <w:rPr>
                <w:b/>
              </w:rPr>
              <w:t>OK</w:t>
            </w:r>
            <w:r>
              <w:t xml:space="preserve"> to save.</w:t>
            </w:r>
          </w:p>
          <w:p w14:paraId="40C1119A" w14:textId="77777777" w:rsidR="00913F95" w:rsidRDefault="00913F95" w:rsidP="00913F95">
            <w:pPr>
              <w:pStyle w:val="TableTextNumbersContinued"/>
            </w:pPr>
          </w:p>
          <w:p w14:paraId="49CD1D68" w14:textId="77777777" w:rsidR="00913F95" w:rsidRDefault="00913F95" w:rsidP="00913F95">
            <w:pPr>
              <w:pStyle w:val="TableTextNumbersContinued"/>
            </w:pPr>
            <w:r>
              <w:t xml:space="preserve">Click </w:t>
            </w:r>
            <w:r w:rsidRPr="00A77D1F">
              <w:rPr>
                <w:b/>
              </w:rPr>
              <w:t>Yes</w:t>
            </w:r>
            <w:r>
              <w:t xml:space="preserve"> to verify the label.</w:t>
            </w:r>
          </w:p>
        </w:tc>
        <w:tc>
          <w:tcPr>
            <w:tcW w:w="6120" w:type="dxa"/>
          </w:tcPr>
          <w:p w14:paraId="5CEDFE2A" w14:textId="77777777" w:rsidR="000C3495" w:rsidRDefault="000C3495" w:rsidP="000C3495">
            <w:pPr>
              <w:pStyle w:val="TableTextBullet"/>
              <w:tabs>
                <w:tab w:val="num" w:pos="360"/>
              </w:tabs>
            </w:pPr>
            <w:r>
              <w:t xml:space="preserve">Prompts the user to save the data, including patient assignment and restriction information, if any. </w:t>
            </w:r>
          </w:p>
          <w:p w14:paraId="313C73DD" w14:textId="77777777" w:rsidR="002A21AE" w:rsidRDefault="002A21AE">
            <w:pPr>
              <w:pStyle w:val="TableTextBullet"/>
            </w:pPr>
            <w:r>
              <w:t>Saves aliquots created from the modified unit.</w:t>
            </w:r>
          </w:p>
          <w:p w14:paraId="7735C09F" w14:textId="77777777" w:rsidR="00913F95" w:rsidRDefault="00EE2911" w:rsidP="00913F95">
            <w:pPr>
              <w:pStyle w:val="TableTextBullet"/>
              <w:tabs>
                <w:tab w:val="clear" w:pos="288"/>
              </w:tabs>
            </w:pPr>
            <w:r>
              <w:t>Records the unit ID of the target unit on the record of the original unit.</w:t>
            </w:r>
          </w:p>
          <w:p w14:paraId="642B7DB5" w14:textId="77777777" w:rsidR="00E92B60" w:rsidRDefault="00E92B60" w:rsidP="00E92B60">
            <w:pPr>
              <w:pStyle w:val="TableTextBullet"/>
              <w:tabs>
                <w:tab w:val="clear" w:pos="288"/>
              </w:tabs>
            </w:pPr>
            <w:r>
              <w:t>Saves only the technologist name and the date and time the label was verified. When the user indicates that a new label applied fails to complete the verification process, releases the assignment, quarantines the unit, and captures details for inclusion in an Exception Report (exception type: target product label failed checks).</w:t>
            </w:r>
          </w:p>
        </w:tc>
      </w:tr>
      <w:tr w:rsidR="002A21AE" w14:paraId="4A38CD9A" w14:textId="77777777">
        <w:tc>
          <w:tcPr>
            <w:tcW w:w="3240" w:type="dxa"/>
            <w:tcBorders>
              <w:bottom w:val="single" w:sz="4" w:space="0" w:color="auto"/>
            </w:tcBorders>
          </w:tcPr>
          <w:p w14:paraId="70E6FB05" w14:textId="77777777" w:rsidR="000C3495" w:rsidRDefault="000C3495">
            <w:pPr>
              <w:pStyle w:val="TableTextNumbers"/>
            </w:pPr>
            <w:r>
              <w:t xml:space="preserve">Click </w:t>
            </w:r>
            <w:r w:rsidR="00913F95">
              <w:rPr>
                <w:b/>
              </w:rPr>
              <w:t>Yes</w:t>
            </w:r>
            <w:r>
              <w:t xml:space="preserve"> to save.</w:t>
            </w:r>
          </w:p>
          <w:p w14:paraId="6838DF22" w14:textId="77777777" w:rsidR="000C3495" w:rsidRDefault="000C3495" w:rsidP="000C3495">
            <w:pPr>
              <w:pStyle w:val="TableTextNumbersContinued"/>
            </w:pPr>
          </w:p>
          <w:p w14:paraId="68D4FFFA" w14:textId="77777777" w:rsidR="002A21AE" w:rsidRDefault="002A21AE" w:rsidP="000C3495">
            <w:pPr>
              <w:pStyle w:val="TableTextNumbersContinued"/>
            </w:pPr>
            <w:r>
              <w:t>Repeat Steps 2–9 to split additional units, or return to Step 1 to use a different modification method on a</w:t>
            </w:r>
            <w:r w:rsidR="00C43733">
              <w:t>nother</w:t>
            </w:r>
            <w:r>
              <w:t xml:space="preserve"> unit.</w:t>
            </w:r>
          </w:p>
        </w:tc>
        <w:tc>
          <w:tcPr>
            <w:tcW w:w="6120" w:type="dxa"/>
            <w:tcBorders>
              <w:bottom w:val="single" w:sz="4" w:space="0" w:color="auto"/>
            </w:tcBorders>
          </w:tcPr>
          <w:p w14:paraId="4E6D17D9" w14:textId="77777777" w:rsidR="002A21AE" w:rsidRDefault="002A21AE">
            <w:pPr>
              <w:pStyle w:val="TableTextBullet"/>
            </w:pPr>
            <w:r>
              <w:t>Prompts the user to split or modify another unit.</w:t>
            </w:r>
          </w:p>
        </w:tc>
      </w:tr>
      <w:tr w:rsidR="002A21AE" w14:paraId="206691E6" w14:textId="77777777">
        <w:tc>
          <w:tcPr>
            <w:tcW w:w="3240" w:type="dxa"/>
            <w:tcBorders>
              <w:bottom w:val="single" w:sz="4" w:space="0" w:color="auto"/>
            </w:tcBorders>
          </w:tcPr>
          <w:p w14:paraId="00346AC2"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86" w:author="Blalock, David (Leidos)" w:date="2020-06-15T14:09:00Z" w:original="0."/>
              </w:fldChar>
            </w:r>
          </w:p>
        </w:tc>
        <w:tc>
          <w:tcPr>
            <w:tcW w:w="6120" w:type="dxa"/>
            <w:tcBorders>
              <w:bottom w:val="single" w:sz="4" w:space="0" w:color="auto"/>
            </w:tcBorders>
          </w:tcPr>
          <w:p w14:paraId="75F057D6" w14:textId="77777777" w:rsidR="002A21AE" w:rsidRDefault="002A21AE">
            <w:pPr>
              <w:pStyle w:val="TableText"/>
            </w:pPr>
          </w:p>
        </w:tc>
      </w:tr>
    </w:tbl>
    <w:p w14:paraId="19F7EEA9" w14:textId="77777777" w:rsidR="009F1B54" w:rsidRDefault="009F1B54">
      <w:pPr>
        <w:pStyle w:val="Heading3"/>
      </w:pPr>
      <w:bookmarkStart w:id="387" w:name="_Toc94349343"/>
    </w:p>
    <w:p w14:paraId="578B9585" w14:textId="77777777" w:rsidR="002A21AE" w:rsidRDefault="009F1B54">
      <w:pPr>
        <w:pStyle w:val="Heading3"/>
      </w:pPr>
      <w:r>
        <w:br w:type="page"/>
      </w:r>
      <w:bookmarkStart w:id="388" w:name="_Toc47516725"/>
      <w:r w:rsidR="002A21AE">
        <w:lastRenderedPageBreak/>
        <w:t>Modify Units: Pool Units</w:t>
      </w:r>
      <w:bookmarkEnd w:id="388"/>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Modify Units\: Pool Units</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w:t>
      </w:r>
      <w:bookmarkEnd w:id="387"/>
      <w:r w:rsidR="00B30CE5">
        <w:rPr>
          <w:vanish/>
        </w:rPr>
        <w:t>6</w:t>
      </w:r>
    </w:p>
    <w:p w14:paraId="20F3FE23" w14:textId="77777777" w:rsidR="002A21AE" w:rsidRDefault="002A21AE" w:rsidP="00FA7E65">
      <w:pPr>
        <w:pStyle w:val="BodyText"/>
      </w:pPr>
      <w:bookmarkStart w:id="389" w:name="_Toc78292638"/>
      <w:r>
        <w:t xml:space="preserve">The user selects units to be pooled. </w:t>
      </w:r>
    </w:p>
    <w:p w14:paraId="4B6950FE" w14:textId="77777777" w:rsidR="002A21AE" w:rsidRDefault="002A21AE">
      <w:pPr>
        <w:pStyle w:val="Heading4"/>
      </w:pPr>
      <w:bookmarkStart w:id="390" w:name="_Toc94349344"/>
      <w:r>
        <w:t>Assumptions</w:t>
      </w:r>
      <w:bookmarkEnd w:id="390"/>
    </w:p>
    <w:p w14:paraId="2254F6AB" w14:textId="77777777" w:rsidR="002A21AE" w:rsidRDefault="002A21AE">
      <w:pPr>
        <w:pStyle w:val="ListBullet"/>
      </w:pPr>
      <w:r>
        <w:t>See Modify Units.</w:t>
      </w:r>
    </w:p>
    <w:p w14:paraId="3087C228" w14:textId="77777777" w:rsidR="002A21AE" w:rsidRDefault="002A21AE">
      <w:pPr>
        <w:pStyle w:val="Heading4"/>
      </w:pPr>
      <w:bookmarkStart w:id="391" w:name="_Toc94349345"/>
      <w:r>
        <w:t>Outcome</w:t>
      </w:r>
      <w:bookmarkEnd w:id="391"/>
    </w:p>
    <w:p w14:paraId="63304FAC" w14:textId="77777777" w:rsidR="002A21AE" w:rsidRDefault="002A21AE">
      <w:pPr>
        <w:pStyle w:val="ListBullet"/>
      </w:pPr>
      <w:r>
        <w:t>See Modify Units.</w:t>
      </w:r>
    </w:p>
    <w:p w14:paraId="4F6D5CD7" w14:textId="77777777" w:rsidR="002A21AE" w:rsidRDefault="002A21AE">
      <w:pPr>
        <w:pStyle w:val="Heading4"/>
      </w:pPr>
      <w:bookmarkStart w:id="392" w:name="_Toc94349346"/>
      <w:r>
        <w:t>Limitations and Restrictions</w:t>
      </w:r>
      <w:bookmarkEnd w:id="392"/>
      <w:r w:rsidR="0004660C">
        <w:t xml:space="preserve"> </w:t>
      </w:r>
      <w:r w:rsidR="0004660C" w:rsidRPr="002546AC">
        <w:rPr>
          <w:rFonts w:ascii="Arial Bold" w:hAnsi="Arial Bold"/>
          <w:b w:val="0"/>
          <w:vanish/>
        </w:rPr>
        <w:t>DR 4474 removed third bullet</w:t>
      </w:r>
    </w:p>
    <w:p w14:paraId="318F7867" w14:textId="77777777" w:rsidR="00E11C56" w:rsidRDefault="00E11C56">
      <w:pPr>
        <w:pStyle w:val="ListBullet"/>
      </w:pPr>
      <w:r>
        <w:t>VBECS allows modification of units only in limited, assigned, crossmatched, and available statuses.</w:t>
      </w:r>
    </w:p>
    <w:p w14:paraId="680AC827" w14:textId="4D1733CE" w:rsidR="00971928" w:rsidRDefault="00D47D4A" w:rsidP="0004660C">
      <w:pPr>
        <w:pStyle w:val="ListBullet"/>
      </w:pPr>
      <w:r w:rsidRPr="00D47D4A">
        <w:t>When a</w:t>
      </w:r>
      <w:r>
        <w:t xml:space="preserve"> user adds a</w:t>
      </w:r>
      <w:r w:rsidRPr="00D47D4A">
        <w:t xml:space="preserve"> biohazardous unit to a pool, </w:t>
      </w:r>
      <w:r>
        <w:t xml:space="preserve">VBECS does not </w:t>
      </w:r>
      <w:r w:rsidR="0074247E">
        <w:t>designate</w:t>
      </w:r>
      <w:r>
        <w:t xml:space="preserve"> </w:t>
      </w:r>
      <w:r w:rsidR="002B51D0">
        <w:t xml:space="preserve">the </w:t>
      </w:r>
      <w:r w:rsidRPr="00D47D4A">
        <w:t xml:space="preserve">pool </w:t>
      </w:r>
      <w:r w:rsidR="0074247E">
        <w:t>as</w:t>
      </w:r>
      <w:r w:rsidRPr="00D47D4A">
        <w:t xml:space="preserve"> biohazardous</w:t>
      </w:r>
      <w:r w:rsidR="00785616">
        <w:t xml:space="preserve"> on the Blood Transfusion Record Form (BTRF) or Caution Tag</w:t>
      </w:r>
      <w:r w:rsidRPr="00D47D4A">
        <w:t>.</w:t>
      </w:r>
    </w:p>
    <w:p w14:paraId="00AD7DFA" w14:textId="77777777" w:rsidR="002A21AE" w:rsidRDefault="002A21AE">
      <w:pPr>
        <w:pStyle w:val="Heading4"/>
      </w:pPr>
      <w:bookmarkStart w:id="393" w:name="_Toc94349347"/>
      <w:r>
        <w:t>Additional Information</w:t>
      </w:r>
      <w:bookmarkEnd w:id="393"/>
    </w:p>
    <w:p w14:paraId="1AC69253" w14:textId="77777777" w:rsidR="002A21AE" w:rsidRDefault="002A21AE">
      <w:pPr>
        <w:pStyle w:val="ListBullet"/>
      </w:pPr>
      <w:r w:rsidRPr="009D4EED">
        <w:rPr>
          <w:vanish/>
        </w:rPr>
        <w:t>BR_24.16</w:t>
      </w:r>
      <w:r>
        <w:rPr>
          <w:rFonts w:ascii="Arial" w:hAnsi="Arial" w:cs="Arial"/>
          <w:vanish/>
          <w:spacing w:val="0"/>
          <w:sz w:val="18"/>
        </w:rPr>
        <w:t xml:space="preserve"> </w:t>
      </w:r>
      <w:r>
        <w:t xml:space="preserve">When autologous or directed units are pooled, the “restricted for” patient must be the same for all units. VBECS assigns the same donation type and applies the “restricted for” patient data to the pool. </w:t>
      </w:r>
    </w:p>
    <w:p w14:paraId="4EE83DF7" w14:textId="77777777" w:rsidR="00A03B5F" w:rsidRDefault="00A03B5F" w:rsidP="00A03B5F">
      <w:pPr>
        <w:pStyle w:val="ListBullet"/>
      </w:pPr>
      <w:r>
        <w:t>To reverse the pooling of units:</w:t>
      </w:r>
    </w:p>
    <w:p w14:paraId="3E9DFA78" w14:textId="77777777" w:rsidR="00EB1E75" w:rsidRDefault="00A03B5F" w:rsidP="00EB1E75">
      <w:pPr>
        <w:pStyle w:val="ListBullet2"/>
      </w:pPr>
      <w:r>
        <w:t xml:space="preserve">Inactivate the target </w:t>
      </w:r>
      <w:r w:rsidRPr="00234222">
        <w:t>through</w:t>
      </w:r>
      <w:r>
        <w:t xml:space="preserve"> Edit Unit Information. </w:t>
      </w:r>
    </w:p>
    <w:p w14:paraId="4D9EA58F" w14:textId="77777777" w:rsidR="00A03B5F" w:rsidRDefault="00A03B5F" w:rsidP="00EB1E75">
      <w:pPr>
        <w:pStyle w:val="ListBullet2"/>
      </w:pPr>
      <w:r>
        <w:t>Remove the “modified” status from each unit in the pool through Remove Final Status.</w:t>
      </w:r>
    </w:p>
    <w:p w14:paraId="5A42423A" w14:textId="77777777" w:rsidR="00A03B5F" w:rsidRDefault="00A03B5F" w:rsidP="00A03B5F">
      <w:pPr>
        <w:pStyle w:val="ListBullet"/>
      </w:pPr>
      <w:r>
        <w:t>To edit the number of units in an existing pool, use Add/Remove Units from a Pool.</w:t>
      </w:r>
    </w:p>
    <w:p w14:paraId="3AF39EC3" w14:textId="77777777" w:rsidR="002A21AE" w:rsidRDefault="002A21AE">
      <w:pPr>
        <w:pStyle w:val="Heading4"/>
      </w:pPr>
      <w:bookmarkStart w:id="394" w:name="_Toc94349348"/>
      <w:r>
        <w:t>User Roles with Access to This Option</w:t>
      </w:r>
      <w:bookmarkEnd w:id="394"/>
    </w:p>
    <w:bookmarkEnd w:id="389"/>
    <w:p w14:paraId="2F1E63B3" w14:textId="77777777" w:rsidR="001A3179" w:rsidRDefault="001A3179" w:rsidP="001A3179">
      <w:pPr>
        <w:pStyle w:val="Roles"/>
        <w:rPr>
          <w:snapToGrid w:val="0"/>
        </w:rPr>
      </w:pPr>
      <w:r>
        <w:t>All users</w:t>
      </w:r>
    </w:p>
    <w:p w14:paraId="3BE3A118" w14:textId="77777777" w:rsidR="002A21AE" w:rsidRDefault="002A21AE">
      <w:pPr>
        <w:pStyle w:val="Heading4"/>
      </w:pPr>
      <w:r>
        <w:t>Modify Units: Pool Units</w:t>
      </w:r>
    </w:p>
    <w:p w14:paraId="26A7F21B" w14:textId="77777777" w:rsidR="002A21AE" w:rsidRDefault="002A21AE" w:rsidP="00FA7E65">
      <w:pPr>
        <w:pStyle w:val="BodyText"/>
      </w:pPr>
      <w:r>
        <w:t xml:space="preserve">When the pooling is in process or almost complete, the user records it in VBECS. Data entry may also be completed retrospectively. The user pools units and enters the ID and product code of the original unit and the IDs and product codes for each unit added to the pool. </w:t>
      </w:r>
    </w:p>
    <w:p w14:paraId="13FFCE3A" w14:textId="77777777" w:rsidR="002A21AE" w:rsidRDefault="002A21AE" w:rsidP="00FA7E65">
      <w:pPr>
        <w:pStyle w:val="BodyText"/>
      </w:pPr>
      <w:r>
        <w:t xml:space="preserve">VBECS records the date and time the units are pooled, uses the date and time to calculate a new expiration date for the pool, and assigns a unit ID and ABO/Rh, as defined by system rules. When an original unit in a pool was previously assigned to a patient, VBECS asks the user whether the entire pool is to be assigned to that patient. VBECS automatically assigns autologous and directed patient restriction data from an individual unit to the pool. VBECS determines the volume of the pool based on the sum of the volumes of the units in the pool. </w:t>
      </w:r>
    </w:p>
    <w:p w14:paraId="5797476F" w14:textId="77777777" w:rsidR="002A21AE" w:rsidRDefault="002A21AE" w:rsidP="00FA7E65">
      <w:pPr>
        <w:pStyle w:val="BodyText"/>
      </w:pPr>
      <w:r>
        <w:t xml:space="preserve">The new, </w:t>
      </w:r>
      <w:r>
        <w:rPr>
          <w:iCs/>
        </w:rPr>
        <w:t>pooled</w:t>
      </w:r>
      <w:r>
        <w:t xml:space="preserve"> unit needs a full set of unit properties, some of which were defined by the original units’ properties. VBECS assigns new properties such as volume, date and time created, container lot number, and expiration date to the target.</w:t>
      </w:r>
    </w:p>
    <w:p w14:paraId="619C4849" w14:textId="77777777" w:rsidR="002A21AE" w:rsidRDefault="002A21AE" w:rsidP="00FA7E65">
      <w:pPr>
        <w:pStyle w:val="BodyText"/>
      </w:pPr>
      <w:r>
        <w:t xml:space="preserve">VBECS uses system rules to check pertinent blood bank requirements associated with pooling and displays appropriate target unit information for review. The user reviews and edits the information, as needed, and completes the transaction. VBECS updates internal records, including the collection of workload and unit statuses, for each unit involved. </w:t>
      </w:r>
    </w:p>
    <w:p w14:paraId="438E05FD" w14:textId="77777777" w:rsidR="002A21AE" w:rsidRDefault="002A21AE" w:rsidP="00FA7E65">
      <w:pPr>
        <w:pStyle w:val="BodyText"/>
      </w:pPr>
      <w:r>
        <w:lastRenderedPageBreak/>
        <w:t>The user may now assign the units or print the BTRF and Caution Tag, and notify appropriate personnel that the ordered units are ready for issue.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F38EC85" w14:textId="77777777">
        <w:trPr>
          <w:tblHeader/>
        </w:trPr>
        <w:tc>
          <w:tcPr>
            <w:tcW w:w="3240" w:type="dxa"/>
            <w:shd w:val="pct30" w:color="auto" w:fill="FFFFFF"/>
            <w:vAlign w:val="bottom"/>
          </w:tcPr>
          <w:p w14:paraId="3A88A336" w14:textId="77777777" w:rsidR="002A21AE" w:rsidRDefault="002A21AE">
            <w:pPr>
              <w:pStyle w:val="TableText"/>
              <w:rPr>
                <w:b/>
              </w:rPr>
            </w:pPr>
            <w:r>
              <w:rPr>
                <w:b/>
              </w:rPr>
              <w:t>User Action</w:t>
            </w:r>
          </w:p>
        </w:tc>
        <w:tc>
          <w:tcPr>
            <w:tcW w:w="6120" w:type="dxa"/>
            <w:shd w:val="pct30" w:color="auto" w:fill="FFFFFF"/>
            <w:vAlign w:val="bottom"/>
          </w:tcPr>
          <w:p w14:paraId="26EA2277" w14:textId="77777777" w:rsidR="002A21AE" w:rsidRDefault="002A21AE">
            <w:pPr>
              <w:pStyle w:val="TableText"/>
              <w:rPr>
                <w:b/>
              </w:rPr>
            </w:pPr>
            <w:r>
              <w:rPr>
                <w:b/>
              </w:rPr>
              <w:t>VBECS</w:t>
            </w:r>
          </w:p>
        </w:tc>
      </w:tr>
      <w:tr w:rsidR="002A21AE" w14:paraId="304587AE" w14:textId="77777777">
        <w:tc>
          <w:tcPr>
            <w:tcW w:w="3240" w:type="dxa"/>
          </w:tcPr>
          <w:p w14:paraId="45D69A7C" w14:textId="77777777" w:rsidR="002A21AE" w:rsidRDefault="002A21AE" w:rsidP="007B7DEC">
            <w:pPr>
              <w:pStyle w:val="TableTextNumbers"/>
            </w:pPr>
            <w:r>
              <w:t xml:space="preserve">Select </w:t>
            </w:r>
            <w:r>
              <w:rPr>
                <w:b/>
              </w:rPr>
              <w:t>Blood Units</w:t>
            </w:r>
            <w:r>
              <w:t xml:space="preserve"> from the main menu. </w:t>
            </w:r>
          </w:p>
          <w:p w14:paraId="54F15DBD" w14:textId="77777777" w:rsidR="002A21AE" w:rsidRDefault="002A21AE">
            <w:pPr>
              <w:pStyle w:val="TableTextNumbersContinued"/>
            </w:pPr>
          </w:p>
          <w:p w14:paraId="4AA5FB91" w14:textId="77777777" w:rsidR="002A21AE" w:rsidRDefault="002A21AE">
            <w:pPr>
              <w:pStyle w:val="TableTextNumbersContinued"/>
            </w:pPr>
            <w:r>
              <w:t xml:space="preserve">Select </w:t>
            </w:r>
            <w:r>
              <w:rPr>
                <w:b/>
              </w:rPr>
              <w:t>Modify Units</w:t>
            </w:r>
            <w:r>
              <w:t>.</w:t>
            </w:r>
          </w:p>
        </w:tc>
        <w:tc>
          <w:tcPr>
            <w:tcW w:w="6120" w:type="dxa"/>
          </w:tcPr>
          <w:p w14:paraId="5CB0D6B2" w14:textId="77777777" w:rsidR="002A21AE" w:rsidRDefault="002A21AE">
            <w:pPr>
              <w:pStyle w:val="TableTextBullet"/>
            </w:pPr>
            <w:r>
              <w:t>Displays options for processing blood units.</w:t>
            </w:r>
          </w:p>
          <w:p w14:paraId="07294F85" w14:textId="77777777" w:rsidR="002A21AE" w:rsidRDefault="002A21AE">
            <w:pPr>
              <w:pStyle w:val="TableTextBullet"/>
              <w:tabs>
                <w:tab w:val="clear" w:pos="288"/>
              </w:tabs>
            </w:pPr>
            <w:r>
              <w:t xml:space="preserve">Displays valid modification types for selection. </w:t>
            </w:r>
          </w:p>
          <w:p w14:paraId="56DC6786" w14:textId="77777777" w:rsidR="008807BD" w:rsidRDefault="008807BD" w:rsidP="008807BD">
            <w:pPr>
              <w:pStyle w:val="TableText"/>
              <w:rPr>
                <w:b/>
                <w:bCs/>
                <w:szCs w:val="18"/>
              </w:rPr>
            </w:pPr>
          </w:p>
          <w:p w14:paraId="607C6116" w14:textId="2C76445E" w:rsidR="008807BD" w:rsidRDefault="008807BD" w:rsidP="008807BD">
            <w:pPr>
              <w:pStyle w:val="TableText"/>
              <w:rPr>
                <w:b/>
                <w:bCs/>
                <w:szCs w:val="18"/>
              </w:rPr>
            </w:pPr>
            <w:r>
              <w:rPr>
                <w:b/>
                <w:bCs/>
                <w:szCs w:val="18"/>
              </w:rPr>
              <w:t>NOTES</w:t>
            </w:r>
          </w:p>
          <w:p w14:paraId="1EA567EE" w14:textId="77777777" w:rsidR="008807BD" w:rsidRDefault="008807BD" w:rsidP="008807BD">
            <w:pPr>
              <w:pStyle w:val="NotesText"/>
            </w:pPr>
          </w:p>
          <w:p w14:paraId="4A90CE42" w14:textId="77777777" w:rsidR="008807BD" w:rsidRDefault="008807BD" w:rsidP="008807BD">
            <w:pPr>
              <w:pStyle w:val="NotesText"/>
            </w:pPr>
            <w:r w:rsidRPr="008807BD">
              <w:t xml:space="preserve">The </w:t>
            </w:r>
            <w:r w:rsidRPr="00EC7489">
              <w:rPr>
                <w:rFonts w:ascii="Wingdings 3" w:hAnsi="Wingdings 3" w:cs="Wingdings"/>
              </w:rPr>
              <w:t></w:t>
            </w:r>
            <w:r w:rsidRPr="00EC7489">
              <w:rPr>
                <w:rFonts w:ascii="Wingdings 3" w:hAnsi="Wingdings 3" w:cs="Wingdings"/>
              </w:rPr>
              <w:t></w:t>
            </w:r>
            <w:r>
              <w:t xml:space="preserve"> Enhanced Technologist </w:t>
            </w:r>
            <w:r w:rsidR="00915BD8">
              <w:t>or</w:t>
            </w:r>
            <w:r>
              <w:t xml:space="preserve"> above is authorized to modify expired blood products.</w:t>
            </w:r>
          </w:p>
        </w:tc>
      </w:tr>
      <w:tr w:rsidR="002A21AE" w14:paraId="4CF15C8A" w14:textId="77777777">
        <w:tc>
          <w:tcPr>
            <w:tcW w:w="3240" w:type="dxa"/>
          </w:tcPr>
          <w:p w14:paraId="7672DF8C" w14:textId="77777777" w:rsidR="002A21AE" w:rsidRDefault="002A21AE">
            <w:pPr>
              <w:pStyle w:val="TableTextNumbers"/>
            </w:pPr>
            <w:r>
              <w:t xml:space="preserve">Click the </w:t>
            </w:r>
            <w:r>
              <w:rPr>
                <w:b/>
              </w:rPr>
              <w:t xml:space="preserve">Pool </w:t>
            </w:r>
            <w:r>
              <w:t>or</w:t>
            </w:r>
            <w:r>
              <w:rPr>
                <w:b/>
              </w:rPr>
              <w:t xml:space="preserve"> Thaw/Pool Cryo </w:t>
            </w:r>
            <w:r w:rsidRPr="00BF2E41">
              <w:t>radio button</w:t>
            </w:r>
            <w:r>
              <w:t>.</w:t>
            </w:r>
          </w:p>
          <w:p w14:paraId="2FF6E6AF" w14:textId="77777777" w:rsidR="002A21AE" w:rsidRDefault="002A21AE">
            <w:pPr>
              <w:pStyle w:val="TableTextNumbersContinued"/>
            </w:pPr>
          </w:p>
          <w:p w14:paraId="2DFCA5E9" w14:textId="77777777" w:rsidR="002A21AE" w:rsidRDefault="002A21AE">
            <w:pPr>
              <w:pStyle w:val="TableTextNumbersContinued"/>
            </w:pPr>
            <w:r>
              <w:t xml:space="preserve">Click </w:t>
            </w:r>
            <w:r>
              <w:rPr>
                <w:b/>
              </w:rPr>
              <w:t>OK</w:t>
            </w:r>
            <w:r>
              <w:t>.</w:t>
            </w:r>
          </w:p>
        </w:tc>
        <w:tc>
          <w:tcPr>
            <w:tcW w:w="6120" w:type="dxa"/>
          </w:tcPr>
          <w:p w14:paraId="5075A96B" w14:textId="77777777" w:rsidR="002A21AE" w:rsidRDefault="002A21AE">
            <w:pPr>
              <w:pStyle w:val="TableTextBullet"/>
            </w:pPr>
            <w:r>
              <w:t>Allows the user to search for a unit.</w:t>
            </w:r>
          </w:p>
        </w:tc>
      </w:tr>
      <w:tr w:rsidR="002A21AE" w14:paraId="2B5920DC" w14:textId="77777777">
        <w:tc>
          <w:tcPr>
            <w:tcW w:w="3240" w:type="dxa"/>
          </w:tcPr>
          <w:p w14:paraId="6277FED6" w14:textId="77777777" w:rsidR="00DD68ED" w:rsidRDefault="002A21AE" w:rsidP="00054FA6">
            <w:pPr>
              <w:pStyle w:val="TableTextNumbers"/>
            </w:pPr>
            <w:r>
              <w:t xml:space="preserve">Scan, enter, or select the ID and product code </w:t>
            </w:r>
            <w:r w:rsidR="00DD68ED">
              <w:t xml:space="preserve">of the most restricted </w:t>
            </w:r>
            <w:r w:rsidR="00054FA6">
              <w:t>(e.g., biohazardous, autologous, directed)</w:t>
            </w:r>
            <w:r>
              <w:t xml:space="preserve"> unit to be pooled.</w:t>
            </w:r>
          </w:p>
        </w:tc>
        <w:tc>
          <w:tcPr>
            <w:tcW w:w="6120" w:type="dxa"/>
          </w:tcPr>
          <w:p w14:paraId="30783661" w14:textId="77777777" w:rsidR="002A21AE" w:rsidRDefault="002A21AE">
            <w:pPr>
              <w:pStyle w:val="TableTextBullet"/>
            </w:pPr>
            <w:r>
              <w:t>Displays current data for the selected unit.</w:t>
            </w:r>
          </w:p>
          <w:p w14:paraId="0ECAEA87" w14:textId="77777777" w:rsidR="002A21AE" w:rsidRDefault="002A21AE">
            <w:pPr>
              <w:pStyle w:val="TableText"/>
              <w:rPr>
                <w:b/>
                <w:bCs/>
                <w:szCs w:val="18"/>
              </w:rPr>
            </w:pPr>
          </w:p>
          <w:p w14:paraId="1993F4DE" w14:textId="5029A4BC" w:rsidR="002A21AE" w:rsidRDefault="002A21AE">
            <w:pPr>
              <w:pStyle w:val="TableText"/>
              <w:rPr>
                <w:b/>
                <w:bCs/>
                <w:szCs w:val="18"/>
              </w:rPr>
            </w:pPr>
            <w:r>
              <w:rPr>
                <w:b/>
                <w:bCs/>
                <w:szCs w:val="18"/>
              </w:rPr>
              <w:t>NOTES</w:t>
            </w:r>
          </w:p>
          <w:p w14:paraId="5C25A87C" w14:textId="77777777" w:rsidR="002A21AE" w:rsidRDefault="002A21AE">
            <w:pPr>
              <w:pStyle w:val="NotesText"/>
            </w:pPr>
          </w:p>
          <w:p w14:paraId="2BBD93F6" w14:textId="77777777" w:rsidR="00054FA6" w:rsidRDefault="00054FA6">
            <w:pPr>
              <w:pStyle w:val="NotesText"/>
            </w:pPr>
            <w:r>
              <w:t>VBECS applies the restriction of the first unit selected to the pool.</w:t>
            </w:r>
          </w:p>
          <w:p w14:paraId="22E201F6" w14:textId="77777777" w:rsidR="00054FA6" w:rsidRDefault="00054FA6">
            <w:pPr>
              <w:pStyle w:val="NotesText"/>
            </w:pPr>
          </w:p>
          <w:p w14:paraId="5371F9AE" w14:textId="77777777" w:rsidR="002A21AE" w:rsidRDefault="00C51C45" w:rsidP="00823261">
            <w:pPr>
              <w:pStyle w:val="NotesText"/>
              <w:rPr>
                <w:color w:val="000000"/>
                <w:szCs w:val="18"/>
              </w:rPr>
            </w:pPr>
            <w:r w:rsidRPr="00896F17">
              <w:rPr>
                <w:rStyle w:val="BullhornChar"/>
              </w:rPr>
              <w:t></w:t>
            </w:r>
            <w:r w:rsidR="005A3214">
              <w:t xml:space="preserve"> </w:t>
            </w:r>
            <w:r w:rsidR="002A21AE" w:rsidRPr="00613DA8">
              <w:rPr>
                <w:rFonts w:cs="Arial"/>
                <w:vanish/>
                <w:color w:val="0000FF"/>
              </w:rPr>
              <w:t>BR_24.02</w:t>
            </w:r>
            <w:r w:rsidR="002A21AE">
              <w:rPr>
                <w:rFonts w:cs="Arial"/>
                <w:vanish/>
              </w:rPr>
              <w:t xml:space="preserve"> </w:t>
            </w:r>
            <w:r w:rsidR="002A21AE">
              <w:t>B</w:t>
            </w:r>
            <w:r w:rsidR="002A21AE">
              <w:rPr>
                <w:color w:val="000000"/>
                <w:szCs w:val="18"/>
              </w:rPr>
              <w:t>ased on the product code, VBECS determines the component class of each selected unit to verify that the component class of the selected unit matches that of the first unit selected for the pool (only units from the same component class may be pooled). When the</w:t>
            </w:r>
            <w:r w:rsidR="00CE58C1">
              <w:rPr>
                <w:color w:val="000000"/>
                <w:szCs w:val="18"/>
              </w:rPr>
              <w:t>y</w:t>
            </w:r>
            <w:r w:rsidR="002A21AE">
              <w:rPr>
                <w:color w:val="000000"/>
                <w:szCs w:val="18"/>
              </w:rPr>
              <w:t xml:space="preserve"> do not match, VBECS warns the user and clears the entry. The user may enter another unit.</w:t>
            </w:r>
          </w:p>
          <w:p w14:paraId="568474B5" w14:textId="77777777" w:rsidR="000C5084" w:rsidRDefault="000C5084" w:rsidP="00823261">
            <w:pPr>
              <w:pStyle w:val="NotesText"/>
              <w:rPr>
                <w:color w:val="000000"/>
                <w:szCs w:val="18"/>
              </w:rPr>
            </w:pPr>
          </w:p>
          <w:p w14:paraId="327E1E32" w14:textId="77777777" w:rsidR="000C5084" w:rsidRDefault="000C5084" w:rsidP="00C45B80">
            <w:pPr>
              <w:pStyle w:val="NotesText"/>
            </w:pPr>
            <w:r w:rsidRPr="000C5084">
              <w:rPr>
                <w:iCs/>
                <w:vanish/>
              </w:rPr>
              <w:t xml:space="preserve">BR_24.34 </w:t>
            </w:r>
            <w:r w:rsidR="00C233B7">
              <w:rPr>
                <w:iCs/>
              </w:rPr>
              <w:t>If one unit containing</w:t>
            </w:r>
            <w:r w:rsidRPr="009D3134">
              <w:rPr>
                <w:iCs/>
              </w:rPr>
              <w:t xml:space="preserve"> = </w:t>
            </w:r>
            <w:r w:rsidR="00C233B7">
              <w:rPr>
                <w:iCs/>
              </w:rPr>
              <w:t xml:space="preserve">&gt; </w:t>
            </w:r>
            <w:r w:rsidRPr="009D3134">
              <w:rPr>
                <w:iCs/>
              </w:rPr>
              <w:t xml:space="preserve">2 mL of red blood cell contamination is added to a pool, the target </w:t>
            </w:r>
            <w:r w:rsidR="00C45B80">
              <w:rPr>
                <w:iCs/>
              </w:rPr>
              <w:t>is</w:t>
            </w:r>
            <w:r w:rsidRPr="009D3134">
              <w:rPr>
                <w:iCs/>
              </w:rPr>
              <w:t xml:space="preserve"> marked as containing </w:t>
            </w:r>
            <w:r w:rsidR="00C233B7">
              <w:rPr>
                <w:iCs/>
              </w:rPr>
              <w:t>=</w:t>
            </w:r>
            <w:r w:rsidRPr="009D3134">
              <w:rPr>
                <w:iCs/>
              </w:rPr>
              <w:t xml:space="preserve"> </w:t>
            </w:r>
            <w:r w:rsidR="00C233B7">
              <w:rPr>
                <w:iCs/>
              </w:rPr>
              <w:t xml:space="preserve">&gt; </w:t>
            </w:r>
            <w:r w:rsidRPr="009D3134">
              <w:rPr>
                <w:iCs/>
              </w:rPr>
              <w:t>2 mL of red blood cell contamination.</w:t>
            </w:r>
          </w:p>
        </w:tc>
      </w:tr>
      <w:tr w:rsidR="002A21AE" w14:paraId="61824A7A" w14:textId="77777777">
        <w:tc>
          <w:tcPr>
            <w:tcW w:w="3240" w:type="dxa"/>
            <w:tcBorders>
              <w:top w:val="single" w:sz="4" w:space="0" w:color="auto"/>
              <w:left w:val="single" w:sz="4" w:space="0" w:color="auto"/>
              <w:bottom w:val="single" w:sz="4" w:space="0" w:color="auto"/>
              <w:right w:val="single" w:sz="4" w:space="0" w:color="auto"/>
            </w:tcBorders>
          </w:tcPr>
          <w:p w14:paraId="154E5059" w14:textId="77777777" w:rsidR="002A21AE" w:rsidRDefault="002A21AE">
            <w:pPr>
              <w:pStyle w:val="TableTextNumbers"/>
            </w:pPr>
            <w:r>
              <w:t>Enter the ID and product code of a</w:t>
            </w:r>
            <w:r w:rsidR="0071381D">
              <w:t>nother</w:t>
            </w:r>
            <w:r>
              <w:t xml:space="preserve"> unit </w:t>
            </w:r>
            <w:r w:rsidR="0071381D">
              <w:t xml:space="preserve">of the same donation type </w:t>
            </w:r>
            <w:r>
              <w:t xml:space="preserve">for inclusion in the pool. </w:t>
            </w:r>
          </w:p>
        </w:tc>
        <w:tc>
          <w:tcPr>
            <w:tcW w:w="6120" w:type="dxa"/>
            <w:tcBorders>
              <w:top w:val="single" w:sz="4" w:space="0" w:color="auto"/>
              <w:left w:val="single" w:sz="4" w:space="0" w:color="auto"/>
              <w:bottom w:val="single" w:sz="4" w:space="0" w:color="auto"/>
              <w:right w:val="single" w:sz="4" w:space="0" w:color="auto"/>
            </w:tcBorders>
          </w:tcPr>
          <w:p w14:paraId="786D1130" w14:textId="77777777" w:rsidR="002A21AE" w:rsidRDefault="00CE58C1">
            <w:pPr>
              <w:pStyle w:val="TableTextBullet"/>
              <w:tabs>
                <w:tab w:val="num" w:pos="360"/>
              </w:tabs>
            </w:pPr>
            <w:r>
              <w:t xml:space="preserve">May warn </w:t>
            </w:r>
            <w:r w:rsidR="002A21AE">
              <w:t>the user and asks whether to release the unit from “restricted for patient.”</w:t>
            </w:r>
          </w:p>
          <w:p w14:paraId="0B395ABF" w14:textId="77777777" w:rsidR="002A21AE" w:rsidRDefault="002A21AE">
            <w:pPr>
              <w:pStyle w:val="TableText"/>
            </w:pPr>
          </w:p>
          <w:p w14:paraId="325B120D" w14:textId="68A1B149" w:rsidR="002A21AE" w:rsidRDefault="002A21AE">
            <w:pPr>
              <w:pStyle w:val="TableText"/>
              <w:rPr>
                <w:b/>
                <w:bCs/>
              </w:rPr>
            </w:pPr>
            <w:r>
              <w:rPr>
                <w:b/>
                <w:bCs/>
              </w:rPr>
              <w:t>NOTES</w:t>
            </w:r>
          </w:p>
          <w:p w14:paraId="6AD04D31" w14:textId="77777777" w:rsidR="002A21AE" w:rsidRDefault="002A21AE">
            <w:pPr>
              <w:pStyle w:val="NotesText"/>
            </w:pPr>
          </w:p>
          <w:p w14:paraId="542E5426" w14:textId="77777777" w:rsidR="002A21AE" w:rsidRDefault="002A21AE">
            <w:pPr>
              <w:pStyle w:val="NotesText"/>
            </w:pPr>
            <w:r>
              <w:t xml:space="preserve">When the donation type of a unit selected for inclusion in a pool is restricted, the user may release the directed unit to the general blood supply, if indicated, and complete the pooling process. </w:t>
            </w:r>
          </w:p>
          <w:p w14:paraId="105F1FAE" w14:textId="77777777" w:rsidR="00A33872" w:rsidRDefault="00A33872" w:rsidP="00A33872">
            <w:pPr>
              <w:pStyle w:val="NotesText"/>
            </w:pPr>
          </w:p>
          <w:p w14:paraId="2C4F22F0" w14:textId="77777777" w:rsidR="005E0061" w:rsidRDefault="00A33872" w:rsidP="00A33872">
            <w:pPr>
              <w:pStyle w:val="NotesText"/>
              <w:rPr>
                <w:iCs/>
                <w:szCs w:val="18"/>
              </w:rPr>
            </w:pPr>
            <w:r w:rsidRPr="001051D0">
              <w:rPr>
                <w:rFonts w:cs="Arial"/>
                <w:vanish/>
              </w:rPr>
              <w:t>BR_24.12</w:t>
            </w:r>
            <w:r>
              <w:rPr>
                <w:rFonts w:cs="Arial"/>
                <w:vanish/>
                <w:szCs w:val="18"/>
              </w:rPr>
              <w:t xml:space="preserve"> </w:t>
            </w:r>
            <w:r w:rsidR="00CD6052" w:rsidRPr="00CD6052">
              <w:rPr>
                <w:iCs/>
                <w:szCs w:val="18"/>
              </w:rPr>
              <w:t>When the first unit entered for a pool is labeled in ISBT 128, VBECS determines the unit ID of the pool created from ISBT-labeled units using the country and ICCBBA-assigned facility code (division preparing the pool), two-number year, and six-number sequential number of the pool event at the division, and displays it for acceptance only.</w:t>
            </w:r>
          </w:p>
          <w:p w14:paraId="72FC2B06" w14:textId="77777777" w:rsidR="00A33872" w:rsidRDefault="009439F8" w:rsidP="00A33872">
            <w:pPr>
              <w:pStyle w:val="NotesText"/>
              <w:rPr>
                <w:iCs/>
                <w:vanish/>
                <w:szCs w:val="18"/>
              </w:rPr>
            </w:pPr>
            <w:r>
              <w:rPr>
                <w:iCs/>
                <w:vanish/>
                <w:szCs w:val="18"/>
              </w:rPr>
              <w:t xml:space="preserve"> DR 3668</w:t>
            </w:r>
          </w:p>
          <w:p w14:paraId="4F0B7D37" w14:textId="77777777" w:rsidR="005E0061" w:rsidRDefault="005E0061" w:rsidP="00A33872">
            <w:pPr>
              <w:pStyle w:val="NotesText"/>
              <w:rPr>
                <w:color w:val="000000"/>
                <w:szCs w:val="18"/>
              </w:rPr>
            </w:pPr>
          </w:p>
          <w:p w14:paraId="06CF8086" w14:textId="77777777" w:rsidR="005E0061" w:rsidRPr="009439F8" w:rsidRDefault="005E0061" w:rsidP="00A33872">
            <w:pPr>
              <w:pStyle w:val="NotesText"/>
              <w:rPr>
                <w:color w:val="000000"/>
                <w:szCs w:val="18"/>
              </w:rPr>
            </w:pPr>
            <w:r w:rsidRPr="005E0061">
              <w:rPr>
                <w:iCs/>
                <w:vanish/>
              </w:rPr>
              <w:t xml:space="preserve">BR_24.34 </w:t>
            </w:r>
            <w:r w:rsidRPr="009D3134">
              <w:rPr>
                <w:iCs/>
              </w:rPr>
              <w:t>If one unit conta</w:t>
            </w:r>
            <w:r w:rsidR="00C233B7">
              <w:rPr>
                <w:iCs/>
              </w:rPr>
              <w:t xml:space="preserve">ining </w:t>
            </w:r>
            <w:r w:rsidRPr="009D3134">
              <w:rPr>
                <w:iCs/>
              </w:rPr>
              <w:t xml:space="preserve">= </w:t>
            </w:r>
            <w:r w:rsidR="00C233B7">
              <w:rPr>
                <w:iCs/>
              </w:rPr>
              <w:t xml:space="preserve">&gt; </w:t>
            </w:r>
            <w:r w:rsidRPr="009D3134">
              <w:rPr>
                <w:iCs/>
              </w:rPr>
              <w:t>2 mL of red blood cell contamination is added to a pool, the target</w:t>
            </w:r>
            <w:r w:rsidR="00DB1100">
              <w:rPr>
                <w:iCs/>
              </w:rPr>
              <w:t xml:space="preserve"> is</w:t>
            </w:r>
            <w:r w:rsidR="00C233B7">
              <w:rPr>
                <w:iCs/>
              </w:rPr>
              <w:t xml:space="preserve"> marked as containing </w:t>
            </w:r>
            <w:r w:rsidRPr="009D3134">
              <w:rPr>
                <w:iCs/>
              </w:rPr>
              <w:t xml:space="preserve">= </w:t>
            </w:r>
            <w:r w:rsidR="00C233B7">
              <w:rPr>
                <w:iCs/>
              </w:rPr>
              <w:t xml:space="preserve">&gt; </w:t>
            </w:r>
            <w:r w:rsidRPr="009D3134">
              <w:rPr>
                <w:iCs/>
              </w:rPr>
              <w:t>2 mL of red blood cell contamination.</w:t>
            </w:r>
          </w:p>
        </w:tc>
      </w:tr>
      <w:tr w:rsidR="002A21AE" w14:paraId="1CE912F2" w14:textId="77777777" w:rsidTr="001A459B">
        <w:trPr>
          <w:cantSplit/>
        </w:trPr>
        <w:tc>
          <w:tcPr>
            <w:tcW w:w="3240" w:type="dxa"/>
            <w:tcBorders>
              <w:top w:val="single" w:sz="4" w:space="0" w:color="auto"/>
              <w:left w:val="single" w:sz="4" w:space="0" w:color="auto"/>
              <w:bottom w:val="single" w:sz="4" w:space="0" w:color="auto"/>
              <w:right w:val="single" w:sz="4" w:space="0" w:color="auto"/>
            </w:tcBorders>
          </w:tcPr>
          <w:p w14:paraId="5E701431" w14:textId="77777777" w:rsidR="002A21AE" w:rsidRDefault="002A21AE">
            <w:pPr>
              <w:pStyle w:val="TableTextNumbers"/>
            </w:pPr>
            <w:r>
              <w:lastRenderedPageBreak/>
              <w:t>Accept the previously selected unit and repeat Step 4 to select another unit to add to the pool.</w:t>
            </w:r>
          </w:p>
        </w:tc>
        <w:tc>
          <w:tcPr>
            <w:tcW w:w="6120" w:type="dxa"/>
            <w:tcBorders>
              <w:top w:val="single" w:sz="4" w:space="0" w:color="auto"/>
              <w:left w:val="single" w:sz="4" w:space="0" w:color="auto"/>
              <w:bottom w:val="single" w:sz="4" w:space="0" w:color="auto"/>
              <w:right w:val="single" w:sz="4" w:space="0" w:color="auto"/>
            </w:tcBorders>
          </w:tcPr>
          <w:p w14:paraId="0CC38EE5" w14:textId="77777777" w:rsidR="002A21AE" w:rsidRDefault="002A21AE">
            <w:pPr>
              <w:pStyle w:val="TableTextBullet"/>
              <w:tabs>
                <w:tab w:val="num" w:pos="360"/>
              </w:tabs>
              <w:rPr>
                <w:color w:val="000000"/>
                <w:szCs w:val="20"/>
              </w:rPr>
            </w:pPr>
            <w:r>
              <w:rPr>
                <w:color w:val="000000"/>
                <w:szCs w:val="20"/>
              </w:rPr>
              <w:t>Displays all data for all original units.</w:t>
            </w:r>
          </w:p>
          <w:p w14:paraId="454D9AAB" w14:textId="77777777" w:rsidR="002A21AE" w:rsidRDefault="002A21AE">
            <w:pPr>
              <w:pStyle w:val="TableText"/>
            </w:pPr>
          </w:p>
          <w:p w14:paraId="4D3363CB" w14:textId="1E1B3A6D" w:rsidR="002A21AE" w:rsidRDefault="002A21AE">
            <w:pPr>
              <w:pStyle w:val="TableText"/>
              <w:rPr>
                <w:b/>
                <w:bCs/>
              </w:rPr>
            </w:pPr>
            <w:r>
              <w:rPr>
                <w:b/>
                <w:bCs/>
              </w:rPr>
              <w:t>NOTES</w:t>
            </w:r>
          </w:p>
          <w:p w14:paraId="47883C23" w14:textId="69561650" w:rsidR="002A21AE" w:rsidRDefault="00D431F7" w:rsidP="00D431F7">
            <w:pPr>
              <w:pStyle w:val="NotesText"/>
              <w:tabs>
                <w:tab w:val="left" w:pos="2580"/>
              </w:tabs>
            </w:pPr>
            <w:r>
              <w:tab/>
            </w:r>
          </w:p>
          <w:p w14:paraId="5077D8F0" w14:textId="0A67D2F6" w:rsidR="002A21AE" w:rsidRDefault="002A21AE">
            <w:pPr>
              <w:pStyle w:val="NotesText"/>
            </w:pPr>
            <w:r>
              <w:rPr>
                <w:rFonts w:cs="Arial"/>
                <w:vanish/>
              </w:rPr>
              <w:t>BR_24.03</w:t>
            </w:r>
            <w:r>
              <w:rPr>
                <w:rFonts w:cs="Arial"/>
                <w:vanish/>
                <w:szCs w:val="18"/>
              </w:rPr>
              <w:t xml:space="preserve"> </w:t>
            </w:r>
            <w:r w:rsidR="00D431F7">
              <w:rPr>
                <w:szCs w:val="18"/>
              </w:rPr>
              <w:t>The system will tally</w:t>
            </w:r>
            <w:r>
              <w:rPr>
                <w:szCs w:val="18"/>
              </w:rPr>
              <w:t xml:space="preserve"> the</w:t>
            </w:r>
            <w:r w:rsidR="00D431F7">
              <w:rPr>
                <w:szCs w:val="18"/>
              </w:rPr>
              <w:t xml:space="preserve"> total</w:t>
            </w:r>
            <w:r>
              <w:rPr>
                <w:szCs w:val="18"/>
              </w:rPr>
              <w:t xml:space="preserve"> number of units pooled</w:t>
            </w:r>
            <w:r w:rsidR="00E537E5">
              <w:rPr>
                <w:szCs w:val="18"/>
              </w:rPr>
              <w:t xml:space="preserve"> for this transaction. </w:t>
            </w:r>
            <w:r w:rsidR="00D431F7">
              <w:rPr>
                <w:szCs w:val="18"/>
              </w:rPr>
              <w:t>The system</w:t>
            </w:r>
            <w:r w:rsidR="00E537E5">
              <w:rPr>
                <w:szCs w:val="18"/>
              </w:rPr>
              <w:t xml:space="preserve"> will not allow the user to edit this number</w:t>
            </w:r>
            <w:r>
              <w:rPr>
                <w:szCs w:val="18"/>
              </w:rPr>
              <w:t xml:space="preserve">. The user may not edit this number. </w:t>
            </w:r>
            <w:r w:rsidR="00D431F7">
              <w:rPr>
                <w:szCs w:val="18"/>
              </w:rPr>
              <w:t>The system will calculate</w:t>
            </w:r>
            <w:r>
              <w:rPr>
                <w:szCs w:val="18"/>
              </w:rPr>
              <w:t xml:space="preserve"> </w:t>
            </w:r>
            <w:r w:rsidR="00D431F7">
              <w:rPr>
                <w:szCs w:val="18"/>
              </w:rPr>
              <w:t xml:space="preserve">sum of </w:t>
            </w:r>
            <w:r>
              <w:rPr>
                <w:szCs w:val="18"/>
              </w:rPr>
              <w:t>the pooled unit’s cost</w:t>
            </w:r>
            <w:r w:rsidR="00D431F7">
              <w:rPr>
                <w:szCs w:val="18"/>
              </w:rPr>
              <w:t>.</w:t>
            </w:r>
          </w:p>
          <w:p w14:paraId="20CA614E" w14:textId="77777777" w:rsidR="002A21AE" w:rsidRDefault="002A21AE">
            <w:pPr>
              <w:pStyle w:val="NotesText"/>
            </w:pPr>
          </w:p>
          <w:p w14:paraId="0F03B951" w14:textId="77777777" w:rsidR="002A21AE" w:rsidRDefault="002A21AE">
            <w:pPr>
              <w:pStyle w:val="NotesText"/>
            </w:pPr>
            <w:r w:rsidRPr="00D31A97">
              <w:rPr>
                <w:rFonts w:cs="Arial"/>
                <w:vanish/>
              </w:rPr>
              <w:t>BR_24.05</w:t>
            </w:r>
            <w:r>
              <w:rPr>
                <w:rFonts w:cs="Arial"/>
                <w:vanish/>
              </w:rPr>
              <w:t xml:space="preserve"> </w:t>
            </w:r>
            <w:r>
              <w:rPr>
                <w:szCs w:val="18"/>
              </w:rPr>
              <w:t xml:space="preserve">VBECS does not allow a unit to be entered twice in a pool. A split unit </w:t>
            </w:r>
            <w:r w:rsidR="00D31A97">
              <w:rPr>
                <w:szCs w:val="18"/>
              </w:rPr>
              <w:t xml:space="preserve">created in VBECS </w:t>
            </w:r>
            <w:r>
              <w:rPr>
                <w:szCs w:val="18"/>
              </w:rPr>
              <w:t>may not be pooled.</w:t>
            </w:r>
            <w:r w:rsidR="00D31A97">
              <w:rPr>
                <w:szCs w:val="18"/>
              </w:rPr>
              <w:t xml:space="preserve"> A </w:t>
            </w:r>
            <w:r w:rsidR="008B6D25">
              <w:rPr>
                <w:szCs w:val="18"/>
              </w:rPr>
              <w:t>unit</w:t>
            </w:r>
            <w:r w:rsidR="00D31A97">
              <w:rPr>
                <w:szCs w:val="18"/>
              </w:rPr>
              <w:t xml:space="preserve"> that has a division code (7</w:t>
            </w:r>
            <w:r w:rsidR="00D31A97" w:rsidRPr="00D31A97">
              <w:rPr>
                <w:szCs w:val="18"/>
                <w:vertAlign w:val="superscript"/>
              </w:rPr>
              <w:t>th</w:t>
            </w:r>
            <w:r w:rsidR="00D31A97">
              <w:rPr>
                <w:szCs w:val="18"/>
              </w:rPr>
              <w:t>/8</w:t>
            </w:r>
            <w:r w:rsidR="00D31A97" w:rsidRPr="00D31A97">
              <w:rPr>
                <w:szCs w:val="18"/>
                <w:vertAlign w:val="superscript"/>
              </w:rPr>
              <w:t>th</w:t>
            </w:r>
            <w:r w:rsidR="00D31A97">
              <w:rPr>
                <w:szCs w:val="18"/>
              </w:rPr>
              <w:t xml:space="preserve"> characters in the ISBT Product code) present upon receipt in incoming shipment may be pooled.</w:t>
            </w:r>
          </w:p>
        </w:tc>
      </w:tr>
      <w:tr w:rsidR="002A21AE" w14:paraId="5171622C" w14:textId="77777777">
        <w:tc>
          <w:tcPr>
            <w:tcW w:w="3240" w:type="dxa"/>
            <w:tcBorders>
              <w:top w:val="single" w:sz="4" w:space="0" w:color="auto"/>
              <w:left w:val="single" w:sz="4" w:space="0" w:color="auto"/>
              <w:bottom w:val="single" w:sz="4" w:space="0" w:color="auto"/>
              <w:right w:val="single" w:sz="4" w:space="0" w:color="auto"/>
            </w:tcBorders>
          </w:tcPr>
          <w:p w14:paraId="3488A26F" w14:textId="77777777" w:rsidR="002A21AE" w:rsidRDefault="002A21AE">
            <w:pPr>
              <w:pStyle w:val="TableTextNumbers"/>
            </w:pPr>
            <w:r>
              <w:t>Accept the displayed units’ data for the pool.</w:t>
            </w:r>
          </w:p>
        </w:tc>
        <w:tc>
          <w:tcPr>
            <w:tcW w:w="6120" w:type="dxa"/>
            <w:tcBorders>
              <w:top w:val="single" w:sz="4" w:space="0" w:color="auto"/>
              <w:left w:val="single" w:sz="4" w:space="0" w:color="auto"/>
              <w:bottom w:val="single" w:sz="4" w:space="0" w:color="auto"/>
              <w:right w:val="single" w:sz="4" w:space="0" w:color="auto"/>
            </w:tcBorders>
          </w:tcPr>
          <w:p w14:paraId="78CC51F7" w14:textId="77777777" w:rsidR="002A21AE" w:rsidRDefault="002A21AE">
            <w:pPr>
              <w:pStyle w:val="TableTextBullet"/>
              <w:tabs>
                <w:tab w:val="num" w:pos="360"/>
              </w:tabs>
            </w:pPr>
            <w:r>
              <w:t>Displays target component types for the modification, conditions selected, and the original unit product type, and allows the user to select a single modification type.</w:t>
            </w:r>
          </w:p>
        </w:tc>
      </w:tr>
      <w:tr w:rsidR="002A21AE" w14:paraId="45A8E6F8" w14:textId="77777777">
        <w:tc>
          <w:tcPr>
            <w:tcW w:w="3240" w:type="dxa"/>
            <w:tcBorders>
              <w:top w:val="single" w:sz="4" w:space="0" w:color="auto"/>
              <w:left w:val="single" w:sz="4" w:space="0" w:color="auto"/>
              <w:bottom w:val="single" w:sz="4" w:space="0" w:color="auto"/>
              <w:right w:val="single" w:sz="4" w:space="0" w:color="auto"/>
            </w:tcBorders>
          </w:tcPr>
          <w:p w14:paraId="05D00C21" w14:textId="77777777" w:rsidR="002A21AE" w:rsidRDefault="002A21AE">
            <w:pPr>
              <w:pStyle w:val="TableTextNumbers"/>
            </w:pPr>
            <w:r>
              <w:t xml:space="preserve">Select or confirm the desired target component type. </w:t>
            </w:r>
          </w:p>
          <w:p w14:paraId="196DEECF" w14:textId="77777777" w:rsidR="00CE58C1" w:rsidRDefault="00CE58C1" w:rsidP="00CE58C1">
            <w:pPr>
              <w:pStyle w:val="TableTextNumbersContinued"/>
            </w:pPr>
          </w:p>
          <w:p w14:paraId="296F441B" w14:textId="77777777" w:rsidR="002A21AE" w:rsidRDefault="00CE58C1" w:rsidP="00CE58C1">
            <w:pPr>
              <w:pStyle w:val="TableTextNumbersContinued"/>
            </w:pPr>
            <w:r>
              <w:t>Click the</w:t>
            </w:r>
            <w:r w:rsidR="007B7DEC">
              <w:t xml:space="preserve"> </w:t>
            </w:r>
            <w:r w:rsidR="007B7DEC" w:rsidRPr="007B7DEC">
              <w:rPr>
                <w:b/>
              </w:rPr>
              <w:t>Container</w:t>
            </w:r>
            <w:r w:rsidR="007B7DEC">
              <w:t>,</w:t>
            </w:r>
            <w:r>
              <w:t xml:space="preserve"> </w:t>
            </w:r>
            <w:r w:rsidRPr="00764A64">
              <w:rPr>
                <w:b/>
              </w:rPr>
              <w:t>Supplies</w:t>
            </w:r>
            <w:r w:rsidR="007B7DEC" w:rsidRPr="007B7DEC">
              <w:t>,</w:t>
            </w:r>
            <w:r w:rsidR="0023261D">
              <w:t xml:space="preserve"> </w:t>
            </w:r>
            <w:r w:rsidRPr="00764A64">
              <w:rPr>
                <w:b/>
              </w:rPr>
              <w:t>Equipment</w:t>
            </w:r>
            <w:r w:rsidR="007B7DEC" w:rsidRPr="007B7DEC">
              <w:t>, or</w:t>
            </w:r>
            <w:r w:rsidR="007B7DEC">
              <w:rPr>
                <w:b/>
              </w:rPr>
              <w:t xml:space="preserve"> SCD Wafer</w:t>
            </w:r>
            <w:r w:rsidRPr="00764A64">
              <w:rPr>
                <w:b/>
              </w:rPr>
              <w:t xml:space="preserve"> </w:t>
            </w:r>
            <w:r w:rsidRPr="00CC3C89">
              <w:t xml:space="preserve">tab </w:t>
            </w:r>
            <w:r>
              <w:t>and enter another supply and/or equipment lot or ID number.</w:t>
            </w:r>
          </w:p>
        </w:tc>
        <w:tc>
          <w:tcPr>
            <w:tcW w:w="6120" w:type="dxa"/>
            <w:tcBorders>
              <w:top w:val="single" w:sz="4" w:space="0" w:color="auto"/>
              <w:left w:val="single" w:sz="4" w:space="0" w:color="auto"/>
              <w:bottom w:val="single" w:sz="4" w:space="0" w:color="auto"/>
              <w:right w:val="single" w:sz="4" w:space="0" w:color="auto"/>
            </w:tcBorders>
          </w:tcPr>
          <w:p w14:paraId="2C948F89" w14:textId="77777777" w:rsidR="002A21AE" w:rsidRDefault="002A21AE">
            <w:pPr>
              <w:pStyle w:val="TableTextBullet"/>
              <w:tabs>
                <w:tab w:val="num" w:pos="360"/>
              </w:tabs>
              <w:rPr>
                <w:color w:val="000000"/>
                <w:szCs w:val="20"/>
              </w:rPr>
            </w:pPr>
            <w:r>
              <w:rPr>
                <w:color w:val="000000"/>
                <w:szCs w:val="20"/>
              </w:rPr>
              <w:t>Verifies that an active target component was selected. Requires activation, as needed.</w:t>
            </w:r>
          </w:p>
          <w:p w14:paraId="5A53386F" w14:textId="77777777" w:rsidR="002A21AE" w:rsidRDefault="002A21AE">
            <w:pPr>
              <w:pStyle w:val="TableTextBullet"/>
              <w:tabs>
                <w:tab w:val="num" w:pos="360"/>
              </w:tabs>
            </w:pPr>
            <w:r>
              <w:t>Allows the user to enter lot and ID numbers (with auto-completion) or select multiple items from the supply and equipment lists.</w:t>
            </w:r>
          </w:p>
        </w:tc>
      </w:tr>
      <w:tr w:rsidR="002A21AE" w14:paraId="666D3D97" w14:textId="77777777">
        <w:tc>
          <w:tcPr>
            <w:tcW w:w="3240" w:type="dxa"/>
            <w:tcBorders>
              <w:top w:val="single" w:sz="4" w:space="0" w:color="auto"/>
              <w:left w:val="single" w:sz="4" w:space="0" w:color="auto"/>
              <w:bottom w:val="single" w:sz="4" w:space="0" w:color="auto"/>
              <w:right w:val="single" w:sz="4" w:space="0" w:color="auto"/>
            </w:tcBorders>
          </w:tcPr>
          <w:p w14:paraId="7BB1A077" w14:textId="77777777" w:rsidR="002A21AE" w:rsidRDefault="002A21AE">
            <w:pPr>
              <w:pStyle w:val="TableTextNumbers"/>
            </w:pPr>
            <w:r>
              <w:t>Accept the displayed</w:t>
            </w:r>
            <w:r w:rsidR="00AA6C54">
              <w:t xml:space="preserve"> </w:t>
            </w:r>
            <w:r w:rsidR="00CE58C1">
              <w:t xml:space="preserve">expiration date </w:t>
            </w:r>
            <w:r>
              <w:t xml:space="preserve">or edit </w:t>
            </w:r>
            <w:r w:rsidR="00CE58C1">
              <w:t>it</w:t>
            </w:r>
            <w:r>
              <w:t>.</w:t>
            </w:r>
          </w:p>
        </w:tc>
        <w:tc>
          <w:tcPr>
            <w:tcW w:w="6120" w:type="dxa"/>
            <w:tcBorders>
              <w:top w:val="single" w:sz="4" w:space="0" w:color="auto"/>
              <w:left w:val="single" w:sz="4" w:space="0" w:color="auto"/>
              <w:bottom w:val="single" w:sz="4" w:space="0" w:color="auto"/>
              <w:right w:val="single" w:sz="4" w:space="0" w:color="auto"/>
            </w:tcBorders>
          </w:tcPr>
          <w:p w14:paraId="6865F668" w14:textId="77777777" w:rsidR="002A21AE" w:rsidRDefault="002A21AE">
            <w:pPr>
              <w:pStyle w:val="TableTextBullet"/>
              <w:tabs>
                <w:tab w:val="num" w:pos="360"/>
              </w:tabs>
              <w:rPr>
                <w:color w:val="000000"/>
                <w:szCs w:val="20"/>
              </w:rPr>
            </w:pPr>
            <w:r>
              <w:rPr>
                <w:color w:val="000000"/>
                <w:szCs w:val="20"/>
              </w:rPr>
              <w:t>Calculates and displays the expiration date of the pooled unit based on rules specific to the participant blood product.</w:t>
            </w:r>
          </w:p>
          <w:p w14:paraId="2AAAD351" w14:textId="77777777" w:rsidR="002A21AE" w:rsidRDefault="002A21AE">
            <w:pPr>
              <w:pStyle w:val="TableTextBullet"/>
              <w:tabs>
                <w:tab w:val="num" w:pos="360"/>
              </w:tabs>
              <w:rPr>
                <w:color w:val="000000"/>
                <w:szCs w:val="20"/>
              </w:rPr>
            </w:pPr>
            <w:r>
              <w:rPr>
                <w:color w:val="000000"/>
                <w:szCs w:val="20"/>
              </w:rPr>
              <w:t>Verifies the validity of the expiration date and warns the user, when indicated.</w:t>
            </w:r>
          </w:p>
          <w:p w14:paraId="7679949A" w14:textId="77777777" w:rsidR="002A21AE" w:rsidRDefault="002A21AE">
            <w:pPr>
              <w:pStyle w:val="TableText"/>
            </w:pPr>
          </w:p>
          <w:p w14:paraId="3146D168" w14:textId="159D3992" w:rsidR="002A21AE" w:rsidRDefault="002A21AE">
            <w:pPr>
              <w:pStyle w:val="TableText"/>
              <w:rPr>
                <w:b/>
                <w:bCs/>
              </w:rPr>
            </w:pPr>
            <w:r>
              <w:rPr>
                <w:b/>
                <w:bCs/>
              </w:rPr>
              <w:t>NOTES</w:t>
            </w:r>
          </w:p>
          <w:p w14:paraId="04DC4732" w14:textId="77777777" w:rsidR="002A21AE" w:rsidRDefault="002A21AE">
            <w:pPr>
              <w:pStyle w:val="NotesText"/>
            </w:pPr>
          </w:p>
          <w:p w14:paraId="11A3F66D" w14:textId="77777777" w:rsidR="00B37CE1" w:rsidRPr="00B37CE1" w:rsidRDefault="00B37CE1" w:rsidP="00B37CE1">
            <w:pPr>
              <w:pStyle w:val="NotesText"/>
              <w:rPr>
                <w:szCs w:val="18"/>
              </w:rPr>
            </w:pPr>
            <w:r w:rsidRPr="00B37CE1">
              <w:rPr>
                <w:vanish/>
                <w:szCs w:val="18"/>
              </w:rPr>
              <w:t xml:space="preserve">BR_24.10 </w:t>
            </w:r>
            <w:r w:rsidRPr="00B37CE1">
              <w:rPr>
                <w:szCs w:val="18"/>
              </w:rPr>
              <w:t>When the method selected is “Thaw/Pool Cryo”, The system shall ‘thaw’ frozen components automatically when they are being pooled.</w:t>
            </w:r>
          </w:p>
          <w:p w14:paraId="5A315BFC" w14:textId="77777777" w:rsidR="00B37CE1" w:rsidRPr="00B37CE1" w:rsidRDefault="00B37CE1" w:rsidP="00B37CE1">
            <w:pPr>
              <w:pStyle w:val="NotesText"/>
              <w:rPr>
                <w:szCs w:val="18"/>
              </w:rPr>
            </w:pPr>
          </w:p>
          <w:p w14:paraId="32A2A8B7" w14:textId="77777777" w:rsidR="00B37CE1" w:rsidRPr="00B37CE1" w:rsidRDefault="00B37CE1" w:rsidP="00B37CE1">
            <w:pPr>
              <w:pStyle w:val="NotesText"/>
              <w:rPr>
                <w:szCs w:val="18"/>
              </w:rPr>
            </w:pPr>
            <w:r w:rsidRPr="00B37CE1">
              <w:rPr>
                <w:szCs w:val="18"/>
              </w:rPr>
              <w:t xml:space="preserve">The workload for thawing each unit in the pool </w:t>
            </w:r>
            <w:r w:rsidR="00C45B80">
              <w:rPr>
                <w:szCs w:val="18"/>
              </w:rPr>
              <w:t xml:space="preserve">is </w:t>
            </w:r>
            <w:r w:rsidRPr="00B37CE1">
              <w:rPr>
                <w:szCs w:val="18"/>
              </w:rPr>
              <w:t>collected in addition to the pool workload.</w:t>
            </w:r>
          </w:p>
          <w:p w14:paraId="252F49FA" w14:textId="77777777" w:rsidR="00B37CE1" w:rsidRDefault="00B37CE1" w:rsidP="00B37CE1">
            <w:pPr>
              <w:pStyle w:val="TableText"/>
            </w:pPr>
          </w:p>
          <w:p w14:paraId="2235B8F7" w14:textId="77777777" w:rsidR="00B37CE1" w:rsidRDefault="00B37CE1" w:rsidP="00B37CE1">
            <w:pPr>
              <w:pStyle w:val="NotesText"/>
              <w:rPr>
                <w:szCs w:val="18"/>
              </w:rPr>
            </w:pPr>
            <w:r>
              <w:t>The new expiration date of the thawed unit is determined by the date/time of pooling.</w:t>
            </w:r>
          </w:p>
          <w:p w14:paraId="0205979A" w14:textId="77777777" w:rsidR="002A21AE" w:rsidRDefault="002A21AE">
            <w:pPr>
              <w:pStyle w:val="NotesText"/>
              <w:rPr>
                <w:szCs w:val="18"/>
              </w:rPr>
            </w:pPr>
          </w:p>
          <w:p w14:paraId="2B95A771" w14:textId="77777777" w:rsidR="002A21AE" w:rsidRDefault="002A21AE">
            <w:pPr>
              <w:pStyle w:val="NotesText"/>
            </w:pPr>
            <w:r>
              <w:rPr>
                <w:rFonts w:cs="Arial"/>
                <w:vanish/>
              </w:rPr>
              <w:t xml:space="preserve">BR_24.13 </w:t>
            </w:r>
            <w:r>
              <w:t>VBECS calculates an expiration date for the pool based on the product type, the date and time created, and the expiration dates and times of each pool participant. When one or more participants in the pool have an expiration date that is earlier than the calculated expiration date, VBECS uses the earlier date as the default expiration date for the pool.</w:t>
            </w:r>
          </w:p>
          <w:p w14:paraId="2745723F" w14:textId="77777777" w:rsidR="002A21AE" w:rsidRDefault="002A21AE">
            <w:pPr>
              <w:pStyle w:val="NotesText"/>
            </w:pPr>
          </w:p>
          <w:p w14:paraId="2E3C9D59" w14:textId="77777777" w:rsidR="002A21AE" w:rsidRDefault="002A21AE">
            <w:pPr>
              <w:pStyle w:val="NotesText"/>
            </w:pPr>
            <w:r w:rsidRPr="00896F17">
              <w:rPr>
                <w:rStyle w:val="BullhornChar"/>
              </w:rPr>
              <w:t></w:t>
            </w:r>
            <w:r>
              <w:rPr>
                <w:color w:val="000000"/>
                <w:szCs w:val="18"/>
              </w:rPr>
              <w:t xml:space="preserve"> </w:t>
            </w:r>
            <w:r>
              <w:rPr>
                <w:rFonts w:cs="Arial"/>
                <w:vanish/>
              </w:rPr>
              <w:t>BR_24.07</w:t>
            </w:r>
            <w:r>
              <w:rPr>
                <w:rFonts w:cs="Arial"/>
                <w:vanish/>
                <w:szCs w:val="18"/>
              </w:rPr>
              <w:t xml:space="preserve"> </w:t>
            </w:r>
            <w:r>
              <w:rPr>
                <w:szCs w:val="18"/>
              </w:rPr>
              <w:t xml:space="preserve">For each unit in the pool that was previously assigned or crossmatched to a patient, VBECS warns the user and asks whether he wishes to assign the entire pool to that patient. </w:t>
            </w:r>
            <w:r>
              <w:rPr>
                <w:b/>
                <w:bCs/>
                <w:szCs w:val="18"/>
              </w:rPr>
              <w:t>Yes</w:t>
            </w:r>
            <w:r>
              <w:rPr>
                <w:szCs w:val="18"/>
              </w:rPr>
              <w:t xml:space="preserve"> applies the patient-assigned data to the pool. </w:t>
            </w:r>
            <w:r>
              <w:rPr>
                <w:b/>
                <w:bCs/>
                <w:szCs w:val="18"/>
              </w:rPr>
              <w:t>No</w:t>
            </w:r>
            <w:r>
              <w:rPr>
                <w:szCs w:val="18"/>
              </w:rPr>
              <w:t xml:space="preserve"> releases the unit from the patient.</w:t>
            </w:r>
            <w:r w:rsidR="001C3461">
              <w:rPr>
                <w:szCs w:val="18"/>
              </w:rPr>
              <w:t xml:space="preserve"> VBECS offers the user the ability to carry over any past assignment.</w:t>
            </w:r>
            <w:r w:rsidR="006D37BC">
              <w:rPr>
                <w:szCs w:val="18"/>
              </w:rPr>
              <w:t>BR</w:t>
            </w:r>
          </w:p>
        </w:tc>
      </w:tr>
      <w:tr w:rsidR="002A21AE" w14:paraId="0EA2A531" w14:textId="77777777">
        <w:tc>
          <w:tcPr>
            <w:tcW w:w="3240" w:type="dxa"/>
            <w:tcBorders>
              <w:top w:val="single" w:sz="4" w:space="0" w:color="auto"/>
              <w:left w:val="single" w:sz="4" w:space="0" w:color="auto"/>
              <w:bottom w:val="single" w:sz="4" w:space="0" w:color="auto"/>
              <w:right w:val="single" w:sz="4" w:space="0" w:color="auto"/>
            </w:tcBorders>
          </w:tcPr>
          <w:p w14:paraId="07E0B708" w14:textId="77777777" w:rsidR="002A21AE" w:rsidRDefault="00CE58C1">
            <w:pPr>
              <w:pStyle w:val="TableTextNumbers"/>
            </w:pPr>
            <w:r>
              <w:t xml:space="preserve">Click </w:t>
            </w:r>
            <w:r w:rsidRPr="00CE58C1">
              <w:rPr>
                <w:b/>
              </w:rPr>
              <w:t>OK</w:t>
            </w:r>
            <w:r>
              <w:t xml:space="preserve"> to </w:t>
            </w:r>
            <w:r w:rsidR="00913F95">
              <w:t>save</w:t>
            </w:r>
            <w:r w:rsidR="002A21AE">
              <w:t>.</w:t>
            </w:r>
          </w:p>
        </w:tc>
        <w:tc>
          <w:tcPr>
            <w:tcW w:w="6120" w:type="dxa"/>
            <w:tcBorders>
              <w:top w:val="single" w:sz="4" w:space="0" w:color="auto"/>
              <w:left w:val="single" w:sz="4" w:space="0" w:color="auto"/>
              <w:bottom w:val="single" w:sz="4" w:space="0" w:color="auto"/>
              <w:right w:val="single" w:sz="4" w:space="0" w:color="auto"/>
            </w:tcBorders>
          </w:tcPr>
          <w:p w14:paraId="52DA53F8" w14:textId="77777777" w:rsidR="002A21AE" w:rsidRDefault="002A21AE">
            <w:pPr>
              <w:pStyle w:val="TableTextBullet"/>
              <w:tabs>
                <w:tab w:val="clear" w:pos="288"/>
              </w:tabs>
            </w:pPr>
            <w:r>
              <w:t>Calculates the volume, total number of participants, ID, and ABO/Rh for the pool. Applies CMV negative status to the pool, when indicated.</w:t>
            </w:r>
          </w:p>
          <w:p w14:paraId="1CD4356D" w14:textId="77777777" w:rsidR="00CE58C1" w:rsidRDefault="00CE58C1" w:rsidP="00CE58C1">
            <w:pPr>
              <w:pStyle w:val="TableTextBullet"/>
              <w:tabs>
                <w:tab w:val="num" w:pos="360"/>
              </w:tabs>
              <w:rPr>
                <w:color w:val="000000"/>
                <w:szCs w:val="20"/>
              </w:rPr>
            </w:pPr>
            <w:r>
              <w:rPr>
                <w:color w:val="000000"/>
                <w:szCs w:val="20"/>
              </w:rPr>
              <w:lastRenderedPageBreak/>
              <w:t>Determines whether any pool participants were previously assigned to a patient and queries the user to maintain the association, when indicated.</w:t>
            </w:r>
          </w:p>
          <w:p w14:paraId="14125265" w14:textId="77777777" w:rsidR="002A21AE" w:rsidRDefault="002A21AE">
            <w:pPr>
              <w:pStyle w:val="TableText"/>
            </w:pPr>
          </w:p>
          <w:p w14:paraId="1DEF9E39" w14:textId="4BB664F0" w:rsidR="002A21AE" w:rsidRDefault="002A21AE">
            <w:pPr>
              <w:pStyle w:val="TableText"/>
              <w:rPr>
                <w:b/>
                <w:bCs/>
              </w:rPr>
            </w:pPr>
            <w:r>
              <w:rPr>
                <w:b/>
                <w:bCs/>
              </w:rPr>
              <w:t>NOTES</w:t>
            </w:r>
          </w:p>
          <w:p w14:paraId="0C95A6A9" w14:textId="77777777" w:rsidR="002A21AE" w:rsidRDefault="002A21AE">
            <w:pPr>
              <w:pStyle w:val="NotesText"/>
            </w:pPr>
          </w:p>
          <w:p w14:paraId="64274C7A" w14:textId="77777777" w:rsidR="002A21AE" w:rsidRDefault="002A21AE">
            <w:pPr>
              <w:pStyle w:val="NotesText"/>
            </w:pPr>
            <w:r>
              <w:rPr>
                <w:rFonts w:cs="Arial"/>
                <w:vanish/>
              </w:rPr>
              <w:t xml:space="preserve">BR_24.09 </w:t>
            </w:r>
            <w:r>
              <w:rPr>
                <w:szCs w:val="18"/>
              </w:rPr>
              <w:t>When the ABO/Rh of each unit in a pool is identical, VBECS assigns that ABO/Rh to the pool. When the ABO and/or Rh of the units in a pool are not identical, VBECS assigns “</w:t>
            </w:r>
            <w:r w:rsidR="00A33872">
              <w:rPr>
                <w:szCs w:val="18"/>
              </w:rPr>
              <w:t>mixed</w:t>
            </w:r>
            <w:r>
              <w:rPr>
                <w:szCs w:val="18"/>
              </w:rPr>
              <w:t>” as the ABO and/or Rh group and type.</w:t>
            </w:r>
          </w:p>
          <w:p w14:paraId="52ADCF2B" w14:textId="77777777" w:rsidR="002A21AE" w:rsidRDefault="002A21AE">
            <w:pPr>
              <w:pStyle w:val="NotesText"/>
            </w:pPr>
          </w:p>
          <w:p w14:paraId="70F17F35" w14:textId="77777777" w:rsidR="002A21AE" w:rsidRDefault="002A21AE">
            <w:pPr>
              <w:pStyle w:val="NotesText"/>
              <w:rPr>
                <w:szCs w:val="18"/>
              </w:rPr>
            </w:pPr>
            <w:r>
              <w:rPr>
                <w:rFonts w:cs="Arial"/>
                <w:vanish/>
              </w:rPr>
              <w:t xml:space="preserve">BR_24.08 </w:t>
            </w:r>
            <w:r>
              <w:rPr>
                <w:szCs w:val="18"/>
              </w:rPr>
              <w:t xml:space="preserve">VBECS determines the volume of the pooled unit based on the sum of the individual volumes of the original units included in the pool and displays that as the default. </w:t>
            </w:r>
            <w:r w:rsidR="00D1735B">
              <w:rPr>
                <w:szCs w:val="18"/>
              </w:rPr>
              <w:t>VBECS will restrict the user to a value between 1 and 2,000 mL</w:t>
            </w:r>
            <w:r>
              <w:rPr>
                <w:szCs w:val="18"/>
              </w:rPr>
              <w:t>.</w:t>
            </w:r>
          </w:p>
          <w:p w14:paraId="7BAA053E" w14:textId="77777777" w:rsidR="002A21AE" w:rsidRDefault="002A21AE">
            <w:pPr>
              <w:pStyle w:val="NotesText"/>
              <w:rPr>
                <w:szCs w:val="18"/>
              </w:rPr>
            </w:pPr>
          </w:p>
          <w:p w14:paraId="4498186E" w14:textId="77777777" w:rsidR="002216F3" w:rsidRDefault="002A21AE" w:rsidP="002216F3">
            <w:pPr>
              <w:pStyle w:val="NotesText"/>
            </w:pPr>
            <w:r>
              <w:rPr>
                <w:rFonts w:cs="Arial"/>
                <w:vanish/>
              </w:rPr>
              <w:t>BR_24.19</w:t>
            </w:r>
            <w:r w:rsidR="004248F5">
              <w:rPr>
                <w:rFonts w:cs="Arial"/>
                <w:vanish/>
              </w:rPr>
              <w:t xml:space="preserve"> </w:t>
            </w:r>
            <w:r w:rsidR="002216F3">
              <w:t>If all of the parent units selected for a pool are CMV negative, the child (pooled unit) will also be labeled CMV negative by the system. If any one unit is not CMV negative, the pool cannot be labeled CMV negative.</w:t>
            </w:r>
          </w:p>
          <w:p w14:paraId="19EE0603" w14:textId="77777777" w:rsidR="002216F3" w:rsidRDefault="002216F3" w:rsidP="002216F3">
            <w:pPr>
              <w:pStyle w:val="NotesText"/>
            </w:pPr>
          </w:p>
          <w:p w14:paraId="5B695098" w14:textId="77777777" w:rsidR="002216F3" w:rsidRDefault="002216F3" w:rsidP="002216F3">
            <w:pPr>
              <w:pStyle w:val="NotesText"/>
            </w:pPr>
            <w:r w:rsidRPr="002216F3">
              <w:rPr>
                <w:vanish/>
              </w:rPr>
              <w:t xml:space="preserve">BR_24.20 </w:t>
            </w:r>
            <w:r w:rsidRPr="00314E13">
              <w:t xml:space="preserve">A pooled unit cannot be labeled as </w:t>
            </w:r>
            <w:r>
              <w:t xml:space="preserve">“Pre-treated to Prevent GVHD” </w:t>
            </w:r>
            <w:r w:rsidRPr="00314E13">
              <w:t>unless all of the parent (original) units used in creating that pool</w:t>
            </w:r>
            <w:r>
              <w:t xml:space="preserve"> have at least one attribute form from attribute group </w:t>
            </w:r>
            <w:r w:rsidRPr="00E14EFC">
              <w:t>V0013</w:t>
            </w:r>
            <w:r>
              <w:t xml:space="preserve"> indicating that the unit is irradiated or the attribute form indicating the unit was psoralen treated, </w:t>
            </w:r>
            <w:r w:rsidRPr="00314E13">
              <w:t>V0021005</w:t>
            </w:r>
            <w:r>
              <w:t xml:space="preserve">. </w:t>
            </w:r>
            <w:r w:rsidRPr="00314E13">
              <w:t>There is no override.</w:t>
            </w:r>
          </w:p>
          <w:p w14:paraId="7245B733" w14:textId="77777777" w:rsidR="002216F3" w:rsidRDefault="002216F3" w:rsidP="002216F3">
            <w:pPr>
              <w:pStyle w:val="NotesText"/>
            </w:pPr>
          </w:p>
          <w:p w14:paraId="77921383" w14:textId="77777777" w:rsidR="002216F3" w:rsidRPr="00314E13" w:rsidRDefault="002216F3" w:rsidP="002216F3">
            <w:pPr>
              <w:pStyle w:val="NotesText"/>
            </w:pPr>
            <w:r w:rsidRPr="002216F3">
              <w:rPr>
                <w:vanish/>
              </w:rPr>
              <w:t xml:space="preserve">BR_24.20 </w:t>
            </w:r>
            <w:r w:rsidRPr="00314E13">
              <w:t xml:space="preserve">A pooled unit cannot be labeled as </w:t>
            </w:r>
            <w:r>
              <w:t>“</w:t>
            </w:r>
            <w:r w:rsidRPr="00314E13">
              <w:t>Leukocyte Reduced</w:t>
            </w:r>
            <w:r>
              <w:t>”</w:t>
            </w:r>
            <w:r w:rsidRPr="00314E13">
              <w:t xml:space="preserve"> </w:t>
            </w:r>
            <w:r>
              <w:t xml:space="preserve">unless all of </w:t>
            </w:r>
            <w:r w:rsidRPr="00314E13">
              <w:t>the parent (original) units used in creating that pool are</w:t>
            </w:r>
            <w:r>
              <w:t xml:space="preserve"> have at least one of the attribute forms from attribute group </w:t>
            </w:r>
            <w:r w:rsidRPr="00E14EFC">
              <w:t>V001</w:t>
            </w:r>
            <w:r>
              <w:t>4, indicating that the unit has an altered “</w:t>
            </w:r>
            <w:r w:rsidRPr="00E14EFC">
              <w:t>Residual Leukocyte Content</w:t>
            </w:r>
            <w:r>
              <w:t>”.</w:t>
            </w:r>
          </w:p>
          <w:p w14:paraId="3A038FB0" w14:textId="77777777" w:rsidR="002216F3" w:rsidRPr="00314E13" w:rsidRDefault="002216F3" w:rsidP="002216F3">
            <w:pPr>
              <w:pStyle w:val="NotesText"/>
            </w:pPr>
          </w:p>
          <w:p w14:paraId="35AC1999" w14:textId="77777777" w:rsidR="002216F3" w:rsidRDefault="002216F3" w:rsidP="002216F3">
            <w:pPr>
              <w:pStyle w:val="NotesText"/>
            </w:pPr>
            <w:r w:rsidRPr="002216F3">
              <w:rPr>
                <w:vanish/>
              </w:rPr>
              <w:t xml:space="preserve">BR_24.20 </w:t>
            </w:r>
            <w:r w:rsidRPr="00314E13">
              <w:t xml:space="preserve">Example, a pool is created from 5 units, </w:t>
            </w:r>
            <w:r>
              <w:t xml:space="preserve">if </w:t>
            </w:r>
            <w:r w:rsidRPr="00314E13">
              <w:t xml:space="preserve">any one of the units </w:t>
            </w:r>
            <w:r w:rsidR="00C45B80">
              <w:t>is not irradiated or psoralen related</w:t>
            </w:r>
            <w:r w:rsidRPr="00E14EFC">
              <w:t xml:space="preserve">, </w:t>
            </w:r>
            <w:r w:rsidRPr="00314E13">
              <w:t xml:space="preserve">then the target </w:t>
            </w:r>
            <w:r>
              <w:t>cannot be labeled as Pre-treated to Prevent GVHD”.</w:t>
            </w:r>
          </w:p>
          <w:p w14:paraId="265EC113" w14:textId="77777777" w:rsidR="002216F3" w:rsidRDefault="002216F3" w:rsidP="002216F3">
            <w:pPr>
              <w:pStyle w:val="NotesText"/>
            </w:pPr>
          </w:p>
          <w:p w14:paraId="1C21BC1D" w14:textId="77777777" w:rsidR="002216F3" w:rsidRDefault="002216F3" w:rsidP="002216F3">
            <w:pPr>
              <w:pStyle w:val="NotesText"/>
            </w:pPr>
            <w:r w:rsidRPr="002216F3">
              <w:rPr>
                <w:vanish/>
              </w:rPr>
              <w:t xml:space="preserve">BR_24.20 </w:t>
            </w:r>
            <w:r w:rsidRPr="00314E13">
              <w:t xml:space="preserve">Example, a pool is created from 5 units, </w:t>
            </w:r>
            <w:r>
              <w:t xml:space="preserve">if </w:t>
            </w:r>
            <w:r w:rsidRPr="00314E13">
              <w:t xml:space="preserve">any one of the units </w:t>
            </w:r>
            <w:r>
              <w:t xml:space="preserve">does not contain at least one of the attribute forms from </w:t>
            </w:r>
            <w:r w:rsidR="00C45B80">
              <w:t xml:space="preserve">the </w:t>
            </w:r>
            <w:r>
              <w:t>attribute group indicating that the unit has an altered “</w:t>
            </w:r>
            <w:r w:rsidRPr="00E14EFC">
              <w:t>Residual Leukocyte Content</w:t>
            </w:r>
            <w:r>
              <w:t>”</w:t>
            </w:r>
            <w:r w:rsidRPr="00314E13" w:rsidDel="00E14EFC">
              <w:t xml:space="preserve"> </w:t>
            </w:r>
            <w:r w:rsidRPr="00314E13">
              <w:t xml:space="preserve">then the target is </w:t>
            </w:r>
            <w:r>
              <w:t>cannot be labeled as “</w:t>
            </w:r>
            <w:r w:rsidRPr="00314E13">
              <w:t>Leukocyte Reduced</w:t>
            </w:r>
            <w:r>
              <w:t>”</w:t>
            </w:r>
          </w:p>
          <w:p w14:paraId="553A5F94" w14:textId="77777777" w:rsidR="002216F3" w:rsidRDefault="002216F3" w:rsidP="002216F3">
            <w:pPr>
              <w:pStyle w:val="NotesText"/>
            </w:pPr>
          </w:p>
          <w:p w14:paraId="3B718FB3" w14:textId="77777777" w:rsidR="004248F5" w:rsidRPr="004248F5" w:rsidRDefault="0099483E" w:rsidP="00C45B80">
            <w:pPr>
              <w:pStyle w:val="NotesText"/>
            </w:pPr>
            <w:r w:rsidRPr="0099483E">
              <w:rPr>
                <w:iCs/>
                <w:vanish/>
              </w:rPr>
              <w:t xml:space="preserve">BR_24.31 </w:t>
            </w:r>
            <w:r w:rsidRPr="00314E13">
              <w:rPr>
                <w:iCs/>
              </w:rPr>
              <w:t xml:space="preserve">If one biohazardous unit is added to a pool, the target </w:t>
            </w:r>
            <w:r w:rsidR="00C45B80">
              <w:rPr>
                <w:iCs/>
              </w:rPr>
              <w:t>is</w:t>
            </w:r>
            <w:r w:rsidRPr="00314E13">
              <w:rPr>
                <w:iCs/>
              </w:rPr>
              <w:t xml:space="preserve"> marked biohazardous.</w:t>
            </w:r>
          </w:p>
        </w:tc>
      </w:tr>
      <w:tr w:rsidR="002A21AE" w14:paraId="0771E9D5" w14:textId="77777777" w:rsidTr="001A459B">
        <w:trPr>
          <w:cantSplit/>
        </w:trPr>
        <w:tc>
          <w:tcPr>
            <w:tcW w:w="3240" w:type="dxa"/>
            <w:tcBorders>
              <w:top w:val="single" w:sz="4" w:space="0" w:color="auto"/>
              <w:left w:val="single" w:sz="4" w:space="0" w:color="auto"/>
              <w:bottom w:val="single" w:sz="4" w:space="0" w:color="auto"/>
              <w:right w:val="single" w:sz="4" w:space="0" w:color="auto"/>
            </w:tcBorders>
          </w:tcPr>
          <w:p w14:paraId="10A7F024" w14:textId="77777777" w:rsidR="00913F95" w:rsidRDefault="00913F95" w:rsidP="00913F95">
            <w:pPr>
              <w:pStyle w:val="TableTextNumbers"/>
            </w:pPr>
            <w:r>
              <w:lastRenderedPageBreak/>
              <w:t xml:space="preserve">Click </w:t>
            </w:r>
            <w:r w:rsidRPr="00A77D1F">
              <w:rPr>
                <w:b/>
              </w:rPr>
              <w:t>Yes</w:t>
            </w:r>
            <w:r>
              <w:t xml:space="preserve"> to verify the label.</w:t>
            </w:r>
          </w:p>
          <w:p w14:paraId="15B4566B" w14:textId="77777777" w:rsidR="00913F95" w:rsidRDefault="00913F95" w:rsidP="00913F95">
            <w:pPr>
              <w:pStyle w:val="TableTextNumbersContinued"/>
            </w:pPr>
          </w:p>
          <w:p w14:paraId="42640955" w14:textId="77777777" w:rsidR="002A21AE" w:rsidRDefault="00913F95" w:rsidP="00913F95">
            <w:pPr>
              <w:pStyle w:val="TableTextNumbersContinued"/>
            </w:pPr>
            <w:r>
              <w:t xml:space="preserve">Click </w:t>
            </w:r>
            <w:r w:rsidRPr="00913F95">
              <w:rPr>
                <w:b/>
              </w:rPr>
              <w:t>OK</w:t>
            </w:r>
            <w:r>
              <w:t xml:space="preserve"> to save</w:t>
            </w:r>
            <w:r w:rsidR="002A21AE">
              <w:t>.</w:t>
            </w:r>
          </w:p>
        </w:tc>
        <w:tc>
          <w:tcPr>
            <w:tcW w:w="6120" w:type="dxa"/>
            <w:tcBorders>
              <w:top w:val="single" w:sz="4" w:space="0" w:color="auto"/>
              <w:left w:val="single" w:sz="4" w:space="0" w:color="auto"/>
              <w:bottom w:val="single" w:sz="4" w:space="0" w:color="auto"/>
              <w:right w:val="single" w:sz="4" w:space="0" w:color="auto"/>
            </w:tcBorders>
          </w:tcPr>
          <w:p w14:paraId="12C6E024" w14:textId="77777777" w:rsidR="002A21AE" w:rsidRDefault="002A21AE">
            <w:pPr>
              <w:pStyle w:val="TableTextBullet"/>
            </w:pPr>
            <w:r>
              <w:t>Saves the new pooled unit.</w:t>
            </w:r>
          </w:p>
          <w:p w14:paraId="72918BE2" w14:textId="77777777" w:rsidR="002A21AE" w:rsidRDefault="002A21AE">
            <w:pPr>
              <w:pStyle w:val="TableTextBullet"/>
            </w:pPr>
            <w:r>
              <w:t>Updates the status of each participant unit to “modified.”</w:t>
            </w:r>
          </w:p>
          <w:p w14:paraId="54B04FE4" w14:textId="77777777" w:rsidR="002A21AE" w:rsidRDefault="00EE2911" w:rsidP="00EE2911">
            <w:pPr>
              <w:pStyle w:val="TableTextBullet"/>
              <w:tabs>
                <w:tab w:val="clear" w:pos="288"/>
              </w:tabs>
            </w:pPr>
            <w:r>
              <w:t>Records the unit ID of the target unit on the record of the original unit.</w:t>
            </w:r>
          </w:p>
          <w:p w14:paraId="0AF5C229" w14:textId="77777777" w:rsidR="002A21AE" w:rsidRDefault="002A21AE">
            <w:pPr>
              <w:pStyle w:val="TableTextBullet"/>
            </w:pPr>
            <w:r>
              <w:t>Prompts the user to modify another unit.</w:t>
            </w:r>
          </w:p>
          <w:p w14:paraId="11265AB1" w14:textId="77777777" w:rsidR="00E92B60" w:rsidRDefault="00E92B60" w:rsidP="00E92B60">
            <w:pPr>
              <w:pStyle w:val="TableTextBullet"/>
              <w:tabs>
                <w:tab w:val="clear" w:pos="288"/>
              </w:tabs>
            </w:pPr>
            <w:r>
              <w:t>Saves only the technologist name and the date and time the label was verified. When the user indicates that a new label applied fails to complete the verification process, releases the assignment, quarantines the unit, and captures details for inclusion in an Exception Report (exception type: target product label failed checks).</w:t>
            </w:r>
          </w:p>
        </w:tc>
      </w:tr>
      <w:tr w:rsidR="002A21AE" w14:paraId="4EDF2937" w14:textId="77777777">
        <w:tc>
          <w:tcPr>
            <w:tcW w:w="3240" w:type="dxa"/>
            <w:tcBorders>
              <w:top w:val="single" w:sz="4" w:space="0" w:color="auto"/>
              <w:left w:val="single" w:sz="4" w:space="0" w:color="auto"/>
              <w:bottom w:val="single" w:sz="4" w:space="0" w:color="auto"/>
              <w:right w:val="single" w:sz="4" w:space="0" w:color="auto"/>
            </w:tcBorders>
          </w:tcPr>
          <w:p w14:paraId="38244654" w14:textId="77777777" w:rsidR="002A21AE" w:rsidRDefault="002A21AE">
            <w:pPr>
              <w:pStyle w:val="TableTextNumbers"/>
            </w:pPr>
            <w:r>
              <w:lastRenderedPageBreak/>
              <w:t xml:space="preserve">Repeat Steps </w:t>
            </w:r>
            <w:r w:rsidR="006E5C1E">
              <w:t>2</w:t>
            </w:r>
            <w:r w:rsidR="00047C63">
              <w:t>–10</w:t>
            </w:r>
            <w:r>
              <w:t xml:space="preserve"> to modify another unit</w:t>
            </w:r>
            <w:r w:rsidR="00576D72">
              <w:t>,</w:t>
            </w:r>
            <w:r>
              <w:t xml:space="preserve">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95"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62AAD5F6" w14:textId="77777777" w:rsidR="002A21AE" w:rsidRDefault="002A21AE">
            <w:pPr>
              <w:pStyle w:val="TableText"/>
            </w:pPr>
          </w:p>
        </w:tc>
      </w:tr>
    </w:tbl>
    <w:p w14:paraId="58D894AB" w14:textId="77777777" w:rsidR="002A21AE" w:rsidRDefault="009F1B54">
      <w:pPr>
        <w:pStyle w:val="Heading3"/>
      </w:pPr>
      <w:bookmarkStart w:id="396" w:name="_Toc94349350"/>
      <w:r>
        <w:br w:type="page"/>
      </w:r>
      <w:bookmarkStart w:id="397" w:name="_Toc47516726"/>
      <w:r w:rsidR="003E28C1">
        <w:lastRenderedPageBreak/>
        <w:t xml:space="preserve">Add and/or </w:t>
      </w:r>
      <w:r w:rsidR="002A21AE">
        <w:t>Remove Units from a Pool</w:t>
      </w:r>
      <w:bookmarkEnd w:id="397"/>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Add/Remove Units from a Pool</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UC_26</w:t>
      </w:r>
      <w:bookmarkEnd w:id="396"/>
    </w:p>
    <w:p w14:paraId="07CC3AAB" w14:textId="77777777" w:rsidR="002A21AE" w:rsidRDefault="002A21AE" w:rsidP="00FA7E65">
      <w:pPr>
        <w:pStyle w:val="BodyText"/>
      </w:pPr>
      <w:r>
        <w:t xml:space="preserve">The user selects a pooled unit to add and/or remove some of the participants. </w:t>
      </w:r>
    </w:p>
    <w:p w14:paraId="40F35DBB" w14:textId="77777777" w:rsidR="002A21AE" w:rsidRDefault="002A21AE">
      <w:pPr>
        <w:pStyle w:val="Heading4"/>
      </w:pPr>
      <w:bookmarkStart w:id="398" w:name="_Toc94349351"/>
      <w:r>
        <w:t>Assumptions</w:t>
      </w:r>
      <w:bookmarkEnd w:id="398"/>
    </w:p>
    <w:p w14:paraId="535F9DD5" w14:textId="77777777" w:rsidR="002A21AE" w:rsidRDefault="002A21AE">
      <w:pPr>
        <w:pStyle w:val="ListBullet"/>
      </w:pPr>
      <w:r>
        <w:t>See Modify Units.</w:t>
      </w:r>
    </w:p>
    <w:p w14:paraId="1636D87C" w14:textId="77777777" w:rsidR="002A21AE" w:rsidRDefault="002A21AE">
      <w:pPr>
        <w:pStyle w:val="Heading4"/>
      </w:pPr>
      <w:bookmarkStart w:id="399" w:name="_Toc94349352"/>
      <w:r>
        <w:t>Outcome</w:t>
      </w:r>
      <w:bookmarkEnd w:id="399"/>
    </w:p>
    <w:p w14:paraId="511BDA4C" w14:textId="77777777" w:rsidR="002A21AE" w:rsidRDefault="002A21AE">
      <w:pPr>
        <w:pStyle w:val="ListBullet"/>
      </w:pPr>
      <w:r>
        <w:t>See Modify Units.</w:t>
      </w:r>
    </w:p>
    <w:p w14:paraId="349279DD" w14:textId="77777777" w:rsidR="002A21AE" w:rsidRDefault="002A21AE">
      <w:pPr>
        <w:pStyle w:val="Heading4"/>
      </w:pPr>
      <w:bookmarkStart w:id="400" w:name="_Toc94349353"/>
      <w:r>
        <w:t>Limitations and Restrictions</w:t>
      </w:r>
      <w:bookmarkEnd w:id="400"/>
    </w:p>
    <w:p w14:paraId="7259EE78" w14:textId="77777777" w:rsidR="002A21AE" w:rsidRDefault="002A21AE">
      <w:pPr>
        <w:pStyle w:val="ListBullet"/>
      </w:pPr>
      <w:r>
        <w:t>See Modify Units.</w:t>
      </w:r>
    </w:p>
    <w:p w14:paraId="7F1E73F7" w14:textId="77777777" w:rsidR="002A21AE" w:rsidRDefault="002A21AE">
      <w:pPr>
        <w:pStyle w:val="Heading4"/>
      </w:pPr>
      <w:bookmarkStart w:id="401" w:name="_Toc94349354"/>
      <w:r>
        <w:t>Additional Information</w:t>
      </w:r>
      <w:bookmarkEnd w:id="401"/>
    </w:p>
    <w:p w14:paraId="4E53CD08" w14:textId="77777777" w:rsidR="002A21AE" w:rsidRDefault="00662057">
      <w:pPr>
        <w:pStyle w:val="ListBullet"/>
      </w:pPr>
      <w:r>
        <w:t>None</w:t>
      </w:r>
      <w:r w:rsidR="002A21AE">
        <w:t>.</w:t>
      </w:r>
    </w:p>
    <w:p w14:paraId="7FED80F2" w14:textId="77777777" w:rsidR="002A21AE" w:rsidRDefault="002A21AE">
      <w:pPr>
        <w:pStyle w:val="Heading4"/>
      </w:pPr>
      <w:bookmarkStart w:id="402" w:name="_Toc94349355"/>
      <w:r>
        <w:t>User Roles with Access to This Option</w:t>
      </w:r>
      <w:bookmarkEnd w:id="402"/>
    </w:p>
    <w:p w14:paraId="5578CA56" w14:textId="77777777" w:rsidR="005663D0" w:rsidRDefault="005663D0" w:rsidP="001A3179">
      <w:pPr>
        <w:pStyle w:val="Roles"/>
        <w:rPr>
          <w:rFonts w:ascii="Wingdings 3" w:hAnsi="Wingdings 3" w:cs="Wingdings"/>
        </w:rPr>
      </w:pPr>
      <w:r w:rsidRPr="00EC7489">
        <w:rPr>
          <w:rFonts w:ascii="Wingdings 3" w:hAnsi="Wingdings 3" w:cs="Wingdings"/>
        </w:rPr>
        <w:t></w:t>
      </w:r>
      <w:r w:rsidRPr="00EC7489">
        <w:rPr>
          <w:rFonts w:ascii="Wingdings 3" w:hAnsi="Wingdings 3" w:cs="Wingdings"/>
        </w:rPr>
        <w:t></w:t>
      </w:r>
      <w:r>
        <w:t xml:space="preserve"> Enhanced Technologist (add/remove prior to patient associations) </w:t>
      </w:r>
    </w:p>
    <w:p w14:paraId="15F719FD" w14:textId="77777777" w:rsidR="002A21AE" w:rsidRDefault="001A3179" w:rsidP="001A3179">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Traditional Supervisor</w:t>
      </w:r>
      <w:r w:rsidR="005663D0">
        <w:t xml:space="preserve"> (add/remove with patient associations)</w:t>
      </w:r>
    </w:p>
    <w:p w14:paraId="43ACC318" w14:textId="77777777" w:rsidR="002A21AE" w:rsidRDefault="002A21AE">
      <w:pPr>
        <w:pStyle w:val="Heading4"/>
        <w:rPr>
          <w:rFonts w:ascii="Times New Roman" w:hAnsi="Times New Roman"/>
          <w:bCs/>
          <w:i/>
          <w:iCs/>
          <w:sz w:val="24"/>
        </w:rPr>
      </w:pPr>
      <w:bookmarkStart w:id="403" w:name="_Toc94349356"/>
      <w:bookmarkStart w:id="404" w:name="OLE_LINK24"/>
      <w:r>
        <w:t>Add/Remove Units from a Pool</w:t>
      </w:r>
      <w:bookmarkEnd w:id="403"/>
      <w:bookmarkEnd w:id="404"/>
    </w:p>
    <w:p w14:paraId="55C554CC" w14:textId="77777777" w:rsidR="002A21AE" w:rsidRDefault="002A21AE" w:rsidP="00FA7E65">
      <w:pPr>
        <w:pStyle w:val="BodyText"/>
      </w:pPr>
      <w:r>
        <w:t>The user adds or deletes units to or from a pool.</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08"/>
      </w:tblGrid>
      <w:tr w:rsidR="002A21AE" w14:paraId="681361CE" w14:textId="77777777">
        <w:trPr>
          <w:tblHeader/>
        </w:trPr>
        <w:tc>
          <w:tcPr>
            <w:tcW w:w="3240" w:type="dxa"/>
            <w:tcBorders>
              <w:top w:val="single" w:sz="4" w:space="0" w:color="auto"/>
              <w:left w:val="single" w:sz="4" w:space="0" w:color="auto"/>
              <w:bottom w:val="single" w:sz="4" w:space="0" w:color="auto"/>
              <w:right w:val="single" w:sz="4" w:space="0" w:color="auto"/>
            </w:tcBorders>
            <w:shd w:val="clear" w:color="auto" w:fill="C0C0C0"/>
            <w:vAlign w:val="bottom"/>
          </w:tcPr>
          <w:p w14:paraId="0E52F13A" w14:textId="77777777" w:rsidR="002A21AE" w:rsidRDefault="002A21AE">
            <w:pPr>
              <w:pStyle w:val="TableText"/>
              <w:rPr>
                <w:b/>
              </w:rPr>
            </w:pPr>
            <w:r>
              <w:rPr>
                <w:b/>
              </w:rPr>
              <w:t>User Action</w:t>
            </w:r>
          </w:p>
        </w:tc>
        <w:tc>
          <w:tcPr>
            <w:tcW w:w="6108" w:type="dxa"/>
            <w:tcBorders>
              <w:top w:val="single" w:sz="4" w:space="0" w:color="auto"/>
              <w:left w:val="single" w:sz="4" w:space="0" w:color="auto"/>
              <w:bottom w:val="single" w:sz="4" w:space="0" w:color="auto"/>
              <w:right w:val="single" w:sz="4" w:space="0" w:color="auto"/>
            </w:tcBorders>
            <w:shd w:val="clear" w:color="auto" w:fill="C0C0C0"/>
            <w:vAlign w:val="bottom"/>
          </w:tcPr>
          <w:p w14:paraId="1EFCECC1" w14:textId="77777777" w:rsidR="002A21AE" w:rsidRDefault="002A21AE">
            <w:pPr>
              <w:pStyle w:val="TableText"/>
              <w:rPr>
                <w:b/>
              </w:rPr>
            </w:pPr>
            <w:r>
              <w:rPr>
                <w:b/>
              </w:rPr>
              <w:t>VBECS</w:t>
            </w:r>
          </w:p>
        </w:tc>
      </w:tr>
      <w:tr w:rsidR="002A21AE" w14:paraId="614EF6E3" w14:textId="77777777">
        <w:tc>
          <w:tcPr>
            <w:tcW w:w="3240" w:type="dxa"/>
          </w:tcPr>
          <w:p w14:paraId="4A9C16CB" w14:textId="77777777" w:rsidR="002A21AE" w:rsidRDefault="002A21AE">
            <w:pPr>
              <w:pStyle w:val="TableTextNumbers"/>
            </w:pPr>
            <w:r>
              <w:t xml:space="preserve">Select </w:t>
            </w:r>
            <w:r>
              <w:rPr>
                <w:b/>
              </w:rPr>
              <w:t>Blood Units</w:t>
            </w:r>
            <w:r>
              <w:t xml:space="preserve"> from the main menu. </w:t>
            </w:r>
          </w:p>
          <w:p w14:paraId="6123465B" w14:textId="77777777" w:rsidR="002A21AE" w:rsidRDefault="002A21AE">
            <w:pPr>
              <w:pStyle w:val="TableTextNumbersContinued"/>
            </w:pPr>
          </w:p>
          <w:p w14:paraId="214EFE62" w14:textId="77777777" w:rsidR="002A21AE" w:rsidRDefault="002A21AE">
            <w:pPr>
              <w:pStyle w:val="TableTextNumbersContinued"/>
            </w:pPr>
            <w:r>
              <w:t xml:space="preserve">Select </w:t>
            </w:r>
            <w:r>
              <w:rPr>
                <w:b/>
              </w:rPr>
              <w:t>Modify Units</w:t>
            </w:r>
            <w:r>
              <w:t>.</w:t>
            </w:r>
          </w:p>
        </w:tc>
        <w:tc>
          <w:tcPr>
            <w:tcW w:w="6108" w:type="dxa"/>
          </w:tcPr>
          <w:p w14:paraId="6E81A999" w14:textId="77777777" w:rsidR="002A21AE" w:rsidRDefault="002A21AE">
            <w:pPr>
              <w:pStyle w:val="TableTextBullet"/>
            </w:pPr>
            <w:r>
              <w:t>Displays options for processing blood units.</w:t>
            </w:r>
          </w:p>
          <w:p w14:paraId="7F545507" w14:textId="77777777" w:rsidR="002A21AE" w:rsidRDefault="002A21AE">
            <w:pPr>
              <w:pStyle w:val="TableTextBullet"/>
            </w:pPr>
            <w:r>
              <w:t>Displays valid modification types and allows the user to select an option.</w:t>
            </w:r>
          </w:p>
        </w:tc>
      </w:tr>
      <w:tr w:rsidR="002A21AE" w14:paraId="08350CCA" w14:textId="77777777">
        <w:tc>
          <w:tcPr>
            <w:tcW w:w="3240" w:type="dxa"/>
          </w:tcPr>
          <w:p w14:paraId="2D623A5B" w14:textId="77777777" w:rsidR="002A21AE" w:rsidRDefault="002A21AE">
            <w:pPr>
              <w:pStyle w:val="TableTextNumbers"/>
            </w:pPr>
            <w:r>
              <w:t xml:space="preserve">Click the </w:t>
            </w:r>
            <w:r>
              <w:rPr>
                <w:b/>
              </w:rPr>
              <w:t xml:space="preserve">Add/Remove Units from a Pool </w:t>
            </w:r>
            <w:r w:rsidRPr="00BF2E41">
              <w:t>radio button</w:t>
            </w:r>
            <w:r>
              <w:t>.</w:t>
            </w:r>
          </w:p>
          <w:p w14:paraId="2C65915F" w14:textId="77777777" w:rsidR="002A21AE" w:rsidRDefault="002A21AE">
            <w:pPr>
              <w:pStyle w:val="TableTextNumbersContinued"/>
            </w:pPr>
          </w:p>
          <w:p w14:paraId="4F86BAF5" w14:textId="77777777" w:rsidR="002A21AE" w:rsidRDefault="002A21AE">
            <w:pPr>
              <w:pStyle w:val="TableTextNumbersContinued"/>
            </w:pPr>
            <w:r>
              <w:t xml:space="preserve">Click </w:t>
            </w:r>
            <w:r>
              <w:rPr>
                <w:b/>
              </w:rPr>
              <w:t>OK</w:t>
            </w:r>
            <w:r>
              <w:t>.</w:t>
            </w:r>
          </w:p>
        </w:tc>
        <w:tc>
          <w:tcPr>
            <w:tcW w:w="6108" w:type="dxa"/>
          </w:tcPr>
          <w:p w14:paraId="7EBF33D9" w14:textId="77777777" w:rsidR="002A21AE" w:rsidRDefault="002A21AE">
            <w:pPr>
              <w:pStyle w:val="TableTextBullet"/>
              <w:tabs>
                <w:tab w:val="num" w:pos="360"/>
              </w:tabs>
            </w:pPr>
            <w:r>
              <w:t>Allows the user to search for a pooled unit.</w:t>
            </w:r>
          </w:p>
        </w:tc>
      </w:tr>
      <w:tr w:rsidR="002A21AE" w14:paraId="0A66B1D5" w14:textId="77777777">
        <w:tc>
          <w:tcPr>
            <w:tcW w:w="3240" w:type="dxa"/>
            <w:tcBorders>
              <w:top w:val="single" w:sz="4" w:space="0" w:color="auto"/>
              <w:left w:val="single" w:sz="4" w:space="0" w:color="auto"/>
              <w:bottom w:val="single" w:sz="4" w:space="0" w:color="auto"/>
              <w:right w:val="single" w:sz="4" w:space="0" w:color="auto"/>
            </w:tcBorders>
          </w:tcPr>
          <w:p w14:paraId="763845B8" w14:textId="77777777" w:rsidR="002A21AE" w:rsidRDefault="002A21AE">
            <w:pPr>
              <w:pStyle w:val="TableTextNumbers"/>
            </w:pPr>
            <w:r>
              <w:t>Scan, enter, or select the ID and product code for a pooled unit.</w:t>
            </w:r>
          </w:p>
        </w:tc>
        <w:tc>
          <w:tcPr>
            <w:tcW w:w="6108" w:type="dxa"/>
            <w:tcBorders>
              <w:top w:val="single" w:sz="4" w:space="0" w:color="auto"/>
              <w:left w:val="single" w:sz="4" w:space="0" w:color="auto"/>
              <w:bottom w:val="single" w:sz="4" w:space="0" w:color="auto"/>
              <w:right w:val="single" w:sz="4" w:space="0" w:color="auto"/>
            </w:tcBorders>
          </w:tcPr>
          <w:p w14:paraId="67D7A7B7" w14:textId="77777777" w:rsidR="002A21AE" w:rsidRDefault="002A21AE">
            <w:pPr>
              <w:pStyle w:val="TableTextBullet"/>
              <w:tabs>
                <w:tab w:val="clear" w:pos="288"/>
                <w:tab w:val="num" w:pos="360"/>
              </w:tabs>
            </w:pPr>
            <w:r>
              <w:t>Displays current data for the selected unit.</w:t>
            </w:r>
          </w:p>
          <w:p w14:paraId="574A0BB1" w14:textId="77777777" w:rsidR="002A21AE" w:rsidRDefault="002A21AE">
            <w:pPr>
              <w:pStyle w:val="TableText"/>
            </w:pPr>
          </w:p>
          <w:p w14:paraId="4EAF7AF0" w14:textId="2F4B2F4B" w:rsidR="002A21AE" w:rsidRDefault="002A21AE">
            <w:pPr>
              <w:pStyle w:val="TableText"/>
              <w:rPr>
                <w:b/>
                <w:bCs/>
              </w:rPr>
            </w:pPr>
            <w:r>
              <w:rPr>
                <w:b/>
                <w:bCs/>
              </w:rPr>
              <w:t>NOTES</w:t>
            </w:r>
          </w:p>
          <w:p w14:paraId="3D0C29C5" w14:textId="77777777" w:rsidR="002A21AE" w:rsidRDefault="002A21AE">
            <w:pPr>
              <w:pStyle w:val="NotesText"/>
            </w:pPr>
          </w:p>
          <w:p w14:paraId="16AB4994" w14:textId="77777777" w:rsidR="002A21AE" w:rsidRDefault="002A21AE">
            <w:pPr>
              <w:pStyle w:val="NotesText"/>
            </w:pPr>
            <w:r>
              <w:rPr>
                <w:rFonts w:cs="Arial"/>
                <w:vanish/>
              </w:rPr>
              <w:t xml:space="preserve">BR_24.21 </w:t>
            </w:r>
            <w:r>
              <w:t>The user must select a unit that was previously pooled within the user’s division.</w:t>
            </w:r>
          </w:p>
          <w:p w14:paraId="44327288" w14:textId="77777777" w:rsidR="002A21AE" w:rsidRDefault="002A21AE">
            <w:pPr>
              <w:pStyle w:val="NotesText"/>
            </w:pPr>
          </w:p>
          <w:p w14:paraId="5E6094FC" w14:textId="77777777" w:rsidR="002A21AE" w:rsidRDefault="002A21AE">
            <w:pPr>
              <w:pStyle w:val="NotesText"/>
            </w:pPr>
            <w:r>
              <w:rPr>
                <w:rFonts w:cs="Arial"/>
                <w:vanish/>
              </w:rPr>
              <w:t xml:space="preserve">BR_24.30 </w:t>
            </w:r>
            <w:r>
              <w:t>The user may edit a pooled unit only once.</w:t>
            </w:r>
          </w:p>
          <w:p w14:paraId="3A406F9F" w14:textId="77777777" w:rsidR="002A21AE" w:rsidRDefault="002A21AE">
            <w:pPr>
              <w:pStyle w:val="NotesText"/>
            </w:pPr>
          </w:p>
          <w:p w14:paraId="55070C10" w14:textId="77777777" w:rsidR="002A21AE" w:rsidRDefault="00D51EEA">
            <w:pPr>
              <w:pStyle w:val="NotesText"/>
            </w:pPr>
            <w:r w:rsidRPr="00896F17">
              <w:rPr>
                <w:rStyle w:val="BullhornChar"/>
              </w:rPr>
              <w:t></w:t>
            </w:r>
            <w:r>
              <w:rPr>
                <w:color w:val="000000"/>
                <w:szCs w:val="18"/>
              </w:rPr>
              <w:t xml:space="preserve"> </w:t>
            </w:r>
            <w:r>
              <w:rPr>
                <w:rFonts w:cs="Arial"/>
                <w:vanish/>
              </w:rPr>
              <w:t xml:space="preserve">BR_70.06 </w:t>
            </w:r>
            <w:r>
              <w:t xml:space="preserve">VBECS does not list units (for selection) with a final status. When a user enters a unit with a final status, VBECS </w:t>
            </w:r>
            <w:r w:rsidR="007826D2">
              <w:t>alerts</w:t>
            </w:r>
            <w:r>
              <w:t xml:space="preserve"> the user and clears the screen. The user may select another unit.</w:t>
            </w:r>
          </w:p>
        </w:tc>
      </w:tr>
      <w:tr w:rsidR="002A21AE" w14:paraId="2915EB0B" w14:textId="77777777">
        <w:tc>
          <w:tcPr>
            <w:tcW w:w="3240" w:type="dxa"/>
            <w:tcBorders>
              <w:top w:val="single" w:sz="4" w:space="0" w:color="auto"/>
              <w:left w:val="single" w:sz="4" w:space="0" w:color="auto"/>
              <w:bottom w:val="single" w:sz="4" w:space="0" w:color="auto"/>
              <w:right w:val="single" w:sz="4" w:space="0" w:color="auto"/>
            </w:tcBorders>
          </w:tcPr>
          <w:p w14:paraId="20C10110" w14:textId="77777777" w:rsidR="002A21AE" w:rsidRDefault="002A21AE">
            <w:pPr>
              <w:pStyle w:val="TableTextNumbers"/>
            </w:pPr>
            <w:r>
              <w:t>Review the existing pooled unit data.</w:t>
            </w:r>
          </w:p>
          <w:p w14:paraId="27527DA2" w14:textId="77777777" w:rsidR="002A21AE" w:rsidRDefault="002A21AE">
            <w:pPr>
              <w:pStyle w:val="TableTextNumbersContinued"/>
            </w:pPr>
          </w:p>
          <w:p w14:paraId="22AA79E2" w14:textId="77777777" w:rsidR="002A21AE" w:rsidRDefault="00A31A8A">
            <w:pPr>
              <w:pStyle w:val="TableTextNumbersContinued"/>
            </w:pPr>
            <w:r>
              <w:t>Select one or more units to add to the pool</w:t>
            </w:r>
            <w:r w:rsidR="002A21AE">
              <w:t>.</w:t>
            </w:r>
          </w:p>
          <w:p w14:paraId="01129844" w14:textId="77777777" w:rsidR="00A31A8A" w:rsidRDefault="00A31A8A">
            <w:pPr>
              <w:pStyle w:val="TableTextNumbersContinued"/>
            </w:pPr>
          </w:p>
          <w:p w14:paraId="41680EEB" w14:textId="77777777" w:rsidR="002A21AE" w:rsidRDefault="00A31A8A">
            <w:pPr>
              <w:pStyle w:val="TableTextNumbersContinued"/>
            </w:pPr>
            <w:r>
              <w:lastRenderedPageBreak/>
              <w:t>Clear one or more check boxes to remove units from the pool.</w:t>
            </w:r>
          </w:p>
        </w:tc>
        <w:tc>
          <w:tcPr>
            <w:tcW w:w="6108" w:type="dxa"/>
            <w:tcBorders>
              <w:top w:val="single" w:sz="4" w:space="0" w:color="auto"/>
              <w:left w:val="single" w:sz="4" w:space="0" w:color="auto"/>
              <w:bottom w:val="single" w:sz="4" w:space="0" w:color="auto"/>
              <w:right w:val="single" w:sz="4" w:space="0" w:color="auto"/>
            </w:tcBorders>
          </w:tcPr>
          <w:p w14:paraId="50111946" w14:textId="77777777" w:rsidR="002A21AE" w:rsidRDefault="002A21AE">
            <w:pPr>
              <w:pStyle w:val="TableTextBullet"/>
              <w:tabs>
                <w:tab w:val="num" w:pos="360"/>
              </w:tabs>
            </w:pPr>
            <w:r>
              <w:lastRenderedPageBreak/>
              <w:t>Allows the user to select one or more units to add to or remove from the pool.</w:t>
            </w:r>
          </w:p>
          <w:p w14:paraId="3B0377CF" w14:textId="77777777" w:rsidR="002A21AE" w:rsidRDefault="002A21AE">
            <w:pPr>
              <w:pStyle w:val="TableText"/>
            </w:pPr>
          </w:p>
          <w:p w14:paraId="0F1810D3" w14:textId="72621D7F" w:rsidR="002A21AE" w:rsidRDefault="002A21AE">
            <w:pPr>
              <w:pStyle w:val="TableText"/>
              <w:rPr>
                <w:b/>
                <w:bCs/>
              </w:rPr>
            </w:pPr>
            <w:r>
              <w:rPr>
                <w:b/>
                <w:bCs/>
              </w:rPr>
              <w:t>NOTES</w:t>
            </w:r>
          </w:p>
          <w:p w14:paraId="294A3337" w14:textId="77777777" w:rsidR="002A21AE" w:rsidRDefault="002A21AE">
            <w:pPr>
              <w:pStyle w:val="NotesText"/>
            </w:pPr>
          </w:p>
          <w:p w14:paraId="1E9B802D" w14:textId="77777777" w:rsidR="002A21AE" w:rsidRDefault="002A21AE">
            <w:pPr>
              <w:pStyle w:val="NotesText"/>
            </w:pPr>
            <w:r>
              <w:rPr>
                <w:rFonts w:cs="Arial"/>
                <w:vanish/>
              </w:rPr>
              <w:t xml:space="preserve">BR_24.27 </w:t>
            </w:r>
            <w:r>
              <w:t>The user may not remove all of the original units.</w:t>
            </w:r>
          </w:p>
          <w:p w14:paraId="4E9104DB" w14:textId="77777777" w:rsidR="002A21AE" w:rsidRDefault="002A21AE">
            <w:pPr>
              <w:pStyle w:val="NotesText"/>
            </w:pPr>
          </w:p>
          <w:p w14:paraId="2C741C7A" w14:textId="77777777" w:rsidR="002A21AE" w:rsidRDefault="002A21AE">
            <w:pPr>
              <w:pStyle w:val="NotesText"/>
            </w:pPr>
            <w:r w:rsidRPr="009522A6">
              <w:rPr>
                <w:rFonts w:cs="Arial"/>
                <w:vanish/>
                <w:color w:val="0000FF"/>
              </w:rPr>
              <w:t>BR_24.28</w:t>
            </w:r>
            <w:r>
              <w:rPr>
                <w:rFonts w:cs="Arial"/>
                <w:vanish/>
              </w:rPr>
              <w:t xml:space="preserve"> </w:t>
            </w:r>
            <w:r>
              <w:t>The user may add only units with the same product and donation types as those of the previously pooled unit.</w:t>
            </w:r>
          </w:p>
          <w:p w14:paraId="7D7542C4" w14:textId="77777777" w:rsidR="0099483E" w:rsidRDefault="0099483E">
            <w:pPr>
              <w:pStyle w:val="NotesText"/>
            </w:pPr>
          </w:p>
          <w:p w14:paraId="168F603A" w14:textId="77777777" w:rsidR="0099483E" w:rsidRPr="0099483E" w:rsidRDefault="003133AE" w:rsidP="0099483E">
            <w:pPr>
              <w:pStyle w:val="NotesText"/>
            </w:pPr>
            <w:r w:rsidRPr="003133AE">
              <w:rPr>
                <w:vanish/>
              </w:rPr>
              <w:t xml:space="preserve">BR_24.28 </w:t>
            </w:r>
            <w:r w:rsidR="0099483E" w:rsidRPr="0099483E">
              <w:t>Properties that may be changed based on the edit of the target pool are:</w:t>
            </w:r>
          </w:p>
          <w:p w14:paraId="156B50D6" w14:textId="77777777" w:rsidR="0099483E" w:rsidRDefault="0099483E" w:rsidP="00BA3292">
            <w:pPr>
              <w:pStyle w:val="TableText"/>
              <w:numPr>
                <w:ilvl w:val="0"/>
                <w:numId w:val="74"/>
              </w:numPr>
              <w:ind w:left="1440"/>
              <w:rPr>
                <w:rFonts w:cs="Arial"/>
                <w:szCs w:val="18"/>
              </w:rPr>
            </w:pPr>
            <w:r>
              <w:rPr>
                <w:rFonts w:cs="Arial"/>
                <w:szCs w:val="18"/>
              </w:rPr>
              <w:t xml:space="preserve">Patient Assignment </w:t>
            </w:r>
          </w:p>
          <w:p w14:paraId="5108EB52" w14:textId="77777777" w:rsidR="0099483E" w:rsidRDefault="0099483E" w:rsidP="00BA3292">
            <w:pPr>
              <w:pStyle w:val="TableText"/>
              <w:numPr>
                <w:ilvl w:val="0"/>
                <w:numId w:val="74"/>
              </w:numPr>
              <w:ind w:left="1440"/>
              <w:rPr>
                <w:rFonts w:cs="Arial"/>
                <w:szCs w:val="18"/>
              </w:rPr>
            </w:pPr>
            <w:r>
              <w:rPr>
                <w:rFonts w:cs="Arial"/>
                <w:szCs w:val="18"/>
              </w:rPr>
              <w:t xml:space="preserve">ABO/RH </w:t>
            </w:r>
          </w:p>
          <w:p w14:paraId="5E3890DD" w14:textId="77777777" w:rsidR="0099483E" w:rsidRDefault="0099483E" w:rsidP="00BA3292">
            <w:pPr>
              <w:pStyle w:val="TableText"/>
              <w:numPr>
                <w:ilvl w:val="0"/>
                <w:numId w:val="74"/>
              </w:numPr>
              <w:ind w:left="1440"/>
              <w:rPr>
                <w:rFonts w:cs="Arial"/>
                <w:szCs w:val="18"/>
              </w:rPr>
            </w:pPr>
            <w:r>
              <w:rPr>
                <w:rFonts w:cs="Arial"/>
                <w:szCs w:val="18"/>
              </w:rPr>
              <w:t>Expiration date</w:t>
            </w:r>
          </w:p>
          <w:p w14:paraId="3B1A5397" w14:textId="77777777" w:rsidR="0099483E" w:rsidRDefault="0099483E" w:rsidP="00BA3292">
            <w:pPr>
              <w:pStyle w:val="TableText"/>
              <w:numPr>
                <w:ilvl w:val="0"/>
                <w:numId w:val="74"/>
              </w:numPr>
              <w:ind w:left="1440"/>
              <w:rPr>
                <w:rFonts w:cs="Arial"/>
                <w:szCs w:val="18"/>
              </w:rPr>
            </w:pPr>
            <w:r>
              <w:rPr>
                <w:rFonts w:cs="Arial"/>
                <w:szCs w:val="18"/>
              </w:rPr>
              <w:t xml:space="preserve">Volume </w:t>
            </w:r>
          </w:p>
          <w:p w14:paraId="7C059182" w14:textId="77777777" w:rsidR="0099483E" w:rsidRDefault="0099483E" w:rsidP="00BA3292">
            <w:pPr>
              <w:pStyle w:val="TableText"/>
              <w:numPr>
                <w:ilvl w:val="0"/>
                <w:numId w:val="74"/>
              </w:numPr>
              <w:ind w:left="1440"/>
              <w:rPr>
                <w:rFonts w:cs="Arial"/>
                <w:szCs w:val="18"/>
              </w:rPr>
            </w:pPr>
            <w:r>
              <w:rPr>
                <w:rFonts w:cs="Arial"/>
                <w:szCs w:val="18"/>
              </w:rPr>
              <w:t>CMV Negative indicator</w:t>
            </w:r>
          </w:p>
          <w:p w14:paraId="7CAC1744" w14:textId="77777777" w:rsidR="0099483E" w:rsidRDefault="0099483E" w:rsidP="00BA3292">
            <w:pPr>
              <w:pStyle w:val="TableText"/>
              <w:numPr>
                <w:ilvl w:val="0"/>
                <w:numId w:val="74"/>
              </w:numPr>
              <w:ind w:left="1440"/>
              <w:rPr>
                <w:rFonts w:cs="Arial"/>
                <w:szCs w:val="18"/>
              </w:rPr>
            </w:pPr>
            <w:r>
              <w:rPr>
                <w:rFonts w:cs="Arial"/>
                <w:szCs w:val="18"/>
              </w:rPr>
              <w:t>SC Negative indicator</w:t>
            </w:r>
          </w:p>
          <w:p w14:paraId="71059365" w14:textId="77777777" w:rsidR="0099483E" w:rsidRDefault="0099483E" w:rsidP="00BA3292">
            <w:pPr>
              <w:pStyle w:val="TableText"/>
              <w:numPr>
                <w:ilvl w:val="0"/>
                <w:numId w:val="74"/>
              </w:numPr>
              <w:ind w:left="1440"/>
              <w:rPr>
                <w:rFonts w:cs="Arial"/>
                <w:szCs w:val="18"/>
              </w:rPr>
            </w:pPr>
            <w:r>
              <w:rPr>
                <w:rFonts w:cs="Arial"/>
                <w:szCs w:val="18"/>
              </w:rPr>
              <w:t>Biohazardous indicator</w:t>
            </w:r>
          </w:p>
          <w:p w14:paraId="7DF48818" w14:textId="77777777" w:rsidR="0099483E" w:rsidRDefault="0099483E" w:rsidP="00C233B7">
            <w:pPr>
              <w:pStyle w:val="NotesText"/>
              <w:ind w:left="1440"/>
            </w:pPr>
            <w:r>
              <w:rPr>
                <w:rFonts w:cs="Arial"/>
                <w:szCs w:val="18"/>
              </w:rPr>
              <w:t>Required crossmatch if =</w:t>
            </w:r>
            <w:r w:rsidR="00C233B7">
              <w:rPr>
                <w:rFonts w:cs="Arial"/>
                <w:szCs w:val="18"/>
              </w:rPr>
              <w:t xml:space="preserve"> </w:t>
            </w:r>
            <w:r>
              <w:rPr>
                <w:rFonts w:cs="Arial"/>
                <w:szCs w:val="18"/>
              </w:rPr>
              <w:t>&gt; 2</w:t>
            </w:r>
            <w:r w:rsidR="00452A6C">
              <w:rPr>
                <w:rFonts w:cs="Arial"/>
                <w:szCs w:val="18"/>
              </w:rPr>
              <w:t xml:space="preserve"> </w:t>
            </w:r>
            <w:r w:rsidR="00C233B7">
              <w:rPr>
                <w:rFonts w:cs="Arial"/>
                <w:szCs w:val="18"/>
              </w:rPr>
              <w:t>mL</w:t>
            </w:r>
            <w:r>
              <w:rPr>
                <w:rFonts w:cs="Arial"/>
                <w:szCs w:val="18"/>
              </w:rPr>
              <w:t xml:space="preserve"> contamination changes</w:t>
            </w:r>
          </w:p>
        </w:tc>
      </w:tr>
      <w:tr w:rsidR="002A21AE" w14:paraId="1F6F5A8C" w14:textId="77777777">
        <w:tc>
          <w:tcPr>
            <w:tcW w:w="3240" w:type="dxa"/>
            <w:tcBorders>
              <w:top w:val="single" w:sz="4" w:space="0" w:color="auto"/>
              <w:left w:val="single" w:sz="4" w:space="0" w:color="auto"/>
              <w:bottom w:val="single" w:sz="4" w:space="0" w:color="auto"/>
              <w:right w:val="single" w:sz="4" w:space="0" w:color="auto"/>
            </w:tcBorders>
          </w:tcPr>
          <w:p w14:paraId="48E6D53E" w14:textId="072D5961" w:rsidR="002A21AE" w:rsidRDefault="002A21AE">
            <w:pPr>
              <w:pStyle w:val="TableTextNumbers"/>
            </w:pPr>
            <w:r>
              <w:lastRenderedPageBreak/>
              <w:t>Confirm to add the selected units to or remove them from the pool</w:t>
            </w:r>
            <w:r w:rsidR="007A0867">
              <w:t xml:space="preserve"> (</w:t>
            </w:r>
            <w:r w:rsidR="007A0867">
              <w:fldChar w:fldCharType="begin"/>
            </w:r>
            <w:r w:rsidR="007A0867">
              <w:instrText xml:space="preserve"> REF _Ref126651551 \h </w:instrText>
            </w:r>
            <w:r w:rsidR="007A0867">
              <w:fldChar w:fldCharType="separate"/>
            </w:r>
            <w:r w:rsidR="004353ED">
              <w:t xml:space="preserve">Figure </w:t>
            </w:r>
            <w:r w:rsidR="004353ED">
              <w:rPr>
                <w:noProof/>
              </w:rPr>
              <w:t>91</w:t>
            </w:r>
            <w:r w:rsidR="007A0867">
              <w:fldChar w:fldCharType="end"/>
            </w:r>
            <w:r w:rsidR="007A0867">
              <w:t>)</w:t>
            </w:r>
            <w:r>
              <w:t>.</w:t>
            </w:r>
          </w:p>
        </w:tc>
        <w:tc>
          <w:tcPr>
            <w:tcW w:w="6108" w:type="dxa"/>
            <w:tcBorders>
              <w:top w:val="single" w:sz="4" w:space="0" w:color="auto"/>
              <w:left w:val="single" w:sz="4" w:space="0" w:color="auto"/>
              <w:bottom w:val="single" w:sz="4" w:space="0" w:color="auto"/>
              <w:right w:val="single" w:sz="4" w:space="0" w:color="auto"/>
            </w:tcBorders>
          </w:tcPr>
          <w:p w14:paraId="5A8F99F7" w14:textId="77777777" w:rsidR="002A21AE" w:rsidRDefault="002A21AE">
            <w:pPr>
              <w:pStyle w:val="TableTextBullet"/>
              <w:tabs>
                <w:tab w:val="num" w:pos="360"/>
              </w:tabs>
            </w:pPr>
            <w:r>
              <w:t xml:space="preserve">Displays the updated pooled unit data. </w:t>
            </w:r>
          </w:p>
          <w:p w14:paraId="52128EE4" w14:textId="77777777" w:rsidR="002A21AE" w:rsidRDefault="002A21AE">
            <w:pPr>
              <w:pStyle w:val="TableTextBullet"/>
              <w:tabs>
                <w:tab w:val="num" w:pos="360"/>
              </w:tabs>
            </w:pPr>
            <w:r>
              <w:t xml:space="preserve">Requires the user to confirm to continue. </w:t>
            </w:r>
          </w:p>
          <w:p w14:paraId="2D00ABD4" w14:textId="77777777" w:rsidR="002A21AE" w:rsidRDefault="002A21AE">
            <w:pPr>
              <w:pStyle w:val="TableTextBullet"/>
              <w:tabs>
                <w:tab w:val="num" w:pos="360"/>
              </w:tabs>
            </w:pPr>
            <w:r>
              <w:t xml:space="preserve">Requires a comment. </w:t>
            </w:r>
          </w:p>
          <w:p w14:paraId="0DCCA62E" w14:textId="77777777" w:rsidR="002A21AE" w:rsidRDefault="002A21AE">
            <w:pPr>
              <w:pStyle w:val="TableText"/>
            </w:pPr>
          </w:p>
          <w:p w14:paraId="7F0FF518" w14:textId="39127564" w:rsidR="002A21AE" w:rsidRDefault="002A21AE">
            <w:pPr>
              <w:pStyle w:val="TableText"/>
              <w:rPr>
                <w:b/>
                <w:bCs/>
              </w:rPr>
            </w:pPr>
            <w:r>
              <w:rPr>
                <w:b/>
                <w:bCs/>
              </w:rPr>
              <w:t>NOTES</w:t>
            </w:r>
          </w:p>
          <w:p w14:paraId="223A9760" w14:textId="77777777" w:rsidR="002A21AE" w:rsidRDefault="002A21AE">
            <w:pPr>
              <w:pStyle w:val="NotesText"/>
            </w:pPr>
          </w:p>
          <w:p w14:paraId="3CCE08E1" w14:textId="77777777" w:rsidR="00552811" w:rsidRDefault="002A21AE" w:rsidP="00552811">
            <w:pPr>
              <w:pStyle w:val="NotesText"/>
              <w:rPr>
                <w:rFonts w:cs="Arial"/>
              </w:rPr>
            </w:pPr>
            <w:r w:rsidRPr="00552811">
              <w:rPr>
                <w:rFonts w:cs="Arial"/>
                <w:vanish/>
              </w:rPr>
              <w:t xml:space="preserve">BR_24.15 </w:t>
            </w:r>
            <w:r w:rsidRPr="00552811">
              <w:rPr>
                <w:rFonts w:cs="Arial"/>
              </w:rPr>
              <w:t xml:space="preserve">All units in a pool must be of the same </w:t>
            </w:r>
            <w:r w:rsidR="00552811" w:rsidRPr="00552811">
              <w:rPr>
                <w:rFonts w:cs="Arial"/>
              </w:rPr>
              <w:t>restriction</w:t>
            </w:r>
            <w:r w:rsidRPr="00552811">
              <w:rPr>
                <w:rFonts w:cs="Arial"/>
              </w:rPr>
              <w:t xml:space="preserve"> type (allogeneic, autologous, directed). </w:t>
            </w:r>
            <w:r w:rsidR="00552811" w:rsidRPr="00552811">
              <w:rPr>
                <w:rFonts w:cs="Arial"/>
              </w:rPr>
              <w:t>The specific donation type within the restriction type of the first unit selected for the pool is assigned to the target.</w:t>
            </w:r>
          </w:p>
          <w:p w14:paraId="473772C2" w14:textId="77777777" w:rsidR="00C45B80" w:rsidRPr="00552811" w:rsidRDefault="00C45B80" w:rsidP="00552811">
            <w:pPr>
              <w:pStyle w:val="NotesText"/>
              <w:rPr>
                <w:rFonts w:cs="Arial"/>
                <w:vanish/>
              </w:rPr>
            </w:pPr>
          </w:p>
          <w:p w14:paraId="353A6035" w14:textId="77777777" w:rsidR="002A21AE" w:rsidRDefault="002A21AE">
            <w:pPr>
              <w:pStyle w:val="NotesText"/>
            </w:pPr>
          </w:p>
          <w:p w14:paraId="1B89A207" w14:textId="77777777" w:rsidR="002A21AE" w:rsidRDefault="002A21AE">
            <w:pPr>
              <w:pStyle w:val="NotesText"/>
            </w:pPr>
            <w:r>
              <w:rPr>
                <w:rFonts w:cs="Arial"/>
                <w:vanish/>
              </w:rPr>
              <w:t xml:space="preserve">BR_24.24 </w:t>
            </w:r>
            <w:r>
              <w:t xml:space="preserve">For each individual unit removed from a pool, </w:t>
            </w:r>
            <w:r w:rsidR="00E93AC0">
              <w:t>the status is available</w:t>
            </w:r>
            <w:r>
              <w:t>.</w:t>
            </w:r>
          </w:p>
          <w:p w14:paraId="0A19B90B" w14:textId="77777777" w:rsidR="002A21AE" w:rsidRDefault="002A21AE">
            <w:pPr>
              <w:pStyle w:val="NotesText"/>
            </w:pPr>
          </w:p>
          <w:p w14:paraId="17DC8DF3" w14:textId="77777777" w:rsidR="002A21AE" w:rsidRDefault="002A21AE">
            <w:pPr>
              <w:pStyle w:val="NotesText"/>
            </w:pPr>
            <w:r>
              <w:t>When the unit</w:t>
            </w:r>
            <w:r w:rsidR="00FA7E65">
              <w:t>’</w:t>
            </w:r>
            <w:r>
              <w:t>s original expiration date and time is in the future, VBECS assigns units removed from the pool a status of “available.” When the unit</w:t>
            </w:r>
            <w:r w:rsidR="00FA7E65">
              <w:t>’</w:t>
            </w:r>
            <w:r>
              <w:t>s original expiration date and time is in the past, VBECS assigns units removed from the pool a status of “</w:t>
            </w:r>
            <w:r w:rsidR="0061366C">
              <w:t>available</w:t>
            </w:r>
            <w:r>
              <w:t>.”</w:t>
            </w:r>
          </w:p>
          <w:p w14:paraId="033E6A8A" w14:textId="77777777" w:rsidR="002A21AE" w:rsidRDefault="002A21AE">
            <w:pPr>
              <w:pStyle w:val="NotesText"/>
            </w:pPr>
          </w:p>
          <w:p w14:paraId="0C89D9A6" w14:textId="77777777" w:rsidR="002A21AE" w:rsidRDefault="002A21AE">
            <w:pPr>
              <w:pStyle w:val="NotesText"/>
            </w:pPr>
            <w:r w:rsidRPr="001051D0">
              <w:rPr>
                <w:rFonts w:cs="Arial"/>
                <w:vanish/>
                <w:color w:val="0000FF"/>
              </w:rPr>
              <w:t>BR_24.25</w:t>
            </w:r>
            <w:r>
              <w:rPr>
                <w:rFonts w:cs="Arial"/>
                <w:vanish/>
              </w:rPr>
              <w:t xml:space="preserve"> </w:t>
            </w:r>
            <w:r w:rsidR="00263B24" w:rsidRPr="00896F17">
              <w:rPr>
                <w:rStyle w:val="BullhornChar"/>
              </w:rPr>
              <w:t></w:t>
            </w:r>
            <w:r w:rsidR="00263B24">
              <w:rPr>
                <w:rFonts w:ascii="Webdings" w:hAnsi="Webdings"/>
              </w:rPr>
              <w:t></w:t>
            </w:r>
            <w:r w:rsidR="00263B24">
              <w:t>W</w:t>
            </w:r>
            <w:r>
              <w:t xml:space="preserve">hen </w:t>
            </w:r>
            <w:r w:rsidR="008553F6">
              <w:t xml:space="preserve">the user adds a unit to a pool and </w:t>
            </w:r>
            <w:r>
              <w:t xml:space="preserve">the </w:t>
            </w:r>
            <w:r w:rsidR="00991A9A">
              <w:t>unit expires before</w:t>
            </w:r>
            <w:r>
              <w:t xml:space="preserve"> the pool</w:t>
            </w:r>
            <w:r w:rsidR="00991A9A">
              <w:t xml:space="preserve"> expires</w:t>
            </w:r>
            <w:r>
              <w:t xml:space="preserve">, VBECS emits an audible alert, warns the user, and asks the user to continue or cancel. </w:t>
            </w:r>
            <w:r w:rsidR="00C26BE6">
              <w:rPr>
                <w:b/>
                <w:bCs/>
              </w:rPr>
              <w:t xml:space="preserve">Override </w:t>
            </w:r>
            <w:r>
              <w:t xml:space="preserve">requires a comment and VBECS captures details for inclusion in an Exception Report (exception type: expired unit modified). </w:t>
            </w:r>
            <w:r>
              <w:rPr>
                <w:b/>
                <w:bCs/>
              </w:rPr>
              <w:t>Cancel</w:t>
            </w:r>
            <w:r>
              <w:t xml:space="preserve"> clears the selected unit data and allows the user to select another unit to modify.</w:t>
            </w:r>
          </w:p>
        </w:tc>
      </w:tr>
      <w:tr w:rsidR="002A21AE" w14:paraId="78138C29" w14:textId="77777777">
        <w:tc>
          <w:tcPr>
            <w:tcW w:w="3240" w:type="dxa"/>
            <w:tcBorders>
              <w:top w:val="single" w:sz="4" w:space="0" w:color="auto"/>
              <w:left w:val="single" w:sz="4" w:space="0" w:color="auto"/>
              <w:bottom w:val="single" w:sz="4" w:space="0" w:color="auto"/>
              <w:right w:val="single" w:sz="4" w:space="0" w:color="auto"/>
            </w:tcBorders>
          </w:tcPr>
          <w:p w14:paraId="0DF181E6" w14:textId="77777777" w:rsidR="002A21AE" w:rsidRDefault="002A21AE">
            <w:pPr>
              <w:pStyle w:val="TableTextNumbers"/>
            </w:pPr>
            <w:r>
              <w:t>Review the entered data and save the updated pool record.</w:t>
            </w:r>
          </w:p>
        </w:tc>
        <w:tc>
          <w:tcPr>
            <w:tcW w:w="6108" w:type="dxa"/>
            <w:tcBorders>
              <w:top w:val="single" w:sz="4" w:space="0" w:color="auto"/>
              <w:left w:val="single" w:sz="4" w:space="0" w:color="auto"/>
              <w:bottom w:val="single" w:sz="4" w:space="0" w:color="auto"/>
              <w:right w:val="single" w:sz="4" w:space="0" w:color="auto"/>
            </w:tcBorders>
          </w:tcPr>
          <w:p w14:paraId="0510FF01" w14:textId="77777777" w:rsidR="002A21AE" w:rsidRDefault="002A21AE" w:rsidP="000C5C2A">
            <w:pPr>
              <w:pStyle w:val="TableTextBullet"/>
            </w:pPr>
            <w:r>
              <w:t xml:space="preserve">Saves the modified pooled unit. Updates the status of each added unit to “modified.” Updates the status of each removed unit. </w:t>
            </w:r>
            <w:r w:rsidR="000C5C2A">
              <w:t>Records the unit ID of the target unit on the record of the original unit.</w:t>
            </w:r>
            <w:r>
              <w:t xml:space="preserve"> </w:t>
            </w:r>
          </w:p>
        </w:tc>
      </w:tr>
      <w:tr w:rsidR="002A21AE" w14:paraId="43C60512" w14:textId="77777777">
        <w:tc>
          <w:tcPr>
            <w:tcW w:w="3240" w:type="dxa"/>
            <w:tcBorders>
              <w:top w:val="single" w:sz="4" w:space="0" w:color="auto"/>
              <w:left w:val="single" w:sz="4" w:space="0" w:color="auto"/>
              <w:bottom w:val="single" w:sz="4" w:space="0" w:color="auto"/>
              <w:right w:val="single" w:sz="4" w:space="0" w:color="auto"/>
            </w:tcBorders>
          </w:tcPr>
          <w:p w14:paraId="20F4EB55" w14:textId="77777777" w:rsidR="002A21AE" w:rsidRDefault="002A21AE">
            <w:pPr>
              <w:pStyle w:val="TableTextNumbers"/>
            </w:pPr>
            <w:r>
              <w:t xml:space="preserve">Repeat Steps 1–6 to modify another unit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05" w:author="Blalock, David (Leidos)" w:date="2020-06-15T14:09:00Z" w:original="0."/>
              </w:fldChar>
            </w:r>
          </w:p>
        </w:tc>
        <w:tc>
          <w:tcPr>
            <w:tcW w:w="6108" w:type="dxa"/>
            <w:tcBorders>
              <w:top w:val="single" w:sz="4" w:space="0" w:color="auto"/>
              <w:left w:val="single" w:sz="4" w:space="0" w:color="auto"/>
              <w:bottom w:val="single" w:sz="4" w:space="0" w:color="auto"/>
              <w:right w:val="single" w:sz="4" w:space="0" w:color="auto"/>
            </w:tcBorders>
          </w:tcPr>
          <w:p w14:paraId="6EF4E36F" w14:textId="77777777" w:rsidR="002A21AE" w:rsidRDefault="004547D5">
            <w:pPr>
              <w:pStyle w:val="TableTextBullet"/>
              <w:tabs>
                <w:tab w:val="num" w:pos="360"/>
              </w:tabs>
              <w:rPr>
                <w:color w:val="000000"/>
                <w:szCs w:val="20"/>
              </w:rPr>
            </w:pPr>
            <w:r>
              <w:rPr>
                <w:color w:val="000000"/>
                <w:szCs w:val="20"/>
              </w:rPr>
              <w:t>Allows the user</w:t>
            </w:r>
            <w:r w:rsidR="002A21AE">
              <w:rPr>
                <w:color w:val="000000"/>
                <w:szCs w:val="20"/>
              </w:rPr>
              <w:t xml:space="preserve"> to modify</w:t>
            </w:r>
            <w:r>
              <w:rPr>
                <w:color w:val="000000"/>
                <w:szCs w:val="20"/>
              </w:rPr>
              <w:t xml:space="preserve"> another unit</w:t>
            </w:r>
            <w:r w:rsidR="002A21AE">
              <w:rPr>
                <w:color w:val="000000"/>
                <w:szCs w:val="20"/>
              </w:rPr>
              <w:t>.</w:t>
            </w:r>
          </w:p>
        </w:tc>
      </w:tr>
    </w:tbl>
    <w:p w14:paraId="1EBD652C" w14:textId="77777777" w:rsidR="002A21AE" w:rsidRDefault="002A21AE">
      <w:pPr>
        <w:pStyle w:val="BodyText"/>
      </w:pPr>
    </w:p>
    <w:p w14:paraId="62DF1675" w14:textId="413A2977" w:rsidR="007A0867" w:rsidRDefault="007A0867" w:rsidP="007A0867">
      <w:pPr>
        <w:pStyle w:val="Caption"/>
      </w:pPr>
      <w:bookmarkStart w:id="406" w:name="_Ref12665155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91</w:t>
      </w:r>
      <w:r w:rsidR="004E20BD">
        <w:rPr>
          <w:noProof/>
        </w:rPr>
        <w:fldChar w:fldCharType="end"/>
      </w:r>
      <w:bookmarkEnd w:id="406"/>
      <w:r>
        <w:t>: Add/Remove Units from Pool</w:t>
      </w:r>
    </w:p>
    <w:p w14:paraId="236D7FAA" w14:textId="77777777" w:rsidR="002A21AE" w:rsidRDefault="00057948" w:rsidP="007A0867">
      <w:pPr>
        <w:pStyle w:val="BodyText"/>
      </w:pPr>
      <w:r>
        <w:rPr>
          <w:noProof/>
        </w:rPr>
        <w:drawing>
          <wp:inline distT="0" distB="0" distL="0" distR="0" wp14:anchorId="2DAC3E66" wp14:editId="234E2A7D">
            <wp:extent cx="5939155" cy="5135245"/>
            <wp:effectExtent l="0" t="0" r="4445" b="8255"/>
            <wp:docPr id="179" name="Picture 1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a:extLst>
                        <a:ext uri="{C183D7F6-B498-43B3-948B-1728B52AA6E4}">
                          <adec:decorative xmlns:adec="http://schemas.microsoft.com/office/drawing/2017/decorative" val="1"/>
                        </a:ext>
                      </a:extLst>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939155" cy="5135245"/>
                    </a:xfrm>
                    <a:prstGeom prst="rect">
                      <a:avLst/>
                    </a:prstGeom>
                    <a:noFill/>
                    <a:ln>
                      <a:noFill/>
                    </a:ln>
                  </pic:spPr>
                </pic:pic>
              </a:graphicData>
            </a:graphic>
          </wp:inline>
        </w:drawing>
      </w:r>
    </w:p>
    <w:p w14:paraId="3AC76B95" w14:textId="77777777" w:rsidR="002A21AE" w:rsidRDefault="009F1B54">
      <w:pPr>
        <w:pStyle w:val="Heading2"/>
      </w:pPr>
      <w:r>
        <w:br w:type="page"/>
      </w:r>
      <w:bookmarkStart w:id="407" w:name="_Toc47516727"/>
      <w:r w:rsidR="002A21AE">
        <w:lastRenderedPageBreak/>
        <w:t>Maintain Unit Records</w:t>
      </w:r>
      <w:bookmarkEnd w:id="370"/>
      <w:bookmarkEnd w:id="407"/>
      <w:r w:rsidR="002A21AE">
        <w:fldChar w:fldCharType="begin"/>
      </w:r>
      <w:r w:rsidR="002A21AE">
        <w:instrText xml:space="preserve"> XE </w:instrText>
      </w:r>
      <w:r w:rsidR="00FA7E65">
        <w:instrText>“</w:instrText>
      </w:r>
      <w:r w:rsidR="002A21AE">
        <w:instrText>Maintain Unit Records</w:instrText>
      </w:r>
      <w:r w:rsidR="00FA7E65">
        <w:instrText>”</w:instrText>
      </w:r>
      <w:r w:rsidR="002A21AE">
        <w:instrText xml:space="preserve"> </w:instrText>
      </w:r>
      <w:r w:rsidR="002A21AE">
        <w:fldChar w:fldCharType="end"/>
      </w:r>
    </w:p>
    <w:p w14:paraId="0F771045" w14:textId="77777777" w:rsidR="002A21AE" w:rsidRDefault="002A21AE">
      <w:pPr>
        <w:pStyle w:val="Heading3"/>
        <w:jc w:val="both"/>
      </w:pPr>
      <w:bookmarkStart w:id="408" w:name="_Toc47516728"/>
      <w:r>
        <w:t>Edit Unit Information</w:t>
      </w:r>
      <w:bookmarkEnd w:id="408"/>
      <w:r w:rsidRPr="007716F7">
        <w:rPr>
          <w:vanish/>
        </w:rPr>
        <w:fldChar w:fldCharType="begin"/>
      </w:r>
      <w:r w:rsidRPr="007716F7">
        <w:rPr>
          <w:vanish/>
        </w:rPr>
        <w:instrText xml:space="preserve"> XE </w:instrText>
      </w:r>
      <w:r w:rsidR="00FA7E65" w:rsidRPr="007716F7">
        <w:rPr>
          <w:vanish/>
        </w:rPr>
        <w:instrText>“</w:instrText>
      </w:r>
      <w:r w:rsidRPr="007716F7">
        <w:rPr>
          <w:vanish/>
        </w:rPr>
        <w:instrText>Edit Unit Information</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UC_70</w:t>
      </w:r>
    </w:p>
    <w:p w14:paraId="65B7D213" w14:textId="77777777" w:rsidR="002A21AE" w:rsidRDefault="002A21AE" w:rsidP="00FA7E65">
      <w:pPr>
        <w:pStyle w:val="BodyText"/>
      </w:pPr>
      <w:r>
        <w:t>The user may inactivate unit tests, correct a data entry error from login, and add information about the unit that was not recorded during login.</w:t>
      </w:r>
    </w:p>
    <w:p w14:paraId="580306C8" w14:textId="77777777" w:rsidR="002A21AE" w:rsidRDefault="002A21AE">
      <w:pPr>
        <w:pStyle w:val="Heading4"/>
      </w:pPr>
      <w:r>
        <w:t xml:space="preserve">Assumptions </w:t>
      </w:r>
    </w:p>
    <w:p w14:paraId="0728055F" w14:textId="77777777" w:rsidR="002A21AE" w:rsidRDefault="002A21AE">
      <w:pPr>
        <w:pStyle w:val="ListBullet"/>
      </w:pPr>
      <w:r>
        <w:t>The user is logged into the division that contains the unit record.</w:t>
      </w:r>
    </w:p>
    <w:p w14:paraId="2562B168" w14:textId="77777777" w:rsidR="002A21AE" w:rsidRDefault="002A21AE">
      <w:pPr>
        <w:pStyle w:val="ListBullet"/>
      </w:pPr>
      <w:r>
        <w:t xml:space="preserve">The connection to </w:t>
      </w:r>
      <w:r w:rsidR="00CA0045" w:rsidRPr="00CA0045">
        <w:rPr>
          <w:bCs/>
        </w:rPr>
        <w:t>VistA</w:t>
      </w:r>
      <w:r>
        <w:t xml:space="preserve"> is active.</w:t>
      </w:r>
    </w:p>
    <w:p w14:paraId="563C967B" w14:textId="77777777" w:rsidR="002A21AE" w:rsidRDefault="002A21AE">
      <w:pPr>
        <w:pStyle w:val="Heading4"/>
      </w:pPr>
      <w:r>
        <w:t xml:space="preserve">Outcome </w:t>
      </w:r>
    </w:p>
    <w:p w14:paraId="6D65D342" w14:textId="77777777" w:rsidR="002A21AE" w:rsidRDefault="002A21AE">
      <w:pPr>
        <w:pStyle w:val="ListBullet"/>
      </w:pPr>
      <w:r>
        <w:t>The unit’s new or changed information was saved with its record.</w:t>
      </w:r>
    </w:p>
    <w:p w14:paraId="76667E5D" w14:textId="77777777" w:rsidR="002A21AE" w:rsidRDefault="002A21AE">
      <w:pPr>
        <w:pStyle w:val="Heading4"/>
      </w:pPr>
      <w:r>
        <w:t>Limitations and Restrictions</w:t>
      </w:r>
    </w:p>
    <w:p w14:paraId="550AAB7F" w14:textId="77777777" w:rsidR="009129BC" w:rsidRDefault="009129BC">
      <w:pPr>
        <w:pStyle w:val="ListBullet"/>
      </w:pPr>
      <w:r>
        <w:t>VBECS does not limit the discarded plasma</w:t>
      </w:r>
      <w:r w:rsidR="0031442B">
        <w:t xml:space="preserve"> volume.</w:t>
      </w:r>
    </w:p>
    <w:p w14:paraId="15620EC4" w14:textId="77777777" w:rsidR="002A21AE" w:rsidRDefault="006F51AC" w:rsidP="006F51AC">
      <w:pPr>
        <w:pStyle w:val="ListBullet"/>
      </w:pPr>
      <w:r>
        <w:rPr>
          <w:rFonts w:eastAsia="Arial Unicode MS"/>
        </w:rPr>
        <w:t>If errors are found in the unit</w:t>
      </w:r>
      <w:r w:rsidR="00D20331">
        <w:rPr>
          <w:rFonts w:eastAsia="Arial Unicode MS"/>
        </w:rPr>
        <w:t>’s</w:t>
      </w:r>
      <w:r>
        <w:rPr>
          <w:rFonts w:eastAsia="Arial Unicode MS"/>
        </w:rPr>
        <w:t xml:space="preserve"> product code</w:t>
      </w:r>
      <w:r w:rsidR="002A21AE">
        <w:t xml:space="preserve">, division </w:t>
      </w:r>
      <w:r>
        <w:t xml:space="preserve">or </w:t>
      </w:r>
      <w:r w:rsidR="002A21AE">
        <w:t xml:space="preserve">blood type at login, </w:t>
      </w:r>
      <w:r>
        <w:rPr>
          <w:rFonts w:eastAsia="Arial Unicode MS"/>
        </w:rPr>
        <w:t>supplier, or donation type, the user must inactivate the unit and reenter it correctly</w:t>
      </w:r>
      <w:r w:rsidR="002A21AE">
        <w:t>.</w:t>
      </w:r>
    </w:p>
    <w:p w14:paraId="6DDD30B2" w14:textId="77777777" w:rsidR="002A21AE" w:rsidRDefault="00DD3B4E">
      <w:pPr>
        <w:pStyle w:val="ListBullet"/>
      </w:pPr>
      <w:r>
        <w:t xml:space="preserve">When </w:t>
      </w:r>
      <w:r w:rsidR="002A21AE">
        <w:t xml:space="preserve">unit does not have a patient association, editable fields are available to an </w:t>
      </w:r>
      <w:r w:rsidR="008C4A72" w:rsidRPr="00EC7489">
        <w:rPr>
          <w:rFonts w:ascii="Wingdings 3" w:hAnsi="Wingdings 3" w:cs="Wingdings"/>
        </w:rPr>
        <w:t></w:t>
      </w:r>
      <w:r w:rsidR="008C4A72" w:rsidRPr="00EC7489">
        <w:rPr>
          <w:rFonts w:ascii="Wingdings 3" w:hAnsi="Wingdings 3" w:cs="Wingdings"/>
        </w:rPr>
        <w:t></w:t>
      </w:r>
      <w:r w:rsidR="008C4A72" w:rsidRPr="00AA7C58">
        <w:t xml:space="preserve"> </w:t>
      </w:r>
      <w:r w:rsidR="002A21AE">
        <w:t>Enhanced Technologist.</w:t>
      </w:r>
    </w:p>
    <w:p w14:paraId="59A1FF0B" w14:textId="77777777" w:rsidR="00FE4FDB" w:rsidRDefault="00C45B80">
      <w:pPr>
        <w:pStyle w:val="ListBullet"/>
      </w:pPr>
      <w:r>
        <w:t>Only units in a Limited or A</w:t>
      </w:r>
      <w:r w:rsidR="00FE4FDB">
        <w:t>vailable status may be edited.</w:t>
      </w:r>
    </w:p>
    <w:p w14:paraId="36C235DE" w14:textId="77777777" w:rsidR="00FE4FDB" w:rsidRDefault="00FE4FDB">
      <w:pPr>
        <w:pStyle w:val="ListBullet"/>
      </w:pPr>
      <w:r>
        <w:t>Inactivation of the unit record is required when the user needs to change the unit’s information recorded at login: unit identifica</w:t>
      </w:r>
      <w:r w:rsidR="00C45B80">
        <w:t>tion number, blood type</w:t>
      </w:r>
      <w:r>
        <w:t>, product code, unit expiration date, unit don</w:t>
      </w:r>
      <w:r w:rsidR="00C45B80">
        <w:t>ation type, VA division</w:t>
      </w:r>
      <w:r>
        <w:t xml:space="preserve"> or supplier.</w:t>
      </w:r>
    </w:p>
    <w:p w14:paraId="53995C90" w14:textId="77777777" w:rsidR="002A21AE" w:rsidRDefault="002A21AE">
      <w:pPr>
        <w:pStyle w:val="Heading4"/>
      </w:pPr>
      <w:r>
        <w:t>Additional Information</w:t>
      </w:r>
      <w:r>
        <w:rPr>
          <w:rFonts w:ascii="Times New Roman" w:hAnsi="Times New Roman"/>
          <w:i/>
          <w:sz w:val="24"/>
        </w:rPr>
        <w:t xml:space="preserve"> </w:t>
      </w:r>
    </w:p>
    <w:p w14:paraId="3D80F520" w14:textId="67FDFB83" w:rsidR="002A21AE" w:rsidRDefault="00C45B80">
      <w:pPr>
        <w:pStyle w:val="ListBullet"/>
      </w:pPr>
      <w:r>
        <w:t>Units must be in “Limited” or “A</w:t>
      </w:r>
      <w:r w:rsidR="002A21AE">
        <w:t>vailable” status to have information inactivated regardless of historic patient associations.</w:t>
      </w:r>
    </w:p>
    <w:p w14:paraId="1748AD49" w14:textId="77777777" w:rsidR="002A21AE" w:rsidRDefault="002A21AE">
      <w:pPr>
        <w:pStyle w:val="ListBullet"/>
      </w:pPr>
      <w:r>
        <w:t>Crossmatches are considered a patient test and are inactivated in Invalidate Test Results.</w:t>
      </w:r>
    </w:p>
    <w:p w14:paraId="5A2C8922" w14:textId="77777777" w:rsidR="002A21AE" w:rsidRDefault="002A21AE">
      <w:pPr>
        <w:pStyle w:val="Heading4"/>
        <w:rPr>
          <w:b w:val="0"/>
        </w:rPr>
      </w:pPr>
      <w:r>
        <w:t>User Roles with Access to This Option</w:t>
      </w:r>
      <w:r>
        <w:rPr>
          <w:b w:val="0"/>
        </w:rPr>
        <w:t xml:space="preserve"> </w:t>
      </w:r>
    </w:p>
    <w:p w14:paraId="7995BF5B" w14:textId="77777777" w:rsidR="00DF36B1" w:rsidRDefault="00DF36B1" w:rsidP="00DF36B1">
      <w:pPr>
        <w:pStyle w:val="Roles"/>
        <w:rPr>
          <w:snapToGrid w:val="0"/>
        </w:rPr>
      </w:pPr>
      <w:r w:rsidRPr="00EC7489">
        <w:rPr>
          <w:rFonts w:ascii="Wingdings 3" w:hAnsi="Wingdings 3" w:cs="Wingdings"/>
        </w:rPr>
        <w:t></w:t>
      </w:r>
      <w:r w:rsidRPr="00EC7489">
        <w:rPr>
          <w:rFonts w:ascii="Wingdings 3" w:hAnsi="Wingdings 3" w:cs="Wingdings"/>
        </w:rPr>
        <w:t></w:t>
      </w:r>
      <w:r>
        <w:t xml:space="preserve"> Enhanced Technologist</w:t>
      </w:r>
      <w:r w:rsidR="002329E3">
        <w:t xml:space="preserve"> </w:t>
      </w:r>
      <w:r w:rsidR="002329E3" w:rsidRPr="002329E3">
        <w:rPr>
          <w:vanish/>
        </w:rPr>
        <w:t>DR 3,012</w:t>
      </w:r>
    </w:p>
    <w:p w14:paraId="00DAF661" w14:textId="77777777" w:rsidR="002A21AE" w:rsidRDefault="002A21AE">
      <w:pPr>
        <w:pStyle w:val="Heading4"/>
      </w:pPr>
      <w:r>
        <w:t>Edit Unit Information</w:t>
      </w:r>
    </w:p>
    <w:p w14:paraId="6B2AA580" w14:textId="77777777" w:rsidR="002A21AE" w:rsidRDefault="002A21AE" w:rsidP="00FA7E65">
      <w:pPr>
        <w:pStyle w:val="BodyText"/>
      </w:pPr>
      <w:r>
        <w:t>The user records additional unit information normally recorded during incoming shipment (login), i.e., CMV negative, sickle cell negative, and antigen typing provided by the supplier.</w:t>
      </w:r>
    </w:p>
    <w:p w14:paraId="5E1C1D87" w14:textId="77777777" w:rsidR="00DA53D3" w:rsidRPr="00DA53D3" w:rsidRDefault="00DA53D3" w:rsidP="00A87DA2">
      <w:pPr>
        <w:pStyle w:val="Caution"/>
      </w:pPr>
      <w:r>
        <w:t xml:space="preserve">To inactivate a unit, </w:t>
      </w:r>
      <w:r w:rsidR="00A87DA2">
        <w:t xml:space="preserve">remove the final status, return the unit from issue, and </w:t>
      </w:r>
      <w:r>
        <w:t>r</w:t>
      </w:r>
      <w:r w:rsidRPr="00DA53D3">
        <w:t xml:space="preserve">elease </w:t>
      </w:r>
      <w:r>
        <w:t>i</w:t>
      </w:r>
      <w:r w:rsidRPr="00DA53D3">
        <w:t xml:space="preserve">t from </w:t>
      </w:r>
      <w:r w:rsidR="00A87DA2">
        <w:t>previous assignment</w:t>
      </w:r>
      <w:r w:rsidRPr="00DA53D3">
        <w:t>.</w:t>
      </w:r>
      <w:r w:rsidR="00A87DA2">
        <w:t xml:space="preserve"> No changes may be made to units in a final status.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D91178D" w14:textId="77777777">
        <w:trPr>
          <w:tblHeader/>
        </w:trPr>
        <w:tc>
          <w:tcPr>
            <w:tcW w:w="3240" w:type="dxa"/>
            <w:shd w:val="pct30" w:color="auto" w:fill="FFFFFF"/>
            <w:vAlign w:val="bottom"/>
          </w:tcPr>
          <w:p w14:paraId="77A5BD59" w14:textId="77777777" w:rsidR="002A21AE" w:rsidRDefault="002A21AE">
            <w:pPr>
              <w:pStyle w:val="TableText"/>
              <w:rPr>
                <w:b/>
              </w:rPr>
            </w:pPr>
            <w:r>
              <w:rPr>
                <w:b/>
              </w:rPr>
              <w:t>User Action</w:t>
            </w:r>
          </w:p>
        </w:tc>
        <w:tc>
          <w:tcPr>
            <w:tcW w:w="6120" w:type="dxa"/>
            <w:shd w:val="pct30" w:color="auto" w:fill="FFFFFF"/>
            <w:vAlign w:val="bottom"/>
          </w:tcPr>
          <w:p w14:paraId="2C5E0275" w14:textId="77777777" w:rsidR="002A21AE" w:rsidRDefault="002A21AE">
            <w:pPr>
              <w:pStyle w:val="TableText"/>
              <w:rPr>
                <w:b/>
              </w:rPr>
            </w:pPr>
            <w:r>
              <w:rPr>
                <w:b/>
              </w:rPr>
              <w:t>VBECS</w:t>
            </w:r>
          </w:p>
        </w:tc>
      </w:tr>
      <w:tr w:rsidR="002A21AE" w14:paraId="1A8E42F5" w14:textId="77777777">
        <w:tc>
          <w:tcPr>
            <w:tcW w:w="3240" w:type="dxa"/>
          </w:tcPr>
          <w:p w14:paraId="324135EB" w14:textId="77777777" w:rsidR="002A21AE" w:rsidRDefault="002A21AE">
            <w:pPr>
              <w:pStyle w:val="TableTextNumbers"/>
            </w:pPr>
            <w:r>
              <w:t xml:space="preserve">Select </w:t>
            </w:r>
            <w:r>
              <w:rPr>
                <w:b/>
              </w:rPr>
              <w:t>Blood Units</w:t>
            </w:r>
            <w:r>
              <w:t xml:space="preserve"> from the main menu. </w:t>
            </w:r>
          </w:p>
          <w:p w14:paraId="0ABE4CF8" w14:textId="77777777" w:rsidR="002A21AE" w:rsidRDefault="002A21AE">
            <w:pPr>
              <w:pStyle w:val="TableTextNumbersContinued"/>
            </w:pPr>
          </w:p>
          <w:p w14:paraId="419B7C58" w14:textId="77777777" w:rsidR="002A21AE" w:rsidRDefault="002A21AE">
            <w:pPr>
              <w:pStyle w:val="TableTextNumbersContinued"/>
            </w:pPr>
            <w:r>
              <w:t xml:space="preserve">Select </w:t>
            </w:r>
            <w:r>
              <w:rPr>
                <w:b/>
              </w:rPr>
              <w:t>Edit Unit Information</w:t>
            </w:r>
            <w:r>
              <w:t>.</w:t>
            </w:r>
          </w:p>
        </w:tc>
        <w:tc>
          <w:tcPr>
            <w:tcW w:w="6120" w:type="dxa"/>
          </w:tcPr>
          <w:p w14:paraId="04FE02EE" w14:textId="77777777" w:rsidR="002A21AE" w:rsidRDefault="002A21AE">
            <w:pPr>
              <w:pStyle w:val="TableTextBullet"/>
            </w:pPr>
            <w:r>
              <w:t>Displays options for processing blood units.</w:t>
            </w:r>
          </w:p>
          <w:p w14:paraId="1FC31877" w14:textId="77777777" w:rsidR="002A21AE" w:rsidRDefault="002A21AE">
            <w:pPr>
              <w:pStyle w:val="TableTextBullet"/>
            </w:pPr>
            <w:r>
              <w:t>Displays options for selecting and editing a unit.</w:t>
            </w:r>
          </w:p>
        </w:tc>
      </w:tr>
      <w:tr w:rsidR="002A21AE" w14:paraId="4AD2BF5E" w14:textId="77777777">
        <w:tc>
          <w:tcPr>
            <w:tcW w:w="3240" w:type="dxa"/>
          </w:tcPr>
          <w:p w14:paraId="5EAB6D8B" w14:textId="77777777" w:rsidR="002A21AE" w:rsidRDefault="002A21AE">
            <w:pPr>
              <w:pStyle w:val="TableTextNumbers"/>
            </w:pPr>
            <w:r>
              <w:lastRenderedPageBreak/>
              <w:t>Scan or enter a unit ID and product code. May cancel and select a different unit.</w:t>
            </w:r>
          </w:p>
          <w:p w14:paraId="719664B4" w14:textId="77777777" w:rsidR="00B100F7" w:rsidRDefault="00B100F7" w:rsidP="00B100F7">
            <w:pPr>
              <w:pStyle w:val="TableTextNumbersContinued"/>
            </w:pPr>
          </w:p>
          <w:p w14:paraId="31A24D38" w14:textId="77777777" w:rsidR="00B100F7" w:rsidRDefault="00B100F7" w:rsidP="00B100F7">
            <w:pPr>
              <w:pStyle w:val="TableTextNumbersContinued"/>
            </w:pPr>
            <w:r>
              <w:t xml:space="preserve">When the unit entered is in a final status, click </w:t>
            </w:r>
            <w:r w:rsidRPr="005B5E25">
              <w:rPr>
                <w:b/>
              </w:rPr>
              <w:t>Clear</w:t>
            </w:r>
            <w:r>
              <w:t xml:space="preserve"> to clear the </w:t>
            </w:r>
            <w:r w:rsidR="005B5E25">
              <w:t xml:space="preserve">Unit ID and Product </w:t>
            </w:r>
            <w:r>
              <w:t>field</w:t>
            </w:r>
            <w:r w:rsidR="005B5E25">
              <w:t>s</w:t>
            </w:r>
            <w:r>
              <w:t xml:space="preserve"> and enter </w:t>
            </w:r>
            <w:r w:rsidR="005B5E25">
              <w:t>another unit.</w:t>
            </w:r>
          </w:p>
        </w:tc>
        <w:tc>
          <w:tcPr>
            <w:tcW w:w="6120" w:type="dxa"/>
          </w:tcPr>
          <w:p w14:paraId="3A7932B0" w14:textId="77777777" w:rsidR="002A21AE" w:rsidRDefault="002A21AE">
            <w:pPr>
              <w:pStyle w:val="TableTextBullet"/>
            </w:pPr>
            <w:r>
              <w:t>Allows the user to scan or enter a unit ID and product code or select a unit.</w:t>
            </w:r>
          </w:p>
          <w:p w14:paraId="569A5F81" w14:textId="77777777" w:rsidR="002A21AE" w:rsidRDefault="002A21AE">
            <w:pPr>
              <w:pStyle w:val="TableTextBullet"/>
            </w:pPr>
            <w:r>
              <w:t>Displays the editable unit information based on the user‘s security level.</w:t>
            </w:r>
          </w:p>
          <w:p w14:paraId="7B4EC255" w14:textId="77777777" w:rsidR="002A21AE" w:rsidRDefault="002A21AE">
            <w:pPr>
              <w:pStyle w:val="TableText"/>
            </w:pPr>
          </w:p>
          <w:p w14:paraId="17823B5B" w14:textId="142E58AB" w:rsidR="002A21AE" w:rsidRDefault="002A21AE">
            <w:pPr>
              <w:pStyle w:val="TableText"/>
              <w:rPr>
                <w:b/>
                <w:bCs/>
                <w:szCs w:val="18"/>
              </w:rPr>
            </w:pPr>
            <w:r>
              <w:rPr>
                <w:b/>
                <w:bCs/>
                <w:szCs w:val="18"/>
              </w:rPr>
              <w:t>NOTES</w:t>
            </w:r>
          </w:p>
          <w:p w14:paraId="7A2BCAED" w14:textId="77777777" w:rsidR="002A21AE" w:rsidRDefault="002A21AE">
            <w:pPr>
              <w:pStyle w:val="NotesText"/>
            </w:pPr>
          </w:p>
          <w:p w14:paraId="7D14E120" w14:textId="77777777" w:rsidR="002A21AE" w:rsidRDefault="002A21AE">
            <w:pPr>
              <w:pStyle w:val="NotesText"/>
              <w:rPr>
                <w:rFonts w:cs="Arial"/>
              </w:rPr>
            </w:pPr>
            <w:r>
              <w:t>VBECS does not allow selection of a unit when</w:t>
            </w:r>
            <w:r>
              <w:rPr>
                <w:rFonts w:cs="Arial"/>
              </w:rPr>
              <w:t xml:space="preserve"> </w:t>
            </w:r>
            <w:r>
              <w:t>it:</w:t>
            </w:r>
          </w:p>
          <w:p w14:paraId="250D92B8" w14:textId="77777777" w:rsidR="002A21AE" w:rsidRDefault="002A21AE">
            <w:pPr>
              <w:pStyle w:val="NotesTextBullet"/>
            </w:pPr>
            <w:r>
              <w:rPr>
                <w:rFonts w:cs="Arial"/>
                <w:vanish/>
              </w:rPr>
              <w:t xml:space="preserve">BR_70.03 </w:t>
            </w:r>
            <w:r>
              <w:t>Is currently assigned to a patient.</w:t>
            </w:r>
          </w:p>
          <w:p w14:paraId="14C26DB2" w14:textId="77777777" w:rsidR="002A21AE" w:rsidRDefault="002A21AE">
            <w:pPr>
              <w:pStyle w:val="NotesTextBullet"/>
            </w:pPr>
            <w:r>
              <w:rPr>
                <w:rFonts w:cs="Arial"/>
                <w:vanish/>
              </w:rPr>
              <w:t xml:space="preserve">BR_70.06 </w:t>
            </w:r>
            <w:r>
              <w:t>Has a final unit status.</w:t>
            </w:r>
          </w:p>
          <w:p w14:paraId="01F6F8C5" w14:textId="77777777" w:rsidR="002A21AE" w:rsidRDefault="002A21AE">
            <w:pPr>
              <w:pStyle w:val="NotesTextBullet"/>
              <w:rPr>
                <w:rFonts w:cs="Arial"/>
              </w:rPr>
            </w:pPr>
            <w:r>
              <w:rPr>
                <w:rFonts w:cs="Arial"/>
                <w:vanish/>
              </w:rPr>
              <w:t xml:space="preserve">BR_70.07 </w:t>
            </w:r>
            <w:r>
              <w:t>Has a previous patient assignment record and the user is a Lead</w:t>
            </w:r>
            <w:r w:rsidR="00DF36B1">
              <w:t xml:space="preserve"> or </w:t>
            </w:r>
            <w:r w:rsidR="00BF0467">
              <w:t>Enhanced</w:t>
            </w:r>
            <w:r>
              <w:t xml:space="preserve"> Technologist.</w:t>
            </w:r>
            <w:r w:rsidR="002329E3">
              <w:t xml:space="preserve"> </w:t>
            </w:r>
            <w:r w:rsidR="002329E3" w:rsidRPr="002329E3">
              <w:rPr>
                <w:vanish/>
              </w:rPr>
              <w:t>DR 3,012</w:t>
            </w:r>
          </w:p>
          <w:p w14:paraId="7AB24C65" w14:textId="77777777" w:rsidR="002A21AE" w:rsidRDefault="002A21AE">
            <w:pPr>
              <w:pStyle w:val="NotesText"/>
            </w:pPr>
          </w:p>
          <w:p w14:paraId="2529ACB1" w14:textId="77777777" w:rsidR="00894624" w:rsidRPr="005104F5" w:rsidRDefault="002A21AE" w:rsidP="005104F5">
            <w:pPr>
              <w:pStyle w:val="NotesText"/>
            </w:pPr>
            <w:r>
              <w:t>There is no override. VBECS clears the screen and allows the user to select a new unit.</w:t>
            </w:r>
          </w:p>
        </w:tc>
      </w:tr>
      <w:tr w:rsidR="002A21AE" w14:paraId="76F38871" w14:textId="77777777">
        <w:tc>
          <w:tcPr>
            <w:tcW w:w="3240" w:type="dxa"/>
          </w:tcPr>
          <w:p w14:paraId="1204546A" w14:textId="44C24421" w:rsidR="00152B83" w:rsidRDefault="002A21AE">
            <w:pPr>
              <w:pStyle w:val="TableTextNumbers"/>
            </w:pPr>
            <w:r>
              <w:t>Review and enter or edit the data</w:t>
            </w:r>
            <w:r w:rsidR="000A3D88">
              <w:t xml:space="preserve"> (</w:t>
            </w:r>
            <w:r w:rsidR="000A3D88">
              <w:fldChar w:fldCharType="begin"/>
            </w:r>
            <w:r w:rsidR="000A3D88">
              <w:instrText xml:space="preserve"> REF _Ref126651737 \h </w:instrText>
            </w:r>
            <w:r w:rsidR="000A3D88">
              <w:fldChar w:fldCharType="separate"/>
            </w:r>
            <w:r w:rsidR="004353ED">
              <w:t xml:space="preserve">Figure </w:t>
            </w:r>
            <w:r w:rsidR="004353ED">
              <w:rPr>
                <w:noProof/>
              </w:rPr>
              <w:t>92</w:t>
            </w:r>
            <w:r w:rsidR="000A3D88">
              <w:fldChar w:fldCharType="end"/>
            </w:r>
            <w:r w:rsidR="000A3D88">
              <w:t>)</w:t>
            </w:r>
            <w:r>
              <w:t xml:space="preserve">, </w:t>
            </w:r>
          </w:p>
          <w:p w14:paraId="4B272320" w14:textId="77777777" w:rsidR="00152B83" w:rsidRDefault="00152B83" w:rsidP="00152B83">
            <w:pPr>
              <w:pStyle w:val="TableTextNumbersContinued"/>
            </w:pPr>
          </w:p>
          <w:p w14:paraId="377B5A71" w14:textId="77777777" w:rsidR="002A21AE" w:rsidRDefault="002A21AE" w:rsidP="00152B83">
            <w:pPr>
              <w:pStyle w:val="TableTextNumbersContinued"/>
            </w:pPr>
            <w:r>
              <w:t>or</w:t>
            </w:r>
          </w:p>
          <w:p w14:paraId="12497666" w14:textId="77777777" w:rsidR="002A21AE" w:rsidRDefault="002A21AE" w:rsidP="00152B83">
            <w:pPr>
              <w:pStyle w:val="TableTextNumbersContinued"/>
            </w:pPr>
          </w:p>
          <w:p w14:paraId="274FD643" w14:textId="77777777" w:rsidR="002A21AE" w:rsidRDefault="009B557A">
            <w:pPr>
              <w:pStyle w:val="TableTextNumbersContinued"/>
            </w:pPr>
            <w:r>
              <w:t>Go to Inactivate</w:t>
            </w:r>
            <w:r w:rsidR="002A21AE">
              <w:t xml:space="preserve"> a Unit.</w:t>
            </w:r>
          </w:p>
        </w:tc>
        <w:tc>
          <w:tcPr>
            <w:tcW w:w="6120" w:type="dxa"/>
          </w:tcPr>
          <w:p w14:paraId="3CDB8C73" w14:textId="77777777" w:rsidR="002A21AE" w:rsidRDefault="002A21AE">
            <w:pPr>
              <w:pStyle w:val="TableTextBullet"/>
            </w:pPr>
            <w:r>
              <w:t xml:space="preserve">Displays tabs to select and edit: </w:t>
            </w:r>
          </w:p>
          <w:p w14:paraId="4DA7F5E3" w14:textId="77777777" w:rsidR="002A21AE" w:rsidRDefault="002A21AE">
            <w:pPr>
              <w:pStyle w:val="TableTextBullet1"/>
            </w:pPr>
            <w:r>
              <w:t xml:space="preserve">Unit information </w:t>
            </w:r>
          </w:p>
          <w:p w14:paraId="3F90E4B3" w14:textId="77777777" w:rsidR="002A21AE" w:rsidRDefault="002A21AE">
            <w:pPr>
              <w:pStyle w:val="TableTextBullet1"/>
            </w:pPr>
            <w:r>
              <w:t xml:space="preserve">Unit ABO/Rh confirmation </w:t>
            </w:r>
          </w:p>
          <w:p w14:paraId="34A27BB3" w14:textId="77777777" w:rsidR="002A21AE" w:rsidRDefault="002A21AE">
            <w:pPr>
              <w:pStyle w:val="TableTextBullet1"/>
            </w:pPr>
            <w:r>
              <w:t xml:space="preserve">Antigen typing </w:t>
            </w:r>
          </w:p>
          <w:p w14:paraId="58703F3E" w14:textId="77777777" w:rsidR="002A21AE" w:rsidRDefault="002A21AE">
            <w:pPr>
              <w:pStyle w:val="TableTextBullet"/>
            </w:pPr>
            <w:r>
              <w:t xml:space="preserve">Displays fields to add or inactivate unit information and an option to inactivate a unit based on the condition of the unit and the user’s security </w:t>
            </w:r>
            <w:r w:rsidR="00082F78">
              <w:t>level</w:t>
            </w:r>
            <w:r>
              <w:t>.</w:t>
            </w:r>
          </w:p>
          <w:p w14:paraId="653716B9" w14:textId="77777777" w:rsidR="002A21AE" w:rsidRDefault="002A21AE">
            <w:pPr>
              <w:pStyle w:val="TableText"/>
            </w:pPr>
          </w:p>
          <w:p w14:paraId="0D6F91F3" w14:textId="510C5BB5" w:rsidR="002A21AE" w:rsidRDefault="002A21AE">
            <w:pPr>
              <w:pStyle w:val="TableText"/>
              <w:rPr>
                <w:b/>
                <w:bCs/>
                <w:szCs w:val="18"/>
              </w:rPr>
            </w:pPr>
            <w:r>
              <w:rPr>
                <w:b/>
                <w:bCs/>
                <w:szCs w:val="18"/>
              </w:rPr>
              <w:t>NOTES</w:t>
            </w:r>
          </w:p>
          <w:p w14:paraId="0C3EC97C" w14:textId="77777777" w:rsidR="002A21AE" w:rsidRDefault="002A21AE">
            <w:pPr>
              <w:pStyle w:val="NotesText"/>
            </w:pPr>
          </w:p>
          <w:p w14:paraId="5FC441FB" w14:textId="54984BD1" w:rsidR="002A21AE" w:rsidRDefault="002A21AE">
            <w:pPr>
              <w:pStyle w:val="NotesText"/>
            </w:pPr>
            <w:r>
              <w:rPr>
                <w:rFonts w:cs="Arial"/>
                <w:vanish/>
              </w:rPr>
              <w:t xml:space="preserve">BR_70.20 </w:t>
            </w:r>
            <w:r>
              <w:t>The user may add data to a field with no previous entry.</w:t>
            </w:r>
            <w:r w:rsidR="00101EEF">
              <w:t xml:space="preserve"> </w:t>
            </w:r>
            <w:r w:rsidR="00101EEF" w:rsidRPr="00205737">
              <w:t xml:space="preserve">When the blood product code within the ICCBBA component classes is RED BLOOD CELLS, WHOLE BLOOD, the </w:t>
            </w:r>
            <w:r w:rsidR="00101EEF" w:rsidRPr="00205737">
              <w:rPr>
                <w:b/>
                <w:bCs/>
              </w:rPr>
              <w:t>Technologist</w:t>
            </w:r>
            <w:r w:rsidR="00101EEF" w:rsidRPr="00205737">
              <w:rPr>
                <w:bCs/>
              </w:rPr>
              <w:t xml:space="preserve"> and above</w:t>
            </w:r>
            <w:r w:rsidR="00101EEF">
              <w:t xml:space="preserve"> may add unit information:</w:t>
            </w:r>
            <w:r w:rsidR="00101EEF" w:rsidRPr="00205737">
              <w:t xml:space="preserve"> sickl</w:t>
            </w:r>
            <w:r w:rsidR="00A92813">
              <w:t>e cell negative, CMV negative, red blood c</w:t>
            </w:r>
            <w:r w:rsidR="00C233B7">
              <w:t>ell contamination of = &gt;</w:t>
            </w:r>
            <w:r w:rsidR="00101EEF" w:rsidRPr="00205737">
              <w:t xml:space="preserve"> 2 </w:t>
            </w:r>
            <w:r w:rsidR="003D3067" w:rsidRPr="00205737">
              <w:t>mL, and</w:t>
            </w:r>
            <w:r w:rsidR="00101EEF" w:rsidRPr="00205737">
              <w:t xml:space="preserve"> antigen typing to a unit when the unit has no patient assignment</w:t>
            </w:r>
            <w:r w:rsidR="00101EEF">
              <w:t>s.</w:t>
            </w:r>
          </w:p>
          <w:p w14:paraId="07243346" w14:textId="77777777" w:rsidR="002A21AE" w:rsidRDefault="002A21AE">
            <w:pPr>
              <w:pStyle w:val="NotesText"/>
            </w:pPr>
          </w:p>
          <w:p w14:paraId="12CFA5ED" w14:textId="77777777" w:rsidR="00EB5D2F" w:rsidRPr="00EB5D2F" w:rsidRDefault="00EB5D2F">
            <w:pPr>
              <w:pStyle w:val="NotesText"/>
              <w:rPr>
                <w:rFonts w:cs="Arial"/>
              </w:rPr>
            </w:pPr>
            <w:r w:rsidRPr="00EB5D2F">
              <w:rPr>
                <w:rFonts w:cs="Arial"/>
              </w:rPr>
              <w:t>Users may edit unit volume, add special testing and RBC antigens, mark a unit biohazardous, and change the patient restriction.</w:t>
            </w:r>
            <w:r>
              <w:rPr>
                <w:rFonts w:cs="Arial"/>
                <w:vanish/>
              </w:rPr>
              <w:t xml:space="preserve"> Task 1320</w:t>
            </w:r>
          </w:p>
          <w:p w14:paraId="431D2FFE" w14:textId="77777777" w:rsidR="00EB5D2F" w:rsidRPr="00EB5D2F" w:rsidRDefault="00EB5D2F">
            <w:pPr>
              <w:pStyle w:val="NotesText"/>
              <w:rPr>
                <w:rFonts w:cs="Arial"/>
              </w:rPr>
            </w:pPr>
          </w:p>
          <w:p w14:paraId="51C6F445" w14:textId="77777777" w:rsidR="002A21AE" w:rsidRDefault="002A21AE">
            <w:pPr>
              <w:pStyle w:val="NotesText"/>
            </w:pPr>
            <w:r>
              <w:rPr>
                <w:rFonts w:cs="Arial"/>
                <w:vanish/>
              </w:rPr>
              <w:t xml:space="preserve">BR_1.53 </w:t>
            </w:r>
            <w:r w:rsidR="00C153F2">
              <w:t>When a blood produ</w:t>
            </w:r>
            <w:r w:rsidR="00A92813">
              <w:t>ct code in the RED BLOOD CELLS or WHOLE BLOOD</w:t>
            </w:r>
            <w:r w:rsidR="00C153F2">
              <w:t xml:space="preserve"> component class is entered, VBECS enables data entry of sickle cell negative and antigen typing. The CMV negative data entry option is always enabled.</w:t>
            </w:r>
          </w:p>
          <w:p w14:paraId="5895E277" w14:textId="77777777" w:rsidR="002A21AE" w:rsidRDefault="002A21AE">
            <w:pPr>
              <w:pStyle w:val="NotesText"/>
            </w:pPr>
          </w:p>
          <w:p w14:paraId="091DE28C" w14:textId="4D165E94" w:rsidR="002A21AE" w:rsidRDefault="002A21AE">
            <w:pPr>
              <w:pStyle w:val="NotesText"/>
            </w:pPr>
            <w:r>
              <w:rPr>
                <w:rFonts w:cs="Arial"/>
                <w:vanish/>
              </w:rPr>
              <w:t xml:space="preserve">BR_1.45 </w:t>
            </w:r>
            <w:r>
              <w:t xml:space="preserve">An antigen type may be positive or negative for any antigen listed as a VBECS corresponding antigen in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 xml:space="preserve">: </w:t>
            </w:r>
            <w:r w:rsidR="00771DBD">
              <w:fldChar w:fldCharType="begin"/>
            </w:r>
            <w:r w:rsidR="00771DBD">
              <w:instrText xml:space="preserve"> REF _Ref126484449 \h </w:instrText>
            </w:r>
            <w:r w:rsidR="00771DBD">
              <w:fldChar w:fldCharType="separate"/>
            </w:r>
            <w:r w:rsidR="004353ED">
              <w:t xml:space="preserve">Table </w:t>
            </w:r>
            <w:r w:rsidR="004353ED">
              <w:rPr>
                <w:noProof/>
              </w:rPr>
              <w:t>14</w:t>
            </w:r>
            <w:r w:rsidR="004353ED">
              <w:t xml:space="preserve">: </w:t>
            </w:r>
            <w:r w:rsidR="004353ED">
              <w:rPr>
                <w:vanish/>
              </w:rPr>
              <w:t xml:space="preserve">TT_23.01A </w:t>
            </w:r>
            <w:r w:rsidR="004353ED">
              <w:t>Antibody and Antigen Table: Irregular Antibodies</w:t>
            </w:r>
            <w:r w:rsidR="00771DBD">
              <w:fldChar w:fldCharType="end"/>
            </w:r>
            <w:r>
              <w:t>. An antigen may not be positive and negative for the same unit.</w:t>
            </w:r>
          </w:p>
          <w:p w14:paraId="5A88DD3D" w14:textId="77777777" w:rsidR="002A21AE" w:rsidRDefault="002A21AE">
            <w:pPr>
              <w:pStyle w:val="NotesText"/>
              <w:rPr>
                <w:rFonts w:cs="Arial"/>
              </w:rPr>
            </w:pPr>
          </w:p>
          <w:p w14:paraId="4F9C58D5" w14:textId="77777777" w:rsidR="002A21AE" w:rsidRDefault="002A21AE">
            <w:pPr>
              <w:pStyle w:val="NotesText"/>
              <w:rPr>
                <w:rFonts w:cs="Arial"/>
              </w:rPr>
            </w:pPr>
            <w:r>
              <w:rPr>
                <w:rFonts w:cs="Arial"/>
                <w:vanish/>
              </w:rPr>
              <w:t xml:space="preserve">BR_70.01 </w:t>
            </w:r>
            <w:r>
              <w:t>Only unit antigen type results originally entered through Incoming Shipment are avai</w:t>
            </w:r>
            <w:r w:rsidR="00F05C1D">
              <w:t>lable for invalidation. An Enhanced Technologist</w:t>
            </w:r>
            <w:r>
              <w:t xml:space="preserve"> must invalidate unit antigen type results originally entered through Unit Antigen Typing by selecting Inactivate Unit Testing.</w:t>
            </w:r>
          </w:p>
          <w:p w14:paraId="3C08BDE5" w14:textId="77777777" w:rsidR="002A21AE" w:rsidRDefault="002A21AE">
            <w:pPr>
              <w:pStyle w:val="NotesText"/>
            </w:pPr>
          </w:p>
          <w:p w14:paraId="3669BDDA" w14:textId="77777777" w:rsidR="002A21AE" w:rsidRDefault="002A21AE">
            <w:pPr>
              <w:pStyle w:val="NotesText"/>
              <w:rPr>
                <w:rFonts w:cs="Arial"/>
              </w:rPr>
            </w:pPr>
            <w:r>
              <w:rPr>
                <w:rFonts w:cs="Arial"/>
                <w:vanish/>
              </w:rPr>
              <w:t xml:space="preserve">BR_70.14 </w:t>
            </w:r>
            <w:r>
              <w:t xml:space="preserve">VBECS restricts the editing of disease marker testing to autologous units. </w:t>
            </w:r>
          </w:p>
          <w:p w14:paraId="11A52EDD" w14:textId="77777777" w:rsidR="002A21AE" w:rsidRDefault="002A21AE">
            <w:pPr>
              <w:pStyle w:val="NotesText"/>
              <w:rPr>
                <w:rFonts w:cs="Arial"/>
              </w:rPr>
            </w:pPr>
          </w:p>
          <w:p w14:paraId="09037F86" w14:textId="3FF5BBDC" w:rsidR="002A21AE" w:rsidRDefault="002A21AE">
            <w:pPr>
              <w:pStyle w:val="NotesText"/>
            </w:pPr>
            <w:r>
              <w:rPr>
                <w:rFonts w:cs="Arial"/>
                <w:vanish/>
              </w:rPr>
              <w:lastRenderedPageBreak/>
              <w:t xml:space="preserve">BR_70.16 </w:t>
            </w:r>
            <w:r>
              <w:t>When</w:t>
            </w:r>
            <w:r w:rsidR="00E27F2E">
              <w:t xml:space="preserve"> changing </w:t>
            </w:r>
            <w:r>
              <w:t xml:space="preserve">the disease marker testing </w:t>
            </w:r>
            <w:r w:rsidR="00E27F2E">
              <w:t>of an autologous unit from “NEG</w:t>
            </w:r>
            <w:r w:rsidR="00F90BBE">
              <w:t>”</w:t>
            </w:r>
            <w:r w:rsidR="00E27F2E">
              <w:t xml:space="preserve"> to “POS</w:t>
            </w:r>
            <w:r>
              <w:t>” or “NFT</w:t>
            </w:r>
            <w:r w:rsidR="002326F7">
              <w:t xml:space="preserve"> (not fully tested)</w:t>
            </w:r>
            <w:r w:rsidR="002A40BF">
              <w:t>”,</w:t>
            </w:r>
            <w:r>
              <w:t xml:space="preserve"> VBECS </w:t>
            </w:r>
            <w:r w:rsidR="00E27F2E">
              <w:t xml:space="preserve">automatically </w:t>
            </w:r>
            <w:r w:rsidR="00CB32C2">
              <w:t>enables</w:t>
            </w:r>
            <w:r>
              <w:t xml:space="preserve"> the biohazard indicator.</w:t>
            </w:r>
          </w:p>
          <w:p w14:paraId="663FE3BC" w14:textId="77777777" w:rsidR="002A21AE" w:rsidRDefault="002A21AE">
            <w:pPr>
              <w:pStyle w:val="NotesText"/>
            </w:pPr>
          </w:p>
          <w:p w14:paraId="3C109C02" w14:textId="77777777" w:rsidR="002A21AE" w:rsidRDefault="002A21AE">
            <w:pPr>
              <w:pStyle w:val="NotesText"/>
            </w:pPr>
            <w:r>
              <w:rPr>
                <w:rFonts w:cs="Arial"/>
                <w:vanish/>
              </w:rPr>
              <w:t xml:space="preserve">BR_12.13 </w:t>
            </w:r>
            <w:r>
              <w:t>The user may not clear the biohazard indicator for a unit when:</w:t>
            </w:r>
          </w:p>
          <w:p w14:paraId="643DC41A" w14:textId="77777777" w:rsidR="002A21AE" w:rsidRDefault="002A21AE">
            <w:pPr>
              <w:pStyle w:val="NotesTextBullet"/>
            </w:pPr>
            <w:r>
              <w:t>The disease marker testing is POS or NFT,</w:t>
            </w:r>
          </w:p>
          <w:p w14:paraId="30990F4F" w14:textId="77777777" w:rsidR="002A21AE" w:rsidRDefault="002A21AE">
            <w:pPr>
              <w:pStyle w:val="NotesTextBullet"/>
            </w:pPr>
            <w:r>
              <w:t xml:space="preserve">The ISBT 128 Donation Type codes are </w:t>
            </w:r>
            <w:r w:rsidR="00FA7E65">
              <w:t>“</w:t>
            </w:r>
            <w:r>
              <w:t>X, For Autologous Use Only, Biohazardous</w:t>
            </w:r>
            <w:r w:rsidR="00FA7E65">
              <w:t>”</w:t>
            </w:r>
            <w:r>
              <w:t xml:space="preserve"> or </w:t>
            </w:r>
            <w:r w:rsidR="00FA7E65">
              <w:t>“</w:t>
            </w:r>
            <w:r>
              <w:t>3, For Directed Donor Use Only, Biohazardous,</w:t>
            </w:r>
            <w:r w:rsidR="00FA7E65">
              <w:t>”</w:t>
            </w:r>
            <w:r>
              <w:t xml:space="preserve"> or</w:t>
            </w:r>
            <w:r w:rsidR="004F7C13">
              <w:t xml:space="preserve"> 6, Designated Donor Biohazardous”</w:t>
            </w:r>
          </w:p>
          <w:p w14:paraId="7AED18D2" w14:textId="77777777" w:rsidR="002A21AE" w:rsidRDefault="002A21AE">
            <w:pPr>
              <w:pStyle w:val="NotesTextBullet"/>
            </w:pPr>
            <w:r>
              <w:t>The unit is quarantined.</w:t>
            </w:r>
          </w:p>
          <w:p w14:paraId="74DE294C" w14:textId="77777777" w:rsidR="002A21AE" w:rsidRDefault="002A21AE">
            <w:pPr>
              <w:pStyle w:val="NotesText"/>
              <w:ind w:left="0"/>
              <w:rPr>
                <w:rFonts w:cs="Arial"/>
              </w:rPr>
            </w:pPr>
          </w:p>
          <w:p w14:paraId="09E32FF0" w14:textId="77777777" w:rsidR="002A21AE" w:rsidRDefault="002A21AE">
            <w:pPr>
              <w:pStyle w:val="NotesText"/>
              <w:rPr>
                <w:rFonts w:cs="Arial"/>
              </w:rPr>
            </w:pPr>
            <w:r>
              <w:rPr>
                <w:rFonts w:cs="Arial"/>
                <w:vanish/>
              </w:rPr>
              <w:t xml:space="preserve">BR_70.02 </w:t>
            </w:r>
            <w:r>
              <w:t>When editing the “restricted for” patient name for a unit, the user may change the name of a restricted patient but may not save the transaction without a new patient name for the restriction.</w:t>
            </w:r>
          </w:p>
          <w:p w14:paraId="6BB2D03E" w14:textId="77777777" w:rsidR="002A21AE" w:rsidRDefault="002A21AE">
            <w:pPr>
              <w:pStyle w:val="NotesText"/>
              <w:rPr>
                <w:rFonts w:cs="Arial"/>
              </w:rPr>
            </w:pPr>
          </w:p>
          <w:p w14:paraId="45EBD45B" w14:textId="77777777" w:rsidR="002A21AE" w:rsidRDefault="002A21AE">
            <w:pPr>
              <w:pStyle w:val="NotesText"/>
            </w:pPr>
            <w:r>
              <w:rPr>
                <w:rFonts w:cs="Arial"/>
                <w:vanish/>
              </w:rPr>
              <w:t xml:space="preserve">BR_70.10 </w:t>
            </w:r>
            <w:r>
              <w:t xml:space="preserve">When the user restricts a unit to a patient, the patient ID is the primary identifier of the intended recipient. When VBECS searches the </w:t>
            </w:r>
            <w:r w:rsidR="00CA0045" w:rsidRPr="00CA0045">
              <w:rPr>
                <w:bCs/>
              </w:rPr>
              <w:t>VistA</w:t>
            </w:r>
            <w:r>
              <w:t xml:space="preserve"> PATIENT File (#2) and finds a match, it populates the VBECS database with the selected patient name. When the intended recipient is not in the </w:t>
            </w:r>
            <w:r w:rsidR="00CA0045" w:rsidRPr="00CA0045">
              <w:rPr>
                <w:bCs/>
              </w:rPr>
              <w:t>VistA</w:t>
            </w:r>
            <w:r>
              <w:t xml:space="preserve"> database, VBECS </w:t>
            </w:r>
            <w:r w:rsidR="009E40D9">
              <w:t>warns</w:t>
            </w:r>
            <w:r>
              <w:t xml:space="preserve"> the user</w:t>
            </w:r>
            <w:r w:rsidR="009E40D9">
              <w:t>, clears the screen, and does not allow the unit to be further processed</w:t>
            </w:r>
            <w:r>
              <w:t xml:space="preserve">. </w:t>
            </w:r>
          </w:p>
          <w:p w14:paraId="033E8E64" w14:textId="77777777" w:rsidR="002A21AE" w:rsidRDefault="002A21AE">
            <w:pPr>
              <w:pStyle w:val="NotesText"/>
            </w:pPr>
          </w:p>
          <w:p w14:paraId="11E931F3" w14:textId="77777777" w:rsidR="002A21AE" w:rsidRDefault="002A21AE">
            <w:pPr>
              <w:pStyle w:val="NotesText"/>
            </w:pPr>
            <w:r>
              <w:rPr>
                <w:rFonts w:cs="Arial"/>
                <w:vanish/>
              </w:rPr>
              <w:t xml:space="preserve">BR_70.08 </w:t>
            </w:r>
            <w:r w:rsidRPr="00EC7489">
              <w:rPr>
                <w:rFonts w:ascii="Wingdings 3" w:hAnsi="Wingdings 3" w:cs="Wingdings"/>
              </w:rPr>
              <w:t></w:t>
            </w:r>
            <w:r w:rsidRPr="00EC7489">
              <w:rPr>
                <w:rFonts w:ascii="Wingdings 3" w:hAnsi="Wingdings 3" w:cs="Wingdings"/>
              </w:rPr>
              <w:t></w:t>
            </w:r>
            <w:r>
              <w:t xml:space="preserve"> The Enhanced Technologist may edit items associated with a unit and add the new data to the unit. VBECS displays only the latest entry for these fields to the Enhanced Technologist before the un</w:t>
            </w:r>
            <w:r w:rsidR="00264DEB">
              <w:t>it has any patient associations:</w:t>
            </w:r>
          </w:p>
          <w:p w14:paraId="3A2E03C8" w14:textId="77777777" w:rsidR="00264DEB" w:rsidRDefault="00264DEB" w:rsidP="000409B1">
            <w:pPr>
              <w:pStyle w:val="StyleTableText9ptChar"/>
              <w:numPr>
                <w:ilvl w:val="0"/>
                <w:numId w:val="58"/>
              </w:numPr>
              <w:ind w:left="1440"/>
            </w:pPr>
            <w:r>
              <w:t>Restrictions</w:t>
            </w:r>
          </w:p>
          <w:p w14:paraId="1253EB99" w14:textId="77777777" w:rsidR="00264DEB" w:rsidRDefault="00264DEB" w:rsidP="000409B1">
            <w:pPr>
              <w:pStyle w:val="StyleTableText9ptChar"/>
              <w:numPr>
                <w:ilvl w:val="0"/>
                <w:numId w:val="58"/>
              </w:numPr>
              <w:ind w:left="1440"/>
            </w:pPr>
            <w:r>
              <w:t xml:space="preserve">CMV negative </w:t>
            </w:r>
          </w:p>
          <w:p w14:paraId="3881FB30" w14:textId="77777777" w:rsidR="00264DEB" w:rsidRDefault="00264DEB" w:rsidP="000409B1">
            <w:pPr>
              <w:pStyle w:val="StyleTableText9ptChar"/>
              <w:numPr>
                <w:ilvl w:val="0"/>
                <w:numId w:val="58"/>
              </w:numPr>
              <w:ind w:left="1440"/>
            </w:pPr>
            <w:r>
              <w:t>Sickle Cell negative</w:t>
            </w:r>
          </w:p>
          <w:p w14:paraId="6D8E3986" w14:textId="77777777" w:rsidR="00264DEB" w:rsidRDefault="00264DEB" w:rsidP="000409B1">
            <w:pPr>
              <w:pStyle w:val="StyleTableText9ptChar"/>
              <w:numPr>
                <w:ilvl w:val="0"/>
                <w:numId w:val="58"/>
              </w:numPr>
              <w:ind w:left="1440"/>
            </w:pPr>
            <w:r>
              <w:t>Biohazard indicator</w:t>
            </w:r>
          </w:p>
          <w:p w14:paraId="0441C8C3" w14:textId="77777777" w:rsidR="00264DEB" w:rsidRDefault="00264DEB" w:rsidP="000409B1">
            <w:pPr>
              <w:pStyle w:val="StyleTableText9ptChar"/>
              <w:numPr>
                <w:ilvl w:val="0"/>
                <w:numId w:val="58"/>
              </w:numPr>
              <w:ind w:left="1440"/>
            </w:pPr>
            <w:r>
              <w:t>Disease marker testing</w:t>
            </w:r>
          </w:p>
          <w:p w14:paraId="6ABF96B6" w14:textId="77777777" w:rsidR="00264DEB" w:rsidRDefault="00264DEB" w:rsidP="000409B1">
            <w:pPr>
              <w:pStyle w:val="StyleTableText9ptChar"/>
              <w:numPr>
                <w:ilvl w:val="0"/>
                <w:numId w:val="58"/>
              </w:numPr>
              <w:ind w:left="1440"/>
            </w:pPr>
            <w:r>
              <w:t xml:space="preserve">Antigen typing entered at log-in </w:t>
            </w:r>
          </w:p>
          <w:p w14:paraId="5305B4F5" w14:textId="77777777" w:rsidR="00264DEB" w:rsidRDefault="00264DEB" w:rsidP="000409B1">
            <w:pPr>
              <w:pStyle w:val="StyleTableText9ptChar"/>
              <w:numPr>
                <w:ilvl w:val="0"/>
                <w:numId w:val="58"/>
              </w:numPr>
              <w:ind w:left="1440"/>
            </w:pPr>
            <w:r>
              <w:t>Unit volume</w:t>
            </w:r>
          </w:p>
          <w:p w14:paraId="1CFC09FA" w14:textId="77777777" w:rsidR="00264DEB" w:rsidRDefault="002E5493" w:rsidP="000409B1">
            <w:pPr>
              <w:pStyle w:val="TableText"/>
              <w:numPr>
                <w:ilvl w:val="0"/>
                <w:numId w:val="58"/>
              </w:numPr>
              <w:ind w:left="1440"/>
            </w:pPr>
            <w:r>
              <w:t>Discarded plasma volume, if one</w:t>
            </w:r>
          </w:p>
          <w:p w14:paraId="0C176FAD" w14:textId="77777777" w:rsidR="00264DEB" w:rsidRDefault="00264DEB" w:rsidP="000409B1">
            <w:pPr>
              <w:pStyle w:val="StyleTableText9ptChar"/>
              <w:numPr>
                <w:ilvl w:val="0"/>
                <w:numId w:val="58"/>
              </w:numPr>
              <w:ind w:left="1440"/>
            </w:pPr>
            <w:r w:rsidRPr="00205737">
              <w:t>R</w:t>
            </w:r>
            <w:r w:rsidR="00A92813">
              <w:t>ed blood c</w:t>
            </w:r>
            <w:r w:rsidR="00B06392">
              <w:t xml:space="preserve">ell contamination of </w:t>
            </w:r>
            <w:r w:rsidR="00A92813">
              <w:t xml:space="preserve">equal to or </w:t>
            </w:r>
            <w:r w:rsidR="00B06392">
              <w:t>g</w:t>
            </w:r>
            <w:r w:rsidRPr="00205737">
              <w:t>reater than (</w:t>
            </w:r>
            <w:r w:rsidR="00A92813">
              <w:t xml:space="preserve">= </w:t>
            </w:r>
            <w:r w:rsidRPr="00205737">
              <w:t>&gt;) 2 mL</w:t>
            </w:r>
            <w:r w:rsidR="00A92813">
              <w:t xml:space="preserve"> (non-RBC units)</w:t>
            </w:r>
          </w:p>
          <w:p w14:paraId="7A23E7A2" w14:textId="77777777" w:rsidR="002A21AE" w:rsidRPr="00EC7489" w:rsidRDefault="002A21AE">
            <w:pPr>
              <w:pStyle w:val="NotesText"/>
              <w:rPr>
                <w:rFonts w:ascii="Wingdings 3" w:hAnsi="Wingdings 3" w:cs="Wingdings"/>
              </w:rPr>
            </w:pPr>
          </w:p>
          <w:p w14:paraId="1216276F" w14:textId="143A2CDA" w:rsidR="009D59DD" w:rsidRPr="00781303" w:rsidRDefault="002A21AE" w:rsidP="00781303">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The Traditional Supervisor may edit items associated with a unit and add the new data when the unit has a history of patient associations.</w:t>
            </w:r>
          </w:p>
        </w:tc>
      </w:tr>
      <w:tr w:rsidR="002A21AE" w14:paraId="43B3A00B" w14:textId="77777777">
        <w:tc>
          <w:tcPr>
            <w:tcW w:w="3240" w:type="dxa"/>
          </w:tcPr>
          <w:p w14:paraId="77C63CF3" w14:textId="6DB6BA49" w:rsidR="002A21AE" w:rsidRDefault="002A21AE">
            <w:pPr>
              <w:pStyle w:val="TableTextNumbers"/>
            </w:pPr>
            <w:r>
              <w:lastRenderedPageBreak/>
              <w:t>Select a test for inactivation</w:t>
            </w:r>
            <w:r w:rsidR="000A3D88">
              <w:t xml:space="preserve"> (</w:t>
            </w:r>
            <w:r w:rsidR="000A3D88">
              <w:fldChar w:fldCharType="begin"/>
            </w:r>
            <w:r w:rsidR="000A3D88">
              <w:instrText xml:space="preserve"> REF _Ref126651913 \h </w:instrText>
            </w:r>
            <w:r w:rsidR="000A3D88">
              <w:fldChar w:fldCharType="separate"/>
            </w:r>
            <w:r w:rsidR="004353ED">
              <w:t xml:space="preserve">Figure </w:t>
            </w:r>
            <w:r w:rsidR="004353ED">
              <w:rPr>
                <w:noProof/>
              </w:rPr>
              <w:t>93</w:t>
            </w:r>
            <w:r w:rsidR="000A3D88">
              <w:fldChar w:fldCharType="end"/>
            </w:r>
            <w:r w:rsidR="000A3D88">
              <w:t>)</w:t>
            </w:r>
            <w:r>
              <w:t>.</w:t>
            </w:r>
          </w:p>
        </w:tc>
        <w:tc>
          <w:tcPr>
            <w:tcW w:w="6120" w:type="dxa"/>
          </w:tcPr>
          <w:p w14:paraId="0B1D37AF" w14:textId="77777777" w:rsidR="002A21AE" w:rsidRDefault="002A21AE">
            <w:pPr>
              <w:pStyle w:val="TableTextBullet"/>
              <w:tabs>
                <w:tab w:val="num" w:pos="360"/>
              </w:tabs>
            </w:pPr>
            <w:r>
              <w:t>Displays the previously recorded results for the selected test.</w:t>
            </w:r>
          </w:p>
          <w:p w14:paraId="7AEDDC5C" w14:textId="77777777" w:rsidR="002A21AE" w:rsidRDefault="002A21AE">
            <w:pPr>
              <w:pStyle w:val="TableTextBullet"/>
              <w:tabs>
                <w:tab w:val="num" w:pos="360"/>
              </w:tabs>
            </w:pPr>
            <w:r>
              <w:t>Requires a comment to process the inactivation.</w:t>
            </w:r>
          </w:p>
          <w:p w14:paraId="122BA093" w14:textId="77777777" w:rsidR="002A21AE" w:rsidRDefault="002A21AE">
            <w:pPr>
              <w:pStyle w:val="TableText"/>
            </w:pPr>
          </w:p>
          <w:p w14:paraId="2EBBD14A" w14:textId="62270272" w:rsidR="002A21AE" w:rsidRDefault="002A21AE">
            <w:pPr>
              <w:pStyle w:val="TableText"/>
              <w:rPr>
                <w:b/>
                <w:bCs/>
                <w:szCs w:val="18"/>
              </w:rPr>
            </w:pPr>
            <w:r>
              <w:rPr>
                <w:b/>
                <w:bCs/>
                <w:szCs w:val="18"/>
              </w:rPr>
              <w:t>NOTES</w:t>
            </w:r>
          </w:p>
          <w:p w14:paraId="7658CBF6" w14:textId="77777777" w:rsidR="002A21AE" w:rsidRDefault="002A21AE">
            <w:pPr>
              <w:pStyle w:val="NotesText"/>
            </w:pPr>
          </w:p>
          <w:p w14:paraId="47959287" w14:textId="77777777" w:rsidR="002A21AE" w:rsidRDefault="002A21AE">
            <w:pPr>
              <w:pStyle w:val="NotesText"/>
            </w:pPr>
            <w:r>
              <w:rPr>
                <w:rFonts w:cs="Arial"/>
                <w:vanish/>
              </w:rPr>
              <w:t xml:space="preserve">BR_94.06 </w:t>
            </w:r>
            <w:r>
              <w:t>The user may view, not edit, previously entered serologic results and interpretations.</w:t>
            </w:r>
          </w:p>
          <w:p w14:paraId="5023301D" w14:textId="77777777" w:rsidR="002A21AE" w:rsidRDefault="002A21AE">
            <w:pPr>
              <w:pStyle w:val="NotesText"/>
              <w:rPr>
                <w:rFonts w:cs="Arial"/>
              </w:rPr>
            </w:pPr>
          </w:p>
          <w:p w14:paraId="70F9B807" w14:textId="77777777" w:rsidR="002A21AE" w:rsidRDefault="002A21AE">
            <w:pPr>
              <w:pStyle w:val="NotesText"/>
              <w:rPr>
                <w:rFonts w:cs="Arial"/>
              </w:rPr>
            </w:pPr>
            <w:r>
              <w:rPr>
                <w:rFonts w:cs="Arial"/>
                <w:vanish/>
              </w:rPr>
              <w:t xml:space="preserve">BR_70.04 </w:t>
            </w:r>
            <w:r>
              <w:t xml:space="preserve">When the user selects the unit antigen typing test, VBECS displays antigen typing reagent types and interpretations </w:t>
            </w:r>
            <w:r w:rsidR="00765FF5">
              <w:t>available for invalidation at the user’s division. Inherited testing is not available for invalidation</w:t>
            </w:r>
            <w:r>
              <w:t>.</w:t>
            </w:r>
          </w:p>
          <w:p w14:paraId="3715C92C" w14:textId="77777777" w:rsidR="002A21AE" w:rsidRDefault="002A21AE">
            <w:pPr>
              <w:pStyle w:val="NotesText"/>
              <w:rPr>
                <w:rFonts w:cs="Arial"/>
              </w:rPr>
            </w:pPr>
          </w:p>
          <w:p w14:paraId="59D374B9" w14:textId="77777777" w:rsidR="00C868B9" w:rsidRDefault="002A21AE" w:rsidP="00C868B9">
            <w:pPr>
              <w:pStyle w:val="NotesText"/>
            </w:pPr>
            <w:r>
              <w:rPr>
                <w:rFonts w:cs="Arial"/>
                <w:vanish/>
              </w:rPr>
              <w:lastRenderedPageBreak/>
              <w:t xml:space="preserve">BR_70.05 </w:t>
            </w:r>
            <w:r>
              <w:t xml:space="preserve">When the user selects the ABO/Rh confirmation test, VBECS displays the unit confirmation test </w:t>
            </w:r>
            <w:r w:rsidR="004C1CD0">
              <w:t xml:space="preserve">interpretations available for invalidation at the user’s division. </w:t>
            </w:r>
          </w:p>
          <w:p w14:paraId="2031D1F3" w14:textId="77777777" w:rsidR="002A21AE" w:rsidRDefault="002A21AE">
            <w:pPr>
              <w:pStyle w:val="NotesText"/>
            </w:pPr>
          </w:p>
          <w:p w14:paraId="32500A9B" w14:textId="77777777" w:rsidR="002A21AE" w:rsidRDefault="002A21AE">
            <w:pPr>
              <w:pStyle w:val="NotesText"/>
              <w:rPr>
                <w:rFonts w:cs="Arial"/>
              </w:rPr>
            </w:pPr>
            <w:r>
              <w:rPr>
                <w:rFonts w:cs="Arial"/>
                <w:vanish/>
              </w:rPr>
              <w:t xml:space="preserve">BR_70.21 </w:t>
            </w:r>
            <w:r w:rsidR="00C91E8D">
              <w:t>The system will check if the selected blood unit has current, valid ABO/Rh Confirmation or Antigen Typing associated with it. If the unit does have associated current, valid tests, the system does not allow the user to inactivate the unit and displays a warning message to the user: “Unit has current, valid tests, previous patient assignments, or crossmatches that must be invalidated before the unit can be inactivated." There is no override.</w:t>
            </w:r>
          </w:p>
        </w:tc>
      </w:tr>
      <w:tr w:rsidR="002A21AE" w14:paraId="2474C6FC" w14:textId="77777777">
        <w:tc>
          <w:tcPr>
            <w:tcW w:w="3240" w:type="dxa"/>
          </w:tcPr>
          <w:p w14:paraId="5D0FA7A0" w14:textId="77777777" w:rsidR="002A21AE" w:rsidRDefault="002A21AE">
            <w:pPr>
              <w:pStyle w:val="TableTextNumbers"/>
            </w:pPr>
            <w:r>
              <w:lastRenderedPageBreak/>
              <w:t xml:space="preserve">Verify the test to be inactivated and enter a comment. </w:t>
            </w:r>
          </w:p>
          <w:p w14:paraId="3C9E98F7" w14:textId="77777777" w:rsidR="002A21AE" w:rsidRDefault="002A21AE">
            <w:pPr>
              <w:pStyle w:val="TableTextNumbersContinued"/>
            </w:pPr>
          </w:p>
          <w:p w14:paraId="2B5F0E87" w14:textId="77777777" w:rsidR="002A21AE" w:rsidRDefault="002A21AE">
            <w:pPr>
              <w:pStyle w:val="TableTextNumbersContinued"/>
            </w:pPr>
            <w:r>
              <w:t xml:space="preserve">Click </w:t>
            </w:r>
            <w:r>
              <w:rPr>
                <w:b/>
              </w:rPr>
              <w:t>OK</w:t>
            </w:r>
            <w:r>
              <w:t xml:space="preserve"> to confirm and exit.</w:t>
            </w:r>
          </w:p>
        </w:tc>
        <w:tc>
          <w:tcPr>
            <w:tcW w:w="6120" w:type="dxa"/>
          </w:tcPr>
          <w:p w14:paraId="78BD1FDD" w14:textId="77777777" w:rsidR="002A21AE" w:rsidRDefault="002A21AE">
            <w:pPr>
              <w:pStyle w:val="TableTextBullet"/>
              <w:tabs>
                <w:tab w:val="num" w:pos="360"/>
              </w:tabs>
            </w:pPr>
            <w:r>
              <w:t>Displays “Test Result Invalidated” in the unit record for the selected test.</w:t>
            </w:r>
          </w:p>
          <w:p w14:paraId="0A7C64CA" w14:textId="77777777" w:rsidR="002A21AE" w:rsidRDefault="002A21AE">
            <w:pPr>
              <w:pStyle w:val="TableText"/>
            </w:pPr>
          </w:p>
          <w:p w14:paraId="61334477" w14:textId="0D95CB80" w:rsidR="002A21AE" w:rsidRDefault="002A21AE">
            <w:pPr>
              <w:pStyle w:val="TableText"/>
              <w:rPr>
                <w:b/>
                <w:bCs/>
                <w:szCs w:val="18"/>
              </w:rPr>
            </w:pPr>
            <w:r>
              <w:rPr>
                <w:b/>
                <w:bCs/>
                <w:szCs w:val="18"/>
              </w:rPr>
              <w:t>NOTES</w:t>
            </w:r>
          </w:p>
          <w:p w14:paraId="06D67415" w14:textId="77777777" w:rsidR="002A21AE" w:rsidRDefault="002A21AE">
            <w:pPr>
              <w:pStyle w:val="NotesText"/>
            </w:pPr>
          </w:p>
          <w:p w14:paraId="6C2FFDDA" w14:textId="77777777" w:rsidR="002A21AE" w:rsidRDefault="002A21AE">
            <w:pPr>
              <w:pStyle w:val="NotesText"/>
            </w:pPr>
            <w:r>
              <w:rPr>
                <w:rFonts w:cs="Arial"/>
                <w:vanish/>
              </w:rPr>
              <w:t xml:space="preserve">BR_70.25 </w:t>
            </w:r>
            <w:r>
              <w:t xml:space="preserve">When the last </w:t>
            </w:r>
            <w:r w:rsidR="00101EEF">
              <w:t xml:space="preserve">(or only) </w:t>
            </w:r>
            <w:r>
              <w:t>ABO/Rh confirmation testing is invalidated, VBECS returns the unit to a limited status and requires an ABO/Rh confirmation tes</w:t>
            </w:r>
            <w:r w:rsidR="00101EEF">
              <w:t xml:space="preserve">t for </w:t>
            </w:r>
            <w:r w:rsidR="00101EEF" w:rsidRPr="00205737">
              <w:rPr>
                <w:rFonts w:cs="Arial"/>
                <w:szCs w:val="18"/>
              </w:rPr>
              <w:t>R</w:t>
            </w:r>
            <w:r w:rsidR="00A92813">
              <w:rPr>
                <w:rFonts w:cs="Arial"/>
                <w:szCs w:val="18"/>
              </w:rPr>
              <w:t>ed Blood Cell contamination of equal to or g</w:t>
            </w:r>
            <w:r w:rsidR="00101EEF" w:rsidRPr="00205737">
              <w:rPr>
                <w:rFonts w:cs="Arial"/>
                <w:szCs w:val="18"/>
              </w:rPr>
              <w:t>reater than (</w:t>
            </w:r>
            <w:r w:rsidR="00A92813">
              <w:rPr>
                <w:rFonts w:cs="Arial"/>
                <w:szCs w:val="18"/>
              </w:rPr>
              <w:t xml:space="preserve">= </w:t>
            </w:r>
            <w:r w:rsidR="00101EEF" w:rsidRPr="00205737">
              <w:rPr>
                <w:rFonts w:cs="Arial"/>
                <w:szCs w:val="18"/>
              </w:rPr>
              <w:t>&gt;) 2 mL indicator</w:t>
            </w:r>
            <w:r w:rsidR="00C91E8D">
              <w:rPr>
                <w:rFonts w:cs="Arial"/>
                <w:szCs w:val="18"/>
              </w:rPr>
              <w:t>.</w:t>
            </w:r>
          </w:p>
          <w:p w14:paraId="082A8531" w14:textId="77777777" w:rsidR="002A21AE" w:rsidRDefault="002A21AE">
            <w:pPr>
              <w:pStyle w:val="TableText"/>
            </w:pPr>
          </w:p>
          <w:p w14:paraId="624458FA" w14:textId="77777777" w:rsidR="002A21AE" w:rsidRDefault="002A21AE">
            <w:pPr>
              <w:pStyle w:val="NotesText"/>
            </w:pPr>
            <w:r>
              <w:t>When a unit that requires ABO/Rh confirmation testing no longer has a valid test result in VBECS due to invalidation of previous unit tests, VBECS treats the unit as though no ABO/Rh confirmation testing was performed.</w:t>
            </w:r>
          </w:p>
          <w:p w14:paraId="73166727" w14:textId="77777777" w:rsidR="002A21AE" w:rsidRDefault="002A21AE">
            <w:pPr>
              <w:pStyle w:val="NotesText"/>
            </w:pPr>
          </w:p>
          <w:p w14:paraId="3D80386E" w14:textId="73E0977C" w:rsidR="002A21AE" w:rsidRDefault="002A21AE">
            <w:pPr>
              <w:pStyle w:val="NotesText"/>
            </w:pPr>
            <w:r>
              <w:rPr>
                <w:vanish/>
                <w:szCs w:val="18"/>
              </w:rPr>
              <w:t>BR_94.04</w:t>
            </w:r>
            <w:r w:rsidR="00CE3961">
              <w:rPr>
                <w:vanish/>
                <w:szCs w:val="18"/>
              </w:rPr>
              <w:t>,</w:t>
            </w:r>
            <w:r>
              <w:rPr>
                <w:vanish/>
                <w:szCs w:val="18"/>
              </w:rPr>
              <w:t xml:space="preserve"> BR_70.09 </w:t>
            </w:r>
            <w:r>
              <w:t xml:space="preserve">VBECS flags invalidated test results </w:t>
            </w:r>
            <w:r w:rsidR="001414E9">
              <w:t xml:space="preserve">with a message describing the reason for invalidation </w:t>
            </w:r>
            <w:r>
              <w:t>and captures details for inclusion in an Exception Report.</w:t>
            </w:r>
          </w:p>
          <w:p w14:paraId="7B01B823" w14:textId="77777777" w:rsidR="002A21AE" w:rsidRDefault="002A21AE">
            <w:pPr>
              <w:pStyle w:val="NotesText"/>
              <w:ind w:left="0"/>
            </w:pPr>
          </w:p>
          <w:p w14:paraId="0C02114D" w14:textId="77777777" w:rsidR="002A21AE" w:rsidRDefault="002A21AE">
            <w:pPr>
              <w:pStyle w:val="NotesText"/>
            </w:pPr>
            <w:r>
              <w:rPr>
                <w:rFonts w:cs="Arial"/>
                <w:vanish/>
              </w:rPr>
              <w:t xml:space="preserve">BR_70.12 </w:t>
            </w:r>
            <w:r>
              <w:t>VBECS does not inactivate workload associated with the invalidated test.</w:t>
            </w:r>
          </w:p>
          <w:p w14:paraId="465E70BE" w14:textId="77777777" w:rsidR="002A21AE" w:rsidRDefault="002A21AE">
            <w:pPr>
              <w:pStyle w:val="TableText"/>
              <w:rPr>
                <w:rFonts w:cs="Arial"/>
              </w:rPr>
            </w:pPr>
          </w:p>
          <w:p w14:paraId="30180496" w14:textId="77777777" w:rsidR="002A21AE" w:rsidRDefault="002A21AE">
            <w:pPr>
              <w:pStyle w:val="NotesText"/>
              <w:rPr>
                <w:rFonts w:cs="Arial"/>
              </w:rPr>
            </w:pPr>
            <w:r>
              <w:rPr>
                <w:rFonts w:cs="Arial"/>
              </w:rPr>
              <w:t>Replacement results are entered according to local policy.</w:t>
            </w:r>
          </w:p>
        </w:tc>
      </w:tr>
      <w:tr w:rsidR="002A21AE" w14:paraId="27A8E99D" w14:textId="77777777">
        <w:tc>
          <w:tcPr>
            <w:tcW w:w="3240" w:type="dxa"/>
          </w:tcPr>
          <w:p w14:paraId="2F0278E1" w14:textId="77777777" w:rsidR="002A21AE" w:rsidRDefault="002A21AE">
            <w:pPr>
              <w:pStyle w:val="TableTextNumbers"/>
            </w:pPr>
            <w:r>
              <w:t>Return to Step 1 to edit another unit.</w:t>
            </w:r>
          </w:p>
        </w:tc>
        <w:tc>
          <w:tcPr>
            <w:tcW w:w="6120" w:type="dxa"/>
          </w:tcPr>
          <w:p w14:paraId="0CE42695" w14:textId="77777777" w:rsidR="002A21AE" w:rsidRDefault="002A21AE" w:rsidP="00B100F7">
            <w:pPr>
              <w:pStyle w:val="TableText"/>
            </w:pPr>
          </w:p>
        </w:tc>
      </w:tr>
      <w:tr w:rsidR="002A21AE" w14:paraId="46B325C4" w14:textId="77777777">
        <w:tc>
          <w:tcPr>
            <w:tcW w:w="3240" w:type="dxa"/>
          </w:tcPr>
          <w:p w14:paraId="1616EA74" w14:textId="77777777" w:rsidR="002A21AE" w:rsidRDefault="002A21AE">
            <w:pPr>
              <w:pStyle w:val="TableTextNumbers"/>
            </w:pPr>
            <w:r>
              <w:t xml:space="preserve">Click </w:t>
            </w:r>
            <w:r>
              <w:rPr>
                <w:b/>
              </w:rPr>
              <w:t>OK</w:t>
            </w:r>
            <w:r>
              <w:t xml:space="preserve"> to save.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09" w:author="Blalock, David (Leidos)" w:date="2020-06-15T14:09:00Z" w:original="0."/>
              </w:fldChar>
            </w:r>
          </w:p>
        </w:tc>
        <w:tc>
          <w:tcPr>
            <w:tcW w:w="6120" w:type="dxa"/>
          </w:tcPr>
          <w:p w14:paraId="082D2362" w14:textId="77777777" w:rsidR="002A21AE" w:rsidRDefault="002A21AE">
            <w:pPr>
              <w:pStyle w:val="TableTextBullet"/>
              <w:tabs>
                <w:tab w:val="num" w:pos="360"/>
              </w:tabs>
            </w:pPr>
            <w:r>
              <w:t>Updates and saves the data.</w:t>
            </w:r>
          </w:p>
        </w:tc>
      </w:tr>
    </w:tbl>
    <w:p w14:paraId="61BCAEC3" w14:textId="352D2FCD" w:rsidR="000A3D88" w:rsidRDefault="000A3D88" w:rsidP="000A3D88">
      <w:pPr>
        <w:pStyle w:val="Caption"/>
      </w:pPr>
      <w:bookmarkStart w:id="410" w:name="_Ref126651737"/>
      <w:bookmarkStart w:id="411" w:name="_Toc9434931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92</w:t>
      </w:r>
      <w:r w:rsidR="004E20BD">
        <w:rPr>
          <w:noProof/>
        </w:rPr>
        <w:fldChar w:fldCharType="end"/>
      </w:r>
      <w:bookmarkEnd w:id="410"/>
      <w:r>
        <w:t>: Edit Unit Information</w:t>
      </w:r>
    </w:p>
    <w:p w14:paraId="1E895186" w14:textId="77777777" w:rsidR="000A3D88" w:rsidRDefault="00057948" w:rsidP="000A3D88">
      <w:pPr>
        <w:pStyle w:val="BodyText"/>
      </w:pPr>
      <w:r>
        <w:rPr>
          <w:noProof/>
        </w:rPr>
        <w:drawing>
          <wp:inline distT="0" distB="0" distL="0" distR="0" wp14:anchorId="6B5C281E" wp14:editId="08C0B5AF">
            <wp:extent cx="5939155" cy="3897630"/>
            <wp:effectExtent l="0" t="0" r="4445" b="7620"/>
            <wp:docPr id="180" name="Picture 1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a:extLst>
                        <a:ext uri="{C183D7F6-B498-43B3-948B-1728B52AA6E4}">
                          <adec:decorative xmlns:adec="http://schemas.microsoft.com/office/drawing/2017/decorative" val="1"/>
                        </a:ext>
                      </a:extLst>
                    </pic:cNvPr>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939155" cy="3897630"/>
                    </a:xfrm>
                    <a:prstGeom prst="rect">
                      <a:avLst/>
                    </a:prstGeom>
                    <a:noFill/>
                    <a:ln>
                      <a:noFill/>
                    </a:ln>
                  </pic:spPr>
                </pic:pic>
              </a:graphicData>
            </a:graphic>
          </wp:inline>
        </w:drawing>
      </w:r>
    </w:p>
    <w:p w14:paraId="15093DA0" w14:textId="36314E71" w:rsidR="000A3D88" w:rsidRDefault="000A3D88" w:rsidP="000A3D88">
      <w:pPr>
        <w:pStyle w:val="Caption"/>
      </w:pPr>
      <w:bookmarkStart w:id="412" w:name="_Ref12665191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93</w:t>
      </w:r>
      <w:r w:rsidR="004E20BD">
        <w:rPr>
          <w:noProof/>
        </w:rPr>
        <w:fldChar w:fldCharType="end"/>
      </w:r>
      <w:bookmarkEnd w:id="412"/>
      <w:r>
        <w:t>: Edit Unit Information Invalidate Test</w:t>
      </w:r>
    </w:p>
    <w:p w14:paraId="1E8DE297" w14:textId="77777777" w:rsidR="000A3D88" w:rsidRDefault="00057948" w:rsidP="000A3D88">
      <w:pPr>
        <w:pStyle w:val="BodyText"/>
      </w:pPr>
      <w:r>
        <w:rPr>
          <w:noProof/>
        </w:rPr>
        <w:drawing>
          <wp:inline distT="0" distB="0" distL="0" distR="0" wp14:anchorId="34BF127D" wp14:editId="6406BDDC">
            <wp:extent cx="5939155" cy="3870325"/>
            <wp:effectExtent l="0" t="0" r="4445" b="0"/>
            <wp:docPr id="181" name="Picture 1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a:extLst>
                        <a:ext uri="{C183D7F6-B498-43B3-948B-1728B52AA6E4}">
                          <adec:decorative xmlns:adec="http://schemas.microsoft.com/office/drawing/2017/decorative" val="1"/>
                        </a:ext>
                      </a:extLst>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939155" cy="3870325"/>
                    </a:xfrm>
                    <a:prstGeom prst="rect">
                      <a:avLst/>
                    </a:prstGeom>
                    <a:noFill/>
                    <a:ln>
                      <a:noFill/>
                    </a:ln>
                  </pic:spPr>
                </pic:pic>
              </a:graphicData>
            </a:graphic>
          </wp:inline>
        </w:drawing>
      </w:r>
    </w:p>
    <w:p w14:paraId="443A8EED" w14:textId="77777777" w:rsidR="002A21AE" w:rsidRDefault="002A21AE">
      <w:pPr>
        <w:pStyle w:val="Heading4"/>
      </w:pPr>
      <w:r>
        <w:t>Inactivate a Unit</w:t>
      </w:r>
      <w:bookmarkEnd w:id="411"/>
      <w:r>
        <w:fldChar w:fldCharType="begin"/>
      </w:r>
      <w:r>
        <w:instrText xml:space="preserve"> XE </w:instrText>
      </w:r>
      <w:r w:rsidR="00FA7E65">
        <w:instrText>“</w:instrText>
      </w:r>
      <w:r>
        <w:instrText>Inactivate a Unit</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83F1376" w14:textId="77777777">
        <w:trPr>
          <w:tblHeader/>
        </w:trPr>
        <w:tc>
          <w:tcPr>
            <w:tcW w:w="3240" w:type="dxa"/>
            <w:shd w:val="pct30" w:color="auto" w:fill="FFFFFF"/>
            <w:vAlign w:val="bottom"/>
          </w:tcPr>
          <w:p w14:paraId="1589EC4C" w14:textId="77777777" w:rsidR="002A21AE" w:rsidRDefault="002A21AE">
            <w:pPr>
              <w:pStyle w:val="TableText"/>
              <w:rPr>
                <w:b/>
              </w:rPr>
            </w:pPr>
            <w:r>
              <w:rPr>
                <w:b/>
              </w:rPr>
              <w:t>User Action</w:t>
            </w:r>
          </w:p>
        </w:tc>
        <w:tc>
          <w:tcPr>
            <w:tcW w:w="6120" w:type="dxa"/>
            <w:shd w:val="pct30" w:color="auto" w:fill="FFFFFF"/>
            <w:vAlign w:val="bottom"/>
          </w:tcPr>
          <w:p w14:paraId="673ADD0C" w14:textId="77777777" w:rsidR="002A21AE" w:rsidRDefault="002A21AE">
            <w:pPr>
              <w:pStyle w:val="TableText"/>
              <w:rPr>
                <w:b/>
              </w:rPr>
            </w:pPr>
            <w:r>
              <w:rPr>
                <w:b/>
              </w:rPr>
              <w:t>VBECS</w:t>
            </w:r>
          </w:p>
        </w:tc>
      </w:tr>
      <w:tr w:rsidR="002326F7" w14:paraId="090C2A73" w14:textId="77777777">
        <w:tc>
          <w:tcPr>
            <w:tcW w:w="3240" w:type="dxa"/>
            <w:tcBorders>
              <w:top w:val="single" w:sz="4" w:space="0" w:color="auto"/>
              <w:left w:val="single" w:sz="4" w:space="0" w:color="auto"/>
              <w:bottom w:val="single" w:sz="4" w:space="0" w:color="auto"/>
              <w:right w:val="single" w:sz="4" w:space="0" w:color="auto"/>
            </w:tcBorders>
          </w:tcPr>
          <w:p w14:paraId="06DA8A9C" w14:textId="77777777" w:rsidR="002326F7" w:rsidRDefault="002326F7" w:rsidP="00FA7E65">
            <w:pPr>
              <w:pStyle w:val="TableTextNumbers"/>
            </w:pPr>
            <w:r>
              <w:t xml:space="preserve">Select </w:t>
            </w:r>
            <w:r w:rsidRPr="00D64EFA">
              <w:rPr>
                <w:b/>
              </w:rPr>
              <w:t>Blood Units</w:t>
            </w:r>
            <w:r>
              <w:t xml:space="preserve"> from the main menu. </w:t>
            </w:r>
          </w:p>
          <w:p w14:paraId="09043600" w14:textId="77777777" w:rsidR="002326F7" w:rsidRDefault="002326F7" w:rsidP="002326F7">
            <w:pPr>
              <w:pStyle w:val="TableTextNumbersContinued"/>
            </w:pPr>
          </w:p>
          <w:p w14:paraId="019861BD" w14:textId="77777777" w:rsidR="002326F7" w:rsidRDefault="002326F7" w:rsidP="002326F7">
            <w:pPr>
              <w:pStyle w:val="TableTextNumbersContinued"/>
            </w:pPr>
            <w:r>
              <w:t xml:space="preserve">Select </w:t>
            </w:r>
            <w:r w:rsidRPr="00D64EFA">
              <w:rPr>
                <w:b/>
              </w:rPr>
              <w:t>Edit Unit Information</w:t>
            </w:r>
            <w:r>
              <w:t>.</w:t>
            </w:r>
          </w:p>
        </w:tc>
        <w:tc>
          <w:tcPr>
            <w:tcW w:w="6120" w:type="dxa"/>
            <w:tcBorders>
              <w:top w:val="single" w:sz="4" w:space="0" w:color="auto"/>
              <w:left w:val="single" w:sz="4" w:space="0" w:color="auto"/>
              <w:bottom w:val="single" w:sz="4" w:space="0" w:color="auto"/>
              <w:right w:val="single" w:sz="4" w:space="0" w:color="auto"/>
            </w:tcBorders>
          </w:tcPr>
          <w:p w14:paraId="4DEA4AEE" w14:textId="77777777" w:rsidR="002326F7" w:rsidRDefault="002326F7" w:rsidP="00FA7E65">
            <w:pPr>
              <w:pStyle w:val="TableTextBullet"/>
            </w:pPr>
            <w:r>
              <w:t>Displays options for processing blood units.</w:t>
            </w:r>
          </w:p>
          <w:p w14:paraId="304959F0" w14:textId="77777777" w:rsidR="002326F7" w:rsidRDefault="002326F7" w:rsidP="00FA7E65">
            <w:pPr>
              <w:pStyle w:val="TableTextBullet"/>
            </w:pPr>
            <w:r>
              <w:t>Displays options for selecting and editing a unit.</w:t>
            </w:r>
          </w:p>
        </w:tc>
      </w:tr>
      <w:tr w:rsidR="002326F7" w14:paraId="54BEB6C0" w14:textId="77777777">
        <w:tc>
          <w:tcPr>
            <w:tcW w:w="3240" w:type="dxa"/>
            <w:tcBorders>
              <w:top w:val="single" w:sz="4" w:space="0" w:color="auto"/>
              <w:left w:val="single" w:sz="4" w:space="0" w:color="auto"/>
              <w:bottom w:val="single" w:sz="4" w:space="0" w:color="auto"/>
              <w:right w:val="single" w:sz="4" w:space="0" w:color="auto"/>
            </w:tcBorders>
          </w:tcPr>
          <w:p w14:paraId="32C54496" w14:textId="77777777" w:rsidR="002326F7" w:rsidRDefault="002326F7" w:rsidP="00FA7E65">
            <w:pPr>
              <w:pStyle w:val="TableTextNumbers"/>
            </w:pPr>
            <w:r>
              <w:t>Scan or enter a unit ID and product code. May cancel and select a different unit.</w:t>
            </w:r>
          </w:p>
        </w:tc>
        <w:tc>
          <w:tcPr>
            <w:tcW w:w="6120" w:type="dxa"/>
            <w:tcBorders>
              <w:top w:val="single" w:sz="4" w:space="0" w:color="auto"/>
              <w:left w:val="single" w:sz="4" w:space="0" w:color="auto"/>
              <w:bottom w:val="single" w:sz="4" w:space="0" w:color="auto"/>
              <w:right w:val="single" w:sz="4" w:space="0" w:color="auto"/>
            </w:tcBorders>
          </w:tcPr>
          <w:p w14:paraId="54E4FAEB" w14:textId="77777777" w:rsidR="002326F7" w:rsidRDefault="002326F7" w:rsidP="00FA7E65">
            <w:pPr>
              <w:pStyle w:val="TableTextBullet"/>
            </w:pPr>
            <w:r>
              <w:t>Allows the user to scan or enter a unit ID and product code or select a unit.</w:t>
            </w:r>
          </w:p>
          <w:p w14:paraId="6F7AEDB3" w14:textId="77777777" w:rsidR="002326F7" w:rsidRDefault="002326F7" w:rsidP="00FA7E65">
            <w:pPr>
              <w:pStyle w:val="TableTextBullet"/>
            </w:pPr>
            <w:r>
              <w:t>Displays the editable unit information based on the user‘s security level.</w:t>
            </w:r>
          </w:p>
          <w:p w14:paraId="59FDCE2F" w14:textId="77777777" w:rsidR="00732AEE" w:rsidRDefault="00732AEE" w:rsidP="00732AEE">
            <w:pPr>
              <w:pStyle w:val="TableText"/>
            </w:pPr>
          </w:p>
          <w:p w14:paraId="78DBB91D" w14:textId="46AC992F" w:rsidR="00732AEE" w:rsidRDefault="00732AEE" w:rsidP="00732AEE">
            <w:pPr>
              <w:pStyle w:val="TableText"/>
              <w:rPr>
                <w:b/>
                <w:bCs/>
                <w:szCs w:val="18"/>
              </w:rPr>
            </w:pPr>
            <w:r>
              <w:rPr>
                <w:b/>
                <w:bCs/>
                <w:szCs w:val="18"/>
              </w:rPr>
              <w:t>NOTES</w:t>
            </w:r>
          </w:p>
          <w:p w14:paraId="205977C9" w14:textId="77777777" w:rsidR="00732AEE" w:rsidRDefault="00732AEE" w:rsidP="00732AEE">
            <w:pPr>
              <w:pStyle w:val="NotesText"/>
            </w:pPr>
          </w:p>
          <w:p w14:paraId="23552360" w14:textId="77777777" w:rsidR="002326F7" w:rsidRPr="002326F7" w:rsidRDefault="002326F7" w:rsidP="00732AEE">
            <w:pPr>
              <w:pStyle w:val="NotesText"/>
            </w:pPr>
            <w:r>
              <w:t>VBECS does not allow selection of a unit when</w:t>
            </w:r>
            <w:r w:rsidRPr="002326F7">
              <w:t xml:space="preserve"> </w:t>
            </w:r>
            <w:r>
              <w:t>it:</w:t>
            </w:r>
          </w:p>
          <w:p w14:paraId="143AED0C" w14:textId="77777777" w:rsidR="002326F7" w:rsidRDefault="002326F7" w:rsidP="00732AEE">
            <w:pPr>
              <w:pStyle w:val="NotesTextBullet"/>
            </w:pPr>
            <w:r w:rsidRPr="00B6138E">
              <w:rPr>
                <w:vanish/>
                <w:szCs w:val="18"/>
              </w:rPr>
              <w:t xml:space="preserve">BR_70.03 </w:t>
            </w:r>
            <w:r>
              <w:t>Is currently assigned to a patient.</w:t>
            </w:r>
          </w:p>
          <w:p w14:paraId="33A4B0AA" w14:textId="77777777" w:rsidR="002326F7" w:rsidRDefault="002326F7" w:rsidP="00732AEE">
            <w:pPr>
              <w:pStyle w:val="NotesTextBullet"/>
            </w:pPr>
            <w:r w:rsidRPr="00B6138E">
              <w:rPr>
                <w:vanish/>
                <w:szCs w:val="18"/>
              </w:rPr>
              <w:t xml:space="preserve">BR_70.06 </w:t>
            </w:r>
            <w:r>
              <w:t>Has a final unit status.</w:t>
            </w:r>
          </w:p>
          <w:p w14:paraId="501A324A" w14:textId="77777777" w:rsidR="002326F7" w:rsidRPr="002326F7" w:rsidRDefault="002326F7" w:rsidP="00732AEE">
            <w:pPr>
              <w:pStyle w:val="NotesTextBullet"/>
            </w:pPr>
            <w:r w:rsidRPr="00B6138E">
              <w:rPr>
                <w:vanish/>
                <w:szCs w:val="18"/>
              </w:rPr>
              <w:t xml:space="preserve">BR_70.07 </w:t>
            </w:r>
            <w:r w:rsidR="00BF0467">
              <w:t>Has a previous patient assignmen</w:t>
            </w:r>
            <w:r w:rsidR="00DF36B1">
              <w:t>t record and the user is a Lead</w:t>
            </w:r>
            <w:r w:rsidR="00BF0467">
              <w:t xml:space="preserve"> </w:t>
            </w:r>
            <w:r w:rsidR="00DF36B1">
              <w:t xml:space="preserve">or </w:t>
            </w:r>
            <w:r w:rsidR="00BF0467">
              <w:t>Enhanced Technologist.</w:t>
            </w:r>
            <w:r w:rsidR="002329E3">
              <w:t xml:space="preserve"> </w:t>
            </w:r>
            <w:r w:rsidR="002329E3" w:rsidRPr="002329E3">
              <w:rPr>
                <w:vanish/>
              </w:rPr>
              <w:t>DR 3,012</w:t>
            </w:r>
          </w:p>
          <w:p w14:paraId="18081422" w14:textId="77777777" w:rsidR="002326F7" w:rsidRDefault="002326F7" w:rsidP="00732AEE">
            <w:pPr>
              <w:pStyle w:val="NotesText"/>
            </w:pPr>
          </w:p>
          <w:p w14:paraId="08F90843" w14:textId="77777777" w:rsidR="002326F7" w:rsidRPr="002326F7" w:rsidRDefault="002326F7" w:rsidP="00732AEE">
            <w:pPr>
              <w:pStyle w:val="NotesText"/>
            </w:pPr>
            <w:r>
              <w:t>There is no override. VBECS clears the screen and allows the user to select a new unit.</w:t>
            </w:r>
          </w:p>
        </w:tc>
      </w:tr>
      <w:tr w:rsidR="002A21AE" w14:paraId="2FDDF552" w14:textId="77777777" w:rsidTr="001A459B">
        <w:trPr>
          <w:cantSplit/>
        </w:trPr>
        <w:tc>
          <w:tcPr>
            <w:tcW w:w="3240" w:type="dxa"/>
            <w:tcBorders>
              <w:top w:val="single" w:sz="4" w:space="0" w:color="auto"/>
              <w:left w:val="single" w:sz="4" w:space="0" w:color="auto"/>
              <w:bottom w:val="single" w:sz="4" w:space="0" w:color="auto"/>
              <w:right w:val="single" w:sz="4" w:space="0" w:color="auto"/>
            </w:tcBorders>
          </w:tcPr>
          <w:p w14:paraId="3375B75F" w14:textId="77777777" w:rsidR="002A21AE" w:rsidRDefault="002A21AE">
            <w:pPr>
              <w:pStyle w:val="TableTextNumbers"/>
            </w:pPr>
            <w:r>
              <w:lastRenderedPageBreak/>
              <w:t xml:space="preserve">Click </w:t>
            </w:r>
            <w:r>
              <w:rPr>
                <w:b/>
              </w:rPr>
              <w:t xml:space="preserve">Inactivate Unit, </w:t>
            </w:r>
            <w:r>
              <w:t>as desired.</w:t>
            </w:r>
          </w:p>
        </w:tc>
        <w:tc>
          <w:tcPr>
            <w:tcW w:w="6120" w:type="dxa"/>
            <w:tcBorders>
              <w:top w:val="single" w:sz="4" w:space="0" w:color="auto"/>
              <w:left w:val="single" w:sz="4" w:space="0" w:color="auto"/>
              <w:bottom w:val="single" w:sz="4" w:space="0" w:color="auto"/>
              <w:right w:val="single" w:sz="4" w:space="0" w:color="auto"/>
            </w:tcBorders>
          </w:tcPr>
          <w:p w14:paraId="46088643" w14:textId="77777777" w:rsidR="00D64EFA" w:rsidRDefault="00D64EFA">
            <w:pPr>
              <w:pStyle w:val="TableTextBullet"/>
            </w:pPr>
            <w:r>
              <w:t>Displays fields to add or inactivate unit information and an option to inactivate a unit, based on the condition of the unit and the user’s security level.</w:t>
            </w:r>
          </w:p>
          <w:p w14:paraId="50138E82" w14:textId="77777777" w:rsidR="002A21AE" w:rsidRDefault="002A21AE">
            <w:pPr>
              <w:pStyle w:val="TableTextBullet"/>
            </w:pPr>
            <w:r>
              <w:t>Displays unit data.</w:t>
            </w:r>
          </w:p>
          <w:p w14:paraId="194EE6B9" w14:textId="77777777" w:rsidR="002A21AE" w:rsidRDefault="002A21AE">
            <w:pPr>
              <w:pStyle w:val="TableTextBullet"/>
            </w:pPr>
            <w:r>
              <w:t>Requires a comment to process the unit inactivation.</w:t>
            </w:r>
          </w:p>
          <w:p w14:paraId="02F6045A" w14:textId="77777777" w:rsidR="002A21AE" w:rsidRDefault="002A21AE">
            <w:pPr>
              <w:pStyle w:val="TableText"/>
            </w:pPr>
          </w:p>
          <w:p w14:paraId="3311AC90" w14:textId="667D75F1" w:rsidR="002A21AE" w:rsidRDefault="002A21AE">
            <w:pPr>
              <w:pStyle w:val="TableText"/>
              <w:rPr>
                <w:b/>
                <w:bCs/>
                <w:szCs w:val="18"/>
              </w:rPr>
            </w:pPr>
            <w:r>
              <w:rPr>
                <w:b/>
                <w:bCs/>
                <w:szCs w:val="18"/>
              </w:rPr>
              <w:t>NOTES</w:t>
            </w:r>
          </w:p>
          <w:p w14:paraId="4815EF2D" w14:textId="77777777" w:rsidR="002A21AE" w:rsidRDefault="002A21AE">
            <w:pPr>
              <w:pStyle w:val="NotesText"/>
            </w:pPr>
          </w:p>
          <w:p w14:paraId="0C855A2E" w14:textId="77777777" w:rsidR="002A21AE" w:rsidRDefault="002A21AE">
            <w:pPr>
              <w:pStyle w:val="NotesText"/>
            </w:pPr>
            <w:r>
              <w:rPr>
                <w:rFonts w:cs="Arial"/>
                <w:vanish/>
              </w:rPr>
              <w:t xml:space="preserve">BR_12.03 </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Traditional Supervisor attempts to </w:t>
            </w:r>
            <w:r w:rsidR="00932948">
              <w:t>inactivate</w:t>
            </w:r>
            <w:r>
              <w:t xml:space="preserve"> a unit’s record, VBECS warns the user.</w:t>
            </w:r>
            <w:r w:rsidR="000A70BE">
              <w:t xml:space="preserve"> A blood unit’s record cannot be destroyed or removed from the database for any reason. The system displays a warning message with no override to all users: “Inactivated unit records cannot be destroyed.”</w:t>
            </w:r>
          </w:p>
          <w:p w14:paraId="72E15F77" w14:textId="77777777" w:rsidR="003E636E" w:rsidRDefault="003E636E">
            <w:pPr>
              <w:pStyle w:val="NotesText"/>
              <w:rPr>
                <w:rFonts w:cs="Arial"/>
                <w:vanish/>
              </w:rPr>
            </w:pPr>
          </w:p>
          <w:p w14:paraId="4B184061" w14:textId="77777777" w:rsidR="002A21AE" w:rsidRDefault="00A74496">
            <w:pPr>
              <w:pStyle w:val="NotesText"/>
            </w:pPr>
            <w:r w:rsidRPr="00A74496">
              <w:rPr>
                <w:rFonts w:cs="Arial"/>
                <w:vanish/>
                <w:szCs w:val="18"/>
              </w:rPr>
              <w:t xml:space="preserve">BR_12.05 </w:t>
            </w:r>
            <w:r w:rsidR="00CE16C3" w:rsidRPr="00200B6D">
              <w:t>An inactiv</w:t>
            </w:r>
            <w:r w:rsidR="00234375" w:rsidRPr="00200B6D">
              <w:t>at</w:t>
            </w:r>
            <w:r w:rsidR="00CE16C3" w:rsidRPr="00200B6D">
              <w:t>e</w:t>
            </w:r>
            <w:r w:rsidR="00234375" w:rsidRPr="00200B6D">
              <w:t>d</w:t>
            </w:r>
            <w:r w:rsidRPr="00200B6D">
              <w:t xml:space="preserve"> unit is no</w:t>
            </w:r>
            <w:r w:rsidR="00CE16C3" w:rsidRPr="00200B6D">
              <w:t>t</w:t>
            </w:r>
            <w:r w:rsidRPr="00200B6D">
              <w:t xml:space="preserve"> </w:t>
            </w:r>
            <w:r>
              <w:t xml:space="preserve">accessible. The record </w:t>
            </w:r>
            <w:r w:rsidR="000A6572">
              <w:t>is available</w:t>
            </w:r>
            <w:r w:rsidR="00660511">
              <w:t xml:space="preserve"> in</w:t>
            </w:r>
            <w:r>
              <w:t xml:space="preserve"> the </w:t>
            </w:r>
            <w:r w:rsidR="00CE16C3">
              <w:t>A</w:t>
            </w:r>
            <w:r>
              <w:t xml:space="preserve">udit </w:t>
            </w:r>
            <w:r w:rsidR="00234375">
              <w:t xml:space="preserve">Trail </w:t>
            </w:r>
            <w:r w:rsidR="003E636E">
              <w:t xml:space="preserve">and Unit History </w:t>
            </w:r>
            <w:r w:rsidR="00CE16C3">
              <w:t>R</w:t>
            </w:r>
            <w:r>
              <w:t>eport</w:t>
            </w:r>
            <w:r w:rsidR="003E636E">
              <w:t>s</w:t>
            </w:r>
            <w:r>
              <w:t xml:space="preserve"> and </w:t>
            </w:r>
            <w:r w:rsidR="00660511">
              <w:t>in</w:t>
            </w:r>
            <w:r>
              <w:t xml:space="preserve"> division statistical and informational </w:t>
            </w:r>
            <w:r w:rsidR="00A10483">
              <w:t>reports. When</w:t>
            </w:r>
            <w:r w:rsidR="002A21AE">
              <w:t xml:space="preserve"> VBECS inactivates a unit, it also inactivates costs previously associated with that unit.</w:t>
            </w:r>
          </w:p>
          <w:p w14:paraId="7C6AB5A8" w14:textId="77777777" w:rsidR="002A21AE" w:rsidRDefault="002A21AE">
            <w:pPr>
              <w:pStyle w:val="NotesText"/>
            </w:pPr>
          </w:p>
          <w:p w14:paraId="24C7E7DE" w14:textId="77777777" w:rsidR="002A21AE" w:rsidRDefault="002A21AE">
            <w:pPr>
              <w:pStyle w:val="NotesText"/>
            </w:pPr>
            <w:r>
              <w:rPr>
                <w:rFonts w:cs="Arial"/>
                <w:vanish/>
              </w:rPr>
              <w:t xml:space="preserve">BR_70.11 </w:t>
            </w:r>
            <w:r>
              <w:t xml:space="preserve">The user may </w:t>
            </w:r>
            <w:r w:rsidR="002326F7">
              <w:rPr>
                <w:rFonts w:cs="Arial"/>
                <w:szCs w:val="18"/>
              </w:rPr>
              <w:t>i</w:t>
            </w:r>
            <w:r>
              <w:rPr>
                <w:rFonts w:cs="Arial"/>
                <w:szCs w:val="18"/>
              </w:rPr>
              <w:t>nactivate the</w:t>
            </w:r>
            <w:r>
              <w:t xml:space="preserve"> unit with prior but no current patient </w:t>
            </w:r>
            <w:r w:rsidR="00D43534">
              <w:t>assignments</w:t>
            </w:r>
            <w:r>
              <w:t xml:space="preserve">. VBECS requires a comment to explain the inactivation. </w:t>
            </w:r>
          </w:p>
          <w:p w14:paraId="2416F09D" w14:textId="77777777" w:rsidR="002326F7" w:rsidRDefault="002326F7">
            <w:pPr>
              <w:pStyle w:val="NotesText"/>
            </w:pPr>
          </w:p>
          <w:p w14:paraId="1F197D05" w14:textId="77777777" w:rsidR="002326F7" w:rsidRDefault="002326F7" w:rsidP="002326F7">
            <w:pPr>
              <w:pStyle w:val="NotesText"/>
            </w:pPr>
            <w:r>
              <w:t>Unit inactivation appears on the Audit Trail Report.</w:t>
            </w:r>
          </w:p>
        </w:tc>
      </w:tr>
      <w:tr w:rsidR="002A21AE" w14:paraId="6AD63F1A" w14:textId="77777777">
        <w:tc>
          <w:tcPr>
            <w:tcW w:w="3240" w:type="dxa"/>
            <w:tcBorders>
              <w:top w:val="single" w:sz="4" w:space="0" w:color="auto"/>
              <w:left w:val="single" w:sz="4" w:space="0" w:color="auto"/>
              <w:bottom w:val="single" w:sz="4" w:space="0" w:color="auto"/>
              <w:right w:val="single" w:sz="4" w:space="0" w:color="auto"/>
            </w:tcBorders>
          </w:tcPr>
          <w:p w14:paraId="71190FB8" w14:textId="77777777" w:rsidR="002A21AE" w:rsidRDefault="002A21AE">
            <w:pPr>
              <w:pStyle w:val="TableTextNumbers"/>
            </w:pPr>
            <w:r>
              <w:t>Enter a comment.</w:t>
            </w:r>
          </w:p>
          <w:p w14:paraId="697D0A3D" w14:textId="77777777" w:rsidR="002A21AE" w:rsidRDefault="002A21AE">
            <w:pPr>
              <w:pStyle w:val="TableTextNumbersContinued"/>
            </w:pPr>
          </w:p>
          <w:p w14:paraId="7CFEC4DC" w14:textId="77777777" w:rsidR="002A21AE" w:rsidRDefault="002A21AE">
            <w:pPr>
              <w:pStyle w:val="TableTextNumbersContinued"/>
            </w:pPr>
            <w:r>
              <w:t xml:space="preserve">Click </w:t>
            </w:r>
            <w:r>
              <w:rPr>
                <w:b/>
              </w:rPr>
              <w:t>OK</w:t>
            </w:r>
            <w:r>
              <w:t xml:space="preserve"> to save. </w:t>
            </w:r>
            <w:r w:rsidR="00F41673">
              <w:rPr>
                <w:vanish/>
                <w:color w:val="FFFFFF"/>
                <w:szCs w:val="18"/>
              </w:rPr>
              <w:fldChar w:fldCharType="begin"/>
            </w:r>
            <w:r w:rsidR="00F41673">
              <w:rPr>
                <w:vanish/>
                <w:color w:val="FFFFFF"/>
                <w:szCs w:val="18"/>
              </w:rPr>
              <w:instrText xml:space="preserve"> LISTNUM \l 1 \s 0 </w:instrText>
            </w:r>
            <w:r w:rsidR="00F41673">
              <w:rPr>
                <w:vanish/>
                <w:color w:val="FFFFFF"/>
                <w:szCs w:val="18"/>
              </w:rPr>
              <w:fldChar w:fldCharType="end">
                <w:numberingChange w:id="413"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54D3320B" w14:textId="77777777" w:rsidR="002A21AE" w:rsidRDefault="002A21AE">
            <w:pPr>
              <w:pStyle w:val="TableTextBullet"/>
            </w:pPr>
            <w:r>
              <w:t>Marks the selected unit record “inactive.”</w:t>
            </w:r>
          </w:p>
          <w:p w14:paraId="4533AF3B" w14:textId="77777777" w:rsidR="002A21AE" w:rsidRPr="00AE73C3" w:rsidRDefault="002A21AE" w:rsidP="00AE73C3">
            <w:pPr>
              <w:pStyle w:val="TableTextBullet"/>
            </w:pPr>
            <w:r>
              <w:t>Saves the record.</w:t>
            </w:r>
            <w:r w:rsidR="004840A0">
              <w:t xml:space="preserve"> </w:t>
            </w:r>
          </w:p>
        </w:tc>
      </w:tr>
    </w:tbl>
    <w:p w14:paraId="383FAC07" w14:textId="77777777" w:rsidR="002A21AE" w:rsidRDefault="002A21AE">
      <w:pPr>
        <w:pStyle w:val="Heading3"/>
      </w:pPr>
      <w:bookmarkStart w:id="414" w:name="_Toc47516729"/>
      <w:r>
        <w:t>Edit Financial Data</w:t>
      </w:r>
      <w:bookmarkEnd w:id="414"/>
      <w:r w:rsidRPr="007716F7">
        <w:rPr>
          <w:vanish/>
        </w:rPr>
        <w:fldChar w:fldCharType="begin"/>
      </w:r>
      <w:r w:rsidRPr="007716F7">
        <w:rPr>
          <w:vanish/>
        </w:rPr>
        <w:instrText xml:space="preserve"> XE </w:instrText>
      </w:r>
      <w:r w:rsidR="00FA7E65" w:rsidRPr="007716F7">
        <w:rPr>
          <w:vanish/>
        </w:rPr>
        <w:instrText>“</w:instrText>
      </w:r>
      <w:r w:rsidRPr="007716F7">
        <w:rPr>
          <w:vanish/>
        </w:rPr>
        <w:instrText>Edit Financial Data</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UC_14</w:t>
      </w:r>
    </w:p>
    <w:p w14:paraId="7DB74B73" w14:textId="77777777" w:rsidR="002A21AE" w:rsidRDefault="002A21AE" w:rsidP="00FA7E65">
      <w:pPr>
        <w:pStyle w:val="BodyText"/>
      </w:pPr>
      <w:r>
        <w:t>The user enters and/or edits charges associated with a unit after it is logged into inventory.</w:t>
      </w:r>
    </w:p>
    <w:p w14:paraId="7BD682D8" w14:textId="77777777" w:rsidR="002A21AE" w:rsidRDefault="002A21AE">
      <w:pPr>
        <w:pStyle w:val="Heading4"/>
      </w:pPr>
      <w:r>
        <w:t>Assumptions</w:t>
      </w:r>
      <w:r>
        <w:rPr>
          <w:b w:val="0"/>
        </w:rPr>
        <w:t xml:space="preserve"> </w:t>
      </w:r>
    </w:p>
    <w:p w14:paraId="6F669346" w14:textId="77777777" w:rsidR="002A21AE" w:rsidRDefault="002A21AE">
      <w:pPr>
        <w:pStyle w:val="ListBullet"/>
      </w:pPr>
      <w:r>
        <w:t>The user is logged into the division containing the unit to be edited.</w:t>
      </w:r>
    </w:p>
    <w:p w14:paraId="4D2CD98B" w14:textId="77777777" w:rsidR="002A21AE" w:rsidRDefault="002A21AE">
      <w:pPr>
        <w:pStyle w:val="Heading4"/>
      </w:pPr>
      <w:r>
        <w:t>Outcome</w:t>
      </w:r>
    </w:p>
    <w:p w14:paraId="4CA27FBD" w14:textId="77777777" w:rsidR="002A21AE" w:rsidRDefault="002A21AE">
      <w:pPr>
        <w:pStyle w:val="ListBullet"/>
      </w:pPr>
      <w:r>
        <w:t>Unit billing information was changed.</w:t>
      </w:r>
    </w:p>
    <w:p w14:paraId="110B5220" w14:textId="77777777" w:rsidR="002A21AE" w:rsidRDefault="002A21AE">
      <w:pPr>
        <w:pStyle w:val="Heading4"/>
        <w:rPr>
          <w:b w:val="0"/>
        </w:rPr>
      </w:pPr>
      <w:r>
        <w:t>Limitations and Restrictions</w:t>
      </w:r>
      <w:r>
        <w:rPr>
          <w:b w:val="0"/>
        </w:rPr>
        <w:t xml:space="preserve"> </w:t>
      </w:r>
    </w:p>
    <w:p w14:paraId="7A5A4EA4" w14:textId="19A55CDF" w:rsidR="002A21AE" w:rsidRPr="00657C98" w:rsidRDefault="00D4567F">
      <w:pPr>
        <w:pStyle w:val="ListBullet"/>
      </w:pPr>
      <w:r>
        <w:t>When a Technologist enters a unit ID and product code for a unit that is not in final status, VBECS does not enable the Special Test Cost field. An Enhanced Technologist or higher access can change the Special Test Cost field in the Edit Financial Data option.</w:t>
      </w:r>
      <w:r w:rsidR="00F8698E">
        <w:t xml:space="preserve"> </w:t>
      </w:r>
      <w:r w:rsidR="00F8698E" w:rsidRPr="00F8698E">
        <w:rPr>
          <w:vanish/>
        </w:rPr>
        <w:t>DR 5012</w:t>
      </w:r>
    </w:p>
    <w:p w14:paraId="77E8A90E" w14:textId="7FE41951" w:rsidR="00657C98" w:rsidRDefault="00657C98">
      <w:pPr>
        <w:pStyle w:val="ListBullet"/>
      </w:pPr>
      <w:r>
        <w:t xml:space="preserve">Cost entry is capped at 999.99. </w:t>
      </w:r>
      <w:r w:rsidRPr="00D141A2">
        <w:rPr>
          <w:vanish/>
        </w:rPr>
        <w:t xml:space="preserve">Defect </w:t>
      </w:r>
      <w:r w:rsidR="00D141A2" w:rsidRPr="00D141A2">
        <w:rPr>
          <w:vanish/>
        </w:rPr>
        <w:t>942523</w:t>
      </w:r>
    </w:p>
    <w:p w14:paraId="7587F28B" w14:textId="77777777" w:rsidR="002A21AE" w:rsidRDefault="002A21AE">
      <w:pPr>
        <w:pStyle w:val="Heading4"/>
      </w:pPr>
      <w:r>
        <w:t xml:space="preserve">Additional Information </w:t>
      </w:r>
    </w:p>
    <w:p w14:paraId="7B70C032" w14:textId="77777777" w:rsidR="002A21AE" w:rsidRDefault="002A21AE">
      <w:pPr>
        <w:pStyle w:val="ListBullet"/>
      </w:pPr>
      <w:r>
        <w:t>None</w:t>
      </w:r>
    </w:p>
    <w:p w14:paraId="2F8A2830" w14:textId="77777777" w:rsidR="002A21AE" w:rsidRDefault="002A21AE">
      <w:pPr>
        <w:pStyle w:val="Heading4"/>
        <w:rPr>
          <w:b w:val="0"/>
        </w:rPr>
      </w:pPr>
      <w:r>
        <w:t>User Roles with Access to This Option</w:t>
      </w:r>
      <w:r>
        <w:rPr>
          <w:b w:val="0"/>
        </w:rPr>
        <w:t xml:space="preserve"> </w:t>
      </w:r>
    </w:p>
    <w:p w14:paraId="6234942D" w14:textId="77777777" w:rsidR="00E01A40" w:rsidRDefault="00E01A40" w:rsidP="00E01A40">
      <w:pPr>
        <w:pStyle w:val="Roles"/>
        <w:rPr>
          <w:snapToGrid w:val="0"/>
        </w:rPr>
      </w:pPr>
      <w:r>
        <w:t>All users</w:t>
      </w:r>
      <w:r>
        <w:rPr>
          <w:snapToGrid w:val="0"/>
        </w:rPr>
        <w:t xml:space="preserve"> </w:t>
      </w:r>
    </w:p>
    <w:p w14:paraId="16255AEA" w14:textId="77777777" w:rsidR="002A21AE" w:rsidRDefault="00F8698E">
      <w:pPr>
        <w:pStyle w:val="Heading4"/>
      </w:pPr>
      <w:r>
        <w:br w:type="page"/>
      </w:r>
      <w:r w:rsidR="002A21AE">
        <w:lastRenderedPageBreak/>
        <w:t>Edit Financial Data</w:t>
      </w:r>
    </w:p>
    <w:p w14:paraId="321D914F" w14:textId="77777777" w:rsidR="002A21AE" w:rsidRDefault="002A21AE" w:rsidP="00FA7E65">
      <w:pPr>
        <w:pStyle w:val="BodyText"/>
      </w:pPr>
      <w:r>
        <w:t xml:space="preserve">The user adds and/or edits a unit charge. The user confirms the unit selection, enters the dollar amount of the charge, and reviews and accepts the charge entered.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A3D949C" w14:textId="77777777">
        <w:trPr>
          <w:cantSplit/>
          <w:tblHeader/>
        </w:trPr>
        <w:tc>
          <w:tcPr>
            <w:tcW w:w="3240" w:type="dxa"/>
            <w:shd w:val="pct30" w:color="auto" w:fill="FFFFFF"/>
            <w:vAlign w:val="bottom"/>
          </w:tcPr>
          <w:p w14:paraId="335C566C" w14:textId="77777777" w:rsidR="002A21AE" w:rsidRDefault="002A21AE">
            <w:pPr>
              <w:pStyle w:val="TableText"/>
              <w:rPr>
                <w:b/>
              </w:rPr>
            </w:pPr>
            <w:r>
              <w:rPr>
                <w:b/>
              </w:rPr>
              <w:t>User Action</w:t>
            </w:r>
          </w:p>
        </w:tc>
        <w:tc>
          <w:tcPr>
            <w:tcW w:w="6120" w:type="dxa"/>
            <w:shd w:val="pct30" w:color="auto" w:fill="FFFFFF"/>
            <w:vAlign w:val="bottom"/>
          </w:tcPr>
          <w:p w14:paraId="786C3516" w14:textId="77777777" w:rsidR="002A21AE" w:rsidRDefault="002A21AE">
            <w:pPr>
              <w:pStyle w:val="TableText"/>
              <w:rPr>
                <w:b/>
              </w:rPr>
            </w:pPr>
            <w:r>
              <w:rPr>
                <w:b/>
              </w:rPr>
              <w:t>VBECS</w:t>
            </w:r>
          </w:p>
        </w:tc>
      </w:tr>
      <w:tr w:rsidR="002A21AE" w14:paraId="6B5B473B" w14:textId="77777777">
        <w:tc>
          <w:tcPr>
            <w:tcW w:w="3240" w:type="dxa"/>
          </w:tcPr>
          <w:p w14:paraId="577B1C2E" w14:textId="77777777" w:rsidR="002A21AE" w:rsidRDefault="002A21AE">
            <w:pPr>
              <w:pStyle w:val="TableTextNumbers"/>
            </w:pPr>
            <w:r>
              <w:t xml:space="preserve">Select </w:t>
            </w:r>
            <w:r>
              <w:rPr>
                <w:b/>
              </w:rPr>
              <w:t>Blood Units</w:t>
            </w:r>
            <w:r>
              <w:t xml:space="preserve"> from the main menu. </w:t>
            </w:r>
          </w:p>
          <w:p w14:paraId="28F5060D" w14:textId="77777777" w:rsidR="002A21AE" w:rsidRDefault="002A21AE">
            <w:pPr>
              <w:pStyle w:val="TableTextNumbersContinued"/>
            </w:pPr>
          </w:p>
          <w:p w14:paraId="5AF5E56E" w14:textId="77777777" w:rsidR="002A21AE" w:rsidRDefault="002A21AE">
            <w:pPr>
              <w:pStyle w:val="TableTextNumbersContinued"/>
            </w:pPr>
            <w:r>
              <w:t xml:space="preserve">Select </w:t>
            </w:r>
            <w:r>
              <w:rPr>
                <w:b/>
                <w:bCs/>
              </w:rPr>
              <w:t>Edit Financial Data</w:t>
            </w:r>
            <w:r>
              <w:t>.</w:t>
            </w:r>
          </w:p>
        </w:tc>
        <w:tc>
          <w:tcPr>
            <w:tcW w:w="6120" w:type="dxa"/>
          </w:tcPr>
          <w:p w14:paraId="266F9C75" w14:textId="77777777" w:rsidR="002A21AE" w:rsidRDefault="002A21AE">
            <w:pPr>
              <w:pStyle w:val="TableTextBullet"/>
            </w:pPr>
            <w:r>
              <w:t>Displays options for processing blood units.</w:t>
            </w:r>
          </w:p>
          <w:p w14:paraId="22D1F2C5" w14:textId="77777777" w:rsidR="002A21AE" w:rsidRDefault="002A21AE">
            <w:pPr>
              <w:pStyle w:val="TableTextBullet"/>
            </w:pPr>
            <w:r>
              <w:t>Displays fields for selecting a unit and editing its financial data.</w:t>
            </w:r>
          </w:p>
        </w:tc>
      </w:tr>
      <w:tr w:rsidR="002A21AE" w14:paraId="4164B49F" w14:textId="77777777">
        <w:trPr>
          <w:tblHeader/>
        </w:trPr>
        <w:tc>
          <w:tcPr>
            <w:tcW w:w="3240" w:type="dxa"/>
          </w:tcPr>
          <w:p w14:paraId="27C89035" w14:textId="77777777" w:rsidR="002A21AE" w:rsidRDefault="002A21AE">
            <w:pPr>
              <w:pStyle w:val="TableTextNumbers"/>
            </w:pPr>
            <w:r>
              <w:t xml:space="preserve">Scan or enter a unit ID or product code, or click the </w:t>
            </w:r>
            <w:r w:rsidR="00A6373D">
              <w:rPr>
                <w:b/>
              </w:rPr>
              <w:t>find</w:t>
            </w:r>
            <w:r>
              <w:rPr>
                <w:b/>
              </w:rPr>
              <w:t xml:space="preserve"> </w:t>
            </w:r>
            <w:r w:rsidRPr="00D1100E">
              <w:t>button</w:t>
            </w:r>
            <w:r>
              <w:t xml:space="preserve"> to select a unit from the drop-down list.</w:t>
            </w:r>
          </w:p>
        </w:tc>
        <w:tc>
          <w:tcPr>
            <w:tcW w:w="6120" w:type="dxa"/>
          </w:tcPr>
          <w:p w14:paraId="5450F8C6" w14:textId="77777777" w:rsidR="002A21AE" w:rsidRDefault="002A21AE">
            <w:pPr>
              <w:pStyle w:val="TableTextBullet"/>
            </w:pPr>
            <w:r>
              <w:t>Displays unit data.</w:t>
            </w:r>
          </w:p>
        </w:tc>
      </w:tr>
      <w:tr w:rsidR="002A21AE" w14:paraId="6F86B85D" w14:textId="77777777">
        <w:tc>
          <w:tcPr>
            <w:tcW w:w="3240" w:type="dxa"/>
          </w:tcPr>
          <w:p w14:paraId="4F7218CB" w14:textId="07305323" w:rsidR="002A21AE" w:rsidRDefault="002A21AE">
            <w:pPr>
              <w:pStyle w:val="TableTextNumbers"/>
            </w:pPr>
            <w:r>
              <w:t>Edit the Base Cost, Special Test Cost, and/or Return Credit fields</w:t>
            </w:r>
            <w:r w:rsidR="009A7383">
              <w:t xml:space="preserve"> (</w:t>
            </w:r>
            <w:r w:rsidR="009A7383">
              <w:fldChar w:fldCharType="begin"/>
            </w:r>
            <w:r w:rsidR="009A7383">
              <w:instrText xml:space="preserve"> REF _Ref126652778 \h </w:instrText>
            </w:r>
            <w:r w:rsidR="009A7383">
              <w:fldChar w:fldCharType="separate"/>
            </w:r>
            <w:r w:rsidR="004353ED">
              <w:t xml:space="preserve">Figure </w:t>
            </w:r>
            <w:r w:rsidR="004353ED">
              <w:rPr>
                <w:noProof/>
              </w:rPr>
              <w:t>94</w:t>
            </w:r>
            <w:r w:rsidR="009A7383">
              <w:fldChar w:fldCharType="end"/>
            </w:r>
            <w:r w:rsidR="009A7383">
              <w:t>)</w:t>
            </w:r>
            <w:r>
              <w:t>.</w:t>
            </w:r>
          </w:p>
        </w:tc>
        <w:tc>
          <w:tcPr>
            <w:tcW w:w="6120" w:type="dxa"/>
          </w:tcPr>
          <w:p w14:paraId="672E0633" w14:textId="77777777" w:rsidR="002A21AE" w:rsidRDefault="002A21AE">
            <w:pPr>
              <w:pStyle w:val="TableTextBullet"/>
            </w:pPr>
            <w:r>
              <w:t>Allows the user to edit the fields in the Financial Information area.</w:t>
            </w:r>
          </w:p>
          <w:p w14:paraId="6BB0C64A" w14:textId="77777777" w:rsidR="002A21AE" w:rsidRDefault="002A21AE">
            <w:pPr>
              <w:pStyle w:val="TableTextBullet"/>
            </w:pPr>
            <w:r>
              <w:t>Displays the edited data.</w:t>
            </w:r>
          </w:p>
          <w:p w14:paraId="77B3F712" w14:textId="77777777" w:rsidR="002A21AE" w:rsidRDefault="002A21AE">
            <w:pPr>
              <w:pStyle w:val="TableText"/>
            </w:pPr>
          </w:p>
          <w:p w14:paraId="4E1A66D9" w14:textId="76227E88" w:rsidR="002A21AE" w:rsidRDefault="002A21AE">
            <w:pPr>
              <w:pStyle w:val="TableText"/>
              <w:rPr>
                <w:b/>
                <w:bCs/>
                <w:szCs w:val="18"/>
              </w:rPr>
            </w:pPr>
            <w:r>
              <w:rPr>
                <w:b/>
                <w:bCs/>
                <w:szCs w:val="18"/>
              </w:rPr>
              <w:t>NOTES</w:t>
            </w:r>
          </w:p>
          <w:p w14:paraId="65E86FAB" w14:textId="77777777" w:rsidR="002A21AE" w:rsidRDefault="002A21AE">
            <w:pPr>
              <w:pStyle w:val="NotesText"/>
            </w:pPr>
          </w:p>
          <w:p w14:paraId="2110CEFC" w14:textId="77777777" w:rsidR="002A21AE" w:rsidRDefault="002A21AE">
            <w:pPr>
              <w:pStyle w:val="NotesText"/>
            </w:pPr>
            <w:r w:rsidRPr="00EC7489">
              <w:rPr>
                <w:rFonts w:ascii="Wingdings 3" w:hAnsi="Wingdings 3" w:cs="Wingdings"/>
              </w:rPr>
              <w:t></w:t>
            </w:r>
            <w:r w:rsidRPr="00EC7489">
              <w:rPr>
                <w:rFonts w:ascii="Wingdings 3" w:hAnsi="Wingdings 3" w:cs="Wingdings"/>
              </w:rPr>
              <w:t></w:t>
            </w:r>
            <w:r>
              <w:t xml:space="preserve"> The Enhanced Technologist may edit existing amounts.</w:t>
            </w:r>
          </w:p>
          <w:p w14:paraId="1CE1678D" w14:textId="77777777" w:rsidR="002A21AE" w:rsidRDefault="002A21AE">
            <w:pPr>
              <w:pStyle w:val="NotesText"/>
            </w:pPr>
          </w:p>
          <w:p w14:paraId="0E4E4313" w14:textId="77777777" w:rsidR="002A21AE" w:rsidRDefault="002A21AE">
            <w:pPr>
              <w:pStyle w:val="NotesText"/>
            </w:pPr>
            <w:r>
              <w:rPr>
                <w:rFonts w:cs="Arial"/>
                <w:vanish/>
              </w:rPr>
              <w:t xml:space="preserve">BR_1.46 </w:t>
            </w:r>
            <w:r>
              <w:t xml:space="preserve">VBECS allows the user to enter a single special typing cost (the sum of charges from $1.00 to $999.00, other than the base unit cost, added to a unit by the shipper) to associate with a unit. </w:t>
            </w:r>
          </w:p>
          <w:p w14:paraId="6B6FE1E1" w14:textId="77777777" w:rsidR="002A21AE" w:rsidRDefault="002A21AE">
            <w:pPr>
              <w:pStyle w:val="NotesText"/>
            </w:pPr>
          </w:p>
          <w:p w14:paraId="3E39547F" w14:textId="77777777" w:rsidR="002A21AE" w:rsidRDefault="002A21AE">
            <w:pPr>
              <w:pStyle w:val="NotesText"/>
            </w:pPr>
            <w:r>
              <w:t>When no special typing costs are entered through Incoming Shipment, a user may enter them in this option until the unit is in a final status.</w:t>
            </w:r>
          </w:p>
          <w:p w14:paraId="386B6B5F" w14:textId="77777777" w:rsidR="002A21AE" w:rsidRDefault="002A21AE">
            <w:pPr>
              <w:pStyle w:val="NotesText"/>
            </w:pPr>
          </w:p>
          <w:p w14:paraId="0C02F02F" w14:textId="69DA2C04" w:rsidR="002A21AE" w:rsidRDefault="002A21AE">
            <w:pPr>
              <w:pStyle w:val="NotesText"/>
            </w:pPr>
            <w:r>
              <w:rPr>
                <w:rFonts w:cs="Arial"/>
                <w:vanish/>
              </w:rPr>
              <w:t xml:space="preserve">BR_14.02 </w:t>
            </w:r>
            <w:r w:rsidRPr="00EC7489">
              <w:rPr>
                <w:rFonts w:ascii="Wingdings 3" w:hAnsi="Wingdings 3" w:cs="Wingdings"/>
              </w:rPr>
              <w:t></w:t>
            </w:r>
            <w:r w:rsidRPr="00EC7489">
              <w:rPr>
                <w:rFonts w:ascii="Wingdings 3" w:hAnsi="Wingdings 3" w:cs="Wingdings"/>
              </w:rPr>
              <w:t></w:t>
            </w:r>
            <w:r>
              <w:t xml:space="preserve"> The Enhanced Technologist may </w:t>
            </w:r>
            <w:r w:rsidR="0080720F">
              <w:t>add/</w:t>
            </w:r>
            <w:r>
              <w:t>edit a previously entered unit cost (unit base cost, return credit or special testing cost).</w:t>
            </w:r>
          </w:p>
          <w:p w14:paraId="67C4F84A" w14:textId="77777777" w:rsidR="002A21AE" w:rsidRDefault="002A21AE">
            <w:pPr>
              <w:pStyle w:val="NotesText"/>
            </w:pPr>
          </w:p>
          <w:p w14:paraId="0A761816" w14:textId="77777777" w:rsidR="002A21AE" w:rsidRDefault="002A21AE">
            <w:pPr>
              <w:pStyle w:val="NotesText"/>
            </w:pPr>
            <w:r>
              <w:rPr>
                <w:rFonts w:cs="Arial"/>
                <w:vanish/>
              </w:rPr>
              <w:t xml:space="preserve">BR_14.01 </w:t>
            </w:r>
            <w:r>
              <w:t>VBECS displays a return credit in U.S. currency (defined by the return credit percentage multiplied by the base unit cost for the blood product type in Blood Products). A user may enter a return credit amount only when VBECS assigned the return credit percentage through Outgoing Shipment or Discard or Quarantine. Otherwise, VBECS disables the Return Credit field.</w:t>
            </w:r>
          </w:p>
        </w:tc>
      </w:tr>
      <w:tr w:rsidR="002A21AE" w14:paraId="78384BDF" w14:textId="77777777">
        <w:tc>
          <w:tcPr>
            <w:tcW w:w="3240" w:type="dxa"/>
          </w:tcPr>
          <w:p w14:paraId="1E5BC6B7" w14:textId="77777777" w:rsidR="002A21AE" w:rsidRDefault="002A21AE">
            <w:pPr>
              <w:pStyle w:val="TableTextNumbers"/>
            </w:pPr>
            <w:r>
              <w:t xml:space="preserve">Review the data, click </w:t>
            </w:r>
            <w:r>
              <w:rPr>
                <w:b/>
              </w:rPr>
              <w:t xml:space="preserve">OK </w:t>
            </w:r>
            <w:r>
              <w:t xml:space="preserve">to save, and click </w:t>
            </w:r>
            <w:r>
              <w:rPr>
                <w:b/>
              </w:rPr>
              <w:t>OK</w:t>
            </w:r>
            <w:r>
              <w:t xml:space="preserve"> again to confirm the save.</w:t>
            </w:r>
          </w:p>
        </w:tc>
        <w:tc>
          <w:tcPr>
            <w:tcW w:w="6120" w:type="dxa"/>
          </w:tcPr>
          <w:p w14:paraId="41E328EE" w14:textId="77777777" w:rsidR="002A21AE" w:rsidRDefault="002A21AE">
            <w:pPr>
              <w:pStyle w:val="TableTextBullet"/>
            </w:pPr>
            <w:r>
              <w:t>Requests confirmation to update the database.</w:t>
            </w:r>
          </w:p>
          <w:p w14:paraId="42A6131E" w14:textId="77777777" w:rsidR="002A21AE" w:rsidRDefault="002A21AE">
            <w:pPr>
              <w:pStyle w:val="TableTextBullet"/>
            </w:pPr>
            <w:r>
              <w:t>Saves and updates the unit record.</w:t>
            </w:r>
          </w:p>
        </w:tc>
      </w:tr>
      <w:tr w:rsidR="002A21AE" w14:paraId="1C23E324" w14:textId="77777777">
        <w:tc>
          <w:tcPr>
            <w:tcW w:w="3240" w:type="dxa"/>
          </w:tcPr>
          <w:p w14:paraId="22C3B262" w14:textId="77777777" w:rsidR="002A21AE" w:rsidRDefault="002A21AE">
            <w:pPr>
              <w:pStyle w:val="TableTextNumbers"/>
            </w:pPr>
            <w:r>
              <w:t>Repeat Steps 2–4, as needed, to update additional unit financial data.</w:t>
            </w:r>
          </w:p>
        </w:tc>
        <w:tc>
          <w:tcPr>
            <w:tcW w:w="6120" w:type="dxa"/>
          </w:tcPr>
          <w:p w14:paraId="489F238E" w14:textId="77777777" w:rsidR="002A21AE" w:rsidRDefault="002A21AE">
            <w:pPr>
              <w:pStyle w:val="TableText"/>
            </w:pPr>
          </w:p>
        </w:tc>
      </w:tr>
      <w:tr w:rsidR="002A21AE" w14:paraId="396D6ABA" w14:textId="77777777">
        <w:tc>
          <w:tcPr>
            <w:tcW w:w="3240" w:type="dxa"/>
          </w:tcPr>
          <w:p w14:paraId="27CDACC7" w14:textId="77777777" w:rsidR="002A21AE" w:rsidRDefault="002A21AE">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15" w:author="Blalock, David (Leidos)" w:date="2020-06-15T14:09:00Z" w:original="0."/>
              </w:fldChar>
            </w:r>
          </w:p>
        </w:tc>
        <w:tc>
          <w:tcPr>
            <w:tcW w:w="6120" w:type="dxa"/>
          </w:tcPr>
          <w:p w14:paraId="186A19D3" w14:textId="77777777" w:rsidR="002A21AE" w:rsidRDefault="002A21AE">
            <w:pPr>
              <w:pStyle w:val="TableText"/>
            </w:pPr>
          </w:p>
        </w:tc>
      </w:tr>
    </w:tbl>
    <w:p w14:paraId="35A42874" w14:textId="36EF13F1" w:rsidR="009A7383" w:rsidRDefault="009A7383" w:rsidP="009A7383">
      <w:pPr>
        <w:pStyle w:val="Caption"/>
      </w:pPr>
      <w:bookmarkStart w:id="416" w:name="_Ref126652778"/>
      <w:bookmarkStart w:id="417" w:name="_Toc6368036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94</w:t>
      </w:r>
      <w:r w:rsidR="004E20BD">
        <w:rPr>
          <w:noProof/>
        </w:rPr>
        <w:fldChar w:fldCharType="end"/>
      </w:r>
      <w:bookmarkEnd w:id="416"/>
      <w:r>
        <w:t>: Edit Unit Financial Data</w:t>
      </w:r>
    </w:p>
    <w:p w14:paraId="75B0BD88" w14:textId="77777777" w:rsidR="009A7383" w:rsidRDefault="00057948" w:rsidP="009A7383">
      <w:pPr>
        <w:pStyle w:val="BodyText"/>
      </w:pPr>
      <w:r>
        <w:rPr>
          <w:noProof/>
        </w:rPr>
        <w:drawing>
          <wp:inline distT="0" distB="0" distL="0" distR="0" wp14:anchorId="11B17E45" wp14:editId="71AE7F1B">
            <wp:extent cx="5523230" cy="3879215"/>
            <wp:effectExtent l="0" t="0" r="1270" b="6985"/>
            <wp:docPr id="182" name="Picture 1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a:extLst>
                        <a:ext uri="{C183D7F6-B498-43B3-948B-1728B52AA6E4}">
                          <adec:decorative xmlns:adec="http://schemas.microsoft.com/office/drawing/2017/decorative" val="1"/>
                        </a:ext>
                      </a:extLst>
                    </pic:cNvPr>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523230" cy="3879215"/>
                    </a:xfrm>
                    <a:prstGeom prst="rect">
                      <a:avLst/>
                    </a:prstGeom>
                    <a:noFill/>
                    <a:ln>
                      <a:noFill/>
                    </a:ln>
                  </pic:spPr>
                </pic:pic>
              </a:graphicData>
            </a:graphic>
          </wp:inline>
        </w:drawing>
      </w:r>
    </w:p>
    <w:p w14:paraId="186410FB" w14:textId="77777777" w:rsidR="002A21AE" w:rsidRDefault="002A21AE">
      <w:pPr>
        <w:pStyle w:val="Heading3"/>
      </w:pPr>
      <w:bookmarkStart w:id="418" w:name="_Toc47516730"/>
      <w:r>
        <w:t>Free Directed Unit For Crossover</w:t>
      </w:r>
      <w:bookmarkEnd w:id="418"/>
      <w:r w:rsidRPr="007716F7">
        <w:rPr>
          <w:vanish/>
        </w:rPr>
        <w:fldChar w:fldCharType="begin"/>
      </w:r>
      <w:r w:rsidRPr="007716F7">
        <w:rPr>
          <w:vanish/>
        </w:rPr>
        <w:instrText xml:space="preserve"> XE </w:instrText>
      </w:r>
      <w:r w:rsidR="00FA7E65" w:rsidRPr="007716F7">
        <w:rPr>
          <w:vanish/>
        </w:rPr>
        <w:instrText>“</w:instrText>
      </w:r>
      <w:r w:rsidRPr="007716F7">
        <w:rPr>
          <w:vanish/>
        </w:rPr>
        <w:instrText>Free Directed Unit For Crossover</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UC_71</w:t>
      </w:r>
    </w:p>
    <w:p w14:paraId="51EC295A" w14:textId="77777777" w:rsidR="002A21AE" w:rsidRDefault="002A21AE" w:rsidP="00FA7E65">
      <w:pPr>
        <w:pStyle w:val="BodyText"/>
      </w:pPr>
      <w:r>
        <w:t xml:space="preserve">The user removes a patient restriction </w:t>
      </w:r>
      <w:r w:rsidR="00757A26">
        <w:t>from</w:t>
      </w:r>
      <w:r>
        <w:t xml:space="preserve"> a directed unit that is eligible for crossover, making that unit available for any patient, according to system rules. </w:t>
      </w:r>
    </w:p>
    <w:p w14:paraId="6BFB3610" w14:textId="77777777" w:rsidR="002A21AE" w:rsidRDefault="002A21AE">
      <w:pPr>
        <w:pStyle w:val="Heading4"/>
      </w:pPr>
      <w:r>
        <w:t>Assumptions</w:t>
      </w:r>
      <w:r>
        <w:rPr>
          <w:b w:val="0"/>
        </w:rPr>
        <w:t xml:space="preserve"> </w:t>
      </w:r>
    </w:p>
    <w:p w14:paraId="1F55F1E2" w14:textId="77777777" w:rsidR="00852AC1" w:rsidRDefault="00852AC1">
      <w:pPr>
        <w:pStyle w:val="ListBullet"/>
      </w:pPr>
      <w:r>
        <w:t>The division is “full service.”</w:t>
      </w:r>
    </w:p>
    <w:p w14:paraId="3F2D3E7F" w14:textId="77777777" w:rsidR="002A21AE" w:rsidRDefault="002A21AE">
      <w:pPr>
        <w:pStyle w:val="ListBullet"/>
      </w:pPr>
      <w:r>
        <w:t>The unit and the user are in a blood bank in the same division.</w:t>
      </w:r>
    </w:p>
    <w:p w14:paraId="45C36E58" w14:textId="77777777" w:rsidR="002A21AE" w:rsidRDefault="002A21AE">
      <w:pPr>
        <w:pStyle w:val="ListBullet"/>
      </w:pPr>
      <w:r>
        <w:t>The unit is restricted for a patient.</w:t>
      </w:r>
    </w:p>
    <w:p w14:paraId="756D087F" w14:textId="77777777" w:rsidR="002A21AE" w:rsidRDefault="002A21AE">
      <w:pPr>
        <w:pStyle w:val="ListBullet"/>
      </w:pPr>
      <w:r>
        <w:t xml:space="preserve">The unit is not autologous. </w:t>
      </w:r>
    </w:p>
    <w:p w14:paraId="72EBEADE" w14:textId="77777777" w:rsidR="002A21AE" w:rsidRDefault="002A21AE">
      <w:pPr>
        <w:pStyle w:val="ListBullet"/>
      </w:pPr>
      <w:r>
        <w:t>The unit is not in a final status.</w:t>
      </w:r>
    </w:p>
    <w:p w14:paraId="5F9E34DE" w14:textId="77777777" w:rsidR="002A21AE" w:rsidRDefault="002A21AE">
      <w:pPr>
        <w:pStyle w:val="Heading4"/>
      </w:pPr>
      <w:r>
        <w:t xml:space="preserve">Outcome </w:t>
      </w:r>
    </w:p>
    <w:p w14:paraId="535F09FB" w14:textId="77777777" w:rsidR="002A21AE" w:rsidRDefault="002A21AE">
      <w:pPr>
        <w:pStyle w:val="ListBullet"/>
      </w:pPr>
      <w:r>
        <w:t>The unit has no restrictions.</w:t>
      </w:r>
    </w:p>
    <w:p w14:paraId="000EBA27" w14:textId="77777777" w:rsidR="002A21AE" w:rsidRDefault="002A21AE">
      <w:pPr>
        <w:pStyle w:val="ListBullet"/>
      </w:pPr>
      <w:r>
        <w:t>VBECS documents the restriction and its removal in the unit record.</w:t>
      </w:r>
    </w:p>
    <w:p w14:paraId="50082716" w14:textId="77777777" w:rsidR="002A21AE" w:rsidRDefault="007A4F14">
      <w:pPr>
        <w:pStyle w:val="Heading4"/>
      </w:pPr>
      <w:r>
        <w:br w:type="page"/>
      </w:r>
      <w:r w:rsidR="002A21AE">
        <w:lastRenderedPageBreak/>
        <w:t>Limitations and Restrictions</w:t>
      </w:r>
      <w:r w:rsidR="002A21AE">
        <w:rPr>
          <w:b w:val="0"/>
        </w:rPr>
        <w:t xml:space="preserve"> </w:t>
      </w:r>
    </w:p>
    <w:p w14:paraId="63D04451" w14:textId="77777777" w:rsidR="002A21AE" w:rsidRDefault="002A21AE">
      <w:pPr>
        <w:pStyle w:val="ListBullet"/>
      </w:pPr>
      <w:r>
        <w:t xml:space="preserve">The unit must not be in a final status to release the restriction. </w:t>
      </w:r>
    </w:p>
    <w:p w14:paraId="47D9D049" w14:textId="77777777" w:rsidR="002A21AE" w:rsidRDefault="002A21AE">
      <w:pPr>
        <w:pStyle w:val="ListBullet"/>
      </w:pPr>
      <w:r>
        <w:t>This option does not allow the removal of patient restrictions for most of the ISBT donation types that are eligible for crossover</w:t>
      </w:r>
      <w:r w:rsidR="00651291">
        <w:t>.</w:t>
      </w:r>
    </w:p>
    <w:p w14:paraId="0A1859D6" w14:textId="77777777" w:rsidR="002A21AE" w:rsidRDefault="002A21AE">
      <w:pPr>
        <w:pStyle w:val="ListBullet"/>
      </w:pPr>
      <w:r>
        <w:t>This option cannot process multiple directed units simultaneously.</w:t>
      </w:r>
    </w:p>
    <w:p w14:paraId="633B2DFF" w14:textId="77777777" w:rsidR="002A21AE" w:rsidRDefault="002A21AE">
      <w:pPr>
        <w:pStyle w:val="Heading4"/>
      </w:pPr>
      <w:r>
        <w:t xml:space="preserve">Additional Information </w:t>
      </w:r>
    </w:p>
    <w:p w14:paraId="706085DF" w14:textId="77777777" w:rsidR="00852AC1" w:rsidRPr="00852AC1" w:rsidRDefault="00852AC1" w:rsidP="00852AC1">
      <w:pPr>
        <w:pStyle w:val="ListBullet"/>
      </w:pPr>
      <w:r w:rsidRPr="00852AC1">
        <w:rPr>
          <w:snapToGrid w:val="0"/>
          <w:vanish/>
        </w:rPr>
        <w:t>BR_41.32</w:t>
      </w:r>
      <w:r>
        <w:rPr>
          <w:snapToGrid w:val="0"/>
        </w:rPr>
        <w:t xml:space="preserve">This option is disabled for transfusion-only facilities. </w:t>
      </w:r>
    </w:p>
    <w:p w14:paraId="41FCADFA" w14:textId="77777777" w:rsidR="002A21AE" w:rsidRDefault="002A21AE">
      <w:pPr>
        <w:pStyle w:val="Heading4"/>
        <w:rPr>
          <w:b w:val="0"/>
        </w:rPr>
      </w:pPr>
      <w:r>
        <w:t>User Roles with Access to This Option</w:t>
      </w:r>
      <w:r>
        <w:rPr>
          <w:b w:val="0"/>
        </w:rPr>
        <w:t xml:space="preserve"> </w:t>
      </w:r>
    </w:p>
    <w:p w14:paraId="15AB344D" w14:textId="77777777" w:rsidR="002A21AE" w:rsidRDefault="00CD2BE3">
      <w:pPr>
        <w:pStyle w:val="Roles"/>
        <w:rPr>
          <w:snapToGrid w:val="0"/>
        </w:rPr>
      </w:pPr>
      <w:r w:rsidRPr="00EC7489">
        <w:rPr>
          <w:rFonts w:ascii="Wingdings 3" w:hAnsi="Wingdings 3" w:cs="Wingdings"/>
        </w:rPr>
        <w:t></w:t>
      </w:r>
      <w:r w:rsidRPr="00EC7489">
        <w:rPr>
          <w:rFonts w:ascii="Wingdings 3" w:hAnsi="Wingdings 3" w:cs="Wingdings"/>
        </w:rPr>
        <w:t></w:t>
      </w:r>
      <w:r>
        <w:t xml:space="preserve"> Enhanced Technologist</w:t>
      </w:r>
    </w:p>
    <w:p w14:paraId="640237B3" w14:textId="77777777" w:rsidR="002A21AE" w:rsidRDefault="002A21AE">
      <w:pPr>
        <w:pStyle w:val="Heading4"/>
      </w:pPr>
      <w:r>
        <w:t>Free Directed Unit For Crossover</w:t>
      </w:r>
    </w:p>
    <w:p w14:paraId="441FC40A" w14:textId="77777777" w:rsidR="002A21AE" w:rsidRDefault="002A21AE" w:rsidP="00FA7E65">
      <w:pPr>
        <w:pStyle w:val="BodyText"/>
      </w:pPr>
      <w:r>
        <w:t>The user releases the restriction on a directed donor unit to make the unit available in general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200BF2E" w14:textId="77777777">
        <w:trPr>
          <w:cantSplit/>
          <w:tblHeader/>
        </w:trPr>
        <w:tc>
          <w:tcPr>
            <w:tcW w:w="3240" w:type="dxa"/>
            <w:shd w:val="pct30" w:color="auto" w:fill="FFFFFF"/>
            <w:vAlign w:val="bottom"/>
          </w:tcPr>
          <w:p w14:paraId="11B090B2" w14:textId="77777777" w:rsidR="002A21AE" w:rsidRDefault="002A21AE">
            <w:pPr>
              <w:pStyle w:val="TableText"/>
              <w:rPr>
                <w:b/>
              </w:rPr>
            </w:pPr>
            <w:r>
              <w:rPr>
                <w:b/>
              </w:rPr>
              <w:t>User Action</w:t>
            </w:r>
          </w:p>
        </w:tc>
        <w:tc>
          <w:tcPr>
            <w:tcW w:w="6120" w:type="dxa"/>
            <w:shd w:val="pct30" w:color="auto" w:fill="FFFFFF"/>
            <w:vAlign w:val="bottom"/>
          </w:tcPr>
          <w:p w14:paraId="3DABC711" w14:textId="77777777" w:rsidR="002A21AE" w:rsidRDefault="002A21AE">
            <w:pPr>
              <w:pStyle w:val="TableText"/>
              <w:rPr>
                <w:b/>
              </w:rPr>
            </w:pPr>
            <w:r>
              <w:rPr>
                <w:b/>
              </w:rPr>
              <w:t>VBECS</w:t>
            </w:r>
          </w:p>
        </w:tc>
      </w:tr>
      <w:tr w:rsidR="002A21AE" w14:paraId="5937371E" w14:textId="77777777">
        <w:tc>
          <w:tcPr>
            <w:tcW w:w="3240" w:type="dxa"/>
          </w:tcPr>
          <w:p w14:paraId="71B2FFAE" w14:textId="77777777" w:rsidR="002A21AE" w:rsidRDefault="002A21AE">
            <w:pPr>
              <w:pStyle w:val="TableTextNumbers"/>
            </w:pPr>
            <w:r>
              <w:t xml:space="preserve">Select </w:t>
            </w:r>
            <w:r>
              <w:rPr>
                <w:b/>
              </w:rPr>
              <w:t xml:space="preserve">Blood Units </w:t>
            </w:r>
            <w:r>
              <w:t>from the main menu.</w:t>
            </w:r>
          </w:p>
          <w:p w14:paraId="7B07AA59" w14:textId="77777777" w:rsidR="002A21AE" w:rsidRDefault="002A21AE">
            <w:pPr>
              <w:pStyle w:val="TableTextNumbersContinued"/>
            </w:pPr>
          </w:p>
          <w:p w14:paraId="701F1E14" w14:textId="77777777" w:rsidR="002A21AE" w:rsidRDefault="002A21AE">
            <w:pPr>
              <w:pStyle w:val="TableTextNumbersContinued"/>
            </w:pPr>
            <w:r>
              <w:t xml:space="preserve">Select </w:t>
            </w:r>
            <w:r>
              <w:rPr>
                <w:b/>
              </w:rPr>
              <w:t xml:space="preserve">Free Directed Unit </w:t>
            </w:r>
            <w:r w:rsidR="008251CD">
              <w:rPr>
                <w:b/>
              </w:rPr>
              <w:t>F</w:t>
            </w:r>
            <w:r>
              <w:rPr>
                <w:b/>
              </w:rPr>
              <w:t>or Crossover</w:t>
            </w:r>
            <w:r>
              <w:t>.</w:t>
            </w:r>
          </w:p>
        </w:tc>
        <w:tc>
          <w:tcPr>
            <w:tcW w:w="6120" w:type="dxa"/>
          </w:tcPr>
          <w:p w14:paraId="74D1C7F1" w14:textId="77777777" w:rsidR="002A21AE" w:rsidRDefault="002A21AE">
            <w:pPr>
              <w:pStyle w:val="TableTextBullet"/>
            </w:pPr>
            <w:r>
              <w:t>Displays options for processing units.</w:t>
            </w:r>
          </w:p>
          <w:p w14:paraId="2EF0714C" w14:textId="77777777" w:rsidR="002A21AE" w:rsidRDefault="002A21AE">
            <w:pPr>
              <w:pStyle w:val="TableTextBullet"/>
            </w:pPr>
            <w:r>
              <w:t>Prompts the user to scan or enter the unit ID and product code.</w:t>
            </w:r>
          </w:p>
        </w:tc>
      </w:tr>
      <w:tr w:rsidR="002A21AE" w14:paraId="09017B1F" w14:textId="77777777">
        <w:tc>
          <w:tcPr>
            <w:tcW w:w="3240" w:type="dxa"/>
          </w:tcPr>
          <w:p w14:paraId="364A50D1" w14:textId="77777777" w:rsidR="002A21AE" w:rsidRDefault="002A21AE">
            <w:pPr>
              <w:pStyle w:val="TableTextNumbers"/>
            </w:pPr>
            <w:r>
              <w:t>Scan or enter the unit ID and product code for each unit.</w:t>
            </w:r>
          </w:p>
        </w:tc>
        <w:tc>
          <w:tcPr>
            <w:tcW w:w="6120" w:type="dxa"/>
          </w:tcPr>
          <w:p w14:paraId="5C0B3060" w14:textId="77777777" w:rsidR="002A21AE" w:rsidRDefault="002A21AE">
            <w:pPr>
              <w:pStyle w:val="TableTextBullet"/>
            </w:pPr>
            <w:r>
              <w:t>Displays the unit information.</w:t>
            </w:r>
          </w:p>
          <w:p w14:paraId="344BB389" w14:textId="77777777" w:rsidR="002A21AE" w:rsidRDefault="002A21AE">
            <w:pPr>
              <w:pStyle w:val="TableText"/>
            </w:pPr>
          </w:p>
          <w:p w14:paraId="57334E62" w14:textId="245D1B66" w:rsidR="002A21AE" w:rsidRDefault="002A21AE">
            <w:pPr>
              <w:pStyle w:val="TableText"/>
              <w:rPr>
                <w:b/>
                <w:bCs/>
                <w:szCs w:val="18"/>
              </w:rPr>
            </w:pPr>
            <w:r>
              <w:rPr>
                <w:b/>
                <w:bCs/>
                <w:szCs w:val="18"/>
              </w:rPr>
              <w:t>NOTES</w:t>
            </w:r>
          </w:p>
          <w:p w14:paraId="6652E79B" w14:textId="77777777" w:rsidR="002A21AE" w:rsidRDefault="002A21AE">
            <w:pPr>
              <w:pStyle w:val="NotesText"/>
            </w:pPr>
          </w:p>
          <w:p w14:paraId="158C15A1" w14:textId="77777777" w:rsidR="002A21AE" w:rsidRDefault="002A21AE">
            <w:pPr>
              <w:pStyle w:val="NotesText"/>
            </w:pPr>
            <w:r>
              <w:t>When a user adds a directed unit to an undirected pool, VBECS queries the user regarding releasing the unit’s restriction.</w:t>
            </w:r>
          </w:p>
          <w:p w14:paraId="3A267FAE" w14:textId="77777777" w:rsidR="002A21AE" w:rsidRDefault="002A21AE">
            <w:pPr>
              <w:pStyle w:val="NotesText"/>
            </w:pPr>
          </w:p>
          <w:p w14:paraId="71FD06E8" w14:textId="3CE7C74A" w:rsidR="002A21AE" w:rsidRDefault="002A21AE">
            <w:pPr>
              <w:pStyle w:val="NotesText"/>
            </w:pPr>
            <w:r w:rsidRPr="00896F17">
              <w:rPr>
                <w:rStyle w:val="BullhornChar"/>
              </w:rPr>
              <w:t></w:t>
            </w:r>
            <w:r>
              <w:t xml:space="preserve"> </w:t>
            </w:r>
            <w:r>
              <w:rPr>
                <w:rFonts w:cs="Arial"/>
                <w:vanish/>
              </w:rPr>
              <w:t>BR_71.01</w:t>
            </w:r>
            <w:r w:rsidR="002D770B">
              <w:rPr>
                <w:rFonts w:cs="Arial"/>
                <w:vanish/>
              </w:rPr>
              <w:t xml:space="preserve"> </w:t>
            </w:r>
            <w:r>
              <w:t>The unit must have a donation type of only Volunteer Directed, Eligible for Crossover</w:t>
            </w:r>
            <w:r w:rsidR="002D770B">
              <w:t xml:space="preserve"> or Family Reserved</w:t>
            </w:r>
            <w:r>
              <w:t>. If not, VBECS warns that the unit has an invalid donation type and is in a final status.</w:t>
            </w:r>
            <w:r w:rsidR="000A70BE">
              <w:t xml:space="preserve"> The unit must not be autologous.</w:t>
            </w:r>
            <w:r>
              <w:t xml:space="preserve">” </w:t>
            </w:r>
          </w:p>
          <w:p w14:paraId="12FEE42D" w14:textId="77777777" w:rsidR="002A21AE" w:rsidRDefault="002A21AE">
            <w:pPr>
              <w:pStyle w:val="NotesText"/>
            </w:pPr>
          </w:p>
          <w:p w14:paraId="5784496B" w14:textId="77777777" w:rsidR="002A21AE" w:rsidRDefault="002A21AE">
            <w:pPr>
              <w:pStyle w:val="NotesText"/>
            </w:pPr>
            <w:r w:rsidRPr="00896F17">
              <w:rPr>
                <w:rStyle w:val="BullhornChar"/>
              </w:rPr>
              <w:t></w:t>
            </w:r>
            <w:r>
              <w:rPr>
                <w:vanish/>
                <w:szCs w:val="18"/>
              </w:rPr>
              <w:t>BR_71.03</w:t>
            </w:r>
            <w:r>
              <w:t xml:space="preserve"> The unit must not be assigned to a patient to release the restriction. VBECS warns that the unit is currently assigned and that he must release the assignment before continuing.</w:t>
            </w:r>
          </w:p>
        </w:tc>
      </w:tr>
      <w:tr w:rsidR="002A21AE" w14:paraId="0F0FBACA" w14:textId="77777777">
        <w:tc>
          <w:tcPr>
            <w:tcW w:w="3240" w:type="dxa"/>
          </w:tcPr>
          <w:p w14:paraId="18DD014C" w14:textId="06EB43DC" w:rsidR="002A21AE" w:rsidRDefault="002A21AE">
            <w:pPr>
              <w:pStyle w:val="TableTextNumbers"/>
            </w:pPr>
            <w:r>
              <w:t>Enter a date and time and possibly a different user, or accept the defaults</w:t>
            </w:r>
            <w:r w:rsidR="000860BB">
              <w:t xml:space="preserve"> (</w:t>
            </w:r>
            <w:r w:rsidR="000860BB">
              <w:fldChar w:fldCharType="begin"/>
            </w:r>
            <w:r w:rsidR="000860BB">
              <w:instrText xml:space="preserve"> REF _Ref126653339 \h </w:instrText>
            </w:r>
            <w:r w:rsidR="000860BB">
              <w:fldChar w:fldCharType="separate"/>
            </w:r>
            <w:r w:rsidR="004353ED">
              <w:t xml:space="preserve">Figure </w:t>
            </w:r>
            <w:r w:rsidR="004353ED">
              <w:rPr>
                <w:noProof/>
              </w:rPr>
              <w:t>95</w:t>
            </w:r>
            <w:r w:rsidR="000860BB">
              <w:fldChar w:fldCharType="end"/>
            </w:r>
            <w:r w:rsidR="000860BB">
              <w:t>)</w:t>
            </w:r>
            <w:r>
              <w:t>.</w:t>
            </w:r>
          </w:p>
          <w:p w14:paraId="71877A74" w14:textId="77777777" w:rsidR="002A21AE" w:rsidRDefault="002A21AE">
            <w:pPr>
              <w:pStyle w:val="TableTextNumbersContinued"/>
            </w:pPr>
          </w:p>
          <w:p w14:paraId="757196AB" w14:textId="77777777" w:rsidR="002A21AE" w:rsidRDefault="002A21AE">
            <w:pPr>
              <w:pStyle w:val="TableTextNumbersContinued"/>
            </w:pPr>
            <w:r>
              <w:t>Enter the required comment.</w:t>
            </w:r>
          </w:p>
        </w:tc>
        <w:tc>
          <w:tcPr>
            <w:tcW w:w="6120" w:type="dxa"/>
          </w:tcPr>
          <w:p w14:paraId="21AE18EE" w14:textId="77777777" w:rsidR="002A21AE" w:rsidRDefault="002A21AE">
            <w:pPr>
              <w:pStyle w:val="TableTextBullet"/>
            </w:pPr>
            <w:r>
              <w:t>Displays the unit information.</w:t>
            </w:r>
          </w:p>
          <w:p w14:paraId="2EFF3136" w14:textId="4AF012F2" w:rsidR="002A21AE" w:rsidRDefault="002A21AE">
            <w:pPr>
              <w:pStyle w:val="TableTextBullet"/>
            </w:pPr>
            <w:r>
              <w:rPr>
                <w:vanish/>
                <w:szCs w:val="18"/>
              </w:rPr>
              <w:t xml:space="preserve">BR_71.04 </w:t>
            </w:r>
            <w:r w:rsidR="002568AE">
              <w:rPr>
                <w:vanish/>
                <w:szCs w:val="18"/>
              </w:rPr>
              <w:t>R</w:t>
            </w:r>
            <w:r>
              <w:t xml:space="preserve">equires a comment, and captures details for inclusion in an Exception Report (exception type: released patient restriction). </w:t>
            </w:r>
          </w:p>
        </w:tc>
      </w:tr>
      <w:tr w:rsidR="00F9533F" w14:paraId="2BC064E8" w14:textId="77777777">
        <w:tc>
          <w:tcPr>
            <w:tcW w:w="3240" w:type="dxa"/>
          </w:tcPr>
          <w:p w14:paraId="697D8683" w14:textId="77777777" w:rsidR="00F9533F" w:rsidRDefault="00F9533F" w:rsidP="00FA7E65">
            <w:pPr>
              <w:pStyle w:val="TableTextNumbers"/>
            </w:pPr>
            <w:r>
              <w:t xml:space="preserve">Click </w:t>
            </w:r>
            <w:r>
              <w:rPr>
                <w:b/>
              </w:rPr>
              <w:t>OK</w:t>
            </w:r>
            <w:r>
              <w:t xml:space="preserve"> to process the unit and add it to available inventory.</w:t>
            </w:r>
          </w:p>
        </w:tc>
        <w:tc>
          <w:tcPr>
            <w:tcW w:w="6120" w:type="dxa"/>
          </w:tcPr>
          <w:p w14:paraId="0F9E3319" w14:textId="77777777" w:rsidR="00F9533F" w:rsidRDefault="00F9533F" w:rsidP="00FA7E65">
            <w:pPr>
              <w:pStyle w:val="TableTextBullet"/>
            </w:pPr>
            <w:r>
              <w:t xml:space="preserve">Displays the return time, the editable (past date and time) field (default: current date and time), and the list of users for selection. </w:t>
            </w:r>
          </w:p>
          <w:p w14:paraId="431B01F3" w14:textId="77777777" w:rsidR="00F9533F" w:rsidRDefault="00F9533F" w:rsidP="00F9533F">
            <w:pPr>
              <w:pStyle w:val="TableTextBullet"/>
            </w:pPr>
            <w:r>
              <w:t xml:space="preserve">Saves the information to the database. </w:t>
            </w:r>
          </w:p>
          <w:p w14:paraId="7E26A622" w14:textId="77777777" w:rsidR="00F9533F" w:rsidRDefault="00F9533F" w:rsidP="00F9533F">
            <w:pPr>
              <w:pStyle w:val="TableTextBullet"/>
            </w:pPr>
            <w:r>
              <w:t>Changes the donation type of the unit to “Voluntary Allogeneic” and removes the restriction associated with the unit.</w:t>
            </w:r>
          </w:p>
        </w:tc>
      </w:tr>
      <w:tr w:rsidR="002A21AE" w14:paraId="55CFB1CD" w14:textId="77777777">
        <w:tc>
          <w:tcPr>
            <w:tcW w:w="3240" w:type="dxa"/>
          </w:tcPr>
          <w:p w14:paraId="0EEBEA2E" w14:textId="77777777" w:rsidR="002A21AE" w:rsidRDefault="008251CD" w:rsidP="00F9533F">
            <w:pPr>
              <w:pStyle w:val="TableTextNumbers"/>
            </w:pPr>
            <w:r>
              <w:t xml:space="preserve">Click </w:t>
            </w:r>
            <w:r w:rsidRPr="008251CD">
              <w:rPr>
                <w:b/>
              </w:rPr>
              <w:t>Yes</w:t>
            </w:r>
            <w:r>
              <w:t xml:space="preserve"> to confirm</w:t>
            </w:r>
            <w:r w:rsidR="00F9533F">
              <w:t xml:space="preserve"> the save</w:t>
            </w:r>
            <w:r w:rsidR="002A21AE">
              <w:t xml:space="preserve">. </w:t>
            </w:r>
            <w:r w:rsidR="002A21AE">
              <w:rPr>
                <w:rStyle w:val="TableTextNumbersChar"/>
                <w:vanish/>
                <w:color w:val="FFFFFF"/>
                <w:szCs w:val="18"/>
              </w:rPr>
              <w:fldChar w:fldCharType="begin"/>
            </w:r>
            <w:r w:rsidR="002A21AE">
              <w:rPr>
                <w:rStyle w:val="TableTextNumbersChar"/>
                <w:vanish/>
                <w:color w:val="FFFFFF"/>
                <w:szCs w:val="18"/>
              </w:rPr>
              <w:instrText xml:space="preserve"> LISTNUM \l 1 \s 0 </w:instrText>
            </w:r>
            <w:r w:rsidR="002A21AE">
              <w:rPr>
                <w:rStyle w:val="TableTextNumbersChar"/>
                <w:vanish/>
                <w:color w:val="FFFFFF"/>
                <w:szCs w:val="18"/>
              </w:rPr>
              <w:fldChar w:fldCharType="end">
                <w:numberingChange w:id="419" w:author="Blalock, David (Leidos)" w:date="2020-06-15T14:09:00Z" w:original="0."/>
              </w:fldChar>
            </w:r>
          </w:p>
        </w:tc>
        <w:tc>
          <w:tcPr>
            <w:tcW w:w="6120" w:type="dxa"/>
          </w:tcPr>
          <w:p w14:paraId="0B83AEA5" w14:textId="77777777" w:rsidR="002A21AE" w:rsidRDefault="002A21AE" w:rsidP="00771DBD">
            <w:pPr>
              <w:pStyle w:val="TableText"/>
            </w:pPr>
          </w:p>
        </w:tc>
      </w:tr>
    </w:tbl>
    <w:p w14:paraId="1BE4F8B7" w14:textId="45BA965B" w:rsidR="000860BB" w:rsidRDefault="000860BB" w:rsidP="000860BB">
      <w:pPr>
        <w:pStyle w:val="Caption"/>
      </w:pPr>
      <w:bookmarkStart w:id="420" w:name="_Ref12665333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95</w:t>
      </w:r>
      <w:r w:rsidR="004E20BD">
        <w:rPr>
          <w:noProof/>
        </w:rPr>
        <w:fldChar w:fldCharType="end"/>
      </w:r>
      <w:bookmarkEnd w:id="420"/>
      <w:r>
        <w:t>: Free Directed Unit For Crossover</w:t>
      </w:r>
    </w:p>
    <w:p w14:paraId="3A2645E5" w14:textId="77777777" w:rsidR="000860BB" w:rsidRDefault="00057948" w:rsidP="000860BB">
      <w:pPr>
        <w:pStyle w:val="BodyText"/>
      </w:pPr>
      <w:r>
        <w:rPr>
          <w:noProof/>
        </w:rPr>
        <w:drawing>
          <wp:inline distT="0" distB="0" distL="0" distR="0" wp14:anchorId="5F5560B1" wp14:editId="4E4F1503">
            <wp:extent cx="5717540" cy="3796030"/>
            <wp:effectExtent l="0" t="0" r="0" b="0"/>
            <wp:docPr id="183" name="Picture 1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a:extLst>
                        <a:ext uri="{C183D7F6-B498-43B3-948B-1728B52AA6E4}">
                          <adec:decorative xmlns:adec="http://schemas.microsoft.com/office/drawing/2017/decorative" val="1"/>
                        </a:ext>
                      </a:extLst>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717540" cy="3796030"/>
                    </a:xfrm>
                    <a:prstGeom prst="rect">
                      <a:avLst/>
                    </a:prstGeom>
                    <a:noFill/>
                    <a:ln>
                      <a:noFill/>
                    </a:ln>
                  </pic:spPr>
                </pic:pic>
              </a:graphicData>
            </a:graphic>
          </wp:inline>
        </w:drawing>
      </w:r>
    </w:p>
    <w:p w14:paraId="69542B9E" w14:textId="77777777" w:rsidR="002A21AE" w:rsidRDefault="002A21AE">
      <w:pPr>
        <w:pStyle w:val="Heading3"/>
      </w:pPr>
      <w:bookmarkStart w:id="421" w:name="_Toc47516731"/>
      <w:r>
        <w:t>Discard or Quarantine</w:t>
      </w:r>
      <w:bookmarkEnd w:id="421"/>
      <w:r w:rsidRPr="007716F7">
        <w:rPr>
          <w:vanish/>
        </w:rPr>
        <w:fldChar w:fldCharType="begin"/>
      </w:r>
      <w:r w:rsidRPr="007716F7">
        <w:rPr>
          <w:vanish/>
        </w:rPr>
        <w:instrText xml:space="preserve"> XE </w:instrText>
      </w:r>
      <w:r w:rsidR="00FA7E65" w:rsidRPr="007716F7">
        <w:rPr>
          <w:vanish/>
        </w:rPr>
        <w:instrText>“</w:instrText>
      </w:r>
      <w:r w:rsidRPr="007716F7">
        <w:rPr>
          <w:vanish/>
        </w:rPr>
        <w:instrText>Discard or Quarantine</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UC_27</w:t>
      </w:r>
    </w:p>
    <w:p w14:paraId="5D1A4CE6" w14:textId="77777777" w:rsidR="002A21AE" w:rsidRDefault="002A21AE" w:rsidP="00FA7E65">
      <w:pPr>
        <w:pStyle w:val="BodyText"/>
      </w:pPr>
      <w:r>
        <w:t>The user discards, quarantines, or releases from quarantine one or more units of blood.</w:t>
      </w:r>
    </w:p>
    <w:p w14:paraId="55050119" w14:textId="77777777" w:rsidR="002A21AE" w:rsidRDefault="002A21AE">
      <w:pPr>
        <w:pStyle w:val="Heading4"/>
      </w:pPr>
      <w:r>
        <w:t>Assumptions</w:t>
      </w:r>
      <w:r>
        <w:rPr>
          <w:b w:val="0"/>
        </w:rPr>
        <w:t xml:space="preserve"> </w:t>
      </w:r>
    </w:p>
    <w:p w14:paraId="3C080B5A" w14:textId="77777777" w:rsidR="002A21AE" w:rsidRDefault="002A21AE">
      <w:pPr>
        <w:pStyle w:val="ListBullet"/>
      </w:pPr>
      <w:r>
        <w:t>The unit of blood is in the same division as the user.</w:t>
      </w:r>
    </w:p>
    <w:p w14:paraId="1BA84B6C" w14:textId="77777777" w:rsidR="002A21AE" w:rsidRDefault="002A21AE">
      <w:pPr>
        <w:pStyle w:val="Heading4"/>
      </w:pPr>
      <w:r>
        <w:t xml:space="preserve">Outcome </w:t>
      </w:r>
    </w:p>
    <w:p w14:paraId="22622BE7" w14:textId="77777777" w:rsidR="002A21AE" w:rsidRDefault="00AE3CC7">
      <w:pPr>
        <w:pStyle w:val="ListBullet"/>
      </w:pPr>
      <w:r>
        <w:rPr>
          <w:noProof/>
        </w:rPr>
        <w:t>Discarded</w:t>
      </w:r>
      <w:r w:rsidR="002A21AE">
        <w:t xml:space="preserve"> units are not available.</w:t>
      </w:r>
    </w:p>
    <w:p w14:paraId="2B3B0334" w14:textId="77777777" w:rsidR="002A21AE" w:rsidRDefault="002A21AE">
      <w:pPr>
        <w:pStyle w:val="ListBullet"/>
      </w:pPr>
      <w:r>
        <w:t>Quarantined units are available for limited processing, not for patient assignment.</w:t>
      </w:r>
    </w:p>
    <w:p w14:paraId="11F6A3E8" w14:textId="77777777" w:rsidR="002A21AE" w:rsidRDefault="002A21AE">
      <w:pPr>
        <w:pStyle w:val="ListBullet"/>
      </w:pPr>
      <w:r>
        <w:t>Units release</w:t>
      </w:r>
      <w:r>
        <w:rPr>
          <w:noProof/>
        </w:rPr>
        <w:t>d from quarantine are available.</w:t>
      </w:r>
    </w:p>
    <w:p w14:paraId="3DFAAFBB" w14:textId="77777777" w:rsidR="002A21AE" w:rsidRDefault="002A21AE">
      <w:pPr>
        <w:pStyle w:val="Heading4"/>
        <w:rPr>
          <w:b w:val="0"/>
        </w:rPr>
      </w:pPr>
      <w:r>
        <w:t>Limitations and Restrictions</w:t>
      </w:r>
      <w:r>
        <w:rPr>
          <w:b w:val="0"/>
        </w:rPr>
        <w:t xml:space="preserve"> </w:t>
      </w:r>
    </w:p>
    <w:p w14:paraId="55347877" w14:textId="37972374" w:rsidR="002A21AE" w:rsidRDefault="00581FC8" w:rsidP="00581FC8">
      <w:pPr>
        <w:pStyle w:val="ListBullet"/>
      </w:pPr>
      <w:r>
        <w:t xml:space="preserve">When a user retroactively updates a unit status through this option, the Unit History Report displays the updated information, but does not display the date the change was made. </w:t>
      </w:r>
    </w:p>
    <w:p w14:paraId="3C37D802" w14:textId="43187321" w:rsidR="007E64EF" w:rsidRDefault="00E73D6B" w:rsidP="007E64EF">
      <w:pPr>
        <w:pStyle w:val="ListBullet"/>
      </w:pPr>
      <w:r>
        <w:t xml:space="preserve">The </w:t>
      </w:r>
      <w:r w:rsidR="007E64EF" w:rsidRPr="007E64EF">
        <w:t xml:space="preserve">option does not accommodate the entry of a second user for retrospective </w:t>
      </w:r>
      <w:r w:rsidR="00E36641">
        <w:t xml:space="preserve">data </w:t>
      </w:r>
      <w:r w:rsidR="007E64EF" w:rsidRPr="007E64EF">
        <w:t>entry.</w:t>
      </w:r>
      <w:r w:rsidR="00EF7C8A">
        <w:t xml:space="preserve"> </w:t>
      </w:r>
      <w:r w:rsidR="0063094B">
        <w:rPr>
          <w:vanish/>
        </w:rPr>
        <w:t>Defect</w:t>
      </w:r>
      <w:r w:rsidR="00EF7C8A" w:rsidRPr="00EF7C8A">
        <w:rPr>
          <w:vanish/>
        </w:rPr>
        <w:t xml:space="preserve"> 209008</w:t>
      </w:r>
    </w:p>
    <w:p w14:paraId="1C059A19" w14:textId="566F9507" w:rsidR="00D141A2" w:rsidRDefault="00D141A2" w:rsidP="007E64EF">
      <w:pPr>
        <w:pStyle w:val="ListBullet"/>
      </w:pPr>
      <w:r>
        <w:t xml:space="preserve">Cost entry is capped at 999.99. </w:t>
      </w:r>
      <w:r w:rsidRPr="00D141A2">
        <w:rPr>
          <w:vanish/>
        </w:rPr>
        <w:t>Defect 942523</w:t>
      </w:r>
    </w:p>
    <w:p w14:paraId="58FE5DC6" w14:textId="77777777" w:rsidR="002A21AE" w:rsidRDefault="002A21AE">
      <w:pPr>
        <w:pStyle w:val="Heading4"/>
        <w:rPr>
          <w:b w:val="0"/>
        </w:rPr>
      </w:pPr>
      <w:r>
        <w:t>Additional Information</w:t>
      </w:r>
      <w:r>
        <w:rPr>
          <w:b w:val="0"/>
        </w:rPr>
        <w:t xml:space="preserve"> </w:t>
      </w:r>
    </w:p>
    <w:p w14:paraId="31604807" w14:textId="77777777" w:rsidR="002A21AE" w:rsidRDefault="002A21AE">
      <w:pPr>
        <w:pStyle w:val="ListBullet"/>
      </w:pPr>
      <w:r>
        <w:t xml:space="preserve">None </w:t>
      </w:r>
    </w:p>
    <w:p w14:paraId="55B7F8E0" w14:textId="77777777" w:rsidR="002A21AE" w:rsidRDefault="002A21AE">
      <w:pPr>
        <w:pStyle w:val="Heading4"/>
        <w:rPr>
          <w:snapToGrid w:val="0"/>
        </w:rPr>
      </w:pPr>
      <w:r>
        <w:rPr>
          <w:snapToGrid w:val="0"/>
        </w:rPr>
        <w:lastRenderedPageBreak/>
        <w:t>User Roles with Access to This Option</w:t>
      </w:r>
    </w:p>
    <w:p w14:paraId="0DD39C65" w14:textId="77777777" w:rsidR="00FC61FD" w:rsidRDefault="00FC61FD" w:rsidP="00FC61FD">
      <w:pPr>
        <w:pStyle w:val="Roles"/>
        <w:rPr>
          <w:snapToGrid w:val="0"/>
        </w:rPr>
      </w:pPr>
      <w:r>
        <w:rPr>
          <w:snapToGrid w:val="0"/>
        </w:rPr>
        <w:t>All users</w:t>
      </w:r>
    </w:p>
    <w:p w14:paraId="0A237B34" w14:textId="77777777" w:rsidR="008442AA" w:rsidRDefault="008442AA" w:rsidP="008442AA">
      <w:pPr>
        <w:pStyle w:val="Roles"/>
        <w:rPr>
          <w:rFonts w:ascii="Wingdings 3" w:hAnsi="Wingdings 3" w:cs="Wingdings"/>
        </w:rPr>
      </w:pPr>
      <w:r w:rsidRPr="00EC7489">
        <w:rPr>
          <w:rFonts w:ascii="Wingdings 3" w:hAnsi="Wingdings 3" w:cs="Wingdings"/>
        </w:rPr>
        <w:t></w:t>
      </w:r>
      <w:r w:rsidRPr="00EC7489">
        <w:rPr>
          <w:rFonts w:ascii="Wingdings 3" w:hAnsi="Wingdings 3" w:cs="Wingdings"/>
        </w:rPr>
        <w:t></w:t>
      </w:r>
      <w:r>
        <w:t xml:space="preserve"> Enhanced Technologist (release blood products from quarantine)</w:t>
      </w:r>
      <w:r>
        <w:rPr>
          <w:vanish/>
        </w:rPr>
        <w:t>BR_27.17</w:t>
      </w:r>
      <w:r>
        <w:t xml:space="preserve"> </w:t>
      </w:r>
    </w:p>
    <w:p w14:paraId="0E3A2953" w14:textId="77777777" w:rsidR="002A21AE" w:rsidRDefault="002A21AE">
      <w:pPr>
        <w:pStyle w:val="Heading4"/>
      </w:pPr>
      <w:r>
        <w:t>Discard or Quarantine</w:t>
      </w:r>
    </w:p>
    <w:p w14:paraId="685007CD" w14:textId="77777777" w:rsidR="002A21AE" w:rsidRDefault="002A21AE" w:rsidP="00FA7E65">
      <w:pPr>
        <w:pStyle w:val="BodyText"/>
      </w:pPr>
      <w:r>
        <w:t xml:space="preserve">The user changes the status (discard, quarantine, release from quarantine) of one or more units of blood. The user must indicate the ID and product code of the units to be updated. VBECS also allows batch data entry to process all units from an invoice. </w:t>
      </w:r>
    </w:p>
    <w:p w14:paraId="61483B95" w14:textId="77777777" w:rsidR="002A21AE" w:rsidRDefault="002A21AE" w:rsidP="00FA7E65">
      <w:pPr>
        <w:pStyle w:val="BodyText"/>
      </w:pPr>
      <w:r>
        <w:t xml:space="preserve">A quarantined unit has limited availability for continued processing. Under certain circumstances, VBECS assigns quarantine status automatically; otherwise, the user determines and enters the status. The user must </w:t>
      </w:r>
      <w:r w:rsidR="00D923F9">
        <w:t>specify</w:t>
      </w:r>
      <w:r>
        <w:t xml:space="preserve"> whether a discarded unit is for credit or for waste, which determines whether or not a return credit is assigned to the selected unit.</w:t>
      </w:r>
    </w:p>
    <w:p w14:paraId="2B22A37D" w14:textId="77777777" w:rsidR="007F12F1" w:rsidRDefault="007F12F1" w:rsidP="007F12F1">
      <w:pPr>
        <w:pStyle w:val="Heading4"/>
      </w:pPr>
      <w:r>
        <w:t>Discard or Quarantine Individual Units</w:t>
      </w:r>
      <w:r>
        <w:fldChar w:fldCharType="begin"/>
      </w:r>
      <w:r>
        <w:instrText xml:space="preserve"> XE "</w:instrText>
      </w:r>
      <w:r w:rsidRPr="00561E3F">
        <w:instrText>Discard or Quarantine Individual Units</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7D34E15" w14:textId="77777777">
        <w:trPr>
          <w:cantSplit/>
          <w:tblHeader/>
        </w:trPr>
        <w:tc>
          <w:tcPr>
            <w:tcW w:w="3240" w:type="dxa"/>
            <w:shd w:val="pct30" w:color="auto" w:fill="FFFFFF"/>
            <w:vAlign w:val="bottom"/>
          </w:tcPr>
          <w:p w14:paraId="6AE6BC83" w14:textId="77777777" w:rsidR="002A21AE" w:rsidRDefault="002A21AE">
            <w:pPr>
              <w:pStyle w:val="TableText"/>
              <w:rPr>
                <w:b/>
              </w:rPr>
            </w:pPr>
            <w:r>
              <w:rPr>
                <w:b/>
              </w:rPr>
              <w:t>User Action</w:t>
            </w:r>
          </w:p>
        </w:tc>
        <w:tc>
          <w:tcPr>
            <w:tcW w:w="6120" w:type="dxa"/>
            <w:shd w:val="pct30" w:color="auto" w:fill="FFFFFF"/>
            <w:vAlign w:val="bottom"/>
          </w:tcPr>
          <w:p w14:paraId="30DAE015" w14:textId="77777777" w:rsidR="002A21AE" w:rsidRDefault="002A21AE">
            <w:pPr>
              <w:pStyle w:val="TableText"/>
              <w:rPr>
                <w:b/>
              </w:rPr>
            </w:pPr>
            <w:r>
              <w:rPr>
                <w:b/>
              </w:rPr>
              <w:t>VBECS</w:t>
            </w:r>
          </w:p>
        </w:tc>
      </w:tr>
      <w:tr w:rsidR="002A21AE" w14:paraId="39FACC63" w14:textId="77777777">
        <w:tc>
          <w:tcPr>
            <w:tcW w:w="3240" w:type="dxa"/>
          </w:tcPr>
          <w:p w14:paraId="60676E44" w14:textId="77777777" w:rsidR="002A21AE" w:rsidRDefault="002A21AE">
            <w:pPr>
              <w:pStyle w:val="TableTextNumbers"/>
            </w:pPr>
            <w:r>
              <w:t xml:space="preserve">Select </w:t>
            </w:r>
            <w:r>
              <w:rPr>
                <w:b/>
              </w:rPr>
              <w:t>Blood Units</w:t>
            </w:r>
            <w:r>
              <w:t xml:space="preserve"> from the main menu.</w:t>
            </w:r>
          </w:p>
          <w:p w14:paraId="7AFE2375" w14:textId="77777777" w:rsidR="002A21AE" w:rsidRDefault="002A21AE">
            <w:pPr>
              <w:pStyle w:val="TableTextNumbersContinued"/>
            </w:pPr>
          </w:p>
          <w:p w14:paraId="02A329E8" w14:textId="77777777" w:rsidR="002A21AE" w:rsidRDefault="002A21AE">
            <w:pPr>
              <w:pStyle w:val="TableTextNumbersContinued"/>
            </w:pPr>
            <w:r>
              <w:t xml:space="preserve">Select </w:t>
            </w:r>
            <w:r>
              <w:rPr>
                <w:b/>
              </w:rPr>
              <w:t>Discard or Quarantine</w:t>
            </w:r>
            <w:r>
              <w:t>.</w:t>
            </w:r>
          </w:p>
        </w:tc>
        <w:tc>
          <w:tcPr>
            <w:tcW w:w="6120" w:type="dxa"/>
          </w:tcPr>
          <w:p w14:paraId="488B5A0F" w14:textId="77777777" w:rsidR="002A21AE" w:rsidRDefault="002A21AE">
            <w:pPr>
              <w:pStyle w:val="TableTextBullet"/>
            </w:pPr>
            <w:r>
              <w:t>Displays options for processing blood units.</w:t>
            </w:r>
          </w:p>
          <w:p w14:paraId="250AD4CF" w14:textId="77777777" w:rsidR="002A21AE" w:rsidRDefault="002A21AE">
            <w:pPr>
              <w:pStyle w:val="TableTextBullet"/>
            </w:pPr>
            <w:r>
              <w:t>Displays fields for entering unit information.</w:t>
            </w:r>
          </w:p>
          <w:p w14:paraId="2B92CE23" w14:textId="77777777" w:rsidR="002A21AE" w:rsidRDefault="002A21AE">
            <w:pPr>
              <w:pStyle w:val="TableTextBullet"/>
            </w:pPr>
            <w:r>
              <w:t xml:space="preserve">Allows </w:t>
            </w:r>
            <w:r w:rsidR="00CE0AAB">
              <w:t xml:space="preserve">the user to </w:t>
            </w:r>
            <w:r>
              <w:t>discard or quarantine</w:t>
            </w:r>
            <w:r w:rsidR="00CE0AAB">
              <w:t xml:space="preserve"> individual units</w:t>
            </w:r>
            <w:r>
              <w:t>.</w:t>
            </w:r>
          </w:p>
        </w:tc>
      </w:tr>
      <w:tr w:rsidR="002A21AE" w14:paraId="5C378C1E" w14:textId="77777777">
        <w:tc>
          <w:tcPr>
            <w:tcW w:w="3240" w:type="dxa"/>
          </w:tcPr>
          <w:p w14:paraId="657FCA3A" w14:textId="77777777" w:rsidR="002A21AE" w:rsidRDefault="002A21AE">
            <w:pPr>
              <w:pStyle w:val="TableTextNumbers"/>
            </w:pPr>
            <w:r>
              <w:t>Enter an ID and product code</w:t>
            </w:r>
            <w:r w:rsidR="009535FF">
              <w:t xml:space="preserve"> for a blood unit</w:t>
            </w:r>
            <w:r>
              <w:t>.</w:t>
            </w:r>
          </w:p>
        </w:tc>
        <w:tc>
          <w:tcPr>
            <w:tcW w:w="6120" w:type="dxa"/>
          </w:tcPr>
          <w:p w14:paraId="727E1239" w14:textId="77777777" w:rsidR="002A21AE" w:rsidRDefault="002A21AE">
            <w:pPr>
              <w:pStyle w:val="TableTextBullet"/>
            </w:pPr>
            <w:r>
              <w:t xml:space="preserve">When a unit is appropriate for processing, displays unit information, including the current status. </w:t>
            </w:r>
          </w:p>
          <w:p w14:paraId="698DF7E9" w14:textId="77777777" w:rsidR="002A21AE" w:rsidRDefault="002A21AE">
            <w:pPr>
              <w:pStyle w:val="TableText"/>
            </w:pPr>
          </w:p>
          <w:p w14:paraId="066C925F" w14:textId="22F0D26D" w:rsidR="002A21AE" w:rsidRDefault="002A21AE">
            <w:pPr>
              <w:pStyle w:val="TableText"/>
              <w:rPr>
                <w:b/>
                <w:bCs/>
                <w:szCs w:val="18"/>
              </w:rPr>
            </w:pPr>
            <w:r>
              <w:rPr>
                <w:b/>
                <w:bCs/>
                <w:szCs w:val="18"/>
              </w:rPr>
              <w:t>NOTES</w:t>
            </w:r>
          </w:p>
          <w:p w14:paraId="0E37E922" w14:textId="77777777" w:rsidR="002A21AE" w:rsidRDefault="002A21AE">
            <w:pPr>
              <w:pStyle w:val="NotesText"/>
            </w:pPr>
          </w:p>
          <w:p w14:paraId="11F76DAF" w14:textId="77777777" w:rsidR="002A21AE" w:rsidRDefault="002A21AE">
            <w:pPr>
              <w:pStyle w:val="NotesText"/>
            </w:pPr>
            <w:r>
              <w:t>The user may deselect units prior to editing.</w:t>
            </w:r>
          </w:p>
        </w:tc>
      </w:tr>
      <w:tr w:rsidR="009535FF" w14:paraId="27D96248" w14:textId="77777777">
        <w:tc>
          <w:tcPr>
            <w:tcW w:w="3240" w:type="dxa"/>
          </w:tcPr>
          <w:p w14:paraId="5A0747EB" w14:textId="77777777" w:rsidR="009535FF" w:rsidRDefault="009535FF">
            <w:pPr>
              <w:pStyle w:val="TableTextNumbers"/>
            </w:pPr>
            <w:r>
              <w:t xml:space="preserve">Click </w:t>
            </w:r>
            <w:r w:rsidRPr="009535FF">
              <w:rPr>
                <w:b/>
              </w:rPr>
              <w:t>Select</w:t>
            </w:r>
            <w:r>
              <w:t xml:space="preserve"> to add the selected unit to the worklist, or click </w:t>
            </w:r>
            <w:r w:rsidRPr="009535FF">
              <w:rPr>
                <w:b/>
              </w:rPr>
              <w:t>Clear</w:t>
            </w:r>
            <w:r>
              <w:t xml:space="preserve"> to select another unit.</w:t>
            </w:r>
          </w:p>
        </w:tc>
        <w:tc>
          <w:tcPr>
            <w:tcW w:w="6120" w:type="dxa"/>
          </w:tcPr>
          <w:p w14:paraId="645EE739" w14:textId="77777777" w:rsidR="009535FF" w:rsidRDefault="00CE0AAB">
            <w:pPr>
              <w:pStyle w:val="TableTextBullet"/>
            </w:pPr>
            <w:r>
              <w:t>Adds the unit to a temporary list of selected units.</w:t>
            </w:r>
          </w:p>
        </w:tc>
      </w:tr>
      <w:tr w:rsidR="002A21AE" w14:paraId="28FAC03A" w14:textId="77777777">
        <w:tc>
          <w:tcPr>
            <w:tcW w:w="3240" w:type="dxa"/>
          </w:tcPr>
          <w:p w14:paraId="599C1F33" w14:textId="77777777" w:rsidR="002A21AE" w:rsidRDefault="002A21AE">
            <w:pPr>
              <w:pStyle w:val="TableTextNumbers"/>
            </w:pPr>
            <w:r>
              <w:t>Repeat Step 3, as needed, to process multiple blood units as a single batch.</w:t>
            </w:r>
          </w:p>
          <w:p w14:paraId="5565C676" w14:textId="77777777" w:rsidR="009535FF" w:rsidRDefault="009535FF" w:rsidP="009535FF">
            <w:pPr>
              <w:pStyle w:val="TableTextNumbersContinued"/>
            </w:pPr>
          </w:p>
          <w:p w14:paraId="3C7B7C07" w14:textId="77777777" w:rsidR="009535FF" w:rsidRDefault="009535FF" w:rsidP="009535FF">
            <w:pPr>
              <w:pStyle w:val="TableTextNumbersContinued"/>
            </w:pPr>
            <w:r>
              <w:t xml:space="preserve">Click </w:t>
            </w:r>
            <w:r w:rsidRPr="009535FF">
              <w:rPr>
                <w:b/>
              </w:rPr>
              <w:t>OK</w:t>
            </w:r>
            <w:r>
              <w:t xml:space="preserve"> to continue.</w:t>
            </w:r>
          </w:p>
        </w:tc>
        <w:tc>
          <w:tcPr>
            <w:tcW w:w="6120" w:type="dxa"/>
          </w:tcPr>
          <w:p w14:paraId="6851E63E" w14:textId="77777777" w:rsidR="002A21AE" w:rsidRDefault="002A21AE">
            <w:pPr>
              <w:pStyle w:val="TableTextBullet"/>
            </w:pPr>
            <w:r>
              <w:t>Displays selected units.</w:t>
            </w:r>
          </w:p>
        </w:tc>
      </w:tr>
      <w:tr w:rsidR="002A21AE" w14:paraId="128BBACC" w14:textId="77777777">
        <w:tc>
          <w:tcPr>
            <w:tcW w:w="3240" w:type="dxa"/>
          </w:tcPr>
          <w:p w14:paraId="36AD3388" w14:textId="4745A43A" w:rsidR="002A21AE" w:rsidRDefault="009535FF">
            <w:pPr>
              <w:pStyle w:val="TableTextNumbers"/>
            </w:pPr>
            <w:r>
              <w:t xml:space="preserve">In the Activity area, click the </w:t>
            </w:r>
            <w:r w:rsidRPr="009535FF">
              <w:rPr>
                <w:b/>
              </w:rPr>
              <w:t>Discard</w:t>
            </w:r>
            <w:r>
              <w:t xml:space="preserve">, </w:t>
            </w:r>
            <w:r w:rsidRPr="009535FF">
              <w:rPr>
                <w:b/>
              </w:rPr>
              <w:t>Quarantine</w:t>
            </w:r>
            <w:r>
              <w:t xml:space="preserve">, or </w:t>
            </w:r>
            <w:r w:rsidRPr="009535FF">
              <w:rPr>
                <w:b/>
              </w:rPr>
              <w:t xml:space="preserve">Release from Quarantine </w:t>
            </w:r>
            <w:r w:rsidRPr="00BF2E41">
              <w:t>radio button</w:t>
            </w:r>
            <w:r w:rsidR="00550732">
              <w:rPr>
                <w:b/>
              </w:rPr>
              <w:t xml:space="preserve"> </w:t>
            </w:r>
            <w:r w:rsidR="00550732" w:rsidRPr="00550732">
              <w:t>(</w:t>
            </w:r>
            <w:r w:rsidR="00C40441">
              <w:fldChar w:fldCharType="begin"/>
            </w:r>
            <w:r w:rsidR="00C40441">
              <w:instrText xml:space="preserve"> REF _Ref126653702 \h </w:instrText>
            </w:r>
            <w:r w:rsidR="00C40441">
              <w:fldChar w:fldCharType="separate"/>
            </w:r>
            <w:r w:rsidR="004353ED">
              <w:t xml:space="preserve">Figure </w:t>
            </w:r>
            <w:r w:rsidR="004353ED">
              <w:rPr>
                <w:noProof/>
              </w:rPr>
              <w:t>96</w:t>
            </w:r>
            <w:r w:rsidR="00C40441">
              <w:fldChar w:fldCharType="end"/>
            </w:r>
            <w:r w:rsidR="00550732" w:rsidRPr="00550732">
              <w:t>)</w:t>
            </w:r>
            <w:r>
              <w:t>.</w:t>
            </w:r>
            <w:r w:rsidR="002A21AE">
              <w:t xml:space="preserve"> </w:t>
            </w:r>
          </w:p>
        </w:tc>
        <w:tc>
          <w:tcPr>
            <w:tcW w:w="6120" w:type="dxa"/>
          </w:tcPr>
          <w:p w14:paraId="2D9EC6AB" w14:textId="0BC5662F" w:rsidR="002A21AE" w:rsidRDefault="002A21AE">
            <w:pPr>
              <w:pStyle w:val="TableText"/>
              <w:rPr>
                <w:b/>
                <w:bCs/>
                <w:szCs w:val="18"/>
              </w:rPr>
            </w:pPr>
            <w:r>
              <w:rPr>
                <w:b/>
                <w:bCs/>
                <w:szCs w:val="18"/>
              </w:rPr>
              <w:t>NOTES</w:t>
            </w:r>
          </w:p>
          <w:p w14:paraId="3F3854EE" w14:textId="77777777" w:rsidR="002A21AE" w:rsidRDefault="002A21AE">
            <w:pPr>
              <w:pStyle w:val="NotesText"/>
            </w:pPr>
          </w:p>
          <w:p w14:paraId="6F1EFAE3" w14:textId="77777777" w:rsidR="002A21AE" w:rsidRDefault="004356BF">
            <w:pPr>
              <w:pStyle w:val="NotesText"/>
            </w:pPr>
            <w:r w:rsidRPr="00EC7489">
              <w:rPr>
                <w:rFonts w:ascii="Wingdings 3" w:hAnsi="Wingdings 3" w:cs="Wingdings"/>
              </w:rPr>
              <w:t></w:t>
            </w:r>
            <w:r w:rsidRPr="00EC7489">
              <w:rPr>
                <w:rFonts w:ascii="Wingdings 3" w:hAnsi="Wingdings 3" w:cs="Wingdings"/>
              </w:rPr>
              <w:t></w:t>
            </w:r>
            <w:r w:rsidRPr="004356BF">
              <w:t xml:space="preserve"> The Enhanced Technologist may release a unit from quarantine.</w:t>
            </w:r>
          </w:p>
        </w:tc>
      </w:tr>
      <w:tr w:rsidR="002A21AE" w14:paraId="0FBE1049" w14:textId="77777777">
        <w:tc>
          <w:tcPr>
            <w:tcW w:w="3240" w:type="dxa"/>
          </w:tcPr>
          <w:p w14:paraId="1589DFFB" w14:textId="77777777" w:rsidR="002A21AE" w:rsidRDefault="009535FF">
            <w:pPr>
              <w:pStyle w:val="TableTextNumbers"/>
            </w:pPr>
            <w:r>
              <w:t xml:space="preserve">Select or enter a comment in the Comment </w:t>
            </w:r>
            <w:r w:rsidR="00A41AE1">
              <w:t>field</w:t>
            </w:r>
            <w:r>
              <w:t xml:space="preserve"> to explain the change in status, when indicated</w:t>
            </w:r>
            <w:r w:rsidR="002A21AE">
              <w:t>.</w:t>
            </w:r>
            <w:r>
              <w:t xml:space="preserve"> Enter details, as needed.</w:t>
            </w:r>
          </w:p>
        </w:tc>
        <w:tc>
          <w:tcPr>
            <w:tcW w:w="6120" w:type="dxa"/>
          </w:tcPr>
          <w:p w14:paraId="656258AD" w14:textId="77777777" w:rsidR="002A21AE" w:rsidRDefault="002A21AE">
            <w:pPr>
              <w:pStyle w:val="TableTextBullet"/>
            </w:pPr>
            <w:r>
              <w:t>Displays entered data.</w:t>
            </w:r>
          </w:p>
          <w:p w14:paraId="08F0E368" w14:textId="77777777" w:rsidR="004356BF" w:rsidRDefault="004356BF" w:rsidP="004356BF">
            <w:pPr>
              <w:pStyle w:val="TableText"/>
            </w:pPr>
          </w:p>
          <w:p w14:paraId="1C50B83E" w14:textId="2EEDD099" w:rsidR="004356BF" w:rsidRDefault="004356BF" w:rsidP="004356BF">
            <w:pPr>
              <w:pStyle w:val="TableText"/>
              <w:rPr>
                <w:b/>
                <w:bCs/>
                <w:szCs w:val="18"/>
              </w:rPr>
            </w:pPr>
            <w:r>
              <w:rPr>
                <w:b/>
                <w:bCs/>
                <w:szCs w:val="18"/>
              </w:rPr>
              <w:t>NOTES</w:t>
            </w:r>
          </w:p>
          <w:p w14:paraId="5FB8E37C" w14:textId="77777777" w:rsidR="004356BF" w:rsidRDefault="004356BF" w:rsidP="004356BF">
            <w:pPr>
              <w:pStyle w:val="NotesText"/>
            </w:pPr>
          </w:p>
          <w:p w14:paraId="52FBF864" w14:textId="77777777" w:rsidR="004356BF" w:rsidRDefault="004356BF" w:rsidP="004356BF">
            <w:pPr>
              <w:pStyle w:val="NotesText"/>
            </w:pPr>
            <w:r>
              <w:rPr>
                <w:rFonts w:cs="Arial"/>
                <w:vanish/>
              </w:rPr>
              <w:t xml:space="preserve">BR_27.04 </w:t>
            </w:r>
            <w:r>
              <w:t>When a status of “Discard” is assigned to a unit, the user must enter a comment.</w:t>
            </w:r>
          </w:p>
          <w:p w14:paraId="27750732" w14:textId="77777777" w:rsidR="004356BF" w:rsidRDefault="004356BF" w:rsidP="004356BF">
            <w:pPr>
              <w:pStyle w:val="NotesText"/>
            </w:pPr>
          </w:p>
          <w:p w14:paraId="4FA1CE19" w14:textId="77777777" w:rsidR="004356BF" w:rsidRDefault="0097326A" w:rsidP="004356BF">
            <w:pPr>
              <w:pStyle w:val="NotesText"/>
            </w:pPr>
            <w:r w:rsidRPr="00896F17">
              <w:rPr>
                <w:rStyle w:val="BullhornChar"/>
              </w:rPr>
              <w:t></w:t>
            </w:r>
            <w:r>
              <w:rPr>
                <w:rFonts w:ascii="Webdings" w:hAnsi="Webdings"/>
              </w:rPr>
              <w:t></w:t>
            </w:r>
            <w:r w:rsidR="004356BF">
              <w:rPr>
                <w:vanish/>
                <w:szCs w:val="18"/>
              </w:rPr>
              <w:t>BR_27.08</w:t>
            </w:r>
            <w:r w:rsidR="00CE3961">
              <w:rPr>
                <w:vanish/>
                <w:szCs w:val="18"/>
              </w:rPr>
              <w:t>,</w:t>
            </w:r>
            <w:r w:rsidR="004356BF">
              <w:rPr>
                <w:vanish/>
                <w:szCs w:val="18"/>
              </w:rPr>
              <w:t xml:space="preserve"> BR_27.02</w:t>
            </w:r>
            <w:r w:rsidR="00263B24">
              <w:t>W</w:t>
            </w:r>
            <w:r w:rsidR="004356BF">
              <w:t>hen a blood unit is assigned an in</w:t>
            </w:r>
            <w:r w:rsidR="004356BF">
              <w:rPr>
                <w:noProof/>
              </w:rPr>
              <w:t>dicator of “quarantined,” VBECS emits an audible alert, requires a comment, and captures</w:t>
            </w:r>
            <w:r w:rsidR="00AE3CC7">
              <w:rPr>
                <w:noProof/>
              </w:rPr>
              <w:t xml:space="preserve"> details</w:t>
            </w:r>
            <w:r w:rsidR="004356BF">
              <w:t xml:space="preserve"> for inclusion in an Exception Report (exception type: Quarantine, Discard or Release from Quarantine, depending on the user action).</w:t>
            </w:r>
          </w:p>
          <w:p w14:paraId="0D6C731F" w14:textId="77777777" w:rsidR="004356BF" w:rsidRDefault="004356BF" w:rsidP="004356BF">
            <w:pPr>
              <w:pStyle w:val="NotesText"/>
            </w:pPr>
            <w:r>
              <w:rPr>
                <w:rFonts w:cs="Arial"/>
                <w:vanish/>
              </w:rPr>
              <w:lastRenderedPageBreak/>
              <w:t xml:space="preserve">BR_27.11 </w:t>
            </w:r>
            <w:r w:rsidR="00263B24" w:rsidRPr="00896F17">
              <w:rPr>
                <w:rStyle w:val="BullhornChar"/>
              </w:rPr>
              <w:t></w:t>
            </w:r>
            <w:r w:rsidR="00263B24">
              <w:rPr>
                <w:rFonts w:ascii="Webdings" w:hAnsi="Webdings"/>
              </w:rPr>
              <w:t></w:t>
            </w:r>
            <w:r w:rsidR="00263B24">
              <w:t>W</w:t>
            </w:r>
            <w:r>
              <w:t xml:space="preserve">hen a unit is released from quarantine, a new status must be assigned. VBECS assigns the previous status as the default status. When the unit expiration date is in the past, VBECS </w:t>
            </w:r>
            <w:r>
              <w:rPr>
                <w:noProof/>
              </w:rPr>
              <w:t xml:space="preserve">emits an audible alert, warns the user, and asks whether </w:t>
            </w:r>
            <w:r w:rsidR="00782487">
              <w:rPr>
                <w:noProof/>
              </w:rPr>
              <w:t>he</w:t>
            </w:r>
            <w:r>
              <w:rPr>
                <w:noProof/>
              </w:rPr>
              <w:t xml:space="preserve"> wishes to </w:t>
            </w:r>
            <w:r w:rsidR="00AE3CC7">
              <w:rPr>
                <w:noProof/>
              </w:rPr>
              <w:t>continue</w:t>
            </w:r>
            <w:r>
              <w:t>.</w:t>
            </w:r>
          </w:p>
          <w:p w14:paraId="14891E2B" w14:textId="77777777" w:rsidR="004356BF" w:rsidRDefault="004356BF" w:rsidP="004356BF">
            <w:pPr>
              <w:pStyle w:val="NotesText"/>
              <w:rPr>
                <w:b/>
              </w:rPr>
            </w:pPr>
          </w:p>
          <w:p w14:paraId="6B570A0C" w14:textId="77777777" w:rsidR="004356BF" w:rsidRDefault="004356BF" w:rsidP="004356BF">
            <w:pPr>
              <w:pStyle w:val="NotesText"/>
            </w:pPr>
            <w:r>
              <w:rPr>
                <w:b/>
              </w:rPr>
              <w:t>Yes</w:t>
            </w:r>
            <w:r>
              <w:t xml:space="preserve"> accepts the default status, requires a comment, and captures details for inclusion in an Exception Report (exception type: expired unit released from quarantine). </w:t>
            </w:r>
            <w:r>
              <w:rPr>
                <w:b/>
              </w:rPr>
              <w:t>No</w:t>
            </w:r>
            <w:r>
              <w:t xml:space="preserve"> stops the process; the unit remains marked as quarantined.</w:t>
            </w:r>
          </w:p>
          <w:p w14:paraId="05295191" w14:textId="77777777" w:rsidR="004356BF" w:rsidRDefault="004356BF" w:rsidP="004356BF">
            <w:pPr>
              <w:pStyle w:val="NotesText"/>
            </w:pPr>
          </w:p>
          <w:p w14:paraId="1D2AEE09" w14:textId="77777777" w:rsidR="004356BF" w:rsidRDefault="004356BF" w:rsidP="004356BF">
            <w:pPr>
              <w:pStyle w:val="NotesText"/>
            </w:pPr>
            <w:r>
              <w:rPr>
                <w:rFonts w:cs="Arial"/>
                <w:vanish/>
              </w:rPr>
              <w:t xml:space="preserve">BR_27.05 </w:t>
            </w:r>
            <w:r>
              <w:t>When the user assigns a status of “Discard,” he must indicate whether the discard is waste or credit.</w:t>
            </w:r>
          </w:p>
          <w:p w14:paraId="12FA9841" w14:textId="77777777" w:rsidR="004356BF" w:rsidRDefault="004356BF" w:rsidP="004356BF">
            <w:pPr>
              <w:pStyle w:val="NotesText"/>
            </w:pPr>
          </w:p>
          <w:p w14:paraId="32AFA5F1" w14:textId="77777777" w:rsidR="004356BF" w:rsidRDefault="004356BF" w:rsidP="004356BF">
            <w:pPr>
              <w:pStyle w:val="NotesText"/>
            </w:pPr>
            <w:r>
              <w:rPr>
                <w:rFonts w:cs="Arial"/>
                <w:vanish/>
              </w:rPr>
              <w:t xml:space="preserve">BR_27.06 </w:t>
            </w:r>
            <w:r>
              <w:t>When VBECS processes a unit as a discard that is waste, it does not apply a return credit to the discarded unit. (There is no refund of monies from the blood shipper.)</w:t>
            </w:r>
          </w:p>
          <w:p w14:paraId="177DEE76" w14:textId="77777777" w:rsidR="004356BF" w:rsidRDefault="004356BF" w:rsidP="004356BF">
            <w:pPr>
              <w:pStyle w:val="NotesText"/>
            </w:pPr>
          </w:p>
          <w:p w14:paraId="5531EB86" w14:textId="77777777" w:rsidR="004356BF" w:rsidRDefault="004356BF" w:rsidP="004356BF">
            <w:pPr>
              <w:pStyle w:val="NotesText"/>
            </w:pPr>
            <w:r>
              <w:rPr>
                <w:rFonts w:cs="Arial"/>
                <w:vanish/>
              </w:rPr>
              <w:t xml:space="preserve">BR_27.07 </w:t>
            </w:r>
            <w:r>
              <w:t>When VBECS saves a unit as “discard for credit,” it applies a default return credit. A user may edit the default return credit applied to the unit before updating the database.</w:t>
            </w:r>
          </w:p>
          <w:p w14:paraId="77255888" w14:textId="77777777" w:rsidR="004356BF" w:rsidRDefault="004356BF" w:rsidP="004356BF">
            <w:pPr>
              <w:pStyle w:val="NotesText"/>
            </w:pPr>
          </w:p>
          <w:p w14:paraId="6EC245FA" w14:textId="77777777" w:rsidR="004356BF" w:rsidRDefault="004356BF" w:rsidP="004356BF">
            <w:pPr>
              <w:pStyle w:val="NotesText"/>
            </w:pPr>
            <w:r>
              <w:rPr>
                <w:rFonts w:cs="Arial"/>
                <w:vanish/>
              </w:rPr>
              <w:t xml:space="preserve">BR_27.15 </w:t>
            </w:r>
            <w:r>
              <w:t xml:space="preserve">When a unit </w:t>
            </w:r>
            <w:r w:rsidR="00621E98">
              <w:t>has had a quarantine indicator</w:t>
            </w:r>
            <w:r>
              <w:t xml:space="preserve"> assigned, VBECS releases </w:t>
            </w:r>
            <w:r w:rsidR="00621E98">
              <w:t xml:space="preserve">any </w:t>
            </w:r>
            <w:r>
              <w:t>patient assignments. Patient restrictions associa</w:t>
            </w:r>
            <w:r w:rsidR="00621E98">
              <w:t>ted with the unit remain intact.</w:t>
            </w:r>
          </w:p>
          <w:p w14:paraId="2E03694E" w14:textId="77777777" w:rsidR="004356BF" w:rsidRDefault="004356BF" w:rsidP="004356BF">
            <w:pPr>
              <w:pStyle w:val="NotesText"/>
            </w:pPr>
          </w:p>
          <w:p w14:paraId="53EB94F3" w14:textId="77777777" w:rsidR="004356BF" w:rsidRDefault="004356BF" w:rsidP="00782487">
            <w:pPr>
              <w:pStyle w:val="NotesText"/>
            </w:pPr>
            <w:r>
              <w:rPr>
                <w:rFonts w:cs="Arial"/>
                <w:vanish/>
              </w:rPr>
              <w:t xml:space="preserve">BR_27.16 </w:t>
            </w:r>
            <w:r>
              <w:t>When a user attempts to release a unit from quarantine and the unit was quarantined because of a data conflict, VBECS checks the inconsistency before allowing the unit to be released. VBECS warns the user. There is no override. The user must invalidate the incorrect information or test to resolve the data conflict.</w:t>
            </w:r>
          </w:p>
        </w:tc>
      </w:tr>
      <w:tr w:rsidR="002A21AE" w14:paraId="704A2DE7" w14:textId="77777777">
        <w:tc>
          <w:tcPr>
            <w:tcW w:w="3240" w:type="dxa"/>
          </w:tcPr>
          <w:p w14:paraId="09838A7A" w14:textId="77777777" w:rsidR="002A21AE" w:rsidRDefault="004724C0">
            <w:pPr>
              <w:pStyle w:val="TableTextNumbers"/>
            </w:pPr>
            <w:r>
              <w:lastRenderedPageBreak/>
              <w:t>E</w:t>
            </w:r>
            <w:r w:rsidR="00A41AE1">
              <w:t>nter</w:t>
            </w:r>
            <w:r w:rsidR="002A21AE">
              <w:t xml:space="preserve"> the date and time of the status update. </w:t>
            </w:r>
          </w:p>
          <w:p w14:paraId="16642883" w14:textId="77777777" w:rsidR="009535FF" w:rsidRDefault="009535FF" w:rsidP="009535FF">
            <w:pPr>
              <w:pStyle w:val="TableTextNumbersContinued"/>
            </w:pPr>
          </w:p>
          <w:p w14:paraId="1B72FA4A" w14:textId="77777777" w:rsidR="009535FF" w:rsidRDefault="009535FF" w:rsidP="009535FF">
            <w:pPr>
              <w:pStyle w:val="TableTextNumbersContinued"/>
            </w:pPr>
            <w:r>
              <w:t xml:space="preserve">Click the </w:t>
            </w:r>
            <w:r w:rsidRPr="009535FF">
              <w:rPr>
                <w:b/>
              </w:rPr>
              <w:t>Waste</w:t>
            </w:r>
            <w:r>
              <w:t xml:space="preserve"> or </w:t>
            </w:r>
            <w:r w:rsidRPr="009535FF">
              <w:rPr>
                <w:b/>
              </w:rPr>
              <w:t xml:space="preserve">Credit </w:t>
            </w:r>
            <w:r w:rsidRPr="00BF2E41">
              <w:t>radio button</w:t>
            </w:r>
            <w:r>
              <w:t>.</w:t>
            </w:r>
          </w:p>
        </w:tc>
        <w:tc>
          <w:tcPr>
            <w:tcW w:w="6120" w:type="dxa"/>
          </w:tcPr>
          <w:p w14:paraId="24F8B46A" w14:textId="77777777" w:rsidR="002A21AE" w:rsidRDefault="009D6D56">
            <w:pPr>
              <w:pStyle w:val="TableTextBullet"/>
            </w:pPr>
            <w:r>
              <w:rPr>
                <w:vanish/>
              </w:rPr>
              <w:t xml:space="preserve">DR 3241 </w:t>
            </w:r>
            <w:r>
              <w:t>VBECS defaults the date and time of the status update to the date and time the user opened the Discard or Quarantine option</w:t>
            </w:r>
          </w:p>
          <w:p w14:paraId="742DFD94" w14:textId="77777777" w:rsidR="002A21AE" w:rsidRDefault="002A21AE">
            <w:pPr>
              <w:pStyle w:val="TableTextBullet"/>
            </w:pPr>
            <w:r>
              <w:t>Displays entered data.</w:t>
            </w:r>
          </w:p>
          <w:p w14:paraId="23660403" w14:textId="77777777" w:rsidR="002A21AE" w:rsidRDefault="002A21AE">
            <w:pPr>
              <w:pStyle w:val="TableText"/>
            </w:pPr>
          </w:p>
          <w:p w14:paraId="1BB4BAA3" w14:textId="746847E8" w:rsidR="002A21AE" w:rsidRDefault="002A21AE">
            <w:pPr>
              <w:pStyle w:val="TableText"/>
              <w:rPr>
                <w:b/>
                <w:bCs/>
                <w:szCs w:val="18"/>
              </w:rPr>
            </w:pPr>
            <w:r>
              <w:rPr>
                <w:b/>
                <w:bCs/>
                <w:szCs w:val="18"/>
              </w:rPr>
              <w:t>NOTES</w:t>
            </w:r>
          </w:p>
          <w:p w14:paraId="7F68C6FE" w14:textId="77777777" w:rsidR="002A21AE" w:rsidRDefault="002A21AE">
            <w:pPr>
              <w:pStyle w:val="NotesText"/>
            </w:pPr>
          </w:p>
          <w:p w14:paraId="71A6FEEC" w14:textId="77777777" w:rsidR="002A21AE" w:rsidRDefault="002A21AE">
            <w:pPr>
              <w:pStyle w:val="NotesText"/>
            </w:pPr>
            <w:r>
              <w:t>The default date and time are the current date and time.</w:t>
            </w:r>
          </w:p>
          <w:p w14:paraId="2E8E9F4B" w14:textId="77777777" w:rsidR="002A21AE" w:rsidRDefault="002A21AE">
            <w:pPr>
              <w:pStyle w:val="NotesText"/>
            </w:pPr>
          </w:p>
          <w:p w14:paraId="3081C7F4" w14:textId="77777777" w:rsidR="002A21AE" w:rsidRDefault="002A21AE">
            <w:pPr>
              <w:pStyle w:val="NotesText"/>
            </w:pPr>
            <w:r>
              <w:rPr>
                <w:rFonts w:cs="Arial"/>
                <w:vanish/>
              </w:rPr>
              <w:t xml:space="preserve">BR_27.14 </w:t>
            </w:r>
            <w:r>
              <w:t>When the user updates the status of a unit and enters a date or time in the past, VBECS compares the retrospective date and time with the last record update for the unit. VBECS allows the user to update a unit record with a date and time between the last record update and the current date and time.</w:t>
            </w:r>
            <w:bookmarkStart w:id="422" w:name="one2511"/>
            <w:bookmarkEnd w:id="422"/>
          </w:p>
          <w:p w14:paraId="7DE0AEF5" w14:textId="77777777" w:rsidR="002A21AE" w:rsidRDefault="002A21AE">
            <w:pPr>
              <w:pStyle w:val="NotesText"/>
            </w:pPr>
          </w:p>
          <w:p w14:paraId="2FA4EC9C" w14:textId="77777777" w:rsidR="002A21AE" w:rsidRDefault="00263B24">
            <w:pPr>
              <w:pStyle w:val="NotesText"/>
            </w:pPr>
            <w:r w:rsidRPr="00896F17">
              <w:rPr>
                <w:rStyle w:val="BullhornChar"/>
              </w:rPr>
              <w:t></w:t>
            </w:r>
            <w:r w:rsidR="002A21AE" w:rsidRPr="00EC7489">
              <w:rPr>
                <w:rFonts w:ascii="Wingdings 3" w:hAnsi="Wingdings 3" w:cs="Wingdings"/>
              </w:rPr>
              <w:t></w:t>
            </w:r>
            <w:r w:rsidR="002A21AE" w:rsidRPr="00EC7489">
              <w:rPr>
                <w:rFonts w:ascii="Wingdings 3" w:hAnsi="Wingdings 3" w:cs="Wingdings"/>
              </w:rPr>
              <w:t></w:t>
            </w:r>
            <w:r w:rsidR="002A21AE">
              <w:t xml:space="preserve"> When the user attempts to update a unit record prior to the last record update, VBECS emits an audible alert, warns the Enhanced Technologist, and instructs him to check the date and time entered. There is no override.</w:t>
            </w:r>
          </w:p>
          <w:p w14:paraId="6515DD09" w14:textId="77777777" w:rsidR="002A21AE" w:rsidRDefault="002A21AE">
            <w:pPr>
              <w:pStyle w:val="NotesText"/>
            </w:pPr>
          </w:p>
          <w:p w14:paraId="12CD7D3C" w14:textId="77777777" w:rsidR="002A21AE" w:rsidRDefault="005C768D">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2A21AE">
              <w:t xml:space="preserve">When the user is a Lead Technologist, VBECS also requires a comment and asks whether the user wishes to continue. </w:t>
            </w:r>
            <w:r w:rsidR="002A21AE">
              <w:rPr>
                <w:b/>
              </w:rPr>
              <w:t>Yes</w:t>
            </w:r>
            <w:r w:rsidR="002A21AE">
              <w:t xml:space="preserve"> accepts the date and time entered, requires a comment, and captures details for inclusion in an Exception </w:t>
            </w:r>
            <w:r w:rsidR="002A21AE">
              <w:lastRenderedPageBreak/>
              <w:t xml:space="preserve">Report (exception type: retrospective update prior to last record update). </w:t>
            </w:r>
            <w:r w:rsidR="002A21AE">
              <w:rPr>
                <w:b/>
              </w:rPr>
              <w:t>No</w:t>
            </w:r>
            <w:r w:rsidR="002A21AE">
              <w:t xml:space="preserve"> allows the user to correct the entry.</w:t>
            </w:r>
          </w:p>
        </w:tc>
      </w:tr>
      <w:tr w:rsidR="002A21AE" w14:paraId="777E294B" w14:textId="77777777">
        <w:tc>
          <w:tcPr>
            <w:tcW w:w="3240" w:type="dxa"/>
          </w:tcPr>
          <w:p w14:paraId="68CFDF37" w14:textId="77777777" w:rsidR="002A21AE" w:rsidRDefault="002A21AE" w:rsidP="00A41AE1">
            <w:pPr>
              <w:pStyle w:val="TableTextNumbers"/>
            </w:pPr>
            <w:r>
              <w:lastRenderedPageBreak/>
              <w:t xml:space="preserve">Review the unit status update information and </w:t>
            </w:r>
            <w:r w:rsidR="009535FF">
              <w:t>c</w:t>
            </w:r>
            <w:r>
              <w:t xml:space="preserve">lick </w:t>
            </w:r>
            <w:r w:rsidR="005122E2">
              <w:rPr>
                <w:b/>
              </w:rPr>
              <w:t>Save</w:t>
            </w:r>
            <w:r w:rsidR="005122E2" w:rsidRPr="009535FF">
              <w:t xml:space="preserve"> </w:t>
            </w:r>
            <w:r w:rsidR="009535FF" w:rsidRPr="009535FF">
              <w:t>to save</w:t>
            </w:r>
            <w:r>
              <w:t>.</w:t>
            </w:r>
          </w:p>
        </w:tc>
        <w:tc>
          <w:tcPr>
            <w:tcW w:w="6120" w:type="dxa"/>
          </w:tcPr>
          <w:p w14:paraId="09B33B31" w14:textId="77777777" w:rsidR="002A21AE" w:rsidRDefault="002A21AE">
            <w:pPr>
              <w:pStyle w:val="TableTextBullet"/>
            </w:pPr>
            <w:r>
              <w:t xml:space="preserve">Evaluates the unit’s current status to determine whether it is eligible for the selected function. </w:t>
            </w:r>
          </w:p>
          <w:p w14:paraId="3BF28418" w14:textId="77777777" w:rsidR="002A21AE" w:rsidRDefault="002A21AE">
            <w:pPr>
              <w:pStyle w:val="TableTextBullet"/>
            </w:pPr>
            <w:r>
              <w:t>Displays appropriate error messages when the unit cannot be processed.</w:t>
            </w:r>
          </w:p>
          <w:p w14:paraId="61C25685" w14:textId="77777777" w:rsidR="002A21AE" w:rsidRDefault="002A21AE">
            <w:pPr>
              <w:pStyle w:val="TableTextBullet"/>
            </w:pPr>
            <w:r>
              <w:t>Prompts the user to confirm the save.</w:t>
            </w:r>
          </w:p>
        </w:tc>
      </w:tr>
      <w:tr w:rsidR="002A21AE" w14:paraId="534B1687" w14:textId="77777777">
        <w:tc>
          <w:tcPr>
            <w:tcW w:w="3240" w:type="dxa"/>
          </w:tcPr>
          <w:p w14:paraId="3E03218D" w14:textId="77777777" w:rsidR="002A21AE" w:rsidRDefault="009535FF">
            <w:pPr>
              <w:pStyle w:val="TableTextNumbers"/>
            </w:pPr>
            <w:r>
              <w:t xml:space="preserve">Click </w:t>
            </w:r>
            <w:r w:rsidRPr="009535FF">
              <w:rPr>
                <w:b/>
              </w:rPr>
              <w:t>Yes</w:t>
            </w:r>
            <w:r>
              <w:t xml:space="preserve"> to c</w:t>
            </w:r>
            <w:r w:rsidR="002A21AE">
              <w:t>onfirm the save.</w:t>
            </w:r>
            <w:r>
              <w:rPr>
                <w:vanish/>
                <w:color w:val="FFFFFF"/>
                <w:szCs w:val="18"/>
              </w:rPr>
              <w:t xml:space="preserve"> </w:t>
            </w:r>
            <w:r w:rsidRPr="009D2C1A">
              <w:rPr>
                <w:vanish/>
                <w:szCs w:val="18"/>
              </w:rPr>
              <w:fldChar w:fldCharType="begin"/>
            </w:r>
            <w:r w:rsidRPr="009D2C1A">
              <w:rPr>
                <w:vanish/>
                <w:szCs w:val="18"/>
              </w:rPr>
              <w:instrText xml:space="preserve"> LISTNUM \l 1 \s 0 </w:instrText>
            </w:r>
            <w:r w:rsidRPr="009D2C1A">
              <w:rPr>
                <w:vanish/>
                <w:szCs w:val="18"/>
              </w:rPr>
              <w:fldChar w:fldCharType="end">
                <w:numberingChange w:id="423" w:author="Blalock, David (Leidos)" w:date="2020-06-15T14:09:00Z" w:original="0."/>
              </w:fldChar>
            </w:r>
          </w:p>
        </w:tc>
        <w:tc>
          <w:tcPr>
            <w:tcW w:w="6120" w:type="dxa"/>
          </w:tcPr>
          <w:p w14:paraId="192AE914" w14:textId="77777777" w:rsidR="002A21AE" w:rsidRDefault="002A21AE">
            <w:pPr>
              <w:pStyle w:val="TableTextBullet"/>
            </w:pPr>
            <w:r>
              <w:t>Saves the data.</w:t>
            </w:r>
          </w:p>
          <w:p w14:paraId="1E3C695A" w14:textId="77777777" w:rsidR="002A21AE" w:rsidRDefault="002A21AE">
            <w:pPr>
              <w:pStyle w:val="TableText"/>
            </w:pPr>
          </w:p>
          <w:p w14:paraId="0EA2674F" w14:textId="5F9B96AD" w:rsidR="002A21AE" w:rsidRDefault="002A21AE">
            <w:pPr>
              <w:pStyle w:val="TableText"/>
              <w:rPr>
                <w:b/>
                <w:bCs/>
                <w:szCs w:val="18"/>
              </w:rPr>
            </w:pPr>
            <w:r>
              <w:rPr>
                <w:b/>
                <w:bCs/>
                <w:szCs w:val="18"/>
              </w:rPr>
              <w:t>NOTES</w:t>
            </w:r>
          </w:p>
          <w:p w14:paraId="0761EB5D" w14:textId="77777777" w:rsidR="002A21AE" w:rsidRDefault="002A21AE">
            <w:pPr>
              <w:pStyle w:val="NotesText"/>
            </w:pPr>
          </w:p>
          <w:p w14:paraId="528F01F6" w14:textId="77777777" w:rsidR="002A21AE" w:rsidRDefault="002A21AE">
            <w:pPr>
              <w:pStyle w:val="NotesText"/>
            </w:pPr>
            <w:r>
              <w:rPr>
                <w:rFonts w:cs="Arial"/>
                <w:vanish/>
              </w:rPr>
              <w:t xml:space="preserve">BR_27.01 </w:t>
            </w:r>
            <w:r>
              <w:t>During batch data entry of “Discard,” “Quarantine,” and “Release from Quarantine,” VBECS saves transaction details, including user-entered comments, to each blood unit included in the batch.</w:t>
            </w:r>
          </w:p>
        </w:tc>
      </w:tr>
    </w:tbl>
    <w:p w14:paraId="02AC22EC" w14:textId="0DDE02AF" w:rsidR="00550732" w:rsidRDefault="00550732" w:rsidP="00550732">
      <w:pPr>
        <w:pStyle w:val="Caption"/>
      </w:pPr>
      <w:bookmarkStart w:id="424" w:name="_Select_Units"/>
      <w:bookmarkStart w:id="425" w:name="_Ref126653702"/>
      <w:bookmarkEnd w:id="42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96</w:t>
      </w:r>
      <w:r w:rsidR="004E20BD">
        <w:rPr>
          <w:noProof/>
        </w:rPr>
        <w:fldChar w:fldCharType="end"/>
      </w:r>
      <w:bookmarkEnd w:id="425"/>
      <w:r>
        <w:t>: Discard or Quarantine Units</w:t>
      </w:r>
    </w:p>
    <w:p w14:paraId="20C45E1A" w14:textId="77777777" w:rsidR="00550732" w:rsidRDefault="00057948" w:rsidP="00550732">
      <w:pPr>
        <w:pStyle w:val="BodyText"/>
      </w:pPr>
      <w:r>
        <w:rPr>
          <w:noProof/>
        </w:rPr>
        <w:drawing>
          <wp:inline distT="0" distB="0" distL="0" distR="0" wp14:anchorId="4C062F22" wp14:editId="4AE5E4A3">
            <wp:extent cx="5126355" cy="4193540"/>
            <wp:effectExtent l="0" t="0" r="0" b="0"/>
            <wp:docPr id="184" name="Picture 1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a:extLst>
                        <a:ext uri="{C183D7F6-B498-43B3-948B-1728B52AA6E4}">
                          <adec:decorative xmlns:adec="http://schemas.microsoft.com/office/drawing/2017/decorative" val="1"/>
                        </a:ext>
                      </a:extLst>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126355" cy="4193540"/>
                    </a:xfrm>
                    <a:prstGeom prst="rect">
                      <a:avLst/>
                    </a:prstGeom>
                    <a:noFill/>
                    <a:ln>
                      <a:noFill/>
                    </a:ln>
                  </pic:spPr>
                </pic:pic>
              </a:graphicData>
            </a:graphic>
          </wp:inline>
        </w:drawing>
      </w:r>
    </w:p>
    <w:p w14:paraId="285ABEED" w14:textId="77777777" w:rsidR="002A21AE" w:rsidRDefault="00375257" w:rsidP="00E653FE">
      <w:pPr>
        <w:pStyle w:val="Heading4"/>
      </w:pPr>
      <w:r>
        <w:br w:type="page"/>
      </w:r>
      <w:r w:rsidR="00E653FE">
        <w:lastRenderedPageBreak/>
        <w:t>Discard or Quarantine Units by Invoice</w:t>
      </w:r>
      <w:r w:rsidR="00561EA7">
        <w:fldChar w:fldCharType="begin"/>
      </w:r>
      <w:r w:rsidR="00561EA7">
        <w:instrText xml:space="preserve"> XE "</w:instrText>
      </w:r>
      <w:r w:rsidR="00561EA7" w:rsidRPr="008B7F3F">
        <w:instrText>Discard or Quarantine Units by Invoice</w:instrText>
      </w:r>
      <w:r w:rsidR="00561EA7">
        <w:instrText xml:space="preserve">" </w:instrText>
      </w:r>
      <w:r w:rsidR="00561EA7">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9535FF" w14:paraId="301052A5" w14:textId="77777777">
        <w:trPr>
          <w:cantSplit/>
          <w:tblHeader/>
        </w:trPr>
        <w:tc>
          <w:tcPr>
            <w:tcW w:w="3240" w:type="dxa"/>
            <w:shd w:val="pct30" w:color="auto" w:fill="FFFFFF"/>
            <w:vAlign w:val="bottom"/>
          </w:tcPr>
          <w:p w14:paraId="3C5B4C69" w14:textId="77777777" w:rsidR="009535FF" w:rsidRDefault="009535FF" w:rsidP="004356BF">
            <w:pPr>
              <w:pStyle w:val="TableText"/>
              <w:rPr>
                <w:b/>
              </w:rPr>
            </w:pPr>
            <w:r>
              <w:rPr>
                <w:b/>
              </w:rPr>
              <w:t>User Action</w:t>
            </w:r>
          </w:p>
        </w:tc>
        <w:tc>
          <w:tcPr>
            <w:tcW w:w="6120" w:type="dxa"/>
            <w:shd w:val="pct30" w:color="auto" w:fill="FFFFFF"/>
            <w:vAlign w:val="bottom"/>
          </w:tcPr>
          <w:p w14:paraId="158F2878" w14:textId="77777777" w:rsidR="009535FF" w:rsidRDefault="009535FF" w:rsidP="004356BF">
            <w:pPr>
              <w:pStyle w:val="TableText"/>
              <w:rPr>
                <w:b/>
              </w:rPr>
            </w:pPr>
            <w:r>
              <w:rPr>
                <w:b/>
              </w:rPr>
              <w:t>VBECS</w:t>
            </w:r>
          </w:p>
        </w:tc>
      </w:tr>
      <w:tr w:rsidR="009535FF" w14:paraId="77D10657" w14:textId="77777777">
        <w:tc>
          <w:tcPr>
            <w:tcW w:w="3240" w:type="dxa"/>
          </w:tcPr>
          <w:p w14:paraId="7D3F4F9E" w14:textId="77777777" w:rsidR="009535FF" w:rsidRDefault="009535FF" w:rsidP="006E12D3">
            <w:pPr>
              <w:pStyle w:val="TableTextNumbers"/>
            </w:pPr>
            <w:r>
              <w:t xml:space="preserve">Select </w:t>
            </w:r>
            <w:r>
              <w:rPr>
                <w:b/>
              </w:rPr>
              <w:t>Shipments</w:t>
            </w:r>
            <w:r>
              <w:t xml:space="preserve"> from the main menu.</w:t>
            </w:r>
          </w:p>
          <w:p w14:paraId="00DE4BC6" w14:textId="77777777" w:rsidR="009535FF" w:rsidRDefault="009535FF" w:rsidP="004356BF">
            <w:pPr>
              <w:pStyle w:val="TableTextNumbersContinued"/>
            </w:pPr>
          </w:p>
          <w:p w14:paraId="6B0DA9A4" w14:textId="77777777" w:rsidR="009535FF" w:rsidRDefault="009535FF" w:rsidP="004356BF">
            <w:pPr>
              <w:pStyle w:val="TableTextNumbersContinued"/>
            </w:pPr>
            <w:r>
              <w:t xml:space="preserve">Select </w:t>
            </w:r>
            <w:r>
              <w:rPr>
                <w:b/>
              </w:rPr>
              <w:t>Discard or Quarantine</w:t>
            </w:r>
            <w:r>
              <w:t>.</w:t>
            </w:r>
          </w:p>
          <w:p w14:paraId="0631FA0F" w14:textId="77777777" w:rsidR="009535FF" w:rsidRDefault="009535FF" w:rsidP="004356BF">
            <w:pPr>
              <w:pStyle w:val="TableTextNumbersContinued"/>
            </w:pPr>
          </w:p>
          <w:p w14:paraId="4652CBAB" w14:textId="77777777" w:rsidR="009535FF" w:rsidRDefault="009535FF" w:rsidP="004356BF">
            <w:pPr>
              <w:pStyle w:val="TableTextNumbersContinued"/>
            </w:pPr>
            <w:r>
              <w:t xml:space="preserve">Select an invoice and click </w:t>
            </w:r>
            <w:r>
              <w:rPr>
                <w:b/>
              </w:rPr>
              <w:t>OK</w:t>
            </w:r>
            <w:r>
              <w:t>.</w:t>
            </w:r>
          </w:p>
        </w:tc>
        <w:tc>
          <w:tcPr>
            <w:tcW w:w="6120" w:type="dxa"/>
          </w:tcPr>
          <w:p w14:paraId="715C3E21" w14:textId="77777777" w:rsidR="009535FF" w:rsidRDefault="009535FF" w:rsidP="004356BF">
            <w:pPr>
              <w:pStyle w:val="TableTextBullet"/>
            </w:pPr>
            <w:r>
              <w:t>Displays options for processing blood product shipments.</w:t>
            </w:r>
          </w:p>
          <w:p w14:paraId="7AC85E1D" w14:textId="77777777" w:rsidR="009535FF" w:rsidRDefault="009535FF" w:rsidP="004356BF">
            <w:pPr>
              <w:pStyle w:val="TableTextBullet"/>
            </w:pPr>
            <w:r>
              <w:t>Displays fields for entering shipment information.</w:t>
            </w:r>
          </w:p>
          <w:p w14:paraId="73CF6E8D" w14:textId="77777777" w:rsidR="009535FF" w:rsidRDefault="009535FF" w:rsidP="004356BF">
            <w:pPr>
              <w:pStyle w:val="TableTextBullet"/>
            </w:pPr>
            <w:r>
              <w:t xml:space="preserve">Allows </w:t>
            </w:r>
            <w:r w:rsidR="00E00A07">
              <w:t>the user to discard</w:t>
            </w:r>
            <w:r>
              <w:t xml:space="preserve"> or quarantine</w:t>
            </w:r>
            <w:r w:rsidR="00E00A07">
              <w:t xml:space="preserve"> units</w:t>
            </w:r>
            <w:r>
              <w:t xml:space="preserve"> by invoice.</w:t>
            </w:r>
          </w:p>
        </w:tc>
      </w:tr>
      <w:tr w:rsidR="009535FF" w14:paraId="62859EA8" w14:textId="77777777">
        <w:tc>
          <w:tcPr>
            <w:tcW w:w="3240" w:type="dxa"/>
          </w:tcPr>
          <w:p w14:paraId="28ED1FD5" w14:textId="77777777" w:rsidR="009535FF" w:rsidRDefault="006E12D3" w:rsidP="004356BF">
            <w:pPr>
              <w:pStyle w:val="TableTextNumbers"/>
            </w:pPr>
            <w:r>
              <w:t xml:space="preserve">Click </w:t>
            </w:r>
            <w:r w:rsidR="00E00A07">
              <w:t xml:space="preserve">(clear) </w:t>
            </w:r>
            <w:r>
              <w:t>one or more check boxes to remove units from the invoice.</w:t>
            </w:r>
          </w:p>
          <w:p w14:paraId="2BEAFB55" w14:textId="77777777" w:rsidR="006E12D3" w:rsidRDefault="006E12D3" w:rsidP="006E12D3">
            <w:pPr>
              <w:pStyle w:val="TableTextNumbersContinued"/>
            </w:pPr>
          </w:p>
          <w:p w14:paraId="70B8B442" w14:textId="77777777" w:rsidR="006E12D3" w:rsidRDefault="006E12D3" w:rsidP="006E12D3">
            <w:pPr>
              <w:pStyle w:val="TableTextNumbersContinued"/>
            </w:pPr>
            <w:r>
              <w:t xml:space="preserve">Click </w:t>
            </w:r>
            <w:r w:rsidRPr="006E12D3">
              <w:rPr>
                <w:b/>
              </w:rPr>
              <w:t>OK</w:t>
            </w:r>
            <w:r>
              <w:t>.</w:t>
            </w:r>
          </w:p>
        </w:tc>
        <w:tc>
          <w:tcPr>
            <w:tcW w:w="6120" w:type="dxa"/>
          </w:tcPr>
          <w:p w14:paraId="78E833A5" w14:textId="77777777" w:rsidR="003E1884" w:rsidRDefault="00EC1460" w:rsidP="003E1884">
            <w:pPr>
              <w:pStyle w:val="TableTextBullet"/>
            </w:pPr>
            <w:r>
              <w:t>Allows the user to select individual units.</w:t>
            </w:r>
          </w:p>
          <w:p w14:paraId="7F1241E4" w14:textId="77777777" w:rsidR="00EC1460" w:rsidRDefault="00EC1460" w:rsidP="003E1884">
            <w:pPr>
              <w:pStyle w:val="TableTextBullet"/>
            </w:pPr>
            <w:r>
              <w:t>Displays unit information, including the current status included in the invoice.</w:t>
            </w:r>
          </w:p>
          <w:p w14:paraId="7A76B8E4" w14:textId="77777777" w:rsidR="00EC1460" w:rsidRDefault="00EC1460" w:rsidP="003E1884">
            <w:pPr>
              <w:pStyle w:val="TableTextBullet"/>
            </w:pPr>
            <w:r>
              <w:t>Allows the user to deselect units from the batch prior to editing.</w:t>
            </w:r>
          </w:p>
          <w:p w14:paraId="37A006C7" w14:textId="77777777" w:rsidR="003E1884" w:rsidRDefault="003E1884" w:rsidP="004356BF">
            <w:pPr>
              <w:pStyle w:val="TableText"/>
              <w:rPr>
                <w:b/>
                <w:bCs/>
                <w:szCs w:val="18"/>
              </w:rPr>
            </w:pPr>
          </w:p>
          <w:p w14:paraId="1130D531" w14:textId="6EF04D60" w:rsidR="009535FF" w:rsidRDefault="009535FF" w:rsidP="004356BF">
            <w:pPr>
              <w:pStyle w:val="TableText"/>
              <w:rPr>
                <w:b/>
                <w:bCs/>
                <w:szCs w:val="18"/>
              </w:rPr>
            </w:pPr>
            <w:r>
              <w:rPr>
                <w:b/>
                <w:bCs/>
                <w:szCs w:val="18"/>
              </w:rPr>
              <w:t>NOTES</w:t>
            </w:r>
          </w:p>
          <w:p w14:paraId="196F6490" w14:textId="77777777" w:rsidR="009535FF" w:rsidRPr="00BE1A93" w:rsidRDefault="009535FF" w:rsidP="00BE1A93">
            <w:pPr>
              <w:pStyle w:val="NotesText"/>
            </w:pPr>
          </w:p>
          <w:p w14:paraId="61719EC9" w14:textId="77777777" w:rsidR="009535FF" w:rsidRDefault="00D1603E" w:rsidP="00BE1A93">
            <w:pPr>
              <w:pStyle w:val="NotesText"/>
            </w:pPr>
            <w:r w:rsidRPr="00D1603E">
              <w:rPr>
                <w:vanish/>
                <w:szCs w:val="18"/>
              </w:rPr>
              <w:t xml:space="preserve">BR_27.09 </w:t>
            </w:r>
            <w:r w:rsidR="00BE1A93" w:rsidRPr="00BE1A93">
              <w:t>For batch processing, the user may select incoming shipment invoic</w:t>
            </w:r>
            <w:r w:rsidR="00BE1A93">
              <w:t>es from t</w:t>
            </w:r>
            <w:r w:rsidR="00BE1A93" w:rsidRPr="00BE1A93">
              <w:t>h</w:t>
            </w:r>
            <w:r w:rsidR="00BE1A93">
              <w:t>e</w:t>
            </w:r>
            <w:r w:rsidR="00BE1A93" w:rsidRPr="00BE1A93">
              <w:t xml:space="preserve"> previous five days processed in the same division as the user.</w:t>
            </w:r>
          </w:p>
          <w:p w14:paraId="5EE560E1" w14:textId="77777777" w:rsidR="00D1603E" w:rsidRDefault="00D1603E" w:rsidP="00BE1A93">
            <w:pPr>
              <w:pStyle w:val="NotesText"/>
            </w:pPr>
          </w:p>
          <w:p w14:paraId="20C28C1B" w14:textId="77777777" w:rsidR="00D1603E" w:rsidRDefault="00D1603E" w:rsidP="00BE1A93">
            <w:pPr>
              <w:pStyle w:val="NotesText"/>
            </w:pPr>
            <w:r w:rsidRPr="00D1603E">
              <w:rPr>
                <w:vanish/>
                <w:szCs w:val="18"/>
              </w:rPr>
              <w:t xml:space="preserve">BR_27.12 </w:t>
            </w:r>
            <w:r>
              <w:t>Only incoming shipment invoices processed within the user’s division may be accessed for batch processing.</w:t>
            </w:r>
          </w:p>
        </w:tc>
      </w:tr>
      <w:tr w:rsidR="009544D4" w14:paraId="42E3B337" w14:textId="77777777">
        <w:tc>
          <w:tcPr>
            <w:tcW w:w="3240" w:type="dxa"/>
            <w:tcBorders>
              <w:top w:val="single" w:sz="4" w:space="0" w:color="auto"/>
              <w:left w:val="single" w:sz="4" w:space="0" w:color="auto"/>
              <w:bottom w:val="single" w:sz="4" w:space="0" w:color="auto"/>
              <w:right w:val="single" w:sz="4" w:space="0" w:color="auto"/>
            </w:tcBorders>
          </w:tcPr>
          <w:p w14:paraId="3B246B5F" w14:textId="77777777" w:rsidR="009544D4" w:rsidRDefault="009544D4" w:rsidP="00F90585">
            <w:pPr>
              <w:pStyle w:val="TableTextNumbers"/>
            </w:pPr>
            <w:r>
              <w:t xml:space="preserve">In the Activity area, click the </w:t>
            </w:r>
            <w:r w:rsidRPr="009544D4">
              <w:rPr>
                <w:b/>
              </w:rPr>
              <w:t>Discard</w:t>
            </w:r>
            <w:r>
              <w:t xml:space="preserve">, </w:t>
            </w:r>
            <w:r w:rsidRPr="009544D4">
              <w:rPr>
                <w:b/>
              </w:rPr>
              <w:t>Quarantine</w:t>
            </w:r>
            <w:r>
              <w:t xml:space="preserve">, or </w:t>
            </w:r>
            <w:r w:rsidRPr="009544D4">
              <w:rPr>
                <w:b/>
              </w:rPr>
              <w:t xml:space="preserve">Release from Quarantine </w:t>
            </w:r>
            <w:r w:rsidRPr="00BF2E41">
              <w:t>radio button</w:t>
            </w:r>
            <w:r>
              <w:t xml:space="preserve">. </w:t>
            </w:r>
          </w:p>
        </w:tc>
        <w:tc>
          <w:tcPr>
            <w:tcW w:w="6120" w:type="dxa"/>
            <w:tcBorders>
              <w:top w:val="single" w:sz="4" w:space="0" w:color="auto"/>
              <w:left w:val="single" w:sz="4" w:space="0" w:color="auto"/>
              <w:bottom w:val="single" w:sz="4" w:space="0" w:color="auto"/>
              <w:right w:val="single" w:sz="4" w:space="0" w:color="auto"/>
            </w:tcBorders>
          </w:tcPr>
          <w:p w14:paraId="7F37FB44" w14:textId="77777777" w:rsidR="00BE1A93" w:rsidRDefault="00BE1A93" w:rsidP="00BE1A93">
            <w:pPr>
              <w:pStyle w:val="TableText"/>
              <w:rPr>
                <w:b/>
                <w:bCs/>
                <w:szCs w:val="18"/>
              </w:rPr>
            </w:pPr>
          </w:p>
          <w:p w14:paraId="21AF6527" w14:textId="13D5569C" w:rsidR="00BE1A93" w:rsidRDefault="00BE1A93" w:rsidP="00BE1A93">
            <w:pPr>
              <w:pStyle w:val="TableText"/>
              <w:rPr>
                <w:b/>
                <w:bCs/>
                <w:szCs w:val="18"/>
              </w:rPr>
            </w:pPr>
            <w:r>
              <w:rPr>
                <w:b/>
                <w:bCs/>
                <w:szCs w:val="18"/>
              </w:rPr>
              <w:t>NOTES</w:t>
            </w:r>
          </w:p>
          <w:p w14:paraId="60C84FF9" w14:textId="77777777" w:rsidR="00BE1A93" w:rsidRDefault="00BE1A93" w:rsidP="00467E7D">
            <w:pPr>
              <w:pStyle w:val="NotesText"/>
            </w:pPr>
          </w:p>
          <w:p w14:paraId="7FB0F63E" w14:textId="77777777" w:rsidR="009544D4" w:rsidRDefault="00BE1A93" w:rsidP="00467E7D">
            <w:pPr>
              <w:pStyle w:val="NotesText"/>
            </w:pPr>
            <w:r w:rsidRPr="00EC7489">
              <w:rPr>
                <w:rFonts w:ascii="Wingdings 3" w:hAnsi="Wingdings 3" w:cs="Wingdings"/>
              </w:rPr>
              <w:t></w:t>
            </w:r>
            <w:r w:rsidRPr="00EC7489">
              <w:rPr>
                <w:rFonts w:ascii="Wingdings 3" w:hAnsi="Wingdings 3" w:cs="Wingdings"/>
              </w:rPr>
              <w:t></w:t>
            </w:r>
            <w:r>
              <w:t xml:space="preserve"> The</w:t>
            </w:r>
            <w:r w:rsidR="009544D4" w:rsidRPr="004356BF">
              <w:t xml:space="preserve"> Enhanced Technologist may release a unit from quarantine.</w:t>
            </w:r>
          </w:p>
        </w:tc>
      </w:tr>
      <w:tr w:rsidR="007E6BE0" w14:paraId="31581018" w14:textId="77777777">
        <w:tc>
          <w:tcPr>
            <w:tcW w:w="3240" w:type="dxa"/>
            <w:tcBorders>
              <w:top w:val="single" w:sz="4" w:space="0" w:color="auto"/>
              <w:left w:val="single" w:sz="4" w:space="0" w:color="auto"/>
              <w:bottom w:val="single" w:sz="4" w:space="0" w:color="auto"/>
              <w:right w:val="single" w:sz="4" w:space="0" w:color="auto"/>
            </w:tcBorders>
          </w:tcPr>
          <w:p w14:paraId="345F2736" w14:textId="77777777" w:rsidR="007E6BE0" w:rsidRDefault="007E6BE0" w:rsidP="00F90585">
            <w:pPr>
              <w:pStyle w:val="TableTextNumbers"/>
            </w:pPr>
            <w:r>
              <w:t>Select or enter a comment in the Comment field to explain the change in status, when indicated. Enter details, as needed.</w:t>
            </w:r>
          </w:p>
        </w:tc>
        <w:tc>
          <w:tcPr>
            <w:tcW w:w="6120" w:type="dxa"/>
            <w:tcBorders>
              <w:top w:val="single" w:sz="4" w:space="0" w:color="auto"/>
              <w:left w:val="single" w:sz="4" w:space="0" w:color="auto"/>
              <w:bottom w:val="single" w:sz="4" w:space="0" w:color="auto"/>
              <w:right w:val="single" w:sz="4" w:space="0" w:color="auto"/>
            </w:tcBorders>
          </w:tcPr>
          <w:p w14:paraId="4170217A" w14:textId="77777777" w:rsidR="007E6BE0" w:rsidRDefault="007E6BE0" w:rsidP="00F90585">
            <w:pPr>
              <w:pStyle w:val="TableTextBullet"/>
            </w:pPr>
            <w:r>
              <w:t>Displays entered data.</w:t>
            </w:r>
          </w:p>
          <w:p w14:paraId="05C11D84" w14:textId="77777777" w:rsidR="007E6BE0" w:rsidRDefault="007E6BE0" w:rsidP="00F90585">
            <w:pPr>
              <w:pStyle w:val="TableText"/>
            </w:pPr>
          </w:p>
          <w:p w14:paraId="5C95FC69" w14:textId="7A686686" w:rsidR="00D1603E" w:rsidRDefault="00D1603E" w:rsidP="00D1603E">
            <w:pPr>
              <w:pStyle w:val="TableText"/>
              <w:rPr>
                <w:b/>
                <w:bCs/>
                <w:szCs w:val="18"/>
              </w:rPr>
            </w:pPr>
            <w:r>
              <w:rPr>
                <w:b/>
                <w:bCs/>
                <w:szCs w:val="18"/>
              </w:rPr>
              <w:t>NOTES</w:t>
            </w:r>
          </w:p>
          <w:p w14:paraId="01012F7A" w14:textId="77777777" w:rsidR="00D1603E" w:rsidRDefault="00D1603E" w:rsidP="00D1603E">
            <w:pPr>
              <w:pStyle w:val="NotesText"/>
            </w:pPr>
          </w:p>
          <w:p w14:paraId="2586FAF1" w14:textId="77777777" w:rsidR="007E6BE0" w:rsidRDefault="007E6BE0" w:rsidP="00D1603E">
            <w:pPr>
              <w:pStyle w:val="NotesText"/>
            </w:pPr>
            <w:r w:rsidRPr="00D1603E">
              <w:rPr>
                <w:vanish/>
                <w:szCs w:val="18"/>
              </w:rPr>
              <w:t xml:space="preserve">BR_27.04 </w:t>
            </w:r>
            <w:r>
              <w:t>When a status of “Discard” is assigned to a unit, the user must enter a comment.</w:t>
            </w:r>
          </w:p>
          <w:p w14:paraId="4655BC0E" w14:textId="77777777" w:rsidR="007E6BE0" w:rsidRDefault="007E6BE0" w:rsidP="00D1603E">
            <w:pPr>
              <w:pStyle w:val="NotesText"/>
            </w:pPr>
          </w:p>
          <w:p w14:paraId="621C3585" w14:textId="77777777" w:rsidR="007E6BE0" w:rsidRDefault="007E6BE0" w:rsidP="00D1603E">
            <w:pPr>
              <w:pStyle w:val="NotesText"/>
            </w:pPr>
            <w:r w:rsidRPr="00D1603E">
              <w:rPr>
                <w:vanish/>
                <w:szCs w:val="18"/>
              </w:rPr>
              <w:t>BR_27.08</w:t>
            </w:r>
            <w:r w:rsidR="00CE3961">
              <w:rPr>
                <w:vanish/>
                <w:szCs w:val="18"/>
              </w:rPr>
              <w:t xml:space="preserve">, </w:t>
            </w:r>
            <w:r w:rsidRPr="00D1603E">
              <w:rPr>
                <w:vanish/>
                <w:szCs w:val="18"/>
              </w:rPr>
              <w:t>BR_27.02</w:t>
            </w:r>
            <w:r w:rsidR="00263B24" w:rsidRPr="00263B24">
              <w:t>W</w:t>
            </w:r>
            <w:r w:rsidRPr="00263B24">
              <w:t>h</w:t>
            </w:r>
            <w:r>
              <w:t>en a blood unit is assigned an indicator of “quarantined,” VBECS emits an audible alert, requires a comment, and captures details for inclusion in an Exception Report (exception type: Quarantine, Discard or Release from Quarantine, depending on the user action).</w:t>
            </w:r>
          </w:p>
          <w:p w14:paraId="6F3E1BF6" w14:textId="77777777" w:rsidR="00D1603E" w:rsidRDefault="00D1603E" w:rsidP="00D1603E">
            <w:pPr>
              <w:pStyle w:val="NotesText"/>
            </w:pPr>
          </w:p>
          <w:p w14:paraId="3CC394BE" w14:textId="77777777" w:rsidR="007E6BE0" w:rsidRDefault="007E6BE0" w:rsidP="00D1603E">
            <w:pPr>
              <w:pStyle w:val="NotesText"/>
            </w:pPr>
            <w:r w:rsidRPr="00D1603E">
              <w:rPr>
                <w:vanish/>
                <w:szCs w:val="18"/>
              </w:rPr>
              <w:t>BR_27.11</w:t>
            </w:r>
            <w:r w:rsidR="00263B24" w:rsidRPr="00896F17">
              <w:rPr>
                <w:rStyle w:val="BullhornChar"/>
              </w:rPr>
              <w:t></w:t>
            </w:r>
            <w:r w:rsidR="00263B24">
              <w:rPr>
                <w:rFonts w:ascii="Webdings" w:hAnsi="Webdings"/>
              </w:rPr>
              <w:t></w:t>
            </w:r>
            <w:r w:rsidR="00263B24" w:rsidRPr="00263B24">
              <w:t>Wh</w:t>
            </w:r>
            <w:r w:rsidR="00263B24">
              <w:t>en</w:t>
            </w:r>
            <w:r>
              <w:t xml:space="preserve"> a unit is released from quarantine, a new status must be assigned. VBECS assigns the previous status as the default status. When the unit expiration date is in the past, VBECS emits an audible alert, warns the user, and asks whether he wishes to continue.</w:t>
            </w:r>
          </w:p>
          <w:p w14:paraId="362E17EA" w14:textId="77777777" w:rsidR="007E6BE0" w:rsidRPr="007E6BE0" w:rsidRDefault="007E6BE0" w:rsidP="00D1603E">
            <w:pPr>
              <w:pStyle w:val="NotesText"/>
            </w:pPr>
          </w:p>
          <w:p w14:paraId="21582C26" w14:textId="77777777" w:rsidR="007E6BE0" w:rsidRDefault="007E6BE0" w:rsidP="00D1603E">
            <w:pPr>
              <w:pStyle w:val="NotesText"/>
            </w:pPr>
            <w:r w:rsidRPr="00D1603E">
              <w:rPr>
                <w:b/>
              </w:rPr>
              <w:t>Yes</w:t>
            </w:r>
            <w:r>
              <w:t xml:space="preserve"> accepts the default status, requires a comment, and captures details for inclusion in an Exception Report (exception type: expired unit released from quarantine). </w:t>
            </w:r>
            <w:r w:rsidRPr="00D1603E">
              <w:rPr>
                <w:b/>
              </w:rPr>
              <w:t>No</w:t>
            </w:r>
            <w:r>
              <w:t xml:space="preserve"> stops the process; the unit remains marked as quarantined.</w:t>
            </w:r>
          </w:p>
          <w:p w14:paraId="4EA273DD" w14:textId="77777777" w:rsidR="007E6BE0" w:rsidRDefault="007E6BE0" w:rsidP="00D1603E">
            <w:pPr>
              <w:pStyle w:val="NotesText"/>
            </w:pPr>
          </w:p>
          <w:p w14:paraId="4943B8C1" w14:textId="77777777" w:rsidR="007E6BE0" w:rsidRDefault="007E6BE0" w:rsidP="00D1603E">
            <w:pPr>
              <w:pStyle w:val="NotesText"/>
            </w:pPr>
            <w:r w:rsidRPr="00D1603E">
              <w:rPr>
                <w:vanish/>
                <w:szCs w:val="18"/>
              </w:rPr>
              <w:t xml:space="preserve">BR_27.05 </w:t>
            </w:r>
            <w:r>
              <w:t>When the user assigns a status of “Discard,” he must indicate whether the discard is waste or credit.</w:t>
            </w:r>
          </w:p>
          <w:p w14:paraId="4613AB4A" w14:textId="77777777" w:rsidR="007E6BE0" w:rsidRDefault="007E6BE0" w:rsidP="00D1603E">
            <w:pPr>
              <w:pStyle w:val="NotesText"/>
            </w:pPr>
          </w:p>
          <w:p w14:paraId="7B9F144A" w14:textId="77777777" w:rsidR="007E6BE0" w:rsidRDefault="007E6BE0" w:rsidP="00D1603E">
            <w:pPr>
              <w:pStyle w:val="NotesText"/>
            </w:pPr>
            <w:r w:rsidRPr="00D1603E">
              <w:rPr>
                <w:vanish/>
                <w:szCs w:val="18"/>
              </w:rPr>
              <w:lastRenderedPageBreak/>
              <w:t xml:space="preserve">BR_27.06 </w:t>
            </w:r>
            <w:r>
              <w:t>When VBECS processes a unit as a discard that is waste, it does not apply a return credit is not applied to the discarded unit. (There is no refund of monies from the blood shipper.)</w:t>
            </w:r>
          </w:p>
          <w:p w14:paraId="20DA55FE" w14:textId="77777777" w:rsidR="007E6BE0" w:rsidRDefault="007E6BE0" w:rsidP="00D1603E">
            <w:pPr>
              <w:pStyle w:val="NotesText"/>
            </w:pPr>
          </w:p>
          <w:p w14:paraId="7321B588" w14:textId="77777777" w:rsidR="007E6BE0" w:rsidRDefault="007E6BE0" w:rsidP="00D1603E">
            <w:pPr>
              <w:pStyle w:val="NotesText"/>
            </w:pPr>
            <w:r w:rsidRPr="00D1603E">
              <w:rPr>
                <w:vanish/>
                <w:szCs w:val="18"/>
              </w:rPr>
              <w:t xml:space="preserve">BR_27.07 </w:t>
            </w:r>
            <w:r>
              <w:t>When VBECS saves a unit as “discard for credit,” it applies a default return credit. A user may edit the default return credit applied to the unit before updating the database.</w:t>
            </w:r>
          </w:p>
          <w:p w14:paraId="6F3E0E73" w14:textId="77777777" w:rsidR="007E6BE0" w:rsidRDefault="007E6BE0" w:rsidP="00D1603E">
            <w:pPr>
              <w:pStyle w:val="NotesText"/>
            </w:pPr>
          </w:p>
          <w:p w14:paraId="3ABD4F48" w14:textId="77777777" w:rsidR="007E6BE0" w:rsidRDefault="007E6BE0" w:rsidP="00D1603E">
            <w:pPr>
              <w:pStyle w:val="NotesText"/>
            </w:pPr>
            <w:r w:rsidRPr="00D1603E">
              <w:rPr>
                <w:vanish/>
                <w:szCs w:val="18"/>
              </w:rPr>
              <w:t xml:space="preserve">BR_27.15 </w:t>
            </w:r>
            <w:r w:rsidR="00DC63E8">
              <w:t>When a unit has had a quarantine indicator assigned, VBECS releases any patient assignments. Patient restrictions associated with the unit remain intact.</w:t>
            </w:r>
          </w:p>
          <w:p w14:paraId="0B976097" w14:textId="77777777" w:rsidR="007E6BE0" w:rsidRDefault="007E6BE0" w:rsidP="00D1603E">
            <w:pPr>
              <w:pStyle w:val="NotesText"/>
            </w:pPr>
          </w:p>
          <w:p w14:paraId="496135C1" w14:textId="77777777" w:rsidR="007E6BE0" w:rsidRDefault="007E6BE0" w:rsidP="00D1603E">
            <w:pPr>
              <w:pStyle w:val="NotesText"/>
            </w:pPr>
            <w:r w:rsidRPr="00D1603E">
              <w:rPr>
                <w:vanish/>
                <w:szCs w:val="18"/>
              </w:rPr>
              <w:t xml:space="preserve">BR_27.16 </w:t>
            </w:r>
            <w:r>
              <w:t>When a user attempts to release a unit from quarantine and the unit was quarantined because of a data conflict, VBECS checks the inconsistency before allowing the unit to be released. VBECS warns the user. There is no override. The user must invalidate the incorrect information or test to resolve the data conflict.</w:t>
            </w:r>
          </w:p>
        </w:tc>
      </w:tr>
      <w:tr w:rsidR="007E6BE0" w14:paraId="06981A4C" w14:textId="77777777">
        <w:tc>
          <w:tcPr>
            <w:tcW w:w="3240" w:type="dxa"/>
            <w:tcBorders>
              <w:top w:val="single" w:sz="4" w:space="0" w:color="auto"/>
              <w:left w:val="single" w:sz="4" w:space="0" w:color="auto"/>
              <w:bottom w:val="single" w:sz="4" w:space="0" w:color="auto"/>
              <w:right w:val="single" w:sz="4" w:space="0" w:color="auto"/>
            </w:tcBorders>
          </w:tcPr>
          <w:p w14:paraId="1A6E408A" w14:textId="77777777" w:rsidR="007E6BE0" w:rsidRDefault="004724C0" w:rsidP="00F90585">
            <w:pPr>
              <w:pStyle w:val="TableTextNumbers"/>
            </w:pPr>
            <w:r>
              <w:lastRenderedPageBreak/>
              <w:t>E</w:t>
            </w:r>
            <w:r w:rsidR="007E6BE0">
              <w:t xml:space="preserve">nter the date and time of the status update. </w:t>
            </w:r>
          </w:p>
          <w:p w14:paraId="12AE9D1E" w14:textId="77777777" w:rsidR="007E6BE0" w:rsidRDefault="007E6BE0" w:rsidP="00E00A07">
            <w:pPr>
              <w:pStyle w:val="TableTextNumbersContinued"/>
            </w:pPr>
          </w:p>
          <w:p w14:paraId="4FCE371A" w14:textId="77777777" w:rsidR="007E6BE0" w:rsidRDefault="007E6BE0" w:rsidP="00E00A07">
            <w:pPr>
              <w:pStyle w:val="TableTextNumbersContinued"/>
            </w:pPr>
            <w:r>
              <w:t xml:space="preserve">Click the </w:t>
            </w:r>
            <w:r w:rsidRPr="00E00A07">
              <w:rPr>
                <w:b/>
              </w:rPr>
              <w:t>Waste</w:t>
            </w:r>
            <w:r>
              <w:t xml:space="preserve"> or </w:t>
            </w:r>
            <w:r w:rsidRPr="00E00A07">
              <w:rPr>
                <w:b/>
              </w:rPr>
              <w:t xml:space="preserve">Credit </w:t>
            </w:r>
            <w:r w:rsidRPr="00BF2E41">
              <w:t>radio button</w:t>
            </w:r>
            <w:r>
              <w:t>.</w:t>
            </w:r>
          </w:p>
        </w:tc>
        <w:tc>
          <w:tcPr>
            <w:tcW w:w="6120" w:type="dxa"/>
            <w:tcBorders>
              <w:top w:val="single" w:sz="4" w:space="0" w:color="auto"/>
              <w:left w:val="single" w:sz="4" w:space="0" w:color="auto"/>
              <w:bottom w:val="single" w:sz="4" w:space="0" w:color="auto"/>
              <w:right w:val="single" w:sz="4" w:space="0" w:color="auto"/>
            </w:tcBorders>
          </w:tcPr>
          <w:p w14:paraId="3524CAEB" w14:textId="77777777" w:rsidR="00E831C2" w:rsidRDefault="00E831C2" w:rsidP="00F90585">
            <w:pPr>
              <w:pStyle w:val="TableTextBullet"/>
            </w:pPr>
            <w:r>
              <w:rPr>
                <w:vanish/>
              </w:rPr>
              <w:t xml:space="preserve">DR 3241 </w:t>
            </w:r>
            <w:r>
              <w:t xml:space="preserve">VBECS defaults the date and time of the status update to the date and time the user opened the Discard or Quarantine option </w:t>
            </w:r>
          </w:p>
          <w:p w14:paraId="5F89777B" w14:textId="77777777" w:rsidR="007E6BE0" w:rsidRDefault="007E6BE0" w:rsidP="00F90585">
            <w:pPr>
              <w:pStyle w:val="TableTextBullet"/>
            </w:pPr>
            <w:r>
              <w:t>Displays entered data.</w:t>
            </w:r>
          </w:p>
          <w:p w14:paraId="37B988EB" w14:textId="77777777" w:rsidR="00596172" w:rsidRDefault="00596172" w:rsidP="00596172">
            <w:pPr>
              <w:pStyle w:val="TableText"/>
            </w:pPr>
          </w:p>
          <w:p w14:paraId="63C6740A" w14:textId="12322A4E" w:rsidR="00596172" w:rsidRDefault="00596172" w:rsidP="00596172">
            <w:pPr>
              <w:pStyle w:val="TableText"/>
              <w:rPr>
                <w:b/>
                <w:bCs/>
                <w:szCs w:val="18"/>
              </w:rPr>
            </w:pPr>
            <w:r>
              <w:rPr>
                <w:b/>
                <w:bCs/>
                <w:szCs w:val="18"/>
              </w:rPr>
              <w:t>NOTES</w:t>
            </w:r>
          </w:p>
          <w:p w14:paraId="4F5E8736" w14:textId="77777777" w:rsidR="00596172" w:rsidRDefault="00596172" w:rsidP="00596172">
            <w:pPr>
              <w:pStyle w:val="NotesText"/>
            </w:pPr>
          </w:p>
          <w:p w14:paraId="78760BD0" w14:textId="77777777" w:rsidR="007E6BE0" w:rsidRDefault="007E6BE0" w:rsidP="00596172">
            <w:pPr>
              <w:pStyle w:val="NotesText"/>
            </w:pPr>
            <w:r>
              <w:t>The default date and time are the current date and time.</w:t>
            </w:r>
          </w:p>
          <w:p w14:paraId="63B02BA9" w14:textId="77777777" w:rsidR="007E6BE0" w:rsidRDefault="007E6BE0" w:rsidP="00596172">
            <w:pPr>
              <w:pStyle w:val="NotesText"/>
            </w:pPr>
          </w:p>
          <w:p w14:paraId="7887F165" w14:textId="77777777" w:rsidR="007E6BE0" w:rsidRDefault="007E6BE0" w:rsidP="00596172">
            <w:pPr>
              <w:pStyle w:val="NotesText"/>
            </w:pPr>
            <w:r w:rsidRPr="00596172">
              <w:rPr>
                <w:vanish/>
                <w:szCs w:val="18"/>
              </w:rPr>
              <w:t xml:space="preserve">BR_27.14 </w:t>
            </w:r>
            <w:r>
              <w:t>When the user updates the status of a unit and enters a date or time in the past, VBECS compares the retrospective date and time with the last record update for the unit. VBECS allows the user to update a unit record with a date and time between the last record update and the current date and time.</w:t>
            </w:r>
            <w:bookmarkStart w:id="426" w:name="two2511"/>
            <w:bookmarkEnd w:id="426"/>
          </w:p>
          <w:p w14:paraId="1244AB54" w14:textId="77777777" w:rsidR="007E6BE0" w:rsidRDefault="007E6BE0" w:rsidP="00596172">
            <w:pPr>
              <w:pStyle w:val="NotesText"/>
            </w:pPr>
          </w:p>
          <w:p w14:paraId="6F6D5DE6" w14:textId="77777777" w:rsidR="007E6BE0" w:rsidRDefault="00263B24" w:rsidP="00596172">
            <w:pPr>
              <w:pStyle w:val="NotesText"/>
            </w:pPr>
            <w:r w:rsidRPr="00896F17">
              <w:rPr>
                <w:rStyle w:val="BullhornChar"/>
              </w:rPr>
              <w:t></w:t>
            </w:r>
            <w:r w:rsidR="00596172" w:rsidRPr="00EC7489">
              <w:rPr>
                <w:rFonts w:ascii="Wingdings 3" w:hAnsi="Wingdings 3" w:cs="Wingdings"/>
              </w:rPr>
              <w:t></w:t>
            </w:r>
            <w:r w:rsidR="00596172" w:rsidRPr="00EC7489">
              <w:rPr>
                <w:rFonts w:ascii="Wingdings 3" w:hAnsi="Wingdings 3" w:cs="Wingdings"/>
              </w:rPr>
              <w:t></w:t>
            </w:r>
            <w:r w:rsidR="00596172">
              <w:t xml:space="preserve"> When</w:t>
            </w:r>
            <w:r w:rsidR="007E6BE0">
              <w:t xml:space="preserve"> the user attempts to update a unit record prior to the last record update, VBECS emits an audible alert, warns the Enhanced Technologist, and instructs him to check the date and time entered. There is no override.</w:t>
            </w:r>
          </w:p>
          <w:p w14:paraId="51B83D16" w14:textId="77777777" w:rsidR="007E6BE0" w:rsidRDefault="007E6BE0" w:rsidP="00596172">
            <w:pPr>
              <w:pStyle w:val="NotesText"/>
            </w:pPr>
          </w:p>
          <w:p w14:paraId="240C4AA3" w14:textId="77777777" w:rsidR="007E6BE0" w:rsidRDefault="005C768D" w:rsidP="00596172">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7E6BE0">
              <w:t xml:space="preserve">When the user is a Lead Technologist, VBECS also requires a comment and asks whether the user wishes to continue. </w:t>
            </w:r>
            <w:r w:rsidR="007E6BE0" w:rsidRPr="00596172">
              <w:rPr>
                <w:b/>
              </w:rPr>
              <w:t>Yes</w:t>
            </w:r>
            <w:r w:rsidR="007E6BE0">
              <w:t xml:space="preserve"> accepts the date and time entered, requires a comment, and captures details for inclusion in an Exception Report (exception type: retrospective update prior to last record update). </w:t>
            </w:r>
            <w:r w:rsidR="007E6BE0" w:rsidRPr="00596172">
              <w:rPr>
                <w:b/>
              </w:rPr>
              <w:t>No</w:t>
            </w:r>
            <w:r w:rsidR="007E6BE0">
              <w:t xml:space="preserve"> allows the user to correct the entry.</w:t>
            </w:r>
          </w:p>
        </w:tc>
      </w:tr>
      <w:tr w:rsidR="007E6BE0" w14:paraId="7532C265" w14:textId="77777777">
        <w:tc>
          <w:tcPr>
            <w:tcW w:w="3240" w:type="dxa"/>
            <w:tcBorders>
              <w:top w:val="single" w:sz="4" w:space="0" w:color="auto"/>
              <w:left w:val="single" w:sz="4" w:space="0" w:color="auto"/>
              <w:bottom w:val="single" w:sz="4" w:space="0" w:color="auto"/>
              <w:right w:val="single" w:sz="4" w:space="0" w:color="auto"/>
            </w:tcBorders>
          </w:tcPr>
          <w:p w14:paraId="1435893D" w14:textId="77777777" w:rsidR="007E6BE0" w:rsidRDefault="007E6BE0" w:rsidP="00F90585">
            <w:pPr>
              <w:pStyle w:val="TableTextNumbers"/>
            </w:pPr>
            <w:r>
              <w:t xml:space="preserve">Review the unit status update information and click </w:t>
            </w:r>
            <w:r w:rsidR="005122E2">
              <w:rPr>
                <w:b/>
              </w:rPr>
              <w:t>Save</w:t>
            </w:r>
            <w:r w:rsidR="005122E2" w:rsidRPr="009535FF">
              <w:t xml:space="preserve"> </w:t>
            </w:r>
            <w:r w:rsidRPr="009535FF">
              <w:t>to save</w:t>
            </w:r>
            <w:r>
              <w:t>.</w:t>
            </w:r>
          </w:p>
        </w:tc>
        <w:tc>
          <w:tcPr>
            <w:tcW w:w="6120" w:type="dxa"/>
            <w:tcBorders>
              <w:top w:val="single" w:sz="4" w:space="0" w:color="auto"/>
              <w:left w:val="single" w:sz="4" w:space="0" w:color="auto"/>
              <w:bottom w:val="single" w:sz="4" w:space="0" w:color="auto"/>
              <w:right w:val="single" w:sz="4" w:space="0" w:color="auto"/>
            </w:tcBorders>
          </w:tcPr>
          <w:p w14:paraId="64DEA267" w14:textId="77777777" w:rsidR="007E6BE0" w:rsidRDefault="007E6BE0" w:rsidP="00F90585">
            <w:pPr>
              <w:pStyle w:val="TableTextBullet"/>
            </w:pPr>
            <w:r>
              <w:t xml:space="preserve">Evaluates the unit’s current status to determine whether it is eligible for the selected function. </w:t>
            </w:r>
          </w:p>
          <w:p w14:paraId="4C0940EE" w14:textId="77777777" w:rsidR="007E6BE0" w:rsidRDefault="007E6BE0" w:rsidP="00F90585">
            <w:pPr>
              <w:pStyle w:val="TableTextBullet"/>
            </w:pPr>
            <w:r>
              <w:t>Displays appropriate error messages when the unit cannot be processed.</w:t>
            </w:r>
          </w:p>
          <w:p w14:paraId="1A0CB970" w14:textId="77777777" w:rsidR="007E6BE0" w:rsidRDefault="007E6BE0" w:rsidP="00F90585">
            <w:pPr>
              <w:pStyle w:val="TableTextBullet"/>
            </w:pPr>
            <w:r>
              <w:t>Prompts the user to confirm the save.</w:t>
            </w:r>
          </w:p>
        </w:tc>
      </w:tr>
      <w:tr w:rsidR="007E6BE0" w14:paraId="5ADA082A" w14:textId="77777777">
        <w:tc>
          <w:tcPr>
            <w:tcW w:w="3240" w:type="dxa"/>
            <w:tcBorders>
              <w:top w:val="single" w:sz="4" w:space="0" w:color="auto"/>
              <w:left w:val="single" w:sz="4" w:space="0" w:color="auto"/>
              <w:bottom w:val="single" w:sz="4" w:space="0" w:color="auto"/>
              <w:right w:val="single" w:sz="4" w:space="0" w:color="auto"/>
            </w:tcBorders>
          </w:tcPr>
          <w:p w14:paraId="37588C30" w14:textId="77777777" w:rsidR="007E6BE0" w:rsidRDefault="007E6BE0" w:rsidP="00F90585">
            <w:pPr>
              <w:pStyle w:val="TableTextNumbers"/>
            </w:pPr>
            <w:r>
              <w:t xml:space="preserve">Click </w:t>
            </w:r>
            <w:r w:rsidRPr="00E00A07">
              <w:rPr>
                <w:b/>
              </w:rPr>
              <w:t>Yes</w:t>
            </w:r>
            <w:r>
              <w:t xml:space="preserve"> to confirm the save.</w:t>
            </w:r>
            <w:r w:rsidRPr="007E6BE0">
              <w:t xml:space="preserve"> </w:t>
            </w:r>
            <w:r w:rsidRPr="009D2C1A">
              <w:rPr>
                <w:vanish/>
                <w:szCs w:val="18"/>
              </w:rPr>
              <w:fldChar w:fldCharType="begin"/>
            </w:r>
            <w:r w:rsidRPr="009D2C1A">
              <w:rPr>
                <w:vanish/>
                <w:szCs w:val="18"/>
              </w:rPr>
              <w:instrText xml:space="preserve"> LISTNUM \l 1 \s 0 </w:instrText>
            </w:r>
            <w:r w:rsidRPr="009D2C1A">
              <w:rPr>
                <w:vanish/>
                <w:szCs w:val="18"/>
              </w:rPr>
              <w:fldChar w:fldCharType="end">
                <w:numberingChange w:id="427"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5B06CBB4" w14:textId="77777777" w:rsidR="007E6BE0" w:rsidRDefault="007E6BE0" w:rsidP="00F90585">
            <w:pPr>
              <w:pStyle w:val="TableTextBullet"/>
            </w:pPr>
            <w:r>
              <w:t>Saves the data.</w:t>
            </w:r>
          </w:p>
          <w:p w14:paraId="2EC1900F" w14:textId="77777777" w:rsidR="00596172" w:rsidRDefault="00596172" w:rsidP="00596172">
            <w:pPr>
              <w:pStyle w:val="TableText"/>
            </w:pPr>
          </w:p>
          <w:p w14:paraId="52C056DB" w14:textId="298D9D1F" w:rsidR="00596172" w:rsidRDefault="00596172" w:rsidP="00596172">
            <w:pPr>
              <w:pStyle w:val="TableText"/>
              <w:rPr>
                <w:b/>
                <w:bCs/>
                <w:szCs w:val="18"/>
              </w:rPr>
            </w:pPr>
            <w:r>
              <w:rPr>
                <w:b/>
                <w:bCs/>
                <w:szCs w:val="18"/>
              </w:rPr>
              <w:t>NOTES</w:t>
            </w:r>
          </w:p>
          <w:p w14:paraId="37D0ED5F" w14:textId="77777777" w:rsidR="00596172" w:rsidRDefault="00596172" w:rsidP="00596172">
            <w:pPr>
              <w:pStyle w:val="NotesText"/>
            </w:pPr>
          </w:p>
          <w:p w14:paraId="652F18DF" w14:textId="77777777" w:rsidR="007E6BE0" w:rsidRDefault="007E6BE0" w:rsidP="00596172">
            <w:pPr>
              <w:pStyle w:val="NotesText"/>
            </w:pPr>
            <w:r w:rsidRPr="00596172">
              <w:rPr>
                <w:vanish/>
                <w:szCs w:val="18"/>
              </w:rPr>
              <w:t xml:space="preserve">BR_27.01 </w:t>
            </w:r>
            <w:r>
              <w:t>During batch data entry of “Discard,” “Quarantine,” and “Release from Quarantine,” VBECS saves transaction details, including user-entered comments, to each blood unit included in the batch.</w:t>
            </w:r>
          </w:p>
        </w:tc>
      </w:tr>
    </w:tbl>
    <w:p w14:paraId="0ED77B88" w14:textId="77777777" w:rsidR="002A21AE" w:rsidRDefault="00C909C1">
      <w:pPr>
        <w:pStyle w:val="Heading2"/>
      </w:pPr>
      <w:bookmarkStart w:id="428" w:name="_Select_Units_1"/>
      <w:bookmarkEnd w:id="428"/>
      <w:r>
        <w:br w:type="page"/>
      </w:r>
      <w:bookmarkStart w:id="429" w:name="_Ref507079957"/>
      <w:bookmarkStart w:id="430" w:name="_Toc47516732"/>
      <w:r w:rsidR="002A21AE">
        <w:lastRenderedPageBreak/>
        <w:t>Select Units</w:t>
      </w:r>
      <w:bookmarkEnd w:id="429"/>
      <w:bookmarkEnd w:id="430"/>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Select Units</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UC_03</w:t>
      </w:r>
    </w:p>
    <w:p w14:paraId="7BAACA79" w14:textId="77777777" w:rsidR="002A21AE" w:rsidRDefault="002A21AE" w:rsidP="00FA7E65">
      <w:pPr>
        <w:pStyle w:val="BodyText"/>
      </w:pPr>
      <w:bookmarkStart w:id="431" w:name="_Toc77662463"/>
      <w:r>
        <w:t xml:space="preserve">A user selects a patient component order and assigns one or more products to a patient for possible transfusion. </w:t>
      </w:r>
    </w:p>
    <w:p w14:paraId="62267B64" w14:textId="77777777" w:rsidR="002A21AE" w:rsidRDefault="002A21AE">
      <w:pPr>
        <w:pStyle w:val="Heading4"/>
      </w:pPr>
      <w:r>
        <w:t>Assumptions</w:t>
      </w:r>
    </w:p>
    <w:p w14:paraId="795899D8" w14:textId="77777777" w:rsidR="002A21AE" w:rsidRDefault="002A21AE">
      <w:pPr>
        <w:pStyle w:val="ListBullet"/>
      </w:pPr>
      <w:r>
        <w:t xml:space="preserve">An appropriate current order was accepted through Accept Orders: Accept an Order. </w:t>
      </w:r>
    </w:p>
    <w:p w14:paraId="5712F099" w14:textId="77777777" w:rsidR="002A21AE" w:rsidRDefault="002A21AE">
      <w:pPr>
        <w:pStyle w:val="ListBullet"/>
      </w:pPr>
      <w:r>
        <w:rPr>
          <w:rFonts w:cs="Arial"/>
        </w:rPr>
        <w:t xml:space="preserve">The </w:t>
      </w:r>
      <w:r>
        <w:t>division</w:t>
      </w:r>
      <w:r>
        <w:rPr>
          <w:rFonts w:cs="Arial"/>
        </w:rPr>
        <w:t xml:space="preserve"> </w:t>
      </w:r>
      <w:r>
        <w:t xml:space="preserve">may or may not allow electronic crossmatch (eXM). </w:t>
      </w:r>
    </w:p>
    <w:p w14:paraId="0CA5049D" w14:textId="77777777" w:rsidR="002A21AE" w:rsidRDefault="002A21AE">
      <w:pPr>
        <w:pStyle w:val="ListBullet"/>
      </w:pPr>
      <w:r>
        <w:t>When a division is “transfusion only,” eXM is not available. The user must enter a serologic crossmatch (XM) interpretation.</w:t>
      </w:r>
    </w:p>
    <w:p w14:paraId="31AEA525" w14:textId="77777777" w:rsidR="006B0DD4" w:rsidRDefault="006B0DD4">
      <w:pPr>
        <w:pStyle w:val="ListBullet"/>
      </w:pPr>
      <w:r>
        <w:t>Current patient TAS specimen is required for (ABO/Rh and Antibody Screen) required tests for “WHOLE BLOOD” and “RED BLOOD CELLS” component classes and individual “PLATELET” and “OTHER” units that contain equal to or greater than (= &gt;) 2 mL of RBC contamination which requires crossmatch.</w:t>
      </w:r>
    </w:p>
    <w:p w14:paraId="1402596E" w14:textId="77777777" w:rsidR="002A21AE" w:rsidRDefault="002A21AE">
      <w:pPr>
        <w:pStyle w:val="Heading4"/>
      </w:pPr>
      <w:r>
        <w:t>Outcome</w:t>
      </w:r>
    </w:p>
    <w:p w14:paraId="392D9466" w14:textId="77777777" w:rsidR="002A21AE" w:rsidRDefault="002A21AE">
      <w:pPr>
        <w:pStyle w:val="ListBullet"/>
      </w:pPr>
      <w:r>
        <w:t>The status of the unit and the associated component order task status are updated.</w:t>
      </w:r>
    </w:p>
    <w:p w14:paraId="24A2D2D1" w14:textId="77777777" w:rsidR="002A21AE" w:rsidRDefault="002A21AE">
      <w:pPr>
        <w:pStyle w:val="ListBullet"/>
      </w:pPr>
      <w:r>
        <w:t>VBECS indicates that units are available for issue when units do not require XM or other additional testing.</w:t>
      </w:r>
    </w:p>
    <w:p w14:paraId="157E5387" w14:textId="77777777" w:rsidR="002A21AE" w:rsidRDefault="002A21AE">
      <w:pPr>
        <w:pStyle w:val="ListBullet"/>
      </w:pPr>
      <w:r>
        <w:t>VBECS allows the user to print a Blood Transfusion Record Form (BTRF) and a Caution Tag for available blood products.</w:t>
      </w:r>
    </w:p>
    <w:p w14:paraId="2A570CFB" w14:textId="77777777" w:rsidR="002B7882" w:rsidRDefault="002A21AE" w:rsidP="00B01176">
      <w:pPr>
        <w:pStyle w:val="ListBullet"/>
      </w:pPr>
      <w:r>
        <w:t>When serologic XM is required, VBECS automatically adds units to the XM data entry grid when Patient Testing: Record a Crossmatch is accessed.</w:t>
      </w:r>
    </w:p>
    <w:p w14:paraId="6899AFBB" w14:textId="1BBFC8E8" w:rsidR="00B01176" w:rsidRDefault="00B01176" w:rsidP="00B01176">
      <w:pPr>
        <w:pStyle w:val="ListBullet"/>
      </w:pPr>
      <w:r>
        <w:t xml:space="preserve">When eXM is enabled for the facility, the patient is eligible for eXM in accordance with system rules (see </w:t>
      </w:r>
      <w:r>
        <w:fldChar w:fldCharType="begin"/>
      </w:r>
      <w:r>
        <w:instrText xml:space="preserve"> REF _Ref317762597 \h </w:instrText>
      </w:r>
      <w:r>
        <w:fldChar w:fldCharType="separate"/>
      </w:r>
      <w:r w:rsidR="004353ED">
        <w:t xml:space="preserve">Table </w:t>
      </w:r>
      <w:r w:rsidR="004353ED">
        <w:rPr>
          <w:noProof/>
        </w:rPr>
        <w:t>23</w:t>
      </w:r>
      <w:r w:rsidR="004353ED">
        <w:t xml:space="preserve">: </w:t>
      </w:r>
      <w:r w:rsidR="004353ED">
        <w:rPr>
          <w:vanish/>
        </w:rPr>
        <w:t xml:space="preserve">TT_3.05 </w:t>
      </w:r>
      <w:r w:rsidR="004353ED">
        <w:t>Rules for Electronic and Serologic Crossmatch</w:t>
      </w:r>
      <w:r>
        <w:fldChar w:fldCharType="end"/>
      </w:r>
      <w:r>
        <w:t xml:space="preserve">), and the user selects a unit, </w:t>
      </w:r>
      <w:r w:rsidR="002F6113">
        <w:t xml:space="preserve">and processes the eXM. </w:t>
      </w:r>
      <w:r>
        <w:t>VBECS assigns the unit to the patient without further testing.</w:t>
      </w:r>
    </w:p>
    <w:p w14:paraId="6AF77BC3" w14:textId="77777777" w:rsidR="002A21AE" w:rsidRDefault="002A21AE">
      <w:pPr>
        <w:pStyle w:val="Heading4"/>
      </w:pPr>
      <w:r>
        <w:t>Limitations and Restrictions</w:t>
      </w:r>
    </w:p>
    <w:p w14:paraId="3353D815" w14:textId="77777777" w:rsidR="002A21AE" w:rsidRPr="007A44E4" w:rsidRDefault="00320DAE">
      <w:pPr>
        <w:pStyle w:val="ListBullet"/>
        <w:rPr>
          <w:spacing w:val="0"/>
        </w:rPr>
      </w:pPr>
      <w:r>
        <w:rPr>
          <w:vanish/>
          <w:spacing w:val="0"/>
        </w:rPr>
        <w:t>Task 1,126</w:t>
      </w:r>
      <w:r w:rsidR="002F6113">
        <w:rPr>
          <w:vanish/>
          <w:spacing w:val="0"/>
        </w:rPr>
        <w:t xml:space="preserve"> </w:t>
      </w:r>
      <w:r>
        <w:rPr>
          <w:spacing w:val="0"/>
        </w:rPr>
        <w:t>When a u</w:t>
      </w:r>
      <w:r w:rsidRPr="00320DAE">
        <w:rPr>
          <w:spacing w:val="0"/>
        </w:rPr>
        <w:t>ser check</w:t>
      </w:r>
      <w:r>
        <w:rPr>
          <w:spacing w:val="0"/>
        </w:rPr>
        <w:t>s</w:t>
      </w:r>
      <w:r w:rsidRPr="00320DAE">
        <w:rPr>
          <w:spacing w:val="0"/>
        </w:rPr>
        <w:t xml:space="preserve"> the </w:t>
      </w:r>
      <w:r>
        <w:rPr>
          <w:spacing w:val="0"/>
        </w:rPr>
        <w:t>“</w:t>
      </w:r>
      <w:r w:rsidRPr="00320DAE">
        <w:rPr>
          <w:spacing w:val="0"/>
        </w:rPr>
        <w:t xml:space="preserve">D </w:t>
      </w:r>
      <w:r>
        <w:rPr>
          <w:spacing w:val="0"/>
        </w:rPr>
        <w:t>P</w:t>
      </w:r>
      <w:r w:rsidRPr="00320DAE">
        <w:rPr>
          <w:spacing w:val="0"/>
        </w:rPr>
        <w:t>os</w:t>
      </w:r>
      <w:r>
        <w:rPr>
          <w:spacing w:val="0"/>
        </w:rPr>
        <w:t>”</w:t>
      </w:r>
      <w:r w:rsidRPr="00320DAE">
        <w:rPr>
          <w:spacing w:val="0"/>
        </w:rPr>
        <w:t xml:space="preserve"> or </w:t>
      </w:r>
      <w:r>
        <w:rPr>
          <w:spacing w:val="0"/>
        </w:rPr>
        <w:t>“</w:t>
      </w:r>
      <w:r w:rsidRPr="00320DAE">
        <w:rPr>
          <w:spacing w:val="0"/>
        </w:rPr>
        <w:t xml:space="preserve">D </w:t>
      </w:r>
      <w:r>
        <w:rPr>
          <w:spacing w:val="0"/>
        </w:rPr>
        <w:t>N</w:t>
      </w:r>
      <w:r w:rsidRPr="00320DAE">
        <w:rPr>
          <w:spacing w:val="0"/>
        </w:rPr>
        <w:t>eg</w:t>
      </w:r>
      <w:r>
        <w:rPr>
          <w:spacing w:val="0"/>
        </w:rPr>
        <w:t>”</w:t>
      </w:r>
      <w:r w:rsidRPr="00320DAE">
        <w:rPr>
          <w:spacing w:val="0"/>
        </w:rPr>
        <w:t xml:space="preserve"> check box to modify a search for blood</w:t>
      </w:r>
      <w:r>
        <w:rPr>
          <w:spacing w:val="0"/>
        </w:rPr>
        <w:t>, VBECS returns no units, regardless of the availability of units</w:t>
      </w:r>
      <w:r w:rsidRPr="00320DAE">
        <w:rPr>
          <w:spacing w:val="0"/>
        </w:rPr>
        <w:t xml:space="preserve">. </w:t>
      </w:r>
    </w:p>
    <w:p w14:paraId="32957B5E" w14:textId="77777777" w:rsidR="004E4368" w:rsidRDefault="004E75A5" w:rsidP="004E75A5">
      <w:pPr>
        <w:pStyle w:val="ListBullet"/>
      </w:pPr>
      <w:r w:rsidRPr="0065187A">
        <w:rPr>
          <w:vanish/>
        </w:rPr>
        <w:t xml:space="preserve">DR 2,578 </w:t>
      </w:r>
      <w:r w:rsidR="004E4368" w:rsidRPr="0065187A">
        <w:rPr>
          <w:vanish/>
        </w:rPr>
        <w:t>DR 2,808</w:t>
      </w:r>
      <w:r w:rsidR="004E4368" w:rsidRPr="004E4368">
        <w:t>VBECS displays a</w:t>
      </w:r>
      <w:r w:rsidR="000E6B9F">
        <w:t xml:space="preserve"> compo</w:t>
      </w:r>
      <w:r w:rsidR="004E4368">
        <w:t>n</w:t>
      </w:r>
      <w:r w:rsidR="000E6B9F">
        <w:t>ent</w:t>
      </w:r>
      <w:r w:rsidR="004E4368" w:rsidRPr="004E4368">
        <w:t xml:space="preserve"> order </w:t>
      </w:r>
      <w:r w:rsidR="004E4368">
        <w:t xml:space="preserve">as </w:t>
      </w:r>
      <w:r w:rsidR="00955DA3">
        <w:t>“F</w:t>
      </w:r>
      <w:r w:rsidR="002316B0">
        <w:t xml:space="preserve">illed” </w:t>
      </w:r>
      <w:r w:rsidR="004E4368" w:rsidRPr="004E4368">
        <w:t xml:space="preserve">when the number of units </w:t>
      </w:r>
      <w:r w:rsidR="002316B0">
        <w:t>transfused</w:t>
      </w:r>
      <w:r w:rsidR="002316B0" w:rsidRPr="004E4368">
        <w:t xml:space="preserve"> </w:t>
      </w:r>
      <w:r w:rsidR="004E4368" w:rsidRPr="004E4368">
        <w:t>and the number of units ordered are the same</w:t>
      </w:r>
      <w:r w:rsidR="00955DA3">
        <w:t xml:space="preserve"> and continues to display the</w:t>
      </w:r>
      <w:r w:rsidR="000E6B9F">
        <w:t xml:space="preserve"> component </w:t>
      </w:r>
      <w:r w:rsidR="004E4368">
        <w:t xml:space="preserve">order </w:t>
      </w:r>
      <w:r w:rsidR="00955DA3">
        <w:t xml:space="preserve">until the order expires. CPRS displays a component order </w:t>
      </w:r>
      <w:r w:rsidR="004E4368">
        <w:t xml:space="preserve">as </w:t>
      </w:r>
      <w:r w:rsidR="00505F89">
        <w:t>“</w:t>
      </w:r>
      <w:r w:rsidR="00955DA3">
        <w:t>C</w:t>
      </w:r>
      <w:r w:rsidR="004E4368">
        <w:t>ompleted</w:t>
      </w:r>
      <w:r w:rsidR="00505F89">
        <w:t>”</w:t>
      </w:r>
      <w:r w:rsidR="004E4368">
        <w:t xml:space="preserve">. Therefore, CPRS displays the order as </w:t>
      </w:r>
      <w:r w:rsidR="00505F89">
        <w:t>“</w:t>
      </w:r>
      <w:r w:rsidR="00955DA3">
        <w:t>C</w:t>
      </w:r>
      <w:r w:rsidR="004E4368">
        <w:t>ompleted</w:t>
      </w:r>
      <w:r w:rsidR="00505F89">
        <w:t>”</w:t>
      </w:r>
      <w:r w:rsidR="004E4368">
        <w:t xml:space="preserve"> before VBECS </w:t>
      </w:r>
      <w:r w:rsidR="00955DA3">
        <w:t>displays the order as “F</w:t>
      </w:r>
      <w:r w:rsidR="002316B0">
        <w:t>illed</w:t>
      </w:r>
      <w:r w:rsidR="004E4368">
        <w:t>.</w:t>
      </w:r>
      <w:r w:rsidR="002316B0">
        <w:t>”</w:t>
      </w:r>
      <w:r w:rsidR="0065187A">
        <w:t xml:space="preserve"> The associated LAB orde</w:t>
      </w:r>
      <w:r w:rsidR="00955DA3">
        <w:t>r will then also be marked as “C</w:t>
      </w:r>
      <w:r w:rsidR="0065187A">
        <w:t>ompleted”.</w:t>
      </w:r>
    </w:p>
    <w:p w14:paraId="2BAA818B" w14:textId="77777777" w:rsidR="00C43E70" w:rsidRDefault="00C43E70" w:rsidP="004E75A5">
      <w:pPr>
        <w:pStyle w:val="ListBullet"/>
      </w:pPr>
      <w:r>
        <w:t>A Specimen UID must be accepted in</w:t>
      </w:r>
      <w:r w:rsidR="006C7D2B">
        <w:t xml:space="preserve"> </w:t>
      </w:r>
      <w:r>
        <w:t>VBECS to associate it with a component order. Any VBECS maintained TAS specimen UID may be associated with a component order by entering the number in the UID field.</w:t>
      </w:r>
      <w:r w:rsidRPr="00C43E70">
        <w:rPr>
          <w:vanish/>
        </w:rPr>
        <w:t xml:space="preserve"> Task 635428</w:t>
      </w:r>
    </w:p>
    <w:p w14:paraId="2E1BFB18" w14:textId="257CE2CC" w:rsidR="00A11CA3" w:rsidRDefault="00F17535" w:rsidP="006C5C75">
      <w:pPr>
        <w:pStyle w:val="ListBullet"/>
      </w:pPr>
      <w:r>
        <w:t>When associating a specimen with a patient in the “Select Unit for a Patient” window, the “Expires”</w:t>
      </w:r>
      <w:r w:rsidR="008F74B3">
        <w:t xml:space="preserve"> </w:t>
      </w:r>
      <w:r>
        <w:t xml:space="preserve">field within the “Associate with Specimen” panel displays the time in AM/PM format. VBECS normally displays date/time fields in “military” time format.  The workaround is to look in Maintain Specimen and check the expiration time military time format. </w:t>
      </w:r>
      <w:r w:rsidRPr="008F74B3">
        <w:rPr>
          <w:vanish/>
        </w:rPr>
        <w:t>Defect 209052</w:t>
      </w:r>
    </w:p>
    <w:p w14:paraId="4315728B" w14:textId="466CC15E" w:rsidR="002168B5" w:rsidRDefault="002168B5" w:rsidP="006C5C75">
      <w:pPr>
        <w:pStyle w:val="ListBullet"/>
      </w:pPr>
      <w:r>
        <w:t>When an Rh positive unit is selected for an Rh negative patient with an antigen negative requirement for D, the user receives a message about unit not satisfying patient negative requirements for D instead of a message about unit being positive for D. The proper</w:t>
      </w:r>
      <w:r w:rsidR="00C0050E">
        <w:t xml:space="preserve"> message is displayed</w:t>
      </w:r>
      <w:r w:rsidR="009B37AA">
        <w:t xml:space="preserve"> upon unit issue. </w:t>
      </w:r>
      <w:r w:rsidR="009B37AA" w:rsidRPr="009B37AA">
        <w:rPr>
          <w:vanish/>
        </w:rPr>
        <w:t>Defects 209338, 213537</w:t>
      </w:r>
    </w:p>
    <w:p w14:paraId="5BD69B7D" w14:textId="77777777" w:rsidR="006C5C75" w:rsidRDefault="006C5C75" w:rsidP="001E391F">
      <w:pPr>
        <w:pStyle w:val="ListBullet"/>
        <w:numPr>
          <w:ilvl w:val="0"/>
          <w:numId w:val="0"/>
        </w:numPr>
        <w:ind w:left="648" w:hanging="360"/>
      </w:pPr>
    </w:p>
    <w:p w14:paraId="5317DEDA" w14:textId="77777777" w:rsidR="002A21AE" w:rsidRDefault="002A21AE">
      <w:pPr>
        <w:pStyle w:val="Heading4"/>
      </w:pPr>
      <w:r>
        <w:lastRenderedPageBreak/>
        <w:t>Additional Information</w:t>
      </w:r>
    </w:p>
    <w:p w14:paraId="55CD463B" w14:textId="77777777" w:rsidR="00B71592" w:rsidRDefault="00B71592">
      <w:pPr>
        <w:pStyle w:val="ListBullet"/>
      </w:pPr>
      <w:r>
        <w:t>Under certain conditions in a blood bank, more than one user can select units for the same blood component order at the same time.</w:t>
      </w:r>
    </w:p>
    <w:p w14:paraId="3F0C3AFF" w14:textId="77777777" w:rsidR="00B71592" w:rsidRPr="00B71592" w:rsidRDefault="00B71592">
      <w:pPr>
        <w:pStyle w:val="ListBullet"/>
      </w:pPr>
      <w:r>
        <w:t>When a patient order is selected, the system must search for physically available (in limited, available, or crossmatched unit status and with a future expiration date) autologous and directed units within a multidivisional database regardless of the unit’s current division, display the unit information to the user, and allow assignment of the unit if it is in the same division as the user.</w:t>
      </w:r>
    </w:p>
    <w:p w14:paraId="5E6ED461" w14:textId="77777777" w:rsidR="002A21AE" w:rsidRDefault="002A21AE">
      <w:pPr>
        <w:pStyle w:val="ListBullet"/>
      </w:pPr>
      <w:r>
        <w:t>Multiple users may select units ass</w:t>
      </w:r>
      <w:r w:rsidR="0065187A">
        <w:t>ociated with a component order.</w:t>
      </w:r>
    </w:p>
    <w:p w14:paraId="5CD672FD" w14:textId="77777777" w:rsidR="0065187A" w:rsidRDefault="000D3C6E">
      <w:pPr>
        <w:pStyle w:val="ListBullet"/>
      </w:pPr>
      <w:r w:rsidRPr="000D3C6E">
        <w:rPr>
          <w:vanish/>
        </w:rPr>
        <w:t xml:space="preserve">BR_3.61 </w:t>
      </w:r>
      <w:r w:rsidR="0065187A">
        <w:t>Product codes associated with a component order are limited to those in that Component Class.</w:t>
      </w:r>
    </w:p>
    <w:p w14:paraId="2A064760" w14:textId="77777777" w:rsidR="002A21AE" w:rsidRDefault="002A21AE">
      <w:pPr>
        <w:pStyle w:val="ListBullet"/>
      </w:pPr>
      <w:r>
        <w:t>When a user selects a patient order</w:t>
      </w:r>
      <w:r w:rsidR="00534B75">
        <w:t xml:space="preserve"> within a multidivisional dat</w:t>
      </w:r>
      <w:r w:rsidR="0065187A">
        <w:t>abase</w:t>
      </w:r>
      <w:r>
        <w:t>, VBECS searches for available autologous and directed units regardless of the unit’s current division, displays the unit information, and allows the user to assign the unit when it is in the user’s division.</w:t>
      </w:r>
    </w:p>
    <w:p w14:paraId="4DED0431" w14:textId="77777777" w:rsidR="002A21AE" w:rsidRDefault="002A21AE">
      <w:pPr>
        <w:pStyle w:val="ListBullet"/>
      </w:pPr>
      <w:r>
        <w:t xml:space="preserve">A user may select units for only one </w:t>
      </w:r>
      <w:r w:rsidR="0065187A">
        <w:t>component order</w:t>
      </w:r>
      <w:r>
        <w:t xml:space="preserve"> at a time.</w:t>
      </w:r>
    </w:p>
    <w:p w14:paraId="18C6AF3C" w14:textId="77777777" w:rsidR="002A21AE" w:rsidRDefault="002A21AE">
      <w:pPr>
        <w:pStyle w:val="ListBullet"/>
      </w:pPr>
      <w:r>
        <w:t xml:space="preserve">An existing </w:t>
      </w:r>
      <w:r w:rsidR="00A9198B">
        <w:t>specimen and its associated component</w:t>
      </w:r>
      <w:r w:rsidR="00B71592">
        <w:t xml:space="preserve"> </w:t>
      </w:r>
      <w:r>
        <w:t>order</w:t>
      </w:r>
      <w:r w:rsidR="00A9198B">
        <w:t>(s)</w:t>
      </w:r>
      <w:r>
        <w:t xml:space="preserve"> remains available to select</w:t>
      </w:r>
      <w:r w:rsidR="00A9198B">
        <w:t xml:space="preserve"> </w:t>
      </w:r>
      <w:r w:rsidR="00B71592">
        <w:t>additional units</w:t>
      </w:r>
      <w:r w:rsidR="00A9198B">
        <w:t>, until</w:t>
      </w:r>
      <w:r w:rsidR="00B71592">
        <w:t xml:space="preserve"> its</w:t>
      </w:r>
      <w:r>
        <w:t xml:space="preserve"> expiration date. </w:t>
      </w:r>
    </w:p>
    <w:p w14:paraId="193D45B3" w14:textId="3586CDDD" w:rsidR="002A21AE" w:rsidRDefault="00B71592" w:rsidP="00B71592">
      <w:pPr>
        <w:pStyle w:val="ListBullet"/>
      </w:pPr>
      <w:r>
        <w:t>The selection of blood units completes a CPRS order when the number of units are selected that “fill” the order per the number requested.</w:t>
      </w:r>
    </w:p>
    <w:p w14:paraId="5EA7A0A5" w14:textId="77777777" w:rsidR="00B71592" w:rsidRDefault="00B71592" w:rsidP="00B71592">
      <w:pPr>
        <w:pStyle w:val="ListBullet"/>
      </w:pPr>
      <w:r>
        <w:t>Each component task is accepted or cancelled individually.</w:t>
      </w:r>
    </w:p>
    <w:p w14:paraId="5FCAB1C1" w14:textId="77777777" w:rsidR="00F1409F" w:rsidRDefault="00F1409F" w:rsidP="00B71592">
      <w:pPr>
        <w:pStyle w:val="ListBullet"/>
      </w:pPr>
      <w:r>
        <w:t>When a component order is cancelled or rejected, the order is no longer retrievable.</w:t>
      </w:r>
    </w:p>
    <w:p w14:paraId="7E1234D1" w14:textId="77777777" w:rsidR="00F1409F" w:rsidRDefault="00F1409F" w:rsidP="00B71592">
      <w:pPr>
        <w:pStyle w:val="ListBullet"/>
      </w:pPr>
      <w:r>
        <w:t>When a patient has only Component Requirements, the system does not prohibit the use of electronic crossmatch.</w:t>
      </w:r>
    </w:p>
    <w:p w14:paraId="1B8131DC" w14:textId="77777777" w:rsidR="002A21AE" w:rsidRDefault="002A21AE">
      <w:pPr>
        <w:pStyle w:val="ListBullet"/>
      </w:pPr>
      <w:r>
        <w:t xml:space="preserve">A user must accept or cancel each component task in its entirety. </w:t>
      </w:r>
    </w:p>
    <w:p w14:paraId="4662892E" w14:textId="77777777" w:rsidR="002A21AE" w:rsidRDefault="002A21AE">
      <w:pPr>
        <w:pStyle w:val="ListBullet"/>
      </w:pPr>
      <w:r>
        <w:rPr>
          <w:rFonts w:ascii="Arial" w:hAnsi="Arial" w:cs="Arial"/>
          <w:vanish/>
          <w:spacing w:val="0"/>
          <w:sz w:val="18"/>
        </w:rPr>
        <w:t xml:space="preserve">BR_3.38 </w:t>
      </w:r>
      <w:r>
        <w:t xml:space="preserve">The user reserves autologous and directed units and all units processed in a “transfusion-only” facility, regardless of donation type, for a specific patient. VBECS displays this information to all divisions in a multidivisional database and accommodates immediate selection of the unit for the patient when the user is in the same division. </w:t>
      </w:r>
    </w:p>
    <w:p w14:paraId="4D3595C2" w14:textId="77777777" w:rsidR="002A21AE" w:rsidRDefault="002A21AE">
      <w:pPr>
        <w:pStyle w:val="ListBullet"/>
      </w:pPr>
      <w:r>
        <w:rPr>
          <w:rFonts w:ascii="Arial" w:hAnsi="Arial" w:cs="Arial"/>
          <w:vanish/>
          <w:spacing w:val="0"/>
          <w:sz w:val="18"/>
        </w:rPr>
        <w:t xml:space="preserve">BR_3.42 </w:t>
      </w:r>
      <w:r>
        <w:t>When VBECS compares a patient’s current and previous ABO/Rh results, it does not evaluate previously recorded ABO/Rh results marked “Test Result Invalidated.”</w:t>
      </w:r>
    </w:p>
    <w:p w14:paraId="1BBF0A79" w14:textId="77777777" w:rsidR="00083F3A" w:rsidRDefault="00083F3A">
      <w:pPr>
        <w:pStyle w:val="ListBullet"/>
      </w:pPr>
      <w:r>
        <w:t>An ABO/Rh confirmation test interpretation</w:t>
      </w:r>
      <w:r w:rsidR="0044172D">
        <w:t xml:space="preserve"> is required</w:t>
      </w:r>
      <w:r w:rsidR="00A9198B">
        <w:t xml:space="preserve"> when a unit is indicated to contain = &gt; 2 mL of RBC contamination</w:t>
      </w:r>
      <w:r w:rsidR="0044172D">
        <w:t>. The confirmation</w:t>
      </w:r>
      <w:r w:rsidR="00A9198B">
        <w:t xml:space="preserve"> test</w:t>
      </w:r>
      <w:r w:rsidR="0044172D">
        <w:t xml:space="preserve"> must match the unit ABO/Rh at login and repeat tests, when repeat tests are not invalidated. The unit must have a satisfactory confirmation result before VBECS allows the unit to be available for selection for patient use.</w:t>
      </w:r>
    </w:p>
    <w:p w14:paraId="0B017304" w14:textId="0F947912" w:rsidR="00304D65" w:rsidRDefault="000D3C6E">
      <w:pPr>
        <w:pStyle w:val="ListBullet"/>
      </w:pPr>
      <w:r w:rsidRPr="000D3C6E">
        <w:rPr>
          <w:vanish/>
        </w:rPr>
        <w:t xml:space="preserve">BR_3.60 </w:t>
      </w:r>
      <w:r w:rsidR="00304D65">
        <w:t>When the CPRS order is WB or RBC, the user may select products from either product cl</w:t>
      </w:r>
      <w:r w:rsidR="00955DA3">
        <w:t>ass</w:t>
      </w:r>
      <w:r w:rsidR="005452C9">
        <w:t>, RBC or WB to fill the order</w:t>
      </w:r>
    </w:p>
    <w:p w14:paraId="51A616A0" w14:textId="77777777" w:rsidR="00304D65" w:rsidRDefault="000D3C6E">
      <w:pPr>
        <w:pStyle w:val="ListBullet"/>
      </w:pPr>
      <w:r w:rsidRPr="000D3C6E">
        <w:rPr>
          <w:vanish/>
        </w:rPr>
        <w:t xml:space="preserve">BR_3.62 </w:t>
      </w:r>
      <w:r w:rsidR="00304D65">
        <w:t xml:space="preserve">When Whole Blood is selected for a WB or RBC CPRS order and the unit is not ABO compatible for the selected patient, the system presents a message to the user stating that the unit is </w:t>
      </w:r>
      <w:r w:rsidR="0044172D">
        <w:t xml:space="preserve">not ABO compatible </w:t>
      </w:r>
      <w:r w:rsidR="00304D65">
        <w:t>and releases the unit from selection (assignment).</w:t>
      </w:r>
    </w:p>
    <w:p w14:paraId="6BBEDE7A" w14:textId="20B317A4" w:rsidR="006C5C75" w:rsidRDefault="00E359FB" w:rsidP="001E391F">
      <w:pPr>
        <w:pStyle w:val="ListBullet"/>
      </w:pPr>
      <w:r>
        <w:t>U</w:t>
      </w:r>
      <w:r w:rsidR="001E391F">
        <w:t>sers</w:t>
      </w:r>
      <w:r w:rsidR="001E391F" w:rsidRPr="001E391F">
        <w:t xml:space="preserve"> can view the Lab Order number using the Pending Order List or the Order History Report</w:t>
      </w:r>
      <w:r>
        <w:t>, if it is needed in areas where it is not already provided.</w:t>
      </w:r>
      <w:r w:rsidR="00730CAA">
        <w:t xml:space="preserve"> </w:t>
      </w:r>
      <w:r w:rsidR="00730CAA" w:rsidRPr="00730CAA">
        <w:rPr>
          <w:vanish/>
        </w:rPr>
        <w:t>Defect 209122</w:t>
      </w:r>
    </w:p>
    <w:p w14:paraId="1469CCCF" w14:textId="5448998B" w:rsidR="00936BD4" w:rsidRDefault="00936BD4" w:rsidP="00936BD4">
      <w:pPr>
        <w:pStyle w:val="ListBullet"/>
      </w:pPr>
      <w:r>
        <w:t>In a multi</w:t>
      </w:r>
      <w:r w:rsidRPr="00936BD4">
        <w:t>divisional database, restricted units residing in another division will be displayed but are not selectable. The tooltip (mouseover) message wording incorrectly states "Unit is not in division ###". The division shown will be the division where the unit IS located.</w:t>
      </w:r>
      <w:r w:rsidR="00730CAA">
        <w:t xml:space="preserve"> </w:t>
      </w:r>
      <w:r w:rsidR="00730CAA" w:rsidRPr="00730CAA">
        <w:rPr>
          <w:vanish/>
        </w:rPr>
        <w:t>Defect 209039</w:t>
      </w:r>
    </w:p>
    <w:p w14:paraId="39E2D6A0" w14:textId="5EDE7015" w:rsidR="00957008" w:rsidRDefault="00735C30" w:rsidP="00735C30">
      <w:pPr>
        <w:pStyle w:val="ListBullet"/>
      </w:pPr>
      <w:r w:rsidRPr="00735C30">
        <w:t>The "Success" message</w:t>
      </w:r>
      <w:r>
        <w:t xml:space="preserve"> received after electing to print caution tags is a message that the job</w:t>
      </w:r>
      <w:r w:rsidRPr="00735C30">
        <w:t xml:space="preserve"> has queued to the print queue, and does not verify</w:t>
      </w:r>
      <w:r w:rsidR="00E36641">
        <w:t xml:space="preserve"> that the printing has actually </w:t>
      </w:r>
      <w:r w:rsidRPr="00735C30">
        <w:t>occurre</w:t>
      </w:r>
      <w:r>
        <w:t>d.</w:t>
      </w:r>
      <w:r w:rsidR="00730CAA">
        <w:t xml:space="preserve"> </w:t>
      </w:r>
      <w:r w:rsidR="00730CAA" w:rsidRPr="00730CAA">
        <w:rPr>
          <w:vanish/>
        </w:rPr>
        <w:t>Defect 208991</w:t>
      </w:r>
    </w:p>
    <w:p w14:paraId="4E507F28" w14:textId="77777777" w:rsidR="002A21AE" w:rsidRDefault="002A21AE" w:rsidP="00174BD8">
      <w:pPr>
        <w:pStyle w:val="Heading4"/>
        <w:tabs>
          <w:tab w:val="left" w:pos="5490"/>
        </w:tabs>
      </w:pPr>
      <w:r>
        <w:lastRenderedPageBreak/>
        <w:t>User Roles with Access to This Option</w:t>
      </w:r>
      <w:r w:rsidR="00174BD8">
        <w:tab/>
      </w:r>
    </w:p>
    <w:p w14:paraId="012B02DE" w14:textId="77777777" w:rsidR="005C42D0" w:rsidRDefault="005C42D0" w:rsidP="005C42D0">
      <w:pPr>
        <w:pStyle w:val="Roles"/>
        <w:rPr>
          <w:snapToGrid w:val="0"/>
        </w:rPr>
      </w:pPr>
      <w:r>
        <w:t xml:space="preserve">All users </w:t>
      </w:r>
    </w:p>
    <w:bookmarkEnd w:id="431"/>
    <w:p w14:paraId="6A19B040" w14:textId="77777777" w:rsidR="002A21AE" w:rsidRDefault="00057948">
      <w:pPr>
        <w:pStyle w:val="Heading4"/>
      </w:pPr>
      <w:r>
        <w:rPr>
          <w:noProof/>
        </w:rPr>
        <w:drawing>
          <wp:inline distT="0" distB="0" distL="0" distR="0" wp14:anchorId="6D6211D1" wp14:editId="7081252B">
            <wp:extent cx="156845" cy="156845"/>
            <wp:effectExtent l="0" t="0" r="0" b="0"/>
            <wp:docPr id="185" name="Picture 1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a:extLst>
                        <a:ext uri="{C183D7F6-B498-43B3-948B-1728B52AA6E4}">
                          <adec:decorative xmlns:adec="http://schemas.microsoft.com/office/drawing/2017/decorative" val="1"/>
                        </a:ext>
                      </a:extLs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Select Units</w:t>
      </w:r>
    </w:p>
    <w:p w14:paraId="768B6A87" w14:textId="77777777" w:rsidR="008A248A" w:rsidRDefault="002A21AE" w:rsidP="00FA7E65">
      <w:pPr>
        <w:pStyle w:val="BodyText"/>
      </w:pPr>
      <w:r>
        <w:t>A user selects a patient’s component order and assigns one or more products to a patient. The user may then enter individual units or select units from a list of selectable, potentially compatible units for each component order.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C5CBBBE" w14:textId="77777777">
        <w:trPr>
          <w:cantSplit/>
          <w:tblHeader/>
        </w:trPr>
        <w:tc>
          <w:tcPr>
            <w:tcW w:w="3240" w:type="dxa"/>
            <w:shd w:val="pct30" w:color="auto" w:fill="FFFFFF"/>
            <w:vAlign w:val="bottom"/>
          </w:tcPr>
          <w:p w14:paraId="5D82BC32" w14:textId="77777777" w:rsidR="002A21AE" w:rsidRDefault="002A21AE">
            <w:pPr>
              <w:pStyle w:val="TableText"/>
              <w:rPr>
                <w:b/>
              </w:rPr>
            </w:pPr>
            <w:r>
              <w:rPr>
                <w:b/>
              </w:rPr>
              <w:t>User Action</w:t>
            </w:r>
          </w:p>
        </w:tc>
        <w:tc>
          <w:tcPr>
            <w:tcW w:w="6120" w:type="dxa"/>
            <w:shd w:val="pct30" w:color="auto" w:fill="FFFFFF"/>
            <w:vAlign w:val="bottom"/>
          </w:tcPr>
          <w:p w14:paraId="7B7AAD71" w14:textId="77777777" w:rsidR="002A21AE" w:rsidRDefault="002A21AE">
            <w:pPr>
              <w:pStyle w:val="TableText"/>
              <w:rPr>
                <w:b/>
              </w:rPr>
            </w:pPr>
            <w:r>
              <w:rPr>
                <w:b/>
              </w:rPr>
              <w:t>VBECS</w:t>
            </w:r>
          </w:p>
        </w:tc>
      </w:tr>
      <w:tr w:rsidR="002A21AE" w14:paraId="756BAD34" w14:textId="77777777">
        <w:tc>
          <w:tcPr>
            <w:tcW w:w="3240" w:type="dxa"/>
          </w:tcPr>
          <w:p w14:paraId="7C9B2CE1" w14:textId="670E62F5" w:rsidR="002A21AE" w:rsidRDefault="003D3067">
            <w:pPr>
              <w:pStyle w:val="TableTextNumbers"/>
              <w:rPr>
                <w:b/>
              </w:rPr>
            </w:pPr>
            <w:r>
              <w:t>Select Patients</w:t>
            </w:r>
            <w:r w:rsidR="002A21AE">
              <w:t xml:space="preserve"> from the main menu and </w:t>
            </w:r>
            <w:r>
              <w:t>select Patient</w:t>
            </w:r>
            <w:r w:rsidR="002A21AE">
              <w:rPr>
                <w:b/>
              </w:rPr>
              <w:t xml:space="preserve"> Testing</w:t>
            </w:r>
            <w:r w:rsidR="002A21AE">
              <w:t>, or</w:t>
            </w:r>
          </w:p>
          <w:p w14:paraId="6815B12B" w14:textId="77777777" w:rsidR="002A21AE" w:rsidRDefault="002A21AE">
            <w:pPr>
              <w:pStyle w:val="TableTextNumbersContinued"/>
            </w:pPr>
          </w:p>
          <w:p w14:paraId="233A9B29" w14:textId="77777777" w:rsidR="002A21AE" w:rsidRDefault="00922AD8">
            <w:pPr>
              <w:pStyle w:val="TableTextNumbersContinued"/>
            </w:pPr>
            <w:r>
              <w:t xml:space="preserve">Select </w:t>
            </w:r>
            <w:r w:rsidRPr="005E0472">
              <w:rPr>
                <w:b/>
              </w:rPr>
              <w:t>Blood</w:t>
            </w:r>
            <w:r w:rsidR="002A21AE" w:rsidRPr="005E0472">
              <w:rPr>
                <w:b/>
              </w:rPr>
              <w:t xml:space="preserve"> Units</w:t>
            </w:r>
            <w:r w:rsidR="002A21AE">
              <w:t xml:space="preserve"> from the main menu and select </w:t>
            </w:r>
            <w:r w:rsidR="002A21AE">
              <w:rPr>
                <w:b/>
              </w:rPr>
              <w:t>Select Units</w:t>
            </w:r>
            <w:r w:rsidR="002A21AE">
              <w:t>.</w:t>
            </w:r>
          </w:p>
        </w:tc>
        <w:tc>
          <w:tcPr>
            <w:tcW w:w="6120" w:type="dxa"/>
          </w:tcPr>
          <w:p w14:paraId="1A5F33E3" w14:textId="77777777" w:rsidR="002A21AE" w:rsidRDefault="002A21AE">
            <w:pPr>
              <w:pStyle w:val="TableTextBullet"/>
            </w:pPr>
            <w:r>
              <w:t>Displays options for processing patient-related functions.</w:t>
            </w:r>
          </w:p>
          <w:p w14:paraId="51564396" w14:textId="77777777" w:rsidR="002A21AE" w:rsidRDefault="002A21AE">
            <w:pPr>
              <w:pStyle w:val="TableTextBullet"/>
            </w:pPr>
            <w:r>
              <w:t>Displays the Pending Task List (PTL) and PTL search parameters in the Diagnostic Tests tab or in the Component Orders tab.</w:t>
            </w:r>
          </w:p>
        </w:tc>
      </w:tr>
      <w:tr w:rsidR="002A21AE" w14:paraId="2CCBD4FD" w14:textId="77777777">
        <w:tc>
          <w:tcPr>
            <w:tcW w:w="3240" w:type="dxa"/>
          </w:tcPr>
          <w:p w14:paraId="3EE08A51" w14:textId="48454A8E" w:rsidR="002A21AE" w:rsidRDefault="002A21AE">
            <w:pPr>
              <w:pStyle w:val="TableTextNumbers"/>
            </w:pPr>
            <w:r>
              <w:t>Enter or select PTL search parameters, if appropriate</w:t>
            </w:r>
            <w:r w:rsidR="004728E4">
              <w:t xml:space="preserve"> (</w:t>
            </w:r>
            <w:r w:rsidR="0071094D">
              <w:fldChar w:fldCharType="begin"/>
            </w:r>
            <w:r w:rsidR="0071094D">
              <w:instrText xml:space="preserve"> REF _Ref126724671 \h </w:instrText>
            </w:r>
            <w:r w:rsidR="0071094D">
              <w:fldChar w:fldCharType="separate"/>
            </w:r>
            <w:r w:rsidR="004353ED">
              <w:t xml:space="preserve">Figure </w:t>
            </w:r>
            <w:r w:rsidR="004353ED">
              <w:rPr>
                <w:noProof/>
              </w:rPr>
              <w:t>97</w:t>
            </w:r>
            <w:r w:rsidR="0071094D">
              <w:fldChar w:fldCharType="end"/>
            </w:r>
            <w:r w:rsidR="004728E4">
              <w:t>)</w:t>
            </w:r>
            <w:r>
              <w:t xml:space="preserve">. </w:t>
            </w:r>
          </w:p>
          <w:p w14:paraId="47272AF4" w14:textId="77777777" w:rsidR="002A21AE" w:rsidRDefault="002A21AE">
            <w:pPr>
              <w:pStyle w:val="TableTextNumbersContinued"/>
            </w:pPr>
          </w:p>
          <w:p w14:paraId="44A7B133" w14:textId="77777777" w:rsidR="002A21AE" w:rsidRDefault="002A21AE">
            <w:pPr>
              <w:pStyle w:val="TableTextNumbersContinued"/>
            </w:pPr>
            <w:r>
              <w:t xml:space="preserve">Click the check boxes in the PTL to select </w:t>
            </w:r>
            <w:r w:rsidR="00810E0A">
              <w:t>one to four</w:t>
            </w:r>
            <w:r>
              <w:t xml:space="preserve"> component orders. </w:t>
            </w:r>
          </w:p>
          <w:p w14:paraId="7045D435" w14:textId="77777777" w:rsidR="002A21AE" w:rsidRDefault="002A21AE">
            <w:pPr>
              <w:pStyle w:val="TableTextNumbersContinued"/>
            </w:pPr>
          </w:p>
          <w:p w14:paraId="41EAD78F" w14:textId="787350E8" w:rsidR="002A21AE" w:rsidRDefault="002A21AE">
            <w:pPr>
              <w:pStyle w:val="TableTextNumbersContinued"/>
            </w:pPr>
            <w:r>
              <w:t xml:space="preserve">Click </w:t>
            </w:r>
            <w:r>
              <w:rPr>
                <w:b/>
              </w:rPr>
              <w:t>OK</w:t>
            </w:r>
            <w:r>
              <w:t xml:space="preserve"> to continue</w:t>
            </w:r>
            <w:r w:rsidR="008C6185">
              <w:t xml:space="preserve"> (</w:t>
            </w:r>
            <w:r w:rsidR="0071094D">
              <w:fldChar w:fldCharType="begin"/>
            </w:r>
            <w:r w:rsidR="0071094D">
              <w:instrText xml:space="preserve"> REF _Ref126724700 \h </w:instrText>
            </w:r>
            <w:r w:rsidR="0071094D">
              <w:fldChar w:fldCharType="separate"/>
            </w:r>
            <w:r w:rsidR="004353ED">
              <w:t xml:space="preserve">Figure </w:t>
            </w:r>
            <w:r w:rsidR="004353ED">
              <w:rPr>
                <w:noProof/>
              </w:rPr>
              <w:t>98</w:t>
            </w:r>
            <w:r w:rsidR="0071094D">
              <w:fldChar w:fldCharType="end"/>
            </w:r>
            <w:r w:rsidR="008C6185">
              <w:t>)</w:t>
            </w:r>
            <w:r>
              <w:t>.</w:t>
            </w:r>
          </w:p>
        </w:tc>
        <w:tc>
          <w:tcPr>
            <w:tcW w:w="6120" w:type="dxa"/>
          </w:tcPr>
          <w:p w14:paraId="695C6EC6" w14:textId="77777777" w:rsidR="002A21AE" w:rsidRDefault="002A21AE">
            <w:pPr>
              <w:pStyle w:val="TableTextBullet"/>
            </w:pPr>
            <w:r>
              <w:t>Displays information for each component order.</w:t>
            </w:r>
          </w:p>
          <w:p w14:paraId="1A129C5D" w14:textId="77777777" w:rsidR="00605241" w:rsidRDefault="000D3C6E">
            <w:pPr>
              <w:pStyle w:val="TableTextBullet"/>
            </w:pPr>
            <w:r w:rsidRPr="000D3C6E">
              <w:rPr>
                <w:vanish/>
              </w:rPr>
              <w:t xml:space="preserve">BR_3.58 </w:t>
            </w:r>
            <w:r w:rsidR="00605241">
              <w:t xml:space="preserve">When the user selects a blood unit to fill a component order or RED BLOOD CELLS, “PLATELETS” </w:t>
            </w:r>
            <w:r w:rsidR="00955DA3">
              <w:t>or “OTHER” and has = &gt;</w:t>
            </w:r>
            <w:r w:rsidR="00605241">
              <w:t xml:space="preserve"> 2 mL RBC contamination, and the unit is ABO compatible, VBECS requires a crossmatch test and must require the user to associate a TAS specimen UID to the order to proceed to crossmatch of the unit.</w:t>
            </w:r>
          </w:p>
          <w:p w14:paraId="57056DFB" w14:textId="77777777" w:rsidR="00931B15" w:rsidRDefault="00931B15">
            <w:pPr>
              <w:pStyle w:val="TableTextBullet"/>
            </w:pPr>
            <w:r w:rsidRPr="00931B15">
              <w:rPr>
                <w:vanish/>
              </w:rPr>
              <w:t xml:space="preserve">BR_3.58 </w:t>
            </w:r>
            <w:r>
              <w:t>Upon completion of the selection process, evaluates the unit for eXM when enabled at the site or added to the serologic crossmatch data grid as appropriate.</w:t>
            </w:r>
          </w:p>
          <w:p w14:paraId="065919FE" w14:textId="77777777" w:rsidR="002A21AE" w:rsidRDefault="000D3C6E" w:rsidP="00931B15">
            <w:pPr>
              <w:pStyle w:val="TableTextBullet"/>
            </w:pPr>
            <w:r w:rsidRPr="000D3C6E">
              <w:rPr>
                <w:vanish/>
              </w:rPr>
              <w:t xml:space="preserve">BR_3.59 </w:t>
            </w:r>
            <w:r w:rsidR="00605241">
              <w:t>When the user selects blood units to fill a component order of “PLATELETS” or “OTHER” and is indicated as having less than (&lt;) 2 mL RBC contamination, electronic or serologic crossmatch are not required.</w:t>
            </w:r>
          </w:p>
          <w:p w14:paraId="2346D6A7" w14:textId="77777777" w:rsidR="00931B15" w:rsidRDefault="00931B15" w:rsidP="00931B15">
            <w:pPr>
              <w:pStyle w:val="TableTextBullet"/>
              <w:numPr>
                <w:ilvl w:val="0"/>
                <w:numId w:val="0"/>
              </w:numPr>
              <w:ind w:left="288"/>
            </w:pPr>
          </w:p>
          <w:p w14:paraId="6FA5930A" w14:textId="38D17D3D" w:rsidR="002A21AE" w:rsidRDefault="002A21AE">
            <w:pPr>
              <w:pStyle w:val="TableText"/>
              <w:rPr>
                <w:b/>
                <w:bCs/>
                <w:szCs w:val="18"/>
              </w:rPr>
            </w:pPr>
            <w:r>
              <w:rPr>
                <w:b/>
                <w:bCs/>
                <w:szCs w:val="18"/>
              </w:rPr>
              <w:t>NOTES</w:t>
            </w:r>
          </w:p>
          <w:p w14:paraId="3E06E6B0" w14:textId="77777777" w:rsidR="002A21AE" w:rsidRDefault="002A21AE">
            <w:pPr>
              <w:pStyle w:val="NotesText"/>
            </w:pPr>
          </w:p>
          <w:p w14:paraId="29CCB1C0" w14:textId="6D760645" w:rsidR="002A21AE" w:rsidRDefault="002A21AE">
            <w:pPr>
              <w:pStyle w:val="NotesText"/>
            </w:pPr>
            <w:r w:rsidRPr="00896F17">
              <w:rPr>
                <w:rStyle w:val="BullhornChar"/>
              </w:rPr>
              <w:t></w:t>
            </w:r>
            <w:r w:rsidRPr="00C51C45">
              <w:rPr>
                <w:rFonts w:ascii="Webdings" w:hAnsi="Webdings"/>
                <w:szCs w:val="22"/>
              </w:rPr>
              <w:t></w:t>
            </w:r>
            <w:r>
              <w:rPr>
                <w:rFonts w:cs="Arial"/>
                <w:szCs w:val="22"/>
              </w:rPr>
              <w:t xml:space="preserve">See </w:t>
            </w:r>
            <w:r w:rsidR="00590097">
              <w:rPr>
                <w:rFonts w:cs="Arial"/>
                <w:szCs w:val="22"/>
              </w:rPr>
              <w:fldChar w:fldCharType="begin"/>
            </w:r>
            <w:r w:rsidR="00590097">
              <w:rPr>
                <w:rFonts w:cs="Arial"/>
                <w:szCs w:val="22"/>
              </w:rPr>
              <w:instrText xml:space="preserve"> REF _Ref126486057 \h </w:instrText>
            </w:r>
            <w:r w:rsidR="00590097">
              <w:rPr>
                <w:rFonts w:cs="Arial"/>
                <w:szCs w:val="22"/>
              </w:rPr>
            </w:r>
            <w:r w:rsidR="00590097">
              <w:rPr>
                <w:rFonts w:cs="Arial"/>
                <w:szCs w:val="22"/>
              </w:rPr>
              <w:fldChar w:fldCharType="separate"/>
            </w:r>
            <w:r w:rsidR="004353ED">
              <w:t xml:space="preserve">Table </w:t>
            </w:r>
            <w:r w:rsidR="004353ED">
              <w:rPr>
                <w:noProof/>
              </w:rPr>
              <w:t>6</w:t>
            </w:r>
            <w:r w:rsidR="00590097">
              <w:rPr>
                <w:rFonts w:cs="Arial"/>
                <w:szCs w:val="22"/>
              </w:rPr>
              <w:fldChar w:fldCharType="end"/>
            </w:r>
            <w:r>
              <w:rPr>
                <w:rFonts w:cs="Arial"/>
                <w:szCs w:val="22"/>
              </w:rPr>
              <w:t xml:space="preserve"> for alerts that may occur during this option.</w:t>
            </w:r>
          </w:p>
        </w:tc>
      </w:tr>
      <w:tr w:rsidR="004D6F51" w14:paraId="5D051C13" w14:textId="77777777">
        <w:trPr>
          <w:hidden/>
        </w:trPr>
        <w:tc>
          <w:tcPr>
            <w:tcW w:w="3240" w:type="dxa"/>
          </w:tcPr>
          <w:p w14:paraId="22B6B744" w14:textId="06BC2B50" w:rsidR="004D6F51" w:rsidRDefault="00EB00A3" w:rsidP="0020776C">
            <w:pPr>
              <w:pStyle w:val="TableTextNumbers"/>
            </w:pPr>
            <w:r w:rsidRPr="00EB00A3">
              <w:rPr>
                <w:vanish/>
              </w:rPr>
              <w:t>DR 4414</w:t>
            </w:r>
            <w:r w:rsidRPr="00EB00A3">
              <w:rPr>
                <w:b/>
                <w:vanish/>
              </w:rPr>
              <w:t xml:space="preserve"> </w:t>
            </w:r>
            <w:r w:rsidR="00234D60" w:rsidRPr="00234D60">
              <w:rPr>
                <w:b/>
                <w:sz w:val="20"/>
              </w:rPr>
              <w:t>Steps 3 through 8 are optional. If a specimen is already associated with the order, skip to Step 9.</w:t>
            </w:r>
            <w:r w:rsidR="00234D60">
              <w:rPr>
                <w:sz w:val="20"/>
              </w:rPr>
              <w:t xml:space="preserve"> </w:t>
            </w:r>
            <w:r w:rsidR="004D6F51">
              <w:t xml:space="preserve">To associate a specimen </w:t>
            </w:r>
            <w:r w:rsidR="00DC4386">
              <w:t>UID with a</w:t>
            </w:r>
            <w:r w:rsidR="004D6F51">
              <w:t xml:space="preserve"> unit requiring </w:t>
            </w:r>
            <w:r w:rsidR="00F92484">
              <w:t>XM</w:t>
            </w:r>
            <w:r w:rsidR="00DC4386">
              <w:t xml:space="preserve"> that was not previously associated with a specimen</w:t>
            </w:r>
            <w:r w:rsidR="004D6F51">
              <w:t>, select (highlight) an issued unit in the Order Group tree view in the left pane</w:t>
            </w:r>
            <w:r w:rsidR="009F0D10">
              <w:t xml:space="preserve"> (</w:t>
            </w:r>
            <w:r w:rsidR="005C5BD9">
              <w:fldChar w:fldCharType="begin"/>
            </w:r>
            <w:r w:rsidR="005C5BD9">
              <w:instrText xml:space="preserve"> REF _Ref169515158 \h </w:instrText>
            </w:r>
            <w:r w:rsidR="00234D60">
              <w:instrText xml:space="preserve"> \* MERGEFORMAT </w:instrText>
            </w:r>
            <w:r w:rsidR="005C5BD9">
              <w:fldChar w:fldCharType="separate"/>
            </w:r>
            <w:r w:rsidR="004353ED">
              <w:t xml:space="preserve">Figure </w:t>
            </w:r>
            <w:r w:rsidR="004353ED">
              <w:rPr>
                <w:noProof/>
              </w:rPr>
              <w:t>99</w:t>
            </w:r>
            <w:r w:rsidR="005C5BD9">
              <w:fldChar w:fldCharType="end"/>
            </w:r>
            <w:r w:rsidR="009F0D10">
              <w:t>)</w:t>
            </w:r>
            <w:r w:rsidR="004D6F51">
              <w:t>.</w:t>
            </w:r>
          </w:p>
        </w:tc>
        <w:tc>
          <w:tcPr>
            <w:tcW w:w="6120" w:type="dxa"/>
          </w:tcPr>
          <w:p w14:paraId="56A17EDF" w14:textId="77777777" w:rsidR="004D6F51" w:rsidRDefault="004D6F51" w:rsidP="0020776C">
            <w:pPr>
              <w:pStyle w:val="TableTextBullet"/>
            </w:pPr>
            <w:r>
              <w:t>Enables the Associate Specimen check box.</w:t>
            </w:r>
          </w:p>
          <w:p w14:paraId="1D7835BE" w14:textId="6F6076DA" w:rsidR="000A2E5E" w:rsidRDefault="000A2E5E" w:rsidP="00673EF0">
            <w:pPr>
              <w:pStyle w:val="TableTextBullet"/>
            </w:pPr>
            <w:r>
              <w:t xml:space="preserve">When an order is accepted without a specimen, the user must associate the specimen prior to performing crossmatch testing. VBECS will not allow an expired specimen to be associated with the order unless the Unit </w:t>
            </w:r>
            <w:r w:rsidR="00931B15">
              <w:t>Assigned</w:t>
            </w:r>
            <w:r>
              <w:t xml:space="preserve"> Date is modified to be earlier than the Specimen Expiration Date (for retrospective data entry). See </w:t>
            </w:r>
            <w:r>
              <w:fldChar w:fldCharType="begin"/>
            </w:r>
            <w:r>
              <w:instrText xml:space="preserve"> REF _Ref169515158 \h </w:instrText>
            </w:r>
            <w:r>
              <w:fldChar w:fldCharType="separate"/>
            </w:r>
            <w:r w:rsidR="004353ED">
              <w:t xml:space="preserve">Figure </w:t>
            </w:r>
            <w:r w:rsidR="004353ED">
              <w:rPr>
                <w:noProof/>
              </w:rPr>
              <w:t>99</w:t>
            </w:r>
            <w:r>
              <w:fldChar w:fldCharType="end"/>
            </w:r>
            <w:r>
              <w:t>.</w:t>
            </w:r>
          </w:p>
          <w:p w14:paraId="27B28D45" w14:textId="77777777" w:rsidR="00F92484" w:rsidRDefault="00F92484" w:rsidP="00F92484">
            <w:pPr>
              <w:pStyle w:val="TableText"/>
            </w:pPr>
          </w:p>
          <w:p w14:paraId="07E26257" w14:textId="57BE51DE" w:rsidR="00F92484" w:rsidRDefault="00F92484" w:rsidP="00F92484">
            <w:pPr>
              <w:pStyle w:val="TableText"/>
              <w:rPr>
                <w:b/>
                <w:bCs/>
                <w:szCs w:val="18"/>
              </w:rPr>
            </w:pPr>
            <w:r>
              <w:rPr>
                <w:b/>
                <w:bCs/>
                <w:szCs w:val="18"/>
              </w:rPr>
              <w:t>NOTES</w:t>
            </w:r>
          </w:p>
          <w:p w14:paraId="12E36805" w14:textId="77777777" w:rsidR="00F92484" w:rsidRDefault="00F92484" w:rsidP="00F92484">
            <w:pPr>
              <w:pStyle w:val="NotesText"/>
            </w:pPr>
          </w:p>
          <w:p w14:paraId="391A3513" w14:textId="77777777" w:rsidR="00F92484" w:rsidRDefault="00F92484" w:rsidP="00F92484">
            <w:pPr>
              <w:pStyle w:val="NotesText"/>
              <w:rPr>
                <w:rFonts w:cs="Arial"/>
                <w:szCs w:val="22"/>
              </w:rPr>
            </w:pPr>
            <w:r>
              <w:rPr>
                <w:rFonts w:cs="Arial"/>
                <w:szCs w:val="22"/>
              </w:rPr>
              <w:t>If eXM is enabled, complete the TAS prior to associating the specimen UID with the emergency-issued units.</w:t>
            </w:r>
          </w:p>
          <w:p w14:paraId="3D72E8A7" w14:textId="77777777" w:rsidR="001F303C" w:rsidRDefault="001F303C" w:rsidP="00F92484">
            <w:pPr>
              <w:pStyle w:val="NotesText"/>
              <w:rPr>
                <w:rFonts w:cs="Arial"/>
                <w:szCs w:val="22"/>
              </w:rPr>
            </w:pPr>
          </w:p>
          <w:p w14:paraId="7C5424D5" w14:textId="49E9049C" w:rsidR="001F303C" w:rsidRPr="00811AE6" w:rsidRDefault="001F303C" w:rsidP="001F303C">
            <w:pPr>
              <w:pStyle w:val="NotesText"/>
            </w:pPr>
            <w:r w:rsidRPr="00811AE6">
              <w:rPr>
                <w:vanish/>
                <w:szCs w:val="18"/>
              </w:rPr>
              <w:t xml:space="preserve">BR_3.17, BR_3.27 , BR_3.36 </w:t>
            </w:r>
            <w:r w:rsidRPr="00811AE6">
              <w:t>When eXM is enabled at the division and blood units require XM, VBECS determines whether the patient and units are eligible for eXM. When indicated, specific warning messages explaining the reason for the ineligibility are displayed. Users are given the opportunity to accept or reject the selected unit for selection</w:t>
            </w:r>
            <w:r w:rsidR="00931B15" w:rsidRPr="00811AE6">
              <w:t xml:space="preserve"> and may or may not process the eXM</w:t>
            </w:r>
            <w:r w:rsidRPr="00811AE6">
              <w:t xml:space="preserve">. All parameters listed in </w:t>
            </w:r>
            <w:r w:rsidRPr="00811AE6">
              <w:fldChar w:fldCharType="begin"/>
            </w:r>
            <w:r w:rsidRPr="00811AE6">
              <w:instrText xml:space="preserve"> REF _Ref170004931 \h </w:instrText>
            </w:r>
            <w:r w:rsidR="00ED4161" w:rsidRPr="00811AE6">
              <w:instrText xml:space="preserve"> \* MERGEFORMAT </w:instrText>
            </w:r>
            <w:r w:rsidRPr="00811AE6">
              <w:fldChar w:fldCharType="separate"/>
            </w:r>
            <w:r w:rsidR="004353ED">
              <w:t xml:space="preserve">Appendix </w:t>
            </w:r>
            <w:r w:rsidR="004353ED">
              <w:rPr>
                <w:noProof/>
              </w:rPr>
              <w:t>B</w:t>
            </w:r>
            <w:r w:rsidRPr="00811AE6">
              <w:fldChar w:fldCharType="end"/>
            </w:r>
            <w:r w:rsidRPr="00811AE6">
              <w:t xml:space="preserve">: </w:t>
            </w:r>
            <w:r w:rsidRPr="00811AE6">
              <w:fldChar w:fldCharType="begin"/>
            </w:r>
            <w:r w:rsidRPr="00811AE6">
              <w:instrText xml:space="preserve"> REF _Ref317762597 \h </w:instrText>
            </w:r>
            <w:r w:rsidR="00ED4161" w:rsidRPr="00811AE6">
              <w:instrText xml:space="preserve"> \* MERGEFORMAT </w:instrText>
            </w:r>
            <w:r w:rsidRPr="00811AE6">
              <w:fldChar w:fldCharType="separate"/>
            </w:r>
            <w:r w:rsidR="004353ED">
              <w:t xml:space="preserve">Table </w:t>
            </w:r>
            <w:r w:rsidR="004353ED">
              <w:rPr>
                <w:noProof/>
              </w:rPr>
              <w:t>23</w:t>
            </w:r>
            <w:r w:rsidR="004353ED">
              <w:t xml:space="preserve">: </w:t>
            </w:r>
            <w:r w:rsidR="004353ED">
              <w:rPr>
                <w:vanish/>
              </w:rPr>
              <w:t xml:space="preserve">TT_3.05 </w:t>
            </w:r>
            <w:r w:rsidR="004353ED">
              <w:t>Rules for Electronic and Serologic Crossmatch</w:t>
            </w:r>
            <w:r w:rsidRPr="00811AE6">
              <w:fldChar w:fldCharType="end"/>
            </w:r>
            <w:r w:rsidRPr="00811AE6">
              <w:t xml:space="preserve"> must be met. Units not eligible for eXM must have serologic XM performed. </w:t>
            </w:r>
          </w:p>
          <w:p w14:paraId="4315FB3C" w14:textId="77777777" w:rsidR="001F303C" w:rsidRPr="00811AE6" w:rsidRDefault="001F303C" w:rsidP="001F303C">
            <w:pPr>
              <w:pStyle w:val="NotesText"/>
            </w:pPr>
          </w:p>
          <w:p w14:paraId="3D541061" w14:textId="77777777" w:rsidR="001F303C" w:rsidRDefault="001F303C" w:rsidP="001F303C">
            <w:pPr>
              <w:pStyle w:val="NotesText"/>
            </w:pPr>
            <w:r w:rsidRPr="00811AE6">
              <w:t>When eXM is not enabled, the user must enter serologic XM results for red blood cell classes or when the uni</w:t>
            </w:r>
            <w:r w:rsidR="00931B15" w:rsidRPr="00811AE6">
              <w:t>t has = &gt;</w:t>
            </w:r>
            <w:r w:rsidRPr="00811AE6">
              <w:t xml:space="preserve"> 2 mL RBC contamination. VBECS does not change the unit status to “crossmatched,” make units available for issue, or allow the Caution Tag or BTRF to be printed until a user enters a valid XM result, unless an emergency-issued unit is being processed.</w:t>
            </w:r>
          </w:p>
        </w:tc>
      </w:tr>
      <w:tr w:rsidR="004D6F51" w14:paraId="45A7921D" w14:textId="77777777">
        <w:tc>
          <w:tcPr>
            <w:tcW w:w="3240" w:type="dxa"/>
          </w:tcPr>
          <w:p w14:paraId="2812DFA4" w14:textId="77777777" w:rsidR="004D6F51" w:rsidRPr="001235FC" w:rsidRDefault="004D6F51" w:rsidP="0020776C">
            <w:pPr>
              <w:pStyle w:val="TableTextNumbers"/>
            </w:pPr>
            <w:r>
              <w:lastRenderedPageBreak/>
              <w:t xml:space="preserve">Click the </w:t>
            </w:r>
            <w:r>
              <w:rPr>
                <w:b/>
              </w:rPr>
              <w:t xml:space="preserve">Associate </w:t>
            </w:r>
            <w:r w:rsidR="00F92484">
              <w:rPr>
                <w:b/>
              </w:rPr>
              <w:t xml:space="preserve">with </w:t>
            </w:r>
            <w:r>
              <w:rPr>
                <w:b/>
              </w:rPr>
              <w:t xml:space="preserve">Specimen </w:t>
            </w:r>
            <w:r w:rsidRPr="00D1100E">
              <w:t>check box</w:t>
            </w:r>
            <w:r>
              <w:rPr>
                <w:b/>
              </w:rPr>
              <w:t>.</w:t>
            </w:r>
          </w:p>
          <w:p w14:paraId="771A6F24" w14:textId="77777777" w:rsidR="004D6F51" w:rsidRDefault="004D6F51" w:rsidP="0020776C">
            <w:pPr>
              <w:pStyle w:val="TableTextNumbers"/>
              <w:numPr>
                <w:ilvl w:val="0"/>
                <w:numId w:val="0"/>
              </w:numPr>
              <w:ind w:left="288" w:hanging="288"/>
              <w:rPr>
                <w:b/>
              </w:rPr>
            </w:pPr>
          </w:p>
          <w:p w14:paraId="4C26ACBE" w14:textId="522E0344" w:rsidR="004D6F51" w:rsidRDefault="004D6F51" w:rsidP="0020776C">
            <w:pPr>
              <w:pStyle w:val="TableTextNumbersContinued"/>
            </w:pPr>
            <w:r>
              <w:t xml:space="preserve">Click the </w:t>
            </w:r>
            <w:r w:rsidR="00A6373D">
              <w:rPr>
                <w:b/>
              </w:rPr>
              <w:t>find</w:t>
            </w:r>
            <w:r w:rsidRPr="001235FC">
              <w:rPr>
                <w:b/>
              </w:rPr>
              <w:t xml:space="preserve"> </w:t>
            </w:r>
            <w:r w:rsidRPr="00D1100E">
              <w:t>button</w:t>
            </w:r>
            <w:r>
              <w:t xml:space="preserve"> to select</w:t>
            </w:r>
            <w:r w:rsidR="00F92484">
              <w:t xml:space="preserve"> a specimen</w:t>
            </w:r>
            <w:r>
              <w:t xml:space="preserve"> UID</w:t>
            </w:r>
            <w:r w:rsidR="009F0D10">
              <w:t xml:space="preserve"> (</w:t>
            </w:r>
            <w:r w:rsidR="005C5BD9">
              <w:fldChar w:fldCharType="begin"/>
            </w:r>
            <w:r w:rsidR="005C5BD9">
              <w:instrText xml:space="preserve"> REF _Ref169515158 \h </w:instrText>
            </w:r>
            <w:r w:rsidR="005C5BD9">
              <w:fldChar w:fldCharType="separate"/>
            </w:r>
            <w:r w:rsidR="004353ED">
              <w:t xml:space="preserve">Figure </w:t>
            </w:r>
            <w:r w:rsidR="004353ED">
              <w:rPr>
                <w:noProof/>
              </w:rPr>
              <w:t>99</w:t>
            </w:r>
            <w:r w:rsidR="005C5BD9">
              <w:fldChar w:fldCharType="end"/>
            </w:r>
            <w:r w:rsidR="009F0D10">
              <w:t>)</w:t>
            </w:r>
            <w:r>
              <w:t>.</w:t>
            </w:r>
          </w:p>
        </w:tc>
        <w:tc>
          <w:tcPr>
            <w:tcW w:w="6120" w:type="dxa"/>
          </w:tcPr>
          <w:p w14:paraId="02BDC7D3" w14:textId="77777777" w:rsidR="004D6F51" w:rsidRDefault="004D6F51" w:rsidP="0020776C">
            <w:pPr>
              <w:pStyle w:val="TableTextBullet"/>
            </w:pPr>
            <w:r>
              <w:t xml:space="preserve">Opens the </w:t>
            </w:r>
            <w:r w:rsidR="00F92484">
              <w:t>Select Patient Specimen window.</w:t>
            </w:r>
          </w:p>
        </w:tc>
      </w:tr>
      <w:tr w:rsidR="004D6F51" w14:paraId="52087FBC" w14:textId="77777777">
        <w:tc>
          <w:tcPr>
            <w:tcW w:w="3240" w:type="dxa"/>
          </w:tcPr>
          <w:p w14:paraId="489D3FAC" w14:textId="77777777" w:rsidR="004D6F51" w:rsidRDefault="004D6F51" w:rsidP="0020776C">
            <w:pPr>
              <w:pStyle w:val="TableTextNumbers"/>
            </w:pPr>
            <w:r>
              <w:t xml:space="preserve">Scan or enter the correct specimen UID and click </w:t>
            </w:r>
            <w:r>
              <w:rPr>
                <w:b/>
              </w:rPr>
              <w:t>Search</w:t>
            </w:r>
            <w:r>
              <w:t>.</w:t>
            </w:r>
          </w:p>
        </w:tc>
        <w:tc>
          <w:tcPr>
            <w:tcW w:w="6120" w:type="dxa"/>
          </w:tcPr>
          <w:p w14:paraId="53A091DC" w14:textId="77777777" w:rsidR="004D6F51" w:rsidRDefault="004D6F51" w:rsidP="0020776C">
            <w:pPr>
              <w:pStyle w:val="TableTextBullet"/>
            </w:pPr>
            <w:r>
              <w:t xml:space="preserve">Displays </w:t>
            </w:r>
            <w:r w:rsidR="00F92484">
              <w:t xml:space="preserve">the </w:t>
            </w:r>
            <w:r w:rsidR="00C3266A">
              <w:t>s</w:t>
            </w:r>
            <w:r w:rsidR="00F92484">
              <w:t xml:space="preserve">elected </w:t>
            </w:r>
            <w:r w:rsidR="00C3266A">
              <w:t>patient s</w:t>
            </w:r>
            <w:r w:rsidR="00F92484">
              <w:t xml:space="preserve">pecimen </w:t>
            </w:r>
            <w:r w:rsidR="00C3266A">
              <w:t>information</w:t>
            </w:r>
            <w:r w:rsidR="00F92484">
              <w:t>.</w:t>
            </w:r>
          </w:p>
        </w:tc>
      </w:tr>
      <w:tr w:rsidR="004D6F51" w14:paraId="5C4F30B2" w14:textId="77777777">
        <w:tc>
          <w:tcPr>
            <w:tcW w:w="3240" w:type="dxa"/>
          </w:tcPr>
          <w:p w14:paraId="2B192ED5" w14:textId="77777777" w:rsidR="004D6F51" w:rsidRDefault="004D6F51" w:rsidP="0020776C">
            <w:pPr>
              <w:pStyle w:val="TableTextNumbers"/>
            </w:pPr>
            <w:r>
              <w:t xml:space="preserve">Click </w:t>
            </w:r>
            <w:r w:rsidRPr="005457F3">
              <w:rPr>
                <w:b/>
              </w:rPr>
              <w:t>OK</w:t>
            </w:r>
            <w:r>
              <w:t>.</w:t>
            </w:r>
          </w:p>
        </w:tc>
        <w:tc>
          <w:tcPr>
            <w:tcW w:w="6120" w:type="dxa"/>
          </w:tcPr>
          <w:p w14:paraId="00266B90" w14:textId="77777777" w:rsidR="004D6F51" w:rsidRDefault="004D6F51" w:rsidP="0020776C">
            <w:pPr>
              <w:pStyle w:val="TableTextBullet"/>
            </w:pPr>
            <w:r>
              <w:t>Saves the specimen information and returns the user to the Select Units window.</w:t>
            </w:r>
          </w:p>
          <w:p w14:paraId="5CF9200B" w14:textId="77777777" w:rsidR="004D6F51" w:rsidRDefault="004D6F51" w:rsidP="0020776C">
            <w:pPr>
              <w:pStyle w:val="TableTextBullet"/>
            </w:pPr>
            <w:r>
              <w:t>Displays the associat</w:t>
            </w:r>
            <w:r w:rsidR="008D0654">
              <w:t>ed specimen UID in the Specimen</w:t>
            </w:r>
            <w:r>
              <w:t xml:space="preserve"> UID field.</w:t>
            </w:r>
          </w:p>
        </w:tc>
      </w:tr>
      <w:tr w:rsidR="004D6F51" w14:paraId="54DBF369" w14:textId="77777777">
        <w:tc>
          <w:tcPr>
            <w:tcW w:w="3240" w:type="dxa"/>
          </w:tcPr>
          <w:p w14:paraId="650BF7B3" w14:textId="77777777" w:rsidR="004D6F51" w:rsidRDefault="000A2E5E" w:rsidP="000A2E5E">
            <w:pPr>
              <w:pStyle w:val="TableTextNumbers"/>
            </w:pPr>
            <w:r>
              <w:t xml:space="preserve">Repeat Steps 3 through </w:t>
            </w:r>
            <w:r w:rsidR="004D6F51">
              <w:t xml:space="preserve">6 to associate the </w:t>
            </w:r>
            <w:r>
              <w:t>specimen UID</w:t>
            </w:r>
            <w:r w:rsidR="004D6F51">
              <w:t xml:space="preserve"> with other emergency-issued units, or click </w:t>
            </w:r>
            <w:r w:rsidR="004D6F51">
              <w:rPr>
                <w:b/>
              </w:rPr>
              <w:t>OK</w:t>
            </w:r>
            <w:r w:rsidR="004D6F51">
              <w:t xml:space="preserve"> to save.</w:t>
            </w:r>
          </w:p>
        </w:tc>
        <w:tc>
          <w:tcPr>
            <w:tcW w:w="6120" w:type="dxa"/>
          </w:tcPr>
          <w:p w14:paraId="172A8278" w14:textId="77777777" w:rsidR="004D6F51" w:rsidRDefault="008D0654" w:rsidP="0020776C">
            <w:pPr>
              <w:pStyle w:val="TableTextBullet"/>
            </w:pPr>
            <w:r>
              <w:t>When the user clicks OK, d</w:t>
            </w:r>
            <w:r w:rsidR="004D6F51">
              <w:t>isplays a message asking the user if he wishes to complete serologic crossmatch</w:t>
            </w:r>
            <w:r w:rsidR="003F629A">
              <w:t xml:space="preserve"> when at least one unit requires crossmatch</w:t>
            </w:r>
            <w:r w:rsidR="004D6F51">
              <w:t>.</w:t>
            </w:r>
          </w:p>
        </w:tc>
      </w:tr>
      <w:tr w:rsidR="004D6F51" w14:paraId="6F781AC0" w14:textId="77777777">
        <w:tc>
          <w:tcPr>
            <w:tcW w:w="3240" w:type="dxa"/>
          </w:tcPr>
          <w:p w14:paraId="1515D75E" w14:textId="77777777" w:rsidR="004D6F51" w:rsidRDefault="004D6F51" w:rsidP="0020776C">
            <w:pPr>
              <w:pStyle w:val="TableTextNumbers"/>
            </w:pPr>
            <w:r>
              <w:t xml:space="preserve">Click </w:t>
            </w:r>
            <w:r>
              <w:rPr>
                <w:b/>
              </w:rPr>
              <w:t>Yes</w:t>
            </w:r>
            <w:r>
              <w:t xml:space="preserve"> to complete the serologic crossmatch.</w:t>
            </w:r>
          </w:p>
          <w:p w14:paraId="01F3EAEC" w14:textId="77777777" w:rsidR="004D6F51" w:rsidRDefault="004D6F51" w:rsidP="0020776C">
            <w:pPr>
              <w:pStyle w:val="TableTextNumbers"/>
              <w:numPr>
                <w:ilvl w:val="0"/>
                <w:numId w:val="0"/>
              </w:numPr>
              <w:ind w:left="288" w:hanging="288"/>
            </w:pPr>
          </w:p>
          <w:p w14:paraId="058814F0" w14:textId="77777777" w:rsidR="004D6F51" w:rsidRPr="005457F3" w:rsidRDefault="004D6F51" w:rsidP="0020776C">
            <w:pPr>
              <w:pStyle w:val="TableTextNumbersContinued"/>
            </w:pPr>
            <w:r>
              <w:t xml:space="preserve">Click </w:t>
            </w:r>
            <w:r>
              <w:rPr>
                <w:b/>
              </w:rPr>
              <w:t>No</w:t>
            </w:r>
            <w:r>
              <w:t xml:space="preserve"> to return to the VBECS desktop.</w:t>
            </w:r>
          </w:p>
        </w:tc>
        <w:tc>
          <w:tcPr>
            <w:tcW w:w="6120" w:type="dxa"/>
          </w:tcPr>
          <w:p w14:paraId="5097ED51" w14:textId="77777777" w:rsidR="004D6F51" w:rsidRDefault="009B4224" w:rsidP="0020776C">
            <w:pPr>
              <w:pStyle w:val="TableTextBullet"/>
            </w:pPr>
            <w:r>
              <w:t>Allows the user to enter results in the Serologic Crossmatch (XM) cells in the patient testing grid.</w:t>
            </w:r>
          </w:p>
        </w:tc>
      </w:tr>
      <w:tr w:rsidR="002A21AE" w14:paraId="0D078998" w14:textId="77777777">
        <w:tc>
          <w:tcPr>
            <w:tcW w:w="3240" w:type="dxa"/>
          </w:tcPr>
          <w:p w14:paraId="6DA71C9A" w14:textId="77777777" w:rsidR="00772C9B" w:rsidRDefault="002A21AE" w:rsidP="008D18B9">
            <w:pPr>
              <w:pStyle w:val="TableTextNumbers"/>
            </w:pPr>
            <w:r>
              <w:t xml:space="preserve">Click </w:t>
            </w:r>
            <w:r>
              <w:rPr>
                <w:b/>
              </w:rPr>
              <w:t>Add Units</w:t>
            </w:r>
            <w:r>
              <w:t xml:space="preserve"> to add units to the component orders selected.</w:t>
            </w:r>
          </w:p>
        </w:tc>
        <w:tc>
          <w:tcPr>
            <w:tcW w:w="6120" w:type="dxa"/>
          </w:tcPr>
          <w:p w14:paraId="3F012CAB" w14:textId="77777777" w:rsidR="002A21AE" w:rsidRDefault="002A21AE">
            <w:pPr>
              <w:pStyle w:val="TableTextBullet"/>
            </w:pPr>
            <w:r>
              <w:t>Searches the database and displays available restricted autologous and directed units that the user must select before selecting allo</w:t>
            </w:r>
            <w:r w:rsidR="000A2E5E">
              <w:t xml:space="preserve">geneic units of the same </w:t>
            </w:r>
            <w:r>
              <w:t>component class.</w:t>
            </w:r>
          </w:p>
          <w:p w14:paraId="2B1B652E" w14:textId="77777777" w:rsidR="002A21AE" w:rsidRDefault="002A21AE">
            <w:pPr>
              <w:pStyle w:val="TableTextBullet"/>
            </w:pPr>
            <w:r>
              <w:t>Displays the unit ID, product type, unit ABO/Rh, unit expiration date, specimen UID, if applicable, of units assigned to the patient in the division’s blood bank on a different specimen or order. T</w:t>
            </w:r>
            <w:r w:rsidR="000A2E5E">
              <w:t>he user may add and remove</w:t>
            </w:r>
            <w:r>
              <w:t xml:space="preserve"> the units to the current order</w:t>
            </w:r>
            <w:r w:rsidR="00B41BC2">
              <w:t xml:space="preserve"> until saved</w:t>
            </w:r>
            <w:r>
              <w:t>.</w:t>
            </w:r>
          </w:p>
          <w:p w14:paraId="55054D02" w14:textId="77777777" w:rsidR="008D18B9" w:rsidRDefault="008D18B9">
            <w:pPr>
              <w:pStyle w:val="TableTextBullet"/>
            </w:pPr>
            <w:r>
              <w:t>When eXM was configured for the facility, displays the eXM status (eligible or not eligible) for the patient.</w:t>
            </w:r>
          </w:p>
          <w:p w14:paraId="47682183" w14:textId="77777777" w:rsidR="00931B15" w:rsidRDefault="00880CE3">
            <w:pPr>
              <w:pStyle w:val="TableTextBullet"/>
            </w:pPr>
            <w:r w:rsidRPr="00880CE3">
              <w:rPr>
                <w:vanish/>
              </w:rPr>
              <w:t xml:space="preserve">BR_3.63 </w:t>
            </w:r>
            <w:r w:rsidR="000A2E5E">
              <w:t>When the component order is for “PLATELETS” or “OTHER”, the</w:t>
            </w:r>
            <w:r w:rsidR="00931B15">
              <w:t xml:space="preserve"> units with = &gt;</w:t>
            </w:r>
            <w:r w:rsidR="000A2E5E">
              <w:t xml:space="preserve"> 2 mL of RBC contamination must be presented and will display </w:t>
            </w:r>
            <w:r w:rsidR="000A2E5E" w:rsidRPr="00B41BC2">
              <w:rPr>
                <w:i/>
              </w:rPr>
              <w:t>before</w:t>
            </w:r>
            <w:r w:rsidR="000A2E5E">
              <w:t xml:space="preserve"> products with less than (&lt;) 2 mL of RBC contamination. </w:t>
            </w:r>
          </w:p>
          <w:p w14:paraId="00DA8BFD" w14:textId="77777777" w:rsidR="000A2E5E" w:rsidRDefault="000A2E5E">
            <w:pPr>
              <w:pStyle w:val="TableTextBullet"/>
            </w:pPr>
            <w:r>
              <w:t>VBECS will present</w:t>
            </w:r>
            <w:r w:rsidR="00B41BC2">
              <w:t xml:space="preserve"> all available units when the Product Type is “PLATELETS” or “OTHER” non-plasma components that have less than (&lt;) 2 mL RBC contamination.</w:t>
            </w:r>
          </w:p>
          <w:p w14:paraId="5B3923E1" w14:textId="77777777" w:rsidR="002A21AE" w:rsidRDefault="002A21AE">
            <w:pPr>
              <w:pStyle w:val="TableText"/>
            </w:pPr>
          </w:p>
          <w:p w14:paraId="3A2246B5" w14:textId="3B57A124" w:rsidR="002A21AE" w:rsidRDefault="002A21AE">
            <w:pPr>
              <w:pStyle w:val="TableText"/>
              <w:rPr>
                <w:b/>
                <w:bCs/>
                <w:szCs w:val="18"/>
              </w:rPr>
            </w:pPr>
            <w:r>
              <w:rPr>
                <w:b/>
                <w:bCs/>
                <w:szCs w:val="18"/>
              </w:rPr>
              <w:t>NOTES</w:t>
            </w:r>
          </w:p>
          <w:p w14:paraId="4FFF5622" w14:textId="77777777" w:rsidR="002A21AE" w:rsidRDefault="002A21AE">
            <w:pPr>
              <w:pStyle w:val="NotesText"/>
            </w:pPr>
          </w:p>
          <w:p w14:paraId="11984207" w14:textId="12C93956"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590097">
              <w:rPr>
                <w:rFonts w:cs="Arial"/>
                <w:szCs w:val="22"/>
              </w:rPr>
              <w:fldChar w:fldCharType="begin"/>
            </w:r>
            <w:r w:rsidR="00590097">
              <w:rPr>
                <w:rFonts w:cs="Arial"/>
                <w:szCs w:val="22"/>
              </w:rPr>
              <w:instrText xml:space="preserve"> REF _Ref126486057 \h </w:instrText>
            </w:r>
            <w:r w:rsidR="00590097">
              <w:rPr>
                <w:rFonts w:cs="Arial"/>
                <w:szCs w:val="22"/>
              </w:rPr>
            </w:r>
            <w:r w:rsidR="00590097">
              <w:rPr>
                <w:rFonts w:cs="Arial"/>
                <w:szCs w:val="22"/>
              </w:rPr>
              <w:fldChar w:fldCharType="separate"/>
            </w:r>
            <w:r w:rsidR="004353ED">
              <w:t xml:space="preserve">Table </w:t>
            </w:r>
            <w:r w:rsidR="004353ED">
              <w:rPr>
                <w:noProof/>
              </w:rPr>
              <w:t>6</w:t>
            </w:r>
            <w:r w:rsidR="00590097">
              <w:rPr>
                <w:rFonts w:cs="Arial"/>
                <w:szCs w:val="22"/>
              </w:rPr>
              <w:fldChar w:fldCharType="end"/>
            </w:r>
            <w:r w:rsidR="006E22F3">
              <w:rPr>
                <w:rFonts w:cs="Arial"/>
                <w:szCs w:val="22"/>
              </w:rPr>
              <w:t xml:space="preserve"> f</w:t>
            </w:r>
            <w:r w:rsidR="002A21AE">
              <w:rPr>
                <w:rFonts w:cs="Arial"/>
                <w:szCs w:val="22"/>
              </w:rPr>
              <w:t>or alerts that may occur during this option.</w:t>
            </w:r>
          </w:p>
          <w:p w14:paraId="1929BAB2" w14:textId="77777777" w:rsidR="002A21AE" w:rsidRDefault="002A21AE">
            <w:pPr>
              <w:pStyle w:val="NotesText"/>
            </w:pPr>
          </w:p>
          <w:p w14:paraId="70EC0252" w14:textId="77777777" w:rsidR="007A3EAF" w:rsidRPr="007A3EAF" w:rsidRDefault="007A3EAF">
            <w:pPr>
              <w:pStyle w:val="NotesText"/>
            </w:pPr>
            <w:r>
              <w:t xml:space="preserve">Units that are selectable with an override do not appear on the list of available units and must be scanned or entered by the user. </w:t>
            </w:r>
            <w:r>
              <w:rPr>
                <w:vanish/>
              </w:rPr>
              <w:t>DR 2819</w:t>
            </w:r>
          </w:p>
          <w:p w14:paraId="292204D1" w14:textId="77777777" w:rsidR="007A3EAF" w:rsidRDefault="007A3EAF">
            <w:pPr>
              <w:pStyle w:val="NotesText"/>
            </w:pPr>
          </w:p>
          <w:p w14:paraId="191F97AD" w14:textId="77777777" w:rsidR="00B41BC2" w:rsidRPr="00B41BC2" w:rsidRDefault="00B41BC2" w:rsidP="00B41BC2">
            <w:pPr>
              <w:pStyle w:val="NotesText"/>
            </w:pPr>
            <w:r w:rsidRPr="00AD0810">
              <w:rPr>
                <w:vanish/>
              </w:rPr>
              <w:t xml:space="preserve">BR_3.05 </w:t>
            </w:r>
            <w:r>
              <w:t>A patient’s historical ABO/Rh is displayed, when present. When the current specimen is not yet tested, is normally not required, or must be saved as inconclusive, a unit of blood can be selected based on the patient’s historical ABO/Rh.</w:t>
            </w:r>
          </w:p>
          <w:p w14:paraId="6C0A81D7" w14:textId="77777777" w:rsidR="00B41BC2" w:rsidRDefault="00B41BC2" w:rsidP="00B41BC2">
            <w:pPr>
              <w:pStyle w:val="TableText"/>
            </w:pPr>
          </w:p>
          <w:p w14:paraId="6A240592" w14:textId="77777777" w:rsidR="00B41BC2" w:rsidRDefault="00973AD0" w:rsidP="00B41BC2">
            <w:pPr>
              <w:pStyle w:val="NotesText"/>
            </w:pPr>
            <w:r w:rsidRPr="00973AD0">
              <w:rPr>
                <w:vanish/>
              </w:rPr>
              <w:t xml:space="preserve">BR_3.05 </w:t>
            </w:r>
            <w:r w:rsidR="00B41BC2">
              <w:t xml:space="preserve">When the patient’s historic ABO/Rh is “NR,” “inconclusive”, from database conversion, or the current specimen has an “emergency issue” order indicator present and/or the required ABO/Rh specimen testing is incomplete, the user may select components as follows, including autologous units: </w:t>
            </w:r>
          </w:p>
          <w:p w14:paraId="02F6A49C" w14:textId="77777777" w:rsidR="00B41BC2" w:rsidRDefault="00B41BC2" w:rsidP="00B41BC2">
            <w:pPr>
              <w:pStyle w:val="TableText"/>
            </w:pPr>
          </w:p>
          <w:p w14:paraId="4B159DBB" w14:textId="77777777" w:rsidR="00B41BC2" w:rsidRDefault="00B41BC2" w:rsidP="008D6E9E">
            <w:pPr>
              <w:pStyle w:val="TableText"/>
              <w:ind w:left="720"/>
            </w:pPr>
            <w:r>
              <w:t xml:space="preserve">For RBC or WB order: </w:t>
            </w:r>
          </w:p>
          <w:p w14:paraId="1750FD75" w14:textId="77777777" w:rsidR="00B41BC2" w:rsidRDefault="00B41BC2" w:rsidP="00BA3292">
            <w:pPr>
              <w:pStyle w:val="TableText"/>
              <w:numPr>
                <w:ilvl w:val="0"/>
                <w:numId w:val="69"/>
              </w:numPr>
              <w:ind w:left="1440"/>
            </w:pPr>
            <w:r>
              <w:t>Group O, Rh positive or O Rh negative RBC</w:t>
            </w:r>
          </w:p>
          <w:p w14:paraId="191838EA" w14:textId="77777777" w:rsidR="00B41BC2" w:rsidRDefault="00B41BC2" w:rsidP="00BA3292">
            <w:pPr>
              <w:pStyle w:val="TableText"/>
              <w:numPr>
                <w:ilvl w:val="0"/>
                <w:numId w:val="69"/>
              </w:numPr>
              <w:ind w:left="1440"/>
            </w:pPr>
            <w:r>
              <w:t>WHOLE BLOOD is not selectable</w:t>
            </w:r>
          </w:p>
          <w:p w14:paraId="514C2074" w14:textId="77777777" w:rsidR="00B41BC2" w:rsidRDefault="00B41BC2" w:rsidP="008D6E9E">
            <w:pPr>
              <w:pStyle w:val="TableText"/>
              <w:ind w:left="720"/>
            </w:pPr>
            <w:r>
              <w:t>For FFP order:</w:t>
            </w:r>
          </w:p>
          <w:p w14:paraId="7085EBDD" w14:textId="77777777" w:rsidR="00B41BC2" w:rsidRDefault="00B41BC2" w:rsidP="00BA3292">
            <w:pPr>
              <w:pStyle w:val="TableText"/>
              <w:numPr>
                <w:ilvl w:val="0"/>
                <w:numId w:val="70"/>
              </w:numPr>
              <w:ind w:left="1440"/>
            </w:pPr>
            <w:r>
              <w:t>Group AB, Rh positive, Rh negative, or not specified</w:t>
            </w:r>
          </w:p>
          <w:p w14:paraId="5CB66270" w14:textId="77777777" w:rsidR="00B41BC2" w:rsidRPr="001A5BC5" w:rsidRDefault="00B41BC2" w:rsidP="008D6E9E">
            <w:pPr>
              <w:pStyle w:val="TableText"/>
              <w:tabs>
                <w:tab w:val="left" w:pos="2655"/>
              </w:tabs>
              <w:ind w:left="720"/>
            </w:pPr>
            <w:r>
              <w:t>F</w:t>
            </w:r>
            <w:r w:rsidRPr="001A5BC5">
              <w:t>or PLT order:</w:t>
            </w:r>
          </w:p>
          <w:p w14:paraId="5BEB44EB" w14:textId="77777777" w:rsidR="00B41BC2" w:rsidRPr="001A5BC5" w:rsidRDefault="00B41BC2" w:rsidP="00BA3292">
            <w:pPr>
              <w:pStyle w:val="TableText"/>
              <w:numPr>
                <w:ilvl w:val="0"/>
                <w:numId w:val="71"/>
              </w:numPr>
              <w:tabs>
                <w:tab w:val="left" w:pos="696"/>
              </w:tabs>
              <w:ind w:left="1416"/>
            </w:pPr>
            <w:r w:rsidRPr="001A5BC5">
              <w:t>All units with &lt; 2 mL RBC contamination are available</w:t>
            </w:r>
          </w:p>
          <w:p w14:paraId="6BBFCA3A" w14:textId="04E72199" w:rsidR="00B41BC2" w:rsidRPr="001A5BC5" w:rsidRDefault="00B41BC2" w:rsidP="00BA3292">
            <w:pPr>
              <w:pStyle w:val="TableText"/>
              <w:numPr>
                <w:ilvl w:val="0"/>
                <w:numId w:val="71"/>
              </w:numPr>
              <w:tabs>
                <w:tab w:val="left" w:pos="696"/>
              </w:tabs>
              <w:ind w:left="1416"/>
            </w:pPr>
            <w:r w:rsidRPr="001A5BC5">
              <w:t xml:space="preserve">Units with </w:t>
            </w:r>
            <w:r w:rsidR="00570C93">
              <w:t xml:space="preserve">(= &gt;) </w:t>
            </w:r>
            <w:r w:rsidRPr="001A5BC5">
              <w:t>2 mL RBC contamination are not available</w:t>
            </w:r>
          </w:p>
          <w:p w14:paraId="37BE11A0" w14:textId="77777777" w:rsidR="00B41BC2" w:rsidRPr="001A5BC5" w:rsidRDefault="00B41BC2" w:rsidP="008D6E9E">
            <w:pPr>
              <w:pStyle w:val="TableText"/>
              <w:tabs>
                <w:tab w:val="left" w:pos="2655"/>
              </w:tabs>
              <w:ind w:left="720"/>
            </w:pPr>
            <w:r w:rsidRPr="001A5BC5">
              <w:t>For CRYO order:</w:t>
            </w:r>
            <w:r w:rsidRPr="001A5BC5">
              <w:tab/>
            </w:r>
          </w:p>
          <w:p w14:paraId="11B6F906" w14:textId="77777777" w:rsidR="00B41BC2" w:rsidRPr="001A5BC5" w:rsidRDefault="00B41BC2" w:rsidP="00BA3292">
            <w:pPr>
              <w:pStyle w:val="TableText"/>
              <w:numPr>
                <w:ilvl w:val="0"/>
                <w:numId w:val="71"/>
              </w:numPr>
              <w:tabs>
                <w:tab w:val="left" w:pos="696"/>
              </w:tabs>
              <w:ind w:left="1416"/>
            </w:pPr>
            <w:r w:rsidRPr="001A5BC5">
              <w:t>All available units are selectable.</w:t>
            </w:r>
          </w:p>
          <w:p w14:paraId="337C231D" w14:textId="77777777" w:rsidR="00B41BC2" w:rsidRPr="001A5BC5" w:rsidRDefault="00B41BC2" w:rsidP="008D6E9E">
            <w:pPr>
              <w:pStyle w:val="TableText"/>
              <w:tabs>
                <w:tab w:val="left" w:pos="2655"/>
              </w:tabs>
              <w:ind w:left="720"/>
            </w:pPr>
            <w:r w:rsidRPr="001A5BC5">
              <w:t>For OTHER order:</w:t>
            </w:r>
            <w:r w:rsidRPr="001A5BC5">
              <w:tab/>
            </w:r>
          </w:p>
          <w:p w14:paraId="3C5BD166" w14:textId="77777777" w:rsidR="00B41BC2" w:rsidRPr="001A5BC5" w:rsidRDefault="00B41BC2" w:rsidP="00BA3292">
            <w:pPr>
              <w:pStyle w:val="TableText"/>
              <w:numPr>
                <w:ilvl w:val="0"/>
                <w:numId w:val="71"/>
              </w:numPr>
              <w:tabs>
                <w:tab w:val="left" w:pos="696"/>
              </w:tabs>
              <w:ind w:left="1416"/>
            </w:pPr>
            <w:r w:rsidRPr="001A5BC5">
              <w:t>All units with &lt; 2 mL RBC contamination are available</w:t>
            </w:r>
          </w:p>
          <w:p w14:paraId="297D02EF" w14:textId="77777777" w:rsidR="00B41BC2" w:rsidRPr="001A5BC5" w:rsidRDefault="00B41BC2" w:rsidP="00BA3292">
            <w:pPr>
              <w:pStyle w:val="TableText"/>
              <w:numPr>
                <w:ilvl w:val="0"/>
                <w:numId w:val="71"/>
              </w:numPr>
              <w:tabs>
                <w:tab w:val="left" w:pos="696"/>
              </w:tabs>
              <w:ind w:left="1416"/>
            </w:pPr>
            <w:r w:rsidRPr="001A5BC5">
              <w:t xml:space="preserve">Units with </w:t>
            </w:r>
            <w:r w:rsidRPr="001A5BC5">
              <w:rPr>
                <w:u w:val="single"/>
              </w:rPr>
              <w:t>&gt;</w:t>
            </w:r>
            <w:r w:rsidRPr="001A5BC5">
              <w:t xml:space="preserve"> 2 mL RBC contamination are not available</w:t>
            </w:r>
          </w:p>
          <w:p w14:paraId="3BE64C3D" w14:textId="77777777" w:rsidR="002A21AE" w:rsidRDefault="002A21AE" w:rsidP="00B41BC2">
            <w:pPr>
              <w:pStyle w:val="NotesTextBullet"/>
              <w:numPr>
                <w:ilvl w:val="0"/>
                <w:numId w:val="0"/>
              </w:numPr>
            </w:pPr>
          </w:p>
        </w:tc>
      </w:tr>
      <w:tr w:rsidR="002A21AE" w14:paraId="041DFC04" w14:textId="77777777">
        <w:tc>
          <w:tcPr>
            <w:tcW w:w="3240" w:type="dxa"/>
          </w:tcPr>
          <w:p w14:paraId="75363FFE" w14:textId="77777777" w:rsidR="00234D60" w:rsidRDefault="002A21AE" w:rsidP="00234D60">
            <w:pPr>
              <w:pStyle w:val="TableTextNumbers"/>
            </w:pPr>
            <w:r>
              <w:lastRenderedPageBreak/>
              <w:t>Scan</w:t>
            </w:r>
            <w:r w:rsidR="00B97587">
              <w:t xml:space="preserve">, </w:t>
            </w:r>
            <w:r w:rsidR="00234D60">
              <w:t>enter</w:t>
            </w:r>
            <w:r>
              <w:t xml:space="preserve"> or </w:t>
            </w:r>
            <w:r w:rsidR="00234D60">
              <w:t xml:space="preserve">select </w:t>
            </w:r>
            <w:r w:rsidR="00B97587" w:rsidRPr="00905C47">
              <w:rPr>
                <w:b/>
              </w:rPr>
              <w:t>*</w:t>
            </w:r>
            <w:r>
              <w:t>allogeneic units</w:t>
            </w:r>
            <w:r w:rsidR="00234D60">
              <w:t xml:space="preserve">. Units may be selected from the </w:t>
            </w:r>
            <w:r>
              <w:t xml:space="preserve">Order Group </w:t>
            </w:r>
            <w:r w:rsidR="0006424F">
              <w:t xml:space="preserve">tree view </w:t>
            </w:r>
            <w:r w:rsidR="00D509C6">
              <w:t xml:space="preserve">or </w:t>
            </w:r>
            <w:r w:rsidR="00234D60">
              <w:t>by clicking</w:t>
            </w:r>
            <w:r w:rsidR="00D509C6">
              <w:t xml:space="preserve"> the </w:t>
            </w:r>
            <w:r w:rsidR="00A6373D">
              <w:rPr>
                <w:b/>
              </w:rPr>
              <w:t>find</w:t>
            </w:r>
            <w:r w:rsidR="00D509C6" w:rsidRPr="00D509C6">
              <w:rPr>
                <w:b/>
              </w:rPr>
              <w:t xml:space="preserve"> </w:t>
            </w:r>
            <w:r w:rsidR="00D509C6" w:rsidRPr="00D1100E">
              <w:t>button</w:t>
            </w:r>
            <w:r w:rsidR="0006424F">
              <w:t xml:space="preserve"> for a list of compatible units</w:t>
            </w:r>
            <w:r>
              <w:t>.</w:t>
            </w:r>
          </w:p>
          <w:p w14:paraId="3D41E0D2" w14:textId="77777777" w:rsidR="00234D60" w:rsidRDefault="00234D60">
            <w:pPr>
              <w:pStyle w:val="TableTextNumbersContinued"/>
              <w:rPr>
                <w:b/>
              </w:rPr>
            </w:pPr>
          </w:p>
          <w:p w14:paraId="235AA159" w14:textId="77777777" w:rsidR="002A21AE" w:rsidRDefault="00234D60">
            <w:pPr>
              <w:pStyle w:val="TableTextNumbersContinued"/>
            </w:pPr>
            <w:r w:rsidRPr="00905C47">
              <w:rPr>
                <w:b/>
              </w:rPr>
              <w:t>*</w:t>
            </w:r>
            <w:r w:rsidR="003A514F">
              <w:t xml:space="preserve"> when typing in a</w:t>
            </w:r>
            <w:r>
              <w:t xml:space="preserve"> unit ID and Product Code, use the tab key or </w:t>
            </w:r>
            <w:r w:rsidR="0006424F">
              <w:t>mouse to leave the field.</w:t>
            </w:r>
          </w:p>
          <w:p w14:paraId="66EC8AA1" w14:textId="77777777" w:rsidR="0006424F" w:rsidRDefault="0006424F">
            <w:pPr>
              <w:pStyle w:val="TableTextNumbersContinued"/>
            </w:pPr>
          </w:p>
          <w:p w14:paraId="1B8F1E47" w14:textId="77777777" w:rsidR="002A21AE" w:rsidRDefault="002A21AE">
            <w:pPr>
              <w:pStyle w:val="TableTextNumbersContinued"/>
            </w:pPr>
            <w:r>
              <w:t>Enter or select a date in the Selection Date field.</w:t>
            </w:r>
            <w:r w:rsidR="00731BFF">
              <w:t xml:space="preserve"> </w:t>
            </w:r>
            <w:r>
              <w:t>Each unit may have its own selection date and time.</w:t>
            </w:r>
          </w:p>
          <w:p w14:paraId="5C8950D3" w14:textId="77777777" w:rsidR="002A21AE" w:rsidRDefault="002A21AE">
            <w:pPr>
              <w:pStyle w:val="TableTextNumbersContinued"/>
            </w:pPr>
          </w:p>
          <w:p w14:paraId="1AEE8FFD" w14:textId="77777777" w:rsidR="002A21AE" w:rsidRDefault="002A21AE">
            <w:pPr>
              <w:pStyle w:val="TableTextNumbersContinued"/>
            </w:pPr>
            <w:r>
              <w:t xml:space="preserve">Click </w:t>
            </w:r>
            <w:r>
              <w:rPr>
                <w:b/>
              </w:rPr>
              <w:t>Add Units</w:t>
            </w:r>
            <w:r>
              <w:t xml:space="preserve"> to display the unit selection form.</w:t>
            </w:r>
          </w:p>
          <w:p w14:paraId="4D168E83" w14:textId="77777777" w:rsidR="00B97587" w:rsidRDefault="00B97587">
            <w:pPr>
              <w:pStyle w:val="TableTextNumbersContinued"/>
            </w:pPr>
          </w:p>
          <w:p w14:paraId="75661ADE" w14:textId="77777777" w:rsidR="00B97587" w:rsidRDefault="00B97587">
            <w:pPr>
              <w:pStyle w:val="TableTextNumbersContinued"/>
            </w:pPr>
          </w:p>
          <w:p w14:paraId="6921AA56" w14:textId="77777777" w:rsidR="00B97587" w:rsidRDefault="00EB00A3">
            <w:pPr>
              <w:pStyle w:val="TableTextNumbersContinued"/>
            </w:pPr>
            <w:r w:rsidRPr="00EB00A3">
              <w:rPr>
                <w:vanish/>
              </w:rPr>
              <w:t>DR 4414</w:t>
            </w:r>
          </w:p>
        </w:tc>
        <w:tc>
          <w:tcPr>
            <w:tcW w:w="6120" w:type="dxa"/>
          </w:tcPr>
          <w:p w14:paraId="4B909077" w14:textId="77777777" w:rsidR="002A21AE" w:rsidRPr="00710E7E" w:rsidRDefault="002A21AE" w:rsidP="007C4707">
            <w:pPr>
              <w:pStyle w:val="TableTextBullet"/>
            </w:pPr>
            <w:r w:rsidRPr="00710E7E">
              <w:t>Maintains a list of selected units. The user may deselect selected units.</w:t>
            </w:r>
          </w:p>
          <w:p w14:paraId="0402FC4D" w14:textId="77777777" w:rsidR="002A21AE" w:rsidRPr="00710E7E" w:rsidRDefault="002A21AE" w:rsidP="007C4707">
            <w:pPr>
              <w:pStyle w:val="TableTextBullet"/>
            </w:pPr>
            <w:r w:rsidRPr="00710E7E">
              <w:t>Evaluates the selected unit:</w:t>
            </w:r>
          </w:p>
          <w:p w14:paraId="0195CC00" w14:textId="77777777" w:rsidR="002A21AE" w:rsidRPr="007C4707" w:rsidRDefault="002A21AE" w:rsidP="007C4707">
            <w:pPr>
              <w:pStyle w:val="TableTextBullet1"/>
            </w:pPr>
            <w:r w:rsidRPr="007C4707">
              <w:t>For the ABO/Rh compatibility of each unit and warns the user.</w:t>
            </w:r>
          </w:p>
          <w:p w14:paraId="6ABFCE0D" w14:textId="77777777" w:rsidR="002A21AE" w:rsidRPr="007C4707" w:rsidRDefault="002A21AE" w:rsidP="007C4707">
            <w:pPr>
              <w:pStyle w:val="TableTextBullet1"/>
            </w:pPr>
            <w:r w:rsidRPr="007C4707">
              <w:t>Against patient Transfusion Requirements (TRs) and warns the user.</w:t>
            </w:r>
          </w:p>
          <w:p w14:paraId="5B50AF73" w14:textId="77777777" w:rsidR="002A21AE" w:rsidRPr="00710E7E" w:rsidRDefault="002A21AE" w:rsidP="007C4707">
            <w:pPr>
              <w:pStyle w:val="TableTextBullet1"/>
            </w:pPr>
            <w:r w:rsidRPr="007C4707">
              <w:t>For uni</w:t>
            </w:r>
            <w:r w:rsidRPr="00710E7E">
              <w:t>t antigen negative compatibility and warns the user.</w:t>
            </w:r>
          </w:p>
          <w:p w14:paraId="4167B534" w14:textId="77777777" w:rsidR="002A21AE" w:rsidRPr="00710E7E" w:rsidRDefault="002A21AE" w:rsidP="007C4707">
            <w:pPr>
              <w:pStyle w:val="TableTextBullet"/>
            </w:pPr>
            <w:r w:rsidRPr="00710E7E">
              <w:t>Performs additional checks that include days remaining until the unit’s expiration date, the current status, assignments to other patients, quarantine and biohazard indicators, when applied, and associated special testing.</w:t>
            </w:r>
          </w:p>
          <w:p w14:paraId="429F7158" w14:textId="77777777" w:rsidR="002A21AE" w:rsidRPr="00710E7E" w:rsidRDefault="002A21AE">
            <w:pPr>
              <w:pStyle w:val="TableText"/>
              <w:rPr>
                <w:i/>
              </w:rPr>
            </w:pPr>
          </w:p>
          <w:p w14:paraId="79CC148F" w14:textId="2BCDC6B5" w:rsidR="002A21AE" w:rsidRPr="00710E7E" w:rsidRDefault="002A21AE">
            <w:pPr>
              <w:pStyle w:val="TableText"/>
              <w:rPr>
                <w:b/>
                <w:bCs/>
                <w:i/>
                <w:szCs w:val="18"/>
              </w:rPr>
            </w:pPr>
            <w:r w:rsidRPr="00710E7E">
              <w:rPr>
                <w:b/>
                <w:bCs/>
                <w:i/>
                <w:szCs w:val="18"/>
              </w:rPr>
              <w:t>NOTES</w:t>
            </w:r>
          </w:p>
          <w:p w14:paraId="253D98C1" w14:textId="77777777" w:rsidR="002A21AE" w:rsidRPr="00710E7E" w:rsidRDefault="002A21AE">
            <w:pPr>
              <w:pStyle w:val="NotesText"/>
              <w:rPr>
                <w:i/>
              </w:rPr>
            </w:pPr>
          </w:p>
          <w:p w14:paraId="4719DFAE" w14:textId="7657112A" w:rsidR="002A21AE" w:rsidRPr="00710E7E" w:rsidRDefault="00896F17">
            <w:pPr>
              <w:pStyle w:val="NotesText"/>
              <w:rPr>
                <w:i/>
              </w:rPr>
            </w:pPr>
            <w:r w:rsidRPr="00D612C6">
              <w:rPr>
                <w:rStyle w:val="BullhornChar"/>
              </w:rPr>
              <w:t></w:t>
            </w:r>
            <w:r w:rsidRPr="00710E7E">
              <w:rPr>
                <w:rFonts w:ascii="Webdings" w:hAnsi="Webdings"/>
                <w:i/>
                <w:szCs w:val="22"/>
              </w:rPr>
              <w:t></w:t>
            </w:r>
            <w:r w:rsidRPr="007C4707">
              <w:t>See</w:t>
            </w:r>
            <w:r w:rsidR="002A21AE" w:rsidRPr="007C4707">
              <w:t xml:space="preserve"> </w:t>
            </w:r>
            <w:r w:rsidR="00590097" w:rsidRPr="007C4707">
              <w:fldChar w:fldCharType="begin"/>
            </w:r>
            <w:r w:rsidR="00590097" w:rsidRPr="007C4707">
              <w:instrText xml:space="preserve"> REF _Ref126486057 \h </w:instrText>
            </w:r>
            <w:r w:rsidR="00710E7E" w:rsidRPr="007C4707">
              <w:instrText xml:space="preserve">issue bloo \* MERGEFORMAT </w:instrText>
            </w:r>
            <w:r w:rsidR="00590097" w:rsidRPr="007C4707">
              <w:fldChar w:fldCharType="separate"/>
            </w:r>
            <w:r w:rsidR="004353ED">
              <w:t>Table 6</w:t>
            </w:r>
            <w:r w:rsidR="00590097" w:rsidRPr="007C4707">
              <w:fldChar w:fldCharType="end"/>
            </w:r>
            <w:r w:rsidR="002A21AE" w:rsidRPr="007C4707">
              <w:t xml:space="preserve"> for alerts that may occur during this option.</w:t>
            </w:r>
          </w:p>
          <w:p w14:paraId="46A6FF8F" w14:textId="77777777" w:rsidR="002A21AE" w:rsidRPr="00710E7E" w:rsidRDefault="002A21AE">
            <w:pPr>
              <w:pStyle w:val="NotesText"/>
              <w:rPr>
                <w:i/>
              </w:rPr>
            </w:pPr>
          </w:p>
          <w:p w14:paraId="0FA6F9A1" w14:textId="77777777" w:rsidR="002A21AE" w:rsidRPr="00710E7E" w:rsidRDefault="00AC6F94">
            <w:pPr>
              <w:pStyle w:val="NotesText"/>
              <w:rPr>
                <w:i/>
              </w:rPr>
            </w:pPr>
            <w:r w:rsidRPr="00710E7E">
              <w:rPr>
                <w:i/>
              </w:rPr>
              <w:t>When the user selects a unit in the tree view, he</w:t>
            </w:r>
            <w:r w:rsidR="002A21AE" w:rsidRPr="00710E7E">
              <w:rPr>
                <w:i/>
              </w:rPr>
              <w:t xml:space="preserve"> may accept or edit the current date and time displayed; the date and time must be in the past. </w:t>
            </w:r>
          </w:p>
          <w:p w14:paraId="13C33F73" w14:textId="77777777" w:rsidR="002A21AE" w:rsidRPr="00710E7E" w:rsidRDefault="002A21AE">
            <w:pPr>
              <w:pStyle w:val="NotesText"/>
              <w:rPr>
                <w:i/>
              </w:rPr>
            </w:pPr>
          </w:p>
          <w:p w14:paraId="4465EDD4" w14:textId="77777777" w:rsidR="002A21AE" w:rsidRPr="007C4707" w:rsidRDefault="002A21AE">
            <w:pPr>
              <w:pStyle w:val="NotesText"/>
            </w:pPr>
            <w:r w:rsidRPr="007C4707">
              <w:rPr>
                <w:rFonts w:cs="Arial"/>
                <w:vanish/>
                <w:szCs w:val="18"/>
              </w:rPr>
              <w:t>BR_3.25</w:t>
            </w:r>
            <w:r w:rsidR="00CE3961" w:rsidRPr="007C4707">
              <w:rPr>
                <w:rFonts w:cs="Arial"/>
                <w:vanish/>
                <w:szCs w:val="18"/>
              </w:rPr>
              <w:t>,</w:t>
            </w:r>
            <w:r w:rsidRPr="007C4707">
              <w:rPr>
                <w:rFonts w:cs="Arial"/>
                <w:vanish/>
                <w:szCs w:val="18"/>
              </w:rPr>
              <w:t xml:space="preserve"> </w:t>
            </w:r>
            <w:r w:rsidRPr="007C4707">
              <w:rPr>
                <w:vanish/>
                <w:szCs w:val="18"/>
              </w:rPr>
              <w:t xml:space="preserve">BR_16.13 </w:t>
            </w:r>
            <w:r w:rsidRPr="007C4707">
              <w:t>Restricted (autologous or directed) unit selection eligibility criteria:</w:t>
            </w:r>
          </w:p>
          <w:p w14:paraId="1561A9B2" w14:textId="77777777" w:rsidR="002A21AE" w:rsidRPr="007C4707" w:rsidRDefault="002A21AE">
            <w:pPr>
              <w:pStyle w:val="NotesTextBullet"/>
            </w:pPr>
            <w:r w:rsidRPr="007C4707">
              <w:t>Restricted For Patient ID: must match</w:t>
            </w:r>
          </w:p>
          <w:p w14:paraId="5EB7D6AC" w14:textId="77777777" w:rsidR="002A21AE" w:rsidRPr="007C4707" w:rsidRDefault="002A21AE">
            <w:pPr>
              <w:pStyle w:val="NotesTextBullet"/>
            </w:pPr>
            <w:r w:rsidRPr="007C4707">
              <w:t>Restricted For Patient Name: must match</w:t>
            </w:r>
          </w:p>
          <w:p w14:paraId="4DB3697D" w14:textId="77777777" w:rsidR="002A21AE" w:rsidRPr="007C4707" w:rsidRDefault="002A21AE">
            <w:pPr>
              <w:pStyle w:val="NotesTextBullet"/>
            </w:pPr>
            <w:r w:rsidRPr="007C4707">
              <w:t xml:space="preserve">Unit expiration date must be in the future. </w:t>
            </w:r>
          </w:p>
          <w:p w14:paraId="76E2B48D" w14:textId="77777777" w:rsidR="002A21AE" w:rsidRPr="007C4707" w:rsidRDefault="002A21AE">
            <w:pPr>
              <w:pStyle w:val="NotesTextBullet"/>
            </w:pPr>
            <w:r w:rsidRPr="007C4707">
              <w:t>Component class (transfusion only requires restriction of all units)</w:t>
            </w:r>
          </w:p>
          <w:p w14:paraId="723584BF" w14:textId="77777777" w:rsidR="002A21AE" w:rsidRPr="007C4707" w:rsidRDefault="002A21AE">
            <w:pPr>
              <w:pStyle w:val="NotesTextBullet"/>
              <w:numPr>
                <w:ilvl w:val="0"/>
                <w:numId w:val="0"/>
              </w:numPr>
              <w:ind w:left="720"/>
            </w:pPr>
          </w:p>
          <w:p w14:paraId="0A329996" w14:textId="77777777" w:rsidR="002A21AE" w:rsidRPr="007C4707" w:rsidRDefault="002A21AE">
            <w:pPr>
              <w:pStyle w:val="NotesText"/>
            </w:pPr>
            <w:r w:rsidRPr="007C4707">
              <w:rPr>
                <w:rFonts w:cs="Arial"/>
                <w:vanish/>
              </w:rPr>
              <w:t xml:space="preserve">BR_3.19 </w:t>
            </w:r>
            <w:r w:rsidRPr="007C4707">
              <w:t>The criteria for selecting or including an individual unit in a pick list include evaluating a unit for:</w:t>
            </w:r>
          </w:p>
          <w:p w14:paraId="523ACF41" w14:textId="77777777" w:rsidR="002A21AE" w:rsidRPr="007C4707" w:rsidRDefault="002A21AE">
            <w:pPr>
              <w:pStyle w:val="NotesTextBullet"/>
            </w:pPr>
            <w:r w:rsidRPr="007C4707">
              <w:t>Considered substitutable for the order</w:t>
            </w:r>
          </w:p>
          <w:p w14:paraId="352DE08F" w14:textId="77777777" w:rsidR="002A21AE" w:rsidRPr="007C4707" w:rsidRDefault="002A21AE">
            <w:pPr>
              <w:pStyle w:val="NotesTextBullet"/>
            </w:pPr>
            <w:r w:rsidRPr="007C4707">
              <w:t>Same division as the user</w:t>
            </w:r>
          </w:p>
          <w:p w14:paraId="3C0C8FA9" w14:textId="77777777" w:rsidR="002A21AE" w:rsidRPr="007C4707" w:rsidRDefault="002A21AE">
            <w:pPr>
              <w:pStyle w:val="NotesTextBullet"/>
            </w:pPr>
            <w:r w:rsidRPr="007C4707">
              <w:lastRenderedPageBreak/>
              <w:t xml:space="preserve">Current location is in the blood bank </w:t>
            </w:r>
          </w:p>
          <w:p w14:paraId="40C93BAF" w14:textId="77777777" w:rsidR="002A21AE" w:rsidRPr="007C4707" w:rsidRDefault="002A21AE">
            <w:pPr>
              <w:pStyle w:val="NotesTextBullet"/>
            </w:pPr>
            <w:r w:rsidRPr="007C4707">
              <w:t>Is not already assigned or crossmatched to the patient</w:t>
            </w:r>
          </w:p>
          <w:p w14:paraId="03037142" w14:textId="77777777" w:rsidR="002A21AE" w:rsidRPr="007C4707" w:rsidRDefault="002A21AE">
            <w:pPr>
              <w:pStyle w:val="NotesTextBullet"/>
            </w:pPr>
            <w:r w:rsidRPr="007C4707">
              <w:t>Is not “restricted” for a different patient</w:t>
            </w:r>
          </w:p>
          <w:p w14:paraId="361CABCC" w14:textId="77777777" w:rsidR="002A21AE" w:rsidRPr="007C4707" w:rsidRDefault="002A21AE">
            <w:pPr>
              <w:pStyle w:val="NotesTextBullet"/>
            </w:pPr>
            <w:r w:rsidRPr="007C4707">
              <w:t xml:space="preserve">Meets ABO/Rh compatibility requirements specific to the component class </w:t>
            </w:r>
          </w:p>
          <w:p w14:paraId="04F77B25" w14:textId="77777777" w:rsidR="002A21AE" w:rsidRPr="007C4707" w:rsidRDefault="002A21AE">
            <w:pPr>
              <w:pStyle w:val="NotesTextBullet"/>
            </w:pPr>
            <w:r w:rsidRPr="007C4707">
              <w:t>Future expiration date</w:t>
            </w:r>
          </w:p>
          <w:p w14:paraId="253BF03E" w14:textId="77777777" w:rsidR="002A21AE" w:rsidRPr="007C4707" w:rsidRDefault="002A21AE">
            <w:pPr>
              <w:pStyle w:val="NotesText"/>
            </w:pPr>
          </w:p>
          <w:p w14:paraId="077C3E0A" w14:textId="77777777" w:rsidR="002A21AE" w:rsidRDefault="002A21AE">
            <w:pPr>
              <w:pStyle w:val="NotesText"/>
              <w:rPr>
                <w:vanish/>
              </w:rPr>
            </w:pPr>
            <w:r w:rsidRPr="007C4707">
              <w:rPr>
                <w:rFonts w:cs="Arial"/>
                <w:vanish/>
              </w:rPr>
              <w:t xml:space="preserve">BR_3.04 </w:t>
            </w:r>
            <w:r w:rsidR="00332E10">
              <w:t xml:space="preserve">VBECS lists only ABO and </w:t>
            </w:r>
            <w:r w:rsidRPr="007C4707">
              <w:t>Rh compatible units for selection.</w:t>
            </w:r>
            <w:r w:rsidR="00EB00A3">
              <w:t xml:space="preserve"> </w:t>
            </w:r>
            <w:r w:rsidR="00973AD0">
              <w:t xml:space="preserve">The “select units” utility creates a system-generated pick list that is sorted and displayed using the following criteria: first, ABO/Rh identical, then expiration date (oldest units first); then, ABO/Rh compatible. </w:t>
            </w:r>
            <w:r w:rsidR="00EB00A3" w:rsidRPr="00EB00A3">
              <w:rPr>
                <w:vanish/>
              </w:rPr>
              <w:t>DR 4414</w:t>
            </w:r>
          </w:p>
          <w:p w14:paraId="4464ABFF" w14:textId="77777777" w:rsidR="0068309D" w:rsidRDefault="0068309D">
            <w:pPr>
              <w:pStyle w:val="NotesText"/>
              <w:rPr>
                <w:i/>
              </w:rPr>
            </w:pPr>
          </w:p>
          <w:p w14:paraId="65272F79" w14:textId="77777777" w:rsidR="0068309D" w:rsidRDefault="0068309D">
            <w:pPr>
              <w:pStyle w:val="NotesText"/>
              <w:rPr>
                <w:i/>
              </w:rPr>
            </w:pPr>
          </w:p>
          <w:p w14:paraId="2B552CFE" w14:textId="77777777" w:rsidR="0068309D" w:rsidRDefault="000150E9">
            <w:pPr>
              <w:pStyle w:val="NotesText"/>
            </w:pPr>
            <w:r w:rsidRPr="000150E9">
              <w:rPr>
                <w:vanish/>
              </w:rPr>
              <w:t xml:space="preserve">BR_3.04 </w:t>
            </w:r>
            <w:r w:rsidR="0068309D" w:rsidRPr="0068309D">
              <w:t>Th</w:t>
            </w:r>
            <w:r w:rsidR="005246E0">
              <w:t>e p</w:t>
            </w:r>
            <w:r w:rsidR="0068309D" w:rsidRPr="0068309D">
              <w:t xml:space="preserve">ick list </w:t>
            </w:r>
            <w:r>
              <w:t>or individually selected unit field display includes:</w:t>
            </w:r>
          </w:p>
          <w:p w14:paraId="7DABE5A9" w14:textId="77777777" w:rsidR="0068309D" w:rsidRDefault="000A70BE" w:rsidP="0068309D">
            <w:pPr>
              <w:pStyle w:val="NotesTextBullet"/>
            </w:pPr>
            <w:r>
              <w:t>Unit ID</w:t>
            </w:r>
          </w:p>
          <w:p w14:paraId="469678FC" w14:textId="77777777" w:rsidR="000A70BE" w:rsidRDefault="000A70BE" w:rsidP="0068309D">
            <w:pPr>
              <w:pStyle w:val="NotesTextBullet"/>
            </w:pPr>
            <w:r>
              <w:t>Product Short Name</w:t>
            </w:r>
          </w:p>
          <w:p w14:paraId="15AC274D" w14:textId="77777777" w:rsidR="000A70BE" w:rsidRDefault="000A70BE" w:rsidP="0068309D">
            <w:pPr>
              <w:pStyle w:val="NotesTextBullet"/>
            </w:pPr>
            <w:r>
              <w:t>ABO/Rh</w:t>
            </w:r>
          </w:p>
          <w:p w14:paraId="086C80F4" w14:textId="77777777" w:rsidR="000A70BE" w:rsidRDefault="000A70BE" w:rsidP="0068309D">
            <w:pPr>
              <w:pStyle w:val="NotesTextBullet"/>
            </w:pPr>
            <w:r>
              <w:t>Expiration Date</w:t>
            </w:r>
          </w:p>
          <w:p w14:paraId="459BCB29" w14:textId="77777777" w:rsidR="000A70BE" w:rsidRDefault="000A70BE" w:rsidP="0068309D">
            <w:pPr>
              <w:pStyle w:val="NotesTextBullet"/>
            </w:pPr>
            <w:r>
              <w:t>Unit Status</w:t>
            </w:r>
          </w:p>
          <w:p w14:paraId="04CDB86B" w14:textId="77777777" w:rsidR="000A70BE" w:rsidRDefault="000A70BE" w:rsidP="0068309D">
            <w:pPr>
              <w:pStyle w:val="NotesTextBullet"/>
            </w:pPr>
            <w:r>
              <w:t>Donation Type</w:t>
            </w:r>
          </w:p>
          <w:p w14:paraId="63289026" w14:textId="77777777" w:rsidR="0068309D" w:rsidRDefault="0064284B" w:rsidP="0064284B">
            <w:pPr>
              <w:pStyle w:val="NotesTextBullet"/>
            </w:pPr>
            <w:r>
              <w:t>Restricted for Patient Name and ID</w:t>
            </w:r>
          </w:p>
          <w:p w14:paraId="262EF33F" w14:textId="77777777" w:rsidR="0064284B" w:rsidRDefault="0064284B" w:rsidP="0064284B">
            <w:pPr>
              <w:pStyle w:val="NotesTextBullet"/>
            </w:pPr>
            <w:r>
              <w:t>Patient Assigned (if unit assigned to other patient but with location of blood bank)</w:t>
            </w:r>
          </w:p>
          <w:p w14:paraId="723691DF" w14:textId="77777777" w:rsidR="0064284B" w:rsidRDefault="0064284B" w:rsidP="0064284B">
            <w:pPr>
              <w:pStyle w:val="NotesTextBullet"/>
            </w:pPr>
            <w:r>
              <w:t>Antigen Type Results (if available)</w:t>
            </w:r>
          </w:p>
          <w:p w14:paraId="32871DFC" w14:textId="77777777" w:rsidR="002A21AE" w:rsidRPr="00710E7E" w:rsidRDefault="002A21AE">
            <w:pPr>
              <w:pStyle w:val="NotesText"/>
              <w:rPr>
                <w:i/>
              </w:rPr>
            </w:pPr>
          </w:p>
          <w:p w14:paraId="04961DB3" w14:textId="77777777" w:rsidR="002A21AE" w:rsidRPr="007C4707" w:rsidRDefault="002A21AE">
            <w:pPr>
              <w:pStyle w:val="NotesText"/>
            </w:pPr>
            <w:r w:rsidRPr="00166C27">
              <w:rPr>
                <w:rFonts w:cs="Arial"/>
                <w:vanish/>
              </w:rPr>
              <w:t xml:space="preserve">BR_3.11 </w:t>
            </w:r>
            <w:r w:rsidRPr="00166C27">
              <w:t>When ABO/Rh results were not created for the specimen associated with the component order and the order is not designated</w:t>
            </w:r>
            <w:r w:rsidRPr="007C4707">
              <w:t xml:space="preserve"> “emergency issue,” VBECS allows the user to select units using historic records, and notifies the user that ABO/Rh testing must be performed at this division on this patient before any selected units can be issued.</w:t>
            </w:r>
          </w:p>
          <w:p w14:paraId="0DFE04A4" w14:textId="77777777" w:rsidR="002A21AE" w:rsidRPr="007C4707" w:rsidRDefault="002A21AE">
            <w:pPr>
              <w:pStyle w:val="NotesText"/>
            </w:pPr>
          </w:p>
          <w:p w14:paraId="6504CC49" w14:textId="77777777" w:rsidR="002A21AE" w:rsidRPr="00710E7E" w:rsidRDefault="002A21AE">
            <w:pPr>
              <w:pStyle w:val="NotesText"/>
              <w:rPr>
                <w:i/>
              </w:rPr>
            </w:pPr>
            <w:r w:rsidRPr="007C4707">
              <w:rPr>
                <w:rFonts w:cs="Arial"/>
                <w:vanish/>
              </w:rPr>
              <w:t xml:space="preserve">BR_3.55 </w:t>
            </w:r>
            <w:r w:rsidRPr="007C4707">
              <w:t>VBECS displays and allows the user to complete a pending XM associated with a patient order without a final unit status.</w:t>
            </w:r>
          </w:p>
        </w:tc>
      </w:tr>
      <w:tr w:rsidR="002A21AE" w14:paraId="112CADBC" w14:textId="77777777">
        <w:tc>
          <w:tcPr>
            <w:tcW w:w="3240" w:type="dxa"/>
          </w:tcPr>
          <w:p w14:paraId="0D59E3B9" w14:textId="77777777" w:rsidR="002A21AE" w:rsidRDefault="002A21AE" w:rsidP="001F6038">
            <w:pPr>
              <w:pStyle w:val="TableTextNumbers"/>
            </w:pPr>
            <w:r>
              <w:lastRenderedPageBreak/>
              <w:t xml:space="preserve">Repeat Step </w:t>
            </w:r>
            <w:r w:rsidR="001F6038">
              <w:t>10</w:t>
            </w:r>
            <w:r>
              <w:t xml:space="preserve"> until all units are selected.</w:t>
            </w:r>
            <w:r w:rsidR="00EB00A3">
              <w:t xml:space="preserve"> </w:t>
            </w:r>
            <w:r w:rsidR="00EB00A3" w:rsidRPr="00EB00A3">
              <w:rPr>
                <w:vanish/>
              </w:rPr>
              <w:t>DR 4414</w:t>
            </w:r>
          </w:p>
        </w:tc>
        <w:tc>
          <w:tcPr>
            <w:tcW w:w="6120" w:type="dxa"/>
          </w:tcPr>
          <w:p w14:paraId="4C81E182" w14:textId="77777777" w:rsidR="002A21AE" w:rsidRDefault="002A21AE">
            <w:pPr>
              <w:pStyle w:val="TableTextBullet"/>
            </w:pPr>
            <w:r>
              <w:t>Requests the user to confirm the list of selected blood units.</w:t>
            </w:r>
          </w:p>
          <w:p w14:paraId="2DB525FF" w14:textId="77777777" w:rsidR="002A21AE" w:rsidRDefault="002A21AE">
            <w:pPr>
              <w:pStyle w:val="TableText"/>
            </w:pPr>
          </w:p>
          <w:p w14:paraId="197F8573" w14:textId="104CE56C" w:rsidR="002A21AE" w:rsidRDefault="002A21AE">
            <w:pPr>
              <w:pStyle w:val="TableText"/>
              <w:rPr>
                <w:b/>
                <w:bCs/>
                <w:szCs w:val="18"/>
              </w:rPr>
            </w:pPr>
            <w:r>
              <w:rPr>
                <w:b/>
                <w:bCs/>
                <w:szCs w:val="18"/>
              </w:rPr>
              <w:t>NOTES</w:t>
            </w:r>
          </w:p>
          <w:p w14:paraId="4C2F5023" w14:textId="77777777" w:rsidR="002A21AE" w:rsidRDefault="002A21AE">
            <w:pPr>
              <w:pStyle w:val="NotesText"/>
            </w:pPr>
          </w:p>
          <w:p w14:paraId="4E2233DE" w14:textId="77777777" w:rsidR="002A21AE" w:rsidRDefault="002A21AE">
            <w:pPr>
              <w:pStyle w:val="NotesText"/>
            </w:pPr>
            <w:r>
              <w:t>The user may select or deselect additional units.</w:t>
            </w:r>
          </w:p>
        </w:tc>
      </w:tr>
      <w:tr w:rsidR="002A21AE" w14:paraId="5F5A8C1D" w14:textId="77777777" w:rsidTr="001A459B">
        <w:trPr>
          <w:cantSplit/>
        </w:trPr>
        <w:tc>
          <w:tcPr>
            <w:tcW w:w="3240" w:type="dxa"/>
          </w:tcPr>
          <w:p w14:paraId="7A11AFDA" w14:textId="77777777" w:rsidR="002A21AE" w:rsidRDefault="002A21AE">
            <w:pPr>
              <w:pStyle w:val="TableTextNumbers"/>
            </w:pPr>
            <w:r>
              <w:t xml:space="preserve">Click </w:t>
            </w:r>
            <w:r>
              <w:rPr>
                <w:b/>
              </w:rPr>
              <w:t>OK</w:t>
            </w:r>
            <w:r>
              <w:t xml:space="preserve"> to confirm the selection of units.</w:t>
            </w:r>
          </w:p>
        </w:tc>
        <w:tc>
          <w:tcPr>
            <w:tcW w:w="6120" w:type="dxa"/>
          </w:tcPr>
          <w:p w14:paraId="139444FF" w14:textId="77777777" w:rsidR="002A21AE" w:rsidRDefault="002A21AE">
            <w:pPr>
              <w:pStyle w:val="TableTextBullet"/>
            </w:pPr>
            <w:r>
              <w:t xml:space="preserve">Determines whether the units are available for issue or whether they require additional modification and/or testing based on the component class. </w:t>
            </w:r>
          </w:p>
          <w:p w14:paraId="3A27956C" w14:textId="77777777" w:rsidR="002A21AE" w:rsidRDefault="002A21AE">
            <w:pPr>
              <w:pStyle w:val="TableTextBullet"/>
            </w:pPr>
            <w:r>
              <w:t>Updates the database, as appropriate.</w:t>
            </w:r>
          </w:p>
          <w:p w14:paraId="1B9C1F36" w14:textId="77777777" w:rsidR="001A3140" w:rsidRDefault="001A3140" w:rsidP="001A3140">
            <w:pPr>
              <w:pStyle w:val="TableTextBullet"/>
            </w:pPr>
            <w:r>
              <w:rPr>
                <w:rFonts w:cs="Arial"/>
                <w:szCs w:val="18"/>
              </w:rPr>
              <w:t>S</w:t>
            </w:r>
            <w:r w:rsidRPr="00CA212C">
              <w:rPr>
                <w:rFonts w:cs="Arial"/>
                <w:szCs w:val="18"/>
              </w:rPr>
              <w:t>ends</w:t>
            </w:r>
            <w:r>
              <w:rPr>
                <w:rFonts w:cs="Arial"/>
                <w:szCs w:val="18"/>
              </w:rPr>
              <w:t xml:space="preserve"> </w:t>
            </w:r>
            <w:r w:rsidRPr="00CA212C">
              <w:rPr>
                <w:rFonts w:cs="Arial"/>
                <w:szCs w:val="18"/>
              </w:rPr>
              <w:t>selected blood unit</w:t>
            </w:r>
            <w:r>
              <w:rPr>
                <w:rFonts w:cs="Arial"/>
                <w:szCs w:val="18"/>
              </w:rPr>
              <w:t>s</w:t>
            </w:r>
            <w:r w:rsidRPr="00CA212C">
              <w:rPr>
                <w:rFonts w:cs="Arial"/>
                <w:szCs w:val="18"/>
              </w:rPr>
              <w:t xml:space="preserve"> with patient details to the BCE COTS system via an HL7 message</w:t>
            </w:r>
            <w:r w:rsidR="005246E0">
              <w:rPr>
                <w:rFonts w:cs="Arial"/>
                <w:szCs w:val="18"/>
              </w:rPr>
              <w:t xml:space="preserve"> when that BCE COTS is available</w:t>
            </w:r>
            <w:r>
              <w:rPr>
                <w:rFonts w:cs="Arial"/>
                <w:szCs w:val="18"/>
              </w:rPr>
              <w:t>.</w:t>
            </w:r>
          </w:p>
          <w:p w14:paraId="4F661F53" w14:textId="77777777" w:rsidR="002A21AE" w:rsidRDefault="002A21AE">
            <w:pPr>
              <w:pStyle w:val="TableText"/>
            </w:pPr>
          </w:p>
          <w:p w14:paraId="1BCCA2A6" w14:textId="710A27A3" w:rsidR="002A21AE" w:rsidRDefault="002A21AE">
            <w:pPr>
              <w:pStyle w:val="TableText"/>
              <w:rPr>
                <w:b/>
                <w:bCs/>
                <w:szCs w:val="18"/>
              </w:rPr>
            </w:pPr>
            <w:r>
              <w:rPr>
                <w:b/>
                <w:bCs/>
                <w:szCs w:val="18"/>
              </w:rPr>
              <w:t>NOTES</w:t>
            </w:r>
          </w:p>
          <w:p w14:paraId="14887893" w14:textId="5E2CA1C1" w:rsidR="002A21AE" w:rsidRPr="00F83540" w:rsidRDefault="00F83540" w:rsidP="00026F72">
            <w:pPr>
              <w:pStyle w:val="NotesText"/>
            </w:pPr>
            <w:r w:rsidRPr="00F83540">
              <w:rPr>
                <w:vanish/>
              </w:rPr>
              <w:t xml:space="preserve">BR_56.31 </w:t>
            </w:r>
            <w:r w:rsidRPr="00F83540">
              <w:t xml:space="preserve">When the </w:t>
            </w:r>
            <w:r>
              <w:t xml:space="preserve">total </w:t>
            </w:r>
            <w:r w:rsidRPr="00F83540">
              <w:t>number of blood units eligible for issue, issued</w:t>
            </w:r>
            <w:r>
              <w:t xml:space="preserve">, </w:t>
            </w:r>
            <w:r w:rsidRPr="00F83540">
              <w:t xml:space="preserve">or transfused </w:t>
            </w:r>
            <w:r>
              <w:t xml:space="preserve">is </w:t>
            </w:r>
            <w:r w:rsidRPr="00F83540">
              <w:t>greater or equal</w:t>
            </w:r>
            <w:r>
              <w:t xml:space="preserve"> to the number of ordered units, VBECS sends an order</w:t>
            </w:r>
            <w:r w:rsidRPr="00F83540">
              <w:t xml:space="preserve"> completion message to CPRS.</w:t>
            </w:r>
          </w:p>
          <w:p w14:paraId="528650B4" w14:textId="77777777" w:rsidR="00F83540" w:rsidRDefault="00F83540">
            <w:pPr>
              <w:pStyle w:val="NotesText"/>
            </w:pPr>
          </w:p>
          <w:p w14:paraId="05D2F72A" w14:textId="61D41119" w:rsidR="002A21AE" w:rsidRDefault="00896F17">
            <w:pPr>
              <w:pStyle w:val="NotesText"/>
              <w:rPr>
                <w:rFonts w:cs="Arial"/>
                <w:szCs w:val="22"/>
              </w:rPr>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590097">
              <w:rPr>
                <w:rFonts w:cs="Arial"/>
                <w:szCs w:val="22"/>
              </w:rPr>
              <w:fldChar w:fldCharType="begin"/>
            </w:r>
            <w:r w:rsidR="00590097">
              <w:rPr>
                <w:rFonts w:cs="Arial"/>
                <w:szCs w:val="22"/>
              </w:rPr>
              <w:instrText xml:space="preserve"> REF _Ref126486057 \h </w:instrText>
            </w:r>
            <w:r w:rsidR="00590097">
              <w:rPr>
                <w:rFonts w:cs="Arial"/>
                <w:szCs w:val="22"/>
              </w:rPr>
            </w:r>
            <w:r w:rsidR="00590097">
              <w:rPr>
                <w:rFonts w:cs="Arial"/>
                <w:szCs w:val="22"/>
              </w:rPr>
              <w:fldChar w:fldCharType="separate"/>
            </w:r>
            <w:r w:rsidR="004353ED">
              <w:t xml:space="preserve">Table </w:t>
            </w:r>
            <w:r w:rsidR="004353ED">
              <w:rPr>
                <w:noProof/>
              </w:rPr>
              <w:t>6</w:t>
            </w:r>
            <w:r w:rsidR="00590097">
              <w:rPr>
                <w:rFonts w:cs="Arial"/>
                <w:szCs w:val="22"/>
              </w:rPr>
              <w:fldChar w:fldCharType="end"/>
            </w:r>
            <w:r w:rsidR="002A21AE">
              <w:rPr>
                <w:rFonts w:cs="Arial"/>
                <w:szCs w:val="22"/>
              </w:rPr>
              <w:t xml:space="preserve"> for alerts that may occur during this option.</w:t>
            </w:r>
          </w:p>
          <w:p w14:paraId="0960BDB5" w14:textId="77777777" w:rsidR="002A21AE" w:rsidRDefault="002A21AE" w:rsidP="001F303C">
            <w:pPr>
              <w:pStyle w:val="NotesText"/>
              <w:ind w:left="0"/>
            </w:pPr>
          </w:p>
        </w:tc>
      </w:tr>
      <w:tr w:rsidR="002A21AE" w14:paraId="47D32BBD" w14:textId="77777777">
        <w:tc>
          <w:tcPr>
            <w:tcW w:w="3240" w:type="dxa"/>
          </w:tcPr>
          <w:p w14:paraId="2FBE19B1" w14:textId="77777777" w:rsidR="002A21AE" w:rsidRDefault="002A21AE">
            <w:pPr>
              <w:pStyle w:val="TableTextNumbers"/>
            </w:pPr>
            <w:r>
              <w:lastRenderedPageBreak/>
              <w:t xml:space="preserve">Select another component order to continue selecting units,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32" w:author="Blalock, David (Leidos)" w:date="2020-06-15T14:09:00Z" w:original="0."/>
              </w:fldChar>
            </w:r>
          </w:p>
        </w:tc>
        <w:tc>
          <w:tcPr>
            <w:tcW w:w="6120" w:type="dxa"/>
          </w:tcPr>
          <w:p w14:paraId="2AEC5705" w14:textId="77777777" w:rsidR="002A21AE" w:rsidRDefault="002A21AE">
            <w:pPr>
              <w:pStyle w:val="TableTextBullet"/>
            </w:pPr>
            <w:r>
              <w:t>Displays orders for the next patient.</w:t>
            </w:r>
          </w:p>
        </w:tc>
      </w:tr>
    </w:tbl>
    <w:p w14:paraId="0B41D219" w14:textId="2EE8661E" w:rsidR="004728E4" w:rsidRDefault="004728E4" w:rsidP="004728E4">
      <w:pPr>
        <w:pStyle w:val="Caption"/>
      </w:pPr>
      <w:bookmarkStart w:id="433" w:name="_Ref126724671"/>
      <w:bookmarkStart w:id="434" w:name="_Ref12672145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97</w:t>
      </w:r>
      <w:r w:rsidR="004E20BD">
        <w:rPr>
          <w:noProof/>
        </w:rPr>
        <w:fldChar w:fldCharType="end"/>
      </w:r>
      <w:bookmarkEnd w:id="433"/>
      <w:r>
        <w:t>: Pending Task List Component Orders</w:t>
      </w:r>
      <w:bookmarkEnd w:id="434"/>
    </w:p>
    <w:p w14:paraId="7725B3CA" w14:textId="77777777" w:rsidR="00120C4C" w:rsidRPr="00120C4C" w:rsidRDefault="00057948" w:rsidP="00120C4C">
      <w:pPr>
        <w:pStyle w:val="BodyText"/>
      </w:pPr>
      <w:r>
        <w:rPr>
          <w:noProof/>
        </w:rPr>
        <w:drawing>
          <wp:inline distT="0" distB="0" distL="0" distR="0" wp14:anchorId="0AD58B36" wp14:editId="257BC84D">
            <wp:extent cx="5939155" cy="2503170"/>
            <wp:effectExtent l="0" t="0" r="4445" b="0"/>
            <wp:docPr id="186" name="Picture 1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a:extLst>
                        <a:ext uri="{C183D7F6-B498-43B3-948B-1728B52AA6E4}">
                          <adec:decorative xmlns:adec="http://schemas.microsoft.com/office/drawing/2017/decorative" val="1"/>
                        </a:ext>
                      </a:extLst>
                    </pic:cNvPr>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39155" cy="2503170"/>
                    </a:xfrm>
                    <a:prstGeom prst="rect">
                      <a:avLst/>
                    </a:prstGeom>
                    <a:noFill/>
                    <a:ln>
                      <a:noFill/>
                    </a:ln>
                  </pic:spPr>
                </pic:pic>
              </a:graphicData>
            </a:graphic>
          </wp:inline>
        </w:drawing>
      </w:r>
    </w:p>
    <w:p w14:paraId="7C6F3AC0" w14:textId="6A32A47A" w:rsidR="008C6185" w:rsidRDefault="008C6185" w:rsidP="008C6185">
      <w:pPr>
        <w:pStyle w:val="Caption"/>
      </w:pPr>
      <w:bookmarkStart w:id="435" w:name="_Ref126724700"/>
      <w:bookmarkStart w:id="436" w:name="_Ref12672158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98</w:t>
      </w:r>
      <w:r w:rsidR="004E20BD">
        <w:rPr>
          <w:noProof/>
        </w:rPr>
        <w:fldChar w:fldCharType="end"/>
      </w:r>
      <w:bookmarkEnd w:id="435"/>
      <w:r>
        <w:t>: Select Units for a Patient</w:t>
      </w:r>
      <w:bookmarkEnd w:id="436"/>
    </w:p>
    <w:p w14:paraId="522DC705" w14:textId="565AD226" w:rsidR="008C6185" w:rsidRDefault="00570C93" w:rsidP="00DE69E1">
      <w:pPr>
        <w:pStyle w:val="BodyText"/>
      </w:pPr>
      <w:r>
        <w:rPr>
          <w:noProof/>
        </w:rPr>
        <w:drawing>
          <wp:inline distT="0" distB="0" distL="0" distR="0" wp14:anchorId="102FDE83" wp14:editId="18BFF82F">
            <wp:extent cx="5937250" cy="3479800"/>
            <wp:effectExtent l="0" t="0" r="6350" b="6350"/>
            <wp:docPr id="57" name="Picture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a:extLst>
                        <a:ext uri="{C183D7F6-B498-43B3-948B-1728B52AA6E4}">
                          <adec:decorative xmlns:adec="http://schemas.microsoft.com/office/drawing/2017/decorative" val="1"/>
                        </a:ext>
                      </a:extLst>
                    </pic:cNvPr>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937250" cy="3479800"/>
                    </a:xfrm>
                    <a:prstGeom prst="rect">
                      <a:avLst/>
                    </a:prstGeom>
                    <a:noFill/>
                    <a:ln>
                      <a:noFill/>
                    </a:ln>
                  </pic:spPr>
                </pic:pic>
              </a:graphicData>
            </a:graphic>
          </wp:inline>
        </w:drawing>
      </w:r>
    </w:p>
    <w:p w14:paraId="4138DA9E" w14:textId="70383A37" w:rsidR="009F0D10" w:rsidRDefault="009F0D10" w:rsidP="009F0D10">
      <w:pPr>
        <w:pStyle w:val="Caption"/>
      </w:pPr>
      <w:bookmarkStart w:id="437" w:name="_Ref16951515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99</w:t>
      </w:r>
      <w:r w:rsidR="004E20BD">
        <w:rPr>
          <w:noProof/>
        </w:rPr>
        <w:fldChar w:fldCharType="end"/>
      </w:r>
      <w:bookmarkEnd w:id="437"/>
      <w:r>
        <w:t xml:space="preserve">: </w:t>
      </w:r>
      <w:r w:rsidR="00EE1017">
        <w:t>Associate a Specimen with an Emergency-Issued Unit</w:t>
      </w:r>
    </w:p>
    <w:p w14:paraId="3D27A409" w14:textId="1B1DCC6C" w:rsidR="00F3761C" w:rsidRPr="008C6185" w:rsidRDefault="00570C93" w:rsidP="00DE69E1">
      <w:pPr>
        <w:pStyle w:val="BodyText"/>
      </w:pPr>
      <w:r>
        <w:rPr>
          <w:noProof/>
        </w:rPr>
        <w:drawing>
          <wp:inline distT="0" distB="0" distL="0" distR="0" wp14:anchorId="09928942" wp14:editId="17A0DE1F">
            <wp:extent cx="5943600" cy="3526790"/>
            <wp:effectExtent l="0" t="0" r="0" b="0"/>
            <wp:docPr id="228" name="Picture 2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a:extLst>
                        <a:ext uri="{C183D7F6-B498-43B3-948B-1728B52AA6E4}">
                          <adec:decorative xmlns:adec="http://schemas.microsoft.com/office/drawing/2017/decorative" val="1"/>
                        </a:ext>
                      </a:extLst>
                    </pic:cNvPr>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43600" cy="3526790"/>
                    </a:xfrm>
                    <a:prstGeom prst="rect">
                      <a:avLst/>
                    </a:prstGeom>
                    <a:noFill/>
                    <a:ln>
                      <a:noFill/>
                    </a:ln>
                  </pic:spPr>
                </pic:pic>
              </a:graphicData>
            </a:graphic>
          </wp:inline>
        </w:drawing>
      </w:r>
    </w:p>
    <w:p w14:paraId="34CCAF6F" w14:textId="77777777" w:rsidR="002A21AE" w:rsidRDefault="00263B24">
      <w:pPr>
        <w:pStyle w:val="Heading4"/>
      </w:pPr>
      <w:r w:rsidRPr="00896F17">
        <w:rPr>
          <w:rStyle w:val="BullhornChar"/>
        </w:rPr>
        <w:t></w:t>
      </w:r>
      <w:r>
        <w:rPr>
          <w:rFonts w:ascii="Webdings" w:hAnsi="Webdings"/>
        </w:rPr>
        <w:t></w:t>
      </w:r>
      <w:r w:rsidR="002A21AE">
        <w:t>Alerts</w:t>
      </w:r>
    </w:p>
    <w:p w14:paraId="2B72F7B6" w14:textId="614CED4D" w:rsidR="002A21AE" w:rsidRDefault="002A21AE">
      <w:pPr>
        <w:pStyle w:val="Caption"/>
      </w:pPr>
      <w:bookmarkStart w:id="438" w:name="_Ref126486057"/>
      <w:bookmarkStart w:id="439" w:name="_Toc97523618"/>
      <w:bookmarkStart w:id="440" w:name="_Toc9752758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6</w:t>
      </w:r>
      <w:r w:rsidR="004E20BD">
        <w:rPr>
          <w:noProof/>
        </w:rPr>
        <w:fldChar w:fldCharType="end"/>
      </w:r>
      <w:bookmarkEnd w:id="438"/>
      <w:r>
        <w:t>: Alerts That May Occur in Select Units</w:t>
      </w:r>
      <w:bookmarkEnd w:id="439"/>
      <w:bookmarkEnd w:id="440"/>
      <w:r>
        <w:fldChar w:fldCharType="begin"/>
      </w:r>
      <w:r>
        <w:instrText xml:space="preserve"> XE </w:instrText>
      </w:r>
      <w:r w:rsidR="00FA7E65">
        <w:instrText>“</w:instrText>
      </w:r>
      <w:r>
        <w:instrText>Tables:Alerts That May Occur in Select Units</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rsidRPr="000921F1" w14:paraId="029547F5" w14:textId="77777777">
        <w:trPr>
          <w:tblHeader/>
        </w:trPr>
        <w:tc>
          <w:tcPr>
            <w:tcW w:w="780" w:type="dxa"/>
            <w:shd w:val="clear" w:color="auto" w:fill="B3B3B3"/>
          </w:tcPr>
          <w:p w14:paraId="7495D868" w14:textId="77777777" w:rsidR="002A21AE" w:rsidRPr="000921F1" w:rsidRDefault="002A21AE">
            <w:pPr>
              <w:pStyle w:val="TableText"/>
              <w:rPr>
                <w:b/>
              </w:rPr>
            </w:pPr>
            <w:r w:rsidRPr="000921F1">
              <w:rPr>
                <w:b/>
              </w:rPr>
              <w:t>Step</w:t>
            </w:r>
          </w:p>
        </w:tc>
        <w:tc>
          <w:tcPr>
            <w:tcW w:w="8580" w:type="dxa"/>
            <w:shd w:val="clear" w:color="auto" w:fill="B3B3B3"/>
          </w:tcPr>
          <w:p w14:paraId="339BFF13" w14:textId="77777777" w:rsidR="002A21AE" w:rsidRPr="000921F1" w:rsidRDefault="002A21AE">
            <w:pPr>
              <w:pStyle w:val="TableText"/>
              <w:rPr>
                <w:b/>
              </w:rPr>
            </w:pPr>
            <w:r w:rsidRPr="000921F1">
              <w:rPr>
                <w:b/>
              </w:rPr>
              <w:t>Alerts</w:t>
            </w:r>
          </w:p>
        </w:tc>
      </w:tr>
      <w:tr w:rsidR="002A21AE" w:rsidRPr="000921F1" w14:paraId="42D4CA01" w14:textId="77777777">
        <w:tc>
          <w:tcPr>
            <w:tcW w:w="780" w:type="dxa"/>
          </w:tcPr>
          <w:p w14:paraId="33F6437E" w14:textId="77777777" w:rsidR="002A21AE" w:rsidRPr="000921F1" w:rsidRDefault="002A21AE">
            <w:pPr>
              <w:pStyle w:val="TableText"/>
            </w:pPr>
            <w:r w:rsidRPr="000921F1">
              <w:t>2</w:t>
            </w:r>
          </w:p>
        </w:tc>
        <w:tc>
          <w:tcPr>
            <w:tcW w:w="8580" w:type="dxa"/>
          </w:tcPr>
          <w:p w14:paraId="0988092D" w14:textId="77777777" w:rsidR="002A21AE" w:rsidRPr="000921F1" w:rsidRDefault="002A21AE">
            <w:pPr>
              <w:pStyle w:val="TableText"/>
            </w:pPr>
            <w:r w:rsidRPr="000921F1">
              <w:rPr>
                <w:rFonts w:cs="Arial"/>
                <w:vanish/>
              </w:rPr>
              <w:t xml:space="preserve">BR_16.01 </w:t>
            </w:r>
            <w:r w:rsidRPr="000921F1">
              <w:t xml:space="preserve">VBECS displays </w:t>
            </w:r>
            <w:r w:rsidR="00057948">
              <w:rPr>
                <w:noProof/>
              </w:rPr>
              <w:drawing>
                <wp:inline distT="0" distB="0" distL="0" distR="0" wp14:anchorId="60260406" wp14:editId="2D75445B">
                  <wp:extent cx="156845" cy="156845"/>
                  <wp:effectExtent l="0" t="0" r="0" b="0"/>
                  <wp:docPr id="189" name="Picture 189"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0921F1">
              <w:t xml:space="preserve"> and emits an audible alert when there are Special Instructions (SIs) or TRs for the patient.</w:t>
            </w:r>
          </w:p>
        </w:tc>
      </w:tr>
      <w:tr w:rsidR="002A21AE" w:rsidRPr="000921F1" w14:paraId="3362D9B5" w14:textId="77777777">
        <w:tc>
          <w:tcPr>
            <w:tcW w:w="780" w:type="dxa"/>
          </w:tcPr>
          <w:p w14:paraId="78566D37" w14:textId="77777777" w:rsidR="002A21AE" w:rsidRPr="000921F1" w:rsidRDefault="002A21AE">
            <w:pPr>
              <w:pStyle w:val="TableText"/>
            </w:pPr>
            <w:r w:rsidRPr="000921F1">
              <w:t>2</w:t>
            </w:r>
          </w:p>
        </w:tc>
        <w:tc>
          <w:tcPr>
            <w:tcW w:w="8580" w:type="dxa"/>
          </w:tcPr>
          <w:p w14:paraId="26A8C38E" w14:textId="77777777" w:rsidR="002A21AE" w:rsidRPr="000921F1" w:rsidRDefault="002A21AE">
            <w:pPr>
              <w:pStyle w:val="TableText"/>
            </w:pPr>
            <w:r w:rsidRPr="000921F1">
              <w:rPr>
                <w:rFonts w:cs="Arial"/>
                <w:vanish/>
              </w:rPr>
              <w:t xml:space="preserve">BR_3.18 </w:t>
            </w:r>
            <w:r w:rsidRPr="000921F1">
              <w:t xml:space="preserve">When the user selects blood units that require XM, and eXM is enabled at the division but the current patient is not eligible for eXMs, VBECS displays a warning that includes the reason for the ineligibility. Selected units must have serologic XM performed. The user may not print the Caution Tag or the BTRF. VBECS does not change the unit status to “crossmatched” until the user enters a valid serologic XM result in Patient Testing: Record a Crossmatch. </w:t>
            </w:r>
          </w:p>
        </w:tc>
      </w:tr>
      <w:tr w:rsidR="00831141" w:rsidRPr="000921F1" w14:paraId="3ECFCAAC" w14:textId="77777777">
        <w:tc>
          <w:tcPr>
            <w:tcW w:w="780" w:type="dxa"/>
          </w:tcPr>
          <w:p w14:paraId="7246B44A" w14:textId="77777777" w:rsidR="00831141" w:rsidRPr="000921F1" w:rsidRDefault="00831141">
            <w:pPr>
              <w:pStyle w:val="TableText"/>
            </w:pPr>
            <w:r w:rsidRPr="000921F1">
              <w:t>2</w:t>
            </w:r>
          </w:p>
        </w:tc>
        <w:tc>
          <w:tcPr>
            <w:tcW w:w="8580" w:type="dxa"/>
          </w:tcPr>
          <w:p w14:paraId="1D7F7C49" w14:textId="77777777" w:rsidR="00831141" w:rsidRPr="000921F1" w:rsidRDefault="00831141">
            <w:pPr>
              <w:pStyle w:val="TableText"/>
              <w:rPr>
                <w:rFonts w:cs="Arial"/>
                <w:vanish/>
              </w:rPr>
            </w:pPr>
            <w:r w:rsidRPr="000921F1">
              <w:rPr>
                <w:vanish/>
                <w:szCs w:val="18"/>
              </w:rPr>
              <w:t>BR_3.57</w:t>
            </w:r>
            <w:r w:rsidRPr="000921F1">
              <w:t xml:space="preserve"> When the user clicked the Emergency Order check box during specimen acceptance and selects blood units requiring crossmatch, VBECS does not allow the user to perform an electronic or serologic crossmatch.</w:t>
            </w:r>
          </w:p>
        </w:tc>
      </w:tr>
      <w:tr w:rsidR="002A21AE" w:rsidRPr="000921F1" w14:paraId="6B076BC3" w14:textId="77777777">
        <w:tc>
          <w:tcPr>
            <w:tcW w:w="780" w:type="dxa"/>
          </w:tcPr>
          <w:p w14:paraId="449EED45" w14:textId="77777777" w:rsidR="002A21AE" w:rsidRPr="000921F1" w:rsidRDefault="0024117A">
            <w:pPr>
              <w:pStyle w:val="TableText"/>
            </w:pPr>
            <w:r>
              <w:t>9</w:t>
            </w:r>
          </w:p>
        </w:tc>
        <w:tc>
          <w:tcPr>
            <w:tcW w:w="8580" w:type="dxa"/>
          </w:tcPr>
          <w:p w14:paraId="2001402B" w14:textId="77777777" w:rsidR="002A21AE" w:rsidRPr="000921F1" w:rsidRDefault="002A21AE">
            <w:pPr>
              <w:pStyle w:val="TableText"/>
            </w:pPr>
            <w:r w:rsidRPr="000921F1">
              <w:rPr>
                <w:rFonts w:cs="Arial"/>
                <w:vanish/>
              </w:rPr>
              <w:t xml:space="preserve">BR_3.01 </w:t>
            </w:r>
            <w:r w:rsidRPr="000921F1">
              <w:t>When a current specimen is required for the selected component class based on Component Classes and one does not exist for the patient, the user may not select ABO type-specific blood products. VBECS notifies the user that he is selecting units using the emergency issue compatibility rules.</w:t>
            </w:r>
          </w:p>
        </w:tc>
      </w:tr>
      <w:tr w:rsidR="002A21AE" w:rsidRPr="000921F1" w14:paraId="59737F01" w14:textId="77777777">
        <w:tc>
          <w:tcPr>
            <w:tcW w:w="780" w:type="dxa"/>
          </w:tcPr>
          <w:p w14:paraId="16BE163F" w14:textId="77777777" w:rsidR="002A21AE" w:rsidRPr="000921F1" w:rsidRDefault="0024117A">
            <w:pPr>
              <w:pStyle w:val="TableText"/>
            </w:pPr>
            <w:r>
              <w:t>9</w:t>
            </w:r>
          </w:p>
        </w:tc>
        <w:tc>
          <w:tcPr>
            <w:tcW w:w="8580" w:type="dxa"/>
          </w:tcPr>
          <w:p w14:paraId="156832D9" w14:textId="77777777" w:rsidR="002A21AE" w:rsidRPr="000921F1" w:rsidRDefault="002A21AE">
            <w:pPr>
              <w:pStyle w:val="TableText"/>
            </w:pPr>
            <w:r w:rsidRPr="000921F1">
              <w:rPr>
                <w:rFonts w:cs="Arial"/>
                <w:vanish/>
              </w:rPr>
              <w:t xml:space="preserve">BR_3.24 </w:t>
            </w:r>
            <w:r w:rsidRPr="000921F1">
              <w:t>When the patient record is marked as having a previous ABO/Rh discrepancy that was justified, a current specimen is required. The user must select units based on the current specimen ABO/Rh. When the current specimen ABO/Rh was not performed, VBECS warns that the patient had a previous ABO/Rh discrepancy and instructs the user to perform ABO/Rh on the current specimen to continue using normal rules and policies or follow emergency issue rules and policies.</w:t>
            </w:r>
          </w:p>
        </w:tc>
      </w:tr>
      <w:tr w:rsidR="002A21AE" w:rsidRPr="000921F1" w14:paraId="6484DCCD" w14:textId="77777777">
        <w:tc>
          <w:tcPr>
            <w:tcW w:w="780" w:type="dxa"/>
          </w:tcPr>
          <w:p w14:paraId="3EDC30D7" w14:textId="77777777" w:rsidR="002A21AE" w:rsidRPr="000921F1" w:rsidRDefault="0024117A">
            <w:pPr>
              <w:pStyle w:val="TableText"/>
            </w:pPr>
            <w:r>
              <w:t>9</w:t>
            </w:r>
          </w:p>
        </w:tc>
        <w:tc>
          <w:tcPr>
            <w:tcW w:w="8580" w:type="dxa"/>
          </w:tcPr>
          <w:p w14:paraId="204A7C07" w14:textId="77777777" w:rsidR="002A21AE" w:rsidRPr="000921F1" w:rsidRDefault="002A21AE">
            <w:pPr>
              <w:pStyle w:val="TableText"/>
            </w:pPr>
            <w:r w:rsidRPr="000921F1">
              <w:rPr>
                <w:rFonts w:cs="Arial"/>
                <w:vanish/>
              </w:rPr>
              <w:t xml:space="preserve">BR_3.30 </w:t>
            </w:r>
            <w:r w:rsidRPr="000921F1">
              <w:t xml:space="preserve">When there is a current specimen and ABO/Rh testing was performed, VBECS compares the ABO/Rh of the current specimen to the historical ABO/Rh. When there is a discrepancy, the ABO type is inconclusive, and there is no previous justification for the discrepancy on the patient record, VBECS </w:t>
            </w:r>
            <w:r w:rsidRPr="000921F1">
              <w:lastRenderedPageBreak/>
              <w:t xml:space="preserve">notifies the user that the ABO/Rh on the current specimen does not agree with the historical ABO/Rh and instructs the user to resolve the discrepancy to continue using normal rules and policies, and recommends that the user release previously selected units or follow emergency issue rules and </w:t>
            </w:r>
            <w:r w:rsidR="00F347B1" w:rsidRPr="000921F1">
              <w:t xml:space="preserve">local </w:t>
            </w:r>
            <w:r w:rsidRPr="000921F1">
              <w:t>policies.</w:t>
            </w:r>
          </w:p>
        </w:tc>
      </w:tr>
      <w:tr w:rsidR="002A21AE" w:rsidRPr="000921F1" w14:paraId="530E4D1E" w14:textId="77777777">
        <w:tc>
          <w:tcPr>
            <w:tcW w:w="780" w:type="dxa"/>
          </w:tcPr>
          <w:p w14:paraId="58179085" w14:textId="77777777" w:rsidR="002A21AE" w:rsidRPr="000921F1" w:rsidRDefault="0024117A">
            <w:pPr>
              <w:pStyle w:val="TableText"/>
            </w:pPr>
            <w:r>
              <w:lastRenderedPageBreak/>
              <w:t>9</w:t>
            </w:r>
          </w:p>
        </w:tc>
        <w:tc>
          <w:tcPr>
            <w:tcW w:w="8580" w:type="dxa"/>
          </w:tcPr>
          <w:p w14:paraId="1B101550" w14:textId="77777777" w:rsidR="002A21AE" w:rsidRPr="000921F1" w:rsidRDefault="002A21AE" w:rsidP="00CE12EA">
            <w:pPr>
              <w:pStyle w:val="TableText"/>
            </w:pPr>
            <w:r w:rsidRPr="000921F1">
              <w:rPr>
                <w:rFonts w:cs="Arial"/>
                <w:vanish/>
              </w:rPr>
              <w:t xml:space="preserve">BR_3.40 </w:t>
            </w:r>
            <w:r w:rsidRPr="000921F1">
              <w:t>When a repeat ABO/Rh is performed on the patient specimen and the interpretation does not match the original ABO/Rh interpretation</w:t>
            </w:r>
            <w:r w:rsidR="00CE12EA">
              <w:t>.</w:t>
            </w:r>
            <w:r w:rsidRPr="000921F1">
              <w:t xml:space="preserve"> </w:t>
            </w:r>
          </w:p>
        </w:tc>
      </w:tr>
      <w:tr w:rsidR="00E316CA" w:rsidRPr="000921F1" w14:paraId="0F502756" w14:textId="77777777">
        <w:tc>
          <w:tcPr>
            <w:tcW w:w="780" w:type="dxa"/>
          </w:tcPr>
          <w:p w14:paraId="66B1546F" w14:textId="77777777" w:rsidR="00E316CA" w:rsidRPr="000921F1" w:rsidRDefault="0024117A">
            <w:pPr>
              <w:pStyle w:val="TableText"/>
            </w:pPr>
            <w:r>
              <w:t>9</w:t>
            </w:r>
          </w:p>
        </w:tc>
        <w:tc>
          <w:tcPr>
            <w:tcW w:w="8580" w:type="dxa"/>
          </w:tcPr>
          <w:p w14:paraId="3C010CAD" w14:textId="77777777" w:rsidR="00E316CA" w:rsidRPr="000921F1" w:rsidRDefault="00E316CA">
            <w:pPr>
              <w:pStyle w:val="TableText"/>
              <w:rPr>
                <w:rFonts w:cs="Arial"/>
                <w:vanish/>
              </w:rPr>
            </w:pPr>
            <w:r w:rsidRPr="000921F1">
              <w:rPr>
                <w:vanish/>
                <w:szCs w:val="18"/>
              </w:rPr>
              <w:t>BR_3.10</w:t>
            </w:r>
            <w:r w:rsidRPr="000921F1">
              <w:t xml:space="preserve"> When a user selects a blood unit that is evaluated as ABO incompatible (based on comparison of the patient's current ABO/Rh entered by the user with the ABO/Rh on record), VBECS emits an audible alert and warns the user that the unit is not ABO compatible for this patient and that the user may not select the unit. There is no override; VBECS clears the screen and allows the user to select another unit.</w:t>
            </w:r>
          </w:p>
        </w:tc>
      </w:tr>
      <w:tr w:rsidR="00657663" w:rsidRPr="000921F1" w14:paraId="6162D59C" w14:textId="77777777">
        <w:tc>
          <w:tcPr>
            <w:tcW w:w="780" w:type="dxa"/>
          </w:tcPr>
          <w:p w14:paraId="1101C398" w14:textId="77777777" w:rsidR="00657663" w:rsidRDefault="00657663">
            <w:pPr>
              <w:pStyle w:val="TableText"/>
            </w:pPr>
            <w:r>
              <w:t>9</w:t>
            </w:r>
          </w:p>
        </w:tc>
        <w:tc>
          <w:tcPr>
            <w:tcW w:w="8580" w:type="dxa"/>
          </w:tcPr>
          <w:p w14:paraId="0BB95E49" w14:textId="77777777" w:rsidR="00657663" w:rsidRPr="000921F1" w:rsidRDefault="00657663" w:rsidP="00657663">
            <w:pPr>
              <w:pStyle w:val="TableText"/>
              <w:rPr>
                <w:vanish/>
                <w:szCs w:val="18"/>
              </w:rPr>
            </w:pPr>
            <w:r w:rsidRPr="00657663">
              <w:rPr>
                <w:vanish/>
                <w:szCs w:val="18"/>
              </w:rPr>
              <w:t xml:space="preserve">BR_3.12 </w:t>
            </w:r>
            <w:r>
              <w:rPr>
                <w:szCs w:val="18"/>
              </w:rPr>
              <w:t>When a blood compone</w:t>
            </w:r>
            <w:r w:rsidR="00931B15">
              <w:rPr>
                <w:szCs w:val="18"/>
              </w:rPr>
              <w:t>nt belongs to a Product Type and is indicated as “</w:t>
            </w:r>
            <w:r>
              <w:rPr>
                <w:szCs w:val="18"/>
              </w:rPr>
              <w:t>Frozen” and is selected for a patient, VBECS emits an audible alert and displays a warning message: “Selected blood unit must be thawed and may require additional processing prior to issue”. There is no user response required and the blood unit is not eligible for issue. The status of the units is updated to “assigned” to the indicated patient.</w:t>
            </w:r>
          </w:p>
        </w:tc>
      </w:tr>
      <w:tr w:rsidR="002A21AE" w:rsidRPr="000921F1" w14:paraId="5B4BF502" w14:textId="77777777">
        <w:tc>
          <w:tcPr>
            <w:tcW w:w="780" w:type="dxa"/>
          </w:tcPr>
          <w:p w14:paraId="27A99944" w14:textId="77777777" w:rsidR="002A21AE" w:rsidRPr="000921F1" w:rsidRDefault="0024117A">
            <w:pPr>
              <w:pStyle w:val="TableText"/>
            </w:pPr>
            <w:r>
              <w:t>10</w:t>
            </w:r>
          </w:p>
        </w:tc>
        <w:tc>
          <w:tcPr>
            <w:tcW w:w="8580" w:type="dxa"/>
          </w:tcPr>
          <w:p w14:paraId="30698625" w14:textId="77777777" w:rsidR="002A21AE" w:rsidRPr="000921F1" w:rsidRDefault="002A21AE">
            <w:pPr>
              <w:pStyle w:val="TableText"/>
            </w:pPr>
            <w:r w:rsidRPr="000921F1">
              <w:rPr>
                <w:rFonts w:cs="Arial"/>
                <w:vanish/>
              </w:rPr>
              <w:t xml:space="preserve">BR_3.34 </w:t>
            </w:r>
            <w:r w:rsidRPr="000921F1">
              <w:t>The user may override the selection of restricted units. VBECS warns that more restricted units were not selected for the patient and asks whether the user wishes to continue. The override requires a comment and captures details for inclusion in an Exception Report (exception type: less restrictive unit issued).</w:t>
            </w:r>
          </w:p>
        </w:tc>
      </w:tr>
      <w:tr w:rsidR="002A21AE" w:rsidRPr="000921F1" w14:paraId="1C5E2368" w14:textId="77777777">
        <w:tc>
          <w:tcPr>
            <w:tcW w:w="780" w:type="dxa"/>
          </w:tcPr>
          <w:p w14:paraId="0C033714" w14:textId="77777777" w:rsidR="002A21AE" w:rsidRPr="000921F1" w:rsidRDefault="0024117A">
            <w:pPr>
              <w:pStyle w:val="TableText"/>
            </w:pPr>
            <w:r>
              <w:t>10</w:t>
            </w:r>
          </w:p>
        </w:tc>
        <w:tc>
          <w:tcPr>
            <w:tcW w:w="8580" w:type="dxa"/>
          </w:tcPr>
          <w:p w14:paraId="7264BC93" w14:textId="77777777" w:rsidR="002A21AE" w:rsidRDefault="002A21AE">
            <w:pPr>
              <w:pStyle w:val="TableText"/>
            </w:pPr>
            <w:r w:rsidRPr="000921F1">
              <w:rPr>
                <w:rFonts w:cs="Arial"/>
                <w:vanish/>
              </w:rPr>
              <w:t xml:space="preserve">BR_3.52 </w:t>
            </w:r>
            <w:r w:rsidRPr="000921F1">
              <w:t>VBECS warns the use</w:t>
            </w:r>
            <w:r w:rsidR="004E0FCD">
              <w:t>r when he selects type-specific FFP/PLASMA</w:t>
            </w:r>
            <w:r w:rsidR="00EA44F9" w:rsidRPr="000921F1">
              <w:t xml:space="preserve"> products</w:t>
            </w:r>
            <w:r w:rsidRPr="000921F1">
              <w:t xml:space="preserve"> that do not require a specimen, according to the division configuration of component classes, for a patient with a history of justified ABO/Rh change.</w:t>
            </w:r>
          </w:p>
          <w:p w14:paraId="1DA34A17" w14:textId="67C81BF4" w:rsidR="00657663" w:rsidRPr="000921F1" w:rsidRDefault="00CA65FE">
            <w:pPr>
              <w:pStyle w:val="TableText"/>
            </w:pPr>
            <w:r>
              <w:t>Note: VBECS does not enforce type-specific compatibility rules for produ</w:t>
            </w:r>
            <w:r w:rsidR="004E0FCD">
              <w:t>ct types in the CRYOPRECIPITATE</w:t>
            </w:r>
            <w:r w:rsidR="004E5EEE">
              <w:t xml:space="preserve"> </w:t>
            </w:r>
            <w:r>
              <w:t xml:space="preserve">and PLATELETS </w:t>
            </w:r>
            <w:r w:rsidR="004E0FCD">
              <w:t>[</w:t>
            </w:r>
            <w:r>
              <w:t>with less than (&lt;) 2 mL of RBC contamination</w:t>
            </w:r>
            <w:r w:rsidR="004E0FCD">
              <w:t>]</w:t>
            </w:r>
            <w:r>
              <w:t xml:space="preserve"> component classes.</w:t>
            </w:r>
          </w:p>
        </w:tc>
      </w:tr>
      <w:tr w:rsidR="002A21AE" w:rsidRPr="000921F1" w14:paraId="08641562" w14:textId="77777777">
        <w:tc>
          <w:tcPr>
            <w:tcW w:w="780" w:type="dxa"/>
          </w:tcPr>
          <w:p w14:paraId="62811875" w14:textId="77777777" w:rsidR="002A21AE" w:rsidRPr="000921F1" w:rsidRDefault="0024117A">
            <w:pPr>
              <w:pStyle w:val="TableText"/>
            </w:pPr>
            <w:r>
              <w:t>10</w:t>
            </w:r>
          </w:p>
        </w:tc>
        <w:tc>
          <w:tcPr>
            <w:tcW w:w="8580" w:type="dxa"/>
          </w:tcPr>
          <w:p w14:paraId="0D942BE1" w14:textId="77777777" w:rsidR="002A21AE" w:rsidRPr="000921F1" w:rsidRDefault="002A21AE">
            <w:pPr>
              <w:pStyle w:val="TableText"/>
            </w:pPr>
            <w:r w:rsidRPr="000921F1">
              <w:rPr>
                <w:rFonts w:cs="Arial"/>
                <w:vanish/>
              </w:rPr>
              <w:t xml:space="preserve">BR_3.49 </w:t>
            </w:r>
            <w:r w:rsidRPr="000921F1">
              <w:t>Once a valid XM interpretation is verified and the unit is compatible, VBECS does not allow a user to select that unit (ID and product code) for the same specimen. The user may select the unit for a XM with the same patient</w:t>
            </w:r>
            <w:r w:rsidR="00FA7E65" w:rsidRPr="000921F1">
              <w:t>’</w:t>
            </w:r>
            <w:r w:rsidRPr="000921F1">
              <w:t>s new specimen</w:t>
            </w:r>
            <w:r w:rsidR="00290EF8" w:rsidRPr="000921F1">
              <w:t xml:space="preserve"> after the unit is released from the current assignment</w:t>
            </w:r>
            <w:r w:rsidRPr="000921F1">
              <w:t>. VBECS warns that the unit has a valid current XM with this patient. The user clears the warning and may continue or enter a new unit number for selection.</w:t>
            </w:r>
          </w:p>
        </w:tc>
      </w:tr>
      <w:tr w:rsidR="002A21AE" w:rsidRPr="000921F1" w14:paraId="28D33748" w14:textId="77777777">
        <w:tc>
          <w:tcPr>
            <w:tcW w:w="780" w:type="dxa"/>
          </w:tcPr>
          <w:p w14:paraId="0294FE63" w14:textId="77777777" w:rsidR="002A21AE" w:rsidRPr="000921F1" w:rsidRDefault="0024117A">
            <w:pPr>
              <w:pStyle w:val="TableText"/>
            </w:pPr>
            <w:r>
              <w:t>10</w:t>
            </w:r>
          </w:p>
        </w:tc>
        <w:tc>
          <w:tcPr>
            <w:tcW w:w="8580" w:type="dxa"/>
          </w:tcPr>
          <w:p w14:paraId="28EFCEC5" w14:textId="77777777" w:rsidR="002A21AE" w:rsidRPr="000921F1" w:rsidRDefault="002A21AE">
            <w:pPr>
              <w:pStyle w:val="TableText"/>
            </w:pPr>
            <w:r w:rsidRPr="000921F1">
              <w:rPr>
                <w:rFonts w:cs="Arial"/>
                <w:vanish/>
              </w:rPr>
              <w:t xml:space="preserve">BR_3.28 </w:t>
            </w:r>
            <w:r w:rsidRPr="000921F1">
              <w:t>When a selected unit is currently assigned to another patient, VBECS warns the user and asks whether the user wishes to continue to select for this patient.</w:t>
            </w:r>
          </w:p>
          <w:p w14:paraId="12DC14E4" w14:textId="77777777" w:rsidR="002A21AE" w:rsidRPr="000921F1" w:rsidRDefault="002A21AE">
            <w:pPr>
              <w:pStyle w:val="TableText"/>
            </w:pPr>
          </w:p>
          <w:p w14:paraId="201A3796" w14:textId="77777777" w:rsidR="002A21AE" w:rsidRPr="000921F1" w:rsidRDefault="002A21AE">
            <w:pPr>
              <w:pStyle w:val="TableText"/>
            </w:pPr>
            <w:r w:rsidRPr="000921F1">
              <w:rPr>
                <w:b/>
                <w:bCs/>
              </w:rPr>
              <w:t>Yes</w:t>
            </w:r>
            <w:r w:rsidRPr="000921F1">
              <w:t xml:space="preserve"> allows the user to continue. </w:t>
            </w:r>
            <w:r w:rsidRPr="000921F1">
              <w:rPr>
                <w:b/>
                <w:bCs/>
              </w:rPr>
              <w:t>No</w:t>
            </w:r>
            <w:r w:rsidRPr="000921F1">
              <w:t xml:space="preserve"> clears the screen and allows the user to select a new unit.</w:t>
            </w:r>
          </w:p>
        </w:tc>
      </w:tr>
      <w:tr w:rsidR="002A21AE" w:rsidRPr="000921F1" w14:paraId="032BD029" w14:textId="77777777">
        <w:tc>
          <w:tcPr>
            <w:tcW w:w="780" w:type="dxa"/>
          </w:tcPr>
          <w:p w14:paraId="49FC8B10" w14:textId="77777777" w:rsidR="002A21AE" w:rsidRPr="000921F1" w:rsidRDefault="0024117A">
            <w:pPr>
              <w:pStyle w:val="TableText"/>
            </w:pPr>
            <w:r>
              <w:t>10</w:t>
            </w:r>
          </w:p>
        </w:tc>
        <w:tc>
          <w:tcPr>
            <w:tcW w:w="8580" w:type="dxa"/>
          </w:tcPr>
          <w:p w14:paraId="786FD0B5" w14:textId="77777777" w:rsidR="002A21AE" w:rsidRPr="000921F1" w:rsidRDefault="002A21AE">
            <w:pPr>
              <w:pStyle w:val="TableText"/>
            </w:pPr>
            <w:r w:rsidRPr="000921F1">
              <w:rPr>
                <w:rFonts w:cs="Arial"/>
                <w:vanish/>
              </w:rPr>
              <w:t xml:space="preserve">BR_3.19 </w:t>
            </w:r>
            <w:r w:rsidRPr="000921F1">
              <w:t xml:space="preserve">When a user </w:t>
            </w:r>
            <w:r w:rsidR="0073125C" w:rsidRPr="000921F1">
              <w:t xml:space="preserve">is a Technologist and </w:t>
            </w:r>
            <w:r w:rsidR="00602A93" w:rsidRPr="000921F1">
              <w:t>selects</w:t>
            </w:r>
            <w:r w:rsidRPr="000921F1">
              <w:t xml:space="preserve"> an expired unit, VBECS warns him. There is no override. </w:t>
            </w:r>
          </w:p>
          <w:p w14:paraId="74A69F2B" w14:textId="77777777" w:rsidR="002A21AE" w:rsidRPr="000921F1" w:rsidRDefault="002A21AE">
            <w:pPr>
              <w:pStyle w:val="TableText"/>
            </w:pPr>
          </w:p>
          <w:p w14:paraId="373538B8" w14:textId="77777777" w:rsidR="002A21AE" w:rsidRPr="000921F1" w:rsidRDefault="002A21AE">
            <w:pPr>
              <w:pStyle w:val="TableText"/>
            </w:pPr>
            <w:r w:rsidRPr="000921F1">
              <w:rPr>
                <w:rFonts w:ascii="Wingdings 3" w:hAnsi="Wingdings 3" w:cs="Wingdings"/>
              </w:rPr>
              <w:t></w:t>
            </w:r>
            <w:r w:rsidRPr="000921F1">
              <w:rPr>
                <w:rFonts w:ascii="Wingdings 3" w:hAnsi="Wingdings 3" w:cs="Wingdings"/>
              </w:rPr>
              <w:t></w:t>
            </w:r>
            <w:r w:rsidRPr="000921F1">
              <w:t xml:space="preserve"> When the user is an Enhanced Technologist or above, VBECS warns that the unit is expired and asks whether the user wishes to continue to select.</w:t>
            </w:r>
          </w:p>
          <w:p w14:paraId="0FCDCDAD" w14:textId="77777777" w:rsidR="002A21AE" w:rsidRPr="000921F1" w:rsidRDefault="002A21AE">
            <w:pPr>
              <w:pStyle w:val="TableText"/>
            </w:pPr>
          </w:p>
          <w:p w14:paraId="65582FBA" w14:textId="77777777" w:rsidR="002A21AE" w:rsidRPr="000921F1" w:rsidRDefault="002A21AE">
            <w:pPr>
              <w:pStyle w:val="TableText"/>
            </w:pPr>
            <w:r w:rsidRPr="000921F1">
              <w:rPr>
                <w:b/>
                <w:bCs/>
              </w:rPr>
              <w:t>No</w:t>
            </w:r>
            <w:r w:rsidRPr="000921F1">
              <w:t xml:space="preserve"> clears the screen. </w:t>
            </w:r>
            <w:r w:rsidRPr="000921F1">
              <w:rPr>
                <w:b/>
                <w:bCs/>
              </w:rPr>
              <w:t>Yes</w:t>
            </w:r>
            <w:r w:rsidRPr="000921F1">
              <w:t xml:space="preserve"> requires a comment and captures details for inclusion in an Exception Report (exception type: expired unit selected).</w:t>
            </w:r>
          </w:p>
        </w:tc>
      </w:tr>
      <w:tr w:rsidR="008852A5" w:rsidRPr="000921F1" w14:paraId="292D02CB" w14:textId="77777777">
        <w:tc>
          <w:tcPr>
            <w:tcW w:w="780" w:type="dxa"/>
          </w:tcPr>
          <w:p w14:paraId="42DD635A" w14:textId="77777777" w:rsidR="008852A5" w:rsidRPr="000921F1" w:rsidRDefault="0024117A" w:rsidP="00FF6514">
            <w:pPr>
              <w:pStyle w:val="TableText"/>
            </w:pPr>
            <w:r>
              <w:t>10</w:t>
            </w:r>
          </w:p>
        </w:tc>
        <w:tc>
          <w:tcPr>
            <w:tcW w:w="8580" w:type="dxa"/>
          </w:tcPr>
          <w:p w14:paraId="42393EDA" w14:textId="77777777" w:rsidR="008852A5" w:rsidRPr="000921F1" w:rsidRDefault="008852A5" w:rsidP="008852A5">
            <w:pPr>
              <w:pStyle w:val="TableTextBullet"/>
              <w:numPr>
                <w:ilvl w:val="0"/>
                <w:numId w:val="0"/>
              </w:numPr>
            </w:pPr>
            <w:r w:rsidRPr="000921F1">
              <w:rPr>
                <w:rFonts w:cs="Arial"/>
                <w:vanish/>
              </w:rPr>
              <w:t xml:space="preserve">BR_3.13 </w:t>
            </w:r>
            <w:r w:rsidRPr="000921F1">
              <w:t>When a unit is selected for a patient</w:t>
            </w:r>
            <w:r w:rsidRPr="000921F1">
              <w:rPr>
                <w:szCs w:val="18"/>
              </w:rPr>
              <w:t xml:space="preserve">, VBECS displays a tool tip stating that the unit may not be selected or removed. </w:t>
            </w:r>
          </w:p>
        </w:tc>
      </w:tr>
      <w:tr w:rsidR="002A21AE" w:rsidRPr="000921F1" w14:paraId="646DE111" w14:textId="77777777">
        <w:tc>
          <w:tcPr>
            <w:tcW w:w="780" w:type="dxa"/>
          </w:tcPr>
          <w:p w14:paraId="3ED0F82B" w14:textId="77777777" w:rsidR="002A21AE" w:rsidRPr="000921F1" w:rsidRDefault="0024117A">
            <w:pPr>
              <w:pStyle w:val="TableText"/>
            </w:pPr>
            <w:r>
              <w:t>10</w:t>
            </w:r>
          </w:p>
        </w:tc>
        <w:tc>
          <w:tcPr>
            <w:tcW w:w="8580" w:type="dxa"/>
          </w:tcPr>
          <w:p w14:paraId="71CD5BF7" w14:textId="77777777" w:rsidR="002A21AE" w:rsidRPr="000921F1" w:rsidRDefault="002A21AE">
            <w:pPr>
              <w:pStyle w:val="TableText"/>
              <w:rPr>
                <w:rStyle w:val="StyleTableTextBlackChar"/>
                <w:color w:val="auto"/>
              </w:rPr>
            </w:pPr>
            <w:r w:rsidRPr="000921F1">
              <w:t>When the user selects a</w:t>
            </w:r>
            <w:r w:rsidRPr="000921F1">
              <w:rPr>
                <w:rStyle w:val="StyleTableTextBlackChar"/>
                <w:color w:val="auto"/>
              </w:rPr>
              <w:t xml:space="preserve"> unit and these conditions exist, VBECS </w:t>
            </w:r>
            <w:r w:rsidR="008852A5" w:rsidRPr="000921F1">
              <w:rPr>
                <w:rStyle w:val="StyleTableTextBlackChar"/>
                <w:color w:val="auto"/>
              </w:rPr>
              <w:t>warns the user.</w:t>
            </w:r>
            <w:r w:rsidRPr="000921F1">
              <w:rPr>
                <w:rStyle w:val="StyleTableTextBlackChar"/>
                <w:color w:val="auto"/>
              </w:rPr>
              <w:t xml:space="preserve"> There is no override</w:t>
            </w:r>
            <w:r w:rsidRPr="000921F1">
              <w:t>. VBECS clears the screen and the user may select another unit</w:t>
            </w:r>
            <w:r w:rsidRPr="000921F1">
              <w:rPr>
                <w:rStyle w:val="StyleTableTextBlackChar"/>
                <w:color w:val="auto"/>
              </w:rPr>
              <w:t>:</w:t>
            </w:r>
          </w:p>
          <w:p w14:paraId="6E4E0478" w14:textId="77777777" w:rsidR="002A21AE" w:rsidRPr="000921F1" w:rsidRDefault="002A21AE">
            <w:pPr>
              <w:pStyle w:val="TableTextBullet"/>
            </w:pPr>
            <w:r w:rsidRPr="000921F1">
              <w:t>For XM for the same patient, VBECS warns that the unit was already selected for the patient.</w:t>
            </w:r>
          </w:p>
          <w:p w14:paraId="420E659B" w14:textId="77777777" w:rsidR="002A21AE" w:rsidRPr="000921F1" w:rsidRDefault="002A21AE">
            <w:pPr>
              <w:pStyle w:val="TableTextBullet"/>
            </w:pPr>
            <w:r w:rsidRPr="000921F1">
              <w:rPr>
                <w:rFonts w:cs="Arial"/>
                <w:vanish/>
              </w:rPr>
              <w:t xml:space="preserve">BR_3.33 </w:t>
            </w:r>
            <w:r w:rsidRPr="000921F1">
              <w:t>That is not substitutable for the order, VBECS warns that the selected unit is not valid for order.</w:t>
            </w:r>
          </w:p>
          <w:p w14:paraId="3D5CC872" w14:textId="77777777" w:rsidR="002A21AE" w:rsidRPr="000921F1" w:rsidRDefault="002A21AE">
            <w:pPr>
              <w:pStyle w:val="TableTextBullet"/>
            </w:pPr>
            <w:r w:rsidRPr="000921F1">
              <w:rPr>
                <w:rFonts w:cs="Arial"/>
                <w:vanish/>
              </w:rPr>
              <w:t xml:space="preserve">BR_3.43 </w:t>
            </w:r>
            <w:r w:rsidRPr="000921F1">
              <w:t>That is quarantined, VBECS warns that the unit is quarantined and may not be selected.</w:t>
            </w:r>
          </w:p>
          <w:p w14:paraId="2B828ECA" w14:textId="77777777" w:rsidR="002A21AE" w:rsidRPr="000921F1" w:rsidRDefault="002A21AE">
            <w:pPr>
              <w:pStyle w:val="TableTextBullet"/>
            </w:pPr>
            <w:r w:rsidRPr="000921F1">
              <w:rPr>
                <w:rFonts w:cs="Arial"/>
                <w:vanish/>
              </w:rPr>
              <w:t xml:space="preserve">BR_3.45 </w:t>
            </w:r>
            <w:r w:rsidRPr="000921F1">
              <w:t>That is on a pending outgoing shipment list, VBECS warns that the unit is currently included on a pending outgoing shipment invoice and must be removed from the shipment invoice before it can be selected.</w:t>
            </w:r>
          </w:p>
          <w:p w14:paraId="4AAC98E6" w14:textId="77777777" w:rsidR="002A21AE" w:rsidRPr="000921F1" w:rsidRDefault="002A21AE">
            <w:pPr>
              <w:pStyle w:val="TableTextBullet"/>
            </w:pPr>
            <w:r w:rsidRPr="000921F1">
              <w:rPr>
                <w:rFonts w:cs="Arial"/>
                <w:vanish/>
              </w:rPr>
              <w:t xml:space="preserve">BR_3.44 </w:t>
            </w:r>
            <w:r w:rsidRPr="000921F1">
              <w:t>That is not in the blood bank or is issued to another patient, VBECS warns that the unit is not in the blood bank and may not be selected.</w:t>
            </w:r>
          </w:p>
          <w:p w14:paraId="5A728E43" w14:textId="77777777" w:rsidR="002A21AE" w:rsidRPr="000921F1" w:rsidRDefault="002A21AE">
            <w:pPr>
              <w:pStyle w:val="TableTextBullet"/>
            </w:pPr>
            <w:r w:rsidRPr="000921F1">
              <w:rPr>
                <w:rFonts w:cs="Arial"/>
                <w:vanish/>
              </w:rPr>
              <w:t xml:space="preserve">BR_3.46 </w:t>
            </w:r>
            <w:r w:rsidRPr="000921F1">
              <w:t>That is restricted for a different patient, VBECS warns that the unit is restricted for a different patient and may not be selected.</w:t>
            </w:r>
          </w:p>
          <w:p w14:paraId="77C890F4" w14:textId="77777777" w:rsidR="002A21AE" w:rsidRPr="000921F1" w:rsidRDefault="002C0830">
            <w:pPr>
              <w:pStyle w:val="TableTextBullet"/>
            </w:pPr>
            <w:r w:rsidRPr="000921F1">
              <w:rPr>
                <w:vanish/>
                <w:szCs w:val="18"/>
              </w:rPr>
              <w:lastRenderedPageBreak/>
              <w:t xml:space="preserve">BR_3.16 </w:t>
            </w:r>
            <w:r w:rsidRPr="000921F1">
              <w:t>T</w:t>
            </w:r>
            <w:r w:rsidR="002A21AE" w:rsidRPr="000921F1">
              <w:t>he confirmation is not performed or is incomplete, VBECS emits an audible alert and warns that the unit ABO/Rh confirmation was not performed or is incomplete and that the unit may not be selected.</w:t>
            </w:r>
          </w:p>
        </w:tc>
      </w:tr>
      <w:tr w:rsidR="002A21AE" w:rsidRPr="000921F1" w14:paraId="7C752435" w14:textId="77777777">
        <w:tc>
          <w:tcPr>
            <w:tcW w:w="780" w:type="dxa"/>
          </w:tcPr>
          <w:p w14:paraId="66602FE7" w14:textId="77777777" w:rsidR="002A21AE" w:rsidRPr="000921F1" w:rsidRDefault="0024117A">
            <w:pPr>
              <w:pStyle w:val="TableText"/>
            </w:pPr>
            <w:r>
              <w:lastRenderedPageBreak/>
              <w:t>10</w:t>
            </w:r>
          </w:p>
        </w:tc>
        <w:tc>
          <w:tcPr>
            <w:tcW w:w="8580" w:type="dxa"/>
          </w:tcPr>
          <w:p w14:paraId="131A8BE2" w14:textId="77777777" w:rsidR="002A21AE" w:rsidRPr="000921F1" w:rsidRDefault="002A21AE">
            <w:pPr>
              <w:pStyle w:val="TableText"/>
            </w:pPr>
            <w:r w:rsidRPr="000921F1">
              <w:rPr>
                <w:rFonts w:cs="Arial"/>
                <w:vanish/>
              </w:rPr>
              <w:t xml:space="preserve">BR_3.23 </w:t>
            </w:r>
            <w:r w:rsidRPr="000921F1">
              <w:t xml:space="preserve">When the selected unit had an incompatible crossmatch result with the current patient in the past, VBECS warns the user. </w:t>
            </w:r>
            <w:r w:rsidR="00141E2B" w:rsidRPr="000921F1">
              <w:t>The user may continue with this unit and proceed with electronic or serologic crossmatch testing.</w:t>
            </w:r>
          </w:p>
        </w:tc>
      </w:tr>
      <w:tr w:rsidR="002A21AE" w:rsidRPr="000921F1" w14:paraId="3380439E" w14:textId="77777777">
        <w:tc>
          <w:tcPr>
            <w:tcW w:w="780" w:type="dxa"/>
          </w:tcPr>
          <w:p w14:paraId="34FAED8E" w14:textId="77777777" w:rsidR="002A21AE" w:rsidRPr="000921F1" w:rsidRDefault="0024117A">
            <w:pPr>
              <w:pStyle w:val="TableText"/>
            </w:pPr>
            <w:r>
              <w:t>10</w:t>
            </w:r>
          </w:p>
        </w:tc>
        <w:tc>
          <w:tcPr>
            <w:tcW w:w="8580" w:type="dxa"/>
          </w:tcPr>
          <w:p w14:paraId="1978346F" w14:textId="77777777" w:rsidR="002A21AE" w:rsidRPr="000921F1" w:rsidRDefault="002A21AE">
            <w:pPr>
              <w:pStyle w:val="TableText"/>
            </w:pPr>
            <w:r w:rsidRPr="000921F1">
              <w:rPr>
                <w:rFonts w:cs="Arial"/>
                <w:vanish/>
              </w:rPr>
              <w:t xml:space="preserve">BR_3.06 </w:t>
            </w:r>
            <w:r w:rsidRPr="000921F1">
              <w:t>When the user selects an antigen positive (or inconclusive for testing) unit and the patient has the corresponding antigen negative requirement, VBECS warns the user and requires action determined by the user’s security level.</w:t>
            </w:r>
          </w:p>
        </w:tc>
      </w:tr>
      <w:tr w:rsidR="002A21AE" w:rsidRPr="000921F1" w14:paraId="74DA8F2A" w14:textId="77777777">
        <w:tc>
          <w:tcPr>
            <w:tcW w:w="780" w:type="dxa"/>
          </w:tcPr>
          <w:p w14:paraId="5AAECE34" w14:textId="77777777" w:rsidR="002A21AE" w:rsidRPr="000921F1" w:rsidRDefault="0024117A">
            <w:pPr>
              <w:pStyle w:val="TableText"/>
            </w:pPr>
            <w:r>
              <w:t>10</w:t>
            </w:r>
          </w:p>
        </w:tc>
        <w:tc>
          <w:tcPr>
            <w:tcW w:w="8580" w:type="dxa"/>
          </w:tcPr>
          <w:p w14:paraId="7F297781" w14:textId="77777777" w:rsidR="002A21AE" w:rsidRPr="000921F1" w:rsidRDefault="002A21AE">
            <w:pPr>
              <w:pStyle w:val="TableText"/>
            </w:pPr>
            <w:r w:rsidRPr="000921F1">
              <w:t xml:space="preserve"> </w:t>
            </w:r>
            <w:r w:rsidRPr="000921F1">
              <w:rPr>
                <w:rFonts w:ascii="Wingdings 3" w:hAnsi="Wingdings 3" w:cs="Wingdings"/>
              </w:rPr>
              <w:t></w:t>
            </w:r>
            <w:r w:rsidRPr="000921F1">
              <w:rPr>
                <w:rFonts w:ascii="Wingdings 3" w:hAnsi="Wingdings 3" w:cs="Wingdings"/>
              </w:rPr>
              <w:t></w:t>
            </w:r>
            <w:r w:rsidRPr="000921F1">
              <w:t xml:space="preserve"> When the user is an Enhanced Technologist or below</w:t>
            </w:r>
            <w:r w:rsidRPr="000921F1">
              <w:rPr>
                <w:b/>
              </w:rPr>
              <w:t xml:space="preserve">, </w:t>
            </w:r>
            <w:r w:rsidRPr="000921F1">
              <w:t xml:space="preserve">VBECS emits an audible alert and warns that the patient has a history of an antibody, that the unit does not have a negative test for the corresponding antigen, and that the user </w:t>
            </w:r>
            <w:r w:rsidR="00082F78" w:rsidRPr="000921F1">
              <w:t>does not have the proper security level</w:t>
            </w:r>
            <w:r w:rsidRPr="000921F1">
              <w:t xml:space="preserve"> to select the unit. There is no override.</w:t>
            </w:r>
          </w:p>
        </w:tc>
      </w:tr>
      <w:tr w:rsidR="002A21AE" w:rsidRPr="000921F1" w14:paraId="5D763F54" w14:textId="77777777">
        <w:tc>
          <w:tcPr>
            <w:tcW w:w="780" w:type="dxa"/>
          </w:tcPr>
          <w:p w14:paraId="7FB32F79" w14:textId="77777777" w:rsidR="002A21AE" w:rsidRPr="000921F1" w:rsidRDefault="0024117A">
            <w:pPr>
              <w:pStyle w:val="TableText"/>
            </w:pPr>
            <w:r>
              <w:t>10</w:t>
            </w:r>
          </w:p>
        </w:tc>
        <w:tc>
          <w:tcPr>
            <w:tcW w:w="8580" w:type="dxa"/>
          </w:tcPr>
          <w:p w14:paraId="1831207B" w14:textId="77777777" w:rsidR="002A21AE" w:rsidRPr="000921F1" w:rsidRDefault="002A21AE">
            <w:pPr>
              <w:pStyle w:val="TableText"/>
            </w:pPr>
            <w:r w:rsidRPr="000921F1">
              <w:t xml:space="preserve"> </w:t>
            </w:r>
            <w:r w:rsidRPr="000921F1">
              <w:rPr>
                <w:rFonts w:ascii="Wingdings 3" w:hAnsi="Wingdings 3" w:cs="Wingdings"/>
              </w:rPr>
              <w:t></w:t>
            </w:r>
            <w:r w:rsidRPr="000921F1">
              <w:rPr>
                <w:rFonts w:ascii="Wingdings 3" w:hAnsi="Wingdings 3" w:cs="Wingdings"/>
              </w:rPr>
              <w:t></w:t>
            </w:r>
            <w:r w:rsidRPr="000921F1">
              <w:rPr>
                <w:rFonts w:ascii="Wingdings 3" w:hAnsi="Wingdings 3" w:cs="Wingdings"/>
              </w:rPr>
              <w:t></w:t>
            </w:r>
            <w:r w:rsidRPr="000921F1">
              <w:t xml:space="preserve"> When the user is a Lead Technologist or above, VBECS emits an audible alert, warns that the patient has a history of an antibody and that the unit is positive or inconclusive for the corresponding antigen, and asks whether the user wishes to continue to select the unit. </w:t>
            </w:r>
          </w:p>
          <w:p w14:paraId="2FB7DB56" w14:textId="77777777" w:rsidR="002A21AE" w:rsidRPr="000921F1" w:rsidRDefault="002A21AE">
            <w:pPr>
              <w:pStyle w:val="TableText"/>
            </w:pPr>
          </w:p>
          <w:p w14:paraId="3B66451D" w14:textId="77777777" w:rsidR="002A21AE" w:rsidRPr="000921F1" w:rsidRDefault="002A21AE">
            <w:pPr>
              <w:pStyle w:val="TableText"/>
            </w:pPr>
            <w:r w:rsidRPr="000921F1">
              <w:rPr>
                <w:b/>
              </w:rPr>
              <w:t>No</w:t>
            </w:r>
            <w:r w:rsidRPr="000921F1">
              <w:t xml:space="preserve"> allows the user to continue to select units for the patient. </w:t>
            </w:r>
            <w:r w:rsidRPr="000921F1">
              <w:rPr>
                <w:b/>
                <w:bCs/>
              </w:rPr>
              <w:t>Yes</w:t>
            </w:r>
            <w:r w:rsidRPr="000921F1">
              <w:t xml:space="preserve"> requires a comment and captures details for inclusion in an Exception Report (exception type</w:t>
            </w:r>
            <w:r w:rsidRPr="000921F1">
              <w:rPr>
                <w:rStyle w:val="StyleTableTextBlackChar"/>
                <w:color w:val="auto"/>
              </w:rPr>
              <w:t>: antigen positive units selected).</w:t>
            </w:r>
          </w:p>
        </w:tc>
      </w:tr>
      <w:tr w:rsidR="002A21AE" w:rsidRPr="000921F1" w14:paraId="3E1FDA6F" w14:textId="77777777">
        <w:tc>
          <w:tcPr>
            <w:tcW w:w="780" w:type="dxa"/>
          </w:tcPr>
          <w:p w14:paraId="1C685288" w14:textId="77777777" w:rsidR="002A21AE" w:rsidRPr="000921F1" w:rsidRDefault="0024117A">
            <w:pPr>
              <w:pStyle w:val="TableText"/>
            </w:pPr>
            <w:r>
              <w:t>10</w:t>
            </w:r>
          </w:p>
        </w:tc>
        <w:tc>
          <w:tcPr>
            <w:tcW w:w="8580" w:type="dxa"/>
          </w:tcPr>
          <w:p w14:paraId="6932FD27" w14:textId="77777777" w:rsidR="002A21AE" w:rsidRPr="000921F1" w:rsidRDefault="002A21AE">
            <w:pPr>
              <w:pStyle w:val="TableText"/>
            </w:pPr>
            <w:r w:rsidRPr="000921F1">
              <w:rPr>
                <w:rFonts w:cs="Arial"/>
                <w:vanish/>
              </w:rPr>
              <w:t xml:space="preserve">BR_3.15 </w:t>
            </w:r>
            <w:r w:rsidRPr="000921F1">
              <w:t>When a unit was not antigen typed for the corresponding antigen, VBECS emits an audible alert, warns that the unit must be typed and found negative to be available for this patient, and asks whether the user wishes to continue to select this unit. The user may continue to select units for the patient.</w:t>
            </w:r>
          </w:p>
          <w:p w14:paraId="6426A186" w14:textId="77777777" w:rsidR="002A21AE" w:rsidRPr="000921F1" w:rsidRDefault="002A21AE">
            <w:pPr>
              <w:pStyle w:val="TableText"/>
            </w:pPr>
          </w:p>
          <w:p w14:paraId="390F8226" w14:textId="77777777" w:rsidR="002A21AE" w:rsidRPr="000921F1" w:rsidRDefault="002A21AE">
            <w:pPr>
              <w:pStyle w:val="TableText"/>
              <w:rPr>
                <w:rStyle w:val="StyleTableTextBlackChar"/>
                <w:color w:val="auto"/>
              </w:rPr>
            </w:pPr>
            <w:r w:rsidRPr="000921F1">
              <w:rPr>
                <w:b/>
                <w:bCs/>
              </w:rPr>
              <w:t>Yes</w:t>
            </w:r>
            <w:r w:rsidRPr="000921F1">
              <w:t xml:space="preserve"> requires a comment and captures details for inclusion in an Exception Report (exception type</w:t>
            </w:r>
            <w:r w:rsidRPr="000921F1">
              <w:rPr>
                <w:rStyle w:val="StyleTableTextBlackChar"/>
                <w:color w:val="auto"/>
              </w:rPr>
              <w:t>: antigen positive units selected).</w:t>
            </w:r>
          </w:p>
          <w:p w14:paraId="2300B7EF" w14:textId="77777777" w:rsidR="002A21AE" w:rsidRPr="000921F1" w:rsidRDefault="002A21AE">
            <w:pPr>
              <w:pStyle w:val="TableText"/>
            </w:pPr>
          </w:p>
          <w:p w14:paraId="6D9D1447" w14:textId="07BCEFAC" w:rsidR="002A21AE" w:rsidRPr="000921F1" w:rsidRDefault="002A21AE">
            <w:pPr>
              <w:pStyle w:val="TableText"/>
              <w:rPr>
                <w:szCs w:val="18"/>
              </w:rPr>
            </w:pPr>
            <w:r w:rsidRPr="000921F1">
              <w:t xml:space="preserve">See </w:t>
            </w:r>
            <w:r w:rsidR="00543DAF" w:rsidRPr="000921F1">
              <w:fldChar w:fldCharType="begin"/>
            </w:r>
            <w:r w:rsidR="00543DAF" w:rsidRPr="000921F1">
              <w:instrText xml:space="preserve"> REF _Ref170004931 \h </w:instrText>
            </w:r>
            <w:r w:rsidR="000921F1">
              <w:instrText xml:space="preserve"> \* MERGEFORMAT </w:instrText>
            </w:r>
            <w:r w:rsidR="00543DAF" w:rsidRPr="000921F1">
              <w:fldChar w:fldCharType="separate"/>
            </w:r>
            <w:r w:rsidR="004353ED">
              <w:t xml:space="preserve">Appendix </w:t>
            </w:r>
            <w:r w:rsidR="004353ED">
              <w:rPr>
                <w:noProof/>
              </w:rPr>
              <w:t>B</w:t>
            </w:r>
            <w:r w:rsidR="00543DAF" w:rsidRPr="000921F1">
              <w:fldChar w:fldCharType="end"/>
            </w:r>
            <w:r w:rsidRPr="000921F1">
              <w:t xml:space="preserve">: </w:t>
            </w:r>
            <w:r w:rsidR="00590097" w:rsidRPr="000921F1">
              <w:fldChar w:fldCharType="begin"/>
            </w:r>
            <w:r w:rsidR="00590097" w:rsidRPr="000921F1">
              <w:instrText xml:space="preserve"> REF _Ref126484449 \h </w:instrText>
            </w:r>
            <w:r w:rsidR="000921F1">
              <w:instrText xml:space="preserve"> \* MERGEFORMAT </w:instrText>
            </w:r>
            <w:r w:rsidR="00590097" w:rsidRPr="000921F1">
              <w:fldChar w:fldCharType="separate"/>
            </w:r>
            <w:r w:rsidR="004353ED">
              <w:t xml:space="preserve">Table </w:t>
            </w:r>
            <w:r w:rsidR="004353ED">
              <w:rPr>
                <w:noProof/>
              </w:rPr>
              <w:t>14:</w:t>
            </w:r>
            <w:r w:rsidR="004353ED">
              <w:t xml:space="preserve"> </w:t>
            </w:r>
            <w:r w:rsidR="004353ED">
              <w:rPr>
                <w:vanish/>
              </w:rPr>
              <w:t xml:space="preserve">TT_23.01A </w:t>
            </w:r>
            <w:r w:rsidR="004353ED">
              <w:t>Antibody and Antigen Table: Irregular Antibodies</w:t>
            </w:r>
            <w:r w:rsidR="00590097" w:rsidRPr="000921F1">
              <w:fldChar w:fldCharType="end"/>
            </w:r>
            <w:r w:rsidRPr="000921F1">
              <w:t>.</w:t>
            </w:r>
          </w:p>
        </w:tc>
      </w:tr>
      <w:tr w:rsidR="002E1F2B" w:rsidRPr="000921F1" w14:paraId="5E3964BB" w14:textId="77777777">
        <w:tc>
          <w:tcPr>
            <w:tcW w:w="780" w:type="dxa"/>
          </w:tcPr>
          <w:p w14:paraId="2B9010E0" w14:textId="0242A5F3" w:rsidR="002E1F2B" w:rsidRDefault="002E1F2B" w:rsidP="002E1F2B">
            <w:pPr>
              <w:pStyle w:val="TableText"/>
            </w:pPr>
            <w:r>
              <w:t>10</w:t>
            </w:r>
          </w:p>
        </w:tc>
        <w:tc>
          <w:tcPr>
            <w:tcW w:w="8580" w:type="dxa"/>
          </w:tcPr>
          <w:p w14:paraId="63EA4E77" w14:textId="77777777" w:rsidR="002E1F2B" w:rsidRPr="00772260" w:rsidRDefault="002E1F2B" w:rsidP="002E1F2B">
            <w:pPr>
              <w:pStyle w:val="TableText"/>
              <w:rPr>
                <w:rFonts w:cs="Arial"/>
                <w:szCs w:val="18"/>
              </w:rPr>
            </w:pPr>
            <w:r w:rsidRPr="00772260">
              <w:rPr>
                <w:rFonts w:cs="Arial"/>
                <w:vanish/>
                <w:szCs w:val="18"/>
              </w:rPr>
              <w:t xml:space="preserve">BR_3.08 </w:t>
            </w:r>
            <w:r w:rsidRPr="00772260">
              <w:rPr>
                <w:rFonts w:cs="Arial"/>
                <w:szCs w:val="18"/>
              </w:rPr>
              <w:t xml:space="preserve">When an Rh negative patient has an active anti-D antibody </w:t>
            </w:r>
            <w:r w:rsidRPr="003B1AEA">
              <w:rPr>
                <w:rFonts w:cs="Arial"/>
                <w:szCs w:val="18"/>
              </w:rPr>
              <w:t>or a D antigen negative requirement set in Special Instructions and Transfusion Requirements,</w:t>
            </w:r>
            <w:r w:rsidRPr="00772260">
              <w:rPr>
                <w:rFonts w:cs="Arial"/>
                <w:szCs w:val="18"/>
              </w:rPr>
              <w:t xml:space="preserve"> VBECS verifies the presence or absence of the corresponding antigen based on the ABO/Rh of the selected blood unit. When a user selects an Rh positive blood unit for a patient with anti-D, VBECS warns the user and requires action based on the user’s security level.</w:t>
            </w:r>
          </w:p>
          <w:p w14:paraId="2ED1140E" w14:textId="77777777" w:rsidR="002E1F2B" w:rsidRPr="000921F1" w:rsidRDefault="002E1F2B" w:rsidP="002E1F2B">
            <w:pPr>
              <w:pStyle w:val="TableText"/>
            </w:pPr>
          </w:p>
          <w:p w14:paraId="50E437B1" w14:textId="25FB3B59" w:rsidR="002E1F2B" w:rsidRPr="000921F1" w:rsidRDefault="002E1F2B" w:rsidP="002E1F2B">
            <w:pPr>
              <w:pStyle w:val="TableText"/>
              <w:rPr>
                <w:rFonts w:cs="Arial"/>
                <w:vanish/>
              </w:rPr>
            </w:pPr>
            <w:r w:rsidRPr="000921F1">
              <w:t>The antigen negative requirement for anti-</w:t>
            </w:r>
            <w:r>
              <w:t>D is D, not AGwD. AGwD is</w:t>
            </w:r>
            <w:r w:rsidRPr="000921F1">
              <w:t xml:space="preserve"> not </w:t>
            </w:r>
            <w:r>
              <w:t xml:space="preserve">a </w:t>
            </w:r>
            <w:r w:rsidRPr="000921F1">
              <w:t>selectab</w:t>
            </w:r>
            <w:r>
              <w:t>le antigen negative requirement</w:t>
            </w:r>
            <w:r w:rsidRPr="000921F1">
              <w:t xml:space="preserve"> in Special Instructions &amp; Transfusion Requirements: </w:t>
            </w:r>
            <w:r>
              <w:t>Antigen Negative RBCs.</w:t>
            </w:r>
            <w:r w:rsidRPr="000921F1">
              <w:t xml:space="preserve"> </w:t>
            </w:r>
          </w:p>
        </w:tc>
      </w:tr>
      <w:tr w:rsidR="002E1F2B" w:rsidRPr="000921F1" w14:paraId="1CEFD56B" w14:textId="77777777">
        <w:tc>
          <w:tcPr>
            <w:tcW w:w="780" w:type="dxa"/>
          </w:tcPr>
          <w:p w14:paraId="700B8A14" w14:textId="77777777" w:rsidR="002E1F2B" w:rsidRPr="000921F1" w:rsidRDefault="002E1F2B" w:rsidP="002E1F2B">
            <w:pPr>
              <w:pStyle w:val="TableText"/>
            </w:pPr>
            <w:r>
              <w:t>10</w:t>
            </w:r>
          </w:p>
        </w:tc>
        <w:tc>
          <w:tcPr>
            <w:tcW w:w="8580" w:type="dxa"/>
          </w:tcPr>
          <w:p w14:paraId="05BD036D" w14:textId="77777777" w:rsidR="002E1F2B" w:rsidRPr="000921F1" w:rsidRDefault="002E1F2B" w:rsidP="002E1F2B">
            <w:pPr>
              <w:pStyle w:val="TableText"/>
            </w:pPr>
            <w:r w:rsidRPr="00DE022E">
              <w:rPr>
                <w:rFonts w:cs="Arial"/>
                <w:vanish/>
              </w:rPr>
              <w:t xml:space="preserve">BR_3.21 </w:t>
            </w:r>
            <w:r w:rsidRPr="00DE022E">
              <w:t>For an Rh negative, unknown, or inconclusive patient: when the selection of Rh positive or Rh pooled units from the WHOLE BLOOD, RED BLOOD CELLS, PLATELETS, and OTHER VBECS compo</w:t>
            </w:r>
            <w:r>
              <w:t>nent classes</w:t>
            </w:r>
            <w:r w:rsidRPr="00DE022E">
              <w:t xml:space="preserve"> are individually entered and confi</w:t>
            </w:r>
            <w:r>
              <w:t>r</w:t>
            </w:r>
            <w:r w:rsidRPr="00DE022E">
              <w:t xml:space="preserve">med </w:t>
            </w:r>
            <w:r>
              <w:t>as required</w:t>
            </w:r>
            <w:r w:rsidRPr="00DE022E">
              <w:t>, VBECS emits an audible alert, warns that the patient is Rh negative and the selected unit is Rh positive, instructs the user to check the patient sex and hospital policy before continuing, and asks whether the user wishes to continue to select the unit.</w:t>
            </w:r>
          </w:p>
          <w:p w14:paraId="3F391E47" w14:textId="77777777" w:rsidR="002E1F2B" w:rsidRPr="000921F1" w:rsidRDefault="002E1F2B" w:rsidP="002E1F2B">
            <w:pPr>
              <w:pStyle w:val="TableText"/>
            </w:pPr>
          </w:p>
          <w:p w14:paraId="0D4B4DAE" w14:textId="77777777" w:rsidR="002E1F2B" w:rsidRPr="000921F1" w:rsidRDefault="002E1F2B" w:rsidP="002E1F2B">
            <w:pPr>
              <w:pStyle w:val="TableText"/>
            </w:pPr>
            <w:r w:rsidRPr="000921F1">
              <w:rPr>
                <w:b/>
              </w:rPr>
              <w:t>No</w:t>
            </w:r>
            <w:r w:rsidRPr="000921F1">
              <w:t xml:space="preserve"> clears the unit data and allows the user to select a different unit. </w:t>
            </w:r>
            <w:r w:rsidRPr="000921F1">
              <w:rPr>
                <w:b/>
              </w:rPr>
              <w:t>Yes</w:t>
            </w:r>
            <w:r w:rsidRPr="000921F1">
              <w:t xml:space="preserve"> requires additional comment </w:t>
            </w:r>
            <w:r w:rsidRPr="003B1AEA">
              <w:t>(unit selection canned comment context)</w:t>
            </w:r>
            <w:r>
              <w:t xml:space="preserve"> </w:t>
            </w:r>
            <w:r w:rsidRPr="000921F1">
              <w:t>and captures details for inclusion in an Exception Report (exception type: Rh positive units selected).</w:t>
            </w:r>
          </w:p>
        </w:tc>
      </w:tr>
      <w:tr w:rsidR="002E1F2B" w:rsidRPr="000921F1" w14:paraId="2F2054D7" w14:textId="77777777">
        <w:tc>
          <w:tcPr>
            <w:tcW w:w="780" w:type="dxa"/>
          </w:tcPr>
          <w:p w14:paraId="37DB2F1B" w14:textId="77777777" w:rsidR="002E1F2B" w:rsidRPr="000921F1" w:rsidRDefault="002E1F2B" w:rsidP="002E1F2B">
            <w:pPr>
              <w:pStyle w:val="TableText"/>
            </w:pPr>
            <w:r>
              <w:t>10</w:t>
            </w:r>
          </w:p>
        </w:tc>
        <w:tc>
          <w:tcPr>
            <w:tcW w:w="8580" w:type="dxa"/>
          </w:tcPr>
          <w:p w14:paraId="6EAAF25A" w14:textId="77777777" w:rsidR="002E1F2B" w:rsidRPr="000921F1" w:rsidRDefault="002E1F2B" w:rsidP="002E1F2B">
            <w:pPr>
              <w:pStyle w:val="TableText"/>
            </w:pPr>
            <w:r w:rsidRPr="000921F1">
              <w:rPr>
                <w:rFonts w:cs="Arial"/>
                <w:vanish/>
              </w:rPr>
              <w:t xml:space="preserve">BR_3.09 </w:t>
            </w:r>
            <w:r w:rsidRPr="000921F1">
              <w:t xml:space="preserve">When </w:t>
            </w:r>
            <w:r>
              <w:t>the</w:t>
            </w:r>
            <w:r w:rsidRPr="000921F1">
              <w:t xml:space="preserve"> user selects </w:t>
            </w:r>
            <w:r>
              <w:t xml:space="preserve">a blood unit to fill a </w:t>
            </w:r>
            <w:r w:rsidRPr="000921F1">
              <w:t>component order</w:t>
            </w:r>
            <w:r>
              <w:t xml:space="preserve"> of RED BLOOD CELLS, “PLATELETS” or “OTHER” and has = &gt; 2 mL RBC contamination, the unit will be evaluated for ABO/Rh red cell compatibility. When the unit is not ABO compatible for the selected patient, VBECS presents a message to the user stating that the unit is and releases the unit from selection (assignment).</w:t>
            </w:r>
          </w:p>
        </w:tc>
      </w:tr>
      <w:tr w:rsidR="002E1F2B" w:rsidRPr="000921F1" w14:paraId="053CD239" w14:textId="77777777">
        <w:tc>
          <w:tcPr>
            <w:tcW w:w="780" w:type="dxa"/>
          </w:tcPr>
          <w:p w14:paraId="0663968C" w14:textId="77777777" w:rsidR="002E1F2B" w:rsidRPr="000921F1" w:rsidRDefault="002E1F2B" w:rsidP="002E1F2B">
            <w:pPr>
              <w:pStyle w:val="TableText"/>
            </w:pPr>
            <w:r>
              <w:t>10</w:t>
            </w:r>
          </w:p>
        </w:tc>
        <w:tc>
          <w:tcPr>
            <w:tcW w:w="8580" w:type="dxa"/>
          </w:tcPr>
          <w:p w14:paraId="3593358D" w14:textId="77777777" w:rsidR="002E1F2B" w:rsidRPr="000921F1" w:rsidRDefault="002E1F2B" w:rsidP="002E1F2B">
            <w:pPr>
              <w:pStyle w:val="TableText"/>
            </w:pPr>
            <w:r w:rsidRPr="000921F1">
              <w:rPr>
                <w:vanish/>
                <w:szCs w:val="18"/>
              </w:rPr>
              <w:t xml:space="preserve">BR_3.14 </w:t>
            </w:r>
            <w:r w:rsidRPr="000921F1">
              <w:t>When a patient has TRs other than CMV negative</w:t>
            </w:r>
            <w:r>
              <w:t xml:space="preserve"> or Sickle Cell negative</w:t>
            </w:r>
            <w:r w:rsidRPr="000921F1">
              <w:t>, VBECS verifies whether the selected unit satisfies the requirement based on system rules</w:t>
            </w:r>
            <w:r w:rsidRPr="000921F1">
              <w:rPr>
                <w:szCs w:val="18"/>
              </w:rPr>
              <w:t xml:space="preserve"> TT_3.04 Blood Unit Substitution and the Fulfillment of Transfusion Requirements</w:t>
            </w:r>
            <w:r w:rsidRPr="000921F1">
              <w:t xml:space="preserve">. When the TR is not satisfied, VBECS emits an audible alert, warns that the unit does not satisfy all of the patient’s TRs, and asks whether the user wishes to continue to select the unit. </w:t>
            </w:r>
          </w:p>
          <w:p w14:paraId="6B7A4101" w14:textId="77777777" w:rsidR="002E1F2B" w:rsidRPr="000921F1" w:rsidRDefault="002E1F2B" w:rsidP="002E1F2B">
            <w:pPr>
              <w:pStyle w:val="TableText"/>
            </w:pPr>
          </w:p>
          <w:p w14:paraId="4C1CBAF3" w14:textId="77777777" w:rsidR="002E1F2B" w:rsidRPr="000921F1" w:rsidRDefault="002E1F2B" w:rsidP="002E1F2B">
            <w:pPr>
              <w:pStyle w:val="TableText"/>
            </w:pPr>
            <w:r w:rsidRPr="000921F1">
              <w:rPr>
                <w:b/>
              </w:rPr>
              <w:t>No</w:t>
            </w:r>
            <w:r w:rsidRPr="000921F1">
              <w:t xml:space="preserve"> clears the screen. </w:t>
            </w:r>
            <w:r w:rsidRPr="000921F1">
              <w:rPr>
                <w:b/>
              </w:rPr>
              <w:t>Yes</w:t>
            </w:r>
            <w:r w:rsidRPr="000921F1">
              <w:t xml:space="preserve"> allows the user to continue without comment. </w:t>
            </w:r>
          </w:p>
        </w:tc>
      </w:tr>
      <w:tr w:rsidR="002E1F2B" w:rsidRPr="000921F1" w14:paraId="558A9FA4" w14:textId="77777777">
        <w:tc>
          <w:tcPr>
            <w:tcW w:w="780" w:type="dxa"/>
          </w:tcPr>
          <w:p w14:paraId="0959954D" w14:textId="77777777" w:rsidR="002E1F2B" w:rsidRPr="000921F1" w:rsidRDefault="002E1F2B" w:rsidP="002E1F2B">
            <w:pPr>
              <w:pStyle w:val="TableText"/>
            </w:pPr>
            <w:r>
              <w:lastRenderedPageBreak/>
              <w:t>10</w:t>
            </w:r>
          </w:p>
        </w:tc>
        <w:tc>
          <w:tcPr>
            <w:tcW w:w="8580" w:type="dxa"/>
          </w:tcPr>
          <w:p w14:paraId="4CC14E1D" w14:textId="77777777" w:rsidR="002E1F2B" w:rsidRPr="000921F1" w:rsidRDefault="002E1F2B" w:rsidP="002E1F2B">
            <w:pPr>
              <w:pStyle w:val="TableText"/>
              <w:rPr>
                <w:szCs w:val="18"/>
              </w:rPr>
            </w:pPr>
            <w:r w:rsidRPr="000921F1">
              <w:rPr>
                <w:rFonts w:cs="Arial"/>
                <w:vanish/>
              </w:rPr>
              <w:t xml:space="preserve">BR_3.32 </w:t>
            </w:r>
            <w:r>
              <w:rPr>
                <w:szCs w:val="18"/>
              </w:rPr>
              <w:t>When a patient has a TR of CMV n</w:t>
            </w:r>
            <w:r w:rsidRPr="000921F1">
              <w:rPr>
                <w:szCs w:val="18"/>
              </w:rPr>
              <w:t>egative</w:t>
            </w:r>
            <w:r>
              <w:rPr>
                <w:szCs w:val="18"/>
              </w:rPr>
              <w:t xml:space="preserve"> or Sickle Cell negative</w:t>
            </w:r>
            <w:r w:rsidRPr="000921F1">
              <w:rPr>
                <w:szCs w:val="18"/>
              </w:rPr>
              <w:t>, VBECS verifies the selected unit for compliance. When the selected unit does not fit the criteria, VBECS emits an audible alert and warns the user:</w:t>
            </w:r>
          </w:p>
          <w:p w14:paraId="2EDE8FA5" w14:textId="77777777" w:rsidR="002E1F2B" w:rsidRPr="000921F1" w:rsidRDefault="002E1F2B" w:rsidP="002E1F2B">
            <w:pPr>
              <w:pStyle w:val="TableTextBullet"/>
            </w:pPr>
            <w:r w:rsidRPr="000921F1">
              <w:rPr>
                <w:rFonts w:ascii="Wingdings 3" w:hAnsi="Wingdings 3" w:cs="Wingdings"/>
              </w:rPr>
              <w:t></w:t>
            </w:r>
            <w:r w:rsidRPr="000921F1">
              <w:rPr>
                <w:rFonts w:ascii="Wingdings 3" w:hAnsi="Wingdings 3" w:cs="Wingdings"/>
              </w:rPr>
              <w:t></w:t>
            </w:r>
            <w:r w:rsidRPr="000921F1">
              <w:t xml:space="preserve"> Enhanced Technologist or below: VBECS warns</w:t>
            </w:r>
            <w:r>
              <w:t xml:space="preserve"> that the patient requires CMV n</w:t>
            </w:r>
            <w:r w:rsidRPr="000921F1">
              <w:t xml:space="preserve">egative </w:t>
            </w:r>
            <w:r>
              <w:t xml:space="preserve">or Sickle Cell negative </w:t>
            </w:r>
            <w:r w:rsidRPr="000921F1">
              <w:t>blood, that the selected unit is not CMV negative</w:t>
            </w:r>
            <w:r>
              <w:t xml:space="preserve"> or Sickle Cell negative</w:t>
            </w:r>
            <w:r w:rsidRPr="000921F1">
              <w:t>, and that the user does not have the proper security level to select the unit. There is no override. VBECS clears the screen, and the user must select another unit.</w:t>
            </w:r>
          </w:p>
          <w:p w14:paraId="2B397001" w14:textId="77777777" w:rsidR="002E1F2B" w:rsidRPr="000921F1" w:rsidRDefault="002E1F2B" w:rsidP="002E1F2B">
            <w:pPr>
              <w:pStyle w:val="TableTextBullet"/>
            </w:pPr>
            <w:r w:rsidRPr="000921F1">
              <w:rPr>
                <w:rFonts w:ascii="Wingdings 3" w:hAnsi="Wingdings 3" w:cs="Wingdings"/>
              </w:rPr>
              <w:t></w:t>
            </w:r>
            <w:r w:rsidRPr="000921F1">
              <w:rPr>
                <w:rFonts w:ascii="Wingdings 3" w:hAnsi="Wingdings 3" w:cs="Wingdings"/>
              </w:rPr>
              <w:t></w:t>
            </w:r>
            <w:r w:rsidRPr="000921F1">
              <w:rPr>
                <w:rFonts w:ascii="Wingdings 3" w:hAnsi="Wingdings 3" w:cs="Wingdings"/>
              </w:rPr>
              <w:t></w:t>
            </w:r>
            <w:r w:rsidRPr="000921F1">
              <w:t xml:space="preserve"> Lead Technologist or above: VBECS warns that the patient requires CMV negative </w:t>
            </w:r>
            <w:r>
              <w:t xml:space="preserve">or Sickle Cell negative </w:t>
            </w:r>
            <w:r w:rsidRPr="000921F1">
              <w:t>blood, that the selected unit is not CMV negative</w:t>
            </w:r>
            <w:r>
              <w:t xml:space="preserve"> or Sickle Cell negative</w:t>
            </w:r>
            <w:r w:rsidRPr="000921F1">
              <w:t xml:space="preserve">, and asks whether the user wishes to continue to select. </w:t>
            </w:r>
            <w:r w:rsidRPr="000921F1">
              <w:rPr>
                <w:b/>
              </w:rPr>
              <w:t>No</w:t>
            </w:r>
            <w:r w:rsidRPr="000921F1">
              <w:t xml:space="preserve"> clears the screen and the user must select a new blood unit. </w:t>
            </w:r>
            <w:r w:rsidRPr="000921F1">
              <w:rPr>
                <w:b/>
              </w:rPr>
              <w:t>Yes</w:t>
            </w:r>
            <w:r w:rsidRPr="000921F1">
              <w:t xml:space="preserve"> requires a comment and captures details for inclusion in an Exception Report (exception type: Transfusion Requirement incompatible unit selected).</w:t>
            </w:r>
          </w:p>
        </w:tc>
      </w:tr>
      <w:tr w:rsidR="002E1F2B" w:rsidRPr="000921F1" w14:paraId="5F3782D2" w14:textId="77777777">
        <w:tc>
          <w:tcPr>
            <w:tcW w:w="780" w:type="dxa"/>
          </w:tcPr>
          <w:p w14:paraId="421B4925" w14:textId="77777777" w:rsidR="002E1F2B" w:rsidRPr="000921F1" w:rsidRDefault="002E1F2B" w:rsidP="002E1F2B">
            <w:pPr>
              <w:pStyle w:val="TableText"/>
            </w:pPr>
            <w:r>
              <w:t>10</w:t>
            </w:r>
          </w:p>
        </w:tc>
        <w:tc>
          <w:tcPr>
            <w:tcW w:w="8580" w:type="dxa"/>
          </w:tcPr>
          <w:p w14:paraId="2BD1DFDE" w14:textId="77777777" w:rsidR="002E1F2B" w:rsidRPr="000921F1" w:rsidRDefault="002E1F2B" w:rsidP="002E1F2B">
            <w:pPr>
              <w:pStyle w:val="TableText"/>
            </w:pPr>
            <w:r w:rsidRPr="000921F1">
              <w:rPr>
                <w:rFonts w:cs="Arial"/>
                <w:vanish/>
              </w:rPr>
              <w:t xml:space="preserve">BR_3.39 </w:t>
            </w:r>
            <w:r w:rsidRPr="000921F1">
              <w:t>When a user selects a unit with a biohazardous indicator for a patient, VBECS emits an audible alert, warns the user, and asks whether the user still wishes to select the unit.</w:t>
            </w:r>
          </w:p>
          <w:p w14:paraId="2D860FCE" w14:textId="77777777" w:rsidR="002E1F2B" w:rsidRPr="000921F1" w:rsidRDefault="002E1F2B" w:rsidP="002E1F2B">
            <w:pPr>
              <w:pStyle w:val="NotesText"/>
            </w:pPr>
          </w:p>
          <w:p w14:paraId="0B19289B" w14:textId="77777777" w:rsidR="002E1F2B" w:rsidRPr="000921F1" w:rsidRDefault="002E1F2B" w:rsidP="002E1F2B">
            <w:pPr>
              <w:pStyle w:val="TableText"/>
            </w:pPr>
            <w:r w:rsidRPr="000921F1">
              <w:rPr>
                <w:b/>
              </w:rPr>
              <w:t>No</w:t>
            </w:r>
            <w:r w:rsidRPr="000921F1">
              <w:t xml:space="preserve"> clears the entry and allows the user to select a new unit. </w:t>
            </w:r>
            <w:r w:rsidRPr="000921F1">
              <w:rPr>
                <w:b/>
              </w:rPr>
              <w:t>Yes</w:t>
            </w:r>
            <w:r w:rsidRPr="000921F1">
              <w:t xml:space="preserve"> requires a comment and captures details for inclusion in an Exception Report (exception type: biohazardous unit selected).</w:t>
            </w:r>
          </w:p>
        </w:tc>
      </w:tr>
      <w:tr w:rsidR="002E1F2B" w:rsidRPr="000921F1" w14:paraId="44D113E2" w14:textId="77777777">
        <w:tc>
          <w:tcPr>
            <w:tcW w:w="780" w:type="dxa"/>
          </w:tcPr>
          <w:p w14:paraId="6FA29B30" w14:textId="77777777" w:rsidR="002E1F2B" w:rsidRPr="000921F1" w:rsidRDefault="002E1F2B" w:rsidP="002E1F2B">
            <w:pPr>
              <w:pStyle w:val="TableText"/>
            </w:pPr>
            <w:r>
              <w:t>10</w:t>
            </w:r>
          </w:p>
        </w:tc>
        <w:tc>
          <w:tcPr>
            <w:tcW w:w="8580" w:type="dxa"/>
          </w:tcPr>
          <w:p w14:paraId="4C2865AA" w14:textId="77777777" w:rsidR="002E1F2B" w:rsidRPr="000921F1" w:rsidRDefault="002E1F2B" w:rsidP="002E1F2B">
            <w:pPr>
              <w:pStyle w:val="TableText"/>
            </w:pPr>
            <w:r w:rsidRPr="000921F1">
              <w:rPr>
                <w:rFonts w:cs="Arial"/>
                <w:vanish/>
              </w:rPr>
              <w:t xml:space="preserve">BR_3.12 </w:t>
            </w:r>
            <w:r w:rsidRPr="000921F1">
              <w:rPr>
                <w:szCs w:val="22"/>
              </w:rPr>
              <w:t></w:t>
            </w:r>
            <w:r w:rsidRPr="000921F1">
              <w:t>When the user selects blood components from the frozen product types for a patient, VBECS emits an audible alert and warns that the selected blood unit must be thawed and may require additional processing prior to issue</w:t>
            </w:r>
            <w:r>
              <w:t>.</w:t>
            </w:r>
            <w:r w:rsidRPr="000921F1">
              <w:t xml:space="preserve"> VBECS updates the blood unit status to “assigned” and the unit is no longer available for issue.</w:t>
            </w:r>
          </w:p>
        </w:tc>
      </w:tr>
      <w:tr w:rsidR="002E1F2B" w:rsidRPr="000921F1" w14:paraId="10C4C3F5" w14:textId="77777777">
        <w:tc>
          <w:tcPr>
            <w:tcW w:w="780" w:type="dxa"/>
          </w:tcPr>
          <w:p w14:paraId="23F498E0" w14:textId="77777777" w:rsidR="002E1F2B" w:rsidRPr="000921F1" w:rsidRDefault="002E1F2B" w:rsidP="002E1F2B">
            <w:pPr>
              <w:pStyle w:val="TableText"/>
            </w:pPr>
            <w:r>
              <w:t>10</w:t>
            </w:r>
          </w:p>
        </w:tc>
        <w:tc>
          <w:tcPr>
            <w:tcW w:w="8580" w:type="dxa"/>
          </w:tcPr>
          <w:p w14:paraId="79997FB2" w14:textId="1BA5AC70" w:rsidR="002E1F2B" w:rsidRPr="000921F1" w:rsidRDefault="002E1F2B" w:rsidP="002E1F2B">
            <w:pPr>
              <w:pStyle w:val="TableText"/>
            </w:pPr>
            <w:r w:rsidRPr="00B01176">
              <w:rPr>
                <w:vanish/>
              </w:rPr>
              <w:t xml:space="preserve">BR_3.35 </w:t>
            </w:r>
            <w:r w:rsidRPr="000921F1">
              <w:t xml:space="preserve">When a user selects a unit requiring XM, eXM is enabled, and the patient is eligible, the selected unit ABO/Rh must be compatible with the patient ABO/Rh. VBECS displays a message based on </w:t>
            </w:r>
            <w:r w:rsidRPr="000921F1">
              <w:fldChar w:fldCharType="begin"/>
            </w:r>
            <w:r w:rsidRPr="000921F1">
              <w:instrText xml:space="preserve"> REF _Ref170004931 \h </w:instrText>
            </w:r>
            <w:r>
              <w:instrText xml:space="preserve"> \* MERGEFORMAT </w:instrText>
            </w:r>
            <w:r w:rsidRPr="000921F1">
              <w:fldChar w:fldCharType="separate"/>
            </w:r>
            <w:r w:rsidR="004353ED">
              <w:t xml:space="preserve">Appendix </w:t>
            </w:r>
            <w:r w:rsidR="004353ED">
              <w:rPr>
                <w:noProof/>
              </w:rPr>
              <w:t>B</w:t>
            </w:r>
            <w:r w:rsidRPr="000921F1">
              <w:fldChar w:fldCharType="end"/>
            </w:r>
            <w:r w:rsidRPr="000921F1">
              <w:t>:</w:t>
            </w:r>
            <w:r>
              <w:t xml:space="preserve"> </w:t>
            </w:r>
            <w:r>
              <w:fldChar w:fldCharType="begin"/>
            </w:r>
            <w:r>
              <w:instrText xml:space="preserve"> REF _Ref317762597 \h </w:instrText>
            </w:r>
            <w:r>
              <w:fldChar w:fldCharType="separate"/>
            </w:r>
            <w:r w:rsidR="004353ED">
              <w:t xml:space="preserve">Table </w:t>
            </w:r>
            <w:r w:rsidR="004353ED">
              <w:rPr>
                <w:noProof/>
              </w:rPr>
              <w:t>23</w:t>
            </w:r>
            <w:r w:rsidR="004353ED">
              <w:t xml:space="preserve">: </w:t>
            </w:r>
            <w:r w:rsidR="004353ED">
              <w:rPr>
                <w:vanish/>
              </w:rPr>
              <w:t xml:space="preserve">TT_3.05 </w:t>
            </w:r>
            <w:r w:rsidR="004353ED">
              <w:t>Rules for Electronic and Serologic Crossmatch</w:t>
            </w:r>
            <w:r>
              <w:fldChar w:fldCharType="end"/>
            </w:r>
            <w:r w:rsidRPr="000921F1">
              <w:t>. If the user continues to select that unit in which VBECS requires a serologic XM, VBECS does not allow the Caution Tag or BTRF to be printed, and does not update the unit status to “crossmatched”’ under normal system rules and policies. When the selected unit is available for emergency issue to the patient, VBECS allows the Caution Tag and BTRF to be printed.</w:t>
            </w:r>
          </w:p>
        </w:tc>
      </w:tr>
      <w:tr w:rsidR="002E1F2B" w:rsidRPr="000921F1" w14:paraId="547E55D8" w14:textId="77777777">
        <w:tc>
          <w:tcPr>
            <w:tcW w:w="780" w:type="dxa"/>
          </w:tcPr>
          <w:p w14:paraId="679E3DE2" w14:textId="77777777" w:rsidR="002E1F2B" w:rsidRPr="000921F1" w:rsidRDefault="002E1F2B" w:rsidP="002E1F2B">
            <w:pPr>
              <w:pStyle w:val="TableText"/>
            </w:pPr>
            <w:r>
              <w:t>12</w:t>
            </w:r>
          </w:p>
        </w:tc>
        <w:tc>
          <w:tcPr>
            <w:tcW w:w="8580" w:type="dxa"/>
          </w:tcPr>
          <w:p w14:paraId="3CB8E390" w14:textId="77777777" w:rsidR="002E1F2B" w:rsidRPr="000921F1" w:rsidRDefault="002E1F2B" w:rsidP="002E1F2B">
            <w:pPr>
              <w:pStyle w:val="TableText"/>
            </w:pPr>
            <w:r w:rsidRPr="000921F1">
              <w:rPr>
                <w:rFonts w:cs="Arial"/>
                <w:vanish/>
              </w:rPr>
              <w:t xml:space="preserve">BR_3.29 </w:t>
            </w:r>
            <w:r w:rsidRPr="000921F1">
              <w:t>When eXM is enabled and the patient and selected units are eligible, VBECS notifies the user and asks whether he wishes to continue with eXM.</w:t>
            </w:r>
          </w:p>
          <w:p w14:paraId="1BFEEAB3" w14:textId="77777777" w:rsidR="002E1F2B" w:rsidRPr="000921F1" w:rsidRDefault="002E1F2B" w:rsidP="002E1F2B">
            <w:pPr>
              <w:pStyle w:val="TableText"/>
            </w:pPr>
          </w:p>
          <w:p w14:paraId="1D7E9146" w14:textId="77777777" w:rsidR="002E1F2B" w:rsidRPr="000921F1" w:rsidRDefault="002E1F2B" w:rsidP="002E1F2B">
            <w:pPr>
              <w:pStyle w:val="TableText"/>
            </w:pPr>
            <w:r w:rsidRPr="000921F1">
              <w:rPr>
                <w:b/>
              </w:rPr>
              <w:t>Yes</w:t>
            </w:r>
            <w:r w:rsidRPr="000921F1">
              <w:t xml:space="preserve"> assigns a XM result of “Compatible: Electronically Crossmatched.” VBECS updates the database with the XM result, date and time of XM, XM technologist, division, specimen UID, specimen phlebotomist, and specimen expiration date and time. VBECS allows a Caution Tag and BTRF to be printed and the unit is ready for issue and transfusion. VBECS changes the unit status to “crossmatched.”</w:t>
            </w:r>
          </w:p>
          <w:p w14:paraId="1B97DF68" w14:textId="77777777" w:rsidR="002E1F2B" w:rsidRPr="000921F1" w:rsidRDefault="002E1F2B" w:rsidP="002E1F2B">
            <w:pPr>
              <w:pStyle w:val="TableText"/>
            </w:pPr>
          </w:p>
          <w:p w14:paraId="2C625C5E" w14:textId="77777777" w:rsidR="002E1F2B" w:rsidRPr="000921F1" w:rsidRDefault="002E1F2B" w:rsidP="002E1F2B">
            <w:pPr>
              <w:pStyle w:val="TableText"/>
            </w:pPr>
            <w:r w:rsidRPr="000921F1">
              <w:rPr>
                <w:b/>
              </w:rPr>
              <w:t>No</w:t>
            </w:r>
            <w:r w:rsidRPr="000921F1">
              <w:t xml:space="preserve"> keeps the unit assigned to the patient and available for data entry of serologic XM. VBECS does not allow the Caution Tag or BTRF to be printed and does not change the unit status to “crossmatched.” When a division is “transfusion only,” the unit remains assigned to the patient and is available for the user to enter the serologic XM interpretation, VBECS does not allow the Caution Tag or BTRF to be printed, and the unit is not crossmatched.</w:t>
            </w:r>
          </w:p>
        </w:tc>
      </w:tr>
      <w:tr w:rsidR="002E1F2B" w:rsidRPr="000921F1" w14:paraId="74197BE5" w14:textId="77777777">
        <w:tc>
          <w:tcPr>
            <w:tcW w:w="780" w:type="dxa"/>
          </w:tcPr>
          <w:p w14:paraId="0DB01531" w14:textId="77777777" w:rsidR="002E1F2B" w:rsidRPr="000921F1" w:rsidRDefault="002E1F2B" w:rsidP="002E1F2B">
            <w:pPr>
              <w:pStyle w:val="TableText"/>
            </w:pPr>
            <w:r>
              <w:t>12</w:t>
            </w:r>
          </w:p>
        </w:tc>
        <w:tc>
          <w:tcPr>
            <w:tcW w:w="8580" w:type="dxa"/>
          </w:tcPr>
          <w:p w14:paraId="3729A47C" w14:textId="77777777" w:rsidR="002E1F2B" w:rsidRPr="000921F1" w:rsidRDefault="002E1F2B" w:rsidP="002E1F2B">
            <w:pPr>
              <w:pStyle w:val="TableText"/>
            </w:pPr>
            <w:r w:rsidRPr="000921F1">
              <w:rPr>
                <w:rFonts w:cs="Arial"/>
                <w:vanish/>
              </w:rPr>
              <w:t xml:space="preserve">BR_3.37 </w:t>
            </w:r>
            <w:r w:rsidRPr="000921F1">
              <w:t>When the user selects a unit requiring XM, the division is defined as “full service,” eXM is enabled, and the patient is not eligible for eXM, VBECS warns the user that the selected units require serologic XM and asks whether he wishes to continue.</w:t>
            </w:r>
          </w:p>
          <w:p w14:paraId="5397FEEA" w14:textId="77777777" w:rsidR="002E1F2B" w:rsidRPr="000921F1" w:rsidRDefault="002E1F2B" w:rsidP="002E1F2B">
            <w:pPr>
              <w:pStyle w:val="TableText"/>
            </w:pPr>
          </w:p>
          <w:p w14:paraId="091B36FF" w14:textId="77777777" w:rsidR="002E1F2B" w:rsidRPr="000921F1" w:rsidRDefault="002E1F2B" w:rsidP="002E1F2B">
            <w:pPr>
              <w:pStyle w:val="TableText"/>
            </w:pPr>
            <w:r w:rsidRPr="000921F1">
              <w:rPr>
                <w:b/>
              </w:rPr>
              <w:t>Yes</w:t>
            </w:r>
            <w:r w:rsidRPr="000921F1">
              <w:t xml:space="preserve"> adds the units to the XM data entry grid and transfers the user to Patient Testing: Record Patient Test Results to begin the XM process. </w:t>
            </w:r>
            <w:r w:rsidRPr="000921F1">
              <w:rPr>
                <w:b/>
              </w:rPr>
              <w:t>No</w:t>
            </w:r>
            <w:r w:rsidRPr="000921F1">
              <w:t xml:space="preserve"> records that a serologic XM test is needed. The user may not print a Caution Tag or Blood Transfusion Record Form; the unit status does not change to “crossmatched.”</w:t>
            </w:r>
          </w:p>
        </w:tc>
      </w:tr>
    </w:tbl>
    <w:p w14:paraId="10B3074A" w14:textId="77777777" w:rsidR="002118B0" w:rsidRDefault="002118B0" w:rsidP="00DD75E5">
      <w:pPr>
        <w:pStyle w:val="BodyText"/>
      </w:pPr>
    </w:p>
    <w:p w14:paraId="3F2B688A" w14:textId="77777777" w:rsidR="002A21AE" w:rsidRDefault="002A21AE" w:rsidP="00533A82">
      <w:pPr>
        <w:pStyle w:val="Heading2"/>
      </w:pPr>
      <w:r>
        <w:br w:type="page"/>
      </w:r>
      <w:bookmarkStart w:id="441" w:name="_Issue_Blood_Components"/>
      <w:bookmarkStart w:id="442" w:name="_Toc47516733"/>
      <w:bookmarkStart w:id="443" w:name="_Toc94349371"/>
      <w:bookmarkEnd w:id="441"/>
      <w:r>
        <w:lastRenderedPageBreak/>
        <w:t>Issue Blood Components</w:t>
      </w:r>
      <w:bookmarkEnd w:id="442"/>
      <w:r w:rsidRPr="007716F7">
        <w:fldChar w:fldCharType="begin"/>
      </w:r>
      <w:r w:rsidRPr="007716F7">
        <w:instrText xml:space="preserve"> XE </w:instrText>
      </w:r>
      <w:r w:rsidR="00FA7E65" w:rsidRPr="007716F7">
        <w:instrText>“</w:instrText>
      </w:r>
      <w:r w:rsidRPr="007716F7">
        <w:instrText>Issue Blood Components</w:instrText>
      </w:r>
      <w:r w:rsidR="00FA7E65" w:rsidRPr="007716F7">
        <w:instrText>”</w:instrText>
      </w:r>
      <w:r w:rsidRPr="007716F7">
        <w:instrText xml:space="preserve"> </w:instrText>
      </w:r>
      <w:r w:rsidRPr="007716F7">
        <w:fldChar w:fldCharType="end"/>
      </w:r>
      <w:r w:rsidRPr="007716F7">
        <w:t xml:space="preserve"> </w:t>
      </w:r>
      <w:r w:rsidRPr="00557A54">
        <w:rPr>
          <w:rFonts w:ascii="Arial Bold" w:hAnsi="Arial Bold"/>
          <w:vanish/>
        </w:rPr>
        <w:t>UC_73</w:t>
      </w:r>
      <w:bookmarkEnd w:id="443"/>
      <w:r>
        <w:t xml:space="preserve"> </w:t>
      </w:r>
    </w:p>
    <w:p w14:paraId="7F565AFC" w14:textId="77777777" w:rsidR="002A21AE" w:rsidRDefault="002A21AE" w:rsidP="00FA7E65">
      <w:pPr>
        <w:pStyle w:val="BodyText"/>
      </w:pPr>
      <w:bookmarkStart w:id="444" w:name="_Toc34537111"/>
      <w:bookmarkStart w:id="445" w:name="_Toc34635892"/>
      <w:bookmarkStart w:id="446" w:name="_Toc34720938"/>
      <w:bookmarkStart w:id="447" w:name="_Toc35743728"/>
      <w:bookmarkStart w:id="448" w:name="_Toc42940987"/>
      <w:bookmarkStart w:id="449" w:name="_Toc43285430"/>
      <w:bookmarkStart w:id="450" w:name="_Toc72829288"/>
      <w:r>
        <w:t>The user issues one or more patient-assigned blood units to a transporter for storage in a remote location or for possible transfusion</w:t>
      </w:r>
      <w:bookmarkStart w:id="451" w:name="warn"/>
      <w:bookmarkEnd w:id="451"/>
      <w:r w:rsidR="00BC58E2">
        <w:t>.</w:t>
      </w:r>
    </w:p>
    <w:p w14:paraId="2EED621F" w14:textId="77777777" w:rsidR="002A21AE" w:rsidRDefault="002A21AE">
      <w:pPr>
        <w:pStyle w:val="Heading4"/>
      </w:pPr>
      <w:bookmarkStart w:id="452" w:name="_Toc94349372"/>
      <w:r>
        <w:t>Assumptions</w:t>
      </w:r>
      <w:bookmarkEnd w:id="452"/>
    </w:p>
    <w:p w14:paraId="63D9FA61" w14:textId="77777777" w:rsidR="00DC673E" w:rsidRDefault="00DC673E">
      <w:pPr>
        <w:pStyle w:val="ListBullet"/>
      </w:pPr>
      <w:r>
        <w:t>The facility has a procedure for the emergency issue of blood products.</w:t>
      </w:r>
    </w:p>
    <w:p w14:paraId="3C674124" w14:textId="77777777" w:rsidR="002A21AE" w:rsidRDefault="002A21AE">
      <w:pPr>
        <w:pStyle w:val="ListBullet"/>
      </w:pPr>
      <w:r>
        <w:t>The unit and the user are in the same division.</w:t>
      </w:r>
    </w:p>
    <w:p w14:paraId="603ADD1D" w14:textId="77777777" w:rsidR="002A21AE" w:rsidRDefault="002A21AE">
      <w:pPr>
        <w:pStyle w:val="ListBullet"/>
      </w:pPr>
      <w:r>
        <w:t>The unit is assigned and/or crossmatched for the patient currently selected for issue.</w:t>
      </w:r>
    </w:p>
    <w:p w14:paraId="4D4195F9" w14:textId="77777777" w:rsidR="002A21AE" w:rsidRDefault="00CA0045">
      <w:pPr>
        <w:pStyle w:val="ListBullet"/>
      </w:pPr>
      <w:r w:rsidRPr="00CA0045">
        <w:rPr>
          <w:bCs/>
        </w:rPr>
        <w:t>VistA</w:t>
      </w:r>
      <w:r w:rsidR="002A21AE">
        <w:t xml:space="preserve"> is available for the user to choose a physician and valid hospital locations.</w:t>
      </w:r>
    </w:p>
    <w:p w14:paraId="682355A2" w14:textId="77777777" w:rsidR="000C22E7" w:rsidRDefault="000C22E7">
      <w:pPr>
        <w:pStyle w:val="ListBullet"/>
      </w:pPr>
      <w:r>
        <w:t>All issue-to locations must be valid entries in the VistA HOSPITAL LOCATION (</w:t>
      </w:r>
      <w:r w:rsidR="00FA65C4">
        <w:t>#44)</w:t>
      </w:r>
      <w:r>
        <w:t>.</w:t>
      </w:r>
    </w:p>
    <w:p w14:paraId="2E992270" w14:textId="77777777" w:rsidR="002A21AE" w:rsidRDefault="002A21AE">
      <w:pPr>
        <w:pStyle w:val="Heading4"/>
      </w:pPr>
      <w:bookmarkStart w:id="453" w:name="_Toc94349373"/>
      <w:r>
        <w:t>Outcome</w:t>
      </w:r>
      <w:bookmarkEnd w:id="453"/>
    </w:p>
    <w:p w14:paraId="43CADC75" w14:textId="77777777" w:rsidR="002A21AE" w:rsidRDefault="002A21AE">
      <w:pPr>
        <w:pStyle w:val="ListBullet"/>
      </w:pPr>
      <w:r>
        <w:t>The unit status was updated to “issued.”</w:t>
      </w:r>
    </w:p>
    <w:p w14:paraId="58785011" w14:textId="77777777" w:rsidR="002A21AE" w:rsidRDefault="002A21AE">
      <w:pPr>
        <w:pStyle w:val="ListBullet"/>
      </w:pPr>
      <w:r>
        <w:t>The unit’s current location was updated to the “issue-to” location.</w:t>
      </w:r>
    </w:p>
    <w:p w14:paraId="1AA474AB" w14:textId="77777777" w:rsidR="002A21AE" w:rsidRDefault="002A21AE">
      <w:pPr>
        <w:pStyle w:val="Heading4"/>
      </w:pPr>
      <w:bookmarkStart w:id="454" w:name="_Toc94349374"/>
      <w:r>
        <w:t>Limitations and Restrictions</w:t>
      </w:r>
      <w:bookmarkEnd w:id="454"/>
    </w:p>
    <w:p w14:paraId="321C8B74" w14:textId="77777777" w:rsidR="00F26B72" w:rsidRDefault="00F26B72">
      <w:pPr>
        <w:pStyle w:val="ListBullet"/>
      </w:pPr>
      <w:r>
        <w:t xml:space="preserve">VBECS does not check </w:t>
      </w:r>
      <w:r w:rsidRPr="00F26B72">
        <w:t xml:space="preserve">for </w:t>
      </w:r>
      <w:r w:rsidR="00654CF2">
        <w:t>restricted</w:t>
      </w:r>
      <w:r w:rsidRPr="00F26B72">
        <w:t xml:space="preserve"> units </w:t>
      </w:r>
      <w:r w:rsidR="006E2907">
        <w:t>(</w:t>
      </w:r>
      <w:r>
        <w:t>not</w:t>
      </w:r>
      <w:r w:rsidRPr="00F26B72">
        <w:t xml:space="preserve"> assigned to the patient</w:t>
      </w:r>
      <w:r w:rsidR="006E2907">
        <w:t>)</w:t>
      </w:r>
      <w:r w:rsidRPr="00F26B72">
        <w:t xml:space="preserve"> received </w:t>
      </w:r>
      <w:r>
        <w:t>between selection and issue.</w:t>
      </w:r>
    </w:p>
    <w:p w14:paraId="0C1EB7FC" w14:textId="77777777" w:rsidR="00414644" w:rsidRDefault="002A21AE">
      <w:pPr>
        <w:pStyle w:val="ListBullet"/>
      </w:pPr>
      <w:r>
        <w:t xml:space="preserve">All issue-to locations must be valid entries in the </w:t>
      </w:r>
      <w:r w:rsidR="00CA0045" w:rsidRPr="00CA0045">
        <w:rPr>
          <w:bCs/>
        </w:rPr>
        <w:t>VistA</w:t>
      </w:r>
      <w:r>
        <w:t xml:space="preserve"> hospital location f</w:t>
      </w:r>
      <w:r w:rsidR="008F2DE4">
        <w:t>ile.</w:t>
      </w:r>
    </w:p>
    <w:p w14:paraId="11850608" w14:textId="77777777" w:rsidR="002A21AE" w:rsidRDefault="009C7B46" w:rsidP="00215DFC">
      <w:pPr>
        <w:pStyle w:val="ListBullet"/>
      </w:pPr>
      <w:r>
        <w:t xml:space="preserve">If VistA link is not available, </w:t>
      </w:r>
      <w:r w:rsidR="00414644">
        <w:t>the user may proceed with the issue process but the current issue-to hospital location is not recorded.</w:t>
      </w:r>
      <w:r w:rsidR="00215DFC">
        <w:t xml:space="preserve"> All of the associated report records display “VistALink Down” in the Issue To location field.</w:t>
      </w:r>
      <w:r>
        <w:t xml:space="preserve"> </w:t>
      </w:r>
      <w:r w:rsidRPr="00215DFC">
        <w:rPr>
          <w:vanish/>
        </w:rPr>
        <w:t>DR 5073</w:t>
      </w:r>
    </w:p>
    <w:p w14:paraId="37451F53" w14:textId="77777777" w:rsidR="00A25BC9" w:rsidRDefault="00A25BC9" w:rsidP="00A25BC9">
      <w:pPr>
        <w:pStyle w:val="ListBullet"/>
      </w:pPr>
      <w:r>
        <w:t>ISBT 128 tables include blood product codes labeled as not for manufacturing or transfusion. VBECS does not restrict such products from being entered, issued, or transferred (l</w:t>
      </w:r>
      <w:r w:rsidR="00011036">
        <w:t>ocal policy controls their use)</w:t>
      </w:r>
      <w:r>
        <w:t xml:space="preserve"> </w:t>
      </w:r>
      <w:r w:rsidR="00011036">
        <w:t>and</w:t>
      </w:r>
      <w:r>
        <w:t xml:space="preserve"> does not accommodate blood modification for these products.</w:t>
      </w:r>
    </w:p>
    <w:p w14:paraId="71CF7264" w14:textId="77777777" w:rsidR="007E1B6B" w:rsidRDefault="007E1B6B" w:rsidP="00A25BC9">
      <w:pPr>
        <w:pStyle w:val="ListBullet"/>
      </w:pPr>
      <w:r>
        <w:t>W</w:t>
      </w:r>
      <w:r w:rsidRPr="007E1B6B">
        <w:t xml:space="preserve">hen a site has configured </w:t>
      </w:r>
      <w:r w:rsidR="009174D5" w:rsidRPr="007E1B6B">
        <w:t>subservient</w:t>
      </w:r>
      <w:r w:rsidRPr="007E1B6B">
        <w:t xml:space="preserve"> VistA ins</w:t>
      </w:r>
      <w:r>
        <w:t xml:space="preserve">titutions to the VBECS division, users </w:t>
      </w:r>
      <w:r w:rsidRPr="007E1B6B">
        <w:t xml:space="preserve">can only issue </w:t>
      </w:r>
      <w:r>
        <w:t xml:space="preserve">units </w:t>
      </w:r>
      <w:r w:rsidRPr="007E1B6B">
        <w:t xml:space="preserve">to locations in the primary VistA. Sites may add locations to VistA to account for the relocations to the </w:t>
      </w:r>
      <w:r w:rsidR="009174D5" w:rsidRPr="007E1B6B">
        <w:t>subservient</w:t>
      </w:r>
      <w:r w:rsidRPr="007E1B6B">
        <w:t xml:space="preserve"> VistA institutions.</w:t>
      </w:r>
      <w:r w:rsidRPr="007E1B6B">
        <w:rPr>
          <w:vanish/>
        </w:rPr>
        <w:t>DR 2,880</w:t>
      </w:r>
    </w:p>
    <w:p w14:paraId="3E644BDB" w14:textId="77777777" w:rsidR="0064308B" w:rsidRDefault="0064308B" w:rsidP="00A25BC9">
      <w:pPr>
        <w:pStyle w:val="ListBullet"/>
      </w:pPr>
      <w:r w:rsidRPr="00C01E45">
        <w:t>BCE information applies ONLY when a BCE COTS product is available for communication and is configured.</w:t>
      </w:r>
    </w:p>
    <w:p w14:paraId="28BEEF32" w14:textId="0684490A" w:rsidR="00B65627" w:rsidRDefault="00B65627" w:rsidP="00B65627">
      <w:pPr>
        <w:pStyle w:val="ListBullet"/>
      </w:pPr>
      <w:bookmarkStart w:id="455" w:name="_Toc94349375"/>
      <w:r w:rsidRPr="00633316">
        <w:t>Changing a patient's</w:t>
      </w:r>
      <w:r w:rsidR="00432F57">
        <w:t xml:space="preserve"> transfusion requirements</w:t>
      </w:r>
      <w:r w:rsidRPr="00633316">
        <w:t xml:space="preserve"> </w:t>
      </w:r>
      <w:r w:rsidR="00432F57">
        <w:t xml:space="preserve">(component requirements, </w:t>
      </w:r>
      <w:r w:rsidRPr="00633316">
        <w:t>antigen negative requirement or antibody identified</w:t>
      </w:r>
      <w:r w:rsidR="00432F57">
        <w:t>)</w:t>
      </w:r>
      <w:r w:rsidRPr="00633316">
        <w:t xml:space="preserve">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p w14:paraId="1BF2B544" w14:textId="5AE9B273" w:rsidR="002F25DF" w:rsidRDefault="002F25DF" w:rsidP="00B65627">
      <w:pPr>
        <w:pStyle w:val="ListBullet"/>
      </w:pPr>
      <w:r>
        <w:t>VBECS asks for a comment when issuing a unit that is assigned to two different patients. Enter a comment to issue the unit or release one of the patient assignments before issuing. The comment will appear on the Unit History Report in the Issue section.</w:t>
      </w:r>
      <w:r w:rsidR="00512B62">
        <w:t xml:space="preserve"> </w:t>
      </w:r>
      <w:r w:rsidR="00512B62" w:rsidRPr="004F5DF6">
        <w:rPr>
          <w:vanish/>
        </w:rPr>
        <w:t xml:space="preserve">Defect </w:t>
      </w:r>
      <w:r w:rsidR="004F5DF6" w:rsidRPr="004F5DF6">
        <w:rPr>
          <w:vanish/>
        </w:rPr>
        <w:t>208730</w:t>
      </w:r>
    </w:p>
    <w:p w14:paraId="3FEB1473" w14:textId="77777777" w:rsidR="002A21AE" w:rsidRDefault="002A21AE">
      <w:pPr>
        <w:pStyle w:val="Heading4"/>
      </w:pPr>
      <w:r>
        <w:t>Additional Information</w:t>
      </w:r>
      <w:bookmarkEnd w:id="455"/>
    </w:p>
    <w:p w14:paraId="387C5DF7" w14:textId="77777777" w:rsidR="002A21AE" w:rsidRDefault="00710E7E">
      <w:pPr>
        <w:pStyle w:val="ListBullet"/>
      </w:pPr>
      <w:r>
        <w:t xml:space="preserve">When no VistA order is available, </w:t>
      </w:r>
      <w:r w:rsidR="002A21AE">
        <w:t xml:space="preserve">the user must process the request manually until </w:t>
      </w:r>
      <w:r w:rsidR="00CA0045" w:rsidRPr="00CA0045">
        <w:rPr>
          <w:bCs/>
        </w:rPr>
        <w:t>VistA</w:t>
      </w:r>
      <w:r w:rsidR="002A21AE">
        <w:t xml:space="preserve"> provides them to VBECS. The user must print blank Caution Tags and Blood Transfusion Record Forms (BTRFs) to accommodate this rare occurrence.</w:t>
      </w:r>
      <w:r w:rsidR="00AB4026">
        <w:t xml:space="preserve"> When </w:t>
      </w:r>
      <w:r w:rsidR="00AB4026" w:rsidRPr="00CA0045">
        <w:rPr>
          <w:bCs/>
        </w:rPr>
        <w:t>VistA</w:t>
      </w:r>
      <w:r w:rsidR="00AB4026">
        <w:t xml:space="preserve"> does not provide a pseudonym or associated pseudo-ID for the patient that allows placement of a VistA order, VBECS cannot create a patient order for emergency issue of blood.</w:t>
      </w:r>
    </w:p>
    <w:p w14:paraId="162D8C92" w14:textId="77777777" w:rsidR="002A21AE" w:rsidRDefault="002A21AE">
      <w:pPr>
        <w:pStyle w:val="ListBullet"/>
      </w:pPr>
      <w:r>
        <w:lastRenderedPageBreak/>
        <w:t xml:space="preserve">“Issue with Medical Director Approval” components must be approved prior to this option and do not require special handling by VBECS. </w:t>
      </w:r>
    </w:p>
    <w:p w14:paraId="6C768D96" w14:textId="77777777" w:rsidR="002A21AE" w:rsidRDefault="002A21AE">
      <w:pPr>
        <w:pStyle w:val="ListBullet"/>
      </w:pPr>
      <w:r>
        <w:t>Emergency issue processing accommodates the issue of blood to patients without completed specimen testing, as required.</w:t>
      </w:r>
    </w:p>
    <w:p w14:paraId="1B229773" w14:textId="77777777" w:rsidR="009605EB" w:rsidRDefault="009605EB">
      <w:pPr>
        <w:pStyle w:val="ListBullet"/>
      </w:pPr>
      <w:r>
        <w:t xml:space="preserve">Sites may enter the lot number of blood administration sets </w:t>
      </w:r>
      <w:r w:rsidR="00A07263">
        <w:t xml:space="preserve">and leukoreducing filters </w:t>
      </w:r>
      <w:r>
        <w:t>when they enter the name of the individual picking up the blood product. VBECS retains this information in the unit history record.</w:t>
      </w:r>
    </w:p>
    <w:p w14:paraId="1918D63F" w14:textId="77777777" w:rsidR="00D059AF" w:rsidRDefault="00D059AF">
      <w:pPr>
        <w:pStyle w:val="ListBullet"/>
      </w:pPr>
      <w:r>
        <w:t>User must date all signature lines on the BTRF dating of the signatures [i.e., Inspected and issued by, Issued to, First Identifier, Second Identifier, Transfusion Data section completed by, Transfusion Reaction Data section completed by (as needed)].</w:t>
      </w:r>
    </w:p>
    <w:p w14:paraId="68DFDC97" w14:textId="77777777" w:rsidR="002A21AE" w:rsidRDefault="002A21AE">
      <w:pPr>
        <w:pStyle w:val="Heading4"/>
      </w:pPr>
      <w:bookmarkStart w:id="456" w:name="_Toc94349376"/>
      <w:r>
        <w:t>User Roles with Access to This Option</w:t>
      </w:r>
      <w:bookmarkEnd w:id="456"/>
    </w:p>
    <w:p w14:paraId="6F1E856A" w14:textId="77777777" w:rsidR="005C42D0" w:rsidRDefault="005C42D0" w:rsidP="005C42D0">
      <w:pPr>
        <w:pStyle w:val="Roles"/>
        <w:rPr>
          <w:snapToGrid w:val="0"/>
        </w:rPr>
      </w:pPr>
      <w:r>
        <w:t>All users</w:t>
      </w:r>
      <w:r>
        <w:rPr>
          <w:rFonts w:cs="Arial"/>
          <w:szCs w:val="18"/>
        </w:rPr>
        <w:t xml:space="preserve"> </w:t>
      </w:r>
    </w:p>
    <w:p w14:paraId="00F11751" w14:textId="77777777" w:rsidR="001F1013" w:rsidRDefault="001F1013" w:rsidP="001F1013">
      <w:pPr>
        <w:pStyle w:val="Caution"/>
      </w:pPr>
      <w:bookmarkStart w:id="457" w:name="_Toc94349377"/>
      <w:bookmarkEnd w:id="444"/>
      <w:bookmarkEnd w:id="445"/>
      <w:bookmarkEnd w:id="446"/>
      <w:bookmarkEnd w:id="447"/>
      <w:bookmarkEnd w:id="448"/>
      <w:bookmarkEnd w:id="449"/>
      <w:bookmarkEnd w:id="450"/>
      <w:r>
        <w:t>To correct issue time and other errors, return the unit from issue and reissue it with the correct information.</w:t>
      </w:r>
    </w:p>
    <w:p w14:paraId="3C182FCE" w14:textId="77777777" w:rsidR="002A21AE" w:rsidRDefault="002A21AE">
      <w:pPr>
        <w:pStyle w:val="Heading4"/>
      </w:pPr>
      <w:r>
        <w:t>Issue Blood Components (Routine)</w:t>
      </w:r>
      <w:bookmarkEnd w:id="457"/>
      <w:r>
        <w:fldChar w:fldCharType="begin"/>
      </w:r>
      <w:r>
        <w:instrText xml:space="preserve"> XE </w:instrText>
      </w:r>
      <w:r w:rsidR="00FA7E65">
        <w:instrText>“</w:instrText>
      </w:r>
      <w:r>
        <w:instrText>Issue Blood Components (Routine)</w:instrText>
      </w:r>
      <w:r w:rsidR="00FA7E65">
        <w:instrText>”</w:instrText>
      </w:r>
      <w:r>
        <w:instrText xml:space="preserve"> </w:instrText>
      </w:r>
      <w:r>
        <w:fldChar w:fldCharType="end"/>
      </w:r>
    </w:p>
    <w:p w14:paraId="06EEC037" w14:textId="77777777" w:rsidR="002A21AE" w:rsidRDefault="002A21AE" w:rsidP="00FA7E65">
      <w:pPr>
        <w:pStyle w:val="BodyText"/>
      </w:pPr>
      <w:r>
        <w:t xml:space="preserve">The user issues assigned or crossmatched blood to a transporter for patient transfusion at valid inpatient and outpatient hospital locations, and records issue details, including the transporter’s name or identifier.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306B839" w14:textId="77777777">
        <w:trPr>
          <w:cantSplit/>
          <w:tblHeader/>
        </w:trPr>
        <w:tc>
          <w:tcPr>
            <w:tcW w:w="3240" w:type="dxa"/>
            <w:shd w:val="pct30" w:color="auto" w:fill="FFFFFF"/>
            <w:vAlign w:val="bottom"/>
          </w:tcPr>
          <w:p w14:paraId="1050BCC6" w14:textId="77777777" w:rsidR="002A21AE" w:rsidRDefault="002A21AE">
            <w:pPr>
              <w:pStyle w:val="TableText"/>
              <w:rPr>
                <w:b/>
              </w:rPr>
            </w:pPr>
            <w:r>
              <w:rPr>
                <w:b/>
              </w:rPr>
              <w:t>User Action</w:t>
            </w:r>
          </w:p>
        </w:tc>
        <w:tc>
          <w:tcPr>
            <w:tcW w:w="6120" w:type="dxa"/>
            <w:shd w:val="pct30" w:color="auto" w:fill="FFFFFF"/>
            <w:vAlign w:val="bottom"/>
          </w:tcPr>
          <w:p w14:paraId="0466B3A7" w14:textId="77777777" w:rsidR="002A21AE" w:rsidRDefault="002A21AE">
            <w:pPr>
              <w:pStyle w:val="TableText"/>
              <w:rPr>
                <w:b/>
              </w:rPr>
            </w:pPr>
            <w:r>
              <w:rPr>
                <w:b/>
              </w:rPr>
              <w:t>VBECS</w:t>
            </w:r>
          </w:p>
        </w:tc>
      </w:tr>
      <w:tr w:rsidR="002A21AE" w14:paraId="05685B88" w14:textId="77777777">
        <w:tc>
          <w:tcPr>
            <w:tcW w:w="3240" w:type="dxa"/>
            <w:tcBorders>
              <w:top w:val="single" w:sz="4" w:space="0" w:color="auto"/>
              <w:left w:val="single" w:sz="4" w:space="0" w:color="auto"/>
              <w:bottom w:val="single" w:sz="4" w:space="0" w:color="auto"/>
              <w:right w:val="single" w:sz="4" w:space="0" w:color="auto"/>
            </w:tcBorders>
          </w:tcPr>
          <w:p w14:paraId="63D66980" w14:textId="77777777" w:rsidR="002A21AE" w:rsidRDefault="002A21AE">
            <w:pPr>
              <w:pStyle w:val="TableTextNumbers"/>
            </w:pPr>
            <w:r>
              <w:t xml:space="preserve">Select </w:t>
            </w:r>
            <w:r>
              <w:rPr>
                <w:b/>
              </w:rPr>
              <w:t>Patients</w:t>
            </w:r>
            <w:r>
              <w:t xml:space="preserve"> from the main menu.</w:t>
            </w:r>
          </w:p>
          <w:p w14:paraId="339A4B03" w14:textId="77777777" w:rsidR="002A21AE" w:rsidRDefault="002A21AE">
            <w:pPr>
              <w:pStyle w:val="TableTextNumbersContinued"/>
            </w:pPr>
          </w:p>
          <w:p w14:paraId="413C8111" w14:textId="77777777" w:rsidR="002A21AE" w:rsidRDefault="002A21AE">
            <w:pPr>
              <w:pStyle w:val="TableTextNumbersContinued"/>
            </w:pPr>
            <w:r>
              <w:t xml:space="preserve">Select </w:t>
            </w:r>
            <w:r>
              <w:rPr>
                <w:b/>
              </w:rPr>
              <w:t>Issue Blood Components</w:t>
            </w:r>
            <w:r>
              <w:t>.</w:t>
            </w:r>
          </w:p>
        </w:tc>
        <w:tc>
          <w:tcPr>
            <w:tcW w:w="6120" w:type="dxa"/>
            <w:tcBorders>
              <w:top w:val="single" w:sz="4" w:space="0" w:color="auto"/>
              <w:left w:val="single" w:sz="4" w:space="0" w:color="auto"/>
              <w:bottom w:val="single" w:sz="4" w:space="0" w:color="auto"/>
              <w:right w:val="single" w:sz="4" w:space="0" w:color="auto"/>
            </w:tcBorders>
          </w:tcPr>
          <w:p w14:paraId="49302DE3" w14:textId="77777777" w:rsidR="002A21AE" w:rsidRDefault="002A21AE">
            <w:pPr>
              <w:pStyle w:val="TableTextBullet"/>
            </w:pPr>
            <w:r>
              <w:t>Displays options for processing patient-related functions.</w:t>
            </w:r>
          </w:p>
          <w:p w14:paraId="585D2698" w14:textId="77777777" w:rsidR="002A21AE" w:rsidRDefault="002A21AE">
            <w:pPr>
              <w:pStyle w:val="TableTextBullet"/>
            </w:pPr>
            <w:r>
              <w:t>Displays an option to scan the Caution Tag or enter a patient name or ID.</w:t>
            </w:r>
          </w:p>
          <w:p w14:paraId="089E79DA" w14:textId="77777777" w:rsidR="002A21AE" w:rsidRDefault="002A21AE">
            <w:pPr>
              <w:pStyle w:val="TableText"/>
            </w:pPr>
          </w:p>
          <w:p w14:paraId="42B55180" w14:textId="2D9F9C64" w:rsidR="002A21AE" w:rsidRDefault="002A21AE">
            <w:pPr>
              <w:pStyle w:val="TableText"/>
              <w:rPr>
                <w:b/>
                <w:bCs/>
                <w:szCs w:val="18"/>
              </w:rPr>
            </w:pPr>
            <w:r>
              <w:rPr>
                <w:b/>
                <w:bCs/>
                <w:szCs w:val="18"/>
              </w:rPr>
              <w:t>NOTES</w:t>
            </w:r>
          </w:p>
          <w:p w14:paraId="410462E8" w14:textId="77777777" w:rsidR="002A21AE" w:rsidRDefault="002A21AE">
            <w:pPr>
              <w:pStyle w:val="NotesText"/>
            </w:pPr>
          </w:p>
          <w:p w14:paraId="60533C17" w14:textId="77777777" w:rsidR="002A21AE" w:rsidRDefault="002A21AE">
            <w:pPr>
              <w:pStyle w:val="NotesText"/>
            </w:pPr>
            <w:r>
              <w:rPr>
                <w:rFonts w:cs="Arial"/>
                <w:vanish/>
              </w:rPr>
              <w:t xml:space="preserve">BR_73.22 </w:t>
            </w:r>
            <w:r>
              <w:t>The user must verify the correct patient selection</w:t>
            </w:r>
            <w:r w:rsidR="00F3010E">
              <w:t>.</w:t>
            </w:r>
            <w:r>
              <w:t xml:space="preserve"> </w:t>
            </w:r>
          </w:p>
          <w:p w14:paraId="74352814" w14:textId="77777777" w:rsidR="001E0858" w:rsidRDefault="001E0858" w:rsidP="00CA495D">
            <w:pPr>
              <w:pStyle w:val="NotesText"/>
            </w:pPr>
          </w:p>
          <w:p w14:paraId="364F6C6B" w14:textId="77777777" w:rsidR="001E0858" w:rsidRDefault="001E0858" w:rsidP="00CA495D">
            <w:pPr>
              <w:pStyle w:val="NotesText"/>
            </w:pPr>
            <w:r>
              <w:t xml:space="preserve">The </w:t>
            </w:r>
            <w:r w:rsidRPr="00EC7489">
              <w:rPr>
                <w:rFonts w:ascii="Wingdings 3" w:hAnsi="Wingdings 3"/>
              </w:rPr>
              <w:t></w:t>
            </w:r>
            <w:r w:rsidRPr="00EC7489">
              <w:rPr>
                <w:rFonts w:ascii="Wingdings 3" w:hAnsi="Wingdings 3"/>
              </w:rPr>
              <w:t></w:t>
            </w:r>
            <w:r>
              <w:t xml:space="preserve"> Enhanced Technologist </w:t>
            </w:r>
            <w:r w:rsidR="00915BD8">
              <w:t>or</w:t>
            </w:r>
            <w:r>
              <w:t xml:space="preserve"> above is authorized to issue expired blood products.</w:t>
            </w:r>
          </w:p>
          <w:p w14:paraId="1FFF271B" w14:textId="77777777" w:rsidR="001E0858" w:rsidRDefault="001E0858" w:rsidP="00CA495D">
            <w:pPr>
              <w:pStyle w:val="NotesText"/>
            </w:pPr>
          </w:p>
          <w:p w14:paraId="1A8BEF4F" w14:textId="77777777" w:rsidR="001E0858" w:rsidRPr="001E0858" w:rsidRDefault="001E0858" w:rsidP="00CA495D">
            <w:pPr>
              <w:pStyle w:val="NotesText"/>
              <w:rPr>
                <w:snapToGrid w:val="0"/>
              </w:rPr>
            </w:pPr>
            <w:r>
              <w:t xml:space="preserve">The </w:t>
            </w:r>
            <w:r w:rsidRPr="00EC7489">
              <w:rPr>
                <w:rFonts w:ascii="Wingdings 3" w:hAnsi="Wingdings 3"/>
              </w:rPr>
              <w:t></w:t>
            </w:r>
            <w:r w:rsidRPr="00EC7489">
              <w:rPr>
                <w:rFonts w:ascii="Wingdings 3" w:hAnsi="Wingdings 3"/>
              </w:rPr>
              <w:t></w:t>
            </w:r>
            <w:r w:rsidRPr="00EC7489">
              <w:rPr>
                <w:rFonts w:ascii="Wingdings 3" w:hAnsi="Wingdings 3"/>
              </w:rPr>
              <w:t></w:t>
            </w:r>
            <w:r>
              <w:t xml:space="preserve"> </w:t>
            </w:r>
            <w:r>
              <w:rPr>
                <w:rFonts w:cs="Arial"/>
              </w:rPr>
              <w:t>Lead Technologist</w:t>
            </w:r>
            <w:r>
              <w:rPr>
                <w:snapToGrid w:val="0"/>
              </w:rPr>
              <w:t xml:space="preserve"> </w:t>
            </w:r>
            <w:r w:rsidR="00915BD8">
              <w:rPr>
                <w:snapToGrid w:val="0"/>
              </w:rPr>
              <w:t>or</w:t>
            </w:r>
            <w:r>
              <w:rPr>
                <w:snapToGrid w:val="0"/>
              </w:rPr>
              <w:t xml:space="preserve"> above is authorized to issue antigen positive and untyped red blood cells.</w:t>
            </w:r>
          </w:p>
        </w:tc>
      </w:tr>
      <w:tr w:rsidR="002A21AE" w14:paraId="443193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F8C1BDE" w14:textId="77777777" w:rsidR="002A21AE" w:rsidRDefault="002A21AE">
            <w:pPr>
              <w:pStyle w:val="TableTextNumbers"/>
            </w:pPr>
            <w:r>
              <w:t>Select a patient.</w:t>
            </w:r>
          </w:p>
        </w:tc>
        <w:tc>
          <w:tcPr>
            <w:tcW w:w="6120" w:type="dxa"/>
            <w:tcBorders>
              <w:top w:val="single" w:sz="6" w:space="0" w:color="auto"/>
              <w:left w:val="single" w:sz="6" w:space="0" w:color="auto"/>
              <w:bottom w:val="single" w:sz="6" w:space="0" w:color="auto"/>
              <w:right w:val="single" w:sz="6" w:space="0" w:color="auto"/>
            </w:tcBorders>
          </w:tcPr>
          <w:p w14:paraId="0D15D49D" w14:textId="77777777" w:rsidR="002A21AE" w:rsidRDefault="002A21AE">
            <w:pPr>
              <w:pStyle w:val="TableTextBullet"/>
            </w:pPr>
            <w:r>
              <w:t>Displays patient data, including entries that meet the entered patient criteria, and allows the user to select the correct patient.</w:t>
            </w:r>
          </w:p>
          <w:p w14:paraId="198A5105" w14:textId="77777777" w:rsidR="002A21AE" w:rsidRDefault="002A21AE">
            <w:pPr>
              <w:pStyle w:val="TableText"/>
            </w:pPr>
          </w:p>
          <w:p w14:paraId="6A52F951" w14:textId="5F3F6BB0" w:rsidR="002A21AE" w:rsidRDefault="002A21AE">
            <w:pPr>
              <w:pStyle w:val="TableText"/>
              <w:rPr>
                <w:b/>
                <w:bCs/>
                <w:szCs w:val="18"/>
              </w:rPr>
            </w:pPr>
            <w:r>
              <w:rPr>
                <w:b/>
                <w:bCs/>
                <w:szCs w:val="18"/>
              </w:rPr>
              <w:t>NOTES</w:t>
            </w:r>
          </w:p>
          <w:p w14:paraId="0C3383BA" w14:textId="77777777" w:rsidR="002A21AE" w:rsidRDefault="002A21AE">
            <w:pPr>
              <w:pStyle w:val="NotesText"/>
            </w:pPr>
          </w:p>
          <w:p w14:paraId="2F512E3E" w14:textId="3E665BA1"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590097">
              <w:fldChar w:fldCharType="begin"/>
            </w:r>
            <w:r w:rsidR="00590097">
              <w:instrText xml:space="preserve"> REF _Ref126486291 \h </w:instrText>
            </w:r>
            <w:r w:rsidR="00590097">
              <w:fldChar w:fldCharType="separate"/>
            </w:r>
            <w:r w:rsidR="004353ED">
              <w:t xml:space="preserve">Table </w:t>
            </w:r>
            <w:r w:rsidR="004353ED">
              <w:rPr>
                <w:noProof/>
              </w:rPr>
              <w:t>7</w:t>
            </w:r>
            <w:r w:rsidR="00590097">
              <w:fldChar w:fldCharType="end"/>
            </w:r>
            <w:r w:rsidR="002A21AE">
              <w:t xml:space="preserve"> for alerts that may occur during this option.</w:t>
            </w:r>
          </w:p>
          <w:p w14:paraId="5867D8CA" w14:textId="77777777" w:rsidR="006E1BB2" w:rsidRDefault="006E1BB2">
            <w:pPr>
              <w:pStyle w:val="TableText"/>
              <w:ind w:left="360"/>
            </w:pPr>
          </w:p>
          <w:p w14:paraId="22F4962D" w14:textId="77777777" w:rsidR="006E1BB2" w:rsidRDefault="006E1BB2" w:rsidP="006E1BB2">
            <w:pPr>
              <w:pStyle w:val="TableText"/>
              <w:ind w:left="720"/>
            </w:pPr>
            <w:r>
              <w:t xml:space="preserve">Not all possible error messages may display when multiple messages may apply to the unit/patient. Correction of any one of the patient/unit problems and </w:t>
            </w:r>
            <w:r w:rsidR="008C7599">
              <w:t xml:space="preserve">subsequent re-attempts </w:t>
            </w:r>
            <w:r>
              <w:t>to issue the unit to the patient will display another of the possible messages until all</w:t>
            </w:r>
            <w:r w:rsidR="008C7599">
              <w:t xml:space="preserve"> errors</w:t>
            </w:r>
            <w:r>
              <w:t xml:space="preserve"> are corrected. </w:t>
            </w:r>
            <w:r w:rsidRPr="006E1BB2">
              <w:rPr>
                <w:vanish/>
              </w:rPr>
              <w:t>DR 4808</w:t>
            </w:r>
          </w:p>
          <w:p w14:paraId="1C31F931" w14:textId="77777777" w:rsidR="006E1BB2" w:rsidRDefault="006E1BB2" w:rsidP="006E1BB2">
            <w:pPr>
              <w:pStyle w:val="TableText"/>
              <w:ind w:left="720"/>
            </w:pPr>
          </w:p>
        </w:tc>
      </w:tr>
      <w:tr w:rsidR="002A21AE" w14:paraId="250028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3CE754E0" w14:textId="77777777" w:rsidR="002A21AE" w:rsidRDefault="002A21AE">
            <w:pPr>
              <w:pStyle w:val="TableTextNumbers"/>
            </w:pPr>
            <w:r>
              <w:t xml:space="preserve">Click </w:t>
            </w:r>
            <w:r>
              <w:rPr>
                <w:b/>
              </w:rPr>
              <w:t>OK</w:t>
            </w:r>
            <w:r>
              <w:t xml:space="preserve"> to verify that the correct patient was selected.</w:t>
            </w:r>
          </w:p>
        </w:tc>
        <w:tc>
          <w:tcPr>
            <w:tcW w:w="6120" w:type="dxa"/>
            <w:tcBorders>
              <w:top w:val="single" w:sz="6" w:space="0" w:color="auto"/>
              <w:left w:val="single" w:sz="6" w:space="0" w:color="auto"/>
              <w:bottom w:val="single" w:sz="6" w:space="0" w:color="auto"/>
              <w:right w:val="single" w:sz="6" w:space="0" w:color="auto"/>
            </w:tcBorders>
          </w:tcPr>
          <w:p w14:paraId="11AFEC12" w14:textId="77777777" w:rsidR="002A21AE" w:rsidRDefault="002A21AE" w:rsidP="003B4820">
            <w:pPr>
              <w:pStyle w:val="TableTextBullet"/>
            </w:pPr>
            <w:r>
              <w:t>Displays fields for the user to enter data for the issue transaction.</w:t>
            </w:r>
          </w:p>
        </w:tc>
      </w:tr>
      <w:tr w:rsidR="002A21AE" w14:paraId="752A19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120E9AA7" w14:textId="30EB223A" w:rsidR="002A21AE" w:rsidRDefault="002A21AE">
            <w:pPr>
              <w:pStyle w:val="TableTextNumbers"/>
            </w:pPr>
            <w:r>
              <w:lastRenderedPageBreak/>
              <w:t xml:space="preserve">Enter the required </w:t>
            </w:r>
            <w:r w:rsidR="003B4820">
              <w:t>data in the transporter name, issue-to location, and date and time fields</w:t>
            </w:r>
            <w:r w:rsidR="00A04663">
              <w:t xml:space="preserve"> </w:t>
            </w:r>
            <w:r w:rsidR="003767D2">
              <w:t>(</w:t>
            </w:r>
            <w:r w:rsidR="003767D2">
              <w:fldChar w:fldCharType="begin"/>
            </w:r>
            <w:r w:rsidR="003767D2">
              <w:instrText xml:space="preserve"> REF _Ref127093318 \h </w:instrText>
            </w:r>
            <w:r w:rsidR="003767D2">
              <w:fldChar w:fldCharType="separate"/>
            </w:r>
            <w:r w:rsidR="004353ED">
              <w:t xml:space="preserve">Figure </w:t>
            </w:r>
            <w:r w:rsidR="004353ED">
              <w:rPr>
                <w:noProof/>
              </w:rPr>
              <w:t>100</w:t>
            </w:r>
            <w:r w:rsidR="003767D2">
              <w:fldChar w:fldCharType="end"/>
            </w:r>
            <w:r w:rsidR="003767D2">
              <w:t>)</w:t>
            </w:r>
            <w:r>
              <w:t>.</w:t>
            </w:r>
          </w:p>
          <w:p w14:paraId="554FB728" w14:textId="77777777" w:rsidR="003B4820" w:rsidRDefault="003B4820" w:rsidP="003B4820">
            <w:pPr>
              <w:pStyle w:val="TableTextNumbersContinued"/>
            </w:pPr>
          </w:p>
          <w:p w14:paraId="6E32661A" w14:textId="77777777" w:rsidR="003B4820" w:rsidRPr="003B4820" w:rsidRDefault="003B4820" w:rsidP="003B4820">
            <w:pPr>
              <w:pStyle w:val="TableTextNumbersContinued"/>
            </w:pPr>
            <w:r>
              <w:t xml:space="preserve">Click </w:t>
            </w:r>
            <w:r>
              <w:rPr>
                <w:b/>
              </w:rPr>
              <w:t>OK</w:t>
            </w:r>
            <w:r w:rsidRPr="003B4820">
              <w:t>.</w:t>
            </w:r>
          </w:p>
        </w:tc>
        <w:tc>
          <w:tcPr>
            <w:tcW w:w="6120" w:type="dxa"/>
            <w:tcBorders>
              <w:top w:val="single" w:sz="6" w:space="0" w:color="auto"/>
              <w:left w:val="single" w:sz="6" w:space="0" w:color="auto"/>
              <w:bottom w:val="single" w:sz="6" w:space="0" w:color="auto"/>
              <w:right w:val="single" w:sz="6" w:space="0" w:color="auto"/>
            </w:tcBorders>
          </w:tcPr>
          <w:p w14:paraId="1E83D4DB" w14:textId="77777777" w:rsidR="003B4820" w:rsidRDefault="003B4820" w:rsidP="003B4820">
            <w:pPr>
              <w:pStyle w:val="TableText"/>
            </w:pPr>
          </w:p>
          <w:p w14:paraId="42898E21" w14:textId="1F132418" w:rsidR="003B4820" w:rsidRDefault="003B4820" w:rsidP="003B4820">
            <w:pPr>
              <w:pStyle w:val="TableText"/>
              <w:rPr>
                <w:b/>
                <w:bCs/>
                <w:szCs w:val="18"/>
              </w:rPr>
            </w:pPr>
            <w:r>
              <w:rPr>
                <w:b/>
                <w:bCs/>
                <w:szCs w:val="18"/>
              </w:rPr>
              <w:t>NOTES</w:t>
            </w:r>
          </w:p>
          <w:p w14:paraId="321E6726" w14:textId="77777777" w:rsidR="003B4820" w:rsidRDefault="003B4820" w:rsidP="003B4820">
            <w:pPr>
              <w:pStyle w:val="NotesText"/>
            </w:pPr>
          </w:p>
          <w:p w14:paraId="5367EA81" w14:textId="77777777" w:rsidR="003B4820" w:rsidRDefault="003B4820" w:rsidP="003B4820">
            <w:pPr>
              <w:pStyle w:val="NotesText"/>
            </w:pPr>
            <w:r>
              <w:rPr>
                <w:rFonts w:cs="Arial"/>
                <w:vanish/>
              </w:rPr>
              <w:t xml:space="preserve">BR_73.01 </w:t>
            </w:r>
            <w:r>
              <w:t>The user may edit the transfusion-ordering clinician, which does not change the blood-ordering clinician.</w:t>
            </w:r>
          </w:p>
          <w:p w14:paraId="549C3E90" w14:textId="77777777" w:rsidR="003B4820" w:rsidRDefault="003B4820" w:rsidP="003B4820">
            <w:pPr>
              <w:pStyle w:val="NotesText"/>
            </w:pPr>
          </w:p>
          <w:p w14:paraId="09190324" w14:textId="77777777" w:rsidR="003B4820" w:rsidRDefault="003B4820" w:rsidP="003B4820">
            <w:pPr>
              <w:pStyle w:val="NotesText"/>
            </w:pPr>
            <w:r>
              <w:rPr>
                <w:rFonts w:cs="Arial"/>
                <w:vanish/>
              </w:rPr>
              <w:t xml:space="preserve">BR_73.18 </w:t>
            </w:r>
            <w:r>
              <w:t xml:space="preserve">When the user updates the transfusion-ordering-clinician field, VistALink queries </w:t>
            </w:r>
            <w:r w:rsidRPr="00CA0045">
              <w:rPr>
                <w:bCs/>
              </w:rPr>
              <w:t>VistA</w:t>
            </w:r>
            <w:r>
              <w:t xml:space="preserve"> for valid providers only. The user may narrow the search by entering the provider’s name.</w:t>
            </w:r>
          </w:p>
          <w:p w14:paraId="1F9A33FA" w14:textId="77777777" w:rsidR="003B4820" w:rsidRDefault="003B4820" w:rsidP="003B4820">
            <w:pPr>
              <w:pStyle w:val="NotesText"/>
            </w:pPr>
          </w:p>
          <w:p w14:paraId="79C8C4A0" w14:textId="77777777" w:rsidR="003B4820" w:rsidRDefault="003B4820" w:rsidP="003B4820">
            <w:pPr>
              <w:pStyle w:val="NotesText"/>
            </w:pPr>
            <w:r>
              <w:rPr>
                <w:rFonts w:cs="Arial"/>
                <w:vanish/>
              </w:rPr>
              <w:t xml:space="preserve">BR_73.08 </w:t>
            </w:r>
            <w:r>
              <w:t>The user may edit the issue date and time (default: current date and time) to allow retrospective data entry; no future issue date or time is allowed. When the issue time is incorrect, the user must undo the issue and reissue the unit with the correct date and time.</w:t>
            </w:r>
          </w:p>
          <w:p w14:paraId="262C20EB" w14:textId="77777777" w:rsidR="003B4820" w:rsidRDefault="003B4820" w:rsidP="003B4820">
            <w:pPr>
              <w:pStyle w:val="NotesText"/>
            </w:pPr>
          </w:p>
          <w:p w14:paraId="05F79557" w14:textId="6AB187B5" w:rsidR="003B4820" w:rsidRDefault="003B4820" w:rsidP="003B4820">
            <w:pPr>
              <w:pStyle w:val="NotesText"/>
            </w:pPr>
            <w:r>
              <w:rPr>
                <w:vanish/>
                <w:szCs w:val="18"/>
              </w:rPr>
              <w:t xml:space="preserve">BR_73.09, BR_30.02 </w:t>
            </w:r>
            <w:r>
              <w:t>A remote storage indicator is optional (default: No).</w:t>
            </w:r>
            <w:r w:rsidR="006549B7">
              <w:t xml:space="preserve"> </w:t>
            </w:r>
            <w:r>
              <w:t>The transporter name field allows free text and does not display a selection list. The issue-to location lists current hospital locations provided by VistALink, including the inpatient or outpatient location indicator (</w:t>
            </w:r>
            <w:r w:rsidRPr="00CA0045">
              <w:rPr>
                <w:bCs/>
              </w:rPr>
              <w:t>VistA</w:t>
            </w:r>
            <w:r>
              <w:t xml:space="preserve"> refers to this as a “patient class”). This is related to billing reimbursement and is not an enabled field in the issue option.</w:t>
            </w:r>
          </w:p>
          <w:p w14:paraId="0628E667" w14:textId="77777777" w:rsidR="00102607" w:rsidRDefault="00102607" w:rsidP="003B4820">
            <w:pPr>
              <w:pStyle w:val="NotesText"/>
            </w:pPr>
          </w:p>
          <w:p w14:paraId="6A1BAEF1" w14:textId="77777777" w:rsidR="00102607" w:rsidRDefault="00102607" w:rsidP="003B4820">
            <w:pPr>
              <w:pStyle w:val="NotesText"/>
            </w:pPr>
            <w:r>
              <w:t xml:space="preserve">A user could return the unit from issue and reissue it with a hospital location when VistALink is up again. </w:t>
            </w:r>
            <w:r w:rsidRPr="00102607">
              <w:rPr>
                <w:vanish/>
              </w:rPr>
              <w:t>DR 5073</w:t>
            </w:r>
          </w:p>
          <w:p w14:paraId="4313563A" w14:textId="77777777" w:rsidR="003B4820" w:rsidRDefault="003B4820" w:rsidP="003B4820">
            <w:pPr>
              <w:pStyle w:val="NotesText"/>
              <w:rPr>
                <w:rFonts w:cs="Arial"/>
              </w:rPr>
            </w:pPr>
          </w:p>
          <w:p w14:paraId="57DFC084" w14:textId="77777777" w:rsidR="003B4820" w:rsidRDefault="003B4820" w:rsidP="003B4820">
            <w:pPr>
              <w:pStyle w:val="NotesText"/>
            </w:pPr>
            <w:r>
              <w:rPr>
                <w:rFonts w:cs="Arial"/>
                <w:vanish/>
              </w:rPr>
              <w:t xml:space="preserve">BR_73.34 </w:t>
            </w:r>
            <w:r>
              <w:t>When a remote storage location indicator is checked, the user may select from a list of previously entered locations or enter a new, free-text location. Each location entered and saved is available for future selection as a remote location.</w:t>
            </w:r>
          </w:p>
          <w:p w14:paraId="3DE972CD" w14:textId="77777777" w:rsidR="00D43534" w:rsidRDefault="00D43534" w:rsidP="003B4820">
            <w:pPr>
              <w:pStyle w:val="NotesText"/>
            </w:pPr>
          </w:p>
          <w:p w14:paraId="3FE5FD10" w14:textId="77777777" w:rsidR="00D43534" w:rsidRDefault="00D43534" w:rsidP="003B4820">
            <w:pPr>
              <w:pStyle w:val="NotesText"/>
            </w:pPr>
            <w:r w:rsidRPr="00D43534">
              <w:rPr>
                <w:rFonts w:cs="Arial"/>
                <w:vanish/>
                <w:szCs w:val="18"/>
              </w:rPr>
              <w:t xml:space="preserve">BR_73.38 </w:t>
            </w:r>
            <w:r>
              <w:rPr>
                <w:rFonts w:cs="Arial"/>
                <w:szCs w:val="18"/>
              </w:rPr>
              <w:t>When the component order is for PLATE</w:t>
            </w:r>
            <w:r w:rsidR="00EF6C4B">
              <w:rPr>
                <w:rFonts w:cs="Arial"/>
                <w:szCs w:val="18"/>
              </w:rPr>
              <w:t>LETS or OTHER, the units with = &gt;</w:t>
            </w:r>
            <w:r>
              <w:rPr>
                <w:rFonts w:cs="Arial"/>
                <w:szCs w:val="18"/>
              </w:rPr>
              <w:t xml:space="preserve"> 2 mL of RBC contamination must be presented </w:t>
            </w:r>
            <w:r w:rsidRPr="005722FA">
              <w:rPr>
                <w:rFonts w:cs="Arial"/>
                <w:szCs w:val="18"/>
              </w:rPr>
              <w:t>and checke</w:t>
            </w:r>
            <w:r>
              <w:rPr>
                <w:rFonts w:cs="Arial"/>
                <w:szCs w:val="18"/>
              </w:rPr>
              <w:t>d for compatibility and will display before products with less than (&lt; ) 2 mL of RBC contamination. The system will present all available units when the Product Type is PLATELETS or OTHER non-plasma components that have &lt; 2 mL RBC contamination.</w:t>
            </w:r>
          </w:p>
        </w:tc>
      </w:tr>
      <w:tr w:rsidR="002A21AE" w14:paraId="6247BE4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6B1EDA97" w14:textId="5B0AA9FD" w:rsidR="002A21AE" w:rsidRDefault="002A21AE" w:rsidP="003B7F11">
            <w:pPr>
              <w:pStyle w:val="TableTextNumbers"/>
            </w:pPr>
            <w:r>
              <w:t xml:space="preserve">Scan </w:t>
            </w:r>
            <w:r w:rsidR="00323155">
              <w:t xml:space="preserve">the unit ID and product code, </w:t>
            </w:r>
            <w:r>
              <w:t>or click one or more check boxes to select units for issue to the selected patient</w:t>
            </w:r>
            <w:r w:rsidR="003767D2">
              <w:t xml:space="preserve"> (</w:t>
            </w:r>
            <w:r w:rsidR="00AA68B2">
              <w:fldChar w:fldCharType="begin"/>
            </w:r>
            <w:r w:rsidR="00AA68B2">
              <w:instrText xml:space="preserve"> REF _Ref127093568 \h </w:instrText>
            </w:r>
            <w:r w:rsidR="00AA68B2">
              <w:fldChar w:fldCharType="separate"/>
            </w:r>
            <w:r w:rsidR="004353ED">
              <w:t xml:space="preserve">Figure </w:t>
            </w:r>
            <w:r w:rsidR="004353ED">
              <w:rPr>
                <w:noProof/>
              </w:rPr>
              <w:t>101</w:t>
            </w:r>
            <w:r w:rsidR="00AA68B2">
              <w:fldChar w:fldCharType="end"/>
            </w:r>
            <w:r w:rsidR="003767D2">
              <w:t>)</w:t>
            </w:r>
            <w:r>
              <w:t>.</w:t>
            </w:r>
          </w:p>
        </w:tc>
        <w:tc>
          <w:tcPr>
            <w:tcW w:w="6120" w:type="dxa"/>
            <w:tcBorders>
              <w:top w:val="single" w:sz="6" w:space="0" w:color="auto"/>
              <w:left w:val="single" w:sz="6" w:space="0" w:color="auto"/>
              <w:bottom w:val="single" w:sz="6" w:space="0" w:color="auto"/>
              <w:right w:val="single" w:sz="6" w:space="0" w:color="auto"/>
            </w:tcBorders>
          </w:tcPr>
          <w:p w14:paraId="19B4CB45" w14:textId="77777777" w:rsidR="005D4DA6" w:rsidRDefault="005D4DA6" w:rsidP="005D4DA6">
            <w:pPr>
              <w:pStyle w:val="TableTextBullet"/>
            </w:pPr>
            <w:r>
              <w:t xml:space="preserve">Displays the option to select units from the Assigned Units or Emergency Issue Units tabs. </w:t>
            </w:r>
          </w:p>
          <w:p w14:paraId="47E6C5A5" w14:textId="77777777" w:rsidR="002A21AE" w:rsidRDefault="002A21AE">
            <w:pPr>
              <w:pStyle w:val="TableTextBullet"/>
              <w:tabs>
                <w:tab w:val="num" w:pos="360"/>
              </w:tabs>
            </w:pPr>
            <w:r>
              <w:t xml:space="preserve">Lists the selected units, allows the user to select additional units or deselect units, and prompts the user to indicate that the selections are complete. </w:t>
            </w:r>
          </w:p>
          <w:p w14:paraId="7B3931E4" w14:textId="77777777" w:rsidR="006709A3" w:rsidRDefault="006709A3" w:rsidP="006709A3">
            <w:pPr>
              <w:pStyle w:val="TableTextBullet"/>
              <w:tabs>
                <w:tab w:val="num" w:pos="360"/>
              </w:tabs>
            </w:pPr>
            <w:r>
              <w:t>Allows the user to select the unsatisfactory unit and edit its issue selections.</w:t>
            </w:r>
          </w:p>
          <w:p w14:paraId="5C3BE7B2" w14:textId="77777777" w:rsidR="002A21AE" w:rsidRDefault="002A21AE">
            <w:pPr>
              <w:pStyle w:val="TableText"/>
            </w:pPr>
          </w:p>
          <w:p w14:paraId="013478DA" w14:textId="3C5C6870" w:rsidR="002A21AE" w:rsidRDefault="002A21AE">
            <w:pPr>
              <w:pStyle w:val="TableText"/>
              <w:rPr>
                <w:b/>
                <w:bCs/>
                <w:szCs w:val="18"/>
              </w:rPr>
            </w:pPr>
            <w:r>
              <w:rPr>
                <w:b/>
                <w:bCs/>
                <w:szCs w:val="18"/>
              </w:rPr>
              <w:t>NOTES</w:t>
            </w:r>
          </w:p>
          <w:p w14:paraId="550CE6DC" w14:textId="77777777" w:rsidR="002A21AE" w:rsidRDefault="002A21AE">
            <w:pPr>
              <w:pStyle w:val="NotesText"/>
            </w:pPr>
          </w:p>
          <w:p w14:paraId="6B017171" w14:textId="3E6F5D78"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t xml:space="preserve"> </w:t>
            </w:r>
            <w:r w:rsidR="00590097">
              <w:fldChar w:fldCharType="begin"/>
            </w:r>
            <w:r w:rsidR="00590097">
              <w:instrText xml:space="preserve"> REF _Ref126486291 \h </w:instrText>
            </w:r>
            <w:r w:rsidR="00590097">
              <w:fldChar w:fldCharType="separate"/>
            </w:r>
            <w:r w:rsidR="004353ED">
              <w:t xml:space="preserve">Table </w:t>
            </w:r>
            <w:r w:rsidR="004353ED">
              <w:rPr>
                <w:noProof/>
              </w:rPr>
              <w:t>7</w:t>
            </w:r>
            <w:r w:rsidR="00590097">
              <w:fldChar w:fldCharType="end"/>
            </w:r>
            <w:r w:rsidR="002A21AE">
              <w:t xml:space="preserve"> for alerts that may occur during this option.</w:t>
            </w:r>
          </w:p>
          <w:p w14:paraId="3169FA75" w14:textId="77777777" w:rsidR="00336F17" w:rsidRDefault="00336F17" w:rsidP="00336F17">
            <w:pPr>
              <w:pStyle w:val="NotesText"/>
            </w:pPr>
          </w:p>
          <w:p w14:paraId="49BA1E77" w14:textId="77777777" w:rsidR="00336F17" w:rsidRPr="004212C7" w:rsidRDefault="00336F17" w:rsidP="00336F17">
            <w:pPr>
              <w:pStyle w:val="NotesText"/>
              <w:rPr>
                <w:szCs w:val="18"/>
              </w:rPr>
            </w:pPr>
            <w:r w:rsidRPr="004212C7">
              <w:rPr>
                <w:vanish/>
                <w:szCs w:val="18"/>
              </w:rPr>
              <w:t xml:space="preserve">BR_73.35 </w:t>
            </w:r>
            <w:r w:rsidRPr="004212C7">
              <w:rPr>
                <w:szCs w:val="18"/>
              </w:rPr>
              <w:t>When the user attempts to issue a unit with an inconclusive crossmatch result, VBECS warns the user that the repeat crossmatch is required before the unit can be issued.</w:t>
            </w:r>
          </w:p>
          <w:p w14:paraId="042F8B68" w14:textId="77777777" w:rsidR="00336F17" w:rsidRPr="004212C7" w:rsidRDefault="00336F17" w:rsidP="00336F17">
            <w:pPr>
              <w:pStyle w:val="NotesText"/>
              <w:rPr>
                <w:szCs w:val="18"/>
              </w:rPr>
            </w:pPr>
          </w:p>
          <w:p w14:paraId="2F03D5E5" w14:textId="77777777" w:rsidR="00336F17" w:rsidRPr="004212C7" w:rsidRDefault="00336F17" w:rsidP="00336F17">
            <w:pPr>
              <w:pStyle w:val="NotesText"/>
              <w:rPr>
                <w:szCs w:val="18"/>
              </w:rPr>
            </w:pPr>
            <w:r w:rsidRPr="004212C7">
              <w:rPr>
                <w:vanish/>
                <w:szCs w:val="18"/>
              </w:rPr>
              <w:lastRenderedPageBreak/>
              <w:t xml:space="preserve">BR_73.13 </w:t>
            </w:r>
            <w:r w:rsidRPr="004212C7">
              <w:rPr>
                <w:szCs w:val="18"/>
              </w:rPr>
              <w:t>When the user attempts to issue a unit that is not assigned or crossmatched to the patient, VBECS warns the user that the unit is not assigned to the patient and allows the user to enter another unit number.</w:t>
            </w:r>
          </w:p>
          <w:p w14:paraId="4131861D" w14:textId="77777777" w:rsidR="00336F17" w:rsidRPr="004212C7" w:rsidRDefault="00336F17" w:rsidP="00336F17">
            <w:pPr>
              <w:pStyle w:val="NotesText"/>
              <w:rPr>
                <w:szCs w:val="18"/>
              </w:rPr>
            </w:pPr>
          </w:p>
          <w:p w14:paraId="23F2CACC" w14:textId="3CF4E913" w:rsidR="004C49BF" w:rsidRPr="004C49BF" w:rsidRDefault="004C49BF" w:rsidP="004C49BF">
            <w:pPr>
              <w:pStyle w:val="NotesText"/>
              <w:rPr>
                <w:szCs w:val="18"/>
              </w:rPr>
            </w:pPr>
            <w:r w:rsidRPr="004C49BF">
              <w:rPr>
                <w:vanish/>
                <w:szCs w:val="18"/>
              </w:rPr>
              <w:t xml:space="preserve">BR_73.26 </w:t>
            </w:r>
            <w:r w:rsidRPr="004C49BF">
              <w:rPr>
                <w:szCs w:val="18"/>
              </w:rPr>
              <w:t xml:space="preserve">When the current division is configured as "full service" in UC_09 Maintain VAMC Division, ABO confirmation is required for all blood units contained in the </w:t>
            </w:r>
            <w:r w:rsidRPr="008A3C45">
              <w:rPr>
                <w:szCs w:val="18"/>
              </w:rPr>
              <w:t xml:space="preserve">WB or RBC or </w:t>
            </w:r>
            <w:r w:rsidRPr="004C49BF">
              <w:rPr>
                <w:szCs w:val="18"/>
              </w:rPr>
              <w:t>PLT or OTHER units</w:t>
            </w:r>
            <w:r w:rsidR="00276485">
              <w:rPr>
                <w:szCs w:val="18"/>
              </w:rPr>
              <w:t xml:space="preserve"> with</w:t>
            </w:r>
            <w:r w:rsidRPr="004C49BF">
              <w:rPr>
                <w:szCs w:val="18"/>
              </w:rPr>
              <w:t xml:space="preserve"> = </w:t>
            </w:r>
            <w:r w:rsidR="00276485">
              <w:rPr>
                <w:szCs w:val="18"/>
              </w:rPr>
              <w:t xml:space="preserve">&gt; </w:t>
            </w:r>
            <w:r w:rsidRPr="004C49BF">
              <w:rPr>
                <w:szCs w:val="18"/>
              </w:rPr>
              <w:t>2 mL RBC contamination When performed, ABO confirmation must match unit ABO at log-in.</w:t>
            </w:r>
          </w:p>
          <w:p w14:paraId="345AB9CB" w14:textId="77777777" w:rsidR="004C49BF" w:rsidRPr="004C49BF" w:rsidRDefault="004C49BF" w:rsidP="004C49BF">
            <w:pPr>
              <w:pStyle w:val="NotesText"/>
              <w:rPr>
                <w:szCs w:val="18"/>
              </w:rPr>
            </w:pPr>
          </w:p>
          <w:p w14:paraId="179677BE" w14:textId="77777777" w:rsidR="004C49BF" w:rsidRPr="004C49BF" w:rsidRDefault="004C49BF" w:rsidP="004C49BF">
            <w:pPr>
              <w:pStyle w:val="NotesText"/>
              <w:rPr>
                <w:szCs w:val="18"/>
              </w:rPr>
            </w:pPr>
            <w:r w:rsidRPr="004C49BF">
              <w:rPr>
                <w:vanish/>
                <w:szCs w:val="18"/>
              </w:rPr>
              <w:t xml:space="preserve">BR_73.26 </w:t>
            </w:r>
            <w:r w:rsidRPr="004C49BF">
              <w:rPr>
                <w:szCs w:val="18"/>
              </w:rPr>
              <w:t xml:space="preserve">The unit must have a satisfactory confirmation result before it is considered available for issue and the Blood Transfusion Record Form and Unit Caution Tag may be generated. </w:t>
            </w:r>
          </w:p>
          <w:p w14:paraId="027C6315" w14:textId="77777777" w:rsidR="004C49BF" w:rsidRDefault="004C49BF" w:rsidP="004C49BF">
            <w:pPr>
              <w:pStyle w:val="TableText"/>
            </w:pPr>
          </w:p>
          <w:p w14:paraId="78F1D2CD" w14:textId="77777777" w:rsidR="002A21AE" w:rsidRPr="004212C7" w:rsidRDefault="004C49BF" w:rsidP="004C49BF">
            <w:pPr>
              <w:pStyle w:val="NotesText"/>
              <w:rPr>
                <w:szCs w:val="18"/>
              </w:rPr>
            </w:pPr>
            <w:r w:rsidRPr="004C49BF">
              <w:rPr>
                <w:vanish/>
              </w:rPr>
              <w:t xml:space="preserve">BR_73.26 </w:t>
            </w:r>
            <w:r>
              <w:t>Rh confirmation results are required on all blood units from the “WHOLE BLOOD”, “RED BLOOD CELLS” component classes or OTHER unit</w:t>
            </w:r>
            <w:r w:rsidR="00276485">
              <w:t>s with = &gt;</w:t>
            </w:r>
            <w:r>
              <w:t xml:space="preserve"> 2 mL RBC contamination labeled as Rh negative during shipment receipt. When performed, Rh confirmation must match Rh at log-in.</w:t>
            </w:r>
          </w:p>
          <w:p w14:paraId="7030E8D3" w14:textId="77777777" w:rsidR="00AE062E" w:rsidRPr="004212C7" w:rsidRDefault="002A21AE" w:rsidP="00102A03">
            <w:pPr>
              <w:pStyle w:val="NotesText"/>
              <w:rPr>
                <w:szCs w:val="18"/>
              </w:rPr>
            </w:pPr>
            <w:r w:rsidRPr="004212C7">
              <w:rPr>
                <w:rFonts w:cs="Arial"/>
                <w:vanish/>
                <w:szCs w:val="18"/>
              </w:rPr>
              <w:t xml:space="preserve">BR_3.42 </w:t>
            </w:r>
            <w:r w:rsidRPr="004212C7">
              <w:rPr>
                <w:szCs w:val="18"/>
              </w:rPr>
              <w:t>When a current specimen is required, VBECS compares the current and previous ABO/Rh results. It does not evaluate results marked “Test Result Invalidated.”</w:t>
            </w:r>
          </w:p>
          <w:p w14:paraId="1F60DC38" w14:textId="77777777" w:rsidR="00336F17" w:rsidRPr="004212C7" w:rsidRDefault="00336F17" w:rsidP="00336F17">
            <w:pPr>
              <w:pStyle w:val="NotesText"/>
              <w:rPr>
                <w:szCs w:val="18"/>
              </w:rPr>
            </w:pPr>
          </w:p>
          <w:p w14:paraId="61ED03AB" w14:textId="6817B34C" w:rsidR="00AB3D10" w:rsidRPr="004212C7" w:rsidRDefault="004212C7" w:rsidP="00336F17">
            <w:pPr>
              <w:pStyle w:val="NotesText"/>
              <w:rPr>
                <w:szCs w:val="18"/>
              </w:rPr>
            </w:pPr>
            <w:r w:rsidRPr="004212C7">
              <w:rPr>
                <w:vanish/>
                <w:szCs w:val="18"/>
              </w:rPr>
              <w:t>BR_73.23</w:t>
            </w:r>
            <w:r w:rsidRPr="004212C7">
              <w:rPr>
                <w:szCs w:val="18"/>
              </w:rPr>
              <w:t>When issuing blood components f</w:t>
            </w:r>
            <w:r w:rsidR="00276485">
              <w:rPr>
                <w:szCs w:val="18"/>
              </w:rPr>
              <w:t xml:space="preserve">rom the Any unit that </w:t>
            </w:r>
            <w:r w:rsidR="006549B7">
              <w:rPr>
                <w:szCs w:val="18"/>
              </w:rPr>
              <w:t>contains &gt;</w:t>
            </w:r>
            <w:r w:rsidR="00276485">
              <w:rPr>
                <w:szCs w:val="18"/>
              </w:rPr>
              <w:t xml:space="preserve"> = </w:t>
            </w:r>
            <w:r w:rsidRPr="004212C7">
              <w:rPr>
                <w:szCs w:val="18"/>
              </w:rPr>
              <w:t>2 mL of RBC contamination, the associated specimen’s TAS must be completed and the unit status must be crossmatched to the selected patient to routine issue. Optionally, the unit may be emergency issued.</w:t>
            </w:r>
          </w:p>
          <w:p w14:paraId="5CB2A138" w14:textId="77777777" w:rsidR="004212C7" w:rsidRPr="004212C7" w:rsidRDefault="004212C7" w:rsidP="00336F17">
            <w:pPr>
              <w:pStyle w:val="NotesText"/>
              <w:rPr>
                <w:szCs w:val="18"/>
              </w:rPr>
            </w:pPr>
          </w:p>
          <w:p w14:paraId="4BDFC2FA" w14:textId="77777777" w:rsidR="00AB3D10" w:rsidRPr="003A05F7" w:rsidRDefault="00AB3D10" w:rsidP="003A05F7">
            <w:pPr>
              <w:pStyle w:val="NotesText"/>
              <w:rPr>
                <w:sz w:val="16"/>
                <w:szCs w:val="16"/>
              </w:rPr>
            </w:pPr>
            <w:r w:rsidRPr="004212C7">
              <w:rPr>
                <w:szCs w:val="18"/>
              </w:rPr>
              <w:t xml:space="preserve">Whole blood is not allowed for </w:t>
            </w:r>
            <w:r w:rsidR="008C7599" w:rsidRPr="004212C7">
              <w:rPr>
                <w:szCs w:val="18"/>
              </w:rPr>
              <w:t xml:space="preserve">the </w:t>
            </w:r>
            <w:r w:rsidR="00FB3CC8" w:rsidRPr="004212C7">
              <w:rPr>
                <w:szCs w:val="18"/>
              </w:rPr>
              <w:t>emergency issue process. C</w:t>
            </w:r>
            <w:r w:rsidRPr="004212C7">
              <w:rPr>
                <w:szCs w:val="18"/>
              </w:rPr>
              <w:t xml:space="preserve">ompleted Type and Screen and compatible crossmatch </w:t>
            </w:r>
            <w:r w:rsidR="00FB3CC8" w:rsidRPr="004212C7">
              <w:rPr>
                <w:szCs w:val="18"/>
              </w:rPr>
              <w:t>tests are</w:t>
            </w:r>
            <w:r w:rsidRPr="004212C7">
              <w:rPr>
                <w:szCs w:val="18"/>
              </w:rPr>
              <w:t xml:space="preserve"> required for whole blood issuance. </w:t>
            </w:r>
            <w:r w:rsidRPr="003A05F7">
              <w:rPr>
                <w:vanish/>
                <w:sz w:val="16"/>
                <w:szCs w:val="16"/>
              </w:rPr>
              <w:t>DR 4811</w:t>
            </w:r>
            <w:r w:rsidR="003D719C" w:rsidRPr="003A05F7">
              <w:rPr>
                <w:vanish/>
                <w:sz w:val="16"/>
                <w:szCs w:val="16"/>
              </w:rPr>
              <w:t xml:space="preserve"> DR 4854</w:t>
            </w:r>
          </w:p>
        </w:tc>
      </w:tr>
      <w:tr w:rsidR="002A21AE" w14:paraId="19158FE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755C3C67" w14:textId="77777777" w:rsidR="002A21AE" w:rsidRDefault="002A21AE">
            <w:pPr>
              <w:pStyle w:val="TableTextNumbers"/>
            </w:pPr>
            <w:r>
              <w:lastRenderedPageBreak/>
              <w:t xml:space="preserve">Click </w:t>
            </w:r>
            <w:r>
              <w:rPr>
                <w:b/>
              </w:rPr>
              <w:t>OK</w:t>
            </w:r>
            <w:r>
              <w:t xml:space="preserve"> </w:t>
            </w:r>
            <w:r w:rsidR="00A304AE">
              <w:t>to save and complete the unit issue</w:t>
            </w:r>
            <w:r>
              <w:t>.</w:t>
            </w:r>
          </w:p>
        </w:tc>
        <w:tc>
          <w:tcPr>
            <w:tcW w:w="6120" w:type="dxa"/>
            <w:tcBorders>
              <w:top w:val="single" w:sz="6" w:space="0" w:color="auto"/>
              <w:left w:val="single" w:sz="6" w:space="0" w:color="auto"/>
              <w:bottom w:val="single" w:sz="6" w:space="0" w:color="auto"/>
              <w:right w:val="single" w:sz="6" w:space="0" w:color="auto"/>
            </w:tcBorders>
          </w:tcPr>
          <w:p w14:paraId="6E86309A" w14:textId="77777777" w:rsidR="002A21AE" w:rsidRDefault="002A21AE">
            <w:pPr>
              <w:pStyle w:val="TableTextBullet"/>
              <w:tabs>
                <w:tab w:val="num" w:pos="360"/>
              </w:tabs>
            </w:pPr>
            <w:r>
              <w:t xml:space="preserve">Displays entries for review and editing. </w:t>
            </w:r>
          </w:p>
          <w:p w14:paraId="2D038772" w14:textId="77777777" w:rsidR="002A21AE" w:rsidRDefault="002A21AE">
            <w:pPr>
              <w:pStyle w:val="TableText"/>
            </w:pPr>
          </w:p>
          <w:p w14:paraId="7B6FF1DC" w14:textId="401F619C" w:rsidR="002A21AE" w:rsidRDefault="002A21AE">
            <w:pPr>
              <w:pStyle w:val="TableText"/>
              <w:rPr>
                <w:b/>
                <w:bCs/>
                <w:szCs w:val="18"/>
              </w:rPr>
            </w:pPr>
            <w:r>
              <w:rPr>
                <w:b/>
                <w:bCs/>
                <w:szCs w:val="18"/>
              </w:rPr>
              <w:t>NOTES</w:t>
            </w:r>
          </w:p>
          <w:p w14:paraId="109E6FC6" w14:textId="77777777" w:rsidR="002A21AE" w:rsidRDefault="002A21AE">
            <w:pPr>
              <w:pStyle w:val="NotesText"/>
            </w:pPr>
          </w:p>
          <w:p w14:paraId="7F5A3609" w14:textId="77777777" w:rsidR="002A21AE" w:rsidRDefault="002A21AE">
            <w:pPr>
              <w:pStyle w:val="NotesText"/>
            </w:pPr>
            <w:r>
              <w:rPr>
                <w:rFonts w:cs="Arial"/>
                <w:vanish/>
              </w:rPr>
              <w:t xml:space="preserve">BR_73.24 </w:t>
            </w:r>
            <w:r>
              <w:t>When the user selects multiple units for a patient and creates a batch for issue, all units in the batch are issued simultaneously to the same location. VBECS assigns the issue information to all units in the batch. The user may not enter different information, including any override comment, for an individual unit in the batch.</w:t>
            </w:r>
          </w:p>
          <w:p w14:paraId="1B202500" w14:textId="77777777" w:rsidR="0090203E" w:rsidRDefault="0090203E">
            <w:pPr>
              <w:pStyle w:val="NotesText"/>
            </w:pPr>
          </w:p>
          <w:p w14:paraId="2932B34E" w14:textId="615FCF55" w:rsidR="0090203E" w:rsidRDefault="0090203E">
            <w:pPr>
              <w:pStyle w:val="NotesText"/>
            </w:pPr>
            <w:r>
              <w:t>If</w:t>
            </w:r>
            <w:r w:rsidRPr="0090203E">
              <w:t xml:space="preserve"> the user clicks Cancel, VBECS closes without displaying a co</w:t>
            </w:r>
            <w:r>
              <w:t>nfirmation message that data will be</w:t>
            </w:r>
            <w:r w:rsidRPr="0090203E">
              <w:t xml:space="preserve"> lost.</w:t>
            </w:r>
            <w:r w:rsidR="00730CAA">
              <w:t xml:space="preserve"> </w:t>
            </w:r>
            <w:r w:rsidR="00730CAA" w:rsidRPr="00730CAA">
              <w:rPr>
                <w:vanish/>
              </w:rPr>
              <w:t>Defect 208530</w:t>
            </w:r>
          </w:p>
        </w:tc>
      </w:tr>
      <w:tr w:rsidR="002A21AE" w14:paraId="7010A05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6B3E5F37" w14:textId="77777777" w:rsidR="002A21AE" w:rsidRDefault="002A21AE">
            <w:pPr>
              <w:pStyle w:val="TableTextNumbers"/>
            </w:pPr>
            <w:r>
              <w:t xml:space="preserve">Click </w:t>
            </w:r>
            <w:r>
              <w:rPr>
                <w:b/>
              </w:rPr>
              <w:t>Yes</w:t>
            </w:r>
            <w:r>
              <w:t xml:space="preserve"> when the unit is satisfactory to save, or </w:t>
            </w:r>
            <w:r>
              <w:rPr>
                <w:b/>
              </w:rPr>
              <w:t>No</w:t>
            </w:r>
            <w:r>
              <w:t xml:space="preserve"> when the unit is unsatisfactory.</w:t>
            </w:r>
          </w:p>
          <w:p w14:paraId="52D7BA10" w14:textId="77777777" w:rsidR="002A21AE" w:rsidRDefault="002A21AE">
            <w:pPr>
              <w:pStyle w:val="TableTextNumbers"/>
              <w:numPr>
                <w:ilvl w:val="0"/>
                <w:numId w:val="0"/>
              </w:numPr>
            </w:pPr>
          </w:p>
        </w:tc>
        <w:tc>
          <w:tcPr>
            <w:tcW w:w="6120" w:type="dxa"/>
            <w:tcBorders>
              <w:top w:val="single" w:sz="6" w:space="0" w:color="auto"/>
              <w:left w:val="single" w:sz="6" w:space="0" w:color="auto"/>
              <w:bottom w:val="single" w:sz="6" w:space="0" w:color="auto"/>
              <w:right w:val="single" w:sz="6" w:space="0" w:color="auto"/>
            </w:tcBorders>
          </w:tcPr>
          <w:p w14:paraId="3909E608" w14:textId="77777777" w:rsidR="002A21AE" w:rsidRDefault="002A21AE">
            <w:pPr>
              <w:pStyle w:val="TableTextBullet"/>
              <w:tabs>
                <w:tab w:val="num" w:pos="360"/>
              </w:tabs>
            </w:pPr>
            <w:r>
              <w:t>Saves the data.</w:t>
            </w:r>
          </w:p>
          <w:p w14:paraId="4BCAA22A" w14:textId="77777777" w:rsidR="002A21AE" w:rsidRDefault="002A21AE" w:rsidP="006709A3">
            <w:pPr>
              <w:pStyle w:val="TableTextBullet"/>
              <w:tabs>
                <w:tab w:val="num" w:pos="360"/>
              </w:tabs>
            </w:pPr>
            <w:r>
              <w:t>Displays the unit inspection indicator (satisfactory or unsatisfactory) listing each selected unit.</w:t>
            </w:r>
          </w:p>
          <w:p w14:paraId="40E30304" w14:textId="77777777" w:rsidR="009F2DE7" w:rsidRPr="00B25E96" w:rsidRDefault="009F2DE7" w:rsidP="00750533">
            <w:pPr>
              <w:pStyle w:val="TableTextBullet"/>
              <w:tabs>
                <w:tab w:val="num" w:pos="360"/>
              </w:tabs>
            </w:pPr>
            <w:r w:rsidRPr="00B25E96">
              <w:rPr>
                <w:rFonts w:cs="Arial"/>
                <w:szCs w:val="18"/>
              </w:rPr>
              <w:t xml:space="preserve">Sends updated patient and blood unit information to the BCE COTS system via an HL7 message. The message contains the date time when VBECS creates the message and not the date time the user selects the unit for issue. </w:t>
            </w:r>
            <w:r w:rsidRPr="00B25E96">
              <w:rPr>
                <w:rFonts w:cs="Arial"/>
                <w:vanish/>
                <w:szCs w:val="18"/>
              </w:rPr>
              <w:t>DR 4334</w:t>
            </w:r>
          </w:p>
          <w:p w14:paraId="5FF77D67" w14:textId="77777777" w:rsidR="002A21AE" w:rsidRDefault="002A21AE">
            <w:pPr>
              <w:pStyle w:val="TableText"/>
            </w:pPr>
          </w:p>
          <w:p w14:paraId="3492C72A" w14:textId="0EF07E1C" w:rsidR="002A21AE" w:rsidRDefault="002A21AE">
            <w:pPr>
              <w:pStyle w:val="TableText"/>
              <w:rPr>
                <w:b/>
                <w:bCs/>
                <w:szCs w:val="18"/>
              </w:rPr>
            </w:pPr>
            <w:r>
              <w:rPr>
                <w:b/>
                <w:bCs/>
                <w:szCs w:val="18"/>
              </w:rPr>
              <w:t>NOTES</w:t>
            </w:r>
          </w:p>
          <w:p w14:paraId="7DEF5B90" w14:textId="77777777" w:rsidR="002A21AE" w:rsidRDefault="002A21AE">
            <w:pPr>
              <w:pStyle w:val="NotesText"/>
            </w:pPr>
          </w:p>
          <w:p w14:paraId="6298A430" w14:textId="000D4C32"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590097">
              <w:fldChar w:fldCharType="begin"/>
            </w:r>
            <w:r w:rsidR="00590097">
              <w:instrText xml:space="preserve"> REF _Ref126486291 \h </w:instrText>
            </w:r>
            <w:r w:rsidR="00590097">
              <w:fldChar w:fldCharType="separate"/>
            </w:r>
            <w:r w:rsidR="004353ED">
              <w:t xml:space="preserve">Table </w:t>
            </w:r>
            <w:r w:rsidR="004353ED">
              <w:rPr>
                <w:noProof/>
              </w:rPr>
              <w:t>7</w:t>
            </w:r>
            <w:r w:rsidR="00590097">
              <w:fldChar w:fldCharType="end"/>
            </w:r>
            <w:r w:rsidR="002A21AE">
              <w:t xml:space="preserve"> for alerts that may occur during this option.</w:t>
            </w:r>
          </w:p>
          <w:p w14:paraId="14DFAF77" w14:textId="77777777" w:rsidR="009F2DE7" w:rsidRDefault="009F2DE7">
            <w:pPr>
              <w:pStyle w:val="TableText"/>
              <w:ind w:left="360"/>
            </w:pPr>
          </w:p>
          <w:p w14:paraId="645B1C87" w14:textId="24631A63" w:rsidR="009F2DE7" w:rsidRDefault="009F2DE7">
            <w:pPr>
              <w:pStyle w:val="TableText"/>
              <w:ind w:left="360"/>
            </w:pPr>
            <w:r w:rsidRPr="00B25E96">
              <w:t>Sites using BCE COTS must issue blood components in real-time for BCE COTS to be able to perform transfusion verification.</w:t>
            </w:r>
            <w:r>
              <w:t xml:space="preserve"> </w:t>
            </w:r>
            <w:r w:rsidR="00BB7B66">
              <w:rPr>
                <w:vanish/>
              </w:rPr>
              <w:t>DR</w:t>
            </w:r>
            <w:r w:rsidR="00963554" w:rsidRPr="00963554">
              <w:rPr>
                <w:vanish/>
              </w:rPr>
              <w:t xml:space="preserve"> </w:t>
            </w:r>
            <w:r w:rsidR="00963554">
              <w:rPr>
                <w:vanish/>
              </w:rPr>
              <w:t>4334</w:t>
            </w:r>
          </w:p>
          <w:p w14:paraId="1A68DEFA" w14:textId="1C7E0EC0" w:rsidR="00FA3713" w:rsidRDefault="00FA3713">
            <w:pPr>
              <w:pStyle w:val="TableText"/>
              <w:ind w:left="360"/>
            </w:pPr>
          </w:p>
          <w:p w14:paraId="16625F02" w14:textId="5AF1996E" w:rsidR="009F2DE7" w:rsidRPr="00963554" w:rsidRDefault="00FA3713" w:rsidP="00963554">
            <w:pPr>
              <w:pStyle w:val="TableText"/>
              <w:ind w:left="360"/>
            </w:pPr>
            <w:r w:rsidRPr="00FA3713">
              <w:t>The area to mark a unit unsatisfactory for issue extends beyond the checkbox. A user that clicks in that area, but not the checkbox, could inadvertently mark a unit unsatisfactory for issue.</w:t>
            </w:r>
            <w:r>
              <w:t xml:space="preserve"> </w:t>
            </w:r>
            <w:r w:rsidRPr="00FA3713">
              <w:t>A VBECS Confirmation message window appears to verify the user wants to remove patient association and quarantine the unit.</w:t>
            </w:r>
            <w:r>
              <w:t xml:space="preserve"> The user must click No if he mistakenly indicated that the</w:t>
            </w:r>
            <w:r w:rsidRPr="00FA3713">
              <w:t xml:space="preserve"> unit was unsatisfactory for issue.</w:t>
            </w:r>
            <w:r w:rsidR="00730CAA">
              <w:t xml:space="preserve"> </w:t>
            </w:r>
            <w:r w:rsidR="00730CAA" w:rsidRPr="00730CAA">
              <w:rPr>
                <w:vanish/>
              </w:rPr>
              <w:t xml:space="preserve">Defect </w:t>
            </w:r>
            <w:r w:rsidR="008C2AAA">
              <w:rPr>
                <w:vanish/>
              </w:rPr>
              <w:t>959630</w:t>
            </w:r>
          </w:p>
          <w:p w14:paraId="56E37BC9" w14:textId="77777777" w:rsidR="009F2DE7" w:rsidRDefault="009F2DE7">
            <w:pPr>
              <w:pStyle w:val="TableText"/>
              <w:ind w:left="360"/>
            </w:pPr>
          </w:p>
        </w:tc>
      </w:tr>
      <w:tr w:rsidR="002A21AE" w14:paraId="20AF903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8E50187" w14:textId="77777777" w:rsidR="002A21AE" w:rsidRDefault="002A21AE">
            <w:pPr>
              <w:pStyle w:val="TableTextNumbersContinued"/>
            </w:pPr>
          </w:p>
          <w:p w14:paraId="147867B2"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58" w:author="Blalock, David (Leidos)" w:date="2020-06-15T14:09:00Z" w:original="0."/>
              </w:fldChar>
            </w:r>
          </w:p>
        </w:tc>
        <w:tc>
          <w:tcPr>
            <w:tcW w:w="6120" w:type="dxa"/>
            <w:tcBorders>
              <w:top w:val="single" w:sz="6" w:space="0" w:color="auto"/>
              <w:left w:val="single" w:sz="6" w:space="0" w:color="auto"/>
              <w:bottom w:val="single" w:sz="6" w:space="0" w:color="auto"/>
              <w:right w:val="single" w:sz="6" w:space="0" w:color="auto"/>
            </w:tcBorders>
          </w:tcPr>
          <w:p w14:paraId="6A2ECE5C" w14:textId="77777777" w:rsidR="002A21AE" w:rsidRDefault="002A21AE">
            <w:pPr>
              <w:pStyle w:val="TableText"/>
            </w:pPr>
          </w:p>
        </w:tc>
      </w:tr>
    </w:tbl>
    <w:p w14:paraId="0A3B6971" w14:textId="6A620870" w:rsidR="00A04663" w:rsidRDefault="00A04663" w:rsidP="00A04663">
      <w:pPr>
        <w:pStyle w:val="Caption"/>
      </w:pPr>
      <w:bookmarkStart w:id="459" w:name="_Ref127093318"/>
      <w:bookmarkStart w:id="460" w:name="_Toc9434937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100</w:t>
      </w:r>
      <w:r w:rsidR="004E20BD">
        <w:rPr>
          <w:noProof/>
        </w:rPr>
        <w:fldChar w:fldCharType="end"/>
      </w:r>
      <w:bookmarkEnd w:id="459"/>
      <w:r>
        <w:t>: Issue Blood Components</w:t>
      </w:r>
      <w:r w:rsidR="005D4DA6">
        <w:t xml:space="preserve"> (1)</w:t>
      </w:r>
    </w:p>
    <w:p w14:paraId="2448CC06" w14:textId="77777777" w:rsidR="003B4820" w:rsidRDefault="00057948" w:rsidP="003B4820">
      <w:pPr>
        <w:pStyle w:val="BodyText"/>
      </w:pPr>
      <w:r>
        <w:rPr>
          <w:noProof/>
        </w:rPr>
        <w:drawing>
          <wp:inline distT="0" distB="0" distL="0" distR="0" wp14:anchorId="70CB0C8A" wp14:editId="117603D6">
            <wp:extent cx="3722370" cy="2927985"/>
            <wp:effectExtent l="0" t="0" r="0" b="5715"/>
            <wp:docPr id="190" name="Picture 1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a:extLst>
                        <a:ext uri="{C183D7F6-B498-43B3-948B-1728B52AA6E4}">
                          <adec:decorative xmlns:adec="http://schemas.microsoft.com/office/drawing/2017/decorative" val="1"/>
                        </a:ext>
                      </a:extLst>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722370" cy="2927985"/>
                    </a:xfrm>
                    <a:prstGeom prst="rect">
                      <a:avLst/>
                    </a:prstGeom>
                    <a:noFill/>
                    <a:ln>
                      <a:noFill/>
                    </a:ln>
                  </pic:spPr>
                </pic:pic>
              </a:graphicData>
            </a:graphic>
          </wp:inline>
        </w:drawing>
      </w:r>
    </w:p>
    <w:p w14:paraId="17C7CFF5" w14:textId="567EB39C" w:rsidR="005D4DA6" w:rsidRDefault="005D4DA6" w:rsidP="005D4DA6">
      <w:pPr>
        <w:pStyle w:val="Caption"/>
      </w:pPr>
      <w:bookmarkStart w:id="461" w:name="_Ref12709356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101</w:t>
      </w:r>
      <w:r w:rsidR="004E20BD">
        <w:rPr>
          <w:noProof/>
        </w:rPr>
        <w:fldChar w:fldCharType="end"/>
      </w:r>
      <w:bookmarkEnd w:id="461"/>
      <w:r>
        <w:t>: Issue Blood Components (2)</w:t>
      </w:r>
    </w:p>
    <w:p w14:paraId="6781B24F" w14:textId="77777777" w:rsidR="005D4DA6" w:rsidRDefault="00057948" w:rsidP="003B4820">
      <w:pPr>
        <w:pStyle w:val="BodyText"/>
      </w:pPr>
      <w:r>
        <w:rPr>
          <w:noProof/>
        </w:rPr>
        <w:drawing>
          <wp:inline distT="0" distB="0" distL="0" distR="0" wp14:anchorId="5F9DCBFE" wp14:editId="777DE189">
            <wp:extent cx="5283200" cy="3888740"/>
            <wp:effectExtent l="0" t="0" r="0" b="0"/>
            <wp:docPr id="191" name="Picture 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a:extLst>
                        <a:ext uri="{C183D7F6-B498-43B3-948B-1728B52AA6E4}">
                          <adec:decorative xmlns:adec="http://schemas.microsoft.com/office/drawing/2017/decorative" val="1"/>
                        </a:ext>
                      </a:extLst>
                    </pic:cNvPr>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283200" cy="3888740"/>
                    </a:xfrm>
                    <a:prstGeom prst="rect">
                      <a:avLst/>
                    </a:prstGeom>
                    <a:noFill/>
                    <a:ln>
                      <a:noFill/>
                    </a:ln>
                  </pic:spPr>
                </pic:pic>
              </a:graphicData>
            </a:graphic>
          </wp:inline>
        </w:drawing>
      </w:r>
    </w:p>
    <w:p w14:paraId="75A26566" w14:textId="77777777" w:rsidR="002A21AE" w:rsidRDefault="002A21AE">
      <w:pPr>
        <w:pStyle w:val="Heading4"/>
      </w:pPr>
      <w:r>
        <w:t>Issue Blood Components (Emergency)</w:t>
      </w:r>
      <w:bookmarkEnd w:id="460"/>
      <w:r>
        <w:fldChar w:fldCharType="begin"/>
      </w:r>
      <w:r>
        <w:instrText xml:space="preserve"> XE </w:instrText>
      </w:r>
      <w:r w:rsidR="00FA7E65">
        <w:instrText>“</w:instrText>
      </w:r>
      <w:r>
        <w:instrText>Issue Blood Components (Emergency)</w:instrText>
      </w:r>
      <w:r w:rsidR="00FA7E65">
        <w:instrText>”</w:instrText>
      </w:r>
      <w:r>
        <w:instrText xml:space="preserve"> </w:instrText>
      </w:r>
      <w:r>
        <w:fldChar w:fldCharType="end"/>
      </w:r>
    </w:p>
    <w:p w14:paraId="7218FF0D" w14:textId="77777777" w:rsidR="002A21AE" w:rsidRDefault="002A21AE" w:rsidP="00FA7E65">
      <w:pPr>
        <w:pStyle w:val="BodyText"/>
      </w:pPr>
      <w:r>
        <w:t xml:space="preserve">The user issues assigned or crossmatched blood to a transporter for patient transfusion that does not meet routine issue conditions at valid inpatient and outpatient hospital locations, and records issue details, including the transporter’s name or identifier.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F105A1" w14:textId="77777777">
        <w:trPr>
          <w:cantSplit/>
          <w:tblHeader/>
        </w:trPr>
        <w:tc>
          <w:tcPr>
            <w:tcW w:w="3240" w:type="dxa"/>
            <w:shd w:val="pct30" w:color="auto" w:fill="FFFFFF"/>
            <w:vAlign w:val="bottom"/>
          </w:tcPr>
          <w:p w14:paraId="43FD7F72" w14:textId="77777777" w:rsidR="002A21AE" w:rsidRDefault="002A21AE">
            <w:pPr>
              <w:pStyle w:val="TableText"/>
              <w:rPr>
                <w:b/>
              </w:rPr>
            </w:pPr>
            <w:r>
              <w:rPr>
                <w:b/>
              </w:rPr>
              <w:t>User Action</w:t>
            </w:r>
          </w:p>
        </w:tc>
        <w:tc>
          <w:tcPr>
            <w:tcW w:w="6120" w:type="dxa"/>
            <w:shd w:val="pct30" w:color="auto" w:fill="FFFFFF"/>
            <w:vAlign w:val="bottom"/>
          </w:tcPr>
          <w:p w14:paraId="6F0F1DA4" w14:textId="77777777" w:rsidR="002A21AE" w:rsidRDefault="002A21AE">
            <w:pPr>
              <w:pStyle w:val="TableText"/>
              <w:rPr>
                <w:b/>
              </w:rPr>
            </w:pPr>
            <w:r>
              <w:rPr>
                <w:b/>
              </w:rPr>
              <w:t>VBECS</w:t>
            </w:r>
          </w:p>
        </w:tc>
      </w:tr>
      <w:tr w:rsidR="002A21AE" w14:paraId="4869EDDD" w14:textId="77777777">
        <w:tc>
          <w:tcPr>
            <w:tcW w:w="3240" w:type="dxa"/>
            <w:tcBorders>
              <w:top w:val="single" w:sz="4" w:space="0" w:color="auto"/>
              <w:left w:val="single" w:sz="4" w:space="0" w:color="auto"/>
              <w:bottom w:val="single" w:sz="4" w:space="0" w:color="auto"/>
              <w:right w:val="single" w:sz="4" w:space="0" w:color="auto"/>
            </w:tcBorders>
          </w:tcPr>
          <w:p w14:paraId="0671BE72" w14:textId="77777777" w:rsidR="002A21AE" w:rsidRDefault="002A21AE">
            <w:pPr>
              <w:pStyle w:val="TableTextNumbers"/>
            </w:pPr>
            <w:r>
              <w:t xml:space="preserve">Select </w:t>
            </w:r>
            <w:r>
              <w:rPr>
                <w:b/>
              </w:rPr>
              <w:t>Patients</w:t>
            </w:r>
            <w:r>
              <w:t xml:space="preserve"> from the main menu.</w:t>
            </w:r>
          </w:p>
          <w:p w14:paraId="54A3BD6E" w14:textId="77777777" w:rsidR="002A21AE" w:rsidRDefault="002A21AE">
            <w:pPr>
              <w:pStyle w:val="TableTextNumbersContinued"/>
            </w:pPr>
          </w:p>
          <w:p w14:paraId="28A710A2" w14:textId="77777777" w:rsidR="002A21AE" w:rsidRDefault="002A21AE">
            <w:pPr>
              <w:pStyle w:val="TableTextNumbersContinued"/>
            </w:pPr>
            <w:r>
              <w:t xml:space="preserve">Select </w:t>
            </w:r>
            <w:r>
              <w:rPr>
                <w:b/>
              </w:rPr>
              <w:t>Issue Blood Components</w:t>
            </w:r>
            <w:r>
              <w:t>.</w:t>
            </w:r>
          </w:p>
        </w:tc>
        <w:tc>
          <w:tcPr>
            <w:tcW w:w="6120" w:type="dxa"/>
            <w:tcBorders>
              <w:top w:val="single" w:sz="4" w:space="0" w:color="auto"/>
              <w:left w:val="single" w:sz="4" w:space="0" w:color="auto"/>
              <w:bottom w:val="single" w:sz="4" w:space="0" w:color="auto"/>
              <w:right w:val="single" w:sz="4" w:space="0" w:color="auto"/>
            </w:tcBorders>
          </w:tcPr>
          <w:p w14:paraId="2C35F15E" w14:textId="77777777" w:rsidR="002A21AE" w:rsidRDefault="002A21AE">
            <w:pPr>
              <w:pStyle w:val="TableTextBullet"/>
            </w:pPr>
            <w:r>
              <w:t>Displays options for processing patient-related functions.</w:t>
            </w:r>
          </w:p>
          <w:p w14:paraId="2C7966CF" w14:textId="77777777" w:rsidR="002A21AE" w:rsidRDefault="002A21AE">
            <w:pPr>
              <w:pStyle w:val="TableTextBullet"/>
            </w:pPr>
            <w:r>
              <w:t>Displays an option to scan the Caution Tag or enter a patient name or ID.</w:t>
            </w:r>
          </w:p>
        </w:tc>
      </w:tr>
      <w:tr w:rsidR="002A21AE" w14:paraId="2FFFF7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22D708E2" w14:textId="77777777" w:rsidR="002A21AE" w:rsidRDefault="002A21AE">
            <w:pPr>
              <w:pStyle w:val="TableTextNumbers"/>
            </w:pPr>
            <w:r>
              <w:t>Select a patient.</w:t>
            </w:r>
          </w:p>
        </w:tc>
        <w:tc>
          <w:tcPr>
            <w:tcW w:w="6120" w:type="dxa"/>
            <w:tcBorders>
              <w:top w:val="single" w:sz="6" w:space="0" w:color="auto"/>
              <w:left w:val="single" w:sz="6" w:space="0" w:color="auto"/>
              <w:bottom w:val="single" w:sz="6" w:space="0" w:color="auto"/>
              <w:right w:val="single" w:sz="6" w:space="0" w:color="auto"/>
            </w:tcBorders>
          </w:tcPr>
          <w:p w14:paraId="2E7C9886" w14:textId="77777777" w:rsidR="002A21AE" w:rsidRDefault="002A21AE">
            <w:pPr>
              <w:pStyle w:val="TableTextBullet"/>
              <w:tabs>
                <w:tab w:val="num" w:pos="360"/>
              </w:tabs>
            </w:pPr>
            <w:r>
              <w:t>Displays patient data, including entries that meet the entered patient criteria, and allows the user to select the correct patient.</w:t>
            </w:r>
          </w:p>
          <w:p w14:paraId="7CF41F06" w14:textId="77777777" w:rsidR="002A21AE" w:rsidRDefault="002A21AE">
            <w:pPr>
              <w:pStyle w:val="TableText"/>
            </w:pPr>
          </w:p>
          <w:p w14:paraId="3C571AEC" w14:textId="3B22A2E2" w:rsidR="002A21AE" w:rsidRDefault="002A21AE">
            <w:pPr>
              <w:pStyle w:val="TableText"/>
              <w:rPr>
                <w:b/>
                <w:bCs/>
                <w:szCs w:val="18"/>
              </w:rPr>
            </w:pPr>
            <w:r>
              <w:rPr>
                <w:b/>
                <w:bCs/>
                <w:szCs w:val="18"/>
              </w:rPr>
              <w:t>NOTES</w:t>
            </w:r>
          </w:p>
          <w:p w14:paraId="74B09F61" w14:textId="77777777" w:rsidR="002A21AE" w:rsidRDefault="002A21AE">
            <w:pPr>
              <w:pStyle w:val="NotesText"/>
            </w:pPr>
          </w:p>
          <w:p w14:paraId="36DF4FAA" w14:textId="787562C6"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rsidR="002A21AE">
              <w:t xml:space="preserve"> </w:t>
            </w:r>
            <w:r w:rsidR="00741071">
              <w:fldChar w:fldCharType="begin"/>
            </w:r>
            <w:r w:rsidR="00741071">
              <w:instrText xml:space="preserve"> REF _Ref126489326 \h </w:instrText>
            </w:r>
            <w:r w:rsidR="00741071">
              <w:fldChar w:fldCharType="separate"/>
            </w:r>
            <w:r w:rsidR="004353ED">
              <w:t xml:space="preserve">Table </w:t>
            </w:r>
            <w:r w:rsidR="004353ED">
              <w:rPr>
                <w:noProof/>
              </w:rPr>
              <w:t>8</w:t>
            </w:r>
            <w:r w:rsidR="00741071">
              <w:fldChar w:fldCharType="end"/>
            </w:r>
            <w:r w:rsidR="002A21AE">
              <w:t xml:space="preserve"> for alerts that may occur during this option.</w:t>
            </w:r>
          </w:p>
        </w:tc>
      </w:tr>
      <w:tr w:rsidR="002A21AE" w14:paraId="469FFB3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9BF87A4" w14:textId="77777777" w:rsidR="002A21AE" w:rsidRDefault="002A21AE">
            <w:pPr>
              <w:pStyle w:val="TableTextNumbers"/>
            </w:pPr>
            <w:r>
              <w:t xml:space="preserve">Click </w:t>
            </w:r>
            <w:r>
              <w:rPr>
                <w:b/>
              </w:rPr>
              <w:t>OK</w:t>
            </w:r>
            <w:r>
              <w:t xml:space="preserve"> to verify that the correct patient was selected.</w:t>
            </w:r>
          </w:p>
        </w:tc>
        <w:tc>
          <w:tcPr>
            <w:tcW w:w="6120" w:type="dxa"/>
            <w:tcBorders>
              <w:top w:val="single" w:sz="6" w:space="0" w:color="auto"/>
              <w:left w:val="single" w:sz="6" w:space="0" w:color="auto"/>
              <w:bottom w:val="single" w:sz="6" w:space="0" w:color="auto"/>
              <w:right w:val="single" w:sz="6" w:space="0" w:color="auto"/>
            </w:tcBorders>
          </w:tcPr>
          <w:p w14:paraId="13C34E4F" w14:textId="77777777" w:rsidR="002A21AE" w:rsidRDefault="002A21AE">
            <w:pPr>
              <w:pStyle w:val="TableTextBullet"/>
              <w:tabs>
                <w:tab w:val="clear" w:pos="288"/>
              </w:tabs>
            </w:pPr>
            <w:r>
              <w:t>Displays fields for the user to enter the data for the issue transaction.</w:t>
            </w:r>
          </w:p>
        </w:tc>
      </w:tr>
      <w:tr w:rsidR="002A21AE" w14:paraId="2623DD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
        </w:trPr>
        <w:tc>
          <w:tcPr>
            <w:tcW w:w="3240" w:type="dxa"/>
            <w:tcBorders>
              <w:top w:val="single" w:sz="6" w:space="0" w:color="auto"/>
              <w:left w:val="single" w:sz="6" w:space="0" w:color="auto"/>
              <w:bottom w:val="single" w:sz="6" w:space="0" w:color="auto"/>
              <w:right w:val="single" w:sz="6" w:space="0" w:color="auto"/>
            </w:tcBorders>
          </w:tcPr>
          <w:p w14:paraId="0275A156" w14:textId="77777777" w:rsidR="002A21AE" w:rsidRDefault="002A21AE">
            <w:pPr>
              <w:pStyle w:val="TableTextNumbers"/>
            </w:pPr>
            <w:r>
              <w:t>Enter the required data.</w:t>
            </w:r>
          </w:p>
        </w:tc>
        <w:tc>
          <w:tcPr>
            <w:tcW w:w="6120" w:type="dxa"/>
            <w:tcBorders>
              <w:top w:val="single" w:sz="6" w:space="0" w:color="auto"/>
              <w:left w:val="single" w:sz="6" w:space="0" w:color="auto"/>
              <w:bottom w:val="single" w:sz="6" w:space="0" w:color="auto"/>
              <w:right w:val="single" w:sz="6" w:space="0" w:color="auto"/>
            </w:tcBorders>
          </w:tcPr>
          <w:p w14:paraId="75BB1BBB" w14:textId="77777777" w:rsidR="002A21AE" w:rsidRDefault="002A21AE">
            <w:pPr>
              <w:pStyle w:val="TableTextBullet"/>
              <w:tabs>
                <w:tab w:val="num" w:pos="360"/>
              </w:tabs>
            </w:pPr>
            <w:r>
              <w:t>Displays the option to select units from the Assigned Units or Emergency Issue Units tabs.</w:t>
            </w:r>
          </w:p>
        </w:tc>
      </w:tr>
      <w:tr w:rsidR="002A21AE" w14:paraId="3DF28F4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8FC39A5" w14:textId="77777777" w:rsidR="002A21AE" w:rsidRDefault="002A21AE">
            <w:pPr>
              <w:pStyle w:val="TableTextNumbers"/>
            </w:pPr>
            <w:r>
              <w:lastRenderedPageBreak/>
              <w:t xml:space="preserve">Click the </w:t>
            </w:r>
            <w:r>
              <w:rPr>
                <w:b/>
              </w:rPr>
              <w:t>Emergency Issue Units tab</w:t>
            </w:r>
            <w:r>
              <w:t>.</w:t>
            </w:r>
          </w:p>
          <w:p w14:paraId="0F3C5C31" w14:textId="77777777" w:rsidR="002A21AE" w:rsidRDefault="002A21AE">
            <w:pPr>
              <w:pStyle w:val="TableTextNumbersContinued"/>
            </w:pPr>
          </w:p>
          <w:p w14:paraId="19A970D6" w14:textId="03642FF4" w:rsidR="002A21AE" w:rsidRDefault="002A21AE">
            <w:pPr>
              <w:pStyle w:val="TableTextNumbersContinued"/>
            </w:pPr>
            <w:r>
              <w:t>Scan or click one or more check boxes to select units for issue to the selected patient</w:t>
            </w:r>
            <w:r w:rsidR="00FD6D00">
              <w:t xml:space="preserve"> (</w:t>
            </w:r>
            <w:r w:rsidR="00FD6D00">
              <w:fldChar w:fldCharType="begin"/>
            </w:r>
            <w:r w:rsidR="00FD6D00">
              <w:instrText xml:space="preserve"> REF _Ref127094243 \h </w:instrText>
            </w:r>
            <w:r w:rsidR="00FD6D00">
              <w:fldChar w:fldCharType="separate"/>
            </w:r>
            <w:r w:rsidR="004353ED">
              <w:t xml:space="preserve">Figure </w:t>
            </w:r>
            <w:r w:rsidR="004353ED">
              <w:rPr>
                <w:noProof/>
              </w:rPr>
              <w:t>102</w:t>
            </w:r>
            <w:r w:rsidR="00FD6D00">
              <w:fldChar w:fldCharType="end"/>
            </w:r>
            <w:r w:rsidR="00FD6D00">
              <w:t>)</w:t>
            </w:r>
            <w:r>
              <w:t>.</w:t>
            </w:r>
          </w:p>
          <w:p w14:paraId="145A7B97" w14:textId="77777777" w:rsidR="002A21AE" w:rsidRDefault="002A21AE">
            <w:pPr>
              <w:pStyle w:val="TableTextNumbersContinued"/>
            </w:pPr>
          </w:p>
          <w:p w14:paraId="6E440C05" w14:textId="77777777" w:rsidR="002A21AE" w:rsidRDefault="002A21AE">
            <w:pPr>
              <w:pStyle w:val="TableTextNumbersContinued"/>
            </w:pPr>
            <w:r>
              <w:t xml:space="preserve">Click </w:t>
            </w:r>
            <w:r>
              <w:rPr>
                <w:b/>
              </w:rPr>
              <w:t>OK</w:t>
            </w:r>
            <w:r>
              <w:t>.</w:t>
            </w:r>
          </w:p>
        </w:tc>
        <w:tc>
          <w:tcPr>
            <w:tcW w:w="6120" w:type="dxa"/>
            <w:tcBorders>
              <w:top w:val="single" w:sz="6" w:space="0" w:color="auto"/>
              <w:left w:val="single" w:sz="6" w:space="0" w:color="auto"/>
              <w:bottom w:val="single" w:sz="6" w:space="0" w:color="auto"/>
              <w:right w:val="single" w:sz="6" w:space="0" w:color="auto"/>
            </w:tcBorders>
          </w:tcPr>
          <w:p w14:paraId="438E168D" w14:textId="77777777" w:rsidR="002A21AE" w:rsidRDefault="002A21AE">
            <w:pPr>
              <w:pStyle w:val="TableTextBullet"/>
              <w:tabs>
                <w:tab w:val="num" w:pos="360"/>
              </w:tabs>
            </w:pPr>
            <w:r>
              <w:t>Lists the selected units, allows the user to select additional units or deselect units, and prompts the user to indicate th</w:t>
            </w:r>
            <w:r w:rsidR="006709A3">
              <w:t>at the selections are complete.</w:t>
            </w:r>
          </w:p>
          <w:p w14:paraId="3D03E714" w14:textId="77777777" w:rsidR="006709A3" w:rsidRDefault="006709A3" w:rsidP="006709A3">
            <w:pPr>
              <w:pStyle w:val="TableTextBullet"/>
              <w:tabs>
                <w:tab w:val="num" w:pos="360"/>
              </w:tabs>
            </w:pPr>
            <w:r>
              <w:t>Allows the user to select the unsatisfactory unit and edit its issue selections.</w:t>
            </w:r>
          </w:p>
          <w:p w14:paraId="59C4CB85" w14:textId="77777777" w:rsidR="002A21AE" w:rsidRDefault="002A21AE">
            <w:pPr>
              <w:pStyle w:val="TableText"/>
            </w:pPr>
          </w:p>
          <w:p w14:paraId="6DC0A4AD" w14:textId="3ACF801C" w:rsidR="002A21AE" w:rsidRDefault="002A21AE">
            <w:pPr>
              <w:pStyle w:val="TableText"/>
              <w:rPr>
                <w:b/>
                <w:bCs/>
                <w:szCs w:val="18"/>
              </w:rPr>
            </w:pPr>
            <w:r>
              <w:rPr>
                <w:b/>
                <w:bCs/>
                <w:szCs w:val="18"/>
              </w:rPr>
              <w:t>NOTES</w:t>
            </w:r>
          </w:p>
          <w:p w14:paraId="127A6840" w14:textId="77777777" w:rsidR="002A21AE" w:rsidRDefault="002A21AE">
            <w:pPr>
              <w:pStyle w:val="NotesText"/>
            </w:pPr>
          </w:p>
          <w:p w14:paraId="7CFE2C33" w14:textId="6D509A56"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741071">
              <w:fldChar w:fldCharType="begin"/>
            </w:r>
            <w:r w:rsidR="00741071">
              <w:instrText xml:space="preserve"> REF _Ref126489326 \h </w:instrText>
            </w:r>
            <w:r w:rsidR="00741071">
              <w:fldChar w:fldCharType="separate"/>
            </w:r>
            <w:r w:rsidR="004353ED">
              <w:t xml:space="preserve">Table </w:t>
            </w:r>
            <w:r w:rsidR="004353ED">
              <w:rPr>
                <w:noProof/>
              </w:rPr>
              <w:t>8</w:t>
            </w:r>
            <w:r w:rsidR="00741071">
              <w:fldChar w:fldCharType="end"/>
            </w:r>
            <w:r w:rsidR="00016901">
              <w:t xml:space="preserve"> </w:t>
            </w:r>
            <w:r w:rsidR="002A21AE">
              <w:t>for alerts that may occur during this option.</w:t>
            </w:r>
          </w:p>
        </w:tc>
      </w:tr>
      <w:tr w:rsidR="002A21AE" w14:paraId="33B54B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1D6F35E4" w14:textId="77777777" w:rsidR="002A21AE" w:rsidRDefault="002A21AE">
            <w:pPr>
              <w:pStyle w:val="TableTextNumbers"/>
            </w:pPr>
            <w:r>
              <w:t xml:space="preserve">Click </w:t>
            </w:r>
            <w:r>
              <w:rPr>
                <w:b/>
              </w:rPr>
              <w:t>OK</w:t>
            </w:r>
            <w:r>
              <w:t xml:space="preserve"> to accept the entries and complete the unit issue.</w:t>
            </w:r>
          </w:p>
        </w:tc>
        <w:tc>
          <w:tcPr>
            <w:tcW w:w="6120" w:type="dxa"/>
            <w:tcBorders>
              <w:top w:val="single" w:sz="6" w:space="0" w:color="auto"/>
              <w:left w:val="single" w:sz="6" w:space="0" w:color="auto"/>
              <w:bottom w:val="single" w:sz="6" w:space="0" w:color="auto"/>
              <w:right w:val="single" w:sz="6" w:space="0" w:color="auto"/>
            </w:tcBorders>
          </w:tcPr>
          <w:p w14:paraId="4E732DEA" w14:textId="77777777" w:rsidR="002A21AE" w:rsidRDefault="002A21AE">
            <w:pPr>
              <w:pStyle w:val="TableTextBullet"/>
              <w:tabs>
                <w:tab w:val="num" w:pos="360"/>
              </w:tabs>
            </w:pPr>
            <w:r>
              <w:t xml:space="preserve">Displays entries for review and editing. </w:t>
            </w:r>
          </w:p>
        </w:tc>
      </w:tr>
      <w:tr w:rsidR="002A21AE" w14:paraId="0B9FCF6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D295FCB" w14:textId="77777777" w:rsidR="002A21AE" w:rsidRDefault="002A21AE">
            <w:pPr>
              <w:pStyle w:val="TableTextNumbers"/>
            </w:pPr>
            <w:r>
              <w:t xml:space="preserve">Click </w:t>
            </w:r>
            <w:r>
              <w:rPr>
                <w:b/>
              </w:rPr>
              <w:t>Yes</w:t>
            </w:r>
            <w:r>
              <w:t xml:space="preserve"> when the unit is satisfactory or </w:t>
            </w:r>
            <w:r>
              <w:rPr>
                <w:b/>
              </w:rPr>
              <w:t>No</w:t>
            </w:r>
            <w:r>
              <w:t xml:space="preserve"> when the unit is unsatisfactory.</w:t>
            </w:r>
          </w:p>
        </w:tc>
        <w:tc>
          <w:tcPr>
            <w:tcW w:w="6120" w:type="dxa"/>
            <w:tcBorders>
              <w:top w:val="single" w:sz="6" w:space="0" w:color="auto"/>
              <w:left w:val="single" w:sz="6" w:space="0" w:color="auto"/>
              <w:bottom w:val="single" w:sz="6" w:space="0" w:color="auto"/>
              <w:right w:val="single" w:sz="6" w:space="0" w:color="auto"/>
            </w:tcBorders>
          </w:tcPr>
          <w:p w14:paraId="474CDFAA" w14:textId="77777777" w:rsidR="002A21AE" w:rsidRDefault="002A21AE">
            <w:pPr>
              <w:pStyle w:val="TableTextBullet"/>
              <w:tabs>
                <w:tab w:val="num" w:pos="360"/>
              </w:tabs>
            </w:pPr>
            <w:r>
              <w:t>Saves the data.</w:t>
            </w:r>
          </w:p>
          <w:p w14:paraId="6B2D4C54" w14:textId="77777777" w:rsidR="002A21AE" w:rsidRDefault="002A21AE">
            <w:pPr>
              <w:pStyle w:val="TableTextBullet"/>
              <w:tabs>
                <w:tab w:val="num" w:pos="360"/>
              </w:tabs>
            </w:pPr>
            <w:r>
              <w:t>Displays the unit inspection indicator (satisfactory or unsatisfactory) listing each selected unit.</w:t>
            </w:r>
          </w:p>
          <w:p w14:paraId="43D62EF9" w14:textId="77777777" w:rsidR="00095D68" w:rsidRDefault="00095D68" w:rsidP="00095D68">
            <w:pPr>
              <w:pStyle w:val="TableTextBullet"/>
              <w:tabs>
                <w:tab w:val="num" w:pos="360"/>
              </w:tabs>
            </w:pPr>
            <w:r>
              <w:rPr>
                <w:rFonts w:cs="Arial"/>
                <w:szCs w:val="18"/>
              </w:rPr>
              <w:t>S</w:t>
            </w:r>
            <w:r w:rsidRPr="00B1287E">
              <w:rPr>
                <w:rFonts w:cs="Arial"/>
                <w:szCs w:val="18"/>
              </w:rPr>
              <w:t>ends</w:t>
            </w:r>
            <w:r>
              <w:rPr>
                <w:rFonts w:cs="Arial"/>
                <w:szCs w:val="18"/>
              </w:rPr>
              <w:t xml:space="preserve"> updated</w:t>
            </w:r>
            <w:r w:rsidRPr="00B1287E">
              <w:rPr>
                <w:rFonts w:cs="Arial"/>
                <w:szCs w:val="18"/>
              </w:rPr>
              <w:t xml:space="preserve"> patient and blood unit</w:t>
            </w:r>
            <w:r>
              <w:rPr>
                <w:rFonts w:cs="Arial"/>
                <w:szCs w:val="18"/>
              </w:rPr>
              <w:t xml:space="preserve"> information t</w:t>
            </w:r>
            <w:r w:rsidRPr="00B1287E">
              <w:rPr>
                <w:rFonts w:cs="Arial"/>
                <w:szCs w:val="18"/>
              </w:rPr>
              <w:t>o the BCE COTS system via an HL7 message.</w:t>
            </w:r>
          </w:p>
          <w:p w14:paraId="0AD4D50F" w14:textId="77777777" w:rsidR="002A21AE" w:rsidRDefault="002A21AE">
            <w:pPr>
              <w:pStyle w:val="TableText"/>
            </w:pPr>
          </w:p>
          <w:p w14:paraId="21FE68AF" w14:textId="45727B01" w:rsidR="002A21AE" w:rsidRDefault="002A21AE">
            <w:pPr>
              <w:pStyle w:val="TableText"/>
              <w:rPr>
                <w:b/>
                <w:bCs/>
                <w:szCs w:val="18"/>
              </w:rPr>
            </w:pPr>
            <w:r>
              <w:rPr>
                <w:b/>
                <w:bCs/>
                <w:szCs w:val="18"/>
              </w:rPr>
              <w:t>NOTES</w:t>
            </w:r>
          </w:p>
          <w:p w14:paraId="3802B8F2" w14:textId="77777777" w:rsidR="002A21AE" w:rsidRDefault="002A21AE">
            <w:pPr>
              <w:pStyle w:val="NotesText"/>
            </w:pPr>
          </w:p>
          <w:p w14:paraId="5B7DFEAB" w14:textId="57F2F02E"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741071">
              <w:fldChar w:fldCharType="begin"/>
            </w:r>
            <w:r w:rsidR="00741071">
              <w:instrText xml:space="preserve"> REF _Ref126489326 \h </w:instrText>
            </w:r>
            <w:r w:rsidR="00741071">
              <w:fldChar w:fldCharType="separate"/>
            </w:r>
            <w:r w:rsidR="004353ED">
              <w:t xml:space="preserve">Table </w:t>
            </w:r>
            <w:r w:rsidR="004353ED">
              <w:rPr>
                <w:noProof/>
              </w:rPr>
              <w:t>8</w:t>
            </w:r>
            <w:r w:rsidR="00741071">
              <w:fldChar w:fldCharType="end"/>
            </w:r>
            <w:r w:rsidR="002A21AE">
              <w:t xml:space="preserve"> for alerts that may occur during this option.</w:t>
            </w:r>
          </w:p>
        </w:tc>
      </w:tr>
      <w:tr w:rsidR="002A21AE" w14:paraId="456EB5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CE43767"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62" w:author="Blalock, David (Leidos)" w:date="2020-06-15T14:09:00Z" w:original="0."/>
              </w:fldChar>
            </w:r>
          </w:p>
        </w:tc>
        <w:tc>
          <w:tcPr>
            <w:tcW w:w="6120" w:type="dxa"/>
            <w:tcBorders>
              <w:top w:val="single" w:sz="6" w:space="0" w:color="auto"/>
              <w:left w:val="single" w:sz="6" w:space="0" w:color="auto"/>
              <w:bottom w:val="single" w:sz="6" w:space="0" w:color="auto"/>
              <w:right w:val="single" w:sz="6" w:space="0" w:color="auto"/>
            </w:tcBorders>
          </w:tcPr>
          <w:p w14:paraId="2A2E1880" w14:textId="77777777" w:rsidR="002A21AE" w:rsidRDefault="002A21AE">
            <w:pPr>
              <w:pStyle w:val="TableText"/>
            </w:pPr>
          </w:p>
        </w:tc>
      </w:tr>
    </w:tbl>
    <w:p w14:paraId="43294E8C" w14:textId="16B1641A" w:rsidR="00FD6D00" w:rsidRDefault="00FD6D00" w:rsidP="00FD6D00">
      <w:pPr>
        <w:pStyle w:val="Caption"/>
      </w:pPr>
      <w:bookmarkStart w:id="463" w:name="_Ref127094243"/>
      <w:bookmarkStart w:id="464" w:name="_Toc9434937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102</w:t>
      </w:r>
      <w:r w:rsidR="004E20BD">
        <w:rPr>
          <w:noProof/>
        </w:rPr>
        <w:fldChar w:fldCharType="end"/>
      </w:r>
      <w:bookmarkEnd w:id="463"/>
      <w:r>
        <w:t>: Issue Blood Components Emergency Issue Units Tab</w:t>
      </w:r>
    </w:p>
    <w:p w14:paraId="22B72A7A" w14:textId="77777777" w:rsidR="00FD6D00" w:rsidRDefault="00057948" w:rsidP="00FD6D00">
      <w:pPr>
        <w:pStyle w:val="BodyText"/>
      </w:pPr>
      <w:r>
        <w:rPr>
          <w:noProof/>
        </w:rPr>
        <w:drawing>
          <wp:inline distT="0" distB="0" distL="0" distR="0" wp14:anchorId="1BFE3F2E" wp14:editId="334238D6">
            <wp:extent cx="5939155" cy="3980815"/>
            <wp:effectExtent l="0" t="0" r="4445" b="635"/>
            <wp:docPr id="192" name="Picture 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a:extLst>
                        <a:ext uri="{C183D7F6-B498-43B3-948B-1728B52AA6E4}">
                          <adec:decorative xmlns:adec="http://schemas.microsoft.com/office/drawing/2017/decorative" val="1"/>
                        </a:ext>
                      </a:extLst>
                    </pic:cNvPr>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939155" cy="3980815"/>
                    </a:xfrm>
                    <a:prstGeom prst="rect">
                      <a:avLst/>
                    </a:prstGeom>
                    <a:noFill/>
                    <a:ln>
                      <a:noFill/>
                    </a:ln>
                  </pic:spPr>
                </pic:pic>
              </a:graphicData>
            </a:graphic>
          </wp:inline>
        </w:drawing>
      </w:r>
    </w:p>
    <w:p w14:paraId="67E54716" w14:textId="77777777" w:rsidR="008803E6" w:rsidRDefault="008803E6" w:rsidP="00FD6D00">
      <w:pPr>
        <w:pStyle w:val="BodyText"/>
      </w:pPr>
    </w:p>
    <w:p w14:paraId="61E4FCBE" w14:textId="16B60FB2" w:rsidR="008803E6" w:rsidRDefault="008803E6" w:rsidP="008803E6">
      <w:pPr>
        <w:pStyle w:val="Caption"/>
      </w:pPr>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103</w:t>
      </w:r>
      <w:r w:rsidR="004E20BD">
        <w:rPr>
          <w:noProof/>
        </w:rPr>
        <w:fldChar w:fldCharType="end"/>
      </w:r>
      <w:r>
        <w:t>: Emergency Issue</w:t>
      </w:r>
    </w:p>
    <w:p w14:paraId="28C0F87D" w14:textId="6AF8A34D" w:rsidR="008803E6" w:rsidRPr="00883DA7" w:rsidRDefault="00D73EE4" w:rsidP="00FD6D00">
      <w:pPr>
        <w:pStyle w:val="BodyText"/>
      </w:pPr>
      <w:r>
        <w:object w:dxaOrig="9612" w:dyaOrig="9268" w14:anchorId="0A54CD12">
          <v:shape id="_x0000_i1032" type="#_x0000_t75" alt="flow chart" style="width:468.3pt;height:456.2pt" o:ole="">
            <v:imagedata r:id="rId189" o:title=""/>
          </v:shape>
          <o:OLEObject Type="Embed" ProgID="Visio.Drawing.11" ShapeID="_x0000_i1032" DrawAspect="Content" ObjectID="_1693299369" r:id="rId190"/>
        </w:object>
      </w:r>
    </w:p>
    <w:p w14:paraId="0E09A9BB" w14:textId="77777777" w:rsidR="002A21AE" w:rsidRDefault="00AC3860">
      <w:pPr>
        <w:pStyle w:val="Heading4"/>
      </w:pPr>
      <w:r>
        <w:rPr>
          <w:rStyle w:val="BullhornChar"/>
        </w:rPr>
        <w:br w:type="page"/>
      </w:r>
      <w:r w:rsidR="00F92F72" w:rsidRPr="00896F17">
        <w:rPr>
          <w:rStyle w:val="BullhornChar"/>
        </w:rPr>
        <w:lastRenderedPageBreak/>
        <w:t></w:t>
      </w:r>
      <w:r w:rsidR="00F92F72">
        <w:rPr>
          <w:rFonts w:ascii="Webdings" w:hAnsi="Webdings"/>
        </w:rPr>
        <w:t></w:t>
      </w:r>
      <w:r w:rsidR="002A21AE">
        <w:t>Alerts</w:t>
      </w:r>
      <w:bookmarkEnd w:id="464"/>
    </w:p>
    <w:p w14:paraId="23C12801" w14:textId="0167AC97" w:rsidR="002A21AE" w:rsidRDefault="002A21AE">
      <w:pPr>
        <w:pStyle w:val="Caption"/>
      </w:pPr>
      <w:bookmarkStart w:id="465" w:name="_Ref126486291"/>
      <w:bookmarkStart w:id="466" w:name="_Toc97523619"/>
      <w:bookmarkStart w:id="467" w:name="_Toc9752758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7</w:t>
      </w:r>
      <w:r w:rsidR="004E20BD">
        <w:rPr>
          <w:noProof/>
        </w:rPr>
        <w:fldChar w:fldCharType="end"/>
      </w:r>
      <w:bookmarkEnd w:id="465"/>
      <w:r>
        <w:t>: Alerts That May Occur in Issue Blood Components</w:t>
      </w:r>
      <w:bookmarkEnd w:id="466"/>
      <w:bookmarkEnd w:id="467"/>
      <w:r w:rsidR="007122D4">
        <w:t xml:space="preserve"> (Routine) </w:t>
      </w:r>
      <w:r>
        <w:fldChar w:fldCharType="begin"/>
      </w:r>
      <w:r>
        <w:instrText xml:space="preserve"> XE </w:instrText>
      </w:r>
      <w:r w:rsidR="00FA7E65">
        <w:instrText>“</w:instrText>
      </w:r>
      <w:r>
        <w:instrText>Tables:Alerts That May Occur in Issue Blood Components</w:instrText>
      </w:r>
      <w:r w:rsidR="007122D4">
        <w:instrText xml:space="preserve"> (Routine)</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0B67F59C" w14:textId="77777777">
        <w:trPr>
          <w:tblHeader/>
        </w:trPr>
        <w:tc>
          <w:tcPr>
            <w:tcW w:w="780" w:type="dxa"/>
            <w:shd w:val="clear" w:color="auto" w:fill="B3B3B3"/>
          </w:tcPr>
          <w:p w14:paraId="44286343" w14:textId="77777777" w:rsidR="002A21AE" w:rsidRDefault="00DB3377">
            <w:pPr>
              <w:pStyle w:val="TableText"/>
              <w:rPr>
                <w:b/>
              </w:rPr>
            </w:pPr>
            <w:r>
              <w:rPr>
                <w:b/>
              </w:rPr>
              <w:t>User Action Step</w:t>
            </w:r>
          </w:p>
        </w:tc>
        <w:tc>
          <w:tcPr>
            <w:tcW w:w="8580" w:type="dxa"/>
            <w:shd w:val="clear" w:color="auto" w:fill="B3B3B3"/>
          </w:tcPr>
          <w:p w14:paraId="5C74E452" w14:textId="77777777" w:rsidR="002A21AE" w:rsidRDefault="002A21AE">
            <w:pPr>
              <w:pStyle w:val="TableText"/>
              <w:rPr>
                <w:b/>
              </w:rPr>
            </w:pPr>
            <w:r>
              <w:rPr>
                <w:b/>
              </w:rPr>
              <w:t>Alerts</w:t>
            </w:r>
          </w:p>
        </w:tc>
      </w:tr>
      <w:tr w:rsidR="002A21AE" w14:paraId="15516446" w14:textId="77777777">
        <w:tc>
          <w:tcPr>
            <w:tcW w:w="780" w:type="dxa"/>
          </w:tcPr>
          <w:p w14:paraId="2E4610A7" w14:textId="77777777" w:rsidR="002A21AE" w:rsidRDefault="002A21AE">
            <w:pPr>
              <w:pStyle w:val="TableText"/>
            </w:pPr>
            <w:r>
              <w:t>2</w:t>
            </w:r>
          </w:p>
        </w:tc>
        <w:tc>
          <w:tcPr>
            <w:tcW w:w="8580" w:type="dxa"/>
          </w:tcPr>
          <w:p w14:paraId="50F9AC3C" w14:textId="77777777" w:rsidR="002A21AE" w:rsidRDefault="002A21AE">
            <w:pPr>
              <w:pStyle w:val="TableText"/>
            </w:pPr>
            <w:r>
              <w:rPr>
                <w:rFonts w:cs="Arial"/>
                <w:vanish/>
                <w:szCs w:val="22"/>
              </w:rPr>
              <w:t xml:space="preserve">BR_16.01 </w:t>
            </w:r>
            <w:r>
              <w:t xml:space="preserve">VBECS displays </w:t>
            </w:r>
            <w:r w:rsidR="00057948">
              <w:rPr>
                <w:noProof/>
              </w:rPr>
              <w:drawing>
                <wp:inline distT="0" distB="0" distL="0" distR="0" wp14:anchorId="724BD74B" wp14:editId="628F5B72">
                  <wp:extent cx="156845" cy="156845"/>
                  <wp:effectExtent l="0" t="0" r="0" b="0"/>
                  <wp:docPr id="194" name="Picture 194"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and emits an audible alert when there are Special Instructions (SIs) or Transfusion Requirements (TRs) for the patient.</w:t>
            </w:r>
          </w:p>
        </w:tc>
      </w:tr>
      <w:tr w:rsidR="002A21AE" w14:paraId="39A1C2E0" w14:textId="77777777">
        <w:tc>
          <w:tcPr>
            <w:tcW w:w="780" w:type="dxa"/>
          </w:tcPr>
          <w:p w14:paraId="6E80892C" w14:textId="77777777" w:rsidR="002A21AE" w:rsidRDefault="002A21AE">
            <w:pPr>
              <w:pStyle w:val="TableText"/>
            </w:pPr>
            <w:r>
              <w:t>2</w:t>
            </w:r>
          </w:p>
        </w:tc>
        <w:tc>
          <w:tcPr>
            <w:tcW w:w="8580" w:type="dxa"/>
          </w:tcPr>
          <w:p w14:paraId="541B6295" w14:textId="77777777" w:rsidR="002A21AE" w:rsidRDefault="002A21AE">
            <w:pPr>
              <w:pStyle w:val="TableText"/>
            </w:pPr>
            <w:r>
              <w:rPr>
                <w:rFonts w:cs="Arial"/>
                <w:vanish/>
              </w:rPr>
              <w:t xml:space="preserve">BR_73.21 </w:t>
            </w:r>
            <w:r>
              <w:t>When no patient is found, VBECS warns the user and does not allow the user to continue.</w:t>
            </w:r>
          </w:p>
        </w:tc>
      </w:tr>
      <w:tr w:rsidR="002A21AE" w14:paraId="6BB295A7" w14:textId="77777777">
        <w:tc>
          <w:tcPr>
            <w:tcW w:w="780" w:type="dxa"/>
          </w:tcPr>
          <w:p w14:paraId="0DBDCF90" w14:textId="77777777" w:rsidR="002A21AE" w:rsidRDefault="002A21AE">
            <w:pPr>
              <w:pStyle w:val="TableText"/>
            </w:pPr>
            <w:r>
              <w:t>2</w:t>
            </w:r>
          </w:p>
        </w:tc>
        <w:tc>
          <w:tcPr>
            <w:tcW w:w="8580" w:type="dxa"/>
          </w:tcPr>
          <w:p w14:paraId="45D08607" w14:textId="77777777" w:rsidR="002A21AE" w:rsidRDefault="002A21AE">
            <w:pPr>
              <w:pStyle w:val="TableText"/>
            </w:pPr>
            <w:r>
              <w:rPr>
                <w:rFonts w:cs="Arial"/>
                <w:vanish/>
              </w:rPr>
              <w:t xml:space="preserve">BR_73.20 </w:t>
            </w:r>
            <w:r>
              <w:t>When the patient has no</w:t>
            </w:r>
            <w:r>
              <w:rPr>
                <w:i/>
              </w:rPr>
              <w:t xml:space="preserve"> </w:t>
            </w:r>
            <w:r>
              <w:t>components available for issue, VBECS warns the user and does not allow the user to continue.</w:t>
            </w:r>
          </w:p>
        </w:tc>
      </w:tr>
      <w:tr w:rsidR="002A21AE" w14:paraId="455A0D58" w14:textId="77777777">
        <w:tc>
          <w:tcPr>
            <w:tcW w:w="780" w:type="dxa"/>
          </w:tcPr>
          <w:p w14:paraId="3D242313" w14:textId="77777777" w:rsidR="002A21AE" w:rsidRDefault="002A21AE">
            <w:pPr>
              <w:pStyle w:val="TableText"/>
            </w:pPr>
            <w:r>
              <w:t>2</w:t>
            </w:r>
          </w:p>
        </w:tc>
        <w:tc>
          <w:tcPr>
            <w:tcW w:w="8580" w:type="dxa"/>
          </w:tcPr>
          <w:p w14:paraId="2E627009" w14:textId="77777777" w:rsidR="00594F36" w:rsidRDefault="002A21AE" w:rsidP="00594F36">
            <w:pPr>
              <w:pStyle w:val="TableText"/>
            </w:pPr>
            <w:r>
              <w:rPr>
                <w:rFonts w:cs="Arial"/>
                <w:vanish/>
              </w:rPr>
              <w:t xml:space="preserve">BR_73.31 </w:t>
            </w:r>
            <w:r w:rsidR="00594F36">
              <w:t>When required testing is incomplete at issue, VBECS emits an audible alert, warns the user, and asks whether to emergency issue the unit in accordance with hospital policy.</w:t>
            </w:r>
          </w:p>
          <w:p w14:paraId="1170E4D6" w14:textId="77777777" w:rsidR="00594F36" w:rsidRDefault="00594F36" w:rsidP="00594F36">
            <w:pPr>
              <w:pStyle w:val="TableText"/>
            </w:pPr>
          </w:p>
          <w:p w14:paraId="330797DF" w14:textId="77777777" w:rsidR="002A21AE" w:rsidRDefault="00594F36" w:rsidP="00594F36">
            <w:pPr>
              <w:pStyle w:val="TableText"/>
            </w:pPr>
            <w:r w:rsidRPr="00924702">
              <w:rPr>
                <w:b/>
              </w:rPr>
              <w:t>No</w:t>
            </w:r>
            <w:r>
              <w:t xml:space="preserve"> stops the user from issuing the unit and requires selection of another unit. </w:t>
            </w:r>
            <w:r w:rsidRPr="00924702">
              <w:rPr>
                <w:b/>
              </w:rPr>
              <w:t>Yes</w:t>
            </w:r>
            <w:r>
              <w:t xml:space="preserve"> creates an Exception Report entry for the issue, indicates on the unit record that the unit was issued emergently, and asks whether the user wishes to print the Caution Tags and Blood Transfusion Record Forms.</w:t>
            </w:r>
            <w:r w:rsidRPr="00924702">
              <w:rPr>
                <w:b/>
              </w:rPr>
              <w:t xml:space="preserve"> No</w:t>
            </w:r>
            <w:r>
              <w:t xml:space="preserve"> allows the user to continue with the emergency issue. </w:t>
            </w:r>
            <w:r w:rsidRPr="00924702">
              <w:rPr>
                <w:b/>
              </w:rPr>
              <w:t>Yes</w:t>
            </w:r>
            <w:r>
              <w:t xml:space="preserve"> prints a Caution Tag and/or Blood Transfusion Record Form and proceeds with the issue.</w:t>
            </w:r>
          </w:p>
        </w:tc>
      </w:tr>
      <w:tr w:rsidR="00214B12" w14:paraId="63DEC8C6" w14:textId="77777777">
        <w:tc>
          <w:tcPr>
            <w:tcW w:w="780" w:type="dxa"/>
          </w:tcPr>
          <w:p w14:paraId="2ABEBFD0" w14:textId="77777777" w:rsidR="00214B12" w:rsidRDefault="00214B12">
            <w:pPr>
              <w:pStyle w:val="TableText"/>
            </w:pPr>
            <w:r>
              <w:t>5</w:t>
            </w:r>
          </w:p>
        </w:tc>
        <w:tc>
          <w:tcPr>
            <w:tcW w:w="8580" w:type="dxa"/>
          </w:tcPr>
          <w:p w14:paraId="72D1560B" w14:textId="77777777" w:rsidR="00214B12" w:rsidRPr="00170A14" w:rsidRDefault="00214B12" w:rsidP="00CE2473">
            <w:pPr>
              <w:pStyle w:val="TableText"/>
              <w:rPr>
                <w:vanish/>
                <w:szCs w:val="18"/>
              </w:rPr>
            </w:pPr>
            <w:r>
              <w:rPr>
                <w:vanish/>
                <w:szCs w:val="18"/>
              </w:rPr>
              <w:t xml:space="preserve">BR_73.17 </w:t>
            </w:r>
            <w:r w:rsidR="003309E7" w:rsidRPr="0065539A">
              <w:rPr>
                <w:szCs w:val="18"/>
              </w:rPr>
              <w:t>When th</w:t>
            </w:r>
            <w:r w:rsidR="003309E7">
              <w:t>e user attempts to</w:t>
            </w:r>
            <w:r>
              <w:t xml:space="preserve"> issue a unit located in a different division</w:t>
            </w:r>
            <w:r w:rsidR="002B0F51">
              <w:t>,</w:t>
            </w:r>
            <w:r w:rsidR="003309E7">
              <w:t xml:space="preserve"> VBECS warms him that the unit</w:t>
            </w:r>
            <w:r>
              <w:t xml:space="preserve"> cannot be issued</w:t>
            </w:r>
            <w:r w:rsidR="003309E7">
              <w:t xml:space="preserve"> and does not allow </w:t>
            </w:r>
            <w:r w:rsidR="002B0F51">
              <w:t>him</w:t>
            </w:r>
            <w:r w:rsidR="003309E7">
              <w:t xml:space="preserve"> to</w:t>
            </w:r>
            <w:r>
              <w:t xml:space="preserve"> continue.</w:t>
            </w:r>
          </w:p>
        </w:tc>
      </w:tr>
      <w:tr w:rsidR="00CE2473" w14:paraId="46BD736B" w14:textId="77777777">
        <w:tc>
          <w:tcPr>
            <w:tcW w:w="780" w:type="dxa"/>
          </w:tcPr>
          <w:p w14:paraId="74C9399B" w14:textId="77777777" w:rsidR="00CE2473" w:rsidRDefault="00CE2473">
            <w:pPr>
              <w:pStyle w:val="TableText"/>
            </w:pPr>
            <w:r>
              <w:t>5</w:t>
            </w:r>
          </w:p>
        </w:tc>
        <w:tc>
          <w:tcPr>
            <w:tcW w:w="8580" w:type="dxa"/>
          </w:tcPr>
          <w:p w14:paraId="66B3DBCD" w14:textId="77777777" w:rsidR="00CE2473" w:rsidRDefault="00170A14" w:rsidP="00CE2473">
            <w:pPr>
              <w:pStyle w:val="TableText"/>
            </w:pPr>
            <w:r w:rsidRPr="00170A14">
              <w:rPr>
                <w:vanish/>
                <w:szCs w:val="18"/>
              </w:rPr>
              <w:t xml:space="preserve">BR_73.25 </w:t>
            </w:r>
            <w:r w:rsidR="00CE2473">
              <w:t xml:space="preserve">When autologous or directed, or designated or dedicated blood units of the same component class </w:t>
            </w:r>
            <w:r w:rsidR="006C67E5">
              <w:t xml:space="preserve">are </w:t>
            </w:r>
            <w:r w:rsidR="00CE2473">
              <w:t xml:space="preserve">available in the same division as the </w:t>
            </w:r>
            <w:r w:rsidR="00967CF7">
              <w:t>user</w:t>
            </w:r>
            <w:r w:rsidR="00CE2473">
              <w:t xml:space="preserve">, </w:t>
            </w:r>
            <w:r w:rsidR="00967CF7">
              <w:t>VBECS</w:t>
            </w:r>
            <w:r w:rsidR="000014DD">
              <w:t xml:space="preserve"> </w:t>
            </w:r>
            <w:r w:rsidR="00CE2473">
              <w:t>require</w:t>
            </w:r>
            <w:r w:rsidR="00967CF7">
              <w:t>s</w:t>
            </w:r>
            <w:r w:rsidR="00CE2473">
              <w:t xml:space="preserve"> blood units </w:t>
            </w:r>
            <w:r w:rsidR="006C67E5">
              <w:t xml:space="preserve">to </w:t>
            </w:r>
            <w:r w:rsidR="00CE2473">
              <w:t xml:space="preserve">be issued in </w:t>
            </w:r>
            <w:r w:rsidR="00967CF7">
              <w:t>this</w:t>
            </w:r>
            <w:r w:rsidR="00CE2473">
              <w:t xml:space="preserve"> order:</w:t>
            </w:r>
          </w:p>
          <w:p w14:paraId="1D044847" w14:textId="77777777" w:rsidR="00EB5BD0" w:rsidRDefault="00CE2473" w:rsidP="002F6D7B">
            <w:pPr>
              <w:pStyle w:val="TableText"/>
              <w:numPr>
                <w:ilvl w:val="0"/>
                <w:numId w:val="14"/>
              </w:numPr>
            </w:pPr>
            <w:r>
              <w:t>Autologous units</w:t>
            </w:r>
          </w:p>
          <w:p w14:paraId="4855887C" w14:textId="77777777" w:rsidR="00EB5BD0" w:rsidRDefault="0065539A" w:rsidP="002F6D7B">
            <w:pPr>
              <w:pStyle w:val="TableText"/>
              <w:numPr>
                <w:ilvl w:val="0"/>
                <w:numId w:val="14"/>
              </w:numPr>
            </w:pPr>
            <w:r>
              <w:t>R</w:t>
            </w:r>
            <w:r w:rsidR="00CE2473">
              <w:t xml:space="preserve">estricted units </w:t>
            </w:r>
          </w:p>
          <w:p w14:paraId="1461DBD6" w14:textId="77777777" w:rsidR="00CE2473" w:rsidRDefault="00CE2473" w:rsidP="002F6D7B">
            <w:pPr>
              <w:pStyle w:val="TableText"/>
              <w:numPr>
                <w:ilvl w:val="0"/>
                <w:numId w:val="14"/>
              </w:numPr>
            </w:pPr>
            <w:r>
              <w:t>Voluntary allogeneic units</w:t>
            </w:r>
          </w:p>
          <w:p w14:paraId="093B4B9B" w14:textId="77777777" w:rsidR="00CE2473" w:rsidRDefault="00CE2473" w:rsidP="00CE2473">
            <w:pPr>
              <w:pStyle w:val="TableText"/>
            </w:pPr>
          </w:p>
          <w:p w14:paraId="42D028E3" w14:textId="77777777" w:rsidR="00CE2473" w:rsidRDefault="00967CF7" w:rsidP="00CE2473">
            <w:pPr>
              <w:pStyle w:val="TableText"/>
              <w:rPr>
                <w:rFonts w:cs="Arial"/>
                <w:vanish/>
              </w:rPr>
            </w:pPr>
            <w:r>
              <w:t>When</w:t>
            </w:r>
            <w:r w:rsidR="00AC5979">
              <w:t xml:space="preserve"> the user attempts to issue a unit out </w:t>
            </w:r>
            <w:r w:rsidR="0065539A">
              <w:t xml:space="preserve">of </w:t>
            </w:r>
            <w:r>
              <w:t xml:space="preserve">order, VBECS warns </w:t>
            </w:r>
            <w:r w:rsidR="009A51A9">
              <w:t>him</w:t>
            </w:r>
            <w:r>
              <w:t xml:space="preserve"> that m</w:t>
            </w:r>
            <w:r w:rsidR="00AC5979">
              <w:t>ore restrictive unit</w:t>
            </w:r>
            <w:r>
              <w:t>s</w:t>
            </w:r>
            <w:r w:rsidR="00AC5979">
              <w:t xml:space="preserve"> </w:t>
            </w:r>
            <w:r>
              <w:t xml:space="preserve">are </w:t>
            </w:r>
            <w:r w:rsidR="00AC5979">
              <w:t>available</w:t>
            </w:r>
            <w:r>
              <w:t xml:space="preserve"> </w:t>
            </w:r>
            <w:r w:rsidR="009A51A9">
              <w:t xml:space="preserve">for issue </w:t>
            </w:r>
            <w:r>
              <w:t>and asks whether he wishes to c</w:t>
            </w:r>
            <w:r w:rsidR="00AC5979">
              <w:t>ontinue</w:t>
            </w:r>
            <w:r>
              <w:t xml:space="preserve">. </w:t>
            </w:r>
            <w:r w:rsidRPr="00967CF7">
              <w:rPr>
                <w:b/>
              </w:rPr>
              <w:t>N</w:t>
            </w:r>
            <w:r w:rsidR="00AC5979" w:rsidRPr="00967CF7">
              <w:rPr>
                <w:b/>
              </w:rPr>
              <w:t>o</w:t>
            </w:r>
            <w:r w:rsidR="00AC5979">
              <w:t xml:space="preserve"> allows the user to enter a</w:t>
            </w:r>
            <w:r>
              <w:t>nother</w:t>
            </w:r>
            <w:r w:rsidR="00AC5979">
              <w:t xml:space="preserve"> unit number. </w:t>
            </w:r>
            <w:r w:rsidR="00AC5979" w:rsidRPr="00967CF7">
              <w:rPr>
                <w:b/>
              </w:rPr>
              <w:t>Yes</w:t>
            </w:r>
            <w:r w:rsidR="00AC5979">
              <w:t xml:space="preserve"> allows the user to continue and captures transaction details for inclusion in an </w:t>
            </w:r>
            <w:r>
              <w:t>E</w:t>
            </w:r>
            <w:r w:rsidR="00AC5979">
              <w:t xml:space="preserve">xception </w:t>
            </w:r>
            <w:r>
              <w:t>R</w:t>
            </w:r>
            <w:r w:rsidR="00AC5979">
              <w:t>eport</w:t>
            </w:r>
            <w:r>
              <w:t xml:space="preserve"> (exception type: less restrictive unit issued).</w:t>
            </w:r>
          </w:p>
        </w:tc>
      </w:tr>
      <w:tr w:rsidR="00214B12" w14:paraId="6B41FE9B" w14:textId="77777777">
        <w:tc>
          <w:tcPr>
            <w:tcW w:w="780" w:type="dxa"/>
          </w:tcPr>
          <w:p w14:paraId="6D019960" w14:textId="77777777" w:rsidR="00214B12" w:rsidRDefault="00214B12">
            <w:pPr>
              <w:pStyle w:val="TableText"/>
            </w:pPr>
            <w:r>
              <w:t>5</w:t>
            </w:r>
          </w:p>
        </w:tc>
        <w:tc>
          <w:tcPr>
            <w:tcW w:w="8580" w:type="dxa"/>
          </w:tcPr>
          <w:p w14:paraId="7165D8FB" w14:textId="77777777" w:rsidR="00214B12" w:rsidRPr="00214B12" w:rsidRDefault="00214B12">
            <w:pPr>
              <w:pStyle w:val="TableText"/>
              <w:rPr>
                <w:rFonts w:cs="Arial"/>
                <w:vanish/>
                <w:szCs w:val="18"/>
              </w:rPr>
            </w:pPr>
            <w:r w:rsidRPr="00214B12">
              <w:rPr>
                <w:rFonts w:cs="Arial"/>
                <w:vanish/>
                <w:szCs w:val="18"/>
              </w:rPr>
              <w:t xml:space="preserve">BR_73.19 </w:t>
            </w:r>
            <w:r>
              <w:t xml:space="preserve">When a user indicates that the </w:t>
            </w:r>
            <w:r w:rsidR="008E45C7">
              <w:t xml:space="preserve">inspected </w:t>
            </w:r>
            <w:r>
              <w:t xml:space="preserve">unit is unsatisfactory, </w:t>
            </w:r>
            <w:r w:rsidR="00C172A4">
              <w:t>VBECS does</w:t>
            </w:r>
            <w:r>
              <w:t xml:space="preserve"> not allow </w:t>
            </w:r>
            <w:r w:rsidR="00C172A4">
              <w:t xml:space="preserve">the </w:t>
            </w:r>
            <w:r>
              <w:t xml:space="preserve">unit </w:t>
            </w:r>
            <w:r w:rsidR="00C172A4">
              <w:t xml:space="preserve">to be issued, releases it </w:t>
            </w:r>
            <w:r>
              <w:t xml:space="preserve">from assignment, </w:t>
            </w:r>
            <w:r w:rsidR="00C172A4">
              <w:t>and warns the user that the u</w:t>
            </w:r>
            <w:r>
              <w:t xml:space="preserve">nit is unacceptable for transfusion. </w:t>
            </w:r>
            <w:r w:rsidR="00C172A4">
              <w:t>VBECS</w:t>
            </w:r>
            <w:r>
              <w:t xml:space="preserve"> allows </w:t>
            </w:r>
            <w:r w:rsidR="00C172A4">
              <w:t>the user to enter another</w:t>
            </w:r>
            <w:r>
              <w:t xml:space="preserve"> unit number.</w:t>
            </w:r>
          </w:p>
        </w:tc>
      </w:tr>
      <w:tr w:rsidR="002A21AE" w14:paraId="57700AA7" w14:textId="77777777">
        <w:tc>
          <w:tcPr>
            <w:tcW w:w="780" w:type="dxa"/>
          </w:tcPr>
          <w:p w14:paraId="5DD17006" w14:textId="77777777" w:rsidR="002A21AE" w:rsidRDefault="002A21AE">
            <w:pPr>
              <w:pStyle w:val="TableText"/>
            </w:pPr>
            <w:r>
              <w:t>5</w:t>
            </w:r>
          </w:p>
        </w:tc>
        <w:tc>
          <w:tcPr>
            <w:tcW w:w="8580" w:type="dxa"/>
          </w:tcPr>
          <w:p w14:paraId="46C38FCA" w14:textId="77777777" w:rsidR="002A21AE" w:rsidRDefault="002A21AE">
            <w:pPr>
              <w:pStyle w:val="TableText"/>
            </w:pPr>
            <w:r>
              <w:rPr>
                <w:rFonts w:cs="Arial"/>
                <w:vanish/>
              </w:rPr>
              <w:t xml:space="preserve">BR_73.27 </w:t>
            </w:r>
            <w:r>
              <w:rPr>
                <w:rFonts w:cs="Arial"/>
              </w:rPr>
              <w:t xml:space="preserve">When the user attempts to select frozen blood components, VBECS </w:t>
            </w:r>
            <w:r>
              <w:t xml:space="preserve">warns the user. Units selected in their frozen state must be thawed before issue. </w:t>
            </w:r>
          </w:p>
        </w:tc>
      </w:tr>
      <w:tr w:rsidR="004C2C6A" w14:paraId="6B0F1156" w14:textId="77777777">
        <w:tc>
          <w:tcPr>
            <w:tcW w:w="780" w:type="dxa"/>
          </w:tcPr>
          <w:p w14:paraId="00559372" w14:textId="77777777" w:rsidR="004C2C6A" w:rsidRDefault="00B11528">
            <w:pPr>
              <w:pStyle w:val="TableText"/>
            </w:pPr>
            <w:r>
              <w:t>5</w:t>
            </w:r>
          </w:p>
        </w:tc>
        <w:tc>
          <w:tcPr>
            <w:tcW w:w="8580" w:type="dxa"/>
          </w:tcPr>
          <w:p w14:paraId="6E0629AB" w14:textId="77777777" w:rsidR="00B11528" w:rsidRPr="00B11528" w:rsidRDefault="00B11528" w:rsidP="00B11528">
            <w:pPr>
              <w:pStyle w:val="TableText"/>
              <w:rPr>
                <w:rFonts w:eastAsia="Calibri"/>
                <w:szCs w:val="18"/>
              </w:rPr>
            </w:pPr>
            <w:r w:rsidRPr="00B11528">
              <w:t xml:space="preserve">When the patient has Component Requirements </w:t>
            </w:r>
            <w:r>
              <w:t xml:space="preserve">(CRs) </w:t>
            </w:r>
            <w:r w:rsidRPr="00B11528">
              <w:t>and Antigen Negative Requirements, the user attempts to issue (including emergency issue) red blood cells that do not satisfy the requirements, and the user is:</w:t>
            </w:r>
          </w:p>
          <w:p w14:paraId="7D797A3B" w14:textId="77777777" w:rsidR="00B11528" w:rsidRPr="00B11528" w:rsidRDefault="00B11528" w:rsidP="00B11528">
            <w:pPr>
              <w:pStyle w:val="TableTextBullet"/>
              <w:numPr>
                <w:ilvl w:val="0"/>
                <w:numId w:val="0"/>
              </w:numPr>
              <w:tabs>
                <w:tab w:val="left" w:pos="720"/>
              </w:tabs>
              <w:rPr>
                <w:sz w:val="20"/>
                <w:szCs w:val="20"/>
              </w:rPr>
            </w:pPr>
            <w:r w:rsidRPr="00B11528">
              <w:rPr>
                <w:rFonts w:ascii="Wingdings 3" w:hAnsi="Wingdings 3"/>
              </w:rPr>
              <w:t></w:t>
            </w:r>
            <w:r w:rsidRPr="00B11528">
              <w:rPr>
                <w:rFonts w:ascii="Wingdings 3" w:hAnsi="Wingdings 3"/>
              </w:rPr>
              <w:t></w:t>
            </w:r>
            <w:r w:rsidRPr="00B11528">
              <w:t xml:space="preserve"> An Enhanced Technologist or below, VBECS emits an audible alert and warns the user that the unit is not selectable and he is not authorized to issue the unit. The unsatisfied requirements are not detailed.</w:t>
            </w:r>
          </w:p>
          <w:p w14:paraId="3853346D" w14:textId="77777777" w:rsidR="004C2C6A" w:rsidRDefault="00B11528" w:rsidP="00B11528">
            <w:pPr>
              <w:pStyle w:val="TableText"/>
              <w:rPr>
                <w:rFonts w:cs="Arial"/>
                <w:vanish/>
              </w:rPr>
            </w:pPr>
            <w:r w:rsidRPr="00B11528">
              <w:t>VBECS does not allow an override.</w:t>
            </w:r>
          </w:p>
        </w:tc>
      </w:tr>
      <w:tr w:rsidR="002A21AE" w14:paraId="4E2082B7" w14:textId="77777777">
        <w:tc>
          <w:tcPr>
            <w:tcW w:w="780" w:type="dxa"/>
          </w:tcPr>
          <w:p w14:paraId="3C1904FB" w14:textId="77777777" w:rsidR="002A21AE" w:rsidRDefault="002A21AE">
            <w:pPr>
              <w:pStyle w:val="TableText"/>
            </w:pPr>
            <w:r>
              <w:t>5</w:t>
            </w:r>
          </w:p>
        </w:tc>
        <w:tc>
          <w:tcPr>
            <w:tcW w:w="8580" w:type="dxa"/>
          </w:tcPr>
          <w:p w14:paraId="26E0EB06" w14:textId="77777777" w:rsidR="002104CB" w:rsidRDefault="002A21AE">
            <w:pPr>
              <w:pStyle w:val="TableText"/>
            </w:pPr>
            <w:r>
              <w:rPr>
                <w:rFonts w:cs="Arial"/>
                <w:vanish/>
              </w:rPr>
              <w:t xml:space="preserve">BR_73.28 </w:t>
            </w:r>
            <w:r w:rsidR="004C2C6A">
              <w:t xml:space="preserve">When the patient has </w:t>
            </w:r>
            <w:r w:rsidR="00B11528">
              <w:t>Component Requirements</w:t>
            </w:r>
            <w:r w:rsidR="002104CB" w:rsidRPr="002104CB">
              <w:t xml:space="preserve">, the user attempts to issue (including emergency issue) red blood </w:t>
            </w:r>
            <w:r w:rsidR="004C2C6A">
              <w:t>cells that do not satisfy the requirement</w:t>
            </w:r>
            <w:r w:rsidR="002104CB" w:rsidRPr="002104CB">
              <w:t>,</w:t>
            </w:r>
            <w:r w:rsidR="002104CB">
              <w:t xml:space="preserve"> and the user is:</w:t>
            </w:r>
          </w:p>
          <w:p w14:paraId="1DA516DB" w14:textId="77777777" w:rsidR="006105C7" w:rsidRDefault="00910609" w:rsidP="002104CB">
            <w:pPr>
              <w:pStyle w:val="TableTextBullet"/>
            </w:pPr>
            <w:r w:rsidRPr="00EC7489">
              <w:rPr>
                <w:rFonts w:ascii="Wingdings 3" w:hAnsi="Wingdings 3" w:cs="Wingdings"/>
              </w:rPr>
              <w:t></w:t>
            </w:r>
            <w:r w:rsidRPr="00EC7489">
              <w:rPr>
                <w:rFonts w:ascii="Wingdings 3" w:hAnsi="Wingdings 3" w:cs="Wingdings"/>
              </w:rPr>
              <w:t></w:t>
            </w:r>
            <w:r>
              <w:t xml:space="preserve"> </w:t>
            </w:r>
            <w:r w:rsidR="002104CB">
              <w:t>A</w:t>
            </w:r>
            <w:r w:rsidR="006105C7">
              <w:t xml:space="preserve">n </w:t>
            </w:r>
            <w:r>
              <w:t xml:space="preserve">Enhanced Technologist or below, </w:t>
            </w:r>
            <w:r w:rsidR="00514F60">
              <w:t xml:space="preserve">VBECS emits an audible alert and warns the user that the patient's </w:t>
            </w:r>
            <w:r w:rsidR="004C2C6A">
              <w:t>component</w:t>
            </w:r>
            <w:r w:rsidR="00514F60">
              <w:t xml:space="preserve"> requirement is not satisfied and he is not authorized to issue the unit. VBECS does not allow an override.</w:t>
            </w:r>
          </w:p>
          <w:p w14:paraId="616A8295" w14:textId="77777777" w:rsidR="002A21AE" w:rsidRDefault="006105C7" w:rsidP="004C2C6A">
            <w:pPr>
              <w:pStyle w:val="TableTex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2104CB">
              <w:t>A</w:t>
            </w:r>
            <w:r>
              <w:t xml:space="preserve"> Lead Technologist or above, VBECS emits an audible alert and warns the </w:t>
            </w:r>
            <w:r w:rsidR="00514F60">
              <w:t xml:space="preserve">user that the patient's </w:t>
            </w:r>
            <w:r w:rsidR="004C2C6A">
              <w:t>component</w:t>
            </w:r>
            <w:r w:rsidR="00514F60">
              <w:t xml:space="preserve"> requirement is not satisfied and allows for an ove</w:t>
            </w:r>
            <w:r w:rsidR="00F94F44">
              <w:t>r</w:t>
            </w:r>
            <w:r w:rsidR="00514F60">
              <w:t>ride</w:t>
            </w:r>
            <w:r>
              <w:t>.</w:t>
            </w:r>
            <w:r>
              <w:rPr>
                <w:b/>
              </w:rPr>
              <w:t xml:space="preserve"> </w:t>
            </w:r>
            <w:r w:rsidR="00910609">
              <w:rPr>
                <w:b/>
              </w:rPr>
              <w:t>No</w:t>
            </w:r>
            <w:r w:rsidR="00910609">
              <w:t xml:space="preserve"> clears the screen. </w:t>
            </w:r>
            <w:r w:rsidR="00910609">
              <w:rPr>
                <w:b/>
              </w:rPr>
              <w:t>Yes</w:t>
            </w:r>
            <w:r w:rsidR="00910609">
              <w:t xml:space="preserve"> requires a comment and captures details for inclusion in an Exception Report (exception type: unit issued with unsatisfied TR).</w:t>
            </w:r>
            <w:r w:rsidR="002A21AE">
              <w:t xml:space="preserve"> </w:t>
            </w:r>
          </w:p>
        </w:tc>
      </w:tr>
      <w:tr w:rsidR="002A21AE" w14:paraId="18DCDBD6" w14:textId="77777777">
        <w:tc>
          <w:tcPr>
            <w:tcW w:w="780" w:type="dxa"/>
          </w:tcPr>
          <w:p w14:paraId="50439898" w14:textId="77777777" w:rsidR="002A21AE" w:rsidRDefault="002A21AE">
            <w:pPr>
              <w:pStyle w:val="TableText"/>
            </w:pPr>
            <w:r>
              <w:t>5</w:t>
            </w:r>
          </w:p>
        </w:tc>
        <w:tc>
          <w:tcPr>
            <w:tcW w:w="8580" w:type="dxa"/>
          </w:tcPr>
          <w:p w14:paraId="4C41F18F" w14:textId="77777777" w:rsidR="002A21AE" w:rsidRDefault="002A21AE">
            <w:pPr>
              <w:pStyle w:val="TableText"/>
            </w:pPr>
            <w:r>
              <w:rPr>
                <w:rFonts w:cs="Arial"/>
                <w:vanish/>
              </w:rPr>
              <w:t xml:space="preserve">BR_73.15 </w:t>
            </w:r>
            <w:r>
              <w:t xml:space="preserve">When a repeat ABO/Rh performed on the patient specimen does not match the original ABO/Rh interpretation and the unit doesn’t qualify for emergency issue, VBECS warns the user and instructs him to resolve the discrepancy before issuing the unit. There is no override. </w:t>
            </w:r>
            <w:r w:rsidR="00E44A2A">
              <w:t xml:space="preserve">Units that qualify for emergency </w:t>
            </w:r>
            <w:r w:rsidR="00E44A2A">
              <w:lastRenderedPageBreak/>
              <w:t>issue may continue and VBECS will display a message that the ABO/Rh on the current specimen does not agree with the historic ABO/Rh.</w:t>
            </w:r>
          </w:p>
        </w:tc>
      </w:tr>
      <w:tr w:rsidR="002A21AE" w14:paraId="693EA6AE" w14:textId="77777777">
        <w:tc>
          <w:tcPr>
            <w:tcW w:w="780" w:type="dxa"/>
          </w:tcPr>
          <w:p w14:paraId="6BEA4EE5" w14:textId="77777777" w:rsidR="002A21AE" w:rsidRDefault="002A21AE">
            <w:pPr>
              <w:pStyle w:val="TableText"/>
            </w:pPr>
            <w:r>
              <w:lastRenderedPageBreak/>
              <w:t>5</w:t>
            </w:r>
          </w:p>
        </w:tc>
        <w:tc>
          <w:tcPr>
            <w:tcW w:w="8580" w:type="dxa"/>
          </w:tcPr>
          <w:p w14:paraId="16E1A333" w14:textId="77777777" w:rsidR="002A21AE" w:rsidRDefault="002A21AE">
            <w:pPr>
              <w:pStyle w:val="TableText"/>
            </w:pPr>
            <w:r>
              <w:rPr>
                <w:rFonts w:cs="Arial"/>
                <w:vanish/>
              </w:rPr>
              <w:t xml:space="preserve">BR_73.30 </w:t>
            </w:r>
            <w:r>
              <w:t xml:space="preserve">When a unit has a biohazard indicator, VBECS emits an audible alert, warns the user, and asks whether he still wishes to issue the unit. </w:t>
            </w:r>
            <w:r>
              <w:rPr>
                <w:b/>
              </w:rPr>
              <w:t>No</w:t>
            </w:r>
            <w:r>
              <w:t xml:space="preserve"> clears the entry and allows the user to select a new unit. </w:t>
            </w:r>
            <w:r>
              <w:rPr>
                <w:b/>
              </w:rPr>
              <w:t>Yes</w:t>
            </w:r>
            <w:r>
              <w:t xml:space="preserve"> requires a comment and captures details of the transaction for inclusion in an Exception Report (exception type: biohazardous unit issued). </w:t>
            </w:r>
          </w:p>
        </w:tc>
      </w:tr>
      <w:tr w:rsidR="002A21AE" w14:paraId="1B0CAB31" w14:textId="77777777">
        <w:tc>
          <w:tcPr>
            <w:tcW w:w="780" w:type="dxa"/>
          </w:tcPr>
          <w:p w14:paraId="238D422C" w14:textId="77777777" w:rsidR="002A21AE" w:rsidRDefault="002A21AE">
            <w:pPr>
              <w:pStyle w:val="TableText"/>
            </w:pPr>
            <w:r>
              <w:t>5</w:t>
            </w:r>
          </w:p>
        </w:tc>
        <w:tc>
          <w:tcPr>
            <w:tcW w:w="8580" w:type="dxa"/>
          </w:tcPr>
          <w:p w14:paraId="7D30471B" w14:textId="77777777" w:rsidR="002A21AE" w:rsidRDefault="002A21AE" w:rsidP="000B2F76">
            <w:pPr>
              <w:pStyle w:val="TableText"/>
            </w:pPr>
            <w:r>
              <w:rPr>
                <w:rFonts w:cs="Arial"/>
                <w:vanish/>
                <w:szCs w:val="22"/>
              </w:rPr>
              <w:t xml:space="preserve">BR_73.16 </w:t>
            </w:r>
            <w:r>
              <w:t xml:space="preserve">For an Rh negative, unknown, or inconclusive </w:t>
            </w:r>
            <w:r w:rsidR="000B2F76">
              <w:t xml:space="preserve">patient: </w:t>
            </w:r>
            <w:r>
              <w:t>the user may ent</w:t>
            </w:r>
            <w:r w:rsidR="005F5509">
              <w:t xml:space="preserve">er and confirm Rh positive or Rh pooled units </w:t>
            </w:r>
            <w:r>
              <w:t xml:space="preserve">from the WHOLE BLOOD, RED BLOOD CELLS, </w:t>
            </w:r>
            <w:r w:rsidR="00831235">
              <w:t xml:space="preserve">PLATELETS, </w:t>
            </w:r>
            <w:r>
              <w:t xml:space="preserve">and </w:t>
            </w:r>
            <w:r w:rsidR="00831235">
              <w:t>OTHER</w:t>
            </w:r>
            <w:r>
              <w:t xml:space="preserve"> </w:t>
            </w:r>
            <w:r w:rsidR="00B25AD0">
              <w:t xml:space="preserve">VBECS </w:t>
            </w:r>
            <w:r>
              <w:t xml:space="preserve">component classes. </w:t>
            </w:r>
            <w:r w:rsidR="000B2F76">
              <w:t xml:space="preserve">When VBECS component classes are individually entered and confirmed by the user, </w:t>
            </w:r>
            <w:r>
              <w:t xml:space="preserve">VBECS emits an audible alert, warns the user, and asks whether he wishes to issue the unit. </w:t>
            </w:r>
            <w:r>
              <w:rPr>
                <w:b/>
              </w:rPr>
              <w:t>No</w:t>
            </w:r>
            <w:r>
              <w:t xml:space="preserve"> clears the unit data and allows the user to select a different unit. </w:t>
            </w:r>
            <w:r>
              <w:rPr>
                <w:b/>
              </w:rPr>
              <w:t>Yes</w:t>
            </w:r>
            <w:r>
              <w:t xml:space="preserve"> requires additional comment and captures details for inclusion in an Exception Report (exception type: antigen positive/untested units issued).</w:t>
            </w:r>
          </w:p>
          <w:p w14:paraId="4024CEB2" w14:textId="77777777" w:rsidR="00685A5F" w:rsidRPr="00912031" w:rsidRDefault="00685A5F" w:rsidP="00685A5F">
            <w:pPr>
              <w:pStyle w:val="TableText"/>
              <w:rPr>
                <w:rFonts w:cs="Arial"/>
              </w:rPr>
            </w:pPr>
            <w:r w:rsidRPr="00912031">
              <w:rPr>
                <w:rFonts w:cs="Arial"/>
              </w:rPr>
              <w:t>Additional details to be included in the exception report when the user overrides this business rule:</w:t>
            </w:r>
          </w:p>
          <w:p w14:paraId="5F1A4E1E" w14:textId="77777777" w:rsidR="00685A5F" w:rsidRPr="00912031" w:rsidRDefault="00685A5F" w:rsidP="00BA3292">
            <w:pPr>
              <w:pStyle w:val="TableText"/>
              <w:numPr>
                <w:ilvl w:val="0"/>
                <w:numId w:val="65"/>
              </w:numPr>
              <w:rPr>
                <w:rFonts w:cs="Arial"/>
              </w:rPr>
            </w:pPr>
            <w:r w:rsidRPr="00912031">
              <w:rPr>
                <w:rFonts w:cs="Arial"/>
              </w:rPr>
              <w:t>Transaction Type: Antigen positive/untested units issued</w:t>
            </w:r>
          </w:p>
          <w:p w14:paraId="0F33AB5E" w14:textId="77777777" w:rsidR="00685A5F" w:rsidRPr="00912031" w:rsidRDefault="00685A5F" w:rsidP="00BA3292">
            <w:pPr>
              <w:pStyle w:val="TableText"/>
              <w:numPr>
                <w:ilvl w:val="0"/>
                <w:numId w:val="64"/>
              </w:numPr>
              <w:rPr>
                <w:rFonts w:cs="Arial"/>
              </w:rPr>
            </w:pPr>
            <w:r w:rsidRPr="00912031">
              <w:rPr>
                <w:rFonts w:cs="Arial"/>
              </w:rPr>
              <w:t>Patient Antibody Identified</w:t>
            </w:r>
          </w:p>
          <w:p w14:paraId="4C420027" w14:textId="77777777" w:rsidR="00685A5F" w:rsidRPr="00685A5F" w:rsidRDefault="00685A5F" w:rsidP="00BA3292">
            <w:pPr>
              <w:pStyle w:val="TableText"/>
              <w:numPr>
                <w:ilvl w:val="0"/>
                <w:numId w:val="64"/>
              </w:numPr>
              <w:rPr>
                <w:rFonts w:cs="Arial"/>
              </w:rPr>
            </w:pPr>
            <w:r w:rsidRPr="00912031">
              <w:rPr>
                <w:rFonts w:cs="Arial"/>
              </w:rPr>
              <w:t>Unit Antigen Phenotype Result</w:t>
            </w:r>
          </w:p>
        </w:tc>
      </w:tr>
      <w:tr w:rsidR="002A21AE" w14:paraId="2D95EAB6" w14:textId="77777777">
        <w:tc>
          <w:tcPr>
            <w:tcW w:w="780" w:type="dxa"/>
          </w:tcPr>
          <w:p w14:paraId="5010342B" w14:textId="77777777" w:rsidR="002A21AE" w:rsidRDefault="002A21AE">
            <w:pPr>
              <w:pStyle w:val="TableText"/>
            </w:pPr>
            <w:r>
              <w:t>5</w:t>
            </w:r>
          </w:p>
        </w:tc>
        <w:tc>
          <w:tcPr>
            <w:tcW w:w="8580" w:type="dxa"/>
          </w:tcPr>
          <w:p w14:paraId="18AE2666" w14:textId="77777777" w:rsidR="00F20D51" w:rsidRPr="00912031" w:rsidRDefault="00F20D51" w:rsidP="00F20D51">
            <w:pPr>
              <w:pStyle w:val="TableText"/>
              <w:rPr>
                <w:rFonts w:cs="Arial"/>
                <w:szCs w:val="18"/>
              </w:rPr>
            </w:pPr>
            <w:r w:rsidRPr="00F20D51">
              <w:rPr>
                <w:rFonts w:cs="Arial"/>
                <w:vanish/>
                <w:szCs w:val="18"/>
              </w:rPr>
              <w:t xml:space="preserve">BR_73.03 </w:t>
            </w:r>
            <w:r w:rsidRPr="00912031">
              <w:rPr>
                <w:rFonts w:cs="Arial"/>
                <w:szCs w:val="18"/>
              </w:rPr>
              <w:t xml:space="preserve">The system will not allow the issue of units assigned/crossmatched or that require an ABO/Rh associated with an expired specimen when compared to the issue date and time unless the user role is Enhanced Technologist, VBECS security levels 2 and above. </w:t>
            </w:r>
          </w:p>
          <w:p w14:paraId="6C03C32F" w14:textId="77777777" w:rsidR="00F20D51" w:rsidRPr="00912031" w:rsidRDefault="00F20D51" w:rsidP="00F20D51">
            <w:pPr>
              <w:pStyle w:val="TableText"/>
              <w:rPr>
                <w:rFonts w:cs="Arial"/>
                <w:szCs w:val="18"/>
              </w:rPr>
            </w:pPr>
          </w:p>
          <w:p w14:paraId="6763E1C0" w14:textId="77777777" w:rsidR="00F20D51" w:rsidRPr="00912031" w:rsidRDefault="00F20D51" w:rsidP="00F20D51">
            <w:pPr>
              <w:pStyle w:val="TableText"/>
              <w:rPr>
                <w:rFonts w:cs="Arial"/>
                <w:szCs w:val="18"/>
              </w:rPr>
            </w:pPr>
            <w:r w:rsidRPr="00912031">
              <w:rPr>
                <w:rFonts w:cs="Arial"/>
                <w:szCs w:val="18"/>
              </w:rPr>
              <w:t>When the user role is Technologist, VBECS security level 1, the system will display the warning message: Patient specimen is expired. You do not have the proper security to issue this unit. The system will not allow an override.</w:t>
            </w:r>
          </w:p>
          <w:p w14:paraId="7DD8705E" w14:textId="77777777" w:rsidR="00F20D51" w:rsidRPr="00912031" w:rsidRDefault="00F20D51" w:rsidP="00F20D51">
            <w:pPr>
              <w:pStyle w:val="TableText"/>
              <w:rPr>
                <w:rFonts w:cs="Arial"/>
                <w:szCs w:val="18"/>
              </w:rPr>
            </w:pPr>
          </w:p>
          <w:p w14:paraId="735BBC62" w14:textId="77777777" w:rsidR="00F20D51" w:rsidRPr="00912031" w:rsidRDefault="00F20D51" w:rsidP="00F20D51">
            <w:pPr>
              <w:pStyle w:val="TableText"/>
              <w:rPr>
                <w:rFonts w:cs="Arial"/>
                <w:szCs w:val="18"/>
              </w:rPr>
            </w:pPr>
            <w:r w:rsidRPr="00912031">
              <w:rPr>
                <w:rFonts w:cs="Arial"/>
                <w:szCs w:val="18"/>
              </w:rPr>
              <w:t>When the user role is Enhanced Technologist, VBECS security levels 2 and above, the system will provide an audible alert and display the warning message: Patient specimen is expired. Continue to issue? Yes/No. If the user responds “No” the system will clear the screen. If the user responds “Yes” the system will require a comment (free text or canned, “unit issue” context) and captures the transaction details for inclusion in an exception report entry for th</w:t>
            </w:r>
            <w:r>
              <w:rPr>
                <w:rFonts w:cs="Arial"/>
                <w:szCs w:val="18"/>
              </w:rPr>
              <w:t>e issue</w:t>
            </w:r>
            <w:r w:rsidRPr="00912031">
              <w:rPr>
                <w:rFonts w:cs="Arial"/>
                <w:szCs w:val="18"/>
              </w:rPr>
              <w:t xml:space="preserve">. </w:t>
            </w:r>
          </w:p>
          <w:p w14:paraId="2156EDB8" w14:textId="77777777" w:rsidR="00F20D51" w:rsidRPr="00912031" w:rsidRDefault="00F20D51" w:rsidP="00F20D51">
            <w:pPr>
              <w:pStyle w:val="TableText"/>
              <w:rPr>
                <w:rFonts w:cs="Arial"/>
                <w:szCs w:val="18"/>
              </w:rPr>
            </w:pPr>
          </w:p>
          <w:p w14:paraId="1EEA77E6" w14:textId="77777777" w:rsidR="00F20D51" w:rsidRPr="00912031" w:rsidRDefault="00F20D51" w:rsidP="00F20D51">
            <w:pPr>
              <w:pStyle w:val="TableText"/>
              <w:rPr>
                <w:rFonts w:cs="Arial"/>
                <w:szCs w:val="18"/>
              </w:rPr>
            </w:pPr>
            <w:r w:rsidRPr="00912031">
              <w:rPr>
                <w:rFonts w:cs="Arial"/>
                <w:szCs w:val="18"/>
              </w:rPr>
              <w:t>Additional details to be included in the exception report when the user overrides this business rule:</w:t>
            </w:r>
          </w:p>
          <w:p w14:paraId="2406740B" w14:textId="77777777" w:rsidR="00F20D51" w:rsidRPr="00912031" w:rsidRDefault="00F20D51" w:rsidP="00BA3292">
            <w:pPr>
              <w:pStyle w:val="TableText"/>
              <w:numPr>
                <w:ilvl w:val="0"/>
                <w:numId w:val="63"/>
              </w:numPr>
              <w:rPr>
                <w:rFonts w:cs="Arial"/>
                <w:szCs w:val="18"/>
              </w:rPr>
            </w:pPr>
            <w:r w:rsidRPr="00912031">
              <w:rPr>
                <w:rFonts w:cs="Arial"/>
                <w:szCs w:val="18"/>
              </w:rPr>
              <w:t>Transaction Type: Unit issued on expired specimen</w:t>
            </w:r>
          </w:p>
          <w:p w14:paraId="269E9A65" w14:textId="77777777" w:rsidR="002A21AE" w:rsidRDefault="00F20D51" w:rsidP="00BA3292">
            <w:pPr>
              <w:pStyle w:val="TableText"/>
              <w:numPr>
                <w:ilvl w:val="0"/>
                <w:numId w:val="63"/>
              </w:numPr>
            </w:pPr>
            <w:r w:rsidRPr="00912031">
              <w:rPr>
                <w:rFonts w:cs="Arial"/>
                <w:szCs w:val="18"/>
              </w:rPr>
              <w:t>Specimen UID</w:t>
            </w:r>
          </w:p>
        </w:tc>
      </w:tr>
      <w:tr w:rsidR="002A21AE" w14:paraId="44F60856" w14:textId="77777777">
        <w:tc>
          <w:tcPr>
            <w:tcW w:w="780" w:type="dxa"/>
          </w:tcPr>
          <w:p w14:paraId="6B5A0FAC" w14:textId="77777777" w:rsidR="002A21AE" w:rsidRDefault="002A21AE">
            <w:pPr>
              <w:pStyle w:val="TableText"/>
            </w:pPr>
            <w:r>
              <w:t>5</w:t>
            </w:r>
          </w:p>
        </w:tc>
        <w:tc>
          <w:tcPr>
            <w:tcW w:w="8580" w:type="dxa"/>
          </w:tcPr>
          <w:p w14:paraId="7918253A" w14:textId="77777777" w:rsidR="002A21AE" w:rsidRDefault="002A21AE">
            <w:pPr>
              <w:pStyle w:val="TableText"/>
            </w:pPr>
            <w:r>
              <w:rPr>
                <w:rFonts w:cs="Arial"/>
                <w:vanish/>
              </w:rPr>
              <w:t xml:space="preserve">BR_73.04 </w:t>
            </w:r>
            <w:r>
              <w:t>When the user attempts to issue an expired unit, V</w:t>
            </w:r>
            <w:r w:rsidR="00D258CC">
              <w:t xml:space="preserve">BECS </w:t>
            </w:r>
            <w:r>
              <w:t>warns him. There is no override.</w:t>
            </w:r>
          </w:p>
          <w:p w14:paraId="2E592A11" w14:textId="77777777" w:rsidR="002A21AE" w:rsidRDefault="002A21AE">
            <w:pPr>
              <w:pStyle w:val="TableText"/>
            </w:pPr>
          </w:p>
          <w:p w14:paraId="2DAF9BBA"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(exception type: issued expired unit).</w:t>
            </w:r>
          </w:p>
        </w:tc>
      </w:tr>
      <w:tr w:rsidR="002A21AE" w14:paraId="3C54475C" w14:textId="77777777">
        <w:tc>
          <w:tcPr>
            <w:tcW w:w="780" w:type="dxa"/>
          </w:tcPr>
          <w:p w14:paraId="2DAA95F2" w14:textId="77777777" w:rsidR="002A21AE" w:rsidRDefault="002A21AE">
            <w:pPr>
              <w:pStyle w:val="TableText"/>
            </w:pPr>
            <w:r>
              <w:t>5</w:t>
            </w:r>
          </w:p>
        </w:tc>
        <w:tc>
          <w:tcPr>
            <w:tcW w:w="8580" w:type="dxa"/>
          </w:tcPr>
          <w:p w14:paraId="0447426E" w14:textId="77777777" w:rsidR="002A21AE" w:rsidRDefault="002A21AE">
            <w:pPr>
              <w:pStyle w:val="TableText"/>
            </w:pPr>
            <w:r>
              <w:rPr>
                <w:rFonts w:cs="Arial"/>
                <w:vanish/>
              </w:rPr>
              <w:t xml:space="preserve">BR_73.14 </w:t>
            </w:r>
            <w:r>
              <w:t>When the user sele</w:t>
            </w:r>
            <w:r w:rsidR="00A92813">
              <w:t>cts units from the WHOLE BLOOD or RED BLOOD CELLS</w:t>
            </w:r>
            <w:r>
              <w:t xml:space="preserve"> component classes, VBECS determines when the patient has a calculated or a persistent antigen negative requirement. This does not apply when selecting autologous (ISBT 128 units with an autologous donation type). When the selected unit was antigen typed and is positive for the corresponding antigen or is untested for the antigen, VBECS warns the user and requires action based on his security level.</w:t>
            </w:r>
          </w:p>
          <w:p w14:paraId="3CCC1D73" w14:textId="77777777" w:rsidR="002A21AE" w:rsidRDefault="002A21AE">
            <w:pPr>
              <w:pStyle w:val="TableText"/>
            </w:pPr>
          </w:p>
          <w:p w14:paraId="7D92940C"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below, V</w:t>
            </w:r>
            <w:r w:rsidR="00D258CC">
              <w:t xml:space="preserve">BECS </w:t>
            </w:r>
            <w:r>
              <w:t xml:space="preserve">warns that he </w:t>
            </w:r>
            <w:r w:rsidR="00082F78">
              <w:t>does not have the proper security level</w:t>
            </w:r>
            <w:r>
              <w:t xml:space="preserve"> to issue the unit. There is no override. </w:t>
            </w:r>
          </w:p>
          <w:p w14:paraId="7B46974D" w14:textId="77777777" w:rsidR="002A21AE" w:rsidRDefault="002A21AE">
            <w:pPr>
              <w:pStyle w:val="TableText"/>
            </w:pPr>
          </w:p>
          <w:p w14:paraId="5E276A6B"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user is a Lead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entry (exception type: antigen-positive/untested units issued).</w:t>
            </w:r>
          </w:p>
          <w:p w14:paraId="292A780B" w14:textId="77777777" w:rsidR="00685A5F" w:rsidRDefault="00685A5F">
            <w:pPr>
              <w:pStyle w:val="TableText"/>
            </w:pPr>
          </w:p>
          <w:p w14:paraId="5D4C0A6C" w14:textId="77777777" w:rsidR="00685A5F" w:rsidRDefault="00685A5F" w:rsidP="00685A5F">
            <w:pPr>
              <w:pStyle w:val="TableText"/>
              <w:rPr>
                <w:szCs w:val="18"/>
              </w:rPr>
            </w:pPr>
            <w:r w:rsidRPr="00F14A86">
              <w:rPr>
                <w:szCs w:val="18"/>
              </w:rPr>
              <w:lastRenderedPageBreak/>
              <w:t>Additional details to be included in the exception report when the u</w:t>
            </w:r>
            <w:r>
              <w:rPr>
                <w:szCs w:val="18"/>
              </w:rPr>
              <w:t>ser overrides:</w:t>
            </w:r>
          </w:p>
          <w:p w14:paraId="4938B590" w14:textId="77777777" w:rsidR="00685A5F" w:rsidRPr="00FB5425" w:rsidRDefault="00685A5F" w:rsidP="00BA3292">
            <w:pPr>
              <w:pStyle w:val="TableText"/>
              <w:numPr>
                <w:ilvl w:val="0"/>
                <w:numId w:val="66"/>
              </w:numPr>
              <w:tabs>
                <w:tab w:val="clear" w:pos="720"/>
                <w:tab w:val="num" w:pos="252"/>
              </w:tabs>
              <w:ind w:left="252" w:hanging="198"/>
              <w:rPr>
                <w:szCs w:val="18"/>
              </w:rPr>
            </w:pPr>
            <w:r w:rsidRPr="00FB5425">
              <w:rPr>
                <w:szCs w:val="18"/>
              </w:rPr>
              <w:t>Transaction Type: Antigen-positive/untested units issued</w:t>
            </w:r>
          </w:p>
          <w:p w14:paraId="1F9A3779" w14:textId="77777777" w:rsidR="00685A5F" w:rsidRPr="008A3C45" w:rsidRDefault="00685A5F" w:rsidP="00BA3292">
            <w:pPr>
              <w:pStyle w:val="TableText"/>
              <w:numPr>
                <w:ilvl w:val="0"/>
                <w:numId w:val="66"/>
              </w:numPr>
              <w:tabs>
                <w:tab w:val="clear" w:pos="720"/>
                <w:tab w:val="num" w:pos="252"/>
              </w:tabs>
              <w:ind w:left="252" w:hanging="198"/>
              <w:rPr>
                <w:szCs w:val="18"/>
              </w:rPr>
            </w:pPr>
            <w:r w:rsidRPr="008A3C45">
              <w:rPr>
                <w:szCs w:val="18"/>
              </w:rPr>
              <w:t>Patient Antibody(ies) Identified</w:t>
            </w:r>
          </w:p>
          <w:p w14:paraId="7A4ECE7B" w14:textId="77777777" w:rsidR="00685A5F" w:rsidRPr="00685A5F" w:rsidRDefault="00685A5F" w:rsidP="00BA3292">
            <w:pPr>
              <w:pStyle w:val="TableText"/>
              <w:numPr>
                <w:ilvl w:val="0"/>
                <w:numId w:val="66"/>
              </w:numPr>
              <w:tabs>
                <w:tab w:val="clear" w:pos="720"/>
                <w:tab w:val="num" w:pos="252"/>
              </w:tabs>
              <w:ind w:left="252" w:hanging="198"/>
              <w:rPr>
                <w:szCs w:val="18"/>
              </w:rPr>
            </w:pPr>
            <w:r w:rsidRPr="004A6FB8">
              <w:rPr>
                <w:szCs w:val="18"/>
              </w:rPr>
              <w:t>Unit Antigen Phenotype Result or “untested”</w:t>
            </w:r>
          </w:p>
        </w:tc>
      </w:tr>
      <w:tr w:rsidR="002A21AE" w14:paraId="319342BA" w14:textId="77777777">
        <w:tc>
          <w:tcPr>
            <w:tcW w:w="780" w:type="dxa"/>
          </w:tcPr>
          <w:p w14:paraId="084265DF" w14:textId="77777777" w:rsidR="002A21AE" w:rsidRDefault="002A21AE">
            <w:pPr>
              <w:pStyle w:val="TableText"/>
            </w:pPr>
            <w:r>
              <w:lastRenderedPageBreak/>
              <w:t>5</w:t>
            </w:r>
          </w:p>
        </w:tc>
        <w:tc>
          <w:tcPr>
            <w:tcW w:w="8580" w:type="dxa"/>
          </w:tcPr>
          <w:p w14:paraId="764AE07E" w14:textId="77777777" w:rsidR="002A21AE" w:rsidRDefault="002A21AE" w:rsidP="00E44A2A">
            <w:pPr>
              <w:pStyle w:val="TableText"/>
            </w:pPr>
            <w:r>
              <w:rPr>
                <w:rFonts w:cs="Arial"/>
                <w:vanish/>
              </w:rPr>
              <w:t xml:space="preserve">BR_73.05 </w:t>
            </w:r>
            <w:r>
              <w:t xml:space="preserve">VBECS compares the ABO/Rh of the current specimen </w:t>
            </w:r>
            <w:r w:rsidR="00E44A2A">
              <w:t xml:space="preserve">to the historic ABO/Rh. </w:t>
            </w:r>
            <w:r>
              <w:t xml:space="preserve">When there is a discrepancy, there is no previous justification for the discrepancy on the patient record, as described in Justify ABO/Rh Change, and the unit </w:t>
            </w:r>
            <w:r w:rsidR="00A10483">
              <w:t>does not</w:t>
            </w:r>
            <w:r>
              <w:t xml:space="preserve"> qualify for emergency issue, VBECS warns the user and instructs him to resolve the discrepancy before issuing the unit. There is no override. VBECS exits the option, clears the screen, and returns the user to the point of entry. </w:t>
            </w:r>
            <w:r w:rsidR="00E44A2A">
              <w:t>Units that qualify for emergency issue may continue and VBECS will display a message that the ABO/Rh on the current specimen does not agree with the historic ABO/Rh</w:t>
            </w:r>
            <w:r>
              <w:t>.</w:t>
            </w:r>
          </w:p>
        </w:tc>
      </w:tr>
      <w:tr w:rsidR="002A21AE" w14:paraId="5084B698" w14:textId="77777777">
        <w:tc>
          <w:tcPr>
            <w:tcW w:w="780" w:type="dxa"/>
          </w:tcPr>
          <w:p w14:paraId="7973A445" w14:textId="77777777" w:rsidR="00E44A2A" w:rsidRDefault="002A21AE">
            <w:pPr>
              <w:pStyle w:val="TableText"/>
            </w:pPr>
            <w:r>
              <w:t>5</w:t>
            </w:r>
          </w:p>
          <w:p w14:paraId="6471EEF0" w14:textId="77777777" w:rsidR="002A21AE" w:rsidRPr="00E44A2A" w:rsidRDefault="002A21AE" w:rsidP="00E44A2A"/>
        </w:tc>
        <w:tc>
          <w:tcPr>
            <w:tcW w:w="8580" w:type="dxa"/>
          </w:tcPr>
          <w:p w14:paraId="01E86168" w14:textId="77777777" w:rsidR="002A21AE" w:rsidRDefault="002A21AE">
            <w:pPr>
              <w:pStyle w:val="TableText"/>
            </w:pPr>
            <w:r w:rsidRPr="00ED5745">
              <w:rPr>
                <w:rFonts w:cs="Arial"/>
                <w:vanish/>
                <w:color w:val="0000FF"/>
              </w:rPr>
              <w:t>BR_3.05</w:t>
            </w:r>
            <w:r>
              <w:rPr>
                <w:rFonts w:cs="Arial"/>
                <w:vanish/>
              </w:rPr>
              <w:t xml:space="preserve"> </w:t>
            </w:r>
            <w:r>
              <w:t xml:space="preserve">When no valid ABO exists for the patient, the user may select components, including autologous units: </w:t>
            </w:r>
          </w:p>
          <w:p w14:paraId="4AED7BB1" w14:textId="77777777" w:rsidR="002A21AE" w:rsidRDefault="002A21AE">
            <w:pPr>
              <w:pStyle w:val="TableTextBullet"/>
              <w:tabs>
                <w:tab w:val="clear" w:pos="288"/>
              </w:tabs>
            </w:pPr>
            <w:r>
              <w:t xml:space="preserve">For RBC or WB order: </w:t>
            </w:r>
            <w:r w:rsidR="00093181">
              <w:t>group</w:t>
            </w:r>
            <w:r w:rsidR="000014DD">
              <w:t xml:space="preserve"> </w:t>
            </w:r>
            <w:r>
              <w:t>O, Rh positive or O Rh negative RBC. WHOLE BLOOD is not selectable.</w:t>
            </w:r>
          </w:p>
          <w:p w14:paraId="13AF15E4" w14:textId="77777777" w:rsidR="002A21AE" w:rsidRDefault="002A21AE">
            <w:pPr>
              <w:pStyle w:val="TableTextBullet"/>
              <w:tabs>
                <w:tab w:val="clear" w:pos="288"/>
              </w:tabs>
            </w:pPr>
            <w:r>
              <w:t>For FFP order only: group AB, Rh positive or Rh negative.</w:t>
            </w:r>
          </w:p>
          <w:p w14:paraId="3EE7751D" w14:textId="77777777" w:rsidR="002A21AE" w:rsidRDefault="00E31C5D">
            <w:pPr>
              <w:pStyle w:val="TableTextBullet"/>
              <w:tabs>
                <w:tab w:val="clear" w:pos="288"/>
              </w:tabs>
            </w:pPr>
            <w:r>
              <w:t>For PLT, CRYO, or OTHER order, all available units are selectable.</w:t>
            </w:r>
          </w:p>
        </w:tc>
      </w:tr>
      <w:tr w:rsidR="00102A03" w14:paraId="7AD93531" w14:textId="77777777">
        <w:tc>
          <w:tcPr>
            <w:tcW w:w="780" w:type="dxa"/>
          </w:tcPr>
          <w:p w14:paraId="0E5DD5FD" w14:textId="77777777" w:rsidR="00102A03" w:rsidRDefault="00102A03">
            <w:pPr>
              <w:pStyle w:val="TableText"/>
            </w:pPr>
            <w:r>
              <w:t>5</w:t>
            </w:r>
          </w:p>
        </w:tc>
        <w:tc>
          <w:tcPr>
            <w:tcW w:w="8580" w:type="dxa"/>
          </w:tcPr>
          <w:p w14:paraId="40E70C8C" w14:textId="77777777" w:rsidR="00102A03" w:rsidRDefault="00102A03" w:rsidP="00102A03">
            <w:pPr>
              <w:pStyle w:val="TableText"/>
              <w:rPr>
                <w:rFonts w:cs="Arial"/>
                <w:vanish/>
                <w:szCs w:val="22"/>
              </w:rPr>
            </w:pPr>
            <w:r w:rsidRPr="00AE062E">
              <w:rPr>
                <w:vanish/>
                <w:szCs w:val="18"/>
              </w:rPr>
              <w:t xml:space="preserve">BR_73.37 </w:t>
            </w:r>
            <w:r>
              <w:t>When the division is “transfusion only” and a blood unit is ABO incompatible at issue based on the interpretation of the current patient specimen’s ABO test, V</w:t>
            </w:r>
            <w:r w:rsidR="00D258CC">
              <w:t xml:space="preserve">BECS </w:t>
            </w:r>
            <w:r>
              <w:t>warns the user that the unit is not ABO compatible for the patient’s current specimen and may not be issued. The user must resolve pending ABO discrepancies before issuing the unit.</w:t>
            </w:r>
          </w:p>
        </w:tc>
      </w:tr>
      <w:tr w:rsidR="002A21AE" w14:paraId="37E89314" w14:textId="77777777">
        <w:tc>
          <w:tcPr>
            <w:tcW w:w="780" w:type="dxa"/>
          </w:tcPr>
          <w:p w14:paraId="79DA8CF0" w14:textId="77777777" w:rsidR="002A21AE" w:rsidRDefault="002A21AE">
            <w:pPr>
              <w:pStyle w:val="TableText"/>
            </w:pPr>
            <w:r>
              <w:t>7</w:t>
            </w:r>
          </w:p>
        </w:tc>
        <w:tc>
          <w:tcPr>
            <w:tcW w:w="8580" w:type="dxa"/>
          </w:tcPr>
          <w:p w14:paraId="505DC201" w14:textId="77777777" w:rsidR="002A21AE" w:rsidRDefault="002A21AE">
            <w:pPr>
              <w:pStyle w:val="TableText"/>
            </w:pPr>
            <w:r>
              <w:rPr>
                <w:rFonts w:cs="Arial"/>
                <w:vanish/>
                <w:szCs w:val="22"/>
              </w:rPr>
              <w:t xml:space="preserve">BR_73.33 </w:t>
            </w:r>
            <w:r w:rsidR="00FE49A2">
              <w:t xml:space="preserve">When the division is “full service” and a blood unit is ABO incompatible at issue based on the system interpretation of the current patient specimen’s ABO test result, VBECS emits an audible </w:t>
            </w:r>
            <w:r w:rsidR="00A10483">
              <w:t>alert, warns that the unit is not ABO compatible with the patient’s current specimen results,</w:t>
            </w:r>
            <w:r w:rsidR="00FE49A2">
              <w:t xml:space="preserve"> and asks whether he wishes to continue. </w:t>
            </w:r>
            <w:r w:rsidR="00FE49A2">
              <w:rPr>
                <w:b/>
              </w:rPr>
              <w:t>No</w:t>
            </w:r>
            <w:r w:rsidR="00FE49A2">
              <w:t xml:space="preserve"> clears the screen and allows the user to select another unit. </w:t>
            </w:r>
            <w:r w:rsidR="00FE49A2">
              <w:rPr>
                <w:b/>
              </w:rPr>
              <w:t>Yes</w:t>
            </w:r>
            <w:r w:rsidR="00FE49A2">
              <w:t xml:space="preserve"> requires a comment and </w:t>
            </w:r>
            <w:r w:rsidR="00FE49A2" w:rsidRPr="00014921">
              <w:t xml:space="preserve">captures details for inclusion in an Exception Report (exception type: </w:t>
            </w:r>
            <w:r w:rsidR="00FE49A2">
              <w:t>ABO discrepant unit issue</w:t>
            </w:r>
            <w:r w:rsidR="00FE49A2" w:rsidRPr="00014921">
              <w:t>).</w:t>
            </w:r>
          </w:p>
        </w:tc>
      </w:tr>
    </w:tbl>
    <w:p w14:paraId="705F43A0" w14:textId="284D9071" w:rsidR="007122D4" w:rsidRDefault="007122D4" w:rsidP="007122D4">
      <w:pPr>
        <w:pStyle w:val="Caption"/>
      </w:pPr>
      <w:bookmarkStart w:id="468" w:name="_Ref12648932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8</w:t>
      </w:r>
      <w:r w:rsidR="004E20BD">
        <w:rPr>
          <w:noProof/>
        </w:rPr>
        <w:fldChar w:fldCharType="end"/>
      </w:r>
      <w:bookmarkEnd w:id="468"/>
      <w:r>
        <w:t xml:space="preserve">: Alerts That May Occur in Issue Blood Components (Emergency) </w:t>
      </w:r>
      <w:r>
        <w:fldChar w:fldCharType="begin"/>
      </w:r>
      <w:r>
        <w:instrText xml:space="preserve"> XE “Tables:Alerts That May Occur in Issue Blood Components (Emergency)”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63F21" w14:paraId="27652D88" w14:textId="77777777">
        <w:trPr>
          <w:tblHeader/>
        </w:trPr>
        <w:tc>
          <w:tcPr>
            <w:tcW w:w="780" w:type="dxa"/>
            <w:shd w:val="clear" w:color="auto" w:fill="B3B3B3"/>
          </w:tcPr>
          <w:p w14:paraId="11B23768" w14:textId="77777777" w:rsidR="00263F21" w:rsidRDefault="00DB3377" w:rsidP="00BC3648">
            <w:pPr>
              <w:pStyle w:val="TableText"/>
              <w:rPr>
                <w:b/>
              </w:rPr>
            </w:pPr>
            <w:r>
              <w:rPr>
                <w:b/>
              </w:rPr>
              <w:t>User Action Step</w:t>
            </w:r>
          </w:p>
        </w:tc>
        <w:tc>
          <w:tcPr>
            <w:tcW w:w="8580" w:type="dxa"/>
            <w:shd w:val="clear" w:color="auto" w:fill="B3B3B3"/>
          </w:tcPr>
          <w:p w14:paraId="7D044201" w14:textId="77777777" w:rsidR="00263F21" w:rsidRDefault="00263F21" w:rsidP="00BC3648">
            <w:pPr>
              <w:pStyle w:val="TableText"/>
              <w:rPr>
                <w:b/>
              </w:rPr>
            </w:pPr>
            <w:r>
              <w:rPr>
                <w:b/>
              </w:rPr>
              <w:t>Alerts</w:t>
            </w:r>
          </w:p>
        </w:tc>
      </w:tr>
      <w:tr w:rsidR="00263F21" w14:paraId="7AAD59A8" w14:textId="77777777">
        <w:tc>
          <w:tcPr>
            <w:tcW w:w="780" w:type="dxa"/>
          </w:tcPr>
          <w:p w14:paraId="6F9075F9" w14:textId="77777777" w:rsidR="00263F21" w:rsidRDefault="00263F21" w:rsidP="00BC3648">
            <w:pPr>
              <w:pStyle w:val="TableText"/>
            </w:pPr>
            <w:r>
              <w:t>2</w:t>
            </w:r>
          </w:p>
        </w:tc>
        <w:tc>
          <w:tcPr>
            <w:tcW w:w="8580" w:type="dxa"/>
          </w:tcPr>
          <w:p w14:paraId="140ABACF" w14:textId="77777777" w:rsidR="00263F21" w:rsidRDefault="00263F21" w:rsidP="00BC3648">
            <w:pPr>
              <w:pStyle w:val="TableText"/>
            </w:pPr>
            <w:r>
              <w:rPr>
                <w:rFonts w:cs="Arial"/>
                <w:vanish/>
                <w:szCs w:val="22"/>
              </w:rPr>
              <w:t xml:space="preserve">BR_16.01 </w:t>
            </w:r>
            <w:r>
              <w:t xml:space="preserve">VBECS displays </w:t>
            </w:r>
            <w:r w:rsidR="00057948">
              <w:rPr>
                <w:noProof/>
              </w:rPr>
              <w:drawing>
                <wp:inline distT="0" distB="0" distL="0" distR="0" wp14:anchorId="30B4005A" wp14:editId="047E51AB">
                  <wp:extent cx="156845" cy="156845"/>
                  <wp:effectExtent l="0" t="0" r="0" b="0"/>
                  <wp:docPr id="195" name="Picture 195"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and emits an audible alert when there are Special Instructions (SIs) or Transfusion Requirements (TRs) for the patient.</w:t>
            </w:r>
          </w:p>
        </w:tc>
      </w:tr>
      <w:tr w:rsidR="00263F21" w14:paraId="5A224146" w14:textId="77777777">
        <w:tc>
          <w:tcPr>
            <w:tcW w:w="780" w:type="dxa"/>
          </w:tcPr>
          <w:p w14:paraId="675586A7" w14:textId="77777777" w:rsidR="00263F21" w:rsidRDefault="00263F21" w:rsidP="00BC3648">
            <w:pPr>
              <w:pStyle w:val="TableText"/>
            </w:pPr>
            <w:r>
              <w:t>2</w:t>
            </w:r>
          </w:p>
        </w:tc>
        <w:tc>
          <w:tcPr>
            <w:tcW w:w="8580" w:type="dxa"/>
          </w:tcPr>
          <w:p w14:paraId="571BA1FD" w14:textId="77777777" w:rsidR="00263F21" w:rsidRDefault="00263F21" w:rsidP="00BC3648">
            <w:pPr>
              <w:pStyle w:val="TableText"/>
            </w:pPr>
            <w:r>
              <w:rPr>
                <w:rFonts w:cs="Arial"/>
                <w:vanish/>
              </w:rPr>
              <w:t xml:space="preserve">BR_73.21 </w:t>
            </w:r>
            <w:r>
              <w:t>When no patient is found, VBECS warns the user and does not allow the user to continue.</w:t>
            </w:r>
          </w:p>
        </w:tc>
      </w:tr>
      <w:tr w:rsidR="00263F21" w14:paraId="50C4B0C5" w14:textId="77777777">
        <w:tc>
          <w:tcPr>
            <w:tcW w:w="780" w:type="dxa"/>
          </w:tcPr>
          <w:p w14:paraId="6F2EF684" w14:textId="77777777" w:rsidR="00263F21" w:rsidRDefault="00263F21" w:rsidP="00BC3648">
            <w:pPr>
              <w:pStyle w:val="TableText"/>
            </w:pPr>
            <w:r>
              <w:t>2</w:t>
            </w:r>
          </w:p>
        </w:tc>
        <w:tc>
          <w:tcPr>
            <w:tcW w:w="8580" w:type="dxa"/>
          </w:tcPr>
          <w:p w14:paraId="77B408DB" w14:textId="77777777" w:rsidR="00263F21" w:rsidRDefault="00263F21" w:rsidP="00BC3648">
            <w:pPr>
              <w:pStyle w:val="TableText"/>
            </w:pPr>
            <w:r>
              <w:rPr>
                <w:rFonts w:cs="Arial"/>
                <w:vanish/>
              </w:rPr>
              <w:t xml:space="preserve">BR_73.20 </w:t>
            </w:r>
            <w:r>
              <w:t>When the patient has no</w:t>
            </w:r>
            <w:r>
              <w:rPr>
                <w:i/>
              </w:rPr>
              <w:t xml:space="preserve"> </w:t>
            </w:r>
            <w:r>
              <w:t>components available for issue, VBECS warns the user and does not allow the user to continue.</w:t>
            </w:r>
          </w:p>
        </w:tc>
      </w:tr>
      <w:tr w:rsidR="00263F21" w14:paraId="78229D20" w14:textId="77777777">
        <w:tc>
          <w:tcPr>
            <w:tcW w:w="780" w:type="dxa"/>
          </w:tcPr>
          <w:p w14:paraId="24BE4F1C" w14:textId="77777777" w:rsidR="00263F21" w:rsidRDefault="00263F21" w:rsidP="00BC3648">
            <w:pPr>
              <w:pStyle w:val="TableText"/>
            </w:pPr>
            <w:r>
              <w:t>2</w:t>
            </w:r>
          </w:p>
        </w:tc>
        <w:tc>
          <w:tcPr>
            <w:tcW w:w="8580" w:type="dxa"/>
          </w:tcPr>
          <w:p w14:paraId="33ED9AF9" w14:textId="77777777" w:rsidR="00263F21" w:rsidRDefault="00263F21" w:rsidP="00BC3648">
            <w:pPr>
              <w:pStyle w:val="TableText"/>
            </w:pPr>
            <w:r>
              <w:rPr>
                <w:rFonts w:cs="Arial"/>
                <w:vanish/>
              </w:rPr>
              <w:t xml:space="preserve">BR_73.31 </w:t>
            </w:r>
            <w:r>
              <w:t>When required testing is incomplete at issue, VBECS emits an audible alert, warns the user, and asks whether to emergency issue the unit in accordance with hospital policy.</w:t>
            </w:r>
          </w:p>
          <w:p w14:paraId="3D5F05F8" w14:textId="77777777" w:rsidR="00263F21" w:rsidRDefault="00263F21" w:rsidP="00BC3648">
            <w:pPr>
              <w:pStyle w:val="TableText"/>
            </w:pPr>
          </w:p>
          <w:p w14:paraId="0174C7D3" w14:textId="77777777" w:rsidR="00263F21" w:rsidRDefault="00263F21" w:rsidP="00BC3648">
            <w:pPr>
              <w:pStyle w:val="TableText"/>
            </w:pPr>
            <w:r w:rsidRPr="00924702">
              <w:rPr>
                <w:b/>
              </w:rPr>
              <w:t>No</w:t>
            </w:r>
            <w:r>
              <w:t xml:space="preserve"> stops the user from issuing the unit and requires selection of another unit. </w:t>
            </w:r>
            <w:r w:rsidRPr="00924702">
              <w:rPr>
                <w:b/>
              </w:rPr>
              <w:t>Yes</w:t>
            </w:r>
            <w:r>
              <w:t xml:space="preserve"> creates an Exception Report entry for the issue, indicates on the unit record that the unit was issued emergently, and asks whether the user wishes to print the Caution Tags and Blood Transfusion Record Forms.</w:t>
            </w:r>
            <w:r w:rsidRPr="00924702">
              <w:rPr>
                <w:b/>
              </w:rPr>
              <w:t xml:space="preserve"> No</w:t>
            </w:r>
            <w:r>
              <w:t xml:space="preserve"> allows the user to continue with the emergency issue. </w:t>
            </w:r>
            <w:r w:rsidRPr="00924702">
              <w:rPr>
                <w:b/>
              </w:rPr>
              <w:t>Yes</w:t>
            </w:r>
            <w:r>
              <w:t xml:space="preserve"> prints a Caution Tag and/or Blood Transfusion Record Form and proceeds with the issue.</w:t>
            </w:r>
          </w:p>
        </w:tc>
      </w:tr>
      <w:tr w:rsidR="0065539A" w14:paraId="4989C154" w14:textId="77777777">
        <w:tc>
          <w:tcPr>
            <w:tcW w:w="780" w:type="dxa"/>
          </w:tcPr>
          <w:p w14:paraId="62F2CCA9" w14:textId="77777777" w:rsidR="0065539A" w:rsidRDefault="0065539A" w:rsidP="00BC3648">
            <w:pPr>
              <w:pStyle w:val="TableText"/>
            </w:pPr>
            <w:r>
              <w:t>5</w:t>
            </w:r>
          </w:p>
        </w:tc>
        <w:tc>
          <w:tcPr>
            <w:tcW w:w="8580" w:type="dxa"/>
          </w:tcPr>
          <w:p w14:paraId="17A25453" w14:textId="77777777" w:rsidR="0065539A" w:rsidRPr="00214B12" w:rsidRDefault="0065539A" w:rsidP="00BC3648">
            <w:pPr>
              <w:pStyle w:val="TableText"/>
              <w:rPr>
                <w:rFonts w:cs="Arial"/>
                <w:vanish/>
                <w:szCs w:val="18"/>
              </w:rPr>
            </w:pPr>
            <w:r w:rsidRPr="0065539A">
              <w:rPr>
                <w:vanish/>
                <w:szCs w:val="18"/>
              </w:rPr>
              <w:t xml:space="preserve">BR_73.17 </w:t>
            </w:r>
            <w:r w:rsidRPr="0065539A">
              <w:rPr>
                <w:szCs w:val="18"/>
              </w:rPr>
              <w:t>When the user atte</w:t>
            </w:r>
            <w:r>
              <w:t>mpts to issue a unit located in a different division, VBECS warms him that the unit cannot be issued and does not allow him to continue.</w:t>
            </w:r>
          </w:p>
        </w:tc>
      </w:tr>
      <w:tr w:rsidR="003306DB" w14:paraId="71C5BF4A" w14:textId="77777777">
        <w:tc>
          <w:tcPr>
            <w:tcW w:w="780" w:type="dxa"/>
          </w:tcPr>
          <w:p w14:paraId="44CA90CD" w14:textId="77777777" w:rsidR="003306DB" w:rsidRDefault="003306DB" w:rsidP="00BC3648">
            <w:pPr>
              <w:pStyle w:val="TableText"/>
            </w:pPr>
            <w:r>
              <w:t>5</w:t>
            </w:r>
          </w:p>
        </w:tc>
        <w:tc>
          <w:tcPr>
            <w:tcW w:w="8580" w:type="dxa"/>
          </w:tcPr>
          <w:p w14:paraId="2A21E7C8" w14:textId="77777777" w:rsidR="003306DB" w:rsidRDefault="003306DB" w:rsidP="00BC3648">
            <w:pPr>
              <w:pStyle w:val="TableText"/>
              <w:rPr>
                <w:rFonts w:cs="Arial"/>
                <w:vanish/>
              </w:rPr>
            </w:pPr>
            <w:r w:rsidRPr="00214B12">
              <w:rPr>
                <w:rFonts w:cs="Arial"/>
                <w:vanish/>
                <w:szCs w:val="18"/>
              </w:rPr>
              <w:t xml:space="preserve">BR_73.19 </w:t>
            </w:r>
            <w:r>
              <w:t>When a user indicates that the inspected unit is unsatisfactory, VBECS does not allow the unit to be issued, releases it from assignment, and warns the user that the unit is unacceptable for transfusion. VBECS allows the user to enter another unit number.</w:t>
            </w:r>
          </w:p>
        </w:tc>
      </w:tr>
      <w:tr w:rsidR="00263F21" w14:paraId="7DEF6BAF" w14:textId="77777777">
        <w:tc>
          <w:tcPr>
            <w:tcW w:w="780" w:type="dxa"/>
          </w:tcPr>
          <w:p w14:paraId="4A487FB4" w14:textId="77777777" w:rsidR="00263F21" w:rsidRDefault="00263F21" w:rsidP="00BC3648">
            <w:pPr>
              <w:pStyle w:val="TableText"/>
            </w:pPr>
            <w:r>
              <w:t>5</w:t>
            </w:r>
          </w:p>
        </w:tc>
        <w:tc>
          <w:tcPr>
            <w:tcW w:w="8580" w:type="dxa"/>
          </w:tcPr>
          <w:p w14:paraId="5A58061D" w14:textId="77777777" w:rsidR="00263F21" w:rsidRDefault="00263F21" w:rsidP="00BC3648">
            <w:pPr>
              <w:pStyle w:val="TableText"/>
            </w:pPr>
            <w:r>
              <w:rPr>
                <w:rFonts w:cs="Arial"/>
                <w:vanish/>
              </w:rPr>
              <w:t xml:space="preserve">BR_73.27 </w:t>
            </w:r>
            <w:r>
              <w:rPr>
                <w:rFonts w:cs="Arial"/>
              </w:rPr>
              <w:t xml:space="preserve">When the user attempts to select frozen blood components, VBECS </w:t>
            </w:r>
            <w:r>
              <w:t xml:space="preserve">emits an audible alert and warns the user. Units selected in their frozen state must be thawed before issue. </w:t>
            </w:r>
          </w:p>
        </w:tc>
      </w:tr>
      <w:tr w:rsidR="00B11528" w14:paraId="579C74F4" w14:textId="77777777">
        <w:tc>
          <w:tcPr>
            <w:tcW w:w="780" w:type="dxa"/>
          </w:tcPr>
          <w:p w14:paraId="65032104" w14:textId="77777777" w:rsidR="00B11528" w:rsidRDefault="00B11528" w:rsidP="00BC3648">
            <w:pPr>
              <w:pStyle w:val="TableText"/>
            </w:pPr>
            <w:r>
              <w:lastRenderedPageBreak/>
              <w:t>5</w:t>
            </w:r>
          </w:p>
        </w:tc>
        <w:tc>
          <w:tcPr>
            <w:tcW w:w="8580" w:type="dxa"/>
          </w:tcPr>
          <w:p w14:paraId="44168DD0" w14:textId="77777777" w:rsidR="00B11528" w:rsidRPr="00B11528" w:rsidRDefault="00B11528" w:rsidP="00B11528">
            <w:pPr>
              <w:pStyle w:val="TableText"/>
              <w:rPr>
                <w:rFonts w:eastAsia="Calibri"/>
                <w:szCs w:val="18"/>
              </w:rPr>
            </w:pPr>
            <w:r w:rsidRPr="00B11528">
              <w:t>When the patient has Component Requirements and Antigen Negative Requirements, the user attempts to issue (including emergency issue) red blood cells that do not satisfy the requirements, and the user is:</w:t>
            </w:r>
          </w:p>
          <w:p w14:paraId="304B4BF7" w14:textId="77777777" w:rsidR="00B11528" w:rsidRPr="00B11528" w:rsidRDefault="00B11528" w:rsidP="00B11528">
            <w:pPr>
              <w:pStyle w:val="TableTextBullet"/>
              <w:numPr>
                <w:ilvl w:val="0"/>
                <w:numId w:val="0"/>
              </w:numPr>
              <w:tabs>
                <w:tab w:val="left" w:pos="720"/>
              </w:tabs>
              <w:rPr>
                <w:sz w:val="20"/>
                <w:szCs w:val="20"/>
              </w:rPr>
            </w:pPr>
            <w:r w:rsidRPr="00B11528">
              <w:rPr>
                <w:rFonts w:ascii="Wingdings 3" w:hAnsi="Wingdings 3"/>
              </w:rPr>
              <w:t></w:t>
            </w:r>
            <w:r w:rsidRPr="00B11528">
              <w:rPr>
                <w:rFonts w:ascii="Wingdings 3" w:hAnsi="Wingdings 3"/>
              </w:rPr>
              <w:t></w:t>
            </w:r>
            <w:r w:rsidRPr="00B11528">
              <w:t xml:space="preserve"> An Enhanced Technologist or below, VBECS emits an audible alert and warns the user that the unit is not selectable and he is not authorized to issue the unit. The unsatisfied requirements are not detailed.</w:t>
            </w:r>
          </w:p>
          <w:p w14:paraId="53AE0FAE" w14:textId="77777777" w:rsidR="00B11528" w:rsidRDefault="00B11528" w:rsidP="00B11528">
            <w:pPr>
              <w:pStyle w:val="TableText"/>
              <w:rPr>
                <w:rFonts w:cs="Arial"/>
                <w:vanish/>
              </w:rPr>
            </w:pPr>
            <w:r w:rsidRPr="00B11528">
              <w:t>VBECS does not allow an override.</w:t>
            </w:r>
          </w:p>
        </w:tc>
      </w:tr>
      <w:tr w:rsidR="00263F21" w14:paraId="4CF357F0" w14:textId="77777777">
        <w:tc>
          <w:tcPr>
            <w:tcW w:w="780" w:type="dxa"/>
          </w:tcPr>
          <w:p w14:paraId="283FA050" w14:textId="77777777" w:rsidR="00263F21" w:rsidRDefault="00263F21" w:rsidP="00BC3648">
            <w:pPr>
              <w:pStyle w:val="TableText"/>
            </w:pPr>
            <w:r>
              <w:t>5</w:t>
            </w:r>
          </w:p>
        </w:tc>
        <w:tc>
          <w:tcPr>
            <w:tcW w:w="8580" w:type="dxa"/>
          </w:tcPr>
          <w:p w14:paraId="2BF5F794" w14:textId="77777777" w:rsidR="002104CB" w:rsidRDefault="002104CB" w:rsidP="002104CB">
            <w:pPr>
              <w:pStyle w:val="TableText"/>
            </w:pPr>
            <w:r>
              <w:rPr>
                <w:rFonts w:cs="Arial"/>
                <w:vanish/>
              </w:rPr>
              <w:t xml:space="preserve">BR_73.28 </w:t>
            </w:r>
            <w:r w:rsidR="00B11528">
              <w:t>When the patient has Component Requirements</w:t>
            </w:r>
            <w:r w:rsidRPr="002104CB">
              <w:t>, the user attempts to issue (including emergency issue) red blood cells that do not satisfy the TR,</w:t>
            </w:r>
            <w:r>
              <w:t xml:space="preserve"> and the user is:</w:t>
            </w:r>
          </w:p>
          <w:p w14:paraId="1627AC6E" w14:textId="77777777" w:rsidR="002104CB" w:rsidRDefault="002104CB" w:rsidP="002104CB">
            <w:pPr>
              <w:pStyle w:val="TableTextBullet"/>
            </w:pPr>
            <w:r w:rsidRPr="00EC7489">
              <w:rPr>
                <w:rFonts w:ascii="Wingdings 3" w:hAnsi="Wingdings 3" w:cs="Wingdings"/>
              </w:rPr>
              <w:t></w:t>
            </w:r>
            <w:r w:rsidRPr="00EC7489">
              <w:rPr>
                <w:rFonts w:ascii="Wingdings 3" w:hAnsi="Wingdings 3" w:cs="Wingdings"/>
              </w:rPr>
              <w:t></w:t>
            </w:r>
            <w:r>
              <w:t xml:space="preserve"> An Enhanced Technologist or below, V</w:t>
            </w:r>
            <w:r w:rsidR="00A13E40">
              <w:t xml:space="preserve">BECS </w:t>
            </w:r>
            <w:r>
              <w:t xml:space="preserve">warns the user that he is not authorized to issue untyped red blood cells (for the clinically significant antibodies in the table). VBECS does not allow an override. </w:t>
            </w:r>
          </w:p>
          <w:p w14:paraId="0B0EAC44" w14:textId="77777777" w:rsidR="00263F21" w:rsidRDefault="002104CB" w:rsidP="002104CB">
            <w:pPr>
              <w:pStyle w:val="TableTex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 Lead Technologist or above, VBECS emits an audible alert and warns the user.</w:t>
            </w:r>
            <w:r>
              <w:rPr>
                <w:b/>
              </w:rPr>
              <w:t xml:space="preserve"> No</w:t>
            </w:r>
            <w:r>
              <w:t xml:space="preserve"> clears the screen. </w:t>
            </w:r>
            <w:r>
              <w:rPr>
                <w:b/>
              </w:rPr>
              <w:t>Yes</w:t>
            </w:r>
            <w:r>
              <w:t xml:space="preserve"> requires a comment and captures details for inclusion in an Exception Report (exception type: unit issued with unsatisfied TR).</w:t>
            </w:r>
          </w:p>
        </w:tc>
      </w:tr>
      <w:tr w:rsidR="00263F21" w14:paraId="7D319631" w14:textId="77777777">
        <w:tc>
          <w:tcPr>
            <w:tcW w:w="780" w:type="dxa"/>
          </w:tcPr>
          <w:p w14:paraId="2E81649C" w14:textId="77777777" w:rsidR="00263F21" w:rsidRDefault="00263F21" w:rsidP="00BC3648">
            <w:pPr>
              <w:pStyle w:val="TableText"/>
            </w:pPr>
            <w:r>
              <w:t>5</w:t>
            </w:r>
          </w:p>
        </w:tc>
        <w:tc>
          <w:tcPr>
            <w:tcW w:w="8580" w:type="dxa"/>
          </w:tcPr>
          <w:p w14:paraId="34FD8705" w14:textId="77777777" w:rsidR="00263F21" w:rsidRDefault="00263F21" w:rsidP="00BC3648">
            <w:pPr>
              <w:pStyle w:val="TableText"/>
            </w:pPr>
            <w:r>
              <w:rPr>
                <w:rFonts w:cs="Arial"/>
                <w:vanish/>
              </w:rPr>
              <w:t xml:space="preserve">BR_73.15 </w:t>
            </w:r>
            <w:r>
              <w:t xml:space="preserve">When a repeat ABO/Rh performed on the patient specimen does not match the original ABO/Rh interpretation and the unit </w:t>
            </w:r>
            <w:r w:rsidR="00A10483">
              <w:t>does not</w:t>
            </w:r>
            <w:r>
              <w:t xml:space="preserve"> qualify for emergency issue, VBECS warns the user and instructs him to resolve the discrepancy before issuing the unit. There is no override. Emergency issue may continue for qualifying units.</w:t>
            </w:r>
          </w:p>
        </w:tc>
      </w:tr>
      <w:tr w:rsidR="00263F21" w14:paraId="2ABB1BB2" w14:textId="77777777">
        <w:tc>
          <w:tcPr>
            <w:tcW w:w="780" w:type="dxa"/>
          </w:tcPr>
          <w:p w14:paraId="725BCBA9" w14:textId="77777777" w:rsidR="00263F21" w:rsidRDefault="00263F21" w:rsidP="00BC3648">
            <w:pPr>
              <w:pStyle w:val="TableText"/>
            </w:pPr>
            <w:r>
              <w:t>5</w:t>
            </w:r>
          </w:p>
        </w:tc>
        <w:tc>
          <w:tcPr>
            <w:tcW w:w="8580" w:type="dxa"/>
          </w:tcPr>
          <w:p w14:paraId="46A107F5" w14:textId="77777777" w:rsidR="00263F21" w:rsidRDefault="00263F21" w:rsidP="00BC3648">
            <w:pPr>
              <w:pStyle w:val="TableText"/>
            </w:pPr>
            <w:r>
              <w:rPr>
                <w:rFonts w:cs="Arial"/>
                <w:vanish/>
              </w:rPr>
              <w:t xml:space="preserve">BR_73.30 </w:t>
            </w:r>
            <w:r>
              <w:t xml:space="preserve">When a unit has a biohazard indicator, VBECS emits an audible alert, warns the user, and asks whether he still wishes to issue the unit. </w:t>
            </w:r>
            <w:r>
              <w:rPr>
                <w:b/>
              </w:rPr>
              <w:t>No</w:t>
            </w:r>
            <w:r>
              <w:t xml:space="preserve"> clears the entry and allows the user to select a new unit. </w:t>
            </w:r>
            <w:r>
              <w:rPr>
                <w:b/>
              </w:rPr>
              <w:t>Yes</w:t>
            </w:r>
            <w:r>
              <w:t xml:space="preserve"> requires a comment and captures details of the transaction for inclusion in an Exception Report (exception type: biohazardous unit issued). </w:t>
            </w:r>
          </w:p>
        </w:tc>
      </w:tr>
      <w:tr w:rsidR="00263F21" w14:paraId="6604E669" w14:textId="77777777">
        <w:tc>
          <w:tcPr>
            <w:tcW w:w="780" w:type="dxa"/>
          </w:tcPr>
          <w:p w14:paraId="67223F66" w14:textId="77777777" w:rsidR="00263F21" w:rsidRDefault="00263F21" w:rsidP="00BC3648">
            <w:pPr>
              <w:pStyle w:val="TableText"/>
            </w:pPr>
            <w:r>
              <w:t>5</w:t>
            </w:r>
          </w:p>
        </w:tc>
        <w:tc>
          <w:tcPr>
            <w:tcW w:w="8580" w:type="dxa"/>
          </w:tcPr>
          <w:p w14:paraId="27E70DB0" w14:textId="77777777" w:rsidR="00263F21" w:rsidRDefault="00263F21" w:rsidP="00BC3648">
            <w:pPr>
              <w:pStyle w:val="TableText"/>
            </w:pPr>
            <w:r>
              <w:rPr>
                <w:rFonts w:cs="Arial"/>
                <w:vanish/>
                <w:szCs w:val="22"/>
              </w:rPr>
              <w:t xml:space="preserve">BR_73.16 </w:t>
            </w:r>
            <w:r>
              <w:t xml:space="preserve">For an Rh negative, unknown, or inconclusive patient, the user may enter and confirm Rh positive </w:t>
            </w:r>
            <w:r w:rsidR="00BA5BE4">
              <w:t xml:space="preserve">and Rh pooled </w:t>
            </w:r>
            <w:r>
              <w:t xml:space="preserve">units from the WHOLE BLOOD, RED BLOOD CELLS, PLATELETS, and OTHER VBECS component classes. </w:t>
            </w:r>
            <w:r w:rsidR="001D0217" w:rsidRPr="000921F1">
              <w:t>VBECS emits an audible alert, warns that the patient is Rh negative and the selected unit is Rh positive, instructs the user to check the patient sex and hospital policy before continuing, and asks whether the user wishes to continue to select the unit.</w:t>
            </w:r>
            <w:r>
              <w:t xml:space="preserve"> </w:t>
            </w:r>
            <w:r>
              <w:rPr>
                <w:b/>
              </w:rPr>
              <w:t>No</w:t>
            </w:r>
            <w:r>
              <w:t xml:space="preserve"> clears the unit data and allows the user to select a different unit. </w:t>
            </w:r>
            <w:r>
              <w:rPr>
                <w:b/>
              </w:rPr>
              <w:t>Yes</w:t>
            </w:r>
            <w:r>
              <w:t xml:space="preserve"> requires additional comment and captures details for inclusion in an Exception Report (exception type: antigen positive/untested units issued).</w:t>
            </w:r>
            <w:r w:rsidR="001D0217" w:rsidRPr="001D0217">
              <w:rPr>
                <w:vanish/>
              </w:rPr>
              <w:t xml:space="preserve"> DR 4508</w:t>
            </w:r>
          </w:p>
        </w:tc>
      </w:tr>
      <w:tr w:rsidR="00263F21" w14:paraId="5293BBD2" w14:textId="77777777">
        <w:tc>
          <w:tcPr>
            <w:tcW w:w="780" w:type="dxa"/>
          </w:tcPr>
          <w:p w14:paraId="6508434D" w14:textId="77777777" w:rsidR="00263F21" w:rsidRDefault="00263F21" w:rsidP="00BC3648">
            <w:pPr>
              <w:pStyle w:val="TableText"/>
            </w:pPr>
            <w:r>
              <w:t>5</w:t>
            </w:r>
          </w:p>
        </w:tc>
        <w:tc>
          <w:tcPr>
            <w:tcW w:w="8580" w:type="dxa"/>
          </w:tcPr>
          <w:p w14:paraId="090AD62A" w14:textId="77777777" w:rsidR="00263F21" w:rsidRDefault="00263F21" w:rsidP="00BC3648">
            <w:pPr>
              <w:pStyle w:val="TableText"/>
            </w:pPr>
            <w:r>
              <w:rPr>
                <w:rFonts w:cs="Arial"/>
                <w:vanish/>
              </w:rPr>
              <w:t xml:space="preserve">BR_73.04 </w:t>
            </w:r>
            <w:r>
              <w:t>When the user attempts to issue an expired unit, VBECS emits an audible alert and warns him. There is no override.</w:t>
            </w:r>
          </w:p>
          <w:p w14:paraId="7FC6C007" w14:textId="77777777" w:rsidR="00263F21" w:rsidRDefault="00263F21" w:rsidP="00BC3648">
            <w:pPr>
              <w:pStyle w:val="TableText"/>
            </w:pPr>
          </w:p>
          <w:p w14:paraId="06C1C448" w14:textId="77777777" w:rsidR="00263F21" w:rsidRDefault="00263F21" w:rsidP="00BC3648">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(exception type: issued expired unit).</w:t>
            </w:r>
          </w:p>
        </w:tc>
      </w:tr>
      <w:tr w:rsidR="00263F21" w14:paraId="08030156" w14:textId="77777777">
        <w:tc>
          <w:tcPr>
            <w:tcW w:w="780" w:type="dxa"/>
          </w:tcPr>
          <w:p w14:paraId="089953F0" w14:textId="77777777" w:rsidR="00263F21" w:rsidRDefault="00263F21" w:rsidP="00BC3648">
            <w:pPr>
              <w:pStyle w:val="TableText"/>
            </w:pPr>
            <w:r>
              <w:t>5</w:t>
            </w:r>
          </w:p>
        </w:tc>
        <w:tc>
          <w:tcPr>
            <w:tcW w:w="8580" w:type="dxa"/>
          </w:tcPr>
          <w:p w14:paraId="7D35E032" w14:textId="77777777" w:rsidR="00263F21" w:rsidRDefault="00263F21" w:rsidP="00BC3648">
            <w:pPr>
              <w:pStyle w:val="TableText"/>
            </w:pPr>
            <w:r>
              <w:rPr>
                <w:rFonts w:cs="Arial"/>
                <w:vanish/>
              </w:rPr>
              <w:t xml:space="preserve">BR_73.14 </w:t>
            </w:r>
            <w:r>
              <w:t>When the user sele</w:t>
            </w:r>
            <w:r w:rsidR="00A92813">
              <w:t>cts units from the WHOLE BLOOD or RED BLOOD CELLS</w:t>
            </w:r>
            <w:r>
              <w:t xml:space="preserve"> component classes, VBECS determines when the patient has a calculated or a persistent antigen negative requirement. This does not apply when selecting autologous (ISBT 128 units with an autologous donation type). When the selected unit was antigen typed and is positive for the corresponding antigen or is untested for the antigen, VBECS warns the user and requires action based on his security level.</w:t>
            </w:r>
          </w:p>
          <w:p w14:paraId="16E6DF58" w14:textId="77777777" w:rsidR="00263F21" w:rsidRDefault="00263F21" w:rsidP="00BC3648">
            <w:pPr>
              <w:pStyle w:val="TableText"/>
            </w:pPr>
          </w:p>
          <w:p w14:paraId="3212EC24" w14:textId="77777777" w:rsidR="00263F21" w:rsidRDefault="00263F21" w:rsidP="00BC3648">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below, VBECS emits an audible alert and warns that he does not have the proper security level to issue the unit. There is no override. </w:t>
            </w:r>
          </w:p>
          <w:p w14:paraId="1AF9EB42" w14:textId="77777777" w:rsidR="00263F21" w:rsidRDefault="00263F21" w:rsidP="00BC3648">
            <w:pPr>
              <w:pStyle w:val="TableText"/>
            </w:pPr>
          </w:p>
          <w:p w14:paraId="00C31614" w14:textId="77777777" w:rsidR="00685A5F" w:rsidRDefault="00263F21" w:rsidP="00685A5F">
            <w:pPr>
              <w:pStyle w:val="TableText"/>
              <w:rPr>
                <w:szCs w:val="18"/>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user is a Lead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entry (exception type: antigen-positive/untested units issued).</w:t>
            </w:r>
            <w:r w:rsidR="00685A5F" w:rsidRPr="00F14A86">
              <w:rPr>
                <w:szCs w:val="18"/>
              </w:rPr>
              <w:t xml:space="preserve"> Additional details to be included in the exception report when the u</w:t>
            </w:r>
            <w:r w:rsidR="00685A5F">
              <w:rPr>
                <w:szCs w:val="18"/>
              </w:rPr>
              <w:t>ser overrides:</w:t>
            </w:r>
          </w:p>
          <w:p w14:paraId="57329B3C" w14:textId="77777777" w:rsidR="00685A5F" w:rsidRPr="00FB5425" w:rsidRDefault="00685A5F" w:rsidP="00BA3292">
            <w:pPr>
              <w:pStyle w:val="TableText"/>
              <w:numPr>
                <w:ilvl w:val="0"/>
                <w:numId w:val="66"/>
              </w:numPr>
              <w:tabs>
                <w:tab w:val="clear" w:pos="720"/>
                <w:tab w:val="num" w:pos="252"/>
              </w:tabs>
              <w:ind w:left="252" w:hanging="198"/>
              <w:rPr>
                <w:szCs w:val="18"/>
              </w:rPr>
            </w:pPr>
            <w:r w:rsidRPr="00FB5425">
              <w:rPr>
                <w:szCs w:val="18"/>
              </w:rPr>
              <w:t>Transaction Type: Antigen-positive/untested units issued</w:t>
            </w:r>
          </w:p>
          <w:p w14:paraId="4B7A3FD0" w14:textId="77777777" w:rsidR="00685A5F" w:rsidRPr="008A3C45" w:rsidRDefault="00685A5F" w:rsidP="00BA3292">
            <w:pPr>
              <w:pStyle w:val="TableText"/>
              <w:numPr>
                <w:ilvl w:val="0"/>
                <w:numId w:val="66"/>
              </w:numPr>
              <w:tabs>
                <w:tab w:val="clear" w:pos="720"/>
                <w:tab w:val="num" w:pos="252"/>
              </w:tabs>
              <w:ind w:left="252" w:hanging="198"/>
              <w:rPr>
                <w:szCs w:val="18"/>
              </w:rPr>
            </w:pPr>
            <w:r w:rsidRPr="008A3C45">
              <w:rPr>
                <w:szCs w:val="18"/>
              </w:rPr>
              <w:t>Patient Antibody(ies) Identified</w:t>
            </w:r>
          </w:p>
          <w:p w14:paraId="2BEEECE6" w14:textId="77777777" w:rsidR="00263F21" w:rsidRDefault="00685A5F" w:rsidP="00BA3292">
            <w:pPr>
              <w:pStyle w:val="TableText"/>
              <w:numPr>
                <w:ilvl w:val="0"/>
                <w:numId w:val="66"/>
              </w:numPr>
              <w:tabs>
                <w:tab w:val="clear" w:pos="720"/>
                <w:tab w:val="num" w:pos="252"/>
              </w:tabs>
              <w:ind w:left="252" w:hanging="198"/>
            </w:pPr>
            <w:r w:rsidRPr="004A6FB8">
              <w:rPr>
                <w:szCs w:val="18"/>
              </w:rPr>
              <w:t>Unit Antigen Phenotype Result or “untested”</w:t>
            </w:r>
          </w:p>
        </w:tc>
      </w:tr>
      <w:tr w:rsidR="00263F21" w14:paraId="13F3F5EE" w14:textId="77777777">
        <w:tc>
          <w:tcPr>
            <w:tcW w:w="780" w:type="dxa"/>
          </w:tcPr>
          <w:p w14:paraId="7656E22F" w14:textId="77777777" w:rsidR="00263F21" w:rsidRDefault="00263F21" w:rsidP="00BC3648">
            <w:pPr>
              <w:pStyle w:val="TableText"/>
            </w:pPr>
            <w:r>
              <w:t>5</w:t>
            </w:r>
          </w:p>
        </w:tc>
        <w:tc>
          <w:tcPr>
            <w:tcW w:w="8580" w:type="dxa"/>
          </w:tcPr>
          <w:p w14:paraId="7E3009C6" w14:textId="77777777" w:rsidR="00263F21" w:rsidRDefault="00263F21" w:rsidP="00BC3648">
            <w:pPr>
              <w:pStyle w:val="TableText"/>
            </w:pPr>
            <w:r>
              <w:rPr>
                <w:rFonts w:cs="Arial"/>
                <w:vanish/>
              </w:rPr>
              <w:t xml:space="preserve">BR_73.05 </w:t>
            </w:r>
            <w:r>
              <w:t xml:space="preserve">VBECS compares the ABO/Rh of the current specimen to the historic ABO/Rh. When the unit was electronically crossmatched, the current and historic ABO/Rh results must have been recorded in the login user’s division. When there is a discrepancy, there is no previous justification for the discrepancy </w:t>
            </w:r>
            <w:r>
              <w:lastRenderedPageBreak/>
              <w:t xml:space="preserve">on the patient record, as described in Justify ABO/Rh Change, and the unit </w:t>
            </w:r>
            <w:r w:rsidR="00A10483">
              <w:t>does not</w:t>
            </w:r>
            <w:r>
              <w:t xml:space="preserve"> qualify for emergency issue, VBECS warns the user and instructs him to resolve the discrepancy before issuing the unit. There is no override. VBECS exits the option, clears the screen, and returns the user to the point of entry. Emergency issue may continue for qualifying units.</w:t>
            </w:r>
          </w:p>
        </w:tc>
      </w:tr>
      <w:tr w:rsidR="00263F21" w14:paraId="3ED1815C" w14:textId="77777777">
        <w:tc>
          <w:tcPr>
            <w:tcW w:w="780" w:type="dxa"/>
          </w:tcPr>
          <w:p w14:paraId="112E6ED3" w14:textId="77777777" w:rsidR="00263F21" w:rsidRDefault="00263F21" w:rsidP="00BC3648">
            <w:pPr>
              <w:pStyle w:val="TableText"/>
            </w:pPr>
            <w:r>
              <w:lastRenderedPageBreak/>
              <w:t>5</w:t>
            </w:r>
          </w:p>
        </w:tc>
        <w:tc>
          <w:tcPr>
            <w:tcW w:w="8580" w:type="dxa"/>
          </w:tcPr>
          <w:p w14:paraId="3D5E5371" w14:textId="77777777" w:rsidR="00263F21" w:rsidRDefault="00263F21" w:rsidP="00BC3648">
            <w:pPr>
              <w:pStyle w:val="TableText"/>
            </w:pPr>
            <w:r w:rsidRPr="00ED5745">
              <w:rPr>
                <w:rFonts w:cs="Arial"/>
                <w:vanish/>
                <w:color w:val="0000FF"/>
              </w:rPr>
              <w:t>BR_3.05</w:t>
            </w:r>
            <w:r>
              <w:rPr>
                <w:rFonts w:cs="Arial"/>
                <w:vanish/>
              </w:rPr>
              <w:t xml:space="preserve"> </w:t>
            </w:r>
            <w:r>
              <w:t xml:space="preserve">When no valid ABO exists for the patient, the user may select components, including autologous units: </w:t>
            </w:r>
          </w:p>
          <w:p w14:paraId="66B3F821" w14:textId="77777777" w:rsidR="00263F21" w:rsidRDefault="00263F21" w:rsidP="00BC3648">
            <w:pPr>
              <w:pStyle w:val="TableTextBullet"/>
              <w:tabs>
                <w:tab w:val="clear" w:pos="288"/>
              </w:tabs>
            </w:pPr>
            <w:r>
              <w:t xml:space="preserve">For RBC or WB order: </w:t>
            </w:r>
            <w:r w:rsidR="00093181">
              <w:t>group</w:t>
            </w:r>
            <w:r w:rsidR="000014DD">
              <w:t xml:space="preserve"> </w:t>
            </w:r>
            <w:r>
              <w:t>O, Rh positive or O Rh negative RBC. WHOLE BLOOD is not selectable.</w:t>
            </w:r>
          </w:p>
          <w:p w14:paraId="21430147" w14:textId="77777777" w:rsidR="00263F21" w:rsidRDefault="00263F21" w:rsidP="00BC3648">
            <w:pPr>
              <w:pStyle w:val="TableTextBullet"/>
              <w:tabs>
                <w:tab w:val="clear" w:pos="288"/>
              </w:tabs>
            </w:pPr>
            <w:r>
              <w:t>For FFP order only: group AB, Rh positive or Rh negative.</w:t>
            </w:r>
          </w:p>
          <w:p w14:paraId="2294BADD" w14:textId="77777777" w:rsidR="00263F21" w:rsidRDefault="00263F21" w:rsidP="00BC3648">
            <w:pPr>
              <w:pStyle w:val="TableTextBullet"/>
              <w:tabs>
                <w:tab w:val="clear" w:pos="288"/>
              </w:tabs>
            </w:pPr>
            <w:r>
              <w:t>For PLT, CRYO, or OTHER order, all available units are selectable.</w:t>
            </w:r>
          </w:p>
        </w:tc>
      </w:tr>
      <w:tr w:rsidR="00113B6A" w14:paraId="1AAD4681" w14:textId="77777777">
        <w:tc>
          <w:tcPr>
            <w:tcW w:w="780" w:type="dxa"/>
          </w:tcPr>
          <w:p w14:paraId="065C6E6F" w14:textId="77777777" w:rsidR="00113B6A" w:rsidRDefault="00173BDA" w:rsidP="00303708">
            <w:pPr>
              <w:pStyle w:val="TableText"/>
            </w:pPr>
            <w:r>
              <w:t>5</w:t>
            </w:r>
          </w:p>
        </w:tc>
        <w:tc>
          <w:tcPr>
            <w:tcW w:w="8580" w:type="dxa"/>
          </w:tcPr>
          <w:p w14:paraId="23053ACB" w14:textId="77777777" w:rsidR="00113B6A" w:rsidRDefault="00113B6A" w:rsidP="00303708">
            <w:pPr>
              <w:pStyle w:val="TableText"/>
            </w:pPr>
            <w:r w:rsidRPr="00DC6BEF">
              <w:rPr>
                <w:rFonts w:cs="Arial"/>
                <w:vanish/>
                <w:color w:val="0000FF"/>
              </w:rPr>
              <w:t>BR_3.12</w:t>
            </w:r>
            <w:r>
              <w:rPr>
                <w:rFonts w:cs="Arial"/>
                <w:vanish/>
              </w:rPr>
              <w:t xml:space="preserve"> </w:t>
            </w:r>
            <w:r>
              <w:rPr>
                <w:szCs w:val="22"/>
              </w:rPr>
              <w:t></w:t>
            </w:r>
            <w:r>
              <w:t>When the user selects blood components from the frozen product types for a patient, VBECS emits an audible alert and warns that the selected blood unit must be thawed and may require addition</w:t>
            </w:r>
            <w:r w:rsidR="00CD635A">
              <w:t>al processing prior to issue.</w:t>
            </w:r>
            <w:r>
              <w:t xml:space="preserve"> VBECS updates the blood unit status to “assigned” and the unit is no longer available for issue.</w:t>
            </w:r>
          </w:p>
        </w:tc>
      </w:tr>
      <w:tr w:rsidR="00113B6A" w14:paraId="7CD02ACF" w14:textId="77777777">
        <w:tc>
          <w:tcPr>
            <w:tcW w:w="780" w:type="dxa"/>
            <w:tcBorders>
              <w:top w:val="single" w:sz="4" w:space="0" w:color="auto"/>
              <w:left w:val="single" w:sz="4" w:space="0" w:color="auto"/>
              <w:bottom w:val="single" w:sz="4" w:space="0" w:color="auto"/>
              <w:right w:val="single" w:sz="4" w:space="0" w:color="auto"/>
            </w:tcBorders>
          </w:tcPr>
          <w:p w14:paraId="047684A7" w14:textId="77777777" w:rsidR="00113B6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51CBC093" w14:textId="77777777" w:rsidR="00113B6A" w:rsidRDefault="00113B6A" w:rsidP="00173BDA">
            <w:pPr>
              <w:pStyle w:val="TableText"/>
            </w:pPr>
            <w:r>
              <w:rPr>
                <w:rFonts w:cs="Arial"/>
                <w:vanish/>
              </w:rPr>
              <w:t xml:space="preserve">BR_43.04 </w:t>
            </w:r>
            <w:r>
              <w:t xml:space="preserve">When a Caution Tag or BTRF is printed for an emergency-issued unit, “Emergency Issue” is included on the form. </w:t>
            </w:r>
          </w:p>
          <w:p w14:paraId="10A7B34D" w14:textId="77777777" w:rsidR="00113B6A" w:rsidRDefault="00113B6A" w:rsidP="00173BDA">
            <w:pPr>
              <w:pStyle w:val="TableText"/>
            </w:pPr>
          </w:p>
          <w:p w14:paraId="0C965A08" w14:textId="77777777" w:rsidR="00113B6A" w:rsidRDefault="00113B6A" w:rsidP="00173BDA">
            <w:pPr>
              <w:pStyle w:val="TableText"/>
            </w:pPr>
            <w:r>
              <w:t xml:space="preserve">The recipient ABO/Rh prints as “Unk” or “Unknown” during emergency issue when no current specimen results are on file; VBECS may </w:t>
            </w:r>
            <w:r>
              <w:rPr>
                <w:iCs/>
              </w:rPr>
              <w:t>not</w:t>
            </w:r>
            <w:r>
              <w:t xml:space="preserve"> use a historic record blood type (from any source) for the typing printed on the tag/form.</w:t>
            </w:r>
          </w:p>
          <w:p w14:paraId="7F089C33" w14:textId="77777777" w:rsidR="00113B6A" w:rsidRDefault="00113B6A" w:rsidP="00173BDA">
            <w:pPr>
              <w:pStyle w:val="Table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880"/>
            </w:tblGrid>
            <w:tr w:rsidR="00113B6A" w14:paraId="61619FB9" w14:textId="77777777">
              <w:trPr>
                <w:tblHeader/>
              </w:trPr>
              <w:tc>
                <w:tcPr>
                  <w:tcW w:w="2880" w:type="dxa"/>
                  <w:shd w:val="clear" w:color="auto" w:fill="B3B3B3"/>
                  <w:vAlign w:val="bottom"/>
                </w:tcPr>
                <w:p w14:paraId="085D52AE" w14:textId="77777777" w:rsidR="00113B6A" w:rsidRDefault="00113B6A" w:rsidP="00173BDA">
                  <w:pPr>
                    <w:pStyle w:val="TableText"/>
                    <w:rPr>
                      <w:b/>
                    </w:rPr>
                  </w:pPr>
                  <w:r>
                    <w:rPr>
                      <w:b/>
                    </w:rPr>
                    <w:t>Compatibility Interpretation</w:t>
                  </w:r>
                </w:p>
              </w:tc>
              <w:tc>
                <w:tcPr>
                  <w:tcW w:w="2880" w:type="dxa"/>
                  <w:shd w:val="clear" w:color="auto" w:fill="B3B3B3"/>
                  <w:vAlign w:val="bottom"/>
                </w:tcPr>
                <w:p w14:paraId="7F39A450" w14:textId="77777777" w:rsidR="00113B6A" w:rsidRDefault="00113B6A" w:rsidP="00173BDA">
                  <w:pPr>
                    <w:pStyle w:val="TableText"/>
                    <w:rPr>
                      <w:b/>
                    </w:rPr>
                  </w:pPr>
                  <w:r>
                    <w:rPr>
                      <w:b/>
                    </w:rPr>
                    <w:t>Text on BTRF</w:t>
                  </w:r>
                </w:p>
              </w:tc>
            </w:tr>
            <w:tr w:rsidR="00113B6A" w14:paraId="5E26A936" w14:textId="77777777">
              <w:tc>
                <w:tcPr>
                  <w:tcW w:w="2880" w:type="dxa"/>
                  <w:vAlign w:val="bottom"/>
                </w:tcPr>
                <w:p w14:paraId="79397669" w14:textId="77777777" w:rsidR="00113B6A" w:rsidRDefault="00113B6A" w:rsidP="00173BDA">
                  <w:pPr>
                    <w:pStyle w:val="TableText"/>
                  </w:pPr>
                  <w:r>
                    <w:t>Crossmatch</w:t>
                  </w:r>
                </w:p>
              </w:tc>
              <w:tc>
                <w:tcPr>
                  <w:tcW w:w="2880" w:type="dxa"/>
                  <w:vAlign w:val="bottom"/>
                </w:tcPr>
                <w:p w14:paraId="2C80A42A" w14:textId="77777777" w:rsidR="00113B6A" w:rsidRDefault="00113B6A" w:rsidP="00173BDA">
                  <w:pPr>
                    <w:pStyle w:val="TableText"/>
                  </w:pPr>
                  <w:r>
                    <w:t>TESTING INCOMPLETE</w:t>
                  </w:r>
                </w:p>
              </w:tc>
            </w:tr>
            <w:tr w:rsidR="00113B6A" w14:paraId="6DF2F619" w14:textId="77777777">
              <w:tc>
                <w:tcPr>
                  <w:tcW w:w="2880" w:type="dxa"/>
                  <w:vAlign w:val="bottom"/>
                </w:tcPr>
                <w:p w14:paraId="0C36612D" w14:textId="77777777" w:rsidR="00113B6A" w:rsidRDefault="00113B6A" w:rsidP="00173BDA">
                  <w:pPr>
                    <w:pStyle w:val="TableText"/>
                  </w:pPr>
                  <w:r>
                    <w:t>Crossmatch Not Required</w:t>
                  </w:r>
                </w:p>
              </w:tc>
              <w:tc>
                <w:tcPr>
                  <w:tcW w:w="2880" w:type="dxa"/>
                  <w:vAlign w:val="bottom"/>
                </w:tcPr>
                <w:p w14:paraId="1D3AA5AF" w14:textId="77777777" w:rsidR="00113B6A" w:rsidRDefault="00113B6A" w:rsidP="00173BDA">
                  <w:pPr>
                    <w:pStyle w:val="TableText"/>
                  </w:pPr>
                  <w:r>
                    <w:t>Not Required</w:t>
                  </w:r>
                </w:p>
              </w:tc>
            </w:tr>
          </w:tbl>
          <w:p w14:paraId="1CD820E2" w14:textId="77777777" w:rsidR="00113B6A" w:rsidRDefault="00113B6A" w:rsidP="00173BDA">
            <w:pPr>
              <w:pStyle w:val="TableText"/>
            </w:pPr>
          </w:p>
          <w:p w14:paraId="2A72450F" w14:textId="77777777" w:rsidR="00113B6A" w:rsidRPr="00113B6A" w:rsidRDefault="00113B6A" w:rsidP="00303708">
            <w:pPr>
              <w:pStyle w:val="TableText"/>
              <w:rPr>
                <w:rFonts w:cs="Arial"/>
                <w:vanish/>
                <w:color w:val="0000FF"/>
              </w:rPr>
            </w:pPr>
            <w:r>
              <w:t>VBECS prints “Emergency Issue” in the TR section of the form.</w:t>
            </w:r>
          </w:p>
        </w:tc>
      </w:tr>
      <w:tr w:rsidR="00173BDA" w14:paraId="4F85980F" w14:textId="77777777">
        <w:tc>
          <w:tcPr>
            <w:tcW w:w="780" w:type="dxa"/>
            <w:tcBorders>
              <w:top w:val="single" w:sz="4" w:space="0" w:color="auto"/>
              <w:left w:val="single" w:sz="4" w:space="0" w:color="auto"/>
              <w:bottom w:val="single" w:sz="4" w:space="0" w:color="auto"/>
              <w:right w:val="single" w:sz="4" w:space="0" w:color="auto"/>
            </w:tcBorders>
          </w:tcPr>
          <w:p w14:paraId="590749A6" w14:textId="77777777" w:rsidR="00173BD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07A1484A" w14:textId="77777777" w:rsidR="00173BDA" w:rsidRDefault="00173BDA" w:rsidP="00173BDA">
            <w:pPr>
              <w:pStyle w:val="TableText"/>
            </w:pPr>
            <w:r w:rsidRPr="00C82886">
              <w:rPr>
                <w:vanish/>
                <w:szCs w:val="18"/>
              </w:rPr>
              <w:t xml:space="preserve">BR_44.05 </w:t>
            </w:r>
            <w:r>
              <w:t>When blood products are emergency issued (</w:t>
            </w:r>
            <w:r w:rsidR="00C82886">
              <w:t xml:space="preserve">units has an </w:t>
            </w:r>
            <w:r w:rsidR="00CF2D0E">
              <w:t>emergency issue” order indicator</w:t>
            </w:r>
            <w:r w:rsidR="00C82886">
              <w:t xml:space="preserve">, </w:t>
            </w:r>
            <w:r>
              <w:t>or the testing is incomplete or inconclusive on the current specimen), the remarks section of the Blood Transfusion Record Form</w:t>
            </w:r>
            <w:r w:rsidR="00C82886">
              <w:t xml:space="preserve"> includes</w:t>
            </w:r>
            <w:r>
              <w:t xml:space="preserve"> “This unit is issued for transfusion BEFORE the completion of required compatibility testing. The blood bank staff will continue to test the compatibility of the unit using the current patient specimen. If you are alerted to a unit’s incompatibility by the blood bank, stop the transfusion immediately.”</w:t>
            </w:r>
          </w:p>
          <w:p w14:paraId="515EF056" w14:textId="77777777" w:rsidR="00173BDA" w:rsidRDefault="00173BDA" w:rsidP="00C82886">
            <w:pPr>
              <w:pStyle w:val="TableText"/>
            </w:pPr>
          </w:p>
          <w:p w14:paraId="4236E896" w14:textId="77777777" w:rsidR="00173BDA" w:rsidRDefault="00C82886" w:rsidP="00C82886">
            <w:pPr>
              <w:pStyle w:val="TableText"/>
              <w:rPr>
                <w:rFonts w:cs="Arial"/>
                <w:vanish/>
              </w:rPr>
            </w:pPr>
            <w:r>
              <w:t>When</w:t>
            </w:r>
            <w:r w:rsidR="00173BDA">
              <w:t xml:space="preserve"> “***” prints for the patient ABO/Rh and crossmatch, </w:t>
            </w:r>
            <w:r w:rsidR="002036D0">
              <w:t>the form includes</w:t>
            </w:r>
            <w:r w:rsidR="00173BDA">
              <w:t xml:space="preserve"> “Specimen testing incomplete at time of issue</w:t>
            </w:r>
            <w:r>
              <w:t>.</w:t>
            </w:r>
            <w:r w:rsidR="00173BDA">
              <w:t>”</w:t>
            </w:r>
          </w:p>
        </w:tc>
      </w:tr>
      <w:tr w:rsidR="00173BDA" w14:paraId="5FFCD5B3" w14:textId="77777777">
        <w:tc>
          <w:tcPr>
            <w:tcW w:w="780" w:type="dxa"/>
            <w:tcBorders>
              <w:top w:val="single" w:sz="4" w:space="0" w:color="auto"/>
              <w:left w:val="single" w:sz="4" w:space="0" w:color="auto"/>
              <w:bottom w:val="single" w:sz="4" w:space="0" w:color="auto"/>
              <w:right w:val="single" w:sz="4" w:space="0" w:color="auto"/>
            </w:tcBorders>
          </w:tcPr>
          <w:p w14:paraId="532761EC" w14:textId="77777777" w:rsidR="00173BD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28E478D9" w14:textId="77777777" w:rsidR="00173BDA" w:rsidRPr="00173BDA" w:rsidRDefault="00173BDA" w:rsidP="00003BE9">
            <w:pPr>
              <w:pStyle w:val="TableText"/>
            </w:pPr>
            <w:r w:rsidRPr="00CF2D0E">
              <w:rPr>
                <w:vanish/>
                <w:szCs w:val="18"/>
              </w:rPr>
              <w:t xml:space="preserve">BR_56.29 </w:t>
            </w:r>
            <w:r w:rsidRPr="00173BDA">
              <w:t xml:space="preserve">When a unit was issued and a conflicting test result found that indicates a potential unit incompatibility with the patient, such as a patient ABO/Rh discrepancy, the unit XM is incompatible with the patient, the patient ABS is positive, the patient DAT is positive, or the unit is antigen positive where antigen negative is required on the tested specimen, VBECS warns the user and instructs him to notify the physician of this potential problem immediately, according to hospital policy. VBECS warns the user during the execution of the various tests related to the compatibility of a blood unit and captures details for inclusion in an Exception Report (exception type: unit issued, testing problem). </w:t>
            </w:r>
          </w:p>
        </w:tc>
      </w:tr>
      <w:tr w:rsidR="00173BDA" w14:paraId="0B6E93BF" w14:textId="77777777">
        <w:tc>
          <w:tcPr>
            <w:tcW w:w="780" w:type="dxa"/>
            <w:tcBorders>
              <w:top w:val="single" w:sz="4" w:space="0" w:color="auto"/>
              <w:left w:val="single" w:sz="4" w:space="0" w:color="auto"/>
              <w:bottom w:val="single" w:sz="4" w:space="0" w:color="auto"/>
              <w:right w:val="single" w:sz="4" w:space="0" w:color="auto"/>
            </w:tcBorders>
          </w:tcPr>
          <w:p w14:paraId="019F2F10" w14:textId="77777777" w:rsidR="00173BDA" w:rsidRDefault="00173BDA" w:rsidP="00303708">
            <w:pPr>
              <w:pStyle w:val="TableText"/>
            </w:pPr>
            <w:r>
              <w:t>7</w:t>
            </w:r>
          </w:p>
        </w:tc>
        <w:tc>
          <w:tcPr>
            <w:tcW w:w="8580" w:type="dxa"/>
            <w:tcBorders>
              <w:top w:val="single" w:sz="4" w:space="0" w:color="auto"/>
              <w:left w:val="single" w:sz="4" w:space="0" w:color="auto"/>
              <w:bottom w:val="single" w:sz="4" w:space="0" w:color="auto"/>
              <w:right w:val="single" w:sz="4" w:space="0" w:color="auto"/>
            </w:tcBorders>
          </w:tcPr>
          <w:p w14:paraId="52DD3607" w14:textId="77777777" w:rsidR="00173BDA" w:rsidRDefault="00173BDA" w:rsidP="00303708">
            <w:pPr>
              <w:pStyle w:val="TableText"/>
            </w:pPr>
            <w:r w:rsidRPr="00651291">
              <w:rPr>
                <w:vanish/>
                <w:szCs w:val="18"/>
              </w:rPr>
              <w:t xml:space="preserve">BR_73.33 </w:t>
            </w:r>
            <w:r>
              <w:t xml:space="preserve">When the division is “full service” and a blood unit is ABO incompatible at issue based on the system interpretation of the current patient specimen’s ABO test result, VBECS emits an audible alert and warns that the unit is not ABO compatible with the patient’s current specimen results and asks whether he wishes to continue. </w:t>
            </w:r>
            <w:r w:rsidRPr="00173BDA">
              <w:t>No</w:t>
            </w:r>
            <w:r>
              <w:t xml:space="preserve"> clears the screen and allows the user to select another unit. </w:t>
            </w:r>
            <w:r w:rsidRPr="00173BDA">
              <w:t>Yes</w:t>
            </w:r>
            <w:r>
              <w:t xml:space="preserve"> requires a comment and </w:t>
            </w:r>
            <w:r w:rsidRPr="00014921">
              <w:t xml:space="preserve">captures details for inclusion in an Exception Report (exception type: </w:t>
            </w:r>
            <w:r>
              <w:t>ABO discrepant unit issue</w:t>
            </w:r>
            <w:r w:rsidRPr="00014921">
              <w:t>).</w:t>
            </w:r>
          </w:p>
        </w:tc>
      </w:tr>
    </w:tbl>
    <w:p w14:paraId="2C26C63A" w14:textId="77777777" w:rsidR="007A4F14" w:rsidRDefault="007A4F14">
      <w:pPr>
        <w:pStyle w:val="Heading2"/>
      </w:pPr>
    </w:p>
    <w:p w14:paraId="668F6F9E" w14:textId="77777777" w:rsidR="002A21AE" w:rsidRDefault="007A4F14">
      <w:pPr>
        <w:pStyle w:val="Heading2"/>
      </w:pPr>
      <w:r>
        <w:br w:type="page"/>
      </w:r>
      <w:bookmarkStart w:id="469" w:name="_Toc47516734"/>
      <w:r w:rsidR="002A21AE">
        <w:lastRenderedPageBreak/>
        <w:t>Return Issued Units To Blood Bank</w:t>
      </w:r>
      <w:bookmarkEnd w:id="469"/>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Return Issued Units To Blood Bank</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UC_59</w:t>
      </w:r>
    </w:p>
    <w:p w14:paraId="27B9E45B" w14:textId="77777777" w:rsidR="002A21AE" w:rsidRDefault="00783596" w:rsidP="00FA7E65">
      <w:pPr>
        <w:pStyle w:val="BodyText"/>
      </w:pPr>
      <w:r>
        <w:t xml:space="preserve">An issued </w:t>
      </w:r>
      <w:r w:rsidR="00A30DD1">
        <w:t xml:space="preserve">unit </w:t>
      </w:r>
      <w:r>
        <w:t>was returned to the blood bank in satisfactory condition after issue to a valid hospital location.</w:t>
      </w:r>
    </w:p>
    <w:p w14:paraId="217A3660" w14:textId="77777777" w:rsidR="002A21AE" w:rsidRDefault="002A21AE">
      <w:pPr>
        <w:pStyle w:val="Heading4"/>
      </w:pPr>
      <w:r>
        <w:t>Assumptions</w:t>
      </w:r>
      <w:r>
        <w:rPr>
          <w:b w:val="0"/>
        </w:rPr>
        <w:t xml:space="preserve"> </w:t>
      </w:r>
    </w:p>
    <w:p w14:paraId="6884C701" w14:textId="77777777" w:rsidR="002A21AE" w:rsidRDefault="002A21AE">
      <w:pPr>
        <w:pStyle w:val="ListBullet"/>
      </w:pPr>
      <w:r>
        <w:t>The user is logged into the division that contains the unit.</w:t>
      </w:r>
    </w:p>
    <w:p w14:paraId="48D3722A" w14:textId="77777777" w:rsidR="002A21AE" w:rsidRDefault="002A21AE">
      <w:pPr>
        <w:pStyle w:val="ListBullet"/>
      </w:pPr>
      <w:r>
        <w:t>The blood unit is in the “issued” status.</w:t>
      </w:r>
    </w:p>
    <w:p w14:paraId="72CF984F" w14:textId="77777777" w:rsidR="002A21AE" w:rsidRDefault="002A21AE">
      <w:pPr>
        <w:pStyle w:val="ListBullet"/>
      </w:pPr>
      <w:r>
        <w:t xml:space="preserve">The connection to </w:t>
      </w:r>
      <w:r w:rsidR="00CA0045" w:rsidRPr="00CA0045">
        <w:rPr>
          <w:bCs/>
        </w:rPr>
        <w:t>VistA</w:t>
      </w:r>
      <w:r>
        <w:t xml:space="preserve"> is active.</w:t>
      </w:r>
    </w:p>
    <w:p w14:paraId="211313D9" w14:textId="77777777" w:rsidR="002A21AE" w:rsidRDefault="002A21AE">
      <w:pPr>
        <w:pStyle w:val="Heading4"/>
      </w:pPr>
      <w:r>
        <w:t xml:space="preserve">Outcome </w:t>
      </w:r>
    </w:p>
    <w:p w14:paraId="73ED3D20" w14:textId="77777777" w:rsidR="002A21AE" w:rsidRDefault="002A21AE">
      <w:pPr>
        <w:pStyle w:val="ListBullet"/>
      </w:pPr>
      <w:r>
        <w:t xml:space="preserve">The unit is returned to a hospital location of a blood bank. </w:t>
      </w:r>
    </w:p>
    <w:p w14:paraId="6F4EF7E6" w14:textId="77777777" w:rsidR="002A21AE" w:rsidRDefault="002A21AE">
      <w:pPr>
        <w:pStyle w:val="ListBullet"/>
      </w:pPr>
      <w:r>
        <w:t>The unit retains its patient assignment at the time of issue when returned in satisfactory condition.</w:t>
      </w:r>
    </w:p>
    <w:p w14:paraId="43891563" w14:textId="77777777" w:rsidR="002A21AE" w:rsidRDefault="002A21AE">
      <w:pPr>
        <w:pStyle w:val="ListBullet"/>
      </w:pPr>
      <w:r>
        <w:t>The user may mark the unit “unsatisfactory” and quarantine the unit to generate an Exception Report, if needed per hospital policy.</w:t>
      </w:r>
    </w:p>
    <w:p w14:paraId="7D0640EA" w14:textId="77777777" w:rsidR="002A21AE" w:rsidRDefault="002A21AE">
      <w:pPr>
        <w:pStyle w:val="Heading4"/>
        <w:rPr>
          <w:b w:val="0"/>
        </w:rPr>
      </w:pPr>
      <w:r>
        <w:t>Limitations and Restrictions</w:t>
      </w:r>
      <w:r>
        <w:rPr>
          <w:b w:val="0"/>
        </w:rPr>
        <w:t xml:space="preserve"> </w:t>
      </w:r>
    </w:p>
    <w:p w14:paraId="73F55BEC" w14:textId="77777777" w:rsidR="002A21AE" w:rsidRDefault="002A21AE">
      <w:pPr>
        <w:pStyle w:val="ListBullet"/>
      </w:pPr>
      <w:r>
        <w:t>None</w:t>
      </w:r>
    </w:p>
    <w:p w14:paraId="26D463F2" w14:textId="77777777" w:rsidR="002A21AE" w:rsidRDefault="002A21AE">
      <w:pPr>
        <w:pStyle w:val="Heading4"/>
      </w:pPr>
      <w:r>
        <w:t xml:space="preserve">Additional Information </w:t>
      </w:r>
    </w:p>
    <w:p w14:paraId="3D0B1474" w14:textId="77777777" w:rsidR="002A21AE" w:rsidRDefault="002A21AE">
      <w:pPr>
        <w:pStyle w:val="ListBullet"/>
      </w:pPr>
      <w:r>
        <w:t>None</w:t>
      </w:r>
    </w:p>
    <w:p w14:paraId="6D1C824D" w14:textId="77777777" w:rsidR="002A21AE" w:rsidRDefault="002A21AE">
      <w:pPr>
        <w:pStyle w:val="Heading4"/>
        <w:rPr>
          <w:b w:val="0"/>
        </w:rPr>
      </w:pPr>
      <w:r>
        <w:t>User Roles with Access to This Option</w:t>
      </w:r>
      <w:r>
        <w:rPr>
          <w:b w:val="0"/>
        </w:rPr>
        <w:t xml:space="preserve"> </w:t>
      </w:r>
    </w:p>
    <w:p w14:paraId="79BFADD8" w14:textId="77777777" w:rsidR="002A21AE" w:rsidRDefault="00CF29CE">
      <w:pPr>
        <w:pStyle w:val="Roles"/>
        <w:rPr>
          <w:snapToGrid w:val="0"/>
        </w:rPr>
      </w:pPr>
      <w:r>
        <w:rPr>
          <w:snapToGrid w:val="0"/>
        </w:rPr>
        <w:t>All users</w:t>
      </w:r>
    </w:p>
    <w:p w14:paraId="497D2AA2" w14:textId="77777777" w:rsidR="002A21AE" w:rsidRDefault="003E28C1">
      <w:pPr>
        <w:pStyle w:val="Heading4"/>
      </w:pPr>
      <w:r>
        <w:br w:type="page"/>
      </w:r>
      <w:r w:rsidR="002A21AE">
        <w:lastRenderedPageBreak/>
        <w:t>Return Issued Units To Blood Bank</w:t>
      </w:r>
    </w:p>
    <w:p w14:paraId="61D969BB" w14:textId="77777777" w:rsidR="002A21AE" w:rsidRDefault="00C41CB0" w:rsidP="00FA7E65">
      <w:pPr>
        <w:pStyle w:val="BodyText"/>
      </w:pPr>
      <w:r>
        <w:t xml:space="preserve">An issued </w:t>
      </w:r>
      <w:r w:rsidR="00932948">
        <w:t xml:space="preserve">unit </w:t>
      </w:r>
      <w:r w:rsidR="002A21AE">
        <w:t xml:space="preserve">was returned to the blood bank </w:t>
      </w:r>
      <w:r>
        <w:t xml:space="preserve">in satisfactory condition </w:t>
      </w:r>
      <w:r w:rsidR="002A21AE">
        <w:t xml:space="preserve">after issue to a valid hospital location. The user </w:t>
      </w:r>
      <w:r>
        <w:t xml:space="preserve">updates </w:t>
      </w:r>
      <w:r w:rsidR="008E55B7">
        <w:t xml:space="preserve">VBECS </w:t>
      </w:r>
      <w:r>
        <w:t>to reflect the change in location</w:t>
      </w:r>
      <w:r w:rsidR="002A21AE">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E6EE431" w14:textId="77777777">
        <w:trPr>
          <w:cantSplit/>
          <w:tblHeader/>
        </w:trPr>
        <w:tc>
          <w:tcPr>
            <w:tcW w:w="3240" w:type="dxa"/>
            <w:shd w:val="pct30" w:color="auto" w:fill="FFFFFF"/>
            <w:vAlign w:val="bottom"/>
          </w:tcPr>
          <w:p w14:paraId="6CBA25D0" w14:textId="77777777" w:rsidR="002A21AE" w:rsidRDefault="002A21AE">
            <w:pPr>
              <w:pStyle w:val="TableText"/>
              <w:rPr>
                <w:b/>
              </w:rPr>
            </w:pPr>
            <w:r>
              <w:rPr>
                <w:b/>
              </w:rPr>
              <w:t>User Action</w:t>
            </w:r>
          </w:p>
        </w:tc>
        <w:tc>
          <w:tcPr>
            <w:tcW w:w="6120" w:type="dxa"/>
            <w:shd w:val="pct30" w:color="auto" w:fill="FFFFFF"/>
            <w:vAlign w:val="bottom"/>
          </w:tcPr>
          <w:p w14:paraId="3C499892" w14:textId="77777777" w:rsidR="002A21AE" w:rsidRDefault="002A21AE">
            <w:pPr>
              <w:pStyle w:val="TableText"/>
              <w:rPr>
                <w:b/>
              </w:rPr>
            </w:pPr>
            <w:r>
              <w:rPr>
                <w:b/>
              </w:rPr>
              <w:t>VBECS</w:t>
            </w:r>
          </w:p>
        </w:tc>
      </w:tr>
      <w:tr w:rsidR="002A21AE" w14:paraId="127657F8" w14:textId="77777777">
        <w:tc>
          <w:tcPr>
            <w:tcW w:w="3240" w:type="dxa"/>
          </w:tcPr>
          <w:p w14:paraId="2F350CC2" w14:textId="77777777" w:rsidR="002A21AE" w:rsidRDefault="002A21AE">
            <w:pPr>
              <w:pStyle w:val="TableTextNumbers"/>
            </w:pPr>
            <w:r>
              <w:t xml:space="preserve">Select </w:t>
            </w:r>
            <w:r>
              <w:rPr>
                <w:b/>
              </w:rPr>
              <w:t>Blood Units</w:t>
            </w:r>
            <w:r>
              <w:t xml:space="preserve"> or </w:t>
            </w:r>
            <w:r>
              <w:rPr>
                <w:b/>
              </w:rPr>
              <w:t>Patients</w:t>
            </w:r>
            <w:r>
              <w:t xml:space="preserve"> from the main menu. </w:t>
            </w:r>
          </w:p>
          <w:p w14:paraId="21374A1E" w14:textId="77777777" w:rsidR="002A21AE" w:rsidRDefault="002A21AE">
            <w:pPr>
              <w:pStyle w:val="TableTextNumbersContinued"/>
            </w:pPr>
          </w:p>
          <w:p w14:paraId="612319FE" w14:textId="77777777" w:rsidR="002A21AE" w:rsidRDefault="002A21AE">
            <w:pPr>
              <w:pStyle w:val="TableTextNumbersContinued"/>
            </w:pPr>
            <w:r>
              <w:t xml:space="preserve">Select </w:t>
            </w:r>
            <w:r>
              <w:rPr>
                <w:b/>
              </w:rPr>
              <w:t>Return Issued Units To Blood Bank</w:t>
            </w:r>
            <w:r>
              <w:t>.</w:t>
            </w:r>
          </w:p>
          <w:p w14:paraId="1AA90EDA" w14:textId="77777777" w:rsidR="002A21AE" w:rsidRDefault="002A21AE">
            <w:pPr>
              <w:pStyle w:val="TableTextNumbersContinued"/>
            </w:pPr>
          </w:p>
          <w:p w14:paraId="62AB720C" w14:textId="77777777" w:rsidR="002A21AE" w:rsidRDefault="002A21AE">
            <w:pPr>
              <w:pStyle w:val="TableTextNumbersContinued"/>
            </w:pPr>
          </w:p>
        </w:tc>
        <w:tc>
          <w:tcPr>
            <w:tcW w:w="6120" w:type="dxa"/>
          </w:tcPr>
          <w:p w14:paraId="664320AE" w14:textId="77777777" w:rsidR="002A21AE" w:rsidRDefault="002A21AE">
            <w:pPr>
              <w:pStyle w:val="TableTextBullet"/>
            </w:pPr>
            <w:r>
              <w:t>Displays options for processing blood units or for processing patient-related functions.</w:t>
            </w:r>
          </w:p>
          <w:p w14:paraId="3849A9C0" w14:textId="77777777" w:rsidR="002A21AE" w:rsidRDefault="002A21AE">
            <w:pPr>
              <w:pStyle w:val="TableTextBullet"/>
            </w:pPr>
            <w:r>
              <w:t>Displays the return date and time and the name of the user who returned the issued unit.</w:t>
            </w:r>
          </w:p>
          <w:p w14:paraId="7D01EBDC" w14:textId="77777777" w:rsidR="002A21AE" w:rsidRDefault="002A21AE">
            <w:pPr>
              <w:pStyle w:val="TableText"/>
            </w:pPr>
          </w:p>
          <w:p w14:paraId="4DC25134" w14:textId="53E59E1E" w:rsidR="002A21AE" w:rsidRDefault="002A21AE">
            <w:pPr>
              <w:pStyle w:val="TableText"/>
              <w:rPr>
                <w:b/>
                <w:bCs/>
                <w:szCs w:val="18"/>
              </w:rPr>
            </w:pPr>
            <w:r>
              <w:rPr>
                <w:b/>
                <w:bCs/>
                <w:szCs w:val="18"/>
              </w:rPr>
              <w:t>NOTES</w:t>
            </w:r>
          </w:p>
          <w:p w14:paraId="32B22284" w14:textId="77777777" w:rsidR="002A21AE" w:rsidRDefault="002A21AE">
            <w:pPr>
              <w:pStyle w:val="NotesText"/>
            </w:pPr>
          </w:p>
          <w:p w14:paraId="76E2E7A2" w14:textId="77777777" w:rsidR="002A21AE" w:rsidRDefault="002A21AE">
            <w:pPr>
              <w:pStyle w:val="NotesText"/>
            </w:pPr>
            <w:r>
              <w:t>The user may edit the return date and time (default: current date and time) to a past date and time.</w:t>
            </w:r>
          </w:p>
          <w:p w14:paraId="79DD2F34" w14:textId="77777777" w:rsidR="002A21AE" w:rsidRDefault="002A21AE">
            <w:pPr>
              <w:pStyle w:val="NotesText"/>
            </w:pPr>
          </w:p>
          <w:p w14:paraId="3568D9C0" w14:textId="77777777" w:rsidR="002A21AE" w:rsidRDefault="002A21AE">
            <w:pPr>
              <w:pStyle w:val="NotesText"/>
            </w:pPr>
            <w:r>
              <w:rPr>
                <w:rFonts w:cs="Arial"/>
                <w:vanish/>
              </w:rPr>
              <w:t xml:space="preserve">BR_59.01 </w:t>
            </w:r>
            <w:r>
              <w:t>VBECS assigns the same return date and time to all units processed in a batch.</w:t>
            </w:r>
          </w:p>
        </w:tc>
      </w:tr>
      <w:tr w:rsidR="002A21AE" w14:paraId="7E28CD17" w14:textId="77777777">
        <w:tc>
          <w:tcPr>
            <w:tcW w:w="3240" w:type="dxa"/>
          </w:tcPr>
          <w:p w14:paraId="611987EE" w14:textId="77777777" w:rsidR="002A21AE" w:rsidRDefault="002A21AE">
            <w:pPr>
              <w:pStyle w:val="TableTextNumbers"/>
            </w:pPr>
            <w:r>
              <w:t xml:space="preserve">Enter or edit the date and time and/or select a user, or click </w:t>
            </w:r>
            <w:r>
              <w:rPr>
                <w:b/>
              </w:rPr>
              <w:t>OK</w:t>
            </w:r>
            <w:r>
              <w:t xml:space="preserve"> to accept the default data.</w:t>
            </w:r>
          </w:p>
        </w:tc>
        <w:tc>
          <w:tcPr>
            <w:tcW w:w="6120" w:type="dxa"/>
          </w:tcPr>
          <w:p w14:paraId="2B809033" w14:textId="77777777" w:rsidR="002A21AE" w:rsidRDefault="002A21AE">
            <w:pPr>
              <w:pStyle w:val="TableText"/>
            </w:pPr>
          </w:p>
        </w:tc>
      </w:tr>
      <w:tr w:rsidR="002A21AE" w14:paraId="53079801" w14:textId="77777777">
        <w:tc>
          <w:tcPr>
            <w:tcW w:w="3240" w:type="dxa"/>
            <w:tcBorders>
              <w:top w:val="single" w:sz="4" w:space="0" w:color="auto"/>
              <w:left w:val="single" w:sz="4" w:space="0" w:color="auto"/>
              <w:bottom w:val="single" w:sz="4" w:space="0" w:color="auto"/>
              <w:right w:val="single" w:sz="4" w:space="0" w:color="auto"/>
            </w:tcBorders>
          </w:tcPr>
          <w:p w14:paraId="7E50E004" w14:textId="77777777" w:rsidR="002A21AE" w:rsidRDefault="002A21AE">
            <w:pPr>
              <w:pStyle w:val="TableTextNumbers"/>
            </w:pPr>
            <w:r>
              <w:t xml:space="preserve">Enter the patient data. </w:t>
            </w:r>
          </w:p>
        </w:tc>
        <w:tc>
          <w:tcPr>
            <w:tcW w:w="6120" w:type="dxa"/>
            <w:tcBorders>
              <w:top w:val="single" w:sz="4" w:space="0" w:color="auto"/>
              <w:left w:val="single" w:sz="4" w:space="0" w:color="auto"/>
              <w:bottom w:val="single" w:sz="4" w:space="0" w:color="auto"/>
              <w:right w:val="single" w:sz="4" w:space="0" w:color="auto"/>
            </w:tcBorders>
          </w:tcPr>
          <w:p w14:paraId="7FAEF29C" w14:textId="77777777" w:rsidR="002A21AE" w:rsidRDefault="002A21AE">
            <w:pPr>
              <w:pStyle w:val="TableTextBullet"/>
            </w:pPr>
            <w:r>
              <w:t>Prompts the user to enter the unit ID and product code or enter patient data to retrieve the records for the units issued.</w:t>
            </w:r>
          </w:p>
          <w:p w14:paraId="759E3FEF" w14:textId="77777777" w:rsidR="002A21AE" w:rsidRDefault="002A21AE">
            <w:pPr>
              <w:pStyle w:val="TableTextBullet"/>
              <w:rPr>
                <w:rFonts w:cs="Arial"/>
                <w:szCs w:val="18"/>
              </w:rPr>
            </w:pPr>
            <w:r>
              <w:t>Displays an option to search for or enter a patient or unit based on the original menu option selected.</w:t>
            </w:r>
          </w:p>
        </w:tc>
      </w:tr>
      <w:tr w:rsidR="002A21AE" w14:paraId="4C8775CB" w14:textId="77777777">
        <w:tc>
          <w:tcPr>
            <w:tcW w:w="3240" w:type="dxa"/>
            <w:tcBorders>
              <w:top w:val="single" w:sz="4" w:space="0" w:color="auto"/>
              <w:left w:val="single" w:sz="4" w:space="0" w:color="auto"/>
              <w:bottom w:val="single" w:sz="4" w:space="0" w:color="auto"/>
              <w:right w:val="single" w:sz="4" w:space="0" w:color="auto"/>
            </w:tcBorders>
          </w:tcPr>
          <w:p w14:paraId="655F32A8" w14:textId="77777777" w:rsidR="002A21AE" w:rsidRDefault="002A21AE">
            <w:pPr>
              <w:pStyle w:val="TableTextNumbers"/>
            </w:pPr>
            <w:r>
              <w:t>Select a patient or unit.</w:t>
            </w:r>
          </w:p>
        </w:tc>
        <w:tc>
          <w:tcPr>
            <w:tcW w:w="6120" w:type="dxa"/>
            <w:tcBorders>
              <w:top w:val="single" w:sz="4" w:space="0" w:color="auto"/>
              <w:left w:val="single" w:sz="4" w:space="0" w:color="auto"/>
              <w:bottom w:val="single" w:sz="4" w:space="0" w:color="auto"/>
              <w:right w:val="single" w:sz="4" w:space="0" w:color="auto"/>
            </w:tcBorders>
          </w:tcPr>
          <w:p w14:paraId="10273E23" w14:textId="77777777" w:rsidR="002A21AE" w:rsidRDefault="002A21AE">
            <w:pPr>
              <w:pStyle w:val="TableTextBullet"/>
              <w:rPr>
                <w:rFonts w:cs="Arial"/>
                <w:szCs w:val="18"/>
              </w:rPr>
            </w:pPr>
            <w:r>
              <w:t>Lists the units in “issued” status that are assigned to the patient.</w:t>
            </w:r>
          </w:p>
        </w:tc>
      </w:tr>
      <w:tr w:rsidR="002A21AE" w14:paraId="1D91D612" w14:textId="77777777">
        <w:tc>
          <w:tcPr>
            <w:tcW w:w="3240" w:type="dxa"/>
            <w:tcBorders>
              <w:top w:val="single" w:sz="4" w:space="0" w:color="auto"/>
              <w:left w:val="single" w:sz="4" w:space="0" w:color="auto"/>
              <w:bottom w:val="single" w:sz="4" w:space="0" w:color="auto"/>
              <w:right w:val="single" w:sz="4" w:space="0" w:color="auto"/>
            </w:tcBorders>
          </w:tcPr>
          <w:p w14:paraId="03BEC59D" w14:textId="77777777" w:rsidR="002A21AE" w:rsidRDefault="002A21AE">
            <w:pPr>
              <w:pStyle w:val="TableTextNumbers"/>
            </w:pPr>
            <w:r>
              <w:t>Select one or more units to return from issue.</w:t>
            </w:r>
          </w:p>
        </w:tc>
        <w:tc>
          <w:tcPr>
            <w:tcW w:w="6120" w:type="dxa"/>
            <w:tcBorders>
              <w:top w:val="single" w:sz="4" w:space="0" w:color="auto"/>
              <w:left w:val="single" w:sz="4" w:space="0" w:color="auto"/>
              <w:bottom w:val="single" w:sz="4" w:space="0" w:color="auto"/>
              <w:right w:val="single" w:sz="4" w:space="0" w:color="auto"/>
            </w:tcBorders>
          </w:tcPr>
          <w:p w14:paraId="48AFDBD8" w14:textId="77777777" w:rsidR="002A21AE" w:rsidRDefault="002A21AE">
            <w:pPr>
              <w:pStyle w:val="TableTextBullet"/>
            </w:pPr>
            <w:r>
              <w:t>Displays the units selected for return for review and allows the user to select or deselect additional units.</w:t>
            </w:r>
          </w:p>
        </w:tc>
      </w:tr>
      <w:tr w:rsidR="002A21AE" w14:paraId="09F4DB35" w14:textId="77777777">
        <w:tc>
          <w:tcPr>
            <w:tcW w:w="3240" w:type="dxa"/>
          </w:tcPr>
          <w:p w14:paraId="7ECE39E4" w14:textId="77777777" w:rsidR="00323155" w:rsidRDefault="00323155" w:rsidP="00323155">
            <w:pPr>
              <w:pStyle w:val="TableTextNumbers"/>
            </w:pPr>
            <w:r>
              <w:t>Scan the unit ID and product code, or click one or more check boxes to select units to return from issue.</w:t>
            </w:r>
          </w:p>
        </w:tc>
        <w:tc>
          <w:tcPr>
            <w:tcW w:w="6120" w:type="dxa"/>
          </w:tcPr>
          <w:p w14:paraId="488FD95D" w14:textId="77777777" w:rsidR="002A21AE" w:rsidRDefault="002A21AE">
            <w:pPr>
              <w:pStyle w:val="TableTextBullet"/>
              <w:rPr>
                <w:rFonts w:cs="Arial"/>
              </w:rPr>
            </w:pPr>
            <w:r>
              <w:t>Displays the data entered and allows the user to enter additional units and indicate that he completed the entry for this transaction.</w:t>
            </w:r>
          </w:p>
          <w:p w14:paraId="5192903D" w14:textId="77777777" w:rsidR="002A21AE" w:rsidRDefault="002A21AE">
            <w:pPr>
              <w:pStyle w:val="TableTextBullet"/>
              <w:rPr>
                <w:rFonts w:cs="Arial"/>
              </w:rPr>
            </w:pPr>
            <w:r>
              <w:rPr>
                <w:rFonts w:cs="Arial"/>
              </w:rPr>
              <w:t>Displays data for each unit entered.</w:t>
            </w:r>
          </w:p>
          <w:p w14:paraId="7EB44AA0" w14:textId="77777777" w:rsidR="002A21AE" w:rsidRDefault="002A21AE">
            <w:pPr>
              <w:pStyle w:val="TableText"/>
            </w:pPr>
          </w:p>
          <w:p w14:paraId="659FCD7D" w14:textId="2AEFCD0D" w:rsidR="002A21AE" w:rsidRDefault="002A21AE">
            <w:pPr>
              <w:pStyle w:val="TableText"/>
              <w:rPr>
                <w:b/>
                <w:bCs/>
                <w:szCs w:val="18"/>
              </w:rPr>
            </w:pPr>
            <w:r>
              <w:rPr>
                <w:b/>
                <w:bCs/>
                <w:szCs w:val="18"/>
              </w:rPr>
              <w:t>NOTES</w:t>
            </w:r>
          </w:p>
          <w:p w14:paraId="3E9B2DDF" w14:textId="77777777" w:rsidR="002A21AE" w:rsidRDefault="002A21AE">
            <w:pPr>
              <w:pStyle w:val="NotesText"/>
            </w:pPr>
          </w:p>
          <w:p w14:paraId="623B8858" w14:textId="77777777" w:rsidR="002A21AE" w:rsidRDefault="002A21AE">
            <w:pPr>
              <w:pStyle w:val="NotesText"/>
            </w:pPr>
            <w:r w:rsidRPr="0017641A">
              <w:rPr>
                <w:rFonts w:cs="Arial"/>
                <w:vanish/>
                <w:color w:val="0000FF"/>
              </w:rPr>
              <w:t>BR_59.03</w:t>
            </w:r>
            <w:r>
              <w:rPr>
                <w:rFonts w:cs="Arial"/>
                <w:vanish/>
              </w:rPr>
              <w:t xml:space="preserve"> </w:t>
            </w:r>
            <w:r>
              <w:t>When a selected unit is not in “issued” status, VBECS warns the user, clears the unit field, and allows the user to enter a different unit number.</w:t>
            </w:r>
          </w:p>
          <w:p w14:paraId="20EA8AFC" w14:textId="77777777" w:rsidR="002A21AE" w:rsidRDefault="002A21AE">
            <w:pPr>
              <w:pStyle w:val="NotesText"/>
            </w:pPr>
          </w:p>
          <w:p w14:paraId="60E2B86A" w14:textId="77777777" w:rsidR="002A21AE" w:rsidRDefault="002A21AE">
            <w:pPr>
              <w:pStyle w:val="NotesText"/>
            </w:pPr>
            <w:r>
              <w:rPr>
                <w:rFonts w:cs="Arial"/>
                <w:vanish/>
              </w:rPr>
              <w:t xml:space="preserve">BR_59.14 </w:t>
            </w:r>
            <w:r>
              <w:t>VBECS allows the user to select multiple units to create a worklist for simultaneous processing.</w:t>
            </w:r>
          </w:p>
          <w:p w14:paraId="74C9B6A9" w14:textId="77777777" w:rsidR="002A21AE" w:rsidRDefault="002A21AE">
            <w:pPr>
              <w:pStyle w:val="NotesText"/>
            </w:pPr>
          </w:p>
          <w:p w14:paraId="797170C5" w14:textId="77777777" w:rsidR="002A21AE" w:rsidRDefault="002A21AE">
            <w:pPr>
              <w:pStyle w:val="NotesText"/>
            </w:pPr>
            <w:r>
              <w:rPr>
                <w:rFonts w:cs="Arial"/>
                <w:vanish/>
              </w:rPr>
              <w:t xml:space="preserve">BR_59.06 </w:t>
            </w:r>
            <w:r>
              <w:t xml:space="preserve">VBECS requires the user to enter a “returned-from” location (default: “issue-to” location) and allows the user to change this location to a different valid hospital location. To do this, click the </w:t>
            </w:r>
            <w:r w:rsidR="00A6373D">
              <w:rPr>
                <w:b/>
              </w:rPr>
              <w:t>find</w:t>
            </w:r>
            <w:r>
              <w:rPr>
                <w:b/>
              </w:rPr>
              <w:t xml:space="preserve"> </w:t>
            </w:r>
            <w:r w:rsidRPr="00D1100E">
              <w:t>button</w:t>
            </w:r>
            <w:r>
              <w:t xml:space="preserve"> and select a hospital location.</w:t>
            </w:r>
          </w:p>
          <w:p w14:paraId="10002DAE" w14:textId="77777777" w:rsidR="00990103" w:rsidRDefault="00990103">
            <w:pPr>
              <w:pStyle w:val="NotesText"/>
              <w:rPr>
                <w:rFonts w:cs="Arial"/>
              </w:rPr>
            </w:pPr>
          </w:p>
          <w:p w14:paraId="71E52647" w14:textId="77777777" w:rsidR="00990103" w:rsidRPr="00990103" w:rsidRDefault="00990103" w:rsidP="00990103">
            <w:pPr>
              <w:pStyle w:val="NotesText"/>
            </w:pPr>
            <w:r w:rsidRPr="00990103">
              <w:rPr>
                <w:vanish/>
              </w:rPr>
              <w:t xml:space="preserve">BR_59.04 </w:t>
            </w:r>
            <w:r w:rsidRPr="00990103">
              <w:t xml:space="preserve">The system provides an audible alert and displays a warning message to the user for each unit returned after issue to a non-remote storage location: "Unit has been out of controlled storage. Check division policy for unit acceptability." The system will require the user to enter a comment regarding the return ("unit return" context). The system will create an exception report entry for the unit accepted from prolonged issue in uncontrolled storage. Exception report entry details include:  </w:t>
            </w:r>
          </w:p>
          <w:p w14:paraId="7EFA693A"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Transaction Type: Unit out of controlled storage found acceptable</w:t>
            </w:r>
          </w:p>
          <w:p w14:paraId="67A3C496"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lastRenderedPageBreak/>
              <w:t xml:space="preserve"> Patient Name</w:t>
            </w:r>
          </w:p>
          <w:p w14:paraId="10B9ABB3" w14:textId="77777777" w:rsidR="00990103"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Patient ID</w:t>
            </w:r>
          </w:p>
          <w:p w14:paraId="3DFCB982"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Patient ABO/Rh</w:t>
            </w:r>
          </w:p>
          <w:p w14:paraId="23659502" w14:textId="77777777" w:rsidR="00990103"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Returned Unit ID</w:t>
            </w:r>
          </w:p>
          <w:p w14:paraId="0B122CF8"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Returned Unit Product Short Name</w:t>
            </w:r>
          </w:p>
          <w:p w14:paraId="5353E542"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Returned Unit ABO/Rh</w:t>
            </w:r>
          </w:p>
          <w:p w14:paraId="548EF389"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Returned Unit Expiration Date</w:t>
            </w:r>
          </w:p>
          <w:p w14:paraId="0B21B174"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Issue-to Location</w:t>
            </w:r>
          </w:p>
          <w:p w14:paraId="26A16B16" w14:textId="5B46E47D" w:rsidR="00990103" w:rsidRPr="00456819" w:rsidRDefault="00990103" w:rsidP="00456819">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Visual Inspection Information</w:t>
            </w:r>
            <w:r w:rsidR="005B025F">
              <w:rPr>
                <w:rFonts w:ascii="Arial" w:hAnsi="Arial" w:cs="Arial"/>
                <w:sz w:val="18"/>
                <w:szCs w:val="18"/>
              </w:rPr>
              <w:t xml:space="preserve"> (Note that </w:t>
            </w:r>
            <w:r w:rsidR="00456819">
              <w:rPr>
                <w:rFonts w:ascii="Arial" w:hAnsi="Arial" w:cs="Arial"/>
                <w:sz w:val="18"/>
                <w:szCs w:val="18"/>
              </w:rPr>
              <w:t>although the exception type display on the report is “</w:t>
            </w:r>
            <w:r w:rsidR="00456819" w:rsidRPr="001C1687">
              <w:rPr>
                <w:rFonts w:ascii="Arial" w:hAnsi="Arial" w:cs="Arial"/>
                <w:sz w:val="18"/>
                <w:szCs w:val="18"/>
              </w:rPr>
              <w:t>Unit out of controlled storage found acceptable</w:t>
            </w:r>
            <w:r w:rsidR="00456819">
              <w:rPr>
                <w:rFonts w:ascii="Arial" w:hAnsi="Arial" w:cs="Arial"/>
                <w:sz w:val="18"/>
                <w:szCs w:val="18"/>
              </w:rPr>
              <w:t>”, the Visual Inspection Information will display “Unsatisfactory” if entered by the user in the comment field.</w:t>
            </w:r>
          </w:p>
          <w:p w14:paraId="1995EA76"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Required Comment</w:t>
            </w:r>
          </w:p>
          <w:p w14:paraId="27505E93"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Processing Tech Name</w:t>
            </w:r>
          </w:p>
          <w:p w14:paraId="5148FF99"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Log-in Tech Name</w:t>
            </w:r>
          </w:p>
          <w:p w14:paraId="78827462"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Division </w:t>
            </w:r>
          </w:p>
          <w:p w14:paraId="3FB7D1B5" w14:textId="77777777" w:rsidR="00990103" w:rsidRDefault="00990103" w:rsidP="000409B1">
            <w:pPr>
              <w:pStyle w:val="ListParagraph"/>
              <w:numPr>
                <w:ilvl w:val="0"/>
                <w:numId w:val="62"/>
              </w:numPr>
              <w:spacing w:after="0"/>
              <w:rPr>
                <w:rFonts w:cs="Arial"/>
              </w:rPr>
            </w:pPr>
            <w:r w:rsidRPr="001C1687">
              <w:rPr>
                <w:rFonts w:ascii="Arial" w:hAnsi="Arial" w:cs="Arial"/>
                <w:sz w:val="18"/>
                <w:szCs w:val="18"/>
              </w:rPr>
              <w:t xml:space="preserve"> Date/Time of Transaction</w:t>
            </w:r>
          </w:p>
        </w:tc>
      </w:tr>
      <w:tr w:rsidR="002A21AE" w14:paraId="3CD8DA06" w14:textId="77777777">
        <w:tc>
          <w:tcPr>
            <w:tcW w:w="3240" w:type="dxa"/>
          </w:tcPr>
          <w:p w14:paraId="118A3A8D" w14:textId="35801E16" w:rsidR="002A21AE" w:rsidRDefault="00CF47D5">
            <w:pPr>
              <w:pStyle w:val="TableTextNumbers"/>
            </w:pPr>
            <w:r>
              <w:lastRenderedPageBreak/>
              <w:t>Respond to the warnings and messages</w:t>
            </w:r>
            <w:r w:rsidR="009F35E5">
              <w:t xml:space="preserve"> (</w:t>
            </w:r>
            <w:r w:rsidR="009F35E5">
              <w:fldChar w:fldCharType="begin"/>
            </w:r>
            <w:r w:rsidR="009F35E5">
              <w:instrText xml:space="preserve"> REF _Ref127094454 \h </w:instrText>
            </w:r>
            <w:r w:rsidR="009F35E5">
              <w:fldChar w:fldCharType="separate"/>
            </w:r>
            <w:r w:rsidR="004353ED">
              <w:t xml:space="preserve">Figure </w:t>
            </w:r>
            <w:r w:rsidR="004353ED">
              <w:rPr>
                <w:noProof/>
              </w:rPr>
              <w:t>104</w:t>
            </w:r>
            <w:r w:rsidR="009F35E5">
              <w:fldChar w:fldCharType="end"/>
            </w:r>
            <w:r w:rsidR="009F35E5">
              <w:t>)</w:t>
            </w:r>
            <w:r w:rsidR="002A21AE">
              <w:t>.</w:t>
            </w:r>
          </w:p>
        </w:tc>
        <w:tc>
          <w:tcPr>
            <w:tcW w:w="6120" w:type="dxa"/>
          </w:tcPr>
          <w:p w14:paraId="7EF4F2D5" w14:textId="77777777" w:rsidR="002A21AE" w:rsidRDefault="002A21AE">
            <w:pPr>
              <w:pStyle w:val="TableTextBullet"/>
            </w:pPr>
            <w:r>
              <w:t xml:space="preserve">Allows the user to indicate that each unit or batch of units was visually inspected and marked satisfactory or unsatisfactory. </w:t>
            </w:r>
          </w:p>
          <w:p w14:paraId="1614DDC0" w14:textId="77777777" w:rsidR="002A21AE" w:rsidRDefault="002A21AE">
            <w:pPr>
              <w:pStyle w:val="TableText"/>
            </w:pPr>
          </w:p>
          <w:p w14:paraId="398BD8B4" w14:textId="4C9A31A1" w:rsidR="002A21AE" w:rsidRDefault="002A21AE">
            <w:pPr>
              <w:pStyle w:val="TableText"/>
              <w:rPr>
                <w:b/>
                <w:bCs/>
                <w:szCs w:val="18"/>
              </w:rPr>
            </w:pPr>
            <w:r>
              <w:rPr>
                <w:b/>
                <w:bCs/>
                <w:szCs w:val="18"/>
              </w:rPr>
              <w:t>NOTES</w:t>
            </w:r>
          </w:p>
          <w:p w14:paraId="450555F2" w14:textId="77777777" w:rsidR="002A21AE" w:rsidRDefault="002A21AE">
            <w:pPr>
              <w:pStyle w:val="NotesText"/>
            </w:pPr>
          </w:p>
          <w:p w14:paraId="78BEF59C" w14:textId="77777777" w:rsidR="002A21AE" w:rsidRDefault="002A21AE">
            <w:pPr>
              <w:pStyle w:val="NotesText"/>
            </w:pPr>
            <w:r w:rsidRPr="00896F17">
              <w:rPr>
                <w:vanish/>
                <w:szCs w:val="18"/>
              </w:rPr>
              <w:t>BR_59.08</w:t>
            </w:r>
            <w:r w:rsidR="00F92F72" w:rsidRPr="00896F17">
              <w:rPr>
                <w:rStyle w:val="BullhornChar"/>
              </w:rPr>
              <w:t></w:t>
            </w:r>
            <w:r w:rsidR="00F92F72">
              <w:rPr>
                <w:rFonts w:ascii="Webdings" w:hAnsi="Webdings"/>
              </w:rPr>
              <w:t></w:t>
            </w:r>
            <w:r w:rsidR="00F92F72" w:rsidRPr="00263B24">
              <w:t>Wh</w:t>
            </w:r>
            <w:r w:rsidR="00F92F72">
              <w:t>en</w:t>
            </w:r>
            <w:r>
              <w:t xml:space="preserve"> the user indicates that the unit is unsatisfactory, VBECS emits an audible alert and quarantines the unit, relocates it to the hospital location of the blood bank, and captures details for inclusion in an Exception Report (exception type: unit unsatisfactory upon return from issue). Upon quarantining the unit, VBECS releases it from assignment and requires a comment regarding the return. </w:t>
            </w:r>
          </w:p>
          <w:p w14:paraId="50E15390" w14:textId="77777777" w:rsidR="002A21AE" w:rsidRDefault="002A21AE">
            <w:pPr>
              <w:pStyle w:val="NotesText"/>
            </w:pPr>
          </w:p>
          <w:p w14:paraId="6F4F98BF" w14:textId="77777777" w:rsidR="002A21AE" w:rsidRDefault="002A21AE">
            <w:pPr>
              <w:pStyle w:val="NotesText"/>
            </w:pPr>
            <w:r>
              <w:rPr>
                <w:rFonts w:cs="Arial"/>
                <w:vanish/>
              </w:rPr>
              <w:t xml:space="preserve">BR_27.15 </w:t>
            </w:r>
            <w:r w:rsidR="00DC63E8">
              <w:t>When a unit has had a quarantine indicator assigned, VBECS releases any patient assignments. Patient restrictions associated with the unit remain intact.</w:t>
            </w:r>
          </w:p>
          <w:p w14:paraId="5BA3C4A1" w14:textId="77777777" w:rsidR="00DC63E8" w:rsidRDefault="00DC63E8">
            <w:pPr>
              <w:pStyle w:val="NotesText"/>
            </w:pPr>
          </w:p>
          <w:p w14:paraId="34BB4E66" w14:textId="77777777" w:rsidR="002A21AE" w:rsidRDefault="002A21AE">
            <w:pPr>
              <w:pStyle w:val="NotesText"/>
            </w:pPr>
            <w:r>
              <w:rPr>
                <w:rFonts w:cs="Arial"/>
                <w:vanish/>
              </w:rPr>
              <w:t xml:space="preserve">BR_59.11 </w:t>
            </w:r>
            <w:r>
              <w:t>VBECS places units returned from issue to the blood bank in satisfactory condition in the status they had prior to issue.</w:t>
            </w:r>
          </w:p>
          <w:p w14:paraId="10BB66D7" w14:textId="77777777" w:rsidR="002A21AE" w:rsidRDefault="002A21AE">
            <w:pPr>
              <w:pStyle w:val="NotesText"/>
            </w:pPr>
          </w:p>
          <w:p w14:paraId="0064FA09" w14:textId="77777777" w:rsidR="002A21AE" w:rsidRDefault="002A21AE">
            <w:pPr>
              <w:pStyle w:val="NotesText"/>
              <w:rPr>
                <w:rFonts w:cs="Arial"/>
              </w:rPr>
            </w:pPr>
            <w:r>
              <w:rPr>
                <w:vanish/>
                <w:szCs w:val="18"/>
              </w:rPr>
              <w:t>BR_59.12</w:t>
            </w:r>
            <w:r w:rsidR="00CE3961">
              <w:rPr>
                <w:vanish/>
                <w:szCs w:val="18"/>
              </w:rPr>
              <w:t>,</w:t>
            </w:r>
            <w:r>
              <w:rPr>
                <w:vanish/>
                <w:szCs w:val="18"/>
              </w:rPr>
              <w:t xml:space="preserve"> BR_59.13 </w:t>
            </w:r>
            <w:r>
              <w:t>When the unit returned and/or the specimen used for assignment or crossmatch is expired, VBECS warns the user.</w:t>
            </w:r>
          </w:p>
        </w:tc>
      </w:tr>
      <w:tr w:rsidR="002A21AE" w14:paraId="4289EC3B" w14:textId="77777777">
        <w:tc>
          <w:tcPr>
            <w:tcW w:w="3240" w:type="dxa"/>
          </w:tcPr>
          <w:p w14:paraId="6630FF35" w14:textId="77777777" w:rsidR="002A21AE" w:rsidRDefault="002A21AE">
            <w:pPr>
              <w:pStyle w:val="TableTextNumbers"/>
            </w:pPr>
            <w:r>
              <w:t xml:space="preserve">Click </w:t>
            </w:r>
            <w:r>
              <w:rPr>
                <w:b/>
              </w:rPr>
              <w:t xml:space="preserve">OK </w:t>
            </w:r>
            <w:r>
              <w:t xml:space="preserve">to accept the entries, and complete the unit return. </w:t>
            </w:r>
          </w:p>
          <w:p w14:paraId="00BB731E" w14:textId="77777777" w:rsidR="002A21AE" w:rsidRDefault="002A21AE">
            <w:pPr>
              <w:pStyle w:val="TableTextNumbersContinued"/>
            </w:pPr>
          </w:p>
          <w:p w14:paraId="323BF7BA" w14:textId="77777777" w:rsidR="002A21AE" w:rsidRDefault="002A21AE">
            <w:pPr>
              <w:pStyle w:val="TableTextNumbersContinued"/>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470" w:author="Blalock, David (Leidos)" w:date="2020-06-15T14:09:00Z" w:original="0."/>
              </w:fldChar>
            </w:r>
          </w:p>
        </w:tc>
        <w:tc>
          <w:tcPr>
            <w:tcW w:w="6120" w:type="dxa"/>
          </w:tcPr>
          <w:p w14:paraId="419B6C65" w14:textId="77777777" w:rsidR="001F6288" w:rsidRDefault="002A21AE" w:rsidP="001F6288">
            <w:pPr>
              <w:pStyle w:val="TableTextBullet"/>
            </w:pPr>
            <w:r>
              <w:t>Saves the data.</w:t>
            </w:r>
          </w:p>
          <w:p w14:paraId="029A2B29" w14:textId="77777777" w:rsidR="001F6288" w:rsidRDefault="001F6288" w:rsidP="001F6288">
            <w:pPr>
              <w:pStyle w:val="TableTextBullet"/>
            </w:pPr>
            <w:r w:rsidRPr="001F6288">
              <w:rPr>
                <w:rFonts w:cs="Arial"/>
                <w:vanish/>
                <w:szCs w:val="18"/>
              </w:rPr>
              <w:t xml:space="preserve">UC_109 </w:t>
            </w:r>
            <w:r w:rsidRPr="001F6288">
              <w:rPr>
                <w:rFonts w:cs="Arial"/>
                <w:szCs w:val="18"/>
              </w:rPr>
              <w:t>Sends update to the BCE COTS system via an HL7 message to remove the unit from the system</w:t>
            </w:r>
            <w:r>
              <w:rPr>
                <w:rFonts w:cs="Arial"/>
                <w:szCs w:val="18"/>
              </w:rPr>
              <w:t>.</w:t>
            </w:r>
          </w:p>
          <w:p w14:paraId="6F767233" w14:textId="77777777" w:rsidR="002A21AE" w:rsidRDefault="002A21AE">
            <w:pPr>
              <w:pStyle w:val="TableText"/>
            </w:pPr>
          </w:p>
          <w:p w14:paraId="2E07F21C" w14:textId="526ED962" w:rsidR="002A21AE" w:rsidRDefault="002A21AE">
            <w:pPr>
              <w:pStyle w:val="TableText"/>
              <w:rPr>
                <w:b/>
                <w:bCs/>
                <w:szCs w:val="18"/>
              </w:rPr>
            </w:pPr>
            <w:r>
              <w:rPr>
                <w:b/>
                <w:bCs/>
                <w:szCs w:val="18"/>
              </w:rPr>
              <w:t>NOTES</w:t>
            </w:r>
          </w:p>
          <w:p w14:paraId="01DFF604" w14:textId="77777777" w:rsidR="002A21AE" w:rsidRDefault="002A21AE">
            <w:pPr>
              <w:pStyle w:val="NotesText"/>
            </w:pPr>
          </w:p>
          <w:p w14:paraId="07EDA2C4" w14:textId="77777777" w:rsidR="002A21AE" w:rsidRDefault="002A21AE">
            <w:pPr>
              <w:pStyle w:val="NotesText"/>
            </w:pPr>
            <w:r>
              <w:rPr>
                <w:rFonts w:cs="Arial"/>
                <w:vanish/>
              </w:rPr>
              <w:t xml:space="preserve">BR_59.10 </w:t>
            </w:r>
            <w:r>
              <w:t>VBECS returns units to the blood bank location within the division.</w:t>
            </w:r>
          </w:p>
        </w:tc>
      </w:tr>
    </w:tbl>
    <w:p w14:paraId="403878A7" w14:textId="7924A64E" w:rsidR="009F35E5" w:rsidRDefault="009F35E5" w:rsidP="009F35E5">
      <w:pPr>
        <w:pStyle w:val="Caption"/>
      </w:pPr>
      <w:bookmarkStart w:id="471" w:name="_Ref12709445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104</w:t>
      </w:r>
      <w:r w:rsidR="004E20BD">
        <w:rPr>
          <w:noProof/>
        </w:rPr>
        <w:fldChar w:fldCharType="end"/>
      </w:r>
      <w:bookmarkEnd w:id="471"/>
      <w:r>
        <w:t>: Return Issued Units</w:t>
      </w:r>
    </w:p>
    <w:p w14:paraId="5179786E" w14:textId="77777777" w:rsidR="00857A1A" w:rsidRDefault="00057948" w:rsidP="009F35E5">
      <w:pPr>
        <w:pStyle w:val="BodyText"/>
      </w:pPr>
      <w:r>
        <w:rPr>
          <w:noProof/>
        </w:rPr>
        <w:drawing>
          <wp:inline distT="0" distB="0" distL="0" distR="0" wp14:anchorId="680402AB" wp14:editId="5F9DAC32">
            <wp:extent cx="5144770" cy="3768725"/>
            <wp:effectExtent l="0" t="0" r="0" b="3175"/>
            <wp:docPr id="196" name="Picture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C183D7F6-B498-43B3-948B-1728B52AA6E4}">
                          <adec:decorative xmlns:adec="http://schemas.microsoft.com/office/drawing/2017/decorative" val="1"/>
                        </a:ext>
                      </a:extLst>
                    </pic:cNvPr>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144770" cy="3768725"/>
                    </a:xfrm>
                    <a:prstGeom prst="rect">
                      <a:avLst/>
                    </a:prstGeom>
                    <a:noFill/>
                    <a:ln>
                      <a:noFill/>
                    </a:ln>
                  </pic:spPr>
                </pic:pic>
              </a:graphicData>
            </a:graphic>
          </wp:inline>
        </w:drawing>
      </w:r>
    </w:p>
    <w:p w14:paraId="3C0E0507" w14:textId="77777777" w:rsidR="002A21AE" w:rsidRDefault="002A21AE" w:rsidP="00857A1A">
      <w:pPr>
        <w:pStyle w:val="Heading2"/>
      </w:pPr>
      <w:r>
        <w:br w:type="page"/>
      </w:r>
      <w:bookmarkStart w:id="472" w:name="_Toc47516735"/>
      <w:r>
        <w:lastRenderedPageBreak/>
        <w:t>Release Units From Patient Assignment</w:t>
      </w:r>
      <w:bookmarkEnd w:id="472"/>
      <w:r w:rsidRPr="00857A1A">
        <w:rPr>
          <w:rFonts w:ascii="Arial Bold" w:hAnsi="Arial Bold"/>
          <w:vanish/>
        </w:rPr>
        <w:fldChar w:fldCharType="begin"/>
      </w:r>
      <w:r w:rsidRPr="00857A1A">
        <w:rPr>
          <w:rFonts w:ascii="Arial Bold" w:hAnsi="Arial Bold"/>
          <w:vanish/>
        </w:rPr>
        <w:instrText xml:space="preserve"> XE </w:instrText>
      </w:r>
      <w:r w:rsidR="00FA7E65" w:rsidRPr="00857A1A">
        <w:rPr>
          <w:rFonts w:ascii="Arial Bold" w:hAnsi="Arial Bold"/>
          <w:vanish/>
        </w:rPr>
        <w:instrText>“</w:instrText>
      </w:r>
      <w:r w:rsidRPr="00857A1A">
        <w:rPr>
          <w:rFonts w:ascii="Arial Bold" w:hAnsi="Arial Bold"/>
          <w:vanish/>
        </w:rPr>
        <w:instrText>Release Units From Patient Assignment</w:instrText>
      </w:r>
      <w:r w:rsidR="00FA7E65" w:rsidRPr="00857A1A">
        <w:rPr>
          <w:rFonts w:ascii="Arial Bold" w:hAnsi="Arial Bold"/>
          <w:vanish/>
        </w:rPr>
        <w:instrText>”</w:instrText>
      </w:r>
      <w:r w:rsidRPr="00857A1A">
        <w:rPr>
          <w:rFonts w:ascii="Arial Bold" w:hAnsi="Arial Bold"/>
          <w:vanish/>
        </w:rPr>
        <w:instrText xml:space="preserve"> </w:instrText>
      </w:r>
      <w:r w:rsidRPr="00857A1A">
        <w:rPr>
          <w:rFonts w:ascii="Arial Bold" w:hAnsi="Arial Bold"/>
          <w:vanish/>
        </w:rPr>
        <w:fldChar w:fldCharType="end"/>
      </w:r>
      <w:r w:rsidRPr="00857A1A">
        <w:rPr>
          <w:rFonts w:ascii="Arial Bold" w:hAnsi="Arial Bold"/>
          <w:vanish/>
        </w:rPr>
        <w:t xml:space="preserve"> UC_47</w:t>
      </w:r>
    </w:p>
    <w:p w14:paraId="00E3BB0F" w14:textId="77777777" w:rsidR="002A21AE" w:rsidRDefault="002A21AE" w:rsidP="00FA7E65">
      <w:pPr>
        <w:pStyle w:val="BodyText"/>
        <w:rPr>
          <w:b/>
        </w:rPr>
      </w:pPr>
      <w:r>
        <w:t xml:space="preserve">The user releases crossmatched and assigned blood units not issued after a period determined by regulatory standards and by internal policy. </w:t>
      </w:r>
    </w:p>
    <w:p w14:paraId="3B8BD5F0" w14:textId="77777777" w:rsidR="002A21AE" w:rsidRDefault="002A21AE">
      <w:pPr>
        <w:pStyle w:val="Heading4"/>
      </w:pPr>
      <w:r>
        <w:t>Assumptions</w:t>
      </w:r>
      <w:r>
        <w:rPr>
          <w:b w:val="0"/>
        </w:rPr>
        <w:t xml:space="preserve"> </w:t>
      </w:r>
    </w:p>
    <w:p w14:paraId="7E9B2776" w14:textId="77777777" w:rsidR="002A21AE" w:rsidRDefault="002A21AE">
      <w:pPr>
        <w:pStyle w:val="ListBullet"/>
      </w:pPr>
      <w:r>
        <w:t xml:space="preserve">The blood unit is assigned or crossmatched to at least one patient. </w:t>
      </w:r>
    </w:p>
    <w:p w14:paraId="2145C5EA" w14:textId="77777777" w:rsidR="002A21AE" w:rsidRDefault="002A21AE">
      <w:pPr>
        <w:pStyle w:val="Heading4"/>
      </w:pPr>
      <w:r>
        <w:t>Outcome</w:t>
      </w:r>
    </w:p>
    <w:p w14:paraId="0CC67927" w14:textId="77777777" w:rsidR="002A21AE" w:rsidRDefault="002A21AE">
      <w:pPr>
        <w:pStyle w:val="ListBullet"/>
      </w:pPr>
      <w:r>
        <w:t>Patient restrictions still apply to a unit even after it is released from assignment and made available.</w:t>
      </w:r>
    </w:p>
    <w:p w14:paraId="35228A29" w14:textId="77777777" w:rsidR="002A21AE" w:rsidRDefault="002A21AE">
      <w:pPr>
        <w:pStyle w:val="Heading4"/>
      </w:pPr>
      <w:r>
        <w:t>Limitations and Restrictions</w:t>
      </w:r>
      <w:r>
        <w:rPr>
          <w:b w:val="0"/>
        </w:rPr>
        <w:t xml:space="preserve"> </w:t>
      </w:r>
    </w:p>
    <w:p w14:paraId="091B1B31" w14:textId="77777777" w:rsidR="002A21AE" w:rsidRDefault="002A21AE">
      <w:pPr>
        <w:pStyle w:val="ListBullet"/>
      </w:pPr>
      <w:r>
        <w:t>This option does not apply to the release of patient restrictions (autologous and directed).</w:t>
      </w:r>
    </w:p>
    <w:p w14:paraId="6FEEE789" w14:textId="606B88FF" w:rsidR="002A21AE" w:rsidRDefault="002A21AE">
      <w:pPr>
        <w:pStyle w:val="ListBullet"/>
      </w:pPr>
      <w:r>
        <w:t>When a patient, specimen</w:t>
      </w:r>
      <w:r w:rsidR="00112C24">
        <w:t>,</w:t>
      </w:r>
      <w:r w:rsidR="00D40FAE">
        <w:t xml:space="preserve"> </w:t>
      </w:r>
      <w:r>
        <w:t>or blood unit expires, VBECS does not automatically release an assigned blood unit: a user must release the unit.</w:t>
      </w:r>
    </w:p>
    <w:p w14:paraId="18737A6D" w14:textId="7B01EA00" w:rsidR="00724CD4" w:rsidRDefault="00724CD4">
      <w:pPr>
        <w:pStyle w:val="ListBullet"/>
      </w:pPr>
      <w:r>
        <w:t xml:space="preserve">Users should select and release units in a timely manner to avoid the units being issued by another user prior to the release process completion. </w:t>
      </w:r>
      <w:r w:rsidRPr="00724CD4">
        <w:rPr>
          <w:vanish/>
        </w:rPr>
        <w:t>Defect 259491</w:t>
      </w:r>
    </w:p>
    <w:p w14:paraId="0C2C9059" w14:textId="0297C7EB" w:rsidR="002A21AE" w:rsidRDefault="002A21AE" w:rsidP="005B025F">
      <w:pPr>
        <w:pStyle w:val="Heading4"/>
      </w:pPr>
      <w:r>
        <w:t>Additional Information</w:t>
      </w:r>
    </w:p>
    <w:p w14:paraId="24AA4AC0" w14:textId="77777777" w:rsidR="000D6CA6" w:rsidRDefault="002A21AE" w:rsidP="000D6CA6">
      <w:pPr>
        <w:pStyle w:val="ListBullet"/>
      </w:pPr>
      <w:r>
        <w:t>A user may release units from assignment as a group or individually from a patient’s list of units.</w:t>
      </w:r>
    </w:p>
    <w:p w14:paraId="340265DE" w14:textId="77777777" w:rsidR="002A21AE" w:rsidRDefault="002A21AE">
      <w:pPr>
        <w:pStyle w:val="Heading4"/>
        <w:rPr>
          <w:b w:val="0"/>
        </w:rPr>
      </w:pPr>
      <w:r>
        <w:t>User Roles with Access to This Option</w:t>
      </w:r>
      <w:r>
        <w:rPr>
          <w:b w:val="0"/>
        </w:rPr>
        <w:t xml:space="preserve"> </w:t>
      </w:r>
    </w:p>
    <w:p w14:paraId="5B0ABF60" w14:textId="77777777" w:rsidR="002A21AE" w:rsidRDefault="00516048">
      <w:pPr>
        <w:pStyle w:val="Roles"/>
        <w:rPr>
          <w:snapToGrid w:val="0"/>
        </w:rPr>
      </w:pPr>
      <w:r>
        <w:t>All users</w:t>
      </w:r>
    </w:p>
    <w:p w14:paraId="465CBBE3" w14:textId="77777777" w:rsidR="002A21AE" w:rsidRDefault="002A21AE">
      <w:pPr>
        <w:pStyle w:val="Heading4"/>
      </w:pPr>
      <w:r>
        <w:t>Release Units From Patient Assignment</w:t>
      </w:r>
    </w:p>
    <w:p w14:paraId="6EA0D086" w14:textId="77777777" w:rsidR="002A21AE" w:rsidRDefault="002A21AE" w:rsidP="00FA7E65">
      <w:pPr>
        <w:pStyle w:val="BodyText"/>
      </w:pPr>
      <w:r>
        <w:t xml:space="preserve">A user may select one or more blood units for release from patient assignment and return to “available” status. A user may release one of multiple patient assignments without affecting other patient assignments on a unit.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CD486B7" w14:textId="77777777">
        <w:trPr>
          <w:cantSplit/>
          <w:tblHeader/>
        </w:trPr>
        <w:tc>
          <w:tcPr>
            <w:tcW w:w="3240" w:type="dxa"/>
            <w:shd w:val="pct30" w:color="auto" w:fill="FFFFFF"/>
            <w:vAlign w:val="bottom"/>
          </w:tcPr>
          <w:p w14:paraId="2A6C9573" w14:textId="77777777" w:rsidR="002A21AE" w:rsidRDefault="002A21AE">
            <w:pPr>
              <w:pStyle w:val="TableText"/>
              <w:rPr>
                <w:b/>
              </w:rPr>
            </w:pPr>
            <w:r>
              <w:rPr>
                <w:b/>
              </w:rPr>
              <w:t>User Action</w:t>
            </w:r>
          </w:p>
        </w:tc>
        <w:tc>
          <w:tcPr>
            <w:tcW w:w="6120" w:type="dxa"/>
            <w:shd w:val="pct30" w:color="auto" w:fill="FFFFFF"/>
            <w:vAlign w:val="bottom"/>
          </w:tcPr>
          <w:p w14:paraId="22AE1E7E" w14:textId="77777777" w:rsidR="002A21AE" w:rsidRDefault="002A21AE">
            <w:pPr>
              <w:pStyle w:val="TableText"/>
              <w:rPr>
                <w:b/>
              </w:rPr>
            </w:pPr>
            <w:r>
              <w:rPr>
                <w:b/>
              </w:rPr>
              <w:t>VBECS</w:t>
            </w:r>
          </w:p>
        </w:tc>
      </w:tr>
      <w:tr w:rsidR="002A21AE" w14:paraId="35C562E4" w14:textId="77777777">
        <w:trPr>
          <w:trHeight w:val="314"/>
        </w:trPr>
        <w:tc>
          <w:tcPr>
            <w:tcW w:w="3240" w:type="dxa"/>
          </w:tcPr>
          <w:p w14:paraId="5040E422" w14:textId="77777777" w:rsidR="002A21AE" w:rsidRDefault="002A21AE">
            <w:pPr>
              <w:pStyle w:val="TableTextNumbers"/>
            </w:pPr>
            <w:r>
              <w:t xml:space="preserve">To release units by patient, select </w:t>
            </w:r>
            <w:r>
              <w:rPr>
                <w:b/>
              </w:rPr>
              <w:t>Patients</w:t>
            </w:r>
            <w:r>
              <w:t xml:space="preserve"> from the main menu.</w:t>
            </w:r>
          </w:p>
          <w:p w14:paraId="647CDB65" w14:textId="77777777" w:rsidR="002A21AE" w:rsidRDefault="002A21AE">
            <w:pPr>
              <w:pStyle w:val="TableTextNumbersContinued"/>
            </w:pPr>
          </w:p>
          <w:p w14:paraId="24F992E0" w14:textId="77777777" w:rsidR="002A21AE" w:rsidRDefault="002A21AE">
            <w:pPr>
              <w:pStyle w:val="TableTextNumbersContinued"/>
            </w:pPr>
            <w:r>
              <w:t xml:space="preserve">To release units by unit, select </w:t>
            </w:r>
            <w:r>
              <w:rPr>
                <w:b/>
              </w:rPr>
              <w:t>Blood Units</w:t>
            </w:r>
            <w:r>
              <w:t xml:space="preserve"> from the main menu.</w:t>
            </w:r>
          </w:p>
          <w:p w14:paraId="15846568" w14:textId="77777777" w:rsidR="002A21AE" w:rsidRDefault="002A21AE">
            <w:pPr>
              <w:pStyle w:val="TableTextNumbersContinued"/>
            </w:pPr>
          </w:p>
          <w:p w14:paraId="13330BF1" w14:textId="77777777" w:rsidR="002A21AE" w:rsidRDefault="002A21AE">
            <w:pPr>
              <w:pStyle w:val="TableTextNumbersContinued"/>
            </w:pPr>
            <w:r>
              <w:t xml:space="preserve">Select </w:t>
            </w:r>
            <w:r>
              <w:rPr>
                <w:b/>
              </w:rPr>
              <w:t>Release Units From Patient Assignment</w:t>
            </w:r>
            <w:r>
              <w:t>.</w:t>
            </w:r>
          </w:p>
        </w:tc>
        <w:tc>
          <w:tcPr>
            <w:tcW w:w="6120" w:type="dxa"/>
          </w:tcPr>
          <w:p w14:paraId="285DE921" w14:textId="77777777" w:rsidR="002A21AE" w:rsidRDefault="002A21AE">
            <w:pPr>
              <w:pStyle w:val="TableTextBullet"/>
            </w:pPr>
            <w:r>
              <w:t>Displays options for processing patient-related functions or for processing units.</w:t>
            </w:r>
          </w:p>
        </w:tc>
      </w:tr>
      <w:tr w:rsidR="002A21AE" w14:paraId="27C02B96" w14:textId="77777777" w:rsidTr="001A459B">
        <w:trPr>
          <w:cantSplit/>
        </w:trPr>
        <w:tc>
          <w:tcPr>
            <w:tcW w:w="3240" w:type="dxa"/>
          </w:tcPr>
          <w:p w14:paraId="706F9EBD" w14:textId="77777777" w:rsidR="002A21AE" w:rsidRDefault="002A21AE">
            <w:pPr>
              <w:pStyle w:val="TableTextNumbers"/>
            </w:pPr>
            <w:r>
              <w:lastRenderedPageBreak/>
              <w:t>Scan or enter a unit ID or select a patient to release units from patient assignment and/or crossmatch (XM).</w:t>
            </w:r>
          </w:p>
        </w:tc>
        <w:tc>
          <w:tcPr>
            <w:tcW w:w="6120" w:type="dxa"/>
          </w:tcPr>
          <w:p w14:paraId="0529B7AB" w14:textId="77777777" w:rsidR="002A21AE" w:rsidRDefault="002A21AE">
            <w:pPr>
              <w:pStyle w:val="TableTextBullet"/>
            </w:pPr>
            <w:r>
              <w:t>Allows the user to edit the date and time and the user who released the units.</w:t>
            </w:r>
          </w:p>
          <w:p w14:paraId="2C77CA1A" w14:textId="77777777" w:rsidR="002A21AE" w:rsidRDefault="002A21AE">
            <w:pPr>
              <w:pStyle w:val="TableTextBullet"/>
            </w:pPr>
            <w:r>
              <w:t xml:space="preserve">Lists currently assigned units. </w:t>
            </w:r>
          </w:p>
          <w:p w14:paraId="0A911D04" w14:textId="77777777" w:rsidR="002A21AE" w:rsidRDefault="002A21AE">
            <w:pPr>
              <w:pStyle w:val="TableTextBullet"/>
            </w:pPr>
            <w:r>
              <w:t>Allows the user to list assigned units by patient, by unit ID, or by unit expiration date.</w:t>
            </w:r>
          </w:p>
          <w:p w14:paraId="7C12E68F" w14:textId="77777777" w:rsidR="002A21AE" w:rsidRDefault="002A21AE">
            <w:pPr>
              <w:pStyle w:val="TableText"/>
            </w:pPr>
          </w:p>
          <w:p w14:paraId="7C24006B" w14:textId="01967406" w:rsidR="002A21AE" w:rsidRDefault="002A21AE">
            <w:pPr>
              <w:pStyle w:val="TableText"/>
              <w:rPr>
                <w:b/>
                <w:bCs/>
                <w:szCs w:val="18"/>
              </w:rPr>
            </w:pPr>
            <w:r>
              <w:rPr>
                <w:b/>
                <w:bCs/>
                <w:szCs w:val="18"/>
              </w:rPr>
              <w:t>NOTES</w:t>
            </w:r>
          </w:p>
          <w:p w14:paraId="0C310E79" w14:textId="77777777" w:rsidR="002A21AE" w:rsidRDefault="002A21AE">
            <w:pPr>
              <w:pStyle w:val="NotesText"/>
            </w:pPr>
          </w:p>
          <w:p w14:paraId="5104E656" w14:textId="77777777" w:rsidR="002A21AE" w:rsidRDefault="002A21AE">
            <w:pPr>
              <w:pStyle w:val="NotesText"/>
            </w:pPr>
            <w:r>
              <w:rPr>
                <w:rFonts w:cs="Arial"/>
                <w:vanish/>
              </w:rPr>
              <w:t xml:space="preserve">BR_47.03 </w:t>
            </w:r>
            <w:r>
              <w:t>VBECS indicates which specimens and units are expired.</w:t>
            </w:r>
          </w:p>
          <w:p w14:paraId="44055BCA" w14:textId="77777777" w:rsidR="002A21AE" w:rsidRDefault="002A21AE">
            <w:pPr>
              <w:pStyle w:val="NotesText"/>
            </w:pPr>
          </w:p>
          <w:p w14:paraId="1C9F3977" w14:textId="77777777" w:rsidR="002A21AE" w:rsidRDefault="002A21AE">
            <w:pPr>
              <w:pStyle w:val="NotesText"/>
            </w:pPr>
            <w:r>
              <w:rPr>
                <w:rFonts w:cs="Arial"/>
                <w:vanish/>
              </w:rPr>
              <w:t xml:space="preserve">BR_47.04 </w:t>
            </w:r>
            <w:r>
              <w:t>VBECS displays a unit’s donation type only when it is restricted.</w:t>
            </w:r>
          </w:p>
          <w:p w14:paraId="236C3EFB" w14:textId="77777777" w:rsidR="002A21AE" w:rsidRDefault="002A21AE">
            <w:pPr>
              <w:pStyle w:val="NotesText"/>
            </w:pPr>
          </w:p>
          <w:p w14:paraId="0AB8F83B" w14:textId="77777777" w:rsidR="002A21AE" w:rsidRDefault="002A21AE">
            <w:pPr>
              <w:pStyle w:val="NotesText"/>
            </w:pPr>
            <w:r>
              <w:rPr>
                <w:rFonts w:cs="Arial"/>
                <w:vanish/>
              </w:rPr>
              <w:t xml:space="preserve">BR_47.01 </w:t>
            </w:r>
            <w:r>
              <w:t>VBECS displays all currently assigned/crossmatched units located in the blood bank. When the user enters a unit ID that is not currently in the blood bank location, VBECS warns the user, clears the unit ID entry, and allows the user to enter another unit or patient.</w:t>
            </w:r>
          </w:p>
          <w:p w14:paraId="7517A920" w14:textId="77777777" w:rsidR="000D6CA6" w:rsidRDefault="000D6CA6" w:rsidP="00410012">
            <w:pPr>
              <w:pStyle w:val="NotesText"/>
            </w:pPr>
          </w:p>
        </w:tc>
      </w:tr>
      <w:tr w:rsidR="002A21AE" w14:paraId="52ADE71F" w14:textId="77777777">
        <w:tc>
          <w:tcPr>
            <w:tcW w:w="3240" w:type="dxa"/>
          </w:tcPr>
          <w:p w14:paraId="1254CFD1" w14:textId="77777777" w:rsidR="002A21AE" w:rsidRDefault="002A21AE">
            <w:pPr>
              <w:pStyle w:val="TableTextNumbers"/>
            </w:pPr>
            <w:r>
              <w:t>Indicate which units to release.</w:t>
            </w:r>
          </w:p>
          <w:p w14:paraId="5AB552DA" w14:textId="77777777" w:rsidR="005E1395" w:rsidRDefault="005E1395" w:rsidP="005E1395">
            <w:pPr>
              <w:pStyle w:val="TableTextNumbers"/>
              <w:numPr>
                <w:ilvl w:val="0"/>
                <w:numId w:val="0"/>
              </w:numPr>
              <w:ind w:left="288" w:hanging="288"/>
            </w:pPr>
          </w:p>
          <w:p w14:paraId="79384B6F" w14:textId="77777777" w:rsidR="005E1395" w:rsidRDefault="005E1395" w:rsidP="005E1395">
            <w:pPr>
              <w:pStyle w:val="TableTextNumbersContinued"/>
            </w:pPr>
            <w:r>
              <w:t xml:space="preserve">Click </w:t>
            </w:r>
            <w:r w:rsidRPr="005E1395">
              <w:rPr>
                <w:b/>
              </w:rPr>
              <w:t>OK</w:t>
            </w:r>
            <w:r>
              <w:t>.</w:t>
            </w:r>
          </w:p>
          <w:p w14:paraId="7FB2E425" w14:textId="77777777" w:rsidR="002A21AE" w:rsidRDefault="002A21AE">
            <w:pPr>
              <w:pStyle w:val="TableTextNumbersContinued"/>
            </w:pPr>
          </w:p>
          <w:p w14:paraId="0CE76557" w14:textId="04021D39" w:rsidR="002A21AE" w:rsidRDefault="002A21AE">
            <w:pPr>
              <w:pStyle w:val="TableTextNumbersContinued"/>
            </w:pPr>
            <w:r>
              <w:t>Indicate a reason for release of units</w:t>
            </w:r>
            <w:r w:rsidR="005E1395">
              <w:t xml:space="preserve"> (</w:t>
            </w:r>
            <w:r w:rsidR="005E1395">
              <w:fldChar w:fldCharType="begin"/>
            </w:r>
            <w:r w:rsidR="005E1395">
              <w:instrText xml:space="preserve"> REF _Ref127159073 \h </w:instrText>
            </w:r>
            <w:r w:rsidR="005E1395">
              <w:fldChar w:fldCharType="separate"/>
            </w:r>
            <w:r w:rsidR="004353ED">
              <w:t xml:space="preserve">Figure </w:t>
            </w:r>
            <w:r w:rsidR="004353ED">
              <w:rPr>
                <w:noProof/>
              </w:rPr>
              <w:t>105</w:t>
            </w:r>
            <w:r w:rsidR="005E1395">
              <w:fldChar w:fldCharType="end"/>
            </w:r>
            <w:r w:rsidR="005E1395">
              <w:t>)</w:t>
            </w:r>
            <w:r>
              <w:t>.</w:t>
            </w:r>
          </w:p>
        </w:tc>
        <w:tc>
          <w:tcPr>
            <w:tcW w:w="6120" w:type="dxa"/>
          </w:tcPr>
          <w:p w14:paraId="242784DD" w14:textId="77777777" w:rsidR="002A21AE" w:rsidRDefault="002A21AE">
            <w:pPr>
              <w:pStyle w:val="TableTextBullet"/>
            </w:pPr>
            <w:r>
              <w:t>Allows the user to enter a reason for releasing for an individual unit.</w:t>
            </w:r>
          </w:p>
          <w:p w14:paraId="1B20C5FD" w14:textId="77777777" w:rsidR="002A21AE" w:rsidRDefault="002A21AE">
            <w:pPr>
              <w:pStyle w:val="TableTextBullet"/>
            </w:pPr>
            <w:r>
              <w:t>Allows the user to review the selections, select additional units, and deselect units before saving.</w:t>
            </w:r>
          </w:p>
          <w:p w14:paraId="53583B1F" w14:textId="77777777" w:rsidR="002A21AE" w:rsidRDefault="002A21AE">
            <w:pPr>
              <w:pStyle w:val="TableText"/>
            </w:pPr>
          </w:p>
          <w:p w14:paraId="7AE107A6" w14:textId="03EDC17B" w:rsidR="002A21AE" w:rsidRDefault="002A21AE">
            <w:pPr>
              <w:pStyle w:val="TableText"/>
              <w:rPr>
                <w:b/>
                <w:bCs/>
                <w:szCs w:val="18"/>
              </w:rPr>
            </w:pPr>
            <w:r>
              <w:rPr>
                <w:b/>
                <w:bCs/>
                <w:szCs w:val="18"/>
              </w:rPr>
              <w:t>NOTES</w:t>
            </w:r>
          </w:p>
          <w:p w14:paraId="25EF6105" w14:textId="77777777" w:rsidR="002A21AE" w:rsidRDefault="002A21AE">
            <w:pPr>
              <w:pStyle w:val="NotesText"/>
            </w:pPr>
          </w:p>
          <w:p w14:paraId="6B69BE14" w14:textId="77777777" w:rsidR="002A21AE" w:rsidRDefault="002A21AE">
            <w:pPr>
              <w:pStyle w:val="NotesText"/>
            </w:pPr>
            <w:r>
              <w:rPr>
                <w:rFonts w:cs="Arial"/>
                <w:vanish/>
              </w:rPr>
              <w:t xml:space="preserve">BR_47.06 </w:t>
            </w:r>
            <w:r>
              <w:t>VBECS allows the user to select no units or one or more units for each patient on the list.</w:t>
            </w:r>
          </w:p>
        </w:tc>
      </w:tr>
      <w:tr w:rsidR="002A21AE" w14:paraId="7542C03B" w14:textId="77777777">
        <w:tc>
          <w:tcPr>
            <w:tcW w:w="3240" w:type="dxa"/>
          </w:tcPr>
          <w:p w14:paraId="748872CA" w14:textId="77777777" w:rsidR="002A21AE" w:rsidRDefault="002A21AE">
            <w:pPr>
              <w:pStyle w:val="TableTextNumbers"/>
            </w:pPr>
            <w:r>
              <w:t xml:space="preserve">Review the entered information and click </w:t>
            </w:r>
            <w:r>
              <w:rPr>
                <w:b/>
              </w:rPr>
              <w:t>OK</w:t>
            </w:r>
            <w:r>
              <w:t xml:space="preserve"> to save.</w:t>
            </w:r>
          </w:p>
          <w:p w14:paraId="31A8AA1E" w14:textId="77777777" w:rsidR="002A21AE" w:rsidRDefault="002A21AE">
            <w:pPr>
              <w:pStyle w:val="TableTextNumbersContinued"/>
            </w:pPr>
          </w:p>
          <w:p w14:paraId="2E9308C2" w14:textId="77777777" w:rsidR="002A21AE" w:rsidRDefault="002A21AE">
            <w:pPr>
              <w:pStyle w:val="TableTextNumbersContinued"/>
            </w:pPr>
            <w:r>
              <w:t xml:space="preserve">Click </w:t>
            </w:r>
            <w:r>
              <w:rPr>
                <w:b/>
              </w:rPr>
              <w:t>OK</w:t>
            </w:r>
            <w:r>
              <w:t xml:space="preserve"> to 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473" w:author="Blalock, David (Leidos)" w:date="2020-06-15T14:09:00Z" w:original="0."/>
              </w:fldChar>
            </w:r>
          </w:p>
        </w:tc>
        <w:tc>
          <w:tcPr>
            <w:tcW w:w="6120" w:type="dxa"/>
          </w:tcPr>
          <w:p w14:paraId="59C3B55E" w14:textId="77777777" w:rsidR="002A21AE" w:rsidRDefault="002A21AE">
            <w:pPr>
              <w:pStyle w:val="TableTextBullet"/>
            </w:pPr>
            <w:r>
              <w:t>Updates the patient record, the unit record, and the status.</w:t>
            </w:r>
          </w:p>
          <w:p w14:paraId="4411CE82" w14:textId="77777777" w:rsidR="009434C7" w:rsidRDefault="009434C7" w:rsidP="009434C7">
            <w:pPr>
              <w:pStyle w:val="TableTextBullet"/>
            </w:pPr>
            <w:r w:rsidRPr="009434C7">
              <w:rPr>
                <w:rFonts w:cs="Arial"/>
                <w:vanish/>
                <w:szCs w:val="18"/>
              </w:rPr>
              <w:t xml:space="preserve">UC_109 </w:t>
            </w:r>
            <w:r w:rsidRPr="009434C7">
              <w:rPr>
                <w:rFonts w:cs="Arial"/>
                <w:szCs w:val="18"/>
              </w:rPr>
              <w:t>Sends</w:t>
            </w:r>
            <w:r w:rsidRPr="001F6288">
              <w:rPr>
                <w:rFonts w:cs="Arial"/>
                <w:szCs w:val="18"/>
              </w:rPr>
              <w:t xml:space="preserve"> update to the BCE COTS system via an HL7 message to remove the unit from the system</w:t>
            </w:r>
            <w:r>
              <w:rPr>
                <w:rFonts w:cs="Arial"/>
                <w:szCs w:val="18"/>
              </w:rPr>
              <w:t>.</w:t>
            </w:r>
          </w:p>
          <w:p w14:paraId="7A2C38A0" w14:textId="77777777" w:rsidR="002A21AE" w:rsidRDefault="002A21AE">
            <w:pPr>
              <w:pStyle w:val="TableText"/>
            </w:pPr>
          </w:p>
          <w:p w14:paraId="0D854571" w14:textId="5324411C" w:rsidR="002A21AE" w:rsidRDefault="002A21AE">
            <w:pPr>
              <w:pStyle w:val="TableText"/>
              <w:rPr>
                <w:b/>
                <w:bCs/>
                <w:szCs w:val="18"/>
              </w:rPr>
            </w:pPr>
            <w:r>
              <w:rPr>
                <w:b/>
                <w:bCs/>
                <w:szCs w:val="18"/>
              </w:rPr>
              <w:t>NOTES</w:t>
            </w:r>
          </w:p>
          <w:p w14:paraId="4CC5C882" w14:textId="77777777" w:rsidR="002A21AE" w:rsidRDefault="002A21AE">
            <w:pPr>
              <w:pStyle w:val="NotesText"/>
            </w:pPr>
          </w:p>
          <w:p w14:paraId="5AA9EF81" w14:textId="77777777" w:rsidR="002A21AE" w:rsidRDefault="002A21AE">
            <w:pPr>
              <w:pStyle w:val="NotesText"/>
            </w:pPr>
            <w:r>
              <w:rPr>
                <w:rFonts w:cs="Arial"/>
                <w:vanish/>
              </w:rPr>
              <w:t xml:space="preserve">BR_47.07 </w:t>
            </w:r>
            <w:r>
              <w:t>When a unit has a future expiration date and holds no other assignments, VBECS updates the unit to “available” status. When a unit is assigned to a different patient, it remains assigned to that patient.</w:t>
            </w:r>
          </w:p>
          <w:p w14:paraId="4455FE41" w14:textId="77777777" w:rsidR="002A21AE" w:rsidRDefault="002A21AE">
            <w:pPr>
              <w:pStyle w:val="NotesText"/>
            </w:pPr>
          </w:p>
          <w:p w14:paraId="3207EE03" w14:textId="77777777" w:rsidR="002A21AE" w:rsidRDefault="002A21AE" w:rsidP="00DA7212">
            <w:pPr>
              <w:pStyle w:val="NotesText"/>
            </w:pPr>
            <w:r>
              <w:t>VBECS alerts the user when the unit is expired and reminds him to remove additional patient assignments and the unit from the available inventory according to local policies. VBECS instructs the user to release the unit from all assignments and remove it from the available inventory</w:t>
            </w:r>
            <w:r w:rsidR="00DA7212">
              <w:t xml:space="preserve"> per hospital policy.</w:t>
            </w:r>
          </w:p>
        </w:tc>
      </w:tr>
    </w:tbl>
    <w:p w14:paraId="1CD57ACA" w14:textId="5C5BFFC3" w:rsidR="005E1395" w:rsidRDefault="005E1395" w:rsidP="005E1395">
      <w:pPr>
        <w:pStyle w:val="Caption"/>
      </w:pPr>
      <w:bookmarkStart w:id="474" w:name="_Ref12715907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105</w:t>
      </w:r>
      <w:r w:rsidR="004E20BD">
        <w:rPr>
          <w:noProof/>
        </w:rPr>
        <w:fldChar w:fldCharType="end"/>
      </w:r>
      <w:bookmarkEnd w:id="474"/>
      <w:r>
        <w:t>: Confirm Release</w:t>
      </w:r>
    </w:p>
    <w:p w14:paraId="44D46BD4" w14:textId="77777777" w:rsidR="005E1395" w:rsidRDefault="00057948">
      <w:pPr>
        <w:pStyle w:val="BodyText"/>
      </w:pPr>
      <w:r>
        <w:rPr>
          <w:noProof/>
        </w:rPr>
        <w:drawing>
          <wp:inline distT="0" distB="0" distL="0" distR="0" wp14:anchorId="723AB814" wp14:editId="3EE3D14E">
            <wp:extent cx="4692015" cy="3362325"/>
            <wp:effectExtent l="0" t="0" r="0" b="9525"/>
            <wp:docPr id="197" name="Picture 1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a:extLst>
                        <a:ext uri="{C183D7F6-B498-43B3-948B-1728B52AA6E4}">
                          <adec:decorative xmlns:adec="http://schemas.microsoft.com/office/drawing/2017/decorative" val="1"/>
                        </a:ext>
                      </a:extLst>
                    </pic:cNvPr>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692015" cy="3362325"/>
                    </a:xfrm>
                    <a:prstGeom prst="rect">
                      <a:avLst/>
                    </a:prstGeom>
                    <a:noFill/>
                    <a:ln>
                      <a:noFill/>
                    </a:ln>
                  </pic:spPr>
                </pic:pic>
              </a:graphicData>
            </a:graphic>
          </wp:inline>
        </w:drawing>
      </w:r>
    </w:p>
    <w:p w14:paraId="243972B1" w14:textId="77777777" w:rsidR="002A21AE" w:rsidRDefault="002A21AE">
      <w:pPr>
        <w:pStyle w:val="Heading2"/>
      </w:pPr>
      <w:r>
        <w:br w:type="page"/>
      </w:r>
      <w:bookmarkStart w:id="475" w:name="_Toc47516736"/>
      <w:r>
        <w:lastRenderedPageBreak/>
        <w:t>Print Unit Caution Tag &amp; Transfusion Record Form</w:t>
      </w:r>
      <w:bookmarkEnd w:id="475"/>
      <w:r w:rsidRPr="007716F7">
        <w:rPr>
          <w:vanish/>
        </w:rPr>
        <w:fldChar w:fldCharType="begin"/>
      </w:r>
      <w:r w:rsidRPr="007716F7">
        <w:rPr>
          <w:vanish/>
        </w:rPr>
        <w:instrText xml:space="preserve"> XE </w:instrText>
      </w:r>
      <w:r w:rsidR="00FA7E65" w:rsidRPr="007716F7">
        <w:rPr>
          <w:vanish/>
        </w:rPr>
        <w:instrText>“</w:instrText>
      </w:r>
      <w:r w:rsidRPr="007716F7">
        <w:rPr>
          <w:vanish/>
        </w:rPr>
        <w:instrText>Print Unit Caution Tag &amp; Transfusion Record Form</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UC_43, UC_44</w:t>
      </w:r>
    </w:p>
    <w:p w14:paraId="4AF1BF80" w14:textId="77777777" w:rsidR="00AD5827" w:rsidRDefault="002A21AE" w:rsidP="00FA7E65">
      <w:pPr>
        <w:pStyle w:val="BodyText"/>
      </w:pPr>
      <w:r>
        <w:t>The user may print a Caution Tag and/or a Blood Transfusion Record Form (BTRF) when crossmatch compatibility, assignment, or emergency issue are completed or as an independent action.</w:t>
      </w:r>
    </w:p>
    <w:p w14:paraId="374C6B1D" w14:textId="77777777" w:rsidR="002A21AE" w:rsidRDefault="002A21AE">
      <w:pPr>
        <w:pStyle w:val="Heading4"/>
      </w:pPr>
      <w:r>
        <w:t>Assumptions</w:t>
      </w:r>
      <w:r>
        <w:rPr>
          <w:b w:val="0"/>
        </w:rPr>
        <w:t xml:space="preserve"> </w:t>
      </w:r>
    </w:p>
    <w:p w14:paraId="09B61AAB" w14:textId="77777777" w:rsidR="002A21AE" w:rsidRDefault="002A21AE">
      <w:pPr>
        <w:pStyle w:val="ListBullet"/>
      </w:pPr>
      <w:r>
        <w:t>The blood unit, patient order, and user are in the same division.</w:t>
      </w:r>
    </w:p>
    <w:p w14:paraId="2A29D183" w14:textId="77777777" w:rsidR="002A21AE" w:rsidRDefault="002A21AE">
      <w:pPr>
        <w:pStyle w:val="ListBullet"/>
      </w:pPr>
      <w:r>
        <w:t>There is a current component class or emergency issue order for the patient, and the blood unit printed on the Caution Tag fulfills the patient order requirements.</w:t>
      </w:r>
    </w:p>
    <w:p w14:paraId="21575BB1" w14:textId="77777777" w:rsidR="002A21AE" w:rsidRDefault="002A21AE">
      <w:pPr>
        <w:pStyle w:val="ListBullet"/>
      </w:pPr>
      <w:r>
        <w:t>When the blood unit belongs to a component class that does not require crossmatch, it has a status of “assigned” (non-emergency issue only).</w:t>
      </w:r>
    </w:p>
    <w:p w14:paraId="2F656B9F" w14:textId="77777777" w:rsidR="002A21AE" w:rsidRDefault="002A21AE">
      <w:pPr>
        <w:pStyle w:val="ListBullet"/>
      </w:pPr>
      <w:r>
        <w:t>For non-emergency issue, the blood unit meets all patient Transfusion Requirements (TRs).</w:t>
      </w:r>
    </w:p>
    <w:p w14:paraId="60DE6FD4" w14:textId="77777777" w:rsidR="002A21AE" w:rsidRDefault="002A21AE">
      <w:pPr>
        <w:pStyle w:val="Heading4"/>
      </w:pPr>
      <w:r>
        <w:t>Outcome</w:t>
      </w:r>
    </w:p>
    <w:p w14:paraId="5074F347" w14:textId="77777777" w:rsidR="002A21AE" w:rsidRDefault="002A21AE">
      <w:pPr>
        <w:pStyle w:val="ListBullet"/>
      </w:pPr>
      <w:r>
        <w:t xml:space="preserve">The barcode generated on the Caution Tag </w:t>
      </w:r>
      <w:r w:rsidR="005C6950">
        <w:t>may</w:t>
      </w:r>
      <w:r>
        <w:t xml:space="preserve"> be used in bedside verification procedures</w:t>
      </w:r>
      <w:r w:rsidR="005C6950">
        <w:t>, in accordance with local policy and procedures</w:t>
      </w:r>
      <w:r>
        <w:t>.</w:t>
      </w:r>
    </w:p>
    <w:p w14:paraId="31A5CDC6" w14:textId="77777777" w:rsidR="002A21AE" w:rsidRDefault="002A21AE">
      <w:pPr>
        <w:pStyle w:val="ListBullet"/>
      </w:pPr>
      <w:r>
        <w:t>A user may reprint a BTRF and Caution Tag.</w:t>
      </w:r>
    </w:p>
    <w:p w14:paraId="40D3FCBF" w14:textId="77777777" w:rsidR="002A21AE" w:rsidRDefault="002A21AE">
      <w:pPr>
        <w:pStyle w:val="Heading4"/>
      </w:pPr>
      <w:r>
        <w:t>Limitations and Restrictions</w:t>
      </w:r>
      <w:r>
        <w:rPr>
          <w:b w:val="0"/>
        </w:rPr>
        <w:t xml:space="preserve"> </w:t>
      </w:r>
    </w:p>
    <w:p w14:paraId="1F9400BB" w14:textId="77777777" w:rsidR="002A21AE" w:rsidRDefault="002A21AE">
      <w:pPr>
        <w:pStyle w:val="ListBullet"/>
      </w:pPr>
      <w:bookmarkStart w:id="476" w:name="OLE_LINK23"/>
      <w:r>
        <w:t xml:space="preserve">VBECS cannot reprint a Caution Tag on an expired unit or </w:t>
      </w:r>
      <w:r w:rsidR="00FE1BEB">
        <w:t xml:space="preserve">expired </w:t>
      </w:r>
      <w:r>
        <w:t>patient order.</w:t>
      </w:r>
    </w:p>
    <w:p w14:paraId="0BECDB81" w14:textId="12B33EE4" w:rsidR="003226D0" w:rsidRDefault="003226D0" w:rsidP="003226D0">
      <w:pPr>
        <w:pStyle w:val="ListBullet"/>
      </w:pPr>
      <w:r>
        <w:t xml:space="preserve">VBECS does not print a unit’s </w:t>
      </w:r>
      <w:r w:rsidRPr="00D47D4A">
        <w:t>biohazardous</w:t>
      </w:r>
      <w:r>
        <w:t xml:space="preserve"> status on the BTRF or Caution Tag</w:t>
      </w:r>
      <w:r w:rsidRPr="00D47D4A">
        <w:t xml:space="preserve">. </w:t>
      </w:r>
    </w:p>
    <w:p w14:paraId="018072C5" w14:textId="3BED1957" w:rsidR="007114A4" w:rsidRDefault="009556B9" w:rsidP="003226D0">
      <w:pPr>
        <w:pStyle w:val="ListBullet"/>
      </w:pPr>
      <w:r>
        <w:t xml:space="preserve">If a unit has been crossmatched by two different technologists, the Compatibility Interpretation section of the BTRF displays the technologist that performed the earlier XM testing. </w:t>
      </w:r>
      <w:r w:rsidR="002B29EA">
        <w:t>Handwrite the missing current</w:t>
      </w:r>
      <w:r w:rsidR="00F34EA6">
        <w:t xml:space="preserve"> technologist initials on the printed BTRF. </w:t>
      </w:r>
      <w:r w:rsidRPr="00F34EA6">
        <w:rPr>
          <w:vanish/>
        </w:rPr>
        <w:t>Defect 210195</w:t>
      </w:r>
    </w:p>
    <w:bookmarkEnd w:id="476"/>
    <w:p w14:paraId="18ADA7FA" w14:textId="77777777" w:rsidR="002A21AE" w:rsidRDefault="002A21AE">
      <w:pPr>
        <w:pStyle w:val="Heading4"/>
      </w:pPr>
      <w:r>
        <w:t>Additional Information</w:t>
      </w:r>
    </w:p>
    <w:p w14:paraId="5911D991" w14:textId="77777777" w:rsidR="002A21AE" w:rsidRDefault="002A21AE">
      <w:pPr>
        <w:pStyle w:val="ListBullet"/>
      </w:pPr>
      <w:r>
        <w:rPr>
          <w:rFonts w:ascii="Arial" w:hAnsi="Arial" w:cs="Arial"/>
          <w:vanish/>
          <w:spacing w:val="0"/>
          <w:sz w:val="18"/>
        </w:rPr>
        <w:t xml:space="preserve">BR_43.10 </w:t>
      </w:r>
      <w:r>
        <w:t>The informational barcode printed on the Caution Tag includes only the patient and unit IDs and the unit product code.</w:t>
      </w:r>
    </w:p>
    <w:p w14:paraId="1CD46EEA" w14:textId="77777777" w:rsidR="002A21AE" w:rsidRDefault="002A21AE">
      <w:pPr>
        <w:pStyle w:val="ListBullet"/>
      </w:pPr>
      <w:r>
        <w:t>A user may print multiple Caution Tags and BTRFs for a blood unit when it is assigned to multiple patients.</w:t>
      </w:r>
    </w:p>
    <w:p w14:paraId="1CAFB551" w14:textId="77777777" w:rsidR="002A21AE" w:rsidRDefault="00FE1BEB">
      <w:pPr>
        <w:pStyle w:val="ListBullet"/>
      </w:pPr>
      <w:r>
        <w:t>A</w:t>
      </w:r>
      <w:r w:rsidR="002A21AE">
        <w:t>ttach the Caution Tag</w:t>
      </w:r>
      <w:r>
        <w:t xml:space="preserve"> labels to blood bags in accordance with local policy and procedures</w:t>
      </w:r>
      <w:r w:rsidR="002A21AE">
        <w:t>.</w:t>
      </w:r>
    </w:p>
    <w:p w14:paraId="1BCBA1A5" w14:textId="77777777" w:rsidR="002A21AE" w:rsidRDefault="002A21AE">
      <w:pPr>
        <w:pStyle w:val="Heading4"/>
        <w:rPr>
          <w:b w:val="0"/>
        </w:rPr>
      </w:pPr>
      <w:r>
        <w:t>User Roles with Access to This Option</w:t>
      </w:r>
      <w:r>
        <w:rPr>
          <w:b w:val="0"/>
        </w:rPr>
        <w:t xml:space="preserve"> </w:t>
      </w:r>
    </w:p>
    <w:p w14:paraId="6E04F9C6" w14:textId="77777777" w:rsidR="00396D65" w:rsidRDefault="00396D65" w:rsidP="00396D65">
      <w:pPr>
        <w:pStyle w:val="Roles"/>
        <w:rPr>
          <w:snapToGrid w:val="0"/>
        </w:rPr>
      </w:pPr>
      <w:r>
        <w:t>All users</w:t>
      </w:r>
      <w:r>
        <w:rPr>
          <w:snapToGrid w:val="0"/>
        </w:rPr>
        <w:t xml:space="preserve"> </w:t>
      </w:r>
    </w:p>
    <w:p w14:paraId="4FEF2208" w14:textId="77777777" w:rsidR="002A21AE" w:rsidRDefault="002A21AE">
      <w:pPr>
        <w:pStyle w:val="Heading4"/>
      </w:pPr>
      <w:r>
        <w:t xml:space="preserve">Print </w:t>
      </w:r>
      <w:r w:rsidR="004B2F32">
        <w:t>Backup</w:t>
      </w:r>
      <w:r>
        <w:t xml:space="preserve"> Caution Tags and Blood Transfusion Record Forms</w:t>
      </w:r>
      <w:r>
        <w:fldChar w:fldCharType="begin"/>
      </w:r>
      <w:r>
        <w:instrText xml:space="preserve"> XE </w:instrText>
      </w:r>
      <w:r w:rsidR="00FA7E65">
        <w:instrText>“</w:instrText>
      </w:r>
      <w:r>
        <w:instrText xml:space="preserve">Print </w:instrText>
      </w:r>
      <w:r w:rsidR="004B2F32">
        <w:instrText>Backup</w:instrText>
      </w:r>
      <w:r>
        <w:instrText xml:space="preserve"> Caution Tags and Blood Transfusion Record Forms</w:instrText>
      </w:r>
      <w:r w:rsidR="00FA7E65">
        <w:instrText>”</w:instrText>
      </w:r>
      <w:r>
        <w:instrText xml:space="preserve"> </w:instrText>
      </w:r>
      <w:r>
        <w:fldChar w:fldCharType="end"/>
      </w:r>
      <w:r>
        <w:t xml:space="preserve"> </w:t>
      </w:r>
    </w:p>
    <w:p w14:paraId="23F9658C" w14:textId="77777777" w:rsidR="002A21AE" w:rsidRDefault="002A21AE" w:rsidP="00FA7E65">
      <w:pPr>
        <w:pStyle w:val="BodyText"/>
      </w:pPr>
      <w:r>
        <w:t>It is recommend</w:t>
      </w:r>
      <w:r w:rsidR="00164C0F">
        <w:t>ed</w:t>
      </w:r>
      <w:r>
        <w:t xml:space="preserve"> that </w:t>
      </w:r>
      <w:r w:rsidR="004B2F32">
        <w:t>b</w:t>
      </w:r>
      <w:r>
        <w:t>lank Caution Tags and BTRFs be kept on hand in case the system or printer is not available to generate them.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0F97216" w14:textId="77777777">
        <w:trPr>
          <w:cantSplit/>
          <w:tblHeader/>
        </w:trPr>
        <w:tc>
          <w:tcPr>
            <w:tcW w:w="3240" w:type="dxa"/>
            <w:shd w:val="pct30" w:color="auto" w:fill="FFFFFF"/>
            <w:vAlign w:val="bottom"/>
          </w:tcPr>
          <w:p w14:paraId="31B98121" w14:textId="77777777" w:rsidR="002A21AE" w:rsidRDefault="002A21AE">
            <w:pPr>
              <w:pStyle w:val="TableText"/>
              <w:rPr>
                <w:b/>
              </w:rPr>
            </w:pPr>
            <w:bookmarkStart w:id="477" w:name="_Toc48708314"/>
            <w:bookmarkStart w:id="478" w:name="_Toc48708326"/>
            <w:bookmarkStart w:id="479" w:name="_Toc77663248"/>
            <w:r>
              <w:rPr>
                <w:b/>
              </w:rPr>
              <w:t>User Action</w:t>
            </w:r>
          </w:p>
        </w:tc>
        <w:tc>
          <w:tcPr>
            <w:tcW w:w="6120" w:type="dxa"/>
            <w:shd w:val="pct30" w:color="auto" w:fill="FFFFFF"/>
            <w:vAlign w:val="bottom"/>
          </w:tcPr>
          <w:p w14:paraId="349B9D97" w14:textId="77777777" w:rsidR="002A21AE" w:rsidRDefault="002A21AE">
            <w:pPr>
              <w:pStyle w:val="TableText"/>
              <w:rPr>
                <w:b/>
              </w:rPr>
            </w:pPr>
            <w:r>
              <w:rPr>
                <w:b/>
              </w:rPr>
              <w:t>VBECS</w:t>
            </w:r>
          </w:p>
        </w:tc>
      </w:tr>
      <w:tr w:rsidR="002A21AE" w14:paraId="27913D74" w14:textId="77777777">
        <w:tc>
          <w:tcPr>
            <w:tcW w:w="3240" w:type="dxa"/>
          </w:tcPr>
          <w:p w14:paraId="0C9A93BB" w14:textId="77777777" w:rsidR="002A21AE" w:rsidRDefault="002A21AE">
            <w:pPr>
              <w:pStyle w:val="TableTextNumbers"/>
            </w:pPr>
            <w:r>
              <w:t xml:space="preserve">Select </w:t>
            </w:r>
            <w:r>
              <w:rPr>
                <w:b/>
              </w:rPr>
              <w:t>Tools</w:t>
            </w:r>
            <w:r>
              <w:t xml:space="preserve"> from the main menu.</w:t>
            </w:r>
          </w:p>
          <w:p w14:paraId="21222954" w14:textId="77777777" w:rsidR="002A21AE" w:rsidRDefault="002A21AE">
            <w:pPr>
              <w:pStyle w:val="TableTextNumbersContinued"/>
              <w:rPr>
                <w:b/>
                <w:bCs/>
              </w:rPr>
            </w:pPr>
          </w:p>
          <w:p w14:paraId="36983E6D" w14:textId="77777777" w:rsidR="002A21AE" w:rsidRDefault="002A21AE">
            <w:pPr>
              <w:pStyle w:val="TableTextNumbersContinued"/>
            </w:pPr>
            <w:r>
              <w:t xml:space="preserve">Select </w:t>
            </w:r>
            <w:r>
              <w:rPr>
                <w:b/>
              </w:rPr>
              <w:t>Print Backup Forms</w:t>
            </w:r>
            <w:r>
              <w:t>.</w:t>
            </w:r>
          </w:p>
          <w:p w14:paraId="099FBD4F" w14:textId="77777777" w:rsidR="002A21AE" w:rsidRDefault="002A21AE">
            <w:pPr>
              <w:pStyle w:val="TableTextNumbersContinued"/>
            </w:pPr>
          </w:p>
          <w:p w14:paraId="502E2DC8" w14:textId="7FE660DA" w:rsidR="002A21AE" w:rsidRDefault="002A21AE">
            <w:pPr>
              <w:pStyle w:val="TableTextNumbersContinued"/>
            </w:pPr>
            <w:r>
              <w:t>Enter or select the number of blank tags or forms to print</w:t>
            </w:r>
            <w:r w:rsidR="009B102E">
              <w:t xml:space="preserve"> (</w:t>
            </w:r>
            <w:r w:rsidR="009B102E">
              <w:fldChar w:fldCharType="begin"/>
            </w:r>
            <w:r w:rsidR="009B102E">
              <w:instrText xml:space="preserve"> REF _Ref127005506 \h </w:instrText>
            </w:r>
            <w:r w:rsidR="009B102E">
              <w:fldChar w:fldCharType="separate"/>
            </w:r>
            <w:r w:rsidR="004353ED">
              <w:t xml:space="preserve">Figure </w:t>
            </w:r>
            <w:r w:rsidR="004353ED">
              <w:rPr>
                <w:noProof/>
              </w:rPr>
              <w:t>106</w:t>
            </w:r>
            <w:r w:rsidR="009B102E">
              <w:fldChar w:fldCharType="end"/>
            </w:r>
            <w:r w:rsidR="009B102E">
              <w:t>)</w:t>
            </w:r>
            <w:r>
              <w:t>.</w:t>
            </w:r>
          </w:p>
          <w:p w14:paraId="169F2055" w14:textId="77777777" w:rsidR="002A21AE" w:rsidRDefault="002A21AE">
            <w:pPr>
              <w:pStyle w:val="TableTextNumbersContinued"/>
            </w:pPr>
          </w:p>
          <w:p w14:paraId="71A82C13" w14:textId="77777777" w:rsidR="002A21AE" w:rsidRDefault="002A21AE">
            <w:pPr>
              <w:pStyle w:val="TableTextNumbersContinued"/>
            </w:pPr>
            <w:r>
              <w:t xml:space="preserve">Click </w:t>
            </w:r>
            <w:r>
              <w:rPr>
                <w:b/>
              </w:rPr>
              <w:t>OK</w:t>
            </w:r>
            <w:r>
              <w:t xml:space="preserve"> to print and 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480" w:author="Blalock, David (Leidos)" w:date="2020-06-15T14:09:00Z" w:original="0."/>
              </w:fldChar>
            </w:r>
          </w:p>
        </w:tc>
        <w:tc>
          <w:tcPr>
            <w:tcW w:w="6120" w:type="dxa"/>
          </w:tcPr>
          <w:p w14:paraId="5BAFD4E1" w14:textId="77777777" w:rsidR="002A21AE" w:rsidRDefault="002A21AE">
            <w:pPr>
              <w:pStyle w:val="TableTextBullet"/>
              <w:ind w:left="0" w:firstLine="0"/>
            </w:pPr>
            <w:r>
              <w:lastRenderedPageBreak/>
              <w:t>Displays options for processing administrative functions.</w:t>
            </w:r>
          </w:p>
          <w:p w14:paraId="03869EDF" w14:textId="77777777" w:rsidR="002A21AE" w:rsidRDefault="002A21AE">
            <w:pPr>
              <w:pStyle w:val="TableTextBullet"/>
              <w:ind w:left="0" w:firstLine="0"/>
            </w:pPr>
            <w:r>
              <w:t>Prompts the user to enter the number of Caution Tags to be printed.</w:t>
            </w:r>
          </w:p>
          <w:p w14:paraId="5E899066" w14:textId="77777777" w:rsidR="002A21AE" w:rsidRDefault="002A21AE">
            <w:pPr>
              <w:pStyle w:val="TableTextBullet"/>
              <w:ind w:left="0" w:firstLine="0"/>
            </w:pPr>
            <w:r>
              <w:t>Prints the blank Caution Tags.</w:t>
            </w:r>
          </w:p>
          <w:p w14:paraId="5E758C85" w14:textId="77777777" w:rsidR="002A21AE" w:rsidRDefault="002A21AE">
            <w:pPr>
              <w:pStyle w:val="TableText"/>
              <w:rPr>
                <w:b/>
                <w:bCs/>
                <w:szCs w:val="18"/>
              </w:rPr>
            </w:pPr>
          </w:p>
          <w:p w14:paraId="5E9CA0A2" w14:textId="30E2A1B4" w:rsidR="002A21AE" w:rsidRDefault="002A21AE">
            <w:pPr>
              <w:pStyle w:val="TableText"/>
              <w:rPr>
                <w:b/>
                <w:bCs/>
                <w:szCs w:val="18"/>
              </w:rPr>
            </w:pPr>
            <w:r>
              <w:rPr>
                <w:b/>
                <w:bCs/>
                <w:szCs w:val="18"/>
              </w:rPr>
              <w:t>NOTES</w:t>
            </w:r>
          </w:p>
          <w:p w14:paraId="39CB4A48" w14:textId="77777777" w:rsidR="002A21AE" w:rsidRDefault="002A21AE">
            <w:pPr>
              <w:pStyle w:val="NotesText"/>
            </w:pPr>
          </w:p>
          <w:p w14:paraId="46ED876B" w14:textId="77777777" w:rsidR="002A21AE" w:rsidRDefault="002A21AE">
            <w:pPr>
              <w:pStyle w:val="NotesText"/>
            </w:pPr>
            <w:r>
              <w:rPr>
                <w:rFonts w:cs="Arial"/>
                <w:vanish/>
              </w:rPr>
              <w:lastRenderedPageBreak/>
              <w:t xml:space="preserve">BR_43.22 </w:t>
            </w:r>
            <w:r>
              <w:t>VBECS displays an option to print a Caution Tag or a BTRF when the user selects a unit or a patient.</w:t>
            </w:r>
          </w:p>
          <w:p w14:paraId="2170F6DB" w14:textId="77777777" w:rsidR="002A21AE" w:rsidRDefault="002A21AE">
            <w:pPr>
              <w:pStyle w:val="NotesText"/>
            </w:pPr>
          </w:p>
          <w:p w14:paraId="05BAE104" w14:textId="77777777" w:rsidR="002A21AE" w:rsidRDefault="002A21AE">
            <w:pPr>
              <w:pStyle w:val="NotesText"/>
            </w:pPr>
            <w:r>
              <w:rPr>
                <w:rFonts w:cs="Arial"/>
                <w:vanish/>
                <w:szCs w:val="18"/>
              </w:rPr>
              <w:t>BR_43.15</w:t>
            </w:r>
            <w:r w:rsidR="00CE3961">
              <w:rPr>
                <w:rFonts w:cs="Arial"/>
                <w:vanish/>
                <w:szCs w:val="18"/>
              </w:rPr>
              <w:t>,</w:t>
            </w:r>
            <w:r>
              <w:rPr>
                <w:rFonts w:cs="Arial"/>
                <w:vanish/>
                <w:szCs w:val="18"/>
              </w:rPr>
              <w:t xml:space="preserve"> </w:t>
            </w:r>
            <w:r>
              <w:rPr>
                <w:vanish/>
                <w:szCs w:val="18"/>
              </w:rPr>
              <w:t xml:space="preserve">BR_43.11 </w:t>
            </w:r>
            <w:r w:rsidR="00A90257">
              <w:t xml:space="preserve">The user may print </w:t>
            </w:r>
            <w:r>
              <w:t>blank Caution Tags and BT</w:t>
            </w:r>
            <w:r w:rsidR="004F7C13">
              <w:t>RFs</w:t>
            </w:r>
            <w:r w:rsidR="00A72710">
              <w:t xml:space="preserve"> </w:t>
            </w:r>
            <w:r w:rsidR="00AB6515">
              <w:t>to use in case of downtime.</w:t>
            </w:r>
            <w:r w:rsidR="00AB6515" w:rsidRPr="00812458">
              <w:rPr>
                <w:vanish/>
              </w:rPr>
              <w:t xml:space="preserve"> Task 440471</w:t>
            </w:r>
          </w:p>
          <w:p w14:paraId="6D57056E" w14:textId="77777777" w:rsidR="002A21AE" w:rsidRDefault="002A21AE">
            <w:pPr>
              <w:pStyle w:val="TableText"/>
            </w:pPr>
          </w:p>
          <w:p w14:paraId="3E7848E5" w14:textId="77777777" w:rsidR="002A21AE" w:rsidRDefault="002A21AE">
            <w:pPr>
              <w:pStyle w:val="NotesText"/>
            </w:pPr>
            <w:r>
              <w:rPr>
                <w:rFonts w:cs="Arial"/>
                <w:vanish/>
              </w:rPr>
              <w:t xml:space="preserve">BR_43.12 </w:t>
            </w:r>
            <w:r>
              <w:t>VBECS interrupts or cancels a print job to accommodate the printing of an emergency issue tag. VBECS notifies the user of the number of tags printed and instructs the user to enter a new request to print more tags.</w:t>
            </w:r>
          </w:p>
        </w:tc>
      </w:tr>
    </w:tbl>
    <w:p w14:paraId="09EF50D4" w14:textId="53347356" w:rsidR="009B102E" w:rsidRDefault="009B102E" w:rsidP="009B102E">
      <w:pPr>
        <w:pStyle w:val="Caption"/>
      </w:pPr>
      <w:bookmarkStart w:id="481" w:name="_Ref127005506"/>
      <w:bookmarkEnd w:id="477"/>
      <w:bookmarkEnd w:id="478"/>
      <w:bookmarkEnd w:id="47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106</w:t>
      </w:r>
      <w:r w:rsidR="004E20BD">
        <w:rPr>
          <w:noProof/>
        </w:rPr>
        <w:fldChar w:fldCharType="end"/>
      </w:r>
      <w:bookmarkEnd w:id="481"/>
      <w:r>
        <w:t>: Print Backup Forms</w:t>
      </w:r>
    </w:p>
    <w:p w14:paraId="3CFC85A5" w14:textId="77777777" w:rsidR="009B102E" w:rsidRPr="009B102E" w:rsidRDefault="00057948" w:rsidP="009B102E">
      <w:pPr>
        <w:pStyle w:val="BodyText"/>
      </w:pPr>
      <w:r>
        <w:rPr>
          <w:noProof/>
        </w:rPr>
        <w:drawing>
          <wp:inline distT="0" distB="0" distL="0" distR="0" wp14:anchorId="6E52F909" wp14:editId="44E180B1">
            <wp:extent cx="3546475" cy="2133600"/>
            <wp:effectExtent l="0" t="0" r="0" b="0"/>
            <wp:docPr id="198" name="Picture 1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a:extLst>
                        <a:ext uri="{C183D7F6-B498-43B3-948B-1728B52AA6E4}">
                          <adec:decorative xmlns:adec="http://schemas.microsoft.com/office/drawing/2017/decorative" val="1"/>
                        </a:ext>
                      </a:extLst>
                    </pic:cNvPr>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546475" cy="2133600"/>
                    </a:xfrm>
                    <a:prstGeom prst="rect">
                      <a:avLst/>
                    </a:prstGeom>
                    <a:noFill/>
                    <a:ln>
                      <a:noFill/>
                    </a:ln>
                  </pic:spPr>
                </pic:pic>
              </a:graphicData>
            </a:graphic>
          </wp:inline>
        </w:drawing>
      </w:r>
    </w:p>
    <w:p w14:paraId="3E9FE05C" w14:textId="77777777" w:rsidR="002A21AE" w:rsidRDefault="002A21AE">
      <w:pPr>
        <w:pStyle w:val="Heading4"/>
      </w:pPr>
      <w:r>
        <w:t>Print Unit Caution Tag &amp; Transfusion Record Form</w:t>
      </w:r>
    </w:p>
    <w:p w14:paraId="166F05F6" w14:textId="77777777" w:rsidR="002A21AE" w:rsidRDefault="002A21AE" w:rsidP="00FA7E65">
      <w:pPr>
        <w:pStyle w:val="BodyText"/>
      </w:pPr>
      <w:r>
        <w:t xml:space="preserve">The user may need to generate Caution Tags when they were not printed immediately after unit selection and crossmatch data entry, emergency issue, or when there is a problem with the printed Caution Tag. According to local </w:t>
      </w:r>
      <w:r w:rsidR="00A10483">
        <w:t>policy,</w:t>
      </w:r>
      <w:r>
        <w:t xml:space="preserve"> the user selects a current patient order and one or more units to print from the VBECS-generated list of units eligible for immediate transfusion. </w:t>
      </w:r>
    </w:p>
    <w:p w14:paraId="3C446E5B" w14:textId="77777777" w:rsidR="002A21AE" w:rsidRDefault="002A21AE" w:rsidP="00FA7E65">
      <w:pPr>
        <w:pStyle w:val="BodyText"/>
      </w:pPr>
      <w:r>
        <w:t>VBECS does not allow a user to print a Caution Tag unless the unit is satisfactory for immediate issue.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BC436AE" w14:textId="77777777">
        <w:trPr>
          <w:cantSplit/>
          <w:tblHeader/>
        </w:trPr>
        <w:tc>
          <w:tcPr>
            <w:tcW w:w="3240" w:type="dxa"/>
            <w:shd w:val="pct30" w:color="auto" w:fill="FFFFFF"/>
            <w:vAlign w:val="bottom"/>
          </w:tcPr>
          <w:p w14:paraId="284A778C" w14:textId="77777777" w:rsidR="002A21AE" w:rsidRDefault="002A21AE">
            <w:pPr>
              <w:pStyle w:val="TableText"/>
              <w:rPr>
                <w:b/>
              </w:rPr>
            </w:pPr>
            <w:r>
              <w:rPr>
                <w:b/>
              </w:rPr>
              <w:t>User Action</w:t>
            </w:r>
          </w:p>
        </w:tc>
        <w:tc>
          <w:tcPr>
            <w:tcW w:w="6120" w:type="dxa"/>
            <w:shd w:val="pct30" w:color="auto" w:fill="FFFFFF"/>
            <w:vAlign w:val="bottom"/>
          </w:tcPr>
          <w:p w14:paraId="4BD8EB35" w14:textId="77777777" w:rsidR="002A21AE" w:rsidRDefault="002A21AE">
            <w:pPr>
              <w:pStyle w:val="TableText"/>
              <w:rPr>
                <w:b/>
              </w:rPr>
            </w:pPr>
            <w:r>
              <w:rPr>
                <w:b/>
              </w:rPr>
              <w:t>VBECS</w:t>
            </w:r>
          </w:p>
        </w:tc>
      </w:tr>
      <w:tr w:rsidR="002A21AE" w14:paraId="13FFBFB7" w14:textId="77777777">
        <w:tc>
          <w:tcPr>
            <w:tcW w:w="3240" w:type="dxa"/>
          </w:tcPr>
          <w:p w14:paraId="117296AB" w14:textId="77777777" w:rsidR="002A21AE" w:rsidRDefault="002A21AE">
            <w:pPr>
              <w:pStyle w:val="TableTextNumbers"/>
            </w:pPr>
            <w:r>
              <w:t xml:space="preserve">Select </w:t>
            </w:r>
            <w:r>
              <w:rPr>
                <w:b/>
              </w:rPr>
              <w:t>Patients</w:t>
            </w:r>
            <w:r>
              <w:t xml:space="preserve"> or </w:t>
            </w:r>
            <w:r>
              <w:rPr>
                <w:b/>
                <w:bCs/>
              </w:rPr>
              <w:t>Blood Units</w:t>
            </w:r>
            <w:r>
              <w:t xml:space="preserve"> from the main menu.</w:t>
            </w:r>
          </w:p>
          <w:p w14:paraId="740ACF59" w14:textId="77777777" w:rsidR="002A21AE" w:rsidRDefault="002A21AE">
            <w:pPr>
              <w:pStyle w:val="TableTextNumbersContinued"/>
            </w:pPr>
          </w:p>
          <w:p w14:paraId="5DC17022" w14:textId="77777777" w:rsidR="002A21AE" w:rsidRDefault="002A21AE">
            <w:pPr>
              <w:pStyle w:val="TableTextNumbersContinued"/>
              <w:rPr>
                <w:b/>
                <w:bCs/>
              </w:rPr>
            </w:pPr>
            <w:r>
              <w:t xml:space="preserve">Select </w:t>
            </w:r>
            <w:r>
              <w:rPr>
                <w:b/>
              </w:rPr>
              <w:t>Print Unit Caution Tag &amp; Transfusion Record Form</w:t>
            </w:r>
            <w:r>
              <w:t>.</w:t>
            </w:r>
          </w:p>
        </w:tc>
        <w:tc>
          <w:tcPr>
            <w:tcW w:w="6120" w:type="dxa"/>
          </w:tcPr>
          <w:p w14:paraId="60F7AA48" w14:textId="77777777" w:rsidR="002A21AE" w:rsidRDefault="002A21AE">
            <w:pPr>
              <w:pStyle w:val="TableTextBullet"/>
            </w:pPr>
            <w:r>
              <w:t>Displays options for processing patient-related functions or for processing units.</w:t>
            </w:r>
          </w:p>
          <w:p w14:paraId="184C7582" w14:textId="77777777" w:rsidR="002A21AE" w:rsidRDefault="002A21AE">
            <w:pPr>
              <w:pStyle w:val="TableTextBullet"/>
            </w:pPr>
            <w:r>
              <w:t>Displays the option to select a patient, if one is not already selected.</w:t>
            </w:r>
          </w:p>
          <w:p w14:paraId="4844BE8A" w14:textId="77777777" w:rsidR="002A21AE" w:rsidRDefault="002A21AE">
            <w:pPr>
              <w:pStyle w:val="TableTextNumbersContinued"/>
            </w:pPr>
          </w:p>
          <w:p w14:paraId="104E8476" w14:textId="01623868" w:rsidR="002F53E0" w:rsidRDefault="002F53E0" w:rsidP="002F53E0">
            <w:pPr>
              <w:pStyle w:val="TableText"/>
              <w:rPr>
                <w:b/>
                <w:bCs/>
                <w:szCs w:val="18"/>
              </w:rPr>
            </w:pPr>
            <w:r>
              <w:rPr>
                <w:b/>
                <w:bCs/>
                <w:szCs w:val="18"/>
              </w:rPr>
              <w:t>NOTES</w:t>
            </w:r>
          </w:p>
          <w:p w14:paraId="2F3C4B8E" w14:textId="77777777" w:rsidR="002F53E0" w:rsidRDefault="002F53E0" w:rsidP="002F53E0">
            <w:pPr>
              <w:pStyle w:val="NotesText"/>
            </w:pPr>
          </w:p>
          <w:p w14:paraId="372B5244" w14:textId="77777777" w:rsidR="002F53E0" w:rsidRDefault="002F53E0">
            <w:pPr>
              <w:pStyle w:val="TableTextNumbersContinued"/>
            </w:pPr>
            <w:r w:rsidRPr="002F53E0">
              <w:rPr>
                <w:vanish/>
              </w:rPr>
              <w:t xml:space="preserve">BR_43.23 </w:t>
            </w:r>
            <w:r w:rsidRPr="007246D5">
              <w:t xml:space="preserve">For </w:t>
            </w:r>
            <w:r>
              <w:t xml:space="preserve">patient with </w:t>
            </w:r>
            <w:r w:rsidRPr="007246D5">
              <w:t>an Rh</w:t>
            </w:r>
            <w:r>
              <w:t xml:space="preserve"> that is</w:t>
            </w:r>
            <w:r w:rsidRPr="007246D5">
              <w:t xml:space="preserve"> </w:t>
            </w:r>
            <w:r>
              <w:t>not Positive (</w:t>
            </w:r>
            <w:r w:rsidRPr="007246D5">
              <w:t>neg</w:t>
            </w:r>
            <w:r>
              <w:t>ative, unknown, or inconclusive): W</w:t>
            </w:r>
            <w:r w:rsidRPr="00C26359">
              <w:t>hen</w:t>
            </w:r>
            <w:r w:rsidRPr="00C26359">
              <w:rPr>
                <w:b/>
              </w:rPr>
              <w:t xml:space="preserve"> Rh “Positive” or Rh “Pooled”</w:t>
            </w:r>
            <w:r>
              <w:rPr>
                <w:b/>
              </w:rPr>
              <w:t xml:space="preserve"> </w:t>
            </w:r>
            <w:r w:rsidRPr="00912031">
              <w:rPr>
                <w:rFonts w:cs="Arial"/>
              </w:rPr>
              <w:t xml:space="preserve">units from the WHOLE BLOOD, RED BLOOD CELLS, PLATELETS, and OTHER VBECS component classes are individually entered and confirmed by the user, the system provides an audible alert </w:t>
            </w:r>
            <w:r w:rsidRPr="0019397F">
              <w:t>and displays the alert: "Patient is an Rh negative and the selected unit is Rh positive. Check patient sex and hospital policy before continuing. Proceed?" The user will click OK to continue.</w:t>
            </w:r>
          </w:p>
        </w:tc>
      </w:tr>
      <w:tr w:rsidR="002A21AE" w14:paraId="2EF7DAC9" w14:textId="77777777" w:rsidTr="001A459B">
        <w:trPr>
          <w:cantSplit/>
        </w:trPr>
        <w:tc>
          <w:tcPr>
            <w:tcW w:w="3240" w:type="dxa"/>
          </w:tcPr>
          <w:p w14:paraId="556A8E1F" w14:textId="77777777" w:rsidR="002A21AE" w:rsidRDefault="002A21AE">
            <w:pPr>
              <w:pStyle w:val="TableTextNumbers"/>
            </w:pPr>
            <w:r>
              <w:lastRenderedPageBreak/>
              <w:t xml:space="preserve">Enter the patient name or ID and click </w:t>
            </w:r>
            <w:r>
              <w:rPr>
                <w:b/>
                <w:bCs/>
              </w:rPr>
              <w:t xml:space="preserve">Search </w:t>
            </w:r>
            <w:r>
              <w:t xml:space="preserve">to select a patient, or </w:t>
            </w:r>
          </w:p>
          <w:p w14:paraId="73DB0F67" w14:textId="77777777" w:rsidR="002A21AE" w:rsidRDefault="002A21AE">
            <w:pPr>
              <w:pStyle w:val="TableTextNumbersContinued"/>
            </w:pPr>
          </w:p>
          <w:p w14:paraId="35EAE1F2" w14:textId="0D5F240F" w:rsidR="002A21AE" w:rsidRDefault="002A21AE">
            <w:pPr>
              <w:pStyle w:val="TableTextNumbersContinued"/>
            </w:pPr>
            <w:r>
              <w:t xml:space="preserve">Click </w:t>
            </w:r>
            <w:r>
              <w:rPr>
                <w:b/>
              </w:rPr>
              <w:t>Search by Unit</w:t>
            </w:r>
            <w:r w:rsidR="00EB7F52">
              <w:rPr>
                <w:b/>
              </w:rPr>
              <w:t xml:space="preserve"> </w:t>
            </w:r>
            <w:r w:rsidR="00CD3C64" w:rsidRPr="00CD3C64">
              <w:t>(</w:t>
            </w:r>
            <w:r w:rsidR="00CD3C64">
              <w:fldChar w:fldCharType="begin"/>
            </w:r>
            <w:r w:rsidR="00CD3C64">
              <w:instrText xml:space="preserve"> REF _Ref127006080 \h </w:instrText>
            </w:r>
            <w:r w:rsidR="00CD3C64">
              <w:fldChar w:fldCharType="separate"/>
            </w:r>
            <w:r w:rsidR="004353ED">
              <w:t xml:space="preserve">Figure </w:t>
            </w:r>
            <w:r w:rsidR="004353ED">
              <w:rPr>
                <w:noProof/>
              </w:rPr>
              <w:t>107</w:t>
            </w:r>
            <w:r w:rsidR="00CD3C64">
              <w:fldChar w:fldCharType="end"/>
            </w:r>
            <w:r w:rsidR="00CD3C64" w:rsidRPr="00CD3C64">
              <w:t>)</w:t>
            </w:r>
            <w:r>
              <w:t>.</w:t>
            </w:r>
          </w:p>
          <w:p w14:paraId="0EEAE0C0" w14:textId="77777777" w:rsidR="002A21AE" w:rsidRDefault="002A21AE">
            <w:pPr>
              <w:pStyle w:val="TableTextNumbersContinued"/>
            </w:pPr>
          </w:p>
          <w:p w14:paraId="63BCE570" w14:textId="77777777" w:rsidR="002A21AE" w:rsidRDefault="002A21AE">
            <w:pPr>
              <w:pStyle w:val="TableTextNumbersContinued"/>
            </w:pPr>
            <w:r>
              <w:t>Enter the unit ID and/or product.</w:t>
            </w:r>
          </w:p>
        </w:tc>
        <w:tc>
          <w:tcPr>
            <w:tcW w:w="6120" w:type="dxa"/>
          </w:tcPr>
          <w:p w14:paraId="60BAE2A9" w14:textId="77777777" w:rsidR="002A21AE" w:rsidRDefault="002A21AE">
            <w:pPr>
              <w:pStyle w:val="TableTextBullet"/>
            </w:pPr>
            <w:r>
              <w:t>Requests that the user select a Caution Tag and/or a BTRF to print by unit ID or by patient.</w:t>
            </w:r>
          </w:p>
          <w:p w14:paraId="7C965996" w14:textId="77777777" w:rsidR="002A21AE" w:rsidRDefault="002A21AE">
            <w:pPr>
              <w:pStyle w:val="TableTextBullet"/>
            </w:pPr>
            <w:r>
              <w:t>Displays an informational message, when appropriate.</w:t>
            </w:r>
          </w:p>
        </w:tc>
      </w:tr>
      <w:tr w:rsidR="002A21AE" w14:paraId="5634CFA0" w14:textId="77777777">
        <w:tc>
          <w:tcPr>
            <w:tcW w:w="3240" w:type="dxa"/>
            <w:tcBorders>
              <w:top w:val="single" w:sz="4" w:space="0" w:color="auto"/>
              <w:left w:val="single" w:sz="4" w:space="0" w:color="auto"/>
              <w:bottom w:val="single" w:sz="4" w:space="0" w:color="auto"/>
              <w:right w:val="single" w:sz="4" w:space="0" w:color="auto"/>
            </w:tcBorders>
          </w:tcPr>
          <w:p w14:paraId="75911E45" w14:textId="77777777" w:rsidR="002A21AE" w:rsidRDefault="002A21AE">
            <w:pPr>
              <w:pStyle w:val="TableTextNumbers"/>
            </w:pPr>
            <w:r>
              <w:t>Select a patient, or</w:t>
            </w:r>
          </w:p>
          <w:p w14:paraId="5B432152" w14:textId="77777777" w:rsidR="002A21AE" w:rsidRDefault="002A21AE">
            <w:pPr>
              <w:pStyle w:val="TableTextNumbersContinued"/>
            </w:pPr>
          </w:p>
          <w:p w14:paraId="39622221" w14:textId="77777777" w:rsidR="002A21AE" w:rsidRDefault="002A21AE">
            <w:pPr>
              <w:pStyle w:val="TableTextNumbersContinued"/>
            </w:pPr>
            <w:r>
              <w:t>Select or scan a blood unit.</w:t>
            </w:r>
          </w:p>
        </w:tc>
        <w:tc>
          <w:tcPr>
            <w:tcW w:w="6120" w:type="dxa"/>
            <w:tcBorders>
              <w:top w:val="single" w:sz="4" w:space="0" w:color="auto"/>
              <w:left w:val="single" w:sz="4" w:space="0" w:color="auto"/>
              <w:bottom w:val="single" w:sz="4" w:space="0" w:color="auto"/>
              <w:right w:val="single" w:sz="4" w:space="0" w:color="auto"/>
            </w:tcBorders>
          </w:tcPr>
          <w:p w14:paraId="04C40F94" w14:textId="77777777" w:rsidR="002A21AE" w:rsidRDefault="002A21AE">
            <w:pPr>
              <w:pStyle w:val="TableTextBullet"/>
            </w:pPr>
            <w:r>
              <w:t>Compiles and displays the information associated with the user’s selection.</w:t>
            </w:r>
          </w:p>
          <w:p w14:paraId="70964E18" w14:textId="77777777" w:rsidR="002A21AE" w:rsidRDefault="002A21AE">
            <w:pPr>
              <w:pStyle w:val="TableTextBullet"/>
            </w:pPr>
            <w:r>
              <w:t>Displays the patient’s name, ID, date of birth, the unit ID, and the long product name of units to appear on the Caution Tags.</w:t>
            </w:r>
          </w:p>
          <w:p w14:paraId="513EEACD" w14:textId="77777777" w:rsidR="002A21AE" w:rsidRDefault="002A21AE">
            <w:pPr>
              <w:pStyle w:val="TableTextBullet"/>
            </w:pPr>
            <w:r>
              <w:t xml:space="preserve">Prompts the user to select the units when selecting by patient. </w:t>
            </w:r>
          </w:p>
          <w:p w14:paraId="75C28C84" w14:textId="77777777" w:rsidR="002A21AE" w:rsidRDefault="002A21AE">
            <w:pPr>
              <w:pStyle w:val="TableTextBullet"/>
            </w:pPr>
            <w:r>
              <w:t>Allows the user to select and deselect blood units to print.</w:t>
            </w:r>
          </w:p>
          <w:p w14:paraId="4395A02F" w14:textId="32D36F25" w:rsidR="002A21AE" w:rsidRDefault="00896F17">
            <w:pPr>
              <w:pStyle w:val="TableTextBullet"/>
              <w:ind w:left="0" w:firstLine="0"/>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AE2DC1">
              <w:rPr>
                <w:rFonts w:cs="Arial"/>
                <w:szCs w:val="22"/>
              </w:rPr>
              <w:fldChar w:fldCharType="begin"/>
            </w:r>
            <w:r w:rsidR="00AE2DC1">
              <w:rPr>
                <w:rFonts w:cs="Arial"/>
                <w:szCs w:val="22"/>
              </w:rPr>
              <w:instrText xml:space="preserve"> REF _Ref126504208 \h </w:instrText>
            </w:r>
            <w:r w:rsidR="00AE2DC1">
              <w:rPr>
                <w:rFonts w:cs="Arial"/>
                <w:szCs w:val="22"/>
              </w:rPr>
            </w:r>
            <w:r w:rsidR="00AE2DC1">
              <w:rPr>
                <w:rFonts w:cs="Arial"/>
                <w:szCs w:val="22"/>
              </w:rPr>
              <w:fldChar w:fldCharType="separate"/>
            </w:r>
            <w:r w:rsidR="004353ED">
              <w:t xml:space="preserve">Table </w:t>
            </w:r>
            <w:r w:rsidR="004353ED">
              <w:rPr>
                <w:noProof/>
              </w:rPr>
              <w:t>9</w:t>
            </w:r>
            <w:r w:rsidR="00AE2DC1">
              <w:rPr>
                <w:rFonts w:cs="Arial"/>
                <w:szCs w:val="22"/>
              </w:rPr>
              <w:fldChar w:fldCharType="end"/>
            </w:r>
            <w:r w:rsidR="002A21AE">
              <w:rPr>
                <w:rFonts w:cs="Arial"/>
                <w:szCs w:val="22"/>
              </w:rPr>
              <w:t xml:space="preserve"> for alerts that may occur during this option.</w:t>
            </w:r>
          </w:p>
          <w:p w14:paraId="5E2F0B35" w14:textId="77777777" w:rsidR="002A21AE" w:rsidRDefault="002A21AE">
            <w:pPr>
              <w:pStyle w:val="TableText"/>
              <w:rPr>
                <w:b/>
                <w:bCs/>
                <w:szCs w:val="18"/>
              </w:rPr>
            </w:pPr>
          </w:p>
          <w:p w14:paraId="4DCDCBD1" w14:textId="301AA23B" w:rsidR="002A21AE" w:rsidRDefault="002A21AE">
            <w:pPr>
              <w:pStyle w:val="TableText"/>
              <w:rPr>
                <w:b/>
                <w:bCs/>
                <w:szCs w:val="18"/>
              </w:rPr>
            </w:pPr>
            <w:r>
              <w:rPr>
                <w:b/>
                <w:bCs/>
                <w:szCs w:val="18"/>
              </w:rPr>
              <w:t>NOTES</w:t>
            </w:r>
          </w:p>
          <w:p w14:paraId="6B10E96A" w14:textId="77777777" w:rsidR="002A21AE" w:rsidRDefault="002A21AE">
            <w:pPr>
              <w:pStyle w:val="NotesText"/>
            </w:pPr>
          </w:p>
          <w:p w14:paraId="02D77535" w14:textId="77777777" w:rsidR="001710A2" w:rsidRDefault="001710A2" w:rsidP="001710A2">
            <w:pPr>
              <w:pStyle w:val="NotesText"/>
            </w:pPr>
            <w:r>
              <w:rPr>
                <w:rFonts w:cs="Arial"/>
                <w:vanish/>
              </w:rPr>
              <w:t xml:space="preserve">BR_43.21 </w:t>
            </w:r>
            <w:r>
              <w:t>VBECS retrieves the most recent crossmatch result (original or repeat) to determine unit availability and compatibility status to allow printing the Caution Tag and/or BTRF and to allow the unit to be issued.</w:t>
            </w:r>
          </w:p>
          <w:p w14:paraId="1EB822BC" w14:textId="77777777" w:rsidR="001710A2" w:rsidRDefault="001710A2" w:rsidP="001710A2">
            <w:pPr>
              <w:pStyle w:val="NotesText"/>
            </w:pPr>
          </w:p>
          <w:p w14:paraId="19194DC9" w14:textId="77777777" w:rsidR="00AE36CC" w:rsidRDefault="00AE36CC" w:rsidP="00AE36CC">
            <w:pPr>
              <w:pStyle w:val="NotesText"/>
              <w:rPr>
                <w:szCs w:val="18"/>
              </w:rPr>
            </w:pPr>
            <w:r w:rsidRPr="00496E08">
              <w:rPr>
                <w:rFonts w:cs="Arial"/>
                <w:vanish/>
                <w:szCs w:val="18"/>
              </w:rPr>
              <w:t>BR_43.20</w:t>
            </w:r>
            <w:r w:rsidRPr="00496E08">
              <w:rPr>
                <w:vanish/>
                <w:szCs w:val="18"/>
              </w:rPr>
              <w:t xml:space="preserve"> </w:t>
            </w:r>
            <w:r w:rsidRPr="00496E08">
              <w:rPr>
                <w:szCs w:val="18"/>
              </w:rPr>
              <w:t xml:space="preserve">When </w:t>
            </w:r>
            <w:r w:rsidR="002249B4">
              <w:rPr>
                <w:szCs w:val="18"/>
              </w:rPr>
              <w:t>the “Emergency Issue” indicator is present and/or the required ABO/Rh specimen testing is incomplete or inconclusive, enforce the following:</w:t>
            </w:r>
          </w:p>
          <w:p w14:paraId="7AC9C712" w14:textId="77777777" w:rsidR="002249B4" w:rsidRDefault="002249B4" w:rsidP="002249B4">
            <w:pPr>
              <w:pStyle w:val="NotesTextBullet"/>
            </w:pPr>
            <w:r>
              <w:t xml:space="preserve">For RBC or WB order: </w:t>
            </w:r>
          </w:p>
          <w:p w14:paraId="29E70071" w14:textId="77777777" w:rsidR="002249B4" w:rsidRDefault="002249B4" w:rsidP="002249B4">
            <w:pPr>
              <w:pStyle w:val="NotesTextBullet1"/>
            </w:pPr>
            <w:r>
              <w:t>Group O, Rh positive or O Rh negative RBC</w:t>
            </w:r>
          </w:p>
          <w:p w14:paraId="1E08AF1E" w14:textId="77777777" w:rsidR="002249B4" w:rsidRDefault="002249B4" w:rsidP="002249B4">
            <w:pPr>
              <w:pStyle w:val="NotesTextBullet1"/>
            </w:pPr>
            <w:r>
              <w:t>WHOLE BLOOD is not selectable</w:t>
            </w:r>
          </w:p>
          <w:p w14:paraId="4E32D0FD" w14:textId="77777777" w:rsidR="002249B4" w:rsidRDefault="002249B4" w:rsidP="002249B4">
            <w:pPr>
              <w:pStyle w:val="NotesTextBullet"/>
            </w:pPr>
            <w:r>
              <w:t>For FFP order:</w:t>
            </w:r>
          </w:p>
          <w:p w14:paraId="0E885181" w14:textId="77777777" w:rsidR="002249B4" w:rsidRDefault="002249B4" w:rsidP="002249B4">
            <w:pPr>
              <w:pStyle w:val="NotesTextBullet1"/>
            </w:pPr>
            <w:r>
              <w:t>Group AB, Rh positive or Rh negative, or not specified.</w:t>
            </w:r>
          </w:p>
          <w:p w14:paraId="1EAB824E" w14:textId="77777777" w:rsidR="002249B4" w:rsidRDefault="002249B4" w:rsidP="002249B4">
            <w:pPr>
              <w:pStyle w:val="NotesTextBullet"/>
            </w:pPr>
            <w:r>
              <w:t>For PLT order:</w:t>
            </w:r>
          </w:p>
          <w:p w14:paraId="34B2A5E8" w14:textId="77777777" w:rsidR="002249B4" w:rsidRDefault="002249B4" w:rsidP="002249B4">
            <w:pPr>
              <w:pStyle w:val="NotesTextBullet1"/>
            </w:pPr>
            <w:r>
              <w:t>All units with &lt; 2 ML RBC containment are available</w:t>
            </w:r>
          </w:p>
          <w:p w14:paraId="44937844" w14:textId="77777777" w:rsidR="002249B4" w:rsidRDefault="002249B4" w:rsidP="002249B4">
            <w:pPr>
              <w:pStyle w:val="NotesTextBullet1"/>
            </w:pPr>
            <w:r>
              <w:t>Units</w:t>
            </w:r>
            <w:r w:rsidRPr="001A5BC5">
              <w:t xml:space="preserve"> with </w:t>
            </w:r>
            <w:r w:rsidRPr="001A5BC5">
              <w:rPr>
                <w:u w:val="single"/>
              </w:rPr>
              <w:t>&gt;</w:t>
            </w:r>
            <w:r w:rsidRPr="001A5BC5">
              <w:t xml:space="preserve"> 2 mL RBC contamination are not available</w:t>
            </w:r>
          </w:p>
          <w:p w14:paraId="6879B160" w14:textId="77777777" w:rsidR="002249B4" w:rsidRDefault="002249B4" w:rsidP="002249B4">
            <w:pPr>
              <w:pStyle w:val="NotesTextBullet"/>
            </w:pPr>
            <w:r>
              <w:t>For CRYO order:</w:t>
            </w:r>
          </w:p>
          <w:p w14:paraId="1F96A690" w14:textId="77777777" w:rsidR="002249B4" w:rsidRDefault="002249B4" w:rsidP="002249B4">
            <w:pPr>
              <w:pStyle w:val="NotesTextBullet1"/>
            </w:pPr>
            <w:r>
              <w:t>All available units are selectable</w:t>
            </w:r>
          </w:p>
          <w:p w14:paraId="7180B15C" w14:textId="77777777" w:rsidR="002249B4" w:rsidRDefault="002249B4" w:rsidP="002249B4">
            <w:pPr>
              <w:pStyle w:val="NotesTextBullet1"/>
              <w:numPr>
                <w:ilvl w:val="0"/>
                <w:numId w:val="0"/>
              </w:numPr>
              <w:ind w:left="1296" w:hanging="288"/>
            </w:pPr>
            <w:r>
              <w:t>For OTHER order:</w:t>
            </w:r>
          </w:p>
          <w:p w14:paraId="71210876" w14:textId="77777777" w:rsidR="002249B4" w:rsidRDefault="002249B4" w:rsidP="002249B4">
            <w:pPr>
              <w:pStyle w:val="NotesTextBullet1"/>
            </w:pPr>
            <w:r>
              <w:t>All units with &lt; 2 mL contamination are available</w:t>
            </w:r>
          </w:p>
          <w:p w14:paraId="1B4E8264" w14:textId="77777777" w:rsidR="002249B4" w:rsidRDefault="002249B4" w:rsidP="002249B4">
            <w:pPr>
              <w:pStyle w:val="NotesTextBullet1"/>
              <w:rPr>
                <w:szCs w:val="18"/>
              </w:rPr>
            </w:pPr>
            <w:r>
              <w:t xml:space="preserve">Units with </w:t>
            </w:r>
            <w:r w:rsidRPr="001A5BC5">
              <w:rPr>
                <w:u w:val="single"/>
              </w:rPr>
              <w:t>&gt;</w:t>
            </w:r>
            <w:r w:rsidRPr="001A5BC5">
              <w:t xml:space="preserve"> 2 mL RBC contamination are not available</w:t>
            </w:r>
          </w:p>
          <w:p w14:paraId="2DED02FB" w14:textId="77777777" w:rsidR="002249B4" w:rsidRPr="00496E08" w:rsidRDefault="002249B4" w:rsidP="00AE36CC">
            <w:pPr>
              <w:pStyle w:val="NotesText"/>
              <w:rPr>
                <w:szCs w:val="18"/>
              </w:rPr>
            </w:pPr>
          </w:p>
          <w:p w14:paraId="78982A0D" w14:textId="77777777" w:rsidR="001710A2" w:rsidRPr="00496E08" w:rsidRDefault="00496E08" w:rsidP="001710A2">
            <w:pPr>
              <w:pStyle w:val="NotesText"/>
              <w:rPr>
                <w:szCs w:val="18"/>
              </w:rPr>
            </w:pPr>
            <w:r w:rsidRPr="00496E08">
              <w:rPr>
                <w:vanish/>
                <w:szCs w:val="18"/>
              </w:rPr>
              <w:t xml:space="preserve">BR_43.13 </w:t>
            </w:r>
            <w:r w:rsidRPr="00496E08">
              <w:rPr>
                <w:szCs w:val="18"/>
              </w:rPr>
              <w:t xml:space="preserve">When a user selects a Caution Tag and/or BTRF from the Blood Unit Menu and the units are assigned or </w:t>
            </w:r>
            <w:r w:rsidR="00A2206D">
              <w:rPr>
                <w:szCs w:val="18"/>
              </w:rPr>
              <w:t xml:space="preserve">have been assigned and/or </w:t>
            </w:r>
            <w:r w:rsidRPr="00496E08">
              <w:rPr>
                <w:szCs w:val="18"/>
              </w:rPr>
              <w:t>crossmatched to multiple patients, the selected form may be printed for only one patient during that session. The message will display that the form cannot be printed again for another assigned patient. VBECS must be closed and re-opened to print a tag for one of the other patients. If you need to print tags on the same unit for multiple assigned patients, access the option from the Patient Menu.</w:t>
            </w:r>
            <w:r w:rsidR="00A2206D">
              <w:rPr>
                <w:szCs w:val="18"/>
              </w:rPr>
              <w:t xml:space="preserve"> </w:t>
            </w:r>
            <w:r w:rsidR="00A2206D" w:rsidRPr="00A2206D">
              <w:rPr>
                <w:vanish/>
                <w:szCs w:val="18"/>
              </w:rPr>
              <w:t>INC000000997296</w:t>
            </w:r>
          </w:p>
          <w:p w14:paraId="009230E2" w14:textId="77777777" w:rsidR="00496E08" w:rsidRDefault="00496E08" w:rsidP="001710A2">
            <w:pPr>
              <w:pStyle w:val="NotesText"/>
            </w:pPr>
          </w:p>
          <w:p w14:paraId="036A00D5" w14:textId="77777777" w:rsidR="001710A2" w:rsidRDefault="001710A2" w:rsidP="001710A2">
            <w:pPr>
              <w:pStyle w:val="NotesText"/>
            </w:pPr>
            <w:r>
              <w:rPr>
                <w:rFonts w:cs="Arial"/>
                <w:vanish/>
              </w:rPr>
              <w:t xml:space="preserve">BR_43.01 </w:t>
            </w:r>
            <w:r>
              <w:t>When VBECS searches for units available for a patient name, it makes available for printing only units considered available for issue (standard processing or emergency issue).</w:t>
            </w:r>
          </w:p>
          <w:p w14:paraId="14AE9DBC" w14:textId="77777777" w:rsidR="001710A2" w:rsidRDefault="001710A2" w:rsidP="001710A2">
            <w:pPr>
              <w:pStyle w:val="NotesText"/>
            </w:pPr>
          </w:p>
          <w:p w14:paraId="09E5F6AC" w14:textId="0ACE42F2" w:rsidR="002A21AE" w:rsidRDefault="001710A2" w:rsidP="001710A2">
            <w:pPr>
              <w:pStyle w:val="NotesText"/>
            </w:pPr>
            <w:r>
              <w:lastRenderedPageBreak/>
              <w:t xml:space="preserve">See </w:t>
            </w:r>
            <w:r>
              <w:fldChar w:fldCharType="begin"/>
            </w:r>
            <w:r>
              <w:instrText xml:space="preserve"> REF _Ref170004931 \h </w:instrText>
            </w:r>
            <w:r>
              <w:fldChar w:fldCharType="separate"/>
            </w:r>
            <w:r w:rsidR="004353ED">
              <w:t xml:space="preserve">Appendix </w:t>
            </w:r>
            <w:r w:rsidR="004353ED">
              <w:rPr>
                <w:noProof/>
              </w:rPr>
              <w:t>B</w:t>
            </w:r>
            <w:r>
              <w:fldChar w:fldCharType="end"/>
            </w:r>
            <w:r>
              <w:t xml:space="preserve">: </w:t>
            </w:r>
            <w:r>
              <w:fldChar w:fldCharType="begin"/>
            </w:r>
            <w:r>
              <w:instrText xml:space="preserve"> REF _Ref317762597 \h </w:instrText>
            </w:r>
            <w:r>
              <w:fldChar w:fldCharType="separate"/>
            </w:r>
            <w:r w:rsidR="004353ED">
              <w:t xml:space="preserve">Table </w:t>
            </w:r>
            <w:r w:rsidR="004353ED">
              <w:rPr>
                <w:noProof/>
              </w:rPr>
              <w:t>23</w:t>
            </w:r>
            <w:r w:rsidR="004353ED">
              <w:t xml:space="preserve">: </w:t>
            </w:r>
            <w:r w:rsidR="004353ED">
              <w:rPr>
                <w:vanish/>
              </w:rPr>
              <w:t xml:space="preserve">TT_3.05 </w:t>
            </w:r>
            <w:r w:rsidR="004353ED">
              <w:t>Rules for Electronic and Serologic Crossmatch</w:t>
            </w:r>
            <w:r>
              <w:fldChar w:fldCharType="end"/>
            </w:r>
            <w:r w:rsidR="004E5EEE">
              <w:t xml:space="preserve"> </w:t>
            </w:r>
            <w:r>
              <w:rPr>
                <w:vanish/>
              </w:rPr>
              <w:t>and BR_5.03</w:t>
            </w:r>
            <w:r>
              <w:t xml:space="preserve">. The user may select only active units and those not in an inactive or final status. See </w:t>
            </w:r>
            <w:r>
              <w:fldChar w:fldCharType="begin"/>
            </w:r>
            <w:r>
              <w:instrText xml:space="preserve"> REF _Ref170004931 \h </w:instrText>
            </w:r>
            <w:r>
              <w:fldChar w:fldCharType="separate"/>
            </w:r>
            <w:r w:rsidR="004353ED">
              <w:t xml:space="preserve">Appendix </w:t>
            </w:r>
            <w:r w:rsidR="004353ED">
              <w:rPr>
                <w:noProof/>
              </w:rPr>
              <w:t>B</w:t>
            </w:r>
            <w:r>
              <w:fldChar w:fldCharType="end"/>
            </w:r>
            <w:r>
              <w:t xml:space="preserve">: </w:t>
            </w:r>
            <w:r>
              <w:fldChar w:fldCharType="begin"/>
            </w:r>
            <w:r>
              <w:instrText xml:space="preserve"> REF _Ref126467968 \h </w:instrText>
            </w:r>
            <w:r>
              <w:fldChar w:fldCharType="separate"/>
            </w:r>
            <w:r w:rsidR="004353ED">
              <w:t xml:space="preserve">Figure </w:t>
            </w:r>
            <w:r w:rsidR="004353ED">
              <w:rPr>
                <w:noProof/>
              </w:rPr>
              <w:t>148</w:t>
            </w:r>
            <w:r>
              <w:fldChar w:fldCharType="end"/>
            </w:r>
            <w:r>
              <w:t xml:space="preserve">: </w:t>
            </w:r>
            <w:r>
              <w:rPr>
                <w:vanish/>
                <w:szCs w:val="18"/>
              </w:rPr>
              <w:t xml:space="preserve">TT_27.01 </w:t>
            </w:r>
            <w:r>
              <w:t>Unit Status Flowchart.</w:t>
            </w:r>
          </w:p>
        </w:tc>
      </w:tr>
      <w:tr w:rsidR="002A21AE" w14:paraId="64892D3C" w14:textId="77777777">
        <w:tc>
          <w:tcPr>
            <w:tcW w:w="3240" w:type="dxa"/>
          </w:tcPr>
          <w:p w14:paraId="430E006D" w14:textId="77777777" w:rsidR="002A21AE" w:rsidRDefault="002A21AE">
            <w:pPr>
              <w:pStyle w:val="TableTextNumbers"/>
            </w:pPr>
            <w:r>
              <w:lastRenderedPageBreak/>
              <w:t>Acknowledge the selected patient and blood units for printing.</w:t>
            </w:r>
          </w:p>
          <w:p w14:paraId="0B3336B5" w14:textId="77777777" w:rsidR="002A21AE" w:rsidRDefault="002A21AE">
            <w:pPr>
              <w:pStyle w:val="TableTextNumbersContinued"/>
              <w:rPr>
                <w:b/>
                <w:bCs/>
              </w:rPr>
            </w:pPr>
          </w:p>
          <w:p w14:paraId="46C680D1" w14:textId="77777777" w:rsidR="002A21AE" w:rsidRDefault="002A21AE">
            <w:pPr>
              <w:pStyle w:val="TableTextNumbersContinued"/>
            </w:pPr>
            <w:r>
              <w:t xml:space="preserve">Click </w:t>
            </w:r>
            <w:r>
              <w:rPr>
                <w:b/>
              </w:rPr>
              <w:t>Print Unit Caution Tag</w:t>
            </w:r>
            <w:r>
              <w:t xml:space="preserve">, </w:t>
            </w:r>
            <w:r>
              <w:rPr>
                <w:b/>
              </w:rPr>
              <w:t>Print Transfusion Record Form</w:t>
            </w:r>
            <w:r>
              <w:t xml:space="preserve">, or </w:t>
            </w:r>
            <w:r>
              <w:rPr>
                <w:b/>
              </w:rPr>
              <w:t>Print Both</w:t>
            </w:r>
            <w:r>
              <w:t>.</w:t>
            </w:r>
          </w:p>
          <w:p w14:paraId="48489B35" w14:textId="77777777" w:rsidR="002A21AE" w:rsidRDefault="002A21AE">
            <w:pPr>
              <w:pStyle w:val="TableTextNumbersContinued"/>
            </w:pPr>
          </w:p>
          <w:p w14:paraId="24770C75" w14:textId="77777777" w:rsidR="002A21AE" w:rsidRDefault="002A21AE">
            <w:pPr>
              <w:pStyle w:val="TableTextNumbersContinued"/>
            </w:pPr>
            <w:r>
              <w:t xml:space="preserve">Click </w:t>
            </w:r>
            <w:r>
              <w:rPr>
                <w:b/>
              </w:rPr>
              <w:t>OK</w:t>
            </w:r>
            <w:r>
              <w:t xml:space="preserve"> to confirm and exit.</w:t>
            </w:r>
          </w:p>
        </w:tc>
        <w:tc>
          <w:tcPr>
            <w:tcW w:w="6120" w:type="dxa"/>
          </w:tcPr>
          <w:p w14:paraId="0625B3EF" w14:textId="77777777" w:rsidR="002A21AE" w:rsidRDefault="002A21AE">
            <w:pPr>
              <w:pStyle w:val="TableTextBullet"/>
            </w:pPr>
            <w:r>
              <w:t>Displays an option to print the Caution Tag and BTRF for units with a patient assignment.</w:t>
            </w:r>
          </w:p>
          <w:p w14:paraId="6F74799D" w14:textId="77777777" w:rsidR="002A21AE" w:rsidRDefault="002A21AE">
            <w:pPr>
              <w:pStyle w:val="TableTextBullet"/>
            </w:pPr>
            <w:r>
              <w:rPr>
                <w:rFonts w:cs="Arial"/>
                <w:vanish/>
              </w:rPr>
              <w:t xml:space="preserve">BR_43.05 </w:t>
            </w:r>
            <w:r>
              <w:t xml:space="preserve">Generates a separate Caution Tag and BTRF for each blood unit. </w:t>
            </w:r>
          </w:p>
          <w:p w14:paraId="626A792A" w14:textId="77777777" w:rsidR="002A21AE" w:rsidRDefault="002A21AE">
            <w:pPr>
              <w:pStyle w:val="TableText"/>
            </w:pPr>
          </w:p>
          <w:p w14:paraId="29B72749" w14:textId="08CE90F9" w:rsidR="002A21AE" w:rsidRDefault="002A21AE">
            <w:pPr>
              <w:pStyle w:val="TableText"/>
              <w:rPr>
                <w:b/>
                <w:bCs/>
                <w:szCs w:val="18"/>
              </w:rPr>
            </w:pPr>
            <w:r>
              <w:rPr>
                <w:b/>
                <w:bCs/>
                <w:szCs w:val="18"/>
              </w:rPr>
              <w:t>NOTES</w:t>
            </w:r>
          </w:p>
          <w:p w14:paraId="726AEBFD" w14:textId="3896C392" w:rsidR="002A21AE" w:rsidRPr="002B3455" w:rsidRDefault="006911FF" w:rsidP="00202A1E">
            <w:pPr>
              <w:pStyle w:val="NotesText"/>
            </w:pPr>
            <w:r w:rsidRPr="00737DBB">
              <w:t xml:space="preserve">If a VBECS system error occurs when a Caution Tag is requested, the printer may not be correctly configured. Configure the printer as detailed in the </w:t>
            </w:r>
            <w:r w:rsidR="00392837" w:rsidRPr="00B03BDD">
              <w:rPr>
                <w:i/>
              </w:rPr>
              <w:t>VistA Blood Establishment Computer Soft</w:t>
            </w:r>
            <w:r w:rsidR="00B03BDD" w:rsidRPr="00B03BDD">
              <w:rPr>
                <w:i/>
              </w:rPr>
              <w:t>ware (VBECS) 2.3.</w:t>
            </w:r>
            <w:r w:rsidR="00AD5990">
              <w:rPr>
                <w:i/>
              </w:rPr>
              <w:t>2</w:t>
            </w:r>
            <w:r w:rsidR="00392837" w:rsidRPr="00B03BDD">
              <w:rPr>
                <w:i/>
              </w:rPr>
              <w:t xml:space="preserve"> Technical Manual-Security Guide</w:t>
            </w:r>
            <w:r w:rsidR="00E36641">
              <w:t>,</w:t>
            </w:r>
            <w:r w:rsidR="00392837" w:rsidRPr="002B3455">
              <w:t xml:space="preserve"> </w:t>
            </w:r>
            <w:r w:rsidRPr="002B3455">
              <w:t>with subsequent</w:t>
            </w:r>
            <w:r w:rsidR="00392837" w:rsidRPr="002B3455">
              <w:t xml:space="preserve"> testing</w:t>
            </w:r>
            <w:r w:rsidRPr="002B3455">
              <w:t>.</w:t>
            </w:r>
            <w:r w:rsidR="00730CAA">
              <w:t xml:space="preserve"> </w:t>
            </w:r>
            <w:r w:rsidR="00730CAA" w:rsidRPr="00730CAA">
              <w:rPr>
                <w:vanish/>
              </w:rPr>
              <w:t>Defect 208592</w:t>
            </w:r>
          </w:p>
          <w:p w14:paraId="0AEC4C43" w14:textId="77777777" w:rsidR="00392837" w:rsidRDefault="00392837">
            <w:pPr>
              <w:pStyle w:val="NotesText"/>
            </w:pPr>
          </w:p>
          <w:p w14:paraId="263669DA" w14:textId="77777777" w:rsidR="002A21AE" w:rsidRDefault="002A21AE">
            <w:pPr>
              <w:pStyle w:val="NotesText"/>
            </w:pPr>
            <w:r>
              <w:rPr>
                <w:rFonts w:cs="Arial"/>
                <w:vanish/>
              </w:rPr>
              <w:t xml:space="preserve">BR_43.04 </w:t>
            </w:r>
            <w:r>
              <w:t xml:space="preserve">When a Caution Tag or BTRF is printed for an emergency-issued unit, “Emergency Issue” is included on the form. </w:t>
            </w:r>
          </w:p>
          <w:p w14:paraId="10879CED" w14:textId="77777777" w:rsidR="002A21AE" w:rsidRDefault="002A21AE">
            <w:pPr>
              <w:pStyle w:val="NotesText"/>
            </w:pPr>
          </w:p>
          <w:p w14:paraId="3D9BE393" w14:textId="77777777" w:rsidR="002A21AE" w:rsidRDefault="002A21AE">
            <w:pPr>
              <w:pStyle w:val="NotesText"/>
            </w:pPr>
            <w:r>
              <w:t>The recipient ABO/Rh prints as “</w:t>
            </w:r>
            <w:r w:rsidR="00F81F1E">
              <w:t>Unk</w:t>
            </w:r>
            <w:r>
              <w:t>”</w:t>
            </w:r>
            <w:r w:rsidR="00F81F1E">
              <w:t xml:space="preserve"> or “Unknown”</w:t>
            </w:r>
            <w:r>
              <w:t xml:space="preserve"> during emergency issue when no current specimen results are on file; VBECS may </w:t>
            </w:r>
            <w:r>
              <w:rPr>
                <w:iCs/>
              </w:rPr>
              <w:t>not</w:t>
            </w:r>
            <w:r>
              <w:t xml:space="preserve"> use a historic record blood type (from any source) for the typing printed on the tag/form.</w:t>
            </w:r>
          </w:p>
          <w:p w14:paraId="20765014" w14:textId="77777777" w:rsidR="002A21AE" w:rsidRDefault="002A21AE">
            <w:pPr>
              <w:pStyle w:val="NotesText"/>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2705"/>
            </w:tblGrid>
            <w:tr w:rsidR="002A21AE" w14:paraId="29093EB6" w14:textId="77777777">
              <w:trPr>
                <w:tblHeader/>
              </w:trPr>
              <w:tc>
                <w:tcPr>
                  <w:tcW w:w="2335" w:type="dxa"/>
                  <w:shd w:val="clear" w:color="auto" w:fill="B3B3B3"/>
                  <w:vAlign w:val="bottom"/>
                </w:tcPr>
                <w:p w14:paraId="75EAC24A" w14:textId="77777777" w:rsidR="002A21AE" w:rsidRDefault="002A21AE">
                  <w:pPr>
                    <w:pStyle w:val="TableText"/>
                    <w:jc w:val="center"/>
                    <w:rPr>
                      <w:b/>
                    </w:rPr>
                  </w:pPr>
                  <w:r>
                    <w:rPr>
                      <w:b/>
                    </w:rPr>
                    <w:t>Compatibility Interpretation</w:t>
                  </w:r>
                </w:p>
              </w:tc>
              <w:tc>
                <w:tcPr>
                  <w:tcW w:w="2705" w:type="dxa"/>
                  <w:shd w:val="clear" w:color="auto" w:fill="B3B3B3"/>
                  <w:vAlign w:val="bottom"/>
                </w:tcPr>
                <w:p w14:paraId="4A2C8579" w14:textId="77777777" w:rsidR="002A21AE" w:rsidRDefault="002A21AE">
                  <w:pPr>
                    <w:pStyle w:val="TableText"/>
                    <w:jc w:val="center"/>
                    <w:rPr>
                      <w:b/>
                    </w:rPr>
                  </w:pPr>
                  <w:r>
                    <w:rPr>
                      <w:b/>
                    </w:rPr>
                    <w:t>Text on BTRF</w:t>
                  </w:r>
                </w:p>
              </w:tc>
            </w:tr>
            <w:tr w:rsidR="002A21AE" w14:paraId="57743577" w14:textId="77777777">
              <w:tc>
                <w:tcPr>
                  <w:tcW w:w="2335" w:type="dxa"/>
                  <w:vAlign w:val="bottom"/>
                </w:tcPr>
                <w:p w14:paraId="62B79818" w14:textId="77777777" w:rsidR="002A21AE" w:rsidRDefault="002A21AE">
                  <w:pPr>
                    <w:pStyle w:val="TableText"/>
                  </w:pPr>
                  <w:r>
                    <w:t>Crossmatch</w:t>
                  </w:r>
                </w:p>
              </w:tc>
              <w:tc>
                <w:tcPr>
                  <w:tcW w:w="2705" w:type="dxa"/>
                  <w:vAlign w:val="bottom"/>
                </w:tcPr>
                <w:p w14:paraId="3852B19A" w14:textId="77777777" w:rsidR="002A21AE" w:rsidRDefault="000664AE">
                  <w:pPr>
                    <w:pStyle w:val="TableText"/>
                  </w:pPr>
                  <w:r>
                    <w:t>TESTING INCOMPLETE</w:t>
                  </w:r>
                </w:p>
              </w:tc>
            </w:tr>
            <w:tr w:rsidR="002A21AE" w14:paraId="4EE02B21" w14:textId="77777777">
              <w:tc>
                <w:tcPr>
                  <w:tcW w:w="2335" w:type="dxa"/>
                  <w:vAlign w:val="bottom"/>
                </w:tcPr>
                <w:p w14:paraId="2033EBE0" w14:textId="77777777" w:rsidR="002A21AE" w:rsidRDefault="002A21AE">
                  <w:pPr>
                    <w:pStyle w:val="TableText"/>
                  </w:pPr>
                  <w:r>
                    <w:t>Crossmatch Not Required</w:t>
                  </w:r>
                </w:p>
              </w:tc>
              <w:tc>
                <w:tcPr>
                  <w:tcW w:w="2705" w:type="dxa"/>
                  <w:vAlign w:val="bottom"/>
                </w:tcPr>
                <w:p w14:paraId="02ECBB75" w14:textId="77777777" w:rsidR="002A21AE" w:rsidRDefault="002A21AE">
                  <w:pPr>
                    <w:pStyle w:val="TableText"/>
                  </w:pPr>
                  <w:r>
                    <w:t>Not Required</w:t>
                  </w:r>
                </w:p>
              </w:tc>
            </w:tr>
          </w:tbl>
          <w:p w14:paraId="08E3709A" w14:textId="77777777" w:rsidR="002A21AE" w:rsidRDefault="002A21AE">
            <w:pPr>
              <w:pStyle w:val="NotesText"/>
            </w:pPr>
          </w:p>
          <w:p w14:paraId="186385BC" w14:textId="77777777" w:rsidR="002A21AE" w:rsidRDefault="002A21AE">
            <w:pPr>
              <w:pStyle w:val="NotesText"/>
            </w:pPr>
            <w:r>
              <w:t>VBECS prints “Emergency Issue” in the TR section of the form.</w:t>
            </w:r>
          </w:p>
          <w:p w14:paraId="3D0E4335" w14:textId="77777777" w:rsidR="002A21AE" w:rsidRDefault="002A21AE">
            <w:pPr>
              <w:pStyle w:val="NotesText"/>
              <w:ind w:left="0"/>
            </w:pPr>
          </w:p>
          <w:p w14:paraId="67350DC9" w14:textId="77777777" w:rsidR="002A21AE" w:rsidRDefault="002A21AE">
            <w:pPr>
              <w:pStyle w:val="NotesText"/>
            </w:pPr>
            <w:r>
              <w:rPr>
                <w:rFonts w:cs="Arial"/>
                <w:vanish/>
              </w:rPr>
              <w:t xml:space="preserve">BR_43.03 </w:t>
            </w:r>
            <w:r>
              <w:t>The text that appears in the compatibility section is based on the crossmatch interpretation applied.</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2705"/>
            </w:tblGrid>
            <w:tr w:rsidR="00B752FE" w14:paraId="18D8BF46" w14:textId="77777777" w:rsidTr="00DD6A38">
              <w:trPr>
                <w:tblHeader/>
              </w:trPr>
              <w:tc>
                <w:tcPr>
                  <w:tcW w:w="2335" w:type="dxa"/>
                  <w:shd w:val="clear" w:color="auto" w:fill="B3B3B3"/>
                  <w:vAlign w:val="bottom"/>
                </w:tcPr>
                <w:p w14:paraId="795EC76F" w14:textId="77777777" w:rsidR="00B752FE" w:rsidRDefault="00B752FE" w:rsidP="00DD6A38">
                  <w:pPr>
                    <w:pStyle w:val="TableText"/>
                    <w:jc w:val="center"/>
                    <w:rPr>
                      <w:b/>
                    </w:rPr>
                  </w:pPr>
                  <w:r>
                    <w:rPr>
                      <w:b/>
                    </w:rPr>
                    <w:t>Compatibility Interpretation</w:t>
                  </w:r>
                </w:p>
              </w:tc>
              <w:tc>
                <w:tcPr>
                  <w:tcW w:w="2705" w:type="dxa"/>
                  <w:shd w:val="clear" w:color="auto" w:fill="B3B3B3"/>
                  <w:vAlign w:val="bottom"/>
                </w:tcPr>
                <w:p w14:paraId="4415F159" w14:textId="77777777" w:rsidR="00B752FE" w:rsidRDefault="00B752FE" w:rsidP="00DD6A38">
                  <w:pPr>
                    <w:pStyle w:val="TableText"/>
                    <w:jc w:val="center"/>
                    <w:rPr>
                      <w:b/>
                    </w:rPr>
                  </w:pPr>
                  <w:r>
                    <w:rPr>
                      <w:b/>
                    </w:rPr>
                    <w:t>Text on BTRF</w:t>
                  </w:r>
                </w:p>
              </w:tc>
            </w:tr>
            <w:tr w:rsidR="00B752FE" w14:paraId="7DD01322" w14:textId="77777777" w:rsidTr="00DD6A38">
              <w:tc>
                <w:tcPr>
                  <w:tcW w:w="2335" w:type="dxa"/>
                  <w:vAlign w:val="bottom"/>
                </w:tcPr>
                <w:p w14:paraId="4E2E8F09" w14:textId="77777777" w:rsidR="00B752FE" w:rsidRDefault="00B752FE" w:rsidP="00DD6A38">
                  <w:pPr>
                    <w:pStyle w:val="TableText"/>
                  </w:pPr>
                  <w:r>
                    <w:t>Crossmatch Compatible</w:t>
                  </w:r>
                </w:p>
              </w:tc>
              <w:tc>
                <w:tcPr>
                  <w:tcW w:w="2705" w:type="dxa"/>
                  <w:vAlign w:val="bottom"/>
                </w:tcPr>
                <w:p w14:paraId="6B32255B" w14:textId="77777777" w:rsidR="00B752FE" w:rsidRDefault="00B752FE" w:rsidP="00DD6A38">
                  <w:pPr>
                    <w:pStyle w:val="TableText"/>
                  </w:pPr>
                  <w:r>
                    <w:t>Compatible</w:t>
                  </w:r>
                </w:p>
              </w:tc>
            </w:tr>
            <w:tr w:rsidR="00B752FE" w14:paraId="00D525BE" w14:textId="77777777" w:rsidTr="00DD6A38">
              <w:tc>
                <w:tcPr>
                  <w:tcW w:w="2335" w:type="dxa"/>
                  <w:vAlign w:val="bottom"/>
                </w:tcPr>
                <w:p w14:paraId="327B01F4" w14:textId="77777777" w:rsidR="00B752FE" w:rsidRDefault="00B752FE" w:rsidP="00DD6A38">
                  <w:pPr>
                    <w:pStyle w:val="TableText"/>
                  </w:pPr>
                  <w:r>
                    <w:t>Compatible: Electronically Crossmatched</w:t>
                  </w:r>
                </w:p>
              </w:tc>
              <w:tc>
                <w:tcPr>
                  <w:tcW w:w="2705" w:type="dxa"/>
                  <w:vAlign w:val="bottom"/>
                </w:tcPr>
                <w:p w14:paraId="3406B832" w14:textId="77777777" w:rsidR="00B752FE" w:rsidRDefault="00B752FE" w:rsidP="00DD6A38">
                  <w:pPr>
                    <w:pStyle w:val="TableText"/>
                  </w:pPr>
                  <w:r>
                    <w:t>Compatible</w:t>
                  </w:r>
                </w:p>
              </w:tc>
            </w:tr>
            <w:tr w:rsidR="00B752FE" w14:paraId="40D41358" w14:textId="77777777" w:rsidTr="00DD6A38">
              <w:tc>
                <w:tcPr>
                  <w:tcW w:w="2335" w:type="dxa"/>
                  <w:vAlign w:val="bottom"/>
                </w:tcPr>
                <w:p w14:paraId="0C1599C2" w14:textId="77777777" w:rsidR="00B752FE" w:rsidRDefault="00B752FE" w:rsidP="00DD6A38">
                  <w:pPr>
                    <w:pStyle w:val="TableText"/>
                  </w:pPr>
                  <w:r>
                    <w:t>Crossmatch Not Required</w:t>
                  </w:r>
                </w:p>
              </w:tc>
              <w:tc>
                <w:tcPr>
                  <w:tcW w:w="2705" w:type="dxa"/>
                  <w:vAlign w:val="bottom"/>
                </w:tcPr>
                <w:p w14:paraId="33B84FA4" w14:textId="77777777" w:rsidR="00B752FE" w:rsidRDefault="00B752FE" w:rsidP="00DD6A38">
                  <w:pPr>
                    <w:pStyle w:val="TableText"/>
                  </w:pPr>
                  <w:r>
                    <w:t>Not Applicable</w:t>
                  </w:r>
                </w:p>
              </w:tc>
            </w:tr>
            <w:tr w:rsidR="00B752FE" w14:paraId="10505A60" w14:textId="77777777" w:rsidTr="00DD6A38">
              <w:tc>
                <w:tcPr>
                  <w:tcW w:w="2335" w:type="dxa"/>
                  <w:vAlign w:val="bottom"/>
                </w:tcPr>
                <w:p w14:paraId="22F6E11D" w14:textId="77777777" w:rsidR="00B752FE" w:rsidRDefault="00B752FE" w:rsidP="00DD6A38">
                  <w:pPr>
                    <w:pStyle w:val="TableText"/>
                  </w:pPr>
                  <w:r>
                    <w:t>Crossmatch Incompatible: Give only with Medical Director Approval</w:t>
                  </w:r>
                </w:p>
              </w:tc>
              <w:tc>
                <w:tcPr>
                  <w:tcW w:w="2705" w:type="dxa"/>
                  <w:vAlign w:val="bottom"/>
                </w:tcPr>
                <w:p w14:paraId="7426D1ED" w14:textId="77777777" w:rsidR="00B752FE" w:rsidRDefault="00B752FE" w:rsidP="00DD6A38">
                  <w:pPr>
                    <w:pStyle w:val="TableText"/>
                  </w:pPr>
                  <w:r>
                    <w:t>Incompatible: Given with Medical Director Approval</w:t>
                  </w:r>
                </w:p>
              </w:tc>
            </w:tr>
          </w:tbl>
          <w:p w14:paraId="75A7D04A" w14:textId="77777777" w:rsidR="00B752FE" w:rsidRDefault="00B752FE">
            <w:pPr>
              <w:pStyle w:val="NotesText"/>
            </w:pPr>
          </w:p>
          <w:p w14:paraId="41EEA8A9" w14:textId="77777777" w:rsidR="00B752FE" w:rsidRDefault="00B752FE" w:rsidP="00B752FE">
            <w:pPr>
              <w:pStyle w:val="NotesText"/>
            </w:pPr>
            <w:r w:rsidRPr="00B752FE">
              <w:rPr>
                <w:vanish/>
              </w:rPr>
              <w:t xml:space="preserve">BR_44.01 </w:t>
            </w:r>
            <w:r>
              <w:t xml:space="preserve">The printed form has two general areas, one for patient and unit identification, and another to document the transfusion. </w:t>
            </w:r>
          </w:p>
          <w:p w14:paraId="7BC925F2" w14:textId="77777777" w:rsidR="00B752FE" w:rsidRDefault="00B752FE" w:rsidP="00B752FE">
            <w:pPr>
              <w:pStyle w:val="NotesText"/>
            </w:pPr>
          </w:p>
          <w:p w14:paraId="6EC1AAD9" w14:textId="77777777" w:rsidR="00B752FE" w:rsidRDefault="00B752FE" w:rsidP="00B752FE">
            <w:pPr>
              <w:pStyle w:val="NotesText"/>
            </w:pPr>
            <w:r w:rsidRPr="00B752FE">
              <w:rPr>
                <w:vanish/>
              </w:rPr>
              <w:t xml:space="preserve">BR_44.01 </w:t>
            </w:r>
            <w:r>
              <w:t>Information that appears on the form follows. All information is provided by VBECS unless stated. Information matching the caution tag will be printed to look alike for the users on both forms.</w:t>
            </w:r>
          </w:p>
          <w:p w14:paraId="16C44371" w14:textId="77777777" w:rsidR="00B752FE" w:rsidRPr="00152053" w:rsidRDefault="00B752FE" w:rsidP="000409B1">
            <w:pPr>
              <w:pStyle w:val="TableText"/>
              <w:numPr>
                <w:ilvl w:val="0"/>
                <w:numId w:val="60"/>
              </w:numPr>
              <w:rPr>
                <w:szCs w:val="18"/>
              </w:rPr>
            </w:pPr>
            <w:r w:rsidRPr="00152053">
              <w:rPr>
                <w:szCs w:val="18"/>
              </w:rPr>
              <w:t>Transfusion Division Name, City, State</w:t>
            </w:r>
          </w:p>
          <w:p w14:paraId="025BFC3A" w14:textId="78B7F3F6" w:rsidR="00B752FE" w:rsidRPr="00152053" w:rsidRDefault="00B752FE" w:rsidP="000409B1">
            <w:pPr>
              <w:pStyle w:val="TableText"/>
              <w:numPr>
                <w:ilvl w:val="0"/>
                <w:numId w:val="60"/>
              </w:numPr>
              <w:rPr>
                <w:szCs w:val="18"/>
              </w:rPr>
            </w:pPr>
            <w:r w:rsidRPr="00152053">
              <w:rPr>
                <w:szCs w:val="18"/>
              </w:rPr>
              <w:t xml:space="preserve">Patient ID </w:t>
            </w:r>
          </w:p>
          <w:p w14:paraId="1DE7FD10" w14:textId="77777777" w:rsidR="00B752FE" w:rsidRPr="00152053" w:rsidRDefault="00B752FE" w:rsidP="000409B1">
            <w:pPr>
              <w:pStyle w:val="TableText"/>
              <w:numPr>
                <w:ilvl w:val="0"/>
                <w:numId w:val="60"/>
              </w:numPr>
              <w:rPr>
                <w:szCs w:val="18"/>
              </w:rPr>
            </w:pPr>
            <w:r w:rsidRPr="00152053">
              <w:rPr>
                <w:szCs w:val="18"/>
              </w:rPr>
              <w:t>Patient Name (Last, First MI)</w:t>
            </w:r>
          </w:p>
          <w:p w14:paraId="67E406EF" w14:textId="77777777" w:rsidR="00B752FE" w:rsidRPr="00152053" w:rsidRDefault="00B752FE" w:rsidP="000409B1">
            <w:pPr>
              <w:pStyle w:val="TableText"/>
              <w:numPr>
                <w:ilvl w:val="0"/>
                <w:numId w:val="60"/>
              </w:numPr>
              <w:rPr>
                <w:szCs w:val="18"/>
              </w:rPr>
            </w:pPr>
            <w:r w:rsidRPr="00152053">
              <w:rPr>
                <w:szCs w:val="18"/>
              </w:rPr>
              <w:t>Patient DOB</w:t>
            </w:r>
          </w:p>
          <w:p w14:paraId="31EAF18A" w14:textId="77777777" w:rsidR="00B752FE" w:rsidRPr="00152053" w:rsidRDefault="00B752FE" w:rsidP="000409B1">
            <w:pPr>
              <w:pStyle w:val="TableText"/>
              <w:numPr>
                <w:ilvl w:val="0"/>
                <w:numId w:val="60"/>
              </w:numPr>
              <w:rPr>
                <w:szCs w:val="18"/>
              </w:rPr>
            </w:pPr>
            <w:r w:rsidRPr="00152053">
              <w:rPr>
                <w:szCs w:val="18"/>
              </w:rPr>
              <w:t>Unit/Pool ID</w:t>
            </w:r>
          </w:p>
          <w:p w14:paraId="1D41187F" w14:textId="77777777" w:rsidR="00B752FE" w:rsidRPr="00152053" w:rsidRDefault="007A7D97" w:rsidP="000409B1">
            <w:pPr>
              <w:pStyle w:val="TableText"/>
              <w:numPr>
                <w:ilvl w:val="0"/>
                <w:numId w:val="60"/>
              </w:numPr>
              <w:rPr>
                <w:szCs w:val="18"/>
              </w:rPr>
            </w:pPr>
            <w:r>
              <w:rPr>
                <w:szCs w:val="18"/>
              </w:rPr>
              <w:t>Recipient (Patient) Blood Type</w:t>
            </w:r>
          </w:p>
          <w:p w14:paraId="6555800C" w14:textId="77777777" w:rsidR="00B752FE" w:rsidRDefault="00B752FE" w:rsidP="000409B1">
            <w:pPr>
              <w:pStyle w:val="TableText"/>
              <w:numPr>
                <w:ilvl w:val="0"/>
                <w:numId w:val="60"/>
              </w:numPr>
            </w:pPr>
            <w:r>
              <w:lastRenderedPageBreak/>
              <w:t xml:space="preserve">Unit Blood Type </w:t>
            </w:r>
          </w:p>
          <w:p w14:paraId="1C1E4A3E" w14:textId="77777777" w:rsidR="00B752FE" w:rsidRDefault="00B752FE" w:rsidP="000409B1">
            <w:pPr>
              <w:pStyle w:val="TableText"/>
              <w:numPr>
                <w:ilvl w:val="0"/>
                <w:numId w:val="60"/>
              </w:numPr>
            </w:pPr>
            <w:r>
              <w:t xml:space="preserve">Compatibility Interpretation, Tech name, Date/time </w:t>
            </w:r>
          </w:p>
          <w:p w14:paraId="5112E5FE" w14:textId="77777777" w:rsidR="00B752FE" w:rsidRDefault="00B752FE" w:rsidP="000409B1">
            <w:pPr>
              <w:pStyle w:val="TableText"/>
              <w:numPr>
                <w:ilvl w:val="0"/>
                <w:numId w:val="60"/>
              </w:numPr>
            </w:pPr>
            <w:r>
              <w:t>Assigned Date/Time</w:t>
            </w:r>
          </w:p>
          <w:p w14:paraId="5D0E2753" w14:textId="46B4C8DB" w:rsidR="00B752FE" w:rsidRDefault="00B752FE" w:rsidP="000409B1">
            <w:pPr>
              <w:pStyle w:val="TableText"/>
              <w:numPr>
                <w:ilvl w:val="0"/>
                <w:numId w:val="60"/>
              </w:numPr>
            </w:pPr>
            <w:r>
              <w:t>Technologist Initials (This is the Assigning/Crossmatching Blood Bank Technologist Name.)</w:t>
            </w:r>
          </w:p>
          <w:p w14:paraId="208A4F21" w14:textId="4FD80301" w:rsidR="00504EBA" w:rsidRDefault="00504EBA" w:rsidP="000409B1">
            <w:pPr>
              <w:pStyle w:val="TableText"/>
              <w:numPr>
                <w:ilvl w:val="0"/>
                <w:numId w:val="60"/>
              </w:numPr>
            </w:pPr>
            <w:r>
              <w:t>Transfusion Requirements</w:t>
            </w:r>
          </w:p>
          <w:p w14:paraId="2CF82EE2" w14:textId="39F0D17F" w:rsidR="00504EBA" w:rsidRDefault="00504EBA" w:rsidP="000409B1">
            <w:pPr>
              <w:pStyle w:val="TableText"/>
              <w:numPr>
                <w:ilvl w:val="0"/>
                <w:numId w:val="60"/>
              </w:numPr>
            </w:pPr>
            <w:r>
              <w:t>Blood Product Component Class</w:t>
            </w:r>
          </w:p>
          <w:p w14:paraId="03078422" w14:textId="77777777" w:rsidR="00B752FE" w:rsidRDefault="00B752FE" w:rsidP="000409B1">
            <w:pPr>
              <w:pStyle w:val="TableText"/>
              <w:numPr>
                <w:ilvl w:val="0"/>
                <w:numId w:val="60"/>
              </w:numPr>
            </w:pPr>
            <w:r>
              <w:t>Blood Component selected (the unit’s blood product long name)</w:t>
            </w:r>
          </w:p>
          <w:p w14:paraId="5264ABD2" w14:textId="77777777" w:rsidR="00B752FE" w:rsidRDefault="00B752FE" w:rsidP="000409B1">
            <w:pPr>
              <w:pStyle w:val="TableText"/>
              <w:numPr>
                <w:ilvl w:val="0"/>
                <w:numId w:val="60"/>
              </w:numPr>
            </w:pPr>
            <w:r>
              <w:t>Product Code (Full, Eye-readable)</w:t>
            </w:r>
          </w:p>
          <w:p w14:paraId="7B207C37" w14:textId="77777777" w:rsidR="00B752FE" w:rsidRDefault="00B752FE" w:rsidP="000409B1">
            <w:pPr>
              <w:pStyle w:val="TableText"/>
              <w:numPr>
                <w:ilvl w:val="0"/>
                <w:numId w:val="60"/>
              </w:numPr>
            </w:pPr>
            <w:r>
              <w:t>Donation type</w:t>
            </w:r>
          </w:p>
          <w:p w14:paraId="284A5486" w14:textId="77777777" w:rsidR="00B752FE" w:rsidRDefault="00B752FE" w:rsidP="000409B1">
            <w:pPr>
              <w:pStyle w:val="TableText"/>
              <w:numPr>
                <w:ilvl w:val="0"/>
                <w:numId w:val="60"/>
              </w:numPr>
            </w:pPr>
            <w:r>
              <w:t xml:space="preserve">Unit Expiration Date/Time </w:t>
            </w:r>
          </w:p>
          <w:p w14:paraId="46996CF9" w14:textId="77777777" w:rsidR="00B752FE" w:rsidRDefault="00B752FE" w:rsidP="000409B1">
            <w:pPr>
              <w:pStyle w:val="TableText"/>
              <w:numPr>
                <w:ilvl w:val="0"/>
                <w:numId w:val="60"/>
              </w:numPr>
            </w:pPr>
            <w:r>
              <w:t>Number of Units in Pool</w:t>
            </w:r>
          </w:p>
          <w:p w14:paraId="06F67390" w14:textId="77777777" w:rsidR="00B752FE" w:rsidRDefault="00B752FE" w:rsidP="000409B1">
            <w:pPr>
              <w:pStyle w:val="TableText"/>
              <w:numPr>
                <w:ilvl w:val="0"/>
                <w:numId w:val="60"/>
              </w:numPr>
            </w:pPr>
            <w:r>
              <w:t xml:space="preserve">Specimen UID Number, </w:t>
            </w:r>
            <w:r w:rsidRPr="00EE4FB5">
              <w:t>expiration date and time</w:t>
            </w:r>
            <w:r>
              <w:t xml:space="preserve"> </w:t>
            </w:r>
          </w:p>
          <w:p w14:paraId="37BC0C64" w14:textId="1582A3F1" w:rsidR="00B752FE" w:rsidRPr="00830A63" w:rsidRDefault="00504EBA" w:rsidP="000409B1">
            <w:pPr>
              <w:pStyle w:val="TableText"/>
              <w:numPr>
                <w:ilvl w:val="0"/>
                <w:numId w:val="60"/>
              </w:numPr>
            </w:pPr>
            <w:r>
              <w:t xml:space="preserve">Order </w:t>
            </w:r>
            <w:r w:rsidR="00B752FE">
              <w:t>Location</w:t>
            </w:r>
          </w:p>
          <w:p w14:paraId="44343131" w14:textId="77777777" w:rsidR="00B752FE" w:rsidRDefault="00B752FE" w:rsidP="00B752FE">
            <w:pPr>
              <w:pStyle w:val="TableText"/>
            </w:pPr>
          </w:p>
          <w:p w14:paraId="21500EFA" w14:textId="77777777" w:rsidR="00B752FE" w:rsidRDefault="00B752FE" w:rsidP="00B752FE">
            <w:pPr>
              <w:pStyle w:val="NotesText"/>
            </w:pPr>
            <w:r w:rsidRPr="00B752FE">
              <w:rPr>
                <w:vanish/>
              </w:rPr>
              <w:t xml:space="preserve">BR_44.01 </w:t>
            </w:r>
            <w:r>
              <w:t>Transfusion documentation section: This section of the form provides prompts/placeholders for information to be entered at the bedside during the transfusion. Each listed item must provide adequate room for a transfusionist to manually record the appropriate, required information:</w:t>
            </w:r>
          </w:p>
          <w:p w14:paraId="175B4F0F" w14:textId="77777777" w:rsidR="00B752FE" w:rsidRDefault="00B752FE" w:rsidP="000409B1">
            <w:pPr>
              <w:pStyle w:val="TableText"/>
              <w:numPr>
                <w:ilvl w:val="0"/>
                <w:numId w:val="61"/>
              </w:numPr>
              <w:ind w:left="1440"/>
            </w:pPr>
            <w:r>
              <w:t>First identifier (signature)</w:t>
            </w:r>
          </w:p>
          <w:p w14:paraId="24F4BBCE" w14:textId="77777777" w:rsidR="00B752FE" w:rsidRDefault="00B752FE" w:rsidP="000409B1">
            <w:pPr>
              <w:pStyle w:val="TableText"/>
              <w:numPr>
                <w:ilvl w:val="0"/>
                <w:numId w:val="61"/>
              </w:numPr>
              <w:ind w:left="1440"/>
            </w:pPr>
            <w:r>
              <w:t>Second identifier (signature)</w:t>
            </w:r>
          </w:p>
          <w:p w14:paraId="5BD5A101" w14:textId="77777777" w:rsidR="00B752FE" w:rsidRDefault="00B752FE" w:rsidP="000409B1">
            <w:pPr>
              <w:pStyle w:val="TableText"/>
              <w:numPr>
                <w:ilvl w:val="0"/>
                <w:numId w:val="61"/>
              </w:numPr>
              <w:ind w:left="1440"/>
            </w:pPr>
            <w:r>
              <w:t xml:space="preserve">Date/time transfusion was started </w:t>
            </w:r>
          </w:p>
          <w:p w14:paraId="2D8E9508" w14:textId="77777777" w:rsidR="00B752FE" w:rsidRDefault="00B752FE" w:rsidP="000409B1">
            <w:pPr>
              <w:pStyle w:val="TableText"/>
              <w:numPr>
                <w:ilvl w:val="0"/>
                <w:numId w:val="61"/>
              </w:numPr>
              <w:ind w:left="1440"/>
            </w:pPr>
            <w:r>
              <w:t>Respiration</w:t>
            </w:r>
          </w:p>
          <w:p w14:paraId="51F81C70" w14:textId="77777777" w:rsidR="00B752FE" w:rsidRDefault="00B752FE" w:rsidP="000409B1">
            <w:pPr>
              <w:pStyle w:val="TableText"/>
              <w:numPr>
                <w:ilvl w:val="0"/>
                <w:numId w:val="61"/>
              </w:numPr>
              <w:ind w:left="1440"/>
            </w:pPr>
            <w:r>
              <w:t>Pretransfusion temperature</w:t>
            </w:r>
          </w:p>
          <w:p w14:paraId="3667C7EF" w14:textId="77777777" w:rsidR="00B752FE" w:rsidRDefault="00B752FE" w:rsidP="000409B1">
            <w:pPr>
              <w:pStyle w:val="TableText"/>
              <w:numPr>
                <w:ilvl w:val="0"/>
                <w:numId w:val="61"/>
              </w:numPr>
              <w:ind w:left="1440"/>
            </w:pPr>
            <w:r>
              <w:t>Pretransfusion pulse</w:t>
            </w:r>
          </w:p>
          <w:p w14:paraId="466DEE18" w14:textId="77777777" w:rsidR="00B752FE" w:rsidRDefault="00B752FE" w:rsidP="000409B1">
            <w:pPr>
              <w:pStyle w:val="TableText"/>
              <w:numPr>
                <w:ilvl w:val="0"/>
                <w:numId w:val="61"/>
              </w:numPr>
              <w:ind w:left="1440"/>
            </w:pPr>
            <w:r>
              <w:t>Pretransfusion blood pressure</w:t>
            </w:r>
          </w:p>
          <w:p w14:paraId="0253F97F" w14:textId="77777777" w:rsidR="00B752FE" w:rsidRDefault="00B752FE" w:rsidP="000409B1">
            <w:pPr>
              <w:pStyle w:val="TableText"/>
              <w:numPr>
                <w:ilvl w:val="0"/>
                <w:numId w:val="61"/>
              </w:numPr>
              <w:ind w:left="1440"/>
            </w:pPr>
            <w:r>
              <w:t>15-minute temperature</w:t>
            </w:r>
          </w:p>
          <w:p w14:paraId="6A972A64" w14:textId="77777777" w:rsidR="00B752FE" w:rsidRDefault="00B752FE" w:rsidP="000409B1">
            <w:pPr>
              <w:pStyle w:val="TableText"/>
              <w:numPr>
                <w:ilvl w:val="0"/>
                <w:numId w:val="61"/>
              </w:numPr>
              <w:ind w:left="1440"/>
            </w:pPr>
            <w:r>
              <w:t>15-minute pulse</w:t>
            </w:r>
          </w:p>
          <w:p w14:paraId="44423372" w14:textId="77777777" w:rsidR="00B752FE" w:rsidRDefault="00B752FE" w:rsidP="000409B1">
            <w:pPr>
              <w:pStyle w:val="TableText"/>
              <w:numPr>
                <w:ilvl w:val="0"/>
                <w:numId w:val="61"/>
              </w:numPr>
              <w:ind w:left="1440"/>
            </w:pPr>
            <w:r>
              <w:t>15-minute blood pressure</w:t>
            </w:r>
          </w:p>
          <w:p w14:paraId="3ABC6339" w14:textId="77777777" w:rsidR="00B752FE" w:rsidRDefault="00B752FE" w:rsidP="000409B1">
            <w:pPr>
              <w:pStyle w:val="TableText"/>
              <w:numPr>
                <w:ilvl w:val="0"/>
                <w:numId w:val="61"/>
              </w:numPr>
              <w:ind w:left="1440"/>
            </w:pPr>
            <w:r>
              <w:t>Mid-transfusion temperature</w:t>
            </w:r>
          </w:p>
          <w:p w14:paraId="68374E22" w14:textId="77777777" w:rsidR="00B752FE" w:rsidRDefault="00B752FE" w:rsidP="000409B1">
            <w:pPr>
              <w:pStyle w:val="TableText"/>
              <w:numPr>
                <w:ilvl w:val="0"/>
                <w:numId w:val="61"/>
              </w:numPr>
              <w:ind w:left="1440"/>
            </w:pPr>
            <w:r>
              <w:t>Mid-transfusion pulse</w:t>
            </w:r>
          </w:p>
          <w:p w14:paraId="2CBD52AF" w14:textId="77777777" w:rsidR="00B752FE" w:rsidRDefault="00B752FE" w:rsidP="000409B1">
            <w:pPr>
              <w:pStyle w:val="TableText"/>
              <w:numPr>
                <w:ilvl w:val="0"/>
                <w:numId w:val="61"/>
              </w:numPr>
              <w:ind w:left="1440"/>
            </w:pPr>
            <w:r>
              <w:t>Mid-transfusion blood pressure</w:t>
            </w:r>
          </w:p>
          <w:p w14:paraId="7619BF5D" w14:textId="77777777" w:rsidR="00B752FE" w:rsidRDefault="00B752FE" w:rsidP="000409B1">
            <w:pPr>
              <w:pStyle w:val="TableText"/>
              <w:numPr>
                <w:ilvl w:val="0"/>
                <w:numId w:val="61"/>
              </w:numPr>
              <w:ind w:left="1440"/>
            </w:pPr>
            <w:r>
              <w:t>Post-transfusion temp</w:t>
            </w:r>
          </w:p>
          <w:p w14:paraId="54CF510A" w14:textId="77777777" w:rsidR="00B752FE" w:rsidRDefault="00B752FE" w:rsidP="000409B1">
            <w:pPr>
              <w:pStyle w:val="TableText"/>
              <w:numPr>
                <w:ilvl w:val="0"/>
                <w:numId w:val="61"/>
              </w:numPr>
              <w:ind w:left="1440"/>
            </w:pPr>
            <w:r>
              <w:t>Post-transfusion pulse</w:t>
            </w:r>
          </w:p>
          <w:p w14:paraId="3064C905" w14:textId="77777777" w:rsidR="00B752FE" w:rsidRDefault="00B752FE" w:rsidP="000409B1">
            <w:pPr>
              <w:pStyle w:val="TableText"/>
              <w:numPr>
                <w:ilvl w:val="0"/>
                <w:numId w:val="61"/>
              </w:numPr>
              <w:ind w:left="1440"/>
            </w:pPr>
            <w:r>
              <w:t>Post-transfusion blood pressure</w:t>
            </w:r>
          </w:p>
          <w:p w14:paraId="25809D3C" w14:textId="77777777" w:rsidR="00B752FE" w:rsidRDefault="00B752FE" w:rsidP="000409B1">
            <w:pPr>
              <w:pStyle w:val="TableText"/>
              <w:numPr>
                <w:ilvl w:val="0"/>
                <w:numId w:val="61"/>
              </w:numPr>
              <w:ind w:left="1440"/>
            </w:pPr>
            <w:r>
              <w:t>Amount given (mL)</w:t>
            </w:r>
          </w:p>
          <w:p w14:paraId="521CC729" w14:textId="77777777" w:rsidR="00B752FE" w:rsidRDefault="00B752FE" w:rsidP="000409B1">
            <w:pPr>
              <w:pStyle w:val="TableText"/>
              <w:numPr>
                <w:ilvl w:val="0"/>
                <w:numId w:val="61"/>
              </w:numPr>
              <w:ind w:left="1440"/>
            </w:pPr>
            <w:r>
              <w:t>Date/time transfusion was completed or interrupted</w:t>
            </w:r>
          </w:p>
          <w:p w14:paraId="35114ADC" w14:textId="77777777" w:rsidR="00B752FE" w:rsidRDefault="00B752FE" w:rsidP="000409B1">
            <w:pPr>
              <w:pStyle w:val="TableText"/>
              <w:numPr>
                <w:ilvl w:val="0"/>
                <w:numId w:val="61"/>
              </w:numPr>
              <w:ind w:left="1440"/>
            </w:pPr>
            <w:r>
              <w:t>Completing transfusionist (place for wet signature)</w:t>
            </w:r>
          </w:p>
          <w:p w14:paraId="7371A107" w14:textId="77777777" w:rsidR="00B752FE" w:rsidRDefault="00B752FE" w:rsidP="000409B1">
            <w:pPr>
              <w:pStyle w:val="TableText"/>
              <w:numPr>
                <w:ilvl w:val="0"/>
                <w:numId w:val="61"/>
              </w:numPr>
              <w:ind w:left="1440"/>
            </w:pPr>
            <w:r>
              <w:t>Reverification of patient area</w:t>
            </w:r>
          </w:p>
          <w:p w14:paraId="693B71D7" w14:textId="77777777" w:rsidR="00B752FE" w:rsidRDefault="00B752FE" w:rsidP="000409B1">
            <w:pPr>
              <w:pStyle w:val="TableText"/>
              <w:numPr>
                <w:ilvl w:val="0"/>
                <w:numId w:val="61"/>
              </w:numPr>
              <w:ind w:left="1440"/>
            </w:pPr>
            <w:r>
              <w:t>Transfusion reaction indicator (No reaction/Reaction suspected)</w:t>
            </w:r>
          </w:p>
          <w:p w14:paraId="288B3F51" w14:textId="77777777" w:rsidR="00B752FE" w:rsidRDefault="00B752FE" w:rsidP="000409B1">
            <w:pPr>
              <w:pStyle w:val="TableText"/>
              <w:numPr>
                <w:ilvl w:val="0"/>
                <w:numId w:val="61"/>
              </w:numPr>
              <w:ind w:left="1440"/>
            </w:pPr>
            <w:r>
              <w:t>Description of Reaction (includes Urticaria, Chill, Pain, Fever, Dyspnea, Other)</w:t>
            </w:r>
          </w:p>
          <w:p w14:paraId="0108C3B9" w14:textId="77777777" w:rsidR="00B752FE" w:rsidRDefault="00B752FE" w:rsidP="000409B1">
            <w:pPr>
              <w:pStyle w:val="TableText"/>
              <w:numPr>
                <w:ilvl w:val="0"/>
                <w:numId w:val="61"/>
              </w:numPr>
              <w:ind w:left="1440"/>
            </w:pPr>
            <w:r>
              <w:t>Other difficulties</w:t>
            </w:r>
          </w:p>
          <w:p w14:paraId="484933A6" w14:textId="77777777" w:rsidR="00B752FE" w:rsidRDefault="00B752FE" w:rsidP="000409B1">
            <w:pPr>
              <w:pStyle w:val="TableText"/>
              <w:numPr>
                <w:ilvl w:val="0"/>
                <w:numId w:val="61"/>
              </w:numPr>
              <w:ind w:left="1440"/>
            </w:pPr>
            <w:r>
              <w:t>Signature of person noting the transfusion reaction</w:t>
            </w:r>
          </w:p>
          <w:p w14:paraId="3B4F3DEC" w14:textId="77777777" w:rsidR="00B752FE" w:rsidRDefault="00B752FE" w:rsidP="000409B1">
            <w:pPr>
              <w:pStyle w:val="TableText"/>
              <w:numPr>
                <w:ilvl w:val="0"/>
                <w:numId w:val="61"/>
              </w:numPr>
              <w:ind w:left="1440"/>
            </w:pPr>
            <w:r>
              <w:t>Instructions for suspected transfusion reaction immediate response (see sample form for text)</w:t>
            </w:r>
          </w:p>
          <w:p w14:paraId="6A076B23" w14:textId="77777777" w:rsidR="00B752FE" w:rsidRDefault="00B752FE" w:rsidP="00B752FE">
            <w:pPr>
              <w:pStyle w:val="NotesText"/>
              <w:ind w:left="1440"/>
            </w:pPr>
            <w:r>
              <w:t>Bedside verification statement (see sample form for text)</w:t>
            </w:r>
          </w:p>
          <w:p w14:paraId="39A606D7" w14:textId="77777777" w:rsidR="00292F47" w:rsidRDefault="00292F47">
            <w:pPr>
              <w:pStyle w:val="NotesText"/>
            </w:pPr>
          </w:p>
          <w:p w14:paraId="316139E0" w14:textId="77777777" w:rsidR="002A21AE" w:rsidRDefault="00292F47">
            <w:pPr>
              <w:pStyle w:val="NotesText"/>
            </w:pPr>
            <w:r w:rsidRPr="00292F47">
              <w:rPr>
                <w:vanish/>
              </w:rPr>
              <w:lastRenderedPageBreak/>
              <w:t xml:space="preserve">BR_44.02 </w:t>
            </w:r>
            <w:r>
              <w:t>Facility Name is the name and address of the compatibility testing facility. If a full-service facility, “Facility Name” is the user’s current division. If a transfusion-only facility, “Facility Name” is the testing facility entered. For a transfusion-only facility, both the testing facility and the current division must appear on the form.</w:t>
            </w:r>
          </w:p>
          <w:p w14:paraId="79F6230F" w14:textId="77777777" w:rsidR="00292F47" w:rsidRDefault="00292F47">
            <w:pPr>
              <w:pStyle w:val="NotesText"/>
            </w:pPr>
          </w:p>
          <w:p w14:paraId="72ABEABC" w14:textId="77777777" w:rsidR="00292F47" w:rsidRDefault="00292F47">
            <w:pPr>
              <w:pStyle w:val="NotesText"/>
            </w:pPr>
            <w:r w:rsidRPr="00292F47">
              <w:rPr>
                <w:vanish/>
              </w:rPr>
              <w:t xml:space="preserve">BR_44.03 </w:t>
            </w:r>
            <w:r>
              <w:t>Patient Special Instructions and patient Transfusion Requirements do not print on the Blood Transfusion Record Form when the requirement isn’t appropriate (listed as “NA”) for the blood product.</w:t>
            </w:r>
          </w:p>
          <w:p w14:paraId="48592AE7" w14:textId="77777777" w:rsidR="00292F47" w:rsidRDefault="00292F47">
            <w:pPr>
              <w:pStyle w:val="NotesText"/>
            </w:pPr>
          </w:p>
          <w:p w14:paraId="1FCFBC75" w14:textId="77777777" w:rsidR="00292F47" w:rsidRDefault="00292F47" w:rsidP="00292F47">
            <w:pPr>
              <w:pStyle w:val="NotesText"/>
            </w:pPr>
            <w:r w:rsidRPr="00292F47">
              <w:rPr>
                <w:vanish/>
              </w:rPr>
              <w:t xml:space="preserve">BR_44.05 </w:t>
            </w:r>
            <w:r>
              <w:t>When blood products are emergency issued (indicator or the testing is incomplete or inconclusive on the current specimen), print in the remarks section of the Blood Transfusion Record Form: “This unit is issued for transfusion BEFORE the completion of required compatibility testing. The blood bank staff will continue to test the compatibility of the unit using the current patient specimen. If you are alerted to a unit’s incompatibility by the blood bank, stop the transfusion immediately.”</w:t>
            </w:r>
          </w:p>
          <w:p w14:paraId="7F7D947D" w14:textId="77777777" w:rsidR="00292F47" w:rsidRDefault="00292F47" w:rsidP="00292F47">
            <w:pPr>
              <w:pStyle w:val="TableText"/>
            </w:pPr>
          </w:p>
          <w:p w14:paraId="0FB68443" w14:textId="77777777" w:rsidR="00292F47" w:rsidRDefault="00276485" w:rsidP="00292F47">
            <w:pPr>
              <w:pStyle w:val="NotesText"/>
            </w:pPr>
            <w:r>
              <w:t>When</w:t>
            </w:r>
            <w:r w:rsidR="00292F47" w:rsidRPr="00292F47">
              <w:rPr>
                <w:vanish/>
              </w:rPr>
              <w:t xml:space="preserve">BR_44.05 </w:t>
            </w:r>
            <w:r>
              <w:rPr>
                <w:vanish/>
              </w:rPr>
              <w:t>When</w:t>
            </w:r>
            <w:r w:rsidR="00292F47">
              <w:t xml:space="preserve"> “***” prints for the patient ABO/Rh and crossmatch, include “Specimen testing incomplete at time of issue” in the printout.</w:t>
            </w:r>
          </w:p>
          <w:p w14:paraId="67FCB3C3" w14:textId="77777777" w:rsidR="002A21AE" w:rsidRDefault="002A21AE">
            <w:pPr>
              <w:pStyle w:val="NotesText"/>
              <w:tabs>
                <w:tab w:val="left" w:pos="4140"/>
              </w:tabs>
              <w:ind w:left="0"/>
            </w:pPr>
          </w:p>
        </w:tc>
      </w:tr>
      <w:tr w:rsidR="002A21AE" w14:paraId="18227113" w14:textId="77777777">
        <w:tc>
          <w:tcPr>
            <w:tcW w:w="3240" w:type="dxa"/>
          </w:tcPr>
          <w:p w14:paraId="7D993820" w14:textId="77777777" w:rsidR="002A21AE" w:rsidRDefault="002A21AE">
            <w:pPr>
              <w:pStyle w:val="TableTextNumbers"/>
            </w:pPr>
            <w:r>
              <w:lastRenderedPageBreak/>
              <w:t xml:space="preserve">Print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82" w:author="Blalock, David (Leidos)" w:date="2020-06-15T14:09:00Z" w:original="0."/>
              </w:fldChar>
            </w:r>
          </w:p>
        </w:tc>
        <w:tc>
          <w:tcPr>
            <w:tcW w:w="6120" w:type="dxa"/>
          </w:tcPr>
          <w:p w14:paraId="7A0B21F3" w14:textId="77777777" w:rsidR="002A21AE" w:rsidRDefault="002A21AE">
            <w:pPr>
              <w:pStyle w:val="TableText"/>
            </w:pPr>
          </w:p>
        </w:tc>
      </w:tr>
    </w:tbl>
    <w:p w14:paraId="7C589AE0" w14:textId="2277560A" w:rsidR="00CD3C64" w:rsidRDefault="00CD3C64" w:rsidP="00CD3C64">
      <w:pPr>
        <w:pStyle w:val="Caption"/>
      </w:pPr>
      <w:bookmarkStart w:id="483" w:name="_Ref12700608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107</w:t>
      </w:r>
      <w:r w:rsidR="004E20BD">
        <w:rPr>
          <w:noProof/>
        </w:rPr>
        <w:fldChar w:fldCharType="end"/>
      </w:r>
      <w:bookmarkEnd w:id="483"/>
      <w:r>
        <w:t>: Print Unit Caution Tag and Transfusion Record Form</w:t>
      </w:r>
    </w:p>
    <w:p w14:paraId="6E3A6D52" w14:textId="77777777" w:rsidR="00CF47D5" w:rsidRDefault="00057948" w:rsidP="00936CE0">
      <w:pPr>
        <w:pStyle w:val="BodyText"/>
        <w:rPr>
          <w:rStyle w:val="BullhornChar"/>
        </w:rPr>
      </w:pPr>
      <w:r>
        <w:rPr>
          <w:rFonts w:ascii="Webdings" w:hAnsi="Webdings"/>
          <w:noProof/>
          <w:sz w:val="40"/>
          <w:szCs w:val="24"/>
        </w:rPr>
        <w:drawing>
          <wp:inline distT="0" distB="0" distL="0" distR="0" wp14:anchorId="6174C32B" wp14:editId="1A12DA99">
            <wp:extent cx="3657600" cy="2706370"/>
            <wp:effectExtent l="0" t="0" r="0" b="0"/>
            <wp:docPr id="199" name="Picture 1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a:extLst>
                        <a:ext uri="{C183D7F6-B498-43B3-948B-1728B52AA6E4}">
                          <adec:decorative xmlns:adec="http://schemas.microsoft.com/office/drawing/2017/decorative" val="1"/>
                        </a:ext>
                      </a:extLst>
                    </pic:cNvPr>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657600" cy="2706370"/>
                    </a:xfrm>
                    <a:prstGeom prst="rect">
                      <a:avLst/>
                    </a:prstGeom>
                    <a:noFill/>
                    <a:ln>
                      <a:noFill/>
                    </a:ln>
                  </pic:spPr>
                </pic:pic>
              </a:graphicData>
            </a:graphic>
          </wp:inline>
        </w:drawing>
      </w:r>
    </w:p>
    <w:p w14:paraId="5280DCFF" w14:textId="77777777" w:rsidR="002A21AE" w:rsidRDefault="00CF47D5" w:rsidP="00CD3C64">
      <w:pPr>
        <w:pStyle w:val="BodyText"/>
      </w:pPr>
      <w:r>
        <w:rPr>
          <w:rStyle w:val="BullhornChar"/>
        </w:rPr>
        <w:br w:type="page"/>
      </w:r>
      <w:r w:rsidR="00896F17" w:rsidRPr="00896F17">
        <w:rPr>
          <w:rStyle w:val="BullhornChar"/>
        </w:rPr>
        <w:lastRenderedPageBreak/>
        <w:t></w:t>
      </w:r>
      <w:r w:rsidR="00896F17" w:rsidRPr="00896F17">
        <w:rPr>
          <w:rStyle w:val="Heading4Char"/>
        </w:rPr>
        <w:t xml:space="preserve"> </w:t>
      </w:r>
      <w:r w:rsidR="002A21AE" w:rsidRPr="00896F17">
        <w:rPr>
          <w:rStyle w:val="Heading4Char"/>
        </w:rPr>
        <w:t>Alerts</w:t>
      </w:r>
    </w:p>
    <w:p w14:paraId="34AB065E" w14:textId="7ECB6C58" w:rsidR="002A21AE" w:rsidRDefault="002A21AE">
      <w:pPr>
        <w:pStyle w:val="Caption"/>
      </w:pPr>
      <w:bookmarkStart w:id="484" w:name="_Ref126504208"/>
      <w:bookmarkStart w:id="485" w:name="_Toc97523620"/>
      <w:bookmarkStart w:id="486" w:name="_Toc97527590"/>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9</w:t>
      </w:r>
      <w:r w:rsidR="004E20BD">
        <w:rPr>
          <w:noProof/>
        </w:rPr>
        <w:fldChar w:fldCharType="end"/>
      </w:r>
      <w:bookmarkEnd w:id="484"/>
      <w:r>
        <w:t xml:space="preserve">: Alerts That May Occur in </w:t>
      </w:r>
      <w:r w:rsidR="005D42CA">
        <w:t>Print Unit Caution Tag &amp; Transfusion Record Form</w:t>
      </w:r>
      <w:r>
        <w:t xml:space="preserve"> (Step 3)</w:t>
      </w:r>
      <w:bookmarkEnd w:id="485"/>
      <w:bookmarkEnd w:id="486"/>
      <w:r>
        <w:fldChar w:fldCharType="begin"/>
      </w:r>
      <w:r>
        <w:instrText xml:space="preserve"> XE </w:instrText>
      </w:r>
      <w:r w:rsidR="00FA7E65">
        <w:instrText>“</w:instrText>
      </w:r>
      <w:r>
        <w:instrText xml:space="preserve">Tables:Alerts That May Occur in </w:instrText>
      </w:r>
      <w:r w:rsidR="005D42CA">
        <w:instrText>Print Unit Caution Tag &amp; Transfusion Record Form</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4"/>
        <w:gridCol w:w="3818"/>
        <w:gridCol w:w="1588"/>
      </w:tblGrid>
      <w:tr w:rsidR="00F77995" w14:paraId="12B09103" w14:textId="77777777">
        <w:trPr>
          <w:tblHeader/>
        </w:trPr>
        <w:tc>
          <w:tcPr>
            <w:tcW w:w="5311" w:type="dxa"/>
            <w:shd w:val="clear" w:color="auto" w:fill="B3B3B3"/>
            <w:vAlign w:val="bottom"/>
          </w:tcPr>
          <w:p w14:paraId="202014EC" w14:textId="77777777" w:rsidR="000B56AE" w:rsidRDefault="000B56AE">
            <w:pPr>
              <w:pStyle w:val="TableText"/>
              <w:rPr>
                <w:b/>
              </w:rPr>
            </w:pPr>
            <w:r>
              <w:rPr>
                <w:b/>
              </w:rPr>
              <w:t>User Action Step 3: When This Condition Exists …</w:t>
            </w:r>
          </w:p>
        </w:tc>
        <w:tc>
          <w:tcPr>
            <w:tcW w:w="5253" w:type="dxa"/>
            <w:shd w:val="clear" w:color="auto" w:fill="B3B3B3"/>
            <w:vAlign w:val="bottom"/>
          </w:tcPr>
          <w:p w14:paraId="09CF743C" w14:textId="77777777" w:rsidR="000B56AE" w:rsidRDefault="000B56AE">
            <w:pPr>
              <w:pStyle w:val="TableText"/>
              <w:rPr>
                <w:b/>
              </w:rPr>
            </w:pPr>
            <w:r>
              <w:rPr>
                <w:b/>
              </w:rPr>
              <w:t xml:space="preserve">… </w:t>
            </w:r>
            <w:r w:rsidRPr="00896F17">
              <w:rPr>
                <w:rStyle w:val="BullhornChar"/>
              </w:rPr>
              <w:t></w:t>
            </w:r>
            <w:r>
              <w:rPr>
                <w:rFonts w:ascii="Webdings" w:hAnsi="Webdings"/>
              </w:rPr>
              <w:t></w:t>
            </w:r>
            <w:r>
              <w:rPr>
                <w:b/>
              </w:rPr>
              <w:t>VBECS Emits</w:t>
            </w:r>
            <w:r>
              <w:rPr>
                <w:b/>
                <w:noProof/>
              </w:rPr>
              <w:t xml:space="preserve"> an Audible Alert </w:t>
            </w:r>
            <w:r>
              <w:rPr>
                <w:b/>
              </w:rPr>
              <w:t>and Warns the User:</w:t>
            </w:r>
          </w:p>
        </w:tc>
        <w:tc>
          <w:tcPr>
            <w:tcW w:w="1793" w:type="dxa"/>
            <w:shd w:val="clear" w:color="auto" w:fill="B3B3B3"/>
            <w:vAlign w:val="bottom"/>
          </w:tcPr>
          <w:p w14:paraId="76AAD4BF" w14:textId="77777777" w:rsidR="000B56AE" w:rsidRDefault="000B56AE">
            <w:pPr>
              <w:pStyle w:val="TableText"/>
              <w:rPr>
                <w:b/>
              </w:rPr>
            </w:pPr>
            <w:r>
              <w:rPr>
                <w:b/>
              </w:rPr>
              <w:t>User Role</w:t>
            </w:r>
          </w:p>
        </w:tc>
      </w:tr>
      <w:tr w:rsidR="00F77995" w14:paraId="72374AAA" w14:textId="77777777">
        <w:trPr>
          <w:hidden/>
        </w:trPr>
        <w:tc>
          <w:tcPr>
            <w:tcW w:w="5311" w:type="dxa"/>
            <w:vMerge w:val="restart"/>
            <w:vAlign w:val="center"/>
          </w:tcPr>
          <w:p w14:paraId="1AB7C9AD" w14:textId="77777777" w:rsidR="000B56AE" w:rsidRDefault="000B56AE">
            <w:pPr>
              <w:pStyle w:val="TableText"/>
            </w:pPr>
            <w:r>
              <w:rPr>
                <w:rFonts w:cs="Arial"/>
                <w:vanish/>
              </w:rPr>
              <w:t xml:space="preserve">BR_43.18 </w:t>
            </w:r>
            <w:r>
              <w:t xml:space="preserve">VBECS determines whether the patient has a calculated or persistent antigen negative requirement (except when selecting autologous units). The selected unit was antigen typed and is positive for the corresponding antigen or is untested for the antigen. </w:t>
            </w:r>
          </w:p>
        </w:tc>
        <w:tc>
          <w:tcPr>
            <w:tcW w:w="5253" w:type="dxa"/>
            <w:vAlign w:val="bottom"/>
          </w:tcPr>
          <w:p w14:paraId="17C0C46C" w14:textId="77777777" w:rsidR="000B56AE" w:rsidRDefault="000B56AE">
            <w:pPr>
              <w:pStyle w:val="TableText"/>
            </w:pPr>
            <w:r>
              <w:t>The patient has a history of a clinically significant antibody, the unit is positive or untested for the corresponding antigen, the user does not have the proper security level. There is no override.</w:t>
            </w:r>
          </w:p>
        </w:tc>
        <w:tc>
          <w:tcPr>
            <w:tcW w:w="1793" w:type="dxa"/>
            <w:vAlign w:val="bottom"/>
          </w:tcPr>
          <w:p w14:paraId="593C1D27" w14:textId="77777777" w:rsidR="000B56AE" w:rsidRDefault="000B56AE">
            <w:pPr>
              <w:pStyle w:val="TableText"/>
            </w:pPr>
            <w:r>
              <w:t>Enhanced Technologist or below</w:t>
            </w:r>
          </w:p>
        </w:tc>
      </w:tr>
      <w:tr w:rsidR="00F77995" w14:paraId="00FF8758" w14:textId="77777777">
        <w:tc>
          <w:tcPr>
            <w:tcW w:w="5311" w:type="dxa"/>
            <w:vMerge/>
            <w:vAlign w:val="center"/>
          </w:tcPr>
          <w:p w14:paraId="4E38525E" w14:textId="77777777" w:rsidR="000B56AE" w:rsidRDefault="000B56AE">
            <w:pPr>
              <w:pStyle w:val="TableText"/>
            </w:pPr>
          </w:p>
        </w:tc>
        <w:tc>
          <w:tcPr>
            <w:tcW w:w="5253" w:type="dxa"/>
            <w:vAlign w:val="bottom"/>
          </w:tcPr>
          <w:p w14:paraId="61BCCEAA" w14:textId="77777777" w:rsidR="000B56AE" w:rsidRDefault="000B56AE">
            <w:pPr>
              <w:pStyle w:val="TableText"/>
              <w:rPr>
                <w:noProof/>
              </w:rPr>
            </w:pPr>
            <w:r>
              <w:t xml:space="preserve">The patient has a history of an antibody(s) and the unit ID is positive or untested for the corresponding antigen(s). Continue to print Caution Tag or BTRF? </w:t>
            </w:r>
            <w:r>
              <w:rPr>
                <w:b/>
                <w:bCs/>
              </w:rPr>
              <w:t>No</w:t>
            </w:r>
            <w:r>
              <w:t xml:space="preserve"> clears the screen. </w:t>
            </w:r>
            <w:r>
              <w:rPr>
                <w:b/>
                <w:bCs/>
              </w:rPr>
              <w:t>Yes</w:t>
            </w:r>
            <w:r>
              <w:t xml:space="preserve"> requires a comment and captures details for inclusion in an Exception Report (exception type: Caution Tag or BTRF printed for antigen positive or untested unit).</w:t>
            </w:r>
          </w:p>
        </w:tc>
        <w:tc>
          <w:tcPr>
            <w:tcW w:w="1793" w:type="dxa"/>
            <w:vAlign w:val="bottom"/>
          </w:tcPr>
          <w:p w14:paraId="23514CE4" w14:textId="77777777" w:rsidR="000B56AE" w:rsidRDefault="000B56AE">
            <w:pPr>
              <w:pStyle w:val="TableText"/>
            </w:pPr>
            <w:r>
              <w:t xml:space="preserve">Lead Technologist </w:t>
            </w:r>
          </w:p>
        </w:tc>
      </w:tr>
      <w:tr w:rsidR="00F77995" w14:paraId="7EE6B8DE" w14:textId="77777777">
        <w:trPr>
          <w:hidden/>
        </w:trPr>
        <w:tc>
          <w:tcPr>
            <w:tcW w:w="5311" w:type="dxa"/>
            <w:vMerge w:val="restart"/>
            <w:vAlign w:val="center"/>
          </w:tcPr>
          <w:p w14:paraId="65F7FD81" w14:textId="77777777" w:rsidR="000B56AE" w:rsidRDefault="000B56AE">
            <w:pPr>
              <w:pStyle w:val="TableText"/>
            </w:pPr>
            <w:r>
              <w:rPr>
                <w:rFonts w:cs="Arial"/>
                <w:vanish/>
              </w:rPr>
              <w:t xml:space="preserve">BR_43.19 </w:t>
            </w:r>
            <w:r>
              <w:t>When the patient has TRs, VBECS evaluates the selected unit to see whether a TR was satisfied based on system rules</w:t>
            </w:r>
            <w:r>
              <w:rPr>
                <w:vanish/>
                <w:szCs w:val="18"/>
              </w:rPr>
              <w:t>TT_3.04</w:t>
            </w:r>
            <w:r>
              <w:t xml:space="preserve">, including emergency issue. </w:t>
            </w:r>
          </w:p>
        </w:tc>
        <w:tc>
          <w:tcPr>
            <w:tcW w:w="5253" w:type="dxa"/>
            <w:vAlign w:val="bottom"/>
          </w:tcPr>
          <w:p w14:paraId="75C52317" w14:textId="77777777" w:rsidR="000B56AE" w:rsidRDefault="000B56AE">
            <w:pPr>
              <w:pStyle w:val="TableText"/>
            </w:pPr>
            <w:r>
              <w:t>The patient has</w:t>
            </w:r>
            <w:r>
              <w:rPr>
                <w:noProof/>
              </w:rPr>
              <w:t xml:space="preserve"> </w:t>
            </w:r>
            <w:r>
              <w:t xml:space="preserve">at least one </w:t>
            </w:r>
            <w:r>
              <w:rPr>
                <w:noProof/>
              </w:rPr>
              <w:t xml:space="preserve">TR that is not satisfied, the user does </w:t>
            </w:r>
            <w:r>
              <w:t>not have the proper security level to print the Caution Tag or BTRF for this unit. Further processing is needed and must be documented in VBECS. There is no override.</w:t>
            </w:r>
          </w:p>
        </w:tc>
        <w:tc>
          <w:tcPr>
            <w:tcW w:w="1793" w:type="dxa"/>
            <w:vAlign w:val="bottom"/>
          </w:tcPr>
          <w:p w14:paraId="26E01DDF" w14:textId="77777777" w:rsidR="000B56AE" w:rsidRDefault="000B56AE">
            <w:pPr>
              <w:pStyle w:val="TableText"/>
            </w:pPr>
            <w:r>
              <w:t>Enhanced Technologist or below</w:t>
            </w:r>
          </w:p>
        </w:tc>
      </w:tr>
      <w:tr w:rsidR="00F77995" w14:paraId="4C793802" w14:textId="77777777">
        <w:tc>
          <w:tcPr>
            <w:tcW w:w="5311" w:type="dxa"/>
            <w:vMerge/>
            <w:vAlign w:val="center"/>
          </w:tcPr>
          <w:p w14:paraId="744F1A13" w14:textId="77777777" w:rsidR="000B56AE" w:rsidRDefault="000B56AE">
            <w:pPr>
              <w:pStyle w:val="TableText"/>
            </w:pPr>
          </w:p>
        </w:tc>
        <w:tc>
          <w:tcPr>
            <w:tcW w:w="5253" w:type="dxa"/>
            <w:vAlign w:val="bottom"/>
          </w:tcPr>
          <w:p w14:paraId="19A84DCE" w14:textId="77777777" w:rsidR="000B56AE" w:rsidRDefault="000B56AE">
            <w:pPr>
              <w:pStyle w:val="TableText"/>
            </w:pPr>
            <w:r>
              <w:t xml:space="preserve">The patient has at least one </w:t>
            </w:r>
            <w:r>
              <w:rPr>
                <w:noProof/>
              </w:rPr>
              <w:t>TR that is not satisfied</w:t>
            </w:r>
            <w:r>
              <w:t xml:space="preserve">. Continue to print Caution Tag or BTRF? </w:t>
            </w:r>
            <w:r>
              <w:rPr>
                <w:b/>
                <w:bCs/>
              </w:rPr>
              <w:t>No</w:t>
            </w:r>
            <w:r>
              <w:t xml:space="preserve"> clears the screen. </w:t>
            </w:r>
            <w:r>
              <w:rPr>
                <w:b/>
                <w:bCs/>
              </w:rPr>
              <w:t>Yes</w:t>
            </w:r>
            <w:r>
              <w:t xml:space="preserve"> requires a comment and captures details for inclusion in an Exception Report (exception type: Caution Tag printed with unsatisfied TR).</w:t>
            </w:r>
          </w:p>
        </w:tc>
        <w:tc>
          <w:tcPr>
            <w:tcW w:w="1793" w:type="dxa"/>
            <w:vAlign w:val="bottom"/>
          </w:tcPr>
          <w:p w14:paraId="68BD97E6" w14:textId="77777777" w:rsidR="000B56AE" w:rsidRDefault="000B56AE">
            <w:pPr>
              <w:pStyle w:val="TableText"/>
            </w:pPr>
            <w:r>
              <w:t xml:space="preserve">Lead Technologist </w:t>
            </w:r>
          </w:p>
        </w:tc>
      </w:tr>
      <w:tr w:rsidR="00F77995" w14:paraId="0AA0965A" w14:textId="77777777">
        <w:trPr>
          <w:hidden/>
        </w:trPr>
        <w:tc>
          <w:tcPr>
            <w:tcW w:w="5311" w:type="dxa"/>
            <w:vMerge w:val="restart"/>
            <w:vAlign w:val="center"/>
          </w:tcPr>
          <w:p w14:paraId="61667C51" w14:textId="77777777" w:rsidR="000B56AE" w:rsidRDefault="000B56AE">
            <w:pPr>
              <w:pStyle w:val="TableText"/>
            </w:pPr>
            <w:r>
              <w:rPr>
                <w:rFonts w:cs="Arial"/>
                <w:vanish/>
              </w:rPr>
              <w:t xml:space="preserve">BR_43.16 </w:t>
            </w:r>
            <w:r>
              <w:t>The patient specimen is expired.</w:t>
            </w:r>
          </w:p>
        </w:tc>
        <w:tc>
          <w:tcPr>
            <w:tcW w:w="5253" w:type="dxa"/>
            <w:vAlign w:val="bottom"/>
          </w:tcPr>
          <w:p w14:paraId="33BC163A" w14:textId="77777777" w:rsidR="000B56AE" w:rsidRDefault="000B56AE">
            <w:pPr>
              <w:pStyle w:val="TableText"/>
            </w:pPr>
            <w:r>
              <w:t>The patient specimen is expired. There is no override.</w:t>
            </w:r>
          </w:p>
        </w:tc>
        <w:tc>
          <w:tcPr>
            <w:tcW w:w="1793" w:type="dxa"/>
            <w:vAlign w:val="bottom"/>
          </w:tcPr>
          <w:p w14:paraId="51AD9100" w14:textId="77777777" w:rsidR="000B56AE" w:rsidRDefault="000B56AE">
            <w:pPr>
              <w:pStyle w:val="TableText"/>
            </w:pPr>
            <w:r>
              <w:t>Technologist</w:t>
            </w:r>
          </w:p>
        </w:tc>
      </w:tr>
      <w:tr w:rsidR="00F77995" w14:paraId="2E110A9C" w14:textId="77777777">
        <w:tc>
          <w:tcPr>
            <w:tcW w:w="5311" w:type="dxa"/>
            <w:vMerge/>
            <w:vAlign w:val="center"/>
          </w:tcPr>
          <w:p w14:paraId="4DB4BD02" w14:textId="77777777" w:rsidR="000B56AE" w:rsidRDefault="000B56AE">
            <w:pPr>
              <w:pStyle w:val="TableText"/>
            </w:pPr>
          </w:p>
        </w:tc>
        <w:tc>
          <w:tcPr>
            <w:tcW w:w="5253" w:type="dxa"/>
            <w:vAlign w:val="bottom"/>
          </w:tcPr>
          <w:p w14:paraId="29C3C60D" w14:textId="77777777" w:rsidR="000B56AE" w:rsidRDefault="000B56AE">
            <w:pPr>
              <w:pStyle w:val="TableText"/>
            </w:pPr>
            <w:r>
              <w:t xml:space="preserve">The patient specimen is expired. Continue to print the Caution Tag and/or the BTRF? </w:t>
            </w:r>
            <w:r>
              <w:rPr>
                <w:b/>
                <w:bCs/>
              </w:rPr>
              <w:t>No</w:t>
            </w:r>
            <w:r>
              <w:t xml:space="preserve"> clears the screen. </w:t>
            </w:r>
            <w:r>
              <w:rPr>
                <w:b/>
                <w:bCs/>
              </w:rPr>
              <w:t>Yes</w:t>
            </w:r>
            <w:r>
              <w:t xml:space="preserve"> requires a comment and captures details for inclusion in an Exception Report (exception type: Caution Tag printed on expired specimen).</w:t>
            </w:r>
          </w:p>
        </w:tc>
        <w:tc>
          <w:tcPr>
            <w:tcW w:w="1793" w:type="dxa"/>
            <w:vAlign w:val="bottom"/>
          </w:tcPr>
          <w:p w14:paraId="5691AFC5" w14:textId="77777777" w:rsidR="000B56AE" w:rsidRDefault="000B56AE">
            <w:pPr>
              <w:pStyle w:val="TableText"/>
            </w:pPr>
            <w:r>
              <w:t xml:space="preserve">Enhanced Technologist </w:t>
            </w:r>
          </w:p>
        </w:tc>
      </w:tr>
      <w:tr w:rsidR="00F77995" w14:paraId="59530D7D" w14:textId="77777777">
        <w:trPr>
          <w:hidden/>
        </w:trPr>
        <w:tc>
          <w:tcPr>
            <w:tcW w:w="5311" w:type="dxa"/>
            <w:vAlign w:val="center"/>
          </w:tcPr>
          <w:p w14:paraId="5ED0C7AE" w14:textId="77777777" w:rsidR="00F77995" w:rsidRDefault="00C3145B">
            <w:pPr>
              <w:pStyle w:val="TableText"/>
              <w:rPr>
                <w:szCs w:val="18"/>
              </w:rPr>
            </w:pPr>
            <w:r w:rsidRPr="00693D9B">
              <w:rPr>
                <w:vanish/>
                <w:szCs w:val="18"/>
              </w:rPr>
              <w:t>BR_3.05</w:t>
            </w:r>
            <w:r>
              <w:rPr>
                <w:vanish/>
                <w:szCs w:val="18"/>
              </w:rPr>
              <w:t xml:space="preserve"> </w:t>
            </w:r>
            <w:r w:rsidR="00F77995">
              <w:rPr>
                <w:szCs w:val="18"/>
              </w:rPr>
              <w:t>The user attempts to print Caution Tags for emergency issue and:</w:t>
            </w:r>
          </w:p>
          <w:p w14:paraId="0A894338" w14:textId="77777777" w:rsidR="00F77995" w:rsidRDefault="00C3145B" w:rsidP="00F77995">
            <w:pPr>
              <w:pStyle w:val="TableTextBullet"/>
            </w:pPr>
            <w:r>
              <w:rPr>
                <w:szCs w:val="18"/>
              </w:rPr>
              <w:t>The c</w:t>
            </w:r>
            <w:r w:rsidR="00F77995">
              <w:t xml:space="preserve">urrent specimen has an </w:t>
            </w:r>
            <w:r w:rsidR="000B56AE">
              <w:t>“Emergency Issue” order</w:t>
            </w:r>
            <w:r>
              <w:t>.</w:t>
            </w:r>
          </w:p>
          <w:p w14:paraId="4EE46920" w14:textId="77777777" w:rsidR="00C3145B" w:rsidRDefault="00C3145B" w:rsidP="00F77995">
            <w:pPr>
              <w:pStyle w:val="TableTextBullet"/>
            </w:pPr>
            <w:r>
              <w:t>The patient has no record of ABO/Rh typing.</w:t>
            </w:r>
          </w:p>
          <w:p w14:paraId="2BA1C9CB" w14:textId="77777777" w:rsidR="00C3145B" w:rsidRDefault="00C3145B" w:rsidP="00C3145B">
            <w:pPr>
              <w:pStyle w:val="TableTextBullet"/>
            </w:pPr>
            <w:r>
              <w:t>The r</w:t>
            </w:r>
            <w:r w:rsidR="000B56AE">
              <w:t>equired ABO/Rh specimen testing</w:t>
            </w:r>
            <w:r w:rsidR="000B56AE">
              <w:rPr>
                <w:color w:val="000000"/>
              </w:rPr>
              <w:t xml:space="preserve"> is</w:t>
            </w:r>
            <w:r w:rsidR="000B56AE">
              <w:t xml:space="preserve"> incomplete</w:t>
            </w:r>
            <w:r>
              <w:t>.</w:t>
            </w:r>
          </w:p>
          <w:p w14:paraId="78C72A10" w14:textId="77777777" w:rsidR="00C3145B" w:rsidRDefault="00C3145B" w:rsidP="00C3145B">
            <w:pPr>
              <w:pStyle w:val="TableText"/>
            </w:pPr>
          </w:p>
          <w:p w14:paraId="0BA5A64C" w14:textId="77777777" w:rsidR="00F77995" w:rsidRDefault="00C3145B" w:rsidP="00C3145B">
            <w:pPr>
              <w:pStyle w:val="TableText"/>
            </w:pPr>
            <w:r>
              <w:t>The u</w:t>
            </w:r>
            <w:r w:rsidR="00F77995">
              <w:t>ser may select:</w:t>
            </w:r>
          </w:p>
          <w:p w14:paraId="6CE95619" w14:textId="77777777" w:rsidR="00F77995" w:rsidRDefault="00F77995" w:rsidP="00C3145B">
            <w:pPr>
              <w:pStyle w:val="TableTextBullet"/>
            </w:pPr>
            <w:r>
              <w:t xml:space="preserve">For WB or RBC order only: </w:t>
            </w:r>
            <w:r w:rsidR="00093181">
              <w:t>group</w:t>
            </w:r>
            <w:r w:rsidR="000014DD">
              <w:t xml:space="preserve"> </w:t>
            </w:r>
            <w:r>
              <w:t xml:space="preserve">O, Rh positive or O Rh negative </w:t>
            </w:r>
            <w:r w:rsidR="00C3145B">
              <w:t>(</w:t>
            </w:r>
            <w:r w:rsidR="000B56AE">
              <w:t>WHOLE BLOOD is not available</w:t>
            </w:r>
            <w:r w:rsidR="00C3145B">
              <w:t>).</w:t>
            </w:r>
          </w:p>
          <w:p w14:paraId="4E98E887" w14:textId="77777777" w:rsidR="00F77995" w:rsidRDefault="00626C6A" w:rsidP="00C3145B">
            <w:pPr>
              <w:pStyle w:val="TableTextBullet"/>
            </w:pPr>
            <w:r>
              <w:t>F</w:t>
            </w:r>
            <w:r w:rsidR="000B56AE">
              <w:t>or FFP order only:</w:t>
            </w:r>
            <w:r w:rsidR="00D5161F">
              <w:t xml:space="preserve"> g</w:t>
            </w:r>
            <w:r w:rsidR="000B56AE">
              <w:t>roup AB, Rh positive or Rh negative</w:t>
            </w:r>
            <w:r>
              <w:t>.</w:t>
            </w:r>
          </w:p>
          <w:p w14:paraId="5B1D6F2A" w14:textId="77777777" w:rsidR="000B56AE" w:rsidRDefault="000B56AE" w:rsidP="00C3145B">
            <w:pPr>
              <w:pStyle w:val="TableTextBullet"/>
            </w:pPr>
            <w:r>
              <w:lastRenderedPageBreak/>
              <w:t>For PLT order:</w:t>
            </w:r>
            <w:r w:rsidR="00D5161F">
              <w:t xml:space="preserve"> a</w:t>
            </w:r>
            <w:r>
              <w:t>ll available units are issuable.</w:t>
            </w:r>
          </w:p>
        </w:tc>
        <w:tc>
          <w:tcPr>
            <w:tcW w:w="5253" w:type="dxa"/>
            <w:vAlign w:val="bottom"/>
          </w:tcPr>
          <w:p w14:paraId="133E7C39" w14:textId="77777777" w:rsidR="000B56AE" w:rsidRDefault="000B56AE">
            <w:pPr>
              <w:pStyle w:val="TableText"/>
            </w:pPr>
            <w:r>
              <w:lastRenderedPageBreak/>
              <w:t>The unit does not meet these requirements. Testing is incomplete and this unit is not eligible for emergency issue. The Caution Tag cannot be printed. There is no override.</w:t>
            </w:r>
          </w:p>
        </w:tc>
        <w:tc>
          <w:tcPr>
            <w:tcW w:w="1793" w:type="dxa"/>
            <w:vAlign w:val="bottom"/>
          </w:tcPr>
          <w:p w14:paraId="5F3041A4" w14:textId="77777777" w:rsidR="000B56AE" w:rsidRDefault="000B56AE">
            <w:pPr>
              <w:pStyle w:val="TableText"/>
            </w:pPr>
            <w:r>
              <w:t>All users</w:t>
            </w:r>
          </w:p>
        </w:tc>
      </w:tr>
      <w:tr w:rsidR="00F77995" w14:paraId="217CDBFA" w14:textId="77777777">
        <w:trPr>
          <w:hidden/>
        </w:trPr>
        <w:tc>
          <w:tcPr>
            <w:tcW w:w="5311" w:type="dxa"/>
            <w:vAlign w:val="center"/>
          </w:tcPr>
          <w:p w14:paraId="6239573D" w14:textId="77777777" w:rsidR="000B56AE" w:rsidRDefault="000B56AE">
            <w:pPr>
              <w:pStyle w:val="TableText"/>
            </w:pPr>
            <w:r>
              <w:rPr>
                <w:rFonts w:cs="Arial"/>
                <w:vanish/>
              </w:rPr>
              <w:t xml:space="preserve">BR_43.02 </w:t>
            </w:r>
            <w:r>
              <w:t>VBECS determines whether a blood unit that does require crossmatch (electronic or serologic) is ready for issue based on the following rules:</w:t>
            </w:r>
          </w:p>
          <w:p w14:paraId="4CD4AF67" w14:textId="77777777" w:rsidR="000B56AE" w:rsidRDefault="000B56AE" w:rsidP="00BE2D19">
            <w:pPr>
              <w:pStyle w:val="TableTextBullet"/>
            </w:pPr>
            <w:r>
              <w:t xml:space="preserve">Unit is not in a frozen state. </w:t>
            </w:r>
          </w:p>
          <w:p w14:paraId="1659E002" w14:textId="77777777" w:rsidR="000B56AE" w:rsidRDefault="000B56AE" w:rsidP="00BE2D19">
            <w:pPr>
              <w:pStyle w:val="TableTextBullet"/>
            </w:pPr>
            <w:r>
              <w:t>The unit is crossmatched to the patient (eXM, or serologic XM).</w:t>
            </w:r>
          </w:p>
          <w:p w14:paraId="10F35B2F" w14:textId="77777777" w:rsidR="000B56AE" w:rsidRDefault="000B56AE" w:rsidP="00BE2D19">
            <w:pPr>
              <w:pStyle w:val="TableTextBullet"/>
            </w:pPr>
            <w:r>
              <w:t xml:space="preserve">TAS Specimen testing is complete and valid (ABO/Rh and </w:t>
            </w:r>
            <w:r w:rsidR="004E2F2D">
              <w:t>ABS</w:t>
            </w:r>
            <w:r>
              <w:t xml:space="preserve"> results are entered).</w:t>
            </w:r>
          </w:p>
          <w:p w14:paraId="62FDE53A" w14:textId="77777777" w:rsidR="000B56AE" w:rsidRDefault="000B56AE">
            <w:pPr>
              <w:pStyle w:val="TableText"/>
            </w:pPr>
            <w:r>
              <w:t>One of these crossmatch interpretations was entered:</w:t>
            </w:r>
          </w:p>
          <w:p w14:paraId="414FC307" w14:textId="77777777" w:rsidR="000B56AE" w:rsidRDefault="000B56AE" w:rsidP="00BE2D19">
            <w:pPr>
              <w:pStyle w:val="TableTextBullet"/>
            </w:pPr>
            <w:r>
              <w:t xml:space="preserve">Crossmatch Compatible </w:t>
            </w:r>
          </w:p>
          <w:p w14:paraId="2BF9BF08" w14:textId="77777777" w:rsidR="000B56AE" w:rsidRDefault="000B56AE" w:rsidP="00BE2D19">
            <w:pPr>
              <w:pStyle w:val="TableTextBullet"/>
            </w:pPr>
            <w:r>
              <w:t>Compatible: Electronically crossmatched</w:t>
            </w:r>
          </w:p>
          <w:p w14:paraId="2722676E" w14:textId="77777777" w:rsidR="000B56AE" w:rsidRDefault="000B56AE" w:rsidP="00BE2D19">
            <w:pPr>
              <w:pStyle w:val="TableTextBullet"/>
            </w:pPr>
            <w:r>
              <w:t>Crossmatch Incompatible: Give only with Medical Director approval</w:t>
            </w:r>
          </w:p>
        </w:tc>
        <w:tc>
          <w:tcPr>
            <w:tcW w:w="5253" w:type="dxa"/>
            <w:vAlign w:val="bottom"/>
          </w:tcPr>
          <w:p w14:paraId="6DE6B269" w14:textId="77777777" w:rsidR="000B56AE" w:rsidRDefault="000B56AE">
            <w:pPr>
              <w:pStyle w:val="TableText"/>
            </w:pPr>
            <w:r>
              <w:t xml:space="preserve">All of the conditions for the unit are met but an emergency issue order indicator is in place or the testing is incomplete or inconclusive on the current specimen and units were selected. Do you want to print emergency issue tags/forms for the unit/patient? </w:t>
            </w:r>
            <w:r>
              <w:rPr>
                <w:b/>
                <w:bCs/>
              </w:rPr>
              <w:t>Yes</w:t>
            </w:r>
            <w:r>
              <w:t xml:space="preserve"> prints the emergency issue tags and forms. </w:t>
            </w:r>
            <w:r>
              <w:rPr>
                <w:b/>
                <w:bCs/>
              </w:rPr>
              <w:t>No</w:t>
            </w:r>
            <w:r>
              <w:t xml:space="preserve"> does not allow the user to continue.</w:t>
            </w:r>
          </w:p>
        </w:tc>
        <w:tc>
          <w:tcPr>
            <w:tcW w:w="1793" w:type="dxa"/>
            <w:vAlign w:val="bottom"/>
          </w:tcPr>
          <w:p w14:paraId="465762FA" w14:textId="77777777" w:rsidR="000B56AE" w:rsidRDefault="000B56AE">
            <w:pPr>
              <w:pStyle w:val="TableText"/>
            </w:pPr>
            <w:r>
              <w:t>All users</w:t>
            </w:r>
          </w:p>
        </w:tc>
      </w:tr>
      <w:tr w:rsidR="00F77995" w14:paraId="2834FD59" w14:textId="77777777">
        <w:trPr>
          <w:hidden/>
        </w:trPr>
        <w:tc>
          <w:tcPr>
            <w:tcW w:w="5311" w:type="dxa"/>
            <w:tcBorders>
              <w:bottom w:val="single" w:sz="4" w:space="0" w:color="auto"/>
            </w:tcBorders>
            <w:vAlign w:val="center"/>
          </w:tcPr>
          <w:p w14:paraId="4E0FC06A" w14:textId="77777777" w:rsidR="000B56AE" w:rsidRDefault="000B56AE" w:rsidP="00AC7151">
            <w:pPr>
              <w:pStyle w:val="TableText"/>
            </w:pPr>
            <w:r>
              <w:rPr>
                <w:rFonts w:cs="Arial"/>
                <w:vanish/>
              </w:rPr>
              <w:t xml:space="preserve">BR_43.07 </w:t>
            </w:r>
            <w:r>
              <w:t xml:space="preserve">For blood units that </w:t>
            </w:r>
            <w:r>
              <w:rPr>
                <w:iCs/>
              </w:rPr>
              <w:t>do not require crossmatch</w:t>
            </w:r>
            <w:r>
              <w:t xml:space="preserve"> when the unit is assigned to the patient and is not in a frozen state, VBECS determines when a blood unit is ready for issue. </w:t>
            </w:r>
          </w:p>
        </w:tc>
        <w:tc>
          <w:tcPr>
            <w:tcW w:w="5253" w:type="dxa"/>
            <w:tcBorders>
              <w:bottom w:val="single" w:sz="4" w:space="0" w:color="auto"/>
            </w:tcBorders>
            <w:vAlign w:val="bottom"/>
          </w:tcPr>
          <w:p w14:paraId="4D557DFF" w14:textId="77777777" w:rsidR="000B56AE" w:rsidRDefault="000B56AE">
            <w:pPr>
              <w:pStyle w:val="TableText"/>
            </w:pPr>
            <w:r>
              <w:t>All of the conditions for the unit are</w:t>
            </w:r>
            <w:r>
              <w:rPr>
                <w:i/>
              </w:rPr>
              <w:t xml:space="preserve"> </w:t>
            </w:r>
            <w:r>
              <w:rPr>
                <w:iCs/>
              </w:rPr>
              <w:t>not</w:t>
            </w:r>
            <w:r>
              <w:t xml:space="preserve"> met. The Caution Tag and/or the BTRF cannot be printed at this time and the reason they </w:t>
            </w:r>
            <w:r w:rsidR="00A10483">
              <w:t>cannot</w:t>
            </w:r>
            <w:r>
              <w:t xml:space="preserve"> be printed. Additional patient testing or unit processing must be performed.</w:t>
            </w:r>
          </w:p>
        </w:tc>
        <w:tc>
          <w:tcPr>
            <w:tcW w:w="1793" w:type="dxa"/>
            <w:tcBorders>
              <w:bottom w:val="single" w:sz="4" w:space="0" w:color="auto"/>
            </w:tcBorders>
            <w:vAlign w:val="bottom"/>
          </w:tcPr>
          <w:p w14:paraId="63CF7128" w14:textId="77777777" w:rsidR="000B56AE" w:rsidRDefault="000B56AE">
            <w:pPr>
              <w:pStyle w:val="TableText"/>
            </w:pPr>
            <w:r>
              <w:t>All users</w:t>
            </w:r>
          </w:p>
        </w:tc>
      </w:tr>
    </w:tbl>
    <w:p w14:paraId="13E815CD" w14:textId="0AD0D3AD" w:rsidR="002A21AE" w:rsidRDefault="002A21AE">
      <w:pPr>
        <w:pStyle w:val="Caption"/>
      </w:pPr>
      <w:bookmarkStart w:id="487" w:name="_Toc97523621"/>
      <w:bookmarkStart w:id="488" w:name="_Toc9752759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108</w:t>
      </w:r>
      <w:r w:rsidR="004E20BD">
        <w:rPr>
          <w:noProof/>
        </w:rPr>
        <w:fldChar w:fldCharType="end"/>
      </w:r>
      <w:r>
        <w:t>: Caution Tag</w:t>
      </w:r>
      <w:bookmarkEnd w:id="487"/>
      <w:bookmarkEnd w:id="488"/>
      <w:r w:rsidR="00CC006F">
        <w:t xml:space="preserve"> </w:t>
      </w:r>
      <w:r w:rsidR="00CC006F" w:rsidRPr="00CC006F">
        <w:rPr>
          <w:vanish/>
        </w:rPr>
        <w:t>DR 4848</w:t>
      </w:r>
      <w:r>
        <w:fldChar w:fldCharType="begin"/>
      </w:r>
      <w:r>
        <w:instrText xml:space="preserve"> XE </w:instrText>
      </w:r>
      <w:r w:rsidR="00FA7E65">
        <w:instrText>“</w:instrText>
      </w:r>
      <w:r>
        <w:instrText>Figures:Caution Tag</w:instrText>
      </w:r>
      <w:r w:rsidR="00FA7E65">
        <w:instrText>”</w:instrText>
      </w:r>
      <w:r>
        <w:instrText xml:space="preserve"> </w:instrText>
      </w:r>
      <w:r>
        <w:fldChar w:fldCharType="end"/>
      </w:r>
    </w:p>
    <w:tbl>
      <w:tblPr>
        <w:tblW w:w="5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080"/>
        <w:gridCol w:w="1800"/>
      </w:tblGrid>
      <w:tr w:rsidR="002A21AE" w14:paraId="4BA5CFF3" w14:textId="77777777">
        <w:trPr>
          <w:cantSplit/>
          <w:trHeight w:val="230"/>
          <w:jc w:val="center"/>
        </w:trPr>
        <w:tc>
          <w:tcPr>
            <w:tcW w:w="5760" w:type="dxa"/>
            <w:gridSpan w:val="3"/>
            <w:vMerge w:val="restart"/>
          </w:tcPr>
          <w:p w14:paraId="4999247A" w14:textId="77777777" w:rsidR="002A21AE" w:rsidRPr="0071550C" w:rsidRDefault="0071550C">
            <w:pPr>
              <w:rPr>
                <w:rFonts w:ascii="Arial" w:hAnsi="Arial"/>
                <w:sz w:val="18"/>
                <w:szCs w:val="18"/>
              </w:rPr>
            </w:pPr>
            <w:r w:rsidRPr="0071550C">
              <w:rPr>
                <w:rFonts w:ascii="Arial" w:hAnsi="Arial"/>
                <w:sz w:val="18"/>
                <w:szCs w:val="18"/>
              </w:rPr>
              <w:t>Product Code                                            2D Barcode</w:t>
            </w:r>
          </w:p>
          <w:p w14:paraId="13192F58" w14:textId="77777777" w:rsidR="0071550C" w:rsidRPr="0071550C" w:rsidRDefault="0071550C">
            <w:pPr>
              <w:rPr>
                <w:rFonts w:ascii="Arial" w:hAnsi="Arial"/>
                <w:sz w:val="18"/>
                <w:szCs w:val="18"/>
              </w:rPr>
            </w:pPr>
          </w:p>
          <w:p w14:paraId="483A0056" w14:textId="77777777" w:rsidR="0071550C" w:rsidRPr="0071550C" w:rsidRDefault="002A21AE">
            <w:pPr>
              <w:rPr>
                <w:rFonts w:ascii="Arial" w:hAnsi="Arial"/>
                <w:sz w:val="18"/>
                <w:szCs w:val="18"/>
              </w:rPr>
            </w:pPr>
            <w:r w:rsidRPr="0071550C">
              <w:rPr>
                <w:rFonts w:ascii="Arial" w:hAnsi="Arial"/>
                <w:sz w:val="18"/>
                <w:szCs w:val="18"/>
              </w:rPr>
              <w:t>Division Name</w:t>
            </w:r>
          </w:p>
          <w:p w14:paraId="742BB403" w14:textId="77777777" w:rsidR="002A21AE" w:rsidRDefault="002A21AE">
            <w:pPr>
              <w:rPr>
                <w:rFonts w:ascii="Arial" w:hAnsi="Arial"/>
                <w:sz w:val="20"/>
              </w:rPr>
            </w:pPr>
            <w:r w:rsidRPr="0071550C">
              <w:rPr>
                <w:rFonts w:ascii="Arial" w:hAnsi="Arial"/>
                <w:sz w:val="18"/>
                <w:szCs w:val="18"/>
              </w:rPr>
              <w:t>City, State</w:t>
            </w:r>
          </w:p>
        </w:tc>
      </w:tr>
      <w:tr w:rsidR="002A21AE" w14:paraId="0C004C5A" w14:textId="77777777">
        <w:trPr>
          <w:cantSplit/>
          <w:trHeight w:val="230"/>
          <w:jc w:val="center"/>
        </w:trPr>
        <w:tc>
          <w:tcPr>
            <w:tcW w:w="5760" w:type="dxa"/>
            <w:gridSpan w:val="3"/>
            <w:vMerge/>
          </w:tcPr>
          <w:p w14:paraId="332776AB" w14:textId="77777777" w:rsidR="002A21AE" w:rsidRDefault="002A21AE">
            <w:pPr>
              <w:rPr>
                <w:rFonts w:ascii="Arial" w:hAnsi="Arial"/>
                <w:sz w:val="20"/>
              </w:rPr>
            </w:pPr>
          </w:p>
        </w:tc>
      </w:tr>
      <w:tr w:rsidR="002A21AE" w14:paraId="5F7493FA" w14:textId="77777777">
        <w:trPr>
          <w:cantSplit/>
          <w:jc w:val="center"/>
        </w:trPr>
        <w:tc>
          <w:tcPr>
            <w:tcW w:w="5760" w:type="dxa"/>
            <w:gridSpan w:val="3"/>
          </w:tcPr>
          <w:p w14:paraId="027DBE17" w14:textId="77777777" w:rsidR="002A21AE" w:rsidRPr="0071550C" w:rsidRDefault="002A21AE" w:rsidP="0071550C">
            <w:pPr>
              <w:rPr>
                <w:rFonts w:ascii="Arial" w:hAnsi="Arial"/>
                <w:sz w:val="20"/>
                <w:vertAlign w:val="superscript"/>
              </w:rPr>
            </w:pPr>
            <w:r w:rsidRPr="0071550C">
              <w:rPr>
                <w:rFonts w:ascii="Arial" w:hAnsi="Arial"/>
                <w:sz w:val="20"/>
                <w:vertAlign w:val="superscript"/>
              </w:rPr>
              <w:t xml:space="preserve">Patient </w:t>
            </w:r>
            <w:r w:rsidR="0071550C" w:rsidRPr="0071550C">
              <w:rPr>
                <w:rFonts w:ascii="Arial" w:hAnsi="Arial"/>
                <w:sz w:val="20"/>
                <w:vertAlign w:val="superscript"/>
              </w:rPr>
              <w:t>Name</w:t>
            </w:r>
            <w:r w:rsidRPr="0071550C">
              <w:rPr>
                <w:rFonts w:ascii="Arial" w:hAnsi="Arial"/>
                <w:sz w:val="20"/>
                <w:vertAlign w:val="superscript"/>
              </w:rPr>
              <w:t>:</w:t>
            </w:r>
          </w:p>
          <w:p w14:paraId="2CF21DF9" w14:textId="77777777" w:rsidR="002A21AE" w:rsidRDefault="002A21AE">
            <w:pPr>
              <w:rPr>
                <w:rFonts w:ascii="Arial" w:hAnsi="Arial"/>
                <w:sz w:val="20"/>
                <w:vertAlign w:val="superscript"/>
              </w:rPr>
            </w:pPr>
          </w:p>
        </w:tc>
      </w:tr>
      <w:tr w:rsidR="002A21AE" w14:paraId="55A2C9C1" w14:textId="77777777">
        <w:trPr>
          <w:cantSplit/>
          <w:jc w:val="center"/>
        </w:trPr>
        <w:tc>
          <w:tcPr>
            <w:tcW w:w="3960" w:type="dxa"/>
            <w:gridSpan w:val="2"/>
            <w:tcBorders>
              <w:bottom w:val="single" w:sz="4" w:space="0" w:color="auto"/>
            </w:tcBorders>
          </w:tcPr>
          <w:p w14:paraId="165DC958" w14:textId="77777777" w:rsidR="002A21AE" w:rsidRDefault="002A21AE">
            <w:pPr>
              <w:rPr>
                <w:rFonts w:ascii="Arial" w:hAnsi="Arial"/>
                <w:b/>
                <w:sz w:val="20"/>
                <w:vertAlign w:val="superscript"/>
              </w:rPr>
            </w:pPr>
            <w:r>
              <w:rPr>
                <w:rFonts w:ascii="Arial" w:hAnsi="Arial"/>
                <w:sz w:val="20"/>
                <w:vertAlign w:val="superscript"/>
              </w:rPr>
              <w:t xml:space="preserve">Patient </w:t>
            </w:r>
            <w:r w:rsidR="0071550C">
              <w:rPr>
                <w:rFonts w:ascii="Arial" w:hAnsi="Arial"/>
                <w:sz w:val="20"/>
                <w:vertAlign w:val="superscript"/>
              </w:rPr>
              <w:t>ID</w:t>
            </w:r>
            <w:r>
              <w:rPr>
                <w:rFonts w:ascii="Arial" w:hAnsi="Arial"/>
                <w:sz w:val="20"/>
                <w:vertAlign w:val="superscript"/>
              </w:rPr>
              <w:t>:</w:t>
            </w:r>
          </w:p>
          <w:p w14:paraId="2702018C" w14:textId="77777777" w:rsidR="002A21AE" w:rsidRDefault="002A21AE">
            <w:pPr>
              <w:rPr>
                <w:rFonts w:ascii="Arial" w:hAnsi="Arial"/>
                <w:sz w:val="20"/>
                <w:vertAlign w:val="superscript"/>
              </w:rPr>
            </w:pPr>
          </w:p>
        </w:tc>
        <w:tc>
          <w:tcPr>
            <w:tcW w:w="1800" w:type="dxa"/>
            <w:tcBorders>
              <w:bottom w:val="single" w:sz="4" w:space="0" w:color="auto"/>
            </w:tcBorders>
          </w:tcPr>
          <w:p w14:paraId="130223C4" w14:textId="77777777" w:rsidR="002A21AE" w:rsidRDefault="002A21AE">
            <w:pPr>
              <w:rPr>
                <w:rFonts w:ascii="Arial" w:hAnsi="Arial"/>
                <w:sz w:val="20"/>
                <w:vertAlign w:val="superscript"/>
              </w:rPr>
            </w:pPr>
            <w:r>
              <w:rPr>
                <w:rFonts w:ascii="Arial" w:hAnsi="Arial"/>
                <w:sz w:val="20"/>
                <w:vertAlign w:val="superscript"/>
              </w:rPr>
              <w:t>Recipient Blood Type:</w:t>
            </w:r>
          </w:p>
          <w:p w14:paraId="5422C9C1" w14:textId="77777777" w:rsidR="002A21AE" w:rsidRDefault="002A21AE">
            <w:pPr>
              <w:pStyle w:val="Heading4"/>
              <w:rPr>
                <w:sz w:val="20"/>
                <w:vertAlign w:val="superscript"/>
              </w:rPr>
            </w:pPr>
          </w:p>
        </w:tc>
      </w:tr>
      <w:tr w:rsidR="002A21AE" w14:paraId="5856B5FF" w14:textId="77777777">
        <w:trPr>
          <w:cantSplit/>
          <w:trHeight w:val="230"/>
          <w:jc w:val="center"/>
        </w:trPr>
        <w:tc>
          <w:tcPr>
            <w:tcW w:w="3960" w:type="dxa"/>
            <w:gridSpan w:val="2"/>
            <w:vMerge w:val="restart"/>
          </w:tcPr>
          <w:p w14:paraId="6122C661" w14:textId="77777777" w:rsidR="002A21AE" w:rsidRDefault="002A21AE">
            <w:pPr>
              <w:rPr>
                <w:rFonts w:ascii="Arial" w:hAnsi="Arial"/>
                <w:sz w:val="20"/>
                <w:vertAlign w:val="superscript"/>
              </w:rPr>
            </w:pPr>
            <w:r>
              <w:rPr>
                <w:rFonts w:ascii="Arial" w:hAnsi="Arial"/>
                <w:sz w:val="20"/>
                <w:vertAlign w:val="superscript"/>
              </w:rPr>
              <w:t>Unit/Pool ID:</w:t>
            </w:r>
          </w:p>
        </w:tc>
        <w:tc>
          <w:tcPr>
            <w:tcW w:w="1800" w:type="dxa"/>
            <w:vMerge w:val="restart"/>
          </w:tcPr>
          <w:p w14:paraId="0E216C34" w14:textId="77777777" w:rsidR="002A21AE" w:rsidRDefault="002A21AE">
            <w:pPr>
              <w:rPr>
                <w:rFonts w:ascii="Arial" w:hAnsi="Arial"/>
                <w:sz w:val="20"/>
                <w:vertAlign w:val="superscript"/>
              </w:rPr>
            </w:pPr>
            <w:r>
              <w:rPr>
                <w:rFonts w:ascii="Arial" w:hAnsi="Arial"/>
                <w:sz w:val="20"/>
                <w:vertAlign w:val="superscript"/>
              </w:rPr>
              <w:t>Donor Blood Type:</w:t>
            </w:r>
          </w:p>
          <w:p w14:paraId="3340CF1F" w14:textId="77777777" w:rsidR="002A21AE" w:rsidRDefault="002A21AE">
            <w:pPr>
              <w:rPr>
                <w:rFonts w:ascii="Arial" w:hAnsi="Arial"/>
                <w:sz w:val="20"/>
                <w:vertAlign w:val="superscript"/>
              </w:rPr>
            </w:pPr>
          </w:p>
        </w:tc>
      </w:tr>
      <w:tr w:rsidR="002A21AE" w14:paraId="79F150A6" w14:textId="77777777">
        <w:trPr>
          <w:cantSplit/>
          <w:trHeight w:val="230"/>
          <w:jc w:val="center"/>
        </w:trPr>
        <w:tc>
          <w:tcPr>
            <w:tcW w:w="3960" w:type="dxa"/>
            <w:gridSpan w:val="2"/>
            <w:vMerge/>
          </w:tcPr>
          <w:p w14:paraId="1190DA65" w14:textId="77777777" w:rsidR="002A21AE" w:rsidRDefault="002A21AE">
            <w:pPr>
              <w:rPr>
                <w:rFonts w:ascii="Arial" w:hAnsi="Arial"/>
                <w:sz w:val="20"/>
                <w:vertAlign w:val="superscript"/>
              </w:rPr>
            </w:pPr>
          </w:p>
        </w:tc>
        <w:tc>
          <w:tcPr>
            <w:tcW w:w="1800" w:type="dxa"/>
            <w:vMerge/>
          </w:tcPr>
          <w:p w14:paraId="7D171799" w14:textId="77777777" w:rsidR="002A21AE" w:rsidRDefault="002A21AE">
            <w:pPr>
              <w:rPr>
                <w:rFonts w:ascii="Arial" w:hAnsi="Arial"/>
                <w:sz w:val="20"/>
                <w:vertAlign w:val="superscript"/>
              </w:rPr>
            </w:pPr>
          </w:p>
        </w:tc>
      </w:tr>
      <w:tr w:rsidR="002A21AE" w14:paraId="7CBB74AF" w14:textId="77777777">
        <w:trPr>
          <w:cantSplit/>
          <w:jc w:val="center"/>
        </w:trPr>
        <w:tc>
          <w:tcPr>
            <w:tcW w:w="5760" w:type="dxa"/>
            <w:gridSpan w:val="3"/>
            <w:tcBorders>
              <w:bottom w:val="single" w:sz="4" w:space="0" w:color="auto"/>
            </w:tcBorders>
          </w:tcPr>
          <w:p w14:paraId="39AFEB1D" w14:textId="77777777" w:rsidR="002A21AE" w:rsidRPr="0071550C" w:rsidRDefault="002A21AE">
            <w:pPr>
              <w:rPr>
                <w:rFonts w:ascii="Arial" w:hAnsi="Arial"/>
                <w:sz w:val="20"/>
                <w:vertAlign w:val="superscript"/>
              </w:rPr>
            </w:pPr>
            <w:r w:rsidRPr="0071550C">
              <w:rPr>
                <w:rFonts w:ascii="Arial" w:hAnsi="Arial"/>
                <w:sz w:val="20"/>
                <w:vertAlign w:val="superscript"/>
              </w:rPr>
              <w:t>Compatibility Interpretation:</w:t>
            </w:r>
          </w:p>
          <w:p w14:paraId="2CDB8649" w14:textId="77777777" w:rsidR="002A21AE" w:rsidRDefault="002A21AE">
            <w:pPr>
              <w:rPr>
                <w:vertAlign w:val="superscript"/>
              </w:rPr>
            </w:pPr>
          </w:p>
        </w:tc>
      </w:tr>
      <w:tr w:rsidR="002A21AE" w14:paraId="2A0BB48B" w14:textId="77777777">
        <w:trPr>
          <w:cantSplit/>
          <w:trHeight w:val="276"/>
          <w:jc w:val="center"/>
        </w:trPr>
        <w:tc>
          <w:tcPr>
            <w:tcW w:w="5760" w:type="dxa"/>
            <w:gridSpan w:val="3"/>
            <w:vMerge w:val="restart"/>
          </w:tcPr>
          <w:p w14:paraId="3E78596E" w14:textId="77777777" w:rsidR="002A21AE" w:rsidRDefault="002A21AE">
            <w:pPr>
              <w:rPr>
                <w:rFonts w:ascii="Arial" w:hAnsi="Arial"/>
                <w:sz w:val="18"/>
              </w:rPr>
            </w:pPr>
            <w:r>
              <w:rPr>
                <w:rFonts w:ascii="Arial" w:hAnsi="Arial"/>
                <w:b/>
                <w:snapToGrid w:val="0"/>
                <w:sz w:val="18"/>
              </w:rPr>
              <w:t>CAUTION:</w:t>
            </w:r>
            <w:r>
              <w:rPr>
                <w:rFonts w:ascii="Arial" w:hAnsi="Arial"/>
                <w:snapToGrid w:val="0"/>
                <w:sz w:val="18"/>
              </w:rPr>
              <w:t xml:space="preserve"> </w:t>
            </w:r>
            <w:r>
              <w:rPr>
                <w:rFonts w:ascii="Arial" w:hAnsi="Arial"/>
                <w:b/>
                <w:snapToGrid w:val="0"/>
                <w:sz w:val="18"/>
              </w:rPr>
              <w:t>Before transfusing this blood component, perform bedside verification of the patient</w:t>
            </w:r>
            <w:r w:rsidR="00FA7E65">
              <w:rPr>
                <w:rFonts w:ascii="Arial" w:hAnsi="Arial"/>
                <w:b/>
                <w:snapToGrid w:val="0"/>
                <w:sz w:val="18"/>
              </w:rPr>
              <w:t>’</w:t>
            </w:r>
            <w:r>
              <w:rPr>
                <w:rFonts w:ascii="Arial" w:hAnsi="Arial"/>
                <w:b/>
                <w:snapToGrid w:val="0"/>
                <w:sz w:val="18"/>
              </w:rPr>
              <w:t xml:space="preserve">s identity </w:t>
            </w:r>
            <w:r>
              <w:rPr>
                <w:rFonts w:ascii="Arial" w:hAnsi="Arial"/>
                <w:snapToGrid w:val="0"/>
                <w:sz w:val="18"/>
              </w:rPr>
              <w:t>by matching the patient identification on this tag with the patient wristband and the Blood Transfusion Record Form.</w:t>
            </w:r>
          </w:p>
        </w:tc>
      </w:tr>
      <w:tr w:rsidR="002A21AE" w14:paraId="65CBC69D" w14:textId="77777777">
        <w:trPr>
          <w:cantSplit/>
          <w:trHeight w:val="276"/>
          <w:jc w:val="center"/>
        </w:trPr>
        <w:tc>
          <w:tcPr>
            <w:tcW w:w="5760" w:type="dxa"/>
            <w:gridSpan w:val="3"/>
            <w:vMerge/>
          </w:tcPr>
          <w:p w14:paraId="1E19FB56" w14:textId="77777777" w:rsidR="002A21AE" w:rsidRDefault="002A21AE">
            <w:pPr>
              <w:rPr>
                <w:rFonts w:ascii="Arial" w:hAnsi="Arial"/>
                <w:sz w:val="18"/>
              </w:rPr>
            </w:pPr>
          </w:p>
        </w:tc>
      </w:tr>
      <w:tr w:rsidR="002A21AE" w14:paraId="7B609907" w14:textId="77777777">
        <w:trPr>
          <w:cantSplit/>
          <w:trHeight w:val="207"/>
          <w:jc w:val="center"/>
        </w:trPr>
        <w:tc>
          <w:tcPr>
            <w:tcW w:w="5760" w:type="dxa"/>
            <w:gridSpan w:val="3"/>
            <w:vMerge/>
            <w:tcBorders>
              <w:bottom w:val="single" w:sz="4" w:space="0" w:color="auto"/>
            </w:tcBorders>
          </w:tcPr>
          <w:p w14:paraId="558F73F6" w14:textId="77777777" w:rsidR="002A21AE" w:rsidRDefault="002A21AE">
            <w:pPr>
              <w:rPr>
                <w:rFonts w:ascii="Arial" w:hAnsi="Arial"/>
                <w:sz w:val="18"/>
              </w:rPr>
            </w:pPr>
          </w:p>
        </w:tc>
      </w:tr>
      <w:tr w:rsidR="002A21AE" w14:paraId="6E674893" w14:textId="77777777">
        <w:trPr>
          <w:cantSplit/>
          <w:jc w:val="center"/>
        </w:trPr>
        <w:tc>
          <w:tcPr>
            <w:tcW w:w="2880" w:type="dxa"/>
          </w:tcPr>
          <w:p w14:paraId="43DB9AA1" w14:textId="77777777" w:rsidR="002A21AE" w:rsidRDefault="002A21AE">
            <w:pPr>
              <w:rPr>
                <w:rFonts w:ascii="Arial" w:hAnsi="Arial"/>
                <w:sz w:val="18"/>
                <w:vertAlign w:val="superscript"/>
              </w:rPr>
            </w:pPr>
            <w:r>
              <w:rPr>
                <w:rFonts w:ascii="Arial" w:hAnsi="Arial"/>
                <w:sz w:val="18"/>
                <w:vertAlign w:val="superscript"/>
              </w:rPr>
              <w:t>Assigned Date/Time:</w:t>
            </w:r>
          </w:p>
          <w:p w14:paraId="5AC7DA58" w14:textId="77777777" w:rsidR="002A21AE" w:rsidRDefault="002A21AE">
            <w:pPr>
              <w:rPr>
                <w:rFonts w:ascii="Arial" w:hAnsi="Arial"/>
                <w:sz w:val="20"/>
              </w:rPr>
            </w:pPr>
          </w:p>
        </w:tc>
        <w:tc>
          <w:tcPr>
            <w:tcW w:w="2880" w:type="dxa"/>
            <w:gridSpan w:val="2"/>
          </w:tcPr>
          <w:p w14:paraId="4010433A" w14:textId="77777777" w:rsidR="002A21AE" w:rsidRDefault="00CC006F">
            <w:pPr>
              <w:rPr>
                <w:rFonts w:ascii="Arial" w:hAnsi="Arial"/>
                <w:sz w:val="20"/>
                <w:vertAlign w:val="superscript"/>
              </w:rPr>
            </w:pPr>
            <w:r>
              <w:rPr>
                <w:rFonts w:ascii="Arial" w:hAnsi="Arial"/>
                <w:sz w:val="20"/>
                <w:vertAlign w:val="superscript"/>
              </w:rPr>
              <w:t>Assigning Tech/ Crossmatch Tech:</w:t>
            </w:r>
          </w:p>
          <w:p w14:paraId="4AEFD911" w14:textId="77777777" w:rsidR="002A21AE" w:rsidRDefault="002A21AE">
            <w:pPr>
              <w:rPr>
                <w:rFonts w:ascii="Arial" w:hAnsi="Arial"/>
              </w:rPr>
            </w:pPr>
          </w:p>
        </w:tc>
      </w:tr>
    </w:tbl>
    <w:p w14:paraId="0B5822B8" w14:textId="77777777" w:rsidR="002A21AE" w:rsidRDefault="002A21AE"/>
    <w:p w14:paraId="4F38B54C" w14:textId="17690469" w:rsidR="002A21AE" w:rsidRDefault="002A21AE">
      <w:pPr>
        <w:pStyle w:val="Caption"/>
      </w:pPr>
      <w:r>
        <w:br w:type="page"/>
      </w:r>
      <w:bookmarkStart w:id="489" w:name="_Toc97523622"/>
      <w:bookmarkStart w:id="490" w:name="_Toc9752759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109</w:t>
      </w:r>
      <w:r w:rsidR="004E20BD">
        <w:rPr>
          <w:noProof/>
        </w:rPr>
        <w:fldChar w:fldCharType="end"/>
      </w:r>
      <w:r>
        <w:t>: Blood Transfusion Record Form</w:t>
      </w:r>
      <w:bookmarkEnd w:id="489"/>
      <w:bookmarkEnd w:id="490"/>
      <w:r>
        <w:fldChar w:fldCharType="begin"/>
      </w:r>
      <w:r>
        <w:instrText xml:space="preserve"> XE </w:instrText>
      </w:r>
      <w:r w:rsidR="00FA7E65">
        <w:instrText>“</w:instrText>
      </w:r>
      <w:r>
        <w:instrText>Figures:Blood Transfusion Record Form</w:instrText>
      </w:r>
      <w:r w:rsidR="00FA7E65">
        <w:instrText>”</w:instrText>
      </w:r>
      <w:r>
        <w:instrText xml:space="preserve"> </w:instrText>
      </w:r>
      <w:r>
        <w:fldChar w:fldCharType="end"/>
      </w:r>
    </w:p>
    <w:p w14:paraId="4D901740" w14:textId="77777777" w:rsidR="00B75AA9" w:rsidRDefault="00B75AA9" w:rsidP="00716890">
      <w:pPr>
        <w:pStyle w:val="TableText"/>
        <w:tabs>
          <w:tab w:val="left" w:leader="underscore" w:pos="2880"/>
          <w:tab w:val="left" w:leader="underscore" w:pos="5040"/>
          <w:tab w:val="left" w:leader="underscore" w:pos="7200"/>
        </w:tabs>
      </w:pPr>
    </w:p>
    <w:p w14:paraId="2BD8C8A5" w14:textId="77777777" w:rsidR="00A00904" w:rsidRDefault="00057948" w:rsidP="00716890">
      <w:pPr>
        <w:pStyle w:val="TableText"/>
        <w:tabs>
          <w:tab w:val="left" w:leader="underscore" w:pos="2880"/>
          <w:tab w:val="left" w:leader="underscore" w:pos="5040"/>
          <w:tab w:val="left" w:leader="underscore" w:pos="7200"/>
        </w:tabs>
        <w:rPr>
          <w:color w:val="1F497D"/>
        </w:rPr>
      </w:pPr>
      <w:r>
        <w:rPr>
          <w:noProof/>
        </w:rPr>
        <w:drawing>
          <wp:inline distT="0" distB="0" distL="0" distR="0" wp14:anchorId="042337D4" wp14:editId="6058E052">
            <wp:extent cx="6659245" cy="5043170"/>
            <wp:effectExtent l="0" t="0" r="8255" b="5080"/>
            <wp:docPr id="200" name="Picture 2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a:extLst>
                        <a:ext uri="{C183D7F6-B498-43B3-948B-1728B52AA6E4}">
                          <adec:decorative xmlns:adec="http://schemas.microsoft.com/office/drawing/2017/decorative" val="1"/>
                        </a:ext>
                      </a:extLst>
                    </pic:cNvPr>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659245" cy="5043170"/>
                    </a:xfrm>
                    <a:prstGeom prst="rect">
                      <a:avLst/>
                    </a:prstGeom>
                    <a:noFill/>
                    <a:ln>
                      <a:noFill/>
                    </a:ln>
                  </pic:spPr>
                </pic:pic>
              </a:graphicData>
            </a:graphic>
          </wp:inline>
        </w:drawing>
      </w:r>
    </w:p>
    <w:p w14:paraId="369625FA" w14:textId="77777777" w:rsidR="00A00904" w:rsidRDefault="00057948" w:rsidP="00716890">
      <w:pPr>
        <w:pStyle w:val="TableText"/>
        <w:tabs>
          <w:tab w:val="left" w:leader="underscore" w:pos="2880"/>
          <w:tab w:val="left" w:leader="underscore" w:pos="5040"/>
          <w:tab w:val="left" w:leader="underscore" w:pos="7200"/>
        </w:tabs>
        <w:sectPr w:rsidR="00A00904" w:rsidSect="00EE771C">
          <w:headerReference w:type="default" r:id="rId196"/>
          <w:pgSz w:w="12240" w:h="15840" w:code="1"/>
          <w:pgMar w:top="1440" w:right="1440" w:bottom="1440" w:left="1440" w:header="720" w:footer="720" w:gutter="0"/>
          <w:cols w:space="720"/>
          <w:docGrid w:linePitch="360"/>
        </w:sectPr>
      </w:pPr>
      <w:r>
        <w:rPr>
          <w:noProof/>
        </w:rPr>
        <w:lastRenderedPageBreak/>
        <w:drawing>
          <wp:inline distT="0" distB="0" distL="0" distR="0" wp14:anchorId="5ACEAC29" wp14:editId="4CA2813B">
            <wp:extent cx="6825615" cy="4304030"/>
            <wp:effectExtent l="19050" t="19050" r="13335" b="20320"/>
            <wp:docPr id="201" name="Picture 2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a:extLst>
                        <a:ext uri="{C183D7F6-B498-43B3-948B-1728B52AA6E4}">
                          <adec:decorative xmlns:adec="http://schemas.microsoft.com/office/drawing/2017/decorative" val="1"/>
                        </a:ext>
                      </a:extLst>
                    </pic:cNvPr>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825615" cy="4304030"/>
                    </a:xfrm>
                    <a:prstGeom prst="rect">
                      <a:avLst/>
                    </a:prstGeom>
                    <a:noFill/>
                    <a:ln w="6350" cmpd="sng">
                      <a:solidFill>
                        <a:srgbClr val="000000"/>
                      </a:solidFill>
                      <a:miter lim="800000"/>
                      <a:headEnd/>
                      <a:tailEnd/>
                    </a:ln>
                    <a:effectLst/>
                  </pic:spPr>
                </pic:pic>
              </a:graphicData>
            </a:graphic>
          </wp:inline>
        </w:drawing>
      </w:r>
    </w:p>
    <w:p w14:paraId="393BBEF6" w14:textId="77777777" w:rsidR="002A21AE" w:rsidRDefault="002A21AE">
      <w:pPr>
        <w:pStyle w:val="Heading2"/>
      </w:pPr>
      <w:bookmarkStart w:id="491" w:name="_Toc47516737"/>
      <w:r>
        <w:lastRenderedPageBreak/>
        <w:t>Invalidate Test Results</w:t>
      </w:r>
      <w:bookmarkEnd w:id="491"/>
      <w:r>
        <w:rPr>
          <w:rFonts w:ascii="Geneva" w:hAnsi="Geneva"/>
          <w:vanish/>
        </w:rPr>
        <w:fldChar w:fldCharType="begin"/>
      </w:r>
      <w:r>
        <w:rPr>
          <w:rFonts w:ascii="Geneva" w:hAnsi="Geneva"/>
          <w:vanish/>
        </w:rPr>
        <w:instrText xml:space="preserve"> XE </w:instrText>
      </w:r>
      <w:r w:rsidR="00FA7E65">
        <w:rPr>
          <w:rFonts w:ascii="Geneva" w:hAnsi="Geneva"/>
          <w:vanish/>
        </w:rPr>
        <w:instrText>“</w:instrText>
      </w:r>
      <w:r>
        <w:rPr>
          <w:rFonts w:ascii="Geneva" w:hAnsi="Geneva"/>
          <w:vanish/>
        </w:rPr>
        <w:instrText>Invalidate Test Results</w:instrText>
      </w:r>
      <w:r w:rsidR="00FA7E65">
        <w:rPr>
          <w:rFonts w:ascii="Geneva" w:hAnsi="Geneva"/>
          <w:vanish/>
        </w:rPr>
        <w:instrText>”</w:instrText>
      </w:r>
      <w:r>
        <w:rPr>
          <w:rFonts w:ascii="Geneva" w:hAnsi="Geneva"/>
          <w:vanish/>
        </w:rPr>
        <w:instrText xml:space="preserve"> </w:instrText>
      </w:r>
      <w:r>
        <w:rPr>
          <w:rFonts w:ascii="Geneva" w:hAnsi="Geneva"/>
          <w:vanish/>
        </w:rPr>
        <w:fldChar w:fldCharType="end"/>
      </w:r>
      <w:r>
        <w:rPr>
          <w:rFonts w:ascii="Geneva" w:hAnsi="Geneva"/>
          <w:vanish/>
        </w:rPr>
        <w:t xml:space="preserve"> UC_94</w:t>
      </w:r>
    </w:p>
    <w:p w14:paraId="4419C6B9" w14:textId="77777777" w:rsidR="002A21AE" w:rsidRDefault="002A21AE" w:rsidP="00FA7E65">
      <w:pPr>
        <w:pStyle w:val="BodyText"/>
      </w:pPr>
      <w:r>
        <w:t>The user invalidates incorrectly entered patient test results and reenters correct patient test results and interpretations.</w:t>
      </w:r>
    </w:p>
    <w:p w14:paraId="2BE97B81" w14:textId="77777777" w:rsidR="002A21AE" w:rsidRDefault="002A21AE">
      <w:pPr>
        <w:pStyle w:val="Heading4"/>
      </w:pPr>
      <w:r>
        <w:t>Assumptions</w:t>
      </w:r>
      <w:r>
        <w:rPr>
          <w:b w:val="0"/>
        </w:rPr>
        <w:t xml:space="preserve"> </w:t>
      </w:r>
    </w:p>
    <w:p w14:paraId="3733C49A" w14:textId="77777777" w:rsidR="002A21AE" w:rsidRDefault="002A21AE">
      <w:pPr>
        <w:pStyle w:val="ListBullet"/>
      </w:pPr>
      <w:r>
        <w:t>A completed patient order exists in VBECS.</w:t>
      </w:r>
    </w:p>
    <w:p w14:paraId="580A1F63" w14:textId="77777777" w:rsidR="002A21AE" w:rsidRDefault="002A21AE">
      <w:pPr>
        <w:pStyle w:val="Heading4"/>
      </w:pPr>
      <w:r>
        <w:t xml:space="preserve">Outcome </w:t>
      </w:r>
    </w:p>
    <w:p w14:paraId="1762F1D5" w14:textId="77777777" w:rsidR="002A21AE" w:rsidRDefault="002A21AE">
      <w:pPr>
        <w:pStyle w:val="ListBullet"/>
      </w:pPr>
      <w:r>
        <w:t>Test results are invalidated.</w:t>
      </w:r>
    </w:p>
    <w:p w14:paraId="49E43C30" w14:textId="77777777" w:rsidR="002A21AE" w:rsidRDefault="002A21AE">
      <w:pPr>
        <w:pStyle w:val="ListBullet"/>
      </w:pPr>
      <w:r>
        <w:t xml:space="preserve">VBECS may assign “correction” status to a task to allow the user to repeat a test and add it to the Pending Task List (PTL). </w:t>
      </w:r>
    </w:p>
    <w:p w14:paraId="53E5E609" w14:textId="77777777" w:rsidR="002A21AE" w:rsidRDefault="002A21AE">
      <w:pPr>
        <w:pStyle w:val="Heading4"/>
      </w:pPr>
      <w:r>
        <w:t>Limitations and Restrictions</w:t>
      </w:r>
      <w:r>
        <w:rPr>
          <w:b w:val="0"/>
        </w:rPr>
        <w:t xml:space="preserve"> </w:t>
      </w:r>
    </w:p>
    <w:p w14:paraId="35B6D6FD" w14:textId="77777777" w:rsidR="002A21AE" w:rsidRDefault="002A21AE">
      <w:pPr>
        <w:pStyle w:val="ListBullet"/>
      </w:pPr>
      <w:r>
        <w:t>A user may not inactivate a component task in this option.</w:t>
      </w:r>
    </w:p>
    <w:p w14:paraId="42627B15" w14:textId="77777777" w:rsidR="002A21AE" w:rsidRDefault="002A21AE">
      <w:pPr>
        <w:pStyle w:val="ListBullet"/>
      </w:pPr>
      <w:r>
        <w:t>This option does not release units from patient assignment. The user must release “assigned” units before invalidating the test results.</w:t>
      </w:r>
    </w:p>
    <w:p w14:paraId="57189FEE" w14:textId="77777777" w:rsidR="001B2013" w:rsidRDefault="001B2013" w:rsidP="001B2013">
      <w:pPr>
        <w:pStyle w:val="ListBullet"/>
      </w:pPr>
      <w:r>
        <w:t>T</w:t>
      </w:r>
      <w:r w:rsidRPr="001B2013">
        <w:t xml:space="preserve">o </w:t>
      </w:r>
      <w:r>
        <w:t>maintain</w:t>
      </w:r>
      <w:r w:rsidRPr="001B2013">
        <w:t xml:space="preserve"> a clear record</w:t>
      </w:r>
      <w:r>
        <w:t xml:space="preserve"> and system checks, the user must invalidate both original and repeat ABO/Rh tests</w:t>
      </w:r>
      <w:r w:rsidR="00C17389">
        <w:t>.</w:t>
      </w:r>
    </w:p>
    <w:p w14:paraId="66BC5C5A" w14:textId="77777777" w:rsidR="00C17389" w:rsidRPr="001B2013" w:rsidRDefault="00AB786F" w:rsidP="001B2013">
      <w:pPr>
        <w:pStyle w:val="ListBullet"/>
      </w:pPr>
      <w:r>
        <w:t>Do not invalidate part of the configured test. Doing this will put</w:t>
      </w:r>
      <w:r w:rsidR="003D719C">
        <w:t xml:space="preserve"> the specimen into a </w:t>
      </w:r>
      <w:r w:rsidR="00E037D2">
        <w:t>state where it cannot be processed</w:t>
      </w:r>
      <w:r w:rsidR="0055788D">
        <w:t>. I</w:t>
      </w:r>
      <w:r w:rsidR="00C17389">
        <w:t xml:space="preserve">nvalidate </w:t>
      </w:r>
      <w:r w:rsidR="00A87E0D">
        <w:t>all tests configured as</w:t>
      </w:r>
      <w:r w:rsidR="00C17389">
        <w:t xml:space="preserve"> part of the TAS </w:t>
      </w:r>
      <w:r w:rsidR="00A87E0D">
        <w:t>regardless of which sub test (</w:t>
      </w:r>
      <w:r w:rsidR="00C17389">
        <w:t>ABO/Rh</w:t>
      </w:r>
      <w:r w:rsidR="00E037D2">
        <w:t>, ABS or DAT) is the</w:t>
      </w:r>
      <w:r w:rsidR="00A87E0D">
        <w:t xml:space="preserve"> </w:t>
      </w:r>
      <w:r w:rsidR="00942363">
        <w:t>problem</w:t>
      </w:r>
      <w:r w:rsidR="00C17389">
        <w:t xml:space="preserve">. </w:t>
      </w:r>
      <w:r w:rsidR="00C17389" w:rsidRPr="00C17389">
        <w:rPr>
          <w:vanish/>
        </w:rPr>
        <w:t>DR 4685</w:t>
      </w:r>
      <w:r w:rsidR="00942363">
        <w:rPr>
          <w:vanish/>
        </w:rPr>
        <w:t xml:space="preserve"> DR 4854</w:t>
      </w:r>
    </w:p>
    <w:p w14:paraId="632FE24D" w14:textId="77777777" w:rsidR="002A21AE" w:rsidRDefault="002A21AE">
      <w:pPr>
        <w:pStyle w:val="Heading4"/>
      </w:pPr>
      <w:r>
        <w:t xml:space="preserve">Additional Information </w:t>
      </w:r>
    </w:p>
    <w:p w14:paraId="3F099C9C" w14:textId="77777777" w:rsidR="002A21AE" w:rsidRDefault="002A21AE">
      <w:pPr>
        <w:pStyle w:val="ListBullet"/>
      </w:pPr>
      <w:r>
        <w:t>VBECS invalidates the entire test group during this option. The user must reenter results to replace the invalidated results.</w:t>
      </w:r>
    </w:p>
    <w:p w14:paraId="6EC9D114" w14:textId="77777777" w:rsidR="002A21AE" w:rsidRDefault="002A21AE">
      <w:pPr>
        <w:pStyle w:val="ListBullet"/>
      </w:pPr>
      <w:r>
        <w:t>Workload and billing are inactivated or rescinded from the inactivated testing.</w:t>
      </w:r>
    </w:p>
    <w:p w14:paraId="4F66E640" w14:textId="77777777" w:rsidR="002A21AE" w:rsidRDefault="002A21AE">
      <w:pPr>
        <w:pStyle w:val="ListBullet"/>
      </w:pPr>
      <w:r>
        <w:rPr>
          <w:rFonts w:ascii="Arial" w:hAnsi="Arial" w:cs="Arial"/>
          <w:vanish/>
          <w:spacing w:val="0"/>
          <w:sz w:val="18"/>
        </w:rPr>
        <w:t xml:space="preserve">BR_94.09 </w:t>
      </w:r>
      <w:r>
        <w:t>VBECS invali</w:t>
      </w:r>
      <w:r w:rsidR="00113E2C">
        <w:t>dates t</w:t>
      </w:r>
      <w:r>
        <w:t xml:space="preserve">ransfusion </w:t>
      </w:r>
      <w:r w:rsidR="00113E2C">
        <w:t>r</w:t>
      </w:r>
      <w:r>
        <w:t xml:space="preserve">eaction </w:t>
      </w:r>
      <w:r w:rsidR="00113E2C">
        <w:t>w</w:t>
      </w:r>
      <w:r>
        <w:t>orkups (TRWs) in total and crossmatches (XMs) by unit.</w:t>
      </w:r>
    </w:p>
    <w:p w14:paraId="399BF400" w14:textId="77777777" w:rsidR="002A21AE" w:rsidRDefault="002A21AE">
      <w:pPr>
        <w:pStyle w:val="ListBullet"/>
      </w:pPr>
      <w:r>
        <w:rPr>
          <w:rFonts w:ascii="Arial" w:hAnsi="Arial" w:cs="Arial"/>
          <w:vanish/>
          <w:spacing w:val="0"/>
          <w:sz w:val="18"/>
        </w:rPr>
        <w:t xml:space="preserve">BR_94.10 </w:t>
      </w:r>
      <w:r>
        <w:t>Invalidation of an antibody identification (ABID) task invalidates all antibody spec</w:t>
      </w:r>
      <w:r w:rsidR="006E3236">
        <w:t>ificities entered in that task.</w:t>
      </w:r>
    </w:p>
    <w:p w14:paraId="2EEC7A2B" w14:textId="77777777" w:rsidR="002A21AE" w:rsidRDefault="002A21AE">
      <w:pPr>
        <w:pStyle w:val="ListBullet"/>
      </w:pPr>
      <w:r>
        <w:t>VBECS displays results and interpretations of the tests but not any QC performed with the tests.</w:t>
      </w:r>
    </w:p>
    <w:p w14:paraId="4117991D" w14:textId="7508FDEF" w:rsidR="002A21AE" w:rsidRDefault="002A21AE">
      <w:pPr>
        <w:pStyle w:val="ListBullet"/>
      </w:pPr>
      <w:r>
        <w:rPr>
          <w:rFonts w:ascii="Arial" w:hAnsi="Arial" w:cs="Arial"/>
          <w:vanish/>
          <w:spacing w:val="0"/>
          <w:sz w:val="18"/>
        </w:rPr>
        <w:t xml:space="preserve">BR_94.04 </w:t>
      </w:r>
      <w:r>
        <w:t xml:space="preserve">VBECS </w:t>
      </w:r>
      <w:r w:rsidR="00202A1E">
        <w:t>flags invalidated results with a message describing the reason for invalidation</w:t>
      </w:r>
      <w:r>
        <w:t>.</w:t>
      </w:r>
    </w:p>
    <w:p w14:paraId="4159D10A" w14:textId="77777777" w:rsidR="002A21AE" w:rsidRDefault="002A21AE">
      <w:pPr>
        <w:pStyle w:val="Heading4"/>
        <w:rPr>
          <w:b w:val="0"/>
        </w:rPr>
      </w:pPr>
      <w:r>
        <w:t>User Roles with Access to This Option</w:t>
      </w:r>
      <w:r>
        <w:rPr>
          <w:b w:val="0"/>
        </w:rPr>
        <w:t xml:space="preserve"> </w:t>
      </w:r>
    </w:p>
    <w:p w14:paraId="2DB54EDE" w14:textId="77777777" w:rsidR="002A21AE" w:rsidRDefault="000F12D4">
      <w:pPr>
        <w:pStyle w:val="Roles"/>
      </w:pPr>
      <w:r w:rsidRPr="00EC7489">
        <w:rPr>
          <w:rFonts w:ascii="Wingdings 3" w:hAnsi="Wingdings 3" w:cs="Wingdings"/>
        </w:rPr>
        <w:t></w:t>
      </w:r>
      <w:r w:rsidRPr="00EC7489">
        <w:rPr>
          <w:rFonts w:ascii="Wingdings 3" w:hAnsi="Wingdings 3" w:cs="Wingdings"/>
        </w:rPr>
        <w:t></w:t>
      </w:r>
      <w:r>
        <w:t xml:space="preserve"> Enhanced Technologist</w:t>
      </w:r>
    </w:p>
    <w:p w14:paraId="1F9F5326" w14:textId="77777777" w:rsidR="002A21AE" w:rsidRDefault="002A21AE">
      <w:pPr>
        <w:pStyle w:val="Heading4"/>
      </w:pPr>
      <w:r>
        <w:t>Invalidate Test Results</w:t>
      </w:r>
    </w:p>
    <w:p w14:paraId="3E458AA2" w14:textId="77777777" w:rsidR="002A21AE" w:rsidRPr="009660C3" w:rsidRDefault="002A21AE" w:rsidP="00FA7E65">
      <w:pPr>
        <w:pStyle w:val="BodyText"/>
        <w:rPr>
          <w:color w:val="FFFFFF"/>
        </w:rPr>
      </w:pPr>
      <w:r>
        <w:t>The use</w:t>
      </w:r>
      <w:r w:rsidR="00CF47D5">
        <w:t xml:space="preserve">r </w:t>
      </w:r>
      <w:r>
        <w:t>may invalidate one or more previously entered test results and replace them with corrected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9EA548C" w14:textId="77777777">
        <w:trPr>
          <w:cantSplit/>
          <w:tblHeader/>
        </w:trPr>
        <w:tc>
          <w:tcPr>
            <w:tcW w:w="3240" w:type="dxa"/>
            <w:shd w:val="pct30" w:color="auto" w:fill="FFFFFF"/>
            <w:vAlign w:val="bottom"/>
          </w:tcPr>
          <w:p w14:paraId="0CE43AAD" w14:textId="77777777" w:rsidR="002A21AE" w:rsidRPr="00B75AA9" w:rsidRDefault="002A21AE" w:rsidP="00B75AA9">
            <w:pPr>
              <w:pStyle w:val="TableText"/>
              <w:tabs>
                <w:tab w:val="left" w:leader="underscore" w:pos="2880"/>
                <w:tab w:val="left" w:leader="underscore" w:pos="5040"/>
                <w:tab w:val="left" w:leader="underscore" w:pos="7200"/>
              </w:tabs>
            </w:pPr>
            <w:r>
              <w:rPr>
                <w:b/>
              </w:rPr>
              <w:t>User Action</w:t>
            </w:r>
            <w:r w:rsidR="00B75AA9">
              <w:rPr>
                <w:b/>
              </w:rPr>
              <w:t xml:space="preserve"> </w:t>
            </w:r>
          </w:p>
        </w:tc>
        <w:tc>
          <w:tcPr>
            <w:tcW w:w="6120" w:type="dxa"/>
            <w:shd w:val="pct30" w:color="auto" w:fill="FFFFFF"/>
            <w:vAlign w:val="bottom"/>
          </w:tcPr>
          <w:p w14:paraId="2AABBFD0" w14:textId="77777777" w:rsidR="002A21AE" w:rsidRDefault="002A21AE">
            <w:pPr>
              <w:pStyle w:val="TableText"/>
              <w:rPr>
                <w:b/>
              </w:rPr>
            </w:pPr>
            <w:r>
              <w:rPr>
                <w:b/>
              </w:rPr>
              <w:t>VBECS</w:t>
            </w:r>
          </w:p>
        </w:tc>
      </w:tr>
      <w:tr w:rsidR="002A21AE" w14:paraId="6CC0C721" w14:textId="77777777">
        <w:tc>
          <w:tcPr>
            <w:tcW w:w="3240" w:type="dxa"/>
            <w:tcBorders>
              <w:top w:val="single" w:sz="4" w:space="0" w:color="auto"/>
              <w:left w:val="single" w:sz="4" w:space="0" w:color="auto"/>
              <w:bottom w:val="single" w:sz="4" w:space="0" w:color="auto"/>
              <w:right w:val="single" w:sz="4" w:space="0" w:color="auto"/>
            </w:tcBorders>
          </w:tcPr>
          <w:p w14:paraId="4DBA4B5C" w14:textId="77777777" w:rsidR="002A21AE" w:rsidRDefault="002A21AE" w:rsidP="00B75AA9">
            <w:pPr>
              <w:pStyle w:val="TableTextNumbers"/>
            </w:pPr>
            <w:r>
              <w:t xml:space="preserve">Select </w:t>
            </w:r>
            <w:r>
              <w:rPr>
                <w:b/>
              </w:rPr>
              <w:t>Patients</w:t>
            </w:r>
            <w:r>
              <w:t xml:space="preserve"> from the main menu.</w:t>
            </w:r>
          </w:p>
          <w:p w14:paraId="7EE9F3B7" w14:textId="77777777" w:rsidR="002A21AE" w:rsidRDefault="002A21AE">
            <w:pPr>
              <w:pStyle w:val="TableTextNumbersContinued"/>
            </w:pPr>
          </w:p>
          <w:p w14:paraId="7037B7E0" w14:textId="77777777" w:rsidR="002A21AE" w:rsidRDefault="002A21AE">
            <w:pPr>
              <w:pStyle w:val="TableTextNumbersContinued"/>
            </w:pPr>
            <w:r>
              <w:t xml:space="preserve">Select </w:t>
            </w:r>
            <w:r>
              <w:rPr>
                <w:b/>
              </w:rPr>
              <w:t>Invalidate Test Results</w:t>
            </w:r>
            <w:r>
              <w:t>.</w:t>
            </w:r>
          </w:p>
        </w:tc>
        <w:tc>
          <w:tcPr>
            <w:tcW w:w="6120" w:type="dxa"/>
            <w:tcBorders>
              <w:top w:val="single" w:sz="4" w:space="0" w:color="auto"/>
              <w:left w:val="single" w:sz="4" w:space="0" w:color="auto"/>
              <w:bottom w:val="single" w:sz="4" w:space="0" w:color="auto"/>
              <w:right w:val="single" w:sz="4" w:space="0" w:color="auto"/>
            </w:tcBorders>
          </w:tcPr>
          <w:p w14:paraId="24960B15" w14:textId="77777777" w:rsidR="002A21AE" w:rsidRDefault="002A21AE">
            <w:pPr>
              <w:pStyle w:val="TableTextBullet"/>
            </w:pPr>
            <w:r>
              <w:t>Displays options for processing patient-related functions.</w:t>
            </w:r>
          </w:p>
          <w:p w14:paraId="2B33DE1A" w14:textId="77777777" w:rsidR="002A21AE" w:rsidRDefault="002A21AE">
            <w:pPr>
              <w:pStyle w:val="NotesText"/>
            </w:pPr>
          </w:p>
          <w:p w14:paraId="7FDC4B21" w14:textId="779C4FC5" w:rsidR="002A21AE" w:rsidRDefault="002A21AE">
            <w:pPr>
              <w:pStyle w:val="TableText"/>
              <w:rPr>
                <w:b/>
                <w:bCs/>
                <w:szCs w:val="18"/>
              </w:rPr>
            </w:pPr>
            <w:r>
              <w:rPr>
                <w:b/>
                <w:bCs/>
                <w:szCs w:val="18"/>
              </w:rPr>
              <w:t>NOTES</w:t>
            </w:r>
          </w:p>
          <w:p w14:paraId="413B4054" w14:textId="77777777" w:rsidR="002A21AE" w:rsidRDefault="002A21AE">
            <w:pPr>
              <w:pStyle w:val="NotesText"/>
            </w:pPr>
          </w:p>
          <w:p w14:paraId="191F9C6D" w14:textId="77777777" w:rsidR="002A21AE" w:rsidRDefault="002A21AE">
            <w:pPr>
              <w:pStyle w:val="NotesText"/>
            </w:pPr>
            <w:r>
              <w:t xml:space="preserve">Click the </w:t>
            </w:r>
            <w:r>
              <w:rPr>
                <w:b/>
              </w:rPr>
              <w:t xml:space="preserve">Component Orders </w:t>
            </w:r>
            <w:r w:rsidRPr="00CC3C89">
              <w:t xml:space="preserve">tab </w:t>
            </w:r>
            <w:r>
              <w:t>to view its PTL.</w:t>
            </w:r>
          </w:p>
        </w:tc>
      </w:tr>
      <w:tr w:rsidR="002A21AE" w14:paraId="1728C2F5" w14:textId="77777777">
        <w:tc>
          <w:tcPr>
            <w:tcW w:w="3240" w:type="dxa"/>
          </w:tcPr>
          <w:p w14:paraId="3AA42C68" w14:textId="77777777" w:rsidR="002A21AE" w:rsidRDefault="002A21AE">
            <w:pPr>
              <w:pStyle w:val="TableTextNumbers"/>
            </w:pPr>
            <w:r>
              <w:lastRenderedPageBreak/>
              <w:t>Enter the patient name and/or specimen UID.</w:t>
            </w:r>
          </w:p>
          <w:p w14:paraId="47486F84" w14:textId="77777777" w:rsidR="002A21AE" w:rsidRDefault="002A21AE">
            <w:pPr>
              <w:pStyle w:val="TableTextNumbersContinued"/>
            </w:pPr>
          </w:p>
          <w:p w14:paraId="40EAFDB5" w14:textId="77777777" w:rsidR="002A21AE" w:rsidRDefault="002A21AE">
            <w:pPr>
              <w:pStyle w:val="TableTextNumbersContinued"/>
            </w:pPr>
            <w:r>
              <w:t xml:space="preserve">Edit the “expires after” date, if required. </w:t>
            </w:r>
          </w:p>
          <w:p w14:paraId="1213F208" w14:textId="77777777" w:rsidR="002A21AE" w:rsidRDefault="002A21AE">
            <w:pPr>
              <w:pStyle w:val="TableTextNumbersContinued"/>
            </w:pPr>
          </w:p>
          <w:p w14:paraId="2238D840" w14:textId="77777777" w:rsidR="002A21AE" w:rsidRDefault="002A21AE">
            <w:pPr>
              <w:pStyle w:val="TableTextNumbersContinued"/>
            </w:pPr>
            <w:r>
              <w:t xml:space="preserve">Click </w:t>
            </w:r>
            <w:r>
              <w:rPr>
                <w:b/>
              </w:rPr>
              <w:t>Search</w:t>
            </w:r>
            <w:r>
              <w:t>, if needed.</w:t>
            </w:r>
          </w:p>
        </w:tc>
        <w:tc>
          <w:tcPr>
            <w:tcW w:w="6120" w:type="dxa"/>
          </w:tcPr>
          <w:p w14:paraId="79CCE3B1" w14:textId="77777777" w:rsidR="002A21AE" w:rsidRDefault="002A21AE">
            <w:pPr>
              <w:pStyle w:val="TableTextBullet"/>
            </w:pPr>
            <w:r>
              <w:rPr>
                <w:rFonts w:cs="Arial"/>
                <w:vanish/>
              </w:rPr>
              <w:t xml:space="preserve">BR_94.01 </w:t>
            </w:r>
            <w:r>
              <w:t>Displays an option to enter a specimen UID or a patient for a specific date or for a range of dates.</w:t>
            </w:r>
          </w:p>
          <w:p w14:paraId="4447F257" w14:textId="77777777" w:rsidR="002A21AE" w:rsidRDefault="002A21AE">
            <w:pPr>
              <w:pStyle w:val="TableTextBullet"/>
            </w:pPr>
            <w:r>
              <w:rPr>
                <w:rFonts w:cs="Arial"/>
                <w:vanish/>
              </w:rPr>
              <w:t xml:space="preserve">BR_94.02 </w:t>
            </w:r>
            <w:r>
              <w:t xml:space="preserve">Displays the complete diagnostic tests associated with the entry. </w:t>
            </w:r>
          </w:p>
        </w:tc>
      </w:tr>
      <w:tr w:rsidR="002A21AE" w14:paraId="244AB07F" w14:textId="77777777">
        <w:tc>
          <w:tcPr>
            <w:tcW w:w="3240" w:type="dxa"/>
          </w:tcPr>
          <w:p w14:paraId="11CBF232" w14:textId="77777777" w:rsidR="002A21AE" w:rsidRDefault="002A21AE">
            <w:pPr>
              <w:pStyle w:val="TableTextNumbers"/>
            </w:pPr>
            <w:r>
              <w:t>Select a test result from the Specimen Test Results list.</w:t>
            </w:r>
          </w:p>
        </w:tc>
        <w:tc>
          <w:tcPr>
            <w:tcW w:w="6120" w:type="dxa"/>
          </w:tcPr>
          <w:p w14:paraId="58171CB0" w14:textId="77777777" w:rsidR="002A21AE" w:rsidRDefault="002A21AE">
            <w:pPr>
              <w:pStyle w:val="TableTextBullet"/>
            </w:pPr>
            <w:r>
              <w:t>Displays the original results for the user to review.</w:t>
            </w:r>
            <w:r>
              <w:rPr>
                <w:vanish/>
                <w:szCs w:val="18"/>
              </w:rPr>
              <w:t xml:space="preserve"> BR_94.06</w:t>
            </w:r>
          </w:p>
          <w:p w14:paraId="09B47271" w14:textId="77777777" w:rsidR="002A21AE" w:rsidRDefault="002A21AE">
            <w:pPr>
              <w:pStyle w:val="TableText"/>
            </w:pPr>
          </w:p>
          <w:p w14:paraId="6A971F1B" w14:textId="42AD40AC" w:rsidR="002A21AE" w:rsidRDefault="002A21AE">
            <w:pPr>
              <w:pStyle w:val="TableText"/>
              <w:rPr>
                <w:b/>
                <w:bCs/>
                <w:szCs w:val="18"/>
              </w:rPr>
            </w:pPr>
            <w:r>
              <w:rPr>
                <w:b/>
                <w:bCs/>
                <w:szCs w:val="18"/>
              </w:rPr>
              <w:t>NOTES</w:t>
            </w:r>
          </w:p>
          <w:p w14:paraId="429148A4" w14:textId="77777777" w:rsidR="002A21AE" w:rsidRDefault="002A21AE">
            <w:pPr>
              <w:pStyle w:val="NotesText"/>
            </w:pPr>
          </w:p>
          <w:p w14:paraId="5A9CA2C1" w14:textId="77777777" w:rsidR="002A21AE" w:rsidRDefault="002A21AE">
            <w:pPr>
              <w:pStyle w:val="NotesText"/>
            </w:pPr>
            <w:r>
              <w:rPr>
                <w:rFonts w:cs="Arial"/>
                <w:vanish/>
              </w:rPr>
              <w:t xml:space="preserve">BR_94.10 </w:t>
            </w:r>
            <w:r>
              <w:t>When the user chooses to invalidate an ABID, VBECS warns that the invalidation of the antibody specificity also invalidates the corresponding calculated antigen negative requirements. No user action is required.</w:t>
            </w:r>
          </w:p>
          <w:p w14:paraId="461CA486" w14:textId="77777777" w:rsidR="002A21AE" w:rsidRDefault="002A21AE">
            <w:pPr>
              <w:pStyle w:val="NotesText"/>
            </w:pPr>
          </w:p>
          <w:p w14:paraId="53E07D6C" w14:textId="77777777" w:rsidR="002A21AE" w:rsidRDefault="002A21AE">
            <w:pPr>
              <w:pStyle w:val="NotesText"/>
            </w:pPr>
            <w:r>
              <w:rPr>
                <w:rFonts w:cs="Arial"/>
                <w:vanish/>
              </w:rPr>
              <w:t xml:space="preserve">BR_94.12 </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t xml:space="preserve"> </w:t>
            </w:r>
            <w:r>
              <w:t xml:space="preserve">When the user is a Traditional Supervisor and the selected specimen is the most recent specimen tested for the selected patient, the user may invalidate a previously justified ABO/Rh test result. When the specimen ABO/Rh test associated with a justification is invalidated, VBECS removes the justification information from the patient record. </w:t>
            </w:r>
          </w:p>
          <w:p w14:paraId="663882C8" w14:textId="77777777" w:rsidR="002A21AE" w:rsidRDefault="002A21AE" w:rsidP="0055373D">
            <w:pPr>
              <w:pStyle w:val="NotesText"/>
            </w:pPr>
          </w:p>
          <w:p w14:paraId="20FE17BD" w14:textId="77777777" w:rsidR="0055373D" w:rsidRDefault="002A21AE" w:rsidP="0055373D">
            <w:pPr>
              <w:pStyle w:val="NotesText"/>
            </w:pPr>
            <w:r>
              <w:rPr>
                <w:rFonts w:cs="Arial"/>
                <w:vanish/>
              </w:rPr>
              <w:t xml:space="preserve">BR_94.03 </w:t>
            </w:r>
            <w:r w:rsidR="0055373D">
              <w:t>When the user attempts to invalidate a non-</w:t>
            </w:r>
            <w:r w:rsidR="00A76142">
              <w:t>XM</w:t>
            </w:r>
            <w:r w:rsidR="0055373D">
              <w:t xml:space="preserve"> test for a patient specimen and blood units are currently associated with the specimen (assigned, electronically or serologically crossmatched, issued or transfused), </w:t>
            </w:r>
            <w:r w:rsidR="00B80F86">
              <w:t>VBECS warns that b</w:t>
            </w:r>
            <w:r w:rsidR="0055373D">
              <w:t>lood components are associated to this specimen</w:t>
            </w:r>
            <w:r w:rsidR="00B80F86">
              <w:t xml:space="preserve"> and that the associated unit</w:t>
            </w:r>
            <w:r w:rsidR="0055373D">
              <w:t>s must be removed before testing can be invalidated. The user may not continue to invalidate the test.</w:t>
            </w:r>
          </w:p>
          <w:p w14:paraId="4EE16269" w14:textId="77777777" w:rsidR="0055373D" w:rsidRDefault="0055373D" w:rsidP="0055373D">
            <w:pPr>
              <w:pStyle w:val="NotesText"/>
            </w:pPr>
          </w:p>
          <w:p w14:paraId="37892B30" w14:textId="77777777" w:rsidR="002A21AE" w:rsidRDefault="0055373D" w:rsidP="0055373D">
            <w:pPr>
              <w:pStyle w:val="NotesText"/>
            </w:pPr>
            <w:r>
              <w:t xml:space="preserve">When the user attempts to invalidate a </w:t>
            </w:r>
            <w:r w:rsidR="00A76142">
              <w:t>XM</w:t>
            </w:r>
            <w:r>
              <w:t xml:space="preserve"> test for a patient specimen and the associated blood unit</w:t>
            </w:r>
            <w:r w:rsidR="00A76142">
              <w:t>s are</w:t>
            </w:r>
            <w:r>
              <w:t xml:space="preserve"> currently issued or transfused, </w:t>
            </w:r>
            <w:r w:rsidR="00A76142">
              <w:t>VBECS warns the user that t</w:t>
            </w:r>
            <w:r>
              <w:t xml:space="preserve">he selected test cannot be invalidated because the unit </w:t>
            </w:r>
            <w:r w:rsidR="00A76142">
              <w:t>was</w:t>
            </w:r>
            <w:r>
              <w:t xml:space="preserve"> issued based on the </w:t>
            </w:r>
            <w:r w:rsidR="00A76142">
              <w:t>XM</w:t>
            </w:r>
            <w:r>
              <w:t xml:space="preserve"> result. The user may not continue to invalidate the </w:t>
            </w:r>
            <w:r w:rsidR="00A76142">
              <w:t>XM</w:t>
            </w:r>
            <w:r>
              <w:t xml:space="preserve"> test.</w:t>
            </w:r>
          </w:p>
        </w:tc>
      </w:tr>
      <w:tr w:rsidR="002A21AE" w14:paraId="7279444B" w14:textId="77777777">
        <w:tc>
          <w:tcPr>
            <w:tcW w:w="3240" w:type="dxa"/>
          </w:tcPr>
          <w:p w14:paraId="6061CCBB" w14:textId="1361B3DB" w:rsidR="002A21AE" w:rsidRDefault="002A21AE">
            <w:pPr>
              <w:pStyle w:val="TableTextNumbers"/>
            </w:pPr>
            <w:r>
              <w:t>Verify the accuracy of the selected patient specimen and patient information</w:t>
            </w:r>
            <w:r w:rsidR="004C67AB">
              <w:t xml:space="preserve"> (</w:t>
            </w:r>
            <w:r w:rsidR="004C67AB">
              <w:fldChar w:fldCharType="begin"/>
            </w:r>
            <w:r w:rsidR="004C67AB">
              <w:instrText xml:space="preserve"> REF _Ref127159551 \h </w:instrText>
            </w:r>
            <w:r w:rsidR="004C67AB">
              <w:fldChar w:fldCharType="separate"/>
            </w:r>
            <w:r w:rsidR="004353ED">
              <w:t xml:space="preserve">Figure </w:t>
            </w:r>
            <w:r w:rsidR="004353ED">
              <w:rPr>
                <w:noProof/>
              </w:rPr>
              <w:t>110</w:t>
            </w:r>
            <w:r w:rsidR="004C67AB">
              <w:fldChar w:fldCharType="end"/>
            </w:r>
            <w:r w:rsidR="004C67AB">
              <w:t>)</w:t>
            </w:r>
            <w:r>
              <w:t>.</w:t>
            </w:r>
          </w:p>
          <w:p w14:paraId="22F7FE8C" w14:textId="77777777" w:rsidR="002A21AE" w:rsidRDefault="002A21AE">
            <w:pPr>
              <w:pStyle w:val="TableTextNumbersContinued"/>
            </w:pPr>
          </w:p>
          <w:p w14:paraId="1EED07D2" w14:textId="77777777" w:rsidR="002A21AE" w:rsidRDefault="002A21AE">
            <w:pPr>
              <w:pStyle w:val="TableTextNumbersContinued"/>
            </w:pPr>
            <w:r>
              <w:t xml:space="preserve">Click </w:t>
            </w:r>
            <w:r>
              <w:rPr>
                <w:b/>
              </w:rPr>
              <w:t>OK</w:t>
            </w:r>
            <w:r>
              <w:t xml:space="preserve"> to accept the results.</w:t>
            </w:r>
          </w:p>
        </w:tc>
        <w:tc>
          <w:tcPr>
            <w:tcW w:w="6120" w:type="dxa"/>
          </w:tcPr>
          <w:p w14:paraId="0651B74B" w14:textId="77777777" w:rsidR="002A21AE" w:rsidRDefault="002A21AE">
            <w:pPr>
              <w:pStyle w:val="TableTextBullet"/>
            </w:pPr>
            <w:r>
              <w:t>Marks these test results as “invalid” and asks the user whether he needs to replace the invalidated results with new test results.</w:t>
            </w:r>
          </w:p>
          <w:p w14:paraId="07F16DF9" w14:textId="77777777" w:rsidR="002A21AE" w:rsidRDefault="002A21AE">
            <w:pPr>
              <w:pStyle w:val="TableTextBullet1"/>
            </w:pPr>
            <w:r>
              <w:rPr>
                <w:b/>
              </w:rPr>
              <w:t>Yes</w:t>
            </w:r>
            <w:r>
              <w:t xml:space="preserve"> (test result replacement is needed) changes the task status to “correction” to return the task to the PTL for completion.</w:t>
            </w:r>
          </w:p>
          <w:p w14:paraId="5414A600" w14:textId="77777777" w:rsidR="002A21AE" w:rsidRDefault="002A21AE">
            <w:pPr>
              <w:pStyle w:val="TableTextBullet1"/>
            </w:pPr>
            <w:r>
              <w:rPr>
                <w:b/>
              </w:rPr>
              <w:t>No</w:t>
            </w:r>
            <w:r>
              <w:t xml:space="preserve"> (test replacement is not needed) marks the erroneous test results as “Test Result Invalidated”; the task status does not change.</w:t>
            </w:r>
          </w:p>
          <w:p w14:paraId="37311ED9" w14:textId="77777777" w:rsidR="002A21AE" w:rsidRDefault="002A21AE" w:rsidP="002277BE">
            <w:pPr>
              <w:pStyle w:val="TableTextBullet"/>
            </w:pPr>
            <w:r>
              <w:t>When the user selects all the diagnostic tests associated with a specimen, displays an option to mark the specimen unacceptable and invalidate the tests.</w:t>
            </w:r>
          </w:p>
        </w:tc>
      </w:tr>
      <w:tr w:rsidR="002A21AE" w14:paraId="48448C6F" w14:textId="77777777">
        <w:tc>
          <w:tcPr>
            <w:tcW w:w="3240" w:type="dxa"/>
          </w:tcPr>
          <w:p w14:paraId="313DECCE" w14:textId="77777777" w:rsidR="002A21AE" w:rsidRDefault="002A21AE">
            <w:pPr>
              <w:pStyle w:val="TableTextNumbers"/>
            </w:pPr>
            <w:r>
              <w:t>Select the test to invalidate from the Patient Test Results list.</w:t>
            </w:r>
          </w:p>
          <w:p w14:paraId="2FB2628B" w14:textId="77777777" w:rsidR="002A21AE" w:rsidRDefault="002A21AE">
            <w:pPr>
              <w:pStyle w:val="TableTextNumbersContinued"/>
            </w:pPr>
          </w:p>
          <w:p w14:paraId="697B41D0" w14:textId="46673E90" w:rsidR="002A21AE" w:rsidRDefault="002A21AE">
            <w:pPr>
              <w:pStyle w:val="TableTextNumbersContinued"/>
            </w:pPr>
            <w:r>
              <w:t xml:space="preserve">Click </w:t>
            </w:r>
            <w:r>
              <w:rPr>
                <w:b/>
              </w:rPr>
              <w:t>Invalidate Results</w:t>
            </w:r>
            <w:r w:rsidR="004C67AB" w:rsidRPr="004C67AB">
              <w:t xml:space="preserve"> (</w:t>
            </w:r>
            <w:r w:rsidR="004C67AB">
              <w:fldChar w:fldCharType="begin"/>
            </w:r>
            <w:r w:rsidR="004C67AB">
              <w:instrText xml:space="preserve"> REF _Ref127159868 \h </w:instrText>
            </w:r>
            <w:r w:rsidR="004C67AB">
              <w:fldChar w:fldCharType="separate"/>
            </w:r>
            <w:r w:rsidR="004353ED">
              <w:t xml:space="preserve">Figure </w:t>
            </w:r>
            <w:r w:rsidR="004353ED">
              <w:rPr>
                <w:noProof/>
              </w:rPr>
              <w:t>111</w:t>
            </w:r>
            <w:r w:rsidR="004C67AB">
              <w:fldChar w:fldCharType="end"/>
            </w:r>
            <w:r w:rsidR="004C67AB" w:rsidRPr="004C67AB">
              <w:t>)</w:t>
            </w:r>
            <w:r>
              <w:t>.</w:t>
            </w:r>
          </w:p>
          <w:p w14:paraId="3898C82B" w14:textId="77777777" w:rsidR="002A21AE" w:rsidRDefault="002A21AE">
            <w:pPr>
              <w:pStyle w:val="TableTextNumbersContinued"/>
            </w:pPr>
          </w:p>
          <w:p w14:paraId="5843D9E9" w14:textId="77777777" w:rsidR="002A21AE" w:rsidRDefault="002A21AE">
            <w:pPr>
              <w:pStyle w:val="TableTextNumbersContinued"/>
            </w:pPr>
            <w:r>
              <w:t>Enter a comment.</w:t>
            </w:r>
          </w:p>
          <w:p w14:paraId="3E0B93A4" w14:textId="77777777" w:rsidR="002A21AE" w:rsidRDefault="002A21AE">
            <w:pPr>
              <w:pStyle w:val="TableTextNumbersContinued"/>
            </w:pPr>
          </w:p>
          <w:p w14:paraId="5D2BC5CE" w14:textId="77777777" w:rsidR="002A21AE" w:rsidRDefault="002A21AE">
            <w:pPr>
              <w:pStyle w:val="TableTextNumbersContinued"/>
            </w:pPr>
            <w:r>
              <w:lastRenderedPageBreak/>
              <w:t xml:space="preserve">Click the </w:t>
            </w:r>
            <w:r>
              <w:rPr>
                <w:b/>
              </w:rPr>
              <w:t xml:space="preserve">Add test to the Pending Task List to allow for replacement results </w:t>
            </w:r>
            <w:r w:rsidRPr="00D1100E">
              <w:t>check box</w:t>
            </w:r>
            <w:r>
              <w:t>, if appropriate.</w:t>
            </w:r>
          </w:p>
          <w:p w14:paraId="735057C2" w14:textId="77777777" w:rsidR="002A21AE" w:rsidRDefault="002A21AE">
            <w:pPr>
              <w:pStyle w:val="TableTextNumbersContinued"/>
            </w:pPr>
          </w:p>
          <w:p w14:paraId="6C43AB34" w14:textId="77777777" w:rsidR="002A21AE" w:rsidRDefault="002A21AE">
            <w:pPr>
              <w:pStyle w:val="TableTextNumbersContinued"/>
            </w:pPr>
            <w:r>
              <w:t xml:space="preserve">Click </w:t>
            </w:r>
            <w:r w:rsidRPr="003B3B94">
              <w:rPr>
                <w:b/>
              </w:rPr>
              <w:t>OK</w:t>
            </w:r>
            <w:r>
              <w:t>.</w:t>
            </w:r>
          </w:p>
        </w:tc>
        <w:tc>
          <w:tcPr>
            <w:tcW w:w="6120" w:type="dxa"/>
          </w:tcPr>
          <w:p w14:paraId="7B0BE24C" w14:textId="77777777" w:rsidR="002A21AE" w:rsidRDefault="002A21AE">
            <w:pPr>
              <w:pStyle w:val="TableTextBullet"/>
            </w:pPr>
            <w:r>
              <w:lastRenderedPageBreak/>
              <w:t>Asks the user whether he wishes to change the specimen status to “unacceptable.”</w:t>
            </w:r>
          </w:p>
          <w:p w14:paraId="11F579EB" w14:textId="77777777" w:rsidR="002A21AE" w:rsidRDefault="002A21AE">
            <w:pPr>
              <w:pStyle w:val="TableText"/>
            </w:pPr>
          </w:p>
          <w:p w14:paraId="1152ED0A" w14:textId="0B96F1B6" w:rsidR="002A21AE" w:rsidRDefault="002A21AE">
            <w:pPr>
              <w:pStyle w:val="TableText"/>
              <w:rPr>
                <w:b/>
                <w:bCs/>
                <w:szCs w:val="18"/>
              </w:rPr>
            </w:pPr>
            <w:r>
              <w:rPr>
                <w:b/>
                <w:bCs/>
                <w:szCs w:val="18"/>
              </w:rPr>
              <w:t>NOTES</w:t>
            </w:r>
          </w:p>
          <w:p w14:paraId="355C42BE" w14:textId="77777777" w:rsidR="002A21AE" w:rsidRDefault="002A21AE">
            <w:pPr>
              <w:pStyle w:val="NotesText"/>
            </w:pPr>
          </w:p>
          <w:p w14:paraId="2F795003" w14:textId="77777777" w:rsidR="001B2013" w:rsidRPr="001B2013" w:rsidRDefault="001B2013">
            <w:pPr>
              <w:pStyle w:val="NotesText"/>
              <w:rPr>
                <w:rFonts w:cs="Arial"/>
              </w:rPr>
            </w:pPr>
            <w:r>
              <w:rPr>
                <w:rFonts w:cs="Arial"/>
              </w:rPr>
              <w:t>T</w:t>
            </w:r>
            <w:r w:rsidRPr="001B2013">
              <w:rPr>
                <w:rFonts w:cs="Arial"/>
              </w:rPr>
              <w:t xml:space="preserve">o </w:t>
            </w:r>
            <w:r>
              <w:rPr>
                <w:rFonts w:cs="Arial"/>
              </w:rPr>
              <w:t>maintain</w:t>
            </w:r>
            <w:r w:rsidRPr="001B2013">
              <w:rPr>
                <w:rFonts w:cs="Arial"/>
              </w:rPr>
              <w:t xml:space="preserve"> a clear record</w:t>
            </w:r>
            <w:r>
              <w:rPr>
                <w:rFonts w:cs="Arial"/>
              </w:rPr>
              <w:t xml:space="preserve"> and system checks, invalidate both original and repeat ABO/Rh tests</w:t>
            </w:r>
            <w:r w:rsidRPr="001B2013">
              <w:rPr>
                <w:rFonts w:cs="Arial"/>
              </w:rPr>
              <w:t xml:space="preserve">. </w:t>
            </w:r>
          </w:p>
          <w:p w14:paraId="5BFF4686" w14:textId="77777777" w:rsidR="001B2013" w:rsidRDefault="001B2013">
            <w:pPr>
              <w:pStyle w:val="NotesText"/>
              <w:rPr>
                <w:rFonts w:cs="Arial"/>
              </w:rPr>
            </w:pPr>
          </w:p>
          <w:p w14:paraId="6B416ECD" w14:textId="705C98F3" w:rsidR="002A21AE" w:rsidRDefault="002A21AE">
            <w:pPr>
              <w:pStyle w:val="NotesText"/>
            </w:pPr>
            <w:r>
              <w:rPr>
                <w:rFonts w:cs="Arial"/>
                <w:vanish/>
              </w:rPr>
              <w:lastRenderedPageBreak/>
              <w:t xml:space="preserve">BR_94.05 </w:t>
            </w:r>
            <w:r>
              <w:t xml:space="preserve">When the user invalidated all of the diagnostic tests associated with a given specimen, VBECS asks whether the user wishes to change the specimen to “unacceptable.” </w:t>
            </w:r>
            <w:r>
              <w:rPr>
                <w:b/>
              </w:rPr>
              <w:t>No</w:t>
            </w:r>
            <w:r>
              <w:t xml:space="preserve"> allows the user to invalidate the test results without making the specimen unacceptable. </w:t>
            </w:r>
            <w:r>
              <w:rPr>
                <w:b/>
              </w:rPr>
              <w:t>Yes</w:t>
            </w:r>
            <w:r>
              <w:t xml:space="preserve"> changes the specimen to “unacceptable” and requires a comment.</w:t>
            </w:r>
          </w:p>
        </w:tc>
      </w:tr>
      <w:tr w:rsidR="002A21AE" w14:paraId="75E47418" w14:textId="77777777">
        <w:tc>
          <w:tcPr>
            <w:tcW w:w="3240" w:type="dxa"/>
          </w:tcPr>
          <w:p w14:paraId="08CC4FC6" w14:textId="77777777" w:rsidR="002A21AE" w:rsidRDefault="002A21AE">
            <w:pPr>
              <w:pStyle w:val="TableTextNumbers"/>
            </w:pPr>
            <w:r>
              <w:lastRenderedPageBreak/>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92" w:author="Blalock, David (Leidos)" w:date="2020-06-15T14:09:00Z" w:original="0."/>
              </w:fldChar>
            </w:r>
          </w:p>
        </w:tc>
        <w:tc>
          <w:tcPr>
            <w:tcW w:w="6120" w:type="dxa"/>
          </w:tcPr>
          <w:p w14:paraId="211D236B" w14:textId="77777777" w:rsidR="002A21AE" w:rsidRDefault="002A21AE">
            <w:pPr>
              <w:pStyle w:val="NotesText"/>
            </w:pPr>
          </w:p>
        </w:tc>
      </w:tr>
    </w:tbl>
    <w:p w14:paraId="5846ADB6" w14:textId="0FF48887" w:rsidR="004C67AB" w:rsidRDefault="004C67AB" w:rsidP="004C67AB">
      <w:pPr>
        <w:pStyle w:val="Caption"/>
      </w:pPr>
      <w:bookmarkStart w:id="493" w:name="_Ref12715955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110</w:t>
      </w:r>
      <w:r w:rsidR="004E20BD">
        <w:rPr>
          <w:noProof/>
        </w:rPr>
        <w:fldChar w:fldCharType="end"/>
      </w:r>
      <w:bookmarkEnd w:id="493"/>
      <w:r>
        <w:t>: Invalidate Patient Test Results</w:t>
      </w:r>
    </w:p>
    <w:p w14:paraId="2A82F5A9" w14:textId="77777777" w:rsidR="004C67AB" w:rsidRDefault="00057948" w:rsidP="004C67AB">
      <w:pPr>
        <w:pStyle w:val="BodyText"/>
      </w:pPr>
      <w:r>
        <w:rPr>
          <w:noProof/>
        </w:rPr>
        <w:drawing>
          <wp:inline distT="0" distB="0" distL="0" distR="0" wp14:anchorId="1891CACF" wp14:editId="11448D4D">
            <wp:extent cx="5948045" cy="3537585"/>
            <wp:effectExtent l="0" t="0" r="0" b="5715"/>
            <wp:docPr id="202" name="Picture 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a:extLst>
                        <a:ext uri="{C183D7F6-B498-43B3-948B-1728B52AA6E4}">
                          <adec:decorative xmlns:adec="http://schemas.microsoft.com/office/drawing/2017/decorative" val="1"/>
                        </a:ext>
                      </a:extLst>
                    </pic:cNvPr>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948045" cy="3537585"/>
                    </a:xfrm>
                    <a:prstGeom prst="rect">
                      <a:avLst/>
                    </a:prstGeom>
                    <a:noFill/>
                    <a:ln>
                      <a:noFill/>
                    </a:ln>
                  </pic:spPr>
                </pic:pic>
              </a:graphicData>
            </a:graphic>
          </wp:inline>
        </w:drawing>
      </w:r>
    </w:p>
    <w:p w14:paraId="7D17265D" w14:textId="77777777" w:rsidR="004C67AB" w:rsidRPr="004C67AB" w:rsidRDefault="004C67AB" w:rsidP="002D153F">
      <w:pPr>
        <w:pStyle w:val="BodyText"/>
      </w:pPr>
    </w:p>
    <w:p w14:paraId="7C27B30B" w14:textId="49A80272" w:rsidR="004C67AB" w:rsidRDefault="004C67AB" w:rsidP="004C67AB">
      <w:pPr>
        <w:pStyle w:val="Caption"/>
      </w:pPr>
      <w:bookmarkStart w:id="494" w:name="_Ref12715986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111</w:t>
      </w:r>
      <w:r w:rsidR="004E20BD">
        <w:rPr>
          <w:noProof/>
        </w:rPr>
        <w:fldChar w:fldCharType="end"/>
      </w:r>
      <w:bookmarkEnd w:id="494"/>
      <w:r>
        <w:t>: Confirm Invalidation</w:t>
      </w:r>
    </w:p>
    <w:p w14:paraId="1A0CB78B" w14:textId="77777777" w:rsidR="004C67AB" w:rsidRDefault="00057948" w:rsidP="004C67AB">
      <w:pPr>
        <w:pStyle w:val="BodyText"/>
      </w:pPr>
      <w:r>
        <w:rPr>
          <w:noProof/>
        </w:rPr>
        <w:drawing>
          <wp:inline distT="0" distB="0" distL="0" distR="0" wp14:anchorId="1BDDBA68" wp14:editId="0DED86C9">
            <wp:extent cx="5939155" cy="3759200"/>
            <wp:effectExtent l="0" t="0" r="4445" b="0"/>
            <wp:docPr id="203" name="Pictur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a:extLst>
                        <a:ext uri="{C183D7F6-B498-43B3-948B-1728B52AA6E4}">
                          <adec:decorative xmlns:adec="http://schemas.microsoft.com/office/drawing/2017/decorative" val="1"/>
                        </a:ext>
                      </a:extLst>
                    </pic:cNvPr>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939155" cy="3759200"/>
                    </a:xfrm>
                    <a:prstGeom prst="rect">
                      <a:avLst/>
                    </a:prstGeom>
                    <a:noFill/>
                    <a:ln>
                      <a:noFill/>
                    </a:ln>
                  </pic:spPr>
                </pic:pic>
              </a:graphicData>
            </a:graphic>
          </wp:inline>
        </w:drawing>
      </w:r>
    </w:p>
    <w:p w14:paraId="74E9FD6D" w14:textId="77777777" w:rsidR="002A21AE" w:rsidRDefault="002A21AE" w:rsidP="004C67AB">
      <w:pPr>
        <w:pStyle w:val="Heading2"/>
      </w:pPr>
      <w:r>
        <w:br w:type="page"/>
      </w:r>
      <w:bookmarkStart w:id="495" w:name="_Toc47516738"/>
      <w:r>
        <w:lastRenderedPageBreak/>
        <w:t>Remove Final Status</w:t>
      </w:r>
      <w:bookmarkEnd w:id="495"/>
      <w:r w:rsidRPr="007B1B11">
        <w:rPr>
          <w:rFonts w:ascii="Arial Bold" w:hAnsi="Arial Bold"/>
          <w:vanish/>
        </w:rPr>
        <w:fldChar w:fldCharType="begin"/>
      </w:r>
      <w:r w:rsidRPr="007B1B11">
        <w:rPr>
          <w:rFonts w:ascii="Arial Bold" w:hAnsi="Arial Bold"/>
          <w:vanish/>
        </w:rPr>
        <w:instrText xml:space="preserve"> XE </w:instrText>
      </w:r>
      <w:r w:rsidR="00FA7E65" w:rsidRPr="007B1B11">
        <w:rPr>
          <w:rFonts w:ascii="Arial Bold" w:hAnsi="Arial Bold"/>
          <w:vanish/>
        </w:rPr>
        <w:instrText>“</w:instrText>
      </w:r>
      <w:r w:rsidRPr="007B1B11">
        <w:rPr>
          <w:rFonts w:ascii="Arial Bold" w:hAnsi="Arial Bold"/>
          <w:vanish/>
        </w:rPr>
        <w:instrText>Remove Final Status</w:instrText>
      </w:r>
      <w:r w:rsidR="00FA7E65" w:rsidRPr="007B1B11">
        <w:rPr>
          <w:rFonts w:ascii="Arial Bold" w:hAnsi="Arial Bold"/>
          <w:vanish/>
        </w:rPr>
        <w:instrText>”</w:instrText>
      </w:r>
      <w:r w:rsidRPr="007B1B11">
        <w:rPr>
          <w:rFonts w:ascii="Arial Bold" w:hAnsi="Arial Bold"/>
          <w:vanish/>
        </w:rPr>
        <w:instrText xml:space="preserve"> </w:instrText>
      </w:r>
      <w:r w:rsidRPr="007B1B11">
        <w:rPr>
          <w:rFonts w:ascii="Arial Bold" w:hAnsi="Arial Bold"/>
          <w:vanish/>
        </w:rPr>
        <w:fldChar w:fldCharType="end"/>
      </w:r>
      <w:r w:rsidRPr="007B1B11">
        <w:rPr>
          <w:rFonts w:ascii="Arial Bold" w:hAnsi="Arial Bold"/>
          <w:vanish/>
        </w:rPr>
        <w:t xml:space="preserve"> UC_13</w:t>
      </w:r>
    </w:p>
    <w:p w14:paraId="4FAC25B3" w14:textId="77777777" w:rsidR="002A21AE" w:rsidRDefault="002A21AE" w:rsidP="00FA7E65">
      <w:pPr>
        <w:pStyle w:val="BodyText"/>
      </w:pPr>
      <w:r>
        <w:t xml:space="preserve">The user removes a final status from a unit. All other statuses are manipulated through normal system rules and practices. </w:t>
      </w:r>
    </w:p>
    <w:p w14:paraId="1A2F1B79" w14:textId="77777777" w:rsidR="002A21AE" w:rsidRDefault="002A21AE">
      <w:pPr>
        <w:pStyle w:val="Heading4"/>
      </w:pPr>
      <w:r>
        <w:t>Assumptions</w:t>
      </w:r>
      <w:r>
        <w:rPr>
          <w:b w:val="0"/>
        </w:rPr>
        <w:t xml:space="preserve"> </w:t>
      </w:r>
    </w:p>
    <w:p w14:paraId="1C3DA376" w14:textId="77777777" w:rsidR="002A21AE" w:rsidRDefault="002A21AE">
      <w:pPr>
        <w:pStyle w:val="ListBullet"/>
      </w:pPr>
      <w:r>
        <w:t>The user is logged into the division containing the unit record.</w:t>
      </w:r>
    </w:p>
    <w:p w14:paraId="03B4A9AE" w14:textId="77777777" w:rsidR="002A21AE" w:rsidRDefault="002A21AE">
      <w:pPr>
        <w:pStyle w:val="ListBullet"/>
      </w:pPr>
      <w:r>
        <w:t>The unit is in a final (transfused, transferred, modified, discarded) status.</w:t>
      </w:r>
    </w:p>
    <w:p w14:paraId="44DE3A73" w14:textId="77777777" w:rsidR="002A21AE" w:rsidRDefault="002A21AE">
      <w:pPr>
        <w:pStyle w:val="ListBullet"/>
      </w:pPr>
      <w:r>
        <w:t xml:space="preserve">The user must invalidate the modification status of the split </w:t>
      </w:r>
      <w:r w:rsidR="0071792D">
        <w:t xml:space="preserve">or pooled </w:t>
      </w:r>
      <w:r>
        <w:t xml:space="preserve">units, and then the original unit or pool. </w:t>
      </w:r>
    </w:p>
    <w:p w14:paraId="1C751722" w14:textId="77777777" w:rsidR="002A21AE" w:rsidRDefault="002A21AE">
      <w:pPr>
        <w:pStyle w:val="Heading4"/>
      </w:pPr>
      <w:r>
        <w:t>Outcome</w:t>
      </w:r>
    </w:p>
    <w:p w14:paraId="53054685" w14:textId="77777777" w:rsidR="002A21AE" w:rsidRDefault="002A21AE">
      <w:pPr>
        <w:pStyle w:val="ListBullet"/>
      </w:pPr>
      <w:r>
        <w:t xml:space="preserve">The new information was saved with the unit’s </w:t>
      </w:r>
      <w:r w:rsidR="0051757B">
        <w:t>historic</w:t>
      </w:r>
      <w:r>
        <w:t xml:space="preserve"> record.</w:t>
      </w:r>
    </w:p>
    <w:p w14:paraId="0C6F4DFC" w14:textId="77777777" w:rsidR="002A21AE" w:rsidRDefault="002A21AE">
      <w:pPr>
        <w:pStyle w:val="ListBullet"/>
      </w:pPr>
      <w:r>
        <w:t xml:space="preserve">The unit is in the status immediately prior to the final status. </w:t>
      </w:r>
    </w:p>
    <w:p w14:paraId="250F8514" w14:textId="77777777" w:rsidR="002A21AE" w:rsidRDefault="002A21AE">
      <w:pPr>
        <w:pStyle w:val="Heading4"/>
      </w:pPr>
      <w:r>
        <w:t>Limitations and Restrictions</w:t>
      </w:r>
      <w:r>
        <w:rPr>
          <w:b w:val="0"/>
        </w:rPr>
        <w:t xml:space="preserve"> </w:t>
      </w:r>
    </w:p>
    <w:p w14:paraId="5F712382" w14:textId="77777777" w:rsidR="002A21AE" w:rsidRDefault="002A21AE">
      <w:pPr>
        <w:pStyle w:val="ListBullet"/>
      </w:pPr>
      <w:r>
        <w:t>This option applies only to the release of units in final statuses.</w:t>
      </w:r>
    </w:p>
    <w:p w14:paraId="126C2ADD" w14:textId="77777777" w:rsidR="002A21AE" w:rsidRDefault="002A21AE">
      <w:pPr>
        <w:pStyle w:val="Heading4"/>
      </w:pPr>
      <w:r>
        <w:t>Additional Information</w:t>
      </w:r>
      <w:r>
        <w:rPr>
          <w:rFonts w:ascii="Times New Roman" w:hAnsi="Times New Roman"/>
          <w:i/>
          <w:sz w:val="24"/>
        </w:rPr>
        <w:t xml:space="preserve"> </w:t>
      </w:r>
    </w:p>
    <w:p w14:paraId="5AB524B2" w14:textId="77777777" w:rsidR="002A21AE" w:rsidRDefault="002A21AE">
      <w:pPr>
        <w:pStyle w:val="ListBullet"/>
      </w:pPr>
      <w:r>
        <w:t>This option allows a user to restore a unit to inventory from a final status. It may be used to begin undoing a transfusion episode (step by step in reverse order) or correct a unit modification record.</w:t>
      </w:r>
    </w:p>
    <w:p w14:paraId="724D9448" w14:textId="77777777" w:rsidR="002A21AE" w:rsidRDefault="002A21AE">
      <w:pPr>
        <w:pStyle w:val="ListBullet"/>
      </w:pPr>
      <w:r>
        <w:t>“Issued” is not a final unit status.</w:t>
      </w:r>
    </w:p>
    <w:p w14:paraId="253E8345" w14:textId="77777777" w:rsidR="002A21AE" w:rsidRDefault="002A21AE">
      <w:pPr>
        <w:pStyle w:val="ListBullet"/>
      </w:pPr>
      <w:r>
        <w:t xml:space="preserve">This option is not used to add units to or remove them from a pool. </w:t>
      </w:r>
    </w:p>
    <w:p w14:paraId="6A3EC44E" w14:textId="77777777" w:rsidR="002A21AE" w:rsidRDefault="002A21AE">
      <w:pPr>
        <w:pStyle w:val="Heading4"/>
        <w:rPr>
          <w:b w:val="0"/>
        </w:rPr>
      </w:pPr>
      <w:r>
        <w:t>User Roles with Access to This Option</w:t>
      </w:r>
      <w:r>
        <w:rPr>
          <w:b w:val="0"/>
        </w:rPr>
        <w:t xml:space="preserve"> </w:t>
      </w:r>
    </w:p>
    <w:p w14:paraId="04FDE72A" w14:textId="77777777" w:rsidR="002A21AE" w:rsidRDefault="002A21AE" w:rsidP="00EE665E">
      <w:pPr>
        <w:pStyle w:val="BodyText"/>
      </w:pPr>
      <w:r w:rsidRPr="000F12D4">
        <w:rPr>
          <w:rStyle w:val="RolesChar1"/>
          <w:rFonts w:ascii="Wingdings 3" w:hAnsi="Wingdings 3"/>
        </w:rPr>
        <w:t></w:t>
      </w:r>
      <w:r w:rsidRPr="000F12D4">
        <w:rPr>
          <w:rStyle w:val="RolesChar1"/>
          <w:rFonts w:ascii="Wingdings 3" w:hAnsi="Wingdings 3"/>
        </w:rPr>
        <w:t></w:t>
      </w:r>
      <w:r w:rsidRPr="000F12D4">
        <w:rPr>
          <w:rStyle w:val="RolesChar1"/>
          <w:rFonts w:ascii="Wingdings 3" w:hAnsi="Wingdings 3"/>
        </w:rPr>
        <w:t></w:t>
      </w:r>
      <w:r w:rsidRPr="000F12D4">
        <w:rPr>
          <w:rStyle w:val="RolesChar1"/>
          <w:rFonts w:ascii="Wingdings 3" w:hAnsi="Wingdings 3"/>
        </w:rPr>
        <w:t></w:t>
      </w:r>
      <w:r>
        <w:t xml:space="preserve"> </w:t>
      </w:r>
      <w:r w:rsidRPr="00EE665E">
        <w:t>Traditional Supervisor</w:t>
      </w:r>
      <w:r>
        <w:t xml:space="preserve"> </w:t>
      </w:r>
    </w:p>
    <w:p w14:paraId="1B99EF48" w14:textId="77777777" w:rsidR="002A21AE" w:rsidRDefault="002A21AE">
      <w:pPr>
        <w:pStyle w:val="Heading4"/>
      </w:pPr>
      <w:r>
        <w:t>Remove Final Status</w:t>
      </w:r>
    </w:p>
    <w:p w14:paraId="7B7D5965" w14:textId="77777777" w:rsidR="00B25F6C" w:rsidRDefault="002A21AE" w:rsidP="00FA7E65">
      <w:pPr>
        <w:pStyle w:val="BodyText"/>
      </w:pPr>
      <w:r>
        <w:t>The user corrects a clerical error: a unit was processed and moved to a final status in the computer incorrectly.</w:t>
      </w:r>
    </w:p>
    <w:p w14:paraId="12DB7965" w14:textId="77777777" w:rsidR="00B25F6C" w:rsidRPr="00D93651" w:rsidRDefault="002A21AE" w:rsidP="00B25F6C">
      <w:pPr>
        <w:pStyle w:val="Caution"/>
        <w:ind w:right="180"/>
      </w:pPr>
      <w:r>
        <w:t xml:space="preserve"> </w:t>
      </w:r>
      <w:r w:rsidR="00057948">
        <w:rPr>
          <w:noProof/>
        </w:rPr>
        <w:drawing>
          <wp:inline distT="0" distB="0" distL="0" distR="0" wp14:anchorId="042B7BA8" wp14:editId="6C588F41">
            <wp:extent cx="267970" cy="221615"/>
            <wp:effectExtent l="0" t="0" r="0" b="6985"/>
            <wp:docPr id="204" name="Picture 2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25F6C">
        <w:t>Removing final status of a unit reported as transfused by the Transfusion Verification application will create a discrepancy between the systems. Changes or updates to a transfusion record must be made in the Transfusion Verification application first.</w:t>
      </w:r>
      <w:r w:rsidR="00B25F6C">
        <w:rPr>
          <w:vanish/>
        </w:rPr>
        <w:t xml:space="preserve"> DR 4134</w:t>
      </w:r>
      <w:r w:rsidR="00B25F6C">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81D2904" w14:textId="77777777">
        <w:trPr>
          <w:cantSplit/>
          <w:tblHeader/>
        </w:trPr>
        <w:tc>
          <w:tcPr>
            <w:tcW w:w="3240" w:type="dxa"/>
            <w:shd w:val="pct30" w:color="auto" w:fill="FFFFFF"/>
            <w:vAlign w:val="bottom"/>
          </w:tcPr>
          <w:p w14:paraId="08CCDB5B" w14:textId="77777777" w:rsidR="002A21AE" w:rsidRDefault="002A21AE">
            <w:pPr>
              <w:pStyle w:val="TableText"/>
              <w:rPr>
                <w:b/>
              </w:rPr>
            </w:pPr>
            <w:r>
              <w:rPr>
                <w:b/>
              </w:rPr>
              <w:t>User Action</w:t>
            </w:r>
          </w:p>
        </w:tc>
        <w:tc>
          <w:tcPr>
            <w:tcW w:w="6120" w:type="dxa"/>
            <w:shd w:val="pct30" w:color="auto" w:fill="FFFFFF"/>
            <w:vAlign w:val="bottom"/>
          </w:tcPr>
          <w:p w14:paraId="3607E65C" w14:textId="77777777" w:rsidR="002A21AE" w:rsidRDefault="002A21AE">
            <w:pPr>
              <w:pStyle w:val="TableText"/>
              <w:rPr>
                <w:b/>
              </w:rPr>
            </w:pPr>
            <w:r>
              <w:rPr>
                <w:b/>
              </w:rPr>
              <w:t>VBECS</w:t>
            </w:r>
          </w:p>
        </w:tc>
      </w:tr>
      <w:tr w:rsidR="002A21AE" w14:paraId="2797C24D" w14:textId="77777777">
        <w:tc>
          <w:tcPr>
            <w:tcW w:w="3240" w:type="dxa"/>
          </w:tcPr>
          <w:p w14:paraId="41BB773D" w14:textId="77777777" w:rsidR="002A21AE" w:rsidRDefault="002A21AE">
            <w:pPr>
              <w:pStyle w:val="TableTextNumbers"/>
            </w:pPr>
            <w:r>
              <w:t xml:space="preserve">Select </w:t>
            </w:r>
            <w:r>
              <w:rPr>
                <w:b/>
              </w:rPr>
              <w:t>Supervisor</w:t>
            </w:r>
            <w:r>
              <w:t xml:space="preserve"> from the main menu. </w:t>
            </w:r>
          </w:p>
          <w:p w14:paraId="4FDA3181" w14:textId="77777777" w:rsidR="002A21AE" w:rsidRDefault="002A21AE">
            <w:pPr>
              <w:pStyle w:val="TableTextNumbersContinued"/>
            </w:pPr>
          </w:p>
          <w:p w14:paraId="00AA139C" w14:textId="77777777" w:rsidR="002A21AE" w:rsidRDefault="002A21AE">
            <w:pPr>
              <w:pStyle w:val="TableTextNumbersContinued"/>
            </w:pPr>
            <w:r>
              <w:t xml:space="preserve">Select </w:t>
            </w:r>
            <w:r>
              <w:rPr>
                <w:b/>
              </w:rPr>
              <w:t>Remove Final Status</w:t>
            </w:r>
            <w:r>
              <w:t>.</w:t>
            </w:r>
          </w:p>
        </w:tc>
        <w:tc>
          <w:tcPr>
            <w:tcW w:w="6120" w:type="dxa"/>
          </w:tcPr>
          <w:p w14:paraId="17BEF0CF" w14:textId="77777777" w:rsidR="002A21AE" w:rsidRDefault="002A21AE">
            <w:pPr>
              <w:pStyle w:val="TableTextBullet"/>
            </w:pPr>
            <w:r>
              <w:t>Displays options available to supervisors</w:t>
            </w:r>
            <w:r w:rsidR="00922AD8">
              <w:t>.</w:t>
            </w:r>
          </w:p>
          <w:p w14:paraId="13290454" w14:textId="77777777" w:rsidR="002A21AE" w:rsidRDefault="002A21AE">
            <w:pPr>
              <w:pStyle w:val="TableTextBullet"/>
            </w:pPr>
            <w:r>
              <w:t>Displays fields for selecting a unit and removing its final status.</w:t>
            </w:r>
          </w:p>
        </w:tc>
      </w:tr>
      <w:tr w:rsidR="002A21AE" w14:paraId="0F9E0FD2" w14:textId="77777777" w:rsidTr="00774B1B">
        <w:trPr>
          <w:cantSplit/>
          <w:tblHeader/>
        </w:trPr>
        <w:tc>
          <w:tcPr>
            <w:tcW w:w="3240" w:type="dxa"/>
          </w:tcPr>
          <w:p w14:paraId="0405D383" w14:textId="77777777" w:rsidR="002A21AE" w:rsidRDefault="002A21AE">
            <w:pPr>
              <w:pStyle w:val="TableTextNumbers"/>
            </w:pPr>
            <w:r>
              <w:lastRenderedPageBreak/>
              <w:t xml:space="preserve">Scan or enter a unit ID or product code, or click the </w:t>
            </w:r>
            <w:r w:rsidR="00A6373D">
              <w:rPr>
                <w:b/>
              </w:rPr>
              <w:t>find</w:t>
            </w:r>
            <w:r>
              <w:rPr>
                <w:b/>
              </w:rPr>
              <w:t xml:space="preserve"> </w:t>
            </w:r>
            <w:r w:rsidRPr="00D1100E">
              <w:t>button</w:t>
            </w:r>
            <w:r>
              <w:t xml:space="preserve"> to select a unit from the drop-down list.</w:t>
            </w:r>
          </w:p>
        </w:tc>
        <w:tc>
          <w:tcPr>
            <w:tcW w:w="6120" w:type="dxa"/>
          </w:tcPr>
          <w:p w14:paraId="6E900804" w14:textId="77777777" w:rsidR="002A21AE" w:rsidRDefault="002A21AE">
            <w:pPr>
              <w:pStyle w:val="TableTextBullet"/>
            </w:pPr>
            <w:r>
              <w:t>Displays unit data,</w:t>
            </w:r>
            <w:r>
              <w:rPr>
                <w:rFonts w:cs="Arial"/>
              </w:rPr>
              <w:t xml:space="preserve"> including the previous and current unit statuses.</w:t>
            </w:r>
          </w:p>
          <w:p w14:paraId="26906539" w14:textId="77777777" w:rsidR="002A21AE" w:rsidRDefault="00123ED4">
            <w:pPr>
              <w:pStyle w:val="TableTextBullet"/>
            </w:pPr>
            <w:r w:rsidRPr="00123ED4">
              <w:rPr>
                <w:vanish/>
                <w:szCs w:val="18"/>
              </w:rPr>
              <w:t>BR_13.01</w:t>
            </w:r>
            <w:r w:rsidR="008F079B">
              <w:rPr>
                <w:vanish/>
                <w:szCs w:val="18"/>
              </w:rPr>
              <w:t xml:space="preserve"> </w:t>
            </w:r>
            <w:r w:rsidR="002A21AE">
              <w:t>Warns the user to proceed with caution.</w:t>
            </w:r>
          </w:p>
          <w:p w14:paraId="0C87FCD3" w14:textId="77777777" w:rsidR="002A21AE" w:rsidRDefault="002A21AE">
            <w:pPr>
              <w:pStyle w:val="TableText"/>
            </w:pPr>
          </w:p>
          <w:p w14:paraId="57FAD835" w14:textId="38C383D2" w:rsidR="002A21AE" w:rsidRDefault="002A21AE">
            <w:pPr>
              <w:pStyle w:val="TableText"/>
              <w:rPr>
                <w:b/>
                <w:bCs/>
                <w:szCs w:val="18"/>
              </w:rPr>
            </w:pPr>
            <w:r>
              <w:rPr>
                <w:b/>
                <w:bCs/>
                <w:szCs w:val="18"/>
              </w:rPr>
              <w:t>NOTES</w:t>
            </w:r>
          </w:p>
          <w:p w14:paraId="4D4553E0" w14:textId="77777777" w:rsidR="002A21AE" w:rsidRDefault="002A21AE">
            <w:pPr>
              <w:pStyle w:val="NotesText"/>
            </w:pPr>
          </w:p>
          <w:p w14:paraId="77AFA46B" w14:textId="77777777" w:rsidR="002A21AE" w:rsidRDefault="002A21AE">
            <w:pPr>
              <w:pStyle w:val="NotesText"/>
              <w:rPr>
                <w:rFonts w:cs="Arial"/>
              </w:rPr>
            </w:pPr>
            <w:r>
              <w:rPr>
                <w:rFonts w:cs="Arial"/>
                <w:vanish/>
              </w:rPr>
              <w:t xml:space="preserve">BR_13.04 </w:t>
            </w:r>
            <w:r>
              <w:t>VBECS warns the user</w:t>
            </w:r>
            <w:r>
              <w:rPr>
                <w:rFonts w:cs="Arial"/>
              </w:rPr>
              <w:t xml:space="preserve"> when the unit does not have a final status</w:t>
            </w:r>
            <w:r w:rsidR="002E2AAE">
              <w:rPr>
                <w:rFonts w:cs="Arial"/>
              </w:rPr>
              <w:t xml:space="preserve"> or was not modified</w:t>
            </w:r>
            <w:r w:rsidR="00295AB3">
              <w:rPr>
                <w:rFonts w:cs="Arial"/>
              </w:rPr>
              <w:t xml:space="preserve"> (other than pool, thaw/pool, and split)</w:t>
            </w:r>
            <w:r>
              <w:t>. The user may select another unit.</w:t>
            </w:r>
          </w:p>
          <w:p w14:paraId="28439A3A" w14:textId="77777777" w:rsidR="002A21AE" w:rsidRDefault="002A21AE">
            <w:pPr>
              <w:pStyle w:val="NotesText"/>
              <w:rPr>
                <w:rFonts w:cs="Arial"/>
              </w:rPr>
            </w:pPr>
          </w:p>
          <w:p w14:paraId="44807890" w14:textId="77777777" w:rsidR="002A21AE" w:rsidRDefault="002A21AE">
            <w:pPr>
              <w:pStyle w:val="NotesText"/>
            </w:pPr>
            <w:r>
              <w:rPr>
                <w:rFonts w:cs="Arial"/>
                <w:vanish/>
              </w:rPr>
              <w:t xml:space="preserve">BR_13.05 </w:t>
            </w:r>
            <w:r>
              <w:t>When the final status is “modified” (</w:t>
            </w:r>
            <w:r w:rsidR="00690E42">
              <w:rPr>
                <w:rFonts w:cs="Arial"/>
              </w:rPr>
              <w:t>pooled, thaw/pooled, or split</w:t>
            </w:r>
            <w:r>
              <w:t>), VBECS verifies that the target unit is invalidated. When the target unit was not invalidated, the user may not continue.</w:t>
            </w:r>
          </w:p>
        </w:tc>
      </w:tr>
      <w:tr w:rsidR="002A21AE" w14:paraId="11A72B07" w14:textId="77777777">
        <w:trPr>
          <w:cantSplit/>
        </w:trPr>
        <w:tc>
          <w:tcPr>
            <w:tcW w:w="3240" w:type="dxa"/>
          </w:tcPr>
          <w:p w14:paraId="3DD1A728" w14:textId="77777777" w:rsidR="002A21AE" w:rsidRDefault="002A21AE">
            <w:pPr>
              <w:pStyle w:val="TableTextNumbers"/>
            </w:pPr>
            <w:r>
              <w:t>Verify that the unit selected is the desired unit.</w:t>
            </w:r>
          </w:p>
          <w:p w14:paraId="2F068864" w14:textId="77777777" w:rsidR="000B79B3" w:rsidRDefault="000B79B3" w:rsidP="000B79B3">
            <w:pPr>
              <w:pStyle w:val="TableTextNumbersContinued"/>
            </w:pPr>
          </w:p>
          <w:p w14:paraId="28AB3C85" w14:textId="77777777" w:rsidR="000B79B3" w:rsidRDefault="000B79B3" w:rsidP="000B79B3">
            <w:pPr>
              <w:pStyle w:val="TableTextNumbersContinued"/>
            </w:pPr>
            <w:r>
              <w:t xml:space="preserve">Click </w:t>
            </w:r>
            <w:r w:rsidRPr="000B79B3">
              <w:rPr>
                <w:b/>
              </w:rPr>
              <w:t>OK</w:t>
            </w:r>
            <w:r>
              <w:t>.</w:t>
            </w:r>
          </w:p>
          <w:p w14:paraId="4C3D8C23" w14:textId="77777777" w:rsidR="002A21AE" w:rsidRDefault="002A21AE" w:rsidP="000B79B3">
            <w:pPr>
              <w:pStyle w:val="TableTextNumbersContinued"/>
            </w:pPr>
          </w:p>
          <w:p w14:paraId="7036020A" w14:textId="4A4A2E7F" w:rsidR="002A21AE" w:rsidRDefault="002A21AE">
            <w:pPr>
              <w:pStyle w:val="TableTextNumbersContinued"/>
            </w:pPr>
            <w:r>
              <w:t>Enter a comment</w:t>
            </w:r>
            <w:r w:rsidR="007F4644">
              <w:t xml:space="preserve"> (</w:t>
            </w:r>
            <w:r w:rsidR="007F4644">
              <w:fldChar w:fldCharType="begin"/>
            </w:r>
            <w:r w:rsidR="007F4644">
              <w:instrText xml:space="preserve"> REF _Ref128468634 \h </w:instrText>
            </w:r>
            <w:r w:rsidR="007F4644">
              <w:fldChar w:fldCharType="separate"/>
            </w:r>
            <w:r w:rsidR="004353ED">
              <w:t xml:space="preserve">Figure </w:t>
            </w:r>
            <w:r w:rsidR="004353ED">
              <w:rPr>
                <w:noProof/>
              </w:rPr>
              <w:t>112</w:t>
            </w:r>
            <w:r w:rsidR="007F4644">
              <w:fldChar w:fldCharType="end"/>
            </w:r>
            <w:r w:rsidR="007F4644">
              <w:t>)</w:t>
            </w:r>
            <w:r>
              <w:t>.</w:t>
            </w:r>
          </w:p>
        </w:tc>
        <w:tc>
          <w:tcPr>
            <w:tcW w:w="6120" w:type="dxa"/>
          </w:tcPr>
          <w:p w14:paraId="62F925FA" w14:textId="77777777" w:rsidR="002A21AE" w:rsidRDefault="002A21AE">
            <w:pPr>
              <w:pStyle w:val="TableTextBullet"/>
            </w:pPr>
            <w:r>
              <w:t>Asks the user if he would like to remove the final status.</w:t>
            </w:r>
          </w:p>
          <w:p w14:paraId="0B32DAD7" w14:textId="77777777" w:rsidR="002A21AE" w:rsidRDefault="002A21AE">
            <w:pPr>
              <w:pStyle w:val="TableTextBullet"/>
            </w:pPr>
            <w:r>
              <w:rPr>
                <w:rFonts w:cs="Arial"/>
                <w:vanish/>
              </w:rPr>
              <w:t xml:space="preserve">BR_13.02 </w:t>
            </w:r>
            <w:r>
              <w:t>Requires the user to enter an explanatory comment.</w:t>
            </w:r>
          </w:p>
          <w:p w14:paraId="3902169D" w14:textId="77777777" w:rsidR="002A21AE" w:rsidRDefault="002A21AE">
            <w:pPr>
              <w:pStyle w:val="TableText"/>
            </w:pPr>
          </w:p>
          <w:p w14:paraId="202A5AD5" w14:textId="3FA4EBAD" w:rsidR="002A21AE" w:rsidRDefault="002A21AE">
            <w:pPr>
              <w:pStyle w:val="TableText"/>
              <w:rPr>
                <w:b/>
                <w:bCs/>
                <w:szCs w:val="18"/>
              </w:rPr>
            </w:pPr>
            <w:r>
              <w:rPr>
                <w:b/>
                <w:bCs/>
                <w:szCs w:val="18"/>
              </w:rPr>
              <w:t>NOTES</w:t>
            </w:r>
          </w:p>
          <w:p w14:paraId="13EB5009" w14:textId="77777777" w:rsidR="002A21AE" w:rsidRDefault="002A21AE">
            <w:pPr>
              <w:pStyle w:val="NotesText"/>
            </w:pPr>
          </w:p>
          <w:p w14:paraId="456A14A7" w14:textId="77777777" w:rsidR="002A21AE" w:rsidRDefault="002A21AE">
            <w:pPr>
              <w:pStyle w:val="NotesText"/>
              <w:rPr>
                <w:rFonts w:cs="Arial"/>
              </w:rPr>
            </w:pPr>
            <w:r>
              <w:rPr>
                <w:rFonts w:cs="Arial"/>
                <w:vanish/>
              </w:rPr>
              <w:t xml:space="preserve">BR_13.03 </w:t>
            </w:r>
            <w:r>
              <w:rPr>
                <w:color w:val="000000"/>
                <w:szCs w:val="18"/>
              </w:rPr>
              <w:t>VBECS updates the unit status to the previous status and maintains restrictions on the original unit.</w:t>
            </w:r>
          </w:p>
        </w:tc>
      </w:tr>
      <w:tr w:rsidR="002A21AE" w14:paraId="1F30D5AA" w14:textId="77777777">
        <w:trPr>
          <w:cantSplit/>
        </w:trPr>
        <w:tc>
          <w:tcPr>
            <w:tcW w:w="3240" w:type="dxa"/>
          </w:tcPr>
          <w:p w14:paraId="552A75A5" w14:textId="77777777" w:rsidR="002A21AE" w:rsidRDefault="007F4644" w:rsidP="007F4644">
            <w:pPr>
              <w:pStyle w:val="TableTextNumbers"/>
            </w:pPr>
            <w:r>
              <w:t xml:space="preserve">Review the data, click </w:t>
            </w:r>
            <w:r>
              <w:rPr>
                <w:b/>
              </w:rPr>
              <w:t xml:space="preserve">OK </w:t>
            </w:r>
            <w:r>
              <w:t xml:space="preserve">to save, and click </w:t>
            </w:r>
            <w:r>
              <w:rPr>
                <w:b/>
              </w:rPr>
              <w:t>OK</w:t>
            </w:r>
            <w:r>
              <w:t xml:space="preserve"> again to confirm the save.</w:t>
            </w:r>
            <w:r w:rsidR="00602AD7">
              <w:rPr>
                <w:vanish/>
                <w:color w:val="FFFFFF"/>
                <w:szCs w:val="18"/>
              </w:rPr>
              <w:t xml:space="preserve"> </w:t>
            </w:r>
            <w:r w:rsidR="00602AD7">
              <w:rPr>
                <w:vanish/>
                <w:color w:val="FFFFFF"/>
                <w:szCs w:val="18"/>
              </w:rPr>
              <w:fldChar w:fldCharType="begin"/>
            </w:r>
            <w:r w:rsidR="00602AD7">
              <w:rPr>
                <w:vanish/>
                <w:color w:val="FFFFFF"/>
                <w:szCs w:val="18"/>
              </w:rPr>
              <w:instrText xml:space="preserve"> LISTNUM \l 1 \s 0 </w:instrText>
            </w:r>
            <w:r w:rsidR="00602AD7">
              <w:rPr>
                <w:vanish/>
                <w:color w:val="FFFFFF"/>
                <w:szCs w:val="18"/>
              </w:rPr>
              <w:fldChar w:fldCharType="end">
                <w:numberingChange w:id="496" w:author="Blalock, David (Leidos)" w:date="2020-06-15T14:09:00Z" w:original="0."/>
              </w:fldChar>
            </w:r>
          </w:p>
        </w:tc>
        <w:tc>
          <w:tcPr>
            <w:tcW w:w="6120" w:type="dxa"/>
          </w:tcPr>
          <w:p w14:paraId="58F02D6E" w14:textId="77777777" w:rsidR="002A21AE" w:rsidRDefault="002A21AE">
            <w:pPr>
              <w:pStyle w:val="TableTextBullet"/>
            </w:pPr>
            <w:r>
              <w:t>Displays the unit data and asks the</w:t>
            </w:r>
            <w:r w:rsidR="008614C5">
              <w:t xml:space="preserve"> user to</w:t>
            </w:r>
            <w:r>
              <w:t xml:space="preserve"> verify the return to the previous status. </w:t>
            </w:r>
          </w:p>
          <w:p w14:paraId="110BC3C8" w14:textId="77777777" w:rsidR="002A21AE" w:rsidRDefault="002A21AE">
            <w:pPr>
              <w:pStyle w:val="TableTextBullet"/>
            </w:pPr>
            <w:r>
              <w:t>Allows the user to review his entries and choices and save the correction to the unit record or exit without saving.</w:t>
            </w:r>
          </w:p>
          <w:p w14:paraId="0B629BF0" w14:textId="77777777" w:rsidR="007F4644" w:rsidRDefault="007F4644" w:rsidP="007F4644">
            <w:pPr>
              <w:pStyle w:val="TableTextBullet"/>
            </w:pPr>
            <w:r>
              <w:t>Updates the unit record.</w:t>
            </w:r>
          </w:p>
          <w:p w14:paraId="6104F637" w14:textId="77777777" w:rsidR="007F4644" w:rsidRDefault="007F4644" w:rsidP="007F4644">
            <w:pPr>
              <w:pStyle w:val="TableText"/>
            </w:pPr>
          </w:p>
          <w:p w14:paraId="16668662" w14:textId="34F22444" w:rsidR="007F4644" w:rsidRDefault="007F4644" w:rsidP="007F4644">
            <w:pPr>
              <w:pStyle w:val="TableText"/>
              <w:rPr>
                <w:b/>
                <w:bCs/>
                <w:szCs w:val="18"/>
              </w:rPr>
            </w:pPr>
            <w:r>
              <w:rPr>
                <w:b/>
                <w:bCs/>
                <w:szCs w:val="18"/>
              </w:rPr>
              <w:t>NOTES</w:t>
            </w:r>
          </w:p>
          <w:p w14:paraId="763E0E60" w14:textId="77777777" w:rsidR="007F4644" w:rsidRDefault="007F4644" w:rsidP="007F4644">
            <w:pPr>
              <w:pStyle w:val="NotesText"/>
            </w:pPr>
          </w:p>
          <w:p w14:paraId="45BA8298" w14:textId="77777777" w:rsidR="007F4644" w:rsidRDefault="007F4644" w:rsidP="007F4644">
            <w:pPr>
              <w:pStyle w:val="NotesText"/>
            </w:pPr>
            <w:r>
              <w:rPr>
                <w:rFonts w:cs="Arial"/>
                <w:vanish/>
              </w:rPr>
              <w:t xml:space="preserve">BR_13.06 </w:t>
            </w:r>
            <w:r>
              <w:t>When VBECS removes a final status of “discard” or “transfer,” it also removes return credits previously assigned to the unit.</w:t>
            </w:r>
          </w:p>
        </w:tc>
      </w:tr>
    </w:tbl>
    <w:p w14:paraId="2F81A96F" w14:textId="7414B0B5" w:rsidR="00772DD7" w:rsidRDefault="00772DD7" w:rsidP="00772DD7">
      <w:pPr>
        <w:pStyle w:val="Caption"/>
      </w:pPr>
      <w:bookmarkStart w:id="497" w:name="_Ref128468634"/>
      <w:bookmarkStart w:id="498" w:name="_Ref12846860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112</w:t>
      </w:r>
      <w:r w:rsidR="004E20BD">
        <w:rPr>
          <w:noProof/>
        </w:rPr>
        <w:fldChar w:fldCharType="end"/>
      </w:r>
      <w:bookmarkEnd w:id="497"/>
      <w:r>
        <w:t>:</w:t>
      </w:r>
      <w:r w:rsidR="007F4644">
        <w:t xml:space="preserve"> Remove Final Unit Status</w:t>
      </w:r>
      <w:bookmarkEnd w:id="498"/>
    </w:p>
    <w:p w14:paraId="1C4DD687" w14:textId="77777777" w:rsidR="00E661A1" w:rsidRDefault="00057948" w:rsidP="00772DD7">
      <w:pPr>
        <w:pStyle w:val="BodyText"/>
      </w:pPr>
      <w:r>
        <w:rPr>
          <w:noProof/>
        </w:rPr>
        <w:drawing>
          <wp:inline distT="0" distB="0" distL="0" distR="0" wp14:anchorId="18FB9A64" wp14:editId="1C7CA055">
            <wp:extent cx="5939155" cy="4415155"/>
            <wp:effectExtent l="0" t="0" r="4445" b="4445"/>
            <wp:docPr id="205" name="Pictur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a:extLst>
                        <a:ext uri="{C183D7F6-B498-43B3-948B-1728B52AA6E4}">
                          <adec:decorative xmlns:adec="http://schemas.microsoft.com/office/drawing/2017/decorative" val="1"/>
                        </a:ext>
                      </a:extLst>
                    </pic:cNvPr>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939155" cy="4415155"/>
                    </a:xfrm>
                    <a:prstGeom prst="rect">
                      <a:avLst/>
                    </a:prstGeom>
                    <a:noFill/>
                    <a:ln>
                      <a:noFill/>
                    </a:ln>
                  </pic:spPr>
                </pic:pic>
              </a:graphicData>
            </a:graphic>
          </wp:inline>
        </w:drawing>
      </w:r>
    </w:p>
    <w:p w14:paraId="53DC9C95" w14:textId="5F3220C7" w:rsidR="00A84E55" w:rsidRDefault="00A84E55">
      <w:bookmarkStart w:id="499" w:name="_Toc63680365"/>
      <w:bookmarkStart w:id="500" w:name="_Toc79560666"/>
      <w:bookmarkStart w:id="501" w:name="OLE_LINK20"/>
      <w:bookmarkStart w:id="502" w:name="_Toc75225469"/>
      <w:r>
        <w:br w:type="page"/>
      </w:r>
    </w:p>
    <w:p w14:paraId="21204BC2" w14:textId="1D846BBE" w:rsidR="005E57E3" w:rsidRDefault="005E57E3" w:rsidP="005E57E3">
      <w:pPr>
        <w:jc w:val="center"/>
      </w:pPr>
      <w:r>
        <w:lastRenderedPageBreak/>
        <w:t>This page intentionally left blank.</w:t>
      </w:r>
    </w:p>
    <w:p w14:paraId="7C261E4E" w14:textId="77777777" w:rsidR="005E57E3" w:rsidRDefault="005E57E3">
      <w:r>
        <w:br w:type="page"/>
      </w:r>
    </w:p>
    <w:p w14:paraId="337D9C61" w14:textId="4100DC4F" w:rsidR="00E659AB" w:rsidRDefault="00E659AB" w:rsidP="00ED6B65">
      <w:pPr>
        <w:pStyle w:val="Heading1"/>
      </w:pPr>
      <w:bookmarkStart w:id="503" w:name="_Toc47516739"/>
      <w:r>
        <w:lastRenderedPageBreak/>
        <w:t>P</w:t>
      </w:r>
      <w:r w:rsidR="004675B3">
        <w:t>rocessing Orders</w:t>
      </w:r>
      <w:bookmarkEnd w:id="503"/>
      <w:r w:rsidR="004675B3">
        <w:fldChar w:fldCharType="begin"/>
      </w:r>
      <w:r w:rsidR="004675B3">
        <w:instrText xml:space="preserve"> XE “Processing Orders” </w:instrText>
      </w:r>
      <w:r w:rsidR="004675B3">
        <w:fldChar w:fldCharType="end"/>
      </w:r>
    </w:p>
    <w:p w14:paraId="74E4F4B3" w14:textId="77777777" w:rsidR="002A21AE" w:rsidRDefault="002A21AE">
      <w:pPr>
        <w:pStyle w:val="Heading2"/>
      </w:pPr>
      <w:bookmarkStart w:id="504" w:name="_Toc47516740"/>
      <w:r>
        <w:t>Accept Orders: Accept an Order</w:t>
      </w:r>
      <w:bookmarkEnd w:id="499"/>
      <w:bookmarkEnd w:id="500"/>
      <w:bookmarkEnd w:id="501"/>
      <w:bookmarkEnd w:id="504"/>
      <w:r>
        <w:fldChar w:fldCharType="begin"/>
      </w:r>
      <w:r>
        <w:instrText xml:space="preserve"> XE </w:instrText>
      </w:r>
      <w:r w:rsidR="00FA7E65">
        <w:instrText>“</w:instrText>
      </w:r>
      <w:r>
        <w:instrText>Accept Orders\: Accept an Order</w:instrText>
      </w:r>
      <w:r w:rsidR="00FA7E65">
        <w:instrText>”</w:instrText>
      </w:r>
      <w:r>
        <w:instrText xml:space="preserve"> </w:instrText>
      </w:r>
      <w:r>
        <w:fldChar w:fldCharType="end"/>
      </w:r>
      <w:r>
        <w:t xml:space="preserve"> </w:t>
      </w:r>
      <w:r>
        <w:rPr>
          <w:rFonts w:ascii="Geneva" w:hAnsi="Geneva"/>
          <w:vanish/>
        </w:rPr>
        <w:t>UC_16</w:t>
      </w:r>
    </w:p>
    <w:p w14:paraId="0E8C7177" w14:textId="77777777" w:rsidR="002A21AE" w:rsidRDefault="002A21AE" w:rsidP="00FA7E65">
      <w:pPr>
        <w:pStyle w:val="BodyText"/>
      </w:pPr>
      <w:r>
        <w:t>The user accepts the receipt of an order.</w:t>
      </w:r>
    </w:p>
    <w:p w14:paraId="3CE98E37" w14:textId="77777777" w:rsidR="002A21AE" w:rsidRDefault="002A21AE">
      <w:pPr>
        <w:pStyle w:val="Heading4"/>
      </w:pPr>
      <w:r>
        <w:t>Assumptions</w:t>
      </w:r>
    </w:p>
    <w:p w14:paraId="67019F5B" w14:textId="77777777" w:rsidR="002A21AE" w:rsidRDefault="00A36582">
      <w:pPr>
        <w:pStyle w:val="ListBullet"/>
      </w:pPr>
      <w:r>
        <w:t>Orders were placed in CPRS for a patient and a</w:t>
      </w:r>
      <w:r w:rsidR="002A21AE">
        <w:t xml:space="preserve"> VBECS order number was generated. </w:t>
      </w:r>
    </w:p>
    <w:p w14:paraId="444B5BEC" w14:textId="77777777" w:rsidR="002A21AE" w:rsidRDefault="002A21AE">
      <w:pPr>
        <w:pStyle w:val="ListBullet"/>
      </w:pPr>
      <w:r>
        <w:t>When a specimen is required, the user located it.</w:t>
      </w:r>
    </w:p>
    <w:p w14:paraId="1A123BDC" w14:textId="77777777" w:rsidR="002A21AE" w:rsidRDefault="002A21AE">
      <w:pPr>
        <w:pStyle w:val="ListBullet"/>
      </w:pPr>
      <w:r>
        <w:t>Inappropriate Transfusion Request parameters are defined for orderable component classes.</w:t>
      </w:r>
    </w:p>
    <w:p w14:paraId="488F3991" w14:textId="77777777" w:rsidR="002A21AE" w:rsidRDefault="002A21AE" w:rsidP="00A36582">
      <w:pPr>
        <w:pStyle w:val="ListBullet"/>
      </w:pPr>
      <w:r>
        <w:t xml:space="preserve">The connection to </w:t>
      </w:r>
      <w:r w:rsidR="00CA0045" w:rsidRPr="00CA0045">
        <w:rPr>
          <w:bCs/>
        </w:rPr>
        <w:t>VistA</w:t>
      </w:r>
      <w:r>
        <w:t xml:space="preserve"> is active.</w:t>
      </w:r>
    </w:p>
    <w:p w14:paraId="39A056ED" w14:textId="77777777" w:rsidR="002A21AE" w:rsidRDefault="002A21AE">
      <w:pPr>
        <w:pStyle w:val="Heading4"/>
      </w:pPr>
      <w:r>
        <w:t>Outcome</w:t>
      </w:r>
    </w:p>
    <w:p w14:paraId="5733A779" w14:textId="77777777" w:rsidR="002A21AE" w:rsidRDefault="002A21AE">
      <w:pPr>
        <w:pStyle w:val="ListBullet"/>
      </w:pPr>
      <w:r>
        <w:t xml:space="preserve">Ordered tests may be </w:t>
      </w:r>
      <w:r w:rsidRPr="00BC4AB6">
        <w:t xml:space="preserve">processed and are </w:t>
      </w:r>
      <w:r>
        <w:t>available to various worklists.</w:t>
      </w:r>
    </w:p>
    <w:p w14:paraId="73ACC3F1" w14:textId="77777777" w:rsidR="002A21AE" w:rsidRDefault="002A21AE">
      <w:pPr>
        <w:pStyle w:val="Heading4"/>
      </w:pPr>
      <w:r>
        <w:t xml:space="preserve">Limitations and Restrictions </w:t>
      </w:r>
    </w:p>
    <w:p w14:paraId="45E5DF79" w14:textId="77777777" w:rsidR="00A87E0D" w:rsidRPr="00BF73DF" w:rsidRDefault="00A87E0D" w:rsidP="00A87E0D">
      <w:pPr>
        <w:pStyle w:val="ListBullet"/>
        <w:rPr>
          <w:u w:val="single"/>
        </w:rPr>
      </w:pPr>
      <w:r>
        <w:t>An order for TAS must be accepted before the component order if the user wants to include the component request to the Inappropriate Transfusion Re</w:t>
      </w:r>
      <w:r w:rsidR="00E037D2">
        <w:t xml:space="preserve">quest Report. Accepting the TAS after the component order is marked inappropriate and accepted </w:t>
      </w:r>
      <w:r>
        <w:t>clears</w:t>
      </w:r>
      <w:r w:rsidR="006C34C0">
        <w:t xml:space="preserve"> the user’s </w:t>
      </w:r>
      <w:r w:rsidR="009F6F64">
        <w:t>indication that this is an inappropriate request</w:t>
      </w:r>
      <w:r w:rsidR="00B348B5">
        <w:t>.</w:t>
      </w:r>
      <w:r w:rsidR="00E46422">
        <w:rPr>
          <w:vanish/>
        </w:rPr>
        <w:t xml:space="preserve"> </w:t>
      </w:r>
      <w:r w:rsidR="00E46422" w:rsidRPr="00E46422">
        <w:rPr>
          <w:vanish/>
        </w:rPr>
        <w:t>DR 4854</w:t>
      </w:r>
    </w:p>
    <w:p w14:paraId="1EBB0697" w14:textId="5EC94A3D" w:rsidR="002A21AE" w:rsidRPr="00282037" w:rsidRDefault="002A21AE" w:rsidP="0057063D">
      <w:pPr>
        <w:pStyle w:val="ListBullet"/>
      </w:pPr>
      <w:r w:rsidRPr="00282037">
        <w:t xml:space="preserve">When no CPRS order exists, the user processes the </w:t>
      </w:r>
      <w:r w:rsidR="00AC406E" w:rsidRPr="00282037">
        <w:t>specimen</w:t>
      </w:r>
      <w:r w:rsidRPr="00282037">
        <w:t xml:space="preserve"> offline.</w:t>
      </w:r>
      <w:r w:rsidR="00730CAA" w:rsidRPr="00282037">
        <w:t xml:space="preserve"> </w:t>
      </w:r>
      <w:r w:rsidR="0057063D" w:rsidRPr="00282037">
        <w:t>The emergency order check box is not enabled unless there is a CPRS order and a patient specimen accessioned in VistA. If necessary, process the emergency issue of units manually, per local policy, until the specimen is received and accessioned</w:t>
      </w:r>
      <w:r w:rsidR="00E36641" w:rsidRPr="00282037">
        <w:t>.</w:t>
      </w:r>
      <w:r w:rsidR="00730CAA" w:rsidRPr="00282037">
        <w:t xml:space="preserve"> </w:t>
      </w:r>
      <w:r w:rsidR="00730CAA" w:rsidRPr="00282037">
        <w:rPr>
          <w:vanish/>
        </w:rPr>
        <w:t>Defect 2</w:t>
      </w:r>
      <w:r w:rsidR="005D686E">
        <w:rPr>
          <w:vanish/>
        </w:rPr>
        <w:t>13679</w:t>
      </w:r>
    </w:p>
    <w:p w14:paraId="07F89C56" w14:textId="77777777" w:rsidR="00A67B62" w:rsidRDefault="009E2EF4" w:rsidP="00A67B62">
      <w:pPr>
        <w:pStyle w:val="ListBullet"/>
      </w:pPr>
      <w:r w:rsidRPr="009E2EF4">
        <w:rPr>
          <w:vanish/>
        </w:rPr>
        <w:t>DR 2,811</w:t>
      </w:r>
      <w:r w:rsidR="00A67B62">
        <w:t>The user must accept the Type &amp; Screen (TAS) before he accepts other diagnostic tests or component orders.</w:t>
      </w:r>
    </w:p>
    <w:p w14:paraId="67923BAC" w14:textId="77777777" w:rsidR="00B26E41" w:rsidRDefault="00B2513B">
      <w:pPr>
        <w:pStyle w:val="ListBullet"/>
      </w:pPr>
      <w:r>
        <w:t>T</w:t>
      </w:r>
      <w:r w:rsidR="00B26E41" w:rsidRPr="00AB4ABB">
        <w:t>he</w:t>
      </w:r>
      <w:r w:rsidR="003254B7">
        <w:t xml:space="preserve"> user cannot click </w:t>
      </w:r>
      <w:r w:rsidR="00057948">
        <w:rPr>
          <w:noProof/>
        </w:rPr>
        <w:drawing>
          <wp:inline distT="0" distB="0" distL="0" distR="0" wp14:anchorId="5782EA33" wp14:editId="545F99C4">
            <wp:extent cx="156845" cy="156845"/>
            <wp:effectExtent l="0" t="0" r="0" b="0"/>
            <wp:docPr id="206" name="Picture 206" descr="small_patientselected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small_patientselectedunits"/>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3254B7">
        <w:t xml:space="preserve"> </w:t>
      </w:r>
      <w:r w:rsidR="00B82472">
        <w:t xml:space="preserve">(Restricted or Assigned Units) </w:t>
      </w:r>
      <w:r w:rsidR="003254B7">
        <w:t>to access information on autologous or directed units that may be restricted to a patient</w:t>
      </w:r>
      <w:r>
        <w:t>.</w:t>
      </w:r>
    </w:p>
    <w:p w14:paraId="70082AAB" w14:textId="77777777" w:rsidR="008B0C9A" w:rsidRDefault="0055788D" w:rsidP="00A87E0D">
      <w:pPr>
        <w:pStyle w:val="ListBullet"/>
      </w:pPr>
      <w:r>
        <w:t>Orders placed for patient</w:t>
      </w:r>
      <w:r w:rsidR="009412D6">
        <w:t>s with names that exceed the database standard for File #2 (30 characters) or do not have a last name in VistA are rejected</w:t>
      </w:r>
      <w:r w:rsidR="00551EF1">
        <w:t xml:space="preserve"> and do not appear in VBECS</w:t>
      </w:r>
      <w:r w:rsidR="009412D6">
        <w:t>. The VBECS System Administrator is notified of each rejection via an email to the address entered in VBECS Administrator “</w:t>
      </w:r>
      <w:r w:rsidR="00276DAA">
        <w:t>Email Alerts</w:t>
      </w:r>
      <w:r w:rsidR="009412D6">
        <w:t>” field.</w:t>
      </w:r>
    </w:p>
    <w:p w14:paraId="20334ACC" w14:textId="6567D5A4" w:rsidR="0086534E" w:rsidRDefault="00E36641" w:rsidP="00FF3EF2">
      <w:pPr>
        <w:pStyle w:val="ListBullet"/>
      </w:pPr>
      <w:r>
        <w:t>The “Display Restricted or Assigned U</w:t>
      </w:r>
      <w:r w:rsidR="0086534E" w:rsidRPr="0086534E">
        <w:t>nits</w:t>
      </w:r>
      <w:r>
        <w:t>”</w:t>
      </w:r>
      <w:r w:rsidR="0086534E" w:rsidRPr="0086534E">
        <w:t xml:space="preserve"> button in Accept Ord</w:t>
      </w:r>
      <w:r w:rsidR="0086534E">
        <w:t xml:space="preserve">ers </w:t>
      </w:r>
      <w:r w:rsidR="00963554">
        <w:t>is</w:t>
      </w:r>
      <w:r w:rsidR="0086534E">
        <w:t xml:space="preserve"> disabled</w:t>
      </w:r>
      <w:r w:rsidR="00822375">
        <w:t xml:space="preserve">. </w:t>
      </w:r>
      <w:r w:rsidR="00822375" w:rsidRPr="00822375">
        <w:t>The Blood Availability Report displays units assigned and restricted for all patients.</w:t>
      </w:r>
      <w:r w:rsidR="00850DE6">
        <w:t xml:space="preserve"> </w:t>
      </w:r>
      <w:r w:rsidR="00850DE6" w:rsidRPr="00850DE6">
        <w:rPr>
          <w:vanish/>
        </w:rPr>
        <w:t>Defect 209835</w:t>
      </w:r>
    </w:p>
    <w:p w14:paraId="53FBD3E1" w14:textId="2E8C2E1B" w:rsidR="002F47AC" w:rsidRDefault="002F47AC" w:rsidP="002F47AC">
      <w:pPr>
        <w:pStyle w:val="ListBullet"/>
      </w:pPr>
      <w:r w:rsidRPr="002F47AC">
        <w:t>On the Accept Orders screen, clicking the Received and Wanted column headers does not sort on the date and time of the Pending Order List.</w:t>
      </w:r>
      <w:r w:rsidR="00850DE6">
        <w:t xml:space="preserve"> </w:t>
      </w:r>
      <w:r w:rsidR="00850DE6" w:rsidRPr="00850DE6">
        <w:rPr>
          <w:vanish/>
        </w:rPr>
        <w:t>Defect 209030</w:t>
      </w:r>
    </w:p>
    <w:p w14:paraId="52D19EDE" w14:textId="1DA77949" w:rsidR="00717D11" w:rsidRDefault="00CB26FA" w:rsidP="002F47AC">
      <w:pPr>
        <w:pStyle w:val="ListBullet"/>
      </w:pPr>
      <w:r>
        <w:t>O</w:t>
      </w:r>
      <w:r w:rsidR="00BE4F09">
        <w:t>n the Order Details window, o</w:t>
      </w:r>
      <w:r>
        <w:t>nly the first twenty (20) characters of the Ordering Division field are visible</w:t>
      </w:r>
      <w:r w:rsidR="008B3878">
        <w:t xml:space="preserve">. </w:t>
      </w:r>
      <w:r w:rsidR="00BE4F09">
        <w:t>Ordering locations in VistA can be shortened or changed when the uniqueness of a location cannot be determined with the first twenty (20) characters</w:t>
      </w:r>
      <w:r>
        <w:t xml:space="preserve">. </w:t>
      </w:r>
      <w:r>
        <w:rPr>
          <w:vanish/>
        </w:rPr>
        <w:t>Defect 209851</w:t>
      </w:r>
    </w:p>
    <w:p w14:paraId="07CAD636" w14:textId="77777777" w:rsidR="002A21AE" w:rsidRDefault="002A21AE">
      <w:pPr>
        <w:pStyle w:val="Heading4"/>
      </w:pPr>
      <w:r>
        <w:t>Additional Information</w:t>
      </w:r>
    </w:p>
    <w:p w14:paraId="0B889A1B" w14:textId="77777777" w:rsidR="002A21AE" w:rsidRDefault="002A21AE">
      <w:pPr>
        <w:pStyle w:val="ListBullet"/>
      </w:pPr>
      <w:r>
        <w:t xml:space="preserve">VBECS automatically cancels </w:t>
      </w:r>
      <w:r w:rsidR="000318FD">
        <w:t xml:space="preserve">previously accepted </w:t>
      </w:r>
      <w:r>
        <w:t>orders the day after they expire.</w:t>
      </w:r>
      <w:r w:rsidR="000318FD" w:rsidRPr="000318FD">
        <w:rPr>
          <w:vanish/>
        </w:rPr>
        <w:t xml:space="preserve"> DR 4519</w:t>
      </w:r>
    </w:p>
    <w:p w14:paraId="128CB209" w14:textId="77777777" w:rsidR="000318FD" w:rsidRDefault="000318FD">
      <w:pPr>
        <w:pStyle w:val="ListBullet"/>
      </w:pPr>
      <w:r>
        <w:t>To maintain a specimen with a TAS and diagnostic test orders, the TAS must be processed first, before any diagnostic test order (see Maintain Specimen).</w:t>
      </w:r>
      <w:r w:rsidRPr="000318FD">
        <w:rPr>
          <w:vanish/>
        </w:rPr>
        <w:t xml:space="preserve"> DR 4519</w:t>
      </w:r>
    </w:p>
    <w:p w14:paraId="3A96CDE6" w14:textId="77777777" w:rsidR="00CE51B0" w:rsidRDefault="002A21AE" w:rsidP="00CE51B0">
      <w:pPr>
        <w:pStyle w:val="ListBullet"/>
      </w:pPr>
      <w:r>
        <w:t xml:space="preserve">The user </w:t>
      </w:r>
      <w:r w:rsidR="000850E3">
        <w:t>may investigate</w:t>
      </w:r>
      <w:r>
        <w:t xml:space="preserve"> patient clinical information using </w:t>
      </w:r>
      <w:r w:rsidR="00CA0045" w:rsidRPr="00CA0045">
        <w:rPr>
          <w:bCs/>
        </w:rPr>
        <w:t>VistA</w:t>
      </w:r>
      <w:r>
        <w:t xml:space="preserve"> and CPRS. </w:t>
      </w:r>
    </w:p>
    <w:p w14:paraId="4665C719" w14:textId="77777777" w:rsidR="00D905FE" w:rsidRDefault="00D905FE" w:rsidP="00CE51B0">
      <w:pPr>
        <w:pStyle w:val="ListBullet"/>
      </w:pPr>
      <w:r w:rsidRPr="00D905FE">
        <w:lastRenderedPageBreak/>
        <w:t>A facility may capture the phlebotomist's signature</w:t>
      </w:r>
      <w:r w:rsidR="00B97078">
        <w:t xml:space="preserve"> and the date </w:t>
      </w:r>
      <w:r w:rsidRPr="00D905FE">
        <w:t xml:space="preserve">and time of specimen collection on a </w:t>
      </w:r>
      <w:r w:rsidR="00B97078">
        <w:t>printed</w:t>
      </w:r>
      <w:r w:rsidRPr="00D905FE">
        <w:t xml:space="preserve"> order from CPRS. </w:t>
      </w:r>
      <w:r w:rsidR="006F1B1A">
        <w:t>[</w:t>
      </w:r>
      <w:r w:rsidRPr="00D905FE">
        <w:t xml:space="preserve">Local IRM personnel </w:t>
      </w:r>
      <w:r w:rsidR="00FB1DC1">
        <w:t>may</w:t>
      </w:r>
      <w:r w:rsidRPr="00D905FE">
        <w:t xml:space="preserve"> configure CPRS to </w:t>
      </w:r>
      <w:r>
        <w:t xml:space="preserve">print </w:t>
      </w:r>
      <w:r w:rsidR="00B97078">
        <w:t xml:space="preserve">the </w:t>
      </w:r>
      <w:r>
        <w:t>b</w:t>
      </w:r>
      <w:r w:rsidRPr="00D905FE">
        <w:t xml:space="preserve">lood </w:t>
      </w:r>
      <w:r>
        <w:t>bank order</w:t>
      </w:r>
      <w:r w:rsidR="006F1B1A">
        <w:t>: r</w:t>
      </w:r>
      <w:r w:rsidRPr="00D905FE">
        <w:t xml:space="preserve">efer </w:t>
      </w:r>
      <w:r w:rsidR="00BC4AB6">
        <w:t xml:space="preserve">to </w:t>
      </w:r>
      <w:r w:rsidR="00BC4AB6" w:rsidRPr="00BC4AB6">
        <w:rPr>
          <w:i/>
        </w:rPr>
        <w:t>Setup Guide</w:t>
      </w:r>
      <w:r w:rsidR="00BC4AB6" w:rsidRPr="00BC4AB6">
        <w:t xml:space="preserve"> (August 2000) </w:t>
      </w:r>
      <w:r w:rsidR="005C0559">
        <w:t xml:space="preserve">in </w:t>
      </w:r>
      <w:r w:rsidRPr="00D905FE">
        <w:t>VistA Document Library</w:t>
      </w:r>
      <w:r w:rsidR="00B97078">
        <w:t>,</w:t>
      </w:r>
      <w:r w:rsidR="00B97078" w:rsidRPr="00B97078">
        <w:t xml:space="preserve"> </w:t>
      </w:r>
      <w:r w:rsidR="00B97078">
        <w:t>Computerized Patient Record System (CPRS)</w:t>
      </w:r>
      <w:r w:rsidR="006F1B1A">
        <w:t>]</w:t>
      </w:r>
      <w:r w:rsidRPr="00D905FE">
        <w:t>.</w:t>
      </w:r>
    </w:p>
    <w:p w14:paraId="4993DC0E" w14:textId="77777777" w:rsidR="002A21AE" w:rsidRDefault="002A21AE">
      <w:pPr>
        <w:pStyle w:val="Heading4"/>
      </w:pPr>
      <w:r>
        <w:t>User Roles with Access to This Option</w:t>
      </w:r>
    </w:p>
    <w:p w14:paraId="486DD3FC" w14:textId="77777777" w:rsidR="002A21AE" w:rsidRDefault="000F12D4">
      <w:pPr>
        <w:pStyle w:val="Roles"/>
        <w:rPr>
          <w:snapToGrid w:val="0"/>
        </w:rPr>
      </w:pPr>
      <w:r>
        <w:t>All users</w:t>
      </w:r>
    </w:p>
    <w:bookmarkEnd w:id="502"/>
    <w:p w14:paraId="386A4EA7" w14:textId="77777777" w:rsidR="002A21AE" w:rsidRDefault="002A21AE">
      <w:pPr>
        <w:pStyle w:val="Heading4"/>
      </w:pPr>
      <w:r>
        <w:t>Accept Orders: Accept an Order</w:t>
      </w:r>
    </w:p>
    <w:p w14:paraId="3B1DD550" w14:textId="4D02F836" w:rsidR="002A21AE" w:rsidRDefault="002A21AE" w:rsidP="00FA7E65">
      <w:pPr>
        <w:pStyle w:val="BodyText"/>
      </w:pPr>
      <w:r>
        <w:t>The user reviews the list of pending orders and the specimen, determines that local policy requirements are satisfied, and accepts all or part of a routine order. The user accepts the VBECS order and associates the Laboratory generated specimen UID number with the order.</w:t>
      </w:r>
    </w:p>
    <w:p w14:paraId="028D3A14" w14:textId="600423FA" w:rsidR="00FE7547" w:rsidRPr="006F5EC8" w:rsidRDefault="00057948" w:rsidP="00FE7547">
      <w:pPr>
        <w:pStyle w:val="Caution"/>
      </w:pPr>
      <w:r>
        <w:rPr>
          <w:i w:val="0"/>
          <w:noProof/>
        </w:rPr>
        <w:drawing>
          <wp:inline distT="0" distB="0" distL="0" distR="0" wp14:anchorId="729ADBFA" wp14:editId="741FB01F">
            <wp:extent cx="267970" cy="221615"/>
            <wp:effectExtent l="0" t="0" r="0" b="6985"/>
            <wp:docPr id="207" name="Picture 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161247">
        <w:t xml:space="preserve">Changes made in the VBECS Administrator option </w:t>
      </w:r>
      <w:r w:rsidR="009602CB">
        <w:t>mapping</w:t>
      </w:r>
      <w:r w:rsidR="00161247">
        <w:t xml:space="preserve"> orders to anoth</w:t>
      </w:r>
      <w:r w:rsidR="00CD6D3C">
        <w:t>er VBECS division do not a</w:t>
      </w:r>
      <w:r w:rsidR="009602CB">
        <w:t>ffect</w:t>
      </w:r>
      <w:r w:rsidR="00161247">
        <w:t xml:space="preserve"> delivered</w:t>
      </w:r>
      <w:r w:rsidR="009602CB">
        <w:t xml:space="preserve"> orders</w:t>
      </w:r>
      <w:r w:rsidR="00161247">
        <w:t xml:space="preserve">. </w:t>
      </w:r>
      <w:r w:rsidR="009602CB">
        <w:t>O</w:t>
      </w:r>
      <w:r w:rsidR="00161247">
        <w:t>rders delivered to a</w:t>
      </w:r>
      <w:r w:rsidR="009602CB">
        <w:t xml:space="preserve"> </w:t>
      </w:r>
      <w:r w:rsidR="00161247">
        <w:t>VBECS division must be completed, rejected, or cance</w:t>
      </w:r>
      <w:r w:rsidR="002F7E19">
        <w:t>l</w:t>
      </w:r>
      <w:r w:rsidR="00161247">
        <w:t>led in that division. Resubmit orders after</w:t>
      </w:r>
      <w:r w:rsidR="009602CB">
        <w:t xml:space="preserve"> mapping is completed to send an order to another VBECS division.</w:t>
      </w:r>
      <w:r w:rsidR="009602CB" w:rsidRPr="009602CB">
        <w:rPr>
          <w:vanish/>
        </w:rPr>
        <w:t>DR 2,896</w:t>
      </w:r>
    </w:p>
    <w:p w14:paraId="7EF9C6D6" w14:textId="77777777" w:rsidR="00FE7547" w:rsidRDefault="00FE7547" w:rsidP="00FA7E65">
      <w:pPr>
        <w:pStyle w:val="BodyTex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32AA128" w14:textId="77777777">
        <w:trPr>
          <w:cantSplit/>
          <w:tblHeader/>
        </w:trPr>
        <w:tc>
          <w:tcPr>
            <w:tcW w:w="3240" w:type="dxa"/>
            <w:shd w:val="pct30" w:color="auto" w:fill="FFFFFF"/>
            <w:vAlign w:val="bottom"/>
          </w:tcPr>
          <w:p w14:paraId="4F4DFB13" w14:textId="77777777" w:rsidR="002A21AE" w:rsidRDefault="002A21AE">
            <w:pPr>
              <w:pStyle w:val="TableText"/>
              <w:rPr>
                <w:b/>
              </w:rPr>
            </w:pPr>
            <w:bookmarkStart w:id="505" w:name="_Toc34528152"/>
            <w:bookmarkStart w:id="506" w:name="_Toc34721750"/>
            <w:bookmarkEnd w:id="505"/>
            <w:bookmarkEnd w:id="506"/>
            <w:r>
              <w:rPr>
                <w:b/>
              </w:rPr>
              <w:t>User Action</w:t>
            </w:r>
          </w:p>
        </w:tc>
        <w:tc>
          <w:tcPr>
            <w:tcW w:w="6120" w:type="dxa"/>
            <w:shd w:val="pct30" w:color="auto" w:fill="FFFFFF"/>
            <w:vAlign w:val="bottom"/>
          </w:tcPr>
          <w:p w14:paraId="7DA5F811" w14:textId="77777777" w:rsidR="002A21AE" w:rsidRDefault="002A21AE">
            <w:pPr>
              <w:pStyle w:val="TableText"/>
              <w:rPr>
                <w:b/>
              </w:rPr>
            </w:pPr>
            <w:r>
              <w:rPr>
                <w:b/>
              </w:rPr>
              <w:t>VBECS</w:t>
            </w:r>
          </w:p>
        </w:tc>
      </w:tr>
      <w:tr w:rsidR="002A21AE" w14:paraId="0D0D3F8F" w14:textId="77777777">
        <w:tc>
          <w:tcPr>
            <w:tcW w:w="3240" w:type="dxa"/>
          </w:tcPr>
          <w:p w14:paraId="75755478" w14:textId="77777777" w:rsidR="002A21AE" w:rsidRDefault="002A21AE">
            <w:pPr>
              <w:pStyle w:val="TableTextNumbers"/>
            </w:pPr>
            <w:r>
              <w:t xml:space="preserve">Select </w:t>
            </w:r>
            <w:r>
              <w:rPr>
                <w:b/>
              </w:rPr>
              <w:t>Orders</w:t>
            </w:r>
            <w:r>
              <w:t xml:space="preserve"> from the main menu.</w:t>
            </w:r>
          </w:p>
          <w:p w14:paraId="313670BD" w14:textId="77777777" w:rsidR="002A21AE" w:rsidRDefault="002A21AE">
            <w:pPr>
              <w:pStyle w:val="TableTextNumbersContinued"/>
            </w:pPr>
          </w:p>
          <w:p w14:paraId="108FC0EE" w14:textId="77777777" w:rsidR="002A21AE" w:rsidRDefault="002A21AE">
            <w:pPr>
              <w:pStyle w:val="TableTextNumbersContinued"/>
            </w:pPr>
            <w:r>
              <w:t xml:space="preserve">Select </w:t>
            </w:r>
            <w:r>
              <w:rPr>
                <w:b/>
              </w:rPr>
              <w:t>Accept Orders</w:t>
            </w:r>
            <w:r>
              <w:t>.</w:t>
            </w:r>
          </w:p>
        </w:tc>
        <w:tc>
          <w:tcPr>
            <w:tcW w:w="6120" w:type="dxa"/>
          </w:tcPr>
          <w:p w14:paraId="75E91BC3" w14:textId="77777777" w:rsidR="002A21AE" w:rsidRDefault="002A21AE">
            <w:pPr>
              <w:pStyle w:val="TableTextBullet"/>
            </w:pPr>
            <w:r>
              <w:t>Displays options for processing orders.</w:t>
            </w:r>
          </w:p>
          <w:p w14:paraId="0ADAF59D" w14:textId="77777777" w:rsidR="002A21AE" w:rsidRDefault="002A21AE">
            <w:pPr>
              <w:pStyle w:val="TableTextBullet"/>
            </w:pPr>
            <w:r>
              <w:t>Displays the POL and POL search criteria.</w:t>
            </w:r>
          </w:p>
        </w:tc>
      </w:tr>
      <w:tr w:rsidR="002A21AE" w14:paraId="3F9D9158" w14:textId="77777777">
        <w:tc>
          <w:tcPr>
            <w:tcW w:w="3240" w:type="dxa"/>
          </w:tcPr>
          <w:p w14:paraId="504C1B47" w14:textId="61EDE78F" w:rsidR="002A21AE" w:rsidRDefault="002A21AE">
            <w:pPr>
              <w:pStyle w:val="TableTextNumbers"/>
            </w:pPr>
            <w:r>
              <w:t>Select an order to accept from the POL</w:t>
            </w:r>
            <w:r w:rsidR="00F3761C">
              <w:t xml:space="preserve"> (</w:t>
            </w:r>
            <w:r w:rsidR="007810A1">
              <w:fldChar w:fldCharType="begin"/>
            </w:r>
            <w:r w:rsidR="007810A1">
              <w:instrText xml:space="preserve"> REF _Ref126723121 \h </w:instrText>
            </w:r>
            <w:r w:rsidR="007810A1">
              <w:fldChar w:fldCharType="separate"/>
            </w:r>
            <w:r w:rsidR="004353ED">
              <w:t xml:space="preserve">Figure </w:t>
            </w:r>
            <w:r w:rsidR="004353ED">
              <w:rPr>
                <w:noProof/>
              </w:rPr>
              <w:t>113</w:t>
            </w:r>
            <w:r w:rsidR="007810A1">
              <w:fldChar w:fldCharType="end"/>
            </w:r>
            <w:r w:rsidR="00F3761C">
              <w:t>)</w:t>
            </w:r>
            <w:r>
              <w:t xml:space="preserve">, or </w:t>
            </w:r>
          </w:p>
          <w:p w14:paraId="12BF53D4" w14:textId="77777777" w:rsidR="002A21AE" w:rsidRDefault="002A21AE">
            <w:pPr>
              <w:pStyle w:val="TableTextNumbersContinued"/>
            </w:pPr>
          </w:p>
          <w:p w14:paraId="50FFA81B" w14:textId="77777777" w:rsidR="002A21AE" w:rsidRDefault="002A21AE">
            <w:pPr>
              <w:pStyle w:val="TableTextNumbersContinued"/>
            </w:pPr>
            <w:r>
              <w:t xml:space="preserve">In the Pending Order List Search Criteria area, enter the known </w:t>
            </w:r>
            <w:r w:rsidR="00C47144">
              <w:t>data, including the date wanted.</w:t>
            </w:r>
          </w:p>
          <w:p w14:paraId="7AE10792" w14:textId="77777777" w:rsidR="002A21AE" w:rsidRDefault="002A21AE">
            <w:pPr>
              <w:pStyle w:val="TableTextNumbersContinued"/>
            </w:pPr>
          </w:p>
          <w:p w14:paraId="25EC5E3B" w14:textId="77777777" w:rsidR="002A21AE" w:rsidRDefault="002A21AE">
            <w:pPr>
              <w:pStyle w:val="TableTextNumbersContinued"/>
            </w:pPr>
            <w:r>
              <w:t xml:space="preserve">Click </w:t>
            </w:r>
            <w:r>
              <w:rPr>
                <w:b/>
              </w:rPr>
              <w:t>Search</w:t>
            </w:r>
            <w:r>
              <w:t xml:space="preserve"> to find an order.</w:t>
            </w:r>
          </w:p>
        </w:tc>
        <w:tc>
          <w:tcPr>
            <w:tcW w:w="6120" w:type="dxa"/>
          </w:tcPr>
          <w:p w14:paraId="77E7D060" w14:textId="77777777" w:rsidR="002A21AE" w:rsidRDefault="002A21AE">
            <w:pPr>
              <w:pStyle w:val="TableTextBullet"/>
            </w:pPr>
            <w:r>
              <w:t>Displays options for selecting, reviewing, and processing patient data and pending orders.</w:t>
            </w:r>
          </w:p>
          <w:p w14:paraId="1331F601" w14:textId="77777777" w:rsidR="002A21AE" w:rsidRDefault="002A21AE">
            <w:pPr>
              <w:pStyle w:val="TableTextBullet"/>
            </w:pPr>
            <w:r>
              <w:t>Allows the user to associate a specimen with an order.</w:t>
            </w:r>
          </w:p>
          <w:p w14:paraId="7EB7330A" w14:textId="77777777" w:rsidR="002A21AE" w:rsidRDefault="002A21AE" w:rsidP="00DE0F15">
            <w:pPr>
              <w:pStyle w:val="TableTextBullet"/>
            </w:pPr>
            <w:r>
              <w:t>Displays the Patient Information Toolbar that allows the user to review.</w:t>
            </w:r>
          </w:p>
          <w:p w14:paraId="552E0D0E" w14:textId="77777777" w:rsidR="002A21AE" w:rsidRDefault="002A21AE">
            <w:pPr>
              <w:pStyle w:val="TableText"/>
            </w:pPr>
          </w:p>
          <w:p w14:paraId="62B7A6D4" w14:textId="48660511" w:rsidR="002A21AE" w:rsidRDefault="002A21AE">
            <w:pPr>
              <w:pStyle w:val="TableText"/>
              <w:rPr>
                <w:b/>
                <w:bCs/>
                <w:szCs w:val="18"/>
              </w:rPr>
            </w:pPr>
            <w:r>
              <w:rPr>
                <w:b/>
                <w:bCs/>
                <w:szCs w:val="18"/>
              </w:rPr>
              <w:t>NOTES</w:t>
            </w:r>
          </w:p>
          <w:p w14:paraId="3A87FD90" w14:textId="77777777" w:rsidR="002A21AE" w:rsidRPr="00C2360C" w:rsidRDefault="002A21AE" w:rsidP="00C2360C">
            <w:pPr>
              <w:pStyle w:val="NotesText"/>
            </w:pPr>
          </w:p>
          <w:p w14:paraId="0E176265" w14:textId="77777777" w:rsidR="00C2360C" w:rsidRDefault="00C2360C" w:rsidP="00C2360C">
            <w:pPr>
              <w:pStyle w:val="NotesText"/>
              <w:rPr>
                <w:szCs w:val="18"/>
              </w:rPr>
            </w:pPr>
            <w:r w:rsidRPr="00C2360C">
              <w:rPr>
                <w:szCs w:val="18"/>
              </w:rPr>
              <w:t>S</w:t>
            </w:r>
            <w:r w:rsidRPr="00C2360C">
              <w:t>elect an order</w:t>
            </w:r>
            <w:r w:rsidR="0023261D">
              <w:t xml:space="preserve"> </w:t>
            </w:r>
            <w:r w:rsidRPr="00C2360C">
              <w:t>for TAS before selecting a cor</w:t>
            </w:r>
            <w:r w:rsidRPr="00C2360C">
              <w:rPr>
                <w:szCs w:val="18"/>
              </w:rPr>
              <w:t xml:space="preserve">responding order for </w:t>
            </w:r>
            <w:r w:rsidR="006361BC">
              <w:rPr>
                <w:szCs w:val="18"/>
              </w:rPr>
              <w:t xml:space="preserve">diagnostic tests or </w:t>
            </w:r>
            <w:r w:rsidRPr="00C2360C">
              <w:rPr>
                <w:szCs w:val="18"/>
              </w:rPr>
              <w:t>components.</w:t>
            </w:r>
          </w:p>
          <w:p w14:paraId="32267171" w14:textId="77777777" w:rsidR="00090B78" w:rsidRPr="00C2360C" w:rsidRDefault="00090B78" w:rsidP="00C2360C">
            <w:pPr>
              <w:pStyle w:val="NotesText"/>
              <w:rPr>
                <w:szCs w:val="18"/>
              </w:rPr>
            </w:pPr>
          </w:p>
          <w:p w14:paraId="07DAD119" w14:textId="77777777" w:rsidR="002A21AE" w:rsidRDefault="002A21AE">
            <w:pPr>
              <w:pStyle w:val="NotesText"/>
            </w:pPr>
            <w:r w:rsidRPr="00896F17">
              <w:rPr>
                <w:vanish/>
                <w:szCs w:val="18"/>
              </w:rPr>
              <w:t>BR_16.01</w:t>
            </w:r>
            <w:r w:rsidR="00ED1076" w:rsidRPr="00896F17">
              <w:rPr>
                <w:rStyle w:val="BullhornChar"/>
              </w:rPr>
              <w:t></w:t>
            </w:r>
            <w:r w:rsidR="00ED1076">
              <w:rPr>
                <w:rFonts w:ascii="Webdings" w:hAnsi="Webdings"/>
              </w:rPr>
              <w:t></w:t>
            </w:r>
            <w:r>
              <w:t>VBECS emits an audible alert when there are patient Special Instructions or Transfusion Requirements.</w:t>
            </w:r>
          </w:p>
          <w:p w14:paraId="709465C6" w14:textId="77777777" w:rsidR="00DE0F15" w:rsidRDefault="00DE0F15">
            <w:pPr>
              <w:pStyle w:val="NotesText"/>
            </w:pPr>
          </w:p>
          <w:p w14:paraId="081157E4" w14:textId="77777777" w:rsidR="000568BA" w:rsidRDefault="000568BA">
            <w:pPr>
              <w:pStyle w:val="NotesText"/>
              <w:rPr>
                <w:vanish/>
                <w:szCs w:val="18"/>
              </w:rPr>
            </w:pPr>
            <w:r>
              <w:rPr>
                <w:vanish/>
                <w:szCs w:val="18"/>
              </w:rPr>
              <w:t xml:space="preserve">BR_16.02, BR_88.06 </w:t>
            </w:r>
            <w:r w:rsidRPr="000568BA">
              <w:rPr>
                <w:szCs w:val="18"/>
              </w:rPr>
              <w:t>VBECS alert</w:t>
            </w:r>
            <w:r w:rsidR="00B93577">
              <w:rPr>
                <w:szCs w:val="18"/>
              </w:rPr>
              <w:t>s the user</w:t>
            </w:r>
            <w:r>
              <w:t xml:space="preserve"> when the component class ordered requires a specimen. The status may be REQ (specimen required)</w:t>
            </w:r>
            <w:r w:rsidR="00E14736">
              <w:t xml:space="preserve"> or</w:t>
            </w:r>
            <w:r>
              <w:t xml:space="preserve"> NRQ (no specimen required). The user may not continue until specimen information is added. </w:t>
            </w:r>
          </w:p>
          <w:p w14:paraId="1C657C27" w14:textId="77777777" w:rsidR="000568BA" w:rsidRDefault="000568BA">
            <w:pPr>
              <w:pStyle w:val="NotesText"/>
              <w:rPr>
                <w:vanish/>
                <w:szCs w:val="18"/>
              </w:rPr>
            </w:pPr>
          </w:p>
          <w:p w14:paraId="7C58B217" w14:textId="77777777" w:rsidR="00DE0F15" w:rsidRDefault="00DE0F15">
            <w:pPr>
              <w:pStyle w:val="NotesText"/>
            </w:pPr>
            <w:r w:rsidRPr="00DE0F15">
              <w:rPr>
                <w:vanish/>
                <w:szCs w:val="18"/>
              </w:rPr>
              <w:t xml:space="preserve">BR_16.21 </w:t>
            </w:r>
            <w:r w:rsidRPr="00896F17">
              <w:rPr>
                <w:rStyle w:val="BullhornChar"/>
              </w:rPr>
              <w:t></w:t>
            </w:r>
            <w:r>
              <w:rPr>
                <w:rFonts w:ascii="Webdings" w:hAnsi="Webdings"/>
              </w:rPr>
              <w:t></w:t>
            </w:r>
            <w:r>
              <w:t>When modifiers are included in the physician's component order, VBECS provides visual and audible alerts to remind the user to evaluate the request. VBECS does not monitor subsequent action.</w:t>
            </w:r>
          </w:p>
          <w:p w14:paraId="71B518F5" w14:textId="77777777" w:rsidR="002A21AE" w:rsidRDefault="002A21AE">
            <w:pPr>
              <w:pStyle w:val="NotesText"/>
            </w:pPr>
          </w:p>
          <w:p w14:paraId="4B8B71E7" w14:textId="77777777" w:rsidR="002A21AE" w:rsidRDefault="002A21AE">
            <w:pPr>
              <w:pStyle w:val="NotesText"/>
            </w:pPr>
            <w:r>
              <w:rPr>
                <w:rFonts w:cs="Arial"/>
                <w:vanish/>
              </w:rPr>
              <w:lastRenderedPageBreak/>
              <w:t xml:space="preserve">BR_16.03 </w:t>
            </w:r>
            <w:r>
              <w:t>VBECS alerts the user when units</w:t>
            </w:r>
            <w:r w:rsidR="009A7994">
              <w:t xml:space="preserve"> (autologous, directed, or assigned/crossmatched)</w:t>
            </w:r>
            <w:r>
              <w:t xml:space="preserve"> with a future expiration date are associated with the patient in any division in the database.</w:t>
            </w:r>
          </w:p>
        </w:tc>
      </w:tr>
      <w:tr w:rsidR="002A21AE" w14:paraId="534AF894" w14:textId="77777777">
        <w:tc>
          <w:tcPr>
            <w:tcW w:w="3240" w:type="dxa"/>
          </w:tcPr>
          <w:p w14:paraId="1ADDC26D" w14:textId="496B0BFA" w:rsidR="002A21AE" w:rsidRDefault="00AE3C64" w:rsidP="00F51906">
            <w:pPr>
              <w:pStyle w:val="TableTextNumbers"/>
            </w:pPr>
            <w:r>
              <w:lastRenderedPageBreak/>
              <w:t>Scan or enter the specimen UID</w:t>
            </w:r>
            <w:r w:rsidR="00AA6C54">
              <w:t xml:space="preserve"> </w:t>
            </w:r>
            <w:r>
              <w:t>in the Specimen UID field.</w:t>
            </w:r>
            <w:r w:rsidR="007A68B6">
              <w:t xml:space="preserve"> (See Maintain Specimen.)</w:t>
            </w:r>
            <w:r w:rsidR="0057318C">
              <w:t xml:space="preserve"> (</w:t>
            </w:r>
            <w:r w:rsidR="0057318C">
              <w:fldChar w:fldCharType="begin"/>
            </w:r>
            <w:r w:rsidR="0057318C">
              <w:instrText xml:space="preserve"> REF _Ref126722649 \h </w:instrText>
            </w:r>
            <w:r w:rsidR="0057318C">
              <w:fldChar w:fldCharType="separate"/>
            </w:r>
            <w:r w:rsidR="004353ED">
              <w:t xml:space="preserve">Figure </w:t>
            </w:r>
            <w:r w:rsidR="004353ED">
              <w:rPr>
                <w:noProof/>
              </w:rPr>
              <w:t>114</w:t>
            </w:r>
            <w:r w:rsidR="0057318C">
              <w:fldChar w:fldCharType="end"/>
            </w:r>
            <w:r w:rsidR="0057318C">
              <w:t>)</w:t>
            </w:r>
          </w:p>
          <w:p w14:paraId="487880D3" w14:textId="77777777" w:rsidR="00F51906" w:rsidRDefault="00F51906" w:rsidP="00F51906">
            <w:pPr>
              <w:pStyle w:val="TableTextNumbersContinued"/>
            </w:pPr>
          </w:p>
          <w:p w14:paraId="51F30574" w14:textId="77777777" w:rsidR="008E5063" w:rsidRDefault="00F35EF5" w:rsidP="00F51906">
            <w:pPr>
              <w:pStyle w:val="TableTextNumbersContinued"/>
            </w:pPr>
            <w:r>
              <w:rPr>
                <w:rFonts w:cs="Arial"/>
                <w:vanish/>
              </w:rPr>
              <w:t xml:space="preserve">BR_16.23 </w:t>
            </w:r>
            <w:r w:rsidR="00F51906">
              <w:t xml:space="preserve">When the component requires a current specimen and a valid sample is not available, click the </w:t>
            </w:r>
            <w:r w:rsidR="00F51906" w:rsidRPr="00F51906">
              <w:rPr>
                <w:b/>
              </w:rPr>
              <w:t xml:space="preserve">Emergency Order </w:t>
            </w:r>
            <w:r w:rsidR="00F51906" w:rsidRPr="00D1100E">
              <w:t>check box</w:t>
            </w:r>
            <w:r w:rsidR="008E5063" w:rsidRPr="008E5063">
              <w:t>.</w:t>
            </w:r>
            <w:r w:rsidR="00F51906">
              <w:t xml:space="preserve"> </w:t>
            </w:r>
          </w:p>
          <w:p w14:paraId="73251512" w14:textId="77777777" w:rsidR="008E5063" w:rsidRDefault="008E5063" w:rsidP="00F51906">
            <w:pPr>
              <w:pStyle w:val="TableTextNumbersContinued"/>
            </w:pPr>
          </w:p>
          <w:p w14:paraId="70A63CE3" w14:textId="77777777" w:rsidR="00F51906" w:rsidRDefault="008E5063" w:rsidP="00F51906">
            <w:pPr>
              <w:pStyle w:val="TableTextNumbersContinued"/>
            </w:pPr>
            <w:r>
              <w:t xml:space="preserve">Click </w:t>
            </w:r>
            <w:r w:rsidRPr="008E5063">
              <w:rPr>
                <w:b/>
              </w:rPr>
              <w:t>Accept</w:t>
            </w:r>
            <w:r>
              <w:t xml:space="preserve"> </w:t>
            </w:r>
            <w:r w:rsidR="00F51906">
              <w:t>to accept the order without an associated specimen.</w:t>
            </w:r>
          </w:p>
        </w:tc>
        <w:tc>
          <w:tcPr>
            <w:tcW w:w="6120" w:type="dxa"/>
          </w:tcPr>
          <w:p w14:paraId="347AB94A" w14:textId="77777777" w:rsidR="002A21AE" w:rsidRDefault="002A21AE">
            <w:pPr>
              <w:pStyle w:val="TableTextBullet"/>
            </w:pPr>
            <w:r>
              <w:t>Allows the user to enter new specimen information or correct problems with an existing specimen with the current VBECS order.</w:t>
            </w:r>
          </w:p>
          <w:p w14:paraId="63232A37" w14:textId="77777777" w:rsidR="00BD6594" w:rsidRDefault="00BD6594">
            <w:pPr>
              <w:pStyle w:val="TableTextBullet"/>
            </w:pPr>
            <w:r>
              <w:t>Allows the user to process an order without an associated specimen for emergency issue and retroactively associate a specimen with the order.</w:t>
            </w:r>
          </w:p>
          <w:p w14:paraId="5717741E" w14:textId="77777777" w:rsidR="002A21AE" w:rsidRDefault="002A21AE">
            <w:pPr>
              <w:pStyle w:val="TableText"/>
            </w:pPr>
          </w:p>
          <w:p w14:paraId="39CE9191" w14:textId="0CDD3824" w:rsidR="002A21AE" w:rsidRDefault="002A21AE">
            <w:pPr>
              <w:pStyle w:val="TableText"/>
              <w:rPr>
                <w:b/>
                <w:bCs/>
                <w:szCs w:val="18"/>
              </w:rPr>
            </w:pPr>
            <w:r>
              <w:rPr>
                <w:b/>
                <w:bCs/>
                <w:szCs w:val="18"/>
              </w:rPr>
              <w:t>NOTES</w:t>
            </w:r>
          </w:p>
          <w:p w14:paraId="44B34C61" w14:textId="77777777" w:rsidR="002A21AE" w:rsidRDefault="002A21AE">
            <w:pPr>
              <w:pStyle w:val="NotesText"/>
            </w:pPr>
          </w:p>
          <w:p w14:paraId="2D8603E0" w14:textId="77777777" w:rsidR="00513A28" w:rsidRDefault="00513A28">
            <w:pPr>
              <w:pStyle w:val="NotesText"/>
              <w:rPr>
                <w:rFonts w:cs="Arial"/>
              </w:rPr>
            </w:pPr>
            <w:r>
              <w:rPr>
                <w:rFonts w:cs="Arial"/>
              </w:rPr>
              <w:t>Alphabetical characters in specimen UIDs must be capitalized: VBECS recognizes only uppercase letters.</w:t>
            </w:r>
          </w:p>
          <w:p w14:paraId="094F6BAA" w14:textId="77777777" w:rsidR="00055FD7" w:rsidRDefault="00055FD7">
            <w:pPr>
              <w:pStyle w:val="NotesText"/>
              <w:rPr>
                <w:rFonts w:cs="Arial"/>
              </w:rPr>
            </w:pPr>
          </w:p>
          <w:p w14:paraId="46E21094" w14:textId="77777777" w:rsidR="00055FD7" w:rsidRDefault="00055FD7">
            <w:pPr>
              <w:pStyle w:val="NotesText"/>
              <w:rPr>
                <w:rFonts w:cs="Arial"/>
              </w:rPr>
            </w:pPr>
            <w:r>
              <w:rPr>
                <w:rFonts w:cs="Arial"/>
              </w:rPr>
              <w:t>A specimen must be processed in Maintain Specimen prior to selecting for a component order.</w:t>
            </w:r>
          </w:p>
          <w:p w14:paraId="69A2E3F7" w14:textId="77777777" w:rsidR="00CA7E0B" w:rsidRDefault="00CA7E0B">
            <w:pPr>
              <w:pStyle w:val="NotesText"/>
              <w:rPr>
                <w:rFonts w:cs="Arial"/>
              </w:rPr>
            </w:pPr>
          </w:p>
          <w:p w14:paraId="291071A5" w14:textId="77777777" w:rsidR="00CA7E0B" w:rsidRDefault="00C50F88">
            <w:pPr>
              <w:pStyle w:val="NotesText"/>
              <w:rPr>
                <w:rFonts w:cs="Arial"/>
              </w:rPr>
            </w:pPr>
            <w:r w:rsidRPr="00C50F88">
              <w:rPr>
                <w:rFonts w:cs="Arial"/>
                <w:vanish/>
              </w:rPr>
              <w:t xml:space="preserve">BR_16.20 </w:t>
            </w:r>
            <w:r w:rsidR="00CA7E0B">
              <w:rPr>
                <w:rFonts w:cs="Arial"/>
              </w:rPr>
              <w:t>When the order status is “In BloodBank”, a specimen was associated with the order; when the status is “Specimen Required”, the user must identify a specimen by its UID and enter specimen details according to Maintain Specimen.</w:t>
            </w:r>
          </w:p>
          <w:p w14:paraId="76E48488" w14:textId="77777777" w:rsidR="00513A28" w:rsidRDefault="00513A28">
            <w:pPr>
              <w:pStyle w:val="NotesText"/>
              <w:rPr>
                <w:rFonts w:cs="Arial"/>
              </w:rPr>
            </w:pPr>
          </w:p>
          <w:p w14:paraId="37BD3B16" w14:textId="77777777" w:rsidR="002A21AE" w:rsidRDefault="002A21AE">
            <w:pPr>
              <w:pStyle w:val="NotesText"/>
            </w:pPr>
            <w:r>
              <w:rPr>
                <w:rFonts w:cs="Arial"/>
                <w:vanish/>
              </w:rPr>
              <w:t xml:space="preserve">BR_35.04 </w:t>
            </w:r>
            <w:r>
              <w:t>Specimens collected for diagnostic tests only are to be used for performing the specifically ordered tests and are not available for pro</w:t>
            </w:r>
            <w:r w:rsidR="00900A79">
              <w:t>cessing blood component orders.</w:t>
            </w:r>
          </w:p>
          <w:p w14:paraId="71908133" w14:textId="77777777" w:rsidR="00900A79" w:rsidRDefault="00900A79">
            <w:pPr>
              <w:pStyle w:val="NotesText"/>
            </w:pPr>
          </w:p>
          <w:p w14:paraId="4FB962EF" w14:textId="77777777" w:rsidR="00900A79" w:rsidRDefault="00C50F88">
            <w:pPr>
              <w:pStyle w:val="NotesText"/>
            </w:pPr>
            <w:r w:rsidRPr="00C50F88">
              <w:rPr>
                <w:vanish/>
              </w:rPr>
              <w:t xml:space="preserve">BR_35.19 </w:t>
            </w:r>
            <w:r w:rsidR="00900A79">
              <w:t>Within an order group containing orders for blood components and the Type &amp; Screen (TAS) test, the specimen associated with the TAS test applies to the TAS test and to all blood component orders contained in the order group.</w:t>
            </w:r>
          </w:p>
          <w:p w14:paraId="161549C3" w14:textId="77777777" w:rsidR="002A21AE" w:rsidRDefault="002A21AE">
            <w:pPr>
              <w:pStyle w:val="NotesText"/>
            </w:pPr>
          </w:p>
          <w:p w14:paraId="49BB76A3" w14:textId="77777777" w:rsidR="002A21AE" w:rsidRDefault="002A21AE">
            <w:pPr>
              <w:pStyle w:val="NotesText"/>
            </w:pPr>
            <w:r>
              <w:rPr>
                <w:rFonts w:cs="Arial"/>
                <w:vanish/>
              </w:rPr>
              <w:t xml:space="preserve">BR_16.19 </w:t>
            </w:r>
            <w:r>
              <w:t>For all orders requiring a specimen, VBECS queries VistALink to verify that the lab order numbers are consistent with the specimen. If they are not consistent, VBECS notifies the user that the specimen</w:t>
            </w:r>
            <w:r w:rsidR="00FA7E65">
              <w:t>’</w:t>
            </w:r>
            <w:r>
              <w:t xml:space="preserve">s lab number </w:t>
            </w:r>
            <w:r w:rsidR="00A10483">
              <w:t>does not</w:t>
            </w:r>
            <w:r>
              <w:t xml:space="preserve"> match the number associated with the order. VBECS does not accept the order until the user identifies a specimen with a matching lab order number.</w:t>
            </w:r>
          </w:p>
          <w:p w14:paraId="37C318EB" w14:textId="77777777" w:rsidR="002A21AE" w:rsidRDefault="002A21AE">
            <w:pPr>
              <w:pStyle w:val="NotesText"/>
            </w:pPr>
          </w:p>
          <w:p w14:paraId="529FB0B5" w14:textId="77777777" w:rsidR="002A21AE" w:rsidRDefault="002A21AE" w:rsidP="00C50F88">
            <w:pPr>
              <w:pStyle w:val="NotesText"/>
            </w:pPr>
            <w:r>
              <w:rPr>
                <w:rFonts w:cs="Arial"/>
                <w:vanish/>
              </w:rPr>
              <w:t>BR_16.0</w:t>
            </w:r>
            <w:r w:rsidRPr="00FF6514">
              <w:rPr>
                <w:vanish/>
                <w:szCs w:val="18"/>
              </w:rPr>
              <w:t>6</w:t>
            </w:r>
            <w:r w:rsidR="00ED1076" w:rsidRPr="00263B24">
              <w:t>Wh</w:t>
            </w:r>
            <w:r w:rsidR="00ED1076">
              <w:t xml:space="preserve">en </w:t>
            </w:r>
            <w:r>
              <w:t xml:space="preserve">an order for a component class requires a specimen (WHOLE BLOOD and RED BLOOD CELLS component classes, and, optionally, based on Setting Component Classes) the user must select this function and replace the existing specimen with a new one. However, when VBECS displays the “emergency issue” order indicator, the user may continue without identifying an associated specimen. VBECS captures details for inclusion in an Exception Report [exception type: Emergency </w:t>
            </w:r>
            <w:r w:rsidR="00445B34">
              <w:t>order accepted</w:t>
            </w:r>
            <w:r>
              <w:t xml:space="preserve"> (no specimen)]. </w:t>
            </w:r>
          </w:p>
        </w:tc>
      </w:tr>
      <w:tr w:rsidR="002A21AE" w14:paraId="39093433" w14:textId="77777777">
        <w:tc>
          <w:tcPr>
            <w:tcW w:w="3240" w:type="dxa"/>
          </w:tcPr>
          <w:p w14:paraId="7E2F2406" w14:textId="77777777" w:rsidR="002A21AE" w:rsidRDefault="00844381">
            <w:pPr>
              <w:pStyle w:val="TableTextNumbers"/>
            </w:pPr>
            <w:r>
              <w:t xml:space="preserve">Click </w:t>
            </w:r>
            <w:r w:rsidR="00057948">
              <w:rPr>
                <w:noProof/>
              </w:rPr>
              <w:drawing>
                <wp:inline distT="0" distB="0" distL="0" distR="0" wp14:anchorId="6124B40C" wp14:editId="581C1D01">
                  <wp:extent cx="156845" cy="156845"/>
                  <wp:effectExtent l="0" t="0" r="0" b="0"/>
                  <wp:docPr id="208" name="Picture 208" descr="small_view_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mall_view_orde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6A0A4A">
              <w:t xml:space="preserve"> </w:t>
            </w:r>
            <w:r>
              <w:t>to r</w:t>
            </w:r>
            <w:r w:rsidR="002A21AE">
              <w:t>eview order details.</w:t>
            </w:r>
          </w:p>
        </w:tc>
        <w:tc>
          <w:tcPr>
            <w:tcW w:w="6120" w:type="dxa"/>
          </w:tcPr>
          <w:p w14:paraId="7185E759" w14:textId="77777777" w:rsidR="002A21AE" w:rsidRDefault="002A21AE" w:rsidP="0083673C">
            <w:pPr>
              <w:pStyle w:val="TableTextBullet"/>
            </w:pPr>
            <w:r>
              <w:t>Displays order details that may not be edited</w:t>
            </w:r>
            <w:r w:rsidR="0083673C">
              <w:t>.</w:t>
            </w:r>
            <w:r>
              <w:t xml:space="preserve"> </w:t>
            </w:r>
          </w:p>
        </w:tc>
      </w:tr>
      <w:tr w:rsidR="002A21AE" w14:paraId="45242069" w14:textId="77777777">
        <w:tc>
          <w:tcPr>
            <w:tcW w:w="3240" w:type="dxa"/>
          </w:tcPr>
          <w:p w14:paraId="31244D8A" w14:textId="77777777" w:rsidR="002A21AE" w:rsidRDefault="002A21AE">
            <w:pPr>
              <w:pStyle w:val="TableTextNumbers"/>
            </w:pPr>
            <w:r>
              <w:t xml:space="preserve"> When the</w:t>
            </w:r>
            <w:r w:rsidR="007A68B6">
              <w:t xml:space="preserve"> urgency is “P</w:t>
            </w:r>
            <w:r>
              <w:t>re-</w:t>
            </w:r>
            <w:r w:rsidR="007A68B6">
              <w:t>O</w:t>
            </w:r>
            <w:r>
              <w:t>p</w:t>
            </w:r>
            <w:r w:rsidR="007A68B6">
              <w:t>,”</w:t>
            </w:r>
            <w:r w:rsidR="00AA6C54">
              <w:t xml:space="preserve"> </w:t>
            </w:r>
            <w:r w:rsidR="0032011A">
              <w:t xml:space="preserve">click </w:t>
            </w:r>
            <w:r w:rsidR="00057948">
              <w:rPr>
                <w:noProof/>
              </w:rPr>
              <w:drawing>
                <wp:inline distT="0" distB="0" distL="0" distR="0" wp14:anchorId="499197BD" wp14:editId="71770878">
                  <wp:extent cx="156845" cy="156845"/>
                  <wp:effectExtent l="0" t="0" r="0" b="0"/>
                  <wp:docPr id="209" name="Picture 209" descr="small_ms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small_msbos"/>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32011A">
              <w:t xml:space="preserve"> </w:t>
            </w:r>
            <w:r w:rsidR="006C4777">
              <w:t xml:space="preserve">in the Patient Information Toolbar </w:t>
            </w:r>
            <w:r w:rsidR="0032011A">
              <w:t xml:space="preserve">to </w:t>
            </w:r>
            <w:r w:rsidR="007A68B6">
              <w:t>r</w:t>
            </w:r>
            <w:r>
              <w:t>eview the MSBOS information for the division.</w:t>
            </w:r>
          </w:p>
          <w:p w14:paraId="58BF65C6" w14:textId="77777777" w:rsidR="002A21AE" w:rsidRDefault="002A21AE">
            <w:pPr>
              <w:pStyle w:val="TableTextNumbersContinued"/>
            </w:pPr>
          </w:p>
          <w:p w14:paraId="41B03113" w14:textId="77777777" w:rsidR="002A21AE" w:rsidRDefault="002A21AE">
            <w:pPr>
              <w:pStyle w:val="TableTextNumbersContinued"/>
            </w:pPr>
            <w:r>
              <w:lastRenderedPageBreak/>
              <w:t>View and/or search entries in the MSBOS for possible matches with the patient surgery.</w:t>
            </w:r>
          </w:p>
        </w:tc>
        <w:tc>
          <w:tcPr>
            <w:tcW w:w="6120" w:type="dxa"/>
          </w:tcPr>
          <w:p w14:paraId="1F577F12" w14:textId="77777777" w:rsidR="002A21AE" w:rsidRDefault="002A21AE">
            <w:pPr>
              <w:pStyle w:val="TableTextBullet"/>
            </w:pPr>
            <w:r>
              <w:lastRenderedPageBreak/>
              <w:t>Allows the user to review current MSBOS settings.</w:t>
            </w:r>
          </w:p>
          <w:p w14:paraId="7AB28EDB" w14:textId="77777777" w:rsidR="002A21AE" w:rsidRDefault="002A21AE">
            <w:pPr>
              <w:pStyle w:val="TableTextBullet"/>
            </w:pPr>
            <w:r>
              <w:t>Lists the current MSBOS site parameters, based on generic surgery types.</w:t>
            </w:r>
          </w:p>
          <w:p w14:paraId="2F1F660A" w14:textId="77777777" w:rsidR="002A21AE" w:rsidRDefault="002A21AE">
            <w:pPr>
              <w:pStyle w:val="TableText"/>
            </w:pPr>
          </w:p>
          <w:p w14:paraId="629A587C" w14:textId="1DBF8430" w:rsidR="002A21AE" w:rsidRDefault="002A21AE">
            <w:pPr>
              <w:pStyle w:val="TableText"/>
              <w:rPr>
                <w:b/>
                <w:bCs/>
                <w:szCs w:val="18"/>
              </w:rPr>
            </w:pPr>
            <w:r>
              <w:rPr>
                <w:b/>
                <w:bCs/>
                <w:szCs w:val="18"/>
              </w:rPr>
              <w:t>NOTES</w:t>
            </w:r>
          </w:p>
          <w:p w14:paraId="5641787E" w14:textId="77777777" w:rsidR="002A21AE" w:rsidRDefault="002A21AE">
            <w:pPr>
              <w:pStyle w:val="NotesText"/>
            </w:pPr>
          </w:p>
          <w:p w14:paraId="28B865BF" w14:textId="48AB5BF2" w:rsidR="002A21AE" w:rsidRDefault="002A21AE" w:rsidP="003D73A0">
            <w:pPr>
              <w:pStyle w:val="NotesText"/>
            </w:pPr>
            <w:r>
              <w:rPr>
                <w:rFonts w:cs="Arial"/>
                <w:vanish/>
              </w:rPr>
              <w:lastRenderedPageBreak/>
              <w:t xml:space="preserve">BR_16.11 </w:t>
            </w:r>
            <w:r>
              <w:t xml:space="preserve">When the pre-op indicator is “Yes,” the user may access the MSBOS to determine whether to include details of the </w:t>
            </w:r>
            <w:r w:rsidR="008C69A0">
              <w:t xml:space="preserve">component </w:t>
            </w:r>
            <w:r>
              <w:t>order in the Inappropriate Request Report.</w:t>
            </w:r>
          </w:p>
        </w:tc>
      </w:tr>
      <w:tr w:rsidR="002A21AE" w14:paraId="7660A096" w14:textId="77777777">
        <w:tc>
          <w:tcPr>
            <w:tcW w:w="3240" w:type="dxa"/>
            <w:tcBorders>
              <w:top w:val="single" w:sz="4" w:space="0" w:color="auto"/>
              <w:left w:val="single" w:sz="4" w:space="0" w:color="auto"/>
              <w:bottom w:val="single" w:sz="4" w:space="0" w:color="auto"/>
              <w:right w:val="single" w:sz="4" w:space="0" w:color="auto"/>
            </w:tcBorders>
          </w:tcPr>
          <w:p w14:paraId="15FC35B0" w14:textId="77777777" w:rsidR="002A21AE" w:rsidRDefault="002A21AE">
            <w:pPr>
              <w:pStyle w:val="TableTextNumbers"/>
            </w:pPr>
            <w:r>
              <w:lastRenderedPageBreak/>
              <w:t xml:space="preserve">Based on the review of the MSBOS parameter associated with the surgery type and the details of the current order, click the </w:t>
            </w:r>
            <w:r>
              <w:rPr>
                <w:b/>
              </w:rPr>
              <w:t>Include In Inappropriate Transfusion Request Report</w:t>
            </w:r>
            <w:r>
              <w:t xml:space="preserve"> check box, according to local policy.</w:t>
            </w:r>
          </w:p>
        </w:tc>
        <w:tc>
          <w:tcPr>
            <w:tcW w:w="6120" w:type="dxa"/>
            <w:tcBorders>
              <w:top w:val="single" w:sz="4" w:space="0" w:color="auto"/>
              <w:left w:val="single" w:sz="4" w:space="0" w:color="auto"/>
              <w:bottom w:val="single" w:sz="4" w:space="0" w:color="auto"/>
              <w:right w:val="single" w:sz="4" w:space="0" w:color="auto"/>
            </w:tcBorders>
          </w:tcPr>
          <w:p w14:paraId="07A456BD" w14:textId="77777777" w:rsidR="002A21AE" w:rsidRDefault="002A21AE">
            <w:pPr>
              <w:pStyle w:val="TableTextBullet"/>
            </w:pPr>
            <w:r>
              <w:t>Adds the details of the order to the Inappropriate Transfusion Request Report when the user completes Accept Orders: Accept an Order.</w:t>
            </w:r>
          </w:p>
          <w:p w14:paraId="46A0542C" w14:textId="77777777" w:rsidR="00FF6514" w:rsidRDefault="00FF6514" w:rsidP="00FF6514">
            <w:pPr>
              <w:pStyle w:val="TableText"/>
            </w:pPr>
          </w:p>
          <w:p w14:paraId="0FC9E8B7" w14:textId="573EE760" w:rsidR="00FF6514" w:rsidRDefault="00FF6514" w:rsidP="00FF6514">
            <w:pPr>
              <w:pStyle w:val="TableText"/>
              <w:rPr>
                <w:b/>
                <w:bCs/>
                <w:szCs w:val="18"/>
              </w:rPr>
            </w:pPr>
            <w:r>
              <w:rPr>
                <w:b/>
                <w:bCs/>
                <w:szCs w:val="18"/>
              </w:rPr>
              <w:t>NOTES</w:t>
            </w:r>
          </w:p>
          <w:p w14:paraId="4FF167F5" w14:textId="77777777" w:rsidR="00FF6514" w:rsidRPr="00000CF1" w:rsidRDefault="00FF6514" w:rsidP="00FF6514">
            <w:pPr>
              <w:pStyle w:val="NotesText"/>
            </w:pPr>
          </w:p>
          <w:p w14:paraId="7B2DF3AC" w14:textId="77777777" w:rsidR="00FF6514" w:rsidRDefault="00FF6514" w:rsidP="00FF6514">
            <w:pPr>
              <w:pStyle w:val="NotesText"/>
            </w:pPr>
            <w:r>
              <w:t xml:space="preserve">To display a list of available autologous and/or directed units in the system for the selected patient, see </w:t>
            </w:r>
            <w:r w:rsidRPr="00FF6514">
              <w:t>Blood Availability</w:t>
            </w:r>
            <w:r>
              <w:t>.</w:t>
            </w:r>
          </w:p>
          <w:p w14:paraId="2CEA0D3D" w14:textId="77777777" w:rsidR="008B0C9A" w:rsidRDefault="008B0C9A" w:rsidP="00FF6514">
            <w:pPr>
              <w:pStyle w:val="NotesText"/>
            </w:pPr>
          </w:p>
          <w:p w14:paraId="2A0AAB76" w14:textId="77777777" w:rsidR="008B0C9A" w:rsidRDefault="008B0C9A" w:rsidP="00FF6514">
            <w:pPr>
              <w:pStyle w:val="NotesText"/>
            </w:pPr>
            <w:r>
              <w:t>A user must accept the corresponding TAS order before including a component order in Inappropriate Transfusion Request Report.</w:t>
            </w:r>
          </w:p>
        </w:tc>
      </w:tr>
      <w:tr w:rsidR="002A21AE" w14:paraId="75A6098D" w14:textId="77777777">
        <w:tc>
          <w:tcPr>
            <w:tcW w:w="3240" w:type="dxa"/>
          </w:tcPr>
          <w:p w14:paraId="73FD88B5" w14:textId="77777777" w:rsidR="002A21AE" w:rsidRDefault="002A21AE">
            <w:pPr>
              <w:pStyle w:val="TableTextNumbers"/>
            </w:pPr>
            <w:r>
              <w:t xml:space="preserve">Click </w:t>
            </w:r>
            <w:r w:rsidR="00057948">
              <w:rPr>
                <w:noProof/>
              </w:rPr>
              <w:drawing>
                <wp:inline distT="0" distB="0" distL="0" distR="0" wp14:anchorId="09D6E642" wp14:editId="144C1738">
                  <wp:extent cx="156845" cy="156845"/>
                  <wp:effectExtent l="0" t="0" r="0" b="0"/>
                  <wp:docPr id="210" name="Picture 210"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to review patient data</w:t>
            </w:r>
            <w:r w:rsidR="006C4777">
              <w:t>,</w:t>
            </w:r>
            <w:r>
              <w:t xml:space="preserve"> Transfusion Requirements and Special Instructions. </w:t>
            </w:r>
          </w:p>
        </w:tc>
        <w:tc>
          <w:tcPr>
            <w:tcW w:w="6120" w:type="dxa"/>
          </w:tcPr>
          <w:p w14:paraId="60728F73" w14:textId="77777777" w:rsidR="002A21AE" w:rsidRDefault="002A21AE">
            <w:pPr>
              <w:pStyle w:val="TableTextBullet"/>
            </w:pPr>
            <w:r>
              <w:t xml:space="preserve">Displays read-only </w:t>
            </w:r>
            <w:r w:rsidR="00F01B32">
              <w:t xml:space="preserve">TR and SI </w:t>
            </w:r>
            <w:r>
              <w:t>patient VBECS data.</w:t>
            </w:r>
          </w:p>
          <w:p w14:paraId="25F606D2" w14:textId="77777777" w:rsidR="002A21AE" w:rsidRDefault="002A21AE">
            <w:pPr>
              <w:pStyle w:val="TableText"/>
            </w:pPr>
          </w:p>
          <w:p w14:paraId="6A706A2C" w14:textId="77777777" w:rsidR="002A21AE" w:rsidRDefault="002A21AE">
            <w:pPr>
              <w:pStyle w:val="NotesText"/>
            </w:pPr>
          </w:p>
        </w:tc>
      </w:tr>
      <w:tr w:rsidR="002A21AE" w14:paraId="37F35091" w14:textId="77777777">
        <w:tc>
          <w:tcPr>
            <w:tcW w:w="3240" w:type="dxa"/>
          </w:tcPr>
          <w:p w14:paraId="7DC951D1" w14:textId="77777777" w:rsidR="002A21AE" w:rsidRDefault="002A21AE">
            <w:pPr>
              <w:pStyle w:val="TableTextNumbers"/>
            </w:pPr>
            <w:r>
              <w:t xml:space="preserve">Click </w:t>
            </w:r>
            <w:r>
              <w:rPr>
                <w:b/>
              </w:rPr>
              <w:t>Accept</w:t>
            </w:r>
            <w:r>
              <w:t xml:space="preserve"> or </w:t>
            </w:r>
            <w:r>
              <w:rPr>
                <w:b/>
              </w:rPr>
              <w:t>Reject</w:t>
            </w:r>
            <w:r>
              <w:t xml:space="preserve"> for each order. </w:t>
            </w:r>
          </w:p>
        </w:tc>
        <w:tc>
          <w:tcPr>
            <w:tcW w:w="6120" w:type="dxa"/>
          </w:tcPr>
          <w:p w14:paraId="2F54B8D6" w14:textId="77777777" w:rsidR="002A21AE" w:rsidRDefault="002A21AE">
            <w:pPr>
              <w:pStyle w:val="TableTextBullet"/>
            </w:pPr>
            <w:r>
              <w:t>For each order accepted, updates the:</w:t>
            </w:r>
          </w:p>
          <w:p w14:paraId="6043B199" w14:textId="77777777" w:rsidR="002A21AE" w:rsidRDefault="002A21AE">
            <w:pPr>
              <w:pStyle w:val="TableTextBullet1"/>
            </w:pPr>
            <w:r>
              <w:t xml:space="preserve">Status to “accepted” and adds it to the PTL for further processing. </w:t>
            </w:r>
          </w:p>
          <w:p w14:paraId="20011BD7" w14:textId="77777777" w:rsidR="002A21AE" w:rsidRDefault="002A21AE">
            <w:pPr>
              <w:pStyle w:val="TableTextBullet1"/>
            </w:pPr>
            <w:r>
              <w:t>Existing lab accession number to collect data associated with every order.</w:t>
            </w:r>
          </w:p>
          <w:p w14:paraId="6595D81A" w14:textId="77777777" w:rsidR="002A21AE" w:rsidRDefault="002A21AE">
            <w:pPr>
              <w:pStyle w:val="TableText"/>
            </w:pPr>
          </w:p>
          <w:p w14:paraId="409044D9" w14:textId="233F21B9" w:rsidR="002A21AE" w:rsidRDefault="002A21AE">
            <w:pPr>
              <w:pStyle w:val="TableText"/>
              <w:rPr>
                <w:b/>
                <w:bCs/>
                <w:szCs w:val="18"/>
              </w:rPr>
            </w:pPr>
            <w:r>
              <w:rPr>
                <w:b/>
                <w:bCs/>
                <w:szCs w:val="18"/>
              </w:rPr>
              <w:t>NOTES</w:t>
            </w:r>
          </w:p>
          <w:p w14:paraId="79AE05C8" w14:textId="77777777" w:rsidR="002A21AE" w:rsidRDefault="002A21AE">
            <w:pPr>
              <w:pStyle w:val="NotesText"/>
            </w:pPr>
          </w:p>
          <w:p w14:paraId="2420B867" w14:textId="77777777" w:rsidR="002A21AE" w:rsidRDefault="002A21AE">
            <w:pPr>
              <w:pStyle w:val="NotesText"/>
            </w:pPr>
            <w:r>
              <w:t xml:space="preserve">When a user rejects an order, VBECS acknowledges the order and cancels it through Accept Orders: Cancel a Pending Order. </w:t>
            </w:r>
          </w:p>
          <w:p w14:paraId="164F0CE1" w14:textId="77777777" w:rsidR="002A21AE" w:rsidRDefault="002A21AE">
            <w:pPr>
              <w:pStyle w:val="TableText"/>
            </w:pPr>
          </w:p>
          <w:p w14:paraId="71ADD5D3" w14:textId="1F2A481D" w:rsidR="002A21AE" w:rsidRDefault="002A21AE">
            <w:pPr>
              <w:pStyle w:val="NotesText"/>
            </w:pPr>
            <w:r>
              <w:rPr>
                <w:rFonts w:cs="Arial"/>
                <w:vanish/>
              </w:rPr>
              <w:t xml:space="preserve">BR_16.16 </w:t>
            </w:r>
            <w:r w:rsidR="0060312C">
              <w:t>When there is</w:t>
            </w:r>
            <w:r w:rsidR="0060312C" w:rsidRPr="00374A4B">
              <w:t xml:space="preserve"> no specimen required for the component order, an order expiration date is assigned to ten days in the future, with the date the component order </w:t>
            </w:r>
            <w:r w:rsidR="0060312C">
              <w:t>as</w:t>
            </w:r>
            <w:r w:rsidR="0060312C" w:rsidRPr="00374A4B">
              <w:t xml:space="preserve"> accepted and moved to the Pending Task List being day 0. If a specimen is required, the order expiration date is the same as the associated specimen. The system needs to automatically expire the associated component order when the specimen is expired.</w:t>
            </w:r>
          </w:p>
          <w:p w14:paraId="34F0E16F" w14:textId="77777777" w:rsidR="002A21AE" w:rsidRDefault="002A21AE">
            <w:pPr>
              <w:pStyle w:val="NotesText"/>
            </w:pPr>
          </w:p>
          <w:p w14:paraId="18053AD0" w14:textId="0E0CC139" w:rsidR="002A21AE" w:rsidRDefault="002A21AE">
            <w:pPr>
              <w:pStyle w:val="NotesText"/>
            </w:pPr>
            <w:r>
              <w:t xml:space="preserve">When a specimen is required, the order expiration date is the same as the associated specimen. VBECS automatically expires the associated component order when the specimen is expired. </w:t>
            </w:r>
            <w:r w:rsidR="00AF5D80">
              <w:t xml:space="preserve">(See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rsidR="00AF5D80">
              <w:t>:</w:t>
            </w:r>
            <w:r w:rsidR="00A4315F">
              <w:t xml:space="preserve"> </w:t>
            </w:r>
            <w:r w:rsidR="00A4315F">
              <w:fldChar w:fldCharType="begin"/>
            </w:r>
            <w:r w:rsidR="00A4315F">
              <w:instrText xml:space="preserve"> REF _Ref127061358 \h  \* MERGEFORMAT </w:instrText>
            </w:r>
            <w:r w:rsidR="00A4315F">
              <w:fldChar w:fldCharType="separate"/>
            </w:r>
            <w:r w:rsidR="004353ED">
              <w:t xml:space="preserve">Figure </w:t>
            </w:r>
            <w:r w:rsidR="004353ED">
              <w:rPr>
                <w:noProof/>
              </w:rPr>
              <w:t>147:</w:t>
            </w:r>
            <w:r w:rsidR="004353ED">
              <w:t xml:space="preserve"> </w:t>
            </w:r>
            <w:r w:rsidR="004353ED">
              <w:rPr>
                <w:vanish/>
              </w:rPr>
              <w:t xml:space="preserve">TT_92.01 </w:t>
            </w:r>
            <w:r w:rsidR="004353ED" w:rsidRPr="004353ED">
              <w:t>Order</w:t>
            </w:r>
            <w:r w:rsidR="004353ED">
              <w:t xml:space="preserve"> Status Flowchart</w:t>
            </w:r>
            <w:r w:rsidR="00A4315F">
              <w:fldChar w:fldCharType="end"/>
            </w:r>
            <w:r>
              <w:t>.)</w:t>
            </w:r>
          </w:p>
          <w:p w14:paraId="1BAE0F16" w14:textId="77777777" w:rsidR="002A21AE" w:rsidRDefault="002A21AE">
            <w:pPr>
              <w:pStyle w:val="NotesText"/>
            </w:pPr>
          </w:p>
          <w:p w14:paraId="7F858A71" w14:textId="77777777" w:rsidR="002A21AE" w:rsidRDefault="002A21AE">
            <w:pPr>
              <w:pStyle w:val="NotesText"/>
            </w:pPr>
            <w:r>
              <w:rPr>
                <w:rFonts w:cs="Arial"/>
                <w:vanish/>
              </w:rPr>
              <w:t xml:space="preserve">BR_16.14 </w:t>
            </w:r>
            <w:r>
              <w:t>The user evaluates each diagnostic test and component order separately.</w:t>
            </w:r>
          </w:p>
          <w:p w14:paraId="411D0DE2" w14:textId="77777777" w:rsidR="002A21AE" w:rsidRDefault="002A21AE">
            <w:pPr>
              <w:pStyle w:val="NotesText"/>
            </w:pPr>
          </w:p>
          <w:p w14:paraId="12AA6242" w14:textId="77777777" w:rsidR="002A21AE" w:rsidRDefault="002A21AE">
            <w:pPr>
              <w:pStyle w:val="NotesText"/>
            </w:pPr>
            <w:r>
              <w:rPr>
                <w:rFonts w:cs="Arial"/>
                <w:vanish/>
              </w:rPr>
              <w:t xml:space="preserve">BR_16.04 </w:t>
            </w:r>
            <w:r>
              <w:t xml:space="preserve">When the pre-op indicator is “No,” VBECS compares the Laboratory test values included in the order message from CPRS to the threshold values defined for the ordered component class requirements in Configure ICCBBA Component Classes Inappropriate Request Parameters setting (see Component Classes). When the threshold values were exceeded for one or more ordered component classes, VBECS notifies the user that the Laboratory test value exceeds site parameters for the component class orders and asks whether to add the order to the Inappropriate Transfusion Request report. </w:t>
            </w:r>
            <w:r>
              <w:rPr>
                <w:b/>
              </w:rPr>
              <w:t>Yes</w:t>
            </w:r>
            <w:r>
              <w:t xml:space="preserve"> adds the </w:t>
            </w:r>
            <w:r>
              <w:lastRenderedPageBreak/>
              <w:t xml:space="preserve">details of the order to the Inappropriate Request Report. </w:t>
            </w:r>
            <w:r>
              <w:rPr>
                <w:b/>
              </w:rPr>
              <w:t>No</w:t>
            </w:r>
            <w:r>
              <w:t xml:space="preserve"> requires a comment to be associated with the order.</w:t>
            </w:r>
          </w:p>
          <w:p w14:paraId="2D883892" w14:textId="77777777" w:rsidR="002A21AE" w:rsidRDefault="002A21AE">
            <w:pPr>
              <w:pStyle w:val="NotesText"/>
            </w:pPr>
          </w:p>
          <w:p w14:paraId="5DEF1486" w14:textId="19E51EE4" w:rsidR="002A21AE" w:rsidRDefault="002A21AE">
            <w:pPr>
              <w:pStyle w:val="NotesText"/>
            </w:pPr>
            <w:r>
              <w:t xml:space="preserve">The user may cancel one or more components of an order through Accept Orders: Cancel a Pending Order to cancel while working in Accept Orders: Accept an Order. When this occurs, VBECS sends a message to CPRS and notifies the </w:t>
            </w:r>
            <w:r w:rsidR="00E71B91">
              <w:t xml:space="preserve">VistA </w:t>
            </w:r>
            <w:r>
              <w:t>Laboratory</w:t>
            </w:r>
            <w:r w:rsidR="00E71B91">
              <w:t xml:space="preserve"> </w:t>
            </w:r>
            <w:r w:rsidR="004654F5">
              <w:t>application</w:t>
            </w:r>
            <w:r>
              <w:t xml:space="preserve"> that the order was cancel</w:t>
            </w:r>
            <w:r w:rsidR="002F7E19">
              <w:t>l</w:t>
            </w:r>
            <w:r>
              <w:t>ed.</w:t>
            </w:r>
          </w:p>
        </w:tc>
      </w:tr>
      <w:tr w:rsidR="002A21AE" w14:paraId="778DC181" w14:textId="77777777">
        <w:tc>
          <w:tcPr>
            <w:tcW w:w="3240" w:type="dxa"/>
          </w:tcPr>
          <w:p w14:paraId="0C669622" w14:textId="77777777" w:rsidR="002A21AE" w:rsidRDefault="009644D4">
            <w:pPr>
              <w:pStyle w:val="TableTextNumbers"/>
            </w:pPr>
            <w:r>
              <w:lastRenderedPageBreak/>
              <w:t>Repeat Steps 2</w:t>
            </w:r>
            <w:r w:rsidR="00694B70">
              <w:t xml:space="preserve"> through 8</w:t>
            </w:r>
            <w:r w:rsidR="002A21AE">
              <w:t xml:space="preserve"> to accept another order, or click </w:t>
            </w:r>
            <w:r w:rsidR="002A21AE">
              <w:rPr>
                <w:b/>
              </w:rPr>
              <w:t>Close</w:t>
            </w:r>
            <w:r w:rsidR="002A21AE">
              <w:t xml:space="preserve"> to exit.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numberingChange w:id="507" w:author="Blalock, David (Leidos)" w:date="2020-06-15T14:09:00Z" w:original="0."/>
              </w:fldChar>
            </w:r>
          </w:p>
        </w:tc>
        <w:tc>
          <w:tcPr>
            <w:tcW w:w="6120" w:type="dxa"/>
          </w:tcPr>
          <w:p w14:paraId="569A4674" w14:textId="77777777" w:rsidR="002A21AE" w:rsidRDefault="002A21AE">
            <w:pPr>
              <w:pStyle w:val="TableText"/>
            </w:pPr>
          </w:p>
        </w:tc>
      </w:tr>
    </w:tbl>
    <w:p w14:paraId="14456B40" w14:textId="37C4FBC2" w:rsidR="002A21AE" w:rsidRDefault="002118B0" w:rsidP="002118B0">
      <w:pPr>
        <w:pStyle w:val="Caption"/>
      </w:pPr>
      <w:bookmarkStart w:id="508" w:name="_Ref126723121"/>
      <w:bookmarkStart w:id="509" w:name="_Ref12672235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113</w:t>
      </w:r>
      <w:r w:rsidR="004E20BD">
        <w:rPr>
          <w:noProof/>
        </w:rPr>
        <w:fldChar w:fldCharType="end"/>
      </w:r>
      <w:bookmarkEnd w:id="508"/>
      <w:r>
        <w:t xml:space="preserve">: </w:t>
      </w:r>
      <w:r w:rsidR="00050BB7">
        <w:t>Accept Orders</w:t>
      </w:r>
      <w:bookmarkEnd w:id="509"/>
    </w:p>
    <w:p w14:paraId="4630339E" w14:textId="6DCB2BC6" w:rsidR="00050BB7" w:rsidRPr="00050BB7" w:rsidRDefault="00570C93" w:rsidP="007810A1">
      <w:pPr>
        <w:pStyle w:val="BodyText"/>
      </w:pPr>
      <w:r>
        <w:rPr>
          <w:noProof/>
        </w:rPr>
        <w:drawing>
          <wp:inline distT="0" distB="0" distL="0" distR="0" wp14:anchorId="72D3D8BD" wp14:editId="7EB48DE5">
            <wp:extent cx="5937250" cy="3054350"/>
            <wp:effectExtent l="0" t="0" r="6350" b="0"/>
            <wp:docPr id="73" name="Picture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a:extLst>
                        <a:ext uri="{C183D7F6-B498-43B3-948B-1728B52AA6E4}">
                          <adec:decorative xmlns:adec="http://schemas.microsoft.com/office/drawing/2017/decorative" val="1"/>
                        </a:ext>
                      </a:extLst>
                    </pic:cNvPr>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937250" cy="3054350"/>
                    </a:xfrm>
                    <a:prstGeom prst="rect">
                      <a:avLst/>
                    </a:prstGeom>
                    <a:noFill/>
                    <a:ln>
                      <a:noFill/>
                    </a:ln>
                  </pic:spPr>
                </pic:pic>
              </a:graphicData>
            </a:graphic>
          </wp:inline>
        </w:drawing>
      </w:r>
    </w:p>
    <w:p w14:paraId="4239052C" w14:textId="6052AD57" w:rsidR="0057318C" w:rsidRDefault="0057318C" w:rsidP="0057318C">
      <w:pPr>
        <w:pStyle w:val="Caption"/>
      </w:pPr>
      <w:bookmarkStart w:id="510" w:name="_Ref126722649"/>
      <w:bookmarkStart w:id="511" w:name="_Ref12672260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114</w:t>
      </w:r>
      <w:r w:rsidR="004E20BD">
        <w:rPr>
          <w:noProof/>
        </w:rPr>
        <w:fldChar w:fldCharType="end"/>
      </w:r>
      <w:bookmarkEnd w:id="510"/>
      <w:r>
        <w:t>: Maintain Specimen</w:t>
      </w:r>
      <w:bookmarkEnd w:id="511"/>
    </w:p>
    <w:p w14:paraId="20883B7C" w14:textId="77777777" w:rsidR="007810A1" w:rsidRDefault="00057948" w:rsidP="007810A1">
      <w:pPr>
        <w:pStyle w:val="BodyText"/>
      </w:pPr>
      <w:r>
        <w:rPr>
          <w:noProof/>
        </w:rPr>
        <w:drawing>
          <wp:inline distT="0" distB="0" distL="0" distR="0" wp14:anchorId="404E292C" wp14:editId="6FB4751D">
            <wp:extent cx="5597525" cy="3676015"/>
            <wp:effectExtent l="0" t="0" r="3175" b="635"/>
            <wp:docPr id="212" name="Picture 2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a:extLst>
                        <a:ext uri="{C183D7F6-B498-43B3-948B-1728B52AA6E4}">
                          <adec:decorative xmlns:adec="http://schemas.microsoft.com/office/drawing/2017/decorative" val="1"/>
                        </a:ext>
                      </a:extLst>
                    </pic:cNvPr>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597525" cy="3676015"/>
                    </a:xfrm>
                    <a:prstGeom prst="rect">
                      <a:avLst/>
                    </a:prstGeom>
                    <a:noFill/>
                    <a:ln>
                      <a:noFill/>
                    </a:ln>
                  </pic:spPr>
                </pic:pic>
              </a:graphicData>
            </a:graphic>
          </wp:inline>
        </w:drawing>
      </w:r>
    </w:p>
    <w:p w14:paraId="255EB700" w14:textId="77777777" w:rsidR="002A21AE" w:rsidRDefault="002A21AE">
      <w:pPr>
        <w:pStyle w:val="Heading3"/>
      </w:pPr>
      <w:r>
        <w:br w:type="page"/>
      </w:r>
      <w:bookmarkStart w:id="512" w:name="_Toc47516741"/>
      <w:r>
        <w:lastRenderedPageBreak/>
        <w:t>Accept Orders: Pending Order List</w:t>
      </w:r>
      <w:bookmarkEnd w:id="512"/>
      <w:r>
        <w:rPr>
          <w:rFonts w:ascii="Geneva" w:hAnsi="Geneva"/>
          <w:vanish/>
        </w:rPr>
        <w:fldChar w:fldCharType="begin"/>
      </w:r>
      <w:r>
        <w:rPr>
          <w:rFonts w:ascii="Geneva" w:hAnsi="Geneva"/>
          <w:vanish/>
        </w:rPr>
        <w:instrText xml:space="preserve"> XE </w:instrText>
      </w:r>
      <w:r w:rsidR="00FA7E65">
        <w:rPr>
          <w:rFonts w:ascii="Geneva" w:hAnsi="Geneva"/>
          <w:vanish/>
        </w:rPr>
        <w:instrText>“</w:instrText>
      </w:r>
      <w:r>
        <w:rPr>
          <w:rFonts w:ascii="Geneva" w:hAnsi="Geneva"/>
          <w:vanish/>
        </w:rPr>
        <w:instrText>Accept Orders\: Pending Order List</w:instrText>
      </w:r>
      <w:r w:rsidR="00FA7E65">
        <w:rPr>
          <w:rFonts w:ascii="Geneva" w:hAnsi="Geneva"/>
          <w:vanish/>
        </w:rPr>
        <w:instrText>”</w:instrText>
      </w:r>
      <w:r>
        <w:rPr>
          <w:rFonts w:ascii="Geneva" w:hAnsi="Geneva"/>
          <w:vanish/>
        </w:rPr>
        <w:instrText xml:space="preserve"> </w:instrText>
      </w:r>
      <w:r>
        <w:rPr>
          <w:rFonts w:ascii="Geneva" w:hAnsi="Geneva"/>
          <w:vanish/>
        </w:rPr>
        <w:fldChar w:fldCharType="end"/>
      </w:r>
      <w:r>
        <w:rPr>
          <w:rFonts w:ascii="Geneva" w:hAnsi="Geneva"/>
          <w:vanish/>
        </w:rPr>
        <w:t xml:space="preserve"> UC_88</w:t>
      </w:r>
    </w:p>
    <w:p w14:paraId="3D9F4242" w14:textId="77777777" w:rsidR="002A21AE" w:rsidRDefault="002A21AE" w:rsidP="00FA7E65">
      <w:pPr>
        <w:pStyle w:val="BodyText"/>
      </w:pPr>
      <w:bookmarkStart w:id="513" w:name="_Toc74835890"/>
      <w:r>
        <w:t>The Pending Order List (POL) lists pending blood bank orders.</w:t>
      </w:r>
    </w:p>
    <w:p w14:paraId="21BDADDA" w14:textId="77777777" w:rsidR="002A21AE" w:rsidRDefault="002A21AE">
      <w:pPr>
        <w:pStyle w:val="Heading4"/>
      </w:pPr>
      <w:r>
        <w:t>Assumptions</w:t>
      </w:r>
    </w:p>
    <w:p w14:paraId="04C34FCD" w14:textId="77777777" w:rsidR="002A21AE" w:rsidRDefault="002A21AE">
      <w:pPr>
        <w:pStyle w:val="ListBullet"/>
      </w:pPr>
      <w:r>
        <w:t>A CPRS order is acknowledged by VBECS.</w:t>
      </w:r>
    </w:p>
    <w:p w14:paraId="53D92983" w14:textId="77777777" w:rsidR="002A21AE" w:rsidRDefault="002A21AE">
      <w:pPr>
        <w:pStyle w:val="ListBullet"/>
      </w:pPr>
      <w:r>
        <w:t xml:space="preserve">An order is printed or an alert is issued per site parameters. </w:t>
      </w:r>
    </w:p>
    <w:p w14:paraId="4D1A6FB7" w14:textId="77777777" w:rsidR="002A21AE" w:rsidRDefault="002A21AE">
      <w:pPr>
        <w:pStyle w:val="ListBullet"/>
      </w:pPr>
      <w:r>
        <w:t xml:space="preserve">The connection to </w:t>
      </w:r>
      <w:r w:rsidR="00CA0045" w:rsidRPr="00CA0045">
        <w:rPr>
          <w:bCs/>
        </w:rPr>
        <w:t>VistA</w:t>
      </w:r>
      <w:r>
        <w:t xml:space="preserve"> is active.</w:t>
      </w:r>
    </w:p>
    <w:p w14:paraId="0A3C9341" w14:textId="77777777" w:rsidR="002A21AE" w:rsidRDefault="002A21AE">
      <w:pPr>
        <w:pStyle w:val="Heading4"/>
      </w:pPr>
      <w:r>
        <w:t>Outcome</w:t>
      </w:r>
    </w:p>
    <w:p w14:paraId="50E9DAF0" w14:textId="77777777" w:rsidR="002A21AE" w:rsidRDefault="002A21AE">
      <w:pPr>
        <w:pStyle w:val="ListBullet"/>
      </w:pPr>
      <w:r>
        <w:t>A list of pending</w:t>
      </w:r>
      <w:r w:rsidR="00E46E21">
        <w:t xml:space="preserve"> orders displays and may be sorted and searched.</w:t>
      </w:r>
    </w:p>
    <w:p w14:paraId="3680F71D" w14:textId="77777777" w:rsidR="00E46E21" w:rsidRDefault="00E46E21">
      <w:pPr>
        <w:pStyle w:val="ListBullet"/>
      </w:pPr>
      <w:r>
        <w:t>A list of pending orders may be printed in the default sort presentation.</w:t>
      </w:r>
    </w:p>
    <w:p w14:paraId="0C94E9C8" w14:textId="77777777" w:rsidR="002A21AE" w:rsidRDefault="002A21AE">
      <w:pPr>
        <w:pStyle w:val="Heading4"/>
      </w:pPr>
      <w:r>
        <w:t>Limitations and Restrictions</w:t>
      </w:r>
    </w:p>
    <w:p w14:paraId="47D953C1" w14:textId="77777777" w:rsidR="00DD022C" w:rsidRDefault="00DD022C" w:rsidP="00DD022C">
      <w:pPr>
        <w:pStyle w:val="ListBullet"/>
      </w:pPr>
      <w:r>
        <w:t xml:space="preserve">Orders placed for </w:t>
      </w:r>
      <w:r w:rsidR="00922AD8">
        <w:t>patients</w:t>
      </w:r>
      <w:r>
        <w:t xml:space="preserve">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t>” field.</w:t>
      </w:r>
    </w:p>
    <w:p w14:paraId="776EF27E" w14:textId="77777777" w:rsidR="00C50F88" w:rsidRDefault="00C50F88" w:rsidP="00DD022C">
      <w:pPr>
        <w:pStyle w:val="ListBullet"/>
      </w:pPr>
      <w:r>
        <w:t>TAS must be accepted prior to any diagnostic test associated with the same specimen UID to allow the specimen to be used for the TAS.</w:t>
      </w:r>
    </w:p>
    <w:p w14:paraId="7659D4BD" w14:textId="77777777" w:rsidR="002A21AE" w:rsidRDefault="002A21AE">
      <w:pPr>
        <w:pStyle w:val="Heading4"/>
      </w:pPr>
      <w:r>
        <w:t>Additional Information</w:t>
      </w:r>
    </w:p>
    <w:p w14:paraId="6F43585C" w14:textId="77777777" w:rsidR="00E079D4" w:rsidRDefault="00E079D4">
      <w:pPr>
        <w:pStyle w:val="ListBullet"/>
      </w:pPr>
      <w:r>
        <w:t>This option is used for diagnostic and blood component test orders.</w:t>
      </w:r>
    </w:p>
    <w:p w14:paraId="05A1AB73" w14:textId="77777777" w:rsidR="00C50F88" w:rsidRDefault="00C50F88">
      <w:pPr>
        <w:pStyle w:val="ListBullet"/>
      </w:pPr>
      <w:r>
        <w:t>Blood derivatives, for example: Octoplas, are processed using CPRS FFP order.</w:t>
      </w:r>
    </w:p>
    <w:p w14:paraId="263B0F27" w14:textId="77777777" w:rsidR="002A21AE" w:rsidRDefault="002A21AE">
      <w:pPr>
        <w:pStyle w:val="Heading4"/>
      </w:pPr>
      <w:r>
        <w:t>User Roles with Access to This Option</w:t>
      </w:r>
    </w:p>
    <w:p w14:paraId="42C123BC" w14:textId="77777777" w:rsidR="002A21AE" w:rsidRDefault="000F12D4">
      <w:pPr>
        <w:pStyle w:val="Roles"/>
        <w:rPr>
          <w:snapToGrid w:val="0"/>
        </w:rPr>
      </w:pPr>
      <w:r>
        <w:t>All users</w:t>
      </w:r>
    </w:p>
    <w:bookmarkEnd w:id="513"/>
    <w:p w14:paraId="0684B19A" w14:textId="77777777" w:rsidR="002A21AE" w:rsidRDefault="002A21AE">
      <w:pPr>
        <w:pStyle w:val="Heading4"/>
      </w:pPr>
      <w:r>
        <w:t>Accept Orders: Pending Order List</w:t>
      </w:r>
    </w:p>
    <w:p w14:paraId="2B9E0D4E" w14:textId="77777777" w:rsidR="002A21AE" w:rsidRDefault="002A21AE" w:rsidP="00FA7E65">
      <w:pPr>
        <w:pStyle w:val="BodyText"/>
      </w:pPr>
      <w:r>
        <w:t>VBECS displays the POL with search criteria, which allows the user to limit the number of viewable items. The user may review details of an order without taking action on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BEA3E72" w14:textId="77777777">
        <w:trPr>
          <w:cantSplit/>
          <w:tblHeader/>
        </w:trPr>
        <w:tc>
          <w:tcPr>
            <w:tcW w:w="3240" w:type="dxa"/>
            <w:shd w:val="pct30" w:color="auto" w:fill="FFFFFF"/>
            <w:vAlign w:val="bottom"/>
          </w:tcPr>
          <w:p w14:paraId="69713131" w14:textId="77777777" w:rsidR="002A21AE" w:rsidRDefault="002A21AE">
            <w:pPr>
              <w:pStyle w:val="TableText"/>
              <w:rPr>
                <w:b/>
              </w:rPr>
            </w:pPr>
            <w:r>
              <w:rPr>
                <w:b/>
              </w:rPr>
              <w:t>User Action</w:t>
            </w:r>
          </w:p>
        </w:tc>
        <w:tc>
          <w:tcPr>
            <w:tcW w:w="6120" w:type="dxa"/>
            <w:shd w:val="pct30" w:color="auto" w:fill="FFFFFF"/>
            <w:vAlign w:val="bottom"/>
          </w:tcPr>
          <w:p w14:paraId="3679060F" w14:textId="77777777" w:rsidR="002A21AE" w:rsidRDefault="002A21AE">
            <w:pPr>
              <w:pStyle w:val="TableText"/>
              <w:rPr>
                <w:b/>
              </w:rPr>
            </w:pPr>
            <w:r>
              <w:rPr>
                <w:b/>
              </w:rPr>
              <w:t>VBECS</w:t>
            </w:r>
          </w:p>
        </w:tc>
      </w:tr>
      <w:tr w:rsidR="002A21AE" w14:paraId="7F8028FF" w14:textId="77777777">
        <w:tc>
          <w:tcPr>
            <w:tcW w:w="3240" w:type="dxa"/>
          </w:tcPr>
          <w:p w14:paraId="446A82D1" w14:textId="77777777" w:rsidR="002A21AE" w:rsidRDefault="002A21AE">
            <w:pPr>
              <w:pStyle w:val="TableTextNumbers"/>
            </w:pPr>
            <w:r>
              <w:t xml:space="preserve">Select </w:t>
            </w:r>
            <w:r>
              <w:rPr>
                <w:b/>
              </w:rPr>
              <w:t>Orders</w:t>
            </w:r>
            <w:r>
              <w:t xml:space="preserve"> from the main menu.</w:t>
            </w:r>
          </w:p>
          <w:p w14:paraId="452958E1" w14:textId="77777777" w:rsidR="002A21AE" w:rsidRDefault="002A21AE">
            <w:pPr>
              <w:pStyle w:val="TableTextNumbersContinued"/>
            </w:pPr>
          </w:p>
          <w:p w14:paraId="5E43781E" w14:textId="77777777" w:rsidR="002A21AE" w:rsidRDefault="002A21AE">
            <w:pPr>
              <w:pStyle w:val="TableTextNumbersContinued"/>
            </w:pPr>
            <w:r>
              <w:t xml:space="preserve">Select </w:t>
            </w:r>
            <w:r>
              <w:rPr>
                <w:b/>
              </w:rPr>
              <w:t>Accept Orders</w:t>
            </w:r>
            <w:r>
              <w:t>, or</w:t>
            </w:r>
          </w:p>
          <w:p w14:paraId="5D640292" w14:textId="77777777" w:rsidR="002A21AE" w:rsidRDefault="002A21AE">
            <w:pPr>
              <w:pStyle w:val="TableTextNumbersContinued"/>
            </w:pPr>
          </w:p>
          <w:p w14:paraId="60C3758D" w14:textId="5556B818" w:rsidR="002A21AE" w:rsidRDefault="002A21AE">
            <w:pPr>
              <w:pStyle w:val="TableTextNumbersContinued"/>
            </w:pPr>
            <w:r>
              <w:t xml:space="preserve">Click the </w:t>
            </w:r>
            <w:r>
              <w:rPr>
                <w:b/>
              </w:rPr>
              <w:t>Pending Orders alert icon</w:t>
            </w:r>
            <w:r>
              <w:t>, if available, in the status bar at the bottom of the screen</w:t>
            </w:r>
            <w:r w:rsidR="007B4959">
              <w:t xml:space="preserve"> (</w:t>
            </w:r>
            <w:r w:rsidR="0071094D">
              <w:fldChar w:fldCharType="begin"/>
            </w:r>
            <w:r w:rsidR="0071094D">
              <w:instrText xml:space="preserve"> REF _Ref126723121 \h </w:instrText>
            </w:r>
            <w:r w:rsidR="0071094D">
              <w:fldChar w:fldCharType="separate"/>
            </w:r>
            <w:r w:rsidR="004353ED">
              <w:t xml:space="preserve">Figure </w:t>
            </w:r>
            <w:r w:rsidR="004353ED">
              <w:rPr>
                <w:noProof/>
              </w:rPr>
              <w:t>113</w:t>
            </w:r>
            <w:r w:rsidR="0071094D">
              <w:fldChar w:fldCharType="end"/>
            </w:r>
            <w:r w:rsidR="007B4959">
              <w:t>)</w:t>
            </w:r>
            <w:r>
              <w:t>.</w:t>
            </w:r>
          </w:p>
        </w:tc>
        <w:tc>
          <w:tcPr>
            <w:tcW w:w="6120" w:type="dxa"/>
          </w:tcPr>
          <w:p w14:paraId="45818C3F" w14:textId="77777777" w:rsidR="002A21AE" w:rsidRDefault="002A21AE">
            <w:pPr>
              <w:pStyle w:val="TableTextBullet"/>
            </w:pPr>
            <w:r>
              <w:t>Displays options for processing orders.</w:t>
            </w:r>
          </w:p>
          <w:p w14:paraId="15EE278E" w14:textId="77777777" w:rsidR="002A21AE" w:rsidRDefault="002A21AE">
            <w:pPr>
              <w:pStyle w:val="TableTextBullet"/>
            </w:pPr>
            <w:r>
              <w:t>Displays the Pending Order List and Pending Order List search criteria.</w:t>
            </w:r>
          </w:p>
          <w:p w14:paraId="6C701DD1" w14:textId="77777777" w:rsidR="002A21AE" w:rsidRDefault="002A21AE">
            <w:pPr>
              <w:pStyle w:val="TableTextBullet"/>
            </w:pPr>
            <w:r>
              <w:t xml:space="preserve">Allows the user to search for specific orders. </w:t>
            </w:r>
          </w:p>
          <w:p w14:paraId="2434D3B6" w14:textId="77777777" w:rsidR="002A21AE" w:rsidRDefault="002A21AE">
            <w:pPr>
              <w:pStyle w:val="TableTextBullet"/>
            </w:pPr>
            <w:r>
              <w:t xml:space="preserve">Provides the criteria to limit the search and subsequent presentation and processing. </w:t>
            </w:r>
          </w:p>
          <w:p w14:paraId="19AABF77" w14:textId="77777777" w:rsidR="002A21AE" w:rsidRDefault="002A21AE">
            <w:pPr>
              <w:pStyle w:val="TableTextBullet"/>
            </w:pPr>
            <w:r>
              <w:t>Allows acceptance of an order.</w:t>
            </w:r>
          </w:p>
          <w:p w14:paraId="4680039C" w14:textId="77777777" w:rsidR="002A21AE" w:rsidRDefault="002A21AE">
            <w:pPr>
              <w:pStyle w:val="TableText"/>
            </w:pPr>
          </w:p>
          <w:p w14:paraId="3817472C" w14:textId="47FD7380" w:rsidR="002A21AE" w:rsidRDefault="002A21AE">
            <w:pPr>
              <w:pStyle w:val="TableText"/>
              <w:rPr>
                <w:b/>
                <w:bCs/>
                <w:szCs w:val="18"/>
              </w:rPr>
            </w:pPr>
            <w:r>
              <w:rPr>
                <w:b/>
                <w:bCs/>
                <w:szCs w:val="18"/>
              </w:rPr>
              <w:t>NOTES</w:t>
            </w:r>
          </w:p>
          <w:p w14:paraId="7012321B" w14:textId="77777777" w:rsidR="002A21AE" w:rsidRDefault="00E21E67">
            <w:pPr>
              <w:pStyle w:val="NotesText"/>
            </w:pPr>
            <w:r w:rsidRPr="00424EF8">
              <w:rPr>
                <w:vanish/>
              </w:rPr>
              <w:t xml:space="preserve">BR_88.10 </w:t>
            </w:r>
            <w:r w:rsidRPr="00274F6D">
              <w:t xml:space="preserve">VBECS </w:t>
            </w:r>
            <w:r>
              <w:t xml:space="preserve">displays orders directed to the division by </w:t>
            </w:r>
            <w:r w:rsidR="00424EF8">
              <w:t>a</w:t>
            </w:r>
            <w:r>
              <w:t xml:space="preserve"> user during system configuration.</w:t>
            </w:r>
            <w:r w:rsidR="00892C58" w:rsidRPr="00892C58">
              <w:rPr>
                <w:vanish/>
              </w:rPr>
              <w:t>DR 2,889</w:t>
            </w:r>
          </w:p>
          <w:p w14:paraId="05192ED2" w14:textId="77777777" w:rsidR="00E21E67" w:rsidRDefault="00E21E67">
            <w:pPr>
              <w:pStyle w:val="NotesText"/>
            </w:pPr>
          </w:p>
          <w:p w14:paraId="3225EF41" w14:textId="19D2E6A3" w:rsidR="002A21AE" w:rsidRDefault="002A21AE">
            <w:pPr>
              <w:pStyle w:val="NotesText"/>
            </w:pPr>
            <w:r w:rsidRPr="00A4315F">
              <w:t xml:space="preserve">See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rsidRPr="00A4315F">
              <w:t>:</w:t>
            </w:r>
            <w:r w:rsidR="00A4315F" w:rsidRPr="00A4315F">
              <w:t xml:space="preserve"> </w:t>
            </w:r>
            <w:r w:rsidR="00A4315F" w:rsidRPr="00A4315F">
              <w:fldChar w:fldCharType="begin"/>
            </w:r>
            <w:r w:rsidR="00A4315F" w:rsidRPr="00A4315F">
              <w:instrText xml:space="preserve"> REF _Ref127061360 \h </w:instrText>
            </w:r>
            <w:r w:rsidR="00A4315F">
              <w:instrText xml:space="preserve"> \* MERGEFORMAT </w:instrText>
            </w:r>
            <w:r w:rsidR="00A4315F" w:rsidRPr="00A4315F">
              <w:fldChar w:fldCharType="separate"/>
            </w:r>
            <w:r w:rsidR="004353ED">
              <w:t xml:space="preserve">Figure 147: </w:t>
            </w:r>
            <w:r w:rsidR="004353ED" w:rsidRPr="004353ED">
              <w:rPr>
                <w:vanish/>
                <w:szCs w:val="18"/>
              </w:rPr>
              <w:t xml:space="preserve">TT_92.01 </w:t>
            </w:r>
            <w:r w:rsidR="004353ED" w:rsidRPr="004353ED">
              <w:t>Order</w:t>
            </w:r>
            <w:r w:rsidR="004353ED">
              <w:t xml:space="preserve"> Status Flowchart</w:t>
            </w:r>
            <w:r w:rsidR="00A4315F" w:rsidRPr="00A4315F">
              <w:fldChar w:fldCharType="end"/>
            </w:r>
            <w:r>
              <w:t>.</w:t>
            </w:r>
          </w:p>
          <w:p w14:paraId="74585698" w14:textId="77777777" w:rsidR="002A21AE" w:rsidRDefault="002A21AE">
            <w:pPr>
              <w:pStyle w:val="NotesText"/>
            </w:pPr>
          </w:p>
          <w:p w14:paraId="7BFEF815" w14:textId="77777777" w:rsidR="002A21AE" w:rsidRDefault="002A21AE" w:rsidP="008941EC">
            <w:pPr>
              <w:pStyle w:val="NotesText"/>
            </w:pPr>
            <w:r>
              <w:rPr>
                <w:rFonts w:cs="Arial"/>
                <w:vanish/>
              </w:rPr>
              <w:t xml:space="preserve">BR_88.04 </w:t>
            </w:r>
            <w:r>
              <w:t xml:space="preserve">When searching for pending orders based on patient name, the system displays all pending and current accepted orders for the </w:t>
            </w:r>
            <w:r>
              <w:lastRenderedPageBreak/>
              <w:t xml:space="preserve">patient. A current order is a previously accepted order with a future order/specimen expiration date. </w:t>
            </w:r>
          </w:p>
        </w:tc>
      </w:tr>
      <w:tr w:rsidR="002A21AE" w14:paraId="7CE17BCF" w14:textId="77777777">
        <w:trPr>
          <w:trHeight w:val="575"/>
        </w:trPr>
        <w:tc>
          <w:tcPr>
            <w:tcW w:w="3240" w:type="dxa"/>
          </w:tcPr>
          <w:p w14:paraId="72B1CA13" w14:textId="77777777" w:rsidR="002A21AE" w:rsidRDefault="002A21AE">
            <w:pPr>
              <w:pStyle w:val="TableTextNumbers"/>
            </w:pPr>
            <w:r>
              <w:lastRenderedPageBreak/>
              <w:t>Change the selection criteria, as needed, to prepare the list or to accept the default presentation.</w:t>
            </w:r>
          </w:p>
        </w:tc>
        <w:tc>
          <w:tcPr>
            <w:tcW w:w="6120" w:type="dxa"/>
          </w:tcPr>
          <w:p w14:paraId="29A23C74" w14:textId="77777777" w:rsidR="002A21AE" w:rsidRDefault="002A21AE">
            <w:pPr>
              <w:pStyle w:val="TableTextBullet"/>
            </w:pPr>
            <w:r>
              <w:t xml:space="preserve">Displays the POL requested by user’s selection(s). </w:t>
            </w:r>
          </w:p>
          <w:p w14:paraId="4FF60A3A" w14:textId="77777777" w:rsidR="002A21AE" w:rsidRDefault="002A21AE">
            <w:pPr>
              <w:pStyle w:val="TableText"/>
            </w:pPr>
          </w:p>
          <w:p w14:paraId="2CF335FA" w14:textId="6144BF4D" w:rsidR="002A21AE" w:rsidRDefault="002A21AE">
            <w:pPr>
              <w:pStyle w:val="TableText"/>
              <w:rPr>
                <w:b/>
                <w:bCs/>
                <w:szCs w:val="18"/>
              </w:rPr>
            </w:pPr>
            <w:r>
              <w:rPr>
                <w:b/>
                <w:bCs/>
                <w:szCs w:val="18"/>
              </w:rPr>
              <w:t>NOTES</w:t>
            </w:r>
          </w:p>
          <w:p w14:paraId="096A88AC" w14:textId="77777777" w:rsidR="002A21AE" w:rsidRDefault="002A21AE">
            <w:pPr>
              <w:pStyle w:val="TableText"/>
            </w:pPr>
          </w:p>
          <w:p w14:paraId="5709E196" w14:textId="77777777" w:rsidR="002A21AE" w:rsidRDefault="002A21AE">
            <w:pPr>
              <w:pStyle w:val="NotesText"/>
            </w:pPr>
            <w:r>
              <w:rPr>
                <w:rFonts w:cs="Arial"/>
                <w:vanish/>
              </w:rPr>
              <w:t xml:space="preserve">BR_88.09 </w:t>
            </w:r>
            <w:r>
              <w:t>The POL can be sorted by Patient, Procedure, Urgency, Date/time received or date/time wanted.</w:t>
            </w:r>
          </w:p>
          <w:p w14:paraId="31200CB0" w14:textId="77777777" w:rsidR="002A21AE" w:rsidRDefault="002A21AE">
            <w:pPr>
              <w:pStyle w:val="NotesText"/>
            </w:pPr>
          </w:p>
          <w:p w14:paraId="35938392" w14:textId="77777777" w:rsidR="002A21AE" w:rsidRDefault="002A21AE">
            <w:pPr>
              <w:pStyle w:val="NotesText"/>
            </w:pPr>
            <w:r>
              <w:rPr>
                <w:rFonts w:cs="Arial"/>
                <w:vanish/>
              </w:rPr>
              <w:t xml:space="preserve">BR_88.07 </w:t>
            </w:r>
            <w:r>
              <w:t>The user may select an entry on the POL to view additional details for the order, including:</w:t>
            </w:r>
          </w:p>
          <w:p w14:paraId="772B4463" w14:textId="77777777" w:rsidR="002A21AE" w:rsidRDefault="002A21AE">
            <w:pPr>
              <w:pStyle w:val="NotesTextBullet"/>
            </w:pPr>
            <w:r>
              <w:t>Patient Name</w:t>
            </w:r>
          </w:p>
          <w:p w14:paraId="51EB8DB0" w14:textId="77777777" w:rsidR="002A21AE" w:rsidRDefault="002A21AE">
            <w:pPr>
              <w:pStyle w:val="NotesTextBullet"/>
            </w:pPr>
            <w:r>
              <w:t>Patient ID</w:t>
            </w:r>
          </w:p>
          <w:p w14:paraId="54A77F5D" w14:textId="77777777" w:rsidR="002A21AE" w:rsidRDefault="002A21AE">
            <w:pPr>
              <w:pStyle w:val="NotesTextBullet"/>
            </w:pPr>
            <w:r>
              <w:t xml:space="preserve">Additional component class or diagnostic tests included in the same order group as the selected order. (These are displayed whether they are </w:t>
            </w:r>
            <w:r w:rsidR="00191CFE">
              <w:t>“</w:t>
            </w:r>
            <w:r>
              <w:t>in progress</w:t>
            </w:r>
            <w:r w:rsidR="00191CFE">
              <w:t>”</w:t>
            </w:r>
            <w:r>
              <w:t xml:space="preserve"> or still on the POL. There should be some indication to distinguish those that are already in progress.)</w:t>
            </w:r>
          </w:p>
          <w:p w14:paraId="38CDF83D" w14:textId="77777777" w:rsidR="002A21AE" w:rsidRDefault="002A21AE">
            <w:pPr>
              <w:pStyle w:val="NotesTextBullet"/>
            </w:pPr>
            <w:r>
              <w:t>Order comments (additional requirements from CPRS)</w:t>
            </w:r>
          </w:p>
          <w:p w14:paraId="50B913C0" w14:textId="77777777" w:rsidR="002A21AE" w:rsidRDefault="002A21AE">
            <w:pPr>
              <w:pStyle w:val="NotesTextBullet"/>
            </w:pPr>
            <w:r>
              <w:t>Quantity (component class orders only)</w:t>
            </w:r>
          </w:p>
          <w:p w14:paraId="6737938D" w14:textId="77777777" w:rsidR="002A21AE" w:rsidRDefault="002A21AE">
            <w:pPr>
              <w:pStyle w:val="NotesTextBullet"/>
            </w:pPr>
            <w:r>
              <w:t>Patient hospital location</w:t>
            </w:r>
          </w:p>
          <w:p w14:paraId="5A246A27" w14:textId="77777777" w:rsidR="002A21AE" w:rsidRDefault="002A21AE">
            <w:pPr>
              <w:pStyle w:val="NotesTextBullet"/>
            </w:pPr>
            <w:r>
              <w:t>Lab order #</w:t>
            </w:r>
          </w:p>
          <w:p w14:paraId="42094384" w14:textId="77777777" w:rsidR="002A21AE" w:rsidRDefault="002A21AE">
            <w:pPr>
              <w:pStyle w:val="NotesTextBullet"/>
            </w:pPr>
            <w:r>
              <w:t>Patient ABO/Rh (if known)</w:t>
            </w:r>
          </w:p>
          <w:p w14:paraId="787007A0" w14:textId="77777777" w:rsidR="000F29F3" w:rsidRDefault="0070432F" w:rsidP="00735422">
            <w:pPr>
              <w:pStyle w:val="NotesTextBullet"/>
            </w:pPr>
            <w:r>
              <w:t xml:space="preserve">The </w:t>
            </w:r>
            <w:r w:rsidR="00F83BC3">
              <w:t>CPRS Order ID</w:t>
            </w:r>
            <w:r w:rsidR="00735422">
              <w:t>, Group Order ID for all diagnostic tests and component orders placed in one CPRS</w:t>
            </w:r>
            <w:r>
              <w:t xml:space="preserve"> </w:t>
            </w:r>
            <w:r w:rsidR="00E33ACF">
              <w:t xml:space="preserve">order </w:t>
            </w:r>
            <w:r w:rsidR="005B6F39">
              <w:t xml:space="preserve">is </w:t>
            </w:r>
            <w:r w:rsidR="00E33ACF">
              <w:t xml:space="preserve">the CPRS Order ID </w:t>
            </w:r>
            <w:r>
              <w:t xml:space="preserve">used by VBECS on the Order History Report and the Pending Task Lists. </w:t>
            </w:r>
            <w:r w:rsidR="00F83BC3" w:rsidRPr="00F83BC3">
              <w:rPr>
                <w:vanish/>
              </w:rPr>
              <w:t>DR 4938</w:t>
            </w:r>
          </w:p>
        </w:tc>
      </w:tr>
      <w:tr w:rsidR="002A21AE" w14:paraId="60D55A56" w14:textId="77777777">
        <w:tc>
          <w:tcPr>
            <w:tcW w:w="3240" w:type="dxa"/>
          </w:tcPr>
          <w:p w14:paraId="7157A99C" w14:textId="77777777" w:rsidR="002A21AE" w:rsidRDefault="002A21AE">
            <w:pPr>
              <w:pStyle w:val="TableTextNumbers"/>
            </w:pPr>
            <w:r>
              <w:t xml:space="preserve">To continue processing the POL, review the displayed list, print the list, or go to Accept Orders: Accept an Order. </w:t>
            </w:r>
          </w:p>
        </w:tc>
        <w:tc>
          <w:tcPr>
            <w:tcW w:w="6120" w:type="dxa"/>
          </w:tcPr>
          <w:p w14:paraId="4B12B7CA" w14:textId="77777777" w:rsidR="002A21AE" w:rsidRDefault="002A21AE">
            <w:pPr>
              <w:pStyle w:val="TableTextBullet"/>
            </w:pPr>
            <w:r>
              <w:t xml:space="preserve">Allows the user to return to Step 1 to change the presentation of the list, review details of pending orders, print the list, or select an order or proceed to Accept Orders: Accept an Order. </w:t>
            </w:r>
          </w:p>
          <w:p w14:paraId="28218C70" w14:textId="77777777" w:rsidR="002A21AE" w:rsidRDefault="002A21AE">
            <w:pPr>
              <w:pStyle w:val="TableText"/>
            </w:pPr>
          </w:p>
          <w:p w14:paraId="2A15662D" w14:textId="256BE9F4" w:rsidR="002A21AE" w:rsidRDefault="002A21AE">
            <w:pPr>
              <w:pStyle w:val="TableText"/>
              <w:rPr>
                <w:b/>
                <w:bCs/>
                <w:szCs w:val="18"/>
              </w:rPr>
            </w:pPr>
            <w:r>
              <w:rPr>
                <w:b/>
                <w:bCs/>
                <w:szCs w:val="18"/>
              </w:rPr>
              <w:t>NOTES</w:t>
            </w:r>
          </w:p>
          <w:p w14:paraId="11FD9CC0" w14:textId="77777777" w:rsidR="002A21AE" w:rsidRDefault="002A21AE">
            <w:pPr>
              <w:pStyle w:val="NotesText"/>
            </w:pPr>
          </w:p>
          <w:p w14:paraId="49732167" w14:textId="77777777" w:rsidR="002A21AE" w:rsidRDefault="002A21AE">
            <w:pPr>
              <w:pStyle w:val="NotesText"/>
            </w:pPr>
            <w:r>
              <w:rPr>
                <w:rFonts w:cs="Arial"/>
                <w:vanish/>
              </w:rPr>
              <w:t xml:space="preserve">BR_92.07 </w:t>
            </w:r>
            <w:r>
              <w:t>When a user requests a POL report and VBECS does not find any information, VBECS notifies the user and asks whether he wishes to continue to print. The user may cancel or print the report, which will include “No pending orders found.”</w:t>
            </w:r>
          </w:p>
        </w:tc>
      </w:tr>
      <w:tr w:rsidR="002A21AE" w14:paraId="4D85214E" w14:textId="77777777">
        <w:tc>
          <w:tcPr>
            <w:tcW w:w="3240" w:type="dxa"/>
          </w:tcPr>
          <w:p w14:paraId="73F780FC" w14:textId="77777777" w:rsidR="002A21AE" w:rsidRDefault="002A21AE">
            <w:pPr>
              <w:pStyle w:val="TableTextNumbers"/>
            </w:pPr>
            <w:r>
              <w:t>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14" w:author="Blalock, David (Leidos)" w:date="2020-06-15T14:09:00Z" w:original="0."/>
              </w:fldChar>
            </w:r>
          </w:p>
        </w:tc>
        <w:tc>
          <w:tcPr>
            <w:tcW w:w="6120" w:type="dxa"/>
          </w:tcPr>
          <w:p w14:paraId="791C4B64" w14:textId="77777777" w:rsidR="002A21AE" w:rsidRDefault="002A21AE">
            <w:pPr>
              <w:pStyle w:val="TableText"/>
            </w:pPr>
          </w:p>
        </w:tc>
      </w:tr>
    </w:tbl>
    <w:p w14:paraId="075B8F6C" w14:textId="77777777" w:rsidR="002A21AE" w:rsidRDefault="0072673B" w:rsidP="0072673B">
      <w:r>
        <w:br w:type="page"/>
      </w:r>
      <w:r w:rsidR="00057948">
        <w:rPr>
          <w:noProof/>
        </w:rPr>
        <w:lastRenderedPageBreak/>
        <w:drawing>
          <wp:inline distT="0" distB="0" distL="0" distR="0" wp14:anchorId="58F7FD67" wp14:editId="3CC150D4">
            <wp:extent cx="156845" cy="156845"/>
            <wp:effectExtent l="0" t="0" r="0" b="0"/>
            <wp:docPr id="213" name="Picture 213" descr="small_order_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small_order_alert"/>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w:t>
      </w:r>
      <w:r w:rsidR="002A21AE" w:rsidRPr="0072673B">
        <w:rPr>
          <w:rStyle w:val="Heading3Char1"/>
        </w:rPr>
        <w:t>Display Order Alerts</w:t>
      </w:r>
      <w:r w:rsidR="002A21AE" w:rsidRPr="0072673B">
        <w:rPr>
          <w:rStyle w:val="Heading3Char1"/>
        </w:rPr>
        <w:fldChar w:fldCharType="begin"/>
      </w:r>
      <w:r w:rsidR="002A21AE" w:rsidRPr="0072673B">
        <w:rPr>
          <w:rStyle w:val="Heading3Char1"/>
        </w:rPr>
        <w:instrText xml:space="preserve"> XE </w:instrText>
      </w:r>
      <w:r w:rsidR="00FA7E65" w:rsidRPr="0072673B">
        <w:rPr>
          <w:rStyle w:val="Heading3Char1"/>
        </w:rPr>
        <w:instrText>“</w:instrText>
      </w:r>
      <w:r w:rsidR="002A21AE" w:rsidRPr="0072673B">
        <w:rPr>
          <w:rStyle w:val="Heading3Char1"/>
        </w:rPr>
        <w:instrText>Display Order Alerts</w:instrText>
      </w:r>
      <w:r w:rsidR="00FA7E65" w:rsidRPr="0072673B">
        <w:rPr>
          <w:rStyle w:val="Heading3Char1"/>
        </w:rPr>
        <w:instrText>”</w:instrText>
      </w:r>
      <w:r w:rsidR="002A21AE" w:rsidRPr="0072673B">
        <w:rPr>
          <w:rStyle w:val="Heading3Char1"/>
        </w:rPr>
        <w:instrText xml:space="preserve"> </w:instrText>
      </w:r>
      <w:r w:rsidR="002A21AE" w:rsidRPr="0072673B">
        <w:rPr>
          <w:rStyle w:val="Heading3Char1"/>
        </w:rPr>
        <w:fldChar w:fldCharType="end"/>
      </w:r>
      <w:r w:rsidR="002A21AE">
        <w:t xml:space="preserve"> </w:t>
      </w:r>
      <w:r w:rsidR="002A21AE">
        <w:rPr>
          <w:b/>
          <w:vanish/>
          <w:sz w:val="22"/>
        </w:rPr>
        <w:t>UC_84</w:t>
      </w:r>
    </w:p>
    <w:p w14:paraId="5E99CCCB" w14:textId="77777777" w:rsidR="002A21AE" w:rsidRDefault="002A21AE" w:rsidP="00FA7E65">
      <w:pPr>
        <w:pStyle w:val="BodyText"/>
      </w:pPr>
      <w:r>
        <w:t>VBECS notifies the user of new and updated patient orders.</w:t>
      </w:r>
    </w:p>
    <w:p w14:paraId="4D52682E" w14:textId="77777777" w:rsidR="002A21AE" w:rsidRDefault="002A21AE">
      <w:pPr>
        <w:pStyle w:val="Heading4"/>
      </w:pPr>
      <w:r>
        <w:t>Assumptions</w:t>
      </w:r>
      <w:r>
        <w:rPr>
          <w:b w:val="0"/>
        </w:rPr>
        <w:t xml:space="preserve"> </w:t>
      </w:r>
    </w:p>
    <w:p w14:paraId="6D737DC8" w14:textId="77777777" w:rsidR="002A21AE" w:rsidRDefault="002A21AE">
      <w:pPr>
        <w:pStyle w:val="ListBullet"/>
      </w:pPr>
      <w:r>
        <w:t xml:space="preserve">VBECS receives a new order or an order update message from </w:t>
      </w:r>
      <w:r w:rsidR="00CA0045" w:rsidRPr="00CA0045">
        <w:rPr>
          <w:bCs/>
        </w:rPr>
        <w:t>VistA</w:t>
      </w:r>
      <w:r>
        <w:t xml:space="preserve"> for the user’s division.</w:t>
      </w:r>
    </w:p>
    <w:p w14:paraId="02AD5008" w14:textId="77777777" w:rsidR="002A21AE" w:rsidRDefault="002A21AE">
      <w:pPr>
        <w:pStyle w:val="Heading4"/>
      </w:pPr>
      <w:r>
        <w:t xml:space="preserve">Outcome </w:t>
      </w:r>
    </w:p>
    <w:p w14:paraId="4DE3E573" w14:textId="77777777" w:rsidR="002A21AE" w:rsidRPr="000975BF" w:rsidRDefault="002A21AE">
      <w:pPr>
        <w:pStyle w:val="ListBullet"/>
        <w:rPr>
          <w:strike/>
        </w:rPr>
      </w:pPr>
      <w:r>
        <w:t>VBECS displays notification icons only to users logged into VBECS.</w:t>
      </w:r>
    </w:p>
    <w:p w14:paraId="3AE63C81" w14:textId="77777777" w:rsidR="002A21AE" w:rsidRDefault="002A21AE">
      <w:pPr>
        <w:pStyle w:val="Heading4"/>
      </w:pPr>
      <w:r>
        <w:t>Limitations and Restrictions</w:t>
      </w:r>
      <w:r>
        <w:rPr>
          <w:b w:val="0"/>
        </w:rPr>
        <w:t xml:space="preserve"> </w:t>
      </w:r>
    </w:p>
    <w:p w14:paraId="2DABF589" w14:textId="77777777" w:rsidR="00325067" w:rsidRPr="00543DAF" w:rsidRDefault="002A21AE" w:rsidP="00971715">
      <w:pPr>
        <w:pStyle w:val="ListBullet"/>
      </w:pPr>
      <w:r>
        <w:t xml:space="preserve">VBECS </w:t>
      </w:r>
      <w:r w:rsidR="005B2BDB">
        <w:t>issues</w:t>
      </w:r>
      <w:r>
        <w:t xml:space="preserve"> no notifications </w:t>
      </w:r>
      <w:r w:rsidR="00B306AF">
        <w:t>for</w:t>
      </w:r>
      <w:r>
        <w:t xml:space="preserve"> order cancellations.</w:t>
      </w:r>
    </w:p>
    <w:p w14:paraId="38F745FD" w14:textId="77777777" w:rsidR="002A21AE" w:rsidRDefault="002A21AE">
      <w:pPr>
        <w:pStyle w:val="Heading4"/>
      </w:pPr>
      <w:r>
        <w:t xml:space="preserve">Additional Information </w:t>
      </w:r>
    </w:p>
    <w:p w14:paraId="0144BDC0" w14:textId="77777777" w:rsidR="002A21AE" w:rsidRDefault="002A21AE">
      <w:pPr>
        <w:pStyle w:val="ListBullet"/>
      </w:pPr>
      <w:r>
        <w:rPr>
          <w:rFonts w:ascii="Arial" w:hAnsi="Arial" w:cs="Arial"/>
          <w:vanish/>
          <w:spacing w:val="0"/>
          <w:sz w:val="18"/>
        </w:rPr>
        <w:t xml:space="preserve">BR_84.12 </w:t>
      </w:r>
      <w:r>
        <w:t xml:space="preserve">The user may set VBECS to automatically print an order alert </w:t>
      </w:r>
      <w:r w:rsidR="00BC62B7">
        <w:t xml:space="preserve">with limited information </w:t>
      </w:r>
      <w:r>
        <w:t>on the designated printer when VBECS acknowledges the order.</w:t>
      </w:r>
    </w:p>
    <w:p w14:paraId="45302320" w14:textId="0F6D7995" w:rsidR="00DA5187" w:rsidRPr="008E2778" w:rsidRDefault="00DA5187">
      <w:pPr>
        <w:pStyle w:val="ListBullet"/>
      </w:pPr>
      <w:r w:rsidRPr="00971715">
        <w:rPr>
          <w:spacing w:val="0"/>
        </w:rPr>
        <w:t xml:space="preserve">The alert displays the individual test’s </w:t>
      </w:r>
      <w:r w:rsidR="00D059AF">
        <w:rPr>
          <w:spacing w:val="0"/>
        </w:rPr>
        <w:t xml:space="preserve">(child) </w:t>
      </w:r>
      <w:r w:rsidRPr="00971715">
        <w:rPr>
          <w:spacing w:val="0"/>
        </w:rPr>
        <w:t xml:space="preserve">CPRS </w:t>
      </w:r>
      <w:r w:rsidR="00177E10">
        <w:rPr>
          <w:spacing w:val="0"/>
        </w:rPr>
        <w:t xml:space="preserve">ID. The </w:t>
      </w:r>
      <w:r w:rsidR="004D735A">
        <w:rPr>
          <w:spacing w:val="0"/>
        </w:rPr>
        <w:t>individual test’s (</w:t>
      </w:r>
      <w:r w:rsidR="008C69E2">
        <w:rPr>
          <w:spacing w:val="0"/>
        </w:rPr>
        <w:t>child</w:t>
      </w:r>
      <w:r w:rsidR="004D735A">
        <w:rPr>
          <w:spacing w:val="0"/>
        </w:rPr>
        <w:t>)</w:t>
      </w:r>
      <w:r w:rsidR="008C69E2">
        <w:rPr>
          <w:spacing w:val="0"/>
        </w:rPr>
        <w:t xml:space="preserve"> </w:t>
      </w:r>
      <w:r w:rsidR="00177E10">
        <w:rPr>
          <w:spacing w:val="0"/>
        </w:rPr>
        <w:t xml:space="preserve">CPRS ID is not displayed </w:t>
      </w:r>
      <w:r w:rsidR="004D735A">
        <w:rPr>
          <w:spacing w:val="0"/>
        </w:rPr>
        <w:t xml:space="preserve">on the Pending Order List, </w:t>
      </w:r>
      <w:r w:rsidR="00177E10">
        <w:rPr>
          <w:spacing w:val="0"/>
        </w:rPr>
        <w:t>elsewhere in VBECS or on reports and is not usable in search functions</w:t>
      </w:r>
      <w:r w:rsidRPr="00971715">
        <w:rPr>
          <w:spacing w:val="0"/>
        </w:rPr>
        <w:t xml:space="preserve">. </w:t>
      </w:r>
      <w:r w:rsidRPr="00971715">
        <w:rPr>
          <w:vanish/>
          <w:spacing w:val="0"/>
        </w:rPr>
        <w:t>DR 4938</w:t>
      </w:r>
      <w:r w:rsidR="00282037">
        <w:rPr>
          <w:vanish/>
          <w:spacing w:val="0"/>
        </w:rPr>
        <w:t xml:space="preserve"> </w:t>
      </w:r>
      <w:r w:rsidR="00282037">
        <w:rPr>
          <w:spacing w:val="0"/>
        </w:rPr>
        <w:t>(See FAQ CPRS VBECS Order Details)</w:t>
      </w:r>
    </w:p>
    <w:p w14:paraId="62C05B31" w14:textId="77777777" w:rsidR="002A21AE" w:rsidRDefault="002A21AE">
      <w:pPr>
        <w:pStyle w:val="Heading4"/>
        <w:rPr>
          <w:b w:val="0"/>
        </w:rPr>
      </w:pPr>
      <w:r>
        <w:t>User Roles with Access to This Option</w:t>
      </w:r>
      <w:r>
        <w:rPr>
          <w:b w:val="0"/>
        </w:rPr>
        <w:t xml:space="preserve"> </w:t>
      </w:r>
    </w:p>
    <w:p w14:paraId="08774092" w14:textId="77777777" w:rsidR="002A21AE" w:rsidRDefault="000F12D4">
      <w:pPr>
        <w:pStyle w:val="Roles"/>
        <w:rPr>
          <w:snapToGrid w:val="0"/>
        </w:rPr>
      </w:pPr>
      <w:r>
        <w:t>All users</w:t>
      </w:r>
    </w:p>
    <w:p w14:paraId="61F4C561" w14:textId="77777777" w:rsidR="002A21AE" w:rsidRDefault="002A21AE">
      <w:pPr>
        <w:pStyle w:val="Heading4"/>
      </w:pPr>
      <w:r>
        <w:t>Display Order Alerts</w:t>
      </w:r>
    </w:p>
    <w:p w14:paraId="0644F7C1" w14:textId="77777777" w:rsidR="002A21AE" w:rsidRDefault="002A21AE" w:rsidP="00FA7E65">
      <w:pPr>
        <w:pStyle w:val="BodyText"/>
      </w:pPr>
      <w:r>
        <w:t>VBECS notifies the user that order updates occurred and allows him to accept the new orders.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4CF9EE" w14:textId="77777777">
        <w:trPr>
          <w:cantSplit/>
          <w:tblHeader/>
        </w:trPr>
        <w:tc>
          <w:tcPr>
            <w:tcW w:w="3240" w:type="dxa"/>
            <w:shd w:val="pct30" w:color="auto" w:fill="FFFFFF"/>
            <w:vAlign w:val="bottom"/>
          </w:tcPr>
          <w:p w14:paraId="1EE14E9A" w14:textId="77777777" w:rsidR="002A21AE" w:rsidRDefault="002A21AE">
            <w:pPr>
              <w:pStyle w:val="TableText"/>
              <w:rPr>
                <w:b/>
              </w:rPr>
            </w:pPr>
            <w:r>
              <w:rPr>
                <w:b/>
              </w:rPr>
              <w:t>User Action</w:t>
            </w:r>
          </w:p>
        </w:tc>
        <w:tc>
          <w:tcPr>
            <w:tcW w:w="6120" w:type="dxa"/>
            <w:shd w:val="pct30" w:color="auto" w:fill="FFFFFF"/>
            <w:vAlign w:val="bottom"/>
          </w:tcPr>
          <w:p w14:paraId="44913938" w14:textId="77777777" w:rsidR="002A21AE" w:rsidRDefault="002A21AE">
            <w:pPr>
              <w:pStyle w:val="TableText"/>
              <w:rPr>
                <w:b/>
              </w:rPr>
            </w:pPr>
            <w:r>
              <w:rPr>
                <w:b/>
              </w:rPr>
              <w:t>VBECS</w:t>
            </w:r>
          </w:p>
        </w:tc>
      </w:tr>
      <w:tr w:rsidR="002A21AE" w14:paraId="5183E467" w14:textId="77777777">
        <w:trPr>
          <w:trHeight w:val="403"/>
        </w:trPr>
        <w:tc>
          <w:tcPr>
            <w:tcW w:w="3240" w:type="dxa"/>
          </w:tcPr>
          <w:p w14:paraId="2E1CD81C" w14:textId="77777777" w:rsidR="002A21AE" w:rsidRDefault="002A21AE">
            <w:pPr>
              <w:pStyle w:val="TableTextNumbers"/>
            </w:pPr>
            <w:r>
              <w:t xml:space="preserve">Hold the </w:t>
            </w:r>
            <w:r w:rsidRPr="003F3122">
              <w:rPr>
                <w:szCs w:val="18"/>
              </w:rPr>
              <w:t>mouse</w:t>
            </w:r>
            <w:r>
              <w:t xml:space="preserve"> over the </w:t>
            </w:r>
            <w:r w:rsidR="00DB3E37">
              <w:t>i</w:t>
            </w:r>
            <w:r>
              <w:t xml:space="preserve">con to view a tool tip, or </w:t>
            </w:r>
          </w:p>
          <w:p w14:paraId="239B69F0" w14:textId="77777777" w:rsidR="002A21AE" w:rsidRDefault="002A21AE">
            <w:pPr>
              <w:pStyle w:val="TableTextNumbersContinued"/>
            </w:pPr>
          </w:p>
          <w:p w14:paraId="1C3BE5C5" w14:textId="77777777" w:rsidR="002A21AE" w:rsidRDefault="002A21AE">
            <w:pPr>
              <w:pStyle w:val="TableTextNumbersContinued"/>
            </w:pPr>
            <w:r>
              <w:t xml:space="preserve">Click </w:t>
            </w:r>
            <w:r w:rsidR="00057948">
              <w:rPr>
                <w:noProof/>
              </w:rPr>
              <w:drawing>
                <wp:inline distT="0" distB="0" distL="0" distR="0" wp14:anchorId="5F46AAE2" wp14:editId="35168016">
                  <wp:extent cx="156845" cy="156845"/>
                  <wp:effectExtent l="0" t="0" r="0" b="0"/>
                  <wp:docPr id="214" name="Picture 214" descr="small_order_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small_order_alert"/>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a panel showing new or updated orders and hide the icon. </w:t>
            </w:r>
          </w:p>
          <w:p w14:paraId="40EA7847" w14:textId="77777777" w:rsidR="002A21AE" w:rsidRDefault="002A21AE">
            <w:pPr>
              <w:pStyle w:val="TableTextNumbersContinued"/>
            </w:pPr>
          </w:p>
          <w:p w14:paraId="7E152118" w14:textId="77777777" w:rsidR="002A21AE" w:rsidRDefault="002A21AE">
            <w:pPr>
              <w:pStyle w:val="TableTextNumbersContinued"/>
            </w:pPr>
            <w:r>
              <w:t xml:space="preserve">Click </w:t>
            </w:r>
            <w:r w:rsidR="00057948">
              <w:rPr>
                <w:noProof/>
              </w:rPr>
              <w:drawing>
                <wp:inline distT="0" distB="0" distL="0" distR="0" wp14:anchorId="3B3C999E" wp14:editId="1EDE2322">
                  <wp:extent cx="156845" cy="156845"/>
                  <wp:effectExtent l="0" t="0" r="0" b="0"/>
                  <wp:docPr id="215" name="Picture 215" descr="small_order_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small_order_alert"/>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again to hide the panel.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15" w:author="Blalock, David (Leidos)" w:date="2020-06-15T14:09:00Z" w:original="0."/>
              </w:fldChar>
            </w:r>
          </w:p>
        </w:tc>
        <w:tc>
          <w:tcPr>
            <w:tcW w:w="6120" w:type="dxa"/>
          </w:tcPr>
          <w:p w14:paraId="0BA385BD" w14:textId="77777777" w:rsidR="002A21AE" w:rsidRDefault="002A21AE">
            <w:pPr>
              <w:pStyle w:val="TableTextBullet"/>
            </w:pPr>
            <w:r>
              <w:t>Acknowledges a new or updated patient order.</w:t>
            </w:r>
          </w:p>
          <w:p w14:paraId="1B4E6C6B" w14:textId="77777777" w:rsidR="002A21AE" w:rsidRDefault="002A21AE">
            <w:pPr>
              <w:pStyle w:val="TableTextBullet"/>
            </w:pPr>
            <w:r>
              <w:t xml:space="preserve">Displays </w:t>
            </w:r>
            <w:r w:rsidR="00922AD8">
              <w:t>an</w:t>
            </w:r>
            <w:r>
              <w:t xml:space="preserve"> order notification icon in the status bar when new orders are received, according to local settings.</w:t>
            </w:r>
          </w:p>
          <w:p w14:paraId="2AA206A9" w14:textId="77777777" w:rsidR="002A21AE" w:rsidRDefault="002A21AE">
            <w:pPr>
              <w:pStyle w:val="TableTextBullet"/>
            </w:pPr>
            <w:r>
              <w:t>Displays information regarding new orders and order updates and allows the user to accept them.</w:t>
            </w:r>
          </w:p>
          <w:p w14:paraId="24E6474E" w14:textId="77777777" w:rsidR="002A21AE" w:rsidRDefault="002A21AE">
            <w:pPr>
              <w:pStyle w:val="TableText"/>
            </w:pPr>
          </w:p>
          <w:p w14:paraId="314A40DF" w14:textId="37FB0E95" w:rsidR="002A21AE" w:rsidRDefault="002A21AE">
            <w:pPr>
              <w:pStyle w:val="TableText"/>
              <w:rPr>
                <w:b/>
                <w:bCs/>
                <w:szCs w:val="18"/>
              </w:rPr>
            </w:pPr>
            <w:r>
              <w:rPr>
                <w:b/>
                <w:bCs/>
                <w:szCs w:val="18"/>
              </w:rPr>
              <w:t>NOTES</w:t>
            </w:r>
          </w:p>
          <w:p w14:paraId="08A77412" w14:textId="77777777" w:rsidR="002A21AE" w:rsidRDefault="002A21AE">
            <w:pPr>
              <w:pStyle w:val="NotesText"/>
            </w:pPr>
          </w:p>
          <w:p w14:paraId="1B1C8DD7" w14:textId="77777777" w:rsidR="002A21AE" w:rsidRDefault="002A21AE">
            <w:pPr>
              <w:pStyle w:val="NotesText"/>
            </w:pPr>
            <w:r>
              <w:rPr>
                <w:rFonts w:cs="Arial"/>
                <w:vanish/>
                <w:szCs w:val="18"/>
              </w:rPr>
              <w:t>BR_84.01</w:t>
            </w:r>
            <w:r w:rsidR="00CE3961">
              <w:rPr>
                <w:rFonts w:cs="Arial"/>
                <w:vanish/>
                <w:szCs w:val="18"/>
              </w:rPr>
              <w:t>,</w:t>
            </w:r>
            <w:r>
              <w:rPr>
                <w:rFonts w:cs="Arial"/>
                <w:vanish/>
                <w:szCs w:val="18"/>
              </w:rPr>
              <w:t xml:space="preserve"> </w:t>
            </w:r>
            <w:r>
              <w:rPr>
                <w:vanish/>
                <w:szCs w:val="18"/>
              </w:rPr>
              <w:t xml:space="preserve">BR_84.02 </w:t>
            </w:r>
            <w:r>
              <w:t>When the division is configured to alert the user of orders received by VBECS, VBECS notifies the user of ordered components or ordered tests that were:</w:t>
            </w:r>
          </w:p>
          <w:p w14:paraId="317A2688" w14:textId="77777777" w:rsidR="002A21AE" w:rsidRDefault="002A21AE">
            <w:pPr>
              <w:pStyle w:val="NotesTextBullet"/>
              <w:tabs>
                <w:tab w:val="clear" w:pos="1008"/>
                <w:tab w:val="num" w:pos="288"/>
              </w:tabs>
            </w:pPr>
            <w:r>
              <w:t>Directed to the user’s division.</w:t>
            </w:r>
          </w:p>
          <w:p w14:paraId="3624F670" w14:textId="77777777" w:rsidR="002A21AE" w:rsidRDefault="002A21AE">
            <w:pPr>
              <w:pStyle w:val="NotesTextBullet"/>
              <w:tabs>
                <w:tab w:val="clear" w:pos="1008"/>
                <w:tab w:val="num" w:pos="288"/>
              </w:tabs>
            </w:pPr>
            <w:r>
              <w:t xml:space="preserve">Added or updated in </w:t>
            </w:r>
            <w:r w:rsidR="00CA0045" w:rsidRPr="00CA0045">
              <w:rPr>
                <w:bCs/>
              </w:rPr>
              <w:t>VistA</w:t>
            </w:r>
            <w:r w:rsidR="001F3AD5">
              <w:rPr>
                <w:bCs/>
              </w:rPr>
              <w:t xml:space="preserve"> since the system last checked</w:t>
            </w:r>
            <w:r>
              <w:t>.</w:t>
            </w:r>
          </w:p>
          <w:p w14:paraId="430F0805" w14:textId="77777777" w:rsidR="002A21AE" w:rsidRDefault="002A21AE">
            <w:pPr>
              <w:pStyle w:val="NotesText"/>
            </w:pPr>
          </w:p>
          <w:p w14:paraId="32B37FC9" w14:textId="77777777" w:rsidR="002A21AE" w:rsidRDefault="002A21AE">
            <w:pPr>
              <w:pStyle w:val="NotesText"/>
            </w:pPr>
            <w:r>
              <w:t xml:space="preserve">When the division is configured to alert the user of orders needed in the next </w:t>
            </w:r>
            <w:r w:rsidR="00D923F9">
              <w:t>specified</w:t>
            </w:r>
            <w:r>
              <w:t xml:space="preserve"> number of hours, VBECS also notifies the user of ordered components or ordered tests with a required time less than a </w:t>
            </w:r>
            <w:r w:rsidR="00D923F9">
              <w:t xml:space="preserve">specified </w:t>
            </w:r>
            <w:r>
              <w:t>number of hours in the future.</w:t>
            </w:r>
          </w:p>
          <w:p w14:paraId="2B39FEF0" w14:textId="77777777" w:rsidR="00B46D6D" w:rsidRDefault="00B46D6D">
            <w:pPr>
              <w:pStyle w:val="NotesText"/>
            </w:pPr>
          </w:p>
          <w:p w14:paraId="6AF60A83" w14:textId="77777777" w:rsidR="00B46D6D" w:rsidRDefault="00B46D6D" w:rsidP="00B46D6D">
            <w:pPr>
              <w:pStyle w:val="TableText"/>
              <w:ind w:left="720"/>
            </w:pPr>
            <w:r w:rsidRPr="00B46D6D">
              <w:rPr>
                <w:vanish/>
              </w:rPr>
              <w:t>BR_84.04</w:t>
            </w:r>
            <w:r w:rsidR="00EA5FF4">
              <w:rPr>
                <w:vanish/>
              </w:rPr>
              <w:t xml:space="preserve"> </w:t>
            </w:r>
            <w:r>
              <w:t>The system displays the following information for each entry in the summary:</w:t>
            </w:r>
          </w:p>
          <w:p w14:paraId="7BFE2ECF" w14:textId="77777777" w:rsidR="00B46D6D" w:rsidRDefault="00B46D6D" w:rsidP="000409B1">
            <w:pPr>
              <w:pStyle w:val="TableText"/>
              <w:numPr>
                <w:ilvl w:val="0"/>
                <w:numId w:val="59"/>
              </w:numPr>
              <w:ind w:left="1440"/>
            </w:pPr>
            <w:r>
              <w:t>Urgency</w:t>
            </w:r>
          </w:p>
          <w:p w14:paraId="6156B8B4" w14:textId="77777777" w:rsidR="00B46D6D" w:rsidRDefault="00B46D6D" w:rsidP="000409B1">
            <w:pPr>
              <w:pStyle w:val="TableText"/>
              <w:numPr>
                <w:ilvl w:val="0"/>
                <w:numId w:val="59"/>
              </w:numPr>
              <w:ind w:left="1440"/>
            </w:pPr>
            <w:r>
              <w:t>Patient Name</w:t>
            </w:r>
          </w:p>
          <w:p w14:paraId="56F8B4D2" w14:textId="77777777" w:rsidR="00B46D6D" w:rsidRDefault="00B46D6D" w:rsidP="000409B1">
            <w:pPr>
              <w:pStyle w:val="TableText"/>
              <w:numPr>
                <w:ilvl w:val="0"/>
                <w:numId w:val="59"/>
              </w:numPr>
              <w:ind w:left="1440"/>
            </w:pPr>
            <w:r>
              <w:lastRenderedPageBreak/>
              <w:t>Patient ID</w:t>
            </w:r>
          </w:p>
          <w:p w14:paraId="1E3DB78E" w14:textId="77777777" w:rsidR="00B46D6D" w:rsidRDefault="00B46D6D" w:rsidP="000409B1">
            <w:pPr>
              <w:pStyle w:val="TableText"/>
              <w:numPr>
                <w:ilvl w:val="0"/>
                <w:numId w:val="59"/>
              </w:numPr>
              <w:ind w:left="1440"/>
            </w:pPr>
            <w:r>
              <w:t>Ordered Item</w:t>
            </w:r>
          </w:p>
          <w:p w14:paraId="40B77F34" w14:textId="77777777" w:rsidR="00B46D6D" w:rsidRDefault="00B46D6D" w:rsidP="000409B1">
            <w:pPr>
              <w:pStyle w:val="TableText"/>
              <w:numPr>
                <w:ilvl w:val="0"/>
                <w:numId w:val="59"/>
              </w:numPr>
              <w:ind w:left="1440"/>
            </w:pPr>
            <w:r>
              <w:t>Wanted Date</w:t>
            </w:r>
          </w:p>
          <w:p w14:paraId="5A97C5B5" w14:textId="77777777" w:rsidR="00B46D6D" w:rsidRDefault="00B46D6D" w:rsidP="000409B1">
            <w:pPr>
              <w:pStyle w:val="TableText"/>
              <w:numPr>
                <w:ilvl w:val="0"/>
                <w:numId w:val="59"/>
              </w:numPr>
              <w:ind w:left="1440"/>
            </w:pPr>
            <w:r>
              <w:t>Lab Order ID</w:t>
            </w:r>
          </w:p>
          <w:p w14:paraId="0B88861A" w14:textId="77777777" w:rsidR="00B46D6D" w:rsidRDefault="00B46D6D" w:rsidP="000409B1">
            <w:pPr>
              <w:pStyle w:val="TableText"/>
              <w:numPr>
                <w:ilvl w:val="0"/>
                <w:numId w:val="59"/>
              </w:numPr>
              <w:ind w:left="1440"/>
            </w:pPr>
            <w:r>
              <w:t>CPRS Order ID</w:t>
            </w:r>
          </w:p>
          <w:p w14:paraId="0F8D42A7" w14:textId="77777777" w:rsidR="00B46D6D" w:rsidRDefault="00B46D6D" w:rsidP="00B46D6D">
            <w:pPr>
              <w:pStyle w:val="NotesText"/>
            </w:pPr>
          </w:p>
          <w:p w14:paraId="3942C4C7" w14:textId="77777777" w:rsidR="00B46D6D" w:rsidRDefault="00B46D6D" w:rsidP="00B46D6D">
            <w:pPr>
              <w:pStyle w:val="NotesText"/>
            </w:pPr>
            <w:r w:rsidRPr="00B46D6D">
              <w:rPr>
                <w:vanish/>
              </w:rPr>
              <w:t>BR_84.05</w:t>
            </w:r>
            <w:r w:rsidR="00EA5FF4">
              <w:rPr>
                <w:vanish/>
              </w:rPr>
              <w:t xml:space="preserve"> </w:t>
            </w:r>
            <w:r>
              <w:t>If the notification icon was already visible, the system appends new notification information to the summary. If it was not visible, the system displays only the new notification information in the summary.</w:t>
            </w:r>
          </w:p>
        </w:tc>
      </w:tr>
    </w:tbl>
    <w:p w14:paraId="6082CB31" w14:textId="77777777" w:rsidR="00A47414" w:rsidRDefault="00A47414" w:rsidP="0072673B">
      <w:pPr>
        <w:pStyle w:val="Heading3"/>
      </w:pPr>
    </w:p>
    <w:p w14:paraId="3E7C5C4A" w14:textId="77777777" w:rsidR="00A47414" w:rsidRDefault="00A47414">
      <w:pPr>
        <w:rPr>
          <w:rFonts w:ascii="Arial" w:hAnsi="Arial" w:cs="Arial"/>
          <w:b/>
          <w:bCs/>
          <w:sz w:val="26"/>
          <w:szCs w:val="26"/>
        </w:rPr>
      </w:pPr>
      <w:r>
        <w:br w:type="page"/>
      </w:r>
    </w:p>
    <w:p w14:paraId="6CDA990F" w14:textId="19312039" w:rsidR="00A47414" w:rsidRDefault="00A47414" w:rsidP="00A47414">
      <w:pPr>
        <w:pStyle w:val="Heading3"/>
      </w:pPr>
      <w:bookmarkStart w:id="516" w:name="_Toc47516742"/>
      <w:r w:rsidRPr="00A47414">
        <w:lastRenderedPageBreak/>
        <w:t>CPRS Order Status Alert</w:t>
      </w:r>
      <w:bookmarkEnd w:id="516"/>
      <w:r w:rsidRPr="00A47414">
        <w:fldChar w:fldCharType="begin"/>
      </w:r>
      <w:r w:rsidRPr="00A47414">
        <w:instrText xml:space="preserve"> XE “</w:instrText>
      </w:r>
      <w:r>
        <w:instrText>CPRS</w:instrText>
      </w:r>
      <w:r w:rsidRPr="00A47414">
        <w:instrText xml:space="preserve"> Order </w:instrText>
      </w:r>
      <w:r>
        <w:instrText xml:space="preserve">Status </w:instrText>
      </w:r>
      <w:r w:rsidRPr="00A47414">
        <w:instrText xml:space="preserve">Alert” </w:instrText>
      </w:r>
      <w:r w:rsidRPr="00A47414">
        <w:fldChar w:fldCharType="end"/>
      </w:r>
      <w:r w:rsidR="00CD5A0C">
        <w:t xml:space="preserve"> </w:t>
      </w:r>
      <w:r w:rsidR="00CD5A0C" w:rsidRPr="00CD5A0C">
        <w:rPr>
          <w:rFonts w:ascii="Arial Bold" w:hAnsi="Arial Bold"/>
          <w:vanish/>
        </w:rPr>
        <w:t>UC_84</w:t>
      </w:r>
    </w:p>
    <w:p w14:paraId="192EB795" w14:textId="325F2CA7" w:rsidR="00A47414" w:rsidRDefault="00A47414" w:rsidP="00A47414">
      <w:pPr>
        <w:pStyle w:val="BodyText"/>
      </w:pPr>
      <w:r>
        <w:t>An order’s status changes when it is a</w:t>
      </w:r>
      <w:r w:rsidRPr="0096379E">
        <w:t>ccepted, completed or cance</w:t>
      </w:r>
      <w:r w:rsidR="002F7E19">
        <w:t>l</w:t>
      </w:r>
      <w:r w:rsidRPr="0096379E">
        <w:t>led</w:t>
      </w:r>
      <w:r>
        <w:t xml:space="preserve">. </w:t>
      </w:r>
      <w:r w:rsidRPr="0096379E">
        <w:t xml:space="preserve">VBECS </w:t>
      </w:r>
      <w:r>
        <w:t xml:space="preserve">transmits these status changes to CPRS using a message queueing system so that CPRS reflects the same order status as VBECS. If the status transmission is successful, that message is removed from the queue, otherwise it stays for additional attempts. The </w:t>
      </w:r>
      <w:r w:rsidRPr="00796543">
        <w:rPr>
          <w:i/>
        </w:rPr>
        <w:t>CPRS Order Status Alert</w:t>
      </w:r>
      <w:r w:rsidRPr="00796543">
        <w:t xml:space="preserve"> (</w:t>
      </w:r>
      <w:r w:rsidR="001431F4">
        <w:fldChar w:fldCharType="begin"/>
      </w:r>
      <w:r w:rsidR="001431F4">
        <w:instrText xml:space="preserve"> REF _Ref18050663 \h </w:instrText>
      </w:r>
      <w:r w:rsidR="001431F4">
        <w:fldChar w:fldCharType="separate"/>
      </w:r>
      <w:r w:rsidR="004353ED">
        <w:t xml:space="preserve">Figure </w:t>
      </w:r>
      <w:r w:rsidR="004353ED">
        <w:rPr>
          <w:noProof/>
        </w:rPr>
        <w:t>115</w:t>
      </w:r>
      <w:r w:rsidR="001431F4">
        <w:fldChar w:fldCharType="end"/>
      </w:r>
      <w:r w:rsidRPr="00796543">
        <w:t>)</w:t>
      </w:r>
      <w:r>
        <w:t xml:space="preserve"> indicates the current transmission status by displaying one of the following icons:</w:t>
      </w:r>
    </w:p>
    <w:p w14:paraId="30458E98" w14:textId="77777777" w:rsidR="00A47414" w:rsidRDefault="00A47414" w:rsidP="00A47414">
      <w:pPr>
        <w:pStyle w:val="BodyText"/>
      </w:pPr>
      <w:r w:rsidRPr="00CE404D">
        <w:rPr>
          <w:b/>
          <w:noProof/>
        </w:rPr>
        <w:drawing>
          <wp:inline distT="0" distB="0" distL="0" distR="0" wp14:anchorId="1B5A36B3" wp14:editId="78FDBB2A">
            <wp:extent cx="161925" cy="161925"/>
            <wp:effectExtent l="0" t="0" r="9525" b="9525"/>
            <wp:docPr id="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3">
                      <a:extLst>
                        <a:ext uri="{C183D7F6-B498-43B3-948B-1728B52AA6E4}">
                          <adec:decorative xmlns:adec="http://schemas.microsoft.com/office/drawing/2017/decorative"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CE404D">
        <w:rPr>
          <w:b/>
        </w:rPr>
        <w:t xml:space="preserve"> </w:t>
      </w:r>
      <w:r>
        <w:rPr>
          <w:b/>
        </w:rPr>
        <w:t>CPRS Communications Error</w:t>
      </w:r>
      <w:r w:rsidRPr="00C81B15">
        <w:t>.</w:t>
      </w:r>
      <w:r>
        <w:t xml:space="preserve"> Some orders in CPRS will not reflect the same status as VBECS. Contact Customer Support to have the issue investigated and resolved. Most problems can typically be resolved by restarting the VBECS-OERR HL7 link in VistA.</w:t>
      </w:r>
    </w:p>
    <w:p w14:paraId="777C3149" w14:textId="40B305D3" w:rsidR="00A47414" w:rsidRDefault="00A47414" w:rsidP="00A47414">
      <w:pPr>
        <w:pStyle w:val="BodyText"/>
      </w:pPr>
      <w:r w:rsidRPr="00CE404D">
        <w:rPr>
          <w:b/>
          <w:noProof/>
        </w:rPr>
        <w:drawing>
          <wp:inline distT="0" distB="0" distL="0" distR="0" wp14:anchorId="36066409" wp14:editId="39022E2C">
            <wp:extent cx="152400" cy="152400"/>
            <wp:effectExtent l="0" t="0" r="0" b="0"/>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E404D">
        <w:rPr>
          <w:b/>
        </w:rPr>
        <w:t xml:space="preserve"> </w:t>
      </w:r>
      <w:r>
        <w:rPr>
          <w:b/>
        </w:rPr>
        <w:t>CPRS Communications Good</w:t>
      </w:r>
      <w:r w:rsidRPr="00CE404D">
        <w:t>.</w:t>
      </w:r>
      <w:r>
        <w:rPr>
          <w:b/>
        </w:rPr>
        <w:t xml:space="preserve"> </w:t>
      </w:r>
      <w:r w:rsidRPr="00CE404D">
        <w:t>All VBECS order</w:t>
      </w:r>
      <w:r>
        <w:t xml:space="preserve"> status message</w:t>
      </w:r>
      <w:r w:rsidR="00C96CC3">
        <w:t>s</w:t>
      </w:r>
      <w:r>
        <w:t xml:space="preserve"> have been sent to CPRS.</w:t>
      </w:r>
    </w:p>
    <w:p w14:paraId="0F050126" w14:textId="745260D0" w:rsidR="00A47414" w:rsidRDefault="00A47414" w:rsidP="00A47414">
      <w:pPr>
        <w:pStyle w:val="Caption"/>
      </w:pPr>
      <w:bookmarkStart w:id="517" w:name="_Ref18050663"/>
      <w:r>
        <w:t xml:space="preserve">Figure </w:t>
      </w:r>
      <w:r>
        <w:rPr>
          <w:noProof/>
        </w:rPr>
        <w:fldChar w:fldCharType="begin"/>
      </w:r>
      <w:r>
        <w:rPr>
          <w:noProof/>
        </w:rPr>
        <w:instrText xml:space="preserve"> SEQ Figure \* ARABIC </w:instrText>
      </w:r>
      <w:r>
        <w:rPr>
          <w:noProof/>
        </w:rPr>
        <w:fldChar w:fldCharType="separate"/>
      </w:r>
      <w:r w:rsidR="00022B7B">
        <w:rPr>
          <w:noProof/>
        </w:rPr>
        <w:t>115</w:t>
      </w:r>
      <w:r>
        <w:rPr>
          <w:noProof/>
        </w:rPr>
        <w:fldChar w:fldCharType="end"/>
      </w:r>
      <w:bookmarkEnd w:id="517"/>
      <w:r>
        <w:t>: Example of the CPRS Order Status Alert</w:t>
      </w:r>
    </w:p>
    <w:p w14:paraId="4E09C73A" w14:textId="77777777" w:rsidR="00A47414" w:rsidRDefault="00A47414" w:rsidP="00A47414">
      <w:pPr>
        <w:pStyle w:val="BodyText"/>
      </w:pPr>
      <w:r>
        <w:rPr>
          <w:noProof/>
        </w:rPr>
        <w:drawing>
          <wp:inline distT="0" distB="0" distL="0" distR="0" wp14:anchorId="45993D67" wp14:editId="23B227D3">
            <wp:extent cx="5943600" cy="1752600"/>
            <wp:effectExtent l="0" t="0" r="0" b="0"/>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14:paraId="19CC8C31" w14:textId="77777777" w:rsidR="00A47414" w:rsidRDefault="00A47414" w:rsidP="00A47414">
      <w:pPr>
        <w:pStyle w:val="Heading4"/>
      </w:pPr>
      <w:r>
        <w:t xml:space="preserve">Additional Information </w:t>
      </w:r>
    </w:p>
    <w:p w14:paraId="572AF463" w14:textId="77777777" w:rsidR="00A47414" w:rsidRPr="00341658" w:rsidRDefault="00A47414" w:rsidP="00A47414">
      <w:pPr>
        <w:pStyle w:val="ListBullet"/>
      </w:pPr>
      <w:r>
        <w:rPr>
          <w:rFonts w:ascii="Arial" w:hAnsi="Arial" w:cs="Arial"/>
          <w:vanish/>
          <w:spacing w:val="0"/>
          <w:sz w:val="18"/>
        </w:rPr>
        <w:t xml:space="preserve">BR_84.12 </w:t>
      </w:r>
      <w:r w:rsidRPr="00341658">
        <w:rPr>
          <w:spacing w:val="0"/>
        </w:rPr>
        <w:t xml:space="preserve">The </w:t>
      </w:r>
      <w:r w:rsidRPr="00796543">
        <w:rPr>
          <w:i/>
          <w:spacing w:val="0"/>
        </w:rPr>
        <w:t>CPRS Order Status Alert</w:t>
      </w:r>
      <w:r w:rsidRPr="00341658">
        <w:rPr>
          <w:spacing w:val="0"/>
        </w:rPr>
        <w:t xml:space="preserve"> checks for pending transmission messages when VBECS is started and </w:t>
      </w:r>
      <w:r>
        <w:rPr>
          <w:spacing w:val="0"/>
        </w:rPr>
        <w:t>will then refresh/recheck e</w:t>
      </w:r>
      <w:r w:rsidRPr="00341658">
        <w:rPr>
          <w:spacing w:val="0"/>
        </w:rPr>
        <w:t xml:space="preserve">very 10 minutes. The </w:t>
      </w:r>
      <w:r>
        <w:rPr>
          <w:spacing w:val="0"/>
        </w:rPr>
        <w:t xml:space="preserve">10-minute </w:t>
      </w:r>
      <w:r w:rsidRPr="00341658">
        <w:rPr>
          <w:spacing w:val="0"/>
        </w:rPr>
        <w:t>refresh interval is not configurable.</w:t>
      </w:r>
    </w:p>
    <w:p w14:paraId="25EE69D6" w14:textId="77777777" w:rsidR="00A47414" w:rsidRPr="00341658" w:rsidRDefault="00A47414" w:rsidP="00A47414">
      <w:pPr>
        <w:pStyle w:val="ListBullet"/>
      </w:pPr>
      <w:r>
        <w:t xml:space="preserve">Hovering over the alert icon will display a tooltip indicating </w:t>
      </w:r>
      <w:r w:rsidRPr="00341658">
        <w:t xml:space="preserve">how many messages (if any) </w:t>
      </w:r>
      <w:r>
        <w:t>were pending at the time of the last refresh,</w:t>
      </w:r>
      <w:r w:rsidRPr="00341658">
        <w:t xml:space="preserve"> as well as the </w:t>
      </w:r>
      <w:r>
        <w:t>time of the n</w:t>
      </w:r>
      <w:r w:rsidRPr="00341658">
        <w:t xml:space="preserve">ext </w:t>
      </w:r>
      <w:r>
        <w:t>refresh.</w:t>
      </w:r>
    </w:p>
    <w:p w14:paraId="465EF17C" w14:textId="77777777" w:rsidR="00A47414" w:rsidRPr="00341658" w:rsidRDefault="00A47414" w:rsidP="00A47414">
      <w:pPr>
        <w:pStyle w:val="ListBullet"/>
      </w:pPr>
      <w:r w:rsidRPr="00341658">
        <w:rPr>
          <w:vanish/>
          <w:spacing w:val="0"/>
        </w:rPr>
        <w:t>HoHover</w:t>
      </w:r>
      <w:r w:rsidRPr="00341658">
        <w:t>Order status messages are processed by the following service</w:t>
      </w:r>
      <w:r>
        <w:t>s:</w:t>
      </w:r>
    </w:p>
    <w:p w14:paraId="43630B79" w14:textId="77777777" w:rsidR="00A47414" w:rsidRPr="00341658" w:rsidRDefault="00A47414" w:rsidP="00A47414">
      <w:pPr>
        <w:pStyle w:val="ListBullet"/>
        <w:numPr>
          <w:ilvl w:val="1"/>
          <w:numId w:val="15"/>
        </w:numPr>
      </w:pPr>
      <w:r w:rsidRPr="00341658">
        <w:rPr>
          <w:vanish/>
          <w:spacing w:val="0"/>
        </w:rPr>
        <w:t>Se</w:t>
      </w:r>
      <w:r w:rsidRPr="00341658">
        <w:rPr>
          <w:b/>
          <w:spacing w:val="0"/>
        </w:rPr>
        <w:t>Sender</w:t>
      </w:r>
      <w:r w:rsidRPr="00341658">
        <w:rPr>
          <w:spacing w:val="0"/>
        </w:rPr>
        <w:t>: CPRS HL7 OERR (VBECS Interface</w:t>
      </w:r>
      <w:r>
        <w:rPr>
          <w:spacing w:val="0"/>
        </w:rPr>
        <w:t xml:space="preserve"> / Windows Service</w:t>
      </w:r>
      <w:r w:rsidRPr="00341658">
        <w:rPr>
          <w:spacing w:val="0"/>
        </w:rPr>
        <w:t>)</w:t>
      </w:r>
    </w:p>
    <w:p w14:paraId="49BBEA3D" w14:textId="77777777" w:rsidR="00A47414" w:rsidRDefault="00A47414" w:rsidP="00A47414">
      <w:pPr>
        <w:pStyle w:val="ListBullet"/>
        <w:numPr>
          <w:ilvl w:val="1"/>
          <w:numId w:val="15"/>
        </w:numPr>
      </w:pPr>
      <w:r w:rsidRPr="00341658">
        <w:rPr>
          <w:b/>
        </w:rPr>
        <w:t>Listener</w:t>
      </w:r>
      <w:r w:rsidRPr="00341658">
        <w:t>: VBECS-OERR (VistA HL7 Logical Link)</w:t>
      </w:r>
    </w:p>
    <w:p w14:paraId="4915F25D" w14:textId="77777777" w:rsidR="00A47414" w:rsidRPr="00341658" w:rsidRDefault="00A47414" w:rsidP="00A47414">
      <w:pPr>
        <w:pStyle w:val="ListBullet"/>
        <w:numPr>
          <w:ilvl w:val="0"/>
          <w:numId w:val="0"/>
        </w:numPr>
        <w:ind w:left="648" w:hanging="360"/>
      </w:pPr>
      <w:r>
        <w:t xml:space="preserve">Refer to the </w:t>
      </w:r>
      <w:r w:rsidRPr="00CE404D">
        <w:rPr>
          <w:i/>
        </w:rPr>
        <w:t>VBECS Administrator User Guide</w:t>
      </w:r>
      <w:r>
        <w:t xml:space="preserve"> for additional information on VBECS interfaces.</w:t>
      </w:r>
    </w:p>
    <w:p w14:paraId="69FFA935" w14:textId="77777777" w:rsidR="00A47414" w:rsidRDefault="00A47414" w:rsidP="00A47414">
      <w:pPr>
        <w:pStyle w:val="Heading4"/>
        <w:rPr>
          <w:b w:val="0"/>
        </w:rPr>
      </w:pPr>
      <w:r>
        <w:t>User Roles with Access to This Option</w:t>
      </w:r>
      <w:r>
        <w:rPr>
          <w:b w:val="0"/>
        </w:rPr>
        <w:t xml:space="preserve"> </w:t>
      </w:r>
    </w:p>
    <w:p w14:paraId="100B44C7" w14:textId="77777777" w:rsidR="00A47414" w:rsidRDefault="00A47414" w:rsidP="00A47414">
      <w:pPr>
        <w:pStyle w:val="Roles"/>
        <w:rPr>
          <w:snapToGrid w:val="0"/>
        </w:rPr>
      </w:pPr>
      <w:r>
        <w:t>All users</w:t>
      </w:r>
    </w:p>
    <w:p w14:paraId="4BDE22A7" w14:textId="14B9FF1B" w:rsidR="002A21AE" w:rsidRDefault="0072673B" w:rsidP="0072673B">
      <w:pPr>
        <w:pStyle w:val="Heading3"/>
      </w:pPr>
      <w:r>
        <w:br w:type="page"/>
      </w:r>
      <w:bookmarkStart w:id="518" w:name="_Toc47516743"/>
      <w:r w:rsidR="00057948">
        <w:rPr>
          <w:noProof/>
        </w:rPr>
        <w:lastRenderedPageBreak/>
        <w:drawing>
          <wp:inline distT="0" distB="0" distL="0" distR="0" wp14:anchorId="48474372" wp14:editId="70F34D72">
            <wp:extent cx="166370" cy="156845"/>
            <wp:effectExtent l="0" t="0" r="5080" b="0"/>
            <wp:docPr id="216" name="Picture 216"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2A21AE">
        <w:t xml:space="preserve"> Display Patient Update Alerts</w:t>
      </w:r>
      <w:bookmarkEnd w:id="518"/>
      <w:r w:rsidR="002A21AE">
        <w:fldChar w:fldCharType="begin"/>
      </w:r>
      <w:r w:rsidR="002A21AE">
        <w:instrText xml:space="preserve"> XE </w:instrText>
      </w:r>
      <w:r w:rsidR="00FA7E65">
        <w:instrText>“</w:instrText>
      </w:r>
      <w:r w:rsidR="002A21AE">
        <w:instrText>Display Patient Update Alerts</w:instrText>
      </w:r>
      <w:r w:rsidR="00FA7E65">
        <w:instrText>”</w:instrText>
      </w:r>
      <w:r w:rsidR="002A21AE">
        <w:instrText xml:space="preserve"> </w:instrText>
      </w:r>
      <w:r w:rsidR="002A21AE">
        <w:fldChar w:fldCharType="end"/>
      </w:r>
      <w:r w:rsidR="002A21AE">
        <w:t xml:space="preserve"> </w:t>
      </w:r>
      <w:r w:rsidR="002A21AE">
        <w:rPr>
          <w:vanish/>
          <w:sz w:val="22"/>
        </w:rPr>
        <w:t>UC_84</w:t>
      </w:r>
    </w:p>
    <w:p w14:paraId="23E43557" w14:textId="77777777" w:rsidR="002A21AE" w:rsidRDefault="002A21AE" w:rsidP="00FA7E65">
      <w:pPr>
        <w:pStyle w:val="BodyText"/>
      </w:pPr>
      <w:r>
        <w:t xml:space="preserve">VBECS notifies the user of patient update, death, and merge events. </w:t>
      </w:r>
    </w:p>
    <w:p w14:paraId="04DF07D3" w14:textId="77777777" w:rsidR="002A21AE" w:rsidRDefault="002A21AE">
      <w:pPr>
        <w:pStyle w:val="Heading4"/>
      </w:pPr>
      <w:r>
        <w:t>Assumptions</w:t>
      </w:r>
      <w:r>
        <w:rPr>
          <w:b w:val="0"/>
        </w:rPr>
        <w:t xml:space="preserve"> </w:t>
      </w:r>
    </w:p>
    <w:p w14:paraId="7B3BEC7C" w14:textId="77777777" w:rsidR="002A21AE" w:rsidRDefault="002A21AE">
      <w:pPr>
        <w:pStyle w:val="ListBullet"/>
      </w:pPr>
      <w:r>
        <w:t xml:space="preserve">A patient demographic update is received from </w:t>
      </w:r>
      <w:r w:rsidR="00CA0045" w:rsidRPr="00CA0045">
        <w:rPr>
          <w:bCs/>
        </w:rPr>
        <w:t>VistA</w:t>
      </w:r>
      <w:r>
        <w:t xml:space="preserve"> for the user’s division for a VBECS patient with an active order.</w:t>
      </w:r>
    </w:p>
    <w:p w14:paraId="44EC5226" w14:textId="77777777" w:rsidR="002A21AE" w:rsidRDefault="002A21AE">
      <w:pPr>
        <w:pStyle w:val="Heading4"/>
      </w:pPr>
      <w:r>
        <w:t xml:space="preserve">Outcome </w:t>
      </w:r>
    </w:p>
    <w:p w14:paraId="39185472" w14:textId="77777777" w:rsidR="002A21AE" w:rsidRDefault="002A21AE">
      <w:pPr>
        <w:pStyle w:val="ListBullet"/>
      </w:pPr>
      <w:r>
        <w:t>The patient demographics are updated in VBECS.</w:t>
      </w:r>
    </w:p>
    <w:p w14:paraId="756C6EAE" w14:textId="77777777" w:rsidR="002A21AE" w:rsidRDefault="002A21AE">
      <w:pPr>
        <w:pStyle w:val="Heading4"/>
        <w:rPr>
          <w:b w:val="0"/>
        </w:rPr>
      </w:pPr>
      <w:r>
        <w:t>Limitations and Restrictions</w:t>
      </w:r>
      <w:r>
        <w:rPr>
          <w:b w:val="0"/>
        </w:rPr>
        <w:t xml:space="preserve"> </w:t>
      </w:r>
    </w:p>
    <w:p w14:paraId="5BDEFE2C" w14:textId="77777777" w:rsidR="00425BC3" w:rsidRDefault="00425BC3" w:rsidP="00425BC3">
      <w:pPr>
        <w:pStyle w:val="ListBulle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p w14:paraId="14C9CCA8" w14:textId="77777777" w:rsidR="00562E66" w:rsidRDefault="00562E66" w:rsidP="00562E66">
      <w:pPr>
        <w:pStyle w:val="ListBullet"/>
      </w:pPr>
      <w:r>
        <w:t>Patient updates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rsidRPr="00DD022C">
        <w:t>” field.</w:t>
      </w:r>
    </w:p>
    <w:p w14:paraId="1CBD0760" w14:textId="77777777" w:rsidR="001C13FD" w:rsidRPr="003A360F" w:rsidRDefault="001C13FD" w:rsidP="00562E66">
      <w:pPr>
        <w:pStyle w:val="ListBullet"/>
      </w:pPr>
      <w:r w:rsidRPr="003A360F">
        <w:t xml:space="preserve">Patient update alerts only display when </w:t>
      </w:r>
      <w:r w:rsidR="001F1E91">
        <w:t xml:space="preserve">active </w:t>
      </w:r>
      <w:r w:rsidRPr="003A360F">
        <w:t xml:space="preserve">component </w:t>
      </w:r>
      <w:r w:rsidR="001F1E91">
        <w:t xml:space="preserve">or diagnostic test </w:t>
      </w:r>
      <w:r w:rsidRPr="003A360F">
        <w:t xml:space="preserve">orders are </w:t>
      </w:r>
      <w:r w:rsidR="00802EE9">
        <w:t xml:space="preserve">pending or </w:t>
      </w:r>
      <w:r w:rsidRPr="003A360F">
        <w:t>active</w:t>
      </w:r>
      <w:r w:rsidR="00F60A24">
        <w:rPr>
          <w:rStyle w:val="FootnoteReference"/>
        </w:rPr>
        <w:footnoteReference w:id="4"/>
      </w:r>
      <w:r w:rsidRPr="003A360F">
        <w:t xml:space="preserve"> at the time the update occurs.</w:t>
      </w:r>
      <w:r w:rsidR="00F15743" w:rsidRPr="003A360F">
        <w:t xml:space="preserve"> </w:t>
      </w:r>
      <w:r w:rsidR="00F15743" w:rsidRPr="003A360F">
        <w:rPr>
          <w:vanish/>
        </w:rPr>
        <w:t>DR 4323</w:t>
      </w:r>
      <w:r w:rsidR="001F1E91">
        <w:rPr>
          <w:vanish/>
        </w:rPr>
        <w:t xml:space="preserve"> BR_68.02</w:t>
      </w:r>
    </w:p>
    <w:p w14:paraId="1AD0A626" w14:textId="77777777" w:rsidR="002A21AE" w:rsidRDefault="002A21AE">
      <w:pPr>
        <w:pStyle w:val="Heading4"/>
      </w:pPr>
      <w:r>
        <w:t xml:space="preserve">Additional Information </w:t>
      </w:r>
    </w:p>
    <w:p w14:paraId="5182C317" w14:textId="77777777" w:rsidR="002A21AE" w:rsidRDefault="002A21AE">
      <w:pPr>
        <w:pStyle w:val="ListBullet"/>
      </w:pPr>
      <w:r>
        <w:t>None</w:t>
      </w:r>
    </w:p>
    <w:p w14:paraId="2083278B" w14:textId="77777777" w:rsidR="002A21AE" w:rsidRDefault="002A21AE">
      <w:pPr>
        <w:pStyle w:val="Heading4"/>
        <w:rPr>
          <w:b w:val="0"/>
        </w:rPr>
      </w:pPr>
      <w:r>
        <w:t>User Roles with Access to This Option</w:t>
      </w:r>
      <w:r>
        <w:rPr>
          <w:b w:val="0"/>
        </w:rPr>
        <w:t xml:space="preserve"> </w:t>
      </w:r>
    </w:p>
    <w:p w14:paraId="6290BF55" w14:textId="77777777" w:rsidR="002A21AE" w:rsidRDefault="00DF031C">
      <w:pPr>
        <w:pStyle w:val="Roles"/>
        <w:rPr>
          <w:snapToGrid w:val="0"/>
        </w:rPr>
      </w:pPr>
      <w:r>
        <w:t>All users</w:t>
      </w:r>
    </w:p>
    <w:p w14:paraId="55D5FCA3" w14:textId="77777777" w:rsidR="00A94A90" w:rsidRDefault="00A94A90">
      <w:pPr>
        <w:rPr>
          <w:rFonts w:ascii="Arial" w:hAnsi="Arial"/>
          <w:b/>
          <w:sz w:val="22"/>
        </w:rPr>
      </w:pPr>
      <w:r>
        <w:br w:type="page"/>
      </w:r>
    </w:p>
    <w:p w14:paraId="660916CA" w14:textId="3AC294DF" w:rsidR="002A21AE" w:rsidRDefault="002A21AE">
      <w:pPr>
        <w:pStyle w:val="Heading4"/>
      </w:pPr>
      <w:r>
        <w:lastRenderedPageBreak/>
        <w:t>Display Patient Update Alerts</w:t>
      </w:r>
    </w:p>
    <w:p w14:paraId="05BC2757" w14:textId="77777777" w:rsidR="002A21AE" w:rsidRDefault="002A21AE" w:rsidP="00FA7E65">
      <w:pPr>
        <w:pStyle w:val="BodyText"/>
      </w:pPr>
      <w:r>
        <w:t xml:space="preserve">VBECS notifies the user that patient updates occurred and allows him to view additional details.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8E7A116" w14:textId="77777777">
        <w:trPr>
          <w:cantSplit/>
          <w:tblHeader/>
        </w:trPr>
        <w:tc>
          <w:tcPr>
            <w:tcW w:w="3240" w:type="dxa"/>
            <w:shd w:val="pct30" w:color="auto" w:fill="FFFFFF"/>
            <w:vAlign w:val="bottom"/>
          </w:tcPr>
          <w:p w14:paraId="1E3DF3EC" w14:textId="77777777" w:rsidR="002A21AE" w:rsidRDefault="002A21AE">
            <w:pPr>
              <w:pStyle w:val="TableText"/>
              <w:rPr>
                <w:b/>
              </w:rPr>
            </w:pPr>
            <w:r>
              <w:rPr>
                <w:b/>
              </w:rPr>
              <w:t>User Action</w:t>
            </w:r>
          </w:p>
        </w:tc>
        <w:tc>
          <w:tcPr>
            <w:tcW w:w="6120" w:type="dxa"/>
            <w:shd w:val="pct30" w:color="auto" w:fill="FFFFFF"/>
            <w:vAlign w:val="bottom"/>
          </w:tcPr>
          <w:p w14:paraId="49C36ADE" w14:textId="77777777" w:rsidR="002A21AE" w:rsidRDefault="002A21AE">
            <w:pPr>
              <w:pStyle w:val="TableText"/>
              <w:rPr>
                <w:b/>
              </w:rPr>
            </w:pPr>
            <w:r>
              <w:rPr>
                <w:b/>
              </w:rPr>
              <w:t>VBECS</w:t>
            </w:r>
          </w:p>
        </w:tc>
      </w:tr>
      <w:tr w:rsidR="002A21AE" w14:paraId="572FD4A9" w14:textId="77777777">
        <w:trPr>
          <w:trHeight w:val="403"/>
        </w:trPr>
        <w:tc>
          <w:tcPr>
            <w:tcW w:w="3240" w:type="dxa"/>
          </w:tcPr>
          <w:p w14:paraId="191BAC0D" w14:textId="77777777" w:rsidR="002A21AE" w:rsidRDefault="002A21AE">
            <w:pPr>
              <w:pStyle w:val="TableTextNumbers"/>
            </w:pPr>
            <w:r>
              <w:t xml:space="preserve">Hold the mouse over the </w:t>
            </w:r>
            <w:r w:rsidR="00D57F25">
              <w:t>Patient Alert icon</w:t>
            </w:r>
            <w:r>
              <w:t xml:space="preserve"> to view a tool tip, or </w:t>
            </w:r>
          </w:p>
          <w:p w14:paraId="55A42725" w14:textId="77777777" w:rsidR="002A21AE" w:rsidRDefault="002A21AE">
            <w:pPr>
              <w:pStyle w:val="TableTextNumbersContinued"/>
            </w:pPr>
          </w:p>
          <w:p w14:paraId="157E87AB" w14:textId="77777777" w:rsidR="002A21AE" w:rsidRDefault="002A21AE">
            <w:pPr>
              <w:pStyle w:val="TableTextNumbersContinued"/>
            </w:pPr>
            <w:r>
              <w:rPr>
                <w:rFonts w:cs="Arial"/>
                <w:vanish/>
              </w:rPr>
              <w:t xml:space="preserve">BR_84.08 </w:t>
            </w:r>
            <w:r>
              <w:t xml:space="preserve">Click </w:t>
            </w:r>
            <w:r w:rsidR="00057948">
              <w:rPr>
                <w:noProof/>
              </w:rPr>
              <w:drawing>
                <wp:inline distT="0" distB="0" distL="0" distR="0" wp14:anchorId="40EEF0DF" wp14:editId="299B6890">
                  <wp:extent cx="166370" cy="156845"/>
                  <wp:effectExtent l="0" t="0" r="5080" b="0"/>
                  <wp:docPr id="217" name="Picture 217"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to view a menu and select </w:t>
            </w:r>
            <w:r>
              <w:rPr>
                <w:b/>
              </w:rPr>
              <w:t>Updated Patients</w:t>
            </w:r>
            <w:r>
              <w:t xml:space="preserve">, </w:t>
            </w:r>
            <w:r>
              <w:rPr>
                <w:b/>
              </w:rPr>
              <w:t>Deceased Patients</w:t>
            </w:r>
            <w:r>
              <w:t xml:space="preserve">, or </w:t>
            </w:r>
            <w:r>
              <w:rPr>
                <w:b/>
              </w:rPr>
              <w:t xml:space="preserve">Patient Merge </w:t>
            </w:r>
            <w:r>
              <w:t xml:space="preserve">to view the updates. </w:t>
            </w:r>
          </w:p>
          <w:p w14:paraId="32275AB4" w14:textId="77777777" w:rsidR="002A21AE" w:rsidRDefault="002A21AE">
            <w:pPr>
              <w:pStyle w:val="TableTextNumbersContinued"/>
            </w:pPr>
          </w:p>
          <w:p w14:paraId="2ACF6BFB" w14:textId="77777777" w:rsidR="002A21AE" w:rsidRDefault="002A21AE">
            <w:pPr>
              <w:pStyle w:val="TableTextNumbersContinued"/>
            </w:pPr>
            <w:r>
              <w:t xml:space="preserve">Click </w:t>
            </w:r>
            <w:r w:rsidR="00057948">
              <w:rPr>
                <w:noProof/>
              </w:rPr>
              <w:drawing>
                <wp:inline distT="0" distB="0" distL="0" distR="0" wp14:anchorId="4A073614" wp14:editId="11B267F9">
                  <wp:extent cx="166370" cy="156845"/>
                  <wp:effectExtent l="0" t="0" r="5080" b="0"/>
                  <wp:docPr id="218" name="Picture 218"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again to hide the menu.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19" w:author="Blalock, David (Leidos)" w:date="2020-06-15T14:09:00Z" w:original="0."/>
              </w:fldChar>
            </w:r>
          </w:p>
        </w:tc>
        <w:tc>
          <w:tcPr>
            <w:tcW w:w="6120" w:type="dxa"/>
          </w:tcPr>
          <w:p w14:paraId="726E45AF" w14:textId="77777777" w:rsidR="002A21AE" w:rsidRDefault="002A21AE">
            <w:pPr>
              <w:pStyle w:val="TableTextBullet"/>
            </w:pPr>
            <w:r>
              <w:rPr>
                <w:rFonts w:cs="Arial"/>
                <w:vanish/>
              </w:rPr>
              <w:t xml:space="preserve">BR_84.06 </w:t>
            </w:r>
            <w:r>
              <w:t xml:space="preserve">Displays a </w:t>
            </w:r>
            <w:r w:rsidR="00D57F25">
              <w:t>Patient Alert icon</w:t>
            </w:r>
            <w:r>
              <w:t xml:space="preserve"> in the status bar when it receives a patient update</w:t>
            </w:r>
            <w:r w:rsidR="008D6720">
              <w:t xml:space="preserve"> or </w:t>
            </w:r>
            <w:r>
              <w:t>death</w:t>
            </w:r>
            <w:r w:rsidR="008D6720">
              <w:t xml:space="preserve"> event message</w:t>
            </w:r>
            <w:r>
              <w:rPr>
                <w:b/>
                <w:bCs/>
              </w:rPr>
              <w:t xml:space="preserve"> </w:t>
            </w:r>
            <w:r>
              <w:t>and the patient has active or pending orders in the user’s VBECS division.</w:t>
            </w:r>
          </w:p>
          <w:p w14:paraId="0B74520C" w14:textId="77777777" w:rsidR="008B7F48" w:rsidRPr="00B46D6D" w:rsidRDefault="008B7F48">
            <w:pPr>
              <w:pStyle w:val="TableTextBullet"/>
            </w:pPr>
            <w:r>
              <w:rPr>
                <w:rFonts w:cs="Arial"/>
              </w:rPr>
              <w:t xml:space="preserve">Displays a </w:t>
            </w:r>
            <w:r w:rsidR="00D57F25">
              <w:rPr>
                <w:rFonts w:cs="Arial"/>
              </w:rPr>
              <w:t>Patient Alert icon</w:t>
            </w:r>
            <w:r>
              <w:rPr>
                <w:rFonts w:cs="Arial"/>
              </w:rPr>
              <w:t xml:space="preserve"> in the status bar when it receives a merge event message from VistA.</w:t>
            </w:r>
          </w:p>
          <w:p w14:paraId="087C596D" w14:textId="77777777" w:rsidR="00B46D6D" w:rsidRDefault="00B46D6D">
            <w:pPr>
              <w:pStyle w:val="TableTextBullet"/>
            </w:pPr>
            <w:r w:rsidRPr="00B46D6D">
              <w:rPr>
                <w:vanish/>
              </w:rPr>
              <w:t>BR_84.10</w:t>
            </w:r>
            <w:r>
              <w:t>The system displays a patient update or merge icon alert to all users until all merge events are cleared and all updates, including death notices are viewed.</w:t>
            </w:r>
          </w:p>
          <w:p w14:paraId="257F4D84" w14:textId="77777777" w:rsidR="002A21AE" w:rsidRDefault="002A21AE" w:rsidP="005E431D">
            <w:pPr>
              <w:pStyle w:val="TableText"/>
            </w:pPr>
          </w:p>
          <w:p w14:paraId="1FCD8D28" w14:textId="356B34E9" w:rsidR="002A21AE" w:rsidRDefault="002A21AE">
            <w:pPr>
              <w:pStyle w:val="TableText"/>
              <w:rPr>
                <w:b/>
                <w:bCs/>
                <w:szCs w:val="18"/>
              </w:rPr>
            </w:pPr>
            <w:r>
              <w:rPr>
                <w:b/>
                <w:bCs/>
                <w:szCs w:val="18"/>
              </w:rPr>
              <w:t>NOTES</w:t>
            </w:r>
          </w:p>
          <w:p w14:paraId="2BAD06F5" w14:textId="77777777" w:rsidR="002A21AE" w:rsidRDefault="002A21AE">
            <w:pPr>
              <w:pStyle w:val="NotesText"/>
            </w:pPr>
          </w:p>
          <w:p w14:paraId="27F0AD29" w14:textId="77777777" w:rsidR="002A21AE" w:rsidRDefault="002A21AE">
            <w:pPr>
              <w:pStyle w:val="NotesText"/>
            </w:pPr>
            <w:r>
              <w:t xml:space="preserve">The user may also select </w:t>
            </w:r>
            <w:r>
              <w:rPr>
                <w:b/>
              </w:rPr>
              <w:t>Patients</w:t>
            </w:r>
            <w:r>
              <w:t xml:space="preserve"> from the main menu, </w:t>
            </w:r>
            <w:r>
              <w:rPr>
                <w:b/>
              </w:rPr>
              <w:t>Patient Updates</w:t>
            </w:r>
            <w:r>
              <w:t xml:space="preserve">, and </w:t>
            </w:r>
            <w:r>
              <w:rPr>
                <w:b/>
              </w:rPr>
              <w:t>Updated Patients</w:t>
            </w:r>
            <w:r>
              <w:t xml:space="preserve">, </w:t>
            </w:r>
            <w:r>
              <w:rPr>
                <w:b/>
              </w:rPr>
              <w:t>Deceased Patients</w:t>
            </w:r>
            <w:r>
              <w:t xml:space="preserve">, or </w:t>
            </w:r>
            <w:r>
              <w:rPr>
                <w:b/>
              </w:rPr>
              <w:t xml:space="preserve">Patient Merge </w:t>
            </w:r>
            <w:r>
              <w:t>to view the updates.</w:t>
            </w:r>
          </w:p>
        </w:tc>
      </w:tr>
    </w:tbl>
    <w:p w14:paraId="60FE3E45" w14:textId="77777777" w:rsidR="002A21AE" w:rsidRDefault="0072673B" w:rsidP="0072673B">
      <w:pPr>
        <w:pStyle w:val="Heading3"/>
      </w:pPr>
      <w:r>
        <w:br w:type="page"/>
      </w:r>
      <w:bookmarkStart w:id="520" w:name="_Toc47516744"/>
      <w:r w:rsidR="00057948">
        <w:rPr>
          <w:noProof/>
        </w:rPr>
        <w:lastRenderedPageBreak/>
        <w:drawing>
          <wp:inline distT="0" distB="0" distL="0" distR="0" wp14:anchorId="70C05E2A" wp14:editId="1EE97835">
            <wp:extent cx="166370" cy="156845"/>
            <wp:effectExtent l="0" t="0" r="5080" b="0"/>
            <wp:docPr id="219" name="Picture 219"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2A21AE">
        <w:t xml:space="preserve"> </w:t>
      </w:r>
      <w:bookmarkStart w:id="521" w:name="there"/>
      <w:bookmarkEnd w:id="521"/>
      <w:r w:rsidR="002A21AE">
        <w:t>Display Patient Merge Alerts</w:t>
      </w:r>
      <w:bookmarkEnd w:id="520"/>
      <w:r w:rsidR="002A21AE">
        <w:fldChar w:fldCharType="begin"/>
      </w:r>
      <w:r w:rsidR="002A21AE">
        <w:instrText xml:space="preserve"> XE </w:instrText>
      </w:r>
      <w:r w:rsidR="00FA7E65">
        <w:instrText>“</w:instrText>
      </w:r>
      <w:r w:rsidR="002A21AE">
        <w:instrText>Display Patient Merge Alerts</w:instrText>
      </w:r>
      <w:r w:rsidR="00FA7E65">
        <w:instrText>”</w:instrText>
      </w:r>
      <w:r w:rsidR="002A21AE">
        <w:instrText xml:space="preserve"> </w:instrText>
      </w:r>
      <w:r w:rsidR="002A21AE">
        <w:fldChar w:fldCharType="end"/>
      </w:r>
      <w:r w:rsidR="002A21AE">
        <w:t xml:space="preserve"> </w:t>
      </w:r>
      <w:r w:rsidR="002A21AE">
        <w:rPr>
          <w:vanish/>
          <w:sz w:val="22"/>
        </w:rPr>
        <w:t>UC_84</w:t>
      </w:r>
    </w:p>
    <w:p w14:paraId="14A7C5F8" w14:textId="77777777" w:rsidR="002A21AE" w:rsidRDefault="002A21AE" w:rsidP="00FA7E65">
      <w:pPr>
        <w:pStyle w:val="BodyText"/>
      </w:pPr>
      <w:r>
        <w:t xml:space="preserve">VBECS notifies the user of </w:t>
      </w:r>
      <w:r w:rsidR="003549BA">
        <w:t xml:space="preserve">VistA </w:t>
      </w:r>
      <w:r>
        <w:t>patient merges.</w:t>
      </w:r>
    </w:p>
    <w:p w14:paraId="036279F6" w14:textId="77777777" w:rsidR="002A21AE" w:rsidRDefault="002A21AE">
      <w:pPr>
        <w:pStyle w:val="Heading4"/>
      </w:pPr>
      <w:r>
        <w:t>Assumptions</w:t>
      </w:r>
      <w:r>
        <w:rPr>
          <w:b w:val="0"/>
        </w:rPr>
        <w:t xml:space="preserve"> </w:t>
      </w:r>
    </w:p>
    <w:p w14:paraId="73ED950D" w14:textId="77777777" w:rsidR="002A21AE" w:rsidRDefault="002A21AE">
      <w:pPr>
        <w:pStyle w:val="ListBullet"/>
      </w:pPr>
      <w:r>
        <w:t xml:space="preserve">A patient demographic merge alert is received from </w:t>
      </w:r>
      <w:r w:rsidR="00CA0045" w:rsidRPr="00CA0045">
        <w:rPr>
          <w:bCs/>
        </w:rPr>
        <w:t>VistA</w:t>
      </w:r>
      <w:r>
        <w:t xml:space="preserve"> for the user’s division for a VBECS patient.</w:t>
      </w:r>
    </w:p>
    <w:p w14:paraId="7C7C06E2" w14:textId="77777777" w:rsidR="002A21AE" w:rsidRDefault="002A21AE">
      <w:pPr>
        <w:pStyle w:val="Heading4"/>
      </w:pPr>
      <w:r>
        <w:t xml:space="preserve">Outcome </w:t>
      </w:r>
    </w:p>
    <w:p w14:paraId="3D211359" w14:textId="77777777" w:rsidR="002A21AE" w:rsidRDefault="008A1BFD">
      <w:pPr>
        <w:pStyle w:val="ListBullet"/>
      </w:pPr>
      <w:r>
        <w:t>VBECS notified the user that</w:t>
      </w:r>
      <w:r w:rsidR="00BF053B">
        <w:t xml:space="preserve"> </w:t>
      </w:r>
      <w:r w:rsidR="002A21AE">
        <w:t xml:space="preserve">patient </w:t>
      </w:r>
      <w:r>
        <w:t>records were</w:t>
      </w:r>
      <w:r w:rsidR="002A21AE">
        <w:t xml:space="preserve"> merged in </w:t>
      </w:r>
      <w:r>
        <w:t xml:space="preserve">VistA and that </w:t>
      </w:r>
      <w:r w:rsidR="008D6720">
        <w:t>the user must take action</w:t>
      </w:r>
      <w:r>
        <w:t xml:space="preserve"> to match the records in VBECS</w:t>
      </w:r>
      <w:r w:rsidR="002A21AE">
        <w:t>.</w:t>
      </w:r>
    </w:p>
    <w:p w14:paraId="38F011ED" w14:textId="77777777" w:rsidR="002A21AE" w:rsidRDefault="002A21AE">
      <w:pPr>
        <w:pStyle w:val="Heading4"/>
        <w:rPr>
          <w:b w:val="0"/>
        </w:rPr>
      </w:pPr>
      <w:r>
        <w:t>Limitations and Restrictions</w:t>
      </w:r>
      <w:r>
        <w:rPr>
          <w:b w:val="0"/>
        </w:rPr>
        <w:t xml:space="preserve"> </w:t>
      </w:r>
    </w:p>
    <w:p w14:paraId="6CEC8DB5" w14:textId="77777777" w:rsidR="00132178" w:rsidRDefault="00F10EB3" w:rsidP="00132178">
      <w:pPr>
        <w:pStyle w:val="ListBullet"/>
      </w:pPr>
      <w:r>
        <w:t xml:space="preserve">VBECS does not notify users of additional VistA patient updates or merges while the icon is displayed. </w:t>
      </w:r>
      <w:r w:rsidR="00132178">
        <w:rPr>
          <w:rFonts w:cs="Arial"/>
          <w:vanish/>
        </w:rPr>
        <w:t xml:space="preserve">DR 2,525 </w:t>
      </w:r>
      <w:r w:rsidR="00132178">
        <w:t>When a user views an update and there is a</w:t>
      </w:r>
      <w:r w:rsidR="008B31EE">
        <w:t>n unprocessed VistA</w:t>
      </w:r>
      <w:r w:rsidR="00132178">
        <w:t xml:space="preserve"> patient merge, the </w:t>
      </w:r>
      <w:r w:rsidR="00D57F25">
        <w:t>Patient Alert icon</w:t>
      </w:r>
      <w:r w:rsidR="00132178">
        <w:t xml:space="preserve"> remains on the screen until the Traditional Supervisor </w:t>
      </w:r>
      <w:r w:rsidR="008B31EE">
        <w:t>updates the patient records</w:t>
      </w:r>
      <w:r w:rsidR="00132178">
        <w:t xml:space="preserve"> and clears the icon. </w:t>
      </w:r>
    </w:p>
    <w:p w14:paraId="4A054613" w14:textId="77777777" w:rsidR="002A21AE" w:rsidRDefault="002A21AE">
      <w:pPr>
        <w:pStyle w:val="Heading4"/>
      </w:pPr>
      <w:r>
        <w:t xml:space="preserve">Additional Information </w:t>
      </w:r>
    </w:p>
    <w:p w14:paraId="475E2157" w14:textId="77777777" w:rsidR="002A21AE" w:rsidRDefault="00B473F5">
      <w:pPr>
        <w:pStyle w:val="ListBullet"/>
      </w:pPr>
      <w:r w:rsidRPr="00B473F5">
        <w:rPr>
          <w:vanish/>
        </w:rPr>
        <w:t xml:space="preserve">DR 2,527 </w:t>
      </w:r>
      <w:r>
        <w:t xml:space="preserve">VBECS notifies users of </w:t>
      </w:r>
      <w:r w:rsidR="000319CE">
        <w:t xml:space="preserve">VistA </w:t>
      </w:r>
      <w:r>
        <w:t xml:space="preserve">patient merges until a Traditional Supervisor clears the </w:t>
      </w:r>
      <w:r w:rsidR="000319CE">
        <w:t>Patient Alert icon</w:t>
      </w:r>
      <w:r>
        <w:t xml:space="preserve">. </w:t>
      </w:r>
      <w:r w:rsidR="008D12CC">
        <w:t>See Patient Merge for instructions.</w:t>
      </w:r>
    </w:p>
    <w:p w14:paraId="0131E9AA" w14:textId="77777777" w:rsidR="00BA4D88" w:rsidRDefault="00BA4D88">
      <w:pPr>
        <w:pStyle w:val="ListBullet"/>
      </w:pPr>
      <w:r>
        <w:rPr>
          <w:vanish/>
        </w:rPr>
        <w:t xml:space="preserve">BR_84.07 </w:t>
      </w:r>
      <w:r>
        <w:t>VBECS displays an alert to users for a VistA patient merge event if either the merge-from or merge-to patient exists in the VBECS system when the merge message is received.</w:t>
      </w:r>
    </w:p>
    <w:p w14:paraId="72DDD72D" w14:textId="77777777" w:rsidR="002A21AE" w:rsidRDefault="002A21AE">
      <w:pPr>
        <w:pStyle w:val="Heading4"/>
        <w:rPr>
          <w:b w:val="0"/>
        </w:rPr>
      </w:pPr>
      <w:r>
        <w:t>User Roles with Access to This Option</w:t>
      </w:r>
      <w:r>
        <w:rPr>
          <w:b w:val="0"/>
        </w:rPr>
        <w:t xml:space="preserve"> </w:t>
      </w:r>
    </w:p>
    <w:p w14:paraId="4394D0EF" w14:textId="77777777" w:rsidR="002A21AE" w:rsidRDefault="005E431D">
      <w:pPr>
        <w:pStyle w:val="Roles"/>
        <w:rPr>
          <w:snapToGrid w:val="0"/>
        </w:rPr>
      </w:pPr>
      <w:r>
        <w:t>All users</w:t>
      </w:r>
    </w:p>
    <w:p w14:paraId="3F20424E" w14:textId="77777777" w:rsidR="002A21AE" w:rsidRDefault="002A21AE">
      <w:pPr>
        <w:pStyle w:val="Heading4"/>
      </w:pPr>
      <w:r>
        <w:t>Display Patient Merge Alerts</w:t>
      </w:r>
    </w:p>
    <w:p w14:paraId="539C903D" w14:textId="77777777" w:rsidR="002A21AE" w:rsidRDefault="002A21AE" w:rsidP="00FA7E65">
      <w:pPr>
        <w:pStyle w:val="BodyText"/>
      </w:pPr>
      <w:r>
        <w:t xml:space="preserve">VBECS notifies the user that patient merges occurred in </w:t>
      </w:r>
      <w:r w:rsidR="00CA0045" w:rsidRPr="00CA0045">
        <w:rPr>
          <w:bCs/>
        </w:rPr>
        <w:t>VistA</w:t>
      </w:r>
      <w:r>
        <w:t xml:space="preserve"> and allows him to view additional update details.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94691F" w14:textId="77777777">
        <w:trPr>
          <w:cantSplit/>
          <w:tblHeader/>
        </w:trPr>
        <w:tc>
          <w:tcPr>
            <w:tcW w:w="3240" w:type="dxa"/>
            <w:shd w:val="pct30" w:color="auto" w:fill="FFFFFF"/>
            <w:vAlign w:val="bottom"/>
          </w:tcPr>
          <w:p w14:paraId="38564F33" w14:textId="77777777" w:rsidR="002A21AE" w:rsidRDefault="002A21AE">
            <w:pPr>
              <w:pStyle w:val="TableText"/>
              <w:rPr>
                <w:b/>
              </w:rPr>
            </w:pPr>
            <w:r>
              <w:rPr>
                <w:b/>
              </w:rPr>
              <w:t>User Action</w:t>
            </w:r>
          </w:p>
        </w:tc>
        <w:tc>
          <w:tcPr>
            <w:tcW w:w="6120" w:type="dxa"/>
            <w:shd w:val="pct30" w:color="auto" w:fill="FFFFFF"/>
            <w:vAlign w:val="bottom"/>
          </w:tcPr>
          <w:p w14:paraId="6229259A" w14:textId="77777777" w:rsidR="002A21AE" w:rsidRDefault="002A21AE">
            <w:pPr>
              <w:pStyle w:val="TableText"/>
              <w:rPr>
                <w:b/>
              </w:rPr>
            </w:pPr>
            <w:r>
              <w:rPr>
                <w:b/>
              </w:rPr>
              <w:t>VBECS</w:t>
            </w:r>
          </w:p>
        </w:tc>
      </w:tr>
      <w:tr w:rsidR="002A21AE" w14:paraId="1901820C" w14:textId="77777777">
        <w:trPr>
          <w:trHeight w:val="403"/>
        </w:trPr>
        <w:tc>
          <w:tcPr>
            <w:tcW w:w="3240" w:type="dxa"/>
          </w:tcPr>
          <w:p w14:paraId="5B91C4D8" w14:textId="77777777" w:rsidR="002A21AE" w:rsidRDefault="002A21AE">
            <w:pPr>
              <w:pStyle w:val="TableTextNumbers"/>
            </w:pPr>
            <w:r>
              <w:t xml:space="preserve">Hold the mouse over the </w:t>
            </w:r>
            <w:r w:rsidR="00D57F25">
              <w:t>Patient Alert icon</w:t>
            </w:r>
            <w:r>
              <w:t xml:space="preserve"> to view a tool tip, or </w:t>
            </w:r>
          </w:p>
          <w:p w14:paraId="0239729B" w14:textId="77777777" w:rsidR="002A21AE" w:rsidRDefault="002A21AE">
            <w:pPr>
              <w:pStyle w:val="TableTextNumbersContinued"/>
            </w:pPr>
          </w:p>
          <w:p w14:paraId="70EE5981" w14:textId="77777777" w:rsidR="002A21AE" w:rsidRDefault="002A21AE">
            <w:pPr>
              <w:pStyle w:val="TableTextNumbersContinued"/>
            </w:pPr>
            <w:r>
              <w:rPr>
                <w:rFonts w:cs="Arial"/>
                <w:vanish/>
              </w:rPr>
              <w:t xml:space="preserve">BR_84.08 </w:t>
            </w:r>
            <w:r>
              <w:t xml:space="preserve">Click </w:t>
            </w:r>
            <w:r w:rsidR="00057948">
              <w:rPr>
                <w:noProof/>
              </w:rPr>
              <w:drawing>
                <wp:inline distT="0" distB="0" distL="0" distR="0" wp14:anchorId="7DB541F9" wp14:editId="2DB0DA8E">
                  <wp:extent cx="166370" cy="156845"/>
                  <wp:effectExtent l="0" t="0" r="5080" b="0"/>
                  <wp:docPr id="220" name="Picture 220"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to view a menu and select </w:t>
            </w:r>
            <w:r>
              <w:rPr>
                <w:b/>
              </w:rPr>
              <w:t>Updated Patients</w:t>
            </w:r>
            <w:r>
              <w:t xml:space="preserve">, </w:t>
            </w:r>
            <w:r>
              <w:rPr>
                <w:b/>
              </w:rPr>
              <w:t>Deceased Patients</w:t>
            </w:r>
            <w:r>
              <w:t xml:space="preserve">, or </w:t>
            </w:r>
            <w:r>
              <w:rPr>
                <w:b/>
              </w:rPr>
              <w:t xml:space="preserve">Patient Merge </w:t>
            </w:r>
            <w:r>
              <w:t xml:space="preserve">to view the updates. </w:t>
            </w:r>
          </w:p>
          <w:p w14:paraId="02ECA8B9" w14:textId="77777777" w:rsidR="002A21AE" w:rsidRDefault="002A21AE">
            <w:pPr>
              <w:pStyle w:val="TableTextNumbersContinued"/>
            </w:pPr>
          </w:p>
          <w:p w14:paraId="4C11792E" w14:textId="77777777" w:rsidR="002A21AE" w:rsidRDefault="002A21AE">
            <w:pPr>
              <w:pStyle w:val="TableTextNumbersContinued"/>
            </w:pPr>
            <w:r>
              <w:t xml:space="preserve">Click </w:t>
            </w:r>
            <w:r w:rsidR="00057948">
              <w:rPr>
                <w:noProof/>
              </w:rPr>
              <w:drawing>
                <wp:inline distT="0" distB="0" distL="0" distR="0" wp14:anchorId="74BD3F0B" wp14:editId="1B287173">
                  <wp:extent cx="166370" cy="156845"/>
                  <wp:effectExtent l="0" t="0" r="5080" b="0"/>
                  <wp:docPr id="221" name="Picture 221"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again to hide the menu.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22" w:author="Blalock, David (Leidos)" w:date="2020-06-15T14:09:00Z" w:original="0."/>
              </w:fldChar>
            </w:r>
          </w:p>
        </w:tc>
        <w:tc>
          <w:tcPr>
            <w:tcW w:w="6120" w:type="dxa"/>
          </w:tcPr>
          <w:p w14:paraId="5562A77D" w14:textId="77777777" w:rsidR="002A21AE" w:rsidRDefault="002A21AE">
            <w:pPr>
              <w:pStyle w:val="TableTextBullet"/>
            </w:pPr>
            <w:r>
              <w:rPr>
                <w:rFonts w:cs="Arial"/>
                <w:vanish/>
              </w:rPr>
              <w:t xml:space="preserve">BR_84.06 </w:t>
            </w:r>
            <w:r>
              <w:t>When it receives a patient update</w:t>
            </w:r>
            <w:r w:rsidR="008D6720">
              <w:t xml:space="preserve"> or</w:t>
            </w:r>
            <w:r>
              <w:t xml:space="preserve"> death</w:t>
            </w:r>
            <w:r w:rsidR="008D6720">
              <w:t xml:space="preserve"> event message</w:t>
            </w:r>
            <w:r>
              <w:t xml:space="preserve"> </w:t>
            </w:r>
            <w:r w:rsidR="008A1BFD">
              <w:t xml:space="preserve">and the patient has active or pending orders in the user’s VBECS division, </w:t>
            </w:r>
            <w:r>
              <w:t xml:space="preserve">displays a </w:t>
            </w:r>
            <w:r w:rsidR="00D57F25">
              <w:t>Patient Alert icon</w:t>
            </w:r>
            <w:r>
              <w:t xml:space="preserve"> in the status bar.</w:t>
            </w:r>
          </w:p>
          <w:p w14:paraId="44C045B8" w14:textId="77777777" w:rsidR="008A1BFD" w:rsidRDefault="008A1BFD">
            <w:pPr>
              <w:pStyle w:val="TableTextBullet"/>
            </w:pPr>
            <w:r>
              <w:t xml:space="preserve">When it receives a merge event message from VistA, displays a </w:t>
            </w:r>
            <w:r w:rsidR="00D57F25">
              <w:t>Patient Alert icon</w:t>
            </w:r>
            <w:r>
              <w:t xml:space="preserve"> in the status bar.</w:t>
            </w:r>
          </w:p>
          <w:p w14:paraId="1F3F7F7C" w14:textId="77777777" w:rsidR="002A21AE" w:rsidRDefault="002A21AE" w:rsidP="002232A3">
            <w:pPr>
              <w:pStyle w:val="TableText"/>
            </w:pPr>
          </w:p>
          <w:p w14:paraId="620A7124" w14:textId="6CD98CC2" w:rsidR="002A21AE" w:rsidRDefault="002A21AE">
            <w:pPr>
              <w:pStyle w:val="TableText"/>
              <w:rPr>
                <w:b/>
                <w:bCs/>
                <w:szCs w:val="18"/>
              </w:rPr>
            </w:pPr>
            <w:r>
              <w:rPr>
                <w:b/>
                <w:bCs/>
                <w:szCs w:val="18"/>
              </w:rPr>
              <w:t>NOTES</w:t>
            </w:r>
          </w:p>
          <w:p w14:paraId="45A35BA7" w14:textId="77777777" w:rsidR="002A21AE" w:rsidRDefault="002A21AE">
            <w:pPr>
              <w:pStyle w:val="NotesText"/>
            </w:pPr>
          </w:p>
          <w:p w14:paraId="26FFECE3" w14:textId="77777777" w:rsidR="002A21AE" w:rsidRDefault="002A21AE">
            <w:pPr>
              <w:pStyle w:val="NotesText"/>
            </w:pPr>
            <w:r>
              <w:t xml:space="preserve">The user may also select </w:t>
            </w:r>
            <w:r>
              <w:rPr>
                <w:b/>
              </w:rPr>
              <w:t>Patients</w:t>
            </w:r>
            <w:r>
              <w:t xml:space="preserve"> from the main menu, </w:t>
            </w:r>
            <w:r>
              <w:rPr>
                <w:b/>
              </w:rPr>
              <w:t>Patient Updates</w:t>
            </w:r>
            <w:r>
              <w:t xml:space="preserve">, and </w:t>
            </w:r>
            <w:r>
              <w:rPr>
                <w:b/>
              </w:rPr>
              <w:t xml:space="preserve">Patient Merge </w:t>
            </w:r>
            <w:r>
              <w:t>to view the updates.</w:t>
            </w:r>
          </w:p>
          <w:p w14:paraId="432F846D" w14:textId="77777777" w:rsidR="002A21AE" w:rsidRDefault="002A21AE">
            <w:pPr>
              <w:pStyle w:val="NotesText"/>
            </w:pPr>
          </w:p>
          <w:p w14:paraId="10F819C6" w14:textId="77777777" w:rsidR="004B557B" w:rsidRDefault="002A21AE" w:rsidP="001E72D4">
            <w:pPr>
              <w:pStyle w:val="NotesText"/>
            </w:pPr>
            <w:r>
              <w:rPr>
                <w:rFonts w:cs="Arial"/>
                <w:vanish/>
              </w:rPr>
              <w:t xml:space="preserve">BR_84.10 </w:t>
            </w:r>
            <w:r>
              <w:t xml:space="preserve">VBECS displays a </w:t>
            </w:r>
            <w:r w:rsidR="004B557B">
              <w:t>patient update or merge icon a</w:t>
            </w:r>
            <w:r w:rsidR="00D57F25">
              <w:t xml:space="preserve">lert </w:t>
            </w:r>
            <w:r w:rsidR="004B557B">
              <w:t>to all users until all merge events are cleared and all updates, including death notices are viewed.</w:t>
            </w:r>
            <w:r w:rsidR="006B6C5C" w:rsidRPr="006B6C5C">
              <w:rPr>
                <w:vanish/>
              </w:rPr>
              <w:t>DR 2,525</w:t>
            </w:r>
          </w:p>
        </w:tc>
      </w:tr>
    </w:tbl>
    <w:p w14:paraId="69E6B3EA" w14:textId="77777777" w:rsidR="00AC2D9E" w:rsidRDefault="00AC2D9E" w:rsidP="0073493B">
      <w:pPr>
        <w:pStyle w:val="Heading2"/>
      </w:pPr>
    </w:p>
    <w:p w14:paraId="529102A1" w14:textId="77777777" w:rsidR="00834667" w:rsidRPr="008818F2" w:rsidRDefault="00411372" w:rsidP="00834667">
      <w:pPr>
        <w:pStyle w:val="Heading2"/>
        <w:rPr>
          <w:i w:val="0"/>
          <w:iCs w:val="0"/>
          <w:sz w:val="26"/>
          <w:szCs w:val="26"/>
        </w:rPr>
      </w:pPr>
      <w:bookmarkStart w:id="523" w:name="_Toc47516745"/>
      <w:r>
        <w:rPr>
          <w:i w:val="0"/>
          <w:iCs w:val="0"/>
          <w:sz w:val="26"/>
          <w:szCs w:val="26"/>
        </w:rPr>
        <w:t xml:space="preserve">Emergency </w:t>
      </w:r>
      <w:r w:rsidR="00834667" w:rsidRPr="008818F2">
        <w:rPr>
          <w:i w:val="0"/>
          <w:iCs w:val="0"/>
          <w:sz w:val="26"/>
          <w:szCs w:val="26"/>
        </w:rPr>
        <w:t>Transfusion Order</w:t>
      </w:r>
      <w:r>
        <w:rPr>
          <w:i w:val="0"/>
          <w:iCs w:val="0"/>
          <w:sz w:val="26"/>
          <w:szCs w:val="26"/>
        </w:rPr>
        <w:t xml:space="preserve"> Processing</w:t>
      </w:r>
      <w:bookmarkEnd w:id="523"/>
      <w:r w:rsidR="00834667" w:rsidRPr="008818F2">
        <w:rPr>
          <w:i w:val="0"/>
          <w:iCs w:val="0"/>
          <w:sz w:val="26"/>
          <w:szCs w:val="26"/>
        </w:rPr>
        <w:fldChar w:fldCharType="begin"/>
      </w:r>
      <w:r w:rsidR="00834667" w:rsidRPr="008818F2">
        <w:rPr>
          <w:i w:val="0"/>
          <w:iCs w:val="0"/>
          <w:sz w:val="26"/>
          <w:szCs w:val="26"/>
        </w:rPr>
        <w:instrText xml:space="preserve"> XE “Processing an Emergency Transfusion Order” </w:instrText>
      </w:r>
      <w:r w:rsidR="00834667" w:rsidRPr="008818F2">
        <w:rPr>
          <w:i w:val="0"/>
          <w:iCs w:val="0"/>
          <w:sz w:val="26"/>
          <w:szCs w:val="26"/>
        </w:rPr>
        <w:fldChar w:fldCharType="end"/>
      </w:r>
    </w:p>
    <w:p w14:paraId="201EC68A" w14:textId="77777777" w:rsidR="008818F2" w:rsidRPr="008818F2" w:rsidRDefault="008818F2" w:rsidP="008818F2">
      <w:pPr>
        <w:rPr>
          <w:sz w:val="22"/>
          <w:szCs w:val="22"/>
        </w:rPr>
      </w:pPr>
      <w:r>
        <w:rPr>
          <w:b/>
          <w:sz w:val="22"/>
          <w:szCs w:val="22"/>
        </w:rPr>
        <w:t>Question</w:t>
      </w:r>
      <w:r w:rsidRPr="008818F2">
        <w:rPr>
          <w:b/>
          <w:sz w:val="22"/>
          <w:szCs w:val="22"/>
        </w:rPr>
        <w:t>:</w:t>
      </w:r>
      <w:r w:rsidRPr="008818F2">
        <w:rPr>
          <w:sz w:val="22"/>
          <w:szCs w:val="22"/>
        </w:rPr>
        <w:t xml:space="preserve">  How do I Process an Emergency Transfusion Order for red blood cells when no specimen is collected?</w:t>
      </w:r>
    </w:p>
    <w:p w14:paraId="57B34CC3" w14:textId="77777777" w:rsidR="008818F2" w:rsidRPr="008818F2" w:rsidRDefault="008818F2" w:rsidP="008818F2">
      <w:pPr>
        <w:rPr>
          <w:sz w:val="22"/>
          <w:szCs w:val="22"/>
        </w:rPr>
      </w:pPr>
      <w:r w:rsidRPr="008818F2">
        <w:rPr>
          <w:b/>
          <w:sz w:val="22"/>
          <w:szCs w:val="22"/>
        </w:rPr>
        <w:t>Important Note:</w:t>
      </w:r>
      <w:r w:rsidRPr="008818F2">
        <w:rPr>
          <w:sz w:val="22"/>
          <w:szCs w:val="22"/>
        </w:rPr>
        <w:t xml:space="preserve"> If </w:t>
      </w:r>
      <w:r w:rsidR="009E6385">
        <w:rPr>
          <w:sz w:val="22"/>
          <w:szCs w:val="22"/>
        </w:rPr>
        <w:t>the patient is not found in Vist</w:t>
      </w:r>
      <w:r w:rsidRPr="008818F2">
        <w:rPr>
          <w:sz w:val="22"/>
          <w:szCs w:val="22"/>
        </w:rPr>
        <w:t>A, you must process the request manually. When the patient’s CPRS order is placed, enter your testing results and unit processing information with correct dates and times recreating the record as retrospective data entry.</w:t>
      </w:r>
    </w:p>
    <w:p w14:paraId="1494AA43" w14:textId="77777777" w:rsidR="008818F2" w:rsidRPr="008818F2" w:rsidRDefault="008818F2" w:rsidP="008818F2">
      <w:pPr>
        <w:rPr>
          <w:sz w:val="22"/>
          <w:szCs w:val="22"/>
        </w:rPr>
      </w:pPr>
      <w:r w:rsidRPr="008818F2">
        <w:rPr>
          <w:b/>
          <w:sz w:val="22"/>
          <w:szCs w:val="22"/>
        </w:rPr>
        <w:t xml:space="preserve">Answer: No Specimen Available: </w:t>
      </w:r>
      <w:r w:rsidRPr="008818F2">
        <w:rPr>
          <w:sz w:val="22"/>
          <w:szCs w:val="22"/>
        </w:rPr>
        <w:t>Below are the steps for processing a component order when no specimen is available but required. This example is for a Red Blood Cell order.</w:t>
      </w:r>
    </w:p>
    <w:p w14:paraId="26548284" w14:textId="77777777" w:rsidR="008818F2" w:rsidRPr="008818F2" w:rsidRDefault="008818F2" w:rsidP="00BA3292">
      <w:pPr>
        <w:numPr>
          <w:ilvl w:val="0"/>
          <w:numId w:val="77"/>
        </w:numPr>
        <w:spacing w:after="200" w:line="276" w:lineRule="auto"/>
        <w:ind w:left="360"/>
        <w:rPr>
          <w:sz w:val="22"/>
          <w:szCs w:val="22"/>
        </w:rPr>
      </w:pPr>
      <w:r w:rsidRPr="008818F2">
        <w:rPr>
          <w:sz w:val="22"/>
          <w:szCs w:val="22"/>
        </w:rPr>
        <w:t xml:space="preserve">A CPRS order for a TAS and RBC must be placed to process the order in VBECS.  </w:t>
      </w:r>
    </w:p>
    <w:p w14:paraId="131FC1F2" w14:textId="354A1C8A" w:rsidR="008818F2" w:rsidRDefault="008818F2" w:rsidP="00BA3292">
      <w:pPr>
        <w:numPr>
          <w:ilvl w:val="0"/>
          <w:numId w:val="77"/>
        </w:numPr>
        <w:spacing w:after="200" w:line="276" w:lineRule="auto"/>
        <w:ind w:left="360"/>
        <w:rPr>
          <w:sz w:val="22"/>
          <w:szCs w:val="22"/>
        </w:rPr>
      </w:pPr>
      <w:r w:rsidRPr="008818F2">
        <w:rPr>
          <w:sz w:val="22"/>
          <w:szCs w:val="22"/>
        </w:rPr>
        <w:t>Accession</w:t>
      </w:r>
      <w:r w:rsidRPr="008818F2">
        <w:rPr>
          <w:sz w:val="22"/>
          <w:szCs w:val="22"/>
          <w:u w:val="single"/>
        </w:rPr>
        <w:t xml:space="preserve"> only</w:t>
      </w:r>
      <w:r w:rsidRPr="008818F2">
        <w:rPr>
          <w:sz w:val="22"/>
          <w:szCs w:val="22"/>
        </w:rPr>
        <w:t xml:space="preserve"> the RBC order in the VistA LAB package</w:t>
      </w:r>
      <w:r w:rsidRPr="008818F2">
        <w:rPr>
          <w:noProof/>
          <w:sz w:val="22"/>
          <w:szCs w:val="22"/>
        </w:rPr>
        <w:t>. If the TAS is accessioned but not physically available, it will no</w:t>
      </w:r>
      <w:r w:rsidR="00910216">
        <w:rPr>
          <w:noProof/>
          <w:sz w:val="22"/>
          <w:szCs w:val="22"/>
        </w:rPr>
        <w:t>t interfere with the next ste</w:t>
      </w:r>
      <w:r w:rsidR="00910216" w:rsidRPr="00910216">
        <w:rPr>
          <w:noProof/>
          <w:sz w:val="22"/>
          <w:szCs w:val="22"/>
        </w:rPr>
        <w:t>p (</w:t>
      </w:r>
      <w:r w:rsidR="00910216" w:rsidRPr="00910216">
        <w:rPr>
          <w:noProof/>
          <w:sz w:val="22"/>
          <w:szCs w:val="22"/>
        </w:rPr>
        <w:fldChar w:fldCharType="begin"/>
      </w:r>
      <w:r w:rsidR="00910216" w:rsidRPr="00910216">
        <w:rPr>
          <w:noProof/>
          <w:sz w:val="22"/>
          <w:szCs w:val="22"/>
        </w:rPr>
        <w:instrText xml:space="preserve"> REF _Ref507079586 \h </w:instrText>
      </w:r>
      <w:r w:rsidR="00910216">
        <w:rPr>
          <w:noProof/>
          <w:sz w:val="22"/>
          <w:szCs w:val="22"/>
        </w:rPr>
        <w:instrText xml:space="preserve"> \* MERGEFORMAT </w:instrText>
      </w:r>
      <w:r w:rsidR="00910216" w:rsidRPr="00910216">
        <w:rPr>
          <w:noProof/>
          <w:sz w:val="22"/>
          <w:szCs w:val="22"/>
        </w:rPr>
      </w:r>
      <w:r w:rsidR="00910216" w:rsidRPr="00910216">
        <w:rPr>
          <w:noProof/>
          <w:sz w:val="22"/>
          <w:szCs w:val="22"/>
        </w:rPr>
        <w:fldChar w:fldCharType="separate"/>
      </w:r>
      <w:r w:rsidR="004353ED" w:rsidRPr="004353ED">
        <w:rPr>
          <w:sz w:val="22"/>
          <w:szCs w:val="22"/>
        </w:rPr>
        <w:t xml:space="preserve">Figure </w:t>
      </w:r>
      <w:r w:rsidR="004353ED" w:rsidRPr="004353ED">
        <w:rPr>
          <w:noProof/>
          <w:sz w:val="22"/>
          <w:szCs w:val="22"/>
        </w:rPr>
        <w:t>116</w:t>
      </w:r>
      <w:r w:rsidR="00910216" w:rsidRPr="00910216">
        <w:rPr>
          <w:noProof/>
          <w:sz w:val="22"/>
          <w:szCs w:val="22"/>
        </w:rPr>
        <w:fldChar w:fldCharType="end"/>
      </w:r>
      <w:r w:rsidR="00910216" w:rsidRPr="00910216">
        <w:rPr>
          <w:noProof/>
          <w:sz w:val="22"/>
          <w:szCs w:val="22"/>
        </w:rPr>
        <w:t>).</w:t>
      </w:r>
    </w:p>
    <w:p w14:paraId="44601909" w14:textId="7C32FF17" w:rsidR="00910216" w:rsidRPr="008818F2" w:rsidRDefault="00910216" w:rsidP="00910216">
      <w:pPr>
        <w:pStyle w:val="Caption"/>
      </w:pPr>
      <w:bookmarkStart w:id="524" w:name="_Ref50707958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116</w:t>
      </w:r>
      <w:r w:rsidR="004E20BD">
        <w:rPr>
          <w:noProof/>
        </w:rPr>
        <w:fldChar w:fldCharType="end"/>
      </w:r>
      <w:bookmarkEnd w:id="524"/>
      <w:r>
        <w:t>: Example of Red Blood Cells Accession</w:t>
      </w:r>
    </w:p>
    <w:p w14:paraId="35AD49FC" w14:textId="77777777" w:rsidR="008818F2" w:rsidRDefault="00057948" w:rsidP="000026FF">
      <w:pPr>
        <w:pStyle w:val="BodyText"/>
      </w:pPr>
      <w:r>
        <w:rPr>
          <w:noProof/>
        </w:rPr>
        <mc:AlternateContent>
          <mc:Choice Requires="wps">
            <w:drawing>
              <wp:anchor distT="0" distB="0" distL="114300" distR="114300" simplePos="0" relativeHeight="252087808" behindDoc="0" locked="0" layoutInCell="1" allowOverlap="1" wp14:anchorId="493E4540" wp14:editId="04AE9B54">
                <wp:simplePos x="0" y="0"/>
                <wp:positionH relativeFrom="column">
                  <wp:posOffset>38100</wp:posOffset>
                </wp:positionH>
                <wp:positionV relativeFrom="paragraph">
                  <wp:posOffset>2461260</wp:posOffset>
                </wp:positionV>
                <wp:extent cx="5419725" cy="438150"/>
                <wp:effectExtent l="19050" t="13335" r="19050" b="15240"/>
                <wp:wrapNone/>
                <wp:docPr id="403" name="Rectangle 13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43815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B9C5D" id="Rectangle 1313" o:spid="_x0000_s1026" alt="&quot;&quot;" style="position:absolute;margin-left:3pt;margin-top:193.8pt;width:426.75pt;height:34.5pt;z-index:2520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" filled="f" strokecolor="red" strokeweight="2pt"/>
            </w:pict>
          </mc:Fallback>
        </mc:AlternateContent>
      </w:r>
      <w:r>
        <w:rPr>
          <w:noProof/>
        </w:rPr>
        <w:drawing>
          <wp:inline distT="0" distB="0" distL="0" distR="0" wp14:anchorId="3D7C1666" wp14:editId="5C74138E">
            <wp:extent cx="7278370" cy="4673600"/>
            <wp:effectExtent l="0" t="0" r="0" b="0"/>
            <wp:docPr id="222" name="Picture 222" descr="figure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figure12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7278370" cy="4673600"/>
                    </a:xfrm>
                    <a:prstGeom prst="rect">
                      <a:avLst/>
                    </a:prstGeom>
                    <a:noFill/>
                    <a:ln>
                      <a:noFill/>
                    </a:ln>
                  </pic:spPr>
                </pic:pic>
              </a:graphicData>
            </a:graphic>
          </wp:inline>
        </w:drawing>
      </w:r>
    </w:p>
    <w:p w14:paraId="53FC089C" w14:textId="32F19C01" w:rsidR="008818F2" w:rsidRDefault="00910216" w:rsidP="00BA3292">
      <w:pPr>
        <w:numPr>
          <w:ilvl w:val="0"/>
          <w:numId w:val="77"/>
        </w:numPr>
        <w:spacing w:after="200" w:line="276" w:lineRule="auto"/>
        <w:ind w:left="360"/>
        <w:rPr>
          <w:sz w:val="22"/>
          <w:szCs w:val="22"/>
        </w:rPr>
      </w:pPr>
      <w:r>
        <w:rPr>
          <w:sz w:val="22"/>
          <w:szCs w:val="22"/>
        </w:rPr>
        <w:br w:type="page"/>
      </w:r>
      <w:r w:rsidR="008818F2" w:rsidRPr="000026FF">
        <w:rPr>
          <w:sz w:val="22"/>
          <w:szCs w:val="22"/>
        </w:rPr>
        <w:lastRenderedPageBreak/>
        <w:t>Accept the RB</w:t>
      </w:r>
      <w:r w:rsidR="008818F2" w:rsidRPr="00910216">
        <w:rPr>
          <w:sz w:val="22"/>
          <w:szCs w:val="22"/>
        </w:rPr>
        <w:t>C order in VBECS b</w:t>
      </w:r>
      <w:r w:rsidR="00070C25" w:rsidRPr="00910216">
        <w:rPr>
          <w:sz w:val="22"/>
          <w:szCs w:val="22"/>
        </w:rPr>
        <w:t>y checking the Emergency Order checkbox</w:t>
      </w:r>
      <w:r w:rsidR="008818F2" w:rsidRPr="00910216">
        <w:rPr>
          <w:sz w:val="22"/>
          <w:szCs w:val="22"/>
        </w:rPr>
        <w:t xml:space="preserve"> </w:t>
      </w:r>
      <w:r w:rsidRPr="00910216">
        <w:rPr>
          <w:sz w:val="22"/>
          <w:szCs w:val="22"/>
        </w:rPr>
        <w:t>[</w:t>
      </w:r>
      <w:r w:rsidR="008818F2" w:rsidRPr="00910216">
        <w:rPr>
          <w:b/>
          <w:sz w:val="22"/>
          <w:szCs w:val="22"/>
        </w:rPr>
        <w:t>Orders</w:t>
      </w:r>
      <w:r w:rsidR="008818F2" w:rsidRPr="00910216">
        <w:rPr>
          <w:sz w:val="22"/>
          <w:szCs w:val="22"/>
        </w:rPr>
        <w:t xml:space="preserve">, </w:t>
      </w:r>
      <w:r w:rsidR="008818F2" w:rsidRPr="00910216">
        <w:rPr>
          <w:b/>
          <w:sz w:val="22"/>
          <w:szCs w:val="22"/>
        </w:rPr>
        <w:t>Accept Orders</w:t>
      </w:r>
      <w:r w:rsidRPr="00910216">
        <w:rPr>
          <w:sz w:val="22"/>
          <w:szCs w:val="22"/>
        </w:rPr>
        <w:t xml:space="preserve"> (</w:t>
      </w:r>
      <w:r w:rsidRPr="00910216">
        <w:rPr>
          <w:sz w:val="22"/>
          <w:szCs w:val="22"/>
        </w:rPr>
        <w:fldChar w:fldCharType="begin"/>
      </w:r>
      <w:r w:rsidRPr="00910216">
        <w:rPr>
          <w:sz w:val="22"/>
          <w:szCs w:val="22"/>
        </w:rPr>
        <w:instrText xml:space="preserve"> REF _Ref507079620 \h </w:instrText>
      </w:r>
      <w:r>
        <w:rPr>
          <w:sz w:val="22"/>
          <w:szCs w:val="22"/>
        </w:rPr>
        <w:instrText xml:space="preserve"> \* MERGEFORMAT </w:instrText>
      </w:r>
      <w:r w:rsidRPr="00910216">
        <w:rPr>
          <w:sz w:val="22"/>
          <w:szCs w:val="22"/>
        </w:rPr>
      </w:r>
      <w:r w:rsidRPr="00910216">
        <w:rPr>
          <w:sz w:val="22"/>
          <w:szCs w:val="22"/>
        </w:rPr>
        <w:fldChar w:fldCharType="separate"/>
      </w:r>
      <w:r w:rsidR="004353ED" w:rsidRPr="004353ED">
        <w:rPr>
          <w:sz w:val="22"/>
          <w:szCs w:val="22"/>
        </w:rPr>
        <w:t xml:space="preserve">Figure </w:t>
      </w:r>
      <w:r w:rsidR="004353ED" w:rsidRPr="004353ED">
        <w:rPr>
          <w:noProof/>
          <w:sz w:val="22"/>
          <w:szCs w:val="22"/>
        </w:rPr>
        <w:t>117</w:t>
      </w:r>
      <w:r w:rsidRPr="00910216">
        <w:rPr>
          <w:sz w:val="22"/>
          <w:szCs w:val="22"/>
        </w:rPr>
        <w:fldChar w:fldCharType="end"/>
      </w:r>
      <w:r w:rsidRPr="00910216">
        <w:rPr>
          <w:sz w:val="22"/>
          <w:szCs w:val="22"/>
        </w:rPr>
        <w:t>)]</w:t>
      </w:r>
      <w:r w:rsidR="008818F2" w:rsidRPr="00910216">
        <w:rPr>
          <w:sz w:val="22"/>
          <w:szCs w:val="22"/>
        </w:rPr>
        <w:t xml:space="preserve">. </w:t>
      </w:r>
    </w:p>
    <w:p w14:paraId="06E32E21" w14:textId="4D631A82" w:rsidR="00910216" w:rsidRPr="000026FF" w:rsidRDefault="00910216" w:rsidP="00910216">
      <w:pPr>
        <w:pStyle w:val="Caption"/>
      </w:pPr>
      <w:bookmarkStart w:id="525" w:name="_Ref50707962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117</w:t>
      </w:r>
      <w:r w:rsidR="004E20BD">
        <w:rPr>
          <w:noProof/>
        </w:rPr>
        <w:fldChar w:fldCharType="end"/>
      </w:r>
      <w:bookmarkEnd w:id="525"/>
      <w:r>
        <w:t>: Example of Emergency Order checkbox</w:t>
      </w:r>
    </w:p>
    <w:p w14:paraId="546D5937" w14:textId="48A29154" w:rsidR="008818F2" w:rsidRDefault="00C84A5E" w:rsidP="000026FF">
      <w:pPr>
        <w:pStyle w:val="BodyText"/>
      </w:pPr>
      <w:r>
        <w:rPr>
          <w:noProof/>
        </w:rPr>
        <mc:AlternateContent>
          <mc:Choice Requires="wps">
            <w:drawing>
              <wp:anchor distT="0" distB="0" distL="114300" distR="114300" simplePos="0" relativeHeight="252093952" behindDoc="0" locked="0" layoutInCell="1" allowOverlap="1" wp14:anchorId="6C1F19E2" wp14:editId="3989988B">
                <wp:simplePos x="0" y="0"/>
                <wp:positionH relativeFrom="column">
                  <wp:posOffset>2000250</wp:posOffset>
                </wp:positionH>
                <wp:positionV relativeFrom="paragraph">
                  <wp:posOffset>2533650</wp:posOffset>
                </wp:positionV>
                <wp:extent cx="1209675" cy="190500"/>
                <wp:effectExtent l="38100" t="19050" r="9525" b="38100"/>
                <wp:wrapNone/>
                <wp:docPr id="402" name="AutoShape 13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90500"/>
                        </a:xfrm>
                        <a:prstGeom prst="leftArrow">
                          <a:avLst>
                            <a:gd name="adj1" fmla="val 50000"/>
                            <a:gd name="adj2" fmla="val 15875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36D10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316" o:spid="_x0000_s1026" type="#_x0000_t66" alt="&quot;&quot;" style="position:absolute;margin-left:157.5pt;margin-top:199.5pt;width:95.25pt;height:15pt;z-index:2520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" fillcolor="red"/>
            </w:pict>
          </mc:Fallback>
        </mc:AlternateContent>
      </w:r>
      <w:r w:rsidR="00570C93">
        <w:rPr>
          <w:noProof/>
        </w:rPr>
        <mc:AlternateContent>
          <mc:Choice Requires="wps">
            <w:drawing>
              <wp:anchor distT="0" distB="0" distL="114300" distR="114300" simplePos="0" relativeHeight="252090880" behindDoc="0" locked="0" layoutInCell="1" allowOverlap="1" wp14:anchorId="6BD4040E" wp14:editId="6EADDAB8">
                <wp:simplePos x="0" y="0"/>
                <wp:positionH relativeFrom="column">
                  <wp:posOffset>1104900</wp:posOffset>
                </wp:positionH>
                <wp:positionV relativeFrom="paragraph">
                  <wp:posOffset>2533650</wp:posOffset>
                </wp:positionV>
                <wp:extent cx="838200" cy="190500"/>
                <wp:effectExtent l="0" t="0" r="19050" b="19050"/>
                <wp:wrapNone/>
                <wp:docPr id="401" name="Rectangle 1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19050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E7F55" id="Rectangle 1315" o:spid="_x0000_s1026" alt="&quot;&quot;" style="position:absolute;margin-left:87pt;margin-top:199.5pt;width:66pt;height:15pt;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" filled="f" strokecolor="red" strokeweight="2pt"/>
            </w:pict>
          </mc:Fallback>
        </mc:AlternateContent>
      </w:r>
      <w:r w:rsidR="00570C93">
        <w:rPr>
          <w:noProof/>
        </w:rPr>
        <w:drawing>
          <wp:inline distT="0" distB="0" distL="0" distR="0" wp14:anchorId="31F0D70D" wp14:editId="1EACB6F6">
            <wp:extent cx="5943600" cy="3004185"/>
            <wp:effectExtent l="0" t="0" r="0" b="5715"/>
            <wp:docPr id="95" name="Picture 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a:extLst>
                        <a:ext uri="{C183D7F6-B498-43B3-948B-1728B52AA6E4}">
                          <adec:decorative xmlns:adec="http://schemas.microsoft.com/office/drawing/2017/decorative" val="1"/>
                        </a:ext>
                      </a:extLst>
                    </pic:cNvPr>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943600" cy="3004185"/>
                    </a:xfrm>
                    <a:prstGeom prst="rect">
                      <a:avLst/>
                    </a:prstGeom>
                    <a:noFill/>
                    <a:ln>
                      <a:noFill/>
                    </a:ln>
                  </pic:spPr>
                </pic:pic>
              </a:graphicData>
            </a:graphic>
          </wp:inline>
        </w:drawing>
      </w:r>
    </w:p>
    <w:p w14:paraId="020479C9" w14:textId="77777777" w:rsidR="008818F2" w:rsidRPr="000026FF" w:rsidRDefault="008818F2" w:rsidP="00BA3292">
      <w:pPr>
        <w:numPr>
          <w:ilvl w:val="0"/>
          <w:numId w:val="77"/>
        </w:numPr>
        <w:spacing w:after="200" w:line="276" w:lineRule="auto"/>
        <w:ind w:left="360"/>
        <w:rPr>
          <w:sz w:val="22"/>
          <w:szCs w:val="22"/>
        </w:rPr>
      </w:pPr>
      <w:r w:rsidRPr="000026FF">
        <w:rPr>
          <w:sz w:val="22"/>
          <w:szCs w:val="22"/>
        </w:rPr>
        <w:t>Select Units and issue from the Emergency Issue tab until a specimen is received.</w:t>
      </w:r>
    </w:p>
    <w:p w14:paraId="00C0CF97" w14:textId="6171922F" w:rsidR="00910216" w:rsidRDefault="00910216" w:rsidP="00BA3292">
      <w:pPr>
        <w:numPr>
          <w:ilvl w:val="0"/>
          <w:numId w:val="77"/>
        </w:numPr>
        <w:spacing w:after="200" w:line="276" w:lineRule="auto"/>
        <w:ind w:left="360"/>
        <w:rPr>
          <w:sz w:val="22"/>
          <w:szCs w:val="22"/>
        </w:rPr>
      </w:pPr>
      <w:r>
        <w:rPr>
          <w:sz w:val="22"/>
          <w:szCs w:val="22"/>
        </w:rPr>
        <w:br w:type="page"/>
      </w:r>
      <w:r w:rsidR="008818F2" w:rsidRPr="000026FF">
        <w:rPr>
          <w:sz w:val="22"/>
          <w:szCs w:val="22"/>
        </w:rPr>
        <w:lastRenderedPageBreak/>
        <w:t xml:space="preserve">Associate the specimen with the RBC order in Select Units by selecting one of the ISSUED units to perform retrospective crossmatch testing. Click the </w:t>
      </w:r>
      <w:r w:rsidR="004D44ED">
        <w:rPr>
          <w:sz w:val="22"/>
          <w:szCs w:val="22"/>
        </w:rPr>
        <w:t>Find</w:t>
      </w:r>
      <w:r w:rsidR="008818F2" w:rsidRPr="000026FF">
        <w:rPr>
          <w:sz w:val="22"/>
          <w:szCs w:val="22"/>
        </w:rPr>
        <w:t xml:space="preserve"> button to search for </w:t>
      </w:r>
      <w:r w:rsidR="00070C25">
        <w:rPr>
          <w:sz w:val="22"/>
          <w:szCs w:val="22"/>
        </w:rPr>
        <w:t xml:space="preserve">an </w:t>
      </w:r>
      <w:r w:rsidR="008818F2" w:rsidRPr="000026FF">
        <w:rPr>
          <w:sz w:val="22"/>
          <w:szCs w:val="22"/>
        </w:rPr>
        <w:t>available specimen UID</w:t>
      </w:r>
      <w:r w:rsidR="009219F9">
        <w:rPr>
          <w:sz w:val="22"/>
          <w:szCs w:val="22"/>
        </w:rPr>
        <w:t xml:space="preserve"> (</w:t>
      </w:r>
      <w:r w:rsidR="009219F9" w:rsidRPr="009219F9">
        <w:rPr>
          <w:sz w:val="22"/>
          <w:szCs w:val="22"/>
        </w:rPr>
        <w:fldChar w:fldCharType="begin"/>
      </w:r>
      <w:r w:rsidR="009219F9" w:rsidRPr="009219F9">
        <w:rPr>
          <w:sz w:val="22"/>
          <w:szCs w:val="22"/>
        </w:rPr>
        <w:instrText xml:space="preserve"> REF _Ref507079875 \h </w:instrText>
      </w:r>
      <w:r w:rsidR="009219F9">
        <w:rPr>
          <w:sz w:val="22"/>
          <w:szCs w:val="22"/>
        </w:rPr>
        <w:instrText xml:space="preserve"> \* MERGEFORMAT </w:instrText>
      </w:r>
      <w:r w:rsidR="009219F9" w:rsidRPr="009219F9">
        <w:rPr>
          <w:sz w:val="22"/>
          <w:szCs w:val="22"/>
        </w:rPr>
      </w:r>
      <w:r w:rsidR="009219F9" w:rsidRPr="009219F9">
        <w:rPr>
          <w:sz w:val="22"/>
          <w:szCs w:val="22"/>
        </w:rPr>
        <w:fldChar w:fldCharType="separate"/>
      </w:r>
      <w:r w:rsidR="004353ED" w:rsidRPr="004353ED">
        <w:rPr>
          <w:sz w:val="22"/>
          <w:szCs w:val="22"/>
        </w:rPr>
        <w:t xml:space="preserve">Figure </w:t>
      </w:r>
      <w:r w:rsidR="004353ED" w:rsidRPr="004353ED">
        <w:rPr>
          <w:noProof/>
          <w:sz w:val="22"/>
          <w:szCs w:val="22"/>
        </w:rPr>
        <w:t>118</w:t>
      </w:r>
      <w:r w:rsidR="009219F9" w:rsidRPr="009219F9">
        <w:rPr>
          <w:sz w:val="22"/>
          <w:szCs w:val="22"/>
        </w:rPr>
        <w:fldChar w:fldCharType="end"/>
      </w:r>
      <w:r w:rsidR="009219F9" w:rsidRPr="009219F9">
        <w:rPr>
          <w:sz w:val="22"/>
          <w:szCs w:val="22"/>
        </w:rPr>
        <w:t>)</w:t>
      </w:r>
      <w:r w:rsidR="008818F2" w:rsidRPr="009219F9">
        <w:rPr>
          <w:sz w:val="22"/>
          <w:szCs w:val="22"/>
        </w:rPr>
        <w:t xml:space="preserve">. See the </w:t>
      </w:r>
      <w:r w:rsidR="009219F9">
        <w:rPr>
          <w:sz w:val="22"/>
          <w:szCs w:val="22"/>
        </w:rPr>
        <w:fldChar w:fldCharType="begin"/>
      </w:r>
      <w:r w:rsidR="009219F9">
        <w:rPr>
          <w:sz w:val="22"/>
          <w:szCs w:val="22"/>
        </w:rPr>
        <w:instrText xml:space="preserve"> REF _Ref507079957 \h </w:instrText>
      </w:r>
      <w:r w:rsidR="009219F9">
        <w:rPr>
          <w:sz w:val="22"/>
          <w:szCs w:val="22"/>
        </w:rPr>
      </w:r>
      <w:r w:rsidR="009219F9">
        <w:rPr>
          <w:sz w:val="22"/>
          <w:szCs w:val="22"/>
        </w:rPr>
        <w:fldChar w:fldCharType="separate"/>
      </w:r>
      <w:r w:rsidR="004353ED">
        <w:t>Select Units</w:t>
      </w:r>
      <w:r w:rsidR="009219F9">
        <w:rPr>
          <w:sz w:val="22"/>
          <w:szCs w:val="22"/>
        </w:rPr>
        <w:fldChar w:fldCharType="end"/>
      </w:r>
      <w:r w:rsidR="009219F9">
        <w:rPr>
          <w:sz w:val="22"/>
          <w:szCs w:val="22"/>
        </w:rPr>
        <w:t xml:space="preserve"> section</w:t>
      </w:r>
      <w:r w:rsidR="008818F2" w:rsidRPr="000026FF">
        <w:rPr>
          <w:sz w:val="22"/>
          <w:szCs w:val="22"/>
        </w:rPr>
        <w:t xml:space="preserve"> for </w:t>
      </w:r>
      <w:r w:rsidR="00E90A01">
        <w:rPr>
          <w:sz w:val="22"/>
          <w:szCs w:val="22"/>
        </w:rPr>
        <w:t>additional</w:t>
      </w:r>
      <w:r w:rsidR="008818F2" w:rsidRPr="000026FF">
        <w:rPr>
          <w:sz w:val="22"/>
          <w:szCs w:val="22"/>
        </w:rPr>
        <w:t xml:space="preserve"> information.</w:t>
      </w:r>
    </w:p>
    <w:p w14:paraId="7FE896D7" w14:textId="6B125FED" w:rsidR="008818F2" w:rsidRPr="000026FF" w:rsidRDefault="00910216" w:rsidP="00910216">
      <w:pPr>
        <w:pStyle w:val="Caption"/>
      </w:pPr>
      <w:bookmarkStart w:id="526" w:name="_Ref50707987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118</w:t>
      </w:r>
      <w:r w:rsidR="004E20BD">
        <w:rPr>
          <w:noProof/>
        </w:rPr>
        <w:fldChar w:fldCharType="end"/>
      </w:r>
      <w:bookmarkEnd w:id="526"/>
      <w:r>
        <w:t>: Example of Specimen UID</w:t>
      </w:r>
    </w:p>
    <w:p w14:paraId="18EFB5C8" w14:textId="29070385" w:rsidR="008818F2" w:rsidRDefault="00057948" w:rsidP="000026FF">
      <w:pPr>
        <w:pStyle w:val="BodyText"/>
      </w:pPr>
      <w:r>
        <w:rPr>
          <w:noProof/>
        </w:rPr>
        <mc:AlternateContent>
          <mc:Choice Requires="wps">
            <w:drawing>
              <wp:anchor distT="0" distB="0" distL="114300" distR="114300" simplePos="0" relativeHeight="252097024" behindDoc="0" locked="0" layoutInCell="1" allowOverlap="1" wp14:anchorId="6FA79141" wp14:editId="62F3C76B">
                <wp:simplePos x="0" y="0"/>
                <wp:positionH relativeFrom="column">
                  <wp:posOffset>4305300</wp:posOffset>
                </wp:positionH>
                <wp:positionV relativeFrom="paragraph">
                  <wp:posOffset>2019935</wp:posOffset>
                </wp:positionV>
                <wp:extent cx="1209675" cy="190500"/>
                <wp:effectExtent l="28575" t="19685" r="9525" b="8890"/>
                <wp:wrapNone/>
                <wp:docPr id="400" name="AutoShape 13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90500"/>
                        </a:xfrm>
                        <a:prstGeom prst="leftArrow">
                          <a:avLst>
                            <a:gd name="adj1" fmla="val 50000"/>
                            <a:gd name="adj2" fmla="val 15875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95A51" id="AutoShape 1317" o:spid="_x0000_s1026" type="#_x0000_t66" alt="&quot;&quot;" style="position:absolute;margin-left:339pt;margin-top:159.05pt;width:95.25pt;height:15pt;z-index:2520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" fillcolor="red"/>
            </w:pict>
          </mc:Fallback>
        </mc:AlternateContent>
      </w:r>
      <w:r w:rsidR="000D602C">
        <w:rPr>
          <w:noProof/>
        </w:rPr>
        <w:drawing>
          <wp:inline distT="0" distB="0" distL="0" distR="0" wp14:anchorId="52DA02C1" wp14:editId="3D363BB9">
            <wp:extent cx="5943600" cy="3526790"/>
            <wp:effectExtent l="0" t="0" r="0" b="0"/>
            <wp:docPr id="153" name="Picture 1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a:extLst>
                        <a:ext uri="{C183D7F6-B498-43B3-948B-1728B52AA6E4}">
                          <adec:decorative xmlns:adec="http://schemas.microsoft.com/office/drawing/2017/decorative" val="1"/>
                        </a:ext>
                      </a:extLst>
                    </pic:cNvPr>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43600" cy="3526790"/>
                    </a:xfrm>
                    <a:prstGeom prst="rect">
                      <a:avLst/>
                    </a:prstGeom>
                    <a:noFill/>
                    <a:ln>
                      <a:noFill/>
                    </a:ln>
                  </pic:spPr>
                </pic:pic>
              </a:graphicData>
            </a:graphic>
          </wp:inline>
        </w:drawing>
      </w:r>
    </w:p>
    <w:p w14:paraId="3F1D6DE2" w14:textId="77777777" w:rsidR="0073493B" w:rsidRDefault="00AC2D9E" w:rsidP="0073493B">
      <w:pPr>
        <w:pStyle w:val="Heading2"/>
      </w:pPr>
      <w:r>
        <w:br w:type="page"/>
      </w:r>
      <w:bookmarkStart w:id="527" w:name="_Toc47516746"/>
      <w:r w:rsidR="0073493B">
        <w:lastRenderedPageBreak/>
        <w:t>Maintain Specimen</w:t>
      </w:r>
      <w:bookmarkEnd w:id="527"/>
      <w:r w:rsidR="0073493B">
        <w:fldChar w:fldCharType="begin"/>
      </w:r>
      <w:r w:rsidR="0073493B">
        <w:instrText xml:space="preserve"> XE “Maintain Specimen” </w:instrText>
      </w:r>
      <w:r w:rsidR="0073493B">
        <w:fldChar w:fldCharType="end"/>
      </w:r>
      <w:r w:rsidR="0073493B">
        <w:t xml:space="preserve"> </w:t>
      </w:r>
      <w:r w:rsidR="0073493B">
        <w:rPr>
          <w:rFonts w:ascii="Times New Roman" w:hAnsi="Times New Roman" w:cs="Times New Roman"/>
          <w:b w:val="0"/>
          <w:i w:val="0"/>
          <w:vanish/>
          <w:sz w:val="22"/>
        </w:rPr>
        <w:t>UC_35</w:t>
      </w:r>
    </w:p>
    <w:p w14:paraId="670D41BA" w14:textId="77777777" w:rsidR="0073493B" w:rsidRDefault="0073493B" w:rsidP="0073493B">
      <w:pPr>
        <w:pStyle w:val="BodyText"/>
      </w:pPr>
      <w:r>
        <w:t xml:space="preserve">A specimen for testing is received in the blood bank and is processed as part of initial order acceptance, as described in Accept Orders: Accept an Order. </w:t>
      </w:r>
    </w:p>
    <w:p w14:paraId="029F797B" w14:textId="77777777" w:rsidR="0073493B" w:rsidRDefault="0073493B" w:rsidP="0073493B">
      <w:pPr>
        <w:pStyle w:val="Heading4"/>
      </w:pPr>
      <w:r>
        <w:t>Assumptions</w:t>
      </w:r>
      <w:r>
        <w:rPr>
          <w:b w:val="0"/>
        </w:rPr>
        <w:t xml:space="preserve"> </w:t>
      </w:r>
    </w:p>
    <w:p w14:paraId="3B040F4B" w14:textId="77777777" w:rsidR="0073493B" w:rsidRDefault="0073493B" w:rsidP="0073493B">
      <w:pPr>
        <w:pStyle w:val="ListBullet"/>
      </w:pPr>
      <w:r>
        <w:t>Pending CPRS orders and active orders require an acceptable specimen.</w:t>
      </w:r>
    </w:p>
    <w:p w14:paraId="25CB7F26" w14:textId="77777777" w:rsidR="0073493B" w:rsidRDefault="0073493B" w:rsidP="0073493B">
      <w:pPr>
        <w:pStyle w:val="ListBullet"/>
      </w:pPr>
      <w:r>
        <w:t xml:space="preserve">A specimen was collected and previously accessioned in the </w:t>
      </w:r>
      <w:r w:rsidRPr="00CA6E27">
        <w:rPr>
          <w:bCs/>
        </w:rPr>
        <w:t>VistA</w:t>
      </w:r>
      <w:r>
        <w:rPr>
          <w:b/>
          <w:bCs/>
        </w:rPr>
        <w:t xml:space="preserve"> </w:t>
      </w:r>
      <w:r>
        <w:rPr>
          <w:bCs/>
        </w:rPr>
        <w:t>Laboratory system, which generated</w:t>
      </w:r>
      <w:r>
        <w:t xml:space="preserve"> the specimen’s universal ID (UID). </w:t>
      </w:r>
    </w:p>
    <w:p w14:paraId="0AD9A98D" w14:textId="77777777" w:rsidR="0073493B" w:rsidRDefault="0073493B" w:rsidP="0073493B">
      <w:pPr>
        <w:pStyle w:val="Heading4"/>
      </w:pPr>
      <w:r>
        <w:t xml:space="preserve">Outcome </w:t>
      </w:r>
    </w:p>
    <w:p w14:paraId="5B4A4A68" w14:textId="77777777" w:rsidR="0073493B" w:rsidRDefault="0073493B" w:rsidP="0073493B">
      <w:pPr>
        <w:pStyle w:val="ListBullet"/>
      </w:pPr>
      <w:r>
        <w:t>The user accepted or rejected a specimen.</w:t>
      </w:r>
    </w:p>
    <w:p w14:paraId="4C155CDC" w14:textId="77777777" w:rsidR="0073493B" w:rsidRDefault="0073493B" w:rsidP="0073493B">
      <w:pPr>
        <w:pStyle w:val="Heading4"/>
      </w:pPr>
      <w:r>
        <w:t>Limitations and Restrictions</w:t>
      </w:r>
      <w:r>
        <w:rPr>
          <w:b w:val="0"/>
        </w:rPr>
        <w:t xml:space="preserve"> </w:t>
      </w:r>
    </w:p>
    <w:p w14:paraId="6A983F08" w14:textId="77777777" w:rsidR="00597E97" w:rsidRDefault="00597E97" w:rsidP="0073493B">
      <w:pPr>
        <w:pStyle w:val="ListBullet"/>
      </w:pPr>
      <w:r>
        <w:t>When a search by UID causes VBECS to time out, repeat the search by UID and patient name or by patient name only.</w:t>
      </w:r>
      <w:r w:rsidR="009303DE">
        <w:t xml:space="preserve"> </w:t>
      </w:r>
      <w:r w:rsidR="009303DE" w:rsidRPr="009303DE">
        <w:rPr>
          <w:vanish/>
        </w:rPr>
        <w:t>(UserDoc Tasks 1089 and 1090)</w:t>
      </w:r>
    </w:p>
    <w:p w14:paraId="6DB71150" w14:textId="77777777" w:rsidR="0073493B" w:rsidRDefault="0073493B" w:rsidP="0073493B">
      <w:pPr>
        <w:pStyle w:val="ListBullet"/>
      </w:pPr>
      <w:r>
        <w:t>Specimen recollection requests must be made offline.</w:t>
      </w:r>
    </w:p>
    <w:p w14:paraId="23200A1F" w14:textId="77777777" w:rsidR="008F0300" w:rsidRDefault="008F0300" w:rsidP="0073493B">
      <w:pPr>
        <w:pStyle w:val="ListBullet"/>
      </w:pPr>
      <w:bookmarkStart w:id="528" w:name="OLE_LINK5"/>
      <w:bookmarkStart w:id="529" w:name="OLE_LINK6"/>
      <w:r>
        <w:t>Designating a specimen as “unacceptable” after accepting a CPRS order closes that order and requires a new CPRS order and sample.</w:t>
      </w:r>
    </w:p>
    <w:bookmarkEnd w:id="528"/>
    <w:bookmarkEnd w:id="529"/>
    <w:p w14:paraId="1F311C02" w14:textId="77777777" w:rsidR="0073493B" w:rsidRDefault="0073493B" w:rsidP="0073493B">
      <w:pPr>
        <w:pStyle w:val="Heading4"/>
      </w:pPr>
      <w:r>
        <w:t xml:space="preserve">Additional Information </w:t>
      </w:r>
    </w:p>
    <w:p w14:paraId="3A0C3CE9" w14:textId="58A97DEB" w:rsidR="0073493B" w:rsidRDefault="0073493B" w:rsidP="0073493B">
      <w:pPr>
        <w:pStyle w:val="ListBullet"/>
      </w:pPr>
      <w:r>
        <w:t>A specimen may be marked unsuitable for use after its acceptance.</w:t>
      </w:r>
      <w:r w:rsidR="00963554">
        <w:t xml:space="preserve"> </w:t>
      </w:r>
      <w:r w:rsidR="00963554" w:rsidRPr="00963554">
        <w:rPr>
          <w:vanish/>
        </w:rPr>
        <w:t>Defect 213368</w:t>
      </w:r>
    </w:p>
    <w:p w14:paraId="02899BBA" w14:textId="77777777" w:rsidR="0073493B" w:rsidRDefault="0073493B" w:rsidP="0073493B">
      <w:pPr>
        <w:pStyle w:val="ListBullet"/>
      </w:pPr>
      <w:r>
        <w:t>A specimen expiration date may be edited after acceptance.</w:t>
      </w:r>
    </w:p>
    <w:p w14:paraId="7427E351" w14:textId="77777777" w:rsidR="0073493B" w:rsidRDefault="0073493B" w:rsidP="0073493B">
      <w:pPr>
        <w:pStyle w:val="ListBullet"/>
      </w:pPr>
      <w:r>
        <w:t>A specimen may be recollected without</w:t>
      </w:r>
      <w:r w:rsidR="008F0300">
        <w:t xml:space="preserve"> canceling or reordering</w:t>
      </w:r>
      <w:r>
        <w:t xml:space="preserve"> the </w:t>
      </w:r>
      <w:r w:rsidRPr="00CA6E27">
        <w:rPr>
          <w:bCs/>
        </w:rPr>
        <w:t>VistA</w:t>
      </w:r>
      <w:r>
        <w:t xml:space="preserve"> order. This practice is dictated by local policy and procedures.</w:t>
      </w:r>
    </w:p>
    <w:p w14:paraId="394895D6" w14:textId="77777777" w:rsidR="0073493B" w:rsidRDefault="0073493B" w:rsidP="0073493B">
      <w:pPr>
        <w:pStyle w:val="ListBullet"/>
      </w:pPr>
      <w:r>
        <w:t>Specimens marked as originally associated with diagnostic tests only or unacceptable are not considered available specimens when CPRS is queried for specimen availability.</w:t>
      </w:r>
    </w:p>
    <w:p w14:paraId="30A90371" w14:textId="77777777" w:rsidR="0073493B" w:rsidRDefault="0073493B" w:rsidP="0073493B">
      <w:pPr>
        <w:pStyle w:val="Heading4"/>
        <w:rPr>
          <w:b w:val="0"/>
        </w:rPr>
      </w:pPr>
      <w:r>
        <w:t>User Roles with Access to This Option</w:t>
      </w:r>
    </w:p>
    <w:p w14:paraId="5EF5D194" w14:textId="77777777" w:rsidR="0073493B" w:rsidRDefault="0073493B" w:rsidP="0073493B">
      <w:pPr>
        <w:pStyle w:val="Roles"/>
        <w:rPr>
          <w:snapToGrid w:val="0"/>
        </w:rPr>
      </w:pPr>
      <w:r>
        <w:t>All users</w:t>
      </w:r>
    </w:p>
    <w:p w14:paraId="1775F834" w14:textId="77777777" w:rsidR="0073493B" w:rsidRDefault="0073493B" w:rsidP="0073493B">
      <w:pPr>
        <w:pStyle w:val="Heading4"/>
      </w:pPr>
      <w:r>
        <w:t>Maintain Specimen</w:t>
      </w:r>
    </w:p>
    <w:p w14:paraId="23BFA9C6" w14:textId="77777777" w:rsidR="0073493B" w:rsidRDefault="0073493B" w:rsidP="0073493B">
      <w:pPr>
        <w:pStyle w:val="BodyText"/>
      </w:pPr>
      <w:r>
        <w:t xml:space="preserve">A specimen for testing is received in the blood bank and is processed as part of initial order acceptance, as described in Accept Orders: Accept an Order. </w:t>
      </w:r>
    </w:p>
    <w:p w14:paraId="0AE0E454" w14:textId="77777777" w:rsidR="0073493B" w:rsidRDefault="0073493B" w:rsidP="0073493B">
      <w:pPr>
        <w:pStyle w:val="BodyText"/>
      </w:pPr>
      <w:r>
        <w:t>Information about a previously accepted specimen may be updated. The user may verify whether an active specimen is currently in the blood bank or update the information concerning a previously accepted specimen. After the user checks the physician’s order against the specimen requirement, the user verifies the specimen’s condition, labeling, and accompanying paperwork, according to local policy. The user verifies the specimen information and acceptability and prepares the specimen for testing.</w:t>
      </w:r>
    </w:p>
    <w:p w14:paraId="70A4245C" w14:textId="77777777" w:rsidR="0073493B" w:rsidRDefault="0073493B" w:rsidP="0073493B">
      <w:pPr>
        <w:pStyle w:val="BodyText"/>
      </w:pPr>
      <w:r>
        <w:t xml:space="preserve">The user may edit specimen information, such as extending the expiration time according to local policy, and marking a specimen as unsatisfactory or expired so that future orders require that a new specimen be collected. </w:t>
      </w:r>
    </w:p>
    <w:p w14:paraId="6413BFF3" w14:textId="77777777" w:rsidR="00E661A1" w:rsidRDefault="0073493B" w:rsidP="0073493B">
      <w:pPr>
        <w:pStyle w:val="BodyText"/>
      </w:pPr>
      <w:r>
        <w:t>When a specimen is required, the user must find that specimen before acknowledging that order, as described in Accept Orders: Accept an Order.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3493B" w14:paraId="1936C87B" w14:textId="77777777">
        <w:trPr>
          <w:cantSplit/>
          <w:tblHeader/>
        </w:trPr>
        <w:tc>
          <w:tcPr>
            <w:tcW w:w="3240" w:type="dxa"/>
            <w:shd w:val="pct30" w:color="auto" w:fill="FFFFFF"/>
            <w:vAlign w:val="bottom"/>
          </w:tcPr>
          <w:p w14:paraId="7983C2AA" w14:textId="14F49460" w:rsidR="0073493B" w:rsidRDefault="00E661A1" w:rsidP="00141448">
            <w:pPr>
              <w:pStyle w:val="TableText"/>
              <w:rPr>
                <w:b/>
              </w:rPr>
            </w:pPr>
            <w:r>
              <w:lastRenderedPageBreak/>
              <w:br w:type="page"/>
            </w:r>
            <w:r w:rsidR="0073493B">
              <w:rPr>
                <w:b/>
              </w:rPr>
              <w:t>User Action</w:t>
            </w:r>
          </w:p>
        </w:tc>
        <w:tc>
          <w:tcPr>
            <w:tcW w:w="6120" w:type="dxa"/>
            <w:shd w:val="pct30" w:color="auto" w:fill="FFFFFF"/>
            <w:vAlign w:val="bottom"/>
          </w:tcPr>
          <w:p w14:paraId="4ECFE952" w14:textId="77777777" w:rsidR="0073493B" w:rsidRDefault="0073493B" w:rsidP="00141448">
            <w:pPr>
              <w:pStyle w:val="TableText"/>
              <w:rPr>
                <w:b/>
              </w:rPr>
            </w:pPr>
            <w:r>
              <w:rPr>
                <w:b/>
              </w:rPr>
              <w:t>VBECS</w:t>
            </w:r>
          </w:p>
        </w:tc>
      </w:tr>
      <w:tr w:rsidR="0073493B" w14:paraId="36AB06AA" w14:textId="77777777">
        <w:tc>
          <w:tcPr>
            <w:tcW w:w="3240" w:type="dxa"/>
          </w:tcPr>
          <w:p w14:paraId="65B5DA6B" w14:textId="77777777" w:rsidR="0073493B" w:rsidRDefault="0073493B" w:rsidP="00141448">
            <w:pPr>
              <w:pStyle w:val="TableTextNumbers"/>
            </w:pPr>
            <w:r>
              <w:t xml:space="preserve">Select </w:t>
            </w:r>
            <w:r>
              <w:rPr>
                <w:b/>
              </w:rPr>
              <w:t>Orders</w:t>
            </w:r>
            <w:r>
              <w:t xml:space="preserve"> from the main menu.</w:t>
            </w:r>
          </w:p>
          <w:p w14:paraId="0C891C82" w14:textId="77777777" w:rsidR="0073493B" w:rsidRDefault="0073493B" w:rsidP="00141448">
            <w:pPr>
              <w:pStyle w:val="TableTextNumbersContinued"/>
            </w:pPr>
          </w:p>
          <w:p w14:paraId="03174E58" w14:textId="77777777" w:rsidR="0073493B" w:rsidRDefault="0073493B" w:rsidP="00141448">
            <w:pPr>
              <w:pStyle w:val="TableTextNumbersContinued"/>
            </w:pPr>
            <w:r>
              <w:t xml:space="preserve">Select </w:t>
            </w:r>
            <w:r>
              <w:rPr>
                <w:b/>
              </w:rPr>
              <w:t>Maintain Specimen</w:t>
            </w:r>
            <w:r>
              <w:t>.</w:t>
            </w:r>
          </w:p>
        </w:tc>
        <w:tc>
          <w:tcPr>
            <w:tcW w:w="6120" w:type="dxa"/>
          </w:tcPr>
          <w:p w14:paraId="30253267" w14:textId="77777777" w:rsidR="0073493B" w:rsidRDefault="0073493B" w:rsidP="00141448">
            <w:pPr>
              <w:pStyle w:val="TableTextBullet"/>
            </w:pPr>
            <w:r>
              <w:t>Displays options for processing orders.</w:t>
            </w:r>
          </w:p>
          <w:p w14:paraId="1E0B683F" w14:textId="77777777" w:rsidR="0073493B" w:rsidRDefault="0073493B" w:rsidP="00141448">
            <w:pPr>
              <w:pStyle w:val="TableTextBullet"/>
            </w:pPr>
            <w:r>
              <w:t>Displays fields for entering patient specimen information.</w:t>
            </w:r>
          </w:p>
        </w:tc>
      </w:tr>
      <w:tr w:rsidR="0073493B" w14:paraId="54DD1152" w14:textId="77777777">
        <w:tc>
          <w:tcPr>
            <w:tcW w:w="3240" w:type="dxa"/>
          </w:tcPr>
          <w:p w14:paraId="5A2B7010" w14:textId="77777777" w:rsidR="0073493B" w:rsidRDefault="0073493B" w:rsidP="00141448">
            <w:pPr>
              <w:pStyle w:val="TableTextNumbers"/>
            </w:pPr>
            <w:r>
              <w:t>Scan or enter the specimen’s UID.</w:t>
            </w:r>
          </w:p>
        </w:tc>
        <w:tc>
          <w:tcPr>
            <w:tcW w:w="6120" w:type="dxa"/>
          </w:tcPr>
          <w:p w14:paraId="4F76FA84" w14:textId="77777777" w:rsidR="0073493B" w:rsidRDefault="0073493B" w:rsidP="00141448">
            <w:pPr>
              <w:pStyle w:val="TableTextBullet"/>
            </w:pPr>
            <w:r>
              <w:t xml:space="preserve">Displays a field to enter the specimen UID and allows the user to search for existing specimens. </w:t>
            </w:r>
          </w:p>
          <w:p w14:paraId="22757897" w14:textId="77777777" w:rsidR="0073493B" w:rsidRDefault="0073493B" w:rsidP="00141448">
            <w:pPr>
              <w:pStyle w:val="TableTextBullet"/>
            </w:pPr>
            <w:r>
              <w:t>Displays previously entered information for the specimen and accommodates data entry of new specimen information.</w:t>
            </w:r>
          </w:p>
          <w:p w14:paraId="0F9FFC25" w14:textId="77777777" w:rsidR="0073493B" w:rsidRDefault="0073493B" w:rsidP="00141448">
            <w:pPr>
              <w:pStyle w:val="TableText"/>
            </w:pPr>
          </w:p>
          <w:p w14:paraId="0798CF44" w14:textId="70F9DE91" w:rsidR="0073493B" w:rsidRDefault="0073493B" w:rsidP="00141448">
            <w:pPr>
              <w:pStyle w:val="TableText"/>
              <w:rPr>
                <w:b/>
                <w:bCs/>
                <w:szCs w:val="18"/>
              </w:rPr>
            </w:pPr>
            <w:r>
              <w:rPr>
                <w:b/>
                <w:bCs/>
                <w:szCs w:val="18"/>
              </w:rPr>
              <w:t>NOTES</w:t>
            </w:r>
          </w:p>
          <w:p w14:paraId="0C54238C" w14:textId="77777777" w:rsidR="0073493B" w:rsidRDefault="0073493B" w:rsidP="00141448">
            <w:pPr>
              <w:pStyle w:val="NotesText"/>
            </w:pPr>
          </w:p>
          <w:p w14:paraId="12E45C0C" w14:textId="77777777" w:rsidR="0073493B" w:rsidRDefault="0073493B" w:rsidP="00141448">
            <w:pPr>
              <w:pStyle w:val="NotesText"/>
            </w:pPr>
            <w:r>
              <w:t xml:space="preserve">The user may: </w:t>
            </w:r>
          </w:p>
          <w:p w14:paraId="5DABF5F3" w14:textId="77777777" w:rsidR="0073493B" w:rsidRDefault="0073493B" w:rsidP="00141448">
            <w:pPr>
              <w:pStyle w:val="NotesTextBullet"/>
            </w:pPr>
            <w:r>
              <w:t>Create and/or maintain a specimen associated with an order from Accept Orders: Accept an Order.</w:t>
            </w:r>
          </w:p>
          <w:p w14:paraId="290750F5" w14:textId="77777777" w:rsidR="0073493B" w:rsidRDefault="0073493B" w:rsidP="00141448">
            <w:pPr>
              <w:pStyle w:val="NotesTextBullet"/>
            </w:pPr>
            <w:r>
              <w:t>Update specimen information from a previously received specimen.</w:t>
            </w:r>
          </w:p>
          <w:p w14:paraId="18B98D24" w14:textId="77777777" w:rsidR="0073493B" w:rsidRDefault="0073493B" w:rsidP="00141448">
            <w:pPr>
              <w:pStyle w:val="NotesText"/>
            </w:pPr>
          </w:p>
          <w:p w14:paraId="21685228" w14:textId="77777777" w:rsidR="0073493B" w:rsidRDefault="0073493B" w:rsidP="00141448">
            <w:pPr>
              <w:pStyle w:val="NotesText"/>
            </w:pPr>
            <w:r>
              <w:rPr>
                <w:rFonts w:cs="Arial"/>
                <w:vanish/>
              </w:rPr>
              <w:t xml:space="preserve">BR_35.04 </w:t>
            </w:r>
            <w:r>
              <w:t xml:space="preserve">Specimens associated with blood bank diagnostic tests are not available in Maintain Specimen. </w:t>
            </w:r>
            <w:r w:rsidR="00113E2C">
              <w:t>Specimens collected for diagnostic tests only are to be used for performing the specifically ordered tests and are not available for processing blood component orders.</w:t>
            </w:r>
            <w:r w:rsidR="00A4315F">
              <w:t xml:space="preserve"> </w:t>
            </w:r>
          </w:p>
          <w:p w14:paraId="3A248539" w14:textId="77777777" w:rsidR="0073493B" w:rsidRDefault="0073493B" w:rsidP="00141448">
            <w:pPr>
              <w:pStyle w:val="NotesText"/>
            </w:pPr>
          </w:p>
          <w:p w14:paraId="2617BA7E" w14:textId="77777777" w:rsidR="0073493B" w:rsidRDefault="0073493B" w:rsidP="00141448">
            <w:pPr>
              <w:pStyle w:val="NotesText"/>
            </w:pPr>
            <w:r>
              <w:t>The orders and associated specimens are maintained for three days before the order or specimen expires: Type &amp; Screen (TAS), component orders (RBC, FFP, CRYO, PLT, WB, OTHER).</w:t>
            </w:r>
          </w:p>
          <w:p w14:paraId="775A44FE" w14:textId="77777777" w:rsidR="0073493B" w:rsidRDefault="0073493B" w:rsidP="00141448">
            <w:pPr>
              <w:pStyle w:val="NotesText"/>
            </w:pPr>
          </w:p>
          <w:p w14:paraId="5D15C094" w14:textId="77777777" w:rsidR="0073493B" w:rsidRDefault="0073493B" w:rsidP="00141448">
            <w:pPr>
              <w:pStyle w:val="NotesText"/>
            </w:pPr>
            <w:r>
              <w:t>The list of orderable and reflex tests below may be added to a specimen maintained for a component order, but may not have a component order added to them: they do not have maintained specimens.</w:t>
            </w:r>
          </w:p>
          <w:p w14:paraId="2689D4CB" w14:textId="77777777" w:rsidR="0073493B" w:rsidRDefault="0073493B" w:rsidP="00141448">
            <w:pPr>
              <w:pStyle w:val="NotesText"/>
            </w:pPr>
          </w:p>
          <w:p w14:paraId="10B54039" w14:textId="77777777" w:rsidR="0073493B" w:rsidRDefault="0073493B" w:rsidP="00141448">
            <w:pPr>
              <w:pStyle w:val="NotesText"/>
            </w:pPr>
            <w:r>
              <w:t>The</w:t>
            </w:r>
            <w:r w:rsidR="00C53077">
              <w:t>se test</w:t>
            </w:r>
            <w:r>
              <w:t xml:space="preserve">s have a specimen drawn and used for their ordered test. The specimens are not maintained for component preparation: </w:t>
            </w:r>
          </w:p>
          <w:p w14:paraId="146D8155" w14:textId="77777777" w:rsidR="0073493B" w:rsidRDefault="0073493B" w:rsidP="00141448">
            <w:pPr>
              <w:pStyle w:val="NotesTextBullet"/>
            </w:pPr>
            <w:r>
              <w:t>DAT</w:t>
            </w:r>
          </w:p>
          <w:p w14:paraId="48075D50" w14:textId="77777777" w:rsidR="0073493B" w:rsidRDefault="0073493B" w:rsidP="00141448">
            <w:pPr>
              <w:pStyle w:val="NotesTextBullet"/>
            </w:pPr>
            <w:r>
              <w:t>ABS</w:t>
            </w:r>
          </w:p>
          <w:p w14:paraId="5D93B22F" w14:textId="77777777" w:rsidR="0073493B" w:rsidRDefault="0073493B" w:rsidP="00141448">
            <w:pPr>
              <w:pStyle w:val="NotesTextBullet"/>
            </w:pPr>
            <w:r>
              <w:t>ABO/Rh</w:t>
            </w:r>
          </w:p>
          <w:p w14:paraId="0627930A" w14:textId="77777777" w:rsidR="0073493B" w:rsidRDefault="00A10483" w:rsidP="00141448">
            <w:pPr>
              <w:pStyle w:val="NotesTextBullet"/>
            </w:pPr>
            <w:r>
              <w:t>Transfusion</w:t>
            </w:r>
            <w:r w:rsidR="00113E2C">
              <w:t xml:space="preserve"> </w:t>
            </w:r>
            <w:r w:rsidR="0073493B">
              <w:t>R</w:t>
            </w:r>
            <w:r w:rsidR="00113E2C">
              <w:t xml:space="preserve">eaction </w:t>
            </w:r>
            <w:r w:rsidR="0073493B">
              <w:t>W</w:t>
            </w:r>
            <w:r w:rsidR="00113E2C">
              <w:t>orkup (TRW)</w:t>
            </w:r>
          </w:p>
          <w:p w14:paraId="37409191" w14:textId="77777777" w:rsidR="0073493B" w:rsidRDefault="0073493B" w:rsidP="00141448">
            <w:pPr>
              <w:pStyle w:val="NotesText"/>
            </w:pPr>
          </w:p>
          <w:p w14:paraId="431D4496" w14:textId="77777777" w:rsidR="0073493B" w:rsidRDefault="0073493B" w:rsidP="00564CD2">
            <w:pPr>
              <w:pStyle w:val="NotesText"/>
            </w:pPr>
            <w:r>
              <w:rPr>
                <w:rFonts w:cs="Arial"/>
                <w:vanish/>
              </w:rPr>
              <w:t xml:space="preserve">BR_35.22 </w:t>
            </w:r>
            <w:r>
              <w:t>VBECS allows the user to search all existing patient specimens associated with a specific patient. The user may enter the patient name or a specimen UID to access the list.</w:t>
            </w:r>
          </w:p>
        </w:tc>
      </w:tr>
      <w:tr w:rsidR="0073493B" w14:paraId="62CED686" w14:textId="77777777">
        <w:tc>
          <w:tcPr>
            <w:tcW w:w="3240" w:type="dxa"/>
          </w:tcPr>
          <w:p w14:paraId="3FEE6708" w14:textId="10B69FDB" w:rsidR="0073493B" w:rsidRDefault="0073493B" w:rsidP="00141448">
            <w:pPr>
              <w:pStyle w:val="TableTextNumbers"/>
            </w:pPr>
            <w:r>
              <w:t>Enter new specimen information or edit previously entered information</w:t>
            </w:r>
            <w:r w:rsidR="00833047">
              <w:t xml:space="preserve"> (</w:t>
            </w:r>
            <w:r w:rsidR="00833047">
              <w:fldChar w:fldCharType="begin"/>
            </w:r>
            <w:r w:rsidR="00833047">
              <w:instrText xml:space="preserve"> REF _Ref126722649 \h </w:instrText>
            </w:r>
            <w:r w:rsidR="00833047">
              <w:fldChar w:fldCharType="separate"/>
            </w:r>
            <w:r w:rsidR="004353ED">
              <w:t xml:space="preserve">Figure </w:t>
            </w:r>
            <w:r w:rsidR="004353ED">
              <w:rPr>
                <w:noProof/>
              </w:rPr>
              <w:t>114</w:t>
            </w:r>
            <w:r w:rsidR="00833047">
              <w:fldChar w:fldCharType="end"/>
            </w:r>
            <w:r w:rsidR="00833047">
              <w:t>)</w:t>
            </w:r>
            <w:r>
              <w:t>.</w:t>
            </w:r>
          </w:p>
        </w:tc>
        <w:tc>
          <w:tcPr>
            <w:tcW w:w="6120" w:type="dxa"/>
          </w:tcPr>
          <w:p w14:paraId="37F37B7E" w14:textId="77777777" w:rsidR="0073493B" w:rsidRPr="00BF10B2" w:rsidRDefault="0073493B" w:rsidP="00141448">
            <w:pPr>
              <w:pStyle w:val="TableTextBullet"/>
            </w:pPr>
            <w:r w:rsidRPr="00BF10B2">
              <w:t xml:space="preserve">Displays uneditable patient demographic information. </w:t>
            </w:r>
          </w:p>
          <w:p w14:paraId="12D56598" w14:textId="77777777" w:rsidR="0073493B" w:rsidRPr="00BF10B2" w:rsidRDefault="0073493B" w:rsidP="00141448">
            <w:pPr>
              <w:pStyle w:val="TableTextBullet"/>
            </w:pPr>
            <w:r w:rsidRPr="00BF10B2">
              <w:t>Displays an option to edit.</w:t>
            </w:r>
          </w:p>
          <w:p w14:paraId="1FA74360" w14:textId="77777777" w:rsidR="0073493B" w:rsidRPr="00BF10B2" w:rsidRDefault="0073493B" w:rsidP="00141448">
            <w:pPr>
              <w:pStyle w:val="TableText"/>
            </w:pPr>
          </w:p>
          <w:p w14:paraId="6ED07477" w14:textId="3CDC56B0" w:rsidR="0073493B" w:rsidRDefault="0073493B" w:rsidP="00141448">
            <w:pPr>
              <w:pStyle w:val="TableText"/>
              <w:rPr>
                <w:b/>
                <w:bCs/>
                <w:szCs w:val="18"/>
              </w:rPr>
            </w:pPr>
            <w:r>
              <w:rPr>
                <w:b/>
                <w:bCs/>
                <w:szCs w:val="18"/>
              </w:rPr>
              <w:t>NOTES</w:t>
            </w:r>
          </w:p>
          <w:p w14:paraId="4E10FB15" w14:textId="77777777" w:rsidR="0073493B" w:rsidRDefault="0073493B" w:rsidP="00141448">
            <w:pPr>
              <w:pStyle w:val="NotesText"/>
            </w:pPr>
          </w:p>
          <w:p w14:paraId="7C7D2639" w14:textId="40F724AC" w:rsidR="0073493B" w:rsidRDefault="0073493B" w:rsidP="00141448">
            <w:pPr>
              <w:pStyle w:val="NotesText"/>
            </w:pPr>
            <w:r>
              <w:rPr>
                <w:rFonts w:cs="Arial"/>
                <w:vanish/>
              </w:rPr>
              <w:t xml:space="preserve">BR_35.01 </w:t>
            </w:r>
            <w:r>
              <w:t xml:space="preserve">When the user extends the specimen expiration date and time, VBECS calculates the number of days by which the specimen was extended (based on the originally calculated expiration date) and the newly entered expiration date. VBECS compares the difference to the site parameter for the maximum number of extension days allowed for a specimen. When the entered </w:t>
            </w:r>
            <w:r>
              <w:lastRenderedPageBreak/>
              <w:t>expiration date exceeds the parameter, VBECS warns the user. There is no override.</w:t>
            </w:r>
          </w:p>
          <w:p w14:paraId="6446B2F9" w14:textId="0D70C745" w:rsidR="0071742A" w:rsidRDefault="0071742A" w:rsidP="00141448">
            <w:pPr>
              <w:pStyle w:val="NotesText"/>
            </w:pPr>
          </w:p>
          <w:p w14:paraId="3A995970" w14:textId="1A0FB8EA" w:rsidR="0071742A" w:rsidRDefault="000A7EFC" w:rsidP="00A96612">
            <w:pPr>
              <w:pStyle w:val="NotesText"/>
            </w:pPr>
            <w:r>
              <w:t>W</w:t>
            </w:r>
            <w:r w:rsidRPr="000A7EFC">
              <w:t>hen a sp</w:t>
            </w:r>
            <w:r>
              <w:t>ecimen expiration date is exten</w:t>
            </w:r>
            <w:r w:rsidRPr="000A7EFC">
              <w:t>ded</w:t>
            </w:r>
            <w:r>
              <w:t xml:space="preserve"> on patients with t</w:t>
            </w:r>
            <w:r w:rsidRPr="000A7EFC">
              <w:t>ransfusions greater than 3 months in the pa</w:t>
            </w:r>
            <w:r>
              <w:t>st</w:t>
            </w:r>
            <w:r w:rsidR="00737DBB">
              <w:t>,</w:t>
            </w:r>
            <w:r>
              <w:t xml:space="preserve"> it will trigger the warning that patient has been transfused in the past 3 months.</w:t>
            </w:r>
            <w:r w:rsidR="00730CAA">
              <w:t xml:space="preserve"> </w:t>
            </w:r>
            <w:r>
              <w:t>Users should c</w:t>
            </w:r>
            <w:r w:rsidRPr="000A7EFC">
              <w:t>omplete the override as requested to proceed per local policy and procedure.</w:t>
            </w:r>
            <w:r w:rsidR="00730CAA">
              <w:t xml:space="preserve"> </w:t>
            </w:r>
            <w:r w:rsidR="00730CAA" w:rsidRPr="00730CAA">
              <w:rPr>
                <w:vanish/>
              </w:rPr>
              <w:t>Defect 209734</w:t>
            </w:r>
          </w:p>
          <w:p w14:paraId="6830517D" w14:textId="77777777" w:rsidR="0073493B" w:rsidRDefault="0073493B" w:rsidP="00141448">
            <w:pPr>
              <w:pStyle w:val="NotesText"/>
            </w:pPr>
          </w:p>
          <w:p w14:paraId="20B3211F" w14:textId="77777777" w:rsidR="0073493B" w:rsidRDefault="0073493B" w:rsidP="00141448">
            <w:pPr>
              <w:pStyle w:val="NotesText"/>
            </w:pPr>
            <w:r>
              <w:rPr>
                <w:rFonts w:cs="Arial"/>
                <w:vanish/>
              </w:rPr>
              <w:t xml:space="preserve">BR_35.02 </w:t>
            </w:r>
            <w:r>
              <w:t>The default expiration date is calculated as three days in the future with the day of the original specimen collection as “0.” For example, a specimen collected on September 16, 200</w:t>
            </w:r>
            <w:r w:rsidR="00E33504">
              <w:t>7</w:t>
            </w:r>
            <w:r>
              <w:t xml:space="preserve"> (regardless of the time), is day “0” and the calculated expiration date and time are September 19, 200</w:t>
            </w:r>
            <w:r w:rsidR="00E33504">
              <w:t>7</w:t>
            </w:r>
            <w:r>
              <w:t xml:space="preserve"> @ 23:59 (midnight).</w:t>
            </w:r>
          </w:p>
          <w:p w14:paraId="130A6DA5" w14:textId="77777777" w:rsidR="0073493B" w:rsidRDefault="0073493B" w:rsidP="00141448">
            <w:pPr>
              <w:pStyle w:val="NotesText"/>
            </w:pPr>
          </w:p>
          <w:p w14:paraId="121CFC15" w14:textId="77777777" w:rsidR="0073493B" w:rsidRDefault="0073493B" w:rsidP="00141448">
            <w:pPr>
              <w:pStyle w:val="NotesText"/>
            </w:pPr>
            <w:r>
              <w:rPr>
                <w:rFonts w:cs="Arial"/>
                <w:vanish/>
              </w:rPr>
              <w:t xml:space="preserve">BR_35.20 </w:t>
            </w:r>
            <w:r>
              <w:t>When a new or existing specimen is being associated with a pending component order during Accept Orders: Accept an Order, the specimen must be acceptable.</w:t>
            </w:r>
          </w:p>
          <w:p w14:paraId="7CFF5A63" w14:textId="77777777" w:rsidR="0073493B" w:rsidRDefault="0073493B" w:rsidP="00141448">
            <w:pPr>
              <w:pStyle w:val="NotesText"/>
            </w:pPr>
          </w:p>
          <w:p w14:paraId="6B3B80F9" w14:textId="77777777" w:rsidR="0073493B" w:rsidRDefault="0073493B" w:rsidP="00141448">
            <w:pPr>
              <w:pStyle w:val="NotesText"/>
            </w:pPr>
            <w:r>
              <w:rPr>
                <w:rFonts w:cs="Arial"/>
                <w:vanish/>
              </w:rPr>
              <w:t xml:space="preserve">BR_16.14 </w:t>
            </w:r>
            <w:r>
              <w:t>When there is a specimen requirement for orders, each order must be evaluated for a valid specimen before it can be accepted.</w:t>
            </w:r>
          </w:p>
          <w:p w14:paraId="64CFB7C8" w14:textId="77777777" w:rsidR="0073493B" w:rsidRDefault="0073493B" w:rsidP="00141448">
            <w:pPr>
              <w:pStyle w:val="NotesText"/>
            </w:pPr>
          </w:p>
          <w:p w14:paraId="0FCA6015" w14:textId="77777777" w:rsidR="0073493B" w:rsidRDefault="0073493B" w:rsidP="00141448">
            <w:pPr>
              <w:pStyle w:val="NotesText"/>
            </w:pPr>
            <w:r>
              <w:rPr>
                <w:rFonts w:cs="Arial"/>
                <w:vanish/>
              </w:rPr>
              <w:t xml:space="preserve">BR_35.21 </w:t>
            </w:r>
            <w:r>
              <w:t>VBECS displays specimen UIDs for selection by CPRS-associated maintainable specimen and then by acceptable and unexpired maintainable specimens, in reverse chronological order.</w:t>
            </w:r>
          </w:p>
          <w:p w14:paraId="61D4B2BC" w14:textId="77777777" w:rsidR="0073493B" w:rsidRDefault="0073493B" w:rsidP="00141448">
            <w:pPr>
              <w:pStyle w:val="NotesText"/>
            </w:pPr>
          </w:p>
          <w:p w14:paraId="37D9BD79" w14:textId="77777777" w:rsidR="0073493B" w:rsidRDefault="0073493B" w:rsidP="00141448">
            <w:pPr>
              <w:pStyle w:val="NotesText"/>
            </w:pPr>
            <w:r>
              <w:t>VBECS allows</w:t>
            </w:r>
            <w:r>
              <w:rPr>
                <w:color w:val="000000"/>
              </w:rPr>
              <w:t xml:space="preserve"> the user to include expired and unacceptable specimens</w:t>
            </w:r>
            <w:r>
              <w:t>.</w:t>
            </w:r>
          </w:p>
          <w:p w14:paraId="3746A95E" w14:textId="77777777" w:rsidR="0073493B" w:rsidRDefault="0073493B" w:rsidP="00141448">
            <w:pPr>
              <w:pStyle w:val="NotesText"/>
            </w:pPr>
          </w:p>
          <w:p w14:paraId="2CDC4FE5" w14:textId="77777777" w:rsidR="0073493B" w:rsidRDefault="0073493B" w:rsidP="00141448">
            <w:pPr>
              <w:pStyle w:val="NotesText"/>
            </w:pPr>
            <w:r>
              <w:rPr>
                <w:rFonts w:cs="Arial"/>
                <w:vanish/>
              </w:rPr>
              <w:t>BR_35.05</w:t>
            </w:r>
            <w:r w:rsidRPr="00323744">
              <w:rPr>
                <w:rStyle w:val="BullhornChar"/>
              </w:rPr>
              <w:t></w:t>
            </w:r>
            <w:r>
              <w:rPr>
                <w:rFonts w:ascii="Webdings" w:hAnsi="Webdings"/>
              </w:rPr>
              <w:t></w:t>
            </w:r>
            <w:r w:rsidRPr="00263B24">
              <w:t>Wh</w:t>
            </w:r>
            <w:r>
              <w:t>en the user attempts to save an expiration date past the default of three days, VBECS checks the patient’s record for evidence of transfusion within the previous three months and the history of antibody identification, regardless of the division. If either is found, VBECS emits an audible alert, warns that the patient has evidence of transfusion within previous three months and/or antibody formation, and instructs the user to enter a comment to extend the specimen expiration date beyond three days. The user must enter a canned comment (with the specimen extension) and/or free-text comment to continue. VBECS captures details for inclusion in an Exception Report (exception type: expiration date extended).</w:t>
            </w:r>
          </w:p>
          <w:p w14:paraId="1AF1C861" w14:textId="77777777" w:rsidR="0073493B" w:rsidRDefault="0073493B" w:rsidP="00141448">
            <w:pPr>
              <w:pStyle w:val="NotesText"/>
            </w:pPr>
          </w:p>
          <w:p w14:paraId="48A0EFF4" w14:textId="77777777" w:rsidR="0073493B" w:rsidRDefault="0073493B" w:rsidP="00141448">
            <w:pPr>
              <w:pStyle w:val="NotesText"/>
            </w:pPr>
            <w:r>
              <w:rPr>
                <w:rFonts w:cs="Arial"/>
                <w:vanish/>
              </w:rPr>
              <w:t xml:space="preserve">BR_35.07 </w:t>
            </w:r>
            <w:r>
              <w:t>When the specimen is deemed unacceptable, the status of the orders associated with the specimen remains “pending” or “active.”</w:t>
            </w:r>
          </w:p>
          <w:p w14:paraId="61223EC0" w14:textId="77777777" w:rsidR="0073493B" w:rsidRDefault="0073493B" w:rsidP="00141448">
            <w:pPr>
              <w:pStyle w:val="NotesText"/>
            </w:pPr>
          </w:p>
          <w:p w14:paraId="79CE4727" w14:textId="77777777" w:rsidR="0073493B" w:rsidRDefault="0073493B" w:rsidP="00141448">
            <w:pPr>
              <w:pStyle w:val="NotesText"/>
            </w:pPr>
            <w:r>
              <w:rPr>
                <w:vanish/>
                <w:szCs w:val="18"/>
              </w:rPr>
              <w:t>BR_35.10</w:t>
            </w:r>
            <w:r w:rsidRPr="00323744">
              <w:rPr>
                <w:rStyle w:val="BullhornChar"/>
              </w:rPr>
              <w:t></w:t>
            </w:r>
            <w:r>
              <w:rPr>
                <w:rFonts w:ascii="Webdings" w:hAnsi="Webdings"/>
              </w:rPr>
              <w:t></w:t>
            </w:r>
            <w:r w:rsidRPr="00263B24">
              <w:t>Wh</w:t>
            </w:r>
            <w:r>
              <w:t xml:space="preserve">en a user attempts to reactivate a previously expired or unacceptable specimen, VBECS emits an audible alert, warns that this is a previously expired or unacceptable specimen, and instructs the user to enter a comment to make it available. A comment is required to continue. VBECS captures details for </w:t>
            </w:r>
            <w:r>
              <w:lastRenderedPageBreak/>
              <w:t>inclusion in an Exception Report (exception type: unacceptable/expired specimen used).</w:t>
            </w:r>
          </w:p>
          <w:p w14:paraId="798CA996" w14:textId="77777777" w:rsidR="0073493B" w:rsidRDefault="0073493B" w:rsidP="00141448">
            <w:pPr>
              <w:pStyle w:val="NotesText"/>
            </w:pPr>
          </w:p>
          <w:p w14:paraId="2452DA9A" w14:textId="77777777" w:rsidR="0073493B" w:rsidRDefault="0073493B" w:rsidP="00141448">
            <w:pPr>
              <w:pStyle w:val="NotesText"/>
            </w:pPr>
            <w:r>
              <w:rPr>
                <w:rFonts w:cs="Arial"/>
                <w:vanish/>
              </w:rPr>
              <w:t xml:space="preserve">BR_35.12 </w:t>
            </w:r>
            <w:r>
              <w:t>VBECS requires the date and time a specimen was collected and the phlebotomist ID.</w:t>
            </w:r>
          </w:p>
          <w:p w14:paraId="19990A35" w14:textId="77777777" w:rsidR="0073493B" w:rsidRDefault="0073493B" w:rsidP="00141448">
            <w:pPr>
              <w:pStyle w:val="NotesText"/>
            </w:pPr>
          </w:p>
          <w:p w14:paraId="1F2958F1" w14:textId="77777777" w:rsidR="0073493B" w:rsidRDefault="0073493B" w:rsidP="00141448">
            <w:pPr>
              <w:pStyle w:val="NotesText"/>
            </w:pPr>
            <w:r>
              <w:rPr>
                <w:rFonts w:cs="Arial"/>
                <w:vanish/>
              </w:rPr>
              <w:t xml:space="preserve">BR_35.14 </w:t>
            </w:r>
            <w:r>
              <w:t>When a specimen is process</w:t>
            </w:r>
            <w:r w:rsidR="00874D0E">
              <w:t>ed</w:t>
            </w:r>
            <w:r>
              <w:t xml:space="preserve">, VBECS displays the details of associated orders (read only). </w:t>
            </w:r>
          </w:p>
          <w:p w14:paraId="1045C62F" w14:textId="77777777" w:rsidR="0073493B" w:rsidRDefault="0073493B" w:rsidP="00141448">
            <w:pPr>
              <w:pStyle w:val="NotesText"/>
            </w:pPr>
          </w:p>
          <w:p w14:paraId="5FD0A821" w14:textId="77777777" w:rsidR="0073493B" w:rsidRDefault="0073493B" w:rsidP="00141448">
            <w:pPr>
              <w:pStyle w:val="NotesText"/>
            </w:pPr>
            <w:r>
              <w:rPr>
                <w:rFonts w:cs="Arial"/>
                <w:vanish/>
              </w:rPr>
              <w:t xml:space="preserve">BR_35.17 </w:t>
            </w:r>
            <w:r>
              <w:t xml:space="preserve">The user must enter a comment when marking a specimen as unacceptable. </w:t>
            </w:r>
          </w:p>
        </w:tc>
      </w:tr>
      <w:tr w:rsidR="0073493B" w14:paraId="582C460A" w14:textId="77777777">
        <w:tc>
          <w:tcPr>
            <w:tcW w:w="3240" w:type="dxa"/>
          </w:tcPr>
          <w:p w14:paraId="3408B908" w14:textId="77777777" w:rsidR="0073493B" w:rsidRDefault="0073493B" w:rsidP="00141448">
            <w:pPr>
              <w:pStyle w:val="TableTextNumbers"/>
            </w:pPr>
            <w:r>
              <w:lastRenderedPageBreak/>
              <w:t>Enter or verify specimen-related information from Step 3.</w:t>
            </w:r>
          </w:p>
        </w:tc>
        <w:tc>
          <w:tcPr>
            <w:tcW w:w="6120" w:type="dxa"/>
          </w:tcPr>
          <w:p w14:paraId="4DAF4664" w14:textId="77777777" w:rsidR="0073493B" w:rsidRDefault="0073493B" w:rsidP="00141448">
            <w:pPr>
              <w:pStyle w:val="TableTextBullet"/>
            </w:pPr>
            <w:r>
              <w:t>Allows the user to review and edit previously entered information.</w:t>
            </w:r>
          </w:p>
        </w:tc>
      </w:tr>
      <w:tr w:rsidR="0073493B" w14:paraId="5F82AFB3" w14:textId="77777777">
        <w:tc>
          <w:tcPr>
            <w:tcW w:w="3240" w:type="dxa"/>
          </w:tcPr>
          <w:p w14:paraId="3587D410" w14:textId="77777777" w:rsidR="0073493B" w:rsidRDefault="0073493B" w:rsidP="00141448">
            <w:pPr>
              <w:pStyle w:val="TableTextNumbers"/>
            </w:pPr>
            <w:r>
              <w:t xml:space="preserve">Review the entered information and click </w:t>
            </w:r>
            <w:r>
              <w:rPr>
                <w:b/>
              </w:rPr>
              <w:t>OK</w:t>
            </w:r>
            <w:r>
              <w:t xml:space="preserve"> to save.</w:t>
            </w:r>
          </w:p>
        </w:tc>
        <w:tc>
          <w:tcPr>
            <w:tcW w:w="6120" w:type="dxa"/>
          </w:tcPr>
          <w:p w14:paraId="36DF28E7" w14:textId="77777777" w:rsidR="0073493B" w:rsidRDefault="0073493B" w:rsidP="00141448">
            <w:pPr>
              <w:pStyle w:val="TableTextBullet"/>
            </w:pPr>
            <w:r>
              <w:t>Saves the data for use in further specimen order processing and subsequent retrieval.</w:t>
            </w:r>
          </w:p>
          <w:p w14:paraId="2A30FD83" w14:textId="77777777" w:rsidR="005218E2" w:rsidRDefault="005218E2" w:rsidP="005218E2">
            <w:pPr>
              <w:pStyle w:val="TableText"/>
            </w:pPr>
          </w:p>
          <w:p w14:paraId="347A4B07" w14:textId="6BF67B12" w:rsidR="005218E2" w:rsidRDefault="005218E2" w:rsidP="005218E2">
            <w:pPr>
              <w:pStyle w:val="TableText"/>
              <w:rPr>
                <w:b/>
                <w:bCs/>
                <w:szCs w:val="18"/>
              </w:rPr>
            </w:pPr>
            <w:r>
              <w:rPr>
                <w:b/>
                <w:bCs/>
                <w:szCs w:val="18"/>
              </w:rPr>
              <w:t>NOTES</w:t>
            </w:r>
          </w:p>
          <w:p w14:paraId="529D2D79" w14:textId="77777777" w:rsidR="005218E2" w:rsidRDefault="005218E2" w:rsidP="005218E2">
            <w:pPr>
              <w:pStyle w:val="NotesText"/>
            </w:pPr>
          </w:p>
          <w:p w14:paraId="72E6644E" w14:textId="77777777" w:rsidR="0073493B" w:rsidRDefault="0073493B" w:rsidP="00141448">
            <w:pPr>
              <w:pStyle w:val="NotesText"/>
            </w:pPr>
            <w:r>
              <w:rPr>
                <w:rFonts w:cs="Arial"/>
                <w:vanish/>
              </w:rPr>
              <w:t xml:space="preserve">BR_35.23 </w:t>
            </w:r>
            <w:r>
              <w:t xml:space="preserve">When saving or updating an expired specimen, VBECS warns the user and asks whether he wishes to continue. The user may continue without </w:t>
            </w:r>
            <w:r w:rsidR="00C90418">
              <w:t xml:space="preserve">entering </w:t>
            </w:r>
            <w:r>
              <w:t>a comment.</w:t>
            </w:r>
          </w:p>
          <w:p w14:paraId="0BA2ED04" w14:textId="77777777" w:rsidR="0073493B" w:rsidRDefault="0073493B" w:rsidP="00141448">
            <w:pPr>
              <w:pStyle w:val="NotesText"/>
            </w:pPr>
          </w:p>
          <w:p w14:paraId="046B5C7E" w14:textId="77777777" w:rsidR="0073493B" w:rsidRDefault="0073493B" w:rsidP="00141448">
            <w:pPr>
              <w:pStyle w:val="NotesText"/>
            </w:pPr>
            <w:r>
              <w:rPr>
                <w:vanish/>
                <w:szCs w:val="18"/>
              </w:rPr>
              <w:t>BR_35.11</w:t>
            </w:r>
            <w:r w:rsidR="00CE3961">
              <w:rPr>
                <w:vanish/>
                <w:szCs w:val="18"/>
              </w:rPr>
              <w:t>,</w:t>
            </w:r>
            <w:r>
              <w:rPr>
                <w:vanish/>
                <w:szCs w:val="18"/>
              </w:rPr>
              <w:t xml:space="preserve"> BR_35.15 </w:t>
            </w:r>
            <w:r>
              <w:t xml:space="preserve">The UID initially used to identify the specimen becomes the VBECS specimen number, which VBECS retains and uses to process subsequent orders during the life of the specimen, including CPRS, VBECS, and Laboratory orders, and UIDs associated with the specimen. A historical record lists changes made to the specimen and is available for review. </w:t>
            </w:r>
          </w:p>
          <w:p w14:paraId="25C7FD6E" w14:textId="77777777" w:rsidR="0073493B" w:rsidRDefault="0073493B" w:rsidP="00141448">
            <w:pPr>
              <w:pStyle w:val="NotesText"/>
            </w:pPr>
          </w:p>
          <w:p w14:paraId="04522C85" w14:textId="77777777" w:rsidR="0073493B" w:rsidRDefault="0073493B" w:rsidP="00141448">
            <w:pPr>
              <w:pStyle w:val="NotesText"/>
            </w:pPr>
            <w:r>
              <w:rPr>
                <w:rFonts w:cs="Arial"/>
                <w:vanish/>
              </w:rPr>
              <w:t xml:space="preserve">BR_35.06 </w:t>
            </w:r>
            <w:r>
              <w:t>A permanent link remains between an exhausted or unacceptable specimen UID and its order, which allows the user to document the recollection of a new specimen, according to local policy.</w:t>
            </w:r>
          </w:p>
        </w:tc>
      </w:tr>
      <w:tr w:rsidR="0073493B" w14:paraId="6590C906" w14:textId="77777777">
        <w:tc>
          <w:tcPr>
            <w:tcW w:w="3240" w:type="dxa"/>
          </w:tcPr>
          <w:p w14:paraId="339B4783" w14:textId="77777777" w:rsidR="0073493B" w:rsidRDefault="0073493B" w:rsidP="00141448">
            <w:pPr>
              <w:pStyle w:val="TableTextNumbers"/>
            </w:pPr>
            <w:r>
              <w:t xml:space="preserve">Click </w:t>
            </w:r>
            <w:r>
              <w:rPr>
                <w:b/>
              </w:rPr>
              <w:t>OK</w:t>
            </w:r>
            <w:r>
              <w:t xml:space="preserve"> to 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30" w:author="Blalock, David (Leidos)" w:date="2020-06-15T14:09:00Z" w:original="0."/>
              </w:fldChar>
            </w:r>
          </w:p>
        </w:tc>
        <w:tc>
          <w:tcPr>
            <w:tcW w:w="6120" w:type="dxa"/>
          </w:tcPr>
          <w:p w14:paraId="67132C21" w14:textId="77777777" w:rsidR="0073493B" w:rsidRDefault="0073493B" w:rsidP="00141448">
            <w:pPr>
              <w:pStyle w:val="TableText"/>
            </w:pPr>
          </w:p>
        </w:tc>
      </w:tr>
    </w:tbl>
    <w:p w14:paraId="7E7CDF9D" w14:textId="77777777" w:rsidR="002A21AE" w:rsidRDefault="0073493B" w:rsidP="0073493B">
      <w:pPr>
        <w:pStyle w:val="Heading2"/>
      </w:pPr>
      <w:r>
        <w:br w:type="page"/>
      </w:r>
      <w:bookmarkStart w:id="531" w:name="_Toc47516747"/>
      <w:r w:rsidR="002A21AE">
        <w:lastRenderedPageBreak/>
        <w:t>Patient Testing: Cancel an Active Order</w:t>
      </w:r>
      <w:bookmarkEnd w:id="531"/>
      <w:r w:rsidR="002A21AE">
        <w:fldChar w:fldCharType="begin"/>
      </w:r>
      <w:r w:rsidR="002A21AE">
        <w:instrText xml:space="preserve"> XE </w:instrText>
      </w:r>
      <w:r w:rsidR="00FA7E65">
        <w:instrText>“</w:instrText>
      </w:r>
      <w:r w:rsidR="002A21AE">
        <w:instrText>Patient Testing\: Cancel an Active Order</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UC_72</w:t>
      </w:r>
    </w:p>
    <w:p w14:paraId="179B9495" w14:textId="77777777" w:rsidR="002A21AE" w:rsidRDefault="002A21AE" w:rsidP="00FA7E65">
      <w:pPr>
        <w:pStyle w:val="BodyText"/>
      </w:pPr>
      <w:r>
        <w:t xml:space="preserve">The user cancels an accepted order on the Pending Task List (PTL) and adds a comment to justify the cancellation. </w:t>
      </w:r>
    </w:p>
    <w:p w14:paraId="469FC60F" w14:textId="77777777" w:rsidR="002A21AE" w:rsidRDefault="002A21AE">
      <w:pPr>
        <w:pStyle w:val="Heading4"/>
      </w:pPr>
      <w:r>
        <w:t>Assumptions</w:t>
      </w:r>
      <w:r>
        <w:rPr>
          <w:b w:val="0"/>
        </w:rPr>
        <w:t xml:space="preserve"> </w:t>
      </w:r>
    </w:p>
    <w:p w14:paraId="7A7E148C" w14:textId="77777777" w:rsidR="002A21AE" w:rsidRDefault="002A21AE">
      <w:pPr>
        <w:pStyle w:val="ListBullet"/>
      </w:pPr>
      <w:r>
        <w:t>The order and the user are in the same division.</w:t>
      </w:r>
    </w:p>
    <w:p w14:paraId="51E73CAA" w14:textId="77777777" w:rsidR="002A21AE" w:rsidRDefault="002A21AE">
      <w:pPr>
        <w:pStyle w:val="ListBullet"/>
      </w:pPr>
      <w:r>
        <w:t>A user accepted an order that originated in CPRS through Accept Orders: Accept an Order, or created a reflex test order through Order Reflex Tests.</w:t>
      </w:r>
    </w:p>
    <w:p w14:paraId="2F0F1EB3" w14:textId="77777777" w:rsidR="002A21AE" w:rsidRDefault="002A21AE">
      <w:pPr>
        <w:pStyle w:val="ListBullet"/>
      </w:pPr>
      <w:r>
        <w:t xml:space="preserve">The connection to </w:t>
      </w:r>
      <w:r w:rsidR="00CA0045" w:rsidRPr="00CA0045">
        <w:rPr>
          <w:bCs/>
        </w:rPr>
        <w:t>VistA</w:t>
      </w:r>
      <w:r>
        <w:t xml:space="preserve"> is active.</w:t>
      </w:r>
    </w:p>
    <w:p w14:paraId="721983CE" w14:textId="77777777" w:rsidR="002A21AE" w:rsidRDefault="002A21AE">
      <w:pPr>
        <w:pStyle w:val="Heading4"/>
      </w:pPr>
      <w:r>
        <w:t xml:space="preserve">Outcome </w:t>
      </w:r>
    </w:p>
    <w:p w14:paraId="57E25A50" w14:textId="77777777" w:rsidR="002A21AE" w:rsidRDefault="002A21AE">
      <w:pPr>
        <w:pStyle w:val="ListBullet"/>
      </w:pPr>
      <w:r>
        <w:t>The order was removed from the PTL.</w:t>
      </w:r>
    </w:p>
    <w:p w14:paraId="21AF9F3B" w14:textId="77777777" w:rsidR="002A21AE" w:rsidRDefault="002A21AE">
      <w:pPr>
        <w:pStyle w:val="ListBullet"/>
      </w:pPr>
      <w:r>
        <w:t>An order update message was sent to CPRS.</w:t>
      </w:r>
    </w:p>
    <w:p w14:paraId="697C710C" w14:textId="77777777" w:rsidR="002A21AE" w:rsidRDefault="002A21AE">
      <w:pPr>
        <w:pStyle w:val="Heading4"/>
      </w:pPr>
      <w:r>
        <w:t>Limitations and Restrictions</w:t>
      </w:r>
      <w:r>
        <w:rPr>
          <w:b w:val="0"/>
        </w:rPr>
        <w:t xml:space="preserve"> </w:t>
      </w:r>
    </w:p>
    <w:p w14:paraId="6609D8A9" w14:textId="77777777" w:rsidR="002A21AE" w:rsidRDefault="002A21AE">
      <w:pPr>
        <w:pStyle w:val="ListBullet"/>
      </w:pPr>
      <w:r>
        <w:t>Cancellation of one order does not affect other orders placed with it.</w:t>
      </w:r>
    </w:p>
    <w:p w14:paraId="22C9BC8A" w14:textId="77777777" w:rsidR="002A21AE" w:rsidRDefault="002A21AE">
      <w:pPr>
        <w:pStyle w:val="ListBullet"/>
      </w:pPr>
      <w:r>
        <w:t>Before a user may cancel a partially completed task, he must invalidate the results for that task</w:t>
      </w:r>
      <w:r w:rsidR="00921485">
        <w:t>, thereby</w:t>
      </w:r>
      <w:r>
        <w:t xml:space="preserve"> changing its status to “not started.”</w:t>
      </w:r>
    </w:p>
    <w:p w14:paraId="3052B840" w14:textId="77777777" w:rsidR="002A21AE" w:rsidRDefault="002A21AE">
      <w:pPr>
        <w:pStyle w:val="Heading4"/>
      </w:pPr>
      <w:r>
        <w:t xml:space="preserve">Additional Information </w:t>
      </w:r>
    </w:p>
    <w:p w14:paraId="707338FA" w14:textId="77777777" w:rsidR="002A21AE" w:rsidRDefault="002A21AE">
      <w:pPr>
        <w:pStyle w:val="ListBullet"/>
      </w:pPr>
      <w:r>
        <w:t>None</w:t>
      </w:r>
    </w:p>
    <w:p w14:paraId="0F5DC4D6" w14:textId="77777777" w:rsidR="002A21AE" w:rsidRDefault="002A21AE">
      <w:pPr>
        <w:pStyle w:val="Heading4"/>
        <w:rPr>
          <w:b w:val="0"/>
        </w:rPr>
      </w:pPr>
      <w:r>
        <w:rPr>
          <w:rStyle w:val="RolesChar"/>
        </w:rPr>
        <w:t>User Roles with</w:t>
      </w:r>
      <w:r>
        <w:t xml:space="preserve"> Access to This Option</w:t>
      </w:r>
      <w:r>
        <w:rPr>
          <w:b w:val="0"/>
        </w:rPr>
        <w:t xml:space="preserve"> </w:t>
      </w:r>
    </w:p>
    <w:p w14:paraId="1B54FC84" w14:textId="77777777" w:rsidR="002A21AE" w:rsidRDefault="002232A3">
      <w:pPr>
        <w:pStyle w:val="Roles"/>
        <w:rPr>
          <w:snapToGrid w:val="0"/>
        </w:rPr>
      </w:pPr>
      <w:r>
        <w:t>All users</w:t>
      </w:r>
    </w:p>
    <w:p w14:paraId="26682554" w14:textId="77777777" w:rsidR="002A21AE" w:rsidRDefault="002A21AE">
      <w:pPr>
        <w:pStyle w:val="Heading4"/>
      </w:pPr>
      <w:r>
        <w:t xml:space="preserve">Patient Testing: Cancel an Active Order </w:t>
      </w:r>
    </w:p>
    <w:p w14:paraId="046CC509" w14:textId="77777777" w:rsidR="002A21AE" w:rsidRDefault="002A21AE" w:rsidP="00FA7E65">
      <w:pPr>
        <w:pStyle w:val="BodyText"/>
      </w:pPr>
      <w:r>
        <w:t>The user selects one or more tasks to cancel from the PTL, cancels the accepted order from within VBECS, and adds a comment regarding the cancellation.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FAF4DBC" w14:textId="77777777">
        <w:trPr>
          <w:cantSplit/>
          <w:tblHeader/>
        </w:trPr>
        <w:tc>
          <w:tcPr>
            <w:tcW w:w="3240" w:type="dxa"/>
            <w:shd w:val="pct30" w:color="auto" w:fill="FFFFFF"/>
            <w:vAlign w:val="bottom"/>
          </w:tcPr>
          <w:p w14:paraId="5BCFA29D" w14:textId="77777777" w:rsidR="002A21AE" w:rsidRDefault="002A21AE">
            <w:pPr>
              <w:pStyle w:val="TableText"/>
              <w:rPr>
                <w:b/>
              </w:rPr>
            </w:pPr>
            <w:r>
              <w:rPr>
                <w:b/>
              </w:rPr>
              <w:t>User Action</w:t>
            </w:r>
          </w:p>
        </w:tc>
        <w:tc>
          <w:tcPr>
            <w:tcW w:w="6120" w:type="dxa"/>
            <w:shd w:val="pct30" w:color="auto" w:fill="FFFFFF"/>
            <w:vAlign w:val="bottom"/>
          </w:tcPr>
          <w:p w14:paraId="479E51A7" w14:textId="77777777" w:rsidR="002A21AE" w:rsidRDefault="002A21AE">
            <w:pPr>
              <w:pStyle w:val="TableText"/>
              <w:rPr>
                <w:b/>
              </w:rPr>
            </w:pPr>
            <w:r>
              <w:rPr>
                <w:b/>
              </w:rPr>
              <w:t>VBECS</w:t>
            </w:r>
          </w:p>
        </w:tc>
      </w:tr>
      <w:tr w:rsidR="002A21AE" w14:paraId="4403789B" w14:textId="77777777">
        <w:tc>
          <w:tcPr>
            <w:tcW w:w="3240" w:type="dxa"/>
            <w:tcBorders>
              <w:top w:val="single" w:sz="4" w:space="0" w:color="auto"/>
              <w:left w:val="single" w:sz="4" w:space="0" w:color="auto"/>
              <w:bottom w:val="single" w:sz="4" w:space="0" w:color="auto"/>
              <w:right w:val="single" w:sz="4" w:space="0" w:color="auto"/>
            </w:tcBorders>
          </w:tcPr>
          <w:p w14:paraId="2345E583" w14:textId="77777777" w:rsidR="002A21AE" w:rsidRDefault="002A21AE">
            <w:pPr>
              <w:pStyle w:val="TableTextNumbers"/>
            </w:pPr>
            <w:r>
              <w:t xml:space="preserve">Select </w:t>
            </w:r>
            <w:r>
              <w:rPr>
                <w:b/>
              </w:rPr>
              <w:t>Patients</w:t>
            </w:r>
            <w:r>
              <w:t xml:space="preserve"> from the main menu.</w:t>
            </w:r>
          </w:p>
          <w:p w14:paraId="4B829F9E" w14:textId="77777777" w:rsidR="002A21AE" w:rsidRDefault="002A21AE">
            <w:pPr>
              <w:pStyle w:val="TableTextNumbersContinued"/>
            </w:pPr>
          </w:p>
          <w:p w14:paraId="6D323FBF" w14:textId="77777777" w:rsidR="002A21AE" w:rsidRDefault="002A21AE">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3BC469F0" w14:textId="77777777" w:rsidR="002A21AE" w:rsidRDefault="002A21AE">
            <w:pPr>
              <w:pStyle w:val="TableTextBullet"/>
            </w:pPr>
            <w:r>
              <w:t>Displays options for processing patient-related functions.</w:t>
            </w:r>
          </w:p>
          <w:p w14:paraId="7920F739" w14:textId="77777777" w:rsidR="002A21AE" w:rsidRDefault="002A21AE">
            <w:pPr>
              <w:pStyle w:val="TableTextBullet"/>
            </w:pPr>
            <w:r>
              <w:t>Displays the Pending Task List in the Diagnostic Tests tab.</w:t>
            </w:r>
          </w:p>
          <w:p w14:paraId="00B93A26" w14:textId="77777777" w:rsidR="002A21AE" w:rsidRDefault="002A21AE">
            <w:pPr>
              <w:pStyle w:val="NotesText"/>
            </w:pPr>
          </w:p>
          <w:p w14:paraId="5CF881C5" w14:textId="69DC5946" w:rsidR="002A21AE" w:rsidRDefault="002A21AE">
            <w:pPr>
              <w:pStyle w:val="TableText"/>
              <w:rPr>
                <w:b/>
                <w:bCs/>
                <w:szCs w:val="18"/>
              </w:rPr>
            </w:pPr>
            <w:r>
              <w:rPr>
                <w:b/>
                <w:bCs/>
                <w:szCs w:val="18"/>
              </w:rPr>
              <w:t>NOTES</w:t>
            </w:r>
          </w:p>
          <w:p w14:paraId="449744B9" w14:textId="77777777" w:rsidR="002A21AE" w:rsidRDefault="002A21AE">
            <w:pPr>
              <w:pStyle w:val="TableText"/>
            </w:pPr>
          </w:p>
          <w:p w14:paraId="7A34508F" w14:textId="77777777" w:rsidR="002A21AE" w:rsidRDefault="002A21AE">
            <w:pPr>
              <w:pStyle w:val="NotesText"/>
            </w:pPr>
            <w:r>
              <w:t xml:space="preserve">Click the </w:t>
            </w:r>
            <w:r>
              <w:rPr>
                <w:b/>
              </w:rPr>
              <w:t xml:space="preserve">Component Orders </w:t>
            </w:r>
            <w:r w:rsidRPr="00CC3C89">
              <w:t xml:space="preserve">tab </w:t>
            </w:r>
            <w:r>
              <w:t>to view its PTL.</w:t>
            </w:r>
          </w:p>
        </w:tc>
      </w:tr>
      <w:tr w:rsidR="002A21AE" w14:paraId="690D071F" w14:textId="77777777" w:rsidTr="00A94A90">
        <w:trPr>
          <w:cantSplit/>
          <w:hidden/>
        </w:trPr>
        <w:tc>
          <w:tcPr>
            <w:tcW w:w="3240" w:type="dxa"/>
          </w:tcPr>
          <w:p w14:paraId="5436B97C" w14:textId="77BF71F1" w:rsidR="002A21AE" w:rsidRDefault="002A21AE">
            <w:pPr>
              <w:pStyle w:val="TableTextNumbers"/>
            </w:pPr>
            <w:r>
              <w:rPr>
                <w:rFonts w:cs="Arial"/>
                <w:vanish/>
              </w:rPr>
              <w:lastRenderedPageBreak/>
              <w:t xml:space="preserve">BR_72.01 </w:t>
            </w:r>
            <w:r>
              <w:t>Click one to four check boxes in the PTL in the Diagnostic Tests tab or the Component Orders tab to select tasks</w:t>
            </w:r>
            <w:r w:rsidR="000A6348">
              <w:t xml:space="preserve"> (</w:t>
            </w:r>
            <w:r w:rsidR="000A6348">
              <w:fldChar w:fldCharType="begin"/>
            </w:r>
            <w:r w:rsidR="000A6348">
              <w:instrText xml:space="preserve"> REF _Ref126724192 \h </w:instrText>
            </w:r>
            <w:r w:rsidR="000A6348">
              <w:fldChar w:fldCharType="separate"/>
            </w:r>
            <w:r w:rsidR="004353ED">
              <w:t xml:space="preserve">Figure </w:t>
            </w:r>
            <w:r w:rsidR="004353ED">
              <w:rPr>
                <w:noProof/>
              </w:rPr>
              <w:t>119</w:t>
            </w:r>
            <w:r w:rsidR="000A6348">
              <w:fldChar w:fldCharType="end"/>
            </w:r>
            <w:r w:rsidR="000A6348">
              <w:t>)</w:t>
            </w:r>
            <w:r>
              <w:t>.</w:t>
            </w:r>
          </w:p>
          <w:p w14:paraId="5276A875" w14:textId="77777777" w:rsidR="002A21AE" w:rsidRDefault="002A21AE">
            <w:pPr>
              <w:pStyle w:val="TableTextNumbersContinued"/>
            </w:pPr>
          </w:p>
          <w:p w14:paraId="2D296540" w14:textId="77777777" w:rsidR="002A21AE" w:rsidRDefault="002A21AE">
            <w:pPr>
              <w:pStyle w:val="TableTextNumbersContinued"/>
            </w:pPr>
            <w:r>
              <w:t xml:space="preserve">Click </w:t>
            </w:r>
            <w:r>
              <w:rPr>
                <w:b/>
              </w:rPr>
              <w:t>OK</w:t>
            </w:r>
            <w:r>
              <w:t xml:space="preserve"> to continue, or click </w:t>
            </w:r>
            <w:r>
              <w:rPr>
                <w:b/>
              </w:rPr>
              <w:t>Cancel Order(s)</w:t>
            </w:r>
            <w:r>
              <w:t xml:space="preserve"> to cancel the selected tasks.</w:t>
            </w:r>
          </w:p>
          <w:p w14:paraId="281E0C70" w14:textId="77777777" w:rsidR="002A21AE" w:rsidRDefault="002A21AE">
            <w:pPr>
              <w:pStyle w:val="TableTextNumbersContinued"/>
            </w:pPr>
          </w:p>
          <w:p w14:paraId="23CFE368" w14:textId="77777777" w:rsidR="002A21AE" w:rsidRDefault="002A21AE">
            <w:pPr>
              <w:pStyle w:val="TableTextNumbersContinued"/>
            </w:pPr>
            <w:r>
              <w:t>Select or enter a comment.</w:t>
            </w:r>
          </w:p>
          <w:p w14:paraId="7953C187" w14:textId="77777777" w:rsidR="002A21AE" w:rsidRDefault="002A21AE">
            <w:pPr>
              <w:pStyle w:val="TableTextNumbersContinued"/>
            </w:pPr>
          </w:p>
          <w:p w14:paraId="1D345374" w14:textId="77777777" w:rsidR="002A21AE" w:rsidRDefault="002A21AE">
            <w:pPr>
              <w:pStyle w:val="TableTextNumbersContinued"/>
            </w:pPr>
            <w:r>
              <w:t xml:space="preserve">Click </w:t>
            </w:r>
            <w:r>
              <w:rPr>
                <w:b/>
              </w:rPr>
              <w:t>OK</w:t>
            </w:r>
            <w:r>
              <w:t xml:space="preserve"> to confirm the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532" w:author="Blalock, David (Leidos)" w:date="2020-06-15T14:09:00Z" w:original="0."/>
              </w:fldChar>
            </w:r>
          </w:p>
        </w:tc>
        <w:tc>
          <w:tcPr>
            <w:tcW w:w="6120" w:type="dxa"/>
          </w:tcPr>
          <w:p w14:paraId="7B7242E8" w14:textId="77777777" w:rsidR="002A21AE" w:rsidRDefault="002A21AE">
            <w:pPr>
              <w:pStyle w:val="TableTextBullet"/>
            </w:pPr>
            <w:r>
              <w:rPr>
                <w:vanish/>
                <w:szCs w:val="18"/>
              </w:rPr>
              <w:t xml:space="preserve">BR_61.01, BR_61.03, </w:t>
            </w:r>
            <w:r>
              <w:rPr>
                <w:rFonts w:cs="Arial"/>
                <w:vanish/>
              </w:rPr>
              <w:t xml:space="preserve">BR_61.04 </w:t>
            </w:r>
            <w:r>
              <w:t>Deletes the selected tasks from the PTL and sends a message to CPRS with an order status update.</w:t>
            </w:r>
          </w:p>
          <w:p w14:paraId="697DC034" w14:textId="77777777" w:rsidR="002A21AE" w:rsidRDefault="002A21AE">
            <w:pPr>
              <w:pStyle w:val="TableText"/>
            </w:pPr>
          </w:p>
          <w:p w14:paraId="184389E6" w14:textId="4559B675" w:rsidR="002A21AE" w:rsidRDefault="002A21AE">
            <w:pPr>
              <w:pStyle w:val="TableText"/>
              <w:rPr>
                <w:b/>
                <w:bCs/>
                <w:szCs w:val="18"/>
              </w:rPr>
            </w:pPr>
            <w:r>
              <w:rPr>
                <w:b/>
                <w:bCs/>
                <w:szCs w:val="18"/>
              </w:rPr>
              <w:t>NOTES</w:t>
            </w:r>
          </w:p>
          <w:p w14:paraId="720DEB75" w14:textId="77777777" w:rsidR="002A21AE" w:rsidRDefault="002A21AE">
            <w:pPr>
              <w:pStyle w:val="NotesText"/>
            </w:pPr>
          </w:p>
          <w:p w14:paraId="1B0EDC78" w14:textId="77777777" w:rsidR="002A21AE" w:rsidRDefault="002A21AE">
            <w:pPr>
              <w:pStyle w:val="NotesText"/>
            </w:pPr>
            <w:r>
              <w:rPr>
                <w:rFonts w:cs="Arial"/>
                <w:vanish/>
              </w:rPr>
              <w:t xml:space="preserve">BR_61.02 </w:t>
            </w:r>
            <w:r>
              <w:t>Select a canned comment and/or free-text comment</w:t>
            </w:r>
          </w:p>
          <w:p w14:paraId="242CAFE7" w14:textId="77777777" w:rsidR="002A21AE" w:rsidRDefault="002A21AE">
            <w:pPr>
              <w:pStyle w:val="NotesText"/>
            </w:pPr>
          </w:p>
          <w:p w14:paraId="6164EF42" w14:textId="77777777" w:rsidR="002A21AE" w:rsidRDefault="002A21AE">
            <w:pPr>
              <w:pStyle w:val="NotesText"/>
            </w:pPr>
            <w:r>
              <w:rPr>
                <w:rFonts w:cs="Arial"/>
                <w:vanish/>
              </w:rPr>
              <w:t xml:space="preserve">BR_72.02 </w:t>
            </w:r>
            <w:r>
              <w:t>VBECS allows a user to cancel only tasks that are not started.</w:t>
            </w:r>
          </w:p>
          <w:p w14:paraId="783B959C" w14:textId="77777777" w:rsidR="002A21AE" w:rsidRDefault="002A21AE">
            <w:pPr>
              <w:pStyle w:val="NotesText"/>
            </w:pPr>
          </w:p>
          <w:p w14:paraId="20E76B53" w14:textId="46EF7358" w:rsidR="002A21AE" w:rsidRDefault="002A21AE">
            <w:pPr>
              <w:pStyle w:val="NotesText"/>
            </w:pPr>
            <w:r>
              <w:t xml:space="preserve">See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w:t>
            </w:r>
            <w:r w:rsidR="00D327A3">
              <w:t xml:space="preserve"> </w:t>
            </w:r>
            <w:r w:rsidR="00D327A3">
              <w:fldChar w:fldCharType="begin"/>
            </w:r>
            <w:r w:rsidR="00D327A3">
              <w:instrText xml:space="preserve"> REF _Ref126729757 \h  \* MERGEFORMAT </w:instrText>
            </w:r>
            <w:r w:rsidR="00D327A3">
              <w:fldChar w:fldCharType="separate"/>
            </w:r>
            <w:r w:rsidR="004353ED">
              <w:t xml:space="preserve">Figure </w:t>
            </w:r>
            <w:r w:rsidR="004353ED">
              <w:rPr>
                <w:noProof/>
              </w:rPr>
              <w:t>147:</w:t>
            </w:r>
            <w:r w:rsidR="004353ED">
              <w:t xml:space="preserve"> </w:t>
            </w:r>
            <w:r w:rsidR="004353ED" w:rsidRPr="004353ED">
              <w:rPr>
                <w:vanish/>
                <w:szCs w:val="18"/>
              </w:rPr>
              <w:t xml:space="preserve">TT_92.01 </w:t>
            </w:r>
            <w:r w:rsidR="004353ED" w:rsidRPr="004353ED">
              <w:t>Order</w:t>
            </w:r>
            <w:r w:rsidR="004353ED">
              <w:t xml:space="preserve"> Status Flowchart</w:t>
            </w:r>
            <w:r w:rsidR="00D327A3">
              <w:fldChar w:fldCharType="end"/>
            </w:r>
            <w:r>
              <w:t>.</w:t>
            </w:r>
          </w:p>
        </w:tc>
      </w:tr>
    </w:tbl>
    <w:p w14:paraId="33D72467" w14:textId="0B08D324" w:rsidR="000A6348" w:rsidRDefault="000A6348" w:rsidP="000A6348">
      <w:pPr>
        <w:pStyle w:val="Caption"/>
      </w:pPr>
      <w:bookmarkStart w:id="533" w:name="_Ref12672419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119</w:t>
      </w:r>
      <w:r w:rsidR="004E20BD">
        <w:rPr>
          <w:noProof/>
        </w:rPr>
        <w:fldChar w:fldCharType="end"/>
      </w:r>
      <w:bookmarkEnd w:id="533"/>
      <w:r>
        <w:t>: Pending Task List Diagnostic Tests</w:t>
      </w:r>
    </w:p>
    <w:p w14:paraId="5F9C4BB9" w14:textId="77777777" w:rsidR="000A6348" w:rsidRDefault="00057948" w:rsidP="000A6348">
      <w:pPr>
        <w:pStyle w:val="BodyText"/>
      </w:pPr>
      <w:r>
        <w:rPr>
          <w:noProof/>
        </w:rPr>
        <w:drawing>
          <wp:inline distT="0" distB="0" distL="0" distR="0" wp14:anchorId="4178B400" wp14:editId="649DF89A">
            <wp:extent cx="5939155" cy="2540000"/>
            <wp:effectExtent l="0" t="0" r="4445" b="0"/>
            <wp:docPr id="225"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a:extLst>
                        <a:ext uri="{C183D7F6-B498-43B3-948B-1728B52AA6E4}">
                          <adec:decorative xmlns:adec="http://schemas.microsoft.com/office/drawing/2017/decorative" val="1"/>
                        </a:ext>
                      </a:extLst>
                    </pic:cNvPr>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939155" cy="2540000"/>
                    </a:xfrm>
                    <a:prstGeom prst="rect">
                      <a:avLst/>
                    </a:prstGeom>
                    <a:noFill/>
                    <a:ln>
                      <a:noFill/>
                    </a:ln>
                  </pic:spPr>
                </pic:pic>
              </a:graphicData>
            </a:graphic>
          </wp:inline>
        </w:drawing>
      </w:r>
    </w:p>
    <w:p w14:paraId="0A11DCEA" w14:textId="77777777" w:rsidR="002A21AE" w:rsidRDefault="00AC2D9E">
      <w:pPr>
        <w:pStyle w:val="Heading2"/>
      </w:pPr>
      <w:r>
        <w:br w:type="page"/>
      </w:r>
      <w:bookmarkStart w:id="534" w:name="_Toc47516748"/>
      <w:r w:rsidR="002A21AE">
        <w:lastRenderedPageBreak/>
        <w:t>Patient Testing: Pending Task List</w:t>
      </w:r>
      <w:bookmarkEnd w:id="534"/>
      <w:r w:rsidR="002A21AE">
        <w:fldChar w:fldCharType="begin"/>
      </w:r>
      <w:r w:rsidR="002A21AE">
        <w:instrText xml:space="preserve"> XE </w:instrText>
      </w:r>
      <w:r w:rsidR="00FA7E65">
        <w:instrText>“</w:instrText>
      </w:r>
      <w:r w:rsidR="002A21AE">
        <w:instrText>Patient Testing\: Pending Task List</w:instrText>
      </w:r>
      <w:r w:rsidR="00FA7E65">
        <w:instrText>”</w:instrText>
      </w:r>
      <w:r w:rsidR="002A21AE">
        <w:instrText xml:space="preserve"> </w:instrText>
      </w:r>
      <w:r w:rsidR="002A21AE">
        <w:fldChar w:fldCharType="end"/>
      </w:r>
      <w:r w:rsidR="002A21AE" w:rsidRPr="00B46CB0">
        <w:rPr>
          <w:rFonts w:ascii="Arial Bold" w:hAnsi="Arial Bold"/>
          <w:vanish/>
        </w:rPr>
        <w:t xml:space="preserve"> UC_92</w:t>
      </w:r>
    </w:p>
    <w:p w14:paraId="6A54B547" w14:textId="77777777" w:rsidR="002A21AE" w:rsidRDefault="002A21AE" w:rsidP="00FA7E65">
      <w:pPr>
        <w:pStyle w:val="BodyText"/>
      </w:pPr>
      <w:bookmarkStart w:id="535" w:name="_Toc72830361"/>
      <w:r>
        <w:t xml:space="preserve">The user accesses a Pending Task List (PTL) to select tasks (accepted orders), organize a batch of tests to be performed in a session, process patient component requests, and view and/or print a list of outstanding blood bank tasks. </w:t>
      </w:r>
    </w:p>
    <w:p w14:paraId="4EBB4E71" w14:textId="77777777" w:rsidR="002A21AE" w:rsidRDefault="002A21AE">
      <w:pPr>
        <w:pStyle w:val="Heading4"/>
      </w:pPr>
      <w:r>
        <w:t>Assumptions</w:t>
      </w:r>
    </w:p>
    <w:p w14:paraId="02BD233D" w14:textId="77777777" w:rsidR="002A21AE" w:rsidRDefault="002A21AE" w:rsidP="009D2266">
      <w:pPr>
        <w:pStyle w:val="ListBullet"/>
        <w:numPr>
          <w:ilvl w:val="0"/>
          <w:numId w:val="2"/>
        </w:numPr>
        <w:tabs>
          <w:tab w:val="num" w:pos="720"/>
        </w:tabs>
        <w:ind w:left="720"/>
      </w:pPr>
      <w:r>
        <w:t>CPRS orders were accepted or a reflex order was placed within the VBECS division.</w:t>
      </w:r>
    </w:p>
    <w:p w14:paraId="2CFD9B00" w14:textId="77777777" w:rsidR="002A21AE" w:rsidRDefault="002A21AE">
      <w:pPr>
        <w:pStyle w:val="Heading4"/>
      </w:pPr>
      <w:r>
        <w:t>Outcome</w:t>
      </w:r>
    </w:p>
    <w:p w14:paraId="18301F8E" w14:textId="77777777" w:rsidR="002A21AE" w:rsidRDefault="002A21AE" w:rsidP="009D2266">
      <w:pPr>
        <w:pStyle w:val="ListBullet"/>
        <w:numPr>
          <w:ilvl w:val="0"/>
          <w:numId w:val="2"/>
        </w:numPr>
        <w:tabs>
          <w:tab w:val="num" w:pos="720"/>
        </w:tabs>
        <w:ind w:left="720"/>
      </w:pPr>
      <w:r>
        <w:t>The task is available for further processing.</w:t>
      </w:r>
    </w:p>
    <w:p w14:paraId="093738D2" w14:textId="77777777" w:rsidR="002A21AE" w:rsidRDefault="002A21AE">
      <w:pPr>
        <w:pStyle w:val="Heading4"/>
      </w:pPr>
      <w:r>
        <w:t>Limitations and Restrictions</w:t>
      </w:r>
    </w:p>
    <w:p w14:paraId="268B868A" w14:textId="77777777" w:rsidR="002A21AE" w:rsidRDefault="002A21AE" w:rsidP="009D2266">
      <w:pPr>
        <w:pStyle w:val="ListBullet"/>
        <w:numPr>
          <w:ilvl w:val="0"/>
          <w:numId w:val="2"/>
        </w:numPr>
        <w:tabs>
          <w:tab w:val="num" w:pos="720"/>
        </w:tabs>
        <w:ind w:left="720"/>
      </w:pPr>
      <w:r>
        <w:t>This option is for diagnostic, blood component, and reflex test orders placed in or directed to the user’s division.</w:t>
      </w:r>
    </w:p>
    <w:p w14:paraId="51B52317" w14:textId="77777777" w:rsidR="002A21AE" w:rsidRDefault="002A21AE" w:rsidP="009D2266">
      <w:pPr>
        <w:pStyle w:val="ListBullet"/>
        <w:numPr>
          <w:ilvl w:val="0"/>
          <w:numId w:val="2"/>
        </w:numPr>
        <w:tabs>
          <w:tab w:val="num" w:pos="720"/>
        </w:tabs>
        <w:ind w:left="720"/>
      </w:pPr>
      <w:r>
        <w:t>The PTL does not include daily quality control, equipment maintenance schedules, or pending ABO/Rh confirmation and auxiliary tests on red blood c</w:t>
      </w:r>
      <w:bookmarkStart w:id="536" w:name="here"/>
      <w:bookmarkEnd w:id="536"/>
      <w:r>
        <w:t>ell units.</w:t>
      </w:r>
    </w:p>
    <w:p w14:paraId="2D1003B8" w14:textId="77777777" w:rsidR="00B16403" w:rsidRDefault="00B16403" w:rsidP="009D2266">
      <w:pPr>
        <w:pStyle w:val="ListBullet"/>
        <w:numPr>
          <w:ilvl w:val="0"/>
          <w:numId w:val="2"/>
        </w:numPr>
        <w:tabs>
          <w:tab w:val="num" w:pos="720"/>
        </w:tabs>
        <w:ind w:left="720"/>
      </w:pPr>
      <w:r w:rsidRPr="00696FA6">
        <w:t xml:space="preserve">Users may perform testing for no more than four patients in one </w:t>
      </w:r>
      <w:r>
        <w:t>VBECS</w:t>
      </w:r>
      <w:r w:rsidRPr="00696FA6">
        <w:t xml:space="preserve"> session.</w:t>
      </w:r>
    </w:p>
    <w:p w14:paraId="5A6B85EE" w14:textId="77777777" w:rsidR="002A21AE" w:rsidRDefault="002A21AE">
      <w:pPr>
        <w:pStyle w:val="Heading4"/>
      </w:pPr>
      <w:r>
        <w:t>Additional Information</w:t>
      </w:r>
    </w:p>
    <w:p w14:paraId="69FDDE5D" w14:textId="77777777" w:rsidR="002A21AE" w:rsidRDefault="002A21AE" w:rsidP="009D2266">
      <w:pPr>
        <w:pStyle w:val="ListBullet"/>
        <w:numPr>
          <w:ilvl w:val="0"/>
          <w:numId w:val="2"/>
        </w:numPr>
        <w:tabs>
          <w:tab w:val="num" w:pos="720"/>
        </w:tabs>
        <w:ind w:left="720"/>
      </w:pPr>
      <w:r>
        <w:t>This is the main entry point for other testing options.</w:t>
      </w:r>
    </w:p>
    <w:p w14:paraId="4B488CFF" w14:textId="18771493" w:rsidR="002A21AE" w:rsidRDefault="002A21AE" w:rsidP="009D2266">
      <w:pPr>
        <w:pStyle w:val="ListBullet"/>
        <w:numPr>
          <w:ilvl w:val="0"/>
          <w:numId w:val="2"/>
        </w:numPr>
        <w:tabs>
          <w:tab w:val="num" w:pos="720"/>
        </w:tabs>
        <w:ind w:left="720"/>
      </w:pPr>
      <w:r>
        <w:t>The PTL does not display completed diagnostic tests.</w:t>
      </w:r>
      <w:r w:rsidR="007878A0">
        <w:t xml:space="preserve"> (See FAQ Retrieving an Expired Order)</w:t>
      </w:r>
    </w:p>
    <w:p w14:paraId="3955EC1A" w14:textId="77777777" w:rsidR="00C5671A" w:rsidRDefault="00C5671A" w:rsidP="009D2266">
      <w:pPr>
        <w:pStyle w:val="ListBullet"/>
        <w:numPr>
          <w:ilvl w:val="0"/>
          <w:numId w:val="2"/>
        </w:numPr>
        <w:tabs>
          <w:tab w:val="num" w:pos="720"/>
        </w:tabs>
        <w:ind w:left="720"/>
      </w:pPr>
      <w:r>
        <w:t xml:space="preserve">When a specimen </w:t>
      </w:r>
      <w:r w:rsidRPr="00C5671A">
        <w:rPr>
          <w:u w:val="single"/>
        </w:rPr>
        <w:t>is not</w:t>
      </w:r>
      <w:r>
        <w:t xml:space="preserve"> associated wit</w:t>
      </w:r>
      <w:r w:rsidR="00A03A28">
        <w:t>h a component</w:t>
      </w:r>
      <w:r>
        <w:t xml:space="preserve"> order, partially completed and </w:t>
      </w:r>
      <w:r w:rsidR="00A03A28">
        <w:t>filled</w:t>
      </w:r>
      <w:r>
        <w:t xml:space="preserve"> component orders remain on the Pending Task List for 10 days from date of order acceptance.</w:t>
      </w:r>
      <w:r>
        <w:rPr>
          <w:vanish/>
        </w:rPr>
        <w:t xml:space="preserve"> Task 1323</w:t>
      </w:r>
      <w:r w:rsidR="00BC58B1">
        <w:rPr>
          <w:vanish/>
        </w:rPr>
        <w:t xml:space="preserve"> and DR 3604</w:t>
      </w:r>
    </w:p>
    <w:p w14:paraId="304F76A4" w14:textId="77777777" w:rsidR="00C5671A" w:rsidRDefault="00C5671A" w:rsidP="00C5671A">
      <w:pPr>
        <w:pStyle w:val="ListBullet"/>
        <w:numPr>
          <w:ilvl w:val="0"/>
          <w:numId w:val="2"/>
        </w:numPr>
        <w:tabs>
          <w:tab w:val="num" w:pos="720"/>
        </w:tabs>
        <w:ind w:left="720"/>
      </w:pPr>
      <w:r>
        <w:t xml:space="preserve">When a specimen </w:t>
      </w:r>
      <w:r w:rsidRPr="00C5671A">
        <w:rPr>
          <w:u w:val="single"/>
        </w:rPr>
        <w:t>is</w:t>
      </w:r>
      <w:r w:rsidR="00A03A28">
        <w:t xml:space="preserve"> associated with a diagnostic test or component </w:t>
      </w:r>
      <w:r>
        <w:t xml:space="preserve">order, partially completed diagnostic tests and </w:t>
      </w:r>
      <w:r w:rsidR="00A03A28">
        <w:t>filled</w:t>
      </w:r>
      <w:r>
        <w:t xml:space="preserve"> component orders remain on the Pending Task List until the specimen expires.</w:t>
      </w:r>
      <w:r w:rsidRPr="00C5671A">
        <w:rPr>
          <w:vanish/>
        </w:rPr>
        <w:t xml:space="preserve"> </w:t>
      </w:r>
      <w:r>
        <w:rPr>
          <w:vanish/>
        </w:rPr>
        <w:t>Task 1323</w:t>
      </w:r>
      <w:r w:rsidR="00BC58B1">
        <w:rPr>
          <w:vanish/>
        </w:rPr>
        <w:t xml:space="preserve"> and DR 3604</w:t>
      </w:r>
    </w:p>
    <w:p w14:paraId="73873935" w14:textId="77777777" w:rsidR="00DF7D1A" w:rsidRDefault="00DF7D1A" w:rsidP="009D2266">
      <w:pPr>
        <w:pStyle w:val="ListBullet"/>
        <w:numPr>
          <w:ilvl w:val="0"/>
          <w:numId w:val="2"/>
        </w:numPr>
        <w:tabs>
          <w:tab w:val="num" w:pos="720"/>
        </w:tabs>
        <w:ind w:left="720"/>
      </w:pPr>
      <w:r>
        <w:t>VBECS cancels accepted orders (tasks) the day after they expire.</w:t>
      </w:r>
    </w:p>
    <w:p w14:paraId="25AA98F9" w14:textId="77777777" w:rsidR="002A21AE" w:rsidRDefault="002A21AE" w:rsidP="009D2266">
      <w:pPr>
        <w:pStyle w:val="ListBullet"/>
        <w:numPr>
          <w:ilvl w:val="0"/>
          <w:numId w:val="2"/>
        </w:numPr>
        <w:tabs>
          <w:tab w:val="num" w:pos="720"/>
        </w:tabs>
        <w:ind w:left="720"/>
      </w:pPr>
      <w:r>
        <w:t>Multiple users are prohibited from performing the same task on the same unit of blood for the same patient.</w:t>
      </w:r>
    </w:p>
    <w:p w14:paraId="1CBB3F88" w14:textId="77777777" w:rsidR="002A21AE" w:rsidRDefault="002A21AE" w:rsidP="009D2266">
      <w:pPr>
        <w:pStyle w:val="ListBullet"/>
        <w:numPr>
          <w:ilvl w:val="0"/>
          <w:numId w:val="2"/>
        </w:numPr>
        <w:tabs>
          <w:tab w:val="num" w:pos="720"/>
        </w:tabs>
        <w:ind w:left="720"/>
      </w:pPr>
      <w:r>
        <w:t>The task may be selected and assigned to a technologist, preventing duplicate selection by another technologist.</w:t>
      </w:r>
    </w:p>
    <w:p w14:paraId="56810B4A" w14:textId="77777777" w:rsidR="002A21AE" w:rsidRDefault="002A21AE">
      <w:pPr>
        <w:pStyle w:val="Heading4"/>
      </w:pPr>
      <w:r>
        <w:t>User Roles with Access to This Option</w:t>
      </w:r>
    </w:p>
    <w:p w14:paraId="2F9AE948" w14:textId="77777777" w:rsidR="002A21AE" w:rsidRDefault="002232A3">
      <w:pPr>
        <w:pStyle w:val="Roles"/>
        <w:rPr>
          <w:snapToGrid w:val="0"/>
        </w:rPr>
      </w:pPr>
      <w:r>
        <w:t>All users</w:t>
      </w:r>
    </w:p>
    <w:bookmarkEnd w:id="535"/>
    <w:p w14:paraId="64F42900" w14:textId="77777777" w:rsidR="002A21AE" w:rsidRDefault="002A21AE">
      <w:pPr>
        <w:pStyle w:val="Heading4"/>
      </w:pPr>
      <w:r>
        <w:t>Patient Testing: Pending Task List</w:t>
      </w:r>
    </w:p>
    <w:p w14:paraId="05D5C789" w14:textId="77777777" w:rsidR="002A21AE" w:rsidRDefault="002A21AE" w:rsidP="00FA7E65">
      <w:pPr>
        <w:pStyle w:val="BodyText"/>
      </w:pPr>
      <w:r>
        <w:t>The user accesses a list of pending tasks. VBECS displays the PTL with search criteria to allow the user to limit the number of items viewed.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E3B4565" w14:textId="77777777">
        <w:trPr>
          <w:tblHeader/>
        </w:trPr>
        <w:tc>
          <w:tcPr>
            <w:tcW w:w="3240" w:type="dxa"/>
            <w:shd w:val="pct30" w:color="auto" w:fill="FFFFFF"/>
            <w:vAlign w:val="bottom"/>
          </w:tcPr>
          <w:p w14:paraId="755480C6" w14:textId="77777777" w:rsidR="002A21AE" w:rsidRDefault="002A21AE">
            <w:pPr>
              <w:pStyle w:val="TableText"/>
              <w:rPr>
                <w:b/>
              </w:rPr>
            </w:pPr>
            <w:r>
              <w:rPr>
                <w:b/>
              </w:rPr>
              <w:t>User Action</w:t>
            </w:r>
          </w:p>
        </w:tc>
        <w:tc>
          <w:tcPr>
            <w:tcW w:w="6120" w:type="dxa"/>
            <w:shd w:val="pct30" w:color="auto" w:fill="FFFFFF"/>
            <w:vAlign w:val="bottom"/>
          </w:tcPr>
          <w:p w14:paraId="45DD1A00" w14:textId="77777777" w:rsidR="002A21AE" w:rsidRDefault="002A21AE">
            <w:pPr>
              <w:pStyle w:val="TableText"/>
              <w:rPr>
                <w:b/>
              </w:rPr>
            </w:pPr>
            <w:r>
              <w:rPr>
                <w:b/>
              </w:rPr>
              <w:t>VBECS</w:t>
            </w:r>
          </w:p>
        </w:tc>
      </w:tr>
      <w:tr w:rsidR="002A21AE" w14:paraId="5EF692F5" w14:textId="77777777">
        <w:tc>
          <w:tcPr>
            <w:tcW w:w="3240" w:type="dxa"/>
          </w:tcPr>
          <w:p w14:paraId="52E213E6" w14:textId="77777777" w:rsidR="002A21AE" w:rsidRDefault="002A21AE">
            <w:pPr>
              <w:pStyle w:val="TableTextNumbers"/>
            </w:pPr>
            <w:r>
              <w:t xml:space="preserve">Select </w:t>
            </w:r>
            <w:r>
              <w:rPr>
                <w:b/>
              </w:rPr>
              <w:t>Patients</w:t>
            </w:r>
            <w:r>
              <w:t xml:space="preserve"> from the main menu.</w:t>
            </w:r>
          </w:p>
          <w:p w14:paraId="46224116" w14:textId="77777777" w:rsidR="002A21AE" w:rsidRDefault="002A21AE">
            <w:pPr>
              <w:pStyle w:val="TableTextNumbersContinued"/>
            </w:pPr>
          </w:p>
          <w:p w14:paraId="2B27BD5D" w14:textId="5AEA2D5D" w:rsidR="002A21AE" w:rsidRDefault="002A21AE">
            <w:pPr>
              <w:pStyle w:val="TableTextNumbersContinued"/>
            </w:pPr>
            <w:r>
              <w:t xml:space="preserve">Select </w:t>
            </w:r>
            <w:r>
              <w:rPr>
                <w:b/>
              </w:rPr>
              <w:t>Patient Testing</w:t>
            </w:r>
            <w:r w:rsidR="0071094D">
              <w:rPr>
                <w:b/>
              </w:rPr>
              <w:t xml:space="preserve"> </w:t>
            </w:r>
            <w:r w:rsidR="0071094D" w:rsidRPr="0071094D">
              <w:t>(</w:t>
            </w:r>
            <w:r w:rsidR="0071094D">
              <w:fldChar w:fldCharType="begin"/>
            </w:r>
            <w:r w:rsidR="0071094D">
              <w:instrText xml:space="preserve"> REF _Ref126724192 \h </w:instrText>
            </w:r>
            <w:r w:rsidR="0071094D">
              <w:fldChar w:fldCharType="separate"/>
            </w:r>
            <w:r w:rsidR="004353ED">
              <w:t xml:space="preserve">Figure </w:t>
            </w:r>
            <w:r w:rsidR="004353ED">
              <w:rPr>
                <w:noProof/>
              </w:rPr>
              <w:t>119</w:t>
            </w:r>
            <w:r w:rsidR="0071094D">
              <w:fldChar w:fldCharType="end"/>
            </w:r>
            <w:r w:rsidR="0071094D" w:rsidRPr="0071094D">
              <w:t>)</w:t>
            </w:r>
            <w:r>
              <w:t>.</w:t>
            </w:r>
          </w:p>
        </w:tc>
        <w:tc>
          <w:tcPr>
            <w:tcW w:w="6120" w:type="dxa"/>
          </w:tcPr>
          <w:p w14:paraId="2E98607E" w14:textId="77777777" w:rsidR="002A21AE" w:rsidRDefault="002A21AE">
            <w:pPr>
              <w:pStyle w:val="TableTextBullet"/>
            </w:pPr>
            <w:r>
              <w:t>Displays options for processing patient-related functions.</w:t>
            </w:r>
          </w:p>
          <w:p w14:paraId="346E2DAD" w14:textId="77777777" w:rsidR="0055131E" w:rsidRDefault="002A21AE" w:rsidP="007B4A40">
            <w:pPr>
              <w:pStyle w:val="TableTextBullet"/>
            </w:pPr>
            <w:r>
              <w:t>Displays the PTL and PTL search parameters in the Diagnostic Tests tab or in the Component Orders tab.</w:t>
            </w:r>
          </w:p>
          <w:p w14:paraId="03E9965B" w14:textId="77777777" w:rsidR="008F0849" w:rsidRDefault="008F0849" w:rsidP="008F0849">
            <w:pPr>
              <w:pStyle w:val="TableTextBullet"/>
              <w:numPr>
                <w:ilvl w:val="0"/>
                <w:numId w:val="0"/>
              </w:numPr>
              <w:ind w:left="288" w:hanging="288"/>
            </w:pPr>
          </w:p>
          <w:p w14:paraId="4DB57F6D" w14:textId="1DB99327" w:rsidR="008F0849" w:rsidRDefault="008F0849" w:rsidP="008F0849">
            <w:pPr>
              <w:pStyle w:val="TableText"/>
              <w:rPr>
                <w:b/>
                <w:bCs/>
                <w:szCs w:val="18"/>
              </w:rPr>
            </w:pPr>
            <w:r>
              <w:rPr>
                <w:b/>
                <w:bCs/>
                <w:szCs w:val="18"/>
              </w:rPr>
              <w:t>NOTES</w:t>
            </w:r>
          </w:p>
          <w:p w14:paraId="026A9CFE" w14:textId="64EEABBF" w:rsidR="008F0849" w:rsidRPr="008F0849" w:rsidRDefault="008F0849" w:rsidP="008F0849">
            <w:pPr>
              <w:pStyle w:val="NotesText"/>
              <w:rPr>
                <w:szCs w:val="18"/>
              </w:rPr>
            </w:pPr>
            <w:r w:rsidRPr="008F0849">
              <w:rPr>
                <w:szCs w:val="18"/>
              </w:rPr>
              <w:t xml:space="preserve">Entering a random string consisting of letters and digits into the Patient search field returns the full pending task list. The correct </w:t>
            </w:r>
            <w:r w:rsidRPr="008F0849">
              <w:rPr>
                <w:szCs w:val="18"/>
              </w:rPr>
              <w:lastRenderedPageBreak/>
              <w:t>combinations (full SSN, last 4 digits of SSN, first letter of last name + last 4 digits of SSN) will return a patient list.</w:t>
            </w:r>
            <w:r>
              <w:rPr>
                <w:szCs w:val="18"/>
              </w:rPr>
              <w:t xml:space="preserve"> </w:t>
            </w:r>
            <w:r w:rsidRPr="008F0849">
              <w:rPr>
                <w:vanish/>
                <w:szCs w:val="18"/>
              </w:rPr>
              <w:t>Task 208823</w:t>
            </w:r>
          </w:p>
          <w:p w14:paraId="22AD8934" w14:textId="77777777" w:rsidR="008F0849" w:rsidRDefault="008F0849" w:rsidP="008F0849">
            <w:pPr>
              <w:pStyle w:val="TableTextBullet"/>
              <w:numPr>
                <w:ilvl w:val="0"/>
                <w:numId w:val="0"/>
              </w:numPr>
              <w:ind w:left="288" w:hanging="288"/>
            </w:pPr>
          </w:p>
          <w:p w14:paraId="26BA9518" w14:textId="47BFC320" w:rsidR="008F0849" w:rsidRDefault="008F0849" w:rsidP="008F0849">
            <w:pPr>
              <w:pStyle w:val="TableTextBullet"/>
              <w:numPr>
                <w:ilvl w:val="0"/>
                <w:numId w:val="0"/>
              </w:numPr>
              <w:ind w:left="288" w:hanging="288"/>
            </w:pPr>
          </w:p>
        </w:tc>
      </w:tr>
      <w:tr w:rsidR="002A21AE" w14:paraId="7596CBA1" w14:textId="77777777">
        <w:tc>
          <w:tcPr>
            <w:tcW w:w="3240" w:type="dxa"/>
          </w:tcPr>
          <w:p w14:paraId="3470A7A8" w14:textId="77777777" w:rsidR="002A21AE" w:rsidRDefault="002A21AE">
            <w:pPr>
              <w:pStyle w:val="TableTextNumbers"/>
            </w:pPr>
            <w:r>
              <w:lastRenderedPageBreak/>
              <w:t>Click the check boxes in the PTL to select one</w:t>
            </w:r>
            <w:r w:rsidR="007A0E65">
              <w:t xml:space="preserve"> to four</w:t>
            </w:r>
            <w:r>
              <w:t xml:space="preserve"> tasks for processing and click </w:t>
            </w:r>
            <w:r>
              <w:rPr>
                <w:b/>
              </w:rPr>
              <w:t>OK</w:t>
            </w:r>
            <w:r>
              <w:t>, or</w:t>
            </w:r>
          </w:p>
          <w:p w14:paraId="60DCAC06" w14:textId="77777777" w:rsidR="002A21AE" w:rsidRDefault="002A21AE">
            <w:pPr>
              <w:pStyle w:val="TableTextNumbersContinued"/>
            </w:pPr>
          </w:p>
          <w:p w14:paraId="0CC053C6" w14:textId="77777777" w:rsidR="002A21AE" w:rsidRDefault="002A21AE">
            <w:pPr>
              <w:pStyle w:val="TableTextNumbersContinued"/>
            </w:pPr>
            <w:r>
              <w:t>Click</w:t>
            </w:r>
            <w:r>
              <w:rPr>
                <w:b/>
              </w:rPr>
              <w:t xml:space="preserve"> Print</w:t>
            </w:r>
            <w:r>
              <w:t xml:space="preserve"> to print the list.</w:t>
            </w:r>
          </w:p>
        </w:tc>
        <w:tc>
          <w:tcPr>
            <w:tcW w:w="6120" w:type="dxa"/>
          </w:tcPr>
          <w:p w14:paraId="495A947E" w14:textId="77777777" w:rsidR="002A21AE" w:rsidRDefault="002A21AE">
            <w:pPr>
              <w:pStyle w:val="TableTextBullet"/>
            </w:pPr>
            <w:r>
              <w:t xml:space="preserve">Allows the user to limit the search and display. </w:t>
            </w:r>
          </w:p>
          <w:p w14:paraId="32FF7D24" w14:textId="77777777" w:rsidR="002A21AE" w:rsidRDefault="002A21AE">
            <w:pPr>
              <w:pStyle w:val="TableTextBullet"/>
            </w:pPr>
            <w:r>
              <w:t>Prompts the user to select a task for continued processing, print a task list, or return to Step 1 to change the display of the list.</w:t>
            </w:r>
          </w:p>
          <w:p w14:paraId="0E709FFA" w14:textId="77777777" w:rsidR="002A21AE" w:rsidRDefault="002A21AE">
            <w:pPr>
              <w:pStyle w:val="TableText"/>
            </w:pPr>
          </w:p>
          <w:p w14:paraId="11B601C1" w14:textId="734F012D" w:rsidR="002A21AE" w:rsidRDefault="002A21AE">
            <w:pPr>
              <w:pStyle w:val="TableText"/>
              <w:rPr>
                <w:b/>
                <w:bCs/>
                <w:szCs w:val="18"/>
              </w:rPr>
            </w:pPr>
            <w:r>
              <w:rPr>
                <w:b/>
                <w:bCs/>
                <w:szCs w:val="18"/>
              </w:rPr>
              <w:t>NOTES</w:t>
            </w:r>
          </w:p>
          <w:p w14:paraId="0E6E0AFB" w14:textId="77777777" w:rsidR="002A21AE" w:rsidRPr="00623E7F" w:rsidRDefault="002A21AE">
            <w:pPr>
              <w:pStyle w:val="NotesText"/>
              <w:rPr>
                <w:vanish/>
                <w:szCs w:val="18"/>
              </w:rPr>
            </w:pPr>
          </w:p>
          <w:p w14:paraId="2EA7E5B3" w14:textId="6F93BE9F" w:rsidR="003D7CE8" w:rsidRPr="00623E7F" w:rsidRDefault="005129F7" w:rsidP="00623E7F">
            <w:pPr>
              <w:pStyle w:val="NotesText"/>
              <w:rPr>
                <w:szCs w:val="18"/>
              </w:rPr>
            </w:pPr>
            <w:r w:rsidRPr="00623E7F">
              <w:rPr>
                <w:szCs w:val="18"/>
              </w:rPr>
              <w:t>Additional information is available in</w:t>
            </w:r>
            <w:r w:rsidR="00623E7F" w:rsidRPr="00623E7F">
              <w:rPr>
                <w:szCs w:val="18"/>
              </w:rPr>
              <w:t xml:space="preserve"> </w:t>
            </w:r>
            <w:r w:rsidR="00623E7F" w:rsidRPr="00623E7F">
              <w:rPr>
                <w:szCs w:val="18"/>
              </w:rPr>
              <w:fldChar w:fldCharType="begin"/>
            </w:r>
            <w:r w:rsidR="00623E7F" w:rsidRPr="00623E7F">
              <w:rPr>
                <w:szCs w:val="18"/>
              </w:rPr>
              <w:instrText xml:space="preserve"> REF _Ref300911707 \h  \* MERGEFORMAT </w:instrText>
            </w:r>
            <w:r w:rsidR="00623E7F" w:rsidRPr="00623E7F">
              <w:rPr>
                <w:szCs w:val="18"/>
              </w:rPr>
            </w:r>
            <w:r w:rsidR="00623E7F" w:rsidRPr="00623E7F">
              <w:rPr>
                <w:szCs w:val="18"/>
              </w:rPr>
              <w:fldChar w:fldCharType="separate"/>
            </w:r>
            <w:r w:rsidR="004353ED" w:rsidRPr="004353ED">
              <w:rPr>
                <w:szCs w:val="18"/>
              </w:rPr>
              <w:t>Appendix H: Frequently Asked Questions</w:t>
            </w:r>
            <w:r w:rsidR="00623E7F" w:rsidRPr="00623E7F">
              <w:rPr>
                <w:szCs w:val="18"/>
              </w:rPr>
              <w:fldChar w:fldCharType="end"/>
            </w:r>
            <w:r w:rsidRPr="00623E7F">
              <w:rPr>
                <w:szCs w:val="18"/>
              </w:rPr>
              <w:t>.</w:t>
            </w:r>
            <w:r w:rsidRPr="00623E7F">
              <w:rPr>
                <w:vanish/>
                <w:szCs w:val="18"/>
              </w:rPr>
              <w:t xml:space="preserve"> DR 3971</w:t>
            </w:r>
          </w:p>
          <w:p w14:paraId="7A23C570" w14:textId="77777777" w:rsidR="003D7CE8" w:rsidRPr="00623E7F" w:rsidRDefault="003D7CE8">
            <w:pPr>
              <w:pStyle w:val="NotesText"/>
            </w:pPr>
          </w:p>
          <w:p w14:paraId="495A497B" w14:textId="77777777" w:rsidR="002A21AE" w:rsidRDefault="002A21AE">
            <w:pPr>
              <w:pStyle w:val="NotesText"/>
            </w:pPr>
            <w:r>
              <w:t xml:space="preserve">The user may click </w:t>
            </w:r>
            <w:r>
              <w:rPr>
                <w:b/>
              </w:rPr>
              <w:t>Cancel Order(s)</w:t>
            </w:r>
            <w:r>
              <w:t xml:space="preserve">, select a comment, and click </w:t>
            </w:r>
            <w:r>
              <w:rPr>
                <w:b/>
              </w:rPr>
              <w:t xml:space="preserve">OK </w:t>
            </w:r>
            <w:r>
              <w:t>to exit.</w:t>
            </w:r>
          </w:p>
          <w:p w14:paraId="27C1CDD3" w14:textId="77777777" w:rsidR="002A21AE" w:rsidRDefault="002A21AE">
            <w:pPr>
              <w:pStyle w:val="NotesText"/>
            </w:pPr>
          </w:p>
          <w:p w14:paraId="5101DED5" w14:textId="77777777" w:rsidR="002A21AE" w:rsidRDefault="002A21AE">
            <w:pPr>
              <w:pStyle w:val="NotesText"/>
            </w:pPr>
            <w:r>
              <w:rPr>
                <w:vanish/>
                <w:szCs w:val="18"/>
              </w:rPr>
              <w:t>BR_92.03</w:t>
            </w:r>
            <w:r w:rsidR="00CE3961">
              <w:rPr>
                <w:vanish/>
                <w:szCs w:val="18"/>
              </w:rPr>
              <w:t>,</w:t>
            </w:r>
            <w:r>
              <w:rPr>
                <w:vanish/>
                <w:szCs w:val="18"/>
              </w:rPr>
              <w:t xml:space="preserve"> BR_92.05 </w:t>
            </w:r>
            <w:r>
              <w:t xml:space="preserve">The user may select </w:t>
            </w:r>
            <w:r w:rsidR="00810E0A">
              <w:t>one to four</w:t>
            </w:r>
            <w:r>
              <w:t xml:space="preserve"> tasks for testing at a time. The tasks may be component class order tasks, diagnostic test tasks, or a combination of both.</w:t>
            </w:r>
          </w:p>
          <w:p w14:paraId="4FCE80A6" w14:textId="77777777" w:rsidR="00D3124A" w:rsidRDefault="00D3124A">
            <w:pPr>
              <w:pStyle w:val="NotesText"/>
            </w:pPr>
          </w:p>
          <w:p w14:paraId="402A3007" w14:textId="77777777" w:rsidR="002A21AE" w:rsidRDefault="002A21AE">
            <w:pPr>
              <w:pStyle w:val="NotesText"/>
            </w:pPr>
            <w:r>
              <w:t>VBECS displays “NRQ” (not required) when the task does not require a specimen for processing.</w:t>
            </w:r>
          </w:p>
          <w:p w14:paraId="2D816093" w14:textId="77777777" w:rsidR="00DF7D1A" w:rsidRDefault="00DF7D1A">
            <w:pPr>
              <w:pStyle w:val="NotesText"/>
              <w:rPr>
                <w:rFonts w:cs="Arial"/>
              </w:rPr>
            </w:pPr>
          </w:p>
          <w:p w14:paraId="29552BCF" w14:textId="2ADF4D64" w:rsidR="009A6B43" w:rsidRDefault="002A21AE">
            <w:pPr>
              <w:pStyle w:val="NotesText"/>
            </w:pPr>
            <w:r>
              <w:rPr>
                <w:rFonts w:cs="Arial"/>
                <w:vanish/>
              </w:rPr>
              <w:t xml:space="preserve">BR_92.01 </w:t>
            </w:r>
            <w:r>
              <w:t xml:space="preserve">For each order, VBECS displays the specific diagnostic test or component order. The default searches for the current date’s tasks, then yesterday’s tasks, and so on until the task status is “completed.” The display includes the task’s status and a </w:t>
            </w:r>
            <w:r w:rsidR="009A6B43">
              <w:t>username</w:t>
            </w:r>
            <w:r>
              <w:t>, when applicable.</w:t>
            </w:r>
          </w:p>
          <w:p w14:paraId="437E751F" w14:textId="77777777" w:rsidR="009A6B43" w:rsidRDefault="009A6B43" w:rsidP="009A6B43">
            <w:pPr>
              <w:pStyle w:val="TableText"/>
              <w:ind w:left="720"/>
            </w:pPr>
            <w:r>
              <w:t>The Pending Task List (PTL) and its report display the following:</w:t>
            </w:r>
          </w:p>
          <w:p w14:paraId="656006B1" w14:textId="77777777" w:rsidR="009A6B43" w:rsidRDefault="009A6B43" w:rsidP="009A6B43">
            <w:pPr>
              <w:pStyle w:val="TableText"/>
              <w:numPr>
                <w:ilvl w:val="0"/>
                <w:numId w:val="92"/>
              </w:numPr>
              <w:ind w:left="1080"/>
            </w:pPr>
            <w:r>
              <w:t>Diagnostic Tests tab includes only unexpired diagnostic tests that are not completed.</w:t>
            </w:r>
          </w:p>
          <w:p w14:paraId="2FEDABBD" w14:textId="77777777" w:rsidR="009A6B43" w:rsidRDefault="009A6B43" w:rsidP="009A6B43">
            <w:pPr>
              <w:pStyle w:val="TableText"/>
              <w:numPr>
                <w:ilvl w:val="0"/>
                <w:numId w:val="92"/>
              </w:numPr>
              <w:ind w:left="1080"/>
            </w:pPr>
            <w:r>
              <w:t>Component Orders tab includes only unexpired component orders (Filled orders are included).</w:t>
            </w:r>
          </w:p>
          <w:p w14:paraId="4BE239AA" w14:textId="77777777" w:rsidR="009A6B43" w:rsidRPr="00287DC2" w:rsidRDefault="009A6B43" w:rsidP="009A6B43">
            <w:pPr>
              <w:pStyle w:val="TableText"/>
              <w:numPr>
                <w:ilvl w:val="0"/>
                <w:numId w:val="92"/>
              </w:numPr>
              <w:ind w:left="1080"/>
            </w:pPr>
            <w:r>
              <w:t>Report</w:t>
            </w:r>
            <w:r w:rsidRPr="00287DC2">
              <w:t xml:space="preserve"> contain both unexpired component orders (Filled orders are included) and unexpired diagnostic tests that are not completed.</w:t>
            </w:r>
          </w:p>
          <w:p w14:paraId="40CB1DF4" w14:textId="77777777" w:rsidR="009A6B43" w:rsidRDefault="009A6B43" w:rsidP="009A6B43">
            <w:pPr>
              <w:pStyle w:val="TableText"/>
              <w:ind w:left="720"/>
            </w:pPr>
            <w:r>
              <w:t>The following data are included:</w:t>
            </w:r>
          </w:p>
          <w:p w14:paraId="4B48E265" w14:textId="77777777" w:rsidR="009A6B43" w:rsidRPr="00830728" w:rsidRDefault="009A6B43" w:rsidP="009A6B43">
            <w:pPr>
              <w:pStyle w:val="TableText"/>
              <w:numPr>
                <w:ilvl w:val="0"/>
                <w:numId w:val="93"/>
              </w:numPr>
              <w:ind w:left="1080"/>
            </w:pPr>
            <w:r w:rsidRPr="00830728">
              <w:t>Patient Location (report only)</w:t>
            </w:r>
          </w:p>
          <w:p w14:paraId="462224D7" w14:textId="77777777" w:rsidR="009A6B43" w:rsidRPr="00830728" w:rsidRDefault="009A6B43" w:rsidP="009A6B43">
            <w:pPr>
              <w:pStyle w:val="TableText"/>
              <w:numPr>
                <w:ilvl w:val="0"/>
                <w:numId w:val="93"/>
              </w:numPr>
              <w:ind w:left="1080"/>
            </w:pPr>
            <w:r w:rsidRPr="00830728">
              <w:t>Priority</w:t>
            </w:r>
          </w:p>
          <w:p w14:paraId="26EC3861" w14:textId="77777777" w:rsidR="009A6B43" w:rsidRPr="00830728" w:rsidRDefault="009A6B43" w:rsidP="009A6B43">
            <w:pPr>
              <w:pStyle w:val="TableText"/>
              <w:numPr>
                <w:ilvl w:val="0"/>
                <w:numId w:val="93"/>
              </w:numPr>
              <w:ind w:left="1080"/>
            </w:pPr>
            <w:r w:rsidRPr="00830728">
              <w:t>Patient Name</w:t>
            </w:r>
          </w:p>
          <w:p w14:paraId="4F3BA6C5" w14:textId="77777777" w:rsidR="009A6B43" w:rsidRPr="00830728" w:rsidRDefault="009A6B43" w:rsidP="009A6B43">
            <w:pPr>
              <w:pStyle w:val="TableText"/>
              <w:numPr>
                <w:ilvl w:val="0"/>
                <w:numId w:val="93"/>
              </w:numPr>
              <w:ind w:left="1080"/>
            </w:pPr>
            <w:r w:rsidRPr="00830728">
              <w:t>Patient ID</w:t>
            </w:r>
          </w:p>
          <w:p w14:paraId="3E79C2FC" w14:textId="77777777" w:rsidR="009A6B43" w:rsidRPr="00830728" w:rsidRDefault="009A6B43" w:rsidP="009A6B43">
            <w:pPr>
              <w:pStyle w:val="TableText"/>
              <w:numPr>
                <w:ilvl w:val="0"/>
                <w:numId w:val="93"/>
              </w:numPr>
              <w:ind w:left="1080"/>
            </w:pPr>
            <w:r w:rsidRPr="00830728">
              <w:t>Specimen UID</w:t>
            </w:r>
          </w:p>
          <w:p w14:paraId="603A1B35" w14:textId="77777777" w:rsidR="009A6B43" w:rsidRPr="00830728" w:rsidRDefault="009A6B43" w:rsidP="009A6B43">
            <w:pPr>
              <w:pStyle w:val="TableText"/>
              <w:numPr>
                <w:ilvl w:val="0"/>
                <w:numId w:val="93"/>
              </w:numPr>
              <w:ind w:left="1080"/>
            </w:pPr>
            <w:r w:rsidRPr="00830728">
              <w:t>CPRS Order ID (PTL only)</w:t>
            </w:r>
          </w:p>
          <w:p w14:paraId="30329C0B" w14:textId="77777777" w:rsidR="009A6B43" w:rsidRPr="00830728" w:rsidRDefault="009A6B43" w:rsidP="009A6B43">
            <w:pPr>
              <w:pStyle w:val="TableText"/>
              <w:numPr>
                <w:ilvl w:val="0"/>
                <w:numId w:val="93"/>
              </w:numPr>
              <w:ind w:left="1080"/>
            </w:pPr>
            <w:r w:rsidRPr="00830728">
              <w:t>Order (Diagnostic Test or Component)</w:t>
            </w:r>
          </w:p>
          <w:p w14:paraId="20991908" w14:textId="77777777" w:rsidR="009A6B43" w:rsidRPr="00830728" w:rsidRDefault="009A6B43" w:rsidP="009A6B43">
            <w:pPr>
              <w:pStyle w:val="TableText"/>
              <w:numPr>
                <w:ilvl w:val="0"/>
                <w:numId w:val="93"/>
              </w:numPr>
              <w:ind w:left="1080"/>
            </w:pPr>
            <w:r w:rsidRPr="00830728">
              <w:t>Quantity (Component order only)</w:t>
            </w:r>
          </w:p>
          <w:p w14:paraId="2C6202E0" w14:textId="77777777" w:rsidR="009A6B43" w:rsidRPr="00830728" w:rsidRDefault="009A6B43" w:rsidP="009A6B43">
            <w:pPr>
              <w:pStyle w:val="TableText"/>
              <w:numPr>
                <w:ilvl w:val="0"/>
                <w:numId w:val="93"/>
              </w:numPr>
              <w:ind w:left="1080"/>
            </w:pPr>
            <w:r w:rsidRPr="00830728">
              <w:t>Ordering Physician (report only)</w:t>
            </w:r>
          </w:p>
          <w:p w14:paraId="47152357" w14:textId="77777777" w:rsidR="009A6B43" w:rsidRPr="00830728" w:rsidRDefault="009A6B43" w:rsidP="009A6B43">
            <w:pPr>
              <w:pStyle w:val="TableText"/>
              <w:numPr>
                <w:ilvl w:val="0"/>
                <w:numId w:val="93"/>
              </w:numPr>
              <w:ind w:left="1080"/>
            </w:pPr>
            <w:r w:rsidRPr="00830728">
              <w:t>Order Comments</w:t>
            </w:r>
          </w:p>
          <w:p w14:paraId="10F9A3E3" w14:textId="77777777" w:rsidR="009A6B43" w:rsidRPr="00830728" w:rsidRDefault="009A6B43" w:rsidP="009A6B43">
            <w:pPr>
              <w:pStyle w:val="TableText"/>
              <w:numPr>
                <w:ilvl w:val="0"/>
                <w:numId w:val="93"/>
              </w:numPr>
              <w:ind w:left="1080"/>
            </w:pPr>
            <w:r w:rsidRPr="00830728">
              <w:t>Date Ordered (report only)</w:t>
            </w:r>
          </w:p>
          <w:p w14:paraId="541108CA" w14:textId="77777777" w:rsidR="009A6B43" w:rsidRPr="00830728" w:rsidRDefault="009A6B43" w:rsidP="009A6B43">
            <w:pPr>
              <w:pStyle w:val="TableText"/>
              <w:numPr>
                <w:ilvl w:val="0"/>
                <w:numId w:val="93"/>
              </w:numPr>
              <w:ind w:left="1080"/>
            </w:pPr>
            <w:r w:rsidRPr="00830728">
              <w:t>Date Wanted</w:t>
            </w:r>
          </w:p>
          <w:p w14:paraId="5762ADAF" w14:textId="12305315" w:rsidR="002A21AE" w:rsidRDefault="009A6B43" w:rsidP="009A6B43">
            <w:pPr>
              <w:pStyle w:val="TableText"/>
              <w:numPr>
                <w:ilvl w:val="0"/>
                <w:numId w:val="93"/>
              </w:numPr>
              <w:ind w:left="1080"/>
            </w:pPr>
            <w:r w:rsidRPr="00830728">
              <w:t>Task Status</w:t>
            </w:r>
          </w:p>
          <w:p w14:paraId="7FADFAF2" w14:textId="77777777" w:rsidR="002A21AE" w:rsidRDefault="002A21AE">
            <w:pPr>
              <w:pStyle w:val="NotesText"/>
            </w:pPr>
          </w:p>
          <w:p w14:paraId="50811717" w14:textId="77777777" w:rsidR="002A21AE" w:rsidRDefault="002A21AE">
            <w:pPr>
              <w:pStyle w:val="NotesText"/>
            </w:pPr>
            <w:r>
              <w:rPr>
                <w:rFonts w:cs="Arial"/>
                <w:vanish/>
              </w:rPr>
              <w:t xml:space="preserve">BR_92.10 </w:t>
            </w:r>
            <w:r>
              <w:rPr>
                <w:szCs w:val="20"/>
              </w:rPr>
              <w:t xml:space="preserve">VBECS alerts the user when he attempts to select multiple tasks of the same type for a patient, and does not allow the selection of two or more tasks of the same type ordered for a patient during a testing session. Tasks are considered to be of the same type when they need to accommodate the use of the </w:t>
            </w:r>
            <w:r>
              <w:rPr>
                <w:szCs w:val="20"/>
              </w:rPr>
              <w:lastRenderedPageBreak/>
              <w:t>same testing grid in Patient Testing: Record Patient Test Results. For example, a user may not select a TAS task and one of its subtests that is ordered in a testing session. VBECS provides for one testing grid display per patient per test, not per specimen UID. If the user selected a TAS and an ABS, VBECS displays only the first one selected for result entry.</w:t>
            </w:r>
          </w:p>
          <w:p w14:paraId="035FACE5" w14:textId="77777777" w:rsidR="002A21AE" w:rsidRDefault="002A21AE">
            <w:pPr>
              <w:pStyle w:val="NotesText"/>
            </w:pPr>
          </w:p>
          <w:p w14:paraId="08787103" w14:textId="77777777" w:rsidR="002A21AE" w:rsidRDefault="002A21AE">
            <w:pPr>
              <w:pStyle w:val="NotesText"/>
              <w:rPr>
                <w:b/>
              </w:rPr>
            </w:pPr>
            <w:r>
              <w:rPr>
                <w:vanish/>
                <w:szCs w:val="18"/>
              </w:rPr>
              <w:t xml:space="preserve">BR_92.02 </w:t>
            </w:r>
            <w:r>
              <w:t>Task and order statuses and functions that are displayed on the PTL:</w:t>
            </w:r>
          </w:p>
          <w:p w14:paraId="0F942CD3" w14:textId="77777777" w:rsidR="002A21AE" w:rsidRDefault="002A21AE">
            <w:pPr>
              <w:pStyle w:val="NotesTextBullet"/>
            </w:pPr>
            <w:r>
              <w:rPr>
                <w:b/>
              </w:rPr>
              <w:t>Not Started:</w:t>
            </w:r>
            <w:r>
              <w:t xml:space="preserve"> </w:t>
            </w:r>
            <w:r w:rsidR="00D06D15">
              <w:t>the order was not selected</w:t>
            </w:r>
            <w:r>
              <w:t>.</w:t>
            </w:r>
          </w:p>
          <w:p w14:paraId="42885EFD" w14:textId="77777777" w:rsidR="002A21AE" w:rsidRDefault="002A21AE">
            <w:pPr>
              <w:pStyle w:val="NotesTextBullet"/>
            </w:pPr>
            <w:r>
              <w:rPr>
                <w:b/>
              </w:rPr>
              <w:t>Partially Completed &lt;user ID&gt;:</w:t>
            </w:r>
            <w:r>
              <w:t xml:space="preserve"> allows selection by another user for a diagnostic test to complete</w:t>
            </w:r>
            <w:r w:rsidR="00430883">
              <w:t>,</w:t>
            </w:r>
            <w:r>
              <w:t xml:space="preserve"> invalidate</w:t>
            </w:r>
            <w:r w:rsidR="00430883">
              <w:t>, or delete</w:t>
            </w:r>
            <w:r>
              <w:t xml:space="preserve"> the work </w:t>
            </w:r>
            <w:r w:rsidR="00430883">
              <w:t>on this specimen</w:t>
            </w:r>
            <w:r>
              <w:t xml:space="preserve">. </w:t>
            </w:r>
            <w:r>
              <w:rPr>
                <w:i/>
              </w:rPr>
              <w:t>Component orders remain in this status until the specimen and order expire</w:t>
            </w:r>
            <w:r w:rsidRPr="00543DAF">
              <w:rPr>
                <w:i/>
              </w:rPr>
              <w:t>.</w:t>
            </w:r>
          </w:p>
          <w:p w14:paraId="04B0DC91" w14:textId="77777777" w:rsidR="002A21AE" w:rsidRDefault="002A21AE">
            <w:pPr>
              <w:pStyle w:val="NotesTextBullet"/>
            </w:pPr>
            <w:r>
              <w:rPr>
                <w:b/>
              </w:rPr>
              <w:t>Filled:</w:t>
            </w:r>
            <w:r>
              <w:t xml:space="preserve"> This order status is assigned when the total number of units ordered is </w:t>
            </w:r>
            <w:r w:rsidR="00C2698E">
              <w:t>updated to a unit status of “issued” or “transfused.”</w:t>
            </w:r>
            <w:r>
              <w:t xml:space="preserve"> </w:t>
            </w:r>
            <w:r w:rsidR="006B6C5C" w:rsidRPr="006B6C5C">
              <w:rPr>
                <w:vanish/>
              </w:rPr>
              <w:t>DR 2,597</w:t>
            </w:r>
          </w:p>
          <w:p w14:paraId="100A5330" w14:textId="77777777" w:rsidR="002A21AE" w:rsidRDefault="002A21AE">
            <w:pPr>
              <w:pStyle w:val="NotesTextBullet"/>
            </w:pPr>
            <w:r>
              <w:rPr>
                <w:b/>
              </w:rPr>
              <w:t xml:space="preserve">Correction: </w:t>
            </w:r>
            <w:r>
              <w:t>previous results were invalidated; a corrected entry is required.</w:t>
            </w:r>
          </w:p>
          <w:p w14:paraId="772607DD" w14:textId="77777777" w:rsidR="00493CA8" w:rsidRDefault="002E3B5D">
            <w:pPr>
              <w:pStyle w:val="NotesTextBullet"/>
            </w:pPr>
            <w:r w:rsidRPr="005E27C3">
              <w:rPr>
                <w:b/>
              </w:rPr>
              <w:t>Instrument Results Pending R</w:t>
            </w:r>
            <w:r w:rsidR="00493CA8" w:rsidRPr="005E27C3">
              <w:rPr>
                <w:b/>
              </w:rPr>
              <w:t>eview</w:t>
            </w:r>
            <w:r w:rsidRPr="005E27C3">
              <w:rPr>
                <w:b/>
              </w:rPr>
              <w:t>:</w:t>
            </w:r>
            <w:r>
              <w:t xml:space="preserve"> </w:t>
            </w:r>
            <w:r w:rsidR="005E27C3">
              <w:t xml:space="preserve">displayed on the </w:t>
            </w:r>
            <w:r w:rsidR="005E27C3">
              <w:rPr>
                <w:rFonts w:cs="Arial"/>
                <w:szCs w:val="18"/>
              </w:rPr>
              <w:t xml:space="preserve">Pending Task List: Diagnostic tests: does not allow the selection by another user for manual testing. </w:t>
            </w:r>
            <w:r w:rsidR="005E27C3" w:rsidRPr="005E27C3">
              <w:rPr>
                <w:rFonts w:cs="Arial"/>
                <w:vanish/>
                <w:szCs w:val="18"/>
              </w:rPr>
              <w:t>BR_92.02</w:t>
            </w:r>
          </w:p>
          <w:p w14:paraId="0908A8AB" w14:textId="77777777" w:rsidR="002A21AE" w:rsidRDefault="002A21AE">
            <w:pPr>
              <w:pStyle w:val="NotesText"/>
            </w:pPr>
          </w:p>
          <w:p w14:paraId="2C3B5382" w14:textId="77777777" w:rsidR="002A21AE" w:rsidRDefault="002A21AE">
            <w:pPr>
              <w:pStyle w:val="NotesText"/>
            </w:pPr>
            <w:r>
              <w:t>Task and order statuses that are not displayed for selection on the PTL:</w:t>
            </w:r>
          </w:p>
          <w:p w14:paraId="7AFF5C38" w14:textId="77777777" w:rsidR="002A21AE" w:rsidRDefault="002A21AE">
            <w:pPr>
              <w:pStyle w:val="NotesTextBullet"/>
            </w:pPr>
            <w:r>
              <w:rPr>
                <w:b/>
              </w:rPr>
              <w:t>Completed:</w:t>
            </w:r>
            <w:r>
              <w:t xml:space="preserve"> applies to diagnostic tests </w:t>
            </w:r>
          </w:p>
          <w:p w14:paraId="3181C0D0" w14:textId="77777777" w:rsidR="002A21AE" w:rsidRDefault="002A21AE">
            <w:pPr>
              <w:pStyle w:val="NotesTextBullet"/>
            </w:pPr>
            <w:r>
              <w:rPr>
                <w:b/>
              </w:rPr>
              <w:t>Expired:</w:t>
            </w:r>
            <w:r>
              <w:t xml:space="preserve"> applies to component orders at expiration of</w:t>
            </w:r>
            <w:r w:rsidR="00AA6C54">
              <w:t xml:space="preserve"> </w:t>
            </w:r>
            <w:r>
              <w:t>the associated specimen.</w:t>
            </w:r>
          </w:p>
          <w:p w14:paraId="59CEB7C3" w14:textId="77777777" w:rsidR="002A21AE" w:rsidRDefault="002A21AE">
            <w:pPr>
              <w:pStyle w:val="NotesText"/>
            </w:pPr>
          </w:p>
          <w:p w14:paraId="6A6CA9A0" w14:textId="5CB421B2" w:rsidR="002A21AE" w:rsidRDefault="002A21AE" w:rsidP="00D327A3">
            <w:pPr>
              <w:pStyle w:val="NotesText"/>
            </w:pPr>
            <w:r>
              <w:t xml:space="preserve">See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w:t>
            </w:r>
            <w:r w:rsidR="00D327A3">
              <w:t xml:space="preserve"> </w:t>
            </w:r>
            <w:r w:rsidR="00D327A3" w:rsidRPr="00D327A3">
              <w:fldChar w:fldCharType="begin"/>
            </w:r>
            <w:r w:rsidR="00D327A3">
              <w:instrText xml:space="preserve"> REF _Ref126729901 \h  \* MERGEFORMAT </w:instrText>
            </w:r>
            <w:r w:rsidR="00D327A3" w:rsidRPr="00D327A3">
              <w:fldChar w:fldCharType="separate"/>
            </w:r>
            <w:r w:rsidR="004353ED">
              <w:t xml:space="preserve">Figure </w:t>
            </w:r>
            <w:r w:rsidR="004353ED">
              <w:rPr>
                <w:noProof/>
              </w:rPr>
              <w:t>147:</w:t>
            </w:r>
            <w:r w:rsidR="004353ED">
              <w:t xml:space="preserve"> </w:t>
            </w:r>
            <w:r w:rsidR="004353ED">
              <w:rPr>
                <w:vanish/>
              </w:rPr>
              <w:t xml:space="preserve">TT_92.01 </w:t>
            </w:r>
            <w:r w:rsidR="004353ED" w:rsidRPr="004353ED">
              <w:t>Order</w:t>
            </w:r>
            <w:r w:rsidR="004353ED">
              <w:t xml:space="preserve"> Status Flowchart</w:t>
            </w:r>
            <w:r w:rsidR="00D327A3" w:rsidRPr="00D327A3">
              <w:fldChar w:fldCharType="end"/>
            </w:r>
            <w:r w:rsidR="00BC74A8">
              <w:t xml:space="preserve"> </w:t>
            </w:r>
            <w:r w:rsidR="00BC74A8" w:rsidRPr="00BC74A8">
              <w:t xml:space="preserve">for the </w:t>
            </w:r>
            <w:r w:rsidR="003A0F91">
              <w:t>transmission</w:t>
            </w:r>
            <w:r w:rsidR="00BC74A8" w:rsidRPr="00BC74A8">
              <w:t xml:space="preserve"> of orders between CPRS and VBECS</w:t>
            </w:r>
            <w:r>
              <w:t>.</w:t>
            </w:r>
          </w:p>
          <w:p w14:paraId="65B44DA4" w14:textId="77777777" w:rsidR="00430883" w:rsidRPr="00BC74A8" w:rsidRDefault="00430883" w:rsidP="00BC74A8">
            <w:pPr>
              <w:pStyle w:val="NotesText"/>
            </w:pPr>
          </w:p>
          <w:p w14:paraId="511389B5" w14:textId="77777777" w:rsidR="00E84F5F" w:rsidRDefault="00E84F5F" w:rsidP="00E84F5F">
            <w:pPr>
              <w:pStyle w:val="NotesText"/>
            </w:pPr>
            <w:r w:rsidRPr="00574F77">
              <w:rPr>
                <w:vanish/>
                <w:szCs w:val="18"/>
              </w:rPr>
              <w:t xml:space="preserve">BR_92.07 </w:t>
            </w:r>
            <w:r w:rsidRPr="00574F77">
              <w:t>When a user prints a PTL and no pending tasks are found, VBECS asks whether the user wishes to continue to print. The user may cancel or print the report, which states that no pending orders were found.</w:t>
            </w:r>
          </w:p>
        </w:tc>
      </w:tr>
      <w:tr w:rsidR="002A21AE" w14:paraId="5C2C37D9" w14:textId="77777777">
        <w:tc>
          <w:tcPr>
            <w:tcW w:w="3240" w:type="dxa"/>
          </w:tcPr>
          <w:p w14:paraId="350EC864" w14:textId="77777777" w:rsidR="002A21AE" w:rsidRDefault="002A21AE">
            <w:pPr>
              <w:pStyle w:val="TableTextNumbers"/>
            </w:pPr>
            <w:r>
              <w:lastRenderedPageBreak/>
              <w:t xml:space="preserve">Click </w:t>
            </w:r>
            <w:r>
              <w:rPr>
                <w:b/>
              </w:rPr>
              <w:t>OK</w:t>
            </w:r>
            <w:r>
              <w:t xml:space="preserve"> or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37" w:author="Blalock, David (Leidos)" w:date="2020-06-15T14:09:00Z" w:original="0."/>
              </w:fldChar>
            </w:r>
          </w:p>
        </w:tc>
        <w:tc>
          <w:tcPr>
            <w:tcW w:w="6120" w:type="dxa"/>
          </w:tcPr>
          <w:p w14:paraId="132A6332" w14:textId="77777777" w:rsidR="002A21AE" w:rsidRDefault="002A21AE">
            <w:pPr>
              <w:pStyle w:val="NotesText"/>
            </w:pPr>
          </w:p>
        </w:tc>
      </w:tr>
    </w:tbl>
    <w:p w14:paraId="27677300" w14:textId="77777777" w:rsidR="002A21AE" w:rsidRDefault="002A21AE">
      <w:pPr>
        <w:pStyle w:val="Heading3"/>
      </w:pPr>
      <w:bookmarkStart w:id="538" w:name="_Toc47516749"/>
      <w:r>
        <w:t>Accept Orders: Cancel a Pending Order</w:t>
      </w:r>
      <w:bookmarkEnd w:id="538"/>
      <w:r w:rsidRPr="00B91603">
        <w:rPr>
          <w:rFonts w:ascii="Arial Bold" w:hAnsi="Arial Bold"/>
          <w:vanish/>
        </w:rPr>
        <w:fldChar w:fldCharType="begin"/>
      </w:r>
      <w:r w:rsidRPr="00B91603">
        <w:rPr>
          <w:rFonts w:ascii="Arial Bold" w:hAnsi="Arial Bold"/>
          <w:vanish/>
        </w:rPr>
        <w:instrText xml:space="preserve"> XE </w:instrText>
      </w:r>
      <w:r w:rsidR="00FA7E65" w:rsidRPr="00B91603">
        <w:rPr>
          <w:rFonts w:ascii="Arial Bold" w:hAnsi="Arial Bold"/>
          <w:vanish/>
        </w:rPr>
        <w:instrText>“</w:instrText>
      </w:r>
      <w:r w:rsidRPr="00B91603">
        <w:rPr>
          <w:rFonts w:ascii="Arial Bold" w:hAnsi="Arial Bold"/>
          <w:vanish/>
        </w:rPr>
        <w:instrText>Accept Orders\: Cancel an Order</w:instrText>
      </w:r>
      <w:r w:rsidR="00FA7E65" w:rsidRPr="00B91603">
        <w:rPr>
          <w:rFonts w:ascii="Arial Bold" w:hAnsi="Arial Bold"/>
          <w:vanish/>
        </w:rPr>
        <w:instrText>”</w:instrText>
      </w:r>
      <w:r w:rsidRPr="00B91603">
        <w:rPr>
          <w:rFonts w:ascii="Arial Bold" w:hAnsi="Arial Bold"/>
          <w:vanish/>
        </w:rPr>
        <w:instrText xml:space="preserve"> </w:instrText>
      </w:r>
      <w:r w:rsidRPr="00B91603">
        <w:rPr>
          <w:rFonts w:ascii="Arial Bold" w:hAnsi="Arial Bold"/>
          <w:vanish/>
        </w:rPr>
        <w:fldChar w:fldCharType="end"/>
      </w:r>
      <w:r w:rsidRPr="00B91603">
        <w:rPr>
          <w:rFonts w:ascii="Arial Bold" w:hAnsi="Arial Bold"/>
          <w:vanish/>
        </w:rPr>
        <w:t xml:space="preserve"> UC_61</w:t>
      </w:r>
    </w:p>
    <w:p w14:paraId="46B38172" w14:textId="77777777" w:rsidR="002A21AE" w:rsidRDefault="002A21AE" w:rsidP="00FA7E65">
      <w:pPr>
        <w:pStyle w:val="BodyText"/>
      </w:pPr>
      <w:bookmarkStart w:id="539" w:name="_Toc79560668"/>
      <w:bookmarkStart w:id="540" w:name="_Toc75227779"/>
      <w:r>
        <w:t>The user cancels an unaccepted order on the Pending Order List (POL).</w:t>
      </w:r>
    </w:p>
    <w:p w14:paraId="6F79BFF6" w14:textId="77777777" w:rsidR="002A21AE" w:rsidRDefault="002A21AE">
      <w:pPr>
        <w:pStyle w:val="Heading4"/>
      </w:pPr>
      <w:r>
        <w:t>Assumptions</w:t>
      </w:r>
    </w:p>
    <w:p w14:paraId="2CC6407F" w14:textId="77777777" w:rsidR="002A21AE" w:rsidRDefault="002A21AE">
      <w:pPr>
        <w:pStyle w:val="ListBullet"/>
      </w:pPr>
      <w:r>
        <w:t>An order was not accepted by a user.</w:t>
      </w:r>
    </w:p>
    <w:p w14:paraId="4CA512FD" w14:textId="77777777" w:rsidR="002A21AE" w:rsidRDefault="002A21AE">
      <w:pPr>
        <w:pStyle w:val="ListBullet"/>
      </w:pPr>
      <w:r>
        <w:t xml:space="preserve">The connection to </w:t>
      </w:r>
      <w:r w:rsidR="00CA0045" w:rsidRPr="00CA0045">
        <w:rPr>
          <w:bCs/>
        </w:rPr>
        <w:t>VistA</w:t>
      </w:r>
      <w:r>
        <w:t xml:space="preserve"> is active.</w:t>
      </w:r>
    </w:p>
    <w:p w14:paraId="73D65F5B" w14:textId="77777777" w:rsidR="002A21AE" w:rsidRDefault="002A21AE">
      <w:pPr>
        <w:pStyle w:val="Heading4"/>
      </w:pPr>
      <w:r>
        <w:t xml:space="preserve">Outcome </w:t>
      </w:r>
    </w:p>
    <w:p w14:paraId="02151209" w14:textId="77777777" w:rsidR="002A21AE" w:rsidRDefault="002A21AE">
      <w:pPr>
        <w:pStyle w:val="ListBullet"/>
      </w:pPr>
      <w:r>
        <w:t>An order update message was sent to CPRS.</w:t>
      </w:r>
    </w:p>
    <w:p w14:paraId="7D618D00" w14:textId="77777777" w:rsidR="002A21AE" w:rsidRDefault="002A21AE">
      <w:pPr>
        <w:pStyle w:val="ListBullet"/>
      </w:pPr>
      <w:r>
        <w:t>The order was removed from the POL.</w:t>
      </w:r>
    </w:p>
    <w:p w14:paraId="226B3FE0" w14:textId="77777777" w:rsidR="002A21AE" w:rsidRDefault="002A21AE">
      <w:pPr>
        <w:pStyle w:val="Heading4"/>
      </w:pPr>
      <w:r>
        <w:t>Limitations and Restrictions</w:t>
      </w:r>
      <w:r>
        <w:rPr>
          <w:b w:val="0"/>
        </w:rPr>
        <w:t xml:space="preserve"> </w:t>
      </w:r>
    </w:p>
    <w:p w14:paraId="077E3D22" w14:textId="77777777" w:rsidR="002A21AE" w:rsidRDefault="002A21AE">
      <w:pPr>
        <w:pStyle w:val="ListBullet"/>
      </w:pPr>
      <w:r>
        <w:t>Cancellation of one order does not affect other orders placed with it.</w:t>
      </w:r>
    </w:p>
    <w:p w14:paraId="10FC0324" w14:textId="77777777" w:rsidR="002A21AE" w:rsidRDefault="002A21AE">
      <w:pPr>
        <w:pStyle w:val="Heading4"/>
      </w:pPr>
      <w:r>
        <w:lastRenderedPageBreak/>
        <w:t xml:space="preserve">Additional Information </w:t>
      </w:r>
    </w:p>
    <w:p w14:paraId="2F1141FD" w14:textId="77777777" w:rsidR="002A21AE" w:rsidRDefault="002A21AE">
      <w:pPr>
        <w:pStyle w:val="ListBullet"/>
      </w:pPr>
      <w:r>
        <w:t>Each pending order is managed individually.</w:t>
      </w:r>
    </w:p>
    <w:p w14:paraId="441D4C72" w14:textId="77777777" w:rsidR="00C5671A" w:rsidRDefault="001E56DE">
      <w:pPr>
        <w:pStyle w:val="ListBullet"/>
      </w:pPr>
      <w:r>
        <w:t xml:space="preserve">VBECS does not automatically clear or cancel pending </w:t>
      </w:r>
      <w:r w:rsidR="00BB3E6D">
        <w:t xml:space="preserve">or unaccepted </w:t>
      </w:r>
      <w:r>
        <w:t>orders</w:t>
      </w:r>
      <w:r w:rsidR="00BB3E6D">
        <w:t xml:space="preserve"> from the POL</w:t>
      </w:r>
      <w:r>
        <w:t>.</w:t>
      </w:r>
      <w:r>
        <w:rPr>
          <w:vanish/>
        </w:rPr>
        <w:t xml:space="preserve"> Task 1323</w:t>
      </w:r>
    </w:p>
    <w:p w14:paraId="330A7A78" w14:textId="77777777" w:rsidR="002A21AE" w:rsidRDefault="002A21AE">
      <w:pPr>
        <w:pStyle w:val="Heading4"/>
        <w:rPr>
          <w:b w:val="0"/>
        </w:rPr>
      </w:pPr>
      <w:r>
        <w:t>User Roles with Access to This Option</w:t>
      </w:r>
      <w:r>
        <w:rPr>
          <w:b w:val="0"/>
        </w:rPr>
        <w:t xml:space="preserve"> </w:t>
      </w:r>
    </w:p>
    <w:p w14:paraId="34092B41" w14:textId="77777777" w:rsidR="002A21AE" w:rsidRDefault="002232A3">
      <w:pPr>
        <w:pStyle w:val="Roles"/>
        <w:rPr>
          <w:snapToGrid w:val="0"/>
        </w:rPr>
      </w:pPr>
      <w:r>
        <w:t>All users</w:t>
      </w:r>
    </w:p>
    <w:p w14:paraId="5ECD3866" w14:textId="77777777" w:rsidR="002A21AE" w:rsidRDefault="002A21AE">
      <w:pPr>
        <w:pStyle w:val="Heading4"/>
      </w:pPr>
      <w:r>
        <w:t>Accept Orders: Cancel a Pending Order</w:t>
      </w:r>
    </w:p>
    <w:p w14:paraId="01F98E74" w14:textId="77777777" w:rsidR="002A21AE" w:rsidRDefault="002A21AE" w:rsidP="00FA7E65">
      <w:pPr>
        <w:pStyle w:val="BodyText"/>
      </w:pPr>
      <w:r>
        <w:t>The user selects an unaccepted order for cancellation.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B9C6600" w14:textId="77777777">
        <w:trPr>
          <w:cantSplit/>
          <w:tblHeader/>
        </w:trPr>
        <w:tc>
          <w:tcPr>
            <w:tcW w:w="3240" w:type="dxa"/>
            <w:shd w:val="pct30" w:color="auto" w:fill="FFFFFF"/>
            <w:vAlign w:val="bottom"/>
          </w:tcPr>
          <w:p w14:paraId="5DDAB31C" w14:textId="77777777" w:rsidR="002A21AE" w:rsidRDefault="002A21AE">
            <w:pPr>
              <w:pStyle w:val="TableText"/>
              <w:rPr>
                <w:b/>
              </w:rPr>
            </w:pPr>
            <w:r>
              <w:rPr>
                <w:b/>
              </w:rPr>
              <w:t>User Action</w:t>
            </w:r>
          </w:p>
        </w:tc>
        <w:tc>
          <w:tcPr>
            <w:tcW w:w="6120" w:type="dxa"/>
            <w:shd w:val="pct30" w:color="auto" w:fill="FFFFFF"/>
            <w:vAlign w:val="bottom"/>
          </w:tcPr>
          <w:p w14:paraId="2A161124" w14:textId="77777777" w:rsidR="002A21AE" w:rsidRDefault="002A21AE">
            <w:pPr>
              <w:pStyle w:val="TableText"/>
              <w:rPr>
                <w:b/>
              </w:rPr>
            </w:pPr>
            <w:r>
              <w:rPr>
                <w:b/>
              </w:rPr>
              <w:t>VBECS</w:t>
            </w:r>
          </w:p>
        </w:tc>
      </w:tr>
      <w:tr w:rsidR="002A21AE" w14:paraId="5F7835FE" w14:textId="77777777">
        <w:tc>
          <w:tcPr>
            <w:tcW w:w="3240" w:type="dxa"/>
          </w:tcPr>
          <w:p w14:paraId="2A01D243" w14:textId="77777777" w:rsidR="002A21AE" w:rsidRDefault="002A21AE">
            <w:pPr>
              <w:pStyle w:val="TableTextNumbers"/>
            </w:pPr>
            <w:r>
              <w:t xml:space="preserve">Select </w:t>
            </w:r>
            <w:r>
              <w:rPr>
                <w:b/>
              </w:rPr>
              <w:t>Orders</w:t>
            </w:r>
            <w:r>
              <w:t xml:space="preserve"> from the main menu.</w:t>
            </w:r>
          </w:p>
          <w:p w14:paraId="22EC1A06" w14:textId="77777777" w:rsidR="002A21AE" w:rsidRDefault="002A21AE">
            <w:pPr>
              <w:pStyle w:val="TableTextNumbersContinued"/>
            </w:pPr>
          </w:p>
          <w:p w14:paraId="56AF2F2C" w14:textId="77777777" w:rsidR="002A21AE" w:rsidRDefault="002A21AE">
            <w:pPr>
              <w:pStyle w:val="TableTextNumbersContinued"/>
            </w:pPr>
            <w:r>
              <w:t xml:space="preserve">Select </w:t>
            </w:r>
            <w:r>
              <w:rPr>
                <w:b/>
              </w:rPr>
              <w:t>Accept Orders</w:t>
            </w:r>
            <w:r>
              <w:t>.</w:t>
            </w:r>
          </w:p>
        </w:tc>
        <w:tc>
          <w:tcPr>
            <w:tcW w:w="6120" w:type="dxa"/>
          </w:tcPr>
          <w:p w14:paraId="19B18068" w14:textId="77777777" w:rsidR="002A21AE" w:rsidRDefault="002A21AE">
            <w:pPr>
              <w:pStyle w:val="TableTextBullet"/>
            </w:pPr>
            <w:r>
              <w:t>Displays options for processing orders.</w:t>
            </w:r>
          </w:p>
          <w:p w14:paraId="4997CBF4" w14:textId="77777777" w:rsidR="002A21AE" w:rsidRDefault="002A21AE">
            <w:pPr>
              <w:pStyle w:val="TableTextBullet"/>
            </w:pPr>
            <w:r>
              <w:t>Displays the Pending Order List and Pending Order List search criteria.</w:t>
            </w:r>
          </w:p>
        </w:tc>
      </w:tr>
      <w:tr w:rsidR="002A21AE" w14:paraId="7BB35F0C" w14:textId="77777777" w:rsidTr="00A94A90">
        <w:trPr>
          <w:cantSplit/>
        </w:trPr>
        <w:tc>
          <w:tcPr>
            <w:tcW w:w="3240" w:type="dxa"/>
          </w:tcPr>
          <w:p w14:paraId="21BC2FC3" w14:textId="2EB8C5AC" w:rsidR="002A21AE" w:rsidRDefault="002A21AE">
            <w:pPr>
              <w:pStyle w:val="TableTextNumbers"/>
            </w:pPr>
            <w:r>
              <w:t>Select an order to cancel from the Pending Order List</w:t>
            </w:r>
            <w:r w:rsidR="0051565D">
              <w:t xml:space="preserve"> (</w:t>
            </w:r>
            <w:r w:rsidR="00FA0E50">
              <w:fldChar w:fldCharType="begin"/>
            </w:r>
            <w:r w:rsidR="00FA0E50">
              <w:instrText xml:space="preserve"> REF _Ref126725358 \h </w:instrText>
            </w:r>
            <w:r w:rsidR="00FA0E50">
              <w:fldChar w:fldCharType="separate"/>
            </w:r>
            <w:r w:rsidR="004353ED">
              <w:t xml:space="preserve">Figure </w:t>
            </w:r>
            <w:r w:rsidR="004353ED">
              <w:rPr>
                <w:noProof/>
              </w:rPr>
              <w:t>120</w:t>
            </w:r>
            <w:r w:rsidR="00FA0E50">
              <w:fldChar w:fldCharType="end"/>
            </w:r>
            <w:r w:rsidR="0051565D">
              <w:t>)</w:t>
            </w:r>
            <w:r>
              <w:t>.</w:t>
            </w:r>
          </w:p>
          <w:p w14:paraId="4B810130" w14:textId="77777777" w:rsidR="002A21AE" w:rsidRDefault="002A21AE">
            <w:pPr>
              <w:pStyle w:val="TableTextNumbersContinued"/>
            </w:pPr>
          </w:p>
          <w:p w14:paraId="2F1774DE" w14:textId="77777777" w:rsidR="002A21AE" w:rsidRDefault="002A21AE">
            <w:pPr>
              <w:pStyle w:val="TableTextNumbersContinued"/>
            </w:pPr>
            <w:r>
              <w:t xml:space="preserve">Click </w:t>
            </w:r>
            <w:r>
              <w:rPr>
                <w:b/>
              </w:rPr>
              <w:t>Reject</w:t>
            </w:r>
            <w:r>
              <w:t>.</w:t>
            </w:r>
          </w:p>
        </w:tc>
        <w:tc>
          <w:tcPr>
            <w:tcW w:w="6120" w:type="dxa"/>
          </w:tcPr>
          <w:p w14:paraId="31EB27BD" w14:textId="77777777" w:rsidR="002A21AE" w:rsidRDefault="002A21AE">
            <w:pPr>
              <w:pStyle w:val="TableTextBullet"/>
            </w:pPr>
            <w:r>
              <w:t>Requires the user to enter a comment.</w:t>
            </w:r>
          </w:p>
          <w:p w14:paraId="25605541" w14:textId="77777777" w:rsidR="002A21AE" w:rsidRDefault="002A21AE">
            <w:pPr>
              <w:pStyle w:val="TableTextBullet"/>
            </w:pPr>
            <w:r>
              <w:t>Requires the user to confirm the cancellation of the pending order.</w:t>
            </w:r>
          </w:p>
        </w:tc>
      </w:tr>
      <w:tr w:rsidR="002A21AE" w14:paraId="1DF0F60A" w14:textId="77777777">
        <w:tc>
          <w:tcPr>
            <w:tcW w:w="3240" w:type="dxa"/>
          </w:tcPr>
          <w:p w14:paraId="2B5257A8" w14:textId="77777777" w:rsidR="002A21AE" w:rsidRDefault="002A21AE">
            <w:pPr>
              <w:pStyle w:val="TableTextNumbers"/>
            </w:pPr>
            <w:r>
              <w:t>Enter or select a comment in the Comment field.</w:t>
            </w:r>
          </w:p>
          <w:p w14:paraId="10F98B18" w14:textId="77777777" w:rsidR="002A21AE" w:rsidRDefault="002A21AE">
            <w:pPr>
              <w:pStyle w:val="TableTextNumbersContinued"/>
            </w:pPr>
          </w:p>
          <w:p w14:paraId="5059E0FF" w14:textId="77777777" w:rsidR="002A21AE" w:rsidRDefault="002A21AE">
            <w:pPr>
              <w:pStyle w:val="TableTextNumbersContinued"/>
            </w:pPr>
            <w:r>
              <w:t>Enter details in the Details field, if desired.</w:t>
            </w:r>
          </w:p>
          <w:p w14:paraId="23198934" w14:textId="77777777" w:rsidR="002A21AE" w:rsidRDefault="002A21AE">
            <w:pPr>
              <w:pStyle w:val="TableTextNumbersContinued"/>
            </w:pPr>
          </w:p>
          <w:p w14:paraId="25B15F51" w14:textId="77777777" w:rsidR="002A21AE" w:rsidRDefault="002A21AE">
            <w:pPr>
              <w:pStyle w:val="TableTextNumbersContinued"/>
            </w:pPr>
            <w:r>
              <w:t xml:space="preserve">Click </w:t>
            </w:r>
            <w:r>
              <w:rPr>
                <w:b/>
              </w:rPr>
              <w:t>OK</w:t>
            </w:r>
            <w:r>
              <w:t xml:space="preserve"> and </w:t>
            </w:r>
            <w:r>
              <w:rPr>
                <w:b/>
              </w:rPr>
              <w:t>Close</w:t>
            </w:r>
            <w:r>
              <w:t xml:space="preserve"> to confirm the order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541" w:author="Blalock, David (Leidos)" w:date="2020-06-15T14:09:00Z" w:original="0."/>
              </w:fldChar>
            </w:r>
          </w:p>
        </w:tc>
        <w:tc>
          <w:tcPr>
            <w:tcW w:w="6120" w:type="dxa"/>
          </w:tcPr>
          <w:p w14:paraId="20A26E95" w14:textId="77777777" w:rsidR="00BB3E6D" w:rsidRDefault="002A21AE" w:rsidP="00BB3E6D">
            <w:pPr>
              <w:pStyle w:val="TableTextBullet"/>
            </w:pPr>
            <w:r>
              <w:t>Removes the order from the Pending Order List and sends a message to CPRS with an order status update.</w:t>
            </w:r>
          </w:p>
          <w:p w14:paraId="127920E6" w14:textId="77777777" w:rsidR="00BB3E6D" w:rsidRDefault="00BB3E6D" w:rsidP="00BB3E6D">
            <w:pPr>
              <w:pStyle w:val="TableTextBullet"/>
              <w:numPr>
                <w:ilvl w:val="0"/>
                <w:numId w:val="0"/>
              </w:numPr>
            </w:pPr>
          </w:p>
          <w:p w14:paraId="4BEFD811" w14:textId="38ED1C86" w:rsidR="00BB3E6D" w:rsidRDefault="00BB3E6D" w:rsidP="00BB3E6D">
            <w:pPr>
              <w:pStyle w:val="TableText"/>
              <w:rPr>
                <w:b/>
                <w:bCs/>
                <w:szCs w:val="18"/>
              </w:rPr>
            </w:pPr>
            <w:r>
              <w:rPr>
                <w:b/>
                <w:bCs/>
                <w:szCs w:val="18"/>
              </w:rPr>
              <w:t>NOTES</w:t>
            </w:r>
          </w:p>
          <w:p w14:paraId="4B40ED13" w14:textId="77777777" w:rsidR="00BB3E6D" w:rsidRDefault="00BB3E6D" w:rsidP="00BB3E6D">
            <w:pPr>
              <w:pStyle w:val="NotesText"/>
            </w:pPr>
          </w:p>
          <w:p w14:paraId="14D3D722" w14:textId="77777777" w:rsidR="00BB3E6D" w:rsidRDefault="00BB3E6D" w:rsidP="004641B8">
            <w:pPr>
              <w:pStyle w:val="NotesText"/>
            </w:pPr>
            <w:r>
              <w:t>VBECS does not cancel a lab order if the lab order has already been accessioned</w:t>
            </w:r>
            <w:r w:rsidR="004641B8">
              <w:t>.</w:t>
            </w:r>
          </w:p>
        </w:tc>
      </w:tr>
    </w:tbl>
    <w:p w14:paraId="401BAA6F" w14:textId="005FF3AA" w:rsidR="00FA0E50" w:rsidRDefault="00FA0E50" w:rsidP="00FA0E50">
      <w:pPr>
        <w:pStyle w:val="Caption"/>
      </w:pPr>
      <w:bookmarkStart w:id="542" w:name="_Ref1267253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120</w:t>
      </w:r>
      <w:r w:rsidR="004E20BD">
        <w:rPr>
          <w:noProof/>
        </w:rPr>
        <w:fldChar w:fldCharType="end"/>
      </w:r>
      <w:bookmarkEnd w:id="542"/>
      <w:r>
        <w:t>: Accept Orders: Reject an Order</w:t>
      </w:r>
    </w:p>
    <w:p w14:paraId="00664523" w14:textId="7D42CED1" w:rsidR="00FA0E50" w:rsidRDefault="00C84A5E" w:rsidP="00FA0E50">
      <w:pPr>
        <w:pStyle w:val="BodyText"/>
      </w:pPr>
      <w:r>
        <w:rPr>
          <w:noProof/>
        </w:rPr>
        <w:drawing>
          <wp:inline distT="0" distB="0" distL="0" distR="0" wp14:anchorId="47BBBEB4" wp14:editId="1B572854">
            <wp:extent cx="5943600" cy="3028950"/>
            <wp:effectExtent l="0" t="0" r="0" b="0"/>
            <wp:docPr id="193" name="Picture 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a:extLst>
                        <a:ext uri="{C183D7F6-B498-43B3-948B-1728B52AA6E4}">
                          <adec:decorative xmlns:adec="http://schemas.microsoft.com/office/drawing/2017/decorative" val="1"/>
                        </a:ext>
                      </a:extLst>
                    </pic:cNvPr>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943600" cy="3028950"/>
                    </a:xfrm>
                    <a:prstGeom prst="rect">
                      <a:avLst/>
                    </a:prstGeom>
                    <a:noFill/>
                    <a:ln>
                      <a:noFill/>
                    </a:ln>
                  </pic:spPr>
                </pic:pic>
              </a:graphicData>
            </a:graphic>
          </wp:inline>
        </w:drawing>
      </w:r>
    </w:p>
    <w:p w14:paraId="6E76F6E6" w14:textId="77777777" w:rsidR="002A21AE" w:rsidRDefault="002A21AE">
      <w:pPr>
        <w:pStyle w:val="Heading2"/>
      </w:pPr>
      <w:r>
        <w:br w:type="page"/>
      </w:r>
      <w:bookmarkStart w:id="543" w:name="_Toc47516750"/>
      <w:r>
        <w:lastRenderedPageBreak/>
        <w:t>Order Reflex Tests</w:t>
      </w:r>
      <w:bookmarkEnd w:id="539"/>
      <w:bookmarkEnd w:id="543"/>
      <w:r>
        <w:fldChar w:fldCharType="begin"/>
      </w:r>
      <w:r>
        <w:instrText xml:space="preserve"> XE </w:instrText>
      </w:r>
      <w:r w:rsidR="00FA7E65">
        <w:instrText>“</w:instrText>
      </w:r>
      <w:r>
        <w:instrText>Order Reflex Tests</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UC_45</w:t>
      </w:r>
    </w:p>
    <w:p w14:paraId="64EAD5AE" w14:textId="77777777" w:rsidR="002A21AE" w:rsidRDefault="002A21AE" w:rsidP="00FA7E65">
      <w:pPr>
        <w:pStyle w:val="BodyText"/>
      </w:pPr>
      <w:r>
        <w:t>The user may order additional blood bank tests for a complete or incomplete accepted patient specimen to add to the Pending Task List (PTL). The ordered test or test group limits the type of reflex and repeat test order that may be associated with a specimen.</w:t>
      </w:r>
    </w:p>
    <w:p w14:paraId="201473AB" w14:textId="77777777" w:rsidR="002A21AE" w:rsidRDefault="002A21AE">
      <w:pPr>
        <w:pStyle w:val="Heading4"/>
      </w:pPr>
      <w:r>
        <w:t>Assumptions</w:t>
      </w:r>
    </w:p>
    <w:p w14:paraId="4BA61979" w14:textId="77777777" w:rsidR="002A21AE" w:rsidRDefault="002A21AE">
      <w:pPr>
        <w:pStyle w:val="ListBullet"/>
      </w:pPr>
      <w:r>
        <w:t>A patient’s test result requires further investigation or repetition of a diagnostic test.</w:t>
      </w:r>
    </w:p>
    <w:p w14:paraId="3E2C1332" w14:textId="77777777" w:rsidR="002A21AE" w:rsidRDefault="002A21AE">
      <w:pPr>
        <w:pStyle w:val="Heading4"/>
      </w:pPr>
      <w:r>
        <w:t>Outcome</w:t>
      </w:r>
    </w:p>
    <w:p w14:paraId="3BE92FA5" w14:textId="77777777" w:rsidR="002A21AE" w:rsidRDefault="002A21AE">
      <w:pPr>
        <w:pStyle w:val="ListBullet"/>
      </w:pPr>
      <w:r>
        <w:rPr>
          <w:rFonts w:ascii="Arial" w:hAnsi="Arial" w:cs="Arial"/>
          <w:vanish/>
          <w:spacing w:val="0"/>
          <w:sz w:val="18"/>
        </w:rPr>
        <w:t xml:space="preserve">BR_45.05 </w:t>
      </w:r>
      <w:r>
        <w:t>One or more reflex orders are in the PTL with a “routine” urgency.</w:t>
      </w:r>
    </w:p>
    <w:p w14:paraId="7BD5958B" w14:textId="77777777" w:rsidR="002A21AE" w:rsidRDefault="002A21AE">
      <w:pPr>
        <w:pStyle w:val="Heading4"/>
      </w:pPr>
      <w:r>
        <w:t>Limitations and Restrictions</w:t>
      </w:r>
    </w:p>
    <w:p w14:paraId="4BD6F613" w14:textId="77777777" w:rsidR="002A21AE" w:rsidRDefault="002A21AE">
      <w:pPr>
        <w:pStyle w:val="ListBullet"/>
      </w:pPr>
      <w:r w:rsidRPr="00FE7547">
        <w:rPr>
          <w:rFonts w:ascii="Arial" w:hAnsi="Arial" w:cs="Arial"/>
          <w:vanish/>
          <w:spacing w:val="0"/>
          <w:sz w:val="18"/>
        </w:rPr>
        <w:t>BR_45.10</w:t>
      </w:r>
      <w:r>
        <w:rPr>
          <w:rFonts w:ascii="Arial" w:hAnsi="Arial" w:cs="Arial"/>
          <w:vanish/>
          <w:spacing w:val="0"/>
          <w:sz w:val="18"/>
        </w:rPr>
        <w:t xml:space="preserve"> </w:t>
      </w:r>
      <w:r>
        <w:t xml:space="preserve">A crossmatch (XM) and a repeat </w:t>
      </w:r>
      <w:r w:rsidR="004D7585">
        <w:t>XM</w:t>
      </w:r>
      <w:r>
        <w:t xml:space="preserve"> cannot be ordered unless they are associated with a specimen with a future expiration date and a phlebotomist is associated with that specimen.</w:t>
      </w:r>
    </w:p>
    <w:p w14:paraId="10AB050E" w14:textId="420AE545" w:rsidR="002A21AE" w:rsidRDefault="002A21AE">
      <w:pPr>
        <w:pStyle w:val="ListBullet"/>
      </w:pPr>
      <w:r>
        <w:rPr>
          <w:rFonts w:ascii="Arial" w:hAnsi="Arial" w:cs="Arial"/>
          <w:vanish/>
          <w:spacing w:val="0"/>
          <w:sz w:val="18"/>
        </w:rPr>
        <w:t xml:space="preserve">BR_98.02 </w:t>
      </w:r>
      <w:r>
        <w:t>When a user selects weak D for the antigen typing test and the selected patient is Rh positive, VBECS warns that weak D testing cannot be performed</w:t>
      </w:r>
      <w:r w:rsidR="00501F92">
        <w:t xml:space="preserve"> (See</w:t>
      </w:r>
      <w:r w:rsidR="009913C5">
        <w:t xml:space="preserve"> FAQ Weak D Policy)</w:t>
      </w:r>
      <w:r>
        <w:t>. There is no override and VBECS does not add the test.</w:t>
      </w:r>
    </w:p>
    <w:p w14:paraId="0BEDAEE0" w14:textId="77777777" w:rsidR="002A21AE" w:rsidRDefault="002A21AE">
      <w:pPr>
        <w:pStyle w:val="Heading4"/>
      </w:pPr>
      <w:r>
        <w:t>Additional Information</w:t>
      </w:r>
    </w:p>
    <w:p w14:paraId="385A711C" w14:textId="77777777" w:rsidR="002A21AE" w:rsidRDefault="002A21AE">
      <w:pPr>
        <w:pStyle w:val="ListBullet"/>
      </w:pPr>
      <w:r>
        <w:t>Unlimited repeat tests may be ordered and completed, but are not available to CPRS or to billing.</w:t>
      </w:r>
    </w:p>
    <w:p w14:paraId="00B21FAF" w14:textId="77777777" w:rsidR="002A21AE" w:rsidRDefault="002A21AE">
      <w:pPr>
        <w:pStyle w:val="Heading4"/>
      </w:pPr>
      <w:r>
        <w:t>User Roles with Access to This Option</w:t>
      </w:r>
    </w:p>
    <w:p w14:paraId="4C762E40" w14:textId="77777777" w:rsidR="002A21AE" w:rsidRDefault="006E4031">
      <w:pPr>
        <w:pStyle w:val="Roles"/>
        <w:rPr>
          <w:snapToGrid w:val="0"/>
        </w:rPr>
      </w:pPr>
      <w:r>
        <w:t>All users</w:t>
      </w:r>
    </w:p>
    <w:bookmarkEnd w:id="540"/>
    <w:p w14:paraId="6CD9377F" w14:textId="77777777" w:rsidR="002A21AE" w:rsidRDefault="002A21AE">
      <w:pPr>
        <w:pStyle w:val="Heading4"/>
      </w:pPr>
      <w:r>
        <w:t>Order Reflex Tests</w:t>
      </w:r>
    </w:p>
    <w:p w14:paraId="6432FE2B" w14:textId="77777777" w:rsidR="002A21AE" w:rsidRDefault="002A21AE" w:rsidP="00FA7E65">
      <w:pPr>
        <w:pStyle w:val="BodyText"/>
      </w:pPr>
      <w:r>
        <w:t xml:space="preserve">The user orders additional blood bank tests for a patient specimen that was already accepted and that may or may not be completed. The ordered reflex test(s) are added to the PTL.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3787A16" w14:textId="77777777">
        <w:trPr>
          <w:tblHeader/>
        </w:trPr>
        <w:tc>
          <w:tcPr>
            <w:tcW w:w="3240" w:type="dxa"/>
            <w:shd w:val="pct30" w:color="auto" w:fill="FFFFFF"/>
            <w:vAlign w:val="bottom"/>
          </w:tcPr>
          <w:p w14:paraId="134D9B5B" w14:textId="77777777" w:rsidR="002A21AE" w:rsidRDefault="002A21AE">
            <w:pPr>
              <w:pStyle w:val="TableText"/>
              <w:rPr>
                <w:b/>
              </w:rPr>
            </w:pPr>
            <w:r>
              <w:rPr>
                <w:b/>
              </w:rPr>
              <w:t>User Action</w:t>
            </w:r>
          </w:p>
        </w:tc>
        <w:tc>
          <w:tcPr>
            <w:tcW w:w="6120" w:type="dxa"/>
            <w:shd w:val="pct30" w:color="auto" w:fill="FFFFFF"/>
            <w:vAlign w:val="bottom"/>
          </w:tcPr>
          <w:p w14:paraId="234D9C78" w14:textId="77777777" w:rsidR="002A21AE" w:rsidRDefault="002A21AE">
            <w:pPr>
              <w:pStyle w:val="TableText"/>
              <w:rPr>
                <w:b/>
              </w:rPr>
            </w:pPr>
            <w:r>
              <w:rPr>
                <w:b/>
              </w:rPr>
              <w:t>VBECS</w:t>
            </w:r>
          </w:p>
        </w:tc>
      </w:tr>
      <w:tr w:rsidR="002A21AE" w14:paraId="135118D8" w14:textId="77777777">
        <w:tc>
          <w:tcPr>
            <w:tcW w:w="3240" w:type="dxa"/>
          </w:tcPr>
          <w:p w14:paraId="6FF09DAB" w14:textId="77777777" w:rsidR="002A21AE" w:rsidRDefault="002A21AE">
            <w:pPr>
              <w:pStyle w:val="TableTextNumbers"/>
            </w:pPr>
            <w:r>
              <w:t xml:space="preserve">Select </w:t>
            </w:r>
            <w:r>
              <w:rPr>
                <w:b/>
              </w:rPr>
              <w:t>Orders</w:t>
            </w:r>
            <w:r>
              <w:t xml:space="preserve"> from the main menu.</w:t>
            </w:r>
          </w:p>
          <w:p w14:paraId="7CDD96BD" w14:textId="77777777" w:rsidR="002A21AE" w:rsidRDefault="002A21AE">
            <w:pPr>
              <w:pStyle w:val="TableTextNumbersContinued"/>
            </w:pPr>
          </w:p>
          <w:p w14:paraId="5BECC6F8" w14:textId="77777777" w:rsidR="002A21AE" w:rsidRDefault="002A21AE">
            <w:pPr>
              <w:pStyle w:val="TableTextNumbersContinued"/>
            </w:pPr>
            <w:r>
              <w:t xml:space="preserve">Select </w:t>
            </w:r>
            <w:r>
              <w:rPr>
                <w:b/>
              </w:rPr>
              <w:t>Order Reflex Tests</w:t>
            </w:r>
            <w:r>
              <w:t>.</w:t>
            </w:r>
          </w:p>
        </w:tc>
        <w:tc>
          <w:tcPr>
            <w:tcW w:w="6120" w:type="dxa"/>
          </w:tcPr>
          <w:p w14:paraId="259A111B" w14:textId="77777777" w:rsidR="002A21AE" w:rsidRDefault="002A21AE">
            <w:pPr>
              <w:pStyle w:val="TableTextBullet"/>
            </w:pPr>
            <w:r>
              <w:t>Displays options for processing orders.</w:t>
            </w:r>
          </w:p>
          <w:p w14:paraId="228EF9B3" w14:textId="77777777" w:rsidR="002A21AE" w:rsidRDefault="002A21AE">
            <w:pPr>
              <w:pStyle w:val="TableTextBullet"/>
            </w:pPr>
            <w:r>
              <w:t>Displays specimen search criteria and search results.</w:t>
            </w:r>
          </w:p>
          <w:p w14:paraId="620E070A" w14:textId="77777777" w:rsidR="002A21AE" w:rsidRDefault="002A21AE">
            <w:pPr>
              <w:pStyle w:val="TableText"/>
            </w:pPr>
          </w:p>
          <w:p w14:paraId="4F31019E" w14:textId="7B6C2036" w:rsidR="002A21AE" w:rsidRDefault="002A21AE">
            <w:pPr>
              <w:pStyle w:val="TableText"/>
              <w:rPr>
                <w:b/>
                <w:bCs/>
                <w:szCs w:val="18"/>
              </w:rPr>
            </w:pPr>
            <w:r>
              <w:rPr>
                <w:b/>
                <w:bCs/>
                <w:szCs w:val="18"/>
              </w:rPr>
              <w:t>NOTES</w:t>
            </w:r>
          </w:p>
          <w:p w14:paraId="2617F553" w14:textId="77777777" w:rsidR="002A21AE" w:rsidRDefault="002A21AE">
            <w:pPr>
              <w:pStyle w:val="NotesText"/>
            </w:pPr>
          </w:p>
          <w:p w14:paraId="002B2C5A" w14:textId="77777777" w:rsidR="002A21AE" w:rsidRDefault="002A21AE">
            <w:pPr>
              <w:pStyle w:val="NotesText"/>
            </w:pPr>
            <w:r>
              <w:t xml:space="preserve">The user may also access Order Reflex Tests by clicking </w:t>
            </w:r>
            <w:r>
              <w:rPr>
                <w:b/>
                <w:bCs/>
              </w:rPr>
              <w:t>Order Reflex Tests</w:t>
            </w:r>
            <w:r>
              <w:t xml:space="preserve"> when executing Patient Testing or by right-clicking the testing grid that generates the reflexive order.</w:t>
            </w:r>
          </w:p>
        </w:tc>
      </w:tr>
      <w:tr w:rsidR="002A21AE" w14:paraId="35ED929A" w14:textId="77777777">
        <w:trPr>
          <w:trHeight w:val="512"/>
        </w:trPr>
        <w:tc>
          <w:tcPr>
            <w:tcW w:w="3240" w:type="dxa"/>
          </w:tcPr>
          <w:p w14:paraId="2932C707" w14:textId="77777777" w:rsidR="002A21AE" w:rsidRDefault="002A21AE">
            <w:pPr>
              <w:pStyle w:val="TableTextNumbers"/>
            </w:pPr>
            <w:r>
              <w:t>Enter the patient name and/or the specimen UID.</w:t>
            </w:r>
          </w:p>
          <w:p w14:paraId="1C0A0E00" w14:textId="77777777" w:rsidR="002A21AE" w:rsidRDefault="002A21AE">
            <w:pPr>
              <w:pStyle w:val="TableTextNumbersContinued"/>
            </w:pPr>
          </w:p>
          <w:p w14:paraId="48C7D35E" w14:textId="77777777" w:rsidR="002A21AE" w:rsidRDefault="002A21AE">
            <w:pPr>
              <w:pStyle w:val="TableTextNumbersContinued"/>
            </w:pPr>
            <w:r>
              <w:t xml:space="preserve">Click </w:t>
            </w:r>
            <w:r>
              <w:rPr>
                <w:b/>
              </w:rPr>
              <w:t>Search</w:t>
            </w:r>
            <w:r>
              <w:t>, if necessary.</w:t>
            </w:r>
          </w:p>
        </w:tc>
        <w:tc>
          <w:tcPr>
            <w:tcW w:w="6120" w:type="dxa"/>
          </w:tcPr>
          <w:p w14:paraId="35048DEC" w14:textId="77777777" w:rsidR="002A21AE" w:rsidRDefault="002A21AE">
            <w:pPr>
              <w:pStyle w:val="TableText"/>
            </w:pPr>
          </w:p>
          <w:p w14:paraId="0AC5693C" w14:textId="7E1CA828" w:rsidR="002A21AE" w:rsidRDefault="002A21AE">
            <w:pPr>
              <w:pStyle w:val="TableText"/>
              <w:rPr>
                <w:b/>
                <w:bCs/>
                <w:szCs w:val="18"/>
              </w:rPr>
            </w:pPr>
            <w:r>
              <w:rPr>
                <w:b/>
                <w:bCs/>
                <w:szCs w:val="18"/>
              </w:rPr>
              <w:t>NOTES</w:t>
            </w:r>
          </w:p>
          <w:p w14:paraId="5262D5BF" w14:textId="77777777" w:rsidR="002A21AE" w:rsidRDefault="002A21AE">
            <w:pPr>
              <w:pStyle w:val="NotesText"/>
            </w:pPr>
          </w:p>
          <w:p w14:paraId="34AEEE02" w14:textId="77777777" w:rsidR="002A21AE" w:rsidRDefault="002A21AE">
            <w:pPr>
              <w:pStyle w:val="NotesText"/>
            </w:pPr>
            <w:r>
              <w:rPr>
                <w:rFonts w:cs="Arial"/>
                <w:vanish/>
              </w:rPr>
              <w:t xml:space="preserve">BR_45.08 </w:t>
            </w:r>
            <w:r>
              <w:t>The user may identify specific specimen for reflex test ordering by scanning or by manual data entry of the UID on the specimen.</w:t>
            </w:r>
          </w:p>
        </w:tc>
      </w:tr>
      <w:tr w:rsidR="002A21AE" w14:paraId="6C0C74DA" w14:textId="77777777" w:rsidTr="00A94A90">
        <w:trPr>
          <w:cantSplit/>
        </w:trPr>
        <w:tc>
          <w:tcPr>
            <w:tcW w:w="3240" w:type="dxa"/>
          </w:tcPr>
          <w:p w14:paraId="761DE98C" w14:textId="77777777" w:rsidR="002A21AE" w:rsidRDefault="002A21AE">
            <w:pPr>
              <w:pStyle w:val="TableTextNumbers"/>
            </w:pPr>
            <w:r>
              <w:lastRenderedPageBreak/>
              <w:t xml:space="preserve">Select an item from Specimen Search Results. </w:t>
            </w:r>
          </w:p>
          <w:p w14:paraId="74958443" w14:textId="77777777" w:rsidR="002A21AE" w:rsidRDefault="002A21AE">
            <w:pPr>
              <w:pStyle w:val="TableTextNumbersContinued"/>
            </w:pPr>
          </w:p>
          <w:p w14:paraId="26FFE777" w14:textId="3FA56ED5" w:rsidR="002A21AE" w:rsidRDefault="002A21AE">
            <w:pPr>
              <w:pStyle w:val="TableTextNumbersContinued"/>
            </w:pPr>
            <w:r>
              <w:t>Review the information in the Selected Patient Specimen area and in the Patient Details and Order Details tabs</w:t>
            </w:r>
            <w:r w:rsidR="00096F7A">
              <w:t xml:space="preserve"> (</w:t>
            </w:r>
            <w:r w:rsidR="00096F7A">
              <w:fldChar w:fldCharType="begin"/>
            </w:r>
            <w:r w:rsidR="00096F7A">
              <w:instrText xml:space="preserve"> REF _Ref126725596 \h </w:instrText>
            </w:r>
            <w:r w:rsidR="00096F7A">
              <w:fldChar w:fldCharType="separate"/>
            </w:r>
            <w:r w:rsidR="004353ED">
              <w:t xml:space="preserve">Figure </w:t>
            </w:r>
            <w:r w:rsidR="004353ED">
              <w:rPr>
                <w:noProof/>
              </w:rPr>
              <w:t>121</w:t>
            </w:r>
            <w:r w:rsidR="00096F7A">
              <w:fldChar w:fldCharType="end"/>
            </w:r>
            <w:r w:rsidR="00096F7A">
              <w:t>)</w:t>
            </w:r>
            <w:r>
              <w:t>.</w:t>
            </w:r>
          </w:p>
          <w:p w14:paraId="425F9413" w14:textId="77777777" w:rsidR="002A21AE" w:rsidRDefault="002A21AE">
            <w:pPr>
              <w:pStyle w:val="TableTextNumbersContinued"/>
            </w:pPr>
          </w:p>
          <w:p w14:paraId="67C0808E" w14:textId="77777777" w:rsidR="002A21AE" w:rsidRDefault="002A21AE">
            <w:pPr>
              <w:pStyle w:val="TableTextNumbersContinued"/>
            </w:pPr>
            <w:r>
              <w:t xml:space="preserve">Click </w:t>
            </w:r>
            <w:r>
              <w:rPr>
                <w:b/>
              </w:rPr>
              <w:t>OK</w:t>
            </w:r>
            <w:r>
              <w:t xml:space="preserve"> to accept the order.</w:t>
            </w:r>
          </w:p>
          <w:p w14:paraId="5F10B7C1" w14:textId="77777777" w:rsidR="002A21AE" w:rsidRDefault="002A21AE">
            <w:pPr>
              <w:pStyle w:val="TableTextNumbersContinued"/>
            </w:pPr>
          </w:p>
          <w:p w14:paraId="1F663DBC" w14:textId="77777777" w:rsidR="002A21AE" w:rsidRDefault="002A21AE">
            <w:pPr>
              <w:pStyle w:val="TableTextNumbersContinued"/>
            </w:pPr>
            <w:r>
              <w:t>Respond to messages, as required.</w:t>
            </w:r>
          </w:p>
        </w:tc>
        <w:tc>
          <w:tcPr>
            <w:tcW w:w="6120" w:type="dxa"/>
          </w:tcPr>
          <w:p w14:paraId="305B07E0" w14:textId="77777777" w:rsidR="002A21AE" w:rsidRDefault="002A21AE">
            <w:pPr>
              <w:pStyle w:val="TableTextBullet"/>
            </w:pPr>
            <w:r>
              <w:t xml:space="preserve">Displays an option to search for specimens currently available (in-date) for a patient by standard patient search conventions. </w:t>
            </w:r>
          </w:p>
          <w:p w14:paraId="2F49E728" w14:textId="77777777" w:rsidR="002A21AE" w:rsidRDefault="002A21AE">
            <w:pPr>
              <w:pStyle w:val="TableTextBullet"/>
            </w:pPr>
            <w:r>
              <w:t>Accommodates direct selection of a specimen by scanning or by entering a specimen UID.</w:t>
            </w:r>
          </w:p>
          <w:p w14:paraId="4135A7A6" w14:textId="77777777" w:rsidR="002A21AE" w:rsidRDefault="002A21AE">
            <w:pPr>
              <w:pStyle w:val="TableTextBullet"/>
            </w:pPr>
            <w:r>
              <w:rPr>
                <w:rFonts w:cs="Arial"/>
                <w:vanish/>
              </w:rPr>
              <w:t xml:space="preserve">BR_45.02 </w:t>
            </w:r>
            <w:r>
              <w:t>Displays available (in-date) patient specimens or orders in reverse chronological order within a date range defined by the site parameter. Only one patient specimen may have reflex tests added in one session. The expired and unacceptable specimens will follow.</w:t>
            </w:r>
          </w:p>
          <w:p w14:paraId="426D5509" w14:textId="77777777" w:rsidR="002A21AE" w:rsidRDefault="002A21AE">
            <w:pPr>
              <w:pStyle w:val="TableTextBullet"/>
            </w:pPr>
            <w:r>
              <w:t>Displays a message directing the user to complete Patient Testing when the selected test is not completed. User returns to Patient Testing.</w:t>
            </w:r>
          </w:p>
          <w:p w14:paraId="776409EA" w14:textId="77777777" w:rsidR="002A21AE" w:rsidRDefault="002A21AE">
            <w:pPr>
              <w:pStyle w:val="TableTextBullet"/>
            </w:pPr>
            <w:r>
              <w:t xml:space="preserve">Displays a message when </w:t>
            </w:r>
            <w:r w:rsidR="00E97883">
              <w:t xml:space="preserve">a </w:t>
            </w:r>
            <w:r>
              <w:t xml:space="preserve">specimen is expired or unacceptable. User may click </w:t>
            </w:r>
            <w:r>
              <w:rPr>
                <w:b/>
              </w:rPr>
              <w:t>Yes</w:t>
            </w:r>
            <w:r>
              <w:t xml:space="preserve"> to continue with the order or </w:t>
            </w:r>
            <w:r>
              <w:rPr>
                <w:b/>
              </w:rPr>
              <w:t>No</w:t>
            </w:r>
            <w:r>
              <w:t xml:space="preserve"> to </w:t>
            </w:r>
            <w:r w:rsidR="00E97883">
              <w:t>select or request another specimen, as appropriate</w:t>
            </w:r>
            <w:r>
              <w:t>.</w:t>
            </w:r>
          </w:p>
          <w:p w14:paraId="53DD596E" w14:textId="77777777" w:rsidR="002A21AE" w:rsidRDefault="002A21AE">
            <w:pPr>
              <w:pStyle w:val="TableTextBullet"/>
            </w:pPr>
            <w:r>
              <w:rPr>
                <w:rFonts w:cs="Arial"/>
                <w:vanish/>
              </w:rPr>
              <w:t xml:space="preserve">BR_45.03 </w:t>
            </w:r>
            <w:r>
              <w:t>Displays the date/time/division of the specimen collection when selecting a specimen for ordering reflex tests.</w:t>
            </w:r>
          </w:p>
          <w:p w14:paraId="6DBCC1E0" w14:textId="77777777" w:rsidR="002A21AE" w:rsidRDefault="002A21AE">
            <w:pPr>
              <w:pStyle w:val="TableText"/>
            </w:pPr>
          </w:p>
          <w:p w14:paraId="7D66A44F" w14:textId="2C6C0024" w:rsidR="002A21AE" w:rsidRDefault="002A21AE">
            <w:pPr>
              <w:pStyle w:val="TableText"/>
              <w:rPr>
                <w:b/>
                <w:bCs/>
                <w:szCs w:val="18"/>
              </w:rPr>
            </w:pPr>
            <w:r>
              <w:rPr>
                <w:b/>
                <w:bCs/>
                <w:szCs w:val="18"/>
              </w:rPr>
              <w:t>NOTES</w:t>
            </w:r>
          </w:p>
          <w:p w14:paraId="65BA674E" w14:textId="77777777" w:rsidR="002A21AE" w:rsidRDefault="002A21AE">
            <w:pPr>
              <w:pStyle w:val="NotesText"/>
            </w:pPr>
          </w:p>
          <w:p w14:paraId="3B19F7DF" w14:textId="77777777" w:rsidR="002A21AE" w:rsidRDefault="002A21AE">
            <w:pPr>
              <w:pStyle w:val="NotesText"/>
              <w:rPr>
                <w:vanish/>
                <w:szCs w:val="18"/>
              </w:rPr>
            </w:pPr>
            <w:r>
              <w:rPr>
                <w:rFonts w:cs="Arial"/>
                <w:vanish/>
              </w:rPr>
              <w:t>BR_45.04</w:t>
            </w:r>
            <w:r w:rsidR="004D3195" w:rsidRPr="002C3287">
              <w:rPr>
                <w:rStyle w:val="BullhornChar"/>
              </w:rPr>
              <w:t></w:t>
            </w:r>
            <w:r w:rsidR="004D3195">
              <w:rPr>
                <w:rFonts w:ascii="Webdings" w:hAnsi="Webdings"/>
              </w:rPr>
              <w:t></w:t>
            </w:r>
            <w:r>
              <w:t xml:space="preserve">VBECS emits an audible alert, warns that the specimen is expired, and instructs the user to enter </w:t>
            </w:r>
            <w:r w:rsidR="005C7E5F">
              <w:t xml:space="preserve">a </w:t>
            </w:r>
            <w:r>
              <w:t xml:space="preserve">comment to continue. When a user enters or scans an expired specimen. VBECS requires a comment and captures details for inclusion in an Exception Report (exception type: reflex test ordered on an expired specimen). </w:t>
            </w:r>
          </w:p>
          <w:p w14:paraId="6E470C5C" w14:textId="77777777" w:rsidR="002A21AE" w:rsidRDefault="002A21AE">
            <w:pPr>
              <w:pStyle w:val="NotesText"/>
              <w:ind w:left="0"/>
              <w:rPr>
                <w:vanish/>
                <w:szCs w:val="18"/>
              </w:rPr>
            </w:pPr>
          </w:p>
          <w:p w14:paraId="36B22A45" w14:textId="77777777" w:rsidR="002A21AE" w:rsidRDefault="002A21AE">
            <w:pPr>
              <w:pStyle w:val="NotesText"/>
            </w:pPr>
            <w:r>
              <w:rPr>
                <w:vanish/>
                <w:szCs w:val="18"/>
              </w:rPr>
              <w:t>PT_45.01 Orderable Reflex Tests</w:t>
            </w:r>
          </w:p>
        </w:tc>
      </w:tr>
      <w:tr w:rsidR="002A21AE" w14:paraId="690A44EA" w14:textId="77777777">
        <w:tc>
          <w:tcPr>
            <w:tcW w:w="3240" w:type="dxa"/>
          </w:tcPr>
          <w:p w14:paraId="34EBBC97" w14:textId="77777777" w:rsidR="002A21AE" w:rsidRDefault="002A21AE">
            <w:pPr>
              <w:pStyle w:val="TableTextNumbers"/>
            </w:pPr>
            <w:r>
              <w:t>When a specimen is already selected, go to Step 5.</w:t>
            </w:r>
          </w:p>
          <w:p w14:paraId="52AECE30" w14:textId="77777777" w:rsidR="002A21AE" w:rsidRDefault="002A21AE">
            <w:pPr>
              <w:pStyle w:val="TableTextNumbersContinued"/>
            </w:pPr>
          </w:p>
          <w:p w14:paraId="1728DF68" w14:textId="77777777" w:rsidR="002A21AE" w:rsidRDefault="002A21AE">
            <w:pPr>
              <w:pStyle w:val="TableTextNumbersContinued"/>
            </w:pPr>
            <w:r>
              <w:t xml:space="preserve">Select or enter a patient specimen that requires the additional test. </w:t>
            </w:r>
          </w:p>
        </w:tc>
        <w:tc>
          <w:tcPr>
            <w:tcW w:w="6120" w:type="dxa"/>
          </w:tcPr>
          <w:p w14:paraId="160F55B3" w14:textId="77777777" w:rsidR="002A21AE" w:rsidRDefault="002A21AE">
            <w:pPr>
              <w:pStyle w:val="TableTextBullet"/>
            </w:pPr>
            <w:r>
              <w:t xml:space="preserve">Displays all orders associated with a specimen that can be used to request reflex tests for an existing diagnostic test order within an order group. </w:t>
            </w:r>
          </w:p>
          <w:p w14:paraId="6557815A" w14:textId="77777777" w:rsidR="002A21AE" w:rsidRDefault="002A21AE">
            <w:pPr>
              <w:pStyle w:val="TableTextBullet"/>
            </w:pPr>
            <w:r>
              <w:t xml:space="preserve">Automatically associates the reflex test with the order when there is only one order associated with the specimen. </w:t>
            </w:r>
          </w:p>
        </w:tc>
      </w:tr>
      <w:tr w:rsidR="002A21AE" w14:paraId="0BC7AE28" w14:textId="77777777">
        <w:tc>
          <w:tcPr>
            <w:tcW w:w="3240" w:type="dxa"/>
          </w:tcPr>
          <w:p w14:paraId="4A02C270" w14:textId="77777777" w:rsidR="002A21AE" w:rsidRDefault="002A21AE">
            <w:pPr>
              <w:pStyle w:val="TableTextNumbers"/>
            </w:pPr>
            <w:r>
              <w:t>Click one or more check boxes to select reflex tests from the Order Reflex Test(s) list.</w:t>
            </w:r>
          </w:p>
        </w:tc>
        <w:tc>
          <w:tcPr>
            <w:tcW w:w="6120" w:type="dxa"/>
          </w:tcPr>
          <w:p w14:paraId="66EA1F12" w14:textId="77777777" w:rsidR="002A21AE" w:rsidRDefault="002A21AE">
            <w:pPr>
              <w:pStyle w:val="TableTextBullet"/>
            </w:pPr>
            <w:r>
              <w:t>Displays the selected tests for review.</w:t>
            </w:r>
          </w:p>
          <w:p w14:paraId="3EB6F451" w14:textId="77777777" w:rsidR="002A21AE" w:rsidRDefault="002A21AE">
            <w:pPr>
              <w:pStyle w:val="TableTextBullet"/>
            </w:pPr>
            <w:r>
              <w:t xml:space="preserve">Allows the user to select or to deselect reflex tests. </w:t>
            </w:r>
          </w:p>
        </w:tc>
      </w:tr>
      <w:tr w:rsidR="002A21AE" w14:paraId="609C92C2" w14:textId="77777777">
        <w:tc>
          <w:tcPr>
            <w:tcW w:w="3240" w:type="dxa"/>
          </w:tcPr>
          <w:p w14:paraId="0670E922" w14:textId="77777777" w:rsidR="002A21AE" w:rsidRDefault="002A21AE">
            <w:pPr>
              <w:pStyle w:val="TableTextNumbers"/>
            </w:pPr>
            <w:r>
              <w:t xml:space="preserve">Click </w:t>
            </w:r>
            <w:r>
              <w:rPr>
                <w:b/>
              </w:rPr>
              <w:t>OK</w:t>
            </w:r>
            <w:r>
              <w:t xml:space="preserve"> to save and exit.</w:t>
            </w:r>
          </w:p>
          <w:p w14:paraId="34AC8476" w14:textId="77777777" w:rsidR="002A21AE" w:rsidRDefault="002A21AE">
            <w:pPr>
              <w:pStyle w:val="TableTextNumbersContinued"/>
            </w:pPr>
          </w:p>
          <w:p w14:paraId="596264CE" w14:textId="77777777" w:rsidR="002A21AE" w:rsidRDefault="002A21AE">
            <w:pPr>
              <w:pStyle w:val="TableTextNumbersContinued"/>
            </w:pPr>
            <w:r>
              <w:t xml:space="preserve">Enter a comment, if required.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544" w:author="Blalock, David (Leidos)" w:date="2020-06-15T14:09:00Z" w:original="0."/>
              </w:fldChar>
            </w:r>
          </w:p>
        </w:tc>
        <w:tc>
          <w:tcPr>
            <w:tcW w:w="6120" w:type="dxa"/>
          </w:tcPr>
          <w:p w14:paraId="2EC206AF" w14:textId="77777777" w:rsidR="002A21AE" w:rsidRDefault="002A21AE">
            <w:pPr>
              <w:pStyle w:val="TableTextBullet"/>
            </w:pPr>
            <w:r>
              <w:t>Adds the ordered patient reflex tests to the PTL.</w:t>
            </w:r>
          </w:p>
          <w:p w14:paraId="648724DD" w14:textId="77777777" w:rsidR="002A21AE" w:rsidRDefault="002A21AE">
            <w:pPr>
              <w:pStyle w:val="TableText"/>
            </w:pPr>
          </w:p>
          <w:p w14:paraId="2F9E2274" w14:textId="77777777" w:rsidR="002A21AE" w:rsidRDefault="002A21AE">
            <w:pPr>
              <w:pStyle w:val="TableText"/>
            </w:pPr>
          </w:p>
        </w:tc>
      </w:tr>
    </w:tbl>
    <w:p w14:paraId="71B6F56A" w14:textId="4350E372" w:rsidR="00096F7A" w:rsidRDefault="00096F7A" w:rsidP="00096F7A">
      <w:pPr>
        <w:pStyle w:val="Caption"/>
      </w:pPr>
      <w:bookmarkStart w:id="545" w:name="_Ref12672559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121</w:t>
      </w:r>
      <w:r w:rsidR="004E20BD">
        <w:rPr>
          <w:noProof/>
        </w:rPr>
        <w:fldChar w:fldCharType="end"/>
      </w:r>
      <w:bookmarkEnd w:id="545"/>
      <w:r>
        <w:t>: Order Reflex Test(s)</w:t>
      </w:r>
    </w:p>
    <w:p w14:paraId="12F1D4A7" w14:textId="77777777" w:rsidR="00C70194" w:rsidRDefault="00057948" w:rsidP="00096F7A">
      <w:pPr>
        <w:pStyle w:val="BodyText"/>
      </w:pPr>
      <w:r>
        <w:rPr>
          <w:noProof/>
        </w:rPr>
        <w:drawing>
          <wp:inline distT="0" distB="0" distL="0" distR="0" wp14:anchorId="0C68FE9A" wp14:editId="79B2E612">
            <wp:extent cx="5939155" cy="4331970"/>
            <wp:effectExtent l="0" t="0" r="4445" b="0"/>
            <wp:docPr id="227" name="Picture 2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a:extLst>
                        <a:ext uri="{C183D7F6-B498-43B3-948B-1728B52AA6E4}">
                          <adec:decorative xmlns:adec="http://schemas.microsoft.com/office/drawing/2017/decorative" val="1"/>
                        </a:ext>
                      </a:extLst>
                    </pic:cNvPr>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939155" cy="4331970"/>
                    </a:xfrm>
                    <a:prstGeom prst="rect">
                      <a:avLst/>
                    </a:prstGeom>
                    <a:noFill/>
                    <a:ln>
                      <a:noFill/>
                    </a:ln>
                  </pic:spPr>
                </pic:pic>
              </a:graphicData>
            </a:graphic>
          </wp:inline>
        </w:drawing>
      </w:r>
    </w:p>
    <w:p w14:paraId="2864507E" w14:textId="77777777" w:rsidR="002A21AE" w:rsidRPr="00701E2A" w:rsidRDefault="00701E2A" w:rsidP="00701E2A">
      <w:pPr>
        <w:pStyle w:val="Heading1"/>
      </w:pPr>
      <w:r>
        <w:br w:type="page"/>
      </w:r>
      <w:bookmarkStart w:id="546" w:name="_Toc47516751"/>
      <w:r w:rsidR="002A21AE" w:rsidRPr="00701E2A">
        <w:lastRenderedPageBreak/>
        <w:t>Patient Services</w:t>
      </w:r>
      <w:bookmarkEnd w:id="546"/>
      <w:r w:rsidR="002A21AE" w:rsidRPr="00701E2A">
        <w:fldChar w:fldCharType="begin"/>
      </w:r>
      <w:r w:rsidR="002A21AE" w:rsidRPr="00701E2A">
        <w:instrText xml:space="preserve"> XE </w:instrText>
      </w:r>
      <w:r w:rsidR="00FA7E65" w:rsidRPr="00701E2A">
        <w:instrText>“</w:instrText>
      </w:r>
      <w:r w:rsidR="002A21AE" w:rsidRPr="00701E2A">
        <w:instrText>Patient Services</w:instrText>
      </w:r>
      <w:r w:rsidR="00FA7E65" w:rsidRPr="00701E2A">
        <w:instrText>”</w:instrText>
      </w:r>
      <w:r w:rsidR="002A21AE" w:rsidRPr="00701E2A">
        <w:instrText xml:space="preserve"> </w:instrText>
      </w:r>
      <w:r w:rsidR="002A21AE" w:rsidRPr="00701E2A">
        <w:fldChar w:fldCharType="end"/>
      </w:r>
    </w:p>
    <w:p w14:paraId="2B70B92F" w14:textId="77777777" w:rsidR="002A21AE" w:rsidRPr="00E309DC" w:rsidRDefault="002A21AE" w:rsidP="00AE23F9">
      <w:pPr>
        <w:pStyle w:val="Heading2"/>
        <w:rPr>
          <w:b w:val="0"/>
          <w:bCs w:val="0"/>
          <w:i w:val="0"/>
          <w:iCs w:val="0"/>
          <w:sz w:val="20"/>
        </w:rPr>
      </w:pPr>
      <w:bookmarkStart w:id="547" w:name="_Toc47516752"/>
      <w:r w:rsidRPr="00AE23F9">
        <w:t xml:space="preserve">Patient </w:t>
      </w:r>
      <w:r w:rsidR="00045ED7" w:rsidRPr="00AE23F9">
        <w:t>Search Screen</w:t>
      </w:r>
      <w:bookmarkEnd w:id="547"/>
      <w:r>
        <w:fldChar w:fldCharType="begin"/>
      </w:r>
      <w:r>
        <w:instrText xml:space="preserve"> XE </w:instrText>
      </w:r>
      <w:r w:rsidR="00FA7E65">
        <w:instrText>“</w:instrText>
      </w:r>
      <w:r>
        <w:instrText>Patient Se</w:instrText>
      </w:r>
      <w:r w:rsidR="00045ED7">
        <w:instrText>arch Screen</w:instrText>
      </w:r>
      <w:r w:rsidR="00FA7E65">
        <w:instrText>”</w:instrText>
      </w:r>
      <w:r>
        <w:instrText xml:space="preserve"> </w:instrText>
      </w:r>
      <w:r>
        <w:fldChar w:fldCharType="end"/>
      </w:r>
      <w:r w:rsidR="00AE23F9">
        <w:t xml:space="preserve"> </w:t>
      </w:r>
      <w:r w:rsidR="00AE23F9" w:rsidRPr="00AE23F9">
        <w:rPr>
          <w:rFonts w:ascii="Times New Roman" w:hAnsi="Times New Roman" w:cs="Times New Roman"/>
          <w:b w:val="0"/>
          <w:i w:val="0"/>
          <w:vanish/>
          <w:sz w:val="22"/>
        </w:rPr>
        <w:t>UC_113</w:t>
      </w:r>
    </w:p>
    <w:p w14:paraId="1E7CF786" w14:textId="77777777" w:rsidR="007D7738" w:rsidRDefault="007D7738" w:rsidP="007D7738">
      <w:pPr>
        <w:pStyle w:val="BodyText"/>
      </w:pPr>
      <w:r>
        <w:t>VBECS display</w:t>
      </w:r>
      <w:r w:rsidR="00F6243D">
        <w:t xml:space="preserve">s the Patient Search screen to search for a specific patient </w:t>
      </w:r>
      <w:r w:rsidR="000D4240">
        <w:t>in</w:t>
      </w:r>
      <w:r w:rsidR="00F6243D">
        <w:t xml:space="preserve"> VBECS</w:t>
      </w:r>
      <w:r>
        <w:t>.</w:t>
      </w:r>
      <w:r w:rsidR="00A537E6">
        <w:t xml:space="preserve"> </w:t>
      </w:r>
    </w:p>
    <w:p w14:paraId="3B30930A" w14:textId="77777777" w:rsidR="00AE23F9" w:rsidRDefault="00AE23F9" w:rsidP="00AE23F9">
      <w:pPr>
        <w:pStyle w:val="Heading4"/>
      </w:pPr>
      <w:r>
        <w:t>Assumptions</w:t>
      </w:r>
    </w:p>
    <w:p w14:paraId="5185CBC9" w14:textId="77777777" w:rsidR="00AE23F9" w:rsidRDefault="00B44B37" w:rsidP="00AE23F9">
      <w:pPr>
        <w:pStyle w:val="ListBullet"/>
      </w:pPr>
      <w:r>
        <w:t>The patient record exists in VBECS with the exception of specific searches that return patient information from VistA.</w:t>
      </w:r>
      <w:r w:rsidR="00E309DC">
        <w:t xml:space="preserve"> For the Edit Unit Information, Incoming Shipment, and Document ABO Incompatible Transfusion options, VBECS searches VistA.</w:t>
      </w:r>
    </w:p>
    <w:p w14:paraId="14E7C01B" w14:textId="77777777" w:rsidR="00AE23F9" w:rsidRDefault="00AE23F9" w:rsidP="00AE23F9">
      <w:pPr>
        <w:pStyle w:val="Heading4"/>
      </w:pPr>
      <w:r>
        <w:t>Outcome</w:t>
      </w:r>
    </w:p>
    <w:p w14:paraId="19C1765F" w14:textId="77777777" w:rsidR="00AE23F9" w:rsidRDefault="00B44B37" w:rsidP="00AE23F9">
      <w:pPr>
        <w:pStyle w:val="ListBullet"/>
      </w:pPr>
      <w:r>
        <w:t>VBECS presents the user with a list of patients for selection based on their search input.</w:t>
      </w:r>
    </w:p>
    <w:p w14:paraId="2DE6D495" w14:textId="77777777" w:rsidR="00AE23F9" w:rsidRDefault="00AE23F9" w:rsidP="00AE23F9">
      <w:pPr>
        <w:pStyle w:val="Heading4"/>
      </w:pPr>
      <w:r>
        <w:t>Limitations and Restrictions</w:t>
      </w:r>
    </w:p>
    <w:p w14:paraId="0B762934" w14:textId="4E95F36A" w:rsidR="00AE23F9" w:rsidRDefault="00092DC9" w:rsidP="00AE23F9">
      <w:pPr>
        <w:pStyle w:val="ListBullet"/>
      </w:pPr>
      <w:r>
        <w:t>VBECS updates information from VistA File #2, not VistA File #20. Name changes made in VistA File #20 will not appear in VBECS. Align File #2 with those changes to update VBECS</w:t>
      </w:r>
      <w:r w:rsidR="00AE23F9" w:rsidRPr="00AE23F9">
        <w:t>.</w:t>
      </w:r>
      <w:r w:rsidR="00555EA2" w:rsidRPr="00555EA2">
        <w:rPr>
          <w:vanish/>
        </w:rPr>
        <w:t xml:space="preserve"> Task 585891</w:t>
      </w:r>
    </w:p>
    <w:p w14:paraId="69A7FD5A" w14:textId="3FA34AA8" w:rsidR="001E4C3C" w:rsidRDefault="001E4C3C" w:rsidP="00AE23F9">
      <w:pPr>
        <w:pStyle w:val="ListBullet"/>
      </w:pPr>
      <w:r>
        <w:t xml:space="preserve">Searching for non-alphanumeric characters (e.g., hyphens, etc.) </w:t>
      </w:r>
      <w:r w:rsidR="00511276">
        <w:t>is not supported</w:t>
      </w:r>
      <w:r>
        <w:t>.</w:t>
      </w:r>
      <w:r w:rsidR="00FA1B63">
        <w:t xml:space="preserve"> </w:t>
      </w:r>
      <w:r w:rsidR="00FA1B63" w:rsidRPr="00FA1B63">
        <w:rPr>
          <w:vanish/>
        </w:rPr>
        <w:t>Defect 209859</w:t>
      </w:r>
    </w:p>
    <w:p w14:paraId="4F1777E5" w14:textId="77777777" w:rsidR="00AE23F9" w:rsidRDefault="00AE23F9" w:rsidP="00AE23F9">
      <w:pPr>
        <w:pStyle w:val="Heading4"/>
      </w:pPr>
      <w:r>
        <w:t>Additional Information</w:t>
      </w:r>
    </w:p>
    <w:p w14:paraId="525F7B62" w14:textId="77777777" w:rsidR="00AE23F9" w:rsidRDefault="009A78E5" w:rsidP="00AE23F9">
      <w:pPr>
        <w:pStyle w:val="ListBullet"/>
      </w:pPr>
      <w:r>
        <w:t>The Patient Search Screen is used by options throughout VBECS to select patients.</w:t>
      </w:r>
    </w:p>
    <w:p w14:paraId="7D6B73FE" w14:textId="77777777" w:rsidR="00AE23F9" w:rsidRDefault="00AE23F9" w:rsidP="00AE23F9">
      <w:pPr>
        <w:pStyle w:val="Heading4"/>
      </w:pPr>
      <w:r>
        <w:t>User Roles with Access to This Option</w:t>
      </w:r>
    </w:p>
    <w:p w14:paraId="1E4DC38C" w14:textId="77777777" w:rsidR="00AE23F9" w:rsidRDefault="00AE23F9" w:rsidP="00AE23F9">
      <w:pPr>
        <w:pStyle w:val="Roles"/>
      </w:pPr>
      <w:r>
        <w:t>All users</w:t>
      </w:r>
    </w:p>
    <w:p w14:paraId="28539778" w14:textId="77777777" w:rsidR="00AE23F9" w:rsidRDefault="00B173E0" w:rsidP="00AE23F9">
      <w:pPr>
        <w:pStyle w:val="Heading4"/>
      </w:pPr>
      <w:r>
        <w:t>Patient Search Screen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C664F" w14:paraId="6BFFD759" w14:textId="77777777">
        <w:trPr>
          <w:cantSplit/>
          <w:tblHeader/>
        </w:trPr>
        <w:tc>
          <w:tcPr>
            <w:tcW w:w="3240" w:type="dxa"/>
            <w:shd w:val="pct30" w:color="auto" w:fill="FFFFFF"/>
            <w:vAlign w:val="bottom"/>
          </w:tcPr>
          <w:p w14:paraId="29E6A69E" w14:textId="77777777" w:rsidR="00BC664F" w:rsidRDefault="00BC664F" w:rsidP="00601F55">
            <w:pPr>
              <w:pStyle w:val="TableText"/>
              <w:rPr>
                <w:b/>
              </w:rPr>
            </w:pPr>
            <w:r>
              <w:rPr>
                <w:b/>
              </w:rPr>
              <w:t>User Action</w:t>
            </w:r>
          </w:p>
        </w:tc>
        <w:tc>
          <w:tcPr>
            <w:tcW w:w="6120" w:type="dxa"/>
            <w:shd w:val="pct30" w:color="auto" w:fill="FFFFFF"/>
            <w:vAlign w:val="bottom"/>
          </w:tcPr>
          <w:p w14:paraId="1092D4F1" w14:textId="77777777" w:rsidR="00BC664F" w:rsidRDefault="00BC664F" w:rsidP="00601F55">
            <w:pPr>
              <w:pStyle w:val="TableText"/>
              <w:rPr>
                <w:b/>
              </w:rPr>
            </w:pPr>
            <w:r>
              <w:rPr>
                <w:b/>
              </w:rPr>
              <w:t>VBECS</w:t>
            </w:r>
          </w:p>
        </w:tc>
      </w:tr>
      <w:tr w:rsidR="006178E5" w14:paraId="2736E030" w14:textId="77777777">
        <w:tc>
          <w:tcPr>
            <w:tcW w:w="3240" w:type="dxa"/>
            <w:tcBorders>
              <w:top w:val="single" w:sz="4" w:space="0" w:color="auto"/>
              <w:left w:val="single" w:sz="4" w:space="0" w:color="auto"/>
              <w:bottom w:val="single" w:sz="4" w:space="0" w:color="auto"/>
              <w:right w:val="single" w:sz="4" w:space="0" w:color="auto"/>
            </w:tcBorders>
          </w:tcPr>
          <w:p w14:paraId="50F55B34" w14:textId="4562DD6C" w:rsidR="00323F55" w:rsidRDefault="00323F55" w:rsidP="008E012C">
            <w:pPr>
              <w:pStyle w:val="TableTextNumbers"/>
            </w:pPr>
            <w:r>
              <w:t xml:space="preserve">To </w:t>
            </w:r>
            <w:r w:rsidR="006129D0">
              <w:t>access the Patient Search screen, open on</w:t>
            </w:r>
            <w:r w:rsidR="00F26575">
              <w:t>e</w:t>
            </w:r>
            <w:r w:rsidR="006129D0">
              <w:t xml:space="preserve"> of the options listed in Notes. To </w:t>
            </w:r>
            <w:r w:rsidR="007554C5">
              <w:t>search for</w:t>
            </w:r>
            <w:r>
              <w:t xml:space="preserve"> a patient</w:t>
            </w:r>
            <w:r w:rsidR="008E012C">
              <w:t>, e</w:t>
            </w:r>
            <w:r>
              <w:t>nter the p</w:t>
            </w:r>
            <w:r w:rsidR="00DD4445">
              <w:t xml:space="preserve">atient’s </w:t>
            </w:r>
            <w:r w:rsidR="009310A7">
              <w:t xml:space="preserve">full </w:t>
            </w:r>
            <w:r w:rsidR="006178E5">
              <w:t>name</w:t>
            </w:r>
            <w:r w:rsidR="006C1277">
              <w:t xml:space="preserve"> (last name first) </w:t>
            </w:r>
            <w:r w:rsidR="006178E5">
              <w:t>or ID</w:t>
            </w:r>
            <w:r w:rsidR="00EE7A38">
              <w:t xml:space="preserve"> (</w:t>
            </w:r>
            <w:r w:rsidR="00EE7A38">
              <w:fldChar w:fldCharType="begin"/>
            </w:r>
            <w:r w:rsidR="00EE7A38">
              <w:instrText xml:space="preserve"> REF _Ref126726055 \h </w:instrText>
            </w:r>
            <w:r w:rsidR="00EE7A38">
              <w:fldChar w:fldCharType="separate"/>
            </w:r>
            <w:r w:rsidR="004353ED">
              <w:t xml:space="preserve">Figure </w:t>
            </w:r>
            <w:r w:rsidR="004353ED">
              <w:rPr>
                <w:noProof/>
              </w:rPr>
              <w:t>122</w:t>
            </w:r>
            <w:r w:rsidR="00EE7A38">
              <w:fldChar w:fldCharType="end"/>
            </w:r>
            <w:r w:rsidR="00EE7A38">
              <w:t>)</w:t>
            </w:r>
            <w:r>
              <w:t>,</w:t>
            </w:r>
            <w:r w:rsidR="00DD4445">
              <w:t xml:space="preserve"> </w:t>
            </w:r>
            <w:r w:rsidR="00D67ABB">
              <w:t>or</w:t>
            </w:r>
          </w:p>
          <w:p w14:paraId="6FB8CD0E" w14:textId="77777777" w:rsidR="008E012C" w:rsidRDefault="008E012C" w:rsidP="008E012C">
            <w:pPr>
              <w:pStyle w:val="TableTextNumbersContinued"/>
            </w:pPr>
          </w:p>
          <w:p w14:paraId="1F9F72E5" w14:textId="77777777" w:rsidR="007554C5" w:rsidRDefault="00323F55" w:rsidP="008E012C">
            <w:pPr>
              <w:pStyle w:val="TableTextNumbersContinued"/>
            </w:pPr>
            <w:r>
              <w:t>Enter the last four digits of the ID</w:t>
            </w:r>
            <w:r w:rsidR="00E133A1">
              <w:t xml:space="preserve">, </w:t>
            </w:r>
            <w:r w:rsidR="00D67ABB">
              <w:t xml:space="preserve">or </w:t>
            </w:r>
            <w:r>
              <w:t>the initial of the last name and the last four digits of the ID,</w:t>
            </w:r>
            <w:r w:rsidR="000A4886">
              <w:t xml:space="preserve"> </w:t>
            </w:r>
            <w:r w:rsidR="00D67ABB">
              <w:t>and c</w:t>
            </w:r>
            <w:r w:rsidR="000A4886">
              <w:t xml:space="preserve">lick </w:t>
            </w:r>
            <w:r w:rsidR="000A4886" w:rsidRPr="000A4886">
              <w:rPr>
                <w:b/>
              </w:rPr>
              <w:t>Search</w:t>
            </w:r>
            <w:r w:rsidR="000A4886">
              <w:t>.</w:t>
            </w:r>
          </w:p>
        </w:tc>
        <w:tc>
          <w:tcPr>
            <w:tcW w:w="6120" w:type="dxa"/>
            <w:tcBorders>
              <w:top w:val="single" w:sz="4" w:space="0" w:color="auto"/>
              <w:left w:val="single" w:sz="4" w:space="0" w:color="auto"/>
              <w:bottom w:val="single" w:sz="4" w:space="0" w:color="auto"/>
              <w:right w:val="single" w:sz="4" w:space="0" w:color="auto"/>
            </w:tcBorders>
          </w:tcPr>
          <w:p w14:paraId="430788BE" w14:textId="77777777" w:rsidR="006129D0" w:rsidRDefault="006129D0" w:rsidP="006178E5">
            <w:pPr>
              <w:pStyle w:val="TableTextBullet"/>
            </w:pPr>
            <w:r>
              <w:t>Displays the Patient Search screen.</w:t>
            </w:r>
          </w:p>
          <w:p w14:paraId="1315BACA" w14:textId="77777777" w:rsidR="006178E5" w:rsidRDefault="007554C5" w:rsidP="006178E5">
            <w:pPr>
              <w:pStyle w:val="TableTextBullet"/>
            </w:pPr>
            <w:r>
              <w:t>Lists patients that meet the search criteria.</w:t>
            </w:r>
          </w:p>
          <w:p w14:paraId="43ABA216" w14:textId="77777777" w:rsidR="006129D0" w:rsidRDefault="006129D0" w:rsidP="006129D0">
            <w:pPr>
              <w:pStyle w:val="TableText"/>
            </w:pPr>
          </w:p>
          <w:p w14:paraId="2A760381" w14:textId="464E376D" w:rsidR="006129D0" w:rsidRDefault="006129D0" w:rsidP="006129D0">
            <w:pPr>
              <w:pStyle w:val="TableText"/>
              <w:rPr>
                <w:b/>
                <w:bCs/>
                <w:szCs w:val="18"/>
              </w:rPr>
            </w:pPr>
            <w:r>
              <w:rPr>
                <w:b/>
                <w:bCs/>
                <w:szCs w:val="18"/>
              </w:rPr>
              <w:t>NOTES</w:t>
            </w:r>
          </w:p>
          <w:p w14:paraId="0C7139B8" w14:textId="77777777" w:rsidR="006129D0" w:rsidRDefault="006129D0" w:rsidP="006129D0">
            <w:pPr>
              <w:pStyle w:val="NotesText"/>
            </w:pPr>
          </w:p>
          <w:p w14:paraId="6EBFF0C1" w14:textId="77777777" w:rsidR="006129D0" w:rsidRPr="006129D0" w:rsidRDefault="006129D0" w:rsidP="006129D0">
            <w:pPr>
              <w:pStyle w:val="NotesText"/>
            </w:pPr>
            <w:r>
              <w:t xml:space="preserve">Options that allow the user to search for a patient: </w:t>
            </w:r>
          </w:p>
          <w:p w14:paraId="5483FCB2" w14:textId="77777777" w:rsidR="005125FD" w:rsidRDefault="006129D0" w:rsidP="005125FD">
            <w:pPr>
              <w:pStyle w:val="NotesTextBullet"/>
            </w:pPr>
            <w:r>
              <w:rPr>
                <w:b/>
              </w:rPr>
              <w:t xml:space="preserve">Blood Units </w:t>
            </w:r>
            <w:r w:rsidRPr="00AC51A5">
              <w:t xml:space="preserve">from the main menu. Select </w:t>
            </w:r>
            <w:r>
              <w:rPr>
                <w:b/>
              </w:rPr>
              <w:t xml:space="preserve">Edit Unit Information </w:t>
            </w:r>
            <w:r>
              <w:t>(for restricted units only)</w:t>
            </w:r>
            <w:r w:rsidRPr="00AC51A5">
              <w:t>.</w:t>
            </w:r>
          </w:p>
          <w:p w14:paraId="668217BF" w14:textId="77777777" w:rsidR="006129D0" w:rsidRDefault="006129D0" w:rsidP="005125FD">
            <w:pPr>
              <w:pStyle w:val="NotesTextBullet"/>
            </w:pPr>
            <w:r w:rsidRPr="00214097">
              <w:rPr>
                <w:b/>
              </w:rPr>
              <w:t>Patients</w:t>
            </w:r>
            <w:r>
              <w:t xml:space="preserve"> from the main menu. Select:</w:t>
            </w:r>
          </w:p>
          <w:p w14:paraId="27D5E77C" w14:textId="77777777" w:rsidR="006129D0" w:rsidRPr="00214097" w:rsidRDefault="006129D0" w:rsidP="00DE6289">
            <w:pPr>
              <w:pStyle w:val="NotesTextBullet1"/>
            </w:pPr>
            <w:r w:rsidRPr="00214097">
              <w:t>Recent Orders</w:t>
            </w:r>
          </w:p>
          <w:p w14:paraId="541E4581" w14:textId="77777777" w:rsidR="006129D0" w:rsidRPr="00214097" w:rsidRDefault="006129D0" w:rsidP="00DE6289">
            <w:pPr>
              <w:pStyle w:val="NotesTextBullet1"/>
            </w:pPr>
            <w:r w:rsidRPr="00214097">
              <w:t>Blood Availability</w:t>
            </w:r>
          </w:p>
          <w:p w14:paraId="285D4E51" w14:textId="77777777" w:rsidR="006129D0" w:rsidRDefault="006129D0" w:rsidP="00DE6289">
            <w:pPr>
              <w:pStyle w:val="NotesTextBullet1"/>
            </w:pPr>
            <w:r w:rsidRPr="00214097">
              <w:t xml:space="preserve">Recent Transfusions/Issued Units </w:t>
            </w:r>
          </w:p>
          <w:p w14:paraId="1E9234D9" w14:textId="77777777" w:rsidR="006129D0" w:rsidRDefault="006129D0" w:rsidP="00DE6289">
            <w:pPr>
              <w:pStyle w:val="NotesTextBullet1"/>
            </w:pPr>
            <w:r w:rsidRPr="00214097">
              <w:t>Patient Testing Worklist Report</w:t>
            </w:r>
          </w:p>
          <w:p w14:paraId="6A021DE1" w14:textId="77777777" w:rsidR="006129D0" w:rsidRPr="00214097" w:rsidRDefault="006129D0" w:rsidP="00DE6289">
            <w:pPr>
              <w:pStyle w:val="NotesTextBullet1"/>
            </w:pPr>
            <w:r w:rsidRPr="00214097">
              <w:t>Print Unit Caution Tag &amp; Transfusion Record Form</w:t>
            </w:r>
          </w:p>
          <w:p w14:paraId="6E4131A7" w14:textId="77777777" w:rsidR="006129D0" w:rsidRDefault="006129D0" w:rsidP="00DE6289">
            <w:pPr>
              <w:pStyle w:val="NotesTextBullet1"/>
            </w:pPr>
            <w:r>
              <w:t>Issue Blood Components</w:t>
            </w:r>
          </w:p>
          <w:p w14:paraId="561AC99B" w14:textId="77777777" w:rsidR="006129D0" w:rsidRDefault="006129D0" w:rsidP="00DE6289">
            <w:pPr>
              <w:pStyle w:val="NotesTextBullet1"/>
            </w:pPr>
            <w:r w:rsidRPr="00214097">
              <w:t>Post-Transfusion Information</w:t>
            </w:r>
          </w:p>
          <w:p w14:paraId="5CB5158D" w14:textId="77777777" w:rsidR="006129D0" w:rsidRPr="00214097" w:rsidRDefault="006129D0" w:rsidP="00DE6289">
            <w:pPr>
              <w:pStyle w:val="NotesTextBullet1"/>
            </w:pPr>
            <w:r w:rsidRPr="00214097">
              <w:t>Return Issued Units To Blood Bank</w:t>
            </w:r>
            <w:r>
              <w:t xml:space="preserve"> and click </w:t>
            </w:r>
            <w:r w:rsidRPr="00D53FD3">
              <w:t>OK</w:t>
            </w:r>
            <w:r>
              <w:t>.</w:t>
            </w:r>
          </w:p>
          <w:p w14:paraId="2A089EB0" w14:textId="77777777" w:rsidR="006129D0" w:rsidRPr="00214097" w:rsidRDefault="006129D0" w:rsidP="00DE6289">
            <w:pPr>
              <w:pStyle w:val="NotesTextBullet1"/>
            </w:pPr>
            <w:r w:rsidRPr="00214097">
              <w:t xml:space="preserve">Special Instructions &amp; Transfusion Requirements </w:t>
            </w:r>
          </w:p>
          <w:p w14:paraId="27BC7EF6" w14:textId="77777777" w:rsidR="006129D0" w:rsidRPr="00214097" w:rsidRDefault="006129D0" w:rsidP="00DE6289">
            <w:pPr>
              <w:pStyle w:val="NotesTextBullet1"/>
            </w:pPr>
            <w:r>
              <w:t>Transfusion Reaction History</w:t>
            </w:r>
          </w:p>
          <w:p w14:paraId="055F5F9D" w14:textId="77777777" w:rsidR="006129D0" w:rsidRPr="00214097" w:rsidRDefault="006129D0" w:rsidP="00DE6289">
            <w:pPr>
              <w:pStyle w:val="NotesTextBullet1"/>
            </w:pPr>
            <w:r w:rsidRPr="00214097">
              <w:t>Patient History Report</w:t>
            </w:r>
          </w:p>
          <w:p w14:paraId="36E3BF03" w14:textId="77777777" w:rsidR="006129D0" w:rsidRDefault="006129D0" w:rsidP="005125FD">
            <w:pPr>
              <w:pStyle w:val="NotesTextBullet"/>
            </w:pPr>
            <w:r w:rsidRPr="00214097">
              <w:rPr>
                <w:b/>
              </w:rPr>
              <w:t>Shipments</w:t>
            </w:r>
            <w:r>
              <w:t xml:space="preserve"> from the main menu. Select </w:t>
            </w:r>
            <w:r w:rsidRPr="00214097">
              <w:rPr>
                <w:b/>
              </w:rPr>
              <w:t>Incoming Shipment</w:t>
            </w:r>
            <w:r>
              <w:t xml:space="preserve"> (for restricted units only).</w:t>
            </w:r>
          </w:p>
          <w:p w14:paraId="5A2399AD" w14:textId="77777777" w:rsidR="006129D0" w:rsidRPr="00214097" w:rsidRDefault="006129D0" w:rsidP="005125FD">
            <w:pPr>
              <w:pStyle w:val="NotesTextBullet"/>
            </w:pPr>
            <w:r w:rsidRPr="00A60522">
              <w:rPr>
                <w:b/>
              </w:rPr>
              <w:lastRenderedPageBreak/>
              <w:t>Orders</w:t>
            </w:r>
            <w:r>
              <w:t xml:space="preserve"> from the main menu. Select </w:t>
            </w:r>
            <w:r w:rsidRPr="00A60522">
              <w:rPr>
                <w:b/>
              </w:rPr>
              <w:t>Recent Patient Orders</w:t>
            </w:r>
            <w:r>
              <w:t>.</w:t>
            </w:r>
          </w:p>
          <w:p w14:paraId="22CB558B" w14:textId="77777777" w:rsidR="006129D0" w:rsidRDefault="006129D0" w:rsidP="005125FD">
            <w:pPr>
              <w:pStyle w:val="NotesTextBullet"/>
            </w:pPr>
            <w:r w:rsidRPr="00214097">
              <w:rPr>
                <w:b/>
              </w:rPr>
              <w:t>Reports</w:t>
            </w:r>
            <w:r>
              <w:t xml:space="preserve"> from the main menu. Select:</w:t>
            </w:r>
          </w:p>
          <w:p w14:paraId="6D9D8B36" w14:textId="77777777" w:rsidR="006129D0" w:rsidRDefault="006129D0" w:rsidP="00DE6289">
            <w:pPr>
              <w:pStyle w:val="NotesTextBullet1"/>
              <w:rPr>
                <w:b/>
              </w:rPr>
            </w:pPr>
            <w:r>
              <w:rPr>
                <w:b/>
              </w:rPr>
              <w:t>Blood Availability</w:t>
            </w:r>
            <w:r>
              <w:t xml:space="preserve"> (for individual patient only)</w:t>
            </w:r>
          </w:p>
          <w:p w14:paraId="4FF28F07" w14:textId="77777777" w:rsidR="006129D0" w:rsidRPr="00214097" w:rsidRDefault="006129D0" w:rsidP="00DE6289">
            <w:pPr>
              <w:pStyle w:val="NotesTextBullet1"/>
              <w:rPr>
                <w:b/>
              </w:rPr>
            </w:pPr>
            <w:r w:rsidRPr="00214097">
              <w:rPr>
                <w:b/>
              </w:rPr>
              <w:t>Medication Profile</w:t>
            </w:r>
          </w:p>
          <w:p w14:paraId="2765D57D" w14:textId="77777777" w:rsidR="006129D0" w:rsidRPr="00214097" w:rsidRDefault="006129D0" w:rsidP="00DE6289">
            <w:pPr>
              <w:pStyle w:val="NotesTextBullet1"/>
              <w:rPr>
                <w:b/>
              </w:rPr>
            </w:pPr>
            <w:r w:rsidRPr="00214097">
              <w:rPr>
                <w:b/>
              </w:rPr>
              <w:t>Patient History Report</w:t>
            </w:r>
          </w:p>
          <w:p w14:paraId="08BBDD01" w14:textId="77777777" w:rsidR="006129D0" w:rsidRDefault="006129D0" w:rsidP="00DE6289">
            <w:pPr>
              <w:pStyle w:val="NotesTextBullet1"/>
            </w:pPr>
            <w:r w:rsidRPr="00214097">
              <w:rPr>
                <w:b/>
              </w:rPr>
              <w:t>Transfusion Effectiveness Report</w:t>
            </w:r>
            <w:r>
              <w:t xml:space="preserve"> (for individual patient report only)</w:t>
            </w:r>
          </w:p>
          <w:p w14:paraId="2A1A1282" w14:textId="77777777" w:rsidR="006129D0" w:rsidRDefault="006129D0" w:rsidP="005125FD">
            <w:pPr>
              <w:pStyle w:val="NotesTextBullet"/>
            </w:pPr>
            <w:r w:rsidRPr="00214097">
              <w:rPr>
                <w:b/>
              </w:rPr>
              <w:t>Supervisor</w:t>
            </w:r>
            <w:r>
              <w:t xml:space="preserve"> from the main menu. Select:</w:t>
            </w:r>
          </w:p>
          <w:p w14:paraId="4544BFF8" w14:textId="77777777" w:rsidR="006129D0" w:rsidRPr="0095508A" w:rsidRDefault="006129D0" w:rsidP="00DE6289">
            <w:pPr>
              <w:pStyle w:val="NotesTextBullet1"/>
            </w:pPr>
            <w:r w:rsidRPr="0095508A">
              <w:t>Document ABO Incompatible Transfusion</w:t>
            </w:r>
          </w:p>
          <w:p w14:paraId="79857684" w14:textId="77777777" w:rsidR="006129D0" w:rsidRDefault="006129D0" w:rsidP="00A4517B">
            <w:pPr>
              <w:pStyle w:val="NotesTextBullet1"/>
            </w:pPr>
            <w:r w:rsidRPr="005125FD">
              <w:t>Justify</w:t>
            </w:r>
            <w:r w:rsidRPr="0095508A">
              <w:t xml:space="preserve"> ABO/Rh Change</w:t>
            </w:r>
          </w:p>
          <w:p w14:paraId="10209599" w14:textId="77777777" w:rsidR="00F95EB8" w:rsidRDefault="00F95EB8" w:rsidP="00F95EB8">
            <w:pPr>
              <w:pStyle w:val="NotesTextBullet1"/>
              <w:numPr>
                <w:ilvl w:val="0"/>
                <w:numId w:val="0"/>
              </w:numPr>
              <w:ind w:left="1296" w:hanging="288"/>
            </w:pPr>
          </w:p>
          <w:p w14:paraId="4D17DAEF" w14:textId="46FB0D3F" w:rsidR="00F95EB8" w:rsidRDefault="00F95EB8" w:rsidP="00954C98">
            <w:pPr>
              <w:pStyle w:val="NotesText"/>
            </w:pPr>
            <w:r w:rsidRPr="00F95EB8">
              <w:t xml:space="preserve">Selecting a patient </w:t>
            </w:r>
            <w:r w:rsidR="00954C98">
              <w:t xml:space="preserve">record </w:t>
            </w:r>
            <w:r w:rsidRPr="00F95EB8">
              <w:t xml:space="preserve">that is </w:t>
            </w:r>
            <w:r w:rsidR="00954C98">
              <w:t xml:space="preserve">not </w:t>
            </w:r>
            <w:r w:rsidRPr="00F95EB8">
              <w:t xml:space="preserve">found in </w:t>
            </w:r>
            <w:r w:rsidR="00954C98">
              <w:t>the</w:t>
            </w:r>
            <w:r w:rsidRPr="00F95EB8">
              <w:t xml:space="preserve"> VBECS </w:t>
            </w:r>
            <w:r w:rsidR="00954C98">
              <w:t>database will insert a new patient</w:t>
            </w:r>
            <w:r w:rsidRPr="00F95EB8">
              <w:t xml:space="preserve"> record </w:t>
            </w:r>
            <w:r w:rsidR="00954C98">
              <w:t xml:space="preserve">from </w:t>
            </w:r>
            <w:r w:rsidR="006549B7">
              <w:t>VistA.</w:t>
            </w:r>
            <w:r>
              <w:t xml:space="preserve"> </w:t>
            </w:r>
            <w:r w:rsidRPr="00F95EB8">
              <w:rPr>
                <w:vanish/>
              </w:rPr>
              <w:t>BR_113.01</w:t>
            </w:r>
            <w:r w:rsidR="00555EA2">
              <w:rPr>
                <w:vanish/>
              </w:rPr>
              <w:t xml:space="preserve"> Task 675267</w:t>
            </w:r>
          </w:p>
        </w:tc>
      </w:tr>
      <w:tr w:rsidR="000A4886" w14:paraId="51158E07" w14:textId="77777777">
        <w:tc>
          <w:tcPr>
            <w:tcW w:w="3240" w:type="dxa"/>
            <w:tcBorders>
              <w:top w:val="single" w:sz="4" w:space="0" w:color="auto"/>
              <w:left w:val="single" w:sz="4" w:space="0" w:color="auto"/>
              <w:bottom w:val="single" w:sz="4" w:space="0" w:color="auto"/>
              <w:right w:val="single" w:sz="4" w:space="0" w:color="auto"/>
            </w:tcBorders>
          </w:tcPr>
          <w:p w14:paraId="7F435159" w14:textId="77777777" w:rsidR="000A4886" w:rsidRDefault="007554C5" w:rsidP="00214097">
            <w:pPr>
              <w:pStyle w:val="TableTextNumbers"/>
            </w:pPr>
            <w:r>
              <w:lastRenderedPageBreak/>
              <w:t>Select a patient from the list</w:t>
            </w:r>
            <w:r w:rsidR="00250CF9">
              <w:t xml:space="preserve">. </w:t>
            </w:r>
            <w:r w:rsidR="00250CF9">
              <w:rPr>
                <w:rStyle w:val="TableTextNumbersChar"/>
                <w:vanish/>
                <w:color w:val="FFFFFF"/>
                <w:szCs w:val="18"/>
              </w:rPr>
              <w:fldChar w:fldCharType="begin"/>
            </w:r>
            <w:r w:rsidR="00250CF9">
              <w:rPr>
                <w:rStyle w:val="TableTextNumbersChar"/>
                <w:vanish/>
                <w:color w:val="FFFFFF"/>
                <w:szCs w:val="18"/>
              </w:rPr>
              <w:instrText xml:space="preserve"> LISTNUM \l 1 \s 0 </w:instrText>
            </w:r>
            <w:r w:rsidR="00250CF9">
              <w:rPr>
                <w:rStyle w:val="TableTextNumbersChar"/>
                <w:vanish/>
                <w:color w:val="FFFFFF"/>
                <w:szCs w:val="18"/>
              </w:rPr>
              <w:fldChar w:fldCharType="end">
                <w:numberingChange w:id="548"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5494C136" w14:textId="77777777" w:rsidR="000A4886" w:rsidRDefault="007554C5" w:rsidP="006178E5">
            <w:pPr>
              <w:pStyle w:val="TableTextBullet"/>
            </w:pPr>
            <w:r>
              <w:t>Displays patient-associated data.</w:t>
            </w:r>
          </w:p>
          <w:p w14:paraId="69C51473" w14:textId="77777777" w:rsidR="007554C5" w:rsidRDefault="007554C5" w:rsidP="006178E5">
            <w:pPr>
              <w:pStyle w:val="TableTextBullet"/>
            </w:pPr>
            <w:r>
              <w:t>Displays the Patient Information Toolbar.</w:t>
            </w:r>
          </w:p>
          <w:p w14:paraId="48AE65D4" w14:textId="77777777" w:rsidR="00D1493E" w:rsidRDefault="00797BC0" w:rsidP="00D1493E">
            <w:pPr>
              <w:pStyle w:val="TableTextBullet"/>
            </w:pPr>
            <w:r>
              <w:t>Displays Special Instructions (SIs) and Transfusion Requirements (TRs)</w:t>
            </w:r>
            <w:r w:rsidR="00BC2C05">
              <w:t>, when appropriate.</w:t>
            </w:r>
            <w:r w:rsidR="00D1493E">
              <w:t xml:space="preserve"> </w:t>
            </w:r>
          </w:p>
          <w:p w14:paraId="65855EFD" w14:textId="77777777" w:rsidR="00D1493E" w:rsidRDefault="00D1493E" w:rsidP="00D1493E">
            <w:pPr>
              <w:pStyle w:val="TableText"/>
            </w:pPr>
          </w:p>
          <w:p w14:paraId="4899FC1B" w14:textId="41B11BFA" w:rsidR="00D1493E" w:rsidRDefault="00D1493E" w:rsidP="00D1493E">
            <w:pPr>
              <w:pStyle w:val="TableText"/>
              <w:rPr>
                <w:b/>
                <w:bCs/>
                <w:szCs w:val="18"/>
              </w:rPr>
            </w:pPr>
            <w:r>
              <w:rPr>
                <w:b/>
                <w:bCs/>
                <w:szCs w:val="18"/>
              </w:rPr>
              <w:t>NOTES</w:t>
            </w:r>
          </w:p>
          <w:p w14:paraId="56697CBC" w14:textId="77777777" w:rsidR="00797BC0" w:rsidRDefault="00797BC0" w:rsidP="00D1493E">
            <w:pPr>
              <w:pStyle w:val="TableTextBullet"/>
              <w:numPr>
                <w:ilvl w:val="0"/>
                <w:numId w:val="0"/>
              </w:numPr>
              <w:ind w:left="720"/>
            </w:pPr>
          </w:p>
          <w:p w14:paraId="27E32BD7" w14:textId="77777777" w:rsidR="00D1493E" w:rsidRPr="000F37DC" w:rsidRDefault="00D1493E" w:rsidP="00D1493E">
            <w:pPr>
              <w:pStyle w:val="TableTextBullet"/>
              <w:numPr>
                <w:ilvl w:val="0"/>
                <w:numId w:val="0"/>
              </w:numPr>
              <w:ind w:left="720"/>
              <w:rPr>
                <w:vanish/>
              </w:rPr>
            </w:pPr>
            <w:r>
              <w:rPr>
                <w:rFonts w:cs="Arial"/>
              </w:rPr>
              <w:t>Displays a message when the user selects a patient with a blank first or last name, or the name is too long. The user is instructed to contact the VBECS Administrator for assistance.</w:t>
            </w:r>
            <w:r w:rsidR="000F37DC">
              <w:rPr>
                <w:rFonts w:cs="Arial"/>
              </w:rPr>
              <w:t xml:space="preserve"> </w:t>
            </w:r>
            <w:r w:rsidR="000F37DC" w:rsidRPr="00AB3B2D">
              <w:rPr>
                <w:rFonts w:cs="Arial"/>
                <w:vanish/>
              </w:rPr>
              <w:t>DR 3444</w:t>
            </w:r>
          </w:p>
        </w:tc>
      </w:tr>
    </w:tbl>
    <w:p w14:paraId="42F681DA" w14:textId="4813D235" w:rsidR="00102700" w:rsidRDefault="00102700" w:rsidP="00102700">
      <w:pPr>
        <w:pStyle w:val="Caption"/>
      </w:pPr>
      <w:bookmarkStart w:id="549" w:name="_Ref126726055"/>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122</w:t>
      </w:r>
      <w:r w:rsidR="004E20BD">
        <w:rPr>
          <w:noProof/>
        </w:rPr>
        <w:fldChar w:fldCharType="end"/>
      </w:r>
      <w:bookmarkEnd w:id="549"/>
      <w:r w:rsidR="00EE7A38">
        <w:t>: Patient Search</w:t>
      </w:r>
    </w:p>
    <w:p w14:paraId="5B00A6A2" w14:textId="43056BC5" w:rsidR="000E5480" w:rsidRPr="000E5480" w:rsidRDefault="000E5480" w:rsidP="000E5480">
      <w:pPr>
        <w:pStyle w:val="BodyText"/>
      </w:pPr>
      <w:r>
        <w:rPr>
          <w:noProof/>
        </w:rPr>
        <w:drawing>
          <wp:inline distT="0" distB="0" distL="0" distR="0" wp14:anchorId="42043304" wp14:editId="085F22C8">
            <wp:extent cx="5943600" cy="4122420"/>
            <wp:effectExtent l="0" t="0" r="0" b="0"/>
            <wp:docPr id="176" name="Picture 176" descr="cid:image001.png@01D4D4E2.073A5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4D4E2.073A5DB0"/>
                    <pic:cNvPicPr>
                      <a:picLocks noChangeAspect="1" noChangeArrowheads="1"/>
                    </pic:cNvPicPr>
                  </pic:nvPicPr>
                  <pic:blipFill>
                    <a:blip r:embed="rId211" r:link="rId212">
                      <a:extLst>
                        <a:ext uri="{28A0092B-C50C-407E-A947-70E740481C1C}">
                          <a14:useLocalDpi xmlns:a14="http://schemas.microsoft.com/office/drawing/2010/main" val="0"/>
                        </a:ext>
                      </a:extLst>
                    </a:blip>
                    <a:srcRect/>
                    <a:stretch>
                      <a:fillRect/>
                    </a:stretch>
                  </pic:blipFill>
                  <pic:spPr bwMode="auto">
                    <a:xfrm>
                      <a:off x="0" y="0"/>
                      <a:ext cx="5943600" cy="4122420"/>
                    </a:xfrm>
                    <a:prstGeom prst="rect">
                      <a:avLst/>
                    </a:prstGeom>
                    <a:noFill/>
                    <a:ln>
                      <a:noFill/>
                    </a:ln>
                  </pic:spPr>
                </pic:pic>
              </a:graphicData>
            </a:graphic>
          </wp:inline>
        </w:drawing>
      </w:r>
    </w:p>
    <w:p w14:paraId="05E063D6" w14:textId="44C612B8" w:rsidR="00EE7A38" w:rsidRPr="00EE7A38" w:rsidRDefault="00EE7A38" w:rsidP="00EE7A38">
      <w:pPr>
        <w:pStyle w:val="BodyText"/>
      </w:pPr>
    </w:p>
    <w:p w14:paraId="0C62C1D7" w14:textId="77777777" w:rsidR="00170060" w:rsidRDefault="0072673B" w:rsidP="00170060">
      <w:pPr>
        <w:pStyle w:val="Heading3"/>
      </w:pPr>
      <w:r>
        <w:br w:type="page"/>
      </w:r>
      <w:bookmarkStart w:id="550" w:name="_Toc47516753"/>
      <w:r w:rsidR="00170060">
        <w:lastRenderedPageBreak/>
        <w:t>Patient Merge</w:t>
      </w:r>
      <w:bookmarkEnd w:id="550"/>
      <w:r w:rsidR="00170060">
        <w:fldChar w:fldCharType="begin"/>
      </w:r>
      <w:r w:rsidR="00170060">
        <w:instrText xml:space="preserve"> XE “Patient Merge” </w:instrText>
      </w:r>
      <w:r w:rsidR="00170060">
        <w:fldChar w:fldCharType="end"/>
      </w:r>
      <w:r w:rsidR="00170060">
        <w:t xml:space="preserve"> </w:t>
      </w:r>
      <w:r w:rsidR="00170060">
        <w:rPr>
          <w:rFonts w:ascii="Times New Roman" w:hAnsi="Times New Roman" w:cs="Times New Roman"/>
          <w:b w:val="0"/>
          <w:vanish/>
          <w:sz w:val="22"/>
        </w:rPr>
        <w:t>UC_68</w:t>
      </w:r>
    </w:p>
    <w:p w14:paraId="43B31851" w14:textId="77777777" w:rsidR="00170060" w:rsidRDefault="000075A9" w:rsidP="00170060">
      <w:pPr>
        <w:pStyle w:val="BodyText"/>
      </w:pPr>
      <w:r>
        <w:t xml:space="preserve">VBECS notifies the user of VistA patient merges and displays details for </w:t>
      </w:r>
      <w:r w:rsidR="004437ED">
        <w:t>his</w:t>
      </w:r>
      <w:r>
        <w:t xml:space="preserve"> review.</w:t>
      </w:r>
    </w:p>
    <w:p w14:paraId="48B8B2A4" w14:textId="77777777" w:rsidR="00170060" w:rsidRDefault="00170060" w:rsidP="00170060">
      <w:pPr>
        <w:pStyle w:val="Heading4"/>
      </w:pPr>
      <w:r>
        <w:t>Assumptions</w:t>
      </w:r>
      <w:r>
        <w:rPr>
          <w:b w:val="0"/>
        </w:rPr>
        <w:t xml:space="preserve"> </w:t>
      </w:r>
    </w:p>
    <w:p w14:paraId="70AA27E6" w14:textId="77777777" w:rsidR="00170060" w:rsidRDefault="00170060" w:rsidP="00170060">
      <w:pPr>
        <w:pStyle w:val="ListBullet"/>
      </w:pPr>
      <w:r>
        <w:t xml:space="preserve">The connection to </w:t>
      </w:r>
      <w:r w:rsidRPr="00CA0045">
        <w:rPr>
          <w:bCs/>
        </w:rPr>
        <w:t>VistA</w:t>
      </w:r>
      <w:r>
        <w:t xml:space="preserve"> is active.</w:t>
      </w:r>
    </w:p>
    <w:p w14:paraId="4AC99917" w14:textId="77777777" w:rsidR="00170060" w:rsidRDefault="00170060" w:rsidP="00170060">
      <w:pPr>
        <w:pStyle w:val="ListBullet"/>
      </w:pPr>
      <w:r>
        <w:t xml:space="preserve">VBECS received the message about a </w:t>
      </w:r>
      <w:r w:rsidR="00E8242F">
        <w:t xml:space="preserve">VistA </w:t>
      </w:r>
      <w:r>
        <w:t>patient merge.</w:t>
      </w:r>
    </w:p>
    <w:p w14:paraId="3302EEFB" w14:textId="77777777" w:rsidR="00170060" w:rsidRDefault="00825A62" w:rsidP="00170060">
      <w:pPr>
        <w:pStyle w:val="ListBullet"/>
      </w:pPr>
      <w:r>
        <w:t>VBECS accepts merge messages when either or both the merge from or merge to patients exist in VBECS.</w:t>
      </w:r>
    </w:p>
    <w:p w14:paraId="1296F50B" w14:textId="77777777" w:rsidR="00170060" w:rsidRDefault="00170060" w:rsidP="00170060">
      <w:pPr>
        <w:pStyle w:val="Heading4"/>
      </w:pPr>
      <w:r>
        <w:t xml:space="preserve">Outcome </w:t>
      </w:r>
    </w:p>
    <w:p w14:paraId="44436304" w14:textId="77777777" w:rsidR="00170060" w:rsidRDefault="00170060" w:rsidP="00170060">
      <w:pPr>
        <w:pStyle w:val="ListBullet"/>
      </w:pPr>
      <w:r>
        <w:t>VBECS notified the user that patient records were merged in VistA.</w:t>
      </w:r>
    </w:p>
    <w:p w14:paraId="683A56E2" w14:textId="77777777" w:rsidR="00170060" w:rsidRDefault="00170060" w:rsidP="00170060">
      <w:pPr>
        <w:pStyle w:val="Heading4"/>
      </w:pPr>
      <w:r>
        <w:t>Limitations and Restrictions</w:t>
      </w:r>
      <w:r>
        <w:rPr>
          <w:b w:val="0"/>
        </w:rPr>
        <w:t xml:space="preserve"> </w:t>
      </w:r>
    </w:p>
    <w:p w14:paraId="2124126A" w14:textId="77777777" w:rsidR="00170060" w:rsidRDefault="00D62E7A" w:rsidP="00170060">
      <w:pPr>
        <w:pStyle w:val="ListBullet"/>
      </w:pPr>
      <w:r w:rsidRPr="00D62E7A">
        <w:rPr>
          <w:vanish/>
        </w:rPr>
        <w:t>DR 2,527</w:t>
      </w:r>
      <w:r>
        <w:rPr>
          <w:vanish/>
        </w:rPr>
        <w:t xml:space="preserve"> </w:t>
      </w:r>
      <w:r w:rsidR="008E7C49">
        <w:t>T</w:t>
      </w:r>
      <w:r w:rsidR="00170060">
        <w:t xml:space="preserve">he </w:t>
      </w:r>
      <w:r w:rsidR="008D32F7">
        <w:t xml:space="preserve">Traditional Supervisor or above </w:t>
      </w:r>
      <w:r w:rsidR="00170060">
        <w:t xml:space="preserve">must </w:t>
      </w:r>
      <w:r w:rsidR="00E8242F">
        <w:t>update patient records</w:t>
      </w:r>
      <w:r w:rsidR="00170060">
        <w:t xml:space="preserve"> manually.</w:t>
      </w:r>
    </w:p>
    <w:p w14:paraId="7FE33F13" w14:textId="5A908F42" w:rsidR="008D32F7" w:rsidRDefault="00E8242F" w:rsidP="00170060">
      <w:pPr>
        <w:pStyle w:val="ListBullet"/>
      </w:pPr>
      <w:r>
        <w:t xml:space="preserve">VBECS does not notify users of additional VistA patient updates or merges while the icon is displayed. </w:t>
      </w:r>
      <w:r w:rsidR="008D32F7">
        <w:t xml:space="preserve">When a user views an update and there is </w:t>
      </w:r>
      <w:r>
        <w:t>an unprocessed</w:t>
      </w:r>
      <w:r w:rsidR="008D32F7">
        <w:t xml:space="preserve"> patient merge, the </w:t>
      </w:r>
      <w:r w:rsidR="00D57F25">
        <w:t>Patient Alert icon</w:t>
      </w:r>
      <w:r w:rsidR="008D32F7">
        <w:t xml:space="preserve"> remains on the screen until the Traditional Supervisor completes the </w:t>
      </w:r>
      <w:r>
        <w:t xml:space="preserve">update </w:t>
      </w:r>
      <w:r w:rsidR="008D32F7">
        <w:t xml:space="preserve">and clears the icon. </w:t>
      </w:r>
      <w:r w:rsidR="00FF7FFA" w:rsidRPr="00FF7FFA">
        <w:rPr>
          <w:vanish/>
        </w:rPr>
        <w:t>Defect 209990</w:t>
      </w:r>
    </w:p>
    <w:p w14:paraId="4BF7C28C" w14:textId="166BE046" w:rsidR="005F578B" w:rsidRDefault="005F578B" w:rsidP="00170060">
      <w:pPr>
        <w:pStyle w:val="ListBullet"/>
      </w:pPr>
      <w:r>
        <w:t>Patient merges involving</w:t>
      </w:r>
      <w:r w:rsidRPr="00DD022C">
        <w:t xml:space="preserve"> </w:t>
      </w:r>
      <w:r w:rsidR="00FF7FFA" w:rsidRPr="00DD022C">
        <w:t>patients</w:t>
      </w:r>
      <w:r w:rsidRPr="00DD022C">
        <w:t xml:space="preserve">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rsidRPr="00DD022C">
        <w:t>” field.</w:t>
      </w:r>
    </w:p>
    <w:p w14:paraId="43878D29" w14:textId="463E36F4" w:rsidR="007E05D6" w:rsidRDefault="007E05D6" w:rsidP="00170060">
      <w:pPr>
        <w:pStyle w:val="ListBullet"/>
      </w:pPr>
      <w:r>
        <w:t xml:space="preserve">VBECS displays duplicate merge events to the user for merge. Users can process one of the merge events manually and clear both merge alerts. The Master Veteran Index team is working on a patch to discontinue sending a duplicate message. </w:t>
      </w:r>
      <w:r w:rsidRPr="007E05D6">
        <w:rPr>
          <w:vanish/>
        </w:rPr>
        <w:t>Defect 210029</w:t>
      </w:r>
    </w:p>
    <w:p w14:paraId="7AEF5E6E" w14:textId="77777777" w:rsidR="00170060" w:rsidRDefault="00170060" w:rsidP="00170060">
      <w:pPr>
        <w:pStyle w:val="Heading4"/>
      </w:pPr>
      <w:r>
        <w:t xml:space="preserve">Additional Information </w:t>
      </w:r>
    </w:p>
    <w:p w14:paraId="4C069F8A" w14:textId="77777777" w:rsidR="00170060" w:rsidRDefault="00170060" w:rsidP="00170060">
      <w:pPr>
        <w:pStyle w:val="ListBullet"/>
      </w:pPr>
      <w:r>
        <w:t>If more than two records are merged in VistA, VBECS will receive a corresponding number of merge messages.</w:t>
      </w:r>
    </w:p>
    <w:p w14:paraId="35235B75" w14:textId="77777777" w:rsidR="00170060" w:rsidRDefault="00170060" w:rsidP="00170060">
      <w:pPr>
        <w:pStyle w:val="Heading4"/>
        <w:rPr>
          <w:b w:val="0"/>
        </w:rPr>
      </w:pPr>
      <w:r>
        <w:t>User Roles with Access to This Option</w:t>
      </w:r>
      <w:r>
        <w:rPr>
          <w:b w:val="0"/>
        </w:rPr>
        <w:t xml:space="preserve"> </w:t>
      </w:r>
    </w:p>
    <w:p w14:paraId="287867AE" w14:textId="77777777" w:rsidR="008E2767" w:rsidRPr="008E2767" w:rsidRDefault="008E2767" w:rsidP="00A40D01">
      <w:pPr>
        <w:pStyle w:val="Roles"/>
      </w:pPr>
      <w:r>
        <w:t>All users</w:t>
      </w:r>
    </w:p>
    <w:p w14:paraId="2E2E3F53" w14:textId="2B51825D" w:rsidR="00170060" w:rsidRDefault="00170060" w:rsidP="00170060">
      <w:pPr>
        <w:pStyle w:val="Heading4"/>
      </w:pPr>
      <w:r>
        <w:t>Patient Merge</w:t>
      </w:r>
    </w:p>
    <w:p w14:paraId="7102E739" w14:textId="77777777" w:rsidR="00F954FB" w:rsidRPr="00F954FB" w:rsidRDefault="00F954FB" w:rsidP="00737DBB">
      <w:pPr>
        <w:pStyle w:val="Heading4"/>
      </w:pPr>
    </w:p>
    <w:p w14:paraId="3F402713" w14:textId="77777777" w:rsidR="002A21AE" w:rsidRDefault="00170060" w:rsidP="00170060">
      <w:pPr>
        <w:pStyle w:val="BodyText"/>
      </w:pPr>
      <w:r>
        <w:t xml:space="preserve">The VBECS user examines records that were merged in VistA and decides whether to </w:t>
      </w:r>
      <w:r w:rsidR="00A415D8">
        <w:t xml:space="preserve">update </w:t>
      </w:r>
      <w:r>
        <w:t>them.</w:t>
      </w:r>
    </w:p>
    <w:p w14:paraId="1B27C82A" w14:textId="77777777" w:rsidR="00F002ED" w:rsidRPr="006F5EC8" w:rsidRDefault="00057948" w:rsidP="00F002ED">
      <w:pPr>
        <w:pStyle w:val="Caution"/>
      </w:pPr>
      <w:r>
        <w:rPr>
          <w:i w:val="0"/>
          <w:noProof/>
        </w:rPr>
        <w:drawing>
          <wp:inline distT="0" distB="0" distL="0" distR="0" wp14:anchorId="40C9BAD9" wp14:editId="5F312C49">
            <wp:extent cx="267970" cy="221615"/>
            <wp:effectExtent l="0" t="0" r="0" b="6985"/>
            <wp:docPr id="229" name="Picture 2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F002ED" w:rsidRPr="00413345">
        <w:rPr>
          <w:i w:val="0"/>
        </w:rPr>
        <w:t xml:space="preserve"> </w:t>
      </w:r>
      <w:r w:rsidR="00F002ED" w:rsidRPr="006F5EC8">
        <w:t xml:space="preserve">VBECS </w:t>
      </w:r>
      <w:r w:rsidR="00F002ED">
        <w:t xml:space="preserve">does </w:t>
      </w:r>
      <w:r w:rsidR="00F002ED" w:rsidRPr="006F5EC8">
        <w:t>not create link</w:t>
      </w:r>
      <w:r w:rsidR="00F002ED">
        <w:t>s</w:t>
      </w:r>
      <w:r w:rsidR="00F002ED" w:rsidRPr="006F5EC8">
        <w:t xml:space="preserve"> </w:t>
      </w:r>
      <w:r w:rsidR="00F002ED">
        <w:t>for</w:t>
      </w:r>
      <w:r w:rsidR="00F002ED" w:rsidRPr="006F5EC8">
        <w:t xml:space="preserve"> </w:t>
      </w:r>
      <w:r w:rsidR="00F002ED">
        <w:t>merged</w:t>
      </w:r>
      <w:r w:rsidR="00F002ED" w:rsidRPr="006F5EC8">
        <w:t xml:space="preserve"> records.</w:t>
      </w:r>
      <w:r w:rsidR="00F002ED">
        <w:t xml:space="preserve"> Users must update patient information and Special Instructions to show the merged-patient relationship.</w:t>
      </w:r>
    </w:p>
    <w:p w14:paraId="6036B8F1" w14:textId="1DAD0EB8" w:rsidR="001431F4" w:rsidRDefault="001431F4">
      <w:pPr>
        <w:rPr>
          <w:sz w:val="4"/>
          <w:szCs w:val="4"/>
        </w:rPr>
      </w:pPr>
      <w:r>
        <w:rPr>
          <w:sz w:val="4"/>
          <w:szCs w:val="4"/>
        </w:rPr>
        <w:br w:type="page"/>
      </w:r>
    </w:p>
    <w:p w14:paraId="131A7C2B" w14:textId="77777777" w:rsidR="00B33CCA" w:rsidRPr="00B33CCA" w:rsidRDefault="00B33CCA" w:rsidP="00170060">
      <w:pPr>
        <w:pStyle w:val="BodyText"/>
        <w:rPr>
          <w:sz w:val="4"/>
          <w:szCs w:val="4"/>
        </w:rPr>
      </w:pPr>
    </w:p>
    <w:p w14:paraId="2E61CC8B" w14:textId="77777777" w:rsidR="00B33CCA" w:rsidRPr="00E661A1" w:rsidRDefault="00057948" w:rsidP="00B33CCA">
      <w:pPr>
        <w:pStyle w:val="Caution"/>
        <w:rPr>
          <w:i w:val="0"/>
        </w:rPr>
      </w:pPr>
      <w:r>
        <w:rPr>
          <w:i w:val="0"/>
          <w:noProof/>
        </w:rPr>
        <w:drawing>
          <wp:inline distT="0" distB="0" distL="0" distR="0" wp14:anchorId="4B4A7C9A" wp14:editId="7C7CCE26">
            <wp:extent cx="267970" cy="221615"/>
            <wp:effectExtent l="0" t="0" r="0" b="6985"/>
            <wp:docPr id="230" name="Picture 2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33CCA" w:rsidRPr="00413345">
        <w:rPr>
          <w:i w:val="0"/>
        </w:rPr>
        <w:t xml:space="preserve"> </w:t>
      </w:r>
      <w:r w:rsidR="00B33CCA" w:rsidRPr="00E661A1">
        <w:t>Patient merges that do not change the patient name o</w:t>
      </w:r>
      <w:r w:rsidR="00E309DC" w:rsidRPr="00E661A1">
        <w:t>r</w:t>
      </w:r>
      <w:r w:rsidR="00B33CCA" w:rsidRPr="00E661A1">
        <w:t xml:space="preserve"> social security number (e.g. patient record moved to a new DFN) are displayed to the VBECS user. However, the records displayed in the Merge window will not appear to have any differences. Users are advised to contact </w:t>
      </w:r>
      <w:r w:rsidR="00A2613A" w:rsidRPr="00E661A1">
        <w:t>customer</w:t>
      </w:r>
      <w:r w:rsidR="00B33CCA" w:rsidRPr="00E661A1">
        <w:t xml:space="preserve"> support if a record merge of this type occurs.</w:t>
      </w:r>
      <w:r w:rsidR="00B33CCA" w:rsidRPr="00E661A1">
        <w:rPr>
          <w:i w:val="0"/>
        </w:rPr>
        <w:t xml:space="preserve"> </w:t>
      </w:r>
      <w:r w:rsidR="00B33CCA" w:rsidRPr="00E661A1">
        <w:rPr>
          <w:i w:val="0"/>
          <w:vanish/>
        </w:rPr>
        <w:t>DR 4178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A00DE" w14:paraId="5B42C330" w14:textId="77777777">
        <w:trPr>
          <w:cantSplit/>
          <w:tblHeader/>
        </w:trPr>
        <w:tc>
          <w:tcPr>
            <w:tcW w:w="3240" w:type="dxa"/>
            <w:shd w:val="pct30" w:color="auto" w:fill="FFFFFF"/>
            <w:vAlign w:val="bottom"/>
          </w:tcPr>
          <w:p w14:paraId="47E57E8B" w14:textId="1E0E6269" w:rsidR="007A00DE" w:rsidRDefault="00EE4091" w:rsidP="007A00DE">
            <w:pPr>
              <w:pStyle w:val="TableText"/>
              <w:rPr>
                <w:b/>
              </w:rPr>
            </w:pPr>
            <w:r>
              <w:br w:type="page"/>
            </w:r>
            <w:r w:rsidR="00B33CCA" w:rsidRPr="00E661A1">
              <w:rPr>
                <w:i/>
              </w:rPr>
              <w:br w:type="page"/>
            </w:r>
            <w:bookmarkStart w:id="551" w:name="_Ref126726239"/>
            <w:r w:rsidR="007A00DE">
              <w:rPr>
                <w:b/>
              </w:rPr>
              <w:t>User Action</w:t>
            </w:r>
          </w:p>
        </w:tc>
        <w:tc>
          <w:tcPr>
            <w:tcW w:w="6120" w:type="dxa"/>
            <w:shd w:val="pct30" w:color="auto" w:fill="FFFFFF"/>
            <w:vAlign w:val="bottom"/>
          </w:tcPr>
          <w:p w14:paraId="4A3480EC" w14:textId="77777777" w:rsidR="007A00DE" w:rsidRDefault="007A00DE" w:rsidP="007A00DE">
            <w:pPr>
              <w:pStyle w:val="TableText"/>
              <w:rPr>
                <w:b/>
              </w:rPr>
            </w:pPr>
            <w:r>
              <w:rPr>
                <w:b/>
              </w:rPr>
              <w:t>VBECS</w:t>
            </w:r>
          </w:p>
        </w:tc>
      </w:tr>
      <w:tr w:rsidR="007A00DE" w14:paraId="2477095D" w14:textId="77777777">
        <w:tc>
          <w:tcPr>
            <w:tcW w:w="3240" w:type="dxa"/>
            <w:tcBorders>
              <w:top w:val="single" w:sz="4" w:space="0" w:color="auto"/>
              <w:left w:val="single" w:sz="4" w:space="0" w:color="auto"/>
              <w:bottom w:val="single" w:sz="4" w:space="0" w:color="auto"/>
              <w:right w:val="single" w:sz="4" w:space="0" w:color="auto"/>
            </w:tcBorders>
          </w:tcPr>
          <w:p w14:paraId="2B46E008" w14:textId="77777777" w:rsidR="007A00DE" w:rsidRDefault="007A00DE" w:rsidP="007A00DE">
            <w:pPr>
              <w:pStyle w:val="TableTextNumbers"/>
            </w:pPr>
            <w:r>
              <w:t xml:space="preserve">Select </w:t>
            </w:r>
            <w:r>
              <w:rPr>
                <w:b/>
              </w:rPr>
              <w:t>Patients</w:t>
            </w:r>
            <w:r>
              <w:t xml:space="preserve"> from the main menu.</w:t>
            </w:r>
          </w:p>
          <w:p w14:paraId="590D5358" w14:textId="77777777" w:rsidR="007A00DE" w:rsidRDefault="007A00DE" w:rsidP="007A00DE">
            <w:pPr>
              <w:pStyle w:val="TableTextNumbersContinued"/>
            </w:pPr>
          </w:p>
          <w:p w14:paraId="6F4338E6" w14:textId="77777777" w:rsidR="007A00DE" w:rsidRDefault="007A00DE" w:rsidP="007A00DE">
            <w:pPr>
              <w:pStyle w:val="TableTextNumbersContinued"/>
            </w:pPr>
            <w:r>
              <w:t xml:space="preserve">Select </w:t>
            </w:r>
            <w:r>
              <w:rPr>
                <w:b/>
              </w:rPr>
              <w:t>Patient Updates</w:t>
            </w:r>
            <w:r>
              <w:t>.</w:t>
            </w:r>
          </w:p>
          <w:p w14:paraId="00EAB8E8" w14:textId="77777777" w:rsidR="007A00DE" w:rsidRDefault="007A00DE" w:rsidP="007A00DE">
            <w:pPr>
              <w:pStyle w:val="TableTextNumbersContinued"/>
            </w:pPr>
          </w:p>
          <w:p w14:paraId="47C45EBE" w14:textId="77777777" w:rsidR="007A00DE" w:rsidRDefault="007A00DE" w:rsidP="007A00DE">
            <w:pPr>
              <w:pStyle w:val="TableTextNumbersContinued"/>
            </w:pPr>
            <w:r>
              <w:t xml:space="preserve">Select </w:t>
            </w:r>
            <w:r>
              <w:rPr>
                <w:b/>
              </w:rPr>
              <w:t>Patient Merge</w:t>
            </w:r>
            <w:r>
              <w:t>, or</w:t>
            </w:r>
          </w:p>
          <w:p w14:paraId="53737D49" w14:textId="77777777" w:rsidR="007A00DE" w:rsidRDefault="007A00DE" w:rsidP="007A00DE">
            <w:pPr>
              <w:pStyle w:val="TableTextNumbersContinued"/>
            </w:pPr>
          </w:p>
          <w:p w14:paraId="109A2BCB" w14:textId="77777777" w:rsidR="007A00DE" w:rsidRDefault="007A00DE" w:rsidP="007A00DE">
            <w:pPr>
              <w:pStyle w:val="TableTextNumbersContinued"/>
            </w:pPr>
            <w:r>
              <w:t xml:space="preserve">Click </w:t>
            </w:r>
            <w:r w:rsidR="00057948">
              <w:rPr>
                <w:noProof/>
              </w:rPr>
              <w:drawing>
                <wp:inline distT="0" distB="0" distL="0" distR="0" wp14:anchorId="69765C52" wp14:editId="7CC0ADD2">
                  <wp:extent cx="166370" cy="156845"/>
                  <wp:effectExtent l="0" t="0" r="5080" b="0"/>
                  <wp:docPr id="231" name="Picture 231"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in the Patient Information Toolbar.</w:t>
            </w:r>
          </w:p>
        </w:tc>
        <w:tc>
          <w:tcPr>
            <w:tcW w:w="6120" w:type="dxa"/>
            <w:tcBorders>
              <w:top w:val="single" w:sz="4" w:space="0" w:color="auto"/>
              <w:left w:val="single" w:sz="4" w:space="0" w:color="auto"/>
              <w:bottom w:val="single" w:sz="4" w:space="0" w:color="auto"/>
              <w:right w:val="single" w:sz="4" w:space="0" w:color="auto"/>
            </w:tcBorders>
          </w:tcPr>
          <w:p w14:paraId="058ECF29" w14:textId="77777777" w:rsidR="007A00DE" w:rsidRDefault="007A00DE" w:rsidP="007A00DE">
            <w:pPr>
              <w:pStyle w:val="TableTextBullet"/>
            </w:pPr>
            <w:r>
              <w:t xml:space="preserve">Displays </w:t>
            </w:r>
            <w:r w:rsidR="00057948">
              <w:rPr>
                <w:noProof/>
              </w:rPr>
              <w:drawing>
                <wp:inline distT="0" distB="0" distL="0" distR="0" wp14:anchorId="06D9510C" wp14:editId="5A06E14B">
                  <wp:extent cx="166370" cy="156845"/>
                  <wp:effectExtent l="0" t="0" r="5080" b="0"/>
                  <wp:docPr id="232" name="Picture 232"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and notifies the user of the VistA patient merge.</w:t>
            </w:r>
          </w:p>
          <w:p w14:paraId="52AE0527" w14:textId="77777777" w:rsidR="007A00DE" w:rsidRDefault="007A00DE" w:rsidP="007A00DE">
            <w:pPr>
              <w:pStyle w:val="TableTextBullet"/>
            </w:pPr>
            <w:r>
              <w:t xml:space="preserve">Lists the patient records to be </w:t>
            </w:r>
            <w:r w:rsidR="00AA1115">
              <w:t>updated</w:t>
            </w:r>
            <w:r>
              <w:t xml:space="preserve">. </w:t>
            </w:r>
          </w:p>
          <w:p w14:paraId="790877EA" w14:textId="77777777" w:rsidR="007A00DE" w:rsidRDefault="00825A62" w:rsidP="007A00DE">
            <w:pPr>
              <w:pStyle w:val="TableTextBullet"/>
            </w:pPr>
            <w:r w:rsidRPr="00825A62">
              <w:rPr>
                <w:vanish/>
              </w:rPr>
              <w:t xml:space="preserve">BR_68.19 </w:t>
            </w:r>
            <w:r w:rsidR="007A00DE">
              <w:t>Displays limited merge-from and merge-to patient information for evaluation, including:</w:t>
            </w:r>
          </w:p>
          <w:p w14:paraId="54ED488A" w14:textId="77777777" w:rsidR="007A00DE" w:rsidRDefault="007A00DE" w:rsidP="007A00DE">
            <w:pPr>
              <w:pStyle w:val="TableTextBullet1"/>
            </w:pPr>
            <w:r>
              <w:t>Patient name</w:t>
            </w:r>
          </w:p>
          <w:p w14:paraId="2E04ABC7" w14:textId="77777777" w:rsidR="007A00DE" w:rsidRDefault="007A00DE" w:rsidP="007A00DE">
            <w:pPr>
              <w:pStyle w:val="TableTextBullet1"/>
            </w:pPr>
            <w:r>
              <w:t>Patient ID</w:t>
            </w:r>
            <w:r w:rsidR="00825A62">
              <w:t>, if available</w:t>
            </w:r>
          </w:p>
          <w:p w14:paraId="043EBC60" w14:textId="77777777" w:rsidR="007A00DE" w:rsidRDefault="007A00DE" w:rsidP="007A00DE">
            <w:pPr>
              <w:pStyle w:val="TableTextBullet1"/>
              <w:rPr>
                <w:b/>
                <w:bCs/>
              </w:rPr>
            </w:pPr>
            <w:r>
              <w:t xml:space="preserve">Date and time the merge message was received from </w:t>
            </w:r>
            <w:r w:rsidRPr="00CA0045">
              <w:rPr>
                <w:bCs/>
              </w:rPr>
              <w:t>VistA</w:t>
            </w:r>
          </w:p>
          <w:p w14:paraId="75CD627F" w14:textId="77777777" w:rsidR="007A00DE" w:rsidRDefault="007A00DE" w:rsidP="007A00DE">
            <w:pPr>
              <w:pStyle w:val="TableText"/>
            </w:pPr>
          </w:p>
          <w:p w14:paraId="6348A81B" w14:textId="428B1552" w:rsidR="007A00DE" w:rsidRDefault="007A00DE" w:rsidP="007A00DE">
            <w:pPr>
              <w:pStyle w:val="TableText"/>
              <w:rPr>
                <w:b/>
                <w:bCs/>
                <w:szCs w:val="18"/>
              </w:rPr>
            </w:pPr>
            <w:r>
              <w:rPr>
                <w:b/>
                <w:bCs/>
                <w:szCs w:val="18"/>
              </w:rPr>
              <w:t>NOTES</w:t>
            </w:r>
          </w:p>
          <w:p w14:paraId="75660B51" w14:textId="77777777" w:rsidR="007A00DE" w:rsidRDefault="007A00DE" w:rsidP="007A00DE">
            <w:pPr>
              <w:pStyle w:val="NotesText"/>
            </w:pPr>
          </w:p>
          <w:p w14:paraId="66CD17C3" w14:textId="77777777" w:rsidR="007A00DE" w:rsidRDefault="007A00DE" w:rsidP="007A00DE">
            <w:pPr>
              <w:pStyle w:val="NotesText"/>
            </w:pPr>
            <w:r>
              <w:t xml:space="preserve">VBECS displays </w:t>
            </w:r>
            <w:r w:rsidR="00057948">
              <w:rPr>
                <w:noProof/>
              </w:rPr>
              <w:drawing>
                <wp:inline distT="0" distB="0" distL="0" distR="0" wp14:anchorId="41D0CC8E" wp14:editId="02443496">
                  <wp:extent cx="166370" cy="156845"/>
                  <wp:effectExtent l="0" t="0" r="5080" b="0"/>
                  <wp:docPr id="233" name="Picture 233"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at the first instance of a </w:t>
            </w:r>
            <w:r w:rsidR="00AA1115">
              <w:t xml:space="preserve">VistA patient update or </w:t>
            </w:r>
            <w:r>
              <w:t>merge. The icon remains on the screen</w:t>
            </w:r>
            <w:r w:rsidR="00B473F5">
              <w:t xml:space="preserve"> until the Traditional Supervisor</w:t>
            </w:r>
            <w:r w:rsidR="00A47004">
              <w:t xml:space="preserve"> </w:t>
            </w:r>
            <w:r w:rsidR="00B473F5">
              <w:t xml:space="preserve">clears the </w:t>
            </w:r>
            <w:r w:rsidR="00AA1115">
              <w:t xml:space="preserve">patient </w:t>
            </w:r>
            <w:r w:rsidR="00B473F5">
              <w:t>merge alert</w:t>
            </w:r>
            <w:r w:rsidR="00B473F5" w:rsidRPr="00B473F5">
              <w:rPr>
                <w:vanish/>
              </w:rPr>
              <w:t xml:space="preserve"> DR 2,2527</w:t>
            </w:r>
            <w:r>
              <w:t xml:space="preserve">. </w:t>
            </w:r>
          </w:p>
          <w:p w14:paraId="65157F0F" w14:textId="77777777" w:rsidR="007A00DE" w:rsidRDefault="007A00DE" w:rsidP="007A00DE">
            <w:pPr>
              <w:pStyle w:val="NotesText"/>
              <w:rPr>
                <w:rFonts w:cs="Arial"/>
              </w:rPr>
            </w:pPr>
          </w:p>
          <w:p w14:paraId="04B85FE2" w14:textId="77777777" w:rsidR="007A00DE" w:rsidRDefault="007A00DE" w:rsidP="007A00DE">
            <w:pPr>
              <w:pStyle w:val="NotesText"/>
            </w:pPr>
            <w:r>
              <w:rPr>
                <w:rFonts w:cs="Arial"/>
                <w:vanish/>
              </w:rPr>
              <w:t xml:space="preserve">BR_68.01 </w:t>
            </w:r>
            <w:r w:rsidR="00A86640">
              <w:t>The list of patient records is sorted in chronological order: the oldest received updated record appears at the top of the list.</w:t>
            </w:r>
          </w:p>
          <w:p w14:paraId="30431720" w14:textId="77777777" w:rsidR="007A00DE" w:rsidRDefault="007A00DE" w:rsidP="007A00DE">
            <w:pPr>
              <w:pStyle w:val="NotesText"/>
            </w:pPr>
          </w:p>
          <w:p w14:paraId="18DAFF0B" w14:textId="77777777" w:rsidR="007A00DE" w:rsidRDefault="007A00DE" w:rsidP="007A00DE">
            <w:pPr>
              <w:pStyle w:val="NotesText"/>
            </w:pPr>
            <w:r>
              <w:t>The user may update both patients’ VBECS files in accordance with local policy and procedure.</w:t>
            </w:r>
          </w:p>
        </w:tc>
      </w:tr>
      <w:tr w:rsidR="007A00DE" w14:paraId="183416ED" w14:textId="77777777">
        <w:tc>
          <w:tcPr>
            <w:tcW w:w="3240" w:type="dxa"/>
          </w:tcPr>
          <w:p w14:paraId="05AEE964" w14:textId="72E069C9" w:rsidR="007A00DE" w:rsidRDefault="007A00DE" w:rsidP="007A00DE">
            <w:pPr>
              <w:pStyle w:val="TableTextNumbers"/>
            </w:pPr>
            <w:r>
              <w:t xml:space="preserve">Select a </w:t>
            </w:r>
            <w:r w:rsidR="00061930">
              <w:t xml:space="preserve">VistA </w:t>
            </w:r>
            <w:r>
              <w:t>patient merge event from the list and review the data (</w:t>
            </w:r>
            <w:r w:rsidR="00270245">
              <w:fldChar w:fldCharType="begin"/>
            </w:r>
            <w:r w:rsidR="00270245">
              <w:instrText xml:space="preserve"> REF _Ref136786613 \h </w:instrText>
            </w:r>
            <w:r w:rsidR="00270245">
              <w:fldChar w:fldCharType="separate"/>
            </w:r>
            <w:r w:rsidR="004353ED">
              <w:t xml:space="preserve">Figure </w:t>
            </w:r>
            <w:r w:rsidR="004353ED">
              <w:rPr>
                <w:noProof/>
              </w:rPr>
              <w:t>123</w:t>
            </w:r>
            <w:r w:rsidR="00270245">
              <w:fldChar w:fldCharType="end"/>
            </w:r>
            <w:r>
              <w:t>).</w:t>
            </w:r>
          </w:p>
        </w:tc>
        <w:tc>
          <w:tcPr>
            <w:tcW w:w="6120" w:type="dxa"/>
          </w:tcPr>
          <w:p w14:paraId="223C4213" w14:textId="77777777" w:rsidR="007A00DE" w:rsidRDefault="007A00DE" w:rsidP="007A00DE">
            <w:pPr>
              <w:pStyle w:val="TableTextBullet"/>
            </w:pPr>
            <w:r>
              <w:t xml:space="preserve">Displays data about merged </w:t>
            </w:r>
            <w:r w:rsidR="00061930">
              <w:t xml:space="preserve">VistA </w:t>
            </w:r>
            <w:r>
              <w:t>patient records:</w:t>
            </w:r>
          </w:p>
          <w:p w14:paraId="7CBF94D6" w14:textId="77777777" w:rsidR="007A00DE" w:rsidRDefault="007A00DE" w:rsidP="007A00DE">
            <w:pPr>
              <w:pStyle w:val="TableTextBullet1"/>
            </w:pPr>
            <w:r>
              <w:t>Patient name</w:t>
            </w:r>
          </w:p>
          <w:p w14:paraId="5CBDCFF3" w14:textId="77777777" w:rsidR="007A00DE" w:rsidRDefault="007A00DE" w:rsidP="007A00DE">
            <w:pPr>
              <w:pStyle w:val="TableTextBullet1"/>
            </w:pPr>
            <w:r>
              <w:t>Patient ID</w:t>
            </w:r>
            <w:r w:rsidR="006337EA">
              <w:t>, if available</w:t>
            </w:r>
          </w:p>
          <w:p w14:paraId="78DF8101" w14:textId="77777777" w:rsidR="007A00DE" w:rsidRDefault="007A00DE" w:rsidP="007A00DE">
            <w:pPr>
              <w:pStyle w:val="TableTextBullet1"/>
            </w:pPr>
            <w:r>
              <w:t>Patient sex</w:t>
            </w:r>
            <w:r w:rsidR="006337EA">
              <w:t>, if available</w:t>
            </w:r>
          </w:p>
          <w:p w14:paraId="3164FA80" w14:textId="77777777" w:rsidR="007A00DE" w:rsidRDefault="007A00DE" w:rsidP="007A00DE">
            <w:pPr>
              <w:pStyle w:val="TableTextBullet1"/>
            </w:pPr>
            <w:r>
              <w:t xml:space="preserve">Date and time the merge message was received from </w:t>
            </w:r>
            <w:r w:rsidRPr="00CA6E27">
              <w:rPr>
                <w:bCs/>
              </w:rPr>
              <w:t>VistA</w:t>
            </w:r>
          </w:p>
          <w:p w14:paraId="09EAD326" w14:textId="77777777" w:rsidR="007A00DE" w:rsidRDefault="007A00DE" w:rsidP="007A00DE">
            <w:pPr>
              <w:pStyle w:val="TableTextBullet1"/>
            </w:pPr>
            <w:r>
              <w:t>Patient ABO/Rh</w:t>
            </w:r>
            <w:r w:rsidR="006337EA">
              <w:t>, if available</w:t>
            </w:r>
          </w:p>
          <w:p w14:paraId="10B319B2" w14:textId="77777777" w:rsidR="007A00DE" w:rsidRDefault="007A00DE" w:rsidP="007A00DE">
            <w:pPr>
              <w:pStyle w:val="TableTextBullet1"/>
            </w:pPr>
            <w:r>
              <w:t>Patient Transfusion Requirements (TRs) and Special Instructions (SIs)</w:t>
            </w:r>
            <w:r w:rsidR="006337EA">
              <w:t>, if available</w:t>
            </w:r>
          </w:p>
          <w:p w14:paraId="41ED80AE" w14:textId="77777777" w:rsidR="006337EA" w:rsidRDefault="007A00DE" w:rsidP="006337EA">
            <w:pPr>
              <w:pStyle w:val="TableTextBullet1"/>
            </w:pPr>
            <w:r>
              <w:t>Recent orders and recent transfusion records for the patient (available only by clicking Patient Information Toolbar icons)</w:t>
            </w:r>
            <w:r w:rsidR="006337EA">
              <w:t>, if available</w:t>
            </w:r>
          </w:p>
          <w:p w14:paraId="4F6E63D5" w14:textId="77777777" w:rsidR="006337EA" w:rsidRDefault="006337EA" w:rsidP="006337EA">
            <w:pPr>
              <w:pStyle w:val="TableText"/>
            </w:pPr>
          </w:p>
          <w:p w14:paraId="58F8CD4D" w14:textId="6CBDB9E9" w:rsidR="006337EA" w:rsidRPr="00825A62" w:rsidRDefault="006337EA" w:rsidP="006337EA">
            <w:pPr>
              <w:pStyle w:val="TableText"/>
              <w:rPr>
                <w:b/>
                <w:bCs/>
                <w:szCs w:val="18"/>
              </w:rPr>
            </w:pPr>
            <w:r w:rsidRPr="00825A62">
              <w:rPr>
                <w:b/>
                <w:bCs/>
                <w:szCs w:val="18"/>
              </w:rPr>
              <w:t>NOTES</w:t>
            </w:r>
          </w:p>
          <w:p w14:paraId="5BE8E487" w14:textId="77777777" w:rsidR="006337EA" w:rsidRDefault="006337EA" w:rsidP="006337EA">
            <w:pPr>
              <w:pStyle w:val="NotesText"/>
            </w:pPr>
          </w:p>
          <w:p w14:paraId="1093FBEB" w14:textId="77777777" w:rsidR="006337EA" w:rsidRDefault="006337EA" w:rsidP="008D6DF2">
            <w:pPr>
              <w:pStyle w:val="NotesText"/>
            </w:pPr>
            <w:r>
              <w:t>“</w:t>
            </w:r>
            <w:r w:rsidRPr="006337EA">
              <w:t>Patient has no VBECS records at the re</w:t>
            </w:r>
            <w:r>
              <w:t>ceipt of the merge message” d</w:t>
            </w:r>
            <w:r w:rsidRPr="006337EA">
              <w:t xml:space="preserve">isplays when </w:t>
            </w:r>
            <w:r>
              <w:t xml:space="preserve">the </w:t>
            </w:r>
            <w:r w:rsidRPr="006337EA">
              <w:t xml:space="preserve">merge-from </w:t>
            </w:r>
            <w:r w:rsidR="008D6DF2">
              <w:t>or merge-</w:t>
            </w:r>
            <w:r>
              <w:t xml:space="preserve">to </w:t>
            </w:r>
            <w:r w:rsidRPr="006337EA">
              <w:t xml:space="preserve">patient </w:t>
            </w:r>
            <w:r w:rsidR="008D6DF2">
              <w:t>is</w:t>
            </w:r>
            <w:r w:rsidRPr="006337EA">
              <w:t xml:space="preserve"> not found in VBECS</w:t>
            </w:r>
            <w:r w:rsidR="008D6DF2">
              <w:t>.</w:t>
            </w:r>
          </w:p>
        </w:tc>
      </w:tr>
      <w:tr w:rsidR="007A00DE" w14:paraId="7AF54783" w14:textId="77777777">
        <w:tc>
          <w:tcPr>
            <w:tcW w:w="3240" w:type="dxa"/>
          </w:tcPr>
          <w:p w14:paraId="2160508D" w14:textId="77777777" w:rsidR="007A00DE" w:rsidRDefault="007A00DE" w:rsidP="007A00DE">
            <w:pPr>
              <w:pStyle w:val="TableTextNumbers"/>
              <w:numPr>
                <w:ilvl w:val="0"/>
                <w:numId w:val="0"/>
              </w:numPr>
            </w:pPr>
            <w:r>
              <w:t>Merge-to Patients</w:t>
            </w:r>
          </w:p>
          <w:p w14:paraId="06FEEB85" w14:textId="77777777" w:rsidR="007A00DE" w:rsidRDefault="007A00DE" w:rsidP="007A00DE">
            <w:pPr>
              <w:pStyle w:val="TableTextNumbers"/>
              <w:numPr>
                <w:ilvl w:val="0"/>
                <w:numId w:val="0"/>
              </w:numPr>
            </w:pPr>
          </w:p>
          <w:p w14:paraId="7C9E0CED" w14:textId="77777777" w:rsidR="007A00DE" w:rsidRDefault="007A00DE" w:rsidP="007A00DE">
            <w:pPr>
              <w:pStyle w:val="TableTextNumbers"/>
            </w:pPr>
            <w:r>
              <w:t>Update the merge-to patient record to include SIs and TRs from the merge-from patient record.</w:t>
            </w:r>
          </w:p>
          <w:p w14:paraId="5662E877" w14:textId="77777777" w:rsidR="007A00DE" w:rsidRDefault="007A00DE" w:rsidP="007A00DE">
            <w:pPr>
              <w:pStyle w:val="TableTextNumbersContinued"/>
            </w:pPr>
          </w:p>
          <w:p w14:paraId="2B7D0D8D" w14:textId="77777777" w:rsidR="007A00DE" w:rsidRDefault="007A00DE" w:rsidP="007A00DE">
            <w:pPr>
              <w:pStyle w:val="TableTextNumbersContinued"/>
            </w:pPr>
            <w:r>
              <w:t>Insert a comment in the Special Instruction field to note that a merge occurred.</w:t>
            </w:r>
          </w:p>
        </w:tc>
        <w:tc>
          <w:tcPr>
            <w:tcW w:w="6120" w:type="dxa"/>
          </w:tcPr>
          <w:p w14:paraId="777D9869" w14:textId="77777777" w:rsidR="007A00DE" w:rsidRPr="00935E73" w:rsidRDefault="007A00DE" w:rsidP="00825A62">
            <w:pPr>
              <w:pStyle w:val="TableText"/>
            </w:pPr>
          </w:p>
          <w:p w14:paraId="284CEB35" w14:textId="459218A7" w:rsidR="007A00DE" w:rsidRPr="00825A62" w:rsidRDefault="007A00DE" w:rsidP="00825A62">
            <w:pPr>
              <w:pStyle w:val="TableText"/>
              <w:rPr>
                <w:b/>
                <w:bCs/>
                <w:szCs w:val="18"/>
              </w:rPr>
            </w:pPr>
            <w:r w:rsidRPr="00825A62">
              <w:rPr>
                <w:b/>
                <w:bCs/>
                <w:szCs w:val="18"/>
              </w:rPr>
              <w:t>NOTES</w:t>
            </w:r>
          </w:p>
          <w:p w14:paraId="29E81BDC" w14:textId="77777777" w:rsidR="007A00DE" w:rsidRDefault="007A00DE" w:rsidP="00825A62">
            <w:pPr>
              <w:pStyle w:val="NotesText"/>
            </w:pPr>
          </w:p>
          <w:p w14:paraId="488184F6" w14:textId="77777777" w:rsidR="00BC7A6E" w:rsidRDefault="00DB201F" w:rsidP="00BC7A6E">
            <w:pPr>
              <w:pStyle w:val="TableTextBullet"/>
              <w:numPr>
                <w:ilvl w:val="0"/>
                <w:numId w:val="0"/>
              </w:numPr>
              <w:ind w:left="720"/>
            </w:pPr>
            <w:r>
              <w:t>A user c</w:t>
            </w:r>
            <w:r w:rsidR="00BC7A6E">
              <w:t>annot update SIs or TRs if the merge to patient does not have a VBECS record.</w:t>
            </w:r>
          </w:p>
          <w:p w14:paraId="2BD6BA7E" w14:textId="77777777" w:rsidR="00BC7A6E" w:rsidRDefault="00BC7A6E" w:rsidP="00825A62">
            <w:pPr>
              <w:pStyle w:val="NotesText"/>
            </w:pPr>
          </w:p>
          <w:p w14:paraId="67BD478B" w14:textId="77777777" w:rsidR="00825A62" w:rsidRDefault="00825A62" w:rsidP="00825A62">
            <w:pPr>
              <w:pStyle w:val="NotesText"/>
            </w:pPr>
            <w:r>
              <w:t>Local policy must define how to handle records when the merge to patient does not exist in VBECS.</w:t>
            </w:r>
          </w:p>
          <w:p w14:paraId="636E7C2E" w14:textId="77777777" w:rsidR="00825A62" w:rsidRDefault="00825A62" w:rsidP="00825A62">
            <w:pPr>
              <w:pStyle w:val="NotesText"/>
            </w:pPr>
          </w:p>
          <w:p w14:paraId="209EE500" w14:textId="77777777" w:rsidR="007A00DE" w:rsidRDefault="007A00DE" w:rsidP="00825A62">
            <w:pPr>
              <w:pStyle w:val="NotesText"/>
            </w:pPr>
            <w:r>
              <w:t>The merge-to patient record is the active record in VBECS.</w:t>
            </w:r>
          </w:p>
          <w:p w14:paraId="0AC4073F" w14:textId="77777777" w:rsidR="007A00DE" w:rsidRDefault="007A00DE" w:rsidP="00825A62">
            <w:pPr>
              <w:pStyle w:val="NotesText"/>
            </w:pPr>
          </w:p>
          <w:p w14:paraId="1D56B1FD" w14:textId="77777777" w:rsidR="007A00DE" w:rsidRDefault="007A00DE" w:rsidP="00825A62">
            <w:pPr>
              <w:pStyle w:val="NotesText"/>
            </w:pPr>
            <w:r>
              <w:t xml:space="preserve">Use Special Instructions &amp; Transfusion Requirements: Enter a Transfusion Requirement, and Special Instructions &amp; Transfusion Requirements: Enter and Remove Special Instructions to enter, update, or delete relevant component requirements, antibodies, or antigen requirements. </w:t>
            </w:r>
          </w:p>
          <w:p w14:paraId="21F6EFEF" w14:textId="77777777" w:rsidR="007A00DE" w:rsidRDefault="007A00DE" w:rsidP="00825A62">
            <w:pPr>
              <w:pStyle w:val="NotesText"/>
            </w:pPr>
          </w:p>
          <w:p w14:paraId="195F6012" w14:textId="77777777" w:rsidR="007A00DE" w:rsidRDefault="007A00DE" w:rsidP="00825A62">
            <w:pPr>
              <w:pStyle w:val="NotesText"/>
            </w:pPr>
            <w:r>
              <w:t>Enter an SI comment in the merge-to patient record, for example, “This patient record was merged with &lt;</w:t>
            </w:r>
            <w:r w:rsidRPr="00825A62">
              <w:rPr>
                <w:i/>
              </w:rPr>
              <w:t>insert merge-from patient name</w:t>
            </w:r>
            <w:r w:rsidRPr="000F2898">
              <w:t>&gt;</w:t>
            </w:r>
            <w:r>
              <w:t xml:space="preserve"> in VistA and is used to process orders after &lt;</w:t>
            </w:r>
            <w:r w:rsidRPr="00825A62">
              <w:rPr>
                <w:i/>
              </w:rPr>
              <w:t>insert merge date and time</w:t>
            </w:r>
            <w:r w:rsidRPr="000F2898">
              <w:t>&gt;</w:t>
            </w:r>
            <w:r>
              <w:t>. Refer to the records of &lt;</w:t>
            </w:r>
            <w:r w:rsidRPr="00825A62">
              <w:rPr>
                <w:i/>
              </w:rPr>
              <w:t>insert merge-from patient name</w:t>
            </w:r>
            <w:r w:rsidRPr="000F2898">
              <w:t>&gt;</w:t>
            </w:r>
            <w:r>
              <w:t xml:space="preserve"> for testing and transfusion information prior to the merge event.”</w:t>
            </w:r>
          </w:p>
        </w:tc>
      </w:tr>
      <w:tr w:rsidR="007A00DE" w14:paraId="249F9DA4" w14:textId="77777777">
        <w:tc>
          <w:tcPr>
            <w:tcW w:w="3240" w:type="dxa"/>
          </w:tcPr>
          <w:p w14:paraId="2EC5568A" w14:textId="77777777" w:rsidR="007A00DE" w:rsidRDefault="007A00DE" w:rsidP="007A00DE">
            <w:pPr>
              <w:pStyle w:val="TableTextNumbers"/>
            </w:pPr>
            <w:r>
              <w:lastRenderedPageBreak/>
              <w:t xml:space="preserve">Resolve ABO/Rh discrepancies among patients. </w:t>
            </w:r>
          </w:p>
          <w:p w14:paraId="6395BFFA" w14:textId="77777777" w:rsidR="007A00DE" w:rsidRDefault="007A00DE" w:rsidP="007A00DE">
            <w:pPr>
              <w:pStyle w:val="TableTextNumbersContinued"/>
            </w:pPr>
          </w:p>
          <w:p w14:paraId="02F2BD7B" w14:textId="77777777" w:rsidR="007A00DE" w:rsidRDefault="007A00DE" w:rsidP="007A00DE">
            <w:pPr>
              <w:pStyle w:val="TableTextNumbersContinued"/>
            </w:pPr>
            <w:r>
              <w:t>Determine which blood type is correct for use</w:t>
            </w:r>
            <w:r>
              <w:rPr>
                <w:rStyle w:val="CommentReference"/>
              </w:rPr>
              <w:t>.</w:t>
            </w:r>
          </w:p>
        </w:tc>
        <w:tc>
          <w:tcPr>
            <w:tcW w:w="6120" w:type="dxa"/>
          </w:tcPr>
          <w:p w14:paraId="355BBB20" w14:textId="77777777" w:rsidR="007A00DE" w:rsidRPr="00935E73" w:rsidRDefault="007A00DE" w:rsidP="007A00DE">
            <w:pPr>
              <w:pStyle w:val="TableText"/>
            </w:pPr>
          </w:p>
          <w:p w14:paraId="1B26913F" w14:textId="10C8A5FF" w:rsidR="007A00DE" w:rsidRDefault="007A00DE" w:rsidP="007A00DE">
            <w:pPr>
              <w:pStyle w:val="TableText"/>
              <w:rPr>
                <w:b/>
                <w:bCs/>
                <w:szCs w:val="18"/>
              </w:rPr>
            </w:pPr>
            <w:r>
              <w:rPr>
                <w:b/>
                <w:bCs/>
                <w:szCs w:val="18"/>
              </w:rPr>
              <w:t>NOTES</w:t>
            </w:r>
          </w:p>
          <w:p w14:paraId="319EE778" w14:textId="77777777" w:rsidR="007A00DE" w:rsidRDefault="007A00DE" w:rsidP="007A00DE">
            <w:pPr>
              <w:pStyle w:val="NotesText"/>
            </w:pPr>
          </w:p>
          <w:p w14:paraId="3822A84F" w14:textId="77777777" w:rsidR="007A00DE" w:rsidRDefault="007A00DE" w:rsidP="007A00DE">
            <w:pPr>
              <w:pStyle w:val="NotesText"/>
            </w:pPr>
            <w:r>
              <w:t>Use Justify ABO/Rh Change to finalize blood type changes for the merge-to patient.</w:t>
            </w:r>
          </w:p>
        </w:tc>
      </w:tr>
      <w:tr w:rsidR="007A00DE" w14:paraId="47312D81" w14:textId="77777777">
        <w:tc>
          <w:tcPr>
            <w:tcW w:w="3240" w:type="dxa"/>
          </w:tcPr>
          <w:p w14:paraId="1A6F663C" w14:textId="77777777" w:rsidR="007A00DE" w:rsidRDefault="007A00DE" w:rsidP="007A00DE">
            <w:pPr>
              <w:pStyle w:val="TableTextNumbers"/>
            </w:pPr>
            <w:r>
              <w:t>Complete pending orders for the merge-to patient.</w:t>
            </w:r>
          </w:p>
        </w:tc>
        <w:tc>
          <w:tcPr>
            <w:tcW w:w="6120" w:type="dxa"/>
          </w:tcPr>
          <w:p w14:paraId="3EB1D47A" w14:textId="77777777" w:rsidR="007A00DE" w:rsidRDefault="007A00DE" w:rsidP="007A00DE">
            <w:pPr>
              <w:pStyle w:val="TableText"/>
            </w:pPr>
          </w:p>
        </w:tc>
      </w:tr>
      <w:tr w:rsidR="007A00DE" w14:paraId="2550339B" w14:textId="77777777">
        <w:tc>
          <w:tcPr>
            <w:tcW w:w="3240" w:type="dxa"/>
          </w:tcPr>
          <w:p w14:paraId="44AB77E4" w14:textId="77777777" w:rsidR="007A00DE" w:rsidRDefault="007A00DE" w:rsidP="007A00DE">
            <w:pPr>
              <w:pStyle w:val="TableTextNumbers"/>
              <w:numPr>
                <w:ilvl w:val="0"/>
                <w:numId w:val="0"/>
              </w:numPr>
            </w:pPr>
            <w:r>
              <w:t>Merge-from Patients</w:t>
            </w:r>
          </w:p>
          <w:p w14:paraId="0123515B" w14:textId="77777777" w:rsidR="007A00DE" w:rsidRDefault="007A00DE" w:rsidP="007A00DE">
            <w:pPr>
              <w:pStyle w:val="TableTextNumbers"/>
              <w:numPr>
                <w:ilvl w:val="0"/>
                <w:numId w:val="0"/>
              </w:numPr>
            </w:pPr>
          </w:p>
          <w:p w14:paraId="42F4B646" w14:textId="77777777" w:rsidR="007A00DE" w:rsidRDefault="007A00DE" w:rsidP="007A00DE">
            <w:pPr>
              <w:pStyle w:val="TableTextNumbers"/>
            </w:pPr>
            <w:r>
              <w:t>Update the merge-from patient record to include SIs and TRs from the merge-to patient record</w:t>
            </w:r>
          </w:p>
          <w:p w14:paraId="41016755" w14:textId="77777777" w:rsidR="007A00DE" w:rsidRDefault="007A00DE" w:rsidP="007A00DE">
            <w:pPr>
              <w:pStyle w:val="TableTextNumbersContinued"/>
            </w:pPr>
          </w:p>
          <w:p w14:paraId="6DE60D41" w14:textId="77777777" w:rsidR="007A00DE" w:rsidRDefault="007A00DE" w:rsidP="007A00DE">
            <w:pPr>
              <w:pStyle w:val="TableTextNumbersContinued"/>
            </w:pPr>
            <w:r>
              <w:t>Insert a comment in the Special Instruction field to note that a merge occurred.</w:t>
            </w:r>
          </w:p>
        </w:tc>
        <w:tc>
          <w:tcPr>
            <w:tcW w:w="6120" w:type="dxa"/>
          </w:tcPr>
          <w:p w14:paraId="2D976D9A" w14:textId="77777777" w:rsidR="007A00DE" w:rsidRPr="00935E73" w:rsidRDefault="007A00DE" w:rsidP="007A00DE">
            <w:pPr>
              <w:pStyle w:val="TableText"/>
            </w:pPr>
          </w:p>
          <w:p w14:paraId="25547182" w14:textId="7C94ED9E" w:rsidR="007A00DE" w:rsidRDefault="007A00DE" w:rsidP="007A00DE">
            <w:pPr>
              <w:pStyle w:val="TableText"/>
              <w:rPr>
                <w:b/>
                <w:bCs/>
                <w:szCs w:val="18"/>
              </w:rPr>
            </w:pPr>
            <w:r>
              <w:rPr>
                <w:b/>
                <w:bCs/>
                <w:szCs w:val="18"/>
              </w:rPr>
              <w:t>NOTES</w:t>
            </w:r>
          </w:p>
          <w:p w14:paraId="3393436C" w14:textId="77777777" w:rsidR="00BC7A6E" w:rsidRDefault="00BC7A6E" w:rsidP="00BC7A6E">
            <w:pPr>
              <w:pStyle w:val="TableTextBullet"/>
              <w:numPr>
                <w:ilvl w:val="0"/>
                <w:numId w:val="0"/>
              </w:numPr>
              <w:ind w:left="720"/>
            </w:pPr>
          </w:p>
          <w:p w14:paraId="338E4CBE" w14:textId="77777777" w:rsidR="00BC7A6E" w:rsidRDefault="00BC7A6E" w:rsidP="00BC7A6E">
            <w:pPr>
              <w:pStyle w:val="TableTextBullet"/>
              <w:numPr>
                <w:ilvl w:val="0"/>
                <w:numId w:val="0"/>
              </w:numPr>
              <w:ind w:left="720"/>
            </w:pPr>
            <w:r>
              <w:t>A user cannot update SIs or TRs if the merge from patient does not have a VBECS record.</w:t>
            </w:r>
          </w:p>
          <w:p w14:paraId="7522EBF0" w14:textId="77777777" w:rsidR="007A00DE" w:rsidRDefault="007A00DE" w:rsidP="007A00DE">
            <w:pPr>
              <w:pStyle w:val="NotesText"/>
            </w:pPr>
          </w:p>
          <w:p w14:paraId="57C24B00" w14:textId="77777777" w:rsidR="00BC7526" w:rsidRDefault="00BC7526" w:rsidP="00BC7526">
            <w:pPr>
              <w:pStyle w:val="NotesText"/>
            </w:pPr>
            <w:r>
              <w:t>Local policy must define how to handle records when the merge from patient does not exist in VBECS.</w:t>
            </w:r>
          </w:p>
          <w:p w14:paraId="53C41FBB" w14:textId="77777777" w:rsidR="00BC7526" w:rsidRDefault="00BC7526" w:rsidP="00BC7526">
            <w:pPr>
              <w:pStyle w:val="NotesText"/>
            </w:pPr>
          </w:p>
          <w:p w14:paraId="260235E2" w14:textId="77777777" w:rsidR="007A00DE" w:rsidRDefault="007A00DE" w:rsidP="007A00DE">
            <w:pPr>
              <w:pStyle w:val="NotesText"/>
            </w:pPr>
            <w:r>
              <w:t>The merge-from patient record is the inactive record in VBECS</w:t>
            </w:r>
            <w:r w:rsidR="00B75ABB">
              <w:t>.</w:t>
            </w:r>
          </w:p>
          <w:p w14:paraId="3DD9D6A0" w14:textId="77777777" w:rsidR="007A00DE" w:rsidRDefault="007A00DE" w:rsidP="007A00DE">
            <w:pPr>
              <w:pStyle w:val="NotesText"/>
            </w:pPr>
          </w:p>
          <w:p w14:paraId="690B8274" w14:textId="77777777" w:rsidR="007A00DE" w:rsidRDefault="007A00DE" w:rsidP="007A00DE">
            <w:pPr>
              <w:pStyle w:val="NotesText"/>
            </w:pPr>
            <w:r>
              <w:t xml:space="preserve">Use Special Instructions &amp; Transfusion Requirements: Enter a Transfusion Requirement, and Special Instructions &amp; Transfusion Requirements: Enter and Remove Special Instructions to enter, update, or delete relevant component requirements, antibodies, or antigen requirements. </w:t>
            </w:r>
          </w:p>
          <w:p w14:paraId="79987D2B" w14:textId="77777777" w:rsidR="007A00DE" w:rsidRDefault="007A00DE" w:rsidP="007A00DE">
            <w:pPr>
              <w:pStyle w:val="NotesText"/>
            </w:pPr>
          </w:p>
          <w:p w14:paraId="6A06E370" w14:textId="77777777" w:rsidR="007A00DE" w:rsidRDefault="007A00DE" w:rsidP="007A00DE">
            <w:pPr>
              <w:pStyle w:val="NotesText"/>
            </w:pPr>
            <w:r>
              <w:t>Enter an SI comment in the merge-from patient record, for example, “This patient record was merged with &lt;</w:t>
            </w:r>
            <w:r w:rsidRPr="000F2898">
              <w:rPr>
                <w:i/>
              </w:rPr>
              <w:t>insert merge-</w:t>
            </w:r>
            <w:r>
              <w:rPr>
                <w:i/>
              </w:rPr>
              <w:t>to</w:t>
            </w:r>
            <w:r w:rsidRPr="000F2898">
              <w:rPr>
                <w:i/>
              </w:rPr>
              <w:t xml:space="preserve"> patient name</w:t>
            </w:r>
            <w:r w:rsidRPr="000F2898">
              <w:t>&gt;</w:t>
            </w:r>
            <w:r>
              <w:t xml:space="preserve"> in VistA and must not be used to process orders after &lt;</w:t>
            </w:r>
            <w:r w:rsidRPr="000F2898">
              <w:rPr>
                <w:i/>
              </w:rPr>
              <w:t>insert merge date</w:t>
            </w:r>
            <w:r>
              <w:rPr>
                <w:i/>
              </w:rPr>
              <w:t xml:space="preserve"> and </w:t>
            </w:r>
            <w:r w:rsidRPr="000F2898">
              <w:rPr>
                <w:i/>
              </w:rPr>
              <w:t>time</w:t>
            </w:r>
            <w:r w:rsidRPr="000F2898">
              <w:t>&gt;</w:t>
            </w:r>
            <w:r>
              <w:t>. Refer to the records of &lt;</w:t>
            </w:r>
            <w:r w:rsidRPr="000F2898">
              <w:rPr>
                <w:i/>
              </w:rPr>
              <w:t>insert merge-</w:t>
            </w:r>
            <w:r>
              <w:rPr>
                <w:i/>
              </w:rPr>
              <w:t>to</w:t>
            </w:r>
            <w:r w:rsidRPr="000F2898">
              <w:rPr>
                <w:i/>
              </w:rPr>
              <w:t xml:space="preserve"> patient name</w:t>
            </w:r>
            <w:r w:rsidRPr="000F2898">
              <w:t>&gt;</w:t>
            </w:r>
            <w:r>
              <w:t xml:space="preserve"> for testing and transfusion information after the merge event.”</w:t>
            </w:r>
          </w:p>
        </w:tc>
      </w:tr>
      <w:tr w:rsidR="00BC7526" w14:paraId="0CBE4C21" w14:textId="77777777">
        <w:tc>
          <w:tcPr>
            <w:tcW w:w="3240" w:type="dxa"/>
          </w:tcPr>
          <w:p w14:paraId="10D874B6" w14:textId="77777777" w:rsidR="00BC7526" w:rsidRDefault="00BC7526" w:rsidP="007A00DE">
            <w:pPr>
              <w:pStyle w:val="TableTextNumbers"/>
            </w:pPr>
            <w:r>
              <w:t>Cancel pending orders on the merge-from patient. Request replacement orders for the merge-to patient, as appropriate.</w:t>
            </w:r>
          </w:p>
        </w:tc>
        <w:tc>
          <w:tcPr>
            <w:tcW w:w="6120" w:type="dxa"/>
          </w:tcPr>
          <w:p w14:paraId="5B0234D2" w14:textId="77777777" w:rsidR="00BC7526" w:rsidRPr="00935E73" w:rsidRDefault="00BC7526" w:rsidP="000305DD">
            <w:pPr>
              <w:pStyle w:val="TableText"/>
            </w:pPr>
          </w:p>
          <w:p w14:paraId="7EB139CC" w14:textId="786CB943" w:rsidR="00BC7526" w:rsidRDefault="00BC7526" w:rsidP="000305DD">
            <w:pPr>
              <w:pStyle w:val="TableText"/>
              <w:rPr>
                <w:b/>
                <w:bCs/>
                <w:szCs w:val="18"/>
              </w:rPr>
            </w:pPr>
            <w:r>
              <w:rPr>
                <w:b/>
                <w:bCs/>
                <w:szCs w:val="18"/>
              </w:rPr>
              <w:t>NOTES</w:t>
            </w:r>
          </w:p>
          <w:p w14:paraId="70033B52" w14:textId="77777777" w:rsidR="00BC7526" w:rsidRDefault="00BC7526" w:rsidP="000305DD">
            <w:pPr>
              <w:pStyle w:val="NotesText"/>
            </w:pPr>
          </w:p>
          <w:p w14:paraId="4707AE80" w14:textId="77777777" w:rsidR="00BC7526" w:rsidRDefault="00BC7526" w:rsidP="00BC7526">
            <w:pPr>
              <w:pStyle w:val="NotesText"/>
            </w:pPr>
            <w:r>
              <w:t>Local policy must define how to handle orders when the merge from patient or merge to patient does not exist in VBECS.</w:t>
            </w:r>
          </w:p>
        </w:tc>
      </w:tr>
      <w:tr w:rsidR="00BC7526" w14:paraId="2E773B71" w14:textId="77777777">
        <w:tc>
          <w:tcPr>
            <w:tcW w:w="3240" w:type="dxa"/>
          </w:tcPr>
          <w:p w14:paraId="7B7B497A" w14:textId="77777777" w:rsidR="00BC7526" w:rsidRDefault="00BC7526" w:rsidP="007A00DE">
            <w:pPr>
              <w:pStyle w:val="TableTextNumbers"/>
            </w:pPr>
            <w:r>
              <w:t xml:space="preserve">To confirm that the merge-from and merge-to patient SIs and TRs match on the </w:t>
            </w:r>
            <w:r w:rsidRPr="00732440">
              <w:t>Patient Merge</w:t>
            </w:r>
            <w:r>
              <w:t xml:space="preserve"> display.</w:t>
            </w:r>
          </w:p>
        </w:tc>
        <w:tc>
          <w:tcPr>
            <w:tcW w:w="6120" w:type="dxa"/>
          </w:tcPr>
          <w:p w14:paraId="43BED611" w14:textId="77777777" w:rsidR="00BC7526" w:rsidRPr="00935E73" w:rsidRDefault="00BC7526" w:rsidP="000305DD">
            <w:pPr>
              <w:pStyle w:val="TableText"/>
            </w:pPr>
          </w:p>
          <w:p w14:paraId="0B2710B0" w14:textId="7E0C2AB5" w:rsidR="00BC7526" w:rsidRDefault="00BC7526" w:rsidP="000305DD">
            <w:pPr>
              <w:pStyle w:val="TableText"/>
              <w:rPr>
                <w:b/>
                <w:bCs/>
                <w:szCs w:val="18"/>
              </w:rPr>
            </w:pPr>
            <w:r>
              <w:rPr>
                <w:b/>
                <w:bCs/>
                <w:szCs w:val="18"/>
              </w:rPr>
              <w:t>NOTES</w:t>
            </w:r>
          </w:p>
          <w:p w14:paraId="74B7E07D" w14:textId="77777777" w:rsidR="00BC7526" w:rsidRDefault="00BC7526" w:rsidP="000305DD">
            <w:pPr>
              <w:pStyle w:val="NotesText"/>
            </w:pPr>
          </w:p>
          <w:p w14:paraId="4D2C1039" w14:textId="77777777" w:rsidR="00BC7526" w:rsidRDefault="00BC7526" w:rsidP="00BC7526">
            <w:pPr>
              <w:pStyle w:val="NotesText"/>
            </w:pPr>
            <w:r>
              <w:t>Local policy must define how to handle records when the merge from patient or merge to patient does not exist in VBECS.</w:t>
            </w:r>
          </w:p>
        </w:tc>
      </w:tr>
      <w:tr w:rsidR="00B473F5" w14:paraId="38B3D613" w14:textId="77777777">
        <w:trPr>
          <w:hidden/>
        </w:trPr>
        <w:tc>
          <w:tcPr>
            <w:tcW w:w="3240" w:type="dxa"/>
          </w:tcPr>
          <w:p w14:paraId="2F3024A2" w14:textId="77777777" w:rsidR="00B473F5" w:rsidRDefault="00203F78" w:rsidP="000C6CEA">
            <w:pPr>
              <w:pStyle w:val="TableTextNumbers"/>
            </w:pPr>
            <w:r w:rsidRPr="00203F78">
              <w:rPr>
                <w:vanish/>
              </w:rPr>
              <w:t xml:space="preserve">DR 2,527 </w:t>
            </w:r>
            <w:r>
              <w:t xml:space="preserve">Click </w:t>
            </w:r>
            <w:r w:rsidRPr="00203F78">
              <w:rPr>
                <w:b/>
              </w:rPr>
              <w:t>Clear Patient Merge Alert</w:t>
            </w:r>
            <w:r w:rsidRPr="00203F78">
              <w:t>.</w:t>
            </w:r>
          </w:p>
        </w:tc>
        <w:tc>
          <w:tcPr>
            <w:tcW w:w="6120" w:type="dxa"/>
          </w:tcPr>
          <w:p w14:paraId="64FA38BC" w14:textId="77777777" w:rsidR="00B473F5" w:rsidRDefault="00BC4B7B" w:rsidP="00203F78">
            <w:pPr>
              <w:pStyle w:val="TableTextBullet"/>
            </w:pPr>
            <w:r>
              <w:t>When there are no pending patient updates, c</w:t>
            </w:r>
            <w:r w:rsidR="00203F78">
              <w:t>lears</w:t>
            </w:r>
            <w:r w:rsidR="00AB565A">
              <w:t xml:space="preserve"> </w:t>
            </w:r>
            <w:r w:rsidR="00057948">
              <w:rPr>
                <w:noProof/>
              </w:rPr>
              <w:drawing>
                <wp:inline distT="0" distB="0" distL="0" distR="0" wp14:anchorId="423C076D" wp14:editId="13F5C8C0">
                  <wp:extent cx="166370" cy="156845"/>
                  <wp:effectExtent l="0" t="0" r="5080" b="0"/>
                  <wp:docPr id="234" name="Picture 234"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w:t>
            </w:r>
            <w:r w:rsidR="00203F78">
              <w:t xml:space="preserve">the </w:t>
            </w:r>
            <w:r>
              <w:t>Patient</w:t>
            </w:r>
            <w:r w:rsidR="00203F78">
              <w:t xml:space="preserve"> Alert icon</w:t>
            </w:r>
            <w:r>
              <w:t>) from the main status bar.</w:t>
            </w:r>
          </w:p>
          <w:p w14:paraId="6E5F74FD" w14:textId="77777777" w:rsidR="005E0771" w:rsidRDefault="005E0771" w:rsidP="00203F78">
            <w:pPr>
              <w:pStyle w:val="TableTextBullet"/>
            </w:pPr>
            <w:r>
              <w:lastRenderedPageBreak/>
              <w:t xml:space="preserve">Displays </w:t>
            </w:r>
            <w:r w:rsidR="00342230">
              <w:t xml:space="preserve">an information message stating that the user viewed the record. </w:t>
            </w:r>
          </w:p>
          <w:p w14:paraId="5F17EEF1" w14:textId="77777777" w:rsidR="000B0170" w:rsidRPr="00935E73" w:rsidRDefault="000B0170" w:rsidP="000B0170">
            <w:pPr>
              <w:pStyle w:val="TableText"/>
            </w:pPr>
          </w:p>
          <w:p w14:paraId="34367615" w14:textId="33CF6D32" w:rsidR="000B0170" w:rsidRDefault="000B0170" w:rsidP="000B0170">
            <w:pPr>
              <w:pStyle w:val="TableText"/>
              <w:rPr>
                <w:b/>
                <w:bCs/>
                <w:szCs w:val="18"/>
              </w:rPr>
            </w:pPr>
            <w:r>
              <w:rPr>
                <w:b/>
                <w:bCs/>
                <w:szCs w:val="18"/>
              </w:rPr>
              <w:t>NOTES</w:t>
            </w:r>
          </w:p>
          <w:p w14:paraId="285CD800" w14:textId="77777777" w:rsidR="000B0170" w:rsidRDefault="000B0170" w:rsidP="000B0170">
            <w:pPr>
              <w:pStyle w:val="NotesText"/>
            </w:pPr>
          </w:p>
          <w:p w14:paraId="0CD73FB6" w14:textId="77777777" w:rsidR="000B0170" w:rsidRDefault="000B0170" w:rsidP="000B0170">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BD3287">
              <w:t>The Clear Patient Merge Alert function is available only to t</w:t>
            </w:r>
            <w:r>
              <w:t xml:space="preserve">he Traditional Supervisor </w:t>
            </w:r>
            <w:r w:rsidR="00BD3287">
              <w:t>and above</w:t>
            </w:r>
            <w:r w:rsidR="00D57F25">
              <w:t>.</w:t>
            </w:r>
          </w:p>
        </w:tc>
      </w:tr>
      <w:tr w:rsidR="00342230" w14:paraId="486008EE" w14:textId="77777777">
        <w:tc>
          <w:tcPr>
            <w:tcW w:w="3240" w:type="dxa"/>
          </w:tcPr>
          <w:p w14:paraId="66287024" w14:textId="77777777" w:rsidR="00342230" w:rsidRPr="00203F78" w:rsidRDefault="00342230" w:rsidP="000C6CEA">
            <w:pPr>
              <w:pStyle w:val="TableTextNumbers"/>
              <w:rPr>
                <w:vanish/>
              </w:rPr>
            </w:pPr>
            <w:r>
              <w:lastRenderedPageBreak/>
              <w:t xml:space="preserve">Click </w:t>
            </w:r>
            <w:r w:rsidRPr="00342230">
              <w:rPr>
                <w:b/>
              </w:rPr>
              <w:t>OK</w:t>
            </w:r>
            <w:r>
              <w:t xml:space="preserve"> to acknowledge the message.</w:t>
            </w:r>
          </w:p>
        </w:tc>
        <w:tc>
          <w:tcPr>
            <w:tcW w:w="6120" w:type="dxa"/>
          </w:tcPr>
          <w:p w14:paraId="3862FBBB" w14:textId="77777777" w:rsidR="00342230" w:rsidRDefault="00342230" w:rsidP="00203F78">
            <w:pPr>
              <w:pStyle w:val="TableTextBullet"/>
            </w:pPr>
            <w:r>
              <w:t>Clears the icon</w:t>
            </w:r>
            <w:r w:rsidR="00A1063F">
              <w:t xml:space="preserve"> when the user acknowledges the</w:t>
            </w:r>
            <w:r>
              <w:t xml:space="preserve"> message.</w:t>
            </w:r>
          </w:p>
        </w:tc>
      </w:tr>
      <w:tr w:rsidR="007A00DE" w14:paraId="3F89C5A7" w14:textId="77777777">
        <w:tc>
          <w:tcPr>
            <w:tcW w:w="3240" w:type="dxa"/>
          </w:tcPr>
          <w:p w14:paraId="27435DB1" w14:textId="77777777" w:rsidR="007A00DE" w:rsidRDefault="007A00DE" w:rsidP="007A00DE">
            <w:pPr>
              <w:pStyle w:val="TableTextNumbers"/>
            </w:pPr>
            <w:r>
              <w:t xml:space="preserve">Click </w:t>
            </w:r>
            <w:r w:rsidR="00D76C47">
              <w:rPr>
                <w:b/>
              </w:rPr>
              <w:t>Close</w:t>
            </w:r>
            <w:r w:rsidR="00D76C47">
              <w:t xml:space="preserve"> </w:t>
            </w:r>
            <w:r>
              <w:t xml:space="preserve">to exit, or return to Step 2.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52" w:author="Blalock, David (Leidos)" w:date="2020-06-15T14:09:00Z" w:original="0."/>
              </w:fldChar>
            </w:r>
          </w:p>
        </w:tc>
        <w:tc>
          <w:tcPr>
            <w:tcW w:w="6120" w:type="dxa"/>
          </w:tcPr>
          <w:p w14:paraId="5E6E10DD" w14:textId="77777777" w:rsidR="007A00DE" w:rsidRDefault="007A00DE" w:rsidP="007A00DE">
            <w:pPr>
              <w:pStyle w:val="TableText"/>
            </w:pPr>
          </w:p>
        </w:tc>
      </w:tr>
    </w:tbl>
    <w:p w14:paraId="23706991" w14:textId="7B6E8244" w:rsidR="00C74683" w:rsidRDefault="00C74683" w:rsidP="00C74683">
      <w:pPr>
        <w:pStyle w:val="Caption"/>
      </w:pPr>
      <w:bookmarkStart w:id="553" w:name="_Ref13678661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123</w:t>
      </w:r>
      <w:r w:rsidR="004E20BD">
        <w:rPr>
          <w:noProof/>
        </w:rPr>
        <w:fldChar w:fldCharType="end"/>
      </w:r>
      <w:bookmarkEnd w:id="551"/>
      <w:bookmarkEnd w:id="553"/>
      <w:r>
        <w:t>: Patient Merge</w:t>
      </w:r>
    </w:p>
    <w:p w14:paraId="2A8EA79C" w14:textId="77777777" w:rsidR="00C74683" w:rsidRDefault="00057948" w:rsidP="00C74683">
      <w:pPr>
        <w:pStyle w:val="BodyText"/>
      </w:pPr>
      <w:r>
        <w:rPr>
          <w:noProof/>
        </w:rPr>
        <w:drawing>
          <wp:inline distT="0" distB="0" distL="0" distR="0" wp14:anchorId="13E13685" wp14:editId="41F543B0">
            <wp:extent cx="5781675" cy="3482340"/>
            <wp:effectExtent l="0" t="0" r="9525" b="3810"/>
            <wp:docPr id="235" name="Picture 235" descr="Fig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Figure 11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781675" cy="3482340"/>
                    </a:xfrm>
                    <a:prstGeom prst="rect">
                      <a:avLst/>
                    </a:prstGeom>
                    <a:noFill/>
                    <a:ln>
                      <a:noFill/>
                    </a:ln>
                  </pic:spPr>
                </pic:pic>
              </a:graphicData>
            </a:graphic>
          </wp:inline>
        </w:drawing>
      </w:r>
    </w:p>
    <w:p w14:paraId="3DC0CD89" w14:textId="77777777" w:rsidR="002A21AE" w:rsidRDefault="00AC2D9E">
      <w:pPr>
        <w:pStyle w:val="Heading3"/>
      </w:pPr>
      <w:r>
        <w:br w:type="page"/>
      </w:r>
      <w:bookmarkStart w:id="554" w:name="_Toc47516754"/>
      <w:r w:rsidR="002A21AE">
        <w:lastRenderedPageBreak/>
        <w:t>Updated Patients and Deceased Patients</w:t>
      </w:r>
      <w:bookmarkEnd w:id="554"/>
      <w:r w:rsidR="002A21AE">
        <w:fldChar w:fldCharType="begin"/>
      </w:r>
      <w:r w:rsidR="002A21AE">
        <w:instrText xml:space="preserve"> XE </w:instrText>
      </w:r>
      <w:r w:rsidR="00FA7E65">
        <w:instrText>“</w:instrText>
      </w:r>
      <w:r w:rsidR="002A21AE">
        <w:instrText>Updated Patients and Deceased Patients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UC_68</w:t>
      </w:r>
    </w:p>
    <w:p w14:paraId="2899CDA6" w14:textId="77777777" w:rsidR="002A21AE" w:rsidRDefault="002A21AE" w:rsidP="00FA7E65">
      <w:pPr>
        <w:pStyle w:val="BodyText"/>
      </w:pPr>
      <w:r>
        <w:rPr>
          <w:rFonts w:ascii="Arial" w:hAnsi="Arial" w:cs="Arial"/>
          <w:vanish/>
          <w:sz w:val="18"/>
        </w:rPr>
        <w:t xml:space="preserve">BR_68.02 </w:t>
      </w:r>
      <w:r>
        <w:t xml:space="preserve">The user views </w:t>
      </w:r>
      <w:r w:rsidR="000350E5">
        <w:t xml:space="preserve">patient </w:t>
      </w:r>
      <w:r>
        <w:t>update</w:t>
      </w:r>
      <w:r w:rsidR="00401847">
        <w:t>s</w:t>
      </w:r>
      <w:r>
        <w:t xml:space="preserve"> </w:t>
      </w:r>
      <w:r w:rsidR="00086F22">
        <w:t xml:space="preserve">and </w:t>
      </w:r>
      <w:r>
        <w:t>death events for patients with pending or active orders in VBECS.</w:t>
      </w:r>
    </w:p>
    <w:p w14:paraId="2F731AB8" w14:textId="77777777" w:rsidR="002A21AE" w:rsidRDefault="002A21AE">
      <w:pPr>
        <w:pStyle w:val="Heading4"/>
      </w:pPr>
      <w:r>
        <w:t>Assumptions</w:t>
      </w:r>
      <w:r>
        <w:rPr>
          <w:b w:val="0"/>
        </w:rPr>
        <w:t xml:space="preserve"> </w:t>
      </w:r>
    </w:p>
    <w:p w14:paraId="6DD4CE45" w14:textId="77777777" w:rsidR="00422796" w:rsidRPr="00422796" w:rsidRDefault="00422796" w:rsidP="00422796">
      <w:pPr>
        <w:pStyle w:val="ListBullet"/>
      </w:pPr>
      <w:r w:rsidRPr="00422796">
        <w:t xml:space="preserve">The connection to </w:t>
      </w:r>
      <w:r w:rsidRPr="00422796">
        <w:rPr>
          <w:bCs/>
        </w:rPr>
        <w:t>VistA</w:t>
      </w:r>
      <w:r w:rsidRPr="00422796">
        <w:t xml:space="preserve"> is active.</w:t>
      </w:r>
    </w:p>
    <w:p w14:paraId="17FA2D92" w14:textId="77777777" w:rsidR="00422796" w:rsidRDefault="00422796" w:rsidP="00422796">
      <w:pPr>
        <w:pStyle w:val="ListBullet"/>
      </w:pPr>
      <w:r>
        <w:t xml:space="preserve">The patient record was updated in </w:t>
      </w:r>
      <w:r w:rsidRPr="00CA6E27">
        <w:rPr>
          <w:bCs/>
        </w:rPr>
        <w:t>VistA</w:t>
      </w:r>
      <w:r>
        <w:t>.</w:t>
      </w:r>
    </w:p>
    <w:p w14:paraId="73B3014B" w14:textId="77777777" w:rsidR="002A21AE" w:rsidRDefault="002A21AE">
      <w:pPr>
        <w:pStyle w:val="ListBullet"/>
      </w:pPr>
      <w:r>
        <w:t xml:space="preserve">VBECS received a message </w:t>
      </w:r>
      <w:r w:rsidR="00086F22">
        <w:t xml:space="preserve">from VistA </w:t>
      </w:r>
      <w:r>
        <w:t>about a patient record update or death.</w:t>
      </w:r>
    </w:p>
    <w:p w14:paraId="3545907C" w14:textId="77777777" w:rsidR="002A21AE" w:rsidRDefault="002A21AE">
      <w:pPr>
        <w:pStyle w:val="ListBullet"/>
      </w:pPr>
      <w:r>
        <w:t>The affected patient’s records are in the VBECS database.</w:t>
      </w:r>
    </w:p>
    <w:p w14:paraId="48C4B0CD" w14:textId="77777777" w:rsidR="002A21AE" w:rsidRDefault="002A21AE">
      <w:pPr>
        <w:pStyle w:val="ListBullet"/>
      </w:pPr>
      <w:r>
        <w:t>The affected patient has a pending or active order in VBECS for update</w:t>
      </w:r>
      <w:r w:rsidR="00E413E2">
        <w:t>s</w:t>
      </w:r>
      <w:r>
        <w:t xml:space="preserve"> and/or death event.</w:t>
      </w:r>
    </w:p>
    <w:p w14:paraId="3CBF7473" w14:textId="77777777" w:rsidR="002A21AE" w:rsidRDefault="002A21AE">
      <w:pPr>
        <w:pStyle w:val="Heading4"/>
      </w:pPr>
      <w:r>
        <w:t xml:space="preserve">Outcome </w:t>
      </w:r>
    </w:p>
    <w:p w14:paraId="17E340AA" w14:textId="77777777" w:rsidR="002A21AE" w:rsidRDefault="002A21AE">
      <w:pPr>
        <w:pStyle w:val="ListBullet"/>
      </w:pPr>
      <w:r>
        <w:t>The user reviews updated patient records.</w:t>
      </w:r>
    </w:p>
    <w:p w14:paraId="043467EB" w14:textId="77777777" w:rsidR="002A21AE" w:rsidRDefault="002A21AE">
      <w:pPr>
        <w:pStyle w:val="Heading4"/>
      </w:pPr>
      <w:r>
        <w:t>Limitations and Restrictions</w:t>
      </w:r>
      <w:r>
        <w:rPr>
          <w:b w:val="0"/>
        </w:rPr>
        <w:t xml:space="preserve"> </w:t>
      </w:r>
    </w:p>
    <w:p w14:paraId="698351A6" w14:textId="77777777" w:rsidR="002A21AE" w:rsidRDefault="002A21AE">
      <w:pPr>
        <w:pStyle w:val="ListBullet"/>
      </w:pPr>
      <w:r>
        <w:t>Demographic and death event updates do not display information for patients without pending or active orders in VBECS.</w:t>
      </w:r>
      <w:r w:rsidR="00AB5121">
        <w:t xml:space="preserve"> Updates will occur without user input.</w:t>
      </w:r>
    </w:p>
    <w:p w14:paraId="6DE03EBE" w14:textId="77777777" w:rsidR="00422796" w:rsidRDefault="00422796" w:rsidP="00422796">
      <w:pPr>
        <w:pStyle w:val="ListBulle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p w14:paraId="4ED3FF60" w14:textId="77777777" w:rsidR="00C805FB" w:rsidRDefault="00C805FB" w:rsidP="00422796">
      <w:pPr>
        <w:pStyle w:val="ListBullet"/>
      </w:pPr>
      <w:r>
        <w:t>When VBECS notifies a user of an update to a patient’s prefix or suffix, VBECS does not display the updated information: the user must access VistA to view the updated information</w:t>
      </w:r>
      <w:r w:rsidR="00EE1726">
        <w:t>.</w:t>
      </w:r>
      <w:r w:rsidRPr="00C805FB">
        <w:rPr>
          <w:vanish/>
        </w:rPr>
        <w:t xml:space="preserve"> </w:t>
      </w:r>
      <w:r w:rsidR="00EE1726">
        <w:rPr>
          <w:vanish/>
        </w:rPr>
        <w:t>DR 2,714</w:t>
      </w:r>
    </w:p>
    <w:p w14:paraId="35F8E58F" w14:textId="77777777" w:rsidR="00195D83" w:rsidRDefault="00195D83" w:rsidP="00422796">
      <w:pPr>
        <w:pStyle w:val="ListBullet"/>
      </w:pPr>
      <w:r>
        <w:t xml:space="preserve">Suffix data may be outdated but will be refreshed upon a new order for a patient. </w:t>
      </w:r>
      <w:r w:rsidRPr="00812458">
        <w:rPr>
          <w:vanish/>
        </w:rPr>
        <w:t>Task 447307</w:t>
      </w:r>
    </w:p>
    <w:p w14:paraId="09639208" w14:textId="77777777" w:rsidR="002A21AE" w:rsidRDefault="002A21AE">
      <w:pPr>
        <w:pStyle w:val="Heading4"/>
      </w:pPr>
      <w:r>
        <w:t xml:space="preserve">Additional Information </w:t>
      </w:r>
    </w:p>
    <w:p w14:paraId="4BE601FD" w14:textId="77777777" w:rsidR="002A21AE" w:rsidRDefault="002A21AE">
      <w:pPr>
        <w:pStyle w:val="ListBullet"/>
      </w:pPr>
      <w:r>
        <w:t>None</w:t>
      </w:r>
    </w:p>
    <w:p w14:paraId="51E732E2" w14:textId="77777777" w:rsidR="002A21AE" w:rsidRDefault="002A21AE">
      <w:pPr>
        <w:pStyle w:val="Heading4"/>
        <w:rPr>
          <w:b w:val="0"/>
        </w:rPr>
      </w:pPr>
      <w:r>
        <w:t>User Roles with Access to This Option</w:t>
      </w:r>
      <w:r>
        <w:rPr>
          <w:b w:val="0"/>
        </w:rPr>
        <w:t xml:space="preserve"> </w:t>
      </w:r>
    </w:p>
    <w:p w14:paraId="2D97D820" w14:textId="77777777" w:rsidR="002A21AE" w:rsidRDefault="00A937B3">
      <w:pPr>
        <w:pStyle w:val="Roles"/>
        <w:rPr>
          <w:snapToGrid w:val="0"/>
        </w:rPr>
      </w:pPr>
      <w:r>
        <w:t>All users</w:t>
      </w:r>
    </w:p>
    <w:p w14:paraId="354B1D2A" w14:textId="77777777" w:rsidR="002A21AE" w:rsidRDefault="002A21AE">
      <w:pPr>
        <w:pStyle w:val="Heading4"/>
      </w:pPr>
      <w:r>
        <w:t>Updated Patients and Deceased Patients</w:t>
      </w:r>
    </w:p>
    <w:p w14:paraId="1DAAB06C" w14:textId="77777777" w:rsidR="002A21AE" w:rsidRDefault="002A21AE" w:rsidP="00FA7E65">
      <w:pPr>
        <w:pStyle w:val="BodyText"/>
      </w:pPr>
      <w:r>
        <w:t>The user views updated patient records.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35EE060" w14:textId="77777777">
        <w:trPr>
          <w:cantSplit/>
          <w:tblHeader/>
        </w:trPr>
        <w:tc>
          <w:tcPr>
            <w:tcW w:w="3240" w:type="dxa"/>
            <w:shd w:val="pct30" w:color="auto" w:fill="FFFFFF"/>
            <w:vAlign w:val="bottom"/>
          </w:tcPr>
          <w:p w14:paraId="383EE2BF" w14:textId="77777777" w:rsidR="002A21AE" w:rsidRDefault="002A21AE">
            <w:pPr>
              <w:pStyle w:val="TableText"/>
              <w:rPr>
                <w:b/>
              </w:rPr>
            </w:pPr>
            <w:r>
              <w:rPr>
                <w:b/>
              </w:rPr>
              <w:t>User Action</w:t>
            </w:r>
          </w:p>
        </w:tc>
        <w:tc>
          <w:tcPr>
            <w:tcW w:w="6120" w:type="dxa"/>
            <w:shd w:val="pct30" w:color="auto" w:fill="FFFFFF"/>
            <w:vAlign w:val="bottom"/>
          </w:tcPr>
          <w:p w14:paraId="5F8D861D" w14:textId="77777777" w:rsidR="002A21AE" w:rsidRDefault="002A21AE">
            <w:pPr>
              <w:pStyle w:val="TableText"/>
              <w:rPr>
                <w:b/>
              </w:rPr>
            </w:pPr>
            <w:r>
              <w:rPr>
                <w:b/>
              </w:rPr>
              <w:t>VBECS</w:t>
            </w:r>
          </w:p>
        </w:tc>
      </w:tr>
      <w:tr w:rsidR="002A21AE" w14:paraId="7E1E2E2B" w14:textId="77777777">
        <w:tc>
          <w:tcPr>
            <w:tcW w:w="3240" w:type="dxa"/>
            <w:tcBorders>
              <w:top w:val="single" w:sz="4" w:space="0" w:color="auto"/>
              <w:left w:val="single" w:sz="4" w:space="0" w:color="auto"/>
              <w:bottom w:val="single" w:sz="4" w:space="0" w:color="auto"/>
              <w:right w:val="single" w:sz="4" w:space="0" w:color="auto"/>
            </w:tcBorders>
          </w:tcPr>
          <w:p w14:paraId="79D2948B" w14:textId="77777777" w:rsidR="002A21AE" w:rsidRDefault="002A21AE">
            <w:pPr>
              <w:pStyle w:val="TableTextNumbers"/>
            </w:pPr>
            <w:r>
              <w:t xml:space="preserve">Select </w:t>
            </w:r>
            <w:r>
              <w:rPr>
                <w:b/>
              </w:rPr>
              <w:t>Patients</w:t>
            </w:r>
            <w:r>
              <w:t xml:space="preserve"> from the main menu.</w:t>
            </w:r>
          </w:p>
          <w:p w14:paraId="1E999840" w14:textId="77777777" w:rsidR="002A21AE" w:rsidRDefault="002A21AE">
            <w:pPr>
              <w:pStyle w:val="TableTextNumbersContinued"/>
            </w:pPr>
          </w:p>
          <w:p w14:paraId="05729D8E" w14:textId="77777777" w:rsidR="002A21AE" w:rsidRDefault="002A21AE">
            <w:pPr>
              <w:pStyle w:val="TableTextNumbersContinued"/>
            </w:pPr>
            <w:r>
              <w:t xml:space="preserve">Select </w:t>
            </w:r>
            <w:r>
              <w:rPr>
                <w:b/>
              </w:rPr>
              <w:t>Patient Updates</w:t>
            </w:r>
            <w:r>
              <w:t>.</w:t>
            </w:r>
          </w:p>
          <w:p w14:paraId="1912FCF2" w14:textId="77777777" w:rsidR="002A21AE" w:rsidRDefault="002A21AE">
            <w:pPr>
              <w:pStyle w:val="TableTextNumbersContinued"/>
            </w:pPr>
          </w:p>
          <w:p w14:paraId="087E97C6" w14:textId="77777777" w:rsidR="002A21AE" w:rsidRDefault="002A21AE">
            <w:pPr>
              <w:pStyle w:val="TableTextNumbersContinued"/>
            </w:pPr>
            <w:r>
              <w:t xml:space="preserve">Select </w:t>
            </w:r>
            <w:r>
              <w:rPr>
                <w:b/>
              </w:rPr>
              <w:t>Updated Patient</w:t>
            </w:r>
            <w:r>
              <w:t xml:space="preserve"> or </w:t>
            </w:r>
            <w:r>
              <w:rPr>
                <w:b/>
              </w:rPr>
              <w:t>Deceased Patient</w:t>
            </w:r>
            <w:r>
              <w:t>, or</w:t>
            </w:r>
          </w:p>
          <w:p w14:paraId="7B9141D2" w14:textId="77777777" w:rsidR="002A21AE" w:rsidRDefault="002A21AE">
            <w:pPr>
              <w:pStyle w:val="TableTextNumbersContinued"/>
            </w:pPr>
          </w:p>
          <w:p w14:paraId="0E970CA7" w14:textId="77777777" w:rsidR="002A21AE" w:rsidRDefault="002A21AE">
            <w:pPr>
              <w:pStyle w:val="TableTextNumbersContinued"/>
            </w:pPr>
            <w:r>
              <w:t xml:space="preserve">Click </w:t>
            </w:r>
            <w:r w:rsidR="00057948">
              <w:rPr>
                <w:noProof/>
              </w:rPr>
              <w:drawing>
                <wp:inline distT="0" distB="0" distL="0" distR="0" wp14:anchorId="793299B1" wp14:editId="253F0494">
                  <wp:extent cx="166370" cy="156845"/>
                  <wp:effectExtent l="0" t="0" r="5080" b="0"/>
                  <wp:docPr id="236" name="Picture 236"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patiental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in the Patient Information Toolbar, when it is active.</w:t>
            </w:r>
          </w:p>
        </w:tc>
        <w:tc>
          <w:tcPr>
            <w:tcW w:w="6120" w:type="dxa"/>
            <w:tcBorders>
              <w:top w:val="single" w:sz="4" w:space="0" w:color="auto"/>
              <w:left w:val="single" w:sz="4" w:space="0" w:color="auto"/>
              <w:bottom w:val="single" w:sz="4" w:space="0" w:color="auto"/>
              <w:right w:val="single" w:sz="4" w:space="0" w:color="auto"/>
            </w:tcBorders>
          </w:tcPr>
          <w:p w14:paraId="53CD23C8" w14:textId="77777777" w:rsidR="002A21AE" w:rsidRDefault="002A21AE">
            <w:pPr>
              <w:pStyle w:val="TableTextBullet"/>
            </w:pPr>
            <w:r>
              <w:t>Displays options for processing patient-related functions.</w:t>
            </w:r>
          </w:p>
          <w:p w14:paraId="7FE28393" w14:textId="77777777" w:rsidR="002A21AE" w:rsidRDefault="002A21AE">
            <w:pPr>
              <w:pStyle w:val="TableTextBullet"/>
            </w:pPr>
            <w:r>
              <w:t>Lists updated or deceased patients (also lists these data after the update if they changed)</w:t>
            </w:r>
            <w:r w:rsidR="005F6016">
              <w:t>,</w:t>
            </w:r>
            <w:r>
              <w:t xml:space="preserve"> including:</w:t>
            </w:r>
          </w:p>
          <w:p w14:paraId="2FDE8907" w14:textId="77777777" w:rsidR="002A21AE" w:rsidRDefault="002A21AE">
            <w:pPr>
              <w:pStyle w:val="TableTextBullet1"/>
            </w:pPr>
            <w:r>
              <w:t xml:space="preserve">Patient name </w:t>
            </w:r>
          </w:p>
          <w:p w14:paraId="073B974E" w14:textId="77777777" w:rsidR="002A21AE" w:rsidRDefault="002A21AE">
            <w:pPr>
              <w:pStyle w:val="TableTextBullet1"/>
            </w:pPr>
            <w:r>
              <w:t xml:space="preserve">Patient ID </w:t>
            </w:r>
          </w:p>
          <w:p w14:paraId="142842F0" w14:textId="77777777" w:rsidR="002A21AE" w:rsidRDefault="002A21AE">
            <w:pPr>
              <w:pStyle w:val="TableTextBullet1"/>
            </w:pPr>
            <w:r>
              <w:t xml:space="preserve">Patient date of birth </w:t>
            </w:r>
          </w:p>
          <w:p w14:paraId="679C9C1F" w14:textId="77777777" w:rsidR="002A21AE" w:rsidRDefault="002A21AE">
            <w:pPr>
              <w:pStyle w:val="TableTextBullet1"/>
            </w:pPr>
            <w:r>
              <w:t>Date and time of the update, or date of death</w:t>
            </w:r>
          </w:p>
        </w:tc>
      </w:tr>
      <w:tr w:rsidR="002A21AE" w14:paraId="241A1B4B" w14:textId="77777777">
        <w:tc>
          <w:tcPr>
            <w:tcW w:w="3240" w:type="dxa"/>
          </w:tcPr>
          <w:p w14:paraId="66DE30D0" w14:textId="77777777" w:rsidR="002A21AE" w:rsidRDefault="002A21AE">
            <w:pPr>
              <w:pStyle w:val="TableTextNumbers"/>
            </w:pPr>
            <w:r>
              <w:t xml:space="preserve">Click </w:t>
            </w:r>
            <w:r>
              <w:rPr>
                <w:b/>
              </w:rPr>
              <w:t>Close</w:t>
            </w:r>
            <w:r>
              <w:t xml:space="preserve"> to exit, or return to Step 1 to view another patient’s data.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55" w:author="Blalock, David (Leidos)" w:date="2020-06-15T14:09:00Z" w:original="0."/>
              </w:fldChar>
            </w:r>
          </w:p>
        </w:tc>
        <w:tc>
          <w:tcPr>
            <w:tcW w:w="6120" w:type="dxa"/>
          </w:tcPr>
          <w:p w14:paraId="75038BE1" w14:textId="77777777" w:rsidR="002A21AE" w:rsidRDefault="002A21AE">
            <w:pPr>
              <w:pStyle w:val="TableText"/>
            </w:pPr>
          </w:p>
        </w:tc>
      </w:tr>
    </w:tbl>
    <w:p w14:paraId="1895DD19" w14:textId="77777777" w:rsidR="002A21AE" w:rsidRDefault="002A21AE">
      <w:pPr>
        <w:pStyle w:val="Heading3"/>
        <w:sectPr w:rsidR="002A21AE" w:rsidSect="00EE771C">
          <w:pgSz w:w="12240" w:h="15840" w:code="1"/>
          <w:pgMar w:top="1440" w:right="1440" w:bottom="1440" w:left="1440" w:header="720" w:footer="720" w:gutter="0"/>
          <w:cols w:space="720"/>
          <w:docGrid w:linePitch="360"/>
        </w:sectPr>
      </w:pPr>
      <w:bookmarkStart w:id="556" w:name="_Patient_Testing:_Record_Patient_Tes"/>
      <w:bookmarkStart w:id="557" w:name="_Patient_Testing:_Record"/>
      <w:bookmarkEnd w:id="556"/>
      <w:bookmarkEnd w:id="557"/>
    </w:p>
    <w:p w14:paraId="484FBB2F" w14:textId="77777777" w:rsidR="002A21AE" w:rsidRDefault="002A21AE">
      <w:pPr>
        <w:pStyle w:val="Heading3"/>
      </w:pPr>
      <w:bookmarkStart w:id="558" w:name="_Patient_Testing:_Record_1"/>
      <w:bookmarkStart w:id="559" w:name="_Toc47516755"/>
      <w:bookmarkEnd w:id="558"/>
      <w:r>
        <w:lastRenderedPageBreak/>
        <w:t xml:space="preserve">Patient Testing: </w:t>
      </w:r>
      <w:r w:rsidR="0064667E">
        <w:t>General Instructions</w:t>
      </w:r>
      <w:bookmarkEnd w:id="559"/>
      <w:r>
        <w:fldChar w:fldCharType="begin"/>
      </w:r>
      <w:r>
        <w:instrText xml:space="preserve"> XE </w:instrText>
      </w:r>
      <w:r w:rsidR="00FA7E65">
        <w:instrText>“</w:instrText>
      </w:r>
      <w:r>
        <w:instrText xml:space="preserve">Patient Testing\: </w:instrText>
      </w:r>
      <w:r w:rsidR="0064667E">
        <w:instrText>General Instructions</w:instrText>
      </w:r>
      <w:r w:rsidR="00FA7E65">
        <w:instrText>”</w:instrText>
      </w:r>
      <w:r>
        <w:instrText xml:space="preserve"> </w:instrText>
      </w:r>
      <w:r>
        <w:fldChar w:fldCharType="end"/>
      </w:r>
      <w:r>
        <w:t xml:space="preserve"> </w:t>
      </w:r>
      <w:r>
        <w:rPr>
          <w:rFonts w:ascii="Times New Roman" w:hAnsi="Times New Roman" w:cs="Times New Roman"/>
          <w:b w:val="0"/>
          <w:vanish/>
          <w:sz w:val="22"/>
        </w:rPr>
        <w:t>UC_56</w:t>
      </w:r>
    </w:p>
    <w:p w14:paraId="35CCCF45" w14:textId="77777777" w:rsidR="002A21AE" w:rsidRDefault="002A21AE" w:rsidP="00FA7E65">
      <w:pPr>
        <w:pStyle w:val="BodyText"/>
      </w:pPr>
      <w:bookmarkStart w:id="560" w:name="_Toc78036036"/>
      <w:r>
        <w:t>The user records a patient’s serologic test results.</w:t>
      </w:r>
    </w:p>
    <w:p w14:paraId="0D3851B4" w14:textId="77777777" w:rsidR="002A21AE" w:rsidRDefault="002A21AE">
      <w:pPr>
        <w:pStyle w:val="Heading4"/>
      </w:pPr>
      <w:r>
        <w:t>Assumptions</w:t>
      </w:r>
    </w:p>
    <w:p w14:paraId="44A30C61" w14:textId="77777777" w:rsidR="002A21AE" w:rsidRDefault="002A21AE">
      <w:pPr>
        <w:pStyle w:val="ListBullet"/>
      </w:pPr>
      <w:r>
        <w:t xml:space="preserve">The patient specimen and order were processed and found satisfactory for testing. </w:t>
      </w:r>
    </w:p>
    <w:p w14:paraId="3E1EC299" w14:textId="77777777" w:rsidR="002A21AE" w:rsidRDefault="002A21AE">
      <w:pPr>
        <w:pStyle w:val="ListBullet"/>
      </w:pPr>
      <w:r>
        <w:t>The user selected one to four diagnostic and/or component tasks for testing from the Pending Task List (PTL).</w:t>
      </w:r>
    </w:p>
    <w:p w14:paraId="3D1C4DDC" w14:textId="77777777" w:rsidR="002A21AE" w:rsidRDefault="002A21AE">
      <w:pPr>
        <w:pStyle w:val="ListBullet"/>
      </w:pPr>
      <w:r>
        <w:t>The patient may or may not have a previous blood bank record. Previously saved VBECS data related to this patient are available for comparison with the user’s test results and interpretations.</w:t>
      </w:r>
    </w:p>
    <w:p w14:paraId="01E3C871" w14:textId="77777777" w:rsidR="002A21AE" w:rsidRDefault="002A21AE">
      <w:pPr>
        <w:pStyle w:val="Heading4"/>
      </w:pPr>
      <w:r>
        <w:t>Outcome</w:t>
      </w:r>
    </w:p>
    <w:p w14:paraId="1A8D5086" w14:textId="77777777" w:rsidR="002A21AE" w:rsidRDefault="002A21AE">
      <w:pPr>
        <w:pStyle w:val="ListBullet"/>
      </w:pPr>
      <w:r>
        <w:t>The test record was filed, is unique, and is retrievable for the life of VBECS.</w:t>
      </w:r>
    </w:p>
    <w:p w14:paraId="3A56E45F" w14:textId="77777777" w:rsidR="002A21AE" w:rsidRDefault="002A21AE">
      <w:pPr>
        <w:pStyle w:val="ListBullet"/>
      </w:pPr>
      <w:r>
        <w:t>Partially completed testing is available for completion or invalidation but is not available to the patient record or reports.</w:t>
      </w:r>
    </w:p>
    <w:p w14:paraId="3283EA21" w14:textId="77777777" w:rsidR="002A21AE" w:rsidRDefault="002A21AE">
      <w:pPr>
        <w:pStyle w:val="ListBullet"/>
      </w:pPr>
      <w:r>
        <w:t>Completed, current specimen test results are available for inclusion in various reports.</w:t>
      </w:r>
    </w:p>
    <w:p w14:paraId="09B9B0C2" w14:textId="77777777" w:rsidR="002A21AE" w:rsidRDefault="002A21AE">
      <w:pPr>
        <w:pStyle w:val="ListBullet"/>
      </w:pPr>
      <w:r>
        <w:t>VBECS changes the task status to “completed” and triggers the generation of a message to CPRS that the order is complete.</w:t>
      </w:r>
    </w:p>
    <w:p w14:paraId="33BEC1DE" w14:textId="77777777" w:rsidR="002A21AE" w:rsidRDefault="002A21AE">
      <w:pPr>
        <w:pStyle w:val="ListBullet"/>
      </w:pPr>
      <w:r>
        <w:t>The test record includes the details of the verified, completed testing.</w:t>
      </w:r>
    </w:p>
    <w:p w14:paraId="38202EC0" w14:textId="77777777" w:rsidR="002A21AE" w:rsidRDefault="002A21AE">
      <w:pPr>
        <w:pStyle w:val="Heading4"/>
      </w:pPr>
      <w:r>
        <w:t>Limitations and Restrictions</w:t>
      </w:r>
    </w:p>
    <w:p w14:paraId="45AE5211" w14:textId="77777777" w:rsidR="00D50784" w:rsidRDefault="00D50784" w:rsidP="00D50784">
      <w:pPr>
        <w:pStyle w:val="ListBullet"/>
      </w:pPr>
      <w:r>
        <w:t>This test record is not editable after the user completes a test and saves it to the database. When a correction needs to be filed, a corrected report must be generated, as described in Invalidating Patient Test Results.</w:t>
      </w:r>
    </w:p>
    <w:p w14:paraId="4B8F399B" w14:textId="77777777" w:rsidR="00E36CAB" w:rsidRDefault="00E36CAB" w:rsidP="00E36CAB">
      <w:pPr>
        <w:pStyle w:val="ListBullet"/>
      </w:pPr>
      <w:r>
        <w:t>User selection of partially completed testing grids with different phases of testing</w:t>
      </w:r>
      <w:r w:rsidRPr="008727C1">
        <w:t xml:space="preserve"> </w:t>
      </w:r>
      <w:r>
        <w:t xml:space="preserve">(All Phases or AHG Only) as previously selected creates a testing discrepancy in VBECS. </w:t>
      </w:r>
    </w:p>
    <w:p w14:paraId="50A1CA92" w14:textId="77777777" w:rsidR="00B90645" w:rsidRPr="000D669E" w:rsidRDefault="00E36CAB" w:rsidP="00E36CAB">
      <w:pPr>
        <w:pStyle w:val="ListBullet"/>
      </w:pPr>
      <w:r>
        <w:t>Limited batch testing to partially completed orders with the same testing grid selection, either All Phases or AHG Only.</w:t>
      </w:r>
      <w:r w:rsidR="00B90645">
        <w:t xml:space="preserve"> </w:t>
      </w:r>
      <w:r w:rsidR="00B90645">
        <w:rPr>
          <w:vanish/>
        </w:rPr>
        <w:t>DR 4218</w:t>
      </w:r>
    </w:p>
    <w:p w14:paraId="69E52604" w14:textId="6CAC25A9" w:rsidR="000D669E" w:rsidRDefault="000D669E" w:rsidP="00E36CAB">
      <w:pPr>
        <w:pStyle w:val="ListBullet"/>
      </w:pPr>
      <w:r>
        <w:t xml:space="preserve">VBECS cannot compare test results for a patient when two users are entering test results for the same patient at the same time. </w:t>
      </w:r>
      <w:r w:rsidRPr="000D669E">
        <w:rPr>
          <w:vanish/>
        </w:rPr>
        <w:t>DR 4817</w:t>
      </w:r>
    </w:p>
    <w:p w14:paraId="232DAF05" w14:textId="5A38761F" w:rsidR="00D141A2" w:rsidRDefault="00D141A2" w:rsidP="00E36CAB">
      <w:pPr>
        <w:pStyle w:val="ListBullet"/>
      </w:pPr>
      <w:r>
        <w:t xml:space="preserve">Cost entry is capped at 999.99. </w:t>
      </w:r>
      <w:r w:rsidRPr="00D141A2">
        <w:rPr>
          <w:vanish/>
        </w:rPr>
        <w:t>Defect 942523</w:t>
      </w:r>
    </w:p>
    <w:p w14:paraId="16F065A3" w14:textId="77777777" w:rsidR="002A21AE" w:rsidRDefault="002A21AE">
      <w:pPr>
        <w:pStyle w:val="Heading4"/>
      </w:pPr>
      <w:r>
        <w:t>Additional Information</w:t>
      </w:r>
    </w:p>
    <w:p w14:paraId="1F77CD32" w14:textId="77777777" w:rsidR="002A21AE" w:rsidRDefault="002A21AE">
      <w:pPr>
        <w:pStyle w:val="ListBullet"/>
      </w:pPr>
      <w:r>
        <w:t>Partially completed tests may be invalidated within the testing option.</w:t>
      </w:r>
    </w:p>
    <w:p w14:paraId="5207CCBB" w14:textId="77777777" w:rsidR="002A21AE" w:rsidRDefault="002A21AE">
      <w:pPr>
        <w:pStyle w:val="Heading4"/>
      </w:pPr>
      <w:r>
        <w:t>User Roles with Access to This Option</w:t>
      </w:r>
    </w:p>
    <w:p w14:paraId="10460C69" w14:textId="77777777" w:rsidR="00A937B3" w:rsidRDefault="00A937B3" w:rsidP="00A937B3">
      <w:pPr>
        <w:pStyle w:val="Roles"/>
        <w:rPr>
          <w:snapToGrid w:val="0"/>
        </w:rPr>
      </w:pPr>
      <w:r>
        <w:t>All users</w:t>
      </w:r>
    </w:p>
    <w:bookmarkEnd w:id="560"/>
    <w:p w14:paraId="6A56CFE4" w14:textId="77777777" w:rsidR="002A21AE" w:rsidRDefault="002A21AE">
      <w:pPr>
        <w:pStyle w:val="Heading4"/>
      </w:pPr>
      <w:r>
        <w:t xml:space="preserve">Patient Testing: </w:t>
      </w:r>
      <w:r w:rsidR="00260BEA">
        <w:t>General Instructions</w:t>
      </w:r>
    </w:p>
    <w:p w14:paraId="1F723D10" w14:textId="77777777" w:rsidR="002A21AE" w:rsidRDefault="002A21AE" w:rsidP="00FA7E65">
      <w:pPr>
        <w:pStyle w:val="BodyText"/>
      </w:pPr>
      <w:r>
        <w:t xml:space="preserve">A user records a patient’s test results: Type &amp; Screen (TAS), ABO/Rh, </w:t>
      </w:r>
      <w:r w:rsidR="008E2E30">
        <w:t>Antibody Screen Test (ABS)</w:t>
      </w:r>
      <w:r>
        <w:t>, Direct Antiglobulin Test (DAT), and crossmatches (XMs) on units selected for a patient. This option describes the configuration of reflex or repeat testing and patient antigen typing.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24D789E" w14:textId="77777777">
        <w:trPr>
          <w:cantSplit/>
          <w:tblHeader/>
        </w:trPr>
        <w:tc>
          <w:tcPr>
            <w:tcW w:w="3240" w:type="dxa"/>
            <w:shd w:val="pct30" w:color="auto" w:fill="FFFFFF"/>
            <w:vAlign w:val="bottom"/>
          </w:tcPr>
          <w:p w14:paraId="7C9D637A" w14:textId="77777777" w:rsidR="002A21AE" w:rsidRDefault="002A21AE">
            <w:pPr>
              <w:pStyle w:val="TableText"/>
              <w:rPr>
                <w:b/>
              </w:rPr>
            </w:pPr>
            <w:r>
              <w:rPr>
                <w:b/>
              </w:rPr>
              <w:lastRenderedPageBreak/>
              <w:t>User Action</w:t>
            </w:r>
          </w:p>
        </w:tc>
        <w:tc>
          <w:tcPr>
            <w:tcW w:w="6120" w:type="dxa"/>
            <w:shd w:val="pct30" w:color="auto" w:fill="FFFFFF"/>
            <w:vAlign w:val="bottom"/>
          </w:tcPr>
          <w:p w14:paraId="3CFE4944" w14:textId="77777777" w:rsidR="002A21AE" w:rsidRDefault="002A21AE">
            <w:pPr>
              <w:pStyle w:val="TableText"/>
              <w:rPr>
                <w:b/>
              </w:rPr>
            </w:pPr>
            <w:r>
              <w:rPr>
                <w:b/>
              </w:rPr>
              <w:t>VBECS</w:t>
            </w:r>
          </w:p>
        </w:tc>
      </w:tr>
      <w:tr w:rsidR="002A21AE" w14:paraId="2DA8175D" w14:textId="77777777">
        <w:tc>
          <w:tcPr>
            <w:tcW w:w="3240" w:type="dxa"/>
            <w:tcBorders>
              <w:top w:val="single" w:sz="4" w:space="0" w:color="auto"/>
              <w:left w:val="single" w:sz="4" w:space="0" w:color="auto"/>
              <w:bottom w:val="single" w:sz="4" w:space="0" w:color="auto"/>
              <w:right w:val="single" w:sz="4" w:space="0" w:color="auto"/>
            </w:tcBorders>
          </w:tcPr>
          <w:p w14:paraId="711900BD" w14:textId="77777777" w:rsidR="002A21AE" w:rsidRDefault="002A21AE">
            <w:pPr>
              <w:pStyle w:val="TableTextNumbers"/>
            </w:pPr>
            <w:r>
              <w:t xml:space="preserve">Select </w:t>
            </w:r>
            <w:r>
              <w:rPr>
                <w:b/>
              </w:rPr>
              <w:t>Patients</w:t>
            </w:r>
            <w:r>
              <w:t xml:space="preserve"> from the main menu.</w:t>
            </w:r>
          </w:p>
          <w:p w14:paraId="673E4D78" w14:textId="77777777" w:rsidR="002A21AE" w:rsidRDefault="002A21AE">
            <w:pPr>
              <w:pStyle w:val="TableTextNumbersContinued"/>
            </w:pPr>
          </w:p>
          <w:p w14:paraId="5C2EDA45" w14:textId="77777777" w:rsidR="002A21AE" w:rsidRDefault="002A21AE">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C787591" w14:textId="77777777" w:rsidR="002A21AE" w:rsidRDefault="002A21AE">
            <w:pPr>
              <w:pStyle w:val="TableTextBullet"/>
            </w:pPr>
            <w:r>
              <w:t xml:space="preserve">Displays options for processing patient-related functions. </w:t>
            </w:r>
          </w:p>
          <w:p w14:paraId="0442EFC1" w14:textId="77777777" w:rsidR="002A21AE" w:rsidRDefault="002A21AE">
            <w:pPr>
              <w:pStyle w:val="TableTextBullet"/>
            </w:pPr>
            <w:r>
              <w:t>Displays the Pending Task List (PTL) in the Diagnostic Tests tab.</w:t>
            </w:r>
          </w:p>
          <w:p w14:paraId="16F47BCF" w14:textId="77777777" w:rsidR="002A21AE" w:rsidRDefault="002A21AE">
            <w:pPr>
              <w:pStyle w:val="NotesText"/>
            </w:pPr>
          </w:p>
          <w:p w14:paraId="3C3E6C9F" w14:textId="379CF25A" w:rsidR="002A21AE" w:rsidRDefault="002A21AE">
            <w:pPr>
              <w:pStyle w:val="TableText"/>
              <w:rPr>
                <w:b/>
                <w:bCs/>
                <w:szCs w:val="18"/>
              </w:rPr>
            </w:pPr>
            <w:r>
              <w:rPr>
                <w:b/>
                <w:bCs/>
                <w:szCs w:val="18"/>
              </w:rPr>
              <w:t>NOTES</w:t>
            </w:r>
          </w:p>
          <w:p w14:paraId="41D9E0FC" w14:textId="77777777" w:rsidR="002A21AE" w:rsidRDefault="002A21AE">
            <w:pPr>
              <w:pStyle w:val="NotesText"/>
            </w:pPr>
          </w:p>
          <w:p w14:paraId="5E98F97D" w14:textId="77777777" w:rsidR="00CA495D" w:rsidRPr="00CA495D" w:rsidRDefault="002A21AE" w:rsidP="00CA495D">
            <w:pPr>
              <w:pStyle w:val="NotesText"/>
              <w:rPr>
                <w:snapToGrid w:val="0"/>
              </w:rPr>
            </w:pPr>
            <w:r>
              <w:t>A user may search for specific tasks using search criteria detailed in Pending Task List.</w:t>
            </w:r>
          </w:p>
        </w:tc>
      </w:tr>
      <w:tr w:rsidR="002A21AE" w14:paraId="3EDC2EE2" w14:textId="77777777">
        <w:tc>
          <w:tcPr>
            <w:tcW w:w="3240" w:type="dxa"/>
          </w:tcPr>
          <w:p w14:paraId="2495144B" w14:textId="611E1194" w:rsidR="002A21AE" w:rsidRDefault="002A21AE">
            <w:pPr>
              <w:pStyle w:val="TableTextNumbers"/>
            </w:pPr>
            <w:r>
              <w:t>Click one to four check boxes in the Pending Task List to select tasks for testing</w:t>
            </w:r>
            <w:r w:rsidR="00883DE9">
              <w:t xml:space="preserve"> (</w:t>
            </w:r>
            <w:r w:rsidR="00883DE9">
              <w:fldChar w:fldCharType="begin"/>
            </w:r>
            <w:r w:rsidR="00883DE9">
              <w:instrText xml:space="preserve"> REF _Ref126724192 \h </w:instrText>
            </w:r>
            <w:r w:rsidR="00883DE9">
              <w:fldChar w:fldCharType="separate"/>
            </w:r>
            <w:r w:rsidR="004353ED">
              <w:t xml:space="preserve">Figure </w:t>
            </w:r>
            <w:r w:rsidR="004353ED">
              <w:rPr>
                <w:noProof/>
              </w:rPr>
              <w:t>119</w:t>
            </w:r>
            <w:r w:rsidR="00883DE9">
              <w:fldChar w:fldCharType="end"/>
            </w:r>
            <w:r w:rsidR="00883DE9">
              <w:t>)</w:t>
            </w:r>
            <w:r>
              <w:t xml:space="preserve">. </w:t>
            </w:r>
          </w:p>
          <w:p w14:paraId="06383BFE" w14:textId="77777777" w:rsidR="002A21AE" w:rsidRDefault="002A21AE">
            <w:pPr>
              <w:pStyle w:val="TableTextNumbersContinued"/>
            </w:pPr>
          </w:p>
          <w:p w14:paraId="36624256" w14:textId="77777777" w:rsidR="002A21AE" w:rsidRDefault="002A21AE">
            <w:pPr>
              <w:pStyle w:val="TableTextNumbersContinued"/>
            </w:pPr>
            <w:r>
              <w:t xml:space="preserve">Click </w:t>
            </w:r>
            <w:r>
              <w:rPr>
                <w:b/>
              </w:rPr>
              <w:t>OK</w:t>
            </w:r>
            <w:r>
              <w:t>.</w:t>
            </w:r>
          </w:p>
        </w:tc>
        <w:tc>
          <w:tcPr>
            <w:tcW w:w="6120" w:type="dxa"/>
          </w:tcPr>
          <w:p w14:paraId="7297A685" w14:textId="77777777" w:rsidR="002A21AE" w:rsidRDefault="002A21AE">
            <w:pPr>
              <w:pStyle w:val="TableTextBullet"/>
            </w:pPr>
            <w:r>
              <w:t>Displays patient names and associated task information.</w:t>
            </w:r>
          </w:p>
        </w:tc>
      </w:tr>
      <w:tr w:rsidR="0091416B" w14:paraId="4E7D0DB9" w14:textId="77777777">
        <w:tc>
          <w:tcPr>
            <w:tcW w:w="3240" w:type="dxa"/>
          </w:tcPr>
          <w:p w14:paraId="1FFF639A" w14:textId="77777777" w:rsidR="0091416B" w:rsidRDefault="0091416B" w:rsidP="0091416B">
            <w:pPr>
              <w:pStyle w:val="TableTextNumbers"/>
            </w:pPr>
            <w:r>
              <w:t>Click a check box to select a reagent rack.</w:t>
            </w:r>
          </w:p>
          <w:p w14:paraId="239CDA12" w14:textId="77777777" w:rsidR="0091416B" w:rsidRDefault="0091416B" w:rsidP="0091416B">
            <w:pPr>
              <w:pStyle w:val="TableTextNumbersContinued"/>
            </w:pPr>
          </w:p>
          <w:p w14:paraId="5366B72F" w14:textId="72642857" w:rsidR="0091416B" w:rsidRDefault="0091416B" w:rsidP="0091416B">
            <w:pPr>
              <w:pStyle w:val="TableTextNumbersContinued"/>
            </w:pPr>
            <w:r>
              <w:t xml:space="preserve">In the ABS or XM Testing Phases area, click the </w:t>
            </w:r>
            <w:r w:rsidRPr="00F3010E">
              <w:rPr>
                <w:b/>
              </w:rPr>
              <w:t>All Phases</w:t>
            </w:r>
            <w:r>
              <w:t xml:space="preserve"> or </w:t>
            </w:r>
            <w:r w:rsidRPr="00F3010E">
              <w:rPr>
                <w:b/>
              </w:rPr>
              <w:t xml:space="preserve">AHG Only </w:t>
            </w:r>
            <w:r w:rsidRPr="00BF2E41">
              <w:t>radio button</w:t>
            </w:r>
            <w:r w:rsidR="00883DE9" w:rsidRPr="00883DE9">
              <w:t xml:space="preserve"> (</w:t>
            </w:r>
            <w:r w:rsidR="002A2E1E">
              <w:fldChar w:fldCharType="begin"/>
            </w:r>
            <w:r w:rsidR="002A2E1E">
              <w:instrText xml:space="preserve"> REF _Ref126726451 \h </w:instrText>
            </w:r>
            <w:r w:rsidR="002A2E1E">
              <w:fldChar w:fldCharType="separate"/>
            </w:r>
            <w:r w:rsidR="004353ED">
              <w:t xml:space="preserve">Figure </w:t>
            </w:r>
            <w:r w:rsidR="004353ED">
              <w:rPr>
                <w:noProof/>
              </w:rPr>
              <w:t>124</w:t>
            </w:r>
            <w:r w:rsidR="002A2E1E">
              <w:fldChar w:fldCharType="end"/>
            </w:r>
            <w:r w:rsidR="00883DE9" w:rsidRPr="00883DE9">
              <w:t>)</w:t>
            </w:r>
            <w:r>
              <w:t>.</w:t>
            </w:r>
          </w:p>
          <w:p w14:paraId="268E6D54" w14:textId="77777777" w:rsidR="0091416B" w:rsidRDefault="0091416B" w:rsidP="0091416B">
            <w:pPr>
              <w:pStyle w:val="TableTextNumbersContinued"/>
            </w:pPr>
          </w:p>
          <w:p w14:paraId="4104EE88" w14:textId="77777777" w:rsidR="0091416B" w:rsidRDefault="0091416B" w:rsidP="0091416B">
            <w:pPr>
              <w:pStyle w:val="TableTextNumbersContinued"/>
            </w:pPr>
            <w:r>
              <w:t xml:space="preserve">Click </w:t>
            </w:r>
            <w:r>
              <w:rPr>
                <w:b/>
              </w:rPr>
              <w:t>OK</w:t>
            </w:r>
            <w:r>
              <w:t xml:space="preserve"> to continue with testing.</w:t>
            </w:r>
          </w:p>
        </w:tc>
        <w:tc>
          <w:tcPr>
            <w:tcW w:w="6120" w:type="dxa"/>
          </w:tcPr>
          <w:p w14:paraId="753FA807" w14:textId="77777777" w:rsidR="0091416B" w:rsidRDefault="001467B6" w:rsidP="001467B6">
            <w:pPr>
              <w:pStyle w:val="TableTextBullet"/>
            </w:pPr>
            <w:r>
              <w:t>Allows the user to s</w:t>
            </w:r>
            <w:r w:rsidRPr="001467B6">
              <w:t xml:space="preserve">elect the All Phases </w:t>
            </w:r>
            <w:r w:rsidR="00D50784">
              <w:t>or</w:t>
            </w:r>
            <w:r w:rsidRPr="001467B6">
              <w:t xml:space="preserve"> AHG Only radio buttons only when </w:t>
            </w:r>
            <w:r>
              <w:t>applicable.</w:t>
            </w:r>
          </w:p>
          <w:p w14:paraId="261DFF78" w14:textId="77777777" w:rsidR="004A6E1E" w:rsidRDefault="004A6E1E" w:rsidP="004A6E1E">
            <w:pPr>
              <w:pStyle w:val="TableTextBullet"/>
            </w:pPr>
            <w:r>
              <w:t>Displays reagent rack names and associated information.</w:t>
            </w:r>
          </w:p>
          <w:p w14:paraId="67DE59DC" w14:textId="77777777" w:rsidR="004A6E1E" w:rsidRDefault="004A6E1E" w:rsidP="004A6E1E">
            <w:pPr>
              <w:pStyle w:val="TableTextBullet"/>
            </w:pPr>
            <w:r>
              <w:rPr>
                <w:rFonts w:cs="Arial"/>
                <w:vanish/>
              </w:rPr>
              <w:t xml:space="preserve">BR_56.15 </w:t>
            </w:r>
            <w:r>
              <w:t xml:space="preserve">Requires the user to select the </w:t>
            </w:r>
            <w:r w:rsidR="00DA7212">
              <w:t xml:space="preserve">reagent </w:t>
            </w:r>
            <w:r>
              <w:t>rack name</w:t>
            </w:r>
            <w:r w:rsidR="00DA7212">
              <w:t>. The testing</w:t>
            </w:r>
            <w:r>
              <w:t xml:space="preserve"> grid configuration </w:t>
            </w:r>
            <w:r w:rsidR="00DA7212">
              <w:t>for</w:t>
            </w:r>
            <w:r>
              <w:t xml:space="preserve"> serologic testing</w:t>
            </w:r>
            <w:r w:rsidR="00DA7212">
              <w:t xml:space="preserve"> defaults to the setting selected in the Configure Division option. The user is allowed </w:t>
            </w:r>
            <w:r>
              <w:t xml:space="preserve">to indicate whether an automated instrument was used. </w:t>
            </w:r>
          </w:p>
          <w:p w14:paraId="582A40C3" w14:textId="77777777" w:rsidR="004A6E1E" w:rsidRDefault="004A6E1E" w:rsidP="004A6E1E">
            <w:pPr>
              <w:pStyle w:val="TableTextBullet"/>
            </w:pPr>
            <w:r>
              <w:t>Displays the date and time testing was performed.</w:t>
            </w:r>
          </w:p>
          <w:p w14:paraId="68034BA2" w14:textId="77777777" w:rsidR="004A6E1E" w:rsidRDefault="004A6E1E" w:rsidP="004A6E1E">
            <w:pPr>
              <w:pStyle w:val="TableTextBullet"/>
            </w:pPr>
            <w:r>
              <w:t>Displays the testing technologist name.</w:t>
            </w:r>
          </w:p>
          <w:p w14:paraId="61797B0A" w14:textId="77777777" w:rsidR="001467B6" w:rsidRDefault="001467B6" w:rsidP="0091416B">
            <w:pPr>
              <w:pStyle w:val="TableText"/>
            </w:pPr>
          </w:p>
          <w:p w14:paraId="0C720BC6" w14:textId="1B0A42B6" w:rsidR="0091416B" w:rsidRDefault="0091416B" w:rsidP="0091416B">
            <w:pPr>
              <w:pStyle w:val="TableText"/>
              <w:rPr>
                <w:b/>
                <w:bCs/>
                <w:szCs w:val="18"/>
              </w:rPr>
            </w:pPr>
            <w:r>
              <w:rPr>
                <w:b/>
                <w:bCs/>
                <w:szCs w:val="18"/>
              </w:rPr>
              <w:t>NOTES</w:t>
            </w:r>
          </w:p>
          <w:p w14:paraId="0E3A55F1" w14:textId="77777777" w:rsidR="0091416B" w:rsidRDefault="0091416B" w:rsidP="0091416B">
            <w:pPr>
              <w:pStyle w:val="NotesText"/>
            </w:pPr>
          </w:p>
          <w:p w14:paraId="6EFFBC10" w14:textId="77777777" w:rsidR="0091416B" w:rsidRDefault="0091416B" w:rsidP="0091416B">
            <w:pPr>
              <w:pStyle w:val="NotesText"/>
            </w:pPr>
            <w:r>
              <w:rPr>
                <w:rFonts w:cs="Arial"/>
                <w:vanish/>
              </w:rPr>
              <w:t xml:space="preserve">BR_40.04 </w:t>
            </w:r>
            <w:r>
              <w:t xml:space="preserve">When the testing method selected is AHG only, VBECS </w:t>
            </w:r>
            <w:r w:rsidR="00B16403">
              <w:t xml:space="preserve">enables specific phases for </w:t>
            </w:r>
            <w:r>
              <w:t xml:space="preserve">the </w:t>
            </w:r>
            <w:r w:rsidR="00B16403">
              <w:t xml:space="preserve">ABS and XM </w:t>
            </w:r>
            <w:r>
              <w:t>data grid</w:t>
            </w:r>
            <w:r w:rsidR="00B16403">
              <w:t xml:space="preserve"> boxes for:</w:t>
            </w:r>
          </w:p>
          <w:p w14:paraId="63DEB6E2" w14:textId="77777777" w:rsidR="00B16403" w:rsidRDefault="00B16403" w:rsidP="000409B1">
            <w:pPr>
              <w:pStyle w:val="NotesText"/>
              <w:numPr>
                <w:ilvl w:val="0"/>
                <w:numId w:val="47"/>
              </w:numPr>
            </w:pPr>
            <w:r>
              <w:t xml:space="preserve">Antibody Screen (ABS): AHG phase </w:t>
            </w:r>
          </w:p>
          <w:p w14:paraId="721AECB7" w14:textId="77777777" w:rsidR="00B16403" w:rsidRDefault="00B16403" w:rsidP="000409B1">
            <w:pPr>
              <w:pStyle w:val="NotesText"/>
              <w:numPr>
                <w:ilvl w:val="0"/>
                <w:numId w:val="47"/>
              </w:numPr>
            </w:pPr>
            <w:r>
              <w:t xml:space="preserve">Serologic crossmatch (XM): IS and AHG phases </w:t>
            </w:r>
          </w:p>
          <w:p w14:paraId="0DF828E9" w14:textId="77777777" w:rsidR="004A6E1E" w:rsidRDefault="004A6E1E" w:rsidP="004A6E1E">
            <w:pPr>
              <w:pStyle w:val="NotesText"/>
            </w:pPr>
          </w:p>
          <w:p w14:paraId="04463303" w14:textId="77777777" w:rsidR="004A6E1E" w:rsidRDefault="004A6E1E" w:rsidP="004A6E1E">
            <w:pPr>
              <w:pStyle w:val="NotesText"/>
            </w:pPr>
            <w:r>
              <w:t>Rack configuration of AHG applies only to the antibody screen and crossmatch testing grids.</w:t>
            </w:r>
          </w:p>
          <w:p w14:paraId="141FAEB1" w14:textId="77777777" w:rsidR="004A6E1E" w:rsidRDefault="004A6E1E" w:rsidP="004A6E1E">
            <w:pPr>
              <w:pStyle w:val="NotesText"/>
            </w:pPr>
          </w:p>
          <w:p w14:paraId="1E7D8369" w14:textId="77777777" w:rsidR="004A6E1E" w:rsidRDefault="004A6E1E" w:rsidP="004A6E1E">
            <w:pPr>
              <w:pStyle w:val="NotesText"/>
            </w:pPr>
            <w:r>
              <w:t>The user may select another user’s name from the list, as appropriate.</w:t>
            </w:r>
            <w:r w:rsidR="00E36CAB">
              <w:t xml:space="preserve"> The logged on user’s name appears on the Testing Worklist Report as the Processing Tech in addition to the selected user name.</w:t>
            </w:r>
          </w:p>
          <w:p w14:paraId="50271515" w14:textId="77777777" w:rsidR="004A6E1E" w:rsidRDefault="004A6E1E" w:rsidP="004A6E1E">
            <w:pPr>
              <w:pStyle w:val="NotesText"/>
            </w:pPr>
          </w:p>
          <w:p w14:paraId="06609A7A" w14:textId="77777777" w:rsidR="004A6E1E" w:rsidRDefault="004A6E1E" w:rsidP="004A6E1E">
            <w:pPr>
              <w:pStyle w:val="NotesText"/>
            </w:pPr>
            <w:r>
              <w:t>The user may indicate that testing was performed at a past date and time.</w:t>
            </w:r>
          </w:p>
          <w:p w14:paraId="4312F79D" w14:textId="77777777" w:rsidR="004A6E1E" w:rsidRDefault="004A6E1E" w:rsidP="00906AE3">
            <w:pPr>
              <w:pStyle w:val="NotesText"/>
            </w:pPr>
          </w:p>
          <w:p w14:paraId="49B20BD7" w14:textId="1852EAE6" w:rsidR="004A6E1E" w:rsidRDefault="00906AE3" w:rsidP="00906AE3">
            <w:pPr>
              <w:pStyle w:val="NotesText"/>
            </w:pPr>
            <w:r w:rsidRPr="00896F17">
              <w:rPr>
                <w:rStyle w:val="BullhornChar"/>
              </w:rPr>
              <w:t></w:t>
            </w:r>
            <w:r w:rsidRPr="00C51C45">
              <w:t xml:space="preserve"> </w:t>
            </w:r>
            <w:r>
              <w:t xml:space="preserve">See </w:t>
            </w:r>
            <w:r>
              <w:fldChar w:fldCharType="begin"/>
            </w:r>
            <w:r>
              <w:instrText xml:space="preserve"> REF _Ref135568198 \h </w:instrText>
            </w:r>
            <w:r>
              <w:fldChar w:fldCharType="separate"/>
            </w:r>
            <w:r w:rsidR="004353ED">
              <w:t xml:space="preserve">Table </w:t>
            </w:r>
            <w:r w:rsidR="004353ED">
              <w:rPr>
                <w:noProof/>
              </w:rPr>
              <w:t>10</w:t>
            </w:r>
            <w:r>
              <w:fldChar w:fldCharType="end"/>
            </w:r>
            <w:r w:rsidR="003D71A3">
              <w:t xml:space="preserve"> </w:t>
            </w:r>
            <w:r w:rsidR="004A6E1E">
              <w:t>for alerts that may occur during this option.</w:t>
            </w:r>
          </w:p>
        </w:tc>
      </w:tr>
      <w:tr w:rsidR="002A21AE" w14:paraId="2CE52011" w14:textId="77777777">
        <w:tc>
          <w:tcPr>
            <w:tcW w:w="3240" w:type="dxa"/>
          </w:tcPr>
          <w:p w14:paraId="2E844B26" w14:textId="77777777" w:rsidR="002A21AE" w:rsidRDefault="002A21AE">
            <w:pPr>
              <w:pStyle w:val="TableTextNumbers"/>
            </w:pPr>
            <w:r>
              <w:t xml:space="preserve">Respond to warnings, which may include entering a comment and details, and click </w:t>
            </w:r>
            <w:r>
              <w:rPr>
                <w:b/>
              </w:rPr>
              <w:t>OK</w:t>
            </w:r>
            <w:r>
              <w:t xml:space="preserve"> to continue. </w:t>
            </w:r>
          </w:p>
        </w:tc>
        <w:tc>
          <w:tcPr>
            <w:tcW w:w="6120" w:type="dxa"/>
          </w:tcPr>
          <w:p w14:paraId="2443BB96" w14:textId="77777777" w:rsidR="002A21AE" w:rsidRDefault="004D3195">
            <w:pPr>
              <w:pStyle w:val="TableTextBullet"/>
            </w:pPr>
            <w:r w:rsidRPr="00323744">
              <w:rPr>
                <w:rStyle w:val="BullhornChar"/>
              </w:rPr>
              <w:t></w:t>
            </w:r>
            <w:r>
              <w:rPr>
                <w:rFonts w:ascii="Webdings" w:hAnsi="Webdings"/>
              </w:rPr>
              <w:t></w:t>
            </w:r>
            <w:r w:rsidR="002A21AE">
              <w:t xml:space="preserve">Displays </w:t>
            </w:r>
            <w:r w:rsidR="00057948">
              <w:rPr>
                <w:noProof/>
              </w:rPr>
              <w:drawing>
                <wp:inline distT="0" distB="0" distL="0" distR="0" wp14:anchorId="200E056E" wp14:editId="54F31B7C">
                  <wp:extent cx="156845" cy="156845"/>
                  <wp:effectExtent l="0" t="0" r="0" b="0"/>
                  <wp:docPr id="237" name="Picture 237"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and emits an audible alert when there are SIs or TRs for the patient.</w:t>
            </w:r>
          </w:p>
          <w:p w14:paraId="5580279B" w14:textId="77777777" w:rsidR="002A21AE" w:rsidRDefault="002A21AE">
            <w:pPr>
              <w:pStyle w:val="TableTextBullet"/>
            </w:pPr>
            <w:r>
              <w:t xml:space="preserve">Prepares a direct data entry </w:t>
            </w:r>
            <w:r w:rsidR="00917E9F">
              <w:t xml:space="preserve">(DDE) </w:t>
            </w:r>
            <w:r>
              <w:t>grid for the user to enter the serologic reaction results for testing associated with the selected tasks.</w:t>
            </w:r>
          </w:p>
          <w:p w14:paraId="307C5567" w14:textId="77777777" w:rsidR="002A21AE" w:rsidRDefault="002A21AE">
            <w:pPr>
              <w:pStyle w:val="TableTextBullet"/>
            </w:pPr>
            <w:r>
              <w:t>Displays testing results and entered interpretations until the user saves them.</w:t>
            </w:r>
          </w:p>
        </w:tc>
      </w:tr>
      <w:tr w:rsidR="002A21AE" w14:paraId="26CD53DA" w14:textId="77777777">
        <w:tc>
          <w:tcPr>
            <w:tcW w:w="3240" w:type="dxa"/>
          </w:tcPr>
          <w:p w14:paraId="6D0C093C" w14:textId="3FE33F57" w:rsidR="00287C4D" w:rsidRDefault="00287C4D">
            <w:pPr>
              <w:pStyle w:val="TableTextNumbers"/>
            </w:pPr>
            <w:r>
              <w:t>Select a patient to begin entering his serologic reactions</w:t>
            </w:r>
            <w:r w:rsidR="002A2E1E">
              <w:t xml:space="preserve"> (</w:t>
            </w:r>
            <w:r w:rsidR="00B1560A">
              <w:fldChar w:fldCharType="begin"/>
            </w:r>
            <w:r w:rsidR="00B1560A">
              <w:instrText xml:space="preserve"> REF _Ref135568298 \h </w:instrText>
            </w:r>
            <w:r w:rsidR="00B1560A">
              <w:fldChar w:fldCharType="separate"/>
            </w:r>
            <w:r w:rsidR="004353ED">
              <w:t xml:space="preserve">Figure </w:t>
            </w:r>
            <w:r w:rsidR="004353ED">
              <w:rPr>
                <w:noProof/>
              </w:rPr>
              <w:t>125</w:t>
            </w:r>
            <w:r w:rsidR="00B1560A">
              <w:fldChar w:fldCharType="end"/>
            </w:r>
            <w:r w:rsidR="002A2E1E">
              <w:t>)</w:t>
            </w:r>
            <w:r>
              <w:t>.</w:t>
            </w:r>
          </w:p>
          <w:p w14:paraId="01CB3391" w14:textId="77777777" w:rsidR="00287C4D" w:rsidRDefault="00287C4D" w:rsidP="00287C4D">
            <w:pPr>
              <w:pStyle w:val="TableTextNumbersContinued"/>
            </w:pPr>
          </w:p>
          <w:p w14:paraId="6B860363" w14:textId="77777777" w:rsidR="002A21AE" w:rsidRDefault="002A21AE" w:rsidP="00287C4D">
            <w:pPr>
              <w:pStyle w:val="TableTextNumbersContinued"/>
            </w:pPr>
            <w:r>
              <w:lastRenderedPageBreak/>
              <w:t>Repeat this step for each selected patient until all test results and interpretations are entered in the test grid.</w:t>
            </w:r>
          </w:p>
        </w:tc>
        <w:tc>
          <w:tcPr>
            <w:tcW w:w="6120" w:type="dxa"/>
          </w:tcPr>
          <w:p w14:paraId="0F3CD246" w14:textId="77777777" w:rsidR="00287C4D" w:rsidRDefault="00287C4D" w:rsidP="00287C4D">
            <w:pPr>
              <w:pStyle w:val="TableTextBullet"/>
            </w:pPr>
            <w:r>
              <w:lastRenderedPageBreak/>
              <w:t xml:space="preserve">Allows the user to select one patient at a time and enter a test result for that patient. </w:t>
            </w:r>
          </w:p>
          <w:p w14:paraId="2B5B81CD" w14:textId="77777777" w:rsidR="00287C4D" w:rsidRDefault="00287C4D" w:rsidP="00287C4D">
            <w:pPr>
              <w:pStyle w:val="TableTextBullet"/>
            </w:pPr>
            <w:r>
              <w:t xml:space="preserve">Allows only valid data entries in the grid reaction result and interpretation cells. </w:t>
            </w:r>
          </w:p>
          <w:p w14:paraId="708F5C0D" w14:textId="77777777" w:rsidR="002A21AE" w:rsidRDefault="002A21AE">
            <w:pPr>
              <w:pStyle w:val="TableTextBullet"/>
            </w:pPr>
            <w:r>
              <w:rPr>
                <w:rFonts w:cs="Arial"/>
                <w:vanish/>
              </w:rPr>
              <w:t xml:space="preserve">BR_56.02 </w:t>
            </w:r>
            <w:r>
              <w:t xml:space="preserve">Allows a user to save </w:t>
            </w:r>
            <w:r w:rsidR="00F0003E">
              <w:t xml:space="preserve">partially completed tests. </w:t>
            </w:r>
          </w:p>
          <w:p w14:paraId="46CB62F9" w14:textId="77777777" w:rsidR="002A21AE" w:rsidRDefault="002A21AE">
            <w:pPr>
              <w:pStyle w:val="TableTextBullet"/>
            </w:pPr>
            <w:r>
              <w:lastRenderedPageBreak/>
              <w:t xml:space="preserve">When the user enters interpretation data, allows the save with or without warnings and overrides based on the test results entered for the patient and the user’s </w:t>
            </w:r>
            <w:r w:rsidR="00082F78">
              <w:t>security level</w:t>
            </w:r>
            <w:r>
              <w:t xml:space="preserve">. </w:t>
            </w:r>
          </w:p>
          <w:p w14:paraId="03A0B4DD" w14:textId="77777777" w:rsidR="002A21AE" w:rsidRDefault="002A21AE">
            <w:pPr>
              <w:pStyle w:val="TableText"/>
            </w:pPr>
          </w:p>
          <w:p w14:paraId="474743EC" w14:textId="73ADF5B0" w:rsidR="002A21AE" w:rsidRDefault="002A21AE">
            <w:pPr>
              <w:pStyle w:val="TableText"/>
              <w:rPr>
                <w:b/>
                <w:bCs/>
                <w:szCs w:val="18"/>
              </w:rPr>
            </w:pPr>
            <w:r>
              <w:rPr>
                <w:b/>
                <w:bCs/>
                <w:szCs w:val="18"/>
              </w:rPr>
              <w:t>NOTES</w:t>
            </w:r>
          </w:p>
          <w:p w14:paraId="14059312" w14:textId="77777777" w:rsidR="002A21AE" w:rsidRDefault="002A21AE">
            <w:pPr>
              <w:pStyle w:val="NotesText"/>
            </w:pPr>
          </w:p>
          <w:p w14:paraId="34E7E751" w14:textId="77777777" w:rsidR="00F0003E" w:rsidRDefault="002A21AE" w:rsidP="00F0003E">
            <w:pPr>
              <w:pStyle w:val="NotesText"/>
            </w:pPr>
            <w:r>
              <w:t>The user may order a reflex test and may update the patient’s TRs and SIs.</w:t>
            </w:r>
          </w:p>
          <w:p w14:paraId="3FA1D6BB" w14:textId="77777777" w:rsidR="00F0003E" w:rsidRDefault="00F0003E" w:rsidP="00F0003E">
            <w:pPr>
              <w:pStyle w:val="NotesText"/>
            </w:pPr>
          </w:p>
          <w:p w14:paraId="3EB7A8A3" w14:textId="77777777" w:rsidR="002A21AE" w:rsidRDefault="00F0003E" w:rsidP="00F0003E">
            <w:pPr>
              <w:pStyle w:val="NotesText"/>
            </w:pPr>
            <w:r>
              <w:rPr>
                <w:vanish/>
              </w:rPr>
              <w:t xml:space="preserve">BR_56.02 </w:t>
            </w:r>
            <w:r>
              <w:t>The ABO and Rh tests are considered one test and must be resulted together before a save is permitted.</w:t>
            </w:r>
            <w:r w:rsidR="002A21AE">
              <w:t xml:space="preserve"> </w:t>
            </w:r>
          </w:p>
        </w:tc>
      </w:tr>
      <w:tr w:rsidR="002A21AE" w14:paraId="5B1F1640" w14:textId="77777777">
        <w:tc>
          <w:tcPr>
            <w:tcW w:w="3240" w:type="dxa"/>
          </w:tcPr>
          <w:p w14:paraId="2E16957B" w14:textId="77777777" w:rsidR="002A21AE" w:rsidRDefault="002A21AE">
            <w:pPr>
              <w:pStyle w:val="TableTextNumbers"/>
            </w:pPr>
            <w:r>
              <w:lastRenderedPageBreak/>
              <w:t xml:space="preserve">Respond to warnings for the selected patient and confirm that appropriate test results were entered. </w:t>
            </w:r>
          </w:p>
          <w:p w14:paraId="33716DDF" w14:textId="77777777" w:rsidR="002A21AE" w:rsidRDefault="002A21AE">
            <w:pPr>
              <w:pStyle w:val="TableTextNumbersContinued"/>
            </w:pPr>
          </w:p>
          <w:p w14:paraId="2190C3DA" w14:textId="77777777" w:rsidR="002A21AE" w:rsidRDefault="002A21AE">
            <w:pPr>
              <w:pStyle w:val="TableTextNumbersContinued"/>
            </w:pPr>
            <w:r>
              <w:t>Repeat Steps 5–6 for each patient until all patient work is saved.</w:t>
            </w:r>
          </w:p>
        </w:tc>
        <w:tc>
          <w:tcPr>
            <w:tcW w:w="6120" w:type="dxa"/>
          </w:tcPr>
          <w:p w14:paraId="49B652BE" w14:textId="77777777" w:rsidR="002A21AE" w:rsidRDefault="002A21AE">
            <w:pPr>
              <w:pStyle w:val="TableTextBullet"/>
            </w:pPr>
            <w:r>
              <w:rPr>
                <w:rFonts w:cs="Arial"/>
                <w:vanish/>
              </w:rPr>
              <w:t xml:space="preserve">BR_56.05 </w:t>
            </w:r>
            <w:r>
              <w:t xml:space="preserve">When a user enters a valid interpretation and saves it for a test, updates the order status to “completed.” </w:t>
            </w:r>
          </w:p>
          <w:p w14:paraId="729126FA" w14:textId="77777777" w:rsidR="002A21AE" w:rsidRDefault="002A21AE">
            <w:pPr>
              <w:pStyle w:val="TableTextBullet"/>
            </w:pPr>
            <w:r>
              <w:rPr>
                <w:rFonts w:cs="Arial"/>
                <w:vanish/>
              </w:rPr>
              <w:t xml:space="preserve">BR_56.11 </w:t>
            </w:r>
            <w:r>
              <w:t>Displays each patient’s data for review before allowing the user to save them.</w:t>
            </w:r>
          </w:p>
          <w:p w14:paraId="45912A7F" w14:textId="77777777" w:rsidR="002A21AE" w:rsidRDefault="002A21AE">
            <w:pPr>
              <w:pStyle w:val="TableTextBullet"/>
            </w:pPr>
            <w:r>
              <w:t>Saves patient testing results for retrieval from completed tests.</w:t>
            </w:r>
          </w:p>
          <w:p w14:paraId="6D1836B5" w14:textId="77777777" w:rsidR="002A21AE" w:rsidRDefault="002A21AE">
            <w:pPr>
              <w:pStyle w:val="TableTextBullet"/>
            </w:pPr>
            <w:r>
              <w:t>Saves only the patient testing displayed.</w:t>
            </w:r>
          </w:p>
          <w:p w14:paraId="54F79F29" w14:textId="77777777" w:rsidR="002A21AE" w:rsidRDefault="002A21AE">
            <w:pPr>
              <w:pStyle w:val="TableText"/>
              <w:rPr>
                <w:b/>
                <w:bCs/>
                <w:szCs w:val="18"/>
              </w:rPr>
            </w:pPr>
          </w:p>
          <w:p w14:paraId="3AA1C6D4" w14:textId="73B75C44" w:rsidR="002A21AE" w:rsidRDefault="002A21AE">
            <w:pPr>
              <w:pStyle w:val="TableText"/>
              <w:rPr>
                <w:b/>
                <w:bCs/>
                <w:szCs w:val="18"/>
              </w:rPr>
            </w:pPr>
            <w:r>
              <w:rPr>
                <w:b/>
                <w:bCs/>
                <w:szCs w:val="18"/>
              </w:rPr>
              <w:t>NOTES</w:t>
            </w:r>
          </w:p>
          <w:p w14:paraId="6B55922C" w14:textId="77777777" w:rsidR="002A21AE" w:rsidRDefault="002A21AE">
            <w:pPr>
              <w:pStyle w:val="NotesText"/>
            </w:pPr>
          </w:p>
          <w:p w14:paraId="4CD5960C" w14:textId="77777777" w:rsidR="002A21AE" w:rsidRDefault="002A21AE">
            <w:pPr>
              <w:pStyle w:val="NotesText"/>
            </w:pPr>
            <w:r>
              <w:rPr>
                <w:rFonts w:cs="Arial"/>
                <w:vanish/>
              </w:rPr>
              <w:t xml:space="preserve">BR_56.04 </w:t>
            </w:r>
            <w:r>
              <w:t>The user may save part or all of one patient’s testing results at a time. When all data for a patient are saved, the patient tab is no longer visible.</w:t>
            </w:r>
          </w:p>
          <w:p w14:paraId="38EA3223" w14:textId="77777777" w:rsidR="002A21AE" w:rsidRDefault="002A21AE">
            <w:pPr>
              <w:pStyle w:val="NotesText"/>
            </w:pPr>
          </w:p>
          <w:p w14:paraId="0B923226" w14:textId="77777777" w:rsidR="002A21AE" w:rsidRDefault="002A21AE">
            <w:pPr>
              <w:pStyle w:val="NotesText"/>
            </w:pPr>
            <w:r>
              <w:rPr>
                <w:rFonts w:cs="Arial"/>
                <w:vanish/>
              </w:rPr>
              <w:t xml:space="preserve">BR_56.27 </w:t>
            </w:r>
            <w:r>
              <w:t xml:space="preserve">When a user saves a test with a “correction” task status, VBECS saves the results and interpretations and adds </w:t>
            </w:r>
            <w:r w:rsidR="00EB2CC3">
              <w:t>a</w:t>
            </w:r>
            <w:r>
              <w:t xml:space="preserve"> comment </w:t>
            </w:r>
            <w:r w:rsidR="00EB2CC3">
              <w:t>to the Testing Worklist Report</w:t>
            </w:r>
            <w:r>
              <w:t xml:space="preserve">. </w:t>
            </w:r>
          </w:p>
          <w:p w14:paraId="029A8F96" w14:textId="77777777" w:rsidR="00587EE2" w:rsidRDefault="00587EE2">
            <w:pPr>
              <w:pStyle w:val="NotesText"/>
              <w:rPr>
                <w:rFonts w:cs="Arial"/>
                <w:spacing w:val="-5"/>
              </w:rPr>
            </w:pPr>
          </w:p>
          <w:p w14:paraId="7E830E4F" w14:textId="683EBAB9" w:rsidR="00587EE2" w:rsidRDefault="00587EE2">
            <w:pPr>
              <w:pStyle w:val="NotesText"/>
              <w:rPr>
                <w:rFonts w:cs="Arial"/>
                <w:spacing w:val="-5"/>
              </w:rPr>
            </w:pPr>
            <w:r w:rsidRPr="00587EE2">
              <w:rPr>
                <w:rFonts w:cs="Arial"/>
                <w:vanish/>
                <w:spacing w:val="-5"/>
              </w:rPr>
              <w:t xml:space="preserve">BR_56.30 </w:t>
            </w:r>
            <w:r>
              <w:rPr>
                <w:rFonts w:cs="Arial"/>
                <w:spacing w:val="-5"/>
              </w:rPr>
              <w:t>VBECS sends an order completion message to CPRS w</w:t>
            </w:r>
            <w:r w:rsidRPr="009B6526">
              <w:rPr>
                <w:rFonts w:cs="Arial"/>
                <w:spacing w:val="-5"/>
              </w:rPr>
              <w:t xml:space="preserve">hen the user </w:t>
            </w:r>
            <w:r>
              <w:rPr>
                <w:rFonts w:cs="Arial"/>
                <w:spacing w:val="-5"/>
              </w:rPr>
              <w:t>enters</w:t>
            </w:r>
            <w:r w:rsidRPr="009B6526">
              <w:rPr>
                <w:rFonts w:cs="Arial"/>
                <w:spacing w:val="-5"/>
              </w:rPr>
              <w:t xml:space="preserve"> and successfully save</w:t>
            </w:r>
            <w:r>
              <w:rPr>
                <w:rFonts w:cs="Arial"/>
                <w:spacing w:val="-5"/>
              </w:rPr>
              <w:t>s</w:t>
            </w:r>
            <w:r w:rsidRPr="009B6526">
              <w:rPr>
                <w:rFonts w:cs="Arial"/>
                <w:spacing w:val="-5"/>
              </w:rPr>
              <w:t xml:space="preserve"> all test results and interpretations for </w:t>
            </w:r>
            <w:r>
              <w:rPr>
                <w:rFonts w:cs="Arial"/>
                <w:spacing w:val="-5"/>
              </w:rPr>
              <w:t xml:space="preserve">a </w:t>
            </w:r>
            <w:r w:rsidRPr="009B6526">
              <w:rPr>
                <w:rFonts w:cs="Arial"/>
                <w:spacing w:val="-5"/>
              </w:rPr>
              <w:t>diagnostic test</w:t>
            </w:r>
            <w:r>
              <w:rPr>
                <w:rFonts w:cs="Arial"/>
                <w:spacing w:val="-5"/>
              </w:rPr>
              <w:t>.</w:t>
            </w:r>
            <w:r w:rsidRPr="00587EE2">
              <w:rPr>
                <w:rFonts w:cs="Arial"/>
                <w:vanish/>
                <w:spacing w:val="-5"/>
              </w:rPr>
              <w:t>DR 2,869</w:t>
            </w:r>
          </w:p>
          <w:p w14:paraId="498E3814" w14:textId="700A2E2E" w:rsidR="00AF6F7F" w:rsidRDefault="00AF6F7F">
            <w:pPr>
              <w:pStyle w:val="NotesText"/>
              <w:rPr>
                <w:rFonts w:cs="Arial"/>
                <w:spacing w:val="-5"/>
              </w:rPr>
            </w:pPr>
          </w:p>
          <w:p w14:paraId="519A8F86" w14:textId="3467E65B" w:rsidR="00AF6F7F" w:rsidRDefault="00AF6F7F">
            <w:pPr>
              <w:pStyle w:val="NotesText"/>
              <w:rPr>
                <w:rFonts w:cs="Arial"/>
                <w:spacing w:val="-5"/>
              </w:rPr>
            </w:pPr>
            <w:r w:rsidRPr="00AF6F7F">
              <w:rPr>
                <w:vanish/>
              </w:rPr>
              <w:t xml:space="preserve">BR_53.08 </w:t>
            </w:r>
            <w:r>
              <w:t xml:space="preserve">If the antibody screen is positive, the system shall emit an audible alert and warning that displays </w:t>
            </w:r>
            <w:r w:rsidRPr="00DD6184">
              <w:t>Patient has a POSITIVE Antibody Screen Result. Please perform Antibody Identification on this patient prior to issue of blood components</w:t>
            </w:r>
            <w:r>
              <w:t>.</w:t>
            </w:r>
          </w:p>
          <w:p w14:paraId="04C8DBF9" w14:textId="77777777" w:rsidR="00587EE2" w:rsidRDefault="00587EE2">
            <w:pPr>
              <w:pStyle w:val="NotesText"/>
            </w:pPr>
          </w:p>
          <w:p w14:paraId="28AB9FD2" w14:textId="77777777" w:rsidR="002A21AE" w:rsidRDefault="00EC7489" w:rsidP="00EC7489">
            <w:pPr>
              <w:pStyle w:val="NotesText"/>
            </w:pPr>
            <w:r w:rsidRPr="00323744">
              <w:rPr>
                <w:rStyle w:val="BullhornChar"/>
              </w:rPr>
              <w:t></w:t>
            </w:r>
            <w:r>
              <w:rPr>
                <w:rFonts w:ascii="Webdings" w:hAnsi="Webdings"/>
              </w:rPr>
              <w:t></w:t>
            </w:r>
            <w:r w:rsidR="002A21AE">
              <w:t>May display multiple warning and override messages for the user’s response.</w:t>
            </w:r>
          </w:p>
        </w:tc>
      </w:tr>
      <w:tr w:rsidR="002A21AE" w14:paraId="0DF6204A" w14:textId="77777777">
        <w:tc>
          <w:tcPr>
            <w:tcW w:w="3240" w:type="dxa"/>
          </w:tcPr>
          <w:p w14:paraId="52A582B8" w14:textId="77777777" w:rsidR="002A21AE" w:rsidRDefault="002A21AE">
            <w:pPr>
              <w:pStyle w:val="TableTextNumbers"/>
            </w:pPr>
            <w:r>
              <w:t xml:space="preserve">When the selected patient testing is complete, click </w:t>
            </w:r>
            <w:r>
              <w:rPr>
                <w:b/>
              </w:rPr>
              <w:t>OK</w:t>
            </w:r>
            <w:r>
              <w:t xml:space="preserve"> and </w:t>
            </w:r>
            <w:r>
              <w:rPr>
                <w:b/>
              </w:rPr>
              <w:t>Yes</w:t>
            </w:r>
            <w:r>
              <w:t xml:space="preserve"> to confirm changes and continue to the next patient,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61" w:author="Blalock, David (Leidos)" w:date="2020-06-15T14:09:00Z" w:original="0."/>
              </w:fldChar>
            </w:r>
          </w:p>
        </w:tc>
        <w:tc>
          <w:tcPr>
            <w:tcW w:w="6120" w:type="dxa"/>
          </w:tcPr>
          <w:p w14:paraId="3294B525" w14:textId="77777777" w:rsidR="002A21AE" w:rsidRDefault="002A21AE">
            <w:pPr>
              <w:pStyle w:val="TableText"/>
            </w:pPr>
            <w:r>
              <w:t xml:space="preserve"> </w:t>
            </w:r>
          </w:p>
        </w:tc>
      </w:tr>
    </w:tbl>
    <w:p w14:paraId="3641742D" w14:textId="0910F8F9" w:rsidR="007810A1" w:rsidRDefault="002A2E1E" w:rsidP="007810A1">
      <w:pPr>
        <w:pStyle w:val="Caption"/>
      </w:pPr>
      <w:bookmarkStart w:id="562" w:name="_Ref12672645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124</w:t>
      </w:r>
      <w:r w:rsidR="004E20BD">
        <w:rPr>
          <w:noProof/>
        </w:rPr>
        <w:fldChar w:fldCharType="end"/>
      </w:r>
      <w:bookmarkEnd w:id="562"/>
      <w:r>
        <w:t>: Testing Details</w:t>
      </w:r>
      <w:bookmarkStart w:id="563" w:name="_Ref126726602"/>
    </w:p>
    <w:p w14:paraId="0812AC28" w14:textId="77777777" w:rsidR="007810A1" w:rsidRPr="007810A1" w:rsidRDefault="00057948" w:rsidP="00D327A3">
      <w:pPr>
        <w:pStyle w:val="BodyText"/>
      </w:pPr>
      <w:r>
        <w:rPr>
          <w:noProof/>
        </w:rPr>
        <w:drawing>
          <wp:inline distT="0" distB="0" distL="0" distR="0" wp14:anchorId="4AFCD5CA" wp14:editId="5AFD7BA4">
            <wp:extent cx="4322445" cy="2964815"/>
            <wp:effectExtent l="0" t="0" r="1905" b="6985"/>
            <wp:docPr id="238" name="Picture 2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a:extLst>
                        <a:ext uri="{C183D7F6-B498-43B3-948B-1728B52AA6E4}">
                          <adec:decorative xmlns:adec="http://schemas.microsoft.com/office/drawing/2017/decorative" val="1"/>
                        </a:ext>
                      </a:extLst>
                    </pic:cNvPr>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4322445" cy="2964815"/>
                    </a:xfrm>
                    <a:prstGeom prst="rect">
                      <a:avLst/>
                    </a:prstGeom>
                    <a:noFill/>
                    <a:ln>
                      <a:noFill/>
                    </a:ln>
                  </pic:spPr>
                </pic:pic>
              </a:graphicData>
            </a:graphic>
          </wp:inline>
        </w:drawing>
      </w:r>
    </w:p>
    <w:p w14:paraId="4F632AC9" w14:textId="61B34AEB" w:rsidR="002A2E1E" w:rsidRDefault="002A2E1E" w:rsidP="007810A1">
      <w:pPr>
        <w:pStyle w:val="Caption"/>
      </w:pPr>
      <w:bookmarkStart w:id="564" w:name="_Ref13556829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125</w:t>
      </w:r>
      <w:r w:rsidR="004E20BD">
        <w:rPr>
          <w:noProof/>
        </w:rPr>
        <w:fldChar w:fldCharType="end"/>
      </w:r>
      <w:bookmarkEnd w:id="563"/>
      <w:bookmarkEnd w:id="564"/>
      <w:r>
        <w:t>: Patient Testing</w:t>
      </w:r>
    </w:p>
    <w:p w14:paraId="2A6D39F6" w14:textId="77777777" w:rsidR="002A2E1E" w:rsidRPr="006A0A4A" w:rsidRDefault="00057948" w:rsidP="007810A1">
      <w:pPr>
        <w:pStyle w:val="BodyText"/>
      </w:pPr>
      <w:r>
        <w:rPr>
          <w:noProof/>
        </w:rPr>
        <w:drawing>
          <wp:inline distT="0" distB="0" distL="0" distR="0" wp14:anchorId="5368F009" wp14:editId="497D3BE3">
            <wp:extent cx="5939155" cy="4433570"/>
            <wp:effectExtent l="0" t="0" r="4445" b="5080"/>
            <wp:docPr id="239" name="Picture 2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a:extLst>
                        <a:ext uri="{C183D7F6-B498-43B3-948B-1728B52AA6E4}">
                          <adec:decorative xmlns:adec="http://schemas.microsoft.com/office/drawing/2017/decorative" val="1"/>
                        </a:ext>
                      </a:extLst>
                    </pic:cNvPr>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939155" cy="4433570"/>
                    </a:xfrm>
                    <a:prstGeom prst="rect">
                      <a:avLst/>
                    </a:prstGeom>
                    <a:noFill/>
                    <a:ln>
                      <a:noFill/>
                    </a:ln>
                  </pic:spPr>
                </pic:pic>
              </a:graphicData>
            </a:graphic>
          </wp:inline>
        </w:drawing>
      </w:r>
    </w:p>
    <w:p w14:paraId="3B555D25" w14:textId="77777777" w:rsidR="007810A1" w:rsidRDefault="007810A1" w:rsidP="007810A1">
      <w:pPr>
        <w:pStyle w:val="Heading4"/>
      </w:pPr>
      <w:bookmarkStart w:id="565" w:name="_Ref126504310"/>
      <w:bookmarkStart w:id="566" w:name="_Toc97523624"/>
      <w:bookmarkStart w:id="567" w:name="_Toc97527594"/>
      <w:r w:rsidRPr="00323744">
        <w:rPr>
          <w:rStyle w:val="BullhornChar"/>
        </w:rPr>
        <w:t></w:t>
      </w:r>
      <w:r>
        <w:rPr>
          <w:rFonts w:ascii="Webdings" w:hAnsi="Webdings"/>
        </w:rPr>
        <w:t></w:t>
      </w:r>
      <w:r>
        <w:t>Alerts</w:t>
      </w:r>
    </w:p>
    <w:p w14:paraId="54E338EB" w14:textId="51D9CF0F" w:rsidR="002A21AE" w:rsidRDefault="002A21AE">
      <w:pPr>
        <w:pStyle w:val="Caption"/>
      </w:pPr>
      <w:bookmarkStart w:id="568" w:name="_Ref13556819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10</w:t>
      </w:r>
      <w:r w:rsidR="004E20BD">
        <w:rPr>
          <w:noProof/>
        </w:rPr>
        <w:fldChar w:fldCharType="end"/>
      </w:r>
      <w:bookmarkEnd w:id="565"/>
      <w:bookmarkEnd w:id="568"/>
      <w:r>
        <w:t xml:space="preserve">: Alerts That May Occur in Patient Testing: </w:t>
      </w:r>
      <w:bookmarkEnd w:id="566"/>
      <w:bookmarkEnd w:id="567"/>
      <w:r w:rsidR="00260BEA">
        <w:t>General Instructions</w:t>
      </w:r>
      <w:r>
        <w:fldChar w:fldCharType="begin"/>
      </w:r>
      <w:r>
        <w:instrText xml:space="preserve"> XE </w:instrText>
      </w:r>
      <w:r w:rsidR="00FA7E65">
        <w:instrText>“</w:instrText>
      </w:r>
      <w:r>
        <w:instrText>Tables:Alerts That May Occur in Patient Testing:</w:instrText>
      </w:r>
      <w:r w:rsidR="00580422">
        <w:instrText xml:space="preserve"> </w:instrText>
      </w:r>
      <w:r w:rsidR="00260BEA">
        <w:instrText>General Instructions</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5471DFCC" w14:textId="77777777">
        <w:trPr>
          <w:tblHeader/>
        </w:trPr>
        <w:tc>
          <w:tcPr>
            <w:tcW w:w="780" w:type="dxa"/>
            <w:shd w:val="clear" w:color="auto" w:fill="B3B3B3"/>
          </w:tcPr>
          <w:p w14:paraId="2C0B7F77" w14:textId="77777777" w:rsidR="002A21AE" w:rsidRDefault="00DB3377">
            <w:pPr>
              <w:pStyle w:val="TableText"/>
              <w:rPr>
                <w:b/>
              </w:rPr>
            </w:pPr>
            <w:r>
              <w:rPr>
                <w:b/>
              </w:rPr>
              <w:t>User Action Step</w:t>
            </w:r>
          </w:p>
        </w:tc>
        <w:tc>
          <w:tcPr>
            <w:tcW w:w="8580" w:type="dxa"/>
            <w:shd w:val="clear" w:color="auto" w:fill="B3B3B3"/>
          </w:tcPr>
          <w:p w14:paraId="5025C7E1" w14:textId="77777777" w:rsidR="002A21AE" w:rsidRDefault="002A21AE">
            <w:pPr>
              <w:pStyle w:val="TableText"/>
              <w:rPr>
                <w:b/>
              </w:rPr>
            </w:pPr>
            <w:r>
              <w:rPr>
                <w:b/>
              </w:rPr>
              <w:t>Alerts</w:t>
            </w:r>
          </w:p>
        </w:tc>
      </w:tr>
      <w:tr w:rsidR="002A21AE" w14:paraId="3C87A336" w14:textId="77777777">
        <w:tblPrEx>
          <w:tblLook w:val="0000" w:firstRow="0" w:lastRow="0" w:firstColumn="0" w:lastColumn="0" w:noHBand="0" w:noVBand="0"/>
        </w:tblPrEx>
        <w:tc>
          <w:tcPr>
            <w:tcW w:w="780" w:type="dxa"/>
          </w:tcPr>
          <w:p w14:paraId="2FA385E1" w14:textId="77777777" w:rsidR="002A21AE" w:rsidRDefault="002A21AE">
            <w:pPr>
              <w:pStyle w:val="TableText"/>
            </w:pPr>
            <w:r>
              <w:t>4</w:t>
            </w:r>
          </w:p>
        </w:tc>
        <w:tc>
          <w:tcPr>
            <w:tcW w:w="8580" w:type="dxa"/>
          </w:tcPr>
          <w:p w14:paraId="2F53CA60" w14:textId="77777777" w:rsidR="002A21AE" w:rsidRDefault="002A21AE" w:rsidP="00D64D63">
            <w:pPr>
              <w:pStyle w:val="TableText"/>
            </w:pPr>
            <w:r w:rsidRPr="001D6391">
              <w:rPr>
                <w:vanish/>
              </w:rPr>
              <w:t xml:space="preserve">BR_41.04 </w:t>
            </w:r>
            <w:r>
              <w:t xml:space="preserve">When the division is configured as “full service” in </w:t>
            </w:r>
            <w:r w:rsidR="00D567C9">
              <w:t>Configure Division</w:t>
            </w:r>
            <w:r>
              <w:t xml:space="preserve">, VBECS displays data fields for the user to select or enter the lot number, and displays the manufacturer and expiration date of each antiserum to be used in this transaction to allow the user to choose the correct antiserum. VBECS displays in-date antisera and allows the user to select outdated antisera, if needed, emits an audible alert, and requires an override. VBECS captures details for inclusion in an Exception Report (exception type: expired antisera used). </w:t>
            </w:r>
          </w:p>
        </w:tc>
      </w:tr>
      <w:tr w:rsidR="002A21AE" w14:paraId="67F64162" w14:textId="77777777">
        <w:tblPrEx>
          <w:tblLook w:val="0000" w:firstRow="0" w:lastRow="0" w:firstColumn="0" w:lastColumn="0" w:noHBand="0" w:noVBand="0"/>
        </w:tblPrEx>
        <w:tc>
          <w:tcPr>
            <w:tcW w:w="780" w:type="dxa"/>
          </w:tcPr>
          <w:p w14:paraId="3A8D1C65" w14:textId="77777777" w:rsidR="002A21AE" w:rsidRDefault="002A21AE">
            <w:pPr>
              <w:pStyle w:val="TableText"/>
            </w:pPr>
            <w:r>
              <w:t>5</w:t>
            </w:r>
          </w:p>
        </w:tc>
        <w:tc>
          <w:tcPr>
            <w:tcW w:w="8580" w:type="dxa"/>
          </w:tcPr>
          <w:p w14:paraId="528716FF" w14:textId="77777777" w:rsidR="002A21AE" w:rsidRDefault="002A21AE">
            <w:pPr>
              <w:pStyle w:val="TableText"/>
            </w:pPr>
            <w:r>
              <w:rPr>
                <w:rFonts w:cs="Arial"/>
                <w:vanish/>
              </w:rPr>
              <w:t xml:space="preserve">BR_56.03 </w:t>
            </w:r>
            <w:r>
              <w:t>The user may cancel or delete a partially</w:t>
            </w:r>
            <w:r>
              <w:rPr>
                <w:b/>
              </w:rPr>
              <w:t xml:space="preserve"> </w:t>
            </w:r>
            <w:r>
              <w:t>completed grid. VBECS:</w:t>
            </w:r>
          </w:p>
          <w:p w14:paraId="238A1958" w14:textId="77777777" w:rsidR="002A21AE" w:rsidRDefault="002A21AE">
            <w:pPr>
              <w:pStyle w:val="TableTextBullet"/>
            </w:pPr>
            <w:r>
              <w:t xml:space="preserve">Emits an audible alert and requires a comment. </w:t>
            </w:r>
          </w:p>
          <w:p w14:paraId="03FAFD3E" w14:textId="77777777" w:rsidR="002A21AE" w:rsidRDefault="002A21AE">
            <w:pPr>
              <w:pStyle w:val="TableTextBullet"/>
            </w:pPr>
            <w:r>
              <w:t>Clears previously entered observed results from the data grid and allows the user to enter new data.</w:t>
            </w:r>
          </w:p>
          <w:p w14:paraId="4ED1F6CF" w14:textId="00B87384" w:rsidR="002A21AE" w:rsidRDefault="002A21AE" w:rsidP="00BE7839">
            <w:pPr>
              <w:pStyle w:val="TableTextBullet"/>
            </w:pPr>
            <w:r>
              <w:t xml:space="preserve">Captures details for inclusion in an Exception Report (exception type: previously recorded results invalidated). </w:t>
            </w:r>
            <w:r w:rsidR="00BE7839">
              <w:t>Note that t</w:t>
            </w:r>
            <w:r w:rsidR="00C46644">
              <w:t>he time displayed in the "Date/T</w:t>
            </w:r>
            <w:r w:rsidR="00BE7839" w:rsidRPr="00BE7839">
              <w:t>ime results invalidated" field is the time the results were entered.</w:t>
            </w:r>
            <w:r w:rsidR="00244AD3">
              <w:t xml:space="preserve"> </w:t>
            </w:r>
            <w:r w:rsidR="00244AD3" w:rsidRPr="00244AD3">
              <w:rPr>
                <w:vanish/>
              </w:rPr>
              <w:t>Defect 209618</w:t>
            </w:r>
          </w:p>
        </w:tc>
      </w:tr>
      <w:tr w:rsidR="002A21AE" w14:paraId="443468A2" w14:textId="77777777">
        <w:tblPrEx>
          <w:tblLook w:val="0000" w:firstRow="0" w:lastRow="0" w:firstColumn="0" w:lastColumn="0" w:noHBand="0" w:noVBand="0"/>
        </w:tblPrEx>
        <w:tc>
          <w:tcPr>
            <w:tcW w:w="780" w:type="dxa"/>
          </w:tcPr>
          <w:p w14:paraId="6D3732CD" w14:textId="77777777" w:rsidR="002A21AE" w:rsidRDefault="002A21AE">
            <w:pPr>
              <w:pStyle w:val="TableText"/>
            </w:pPr>
            <w:r>
              <w:t>6</w:t>
            </w:r>
          </w:p>
        </w:tc>
        <w:tc>
          <w:tcPr>
            <w:tcW w:w="8580" w:type="dxa"/>
          </w:tcPr>
          <w:p w14:paraId="79A4D961" w14:textId="77777777" w:rsidR="002A21AE" w:rsidRDefault="002A21AE">
            <w:pPr>
              <w:pStyle w:val="TableText"/>
            </w:pPr>
            <w:r>
              <w:rPr>
                <w:rFonts w:cs="Arial"/>
                <w:vanish/>
              </w:rPr>
              <w:t xml:space="preserve">BR_56.01 </w:t>
            </w:r>
            <w:r>
              <w:t>Warns that the user is saving the first instance of a historic ABO/Rh.</w:t>
            </w:r>
          </w:p>
        </w:tc>
      </w:tr>
      <w:tr w:rsidR="002A21AE" w14:paraId="66EF6146" w14:textId="77777777">
        <w:tblPrEx>
          <w:tblLook w:val="0000" w:firstRow="0" w:lastRow="0" w:firstColumn="0" w:lastColumn="0" w:noHBand="0" w:noVBand="0"/>
        </w:tblPrEx>
        <w:tc>
          <w:tcPr>
            <w:tcW w:w="780" w:type="dxa"/>
          </w:tcPr>
          <w:p w14:paraId="299ED536" w14:textId="77777777" w:rsidR="002A21AE" w:rsidRDefault="002A21AE">
            <w:pPr>
              <w:pStyle w:val="TableText"/>
            </w:pPr>
            <w:r>
              <w:lastRenderedPageBreak/>
              <w:t>6</w:t>
            </w:r>
          </w:p>
        </w:tc>
        <w:tc>
          <w:tcPr>
            <w:tcW w:w="8580" w:type="dxa"/>
          </w:tcPr>
          <w:p w14:paraId="4D664199" w14:textId="77777777" w:rsidR="004254A3" w:rsidRDefault="002A21AE">
            <w:pPr>
              <w:pStyle w:val="TableText"/>
            </w:pPr>
            <w:r>
              <w:rPr>
                <w:rFonts w:cs="Arial"/>
                <w:vanish/>
              </w:rPr>
              <w:t xml:space="preserve">BR_56.12 </w:t>
            </w:r>
            <w:r>
              <w:t xml:space="preserve">When the ABO/Rh interpretation matches observed results, is not inconclusive, and does not match the patient’s historic ABO/Rh (if any, including from database conversion), VBECS emits an audible alert, warns that the current ABO/Rh does not match previous results, and instructs the user to enter a comment to continue, or click </w:t>
            </w:r>
            <w:r>
              <w:rPr>
                <w:b/>
              </w:rPr>
              <w:t>Cancel</w:t>
            </w:r>
            <w:r>
              <w:t xml:space="preserve"> to clear the ABO/Rh testing results and interpretation from the screen. VBECS captures details for inclusion in an Exception Report (exception type: ABO/Rh discrepancy).</w:t>
            </w:r>
          </w:p>
        </w:tc>
      </w:tr>
      <w:tr w:rsidR="002A21AE" w14:paraId="5CFE5F7E" w14:textId="77777777">
        <w:tblPrEx>
          <w:tblLook w:val="0000" w:firstRow="0" w:lastRow="0" w:firstColumn="0" w:lastColumn="0" w:noHBand="0" w:noVBand="0"/>
        </w:tblPrEx>
        <w:tc>
          <w:tcPr>
            <w:tcW w:w="780" w:type="dxa"/>
          </w:tcPr>
          <w:p w14:paraId="08739A57" w14:textId="77777777" w:rsidR="002A21AE" w:rsidRDefault="002A21AE">
            <w:pPr>
              <w:pStyle w:val="TableText"/>
            </w:pPr>
            <w:r>
              <w:t>6</w:t>
            </w:r>
          </w:p>
        </w:tc>
        <w:tc>
          <w:tcPr>
            <w:tcW w:w="8580" w:type="dxa"/>
          </w:tcPr>
          <w:p w14:paraId="55F4C243" w14:textId="77777777" w:rsidR="002A21AE" w:rsidRDefault="002A21AE">
            <w:pPr>
              <w:pStyle w:val="TableText"/>
            </w:pPr>
            <w:r>
              <w:rPr>
                <w:rFonts w:cs="Arial"/>
                <w:vanish/>
                <w:szCs w:val="18"/>
              </w:rPr>
              <w:t>BR_56.16</w:t>
            </w:r>
            <w:r w:rsidR="00CE3961">
              <w:rPr>
                <w:rFonts w:cs="Arial"/>
                <w:vanish/>
                <w:szCs w:val="18"/>
              </w:rPr>
              <w:t>,</w:t>
            </w:r>
            <w:r>
              <w:rPr>
                <w:rFonts w:cs="Arial"/>
                <w:vanish/>
                <w:szCs w:val="18"/>
              </w:rPr>
              <w:t xml:space="preserve"> </w:t>
            </w:r>
            <w:r>
              <w:rPr>
                <w:vanish/>
                <w:szCs w:val="18"/>
              </w:rPr>
              <w:t xml:space="preserve">BR_56.28 </w:t>
            </w:r>
            <w:r>
              <w:t>When the interpretation of a repeat ABO/Rh does not match the original interpretation, VBECS:</w:t>
            </w:r>
          </w:p>
          <w:p w14:paraId="29CD6932" w14:textId="77777777" w:rsidR="002A21AE" w:rsidRDefault="002A21AE">
            <w:pPr>
              <w:pStyle w:val="TableTextBullet"/>
            </w:pPr>
            <w:r>
              <w:t>Verifies the retest results.</w:t>
            </w:r>
          </w:p>
          <w:p w14:paraId="4849695F" w14:textId="77777777" w:rsidR="002A21AE" w:rsidRDefault="002A21AE">
            <w:pPr>
              <w:pStyle w:val="TableTextBullet"/>
            </w:pPr>
            <w:r>
              <w:t>Emits an audible alert and warns the user.</w:t>
            </w:r>
          </w:p>
          <w:p w14:paraId="435C42EB" w14:textId="77777777" w:rsidR="002A21AE" w:rsidRDefault="002A21AE">
            <w:pPr>
              <w:pStyle w:val="TableTextBullet"/>
            </w:pPr>
            <w:r>
              <w:t>Instructs the user to resolve the discrepancy before the specimen may be used.</w:t>
            </w:r>
          </w:p>
          <w:p w14:paraId="4580104E" w14:textId="77777777" w:rsidR="002A21AE" w:rsidRDefault="002A21AE">
            <w:pPr>
              <w:pStyle w:val="TableTextBullet"/>
            </w:pPr>
            <w:r>
              <w:t xml:space="preserve">Asks whether the user wishes to continue to save. </w:t>
            </w:r>
            <w:r>
              <w:rPr>
                <w:b/>
              </w:rPr>
              <w:t>No</w:t>
            </w:r>
            <w:r>
              <w:t xml:space="preserve"> clears the ABO/Rh testing results and interpretation from the screen. </w:t>
            </w:r>
            <w:r>
              <w:rPr>
                <w:b/>
              </w:rPr>
              <w:t>Yes</w:t>
            </w:r>
            <w:r>
              <w:t xml:space="preserve"> requires a comment and captures details for inclusion in an Exception Report (Exception type: ABO/Rh discrepancy). </w:t>
            </w:r>
          </w:p>
        </w:tc>
      </w:tr>
      <w:tr w:rsidR="002A21AE" w14:paraId="36D964E0" w14:textId="77777777">
        <w:tblPrEx>
          <w:tblLook w:val="0000" w:firstRow="0" w:lastRow="0" w:firstColumn="0" w:lastColumn="0" w:noHBand="0" w:noVBand="0"/>
        </w:tblPrEx>
        <w:tc>
          <w:tcPr>
            <w:tcW w:w="780" w:type="dxa"/>
          </w:tcPr>
          <w:p w14:paraId="25A258D7" w14:textId="77777777" w:rsidR="002A21AE" w:rsidRDefault="002A21AE">
            <w:pPr>
              <w:pStyle w:val="TableText"/>
            </w:pPr>
            <w:r>
              <w:t>6</w:t>
            </w:r>
          </w:p>
        </w:tc>
        <w:tc>
          <w:tcPr>
            <w:tcW w:w="8580" w:type="dxa"/>
          </w:tcPr>
          <w:p w14:paraId="6036F171" w14:textId="77777777" w:rsidR="003F73CA" w:rsidRPr="003F73CA" w:rsidRDefault="002A21AE">
            <w:pPr>
              <w:pStyle w:val="TableText"/>
            </w:pPr>
            <w:r>
              <w:rPr>
                <w:rFonts w:cs="Arial"/>
                <w:vanish/>
              </w:rPr>
              <w:t xml:space="preserve">BR_56.19 </w:t>
            </w:r>
            <w:r>
              <w:t>When a user documents an ABO/Rh discrepancy, VBECS releases units with “assigned” and “crossmatched” statuses associated with this specimen from the patient.</w:t>
            </w:r>
          </w:p>
        </w:tc>
      </w:tr>
      <w:tr w:rsidR="002A21AE" w14:paraId="4210B19B" w14:textId="77777777">
        <w:tblPrEx>
          <w:tblLook w:val="0000" w:firstRow="0" w:lastRow="0" w:firstColumn="0" w:lastColumn="0" w:noHBand="0" w:noVBand="0"/>
        </w:tblPrEx>
        <w:tc>
          <w:tcPr>
            <w:tcW w:w="780" w:type="dxa"/>
          </w:tcPr>
          <w:p w14:paraId="4CFFC3A2" w14:textId="77777777" w:rsidR="002A21AE" w:rsidRDefault="002A21AE">
            <w:pPr>
              <w:pStyle w:val="TableText"/>
            </w:pPr>
            <w:r>
              <w:t>6</w:t>
            </w:r>
          </w:p>
        </w:tc>
        <w:tc>
          <w:tcPr>
            <w:tcW w:w="8580" w:type="dxa"/>
          </w:tcPr>
          <w:p w14:paraId="0B010B07" w14:textId="77777777" w:rsidR="002A21AE" w:rsidRDefault="002A21AE" w:rsidP="00003BE9">
            <w:pPr>
              <w:pStyle w:val="TableText"/>
            </w:pPr>
            <w:r>
              <w:rPr>
                <w:rFonts w:cs="Arial"/>
                <w:vanish/>
              </w:rPr>
              <w:t xml:space="preserve">BR_56.29 </w:t>
            </w:r>
            <w:r>
              <w:t>When a unit was issued and a conflicting test result found that indicates a potential unit incompatibility with the patient, such as a patient ABO/Rh discrepancy, the unit XM is incompatible with the patient, the patient ABS is positive, the patient DAT is positive, or the unit is antigen positive where antigen negative is required on the tested specimen, VBECS warns the user and instructs him to notify the physician of this potential problem immediately, according to hospital policy. VBECS warns the user during the execution of the various tests related to the compatibility of a blood unit and captures details for inclusion in an Exception Report (exception type: unit issued, testing problem).</w:t>
            </w:r>
            <w:r w:rsidR="004C53EA">
              <w:t xml:space="preserve"> </w:t>
            </w:r>
          </w:p>
        </w:tc>
      </w:tr>
      <w:tr w:rsidR="00AF6F7F" w14:paraId="355A4EB8" w14:textId="77777777">
        <w:tblPrEx>
          <w:tblLook w:val="0000" w:firstRow="0" w:lastRow="0" w:firstColumn="0" w:lastColumn="0" w:noHBand="0" w:noVBand="0"/>
        </w:tblPrEx>
        <w:tc>
          <w:tcPr>
            <w:tcW w:w="780" w:type="dxa"/>
          </w:tcPr>
          <w:p w14:paraId="76237CF0" w14:textId="648AB977" w:rsidR="00AF6F7F" w:rsidRDefault="00AF6F7F">
            <w:pPr>
              <w:pStyle w:val="TableText"/>
            </w:pPr>
            <w:r>
              <w:t>6</w:t>
            </w:r>
          </w:p>
        </w:tc>
        <w:tc>
          <w:tcPr>
            <w:tcW w:w="8580" w:type="dxa"/>
          </w:tcPr>
          <w:p w14:paraId="4A7CEB43" w14:textId="1AEEE4D3" w:rsidR="00AF6F7F" w:rsidRDefault="00460566" w:rsidP="00003BE9">
            <w:pPr>
              <w:pStyle w:val="TableText"/>
              <w:rPr>
                <w:rFonts w:cs="Arial"/>
                <w:vanish/>
              </w:rPr>
            </w:pPr>
            <w:r w:rsidRPr="00460566">
              <w:rPr>
                <w:vanish/>
              </w:rPr>
              <w:t xml:space="preserve">BR_53.08 </w:t>
            </w:r>
            <w:r w:rsidR="00AF6F7F">
              <w:t xml:space="preserve">If the antibody screen is positive, the system shall emit an audible alert and warning that displays </w:t>
            </w:r>
            <w:r w:rsidR="00AF6F7F" w:rsidRPr="00DD6184">
              <w:t>Patient has a POSITIVE Antibody Screen Result. Please perform Antibody Identification on this patient prior to issue of blood components</w:t>
            </w:r>
            <w:r w:rsidR="00AF6F7F">
              <w:t>.</w:t>
            </w:r>
          </w:p>
        </w:tc>
      </w:tr>
    </w:tbl>
    <w:p w14:paraId="157A6BA4" w14:textId="77777777" w:rsidR="0072673B" w:rsidRDefault="0072673B">
      <w:pPr>
        <w:pStyle w:val="Heading3"/>
      </w:pPr>
    </w:p>
    <w:p w14:paraId="14802E60" w14:textId="77777777" w:rsidR="002A21AE" w:rsidRDefault="0072673B" w:rsidP="0072673B">
      <w:pPr>
        <w:pStyle w:val="Heading3"/>
      </w:pPr>
      <w:r>
        <w:br w:type="page"/>
      </w:r>
      <w:bookmarkStart w:id="569" w:name="_Toc47516756"/>
      <w:r w:rsidR="002A21AE">
        <w:lastRenderedPageBreak/>
        <w:t>Patient Testing: Record a Patient ABO/Rh</w:t>
      </w:r>
      <w:bookmarkEnd w:id="569"/>
      <w:r w:rsidR="002A21AE">
        <w:fldChar w:fldCharType="begin"/>
      </w:r>
      <w:r w:rsidR="002A21AE">
        <w:instrText xml:space="preserve"> XE </w:instrText>
      </w:r>
      <w:r w:rsidR="00FA7E65">
        <w:instrText>“</w:instrText>
      </w:r>
      <w:r w:rsidR="002A21AE">
        <w:instrText>Patient Testing\: Record a Patient ABO/Rh</w:instrText>
      </w:r>
      <w:r w:rsidR="00FA7E65">
        <w:instrText>”</w:instrText>
      </w:r>
      <w:r w:rsidR="002A21AE">
        <w:instrText xml:space="preserve"> </w:instrText>
      </w:r>
      <w:r w:rsidR="002A21AE">
        <w:fldChar w:fldCharType="end"/>
      </w:r>
      <w:r w:rsidR="002A21AE">
        <w:t xml:space="preserve"> </w:t>
      </w:r>
      <w:r w:rsidR="002A21AE">
        <w:rPr>
          <w:vanish/>
          <w:sz w:val="22"/>
        </w:rPr>
        <w:t>UC_52</w:t>
      </w:r>
    </w:p>
    <w:p w14:paraId="147FCA68" w14:textId="77777777" w:rsidR="002A21AE" w:rsidRDefault="002A21AE" w:rsidP="00FA7E65">
      <w:pPr>
        <w:pStyle w:val="BodyText"/>
      </w:pPr>
      <w:r>
        <w:t xml:space="preserve">The user records observed results when performing ABO/Rh blood typing. </w:t>
      </w:r>
    </w:p>
    <w:p w14:paraId="0584ADBC" w14:textId="77777777" w:rsidR="002A21AE" w:rsidRDefault="002A21AE">
      <w:pPr>
        <w:pStyle w:val="Heading4"/>
      </w:pPr>
      <w:r>
        <w:t>Assumptions</w:t>
      </w:r>
    </w:p>
    <w:p w14:paraId="4E09B061" w14:textId="77777777" w:rsidR="002A21AE" w:rsidRDefault="002A21AE">
      <w:pPr>
        <w:pStyle w:val="ListBullet"/>
      </w:pPr>
      <w:r>
        <w:t xml:space="preserve">A CPRS order exists that includes an ABO/Rh typing [ABO/Rh Test or Type &amp; Screen (TAS)]. </w:t>
      </w:r>
    </w:p>
    <w:p w14:paraId="64C06416" w14:textId="77777777" w:rsidR="002A21AE" w:rsidRDefault="002A21AE">
      <w:pPr>
        <w:pStyle w:val="ListBullet"/>
      </w:pPr>
      <w:r>
        <w:t>The user accesses patient ABO/Rh grids through Patient Testing: Record Patient Test Results.</w:t>
      </w:r>
    </w:p>
    <w:p w14:paraId="43CC7A95" w14:textId="77777777" w:rsidR="0083516B" w:rsidRPr="0083516B" w:rsidRDefault="002A21AE" w:rsidP="0083516B">
      <w:pPr>
        <w:pStyle w:val="Heading4"/>
      </w:pPr>
      <w:r>
        <w:t>Outcome</w:t>
      </w:r>
    </w:p>
    <w:p w14:paraId="168770C3" w14:textId="77777777" w:rsidR="002A21AE" w:rsidRDefault="002A21AE">
      <w:pPr>
        <w:pStyle w:val="ListBullet"/>
      </w:pPr>
      <w:r>
        <w:t>The ABO/Rh result is used to determine overall blood component compatibility.</w:t>
      </w:r>
    </w:p>
    <w:p w14:paraId="64FD9904" w14:textId="77777777" w:rsidR="002A21AE" w:rsidRDefault="002A21AE">
      <w:pPr>
        <w:pStyle w:val="ListBullet"/>
      </w:pPr>
      <w:r>
        <w:t>When ABO/Rh is ordered as a stand-alone test, VBECS changes the task status to “completed” and triggers the generation of a message to CPRS that the order is completed.</w:t>
      </w:r>
    </w:p>
    <w:p w14:paraId="6FE426C9" w14:textId="77777777" w:rsidR="002A21AE" w:rsidRDefault="002A21AE">
      <w:pPr>
        <w:pStyle w:val="Heading4"/>
      </w:pPr>
      <w:r>
        <w:t>Limitations and Restrictions</w:t>
      </w:r>
    </w:p>
    <w:p w14:paraId="1EB0E249" w14:textId="0370EEA4" w:rsidR="00CD1B8C" w:rsidRDefault="0084410F" w:rsidP="00CD1B8C">
      <w:pPr>
        <w:pStyle w:val="ListBullet"/>
      </w:pPr>
      <w:r>
        <w:t>VBECS does not allow entry of ABO or Rh subgroups as a 'group' and/or 'type' when the previous blood group/type is "NR", indicating no recor</w:t>
      </w:r>
      <w:r w:rsidR="00CD1B8C">
        <w:t>d of previous testing.  S</w:t>
      </w:r>
      <w:r>
        <w:t xml:space="preserve">ee </w:t>
      </w:r>
      <w:r w:rsidR="00376944">
        <w:t>FAQ</w:t>
      </w:r>
      <w:r>
        <w:t xml:space="preserve"> ABO Subgroup Interpretation </w:t>
      </w:r>
      <w:r w:rsidR="00C230C9">
        <w:t xml:space="preserve">and contact the </w:t>
      </w:r>
      <w:r w:rsidR="00CD1B8C">
        <w:t>Service Desk for assistance, prior to adding patient transfusion records in VBECS, when possible.</w:t>
      </w:r>
      <w:r w:rsidR="00CD1B8C" w:rsidRPr="00CD1B8C">
        <w:rPr>
          <w:vanish/>
        </w:rPr>
        <w:t xml:space="preserve"> Defect 368207</w:t>
      </w:r>
    </w:p>
    <w:p w14:paraId="02E5C857" w14:textId="506CB7FF" w:rsidR="00FE415F" w:rsidRDefault="00FE415F" w:rsidP="00FE415F">
      <w:pPr>
        <w:pStyle w:val="ListBullet"/>
      </w:pPr>
      <w:r>
        <w:t>When the patient has no previous ABO/Rh test record (NR), the ABO/Rh test associated with th</w:t>
      </w:r>
      <w:r w:rsidR="008C75A6">
        <w:t>e</w:t>
      </w:r>
      <w:r>
        <w:t xml:space="preserve"> Type and Screen test (TAS) must be completed and saved prior to entering and saving a repeat ABO/Rh test on this specimen. </w:t>
      </w:r>
      <w:r w:rsidRPr="00FE415F">
        <w:rPr>
          <w:vanish/>
        </w:rPr>
        <w:t>Defect 231531</w:t>
      </w:r>
      <w:r w:rsidR="003B0CE2">
        <w:rPr>
          <w:vanish/>
        </w:rPr>
        <w:t>, Task 474043</w:t>
      </w:r>
    </w:p>
    <w:p w14:paraId="75DB8661" w14:textId="5BCEFD3D" w:rsidR="00E06C13" w:rsidRDefault="00D25068" w:rsidP="00D25068">
      <w:pPr>
        <w:pStyle w:val="ListBullet"/>
      </w:pPr>
      <w:r w:rsidRPr="00D25068">
        <w:t>A user is permitted to select two partially completed tests with different test phases (e.g., AHG only and All Phases) along with a not started test. The testing phase for the not started test will present as AHG only even though results for all phases are required by VBECS. Entering only AHG test results for the specimen that was not started and saving will result in a partially completed test that cannot be completed or invalidated.</w:t>
      </w:r>
      <w:r>
        <w:t xml:space="preserve"> Contact the Service Desk when you encounter this problem. Specimens that cannot be completed or invalidated require the attention of Tier 3 support. Select partially completed orders that have been previously saved with the same grid test pattern. Optionally, a not started test may be selected with these but must be tested with the same grid pattern to avoid the problem.</w:t>
      </w:r>
      <w:r w:rsidR="00201A45">
        <w:t xml:space="preserve"> </w:t>
      </w:r>
      <w:r w:rsidR="00201A45" w:rsidRPr="007E05D6">
        <w:rPr>
          <w:vanish/>
        </w:rPr>
        <w:t>Defect 210048</w:t>
      </w:r>
    </w:p>
    <w:p w14:paraId="2ED5FBC1" w14:textId="406D86D9" w:rsidR="007E05D6" w:rsidRPr="00D25068" w:rsidRDefault="00D033DC" w:rsidP="00D25068">
      <w:pPr>
        <w:pStyle w:val="ListBullet"/>
      </w:pPr>
      <w:r>
        <w:t xml:space="preserve">When canceling out of a Discrepant ABO/Rh Typing override, the interpretations are cleared, but the testing results are not cleared. Correct the testing entries or click the red ‘X’ to clear the testing results. </w:t>
      </w:r>
      <w:r w:rsidRPr="00D033DC">
        <w:rPr>
          <w:vanish/>
        </w:rPr>
        <w:t>Defect 208974</w:t>
      </w:r>
    </w:p>
    <w:p w14:paraId="44435F76" w14:textId="77777777" w:rsidR="002A21AE" w:rsidRDefault="002A21AE">
      <w:pPr>
        <w:pStyle w:val="Heading4"/>
      </w:pPr>
      <w:r>
        <w:t>Additional Information</w:t>
      </w:r>
    </w:p>
    <w:p w14:paraId="67B21200" w14:textId="77777777" w:rsidR="00FC3A2C" w:rsidRDefault="00FC3A2C">
      <w:pPr>
        <w:pStyle w:val="ListBullet"/>
      </w:pPr>
      <w:r>
        <w:t>When an ABO/Rh discrepancy exists, VBECS releases assigned and crossmatched units. These units are then available for e</w:t>
      </w:r>
      <w:r w:rsidRPr="003F73CA">
        <w:t>mergency issue</w:t>
      </w:r>
      <w:r>
        <w:t xml:space="preserve"> based on system rules</w:t>
      </w:r>
      <w:r w:rsidRPr="003F73CA">
        <w:t>.</w:t>
      </w:r>
    </w:p>
    <w:p w14:paraId="35697C91" w14:textId="77777777" w:rsidR="002A21AE" w:rsidRDefault="002A21AE">
      <w:pPr>
        <w:pStyle w:val="ListBullet"/>
      </w:pPr>
      <w:r>
        <w:t>VBECS does not enforce local policies that require running a D control for AB positive patients.</w:t>
      </w:r>
    </w:p>
    <w:p w14:paraId="2ADC961A" w14:textId="77777777" w:rsidR="002A21AE" w:rsidRDefault="002A21AE">
      <w:pPr>
        <w:pStyle w:val="ListBullet"/>
      </w:pPr>
      <w:r>
        <w:t>The most recent instance of ABO/Rh testing in the database serves as the historic ABO/Rh record.</w:t>
      </w:r>
    </w:p>
    <w:p w14:paraId="6B772B99" w14:textId="77777777" w:rsidR="00786249" w:rsidRPr="00786249" w:rsidRDefault="00786249" w:rsidP="00786249">
      <w:pPr>
        <w:pStyle w:val="ListBullet"/>
        <w:rPr>
          <w:color w:val="1F497D"/>
        </w:rPr>
      </w:pPr>
      <w:r>
        <w:t>Weak D testing results recorded in Patient Antigen Typing do not interact or change the Rh typing recorded for the patient by an ABO/Rh test.</w:t>
      </w:r>
      <w:r w:rsidRPr="00812458">
        <w:rPr>
          <w:vanish/>
        </w:rPr>
        <w:t xml:space="preserve"> Task 409152</w:t>
      </w:r>
    </w:p>
    <w:p w14:paraId="55D089B6" w14:textId="77777777" w:rsidR="002A21AE" w:rsidRDefault="002A21AE">
      <w:pPr>
        <w:pStyle w:val="Heading4"/>
      </w:pPr>
      <w:r>
        <w:t xml:space="preserve">User Roles with Access to This Option </w:t>
      </w:r>
    </w:p>
    <w:p w14:paraId="3C3FF225" w14:textId="77777777" w:rsidR="002A21AE" w:rsidRDefault="00A937B3">
      <w:pPr>
        <w:pStyle w:val="Roles"/>
      </w:pPr>
      <w:r>
        <w:t>All users</w:t>
      </w:r>
    </w:p>
    <w:p w14:paraId="7C3945E9" w14:textId="77777777" w:rsidR="002A21AE" w:rsidRDefault="002A21AE">
      <w:pPr>
        <w:pStyle w:val="Heading4"/>
      </w:pPr>
      <w:r>
        <w:lastRenderedPageBreak/>
        <w:t>Patient Testing: Record a Patient ABO/Rh</w:t>
      </w:r>
    </w:p>
    <w:p w14:paraId="3C3BFEFF" w14:textId="77777777" w:rsidR="002A21AE" w:rsidRDefault="002A21AE" w:rsidP="00FA7E65">
      <w:pPr>
        <w:pStyle w:val="BodyText"/>
      </w:pPr>
      <w:r>
        <w:t>This option describes a test to determine the patient’s ABO/Rh typing from a blood specimen. The user enters the serologic reaction results in the data entry grid using the instructions and rules in this option. The grid is used for the Confirm Patient ABO/Rh reflex test as part of a TAS and crossmatch (XM) test battery. VBECS monitors the user’s entries and interpretations and maintains the records for patient reports.</w:t>
      </w:r>
      <w:r w:rsidR="000222FC">
        <w:t xml:space="preserve"> </w:t>
      </w:r>
    </w:p>
    <w:p w14:paraId="64B24025" w14:textId="77777777" w:rsidR="002A21AE" w:rsidRDefault="002A21AE" w:rsidP="00FA7E65">
      <w:pPr>
        <w:pStyle w:val="BodyText"/>
      </w:pPr>
      <w:r>
        <w:t xml:space="preserve">These steps describe the entry of data for a patient ABO/Rh test when the test is ordered individually or as part of a TAS.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8F0DF8F" w14:textId="77777777">
        <w:trPr>
          <w:cantSplit/>
          <w:tblHeader/>
        </w:trPr>
        <w:tc>
          <w:tcPr>
            <w:tcW w:w="3240" w:type="dxa"/>
            <w:shd w:val="pct30" w:color="auto" w:fill="FFFFFF"/>
            <w:vAlign w:val="bottom"/>
          </w:tcPr>
          <w:p w14:paraId="2553BE89" w14:textId="77777777" w:rsidR="002A21AE" w:rsidRDefault="002A21AE">
            <w:pPr>
              <w:pStyle w:val="TableText"/>
              <w:rPr>
                <w:b/>
              </w:rPr>
            </w:pPr>
            <w:r>
              <w:rPr>
                <w:b/>
              </w:rPr>
              <w:t>User Action</w:t>
            </w:r>
          </w:p>
        </w:tc>
        <w:tc>
          <w:tcPr>
            <w:tcW w:w="6120" w:type="dxa"/>
            <w:shd w:val="pct30" w:color="auto" w:fill="FFFFFF"/>
            <w:vAlign w:val="bottom"/>
          </w:tcPr>
          <w:p w14:paraId="18C1413F" w14:textId="77777777" w:rsidR="002A21AE" w:rsidRDefault="002A21AE">
            <w:pPr>
              <w:pStyle w:val="TableText"/>
              <w:rPr>
                <w:b/>
              </w:rPr>
            </w:pPr>
            <w:r>
              <w:rPr>
                <w:b/>
              </w:rPr>
              <w:t>VBECS</w:t>
            </w:r>
          </w:p>
        </w:tc>
      </w:tr>
      <w:tr w:rsidR="00141448" w14:paraId="4EFAFE75" w14:textId="77777777">
        <w:tc>
          <w:tcPr>
            <w:tcW w:w="3240" w:type="dxa"/>
            <w:tcBorders>
              <w:top w:val="single" w:sz="4" w:space="0" w:color="auto"/>
              <w:left w:val="single" w:sz="4" w:space="0" w:color="auto"/>
              <w:bottom w:val="single" w:sz="4" w:space="0" w:color="auto"/>
              <w:right w:val="single" w:sz="4" w:space="0" w:color="auto"/>
            </w:tcBorders>
          </w:tcPr>
          <w:p w14:paraId="5BBD4A56" w14:textId="77777777" w:rsidR="00141448" w:rsidRDefault="00141448" w:rsidP="00141448">
            <w:pPr>
              <w:pStyle w:val="TableTextNumbers"/>
            </w:pPr>
            <w:r>
              <w:t xml:space="preserve">Select </w:t>
            </w:r>
            <w:r>
              <w:rPr>
                <w:b/>
              </w:rPr>
              <w:t>Patients</w:t>
            </w:r>
            <w:r>
              <w:t xml:space="preserve"> from the main menu.</w:t>
            </w:r>
          </w:p>
          <w:p w14:paraId="07D9B9D6" w14:textId="77777777" w:rsidR="00141448" w:rsidRDefault="00141448" w:rsidP="00141448">
            <w:pPr>
              <w:pStyle w:val="TableTextNumbersContinued"/>
            </w:pPr>
          </w:p>
          <w:p w14:paraId="46BAEC22"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C01A055" w14:textId="77777777" w:rsidR="00141448" w:rsidRDefault="00141448" w:rsidP="00141448">
            <w:pPr>
              <w:pStyle w:val="TableTextBullet"/>
            </w:pPr>
            <w:r>
              <w:t xml:space="preserve">Displays options for processing patient-related functions. </w:t>
            </w:r>
          </w:p>
          <w:p w14:paraId="35709766" w14:textId="77777777" w:rsidR="00141448" w:rsidRDefault="00141448" w:rsidP="00141448">
            <w:pPr>
              <w:pStyle w:val="TableTextBullet"/>
            </w:pPr>
            <w:r>
              <w:t>Displays the Pending Task List (PTL) in the Diagnostic Tests tab.</w:t>
            </w:r>
          </w:p>
          <w:p w14:paraId="3B6CF893" w14:textId="77777777" w:rsidR="00141448" w:rsidRDefault="00141448" w:rsidP="00141448">
            <w:pPr>
              <w:pStyle w:val="NotesText"/>
            </w:pPr>
          </w:p>
          <w:p w14:paraId="5E88F50B" w14:textId="5C5B9C4E" w:rsidR="00141448" w:rsidRDefault="00141448" w:rsidP="00141448">
            <w:pPr>
              <w:pStyle w:val="TableText"/>
              <w:rPr>
                <w:b/>
                <w:bCs/>
                <w:szCs w:val="18"/>
              </w:rPr>
            </w:pPr>
            <w:r>
              <w:rPr>
                <w:b/>
                <w:bCs/>
                <w:szCs w:val="18"/>
              </w:rPr>
              <w:t>NOTES</w:t>
            </w:r>
          </w:p>
          <w:p w14:paraId="472D9870" w14:textId="77777777" w:rsidR="00141448" w:rsidRDefault="00141448" w:rsidP="00141448">
            <w:pPr>
              <w:pStyle w:val="NotesText"/>
            </w:pPr>
          </w:p>
          <w:p w14:paraId="3B3DDAAD" w14:textId="77777777" w:rsidR="00141448" w:rsidRDefault="00141448" w:rsidP="00141448">
            <w:pPr>
              <w:pStyle w:val="NotesText"/>
            </w:pPr>
            <w:r>
              <w:t>A user may search for specific tasks using search criteria detailed in Pending Task List.</w:t>
            </w:r>
          </w:p>
        </w:tc>
      </w:tr>
      <w:tr w:rsidR="00B1359E" w14:paraId="48B78FBD" w14:textId="77777777">
        <w:tc>
          <w:tcPr>
            <w:tcW w:w="3240" w:type="dxa"/>
          </w:tcPr>
          <w:p w14:paraId="0E009FA8" w14:textId="77777777" w:rsidR="00B1359E" w:rsidRDefault="00B1359E" w:rsidP="00150254">
            <w:pPr>
              <w:pStyle w:val="TableTextNumbers"/>
            </w:pPr>
            <w:r>
              <w:t xml:space="preserve">Click one to four check boxes in the Pending Task List to select tasks for testing. </w:t>
            </w:r>
          </w:p>
          <w:p w14:paraId="48F998A4" w14:textId="77777777" w:rsidR="00B1359E" w:rsidRDefault="00B1359E" w:rsidP="00150254">
            <w:pPr>
              <w:pStyle w:val="TableTextNumbersContinued"/>
            </w:pPr>
          </w:p>
          <w:p w14:paraId="2A61B6A7" w14:textId="77777777" w:rsidR="00B1359E" w:rsidRDefault="00B1359E" w:rsidP="00150254">
            <w:pPr>
              <w:pStyle w:val="TableTextNumbersContinued"/>
            </w:pPr>
            <w:r>
              <w:t xml:space="preserve">Click </w:t>
            </w:r>
            <w:r>
              <w:rPr>
                <w:b/>
              </w:rPr>
              <w:t>OK</w:t>
            </w:r>
            <w:r>
              <w:t>.</w:t>
            </w:r>
          </w:p>
        </w:tc>
        <w:tc>
          <w:tcPr>
            <w:tcW w:w="6120" w:type="dxa"/>
          </w:tcPr>
          <w:p w14:paraId="01A8EDCD" w14:textId="77777777" w:rsidR="00B1359E" w:rsidRDefault="00B1359E" w:rsidP="00150254">
            <w:pPr>
              <w:pStyle w:val="TableTextBullet"/>
            </w:pPr>
            <w:r>
              <w:t>Displays patient names and associated task information.</w:t>
            </w:r>
          </w:p>
        </w:tc>
      </w:tr>
      <w:tr w:rsidR="002A21AE" w14:paraId="365CE506" w14:textId="77777777">
        <w:tc>
          <w:tcPr>
            <w:tcW w:w="3240" w:type="dxa"/>
          </w:tcPr>
          <w:p w14:paraId="45121D54" w14:textId="77777777" w:rsidR="002A21AE" w:rsidRDefault="0091416B">
            <w:pPr>
              <w:pStyle w:val="TableTextNumbers"/>
              <w:rPr>
                <w:b/>
                <w:bCs/>
              </w:rPr>
            </w:pPr>
            <w:r>
              <w:t>E</w:t>
            </w:r>
            <w:r w:rsidR="002A21AE">
              <w:rPr>
                <w:bCs/>
              </w:rPr>
              <w:t>nter patient ABO/Rh testing results.</w:t>
            </w:r>
            <w:r w:rsidR="002A21AE">
              <w:rPr>
                <w:b/>
                <w:bCs/>
              </w:rPr>
              <w:t xml:space="preserve"> </w:t>
            </w:r>
          </w:p>
        </w:tc>
        <w:tc>
          <w:tcPr>
            <w:tcW w:w="6120" w:type="dxa"/>
          </w:tcPr>
          <w:p w14:paraId="62FBF262" w14:textId="77777777" w:rsidR="002A21AE" w:rsidRDefault="002A21AE">
            <w:pPr>
              <w:pStyle w:val="TableTextBullet"/>
            </w:pPr>
            <w:r>
              <w:t xml:space="preserve">Displays a direct data entry </w:t>
            </w:r>
            <w:r w:rsidR="00917E9F">
              <w:t xml:space="preserve">(DDE) </w:t>
            </w:r>
            <w:r>
              <w:t xml:space="preserve">grid for entering serologic reaction results for ABO/Rh patient testing. </w:t>
            </w:r>
          </w:p>
          <w:p w14:paraId="768E95C1" w14:textId="77777777" w:rsidR="002A21AE" w:rsidRDefault="002A21AE">
            <w:pPr>
              <w:pStyle w:val="TableText"/>
            </w:pPr>
          </w:p>
          <w:p w14:paraId="57140C7E" w14:textId="41884310" w:rsidR="002A21AE" w:rsidRDefault="002A21AE">
            <w:pPr>
              <w:pStyle w:val="TableText"/>
              <w:rPr>
                <w:b/>
                <w:bCs/>
                <w:szCs w:val="18"/>
              </w:rPr>
            </w:pPr>
            <w:r>
              <w:rPr>
                <w:b/>
                <w:bCs/>
                <w:szCs w:val="18"/>
              </w:rPr>
              <w:t>NOTES</w:t>
            </w:r>
          </w:p>
          <w:p w14:paraId="37300F85" w14:textId="77777777" w:rsidR="002A21AE" w:rsidRDefault="002A21AE">
            <w:pPr>
              <w:pStyle w:val="NotesText"/>
            </w:pPr>
          </w:p>
          <w:p w14:paraId="49D041AD" w14:textId="77777777" w:rsidR="002A21AE" w:rsidRDefault="002A21AE">
            <w:pPr>
              <w:pStyle w:val="NotesText"/>
            </w:pPr>
            <w:r>
              <w:rPr>
                <w:rFonts w:cs="Arial"/>
                <w:vanish/>
              </w:rPr>
              <w:t xml:space="preserve">BR_52.09 </w:t>
            </w:r>
            <w:r>
              <w:t>The user may reenter valid results or delete entries and start over before saving the results. The user may invalidate, but not edit, data in a grid from a previous session by clicking the red “X” in the upper right corner of the testing grid, as described in Invalidate Test Results.</w:t>
            </w:r>
          </w:p>
          <w:p w14:paraId="557453F3" w14:textId="77777777" w:rsidR="002A21AE" w:rsidRDefault="002A21AE">
            <w:pPr>
              <w:pStyle w:val="NotesText"/>
            </w:pPr>
          </w:p>
          <w:p w14:paraId="6AC583C4" w14:textId="77777777" w:rsidR="002A21AE" w:rsidRDefault="002A21AE" w:rsidP="002B6B38">
            <w:pPr>
              <w:pStyle w:val="NotesText"/>
            </w:pPr>
            <w:r>
              <w:rPr>
                <w:rFonts w:cs="Arial"/>
                <w:vanish/>
              </w:rPr>
              <w:t xml:space="preserve">BR_52.07 </w:t>
            </w:r>
            <w:r>
              <w:t xml:space="preserve">VBECS determines the validity of the user-entered patient ABO/Rh interpretation by comparing the reaction results pattern of the row with the truth table and with the previous ABO/Rh entries for the patient. </w:t>
            </w:r>
          </w:p>
        </w:tc>
      </w:tr>
      <w:tr w:rsidR="002A21AE" w14:paraId="5BB36B99" w14:textId="77777777">
        <w:tc>
          <w:tcPr>
            <w:tcW w:w="3240" w:type="dxa"/>
          </w:tcPr>
          <w:p w14:paraId="24CAE389" w14:textId="77777777" w:rsidR="002A21AE" w:rsidRDefault="002A21AE">
            <w:pPr>
              <w:pStyle w:val="TableTextNumbers"/>
            </w:pPr>
            <w:r>
              <w:t>Select a patient to begin entering his serologic reactions.</w:t>
            </w:r>
          </w:p>
        </w:tc>
        <w:tc>
          <w:tcPr>
            <w:tcW w:w="6120" w:type="dxa"/>
          </w:tcPr>
          <w:p w14:paraId="1687B5C5" w14:textId="77777777" w:rsidR="002A21AE" w:rsidRDefault="002A21AE">
            <w:pPr>
              <w:pStyle w:val="TableTextBullet"/>
            </w:pPr>
            <w:r>
              <w:t xml:space="preserve">Allows the user to select one patient at a time and enter a test result for that patient. </w:t>
            </w:r>
          </w:p>
          <w:p w14:paraId="6F55067A" w14:textId="77777777" w:rsidR="002A21AE" w:rsidRDefault="002A21AE">
            <w:pPr>
              <w:pStyle w:val="TableTextBullet"/>
            </w:pPr>
            <w:r>
              <w:t xml:space="preserve">Allows only valid data entries in the grid reaction result and interpretation cells. </w:t>
            </w:r>
          </w:p>
          <w:p w14:paraId="2BE67434" w14:textId="77777777" w:rsidR="002A21AE" w:rsidRDefault="002A21AE">
            <w:pPr>
              <w:pStyle w:val="TableText"/>
            </w:pPr>
          </w:p>
          <w:p w14:paraId="4304A85C" w14:textId="238197C7" w:rsidR="002A21AE" w:rsidRDefault="002A21AE">
            <w:pPr>
              <w:pStyle w:val="TableText"/>
              <w:rPr>
                <w:b/>
                <w:bCs/>
                <w:szCs w:val="18"/>
              </w:rPr>
            </w:pPr>
            <w:r>
              <w:rPr>
                <w:b/>
                <w:bCs/>
                <w:szCs w:val="18"/>
              </w:rPr>
              <w:t>NOTES</w:t>
            </w:r>
          </w:p>
          <w:p w14:paraId="24BBB77A" w14:textId="77777777" w:rsidR="002A21AE" w:rsidRDefault="002A21AE">
            <w:pPr>
              <w:pStyle w:val="NotesText"/>
            </w:pPr>
          </w:p>
          <w:p w14:paraId="507A85EE" w14:textId="77777777" w:rsidR="002A21AE" w:rsidRDefault="002A21AE">
            <w:pPr>
              <w:pStyle w:val="NotesText"/>
            </w:pPr>
            <w:r>
              <w:t xml:space="preserve">When A,B or D control is not part of the daily QC configuration, VBECS disables it in the ABO/Rh test grid. </w:t>
            </w:r>
          </w:p>
          <w:p w14:paraId="0770E7A9" w14:textId="77777777" w:rsidR="002A21AE" w:rsidRDefault="002A21AE">
            <w:pPr>
              <w:pStyle w:val="NotesText"/>
            </w:pPr>
          </w:p>
          <w:p w14:paraId="1173FCF6" w14:textId="77777777" w:rsidR="002A21AE" w:rsidRDefault="002A21AE">
            <w:pPr>
              <w:pStyle w:val="NotesText"/>
            </w:pPr>
            <w:r>
              <w:t xml:space="preserve">When an AB Positive patient requires the performance of a control cell, the user must order a repeat ABO/Rh test. </w:t>
            </w:r>
          </w:p>
          <w:p w14:paraId="29BC368C" w14:textId="77777777" w:rsidR="002A21AE" w:rsidRPr="00760A4D" w:rsidRDefault="002A21AE" w:rsidP="00760A4D">
            <w:pPr>
              <w:pStyle w:val="NotesText"/>
            </w:pPr>
          </w:p>
          <w:p w14:paraId="34854FC8" w14:textId="77777777" w:rsidR="002A21AE" w:rsidRDefault="002A21AE">
            <w:pPr>
              <w:pStyle w:val="NotesText"/>
            </w:pPr>
            <w:r>
              <w:t>When A,B is enabled, the user enters a result for Anti-A,B as part of the patient test, it is included in determining the interpretation for that patient test. “X” is an acceptable entry.</w:t>
            </w:r>
          </w:p>
          <w:p w14:paraId="79528AF6" w14:textId="77777777" w:rsidR="002A21AE" w:rsidRDefault="002A21AE">
            <w:pPr>
              <w:pStyle w:val="NotesText"/>
            </w:pPr>
          </w:p>
          <w:p w14:paraId="6EAA015E" w14:textId="77777777" w:rsidR="002A21AE" w:rsidRDefault="002A21AE">
            <w:pPr>
              <w:pStyle w:val="NotesText"/>
            </w:pPr>
            <w:r>
              <w:lastRenderedPageBreak/>
              <w:t>A,B and D control are always enabled for the repeat ABO/Rh test grid, regardless of the QC configuration.</w:t>
            </w:r>
          </w:p>
          <w:p w14:paraId="0B0352B0" w14:textId="77777777" w:rsidR="002A21AE" w:rsidRDefault="002A21AE">
            <w:pPr>
              <w:pStyle w:val="NotesText"/>
            </w:pPr>
          </w:p>
          <w:p w14:paraId="1987CDD5" w14:textId="77777777" w:rsidR="002A21AE" w:rsidRDefault="002A21AE">
            <w:pPr>
              <w:pStyle w:val="NotesText"/>
            </w:pPr>
            <w:r>
              <w:rPr>
                <w:rFonts w:cs="Arial"/>
                <w:vanish/>
              </w:rPr>
              <w:t xml:space="preserve">BR_52.10 </w:t>
            </w:r>
            <w:r>
              <w:t>Reflex testing grid fields are available for data entry regardless of QC rack configuration.</w:t>
            </w:r>
          </w:p>
          <w:p w14:paraId="09F01815" w14:textId="77777777" w:rsidR="002A21AE" w:rsidRDefault="002A21AE">
            <w:pPr>
              <w:pStyle w:val="NotesText"/>
            </w:pPr>
          </w:p>
          <w:p w14:paraId="5AD89DD7" w14:textId="16BC7691" w:rsidR="002A21AE" w:rsidRDefault="00F6394D">
            <w:pPr>
              <w:pStyle w:val="NotesText"/>
            </w:pPr>
            <w:r>
              <w:t xml:space="preserve">See </w:t>
            </w:r>
            <w:r w:rsidR="00AE2DC1">
              <w:fldChar w:fldCharType="begin"/>
            </w:r>
            <w:r w:rsidR="00AE2DC1">
              <w:instrText xml:space="preserve"> REF _Ref126504333 \h </w:instrText>
            </w:r>
            <w:r w:rsidR="00AE2DC1">
              <w:fldChar w:fldCharType="separate"/>
            </w:r>
            <w:r w:rsidR="004353ED">
              <w:t xml:space="preserve">Table </w:t>
            </w:r>
            <w:r w:rsidR="004353ED">
              <w:rPr>
                <w:noProof/>
              </w:rPr>
              <w:t>4</w:t>
            </w:r>
            <w:r w:rsidR="004353ED">
              <w:t xml:space="preserve">: </w:t>
            </w:r>
            <w:r w:rsidR="004353ED">
              <w:rPr>
                <w:rFonts w:cs="Arial"/>
                <w:vanish/>
              </w:rPr>
              <w:t xml:space="preserve">BR_2.10 </w:t>
            </w:r>
            <w:r w:rsidR="004353ED">
              <w:t>Valid Interpretations</w:t>
            </w:r>
            <w:r w:rsidR="00AE2DC1">
              <w:fldChar w:fldCharType="end"/>
            </w:r>
            <w:r w:rsidR="002A21AE">
              <w:t>.</w:t>
            </w:r>
          </w:p>
          <w:p w14:paraId="432C347F" w14:textId="77777777" w:rsidR="002A21AE" w:rsidRDefault="002A21AE">
            <w:pPr>
              <w:pStyle w:val="NotesText"/>
              <w:rPr>
                <w:rFonts w:cs="Arial"/>
                <w:vanish/>
              </w:rPr>
            </w:pPr>
          </w:p>
          <w:p w14:paraId="11E6BB7D" w14:textId="77777777" w:rsidR="002A21AE" w:rsidRDefault="002A21AE">
            <w:pPr>
              <w:pStyle w:val="NotesText"/>
            </w:pPr>
            <w:r>
              <w:rPr>
                <w:rFonts w:cs="Arial"/>
                <w:vanish/>
              </w:rPr>
              <w:t xml:space="preserve">BR_52.06 </w:t>
            </w:r>
            <w:r>
              <w:t>Row validation is established for the interpretation vs. reaction results pattern defined by system rules.</w:t>
            </w:r>
          </w:p>
        </w:tc>
      </w:tr>
      <w:tr w:rsidR="002A21AE" w14:paraId="76BCCF16" w14:textId="77777777">
        <w:tc>
          <w:tcPr>
            <w:tcW w:w="3240" w:type="dxa"/>
          </w:tcPr>
          <w:p w14:paraId="0D33A779" w14:textId="77777777" w:rsidR="002A21AE" w:rsidRDefault="002A21AE">
            <w:pPr>
              <w:pStyle w:val="TableTextNumbers"/>
            </w:pPr>
            <w:r>
              <w:lastRenderedPageBreak/>
              <w:t>Repeat Steps 2–</w:t>
            </w:r>
            <w:r w:rsidR="00641529">
              <w:t>4</w:t>
            </w:r>
            <w:r>
              <w:t xml:space="preserve"> until some or all portions of the test grid for the selected patient are entered. </w:t>
            </w:r>
          </w:p>
          <w:p w14:paraId="11AC8D19" w14:textId="77777777" w:rsidR="002A21AE" w:rsidRDefault="002A21AE">
            <w:pPr>
              <w:pStyle w:val="TableTextNumbersContinued"/>
            </w:pPr>
          </w:p>
          <w:p w14:paraId="23ADBE24" w14:textId="77777777" w:rsidR="002A21AE" w:rsidRDefault="002A21AE">
            <w:pPr>
              <w:pStyle w:val="TableTextNumbersContinued"/>
            </w:pPr>
            <w:r>
              <w:t xml:space="preserve">Enter the interpretation for the patient ABO/Rh typing, if appropriate. </w:t>
            </w:r>
          </w:p>
        </w:tc>
        <w:tc>
          <w:tcPr>
            <w:tcW w:w="6120" w:type="dxa"/>
          </w:tcPr>
          <w:p w14:paraId="5B643E8C" w14:textId="77777777" w:rsidR="002A21AE" w:rsidRDefault="002A21AE">
            <w:pPr>
              <w:pStyle w:val="TableTextBullet"/>
            </w:pPr>
            <w:r>
              <w:t>Prompts the user to confirm that all results were reviewed and are acceptable.</w:t>
            </w:r>
          </w:p>
          <w:p w14:paraId="2FC06809" w14:textId="77777777" w:rsidR="002A21AE" w:rsidRDefault="002A21AE">
            <w:pPr>
              <w:pStyle w:val="TableText"/>
            </w:pPr>
          </w:p>
          <w:p w14:paraId="0363FFAF" w14:textId="3DA87466" w:rsidR="002A21AE" w:rsidRDefault="002A21AE">
            <w:pPr>
              <w:pStyle w:val="TableText"/>
              <w:rPr>
                <w:b/>
                <w:bCs/>
                <w:szCs w:val="18"/>
              </w:rPr>
            </w:pPr>
            <w:r>
              <w:rPr>
                <w:b/>
                <w:bCs/>
                <w:szCs w:val="18"/>
              </w:rPr>
              <w:t>NOTES</w:t>
            </w:r>
          </w:p>
          <w:p w14:paraId="2E548AF5" w14:textId="77777777" w:rsidR="002A21AE" w:rsidRDefault="002A21AE">
            <w:pPr>
              <w:pStyle w:val="NotesText"/>
            </w:pPr>
          </w:p>
          <w:p w14:paraId="7C639D2F" w14:textId="77777777" w:rsidR="00865A02" w:rsidRDefault="00865A02">
            <w:pPr>
              <w:pStyle w:val="NotesText"/>
            </w:pPr>
            <w:r>
              <w:rPr>
                <w:rFonts w:cs="Arial"/>
                <w:vanish/>
              </w:rPr>
              <w:t xml:space="preserve">BR_56.12 </w:t>
            </w:r>
            <w:r>
              <w:t xml:space="preserve">When the ABO/Rh interpretation matches observed results, is not inconclusive, and does not match the patient’s historic ABO/Rh (if any, including from database conversion), VBECS emits an audible alert, warns that the current ABO/Rh does not match previous results, and instructs the user to enter a comment to continue, or click </w:t>
            </w:r>
            <w:r>
              <w:rPr>
                <w:b/>
              </w:rPr>
              <w:t>Cancel</w:t>
            </w:r>
            <w:r>
              <w:t xml:space="preserve"> to clear the ABO/Rh testing results and interpretation from the screen. VBECS captures details for inclusion in an Exception Report (exception type: ABO/Rh discrepancy).</w:t>
            </w:r>
          </w:p>
          <w:p w14:paraId="14921F85" w14:textId="77777777" w:rsidR="00865A02" w:rsidRDefault="00865A02">
            <w:pPr>
              <w:pStyle w:val="NotesText"/>
            </w:pPr>
          </w:p>
          <w:p w14:paraId="44CFE624" w14:textId="77777777" w:rsidR="009D787A" w:rsidRDefault="002A21AE" w:rsidP="00562B7F">
            <w:pPr>
              <w:pStyle w:val="NotesText"/>
            </w:pPr>
            <w:r>
              <w:rPr>
                <w:vanish/>
                <w:szCs w:val="18"/>
              </w:rPr>
              <w:t>BR_52.08</w:t>
            </w:r>
            <w:r w:rsidR="00CE3961">
              <w:rPr>
                <w:vanish/>
                <w:szCs w:val="18"/>
              </w:rPr>
              <w:t>,</w:t>
            </w:r>
            <w:r w:rsidR="00562B7F">
              <w:rPr>
                <w:vanish/>
                <w:szCs w:val="18"/>
              </w:rPr>
              <w:t xml:space="preserve"> </w:t>
            </w:r>
            <w:r w:rsidR="00562B7F">
              <w:rPr>
                <w:snapToGrid w:val="0"/>
                <w:vanish/>
                <w:szCs w:val="18"/>
              </w:rPr>
              <w:t>BR_52.11</w:t>
            </w:r>
            <w:r>
              <w:rPr>
                <w:vanish/>
                <w:szCs w:val="18"/>
              </w:rPr>
              <w:t xml:space="preserve"> </w:t>
            </w:r>
            <w:r w:rsidR="004F5F28" w:rsidRPr="00323744">
              <w:rPr>
                <w:rStyle w:val="BullhornChar"/>
              </w:rPr>
              <w:t></w:t>
            </w:r>
            <w:r w:rsidR="004F5F28">
              <w:rPr>
                <w:rFonts w:ascii="Webdings" w:hAnsi="Webdings"/>
              </w:rPr>
              <w:t></w:t>
            </w:r>
            <w:r w:rsidR="00AA7C58" w:rsidRPr="00EC7489">
              <w:rPr>
                <w:rFonts w:ascii="Wingdings 3" w:hAnsi="Wingdings 3" w:cs="Wingdings"/>
              </w:rPr>
              <w:t></w:t>
            </w:r>
            <w:r w:rsidR="00AA7C58" w:rsidRPr="00EC7489">
              <w:rPr>
                <w:rFonts w:ascii="Wingdings 3" w:hAnsi="Wingdings 3" w:cs="Wingdings"/>
              </w:rPr>
              <w:t></w:t>
            </w:r>
            <w:r w:rsidR="00AA7C58">
              <w:t xml:space="preserve"> </w:t>
            </w:r>
            <w:r>
              <w:t>VBECS allows the</w:t>
            </w:r>
            <w:r w:rsidR="00562B7F">
              <w:t xml:space="preserve"> Enhanced Technologist</w:t>
            </w:r>
            <w:r>
              <w:t xml:space="preserve"> to enter an ABO/Rh interpretation that matches the patient’s previously recorded (historic) ABO/Rh interpretation when the system interpretation is inconclusive. This allows unit selection to continue based on the patient’s ABO/Rh interpretation entered by the user. VBECS requires the user to document the findings of any offline investigation, alerting the reviewer to appropriately follow up, according to local policy.</w:t>
            </w:r>
            <w:r>
              <w:rPr>
                <w:b/>
              </w:rPr>
              <w:t xml:space="preserve"> </w:t>
            </w:r>
            <w:r>
              <w:t>VBECS emits an audible alert and warns the user. VBECS allows an override with comment and captures details for inclusion in an Exception Report (exception type: discrepant ABO/Rh override) that includes all interpretations and historic patient information.</w:t>
            </w:r>
          </w:p>
        </w:tc>
      </w:tr>
      <w:tr w:rsidR="002A21AE" w14:paraId="714DC9F0" w14:textId="77777777">
        <w:tc>
          <w:tcPr>
            <w:tcW w:w="3240" w:type="dxa"/>
          </w:tcPr>
          <w:p w14:paraId="4461814B" w14:textId="77777777" w:rsidR="002A21AE" w:rsidRDefault="002A21AE">
            <w:pPr>
              <w:pStyle w:val="TableTextNumbers"/>
            </w:pPr>
            <w:r>
              <w:t xml:space="preserve">When all required fields are complete, click </w:t>
            </w:r>
            <w:r>
              <w:rPr>
                <w:b/>
              </w:rPr>
              <w:t>OK</w:t>
            </w:r>
            <w:r>
              <w:t xml:space="preserve"> to save and continue to the next patient, or exit.</w:t>
            </w:r>
            <w:r w:rsidR="00410757">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70" w:author="Blalock, David (Leidos)" w:date="2020-06-15T14:09:00Z" w:original="0."/>
              </w:fldChar>
            </w:r>
          </w:p>
        </w:tc>
        <w:tc>
          <w:tcPr>
            <w:tcW w:w="6120" w:type="dxa"/>
          </w:tcPr>
          <w:p w14:paraId="447B995D" w14:textId="77777777" w:rsidR="00CA660A" w:rsidRDefault="002A21AE" w:rsidP="00CA660A">
            <w:pPr>
              <w:pStyle w:val="TableTextBullet"/>
            </w:pPr>
            <w:r>
              <w:t>Saves the data.</w:t>
            </w:r>
          </w:p>
          <w:p w14:paraId="696FACEC" w14:textId="77777777" w:rsidR="008F0849" w:rsidRDefault="008F0849" w:rsidP="008F0849">
            <w:pPr>
              <w:pStyle w:val="TableTextBullet"/>
              <w:numPr>
                <w:ilvl w:val="0"/>
                <w:numId w:val="0"/>
              </w:numPr>
              <w:ind w:left="288" w:hanging="288"/>
            </w:pPr>
          </w:p>
          <w:p w14:paraId="6A85F238" w14:textId="0286555C" w:rsidR="008F0849" w:rsidRDefault="008F0849" w:rsidP="008F0849">
            <w:pPr>
              <w:pStyle w:val="TableText"/>
              <w:rPr>
                <w:b/>
                <w:bCs/>
                <w:szCs w:val="18"/>
              </w:rPr>
            </w:pPr>
            <w:r>
              <w:rPr>
                <w:b/>
                <w:bCs/>
                <w:szCs w:val="18"/>
              </w:rPr>
              <w:t>NOTES</w:t>
            </w:r>
          </w:p>
          <w:p w14:paraId="0211D65A" w14:textId="77777777" w:rsidR="008F0849" w:rsidRDefault="008F0849" w:rsidP="008F0849">
            <w:pPr>
              <w:pStyle w:val="TableText"/>
              <w:rPr>
                <w:b/>
                <w:bCs/>
                <w:szCs w:val="18"/>
              </w:rPr>
            </w:pPr>
          </w:p>
          <w:p w14:paraId="6BA9EF4A" w14:textId="2CE2ECC1" w:rsidR="008F0849" w:rsidRDefault="008F0849" w:rsidP="008F0849">
            <w:pPr>
              <w:pStyle w:val="TableTextBullet"/>
              <w:numPr>
                <w:ilvl w:val="0"/>
                <w:numId w:val="0"/>
              </w:numPr>
              <w:ind w:left="288" w:hanging="288"/>
            </w:pPr>
            <w:r>
              <w:t xml:space="preserve">      In a Transfusion Only ABO/Rh</w:t>
            </w:r>
            <w:r w:rsidRPr="00CA660A">
              <w:t xml:space="preserve"> testing </w:t>
            </w:r>
            <w:r>
              <w:t xml:space="preserve">grid, free text comments cannot </w:t>
            </w:r>
            <w:r w:rsidRPr="00CA660A">
              <w:t xml:space="preserve">be saved. Create the comment in Canned Comments, Patient Testing context, </w:t>
            </w:r>
            <w:r>
              <w:t xml:space="preserve">and then </w:t>
            </w:r>
            <w:r w:rsidRPr="00CA660A">
              <w:t>select it. Inactivate the Canned Comment, if it is not to be used again</w:t>
            </w:r>
            <w:r>
              <w:t xml:space="preserve">. </w:t>
            </w:r>
            <w:r w:rsidRPr="008F0849">
              <w:rPr>
                <w:vanish/>
              </w:rPr>
              <w:t>Task 210220</w:t>
            </w:r>
          </w:p>
        </w:tc>
      </w:tr>
    </w:tbl>
    <w:p w14:paraId="5048F74B" w14:textId="77777777" w:rsidR="002A21AE" w:rsidRDefault="002A21AE">
      <w:pPr>
        <w:pStyle w:val="BodyText"/>
        <w:rPr>
          <w:rFonts w:eastAsia="Symbol"/>
        </w:rPr>
      </w:pPr>
    </w:p>
    <w:p w14:paraId="1A43E2DF" w14:textId="77777777" w:rsidR="002A21AE" w:rsidRDefault="002A21AE">
      <w:pPr>
        <w:pStyle w:val="Heading3"/>
      </w:pPr>
      <w:r>
        <w:br w:type="page"/>
      </w:r>
      <w:bookmarkStart w:id="571" w:name="_Toc47516757"/>
      <w:r>
        <w:lastRenderedPageBreak/>
        <w:t>Patient Testing: Record a Patient Antibody Screen</w:t>
      </w:r>
      <w:bookmarkEnd w:id="571"/>
      <w:r>
        <w:fldChar w:fldCharType="begin"/>
      </w:r>
      <w:r>
        <w:instrText xml:space="preserve"> XE </w:instrText>
      </w:r>
      <w:r w:rsidR="00FA7E65">
        <w:instrText>“</w:instrText>
      </w:r>
      <w:r>
        <w:instrText>Patient Testing\: Record a Patient Antibody Screen</w:instrText>
      </w:r>
      <w:r w:rsidR="00FA7E65">
        <w:instrText>”</w:instrText>
      </w:r>
      <w:r>
        <w:instrText xml:space="preserve"> </w:instrText>
      </w:r>
      <w:r>
        <w:fldChar w:fldCharType="end"/>
      </w:r>
      <w:r>
        <w:t xml:space="preserve"> </w:t>
      </w:r>
      <w:r>
        <w:rPr>
          <w:rFonts w:ascii="Times New Roman" w:hAnsi="Times New Roman" w:cs="Times New Roman"/>
          <w:b w:val="0"/>
          <w:vanish/>
          <w:sz w:val="22"/>
        </w:rPr>
        <w:t>UC_53</w:t>
      </w:r>
    </w:p>
    <w:p w14:paraId="39634AB2" w14:textId="77777777" w:rsidR="002A21AE" w:rsidRDefault="002A21AE" w:rsidP="00FA7E65">
      <w:pPr>
        <w:pStyle w:val="BodyText"/>
      </w:pPr>
      <w:r>
        <w:t xml:space="preserve">The user records the serologic results when performing the </w:t>
      </w:r>
      <w:r w:rsidR="008E2E30">
        <w:t>Antibody Screen Test (ABS)</w:t>
      </w:r>
      <w:r>
        <w:t>.</w:t>
      </w:r>
    </w:p>
    <w:p w14:paraId="313565A8" w14:textId="77777777" w:rsidR="002A21AE" w:rsidRDefault="002A21AE">
      <w:pPr>
        <w:pStyle w:val="Heading4"/>
      </w:pPr>
      <w:r>
        <w:t>Assumptions</w:t>
      </w:r>
      <w:r>
        <w:rPr>
          <w:b w:val="0"/>
        </w:rPr>
        <w:t xml:space="preserve"> </w:t>
      </w:r>
    </w:p>
    <w:p w14:paraId="6889B373" w14:textId="77777777" w:rsidR="002A21AE" w:rsidRDefault="002A21AE">
      <w:pPr>
        <w:pStyle w:val="ListBullet"/>
      </w:pPr>
      <w:r>
        <w:t>The user accesses patient ABO/Rh grids through Patient Testing: Record Patient Test Results.</w:t>
      </w:r>
    </w:p>
    <w:p w14:paraId="05B61F51" w14:textId="77777777" w:rsidR="002A21AE" w:rsidRDefault="002A21AE">
      <w:pPr>
        <w:pStyle w:val="ListBullet"/>
      </w:pPr>
      <w:r>
        <w:t>A CPRS order exists that includes an ABO/Rh typing [ABO/Rh Test or Type &amp; Screen (TAS)]. An ABS may also be ordered as a reflex patient test.</w:t>
      </w:r>
    </w:p>
    <w:p w14:paraId="36DC266A" w14:textId="77777777" w:rsidR="002A21AE" w:rsidRDefault="002A21AE">
      <w:pPr>
        <w:pStyle w:val="ListBullet"/>
      </w:pPr>
      <w:r>
        <w:t>Configure Daily QC and Configure Testing are complete.</w:t>
      </w:r>
    </w:p>
    <w:p w14:paraId="36BA8EFE" w14:textId="77777777" w:rsidR="002A21AE" w:rsidRDefault="002A21AE">
      <w:pPr>
        <w:pStyle w:val="Heading4"/>
      </w:pPr>
      <w:r>
        <w:t>Outcome</w:t>
      </w:r>
    </w:p>
    <w:p w14:paraId="2E0C81FD" w14:textId="77777777" w:rsidR="002A21AE" w:rsidRDefault="002A21AE">
      <w:pPr>
        <w:pStyle w:val="ListBullet"/>
        <w:rPr>
          <w:b/>
        </w:rPr>
      </w:pPr>
      <w:r>
        <w:t xml:space="preserve">When an ABS is ordered as a stand-alone test, VBECS changes the task status to “completed” and triggers the generation of a message to CPRS that the order is complete. </w:t>
      </w:r>
    </w:p>
    <w:p w14:paraId="30E386FA" w14:textId="77777777" w:rsidR="002A21AE" w:rsidRDefault="002A21AE">
      <w:pPr>
        <w:pStyle w:val="Heading4"/>
        <w:rPr>
          <w:b w:val="0"/>
        </w:rPr>
      </w:pPr>
      <w:r>
        <w:t>Limitations and Restrictions</w:t>
      </w:r>
      <w:r>
        <w:rPr>
          <w:b w:val="0"/>
        </w:rPr>
        <w:t xml:space="preserve"> </w:t>
      </w:r>
    </w:p>
    <w:p w14:paraId="23BDE3E9" w14:textId="77777777" w:rsidR="002A21AE" w:rsidRDefault="002A21AE">
      <w:pPr>
        <w:pStyle w:val="ListBullet"/>
      </w:pPr>
      <w:r>
        <w:t xml:space="preserve">This </w:t>
      </w:r>
      <w:r>
        <w:rPr>
          <w:szCs w:val="20"/>
        </w:rPr>
        <w:t>option is for patient testing only</w:t>
      </w:r>
      <w:r w:rsidR="001E7158">
        <w:rPr>
          <w:szCs w:val="20"/>
        </w:rPr>
        <w:t>.</w:t>
      </w:r>
    </w:p>
    <w:p w14:paraId="46DD393C" w14:textId="77777777" w:rsidR="002A21AE" w:rsidRDefault="002A21AE">
      <w:pPr>
        <w:pStyle w:val="Heading4"/>
      </w:pPr>
      <w:r>
        <w:t>Additional Information</w:t>
      </w:r>
      <w:r>
        <w:rPr>
          <w:rFonts w:ascii="Times New Roman" w:hAnsi="Times New Roman"/>
          <w:i/>
          <w:color w:val="0000FF"/>
          <w:sz w:val="24"/>
        </w:rPr>
        <w:t xml:space="preserve"> </w:t>
      </w:r>
    </w:p>
    <w:p w14:paraId="2FE9999A" w14:textId="77777777" w:rsidR="002A21AE" w:rsidRDefault="002A21AE">
      <w:pPr>
        <w:pStyle w:val="ListBullet"/>
      </w:pPr>
      <w:r>
        <w:t xml:space="preserve">The user performs lab tests and enters data simultaneously. </w:t>
      </w:r>
    </w:p>
    <w:p w14:paraId="2FB66484" w14:textId="77777777" w:rsidR="002A21AE" w:rsidRDefault="002A21AE">
      <w:pPr>
        <w:pStyle w:val="Heading4"/>
      </w:pPr>
      <w:r>
        <w:t xml:space="preserve">User Roles with Access to This Option </w:t>
      </w:r>
    </w:p>
    <w:p w14:paraId="033ADEF1" w14:textId="77777777" w:rsidR="002A21AE" w:rsidRDefault="007934CF">
      <w:pPr>
        <w:pStyle w:val="Roles"/>
      </w:pPr>
      <w:r>
        <w:t>All users</w:t>
      </w:r>
    </w:p>
    <w:p w14:paraId="048785DE" w14:textId="77777777" w:rsidR="002A21AE" w:rsidRDefault="002A21AE">
      <w:pPr>
        <w:pStyle w:val="Heading4"/>
        <w:rPr>
          <w:bCs/>
        </w:rPr>
      </w:pPr>
      <w:r>
        <w:rPr>
          <w:bCs/>
        </w:rPr>
        <w:t>Patient Testing: Record a Patient Antibody Screen</w:t>
      </w:r>
    </w:p>
    <w:p w14:paraId="5E273F9C" w14:textId="77777777" w:rsidR="002A21AE" w:rsidRDefault="002A21AE" w:rsidP="00FA7E65">
      <w:pPr>
        <w:pStyle w:val="BodyText"/>
      </w:pPr>
      <w:r>
        <w:t xml:space="preserve">The user tests the patient’s specimen for the presence of antibodies-to-irregular red cell antigens. The user may perform this test alone or as part of a battery of tests. </w:t>
      </w:r>
    </w:p>
    <w:p w14:paraId="22C029B8" w14:textId="77777777" w:rsidR="002A21AE" w:rsidRDefault="002A21AE" w:rsidP="00FA7E65">
      <w:pPr>
        <w:pStyle w:val="BodyText"/>
      </w:pPr>
      <w:r>
        <w:t>The user accesses patient antibody screen grids through Patient Testing: Record Patient Test Results and enters observations of the serologic reactions in the data entry grid during testing. VBECS makes the interpretation available to CPRS and patient reports.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C8467A" w14:textId="77777777">
        <w:trPr>
          <w:cantSplit/>
          <w:tblHeader/>
        </w:trPr>
        <w:tc>
          <w:tcPr>
            <w:tcW w:w="3240" w:type="dxa"/>
            <w:shd w:val="pct30" w:color="auto" w:fill="FFFFFF"/>
            <w:vAlign w:val="bottom"/>
          </w:tcPr>
          <w:p w14:paraId="410D2B2B" w14:textId="77777777" w:rsidR="002A21AE" w:rsidRDefault="002A21AE">
            <w:pPr>
              <w:pStyle w:val="TableText"/>
              <w:rPr>
                <w:b/>
              </w:rPr>
            </w:pPr>
            <w:r>
              <w:rPr>
                <w:b/>
              </w:rPr>
              <w:t>User Action</w:t>
            </w:r>
          </w:p>
        </w:tc>
        <w:tc>
          <w:tcPr>
            <w:tcW w:w="6120" w:type="dxa"/>
            <w:shd w:val="pct30" w:color="auto" w:fill="FFFFFF"/>
            <w:vAlign w:val="bottom"/>
          </w:tcPr>
          <w:p w14:paraId="313DFAB9" w14:textId="77777777" w:rsidR="002A21AE" w:rsidRDefault="002A21AE">
            <w:pPr>
              <w:pStyle w:val="TableText"/>
              <w:rPr>
                <w:b/>
              </w:rPr>
            </w:pPr>
            <w:r>
              <w:rPr>
                <w:b/>
              </w:rPr>
              <w:t>VBECS</w:t>
            </w:r>
          </w:p>
        </w:tc>
      </w:tr>
      <w:tr w:rsidR="00141448" w14:paraId="6418F32D" w14:textId="77777777">
        <w:tc>
          <w:tcPr>
            <w:tcW w:w="3240" w:type="dxa"/>
            <w:tcBorders>
              <w:top w:val="single" w:sz="4" w:space="0" w:color="auto"/>
              <w:left w:val="single" w:sz="4" w:space="0" w:color="auto"/>
              <w:bottom w:val="single" w:sz="4" w:space="0" w:color="auto"/>
              <w:right w:val="single" w:sz="4" w:space="0" w:color="auto"/>
            </w:tcBorders>
          </w:tcPr>
          <w:p w14:paraId="6B4483CB" w14:textId="77777777" w:rsidR="00141448" w:rsidRDefault="00141448" w:rsidP="00D71D64">
            <w:pPr>
              <w:pStyle w:val="TableTextNumbers"/>
            </w:pPr>
            <w:r>
              <w:t xml:space="preserve">Select </w:t>
            </w:r>
            <w:r>
              <w:rPr>
                <w:b/>
              </w:rPr>
              <w:t>Patients</w:t>
            </w:r>
            <w:r>
              <w:t xml:space="preserve"> from the main menu.</w:t>
            </w:r>
          </w:p>
          <w:p w14:paraId="3E80FBE8" w14:textId="77777777" w:rsidR="00141448" w:rsidRDefault="00141448" w:rsidP="00141448">
            <w:pPr>
              <w:pStyle w:val="TableTextNumbersContinued"/>
            </w:pPr>
          </w:p>
          <w:p w14:paraId="754CC22E"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1CC242D1" w14:textId="77777777" w:rsidR="00141448" w:rsidRDefault="00141448" w:rsidP="00141448">
            <w:pPr>
              <w:pStyle w:val="TableTextBullet"/>
            </w:pPr>
            <w:r>
              <w:t xml:space="preserve">Displays options for processing patient-related functions. </w:t>
            </w:r>
          </w:p>
          <w:p w14:paraId="638A192D" w14:textId="77777777" w:rsidR="00141448" w:rsidRDefault="00141448" w:rsidP="00141448">
            <w:pPr>
              <w:pStyle w:val="TableTextBullet"/>
            </w:pPr>
            <w:r>
              <w:t>Displays the Pending Task List (PTL) in the Diagnostic Tests tab.</w:t>
            </w:r>
          </w:p>
          <w:p w14:paraId="43F4B79A" w14:textId="77777777" w:rsidR="00141448" w:rsidRDefault="00141448" w:rsidP="00141448">
            <w:pPr>
              <w:pStyle w:val="NotesText"/>
            </w:pPr>
          </w:p>
          <w:p w14:paraId="1E346A23" w14:textId="768557E6" w:rsidR="00141448" w:rsidRDefault="00141448" w:rsidP="00141448">
            <w:pPr>
              <w:pStyle w:val="TableText"/>
              <w:rPr>
                <w:b/>
                <w:bCs/>
                <w:szCs w:val="18"/>
              </w:rPr>
            </w:pPr>
            <w:r>
              <w:rPr>
                <w:b/>
                <w:bCs/>
                <w:szCs w:val="18"/>
              </w:rPr>
              <w:t>NOTES</w:t>
            </w:r>
          </w:p>
          <w:p w14:paraId="5BD8765D" w14:textId="77777777" w:rsidR="00141448" w:rsidRDefault="00141448" w:rsidP="00141448">
            <w:pPr>
              <w:pStyle w:val="NotesText"/>
            </w:pPr>
          </w:p>
          <w:p w14:paraId="1A41A9BA" w14:textId="77777777" w:rsidR="00141448" w:rsidRDefault="00141448" w:rsidP="00141448">
            <w:pPr>
              <w:pStyle w:val="NotesText"/>
            </w:pPr>
            <w:r>
              <w:t>A user may search for specific tasks using search criteria detailed in Pending Task List.</w:t>
            </w:r>
          </w:p>
        </w:tc>
      </w:tr>
      <w:tr w:rsidR="00B1359E" w14:paraId="20D36B59" w14:textId="77777777">
        <w:tc>
          <w:tcPr>
            <w:tcW w:w="3240" w:type="dxa"/>
          </w:tcPr>
          <w:p w14:paraId="2C35DE70" w14:textId="77777777" w:rsidR="00B1359E" w:rsidRDefault="00B1359E" w:rsidP="00150254">
            <w:pPr>
              <w:pStyle w:val="TableTextNumbers"/>
            </w:pPr>
            <w:r>
              <w:t xml:space="preserve">Click one to four check boxes in the Pending Task List to select tasks for testing. </w:t>
            </w:r>
          </w:p>
          <w:p w14:paraId="29A34767" w14:textId="77777777" w:rsidR="00B1359E" w:rsidRDefault="00B1359E" w:rsidP="00150254">
            <w:pPr>
              <w:pStyle w:val="TableTextNumbersContinued"/>
            </w:pPr>
          </w:p>
          <w:p w14:paraId="77F716A7" w14:textId="77777777" w:rsidR="00B1359E" w:rsidRDefault="00B1359E" w:rsidP="00150254">
            <w:pPr>
              <w:pStyle w:val="TableTextNumbersContinued"/>
            </w:pPr>
            <w:r>
              <w:t xml:space="preserve">Click </w:t>
            </w:r>
            <w:r>
              <w:rPr>
                <w:b/>
              </w:rPr>
              <w:t>OK</w:t>
            </w:r>
            <w:r>
              <w:t>.</w:t>
            </w:r>
          </w:p>
        </w:tc>
        <w:tc>
          <w:tcPr>
            <w:tcW w:w="6120" w:type="dxa"/>
          </w:tcPr>
          <w:p w14:paraId="5D2CF582" w14:textId="77777777" w:rsidR="00B1359E" w:rsidRDefault="00B1359E" w:rsidP="00150254">
            <w:pPr>
              <w:pStyle w:val="TableTextBullet"/>
            </w:pPr>
            <w:r>
              <w:t>Displays patient names and associated task information.</w:t>
            </w:r>
          </w:p>
        </w:tc>
      </w:tr>
      <w:tr w:rsidR="002A21AE" w14:paraId="7478BB75" w14:textId="77777777" w:rsidTr="00414071">
        <w:trPr>
          <w:cantSplit/>
        </w:trPr>
        <w:tc>
          <w:tcPr>
            <w:tcW w:w="3240" w:type="dxa"/>
          </w:tcPr>
          <w:p w14:paraId="69C9F71E" w14:textId="77777777" w:rsidR="00F345F3" w:rsidRDefault="00F345F3">
            <w:pPr>
              <w:pStyle w:val="TableTextNumbers"/>
            </w:pPr>
            <w:r>
              <w:lastRenderedPageBreak/>
              <w:t>Click a check box to s</w:t>
            </w:r>
            <w:r w:rsidR="00F3010E">
              <w:t>elect a reagent rack</w:t>
            </w:r>
            <w:r>
              <w:t>.</w:t>
            </w:r>
          </w:p>
          <w:p w14:paraId="041A262C" w14:textId="77777777" w:rsidR="00F345F3" w:rsidRDefault="00F345F3" w:rsidP="00F345F3">
            <w:pPr>
              <w:pStyle w:val="TableTextNumbersContinued"/>
            </w:pPr>
          </w:p>
          <w:p w14:paraId="7A372B84" w14:textId="77777777" w:rsidR="00F3010E" w:rsidRDefault="00F3010E" w:rsidP="00F345F3">
            <w:pPr>
              <w:pStyle w:val="TableTextNumbersContinued"/>
            </w:pPr>
            <w:r>
              <w:t xml:space="preserve">In the ABS or XM Testing Phases area, click the </w:t>
            </w:r>
            <w:r w:rsidRPr="00F3010E">
              <w:rPr>
                <w:b/>
              </w:rPr>
              <w:t>All Phases</w:t>
            </w:r>
            <w:r>
              <w:t xml:space="preserve"> or </w:t>
            </w:r>
            <w:r w:rsidRPr="00F3010E">
              <w:rPr>
                <w:b/>
              </w:rPr>
              <w:t xml:space="preserve">AHG Only </w:t>
            </w:r>
            <w:r w:rsidRPr="00BF2E41">
              <w:t>radio button</w:t>
            </w:r>
            <w:r>
              <w:t>.</w:t>
            </w:r>
          </w:p>
          <w:p w14:paraId="318D565F" w14:textId="77777777" w:rsidR="00F345F3" w:rsidRDefault="00F345F3" w:rsidP="00F345F3">
            <w:pPr>
              <w:pStyle w:val="TableTextNumbersContinued"/>
            </w:pPr>
          </w:p>
          <w:p w14:paraId="16375840" w14:textId="77777777" w:rsidR="00F345F3" w:rsidRDefault="00F345F3" w:rsidP="00F345F3">
            <w:pPr>
              <w:pStyle w:val="TableTextNumbersContinued"/>
            </w:pPr>
            <w:r>
              <w:t xml:space="preserve">Click </w:t>
            </w:r>
            <w:r>
              <w:rPr>
                <w:b/>
              </w:rPr>
              <w:t>OK</w:t>
            </w:r>
            <w:r>
              <w:t xml:space="preserve"> to continue with testing.</w:t>
            </w:r>
          </w:p>
        </w:tc>
        <w:tc>
          <w:tcPr>
            <w:tcW w:w="6120" w:type="dxa"/>
          </w:tcPr>
          <w:p w14:paraId="64414BA4" w14:textId="77777777" w:rsidR="002A21AE" w:rsidRDefault="002A21AE">
            <w:pPr>
              <w:pStyle w:val="TableText"/>
            </w:pPr>
          </w:p>
          <w:p w14:paraId="37FFBBDA" w14:textId="748A1C92" w:rsidR="002A21AE" w:rsidRDefault="002A21AE">
            <w:pPr>
              <w:pStyle w:val="TableText"/>
              <w:rPr>
                <w:b/>
                <w:bCs/>
                <w:szCs w:val="18"/>
              </w:rPr>
            </w:pPr>
            <w:r>
              <w:rPr>
                <w:b/>
                <w:bCs/>
                <w:szCs w:val="18"/>
              </w:rPr>
              <w:t>NOTES</w:t>
            </w:r>
          </w:p>
          <w:p w14:paraId="68D67BE6" w14:textId="77777777" w:rsidR="002A21AE" w:rsidRDefault="002A21AE">
            <w:pPr>
              <w:pStyle w:val="NotesText"/>
            </w:pPr>
          </w:p>
          <w:p w14:paraId="075C215E" w14:textId="77777777" w:rsidR="002A21AE" w:rsidRDefault="002A21AE">
            <w:pPr>
              <w:pStyle w:val="NotesText"/>
            </w:pPr>
            <w:r>
              <w:rPr>
                <w:rFonts w:cs="Arial"/>
                <w:vanish/>
              </w:rPr>
              <w:t xml:space="preserve">BR_40.04 </w:t>
            </w:r>
            <w:r>
              <w:t>When the testing method selected is AHG only, VBECS disables the data grid boxes for phases IS, 37, and CC.</w:t>
            </w:r>
          </w:p>
        </w:tc>
      </w:tr>
      <w:tr w:rsidR="002A21AE" w14:paraId="3C45FD77" w14:textId="77777777">
        <w:tc>
          <w:tcPr>
            <w:tcW w:w="3240" w:type="dxa"/>
          </w:tcPr>
          <w:p w14:paraId="56BC6D11" w14:textId="77777777" w:rsidR="002A21AE" w:rsidRDefault="00F345F3">
            <w:pPr>
              <w:pStyle w:val="TableTextNumbers"/>
            </w:pPr>
            <w:r>
              <w:t>When processing more than one patient, s</w:t>
            </w:r>
            <w:r w:rsidR="002A21AE">
              <w:t xml:space="preserve">elect a </w:t>
            </w:r>
            <w:r>
              <w:t>name from the drop-down list in the Name field (or click the right or left arrow)</w:t>
            </w:r>
            <w:r w:rsidR="002A21AE">
              <w:t xml:space="preserve"> to </w:t>
            </w:r>
            <w:r>
              <w:t>record testing</w:t>
            </w:r>
            <w:r w:rsidR="00F9187A">
              <w:t xml:space="preserve"> for that patient</w:t>
            </w:r>
            <w:r w:rsidR="002A21AE">
              <w:t>.</w:t>
            </w:r>
          </w:p>
        </w:tc>
        <w:tc>
          <w:tcPr>
            <w:tcW w:w="6120" w:type="dxa"/>
          </w:tcPr>
          <w:p w14:paraId="15B0FEDE" w14:textId="77777777" w:rsidR="002A21AE" w:rsidRDefault="002A21AE">
            <w:pPr>
              <w:pStyle w:val="TableTextBullet"/>
            </w:pPr>
            <w:r>
              <w:t xml:space="preserve">Allows the user to select a patient and enter a test result for the patient. </w:t>
            </w:r>
          </w:p>
          <w:p w14:paraId="422E4E62" w14:textId="77777777" w:rsidR="002A21AE" w:rsidRDefault="002A21AE" w:rsidP="00380ACC">
            <w:pPr>
              <w:pStyle w:val="TableTextBullet"/>
            </w:pPr>
            <w:r>
              <w:t>Allows only valid data entries in the grid reaction result and interpretation cells.</w:t>
            </w:r>
          </w:p>
          <w:p w14:paraId="0581E73D" w14:textId="77777777" w:rsidR="002A21AE" w:rsidRDefault="002A21AE">
            <w:pPr>
              <w:pStyle w:val="TableText"/>
            </w:pPr>
          </w:p>
          <w:p w14:paraId="6390B645" w14:textId="71771448" w:rsidR="002A21AE" w:rsidRDefault="002A21AE">
            <w:pPr>
              <w:pStyle w:val="TableText"/>
              <w:rPr>
                <w:b/>
                <w:bCs/>
                <w:szCs w:val="18"/>
              </w:rPr>
            </w:pPr>
            <w:r>
              <w:rPr>
                <w:b/>
                <w:bCs/>
                <w:szCs w:val="18"/>
              </w:rPr>
              <w:t>NOTES</w:t>
            </w:r>
          </w:p>
          <w:p w14:paraId="41AD6E3A" w14:textId="77777777" w:rsidR="002A21AE" w:rsidRDefault="002A21AE">
            <w:pPr>
              <w:pStyle w:val="NotesText"/>
            </w:pPr>
          </w:p>
          <w:p w14:paraId="356A75E5" w14:textId="5104D770" w:rsidR="002A21AE" w:rsidRDefault="002A21AE">
            <w:pPr>
              <w:pStyle w:val="NotesText"/>
            </w:pPr>
            <w:r>
              <w:rPr>
                <w:rFonts w:cs="Arial"/>
                <w:vanish/>
              </w:rPr>
              <w:t xml:space="preserve">BR_53.02 </w:t>
            </w:r>
            <w:r>
              <w:t xml:space="preserve">The logic described in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 xml:space="preserve">: </w:t>
            </w:r>
            <w:r w:rsidR="00AE2DC1">
              <w:fldChar w:fldCharType="begin"/>
            </w:r>
            <w:r w:rsidR="00AE2DC1">
              <w:instrText xml:space="preserve"> REF _Ref126504351 \h </w:instrText>
            </w:r>
            <w:r w:rsidR="00AE2DC1">
              <w:fldChar w:fldCharType="separate"/>
            </w:r>
            <w:r w:rsidR="004353ED">
              <w:t xml:space="preserve">Table </w:t>
            </w:r>
            <w:r w:rsidR="004353ED">
              <w:rPr>
                <w:noProof/>
              </w:rPr>
              <w:t>16</w:t>
            </w:r>
            <w:r w:rsidR="004353ED">
              <w:t xml:space="preserve">: </w:t>
            </w:r>
            <w:r w:rsidR="004353ED">
              <w:rPr>
                <w:vanish/>
              </w:rPr>
              <w:t xml:space="preserve">TT_53.02 </w:t>
            </w:r>
            <w:r w:rsidR="004353ED">
              <w:t>Antibody Screen Test Interpretation</w:t>
            </w:r>
            <w:r w:rsidR="00AE2DC1">
              <w:fldChar w:fldCharType="end"/>
            </w:r>
            <w:r w:rsidR="00AE2DC1">
              <w:t xml:space="preserve"> </w:t>
            </w:r>
            <w:r>
              <w:t>is an integral part of the configuration of the reaction result grid developed for Patient Testing: Record a Patient Antibody Screen.</w:t>
            </w:r>
          </w:p>
          <w:p w14:paraId="5039AF54" w14:textId="77777777" w:rsidR="002A21AE" w:rsidRDefault="002A21AE">
            <w:pPr>
              <w:pStyle w:val="NotesText"/>
            </w:pPr>
          </w:p>
          <w:p w14:paraId="5007FAE3" w14:textId="77777777" w:rsidR="002A21AE" w:rsidRDefault="002A21AE">
            <w:pPr>
              <w:pStyle w:val="NotesText"/>
            </w:pPr>
            <w:r>
              <w:rPr>
                <w:rFonts w:cs="Arial"/>
                <w:vanish/>
              </w:rPr>
              <w:t xml:space="preserve">BR_53.04 </w:t>
            </w:r>
            <w:r>
              <w:t>There may be two to five rows of screening cells to be validated as a group (the ABS). The user enters only one interpretation for the combination of cells tested.</w:t>
            </w:r>
          </w:p>
          <w:p w14:paraId="5D30BA58" w14:textId="77777777" w:rsidR="002A21AE" w:rsidRDefault="002A21AE">
            <w:pPr>
              <w:pStyle w:val="NotesText"/>
            </w:pPr>
          </w:p>
          <w:p w14:paraId="0CE5FFC1" w14:textId="77777777" w:rsidR="002A21AE" w:rsidRDefault="002A21AE">
            <w:pPr>
              <w:pStyle w:val="NotesText"/>
            </w:pPr>
            <w:r>
              <w:rPr>
                <w:rFonts w:cs="Arial"/>
                <w:vanish/>
              </w:rPr>
              <w:t xml:space="preserve">BR_53.03 </w:t>
            </w:r>
            <w:r>
              <w:t>Valid interpretations of an ABS Test are positive or negative.</w:t>
            </w:r>
          </w:p>
          <w:p w14:paraId="3F9D8E25" w14:textId="77777777" w:rsidR="00B57F42" w:rsidRDefault="00B57F42">
            <w:pPr>
              <w:pStyle w:val="NotesText"/>
            </w:pPr>
          </w:p>
          <w:p w14:paraId="3169A0AE" w14:textId="17F7B05D" w:rsidR="00B57F42" w:rsidRDefault="00B57F42">
            <w:pPr>
              <w:pStyle w:val="NotesText"/>
            </w:pPr>
            <w:r w:rsidRPr="007A20C2">
              <w:rPr>
                <w:vanish/>
              </w:rPr>
              <w:t xml:space="preserve">BR_53.08 </w:t>
            </w:r>
            <w:r w:rsidR="007A20C2">
              <w:t xml:space="preserve">If the antibody screen is positive, the system emits an audible alert and warning that displays that the </w:t>
            </w:r>
            <w:r w:rsidR="007A20C2" w:rsidRPr="00DD6184">
              <w:t xml:space="preserve">Patient has a POSITIVE </w:t>
            </w:r>
            <w:r w:rsidR="007A20C2">
              <w:t>Antibody Screen Result. P</w:t>
            </w:r>
            <w:r w:rsidR="007A20C2" w:rsidRPr="00DD6184">
              <w:t>erform Antibody Identification on this patient prior to issue of blood components</w:t>
            </w:r>
            <w:r w:rsidR="007A20C2">
              <w:t>.</w:t>
            </w:r>
          </w:p>
        </w:tc>
      </w:tr>
      <w:tr w:rsidR="002A21AE" w14:paraId="48E7E406" w14:textId="77777777">
        <w:tc>
          <w:tcPr>
            <w:tcW w:w="3240" w:type="dxa"/>
          </w:tcPr>
          <w:p w14:paraId="6419984B" w14:textId="77777777" w:rsidR="002A21AE" w:rsidRDefault="002A21AE">
            <w:pPr>
              <w:pStyle w:val="TableTextNumbers"/>
            </w:pPr>
            <w:r>
              <w:t>Repeat Step 4 until results are entered in some or all portions of the test grid for the selected patient. Enter the interpretation for the patient ABS Test, if desired.</w:t>
            </w:r>
          </w:p>
        </w:tc>
        <w:tc>
          <w:tcPr>
            <w:tcW w:w="6120" w:type="dxa"/>
          </w:tcPr>
          <w:p w14:paraId="44F45BD3" w14:textId="77777777" w:rsidR="002A21AE" w:rsidRDefault="002A21AE">
            <w:pPr>
              <w:pStyle w:val="TableTextBullet"/>
            </w:pPr>
            <w:r>
              <w:t>Verifies that appropriate tests are entered.</w:t>
            </w:r>
          </w:p>
          <w:p w14:paraId="6D737AAD" w14:textId="77777777" w:rsidR="002A21AE" w:rsidRDefault="002A21AE">
            <w:pPr>
              <w:pStyle w:val="TableTextBullet"/>
            </w:pPr>
            <w:r>
              <w:t>Prompts the user to confirm that results were reviewed and are acceptable.</w:t>
            </w:r>
          </w:p>
          <w:p w14:paraId="02363490" w14:textId="77777777" w:rsidR="002A21AE" w:rsidRDefault="002A21AE">
            <w:pPr>
              <w:pStyle w:val="TableText"/>
            </w:pPr>
          </w:p>
          <w:p w14:paraId="748B3992" w14:textId="0052091E" w:rsidR="002A21AE" w:rsidRDefault="002A21AE">
            <w:pPr>
              <w:pStyle w:val="TableText"/>
              <w:rPr>
                <w:b/>
                <w:bCs/>
                <w:szCs w:val="18"/>
              </w:rPr>
            </w:pPr>
            <w:r>
              <w:rPr>
                <w:b/>
                <w:bCs/>
                <w:szCs w:val="18"/>
              </w:rPr>
              <w:t>NOTES</w:t>
            </w:r>
          </w:p>
          <w:p w14:paraId="1C2C9E43" w14:textId="77777777" w:rsidR="002A21AE" w:rsidRDefault="002A21AE">
            <w:pPr>
              <w:pStyle w:val="NotesText"/>
            </w:pPr>
          </w:p>
          <w:p w14:paraId="76C0436F" w14:textId="368CF000" w:rsidR="002A21AE" w:rsidRDefault="002A21AE" w:rsidP="009874B8">
            <w:pPr>
              <w:pStyle w:val="NotesText"/>
            </w:pPr>
            <w:r>
              <w:rPr>
                <w:rFonts w:cs="Arial"/>
                <w:vanish/>
              </w:rPr>
              <w:t xml:space="preserve">BR_53.01 </w:t>
            </w:r>
            <w:r>
              <w:t xml:space="preserve">When the ABS Test interpretation must be consistent with observed test results based on </w:t>
            </w:r>
            <w:r w:rsidR="00AE2DC1">
              <w:fldChar w:fldCharType="begin"/>
            </w:r>
            <w:r w:rsidR="00AE2DC1">
              <w:instrText xml:space="preserve"> REF _Ref126504384 \h </w:instrText>
            </w:r>
            <w:r w:rsidR="00AE2DC1">
              <w:fldChar w:fldCharType="separate"/>
            </w:r>
            <w:r w:rsidR="004353ED">
              <w:t xml:space="preserve">Table </w:t>
            </w:r>
            <w:r w:rsidR="004353ED">
              <w:rPr>
                <w:noProof/>
              </w:rPr>
              <w:t>16</w:t>
            </w:r>
            <w:r w:rsidR="004353ED">
              <w:t xml:space="preserve">: </w:t>
            </w:r>
            <w:r w:rsidR="004353ED">
              <w:rPr>
                <w:vanish/>
              </w:rPr>
              <w:t xml:space="preserve">TT_53.02 </w:t>
            </w:r>
            <w:r w:rsidR="004353ED">
              <w:t>Antibody Screen Test Interpretation</w:t>
            </w:r>
            <w:r w:rsidR="00AE2DC1">
              <w:fldChar w:fldCharType="end"/>
            </w:r>
            <w:r>
              <w:t>, discrepancies must be resolved before VBECS verifies the results and adds them to the database. The user may reenter valid results or delete the entries</w:t>
            </w:r>
            <w:r w:rsidR="009874B8">
              <w:t xml:space="preserve"> and start over before saving. </w:t>
            </w:r>
          </w:p>
        </w:tc>
      </w:tr>
      <w:tr w:rsidR="002A21AE" w14:paraId="495DA90C" w14:textId="77777777">
        <w:tc>
          <w:tcPr>
            <w:tcW w:w="3240" w:type="dxa"/>
          </w:tcPr>
          <w:p w14:paraId="032386D6" w14:textId="77777777" w:rsidR="002A21AE" w:rsidRDefault="002A21AE">
            <w:pPr>
              <w:pStyle w:val="TableTextNumbers"/>
            </w:pPr>
            <w:r>
              <w:t>Enter test results in preparation for updating the database.</w:t>
            </w:r>
            <w:r w:rsidRPr="00B93B42">
              <w:rPr>
                <w:rStyle w:val="StyleTableTextNumbersWhite1Char"/>
              </w:rPr>
              <w:t xml:space="preserve"> </w:t>
            </w:r>
          </w:p>
        </w:tc>
        <w:tc>
          <w:tcPr>
            <w:tcW w:w="6120" w:type="dxa"/>
          </w:tcPr>
          <w:p w14:paraId="04F86C41" w14:textId="77777777" w:rsidR="002A21AE" w:rsidRDefault="002A21AE">
            <w:pPr>
              <w:pStyle w:val="TableTextBullet"/>
            </w:pPr>
            <w:r>
              <w:t>Saves the data.</w:t>
            </w:r>
          </w:p>
        </w:tc>
      </w:tr>
      <w:tr w:rsidR="002A21AE" w14:paraId="30BEC559" w14:textId="77777777">
        <w:tc>
          <w:tcPr>
            <w:tcW w:w="3240" w:type="dxa"/>
          </w:tcPr>
          <w:p w14:paraId="292AFB02" w14:textId="77777777" w:rsidR="002A21AE" w:rsidRDefault="002A21AE">
            <w:pPr>
              <w:pStyle w:val="TableTextNumbers"/>
            </w:pPr>
            <w:r>
              <w:t xml:space="preserve">Click </w:t>
            </w:r>
            <w:r>
              <w:rPr>
                <w:b/>
              </w:rPr>
              <w:t xml:space="preserve">OK </w:t>
            </w:r>
            <w:r>
              <w:t xml:space="preserve">to </w:t>
            </w:r>
            <w:r w:rsidR="0095563F">
              <w:t xml:space="preserve">save, and </w:t>
            </w:r>
            <w:r w:rsidR="0095563F" w:rsidRPr="0095563F">
              <w:rPr>
                <w:b/>
              </w:rPr>
              <w:t>OK</w:t>
            </w:r>
            <w:r w:rsidR="0095563F">
              <w:t xml:space="preserve"> to confirm and </w:t>
            </w: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72" w:author="Blalock, David (Leidos)" w:date="2020-06-15T14:09:00Z" w:original="0."/>
              </w:fldChar>
            </w:r>
          </w:p>
        </w:tc>
        <w:tc>
          <w:tcPr>
            <w:tcW w:w="6120" w:type="dxa"/>
          </w:tcPr>
          <w:p w14:paraId="70EC351E" w14:textId="77777777" w:rsidR="002A21AE" w:rsidRDefault="002A21AE">
            <w:pPr>
              <w:pStyle w:val="TableText"/>
            </w:pPr>
          </w:p>
        </w:tc>
      </w:tr>
    </w:tbl>
    <w:p w14:paraId="21A5AE24" w14:textId="77777777" w:rsidR="00AC2D9E" w:rsidRDefault="00AC2D9E">
      <w:pPr>
        <w:pStyle w:val="Heading3"/>
      </w:pPr>
    </w:p>
    <w:p w14:paraId="6C166781" w14:textId="77777777" w:rsidR="002A21AE" w:rsidRDefault="00AC2D9E">
      <w:pPr>
        <w:pStyle w:val="Heading3"/>
      </w:pPr>
      <w:r>
        <w:br w:type="page"/>
      </w:r>
      <w:bookmarkStart w:id="573" w:name="_Toc47516758"/>
      <w:bookmarkStart w:id="574" w:name="_Hlk36533028"/>
      <w:r w:rsidR="002A21AE">
        <w:lastRenderedPageBreak/>
        <w:t>Patient Testing: Record a Direct Antiglobulin Test</w:t>
      </w:r>
      <w:bookmarkEnd w:id="573"/>
      <w:r w:rsidR="002A21AE">
        <w:fldChar w:fldCharType="begin"/>
      </w:r>
      <w:r w:rsidR="002A21AE">
        <w:instrText xml:space="preserve"> XE </w:instrText>
      </w:r>
      <w:r w:rsidR="00FA7E65">
        <w:instrText>“</w:instrText>
      </w:r>
      <w:r w:rsidR="002A21AE">
        <w:instrText>Patient Testing\: Record a Direct Antiglobulin Test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UC_54</w:t>
      </w:r>
    </w:p>
    <w:p w14:paraId="328DA432" w14:textId="77777777" w:rsidR="002A21AE" w:rsidRDefault="002A21AE" w:rsidP="00FA7E65">
      <w:pPr>
        <w:pStyle w:val="BodyText"/>
      </w:pPr>
      <w:r>
        <w:t xml:space="preserve">The user records observed results when performing a Direct Antiglobulin Test (DAT). </w:t>
      </w:r>
    </w:p>
    <w:p w14:paraId="7EE0CE07" w14:textId="77777777" w:rsidR="002A21AE" w:rsidRDefault="002A21AE">
      <w:pPr>
        <w:pStyle w:val="Heading4"/>
      </w:pPr>
      <w:r>
        <w:t>Assumptions</w:t>
      </w:r>
      <w:r>
        <w:rPr>
          <w:b w:val="0"/>
        </w:rPr>
        <w:t xml:space="preserve"> </w:t>
      </w:r>
    </w:p>
    <w:p w14:paraId="114CE7C5" w14:textId="77777777" w:rsidR="002A21AE" w:rsidRDefault="002A21AE">
      <w:pPr>
        <w:pStyle w:val="ListBullet"/>
      </w:pPr>
      <w:r>
        <w:t xml:space="preserve">A CPRS order exists that includes a DAT, which the user may also order as a reflex patient test. </w:t>
      </w:r>
    </w:p>
    <w:p w14:paraId="4E64228B" w14:textId="77777777" w:rsidR="002A21AE" w:rsidRDefault="002A21AE">
      <w:pPr>
        <w:pStyle w:val="ListBullet"/>
      </w:pPr>
      <w:r>
        <w:t xml:space="preserve">The user is testing a patient specimen in Patient Testing: Record Patient Test Results. </w:t>
      </w:r>
    </w:p>
    <w:p w14:paraId="728E0E40" w14:textId="77777777" w:rsidR="002A21AE" w:rsidRDefault="002A21AE">
      <w:pPr>
        <w:pStyle w:val="ListBullet"/>
      </w:pPr>
      <w:r>
        <w:t>VBECS is configured to accommodate the DAT as part of a Type &amp; Screen (TAS).</w:t>
      </w:r>
    </w:p>
    <w:p w14:paraId="4EC5B2B2" w14:textId="77777777" w:rsidR="002A21AE" w:rsidRDefault="002A21AE">
      <w:pPr>
        <w:pStyle w:val="Heading4"/>
      </w:pPr>
      <w:r>
        <w:t xml:space="preserve">Outcome </w:t>
      </w:r>
    </w:p>
    <w:p w14:paraId="116543D6" w14:textId="77777777" w:rsidR="002A21AE" w:rsidRDefault="002A21AE">
      <w:pPr>
        <w:pStyle w:val="ListBullet"/>
      </w:pPr>
      <w:r>
        <w:t>When a DAT is ordered as a stand-alone test, VBECS changes the task status to “completed” and triggers the generation of a message to CPRS that the order is complete.</w:t>
      </w:r>
    </w:p>
    <w:p w14:paraId="74E8352B" w14:textId="77777777" w:rsidR="002A21AE" w:rsidRDefault="002A21AE">
      <w:pPr>
        <w:pStyle w:val="Heading4"/>
      </w:pPr>
      <w:r>
        <w:t>Limitations and Restrictions</w:t>
      </w:r>
      <w:r>
        <w:rPr>
          <w:b w:val="0"/>
        </w:rPr>
        <w:t xml:space="preserve"> </w:t>
      </w:r>
    </w:p>
    <w:p w14:paraId="0B4C96F4" w14:textId="77777777" w:rsidR="002A21AE" w:rsidRDefault="002A21AE">
      <w:pPr>
        <w:pStyle w:val="ListBullet"/>
      </w:pPr>
      <w:r>
        <w:t>VBECS does not check whether the lot and vial numbers selected for the positive control cells are different from those of the negative control cells.</w:t>
      </w:r>
    </w:p>
    <w:p w14:paraId="2130BC17" w14:textId="77777777" w:rsidR="002A21AE" w:rsidRDefault="002A21AE">
      <w:pPr>
        <w:pStyle w:val="Heading4"/>
      </w:pPr>
      <w:r>
        <w:t xml:space="preserve">Additional Information </w:t>
      </w:r>
    </w:p>
    <w:p w14:paraId="65AC702E" w14:textId="77777777" w:rsidR="002A21AE" w:rsidRDefault="002A21AE">
      <w:pPr>
        <w:pStyle w:val="ListBullet"/>
      </w:pPr>
      <w:r>
        <w:rPr>
          <w:rFonts w:ascii="Arial" w:hAnsi="Arial" w:cs="Arial"/>
          <w:vanish/>
          <w:spacing w:val="0"/>
          <w:sz w:val="18"/>
        </w:rPr>
        <w:t xml:space="preserve">BR_28.11 </w:t>
      </w:r>
      <w:r>
        <w:t>The site settings determine which reagent types and lot numbers are available.</w:t>
      </w:r>
    </w:p>
    <w:p w14:paraId="23588CE6" w14:textId="45E746BA" w:rsidR="002A21AE" w:rsidRDefault="002A21AE">
      <w:pPr>
        <w:pStyle w:val="ListBullet"/>
      </w:pPr>
      <w:r>
        <w:t xml:space="preserve">VBECS checks the rack for the DAT reagents in use. When the rack testing does not include Poly AHG, Anti-IgG, or anti-complement, VBECS displays additional positive and negative control rows with the test grid for the DAT sera. </w:t>
      </w:r>
      <w:r w:rsidR="007C52D2">
        <w:t xml:space="preserve">(See </w:t>
      </w:r>
      <w:r w:rsidR="0096583A">
        <w:t xml:space="preserve">FAQ </w:t>
      </w:r>
      <w:r w:rsidR="007C52D2">
        <w:t>Polyspecific AHG Not Used for Testing)</w:t>
      </w:r>
    </w:p>
    <w:p w14:paraId="17221485" w14:textId="2DD8730C" w:rsidR="002A21AE" w:rsidRDefault="002A21AE">
      <w:pPr>
        <w:pStyle w:val="ListBullet"/>
      </w:pPr>
      <w:r>
        <w:rPr>
          <w:rFonts w:ascii="Arial" w:hAnsi="Arial" w:cs="Arial"/>
          <w:vanish/>
          <w:spacing w:val="0"/>
          <w:sz w:val="18"/>
        </w:rPr>
        <w:t xml:space="preserve">BR_41.25 </w:t>
      </w:r>
      <w:r>
        <w:t>The user may select reagent lot numbers for positive and negative control cells: Reverse ABO Typing Cells (Set), A2 cell (vial), Screening Cells (set), Check Cells (vial), Panel (set), and Other (set).</w:t>
      </w:r>
    </w:p>
    <w:p w14:paraId="63C26F4B" w14:textId="2C54D513" w:rsidR="0040397B" w:rsidRDefault="00E06D68" w:rsidP="00E06D68">
      <w:pPr>
        <w:pStyle w:val="ListBullet"/>
      </w:pPr>
      <w:r w:rsidRPr="00E06D68">
        <w:t xml:space="preserve">DAT tests indicated as performed using GEL with valid control cells </w:t>
      </w:r>
      <w:r>
        <w:t xml:space="preserve">no longer require the entry of check cell </w:t>
      </w:r>
      <w:r w:rsidRPr="00E06D68">
        <w:t>results. DAT tests performed by manual method will al</w:t>
      </w:r>
      <w:r>
        <w:t>so no longer require entry of check cell</w:t>
      </w:r>
      <w:r w:rsidRPr="00E06D68">
        <w:t xml:space="preserve"> results.</w:t>
      </w:r>
      <w:r w:rsidR="00CC3452">
        <w:t xml:space="preserve"> Test results do not have to be entered, but the cell cannot be blank. An “X” can be entered to indicate “Not Tested”, if testing was not performed. </w:t>
      </w:r>
      <w:r w:rsidR="00CC3452" w:rsidRPr="00CC3452">
        <w:rPr>
          <w:vanish/>
        </w:rPr>
        <w:t>Task 881295</w:t>
      </w:r>
    </w:p>
    <w:p w14:paraId="1179F84D" w14:textId="77777777" w:rsidR="002A21AE" w:rsidRDefault="002A21AE">
      <w:pPr>
        <w:pStyle w:val="Heading4"/>
      </w:pPr>
      <w:r>
        <w:t xml:space="preserve">User Roles with Access to This Option </w:t>
      </w:r>
    </w:p>
    <w:p w14:paraId="0F376E7A" w14:textId="77777777" w:rsidR="002A21AE" w:rsidRDefault="007934CF">
      <w:pPr>
        <w:pStyle w:val="Roles"/>
      </w:pPr>
      <w:r>
        <w:t>All users</w:t>
      </w:r>
    </w:p>
    <w:p w14:paraId="5C960341" w14:textId="77777777" w:rsidR="002A21AE" w:rsidRDefault="002A21AE">
      <w:pPr>
        <w:pStyle w:val="Heading4"/>
      </w:pPr>
      <w:r>
        <w:t>Patient Testing: Record a Direct Antiglobulin Test</w:t>
      </w:r>
    </w:p>
    <w:p w14:paraId="0207B2A7" w14:textId="77777777" w:rsidR="002A21AE" w:rsidRDefault="002A21AE" w:rsidP="00FA7E65">
      <w:pPr>
        <w:pStyle w:val="BodyText"/>
      </w:pPr>
      <w:r>
        <w:t xml:space="preserve">The user performs a DAT on a patient sample. </w:t>
      </w:r>
    </w:p>
    <w:p w14:paraId="7C5D6291" w14:textId="77777777" w:rsidR="002A21AE" w:rsidRDefault="002A21AE" w:rsidP="00FA7E65">
      <w:pPr>
        <w:pStyle w:val="BodyText"/>
      </w:pPr>
      <w:r>
        <w:t>The DAT may generate additional reflex test o</w:t>
      </w:r>
      <w:r w:rsidR="0058122A">
        <w:t xml:space="preserve">rders such as </w:t>
      </w:r>
      <w:r>
        <w:t>antibody identification. VBECS saves the reactions and interpretation in the database as part of the patient’s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EEBFC5D" w14:textId="77777777">
        <w:trPr>
          <w:cantSplit/>
          <w:tblHeader/>
        </w:trPr>
        <w:tc>
          <w:tcPr>
            <w:tcW w:w="3240" w:type="dxa"/>
            <w:shd w:val="pct30" w:color="auto" w:fill="FFFFFF"/>
            <w:vAlign w:val="bottom"/>
          </w:tcPr>
          <w:p w14:paraId="259B53D5" w14:textId="77777777" w:rsidR="002A21AE" w:rsidRDefault="002A21AE">
            <w:pPr>
              <w:pStyle w:val="TableText"/>
              <w:rPr>
                <w:b/>
              </w:rPr>
            </w:pPr>
            <w:r>
              <w:rPr>
                <w:b/>
              </w:rPr>
              <w:t>User Action</w:t>
            </w:r>
          </w:p>
        </w:tc>
        <w:tc>
          <w:tcPr>
            <w:tcW w:w="6120" w:type="dxa"/>
            <w:shd w:val="pct30" w:color="auto" w:fill="FFFFFF"/>
            <w:vAlign w:val="bottom"/>
          </w:tcPr>
          <w:p w14:paraId="52EBE639" w14:textId="77777777" w:rsidR="002A21AE" w:rsidRDefault="002A21AE">
            <w:pPr>
              <w:pStyle w:val="TableText"/>
              <w:rPr>
                <w:b/>
              </w:rPr>
            </w:pPr>
            <w:r>
              <w:rPr>
                <w:b/>
              </w:rPr>
              <w:t>VBECS</w:t>
            </w:r>
          </w:p>
        </w:tc>
      </w:tr>
      <w:tr w:rsidR="00141448" w14:paraId="4910F5CE" w14:textId="77777777">
        <w:tc>
          <w:tcPr>
            <w:tcW w:w="3240" w:type="dxa"/>
            <w:tcBorders>
              <w:top w:val="single" w:sz="4" w:space="0" w:color="auto"/>
              <w:left w:val="single" w:sz="4" w:space="0" w:color="auto"/>
              <w:bottom w:val="single" w:sz="4" w:space="0" w:color="auto"/>
              <w:right w:val="single" w:sz="4" w:space="0" w:color="auto"/>
            </w:tcBorders>
          </w:tcPr>
          <w:p w14:paraId="7E3D4596" w14:textId="77777777" w:rsidR="00141448" w:rsidRDefault="00141448" w:rsidP="00141448">
            <w:pPr>
              <w:pStyle w:val="TableTextNumbers"/>
            </w:pPr>
            <w:r>
              <w:t xml:space="preserve">Select </w:t>
            </w:r>
            <w:r>
              <w:rPr>
                <w:b/>
              </w:rPr>
              <w:t>Patients</w:t>
            </w:r>
            <w:r>
              <w:t xml:space="preserve"> from the main menu.</w:t>
            </w:r>
          </w:p>
          <w:p w14:paraId="0FA3887A" w14:textId="77777777" w:rsidR="00141448" w:rsidRDefault="00141448" w:rsidP="00141448">
            <w:pPr>
              <w:pStyle w:val="TableTextNumbersContinued"/>
            </w:pPr>
          </w:p>
          <w:p w14:paraId="0FB762E6"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959DC56" w14:textId="77777777" w:rsidR="00141448" w:rsidRDefault="00141448" w:rsidP="00141448">
            <w:pPr>
              <w:pStyle w:val="TableTextBullet"/>
            </w:pPr>
            <w:r>
              <w:t xml:space="preserve">Displays options for processing patient-related functions. </w:t>
            </w:r>
          </w:p>
          <w:p w14:paraId="57668D5B" w14:textId="77777777" w:rsidR="00141448" w:rsidRDefault="00141448" w:rsidP="00141448">
            <w:pPr>
              <w:pStyle w:val="TableTextBullet"/>
            </w:pPr>
            <w:r>
              <w:t>Displays the Pending Task List (PTL) in the Diagnostic Tests tab.</w:t>
            </w:r>
          </w:p>
          <w:p w14:paraId="1449CC28" w14:textId="77777777" w:rsidR="00141448" w:rsidRDefault="00141448" w:rsidP="00141448">
            <w:pPr>
              <w:pStyle w:val="NotesText"/>
            </w:pPr>
          </w:p>
          <w:p w14:paraId="6E29C3D0" w14:textId="66347A38" w:rsidR="00141448" w:rsidRDefault="00141448" w:rsidP="00141448">
            <w:pPr>
              <w:pStyle w:val="TableText"/>
              <w:rPr>
                <w:b/>
                <w:bCs/>
                <w:szCs w:val="18"/>
              </w:rPr>
            </w:pPr>
            <w:r>
              <w:rPr>
                <w:b/>
                <w:bCs/>
                <w:szCs w:val="18"/>
              </w:rPr>
              <w:t>NOTES</w:t>
            </w:r>
          </w:p>
          <w:p w14:paraId="534A05FC" w14:textId="77777777" w:rsidR="00141448" w:rsidRDefault="00141448" w:rsidP="00141448">
            <w:pPr>
              <w:pStyle w:val="NotesText"/>
            </w:pPr>
          </w:p>
          <w:p w14:paraId="59D48576" w14:textId="77777777" w:rsidR="00141448" w:rsidRDefault="00141448" w:rsidP="00141448">
            <w:pPr>
              <w:pStyle w:val="NotesText"/>
            </w:pPr>
            <w:r>
              <w:t>A user may search for specific tasks using search criteria detailed in Pending Task List.</w:t>
            </w:r>
          </w:p>
        </w:tc>
      </w:tr>
      <w:tr w:rsidR="00B1359E" w14:paraId="5DA86F7C" w14:textId="77777777">
        <w:tc>
          <w:tcPr>
            <w:tcW w:w="3240" w:type="dxa"/>
          </w:tcPr>
          <w:p w14:paraId="2AB2B5EE" w14:textId="77777777" w:rsidR="00B1359E" w:rsidRDefault="00B1359E" w:rsidP="00150254">
            <w:pPr>
              <w:pStyle w:val="TableTextNumbers"/>
            </w:pPr>
            <w:r>
              <w:lastRenderedPageBreak/>
              <w:t xml:space="preserve">Click one to four check boxes in the Pending Task List to select tasks for testing. </w:t>
            </w:r>
          </w:p>
          <w:p w14:paraId="24FA39FD" w14:textId="77777777" w:rsidR="00B1359E" w:rsidRDefault="00B1359E" w:rsidP="00150254">
            <w:pPr>
              <w:pStyle w:val="TableTextNumbersContinued"/>
            </w:pPr>
          </w:p>
          <w:p w14:paraId="2E8F602D" w14:textId="77777777" w:rsidR="00B1359E" w:rsidRDefault="00B1359E" w:rsidP="00150254">
            <w:pPr>
              <w:pStyle w:val="TableTextNumbersContinued"/>
            </w:pPr>
            <w:r>
              <w:t xml:space="preserve">Click </w:t>
            </w:r>
            <w:r>
              <w:rPr>
                <w:b/>
              </w:rPr>
              <w:t>OK</w:t>
            </w:r>
            <w:r>
              <w:t>.</w:t>
            </w:r>
          </w:p>
        </w:tc>
        <w:tc>
          <w:tcPr>
            <w:tcW w:w="6120" w:type="dxa"/>
          </w:tcPr>
          <w:p w14:paraId="4D6959D7" w14:textId="77777777" w:rsidR="00B1359E" w:rsidRDefault="00B1359E" w:rsidP="00150254">
            <w:pPr>
              <w:pStyle w:val="TableTextBullet"/>
            </w:pPr>
            <w:r>
              <w:t>Displays patient names and associated task information.</w:t>
            </w:r>
          </w:p>
        </w:tc>
      </w:tr>
      <w:tr w:rsidR="002A21AE" w14:paraId="7AB2635C" w14:textId="77777777">
        <w:tc>
          <w:tcPr>
            <w:tcW w:w="3240" w:type="dxa"/>
          </w:tcPr>
          <w:p w14:paraId="21C9D4D8" w14:textId="77777777" w:rsidR="002A21AE" w:rsidRDefault="00616B9E">
            <w:pPr>
              <w:pStyle w:val="TableTextNumbers"/>
            </w:pPr>
            <w:r>
              <w:t>When QC was not performed, e</w:t>
            </w:r>
            <w:r w:rsidR="002A21AE">
              <w:t>nter a lot number for the antiserum.</w:t>
            </w:r>
          </w:p>
        </w:tc>
        <w:tc>
          <w:tcPr>
            <w:tcW w:w="6120" w:type="dxa"/>
          </w:tcPr>
          <w:p w14:paraId="56F7326B" w14:textId="77777777" w:rsidR="00BE013F" w:rsidRDefault="00BE013F" w:rsidP="00BE013F">
            <w:pPr>
              <w:pStyle w:val="TableTextBullet"/>
            </w:pPr>
            <w:r>
              <w:t xml:space="preserve">Displays reaction result grids for DAT tests for each patient. </w:t>
            </w:r>
          </w:p>
          <w:p w14:paraId="64560571" w14:textId="77777777" w:rsidR="00BE013F" w:rsidRDefault="00BE013F" w:rsidP="00BE013F">
            <w:pPr>
              <w:pStyle w:val="TableTextBullet"/>
            </w:pPr>
            <w:r>
              <w:t>Lists the AHG antisera related to the test.</w:t>
            </w:r>
          </w:p>
          <w:p w14:paraId="531BA055" w14:textId="77777777" w:rsidR="002A21AE" w:rsidRDefault="002A21AE">
            <w:pPr>
              <w:pStyle w:val="TableTextBullet"/>
            </w:pPr>
            <w:r>
              <w:t xml:space="preserve">Displays information about the lot number, including the manufacturer and expiration date. </w:t>
            </w:r>
          </w:p>
          <w:p w14:paraId="65E2C660" w14:textId="77777777" w:rsidR="002A21AE" w:rsidRDefault="002A21AE">
            <w:pPr>
              <w:pStyle w:val="TableTextBullet"/>
            </w:pPr>
            <w:r>
              <w:t>Prompts the user to select the correct antisera and possibly the control cell entry.</w:t>
            </w:r>
          </w:p>
          <w:p w14:paraId="47E1477C" w14:textId="77777777" w:rsidR="002A21AE" w:rsidRDefault="002A21AE">
            <w:pPr>
              <w:pStyle w:val="TableText"/>
            </w:pPr>
          </w:p>
          <w:p w14:paraId="28804E7E" w14:textId="0641AAA3" w:rsidR="002A21AE" w:rsidRDefault="002A21AE">
            <w:pPr>
              <w:pStyle w:val="TableText"/>
              <w:rPr>
                <w:b/>
                <w:bCs/>
                <w:szCs w:val="18"/>
              </w:rPr>
            </w:pPr>
            <w:r>
              <w:rPr>
                <w:b/>
                <w:bCs/>
                <w:szCs w:val="18"/>
              </w:rPr>
              <w:t>NOTES</w:t>
            </w:r>
          </w:p>
          <w:p w14:paraId="5D500792" w14:textId="77777777" w:rsidR="002A21AE" w:rsidRDefault="002A21AE">
            <w:pPr>
              <w:pStyle w:val="TableText"/>
            </w:pPr>
          </w:p>
          <w:p w14:paraId="623F5709" w14:textId="77777777" w:rsidR="00B14E03" w:rsidRDefault="00B14E03" w:rsidP="00B14E03">
            <w:pPr>
              <w:pStyle w:val="NotesText"/>
            </w:pPr>
            <w:r>
              <w:rPr>
                <w:rFonts w:cs="Arial"/>
                <w:vanish/>
              </w:rPr>
              <w:t xml:space="preserve">BR_41.25 </w:t>
            </w:r>
            <w:r>
              <w:t xml:space="preserve">Reagent lot numbers that are selectable for positive and negative control cells: </w:t>
            </w:r>
          </w:p>
          <w:p w14:paraId="32FADCCC" w14:textId="77777777" w:rsidR="00B14E03" w:rsidRDefault="00B14E03" w:rsidP="00B14E03">
            <w:pPr>
              <w:pStyle w:val="NotesTextBullet"/>
            </w:pPr>
            <w:r>
              <w:t>Reverse ABO Typing Cells (set)</w:t>
            </w:r>
          </w:p>
          <w:p w14:paraId="5CF5407F" w14:textId="77777777" w:rsidR="00B14E03" w:rsidRDefault="00B14E03" w:rsidP="00B14E03">
            <w:pPr>
              <w:pStyle w:val="NotesTextBullet"/>
            </w:pPr>
            <w:r>
              <w:t>A2 cell (vial)</w:t>
            </w:r>
          </w:p>
          <w:p w14:paraId="47B81F6E" w14:textId="77777777" w:rsidR="00B14E03" w:rsidRDefault="00B14E03" w:rsidP="00B14E03">
            <w:pPr>
              <w:pStyle w:val="NotesTextBullet"/>
            </w:pPr>
            <w:r>
              <w:t>Screening Cells (set)</w:t>
            </w:r>
          </w:p>
          <w:p w14:paraId="7D9A89E3" w14:textId="77777777" w:rsidR="00B14E03" w:rsidRDefault="00B14E03" w:rsidP="00B14E03">
            <w:pPr>
              <w:pStyle w:val="NotesTextBullet"/>
            </w:pPr>
            <w:r>
              <w:t>Check Cells (vial)</w:t>
            </w:r>
          </w:p>
          <w:p w14:paraId="2CA8BBE2" w14:textId="77777777" w:rsidR="00B14E03" w:rsidRDefault="00B14E03" w:rsidP="00B14E03">
            <w:pPr>
              <w:pStyle w:val="NotesTextBullet"/>
            </w:pPr>
            <w:r>
              <w:t>Panel (set)</w:t>
            </w:r>
          </w:p>
          <w:p w14:paraId="603C8EAA" w14:textId="77777777" w:rsidR="00B14E03" w:rsidRDefault="00B14E03" w:rsidP="00B14E03">
            <w:pPr>
              <w:pStyle w:val="NotesTextBullet"/>
            </w:pPr>
            <w:r>
              <w:t>Other (set)</w:t>
            </w:r>
          </w:p>
          <w:p w14:paraId="0E39E721" w14:textId="77777777" w:rsidR="00B14E03" w:rsidRDefault="00B14E03">
            <w:pPr>
              <w:pStyle w:val="NotesText"/>
              <w:rPr>
                <w:rFonts w:cs="Arial"/>
                <w:vanish/>
              </w:rPr>
            </w:pPr>
          </w:p>
          <w:p w14:paraId="5E648885" w14:textId="77777777" w:rsidR="00BE013F" w:rsidRDefault="00BE013F">
            <w:pPr>
              <w:pStyle w:val="NotesText"/>
            </w:pPr>
            <w:r>
              <w:rPr>
                <w:rFonts w:cs="Arial"/>
                <w:vanish/>
              </w:rPr>
              <w:t xml:space="preserve">BR_54.02 </w:t>
            </w:r>
            <w:r>
              <w:t>VBECS lists the AHG antisera related to the test from previously entered inventory. When VBECS displays multiple DAT tests or the full battery, the user selects each DAT serum separately by repeating this step until all are selected.</w:t>
            </w:r>
          </w:p>
          <w:p w14:paraId="51D6449C" w14:textId="77777777" w:rsidR="00BE013F" w:rsidRDefault="00BE013F">
            <w:pPr>
              <w:pStyle w:val="NotesText"/>
            </w:pPr>
          </w:p>
          <w:p w14:paraId="2412FCE6" w14:textId="77777777" w:rsidR="002A21AE" w:rsidRDefault="00BE013F">
            <w:pPr>
              <w:pStyle w:val="NotesText"/>
            </w:pPr>
            <w:r w:rsidRPr="00BE013F">
              <w:rPr>
                <w:vanish/>
                <w:szCs w:val="18"/>
              </w:rPr>
              <w:t>B</w:t>
            </w:r>
            <w:r w:rsidR="002A21AE">
              <w:rPr>
                <w:rFonts w:cs="Arial"/>
                <w:vanish/>
              </w:rPr>
              <w:t xml:space="preserve">R_54.06 </w:t>
            </w:r>
            <w:r w:rsidR="002A21AE">
              <w:t>Each positive and negative control cell requires the user to select a lot number.</w:t>
            </w:r>
          </w:p>
          <w:p w14:paraId="077CD06F" w14:textId="77777777" w:rsidR="002A21AE" w:rsidRDefault="002A21AE">
            <w:pPr>
              <w:pStyle w:val="NotesText"/>
            </w:pPr>
          </w:p>
          <w:p w14:paraId="5A54F3BC" w14:textId="77777777" w:rsidR="002A21AE" w:rsidRDefault="002A21AE">
            <w:pPr>
              <w:pStyle w:val="NotesText"/>
            </w:pPr>
            <w:r>
              <w:rPr>
                <w:vanish/>
                <w:szCs w:val="18"/>
              </w:rPr>
              <w:t>BR_54.04</w:t>
            </w:r>
            <w:r w:rsidR="009078D6">
              <w:rPr>
                <w:vanish/>
                <w:szCs w:val="18"/>
              </w:rPr>
              <w:t>,</w:t>
            </w:r>
            <w:r>
              <w:rPr>
                <w:vanish/>
                <w:szCs w:val="18"/>
              </w:rPr>
              <w:t xml:space="preserve"> BR_54.05 </w:t>
            </w:r>
            <w:r>
              <w:t>VBECS displays options to select the lot number of the antisera and check cells used for QC of the antiglobulin sera. The user must select complement check cells for Anti-Complement AHG tests.</w:t>
            </w:r>
          </w:p>
          <w:p w14:paraId="08176318" w14:textId="77777777" w:rsidR="002A21AE" w:rsidRDefault="002A21AE">
            <w:pPr>
              <w:pStyle w:val="NotesText"/>
            </w:pPr>
          </w:p>
          <w:p w14:paraId="04414380" w14:textId="77777777" w:rsidR="002A21AE" w:rsidRDefault="002A21AE">
            <w:pPr>
              <w:pStyle w:val="NotesText"/>
            </w:pPr>
            <w:r>
              <w:rPr>
                <w:rFonts w:cs="Arial"/>
                <w:vanish/>
              </w:rPr>
              <w:t>BR_28.12</w:t>
            </w:r>
            <w:r w:rsidR="004F5F28" w:rsidRPr="00323744">
              <w:rPr>
                <w:rStyle w:val="BullhornChar"/>
              </w:rPr>
              <w:t></w:t>
            </w:r>
            <w:r w:rsidR="004F5F28">
              <w:rPr>
                <w:rFonts w:ascii="Webdings" w:hAnsi="Webdings"/>
              </w:rPr>
              <w:t></w:t>
            </w:r>
            <w:r>
              <w:t xml:space="preserve">VBECS compares the </w:t>
            </w:r>
            <w:r w:rsidR="00FE64A7">
              <w:t xml:space="preserve">control cell </w:t>
            </w:r>
            <w:r>
              <w:t xml:space="preserve">results entered to those of the previous day for the same rack number and alerts the user when there is a decrease in reactivity of 2 or more within the acceptable limits for each reagent type by lot number. VBECS </w:t>
            </w:r>
            <w:r>
              <w:rPr>
                <w:noProof/>
                <w:color w:val="000000"/>
              </w:rPr>
              <w:t xml:space="preserve">emits an audible alert, warns that there is a </w:t>
            </w:r>
            <w:r w:rsidR="00191CFE">
              <w:rPr>
                <w:noProof/>
                <w:color w:val="000000"/>
              </w:rPr>
              <w:t>decrease</w:t>
            </w:r>
            <w:r>
              <w:t xml:space="preserve"> in reagent reactivity of two or more, and asks whether the user wishes to continue to use this vial.</w:t>
            </w:r>
          </w:p>
          <w:p w14:paraId="56C72651" w14:textId="77777777" w:rsidR="002A21AE" w:rsidRDefault="002A21AE">
            <w:pPr>
              <w:pStyle w:val="NotesText"/>
            </w:pPr>
          </w:p>
          <w:p w14:paraId="3115E0B2" w14:textId="77777777" w:rsidR="002A21AE" w:rsidRDefault="002A21AE">
            <w:pPr>
              <w:pStyle w:val="NotesText"/>
            </w:pPr>
            <w:r>
              <w:rPr>
                <w:b/>
              </w:rPr>
              <w:t>Yes</w:t>
            </w:r>
            <w:r>
              <w:t xml:space="preserve"> allows the user to continue, with comment. VBECS captures details for inclusion in an Exception Report (exception type: QC decrease reagent reactivity </w:t>
            </w:r>
            <w:r w:rsidR="00DE5EF3" w:rsidRPr="00DE5EF3">
              <w:rPr>
                <w:rStyle w:val="Char"/>
                <w:rFonts w:cs="Arial"/>
                <w:sz w:val="18"/>
                <w:szCs w:val="18"/>
              </w:rPr>
              <w:t>≥</w:t>
            </w:r>
            <w:r w:rsidR="00320118">
              <w:rPr>
                <w:rStyle w:val="Char"/>
                <w:rFonts w:cs="Arial"/>
                <w:sz w:val="18"/>
                <w:szCs w:val="18"/>
              </w:rPr>
              <w:t xml:space="preserve"> </w:t>
            </w:r>
            <w:r>
              <w:t xml:space="preserve">2). </w:t>
            </w:r>
          </w:p>
          <w:p w14:paraId="2F59DC64" w14:textId="77777777" w:rsidR="002A21AE" w:rsidRDefault="002A21AE">
            <w:pPr>
              <w:pStyle w:val="NotesText"/>
            </w:pPr>
          </w:p>
          <w:p w14:paraId="2568A5FF" w14:textId="77777777" w:rsidR="002A21AE" w:rsidRDefault="002A21AE">
            <w:pPr>
              <w:pStyle w:val="NotesText"/>
            </w:pPr>
            <w:r>
              <w:rPr>
                <w:b/>
              </w:rPr>
              <w:t>No</w:t>
            </w:r>
            <w:r>
              <w:t xml:space="preserve"> allows the user to reenter the lot number for this reagent type and allows the approval of this same lot number (different vial) or the entry of a new lot number, returning to the testing worksheet where the user left off. (The user may replace an individual vial that is losing its reactivity with one of the same lot number.) </w:t>
            </w:r>
          </w:p>
          <w:p w14:paraId="3AB4EDEC" w14:textId="77777777" w:rsidR="002A21AE" w:rsidRDefault="002A21AE">
            <w:pPr>
              <w:pStyle w:val="NotesText"/>
            </w:pPr>
          </w:p>
          <w:p w14:paraId="4A1838BF" w14:textId="77777777" w:rsidR="002A21AE" w:rsidRDefault="002A21AE">
            <w:pPr>
              <w:pStyle w:val="NotesText"/>
            </w:pPr>
            <w:r>
              <w:rPr>
                <w:vanish/>
                <w:szCs w:val="18"/>
              </w:rPr>
              <w:lastRenderedPageBreak/>
              <w:t xml:space="preserve">BR_28.20, BR_28.23 </w:t>
            </w:r>
            <w:r>
              <w:t>When the user-entered test results indicate a satisfactory interpretation, VBECS indicates that testing is satisfactory and allows the user to save the results. VBECS considers the affected QC incomplete until it is retested with satisfactory results. VBECS generates warnings through other options when QC testing is incomplete.</w:t>
            </w:r>
          </w:p>
          <w:p w14:paraId="1E45D234" w14:textId="77777777" w:rsidR="002A21AE" w:rsidRDefault="002A21AE">
            <w:pPr>
              <w:pStyle w:val="NotesText"/>
            </w:pPr>
          </w:p>
          <w:p w14:paraId="779DCE0F" w14:textId="77777777" w:rsidR="002A21AE" w:rsidRDefault="002A21AE">
            <w:pPr>
              <w:pStyle w:val="NotesText"/>
            </w:pPr>
            <w:r>
              <w:rPr>
                <w:rFonts w:cs="Arial"/>
                <w:vanish/>
              </w:rPr>
              <w:t>BR_28.24</w:t>
            </w:r>
            <w:r w:rsidR="004F5F28" w:rsidRPr="00323744">
              <w:rPr>
                <w:rStyle w:val="BullhornChar"/>
              </w:rPr>
              <w:t></w:t>
            </w:r>
            <w:r w:rsidR="004F5F28">
              <w:rPr>
                <w:rFonts w:ascii="Webdings" w:hAnsi="Webdings"/>
              </w:rPr>
              <w:t></w:t>
            </w:r>
            <w:r>
              <w:t xml:space="preserve">VBECS compares the expiration date of the reagent on the selected reagent to the testing date. When the reagent is expired, VBECS emits an audible alert, warns the user and asks whether he still wishes to use this reagent. </w:t>
            </w:r>
            <w:r>
              <w:rPr>
                <w:b/>
              </w:rPr>
              <w:t>Yes</w:t>
            </w:r>
            <w:r>
              <w:t xml:space="preserve"> requires a comment and captures details for inclusion in an Exception Report (exception type: expired reagent QC’d).</w:t>
            </w:r>
          </w:p>
          <w:p w14:paraId="7BF705FD" w14:textId="77777777" w:rsidR="002A21AE" w:rsidRDefault="002A21AE">
            <w:pPr>
              <w:pStyle w:val="NotesText"/>
            </w:pPr>
          </w:p>
          <w:p w14:paraId="4EADB485" w14:textId="77777777" w:rsidR="002A21AE" w:rsidRDefault="002A21AE">
            <w:pPr>
              <w:pStyle w:val="NotesText"/>
            </w:pPr>
            <w:r>
              <w:rPr>
                <w:b/>
              </w:rPr>
              <w:t>No</w:t>
            </w:r>
            <w:r>
              <w:t xml:space="preserve"> removes the unsatisfactory reagent and requires the user to enter a new one. Unsatisfactory lot numbers are never displayed. VBECS captures details for inclusion in an Exception Report (exception type: Expired reagent QC’d).</w:t>
            </w:r>
          </w:p>
          <w:p w14:paraId="78F324A9" w14:textId="77777777" w:rsidR="002A21AE" w:rsidRDefault="002A21AE">
            <w:pPr>
              <w:pStyle w:val="NotesText"/>
            </w:pPr>
          </w:p>
          <w:p w14:paraId="22D25923" w14:textId="77777777" w:rsidR="002A21AE" w:rsidRDefault="002A21AE">
            <w:pPr>
              <w:pStyle w:val="NotesText"/>
            </w:pPr>
            <w:r>
              <w:rPr>
                <w:rFonts w:cs="Arial"/>
                <w:vanish/>
              </w:rPr>
              <w:t xml:space="preserve">BR_54.01 </w:t>
            </w:r>
            <w:r>
              <w:t>When the antisera QC is required, the user verifies the lot numbers, manufacturer name, and expiration date and saves them as part of the QC record for the associated test.</w:t>
            </w:r>
            <w:r>
              <w:tab/>
            </w:r>
          </w:p>
        </w:tc>
      </w:tr>
      <w:tr w:rsidR="002A21AE" w14:paraId="54C5738A" w14:textId="77777777">
        <w:tc>
          <w:tcPr>
            <w:tcW w:w="3240" w:type="dxa"/>
          </w:tcPr>
          <w:p w14:paraId="289AC3D9" w14:textId="77777777" w:rsidR="002A21AE" w:rsidRDefault="002A21AE">
            <w:pPr>
              <w:pStyle w:val="TableTextNumbers"/>
            </w:pPr>
            <w:r>
              <w:lastRenderedPageBreak/>
              <w:t>Review and accept the selected reagent information.</w:t>
            </w:r>
          </w:p>
        </w:tc>
        <w:tc>
          <w:tcPr>
            <w:tcW w:w="6120" w:type="dxa"/>
          </w:tcPr>
          <w:p w14:paraId="54582663" w14:textId="77777777" w:rsidR="002A21AE" w:rsidRDefault="002A21AE">
            <w:pPr>
              <w:pStyle w:val="TableTextBullet"/>
            </w:pPr>
            <w:r>
              <w:t>Displays the previously entered information for user review.</w:t>
            </w:r>
          </w:p>
        </w:tc>
      </w:tr>
      <w:tr w:rsidR="002A21AE" w14:paraId="2FDAA454" w14:textId="77777777">
        <w:tc>
          <w:tcPr>
            <w:tcW w:w="3240" w:type="dxa"/>
          </w:tcPr>
          <w:p w14:paraId="35EE4B3A" w14:textId="77777777" w:rsidR="002A21AE" w:rsidRDefault="002A21AE">
            <w:pPr>
              <w:pStyle w:val="TableTextNumbers"/>
            </w:pPr>
            <w:r>
              <w:t xml:space="preserve">Respond to warnings and continue with DAT testing. </w:t>
            </w:r>
          </w:p>
        </w:tc>
        <w:tc>
          <w:tcPr>
            <w:tcW w:w="6120" w:type="dxa"/>
          </w:tcPr>
          <w:p w14:paraId="11C8BE99" w14:textId="77777777" w:rsidR="002A21AE" w:rsidRDefault="002A21AE">
            <w:pPr>
              <w:pStyle w:val="TableTextBullet"/>
            </w:pPr>
            <w:r>
              <w:t>Displays a direct data entry</w:t>
            </w:r>
            <w:r w:rsidR="00917E9F">
              <w:t xml:space="preserve"> (DDE)</w:t>
            </w:r>
            <w:r>
              <w:t xml:space="preserve"> grid for the user to enter serologic reaction results for DAT testing.</w:t>
            </w:r>
          </w:p>
          <w:p w14:paraId="5D44B4D8" w14:textId="77777777" w:rsidR="002A21AE" w:rsidRDefault="002A21AE">
            <w:pPr>
              <w:pStyle w:val="TableText"/>
            </w:pPr>
          </w:p>
        </w:tc>
      </w:tr>
      <w:tr w:rsidR="002A21AE" w14:paraId="47B57B71" w14:textId="77777777">
        <w:tc>
          <w:tcPr>
            <w:tcW w:w="3240" w:type="dxa"/>
          </w:tcPr>
          <w:p w14:paraId="71DEE688" w14:textId="77777777" w:rsidR="002A21AE" w:rsidRDefault="002A21AE">
            <w:pPr>
              <w:pStyle w:val="TableTextNumbers"/>
            </w:pPr>
            <w:r>
              <w:t>Enter valid test serologic reactions in the data entry grid.</w:t>
            </w:r>
          </w:p>
        </w:tc>
        <w:tc>
          <w:tcPr>
            <w:tcW w:w="6120" w:type="dxa"/>
          </w:tcPr>
          <w:p w14:paraId="0F3EDC35" w14:textId="77777777" w:rsidR="002A21AE" w:rsidRDefault="002A21AE">
            <w:pPr>
              <w:pStyle w:val="TableTextBullet"/>
            </w:pPr>
            <w:r>
              <w:t>Allows the user to enter valid data and test results in the interpretation cells.</w:t>
            </w:r>
          </w:p>
          <w:p w14:paraId="799286D6" w14:textId="77777777" w:rsidR="002A21AE" w:rsidRDefault="002A21AE">
            <w:pPr>
              <w:pStyle w:val="TableText"/>
            </w:pPr>
          </w:p>
          <w:p w14:paraId="054BB8AE" w14:textId="203BED7C" w:rsidR="002A21AE" w:rsidRDefault="002A21AE">
            <w:pPr>
              <w:pStyle w:val="TableText"/>
              <w:rPr>
                <w:b/>
                <w:bCs/>
                <w:szCs w:val="18"/>
              </w:rPr>
            </w:pPr>
            <w:r>
              <w:rPr>
                <w:b/>
                <w:bCs/>
                <w:szCs w:val="18"/>
              </w:rPr>
              <w:t>NOTES</w:t>
            </w:r>
          </w:p>
          <w:p w14:paraId="44F8A548" w14:textId="77777777" w:rsidR="002A21AE" w:rsidRDefault="002A21AE">
            <w:pPr>
              <w:pStyle w:val="NotesText"/>
            </w:pPr>
          </w:p>
          <w:p w14:paraId="11E98C3B" w14:textId="77777777" w:rsidR="002A21AE" w:rsidRDefault="002A21AE">
            <w:pPr>
              <w:pStyle w:val="NotesText"/>
            </w:pPr>
            <w:r>
              <w:rPr>
                <w:rFonts w:cs="Arial"/>
                <w:vanish/>
              </w:rPr>
              <w:t xml:space="preserve">BR_54.03 </w:t>
            </w:r>
            <w:r>
              <w:t xml:space="preserve">Row validation is established for the interpretation vs. reaction results pattern as </w:t>
            </w:r>
            <w:r w:rsidR="00922AD8">
              <w:t>defined by system rules</w:t>
            </w:r>
            <w:r>
              <w:rPr>
                <w:vanish/>
                <w:szCs w:val="18"/>
              </w:rPr>
              <w:t>TT_54.01 Direct Antiglobulin Testing</w:t>
            </w:r>
            <w:r>
              <w:t>.</w:t>
            </w:r>
          </w:p>
        </w:tc>
      </w:tr>
      <w:tr w:rsidR="002A21AE" w14:paraId="3AD71DB6" w14:textId="77777777">
        <w:tc>
          <w:tcPr>
            <w:tcW w:w="3240" w:type="dxa"/>
          </w:tcPr>
          <w:p w14:paraId="184D66E2" w14:textId="77777777" w:rsidR="002A21AE" w:rsidRDefault="002A21AE">
            <w:pPr>
              <w:pStyle w:val="TableTextNumbers"/>
            </w:pPr>
            <w:r>
              <w:t>Repeat Step 4 until some or all portions of the test grid for the selected patient are entered. When appropriate, enter the interpretation for the patient DAT testing.</w:t>
            </w:r>
          </w:p>
        </w:tc>
        <w:tc>
          <w:tcPr>
            <w:tcW w:w="6120" w:type="dxa"/>
          </w:tcPr>
          <w:p w14:paraId="6C70B4DB" w14:textId="77777777" w:rsidR="002A21AE" w:rsidRDefault="002A21AE">
            <w:pPr>
              <w:pStyle w:val="TableTextBullet"/>
            </w:pPr>
            <w:r>
              <w:t>Prompts the user to confirm that all results were reviewed and are acceptable.</w:t>
            </w:r>
          </w:p>
        </w:tc>
      </w:tr>
      <w:tr w:rsidR="002A21AE" w14:paraId="4BF6E31A" w14:textId="77777777">
        <w:tc>
          <w:tcPr>
            <w:tcW w:w="3240" w:type="dxa"/>
          </w:tcPr>
          <w:p w14:paraId="699B952C" w14:textId="77777777" w:rsidR="002A21AE" w:rsidRDefault="002A21AE">
            <w:pPr>
              <w:pStyle w:val="TableTextNumbers"/>
            </w:pPr>
            <w:r>
              <w:t xml:space="preserve">Enter test results in preparation for updating the database. </w:t>
            </w:r>
          </w:p>
        </w:tc>
        <w:tc>
          <w:tcPr>
            <w:tcW w:w="6120" w:type="dxa"/>
          </w:tcPr>
          <w:p w14:paraId="10B6B2D2" w14:textId="77777777" w:rsidR="002A21AE" w:rsidRDefault="002A21AE">
            <w:pPr>
              <w:pStyle w:val="TableText"/>
            </w:pPr>
          </w:p>
        </w:tc>
      </w:tr>
      <w:tr w:rsidR="002A21AE" w14:paraId="549C4C85" w14:textId="77777777">
        <w:tc>
          <w:tcPr>
            <w:tcW w:w="3240" w:type="dxa"/>
          </w:tcPr>
          <w:p w14:paraId="59733ADB"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75" w:author="Blalock, David (Leidos)" w:date="2020-06-15T14:09:00Z" w:original="0."/>
              </w:fldChar>
            </w:r>
          </w:p>
        </w:tc>
        <w:tc>
          <w:tcPr>
            <w:tcW w:w="6120" w:type="dxa"/>
          </w:tcPr>
          <w:p w14:paraId="34A5B84E" w14:textId="77777777" w:rsidR="002A21AE" w:rsidRDefault="002A21AE">
            <w:pPr>
              <w:pStyle w:val="TableText"/>
            </w:pPr>
          </w:p>
        </w:tc>
      </w:tr>
      <w:bookmarkEnd w:id="574"/>
    </w:tbl>
    <w:p w14:paraId="0B306F66" w14:textId="77777777" w:rsidR="00AC2D9E" w:rsidRDefault="00AC2D9E">
      <w:pPr>
        <w:pStyle w:val="Heading3"/>
      </w:pPr>
    </w:p>
    <w:p w14:paraId="5C2E50CE" w14:textId="77777777" w:rsidR="002A21AE" w:rsidRDefault="00AC2D9E">
      <w:pPr>
        <w:pStyle w:val="Heading3"/>
      </w:pPr>
      <w:r>
        <w:br w:type="page"/>
      </w:r>
      <w:bookmarkStart w:id="576" w:name="_Toc47516759"/>
      <w:r w:rsidR="002A21AE">
        <w:lastRenderedPageBreak/>
        <w:t>Patient Testing: Record a Crossmatch</w:t>
      </w:r>
      <w:bookmarkEnd w:id="576"/>
      <w:r w:rsidR="002A21AE">
        <w:fldChar w:fldCharType="begin"/>
      </w:r>
      <w:r w:rsidR="002A21AE">
        <w:instrText xml:space="preserve"> XE </w:instrText>
      </w:r>
      <w:r w:rsidR="00FA7E65">
        <w:instrText>“</w:instrText>
      </w:r>
      <w:r w:rsidR="002A21AE">
        <w:instrText>Patient Testing\: Record a Crossmatch</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UC_40</w:t>
      </w:r>
    </w:p>
    <w:p w14:paraId="77DEC3E0" w14:textId="7F1418D9" w:rsidR="002A21AE" w:rsidRDefault="002A21AE" w:rsidP="00FA7E65">
      <w:pPr>
        <w:pStyle w:val="BodyText"/>
      </w:pPr>
      <w:r>
        <w:t>The user records observed results and interpretations when performing a serologic crossmatch (XM) between a patient and one or more units of blood.</w:t>
      </w:r>
      <w:r w:rsidR="0004558D">
        <w:t xml:space="preserve"> </w:t>
      </w:r>
    </w:p>
    <w:p w14:paraId="380D6ECC" w14:textId="77777777" w:rsidR="002A21AE" w:rsidRDefault="002A21AE">
      <w:pPr>
        <w:pStyle w:val="Heading4"/>
      </w:pPr>
      <w:r>
        <w:t>Assumptions</w:t>
      </w:r>
      <w:r>
        <w:rPr>
          <w:b w:val="0"/>
        </w:rPr>
        <w:t xml:space="preserve"> </w:t>
      </w:r>
    </w:p>
    <w:p w14:paraId="76605CDA" w14:textId="77777777" w:rsidR="002A21AE" w:rsidRDefault="002A21AE">
      <w:pPr>
        <w:pStyle w:val="ListBullet"/>
      </w:pPr>
      <w:r>
        <w:t>A CPRS order exists for a blood component that requires a serologic XM. The patient order and the selected units are in the same division as the user.</w:t>
      </w:r>
    </w:p>
    <w:p w14:paraId="69D701BE" w14:textId="77777777" w:rsidR="002A21AE" w:rsidRDefault="002A21AE">
      <w:pPr>
        <w:pStyle w:val="ListBullet"/>
      </w:pPr>
      <w:r>
        <w:t xml:space="preserve">A blood unit that contains </w:t>
      </w:r>
      <w:r w:rsidR="0058122A">
        <w:t>= &gt; 2</w:t>
      </w:r>
      <w:r w:rsidR="00B514B7">
        <w:t xml:space="preserve"> </w:t>
      </w:r>
      <w:r w:rsidR="0058122A">
        <w:t>mL red blood cell contamination</w:t>
      </w:r>
      <w:r>
        <w:t xml:space="preserve">, selected in Select Units, is acceptable for testing, according to the patient’s current or historic records and ABO/Rh. </w:t>
      </w:r>
    </w:p>
    <w:p w14:paraId="786ABB40" w14:textId="77777777" w:rsidR="002A21AE" w:rsidRDefault="002A21AE">
      <w:pPr>
        <w:pStyle w:val="ListBullet"/>
      </w:pPr>
      <w:r>
        <w:t xml:space="preserve">A current specimen was accepted and is in process for ABO/Rh and </w:t>
      </w:r>
      <w:r w:rsidR="008E2E30">
        <w:t>Antibody Screen Test (ABS)</w:t>
      </w:r>
      <w:r>
        <w:t>, or was previously completed and is not expired.</w:t>
      </w:r>
    </w:p>
    <w:p w14:paraId="319E6F4D" w14:textId="77777777" w:rsidR="002A21AE" w:rsidRDefault="002A21AE">
      <w:pPr>
        <w:pStyle w:val="Heading4"/>
      </w:pPr>
      <w:r>
        <w:t xml:space="preserve">Outcome </w:t>
      </w:r>
    </w:p>
    <w:p w14:paraId="2620A9ED" w14:textId="77777777" w:rsidR="002A21AE" w:rsidRDefault="002A21AE">
      <w:pPr>
        <w:pStyle w:val="ListBullet"/>
      </w:pPr>
      <w:r>
        <w:t xml:space="preserve">When patient Transfusion Requirements (TRs), if any, are fulfilled and a user enters a </w:t>
      </w:r>
      <w:r w:rsidR="00045ED7">
        <w:t xml:space="preserve">compatible </w:t>
      </w:r>
      <w:r>
        <w:t>XM interpretation, VBECS makes units available for generating the Blood Transfusion Record Form (BTRF), for printing the Caution Tag, and for issue to the patient.</w:t>
      </w:r>
    </w:p>
    <w:p w14:paraId="4E23B17A" w14:textId="77777777" w:rsidR="002A21AE" w:rsidRDefault="002A21AE">
      <w:pPr>
        <w:pStyle w:val="ListBullet"/>
      </w:pPr>
      <w:r>
        <w:t>When a user enters an unacceptable XM interpretation, VBECS releases the selected units from the patient.</w:t>
      </w:r>
    </w:p>
    <w:p w14:paraId="4A5C80FE" w14:textId="77777777" w:rsidR="002A21AE" w:rsidRDefault="002A21AE">
      <w:pPr>
        <w:pStyle w:val="Heading4"/>
      </w:pPr>
      <w:r>
        <w:t>Limitations and Restrictions</w:t>
      </w:r>
      <w:r>
        <w:rPr>
          <w:b w:val="0"/>
        </w:rPr>
        <w:t xml:space="preserve"> </w:t>
      </w:r>
    </w:p>
    <w:p w14:paraId="59CD6AC9" w14:textId="77777777" w:rsidR="002A21AE" w:rsidRDefault="002A21AE">
      <w:pPr>
        <w:pStyle w:val="ListBullet"/>
      </w:pPr>
      <w:r>
        <w:rPr>
          <w:rFonts w:ascii="Arial" w:hAnsi="Arial" w:cs="Arial"/>
          <w:vanish/>
          <w:spacing w:val="0"/>
          <w:sz w:val="18"/>
        </w:rPr>
        <w:t xml:space="preserve">BR_40.01 </w:t>
      </w:r>
      <w:r>
        <w:t>The specimen associated with testing must have an expiration date and time that are later than the testing date and time entered in Patient Testing: Record Patient Test Results. When this is not the case, VBECS warns that the patient specimen expired. There is no override.</w:t>
      </w:r>
    </w:p>
    <w:p w14:paraId="38868B0B" w14:textId="77777777" w:rsidR="002A21AE" w:rsidRDefault="002A21AE">
      <w:pPr>
        <w:pStyle w:val="ListBullet"/>
      </w:pPr>
      <w:r>
        <w:t xml:space="preserve">This option does not include electronic crossmatch (eXM). </w:t>
      </w:r>
    </w:p>
    <w:p w14:paraId="1C90FFA9" w14:textId="77777777" w:rsidR="002A21AE" w:rsidRDefault="002A21AE">
      <w:pPr>
        <w:pStyle w:val="Heading4"/>
      </w:pPr>
      <w:r>
        <w:t xml:space="preserve">Additional Information </w:t>
      </w:r>
    </w:p>
    <w:p w14:paraId="01ACC7FF" w14:textId="77777777" w:rsidR="002C3F2F" w:rsidRPr="002C3F2F" w:rsidRDefault="00057948" w:rsidP="002C3F2F">
      <w:pPr>
        <w:pStyle w:val="ListBullet"/>
      </w:pPr>
      <w:r>
        <w:rPr>
          <w:noProof/>
        </w:rPr>
        <w:drawing>
          <wp:inline distT="0" distB="0" distL="0" distR="0" wp14:anchorId="782CE36C" wp14:editId="646F5039">
            <wp:extent cx="276860" cy="221615"/>
            <wp:effectExtent l="0" t="0" r="8890" b="6985"/>
            <wp:docPr id="24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rsidRPr="002C3F2F">
        <w:rPr>
          <w:vanish/>
        </w:rPr>
        <w:t xml:space="preserve"> Defect 362099</w:t>
      </w:r>
    </w:p>
    <w:p w14:paraId="5C812DB1" w14:textId="77777777" w:rsidR="002A21AE" w:rsidRDefault="002A21AE">
      <w:pPr>
        <w:pStyle w:val="ListBullet"/>
      </w:pPr>
      <w:r>
        <w:rPr>
          <w:rFonts w:ascii="Arial" w:hAnsi="Arial" w:cs="Arial"/>
          <w:vanish/>
          <w:spacing w:val="0"/>
          <w:sz w:val="18"/>
        </w:rPr>
        <w:t xml:space="preserve">BR_40.11 </w:t>
      </w:r>
      <w:r>
        <w:t>When the user saves a partially completed XM testing worklist, VBECS does not clear patient entries without results or release them from the worklist, which VBECS saves for completion later.</w:t>
      </w:r>
    </w:p>
    <w:p w14:paraId="62C2D803" w14:textId="77777777" w:rsidR="002A21AE" w:rsidRDefault="002A21AE">
      <w:pPr>
        <w:pStyle w:val="ListBullet"/>
      </w:pPr>
      <w:r>
        <w:rPr>
          <w:rFonts w:ascii="Arial" w:hAnsi="Arial" w:cs="Arial"/>
          <w:vanish/>
          <w:spacing w:val="0"/>
          <w:sz w:val="18"/>
        </w:rPr>
        <w:t xml:space="preserve">BR_40.16 </w:t>
      </w:r>
      <w:r>
        <w:t xml:space="preserve">When VBECS saves a partially completed XM worksheet, </w:t>
      </w:r>
      <w:r w:rsidR="00CC69D1">
        <w:t xml:space="preserve">it </w:t>
      </w:r>
      <w:r>
        <w:t>maintains a status of “assigned” for selected units until the serologic XM is complete. When VBECS saves the XM test. including interpretation, to the database, it assigns “crossmatched” status to the unit. The user may correct verified patient data only through Invalidate Test Results.</w:t>
      </w:r>
    </w:p>
    <w:p w14:paraId="67E5CD78" w14:textId="77777777" w:rsidR="00D47D4A" w:rsidRPr="00D47D4A" w:rsidRDefault="002A21AE">
      <w:pPr>
        <w:pStyle w:val="ListBullet"/>
        <w:rPr>
          <w:b/>
          <w:bCs/>
        </w:rPr>
      </w:pPr>
      <w:r>
        <w:t>Units that require antigen typing and/or modification to fulfill a component requirement and/or Sickle Cell testing may be crossmatched pending the completion of further processing of the unit.</w:t>
      </w:r>
      <w:r w:rsidR="00D47D4A">
        <w:rPr>
          <w:bCs/>
        </w:rPr>
        <w:t xml:space="preserve"> </w:t>
      </w:r>
    </w:p>
    <w:p w14:paraId="76086163" w14:textId="77777777" w:rsidR="002A21AE" w:rsidRDefault="00D47D4A">
      <w:pPr>
        <w:pStyle w:val="ListBullet"/>
        <w:rPr>
          <w:b/>
          <w:bCs/>
        </w:rPr>
      </w:pPr>
      <w:r>
        <w:rPr>
          <w:bCs/>
        </w:rPr>
        <w:t xml:space="preserve">VBECS does not allow users in a transfusion-only facility to save partially completed worksheets. The user must enter </w:t>
      </w:r>
      <w:r w:rsidR="00A10483" w:rsidRPr="00D47D4A">
        <w:rPr>
          <w:bCs/>
        </w:rPr>
        <w:t>interpretations</w:t>
      </w:r>
      <w:r w:rsidRPr="00D47D4A">
        <w:rPr>
          <w:bCs/>
        </w:rPr>
        <w:t xml:space="preserve"> for all selected units </w:t>
      </w:r>
      <w:r>
        <w:rPr>
          <w:bCs/>
        </w:rPr>
        <w:t>before VBECS enables</w:t>
      </w:r>
      <w:r w:rsidRPr="00D47D4A">
        <w:rPr>
          <w:bCs/>
        </w:rPr>
        <w:t xml:space="preserve"> the OK button</w:t>
      </w:r>
      <w:r>
        <w:rPr>
          <w:bCs/>
        </w:rPr>
        <w:t>.</w:t>
      </w:r>
    </w:p>
    <w:p w14:paraId="3A8D0947" w14:textId="77777777" w:rsidR="002A21AE" w:rsidRDefault="002A21AE">
      <w:pPr>
        <w:pStyle w:val="ListBullet"/>
      </w:pPr>
      <w:r>
        <w:t>XM compatibility is one aspect of blood unit compatibility. VBECS takes into account the known requirements for compatibility is taken into account when the user prints Caution Tags and BTRFs, and includes such issues as antigen negative requirements and component requirements.</w:t>
      </w:r>
    </w:p>
    <w:p w14:paraId="4FA9BB70" w14:textId="77777777" w:rsidR="002A21AE" w:rsidRDefault="002A21AE">
      <w:pPr>
        <w:pStyle w:val="Heading4"/>
        <w:rPr>
          <w:b w:val="0"/>
        </w:rPr>
      </w:pPr>
      <w:r>
        <w:lastRenderedPageBreak/>
        <w:t>User Roles with Access to This Option</w:t>
      </w:r>
      <w:r>
        <w:rPr>
          <w:b w:val="0"/>
        </w:rPr>
        <w:t xml:space="preserve"> </w:t>
      </w:r>
    </w:p>
    <w:p w14:paraId="3D889EF0" w14:textId="77777777" w:rsidR="002A21AE" w:rsidRDefault="007934CF">
      <w:pPr>
        <w:pStyle w:val="Roles"/>
      </w:pPr>
      <w:r>
        <w:t>All users</w:t>
      </w:r>
    </w:p>
    <w:p w14:paraId="3D464291" w14:textId="77777777" w:rsidR="002A21AE" w:rsidRDefault="002A21AE">
      <w:pPr>
        <w:pStyle w:val="Heading4"/>
      </w:pPr>
      <w:r>
        <w:t>Patient Testing: Record a Crossmatch</w:t>
      </w:r>
    </w:p>
    <w:p w14:paraId="4B74854C" w14:textId="77777777" w:rsidR="002A21AE" w:rsidRDefault="0044651B" w:rsidP="00FA7E65">
      <w:pPr>
        <w:pStyle w:val="BodyText"/>
      </w:pPr>
      <w:r>
        <w:t>During Select Units, the user selects a blood unit to fill a patient order.</w:t>
      </w:r>
      <w:r w:rsidR="002A21AE">
        <w:t xml:space="preserve"> If</w:t>
      </w:r>
      <w:r w:rsidR="00C170E4">
        <w:t xml:space="preserve"> </w:t>
      </w:r>
      <w:r>
        <w:t>the unit selected</w:t>
      </w:r>
      <w:r w:rsidR="002A21AE">
        <w:t xml:space="preserve"> contains red blood cells</w:t>
      </w:r>
      <w:r w:rsidR="00C170E4">
        <w:t xml:space="preserve"> and </w:t>
      </w:r>
      <w:r w:rsidR="002A21AE">
        <w:t>eXM is not enabled</w:t>
      </w:r>
      <w:r w:rsidR="00C170E4">
        <w:t xml:space="preserve">, or </w:t>
      </w:r>
      <w:r w:rsidR="002A21AE">
        <w:t xml:space="preserve">the patient </w:t>
      </w:r>
      <w:r w:rsidR="00C170E4">
        <w:t xml:space="preserve">or unit does </w:t>
      </w:r>
      <w:r w:rsidR="002A21AE">
        <w:t xml:space="preserve">not qualify, VBECS directs the user to enter serologic XM results. </w:t>
      </w:r>
      <w:r w:rsidR="00EB2CC3">
        <w:t>(When eXM is enabled, the user may select serologic XM.)</w:t>
      </w:r>
    </w:p>
    <w:p w14:paraId="502A9F88" w14:textId="77777777" w:rsidR="002A21AE" w:rsidRDefault="002A21AE" w:rsidP="00FA7E65">
      <w:pPr>
        <w:pStyle w:val="BodyText"/>
      </w:pPr>
      <w:r>
        <w:t>The user performs the serologic XM test</w:t>
      </w:r>
      <w:r w:rsidR="002064C3">
        <w:t xml:space="preserve"> and records results in VBECS. VBECS monitors the user’s entries and interpretations</w:t>
      </w:r>
      <w:r>
        <w:t xml:space="preserve"> to determine </w:t>
      </w:r>
      <w:r w:rsidR="002064C3">
        <w:t xml:space="preserve">(with the user) </w:t>
      </w:r>
      <w:r>
        <w:t>compatibility for each cr</w:t>
      </w:r>
      <w:r w:rsidR="005548CE">
        <w:t>o</w:t>
      </w:r>
      <w:r>
        <w:t>ssmatched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DA7A2E" w14:paraId="630C4A13" w14:textId="77777777">
        <w:trPr>
          <w:cantSplit/>
          <w:tblHeader/>
        </w:trPr>
        <w:tc>
          <w:tcPr>
            <w:tcW w:w="3240" w:type="dxa"/>
            <w:shd w:val="pct30" w:color="auto" w:fill="FFFFFF"/>
            <w:vAlign w:val="bottom"/>
          </w:tcPr>
          <w:p w14:paraId="0E3705F7" w14:textId="77777777" w:rsidR="00DA7A2E" w:rsidRDefault="00DA7A2E" w:rsidP="00566A3F">
            <w:pPr>
              <w:pStyle w:val="TableText"/>
              <w:rPr>
                <w:b/>
              </w:rPr>
            </w:pPr>
            <w:r>
              <w:rPr>
                <w:b/>
              </w:rPr>
              <w:t>User Action</w:t>
            </w:r>
          </w:p>
        </w:tc>
        <w:tc>
          <w:tcPr>
            <w:tcW w:w="6120" w:type="dxa"/>
            <w:shd w:val="pct30" w:color="auto" w:fill="FFFFFF"/>
            <w:vAlign w:val="bottom"/>
          </w:tcPr>
          <w:p w14:paraId="6FEC9B3C" w14:textId="77777777" w:rsidR="00DA7A2E" w:rsidRDefault="00DA7A2E" w:rsidP="00566A3F">
            <w:pPr>
              <w:pStyle w:val="TableText"/>
              <w:rPr>
                <w:b/>
              </w:rPr>
            </w:pPr>
            <w:r>
              <w:rPr>
                <w:b/>
              </w:rPr>
              <w:t>VBECS</w:t>
            </w:r>
          </w:p>
        </w:tc>
      </w:tr>
      <w:tr w:rsidR="00DA7A2E" w14:paraId="176D4739" w14:textId="77777777">
        <w:tc>
          <w:tcPr>
            <w:tcW w:w="3240" w:type="dxa"/>
          </w:tcPr>
          <w:p w14:paraId="6982AFB7" w14:textId="77777777" w:rsidR="00DA7A2E" w:rsidRDefault="00DA7A2E" w:rsidP="00253B86">
            <w:pPr>
              <w:pStyle w:val="TableTextNumbers"/>
              <w:rPr>
                <w:b/>
              </w:rPr>
            </w:pPr>
            <w:r>
              <w:t xml:space="preserve">Select </w:t>
            </w:r>
            <w:r>
              <w:rPr>
                <w:b/>
              </w:rPr>
              <w:t>Patients</w:t>
            </w:r>
            <w:r>
              <w:t xml:space="preserve"> from the main menu and select </w:t>
            </w:r>
            <w:r>
              <w:rPr>
                <w:b/>
              </w:rPr>
              <w:t>Patient Testing</w:t>
            </w:r>
            <w:r>
              <w:t>, or</w:t>
            </w:r>
          </w:p>
          <w:p w14:paraId="559BE023" w14:textId="77777777" w:rsidR="00DA7A2E" w:rsidRDefault="00DA7A2E" w:rsidP="00566A3F">
            <w:pPr>
              <w:pStyle w:val="TableTextNumbersContinued"/>
            </w:pPr>
          </w:p>
          <w:p w14:paraId="57F284B1" w14:textId="77777777" w:rsidR="00DA7A2E" w:rsidRDefault="00DA7A2E" w:rsidP="00566A3F">
            <w:pPr>
              <w:pStyle w:val="TableTextNumbersContinued"/>
            </w:pPr>
            <w:r>
              <w:t xml:space="preserve">Select </w:t>
            </w:r>
            <w:r>
              <w:rPr>
                <w:b/>
              </w:rPr>
              <w:t>Blood Units</w:t>
            </w:r>
            <w:r>
              <w:t xml:space="preserve"> from the main menu and select </w:t>
            </w:r>
            <w:r>
              <w:rPr>
                <w:b/>
              </w:rPr>
              <w:t>Select Units</w:t>
            </w:r>
            <w:r>
              <w:t>.</w:t>
            </w:r>
          </w:p>
        </w:tc>
        <w:tc>
          <w:tcPr>
            <w:tcW w:w="6120" w:type="dxa"/>
          </w:tcPr>
          <w:p w14:paraId="0DD95C4F" w14:textId="77777777" w:rsidR="00DA7A2E" w:rsidRDefault="00DA7A2E" w:rsidP="00566A3F">
            <w:pPr>
              <w:pStyle w:val="TableTextBullet"/>
            </w:pPr>
            <w:r>
              <w:t>Displays options for processing patient-related functions.</w:t>
            </w:r>
          </w:p>
          <w:p w14:paraId="66B70CA7" w14:textId="77777777" w:rsidR="00DA7A2E" w:rsidRDefault="00DA7A2E" w:rsidP="00566A3F">
            <w:pPr>
              <w:pStyle w:val="TableTextBullet"/>
            </w:pPr>
            <w:r>
              <w:t>Displays the Pending Task List (PTL) and PTL search parameters in the Diagnostic Tests tab or in the Component Orders tab.</w:t>
            </w:r>
          </w:p>
        </w:tc>
      </w:tr>
      <w:tr w:rsidR="00DA7A2E" w14:paraId="226E26F7" w14:textId="77777777">
        <w:tc>
          <w:tcPr>
            <w:tcW w:w="3240" w:type="dxa"/>
          </w:tcPr>
          <w:p w14:paraId="56522667" w14:textId="77777777" w:rsidR="00DA7A2E" w:rsidRDefault="00DA7A2E" w:rsidP="00253B86">
            <w:pPr>
              <w:pStyle w:val="TableTextNumbers"/>
            </w:pPr>
            <w:r>
              <w:t xml:space="preserve">Enter or select PTL search parameters, if appropriate. </w:t>
            </w:r>
          </w:p>
          <w:p w14:paraId="28982F50" w14:textId="77777777" w:rsidR="00DA7A2E" w:rsidRDefault="00DA7A2E" w:rsidP="00566A3F">
            <w:pPr>
              <w:pStyle w:val="TableTextNumbersContinued"/>
            </w:pPr>
          </w:p>
          <w:p w14:paraId="715BC722" w14:textId="77777777" w:rsidR="00DA7A2E" w:rsidRDefault="00DA7A2E" w:rsidP="00566A3F">
            <w:pPr>
              <w:pStyle w:val="TableTextNumbersContinued"/>
            </w:pPr>
            <w:r>
              <w:t xml:space="preserve">Click the check boxes in the PTL to select </w:t>
            </w:r>
            <w:r w:rsidR="00810E0A">
              <w:t>one to four</w:t>
            </w:r>
            <w:r>
              <w:t xml:space="preserve"> component orders. </w:t>
            </w:r>
          </w:p>
          <w:p w14:paraId="68F35098" w14:textId="77777777" w:rsidR="00DA7A2E" w:rsidRDefault="00DA7A2E" w:rsidP="00566A3F">
            <w:pPr>
              <w:pStyle w:val="TableTextNumbersContinued"/>
            </w:pPr>
          </w:p>
          <w:p w14:paraId="5967D120" w14:textId="77777777" w:rsidR="00DA7A2E" w:rsidRDefault="00DA7A2E" w:rsidP="00566A3F">
            <w:pPr>
              <w:pStyle w:val="TableTextNumbersContinued"/>
            </w:pPr>
            <w:r>
              <w:t xml:space="preserve">Click </w:t>
            </w:r>
            <w:r>
              <w:rPr>
                <w:b/>
              </w:rPr>
              <w:t>OK</w:t>
            </w:r>
            <w:r>
              <w:t xml:space="preserve"> to continue.</w:t>
            </w:r>
          </w:p>
        </w:tc>
        <w:tc>
          <w:tcPr>
            <w:tcW w:w="6120" w:type="dxa"/>
          </w:tcPr>
          <w:p w14:paraId="7ECEA6C4" w14:textId="77777777" w:rsidR="00DA7A2E" w:rsidRDefault="00DA7A2E" w:rsidP="00566A3F">
            <w:pPr>
              <w:pStyle w:val="TableTextBullet"/>
            </w:pPr>
            <w:r>
              <w:t>Displays information for each component order.</w:t>
            </w:r>
          </w:p>
          <w:p w14:paraId="58E0ADDB" w14:textId="77777777" w:rsidR="00DA7A2E" w:rsidRDefault="00DA7A2E" w:rsidP="00566A3F">
            <w:pPr>
              <w:pStyle w:val="TableTextBullet"/>
            </w:pPr>
            <w:r>
              <w:t>When the selected order class is RED BLOOD CELLS and the division enabled eXM, evaluates the patient for eXM unit processing.</w:t>
            </w:r>
          </w:p>
          <w:p w14:paraId="3E7A7FC1" w14:textId="77777777" w:rsidR="00DA7A2E" w:rsidRDefault="00DA7A2E" w:rsidP="00566A3F">
            <w:pPr>
              <w:pStyle w:val="TableText"/>
            </w:pPr>
          </w:p>
          <w:p w14:paraId="7C83D6BE" w14:textId="36125F5A" w:rsidR="00DA7A2E" w:rsidRDefault="00DA7A2E" w:rsidP="00566A3F">
            <w:pPr>
              <w:pStyle w:val="TableText"/>
              <w:rPr>
                <w:b/>
                <w:bCs/>
                <w:szCs w:val="18"/>
              </w:rPr>
            </w:pPr>
            <w:r>
              <w:rPr>
                <w:b/>
                <w:bCs/>
                <w:szCs w:val="18"/>
              </w:rPr>
              <w:t>NOTES</w:t>
            </w:r>
          </w:p>
          <w:p w14:paraId="68D229BD" w14:textId="77777777" w:rsidR="00DA7A2E" w:rsidRDefault="00DA7A2E" w:rsidP="00566A3F">
            <w:pPr>
              <w:pStyle w:val="NotesText"/>
            </w:pPr>
          </w:p>
          <w:p w14:paraId="61981518" w14:textId="3EBDBB52" w:rsidR="00DA7A2E" w:rsidRDefault="00DA7A2E" w:rsidP="00566A3F">
            <w:pPr>
              <w:pStyle w:val="NotesText"/>
            </w:pPr>
            <w:r w:rsidRPr="00896F17">
              <w:rPr>
                <w:rStyle w:val="BullhornChar"/>
              </w:rPr>
              <w:t></w:t>
            </w:r>
            <w:r w:rsidRPr="00C51C45">
              <w:rPr>
                <w:rFonts w:ascii="Webdings" w:hAnsi="Webdings"/>
                <w:szCs w:val="22"/>
              </w:rPr>
              <w:t></w:t>
            </w:r>
            <w:r>
              <w:rPr>
                <w:rFonts w:cs="Arial"/>
                <w:szCs w:val="22"/>
              </w:rPr>
              <w:t xml:space="preserve">See </w:t>
            </w:r>
            <w:r w:rsidR="00302434">
              <w:rPr>
                <w:rFonts w:cs="Arial"/>
                <w:szCs w:val="22"/>
              </w:rPr>
              <w:fldChar w:fldCharType="begin"/>
            </w:r>
            <w:r w:rsidR="00302434">
              <w:rPr>
                <w:rFonts w:cs="Arial"/>
                <w:szCs w:val="22"/>
              </w:rPr>
              <w:instrText xml:space="preserve"> REF _Ref126504413 \h </w:instrText>
            </w:r>
            <w:r w:rsidR="00302434">
              <w:rPr>
                <w:rFonts w:cs="Arial"/>
                <w:szCs w:val="22"/>
              </w:rPr>
            </w:r>
            <w:r w:rsidR="00302434">
              <w:rPr>
                <w:rFonts w:cs="Arial"/>
                <w:szCs w:val="22"/>
              </w:rPr>
              <w:fldChar w:fldCharType="separate"/>
            </w:r>
            <w:r w:rsidR="004353ED">
              <w:t xml:space="preserve">Table </w:t>
            </w:r>
            <w:r w:rsidR="004353ED">
              <w:rPr>
                <w:noProof/>
              </w:rPr>
              <w:t>11</w:t>
            </w:r>
            <w:r w:rsidR="00302434">
              <w:rPr>
                <w:rFonts w:cs="Arial"/>
                <w:szCs w:val="22"/>
              </w:rPr>
              <w:fldChar w:fldCharType="end"/>
            </w:r>
            <w:r w:rsidR="00302434">
              <w:rPr>
                <w:rFonts w:cs="Arial"/>
                <w:szCs w:val="22"/>
              </w:rPr>
              <w:t xml:space="preserve"> </w:t>
            </w:r>
            <w:r>
              <w:rPr>
                <w:rFonts w:cs="Arial"/>
                <w:szCs w:val="22"/>
              </w:rPr>
              <w:t>for alerts that may occur during this option.</w:t>
            </w:r>
          </w:p>
        </w:tc>
      </w:tr>
      <w:tr w:rsidR="00DA7A2E" w14:paraId="1835C0AF" w14:textId="77777777">
        <w:tc>
          <w:tcPr>
            <w:tcW w:w="3240" w:type="dxa"/>
          </w:tcPr>
          <w:p w14:paraId="76D9A51F" w14:textId="77A17E4B" w:rsidR="00DA7A2E" w:rsidRDefault="00DA7A2E" w:rsidP="00566A3F">
            <w:pPr>
              <w:pStyle w:val="TableTextNumbers"/>
            </w:pPr>
            <w:r>
              <w:t xml:space="preserve">Click </w:t>
            </w:r>
            <w:r>
              <w:rPr>
                <w:b/>
              </w:rPr>
              <w:t>Add Units</w:t>
            </w:r>
            <w:r>
              <w:t xml:space="preserve"> to add units to the component orders selected</w:t>
            </w:r>
            <w:r w:rsidR="00436668">
              <w:t xml:space="preserve"> (</w:t>
            </w:r>
            <w:r w:rsidR="00436668">
              <w:fldChar w:fldCharType="begin"/>
            </w:r>
            <w:r w:rsidR="00436668">
              <w:instrText xml:space="preserve"> REF _Ref126724700 \h </w:instrText>
            </w:r>
            <w:r w:rsidR="00436668">
              <w:fldChar w:fldCharType="separate"/>
            </w:r>
            <w:r w:rsidR="004353ED">
              <w:t xml:space="preserve">Figure </w:t>
            </w:r>
            <w:r w:rsidR="004353ED">
              <w:rPr>
                <w:noProof/>
              </w:rPr>
              <w:t>98</w:t>
            </w:r>
            <w:r w:rsidR="00436668">
              <w:fldChar w:fldCharType="end"/>
            </w:r>
            <w:r w:rsidR="00436668">
              <w:t>)</w:t>
            </w:r>
            <w:r>
              <w:t>.</w:t>
            </w:r>
          </w:p>
        </w:tc>
        <w:tc>
          <w:tcPr>
            <w:tcW w:w="6120" w:type="dxa"/>
          </w:tcPr>
          <w:p w14:paraId="16A09CD6" w14:textId="77777777" w:rsidR="00DA7A2E" w:rsidRDefault="00DA7A2E" w:rsidP="00566A3F">
            <w:pPr>
              <w:pStyle w:val="TableTextBullet"/>
            </w:pPr>
            <w:r>
              <w:t>Searches the database and displays available restricted autologous and directed units that the user must select before selecting allogeneic units of the same ICCBBA component class.</w:t>
            </w:r>
          </w:p>
          <w:p w14:paraId="2AAD79E9" w14:textId="77777777" w:rsidR="00DA7A2E" w:rsidRDefault="00DA7A2E" w:rsidP="00566A3F">
            <w:pPr>
              <w:pStyle w:val="TableTextBullet"/>
            </w:pPr>
            <w:r>
              <w:t>Displays the unit ID, product type, unit ABO/Rh, unit expiration date, specimen UID, if applicable, of units assigned to the patient in the division’s blood bank on a different specimen or order. The user may release and reassign the units to the current order.</w:t>
            </w:r>
          </w:p>
          <w:p w14:paraId="5C2AB403" w14:textId="77777777" w:rsidR="00DA7A2E" w:rsidRDefault="00DA7A2E" w:rsidP="00566A3F">
            <w:pPr>
              <w:pStyle w:val="TableTextBullet"/>
            </w:pPr>
            <w:r>
              <w:t>When eXM was configured for the facility, displays the eXM status (eligible or not eligible) for the patient.</w:t>
            </w:r>
          </w:p>
          <w:p w14:paraId="6D48C528" w14:textId="77777777" w:rsidR="00DA7A2E" w:rsidRDefault="00DA7A2E" w:rsidP="00566A3F">
            <w:pPr>
              <w:pStyle w:val="TableText"/>
            </w:pPr>
          </w:p>
          <w:p w14:paraId="1BC08938" w14:textId="10770C26" w:rsidR="00DA7A2E" w:rsidRDefault="00DA7A2E" w:rsidP="00566A3F">
            <w:pPr>
              <w:pStyle w:val="TableText"/>
              <w:rPr>
                <w:b/>
                <w:bCs/>
                <w:szCs w:val="18"/>
              </w:rPr>
            </w:pPr>
            <w:r>
              <w:rPr>
                <w:b/>
                <w:bCs/>
                <w:szCs w:val="18"/>
              </w:rPr>
              <w:t>NOTES</w:t>
            </w:r>
          </w:p>
          <w:p w14:paraId="445CDC38" w14:textId="77777777" w:rsidR="00DA7A2E" w:rsidRDefault="00DA7A2E" w:rsidP="00566A3F">
            <w:pPr>
              <w:pStyle w:val="NotesText"/>
            </w:pPr>
          </w:p>
          <w:p w14:paraId="397936FF" w14:textId="7117AF1A" w:rsidR="00DA7A2E" w:rsidRDefault="00DA7A2E" w:rsidP="00566A3F">
            <w:pPr>
              <w:pStyle w:val="NotesText"/>
            </w:pPr>
            <w:r w:rsidRPr="00896F17">
              <w:rPr>
                <w:rStyle w:val="BullhornChar"/>
              </w:rPr>
              <w:t></w:t>
            </w:r>
            <w:r w:rsidRPr="00C51C45">
              <w:rPr>
                <w:rFonts w:ascii="Webdings" w:hAnsi="Webdings"/>
                <w:szCs w:val="22"/>
              </w:rPr>
              <w:t></w:t>
            </w:r>
            <w:r w:rsidR="00302434">
              <w:rPr>
                <w:rFonts w:cs="Arial"/>
                <w:szCs w:val="22"/>
              </w:rPr>
              <w:t xml:space="preserve"> See </w:t>
            </w:r>
            <w:r w:rsidR="00302434">
              <w:rPr>
                <w:rFonts w:cs="Arial"/>
                <w:szCs w:val="22"/>
              </w:rPr>
              <w:fldChar w:fldCharType="begin"/>
            </w:r>
            <w:r w:rsidR="00302434">
              <w:rPr>
                <w:rFonts w:cs="Arial"/>
                <w:szCs w:val="22"/>
              </w:rPr>
              <w:instrText xml:space="preserve"> REF _Ref126504413 \h </w:instrText>
            </w:r>
            <w:r w:rsidR="00302434">
              <w:rPr>
                <w:rFonts w:cs="Arial"/>
                <w:szCs w:val="22"/>
              </w:rPr>
            </w:r>
            <w:r w:rsidR="00302434">
              <w:rPr>
                <w:rFonts w:cs="Arial"/>
                <w:szCs w:val="22"/>
              </w:rPr>
              <w:fldChar w:fldCharType="separate"/>
            </w:r>
            <w:r w:rsidR="004353ED">
              <w:t xml:space="preserve">Table </w:t>
            </w:r>
            <w:r w:rsidR="004353ED">
              <w:rPr>
                <w:noProof/>
              </w:rPr>
              <w:t>11</w:t>
            </w:r>
            <w:r w:rsidR="00302434">
              <w:rPr>
                <w:rFonts w:cs="Arial"/>
                <w:szCs w:val="22"/>
              </w:rPr>
              <w:fldChar w:fldCharType="end"/>
            </w:r>
            <w:r w:rsidR="00302434">
              <w:rPr>
                <w:rFonts w:cs="Arial"/>
                <w:szCs w:val="22"/>
              </w:rPr>
              <w:t xml:space="preserve"> for alerts that may occur during this option.</w:t>
            </w:r>
          </w:p>
          <w:p w14:paraId="7A3FA8A1" w14:textId="77777777" w:rsidR="00DA7A2E" w:rsidRDefault="00DA7A2E" w:rsidP="00566A3F">
            <w:pPr>
              <w:pStyle w:val="NotesText"/>
            </w:pPr>
          </w:p>
          <w:p w14:paraId="77351A14" w14:textId="77777777" w:rsidR="00DA7A2E" w:rsidRDefault="00DA7A2E" w:rsidP="00566A3F">
            <w:pPr>
              <w:pStyle w:val="NotesText"/>
            </w:pPr>
            <w:r w:rsidRPr="00D80D5F">
              <w:rPr>
                <w:rFonts w:cs="Arial"/>
                <w:vanish/>
                <w:szCs w:val="18"/>
              </w:rPr>
              <w:t>BR_3.05</w:t>
            </w:r>
            <w:r>
              <w:rPr>
                <w:rFonts w:cs="Arial"/>
                <w:vanish/>
              </w:rPr>
              <w:t xml:space="preserve"> </w:t>
            </w:r>
            <w:r>
              <w:t xml:space="preserve">When no valid ABO exists for the patient, the user may select components, including autologous units: </w:t>
            </w:r>
          </w:p>
          <w:p w14:paraId="4B365931" w14:textId="77777777" w:rsidR="00DA7A2E" w:rsidRDefault="00DA7A2E" w:rsidP="00566A3F">
            <w:pPr>
              <w:pStyle w:val="NotesTextBullet"/>
            </w:pPr>
            <w:r>
              <w:t xml:space="preserve">For RBC or WB order: </w:t>
            </w:r>
          </w:p>
          <w:p w14:paraId="7F08843D" w14:textId="77777777" w:rsidR="00DA7A2E" w:rsidRDefault="00DA7A2E" w:rsidP="00566A3F">
            <w:pPr>
              <w:pStyle w:val="NotesTextBullet1"/>
            </w:pPr>
            <w:r>
              <w:t>Group O, Rh positive or O Rh negative RBC</w:t>
            </w:r>
          </w:p>
          <w:p w14:paraId="04C61764" w14:textId="77777777" w:rsidR="00DA7A2E" w:rsidRDefault="00DA7A2E" w:rsidP="00566A3F">
            <w:pPr>
              <w:pStyle w:val="NotesTextBullet1"/>
            </w:pPr>
            <w:r>
              <w:t>WHOLE BLOOD is not selectable</w:t>
            </w:r>
          </w:p>
          <w:p w14:paraId="3E7C1B4A" w14:textId="77777777" w:rsidR="002176A9" w:rsidRDefault="002176A9" w:rsidP="00566A3F">
            <w:pPr>
              <w:pStyle w:val="NotesTextBullet"/>
            </w:pPr>
            <w:r>
              <w:t>For FFP order:</w:t>
            </w:r>
          </w:p>
          <w:p w14:paraId="3A2FB60F" w14:textId="77777777" w:rsidR="00DA7A2E" w:rsidRDefault="002176A9" w:rsidP="002176A9">
            <w:pPr>
              <w:pStyle w:val="NotesTextBullet1"/>
            </w:pPr>
            <w:r>
              <w:t>G</w:t>
            </w:r>
            <w:r w:rsidR="00DA7A2E">
              <w:t>roup AB, Rh positive or Rh negative</w:t>
            </w:r>
            <w:r w:rsidR="00D80D5F">
              <w:t>, or not specified.</w:t>
            </w:r>
          </w:p>
          <w:p w14:paraId="53681E90" w14:textId="77777777" w:rsidR="00E74609" w:rsidRDefault="00E31C5D" w:rsidP="00E74609">
            <w:pPr>
              <w:pStyle w:val="NotesTextBullet"/>
            </w:pPr>
            <w:r>
              <w:t>Fo</w:t>
            </w:r>
            <w:r w:rsidR="00E74609">
              <w:t>r PLT order:</w:t>
            </w:r>
          </w:p>
          <w:p w14:paraId="5C694E3B" w14:textId="77777777" w:rsidR="00E74609" w:rsidRDefault="00E74609" w:rsidP="00E74609">
            <w:pPr>
              <w:pStyle w:val="NotesTextBullet1"/>
            </w:pPr>
            <w:r>
              <w:t>All units with &lt; 2 ML RBC containment are available</w:t>
            </w:r>
          </w:p>
          <w:p w14:paraId="4EEB180E" w14:textId="77777777" w:rsidR="00E74609" w:rsidRDefault="00E74609" w:rsidP="00E74609">
            <w:pPr>
              <w:pStyle w:val="NotesTextBullet1"/>
            </w:pPr>
            <w:r>
              <w:t>Units</w:t>
            </w:r>
            <w:r w:rsidRPr="001A5BC5">
              <w:t xml:space="preserve"> with </w:t>
            </w:r>
            <w:r w:rsidR="0058122A">
              <w:t xml:space="preserve">= </w:t>
            </w:r>
            <w:r w:rsidR="0058122A" w:rsidRPr="0058122A">
              <w:t>&gt;</w:t>
            </w:r>
            <w:r w:rsidRPr="001A5BC5">
              <w:t xml:space="preserve"> 2 mL RBC contamination are not available</w:t>
            </w:r>
          </w:p>
          <w:p w14:paraId="2C06BD22" w14:textId="77777777" w:rsidR="00E74609" w:rsidRDefault="00E74609" w:rsidP="00E74609">
            <w:pPr>
              <w:pStyle w:val="NotesTextBullet"/>
            </w:pPr>
            <w:r>
              <w:t>For CRYO order:</w:t>
            </w:r>
          </w:p>
          <w:p w14:paraId="19929859" w14:textId="77777777" w:rsidR="00E74609" w:rsidRDefault="00E74609" w:rsidP="00E74609">
            <w:pPr>
              <w:pStyle w:val="NotesTextBullet1"/>
            </w:pPr>
            <w:r>
              <w:t>All available units are selectable</w:t>
            </w:r>
          </w:p>
          <w:p w14:paraId="27EB3D64" w14:textId="77777777" w:rsidR="00E74609" w:rsidRDefault="00E74609" w:rsidP="00E74609">
            <w:pPr>
              <w:pStyle w:val="NotesTextBullet1"/>
              <w:numPr>
                <w:ilvl w:val="0"/>
                <w:numId w:val="0"/>
              </w:numPr>
              <w:ind w:left="1296" w:hanging="288"/>
            </w:pPr>
            <w:r>
              <w:t>For OTHER order:</w:t>
            </w:r>
          </w:p>
          <w:p w14:paraId="069EDB81" w14:textId="77777777" w:rsidR="00E74609" w:rsidRDefault="00E74609" w:rsidP="00E74609">
            <w:pPr>
              <w:pStyle w:val="NotesTextBullet1"/>
            </w:pPr>
            <w:r>
              <w:t>All units with &lt; 2 mL contamination are available</w:t>
            </w:r>
          </w:p>
          <w:p w14:paraId="1757A3DB" w14:textId="77777777" w:rsidR="00E74609" w:rsidRDefault="00E74609" w:rsidP="00E74609">
            <w:pPr>
              <w:pStyle w:val="NotesTextBullet1"/>
            </w:pPr>
            <w:r>
              <w:lastRenderedPageBreak/>
              <w:t xml:space="preserve">Units with </w:t>
            </w:r>
            <w:r w:rsidR="0058122A" w:rsidRPr="0058122A">
              <w:t>= &gt;</w:t>
            </w:r>
            <w:r w:rsidRPr="001A5BC5">
              <w:t xml:space="preserve"> 2 mL RBC contamination are not available</w:t>
            </w:r>
          </w:p>
        </w:tc>
      </w:tr>
      <w:tr w:rsidR="00DA7A2E" w14:paraId="247D6F6C" w14:textId="77777777">
        <w:tc>
          <w:tcPr>
            <w:tcW w:w="3240" w:type="dxa"/>
          </w:tcPr>
          <w:p w14:paraId="612DAEEC" w14:textId="77777777" w:rsidR="00D20E3E" w:rsidRDefault="00D20E3E" w:rsidP="00D20E3E">
            <w:pPr>
              <w:pStyle w:val="TableTextNumbers"/>
            </w:pPr>
            <w:r>
              <w:lastRenderedPageBreak/>
              <w:t xml:space="preserve">Scan or enter allogeneic units, select compatible units from the Order Group list, or click the </w:t>
            </w:r>
            <w:r w:rsidR="00A6373D">
              <w:rPr>
                <w:b/>
              </w:rPr>
              <w:t>find</w:t>
            </w:r>
            <w:r w:rsidRPr="00D509C6">
              <w:rPr>
                <w:b/>
              </w:rPr>
              <w:t xml:space="preserve"> </w:t>
            </w:r>
            <w:r w:rsidRPr="00D1100E">
              <w:t>button</w:t>
            </w:r>
            <w:r>
              <w:t xml:space="preserve"> to select units.</w:t>
            </w:r>
          </w:p>
          <w:p w14:paraId="309C7A2A" w14:textId="77777777" w:rsidR="00DA7A2E" w:rsidRDefault="00DA7A2E" w:rsidP="00566A3F">
            <w:pPr>
              <w:pStyle w:val="TableTextNumbersContinued"/>
            </w:pPr>
          </w:p>
          <w:p w14:paraId="7E075C58" w14:textId="77777777" w:rsidR="00DA7A2E" w:rsidRDefault="00DA7A2E" w:rsidP="00566A3F">
            <w:pPr>
              <w:pStyle w:val="TableTextNumbersContinued"/>
            </w:pPr>
            <w:r>
              <w:t>Enter or select a date in the Selection Date field.</w:t>
            </w:r>
            <w:r w:rsidR="00C96BF6">
              <w:t xml:space="preserve"> </w:t>
            </w:r>
            <w:r>
              <w:t>Each unit may have its own selection date and time.</w:t>
            </w:r>
          </w:p>
          <w:p w14:paraId="7B6E99EB" w14:textId="77777777" w:rsidR="00DA7A2E" w:rsidRDefault="00DA7A2E" w:rsidP="00566A3F">
            <w:pPr>
              <w:pStyle w:val="TableTextNumbersContinued"/>
            </w:pPr>
          </w:p>
          <w:p w14:paraId="5D13D99C" w14:textId="77777777" w:rsidR="00DA7A2E" w:rsidRDefault="00DA7A2E" w:rsidP="00566A3F">
            <w:pPr>
              <w:pStyle w:val="TableTextNumbersContinued"/>
            </w:pPr>
            <w:r>
              <w:t xml:space="preserve">Click </w:t>
            </w:r>
            <w:r>
              <w:rPr>
                <w:b/>
              </w:rPr>
              <w:t>Add Units</w:t>
            </w:r>
            <w:r>
              <w:t xml:space="preserve"> to display the unit selection form.</w:t>
            </w:r>
          </w:p>
          <w:p w14:paraId="5D901EA5" w14:textId="77777777" w:rsidR="00EA2FA8" w:rsidRDefault="00EA2FA8" w:rsidP="00566A3F">
            <w:pPr>
              <w:pStyle w:val="TableTextNumbersContinued"/>
            </w:pPr>
          </w:p>
          <w:p w14:paraId="7CF48C22" w14:textId="77777777" w:rsidR="00EA2FA8" w:rsidRDefault="00EA2FA8" w:rsidP="00566A3F">
            <w:pPr>
              <w:pStyle w:val="TableTextNumbersContinued"/>
            </w:pPr>
            <w:r>
              <w:t>To change the Assigned Date and Assigned By fields, click a unit in the Order Group list.</w:t>
            </w:r>
          </w:p>
        </w:tc>
        <w:tc>
          <w:tcPr>
            <w:tcW w:w="6120" w:type="dxa"/>
          </w:tcPr>
          <w:p w14:paraId="4CB0FFA5" w14:textId="77777777" w:rsidR="00DA7A2E" w:rsidRDefault="00DA7A2E" w:rsidP="00566A3F">
            <w:pPr>
              <w:pStyle w:val="TableTextBullet"/>
            </w:pPr>
            <w:r>
              <w:t>Maintains a list of selected units. The user may deselect selected units.</w:t>
            </w:r>
          </w:p>
          <w:p w14:paraId="3D4C2A31" w14:textId="77777777" w:rsidR="00DA7A2E" w:rsidRDefault="00DA7A2E" w:rsidP="00566A3F">
            <w:pPr>
              <w:pStyle w:val="TableTextBullet"/>
            </w:pPr>
            <w:r>
              <w:t>Evaluates the selected unit:</w:t>
            </w:r>
          </w:p>
          <w:p w14:paraId="2DFB7E0E" w14:textId="77777777" w:rsidR="00DA7A2E" w:rsidRDefault="00DA7A2E" w:rsidP="00566A3F">
            <w:pPr>
              <w:pStyle w:val="TableTextBullet1"/>
              <w:tabs>
                <w:tab w:val="num" w:pos="648"/>
              </w:tabs>
              <w:ind w:left="648" w:hanging="360"/>
            </w:pPr>
            <w:r>
              <w:t>For the ABO/Rh compatibility of each unit and warns the user.</w:t>
            </w:r>
          </w:p>
          <w:p w14:paraId="241FBA47" w14:textId="77777777" w:rsidR="00DA7A2E" w:rsidRDefault="00DA7A2E" w:rsidP="00566A3F">
            <w:pPr>
              <w:pStyle w:val="TableTextBullet1"/>
              <w:tabs>
                <w:tab w:val="num" w:pos="648"/>
              </w:tabs>
              <w:ind w:left="648" w:hanging="360"/>
            </w:pPr>
            <w:r>
              <w:t>Against patient Transfusion Requirements (TRs) and warns the user.</w:t>
            </w:r>
          </w:p>
          <w:p w14:paraId="7039EB70" w14:textId="77777777" w:rsidR="00DA7A2E" w:rsidRDefault="00DA7A2E" w:rsidP="00566A3F">
            <w:pPr>
              <w:pStyle w:val="TableTextBullet1"/>
              <w:tabs>
                <w:tab w:val="num" w:pos="648"/>
              </w:tabs>
              <w:ind w:left="648" w:hanging="360"/>
            </w:pPr>
            <w:r>
              <w:t>For unit antigen negative compatibility and warns the user.</w:t>
            </w:r>
          </w:p>
          <w:p w14:paraId="790A29FC" w14:textId="77777777" w:rsidR="00DA7A2E" w:rsidRDefault="00DA7A2E" w:rsidP="00566A3F">
            <w:pPr>
              <w:pStyle w:val="TableTextBullet"/>
            </w:pPr>
            <w:r>
              <w:t>Performs additional checks that include days remaining until the unit’s expiration date, the current status, assignments to other patients, quarantine and biohazard indicators, when applied, and associated special testing.</w:t>
            </w:r>
          </w:p>
          <w:p w14:paraId="15F9A3F5" w14:textId="77777777" w:rsidR="00DA7A2E" w:rsidRDefault="00DA7A2E" w:rsidP="00566A3F">
            <w:pPr>
              <w:pStyle w:val="TableText"/>
            </w:pPr>
          </w:p>
          <w:p w14:paraId="2513A7C7" w14:textId="4219D42A" w:rsidR="00DA7A2E" w:rsidRDefault="00DA7A2E" w:rsidP="00566A3F">
            <w:pPr>
              <w:pStyle w:val="TableText"/>
              <w:rPr>
                <w:b/>
                <w:bCs/>
                <w:szCs w:val="18"/>
              </w:rPr>
            </w:pPr>
            <w:r>
              <w:rPr>
                <w:b/>
                <w:bCs/>
                <w:szCs w:val="18"/>
              </w:rPr>
              <w:t>NOTES</w:t>
            </w:r>
          </w:p>
          <w:p w14:paraId="7E18327D" w14:textId="77777777" w:rsidR="00DA7A2E" w:rsidRDefault="00DA7A2E" w:rsidP="00566A3F">
            <w:pPr>
              <w:pStyle w:val="NotesText"/>
            </w:pPr>
          </w:p>
          <w:p w14:paraId="0155E445" w14:textId="170C51F2" w:rsidR="00DA7A2E" w:rsidRDefault="00DA7A2E" w:rsidP="00566A3F">
            <w:pPr>
              <w:pStyle w:val="NotesText"/>
            </w:pPr>
            <w:r w:rsidRPr="00896F17">
              <w:rPr>
                <w:rStyle w:val="BullhornChar"/>
              </w:rPr>
              <w:t></w:t>
            </w:r>
            <w:r w:rsidRPr="00C51C45">
              <w:rPr>
                <w:rFonts w:ascii="Webdings" w:hAnsi="Webdings"/>
                <w:szCs w:val="22"/>
              </w:rPr>
              <w:t></w:t>
            </w:r>
            <w:r w:rsidR="00302434">
              <w:rPr>
                <w:rFonts w:cs="Arial"/>
                <w:szCs w:val="22"/>
              </w:rPr>
              <w:t xml:space="preserve"> See </w:t>
            </w:r>
            <w:r w:rsidR="00302434">
              <w:rPr>
                <w:rFonts w:cs="Arial"/>
                <w:szCs w:val="22"/>
              </w:rPr>
              <w:fldChar w:fldCharType="begin"/>
            </w:r>
            <w:r w:rsidR="00302434">
              <w:rPr>
                <w:rFonts w:cs="Arial"/>
                <w:szCs w:val="22"/>
              </w:rPr>
              <w:instrText xml:space="preserve"> REF _Ref126504413 \h </w:instrText>
            </w:r>
            <w:r w:rsidR="00302434">
              <w:rPr>
                <w:rFonts w:cs="Arial"/>
                <w:szCs w:val="22"/>
              </w:rPr>
            </w:r>
            <w:r w:rsidR="00302434">
              <w:rPr>
                <w:rFonts w:cs="Arial"/>
                <w:szCs w:val="22"/>
              </w:rPr>
              <w:fldChar w:fldCharType="separate"/>
            </w:r>
            <w:r w:rsidR="004353ED">
              <w:t xml:space="preserve">Table </w:t>
            </w:r>
            <w:r w:rsidR="004353ED">
              <w:rPr>
                <w:noProof/>
              </w:rPr>
              <w:t>11</w:t>
            </w:r>
            <w:r w:rsidR="00302434">
              <w:rPr>
                <w:rFonts w:cs="Arial"/>
                <w:szCs w:val="22"/>
              </w:rPr>
              <w:fldChar w:fldCharType="end"/>
            </w:r>
            <w:r w:rsidR="00302434">
              <w:rPr>
                <w:rFonts w:cs="Arial"/>
                <w:szCs w:val="22"/>
              </w:rPr>
              <w:t xml:space="preserve"> for alerts that may occur during this option.</w:t>
            </w:r>
          </w:p>
          <w:p w14:paraId="5722CC1C" w14:textId="77777777" w:rsidR="00DA7A2E" w:rsidRDefault="00DA7A2E" w:rsidP="00566A3F">
            <w:pPr>
              <w:pStyle w:val="NotesText"/>
            </w:pPr>
          </w:p>
          <w:p w14:paraId="6CFD2BFB" w14:textId="77777777" w:rsidR="00DA7A2E" w:rsidRDefault="00DA7A2E" w:rsidP="00566A3F">
            <w:pPr>
              <w:pStyle w:val="NotesText"/>
            </w:pPr>
            <w:r>
              <w:t xml:space="preserve">The user may accept or edit the current date and time displayed; the date and time must be in the past. </w:t>
            </w:r>
          </w:p>
          <w:p w14:paraId="478D315F" w14:textId="77777777" w:rsidR="00DA7A2E" w:rsidRDefault="00DA7A2E" w:rsidP="00566A3F">
            <w:pPr>
              <w:pStyle w:val="NotesText"/>
            </w:pPr>
          </w:p>
          <w:p w14:paraId="0EABE6A7" w14:textId="77777777" w:rsidR="00DA7A2E" w:rsidRDefault="00DA7A2E" w:rsidP="00566A3F">
            <w:pPr>
              <w:pStyle w:val="NotesText"/>
            </w:pPr>
            <w:r>
              <w:rPr>
                <w:rFonts w:cs="Arial"/>
                <w:vanish/>
                <w:szCs w:val="18"/>
              </w:rPr>
              <w:t>BR_3.25</w:t>
            </w:r>
            <w:r w:rsidR="005D400B">
              <w:rPr>
                <w:rFonts w:cs="Arial"/>
                <w:vanish/>
                <w:szCs w:val="18"/>
              </w:rPr>
              <w:t>,</w:t>
            </w:r>
            <w:r>
              <w:rPr>
                <w:rFonts w:cs="Arial"/>
                <w:vanish/>
                <w:szCs w:val="18"/>
              </w:rPr>
              <w:t xml:space="preserve"> </w:t>
            </w:r>
            <w:r>
              <w:rPr>
                <w:vanish/>
                <w:szCs w:val="18"/>
              </w:rPr>
              <w:t xml:space="preserve">BR_16.13 </w:t>
            </w:r>
            <w:r>
              <w:t>Restricted (autologous or directed) unit selection eligibility criteria:</w:t>
            </w:r>
          </w:p>
          <w:p w14:paraId="73BC3FAD" w14:textId="77777777" w:rsidR="00DA7A2E" w:rsidRDefault="00DA7A2E" w:rsidP="00566A3F">
            <w:pPr>
              <w:pStyle w:val="NotesTextBullet"/>
            </w:pPr>
            <w:r>
              <w:t>Restricted For Patient ID: must match</w:t>
            </w:r>
          </w:p>
          <w:p w14:paraId="17E3B3BB" w14:textId="77777777" w:rsidR="00DA7A2E" w:rsidRDefault="00DA7A2E" w:rsidP="00566A3F">
            <w:pPr>
              <w:pStyle w:val="NotesTextBullet"/>
            </w:pPr>
            <w:r>
              <w:t>Restricted For Patient Name: must match</w:t>
            </w:r>
          </w:p>
          <w:p w14:paraId="1572C55C" w14:textId="77777777" w:rsidR="00DA7A2E" w:rsidRDefault="00DA7A2E" w:rsidP="00566A3F">
            <w:pPr>
              <w:pStyle w:val="NotesTextBullet"/>
            </w:pPr>
            <w:r>
              <w:t xml:space="preserve">Unit expiration date must be in the future. </w:t>
            </w:r>
          </w:p>
          <w:p w14:paraId="6F0A0547" w14:textId="77777777" w:rsidR="00DA7A2E" w:rsidRDefault="00DA7A2E" w:rsidP="00566A3F">
            <w:pPr>
              <w:pStyle w:val="NotesTextBullet"/>
            </w:pPr>
            <w:r>
              <w:t>Component class (transfusion only requires restriction of all units)</w:t>
            </w:r>
          </w:p>
          <w:p w14:paraId="6E797119" w14:textId="77777777" w:rsidR="00DA7A2E" w:rsidRDefault="00DA7A2E" w:rsidP="00566A3F">
            <w:pPr>
              <w:pStyle w:val="NotesTextBullet"/>
              <w:numPr>
                <w:ilvl w:val="0"/>
                <w:numId w:val="0"/>
              </w:numPr>
              <w:ind w:left="720"/>
            </w:pPr>
          </w:p>
          <w:p w14:paraId="43F4B31C" w14:textId="77777777" w:rsidR="00DA7A2E" w:rsidRDefault="00DA7A2E" w:rsidP="00566A3F">
            <w:pPr>
              <w:pStyle w:val="NotesText"/>
            </w:pPr>
            <w:r>
              <w:rPr>
                <w:rFonts w:cs="Arial"/>
                <w:vanish/>
              </w:rPr>
              <w:t xml:space="preserve">BR_3.19 </w:t>
            </w:r>
            <w:r>
              <w:t>The criteria for selecting or including an individual unit in a pick list include evaluating a unit for:</w:t>
            </w:r>
          </w:p>
          <w:p w14:paraId="1D8809B9" w14:textId="77777777" w:rsidR="00DA7A2E" w:rsidRDefault="00DA7A2E" w:rsidP="00566A3F">
            <w:pPr>
              <w:pStyle w:val="NotesTextBullet"/>
            </w:pPr>
            <w:r>
              <w:t>Considered substitutable for the order</w:t>
            </w:r>
          </w:p>
          <w:p w14:paraId="06E9BBCD" w14:textId="77777777" w:rsidR="00DA7A2E" w:rsidRDefault="00DA7A2E" w:rsidP="00566A3F">
            <w:pPr>
              <w:pStyle w:val="NotesTextBullet"/>
            </w:pPr>
            <w:r>
              <w:t>Same division as the user</w:t>
            </w:r>
          </w:p>
          <w:p w14:paraId="4FD666C9" w14:textId="77777777" w:rsidR="00DA7A2E" w:rsidRDefault="00DA7A2E" w:rsidP="00566A3F">
            <w:pPr>
              <w:pStyle w:val="NotesTextBullet"/>
            </w:pPr>
            <w:r>
              <w:t xml:space="preserve">Current location is in the blood bank </w:t>
            </w:r>
          </w:p>
          <w:p w14:paraId="7009B764" w14:textId="77777777" w:rsidR="00DA7A2E" w:rsidRDefault="00DA7A2E" w:rsidP="00566A3F">
            <w:pPr>
              <w:pStyle w:val="NotesTextBullet"/>
            </w:pPr>
            <w:r>
              <w:t>Is not already assigned or crossmatched to the patient</w:t>
            </w:r>
          </w:p>
          <w:p w14:paraId="3FCD5A75" w14:textId="77777777" w:rsidR="00DA7A2E" w:rsidRDefault="00DA7A2E" w:rsidP="00566A3F">
            <w:pPr>
              <w:pStyle w:val="NotesTextBullet"/>
            </w:pPr>
            <w:r>
              <w:t>Is not “restricted” for a different patient</w:t>
            </w:r>
          </w:p>
          <w:p w14:paraId="44142055" w14:textId="77777777" w:rsidR="00DA7A2E" w:rsidRDefault="00DA7A2E" w:rsidP="00566A3F">
            <w:pPr>
              <w:pStyle w:val="NotesTextBullet"/>
            </w:pPr>
            <w:r>
              <w:t xml:space="preserve">Meets ABO/Rh compatibility requirements specific to the component class </w:t>
            </w:r>
          </w:p>
          <w:p w14:paraId="532930F3" w14:textId="77777777" w:rsidR="00DA7A2E" w:rsidRDefault="00DA7A2E" w:rsidP="00566A3F">
            <w:pPr>
              <w:pStyle w:val="NotesTextBullet"/>
            </w:pPr>
            <w:r>
              <w:t>Future expiration date</w:t>
            </w:r>
          </w:p>
          <w:p w14:paraId="6E47AC79" w14:textId="77777777" w:rsidR="00DA7A2E" w:rsidRDefault="00DA7A2E" w:rsidP="00566A3F">
            <w:pPr>
              <w:pStyle w:val="NotesText"/>
            </w:pPr>
          </w:p>
          <w:p w14:paraId="4EB081C3" w14:textId="77777777" w:rsidR="00DA7A2E" w:rsidRDefault="00DA7A2E" w:rsidP="00566A3F">
            <w:pPr>
              <w:pStyle w:val="NotesText"/>
            </w:pPr>
            <w:r>
              <w:rPr>
                <w:rFonts w:cs="Arial"/>
                <w:vanish/>
              </w:rPr>
              <w:t xml:space="preserve">BR_3.04 </w:t>
            </w:r>
            <w:r>
              <w:t>VBECS lists only ABO/Rh compatible units for selection.</w:t>
            </w:r>
          </w:p>
          <w:p w14:paraId="646EED94" w14:textId="77777777" w:rsidR="00DA7A2E" w:rsidRDefault="00DA7A2E" w:rsidP="00566A3F">
            <w:pPr>
              <w:pStyle w:val="NotesText"/>
            </w:pPr>
          </w:p>
          <w:p w14:paraId="0E9D3B82" w14:textId="77777777" w:rsidR="00DA7A2E" w:rsidRDefault="00DA7A2E" w:rsidP="00566A3F">
            <w:pPr>
              <w:pStyle w:val="NotesText"/>
            </w:pPr>
            <w:r w:rsidRPr="00CC6497">
              <w:rPr>
                <w:rFonts w:cs="Arial"/>
                <w:vanish/>
                <w:color w:val="0000FF"/>
              </w:rPr>
              <w:t>BR_3.11</w:t>
            </w:r>
            <w:r>
              <w:rPr>
                <w:rFonts w:cs="Arial"/>
                <w:vanish/>
              </w:rPr>
              <w:t xml:space="preserve"> </w:t>
            </w:r>
            <w:r>
              <w:t>When ABO/Rh results were not created for the specimen associated with the component order and the order is not designated “emergency issue,” VBECS allows the user to select units using historic records, and notifies the user that ABO/Rh testing must be performed at this division on this patient before any selected units can be issued.</w:t>
            </w:r>
          </w:p>
          <w:p w14:paraId="41009D8D" w14:textId="77777777" w:rsidR="00DA7A2E" w:rsidRDefault="00DA7A2E" w:rsidP="00566A3F">
            <w:pPr>
              <w:pStyle w:val="NotesText"/>
            </w:pPr>
          </w:p>
          <w:p w14:paraId="4FA91452" w14:textId="77777777" w:rsidR="00DA7A2E" w:rsidRDefault="00DA7A2E" w:rsidP="00566A3F">
            <w:pPr>
              <w:pStyle w:val="NotesText"/>
            </w:pPr>
            <w:r>
              <w:rPr>
                <w:rFonts w:cs="Arial"/>
                <w:vanish/>
              </w:rPr>
              <w:t xml:space="preserve">BR_3.55 </w:t>
            </w:r>
            <w:r>
              <w:t>VBECS displays and allows the user to complete a pending XM associated with a patient order without a final unit status.</w:t>
            </w:r>
          </w:p>
        </w:tc>
      </w:tr>
      <w:tr w:rsidR="00DA7A2E" w14:paraId="29B653DB" w14:textId="77777777" w:rsidTr="00414071">
        <w:trPr>
          <w:cantSplit/>
        </w:trPr>
        <w:tc>
          <w:tcPr>
            <w:tcW w:w="3240" w:type="dxa"/>
          </w:tcPr>
          <w:p w14:paraId="7B284FB5" w14:textId="77777777" w:rsidR="00DA7A2E" w:rsidRDefault="00DA7A2E" w:rsidP="00566A3F">
            <w:pPr>
              <w:pStyle w:val="TableTextNumbers"/>
            </w:pPr>
            <w:r>
              <w:lastRenderedPageBreak/>
              <w:t>Repeat Step 4 until all units are selected.</w:t>
            </w:r>
          </w:p>
        </w:tc>
        <w:tc>
          <w:tcPr>
            <w:tcW w:w="6120" w:type="dxa"/>
          </w:tcPr>
          <w:p w14:paraId="5486CBE9" w14:textId="77777777" w:rsidR="00DA7A2E" w:rsidRDefault="00DA7A2E" w:rsidP="00566A3F">
            <w:pPr>
              <w:pStyle w:val="TableTextBullet"/>
            </w:pPr>
            <w:r>
              <w:t>Requests the user to confirm the list of selected blood units.</w:t>
            </w:r>
          </w:p>
          <w:p w14:paraId="52499EE8" w14:textId="77777777" w:rsidR="00DA7A2E" w:rsidRDefault="00DA7A2E" w:rsidP="00566A3F">
            <w:pPr>
              <w:pStyle w:val="TableText"/>
            </w:pPr>
          </w:p>
          <w:p w14:paraId="6D620E62" w14:textId="73ED183C" w:rsidR="00DA7A2E" w:rsidRDefault="00DA7A2E" w:rsidP="00566A3F">
            <w:pPr>
              <w:pStyle w:val="TableText"/>
              <w:rPr>
                <w:b/>
                <w:bCs/>
                <w:szCs w:val="18"/>
              </w:rPr>
            </w:pPr>
            <w:r>
              <w:rPr>
                <w:b/>
                <w:bCs/>
                <w:szCs w:val="18"/>
              </w:rPr>
              <w:t>NOTES</w:t>
            </w:r>
          </w:p>
          <w:p w14:paraId="65CEB937" w14:textId="77777777" w:rsidR="00DA7A2E" w:rsidRDefault="00DA7A2E" w:rsidP="00566A3F">
            <w:pPr>
              <w:pStyle w:val="NotesText"/>
            </w:pPr>
          </w:p>
          <w:p w14:paraId="46A4574F" w14:textId="77777777" w:rsidR="00DA7A2E" w:rsidRDefault="00DA7A2E" w:rsidP="00566A3F">
            <w:pPr>
              <w:pStyle w:val="NotesText"/>
            </w:pPr>
            <w:r>
              <w:t>The user may select or deselect additional units.</w:t>
            </w:r>
          </w:p>
        </w:tc>
      </w:tr>
      <w:tr w:rsidR="00DA7A2E" w14:paraId="35E52BA9" w14:textId="77777777">
        <w:tc>
          <w:tcPr>
            <w:tcW w:w="3240" w:type="dxa"/>
          </w:tcPr>
          <w:p w14:paraId="52BBD073" w14:textId="77777777" w:rsidR="00DA7A2E" w:rsidRDefault="00DA7A2E" w:rsidP="00566A3F">
            <w:pPr>
              <w:pStyle w:val="TableTextNumbers"/>
            </w:pPr>
            <w:r>
              <w:t xml:space="preserve">Click </w:t>
            </w:r>
            <w:r>
              <w:rPr>
                <w:b/>
              </w:rPr>
              <w:t>OK</w:t>
            </w:r>
            <w:r>
              <w:t xml:space="preserve"> to confirm the selection of units.</w:t>
            </w:r>
          </w:p>
        </w:tc>
        <w:tc>
          <w:tcPr>
            <w:tcW w:w="6120" w:type="dxa"/>
          </w:tcPr>
          <w:p w14:paraId="0A38A818" w14:textId="77777777" w:rsidR="00DA7A2E" w:rsidRDefault="00DA7A2E" w:rsidP="00566A3F">
            <w:pPr>
              <w:pStyle w:val="TableTextBullet"/>
            </w:pPr>
            <w:r>
              <w:t xml:space="preserve">Determines whether the units are available for issue or whether they require additional modification and/or testing based on the component class. </w:t>
            </w:r>
          </w:p>
          <w:p w14:paraId="3A954BCE" w14:textId="77777777" w:rsidR="00DA7A2E" w:rsidRDefault="00DA7A2E" w:rsidP="00566A3F">
            <w:pPr>
              <w:pStyle w:val="TableTextBullet"/>
            </w:pPr>
            <w:r>
              <w:t>Updates the database, as appropriate.</w:t>
            </w:r>
          </w:p>
          <w:p w14:paraId="0C89E253" w14:textId="77777777" w:rsidR="00DA7A2E" w:rsidRDefault="00DA7A2E" w:rsidP="00566A3F">
            <w:pPr>
              <w:pStyle w:val="TableText"/>
            </w:pPr>
          </w:p>
          <w:p w14:paraId="20BC3E61" w14:textId="69C7B2DA" w:rsidR="00DA7A2E" w:rsidRDefault="00DA7A2E" w:rsidP="00566A3F">
            <w:pPr>
              <w:pStyle w:val="TableText"/>
              <w:rPr>
                <w:b/>
                <w:bCs/>
                <w:szCs w:val="18"/>
              </w:rPr>
            </w:pPr>
            <w:r>
              <w:rPr>
                <w:b/>
                <w:bCs/>
                <w:szCs w:val="18"/>
              </w:rPr>
              <w:t>NOTES</w:t>
            </w:r>
          </w:p>
          <w:p w14:paraId="70B1D9DD" w14:textId="77777777" w:rsidR="00DA7A2E" w:rsidRDefault="00DA7A2E" w:rsidP="00566A3F">
            <w:pPr>
              <w:pStyle w:val="NotesText"/>
            </w:pPr>
          </w:p>
          <w:p w14:paraId="71FFF030" w14:textId="6562234C" w:rsidR="0021365D" w:rsidRDefault="00DA7A2E" w:rsidP="0021365D">
            <w:pPr>
              <w:pStyle w:val="NotesText"/>
              <w:rPr>
                <w:rFonts w:cs="Arial"/>
                <w:szCs w:val="22"/>
              </w:rPr>
            </w:pPr>
            <w:r w:rsidRPr="00896F17">
              <w:rPr>
                <w:rStyle w:val="BullhornChar"/>
              </w:rPr>
              <w:t></w:t>
            </w:r>
            <w:r w:rsidRPr="00C51C45">
              <w:rPr>
                <w:rFonts w:ascii="Webdings" w:hAnsi="Webdings"/>
                <w:szCs w:val="22"/>
              </w:rPr>
              <w:t></w:t>
            </w:r>
            <w:r>
              <w:rPr>
                <w:rFonts w:cs="Arial"/>
                <w:szCs w:val="22"/>
              </w:rPr>
              <w:t xml:space="preserve">See </w:t>
            </w:r>
            <w:r w:rsidR="00AE2DC1">
              <w:rPr>
                <w:rFonts w:cs="Arial"/>
                <w:szCs w:val="22"/>
              </w:rPr>
              <w:fldChar w:fldCharType="begin"/>
            </w:r>
            <w:r w:rsidR="00AE2DC1">
              <w:rPr>
                <w:rFonts w:cs="Arial"/>
                <w:szCs w:val="22"/>
              </w:rPr>
              <w:instrText xml:space="preserve"> REF _Ref126504413 \h </w:instrText>
            </w:r>
            <w:r w:rsidR="00AE2DC1">
              <w:rPr>
                <w:rFonts w:cs="Arial"/>
                <w:szCs w:val="22"/>
              </w:rPr>
            </w:r>
            <w:r w:rsidR="00AE2DC1">
              <w:rPr>
                <w:rFonts w:cs="Arial"/>
                <w:szCs w:val="22"/>
              </w:rPr>
              <w:fldChar w:fldCharType="separate"/>
            </w:r>
            <w:r w:rsidR="004353ED">
              <w:t xml:space="preserve">Table </w:t>
            </w:r>
            <w:r w:rsidR="004353ED">
              <w:rPr>
                <w:noProof/>
              </w:rPr>
              <w:t>11</w:t>
            </w:r>
            <w:r w:rsidR="00AE2DC1">
              <w:rPr>
                <w:rFonts w:cs="Arial"/>
                <w:szCs w:val="22"/>
              </w:rPr>
              <w:fldChar w:fldCharType="end"/>
            </w:r>
            <w:r>
              <w:rPr>
                <w:rFonts w:cs="Arial"/>
                <w:szCs w:val="22"/>
              </w:rPr>
              <w:t xml:space="preserve"> for alerts that may occur during this option.</w:t>
            </w:r>
          </w:p>
          <w:p w14:paraId="02AE59DA" w14:textId="77777777" w:rsidR="0021365D" w:rsidRDefault="0021365D" w:rsidP="0021365D">
            <w:pPr>
              <w:pStyle w:val="NotesText"/>
              <w:rPr>
                <w:rFonts w:cs="Arial"/>
                <w:szCs w:val="22"/>
              </w:rPr>
            </w:pPr>
          </w:p>
          <w:p w14:paraId="75B9AFC6" w14:textId="6FC7ECC1" w:rsidR="0021365D" w:rsidRDefault="0021365D" w:rsidP="0021365D">
            <w:pPr>
              <w:pStyle w:val="NotesText"/>
            </w:pPr>
            <w:r>
              <w:rPr>
                <w:vanish/>
                <w:szCs w:val="18"/>
              </w:rPr>
              <w:t xml:space="preserve">BR_3.17, BR_3.27 </w:t>
            </w:r>
            <w:r>
              <w:t xml:space="preserve">When eXM is enabled at the division and blood units require XM, VBECS determines whether the patient and units are eligible for eXM. All parameters listed in </w:t>
            </w:r>
            <w:r>
              <w:fldChar w:fldCharType="begin"/>
            </w:r>
            <w:r>
              <w:instrText xml:space="preserve"> REF _Ref170004931 \h </w:instrText>
            </w:r>
            <w:r>
              <w:fldChar w:fldCharType="separate"/>
            </w:r>
            <w:r w:rsidR="004353ED">
              <w:t xml:space="preserve">Appendix </w:t>
            </w:r>
            <w:r w:rsidR="004353ED">
              <w:rPr>
                <w:noProof/>
              </w:rPr>
              <w:t>B</w:t>
            </w:r>
            <w:r>
              <w:fldChar w:fldCharType="end"/>
            </w:r>
            <w:r>
              <w:t xml:space="preserve">: </w:t>
            </w:r>
            <w:r>
              <w:fldChar w:fldCharType="begin"/>
            </w:r>
            <w:r>
              <w:instrText xml:space="preserve"> REF _Ref317762597 \h </w:instrText>
            </w:r>
            <w:r>
              <w:fldChar w:fldCharType="separate"/>
            </w:r>
            <w:r w:rsidR="004353ED">
              <w:t xml:space="preserve">Table </w:t>
            </w:r>
            <w:r w:rsidR="004353ED">
              <w:rPr>
                <w:noProof/>
              </w:rPr>
              <w:t>23</w:t>
            </w:r>
            <w:r w:rsidR="004353ED">
              <w:t xml:space="preserve">: </w:t>
            </w:r>
            <w:r w:rsidR="004353ED">
              <w:rPr>
                <w:vanish/>
              </w:rPr>
              <w:t xml:space="preserve">TT_3.05 </w:t>
            </w:r>
            <w:r w:rsidR="004353ED">
              <w:t>Rules for Electronic and Serologic Crossmatch</w:t>
            </w:r>
            <w:r>
              <w:fldChar w:fldCharType="end"/>
            </w:r>
            <w:r>
              <w:t xml:space="preserve"> must be met. Units not eligible for eXM must have serologic XM performed. </w:t>
            </w:r>
          </w:p>
          <w:p w14:paraId="6F9925E2" w14:textId="77777777" w:rsidR="0021365D" w:rsidRDefault="0021365D" w:rsidP="0021365D">
            <w:pPr>
              <w:pStyle w:val="NotesText"/>
            </w:pPr>
          </w:p>
          <w:p w14:paraId="614F2FAF" w14:textId="77777777" w:rsidR="00DA7A2E" w:rsidRPr="0021365D" w:rsidRDefault="0021365D" w:rsidP="0021365D">
            <w:pPr>
              <w:pStyle w:val="NotesText"/>
              <w:rPr>
                <w:rFonts w:cs="Arial"/>
                <w:szCs w:val="22"/>
              </w:rPr>
            </w:pPr>
            <w:r>
              <w:t>When eXM is not enabled, the user must enter serologic XM results for red blood cell classes or when a user orders an optional XM for OTHER component classes. VBECS does not change the unit status to “crossmatched,” make units available for issue, or allow the Caution Tag or BTRF to be printed until a user enters a valid XM result, unless an emergency-issued unit is being processed.</w:t>
            </w:r>
            <w:r w:rsidR="00DA7A2E">
              <w:rPr>
                <w:vanish/>
                <w:szCs w:val="18"/>
              </w:rPr>
              <w:t>BR_3.17</w:t>
            </w:r>
            <w:r w:rsidR="005D400B">
              <w:rPr>
                <w:vanish/>
                <w:szCs w:val="18"/>
              </w:rPr>
              <w:t>,</w:t>
            </w:r>
            <w:r w:rsidR="00DA7A2E">
              <w:rPr>
                <w:vanish/>
                <w:szCs w:val="18"/>
              </w:rPr>
              <w:t xml:space="preserve"> BR_3.27 </w:t>
            </w:r>
          </w:p>
        </w:tc>
      </w:tr>
      <w:tr w:rsidR="00DA7A2E" w14:paraId="71E5B9DD" w14:textId="77777777">
        <w:tc>
          <w:tcPr>
            <w:tcW w:w="3240" w:type="dxa"/>
          </w:tcPr>
          <w:p w14:paraId="33C8B921" w14:textId="77777777" w:rsidR="00DA7A2E" w:rsidRDefault="00DA7A2E" w:rsidP="00566A3F">
            <w:pPr>
              <w:pStyle w:val="TableTextNumbers"/>
            </w:pPr>
            <w:r>
              <w:t xml:space="preserve">Select another component order to continue selecting units, or exit. </w:t>
            </w:r>
          </w:p>
        </w:tc>
        <w:tc>
          <w:tcPr>
            <w:tcW w:w="6120" w:type="dxa"/>
          </w:tcPr>
          <w:p w14:paraId="3672EC73" w14:textId="77777777" w:rsidR="00DA7A2E" w:rsidRDefault="00DA7A2E" w:rsidP="00566A3F">
            <w:pPr>
              <w:pStyle w:val="TableTextBullet"/>
            </w:pPr>
            <w:r>
              <w:t>Displays orders for the next patient.</w:t>
            </w:r>
          </w:p>
        </w:tc>
      </w:tr>
      <w:tr w:rsidR="002A21AE" w14:paraId="4921E4C0" w14:textId="77777777">
        <w:tc>
          <w:tcPr>
            <w:tcW w:w="3240" w:type="dxa"/>
          </w:tcPr>
          <w:p w14:paraId="15183512" w14:textId="77777777" w:rsidR="002A21AE" w:rsidRDefault="002A21AE">
            <w:pPr>
              <w:pStyle w:val="TableTextNumbers"/>
            </w:pPr>
            <w:r>
              <w:t>Select a unit to begin entering serologic reactions.</w:t>
            </w:r>
          </w:p>
          <w:p w14:paraId="5CB8A8A9" w14:textId="77777777" w:rsidR="002A21AE" w:rsidRDefault="002A21AE">
            <w:pPr>
              <w:pStyle w:val="TableTextNumbersContinued"/>
            </w:pPr>
          </w:p>
          <w:p w14:paraId="332B5348" w14:textId="77777777" w:rsidR="002A21AE" w:rsidRDefault="002A21AE">
            <w:pPr>
              <w:pStyle w:val="TableTextNumbersContinued"/>
              <w:rPr>
                <w:b/>
                <w:bCs/>
              </w:rPr>
            </w:pPr>
            <w:r>
              <w:rPr>
                <w:rFonts w:cs="Arial"/>
                <w:vanish/>
              </w:rPr>
              <w:t xml:space="preserve">BR_2.31 </w:t>
            </w:r>
            <w:r>
              <w:t>Enter valid text, then press</w:t>
            </w:r>
            <w:r w:rsidR="00DF74D1">
              <w:t xml:space="preserve"> the</w:t>
            </w:r>
            <w:r>
              <w:t xml:space="preserve"> </w:t>
            </w:r>
            <w:r>
              <w:rPr>
                <w:b/>
              </w:rPr>
              <w:t>Enter</w:t>
            </w:r>
            <w:r w:rsidR="00DF74D1">
              <w:rPr>
                <w:b/>
              </w:rPr>
              <w:t xml:space="preserve"> key</w:t>
            </w:r>
            <w:r>
              <w:t xml:space="preserve"> to move to the next data grid comment cell.</w:t>
            </w:r>
          </w:p>
        </w:tc>
        <w:tc>
          <w:tcPr>
            <w:tcW w:w="6120" w:type="dxa"/>
          </w:tcPr>
          <w:p w14:paraId="2026BC9C" w14:textId="77777777" w:rsidR="002A21AE" w:rsidRDefault="002A21AE">
            <w:pPr>
              <w:pStyle w:val="TableTextBullet"/>
            </w:pPr>
            <w:r>
              <w:t>Allows only valid data entries in the grid reaction result and interpretation cells.</w:t>
            </w:r>
          </w:p>
          <w:p w14:paraId="091E8325" w14:textId="77777777" w:rsidR="002A21AE" w:rsidRDefault="002A21AE">
            <w:pPr>
              <w:pStyle w:val="TableTextBullet"/>
            </w:pPr>
            <w:r>
              <w:t>Restricts data entry to valid selections for testing results. All testing results and entered interpretations remain on the screen.</w:t>
            </w:r>
          </w:p>
          <w:p w14:paraId="7299C714" w14:textId="77777777" w:rsidR="007A4C70" w:rsidRDefault="007A4C70" w:rsidP="007A4C70">
            <w:pPr>
              <w:pStyle w:val="TableText"/>
            </w:pPr>
          </w:p>
          <w:p w14:paraId="107743A7" w14:textId="2D25352E" w:rsidR="007A4C70" w:rsidRDefault="007A4C70" w:rsidP="007A4C70">
            <w:pPr>
              <w:pStyle w:val="TableText"/>
              <w:rPr>
                <w:b/>
                <w:bCs/>
                <w:szCs w:val="18"/>
              </w:rPr>
            </w:pPr>
            <w:r>
              <w:rPr>
                <w:b/>
                <w:bCs/>
                <w:szCs w:val="18"/>
              </w:rPr>
              <w:t>NOTES</w:t>
            </w:r>
          </w:p>
          <w:p w14:paraId="4A6B1B09" w14:textId="77777777" w:rsidR="007A4C70" w:rsidRDefault="007A4C70" w:rsidP="007A4C70">
            <w:pPr>
              <w:pStyle w:val="NotesText"/>
            </w:pPr>
          </w:p>
          <w:p w14:paraId="09F8F90C" w14:textId="77777777" w:rsidR="002A21AE" w:rsidRDefault="002A21AE">
            <w:pPr>
              <w:pStyle w:val="NotesText"/>
            </w:pPr>
            <w:r>
              <w:rPr>
                <w:vanish/>
                <w:szCs w:val="18"/>
              </w:rPr>
              <w:t>BR_40.03</w:t>
            </w:r>
            <w:r w:rsidR="005D400B">
              <w:rPr>
                <w:vanish/>
                <w:szCs w:val="18"/>
              </w:rPr>
              <w:t>,</w:t>
            </w:r>
            <w:r>
              <w:rPr>
                <w:vanish/>
                <w:szCs w:val="18"/>
              </w:rPr>
              <w:t xml:space="preserve"> BR_40.12 </w:t>
            </w:r>
            <w:r>
              <w:t>During XM result data entry within a given row, the IS phase result must be entered first. Once the IS phase has been entered, data entry may progress and an observed result or NT entered in each phase before the XM interpretation is validated by VBECS.</w:t>
            </w:r>
          </w:p>
          <w:p w14:paraId="2F76ED7E" w14:textId="77777777" w:rsidR="002A21AE" w:rsidRDefault="002A21AE">
            <w:pPr>
              <w:pStyle w:val="NotesText"/>
            </w:pPr>
          </w:p>
          <w:p w14:paraId="0081D418" w14:textId="77777777" w:rsidR="002A21AE" w:rsidRDefault="002A21AE">
            <w:pPr>
              <w:pStyle w:val="NotesText"/>
            </w:pPr>
            <w:r>
              <w:t xml:space="preserve">XM interpretations must be consistent with observed test results based on system rules </w:t>
            </w:r>
            <w:r>
              <w:rPr>
                <w:vanish/>
                <w:szCs w:val="18"/>
              </w:rPr>
              <w:t xml:space="preserve">TT_40.01 Patient Crossmatch Testing </w:t>
            </w:r>
            <w:r>
              <w:t xml:space="preserve">for the testing method. Discrepancies must be resolved before VBECS can verify results and add them to the database. The user may </w:t>
            </w:r>
            <w:r w:rsidR="00EF69E2">
              <w:t>reenter</w:t>
            </w:r>
            <w:r>
              <w:t xml:space="preserve"> valid results or delete entries and start over.</w:t>
            </w:r>
          </w:p>
          <w:p w14:paraId="0FB23D9E" w14:textId="77777777" w:rsidR="002A21AE" w:rsidRDefault="002A21AE">
            <w:pPr>
              <w:pStyle w:val="NotesText"/>
              <w:ind w:left="0"/>
            </w:pPr>
          </w:p>
          <w:p w14:paraId="43F27FE9" w14:textId="7DB1E7FA" w:rsidR="002A21AE" w:rsidRDefault="002A21AE">
            <w:pPr>
              <w:pStyle w:val="NotesText"/>
            </w:pPr>
            <w:r>
              <w:rPr>
                <w:rFonts w:cs="Arial"/>
                <w:vanish/>
              </w:rPr>
              <w:t xml:space="preserve">BR_40.15 </w:t>
            </w:r>
            <w:r>
              <w:t>If the patient has a history of a clinically significant antibody or a persistent antigen negative requirement, VBECS warns that the patient is not eligible for IS</w:t>
            </w:r>
            <w:r w:rsidR="00982864">
              <w:t>-only</w:t>
            </w:r>
            <w:r>
              <w:t xml:space="preserve"> XM and instructs the user to perform the antiglobulin transaction XM on the patient. There is no override. The user must complete all phases of the XM test.</w:t>
            </w:r>
          </w:p>
        </w:tc>
      </w:tr>
      <w:tr w:rsidR="002A21AE" w14:paraId="4A7FF45B" w14:textId="77777777">
        <w:tc>
          <w:tcPr>
            <w:tcW w:w="3240" w:type="dxa"/>
          </w:tcPr>
          <w:p w14:paraId="3451667A" w14:textId="77777777" w:rsidR="002A21AE" w:rsidRDefault="002A21AE">
            <w:pPr>
              <w:pStyle w:val="TableTextNumbers"/>
            </w:pPr>
            <w:r>
              <w:lastRenderedPageBreak/>
              <w:t xml:space="preserve">Repeat Step 3 until the test grid for the selected patient is complete. </w:t>
            </w:r>
          </w:p>
          <w:p w14:paraId="31D53029" w14:textId="77777777" w:rsidR="002A21AE" w:rsidRDefault="002A21AE">
            <w:pPr>
              <w:pStyle w:val="TableTextNumbersContinued"/>
            </w:pPr>
          </w:p>
          <w:p w14:paraId="5AA56691" w14:textId="77777777" w:rsidR="002A21AE" w:rsidRDefault="002A21AE">
            <w:pPr>
              <w:pStyle w:val="TableTextNumbersContinued"/>
            </w:pPr>
            <w:r>
              <w:t>Enter the interpretation for the patient XM test, if desired.</w:t>
            </w:r>
          </w:p>
          <w:p w14:paraId="165CA211" w14:textId="77777777" w:rsidR="002A21AE" w:rsidRDefault="002A21AE">
            <w:pPr>
              <w:pStyle w:val="TableTextNumbersContinued"/>
            </w:pPr>
          </w:p>
          <w:p w14:paraId="7AC23466" w14:textId="77777777" w:rsidR="002A21AE" w:rsidRDefault="002A21AE">
            <w:pPr>
              <w:pStyle w:val="TableTextNumbersContinued"/>
              <w:rPr>
                <w:b/>
                <w:bCs/>
              </w:rPr>
            </w:pPr>
            <w:r>
              <w:t>Respond to warnings and enter comments, when indicated.</w:t>
            </w:r>
          </w:p>
        </w:tc>
        <w:tc>
          <w:tcPr>
            <w:tcW w:w="6120" w:type="dxa"/>
          </w:tcPr>
          <w:p w14:paraId="07611F2D" w14:textId="77777777" w:rsidR="002A21AE" w:rsidRDefault="002A21AE">
            <w:pPr>
              <w:pStyle w:val="TableTextBullet"/>
            </w:pPr>
            <w:r>
              <w:t>Verifies that all appropriate test results have been entered for the patient and the selected unit(s).</w:t>
            </w:r>
          </w:p>
          <w:p w14:paraId="33F5A70A" w14:textId="77777777" w:rsidR="002A21AE" w:rsidRDefault="002A21AE">
            <w:pPr>
              <w:pStyle w:val="TableTextBullet"/>
            </w:pPr>
            <w:r>
              <w:t xml:space="preserve">Displays various warnings based on rules. </w:t>
            </w:r>
          </w:p>
          <w:p w14:paraId="7215EC1E" w14:textId="77777777" w:rsidR="002A21AE" w:rsidRDefault="002A21AE">
            <w:pPr>
              <w:pStyle w:val="TableTextBullet"/>
            </w:pPr>
            <w:r>
              <w:t>Prompts the user to confirm that results were reviewed and are acceptable.</w:t>
            </w:r>
          </w:p>
          <w:p w14:paraId="4E1031A9" w14:textId="77777777" w:rsidR="002A21AE" w:rsidRDefault="002A21AE">
            <w:pPr>
              <w:pStyle w:val="TableText"/>
            </w:pPr>
          </w:p>
          <w:p w14:paraId="5E4DF67C" w14:textId="0775F357" w:rsidR="002A21AE" w:rsidRDefault="002A21AE">
            <w:pPr>
              <w:pStyle w:val="TableText"/>
              <w:rPr>
                <w:b/>
                <w:bCs/>
                <w:szCs w:val="18"/>
              </w:rPr>
            </w:pPr>
            <w:r>
              <w:rPr>
                <w:b/>
                <w:bCs/>
                <w:szCs w:val="18"/>
              </w:rPr>
              <w:t>NOTES</w:t>
            </w:r>
          </w:p>
          <w:p w14:paraId="6FF5E7EF" w14:textId="77777777" w:rsidR="002A21AE" w:rsidRDefault="002A21AE">
            <w:pPr>
              <w:pStyle w:val="NotesText"/>
            </w:pPr>
          </w:p>
          <w:p w14:paraId="47CFA373" w14:textId="77777777" w:rsidR="002A21AE" w:rsidRDefault="002A21AE">
            <w:pPr>
              <w:pStyle w:val="NotesText"/>
            </w:pPr>
            <w:r>
              <w:rPr>
                <w:rFonts w:cs="Arial"/>
                <w:vanish/>
                <w:szCs w:val="18"/>
              </w:rPr>
              <w:t>BR_40.18</w:t>
            </w:r>
            <w:r w:rsidR="005D400B">
              <w:rPr>
                <w:rFonts w:cs="Arial"/>
                <w:vanish/>
                <w:szCs w:val="18"/>
              </w:rPr>
              <w:t>,</w:t>
            </w:r>
            <w:r>
              <w:rPr>
                <w:rFonts w:cs="Arial"/>
                <w:vanish/>
                <w:szCs w:val="18"/>
              </w:rPr>
              <w:t xml:space="preserve"> </w:t>
            </w:r>
            <w:r>
              <w:rPr>
                <w:vanish/>
                <w:szCs w:val="18"/>
              </w:rPr>
              <w:t>BR_40.20</w:t>
            </w:r>
            <w:r w:rsidR="004F5F28" w:rsidRPr="00323744">
              <w:rPr>
                <w:rStyle w:val="BullhornChar"/>
              </w:rPr>
              <w:t></w:t>
            </w:r>
            <w:r w:rsidR="004F5F28">
              <w:rPr>
                <w:rFonts w:ascii="Webdings" w:hAnsi="Webdings"/>
              </w:rPr>
              <w:t></w:t>
            </w:r>
            <w:r w:rsidR="004F5F28" w:rsidRPr="00263B24">
              <w:t>Wh</w:t>
            </w:r>
            <w:r w:rsidR="004F5F28">
              <w:t>en</w:t>
            </w:r>
            <w:r>
              <w:t xml:space="preserve"> VBECS emits an audible alert and requires a comment, it captures details for inclusion in an Exception Report (exception type: </w:t>
            </w:r>
            <w:r w:rsidR="00427BD6">
              <w:t>inconclusive crossmatch</w:t>
            </w:r>
            <w:r>
              <w:t>).</w:t>
            </w:r>
          </w:p>
          <w:p w14:paraId="03BE54B6" w14:textId="77777777" w:rsidR="002A21AE" w:rsidRDefault="002A21AE">
            <w:pPr>
              <w:pStyle w:val="NotesText"/>
            </w:pPr>
          </w:p>
          <w:p w14:paraId="37C48D1B" w14:textId="404A5A39" w:rsidR="002A21AE" w:rsidRDefault="002A21AE">
            <w:pPr>
              <w:pStyle w:val="NotesText"/>
            </w:pPr>
            <w:r>
              <w:rPr>
                <w:rFonts w:cs="Arial"/>
                <w:vanish/>
              </w:rPr>
              <w:t xml:space="preserve">BR_40.05 </w:t>
            </w:r>
            <w:r>
              <w:t xml:space="preserve">A user may enter a “Compatible” XM interpretation only after entering an observed test result for the IS phase (other phases are NT) when the antibody screen on the current specimen is complete and negative </w:t>
            </w:r>
            <w:r>
              <w:rPr>
                <w:i/>
              </w:rPr>
              <w:t>and</w:t>
            </w:r>
            <w:r>
              <w:t xml:space="preserve"> when the patient has no calculated or persistent antigen negative requirement.</w:t>
            </w:r>
            <w:r w:rsidR="002F5EE5">
              <w:t xml:space="preserve"> (See FAQ Antibodies with No Antigen Negative Requirement)</w:t>
            </w:r>
          </w:p>
          <w:p w14:paraId="0A660720" w14:textId="77777777" w:rsidR="002A21AE" w:rsidRDefault="002A21AE">
            <w:pPr>
              <w:pStyle w:val="NotesText"/>
            </w:pPr>
          </w:p>
          <w:p w14:paraId="072C0097" w14:textId="77777777" w:rsidR="002A21AE" w:rsidRDefault="002A21AE">
            <w:pPr>
              <w:pStyle w:val="NotesText"/>
            </w:pPr>
            <w:r>
              <w:rPr>
                <w:rFonts w:cs="Arial"/>
                <w:vanish/>
              </w:rPr>
              <w:t xml:space="preserve">BR_40.09 </w:t>
            </w:r>
            <w:r>
              <w:t>When observed test result patterns are invalid, VBECS warns that test results are invalid and that the user must repeat tests. VBECS stores these results as documentation and clears the grid for the user to begin again.</w:t>
            </w:r>
            <w:r>
              <w:tab/>
            </w:r>
          </w:p>
          <w:p w14:paraId="3E1F498B" w14:textId="77777777" w:rsidR="002A21AE" w:rsidRDefault="002A21AE">
            <w:pPr>
              <w:pStyle w:val="NotesText"/>
            </w:pPr>
          </w:p>
          <w:p w14:paraId="5155252C" w14:textId="77777777" w:rsidR="002A21AE" w:rsidRDefault="004F5F28">
            <w:pPr>
              <w:pStyle w:val="NotesText"/>
            </w:pPr>
            <w:r w:rsidRPr="00323744">
              <w:rPr>
                <w:rStyle w:val="BullhornChar"/>
              </w:rPr>
              <w:t></w:t>
            </w:r>
            <w:r>
              <w:rPr>
                <w:rFonts w:ascii="Webdings" w:hAnsi="Webdings"/>
              </w:rPr>
              <w:t></w:t>
            </w:r>
            <w:r w:rsidR="002A21AE">
              <w:t>VBECS emits an audible alert and requires a comment documenting medical director approval, according to site policy. VBECS captures details for inclusion in an Exception Report (exception type: Crossmatch Incompatible: Give Only with Medical Director Approval).</w:t>
            </w:r>
          </w:p>
        </w:tc>
      </w:tr>
      <w:tr w:rsidR="002A21AE" w14:paraId="01E43E4F" w14:textId="77777777">
        <w:tc>
          <w:tcPr>
            <w:tcW w:w="3240" w:type="dxa"/>
          </w:tcPr>
          <w:p w14:paraId="29CE2C10" w14:textId="77777777" w:rsidR="002A21AE" w:rsidRDefault="002A21AE">
            <w:pPr>
              <w:pStyle w:val="TableTextNumbers"/>
            </w:pPr>
            <w:r>
              <w:t>Enter test results in preparation for saving.</w:t>
            </w:r>
          </w:p>
        </w:tc>
        <w:tc>
          <w:tcPr>
            <w:tcW w:w="6120" w:type="dxa"/>
          </w:tcPr>
          <w:p w14:paraId="657D35F4" w14:textId="77777777" w:rsidR="002A21AE" w:rsidRDefault="002A21AE">
            <w:pPr>
              <w:pStyle w:val="TableTextBullet"/>
            </w:pPr>
            <w:r>
              <w:t>Saves data.</w:t>
            </w:r>
          </w:p>
          <w:p w14:paraId="0F8BD12C" w14:textId="77777777" w:rsidR="002A21AE" w:rsidRDefault="002A21AE">
            <w:pPr>
              <w:pStyle w:val="TableTextBullet"/>
            </w:pPr>
            <w:r>
              <w:t>Prompts the user to generate a BTRF and a Caution Tag during Patient Testing: Record Patient Test Results when the crossmatched unit is acceptable for issue.</w:t>
            </w:r>
          </w:p>
        </w:tc>
      </w:tr>
      <w:tr w:rsidR="002A21AE" w14:paraId="3E410CB9" w14:textId="77777777">
        <w:tc>
          <w:tcPr>
            <w:tcW w:w="3240" w:type="dxa"/>
            <w:tcBorders>
              <w:top w:val="single" w:sz="4" w:space="0" w:color="auto"/>
              <w:left w:val="single" w:sz="4" w:space="0" w:color="auto"/>
              <w:bottom w:val="single" w:sz="4" w:space="0" w:color="auto"/>
              <w:right w:val="single" w:sz="4" w:space="0" w:color="auto"/>
            </w:tcBorders>
          </w:tcPr>
          <w:p w14:paraId="2C370E74" w14:textId="77777777" w:rsidR="002A21AE" w:rsidRDefault="002A21AE">
            <w:pPr>
              <w:pStyle w:val="TableTextNumbers"/>
            </w:pPr>
            <w:r>
              <w:t xml:space="preserve">Click </w:t>
            </w:r>
            <w:r>
              <w:rPr>
                <w:b/>
              </w:rPr>
              <w:t>OK</w:t>
            </w:r>
            <w:r>
              <w:t xml:space="preserve"> to exit. </w:t>
            </w:r>
            <w:r w:rsidRPr="009660C3">
              <w:rPr>
                <w:vanish/>
                <w:szCs w:val="18"/>
              </w:rPr>
              <w:fldChar w:fldCharType="begin"/>
            </w:r>
            <w:r w:rsidRPr="009660C3">
              <w:rPr>
                <w:vanish/>
                <w:szCs w:val="18"/>
              </w:rPr>
              <w:instrText xml:space="preserve"> LISTNUM \l 1 \s 0 </w:instrText>
            </w:r>
            <w:r w:rsidRPr="009660C3">
              <w:rPr>
                <w:vanish/>
                <w:szCs w:val="18"/>
              </w:rPr>
              <w:fldChar w:fldCharType="end">
                <w:numberingChange w:id="577"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573242FF" w14:textId="77777777" w:rsidR="002A21AE" w:rsidRDefault="002A21AE" w:rsidP="00E44B03">
            <w:pPr>
              <w:pStyle w:val="TableText"/>
            </w:pPr>
          </w:p>
        </w:tc>
      </w:tr>
    </w:tbl>
    <w:p w14:paraId="6091F81C" w14:textId="77777777" w:rsidR="002A21AE" w:rsidRDefault="002A21AE">
      <w:pPr>
        <w:pStyle w:val="Heading4"/>
      </w:pPr>
      <w:r>
        <w:t>Crossmatch Interpretations</w:t>
      </w:r>
      <w:r>
        <w:fldChar w:fldCharType="begin"/>
      </w:r>
      <w:r>
        <w:instrText xml:space="preserve"> XE </w:instrText>
      </w:r>
      <w:r w:rsidR="00FA7E65">
        <w:instrText>“</w:instrText>
      </w:r>
      <w:r>
        <w:instrText>Crossmatch Interpretations</w:instrText>
      </w:r>
      <w:r w:rsidR="00FA7E65">
        <w:instrText>”</w:instrText>
      </w:r>
      <w:r>
        <w:instrText xml:space="preserve"> </w:instrText>
      </w:r>
      <w:r>
        <w:fldChar w:fldCharType="end"/>
      </w:r>
    </w:p>
    <w:p w14:paraId="5AE84162" w14:textId="77777777" w:rsidR="002A21AE" w:rsidRDefault="002A21AE" w:rsidP="00FA7E65">
      <w:pPr>
        <w:pStyle w:val="BodyText"/>
      </w:pPr>
      <w:r>
        <w:t>In all cases, VBECS saves the crossmatch information to the database.</w:t>
      </w:r>
    </w:p>
    <w:p w14:paraId="1B212612" w14:textId="518E6E75" w:rsidR="002A21AE" w:rsidRDefault="002A21AE">
      <w:pPr>
        <w:pStyle w:val="Caption"/>
      </w:pPr>
      <w:bookmarkStart w:id="578" w:name="_Ref126504413"/>
      <w:bookmarkStart w:id="579" w:name="_Toc97523625"/>
      <w:bookmarkStart w:id="580" w:name="_Toc97527595"/>
      <w:bookmarkStart w:id="581" w:name="_Ref446945905"/>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11</w:t>
      </w:r>
      <w:r w:rsidR="004E20BD">
        <w:rPr>
          <w:noProof/>
        </w:rPr>
        <w:fldChar w:fldCharType="end"/>
      </w:r>
      <w:bookmarkEnd w:id="578"/>
      <w:r>
        <w:t xml:space="preserve">: </w:t>
      </w:r>
      <w:r>
        <w:rPr>
          <w:rFonts w:ascii="Arial" w:hAnsi="Arial" w:cs="Arial"/>
          <w:b w:val="0"/>
          <w:vanish/>
          <w:sz w:val="18"/>
        </w:rPr>
        <w:t xml:space="preserve">BR_40.14 </w:t>
      </w:r>
      <w:r>
        <w:t>Crossmatch Interpretations for Print Unit Caution Tag &amp; Transfusion Record Form</w:t>
      </w:r>
      <w:bookmarkEnd w:id="579"/>
      <w:bookmarkEnd w:id="580"/>
      <w:bookmarkEnd w:id="581"/>
      <w:r>
        <w:fldChar w:fldCharType="begin"/>
      </w:r>
      <w:r>
        <w:instrText xml:space="preserve"> XE </w:instrText>
      </w:r>
      <w:r w:rsidR="00FA7E65">
        <w:instrText>“</w:instrText>
      </w:r>
      <w:r>
        <w:instrText>Tables:Crossmatch Interpretations for Print Unit Caution Tag &amp; Transfusion Record Form</w:instrText>
      </w:r>
      <w:r w:rsidR="00FA7E65">
        <w:instrText>”</w:instrText>
      </w:r>
      <w:r>
        <w:instrText xml:space="preserve"> </w:instrText>
      </w:r>
      <w:r>
        <w:fldChar w:fldCharType="end"/>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2217"/>
        <w:gridCol w:w="1738"/>
        <w:gridCol w:w="1587"/>
        <w:gridCol w:w="1483"/>
        <w:gridCol w:w="1785"/>
      </w:tblGrid>
      <w:tr w:rsidR="002A21AE" w14:paraId="28B6D310" w14:textId="77777777">
        <w:trPr>
          <w:tblHeader/>
        </w:trPr>
        <w:tc>
          <w:tcPr>
            <w:tcW w:w="0" w:type="auto"/>
            <w:shd w:val="clear" w:color="auto" w:fill="B3B3B3"/>
            <w:vAlign w:val="bottom"/>
          </w:tcPr>
          <w:p w14:paraId="61BE2F5E" w14:textId="77777777" w:rsidR="002A21AE" w:rsidRDefault="002A21AE">
            <w:pPr>
              <w:pStyle w:val="TableText"/>
              <w:rPr>
                <w:b/>
              </w:rPr>
            </w:pPr>
            <w:r>
              <w:rPr>
                <w:b/>
              </w:rPr>
              <w:t>User Entry</w:t>
            </w:r>
          </w:p>
        </w:tc>
        <w:tc>
          <w:tcPr>
            <w:tcW w:w="0" w:type="auto"/>
            <w:shd w:val="clear" w:color="auto" w:fill="B3B3B3"/>
            <w:vAlign w:val="bottom"/>
          </w:tcPr>
          <w:p w14:paraId="582C1724" w14:textId="77777777" w:rsidR="002A21AE" w:rsidRDefault="002A21AE">
            <w:pPr>
              <w:pStyle w:val="TableText"/>
              <w:rPr>
                <w:b/>
              </w:rPr>
            </w:pPr>
            <w:r>
              <w:rPr>
                <w:b/>
              </w:rPr>
              <w:t>Crossmatch Interpretation</w:t>
            </w:r>
          </w:p>
        </w:tc>
        <w:tc>
          <w:tcPr>
            <w:tcW w:w="0" w:type="auto"/>
            <w:shd w:val="clear" w:color="auto" w:fill="B3B3B3"/>
            <w:vAlign w:val="bottom"/>
          </w:tcPr>
          <w:p w14:paraId="2E80B2CB" w14:textId="77777777" w:rsidR="002A21AE" w:rsidRDefault="002A21AE">
            <w:pPr>
              <w:pStyle w:val="TableText"/>
              <w:rPr>
                <w:b/>
              </w:rPr>
            </w:pPr>
            <w:r>
              <w:rPr>
                <w:b/>
              </w:rPr>
              <w:t>VBECS Updates the Unit Status to:</w:t>
            </w:r>
          </w:p>
        </w:tc>
        <w:tc>
          <w:tcPr>
            <w:tcW w:w="0" w:type="auto"/>
            <w:shd w:val="clear" w:color="auto" w:fill="B3B3B3"/>
            <w:vAlign w:val="bottom"/>
          </w:tcPr>
          <w:p w14:paraId="1A57F31C" w14:textId="77777777" w:rsidR="002A21AE" w:rsidRDefault="002A21AE">
            <w:pPr>
              <w:pStyle w:val="TableText"/>
              <w:rPr>
                <w:b/>
              </w:rPr>
            </w:pPr>
            <w:r>
              <w:rPr>
                <w:b/>
              </w:rPr>
              <w:t>Is Information Available to CPRS?</w:t>
            </w:r>
          </w:p>
        </w:tc>
        <w:tc>
          <w:tcPr>
            <w:tcW w:w="0" w:type="auto"/>
            <w:shd w:val="clear" w:color="auto" w:fill="B3B3B3"/>
            <w:vAlign w:val="bottom"/>
          </w:tcPr>
          <w:p w14:paraId="3B163916" w14:textId="77777777" w:rsidR="002A21AE" w:rsidRDefault="002A21AE">
            <w:pPr>
              <w:pStyle w:val="TableText"/>
              <w:rPr>
                <w:b/>
              </w:rPr>
            </w:pPr>
            <w:r>
              <w:rPr>
                <w:b/>
              </w:rPr>
              <w:t>May User Print the BTRF and Caution Tag?</w:t>
            </w:r>
          </w:p>
        </w:tc>
        <w:tc>
          <w:tcPr>
            <w:tcW w:w="0" w:type="auto"/>
            <w:tcBorders>
              <w:bottom w:val="single" w:sz="4" w:space="0" w:color="auto"/>
            </w:tcBorders>
            <w:shd w:val="clear" w:color="auto" w:fill="B3B3B3"/>
            <w:vAlign w:val="bottom"/>
          </w:tcPr>
          <w:p w14:paraId="5E98D882" w14:textId="77777777" w:rsidR="002A21AE" w:rsidRDefault="002A21AE">
            <w:pPr>
              <w:pStyle w:val="TableText"/>
              <w:rPr>
                <w:b/>
              </w:rPr>
            </w:pPr>
            <w:r>
              <w:rPr>
                <w:b/>
              </w:rPr>
              <w:t>Other</w:t>
            </w:r>
          </w:p>
        </w:tc>
      </w:tr>
      <w:tr w:rsidR="002A21AE" w14:paraId="509D48A6" w14:textId="77777777">
        <w:tc>
          <w:tcPr>
            <w:tcW w:w="0" w:type="auto"/>
            <w:vAlign w:val="bottom"/>
          </w:tcPr>
          <w:p w14:paraId="08CBCC81" w14:textId="77777777" w:rsidR="002A21AE" w:rsidRDefault="002A21AE">
            <w:pPr>
              <w:pStyle w:val="TableText"/>
            </w:pPr>
            <w:r>
              <w:t>C</w:t>
            </w:r>
          </w:p>
        </w:tc>
        <w:tc>
          <w:tcPr>
            <w:tcW w:w="0" w:type="auto"/>
            <w:vAlign w:val="bottom"/>
          </w:tcPr>
          <w:p w14:paraId="0D71337A" w14:textId="77777777" w:rsidR="002A21AE" w:rsidRDefault="002A21AE">
            <w:pPr>
              <w:pStyle w:val="TableText"/>
            </w:pPr>
            <w:r>
              <w:t>Crossmatch Compatible</w:t>
            </w:r>
          </w:p>
        </w:tc>
        <w:tc>
          <w:tcPr>
            <w:tcW w:w="0" w:type="auto"/>
            <w:vAlign w:val="bottom"/>
          </w:tcPr>
          <w:p w14:paraId="4AD09527" w14:textId="77777777" w:rsidR="002A21AE" w:rsidRDefault="002A21AE">
            <w:pPr>
              <w:pStyle w:val="TableText"/>
            </w:pPr>
            <w:r>
              <w:t>Crossmatched</w:t>
            </w:r>
          </w:p>
        </w:tc>
        <w:tc>
          <w:tcPr>
            <w:tcW w:w="0" w:type="auto"/>
            <w:vAlign w:val="bottom"/>
          </w:tcPr>
          <w:p w14:paraId="3EF6DE19" w14:textId="77777777" w:rsidR="002A21AE" w:rsidRDefault="002A21AE">
            <w:pPr>
              <w:pStyle w:val="TableText"/>
            </w:pPr>
            <w:r>
              <w:t>Yes (unit is available)</w:t>
            </w:r>
          </w:p>
        </w:tc>
        <w:tc>
          <w:tcPr>
            <w:tcW w:w="0" w:type="auto"/>
            <w:vAlign w:val="bottom"/>
          </w:tcPr>
          <w:p w14:paraId="1FB33243" w14:textId="77777777" w:rsidR="002A21AE" w:rsidRDefault="002A21AE">
            <w:pPr>
              <w:pStyle w:val="TableText"/>
            </w:pPr>
            <w:r>
              <w:t>Yes</w:t>
            </w:r>
          </w:p>
        </w:tc>
        <w:tc>
          <w:tcPr>
            <w:tcW w:w="0" w:type="auto"/>
            <w:shd w:val="clear" w:color="auto" w:fill="B3B3B3"/>
            <w:vAlign w:val="bottom"/>
          </w:tcPr>
          <w:p w14:paraId="389BEB43" w14:textId="77777777" w:rsidR="002A21AE" w:rsidRDefault="002A21AE">
            <w:pPr>
              <w:pStyle w:val="TableText"/>
            </w:pPr>
          </w:p>
        </w:tc>
      </w:tr>
      <w:tr w:rsidR="002A21AE" w14:paraId="5B0A31B7" w14:textId="77777777">
        <w:tc>
          <w:tcPr>
            <w:tcW w:w="0" w:type="auto"/>
            <w:vAlign w:val="bottom"/>
          </w:tcPr>
          <w:p w14:paraId="3CF8E3F1" w14:textId="77777777" w:rsidR="002A21AE" w:rsidRDefault="002A21AE">
            <w:pPr>
              <w:pStyle w:val="TableText"/>
            </w:pPr>
            <w:r>
              <w:t>D</w:t>
            </w:r>
          </w:p>
        </w:tc>
        <w:tc>
          <w:tcPr>
            <w:tcW w:w="0" w:type="auto"/>
            <w:vAlign w:val="bottom"/>
          </w:tcPr>
          <w:p w14:paraId="334D7403" w14:textId="77777777" w:rsidR="002A21AE" w:rsidRDefault="002A21AE">
            <w:pPr>
              <w:pStyle w:val="TableText"/>
            </w:pPr>
            <w:r>
              <w:t>Crossmatch Compatible: Don’t Transfuse</w:t>
            </w:r>
          </w:p>
        </w:tc>
        <w:tc>
          <w:tcPr>
            <w:tcW w:w="0" w:type="auto"/>
            <w:vAlign w:val="bottom"/>
          </w:tcPr>
          <w:p w14:paraId="3D685A4D" w14:textId="77777777" w:rsidR="002A21AE" w:rsidRDefault="002A21AE">
            <w:pPr>
              <w:pStyle w:val="TableText"/>
            </w:pPr>
            <w:r>
              <w:t>Available</w:t>
            </w:r>
          </w:p>
        </w:tc>
        <w:tc>
          <w:tcPr>
            <w:tcW w:w="0" w:type="auto"/>
            <w:vAlign w:val="bottom"/>
          </w:tcPr>
          <w:p w14:paraId="675D1330" w14:textId="77777777" w:rsidR="002A21AE" w:rsidRDefault="002A21AE">
            <w:pPr>
              <w:pStyle w:val="TableText"/>
            </w:pPr>
            <w:r>
              <w:t>No</w:t>
            </w:r>
          </w:p>
        </w:tc>
        <w:tc>
          <w:tcPr>
            <w:tcW w:w="0" w:type="auto"/>
            <w:vAlign w:val="bottom"/>
          </w:tcPr>
          <w:p w14:paraId="78B602C2" w14:textId="77777777" w:rsidR="002A21AE" w:rsidRDefault="002A21AE">
            <w:pPr>
              <w:pStyle w:val="TableText"/>
            </w:pPr>
            <w:r>
              <w:t>No</w:t>
            </w:r>
          </w:p>
        </w:tc>
        <w:tc>
          <w:tcPr>
            <w:tcW w:w="0" w:type="auto"/>
            <w:shd w:val="clear" w:color="auto" w:fill="B3B3B3"/>
            <w:vAlign w:val="bottom"/>
          </w:tcPr>
          <w:p w14:paraId="7994C303" w14:textId="77777777" w:rsidR="002A21AE" w:rsidRDefault="002A21AE">
            <w:pPr>
              <w:pStyle w:val="TableText"/>
            </w:pPr>
          </w:p>
        </w:tc>
      </w:tr>
      <w:tr w:rsidR="002A21AE" w14:paraId="76349BEF" w14:textId="77777777">
        <w:tc>
          <w:tcPr>
            <w:tcW w:w="0" w:type="auto"/>
            <w:vAlign w:val="bottom"/>
          </w:tcPr>
          <w:p w14:paraId="31221B6A" w14:textId="77777777" w:rsidR="002A21AE" w:rsidRDefault="002A21AE">
            <w:pPr>
              <w:pStyle w:val="TableText"/>
            </w:pPr>
            <w:r>
              <w:t>G</w:t>
            </w:r>
          </w:p>
        </w:tc>
        <w:tc>
          <w:tcPr>
            <w:tcW w:w="0" w:type="auto"/>
            <w:vAlign w:val="bottom"/>
          </w:tcPr>
          <w:p w14:paraId="0482747F" w14:textId="77777777" w:rsidR="002A21AE" w:rsidRDefault="002A21AE">
            <w:pPr>
              <w:pStyle w:val="TableText"/>
            </w:pPr>
            <w:r>
              <w:t>Crossmatch Incompatible: Give Only with Medical Director Approval</w:t>
            </w:r>
          </w:p>
        </w:tc>
        <w:tc>
          <w:tcPr>
            <w:tcW w:w="0" w:type="auto"/>
            <w:vAlign w:val="bottom"/>
          </w:tcPr>
          <w:p w14:paraId="1BBBEE73" w14:textId="77777777" w:rsidR="002A21AE" w:rsidRDefault="008723D3">
            <w:pPr>
              <w:pStyle w:val="TableText"/>
            </w:pPr>
            <w:r>
              <w:t>Crossmatched</w:t>
            </w:r>
          </w:p>
        </w:tc>
        <w:tc>
          <w:tcPr>
            <w:tcW w:w="0" w:type="auto"/>
            <w:vAlign w:val="bottom"/>
          </w:tcPr>
          <w:p w14:paraId="13B7821A" w14:textId="77777777" w:rsidR="002A21AE" w:rsidRDefault="002A21AE">
            <w:pPr>
              <w:pStyle w:val="TableText"/>
            </w:pPr>
            <w:r>
              <w:t>Yes (unit is available)</w:t>
            </w:r>
          </w:p>
        </w:tc>
        <w:tc>
          <w:tcPr>
            <w:tcW w:w="0" w:type="auto"/>
            <w:vAlign w:val="bottom"/>
          </w:tcPr>
          <w:p w14:paraId="0206EE80" w14:textId="77777777" w:rsidR="002A21AE" w:rsidRDefault="002A21AE">
            <w:pPr>
              <w:pStyle w:val="TableText"/>
            </w:pPr>
            <w:r>
              <w:t xml:space="preserve">Yes </w:t>
            </w:r>
          </w:p>
        </w:tc>
        <w:tc>
          <w:tcPr>
            <w:tcW w:w="0" w:type="auto"/>
            <w:tcBorders>
              <w:bottom w:val="single" w:sz="4" w:space="0" w:color="auto"/>
            </w:tcBorders>
            <w:vAlign w:val="bottom"/>
          </w:tcPr>
          <w:p w14:paraId="5EF849D0" w14:textId="77777777" w:rsidR="002A21AE" w:rsidRDefault="00EC7489" w:rsidP="00323744">
            <w:pPr>
              <w:pStyle w:val="Bullhorn"/>
            </w:pPr>
            <w:r>
              <w:t></w:t>
            </w:r>
          </w:p>
        </w:tc>
      </w:tr>
      <w:tr w:rsidR="002A21AE" w14:paraId="7412132F" w14:textId="77777777" w:rsidTr="00E90E3C">
        <w:tc>
          <w:tcPr>
            <w:tcW w:w="0" w:type="auto"/>
            <w:vAlign w:val="bottom"/>
          </w:tcPr>
          <w:p w14:paraId="5B4F1BD4" w14:textId="77777777" w:rsidR="002A21AE" w:rsidRDefault="00A138D2" w:rsidP="00A138D2">
            <w:pPr>
              <w:pStyle w:val="TableText"/>
            </w:pPr>
            <w:r>
              <w:t xml:space="preserve"> </w:t>
            </w:r>
            <w:r w:rsidR="002A21AE">
              <w:t>I</w:t>
            </w:r>
          </w:p>
        </w:tc>
        <w:tc>
          <w:tcPr>
            <w:tcW w:w="0" w:type="auto"/>
            <w:vAlign w:val="bottom"/>
          </w:tcPr>
          <w:p w14:paraId="04EB8589" w14:textId="77777777" w:rsidR="002A21AE" w:rsidRDefault="002A21AE">
            <w:pPr>
              <w:pStyle w:val="TableText"/>
            </w:pPr>
            <w:r>
              <w:t>Crossmatch Incompatible</w:t>
            </w:r>
          </w:p>
        </w:tc>
        <w:tc>
          <w:tcPr>
            <w:tcW w:w="0" w:type="auto"/>
            <w:vAlign w:val="bottom"/>
          </w:tcPr>
          <w:p w14:paraId="5A6E935D" w14:textId="77777777" w:rsidR="002A21AE" w:rsidRDefault="002A21AE">
            <w:pPr>
              <w:pStyle w:val="TableText"/>
            </w:pPr>
            <w:r>
              <w:t>Available</w:t>
            </w:r>
          </w:p>
        </w:tc>
        <w:tc>
          <w:tcPr>
            <w:tcW w:w="0" w:type="auto"/>
            <w:vAlign w:val="bottom"/>
          </w:tcPr>
          <w:p w14:paraId="5F183245" w14:textId="77777777" w:rsidR="002A21AE" w:rsidRDefault="002A21AE">
            <w:pPr>
              <w:pStyle w:val="TableText"/>
            </w:pPr>
            <w:r>
              <w:t>No</w:t>
            </w:r>
          </w:p>
        </w:tc>
        <w:tc>
          <w:tcPr>
            <w:tcW w:w="0" w:type="auto"/>
            <w:vAlign w:val="bottom"/>
          </w:tcPr>
          <w:p w14:paraId="3E4D78F4" w14:textId="77777777" w:rsidR="002A21AE" w:rsidRDefault="002A21AE">
            <w:pPr>
              <w:pStyle w:val="TableText"/>
            </w:pPr>
            <w:r>
              <w:t>No</w:t>
            </w:r>
          </w:p>
        </w:tc>
        <w:tc>
          <w:tcPr>
            <w:tcW w:w="0" w:type="auto"/>
            <w:tcBorders>
              <w:bottom w:val="single" w:sz="4" w:space="0" w:color="auto"/>
            </w:tcBorders>
            <w:shd w:val="clear" w:color="auto" w:fill="B3B3B3"/>
            <w:vAlign w:val="bottom"/>
          </w:tcPr>
          <w:p w14:paraId="3D25F418" w14:textId="77777777" w:rsidR="002A21AE" w:rsidRDefault="002A21AE">
            <w:pPr>
              <w:pStyle w:val="TableText"/>
            </w:pPr>
          </w:p>
        </w:tc>
      </w:tr>
      <w:tr w:rsidR="002A21AE" w14:paraId="402ABCD1" w14:textId="77777777" w:rsidTr="00CC01AC">
        <w:tc>
          <w:tcPr>
            <w:tcW w:w="0" w:type="auto"/>
            <w:vAlign w:val="bottom"/>
          </w:tcPr>
          <w:p w14:paraId="7476E370" w14:textId="77777777" w:rsidR="002A21AE" w:rsidRDefault="00E4540D">
            <w:pPr>
              <w:pStyle w:val="TableText"/>
            </w:pPr>
            <w:r>
              <w:lastRenderedPageBreak/>
              <w:t>Z</w:t>
            </w:r>
          </w:p>
        </w:tc>
        <w:tc>
          <w:tcPr>
            <w:tcW w:w="0" w:type="auto"/>
            <w:vAlign w:val="bottom"/>
          </w:tcPr>
          <w:p w14:paraId="10003926" w14:textId="77777777" w:rsidR="002A21AE" w:rsidRDefault="002A21AE">
            <w:pPr>
              <w:pStyle w:val="TableText"/>
            </w:pPr>
            <w:r>
              <w:t>Inconclusive</w:t>
            </w:r>
          </w:p>
        </w:tc>
        <w:tc>
          <w:tcPr>
            <w:tcW w:w="0" w:type="auto"/>
            <w:vAlign w:val="bottom"/>
          </w:tcPr>
          <w:p w14:paraId="739D2B36" w14:textId="77777777" w:rsidR="002A21AE" w:rsidRDefault="002A21AE">
            <w:pPr>
              <w:pStyle w:val="TableText"/>
            </w:pPr>
            <w:r>
              <w:t>Available</w:t>
            </w:r>
          </w:p>
        </w:tc>
        <w:tc>
          <w:tcPr>
            <w:tcW w:w="0" w:type="auto"/>
            <w:vAlign w:val="bottom"/>
          </w:tcPr>
          <w:p w14:paraId="6F8FB099" w14:textId="77777777" w:rsidR="002A21AE" w:rsidRDefault="002A21AE">
            <w:pPr>
              <w:pStyle w:val="TableText"/>
            </w:pPr>
            <w:r>
              <w:t>No</w:t>
            </w:r>
          </w:p>
        </w:tc>
        <w:tc>
          <w:tcPr>
            <w:tcW w:w="0" w:type="auto"/>
            <w:vAlign w:val="bottom"/>
          </w:tcPr>
          <w:p w14:paraId="7676D2B1" w14:textId="77777777" w:rsidR="002A21AE" w:rsidRDefault="002A21AE">
            <w:pPr>
              <w:pStyle w:val="TableText"/>
            </w:pPr>
            <w:r>
              <w:t>No</w:t>
            </w:r>
          </w:p>
        </w:tc>
        <w:tc>
          <w:tcPr>
            <w:tcW w:w="0" w:type="auto"/>
            <w:shd w:val="clear" w:color="auto" w:fill="FFFFFF"/>
            <w:vAlign w:val="bottom"/>
          </w:tcPr>
          <w:p w14:paraId="477DCCE8" w14:textId="77777777" w:rsidR="002A21AE" w:rsidRDefault="00E90E3C">
            <w:pPr>
              <w:pStyle w:val="TableText"/>
            </w:pPr>
            <w:r w:rsidRPr="00E90E3C">
              <w:t>Applies to the manual serologic crossmatch test only</w:t>
            </w:r>
          </w:p>
        </w:tc>
      </w:tr>
    </w:tbl>
    <w:p w14:paraId="3CD17647" w14:textId="77777777" w:rsidR="002A21AE" w:rsidRDefault="002A21AE">
      <w:pPr>
        <w:pStyle w:val="Heading3"/>
      </w:pPr>
      <w:r>
        <w:br w:type="page"/>
      </w:r>
      <w:bookmarkStart w:id="582" w:name="_Toc47516760"/>
      <w:r>
        <w:lastRenderedPageBreak/>
        <w:t>Patient Testing: Record a Patient Antigen Typing</w:t>
      </w:r>
      <w:bookmarkEnd w:id="582"/>
      <w:r>
        <w:fldChar w:fldCharType="begin"/>
      </w:r>
      <w:r>
        <w:instrText xml:space="preserve"> XE </w:instrText>
      </w:r>
      <w:r w:rsidR="00FA7E65">
        <w:instrText>“</w:instrText>
      </w:r>
      <w:r>
        <w:instrText>Patient Testing\: Record a Patient Antigen Typing</w:instrText>
      </w:r>
      <w:r w:rsidR="00FA7E65">
        <w:instrText>”</w:instrText>
      </w:r>
      <w:r>
        <w:instrText xml:space="preserve"> </w:instrText>
      </w:r>
      <w:r>
        <w:fldChar w:fldCharType="end"/>
      </w:r>
      <w:r>
        <w:t xml:space="preserve"> </w:t>
      </w:r>
      <w:r>
        <w:rPr>
          <w:rFonts w:ascii="Times New Roman" w:hAnsi="Times New Roman" w:cs="Times New Roman"/>
          <w:b w:val="0"/>
          <w:vanish/>
          <w:sz w:val="22"/>
        </w:rPr>
        <w:t>UC_98</w:t>
      </w:r>
    </w:p>
    <w:p w14:paraId="4AB35D81" w14:textId="77777777" w:rsidR="002A21AE" w:rsidRDefault="002A21AE" w:rsidP="00FA7E65">
      <w:pPr>
        <w:pStyle w:val="BodyText"/>
      </w:pPr>
      <w:bookmarkStart w:id="583" w:name="_Toc79560671"/>
      <w:bookmarkStart w:id="584" w:name="_Toc75225904"/>
      <w:r>
        <w:t xml:space="preserve">The user records observed results when performing a patient antigen typing test other than the ABO/Rh test. </w:t>
      </w:r>
    </w:p>
    <w:p w14:paraId="5E17044A" w14:textId="77777777" w:rsidR="002A21AE" w:rsidRDefault="002A21AE">
      <w:pPr>
        <w:pStyle w:val="Heading4"/>
      </w:pPr>
      <w:r>
        <w:t>Assumptions</w:t>
      </w:r>
    </w:p>
    <w:p w14:paraId="340C7056" w14:textId="77777777" w:rsidR="002A21AE" w:rsidRDefault="002A21AE">
      <w:pPr>
        <w:pStyle w:val="ListBullet"/>
      </w:pPr>
      <w:r>
        <w:t>Patient antigen typing is ord</w:t>
      </w:r>
      <w:r w:rsidR="00047C2D">
        <w:t>ered through Order Reflex Tests</w:t>
      </w:r>
      <w:r>
        <w:t>.</w:t>
      </w:r>
    </w:p>
    <w:p w14:paraId="5C3E6AD5" w14:textId="77777777" w:rsidR="002A21AE" w:rsidRDefault="002A21AE">
      <w:pPr>
        <w:pStyle w:val="ListBullet"/>
      </w:pPr>
      <w:r>
        <w:t>The user accesses patient antigen typing grids through Patient Testing: Record Patient Test Results.</w:t>
      </w:r>
    </w:p>
    <w:p w14:paraId="6195542E" w14:textId="77777777" w:rsidR="002A21AE" w:rsidRDefault="002A21AE">
      <w:pPr>
        <w:pStyle w:val="ListBullet"/>
      </w:pPr>
      <w:r>
        <w:t xml:space="preserve">Reagent inventory was entered in </w:t>
      </w:r>
      <w:r w:rsidR="005F6016">
        <w:t>Maintain Minimum Levels</w:t>
      </w:r>
      <w:r>
        <w:t>.</w:t>
      </w:r>
    </w:p>
    <w:p w14:paraId="38CB4AA5" w14:textId="77777777" w:rsidR="002A21AE" w:rsidRDefault="002A21AE">
      <w:pPr>
        <w:pStyle w:val="Heading4"/>
      </w:pPr>
      <w:r>
        <w:t>Outcome</w:t>
      </w:r>
      <w:r>
        <w:rPr>
          <w:rFonts w:ascii="Times New Roman" w:hAnsi="Times New Roman"/>
          <w:i/>
          <w:color w:val="0000FF"/>
          <w:sz w:val="24"/>
        </w:rPr>
        <w:t xml:space="preserve"> </w:t>
      </w:r>
    </w:p>
    <w:p w14:paraId="69FB5EED" w14:textId="77777777" w:rsidR="002A21AE" w:rsidRDefault="002A21AE">
      <w:pPr>
        <w:pStyle w:val="ListBullet"/>
      </w:pPr>
      <w:r>
        <w:rPr>
          <w:rFonts w:ascii="Arial" w:hAnsi="Arial" w:cs="Arial"/>
          <w:vanish/>
          <w:spacing w:val="0"/>
          <w:sz w:val="18"/>
        </w:rPr>
        <w:t xml:space="preserve">BR_41.06 </w:t>
      </w:r>
      <w:r>
        <w:t xml:space="preserve">The testing record includes the patient’s antigen typing and the control cell information. </w:t>
      </w:r>
    </w:p>
    <w:p w14:paraId="6B7592C5" w14:textId="77777777" w:rsidR="002A21AE" w:rsidRDefault="002A21AE">
      <w:pPr>
        <w:pStyle w:val="Heading4"/>
      </w:pPr>
      <w:r>
        <w:t>Limitations and Restrictions</w:t>
      </w:r>
      <w:r>
        <w:rPr>
          <w:b w:val="0"/>
        </w:rPr>
        <w:t xml:space="preserve"> </w:t>
      </w:r>
    </w:p>
    <w:p w14:paraId="188C8641" w14:textId="77777777" w:rsidR="002A21AE" w:rsidRDefault="002A21AE">
      <w:pPr>
        <w:pStyle w:val="ListBullet"/>
      </w:pPr>
      <w:r>
        <w:t>Antigen typing applies only to red blood cell antigens. (This option does not address platelet, HLA, or IgA antigens.)</w:t>
      </w:r>
    </w:p>
    <w:p w14:paraId="62073AA9" w14:textId="77777777" w:rsidR="00FC3A2C" w:rsidRDefault="002A21AE">
      <w:pPr>
        <w:pStyle w:val="ListBullet"/>
      </w:pPr>
      <w:r>
        <w:t>VBECS does not check</w:t>
      </w:r>
      <w:r w:rsidR="00FC3A2C">
        <w:t>:</w:t>
      </w:r>
    </w:p>
    <w:p w14:paraId="4A62576F" w14:textId="77777777" w:rsidR="00B84DA4" w:rsidRDefault="00B84DA4" w:rsidP="00FC3A2C">
      <w:pPr>
        <w:pStyle w:val="ListBullet2"/>
      </w:pPr>
      <w:r>
        <w:t>The patient antigen typing with the specificity of a</w:t>
      </w:r>
      <w:r w:rsidR="005C1078">
        <w:t>ny patient’s antibodies entered.</w:t>
      </w:r>
    </w:p>
    <w:p w14:paraId="39C128B2" w14:textId="77777777" w:rsidR="002A21AE" w:rsidRDefault="00FC3A2C" w:rsidP="00FC3A2C">
      <w:pPr>
        <w:pStyle w:val="ListBullet2"/>
      </w:pPr>
      <w:r>
        <w:t>W</w:t>
      </w:r>
      <w:r w:rsidR="002A21AE">
        <w:t>hether the lot and vial numbers selected for the positive control cells differ from those of the negative control cells</w:t>
      </w:r>
      <w:r w:rsidR="005C1078">
        <w:t>.</w:t>
      </w:r>
    </w:p>
    <w:p w14:paraId="424319AB" w14:textId="77777777" w:rsidR="002A21AE" w:rsidRDefault="002A21AE">
      <w:pPr>
        <w:pStyle w:val="ListBullet"/>
      </w:pPr>
      <w:r>
        <w:t>The patient antigen typing result is not available to CPRS.</w:t>
      </w:r>
    </w:p>
    <w:p w14:paraId="233C8945" w14:textId="77777777" w:rsidR="002A21AE" w:rsidRDefault="002A21AE">
      <w:pPr>
        <w:pStyle w:val="Heading4"/>
      </w:pPr>
      <w:r>
        <w:t>Additional Information</w:t>
      </w:r>
      <w:r>
        <w:rPr>
          <w:rFonts w:ascii="Times New Roman" w:hAnsi="Times New Roman"/>
          <w:i/>
          <w:color w:val="0000FF"/>
          <w:sz w:val="24"/>
        </w:rPr>
        <w:t xml:space="preserve"> </w:t>
      </w:r>
    </w:p>
    <w:p w14:paraId="646ACEDE" w14:textId="77777777" w:rsidR="00956196" w:rsidRDefault="00956196" w:rsidP="00956196">
      <w:pPr>
        <w:pStyle w:val="ListBullet"/>
      </w:pPr>
      <w:r>
        <w:t xml:space="preserve">Clinical significance and availability of typing reagents are not implied when antigens are included in the list of </w:t>
      </w:r>
      <w:r w:rsidR="00E32E71">
        <w:t>antigen type tests</w:t>
      </w:r>
      <w:r>
        <w:t>.</w:t>
      </w:r>
    </w:p>
    <w:p w14:paraId="708EFA54" w14:textId="77777777" w:rsidR="00956196" w:rsidRDefault="00FC0074" w:rsidP="00956196">
      <w:pPr>
        <w:pStyle w:val="ListBullet"/>
      </w:pPr>
      <w:r>
        <w:t>U</w:t>
      </w:r>
      <w:r w:rsidR="00956196">
        <w:t>nit antigen tests may be added th</w:t>
      </w:r>
      <w:r>
        <w:t>rough</w:t>
      </w:r>
      <w:r w:rsidR="00956196">
        <w:t xml:space="preserve"> </w:t>
      </w:r>
      <w:r w:rsidR="00CA67F2">
        <w:t>Incoming Shipment</w:t>
      </w:r>
      <w:r w:rsidR="00155471">
        <w:t xml:space="preserve"> </w:t>
      </w:r>
      <w:r>
        <w:t>and</w:t>
      </w:r>
      <w:r w:rsidR="00155471">
        <w:t xml:space="preserve"> </w:t>
      </w:r>
      <w:r w:rsidR="00CA67F2">
        <w:t>Edit Unit Information</w:t>
      </w:r>
      <w:r w:rsidR="00956196">
        <w:t>.</w:t>
      </w:r>
    </w:p>
    <w:p w14:paraId="382666FF" w14:textId="77777777" w:rsidR="002A21AE" w:rsidRDefault="002A21AE">
      <w:pPr>
        <w:pStyle w:val="ListBullet"/>
      </w:pPr>
      <w:r>
        <w:t>The patient antigen typing test is associated with a CPRS patient order.</w:t>
      </w:r>
    </w:p>
    <w:p w14:paraId="344A0F7E" w14:textId="77777777" w:rsidR="002A21AE" w:rsidRDefault="002A21AE">
      <w:pPr>
        <w:pStyle w:val="ListBullet"/>
      </w:pPr>
      <w:r>
        <w:t>The patient’s antigen typing information does not appear as part of the Transfusion Requirements or Special Instructions in the Patient Information Toolbar.</w:t>
      </w:r>
    </w:p>
    <w:p w14:paraId="184119DC" w14:textId="77777777" w:rsidR="002A21AE" w:rsidRDefault="002A21AE">
      <w:pPr>
        <w:pStyle w:val="ListBullet"/>
      </w:pPr>
      <w:r>
        <w:rPr>
          <w:rFonts w:ascii="Arial" w:hAnsi="Arial" w:cs="Arial"/>
          <w:vanish/>
          <w:spacing w:val="0"/>
          <w:sz w:val="18"/>
        </w:rPr>
        <w:t xml:space="preserve">BR_28.23 </w:t>
      </w:r>
      <w:r>
        <w:t>When VBECS displays lot numbers for selection, it checks the inventory for the reagent name and lot numbers in use in a rack. VBECS does not offer reagents with an “unsatisfactory” value in the Inspection field or with a quantity of zero as a selectable reagent. The user may not enter a lot number that VBECS disallowed on the selection list. The user must choose a different reagent.</w:t>
      </w:r>
    </w:p>
    <w:p w14:paraId="1489D289" w14:textId="77777777" w:rsidR="002A21AE" w:rsidRDefault="004A7FC2">
      <w:pPr>
        <w:pStyle w:val="ListBullet"/>
      </w:pPr>
      <w:r>
        <w:rPr>
          <w:rFonts w:ascii="Arial" w:hAnsi="Arial" w:cs="Arial"/>
          <w:vanish/>
          <w:spacing w:val="0"/>
          <w:sz w:val="18"/>
        </w:rPr>
        <w:t>BR_41.</w:t>
      </w:r>
      <w:r w:rsidR="002A21AE">
        <w:rPr>
          <w:rFonts w:ascii="Arial" w:hAnsi="Arial" w:cs="Arial"/>
          <w:vanish/>
          <w:spacing w:val="0"/>
          <w:sz w:val="18"/>
        </w:rPr>
        <w:t>3</w:t>
      </w:r>
      <w:r>
        <w:rPr>
          <w:rFonts w:ascii="Arial" w:hAnsi="Arial" w:cs="Arial"/>
          <w:vanish/>
          <w:spacing w:val="0"/>
          <w:sz w:val="18"/>
        </w:rPr>
        <w:t>0</w:t>
      </w:r>
      <w:r w:rsidR="002A21AE">
        <w:rPr>
          <w:rFonts w:ascii="Arial" w:hAnsi="Arial" w:cs="Arial"/>
          <w:vanish/>
          <w:spacing w:val="0"/>
          <w:sz w:val="18"/>
        </w:rPr>
        <w:t xml:space="preserve"> </w:t>
      </w:r>
      <w:r w:rsidR="002A21AE">
        <w:t>When a user selects a reagent rack that was never QC’d, VBECS warns the user, clears the selection, and allows the user to select a different rack.</w:t>
      </w:r>
    </w:p>
    <w:p w14:paraId="065E7B6F" w14:textId="77777777" w:rsidR="004A7FC2" w:rsidRDefault="004A7FC2">
      <w:pPr>
        <w:pStyle w:val="ListBullet"/>
      </w:pPr>
      <w:r>
        <w:rPr>
          <w:rFonts w:ascii="Arial" w:hAnsi="Arial" w:cs="Arial"/>
          <w:vanish/>
          <w:spacing w:val="0"/>
          <w:sz w:val="18"/>
        </w:rPr>
        <w:t xml:space="preserve">BR_41.03 </w:t>
      </w:r>
      <w:r>
        <w:t xml:space="preserve"> VBECS automatically adds the positive and negative control tests to the selected reagent type worklist if they have not been tested on that calendar date for the selected antisera lot number.</w:t>
      </w:r>
      <w:r w:rsidR="009439F8">
        <w:rPr>
          <w:vanish/>
        </w:rPr>
        <w:t xml:space="preserve"> DR 3717</w:t>
      </w:r>
    </w:p>
    <w:p w14:paraId="71B2047F" w14:textId="77777777" w:rsidR="002A21AE" w:rsidRDefault="002A21AE">
      <w:pPr>
        <w:pStyle w:val="ListBullet"/>
      </w:pPr>
      <w:r>
        <w:rPr>
          <w:rFonts w:ascii="Arial" w:hAnsi="Arial" w:cs="Arial"/>
          <w:vanish/>
          <w:spacing w:val="0"/>
          <w:sz w:val="18"/>
        </w:rPr>
        <w:t xml:space="preserve">BR_41.06 </w:t>
      </w:r>
      <w:r>
        <w:t>VBECS stores the lot number, vial identifier, manufacturer, and expiration date of the positive and negative control cells with the testing record.</w:t>
      </w:r>
    </w:p>
    <w:p w14:paraId="55637EA9" w14:textId="77777777" w:rsidR="002A21AE" w:rsidRDefault="002A21AE">
      <w:pPr>
        <w:pStyle w:val="ListBullet"/>
      </w:pPr>
      <w:r>
        <w:t>The user may not enter “H” (hemolysis) in antigen typing testing.</w:t>
      </w:r>
    </w:p>
    <w:p w14:paraId="64FF036B" w14:textId="77777777" w:rsidR="00786249" w:rsidRPr="00786249" w:rsidRDefault="00786249" w:rsidP="00786249">
      <w:pPr>
        <w:pStyle w:val="ListBullet"/>
        <w:rPr>
          <w:color w:val="1F497D"/>
        </w:rPr>
      </w:pPr>
      <w:r>
        <w:t>Weak D testing results do not interact or change the Rh typing recorded for the patient by an ABO/Rh test.</w:t>
      </w:r>
      <w:r w:rsidRPr="00812458">
        <w:rPr>
          <w:vanish/>
        </w:rPr>
        <w:t xml:space="preserve"> Task 409152</w:t>
      </w:r>
    </w:p>
    <w:p w14:paraId="2632FA89" w14:textId="77777777" w:rsidR="002A21AE" w:rsidRDefault="002A21AE">
      <w:pPr>
        <w:pStyle w:val="Heading4"/>
        <w:rPr>
          <w:b w:val="0"/>
        </w:rPr>
      </w:pPr>
      <w:r>
        <w:t>User Roles with Access to This Option</w:t>
      </w:r>
      <w:r>
        <w:rPr>
          <w:b w:val="0"/>
        </w:rPr>
        <w:t xml:space="preserve"> </w:t>
      </w:r>
    </w:p>
    <w:p w14:paraId="0CC22B5F" w14:textId="77777777" w:rsidR="002A21AE" w:rsidRDefault="007934CF">
      <w:pPr>
        <w:pStyle w:val="Roles"/>
        <w:rPr>
          <w:snapToGrid w:val="0"/>
        </w:rPr>
      </w:pPr>
      <w:r>
        <w:t>All users</w:t>
      </w:r>
    </w:p>
    <w:p w14:paraId="10068793" w14:textId="77777777" w:rsidR="002A21AE" w:rsidRPr="000C2B00" w:rsidRDefault="002A21AE">
      <w:pPr>
        <w:pStyle w:val="Heading4"/>
        <w:rPr>
          <w:rStyle w:val="Heading3Char"/>
          <w:b/>
        </w:rPr>
      </w:pPr>
      <w:r w:rsidRPr="000C2B00">
        <w:rPr>
          <w:rStyle w:val="Heading3Char"/>
          <w:b/>
        </w:rPr>
        <w:lastRenderedPageBreak/>
        <w:t>Patient Testing: Record a Patient Antigen Typing</w:t>
      </w:r>
    </w:p>
    <w:p w14:paraId="658BBE62" w14:textId="77777777" w:rsidR="002A21AE" w:rsidRDefault="002A21AE" w:rsidP="00FA7E65">
      <w:pPr>
        <w:pStyle w:val="BodyText"/>
      </w:pPr>
      <w:r>
        <w:t xml:space="preserve">This option describes a test to determine the patient antigen typing from a blood specimen.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238CB7" w14:textId="77777777">
        <w:trPr>
          <w:cantSplit/>
          <w:tblHeader/>
        </w:trPr>
        <w:tc>
          <w:tcPr>
            <w:tcW w:w="3240" w:type="dxa"/>
            <w:shd w:val="pct30" w:color="auto" w:fill="FFFFFF"/>
            <w:vAlign w:val="bottom"/>
          </w:tcPr>
          <w:p w14:paraId="3D13A758" w14:textId="77777777" w:rsidR="002A21AE" w:rsidRDefault="002A21AE">
            <w:pPr>
              <w:pStyle w:val="TableText"/>
              <w:rPr>
                <w:b/>
              </w:rPr>
            </w:pPr>
            <w:r>
              <w:rPr>
                <w:b/>
              </w:rPr>
              <w:t>User Action</w:t>
            </w:r>
          </w:p>
        </w:tc>
        <w:tc>
          <w:tcPr>
            <w:tcW w:w="6120" w:type="dxa"/>
            <w:shd w:val="pct30" w:color="auto" w:fill="FFFFFF"/>
            <w:vAlign w:val="bottom"/>
          </w:tcPr>
          <w:p w14:paraId="3607AA78" w14:textId="77777777" w:rsidR="002A21AE" w:rsidRDefault="002A21AE">
            <w:pPr>
              <w:pStyle w:val="TableText"/>
              <w:rPr>
                <w:b/>
              </w:rPr>
            </w:pPr>
            <w:r>
              <w:rPr>
                <w:b/>
              </w:rPr>
              <w:t>VBECS</w:t>
            </w:r>
          </w:p>
        </w:tc>
      </w:tr>
      <w:tr w:rsidR="00141448" w14:paraId="24F43DB4" w14:textId="77777777">
        <w:tc>
          <w:tcPr>
            <w:tcW w:w="3240" w:type="dxa"/>
            <w:tcBorders>
              <w:top w:val="single" w:sz="4" w:space="0" w:color="auto"/>
              <w:left w:val="single" w:sz="4" w:space="0" w:color="auto"/>
              <w:bottom w:val="single" w:sz="4" w:space="0" w:color="auto"/>
              <w:right w:val="single" w:sz="4" w:space="0" w:color="auto"/>
            </w:tcBorders>
          </w:tcPr>
          <w:p w14:paraId="71DA417D" w14:textId="77777777" w:rsidR="00141448" w:rsidRDefault="00141448" w:rsidP="00141448">
            <w:pPr>
              <w:pStyle w:val="TableTextNumbers"/>
            </w:pPr>
            <w:r>
              <w:t xml:space="preserve">Select </w:t>
            </w:r>
            <w:r>
              <w:rPr>
                <w:b/>
              </w:rPr>
              <w:t>Patients</w:t>
            </w:r>
            <w:r>
              <w:t xml:space="preserve"> from the main menu.</w:t>
            </w:r>
          </w:p>
          <w:p w14:paraId="5D0F3FA9" w14:textId="77777777" w:rsidR="00141448" w:rsidRDefault="00141448" w:rsidP="00141448">
            <w:pPr>
              <w:pStyle w:val="TableTextNumbersContinued"/>
            </w:pPr>
          </w:p>
          <w:p w14:paraId="2D0A1BED"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77DE0B4A" w14:textId="77777777" w:rsidR="00141448" w:rsidRDefault="00141448" w:rsidP="00141448">
            <w:pPr>
              <w:pStyle w:val="TableTextBullet"/>
            </w:pPr>
            <w:r>
              <w:t xml:space="preserve">Displays options for processing patient-related functions. </w:t>
            </w:r>
          </w:p>
          <w:p w14:paraId="1C641EEE" w14:textId="77777777" w:rsidR="00141448" w:rsidRDefault="00141448" w:rsidP="00141448">
            <w:pPr>
              <w:pStyle w:val="TableTextBullet"/>
            </w:pPr>
            <w:r>
              <w:t>Displays the Pending Task List (PTL) in the Diagnostic Tests tab.</w:t>
            </w:r>
          </w:p>
          <w:p w14:paraId="48034C7A" w14:textId="77777777" w:rsidR="00141448" w:rsidRDefault="00141448" w:rsidP="00141448">
            <w:pPr>
              <w:pStyle w:val="NotesText"/>
            </w:pPr>
          </w:p>
          <w:p w14:paraId="4199D11E" w14:textId="53050AF9" w:rsidR="00141448" w:rsidRDefault="00141448" w:rsidP="00141448">
            <w:pPr>
              <w:pStyle w:val="TableText"/>
              <w:rPr>
                <w:b/>
                <w:bCs/>
                <w:szCs w:val="18"/>
              </w:rPr>
            </w:pPr>
            <w:r>
              <w:rPr>
                <w:b/>
                <w:bCs/>
                <w:szCs w:val="18"/>
              </w:rPr>
              <w:t>NOTES</w:t>
            </w:r>
          </w:p>
          <w:p w14:paraId="44F83BD9" w14:textId="77777777" w:rsidR="00141448" w:rsidRDefault="00141448" w:rsidP="00141448">
            <w:pPr>
              <w:pStyle w:val="NotesText"/>
            </w:pPr>
          </w:p>
          <w:p w14:paraId="021CC668" w14:textId="77777777" w:rsidR="00141448" w:rsidRDefault="00141448" w:rsidP="00141448">
            <w:pPr>
              <w:pStyle w:val="NotesText"/>
            </w:pPr>
            <w:r>
              <w:t>A user may search for specific tasks using search criteria detailed in Pending Task List.</w:t>
            </w:r>
          </w:p>
        </w:tc>
      </w:tr>
      <w:tr w:rsidR="006D7FC0" w14:paraId="5579B6A1" w14:textId="77777777">
        <w:tc>
          <w:tcPr>
            <w:tcW w:w="3240" w:type="dxa"/>
          </w:tcPr>
          <w:p w14:paraId="48EFE587" w14:textId="77777777" w:rsidR="006D7FC0" w:rsidRDefault="006D7FC0">
            <w:pPr>
              <w:pStyle w:val="TableTextNumbers"/>
            </w:pPr>
            <w:r>
              <w:t>Click one to four check boxes in the Pending Task List to select tasks for testing.</w:t>
            </w:r>
          </w:p>
          <w:p w14:paraId="3645534C" w14:textId="77777777" w:rsidR="006D7FC0" w:rsidRDefault="006D7FC0" w:rsidP="006D7FC0">
            <w:pPr>
              <w:pStyle w:val="TableTextNumbersContinued"/>
            </w:pPr>
          </w:p>
          <w:p w14:paraId="1C9949A0" w14:textId="77777777" w:rsidR="006D7FC0" w:rsidRDefault="006D7FC0" w:rsidP="006D7FC0">
            <w:pPr>
              <w:pStyle w:val="TableTextNumbersContinued"/>
            </w:pPr>
            <w:r>
              <w:t xml:space="preserve">Click </w:t>
            </w:r>
            <w:r w:rsidRPr="006D7FC0">
              <w:rPr>
                <w:b/>
              </w:rPr>
              <w:t>OK</w:t>
            </w:r>
            <w:r>
              <w:t>.</w:t>
            </w:r>
          </w:p>
        </w:tc>
        <w:tc>
          <w:tcPr>
            <w:tcW w:w="6120" w:type="dxa"/>
          </w:tcPr>
          <w:p w14:paraId="3FAA4FC0" w14:textId="77777777" w:rsidR="006D7FC0" w:rsidRDefault="006D7FC0" w:rsidP="006D7FC0">
            <w:pPr>
              <w:pStyle w:val="TableTextBullet"/>
            </w:pPr>
            <w:r>
              <w:t>Displays patient names and associated task information.</w:t>
            </w:r>
          </w:p>
          <w:p w14:paraId="03C23D50" w14:textId="77777777" w:rsidR="006D7FC0" w:rsidRDefault="006D7FC0" w:rsidP="006D7FC0">
            <w:pPr>
              <w:pStyle w:val="TableTextBullet"/>
            </w:pPr>
            <w:r>
              <w:t xml:space="preserve">Displays a direct data entry </w:t>
            </w:r>
            <w:r w:rsidR="00917E9F">
              <w:t xml:space="preserve">(DDE) </w:t>
            </w:r>
            <w:r>
              <w:t>grid for entering serologic reaction results for antigen typing testing. This grid may be partially populated from a previous session.</w:t>
            </w:r>
          </w:p>
          <w:p w14:paraId="4DB6E141" w14:textId="77777777" w:rsidR="006D7FC0" w:rsidRDefault="006D7FC0" w:rsidP="006D7FC0">
            <w:pPr>
              <w:pStyle w:val="TableTextBullet"/>
            </w:pPr>
            <w:r>
              <w:t>Allows the user to select a unit and enter a test result for the unit.</w:t>
            </w:r>
          </w:p>
          <w:p w14:paraId="7BEC677B" w14:textId="77777777" w:rsidR="006D7FC0" w:rsidRDefault="006D7FC0" w:rsidP="006D7FC0">
            <w:pPr>
              <w:pStyle w:val="TableTextBullet"/>
            </w:pPr>
            <w:r>
              <w:t>Displays options for finding and selecting tests to process.</w:t>
            </w:r>
          </w:p>
          <w:p w14:paraId="374AD6F7" w14:textId="77777777" w:rsidR="006D7FC0" w:rsidRDefault="006D7FC0" w:rsidP="006D7FC0">
            <w:pPr>
              <w:pStyle w:val="TableText"/>
            </w:pPr>
          </w:p>
          <w:p w14:paraId="4D25902E" w14:textId="0382DF68" w:rsidR="006D7FC0" w:rsidRDefault="006D7FC0" w:rsidP="006D7FC0">
            <w:pPr>
              <w:pStyle w:val="TableText"/>
              <w:rPr>
                <w:b/>
                <w:bCs/>
                <w:szCs w:val="18"/>
              </w:rPr>
            </w:pPr>
            <w:r>
              <w:rPr>
                <w:b/>
                <w:bCs/>
                <w:szCs w:val="18"/>
              </w:rPr>
              <w:t>NOTES</w:t>
            </w:r>
          </w:p>
          <w:p w14:paraId="3519155F" w14:textId="77777777" w:rsidR="006D7FC0" w:rsidRDefault="006D7FC0" w:rsidP="009368F1">
            <w:pPr>
              <w:pStyle w:val="NotesText"/>
            </w:pPr>
          </w:p>
          <w:p w14:paraId="1E559D21" w14:textId="77777777" w:rsidR="006D7FC0" w:rsidRDefault="006D7FC0" w:rsidP="009368F1">
            <w:pPr>
              <w:pStyle w:val="NotesText"/>
            </w:pPr>
            <w:r>
              <w:rPr>
                <w:rFonts w:cs="Arial"/>
                <w:vanish/>
              </w:rPr>
              <w:t xml:space="preserve">BR_41.15 </w:t>
            </w:r>
            <w:r>
              <w:t>When the user selects a partially completed worksheet, he must verify the lot numbers, manufacturer name, and expiration date of the antiserum and control cells previously selected. These fields may not be edited. (A user who finds a discrepancy must delete the worksheet and start over.)</w:t>
            </w:r>
          </w:p>
        </w:tc>
      </w:tr>
      <w:tr w:rsidR="002A21AE" w14:paraId="229F1062" w14:textId="77777777">
        <w:tc>
          <w:tcPr>
            <w:tcW w:w="3240" w:type="dxa"/>
          </w:tcPr>
          <w:p w14:paraId="39602ECE" w14:textId="77777777" w:rsidR="002A21AE" w:rsidRDefault="002A21AE">
            <w:pPr>
              <w:pStyle w:val="TableTextNumbers"/>
            </w:pPr>
            <w:r>
              <w:t>Confirm the selected patient.</w:t>
            </w:r>
          </w:p>
          <w:p w14:paraId="39F07964" w14:textId="77777777" w:rsidR="002A21AE" w:rsidRDefault="002A21AE">
            <w:pPr>
              <w:pStyle w:val="TableTextNumbersContinued"/>
            </w:pPr>
          </w:p>
          <w:p w14:paraId="596DC206" w14:textId="77777777" w:rsidR="002A21AE" w:rsidRDefault="002A21AE">
            <w:pPr>
              <w:pStyle w:val="TableTextNumbersContinued"/>
            </w:pPr>
            <w:r>
              <w:t xml:space="preserve">When control cells were tested for the antiserum, go to Step </w:t>
            </w:r>
            <w:r w:rsidR="00502986">
              <w:t>7</w:t>
            </w:r>
            <w:r>
              <w:t>.</w:t>
            </w:r>
          </w:p>
        </w:tc>
        <w:tc>
          <w:tcPr>
            <w:tcW w:w="6120" w:type="dxa"/>
          </w:tcPr>
          <w:p w14:paraId="62B95212" w14:textId="77777777" w:rsidR="002A21AE" w:rsidRDefault="002A21AE">
            <w:pPr>
              <w:pStyle w:val="TableTextBullet"/>
            </w:pPr>
            <w:r>
              <w:t xml:space="preserve">Displays an option to select a lot number for each of the antiserum types selected. </w:t>
            </w:r>
          </w:p>
          <w:p w14:paraId="7A8E59F9" w14:textId="77777777" w:rsidR="002A21AE" w:rsidRDefault="002A21AE">
            <w:pPr>
              <w:pStyle w:val="TableText"/>
            </w:pPr>
          </w:p>
          <w:p w14:paraId="421E92B4" w14:textId="4EC1504D" w:rsidR="002A21AE" w:rsidRDefault="002A21AE">
            <w:pPr>
              <w:pStyle w:val="TableText"/>
              <w:rPr>
                <w:b/>
                <w:bCs/>
                <w:szCs w:val="18"/>
              </w:rPr>
            </w:pPr>
            <w:r>
              <w:rPr>
                <w:b/>
                <w:bCs/>
                <w:szCs w:val="18"/>
              </w:rPr>
              <w:t>NOTES</w:t>
            </w:r>
          </w:p>
          <w:p w14:paraId="29EED6F0" w14:textId="77777777" w:rsidR="002A21AE" w:rsidRDefault="002A21AE">
            <w:pPr>
              <w:pStyle w:val="NotesText"/>
            </w:pPr>
          </w:p>
          <w:p w14:paraId="4AB87CF8" w14:textId="77777777" w:rsidR="002A21AE" w:rsidRDefault="002A21AE">
            <w:pPr>
              <w:pStyle w:val="NotesText"/>
            </w:pPr>
            <w:r>
              <w:t>VBECS displays grids and quality control cells for each antiserum type.</w:t>
            </w:r>
          </w:p>
        </w:tc>
      </w:tr>
      <w:tr w:rsidR="002A21AE" w14:paraId="5FAB0D09" w14:textId="77777777">
        <w:tc>
          <w:tcPr>
            <w:tcW w:w="3240" w:type="dxa"/>
          </w:tcPr>
          <w:p w14:paraId="4B4454B8" w14:textId="77777777" w:rsidR="002A21AE" w:rsidRDefault="002A21AE">
            <w:pPr>
              <w:pStyle w:val="TableTextNumbers"/>
            </w:pPr>
            <w:r>
              <w:t>Select a lot number for each antiserum specificity.</w:t>
            </w:r>
          </w:p>
        </w:tc>
        <w:tc>
          <w:tcPr>
            <w:tcW w:w="6120" w:type="dxa"/>
          </w:tcPr>
          <w:p w14:paraId="1772FDDF" w14:textId="77777777" w:rsidR="002A21AE" w:rsidRDefault="002A21AE">
            <w:pPr>
              <w:pStyle w:val="TableTextBullet"/>
            </w:pPr>
            <w:r>
              <w:rPr>
                <w:rFonts w:cs="Arial"/>
                <w:vanish/>
              </w:rPr>
              <w:t>BR_41.04</w:t>
            </w:r>
            <w:r w:rsidR="004F5F28" w:rsidRPr="00323744">
              <w:rPr>
                <w:rStyle w:val="BullhornChar"/>
              </w:rPr>
              <w:t></w:t>
            </w:r>
            <w:r w:rsidR="004F5F28">
              <w:rPr>
                <w:rFonts w:ascii="Webdings" w:hAnsi="Webdings"/>
              </w:rPr>
              <w:t></w:t>
            </w:r>
            <w:r w:rsidR="00AA089C">
              <w:t>A</w:t>
            </w:r>
            <w:r>
              <w:t>llows the user to select or enter the lot number and displays the manufacturer and expiration date of each antiserum to be used in this transaction so the user can select the correct antiserum. VBECS displays in-date antisera. When the user selects outdated antisera, VBECS emits an audible alert and requires a comment and an override. VBECS captures details for inclusion in an Exception Report (exception type: expired antisera used).</w:t>
            </w:r>
          </w:p>
          <w:p w14:paraId="3182247C" w14:textId="77777777" w:rsidR="002A21AE" w:rsidRDefault="002A21AE">
            <w:pPr>
              <w:pStyle w:val="TableTextBullet"/>
            </w:pPr>
            <w:r>
              <w:t>Prompts the user to select the correct antiserum entry for the specificity selected.</w:t>
            </w:r>
          </w:p>
          <w:p w14:paraId="68BE8608" w14:textId="77777777" w:rsidR="002A21AE" w:rsidRDefault="002A21AE">
            <w:pPr>
              <w:pStyle w:val="TableTextBullet"/>
            </w:pPr>
            <w:r>
              <w:t xml:space="preserve">Displays the lot number information. </w:t>
            </w:r>
          </w:p>
          <w:p w14:paraId="7028CAB4" w14:textId="77777777" w:rsidR="00AA089C" w:rsidRDefault="00AA089C" w:rsidP="00AA089C">
            <w:pPr>
              <w:pStyle w:val="TableText"/>
            </w:pPr>
          </w:p>
          <w:p w14:paraId="67F54783" w14:textId="69328AAA" w:rsidR="00AA089C" w:rsidRDefault="00AA089C" w:rsidP="00AA089C">
            <w:pPr>
              <w:pStyle w:val="TableText"/>
              <w:rPr>
                <w:b/>
                <w:bCs/>
                <w:szCs w:val="18"/>
              </w:rPr>
            </w:pPr>
            <w:r>
              <w:rPr>
                <w:b/>
                <w:bCs/>
                <w:szCs w:val="18"/>
              </w:rPr>
              <w:t>NOTES</w:t>
            </w:r>
          </w:p>
          <w:p w14:paraId="47C54AA0" w14:textId="77777777" w:rsidR="00AA089C" w:rsidRDefault="00AA089C" w:rsidP="00AA089C">
            <w:pPr>
              <w:pStyle w:val="NotesText"/>
            </w:pPr>
          </w:p>
          <w:p w14:paraId="76CCB463" w14:textId="77777777" w:rsidR="00AA089C" w:rsidRDefault="00AA089C" w:rsidP="00AA089C">
            <w:pPr>
              <w:pStyle w:val="NotesText"/>
            </w:pPr>
            <w:r>
              <w:t>VBECS r</w:t>
            </w:r>
            <w:r w:rsidRPr="00AA089C">
              <w:t>equest</w:t>
            </w:r>
            <w:r>
              <w:t>s</w:t>
            </w:r>
            <w:r w:rsidRPr="00AA089C">
              <w:t xml:space="preserve"> information about </w:t>
            </w:r>
            <w:r>
              <w:t>an antigen</w:t>
            </w:r>
            <w:r w:rsidRPr="00AA089C">
              <w:t xml:space="preserve"> lot number </w:t>
            </w:r>
            <w:r>
              <w:t xml:space="preserve">only </w:t>
            </w:r>
            <w:r w:rsidRPr="00AA089C">
              <w:t xml:space="preserve">the first time it is used </w:t>
            </w:r>
            <w:r>
              <w:t>on a specific</w:t>
            </w:r>
            <w:r w:rsidRPr="00AA089C">
              <w:t xml:space="preserve"> day. </w:t>
            </w:r>
          </w:p>
          <w:p w14:paraId="2631391F" w14:textId="77777777" w:rsidR="00AA089C" w:rsidRDefault="00AA089C" w:rsidP="00AA089C">
            <w:pPr>
              <w:pStyle w:val="NotesText"/>
            </w:pPr>
          </w:p>
          <w:p w14:paraId="4969172E" w14:textId="77777777" w:rsidR="00AA089C" w:rsidRDefault="00AA089C" w:rsidP="00AA089C">
            <w:pPr>
              <w:pStyle w:val="NotesText"/>
            </w:pPr>
            <w:r w:rsidRPr="00AA089C">
              <w:t xml:space="preserve">If there are multiple test tabs, </w:t>
            </w:r>
            <w:r>
              <w:t>VBECS displays a</w:t>
            </w:r>
            <w:r w:rsidRPr="00AA089C">
              <w:t xml:space="preserve"> </w:t>
            </w:r>
            <w:r>
              <w:t>message</w:t>
            </w:r>
            <w:r w:rsidRPr="00AA089C">
              <w:t xml:space="preserve"> </w:t>
            </w:r>
            <w:r>
              <w:t xml:space="preserve">that </w:t>
            </w:r>
            <w:r w:rsidRPr="00AA089C">
              <w:t xml:space="preserve">may not </w:t>
            </w:r>
            <w:r>
              <w:t>correspond to</w:t>
            </w:r>
            <w:r w:rsidRPr="00AA089C">
              <w:t xml:space="preserve"> the</w:t>
            </w:r>
            <w:r>
              <w:t xml:space="preserve"> selected</w:t>
            </w:r>
            <w:r w:rsidRPr="00AA089C">
              <w:t xml:space="preserve"> tab, but will </w:t>
            </w:r>
            <w:r>
              <w:t xml:space="preserve">correspond to </w:t>
            </w:r>
            <w:r w:rsidRPr="00AA089C">
              <w:t xml:space="preserve">information </w:t>
            </w:r>
            <w:r>
              <w:t xml:space="preserve">required by </w:t>
            </w:r>
            <w:r w:rsidRPr="00AA089C">
              <w:t>one of the requested tests.</w:t>
            </w:r>
          </w:p>
        </w:tc>
      </w:tr>
      <w:tr w:rsidR="002A21AE" w14:paraId="3B37D9A8" w14:textId="77777777">
        <w:tc>
          <w:tcPr>
            <w:tcW w:w="3240" w:type="dxa"/>
          </w:tcPr>
          <w:p w14:paraId="401FFD7E" w14:textId="05E3BF16" w:rsidR="002A21AE" w:rsidRDefault="002A21AE" w:rsidP="00AA3667">
            <w:pPr>
              <w:pStyle w:val="TableTextNumbers"/>
            </w:pPr>
            <w:r>
              <w:t>Verify the antiserum lot number selected</w:t>
            </w:r>
            <w:r w:rsidR="00AA3667">
              <w:t xml:space="preserve"> (</w:t>
            </w:r>
            <w:r w:rsidR="00AA3667">
              <w:fldChar w:fldCharType="begin"/>
            </w:r>
            <w:r w:rsidR="00AA3667">
              <w:instrText xml:space="preserve"> REF _Ref126727198 \h </w:instrText>
            </w:r>
            <w:r w:rsidR="00AA3667">
              <w:fldChar w:fldCharType="separate"/>
            </w:r>
            <w:r w:rsidR="004353ED">
              <w:t xml:space="preserve">Figure </w:t>
            </w:r>
            <w:r w:rsidR="004353ED">
              <w:rPr>
                <w:noProof/>
              </w:rPr>
              <w:t>126</w:t>
            </w:r>
            <w:r w:rsidR="00AA3667">
              <w:fldChar w:fldCharType="end"/>
            </w:r>
            <w:r w:rsidR="00AA3667">
              <w:t>)</w:t>
            </w:r>
            <w:r>
              <w:t xml:space="preserve">. </w:t>
            </w:r>
          </w:p>
        </w:tc>
        <w:tc>
          <w:tcPr>
            <w:tcW w:w="6120" w:type="dxa"/>
          </w:tcPr>
          <w:p w14:paraId="264CA1D8" w14:textId="77777777" w:rsidR="002A21AE" w:rsidRDefault="002A21AE">
            <w:pPr>
              <w:pStyle w:val="TableTextBullet"/>
            </w:pPr>
            <w:r>
              <w:t xml:space="preserve">Allows the user to select the testing phases for the antiserum specificity by lot number. </w:t>
            </w:r>
          </w:p>
          <w:p w14:paraId="64E9917D" w14:textId="77777777" w:rsidR="002A21AE" w:rsidRDefault="002A21AE">
            <w:pPr>
              <w:pStyle w:val="TableTextBullet"/>
            </w:pPr>
            <w:r>
              <w:t xml:space="preserve">Displays a testing grid and disables the phases that are not to be completed. </w:t>
            </w:r>
          </w:p>
          <w:p w14:paraId="6F7F6730" w14:textId="77777777" w:rsidR="002A21AE" w:rsidRDefault="002A21AE">
            <w:pPr>
              <w:pStyle w:val="TableTextBullet"/>
            </w:pPr>
            <w:r>
              <w:lastRenderedPageBreak/>
              <w:t>Stores the antiserum information and checks whether the positive and negative controls are needed.</w:t>
            </w:r>
          </w:p>
          <w:p w14:paraId="05A6832B" w14:textId="77777777" w:rsidR="002A21AE" w:rsidRDefault="002A21AE">
            <w:pPr>
              <w:pStyle w:val="TableText"/>
            </w:pPr>
          </w:p>
          <w:p w14:paraId="6002BD4B" w14:textId="52FE7CCA" w:rsidR="002A21AE" w:rsidRDefault="002A21AE">
            <w:pPr>
              <w:pStyle w:val="TableText"/>
              <w:rPr>
                <w:b/>
                <w:bCs/>
                <w:szCs w:val="18"/>
              </w:rPr>
            </w:pPr>
            <w:r>
              <w:rPr>
                <w:b/>
                <w:bCs/>
                <w:szCs w:val="18"/>
              </w:rPr>
              <w:t>NOTES</w:t>
            </w:r>
          </w:p>
          <w:p w14:paraId="6424DAAF" w14:textId="77777777" w:rsidR="002A21AE" w:rsidRDefault="002A21AE">
            <w:pPr>
              <w:pStyle w:val="NotesText"/>
            </w:pPr>
          </w:p>
          <w:p w14:paraId="74E64FC0" w14:textId="77777777" w:rsidR="002A21AE" w:rsidRDefault="002A21AE">
            <w:pPr>
              <w:pStyle w:val="NotesText"/>
            </w:pPr>
            <w:r>
              <w:rPr>
                <w:rFonts w:cs="Arial"/>
                <w:vanish/>
              </w:rPr>
              <w:t xml:space="preserve">BR_41.02 </w:t>
            </w:r>
            <w:r>
              <w:t xml:space="preserve">The user must indicate the phases of reactivity for each antiserum specificity: </w:t>
            </w:r>
          </w:p>
          <w:p w14:paraId="428E7355" w14:textId="77777777" w:rsidR="002A21AE" w:rsidRDefault="002A21AE">
            <w:pPr>
              <w:pStyle w:val="NotesTextBullet"/>
              <w:tabs>
                <w:tab w:val="clear" w:pos="1008"/>
                <w:tab w:val="num" w:pos="1260"/>
              </w:tabs>
              <w:ind w:left="1188"/>
            </w:pPr>
            <w:r>
              <w:t>IS</w:t>
            </w:r>
          </w:p>
          <w:p w14:paraId="6DEB6402" w14:textId="77777777" w:rsidR="002A21AE" w:rsidRDefault="002A21AE">
            <w:pPr>
              <w:pStyle w:val="NotesTextBullet"/>
              <w:tabs>
                <w:tab w:val="clear" w:pos="1008"/>
                <w:tab w:val="num" w:pos="1260"/>
              </w:tabs>
              <w:ind w:left="1188"/>
            </w:pPr>
            <w:r>
              <w:t>IS/RT</w:t>
            </w:r>
          </w:p>
          <w:p w14:paraId="7A68A2A6" w14:textId="77777777" w:rsidR="002A21AE" w:rsidRDefault="002A21AE">
            <w:pPr>
              <w:pStyle w:val="NotesTextBullet"/>
              <w:tabs>
                <w:tab w:val="clear" w:pos="1008"/>
                <w:tab w:val="num" w:pos="1260"/>
              </w:tabs>
              <w:ind w:left="1188"/>
            </w:pPr>
            <w:r>
              <w:t>IS/37</w:t>
            </w:r>
          </w:p>
          <w:p w14:paraId="1B34B950" w14:textId="77777777" w:rsidR="002A21AE" w:rsidRDefault="002A21AE">
            <w:pPr>
              <w:pStyle w:val="NotesTextBullet"/>
              <w:tabs>
                <w:tab w:val="clear" w:pos="1008"/>
                <w:tab w:val="num" w:pos="1260"/>
              </w:tabs>
              <w:ind w:left="1188"/>
            </w:pPr>
            <w:r>
              <w:t>AHG/CC</w:t>
            </w:r>
          </w:p>
          <w:p w14:paraId="50B5E10B" w14:textId="77777777" w:rsidR="002A21AE" w:rsidRDefault="002A21AE">
            <w:pPr>
              <w:pStyle w:val="NotesText"/>
            </w:pPr>
          </w:p>
          <w:p w14:paraId="6C873890" w14:textId="77777777" w:rsidR="002A21AE" w:rsidRDefault="002A21AE">
            <w:pPr>
              <w:pStyle w:val="NotesText"/>
            </w:pPr>
            <w:r>
              <w:t>VBECS enables the Rack Identifier field when the user selects the weak D or AHG/CC phase. VBECS disables the rack identifier field when the user selects other phases.</w:t>
            </w:r>
          </w:p>
          <w:p w14:paraId="1A91D6CA" w14:textId="77777777" w:rsidR="002A21AE" w:rsidRDefault="002A21AE">
            <w:pPr>
              <w:pStyle w:val="NotesText"/>
            </w:pPr>
          </w:p>
          <w:p w14:paraId="67E9BB34" w14:textId="77777777" w:rsidR="002A21AE" w:rsidRDefault="002A21AE">
            <w:pPr>
              <w:pStyle w:val="NotesText"/>
            </w:pPr>
            <w:r>
              <w:rPr>
                <w:rFonts w:cs="Arial"/>
                <w:vanish/>
              </w:rPr>
              <w:t xml:space="preserve">BR_41.27 </w:t>
            </w:r>
            <w:r>
              <w:t>When the user QC’d the antigen typing reagent lot number and performed patient antigen typing on the same date under different testing phases, VBECS enables the QC grid for the antisera in the phases the user selected.</w:t>
            </w:r>
          </w:p>
          <w:p w14:paraId="0CBFA019" w14:textId="77777777" w:rsidR="002A21AE" w:rsidRDefault="002A21AE">
            <w:pPr>
              <w:pStyle w:val="NotesText"/>
            </w:pPr>
          </w:p>
          <w:p w14:paraId="2E6D8945" w14:textId="77777777" w:rsidR="002A21AE" w:rsidRDefault="002A21AE">
            <w:pPr>
              <w:pStyle w:val="NotesText"/>
            </w:pPr>
            <w:r>
              <w:rPr>
                <w:rFonts w:cs="Arial"/>
                <w:vanish/>
              </w:rPr>
              <w:t>BR_41.26</w:t>
            </w:r>
            <w:r w:rsidR="004F5F28" w:rsidRPr="00323744">
              <w:rPr>
                <w:rStyle w:val="BullhornChar"/>
              </w:rPr>
              <w:t></w:t>
            </w:r>
            <w:r w:rsidR="004F5F28">
              <w:rPr>
                <w:rFonts w:ascii="Webdings" w:hAnsi="Webdings"/>
              </w:rPr>
              <w:t></w:t>
            </w:r>
            <w:r w:rsidR="004F5F28" w:rsidRPr="00263B24">
              <w:t>Wh</w:t>
            </w:r>
            <w:r w:rsidR="004F5F28">
              <w:t>en</w:t>
            </w:r>
            <w:r>
              <w:t xml:space="preserve"> the user attempts to change the phases of reactivity previously recorded for the lot number, VBECS emits an audible alert, warns that the user selected phases that were not used previously for this reagent, and asks whether the user wishes to continue. </w:t>
            </w:r>
            <w:r>
              <w:rPr>
                <w:b/>
              </w:rPr>
              <w:t>No</w:t>
            </w:r>
            <w:r>
              <w:t xml:space="preserve"> requires the user to select the correct testing phases. </w:t>
            </w:r>
            <w:r>
              <w:rPr>
                <w:b/>
              </w:rPr>
              <w:t>Yes</w:t>
            </w:r>
            <w:r>
              <w:t xml:space="preserve"> requires the user to enter a comment explaining why he is selecting different testing phases. VBECS captures details for inclusion in an Exception Report (exception type: antigen testing phase change). VBECS requires a comment and captures details for inclusion in an Exception Report. Antigen testing phase change</w:t>
            </w:r>
          </w:p>
        </w:tc>
      </w:tr>
      <w:tr w:rsidR="002A21AE" w14:paraId="3876B690" w14:textId="77777777">
        <w:tc>
          <w:tcPr>
            <w:tcW w:w="3240" w:type="dxa"/>
          </w:tcPr>
          <w:p w14:paraId="68A5E7B5" w14:textId="77777777" w:rsidR="00B6515C" w:rsidRDefault="00B6515C" w:rsidP="00B6515C">
            <w:pPr>
              <w:pStyle w:val="TableTextNumbers"/>
            </w:pPr>
            <w:r>
              <w:lastRenderedPageBreak/>
              <w:t>Select the lot number for the reagent and the positive and negative control cells. Enter the vial identifiers, if required. Enter “0” when not using panel cells.</w:t>
            </w:r>
          </w:p>
          <w:p w14:paraId="3FB6F740" w14:textId="77777777" w:rsidR="00B6515C" w:rsidRDefault="00B6515C" w:rsidP="00B6515C">
            <w:pPr>
              <w:pStyle w:val="TableTextNumbersContinued"/>
            </w:pPr>
          </w:p>
          <w:p w14:paraId="69382CB0" w14:textId="30ACF791" w:rsidR="00B6515C" w:rsidRDefault="00B6515C" w:rsidP="00B6515C">
            <w:pPr>
              <w:pStyle w:val="TableTextNumbersContinued"/>
            </w:pPr>
            <w:r>
              <w:t>Verify the reagent type and the positive and negative control cell lot numbers selected and vial identifiers entered, if required</w:t>
            </w:r>
            <w:r w:rsidR="001E3E16">
              <w:t xml:space="preserve"> (</w:t>
            </w:r>
            <w:r w:rsidR="001E3E16">
              <w:fldChar w:fldCharType="begin"/>
            </w:r>
            <w:r w:rsidR="001E3E16">
              <w:instrText xml:space="preserve"> REF _Ref126727469 \h </w:instrText>
            </w:r>
            <w:r w:rsidR="001E3E16">
              <w:fldChar w:fldCharType="separate"/>
            </w:r>
            <w:r w:rsidR="004353ED">
              <w:t xml:space="preserve">Figure </w:t>
            </w:r>
            <w:r w:rsidR="004353ED">
              <w:rPr>
                <w:noProof/>
              </w:rPr>
              <w:t>127</w:t>
            </w:r>
            <w:r w:rsidR="001E3E16">
              <w:fldChar w:fldCharType="end"/>
            </w:r>
            <w:r w:rsidR="001E3E16">
              <w:t>)</w:t>
            </w:r>
            <w:r>
              <w:t>.</w:t>
            </w:r>
          </w:p>
        </w:tc>
        <w:tc>
          <w:tcPr>
            <w:tcW w:w="6120" w:type="dxa"/>
          </w:tcPr>
          <w:p w14:paraId="2B173EFF" w14:textId="77777777" w:rsidR="002A21AE" w:rsidRDefault="002A21AE">
            <w:pPr>
              <w:pStyle w:val="TableTextBullet"/>
            </w:pPr>
            <w:r>
              <w:t xml:space="preserve">Displays the lot number information, including the vial identifier. </w:t>
            </w:r>
          </w:p>
          <w:p w14:paraId="35D8750F" w14:textId="77777777" w:rsidR="002A21AE" w:rsidRDefault="002A21AE">
            <w:pPr>
              <w:pStyle w:val="TableText"/>
            </w:pPr>
          </w:p>
          <w:p w14:paraId="4C0F91AC" w14:textId="080633D8" w:rsidR="002A21AE" w:rsidRDefault="002A21AE">
            <w:pPr>
              <w:pStyle w:val="TableText"/>
              <w:rPr>
                <w:b/>
                <w:bCs/>
                <w:szCs w:val="18"/>
              </w:rPr>
            </w:pPr>
            <w:r>
              <w:rPr>
                <w:b/>
                <w:bCs/>
                <w:szCs w:val="18"/>
              </w:rPr>
              <w:t>NOTES</w:t>
            </w:r>
          </w:p>
          <w:p w14:paraId="0C54496E" w14:textId="77777777" w:rsidR="002A21AE" w:rsidRDefault="002A21AE">
            <w:pPr>
              <w:pStyle w:val="NotesText"/>
            </w:pPr>
          </w:p>
          <w:p w14:paraId="1891C18D" w14:textId="77777777" w:rsidR="002A21AE" w:rsidRDefault="002A21AE">
            <w:pPr>
              <w:pStyle w:val="NotesText"/>
            </w:pPr>
            <w:r>
              <w:rPr>
                <w:rFonts w:cs="Arial"/>
                <w:vanish/>
              </w:rPr>
              <w:t xml:space="preserve">BR_41.25 </w:t>
            </w:r>
            <w:r>
              <w:t xml:space="preserve">Selectable reagent lot numbers for positive and negative control cells are: </w:t>
            </w:r>
          </w:p>
          <w:p w14:paraId="2ABB07BB" w14:textId="77777777" w:rsidR="002A21AE" w:rsidRDefault="002A21AE">
            <w:pPr>
              <w:pStyle w:val="NotesTextBullet"/>
              <w:tabs>
                <w:tab w:val="clear" w:pos="1008"/>
                <w:tab w:val="num" w:pos="1260"/>
              </w:tabs>
              <w:ind w:left="1188"/>
            </w:pPr>
            <w:r>
              <w:t>Reverse ABO Typing Cells</w:t>
            </w:r>
          </w:p>
          <w:p w14:paraId="64244BAD" w14:textId="77777777" w:rsidR="002A21AE" w:rsidRDefault="002A21AE">
            <w:pPr>
              <w:pStyle w:val="NotesTextBullet"/>
              <w:tabs>
                <w:tab w:val="clear" w:pos="1008"/>
                <w:tab w:val="num" w:pos="1260"/>
              </w:tabs>
              <w:ind w:left="1188"/>
            </w:pPr>
            <w:r>
              <w:t>A2 cell</w:t>
            </w:r>
          </w:p>
          <w:p w14:paraId="5F781545" w14:textId="77777777" w:rsidR="002A21AE" w:rsidRDefault="002A21AE">
            <w:pPr>
              <w:pStyle w:val="NotesTextBullet"/>
              <w:tabs>
                <w:tab w:val="clear" w:pos="1008"/>
                <w:tab w:val="num" w:pos="1260"/>
              </w:tabs>
              <w:ind w:left="1188"/>
            </w:pPr>
            <w:r>
              <w:t xml:space="preserve">Screening Cells </w:t>
            </w:r>
          </w:p>
          <w:p w14:paraId="1CD4E7B6" w14:textId="77777777" w:rsidR="002A21AE" w:rsidRDefault="002A21AE">
            <w:pPr>
              <w:pStyle w:val="NotesTextBullet"/>
              <w:tabs>
                <w:tab w:val="clear" w:pos="1008"/>
                <w:tab w:val="num" w:pos="1260"/>
              </w:tabs>
              <w:ind w:left="1188"/>
            </w:pPr>
            <w:r>
              <w:t>Check Cells</w:t>
            </w:r>
          </w:p>
          <w:p w14:paraId="2EC9FD52" w14:textId="77777777" w:rsidR="002A21AE" w:rsidRDefault="002A21AE">
            <w:pPr>
              <w:pStyle w:val="NotesTextBullet"/>
              <w:tabs>
                <w:tab w:val="clear" w:pos="1008"/>
                <w:tab w:val="num" w:pos="1260"/>
              </w:tabs>
              <w:ind w:left="1188"/>
            </w:pPr>
            <w:r>
              <w:t>Panel</w:t>
            </w:r>
          </w:p>
          <w:p w14:paraId="16080237" w14:textId="77777777" w:rsidR="002A21AE" w:rsidRDefault="002A21AE">
            <w:pPr>
              <w:pStyle w:val="NotesTextBullet"/>
              <w:tabs>
                <w:tab w:val="clear" w:pos="1008"/>
                <w:tab w:val="num" w:pos="1260"/>
              </w:tabs>
              <w:ind w:left="1188"/>
            </w:pPr>
            <w:r>
              <w:t>Other (set)</w:t>
            </w:r>
          </w:p>
          <w:p w14:paraId="4C49C023" w14:textId="77777777" w:rsidR="002A21AE" w:rsidRDefault="002A21AE">
            <w:pPr>
              <w:pStyle w:val="TableText"/>
            </w:pPr>
          </w:p>
          <w:p w14:paraId="445CD57B" w14:textId="77777777" w:rsidR="002A21AE" w:rsidRDefault="00DD6197">
            <w:pPr>
              <w:pStyle w:val="NotesText"/>
            </w:pPr>
            <w:r>
              <w:t xml:space="preserve">The vial identifier, comprising one or two digits, identifies the vial contained in a kit of reagent red blood cells. A vial contains antigen positive or antigen negative blood cells to be used in quality control of the antisera. </w:t>
            </w:r>
          </w:p>
        </w:tc>
      </w:tr>
      <w:tr w:rsidR="002A21AE" w14:paraId="575DA5D3" w14:textId="77777777" w:rsidTr="00B4381D">
        <w:trPr>
          <w:cantSplit/>
        </w:trPr>
        <w:tc>
          <w:tcPr>
            <w:tcW w:w="3240" w:type="dxa"/>
          </w:tcPr>
          <w:p w14:paraId="3D4674D9" w14:textId="77777777" w:rsidR="002A21AE" w:rsidRDefault="002A21AE">
            <w:pPr>
              <w:pStyle w:val="TableTextNumbers"/>
            </w:pPr>
            <w:r>
              <w:lastRenderedPageBreak/>
              <w:t xml:space="preserve">Respond to warnings and continue with antigen typing. </w:t>
            </w:r>
          </w:p>
        </w:tc>
        <w:tc>
          <w:tcPr>
            <w:tcW w:w="6120" w:type="dxa"/>
          </w:tcPr>
          <w:p w14:paraId="52FD8E0F" w14:textId="77777777" w:rsidR="002A21AE" w:rsidRDefault="002A21AE">
            <w:pPr>
              <w:pStyle w:val="TableTextBullet"/>
            </w:pPr>
            <w:r>
              <w:t xml:space="preserve">Displays a </w:t>
            </w:r>
            <w:r w:rsidR="00917E9F">
              <w:t>DDE</w:t>
            </w:r>
            <w:r>
              <w:t xml:space="preserve"> grid for entering serologic reaction results for antigen typing testing. This grid may be partially populated with results from a previous session.</w:t>
            </w:r>
          </w:p>
          <w:p w14:paraId="643FBE7F" w14:textId="77777777" w:rsidR="002A21AE" w:rsidRDefault="002A21AE">
            <w:pPr>
              <w:pStyle w:val="TableText"/>
            </w:pPr>
          </w:p>
          <w:p w14:paraId="7C7C014C" w14:textId="70FF8C81" w:rsidR="002A21AE" w:rsidRDefault="002A21AE">
            <w:pPr>
              <w:pStyle w:val="TableText"/>
              <w:rPr>
                <w:b/>
                <w:bCs/>
                <w:szCs w:val="18"/>
              </w:rPr>
            </w:pPr>
            <w:r>
              <w:rPr>
                <w:b/>
                <w:bCs/>
                <w:szCs w:val="18"/>
              </w:rPr>
              <w:t>NOTES</w:t>
            </w:r>
          </w:p>
          <w:p w14:paraId="3C4AC7C8" w14:textId="77777777" w:rsidR="002A21AE" w:rsidRDefault="002A21AE">
            <w:pPr>
              <w:pStyle w:val="NotesText"/>
            </w:pPr>
          </w:p>
          <w:p w14:paraId="1BDF1136" w14:textId="77777777" w:rsidR="002A21AE" w:rsidRDefault="002A21AE">
            <w:pPr>
              <w:pStyle w:val="NotesText"/>
            </w:pPr>
            <w:r>
              <w:rPr>
                <w:rFonts w:cs="Arial"/>
                <w:vanish/>
              </w:rPr>
              <w:t xml:space="preserve">BR_41.07 </w:t>
            </w:r>
            <w:r>
              <w:t>VBECS organizes the worklist for the grids by antiserum types.</w:t>
            </w:r>
          </w:p>
          <w:p w14:paraId="57A3F804" w14:textId="77777777" w:rsidR="002A21AE" w:rsidRDefault="002A21AE">
            <w:pPr>
              <w:pStyle w:val="NotesText"/>
            </w:pPr>
          </w:p>
          <w:p w14:paraId="486EA285" w14:textId="77777777" w:rsidR="002A21AE" w:rsidRDefault="002A21AE">
            <w:pPr>
              <w:pStyle w:val="NotesText"/>
            </w:pPr>
            <w:r>
              <w:rPr>
                <w:vanish/>
                <w:szCs w:val="18"/>
              </w:rPr>
              <w:t xml:space="preserve">BR_98.06, </w:t>
            </w:r>
            <w:r>
              <w:rPr>
                <w:rFonts w:cs="Arial"/>
                <w:vanish/>
              </w:rPr>
              <w:t xml:space="preserve">BR_41.17 </w:t>
            </w:r>
            <w:r>
              <w:t>The row title of the data grid specifies the positive and negative control cells; the column title specifies the phases of reactivity that may be used in the test. VBECS fills in this information; the user may not edit it.</w:t>
            </w:r>
          </w:p>
        </w:tc>
      </w:tr>
      <w:tr w:rsidR="002A21AE" w14:paraId="67C7C91D" w14:textId="77777777">
        <w:tc>
          <w:tcPr>
            <w:tcW w:w="3240" w:type="dxa"/>
          </w:tcPr>
          <w:p w14:paraId="3EAF83DE" w14:textId="77777777" w:rsidR="002A21AE" w:rsidRDefault="002A21AE">
            <w:pPr>
              <w:pStyle w:val="TableTextNumbers"/>
            </w:pPr>
            <w:r>
              <w:t>Select one control cell or patient to begin entering serologic reactions and interpretations.</w:t>
            </w:r>
          </w:p>
        </w:tc>
        <w:tc>
          <w:tcPr>
            <w:tcW w:w="6120" w:type="dxa"/>
          </w:tcPr>
          <w:p w14:paraId="6E62AAEC" w14:textId="77777777" w:rsidR="002A21AE" w:rsidRDefault="002A21AE">
            <w:pPr>
              <w:pStyle w:val="TableTextBullet"/>
            </w:pPr>
            <w:r>
              <w:t>Allows the user to select a patient or control cell and enter test results.</w:t>
            </w:r>
          </w:p>
          <w:p w14:paraId="5A440051" w14:textId="77777777" w:rsidR="002A21AE" w:rsidRDefault="002A21AE">
            <w:pPr>
              <w:pStyle w:val="TableText"/>
            </w:pPr>
          </w:p>
          <w:p w14:paraId="7DCD0282" w14:textId="16BE230F" w:rsidR="002A21AE" w:rsidRDefault="002A21AE">
            <w:pPr>
              <w:pStyle w:val="TableText"/>
              <w:rPr>
                <w:b/>
                <w:bCs/>
                <w:szCs w:val="18"/>
              </w:rPr>
            </w:pPr>
            <w:r>
              <w:rPr>
                <w:b/>
                <w:bCs/>
                <w:szCs w:val="18"/>
              </w:rPr>
              <w:t>NOTES</w:t>
            </w:r>
          </w:p>
          <w:p w14:paraId="3CE62253" w14:textId="77777777" w:rsidR="002A21AE" w:rsidRDefault="002A21AE">
            <w:pPr>
              <w:pStyle w:val="NotesText"/>
            </w:pPr>
          </w:p>
          <w:p w14:paraId="63BF8F9C" w14:textId="77777777" w:rsidR="002A21AE" w:rsidRDefault="002A21AE">
            <w:pPr>
              <w:pStyle w:val="NotesText"/>
            </w:pPr>
            <w:r>
              <w:rPr>
                <w:rFonts w:cs="Arial"/>
                <w:vanish/>
              </w:rPr>
              <w:t xml:space="preserve">BR_41.09 </w:t>
            </w:r>
            <w:r>
              <w:t xml:space="preserve">Valid observed test results include: </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20"/>
              <w:gridCol w:w="1260"/>
            </w:tblGrid>
            <w:tr w:rsidR="002A21AE" w14:paraId="124EA869" w14:textId="77777777">
              <w:trPr>
                <w:tblHeader/>
              </w:trPr>
              <w:tc>
                <w:tcPr>
                  <w:tcW w:w="720" w:type="dxa"/>
                  <w:shd w:val="clear" w:color="auto" w:fill="B3B3B3"/>
                </w:tcPr>
                <w:p w14:paraId="46F53C1F" w14:textId="77777777" w:rsidR="002A21AE" w:rsidRDefault="002A21AE">
                  <w:pPr>
                    <w:pStyle w:val="TableText"/>
                    <w:jc w:val="center"/>
                    <w:rPr>
                      <w:b/>
                    </w:rPr>
                  </w:pPr>
                  <w:r>
                    <w:rPr>
                      <w:b/>
                    </w:rPr>
                    <w:t>Entry</w:t>
                  </w:r>
                </w:p>
              </w:tc>
              <w:tc>
                <w:tcPr>
                  <w:tcW w:w="3780" w:type="dxa"/>
                  <w:gridSpan w:val="2"/>
                  <w:shd w:val="clear" w:color="auto" w:fill="B3B3B3"/>
                </w:tcPr>
                <w:p w14:paraId="4910530B" w14:textId="77777777" w:rsidR="002A21AE" w:rsidRDefault="002A21AE">
                  <w:pPr>
                    <w:pStyle w:val="TableText"/>
                    <w:jc w:val="center"/>
                    <w:rPr>
                      <w:b/>
                    </w:rPr>
                  </w:pPr>
                  <w:r>
                    <w:rPr>
                      <w:b/>
                    </w:rPr>
                    <w:t>VBECS Translation</w:t>
                  </w:r>
                </w:p>
              </w:tc>
            </w:tr>
            <w:tr w:rsidR="002A21AE" w14:paraId="18A207FA" w14:textId="77777777">
              <w:tc>
                <w:tcPr>
                  <w:tcW w:w="720" w:type="dxa"/>
                </w:tcPr>
                <w:p w14:paraId="6E9F8EB2" w14:textId="77777777" w:rsidR="002A21AE" w:rsidRDefault="002A21AE">
                  <w:pPr>
                    <w:pStyle w:val="TableText"/>
                    <w:jc w:val="center"/>
                  </w:pPr>
                  <w:r>
                    <w:t>1</w:t>
                  </w:r>
                </w:p>
              </w:tc>
              <w:tc>
                <w:tcPr>
                  <w:tcW w:w="2520" w:type="dxa"/>
                </w:tcPr>
                <w:p w14:paraId="7A323899" w14:textId="77777777" w:rsidR="002A21AE" w:rsidRDefault="002A21AE">
                  <w:pPr>
                    <w:pStyle w:val="TableText"/>
                  </w:pPr>
                  <w:r>
                    <w:t>1+</w:t>
                  </w:r>
                </w:p>
              </w:tc>
              <w:tc>
                <w:tcPr>
                  <w:tcW w:w="1260" w:type="dxa"/>
                </w:tcPr>
                <w:p w14:paraId="73B2422F" w14:textId="77777777" w:rsidR="002A21AE" w:rsidRDefault="002A21AE">
                  <w:pPr>
                    <w:pStyle w:val="TableText"/>
                  </w:pPr>
                  <w:r>
                    <w:t>Positive</w:t>
                  </w:r>
                </w:p>
              </w:tc>
            </w:tr>
            <w:tr w:rsidR="002A21AE" w14:paraId="5304C826" w14:textId="77777777">
              <w:tc>
                <w:tcPr>
                  <w:tcW w:w="720" w:type="dxa"/>
                </w:tcPr>
                <w:p w14:paraId="1B18C1E3" w14:textId="77777777" w:rsidR="002A21AE" w:rsidRDefault="002A21AE">
                  <w:pPr>
                    <w:pStyle w:val="TableText"/>
                    <w:jc w:val="center"/>
                  </w:pPr>
                  <w:r>
                    <w:t>2</w:t>
                  </w:r>
                </w:p>
              </w:tc>
              <w:tc>
                <w:tcPr>
                  <w:tcW w:w="2520" w:type="dxa"/>
                </w:tcPr>
                <w:p w14:paraId="1FD2E08F" w14:textId="77777777" w:rsidR="002A21AE" w:rsidRDefault="002A21AE">
                  <w:pPr>
                    <w:pStyle w:val="TableText"/>
                  </w:pPr>
                  <w:r>
                    <w:t>2+</w:t>
                  </w:r>
                </w:p>
              </w:tc>
              <w:tc>
                <w:tcPr>
                  <w:tcW w:w="1260" w:type="dxa"/>
                </w:tcPr>
                <w:p w14:paraId="77FD7F2D" w14:textId="77777777" w:rsidR="002A21AE" w:rsidRDefault="002A21AE">
                  <w:pPr>
                    <w:pStyle w:val="TableText"/>
                  </w:pPr>
                  <w:r>
                    <w:t>Positive</w:t>
                  </w:r>
                </w:p>
              </w:tc>
            </w:tr>
            <w:tr w:rsidR="002A21AE" w14:paraId="4738BB76" w14:textId="77777777">
              <w:tc>
                <w:tcPr>
                  <w:tcW w:w="720" w:type="dxa"/>
                </w:tcPr>
                <w:p w14:paraId="797F3BBC" w14:textId="77777777" w:rsidR="002A21AE" w:rsidRDefault="002A21AE">
                  <w:pPr>
                    <w:pStyle w:val="TableText"/>
                    <w:jc w:val="center"/>
                  </w:pPr>
                  <w:r>
                    <w:t>3</w:t>
                  </w:r>
                </w:p>
              </w:tc>
              <w:tc>
                <w:tcPr>
                  <w:tcW w:w="2520" w:type="dxa"/>
                </w:tcPr>
                <w:p w14:paraId="212384A6" w14:textId="77777777" w:rsidR="002A21AE" w:rsidRDefault="002A21AE">
                  <w:pPr>
                    <w:pStyle w:val="TableText"/>
                  </w:pPr>
                  <w:r>
                    <w:t>3+</w:t>
                  </w:r>
                </w:p>
              </w:tc>
              <w:tc>
                <w:tcPr>
                  <w:tcW w:w="1260" w:type="dxa"/>
                </w:tcPr>
                <w:p w14:paraId="6AA496C4" w14:textId="77777777" w:rsidR="002A21AE" w:rsidRDefault="002A21AE">
                  <w:pPr>
                    <w:pStyle w:val="TableText"/>
                  </w:pPr>
                  <w:r>
                    <w:t>Positive</w:t>
                  </w:r>
                </w:p>
              </w:tc>
            </w:tr>
            <w:tr w:rsidR="002A21AE" w14:paraId="0D38CE74" w14:textId="77777777">
              <w:tc>
                <w:tcPr>
                  <w:tcW w:w="720" w:type="dxa"/>
                </w:tcPr>
                <w:p w14:paraId="667C8B09" w14:textId="77777777" w:rsidR="002A21AE" w:rsidRDefault="002A21AE">
                  <w:pPr>
                    <w:pStyle w:val="TableText"/>
                    <w:jc w:val="center"/>
                  </w:pPr>
                  <w:r>
                    <w:t>4</w:t>
                  </w:r>
                </w:p>
              </w:tc>
              <w:tc>
                <w:tcPr>
                  <w:tcW w:w="2520" w:type="dxa"/>
                </w:tcPr>
                <w:p w14:paraId="52EECB0F" w14:textId="77777777" w:rsidR="002A21AE" w:rsidRDefault="002A21AE">
                  <w:pPr>
                    <w:pStyle w:val="TableText"/>
                  </w:pPr>
                  <w:r>
                    <w:t>4+</w:t>
                  </w:r>
                </w:p>
              </w:tc>
              <w:tc>
                <w:tcPr>
                  <w:tcW w:w="1260" w:type="dxa"/>
                </w:tcPr>
                <w:p w14:paraId="2DF0E2C8" w14:textId="77777777" w:rsidR="002A21AE" w:rsidRDefault="002A21AE">
                  <w:pPr>
                    <w:pStyle w:val="TableText"/>
                  </w:pPr>
                  <w:r>
                    <w:t>Positive</w:t>
                  </w:r>
                </w:p>
              </w:tc>
            </w:tr>
            <w:tr w:rsidR="006D384A" w14:paraId="2863207E" w14:textId="77777777">
              <w:tc>
                <w:tcPr>
                  <w:tcW w:w="720" w:type="dxa"/>
                </w:tcPr>
                <w:p w14:paraId="5754E9AB" w14:textId="77777777" w:rsidR="006D384A" w:rsidRDefault="006D384A">
                  <w:pPr>
                    <w:pStyle w:val="TableText"/>
                    <w:jc w:val="center"/>
                  </w:pPr>
                  <w:r>
                    <w:t>W</w:t>
                  </w:r>
                </w:p>
              </w:tc>
              <w:tc>
                <w:tcPr>
                  <w:tcW w:w="2520" w:type="dxa"/>
                </w:tcPr>
                <w:p w14:paraId="6F95216E" w14:textId="77777777" w:rsidR="006D384A" w:rsidRDefault="006D384A">
                  <w:pPr>
                    <w:pStyle w:val="TableText"/>
                  </w:pPr>
                  <w:r>
                    <w:t>Weak</w:t>
                  </w:r>
                </w:p>
              </w:tc>
              <w:tc>
                <w:tcPr>
                  <w:tcW w:w="1260" w:type="dxa"/>
                </w:tcPr>
                <w:p w14:paraId="473070C5" w14:textId="77777777" w:rsidR="006D384A" w:rsidRDefault="006D384A" w:rsidP="0079413B">
                  <w:pPr>
                    <w:pStyle w:val="TableText"/>
                  </w:pPr>
                  <w:r>
                    <w:t>Positive</w:t>
                  </w:r>
                </w:p>
              </w:tc>
            </w:tr>
            <w:tr w:rsidR="006D384A" w14:paraId="3CA96AAE" w14:textId="77777777">
              <w:tc>
                <w:tcPr>
                  <w:tcW w:w="720" w:type="dxa"/>
                </w:tcPr>
                <w:p w14:paraId="7DE23CF7" w14:textId="77777777" w:rsidR="006D384A" w:rsidRDefault="006D384A">
                  <w:pPr>
                    <w:pStyle w:val="TableText"/>
                    <w:jc w:val="center"/>
                  </w:pPr>
                  <w:r>
                    <w:t>F</w:t>
                  </w:r>
                </w:p>
              </w:tc>
              <w:tc>
                <w:tcPr>
                  <w:tcW w:w="2520" w:type="dxa"/>
                </w:tcPr>
                <w:p w14:paraId="6B49BC99" w14:textId="77777777" w:rsidR="006D384A" w:rsidRDefault="006D384A">
                  <w:pPr>
                    <w:pStyle w:val="TableText"/>
                  </w:pPr>
                  <w:r>
                    <w:t>Mixed Field</w:t>
                  </w:r>
                </w:p>
              </w:tc>
              <w:tc>
                <w:tcPr>
                  <w:tcW w:w="1260" w:type="dxa"/>
                </w:tcPr>
                <w:p w14:paraId="06D536F1" w14:textId="77777777" w:rsidR="006D384A" w:rsidRDefault="006D384A" w:rsidP="0079413B">
                  <w:pPr>
                    <w:pStyle w:val="TableText"/>
                  </w:pPr>
                  <w:r>
                    <w:t>Positive</w:t>
                  </w:r>
                </w:p>
              </w:tc>
            </w:tr>
            <w:tr w:rsidR="006D384A" w14:paraId="5E42F902" w14:textId="77777777">
              <w:tc>
                <w:tcPr>
                  <w:tcW w:w="720" w:type="dxa"/>
                </w:tcPr>
                <w:p w14:paraId="4A6E78B7" w14:textId="77777777" w:rsidR="006D384A" w:rsidRDefault="006D384A">
                  <w:pPr>
                    <w:pStyle w:val="TableText"/>
                    <w:jc w:val="center"/>
                  </w:pPr>
                  <w:r>
                    <w:t>M</w:t>
                  </w:r>
                </w:p>
              </w:tc>
              <w:tc>
                <w:tcPr>
                  <w:tcW w:w="2520" w:type="dxa"/>
                </w:tcPr>
                <w:p w14:paraId="0B19E6B7" w14:textId="77777777" w:rsidR="006D384A" w:rsidRDefault="006D384A">
                  <w:pPr>
                    <w:pStyle w:val="TableText"/>
                  </w:pPr>
                  <w:r>
                    <w:t>Microscopic</w:t>
                  </w:r>
                </w:p>
              </w:tc>
              <w:tc>
                <w:tcPr>
                  <w:tcW w:w="1260" w:type="dxa"/>
                </w:tcPr>
                <w:p w14:paraId="7BB4B2F9" w14:textId="77777777" w:rsidR="006D384A" w:rsidRDefault="006D384A" w:rsidP="0079413B">
                  <w:pPr>
                    <w:pStyle w:val="TableText"/>
                  </w:pPr>
                  <w:r>
                    <w:t>Positive</w:t>
                  </w:r>
                </w:p>
              </w:tc>
            </w:tr>
            <w:tr w:rsidR="002A21AE" w14:paraId="7AF6BFC1" w14:textId="77777777">
              <w:tc>
                <w:tcPr>
                  <w:tcW w:w="720" w:type="dxa"/>
                </w:tcPr>
                <w:p w14:paraId="4A57B9FC" w14:textId="77777777" w:rsidR="002A21AE" w:rsidRDefault="002A21AE">
                  <w:pPr>
                    <w:pStyle w:val="TableText"/>
                    <w:jc w:val="center"/>
                  </w:pPr>
                  <w:r>
                    <w:t>X</w:t>
                  </w:r>
                </w:p>
              </w:tc>
              <w:tc>
                <w:tcPr>
                  <w:tcW w:w="2520" w:type="dxa"/>
                </w:tcPr>
                <w:p w14:paraId="2286E6D8" w14:textId="77777777" w:rsidR="002A21AE" w:rsidRDefault="002A21AE">
                  <w:pPr>
                    <w:pStyle w:val="TableText"/>
                  </w:pPr>
                  <w:r>
                    <w:t>Not Tested</w:t>
                  </w:r>
                  <w:r w:rsidR="002F7FF1">
                    <w:t xml:space="preserve"> X (Not Tested) (does not indicate a disabled cell)</w:t>
                  </w:r>
                </w:p>
              </w:tc>
              <w:tc>
                <w:tcPr>
                  <w:tcW w:w="1260" w:type="dxa"/>
                </w:tcPr>
                <w:p w14:paraId="2C52AE55" w14:textId="77777777" w:rsidR="002A21AE" w:rsidRDefault="002A21AE">
                  <w:pPr>
                    <w:pStyle w:val="TableText"/>
                  </w:pPr>
                  <w:r>
                    <w:t>Not Tested</w:t>
                  </w:r>
                </w:p>
              </w:tc>
            </w:tr>
            <w:tr w:rsidR="002A21AE" w14:paraId="76C457F8" w14:textId="77777777">
              <w:tc>
                <w:tcPr>
                  <w:tcW w:w="720" w:type="dxa"/>
                </w:tcPr>
                <w:p w14:paraId="672736E3" w14:textId="77777777" w:rsidR="002A21AE" w:rsidRDefault="002A21AE">
                  <w:pPr>
                    <w:pStyle w:val="TableText"/>
                    <w:jc w:val="center"/>
                  </w:pPr>
                  <w:r>
                    <w:t>0</w:t>
                  </w:r>
                </w:p>
              </w:tc>
              <w:tc>
                <w:tcPr>
                  <w:tcW w:w="2520" w:type="dxa"/>
                </w:tcPr>
                <w:p w14:paraId="66719255" w14:textId="77777777" w:rsidR="002A21AE" w:rsidRDefault="002A21AE">
                  <w:pPr>
                    <w:pStyle w:val="TableText"/>
                  </w:pPr>
                  <w:r>
                    <w:t>No Agglutination</w:t>
                  </w:r>
                </w:p>
              </w:tc>
              <w:tc>
                <w:tcPr>
                  <w:tcW w:w="1260" w:type="dxa"/>
                </w:tcPr>
                <w:p w14:paraId="2E07A7FD" w14:textId="77777777" w:rsidR="002A21AE" w:rsidRDefault="002A21AE">
                  <w:pPr>
                    <w:pStyle w:val="TableText"/>
                  </w:pPr>
                  <w:r>
                    <w:t>Negative</w:t>
                  </w:r>
                </w:p>
              </w:tc>
            </w:tr>
            <w:tr w:rsidR="002A21AE" w14:paraId="54CF0D0E" w14:textId="77777777">
              <w:tc>
                <w:tcPr>
                  <w:tcW w:w="720" w:type="dxa"/>
                </w:tcPr>
                <w:p w14:paraId="656FB4BC" w14:textId="77777777" w:rsidR="002A21AE" w:rsidRDefault="002A21AE">
                  <w:pPr>
                    <w:pStyle w:val="TableText"/>
                    <w:jc w:val="center"/>
                  </w:pPr>
                  <w:r>
                    <w:t>R</w:t>
                  </w:r>
                </w:p>
              </w:tc>
              <w:tc>
                <w:tcPr>
                  <w:tcW w:w="2520" w:type="dxa"/>
                </w:tcPr>
                <w:p w14:paraId="09758304" w14:textId="77777777" w:rsidR="002A21AE" w:rsidRDefault="002A21AE">
                  <w:pPr>
                    <w:pStyle w:val="TableText"/>
                  </w:pPr>
                  <w:r>
                    <w:t>Rouleaux, No Agglutination</w:t>
                  </w:r>
                </w:p>
              </w:tc>
              <w:tc>
                <w:tcPr>
                  <w:tcW w:w="1260" w:type="dxa"/>
                </w:tcPr>
                <w:p w14:paraId="7C2FE772" w14:textId="77777777" w:rsidR="002A21AE" w:rsidRDefault="002A21AE">
                  <w:pPr>
                    <w:pStyle w:val="TableText"/>
                  </w:pPr>
                  <w:r>
                    <w:t>Negative</w:t>
                  </w:r>
                </w:p>
              </w:tc>
            </w:tr>
          </w:tbl>
          <w:p w14:paraId="2634A9AE" w14:textId="77777777" w:rsidR="002A21AE" w:rsidRDefault="002A21AE">
            <w:pPr>
              <w:pStyle w:val="NotesText"/>
            </w:pPr>
          </w:p>
          <w:p w14:paraId="4D5E38A6" w14:textId="77777777" w:rsidR="002A21AE" w:rsidRDefault="002A21AE">
            <w:pPr>
              <w:pStyle w:val="NotesText"/>
            </w:pPr>
            <w:r>
              <w:rPr>
                <w:rFonts w:cs="Arial"/>
                <w:vanish/>
              </w:rPr>
              <w:t>BR_41.19</w:t>
            </w:r>
            <w:r>
              <w:t>System rules establish row validation for the interpretation vs. reaction results pattern [for all user-indicated phase(s) of reactivity] for blood unit and quality control tests.</w:t>
            </w:r>
          </w:p>
          <w:p w14:paraId="32B01A3D" w14:textId="77777777" w:rsidR="002A21AE" w:rsidRDefault="002A21AE">
            <w:pPr>
              <w:pStyle w:val="NotesText"/>
            </w:pPr>
          </w:p>
          <w:p w14:paraId="28EB5926" w14:textId="77777777" w:rsidR="002A21AE" w:rsidRDefault="002A21AE">
            <w:pPr>
              <w:pStyle w:val="NotesText"/>
            </w:pPr>
            <w:r>
              <w:rPr>
                <w:rFonts w:cs="Arial"/>
                <w:vanish/>
              </w:rPr>
              <w:t xml:space="preserve">BR_41.13 </w:t>
            </w:r>
            <w:r>
              <w:t>When completing previously saved partially completed testing, the user may not change the antiserum lot number, manufacturer name, or expiration date. The user must invalidate the antiserum testing and start over.</w:t>
            </w:r>
          </w:p>
        </w:tc>
      </w:tr>
      <w:tr w:rsidR="002A21AE" w14:paraId="1E189CEB" w14:textId="77777777">
        <w:tc>
          <w:tcPr>
            <w:tcW w:w="3240" w:type="dxa"/>
          </w:tcPr>
          <w:p w14:paraId="767B5438" w14:textId="77777777" w:rsidR="002A21AE" w:rsidRDefault="002A21AE">
            <w:pPr>
              <w:pStyle w:val="TableTextNumbers"/>
            </w:pPr>
            <w:r>
              <w:t>Enter results for selected patients and control cells.</w:t>
            </w:r>
          </w:p>
        </w:tc>
        <w:tc>
          <w:tcPr>
            <w:tcW w:w="6120" w:type="dxa"/>
          </w:tcPr>
          <w:p w14:paraId="745ADDC1" w14:textId="77777777" w:rsidR="002A21AE" w:rsidRDefault="002A21AE">
            <w:pPr>
              <w:pStyle w:val="TableTextBullet"/>
            </w:pPr>
            <w:r>
              <w:t>Prompts the user to confirm that results were reviewed and are acceptable.</w:t>
            </w:r>
          </w:p>
          <w:p w14:paraId="5CFA273A" w14:textId="77777777" w:rsidR="002A21AE" w:rsidRDefault="002A21AE">
            <w:pPr>
              <w:pStyle w:val="TableText"/>
            </w:pPr>
          </w:p>
          <w:p w14:paraId="03BFCE7D" w14:textId="1753A309" w:rsidR="002A21AE" w:rsidRDefault="002A21AE">
            <w:pPr>
              <w:pStyle w:val="TableText"/>
              <w:rPr>
                <w:b/>
                <w:bCs/>
                <w:szCs w:val="18"/>
              </w:rPr>
            </w:pPr>
            <w:r>
              <w:rPr>
                <w:b/>
                <w:bCs/>
                <w:szCs w:val="18"/>
              </w:rPr>
              <w:t>NOTES</w:t>
            </w:r>
          </w:p>
          <w:p w14:paraId="706152E5" w14:textId="77777777" w:rsidR="002A21AE" w:rsidRDefault="002A21AE">
            <w:pPr>
              <w:pStyle w:val="NotesText"/>
            </w:pPr>
          </w:p>
          <w:p w14:paraId="60B611F3" w14:textId="77777777" w:rsidR="002A21AE" w:rsidRDefault="002A21AE">
            <w:pPr>
              <w:pStyle w:val="NotesText"/>
              <w:rPr>
                <w:rFonts w:eastAsia="Symbol"/>
              </w:rPr>
            </w:pPr>
            <w:r>
              <w:rPr>
                <w:rFonts w:cs="Arial"/>
                <w:vanish/>
              </w:rPr>
              <w:t>BR_98.01</w:t>
            </w:r>
            <w:r w:rsidR="004F5F28" w:rsidRPr="00323744">
              <w:rPr>
                <w:rStyle w:val="BullhornChar"/>
              </w:rPr>
              <w:t></w:t>
            </w:r>
            <w:r w:rsidR="004F5F28">
              <w:rPr>
                <w:rFonts w:ascii="Webdings" w:hAnsi="Webdings"/>
              </w:rPr>
              <w:t></w:t>
            </w:r>
            <w:r>
              <w:rPr>
                <w:rFonts w:eastAsia="Symbol"/>
              </w:rPr>
              <w:t xml:space="preserve">VBECS searches the current order and the patient’s historical record for previously entered red cell antigen results for each specificity within the user’s division and compares the results to prevent a discrepancy with previous test entries. When a discrepancy is found, VBECS </w:t>
            </w:r>
            <w:r>
              <w:t>emits an audible alert, notifies the user that t</w:t>
            </w:r>
            <w:r>
              <w:rPr>
                <w:rFonts w:eastAsia="Symbol"/>
              </w:rPr>
              <w:t>he current specimen and a previously entered antigen typing on this patient do not match, and asks whether the user wishes to save the current result.</w:t>
            </w:r>
          </w:p>
          <w:p w14:paraId="43DB93BC" w14:textId="77777777" w:rsidR="002A21AE" w:rsidRDefault="002A21AE">
            <w:pPr>
              <w:pStyle w:val="NotesText"/>
              <w:rPr>
                <w:rFonts w:eastAsia="Symbol"/>
                <w:b/>
              </w:rPr>
            </w:pPr>
          </w:p>
          <w:p w14:paraId="59BF61D2" w14:textId="77777777" w:rsidR="002A21AE" w:rsidRPr="00BF10B2" w:rsidRDefault="002A21AE">
            <w:pPr>
              <w:pStyle w:val="NotesText"/>
            </w:pPr>
            <w:r w:rsidRPr="00BF10B2">
              <w:rPr>
                <w:rFonts w:eastAsia="Symbol"/>
                <w:b/>
              </w:rPr>
              <w:lastRenderedPageBreak/>
              <w:t>No</w:t>
            </w:r>
            <w:r w:rsidRPr="00BF10B2">
              <w:rPr>
                <w:rFonts w:eastAsia="Symbol"/>
              </w:rPr>
              <w:t xml:space="preserve"> closes the form and returns to the grid. </w:t>
            </w:r>
            <w:r w:rsidRPr="00BF10B2">
              <w:rPr>
                <w:rFonts w:eastAsia="Symbol"/>
                <w:b/>
              </w:rPr>
              <w:t>Yes</w:t>
            </w:r>
            <w:r w:rsidRPr="00BF10B2">
              <w:rPr>
                <w:rFonts w:eastAsia="Symbol"/>
              </w:rPr>
              <w:t xml:space="preserve"> allows the user to update the conflicting results in the database and/or enter a comment explaining why he is accepting this result. VBECS captures details for inclusion in an Exception Report (exception type: discrepant patient antigen typing).</w:t>
            </w:r>
          </w:p>
        </w:tc>
      </w:tr>
      <w:tr w:rsidR="002A21AE" w14:paraId="5BD0DAEC" w14:textId="77777777">
        <w:tc>
          <w:tcPr>
            <w:tcW w:w="3240" w:type="dxa"/>
          </w:tcPr>
          <w:p w14:paraId="31489EDE" w14:textId="77777777" w:rsidR="002A21AE" w:rsidRDefault="002A21AE">
            <w:pPr>
              <w:pStyle w:val="TableTextNumbers"/>
            </w:pPr>
            <w:r>
              <w:lastRenderedPageBreak/>
              <w:t>Repeat Steps 5–9 for each antiserum type.</w:t>
            </w:r>
          </w:p>
        </w:tc>
        <w:tc>
          <w:tcPr>
            <w:tcW w:w="6120" w:type="dxa"/>
          </w:tcPr>
          <w:p w14:paraId="4A0366AA" w14:textId="77777777" w:rsidR="002A21AE" w:rsidRDefault="002A21AE">
            <w:pPr>
              <w:pStyle w:val="TableTextBullet"/>
            </w:pPr>
            <w:r>
              <w:t>Allows the user to save.</w:t>
            </w:r>
          </w:p>
          <w:p w14:paraId="7F86748D" w14:textId="77777777" w:rsidR="002A21AE" w:rsidRDefault="002A21AE">
            <w:pPr>
              <w:pStyle w:val="TableText"/>
            </w:pPr>
          </w:p>
          <w:p w14:paraId="64323B88" w14:textId="7EA246AA" w:rsidR="002A21AE" w:rsidRDefault="002A21AE">
            <w:pPr>
              <w:pStyle w:val="TableText"/>
              <w:rPr>
                <w:b/>
                <w:bCs/>
                <w:szCs w:val="18"/>
              </w:rPr>
            </w:pPr>
            <w:r>
              <w:rPr>
                <w:b/>
                <w:bCs/>
                <w:szCs w:val="18"/>
              </w:rPr>
              <w:t>NOTES</w:t>
            </w:r>
          </w:p>
          <w:p w14:paraId="7622C96A" w14:textId="77777777" w:rsidR="002A21AE" w:rsidRDefault="002A21AE">
            <w:pPr>
              <w:pStyle w:val="NotesText"/>
            </w:pPr>
          </w:p>
          <w:p w14:paraId="2F95CEC3" w14:textId="77777777" w:rsidR="009256FE" w:rsidRDefault="009256FE" w:rsidP="009256FE">
            <w:pPr>
              <w:pStyle w:val="NotesText"/>
            </w:pPr>
            <w:r>
              <w:t>The positive and/or negative control cell test results on the date of testing must be a valid positive or negative.</w:t>
            </w:r>
          </w:p>
          <w:p w14:paraId="2129CE02" w14:textId="77777777" w:rsidR="002A21AE" w:rsidRDefault="002A21AE" w:rsidP="009256FE">
            <w:pPr>
              <w:pStyle w:val="NotesText"/>
              <w:ind w:left="0"/>
            </w:pPr>
          </w:p>
        </w:tc>
      </w:tr>
      <w:tr w:rsidR="002A21AE" w14:paraId="153DC765" w14:textId="77777777">
        <w:tc>
          <w:tcPr>
            <w:tcW w:w="3240" w:type="dxa"/>
          </w:tcPr>
          <w:p w14:paraId="766B7269" w14:textId="77777777" w:rsidR="002A21AE" w:rsidRDefault="002A21AE">
            <w:pPr>
              <w:pStyle w:val="TableTextNumbers"/>
            </w:pPr>
            <w:r>
              <w:t xml:space="preserve">Respond to warnings and click </w:t>
            </w:r>
            <w:r>
              <w:rPr>
                <w:b/>
              </w:rPr>
              <w:t>OK</w:t>
            </w:r>
            <w:r>
              <w:t xml:space="preserve"> to save the data.</w:t>
            </w:r>
          </w:p>
        </w:tc>
        <w:tc>
          <w:tcPr>
            <w:tcW w:w="6120" w:type="dxa"/>
          </w:tcPr>
          <w:p w14:paraId="13112ED1" w14:textId="77777777" w:rsidR="002A21AE" w:rsidRDefault="002A21AE">
            <w:pPr>
              <w:pStyle w:val="TableTextBullet"/>
            </w:pPr>
            <w:r>
              <w:t xml:space="preserve">Reconfirms that all appropriate test results are entered, repeats all data validation, and saves the data. </w:t>
            </w:r>
          </w:p>
        </w:tc>
      </w:tr>
      <w:tr w:rsidR="002A21AE" w14:paraId="54617D21" w14:textId="77777777">
        <w:tc>
          <w:tcPr>
            <w:tcW w:w="3240" w:type="dxa"/>
          </w:tcPr>
          <w:p w14:paraId="7E171B65" w14:textId="77777777" w:rsidR="002A21AE" w:rsidRDefault="002A21AE">
            <w:pPr>
              <w:pStyle w:val="TableTextNumbers"/>
            </w:pPr>
            <w:r>
              <w:t xml:space="preserve">Click </w:t>
            </w:r>
            <w:r>
              <w:rPr>
                <w:b/>
              </w:rPr>
              <w:t>OK</w:t>
            </w:r>
            <w:r>
              <w:t xml:space="preserve"> to 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85" w:author="Blalock, David (Leidos)" w:date="2020-06-15T14:09:00Z" w:original="0."/>
              </w:fldChar>
            </w:r>
          </w:p>
        </w:tc>
        <w:tc>
          <w:tcPr>
            <w:tcW w:w="6120" w:type="dxa"/>
          </w:tcPr>
          <w:p w14:paraId="5782EA40" w14:textId="77777777" w:rsidR="002A21AE" w:rsidRDefault="002A21AE">
            <w:pPr>
              <w:pStyle w:val="TableTextBullet"/>
            </w:pPr>
            <w:r>
              <w:t>Saves the data.</w:t>
            </w:r>
          </w:p>
        </w:tc>
      </w:tr>
    </w:tbl>
    <w:p w14:paraId="3B0A39B3" w14:textId="73770661" w:rsidR="002A21AE" w:rsidRDefault="00AA3667" w:rsidP="00AA3667">
      <w:pPr>
        <w:pStyle w:val="Caption"/>
      </w:pPr>
      <w:bookmarkStart w:id="586" w:name="_Ref12672719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126</w:t>
      </w:r>
      <w:r w:rsidR="004E20BD">
        <w:rPr>
          <w:noProof/>
        </w:rPr>
        <w:fldChar w:fldCharType="end"/>
      </w:r>
      <w:bookmarkEnd w:id="586"/>
      <w:r>
        <w:t>: Patient Testing Antigen Typing</w:t>
      </w:r>
      <w:r w:rsidR="001E3E16">
        <w:t xml:space="preserve"> (1)</w:t>
      </w:r>
    </w:p>
    <w:p w14:paraId="12545249" w14:textId="77777777" w:rsidR="00AA3667" w:rsidRPr="00AA3667" w:rsidRDefault="00057948" w:rsidP="00AA3667">
      <w:pPr>
        <w:pStyle w:val="BodyText"/>
      </w:pPr>
      <w:r>
        <w:rPr>
          <w:noProof/>
        </w:rPr>
        <w:drawing>
          <wp:inline distT="0" distB="0" distL="0" distR="0" wp14:anchorId="0C83A12E" wp14:editId="30CB1B6D">
            <wp:extent cx="5781675" cy="3546475"/>
            <wp:effectExtent l="0" t="0" r="9525" b="0"/>
            <wp:docPr id="241" name="Picture 241" descr="Fig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Figure 11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781675" cy="3546475"/>
                    </a:xfrm>
                    <a:prstGeom prst="rect">
                      <a:avLst/>
                    </a:prstGeom>
                    <a:noFill/>
                    <a:ln>
                      <a:noFill/>
                    </a:ln>
                  </pic:spPr>
                </pic:pic>
              </a:graphicData>
            </a:graphic>
          </wp:inline>
        </w:drawing>
      </w:r>
    </w:p>
    <w:p w14:paraId="47E56E38" w14:textId="77777777" w:rsidR="002A21AE" w:rsidRDefault="002A21AE">
      <w:pPr>
        <w:pStyle w:val="BodyText"/>
      </w:pPr>
    </w:p>
    <w:p w14:paraId="47C240EC" w14:textId="6C11A4B9" w:rsidR="001E3E16" w:rsidRDefault="001E3E16" w:rsidP="001E3E16">
      <w:pPr>
        <w:pStyle w:val="Caption"/>
      </w:pPr>
      <w:bookmarkStart w:id="587" w:name="_Ref12672746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127</w:t>
      </w:r>
      <w:r w:rsidR="004E20BD">
        <w:rPr>
          <w:noProof/>
        </w:rPr>
        <w:fldChar w:fldCharType="end"/>
      </w:r>
      <w:bookmarkEnd w:id="587"/>
      <w:r>
        <w:t>: Patient Testing Antigen Typing (2)</w:t>
      </w:r>
    </w:p>
    <w:p w14:paraId="02416AC4" w14:textId="77777777" w:rsidR="007810A1" w:rsidRDefault="00057948" w:rsidP="007810A1">
      <w:pPr>
        <w:pStyle w:val="BodyText"/>
      </w:pPr>
      <w:r>
        <w:rPr>
          <w:noProof/>
        </w:rPr>
        <w:drawing>
          <wp:inline distT="0" distB="0" distL="0" distR="0" wp14:anchorId="7AE7F157" wp14:editId="1D6595F7">
            <wp:extent cx="5939155" cy="4442460"/>
            <wp:effectExtent l="0" t="0" r="4445" b="0"/>
            <wp:docPr id="242" name="Picture 2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a:extLst>
                        <a:ext uri="{C183D7F6-B498-43B3-948B-1728B52AA6E4}">
                          <adec:decorative xmlns:adec="http://schemas.microsoft.com/office/drawing/2017/decorative" val="1"/>
                        </a:ext>
                      </a:extLst>
                    </pic:cNvPr>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939155" cy="4442460"/>
                    </a:xfrm>
                    <a:prstGeom prst="rect">
                      <a:avLst/>
                    </a:prstGeom>
                    <a:noFill/>
                    <a:ln>
                      <a:noFill/>
                    </a:ln>
                  </pic:spPr>
                </pic:pic>
              </a:graphicData>
            </a:graphic>
          </wp:inline>
        </w:drawing>
      </w:r>
    </w:p>
    <w:p w14:paraId="22A98A31" w14:textId="77777777" w:rsidR="002A21AE" w:rsidRDefault="002A21AE">
      <w:pPr>
        <w:pStyle w:val="Heading3"/>
      </w:pPr>
      <w:r>
        <w:br w:type="page"/>
      </w:r>
      <w:bookmarkStart w:id="588" w:name="_Toc47516761"/>
      <w:r>
        <w:lastRenderedPageBreak/>
        <w:t xml:space="preserve">Patient Testing: </w:t>
      </w:r>
      <w:r w:rsidR="00244FCD">
        <w:t>Enter Antibody Identification Results</w:t>
      </w:r>
      <w:bookmarkEnd w:id="583"/>
      <w:bookmarkEnd w:id="588"/>
      <w:r>
        <w:fldChar w:fldCharType="begin"/>
      </w:r>
      <w:r>
        <w:instrText xml:space="preserve"> XE </w:instrText>
      </w:r>
      <w:r w:rsidR="00FA7E65">
        <w:instrText>“</w:instrText>
      </w:r>
      <w:r>
        <w:instrText xml:space="preserve">Patient Testing\: </w:instrText>
      </w:r>
      <w:r w:rsidR="00244FCD">
        <w:instrText>Enter Antibody Identification Results</w:instrText>
      </w:r>
      <w:r w:rsidR="00FA7E65">
        <w:instrText>”</w:instrText>
      </w:r>
      <w:r>
        <w:instrText xml:space="preserve"> </w:instrText>
      </w:r>
      <w:r>
        <w:fldChar w:fldCharType="end"/>
      </w:r>
      <w:r>
        <w:t xml:space="preserve"> </w:t>
      </w:r>
      <w:r>
        <w:rPr>
          <w:rFonts w:ascii="Times New Roman" w:hAnsi="Times New Roman" w:cs="Times New Roman"/>
          <w:b w:val="0"/>
          <w:vanish/>
          <w:sz w:val="22"/>
        </w:rPr>
        <w:t>UC_57</w:t>
      </w:r>
    </w:p>
    <w:p w14:paraId="5D273AFD" w14:textId="77777777" w:rsidR="002A21AE" w:rsidRDefault="002A21AE" w:rsidP="00FA7E65">
      <w:pPr>
        <w:pStyle w:val="BodyText"/>
      </w:pPr>
      <w:r>
        <w:t>The user records results of reflex tests needed to complete a patient blood bank antibody workup.</w:t>
      </w:r>
    </w:p>
    <w:p w14:paraId="450EEDCD" w14:textId="77777777" w:rsidR="002A21AE" w:rsidRDefault="002A21AE">
      <w:pPr>
        <w:pStyle w:val="Heading4"/>
      </w:pPr>
      <w:r>
        <w:t>Assumptions</w:t>
      </w:r>
    </w:p>
    <w:p w14:paraId="68C5AEE8" w14:textId="77777777" w:rsidR="002A21AE" w:rsidRDefault="002A21AE">
      <w:pPr>
        <w:pStyle w:val="ListBullet"/>
      </w:pPr>
      <w:r>
        <w:t>An order for an antibody identification (ABID) was placed and is opened in the Pending Task List (PTL).</w:t>
      </w:r>
    </w:p>
    <w:p w14:paraId="02D3E788" w14:textId="77777777" w:rsidR="002A21AE" w:rsidRDefault="002A21AE">
      <w:pPr>
        <w:pStyle w:val="Heading4"/>
      </w:pPr>
      <w:r>
        <w:t>Outcome</w:t>
      </w:r>
    </w:p>
    <w:p w14:paraId="1665F971" w14:textId="77777777" w:rsidR="002A21AE" w:rsidRDefault="002A21AE">
      <w:pPr>
        <w:pStyle w:val="ListBullet"/>
      </w:pPr>
      <w:r>
        <w:t>VBECS displays the ABID in the patient’s record, which the user may review by clicking an icon in the Patient Information Toolbar.</w:t>
      </w:r>
    </w:p>
    <w:p w14:paraId="611F1DE5" w14:textId="77777777" w:rsidR="002A21AE" w:rsidRDefault="002A21AE">
      <w:pPr>
        <w:pStyle w:val="ListBullet"/>
      </w:pPr>
      <w:r>
        <w:t>Entry of antibody specificity through this option may automatically set an antigen negative requirement [Transfusion Requirement (TR)] based on the division-specific parameters.</w:t>
      </w:r>
    </w:p>
    <w:p w14:paraId="01CAD3BB" w14:textId="77777777" w:rsidR="002A21AE" w:rsidRDefault="002A21AE">
      <w:pPr>
        <w:pStyle w:val="Heading4"/>
      </w:pPr>
      <w:r>
        <w:t>Limitations and Restrictions</w:t>
      </w:r>
    </w:p>
    <w:p w14:paraId="5D2951DF" w14:textId="77777777" w:rsidR="002A21AE" w:rsidRDefault="00FC0A61">
      <w:pPr>
        <w:pStyle w:val="ListBullet"/>
      </w:pPr>
      <w:r>
        <w:t xml:space="preserve">When an antigen negative requirement is not </w:t>
      </w:r>
      <w:r w:rsidR="00FC3A2C">
        <w:t xml:space="preserve">configured </w:t>
      </w:r>
      <w:r>
        <w:t>for an antibody, the user may enter the requirement for a patient through Special Instructions &amp; Transfusion Requirements: Enter a Transfusion Requirement.</w:t>
      </w:r>
    </w:p>
    <w:p w14:paraId="1536C6E9" w14:textId="77777777" w:rsidR="002A21AE" w:rsidRDefault="002A21AE">
      <w:pPr>
        <w:pStyle w:val="Heading4"/>
      </w:pPr>
      <w:r>
        <w:t>Additional Information</w:t>
      </w:r>
    </w:p>
    <w:p w14:paraId="71799C87" w14:textId="77777777" w:rsidR="002A21AE" w:rsidRDefault="002A21AE">
      <w:pPr>
        <w:pStyle w:val="ListBullet"/>
      </w:pPr>
      <w:r>
        <w:t xml:space="preserve">Correction to verified patient data may be accessed only through </w:t>
      </w:r>
      <w:r>
        <w:rPr>
          <w:snapToGrid w:val="0"/>
        </w:rPr>
        <w:t>Invalidate Test Results</w:t>
      </w:r>
      <w:r w:rsidR="007E549A">
        <w:rPr>
          <w:snapToGrid w:val="0"/>
        </w:rPr>
        <w:t xml:space="preserve"> and does require extensive removal of associated units, even if transfused. As this is the case, optionally record workload and billing here but the antibody specificity identified using Special Instructions Transfusion requirements option to allow for future editing</w:t>
      </w:r>
      <w:r>
        <w:t>.</w:t>
      </w:r>
    </w:p>
    <w:p w14:paraId="6176D69C" w14:textId="77777777" w:rsidR="002A21AE" w:rsidRDefault="002A21AE">
      <w:pPr>
        <w:pStyle w:val="ListBullet"/>
      </w:pPr>
      <w:r>
        <w:t>Only one technologist at a time can enter test results for a selected PTL task.</w:t>
      </w:r>
    </w:p>
    <w:p w14:paraId="27140A58" w14:textId="77777777" w:rsidR="002A21AE" w:rsidRDefault="002A21AE">
      <w:pPr>
        <w:pStyle w:val="ListBullet"/>
      </w:pPr>
      <w:r>
        <w:t>Patient antigen testing is not included in this option.</w:t>
      </w:r>
    </w:p>
    <w:p w14:paraId="46DDAC7B" w14:textId="77777777" w:rsidR="002A21AE" w:rsidRDefault="002A21AE">
      <w:pPr>
        <w:pStyle w:val="Heading4"/>
      </w:pPr>
      <w:r>
        <w:t>User Roles with Access to This Option</w:t>
      </w:r>
    </w:p>
    <w:p w14:paraId="412ED4B5" w14:textId="77777777" w:rsidR="002A21AE" w:rsidRDefault="0062763B">
      <w:pPr>
        <w:pStyle w:val="Roles"/>
        <w:rPr>
          <w:snapToGrid w:val="0"/>
        </w:rPr>
      </w:pPr>
      <w:r>
        <w:t>All users</w:t>
      </w:r>
    </w:p>
    <w:bookmarkEnd w:id="584"/>
    <w:p w14:paraId="3CA2FE6B" w14:textId="77777777" w:rsidR="002A21AE" w:rsidRDefault="002A21AE">
      <w:pPr>
        <w:pStyle w:val="Heading4"/>
      </w:pPr>
      <w:r>
        <w:t xml:space="preserve">Patient Testing: </w:t>
      </w:r>
      <w:r w:rsidR="00244FCD">
        <w:t>Enter Antibody Identification Results</w:t>
      </w:r>
    </w:p>
    <w:p w14:paraId="54072078" w14:textId="77777777" w:rsidR="002A21AE" w:rsidRDefault="002A21AE" w:rsidP="00FA7E65">
      <w:pPr>
        <w:pStyle w:val="BodyText"/>
      </w:pPr>
      <w:r>
        <w:t>The user may select workload codes for work performed on-site during the ABID workup. When the ABID is performed off-site, the user enters the associated charges.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D56C0DA" w14:textId="77777777">
        <w:trPr>
          <w:cantSplit/>
          <w:tblHeader/>
        </w:trPr>
        <w:tc>
          <w:tcPr>
            <w:tcW w:w="3240" w:type="dxa"/>
            <w:shd w:val="pct30" w:color="auto" w:fill="FFFFFF"/>
            <w:vAlign w:val="bottom"/>
          </w:tcPr>
          <w:p w14:paraId="30756E04" w14:textId="77777777" w:rsidR="002A21AE" w:rsidRDefault="002A21AE">
            <w:pPr>
              <w:pStyle w:val="TableText"/>
              <w:rPr>
                <w:b/>
              </w:rPr>
            </w:pPr>
            <w:r>
              <w:rPr>
                <w:b/>
              </w:rPr>
              <w:t>User Action</w:t>
            </w:r>
          </w:p>
        </w:tc>
        <w:tc>
          <w:tcPr>
            <w:tcW w:w="6120" w:type="dxa"/>
            <w:shd w:val="pct30" w:color="auto" w:fill="FFFFFF"/>
            <w:vAlign w:val="bottom"/>
          </w:tcPr>
          <w:p w14:paraId="240A61CD" w14:textId="77777777" w:rsidR="002A21AE" w:rsidRDefault="002A21AE">
            <w:pPr>
              <w:pStyle w:val="TableText"/>
              <w:rPr>
                <w:b/>
              </w:rPr>
            </w:pPr>
            <w:r>
              <w:rPr>
                <w:b/>
              </w:rPr>
              <w:t>VBECS</w:t>
            </w:r>
          </w:p>
        </w:tc>
      </w:tr>
      <w:tr w:rsidR="00141448" w14:paraId="369DAE47" w14:textId="77777777">
        <w:tc>
          <w:tcPr>
            <w:tcW w:w="3240" w:type="dxa"/>
            <w:tcBorders>
              <w:top w:val="single" w:sz="4" w:space="0" w:color="auto"/>
              <w:left w:val="single" w:sz="4" w:space="0" w:color="auto"/>
              <w:bottom w:val="single" w:sz="4" w:space="0" w:color="auto"/>
              <w:right w:val="single" w:sz="4" w:space="0" w:color="auto"/>
            </w:tcBorders>
          </w:tcPr>
          <w:p w14:paraId="44313AB2" w14:textId="77777777" w:rsidR="00141448" w:rsidRDefault="00141448" w:rsidP="00141448">
            <w:pPr>
              <w:pStyle w:val="TableTextNumbers"/>
            </w:pPr>
            <w:r>
              <w:t xml:space="preserve">Select </w:t>
            </w:r>
            <w:r>
              <w:rPr>
                <w:b/>
              </w:rPr>
              <w:t>Patients</w:t>
            </w:r>
            <w:r>
              <w:t xml:space="preserve"> from the main menu.</w:t>
            </w:r>
          </w:p>
          <w:p w14:paraId="2FA58DCA" w14:textId="77777777" w:rsidR="00141448" w:rsidRDefault="00141448" w:rsidP="00141448">
            <w:pPr>
              <w:pStyle w:val="TableTextNumbersContinued"/>
            </w:pPr>
          </w:p>
          <w:p w14:paraId="7D3D5106"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345A60CC" w14:textId="77777777" w:rsidR="00141448" w:rsidRDefault="00141448" w:rsidP="00141448">
            <w:pPr>
              <w:pStyle w:val="TableTextBullet"/>
            </w:pPr>
            <w:r>
              <w:t xml:space="preserve">Displays options for processing patient-related functions. </w:t>
            </w:r>
          </w:p>
          <w:p w14:paraId="0A403147" w14:textId="77777777" w:rsidR="00141448" w:rsidRDefault="00141448" w:rsidP="00141448">
            <w:pPr>
              <w:pStyle w:val="TableTextBullet"/>
            </w:pPr>
            <w:r>
              <w:t>Displays the Pending Task List (PTL) in the Diagnostic Tests tab.</w:t>
            </w:r>
          </w:p>
          <w:p w14:paraId="5BAF28FD" w14:textId="77777777" w:rsidR="00141448" w:rsidRDefault="00141448" w:rsidP="00141448">
            <w:pPr>
              <w:pStyle w:val="NotesText"/>
            </w:pPr>
          </w:p>
          <w:p w14:paraId="69C45497" w14:textId="327DE304" w:rsidR="00141448" w:rsidRDefault="00141448" w:rsidP="00141448">
            <w:pPr>
              <w:pStyle w:val="TableText"/>
              <w:rPr>
                <w:b/>
                <w:bCs/>
                <w:szCs w:val="18"/>
              </w:rPr>
            </w:pPr>
            <w:r>
              <w:rPr>
                <w:b/>
                <w:bCs/>
                <w:szCs w:val="18"/>
              </w:rPr>
              <w:t>NOTES</w:t>
            </w:r>
          </w:p>
          <w:p w14:paraId="2BEE072A" w14:textId="77777777" w:rsidR="00141448" w:rsidRDefault="00141448" w:rsidP="00141448">
            <w:pPr>
              <w:pStyle w:val="NotesText"/>
            </w:pPr>
          </w:p>
          <w:p w14:paraId="659595B8" w14:textId="77777777" w:rsidR="00141448" w:rsidRDefault="00141448" w:rsidP="00141448">
            <w:pPr>
              <w:pStyle w:val="NotesText"/>
            </w:pPr>
            <w:r>
              <w:t>A user may search for specific tasks using search criteria detailed in Pending Task List.</w:t>
            </w:r>
          </w:p>
        </w:tc>
      </w:tr>
      <w:tr w:rsidR="00082F78" w14:paraId="62FA5451" w14:textId="77777777">
        <w:tc>
          <w:tcPr>
            <w:tcW w:w="3240" w:type="dxa"/>
          </w:tcPr>
          <w:p w14:paraId="5A33ABFD" w14:textId="77777777" w:rsidR="00082F78" w:rsidRDefault="00082F78" w:rsidP="00150254">
            <w:pPr>
              <w:pStyle w:val="TableTextNumbers"/>
            </w:pPr>
            <w:r>
              <w:t xml:space="preserve">Click one to four check boxes in the Pending Task List to select tasks for testing. </w:t>
            </w:r>
          </w:p>
          <w:p w14:paraId="0B59ECB8" w14:textId="77777777" w:rsidR="00082F78" w:rsidRDefault="00082F78" w:rsidP="00150254">
            <w:pPr>
              <w:pStyle w:val="TableTextNumbersContinued"/>
            </w:pPr>
          </w:p>
          <w:p w14:paraId="13DB0039" w14:textId="77777777" w:rsidR="00082F78" w:rsidRDefault="00082F78" w:rsidP="00150254">
            <w:pPr>
              <w:pStyle w:val="TableTextNumbersContinued"/>
            </w:pPr>
            <w:r>
              <w:t xml:space="preserve">Click </w:t>
            </w:r>
            <w:r>
              <w:rPr>
                <w:b/>
              </w:rPr>
              <w:t>OK</w:t>
            </w:r>
            <w:r>
              <w:t>.</w:t>
            </w:r>
          </w:p>
        </w:tc>
        <w:tc>
          <w:tcPr>
            <w:tcW w:w="6120" w:type="dxa"/>
          </w:tcPr>
          <w:p w14:paraId="53A45915" w14:textId="77777777" w:rsidR="00082F78" w:rsidRDefault="00082F78" w:rsidP="00150254">
            <w:pPr>
              <w:pStyle w:val="TableTextBullet"/>
            </w:pPr>
            <w:r>
              <w:t>Displays patient names and associated task information.</w:t>
            </w:r>
          </w:p>
        </w:tc>
      </w:tr>
      <w:tr w:rsidR="004216FC" w14:paraId="19BD584D" w14:textId="77777777" w:rsidTr="00F3651E">
        <w:trPr>
          <w:cantSplit/>
        </w:trPr>
        <w:tc>
          <w:tcPr>
            <w:tcW w:w="3240" w:type="dxa"/>
          </w:tcPr>
          <w:p w14:paraId="38819186" w14:textId="77777777" w:rsidR="004216FC" w:rsidRDefault="004216FC" w:rsidP="00142D18">
            <w:pPr>
              <w:pStyle w:val="TableTextNumbers"/>
            </w:pPr>
            <w:r>
              <w:lastRenderedPageBreak/>
              <w:t>Click a check box to select a reagent rack.</w:t>
            </w:r>
          </w:p>
          <w:p w14:paraId="5DB8A34F" w14:textId="77777777" w:rsidR="004216FC" w:rsidRDefault="004216FC" w:rsidP="00142D18">
            <w:pPr>
              <w:pStyle w:val="TableTextNumbersContinued"/>
            </w:pPr>
          </w:p>
          <w:p w14:paraId="0F5E018B" w14:textId="77777777" w:rsidR="004216FC" w:rsidRDefault="004216FC" w:rsidP="00142D18">
            <w:pPr>
              <w:pStyle w:val="TableTextNumbersContinued"/>
            </w:pPr>
            <w:r>
              <w:t xml:space="preserve">Click </w:t>
            </w:r>
            <w:r>
              <w:rPr>
                <w:b/>
              </w:rPr>
              <w:t>OK</w:t>
            </w:r>
            <w:r>
              <w:t xml:space="preserve"> to continue with testing.</w:t>
            </w:r>
          </w:p>
        </w:tc>
        <w:tc>
          <w:tcPr>
            <w:tcW w:w="6120" w:type="dxa"/>
          </w:tcPr>
          <w:p w14:paraId="246DDDEE" w14:textId="77777777" w:rsidR="004216FC" w:rsidRDefault="004216FC" w:rsidP="00142D18">
            <w:pPr>
              <w:pStyle w:val="TableText"/>
            </w:pPr>
          </w:p>
          <w:p w14:paraId="25E7C24A" w14:textId="227AE2A7" w:rsidR="004216FC" w:rsidRDefault="004216FC" w:rsidP="00142D18">
            <w:pPr>
              <w:pStyle w:val="TableText"/>
              <w:rPr>
                <w:b/>
                <w:bCs/>
                <w:szCs w:val="18"/>
              </w:rPr>
            </w:pPr>
            <w:r>
              <w:rPr>
                <w:b/>
                <w:bCs/>
                <w:szCs w:val="18"/>
              </w:rPr>
              <w:t>NOTES</w:t>
            </w:r>
          </w:p>
          <w:p w14:paraId="471547A8" w14:textId="77777777" w:rsidR="004216FC" w:rsidRPr="004216FC" w:rsidRDefault="004216FC" w:rsidP="00142D18">
            <w:pPr>
              <w:pStyle w:val="NotesText"/>
              <w:rPr>
                <w:szCs w:val="18"/>
              </w:rPr>
            </w:pPr>
          </w:p>
          <w:p w14:paraId="166AC968" w14:textId="77777777" w:rsidR="004216FC" w:rsidRDefault="004216FC" w:rsidP="00142D18">
            <w:pPr>
              <w:pStyle w:val="NotesText"/>
            </w:pPr>
            <w:r w:rsidRPr="004216FC">
              <w:rPr>
                <w:rFonts w:cs="Arial"/>
                <w:szCs w:val="18"/>
              </w:rPr>
              <w:t>No</w:t>
            </w:r>
            <w:r w:rsidR="00EB1438">
              <w:rPr>
                <w:rFonts w:cs="Arial"/>
                <w:szCs w:val="18"/>
              </w:rPr>
              <w:t xml:space="preserve"> serologic</w:t>
            </w:r>
            <w:r w:rsidRPr="004216FC">
              <w:rPr>
                <w:rFonts w:cs="Arial"/>
                <w:szCs w:val="18"/>
              </w:rPr>
              <w:t xml:space="preserve"> testing is recorded for ABID.</w:t>
            </w:r>
          </w:p>
        </w:tc>
      </w:tr>
      <w:tr w:rsidR="002A21AE" w14:paraId="4C3546FB" w14:textId="77777777">
        <w:tc>
          <w:tcPr>
            <w:tcW w:w="3240" w:type="dxa"/>
          </w:tcPr>
          <w:p w14:paraId="0FF13A52" w14:textId="77777777" w:rsidR="002A21AE" w:rsidRDefault="002A21AE">
            <w:pPr>
              <w:pStyle w:val="TableTextNumbers"/>
            </w:pPr>
            <w:r>
              <w:t>Select antibodies.</w:t>
            </w:r>
          </w:p>
          <w:p w14:paraId="3457260B" w14:textId="77777777" w:rsidR="002A21AE" w:rsidRDefault="002A21AE">
            <w:pPr>
              <w:pStyle w:val="TableTextNumbersContinued"/>
            </w:pPr>
          </w:p>
          <w:p w14:paraId="0E5B4E10" w14:textId="77777777" w:rsidR="002A21AE" w:rsidRDefault="002A21AE">
            <w:pPr>
              <w:pStyle w:val="TableTextNumbersContinued"/>
            </w:pPr>
            <w:r>
              <w:t>Enter associated testing details.</w:t>
            </w:r>
          </w:p>
          <w:p w14:paraId="5FCE7C06" w14:textId="77777777" w:rsidR="002A21AE" w:rsidRDefault="002A21AE">
            <w:pPr>
              <w:pStyle w:val="TableTextNumbersContinued"/>
            </w:pPr>
          </w:p>
          <w:p w14:paraId="0F78E593" w14:textId="77777777" w:rsidR="002A21AE" w:rsidRDefault="002A21AE">
            <w:pPr>
              <w:pStyle w:val="TableTextNumbersContinued"/>
            </w:pPr>
            <w:r>
              <w:t>Respond to comments and continue.</w:t>
            </w:r>
          </w:p>
          <w:p w14:paraId="2C0BE164" w14:textId="77777777" w:rsidR="002A21AE" w:rsidRDefault="002A21AE">
            <w:pPr>
              <w:pStyle w:val="TableTextNumbersContinued"/>
            </w:pPr>
          </w:p>
          <w:p w14:paraId="5ED27A84" w14:textId="77777777" w:rsidR="002A21AE" w:rsidRDefault="002A21AE">
            <w:pPr>
              <w:pStyle w:val="TableTextNumbersContinued"/>
            </w:pPr>
            <w:r>
              <w:t>Verify Patient information.</w:t>
            </w:r>
          </w:p>
          <w:p w14:paraId="4BB2F4D7" w14:textId="77777777" w:rsidR="002A21AE" w:rsidRDefault="002A21AE">
            <w:pPr>
              <w:pStyle w:val="TableTextNumbersContinued"/>
            </w:pPr>
          </w:p>
          <w:p w14:paraId="2B67C29C" w14:textId="77777777" w:rsidR="002A21AE" w:rsidRDefault="002A21AE">
            <w:pPr>
              <w:pStyle w:val="TableTextNumbersContinued"/>
            </w:pPr>
            <w:r>
              <w:t xml:space="preserve">Click </w:t>
            </w:r>
            <w:r>
              <w:rPr>
                <w:b/>
              </w:rPr>
              <w:t>OK</w:t>
            </w:r>
            <w:r>
              <w:t xml:space="preserve">. </w:t>
            </w:r>
          </w:p>
        </w:tc>
        <w:tc>
          <w:tcPr>
            <w:tcW w:w="6120" w:type="dxa"/>
          </w:tcPr>
          <w:p w14:paraId="46A1A0BB" w14:textId="77777777" w:rsidR="002A21AE" w:rsidRDefault="002A21AE">
            <w:pPr>
              <w:pStyle w:val="TableTextBullet"/>
            </w:pPr>
            <w:r>
              <w:rPr>
                <w:rFonts w:cs="Arial"/>
                <w:vanish/>
              </w:rPr>
              <w:t xml:space="preserve">BR_57.02 </w:t>
            </w:r>
            <w:r>
              <w:t xml:space="preserve">Displays the list of antibodies and allows the user to select from the identified specificities and to add antibodies or to indicate that no antibody was identified. </w:t>
            </w:r>
          </w:p>
          <w:p w14:paraId="419FF967" w14:textId="77777777" w:rsidR="002A21AE" w:rsidRDefault="002A21AE">
            <w:pPr>
              <w:pStyle w:val="TableText"/>
            </w:pPr>
          </w:p>
          <w:p w14:paraId="312FCB98" w14:textId="5F55DE1C" w:rsidR="002A21AE" w:rsidRDefault="002A21AE">
            <w:pPr>
              <w:pStyle w:val="TableText"/>
              <w:rPr>
                <w:b/>
                <w:bCs/>
                <w:szCs w:val="18"/>
              </w:rPr>
            </w:pPr>
            <w:r>
              <w:rPr>
                <w:b/>
                <w:bCs/>
                <w:szCs w:val="18"/>
              </w:rPr>
              <w:t>NOTES</w:t>
            </w:r>
          </w:p>
          <w:p w14:paraId="11A264A2" w14:textId="77777777" w:rsidR="002A21AE" w:rsidRDefault="002A21AE">
            <w:pPr>
              <w:pStyle w:val="NotesText"/>
            </w:pPr>
          </w:p>
          <w:p w14:paraId="1DFB493C" w14:textId="77777777" w:rsidR="002A21AE" w:rsidRDefault="002A21AE">
            <w:pPr>
              <w:pStyle w:val="NotesText"/>
            </w:pPr>
            <w:r>
              <w:rPr>
                <w:rFonts w:cs="Arial"/>
                <w:vanish/>
              </w:rPr>
              <w:t xml:space="preserve">BR_57.03 </w:t>
            </w:r>
            <w:r>
              <w:t>Multiple workload codes may apply when work is performed on-site.</w:t>
            </w:r>
          </w:p>
        </w:tc>
      </w:tr>
      <w:tr w:rsidR="002A21AE" w14:paraId="0A8F9788" w14:textId="77777777">
        <w:tc>
          <w:tcPr>
            <w:tcW w:w="3240" w:type="dxa"/>
          </w:tcPr>
          <w:p w14:paraId="32F0F043" w14:textId="77777777" w:rsidR="002A21AE" w:rsidRDefault="002A21AE">
            <w:pPr>
              <w:pStyle w:val="TableTextNumbers"/>
            </w:pPr>
            <w:r>
              <w:t xml:space="preserve">Review the selections displayed. Return to Step 1 to change selections when necessary. </w:t>
            </w:r>
          </w:p>
          <w:p w14:paraId="603E1573" w14:textId="77777777" w:rsidR="002A21AE" w:rsidRDefault="002A21AE">
            <w:pPr>
              <w:pStyle w:val="TableTextNumbersContinued"/>
            </w:pPr>
          </w:p>
          <w:p w14:paraId="48C9D82F" w14:textId="77777777" w:rsidR="002A21AE" w:rsidRDefault="002A21AE">
            <w:pPr>
              <w:pStyle w:val="TableTextNumbersContinued"/>
            </w:pPr>
            <w:r>
              <w:t>Accept the reviewed entries.</w:t>
            </w:r>
          </w:p>
        </w:tc>
        <w:tc>
          <w:tcPr>
            <w:tcW w:w="6120" w:type="dxa"/>
          </w:tcPr>
          <w:p w14:paraId="02776323" w14:textId="77777777" w:rsidR="002A21AE" w:rsidRDefault="002A21AE">
            <w:pPr>
              <w:pStyle w:val="TableTextBullet"/>
            </w:pPr>
            <w:r>
              <w:t>Displays applicable data fields for the ordered ABID.</w:t>
            </w:r>
          </w:p>
          <w:p w14:paraId="3922E3F2" w14:textId="77777777" w:rsidR="002A21AE" w:rsidRDefault="002A21AE">
            <w:pPr>
              <w:pStyle w:val="TableTextBullet"/>
            </w:pPr>
            <w:r>
              <w:t>Allows the user to indicate the testing site and associated billing from outside sources.</w:t>
            </w:r>
          </w:p>
        </w:tc>
      </w:tr>
      <w:tr w:rsidR="002A21AE" w14:paraId="0D9C613D" w14:textId="77777777">
        <w:tc>
          <w:tcPr>
            <w:tcW w:w="3240" w:type="dxa"/>
          </w:tcPr>
          <w:p w14:paraId="41B4F401" w14:textId="77777777" w:rsidR="002A21AE" w:rsidRDefault="002A21AE">
            <w:pPr>
              <w:pStyle w:val="TableTextNumbers"/>
            </w:pPr>
            <w:r>
              <w:t>Enter the location where testing was performed and cost, when off-site.</w:t>
            </w:r>
          </w:p>
        </w:tc>
        <w:tc>
          <w:tcPr>
            <w:tcW w:w="6120" w:type="dxa"/>
          </w:tcPr>
          <w:p w14:paraId="56019BA9" w14:textId="77777777" w:rsidR="002A21AE" w:rsidRDefault="002A21AE">
            <w:pPr>
              <w:pStyle w:val="TableTextBullet"/>
            </w:pPr>
            <w:r>
              <w:t>Requires the user to indicate whether the ABID was performed at the division and/or off-site and saves that information with the ABID.</w:t>
            </w:r>
          </w:p>
          <w:p w14:paraId="16BD7F4F" w14:textId="77777777" w:rsidR="002A21AE" w:rsidRDefault="002A21AE">
            <w:pPr>
              <w:pStyle w:val="TableTextBullet"/>
            </w:pPr>
            <w:r>
              <w:rPr>
                <w:rFonts w:cs="Arial"/>
                <w:vanish/>
              </w:rPr>
              <w:t xml:space="preserve">BR_57.04 </w:t>
            </w:r>
            <w:r>
              <w:t xml:space="preserve">Allows the user to enter a charge, but not the workload, when the ABID work was performed off-site. </w:t>
            </w:r>
          </w:p>
          <w:p w14:paraId="7EC9B62A" w14:textId="77777777" w:rsidR="002A21AE" w:rsidRDefault="002A21AE">
            <w:pPr>
              <w:pStyle w:val="TableTextBullet"/>
            </w:pPr>
            <w:r>
              <w:t>Allows the user to indicate multiples of any processes when a test was performed on-site.</w:t>
            </w:r>
          </w:p>
          <w:p w14:paraId="4A6DD76D" w14:textId="77777777" w:rsidR="002A21AE" w:rsidRDefault="002A21AE">
            <w:pPr>
              <w:pStyle w:val="TableTextBullet"/>
            </w:pPr>
            <w:r>
              <w:t xml:space="preserve">Allows the user to enter comments. </w:t>
            </w:r>
          </w:p>
          <w:p w14:paraId="1B5E5981" w14:textId="24F7D2E7" w:rsidR="00964E4B" w:rsidRDefault="003F3FBD" w:rsidP="00964E4B">
            <w:pPr>
              <w:pStyle w:val="TableTextBullet"/>
            </w:pPr>
            <w:r>
              <w:t>Do not exceed 50 characters when entering</w:t>
            </w:r>
            <w:r w:rsidR="00964E4B" w:rsidRPr="00964E4B">
              <w:t xml:space="preserve"> the name of the off-site testing location.</w:t>
            </w:r>
            <w:r w:rsidR="00244AD3">
              <w:t xml:space="preserve"> </w:t>
            </w:r>
            <w:r w:rsidR="00244AD3" w:rsidRPr="00244AD3">
              <w:rPr>
                <w:vanish/>
              </w:rPr>
              <w:t>Defect 209558</w:t>
            </w:r>
          </w:p>
        </w:tc>
      </w:tr>
      <w:tr w:rsidR="002A21AE" w14:paraId="7D9642E9" w14:textId="77777777">
        <w:tc>
          <w:tcPr>
            <w:tcW w:w="3240" w:type="dxa"/>
          </w:tcPr>
          <w:p w14:paraId="434B1D8D" w14:textId="56FC648E" w:rsidR="002A21AE" w:rsidRDefault="002A21AE">
            <w:pPr>
              <w:pStyle w:val="TableTextNumbers"/>
            </w:pPr>
            <w:r>
              <w:t>Review the antibody tests entered and comments selected and, when necessary, change them before accepting</w:t>
            </w:r>
            <w:r w:rsidR="005D0D2B">
              <w:t xml:space="preserve"> (</w:t>
            </w:r>
            <w:r w:rsidR="005D0D2B">
              <w:fldChar w:fldCharType="begin"/>
            </w:r>
            <w:r w:rsidR="005D0D2B">
              <w:instrText xml:space="preserve"> REF _Ref127092401 \h </w:instrText>
            </w:r>
            <w:r w:rsidR="005D0D2B">
              <w:fldChar w:fldCharType="separate"/>
            </w:r>
            <w:r w:rsidR="004353ED">
              <w:t xml:space="preserve">Figure </w:t>
            </w:r>
            <w:r w:rsidR="004353ED">
              <w:rPr>
                <w:noProof/>
              </w:rPr>
              <w:t>128</w:t>
            </w:r>
            <w:r w:rsidR="005D0D2B">
              <w:fldChar w:fldCharType="end"/>
            </w:r>
            <w:r w:rsidR="005D0D2B">
              <w:t>)</w:t>
            </w:r>
            <w:r>
              <w:t xml:space="preserve">. </w:t>
            </w:r>
          </w:p>
        </w:tc>
        <w:tc>
          <w:tcPr>
            <w:tcW w:w="6120" w:type="dxa"/>
          </w:tcPr>
          <w:p w14:paraId="33B9937F" w14:textId="77777777" w:rsidR="002A21AE" w:rsidRDefault="002A21AE">
            <w:pPr>
              <w:pStyle w:val="TableTextBullet"/>
            </w:pPr>
            <w:r>
              <w:t>Displays the requirements for antigen negative blood components, if any, based on the antibody entered.</w:t>
            </w:r>
          </w:p>
          <w:p w14:paraId="715C50D7" w14:textId="77777777" w:rsidR="002A21AE" w:rsidRDefault="002A21AE">
            <w:pPr>
              <w:pStyle w:val="TableText"/>
            </w:pPr>
          </w:p>
        </w:tc>
      </w:tr>
      <w:tr w:rsidR="002A21AE" w14:paraId="008A184F" w14:textId="77777777">
        <w:tc>
          <w:tcPr>
            <w:tcW w:w="3240" w:type="dxa"/>
          </w:tcPr>
          <w:p w14:paraId="0891D9C3" w14:textId="77777777" w:rsidR="002A21AE" w:rsidRDefault="002A21AE">
            <w:pPr>
              <w:pStyle w:val="TableTextNumbers"/>
            </w:pPr>
            <w:r>
              <w:t xml:space="preserve">Click </w:t>
            </w:r>
            <w:r>
              <w:rPr>
                <w:b/>
              </w:rPr>
              <w:t>OK</w:t>
            </w:r>
            <w:r>
              <w:t xml:space="preserve"> to save the information to the database.</w:t>
            </w:r>
          </w:p>
        </w:tc>
        <w:tc>
          <w:tcPr>
            <w:tcW w:w="6120" w:type="dxa"/>
          </w:tcPr>
          <w:p w14:paraId="5E5BBDB8" w14:textId="77777777" w:rsidR="002A21AE" w:rsidRDefault="00B6515C" w:rsidP="00B6515C">
            <w:pPr>
              <w:pStyle w:val="TableTextBullet"/>
            </w:pPr>
            <w:r>
              <w:t>Saves the data.</w:t>
            </w:r>
          </w:p>
        </w:tc>
      </w:tr>
      <w:tr w:rsidR="002A21AE" w14:paraId="407C6294" w14:textId="77777777">
        <w:tc>
          <w:tcPr>
            <w:tcW w:w="3240" w:type="dxa"/>
          </w:tcPr>
          <w:p w14:paraId="4CD347B8"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89" w:author="Blalock, David (Leidos)" w:date="2020-06-15T14:09:00Z" w:original="0."/>
              </w:fldChar>
            </w:r>
          </w:p>
        </w:tc>
        <w:tc>
          <w:tcPr>
            <w:tcW w:w="6120" w:type="dxa"/>
          </w:tcPr>
          <w:p w14:paraId="60734073" w14:textId="77777777" w:rsidR="002A21AE" w:rsidRDefault="002A21AE">
            <w:pPr>
              <w:pStyle w:val="TableText"/>
            </w:pPr>
          </w:p>
        </w:tc>
      </w:tr>
    </w:tbl>
    <w:p w14:paraId="7EDEA9B2" w14:textId="4B484DB6" w:rsidR="005D0D2B" w:rsidRDefault="005D0D2B" w:rsidP="005D0D2B">
      <w:pPr>
        <w:pStyle w:val="Caption"/>
      </w:pPr>
      <w:bookmarkStart w:id="590" w:name="_Ref12709240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128</w:t>
      </w:r>
      <w:r w:rsidR="004E20BD">
        <w:rPr>
          <w:noProof/>
        </w:rPr>
        <w:fldChar w:fldCharType="end"/>
      </w:r>
      <w:bookmarkEnd w:id="590"/>
      <w:r>
        <w:t>: Patient Testing Antibody Identification</w:t>
      </w:r>
    </w:p>
    <w:p w14:paraId="3F20FB03" w14:textId="77777777" w:rsidR="002A21AE" w:rsidRDefault="00057948" w:rsidP="005D0D2B">
      <w:pPr>
        <w:pStyle w:val="BodyText"/>
      </w:pPr>
      <w:r>
        <w:rPr>
          <w:noProof/>
        </w:rPr>
        <w:drawing>
          <wp:inline distT="0" distB="0" distL="0" distR="0" wp14:anchorId="1F8EE0A4" wp14:editId="474CC793">
            <wp:extent cx="5791200" cy="3546475"/>
            <wp:effectExtent l="0" t="0" r="0" b="0"/>
            <wp:docPr id="243" name="Picture 243" descr="Fig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Figure 12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791200" cy="3546475"/>
                    </a:xfrm>
                    <a:prstGeom prst="rect">
                      <a:avLst/>
                    </a:prstGeom>
                    <a:noFill/>
                    <a:ln>
                      <a:noFill/>
                    </a:ln>
                  </pic:spPr>
                </pic:pic>
              </a:graphicData>
            </a:graphic>
          </wp:inline>
        </w:drawing>
      </w:r>
    </w:p>
    <w:p w14:paraId="6F4A8AE9" w14:textId="77777777" w:rsidR="002A21AE" w:rsidRDefault="00746454">
      <w:pPr>
        <w:pStyle w:val="Heading3"/>
      </w:pPr>
      <w:r>
        <w:br w:type="page"/>
      </w:r>
      <w:bookmarkStart w:id="591" w:name="_Toc47516762"/>
      <w:r w:rsidR="002A21AE">
        <w:lastRenderedPageBreak/>
        <w:t>Patient Testing: Record a Transfusion Reaction Workup</w:t>
      </w:r>
      <w:bookmarkEnd w:id="591"/>
      <w:r w:rsidR="002A21AE">
        <w:fldChar w:fldCharType="begin"/>
      </w:r>
      <w:r w:rsidR="002A21AE">
        <w:instrText xml:space="preserve"> XE </w:instrText>
      </w:r>
      <w:r w:rsidR="00FA7E65">
        <w:instrText>“</w:instrText>
      </w:r>
      <w:r w:rsidR="002A21AE">
        <w:instrText>Patient Testing\: Record a Transfusion Reaction Workup</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UC_21</w:t>
      </w:r>
    </w:p>
    <w:p w14:paraId="19C01145" w14:textId="77777777" w:rsidR="002A21AE" w:rsidRDefault="002A21AE" w:rsidP="00FA7E65">
      <w:pPr>
        <w:pStyle w:val="BodyText"/>
      </w:pPr>
      <w:r>
        <w:t xml:space="preserve">The user documents a transfusion reaction workup (TRW). </w:t>
      </w:r>
    </w:p>
    <w:p w14:paraId="78634B05" w14:textId="77777777" w:rsidR="002A21AE" w:rsidRDefault="002A21AE">
      <w:pPr>
        <w:pStyle w:val="Heading4"/>
      </w:pPr>
      <w:r>
        <w:t>Assumptions</w:t>
      </w:r>
      <w:r>
        <w:rPr>
          <w:b w:val="0"/>
        </w:rPr>
        <w:t xml:space="preserve"> </w:t>
      </w:r>
    </w:p>
    <w:p w14:paraId="1441FF8C" w14:textId="77777777" w:rsidR="002A21AE" w:rsidRDefault="002A21AE">
      <w:pPr>
        <w:pStyle w:val="ListBullet"/>
      </w:pPr>
      <w:r>
        <w:t>A TRW is ordered and is “not started” or “in progress” on the Pending Task List (PTL).</w:t>
      </w:r>
    </w:p>
    <w:p w14:paraId="42F553BC" w14:textId="77777777" w:rsidR="002A21AE" w:rsidRDefault="002A21AE">
      <w:pPr>
        <w:pStyle w:val="Heading4"/>
      </w:pPr>
      <w:r>
        <w:t xml:space="preserve">Outcome </w:t>
      </w:r>
    </w:p>
    <w:p w14:paraId="589A1DC6" w14:textId="77777777" w:rsidR="002A21AE" w:rsidRDefault="002A21AE">
      <w:pPr>
        <w:pStyle w:val="ListBullet"/>
      </w:pPr>
      <w:r>
        <w:t>The user views or prints a preliminary TRW report of findings.</w:t>
      </w:r>
    </w:p>
    <w:p w14:paraId="2B7523E6" w14:textId="77777777" w:rsidR="002A21AE" w:rsidRDefault="002A21AE">
      <w:pPr>
        <w:pStyle w:val="ListBullet"/>
      </w:pPr>
      <w:r>
        <w:t>Preliminary report findings are available for display in CPRS.</w:t>
      </w:r>
    </w:p>
    <w:p w14:paraId="47EF08C5" w14:textId="77777777" w:rsidR="002A21AE" w:rsidRDefault="002A21AE">
      <w:pPr>
        <w:pStyle w:val="Heading4"/>
      </w:pPr>
      <w:r>
        <w:t>Limitations and Restrictions</w:t>
      </w:r>
      <w:r>
        <w:rPr>
          <w:b w:val="0"/>
        </w:rPr>
        <w:t xml:space="preserve"> </w:t>
      </w:r>
    </w:p>
    <w:p w14:paraId="38303BB8" w14:textId="77777777" w:rsidR="002A21AE" w:rsidRDefault="002A21AE">
      <w:pPr>
        <w:pStyle w:val="ListBullet"/>
      </w:pPr>
      <w:r>
        <w:t xml:space="preserve">Adverse reactions to transfusion detected at a later time (disease transmission) are </w:t>
      </w:r>
      <w:r w:rsidR="00814F27">
        <w:t>not recorded</w:t>
      </w:r>
      <w:r>
        <w:t xml:space="preserve"> through </w:t>
      </w:r>
      <w:r w:rsidR="00814F27">
        <w:t xml:space="preserve">this option. Refer </w:t>
      </w:r>
      <w:r w:rsidR="00357A19">
        <w:t>to Transfusion</w:t>
      </w:r>
      <w:r>
        <w:t xml:space="preserve"> Complications Report.</w:t>
      </w:r>
    </w:p>
    <w:p w14:paraId="2D6FC6A1" w14:textId="002C46AB" w:rsidR="007E549A" w:rsidRDefault="007E549A">
      <w:pPr>
        <w:pStyle w:val="ListBullet"/>
      </w:pPr>
      <w:r>
        <w:t>Each tab is completed and saved and is not editable. To change information on a previously completed tab, the TRW must be invalidated and corrected in its entirety.</w:t>
      </w:r>
    </w:p>
    <w:p w14:paraId="3D9FD12F" w14:textId="2C7244D9" w:rsidR="00783514" w:rsidRDefault="00783514" w:rsidP="00783514">
      <w:pPr>
        <w:pStyle w:val="ListBullet"/>
      </w:pPr>
      <w:r>
        <w:t xml:space="preserve">If comments are entered when a TRW is finalized as type "Other,” they won’t show on the CPRS Blood Bank Report. </w:t>
      </w:r>
      <w:r w:rsidRPr="00783514">
        <w:rPr>
          <w:vanish/>
        </w:rPr>
        <w:t>Defect 210332</w:t>
      </w:r>
    </w:p>
    <w:p w14:paraId="3423DE96" w14:textId="77777777" w:rsidR="002A21AE" w:rsidRDefault="002A21AE">
      <w:pPr>
        <w:pStyle w:val="Heading4"/>
      </w:pPr>
      <w:r>
        <w:t xml:space="preserve">Additional Information </w:t>
      </w:r>
    </w:p>
    <w:p w14:paraId="5F1F0100" w14:textId="77777777" w:rsidR="002A21AE" w:rsidRDefault="002A21AE">
      <w:pPr>
        <w:pStyle w:val="ListBullet"/>
      </w:pPr>
      <w:r>
        <w:t xml:space="preserve">All implicated units are added to data grids. </w:t>
      </w:r>
    </w:p>
    <w:p w14:paraId="4376350A" w14:textId="77777777" w:rsidR="002A21AE" w:rsidRDefault="002A21AE">
      <w:pPr>
        <w:pStyle w:val="ListBullet"/>
      </w:pPr>
      <w:r>
        <w:t>Testing is based on local policies.</w:t>
      </w:r>
    </w:p>
    <w:p w14:paraId="28DDAAE2" w14:textId="77777777" w:rsidR="002A21AE" w:rsidRDefault="002A21AE">
      <w:pPr>
        <w:pStyle w:val="ListBullet"/>
      </w:pPr>
      <w:r>
        <w:rPr>
          <w:rFonts w:ascii="Arial" w:hAnsi="Arial" w:cs="Arial"/>
          <w:vanish/>
          <w:spacing w:val="0"/>
          <w:sz w:val="18"/>
        </w:rPr>
        <w:t xml:space="preserve">BR_21.30 </w:t>
      </w:r>
      <w:r>
        <w:rPr>
          <w:color w:val="000000"/>
          <w:szCs w:val="18"/>
        </w:rPr>
        <w:t xml:space="preserve">VBECS allows the user to invalidate previously entered and saved information. When the user invalidates specimen data entered, VBECS invalidates </w:t>
      </w:r>
      <w:r w:rsidR="005B0C5A">
        <w:rPr>
          <w:color w:val="000000"/>
          <w:szCs w:val="18"/>
        </w:rPr>
        <w:t>the TRW</w:t>
      </w:r>
      <w:r>
        <w:rPr>
          <w:color w:val="000000"/>
          <w:szCs w:val="18"/>
        </w:rPr>
        <w:t>.</w:t>
      </w:r>
    </w:p>
    <w:p w14:paraId="5AF1694E" w14:textId="77777777" w:rsidR="002A21AE" w:rsidRDefault="002A21AE">
      <w:pPr>
        <w:pStyle w:val="ListBullet"/>
      </w:pPr>
      <w:r>
        <w:t>A delayed hemolytic transfusion reaction is typically identified about 7 to 10 days post-transfusion</w:t>
      </w:r>
      <w:r w:rsidR="0015352F">
        <w:t xml:space="preserve">. It may be </w:t>
      </w:r>
      <w:r>
        <w:t>addressed in this option</w:t>
      </w:r>
      <w:r w:rsidR="003F3A76">
        <w:t xml:space="preserve"> or as an</w:t>
      </w:r>
      <w:r>
        <w:t xml:space="preserve"> antibody identification.</w:t>
      </w:r>
      <w:r w:rsidR="00BF0C0F">
        <w:t xml:space="preserve"> (See Patient Testing: Enter Antibody Identification Results.)</w:t>
      </w:r>
    </w:p>
    <w:p w14:paraId="7A61C0EE" w14:textId="77777777" w:rsidR="002A21AE" w:rsidRDefault="002A21AE">
      <w:pPr>
        <w:pStyle w:val="ListBullet"/>
      </w:pPr>
      <w:r>
        <w:t>This test record is not editable after the user saves it to the database. When a correction needs to be filed, a corrected report must be generated, as described in Invalidate Test Results.</w:t>
      </w:r>
    </w:p>
    <w:p w14:paraId="1333645F" w14:textId="77777777" w:rsidR="002A21AE" w:rsidRDefault="002A21AE">
      <w:pPr>
        <w:pStyle w:val="ListBullet"/>
      </w:pPr>
      <w:r>
        <w:t>See the printed chart copy for the medical director’s signature and TRW interpretation, as described in Finalize/Print TRW.</w:t>
      </w:r>
    </w:p>
    <w:p w14:paraId="359E585E" w14:textId="77777777" w:rsidR="002A21AE" w:rsidRDefault="002A21AE">
      <w:pPr>
        <w:pStyle w:val="ListBullet"/>
      </w:pPr>
      <w:r>
        <w:t xml:space="preserve">A </w:t>
      </w:r>
      <w:r w:rsidR="00BF0C0F">
        <w:t xml:space="preserve">user may order a </w:t>
      </w:r>
      <w:r>
        <w:t>TRW</w:t>
      </w:r>
      <w:r w:rsidR="005B0C5A">
        <w:t xml:space="preserve"> </w:t>
      </w:r>
      <w:r>
        <w:t>prior to the completion of a unit’s transfusion record.</w:t>
      </w:r>
    </w:p>
    <w:p w14:paraId="16B0EF69" w14:textId="77777777" w:rsidR="005B0C5A" w:rsidRDefault="005B0C5A" w:rsidP="005B0C5A">
      <w:pPr>
        <w:pStyle w:val="ListBullet"/>
      </w:pPr>
      <w:r>
        <w:t xml:space="preserve">The </w:t>
      </w:r>
      <w:r w:rsidR="009771E4">
        <w:t xml:space="preserve">user must complete the </w:t>
      </w:r>
      <w:r>
        <w:t>unit’s transfusion record prior to implicating a unit in a TRW.</w:t>
      </w:r>
    </w:p>
    <w:p w14:paraId="1CDD39C8" w14:textId="77777777" w:rsidR="002A21AE" w:rsidRDefault="002A21AE">
      <w:pPr>
        <w:pStyle w:val="ListBullet"/>
      </w:pPr>
      <w:r>
        <w:t xml:space="preserve">These data remain encapsulated as part of the TRW and </w:t>
      </w:r>
      <w:r w:rsidR="00855A2D">
        <w:t xml:space="preserve">are not saved, compared to the patient record, or </w:t>
      </w:r>
      <w:r>
        <w:t>associated with other pre-transfusion grid testing.</w:t>
      </w:r>
    </w:p>
    <w:p w14:paraId="6DFE6EB1" w14:textId="77777777" w:rsidR="002A21AE" w:rsidRDefault="002A21AE">
      <w:pPr>
        <w:pStyle w:val="ListBullet"/>
      </w:pPr>
      <w:r>
        <w:rPr>
          <w:rFonts w:ascii="Arial" w:hAnsi="Arial" w:cs="Arial"/>
          <w:vanish/>
          <w:spacing w:val="0"/>
          <w:sz w:val="18"/>
        </w:rPr>
        <w:t xml:space="preserve">BR_21.26 </w:t>
      </w:r>
      <w:r>
        <w:t>TRW ABO/Rh typing results are not saved as historical ABO/Rh typing results. These test records are maintained as part of the TRW only.</w:t>
      </w:r>
    </w:p>
    <w:p w14:paraId="54E96F9D" w14:textId="234A3354" w:rsidR="00F317D8" w:rsidRDefault="007B0020">
      <w:pPr>
        <w:pStyle w:val="ListBullet"/>
      </w:pPr>
      <w:r>
        <w:t>A system error occurs when a user attempts to access a locked TRW.</w:t>
      </w:r>
      <w:r w:rsidR="00244AD3">
        <w:t xml:space="preserve"> </w:t>
      </w:r>
      <w:r w:rsidR="00244AD3" w:rsidRPr="00244AD3">
        <w:rPr>
          <w:vanish/>
        </w:rPr>
        <w:t>Defect 209147</w:t>
      </w:r>
    </w:p>
    <w:p w14:paraId="1A6BC8DB" w14:textId="77777777" w:rsidR="002A21AE" w:rsidRDefault="002A21AE">
      <w:pPr>
        <w:pStyle w:val="Heading4"/>
        <w:rPr>
          <w:b w:val="0"/>
        </w:rPr>
      </w:pPr>
      <w:r>
        <w:t>User Roles with Access to This Option</w:t>
      </w:r>
      <w:r>
        <w:rPr>
          <w:b w:val="0"/>
        </w:rPr>
        <w:t xml:space="preserve"> </w:t>
      </w:r>
    </w:p>
    <w:p w14:paraId="340545D6" w14:textId="77777777" w:rsidR="002A21AE" w:rsidRDefault="00A13077">
      <w:pPr>
        <w:pStyle w:val="Roles"/>
        <w:rPr>
          <w:snapToGrid w:val="0"/>
        </w:rPr>
      </w:pPr>
      <w:r>
        <w:t>All users</w:t>
      </w:r>
    </w:p>
    <w:p w14:paraId="4954F922" w14:textId="77777777" w:rsidR="002A21AE" w:rsidRDefault="00746454">
      <w:pPr>
        <w:pStyle w:val="Heading4"/>
      </w:pPr>
      <w:r>
        <w:br w:type="page"/>
      </w:r>
      <w:r w:rsidR="002A21AE">
        <w:lastRenderedPageBreak/>
        <w:t xml:space="preserve">Patient Testing: Record a Transfusion Reaction Workup </w:t>
      </w:r>
    </w:p>
    <w:p w14:paraId="5BE677C0" w14:textId="77777777" w:rsidR="002A21AE" w:rsidRDefault="002A21AE" w:rsidP="00FA7E65">
      <w:pPr>
        <w:pStyle w:val="BodyText"/>
      </w:pPr>
      <w:r>
        <w:t xml:space="preserve">The user accepts the TRW order, inspects the sample for hemolysis, and performs implicated clerical checks. The TRW may require entry of patient data, including vital signs and serologic test results. A signed, printed TRW report must be filed with the patient’s chart. </w:t>
      </w:r>
    </w:p>
    <w:p w14:paraId="338CD7E5" w14:textId="77777777" w:rsidR="002A21AE" w:rsidRDefault="002A21AE" w:rsidP="00FA7E65">
      <w:pPr>
        <w:pStyle w:val="BodyText"/>
      </w:pPr>
      <w:r>
        <w:t>Transfusion reactions may be worked up in stages depending on patient symptoms and serologic findings. The first stage includes the initial clerical and specimen checks. The second stage includes serologic test interpretations, including pre- and post-patient testing, ABO/Rh, ABS, XM, and DAT.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8E6E94" w14:paraId="2A6D3140" w14:textId="77777777">
        <w:trPr>
          <w:cantSplit/>
          <w:tblHeader/>
        </w:trPr>
        <w:tc>
          <w:tcPr>
            <w:tcW w:w="3240" w:type="dxa"/>
            <w:shd w:val="pct30" w:color="auto" w:fill="FFFFFF"/>
            <w:vAlign w:val="bottom"/>
          </w:tcPr>
          <w:p w14:paraId="3D43292F" w14:textId="77777777" w:rsidR="008E6E94" w:rsidRDefault="008E6E94" w:rsidP="007A413F">
            <w:pPr>
              <w:pStyle w:val="TableText"/>
              <w:rPr>
                <w:b/>
              </w:rPr>
            </w:pPr>
            <w:r>
              <w:rPr>
                <w:b/>
              </w:rPr>
              <w:t>User Action</w:t>
            </w:r>
          </w:p>
        </w:tc>
        <w:tc>
          <w:tcPr>
            <w:tcW w:w="6120" w:type="dxa"/>
            <w:shd w:val="pct30" w:color="auto" w:fill="FFFFFF"/>
            <w:vAlign w:val="bottom"/>
          </w:tcPr>
          <w:p w14:paraId="548FC45E" w14:textId="77777777" w:rsidR="008E6E94" w:rsidRDefault="008E6E94" w:rsidP="007A413F">
            <w:pPr>
              <w:pStyle w:val="TableText"/>
              <w:rPr>
                <w:b/>
              </w:rPr>
            </w:pPr>
            <w:r>
              <w:rPr>
                <w:b/>
              </w:rPr>
              <w:t>VBECS</w:t>
            </w:r>
          </w:p>
        </w:tc>
      </w:tr>
      <w:tr w:rsidR="00413A92" w14:paraId="36EC75EF" w14:textId="77777777">
        <w:tc>
          <w:tcPr>
            <w:tcW w:w="3240" w:type="dxa"/>
            <w:tcBorders>
              <w:top w:val="single" w:sz="4" w:space="0" w:color="auto"/>
              <w:left w:val="single" w:sz="4" w:space="0" w:color="auto"/>
              <w:bottom w:val="single" w:sz="4" w:space="0" w:color="auto"/>
              <w:right w:val="single" w:sz="4" w:space="0" w:color="auto"/>
            </w:tcBorders>
          </w:tcPr>
          <w:p w14:paraId="3A073BB1" w14:textId="77777777" w:rsidR="00413A92" w:rsidRDefault="00413A92" w:rsidP="00644B37">
            <w:pPr>
              <w:pStyle w:val="TableTextNumbers"/>
            </w:pPr>
            <w:r>
              <w:t xml:space="preserve">Select </w:t>
            </w:r>
            <w:r>
              <w:rPr>
                <w:b/>
              </w:rPr>
              <w:t>Patients</w:t>
            </w:r>
            <w:r>
              <w:t xml:space="preserve"> from the main menu.</w:t>
            </w:r>
          </w:p>
          <w:p w14:paraId="4289CE2A" w14:textId="77777777" w:rsidR="00413A92" w:rsidRDefault="00413A92" w:rsidP="00644B37">
            <w:pPr>
              <w:pStyle w:val="TableTextNumbersContinued"/>
            </w:pPr>
          </w:p>
          <w:p w14:paraId="3BB70B6F" w14:textId="77777777" w:rsidR="00413A92" w:rsidRDefault="00413A92" w:rsidP="00644B37">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783E638F" w14:textId="77777777" w:rsidR="00413A92" w:rsidRDefault="00413A92" w:rsidP="00644B37">
            <w:pPr>
              <w:pStyle w:val="TableTextBullet"/>
            </w:pPr>
            <w:r>
              <w:t xml:space="preserve">Displays options for processing patient-related functions. </w:t>
            </w:r>
          </w:p>
          <w:p w14:paraId="0C7E54AC" w14:textId="77777777" w:rsidR="00413A92" w:rsidRDefault="00413A92" w:rsidP="00644B37">
            <w:pPr>
              <w:pStyle w:val="TableTextBullet"/>
            </w:pPr>
            <w:r>
              <w:t>Displays the Pending Task List (PTL) in the Diagnostic Tests tab.</w:t>
            </w:r>
          </w:p>
          <w:p w14:paraId="6582F75D" w14:textId="77777777" w:rsidR="00413A92" w:rsidRDefault="00413A92" w:rsidP="00644B37">
            <w:pPr>
              <w:pStyle w:val="NotesText"/>
            </w:pPr>
          </w:p>
          <w:p w14:paraId="6C58A36B" w14:textId="7C36AFE9" w:rsidR="00413A92" w:rsidRDefault="00413A92" w:rsidP="00644B37">
            <w:pPr>
              <w:pStyle w:val="TableText"/>
              <w:rPr>
                <w:b/>
                <w:bCs/>
                <w:szCs w:val="18"/>
              </w:rPr>
            </w:pPr>
            <w:r>
              <w:rPr>
                <w:b/>
                <w:bCs/>
                <w:szCs w:val="18"/>
              </w:rPr>
              <w:t>NOTES</w:t>
            </w:r>
          </w:p>
          <w:p w14:paraId="1F822AA5" w14:textId="77777777" w:rsidR="00413A92" w:rsidRDefault="00413A92" w:rsidP="00644B37">
            <w:pPr>
              <w:pStyle w:val="NotesText"/>
            </w:pPr>
          </w:p>
          <w:p w14:paraId="5FAACFA2" w14:textId="77777777" w:rsidR="00413A92" w:rsidRDefault="00413A92" w:rsidP="00644B37">
            <w:pPr>
              <w:pStyle w:val="NotesText"/>
            </w:pPr>
            <w:r>
              <w:t>A user may search for specific tasks using search criteria detailed in Pending Task List.</w:t>
            </w:r>
          </w:p>
        </w:tc>
      </w:tr>
      <w:tr w:rsidR="008E6E94" w14:paraId="333868ED" w14:textId="77777777">
        <w:tc>
          <w:tcPr>
            <w:tcW w:w="3240" w:type="dxa"/>
          </w:tcPr>
          <w:p w14:paraId="287523DF" w14:textId="77777777" w:rsidR="008E6E94" w:rsidRDefault="008E6E94" w:rsidP="007A413F">
            <w:pPr>
              <w:pStyle w:val="TableTextNumbers"/>
            </w:pPr>
            <w:r>
              <w:t>Click a check box in the PTL to select a task.</w:t>
            </w:r>
          </w:p>
          <w:p w14:paraId="30EDF7E1" w14:textId="77777777" w:rsidR="00432A30" w:rsidRDefault="00432A30" w:rsidP="00432A30">
            <w:pPr>
              <w:pStyle w:val="TableTextNumbersContinued"/>
            </w:pPr>
          </w:p>
          <w:p w14:paraId="344B52B9" w14:textId="77777777" w:rsidR="00432A30" w:rsidRDefault="00432A30" w:rsidP="00432A30">
            <w:pPr>
              <w:pStyle w:val="TableTextNumbersContinued"/>
            </w:pPr>
            <w:r>
              <w:t xml:space="preserve">Click </w:t>
            </w:r>
            <w:r w:rsidRPr="00432A30">
              <w:rPr>
                <w:b/>
              </w:rPr>
              <w:t>OK</w:t>
            </w:r>
            <w:r>
              <w:t>.</w:t>
            </w:r>
          </w:p>
        </w:tc>
        <w:tc>
          <w:tcPr>
            <w:tcW w:w="6120" w:type="dxa"/>
          </w:tcPr>
          <w:p w14:paraId="48B150D5" w14:textId="77777777" w:rsidR="008E6E94" w:rsidRDefault="008E6E94" w:rsidP="001E4DCC">
            <w:pPr>
              <w:pStyle w:val="TableTextBullet"/>
            </w:pPr>
            <w:r>
              <w:t>Displays TRW patient order information and allows the user to indicate which portion of the TRW to perform</w:t>
            </w:r>
            <w:r w:rsidR="001E4DCC">
              <w:t xml:space="preserve"> (i</w:t>
            </w:r>
            <w:r>
              <w:t>nitial clerical and specimen checks</w:t>
            </w:r>
            <w:r w:rsidR="001E4DCC">
              <w:t>).</w:t>
            </w:r>
          </w:p>
          <w:p w14:paraId="5576DC1C" w14:textId="77777777" w:rsidR="008E6E94" w:rsidRDefault="008E6E94" w:rsidP="007A413F">
            <w:pPr>
              <w:pStyle w:val="TableText"/>
            </w:pPr>
          </w:p>
          <w:p w14:paraId="4BE70B1E" w14:textId="59077262" w:rsidR="008E6E94" w:rsidRDefault="008E6E94" w:rsidP="007A413F">
            <w:pPr>
              <w:pStyle w:val="TableText"/>
              <w:rPr>
                <w:b/>
                <w:bCs/>
                <w:szCs w:val="18"/>
              </w:rPr>
            </w:pPr>
            <w:r>
              <w:rPr>
                <w:b/>
                <w:bCs/>
                <w:szCs w:val="18"/>
              </w:rPr>
              <w:t>NOTES</w:t>
            </w:r>
          </w:p>
          <w:p w14:paraId="79A25BC8" w14:textId="77777777" w:rsidR="008E6E94" w:rsidRDefault="008E6E94" w:rsidP="007A413F">
            <w:pPr>
              <w:pStyle w:val="NotesText"/>
            </w:pPr>
          </w:p>
          <w:p w14:paraId="64A7F859" w14:textId="77777777" w:rsidR="008E6E94" w:rsidRDefault="008E6E94" w:rsidP="007A413F">
            <w:pPr>
              <w:pStyle w:val="NotesText"/>
            </w:pPr>
            <w:r>
              <w:rPr>
                <w:rFonts w:cs="Arial"/>
                <w:vanish/>
              </w:rPr>
              <w:t xml:space="preserve">BR_21.08 </w:t>
            </w:r>
            <w:r>
              <w:t>The TRW patient name and patient ID are visible at all times.</w:t>
            </w:r>
          </w:p>
          <w:p w14:paraId="1AEF4F5E" w14:textId="77777777" w:rsidR="008E6E94" w:rsidRDefault="008E6E94" w:rsidP="007A413F">
            <w:pPr>
              <w:pStyle w:val="NotesText"/>
            </w:pPr>
          </w:p>
          <w:p w14:paraId="69C4853D" w14:textId="77777777" w:rsidR="008E6E94" w:rsidRDefault="008E6E94" w:rsidP="007A413F">
            <w:pPr>
              <w:pStyle w:val="NotesText"/>
            </w:pPr>
            <w:r>
              <w:rPr>
                <w:rFonts w:cs="Arial"/>
                <w:vanish/>
              </w:rPr>
              <w:t xml:space="preserve">BR_21.09 </w:t>
            </w:r>
            <w:r>
              <w:t>Initial clerical and specimen checks must be performed before TRW serologic testing is available.</w:t>
            </w:r>
          </w:p>
        </w:tc>
      </w:tr>
      <w:tr w:rsidR="008E6E94" w14:paraId="66232CC1" w14:textId="77777777">
        <w:tc>
          <w:tcPr>
            <w:tcW w:w="3240" w:type="dxa"/>
            <w:tcBorders>
              <w:top w:val="single" w:sz="4" w:space="0" w:color="auto"/>
              <w:left w:val="single" w:sz="4" w:space="0" w:color="auto"/>
              <w:bottom w:val="single" w:sz="4" w:space="0" w:color="auto"/>
              <w:right w:val="single" w:sz="4" w:space="0" w:color="auto"/>
            </w:tcBorders>
          </w:tcPr>
          <w:p w14:paraId="161E17EE" w14:textId="77777777" w:rsidR="008E6E94" w:rsidRDefault="00A01C54" w:rsidP="00C92B1A">
            <w:pPr>
              <w:pStyle w:val="TableTextNumbers"/>
            </w:pPr>
            <w:r>
              <w:t>Enter the date</w:t>
            </w:r>
            <w:r w:rsidR="00750760">
              <w:t xml:space="preserve"> the</w:t>
            </w:r>
            <w:r>
              <w:t xml:space="preserve"> transfusion reaction was noted and the date it was investigated.</w:t>
            </w:r>
          </w:p>
        </w:tc>
        <w:tc>
          <w:tcPr>
            <w:tcW w:w="6120" w:type="dxa"/>
            <w:tcBorders>
              <w:top w:val="single" w:sz="4" w:space="0" w:color="auto"/>
              <w:left w:val="single" w:sz="4" w:space="0" w:color="auto"/>
              <w:bottom w:val="single" w:sz="4" w:space="0" w:color="auto"/>
              <w:right w:val="single" w:sz="4" w:space="0" w:color="auto"/>
            </w:tcBorders>
          </w:tcPr>
          <w:p w14:paraId="1B88B20C" w14:textId="77777777" w:rsidR="008E6E94" w:rsidRDefault="008E6E94" w:rsidP="007A413F">
            <w:pPr>
              <w:pStyle w:val="TableTextBullet"/>
            </w:pPr>
            <w:r>
              <w:t>Allows the user to document observations about the pre- and post-transfusion specimens.</w:t>
            </w:r>
          </w:p>
        </w:tc>
      </w:tr>
      <w:tr w:rsidR="008E6E94" w14:paraId="1A4B0EC0" w14:textId="77777777">
        <w:tc>
          <w:tcPr>
            <w:tcW w:w="3240" w:type="dxa"/>
            <w:tcBorders>
              <w:top w:val="single" w:sz="4" w:space="0" w:color="auto"/>
              <w:left w:val="single" w:sz="4" w:space="0" w:color="auto"/>
              <w:bottom w:val="single" w:sz="4" w:space="0" w:color="auto"/>
              <w:right w:val="single" w:sz="4" w:space="0" w:color="auto"/>
            </w:tcBorders>
          </w:tcPr>
          <w:p w14:paraId="6E78E35E" w14:textId="7FAD959A" w:rsidR="00C92B1A" w:rsidRDefault="00C92B1A" w:rsidP="00C92B1A">
            <w:pPr>
              <w:pStyle w:val="TableTextNumbers"/>
            </w:pPr>
            <w:r>
              <w:t>Click a radio button in the Specimen Checks tab to indicate whether pre- and post-transfusion specimens are available</w:t>
            </w:r>
            <w:r w:rsidR="00750760">
              <w:t xml:space="preserve"> (</w:t>
            </w:r>
            <w:r w:rsidR="008534C3">
              <w:fldChar w:fldCharType="begin"/>
            </w:r>
            <w:r w:rsidR="008534C3">
              <w:instrText xml:space="preserve"> REF _Ref127771180 \h </w:instrText>
            </w:r>
            <w:r w:rsidR="008534C3">
              <w:fldChar w:fldCharType="separate"/>
            </w:r>
            <w:r w:rsidR="004353ED">
              <w:t xml:space="preserve">Figure </w:t>
            </w:r>
            <w:r w:rsidR="004353ED">
              <w:rPr>
                <w:noProof/>
              </w:rPr>
              <w:t>129</w:t>
            </w:r>
            <w:r w:rsidR="008534C3">
              <w:fldChar w:fldCharType="end"/>
            </w:r>
            <w:r w:rsidR="00750760">
              <w:t>)</w:t>
            </w:r>
            <w:r>
              <w:t>.</w:t>
            </w:r>
          </w:p>
          <w:p w14:paraId="2EB785A2" w14:textId="77777777" w:rsidR="00C92B1A" w:rsidRPr="00C92B1A" w:rsidRDefault="00C92B1A" w:rsidP="00C92B1A">
            <w:pPr>
              <w:pStyle w:val="TableTextNumbersContinued"/>
            </w:pPr>
          </w:p>
          <w:p w14:paraId="518E74B0" w14:textId="77777777" w:rsidR="008E6E94" w:rsidRDefault="00C92B1A" w:rsidP="00C92B1A">
            <w:pPr>
              <w:pStyle w:val="TableTextNumbersContinued"/>
            </w:pPr>
            <w:r>
              <w:t>Scan or enter specimen UIDs in the Specimen UID field</w:t>
            </w:r>
            <w:r w:rsidR="00880C72">
              <w:t>s</w:t>
            </w:r>
            <w:r>
              <w:t xml:space="preserve"> and enter comments, as required. </w:t>
            </w:r>
          </w:p>
          <w:p w14:paraId="611F5FCC" w14:textId="77777777" w:rsidR="00A36884" w:rsidRDefault="00A36884" w:rsidP="00C92B1A">
            <w:pPr>
              <w:pStyle w:val="TableTextNumbersContinued"/>
            </w:pPr>
          </w:p>
          <w:p w14:paraId="0BAB097A" w14:textId="77777777" w:rsidR="00A36884" w:rsidRDefault="00A36884" w:rsidP="00C92B1A">
            <w:pPr>
              <w:pStyle w:val="TableTextNumbersContinued"/>
            </w:pPr>
            <w:r>
              <w:t>Select an item from the drop-down menu in the Hemolysis Inspection field.</w:t>
            </w:r>
          </w:p>
        </w:tc>
        <w:tc>
          <w:tcPr>
            <w:tcW w:w="6120" w:type="dxa"/>
            <w:tcBorders>
              <w:top w:val="single" w:sz="4" w:space="0" w:color="auto"/>
              <w:left w:val="single" w:sz="4" w:space="0" w:color="auto"/>
              <w:bottom w:val="single" w:sz="4" w:space="0" w:color="auto"/>
              <w:right w:val="single" w:sz="4" w:space="0" w:color="auto"/>
            </w:tcBorders>
          </w:tcPr>
          <w:p w14:paraId="3B97442B" w14:textId="77777777" w:rsidR="008E6E94" w:rsidRDefault="008E6E94" w:rsidP="007A413F">
            <w:pPr>
              <w:pStyle w:val="TableTextBullet"/>
            </w:pPr>
            <w:r>
              <w:t xml:space="preserve">Allows the user to enter the date and time the transfusion reaction was noted (provided by the clinician) and the date and time of the investigation (default: current date and time). </w:t>
            </w:r>
          </w:p>
          <w:p w14:paraId="351EFDF6" w14:textId="77777777" w:rsidR="008E6E94" w:rsidRDefault="008E6E94" w:rsidP="007A413F">
            <w:pPr>
              <w:pStyle w:val="TableText"/>
            </w:pPr>
          </w:p>
          <w:p w14:paraId="0101A621" w14:textId="0DBBF372" w:rsidR="008E6E94" w:rsidRDefault="008E6E94" w:rsidP="007A413F">
            <w:pPr>
              <w:pStyle w:val="TableText"/>
              <w:rPr>
                <w:b/>
                <w:bCs/>
                <w:szCs w:val="18"/>
              </w:rPr>
            </w:pPr>
            <w:r>
              <w:rPr>
                <w:b/>
                <w:bCs/>
                <w:szCs w:val="18"/>
              </w:rPr>
              <w:t>NOTES</w:t>
            </w:r>
          </w:p>
          <w:p w14:paraId="374EF8B6" w14:textId="77777777" w:rsidR="008E6E94" w:rsidRDefault="008E6E94" w:rsidP="007A413F">
            <w:pPr>
              <w:pStyle w:val="NotesText"/>
            </w:pPr>
          </w:p>
          <w:p w14:paraId="6BA824D9" w14:textId="77777777" w:rsidR="008E6E94" w:rsidRDefault="008E6E94" w:rsidP="007A413F">
            <w:pPr>
              <w:pStyle w:val="NotesText"/>
            </w:pPr>
            <w:r>
              <w:rPr>
                <w:rFonts w:cs="Arial"/>
                <w:vanish/>
              </w:rPr>
              <w:t xml:space="preserve">BR_21.15 </w:t>
            </w:r>
            <w:r>
              <w:t>When the pre- and/or post-transfusion samples are available to perform the clerical check, VBECS requires the user to indicate whether the clerical check is okay.</w:t>
            </w:r>
          </w:p>
          <w:p w14:paraId="2C9A901F" w14:textId="77777777" w:rsidR="008E6E94" w:rsidRDefault="008E6E94" w:rsidP="007A413F">
            <w:pPr>
              <w:pStyle w:val="NotesText"/>
            </w:pPr>
          </w:p>
          <w:p w14:paraId="4097AF55" w14:textId="77777777" w:rsidR="008E6E94" w:rsidRDefault="008E6E94" w:rsidP="007A413F">
            <w:pPr>
              <w:pStyle w:val="NotesText"/>
            </w:pPr>
            <w:r>
              <w:rPr>
                <w:rFonts w:cs="Arial"/>
                <w:vanish/>
              </w:rPr>
              <w:t xml:space="preserve">BR_21.17 </w:t>
            </w:r>
            <w:r>
              <w:t xml:space="preserve">VBECS allows the user to scan or enter the pre- and post-transfusion specimen UIDs. VBECS compares the patient name and ID associated with each specimen UID to those associated with the TRW workup. </w:t>
            </w:r>
          </w:p>
          <w:p w14:paraId="162E20F4" w14:textId="77777777" w:rsidR="008E6E94" w:rsidRDefault="008E6E94" w:rsidP="007A413F">
            <w:pPr>
              <w:pStyle w:val="NotesText"/>
            </w:pPr>
          </w:p>
          <w:p w14:paraId="02B2F8A7" w14:textId="77777777" w:rsidR="008E6E94" w:rsidRDefault="008E6E94" w:rsidP="007A413F">
            <w:pPr>
              <w:pStyle w:val="NotesText"/>
            </w:pPr>
            <w:r>
              <w:rPr>
                <w:rFonts w:cs="Arial"/>
                <w:vanish/>
              </w:rPr>
              <w:t>BR_21.33</w:t>
            </w:r>
            <w:r w:rsidRPr="00323744">
              <w:rPr>
                <w:rStyle w:val="BullhornChar"/>
              </w:rPr>
              <w:t></w:t>
            </w:r>
            <w:r>
              <w:rPr>
                <w:rFonts w:ascii="Webdings" w:hAnsi="Webdings"/>
              </w:rPr>
              <w:t></w:t>
            </w:r>
            <w:r w:rsidRPr="00263B24">
              <w:t>Wh</w:t>
            </w:r>
            <w:r>
              <w:t>en the patient name does not match VBECS data for the TRW patient, VBECS emits an audible alert, warns the user, and instructs him to notify the physician immediately. VBECS allows the user to reenter the specimen UID or verify that the data are correct. VBECS requires a comment when there is no match and captures details for inclusion in an Exception Report (exception type: Transfusion Reaction Workup Specimen).</w:t>
            </w:r>
          </w:p>
          <w:p w14:paraId="26F9C123" w14:textId="77777777" w:rsidR="008E6E94" w:rsidRDefault="008E6E94" w:rsidP="007A413F">
            <w:pPr>
              <w:pStyle w:val="NotesText"/>
            </w:pPr>
          </w:p>
          <w:p w14:paraId="56732479" w14:textId="77777777" w:rsidR="008E6E94" w:rsidRDefault="008E6E94" w:rsidP="007A413F">
            <w:pPr>
              <w:pStyle w:val="NotesText"/>
            </w:pPr>
            <w:r>
              <w:rPr>
                <w:rFonts w:cs="Arial"/>
                <w:vanish/>
              </w:rPr>
              <w:t xml:space="preserve">BR_21.18 </w:t>
            </w:r>
            <w:r>
              <w:t xml:space="preserve">The user may enter “icteric,” “absent,” “1+,” “2+,” “3+,” or “4+” in the Hemolysis Inspection field to identify the presence or </w:t>
            </w:r>
            <w:r>
              <w:lastRenderedPageBreak/>
              <w:t xml:space="preserve">absence of hemolysis in the pre- and post-transfusion patient specimens or blood container, when available. </w:t>
            </w:r>
          </w:p>
        </w:tc>
      </w:tr>
      <w:tr w:rsidR="00C92B1A" w14:paraId="64F387BE" w14:textId="77777777">
        <w:tc>
          <w:tcPr>
            <w:tcW w:w="3240" w:type="dxa"/>
            <w:tcBorders>
              <w:top w:val="single" w:sz="4" w:space="0" w:color="auto"/>
              <w:left w:val="single" w:sz="4" w:space="0" w:color="auto"/>
              <w:bottom w:val="single" w:sz="4" w:space="0" w:color="auto"/>
              <w:right w:val="single" w:sz="4" w:space="0" w:color="auto"/>
            </w:tcBorders>
          </w:tcPr>
          <w:p w14:paraId="4C819897" w14:textId="38B211A7" w:rsidR="00C92B1A" w:rsidRDefault="00C92B1A" w:rsidP="00A12663">
            <w:pPr>
              <w:pStyle w:val="TableTextNumbers"/>
            </w:pPr>
            <w:r>
              <w:lastRenderedPageBreak/>
              <w:t xml:space="preserve">Click the </w:t>
            </w:r>
            <w:r>
              <w:rPr>
                <w:b/>
              </w:rPr>
              <w:t>Clerical Check OK</w:t>
            </w:r>
            <w:r>
              <w:t xml:space="preserve"> or </w:t>
            </w:r>
            <w:r>
              <w:rPr>
                <w:b/>
              </w:rPr>
              <w:t xml:space="preserve">Clerical Check Failed </w:t>
            </w:r>
            <w:r w:rsidRPr="00BF2E41">
              <w:t>radio button</w:t>
            </w:r>
            <w:r>
              <w:t xml:space="preserve"> to perform initial clerical and identification checks</w:t>
            </w:r>
            <w:r w:rsidR="00750760">
              <w:t xml:space="preserve"> (</w:t>
            </w:r>
            <w:r w:rsidR="007B0EF4">
              <w:fldChar w:fldCharType="begin"/>
            </w:r>
            <w:r w:rsidR="007B0EF4">
              <w:instrText xml:space="preserve"> REF _Ref127771990 \h </w:instrText>
            </w:r>
            <w:r w:rsidR="007B0EF4">
              <w:fldChar w:fldCharType="separate"/>
            </w:r>
            <w:r w:rsidR="004353ED">
              <w:t xml:space="preserve">Figure </w:t>
            </w:r>
            <w:r w:rsidR="004353ED">
              <w:rPr>
                <w:noProof/>
              </w:rPr>
              <w:t>130</w:t>
            </w:r>
            <w:r w:rsidR="007B0EF4">
              <w:fldChar w:fldCharType="end"/>
            </w:r>
            <w:r w:rsidR="00750760">
              <w:t>)</w:t>
            </w:r>
            <w:r>
              <w:t>.</w:t>
            </w:r>
          </w:p>
        </w:tc>
        <w:tc>
          <w:tcPr>
            <w:tcW w:w="6120" w:type="dxa"/>
            <w:tcBorders>
              <w:top w:val="single" w:sz="4" w:space="0" w:color="auto"/>
              <w:left w:val="single" w:sz="4" w:space="0" w:color="auto"/>
              <w:bottom w:val="single" w:sz="4" w:space="0" w:color="auto"/>
              <w:right w:val="single" w:sz="4" w:space="0" w:color="auto"/>
            </w:tcBorders>
          </w:tcPr>
          <w:p w14:paraId="22C7C594" w14:textId="77777777" w:rsidR="00C92B1A" w:rsidRDefault="00C92B1A" w:rsidP="007A413F">
            <w:pPr>
              <w:pStyle w:val="TableText"/>
            </w:pPr>
          </w:p>
        </w:tc>
      </w:tr>
      <w:tr w:rsidR="00A12663" w14:paraId="5D3D8D64" w14:textId="77777777">
        <w:tc>
          <w:tcPr>
            <w:tcW w:w="3240" w:type="dxa"/>
            <w:tcBorders>
              <w:top w:val="single" w:sz="4" w:space="0" w:color="auto"/>
              <w:left w:val="single" w:sz="4" w:space="0" w:color="auto"/>
              <w:bottom w:val="single" w:sz="4" w:space="0" w:color="auto"/>
              <w:right w:val="single" w:sz="4" w:space="0" w:color="auto"/>
            </w:tcBorders>
          </w:tcPr>
          <w:p w14:paraId="6DAB8114" w14:textId="77777777" w:rsidR="00A12663" w:rsidRDefault="00A12663" w:rsidP="007A413F">
            <w:pPr>
              <w:pStyle w:val="TableTextNumbers"/>
            </w:pPr>
            <w:r>
              <w:t xml:space="preserve">Click </w:t>
            </w:r>
            <w:r w:rsidRPr="00C92B1A">
              <w:rPr>
                <w:b/>
              </w:rPr>
              <w:t>OK</w:t>
            </w:r>
            <w:r>
              <w:t xml:space="preserve"> to save, and </w:t>
            </w:r>
            <w:r>
              <w:rPr>
                <w:b/>
              </w:rPr>
              <w:t>Yes</w:t>
            </w:r>
            <w:r>
              <w:t xml:space="preserve"> to confirm the save.</w:t>
            </w:r>
          </w:p>
        </w:tc>
        <w:tc>
          <w:tcPr>
            <w:tcW w:w="6120" w:type="dxa"/>
            <w:tcBorders>
              <w:top w:val="single" w:sz="4" w:space="0" w:color="auto"/>
              <w:left w:val="single" w:sz="4" w:space="0" w:color="auto"/>
              <w:bottom w:val="single" w:sz="4" w:space="0" w:color="auto"/>
              <w:right w:val="single" w:sz="4" w:space="0" w:color="auto"/>
            </w:tcBorders>
          </w:tcPr>
          <w:p w14:paraId="6783BC2C" w14:textId="77777777" w:rsidR="00120B78" w:rsidRDefault="00120B78" w:rsidP="00120B78">
            <w:pPr>
              <w:pStyle w:val="TableText"/>
            </w:pPr>
          </w:p>
          <w:p w14:paraId="43D6D101" w14:textId="7E7707B8" w:rsidR="00A12663" w:rsidRDefault="00A12663" w:rsidP="00A12663">
            <w:pPr>
              <w:pStyle w:val="TableText"/>
              <w:rPr>
                <w:b/>
                <w:bCs/>
                <w:szCs w:val="18"/>
              </w:rPr>
            </w:pPr>
            <w:r>
              <w:rPr>
                <w:b/>
                <w:bCs/>
                <w:szCs w:val="18"/>
              </w:rPr>
              <w:t>NOTES</w:t>
            </w:r>
          </w:p>
          <w:p w14:paraId="231CF838" w14:textId="77777777" w:rsidR="00A12663" w:rsidRDefault="00A12663" w:rsidP="00120B78">
            <w:pPr>
              <w:pStyle w:val="NotesText"/>
            </w:pPr>
          </w:p>
          <w:p w14:paraId="296B428E" w14:textId="77777777" w:rsidR="00120B78" w:rsidRDefault="00120B78" w:rsidP="00120B78">
            <w:pPr>
              <w:pStyle w:val="NotesText"/>
            </w:pPr>
            <w:r>
              <w:rPr>
                <w:rFonts w:cs="Arial"/>
                <w:vanish/>
              </w:rPr>
              <w:t xml:space="preserve">BR_21.11 </w:t>
            </w:r>
            <w:r>
              <w:t>When the user exits and saves the data, VBECS changes the task status of the TRW to “partially completed.”</w:t>
            </w:r>
          </w:p>
          <w:p w14:paraId="12E4FCA2" w14:textId="77777777" w:rsidR="00120B78" w:rsidRDefault="00120B78" w:rsidP="00120B78">
            <w:pPr>
              <w:pStyle w:val="NotesText"/>
            </w:pPr>
          </w:p>
          <w:p w14:paraId="75BC8B6B" w14:textId="77777777" w:rsidR="00A12663" w:rsidRDefault="00A12663" w:rsidP="00A12663">
            <w:pPr>
              <w:pStyle w:val="NotesText"/>
            </w:pPr>
            <w:r>
              <w:t>A partially completed TRW may be corrected only by invalidating and reentering the TRW.</w:t>
            </w:r>
          </w:p>
        </w:tc>
      </w:tr>
      <w:tr w:rsidR="008E6E94" w14:paraId="68533B0A" w14:textId="77777777">
        <w:tc>
          <w:tcPr>
            <w:tcW w:w="3240" w:type="dxa"/>
            <w:tcBorders>
              <w:top w:val="single" w:sz="4" w:space="0" w:color="auto"/>
              <w:left w:val="single" w:sz="4" w:space="0" w:color="auto"/>
              <w:bottom w:val="single" w:sz="4" w:space="0" w:color="auto"/>
              <w:right w:val="single" w:sz="4" w:space="0" w:color="auto"/>
            </w:tcBorders>
          </w:tcPr>
          <w:p w14:paraId="1D66298B" w14:textId="77777777" w:rsidR="008E6E94" w:rsidRDefault="008E6E94" w:rsidP="007A413F">
            <w:pPr>
              <w:pStyle w:val="TableTextNumbers"/>
            </w:pPr>
            <w:r>
              <w:t xml:space="preserve">Enter the date and time of the transfusion reaction </w:t>
            </w:r>
            <w:r w:rsidR="00685492">
              <w:t>noted</w:t>
            </w:r>
            <w:r>
              <w:t xml:space="preserve"> by the clinician and the date and time of the reaction investigation.</w:t>
            </w:r>
          </w:p>
        </w:tc>
        <w:tc>
          <w:tcPr>
            <w:tcW w:w="6120" w:type="dxa"/>
            <w:tcBorders>
              <w:top w:val="single" w:sz="4" w:space="0" w:color="auto"/>
              <w:left w:val="single" w:sz="4" w:space="0" w:color="auto"/>
              <w:bottom w:val="single" w:sz="4" w:space="0" w:color="auto"/>
              <w:right w:val="single" w:sz="4" w:space="0" w:color="auto"/>
            </w:tcBorders>
          </w:tcPr>
          <w:p w14:paraId="735488C4" w14:textId="77777777" w:rsidR="008E6E94" w:rsidRDefault="008E6E94" w:rsidP="007A413F">
            <w:pPr>
              <w:pStyle w:val="TableText"/>
            </w:pPr>
          </w:p>
          <w:p w14:paraId="0D0FCE27" w14:textId="37701D99" w:rsidR="008E6E94" w:rsidRDefault="008E6E94" w:rsidP="007A413F">
            <w:pPr>
              <w:pStyle w:val="TableText"/>
              <w:rPr>
                <w:b/>
                <w:bCs/>
                <w:szCs w:val="18"/>
              </w:rPr>
            </w:pPr>
            <w:r>
              <w:rPr>
                <w:b/>
                <w:bCs/>
                <w:szCs w:val="18"/>
              </w:rPr>
              <w:t>NOTES</w:t>
            </w:r>
          </w:p>
          <w:p w14:paraId="326466E4" w14:textId="77777777" w:rsidR="008E6E94" w:rsidRDefault="008E6E94" w:rsidP="007A413F">
            <w:pPr>
              <w:pStyle w:val="NotesText"/>
            </w:pPr>
          </w:p>
          <w:p w14:paraId="50CBFF8F" w14:textId="77777777" w:rsidR="008E6E94" w:rsidRDefault="008E6E94" w:rsidP="007A413F">
            <w:pPr>
              <w:pStyle w:val="NotesText"/>
            </w:pPr>
            <w:r>
              <w:rPr>
                <w:rFonts w:cs="Arial"/>
                <w:vanish/>
              </w:rPr>
              <w:t xml:space="preserve">BR_21.01 </w:t>
            </w:r>
            <w:r>
              <w:t xml:space="preserve">VBECS allows the user to enter the date and time of the reaction noted by the clinician. </w:t>
            </w:r>
          </w:p>
          <w:p w14:paraId="3D17FCC6" w14:textId="77777777" w:rsidR="008E6E94" w:rsidRDefault="008E6E94" w:rsidP="007A413F">
            <w:pPr>
              <w:pStyle w:val="NotesText"/>
            </w:pPr>
          </w:p>
          <w:p w14:paraId="5C48FA04" w14:textId="77777777" w:rsidR="008E6E94" w:rsidRDefault="008E6E94" w:rsidP="007A413F">
            <w:pPr>
              <w:pStyle w:val="NotesText"/>
            </w:pPr>
            <w:r>
              <w:rPr>
                <w:rFonts w:cs="Arial"/>
                <w:vanish/>
              </w:rPr>
              <w:t xml:space="preserve">BR_21.02 </w:t>
            </w:r>
            <w:r>
              <w:t>When the implicated unit is unknown, VBECS allows the user to continue without identifying a unit or entering implicated unit information.</w:t>
            </w:r>
          </w:p>
          <w:p w14:paraId="76AC4D3B" w14:textId="77777777" w:rsidR="008E6E94" w:rsidRDefault="008E6E94" w:rsidP="007A413F">
            <w:pPr>
              <w:pStyle w:val="NotesText"/>
            </w:pPr>
          </w:p>
          <w:p w14:paraId="4B1BD236" w14:textId="77777777" w:rsidR="008E6E94" w:rsidRDefault="008E6E94" w:rsidP="007A413F">
            <w:pPr>
              <w:pStyle w:val="NotesText"/>
            </w:pPr>
            <w:r>
              <w:rPr>
                <w:rFonts w:cs="Arial"/>
                <w:vanish/>
              </w:rPr>
              <w:t xml:space="preserve">BR_21.19 </w:t>
            </w:r>
            <w:r>
              <w:t>VBECS requires the user to enter the date and time of the TRW investigation (default: current date and time), including a date and time in the past for retrospective data entry. The user may not enter a future date and time.</w:t>
            </w:r>
          </w:p>
          <w:p w14:paraId="055C2C2D" w14:textId="77777777" w:rsidR="008E6E94" w:rsidRDefault="008E6E94" w:rsidP="007A413F">
            <w:pPr>
              <w:pStyle w:val="NotesText"/>
            </w:pPr>
          </w:p>
          <w:p w14:paraId="3C17638F" w14:textId="77777777" w:rsidR="008E6E94" w:rsidRDefault="008E6E94" w:rsidP="00E61994">
            <w:pPr>
              <w:pStyle w:val="NotesText"/>
            </w:pPr>
            <w:r>
              <w:t xml:space="preserve">If the user indicates that implicated units are unknown, he continues at Step </w:t>
            </w:r>
            <w:r w:rsidR="00E61994">
              <w:t>10</w:t>
            </w:r>
            <w:r>
              <w:t>.</w:t>
            </w:r>
          </w:p>
        </w:tc>
      </w:tr>
      <w:tr w:rsidR="008E6E94" w14:paraId="18280467" w14:textId="77777777">
        <w:tc>
          <w:tcPr>
            <w:tcW w:w="3240" w:type="dxa"/>
            <w:tcBorders>
              <w:top w:val="single" w:sz="4" w:space="0" w:color="auto"/>
              <w:left w:val="single" w:sz="4" w:space="0" w:color="auto"/>
              <w:bottom w:val="single" w:sz="4" w:space="0" w:color="auto"/>
              <w:right w:val="single" w:sz="4" w:space="0" w:color="auto"/>
            </w:tcBorders>
          </w:tcPr>
          <w:p w14:paraId="5C0CE385" w14:textId="77777777" w:rsidR="008F4AA6" w:rsidRDefault="00B44A92" w:rsidP="007A413F">
            <w:pPr>
              <w:pStyle w:val="TableTextNumbers"/>
            </w:pPr>
            <w:r>
              <w:t>In the Implicated Units tab, c</w:t>
            </w:r>
            <w:r w:rsidR="008E6E94">
              <w:t>lick the</w:t>
            </w:r>
            <w:r w:rsidR="008E6E94">
              <w:rPr>
                <w:b/>
              </w:rPr>
              <w:t xml:space="preserve"> Implicated Unit</w:t>
            </w:r>
            <w:r w:rsidR="00025A9B">
              <w:rPr>
                <w:b/>
              </w:rPr>
              <w:t>(</w:t>
            </w:r>
            <w:r w:rsidR="008E6E94">
              <w:rPr>
                <w:b/>
              </w:rPr>
              <w:t>s</w:t>
            </w:r>
            <w:r w:rsidR="00025A9B">
              <w:rPr>
                <w:b/>
              </w:rPr>
              <w:t>)</w:t>
            </w:r>
            <w:r w:rsidR="008E6E94">
              <w:rPr>
                <w:b/>
              </w:rPr>
              <w:t xml:space="preserve"> Identified </w:t>
            </w:r>
            <w:r w:rsidR="008E6E94" w:rsidRPr="00BF2E41">
              <w:t>radio button</w:t>
            </w:r>
            <w:r w:rsidR="0045387D">
              <w:t xml:space="preserve"> to select an implicated unit.</w:t>
            </w:r>
          </w:p>
          <w:p w14:paraId="75814CF0" w14:textId="77777777" w:rsidR="0045387D" w:rsidRDefault="0045387D" w:rsidP="0045387D">
            <w:pPr>
              <w:pStyle w:val="TableTextNumbersContinued"/>
            </w:pPr>
          </w:p>
          <w:p w14:paraId="7C719B67" w14:textId="77777777" w:rsidR="0045387D" w:rsidRDefault="0045387D" w:rsidP="0045387D">
            <w:pPr>
              <w:pStyle w:val="TableTextNumbersContinued"/>
            </w:pPr>
            <w:r>
              <w:t>Scan or enter the unit ID and product code.</w:t>
            </w:r>
          </w:p>
          <w:p w14:paraId="2D63C750" w14:textId="77777777" w:rsidR="0045387D" w:rsidRDefault="0045387D" w:rsidP="0045387D">
            <w:pPr>
              <w:pStyle w:val="TableTextNumbersContinued"/>
            </w:pPr>
          </w:p>
          <w:p w14:paraId="67E21C81" w14:textId="77777777" w:rsidR="0045387D" w:rsidRDefault="0045387D" w:rsidP="0045387D">
            <w:pPr>
              <w:pStyle w:val="TableTextNumbersContinued"/>
            </w:pPr>
            <w:r>
              <w:t xml:space="preserve">Click the </w:t>
            </w:r>
            <w:r w:rsidRPr="0045387D">
              <w:rPr>
                <w:b/>
              </w:rPr>
              <w:t>Blood Bag Returned</w:t>
            </w:r>
            <w:r>
              <w:t xml:space="preserve"> or </w:t>
            </w:r>
            <w:r w:rsidRPr="0045387D">
              <w:rPr>
                <w:b/>
              </w:rPr>
              <w:t xml:space="preserve">Blood Bank Not Returned </w:t>
            </w:r>
            <w:r w:rsidRPr="00BF2E41">
              <w:t>radio button</w:t>
            </w:r>
            <w:r>
              <w:t>.</w:t>
            </w:r>
          </w:p>
          <w:p w14:paraId="686C75E6" w14:textId="77777777" w:rsidR="00880C72" w:rsidRDefault="00880C72" w:rsidP="0045387D">
            <w:pPr>
              <w:pStyle w:val="TableTextNumbersContinued"/>
            </w:pPr>
          </w:p>
          <w:p w14:paraId="23F3EE1F" w14:textId="77777777" w:rsidR="00880C72" w:rsidRDefault="00880C72" w:rsidP="00880C72">
            <w:pPr>
              <w:pStyle w:val="TableTextNumbersContinued"/>
            </w:pPr>
            <w:r>
              <w:t>Select an item from the drop-down menu in the Hemolysis Inspection field.</w:t>
            </w:r>
          </w:p>
          <w:p w14:paraId="6002CE83" w14:textId="77777777" w:rsidR="00880C72" w:rsidRDefault="00880C72" w:rsidP="00880C72">
            <w:pPr>
              <w:pStyle w:val="TableTextNumbersContinued"/>
            </w:pPr>
          </w:p>
          <w:p w14:paraId="66B95AB8" w14:textId="77777777" w:rsidR="00880C72" w:rsidRDefault="00880C72" w:rsidP="00880C72">
            <w:pPr>
              <w:pStyle w:val="TableTextNumbersContinued"/>
            </w:pPr>
            <w:r>
              <w:t xml:space="preserve">Click the </w:t>
            </w:r>
            <w:r>
              <w:rPr>
                <w:b/>
              </w:rPr>
              <w:t>Clerical Check OK</w:t>
            </w:r>
            <w:r>
              <w:t xml:space="preserve"> or </w:t>
            </w:r>
            <w:r>
              <w:rPr>
                <w:b/>
              </w:rPr>
              <w:t xml:space="preserve">Clerical Check Failed </w:t>
            </w:r>
            <w:r w:rsidRPr="00BF2E41">
              <w:t>radio button</w:t>
            </w:r>
            <w:r>
              <w:t xml:space="preserve"> to perform initial clerical and identification checks.</w:t>
            </w:r>
          </w:p>
          <w:p w14:paraId="6FDA2A98" w14:textId="77777777" w:rsidR="008F4AA6" w:rsidRDefault="008F4AA6" w:rsidP="008F4AA6">
            <w:pPr>
              <w:pStyle w:val="TableTextNumbersContinued"/>
            </w:pPr>
          </w:p>
          <w:p w14:paraId="1FA0FCB0" w14:textId="010D0539" w:rsidR="00AA7470" w:rsidRDefault="00AA7470" w:rsidP="008F4AA6">
            <w:pPr>
              <w:pStyle w:val="TableTextNumbersContinued"/>
            </w:pPr>
            <w:r>
              <w:t>Enter a comment and details, as required</w:t>
            </w:r>
            <w:r w:rsidR="00750760">
              <w:t xml:space="preserve"> (</w:t>
            </w:r>
            <w:r w:rsidR="00D418A4">
              <w:fldChar w:fldCharType="begin"/>
            </w:r>
            <w:r w:rsidR="00D418A4">
              <w:instrText xml:space="preserve"> REF _Ref127774070 \h </w:instrText>
            </w:r>
            <w:r w:rsidR="00D418A4">
              <w:fldChar w:fldCharType="separate"/>
            </w:r>
            <w:r w:rsidR="004353ED">
              <w:t xml:space="preserve">Figure </w:t>
            </w:r>
            <w:r w:rsidR="004353ED">
              <w:rPr>
                <w:noProof/>
              </w:rPr>
              <w:t>131</w:t>
            </w:r>
            <w:r w:rsidR="00D418A4">
              <w:fldChar w:fldCharType="end"/>
            </w:r>
            <w:r w:rsidR="00750760">
              <w:t>)</w:t>
            </w:r>
            <w:r>
              <w:t>.</w:t>
            </w:r>
          </w:p>
          <w:p w14:paraId="7E0A9BF7" w14:textId="77777777" w:rsidR="00006D86" w:rsidRDefault="00006D86" w:rsidP="008F4AA6">
            <w:pPr>
              <w:pStyle w:val="TableTextNumbersContinued"/>
            </w:pPr>
          </w:p>
          <w:p w14:paraId="780E3D20" w14:textId="77777777" w:rsidR="00006D86" w:rsidRDefault="00006D86" w:rsidP="008F4AA6">
            <w:pPr>
              <w:pStyle w:val="TableTextNumbersContinued"/>
            </w:pPr>
            <w:r>
              <w:lastRenderedPageBreak/>
              <w:t xml:space="preserve">Click </w:t>
            </w:r>
            <w:r w:rsidRPr="00006D86">
              <w:rPr>
                <w:b/>
              </w:rPr>
              <w:t>Add</w:t>
            </w:r>
            <w:r>
              <w:t xml:space="preserve"> to add the unit.</w:t>
            </w:r>
          </w:p>
          <w:p w14:paraId="554BF221" w14:textId="77777777" w:rsidR="00AA7470" w:rsidRDefault="00AA7470" w:rsidP="008F4AA6">
            <w:pPr>
              <w:pStyle w:val="TableTextNumbersContinued"/>
            </w:pPr>
          </w:p>
          <w:p w14:paraId="5D94BF6B" w14:textId="77777777" w:rsidR="00025A9B" w:rsidRDefault="008E6E94" w:rsidP="008F4AA6">
            <w:pPr>
              <w:pStyle w:val="TableTextNumbersContinued"/>
            </w:pPr>
            <w:r>
              <w:t xml:space="preserve">or </w:t>
            </w:r>
          </w:p>
          <w:p w14:paraId="2E804723" w14:textId="77777777" w:rsidR="00025A9B" w:rsidRDefault="00025A9B" w:rsidP="008F4AA6">
            <w:pPr>
              <w:pStyle w:val="TableTextNumbersContinued"/>
            </w:pPr>
          </w:p>
          <w:p w14:paraId="0A35C656" w14:textId="77777777" w:rsidR="00025A9B" w:rsidRDefault="007B5D98" w:rsidP="008F4AA6">
            <w:pPr>
              <w:pStyle w:val="TableTextNumbersContinued"/>
            </w:pPr>
            <w:r>
              <w:t>C</w:t>
            </w:r>
            <w:r w:rsidR="008E6E94">
              <w:t xml:space="preserve">lick the </w:t>
            </w:r>
            <w:r w:rsidR="008E6E94">
              <w:rPr>
                <w:b/>
              </w:rPr>
              <w:t xml:space="preserve">No Implicated Units </w:t>
            </w:r>
            <w:r w:rsidR="008E6E94" w:rsidRPr="00BF2E41">
              <w:t>radio button</w:t>
            </w:r>
            <w:r w:rsidR="00025A9B">
              <w:t>.</w:t>
            </w:r>
          </w:p>
          <w:p w14:paraId="4C0682B2" w14:textId="77777777" w:rsidR="00025A9B" w:rsidRDefault="00025A9B" w:rsidP="008F4AA6">
            <w:pPr>
              <w:pStyle w:val="TableTextNumbersContinued"/>
            </w:pPr>
          </w:p>
          <w:p w14:paraId="30D0BC02" w14:textId="77777777" w:rsidR="008E6E94" w:rsidRDefault="00025A9B" w:rsidP="008F4AA6">
            <w:pPr>
              <w:pStyle w:val="TableTextNumbersContinued"/>
            </w:pPr>
            <w:r>
              <w:t xml:space="preserve">Click </w:t>
            </w:r>
            <w:r w:rsidRPr="00025A9B">
              <w:rPr>
                <w:b/>
              </w:rPr>
              <w:t>OK</w:t>
            </w:r>
            <w:r>
              <w:t xml:space="preserve"> to save</w:t>
            </w:r>
            <w:r w:rsidR="00006D86">
              <w:t xml:space="preserve">, and </w:t>
            </w:r>
            <w:r w:rsidR="00006D86" w:rsidRPr="00006D86">
              <w:rPr>
                <w:b/>
              </w:rPr>
              <w:t>Yes</w:t>
            </w:r>
            <w:r w:rsidR="00006D86">
              <w:t xml:space="preserve"> to confirm the save</w:t>
            </w:r>
            <w:r>
              <w:t>.</w:t>
            </w:r>
          </w:p>
        </w:tc>
        <w:tc>
          <w:tcPr>
            <w:tcW w:w="6120" w:type="dxa"/>
            <w:tcBorders>
              <w:top w:val="single" w:sz="4" w:space="0" w:color="auto"/>
              <w:left w:val="single" w:sz="4" w:space="0" w:color="auto"/>
              <w:bottom w:val="single" w:sz="4" w:space="0" w:color="auto"/>
              <w:right w:val="single" w:sz="4" w:space="0" w:color="auto"/>
            </w:tcBorders>
          </w:tcPr>
          <w:p w14:paraId="52C96E4B" w14:textId="77777777" w:rsidR="008E6E94" w:rsidRDefault="008E6E94" w:rsidP="007A413F">
            <w:pPr>
              <w:pStyle w:val="TableTextBullet"/>
            </w:pPr>
            <w:r>
              <w:rPr>
                <w:rFonts w:cs="Arial"/>
                <w:vanish/>
              </w:rPr>
              <w:lastRenderedPageBreak/>
              <w:t xml:space="preserve">BR_21.03 </w:t>
            </w:r>
            <w:r>
              <w:t>Allows the user to:</w:t>
            </w:r>
          </w:p>
          <w:p w14:paraId="14991DB9" w14:textId="77777777" w:rsidR="0045387D" w:rsidRDefault="0045387D" w:rsidP="0045387D">
            <w:pPr>
              <w:pStyle w:val="TableTextBullet1"/>
            </w:pPr>
            <w:r>
              <w:t>Enter implicated unit information.</w:t>
            </w:r>
          </w:p>
          <w:p w14:paraId="5115F9F4" w14:textId="77777777" w:rsidR="008E6E94" w:rsidRDefault="008E6E94" w:rsidP="007A413F">
            <w:pPr>
              <w:pStyle w:val="TableTextBullet1"/>
            </w:pPr>
            <w:r>
              <w:t>Indicate whether the bag and infusion set were returned.</w:t>
            </w:r>
          </w:p>
          <w:p w14:paraId="5322E4E0" w14:textId="77777777" w:rsidR="008E6E94" w:rsidRDefault="008E6E94" w:rsidP="007A413F">
            <w:pPr>
              <w:pStyle w:val="TableTextBullet1"/>
            </w:pPr>
            <w:r>
              <w:t>Review and/or edit the entered information.</w:t>
            </w:r>
          </w:p>
          <w:p w14:paraId="7CB33A0A" w14:textId="77777777" w:rsidR="008E6E94" w:rsidRDefault="008E6E94" w:rsidP="007A413F">
            <w:pPr>
              <w:pStyle w:val="TableText"/>
            </w:pPr>
          </w:p>
          <w:p w14:paraId="02C69B94" w14:textId="632C44E1" w:rsidR="008E6E94" w:rsidRDefault="008E6E94" w:rsidP="007A413F">
            <w:pPr>
              <w:pStyle w:val="TableText"/>
              <w:rPr>
                <w:b/>
                <w:bCs/>
                <w:szCs w:val="18"/>
              </w:rPr>
            </w:pPr>
            <w:r>
              <w:rPr>
                <w:b/>
                <w:bCs/>
                <w:szCs w:val="18"/>
              </w:rPr>
              <w:t>NOTES</w:t>
            </w:r>
          </w:p>
          <w:p w14:paraId="184B3FAE" w14:textId="77777777" w:rsidR="008E6E94" w:rsidRDefault="008E6E94" w:rsidP="007A413F">
            <w:pPr>
              <w:pStyle w:val="NotesText"/>
            </w:pPr>
          </w:p>
          <w:p w14:paraId="19D6B18F" w14:textId="77777777" w:rsidR="008E6E94" w:rsidRDefault="008E6E94" w:rsidP="007A413F">
            <w:pPr>
              <w:pStyle w:val="NotesText"/>
            </w:pPr>
            <w:r>
              <w:rPr>
                <w:rFonts w:cs="Arial"/>
                <w:vanish/>
              </w:rPr>
              <w:t xml:space="preserve">BR_21.10 </w:t>
            </w:r>
            <w:r>
              <w:t>When the user indicates that the blood bag was not returned, VBECS disables the hemolysis and clerical checks.</w:t>
            </w:r>
          </w:p>
          <w:p w14:paraId="5C668008" w14:textId="77777777" w:rsidR="008E6E94" w:rsidRDefault="008E6E94" w:rsidP="007A413F">
            <w:pPr>
              <w:pStyle w:val="NotesText"/>
            </w:pPr>
          </w:p>
          <w:p w14:paraId="634A9EE0" w14:textId="77777777" w:rsidR="008E6E94" w:rsidRDefault="008E6E94" w:rsidP="007A413F">
            <w:pPr>
              <w:pStyle w:val="NotesText"/>
            </w:pPr>
            <w:r>
              <w:rPr>
                <w:rFonts w:cs="Arial"/>
                <w:vanish/>
              </w:rPr>
              <w:t xml:space="preserve">BR_21.22 </w:t>
            </w:r>
            <w:r>
              <w:t>All implicated units entered are available for TRW ABO/Rh and TRW crossmatching. Actual data entry of test results for any entries is optional, based on a facility’s local policies and procedures.</w:t>
            </w:r>
          </w:p>
          <w:p w14:paraId="40BDEDC3" w14:textId="77777777" w:rsidR="008E6E94" w:rsidRDefault="008E6E94" w:rsidP="007A413F">
            <w:pPr>
              <w:pStyle w:val="NotesText"/>
            </w:pPr>
          </w:p>
          <w:p w14:paraId="51572B61" w14:textId="77777777" w:rsidR="008E6E94" w:rsidRDefault="008E6E94" w:rsidP="007A413F">
            <w:pPr>
              <w:pStyle w:val="NotesText"/>
            </w:pPr>
            <w:r>
              <w:t>The user may enter a free-text comment to document site-specific information such as other solutions or additives, urinary hemoglobin checks, and whether the product was warmed during transfusion.</w:t>
            </w:r>
          </w:p>
        </w:tc>
      </w:tr>
      <w:tr w:rsidR="008E6E94" w14:paraId="02C5558A" w14:textId="77777777">
        <w:tc>
          <w:tcPr>
            <w:tcW w:w="3240" w:type="dxa"/>
            <w:tcBorders>
              <w:top w:val="single" w:sz="4" w:space="0" w:color="auto"/>
              <w:left w:val="single" w:sz="4" w:space="0" w:color="auto"/>
              <w:bottom w:val="single" w:sz="4" w:space="0" w:color="auto"/>
              <w:right w:val="single" w:sz="4" w:space="0" w:color="auto"/>
            </w:tcBorders>
          </w:tcPr>
          <w:p w14:paraId="523DA6ED" w14:textId="77777777" w:rsidR="008E6E94" w:rsidRDefault="008E6E94" w:rsidP="007A413F">
            <w:pPr>
              <w:pStyle w:val="TableTextNumbers"/>
            </w:pPr>
            <w:r>
              <w:t xml:space="preserve">Repeat Step </w:t>
            </w:r>
            <w:r w:rsidR="00006D86">
              <w:t>8</w:t>
            </w:r>
            <w:r w:rsidR="00BF2379">
              <w:t xml:space="preserve"> for each implicated unit</w:t>
            </w:r>
            <w:r>
              <w:t>.</w:t>
            </w:r>
          </w:p>
        </w:tc>
        <w:tc>
          <w:tcPr>
            <w:tcW w:w="6120" w:type="dxa"/>
            <w:tcBorders>
              <w:top w:val="single" w:sz="4" w:space="0" w:color="auto"/>
              <w:left w:val="single" w:sz="4" w:space="0" w:color="auto"/>
              <w:bottom w:val="single" w:sz="4" w:space="0" w:color="auto"/>
              <w:right w:val="single" w:sz="4" w:space="0" w:color="auto"/>
            </w:tcBorders>
          </w:tcPr>
          <w:p w14:paraId="2239C531" w14:textId="77777777" w:rsidR="008E6E94" w:rsidRDefault="008E6E94" w:rsidP="007A413F">
            <w:pPr>
              <w:pStyle w:val="TableTextBullet"/>
            </w:pPr>
            <w:r>
              <w:t>Allows the user to enter the patient’s symptoms.</w:t>
            </w:r>
          </w:p>
          <w:p w14:paraId="1D4E9C47" w14:textId="77777777" w:rsidR="008E6E94" w:rsidRDefault="008E6E94" w:rsidP="007A413F">
            <w:pPr>
              <w:pStyle w:val="TableText"/>
            </w:pPr>
          </w:p>
          <w:p w14:paraId="6BCE2176" w14:textId="345B64D3" w:rsidR="008E6E94" w:rsidRDefault="008E6E94" w:rsidP="007A413F">
            <w:pPr>
              <w:pStyle w:val="TableText"/>
              <w:rPr>
                <w:b/>
                <w:bCs/>
                <w:szCs w:val="18"/>
              </w:rPr>
            </w:pPr>
            <w:r>
              <w:rPr>
                <w:b/>
                <w:bCs/>
                <w:szCs w:val="18"/>
              </w:rPr>
              <w:t>NOTES</w:t>
            </w:r>
          </w:p>
          <w:p w14:paraId="5DE6AB9E" w14:textId="77777777" w:rsidR="008E6E94" w:rsidRDefault="008E6E94" w:rsidP="007A413F">
            <w:pPr>
              <w:pStyle w:val="NotesText"/>
            </w:pPr>
          </w:p>
          <w:p w14:paraId="7552C10F" w14:textId="77777777" w:rsidR="008E6E94" w:rsidRDefault="008E6E94" w:rsidP="007A413F">
            <w:pPr>
              <w:pStyle w:val="NotesText"/>
            </w:pPr>
            <w:r>
              <w:rPr>
                <w:rFonts w:cs="Arial"/>
                <w:vanish/>
              </w:rPr>
              <w:t xml:space="preserve">BR_21.07 </w:t>
            </w:r>
            <w:r>
              <w:t>VBECS accepts data for multiple implicated units and stores and reports them as part of the clerical check. When the user enters implicated unit data, VBECS adds the unit to TRW serologic testing.</w:t>
            </w:r>
          </w:p>
        </w:tc>
      </w:tr>
      <w:tr w:rsidR="008E6E94" w14:paraId="76BE7A6B" w14:textId="77777777">
        <w:tc>
          <w:tcPr>
            <w:tcW w:w="3240" w:type="dxa"/>
            <w:tcBorders>
              <w:top w:val="single" w:sz="4" w:space="0" w:color="auto"/>
              <w:left w:val="single" w:sz="4" w:space="0" w:color="auto"/>
              <w:bottom w:val="single" w:sz="4" w:space="0" w:color="auto"/>
              <w:right w:val="single" w:sz="4" w:space="0" w:color="auto"/>
            </w:tcBorders>
          </w:tcPr>
          <w:p w14:paraId="676F30A0" w14:textId="77777777" w:rsidR="0069720B" w:rsidRDefault="0069720B" w:rsidP="007A413F">
            <w:pPr>
              <w:pStyle w:val="TableTextNumbers"/>
            </w:pPr>
            <w:r>
              <w:t xml:space="preserve">In the Symptoms tab, click the </w:t>
            </w:r>
            <w:r w:rsidRPr="0069720B">
              <w:rPr>
                <w:b/>
              </w:rPr>
              <w:t xml:space="preserve">Patient Symptoms Identified </w:t>
            </w:r>
            <w:r w:rsidRPr="00BF2E41">
              <w:t>radio button</w:t>
            </w:r>
            <w:r>
              <w:t>.</w:t>
            </w:r>
          </w:p>
          <w:p w14:paraId="2FA94B63" w14:textId="77777777" w:rsidR="0069720B" w:rsidRDefault="0069720B" w:rsidP="0069720B">
            <w:pPr>
              <w:pStyle w:val="TableTextNumbersContinued"/>
            </w:pPr>
          </w:p>
          <w:p w14:paraId="0CBDD69B" w14:textId="3C519E96" w:rsidR="0069720B" w:rsidRDefault="0069720B" w:rsidP="0069720B">
            <w:pPr>
              <w:pStyle w:val="TableTextNumbersContinued"/>
            </w:pPr>
            <w:r>
              <w:t>C</w:t>
            </w:r>
            <w:r w:rsidR="008E6E94">
              <w:t>lick the check boxes to select one or more</w:t>
            </w:r>
            <w:r>
              <w:t xml:space="preserve"> patient symptoms</w:t>
            </w:r>
            <w:r w:rsidR="00750760">
              <w:t xml:space="preserve"> (</w:t>
            </w:r>
            <w:r w:rsidR="00D418A4">
              <w:fldChar w:fldCharType="begin"/>
            </w:r>
            <w:r w:rsidR="00D418A4">
              <w:instrText xml:space="preserve"> REF _Ref127774158 \h </w:instrText>
            </w:r>
            <w:r w:rsidR="00D418A4">
              <w:fldChar w:fldCharType="separate"/>
            </w:r>
            <w:r w:rsidR="004353ED">
              <w:t xml:space="preserve">Figure </w:t>
            </w:r>
            <w:r w:rsidR="004353ED">
              <w:rPr>
                <w:noProof/>
              </w:rPr>
              <w:t>132</w:t>
            </w:r>
            <w:r w:rsidR="00D418A4">
              <w:fldChar w:fldCharType="end"/>
            </w:r>
            <w:r w:rsidR="00750760">
              <w:t>)</w:t>
            </w:r>
            <w:r w:rsidR="00F911DD">
              <w:t>,</w:t>
            </w:r>
          </w:p>
          <w:p w14:paraId="69DEB047" w14:textId="77777777" w:rsidR="0069720B" w:rsidRDefault="0069720B" w:rsidP="0069720B">
            <w:pPr>
              <w:pStyle w:val="TableTextNumbersContinued"/>
            </w:pPr>
          </w:p>
          <w:p w14:paraId="1F1D87EF" w14:textId="77777777" w:rsidR="008E6E94" w:rsidRDefault="0069720B" w:rsidP="0069720B">
            <w:pPr>
              <w:pStyle w:val="TableTextNumbersContinued"/>
            </w:pPr>
            <w:r>
              <w:t>or</w:t>
            </w:r>
          </w:p>
          <w:p w14:paraId="4AF4A421" w14:textId="77777777" w:rsidR="0069720B" w:rsidRDefault="0069720B" w:rsidP="0069720B">
            <w:pPr>
              <w:pStyle w:val="TableTextNumbersContinued"/>
            </w:pPr>
          </w:p>
          <w:p w14:paraId="26496AB2" w14:textId="77777777" w:rsidR="0069720B" w:rsidRDefault="0069720B" w:rsidP="0069720B">
            <w:pPr>
              <w:pStyle w:val="TableTextNumbersContinued"/>
            </w:pPr>
            <w:r>
              <w:t xml:space="preserve">Click the </w:t>
            </w:r>
            <w:r w:rsidRPr="0069720B">
              <w:rPr>
                <w:b/>
              </w:rPr>
              <w:t xml:space="preserve">No Patient Symptoms Identified </w:t>
            </w:r>
            <w:r w:rsidRPr="00BF2E41">
              <w:t>radio button</w:t>
            </w:r>
            <w:r>
              <w:t>.</w:t>
            </w:r>
          </w:p>
          <w:p w14:paraId="698EE6EF" w14:textId="77777777" w:rsidR="00F911DD" w:rsidRDefault="00F911DD" w:rsidP="0069720B">
            <w:pPr>
              <w:pStyle w:val="TableTextNumbersContinued"/>
            </w:pPr>
          </w:p>
          <w:p w14:paraId="2A3E487A" w14:textId="77777777" w:rsidR="00F911DD" w:rsidRDefault="00F911DD" w:rsidP="0069720B">
            <w:pPr>
              <w:pStyle w:val="TableTextNumbersContinued"/>
            </w:pPr>
            <w:r>
              <w:t xml:space="preserve">Click </w:t>
            </w:r>
            <w:r w:rsidRPr="0069720B">
              <w:rPr>
                <w:b/>
              </w:rPr>
              <w:t>OK</w:t>
            </w:r>
            <w:r>
              <w:t xml:space="preserve"> to save, and </w:t>
            </w:r>
            <w:r w:rsidRPr="0069720B">
              <w:rPr>
                <w:b/>
              </w:rPr>
              <w:t>Yes</w:t>
            </w:r>
            <w:r>
              <w:t xml:space="preserve"> to confirm the save.</w:t>
            </w:r>
          </w:p>
        </w:tc>
        <w:tc>
          <w:tcPr>
            <w:tcW w:w="6120" w:type="dxa"/>
            <w:tcBorders>
              <w:top w:val="single" w:sz="4" w:space="0" w:color="auto"/>
              <w:left w:val="single" w:sz="4" w:space="0" w:color="auto"/>
              <w:bottom w:val="single" w:sz="4" w:space="0" w:color="auto"/>
              <w:right w:val="single" w:sz="4" w:space="0" w:color="auto"/>
            </w:tcBorders>
          </w:tcPr>
          <w:p w14:paraId="326F2825" w14:textId="77777777" w:rsidR="008E6E94" w:rsidRDefault="008E6E94" w:rsidP="007A413F">
            <w:pPr>
              <w:pStyle w:val="TableTextBullet"/>
            </w:pPr>
            <w:r>
              <w:t xml:space="preserve">Allows the user to review and/or edit the entered data before it saves the record. </w:t>
            </w:r>
          </w:p>
          <w:p w14:paraId="6D63D347" w14:textId="77777777" w:rsidR="008E6E94" w:rsidRDefault="008E6E94" w:rsidP="007A413F">
            <w:pPr>
              <w:pStyle w:val="TableTextBullet"/>
            </w:pPr>
            <w:r>
              <w:rPr>
                <w:rFonts w:cs="Arial"/>
                <w:vanish/>
              </w:rPr>
              <w:t xml:space="preserve">BR_21.12 </w:t>
            </w:r>
            <w:r>
              <w:t xml:space="preserve">Allows the user to indicate that the TRW is complete. </w:t>
            </w:r>
          </w:p>
          <w:p w14:paraId="29AD41B5" w14:textId="77777777" w:rsidR="008E6E94" w:rsidRDefault="008E6E94" w:rsidP="009B1E9C">
            <w:pPr>
              <w:pStyle w:val="NotesText"/>
              <w:ind w:left="0"/>
            </w:pPr>
          </w:p>
        </w:tc>
      </w:tr>
      <w:tr w:rsidR="008E6E94" w14:paraId="67F2F165" w14:textId="77777777">
        <w:tc>
          <w:tcPr>
            <w:tcW w:w="3240" w:type="dxa"/>
          </w:tcPr>
          <w:p w14:paraId="046B4785" w14:textId="77777777" w:rsidR="00470DA1" w:rsidRDefault="00470DA1" w:rsidP="007A413F">
            <w:pPr>
              <w:pStyle w:val="TableTextNumbers"/>
            </w:pPr>
            <w:r>
              <w:t>In the Serologic Tests tab, click a check box to select which tests to perform.</w:t>
            </w:r>
          </w:p>
          <w:p w14:paraId="22A37B7B" w14:textId="77777777" w:rsidR="00470DA1" w:rsidRDefault="00470DA1" w:rsidP="00120B78">
            <w:pPr>
              <w:pStyle w:val="TableTextNumbersContinued"/>
            </w:pPr>
          </w:p>
          <w:p w14:paraId="74C4E011" w14:textId="77777777" w:rsidR="00B81464" w:rsidRDefault="00B81464" w:rsidP="00120B78">
            <w:pPr>
              <w:pStyle w:val="TableTextNumbersContinued"/>
            </w:pPr>
            <w:r>
              <w:t>Select a rack from the drop-down list in the Rack field.</w:t>
            </w:r>
          </w:p>
          <w:p w14:paraId="3FD4E9D5" w14:textId="77777777" w:rsidR="00B81464" w:rsidRDefault="00B81464" w:rsidP="00120B78">
            <w:pPr>
              <w:pStyle w:val="TableTextNumbersContinued"/>
            </w:pPr>
          </w:p>
          <w:p w14:paraId="661B5B61" w14:textId="77777777" w:rsidR="00120B78" w:rsidRDefault="00120B78" w:rsidP="00120B78">
            <w:pPr>
              <w:pStyle w:val="TableTextNumbersContinued"/>
            </w:pPr>
            <w:r>
              <w:t xml:space="preserve">Click the </w:t>
            </w:r>
            <w:r w:rsidRPr="00120B78">
              <w:rPr>
                <w:b/>
              </w:rPr>
              <w:t xml:space="preserve">Using Automated Instrument </w:t>
            </w:r>
            <w:r w:rsidRPr="00D1100E">
              <w:t>check box</w:t>
            </w:r>
            <w:r>
              <w:t xml:space="preserve">, as required. </w:t>
            </w:r>
          </w:p>
          <w:p w14:paraId="428D919F" w14:textId="77777777" w:rsidR="00120B78" w:rsidRDefault="00120B78" w:rsidP="00120B78">
            <w:pPr>
              <w:pStyle w:val="TableTextNumbersContinued"/>
            </w:pPr>
          </w:p>
          <w:p w14:paraId="4C18647E" w14:textId="77777777" w:rsidR="00120B78" w:rsidRDefault="00120B78" w:rsidP="00120B78">
            <w:pPr>
              <w:pStyle w:val="TableTextNumbersContinued"/>
            </w:pPr>
            <w:r>
              <w:t>Enter the name of the instrument in the Name field.</w:t>
            </w:r>
          </w:p>
          <w:p w14:paraId="5ED4068B" w14:textId="77777777" w:rsidR="00120B78" w:rsidRDefault="00120B78" w:rsidP="00120B78">
            <w:pPr>
              <w:pStyle w:val="TableTextNumbersContinued"/>
            </w:pPr>
          </w:p>
          <w:p w14:paraId="070BFB5C" w14:textId="77777777" w:rsidR="00120B78" w:rsidRDefault="00120B78" w:rsidP="00120B78">
            <w:pPr>
              <w:pStyle w:val="TableTextNumbersContinued"/>
            </w:pPr>
            <w:r>
              <w:t xml:space="preserve">Click the </w:t>
            </w:r>
            <w:r w:rsidRPr="00120B78">
              <w:rPr>
                <w:b/>
              </w:rPr>
              <w:t xml:space="preserve">Instrument QC’d? </w:t>
            </w:r>
            <w:r w:rsidRPr="00D1100E">
              <w:t>check box</w:t>
            </w:r>
            <w:r>
              <w:t>, as appropriate.</w:t>
            </w:r>
          </w:p>
          <w:p w14:paraId="71B6AB5F" w14:textId="77777777" w:rsidR="00120B78" w:rsidRDefault="00120B78" w:rsidP="00120B78">
            <w:pPr>
              <w:pStyle w:val="TableTextNumbersContinued"/>
            </w:pPr>
          </w:p>
          <w:p w14:paraId="07D94923" w14:textId="4DE4F66E" w:rsidR="008E6E94" w:rsidRDefault="008E6E94" w:rsidP="00120B78">
            <w:pPr>
              <w:pStyle w:val="TableTextNumbersContinued"/>
            </w:pPr>
            <w:r>
              <w:t>Enter interpretations for TRW testing</w:t>
            </w:r>
            <w:r w:rsidR="00750760">
              <w:t xml:space="preserve"> (</w:t>
            </w:r>
            <w:r w:rsidR="00D418A4">
              <w:fldChar w:fldCharType="begin"/>
            </w:r>
            <w:r w:rsidR="00D418A4">
              <w:instrText xml:space="preserve"> REF _Ref127774192 \h </w:instrText>
            </w:r>
            <w:r w:rsidR="00D418A4">
              <w:fldChar w:fldCharType="separate"/>
            </w:r>
            <w:r w:rsidR="004353ED">
              <w:t xml:space="preserve">Figure </w:t>
            </w:r>
            <w:r w:rsidR="004353ED">
              <w:rPr>
                <w:noProof/>
              </w:rPr>
              <w:t>133</w:t>
            </w:r>
            <w:r w:rsidR="00D418A4">
              <w:fldChar w:fldCharType="end"/>
            </w:r>
            <w:r w:rsidR="00750760">
              <w:t>)</w:t>
            </w:r>
            <w:r>
              <w:t>.</w:t>
            </w:r>
          </w:p>
          <w:p w14:paraId="35D76D4D" w14:textId="77777777" w:rsidR="00120B78" w:rsidRDefault="00120B78" w:rsidP="00120B78">
            <w:pPr>
              <w:pStyle w:val="TableTextNumbersContinued"/>
              <w:ind w:left="0"/>
            </w:pPr>
          </w:p>
        </w:tc>
        <w:tc>
          <w:tcPr>
            <w:tcW w:w="6120" w:type="dxa"/>
          </w:tcPr>
          <w:p w14:paraId="2488F58C" w14:textId="77777777" w:rsidR="008E6E94" w:rsidRDefault="008E6E94" w:rsidP="007A413F">
            <w:pPr>
              <w:pStyle w:val="TableTextBullet"/>
            </w:pPr>
            <w:r>
              <w:t xml:space="preserve">Allows the user to enter one or more additional TRW test interpretations: </w:t>
            </w:r>
          </w:p>
          <w:p w14:paraId="3540B5C8" w14:textId="77777777" w:rsidR="008E6E94" w:rsidRDefault="008E6E94" w:rsidP="007A413F">
            <w:pPr>
              <w:pStyle w:val="TableTextBullet1"/>
            </w:pPr>
            <w:r>
              <w:t>TRW ABO/Rh testing</w:t>
            </w:r>
          </w:p>
          <w:p w14:paraId="0E8A7CCC" w14:textId="77777777" w:rsidR="008E6E94" w:rsidRDefault="008E6E94" w:rsidP="007A413F">
            <w:pPr>
              <w:pStyle w:val="TableTextBullet1"/>
            </w:pPr>
            <w:r>
              <w:t>TRW ABS testing</w:t>
            </w:r>
          </w:p>
          <w:p w14:paraId="71E247FE" w14:textId="77777777" w:rsidR="008E6E94" w:rsidRDefault="008E6E94" w:rsidP="007A413F">
            <w:pPr>
              <w:pStyle w:val="TableTextBullet1"/>
            </w:pPr>
            <w:r>
              <w:t xml:space="preserve">TRW DAT testing </w:t>
            </w:r>
          </w:p>
          <w:p w14:paraId="10F0C9B9" w14:textId="77777777" w:rsidR="008E6E94" w:rsidRDefault="008E6E94" w:rsidP="007A413F">
            <w:pPr>
              <w:pStyle w:val="TableTextBullet1"/>
            </w:pPr>
            <w:r>
              <w:t>TRW XM testing</w:t>
            </w:r>
          </w:p>
          <w:p w14:paraId="007767CC" w14:textId="77777777" w:rsidR="008E6E94" w:rsidRDefault="008E6E94" w:rsidP="007A413F">
            <w:pPr>
              <w:pStyle w:val="TableTextBullet"/>
            </w:pPr>
            <w:r>
              <w:t xml:space="preserve">Requires the user to enter the rack name and test method to be </w:t>
            </w:r>
            <w:r>
              <w:rPr>
                <w:iCs/>
              </w:rPr>
              <w:t xml:space="preserve">applied to </w:t>
            </w:r>
            <w:r>
              <w:t>the specimens selected in this testing group for serologic testing. The user must also indicate whether an automated instrument was used in testing.</w:t>
            </w:r>
          </w:p>
          <w:p w14:paraId="7FD5A950" w14:textId="77777777" w:rsidR="008E6E94" w:rsidRDefault="008E6E94" w:rsidP="007A413F">
            <w:pPr>
              <w:pStyle w:val="TableTextBullet"/>
            </w:pPr>
            <w:r>
              <w:t>Displays the date and time the testing was performed (default: current date and time), which the user may edit retrospectively.</w:t>
            </w:r>
          </w:p>
          <w:p w14:paraId="42CD68B6" w14:textId="77777777" w:rsidR="008E6E94" w:rsidRDefault="008E6E94" w:rsidP="007A413F">
            <w:pPr>
              <w:pStyle w:val="TableTextBullet"/>
            </w:pPr>
            <w:r>
              <w:t>Displays the testing technologist’s identification (default: current user). Lists valid division users for the user’s selection.</w:t>
            </w:r>
          </w:p>
          <w:p w14:paraId="5D36DCDE" w14:textId="77777777" w:rsidR="008E6E94" w:rsidRDefault="008E6E94" w:rsidP="007A413F">
            <w:pPr>
              <w:pStyle w:val="TableText"/>
            </w:pPr>
          </w:p>
          <w:p w14:paraId="1CC406D2" w14:textId="3137BA83" w:rsidR="008E6E94" w:rsidRDefault="008E6E94" w:rsidP="007A413F">
            <w:pPr>
              <w:pStyle w:val="TableText"/>
              <w:rPr>
                <w:b/>
                <w:bCs/>
                <w:szCs w:val="18"/>
              </w:rPr>
            </w:pPr>
            <w:r>
              <w:rPr>
                <w:b/>
                <w:bCs/>
                <w:szCs w:val="18"/>
              </w:rPr>
              <w:t>NOTES</w:t>
            </w:r>
          </w:p>
          <w:p w14:paraId="2746556C" w14:textId="77777777" w:rsidR="008E6E94" w:rsidRDefault="008E6E94" w:rsidP="007A413F">
            <w:pPr>
              <w:pStyle w:val="NotesText"/>
            </w:pPr>
          </w:p>
          <w:p w14:paraId="5047CD60" w14:textId="77777777" w:rsidR="008E6E94" w:rsidRDefault="008E6E94" w:rsidP="007A413F">
            <w:pPr>
              <w:pStyle w:val="NotesText"/>
            </w:pPr>
            <w:r>
              <w:rPr>
                <w:vanish/>
                <w:szCs w:val="18"/>
              </w:rPr>
              <w:t>BR_21.16</w:t>
            </w:r>
            <w:r w:rsidR="005D400B">
              <w:rPr>
                <w:vanish/>
                <w:szCs w:val="18"/>
              </w:rPr>
              <w:t>,</w:t>
            </w:r>
            <w:r>
              <w:rPr>
                <w:vanish/>
                <w:szCs w:val="18"/>
              </w:rPr>
              <w:t xml:space="preserve"> BR_21.24 </w:t>
            </w:r>
            <w:r>
              <w:t>When no units were implicated or no</w:t>
            </w:r>
            <w:r>
              <w:rPr>
                <w:color w:val="000000"/>
                <w:szCs w:val="18"/>
              </w:rPr>
              <w:t xml:space="preserve"> pre- or post-transfusion specimens are available, VBECS disables those</w:t>
            </w:r>
            <w:r>
              <w:t xml:space="preserve"> portions of the grid.</w:t>
            </w:r>
          </w:p>
          <w:p w14:paraId="6D9EBE1B" w14:textId="77777777" w:rsidR="008E6E94" w:rsidRDefault="008E6E94" w:rsidP="007A413F">
            <w:pPr>
              <w:pStyle w:val="NotesText"/>
            </w:pPr>
          </w:p>
          <w:p w14:paraId="7DEFF0AA" w14:textId="77777777" w:rsidR="008E6E94" w:rsidRDefault="008E6E94" w:rsidP="007A413F">
            <w:pPr>
              <w:pStyle w:val="NotesText"/>
            </w:pPr>
            <w:r>
              <w:rPr>
                <w:rFonts w:cs="Arial"/>
                <w:vanish/>
              </w:rPr>
              <w:t xml:space="preserve">BR_21.13 </w:t>
            </w:r>
            <w:r>
              <w:t>VBECS displays the standard TRW tests for the user to select to perform some</w:t>
            </w:r>
            <w:r w:rsidR="00DB68D8">
              <w:t>, none</w:t>
            </w:r>
            <w:r>
              <w:t xml:space="preserve"> or all.</w:t>
            </w:r>
            <w:r w:rsidR="00DB68D8">
              <w:t xml:space="preserve"> </w:t>
            </w:r>
            <w:r w:rsidR="00DB68D8" w:rsidRPr="00DB68D8">
              <w:rPr>
                <w:vanish/>
              </w:rPr>
              <w:t>DR 5100</w:t>
            </w:r>
          </w:p>
          <w:p w14:paraId="78F0A875" w14:textId="77777777" w:rsidR="008E6E94" w:rsidRDefault="008E6E94" w:rsidP="007A413F">
            <w:pPr>
              <w:pStyle w:val="NotesText"/>
            </w:pPr>
          </w:p>
          <w:p w14:paraId="437B96B3" w14:textId="77777777" w:rsidR="008E6E94" w:rsidRDefault="008E6E94" w:rsidP="007A413F">
            <w:pPr>
              <w:pStyle w:val="NotesText"/>
            </w:pPr>
            <w:r>
              <w:rPr>
                <w:rFonts w:cs="Arial"/>
                <w:vanish/>
              </w:rPr>
              <w:t xml:space="preserve">BR_56.14 </w:t>
            </w:r>
            <w:r>
              <w:t>When a facility is “full service” and an automated instrument was used for testing, a user must enter the name of the instrument and may indicate that successful quality control testing was done for the testing date.</w:t>
            </w:r>
          </w:p>
          <w:p w14:paraId="77513727" w14:textId="77777777" w:rsidR="008E6E94" w:rsidRDefault="008E6E94" w:rsidP="007A413F">
            <w:pPr>
              <w:pStyle w:val="NotesText"/>
            </w:pPr>
          </w:p>
          <w:p w14:paraId="01BDC31D" w14:textId="77777777" w:rsidR="008E6E94" w:rsidRDefault="008E6E94" w:rsidP="007A413F">
            <w:pPr>
              <w:pStyle w:val="NotesText"/>
            </w:pPr>
            <w:r>
              <w:rPr>
                <w:vanish/>
                <w:szCs w:val="18"/>
              </w:rPr>
              <w:t>BR_21.04</w:t>
            </w:r>
            <w:r w:rsidR="009078D6">
              <w:rPr>
                <w:vanish/>
                <w:szCs w:val="18"/>
              </w:rPr>
              <w:t>,</w:t>
            </w:r>
            <w:r>
              <w:rPr>
                <w:vanish/>
                <w:szCs w:val="18"/>
              </w:rPr>
              <w:t xml:space="preserve"> BR_21.22 </w:t>
            </w:r>
            <w:r>
              <w:t>For implicated units, the ABO/Rh TRW, ABS TRW, DAT TRW, and Crossmatch TRW testing data grids are pre-populated with pre- and post-specimen data. Data entry of test results is optional, based on a facility’s local policies and procedures.</w:t>
            </w:r>
          </w:p>
        </w:tc>
      </w:tr>
      <w:tr w:rsidR="008E6E94" w14:paraId="4ECBAD82" w14:textId="77777777">
        <w:tc>
          <w:tcPr>
            <w:tcW w:w="3240" w:type="dxa"/>
          </w:tcPr>
          <w:p w14:paraId="6E23A2EE" w14:textId="77777777" w:rsidR="00120B78" w:rsidRDefault="008E6E94" w:rsidP="007A413F">
            <w:pPr>
              <w:pStyle w:val="TableTextNumbers"/>
            </w:pPr>
            <w:r>
              <w:lastRenderedPageBreak/>
              <w:t>Review the entries</w:t>
            </w:r>
            <w:r w:rsidR="00120B78">
              <w:t>.</w:t>
            </w:r>
          </w:p>
          <w:p w14:paraId="682E833D" w14:textId="77777777" w:rsidR="00120B78" w:rsidRDefault="00120B78" w:rsidP="00120B78">
            <w:pPr>
              <w:pStyle w:val="TableTextNumbersContinued"/>
            </w:pPr>
          </w:p>
          <w:p w14:paraId="5B6DA1E3" w14:textId="77777777" w:rsidR="008E6E94" w:rsidRDefault="00120B78" w:rsidP="00120B78">
            <w:pPr>
              <w:pStyle w:val="TableTextNumbersContinued"/>
            </w:pPr>
            <w:r>
              <w:t xml:space="preserve">Click </w:t>
            </w:r>
            <w:r w:rsidRPr="0069720B">
              <w:rPr>
                <w:b/>
              </w:rPr>
              <w:t>OK</w:t>
            </w:r>
            <w:r>
              <w:t xml:space="preserve"> to save, and </w:t>
            </w:r>
            <w:r w:rsidRPr="0069720B">
              <w:rPr>
                <w:b/>
              </w:rPr>
              <w:t>Yes</w:t>
            </w:r>
            <w:r>
              <w:t xml:space="preserve"> to confirm the save.</w:t>
            </w:r>
          </w:p>
        </w:tc>
        <w:tc>
          <w:tcPr>
            <w:tcW w:w="6120" w:type="dxa"/>
          </w:tcPr>
          <w:p w14:paraId="17E85C6E" w14:textId="77777777" w:rsidR="008E6E94" w:rsidRDefault="008E6E94" w:rsidP="007A413F">
            <w:pPr>
              <w:pStyle w:val="TableTextBullet"/>
            </w:pPr>
            <w:r>
              <w:t>Stores data for retrieval.</w:t>
            </w:r>
          </w:p>
          <w:p w14:paraId="482EAF11" w14:textId="77777777" w:rsidR="008E6E94" w:rsidRDefault="008E6E94" w:rsidP="007A413F">
            <w:pPr>
              <w:pStyle w:val="TableTextBullet"/>
            </w:pPr>
            <w:r>
              <w:t>Makes the findings viewable through a CPRS query.</w:t>
            </w:r>
          </w:p>
          <w:p w14:paraId="41FF077A" w14:textId="77777777" w:rsidR="008E6E94" w:rsidRDefault="008E6E94" w:rsidP="007A413F">
            <w:pPr>
              <w:pStyle w:val="TableText"/>
            </w:pPr>
          </w:p>
          <w:p w14:paraId="6FCEA72A" w14:textId="41FAEE7C" w:rsidR="008E6E94" w:rsidRDefault="008E6E94" w:rsidP="007A413F">
            <w:pPr>
              <w:pStyle w:val="TableText"/>
              <w:rPr>
                <w:b/>
                <w:bCs/>
                <w:szCs w:val="18"/>
              </w:rPr>
            </w:pPr>
            <w:r>
              <w:rPr>
                <w:b/>
                <w:bCs/>
                <w:szCs w:val="18"/>
              </w:rPr>
              <w:t>NOTES</w:t>
            </w:r>
          </w:p>
          <w:p w14:paraId="65EFD9E9" w14:textId="77777777" w:rsidR="008E6E94" w:rsidRDefault="008E6E94" w:rsidP="007A413F">
            <w:pPr>
              <w:pStyle w:val="NotesText"/>
            </w:pPr>
          </w:p>
          <w:p w14:paraId="3D87AFF6" w14:textId="77777777" w:rsidR="008E6E94" w:rsidRDefault="008E6E94" w:rsidP="007A413F">
            <w:pPr>
              <w:pStyle w:val="NotesText"/>
            </w:pPr>
            <w:r>
              <w:rPr>
                <w:rFonts w:cs="Arial"/>
                <w:vanish/>
              </w:rPr>
              <w:t xml:space="preserve">BR_21.12 </w:t>
            </w:r>
            <w:r>
              <w:t>VBECS allows the user to indicate that the TRW is complete, then updates the TRW task status to “complete.”</w:t>
            </w:r>
          </w:p>
          <w:p w14:paraId="197654EC" w14:textId="77777777" w:rsidR="008E6E94" w:rsidRDefault="008E6E94" w:rsidP="007A413F">
            <w:pPr>
              <w:pStyle w:val="NotesText"/>
            </w:pPr>
          </w:p>
          <w:p w14:paraId="6BA4B26E" w14:textId="77777777" w:rsidR="008E6E94" w:rsidRDefault="008E6E94" w:rsidP="007A413F">
            <w:pPr>
              <w:pStyle w:val="NotesText"/>
            </w:pPr>
            <w:r>
              <w:rPr>
                <w:rFonts w:cs="Arial"/>
                <w:vanish/>
              </w:rPr>
              <w:t xml:space="preserve">BR_21.06 </w:t>
            </w:r>
            <w:r>
              <w:t>Once the TRW is completed, the summary of results and observations includes the comment, “Final report to follow in hard copy with medical director evaluation of the transfusion reaction workup.”</w:t>
            </w:r>
          </w:p>
          <w:p w14:paraId="285E17DB" w14:textId="77777777" w:rsidR="008E6E94" w:rsidRDefault="008E6E94" w:rsidP="007A413F">
            <w:pPr>
              <w:pStyle w:val="NotesText"/>
            </w:pPr>
          </w:p>
          <w:p w14:paraId="3CC5E3A2" w14:textId="77777777" w:rsidR="008E6E94" w:rsidRDefault="008E6E94" w:rsidP="007A413F">
            <w:pPr>
              <w:pStyle w:val="NotesText"/>
              <w:rPr>
                <w:color w:val="000000"/>
                <w:szCs w:val="18"/>
              </w:rPr>
            </w:pPr>
            <w:r>
              <w:rPr>
                <w:rFonts w:cs="Arial"/>
                <w:vanish/>
              </w:rPr>
              <w:t xml:space="preserve">BR_21.21 </w:t>
            </w:r>
            <w:r>
              <w:t xml:space="preserve">VBECS indicates on the </w:t>
            </w:r>
            <w:r>
              <w:rPr>
                <w:color w:val="000000"/>
                <w:szCs w:val="18"/>
              </w:rPr>
              <w:t>implicated unit’s patient transfusion record that it was implicated in a transfusion reaction and notes the patient’s name and ID and the date and time.</w:t>
            </w:r>
          </w:p>
          <w:p w14:paraId="0EBA84BD" w14:textId="77777777" w:rsidR="008E6E94" w:rsidRDefault="008E6E94" w:rsidP="007A413F">
            <w:pPr>
              <w:pStyle w:val="NotesText"/>
            </w:pPr>
          </w:p>
          <w:p w14:paraId="2482F3B2" w14:textId="77777777" w:rsidR="008E6E94" w:rsidRDefault="008E6E94" w:rsidP="007A413F">
            <w:pPr>
              <w:pStyle w:val="NotesText"/>
              <w:rPr>
                <w:szCs w:val="18"/>
              </w:rPr>
            </w:pPr>
            <w:r>
              <w:rPr>
                <w:rFonts w:cs="Arial"/>
                <w:vanish/>
              </w:rPr>
              <w:t>BR_21.28</w:t>
            </w:r>
            <w:r w:rsidRPr="00323744">
              <w:rPr>
                <w:rStyle w:val="BullhornChar"/>
              </w:rPr>
              <w:t></w:t>
            </w:r>
            <w:r>
              <w:rPr>
                <w:rFonts w:ascii="Webdings" w:hAnsi="Webdings"/>
              </w:rPr>
              <w:t></w:t>
            </w:r>
            <w:r>
              <w:rPr>
                <w:szCs w:val="18"/>
              </w:rPr>
              <w:t>VBECS saves the record and one or more clerical checks are marked “failed,” VBECS emits an audible alert, requires a comment, and captures details for inclusion in an Exception Report (exception type: Transfusion Reaction Workup).</w:t>
            </w:r>
          </w:p>
        </w:tc>
      </w:tr>
      <w:tr w:rsidR="008E6E94" w14:paraId="5E947E95" w14:textId="77777777">
        <w:tc>
          <w:tcPr>
            <w:tcW w:w="3240" w:type="dxa"/>
          </w:tcPr>
          <w:p w14:paraId="76CC36C1" w14:textId="2BA18833" w:rsidR="00F676B6" w:rsidRDefault="00F676B6" w:rsidP="007A413F">
            <w:pPr>
              <w:pStyle w:val="TableTextNumbers"/>
            </w:pPr>
            <w:r>
              <w:t xml:space="preserve">Click </w:t>
            </w:r>
            <w:r w:rsidRPr="00F676B6">
              <w:rPr>
                <w:b/>
              </w:rPr>
              <w:t>Finalize/Print TRW</w:t>
            </w:r>
            <w:r>
              <w:t xml:space="preserve"> and continue at Finalize/Print TRW to finalize the TRW</w:t>
            </w:r>
            <w:r w:rsidR="00750760">
              <w:t xml:space="preserve"> (</w:t>
            </w:r>
            <w:r w:rsidR="00D418A4">
              <w:fldChar w:fldCharType="begin"/>
            </w:r>
            <w:r w:rsidR="00D418A4">
              <w:instrText xml:space="preserve"> REF _Ref127774218 \h </w:instrText>
            </w:r>
            <w:r w:rsidR="00D418A4">
              <w:fldChar w:fldCharType="separate"/>
            </w:r>
            <w:r w:rsidR="004353ED">
              <w:t xml:space="preserve">Figure </w:t>
            </w:r>
            <w:r w:rsidR="004353ED">
              <w:rPr>
                <w:noProof/>
              </w:rPr>
              <w:t>134</w:t>
            </w:r>
            <w:r w:rsidR="00D418A4">
              <w:fldChar w:fldCharType="end"/>
            </w:r>
            <w:r w:rsidR="00750760">
              <w:t>)</w:t>
            </w:r>
            <w:r>
              <w:t>, or</w:t>
            </w:r>
          </w:p>
          <w:p w14:paraId="135D84D9" w14:textId="77777777" w:rsidR="00F676B6" w:rsidRDefault="00F676B6" w:rsidP="00F676B6">
            <w:pPr>
              <w:pStyle w:val="TableTextNumbersContinued"/>
            </w:pPr>
          </w:p>
          <w:p w14:paraId="05BE40B1" w14:textId="77777777" w:rsidR="008E6E94" w:rsidRDefault="00F676B6" w:rsidP="00F676B6">
            <w:pPr>
              <w:pStyle w:val="TableTextNumbersContinued"/>
            </w:pPr>
            <w:r>
              <w:t>Click</w:t>
            </w:r>
            <w:r w:rsidR="00AA6C54">
              <w:t xml:space="preserve"> </w:t>
            </w:r>
            <w:r w:rsidRPr="00F676B6">
              <w:rPr>
                <w:b/>
              </w:rPr>
              <w:t>Cancel</w:t>
            </w:r>
            <w:r>
              <w:t xml:space="preserve"> to complete the TRW and exit</w:t>
            </w:r>
            <w:r w:rsidR="008E6E94">
              <w:t xml:space="preserve">. </w:t>
            </w:r>
            <w:r w:rsidR="008E6E94">
              <w:rPr>
                <w:vanish/>
                <w:color w:val="FFFFFF"/>
                <w:szCs w:val="18"/>
              </w:rPr>
              <w:fldChar w:fldCharType="begin"/>
            </w:r>
            <w:r w:rsidR="008E6E94">
              <w:rPr>
                <w:vanish/>
                <w:color w:val="FFFFFF"/>
                <w:szCs w:val="18"/>
              </w:rPr>
              <w:instrText xml:space="preserve"> LISTNUM \l 1 \s 0 </w:instrText>
            </w:r>
            <w:r w:rsidR="008E6E94">
              <w:rPr>
                <w:vanish/>
                <w:color w:val="FFFFFF"/>
                <w:szCs w:val="18"/>
              </w:rPr>
              <w:fldChar w:fldCharType="end">
                <w:numberingChange w:id="592" w:author="Blalock, David (Leidos)" w:date="2020-06-15T14:09:00Z" w:original="0."/>
              </w:fldChar>
            </w:r>
          </w:p>
        </w:tc>
        <w:tc>
          <w:tcPr>
            <w:tcW w:w="6120" w:type="dxa"/>
          </w:tcPr>
          <w:p w14:paraId="6EC48131" w14:textId="77777777" w:rsidR="00503680" w:rsidRPr="00503680" w:rsidRDefault="00503680" w:rsidP="00503680">
            <w:pPr>
              <w:pStyle w:val="TableText"/>
            </w:pPr>
          </w:p>
          <w:p w14:paraId="039D2C2A" w14:textId="529BDC0B" w:rsidR="008E6E94" w:rsidRDefault="008E6E94" w:rsidP="007A413F">
            <w:pPr>
              <w:pStyle w:val="TableText"/>
              <w:rPr>
                <w:b/>
                <w:bCs/>
                <w:szCs w:val="18"/>
              </w:rPr>
            </w:pPr>
            <w:r>
              <w:rPr>
                <w:b/>
                <w:bCs/>
                <w:szCs w:val="18"/>
              </w:rPr>
              <w:t>NOTES</w:t>
            </w:r>
          </w:p>
          <w:p w14:paraId="3FB4085F" w14:textId="77777777" w:rsidR="008E6E94" w:rsidRPr="007F427E" w:rsidRDefault="008E6E94" w:rsidP="007F427E">
            <w:pPr>
              <w:pStyle w:val="NotesText"/>
            </w:pPr>
          </w:p>
          <w:p w14:paraId="78B1F86E" w14:textId="77777777" w:rsidR="00F676B6" w:rsidRDefault="00F676B6" w:rsidP="007F427E">
            <w:pPr>
              <w:pStyle w:val="NotesText"/>
              <w:rPr>
                <w:color w:val="3366FF"/>
              </w:rPr>
            </w:pPr>
            <w:r w:rsidRPr="007F427E">
              <w:t>A completed TRW indicates that serologic testing was completed. A finalized TRW indicates that the medical director reviewed the TRW, classified the rea</w:t>
            </w:r>
            <w:r w:rsidR="007F427E" w:rsidRPr="007F427E">
              <w:t>ction, and may make recommendations for future transfusions.</w:t>
            </w:r>
          </w:p>
        </w:tc>
      </w:tr>
    </w:tbl>
    <w:p w14:paraId="01C90641" w14:textId="75FD137B" w:rsidR="008534C3" w:rsidRDefault="00772DD7" w:rsidP="008534C3">
      <w:pPr>
        <w:pStyle w:val="Caption"/>
      </w:pPr>
      <w:bookmarkStart w:id="593" w:name="_Ref12777118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129</w:t>
      </w:r>
      <w:r w:rsidR="004E20BD">
        <w:rPr>
          <w:noProof/>
        </w:rPr>
        <w:fldChar w:fldCharType="end"/>
      </w:r>
      <w:bookmarkEnd w:id="593"/>
      <w:r>
        <w:t>:</w:t>
      </w:r>
      <w:r w:rsidR="008534C3">
        <w:t xml:space="preserve"> Transfusion Reaction Workup</w:t>
      </w:r>
      <w:r w:rsidR="004645AA">
        <w:t>: Specimen</w:t>
      </w:r>
      <w:r w:rsidR="00A73927">
        <w:t xml:space="preserve"> Check</w:t>
      </w:r>
    </w:p>
    <w:p w14:paraId="1801A336" w14:textId="77777777" w:rsidR="00772DD7" w:rsidRDefault="00057948" w:rsidP="008534C3">
      <w:pPr>
        <w:pStyle w:val="BodyText"/>
      </w:pPr>
      <w:r>
        <w:rPr>
          <w:noProof/>
        </w:rPr>
        <w:drawing>
          <wp:inline distT="0" distB="0" distL="0" distR="0" wp14:anchorId="113E2AE3" wp14:editId="3615E8F8">
            <wp:extent cx="4340860" cy="3352800"/>
            <wp:effectExtent l="0" t="0" r="2540" b="0"/>
            <wp:docPr id="244" name="Picture 2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a:extLst>
                        <a:ext uri="{C183D7F6-B498-43B3-948B-1728B52AA6E4}">
                          <adec:decorative xmlns:adec="http://schemas.microsoft.com/office/drawing/2017/decorative" val="1"/>
                        </a:ext>
                      </a:extLst>
                    </pic:cNvPr>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340860" cy="3352800"/>
                    </a:xfrm>
                    <a:prstGeom prst="rect">
                      <a:avLst/>
                    </a:prstGeom>
                    <a:noFill/>
                    <a:ln>
                      <a:noFill/>
                    </a:ln>
                  </pic:spPr>
                </pic:pic>
              </a:graphicData>
            </a:graphic>
          </wp:inline>
        </w:drawing>
      </w:r>
    </w:p>
    <w:p w14:paraId="11DF1FEB" w14:textId="1DBC7705" w:rsidR="00772DD7" w:rsidRDefault="00772DD7" w:rsidP="00772DD7">
      <w:pPr>
        <w:pStyle w:val="Caption"/>
      </w:pPr>
      <w:bookmarkStart w:id="594" w:name="_Ref12777199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130</w:t>
      </w:r>
      <w:r w:rsidR="004E20BD">
        <w:rPr>
          <w:noProof/>
        </w:rPr>
        <w:fldChar w:fldCharType="end"/>
      </w:r>
      <w:bookmarkEnd w:id="594"/>
      <w:r>
        <w:t>:</w:t>
      </w:r>
      <w:r w:rsidR="004645AA">
        <w:t xml:space="preserve"> Transfusion </w:t>
      </w:r>
      <w:r w:rsidR="00A73927">
        <w:t>Reaction Workup: Clerical Check</w:t>
      </w:r>
    </w:p>
    <w:p w14:paraId="37D847EC" w14:textId="77777777" w:rsidR="00772DD7" w:rsidRPr="00772DD7" w:rsidRDefault="00057948" w:rsidP="00772DD7">
      <w:pPr>
        <w:pStyle w:val="BodyText"/>
      </w:pPr>
      <w:r>
        <w:rPr>
          <w:noProof/>
        </w:rPr>
        <w:drawing>
          <wp:inline distT="0" distB="0" distL="0" distR="0" wp14:anchorId="3199E7E7" wp14:editId="01973203">
            <wp:extent cx="4340860" cy="3352800"/>
            <wp:effectExtent l="0" t="0" r="2540" b="0"/>
            <wp:docPr id="245" name="Picture 2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a:extLst>
                        <a:ext uri="{C183D7F6-B498-43B3-948B-1728B52AA6E4}">
                          <adec:decorative xmlns:adec="http://schemas.microsoft.com/office/drawing/2017/decorative" val="1"/>
                        </a:ext>
                      </a:extLst>
                    </pic:cNvPr>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4340860" cy="3352800"/>
                    </a:xfrm>
                    <a:prstGeom prst="rect">
                      <a:avLst/>
                    </a:prstGeom>
                    <a:noFill/>
                    <a:ln>
                      <a:noFill/>
                    </a:ln>
                  </pic:spPr>
                </pic:pic>
              </a:graphicData>
            </a:graphic>
          </wp:inline>
        </w:drawing>
      </w:r>
    </w:p>
    <w:p w14:paraId="7F4C027F" w14:textId="55D519DE" w:rsidR="00772DD7" w:rsidRDefault="00772DD7" w:rsidP="00772DD7">
      <w:pPr>
        <w:pStyle w:val="Caption"/>
      </w:pPr>
      <w:bookmarkStart w:id="595" w:name="_Ref12777407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131</w:t>
      </w:r>
      <w:r w:rsidR="004E20BD">
        <w:rPr>
          <w:noProof/>
        </w:rPr>
        <w:fldChar w:fldCharType="end"/>
      </w:r>
      <w:bookmarkEnd w:id="595"/>
      <w:r>
        <w:t>:</w:t>
      </w:r>
      <w:r w:rsidR="00390AEF">
        <w:t xml:space="preserve"> Transfusion Reaction Workup: Implicated Units</w:t>
      </w:r>
    </w:p>
    <w:p w14:paraId="2208B335" w14:textId="77777777" w:rsidR="004A2487" w:rsidRPr="004A2487" w:rsidRDefault="00057948" w:rsidP="004A2487">
      <w:pPr>
        <w:pStyle w:val="BodyText"/>
      </w:pPr>
      <w:r>
        <w:rPr>
          <w:noProof/>
        </w:rPr>
        <w:drawing>
          <wp:inline distT="0" distB="0" distL="0" distR="0" wp14:anchorId="6E5D01B6" wp14:editId="20664E3F">
            <wp:extent cx="4340860" cy="3334385"/>
            <wp:effectExtent l="0" t="0" r="2540" b="0"/>
            <wp:docPr id="246" name="Picture 2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a:extLst>
                        <a:ext uri="{C183D7F6-B498-43B3-948B-1728B52AA6E4}">
                          <adec:decorative xmlns:adec="http://schemas.microsoft.com/office/drawing/2017/decorative" val="1"/>
                        </a:ext>
                      </a:extLst>
                    </pic:cNvPr>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4340860" cy="3334385"/>
                    </a:xfrm>
                    <a:prstGeom prst="rect">
                      <a:avLst/>
                    </a:prstGeom>
                    <a:noFill/>
                    <a:ln>
                      <a:noFill/>
                    </a:ln>
                  </pic:spPr>
                </pic:pic>
              </a:graphicData>
            </a:graphic>
          </wp:inline>
        </w:drawing>
      </w:r>
    </w:p>
    <w:p w14:paraId="42CFAF7A" w14:textId="5F88CDD0" w:rsidR="00772DD7" w:rsidRDefault="00772DD7" w:rsidP="00772DD7">
      <w:pPr>
        <w:pStyle w:val="Caption"/>
      </w:pPr>
      <w:bookmarkStart w:id="596" w:name="_Ref1277741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132</w:t>
      </w:r>
      <w:r w:rsidR="004E20BD">
        <w:rPr>
          <w:noProof/>
        </w:rPr>
        <w:fldChar w:fldCharType="end"/>
      </w:r>
      <w:bookmarkEnd w:id="596"/>
      <w:r>
        <w:t>:</w:t>
      </w:r>
      <w:r w:rsidR="00390AEF">
        <w:t xml:space="preserve"> Transfusion Reaction Workup: Symptoms</w:t>
      </w:r>
    </w:p>
    <w:p w14:paraId="348BB024" w14:textId="77777777" w:rsidR="00772DD7" w:rsidRPr="00772DD7" w:rsidRDefault="00057948" w:rsidP="00772DD7">
      <w:pPr>
        <w:pStyle w:val="BodyText"/>
      </w:pPr>
      <w:r>
        <w:rPr>
          <w:noProof/>
        </w:rPr>
        <w:drawing>
          <wp:inline distT="0" distB="0" distL="0" distR="0" wp14:anchorId="002F7194" wp14:editId="664D149C">
            <wp:extent cx="4340860" cy="3352800"/>
            <wp:effectExtent l="0" t="0" r="2540" b="0"/>
            <wp:docPr id="247" name="Picture 2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247">
                      <a:extLst>
                        <a:ext uri="{C183D7F6-B498-43B3-948B-1728B52AA6E4}">
                          <adec:decorative xmlns:adec="http://schemas.microsoft.com/office/drawing/2017/decorative" val="1"/>
                        </a:ext>
                      </a:extLst>
                    </pic:cNvPr>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4340860" cy="3352800"/>
                    </a:xfrm>
                    <a:prstGeom prst="rect">
                      <a:avLst/>
                    </a:prstGeom>
                    <a:noFill/>
                    <a:ln>
                      <a:noFill/>
                    </a:ln>
                  </pic:spPr>
                </pic:pic>
              </a:graphicData>
            </a:graphic>
          </wp:inline>
        </w:drawing>
      </w:r>
    </w:p>
    <w:p w14:paraId="6DF1203B" w14:textId="11FF9856" w:rsidR="00772DD7" w:rsidRDefault="00772DD7" w:rsidP="00772DD7">
      <w:pPr>
        <w:pStyle w:val="Caption"/>
      </w:pPr>
      <w:bookmarkStart w:id="597" w:name="_Ref12777419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133</w:t>
      </w:r>
      <w:r w:rsidR="004E20BD">
        <w:rPr>
          <w:noProof/>
        </w:rPr>
        <w:fldChar w:fldCharType="end"/>
      </w:r>
      <w:bookmarkEnd w:id="597"/>
      <w:r>
        <w:t>:</w:t>
      </w:r>
      <w:r w:rsidR="00390AEF">
        <w:t xml:space="preserve"> Transfusion Reaction Workup: Serologic Tests</w:t>
      </w:r>
    </w:p>
    <w:p w14:paraId="566E5864" w14:textId="77777777" w:rsidR="00772DD7" w:rsidRPr="00772DD7" w:rsidRDefault="00057948" w:rsidP="00772DD7">
      <w:pPr>
        <w:pStyle w:val="BodyText"/>
      </w:pPr>
      <w:r>
        <w:rPr>
          <w:noProof/>
        </w:rPr>
        <w:drawing>
          <wp:inline distT="0" distB="0" distL="0" distR="0" wp14:anchorId="1E8CC0EE" wp14:editId="0FD4805C">
            <wp:extent cx="4340860" cy="3334385"/>
            <wp:effectExtent l="0" t="0" r="2540" b="0"/>
            <wp:docPr id="248" name="Picture 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a:extLst>
                        <a:ext uri="{C183D7F6-B498-43B3-948B-1728B52AA6E4}">
                          <adec:decorative xmlns:adec="http://schemas.microsoft.com/office/drawing/2017/decorative" val="1"/>
                        </a:ext>
                      </a:extLst>
                    </pic:cNvPr>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4340860" cy="3334385"/>
                    </a:xfrm>
                    <a:prstGeom prst="rect">
                      <a:avLst/>
                    </a:prstGeom>
                    <a:noFill/>
                    <a:ln>
                      <a:noFill/>
                    </a:ln>
                  </pic:spPr>
                </pic:pic>
              </a:graphicData>
            </a:graphic>
          </wp:inline>
        </w:drawing>
      </w:r>
    </w:p>
    <w:p w14:paraId="6241CFF7" w14:textId="7F7E8127" w:rsidR="00772DD7" w:rsidRDefault="00772DD7" w:rsidP="00772DD7">
      <w:pPr>
        <w:pStyle w:val="Caption"/>
      </w:pPr>
      <w:bookmarkStart w:id="598" w:name="_Ref12777421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134</w:t>
      </w:r>
      <w:r w:rsidR="004E20BD">
        <w:rPr>
          <w:noProof/>
        </w:rPr>
        <w:fldChar w:fldCharType="end"/>
      </w:r>
      <w:bookmarkEnd w:id="598"/>
      <w:r>
        <w:t>:</w:t>
      </w:r>
      <w:r w:rsidR="00453B6E">
        <w:t xml:space="preserve"> Transfusion Reaction Workup Report</w:t>
      </w:r>
    </w:p>
    <w:p w14:paraId="11D41631" w14:textId="77777777" w:rsidR="00772DD7" w:rsidRPr="00772DD7" w:rsidRDefault="00057948" w:rsidP="00772DD7">
      <w:pPr>
        <w:pStyle w:val="BodyText"/>
      </w:pPr>
      <w:r>
        <w:rPr>
          <w:noProof/>
        </w:rPr>
        <w:drawing>
          <wp:inline distT="0" distB="0" distL="0" distR="0" wp14:anchorId="52E12EAF" wp14:editId="361C9C4C">
            <wp:extent cx="4340860" cy="3343275"/>
            <wp:effectExtent l="0" t="0" r="2540" b="9525"/>
            <wp:docPr id="249" name="Picture 2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a:extLst>
                        <a:ext uri="{C183D7F6-B498-43B3-948B-1728B52AA6E4}">
                          <adec:decorative xmlns:adec="http://schemas.microsoft.com/office/drawing/2017/decorative" val="1"/>
                        </a:ext>
                      </a:extLst>
                    </pic:cNvPr>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4340860" cy="3343275"/>
                    </a:xfrm>
                    <a:prstGeom prst="rect">
                      <a:avLst/>
                    </a:prstGeom>
                    <a:noFill/>
                    <a:ln>
                      <a:noFill/>
                    </a:ln>
                  </pic:spPr>
                </pic:pic>
              </a:graphicData>
            </a:graphic>
          </wp:inline>
        </w:drawing>
      </w:r>
    </w:p>
    <w:p w14:paraId="10641904" w14:textId="77777777" w:rsidR="002A21AE" w:rsidRDefault="00AA0019">
      <w:pPr>
        <w:pStyle w:val="Heading3"/>
      </w:pPr>
      <w:bookmarkStart w:id="599" w:name="_Toc94938926"/>
      <w:bookmarkStart w:id="600" w:name="_Toc63680366"/>
      <w:r>
        <w:br w:type="page"/>
      </w:r>
      <w:bookmarkStart w:id="601" w:name="_Toc47516763"/>
      <w:r w:rsidR="002A21AE">
        <w:lastRenderedPageBreak/>
        <w:t>Finalize/Print TRW</w:t>
      </w:r>
      <w:bookmarkEnd w:id="601"/>
      <w:r w:rsidR="002A21AE">
        <w:fldChar w:fldCharType="begin"/>
      </w:r>
      <w:r w:rsidR="002A21AE">
        <w:instrText xml:space="preserve"> XE </w:instrText>
      </w:r>
      <w:r w:rsidR="00FA7E65">
        <w:instrText>“</w:instrText>
      </w:r>
      <w:r w:rsidR="002A21AE">
        <w:instrText>Finalize/Print TRW</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UC_78</w:t>
      </w:r>
      <w:bookmarkEnd w:id="599"/>
    </w:p>
    <w:p w14:paraId="6B205F4E" w14:textId="77777777" w:rsidR="002A21AE" w:rsidRDefault="002A21AE" w:rsidP="00FA7E65">
      <w:pPr>
        <w:pStyle w:val="BodyText"/>
      </w:pPr>
      <w:r>
        <w:t>The user finalizes</w:t>
      </w:r>
      <w:r w:rsidR="00EB1E5A">
        <w:t xml:space="preserve"> and</w:t>
      </w:r>
      <w:r>
        <w:t xml:space="preserve"> views </w:t>
      </w:r>
      <w:r w:rsidR="00EB1E5A">
        <w:t xml:space="preserve">and/or </w:t>
      </w:r>
      <w:r>
        <w:t>prints the Transfusion Reaction Workup Report.</w:t>
      </w:r>
    </w:p>
    <w:p w14:paraId="53F51DA9" w14:textId="77777777" w:rsidR="002A21AE" w:rsidRDefault="002A21AE">
      <w:pPr>
        <w:pStyle w:val="Heading4"/>
      </w:pPr>
      <w:r>
        <w:t>Assumptions</w:t>
      </w:r>
      <w:r>
        <w:rPr>
          <w:b w:val="0"/>
        </w:rPr>
        <w:t xml:space="preserve"> </w:t>
      </w:r>
    </w:p>
    <w:p w14:paraId="7D7FACA4" w14:textId="77777777" w:rsidR="002A21AE" w:rsidRDefault="002A21AE">
      <w:pPr>
        <w:pStyle w:val="ListBullet"/>
      </w:pPr>
      <w:r>
        <w:t>Patient Testing: Record a Transfusion Reaction Workup was completed.</w:t>
      </w:r>
    </w:p>
    <w:p w14:paraId="260EFE06" w14:textId="77777777" w:rsidR="002A21AE" w:rsidRDefault="002A21AE">
      <w:pPr>
        <w:pStyle w:val="Heading4"/>
      </w:pPr>
      <w:r>
        <w:t xml:space="preserve">Outcome </w:t>
      </w:r>
    </w:p>
    <w:p w14:paraId="2833FC21" w14:textId="77777777" w:rsidR="002A21AE" w:rsidRDefault="002A21AE">
      <w:pPr>
        <w:pStyle w:val="ListBullet"/>
      </w:pPr>
      <w:r>
        <w:t>The Transfusion Reaction Workup Report is available for printing and signing.</w:t>
      </w:r>
    </w:p>
    <w:p w14:paraId="6D5C508F" w14:textId="77777777" w:rsidR="0015352F" w:rsidRDefault="0015352F" w:rsidP="0015352F">
      <w:pPr>
        <w:pStyle w:val="ListBullet"/>
      </w:pPr>
      <w:r>
        <w:t>Final report findings are available for display in CPRS.</w:t>
      </w:r>
    </w:p>
    <w:p w14:paraId="098B5E3C" w14:textId="77777777" w:rsidR="002A21AE" w:rsidRDefault="002A21AE">
      <w:pPr>
        <w:pStyle w:val="Heading4"/>
        <w:rPr>
          <w:b w:val="0"/>
        </w:rPr>
      </w:pPr>
      <w:r>
        <w:t>Limitations and Restrictions</w:t>
      </w:r>
      <w:r>
        <w:rPr>
          <w:b w:val="0"/>
        </w:rPr>
        <w:t xml:space="preserve"> </w:t>
      </w:r>
    </w:p>
    <w:p w14:paraId="42AAE702" w14:textId="615D2774" w:rsidR="002A21AE" w:rsidRDefault="00D3121D">
      <w:pPr>
        <w:pStyle w:val="ListBullet"/>
      </w:pPr>
      <w:r>
        <w:t>The user cannot</w:t>
      </w:r>
      <w:r w:rsidR="00D23EF9" w:rsidRPr="00D23EF9">
        <w:t xml:space="preserve"> invalidate </w:t>
      </w:r>
      <w:r w:rsidR="00D23EF9">
        <w:t xml:space="preserve">or change </w:t>
      </w:r>
      <w:r w:rsidR="00D23EF9" w:rsidRPr="00D23EF9">
        <w:t>a finalized TRW.</w:t>
      </w:r>
      <w:r w:rsidR="00095CB3">
        <w:t xml:space="preserve"> Contact </w:t>
      </w:r>
      <w:r w:rsidR="00435359">
        <w:t>the Service</w:t>
      </w:r>
      <w:r w:rsidR="00095CB3">
        <w:t xml:space="preserve"> Desk if a TRW needs to be updated after finalization.</w:t>
      </w:r>
      <w:r w:rsidR="00FF7FFA">
        <w:t xml:space="preserve"> </w:t>
      </w:r>
      <w:r w:rsidR="00FF7FFA" w:rsidRPr="00FF7FFA">
        <w:rPr>
          <w:vanish/>
        </w:rPr>
        <w:t>Defect 212150</w:t>
      </w:r>
    </w:p>
    <w:p w14:paraId="316D0EF2" w14:textId="6DD0F818" w:rsidR="003E5C27" w:rsidRDefault="003E5C27">
      <w:pPr>
        <w:pStyle w:val="ListBullet"/>
      </w:pPr>
      <w:r>
        <w:t>Transfusion reaction reports are not available to clinicians through CPRS: they must be printed and filed with patient charts.</w:t>
      </w:r>
    </w:p>
    <w:p w14:paraId="04CAAB88" w14:textId="427FBDBA" w:rsidR="00D473B6" w:rsidRDefault="00D473B6">
      <w:pPr>
        <w:pStyle w:val="ListBullet"/>
      </w:pPr>
      <w:r>
        <w:t>There is no scroll bar on the TRW Serologic Tests tab. This limits</w:t>
      </w:r>
      <w:r w:rsidR="001C6E3F">
        <w:t xml:space="preserve"> </w:t>
      </w:r>
      <w:r w:rsidR="00780C90">
        <w:t xml:space="preserve">the number of visible implicated units to ten (10). When more than ten (10) units are implicated in the transfusion reaction, order additional TRW test(s) as required. </w:t>
      </w:r>
      <w:r w:rsidR="00780C90" w:rsidRPr="00780C90">
        <w:rPr>
          <w:vanish/>
        </w:rPr>
        <w:t>Defect 577597</w:t>
      </w:r>
    </w:p>
    <w:p w14:paraId="3FE31DE0" w14:textId="77777777" w:rsidR="00FF5006" w:rsidRPr="00764EF1" w:rsidRDefault="00FF5006" w:rsidP="00FF5006">
      <w:pPr>
        <w:pStyle w:val="ListBullet"/>
      </w:pPr>
      <w:r>
        <w:t>VBECS displays these default values for transfusion reactions converted from VistA to VBECS. They do not reflect actual interpretations or results:</w:t>
      </w:r>
      <w:r>
        <w:rPr>
          <w:vanish/>
        </w:rPr>
        <w:t xml:space="preserve"> (DR 2,</w:t>
      </w:r>
      <w:r w:rsidRPr="00FF5006">
        <w:rPr>
          <w:vanish/>
        </w:rPr>
        <w:t>724)</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4"/>
        <w:gridCol w:w="3326"/>
      </w:tblGrid>
      <w:tr w:rsidR="00764EF1" w:rsidRPr="00887834" w14:paraId="07138B2A" w14:textId="77777777">
        <w:trPr>
          <w:tblHeader/>
        </w:trPr>
        <w:tc>
          <w:tcPr>
            <w:tcW w:w="4428" w:type="dxa"/>
            <w:shd w:val="clear" w:color="auto" w:fill="B3B3B3"/>
          </w:tcPr>
          <w:p w14:paraId="06FDEA8D" w14:textId="77777777" w:rsidR="00764EF1" w:rsidRPr="00887834" w:rsidRDefault="00764EF1" w:rsidP="00722031">
            <w:pPr>
              <w:pStyle w:val="TableText"/>
              <w:rPr>
                <w:b/>
              </w:rPr>
            </w:pPr>
            <w:r w:rsidRPr="00887834">
              <w:rPr>
                <w:b/>
              </w:rPr>
              <w:t>Converted Transfusion Reaction</w:t>
            </w:r>
          </w:p>
        </w:tc>
        <w:tc>
          <w:tcPr>
            <w:tcW w:w="2772" w:type="dxa"/>
            <w:shd w:val="clear" w:color="auto" w:fill="B3B3B3"/>
          </w:tcPr>
          <w:p w14:paraId="561BE456" w14:textId="77777777" w:rsidR="00764EF1" w:rsidRPr="00887834" w:rsidRDefault="00764EF1" w:rsidP="00722031">
            <w:pPr>
              <w:pStyle w:val="TableText"/>
              <w:rPr>
                <w:b/>
              </w:rPr>
            </w:pPr>
            <w:r w:rsidRPr="00887834">
              <w:rPr>
                <w:b/>
              </w:rPr>
              <w:t>Default</w:t>
            </w:r>
          </w:p>
        </w:tc>
      </w:tr>
      <w:tr w:rsidR="00764EF1" w14:paraId="4EA9B8FE" w14:textId="77777777">
        <w:tc>
          <w:tcPr>
            <w:tcW w:w="4428" w:type="dxa"/>
          </w:tcPr>
          <w:p w14:paraId="13CE8E85" w14:textId="77777777" w:rsidR="00764EF1" w:rsidRDefault="00764EF1" w:rsidP="00722031">
            <w:pPr>
              <w:pStyle w:val="TableText"/>
            </w:pPr>
            <w:r>
              <w:t xml:space="preserve">Pre-Transfusion Specimen Checks, Hemolysis Checks OK? </w:t>
            </w:r>
          </w:p>
        </w:tc>
        <w:tc>
          <w:tcPr>
            <w:tcW w:w="2772" w:type="dxa"/>
          </w:tcPr>
          <w:p w14:paraId="763E49FF" w14:textId="77777777" w:rsidR="00764EF1" w:rsidRDefault="00764EF1" w:rsidP="00722031">
            <w:pPr>
              <w:pStyle w:val="TableText"/>
            </w:pPr>
            <w:r>
              <w:t>Yes</w:t>
            </w:r>
          </w:p>
        </w:tc>
      </w:tr>
      <w:tr w:rsidR="00764EF1" w14:paraId="516560FC" w14:textId="77777777">
        <w:tc>
          <w:tcPr>
            <w:tcW w:w="4428" w:type="dxa"/>
          </w:tcPr>
          <w:p w14:paraId="602ABDC4" w14:textId="77777777" w:rsidR="00764EF1" w:rsidRDefault="00764EF1" w:rsidP="00722031">
            <w:pPr>
              <w:pStyle w:val="TableText"/>
            </w:pPr>
            <w:r>
              <w:t xml:space="preserve">Post-Transfusion Specimen Checks, Hemolysis Checks OK? </w:t>
            </w:r>
          </w:p>
        </w:tc>
        <w:tc>
          <w:tcPr>
            <w:tcW w:w="2772" w:type="dxa"/>
          </w:tcPr>
          <w:p w14:paraId="62BEEBB5" w14:textId="77777777" w:rsidR="00764EF1" w:rsidRDefault="00764EF1" w:rsidP="00722031">
            <w:pPr>
              <w:pStyle w:val="TableText"/>
            </w:pPr>
            <w:r>
              <w:t>Yes</w:t>
            </w:r>
          </w:p>
        </w:tc>
      </w:tr>
      <w:tr w:rsidR="00764EF1" w14:paraId="3109CD48" w14:textId="77777777">
        <w:tc>
          <w:tcPr>
            <w:tcW w:w="4428" w:type="dxa"/>
          </w:tcPr>
          <w:p w14:paraId="39468268" w14:textId="77777777" w:rsidR="00764EF1" w:rsidRDefault="00D35B68" w:rsidP="00722031">
            <w:pPr>
              <w:pStyle w:val="TableText"/>
            </w:pPr>
            <w:r>
              <w:t>Symptom</w:t>
            </w:r>
            <w:r w:rsidR="00764EF1">
              <w:t>s</w:t>
            </w:r>
          </w:p>
        </w:tc>
        <w:tc>
          <w:tcPr>
            <w:tcW w:w="2772" w:type="dxa"/>
          </w:tcPr>
          <w:p w14:paraId="6105A7F8" w14:textId="77777777" w:rsidR="00764EF1" w:rsidRDefault="00764EF1" w:rsidP="00722031">
            <w:pPr>
              <w:pStyle w:val="TableText"/>
            </w:pPr>
            <w:r>
              <w:t>No symptoms identified.</w:t>
            </w:r>
          </w:p>
        </w:tc>
      </w:tr>
      <w:tr w:rsidR="00764EF1" w14:paraId="76C04063" w14:textId="77777777">
        <w:tc>
          <w:tcPr>
            <w:tcW w:w="4428" w:type="dxa"/>
          </w:tcPr>
          <w:p w14:paraId="6015041E" w14:textId="77777777" w:rsidR="00764EF1" w:rsidRDefault="00764EF1" w:rsidP="00722031">
            <w:pPr>
              <w:pStyle w:val="TableText"/>
            </w:pPr>
            <w:r>
              <w:t>Implicated units</w:t>
            </w:r>
          </w:p>
        </w:tc>
        <w:tc>
          <w:tcPr>
            <w:tcW w:w="2772" w:type="dxa"/>
          </w:tcPr>
          <w:p w14:paraId="214BDF3F" w14:textId="77777777" w:rsidR="00764EF1" w:rsidRDefault="00764EF1" w:rsidP="00722031">
            <w:pPr>
              <w:pStyle w:val="TableText"/>
            </w:pPr>
            <w:r>
              <w:t>No units implicated in reaction.</w:t>
            </w:r>
          </w:p>
        </w:tc>
      </w:tr>
      <w:tr w:rsidR="00764EF1" w14:paraId="61E64C24" w14:textId="77777777">
        <w:tc>
          <w:tcPr>
            <w:tcW w:w="4428" w:type="dxa"/>
          </w:tcPr>
          <w:p w14:paraId="48730143" w14:textId="77777777" w:rsidR="00764EF1" w:rsidRDefault="00764EF1" w:rsidP="00722031">
            <w:pPr>
              <w:pStyle w:val="TableText"/>
            </w:pPr>
            <w:r>
              <w:t>Serologic tests</w:t>
            </w:r>
          </w:p>
        </w:tc>
        <w:tc>
          <w:tcPr>
            <w:tcW w:w="2772" w:type="dxa"/>
          </w:tcPr>
          <w:p w14:paraId="7F04455F" w14:textId="77777777" w:rsidR="00764EF1" w:rsidRDefault="00764EF1" w:rsidP="00722031">
            <w:pPr>
              <w:pStyle w:val="TableText"/>
            </w:pPr>
            <w:r>
              <w:t>No serologic tests performed.</w:t>
            </w:r>
          </w:p>
        </w:tc>
      </w:tr>
    </w:tbl>
    <w:p w14:paraId="5B03DA04" w14:textId="77777777" w:rsidR="002A21AE" w:rsidRDefault="002A21AE">
      <w:pPr>
        <w:pStyle w:val="Heading4"/>
      </w:pPr>
      <w:r>
        <w:t xml:space="preserve">Additional Information </w:t>
      </w:r>
    </w:p>
    <w:p w14:paraId="3DCFBC98" w14:textId="77777777" w:rsidR="002A21AE" w:rsidRDefault="002A21AE">
      <w:pPr>
        <w:pStyle w:val="ListBullet"/>
      </w:pPr>
      <w:r>
        <w:t>The medical director’s signature is on the patient’s printed chart.</w:t>
      </w:r>
    </w:p>
    <w:p w14:paraId="6582F7B2" w14:textId="3AE10255" w:rsidR="002A21AE" w:rsidRDefault="002A21AE">
      <w:pPr>
        <w:pStyle w:val="ListBullet"/>
      </w:pPr>
      <w:r>
        <w:t>If a report needs to be replaced, the user may retrieve this report after it is complete. The final report is a printed document with the medical director’s signature.</w:t>
      </w:r>
    </w:p>
    <w:p w14:paraId="652351B1" w14:textId="3FD69A91" w:rsidR="000E5481" w:rsidRDefault="000E5481" w:rsidP="000E5481">
      <w:pPr>
        <w:pStyle w:val="ListBullet"/>
      </w:pPr>
      <w:r w:rsidRPr="000E5481">
        <w:t>Do not use the barcode scanner to enter a transfusion reaction specimen ID.</w:t>
      </w:r>
      <w:r w:rsidR="00DC3A9D">
        <w:t xml:space="preserve"> </w:t>
      </w:r>
      <w:r w:rsidR="00DC3A9D" w:rsidRPr="00DC3A9D">
        <w:rPr>
          <w:vanish/>
        </w:rPr>
        <w:t>Defect 210130</w:t>
      </w:r>
    </w:p>
    <w:p w14:paraId="52BBE7B4" w14:textId="1227321C" w:rsidR="000E5481" w:rsidRDefault="000E5481" w:rsidP="000E5481">
      <w:pPr>
        <w:pStyle w:val="ListBullet"/>
      </w:pPr>
      <w:r>
        <w:t>To avoid a system error, o</w:t>
      </w:r>
      <w:r w:rsidRPr="000E5481">
        <w:t xml:space="preserve">nce testing is entered, </w:t>
      </w:r>
      <w:r>
        <w:t xml:space="preserve">do not </w:t>
      </w:r>
      <w:r w:rsidRPr="000E5481">
        <w:t xml:space="preserve">uncheck the testing box </w:t>
      </w:r>
      <w:r w:rsidR="00DC3A9D">
        <w:t xml:space="preserve">and recheck it. </w:t>
      </w:r>
      <w:r w:rsidR="00DC3A9D" w:rsidRPr="00DC3A9D">
        <w:rPr>
          <w:vanish/>
        </w:rPr>
        <w:t>Defect 209736</w:t>
      </w:r>
    </w:p>
    <w:p w14:paraId="68BD934B" w14:textId="6CEC8903" w:rsidR="00392E5C" w:rsidRDefault="00EB421B" w:rsidP="000E5481">
      <w:pPr>
        <w:pStyle w:val="ListBullet"/>
      </w:pPr>
      <w:r>
        <w:t>Limit F</w:t>
      </w:r>
      <w:r w:rsidR="00392E5C">
        <w:t>inalize TRW comments to &lt;350 characters to allow saving and printing.</w:t>
      </w:r>
      <w:r w:rsidR="00DC3A9D">
        <w:t xml:space="preserve"> </w:t>
      </w:r>
      <w:r w:rsidR="00DC3A9D" w:rsidRPr="00DC3A9D">
        <w:rPr>
          <w:vanish/>
        </w:rPr>
        <w:t>Defect 209784</w:t>
      </w:r>
    </w:p>
    <w:p w14:paraId="49511DEB" w14:textId="19263987" w:rsidR="00DC3A9D" w:rsidRDefault="00DC3A9D" w:rsidP="000E5481">
      <w:pPr>
        <w:pStyle w:val="ListBullet"/>
      </w:pPr>
      <w:r>
        <w:t xml:space="preserve">A system error occurs if a user has a TRW open and then attempts to open a second instance of the same TRW. Restart the VBECS session and open one TRW to result and finalize. </w:t>
      </w:r>
      <w:r w:rsidRPr="00DC3A9D">
        <w:rPr>
          <w:vanish/>
        </w:rPr>
        <w:t>Defect 209747</w:t>
      </w:r>
    </w:p>
    <w:p w14:paraId="6C6557C1" w14:textId="0D60E993" w:rsidR="002A21AE" w:rsidRDefault="002A21AE">
      <w:pPr>
        <w:pStyle w:val="Heading4"/>
        <w:rPr>
          <w:b w:val="0"/>
        </w:rPr>
      </w:pPr>
      <w:r>
        <w:t>User Roles with Access to This Option</w:t>
      </w:r>
      <w:r>
        <w:rPr>
          <w:b w:val="0"/>
        </w:rPr>
        <w:t xml:space="preserve"> </w:t>
      </w:r>
    </w:p>
    <w:p w14:paraId="06E47D21" w14:textId="77777777" w:rsidR="00A13077" w:rsidRDefault="00A13077" w:rsidP="00A13077">
      <w:pPr>
        <w:pStyle w:val="Roles"/>
      </w:pPr>
      <w:r>
        <w:t>All users</w:t>
      </w:r>
    </w:p>
    <w:p w14:paraId="380BA8FF" w14:textId="77777777" w:rsidR="00F3651E" w:rsidRDefault="00F3651E">
      <w:pPr>
        <w:rPr>
          <w:rFonts w:ascii="Arial" w:hAnsi="Arial"/>
          <w:b/>
          <w:sz w:val="22"/>
        </w:rPr>
      </w:pPr>
      <w:r>
        <w:br w:type="page"/>
      </w:r>
    </w:p>
    <w:p w14:paraId="06A111C4" w14:textId="6A436F24" w:rsidR="002A21AE" w:rsidRDefault="002A21AE">
      <w:pPr>
        <w:pStyle w:val="Heading4"/>
      </w:pPr>
      <w:r>
        <w:lastRenderedPageBreak/>
        <w:t>Finalize Transfusion Reaction Workup Report</w:t>
      </w:r>
      <w:r>
        <w:fldChar w:fldCharType="begin"/>
      </w:r>
      <w:r>
        <w:instrText xml:space="preserve"> XE </w:instrText>
      </w:r>
      <w:r w:rsidR="00FA7E65">
        <w:instrText>“</w:instrText>
      </w:r>
      <w:r>
        <w:instrText>Finalize Transfusion Reaction Workup Report</w:instrText>
      </w:r>
      <w:r w:rsidR="00FA7E65">
        <w:instrText>”</w:instrText>
      </w:r>
      <w:r>
        <w:instrText xml:space="preserve"> </w:instrText>
      </w:r>
      <w:r>
        <w:fldChar w:fldCharType="end"/>
      </w:r>
    </w:p>
    <w:p w14:paraId="6C333736" w14:textId="77777777" w:rsidR="002A21AE" w:rsidRDefault="005C768D" w:rsidP="001C322D">
      <w:pPr>
        <w:pStyle w:val="Body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1C322D">
        <w:t xml:space="preserve">The Lead Technologist </w:t>
      </w:r>
      <w:r w:rsidR="002A21AE">
        <w:t>reviews the TRW details, identifies the type of reaction, and add</w:t>
      </w:r>
      <w:r w:rsidR="00B948D2">
        <w:t>s</w:t>
      </w:r>
      <w:r w:rsidR="002A21AE">
        <w:t xml:space="preserve"> comments, according to the medical director’s instructions. The user prints a copy for the medical director’s signature and </w:t>
      </w:r>
      <w:r w:rsidR="00B948D2">
        <w:t xml:space="preserve">the Lead Technologist </w:t>
      </w:r>
      <w:r w:rsidR="002A21AE">
        <w:t xml:space="preserve">finalizes the TRW, generating a preliminary report. The final printed report requires the signature of the medical director.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CAAE2F5" w14:textId="77777777">
        <w:trPr>
          <w:cantSplit/>
          <w:tblHeader/>
        </w:trPr>
        <w:tc>
          <w:tcPr>
            <w:tcW w:w="3240" w:type="dxa"/>
            <w:shd w:val="pct30" w:color="auto" w:fill="auto"/>
            <w:vAlign w:val="bottom"/>
          </w:tcPr>
          <w:p w14:paraId="03D9F680" w14:textId="77777777" w:rsidR="002A21AE" w:rsidRDefault="002A21AE">
            <w:pPr>
              <w:pStyle w:val="TableText"/>
              <w:rPr>
                <w:b/>
              </w:rPr>
            </w:pPr>
            <w:r>
              <w:rPr>
                <w:b/>
              </w:rPr>
              <w:t>User Action</w:t>
            </w:r>
          </w:p>
        </w:tc>
        <w:tc>
          <w:tcPr>
            <w:tcW w:w="6120" w:type="dxa"/>
            <w:shd w:val="pct30" w:color="auto" w:fill="auto"/>
            <w:vAlign w:val="bottom"/>
          </w:tcPr>
          <w:p w14:paraId="5BD244EB" w14:textId="77777777" w:rsidR="002A21AE" w:rsidRDefault="002A21AE">
            <w:pPr>
              <w:pStyle w:val="TableText"/>
              <w:rPr>
                <w:b/>
              </w:rPr>
            </w:pPr>
            <w:r>
              <w:rPr>
                <w:b/>
              </w:rPr>
              <w:t>VBECS</w:t>
            </w:r>
          </w:p>
        </w:tc>
      </w:tr>
      <w:tr w:rsidR="002A21AE" w14:paraId="2E4C2879" w14:textId="77777777">
        <w:tc>
          <w:tcPr>
            <w:tcW w:w="3240" w:type="dxa"/>
            <w:tcBorders>
              <w:top w:val="single" w:sz="4" w:space="0" w:color="auto"/>
              <w:left w:val="single" w:sz="4" w:space="0" w:color="auto"/>
              <w:bottom w:val="single" w:sz="4" w:space="0" w:color="auto"/>
              <w:right w:val="single" w:sz="4" w:space="0" w:color="auto"/>
            </w:tcBorders>
          </w:tcPr>
          <w:p w14:paraId="32D1A6F3" w14:textId="77777777" w:rsidR="002A21AE" w:rsidRDefault="002A21AE">
            <w:pPr>
              <w:pStyle w:val="TableTextNumbers"/>
            </w:pPr>
            <w:r>
              <w:t xml:space="preserve">Select </w:t>
            </w:r>
            <w:r>
              <w:rPr>
                <w:b/>
              </w:rPr>
              <w:t>Reports</w:t>
            </w:r>
            <w:r>
              <w:t xml:space="preserve"> from the main menu.</w:t>
            </w:r>
          </w:p>
          <w:p w14:paraId="2FFE78DE" w14:textId="77777777" w:rsidR="002A21AE" w:rsidRDefault="002A21AE">
            <w:pPr>
              <w:pStyle w:val="TableTextNumbersContinued"/>
            </w:pPr>
          </w:p>
          <w:p w14:paraId="506FA627" w14:textId="77777777" w:rsidR="002A21AE" w:rsidRDefault="002A21AE">
            <w:pPr>
              <w:pStyle w:val="TableTextNumbersContinued"/>
            </w:pPr>
            <w:r>
              <w:t xml:space="preserve">Select </w:t>
            </w:r>
            <w:r>
              <w:rPr>
                <w:b/>
              </w:rPr>
              <w:t>Finalize/Print TRW</w:t>
            </w:r>
            <w:r>
              <w:t>.</w:t>
            </w:r>
          </w:p>
          <w:p w14:paraId="66460746" w14:textId="77777777" w:rsidR="002A21AE" w:rsidRDefault="002A21AE">
            <w:pPr>
              <w:pStyle w:val="TableTextNumbersContinued"/>
            </w:pPr>
          </w:p>
          <w:p w14:paraId="2791F1DB" w14:textId="3FF61F81" w:rsidR="00741357" w:rsidRDefault="00741357">
            <w:pPr>
              <w:pStyle w:val="TableTextNumbersContinued"/>
            </w:pPr>
            <w:r>
              <w:t xml:space="preserve">Click the </w:t>
            </w:r>
            <w:r w:rsidRPr="00741357">
              <w:rPr>
                <w:b/>
              </w:rPr>
              <w:t xml:space="preserve">Include Non-Finalized TRW Reports </w:t>
            </w:r>
            <w:r w:rsidRPr="00D1100E">
              <w:t>check box</w:t>
            </w:r>
            <w:r w:rsidR="00F40F83" w:rsidRPr="00F40F83">
              <w:t xml:space="preserve"> (</w:t>
            </w:r>
            <w:r w:rsidR="00373926">
              <w:fldChar w:fldCharType="begin"/>
            </w:r>
            <w:r w:rsidR="00373926">
              <w:instrText xml:space="preserve"> REF _Ref127777058 \h </w:instrText>
            </w:r>
            <w:r w:rsidR="00373926">
              <w:fldChar w:fldCharType="separate"/>
            </w:r>
            <w:r w:rsidR="004353ED">
              <w:t xml:space="preserve">Figure </w:t>
            </w:r>
            <w:r w:rsidR="004353ED">
              <w:rPr>
                <w:noProof/>
              </w:rPr>
              <w:t>135</w:t>
            </w:r>
            <w:r w:rsidR="00373926">
              <w:fldChar w:fldCharType="end"/>
            </w:r>
            <w:r w:rsidR="00F40F83" w:rsidRPr="00F40F83">
              <w:t>)</w:t>
            </w:r>
            <w:r>
              <w:t>.</w:t>
            </w:r>
          </w:p>
          <w:p w14:paraId="24F827D7" w14:textId="77777777" w:rsidR="00741357" w:rsidRDefault="00741357">
            <w:pPr>
              <w:pStyle w:val="TableTextNumbersContinued"/>
            </w:pPr>
          </w:p>
          <w:p w14:paraId="5F1D2F4E" w14:textId="77777777" w:rsidR="002A21AE" w:rsidRDefault="002A21AE">
            <w:pPr>
              <w:pStyle w:val="TableTextNumbersContinued"/>
            </w:pPr>
            <w:r>
              <w:t>Select a completed TRW</w:t>
            </w:r>
            <w:r w:rsidR="00741357">
              <w:t xml:space="preserve"> to finalize</w:t>
            </w:r>
            <w:r>
              <w:t>.</w:t>
            </w:r>
          </w:p>
          <w:p w14:paraId="7DACB91F" w14:textId="77777777" w:rsidR="00373926" w:rsidRDefault="00373926">
            <w:pPr>
              <w:pStyle w:val="TableTextNumbersContinued"/>
            </w:pPr>
          </w:p>
          <w:p w14:paraId="6646C8C7" w14:textId="77777777" w:rsidR="00373926" w:rsidRDefault="00373926">
            <w:pPr>
              <w:pStyle w:val="TableTextNumbersContinued"/>
            </w:pPr>
            <w:r>
              <w:t xml:space="preserve">Click </w:t>
            </w:r>
            <w:r w:rsidRPr="00373926">
              <w:rPr>
                <w:b/>
              </w:rPr>
              <w:t>OK</w:t>
            </w:r>
            <w:r>
              <w:t>.</w:t>
            </w:r>
          </w:p>
        </w:tc>
        <w:tc>
          <w:tcPr>
            <w:tcW w:w="6120" w:type="dxa"/>
            <w:tcBorders>
              <w:top w:val="single" w:sz="4" w:space="0" w:color="auto"/>
              <w:left w:val="single" w:sz="4" w:space="0" w:color="auto"/>
              <w:bottom w:val="single" w:sz="4" w:space="0" w:color="auto"/>
              <w:right w:val="single" w:sz="4" w:space="0" w:color="auto"/>
            </w:tcBorders>
          </w:tcPr>
          <w:p w14:paraId="44917780" w14:textId="77777777" w:rsidR="002A21AE" w:rsidRDefault="002A21AE">
            <w:pPr>
              <w:pStyle w:val="TableTextBullet"/>
            </w:pPr>
            <w:r>
              <w:t>Lists report names.</w:t>
            </w:r>
          </w:p>
          <w:p w14:paraId="1BA230FC" w14:textId="77777777" w:rsidR="00741357" w:rsidRDefault="00741357">
            <w:pPr>
              <w:pStyle w:val="TableTextBullet"/>
            </w:pPr>
            <w:r>
              <w:t>Lists the completed TRWs for selection.</w:t>
            </w:r>
          </w:p>
          <w:p w14:paraId="383DF1F7" w14:textId="77777777" w:rsidR="002A21AE" w:rsidRDefault="002A21AE" w:rsidP="00741357">
            <w:pPr>
              <w:pStyle w:val="TableText"/>
            </w:pPr>
            <w:r>
              <w:t xml:space="preserve"> </w:t>
            </w:r>
          </w:p>
          <w:p w14:paraId="3B784FF8" w14:textId="40557966" w:rsidR="002A21AE" w:rsidRDefault="002A21AE">
            <w:pPr>
              <w:pStyle w:val="TableText"/>
              <w:rPr>
                <w:b/>
                <w:bCs/>
                <w:szCs w:val="18"/>
              </w:rPr>
            </w:pPr>
            <w:r>
              <w:rPr>
                <w:b/>
                <w:bCs/>
                <w:szCs w:val="18"/>
              </w:rPr>
              <w:t>NOTES</w:t>
            </w:r>
          </w:p>
          <w:p w14:paraId="11A0C2A0" w14:textId="77777777" w:rsidR="002A21AE" w:rsidRDefault="002A21AE">
            <w:pPr>
              <w:pStyle w:val="NotesText"/>
            </w:pPr>
          </w:p>
          <w:p w14:paraId="5F572C52" w14:textId="77777777" w:rsidR="002A21AE" w:rsidRDefault="0080656D">
            <w:pPr>
              <w:pStyle w:val="NotesText"/>
            </w:pPr>
            <w:r>
              <w:rPr>
                <w:rFonts w:cs="Arial"/>
                <w:vanish/>
              </w:rPr>
              <w:t xml:space="preserve">BR_78.04 </w:t>
            </w:r>
            <w:r w:rsidR="004C00DF">
              <w:t>When the user enters and saves the portion recorded in Patient Testing: Record a Transfusion Reaction Workup, the TRW status is “completed.” When the Transfusion Reaction Workup Report is complete, the TRW status is “finalized.”</w:t>
            </w:r>
          </w:p>
        </w:tc>
      </w:tr>
      <w:tr w:rsidR="002A21AE" w14:paraId="60A60FC1" w14:textId="77777777">
        <w:tc>
          <w:tcPr>
            <w:tcW w:w="3240" w:type="dxa"/>
            <w:tcBorders>
              <w:top w:val="single" w:sz="4" w:space="0" w:color="auto"/>
              <w:left w:val="single" w:sz="4" w:space="0" w:color="auto"/>
              <w:bottom w:val="single" w:sz="4" w:space="0" w:color="auto"/>
              <w:right w:val="single" w:sz="4" w:space="0" w:color="auto"/>
            </w:tcBorders>
          </w:tcPr>
          <w:p w14:paraId="3AB965E6" w14:textId="77777777" w:rsidR="002A21AE" w:rsidRDefault="00F74A56">
            <w:pPr>
              <w:pStyle w:val="TableTextNumbers"/>
            </w:pPr>
            <w:r>
              <w:t xml:space="preserve">Click the </w:t>
            </w:r>
            <w:r w:rsidRPr="00F74A56">
              <w:rPr>
                <w:b/>
              </w:rPr>
              <w:t xml:space="preserve">Finalize Transfusion Reaction Workup Report </w:t>
            </w:r>
            <w:r w:rsidRPr="00D1100E">
              <w:t>check box</w:t>
            </w:r>
            <w:r w:rsidR="002A21AE">
              <w:t>.</w:t>
            </w:r>
          </w:p>
        </w:tc>
        <w:tc>
          <w:tcPr>
            <w:tcW w:w="6120" w:type="dxa"/>
            <w:tcBorders>
              <w:top w:val="single" w:sz="4" w:space="0" w:color="auto"/>
              <w:left w:val="single" w:sz="4" w:space="0" w:color="auto"/>
              <w:bottom w:val="single" w:sz="4" w:space="0" w:color="auto"/>
              <w:right w:val="single" w:sz="4" w:space="0" w:color="auto"/>
            </w:tcBorders>
          </w:tcPr>
          <w:p w14:paraId="75870E61" w14:textId="77777777" w:rsidR="002A21AE" w:rsidRDefault="002A21AE">
            <w:pPr>
              <w:pStyle w:val="TableTextBullet"/>
            </w:pPr>
            <w:r>
              <w:t>Prepares the completed report for review.</w:t>
            </w:r>
          </w:p>
          <w:p w14:paraId="593F99AB" w14:textId="77777777" w:rsidR="00F26AD6" w:rsidRDefault="00F74A56" w:rsidP="00F26AD6">
            <w:pPr>
              <w:pStyle w:val="TableTextBullet"/>
            </w:pPr>
            <w:r>
              <w:t xml:space="preserve">Displays the name of the blood bank medical director to sign the final report. </w:t>
            </w:r>
          </w:p>
          <w:p w14:paraId="77F72DD4" w14:textId="77777777" w:rsidR="002A21AE" w:rsidRDefault="00F26AD6" w:rsidP="00247208">
            <w:pPr>
              <w:pStyle w:val="TableTextBullet"/>
            </w:pPr>
            <w:r>
              <w:rPr>
                <w:rFonts w:cs="Arial"/>
                <w:vanish/>
              </w:rPr>
              <w:t xml:space="preserve">BR_78.03 </w:t>
            </w:r>
            <w:r>
              <w:t>VBECS recreates the final report for viewing or printing in the future.</w:t>
            </w:r>
          </w:p>
        </w:tc>
      </w:tr>
      <w:tr w:rsidR="002A21AE" w14:paraId="62B65692" w14:textId="77777777">
        <w:tc>
          <w:tcPr>
            <w:tcW w:w="3240" w:type="dxa"/>
            <w:tcBorders>
              <w:top w:val="single" w:sz="4" w:space="0" w:color="auto"/>
              <w:left w:val="single" w:sz="4" w:space="0" w:color="auto"/>
              <w:bottom w:val="single" w:sz="4" w:space="0" w:color="auto"/>
              <w:right w:val="single" w:sz="4" w:space="0" w:color="auto"/>
            </w:tcBorders>
          </w:tcPr>
          <w:p w14:paraId="5DB75520" w14:textId="5D8C3CDB" w:rsidR="002A21AE" w:rsidRDefault="00DC6C19">
            <w:pPr>
              <w:pStyle w:val="TableTextNumbers"/>
            </w:pPr>
            <w:r>
              <w:t>Select the Transfusion Reaction Type and complete the Transfusion Reaction Comments required fields</w:t>
            </w:r>
            <w:r w:rsidR="00F40F83">
              <w:t xml:space="preserve"> (</w:t>
            </w:r>
            <w:r w:rsidR="00373926">
              <w:fldChar w:fldCharType="begin"/>
            </w:r>
            <w:r w:rsidR="00373926">
              <w:instrText xml:space="preserve"> REF _Ref127777300 \h </w:instrText>
            </w:r>
            <w:r w:rsidR="00373926">
              <w:fldChar w:fldCharType="separate"/>
            </w:r>
            <w:r w:rsidR="004353ED">
              <w:t xml:space="preserve">Figure </w:t>
            </w:r>
            <w:r w:rsidR="004353ED">
              <w:rPr>
                <w:noProof/>
              </w:rPr>
              <w:t>136</w:t>
            </w:r>
            <w:r w:rsidR="00373926">
              <w:fldChar w:fldCharType="end"/>
            </w:r>
            <w:r w:rsidR="00F40F83">
              <w:t>)</w:t>
            </w:r>
            <w:r>
              <w:t>.</w:t>
            </w:r>
          </w:p>
        </w:tc>
        <w:tc>
          <w:tcPr>
            <w:tcW w:w="6120" w:type="dxa"/>
            <w:tcBorders>
              <w:top w:val="single" w:sz="4" w:space="0" w:color="auto"/>
              <w:left w:val="single" w:sz="4" w:space="0" w:color="auto"/>
              <w:bottom w:val="single" w:sz="4" w:space="0" w:color="auto"/>
              <w:right w:val="single" w:sz="4" w:space="0" w:color="auto"/>
            </w:tcBorders>
          </w:tcPr>
          <w:p w14:paraId="5D4989AF" w14:textId="77777777" w:rsidR="00741357" w:rsidRDefault="00741357" w:rsidP="00741357">
            <w:pPr>
              <w:pStyle w:val="TableTextBullet"/>
            </w:pPr>
            <w:r>
              <w:t xml:space="preserve">Displays the selected Transfusion Reaction Workup Report data. </w:t>
            </w:r>
          </w:p>
          <w:p w14:paraId="69D5325F" w14:textId="77777777" w:rsidR="004353ED" w:rsidRDefault="00741357">
            <w:pPr>
              <w:pStyle w:val="Caption"/>
            </w:pPr>
            <w:r>
              <w:t xml:space="preserve">Requires the user to select a transfusion reaction type listed in </w:t>
            </w:r>
            <w:r w:rsidR="00AE2DC1">
              <w:fldChar w:fldCharType="begin"/>
            </w:r>
            <w:r w:rsidR="00AE2DC1">
              <w:instrText xml:space="preserve"> REF _Ref126504463 \h </w:instrText>
            </w:r>
            <w:r w:rsidR="00AE2DC1">
              <w:fldChar w:fldCharType="separate"/>
            </w:r>
          </w:p>
          <w:p w14:paraId="32FA46A5" w14:textId="77777777" w:rsidR="004353ED" w:rsidRDefault="004353ED">
            <w:pPr>
              <w:rPr>
                <w:b/>
                <w:sz w:val="22"/>
                <w:szCs w:val="22"/>
              </w:rPr>
            </w:pPr>
            <w:r>
              <w:br w:type="page"/>
            </w:r>
          </w:p>
          <w:p w14:paraId="6933EF57" w14:textId="1214445B" w:rsidR="00741357" w:rsidRDefault="004353ED" w:rsidP="00741357">
            <w:pPr>
              <w:pStyle w:val="TableTextBullet"/>
            </w:pPr>
            <w:r>
              <w:t xml:space="preserve">Table </w:t>
            </w:r>
            <w:r>
              <w:rPr>
                <w:noProof/>
              </w:rPr>
              <w:t>12</w:t>
            </w:r>
            <w:r>
              <w:t xml:space="preserve">: </w:t>
            </w:r>
            <w:r>
              <w:rPr>
                <w:vanish/>
              </w:rPr>
              <w:t xml:space="preserve">PT_78.01 </w:t>
            </w:r>
            <w:r>
              <w:t>Transfusion Reaction Types</w:t>
            </w:r>
            <w:r w:rsidR="00AE2DC1">
              <w:fldChar w:fldCharType="end"/>
            </w:r>
            <w:r w:rsidR="00741357">
              <w:t>.</w:t>
            </w:r>
          </w:p>
          <w:p w14:paraId="0871C49C" w14:textId="77777777" w:rsidR="00741357" w:rsidRDefault="00741357" w:rsidP="00741357">
            <w:pPr>
              <w:pStyle w:val="TableTextBullet"/>
            </w:pPr>
            <w:r>
              <w:t xml:space="preserve">Allows the user to enter </w:t>
            </w:r>
            <w:r w:rsidR="009C033B">
              <w:t xml:space="preserve">a TRW comment (maximum 1,000 characters). </w:t>
            </w:r>
            <w:r w:rsidR="009C033B" w:rsidRPr="009C033B">
              <w:rPr>
                <w:vanish/>
              </w:rPr>
              <w:t>DR 4788</w:t>
            </w:r>
          </w:p>
          <w:p w14:paraId="0F904CA6" w14:textId="77777777" w:rsidR="00F74A56" w:rsidRDefault="00F74A56" w:rsidP="00F74A56">
            <w:pPr>
              <w:pStyle w:val="TableTextBullet"/>
            </w:pPr>
            <w:r>
              <w:t>Allows the user to save the data entered.</w:t>
            </w:r>
          </w:p>
          <w:p w14:paraId="2DD923B8" w14:textId="77777777" w:rsidR="00E62B9E" w:rsidRDefault="00E62B9E" w:rsidP="00E62B9E">
            <w:pPr>
              <w:pStyle w:val="TableText"/>
            </w:pPr>
          </w:p>
          <w:p w14:paraId="7E3C1225" w14:textId="2A1F0B02" w:rsidR="00E62B9E" w:rsidRDefault="00E62B9E" w:rsidP="00E62B9E">
            <w:pPr>
              <w:pStyle w:val="TableText"/>
              <w:rPr>
                <w:b/>
                <w:bCs/>
                <w:szCs w:val="18"/>
              </w:rPr>
            </w:pPr>
            <w:r>
              <w:rPr>
                <w:b/>
                <w:bCs/>
                <w:szCs w:val="18"/>
              </w:rPr>
              <w:t>NOTES</w:t>
            </w:r>
          </w:p>
          <w:p w14:paraId="61912082" w14:textId="77777777" w:rsidR="00E62B9E" w:rsidRDefault="00E62B9E" w:rsidP="00E62B9E">
            <w:pPr>
              <w:pStyle w:val="NotesText"/>
            </w:pPr>
          </w:p>
          <w:p w14:paraId="1798F9DD" w14:textId="77777777" w:rsidR="00741357" w:rsidRDefault="00E62B9E" w:rsidP="00E62B9E">
            <w:pPr>
              <w:pStyle w:val="NotesText"/>
            </w:pPr>
            <w:r>
              <w:rPr>
                <w:rFonts w:cs="Arial"/>
                <w:vanish/>
              </w:rPr>
              <w:t xml:space="preserve">BR_78.02 </w:t>
            </w:r>
            <w:r>
              <w:t>The user must indicate one transfusion reaction type. Entry of a comment is optional for all types except O (other), which requires details to be entered.</w:t>
            </w:r>
          </w:p>
        </w:tc>
      </w:tr>
      <w:tr w:rsidR="002A21AE" w14:paraId="19BE3468" w14:textId="77777777">
        <w:tc>
          <w:tcPr>
            <w:tcW w:w="3240" w:type="dxa"/>
            <w:tcBorders>
              <w:top w:val="single" w:sz="4" w:space="0" w:color="auto"/>
              <w:left w:val="single" w:sz="4" w:space="0" w:color="auto"/>
              <w:bottom w:val="single" w:sz="4" w:space="0" w:color="auto"/>
              <w:right w:val="single" w:sz="4" w:space="0" w:color="auto"/>
            </w:tcBorders>
          </w:tcPr>
          <w:p w14:paraId="0823FD3A" w14:textId="77777777" w:rsidR="002A21AE" w:rsidRDefault="0080656D">
            <w:pPr>
              <w:pStyle w:val="TableTextNumbers"/>
            </w:pPr>
            <w:r>
              <w:t xml:space="preserve">Click </w:t>
            </w:r>
            <w:r w:rsidRPr="0080656D">
              <w:rPr>
                <w:b/>
              </w:rPr>
              <w:t>OK</w:t>
            </w:r>
            <w:r>
              <w:t xml:space="preserve"> and </w:t>
            </w:r>
            <w:r w:rsidRPr="0080656D">
              <w:rPr>
                <w:b/>
              </w:rPr>
              <w:t>Yes</w:t>
            </w:r>
            <w:r>
              <w:t xml:space="preserve"> to save.</w:t>
            </w:r>
          </w:p>
        </w:tc>
        <w:tc>
          <w:tcPr>
            <w:tcW w:w="6120" w:type="dxa"/>
            <w:tcBorders>
              <w:top w:val="single" w:sz="4" w:space="0" w:color="auto"/>
              <w:left w:val="single" w:sz="4" w:space="0" w:color="auto"/>
              <w:bottom w:val="single" w:sz="4" w:space="0" w:color="auto"/>
              <w:right w:val="single" w:sz="4" w:space="0" w:color="auto"/>
            </w:tcBorders>
          </w:tcPr>
          <w:p w14:paraId="67B659E8" w14:textId="77777777" w:rsidR="0080656D" w:rsidRDefault="00DC6C19" w:rsidP="00A902A8">
            <w:pPr>
              <w:pStyle w:val="TableTextBullet"/>
            </w:pPr>
            <w:r>
              <w:t>Updates the transfusion reaction to “finalized” in the database and prints a report for the medical director’s signature.</w:t>
            </w:r>
          </w:p>
          <w:p w14:paraId="59A41031" w14:textId="77777777" w:rsidR="00840DB0" w:rsidRDefault="00840DB0" w:rsidP="00840DB0">
            <w:pPr>
              <w:pStyle w:val="TableTextBullet"/>
              <w:numPr>
                <w:ilvl w:val="0"/>
                <w:numId w:val="0"/>
              </w:numPr>
            </w:pPr>
          </w:p>
          <w:p w14:paraId="060E0BC2" w14:textId="03F6141C" w:rsidR="00840DB0" w:rsidRDefault="00840DB0" w:rsidP="00840DB0">
            <w:pPr>
              <w:pStyle w:val="TableText"/>
              <w:rPr>
                <w:b/>
                <w:bCs/>
                <w:szCs w:val="18"/>
              </w:rPr>
            </w:pPr>
            <w:r>
              <w:rPr>
                <w:b/>
                <w:bCs/>
                <w:szCs w:val="18"/>
              </w:rPr>
              <w:t>NOTES</w:t>
            </w:r>
          </w:p>
          <w:p w14:paraId="63E5D0CA" w14:textId="77777777" w:rsidR="00D702AF" w:rsidRDefault="00D702AF" w:rsidP="00D702AF">
            <w:pPr>
              <w:pStyle w:val="NotesText"/>
            </w:pPr>
            <w:r w:rsidRPr="00F91233">
              <w:rPr>
                <w:vanish/>
              </w:rPr>
              <w:t xml:space="preserve">BR_78.06 </w:t>
            </w:r>
            <w:r>
              <w:t>VBECS notifies the user when DSS updates cannot be sent because VistALink is not active.</w:t>
            </w:r>
          </w:p>
          <w:p w14:paraId="0287C1E2" w14:textId="77777777" w:rsidR="00D702AF" w:rsidRDefault="00D702AF" w:rsidP="00D702AF">
            <w:pPr>
              <w:pStyle w:val="NotesText"/>
            </w:pPr>
          </w:p>
          <w:p w14:paraId="2D25AF2E" w14:textId="77777777" w:rsidR="00840DB0" w:rsidRDefault="00D702AF" w:rsidP="00D702AF">
            <w:pPr>
              <w:pStyle w:val="NotesText"/>
            </w:pPr>
            <w:r w:rsidRPr="00CE602E">
              <w:rPr>
                <w:vanish/>
              </w:rPr>
              <w:t xml:space="preserve">BR_102.09 </w:t>
            </w:r>
            <w:r>
              <w:t xml:space="preserve">VBECS will attempt to resend the DSS information when </w:t>
            </w:r>
            <w:r w:rsidR="00A2613A">
              <w:t>VistALink</w:t>
            </w:r>
            <w:r>
              <w:t xml:space="preserve"> is available after any user logs into the VBECS application’s </w:t>
            </w:r>
            <w:r w:rsidR="00A2613A">
              <w:t>VistALink</w:t>
            </w:r>
            <w:r>
              <w:t xml:space="preserve"> connection.</w:t>
            </w:r>
          </w:p>
        </w:tc>
      </w:tr>
      <w:tr w:rsidR="0080656D" w14:paraId="154D18EA" w14:textId="77777777">
        <w:tc>
          <w:tcPr>
            <w:tcW w:w="3240" w:type="dxa"/>
          </w:tcPr>
          <w:p w14:paraId="30ED4935" w14:textId="77777777" w:rsidR="0080656D" w:rsidRDefault="0080656D">
            <w:pPr>
              <w:pStyle w:val="TableTextNumbers"/>
            </w:pPr>
            <w:r>
              <w:t xml:space="preserve">Select </w:t>
            </w:r>
            <w:r w:rsidRPr="0080656D">
              <w:rPr>
                <w:b/>
              </w:rPr>
              <w:t>Schedule Print</w:t>
            </w:r>
            <w:r>
              <w:t xml:space="preserve"> or </w:t>
            </w:r>
            <w:r w:rsidRPr="0080656D">
              <w:rPr>
                <w:b/>
              </w:rPr>
              <w:t>Print Now</w:t>
            </w:r>
            <w:r>
              <w:t xml:space="preserve"> and follow the instructions to print.</w:t>
            </w:r>
          </w:p>
        </w:tc>
        <w:tc>
          <w:tcPr>
            <w:tcW w:w="6120" w:type="dxa"/>
          </w:tcPr>
          <w:p w14:paraId="1A1E3E6A" w14:textId="77777777" w:rsidR="0080656D" w:rsidRDefault="00A902A8" w:rsidP="00A902A8">
            <w:pPr>
              <w:pStyle w:val="TableTextBullet"/>
            </w:pPr>
            <w:r>
              <w:t>Prints the report on the selected printer.</w:t>
            </w:r>
          </w:p>
        </w:tc>
      </w:tr>
      <w:tr w:rsidR="002A21AE" w14:paraId="5806CF35" w14:textId="77777777">
        <w:tc>
          <w:tcPr>
            <w:tcW w:w="3240" w:type="dxa"/>
          </w:tcPr>
          <w:p w14:paraId="49C18985" w14:textId="77777777" w:rsidR="002A21AE" w:rsidRDefault="0080656D">
            <w:pPr>
              <w:pStyle w:val="TableTextNumbers"/>
            </w:pPr>
            <w:r>
              <w:t xml:space="preserve">Click </w:t>
            </w:r>
            <w:r w:rsidRPr="0080656D">
              <w:rPr>
                <w:b/>
              </w:rPr>
              <w:t>Close</w:t>
            </w:r>
            <w:r>
              <w:t xml:space="preserve"> to e</w:t>
            </w:r>
            <w:r w:rsidR="002A21AE">
              <w:t>xit.</w:t>
            </w:r>
            <w:r w:rsidR="002A21AE">
              <w:rPr>
                <w:vanish/>
                <w:szCs w:val="18"/>
              </w:rPr>
              <w:fldChar w:fldCharType="begin"/>
            </w:r>
            <w:r w:rsidR="002A21AE">
              <w:rPr>
                <w:vanish/>
                <w:szCs w:val="18"/>
              </w:rPr>
              <w:instrText xml:space="preserve"> LISTNUM \l 1 \s 0 </w:instrText>
            </w:r>
            <w:r w:rsidR="002A21AE">
              <w:rPr>
                <w:vanish/>
                <w:szCs w:val="18"/>
              </w:rPr>
              <w:fldChar w:fldCharType="end">
                <w:numberingChange w:id="602" w:author="Blalock, David (Leidos)" w:date="2020-06-15T14:09:00Z" w:original="0."/>
              </w:fldChar>
            </w:r>
          </w:p>
        </w:tc>
        <w:tc>
          <w:tcPr>
            <w:tcW w:w="6120" w:type="dxa"/>
          </w:tcPr>
          <w:p w14:paraId="20C59C38" w14:textId="77777777" w:rsidR="002A21AE" w:rsidRDefault="002A21AE">
            <w:pPr>
              <w:pStyle w:val="NotesText"/>
              <w:ind w:left="0"/>
            </w:pPr>
          </w:p>
        </w:tc>
      </w:tr>
    </w:tbl>
    <w:p w14:paraId="18480D4E" w14:textId="47B498E5" w:rsidR="00772DD7" w:rsidRDefault="00772DD7" w:rsidP="00772DD7">
      <w:pPr>
        <w:pStyle w:val="Caption"/>
      </w:pPr>
      <w:bookmarkStart w:id="603" w:name="_Ref12777705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135</w:t>
      </w:r>
      <w:r w:rsidR="004E20BD">
        <w:rPr>
          <w:noProof/>
        </w:rPr>
        <w:fldChar w:fldCharType="end"/>
      </w:r>
      <w:bookmarkEnd w:id="603"/>
      <w:r>
        <w:t>:</w:t>
      </w:r>
      <w:r w:rsidR="00373926">
        <w:t xml:space="preserve"> Select Transfusion Reaction Workup</w:t>
      </w:r>
    </w:p>
    <w:p w14:paraId="1F333624" w14:textId="77777777" w:rsidR="00772DD7" w:rsidRPr="00772DD7" w:rsidRDefault="00057948" w:rsidP="00772DD7">
      <w:pPr>
        <w:pStyle w:val="BodyText"/>
      </w:pPr>
      <w:r>
        <w:rPr>
          <w:noProof/>
        </w:rPr>
        <w:drawing>
          <wp:inline distT="0" distB="0" distL="0" distR="0" wp14:anchorId="5556B42D" wp14:editId="02A4D5E5">
            <wp:extent cx="4119245" cy="2540000"/>
            <wp:effectExtent l="0" t="0" r="0" b="0"/>
            <wp:docPr id="250" name="Picture 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a:extLst>
                        <a:ext uri="{C183D7F6-B498-43B3-948B-1728B52AA6E4}">
                          <adec:decorative xmlns:adec="http://schemas.microsoft.com/office/drawing/2017/decorative" val="1"/>
                        </a:ext>
                      </a:extLst>
                    </pic:cNvPr>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4119245" cy="2540000"/>
                    </a:xfrm>
                    <a:prstGeom prst="rect">
                      <a:avLst/>
                    </a:prstGeom>
                    <a:noFill/>
                    <a:ln>
                      <a:noFill/>
                    </a:ln>
                  </pic:spPr>
                </pic:pic>
              </a:graphicData>
            </a:graphic>
          </wp:inline>
        </w:drawing>
      </w:r>
    </w:p>
    <w:p w14:paraId="0AB0BD87" w14:textId="1D626895" w:rsidR="00772DD7" w:rsidRDefault="00772DD7" w:rsidP="00772DD7">
      <w:pPr>
        <w:pStyle w:val="Caption"/>
      </w:pPr>
      <w:bookmarkStart w:id="604" w:name="_Ref12777730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136</w:t>
      </w:r>
      <w:r w:rsidR="004E20BD">
        <w:rPr>
          <w:noProof/>
        </w:rPr>
        <w:fldChar w:fldCharType="end"/>
      </w:r>
      <w:bookmarkEnd w:id="604"/>
      <w:r>
        <w:t>:</w:t>
      </w:r>
      <w:r w:rsidR="00373926">
        <w:t xml:space="preserve"> Finalize TRW Report </w:t>
      </w:r>
      <w:r w:rsidR="002D59D6" w:rsidRPr="002D59D6">
        <w:rPr>
          <w:vanish/>
        </w:rPr>
        <w:t>DR 5107</w:t>
      </w:r>
    </w:p>
    <w:p w14:paraId="03D271E2" w14:textId="3B67A4DF" w:rsidR="000E5480" w:rsidRPr="000E5480" w:rsidRDefault="000E5480" w:rsidP="000E5480">
      <w:pPr>
        <w:pStyle w:val="BodyText"/>
      </w:pPr>
      <w:r>
        <w:rPr>
          <w:noProof/>
        </w:rPr>
        <w:drawing>
          <wp:inline distT="0" distB="0" distL="0" distR="0" wp14:anchorId="122CDA94" wp14:editId="5DCA11E4">
            <wp:extent cx="5135245" cy="3685540"/>
            <wp:effectExtent l="0" t="0" r="8255" b="0"/>
            <wp:docPr id="177" name="Picture 1" descr="cid:image001.jpg@01CFF8D3.98CB1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FF8D3.98CB1E30"/>
                    <pic:cNvPicPr>
                      <a:picLocks noChangeAspect="1" noChangeArrowheads="1"/>
                    </pic:cNvPicPr>
                  </pic:nvPicPr>
                  <pic:blipFill>
                    <a:blip r:embed="rId226" r:link="rId227">
                      <a:extLst>
                        <a:ext uri="{28A0092B-C50C-407E-A947-70E740481C1C}">
                          <a14:useLocalDpi xmlns:a14="http://schemas.microsoft.com/office/drawing/2010/main" val="0"/>
                        </a:ext>
                      </a:extLst>
                    </a:blip>
                    <a:srcRect/>
                    <a:stretch>
                      <a:fillRect/>
                    </a:stretch>
                  </pic:blipFill>
                  <pic:spPr bwMode="auto">
                    <a:xfrm>
                      <a:off x="0" y="0"/>
                      <a:ext cx="5135245" cy="3685540"/>
                    </a:xfrm>
                    <a:prstGeom prst="rect">
                      <a:avLst/>
                    </a:prstGeom>
                    <a:noFill/>
                    <a:ln>
                      <a:noFill/>
                    </a:ln>
                  </pic:spPr>
                </pic:pic>
              </a:graphicData>
            </a:graphic>
          </wp:inline>
        </w:drawing>
      </w:r>
    </w:p>
    <w:p w14:paraId="730E551E" w14:textId="77777777" w:rsidR="00310DBF" w:rsidRDefault="00310DBF">
      <w:pPr>
        <w:rPr>
          <w:rFonts w:ascii="Arial" w:hAnsi="Arial"/>
          <w:b/>
          <w:sz w:val="22"/>
        </w:rPr>
      </w:pPr>
      <w:r>
        <w:br w:type="page"/>
      </w:r>
    </w:p>
    <w:p w14:paraId="3AE13033" w14:textId="5AB87FDE" w:rsidR="002A21AE" w:rsidRDefault="002A21AE">
      <w:pPr>
        <w:pStyle w:val="Heading4"/>
      </w:pPr>
      <w:r>
        <w:lastRenderedPageBreak/>
        <w:t>View/Print a Finalized Transfusion Reaction Workup Report</w:t>
      </w:r>
      <w:r>
        <w:fldChar w:fldCharType="begin"/>
      </w:r>
      <w:r>
        <w:instrText xml:space="preserve"> XE </w:instrText>
      </w:r>
      <w:r w:rsidR="00FA7E65">
        <w:instrText>“</w:instrText>
      </w:r>
      <w:r>
        <w:instrText>View/Print a Finalized Transfusion Reaction Workup Report</w:instrText>
      </w:r>
      <w:r w:rsidR="00FA7E65">
        <w:instrText>”</w:instrText>
      </w:r>
      <w:r>
        <w:instrText xml:space="preserve"> </w:instrText>
      </w:r>
      <w:r>
        <w:fldChar w:fldCharType="end"/>
      </w:r>
    </w:p>
    <w:p w14:paraId="6C02DF3A" w14:textId="77777777" w:rsidR="002624D5" w:rsidRPr="002624D5" w:rsidRDefault="002624D5" w:rsidP="00DD75E5">
      <w:pPr>
        <w:pStyle w:val="BodyText"/>
      </w:pPr>
      <w:r>
        <w:t>The user views and/or prints the</w:t>
      </w:r>
      <w:r w:rsidR="0016517C">
        <w:t xml:space="preserve"> finalized</w:t>
      </w:r>
      <w:r>
        <w:t xml:space="preserve"> Transfusion Reaction Workup Report.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1B80A7B" w14:textId="77777777">
        <w:trPr>
          <w:tblHeader/>
        </w:trPr>
        <w:tc>
          <w:tcPr>
            <w:tcW w:w="3240" w:type="dxa"/>
            <w:tcBorders>
              <w:top w:val="single" w:sz="4" w:space="0" w:color="auto"/>
              <w:left w:val="single" w:sz="4" w:space="0" w:color="auto"/>
              <w:bottom w:val="single" w:sz="4" w:space="0" w:color="auto"/>
              <w:right w:val="single" w:sz="4" w:space="0" w:color="auto"/>
            </w:tcBorders>
            <w:shd w:val="pct30" w:color="auto" w:fill="auto"/>
            <w:vAlign w:val="bottom"/>
          </w:tcPr>
          <w:p w14:paraId="453AB7F2" w14:textId="77777777" w:rsidR="002A21AE" w:rsidRDefault="002A21AE">
            <w:pPr>
              <w:pStyle w:val="TableText"/>
              <w:rPr>
                <w:b/>
              </w:rPr>
            </w:pPr>
            <w:r>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auto"/>
            <w:vAlign w:val="bottom"/>
          </w:tcPr>
          <w:p w14:paraId="78AF8CC3" w14:textId="77777777" w:rsidR="002A21AE" w:rsidRDefault="002A21AE">
            <w:pPr>
              <w:pStyle w:val="TableText"/>
              <w:rPr>
                <w:b/>
              </w:rPr>
            </w:pPr>
            <w:r>
              <w:rPr>
                <w:b/>
              </w:rPr>
              <w:t>VBECS</w:t>
            </w:r>
          </w:p>
        </w:tc>
      </w:tr>
      <w:tr w:rsidR="002A21AE" w14:paraId="54F85426" w14:textId="77777777">
        <w:tc>
          <w:tcPr>
            <w:tcW w:w="3240" w:type="dxa"/>
            <w:tcBorders>
              <w:top w:val="single" w:sz="4" w:space="0" w:color="auto"/>
              <w:left w:val="single" w:sz="4" w:space="0" w:color="auto"/>
              <w:bottom w:val="single" w:sz="4" w:space="0" w:color="auto"/>
              <w:right w:val="single" w:sz="4" w:space="0" w:color="auto"/>
            </w:tcBorders>
          </w:tcPr>
          <w:p w14:paraId="0C76CB0E" w14:textId="77777777" w:rsidR="002A21AE" w:rsidRDefault="002A21AE">
            <w:pPr>
              <w:pStyle w:val="TableTextNumbers"/>
            </w:pPr>
            <w:r>
              <w:t xml:space="preserve">Select </w:t>
            </w:r>
            <w:r>
              <w:rPr>
                <w:b/>
              </w:rPr>
              <w:t>Reports</w:t>
            </w:r>
            <w:r>
              <w:t xml:space="preserve"> from the main menu.</w:t>
            </w:r>
          </w:p>
          <w:p w14:paraId="44589EAC" w14:textId="77777777" w:rsidR="002A21AE" w:rsidRDefault="002A21AE">
            <w:pPr>
              <w:pStyle w:val="TableTextNumbersContinued"/>
            </w:pPr>
          </w:p>
          <w:p w14:paraId="16CBFB01" w14:textId="77777777" w:rsidR="002A21AE" w:rsidRDefault="002A21AE">
            <w:pPr>
              <w:pStyle w:val="TableTextNumbersContinued"/>
            </w:pPr>
            <w:r>
              <w:t xml:space="preserve">Select </w:t>
            </w:r>
            <w:r>
              <w:rPr>
                <w:b/>
              </w:rPr>
              <w:t>Finalize/Print TRW</w:t>
            </w:r>
            <w:r>
              <w:t>.</w:t>
            </w:r>
          </w:p>
          <w:p w14:paraId="2A690758" w14:textId="77777777" w:rsidR="002A21AE" w:rsidRDefault="002A21AE">
            <w:pPr>
              <w:pStyle w:val="TableTextNumbersContinued"/>
            </w:pPr>
          </w:p>
          <w:p w14:paraId="1A4B745E" w14:textId="677E940B" w:rsidR="002A21AE" w:rsidRDefault="002A21AE">
            <w:pPr>
              <w:pStyle w:val="TableTextNumbersContinued"/>
            </w:pPr>
            <w:r>
              <w:t>Select a completed TRW</w:t>
            </w:r>
            <w:r w:rsidR="00F40F83">
              <w:t xml:space="preserve"> (</w:t>
            </w:r>
            <w:r w:rsidR="00EE2299">
              <w:fldChar w:fldCharType="begin"/>
            </w:r>
            <w:r w:rsidR="00EE2299">
              <w:instrText xml:space="preserve"> REF _Ref127774218 \h </w:instrText>
            </w:r>
            <w:r w:rsidR="00EE2299">
              <w:fldChar w:fldCharType="separate"/>
            </w:r>
            <w:r w:rsidR="004353ED">
              <w:t xml:space="preserve">Figure </w:t>
            </w:r>
            <w:r w:rsidR="004353ED">
              <w:rPr>
                <w:noProof/>
              </w:rPr>
              <w:t>134</w:t>
            </w:r>
            <w:r w:rsidR="00EE2299">
              <w:fldChar w:fldCharType="end"/>
            </w:r>
            <w:r w:rsidR="00F40F83">
              <w:t>)</w:t>
            </w:r>
            <w:r>
              <w:t>.</w:t>
            </w:r>
          </w:p>
        </w:tc>
        <w:tc>
          <w:tcPr>
            <w:tcW w:w="6120" w:type="dxa"/>
            <w:tcBorders>
              <w:top w:val="single" w:sz="4" w:space="0" w:color="auto"/>
              <w:left w:val="single" w:sz="4" w:space="0" w:color="auto"/>
              <w:bottom w:val="single" w:sz="4" w:space="0" w:color="auto"/>
              <w:right w:val="single" w:sz="4" w:space="0" w:color="auto"/>
            </w:tcBorders>
          </w:tcPr>
          <w:p w14:paraId="5BBBF2DE" w14:textId="77777777" w:rsidR="002A21AE" w:rsidRDefault="002A21AE">
            <w:pPr>
              <w:pStyle w:val="TableTextBullet"/>
            </w:pPr>
            <w:r>
              <w:t>Lists report names.</w:t>
            </w:r>
          </w:p>
          <w:p w14:paraId="54611BBE" w14:textId="77777777" w:rsidR="002A21AE" w:rsidRDefault="002A21AE">
            <w:pPr>
              <w:pStyle w:val="TableTextBullet"/>
            </w:pPr>
            <w:r>
              <w:t xml:space="preserve">Displays the selected Transfusion Reaction Workup Report data. </w:t>
            </w:r>
          </w:p>
          <w:p w14:paraId="2C7233D9" w14:textId="77777777" w:rsidR="002A21AE" w:rsidRDefault="002A21AE">
            <w:pPr>
              <w:pStyle w:val="TableTextBullet"/>
            </w:pPr>
            <w:r>
              <w:t>Displays an option to view and/or print a finalized TRW by selecting a patient.</w:t>
            </w:r>
          </w:p>
          <w:p w14:paraId="343BCDEB" w14:textId="77777777" w:rsidR="002A21AE" w:rsidRDefault="002A21AE">
            <w:pPr>
              <w:pStyle w:val="TableText"/>
            </w:pPr>
          </w:p>
          <w:p w14:paraId="75579226" w14:textId="126E3B7C" w:rsidR="002A21AE" w:rsidRDefault="002A21AE">
            <w:pPr>
              <w:pStyle w:val="TableText"/>
              <w:rPr>
                <w:b/>
                <w:bCs/>
              </w:rPr>
            </w:pPr>
            <w:r>
              <w:rPr>
                <w:b/>
                <w:bCs/>
              </w:rPr>
              <w:t>NOTES</w:t>
            </w:r>
          </w:p>
          <w:p w14:paraId="3B8EBD95" w14:textId="77777777" w:rsidR="002A21AE" w:rsidRDefault="002A21AE">
            <w:pPr>
              <w:pStyle w:val="NotesText"/>
            </w:pPr>
          </w:p>
          <w:p w14:paraId="6E0BC7AE" w14:textId="77777777" w:rsidR="002A21AE" w:rsidRDefault="002A21AE">
            <w:pPr>
              <w:pStyle w:val="NotesText"/>
            </w:pPr>
            <w:r>
              <w:rPr>
                <w:rFonts w:cs="Arial"/>
                <w:vanish/>
              </w:rPr>
              <w:t xml:space="preserve">BR_78.01 </w:t>
            </w:r>
            <w:r>
              <w:t>The user finalizing the report may not edit previously entered TRW data.</w:t>
            </w:r>
          </w:p>
        </w:tc>
      </w:tr>
      <w:tr w:rsidR="002A21AE" w14:paraId="1A53BB91" w14:textId="77777777">
        <w:tc>
          <w:tcPr>
            <w:tcW w:w="3240" w:type="dxa"/>
            <w:tcBorders>
              <w:top w:val="single" w:sz="4" w:space="0" w:color="auto"/>
              <w:left w:val="single" w:sz="4" w:space="0" w:color="auto"/>
              <w:bottom w:val="single" w:sz="4" w:space="0" w:color="auto"/>
              <w:right w:val="single" w:sz="4" w:space="0" w:color="auto"/>
            </w:tcBorders>
          </w:tcPr>
          <w:p w14:paraId="55C10C0C" w14:textId="77777777" w:rsidR="002A21AE" w:rsidRDefault="002A21AE">
            <w:pPr>
              <w:pStyle w:val="TableTextNumbers"/>
            </w:pPr>
            <w:r>
              <w:t>Select a patient.</w:t>
            </w:r>
          </w:p>
        </w:tc>
        <w:tc>
          <w:tcPr>
            <w:tcW w:w="6120" w:type="dxa"/>
            <w:tcBorders>
              <w:top w:val="single" w:sz="4" w:space="0" w:color="auto"/>
              <w:left w:val="single" w:sz="4" w:space="0" w:color="auto"/>
              <w:bottom w:val="single" w:sz="4" w:space="0" w:color="auto"/>
              <w:right w:val="single" w:sz="4" w:space="0" w:color="auto"/>
            </w:tcBorders>
          </w:tcPr>
          <w:p w14:paraId="69F804D2" w14:textId="77777777" w:rsidR="002A21AE" w:rsidRDefault="002A21AE">
            <w:pPr>
              <w:pStyle w:val="TableTextBullet"/>
            </w:pPr>
            <w:r>
              <w:t>Compiles the report and displays an option to print the report or exit.</w:t>
            </w:r>
          </w:p>
          <w:p w14:paraId="6ADDCBAC" w14:textId="77777777" w:rsidR="002A21AE" w:rsidRDefault="002A21AE">
            <w:pPr>
              <w:pStyle w:val="TableText"/>
            </w:pPr>
          </w:p>
          <w:p w14:paraId="59DB6817" w14:textId="29ECB833" w:rsidR="002A21AE" w:rsidRDefault="002A21AE">
            <w:pPr>
              <w:pStyle w:val="TableText"/>
              <w:rPr>
                <w:b/>
                <w:bCs/>
              </w:rPr>
            </w:pPr>
            <w:r>
              <w:rPr>
                <w:b/>
                <w:bCs/>
              </w:rPr>
              <w:t>NOTES</w:t>
            </w:r>
          </w:p>
          <w:p w14:paraId="513515B1" w14:textId="77777777" w:rsidR="002A21AE" w:rsidRDefault="002A21AE">
            <w:pPr>
              <w:pStyle w:val="NotesText"/>
            </w:pPr>
          </w:p>
          <w:p w14:paraId="7C8E113F" w14:textId="77777777" w:rsidR="002A21AE" w:rsidRDefault="002A21AE">
            <w:pPr>
              <w:pStyle w:val="NotesText"/>
            </w:pPr>
            <w:r>
              <w:rPr>
                <w:rFonts w:cs="Arial"/>
                <w:vanish/>
              </w:rPr>
              <w:t xml:space="preserve">BR_78.05 </w:t>
            </w:r>
            <w:r>
              <w:t>Details included in the finalized TRW report:</w:t>
            </w:r>
          </w:p>
          <w:p w14:paraId="713897F1" w14:textId="77777777" w:rsidR="002A21AE" w:rsidRDefault="002A21AE">
            <w:pPr>
              <w:pStyle w:val="NotesTextBullet"/>
            </w:pPr>
            <w:r>
              <w:t>Patient name</w:t>
            </w:r>
          </w:p>
          <w:p w14:paraId="2329F4B6" w14:textId="77777777" w:rsidR="002A21AE" w:rsidRDefault="002A21AE">
            <w:pPr>
              <w:pStyle w:val="NotesTextBullet"/>
            </w:pPr>
            <w:r>
              <w:t>Patient ID</w:t>
            </w:r>
          </w:p>
          <w:p w14:paraId="1B9D9CD9" w14:textId="77777777" w:rsidR="002A21AE" w:rsidRDefault="002A21AE">
            <w:pPr>
              <w:pStyle w:val="NotesTextBullet"/>
            </w:pPr>
            <w:r>
              <w:t>Specimen UID</w:t>
            </w:r>
          </w:p>
          <w:p w14:paraId="0896E330" w14:textId="77777777" w:rsidR="002A21AE" w:rsidRDefault="002A21AE">
            <w:pPr>
              <w:pStyle w:val="NotesTextBullet"/>
            </w:pPr>
            <w:r>
              <w:t>Reported symptoms</w:t>
            </w:r>
          </w:p>
          <w:p w14:paraId="1F965E50" w14:textId="77777777" w:rsidR="002A21AE" w:rsidRDefault="002A21AE">
            <w:pPr>
              <w:pStyle w:val="NotesTextBullet"/>
            </w:pPr>
            <w:r>
              <w:t>Specimen clerical checks (pre-, post-, and unit)</w:t>
            </w:r>
          </w:p>
          <w:p w14:paraId="66ACED8A" w14:textId="77777777" w:rsidR="002A21AE" w:rsidRDefault="002A21AE">
            <w:pPr>
              <w:pStyle w:val="NotesTextBullet"/>
            </w:pPr>
            <w:r>
              <w:t>Serologic testing (if performed, interpretations only)</w:t>
            </w:r>
          </w:p>
          <w:p w14:paraId="1321B61B" w14:textId="77777777" w:rsidR="002A21AE" w:rsidRDefault="002A21AE">
            <w:pPr>
              <w:pStyle w:val="NotesTextBullet"/>
            </w:pPr>
            <w:r>
              <w:t>Transfusion reaction type</w:t>
            </w:r>
          </w:p>
          <w:p w14:paraId="0F53DDAA" w14:textId="77777777" w:rsidR="002A21AE" w:rsidRDefault="002A21AE">
            <w:pPr>
              <w:pStyle w:val="NotesTextBullet"/>
            </w:pPr>
            <w:r>
              <w:t>Comment</w:t>
            </w:r>
          </w:p>
          <w:p w14:paraId="1F6B6A8C" w14:textId="691E39F5" w:rsidR="002A21AE" w:rsidRDefault="002A21AE">
            <w:pPr>
              <w:pStyle w:val="NotesTextBullet"/>
            </w:pPr>
            <w:r>
              <w:t xml:space="preserve">Implicated units (include from Patient Testing: Record a Transfusion Reaction </w:t>
            </w:r>
            <w:r w:rsidR="006549B7">
              <w:t>Workup)</w:t>
            </w:r>
          </w:p>
          <w:p w14:paraId="76E341A4" w14:textId="77777777" w:rsidR="002A21AE" w:rsidRDefault="002A21AE">
            <w:pPr>
              <w:pStyle w:val="NotesTextBullet"/>
            </w:pPr>
            <w:r>
              <w:t>TRW report completed by:</w:t>
            </w:r>
          </w:p>
          <w:p w14:paraId="075A270B" w14:textId="77777777" w:rsidR="002A21AE" w:rsidRDefault="002A21AE">
            <w:pPr>
              <w:pStyle w:val="NotesTextBullet1"/>
            </w:pPr>
            <w:r>
              <w:t>Date and time the report was completed</w:t>
            </w:r>
          </w:p>
          <w:p w14:paraId="28988B38" w14:textId="77777777" w:rsidR="002A21AE" w:rsidRDefault="002A21AE">
            <w:pPr>
              <w:pStyle w:val="NotesTextBullet1"/>
            </w:pPr>
            <w:r>
              <w:t>Signature line for the medical director</w:t>
            </w:r>
          </w:p>
          <w:p w14:paraId="7F219BFC" w14:textId="77777777" w:rsidR="002A21AE" w:rsidRDefault="002A21AE">
            <w:pPr>
              <w:pStyle w:val="NotesTextBullet1"/>
            </w:pPr>
            <w:r>
              <w:t>Line for the date and time the medical director completed the review</w:t>
            </w:r>
          </w:p>
          <w:p w14:paraId="476A1F0A" w14:textId="77777777" w:rsidR="002A21AE" w:rsidRDefault="002A21AE">
            <w:pPr>
              <w:pStyle w:val="NotesTextBullet1"/>
            </w:pPr>
            <w:r>
              <w:t>Finalized by</w:t>
            </w:r>
          </w:p>
          <w:p w14:paraId="4D358C49" w14:textId="77777777" w:rsidR="002A21AE" w:rsidRDefault="002A21AE">
            <w:pPr>
              <w:pStyle w:val="NotesTextBullet1"/>
            </w:pPr>
            <w:r>
              <w:t>Finalized date and time</w:t>
            </w:r>
          </w:p>
        </w:tc>
      </w:tr>
      <w:tr w:rsidR="00A902A8" w14:paraId="46F804C8" w14:textId="77777777">
        <w:tc>
          <w:tcPr>
            <w:tcW w:w="3240" w:type="dxa"/>
          </w:tcPr>
          <w:p w14:paraId="194F647F" w14:textId="77777777" w:rsidR="00A902A8" w:rsidRDefault="00A902A8" w:rsidP="00E21A6B">
            <w:pPr>
              <w:pStyle w:val="TableTextNumbers"/>
            </w:pPr>
            <w:r>
              <w:t xml:space="preserve">Select </w:t>
            </w:r>
            <w:r w:rsidRPr="0080656D">
              <w:rPr>
                <w:b/>
              </w:rPr>
              <w:t>Schedule Print</w:t>
            </w:r>
            <w:r>
              <w:t xml:space="preserve"> or </w:t>
            </w:r>
            <w:r w:rsidRPr="0080656D">
              <w:rPr>
                <w:b/>
              </w:rPr>
              <w:t>Print Now</w:t>
            </w:r>
            <w:r>
              <w:t xml:space="preserve"> and follow the instructions to print.</w:t>
            </w:r>
          </w:p>
        </w:tc>
        <w:tc>
          <w:tcPr>
            <w:tcW w:w="6120" w:type="dxa"/>
          </w:tcPr>
          <w:p w14:paraId="15CF262B" w14:textId="77777777" w:rsidR="00A902A8" w:rsidRDefault="00A902A8" w:rsidP="00E21A6B">
            <w:pPr>
              <w:pStyle w:val="TableTextBullet"/>
            </w:pPr>
            <w:r>
              <w:t>Prints the report on the selected printer.</w:t>
            </w:r>
          </w:p>
        </w:tc>
      </w:tr>
      <w:tr w:rsidR="00A902A8" w14:paraId="02E572F2" w14:textId="77777777">
        <w:tc>
          <w:tcPr>
            <w:tcW w:w="3240" w:type="dxa"/>
          </w:tcPr>
          <w:p w14:paraId="33DC393C" w14:textId="77777777" w:rsidR="00A902A8" w:rsidRDefault="00A902A8" w:rsidP="00E21A6B">
            <w:pPr>
              <w:pStyle w:val="TableTextNumbers"/>
            </w:pPr>
            <w:r>
              <w:t xml:space="preserve">Click </w:t>
            </w:r>
            <w:r w:rsidRPr="0080656D">
              <w:rPr>
                <w:b/>
              </w:rPr>
              <w:t>Close</w:t>
            </w:r>
            <w:r>
              <w:t xml:space="preserve"> to exit.</w:t>
            </w:r>
            <w:r>
              <w:rPr>
                <w:vanish/>
                <w:szCs w:val="18"/>
              </w:rPr>
              <w:fldChar w:fldCharType="begin"/>
            </w:r>
            <w:r>
              <w:rPr>
                <w:vanish/>
                <w:szCs w:val="18"/>
              </w:rPr>
              <w:instrText xml:space="preserve"> LISTNUM \l 1 \s 0 </w:instrText>
            </w:r>
            <w:r>
              <w:rPr>
                <w:vanish/>
                <w:szCs w:val="18"/>
              </w:rPr>
              <w:fldChar w:fldCharType="end">
                <w:numberingChange w:id="605" w:author="Blalock, David (Leidos)" w:date="2020-06-15T14:09:00Z" w:original="0."/>
              </w:fldChar>
            </w:r>
          </w:p>
        </w:tc>
        <w:tc>
          <w:tcPr>
            <w:tcW w:w="6120" w:type="dxa"/>
          </w:tcPr>
          <w:p w14:paraId="228C7EB4" w14:textId="77777777" w:rsidR="00A902A8" w:rsidRDefault="00A902A8" w:rsidP="00E21A6B">
            <w:pPr>
              <w:pStyle w:val="NotesText"/>
              <w:ind w:left="0"/>
            </w:pPr>
          </w:p>
        </w:tc>
      </w:tr>
    </w:tbl>
    <w:p w14:paraId="7490EC7B" w14:textId="77777777" w:rsidR="009D0008" w:rsidRDefault="009D0008">
      <w:pPr>
        <w:pStyle w:val="Caption"/>
      </w:pPr>
      <w:bookmarkStart w:id="606" w:name="_Toc97523627"/>
      <w:bookmarkStart w:id="607" w:name="_Toc97527597"/>
      <w:bookmarkStart w:id="608" w:name="_Ref126504463"/>
    </w:p>
    <w:p w14:paraId="36EAA41C" w14:textId="77777777" w:rsidR="009D0008" w:rsidRDefault="009D0008">
      <w:pPr>
        <w:rPr>
          <w:b/>
          <w:sz w:val="22"/>
          <w:szCs w:val="22"/>
        </w:rPr>
      </w:pPr>
      <w:r>
        <w:br w:type="page"/>
      </w:r>
    </w:p>
    <w:p w14:paraId="37776031" w14:textId="3CC20CD5" w:rsidR="002A21AE" w:rsidRDefault="002A21AE">
      <w:pPr>
        <w:pStyle w:val="Caption"/>
      </w:pPr>
      <w:r>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12</w:t>
      </w:r>
      <w:r w:rsidR="004E20BD">
        <w:rPr>
          <w:noProof/>
        </w:rPr>
        <w:fldChar w:fldCharType="end"/>
      </w:r>
      <w:r>
        <w:t xml:space="preserve">: </w:t>
      </w:r>
      <w:r>
        <w:rPr>
          <w:vanish/>
        </w:rPr>
        <w:t xml:space="preserve">PT_78.01 </w:t>
      </w:r>
      <w:r>
        <w:t>Transfusion Reaction Types</w:t>
      </w:r>
      <w:bookmarkEnd w:id="606"/>
      <w:bookmarkEnd w:id="607"/>
      <w:bookmarkEnd w:id="608"/>
      <w:r>
        <w:t xml:space="preserve"> </w:t>
      </w:r>
      <w:r>
        <w:fldChar w:fldCharType="begin"/>
      </w:r>
      <w:r>
        <w:instrText xml:space="preserve"> XE </w:instrText>
      </w:r>
      <w:r w:rsidR="00FA7E65">
        <w:instrText>“</w:instrText>
      </w:r>
      <w:r>
        <w:instrText>Tables:Transfusion Reaction Types</w:instrText>
      </w:r>
      <w:r w:rsidR="00FA7E65">
        <w:instrText>”</w:instrText>
      </w:r>
      <w:r>
        <w:instrText xml:space="preserve"> </w:instrText>
      </w:r>
      <w:r>
        <w:fldChar w:fldCharType="end"/>
      </w:r>
    </w:p>
    <w:tbl>
      <w:tblPr>
        <w:tblW w:w="0" w:type="auto"/>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4320"/>
      </w:tblGrid>
      <w:tr w:rsidR="008E18C4" w14:paraId="3EAC5124" w14:textId="77777777">
        <w:trPr>
          <w:tblHeader/>
        </w:trPr>
        <w:tc>
          <w:tcPr>
            <w:tcW w:w="4320" w:type="dxa"/>
            <w:tcBorders>
              <w:top w:val="single" w:sz="4" w:space="0" w:color="auto"/>
              <w:bottom w:val="single" w:sz="6" w:space="0" w:color="auto"/>
            </w:tcBorders>
            <w:shd w:val="clear" w:color="auto" w:fill="B3B3B3"/>
            <w:vAlign w:val="bottom"/>
          </w:tcPr>
          <w:p w14:paraId="79B20D11" w14:textId="77777777" w:rsidR="008E18C4" w:rsidRDefault="008E18C4">
            <w:pPr>
              <w:pStyle w:val="TableText"/>
              <w:rPr>
                <w:b/>
              </w:rPr>
            </w:pPr>
            <w:bookmarkStart w:id="609" w:name="_Toc72723354"/>
            <w:r>
              <w:rPr>
                <w:b/>
              </w:rPr>
              <w:t>Transfusion Reaction Type Text</w:t>
            </w:r>
            <w:bookmarkEnd w:id="609"/>
          </w:p>
        </w:tc>
      </w:tr>
      <w:tr w:rsidR="008E18C4" w14:paraId="03DD93DF" w14:textId="77777777">
        <w:tc>
          <w:tcPr>
            <w:tcW w:w="4320" w:type="dxa"/>
            <w:tcBorders>
              <w:top w:val="single" w:sz="6" w:space="0" w:color="auto"/>
            </w:tcBorders>
            <w:vAlign w:val="bottom"/>
          </w:tcPr>
          <w:p w14:paraId="73B1B79A" w14:textId="77777777" w:rsidR="008E18C4" w:rsidRPr="00B70590" w:rsidRDefault="008E18C4">
            <w:pPr>
              <w:pStyle w:val="TableText"/>
            </w:pPr>
            <w:r w:rsidRPr="00B70590">
              <w:t>Anaphylaxis</w:t>
            </w:r>
          </w:p>
        </w:tc>
      </w:tr>
      <w:tr w:rsidR="00B05CCE" w14:paraId="202CCE91" w14:textId="77777777">
        <w:tc>
          <w:tcPr>
            <w:tcW w:w="4320" w:type="dxa"/>
            <w:vAlign w:val="bottom"/>
          </w:tcPr>
          <w:p w14:paraId="667E8E7A" w14:textId="77777777" w:rsidR="00B05CCE" w:rsidRPr="00B70590" w:rsidRDefault="00B05CCE">
            <w:pPr>
              <w:pStyle w:val="TableText"/>
            </w:pPr>
            <w:r w:rsidRPr="00B70590">
              <w:t>Citrate Toxicity</w:t>
            </w:r>
          </w:p>
        </w:tc>
      </w:tr>
      <w:tr w:rsidR="008E18C4" w14:paraId="1CBC1760" w14:textId="77777777">
        <w:tc>
          <w:tcPr>
            <w:tcW w:w="4320" w:type="dxa"/>
            <w:vAlign w:val="bottom"/>
          </w:tcPr>
          <w:p w14:paraId="71FD47E5" w14:textId="77777777" w:rsidR="008E18C4" w:rsidRPr="00B70590" w:rsidRDefault="008E18C4">
            <w:pPr>
              <w:pStyle w:val="TableText"/>
            </w:pPr>
            <w:r w:rsidRPr="00B70590">
              <w:t>Delayed Hemolytic</w:t>
            </w:r>
          </w:p>
        </w:tc>
      </w:tr>
      <w:tr w:rsidR="008E18C4" w14:paraId="126AB281" w14:textId="77777777">
        <w:tc>
          <w:tcPr>
            <w:tcW w:w="4320" w:type="dxa"/>
            <w:vAlign w:val="bottom"/>
          </w:tcPr>
          <w:p w14:paraId="76D98906" w14:textId="77777777" w:rsidR="008E18C4" w:rsidRPr="00B70590" w:rsidRDefault="008E18C4">
            <w:pPr>
              <w:pStyle w:val="TableText"/>
            </w:pPr>
            <w:r w:rsidRPr="00B70590">
              <w:t>Febrile Nonhemolytic</w:t>
            </w:r>
          </w:p>
        </w:tc>
      </w:tr>
      <w:tr w:rsidR="008E18C4" w14:paraId="4061822C" w14:textId="77777777">
        <w:tc>
          <w:tcPr>
            <w:tcW w:w="4320" w:type="dxa"/>
            <w:vAlign w:val="bottom"/>
          </w:tcPr>
          <w:p w14:paraId="224EB424" w14:textId="77777777" w:rsidR="008E18C4" w:rsidRPr="00B70590" w:rsidRDefault="008E18C4">
            <w:pPr>
              <w:pStyle w:val="TableText"/>
            </w:pPr>
            <w:r w:rsidRPr="00B70590">
              <w:t>Graft vs. Host Disease</w:t>
            </w:r>
          </w:p>
        </w:tc>
      </w:tr>
      <w:tr w:rsidR="008E18C4" w14:paraId="5DE7342A" w14:textId="77777777">
        <w:tc>
          <w:tcPr>
            <w:tcW w:w="4320" w:type="dxa"/>
            <w:vAlign w:val="bottom"/>
          </w:tcPr>
          <w:p w14:paraId="77CBBB8E" w14:textId="77777777" w:rsidR="008E18C4" w:rsidRPr="00B70590" w:rsidRDefault="00B05CCE">
            <w:pPr>
              <w:pStyle w:val="TableText"/>
            </w:pPr>
            <w:r w:rsidRPr="00B70590">
              <w:t>Acute Hemolysis (non ABO)</w:t>
            </w:r>
          </w:p>
        </w:tc>
      </w:tr>
      <w:tr w:rsidR="00B05CCE" w14:paraId="02E7394E" w14:textId="77777777">
        <w:tc>
          <w:tcPr>
            <w:tcW w:w="4320" w:type="dxa"/>
            <w:vAlign w:val="bottom"/>
          </w:tcPr>
          <w:p w14:paraId="09C91996" w14:textId="77777777" w:rsidR="00B05CCE" w:rsidRPr="00B70590" w:rsidRDefault="00B05CCE">
            <w:pPr>
              <w:pStyle w:val="TableText"/>
            </w:pPr>
            <w:r w:rsidRPr="00B70590">
              <w:t>Acute Hemolysis (ABO Incompatibility)</w:t>
            </w:r>
          </w:p>
        </w:tc>
      </w:tr>
      <w:tr w:rsidR="00B05CCE" w14:paraId="1765DDB4" w14:textId="77777777">
        <w:tc>
          <w:tcPr>
            <w:tcW w:w="4320" w:type="dxa"/>
            <w:vAlign w:val="bottom"/>
          </w:tcPr>
          <w:p w14:paraId="7B8E2672" w14:textId="77777777" w:rsidR="00B05CCE" w:rsidRPr="00B70590" w:rsidRDefault="00B05CCE">
            <w:pPr>
              <w:pStyle w:val="TableText"/>
            </w:pPr>
            <w:r w:rsidRPr="00B70590">
              <w:t>Transfusion Associated Circulatory Overload (TACO)</w:t>
            </w:r>
          </w:p>
        </w:tc>
      </w:tr>
      <w:tr w:rsidR="008E18C4" w14:paraId="527C94BC" w14:textId="77777777">
        <w:tc>
          <w:tcPr>
            <w:tcW w:w="4320" w:type="dxa"/>
            <w:vAlign w:val="bottom"/>
          </w:tcPr>
          <w:p w14:paraId="39F6F75E" w14:textId="77777777" w:rsidR="008E18C4" w:rsidRPr="00B70590" w:rsidRDefault="008E18C4">
            <w:pPr>
              <w:pStyle w:val="TableText"/>
            </w:pPr>
            <w:r w:rsidRPr="00B70590">
              <w:t>Transfusion Related Acute Lung Injury</w:t>
            </w:r>
            <w:r w:rsidR="00B05CCE" w:rsidRPr="00B70590">
              <w:t xml:space="preserve"> (TRALI)</w:t>
            </w:r>
          </w:p>
        </w:tc>
      </w:tr>
      <w:tr w:rsidR="00B05CCE" w14:paraId="3805BCFE" w14:textId="77777777">
        <w:tc>
          <w:tcPr>
            <w:tcW w:w="4320" w:type="dxa"/>
            <w:vAlign w:val="bottom"/>
          </w:tcPr>
          <w:p w14:paraId="1062C3FF" w14:textId="77777777" w:rsidR="00B05CCE" w:rsidRPr="00B70590" w:rsidRDefault="00B05CCE">
            <w:pPr>
              <w:pStyle w:val="TableText"/>
            </w:pPr>
            <w:r w:rsidRPr="00B70590">
              <w:t>Transfusion Related Microbial Infection</w:t>
            </w:r>
          </w:p>
        </w:tc>
      </w:tr>
      <w:tr w:rsidR="008E18C4" w14:paraId="066DD5A9" w14:textId="77777777">
        <w:tc>
          <w:tcPr>
            <w:tcW w:w="4320" w:type="dxa"/>
            <w:vAlign w:val="bottom"/>
          </w:tcPr>
          <w:p w14:paraId="4F302E52" w14:textId="77777777" w:rsidR="008E18C4" w:rsidRPr="00B70590" w:rsidRDefault="008E18C4">
            <w:pPr>
              <w:pStyle w:val="TableText"/>
            </w:pPr>
            <w:r w:rsidRPr="00B70590">
              <w:t>Post-Transfusion: Associated Disease</w:t>
            </w:r>
          </w:p>
        </w:tc>
      </w:tr>
      <w:tr w:rsidR="00B05CCE" w14:paraId="2B4B5D15" w14:textId="77777777">
        <w:tc>
          <w:tcPr>
            <w:tcW w:w="4320" w:type="dxa"/>
            <w:vAlign w:val="bottom"/>
          </w:tcPr>
          <w:p w14:paraId="3EAA6E04" w14:textId="77777777" w:rsidR="00B05CCE" w:rsidRPr="00B70590" w:rsidRDefault="00B05CCE">
            <w:pPr>
              <w:pStyle w:val="TableText"/>
            </w:pPr>
            <w:r w:rsidRPr="00B70590">
              <w:t>Unrelated to Transfusion</w:t>
            </w:r>
          </w:p>
        </w:tc>
      </w:tr>
      <w:tr w:rsidR="008E18C4" w14:paraId="4FE62B95" w14:textId="77777777">
        <w:tc>
          <w:tcPr>
            <w:tcW w:w="4320" w:type="dxa"/>
            <w:vAlign w:val="bottom"/>
          </w:tcPr>
          <w:p w14:paraId="053EA901" w14:textId="77777777" w:rsidR="008E18C4" w:rsidRPr="00B70590" w:rsidRDefault="008E18C4">
            <w:pPr>
              <w:pStyle w:val="TableText"/>
            </w:pPr>
            <w:r w:rsidRPr="00B70590">
              <w:t>Urticaria</w:t>
            </w:r>
          </w:p>
        </w:tc>
      </w:tr>
      <w:tr w:rsidR="008E18C4" w14:paraId="6EB950C8" w14:textId="77777777">
        <w:tc>
          <w:tcPr>
            <w:tcW w:w="4320" w:type="dxa"/>
            <w:vAlign w:val="bottom"/>
          </w:tcPr>
          <w:p w14:paraId="4C22D103" w14:textId="77777777" w:rsidR="008E18C4" w:rsidRPr="00B70590" w:rsidRDefault="008E18C4">
            <w:pPr>
              <w:pStyle w:val="TableText"/>
            </w:pPr>
            <w:r w:rsidRPr="00B70590">
              <w:t>Other: free-text data required on new entries</w:t>
            </w:r>
          </w:p>
        </w:tc>
      </w:tr>
    </w:tbl>
    <w:p w14:paraId="457DE778" w14:textId="77777777" w:rsidR="002A21AE" w:rsidRDefault="00EE2299">
      <w:pPr>
        <w:pStyle w:val="Heading2"/>
      </w:pPr>
      <w:bookmarkStart w:id="610" w:name="_Maintain_Specimen"/>
      <w:bookmarkStart w:id="611" w:name="_Maintain_Specimen_1"/>
      <w:bookmarkStart w:id="612" w:name="_Toc63680372"/>
      <w:bookmarkEnd w:id="600"/>
      <w:bookmarkEnd w:id="610"/>
      <w:bookmarkEnd w:id="611"/>
      <w:r>
        <w:br w:type="page"/>
      </w:r>
      <w:bookmarkStart w:id="613" w:name="_Toc47516764"/>
      <w:r w:rsidR="002A21AE">
        <w:lastRenderedPageBreak/>
        <w:t>Maintain Patient Records</w:t>
      </w:r>
      <w:bookmarkEnd w:id="612"/>
      <w:bookmarkEnd w:id="613"/>
      <w:r w:rsidR="002A21AE">
        <w:fldChar w:fldCharType="begin"/>
      </w:r>
      <w:r w:rsidR="002A21AE">
        <w:instrText xml:space="preserve"> XE </w:instrText>
      </w:r>
      <w:r w:rsidR="00FA7E65">
        <w:instrText>“</w:instrText>
      </w:r>
      <w:r w:rsidR="002A21AE">
        <w:instrText>Maintain Patient Records</w:instrText>
      </w:r>
      <w:r w:rsidR="00FA7E65">
        <w:instrText>”</w:instrText>
      </w:r>
      <w:r w:rsidR="002A21AE">
        <w:instrText xml:space="preserve"> </w:instrText>
      </w:r>
      <w:r w:rsidR="002A21AE">
        <w:fldChar w:fldCharType="end"/>
      </w:r>
    </w:p>
    <w:p w14:paraId="0A25BAF7" w14:textId="77777777" w:rsidR="002A21AE" w:rsidRDefault="002A21AE">
      <w:pPr>
        <w:pStyle w:val="Heading3"/>
      </w:pPr>
      <w:bookmarkStart w:id="614" w:name="_Toc47516765"/>
      <w:r>
        <w:t>Special Instructions &amp; Transfusion Requirements: Enter a Transfusion Requirement</w:t>
      </w:r>
      <w:bookmarkEnd w:id="614"/>
      <w:r w:rsidRPr="00523956">
        <w:rPr>
          <w:rFonts w:ascii="Arial Bold" w:hAnsi="Arial Bold"/>
          <w:vanish/>
        </w:rPr>
        <w:fldChar w:fldCharType="begin"/>
      </w:r>
      <w:r w:rsidRPr="00523956">
        <w:rPr>
          <w:rFonts w:ascii="Arial Bold" w:hAnsi="Arial Bold"/>
          <w:vanish/>
        </w:rPr>
        <w:instrText xml:space="preserve"> XE </w:instrText>
      </w:r>
      <w:r w:rsidR="00FA7E65" w:rsidRPr="00523956">
        <w:rPr>
          <w:rFonts w:ascii="Arial Bold" w:hAnsi="Arial Bold"/>
          <w:vanish/>
        </w:rPr>
        <w:instrText>“</w:instrText>
      </w:r>
      <w:r w:rsidRPr="00523956">
        <w:rPr>
          <w:rFonts w:ascii="Arial Bold" w:hAnsi="Arial Bold"/>
          <w:vanish/>
        </w:rPr>
        <w:instrText>Special Instructions &amp; Transfusion Requirements\: Enter a Transfusion Requirement</w:instrText>
      </w:r>
      <w:r w:rsidR="00FA7E65" w:rsidRPr="00523956">
        <w:rPr>
          <w:rFonts w:ascii="Arial Bold" w:hAnsi="Arial Bold"/>
          <w:vanish/>
        </w:rPr>
        <w:instrText>”</w:instrText>
      </w:r>
      <w:r w:rsidRPr="00523956">
        <w:rPr>
          <w:rFonts w:ascii="Arial Bold" w:hAnsi="Arial Bold"/>
          <w:vanish/>
        </w:rPr>
        <w:instrText xml:space="preserve"> </w:instrText>
      </w:r>
      <w:r w:rsidRPr="00523956">
        <w:rPr>
          <w:rFonts w:ascii="Arial Bold" w:hAnsi="Arial Bold"/>
          <w:vanish/>
        </w:rPr>
        <w:fldChar w:fldCharType="end"/>
      </w:r>
      <w:r w:rsidRPr="00523956">
        <w:rPr>
          <w:rFonts w:ascii="Arial Bold" w:hAnsi="Arial Bold"/>
          <w:vanish/>
        </w:rPr>
        <w:t xml:space="preserve"> UC_38</w:t>
      </w:r>
    </w:p>
    <w:p w14:paraId="64825D6F" w14:textId="77777777" w:rsidR="002A21AE" w:rsidRDefault="002A21AE" w:rsidP="00FA7E65">
      <w:pPr>
        <w:pStyle w:val="BodyText"/>
      </w:pPr>
      <w:r>
        <w:t>The user enter</w:t>
      </w:r>
      <w:r w:rsidR="007C7B3C">
        <w:t>s</w:t>
      </w:r>
      <w:r>
        <w:t xml:space="preserve"> or inactivate</w:t>
      </w:r>
      <w:r w:rsidR="007C7B3C">
        <w:t>s</w:t>
      </w:r>
      <w:r>
        <w:t xml:space="preserve"> the Transfusion Requirements (TRs) in the patient’s record by division. </w:t>
      </w:r>
    </w:p>
    <w:p w14:paraId="78476501" w14:textId="77777777" w:rsidR="002A21AE" w:rsidRDefault="002A21AE">
      <w:pPr>
        <w:pStyle w:val="Heading4"/>
      </w:pPr>
      <w:r>
        <w:t>Assumptions</w:t>
      </w:r>
      <w:r>
        <w:rPr>
          <w:b w:val="0"/>
        </w:rPr>
        <w:t xml:space="preserve"> </w:t>
      </w:r>
    </w:p>
    <w:p w14:paraId="65FAD6F7" w14:textId="77777777" w:rsidR="002A21AE" w:rsidRDefault="002A21AE">
      <w:pPr>
        <w:pStyle w:val="ListBullet"/>
      </w:pPr>
      <w:r>
        <w:t>The patient exists in the VBECS database.</w:t>
      </w:r>
    </w:p>
    <w:p w14:paraId="6315A875" w14:textId="77777777" w:rsidR="002A21AE" w:rsidRDefault="002A21AE">
      <w:pPr>
        <w:pStyle w:val="Heading4"/>
      </w:pPr>
      <w:r>
        <w:t>Outcome</w:t>
      </w:r>
    </w:p>
    <w:p w14:paraId="50EC6B77" w14:textId="77777777" w:rsidR="002A21AE" w:rsidRDefault="002A21AE">
      <w:pPr>
        <w:pStyle w:val="ListBullet"/>
      </w:pPr>
      <w:r>
        <w:t>VBECS displays TRs to all divisions within a multidivisional database. The division in which they were entered maintains and controls them.</w:t>
      </w:r>
    </w:p>
    <w:p w14:paraId="18E3A1B4" w14:textId="77777777" w:rsidR="002A21AE" w:rsidRDefault="002A21AE">
      <w:pPr>
        <w:pStyle w:val="ListBullet"/>
      </w:pPr>
      <w:r>
        <w:t>VBECS maintains a historic record of changes to the patient’s TRs.</w:t>
      </w:r>
    </w:p>
    <w:p w14:paraId="6FBF3853" w14:textId="77777777" w:rsidR="002A21AE" w:rsidRDefault="002A21AE">
      <w:pPr>
        <w:pStyle w:val="Heading4"/>
      </w:pPr>
      <w:r>
        <w:t>Limitations and Restrictions</w:t>
      </w:r>
      <w:r>
        <w:rPr>
          <w:b w:val="0"/>
        </w:rPr>
        <w:t xml:space="preserve"> </w:t>
      </w:r>
    </w:p>
    <w:p w14:paraId="15E0C25D" w14:textId="77777777" w:rsidR="002A21AE" w:rsidRDefault="002A21AE">
      <w:pPr>
        <w:pStyle w:val="ListBullet"/>
      </w:pPr>
      <w:r>
        <w:t>Inactivation is defined and restricted by security level.</w:t>
      </w:r>
    </w:p>
    <w:p w14:paraId="6A8D2726" w14:textId="77777777" w:rsidR="002A21AE" w:rsidRDefault="00CA6E27">
      <w:pPr>
        <w:pStyle w:val="ListBullet"/>
      </w:pPr>
      <w:r w:rsidRPr="00CA6E27">
        <w:rPr>
          <w:bCs/>
        </w:rPr>
        <w:t>VistA</w:t>
      </w:r>
      <w:r w:rsidR="002A21AE">
        <w:t xml:space="preserve"> Special Instructions (SIs) from </w:t>
      </w:r>
      <w:r w:rsidR="00150930">
        <w:t>database conversion</w:t>
      </w:r>
      <w:r w:rsidR="002A21AE">
        <w:t xml:space="preserve"> do not become TRs: they remain SIs. SIs are information only and are not enforced unless entered in </w:t>
      </w:r>
      <w:r w:rsidR="001F561F">
        <w:t xml:space="preserve">the </w:t>
      </w:r>
      <w:r w:rsidR="0077268F">
        <w:t>Component</w:t>
      </w:r>
      <w:r w:rsidR="001F561F">
        <w:t xml:space="preserve"> </w:t>
      </w:r>
      <w:r w:rsidR="002A21AE">
        <w:t>R</w:t>
      </w:r>
      <w:r w:rsidR="001F561F">
        <w:t>equirement</w:t>
      </w:r>
      <w:r w:rsidR="002A21AE">
        <w:t>s</w:t>
      </w:r>
      <w:r w:rsidR="001F561F">
        <w:t xml:space="preserve"> tab in Special Instructions &amp; Transfusion Requirements</w:t>
      </w:r>
      <w:r w:rsidR="002A21AE">
        <w:t>.</w:t>
      </w:r>
    </w:p>
    <w:p w14:paraId="4423D3F1" w14:textId="77777777" w:rsidR="002A21AE" w:rsidRDefault="002A21AE">
      <w:pPr>
        <w:pStyle w:val="Heading4"/>
      </w:pPr>
      <w:r>
        <w:t>Additional Information</w:t>
      </w:r>
    </w:p>
    <w:p w14:paraId="2D86970C" w14:textId="77777777" w:rsidR="002A21AE" w:rsidRDefault="002A21AE">
      <w:pPr>
        <w:pStyle w:val="ListBullet"/>
      </w:pPr>
      <w:r>
        <w:t>No current patient specimen or order is required to access this option.</w:t>
      </w:r>
    </w:p>
    <w:p w14:paraId="1F5D80AD" w14:textId="77777777" w:rsidR="002A21AE" w:rsidRDefault="002A21AE">
      <w:pPr>
        <w:pStyle w:val="ListBullet"/>
      </w:pPr>
      <w:r>
        <w:t>When TRs are not met, VBECS prohibits the printing of the Caution Tag and Blood Transfusion Record Form (BTRF) and prevents issue of the blood unit.</w:t>
      </w:r>
    </w:p>
    <w:p w14:paraId="611E341A" w14:textId="77777777" w:rsidR="002A21AE" w:rsidRDefault="002A21AE">
      <w:pPr>
        <w:pStyle w:val="ListBullet"/>
      </w:pPr>
      <w:r>
        <w:rPr>
          <w:rFonts w:ascii="Arial" w:hAnsi="Arial" w:cs="Arial"/>
          <w:vanish/>
          <w:spacing w:val="0"/>
          <w:sz w:val="18"/>
        </w:rPr>
        <w:t xml:space="preserve">BR_38.04 </w:t>
      </w:r>
      <w:r>
        <w:t xml:space="preserve">User-entered antigen negative requirements are persistent. VBECS enforces them even when they are in conflict with the division’s antibody table settings. </w:t>
      </w:r>
    </w:p>
    <w:p w14:paraId="5EC1BFAE" w14:textId="77777777" w:rsidR="002A21AE" w:rsidRDefault="002A21AE">
      <w:pPr>
        <w:pStyle w:val="ListBullet"/>
      </w:pPr>
      <w:r>
        <w:t xml:space="preserve">Patient antibody identifications from </w:t>
      </w:r>
      <w:r w:rsidR="00CA6E27" w:rsidRPr="00CA6E27">
        <w:rPr>
          <w:bCs/>
        </w:rPr>
        <w:t>VistA</w:t>
      </w:r>
      <w:r>
        <w:t xml:space="preserve"> are included in the database conversion. </w:t>
      </w:r>
    </w:p>
    <w:p w14:paraId="49E3682D" w14:textId="77777777" w:rsidR="002A21AE" w:rsidRDefault="002A21AE">
      <w:pPr>
        <w:pStyle w:val="ListBullet"/>
      </w:pPr>
      <w:r>
        <w:t xml:space="preserve">By default, inactivation of an antibody removes requirements for antigen negative blood derived from the antibody entry. </w:t>
      </w:r>
    </w:p>
    <w:p w14:paraId="34206AC1" w14:textId="77777777" w:rsidR="002A21AE" w:rsidRDefault="002A21AE">
      <w:pPr>
        <w:pStyle w:val="Heading4"/>
        <w:rPr>
          <w:b w:val="0"/>
        </w:rPr>
      </w:pPr>
      <w:r>
        <w:t>User Roles with Access to This Option</w:t>
      </w:r>
      <w:r>
        <w:rPr>
          <w:b w:val="0"/>
        </w:rPr>
        <w:t xml:space="preserve"> </w:t>
      </w:r>
    </w:p>
    <w:p w14:paraId="5AAC30E0" w14:textId="77777777" w:rsidR="00AE271A" w:rsidRDefault="00AE271A" w:rsidP="00AE271A">
      <w:pPr>
        <w:pStyle w:val="Roles"/>
      </w:pPr>
      <w:r>
        <w:rPr>
          <w:snapToGrid w:val="0"/>
        </w:rPr>
        <w:t>All users</w:t>
      </w:r>
    </w:p>
    <w:p w14:paraId="1ADBD526" w14:textId="77777777" w:rsidR="002A21AE" w:rsidRDefault="002A21AE">
      <w:pPr>
        <w:pStyle w:val="Heading4"/>
      </w:pPr>
      <w:r>
        <w:t>Special Instructions &amp; Transfusion Requirements: Enter a Transfusion Requirement</w:t>
      </w:r>
    </w:p>
    <w:p w14:paraId="7E8CC920" w14:textId="77777777" w:rsidR="002A21AE" w:rsidRDefault="002A21AE" w:rsidP="00FA7E65">
      <w:pPr>
        <w:pStyle w:val="BodyText"/>
      </w:pPr>
      <w:r>
        <w:t xml:space="preserve">The user assigns patient blood component requirements or indicates the need for antigen negative blood to be applied during blood component selection and issue. </w:t>
      </w:r>
    </w:p>
    <w:p w14:paraId="7A0CC4E9" w14:textId="77777777" w:rsidR="002A21AE" w:rsidRDefault="002A21AE" w:rsidP="00FA7E65">
      <w:pPr>
        <w:pStyle w:val="BodyText"/>
      </w:pPr>
      <w:r>
        <w:t xml:space="preserve">VBECS displays TR data and applies requirements during blood unit selection. </w:t>
      </w:r>
    </w:p>
    <w:p w14:paraId="56EB1B40" w14:textId="77777777" w:rsidR="002A21AE" w:rsidRDefault="002A21AE" w:rsidP="00FA7E65">
      <w:pPr>
        <w:pStyle w:val="BodyText"/>
        <w:rPr>
          <w:b/>
        </w:rPr>
      </w:pPr>
      <w:r>
        <w:t xml:space="preserve">All items in these TR categories indicate the need for pre-transfusion processing of a unit before the unit may be issued to the patient. All users may activate entries. </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t xml:space="preserve"> </w:t>
      </w:r>
      <w:r>
        <w:t xml:space="preserve">Only a </w:t>
      </w:r>
      <w:r>
        <w:rPr>
          <w:snapToGrid w:val="0"/>
        </w:rPr>
        <w:t xml:space="preserve">Traditional Supervisor </w:t>
      </w:r>
      <w:r>
        <w:t xml:space="preserve">may inactivate a component requirement for a patient. A patient may have one or more TRs: </w:t>
      </w:r>
      <w:r>
        <w:rPr>
          <w:vanish/>
        </w:rPr>
        <w:t>BR_38.01</w:t>
      </w:r>
    </w:p>
    <w:p w14:paraId="148142CA" w14:textId="77777777" w:rsidR="002A21AE" w:rsidRDefault="00095CB3">
      <w:pPr>
        <w:pStyle w:val="ListBullet"/>
      </w:pPr>
      <w:r>
        <w:t>Pre-treated to Prevent G</w:t>
      </w:r>
      <w:r w:rsidR="00363C2C">
        <w:t>VHD</w:t>
      </w:r>
      <w:r w:rsidR="002A21AE">
        <w:t xml:space="preserve"> </w:t>
      </w:r>
    </w:p>
    <w:p w14:paraId="3DEBFF5F" w14:textId="77777777" w:rsidR="002A21AE" w:rsidRDefault="002A21AE">
      <w:pPr>
        <w:pStyle w:val="ListBullet"/>
      </w:pPr>
      <w:r>
        <w:t>Leuko</w:t>
      </w:r>
      <w:r w:rsidR="00363C2C">
        <w:t>-</w:t>
      </w:r>
      <w:r>
        <w:t>reduce cellular products</w:t>
      </w:r>
      <w:r w:rsidR="00363C2C">
        <w:t>*</w:t>
      </w:r>
    </w:p>
    <w:p w14:paraId="21B0BE00" w14:textId="77777777" w:rsidR="002A21AE" w:rsidRDefault="002A21AE">
      <w:pPr>
        <w:pStyle w:val="ListBullet"/>
      </w:pPr>
      <w:r>
        <w:lastRenderedPageBreak/>
        <w:t>Washed RBC products</w:t>
      </w:r>
    </w:p>
    <w:p w14:paraId="1475BB5A" w14:textId="77777777" w:rsidR="002A21AE" w:rsidRDefault="002A21AE">
      <w:pPr>
        <w:pStyle w:val="ListBullet"/>
      </w:pPr>
      <w:r>
        <w:t>Washed PLT products</w:t>
      </w:r>
    </w:p>
    <w:p w14:paraId="03A12BC3" w14:textId="77777777" w:rsidR="002A21AE" w:rsidRDefault="002A21AE">
      <w:pPr>
        <w:pStyle w:val="ListBullet"/>
      </w:pPr>
      <w:r>
        <w:t>Sickle Cell Negative RBC products</w:t>
      </w:r>
    </w:p>
    <w:p w14:paraId="591896EE" w14:textId="77777777" w:rsidR="002A21AE" w:rsidRDefault="002A21AE">
      <w:pPr>
        <w:pStyle w:val="ListBullet"/>
      </w:pPr>
      <w:r>
        <w:t>CMV negative cellular products</w:t>
      </w:r>
      <w:r w:rsidR="00550AB5">
        <w:t>*</w:t>
      </w:r>
    </w:p>
    <w:p w14:paraId="1F63000E" w14:textId="77777777" w:rsidR="002A21AE" w:rsidRDefault="00550AB5">
      <w:pPr>
        <w:pStyle w:val="BodyText"/>
      </w:pPr>
      <w:r>
        <w:t>*All product types in OTHER are evaluated for the requirement including those that are non-cellular.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B6E0905" w14:textId="77777777">
        <w:trPr>
          <w:cantSplit/>
          <w:tblHeader/>
        </w:trPr>
        <w:tc>
          <w:tcPr>
            <w:tcW w:w="3240" w:type="dxa"/>
            <w:shd w:val="pct30" w:color="auto" w:fill="FFFFFF"/>
            <w:vAlign w:val="bottom"/>
          </w:tcPr>
          <w:p w14:paraId="3405D986" w14:textId="77777777" w:rsidR="002A21AE" w:rsidRDefault="002A21AE">
            <w:pPr>
              <w:pStyle w:val="TableText"/>
              <w:rPr>
                <w:b/>
              </w:rPr>
            </w:pPr>
            <w:r>
              <w:rPr>
                <w:b/>
              </w:rPr>
              <w:t>User Action</w:t>
            </w:r>
          </w:p>
        </w:tc>
        <w:tc>
          <w:tcPr>
            <w:tcW w:w="6120" w:type="dxa"/>
            <w:shd w:val="pct30" w:color="auto" w:fill="FFFFFF"/>
            <w:vAlign w:val="bottom"/>
          </w:tcPr>
          <w:p w14:paraId="5F76CB9C" w14:textId="77777777" w:rsidR="002A21AE" w:rsidRDefault="002A21AE">
            <w:pPr>
              <w:pStyle w:val="TableText"/>
              <w:rPr>
                <w:b/>
              </w:rPr>
            </w:pPr>
            <w:r>
              <w:rPr>
                <w:b/>
              </w:rPr>
              <w:t>VBECS</w:t>
            </w:r>
          </w:p>
        </w:tc>
      </w:tr>
      <w:tr w:rsidR="002A21AE" w14:paraId="2BBBB862" w14:textId="77777777">
        <w:tc>
          <w:tcPr>
            <w:tcW w:w="3240" w:type="dxa"/>
          </w:tcPr>
          <w:p w14:paraId="775CED7D" w14:textId="77777777" w:rsidR="002A21AE" w:rsidRDefault="002A21AE">
            <w:pPr>
              <w:pStyle w:val="TableTextNumbers"/>
            </w:pPr>
            <w:r>
              <w:t xml:space="preserve">Select </w:t>
            </w:r>
            <w:r>
              <w:rPr>
                <w:b/>
              </w:rPr>
              <w:t>Patients</w:t>
            </w:r>
            <w:r>
              <w:t xml:space="preserve"> from the main menu.</w:t>
            </w:r>
          </w:p>
          <w:p w14:paraId="430FCB2C" w14:textId="77777777" w:rsidR="002A21AE" w:rsidRDefault="002A21AE">
            <w:pPr>
              <w:pStyle w:val="TableTextNumbersContinued"/>
            </w:pPr>
          </w:p>
          <w:p w14:paraId="4FF22D14" w14:textId="77777777" w:rsidR="002A21AE" w:rsidRDefault="002A21AE" w:rsidP="0044084A">
            <w:pPr>
              <w:pStyle w:val="TableTextNumbersContinued"/>
            </w:pPr>
            <w:r>
              <w:t xml:space="preserve">Select </w:t>
            </w:r>
            <w:r>
              <w:rPr>
                <w:b/>
              </w:rPr>
              <w:t>Special Instructions &amp; Transfusion Requirements</w:t>
            </w:r>
            <w:r>
              <w:t>,</w:t>
            </w:r>
            <w:r w:rsidR="0044084A">
              <w:t xml:space="preserve"> or</w:t>
            </w:r>
          </w:p>
          <w:p w14:paraId="18B826CB" w14:textId="77777777" w:rsidR="0044084A" w:rsidRDefault="0044084A" w:rsidP="0044084A">
            <w:pPr>
              <w:pStyle w:val="TableTextNumbersContinued"/>
            </w:pPr>
          </w:p>
          <w:p w14:paraId="6BB4FB02" w14:textId="77777777" w:rsidR="0044084A" w:rsidRPr="0044084A" w:rsidRDefault="00B3702D" w:rsidP="00B3702D">
            <w:pPr>
              <w:pStyle w:val="TableTextNumbersContinued"/>
            </w:pPr>
            <w:r>
              <w:t xml:space="preserve">Click </w:t>
            </w:r>
            <w:r w:rsidR="00057948">
              <w:rPr>
                <w:noProof/>
              </w:rPr>
              <w:drawing>
                <wp:inline distT="0" distB="0" distL="0" distR="0" wp14:anchorId="020C6A1A" wp14:editId="314F1FCB">
                  <wp:extent cx="156845" cy="156845"/>
                  <wp:effectExtent l="0" t="0" r="0" b="0"/>
                  <wp:docPr id="252" name="Picture 252"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it is active.</w:t>
            </w:r>
          </w:p>
        </w:tc>
        <w:tc>
          <w:tcPr>
            <w:tcW w:w="6120" w:type="dxa"/>
          </w:tcPr>
          <w:p w14:paraId="190E5D96" w14:textId="77777777" w:rsidR="002A21AE" w:rsidRDefault="002A21AE">
            <w:pPr>
              <w:pStyle w:val="TableTextBullet"/>
            </w:pPr>
            <w:r>
              <w:t>Displays options for processing patient-related functions.</w:t>
            </w:r>
          </w:p>
          <w:p w14:paraId="5728FFA9" w14:textId="77777777" w:rsidR="002A21AE" w:rsidRDefault="002A21AE">
            <w:pPr>
              <w:pStyle w:val="TableTextBullet"/>
            </w:pPr>
            <w:r>
              <w:t xml:space="preserve">Displays the option to select a patient, if one is not already selected. </w:t>
            </w:r>
          </w:p>
          <w:p w14:paraId="5AE4CAC3" w14:textId="77777777" w:rsidR="002A21AE" w:rsidRDefault="002A21AE">
            <w:pPr>
              <w:pStyle w:val="TableText"/>
              <w:rPr>
                <w:b/>
                <w:bCs/>
                <w:szCs w:val="18"/>
              </w:rPr>
            </w:pPr>
          </w:p>
          <w:p w14:paraId="164388EA" w14:textId="7963402F" w:rsidR="002A21AE" w:rsidRDefault="002A21AE">
            <w:pPr>
              <w:pStyle w:val="TableText"/>
              <w:rPr>
                <w:b/>
                <w:bCs/>
                <w:szCs w:val="18"/>
              </w:rPr>
            </w:pPr>
            <w:r>
              <w:rPr>
                <w:b/>
                <w:bCs/>
                <w:szCs w:val="18"/>
              </w:rPr>
              <w:t>NOTES</w:t>
            </w:r>
          </w:p>
          <w:p w14:paraId="37E825F7" w14:textId="77777777" w:rsidR="002A21AE" w:rsidRDefault="002A21AE">
            <w:pPr>
              <w:pStyle w:val="NotesText"/>
            </w:pPr>
          </w:p>
          <w:p w14:paraId="60054DF8" w14:textId="77777777" w:rsidR="002A21AE" w:rsidRDefault="002A21AE">
            <w:pPr>
              <w:pStyle w:val="NotesText"/>
            </w:pPr>
            <w:r>
              <w:t xml:space="preserve">The user may also click </w:t>
            </w:r>
            <w:r>
              <w:rPr>
                <w:b/>
              </w:rPr>
              <w:t>New SI or TR</w:t>
            </w:r>
            <w:r>
              <w:t xml:space="preserve"> in Patient Testing to access this option.</w:t>
            </w:r>
          </w:p>
          <w:p w14:paraId="468D09BF" w14:textId="77777777" w:rsidR="0044084A" w:rsidRDefault="0044084A" w:rsidP="00266B50">
            <w:pPr>
              <w:pStyle w:val="NotesText"/>
            </w:pPr>
            <w:r>
              <w:t xml:space="preserve"> </w:t>
            </w:r>
          </w:p>
        </w:tc>
      </w:tr>
      <w:tr w:rsidR="002A21AE" w14:paraId="1F2A8AF8" w14:textId="77777777">
        <w:tc>
          <w:tcPr>
            <w:tcW w:w="3240" w:type="dxa"/>
          </w:tcPr>
          <w:p w14:paraId="5B9D52D4" w14:textId="0B44FC72" w:rsidR="002A21AE" w:rsidRDefault="002A21AE">
            <w:pPr>
              <w:pStyle w:val="TableTextNumbers"/>
            </w:pPr>
            <w:r>
              <w:t xml:space="preserve">Select the </w:t>
            </w:r>
            <w:r>
              <w:rPr>
                <w:b/>
              </w:rPr>
              <w:t>Antigen Negative RBCs</w:t>
            </w:r>
            <w:r>
              <w:t>,</w:t>
            </w:r>
            <w:r>
              <w:rPr>
                <w:b/>
              </w:rPr>
              <w:t xml:space="preserve"> Component Requirements</w:t>
            </w:r>
            <w:r>
              <w:t>,</w:t>
            </w:r>
            <w:r>
              <w:rPr>
                <w:b/>
              </w:rPr>
              <w:t xml:space="preserve"> </w:t>
            </w:r>
            <w:r>
              <w:t xml:space="preserve">or </w:t>
            </w:r>
            <w:r>
              <w:rPr>
                <w:b/>
              </w:rPr>
              <w:t xml:space="preserve">Antibodies Identified </w:t>
            </w:r>
            <w:r w:rsidRPr="00CC3C89">
              <w:t>tab</w:t>
            </w:r>
            <w:r w:rsidR="00994FF2" w:rsidRPr="00CC3C89">
              <w:t xml:space="preserve"> </w:t>
            </w:r>
            <w:r w:rsidR="00994FF2" w:rsidRPr="00994FF2">
              <w:t>(</w:t>
            </w:r>
            <w:r w:rsidR="00994FF2">
              <w:fldChar w:fldCharType="begin"/>
            </w:r>
            <w:r w:rsidR="00994FF2">
              <w:instrText xml:space="preserve"> REF _Ref127094922 \h </w:instrText>
            </w:r>
            <w:r w:rsidR="00994FF2">
              <w:fldChar w:fldCharType="separate"/>
            </w:r>
            <w:r w:rsidR="004353ED">
              <w:t xml:space="preserve">Figure </w:t>
            </w:r>
            <w:r w:rsidR="004353ED">
              <w:rPr>
                <w:noProof/>
              </w:rPr>
              <w:t>137</w:t>
            </w:r>
            <w:r w:rsidR="00994FF2">
              <w:fldChar w:fldCharType="end"/>
            </w:r>
            <w:r w:rsidR="00994FF2" w:rsidRPr="00994FF2">
              <w:t>)</w:t>
            </w:r>
            <w:r>
              <w:t>.</w:t>
            </w:r>
          </w:p>
          <w:p w14:paraId="3D7F76F1" w14:textId="77777777" w:rsidR="002A21AE" w:rsidRDefault="002A21AE">
            <w:pPr>
              <w:pStyle w:val="TableTextNumbersContinued"/>
              <w:rPr>
                <w:b/>
                <w:bCs/>
              </w:rPr>
            </w:pPr>
          </w:p>
          <w:p w14:paraId="5E02D2EA" w14:textId="77777777" w:rsidR="002A21AE" w:rsidRDefault="002A21AE">
            <w:pPr>
              <w:pStyle w:val="TableText"/>
            </w:pPr>
          </w:p>
        </w:tc>
        <w:tc>
          <w:tcPr>
            <w:tcW w:w="6120" w:type="dxa"/>
          </w:tcPr>
          <w:p w14:paraId="2D625345" w14:textId="77777777" w:rsidR="002A21AE" w:rsidRDefault="002A21AE">
            <w:pPr>
              <w:pStyle w:val="TableTextBullet"/>
            </w:pPr>
            <w:r>
              <w:t>Displays the patient’s TRs.</w:t>
            </w:r>
          </w:p>
          <w:p w14:paraId="30214600" w14:textId="77777777" w:rsidR="002A21AE" w:rsidRDefault="002A21AE">
            <w:pPr>
              <w:pStyle w:val="TableTextBullet"/>
            </w:pPr>
            <w:r>
              <w:t>Allows the user to add or inactivate information based on his security level.</w:t>
            </w:r>
          </w:p>
          <w:p w14:paraId="07872FDE" w14:textId="77777777" w:rsidR="002A21AE" w:rsidRDefault="002A21AE">
            <w:pPr>
              <w:pStyle w:val="TableText"/>
            </w:pPr>
          </w:p>
          <w:p w14:paraId="6843FE29" w14:textId="6FA24C19" w:rsidR="002A21AE" w:rsidRDefault="002A21AE">
            <w:pPr>
              <w:pStyle w:val="TableText"/>
              <w:rPr>
                <w:b/>
                <w:bCs/>
                <w:szCs w:val="18"/>
              </w:rPr>
            </w:pPr>
            <w:r>
              <w:rPr>
                <w:b/>
                <w:bCs/>
                <w:szCs w:val="18"/>
              </w:rPr>
              <w:t>NOTES</w:t>
            </w:r>
          </w:p>
          <w:p w14:paraId="137A52AC" w14:textId="77777777" w:rsidR="002A21AE" w:rsidRDefault="002A21AE">
            <w:pPr>
              <w:pStyle w:val="NotesText"/>
            </w:pPr>
          </w:p>
          <w:p w14:paraId="56C259EA" w14:textId="77777777" w:rsidR="001E4DCC" w:rsidRDefault="002A21AE" w:rsidP="00DB7814">
            <w:pPr>
              <w:pStyle w:val="NotesText"/>
            </w:pPr>
            <w:r>
              <w:rPr>
                <w:rFonts w:cs="Arial"/>
                <w:vanish/>
              </w:rPr>
              <w:t xml:space="preserve">BR_38.10 </w:t>
            </w:r>
            <w:r>
              <w:t xml:space="preserve">When a user accesses antigen negative requirements, </w:t>
            </w:r>
            <w:r w:rsidR="00C93B6B">
              <w:t xml:space="preserve">VBECS </w:t>
            </w:r>
            <w:r w:rsidR="005B2FFA">
              <w:t xml:space="preserve">displays and enforces the antigen negative requirement </w:t>
            </w:r>
            <w:r w:rsidR="00C93B6B">
              <w:t>for the patient, regardless of the division setting for the antibody.</w:t>
            </w:r>
          </w:p>
          <w:p w14:paraId="79004025" w14:textId="77777777" w:rsidR="001E4DCC" w:rsidRDefault="001E4DCC" w:rsidP="00DB7814">
            <w:pPr>
              <w:pStyle w:val="NotesText"/>
            </w:pPr>
          </w:p>
          <w:p w14:paraId="19A9B8FD" w14:textId="77777777" w:rsidR="002A21AE" w:rsidRDefault="00C93B6B" w:rsidP="00DB7814">
            <w:pPr>
              <w:pStyle w:val="NotesText"/>
            </w:pPr>
            <w:r>
              <w:t xml:space="preserve">When a user accesses </w:t>
            </w:r>
            <w:r w:rsidR="00AB225C">
              <w:t xml:space="preserve">the </w:t>
            </w:r>
            <w:r>
              <w:t>Antibodies Identified</w:t>
            </w:r>
            <w:r w:rsidR="00AB225C">
              <w:t xml:space="preserve"> tab</w:t>
            </w:r>
            <w:r>
              <w:t xml:space="preserve">, </w:t>
            </w:r>
            <w:r w:rsidR="00AB225C">
              <w:t>VBECS compares the patient’s a</w:t>
            </w:r>
            <w:r w:rsidR="002A21AE">
              <w:t xml:space="preserve">ntibodies with the division’s antibody table setting. When the antibody is set to require antigen negative blood at issue, VBECS displays and enforces the antigen negative requirement. </w:t>
            </w:r>
          </w:p>
        </w:tc>
      </w:tr>
      <w:tr w:rsidR="002A21AE" w14:paraId="39FAD855" w14:textId="77777777">
        <w:tc>
          <w:tcPr>
            <w:tcW w:w="3240" w:type="dxa"/>
          </w:tcPr>
          <w:p w14:paraId="3E220364" w14:textId="77777777" w:rsidR="002A21AE" w:rsidRDefault="002A21AE">
            <w:pPr>
              <w:pStyle w:val="TableTextNumbers"/>
            </w:pPr>
            <w:r>
              <w:t>Select a TR from the pick list, or enter an antigen or antibody, as the tab allows.</w:t>
            </w:r>
          </w:p>
          <w:p w14:paraId="39E8EF1E" w14:textId="77777777" w:rsidR="002A21AE" w:rsidRDefault="002A21AE">
            <w:pPr>
              <w:pStyle w:val="TableTextNumbersContinued"/>
            </w:pPr>
          </w:p>
          <w:p w14:paraId="382A18EE" w14:textId="77777777" w:rsidR="002A21AE" w:rsidRDefault="002A21AE">
            <w:pPr>
              <w:pStyle w:val="TableTextNumbersContinued"/>
            </w:pPr>
            <w:r>
              <w:t xml:space="preserve">Click </w:t>
            </w:r>
            <w:r>
              <w:rPr>
                <w:b/>
              </w:rPr>
              <w:t>Add</w:t>
            </w:r>
            <w:r>
              <w:t xml:space="preserve"> to move the selection to the patient’s record.</w:t>
            </w:r>
          </w:p>
          <w:p w14:paraId="420B43CB" w14:textId="77777777" w:rsidR="002A21AE" w:rsidRDefault="002A21AE">
            <w:pPr>
              <w:pStyle w:val="TableTextNumbersContinued"/>
            </w:pPr>
          </w:p>
          <w:p w14:paraId="45349AB6" w14:textId="77777777" w:rsidR="002A21AE" w:rsidRDefault="002A21AE">
            <w:pPr>
              <w:pStyle w:val="TableTextNumbersContinued"/>
            </w:pPr>
            <w:r>
              <w:t xml:space="preserve">Click </w:t>
            </w:r>
            <w:r>
              <w:rPr>
                <w:b/>
              </w:rPr>
              <w:t>OK</w:t>
            </w:r>
            <w:r>
              <w:t xml:space="preserve"> when all TRs are selected to save them to the patient’s record.</w:t>
            </w:r>
          </w:p>
          <w:p w14:paraId="0E201B67" w14:textId="77777777" w:rsidR="002A21AE" w:rsidRDefault="002A21AE">
            <w:pPr>
              <w:pStyle w:val="TableTextNumbersContinued"/>
            </w:pPr>
          </w:p>
          <w:p w14:paraId="00C7E563" w14:textId="77777777" w:rsidR="002A21AE" w:rsidRDefault="002A21AE">
            <w:pPr>
              <w:pStyle w:val="TableTextNumbersContinued"/>
            </w:pPr>
            <w:r>
              <w:t xml:space="preserve">Click </w:t>
            </w:r>
            <w:r>
              <w:rPr>
                <w:b/>
              </w:rPr>
              <w:t>Yes</w:t>
            </w:r>
            <w:r>
              <w:t xml:space="preserve"> to confirm changes and exit.</w:t>
            </w:r>
          </w:p>
        </w:tc>
        <w:tc>
          <w:tcPr>
            <w:tcW w:w="6120" w:type="dxa"/>
          </w:tcPr>
          <w:p w14:paraId="0FB7A577" w14:textId="77777777" w:rsidR="002A21AE" w:rsidRDefault="002A21AE">
            <w:pPr>
              <w:pStyle w:val="TableTextBullet"/>
            </w:pPr>
            <w:r>
              <w:rPr>
                <w:rFonts w:cs="Arial"/>
                <w:vanish/>
              </w:rPr>
              <w:t xml:space="preserve">BR_38.06 </w:t>
            </w:r>
            <w:r>
              <w:t xml:space="preserve">Allows multiple selections from the Component Requirements, Antibodies Identified, and Antigen Negative tabs. </w:t>
            </w:r>
          </w:p>
          <w:p w14:paraId="135376F0" w14:textId="77777777" w:rsidR="002A21AE" w:rsidRDefault="002A21AE">
            <w:pPr>
              <w:pStyle w:val="TableText"/>
            </w:pPr>
          </w:p>
          <w:p w14:paraId="040696B7" w14:textId="404E5331" w:rsidR="002A21AE" w:rsidRDefault="002A21AE">
            <w:pPr>
              <w:pStyle w:val="TableText"/>
              <w:rPr>
                <w:b/>
                <w:bCs/>
                <w:szCs w:val="18"/>
              </w:rPr>
            </w:pPr>
            <w:r>
              <w:rPr>
                <w:b/>
                <w:bCs/>
                <w:szCs w:val="18"/>
              </w:rPr>
              <w:t>NOTES</w:t>
            </w:r>
          </w:p>
          <w:p w14:paraId="0BD0AB2F" w14:textId="77777777" w:rsidR="002A21AE" w:rsidRDefault="002A21AE">
            <w:pPr>
              <w:pStyle w:val="TableText"/>
            </w:pPr>
          </w:p>
          <w:p w14:paraId="5F43EAD9" w14:textId="77777777" w:rsidR="002A21AE" w:rsidRDefault="002A21AE">
            <w:pPr>
              <w:pStyle w:val="NotesText"/>
            </w:pPr>
            <w:r>
              <w:t>VBECS applies the TR to component classes, as indicated.</w:t>
            </w:r>
          </w:p>
          <w:p w14:paraId="4B9574F0" w14:textId="77777777" w:rsidR="002A21AE" w:rsidRDefault="002A21AE">
            <w:pPr>
              <w:pStyle w:val="NotesText"/>
            </w:pPr>
          </w:p>
          <w:p w14:paraId="3FB40523" w14:textId="77777777" w:rsidR="002A21AE" w:rsidRDefault="002A21AE">
            <w:pPr>
              <w:pStyle w:val="NotesText"/>
            </w:pPr>
            <w:r>
              <w:rPr>
                <w:rFonts w:cs="Arial"/>
                <w:vanish/>
              </w:rPr>
              <w:t xml:space="preserve">BR_38.16 </w:t>
            </w:r>
            <w:r>
              <w:t xml:space="preserve">The user may not add duplicate SIs or TRs in the same session, but may duplicate them in another session. </w:t>
            </w:r>
          </w:p>
          <w:p w14:paraId="7835E368" w14:textId="77777777" w:rsidR="002A21AE" w:rsidRDefault="002A21AE">
            <w:pPr>
              <w:pStyle w:val="NotesText"/>
            </w:pPr>
          </w:p>
          <w:p w14:paraId="466208DD" w14:textId="77777777" w:rsidR="002A21AE" w:rsidRDefault="002A21AE">
            <w:pPr>
              <w:pStyle w:val="NotesText"/>
            </w:pPr>
            <w:r>
              <w:rPr>
                <w:rFonts w:cs="Arial"/>
                <w:vanish/>
              </w:rPr>
              <w:t xml:space="preserve">BR_38.07 </w:t>
            </w:r>
            <w:r>
              <w:t xml:space="preserve">The division code and date of entry are associated with the entered component or antigen negative requirement, or antibody specificity so that other divisions will to know whom to contact for further information, when needed. The original entries may have been made through Patient Testing (associated with an antibody identification) or TRs from any division within a multidivisional database. </w:t>
            </w:r>
          </w:p>
        </w:tc>
      </w:tr>
      <w:tr w:rsidR="002A21AE" w14:paraId="66E4751B" w14:textId="77777777">
        <w:tc>
          <w:tcPr>
            <w:tcW w:w="3240" w:type="dxa"/>
          </w:tcPr>
          <w:p w14:paraId="674A0ABF" w14:textId="1DE476E7" w:rsidR="002A21AE" w:rsidRDefault="002A21AE">
            <w:pPr>
              <w:pStyle w:val="TableTextNumbers"/>
            </w:pPr>
            <w:r>
              <w:t>Select the TR to be inactivated</w:t>
            </w:r>
            <w:r w:rsidR="005346F4">
              <w:t xml:space="preserve"> (</w:t>
            </w:r>
            <w:r w:rsidR="005346F4">
              <w:fldChar w:fldCharType="begin"/>
            </w:r>
            <w:r w:rsidR="005346F4">
              <w:instrText xml:space="preserve"> REF _Ref127095162 \h </w:instrText>
            </w:r>
            <w:r w:rsidR="005346F4">
              <w:fldChar w:fldCharType="separate"/>
            </w:r>
            <w:r w:rsidR="004353ED">
              <w:t xml:space="preserve">Figure </w:t>
            </w:r>
            <w:r w:rsidR="004353ED">
              <w:rPr>
                <w:noProof/>
              </w:rPr>
              <w:t>138</w:t>
            </w:r>
            <w:r w:rsidR="005346F4">
              <w:fldChar w:fldCharType="end"/>
            </w:r>
            <w:r w:rsidR="005346F4">
              <w:t>)</w:t>
            </w:r>
            <w:r>
              <w:t>.</w:t>
            </w:r>
          </w:p>
          <w:p w14:paraId="1E8B215F" w14:textId="77777777" w:rsidR="002A21AE" w:rsidRDefault="002A21AE">
            <w:pPr>
              <w:pStyle w:val="TableTextNumbersContinued"/>
            </w:pPr>
          </w:p>
          <w:p w14:paraId="5A8C0723" w14:textId="77777777" w:rsidR="002A21AE" w:rsidRDefault="002A21AE">
            <w:pPr>
              <w:pStyle w:val="TableTextNumbersContinued"/>
            </w:pPr>
            <w:r>
              <w:t xml:space="preserve">Select and/or enter an explanatory comment and click </w:t>
            </w:r>
            <w:r>
              <w:rPr>
                <w:b/>
              </w:rPr>
              <w:t>OK</w:t>
            </w:r>
            <w:r>
              <w:t xml:space="preserve">. </w:t>
            </w:r>
          </w:p>
        </w:tc>
        <w:tc>
          <w:tcPr>
            <w:tcW w:w="6120" w:type="dxa"/>
          </w:tcPr>
          <w:p w14:paraId="48FAAA72" w14:textId="77777777" w:rsidR="002A21AE" w:rsidRDefault="002A21AE">
            <w:pPr>
              <w:pStyle w:val="TableTextBullet"/>
            </w:pPr>
            <w:r>
              <w:t>Allows the user to enter a comment.</w:t>
            </w:r>
          </w:p>
          <w:p w14:paraId="5369C45C" w14:textId="77777777" w:rsidR="002A21AE" w:rsidRDefault="002A21AE">
            <w:pPr>
              <w:pStyle w:val="TableText"/>
            </w:pPr>
          </w:p>
          <w:p w14:paraId="1B9EDB4F" w14:textId="17DA5F3C" w:rsidR="002A21AE" w:rsidRDefault="002A21AE">
            <w:pPr>
              <w:pStyle w:val="TableText"/>
              <w:rPr>
                <w:b/>
                <w:bCs/>
                <w:szCs w:val="18"/>
              </w:rPr>
            </w:pPr>
            <w:r>
              <w:rPr>
                <w:b/>
                <w:bCs/>
                <w:szCs w:val="18"/>
              </w:rPr>
              <w:t>NOTES</w:t>
            </w:r>
          </w:p>
          <w:p w14:paraId="38503007" w14:textId="77777777" w:rsidR="002A21AE" w:rsidRPr="00B31C95" w:rsidRDefault="002A21AE">
            <w:pPr>
              <w:pStyle w:val="NotesText"/>
              <w:rPr>
                <w:rFonts w:cs="Arial"/>
                <w:szCs w:val="18"/>
              </w:rPr>
            </w:pPr>
          </w:p>
          <w:p w14:paraId="774F5D92" w14:textId="77777777" w:rsidR="002D516C" w:rsidRPr="00B31C95" w:rsidRDefault="002A21AE" w:rsidP="002D516C">
            <w:pPr>
              <w:pStyle w:val="TableText"/>
              <w:ind w:left="720"/>
              <w:rPr>
                <w:rFonts w:cs="Arial"/>
                <w:szCs w:val="18"/>
              </w:rPr>
            </w:pPr>
            <w:r w:rsidRPr="00B31C95">
              <w:rPr>
                <w:rFonts w:cs="Arial"/>
                <w:vanish/>
                <w:szCs w:val="18"/>
              </w:rPr>
              <w:t xml:space="preserve">BR_38.13 </w:t>
            </w:r>
            <w:r w:rsidR="002D516C" w:rsidRPr="00B31C95">
              <w:rPr>
                <w:rFonts w:cs="Arial"/>
                <w:szCs w:val="18"/>
              </w:rPr>
              <w:t xml:space="preserve">When a Transfusion Requirement is inactivated in any division in a multidivisional configuration, a comment (free text or from a canned comment with the context: </w:t>
            </w:r>
            <w:r w:rsidR="00B31C95" w:rsidRPr="00B31C95">
              <w:rPr>
                <w:rStyle w:val="StyleTableText9ptCharChar"/>
                <w:rFonts w:cs="Arial"/>
                <w:szCs w:val="18"/>
              </w:rPr>
              <w:t xml:space="preserve">Transfusion Requirement </w:t>
            </w:r>
            <w:r w:rsidR="00B31C95" w:rsidRPr="00B31C95">
              <w:rPr>
                <w:rStyle w:val="StyleTableText9ptCharChar"/>
                <w:rFonts w:cs="Arial"/>
                <w:szCs w:val="18"/>
              </w:rPr>
              <w:lastRenderedPageBreak/>
              <w:t>Inactivation)</w:t>
            </w:r>
            <w:r w:rsidR="00B31C95" w:rsidRPr="00B31C95">
              <w:rPr>
                <w:rFonts w:cs="Arial"/>
                <w:szCs w:val="18"/>
              </w:rPr>
              <w:t xml:space="preserve"> must be added that will be saved and printed on the audit trail of originating division alerting the originating division of the change to the patient’s TR setting if they were not consulted regarding that change. </w:t>
            </w:r>
            <w:r w:rsidR="00B31C95" w:rsidRPr="00B31C95">
              <w:rPr>
                <w:rFonts w:cs="Arial"/>
                <w:vanish/>
                <w:szCs w:val="18"/>
              </w:rPr>
              <w:t>DR 4598</w:t>
            </w:r>
          </w:p>
          <w:p w14:paraId="3AC5B2DC" w14:textId="77777777" w:rsidR="002D516C" w:rsidRPr="00B31C95" w:rsidRDefault="002D516C" w:rsidP="002D516C">
            <w:pPr>
              <w:pStyle w:val="TableText"/>
              <w:rPr>
                <w:rFonts w:cs="Arial"/>
                <w:szCs w:val="18"/>
              </w:rPr>
            </w:pPr>
          </w:p>
          <w:p w14:paraId="4D6B6F79" w14:textId="77777777" w:rsidR="002A21AE" w:rsidRPr="00B31C95" w:rsidRDefault="002D516C" w:rsidP="002D516C">
            <w:pPr>
              <w:pStyle w:val="NotesText"/>
              <w:rPr>
                <w:rFonts w:cs="Arial"/>
                <w:szCs w:val="18"/>
              </w:rPr>
            </w:pPr>
            <w:r w:rsidRPr="00B31C95">
              <w:rPr>
                <w:rFonts w:cs="Arial"/>
                <w:szCs w:val="18"/>
              </w:rPr>
              <w:t xml:space="preserve">Note:  It is best practice that inactivating a TR in the non-originating division involves a consultation with the originating division and allowing the originating to make the change with any </w:t>
            </w:r>
            <w:r w:rsidR="00B31C95" w:rsidRPr="00B31C95">
              <w:rPr>
                <w:rFonts w:cs="Arial"/>
                <w:szCs w:val="18"/>
              </w:rPr>
              <w:t>locally required documentation.</w:t>
            </w:r>
          </w:p>
          <w:p w14:paraId="2DA04EB9" w14:textId="77777777" w:rsidR="00DB7814" w:rsidRPr="00B31C95" w:rsidRDefault="00DB7814">
            <w:pPr>
              <w:pStyle w:val="NotesText"/>
              <w:rPr>
                <w:rFonts w:cs="Arial"/>
                <w:szCs w:val="18"/>
              </w:rPr>
            </w:pPr>
          </w:p>
          <w:p w14:paraId="79F8D9E8" w14:textId="77777777" w:rsidR="00DB7814" w:rsidRPr="00B31C95" w:rsidRDefault="00DB7814" w:rsidP="00DB7814">
            <w:pPr>
              <w:pStyle w:val="NotesText"/>
              <w:rPr>
                <w:rFonts w:cs="Arial"/>
                <w:szCs w:val="18"/>
              </w:rPr>
            </w:pPr>
            <w:r w:rsidRPr="00B31C95">
              <w:rPr>
                <w:rFonts w:cs="Arial"/>
                <w:szCs w:val="18"/>
              </w:rPr>
              <w:t>For inactivation of an item:</w:t>
            </w:r>
          </w:p>
          <w:p w14:paraId="5ACC9D27" w14:textId="77777777" w:rsidR="00DB7814" w:rsidRPr="00B31C95" w:rsidRDefault="00DB7814" w:rsidP="00DB7814">
            <w:pPr>
              <w:pStyle w:val="NotesTextBullet"/>
              <w:rPr>
                <w:rFonts w:cs="Arial"/>
                <w:szCs w:val="18"/>
              </w:rPr>
            </w:pPr>
            <w:r w:rsidRPr="00B31C95">
              <w:rPr>
                <w:rFonts w:cs="Arial"/>
                <w:vanish/>
                <w:szCs w:val="18"/>
              </w:rPr>
              <w:t xml:space="preserve">BR_38.09, BR_38.12, BR_38.14 </w:t>
            </w:r>
            <w:r w:rsidR="00B578C9" w:rsidRPr="00AE271A">
              <w:rPr>
                <w:rFonts w:ascii="Wingdings 3" w:hAnsi="Wingdings 3"/>
              </w:rPr>
              <w:t></w:t>
            </w:r>
            <w:r w:rsidR="00B578C9" w:rsidRPr="00AE271A">
              <w:rPr>
                <w:rFonts w:ascii="Wingdings 3" w:hAnsi="Wingdings 3"/>
              </w:rPr>
              <w:t></w:t>
            </w:r>
            <w:r w:rsidR="00B578C9" w:rsidRPr="00AE271A">
              <w:rPr>
                <w:rFonts w:ascii="Wingdings 3" w:hAnsi="Wingdings 3"/>
              </w:rPr>
              <w:t></w:t>
            </w:r>
            <w:r w:rsidR="00B578C9" w:rsidRPr="00AE271A">
              <w:rPr>
                <w:rFonts w:ascii="Wingdings 3" w:hAnsi="Wingdings 3"/>
              </w:rPr>
              <w:t></w:t>
            </w:r>
            <w:r w:rsidR="00B578C9">
              <w:t xml:space="preserve"> </w:t>
            </w:r>
            <w:r w:rsidRPr="00B31C95">
              <w:rPr>
                <w:rFonts w:cs="Arial"/>
                <w:szCs w:val="18"/>
              </w:rPr>
              <w:t xml:space="preserve">A Traditional Supervisor from any division may inactivate TRs and persistent antigen negative requirements in a multidivisional database regardless of the source of the TR. </w:t>
            </w:r>
          </w:p>
          <w:p w14:paraId="76B5D561" w14:textId="77777777" w:rsidR="00994FF2" w:rsidRPr="00B31C95" w:rsidRDefault="00DB7814" w:rsidP="00994FF2">
            <w:pPr>
              <w:pStyle w:val="NotesTextBullet"/>
              <w:rPr>
                <w:rFonts w:cs="Arial"/>
                <w:szCs w:val="18"/>
              </w:rPr>
            </w:pPr>
            <w:r w:rsidRPr="00B31C95">
              <w:rPr>
                <w:rFonts w:cs="Arial"/>
                <w:vanish/>
                <w:szCs w:val="18"/>
              </w:rPr>
              <w:t xml:space="preserve">BR_38.15 </w:t>
            </w:r>
            <w:r w:rsidRPr="00B31C95">
              <w:rPr>
                <w:rFonts w:cs="Arial"/>
                <w:szCs w:val="18"/>
              </w:rPr>
              <w:t>When an antibody specificity is inactivated, VBECS inactivates the corresponding calculated (VBECS-generated) antigen negative requirement.</w:t>
            </w:r>
          </w:p>
          <w:p w14:paraId="38C7DFE0" w14:textId="77777777" w:rsidR="00DB7814" w:rsidRDefault="00DB7814" w:rsidP="00994FF2">
            <w:pPr>
              <w:pStyle w:val="NotesTextBullet"/>
            </w:pPr>
            <w:r w:rsidRPr="00B31C95">
              <w:rPr>
                <w:rFonts w:cs="Arial"/>
                <w:vanish/>
                <w:szCs w:val="18"/>
              </w:rPr>
              <w:t xml:space="preserve">BR_38.11, BR_38.03 </w:t>
            </w:r>
            <w:r w:rsidRPr="00B31C95">
              <w:rPr>
                <w:rFonts w:cs="Arial"/>
                <w:szCs w:val="18"/>
              </w:rPr>
              <w:t>For antibodies identified, VBECS displays a summary of antibodies currently associated with the patient and identifies their source. Additional antibodies may be added and previously identified antibodies may be inactivated.</w:t>
            </w:r>
          </w:p>
        </w:tc>
      </w:tr>
      <w:tr w:rsidR="002A21AE" w14:paraId="69802D54" w14:textId="77777777">
        <w:tc>
          <w:tcPr>
            <w:tcW w:w="3240" w:type="dxa"/>
          </w:tcPr>
          <w:p w14:paraId="656D79C1" w14:textId="77777777" w:rsidR="002A21AE" w:rsidRDefault="002A21AE">
            <w:pPr>
              <w:pStyle w:val="TableTextNumbers"/>
            </w:pPr>
            <w:r>
              <w:lastRenderedPageBreak/>
              <w:t>Return to Step 2 to continue editing the patient’s TRs.</w:t>
            </w:r>
          </w:p>
        </w:tc>
        <w:tc>
          <w:tcPr>
            <w:tcW w:w="6120" w:type="dxa"/>
          </w:tcPr>
          <w:p w14:paraId="33E4BF00" w14:textId="77777777" w:rsidR="002A21AE" w:rsidRDefault="002A21AE">
            <w:pPr>
              <w:pStyle w:val="TableText"/>
            </w:pPr>
          </w:p>
        </w:tc>
      </w:tr>
      <w:tr w:rsidR="002A21AE" w14:paraId="78C0E631" w14:textId="77777777">
        <w:tc>
          <w:tcPr>
            <w:tcW w:w="3240" w:type="dxa"/>
          </w:tcPr>
          <w:p w14:paraId="7557D08B" w14:textId="77777777" w:rsidR="002A21AE" w:rsidRDefault="002A21AE">
            <w:pPr>
              <w:pStyle w:val="TableTextNumbers"/>
            </w:pPr>
            <w:r>
              <w:t xml:space="preserve">Accept entries and exit, or </w:t>
            </w:r>
          </w:p>
          <w:p w14:paraId="44E86D51" w14:textId="77777777" w:rsidR="002A21AE" w:rsidRDefault="002A21AE">
            <w:pPr>
              <w:pStyle w:val="TableTextNumbersContinued"/>
            </w:pPr>
          </w:p>
          <w:p w14:paraId="23B689FB" w14:textId="77777777" w:rsidR="002A21AE" w:rsidRDefault="002A21AE">
            <w:pPr>
              <w:pStyle w:val="TableTextNumbersContinued"/>
            </w:pPr>
            <w:r>
              <w:t xml:space="preserve">Return to Step 1 to make entries for a different patient.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615" w:author="Blalock, David (Leidos)" w:date="2020-06-15T14:09:00Z" w:original="0."/>
              </w:fldChar>
            </w:r>
          </w:p>
        </w:tc>
        <w:tc>
          <w:tcPr>
            <w:tcW w:w="6120" w:type="dxa"/>
          </w:tcPr>
          <w:p w14:paraId="2CD81596" w14:textId="77777777" w:rsidR="002A21AE" w:rsidRDefault="002A21AE">
            <w:pPr>
              <w:pStyle w:val="TableText"/>
            </w:pPr>
          </w:p>
        </w:tc>
      </w:tr>
    </w:tbl>
    <w:p w14:paraId="1B4BE9AD" w14:textId="6FDCE9E2" w:rsidR="00994FF2" w:rsidRDefault="00994FF2" w:rsidP="00994FF2">
      <w:pPr>
        <w:pStyle w:val="Caption"/>
      </w:pPr>
      <w:bookmarkStart w:id="616" w:name="_Ref12709492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137</w:t>
      </w:r>
      <w:r w:rsidR="004E20BD">
        <w:rPr>
          <w:noProof/>
        </w:rPr>
        <w:fldChar w:fldCharType="end"/>
      </w:r>
      <w:bookmarkEnd w:id="616"/>
      <w:r>
        <w:t>: Enter Patient Special Instructions and Transfusion Requirements</w:t>
      </w:r>
    </w:p>
    <w:p w14:paraId="4A505FB3" w14:textId="77777777" w:rsidR="00994FF2" w:rsidRDefault="00057948" w:rsidP="00994FF2">
      <w:pPr>
        <w:pStyle w:val="BodyText"/>
      </w:pPr>
      <w:r>
        <w:rPr>
          <w:noProof/>
        </w:rPr>
        <w:drawing>
          <wp:inline distT="0" distB="0" distL="0" distR="0" wp14:anchorId="3D79FB35" wp14:editId="08AE7435">
            <wp:extent cx="5597525" cy="4313555"/>
            <wp:effectExtent l="0" t="0" r="3175" b="0"/>
            <wp:docPr id="253" name="Picture 2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a:extLst>
                        <a:ext uri="{C183D7F6-B498-43B3-948B-1728B52AA6E4}">
                          <adec:decorative xmlns:adec="http://schemas.microsoft.com/office/drawing/2017/decorative" val="1"/>
                        </a:ext>
                      </a:extLst>
                    </pic:cNvPr>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97525" cy="4313555"/>
                    </a:xfrm>
                    <a:prstGeom prst="rect">
                      <a:avLst/>
                    </a:prstGeom>
                    <a:noFill/>
                    <a:ln>
                      <a:noFill/>
                    </a:ln>
                  </pic:spPr>
                </pic:pic>
              </a:graphicData>
            </a:graphic>
          </wp:inline>
        </w:drawing>
      </w:r>
    </w:p>
    <w:p w14:paraId="0874254E" w14:textId="16B95A1E" w:rsidR="005346F4" w:rsidRDefault="005346F4" w:rsidP="005346F4">
      <w:pPr>
        <w:pStyle w:val="Caption"/>
      </w:pPr>
      <w:bookmarkStart w:id="617" w:name="_Ref12709516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138</w:t>
      </w:r>
      <w:r w:rsidR="004E20BD">
        <w:rPr>
          <w:noProof/>
        </w:rPr>
        <w:fldChar w:fldCharType="end"/>
      </w:r>
      <w:bookmarkEnd w:id="617"/>
      <w:r>
        <w:t>: Inactivate Component Requirements</w:t>
      </w:r>
    </w:p>
    <w:p w14:paraId="6AC7DB8E" w14:textId="77777777" w:rsidR="005346F4" w:rsidRDefault="00057948" w:rsidP="00994FF2">
      <w:pPr>
        <w:pStyle w:val="BodyText"/>
      </w:pPr>
      <w:r>
        <w:rPr>
          <w:noProof/>
        </w:rPr>
        <w:drawing>
          <wp:inline distT="0" distB="0" distL="0" distR="0" wp14:anchorId="209B9378" wp14:editId="27ACC9B5">
            <wp:extent cx="5717540" cy="5089525"/>
            <wp:effectExtent l="0" t="0" r="0" b="0"/>
            <wp:docPr id="254" name="Picture 2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254">
                      <a:extLst>
                        <a:ext uri="{C183D7F6-B498-43B3-948B-1728B52AA6E4}">
                          <adec:decorative xmlns:adec="http://schemas.microsoft.com/office/drawing/2017/decorative" val="1"/>
                        </a:ext>
                      </a:extLst>
                    </pic:cNvPr>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717540" cy="5089525"/>
                    </a:xfrm>
                    <a:prstGeom prst="rect">
                      <a:avLst/>
                    </a:prstGeom>
                    <a:noFill/>
                    <a:ln>
                      <a:noFill/>
                    </a:ln>
                  </pic:spPr>
                </pic:pic>
              </a:graphicData>
            </a:graphic>
          </wp:inline>
        </w:drawing>
      </w:r>
    </w:p>
    <w:p w14:paraId="103EB599" w14:textId="77777777" w:rsidR="002A21AE" w:rsidRDefault="002A21AE">
      <w:pPr>
        <w:pStyle w:val="Heading3"/>
      </w:pPr>
      <w:r>
        <w:br w:type="page"/>
      </w:r>
      <w:bookmarkStart w:id="618" w:name="_Toc47516766"/>
      <w:r>
        <w:lastRenderedPageBreak/>
        <w:t>Special Instructions &amp; Transfusion Requirements: Enter and Remove Special Instructions</w:t>
      </w:r>
      <w:bookmarkEnd w:id="618"/>
      <w:r>
        <w:fldChar w:fldCharType="begin"/>
      </w:r>
      <w:r>
        <w:instrText xml:space="preserve"> XE </w:instrText>
      </w:r>
      <w:r w:rsidR="00FA7E65">
        <w:instrText>“</w:instrText>
      </w:r>
      <w:r>
        <w:instrText>Special Instructions &amp; Transfusion Requirements\: Enter and Remove Special Instructions</w:instrText>
      </w:r>
      <w:r w:rsidR="00FA7E65">
        <w:instrText>”</w:instrText>
      </w:r>
      <w:r>
        <w:instrText xml:space="preserve"> </w:instrText>
      </w:r>
      <w:r>
        <w:fldChar w:fldCharType="end"/>
      </w:r>
      <w:r>
        <w:t xml:space="preserve"> </w:t>
      </w:r>
      <w:r>
        <w:rPr>
          <w:rFonts w:ascii="Times New Roman" w:hAnsi="Times New Roman" w:cs="Times New Roman"/>
          <w:b w:val="0"/>
          <w:vanish/>
          <w:sz w:val="22"/>
        </w:rPr>
        <w:t>UC_37</w:t>
      </w:r>
    </w:p>
    <w:p w14:paraId="50C96E58" w14:textId="77777777" w:rsidR="002A21AE" w:rsidRDefault="002A21AE" w:rsidP="00FA7E65">
      <w:pPr>
        <w:pStyle w:val="BodyText"/>
      </w:pPr>
      <w:r>
        <w:t>The user enter</w:t>
      </w:r>
      <w:r w:rsidR="007C7B3C">
        <w:t>s</w:t>
      </w:r>
      <w:r>
        <w:t xml:space="preserve"> comments in a patient’s file that are not enforced by VBECS.</w:t>
      </w:r>
    </w:p>
    <w:p w14:paraId="5A9B15E9" w14:textId="77777777" w:rsidR="002A21AE" w:rsidRDefault="002A21AE">
      <w:pPr>
        <w:pStyle w:val="Heading4"/>
      </w:pPr>
      <w:r>
        <w:t>Assumptions</w:t>
      </w:r>
      <w:r>
        <w:rPr>
          <w:b w:val="0"/>
        </w:rPr>
        <w:t xml:space="preserve"> </w:t>
      </w:r>
    </w:p>
    <w:p w14:paraId="0AA473B9" w14:textId="77777777" w:rsidR="002A21AE" w:rsidRDefault="002A21AE">
      <w:pPr>
        <w:pStyle w:val="ListBullet"/>
      </w:pPr>
      <w:r>
        <w:t>Fields containing Special Instructions (SIs) may be populated during database conversion.</w:t>
      </w:r>
    </w:p>
    <w:p w14:paraId="61F83F25" w14:textId="77777777" w:rsidR="002A21AE" w:rsidRDefault="002A21AE">
      <w:pPr>
        <w:pStyle w:val="Heading4"/>
      </w:pPr>
      <w:r>
        <w:t xml:space="preserve">Outcome </w:t>
      </w:r>
    </w:p>
    <w:p w14:paraId="0B9B5E76" w14:textId="77777777" w:rsidR="002A21AE" w:rsidRDefault="002A21AE">
      <w:pPr>
        <w:pStyle w:val="ListBullet"/>
      </w:pPr>
      <w:r>
        <w:t xml:space="preserve">When the user searches for a patient or when the Patient Information Toolbar is displayed, VBECS displays </w:t>
      </w:r>
      <w:r w:rsidR="00057948">
        <w:rPr>
          <w:noProof/>
        </w:rPr>
        <w:drawing>
          <wp:inline distT="0" distB="0" distL="0" distR="0" wp14:anchorId="292C7C10" wp14:editId="2AA030C1">
            <wp:extent cx="156845" cy="156845"/>
            <wp:effectExtent l="0" t="0" r="0" b="0"/>
            <wp:docPr id="255" name="Picture 255"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alert the user to view the patient’s SI entries.</w:t>
      </w:r>
    </w:p>
    <w:p w14:paraId="62839D8C" w14:textId="77777777" w:rsidR="002A21AE" w:rsidRDefault="002A21AE">
      <w:pPr>
        <w:pStyle w:val="ListBullet"/>
      </w:pPr>
      <w:r>
        <w:t>When a user retrieves a patient record and is in a multidivisional setting, he may view SIs created in all divisions within the database.</w:t>
      </w:r>
    </w:p>
    <w:p w14:paraId="6E3FE50A" w14:textId="77777777" w:rsidR="002A21AE" w:rsidRDefault="002A21AE">
      <w:pPr>
        <w:pStyle w:val="Heading4"/>
      </w:pPr>
      <w:r>
        <w:t>Limitations and Restrictions</w:t>
      </w:r>
      <w:r>
        <w:rPr>
          <w:b w:val="0"/>
        </w:rPr>
        <w:t xml:space="preserve"> </w:t>
      </w:r>
    </w:p>
    <w:p w14:paraId="2442A107" w14:textId="77777777" w:rsidR="002A21AE" w:rsidRDefault="00F632F2">
      <w:pPr>
        <w:pStyle w:val="ListBullet"/>
      </w:pPr>
      <w:r>
        <w:t xml:space="preserve">VBECS does not enforce </w:t>
      </w:r>
      <w:r w:rsidR="002A21AE">
        <w:t xml:space="preserve">Transfusion Requirements (TRs) or antigen negative requirements </w:t>
      </w:r>
      <w:r>
        <w:t xml:space="preserve">entered </w:t>
      </w:r>
      <w:r w:rsidR="002A21AE">
        <w:t>through this option.</w:t>
      </w:r>
    </w:p>
    <w:p w14:paraId="2B284EB4" w14:textId="77777777" w:rsidR="002A21AE" w:rsidRDefault="002A21AE">
      <w:pPr>
        <w:pStyle w:val="ListBullet"/>
      </w:pPr>
      <w:r>
        <w:t xml:space="preserve">SIs moved to VBECS during the </w:t>
      </w:r>
      <w:r w:rsidR="00150930">
        <w:t>database conversion</w:t>
      </w:r>
      <w:r>
        <w:t xml:space="preserve"> </w:t>
      </w:r>
      <w:r w:rsidR="009A4A6D">
        <w:t xml:space="preserve">may contain information that must </w:t>
      </w:r>
      <w:r>
        <w:t xml:space="preserve">be entered as TRs in VBECS. Inactivate the old SI and create a TR and new updated SI: the </w:t>
      </w:r>
      <w:r w:rsidR="00150930">
        <w:t>database conversion</w:t>
      </w:r>
      <w:r>
        <w:t xml:space="preserve"> software cannot automatically translate the SI from database conversion into a rule-based TR.</w:t>
      </w:r>
    </w:p>
    <w:p w14:paraId="44601BF8" w14:textId="77777777" w:rsidR="002A21AE" w:rsidRDefault="009333B1">
      <w:pPr>
        <w:pStyle w:val="ListBullet"/>
      </w:pPr>
      <w:r>
        <w:t xml:space="preserve">VBECS will truncate </w:t>
      </w:r>
      <w:r w:rsidR="00DB7814">
        <w:t xml:space="preserve">SI text from </w:t>
      </w:r>
      <w:r w:rsidR="00837204">
        <w:t xml:space="preserve">the </w:t>
      </w:r>
      <w:r w:rsidR="00DB7814">
        <w:t xml:space="preserve">VistA </w:t>
      </w:r>
      <w:r w:rsidR="00150930">
        <w:t>database conversion</w:t>
      </w:r>
      <w:r w:rsidR="002A21AE">
        <w:t>.</w:t>
      </w:r>
    </w:p>
    <w:p w14:paraId="361DC4FF" w14:textId="77777777" w:rsidR="002A21AE" w:rsidRDefault="002A21AE">
      <w:pPr>
        <w:pStyle w:val="Heading4"/>
      </w:pPr>
      <w:r>
        <w:t>Additional Information</w:t>
      </w:r>
    </w:p>
    <w:p w14:paraId="2F1B448D" w14:textId="77777777" w:rsidR="002A21AE" w:rsidRDefault="002A21AE">
      <w:pPr>
        <w:pStyle w:val="ListBullet"/>
      </w:pPr>
      <w:r>
        <w:t xml:space="preserve">Inactivation of patient SI entries is allowed only in the division of entry. </w:t>
      </w:r>
    </w:p>
    <w:p w14:paraId="4421ADDD" w14:textId="77777777" w:rsidR="002A21AE" w:rsidRDefault="002A21AE">
      <w:pPr>
        <w:pStyle w:val="ListBullet"/>
      </w:pPr>
      <w:r>
        <w:t xml:space="preserve">Only currently active SIs at a division will automatically display via the database to all divisions. </w:t>
      </w:r>
    </w:p>
    <w:p w14:paraId="5B17CC8D" w14:textId="77777777" w:rsidR="002A21AE" w:rsidRDefault="002A21AE">
      <w:pPr>
        <w:pStyle w:val="ListBullet"/>
      </w:pPr>
      <w:r>
        <w:t xml:space="preserve">Inactive SIs are not deleted from the VBECS database. They may not be reactivated but may be viewed in the maintenance fields when requested. </w:t>
      </w:r>
    </w:p>
    <w:p w14:paraId="3B0F3230" w14:textId="77777777" w:rsidR="002A21AE" w:rsidRDefault="002A21AE">
      <w:pPr>
        <w:pStyle w:val="ListBullet"/>
      </w:pPr>
      <w:r>
        <w:t xml:space="preserve">Canned comments in the Special Instructions context must be entered by the division before they can be selected for use. </w:t>
      </w:r>
    </w:p>
    <w:p w14:paraId="510523AB" w14:textId="77777777" w:rsidR="002A21AE" w:rsidRDefault="002A21AE">
      <w:pPr>
        <w:pStyle w:val="ListBullet"/>
      </w:pPr>
      <w:r>
        <w:rPr>
          <w:rFonts w:ascii="Arial" w:hAnsi="Arial" w:cs="Arial"/>
          <w:vanish/>
          <w:spacing w:val="0"/>
          <w:sz w:val="18"/>
        </w:rPr>
        <w:t xml:space="preserve">BR_37.03 </w:t>
      </w:r>
      <w:r>
        <w:t>Previously saved Special Instructions that require editing due to context or spelling errors must be inactivated and reentered in total.</w:t>
      </w:r>
    </w:p>
    <w:p w14:paraId="4D3634DB" w14:textId="77777777" w:rsidR="002A21AE" w:rsidRDefault="00150930">
      <w:pPr>
        <w:pStyle w:val="ListBullet"/>
      </w:pPr>
      <w:r>
        <w:t>Database conversion</w:t>
      </w:r>
      <w:r w:rsidR="002A21AE">
        <w:t xml:space="preserve"> entries are labeled as such. </w:t>
      </w:r>
      <w:r w:rsidR="002A21AE">
        <w:rPr>
          <w:rFonts w:ascii="Arial" w:hAnsi="Arial" w:cs="Arial"/>
          <w:vanish/>
          <w:spacing w:val="0"/>
          <w:sz w:val="18"/>
        </w:rPr>
        <w:t xml:space="preserve">BR_37.05 </w:t>
      </w:r>
    </w:p>
    <w:p w14:paraId="33969851" w14:textId="77777777" w:rsidR="002A21AE" w:rsidRDefault="002A21AE">
      <w:pPr>
        <w:pStyle w:val="ListBullet"/>
      </w:pPr>
      <w:r>
        <w:t>SIs from database conversion may include component or antigen negative requirements that must be entered in TRs so that VBECS can enforce them.</w:t>
      </w:r>
    </w:p>
    <w:p w14:paraId="335E1E56" w14:textId="77777777" w:rsidR="002A21AE" w:rsidRDefault="002A21AE">
      <w:pPr>
        <w:pStyle w:val="Heading4"/>
        <w:rPr>
          <w:b w:val="0"/>
        </w:rPr>
      </w:pPr>
      <w:r>
        <w:t>User Roles with Access to This Option</w:t>
      </w:r>
      <w:r>
        <w:rPr>
          <w:b w:val="0"/>
        </w:rPr>
        <w:t xml:space="preserve"> </w:t>
      </w:r>
    </w:p>
    <w:p w14:paraId="3CBEAAF3" w14:textId="77777777" w:rsidR="001C7911" w:rsidRDefault="001C7911" w:rsidP="001C7911">
      <w:pPr>
        <w:pStyle w:val="Roles"/>
      </w:pPr>
      <w:r>
        <w:t>All users</w:t>
      </w:r>
    </w:p>
    <w:p w14:paraId="03B103B7" w14:textId="77777777" w:rsidR="00F3651E" w:rsidRDefault="00F3651E">
      <w:pPr>
        <w:rPr>
          <w:rFonts w:ascii="Arial" w:hAnsi="Arial"/>
          <w:b/>
          <w:sz w:val="22"/>
        </w:rPr>
      </w:pPr>
      <w:r>
        <w:br w:type="page"/>
      </w:r>
    </w:p>
    <w:p w14:paraId="79B100B8" w14:textId="325F0E36" w:rsidR="002A21AE" w:rsidRDefault="002A21AE">
      <w:pPr>
        <w:pStyle w:val="Heading4"/>
      </w:pPr>
      <w:r>
        <w:lastRenderedPageBreak/>
        <w:t>Special Instructions &amp; Transfusion Requirements: Enter a Special Instruction</w:t>
      </w:r>
    </w:p>
    <w:p w14:paraId="167587E2" w14:textId="77777777" w:rsidR="002A21AE" w:rsidRDefault="002A21AE" w:rsidP="00FA7E65">
      <w:pPr>
        <w:pStyle w:val="BodyText"/>
      </w:pPr>
      <w:r>
        <w:t>A user may add to and inactivate SI comments in a patient’s blood bank record. Users in all divisions in a multidivisional database may view these comments.</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60A067" w14:textId="77777777">
        <w:tc>
          <w:tcPr>
            <w:tcW w:w="3240" w:type="dxa"/>
            <w:shd w:val="pct30" w:color="auto" w:fill="FFFFFF"/>
            <w:vAlign w:val="bottom"/>
          </w:tcPr>
          <w:p w14:paraId="35EAB874" w14:textId="77777777" w:rsidR="002A21AE" w:rsidRDefault="002A21AE">
            <w:pPr>
              <w:pStyle w:val="TableText"/>
              <w:rPr>
                <w:b/>
              </w:rPr>
            </w:pPr>
            <w:r>
              <w:rPr>
                <w:b/>
              </w:rPr>
              <w:t>User Action</w:t>
            </w:r>
          </w:p>
        </w:tc>
        <w:tc>
          <w:tcPr>
            <w:tcW w:w="6120" w:type="dxa"/>
            <w:shd w:val="pct30" w:color="auto" w:fill="FFFFFF"/>
            <w:vAlign w:val="bottom"/>
          </w:tcPr>
          <w:p w14:paraId="08B2FB55" w14:textId="77777777" w:rsidR="002A21AE" w:rsidRDefault="002A21AE">
            <w:pPr>
              <w:pStyle w:val="TableText"/>
              <w:rPr>
                <w:b/>
              </w:rPr>
            </w:pPr>
            <w:r>
              <w:rPr>
                <w:b/>
              </w:rPr>
              <w:t>VBECS</w:t>
            </w:r>
          </w:p>
        </w:tc>
      </w:tr>
      <w:tr w:rsidR="002A21AE" w14:paraId="02588AFD" w14:textId="77777777">
        <w:tc>
          <w:tcPr>
            <w:tcW w:w="3240" w:type="dxa"/>
          </w:tcPr>
          <w:p w14:paraId="76F675EB" w14:textId="77777777" w:rsidR="002A21AE" w:rsidRDefault="002A21AE">
            <w:pPr>
              <w:pStyle w:val="TableTextNumbers"/>
            </w:pPr>
            <w:r>
              <w:t xml:space="preserve">Select </w:t>
            </w:r>
            <w:r>
              <w:rPr>
                <w:b/>
              </w:rPr>
              <w:t>Patients</w:t>
            </w:r>
            <w:r>
              <w:t xml:space="preserve"> from the main menu.</w:t>
            </w:r>
          </w:p>
          <w:p w14:paraId="6816A4CA" w14:textId="77777777" w:rsidR="002A21AE" w:rsidRDefault="002A21AE">
            <w:pPr>
              <w:pStyle w:val="TableTextNumbersContinued"/>
            </w:pPr>
          </w:p>
          <w:p w14:paraId="47BCD34A" w14:textId="77777777" w:rsidR="002A21AE" w:rsidRDefault="002A21AE">
            <w:pPr>
              <w:pStyle w:val="TableTextNumbersContinued"/>
            </w:pPr>
            <w:r>
              <w:t xml:space="preserve">Select </w:t>
            </w:r>
            <w:r>
              <w:rPr>
                <w:b/>
              </w:rPr>
              <w:t>Special Instructions &amp; Transfusion Requirements</w:t>
            </w:r>
            <w:r>
              <w:t>, or</w:t>
            </w:r>
          </w:p>
          <w:p w14:paraId="3202AC07" w14:textId="77777777" w:rsidR="002A21AE" w:rsidRDefault="002A21AE">
            <w:pPr>
              <w:pStyle w:val="TableTextNumbersContinued"/>
            </w:pPr>
          </w:p>
          <w:p w14:paraId="2B8E62D5" w14:textId="77777777" w:rsidR="002A21AE" w:rsidRDefault="002A21AE">
            <w:pPr>
              <w:pStyle w:val="TableTextNumbersContinued"/>
            </w:pPr>
            <w:r>
              <w:t xml:space="preserve">Click </w:t>
            </w:r>
            <w:r w:rsidR="00057948">
              <w:rPr>
                <w:noProof/>
              </w:rPr>
              <w:drawing>
                <wp:inline distT="0" distB="0" distL="0" distR="0" wp14:anchorId="5E7B25C4" wp14:editId="3564BF3F">
                  <wp:extent cx="156845" cy="156845"/>
                  <wp:effectExtent l="0" t="0" r="0" b="0"/>
                  <wp:docPr id="256" name="Picture 256" descr="small_si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small_si_t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displayed.</w:t>
            </w:r>
          </w:p>
        </w:tc>
        <w:tc>
          <w:tcPr>
            <w:tcW w:w="6120" w:type="dxa"/>
          </w:tcPr>
          <w:p w14:paraId="10725A80" w14:textId="77777777" w:rsidR="002A21AE" w:rsidRDefault="002A21AE">
            <w:pPr>
              <w:pStyle w:val="TableTextBullet"/>
            </w:pPr>
            <w:r>
              <w:t>Displays options for processing patient-related functions.</w:t>
            </w:r>
          </w:p>
          <w:p w14:paraId="0E06A12B" w14:textId="77777777" w:rsidR="002A21AE" w:rsidRDefault="002A21AE">
            <w:pPr>
              <w:pStyle w:val="TableTextBullet"/>
            </w:pPr>
            <w:r>
              <w:t xml:space="preserve">Displays the option to select a patient, if one is not already selected. </w:t>
            </w:r>
          </w:p>
          <w:p w14:paraId="2F6198BB" w14:textId="77777777" w:rsidR="002A21AE" w:rsidRDefault="002A21AE">
            <w:pPr>
              <w:pStyle w:val="TableText"/>
              <w:rPr>
                <w:b/>
                <w:bCs/>
                <w:szCs w:val="18"/>
              </w:rPr>
            </w:pPr>
          </w:p>
          <w:p w14:paraId="4E2D1AEB" w14:textId="2F8451DF" w:rsidR="002A21AE" w:rsidRDefault="002A21AE">
            <w:pPr>
              <w:pStyle w:val="TableText"/>
              <w:rPr>
                <w:b/>
                <w:bCs/>
                <w:szCs w:val="18"/>
              </w:rPr>
            </w:pPr>
            <w:r>
              <w:rPr>
                <w:b/>
                <w:bCs/>
                <w:szCs w:val="18"/>
              </w:rPr>
              <w:t>NOTES</w:t>
            </w:r>
          </w:p>
          <w:p w14:paraId="336E932C" w14:textId="77777777" w:rsidR="002A21AE" w:rsidRDefault="002A21AE">
            <w:pPr>
              <w:pStyle w:val="NotesText"/>
            </w:pPr>
          </w:p>
          <w:p w14:paraId="3410C4BE" w14:textId="77777777" w:rsidR="002A21AE" w:rsidRDefault="002A21AE">
            <w:pPr>
              <w:pStyle w:val="NotesText"/>
            </w:pPr>
            <w:r>
              <w:t xml:space="preserve">The user may also click </w:t>
            </w:r>
            <w:r>
              <w:rPr>
                <w:b/>
              </w:rPr>
              <w:t>New SI or TR</w:t>
            </w:r>
            <w:r>
              <w:t xml:space="preserve"> in Patient Testing to access this option.</w:t>
            </w:r>
          </w:p>
        </w:tc>
      </w:tr>
      <w:tr w:rsidR="002A21AE" w14:paraId="2F7F3CAA" w14:textId="77777777">
        <w:tc>
          <w:tcPr>
            <w:tcW w:w="3240" w:type="dxa"/>
          </w:tcPr>
          <w:p w14:paraId="19D8B6D9" w14:textId="77777777" w:rsidR="002A21AE" w:rsidRDefault="002A21AE">
            <w:pPr>
              <w:pStyle w:val="TableTextNumbers"/>
            </w:pPr>
            <w:r>
              <w:t>Select a patient.</w:t>
            </w:r>
          </w:p>
          <w:p w14:paraId="29EB5962" w14:textId="77777777" w:rsidR="00DA5ED4" w:rsidRDefault="00DA5ED4" w:rsidP="00DA5ED4">
            <w:pPr>
              <w:pStyle w:val="TableTextNumbersContinued"/>
            </w:pPr>
          </w:p>
          <w:p w14:paraId="44D0D812" w14:textId="77777777" w:rsidR="00DA5ED4" w:rsidRDefault="00DA5ED4" w:rsidP="00DA5ED4">
            <w:pPr>
              <w:pStyle w:val="TableTextNumbersContinued"/>
            </w:pPr>
            <w:r>
              <w:t xml:space="preserve">Click </w:t>
            </w:r>
            <w:r w:rsidRPr="00DA5ED4">
              <w:rPr>
                <w:b/>
              </w:rPr>
              <w:t>OK</w:t>
            </w:r>
            <w:r>
              <w:t>.</w:t>
            </w:r>
          </w:p>
        </w:tc>
        <w:tc>
          <w:tcPr>
            <w:tcW w:w="6120" w:type="dxa"/>
          </w:tcPr>
          <w:p w14:paraId="1AFE11B8" w14:textId="77777777" w:rsidR="002A21AE" w:rsidRDefault="002A21AE">
            <w:pPr>
              <w:pStyle w:val="TableTextBullet"/>
            </w:pPr>
            <w:r>
              <w:t>Displays options to select a patient.</w:t>
            </w:r>
          </w:p>
          <w:p w14:paraId="1FFA77E4" w14:textId="77777777" w:rsidR="002A21AE" w:rsidRDefault="002A21AE">
            <w:pPr>
              <w:pStyle w:val="TableTextBullet"/>
            </w:pPr>
            <w:r>
              <w:t>Displays the option to enter a new comment or remove an existing comment in the division.</w:t>
            </w:r>
          </w:p>
          <w:p w14:paraId="66D63A92" w14:textId="77777777" w:rsidR="002A21AE" w:rsidRDefault="002A21AE">
            <w:pPr>
              <w:pStyle w:val="TableTextBullet"/>
            </w:pPr>
            <w:r>
              <w:t>Displays the active SI entries in reverse chronological order with all active SIs first, along with date, division code, and text of the entry.</w:t>
            </w:r>
          </w:p>
          <w:p w14:paraId="4391DD96" w14:textId="77777777" w:rsidR="002A21AE" w:rsidRDefault="002A21AE">
            <w:pPr>
              <w:pStyle w:val="TableText"/>
            </w:pPr>
          </w:p>
          <w:p w14:paraId="4DEEA892" w14:textId="0245A006" w:rsidR="002A21AE" w:rsidRDefault="002A21AE">
            <w:pPr>
              <w:pStyle w:val="TableText"/>
              <w:rPr>
                <w:b/>
                <w:bCs/>
                <w:szCs w:val="18"/>
              </w:rPr>
            </w:pPr>
            <w:r>
              <w:rPr>
                <w:b/>
                <w:bCs/>
                <w:szCs w:val="18"/>
              </w:rPr>
              <w:t>NOTES</w:t>
            </w:r>
          </w:p>
          <w:p w14:paraId="57C5C427" w14:textId="77777777" w:rsidR="002A21AE" w:rsidRDefault="002A21AE">
            <w:pPr>
              <w:pStyle w:val="NotesText"/>
            </w:pPr>
          </w:p>
          <w:p w14:paraId="5902E136" w14:textId="77777777" w:rsidR="002A21AE" w:rsidRDefault="002A21AE">
            <w:pPr>
              <w:pStyle w:val="NotesText"/>
            </w:pPr>
            <w:r>
              <w:t>The need for SIs is usually temporary and may not be required for all transfusions.</w:t>
            </w:r>
          </w:p>
          <w:p w14:paraId="5E86B4AC" w14:textId="77777777" w:rsidR="002A21AE" w:rsidRDefault="002A21AE">
            <w:pPr>
              <w:pStyle w:val="NotesText"/>
            </w:pPr>
          </w:p>
          <w:p w14:paraId="70CE2570" w14:textId="77777777" w:rsidR="002A21AE" w:rsidRDefault="002A21AE">
            <w:pPr>
              <w:pStyle w:val="NotesText"/>
            </w:pPr>
            <w:r>
              <w:t>The user may choose to display inactivated SI comments.</w:t>
            </w:r>
          </w:p>
        </w:tc>
      </w:tr>
      <w:tr w:rsidR="002A21AE" w14:paraId="7250B8E1" w14:textId="77777777">
        <w:tc>
          <w:tcPr>
            <w:tcW w:w="3240" w:type="dxa"/>
          </w:tcPr>
          <w:p w14:paraId="3F470CB7" w14:textId="581ADA9A" w:rsidR="002A21AE" w:rsidRDefault="002A21AE">
            <w:pPr>
              <w:pStyle w:val="TableTextNumbers"/>
            </w:pPr>
            <w:r>
              <w:t xml:space="preserve">Select the </w:t>
            </w:r>
            <w:r>
              <w:rPr>
                <w:b/>
              </w:rPr>
              <w:t xml:space="preserve">Special Instructions </w:t>
            </w:r>
            <w:r w:rsidRPr="00CC3C89">
              <w:t>tab</w:t>
            </w:r>
            <w:r w:rsidR="00DA5ED4" w:rsidRPr="00CC3C89">
              <w:t xml:space="preserve"> </w:t>
            </w:r>
            <w:r w:rsidR="00DA5ED4" w:rsidRPr="00DA5ED4">
              <w:t>(</w:t>
            </w:r>
            <w:r w:rsidR="009142E5">
              <w:fldChar w:fldCharType="begin"/>
            </w:r>
            <w:r w:rsidR="009142E5">
              <w:instrText xml:space="preserve"> REF _Ref127262439 \h </w:instrText>
            </w:r>
            <w:r w:rsidR="009142E5">
              <w:fldChar w:fldCharType="separate"/>
            </w:r>
            <w:r w:rsidR="004353ED">
              <w:t xml:space="preserve">Figure </w:t>
            </w:r>
            <w:r w:rsidR="004353ED">
              <w:rPr>
                <w:noProof/>
              </w:rPr>
              <w:t>139</w:t>
            </w:r>
            <w:r w:rsidR="009142E5">
              <w:fldChar w:fldCharType="end"/>
            </w:r>
            <w:r w:rsidR="00DA5ED4" w:rsidRPr="00DA5ED4">
              <w:t>)</w:t>
            </w:r>
            <w:r>
              <w:t>.</w:t>
            </w:r>
          </w:p>
          <w:p w14:paraId="23BFA2D9" w14:textId="77777777" w:rsidR="00595334" w:rsidRDefault="00595334" w:rsidP="00595334">
            <w:pPr>
              <w:pStyle w:val="TableTextNumbersContinued"/>
            </w:pPr>
          </w:p>
          <w:p w14:paraId="09D7148F" w14:textId="77777777" w:rsidR="00595334" w:rsidRDefault="00595334" w:rsidP="00595334">
            <w:pPr>
              <w:pStyle w:val="TableTextNumbersContinued"/>
            </w:pPr>
            <w:r>
              <w:t xml:space="preserve">Click the </w:t>
            </w:r>
            <w:r>
              <w:rPr>
                <w:b/>
              </w:rPr>
              <w:t>Show inactive special instructions</w:t>
            </w:r>
            <w:r>
              <w:t xml:space="preserve"> </w:t>
            </w:r>
            <w:r w:rsidRPr="00D1100E">
              <w:t>check box</w:t>
            </w:r>
            <w:r>
              <w:t xml:space="preserve"> to display inactivated SI entries.</w:t>
            </w:r>
          </w:p>
          <w:p w14:paraId="1B3C6E7E" w14:textId="77777777" w:rsidR="00595334" w:rsidRDefault="00595334" w:rsidP="005A1FF9">
            <w:pPr>
              <w:pStyle w:val="TableTextNumbers"/>
              <w:numPr>
                <w:ilvl w:val="0"/>
                <w:numId w:val="0"/>
              </w:numPr>
            </w:pPr>
          </w:p>
        </w:tc>
        <w:tc>
          <w:tcPr>
            <w:tcW w:w="6120" w:type="dxa"/>
          </w:tcPr>
          <w:p w14:paraId="7867A89E" w14:textId="77777777" w:rsidR="002A21AE" w:rsidRDefault="002A21AE">
            <w:pPr>
              <w:pStyle w:val="TableTextBullet"/>
            </w:pPr>
            <w:r>
              <w:t>Allows the user to enter or inactivate comments.</w:t>
            </w:r>
          </w:p>
          <w:p w14:paraId="3BBCB53A" w14:textId="77777777" w:rsidR="00595334" w:rsidRDefault="00595334">
            <w:pPr>
              <w:pStyle w:val="TableTextBullet"/>
            </w:pPr>
            <w:r>
              <w:t xml:space="preserve">Displays inactive Special Instructions </w:t>
            </w:r>
            <w:r w:rsidR="00E12CB9">
              <w:t>but</w:t>
            </w:r>
            <w:r>
              <w:t xml:space="preserve"> </w:t>
            </w:r>
            <w:r w:rsidR="00E12CB9">
              <w:t>does not allow</w:t>
            </w:r>
            <w:r>
              <w:t xml:space="preserve"> the user to reactivate them.</w:t>
            </w:r>
          </w:p>
          <w:p w14:paraId="5181476A" w14:textId="77777777" w:rsidR="002A21AE" w:rsidRDefault="002A21AE">
            <w:pPr>
              <w:pStyle w:val="TableText"/>
            </w:pPr>
          </w:p>
          <w:p w14:paraId="679D8313" w14:textId="4418A8A6" w:rsidR="002A21AE" w:rsidRDefault="002A21AE">
            <w:pPr>
              <w:pStyle w:val="TableText"/>
              <w:rPr>
                <w:b/>
                <w:bCs/>
                <w:szCs w:val="18"/>
              </w:rPr>
            </w:pPr>
            <w:r>
              <w:rPr>
                <w:b/>
                <w:bCs/>
                <w:szCs w:val="18"/>
              </w:rPr>
              <w:t>NOTES</w:t>
            </w:r>
          </w:p>
          <w:p w14:paraId="20BA5A61" w14:textId="77777777" w:rsidR="002A21AE" w:rsidRDefault="002A21AE">
            <w:pPr>
              <w:pStyle w:val="NotesText"/>
            </w:pPr>
          </w:p>
          <w:p w14:paraId="2829F2FD" w14:textId="77777777" w:rsidR="002A21AE" w:rsidRDefault="002A21AE">
            <w:pPr>
              <w:pStyle w:val="NotesText"/>
            </w:pPr>
            <w:r>
              <w:rPr>
                <w:rFonts w:cs="Arial"/>
                <w:vanish/>
              </w:rPr>
              <w:t xml:space="preserve">BR_37.01 </w:t>
            </w:r>
            <w:r>
              <w:t xml:space="preserve">A user may add or inactivate a patient-specific comment at any time in the division in which it was entered. </w:t>
            </w:r>
          </w:p>
          <w:p w14:paraId="6C5B8CC7" w14:textId="77777777" w:rsidR="002A21AE" w:rsidRDefault="002A21AE">
            <w:pPr>
              <w:pStyle w:val="NotesText"/>
            </w:pPr>
          </w:p>
          <w:p w14:paraId="0F34A954" w14:textId="77777777" w:rsidR="002A21AE" w:rsidRDefault="002A21AE">
            <w:pPr>
              <w:pStyle w:val="NotesText"/>
            </w:pPr>
            <w:r>
              <w:rPr>
                <w:rFonts w:cs="Arial"/>
                <w:vanish/>
              </w:rPr>
              <w:t xml:space="preserve">BR_37.06 </w:t>
            </w:r>
            <w:r w:rsidRPr="00E4754E">
              <w:rPr>
                <w:rStyle w:val="RolesChar1"/>
                <w:rFonts w:ascii="Wingdings 3" w:hAnsi="Wingdings 3"/>
              </w:rPr>
              <w:t></w:t>
            </w:r>
            <w:r w:rsidRPr="00E4754E">
              <w:rPr>
                <w:rStyle w:val="RolesChar1"/>
                <w:rFonts w:ascii="Wingdings 3" w:hAnsi="Wingdings 3"/>
              </w:rPr>
              <w:t></w:t>
            </w:r>
            <w:r w:rsidRPr="00E4754E">
              <w:rPr>
                <w:rStyle w:val="RolesChar1"/>
                <w:rFonts w:ascii="Wingdings 3" w:hAnsi="Wingdings 3"/>
              </w:rPr>
              <w:t></w:t>
            </w:r>
            <w:r w:rsidRPr="00E4754E">
              <w:rPr>
                <w:rStyle w:val="RolesChar1"/>
                <w:rFonts w:ascii="Wingdings 3" w:hAnsi="Wingdings 3"/>
              </w:rPr>
              <w:t></w:t>
            </w:r>
            <w:r w:rsidRPr="00E4754E">
              <w:t xml:space="preserve"> </w:t>
            </w:r>
            <w:r>
              <w:t>A Traditional Supervisor may inactivate SIs from database conversion.</w:t>
            </w:r>
          </w:p>
        </w:tc>
      </w:tr>
      <w:tr w:rsidR="002A21AE" w14:paraId="7E919B27" w14:textId="77777777">
        <w:trPr>
          <w:trHeight w:val="1988"/>
        </w:trPr>
        <w:tc>
          <w:tcPr>
            <w:tcW w:w="3240" w:type="dxa"/>
          </w:tcPr>
          <w:p w14:paraId="1DD186E0" w14:textId="77777777" w:rsidR="002A21AE" w:rsidRDefault="002A21AE">
            <w:pPr>
              <w:pStyle w:val="TableTextNumbers"/>
            </w:pPr>
            <w:r>
              <w:t>Confirm the activation of the entry and enter a comment.</w:t>
            </w:r>
          </w:p>
          <w:p w14:paraId="0A301206" w14:textId="77777777" w:rsidR="002A21AE" w:rsidRDefault="002A21AE">
            <w:pPr>
              <w:pStyle w:val="TableTextNumbersContinued"/>
            </w:pPr>
          </w:p>
          <w:p w14:paraId="71303111" w14:textId="77777777" w:rsidR="002A21AE" w:rsidRDefault="002A21AE">
            <w:pPr>
              <w:pStyle w:val="TableTextNumbersContinued"/>
            </w:pPr>
            <w:r>
              <w:t xml:space="preserve">Click </w:t>
            </w:r>
            <w:r>
              <w:rPr>
                <w:b/>
              </w:rPr>
              <w:t>OK</w:t>
            </w:r>
            <w:r>
              <w:t xml:space="preserve">. </w:t>
            </w:r>
          </w:p>
          <w:p w14:paraId="60D73E8D" w14:textId="77777777" w:rsidR="002A21AE" w:rsidRDefault="002A21AE">
            <w:pPr>
              <w:pStyle w:val="TableTextNumbersContinued"/>
            </w:pPr>
          </w:p>
          <w:p w14:paraId="3C879E49" w14:textId="77777777" w:rsidR="002A21AE" w:rsidRDefault="002A21AE">
            <w:pPr>
              <w:pStyle w:val="TableTextNumbersContinued"/>
            </w:pPr>
            <w:r>
              <w:t>Return to Step 2 to add more SIs for this patient.</w:t>
            </w:r>
          </w:p>
          <w:p w14:paraId="39D0220C" w14:textId="77777777" w:rsidR="002A21AE" w:rsidRDefault="002A21AE">
            <w:pPr>
              <w:pStyle w:val="TableTextNumbersContinued"/>
            </w:pPr>
          </w:p>
          <w:p w14:paraId="00B703CD" w14:textId="77777777" w:rsidR="002A21AE" w:rsidRDefault="002A21AE">
            <w:pPr>
              <w:pStyle w:val="TableTextNumbersContinued"/>
            </w:pPr>
            <w:r>
              <w:t>Select another patient and return to Step 1, if desired</w:t>
            </w:r>
            <w:r w:rsidR="00DA12E9">
              <w:t>.</w:t>
            </w:r>
          </w:p>
          <w:p w14:paraId="08196FFF" w14:textId="77777777" w:rsidR="002A21AE" w:rsidRDefault="002A21AE">
            <w:pPr>
              <w:pStyle w:val="TableTextNumbersContinued"/>
            </w:pPr>
          </w:p>
          <w:p w14:paraId="52EA36AB" w14:textId="77777777" w:rsidR="002A21AE" w:rsidRDefault="002A21AE">
            <w:pPr>
              <w:pStyle w:val="TableTextNumbersContinued"/>
              <w:rPr>
                <w:b/>
                <w:bCs/>
              </w:rPr>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619" w:author="Blalock, David (Leidos)" w:date="2020-06-15T14:09:00Z" w:original="0."/>
              </w:fldChar>
            </w:r>
          </w:p>
        </w:tc>
        <w:tc>
          <w:tcPr>
            <w:tcW w:w="6120" w:type="dxa"/>
          </w:tcPr>
          <w:p w14:paraId="7E4029D4" w14:textId="77777777" w:rsidR="002A21AE" w:rsidRDefault="002A21AE">
            <w:pPr>
              <w:pStyle w:val="TableTextBullet"/>
            </w:pPr>
            <w:r>
              <w:t>Saves the entry in the database.</w:t>
            </w:r>
          </w:p>
        </w:tc>
      </w:tr>
    </w:tbl>
    <w:p w14:paraId="32FA3229" w14:textId="2B22A080" w:rsidR="009142E5" w:rsidRDefault="009142E5" w:rsidP="009142E5">
      <w:pPr>
        <w:pStyle w:val="Caption"/>
      </w:pPr>
      <w:bookmarkStart w:id="620" w:name="_Toc63680371"/>
      <w:r>
        <w:br w:type="page"/>
      </w:r>
      <w:bookmarkStart w:id="621" w:name="_Ref12726243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139</w:t>
      </w:r>
      <w:r w:rsidR="004E20BD">
        <w:rPr>
          <w:noProof/>
        </w:rPr>
        <w:fldChar w:fldCharType="end"/>
      </w:r>
      <w:bookmarkEnd w:id="621"/>
      <w:r>
        <w:t xml:space="preserve">: </w:t>
      </w:r>
      <w:r w:rsidRPr="00AB6967">
        <w:t>Enter Patient Special Instructions and Transfusion Requirements</w:t>
      </w:r>
    </w:p>
    <w:p w14:paraId="436326A3" w14:textId="77777777" w:rsidR="002A21AE" w:rsidRDefault="00057948" w:rsidP="00FA7E65">
      <w:pPr>
        <w:pStyle w:val="BodyText"/>
      </w:pPr>
      <w:r>
        <w:rPr>
          <w:noProof/>
        </w:rPr>
        <w:drawing>
          <wp:inline distT="0" distB="0" distL="0" distR="0" wp14:anchorId="0E7FAE8D" wp14:editId="2AC2F4EB">
            <wp:extent cx="5939155" cy="3777615"/>
            <wp:effectExtent l="0" t="0" r="4445" b="0"/>
            <wp:docPr id="257" name="Picture 2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a:extLst>
                        <a:ext uri="{C183D7F6-B498-43B3-948B-1728B52AA6E4}">
                          <adec:decorative xmlns:adec="http://schemas.microsoft.com/office/drawing/2017/decorative" val="1"/>
                        </a:ext>
                      </a:extLst>
                    </pic:cNvPr>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939155" cy="3777615"/>
                    </a:xfrm>
                    <a:prstGeom prst="rect">
                      <a:avLst/>
                    </a:prstGeom>
                    <a:noFill/>
                    <a:ln>
                      <a:noFill/>
                    </a:ln>
                  </pic:spPr>
                </pic:pic>
              </a:graphicData>
            </a:graphic>
          </wp:inline>
        </w:drawing>
      </w:r>
    </w:p>
    <w:p w14:paraId="4DCE0997" w14:textId="77777777" w:rsidR="00DA5ED4" w:rsidRDefault="00DA5ED4" w:rsidP="00FA7E65">
      <w:pPr>
        <w:pStyle w:val="BodyText"/>
        <w:sectPr w:rsidR="00DA5ED4" w:rsidSect="00EE771C">
          <w:pgSz w:w="12240" w:h="15840" w:code="1"/>
          <w:pgMar w:top="1440" w:right="1440" w:bottom="1440" w:left="1440" w:header="720" w:footer="720" w:gutter="0"/>
          <w:cols w:space="720"/>
          <w:docGrid w:linePitch="360"/>
        </w:sectPr>
      </w:pPr>
    </w:p>
    <w:p w14:paraId="7452BF8B" w14:textId="77777777" w:rsidR="002A21AE" w:rsidRDefault="002A21AE">
      <w:pPr>
        <w:pStyle w:val="Heading2"/>
      </w:pPr>
      <w:bookmarkStart w:id="622" w:name="_Post-Transfusion_Information"/>
      <w:bookmarkStart w:id="623" w:name="_Toc47516767"/>
      <w:bookmarkStart w:id="624" w:name="_Toc63680369"/>
      <w:bookmarkEnd w:id="417"/>
      <w:bookmarkEnd w:id="620"/>
      <w:bookmarkEnd w:id="622"/>
      <w:r>
        <w:lastRenderedPageBreak/>
        <w:t>Post-Transfusion Information</w:t>
      </w:r>
      <w:bookmarkEnd w:id="623"/>
      <w:r>
        <w:fldChar w:fldCharType="begin"/>
      </w:r>
      <w:r>
        <w:instrText xml:space="preserve"> XE </w:instrText>
      </w:r>
      <w:r w:rsidR="00FA7E65">
        <w:instrText>“</w:instrText>
      </w:r>
      <w:r>
        <w:instrText>Post-Transfusion Information</w:instrText>
      </w:r>
      <w:r w:rsidR="00FA7E65">
        <w:instrText>”</w:instrText>
      </w:r>
      <w:r>
        <w:instrText xml:space="preserve"> </w:instrText>
      </w:r>
      <w:r>
        <w:fldChar w:fldCharType="end"/>
      </w:r>
      <w:r>
        <w:rPr>
          <w:snapToGrid w:val="0"/>
        </w:rPr>
        <w:t xml:space="preserve"> </w:t>
      </w:r>
      <w:r w:rsidRPr="00DA5ED4">
        <w:rPr>
          <w:rFonts w:ascii="Arial Bold" w:hAnsi="Arial Bold"/>
          <w:vanish/>
        </w:rPr>
        <w:t>UC_69</w:t>
      </w:r>
    </w:p>
    <w:p w14:paraId="258B2199" w14:textId="77777777" w:rsidR="002A21AE" w:rsidRDefault="002A21AE" w:rsidP="00FA7E65">
      <w:pPr>
        <w:pStyle w:val="BodyText"/>
      </w:pPr>
      <w:r>
        <w:t>The user enters post-transfusion details from the Blood Transfusion Record Form (BTRF)</w:t>
      </w:r>
      <w:r w:rsidR="00EE44F1" w:rsidRPr="00EE44F1">
        <w:t xml:space="preserve"> </w:t>
      </w:r>
      <w:r w:rsidR="00EE44F1">
        <w:t>or VBECS saves post-transfusion det</w:t>
      </w:r>
      <w:r w:rsidR="007163E2">
        <w:t xml:space="preserve">ails received from the Transfusion Verification </w:t>
      </w:r>
      <w:r w:rsidR="00EE44F1">
        <w:t>System</w:t>
      </w:r>
      <w:r>
        <w:t xml:space="preserve">. </w:t>
      </w:r>
    </w:p>
    <w:p w14:paraId="6594A5D9" w14:textId="77777777" w:rsidR="002A21AE" w:rsidRDefault="002A21AE">
      <w:pPr>
        <w:pStyle w:val="Heading4"/>
      </w:pPr>
      <w:r>
        <w:t>Assumptions</w:t>
      </w:r>
    </w:p>
    <w:p w14:paraId="12AB69AD" w14:textId="77777777" w:rsidR="002A21AE" w:rsidRDefault="002A21AE">
      <w:pPr>
        <w:pStyle w:val="ListBullet"/>
        <w:ind w:left="720"/>
      </w:pPr>
      <w:r>
        <w:t>The BTRF is returned and completed for each unit.</w:t>
      </w:r>
    </w:p>
    <w:p w14:paraId="5501BE47" w14:textId="77777777" w:rsidR="002A21AE" w:rsidRDefault="002A21AE">
      <w:pPr>
        <w:pStyle w:val="ListBullet"/>
        <w:ind w:left="720"/>
      </w:pPr>
      <w:r>
        <w:t>The unit status is “issued” or “presumed transfused” in VBECS.</w:t>
      </w:r>
    </w:p>
    <w:p w14:paraId="3EED9EFB" w14:textId="77777777" w:rsidR="00EE44F1" w:rsidRDefault="00EE44F1" w:rsidP="00EE44F1">
      <w:pPr>
        <w:pStyle w:val="ListBullet"/>
        <w:ind w:left="720"/>
      </w:pPr>
      <w:r>
        <w:t>Interface connections to the BCE COTS system are enabled to receive transfusion update messages.</w:t>
      </w:r>
    </w:p>
    <w:p w14:paraId="3CF8E052" w14:textId="77777777" w:rsidR="002A21AE" w:rsidRDefault="002A21AE">
      <w:pPr>
        <w:pStyle w:val="Heading4"/>
      </w:pPr>
      <w:r>
        <w:t>Outcome</w:t>
      </w:r>
    </w:p>
    <w:p w14:paraId="32C27B2A" w14:textId="77777777" w:rsidR="002A21AE" w:rsidRDefault="002A21AE" w:rsidP="004D0C24">
      <w:pPr>
        <w:pStyle w:val="ListBullet"/>
        <w:ind w:left="720"/>
      </w:pPr>
      <w:r>
        <w:t>The unit status is updated to “transfused.”</w:t>
      </w:r>
    </w:p>
    <w:p w14:paraId="69FBB7C6" w14:textId="77777777" w:rsidR="002A21AE" w:rsidRDefault="002A21AE">
      <w:pPr>
        <w:pStyle w:val="ListBullet"/>
        <w:ind w:left="720"/>
      </w:pPr>
      <w:r>
        <w:t>The VBECS patient record includes the blood transfusion information.</w:t>
      </w:r>
    </w:p>
    <w:p w14:paraId="78C605A3" w14:textId="77777777" w:rsidR="002A21AE" w:rsidRDefault="002A21AE">
      <w:pPr>
        <w:pStyle w:val="Heading4"/>
      </w:pPr>
      <w:r>
        <w:t>Limitations and Restrictions</w:t>
      </w:r>
    </w:p>
    <w:p w14:paraId="5FD32ED5" w14:textId="77777777" w:rsidR="00EE44F1" w:rsidRDefault="006D40D4" w:rsidP="004D0C24">
      <w:pPr>
        <w:pStyle w:val="ListBullet"/>
      </w:pPr>
      <w:r>
        <w:t xml:space="preserve">VBECS cannot update a unit record to presumed transfused when a </w:t>
      </w:r>
      <w:r w:rsidR="004D0C24" w:rsidRPr="004D0C24">
        <w:t xml:space="preserve">user has </w:t>
      </w:r>
      <w:r>
        <w:t xml:space="preserve">that </w:t>
      </w:r>
      <w:r w:rsidR="004D0C24" w:rsidRPr="004D0C24">
        <w:t>unit record open (locked) in Enter Post Transfusion Information</w:t>
      </w:r>
      <w:r>
        <w:t xml:space="preserve">. VBECS will attempt to update the unit the next </w:t>
      </w:r>
      <w:r w:rsidR="004D0C24" w:rsidRPr="004D0C24">
        <w:t xml:space="preserve">time the </w:t>
      </w:r>
      <w:r>
        <w:t xml:space="preserve">presumed transfused background routing </w:t>
      </w:r>
      <w:r w:rsidR="004D0C24" w:rsidRPr="004D0C24">
        <w:t>runs if the unit remains in an issued status.</w:t>
      </w:r>
      <w:r w:rsidR="004309FB" w:rsidRPr="004309FB">
        <w:rPr>
          <w:vanish/>
        </w:rPr>
        <w:t xml:space="preserve"> </w:t>
      </w:r>
      <w:r w:rsidR="004309FB" w:rsidRPr="00EE44F1">
        <w:rPr>
          <w:vanish/>
        </w:rPr>
        <w:t>DR 3089</w:t>
      </w:r>
    </w:p>
    <w:p w14:paraId="43B87B85" w14:textId="77777777" w:rsidR="00F854CF" w:rsidRDefault="00EE44F1" w:rsidP="00EE44F1">
      <w:pPr>
        <w:pStyle w:val="ListBullet"/>
      </w:pPr>
      <w:r>
        <w:t>If post-transfusion information is not transmitted to VBECS</w:t>
      </w:r>
      <w:r w:rsidR="007163E2">
        <w:t xml:space="preserve"> by the BCE COTS interface</w:t>
      </w:r>
      <w:r>
        <w:t>, the user will need to enter that information to update the record from presumed transfused to transfused.</w:t>
      </w:r>
    </w:p>
    <w:p w14:paraId="17676480" w14:textId="77777777" w:rsidR="000E2D6A" w:rsidRDefault="000E2D6A" w:rsidP="00EE44F1">
      <w:pPr>
        <w:pStyle w:val="ListBullet"/>
      </w:pPr>
      <w:r>
        <w:t xml:space="preserve">The transfusion comments and volume transfused entered in the Transfusion Verification </w:t>
      </w:r>
      <w:r w:rsidR="00E20BD6">
        <w:t xml:space="preserve">application as an update to a completed transfusion </w:t>
      </w:r>
      <w:r>
        <w:t>are not sent to VBECS.</w:t>
      </w:r>
      <w:r>
        <w:rPr>
          <w:vanish/>
        </w:rPr>
        <w:t xml:space="preserve"> DR 4173</w:t>
      </w:r>
      <w:r>
        <w:t xml:space="preserve"> </w:t>
      </w:r>
    </w:p>
    <w:p w14:paraId="74874B67" w14:textId="77777777" w:rsidR="00D26DD7" w:rsidRDefault="00D26DD7" w:rsidP="00EE44F1">
      <w:pPr>
        <w:pStyle w:val="ListBullet"/>
      </w:pPr>
      <w:r>
        <w:t>Transfu</w:t>
      </w:r>
      <w:r w:rsidR="00A6148D">
        <w:t>sion reaction symptoms are not provided</w:t>
      </w:r>
      <w:r>
        <w:t xml:space="preserve"> to VBECS by the Transfusion Verification application unless a transfusion reaction has also been indicated for that event.</w:t>
      </w:r>
      <w:r>
        <w:rPr>
          <w:vanish/>
        </w:rPr>
        <w:t xml:space="preserve"> DR 4217</w:t>
      </w:r>
    </w:p>
    <w:p w14:paraId="0564A482" w14:textId="77777777" w:rsidR="002A21AE" w:rsidRDefault="002A21AE">
      <w:pPr>
        <w:pStyle w:val="Heading4"/>
      </w:pPr>
      <w:r>
        <w:t>Additional Information</w:t>
      </w:r>
    </w:p>
    <w:p w14:paraId="0107CCE6" w14:textId="77777777" w:rsidR="005F07D8" w:rsidRPr="004C51FE" w:rsidRDefault="00F854CF" w:rsidP="005F07D8">
      <w:pPr>
        <w:pStyle w:val="ListBullet"/>
      </w:pPr>
      <w:r>
        <w:rPr>
          <w:rFonts w:eastAsia="Arial Unicode MS"/>
        </w:rPr>
        <w:t>A</w:t>
      </w:r>
      <w:r w:rsidR="005F07D8">
        <w:rPr>
          <w:rFonts w:eastAsia="Arial Unicode MS"/>
        </w:rPr>
        <w:t xml:space="preserve"> user </w:t>
      </w:r>
      <w:r>
        <w:rPr>
          <w:rFonts w:eastAsia="Arial Unicode MS"/>
        </w:rPr>
        <w:t xml:space="preserve">with the appropriate security level </w:t>
      </w:r>
      <w:r w:rsidR="005F07D8">
        <w:rPr>
          <w:rFonts w:eastAsia="Arial Unicode MS"/>
        </w:rPr>
        <w:t xml:space="preserve">may </w:t>
      </w:r>
      <w:r w:rsidR="005F07D8" w:rsidRPr="005F07D8">
        <w:rPr>
          <w:rFonts w:eastAsia="Arial Unicode MS"/>
        </w:rPr>
        <w:t>enter</w:t>
      </w:r>
      <w:r w:rsidR="005F07D8">
        <w:rPr>
          <w:rFonts w:eastAsia="Arial Unicode MS"/>
        </w:rPr>
        <w:t xml:space="preserve"> </w:t>
      </w:r>
      <w:r>
        <w:rPr>
          <w:rFonts w:eastAsia="Arial Unicode MS"/>
        </w:rPr>
        <w:t xml:space="preserve">or edit </w:t>
      </w:r>
      <w:r w:rsidR="005F07D8">
        <w:rPr>
          <w:rFonts w:eastAsia="Arial Unicode MS"/>
        </w:rPr>
        <w:t>bedside verification information unless it is re</w:t>
      </w:r>
      <w:r w:rsidR="005109EB">
        <w:rPr>
          <w:rFonts w:eastAsia="Arial Unicode MS"/>
        </w:rPr>
        <w:t>ceiv</w:t>
      </w:r>
      <w:r w:rsidR="00CC58D8">
        <w:rPr>
          <w:rFonts w:eastAsia="Arial Unicode MS"/>
        </w:rPr>
        <w:t>ed from BCE COTS interface</w:t>
      </w:r>
      <w:r w:rsidR="005F07D8">
        <w:rPr>
          <w:rFonts w:eastAsia="Arial Unicode MS"/>
        </w:rPr>
        <w:t>.</w:t>
      </w:r>
    </w:p>
    <w:p w14:paraId="234C337A" w14:textId="77777777" w:rsidR="002A21AE" w:rsidRPr="004C51FE" w:rsidRDefault="002A21AE" w:rsidP="004C51FE">
      <w:pPr>
        <w:pStyle w:val="ListBullet"/>
      </w:pPr>
      <w:r w:rsidRPr="00D5161F">
        <w:rPr>
          <w:vanish/>
        </w:rPr>
        <w:t xml:space="preserve">BR_69.09 </w:t>
      </w:r>
      <w:r w:rsidRPr="004C51FE">
        <w:t>The user may indicate that a transfusion reaction and symptoms were noted on the BTRF as free text. Noting a transfusion reaction does not create an order for a transfusion reaction workup (TRW).</w:t>
      </w:r>
    </w:p>
    <w:p w14:paraId="3D5F9155" w14:textId="77777777" w:rsidR="004C51FE" w:rsidRDefault="00776AAE" w:rsidP="004C51FE">
      <w:pPr>
        <w:pStyle w:val="ListBullet"/>
      </w:pPr>
      <w:r>
        <w:t>R</w:t>
      </w:r>
      <w:r w:rsidR="004C51FE">
        <w:t>emove a “transfused” status</w:t>
      </w:r>
      <w:r>
        <w:t xml:space="preserve"> through</w:t>
      </w:r>
      <w:r w:rsidR="004C51FE">
        <w:t xml:space="preserve"> Remove Final Status</w:t>
      </w:r>
      <w:r w:rsidR="00A6148D">
        <w:t xml:space="preserve"> unless that unit was transfused by the Transfusion Verification application. See limitations in Remove Final Status</w:t>
      </w:r>
      <w:r w:rsidR="004C51FE">
        <w:t>.</w:t>
      </w:r>
    </w:p>
    <w:p w14:paraId="16575032" w14:textId="77777777" w:rsidR="002A21AE" w:rsidRDefault="002A21AE">
      <w:pPr>
        <w:pStyle w:val="Heading4"/>
      </w:pPr>
      <w:r>
        <w:t>User Roles with Access to This Option</w:t>
      </w:r>
    </w:p>
    <w:p w14:paraId="2EAC55F2" w14:textId="77777777" w:rsidR="007D4E77" w:rsidRDefault="007D4E77" w:rsidP="007D4E77">
      <w:pPr>
        <w:pStyle w:val="Roles"/>
        <w:rPr>
          <w:snapToGrid w:val="0"/>
        </w:rPr>
      </w:pPr>
      <w:r>
        <w:t>All users</w:t>
      </w:r>
    </w:p>
    <w:p w14:paraId="3DDF1A34" w14:textId="77777777" w:rsidR="00F3651E" w:rsidRDefault="00F3651E">
      <w:pPr>
        <w:rPr>
          <w:rFonts w:ascii="Arial" w:hAnsi="Arial"/>
          <w:b/>
          <w:sz w:val="22"/>
        </w:rPr>
      </w:pPr>
      <w:r>
        <w:br w:type="page"/>
      </w:r>
    </w:p>
    <w:p w14:paraId="2469FF34" w14:textId="38E82BA5" w:rsidR="002A21AE" w:rsidRDefault="002A21AE">
      <w:pPr>
        <w:pStyle w:val="Heading4"/>
      </w:pPr>
      <w:r>
        <w:lastRenderedPageBreak/>
        <w:t>Post-Transfusion Information</w:t>
      </w:r>
    </w:p>
    <w:p w14:paraId="11704303" w14:textId="77777777" w:rsidR="002A21AE" w:rsidRDefault="002A21AE" w:rsidP="00FA7E65">
      <w:pPr>
        <w:pStyle w:val="BodyText"/>
      </w:pPr>
      <w:r>
        <w:t>The user verifies the date and time transfused with a returned BTRF, adds other transfusion details, initiates a system check of the bedside verification information, enters that information, and indicates whether a</w:t>
      </w:r>
      <w:r w:rsidR="00A10483">
        <w:t xml:space="preserve"> </w:t>
      </w:r>
      <w:r>
        <w:t xml:space="preserve">reaction occurred during or immediately after the transfusion, as documented on the BTRF. </w:t>
      </w:r>
      <w:r w:rsidR="006B7AA9">
        <w:t xml:space="preserve">VBECS does not require entry of post-transfusion information: </w:t>
      </w:r>
      <w:r w:rsidR="00CA57D7">
        <w:t xml:space="preserve">once a day, </w:t>
      </w:r>
      <w:r w:rsidR="006B7AA9">
        <w:t xml:space="preserve">without user input, </w:t>
      </w:r>
      <w:r w:rsidR="00CA57D7">
        <w:t>VBECS moves units 48 hours after issue to</w:t>
      </w:r>
      <w:r w:rsidR="006B7AA9">
        <w:t xml:space="preserve"> “presumed transfused” status</w:t>
      </w:r>
      <w:r w:rsidR="005C7822" w:rsidRPr="00FE1F14">
        <w:rPr>
          <w:vanish/>
        </w:rPr>
        <w:t>UserDoc Task 1098</w:t>
      </w:r>
      <w:r w:rsidR="006B7AA9">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8C1FD7A" w14:textId="77777777">
        <w:trPr>
          <w:cantSplit/>
          <w:tblHeader/>
        </w:trPr>
        <w:tc>
          <w:tcPr>
            <w:tcW w:w="3240" w:type="dxa"/>
            <w:shd w:val="pct30" w:color="auto" w:fill="FFFFFF"/>
            <w:vAlign w:val="bottom"/>
          </w:tcPr>
          <w:p w14:paraId="1AC78AC1" w14:textId="77777777" w:rsidR="002A21AE" w:rsidRDefault="002A21AE">
            <w:pPr>
              <w:pStyle w:val="TableText"/>
              <w:rPr>
                <w:b/>
              </w:rPr>
            </w:pPr>
            <w:r>
              <w:rPr>
                <w:b/>
              </w:rPr>
              <w:t>User Action</w:t>
            </w:r>
          </w:p>
        </w:tc>
        <w:tc>
          <w:tcPr>
            <w:tcW w:w="6120" w:type="dxa"/>
            <w:shd w:val="pct30" w:color="auto" w:fill="FFFFFF"/>
            <w:vAlign w:val="bottom"/>
          </w:tcPr>
          <w:p w14:paraId="7422DE95" w14:textId="77777777" w:rsidR="002A21AE" w:rsidRDefault="002A21AE">
            <w:pPr>
              <w:pStyle w:val="TableText"/>
              <w:rPr>
                <w:b/>
              </w:rPr>
            </w:pPr>
            <w:r>
              <w:rPr>
                <w:b/>
              </w:rPr>
              <w:t>VBECS</w:t>
            </w:r>
          </w:p>
        </w:tc>
      </w:tr>
      <w:tr w:rsidR="002A21AE" w14:paraId="5CC12B4F" w14:textId="77777777">
        <w:tc>
          <w:tcPr>
            <w:tcW w:w="3240" w:type="dxa"/>
            <w:tcBorders>
              <w:top w:val="single" w:sz="4" w:space="0" w:color="auto"/>
              <w:left w:val="single" w:sz="4" w:space="0" w:color="auto"/>
              <w:bottom w:val="single" w:sz="4" w:space="0" w:color="auto"/>
              <w:right w:val="single" w:sz="4" w:space="0" w:color="auto"/>
            </w:tcBorders>
          </w:tcPr>
          <w:p w14:paraId="45261B32" w14:textId="77777777" w:rsidR="002A21AE" w:rsidRDefault="002A21AE">
            <w:pPr>
              <w:pStyle w:val="TableTextNumbers"/>
            </w:pPr>
            <w:r>
              <w:t xml:space="preserve">Select </w:t>
            </w:r>
            <w:r>
              <w:rPr>
                <w:b/>
              </w:rPr>
              <w:t>Patients</w:t>
            </w:r>
            <w:r>
              <w:t xml:space="preserve"> from the main menu.</w:t>
            </w:r>
          </w:p>
          <w:p w14:paraId="61EE19F7" w14:textId="77777777" w:rsidR="002A21AE" w:rsidRDefault="002A21AE">
            <w:pPr>
              <w:pStyle w:val="TableTextNumbersContinued"/>
            </w:pPr>
          </w:p>
          <w:p w14:paraId="0666F98B" w14:textId="77777777" w:rsidR="002A21AE" w:rsidRDefault="002A21AE">
            <w:pPr>
              <w:pStyle w:val="TableTextNumbersContinued"/>
            </w:pPr>
            <w:r>
              <w:t xml:space="preserve">Select </w:t>
            </w:r>
            <w:r>
              <w:rPr>
                <w:b/>
              </w:rPr>
              <w:t>Post-Transfusion Information</w:t>
            </w:r>
            <w:r>
              <w:t xml:space="preserve">. </w:t>
            </w:r>
          </w:p>
        </w:tc>
        <w:tc>
          <w:tcPr>
            <w:tcW w:w="6120" w:type="dxa"/>
            <w:tcBorders>
              <w:top w:val="single" w:sz="4" w:space="0" w:color="auto"/>
              <w:left w:val="single" w:sz="4" w:space="0" w:color="auto"/>
              <w:bottom w:val="single" w:sz="4" w:space="0" w:color="auto"/>
              <w:right w:val="single" w:sz="4" w:space="0" w:color="auto"/>
            </w:tcBorders>
          </w:tcPr>
          <w:p w14:paraId="377FF0AF" w14:textId="77777777" w:rsidR="002A21AE" w:rsidRDefault="002A21AE">
            <w:pPr>
              <w:pStyle w:val="TableTextBullet"/>
            </w:pPr>
            <w:r>
              <w:t>Displays options for processing patient-related functions.</w:t>
            </w:r>
          </w:p>
          <w:p w14:paraId="42414357" w14:textId="77777777" w:rsidR="002A21AE" w:rsidRDefault="002A21AE">
            <w:pPr>
              <w:pStyle w:val="TableTextBullet"/>
            </w:pPr>
            <w:r>
              <w:t>Displays an option to scan the Caution Tag or enter a patient name or ID.</w:t>
            </w:r>
          </w:p>
        </w:tc>
      </w:tr>
      <w:tr w:rsidR="002A21AE" w14:paraId="0BE6B769" w14:textId="77777777">
        <w:tc>
          <w:tcPr>
            <w:tcW w:w="3240" w:type="dxa"/>
          </w:tcPr>
          <w:p w14:paraId="79A75335" w14:textId="77777777" w:rsidR="002A21AE" w:rsidRDefault="002A21AE">
            <w:pPr>
              <w:pStyle w:val="TableTextNumbers"/>
            </w:pPr>
            <w:r>
              <w:t xml:space="preserve">Select a patient and click </w:t>
            </w:r>
            <w:r>
              <w:rPr>
                <w:b/>
              </w:rPr>
              <w:t>OK</w:t>
            </w:r>
            <w:r>
              <w:t>.</w:t>
            </w:r>
          </w:p>
        </w:tc>
        <w:tc>
          <w:tcPr>
            <w:tcW w:w="6120" w:type="dxa"/>
          </w:tcPr>
          <w:p w14:paraId="23300C78" w14:textId="77777777" w:rsidR="002A21AE" w:rsidRDefault="002A21AE">
            <w:pPr>
              <w:pStyle w:val="TableTextBullet"/>
            </w:pPr>
            <w:r>
              <w:rPr>
                <w:rFonts w:cs="Arial"/>
                <w:vanish/>
              </w:rPr>
              <w:t xml:space="preserve">BR_69.02 </w:t>
            </w:r>
            <w:r>
              <w:t xml:space="preserve">Lists the units issued to the selected patient. </w:t>
            </w:r>
          </w:p>
          <w:p w14:paraId="055B26F2" w14:textId="77777777" w:rsidR="002A21AE" w:rsidRDefault="002A21AE">
            <w:pPr>
              <w:pStyle w:val="TableTextBullet"/>
            </w:pPr>
            <w:r>
              <w:t>Displays the issue date and time.</w:t>
            </w:r>
          </w:p>
          <w:p w14:paraId="14F1D31B" w14:textId="77777777" w:rsidR="002A21AE" w:rsidRDefault="002A21AE">
            <w:pPr>
              <w:pStyle w:val="TableTextBullet"/>
            </w:pPr>
            <w:r>
              <w:t>Displays the units one at a time for update in the order in which the user selected them.</w:t>
            </w:r>
          </w:p>
          <w:p w14:paraId="1C3C6756" w14:textId="77777777" w:rsidR="002A21AE" w:rsidRDefault="002A21AE">
            <w:pPr>
              <w:pStyle w:val="TableText"/>
            </w:pPr>
          </w:p>
          <w:p w14:paraId="54550E61" w14:textId="010AB111" w:rsidR="002A21AE" w:rsidRDefault="002A21AE">
            <w:pPr>
              <w:pStyle w:val="TableText"/>
              <w:rPr>
                <w:b/>
                <w:bCs/>
                <w:szCs w:val="18"/>
              </w:rPr>
            </w:pPr>
            <w:r>
              <w:rPr>
                <w:b/>
                <w:bCs/>
                <w:szCs w:val="18"/>
              </w:rPr>
              <w:t>NOTES</w:t>
            </w:r>
          </w:p>
          <w:p w14:paraId="5E158BA8" w14:textId="77777777" w:rsidR="002A21AE" w:rsidRDefault="002A21AE">
            <w:pPr>
              <w:pStyle w:val="NotesText"/>
            </w:pPr>
          </w:p>
          <w:p w14:paraId="7B9BA5DD" w14:textId="77777777" w:rsidR="00C341A6" w:rsidRDefault="00C341A6" w:rsidP="00C341A6">
            <w:pPr>
              <w:pStyle w:val="NotesText"/>
            </w:pPr>
            <w:r>
              <w:rPr>
                <w:rFonts w:cs="Arial"/>
                <w:vanish/>
              </w:rPr>
              <w:t xml:space="preserve">BR_69.03 </w:t>
            </w:r>
            <w:r w:rsidRPr="007D4E77">
              <w:rPr>
                <w:rFonts w:ascii="Wingdings 3" w:hAnsi="Wingdings 3"/>
              </w:rPr>
              <w:t></w:t>
            </w:r>
            <w:r w:rsidRPr="007D4E77">
              <w:rPr>
                <w:rFonts w:ascii="Wingdings 3" w:hAnsi="Wingdings 3"/>
              </w:rPr>
              <w:t></w:t>
            </w:r>
            <w:r w:rsidRPr="007D4E77">
              <w:rPr>
                <w:rFonts w:ascii="Wingdings 3" w:hAnsi="Wingdings 3"/>
              </w:rPr>
              <w:t></w:t>
            </w:r>
            <w:r w:rsidRPr="007D4E77">
              <w:rPr>
                <w:rFonts w:ascii="Wingdings 3" w:hAnsi="Wingdings 3"/>
              </w:rPr>
              <w:t></w:t>
            </w:r>
            <w:r>
              <w:t xml:space="preserve"> VBECS displays an option to obtain a list of transfused (those not received by BCE COTS) units for the patient when the user is a Traditional Supervisor or above.</w:t>
            </w:r>
          </w:p>
          <w:p w14:paraId="1D36F677" w14:textId="77777777" w:rsidR="002A21AE" w:rsidRDefault="002A21AE">
            <w:pPr>
              <w:pStyle w:val="NotesText"/>
            </w:pPr>
          </w:p>
          <w:p w14:paraId="6099EB5A" w14:textId="77777777" w:rsidR="00C341A6" w:rsidRDefault="00C341A6">
            <w:pPr>
              <w:pStyle w:val="NotesText"/>
            </w:pPr>
            <w:r w:rsidRPr="00E34E31">
              <w:rPr>
                <w:vanish/>
              </w:rPr>
              <w:t xml:space="preserve">BR_69.01 </w:t>
            </w:r>
            <w:r w:rsidRPr="00E34E31">
              <w:t>When post-transfusion information is not entered into VBECS within 48 hours from the date/time the unit was recorded as “issued”, VBECS will change the unit status to “transfused” with a presumed indicator after the execution of a scheduled background job. The unit will then be considered transfused by the system regarding report generation. If post-transfusion information is entered later, the presumed indicator is deactivated.</w:t>
            </w:r>
          </w:p>
        </w:tc>
      </w:tr>
      <w:tr w:rsidR="00D51EEA" w14:paraId="6EA84874" w14:textId="77777777">
        <w:tc>
          <w:tcPr>
            <w:tcW w:w="3240" w:type="dxa"/>
          </w:tcPr>
          <w:p w14:paraId="2D16F736" w14:textId="54FE94E4" w:rsidR="00D51EEA" w:rsidRDefault="00D51EEA">
            <w:pPr>
              <w:pStyle w:val="TableTextNumbers"/>
            </w:pPr>
            <w:r>
              <w:t>Click one or more check boxes to select units</w:t>
            </w:r>
            <w:r w:rsidR="00DA5ED4">
              <w:t xml:space="preserve"> (</w:t>
            </w:r>
            <w:r w:rsidR="00AF4568">
              <w:fldChar w:fldCharType="begin"/>
            </w:r>
            <w:r w:rsidR="00AF4568">
              <w:instrText xml:space="preserve"> REF _Ref127607637 \h </w:instrText>
            </w:r>
            <w:r w:rsidR="00AF4568">
              <w:fldChar w:fldCharType="separate"/>
            </w:r>
            <w:r w:rsidR="004353ED">
              <w:t xml:space="preserve">Figure </w:t>
            </w:r>
            <w:r w:rsidR="004353ED">
              <w:rPr>
                <w:noProof/>
              </w:rPr>
              <w:t>140</w:t>
            </w:r>
            <w:r w:rsidR="00AF4568">
              <w:fldChar w:fldCharType="end"/>
            </w:r>
            <w:r w:rsidR="00DA5ED4">
              <w:t>)</w:t>
            </w:r>
            <w:r>
              <w:t>.</w:t>
            </w:r>
          </w:p>
          <w:p w14:paraId="651691B4" w14:textId="77777777" w:rsidR="00AB0C95" w:rsidRDefault="00AB0C95" w:rsidP="00AB0C95">
            <w:pPr>
              <w:pStyle w:val="TableTextNumbersContinued"/>
            </w:pPr>
          </w:p>
          <w:p w14:paraId="2DE0A459" w14:textId="77777777" w:rsidR="00AB0C95" w:rsidRDefault="00AB0C95" w:rsidP="00AB0C95">
            <w:pPr>
              <w:pStyle w:val="TableTextNumbersContinued"/>
            </w:pPr>
            <w:r>
              <w:t xml:space="preserve">Click </w:t>
            </w:r>
            <w:r w:rsidRPr="00AB0C95">
              <w:rPr>
                <w:b/>
              </w:rPr>
              <w:t>OK</w:t>
            </w:r>
            <w:r>
              <w:t>.</w:t>
            </w:r>
          </w:p>
        </w:tc>
        <w:tc>
          <w:tcPr>
            <w:tcW w:w="6120" w:type="dxa"/>
          </w:tcPr>
          <w:p w14:paraId="1E0DAAC6" w14:textId="77777777" w:rsidR="00D51EEA" w:rsidRDefault="00D51EEA" w:rsidP="00D51EEA">
            <w:pPr>
              <w:pStyle w:val="TableTextBullet"/>
            </w:pPr>
            <w:r>
              <w:t>Allows the user to select units for which to enter post-transfusion information.</w:t>
            </w:r>
          </w:p>
          <w:p w14:paraId="0D5D2980" w14:textId="77777777" w:rsidR="00D51EEA" w:rsidRDefault="00D51EEA" w:rsidP="00D51EEA">
            <w:pPr>
              <w:pStyle w:val="TableText"/>
            </w:pPr>
          </w:p>
          <w:p w14:paraId="4A0DD67C" w14:textId="12378B9B" w:rsidR="00D51EEA" w:rsidRDefault="00D51EEA" w:rsidP="00D51EEA">
            <w:pPr>
              <w:pStyle w:val="TableText"/>
              <w:rPr>
                <w:b/>
                <w:bCs/>
                <w:szCs w:val="18"/>
              </w:rPr>
            </w:pPr>
            <w:r>
              <w:rPr>
                <w:b/>
                <w:bCs/>
                <w:szCs w:val="18"/>
              </w:rPr>
              <w:t>NOTES</w:t>
            </w:r>
          </w:p>
          <w:p w14:paraId="0FEA3BBA" w14:textId="77777777" w:rsidR="00D51EEA" w:rsidRDefault="00D51EEA" w:rsidP="00D51EEA">
            <w:pPr>
              <w:pStyle w:val="NotesText"/>
            </w:pPr>
          </w:p>
          <w:p w14:paraId="2801F888" w14:textId="77777777" w:rsidR="00D51EEA" w:rsidRDefault="00D51EEA" w:rsidP="00D51EEA">
            <w:pPr>
              <w:pStyle w:val="NotesText"/>
            </w:pPr>
            <w:r w:rsidRPr="00896F17">
              <w:rPr>
                <w:rStyle w:val="BullhornChar"/>
              </w:rPr>
              <w:t></w:t>
            </w:r>
            <w:r>
              <w:rPr>
                <w:color w:val="000000"/>
                <w:szCs w:val="18"/>
              </w:rPr>
              <w:t xml:space="preserve"> </w:t>
            </w:r>
            <w:r>
              <w:rPr>
                <w:rFonts w:cs="Arial"/>
                <w:vanish/>
              </w:rPr>
              <w:t xml:space="preserve">BR_70.06 </w:t>
            </w:r>
            <w:r>
              <w:t xml:space="preserve">VBECS does not list units (for selection) with a final status. When a user enters a unit with a final status, VBECS </w:t>
            </w:r>
            <w:r w:rsidR="007826D2">
              <w:t>alerts</w:t>
            </w:r>
            <w:r>
              <w:t xml:space="preserve"> the user and clears the screen. The user may select another unit.</w:t>
            </w:r>
          </w:p>
        </w:tc>
      </w:tr>
      <w:tr w:rsidR="002A21AE" w14:paraId="08E1C609" w14:textId="77777777">
        <w:tc>
          <w:tcPr>
            <w:tcW w:w="3240" w:type="dxa"/>
          </w:tcPr>
          <w:p w14:paraId="48F07C2E" w14:textId="77777777" w:rsidR="002A21AE" w:rsidRDefault="002A21AE">
            <w:pPr>
              <w:pStyle w:val="TableTextNumbers"/>
            </w:pPr>
            <w:r>
              <w:t xml:space="preserve">Enter transfusion details for a blood unit. </w:t>
            </w:r>
          </w:p>
          <w:p w14:paraId="4CD8DC3C" w14:textId="77777777" w:rsidR="002A21AE" w:rsidRDefault="002A21AE">
            <w:pPr>
              <w:pStyle w:val="TableTextNumbersContinued"/>
            </w:pPr>
          </w:p>
          <w:p w14:paraId="3685B660" w14:textId="77777777" w:rsidR="002A21AE" w:rsidRDefault="002A21AE">
            <w:pPr>
              <w:pStyle w:val="TableTextNumbersContinued"/>
            </w:pPr>
            <w:r>
              <w:t>Verify the unit selection.</w:t>
            </w:r>
          </w:p>
        </w:tc>
        <w:tc>
          <w:tcPr>
            <w:tcW w:w="6120" w:type="dxa"/>
          </w:tcPr>
          <w:p w14:paraId="42B24CC7" w14:textId="77777777" w:rsidR="00557C79" w:rsidRDefault="00557C79" w:rsidP="00557C79">
            <w:pPr>
              <w:pStyle w:val="TableTextBullet"/>
            </w:pPr>
            <w:r>
              <w:t xml:space="preserve">Displays the unit information entered by the bedside verification check and allows the user to enter to edit the information. </w:t>
            </w:r>
          </w:p>
          <w:p w14:paraId="4D384835" w14:textId="77777777" w:rsidR="00132628" w:rsidRDefault="00132628" w:rsidP="00557C79">
            <w:pPr>
              <w:pStyle w:val="TableTextBullet"/>
            </w:pPr>
            <w:r>
              <w:t>Displays an option to enter or edit unit data.</w:t>
            </w:r>
          </w:p>
          <w:p w14:paraId="0336F1E6" w14:textId="77777777" w:rsidR="00557C79" w:rsidRDefault="00557C79" w:rsidP="00557C79">
            <w:pPr>
              <w:pStyle w:val="TableText"/>
            </w:pPr>
          </w:p>
          <w:p w14:paraId="6DEAB375" w14:textId="77F37626" w:rsidR="00557C79" w:rsidRDefault="00557C79" w:rsidP="00557C79">
            <w:pPr>
              <w:pStyle w:val="TableText"/>
              <w:rPr>
                <w:b/>
                <w:bCs/>
                <w:szCs w:val="18"/>
              </w:rPr>
            </w:pPr>
            <w:r>
              <w:rPr>
                <w:b/>
                <w:bCs/>
                <w:szCs w:val="18"/>
              </w:rPr>
              <w:t>NOTES</w:t>
            </w:r>
          </w:p>
          <w:p w14:paraId="5FF38478" w14:textId="77777777" w:rsidR="00557C79" w:rsidRDefault="00557C79" w:rsidP="00557C79">
            <w:pPr>
              <w:pStyle w:val="NotesText"/>
            </w:pPr>
          </w:p>
          <w:p w14:paraId="1C2DCED5" w14:textId="77777777" w:rsidR="002A21AE" w:rsidRDefault="00557C79" w:rsidP="00557C79">
            <w:pPr>
              <w:pStyle w:val="NotesText"/>
            </w:pPr>
            <w:r>
              <w:rPr>
                <w:rFonts w:cs="Arial"/>
                <w:vanish/>
              </w:rPr>
              <w:t xml:space="preserve">BR_69.05 </w:t>
            </w:r>
            <w:r w:rsidR="006D571D" w:rsidRPr="007D4E77">
              <w:rPr>
                <w:rFonts w:ascii="Wingdings 3" w:hAnsi="Wingdings 3"/>
              </w:rPr>
              <w:t></w:t>
            </w:r>
            <w:r w:rsidR="006D571D" w:rsidRPr="007D4E77">
              <w:rPr>
                <w:rFonts w:ascii="Wingdings 3" w:hAnsi="Wingdings 3"/>
              </w:rPr>
              <w:t></w:t>
            </w:r>
            <w:r w:rsidR="006D571D" w:rsidRPr="007D4E77">
              <w:rPr>
                <w:rFonts w:ascii="Wingdings 3" w:hAnsi="Wingdings 3"/>
              </w:rPr>
              <w:t></w:t>
            </w:r>
            <w:r w:rsidR="006D571D" w:rsidRPr="007D4E77">
              <w:rPr>
                <w:rFonts w:ascii="Wingdings 3" w:hAnsi="Wingdings 3"/>
              </w:rPr>
              <w:t></w:t>
            </w:r>
            <w:r w:rsidR="006D571D">
              <w:t xml:space="preserve"> </w:t>
            </w:r>
            <w:r>
              <w:t xml:space="preserve">A user with a security setting of Traditional Supervisor may edit </w:t>
            </w:r>
            <w:r w:rsidR="00DA747E">
              <w:t>user</w:t>
            </w:r>
            <w:r>
              <w:t xml:space="preserve"> entered bedside verification, transfusion reaction, or post-transfusion detail information.</w:t>
            </w:r>
          </w:p>
          <w:p w14:paraId="24646FB0" w14:textId="77777777" w:rsidR="00132628" w:rsidRDefault="00132628" w:rsidP="00132628">
            <w:pPr>
              <w:pStyle w:val="NotesText"/>
            </w:pPr>
          </w:p>
          <w:p w14:paraId="3C1D7028" w14:textId="77777777" w:rsidR="003427EE" w:rsidRDefault="00132628" w:rsidP="003427EE">
            <w:pPr>
              <w:pStyle w:val="NotesText"/>
            </w:pPr>
            <w:r>
              <w:rPr>
                <w:rFonts w:cs="Arial"/>
                <w:vanish/>
              </w:rPr>
              <w:t xml:space="preserve">BR_69.08 </w:t>
            </w:r>
            <w:r>
              <w:t>VBECS displays an option to enter information for each unit.</w:t>
            </w:r>
            <w:r w:rsidR="00FE3062">
              <w:t xml:space="preserve"> This information is available for patient record retrieval.</w:t>
            </w:r>
          </w:p>
          <w:p w14:paraId="5064715E" w14:textId="77777777" w:rsidR="00927825" w:rsidRDefault="00927825" w:rsidP="003427EE">
            <w:pPr>
              <w:pStyle w:val="NotesText"/>
            </w:pPr>
          </w:p>
          <w:p w14:paraId="385DFDE3" w14:textId="77777777" w:rsidR="00927825" w:rsidRPr="003427EE" w:rsidRDefault="00E15CC5" w:rsidP="00E15CC5">
            <w:pPr>
              <w:pStyle w:val="NotesText"/>
            </w:pPr>
            <w:r w:rsidRPr="00E15CC5">
              <w:rPr>
                <w:vanish/>
              </w:rPr>
              <w:lastRenderedPageBreak/>
              <w:t xml:space="preserve">BR_69.08 </w:t>
            </w:r>
            <w:r w:rsidRPr="00E15CC5">
              <w:t>To prevent rejection of transfusion information exchanged between VBECS and the Transfusion Verification system, a variance of +/- five (5) minutes is permitted for time of issue and transfusion start and end times. The variance allows the two systems to communicate even when their internal time is not precisely synced to the minute.</w:t>
            </w:r>
            <w:r w:rsidR="004B714E" w:rsidRPr="004B714E">
              <w:rPr>
                <w:vanish/>
              </w:rPr>
              <w:t xml:space="preserve"> (Defect 371676)</w:t>
            </w:r>
          </w:p>
        </w:tc>
      </w:tr>
      <w:tr w:rsidR="002A21AE" w14:paraId="2225A9EC" w14:textId="77777777">
        <w:tc>
          <w:tcPr>
            <w:tcW w:w="3240" w:type="dxa"/>
          </w:tcPr>
          <w:p w14:paraId="5876EF35" w14:textId="77777777" w:rsidR="002A21AE" w:rsidRDefault="002A21AE">
            <w:pPr>
              <w:pStyle w:val="TableTextNumbers"/>
            </w:pPr>
            <w:r>
              <w:lastRenderedPageBreak/>
              <w:t>Select one or more units. Enter or edit the bedside verification check information with the proper security level.</w:t>
            </w:r>
          </w:p>
        </w:tc>
        <w:tc>
          <w:tcPr>
            <w:tcW w:w="6120" w:type="dxa"/>
          </w:tcPr>
          <w:p w14:paraId="65C396F9" w14:textId="77777777" w:rsidR="002A21AE" w:rsidRDefault="002A21AE">
            <w:pPr>
              <w:pStyle w:val="TableTextBullet"/>
            </w:pPr>
            <w:r>
              <w:t>Displays the entries for review, including the comment, until all details are entered.</w:t>
            </w:r>
          </w:p>
          <w:p w14:paraId="1B83BCAE" w14:textId="77777777" w:rsidR="002A21AE" w:rsidRDefault="002A21AE">
            <w:pPr>
              <w:pStyle w:val="TableTextBullet"/>
            </w:pPr>
            <w:r>
              <w:t>Displays an option to save the data and exit.</w:t>
            </w:r>
          </w:p>
          <w:p w14:paraId="27EA1A1B" w14:textId="77777777" w:rsidR="002A21AE" w:rsidRDefault="002A21AE">
            <w:pPr>
              <w:pStyle w:val="TableText"/>
            </w:pPr>
          </w:p>
          <w:p w14:paraId="5AF84ECE" w14:textId="52088807" w:rsidR="002A21AE" w:rsidRDefault="002A21AE">
            <w:pPr>
              <w:pStyle w:val="TableText"/>
              <w:rPr>
                <w:b/>
                <w:bCs/>
                <w:szCs w:val="18"/>
              </w:rPr>
            </w:pPr>
            <w:r>
              <w:rPr>
                <w:b/>
                <w:bCs/>
                <w:szCs w:val="18"/>
              </w:rPr>
              <w:t>NOTES</w:t>
            </w:r>
          </w:p>
          <w:p w14:paraId="02F41C3E" w14:textId="77777777" w:rsidR="002A21AE" w:rsidRDefault="002A21AE">
            <w:pPr>
              <w:pStyle w:val="NotesText"/>
            </w:pPr>
          </w:p>
          <w:p w14:paraId="69EC1D1C" w14:textId="77777777" w:rsidR="002A21AE" w:rsidRPr="00D6556D" w:rsidRDefault="002A21AE" w:rsidP="00D6556D">
            <w:pPr>
              <w:pStyle w:val="NotesText"/>
            </w:pPr>
            <w:r>
              <w:rPr>
                <w:rFonts w:cs="Arial"/>
                <w:vanish/>
              </w:rPr>
              <w:t xml:space="preserve">BR_69.12 </w:t>
            </w:r>
            <w:r>
              <w:t>Upon data entry and saving of the post-transfusion information, VBECS assigns a status of “transfused” for the unit of blood assigned to the indicated patient.</w:t>
            </w:r>
          </w:p>
        </w:tc>
      </w:tr>
      <w:tr w:rsidR="002A21AE" w14:paraId="7338AC95" w14:textId="77777777">
        <w:tc>
          <w:tcPr>
            <w:tcW w:w="3240" w:type="dxa"/>
          </w:tcPr>
          <w:p w14:paraId="19F478AF" w14:textId="77777777" w:rsidR="002A21AE" w:rsidRDefault="0014520D">
            <w:pPr>
              <w:pStyle w:val="TableTextNumbers"/>
            </w:pPr>
            <w:r>
              <w:t>Enter post-transfusion details, including:</w:t>
            </w:r>
          </w:p>
          <w:p w14:paraId="52C6A305" w14:textId="77777777" w:rsidR="0014520D" w:rsidRDefault="0014520D" w:rsidP="0014520D">
            <w:pPr>
              <w:pStyle w:val="TableTextNumbersBullet"/>
            </w:pPr>
            <w:r>
              <w:t>Transfusion start and end dates and times</w:t>
            </w:r>
          </w:p>
          <w:p w14:paraId="2968E1AA" w14:textId="77777777" w:rsidR="0014520D" w:rsidRDefault="0014520D" w:rsidP="0014520D">
            <w:pPr>
              <w:pStyle w:val="TableTextNumbersBullet"/>
            </w:pPr>
            <w:r>
              <w:t>Transfusionist ID</w:t>
            </w:r>
          </w:p>
          <w:p w14:paraId="37A61159" w14:textId="77777777" w:rsidR="0014520D" w:rsidRDefault="0014520D" w:rsidP="0014520D">
            <w:pPr>
              <w:pStyle w:val="TableTextNumbersBullet"/>
            </w:pPr>
            <w:r>
              <w:t>Location of transfusion</w:t>
            </w:r>
          </w:p>
          <w:p w14:paraId="78F44DF5" w14:textId="77777777" w:rsidR="0014520D" w:rsidRDefault="0014520D" w:rsidP="0014520D">
            <w:pPr>
              <w:pStyle w:val="TableTextNumbersBullet"/>
            </w:pPr>
            <w:r>
              <w:t>Whether the transfusion was completed or interrupted</w:t>
            </w:r>
          </w:p>
          <w:p w14:paraId="4F5FACE9" w14:textId="77777777" w:rsidR="0014520D" w:rsidRDefault="0014520D" w:rsidP="0014520D">
            <w:pPr>
              <w:pStyle w:val="TableTextNumbersBullet"/>
            </w:pPr>
            <w:r>
              <w:t>If interrupted, the amount transfused</w:t>
            </w:r>
          </w:p>
          <w:p w14:paraId="247938B1" w14:textId="77777777" w:rsidR="0014520D" w:rsidRDefault="0014520D" w:rsidP="0014520D">
            <w:pPr>
              <w:pStyle w:val="TableTextNumbersBullet"/>
            </w:pPr>
            <w:r>
              <w:t>Whether there was a transfusion reaction</w:t>
            </w:r>
          </w:p>
          <w:p w14:paraId="5980B42B" w14:textId="3F5B95A2" w:rsidR="0014520D" w:rsidRDefault="0014520D" w:rsidP="0014520D">
            <w:pPr>
              <w:pStyle w:val="TableTextNumbersBullet"/>
            </w:pPr>
            <w:r>
              <w:t>If there was a reaction, symptoms</w:t>
            </w:r>
            <w:r w:rsidR="00DA5ED4">
              <w:t xml:space="preserve"> (</w:t>
            </w:r>
            <w:r w:rsidR="00AF4568">
              <w:fldChar w:fldCharType="begin"/>
            </w:r>
            <w:r w:rsidR="00AF4568">
              <w:instrText xml:space="preserve"> REF _Ref127607838 \h </w:instrText>
            </w:r>
            <w:r w:rsidR="00AF4568">
              <w:fldChar w:fldCharType="separate"/>
            </w:r>
            <w:r w:rsidR="004353ED">
              <w:t xml:space="preserve">Figure </w:t>
            </w:r>
            <w:r w:rsidR="004353ED">
              <w:rPr>
                <w:noProof/>
              </w:rPr>
              <w:t>141</w:t>
            </w:r>
            <w:r w:rsidR="00AF4568">
              <w:fldChar w:fldCharType="end"/>
            </w:r>
            <w:r w:rsidR="00DA5ED4">
              <w:t>)</w:t>
            </w:r>
          </w:p>
          <w:p w14:paraId="398CB59B" w14:textId="77777777" w:rsidR="008A3A5A" w:rsidRDefault="008A3A5A" w:rsidP="008A3A5A">
            <w:pPr>
              <w:pStyle w:val="TableTextNumbersContinued"/>
            </w:pPr>
          </w:p>
          <w:p w14:paraId="661FC8EF" w14:textId="77777777" w:rsidR="008A3A5A" w:rsidRDefault="008A3A5A" w:rsidP="008A3A5A">
            <w:pPr>
              <w:pStyle w:val="TableTextNumbersContinued"/>
            </w:pPr>
            <w:r>
              <w:t xml:space="preserve">Click </w:t>
            </w:r>
            <w:r w:rsidRPr="008A3A5A">
              <w:rPr>
                <w:b/>
              </w:rPr>
              <w:t>OK</w:t>
            </w:r>
            <w:r>
              <w:t xml:space="preserve"> to save.</w:t>
            </w:r>
          </w:p>
        </w:tc>
        <w:tc>
          <w:tcPr>
            <w:tcW w:w="6120" w:type="dxa"/>
          </w:tcPr>
          <w:p w14:paraId="6C6C598E" w14:textId="77777777" w:rsidR="002A21AE" w:rsidRDefault="002A21AE">
            <w:pPr>
              <w:pStyle w:val="TableTextBullet"/>
            </w:pPr>
            <w:r>
              <w:t>Displays an option to enter unit data.</w:t>
            </w:r>
          </w:p>
          <w:p w14:paraId="13B48989" w14:textId="77777777" w:rsidR="002A21AE" w:rsidRDefault="002A21AE">
            <w:pPr>
              <w:pStyle w:val="TableTextBullet"/>
            </w:pPr>
            <w:r>
              <w:t>Warns the user or allows the user to continue to the next selected unit.</w:t>
            </w:r>
          </w:p>
          <w:p w14:paraId="100D0472" w14:textId="77777777" w:rsidR="002A21AE" w:rsidRDefault="002A21AE">
            <w:pPr>
              <w:pStyle w:val="TableText"/>
            </w:pPr>
          </w:p>
          <w:p w14:paraId="5E703B51" w14:textId="2C574C49" w:rsidR="002A21AE" w:rsidRDefault="002A21AE">
            <w:pPr>
              <w:pStyle w:val="TableText"/>
              <w:rPr>
                <w:b/>
                <w:bCs/>
                <w:szCs w:val="18"/>
              </w:rPr>
            </w:pPr>
            <w:r>
              <w:rPr>
                <w:b/>
                <w:bCs/>
                <w:szCs w:val="18"/>
              </w:rPr>
              <w:t>NOTES</w:t>
            </w:r>
          </w:p>
          <w:p w14:paraId="12A06B38" w14:textId="77777777" w:rsidR="002A21AE" w:rsidRDefault="002A21AE">
            <w:pPr>
              <w:pStyle w:val="NotesText"/>
            </w:pPr>
          </w:p>
          <w:p w14:paraId="2F3E0030" w14:textId="77777777" w:rsidR="008A3A5A" w:rsidRPr="008A3A5A" w:rsidRDefault="008A3A5A">
            <w:pPr>
              <w:pStyle w:val="NotesText"/>
              <w:rPr>
                <w:rFonts w:cs="Arial"/>
                <w:szCs w:val="18"/>
              </w:rPr>
            </w:pPr>
            <w:r w:rsidRPr="008A3A5A">
              <w:rPr>
                <w:rFonts w:cs="Arial"/>
                <w:szCs w:val="18"/>
              </w:rPr>
              <w:t xml:space="preserve">When a user </w:t>
            </w:r>
            <w:r>
              <w:rPr>
                <w:rFonts w:cs="Arial"/>
                <w:szCs w:val="18"/>
              </w:rPr>
              <w:t xml:space="preserve">indicates that </w:t>
            </w:r>
            <w:r w:rsidRPr="008A3A5A">
              <w:rPr>
                <w:rFonts w:cs="Arial"/>
                <w:szCs w:val="18"/>
              </w:rPr>
              <w:t>a transfusion reaction</w:t>
            </w:r>
            <w:r>
              <w:rPr>
                <w:rFonts w:cs="Arial"/>
                <w:szCs w:val="18"/>
              </w:rPr>
              <w:t xml:space="preserve"> occurred</w:t>
            </w:r>
            <w:r w:rsidRPr="008A3A5A">
              <w:rPr>
                <w:rFonts w:cs="Arial"/>
                <w:szCs w:val="18"/>
              </w:rPr>
              <w:t xml:space="preserve">, VBECS does not automatically order a TRW. </w:t>
            </w:r>
          </w:p>
          <w:p w14:paraId="7899F7CB" w14:textId="77777777" w:rsidR="008A3A5A" w:rsidRDefault="008A3A5A">
            <w:pPr>
              <w:pStyle w:val="NotesText"/>
              <w:rPr>
                <w:rFonts w:cs="Arial"/>
              </w:rPr>
            </w:pPr>
          </w:p>
          <w:p w14:paraId="45C41617" w14:textId="77777777" w:rsidR="00965B34" w:rsidRDefault="00965B34">
            <w:pPr>
              <w:pStyle w:val="NotesText"/>
              <w:rPr>
                <w:rFonts w:cs="Arial"/>
                <w:vanish/>
              </w:rPr>
            </w:pPr>
          </w:p>
          <w:p w14:paraId="0E904733" w14:textId="77777777" w:rsidR="002A21AE" w:rsidRDefault="002A21AE">
            <w:pPr>
              <w:pStyle w:val="NotesText"/>
            </w:pPr>
            <w:r>
              <w:rPr>
                <w:rFonts w:cs="Arial"/>
                <w:vanish/>
              </w:rPr>
              <w:t xml:space="preserve">BR_69.06 </w:t>
            </w:r>
            <w:r w:rsidR="00D6556D">
              <w:t xml:space="preserve">VBECS notifies the </w:t>
            </w:r>
            <w:r w:rsidR="00922AD8">
              <w:t>user when</w:t>
            </w:r>
            <w:r>
              <w:t xml:space="preserve"> the transfusion end date and time is earlier than the start or issue time. The user may correct the entry.</w:t>
            </w:r>
          </w:p>
          <w:p w14:paraId="50083702" w14:textId="77777777" w:rsidR="002A21AE" w:rsidRDefault="002A21AE">
            <w:pPr>
              <w:pStyle w:val="NotesText"/>
            </w:pPr>
          </w:p>
          <w:p w14:paraId="66332C81" w14:textId="77777777" w:rsidR="002A21AE" w:rsidRDefault="002A21AE">
            <w:pPr>
              <w:pStyle w:val="NotesText"/>
            </w:pPr>
            <w:r>
              <w:rPr>
                <w:rFonts w:cs="Arial"/>
                <w:vanish/>
              </w:rPr>
              <w:t xml:space="preserve">BR_69.10 </w:t>
            </w:r>
            <w:r>
              <w:t>When the unit was not issued to a remote storage location, VBECS compares the date and time the unit was issued to the start transfusion time entered.</w:t>
            </w:r>
          </w:p>
          <w:p w14:paraId="543F3677" w14:textId="77777777" w:rsidR="002A21AE" w:rsidRDefault="002A21AE">
            <w:pPr>
              <w:pStyle w:val="NotesText"/>
            </w:pPr>
          </w:p>
          <w:p w14:paraId="181958C3" w14:textId="77777777" w:rsidR="002A21AE" w:rsidRDefault="002A21AE">
            <w:pPr>
              <w:pStyle w:val="NotesText"/>
            </w:pPr>
            <w:r>
              <w:t xml:space="preserve">When the difference is greater than 30 minutes, VBECS notifies the user that this is a delayed start time and allows the user to edit the transfusion start date and time. </w:t>
            </w:r>
            <w:r>
              <w:rPr>
                <w:b/>
              </w:rPr>
              <w:t>No</w:t>
            </w:r>
            <w:r>
              <w:t xml:space="preserve"> allows the user to continue. </w:t>
            </w:r>
            <w:r>
              <w:rPr>
                <w:b/>
              </w:rPr>
              <w:t>Yes</w:t>
            </w:r>
            <w:r>
              <w:t xml:space="preserve"> allows the user to edit the date and time the transfusion ended. When the user edits the date and time transfused, VBECS repeats this process until the user stops editing and chooses to continue.</w:t>
            </w:r>
          </w:p>
          <w:p w14:paraId="1F6EE90A" w14:textId="77777777" w:rsidR="002A21AE" w:rsidRDefault="002A21AE">
            <w:pPr>
              <w:pStyle w:val="NotesText"/>
            </w:pPr>
          </w:p>
          <w:p w14:paraId="7CEEE0F2" w14:textId="77777777" w:rsidR="002A21AE" w:rsidRDefault="002A21AE">
            <w:pPr>
              <w:pStyle w:val="NotesText"/>
            </w:pPr>
            <w:r>
              <w:rPr>
                <w:rFonts w:cs="Arial"/>
                <w:vanish/>
              </w:rPr>
              <w:t xml:space="preserve">BR_69.11 </w:t>
            </w:r>
            <w:r>
              <w:t xml:space="preserve">When the unit was not issued to a remote storage location, VBECS compares the date and time recorded as the transfusion end time to the start date, calculates the transfusion time in minutes, and compares this period to the maximum transfusion time for the component class. When the calculated transfusion time for this unit exceeds the defined maximum transfusion time for the component class, VBECS notifies the user that this is a prolonged transfusion and allows the user to edit the transfusion end date and time. </w:t>
            </w:r>
            <w:r>
              <w:rPr>
                <w:b/>
              </w:rPr>
              <w:t>No</w:t>
            </w:r>
            <w:r>
              <w:t xml:space="preserve"> allows the user to continue. </w:t>
            </w:r>
            <w:r>
              <w:rPr>
                <w:b/>
              </w:rPr>
              <w:t>Yes</w:t>
            </w:r>
            <w:r>
              <w:t xml:space="preserve"> allows the user to edit the date and time the transfusion ended. When the user edits the date and time transfused, VBECS repeats this process until the user stops editing and chooses to continue.</w:t>
            </w:r>
          </w:p>
        </w:tc>
      </w:tr>
      <w:tr w:rsidR="002A21AE" w14:paraId="33114C76" w14:textId="77777777">
        <w:tc>
          <w:tcPr>
            <w:tcW w:w="3240" w:type="dxa"/>
          </w:tcPr>
          <w:p w14:paraId="6041B5F4" w14:textId="77777777" w:rsidR="002A21AE" w:rsidRDefault="002A21AE">
            <w:pPr>
              <w:pStyle w:val="TableTextNumbers"/>
            </w:pPr>
            <w:r>
              <w:t>Respond to warnings or continue to enter data for the next unit.</w:t>
            </w:r>
          </w:p>
        </w:tc>
        <w:tc>
          <w:tcPr>
            <w:tcW w:w="6120" w:type="dxa"/>
          </w:tcPr>
          <w:p w14:paraId="53EE4C26" w14:textId="77777777" w:rsidR="002A21AE" w:rsidRDefault="002A21AE">
            <w:pPr>
              <w:pStyle w:val="TableTextBullet"/>
            </w:pPr>
            <w:r>
              <w:t>Allows the user to repeat for subsequent selected units until all details are entered.</w:t>
            </w:r>
          </w:p>
          <w:p w14:paraId="77EC26F7" w14:textId="77777777" w:rsidR="002A21AE" w:rsidRDefault="002A21AE">
            <w:pPr>
              <w:pStyle w:val="TableTextBullet"/>
            </w:pPr>
            <w:r>
              <w:t>Displays an option to save the data and exit.</w:t>
            </w:r>
          </w:p>
          <w:p w14:paraId="399FD7C7" w14:textId="77777777" w:rsidR="002A21AE" w:rsidRDefault="002A21AE">
            <w:pPr>
              <w:pStyle w:val="TableText"/>
            </w:pPr>
          </w:p>
          <w:p w14:paraId="4425C57C" w14:textId="2C165AE5" w:rsidR="002A21AE" w:rsidRDefault="002A21AE">
            <w:pPr>
              <w:pStyle w:val="TableText"/>
              <w:rPr>
                <w:b/>
                <w:bCs/>
                <w:szCs w:val="18"/>
              </w:rPr>
            </w:pPr>
            <w:r>
              <w:rPr>
                <w:b/>
                <w:bCs/>
                <w:szCs w:val="18"/>
              </w:rPr>
              <w:lastRenderedPageBreak/>
              <w:t>NOTES</w:t>
            </w:r>
          </w:p>
          <w:p w14:paraId="7815F7DE" w14:textId="77777777" w:rsidR="002A21AE" w:rsidRDefault="002A21AE">
            <w:pPr>
              <w:pStyle w:val="NotesText"/>
            </w:pPr>
          </w:p>
          <w:p w14:paraId="7DD2E6F9" w14:textId="77777777" w:rsidR="002A21AE" w:rsidRDefault="002A21AE">
            <w:pPr>
              <w:pStyle w:val="NotesText"/>
            </w:pPr>
            <w:r>
              <w:rPr>
                <w:rFonts w:cs="Arial"/>
                <w:vanish/>
              </w:rPr>
              <w:t xml:space="preserve">BR_69.13 </w:t>
            </w:r>
            <w:r>
              <w:t>VBECS saves all transfusion information for future retrieval and reporting as part of the patient and unit historic records.</w:t>
            </w:r>
          </w:p>
          <w:p w14:paraId="1EF3CAE1" w14:textId="77777777" w:rsidR="00D6556D" w:rsidRDefault="00D6556D">
            <w:pPr>
              <w:pStyle w:val="NotesText"/>
            </w:pPr>
          </w:p>
          <w:p w14:paraId="09BAED49" w14:textId="77777777" w:rsidR="00D6556D" w:rsidRDefault="005759DC" w:rsidP="005759DC">
            <w:pPr>
              <w:pStyle w:val="NotesText"/>
            </w:pPr>
            <w:r w:rsidRPr="00F91233">
              <w:rPr>
                <w:vanish/>
              </w:rPr>
              <w:t xml:space="preserve">BR_78.06 </w:t>
            </w:r>
            <w:r w:rsidR="00F91233">
              <w:t>VBECS notifies the user when DSS updates cannot be sent because Vis</w:t>
            </w:r>
            <w:r w:rsidR="00D6556D">
              <w:t>tALink is not active.</w:t>
            </w:r>
          </w:p>
          <w:p w14:paraId="632DD14D" w14:textId="77777777" w:rsidR="00D6556D" w:rsidRDefault="00D6556D" w:rsidP="005759DC">
            <w:pPr>
              <w:pStyle w:val="NotesText"/>
            </w:pPr>
          </w:p>
          <w:p w14:paraId="6FC35142" w14:textId="77777777" w:rsidR="005759DC" w:rsidRPr="005759DC" w:rsidRDefault="00D6556D" w:rsidP="00A2613A">
            <w:pPr>
              <w:pStyle w:val="NotesText"/>
            </w:pPr>
            <w:r w:rsidRPr="00CE602E">
              <w:rPr>
                <w:vanish/>
              </w:rPr>
              <w:t xml:space="preserve">BR_102.09 </w:t>
            </w:r>
            <w:r>
              <w:t>VBECS will attempt to resend the DSS information when VistA</w:t>
            </w:r>
            <w:r w:rsidR="00A2613A">
              <w:t>L</w:t>
            </w:r>
            <w:r>
              <w:t xml:space="preserve">ink is available after any user logs into the VBECS application’s </w:t>
            </w:r>
            <w:r w:rsidR="00A2613A">
              <w:t>VistALink</w:t>
            </w:r>
            <w:r>
              <w:t xml:space="preserve"> connection</w:t>
            </w:r>
          </w:p>
        </w:tc>
      </w:tr>
      <w:tr w:rsidR="002A21AE" w14:paraId="1E1204BA" w14:textId="77777777">
        <w:tc>
          <w:tcPr>
            <w:tcW w:w="3240" w:type="dxa"/>
          </w:tcPr>
          <w:p w14:paraId="39AF0B88" w14:textId="77777777" w:rsidR="002A21AE" w:rsidRDefault="002A21AE">
            <w:pPr>
              <w:pStyle w:val="TableTextNumbers"/>
            </w:pPr>
            <w:r>
              <w:lastRenderedPageBreak/>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625" w:author="Blalock, David (Leidos)" w:date="2020-06-15T14:09:00Z" w:original="0."/>
              </w:fldChar>
            </w:r>
          </w:p>
        </w:tc>
        <w:tc>
          <w:tcPr>
            <w:tcW w:w="6120" w:type="dxa"/>
          </w:tcPr>
          <w:p w14:paraId="0B5A30E2" w14:textId="77777777" w:rsidR="002A21AE" w:rsidRDefault="002A21AE">
            <w:pPr>
              <w:pStyle w:val="TableText"/>
            </w:pPr>
          </w:p>
        </w:tc>
      </w:tr>
    </w:tbl>
    <w:p w14:paraId="344C1702" w14:textId="45C4E285" w:rsidR="00AF4568" w:rsidRDefault="00AF4568" w:rsidP="00AF4568">
      <w:pPr>
        <w:pStyle w:val="Caption"/>
      </w:pPr>
      <w:bookmarkStart w:id="626" w:name="_Ref12760763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140</w:t>
      </w:r>
      <w:r w:rsidR="004E20BD">
        <w:rPr>
          <w:noProof/>
        </w:rPr>
        <w:fldChar w:fldCharType="end"/>
      </w:r>
      <w:bookmarkEnd w:id="626"/>
      <w:r>
        <w:t>: Post-Transfusion Information</w:t>
      </w:r>
    </w:p>
    <w:p w14:paraId="661B6D7C" w14:textId="77777777" w:rsidR="002A21AE" w:rsidRDefault="00057948" w:rsidP="00AF4568">
      <w:pPr>
        <w:pStyle w:val="BodyText"/>
      </w:pPr>
      <w:r>
        <w:rPr>
          <w:noProof/>
        </w:rPr>
        <w:drawing>
          <wp:inline distT="0" distB="0" distL="0" distR="0" wp14:anchorId="2A4FBFEA" wp14:editId="143AB39A">
            <wp:extent cx="5597525" cy="2946400"/>
            <wp:effectExtent l="0" t="0" r="3175" b="6350"/>
            <wp:docPr id="258" name="Picture 2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Picture 258">
                      <a:extLst>
                        <a:ext uri="{C183D7F6-B498-43B3-948B-1728B52AA6E4}">
                          <adec:decorative xmlns:adec="http://schemas.microsoft.com/office/drawing/2017/decorative" val="1"/>
                        </a:ext>
                      </a:extLst>
                    </pic:cNvPr>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5597525" cy="2946400"/>
                    </a:xfrm>
                    <a:prstGeom prst="rect">
                      <a:avLst/>
                    </a:prstGeom>
                    <a:noFill/>
                    <a:ln>
                      <a:noFill/>
                    </a:ln>
                  </pic:spPr>
                </pic:pic>
              </a:graphicData>
            </a:graphic>
          </wp:inline>
        </w:drawing>
      </w:r>
    </w:p>
    <w:p w14:paraId="45440C02" w14:textId="1F02FD05" w:rsidR="00AF4568" w:rsidRDefault="00AF4568" w:rsidP="00AF4568">
      <w:pPr>
        <w:pStyle w:val="Caption"/>
      </w:pPr>
      <w:bookmarkStart w:id="627" w:name="_Ref12760783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141</w:t>
      </w:r>
      <w:r w:rsidR="004E20BD">
        <w:rPr>
          <w:noProof/>
        </w:rPr>
        <w:fldChar w:fldCharType="end"/>
      </w:r>
      <w:bookmarkEnd w:id="627"/>
      <w:r>
        <w:t>: Post-Transfusion Information Details</w:t>
      </w:r>
    </w:p>
    <w:p w14:paraId="5E8D7A06" w14:textId="77777777" w:rsidR="00B8081D" w:rsidRDefault="00057948" w:rsidP="00B8081D">
      <w:pPr>
        <w:pStyle w:val="BodyText"/>
      </w:pPr>
      <w:r>
        <w:rPr>
          <w:noProof/>
        </w:rPr>
        <w:drawing>
          <wp:inline distT="0" distB="0" distL="0" distR="0" wp14:anchorId="2D178760" wp14:editId="2B08DD12">
            <wp:extent cx="4368800" cy="3380740"/>
            <wp:effectExtent l="0" t="0" r="0" b="0"/>
            <wp:docPr id="259" name="Picture 2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259">
                      <a:extLst>
                        <a:ext uri="{C183D7F6-B498-43B3-948B-1728B52AA6E4}">
                          <adec:decorative xmlns:adec="http://schemas.microsoft.com/office/drawing/2017/decorative" val="1"/>
                        </a:ext>
                      </a:extLst>
                    </pic:cNvPr>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4368800" cy="3380740"/>
                    </a:xfrm>
                    <a:prstGeom prst="rect">
                      <a:avLst/>
                    </a:prstGeom>
                    <a:noFill/>
                    <a:ln>
                      <a:noFill/>
                    </a:ln>
                  </pic:spPr>
                </pic:pic>
              </a:graphicData>
            </a:graphic>
          </wp:inline>
        </w:drawing>
      </w:r>
    </w:p>
    <w:p w14:paraId="748F1516" w14:textId="77777777" w:rsidR="00FE1ABC" w:rsidRDefault="00746454" w:rsidP="00FE1ABC">
      <w:pPr>
        <w:pStyle w:val="Heading4"/>
      </w:pPr>
      <w:r w:rsidRPr="008000E5">
        <w:rPr>
          <w:snapToGrid w:val="0"/>
        </w:rPr>
        <w:br w:type="page"/>
      </w:r>
      <w:r w:rsidR="00FE1ABC">
        <w:lastRenderedPageBreak/>
        <w:t>Automated Entry of Post-Transfusion Details from BCE COTS Application</w:t>
      </w:r>
      <w:r w:rsidR="00FE1ABC">
        <w:fldChar w:fldCharType="begin"/>
      </w:r>
      <w:r w:rsidR="00FE1ABC">
        <w:instrText xml:space="preserve"> XE “Automated Entry of Post-Transfusion Details from BCE COTS Application” </w:instrText>
      </w:r>
      <w:r w:rsidR="00FE1ABC">
        <w:fldChar w:fldCharType="end"/>
      </w:r>
    </w:p>
    <w:p w14:paraId="3028F630" w14:textId="77777777" w:rsidR="00FE1ABC" w:rsidRPr="002624D5" w:rsidRDefault="00FE1ABC" w:rsidP="00FE1ABC">
      <w:pPr>
        <w:pStyle w:val="BodyText"/>
      </w:pPr>
      <w:r w:rsidRPr="008D4EF9">
        <w:t xml:space="preserve">VBECS receives and saves the details of </w:t>
      </w:r>
      <w:r>
        <w:t xml:space="preserve">a </w:t>
      </w:r>
      <w:r w:rsidRPr="008D4EF9">
        <w:t>unit transfusion episode as recorded in the BCE COTS system</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E1ABC" w14:paraId="128AEFCD" w14:textId="77777777">
        <w:trPr>
          <w:tblHeader/>
        </w:trPr>
        <w:tc>
          <w:tcPr>
            <w:tcW w:w="3240" w:type="dxa"/>
            <w:tcBorders>
              <w:top w:val="single" w:sz="4" w:space="0" w:color="auto"/>
              <w:left w:val="single" w:sz="4" w:space="0" w:color="auto"/>
              <w:bottom w:val="single" w:sz="4" w:space="0" w:color="auto"/>
              <w:right w:val="single" w:sz="4" w:space="0" w:color="auto"/>
            </w:tcBorders>
            <w:shd w:val="pct30" w:color="auto" w:fill="auto"/>
            <w:vAlign w:val="bottom"/>
          </w:tcPr>
          <w:p w14:paraId="2E795965" w14:textId="77777777" w:rsidR="00FE1ABC" w:rsidRDefault="00FE1ABC" w:rsidP="0087088B">
            <w:pPr>
              <w:pStyle w:val="TableText"/>
              <w:rPr>
                <w:b/>
              </w:rPr>
            </w:pPr>
            <w:r>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auto"/>
            <w:vAlign w:val="bottom"/>
          </w:tcPr>
          <w:p w14:paraId="006735E3" w14:textId="77777777" w:rsidR="00FE1ABC" w:rsidRDefault="00FE1ABC" w:rsidP="0087088B">
            <w:pPr>
              <w:pStyle w:val="TableText"/>
              <w:rPr>
                <w:b/>
              </w:rPr>
            </w:pPr>
            <w:r>
              <w:rPr>
                <w:b/>
              </w:rPr>
              <w:t>VBECS</w:t>
            </w:r>
          </w:p>
        </w:tc>
      </w:tr>
      <w:tr w:rsidR="00FE1ABC" w14:paraId="30EA5E44" w14:textId="77777777">
        <w:tc>
          <w:tcPr>
            <w:tcW w:w="3240" w:type="dxa"/>
            <w:tcBorders>
              <w:top w:val="single" w:sz="4" w:space="0" w:color="auto"/>
              <w:left w:val="single" w:sz="4" w:space="0" w:color="auto"/>
              <w:bottom w:val="single" w:sz="4" w:space="0" w:color="auto"/>
              <w:right w:val="single" w:sz="4" w:space="0" w:color="auto"/>
            </w:tcBorders>
          </w:tcPr>
          <w:p w14:paraId="771E5700" w14:textId="77777777" w:rsidR="00FE1ABC" w:rsidRDefault="00FE1ABC" w:rsidP="0087088B">
            <w:pPr>
              <w:pStyle w:val="TableTextNumbers"/>
            </w:pPr>
            <w:r>
              <w:t>BCE COTS system user completes a transfusion for a patient which triggers a HL7 message containing transfusion information to VBECS</w:t>
            </w:r>
            <w:r w:rsidR="00C62A42">
              <w:t xml:space="preserve"> for a blood unit</w:t>
            </w:r>
            <w:r>
              <w:t>.</w:t>
            </w:r>
          </w:p>
        </w:tc>
        <w:tc>
          <w:tcPr>
            <w:tcW w:w="6120" w:type="dxa"/>
            <w:tcBorders>
              <w:top w:val="single" w:sz="4" w:space="0" w:color="auto"/>
              <w:left w:val="single" w:sz="4" w:space="0" w:color="auto"/>
              <w:bottom w:val="single" w:sz="4" w:space="0" w:color="auto"/>
              <w:right w:val="single" w:sz="4" w:space="0" w:color="auto"/>
            </w:tcBorders>
          </w:tcPr>
          <w:p w14:paraId="61FC86CD" w14:textId="77777777" w:rsidR="00FE1ABC" w:rsidRPr="00B607E6" w:rsidRDefault="00FE1ABC" w:rsidP="0087088B">
            <w:pPr>
              <w:pStyle w:val="TableTextBullet"/>
            </w:pPr>
            <w:r>
              <w:rPr>
                <w:rFonts w:cs="Arial"/>
                <w:vanish/>
                <w:szCs w:val="18"/>
              </w:rPr>
              <w:t>BR_69.23</w:t>
            </w:r>
            <w:r>
              <w:rPr>
                <w:rFonts w:cs="Arial"/>
                <w:szCs w:val="18"/>
              </w:rPr>
              <w:t xml:space="preserve"> </w:t>
            </w:r>
            <w:r w:rsidRPr="003878EB">
              <w:rPr>
                <w:rFonts w:cs="Arial"/>
                <w:szCs w:val="18"/>
              </w:rPr>
              <w:t>VBECS reject</w:t>
            </w:r>
            <w:r>
              <w:rPr>
                <w:rFonts w:cs="Arial"/>
                <w:szCs w:val="18"/>
              </w:rPr>
              <w:t>s</w:t>
            </w:r>
            <w:r w:rsidRPr="003878EB">
              <w:rPr>
                <w:rFonts w:cs="Arial"/>
                <w:szCs w:val="18"/>
              </w:rPr>
              <w:t xml:space="preserve"> a BCE COTS </w:t>
            </w:r>
            <w:r>
              <w:rPr>
                <w:rFonts w:cs="Arial"/>
                <w:szCs w:val="18"/>
              </w:rPr>
              <w:t>HL7</w:t>
            </w:r>
            <w:r w:rsidRPr="003878EB">
              <w:rPr>
                <w:rFonts w:cs="Arial"/>
                <w:szCs w:val="18"/>
              </w:rPr>
              <w:t xml:space="preserve"> message when data elements are not acceptable per the data entry rules for manual entry</w:t>
            </w:r>
            <w:r>
              <w:rPr>
                <w:rFonts w:cs="Arial"/>
                <w:szCs w:val="18"/>
              </w:rPr>
              <w:t>.</w:t>
            </w:r>
          </w:p>
          <w:p w14:paraId="2FCC56CB" w14:textId="77777777" w:rsidR="00FE1ABC" w:rsidRDefault="00FE1ABC" w:rsidP="0087088B">
            <w:pPr>
              <w:pStyle w:val="TableText"/>
            </w:pPr>
          </w:p>
          <w:p w14:paraId="4D2A67F0" w14:textId="70A9DCE1" w:rsidR="00FE1ABC" w:rsidRDefault="00FE1ABC" w:rsidP="0087088B">
            <w:pPr>
              <w:pStyle w:val="TableText"/>
              <w:rPr>
                <w:b/>
                <w:bCs/>
              </w:rPr>
            </w:pPr>
            <w:r>
              <w:rPr>
                <w:b/>
                <w:bCs/>
              </w:rPr>
              <w:t>NOTES</w:t>
            </w:r>
          </w:p>
          <w:p w14:paraId="6EE232E2" w14:textId="77777777" w:rsidR="00FE1ABC" w:rsidRDefault="00FE1ABC" w:rsidP="0087088B">
            <w:pPr>
              <w:pStyle w:val="NotesText"/>
            </w:pPr>
          </w:p>
          <w:p w14:paraId="76C6F9FD" w14:textId="77777777" w:rsidR="00FE1ABC" w:rsidRDefault="00FE1ABC" w:rsidP="0087088B">
            <w:pPr>
              <w:pStyle w:val="NotesText"/>
              <w:rPr>
                <w:rFonts w:cs="Arial"/>
              </w:rPr>
            </w:pPr>
            <w:r w:rsidRPr="00E51FC8">
              <w:rPr>
                <w:rFonts w:cs="Arial"/>
              </w:rPr>
              <w:t>Units that are not updated by a BCE COTS message will be marked presumed transfused 48 hours after issue by a VBECS background process.</w:t>
            </w:r>
          </w:p>
          <w:p w14:paraId="4A7162B5" w14:textId="77777777" w:rsidR="00A55D3A" w:rsidRDefault="00A55D3A" w:rsidP="0087088B">
            <w:pPr>
              <w:pStyle w:val="NotesText"/>
              <w:rPr>
                <w:rFonts w:cs="Arial"/>
              </w:rPr>
            </w:pPr>
          </w:p>
          <w:p w14:paraId="7AE4A712" w14:textId="77777777" w:rsidR="00A55D3A" w:rsidRPr="00E51FC8" w:rsidRDefault="00A55D3A" w:rsidP="0087088B">
            <w:pPr>
              <w:pStyle w:val="NotesText"/>
            </w:pPr>
            <w:r>
              <w:t>Transfusion information is available in the Unit History Report.</w:t>
            </w:r>
          </w:p>
        </w:tc>
      </w:tr>
      <w:tr w:rsidR="00FE1ABC" w14:paraId="79D0E9F6" w14:textId="77777777">
        <w:tc>
          <w:tcPr>
            <w:tcW w:w="3240" w:type="dxa"/>
            <w:tcBorders>
              <w:top w:val="single" w:sz="4" w:space="0" w:color="auto"/>
              <w:left w:val="single" w:sz="4" w:space="0" w:color="auto"/>
              <w:bottom w:val="single" w:sz="4" w:space="0" w:color="auto"/>
              <w:right w:val="single" w:sz="4" w:space="0" w:color="auto"/>
            </w:tcBorders>
          </w:tcPr>
          <w:p w14:paraId="2A2F32F1" w14:textId="77777777" w:rsidR="00FE1ABC" w:rsidRDefault="00FE1ABC" w:rsidP="0087088B">
            <w:pPr>
              <w:pStyle w:val="TableTextNumbers"/>
            </w:pPr>
            <w:r w:rsidRPr="003878EB">
              <w:rPr>
                <w:rFonts w:cs="Arial"/>
                <w:szCs w:val="18"/>
              </w:rPr>
              <w:t xml:space="preserve">VBECS </w:t>
            </w:r>
            <w:r>
              <w:rPr>
                <w:rFonts w:cs="Arial"/>
                <w:szCs w:val="18"/>
              </w:rPr>
              <w:t>updates</w:t>
            </w:r>
            <w:r w:rsidRPr="003878EB">
              <w:rPr>
                <w:rFonts w:cs="Arial"/>
                <w:szCs w:val="18"/>
              </w:rPr>
              <w:t xml:space="preserve"> the patient transfusion record with the details received in the successfully acknowledged HL7 message</w:t>
            </w:r>
            <w: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628"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6FC21207" w14:textId="77777777" w:rsidR="00FE1ABC" w:rsidRDefault="00FE1ABC" w:rsidP="0087088B">
            <w:pPr>
              <w:pStyle w:val="TableTextBullet"/>
            </w:pPr>
            <w:r>
              <w:rPr>
                <w:vanish/>
              </w:rPr>
              <w:t xml:space="preserve">BR_69.21 </w:t>
            </w:r>
            <w:r>
              <w:t xml:space="preserve">VBECS generates an exception report entry: </w:t>
            </w:r>
            <w:r w:rsidRPr="00B6437A">
              <w:t>Electronic Transfusion Record Update when a BCE COTS update to a previously saved manually or electronically entered transfusion record is received.</w:t>
            </w:r>
          </w:p>
          <w:p w14:paraId="033A8584" w14:textId="77777777" w:rsidR="00FE1ABC" w:rsidRDefault="00FE1ABC" w:rsidP="0087088B">
            <w:pPr>
              <w:pStyle w:val="TableTextBullet"/>
            </w:pPr>
            <w:r w:rsidRPr="00E51FC8">
              <w:rPr>
                <w:vanish/>
              </w:rPr>
              <w:t xml:space="preserve">BR_69.20 </w:t>
            </w:r>
            <w:r w:rsidRPr="00E51FC8">
              <w:t>When an update to a previously saved transfusion record is made by BCE COTS or a user, VBECS will display the original entry and the updated details in the Patient History and Unit History Reports.</w:t>
            </w:r>
          </w:p>
          <w:p w14:paraId="7720CCE0" w14:textId="77777777" w:rsidR="00FE1ABC" w:rsidRDefault="00FE1ABC" w:rsidP="0087088B">
            <w:pPr>
              <w:pStyle w:val="TableText"/>
            </w:pPr>
          </w:p>
          <w:p w14:paraId="4060A8DC" w14:textId="3F8B8DD6" w:rsidR="00FE1ABC" w:rsidRDefault="00FE1ABC" w:rsidP="0087088B">
            <w:pPr>
              <w:pStyle w:val="TableText"/>
              <w:rPr>
                <w:b/>
                <w:bCs/>
              </w:rPr>
            </w:pPr>
            <w:r>
              <w:rPr>
                <w:b/>
                <w:bCs/>
              </w:rPr>
              <w:t>NOTES</w:t>
            </w:r>
          </w:p>
          <w:p w14:paraId="573AD7A9" w14:textId="77777777" w:rsidR="00FE1ABC" w:rsidRDefault="00FE1ABC" w:rsidP="0087088B">
            <w:pPr>
              <w:pStyle w:val="NotesText"/>
            </w:pPr>
          </w:p>
          <w:p w14:paraId="07706323" w14:textId="77777777" w:rsidR="00FE1ABC" w:rsidRDefault="00FE1ABC" w:rsidP="0087088B">
            <w:pPr>
              <w:pStyle w:val="NotesText"/>
            </w:pPr>
            <w:r w:rsidRPr="00847BD8">
              <w:rPr>
                <w:vanish/>
              </w:rPr>
              <w:t xml:space="preserve">BR_69.18 </w:t>
            </w:r>
            <w:r w:rsidRPr="001D3A9F">
              <w:t>The</w:t>
            </w:r>
            <w:r w:rsidRPr="003878EB">
              <w:t xml:space="preserve"> BCE COTS system delivers </w:t>
            </w:r>
            <w:r>
              <w:t xml:space="preserve">these patient and unit specific </w:t>
            </w:r>
            <w:r w:rsidRPr="003878EB">
              <w:t>trans</w:t>
            </w:r>
            <w:r>
              <w:t>fusion data elements to VBECS for update</w:t>
            </w:r>
          </w:p>
          <w:p w14:paraId="7D97E90A" w14:textId="77777777" w:rsidR="00FE1ABC" w:rsidRPr="003878EB" w:rsidRDefault="00FE1ABC" w:rsidP="0087088B">
            <w:pPr>
              <w:pStyle w:val="NotesTextBullet"/>
            </w:pPr>
            <w:r w:rsidRPr="003878EB">
              <w:t>Bedside verification date and time</w:t>
            </w:r>
          </w:p>
          <w:p w14:paraId="47D40EBB" w14:textId="21507E47" w:rsidR="00FE1ABC" w:rsidRPr="003878EB" w:rsidRDefault="00FE1ABC" w:rsidP="0087088B">
            <w:pPr>
              <w:pStyle w:val="NotesTextBullet"/>
            </w:pPr>
            <w:r w:rsidRPr="003878EB">
              <w:t xml:space="preserve">Transfusion </w:t>
            </w:r>
            <w:r>
              <w:t>verification m</w:t>
            </w:r>
            <w:r w:rsidRPr="003878EB">
              <w:t>anual</w:t>
            </w:r>
            <w:r>
              <w:t xml:space="preserve"> Unit ID entry reason </w:t>
            </w:r>
          </w:p>
          <w:p w14:paraId="2D45FD91" w14:textId="77777777" w:rsidR="00FE1ABC" w:rsidRPr="003878EB" w:rsidRDefault="00FE1ABC" w:rsidP="0087088B">
            <w:pPr>
              <w:pStyle w:val="NotesTextBullet"/>
            </w:pPr>
            <w:r w:rsidRPr="003878EB">
              <w:t>Transfusion Start date and time</w:t>
            </w:r>
          </w:p>
          <w:p w14:paraId="711D7126" w14:textId="77777777" w:rsidR="00FE1ABC" w:rsidRPr="003878EB" w:rsidRDefault="00FE1ABC" w:rsidP="0087088B">
            <w:pPr>
              <w:pStyle w:val="NotesTextBullet"/>
            </w:pPr>
            <w:r w:rsidRPr="003878EB">
              <w:t>Transfusionist ID #1</w:t>
            </w:r>
          </w:p>
          <w:p w14:paraId="118AB7F8" w14:textId="77777777" w:rsidR="00FE1ABC" w:rsidRPr="003878EB" w:rsidRDefault="00FE1ABC" w:rsidP="0087088B">
            <w:pPr>
              <w:pStyle w:val="NotesTextBullet"/>
            </w:pPr>
            <w:r w:rsidRPr="003878EB">
              <w:t>Transfusionist ID #2 (may be blank if so configured in BCE COTS application)</w:t>
            </w:r>
          </w:p>
          <w:p w14:paraId="11C04DA2" w14:textId="77777777" w:rsidR="00FE1ABC" w:rsidRPr="003878EB" w:rsidRDefault="00FE1ABC" w:rsidP="0087088B">
            <w:pPr>
              <w:pStyle w:val="NotesTextBullet"/>
            </w:pPr>
            <w:r w:rsidRPr="003878EB">
              <w:t>Transfusion End Date and time</w:t>
            </w:r>
          </w:p>
          <w:p w14:paraId="196EFD98" w14:textId="77777777" w:rsidR="00FE1ABC" w:rsidRPr="003878EB" w:rsidRDefault="00FE1ABC" w:rsidP="0087088B">
            <w:pPr>
              <w:pStyle w:val="NotesTextBullet"/>
            </w:pPr>
            <w:r w:rsidRPr="003878EB">
              <w:t>Patient location at Transfusion</w:t>
            </w:r>
          </w:p>
          <w:p w14:paraId="52037D78" w14:textId="77777777" w:rsidR="00FE1ABC" w:rsidRPr="003878EB" w:rsidRDefault="00FE1ABC" w:rsidP="0087088B">
            <w:pPr>
              <w:pStyle w:val="NotesTextBullet"/>
            </w:pPr>
            <w:r w:rsidRPr="003878EB">
              <w:t>Transfusion interrupted indicator</w:t>
            </w:r>
          </w:p>
          <w:p w14:paraId="6AF148D8" w14:textId="77777777" w:rsidR="00FE1ABC" w:rsidRPr="003878EB" w:rsidRDefault="00FE1ABC" w:rsidP="0087088B">
            <w:pPr>
              <w:pStyle w:val="NotesTextBullet"/>
            </w:pPr>
            <w:r w:rsidRPr="003878EB">
              <w:t>Transfused volume, (ml not in fractions by the BCE COTS)</w:t>
            </w:r>
          </w:p>
          <w:p w14:paraId="45848805" w14:textId="77777777" w:rsidR="00FE1ABC" w:rsidRDefault="00FE1ABC" w:rsidP="0087088B">
            <w:pPr>
              <w:pStyle w:val="NotesTextBullet"/>
            </w:pPr>
            <w:r w:rsidRPr="003878EB">
              <w:t>Transfusion Reaction noted</w:t>
            </w:r>
          </w:p>
          <w:p w14:paraId="086303E8" w14:textId="77777777" w:rsidR="00FE1ABC" w:rsidRPr="003878EB" w:rsidRDefault="00FE1ABC" w:rsidP="0087088B">
            <w:pPr>
              <w:pStyle w:val="NotesTextBullet"/>
            </w:pPr>
            <w:r w:rsidRPr="003878EB">
              <w:t>Transfusion Reactions symptoms entered, if any</w:t>
            </w:r>
          </w:p>
          <w:p w14:paraId="599997D2" w14:textId="77777777" w:rsidR="00FE1ABC" w:rsidRDefault="00FE1ABC" w:rsidP="0087088B">
            <w:pPr>
              <w:pStyle w:val="NotesTextBullet"/>
            </w:pPr>
            <w:r w:rsidRPr="003878EB">
              <w:t>Transfusion comments, if any</w:t>
            </w:r>
          </w:p>
          <w:p w14:paraId="74624A7F" w14:textId="77777777" w:rsidR="00FE1ABC" w:rsidRDefault="00FE1ABC" w:rsidP="0087088B">
            <w:pPr>
              <w:pStyle w:val="NotesTextBullet"/>
              <w:numPr>
                <w:ilvl w:val="0"/>
                <w:numId w:val="0"/>
              </w:numPr>
              <w:ind w:left="1008"/>
            </w:pPr>
          </w:p>
        </w:tc>
      </w:tr>
    </w:tbl>
    <w:p w14:paraId="5EAC7E12" w14:textId="77777777" w:rsidR="002A21AE" w:rsidRPr="008000E5" w:rsidRDefault="00FE1ABC" w:rsidP="00542C41">
      <w:pPr>
        <w:pStyle w:val="Heading2"/>
      </w:pPr>
      <w:r>
        <w:rPr>
          <w:snapToGrid w:val="0"/>
        </w:rPr>
        <w:br w:type="page"/>
      </w:r>
      <w:bookmarkStart w:id="629" w:name="_Toc47516768"/>
      <w:r w:rsidR="002A21AE" w:rsidRPr="008000E5">
        <w:rPr>
          <w:snapToGrid w:val="0"/>
        </w:rPr>
        <w:lastRenderedPageBreak/>
        <w:t>Document ABO Incompatible Transfusions</w:t>
      </w:r>
      <w:bookmarkEnd w:id="629"/>
      <w:r w:rsidR="002A21AE" w:rsidRPr="00014BE4">
        <w:fldChar w:fldCharType="begin"/>
      </w:r>
      <w:r w:rsidR="002A21AE" w:rsidRPr="008000E5">
        <w:instrText xml:space="preserve"> XE </w:instrText>
      </w:r>
      <w:r w:rsidR="00FA7E65" w:rsidRPr="008000E5">
        <w:instrText>“</w:instrText>
      </w:r>
      <w:r w:rsidR="002A21AE" w:rsidRPr="008000E5">
        <w:instrText>Document ABO Incompatible Transfusions</w:instrText>
      </w:r>
      <w:r w:rsidR="00FA7E65" w:rsidRPr="008000E5">
        <w:instrText>”</w:instrText>
      </w:r>
      <w:r w:rsidR="002A21AE" w:rsidRPr="008000E5">
        <w:instrText xml:space="preserve"> </w:instrText>
      </w:r>
      <w:r w:rsidR="002A21AE" w:rsidRPr="00014BE4">
        <w:fldChar w:fldCharType="end"/>
      </w:r>
      <w:r w:rsidR="002A21AE" w:rsidRPr="00F854CF">
        <w:rPr>
          <w:rFonts w:ascii="Arial Bold" w:hAnsi="Arial Bold"/>
          <w:vanish/>
        </w:rPr>
        <w:t xml:space="preserve"> UC_69</w:t>
      </w:r>
    </w:p>
    <w:p w14:paraId="1A6D748C" w14:textId="16A2C8D5" w:rsidR="002A21AE" w:rsidRDefault="002A21AE" w:rsidP="00FA7E65">
      <w:pPr>
        <w:pStyle w:val="BodyText"/>
      </w:pPr>
      <w:bookmarkStart w:id="630" w:name="_Toc77405565"/>
      <w:r>
        <w:t>The user enters post-transfusion details from the Blood Transfusion Record Form (BTRF) to document ABO incompatible and other inadvertent transfusions.</w:t>
      </w:r>
      <w:r w:rsidR="00751497">
        <w:t xml:space="preserve"> (See FAQ Handling ABO Incompatible Transfusion Situations</w:t>
      </w:r>
      <w:r w:rsidR="008470B0">
        <w:t>)</w:t>
      </w:r>
    </w:p>
    <w:p w14:paraId="741CE9EF" w14:textId="77777777" w:rsidR="002A21AE" w:rsidRDefault="002A21AE">
      <w:pPr>
        <w:pStyle w:val="Heading4"/>
      </w:pPr>
      <w:r>
        <w:t>Assumptions</w:t>
      </w:r>
    </w:p>
    <w:p w14:paraId="1447762E" w14:textId="77777777" w:rsidR="002A21AE" w:rsidRDefault="007C7B04" w:rsidP="007C7B04">
      <w:pPr>
        <w:pStyle w:val="ListBullet"/>
      </w:pPr>
      <w:r w:rsidRPr="00554296">
        <w:rPr>
          <w:rFonts w:eastAsia="Arial Unicode MS"/>
        </w:rPr>
        <w:t xml:space="preserve">A </w:t>
      </w:r>
      <w:r w:rsidRPr="007C7B04">
        <w:t>unit</w:t>
      </w:r>
      <w:r w:rsidR="00B26579">
        <w:rPr>
          <w:rFonts w:eastAsia="Arial Unicode MS"/>
        </w:rPr>
        <w:t xml:space="preserve"> was transfused to a patient</w:t>
      </w:r>
      <w:r w:rsidRPr="00554296">
        <w:rPr>
          <w:rFonts w:eastAsia="Arial Unicode MS"/>
        </w:rPr>
        <w:t xml:space="preserve"> other than the intended recipient</w:t>
      </w:r>
      <w:r w:rsidR="002A21AE">
        <w:t xml:space="preserve">. </w:t>
      </w:r>
    </w:p>
    <w:p w14:paraId="148D7C09" w14:textId="77777777" w:rsidR="00132F6A" w:rsidRDefault="00132F6A" w:rsidP="00132F6A">
      <w:pPr>
        <w:pStyle w:val="ListBullet"/>
      </w:pPr>
      <w:r>
        <w:t xml:space="preserve">The connection to </w:t>
      </w:r>
      <w:r w:rsidRPr="00CA6E27">
        <w:rPr>
          <w:bCs/>
        </w:rPr>
        <w:t>VistA</w:t>
      </w:r>
      <w:r>
        <w:t xml:space="preserve"> is active.</w:t>
      </w:r>
    </w:p>
    <w:p w14:paraId="12DC1706" w14:textId="77777777" w:rsidR="002A21AE" w:rsidRDefault="002A21AE">
      <w:pPr>
        <w:pStyle w:val="Heading4"/>
      </w:pPr>
      <w:r>
        <w:t>Outcome</w:t>
      </w:r>
    </w:p>
    <w:p w14:paraId="206C0C09" w14:textId="77777777" w:rsidR="002A21AE" w:rsidRDefault="002A21AE">
      <w:pPr>
        <w:pStyle w:val="ListBullet"/>
      </w:pPr>
      <w:r>
        <w:t>The unit status is updated to “transfused.”</w:t>
      </w:r>
    </w:p>
    <w:p w14:paraId="6C167A5A" w14:textId="77777777" w:rsidR="002A21AE" w:rsidRDefault="002A21AE">
      <w:pPr>
        <w:pStyle w:val="ListBullet"/>
      </w:pPr>
      <w:r>
        <w:t>The patient record includes the blood transfusion information.</w:t>
      </w:r>
    </w:p>
    <w:p w14:paraId="3560BAAB" w14:textId="77777777" w:rsidR="002A21AE" w:rsidRDefault="002A21AE">
      <w:pPr>
        <w:pStyle w:val="Heading4"/>
      </w:pPr>
      <w:r>
        <w:t>Limitations and Restrictions</w:t>
      </w:r>
    </w:p>
    <w:p w14:paraId="5AE60238" w14:textId="77777777" w:rsidR="002A21AE" w:rsidRDefault="002A21AE">
      <w:pPr>
        <w:pStyle w:val="ListBullet"/>
      </w:pPr>
      <w:r>
        <w:t>VBECS does not enforce compatibility checks between the patient and the unit.</w:t>
      </w:r>
    </w:p>
    <w:p w14:paraId="44EFFEDA" w14:textId="77777777" w:rsidR="003427EE" w:rsidRDefault="003427EE" w:rsidP="003427EE">
      <w:pPr>
        <w:pStyle w:val="ListBullet"/>
      </w:pPr>
      <w:r>
        <w:t>VBECS does not update CPRS component order status when the Document ABO Incompatible Transfusion option is used.</w:t>
      </w:r>
    </w:p>
    <w:p w14:paraId="4610C93C" w14:textId="77777777" w:rsidR="002A21AE" w:rsidRDefault="002A21AE">
      <w:pPr>
        <w:pStyle w:val="Heading4"/>
      </w:pPr>
      <w:r>
        <w:t>Additional Information</w:t>
      </w:r>
    </w:p>
    <w:p w14:paraId="0D04ED0C" w14:textId="77777777" w:rsidR="002A21AE" w:rsidRDefault="001E7158">
      <w:pPr>
        <w:pStyle w:val="ListBullet"/>
      </w:pPr>
      <w:r>
        <w:t>FDA guidances</w:t>
      </w:r>
      <w:r w:rsidR="005215D6">
        <w:t xml:space="preserve"> govern when to file blood product deviation reports</w:t>
      </w:r>
      <w:r w:rsidR="002A21AE">
        <w:t>.</w:t>
      </w:r>
    </w:p>
    <w:p w14:paraId="1106AE91" w14:textId="77777777" w:rsidR="00774A57" w:rsidRDefault="00774A57">
      <w:pPr>
        <w:pStyle w:val="ListBullet"/>
      </w:pPr>
      <w:r>
        <w:t>Follow local policy</w:t>
      </w:r>
      <w:r w:rsidR="001A0BF6">
        <w:t xml:space="preserve"> and procedures</w:t>
      </w:r>
      <w:r>
        <w:t xml:space="preserve"> for additional reporting requirements.</w:t>
      </w:r>
    </w:p>
    <w:p w14:paraId="4863B5E9" w14:textId="3CB44283" w:rsidR="00721A8D" w:rsidRDefault="00014BE4">
      <w:pPr>
        <w:pStyle w:val="ListBullet"/>
      </w:pPr>
      <w:r>
        <w:t xml:space="preserve">VBECS requires a specimen and an order placed through CPRS to process transfusions. </w:t>
      </w:r>
      <w:r w:rsidR="00721A8D">
        <w:t>When a patient was transfused and no specimen was collected or order placed for blood components,</w:t>
      </w:r>
      <w:r w:rsidR="003D71A3">
        <w:t xml:space="preserve"> </w:t>
      </w:r>
      <w:r w:rsidR="00721A8D" w:rsidRPr="00014BE4">
        <w:t xml:space="preserve">the user may </w:t>
      </w:r>
      <w:r w:rsidR="00721A8D">
        <w:t>record</w:t>
      </w:r>
      <w:r w:rsidR="00721A8D" w:rsidRPr="00014BE4">
        <w:t xml:space="preserve"> the transfusion using </w:t>
      </w:r>
      <w:r w:rsidR="00721A8D">
        <w:t xml:space="preserve">this </w:t>
      </w:r>
      <w:r w:rsidR="00721A8D" w:rsidRPr="00014BE4">
        <w:t>option</w:t>
      </w:r>
      <w:r w:rsidR="00721A8D">
        <w:t>.</w:t>
      </w:r>
      <w:r w:rsidR="004E7582" w:rsidRPr="004E7582">
        <w:rPr>
          <w:vanish/>
        </w:rPr>
        <w:t xml:space="preserve"> UserDoc Task 1087</w:t>
      </w:r>
    </w:p>
    <w:p w14:paraId="6A6865EB" w14:textId="1B8319E9" w:rsidR="00BC1FE7" w:rsidRDefault="00BC1FE7">
      <w:pPr>
        <w:pStyle w:val="ListBullet"/>
      </w:pPr>
      <w:r>
        <w:t>A record</w:t>
      </w:r>
      <w:r w:rsidR="002B6600">
        <w:t xml:space="preserve"> can be saved without entering the amount transfused and the Transfusion Interrupted option is selected. Enter the amount transfused before saving the transfusion. </w:t>
      </w:r>
      <w:r w:rsidR="002B6600" w:rsidRPr="002B6600">
        <w:rPr>
          <w:vanish/>
        </w:rPr>
        <w:t>Defect 2099</w:t>
      </w:r>
      <w:r w:rsidR="00CA745C">
        <w:rPr>
          <w:vanish/>
        </w:rPr>
        <w:t>9</w:t>
      </w:r>
      <w:r w:rsidR="002B6600" w:rsidRPr="002B6600">
        <w:rPr>
          <w:vanish/>
        </w:rPr>
        <w:t>2</w:t>
      </w:r>
    </w:p>
    <w:p w14:paraId="34467F31" w14:textId="77777777" w:rsidR="002A21AE" w:rsidRDefault="002A21AE">
      <w:pPr>
        <w:pStyle w:val="Heading4"/>
      </w:pPr>
      <w:r>
        <w:t>User Roles with Access to This Option</w:t>
      </w:r>
    </w:p>
    <w:p w14:paraId="0F8A4296" w14:textId="77777777" w:rsidR="002A21AE" w:rsidRDefault="007D4E77">
      <w:pPr>
        <w:pStyle w:val="Roles"/>
        <w:rPr>
          <w:snapToGrid w:val="0"/>
        </w:rPr>
      </w:pPr>
      <w:r w:rsidRPr="007D4E77">
        <w:rPr>
          <w:rFonts w:ascii="Wingdings 3" w:hAnsi="Wingdings 3"/>
        </w:rPr>
        <w:t></w:t>
      </w:r>
      <w:r w:rsidRPr="007D4E77">
        <w:rPr>
          <w:rFonts w:ascii="Wingdings 3" w:hAnsi="Wingdings 3"/>
        </w:rPr>
        <w:t></w:t>
      </w:r>
      <w:r w:rsidRPr="007D4E77">
        <w:rPr>
          <w:rFonts w:ascii="Wingdings 3" w:hAnsi="Wingdings 3"/>
        </w:rPr>
        <w:t></w:t>
      </w:r>
      <w:r w:rsidRPr="007D4E77">
        <w:rPr>
          <w:rFonts w:ascii="Wingdings 3" w:hAnsi="Wingdings 3"/>
        </w:rPr>
        <w:t></w:t>
      </w:r>
      <w:r>
        <w:t xml:space="preserve"> Traditional Supervisor</w:t>
      </w:r>
    </w:p>
    <w:bookmarkEnd w:id="630"/>
    <w:p w14:paraId="4629286B" w14:textId="77777777" w:rsidR="002A21AE" w:rsidRDefault="002A21AE">
      <w:pPr>
        <w:pStyle w:val="Heading4"/>
      </w:pPr>
      <w:r>
        <w:t>Document ABO Incompatible Transfusions</w:t>
      </w:r>
    </w:p>
    <w:p w14:paraId="340065FE" w14:textId="77777777" w:rsidR="009D00C1" w:rsidRDefault="009D00C1" w:rsidP="00FA7E65">
      <w:pPr>
        <w:pStyle w:val="BodyText"/>
      </w:pPr>
      <w:r>
        <w:t>When a unit is transfused to the incorrect patient</w:t>
      </w:r>
      <w:r w:rsidR="00F90DFB">
        <w:t xml:space="preserve">, </w:t>
      </w:r>
      <w:r>
        <w:t>t</w:t>
      </w:r>
      <w:r w:rsidR="002A21AE">
        <w:t xml:space="preserve">he user enters transfusion details for </w:t>
      </w:r>
      <w:r>
        <w:t xml:space="preserve">that unit. </w:t>
      </w:r>
    </w:p>
    <w:p w14:paraId="0E5581F1" w14:textId="77777777" w:rsidR="002A21AE" w:rsidRDefault="00057948" w:rsidP="00DC645C">
      <w:pPr>
        <w:pStyle w:val="Caution"/>
      </w:pPr>
      <w:r>
        <w:rPr>
          <w:noProof/>
        </w:rPr>
        <w:drawing>
          <wp:inline distT="0" distB="0" distL="0" distR="0" wp14:anchorId="1BF92278" wp14:editId="0E15CDA0">
            <wp:extent cx="267970" cy="221615"/>
            <wp:effectExtent l="0" t="0" r="0" b="6985"/>
            <wp:docPr id="260" name="Picture 2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DC645C">
        <w:t xml:space="preserve"> </w:t>
      </w:r>
      <w:r w:rsidR="002A21AE">
        <w:t>VBECS does not enforce compatibility checks to allow consistent and accurate online availability of a unit’s final disposition.</w:t>
      </w:r>
      <w:r w:rsidR="002A21AE">
        <w:rPr>
          <w:b/>
        </w:rPr>
        <w:t xml:space="preserve"> </w:t>
      </w:r>
      <w:r w:rsidR="002A21AE">
        <w:t xml:space="preserve">Use of this </w:t>
      </w:r>
      <w:r w:rsidR="00932460">
        <w:t>option</w:t>
      </w:r>
      <w:r w:rsidR="002A21AE">
        <w:t xml:space="preserve"> is restricted to supervisory blood bank personnel who have thoroughly investigated the transfusion and documented the inability to use normal VBECS business processes to enter the transfusion documentation.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C5A709" w14:textId="77777777">
        <w:trPr>
          <w:cantSplit/>
          <w:tblHeader/>
        </w:trPr>
        <w:tc>
          <w:tcPr>
            <w:tcW w:w="3240" w:type="dxa"/>
            <w:shd w:val="pct30" w:color="auto" w:fill="FFFFFF"/>
            <w:vAlign w:val="bottom"/>
          </w:tcPr>
          <w:p w14:paraId="0166A4AA" w14:textId="77777777" w:rsidR="002A21AE" w:rsidRDefault="002A21AE">
            <w:pPr>
              <w:pStyle w:val="TableText"/>
              <w:rPr>
                <w:b/>
              </w:rPr>
            </w:pPr>
            <w:r>
              <w:rPr>
                <w:b/>
              </w:rPr>
              <w:t>User Action</w:t>
            </w:r>
          </w:p>
        </w:tc>
        <w:tc>
          <w:tcPr>
            <w:tcW w:w="6120" w:type="dxa"/>
            <w:shd w:val="pct30" w:color="auto" w:fill="FFFFFF"/>
            <w:vAlign w:val="bottom"/>
          </w:tcPr>
          <w:p w14:paraId="59C7C461" w14:textId="77777777" w:rsidR="002A21AE" w:rsidRDefault="002A21AE">
            <w:pPr>
              <w:pStyle w:val="TableText"/>
              <w:rPr>
                <w:b/>
              </w:rPr>
            </w:pPr>
            <w:r>
              <w:rPr>
                <w:b/>
              </w:rPr>
              <w:t>VBECS</w:t>
            </w:r>
          </w:p>
        </w:tc>
      </w:tr>
      <w:tr w:rsidR="002A21AE" w14:paraId="7036764C" w14:textId="77777777">
        <w:tc>
          <w:tcPr>
            <w:tcW w:w="3240" w:type="dxa"/>
            <w:tcBorders>
              <w:top w:val="single" w:sz="4" w:space="0" w:color="auto"/>
              <w:left w:val="single" w:sz="4" w:space="0" w:color="auto"/>
              <w:bottom w:val="single" w:sz="4" w:space="0" w:color="auto"/>
              <w:right w:val="single" w:sz="4" w:space="0" w:color="auto"/>
            </w:tcBorders>
          </w:tcPr>
          <w:p w14:paraId="3CA5FBDB" w14:textId="77777777" w:rsidR="002A21AE" w:rsidRDefault="002A21AE">
            <w:pPr>
              <w:pStyle w:val="TableTextNumbers"/>
            </w:pPr>
            <w:r>
              <w:t xml:space="preserve">Select </w:t>
            </w:r>
            <w:r>
              <w:rPr>
                <w:b/>
              </w:rPr>
              <w:t>Supervisor</w:t>
            </w:r>
            <w:r>
              <w:t xml:space="preserve"> from the main menu.</w:t>
            </w:r>
          </w:p>
          <w:p w14:paraId="46BBD680" w14:textId="77777777" w:rsidR="002A21AE" w:rsidRDefault="002A21AE">
            <w:pPr>
              <w:pStyle w:val="TableTextNumbersContinued"/>
            </w:pPr>
          </w:p>
          <w:p w14:paraId="2F20D374" w14:textId="77777777" w:rsidR="002A21AE" w:rsidRPr="001E3F01" w:rsidRDefault="002A21AE">
            <w:pPr>
              <w:pStyle w:val="TableTextNumbersContinued"/>
              <w:rPr>
                <w:lang w:val="fr-CA"/>
              </w:rPr>
            </w:pPr>
            <w:r w:rsidRPr="001E3F01">
              <w:rPr>
                <w:lang w:val="fr-CA"/>
              </w:rPr>
              <w:t xml:space="preserve">Select </w:t>
            </w:r>
            <w:r w:rsidRPr="001E3F01">
              <w:rPr>
                <w:b/>
                <w:lang w:val="fr-CA"/>
              </w:rPr>
              <w:t>Document ABO Incompatible Transfusion</w:t>
            </w:r>
            <w:r w:rsidRPr="001E3F01">
              <w:rPr>
                <w:lang w:val="fr-CA"/>
              </w:rPr>
              <w:t>.</w:t>
            </w:r>
          </w:p>
        </w:tc>
        <w:tc>
          <w:tcPr>
            <w:tcW w:w="6120" w:type="dxa"/>
            <w:tcBorders>
              <w:top w:val="single" w:sz="4" w:space="0" w:color="auto"/>
              <w:left w:val="single" w:sz="4" w:space="0" w:color="auto"/>
              <w:bottom w:val="single" w:sz="4" w:space="0" w:color="auto"/>
              <w:right w:val="single" w:sz="4" w:space="0" w:color="auto"/>
            </w:tcBorders>
          </w:tcPr>
          <w:p w14:paraId="195CD2A6" w14:textId="77777777" w:rsidR="002A21AE" w:rsidRDefault="002A21AE">
            <w:pPr>
              <w:pStyle w:val="TableTextBullet"/>
            </w:pPr>
            <w:r>
              <w:t>Displays options for processing patient-related functions.</w:t>
            </w:r>
          </w:p>
          <w:p w14:paraId="1909E50D" w14:textId="77777777" w:rsidR="002A21AE" w:rsidRDefault="002A21AE">
            <w:pPr>
              <w:pStyle w:val="TableTextBullet"/>
            </w:pPr>
            <w:r>
              <w:t>Displays an option to scan the Caution Tag or enter a patient name or ID.</w:t>
            </w:r>
          </w:p>
          <w:p w14:paraId="2BA4E6C9" w14:textId="77777777" w:rsidR="002A21AE" w:rsidRDefault="002A21AE">
            <w:pPr>
              <w:pStyle w:val="NotesText"/>
            </w:pPr>
          </w:p>
        </w:tc>
      </w:tr>
      <w:tr w:rsidR="002A21AE" w14:paraId="0E85F3BA" w14:textId="77777777" w:rsidTr="00F3651E">
        <w:trPr>
          <w:cantSplit/>
        </w:trPr>
        <w:tc>
          <w:tcPr>
            <w:tcW w:w="3240" w:type="dxa"/>
          </w:tcPr>
          <w:p w14:paraId="7465342C" w14:textId="77777777" w:rsidR="002A21AE" w:rsidRDefault="002A21AE">
            <w:pPr>
              <w:pStyle w:val="TableTextNumbers"/>
            </w:pPr>
            <w:r>
              <w:lastRenderedPageBreak/>
              <w:t xml:space="preserve">Select a patient and click </w:t>
            </w:r>
            <w:r>
              <w:rPr>
                <w:b/>
              </w:rPr>
              <w:t>OK</w:t>
            </w:r>
            <w:r>
              <w:t>.</w:t>
            </w:r>
          </w:p>
        </w:tc>
        <w:tc>
          <w:tcPr>
            <w:tcW w:w="6120" w:type="dxa"/>
          </w:tcPr>
          <w:p w14:paraId="698F71D8" w14:textId="77777777" w:rsidR="001C50C2" w:rsidRDefault="002A21AE" w:rsidP="001C50C2">
            <w:pPr>
              <w:pStyle w:val="TableText"/>
            </w:pPr>
            <w:r>
              <w:t>Displays an option to select a patient that may not be available from the VBECS files.</w:t>
            </w:r>
            <w:r w:rsidR="001C50C2">
              <w:t xml:space="preserve"> </w:t>
            </w:r>
          </w:p>
          <w:p w14:paraId="3F0F6108" w14:textId="77777777" w:rsidR="001C50C2" w:rsidRDefault="001C50C2" w:rsidP="001C50C2">
            <w:pPr>
              <w:pStyle w:val="TableText"/>
            </w:pPr>
          </w:p>
          <w:p w14:paraId="4C0A4985" w14:textId="67CD2C5F" w:rsidR="001C50C2" w:rsidRDefault="001C50C2" w:rsidP="001C50C2">
            <w:pPr>
              <w:pStyle w:val="TableText"/>
            </w:pPr>
            <w:r>
              <w:rPr>
                <w:b/>
                <w:bCs/>
                <w:szCs w:val="18"/>
              </w:rPr>
              <w:t>NOTES</w:t>
            </w:r>
          </w:p>
          <w:p w14:paraId="41B35672" w14:textId="77777777" w:rsidR="001C50C2" w:rsidRDefault="001C50C2" w:rsidP="001C50C2">
            <w:pPr>
              <w:pStyle w:val="TableTextBullet"/>
              <w:numPr>
                <w:ilvl w:val="0"/>
                <w:numId w:val="0"/>
              </w:numPr>
              <w:ind w:left="288" w:hanging="288"/>
              <w:rPr>
                <w:rFonts w:cs="Arial"/>
              </w:rPr>
            </w:pPr>
          </w:p>
          <w:p w14:paraId="1808392B" w14:textId="77777777" w:rsidR="001C50C2" w:rsidRDefault="001C50C2" w:rsidP="001C50C2">
            <w:pPr>
              <w:pStyle w:val="TableTextBullet"/>
              <w:numPr>
                <w:ilvl w:val="0"/>
                <w:numId w:val="0"/>
              </w:numPr>
              <w:ind w:left="720"/>
            </w:pPr>
            <w:r w:rsidRPr="001C50C2">
              <w:rPr>
                <w:rFonts w:cs="Arial"/>
              </w:rPr>
              <w:t xml:space="preserve">Displays a message when the user selects a patient with a blank first or last name, or the name is too long. The user is instructed to contact the VBECS Administrator for assistance. </w:t>
            </w:r>
            <w:r w:rsidRPr="001C50C2">
              <w:rPr>
                <w:rFonts w:cs="Arial"/>
                <w:vanish/>
              </w:rPr>
              <w:t>DR 3444</w:t>
            </w:r>
          </w:p>
        </w:tc>
      </w:tr>
      <w:tr w:rsidR="002A21AE" w14:paraId="74FAD4C0" w14:textId="77777777">
        <w:tc>
          <w:tcPr>
            <w:tcW w:w="3240" w:type="dxa"/>
          </w:tcPr>
          <w:p w14:paraId="43E3D686" w14:textId="77777777" w:rsidR="002A21AE" w:rsidRDefault="0087088B" w:rsidP="0087088B">
            <w:pPr>
              <w:pStyle w:val="TableTextNumbers"/>
            </w:pPr>
            <w:r>
              <w:t xml:space="preserve">Select a </w:t>
            </w:r>
            <w:r w:rsidR="00922AD8">
              <w:t>unit to</w:t>
            </w:r>
            <w:r w:rsidR="002A21AE">
              <w:t xml:space="preserve"> document a</w:t>
            </w:r>
            <w:r w:rsidR="00B26579">
              <w:t xml:space="preserve"> </w:t>
            </w:r>
            <w:r w:rsidR="002A21AE">
              <w:t>transfusion</w:t>
            </w:r>
            <w:r w:rsidR="00F37D55">
              <w:t xml:space="preserve"> that does not follow system rules</w:t>
            </w:r>
            <w:r w:rsidR="002A21AE">
              <w:t>.</w:t>
            </w:r>
          </w:p>
        </w:tc>
        <w:tc>
          <w:tcPr>
            <w:tcW w:w="6120" w:type="dxa"/>
          </w:tcPr>
          <w:p w14:paraId="16A9B61D" w14:textId="77777777" w:rsidR="002A21AE" w:rsidRDefault="002A21AE">
            <w:pPr>
              <w:pStyle w:val="TableTextBullet"/>
            </w:pPr>
            <w:r>
              <w:t>Displays an option to enter a unit ID and product code or search for one.</w:t>
            </w:r>
          </w:p>
          <w:p w14:paraId="07BC2B70" w14:textId="77777777" w:rsidR="002A21AE" w:rsidRDefault="002A21AE">
            <w:pPr>
              <w:pStyle w:val="TableText"/>
            </w:pPr>
          </w:p>
          <w:p w14:paraId="58DB244E" w14:textId="452C2C5A" w:rsidR="002A21AE" w:rsidRDefault="002A21AE">
            <w:pPr>
              <w:pStyle w:val="TableText"/>
              <w:rPr>
                <w:b/>
                <w:bCs/>
                <w:szCs w:val="18"/>
              </w:rPr>
            </w:pPr>
            <w:r>
              <w:rPr>
                <w:b/>
                <w:bCs/>
                <w:szCs w:val="18"/>
              </w:rPr>
              <w:t>NOTES</w:t>
            </w:r>
          </w:p>
          <w:p w14:paraId="6A0C9C26" w14:textId="77777777" w:rsidR="002A21AE" w:rsidRDefault="002A21AE">
            <w:pPr>
              <w:pStyle w:val="NotesText"/>
            </w:pPr>
          </w:p>
          <w:p w14:paraId="710ECD4E" w14:textId="52AD1627" w:rsidR="007F00C5" w:rsidRPr="002B5E51" w:rsidRDefault="007F00C5" w:rsidP="007F00C5">
            <w:pPr>
              <w:pStyle w:val="NotesText"/>
              <w:rPr>
                <w:rFonts w:cs="Arial"/>
                <w:vanish/>
              </w:rPr>
            </w:pPr>
            <w:r>
              <w:rPr>
                <w:rFonts w:cs="Arial"/>
              </w:rPr>
              <w:t>VBECS presents all units in the system for selection when the search button is used. This search will require time to complete as the number of units to display increases.</w:t>
            </w:r>
            <w:r w:rsidR="00B878DF">
              <w:rPr>
                <w:rFonts w:cs="Arial"/>
              </w:rPr>
              <w:t xml:space="preserve"> </w:t>
            </w:r>
            <w:r>
              <w:rPr>
                <w:rFonts w:cs="Arial"/>
                <w:vanish/>
              </w:rPr>
              <w:t xml:space="preserve"> DR 3516</w:t>
            </w:r>
          </w:p>
          <w:p w14:paraId="5FE725DD" w14:textId="77777777" w:rsidR="007F00C5" w:rsidRDefault="007F00C5" w:rsidP="007F00C5">
            <w:pPr>
              <w:pStyle w:val="NotesText"/>
              <w:rPr>
                <w:rFonts w:cs="Arial"/>
                <w:vanish/>
              </w:rPr>
            </w:pPr>
          </w:p>
          <w:p w14:paraId="41A48B4B" w14:textId="77777777" w:rsidR="007F00C5" w:rsidRDefault="007F00C5" w:rsidP="007F00C5">
            <w:pPr>
              <w:pStyle w:val="NotesText"/>
            </w:pPr>
            <w:r>
              <w:rPr>
                <w:rFonts w:cs="Arial"/>
                <w:vanish/>
              </w:rPr>
              <w:t xml:space="preserve">BR_69.14 </w:t>
            </w:r>
            <w:r>
              <w:t>VBECS does not enforce compatibility checks in this option.</w:t>
            </w:r>
          </w:p>
          <w:p w14:paraId="60808753" w14:textId="77777777" w:rsidR="007F00C5" w:rsidRDefault="007F00C5" w:rsidP="007F00C5">
            <w:pPr>
              <w:pStyle w:val="NotesText"/>
              <w:rPr>
                <w:rFonts w:cs="Arial"/>
              </w:rPr>
            </w:pPr>
          </w:p>
          <w:p w14:paraId="1DB99E4E" w14:textId="3DD45524" w:rsidR="002A21AE" w:rsidRDefault="007F00C5" w:rsidP="007F00C5">
            <w:pPr>
              <w:pStyle w:val="NotesText"/>
              <w:rPr>
                <w:rFonts w:cs="Arial"/>
              </w:rPr>
            </w:pPr>
            <w:r w:rsidRPr="00896F17">
              <w:rPr>
                <w:rStyle w:val="BullhornChar"/>
              </w:rPr>
              <w:t></w:t>
            </w:r>
            <w:r>
              <w:rPr>
                <w:color w:val="000000"/>
                <w:szCs w:val="18"/>
              </w:rPr>
              <w:t xml:space="preserve"> </w:t>
            </w:r>
            <w:r>
              <w:rPr>
                <w:rFonts w:cs="Arial"/>
                <w:vanish/>
              </w:rPr>
              <w:t xml:space="preserve">BR_70.06 </w:t>
            </w:r>
            <w:r>
              <w:t>When a user enters a unit with a final status, VBECS alerts the user and clears the screen. The user may select another unit.</w:t>
            </w:r>
          </w:p>
        </w:tc>
      </w:tr>
      <w:tr w:rsidR="002A21AE" w14:paraId="1B6FB2E9" w14:textId="77777777">
        <w:tc>
          <w:tcPr>
            <w:tcW w:w="3240" w:type="dxa"/>
          </w:tcPr>
          <w:p w14:paraId="55C0AF5A" w14:textId="77777777" w:rsidR="002A21AE" w:rsidRDefault="002A21AE">
            <w:pPr>
              <w:pStyle w:val="TableTextNumbers"/>
            </w:pPr>
            <w:r>
              <w:t>Enter post-transfusion details</w:t>
            </w:r>
            <w:r w:rsidR="00BB5288">
              <w:t xml:space="preserve"> and a comment</w:t>
            </w:r>
            <w:r>
              <w:t>.</w:t>
            </w:r>
          </w:p>
        </w:tc>
        <w:tc>
          <w:tcPr>
            <w:tcW w:w="6120" w:type="dxa"/>
          </w:tcPr>
          <w:p w14:paraId="5C13F539" w14:textId="77777777" w:rsidR="002A21AE" w:rsidRDefault="002A21AE">
            <w:pPr>
              <w:pStyle w:val="TableTextBullet"/>
            </w:pPr>
            <w:r>
              <w:t>Displays an option to enter or edit unit data. See Post-Transfusion Information.</w:t>
            </w:r>
          </w:p>
          <w:p w14:paraId="04B36A45" w14:textId="77777777" w:rsidR="002A21AE" w:rsidRDefault="002A21AE">
            <w:pPr>
              <w:pStyle w:val="TableTextBullet"/>
            </w:pPr>
            <w:r>
              <w:rPr>
                <w:rFonts w:cs="Arial"/>
                <w:vanish/>
              </w:rPr>
              <w:t>BR_69.16</w:t>
            </w:r>
            <w:r w:rsidR="00C549FA" w:rsidRPr="00323744">
              <w:rPr>
                <w:rStyle w:val="BullhornChar"/>
              </w:rPr>
              <w:t></w:t>
            </w:r>
            <w:r w:rsidR="00C549FA">
              <w:rPr>
                <w:rFonts w:ascii="Webdings" w:hAnsi="Webdings"/>
              </w:rPr>
              <w:t></w:t>
            </w:r>
            <w:r>
              <w:t xml:space="preserve">VBECS emits an audible alert, requires a comment, and captures the transaction details for inclusion in </w:t>
            </w:r>
            <w:r w:rsidR="00C549FA">
              <w:t>an Exception Report (exception t</w:t>
            </w:r>
            <w:r>
              <w:t>ype: ABO incompatible unit transfused).</w:t>
            </w:r>
          </w:p>
          <w:p w14:paraId="72009562" w14:textId="77777777" w:rsidR="00BB5288" w:rsidRDefault="00BB5288" w:rsidP="00BB5288">
            <w:pPr>
              <w:pStyle w:val="TableTextBullet"/>
            </w:pPr>
            <w:r>
              <w:t>Displays the entries for review, including the comment, until all details are entered.</w:t>
            </w:r>
          </w:p>
        </w:tc>
      </w:tr>
      <w:tr w:rsidR="00767921" w14:paraId="7FB0FCA5" w14:textId="77777777">
        <w:tc>
          <w:tcPr>
            <w:tcW w:w="3240" w:type="dxa"/>
          </w:tcPr>
          <w:p w14:paraId="272F541C" w14:textId="77777777" w:rsidR="00767921" w:rsidRDefault="00767921">
            <w:pPr>
              <w:pStyle w:val="TableTextNumbers"/>
            </w:pPr>
            <w:r>
              <w:t xml:space="preserve">Click </w:t>
            </w:r>
            <w:r w:rsidRPr="00767921">
              <w:rPr>
                <w:b/>
              </w:rPr>
              <w:t>OK</w:t>
            </w:r>
            <w:r>
              <w:t xml:space="preserve"> and </w:t>
            </w:r>
            <w:r w:rsidRPr="00767921">
              <w:rPr>
                <w:b/>
              </w:rPr>
              <w:t>Yes</w:t>
            </w:r>
            <w:r>
              <w:t xml:space="preserve"> to save.</w:t>
            </w:r>
          </w:p>
        </w:tc>
        <w:tc>
          <w:tcPr>
            <w:tcW w:w="6120" w:type="dxa"/>
          </w:tcPr>
          <w:p w14:paraId="5DBA8A3D" w14:textId="77777777" w:rsidR="00767921" w:rsidRDefault="00767921">
            <w:pPr>
              <w:pStyle w:val="TableTextBullet"/>
            </w:pPr>
            <w:r>
              <w:t>Saves the data.</w:t>
            </w:r>
          </w:p>
          <w:p w14:paraId="58563EB8" w14:textId="77777777" w:rsidR="00BC3647" w:rsidRDefault="00BC3647">
            <w:pPr>
              <w:pStyle w:val="TableTextBullet"/>
            </w:pPr>
            <w:r>
              <w:t>Allows the user to enter comments and details.</w:t>
            </w:r>
          </w:p>
        </w:tc>
      </w:tr>
      <w:tr w:rsidR="002A21AE" w14:paraId="764882E1" w14:textId="77777777">
        <w:tc>
          <w:tcPr>
            <w:tcW w:w="3240" w:type="dxa"/>
          </w:tcPr>
          <w:p w14:paraId="43D9440C" w14:textId="77777777" w:rsidR="00FE39F0" w:rsidRDefault="00FE39F0">
            <w:pPr>
              <w:pStyle w:val="TableTextNumbers"/>
            </w:pPr>
            <w:r>
              <w:t xml:space="preserve">Enter or select a comment and details, in accordance with local policy and procedures. </w:t>
            </w:r>
          </w:p>
          <w:p w14:paraId="01144ED0" w14:textId="77777777" w:rsidR="00FE39F0" w:rsidRDefault="00FE39F0" w:rsidP="00FE39F0">
            <w:pPr>
              <w:pStyle w:val="TableTextNumbersContinued"/>
            </w:pPr>
          </w:p>
          <w:p w14:paraId="03203BDC" w14:textId="77777777" w:rsidR="002A21AE" w:rsidRDefault="00FE39F0" w:rsidP="00FE39F0">
            <w:pPr>
              <w:pStyle w:val="TableTextNumbersContinued"/>
            </w:pPr>
            <w:r>
              <w:t xml:space="preserve">Click </w:t>
            </w:r>
            <w:r w:rsidRPr="00FE39F0">
              <w:rPr>
                <w:b/>
              </w:rPr>
              <w:t>OK</w:t>
            </w:r>
            <w:r>
              <w:t>.</w:t>
            </w:r>
          </w:p>
        </w:tc>
        <w:tc>
          <w:tcPr>
            <w:tcW w:w="6120" w:type="dxa"/>
          </w:tcPr>
          <w:p w14:paraId="06A5268A" w14:textId="77777777" w:rsidR="002A21AE" w:rsidRDefault="002A21AE">
            <w:pPr>
              <w:pStyle w:val="TableText"/>
            </w:pPr>
          </w:p>
          <w:p w14:paraId="08C44347" w14:textId="4AAE4B7E" w:rsidR="002A21AE" w:rsidRDefault="002A21AE">
            <w:pPr>
              <w:pStyle w:val="TableText"/>
              <w:rPr>
                <w:b/>
                <w:bCs/>
                <w:szCs w:val="18"/>
              </w:rPr>
            </w:pPr>
            <w:r>
              <w:rPr>
                <w:b/>
                <w:bCs/>
                <w:szCs w:val="18"/>
              </w:rPr>
              <w:t>NOTES</w:t>
            </w:r>
          </w:p>
          <w:p w14:paraId="6C55BC66" w14:textId="77777777" w:rsidR="002A21AE" w:rsidRDefault="002A21AE">
            <w:pPr>
              <w:pStyle w:val="NotesText"/>
            </w:pPr>
          </w:p>
          <w:p w14:paraId="30299258" w14:textId="77777777" w:rsidR="0018209A" w:rsidRDefault="0018209A" w:rsidP="0018209A">
            <w:pPr>
              <w:pStyle w:val="NotesText"/>
            </w:pPr>
            <w:r>
              <w:rPr>
                <w:rFonts w:cs="Arial"/>
                <w:vanish/>
              </w:rPr>
              <w:t xml:space="preserve">BR_69.13 </w:t>
            </w:r>
            <w:r>
              <w:t>VBECS saves transfusion information for future retrieval and reporting as part of the patient and unit historic records.</w:t>
            </w:r>
          </w:p>
          <w:p w14:paraId="45E017B4" w14:textId="77777777" w:rsidR="0018209A" w:rsidRDefault="0018209A">
            <w:pPr>
              <w:pStyle w:val="NotesText"/>
              <w:rPr>
                <w:rFonts w:cs="Arial"/>
              </w:rPr>
            </w:pPr>
          </w:p>
          <w:p w14:paraId="40FA3725" w14:textId="77777777" w:rsidR="002A21AE" w:rsidRDefault="002A21AE">
            <w:pPr>
              <w:pStyle w:val="NotesText"/>
            </w:pPr>
            <w:r>
              <w:rPr>
                <w:rFonts w:cs="Arial"/>
                <w:vanish/>
              </w:rPr>
              <w:t xml:space="preserve">BR_69.12 </w:t>
            </w:r>
            <w:r>
              <w:t xml:space="preserve">Upon data entry and saving of the post-transfusion information, VBECS assigns a status of “transfused” to the unit of </w:t>
            </w:r>
            <w:r w:rsidR="00191CFE">
              <w:t>blood</w:t>
            </w:r>
            <w:r>
              <w:t xml:space="preserve"> for the indicated patient.</w:t>
            </w:r>
          </w:p>
          <w:p w14:paraId="5A226FB7" w14:textId="77777777" w:rsidR="002A21AE" w:rsidRDefault="002A21AE">
            <w:pPr>
              <w:pStyle w:val="NotesText"/>
              <w:rPr>
                <w:rFonts w:cs="Arial"/>
              </w:rPr>
            </w:pPr>
          </w:p>
          <w:p w14:paraId="7624A12F" w14:textId="77777777" w:rsidR="00BC3647" w:rsidRDefault="00BC3647">
            <w:pPr>
              <w:pStyle w:val="NotesText"/>
              <w:rPr>
                <w:rFonts w:cs="Arial"/>
              </w:rPr>
            </w:pPr>
            <w:r>
              <w:rPr>
                <w:rFonts w:cs="Arial"/>
              </w:rPr>
              <w:t>VBECS captures details of this override in an Exception Report.</w:t>
            </w:r>
          </w:p>
        </w:tc>
      </w:tr>
      <w:tr w:rsidR="002A21AE" w14:paraId="77671825" w14:textId="77777777">
        <w:tc>
          <w:tcPr>
            <w:tcW w:w="3240" w:type="dxa"/>
          </w:tcPr>
          <w:p w14:paraId="56D1E6DA"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631" w:author="Blalock, David (Leidos)" w:date="2020-06-15T14:09:00Z" w:original="0."/>
              </w:fldChar>
            </w:r>
          </w:p>
        </w:tc>
        <w:tc>
          <w:tcPr>
            <w:tcW w:w="6120" w:type="dxa"/>
          </w:tcPr>
          <w:p w14:paraId="4D920F70" w14:textId="77777777" w:rsidR="002A21AE" w:rsidRDefault="002A21AE">
            <w:pPr>
              <w:pStyle w:val="TableText"/>
            </w:pPr>
          </w:p>
        </w:tc>
      </w:tr>
      <w:bookmarkEnd w:id="624"/>
    </w:tbl>
    <w:p w14:paraId="49164930" w14:textId="77777777" w:rsidR="00F55832" w:rsidRDefault="00F55832">
      <w:pPr>
        <w:pStyle w:val="Heading3"/>
      </w:pPr>
    </w:p>
    <w:p w14:paraId="7702991D" w14:textId="77777777" w:rsidR="002A21AE" w:rsidRDefault="00F55832">
      <w:pPr>
        <w:pStyle w:val="Heading3"/>
      </w:pPr>
      <w:r>
        <w:br w:type="page"/>
      </w:r>
      <w:bookmarkStart w:id="632" w:name="_Toc47516769"/>
      <w:r w:rsidR="002A21AE">
        <w:lastRenderedPageBreak/>
        <w:t>Justify ABO/Rh Change</w:t>
      </w:r>
      <w:bookmarkEnd w:id="632"/>
      <w:r w:rsidR="002A21AE">
        <w:fldChar w:fldCharType="begin"/>
      </w:r>
      <w:r w:rsidR="002A21AE">
        <w:instrText xml:space="preserve"> XE </w:instrText>
      </w:r>
      <w:r w:rsidR="00FA7E65">
        <w:instrText>“</w:instrText>
      </w:r>
      <w:r w:rsidR="002A21AE">
        <w:instrText>Justify ABO/Rh Change</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UC_100</w:t>
      </w:r>
    </w:p>
    <w:p w14:paraId="39B8F634" w14:textId="77777777" w:rsidR="002A21AE" w:rsidRDefault="002A21AE" w:rsidP="00FA7E65">
      <w:pPr>
        <w:pStyle w:val="BodyText"/>
      </w:pPr>
      <w:bookmarkStart w:id="633" w:name="_Toc63680378"/>
      <w:r>
        <w:t>The user changes a patient’s historical blood type only when there is a clinical change in blood type, not to correct an error.</w:t>
      </w:r>
      <w:r w:rsidR="005215D6">
        <w:t xml:space="preserve"> (See Invalidate Test Results.)</w:t>
      </w:r>
    </w:p>
    <w:p w14:paraId="07CA0EB9" w14:textId="77777777" w:rsidR="002A21AE" w:rsidRDefault="002A21AE">
      <w:pPr>
        <w:pStyle w:val="Heading4"/>
      </w:pPr>
      <w:r>
        <w:t>Assumptions</w:t>
      </w:r>
      <w:r>
        <w:rPr>
          <w:b w:val="0"/>
        </w:rPr>
        <w:t xml:space="preserve"> </w:t>
      </w:r>
    </w:p>
    <w:p w14:paraId="6DA37CE9" w14:textId="77777777" w:rsidR="002A21AE" w:rsidRDefault="002A21AE">
      <w:pPr>
        <w:pStyle w:val="ListBullet"/>
      </w:pPr>
      <w:r>
        <w:t xml:space="preserve">The patient has a previous ABO/Rh on record from the user’s current division, from a different division within the database, or from </w:t>
      </w:r>
      <w:r w:rsidR="00AB59B8">
        <w:t xml:space="preserve">the </w:t>
      </w:r>
      <w:r>
        <w:t>database conversion.</w:t>
      </w:r>
    </w:p>
    <w:p w14:paraId="33FBEF35" w14:textId="77777777" w:rsidR="002A21AE" w:rsidRDefault="002A21AE">
      <w:pPr>
        <w:pStyle w:val="ListBullet"/>
      </w:pPr>
      <w:r>
        <w:t>The patient has a current specimen test result with an ABO/Rh interpretation that does</w:t>
      </w:r>
      <w:r>
        <w:rPr>
          <w:i/>
        </w:rPr>
        <w:t xml:space="preserve"> </w:t>
      </w:r>
      <w:r>
        <w:t>not match the historical record. Both previous and current specimen test results are valid.</w:t>
      </w:r>
    </w:p>
    <w:p w14:paraId="631481C5" w14:textId="77777777" w:rsidR="002A21AE" w:rsidRDefault="002A21AE">
      <w:pPr>
        <w:pStyle w:val="Heading4"/>
      </w:pPr>
      <w:r>
        <w:t>Outcome</w:t>
      </w:r>
      <w:r>
        <w:rPr>
          <w:rFonts w:ascii="Times New Roman" w:hAnsi="Times New Roman"/>
          <w:i/>
          <w:color w:val="0000FF"/>
          <w:sz w:val="24"/>
        </w:rPr>
        <w:t xml:space="preserve"> </w:t>
      </w:r>
    </w:p>
    <w:p w14:paraId="24C34147" w14:textId="77777777" w:rsidR="002A21AE" w:rsidRDefault="002A21AE">
      <w:pPr>
        <w:pStyle w:val="ListBullet"/>
      </w:pPr>
      <w:r>
        <w:rPr>
          <w:rFonts w:ascii="Arial" w:hAnsi="Arial" w:cs="Arial"/>
          <w:vanish/>
          <w:spacing w:val="0"/>
          <w:sz w:val="18"/>
        </w:rPr>
        <w:t xml:space="preserve">BR_100.03 </w:t>
      </w:r>
      <w:r>
        <w:t xml:space="preserve">VBECS </w:t>
      </w:r>
      <w:r w:rsidR="00326CD8">
        <w:t xml:space="preserve">permanently </w:t>
      </w:r>
      <w:r>
        <w:t xml:space="preserve">marks the patient record and the specimen test to indicate that the patient has a justified ABO/Rh change, regardless of the user’s division. </w:t>
      </w:r>
    </w:p>
    <w:p w14:paraId="71AC0B0B" w14:textId="77777777" w:rsidR="002A21AE" w:rsidRDefault="002A21AE">
      <w:pPr>
        <w:pStyle w:val="ListBullet"/>
      </w:pPr>
      <w:r>
        <w:rPr>
          <w:rFonts w:ascii="Arial" w:hAnsi="Arial" w:cs="Arial"/>
          <w:vanish/>
          <w:spacing w:val="0"/>
          <w:sz w:val="18"/>
        </w:rPr>
        <w:t xml:space="preserve">BR_100.05 </w:t>
      </w:r>
      <w:r>
        <w:t>The justified ABO/Rh on the patient record forces the user’s selection to be used as the new historical record, replacing the current test result as the historic record. VBECS does not check for ABO/Rh discrepancies with tests entered for this patient prior to the justified test result.</w:t>
      </w:r>
    </w:p>
    <w:p w14:paraId="7030A56C" w14:textId="77777777" w:rsidR="002A21AE" w:rsidRDefault="002A21AE">
      <w:pPr>
        <w:pStyle w:val="ListBullet"/>
      </w:pPr>
      <w:r>
        <w:t>VBECS permanently disallows electronic crossmatch (eXM) for this patient.</w:t>
      </w:r>
    </w:p>
    <w:p w14:paraId="154706F7" w14:textId="77777777" w:rsidR="002A21AE" w:rsidRDefault="002A21AE">
      <w:pPr>
        <w:pStyle w:val="Heading4"/>
      </w:pPr>
      <w:r>
        <w:t>Limitations and Restrictions</w:t>
      </w:r>
    </w:p>
    <w:p w14:paraId="60E2E667" w14:textId="77777777" w:rsidR="002A21AE" w:rsidRDefault="002A21AE">
      <w:pPr>
        <w:pStyle w:val="ListBullet"/>
      </w:pPr>
      <w:r>
        <w:t>VBECS does not allow the selection or issue of certain blood components that may appear ABO/Rh compatible when discrepant ABO/Rh results are not justified.</w:t>
      </w:r>
    </w:p>
    <w:p w14:paraId="7BADF1DA" w14:textId="77777777" w:rsidR="002A21AE" w:rsidRDefault="002A21AE">
      <w:pPr>
        <w:pStyle w:val="Heading4"/>
      </w:pPr>
      <w:r>
        <w:t>Additional Information</w:t>
      </w:r>
      <w:r>
        <w:rPr>
          <w:rFonts w:ascii="Times New Roman" w:hAnsi="Times New Roman"/>
          <w:i/>
          <w:color w:val="0000FF"/>
          <w:sz w:val="24"/>
        </w:rPr>
        <w:t xml:space="preserve"> </w:t>
      </w:r>
    </w:p>
    <w:p w14:paraId="5B2442BD" w14:textId="77777777" w:rsidR="002A21AE" w:rsidRDefault="002A21AE">
      <w:pPr>
        <w:pStyle w:val="ListBullet"/>
      </w:pPr>
      <w:r>
        <w:rPr>
          <w:rFonts w:ascii="Arial" w:hAnsi="Arial" w:cs="Arial"/>
          <w:vanish/>
          <w:spacing w:val="0"/>
          <w:sz w:val="18"/>
        </w:rPr>
        <w:t xml:space="preserve">BR_100.07 </w:t>
      </w:r>
      <w:r>
        <w:t>When the discrepant ABO/Rh tests are on the same specimen, the user may not justify the patient’s ABO/Rh.</w:t>
      </w:r>
    </w:p>
    <w:p w14:paraId="192120F5" w14:textId="77777777" w:rsidR="002A21AE" w:rsidRDefault="002A21AE">
      <w:pPr>
        <w:pStyle w:val="ListBullet"/>
      </w:pPr>
      <w:r>
        <w:t xml:space="preserve">Do not use this option for ABO/Rh discrepancies that occur because the patient had a recent transfusion of a component of a type other than his own. </w:t>
      </w:r>
    </w:p>
    <w:p w14:paraId="26FA17BE" w14:textId="77777777" w:rsidR="002A21AE" w:rsidRDefault="002A21AE">
      <w:pPr>
        <w:pStyle w:val="ListBullet"/>
      </w:pPr>
      <w:r>
        <w:t>ABO/Rh discrepancies that occur because the previously tested or current specimen was tested in error are handled by inactivating the previously recorded test results through Invalidate Test Results.</w:t>
      </w:r>
    </w:p>
    <w:p w14:paraId="636DAB77" w14:textId="77777777" w:rsidR="002A21AE" w:rsidRDefault="002A21AE">
      <w:pPr>
        <w:pStyle w:val="ListBullet"/>
      </w:pPr>
      <w:r>
        <w:t xml:space="preserve">Subsequent specimens may need to be justified in the presence of continued discrepant ABO results. </w:t>
      </w:r>
    </w:p>
    <w:p w14:paraId="0157CD19" w14:textId="77777777" w:rsidR="002A21AE" w:rsidRDefault="002A21AE">
      <w:pPr>
        <w:pStyle w:val="ListBullet"/>
      </w:pPr>
      <w:r>
        <w:t>This option is used in rare clinical situations such as following bone marrow transplant.</w:t>
      </w:r>
    </w:p>
    <w:p w14:paraId="2063FBE5" w14:textId="77777777" w:rsidR="002A21AE" w:rsidRDefault="002A21AE">
      <w:pPr>
        <w:pStyle w:val="Heading4"/>
        <w:rPr>
          <w:b w:val="0"/>
        </w:rPr>
      </w:pPr>
      <w:r>
        <w:t>User Roles with Access to This Option</w:t>
      </w:r>
      <w:r>
        <w:rPr>
          <w:b w:val="0"/>
        </w:rPr>
        <w:t xml:space="preserve"> </w:t>
      </w:r>
    </w:p>
    <w:p w14:paraId="36C3426E" w14:textId="77777777" w:rsidR="002A21AE" w:rsidRDefault="00FE459D" w:rsidP="00FE459D">
      <w:pPr>
        <w:pStyle w:val="Roles"/>
        <w:rPr>
          <w:snapToGrid w:val="0"/>
        </w:rPr>
      </w:pPr>
      <w:r w:rsidRPr="00FE459D">
        <w:rPr>
          <w:rFonts w:ascii="Wingdings 3" w:hAnsi="Wingdings 3"/>
        </w:rPr>
        <w:t></w:t>
      </w:r>
      <w:r w:rsidRPr="00FE459D">
        <w:rPr>
          <w:rFonts w:ascii="Wingdings 3" w:hAnsi="Wingdings 3"/>
        </w:rPr>
        <w:t></w:t>
      </w:r>
      <w:r w:rsidRPr="00FE459D">
        <w:rPr>
          <w:rFonts w:ascii="Wingdings 3" w:hAnsi="Wingdings 3"/>
        </w:rPr>
        <w:t></w:t>
      </w:r>
      <w:r w:rsidRPr="00FE459D">
        <w:rPr>
          <w:rFonts w:ascii="Wingdings 3" w:hAnsi="Wingdings 3"/>
        </w:rPr>
        <w:t></w:t>
      </w:r>
      <w:r>
        <w:t xml:space="preserve"> Traditional Supervisor</w:t>
      </w:r>
    </w:p>
    <w:p w14:paraId="7BD84AD0" w14:textId="77777777" w:rsidR="002A21AE" w:rsidRDefault="002A21AE">
      <w:pPr>
        <w:pStyle w:val="Heading4"/>
      </w:pPr>
      <w:r>
        <w:t>Justify ABO/Rh Change</w:t>
      </w:r>
    </w:p>
    <w:p w14:paraId="33BB15C9" w14:textId="77777777" w:rsidR="002A21AE" w:rsidRDefault="002A21AE" w:rsidP="00FA7E65">
      <w:pPr>
        <w:pStyle w:val="BodyText"/>
      </w:pPr>
      <w:r>
        <w:t>The user determines that the patient’s current ABO/Rh testing results are valid, although they differ from previously recorded results, and that the patient requires a justification indicator on his record.</w:t>
      </w:r>
    </w:p>
    <w:p w14:paraId="2B3F7C30" w14:textId="77777777" w:rsidR="00E661A1" w:rsidRDefault="002A21AE" w:rsidP="00FA7E65">
      <w:pPr>
        <w:pStyle w:val="BodyText"/>
      </w:pPr>
      <w:r>
        <w:t>This option is used only when both the previous specimen testing and the current specimen testing are considered valid. There is a valid explanation for why the ABO/Rh interpretations do not match and invalidation of the test result is not appropriate. Once the current patient ABO/Rh result change is justified, VBECS marks the patient’s record so that special handling for component orders for the patient apply from this</w:t>
      </w:r>
      <w:r w:rsidRPr="00D86197">
        <w:rPr>
          <w:b/>
        </w:rPr>
        <w:t xml:space="preserve"> </w:t>
      </w:r>
      <w:r w:rsidRPr="00A752B1">
        <w:t>p</w:t>
      </w:r>
      <w:r>
        <w:t>oint forward and remain in effect until the patient record is inactivated by the recording of his death in VBECS or by removing the justification.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EDB4930" w14:textId="77777777">
        <w:trPr>
          <w:cantSplit/>
          <w:tblHeader/>
        </w:trPr>
        <w:tc>
          <w:tcPr>
            <w:tcW w:w="3240" w:type="dxa"/>
            <w:shd w:val="pct30" w:color="auto" w:fill="FFFFFF"/>
            <w:vAlign w:val="bottom"/>
          </w:tcPr>
          <w:p w14:paraId="4193F9E8" w14:textId="39C3BD67" w:rsidR="002A21AE" w:rsidRDefault="00E661A1">
            <w:pPr>
              <w:pStyle w:val="TableText"/>
              <w:rPr>
                <w:b/>
              </w:rPr>
            </w:pPr>
            <w:r>
              <w:lastRenderedPageBreak/>
              <w:br w:type="page"/>
            </w:r>
            <w:r w:rsidR="002A21AE">
              <w:rPr>
                <w:b/>
              </w:rPr>
              <w:t>User Action</w:t>
            </w:r>
          </w:p>
        </w:tc>
        <w:tc>
          <w:tcPr>
            <w:tcW w:w="6120" w:type="dxa"/>
            <w:shd w:val="pct30" w:color="auto" w:fill="FFFFFF"/>
            <w:vAlign w:val="bottom"/>
          </w:tcPr>
          <w:p w14:paraId="64E70C99" w14:textId="77777777" w:rsidR="002A21AE" w:rsidRDefault="002A21AE">
            <w:pPr>
              <w:pStyle w:val="TableText"/>
              <w:rPr>
                <w:b/>
              </w:rPr>
            </w:pPr>
            <w:r>
              <w:rPr>
                <w:b/>
              </w:rPr>
              <w:t>VBECS</w:t>
            </w:r>
          </w:p>
        </w:tc>
      </w:tr>
      <w:tr w:rsidR="002A21AE" w14:paraId="14FAC8D7" w14:textId="77777777">
        <w:tc>
          <w:tcPr>
            <w:tcW w:w="3240" w:type="dxa"/>
          </w:tcPr>
          <w:p w14:paraId="0D9376BB" w14:textId="77777777" w:rsidR="002A21AE" w:rsidRDefault="002A21AE">
            <w:pPr>
              <w:pStyle w:val="TableTextNumbers"/>
            </w:pPr>
            <w:r>
              <w:t xml:space="preserve">Select </w:t>
            </w:r>
            <w:r>
              <w:rPr>
                <w:b/>
              </w:rPr>
              <w:t>Supervisor</w:t>
            </w:r>
            <w:r>
              <w:t xml:space="preserve"> from the main menu.</w:t>
            </w:r>
          </w:p>
          <w:p w14:paraId="6D3E9190" w14:textId="77777777" w:rsidR="002A21AE" w:rsidRDefault="002A21AE">
            <w:pPr>
              <w:pStyle w:val="TableTextNumbersContinued"/>
            </w:pPr>
          </w:p>
          <w:p w14:paraId="146332E8" w14:textId="77777777" w:rsidR="002A21AE" w:rsidRDefault="002A21AE">
            <w:pPr>
              <w:pStyle w:val="TableTextNumbersContinued"/>
            </w:pPr>
            <w:r>
              <w:t xml:space="preserve">Select </w:t>
            </w:r>
            <w:r>
              <w:rPr>
                <w:b/>
              </w:rPr>
              <w:t>Justify ABO/Rh Change</w:t>
            </w:r>
            <w:r>
              <w:t>.</w:t>
            </w:r>
          </w:p>
        </w:tc>
        <w:tc>
          <w:tcPr>
            <w:tcW w:w="6120" w:type="dxa"/>
          </w:tcPr>
          <w:p w14:paraId="3CA4AFD8" w14:textId="77777777" w:rsidR="002A21AE" w:rsidRDefault="002A21AE">
            <w:pPr>
              <w:pStyle w:val="TableTextBullet"/>
            </w:pPr>
            <w:r>
              <w:t>Displays options available to supervisors.</w:t>
            </w:r>
          </w:p>
        </w:tc>
      </w:tr>
      <w:tr w:rsidR="002A21AE" w14:paraId="1520E1BB" w14:textId="77777777">
        <w:tc>
          <w:tcPr>
            <w:tcW w:w="3240" w:type="dxa"/>
          </w:tcPr>
          <w:p w14:paraId="73F78BA3" w14:textId="77777777" w:rsidR="002A21AE" w:rsidRDefault="002A21AE">
            <w:pPr>
              <w:pStyle w:val="TableTextNumbers"/>
            </w:pPr>
            <w:r>
              <w:t xml:space="preserve">Enter a patient name in the Patient field and click </w:t>
            </w:r>
            <w:r>
              <w:rPr>
                <w:b/>
                <w:bCs/>
              </w:rPr>
              <w:t>Search</w:t>
            </w:r>
            <w:r>
              <w:t xml:space="preserve"> to select a patient. </w:t>
            </w:r>
          </w:p>
          <w:p w14:paraId="7AB4DA82" w14:textId="77777777" w:rsidR="002A21AE" w:rsidRDefault="002A21AE">
            <w:pPr>
              <w:pStyle w:val="TableTextNumbersContinued"/>
            </w:pPr>
          </w:p>
          <w:p w14:paraId="072F9575" w14:textId="77777777" w:rsidR="002A21AE" w:rsidRDefault="002A21AE">
            <w:pPr>
              <w:pStyle w:val="TableTextNumbersContinued"/>
            </w:pPr>
            <w:r>
              <w:t>Select a patient.</w:t>
            </w:r>
          </w:p>
          <w:p w14:paraId="47855018" w14:textId="77777777" w:rsidR="00D86197" w:rsidRDefault="00D86197">
            <w:pPr>
              <w:pStyle w:val="TableTextNumbersContinued"/>
            </w:pPr>
          </w:p>
          <w:p w14:paraId="605E7119" w14:textId="77777777" w:rsidR="00D86197" w:rsidRDefault="00D86197">
            <w:pPr>
              <w:pStyle w:val="TableTextNumbersContinued"/>
            </w:pPr>
            <w:r>
              <w:t xml:space="preserve">Click </w:t>
            </w:r>
            <w:r w:rsidRPr="00D86197">
              <w:rPr>
                <w:b/>
              </w:rPr>
              <w:t>OK</w:t>
            </w:r>
            <w:r>
              <w:t>.</w:t>
            </w:r>
          </w:p>
        </w:tc>
        <w:tc>
          <w:tcPr>
            <w:tcW w:w="6120" w:type="dxa"/>
          </w:tcPr>
          <w:p w14:paraId="2225B7C2" w14:textId="77777777" w:rsidR="002A21AE" w:rsidRDefault="002A21AE">
            <w:pPr>
              <w:pStyle w:val="TableTextBullet"/>
            </w:pPr>
            <w:r>
              <w:t>Displays a screen for patient selection.</w:t>
            </w:r>
          </w:p>
          <w:p w14:paraId="1C0741A1" w14:textId="77777777" w:rsidR="002A21AE" w:rsidRDefault="002A21AE">
            <w:pPr>
              <w:pStyle w:val="TableTextBullet"/>
            </w:pPr>
            <w:r>
              <w:t>Disallows the justification or allows the user to continue.</w:t>
            </w:r>
          </w:p>
          <w:p w14:paraId="5D6D8126" w14:textId="77777777" w:rsidR="002A21AE" w:rsidRDefault="002A21AE">
            <w:pPr>
              <w:pStyle w:val="TableText"/>
            </w:pPr>
          </w:p>
          <w:p w14:paraId="4D006978" w14:textId="1B92EF9A" w:rsidR="002A21AE" w:rsidRDefault="002A21AE">
            <w:pPr>
              <w:pStyle w:val="TableText"/>
              <w:rPr>
                <w:b/>
                <w:bCs/>
                <w:szCs w:val="18"/>
              </w:rPr>
            </w:pPr>
            <w:r>
              <w:rPr>
                <w:b/>
                <w:bCs/>
                <w:szCs w:val="18"/>
              </w:rPr>
              <w:t>NOTES</w:t>
            </w:r>
          </w:p>
          <w:p w14:paraId="23DAF231" w14:textId="77777777" w:rsidR="002A21AE" w:rsidRDefault="002A21AE">
            <w:pPr>
              <w:pStyle w:val="NotesText"/>
            </w:pPr>
          </w:p>
          <w:p w14:paraId="218A1439" w14:textId="77777777" w:rsidR="002A21AE" w:rsidRDefault="002A21AE">
            <w:pPr>
              <w:pStyle w:val="NotesText"/>
            </w:pPr>
            <w:r>
              <w:rPr>
                <w:rFonts w:cs="Arial"/>
                <w:vanish/>
              </w:rPr>
              <w:t xml:space="preserve">BR_100.01 </w:t>
            </w:r>
            <w:r>
              <w:t>VBECS compares the results of the current ABO/Rh with the previous ABO/Rh results. When there is no discrepancy, VBECS warns that no justification is required. There is no override. VBECS clears the screen and the user may select another patient.</w:t>
            </w:r>
          </w:p>
          <w:p w14:paraId="4936A10E" w14:textId="77777777" w:rsidR="002A21AE" w:rsidRDefault="002A21AE">
            <w:pPr>
              <w:pStyle w:val="NotesText"/>
            </w:pPr>
          </w:p>
          <w:p w14:paraId="4FCD6177" w14:textId="057E7290" w:rsidR="00DA3007" w:rsidRDefault="002A21AE" w:rsidP="0027202D">
            <w:pPr>
              <w:pStyle w:val="NotesText"/>
            </w:pPr>
            <w:r>
              <w:rPr>
                <w:rFonts w:cs="Arial"/>
                <w:vanish/>
              </w:rPr>
              <w:t xml:space="preserve">BR_100.06 </w:t>
            </w:r>
            <w:r>
              <w:t>VBECS warns the user to use this option only when both the current and previous specimen tests are valid, otherwise, use Invalidate</w:t>
            </w:r>
            <w:r w:rsidR="008902F4">
              <w:t xml:space="preserve"> Patient Test</w:t>
            </w:r>
            <w:r>
              <w:t xml:space="preserve"> Results</w:t>
            </w:r>
            <w:r w:rsidR="0027202D">
              <w:t>.</w:t>
            </w:r>
          </w:p>
        </w:tc>
      </w:tr>
      <w:tr w:rsidR="002A21AE" w14:paraId="2E3B3960" w14:textId="77777777">
        <w:tc>
          <w:tcPr>
            <w:tcW w:w="3240" w:type="dxa"/>
          </w:tcPr>
          <w:p w14:paraId="2980920F" w14:textId="0FF84534" w:rsidR="002A21AE" w:rsidRDefault="002A21AE">
            <w:pPr>
              <w:pStyle w:val="TableTextNumbers"/>
            </w:pPr>
            <w:r>
              <w:t>Select an ABO/Rh interpretation as the patient’s justified historical record</w:t>
            </w:r>
            <w:r w:rsidR="0052270D">
              <w:t xml:space="preserve"> (</w:t>
            </w:r>
            <w:r w:rsidR="00830A4C">
              <w:fldChar w:fldCharType="begin"/>
            </w:r>
            <w:r w:rsidR="00830A4C">
              <w:instrText xml:space="preserve"> REF _Ref128535822 \h </w:instrText>
            </w:r>
            <w:r w:rsidR="00830A4C">
              <w:fldChar w:fldCharType="separate"/>
            </w:r>
            <w:r w:rsidR="004353ED">
              <w:t xml:space="preserve">Figure </w:t>
            </w:r>
            <w:r w:rsidR="004353ED">
              <w:rPr>
                <w:noProof/>
              </w:rPr>
              <w:t>142</w:t>
            </w:r>
            <w:r w:rsidR="00830A4C">
              <w:fldChar w:fldCharType="end"/>
            </w:r>
            <w:r w:rsidR="0052270D">
              <w:t>)</w:t>
            </w:r>
            <w:r>
              <w:t>.</w:t>
            </w:r>
          </w:p>
        </w:tc>
        <w:tc>
          <w:tcPr>
            <w:tcW w:w="6120" w:type="dxa"/>
          </w:tcPr>
          <w:p w14:paraId="44701C18" w14:textId="77777777" w:rsidR="002A21AE" w:rsidRDefault="002A21AE">
            <w:pPr>
              <w:pStyle w:val="TableTextBullet"/>
            </w:pPr>
            <w:r>
              <w:t xml:space="preserve">Displays details of the historic and current ABO/Rh testing for comparison and a list of available ABO and Rh types for user selection. </w:t>
            </w:r>
          </w:p>
          <w:p w14:paraId="1BF2ABF9" w14:textId="77777777" w:rsidR="002A21AE" w:rsidRDefault="002A21AE">
            <w:pPr>
              <w:pStyle w:val="TableTextBullet"/>
            </w:pPr>
            <w:r>
              <w:t>Requires a comment to continue.</w:t>
            </w:r>
          </w:p>
          <w:p w14:paraId="47BC2E79" w14:textId="77777777" w:rsidR="002A21AE" w:rsidRDefault="002A21AE">
            <w:pPr>
              <w:pStyle w:val="TableText"/>
            </w:pPr>
          </w:p>
          <w:p w14:paraId="194FA895" w14:textId="6EFE9DB7" w:rsidR="002A21AE" w:rsidRDefault="002A21AE">
            <w:pPr>
              <w:pStyle w:val="TableText"/>
              <w:rPr>
                <w:b/>
                <w:bCs/>
                <w:szCs w:val="18"/>
              </w:rPr>
            </w:pPr>
            <w:r>
              <w:rPr>
                <w:b/>
                <w:bCs/>
                <w:szCs w:val="18"/>
              </w:rPr>
              <w:t>NOTES</w:t>
            </w:r>
          </w:p>
          <w:p w14:paraId="200320B1" w14:textId="77777777" w:rsidR="002A21AE" w:rsidRDefault="002A21AE">
            <w:pPr>
              <w:pStyle w:val="NotesText"/>
            </w:pPr>
          </w:p>
          <w:p w14:paraId="3309E17F" w14:textId="77777777" w:rsidR="002A21AE" w:rsidRDefault="002A21AE">
            <w:pPr>
              <w:pStyle w:val="NotesText"/>
            </w:pPr>
            <w:r>
              <w:rPr>
                <w:rFonts w:cs="Arial"/>
                <w:vanish/>
              </w:rPr>
              <w:t xml:space="preserve">BR_100.04 </w:t>
            </w:r>
            <w:r>
              <w:t>The user may select one ABO group and one Rh type for the patient to serve as the justified ABO/Rh typing in the historic record. VBECS displays the current ABO and Rh interpretations as the defaults.</w:t>
            </w:r>
          </w:p>
          <w:p w14:paraId="1D1C8BA6" w14:textId="77777777" w:rsidR="002A21AE" w:rsidRDefault="002A21AE">
            <w:pPr>
              <w:pStyle w:val="NotesText"/>
            </w:pPr>
          </w:p>
          <w:p w14:paraId="6B260FDB" w14:textId="77777777" w:rsidR="002A21AE" w:rsidRDefault="002A21AE">
            <w:pPr>
              <w:pStyle w:val="NotesText"/>
            </w:pPr>
            <w:r>
              <w:rPr>
                <w:rFonts w:cs="Arial"/>
                <w:vanish/>
              </w:rPr>
              <w:t xml:space="preserve">BR_100.02 </w:t>
            </w:r>
            <w:r>
              <w:t>VBECS requires a comment to continue.</w:t>
            </w:r>
          </w:p>
        </w:tc>
      </w:tr>
      <w:tr w:rsidR="002A21AE" w14:paraId="7A2CEF1E" w14:textId="77777777">
        <w:tc>
          <w:tcPr>
            <w:tcW w:w="3240" w:type="dxa"/>
          </w:tcPr>
          <w:p w14:paraId="3114D23F" w14:textId="77777777" w:rsidR="002A21AE" w:rsidRDefault="002A21AE">
            <w:pPr>
              <w:pStyle w:val="TableTextNumbers"/>
            </w:pPr>
            <w:r>
              <w:t xml:space="preserve">Confirm the update of the database with the justified ABO/Rh. </w:t>
            </w:r>
          </w:p>
          <w:p w14:paraId="06D28179" w14:textId="77777777" w:rsidR="002A21AE" w:rsidRDefault="002A21AE">
            <w:pPr>
              <w:pStyle w:val="TableTextNumbersContinued"/>
            </w:pPr>
          </w:p>
          <w:p w14:paraId="54BDB67A" w14:textId="77777777" w:rsidR="002A21AE" w:rsidRDefault="002A21AE">
            <w:pPr>
              <w:pStyle w:val="TableTextNumbersContinued"/>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634" w:author="Blalock, David (Leidos)" w:date="2020-06-15T14:09:00Z" w:original="0."/>
              </w:fldChar>
            </w:r>
          </w:p>
        </w:tc>
        <w:tc>
          <w:tcPr>
            <w:tcW w:w="6120" w:type="dxa"/>
          </w:tcPr>
          <w:p w14:paraId="0D0E5704" w14:textId="77777777" w:rsidR="002A21AE" w:rsidRDefault="002A21AE">
            <w:pPr>
              <w:pStyle w:val="TableTextBullet"/>
            </w:pPr>
            <w:r>
              <w:t>Updates the patient record.</w:t>
            </w:r>
          </w:p>
        </w:tc>
      </w:tr>
    </w:tbl>
    <w:p w14:paraId="28DE5AB8" w14:textId="5EB70BF3" w:rsidR="00830A4C" w:rsidRDefault="00830A4C" w:rsidP="00830A4C">
      <w:pPr>
        <w:pStyle w:val="Caption"/>
      </w:pPr>
      <w:bookmarkStart w:id="635" w:name="_Ref12853582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142</w:t>
      </w:r>
      <w:r w:rsidR="004E20BD">
        <w:rPr>
          <w:noProof/>
        </w:rPr>
        <w:fldChar w:fldCharType="end"/>
      </w:r>
      <w:bookmarkEnd w:id="635"/>
      <w:r>
        <w:t>: Justify ABO/Rh Change</w:t>
      </w:r>
    </w:p>
    <w:p w14:paraId="754B1264" w14:textId="77777777" w:rsidR="00830A4C" w:rsidRDefault="00057948" w:rsidP="00830A4C">
      <w:pPr>
        <w:pStyle w:val="BodyText"/>
      </w:pPr>
      <w:r>
        <w:rPr>
          <w:noProof/>
        </w:rPr>
        <w:drawing>
          <wp:inline distT="0" distB="0" distL="0" distR="0" wp14:anchorId="300F4409" wp14:editId="757E394B">
            <wp:extent cx="4572000" cy="3204845"/>
            <wp:effectExtent l="0" t="0" r="0" b="0"/>
            <wp:docPr id="261" name="Picture 2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a:extLst>
                        <a:ext uri="{C183D7F6-B498-43B3-948B-1728B52AA6E4}">
                          <adec:decorative xmlns:adec="http://schemas.microsoft.com/office/drawing/2017/decorative" val="1"/>
                        </a:ext>
                      </a:extLst>
                    </pic:cNvPr>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4572000" cy="3204845"/>
                    </a:xfrm>
                    <a:prstGeom prst="rect">
                      <a:avLst/>
                    </a:prstGeom>
                    <a:noFill/>
                    <a:ln>
                      <a:noFill/>
                    </a:ln>
                  </pic:spPr>
                </pic:pic>
              </a:graphicData>
            </a:graphic>
          </wp:inline>
        </w:drawing>
      </w:r>
    </w:p>
    <w:p w14:paraId="623B94E9" w14:textId="77777777" w:rsidR="009D0008" w:rsidRDefault="009D0008">
      <w:pPr>
        <w:rPr>
          <w:sz w:val="22"/>
          <w:szCs w:val="22"/>
        </w:rPr>
      </w:pPr>
      <w:r>
        <w:rPr>
          <w:sz w:val="22"/>
          <w:szCs w:val="22"/>
        </w:rPr>
        <w:br w:type="page"/>
      </w:r>
    </w:p>
    <w:p w14:paraId="18C9D53E" w14:textId="05FD54A5" w:rsidR="000E5480" w:rsidRPr="000E5480" w:rsidRDefault="000E5480" w:rsidP="000E5480">
      <w:pPr>
        <w:jc w:val="center"/>
        <w:rPr>
          <w:sz w:val="22"/>
          <w:szCs w:val="22"/>
        </w:rPr>
      </w:pPr>
      <w:r w:rsidRPr="000E5480">
        <w:rPr>
          <w:sz w:val="22"/>
          <w:szCs w:val="22"/>
        </w:rPr>
        <w:lastRenderedPageBreak/>
        <w:t>This page intentionally left blank.</w:t>
      </w:r>
    </w:p>
    <w:p w14:paraId="17DFF66C" w14:textId="77777777" w:rsidR="000E5480" w:rsidRDefault="000E5480">
      <w:r>
        <w:br w:type="page"/>
      </w:r>
    </w:p>
    <w:p w14:paraId="5C0D8674" w14:textId="10D00E86" w:rsidR="007A4841" w:rsidRDefault="007A4841" w:rsidP="007A49E1">
      <w:pPr>
        <w:pStyle w:val="Heading1"/>
      </w:pPr>
      <w:bookmarkStart w:id="636" w:name="_Toc47516770"/>
      <w:r>
        <w:lastRenderedPageBreak/>
        <w:t>Automated Testing</w:t>
      </w:r>
      <w:bookmarkEnd w:id="636"/>
      <w:r w:rsidRPr="00B31DA1">
        <w:rPr>
          <w:vanish/>
        </w:rPr>
        <w:t>{ XE “Automated Testing” }</w:t>
      </w:r>
      <w:r w:rsidRPr="00B31DA1">
        <w:rPr>
          <w:i/>
          <w:vanish/>
        </w:rPr>
        <w:t>UC_114, UC_115</w:t>
      </w:r>
    </w:p>
    <w:p w14:paraId="0DEC015C" w14:textId="77777777" w:rsidR="00B45FA2" w:rsidRDefault="00B45FA2" w:rsidP="007A4841">
      <w:pPr>
        <w:pStyle w:val="Heading2"/>
      </w:pPr>
      <w:bookmarkStart w:id="637" w:name="_Toc47516771"/>
      <w:r>
        <w:t>Automated Testing Interface</w:t>
      </w:r>
      <w:bookmarkEnd w:id="637"/>
      <w:r>
        <w:fldChar w:fldCharType="begin"/>
      </w:r>
      <w:r>
        <w:instrText xml:space="preserve"> XE “Automated Testing Interface” </w:instrText>
      </w:r>
      <w:r>
        <w:fldChar w:fldCharType="end"/>
      </w:r>
      <w:r>
        <w:t xml:space="preserve"> </w:t>
      </w:r>
      <w:r>
        <w:rPr>
          <w:rFonts w:ascii="Times New Roman" w:hAnsi="Times New Roman" w:cs="Times New Roman"/>
          <w:b w:val="0"/>
          <w:i w:val="0"/>
          <w:vanish/>
          <w:sz w:val="22"/>
        </w:rPr>
        <w:t>UC_114</w:t>
      </w:r>
    </w:p>
    <w:p w14:paraId="31FCEB82" w14:textId="77777777" w:rsidR="007B52EA" w:rsidRDefault="00B45FA2" w:rsidP="00B45FA2">
      <w:pPr>
        <w:pStyle w:val="BodyText"/>
      </w:pPr>
      <w:r w:rsidRPr="00311A54">
        <w:t xml:space="preserve">The user </w:t>
      </w:r>
      <w:r w:rsidR="0081699D" w:rsidRPr="00311A54">
        <w:t>sends test results to VBECS</w:t>
      </w:r>
      <w:r w:rsidR="00F27904">
        <w:t xml:space="preserve"> from an automated instrument</w:t>
      </w:r>
      <w:r w:rsidRPr="00311A54">
        <w:t>.</w:t>
      </w:r>
    </w:p>
    <w:p w14:paraId="4EE39FD6" w14:textId="34B9ADDC" w:rsidR="007B52EA" w:rsidRDefault="007B52EA" w:rsidP="007B52EA">
      <w:pPr>
        <w:pStyle w:val="BodyText"/>
      </w:pPr>
      <w:r>
        <w:t xml:space="preserve">For details about interface configuration please refer to the </w:t>
      </w:r>
      <w:r w:rsidR="00531617" w:rsidRPr="00531617">
        <w:rPr>
          <w:i/>
        </w:rPr>
        <w:t>V</w:t>
      </w:r>
      <w:r w:rsidR="00BA2EAA">
        <w:rPr>
          <w:i/>
        </w:rPr>
        <w:t>BECS 2.3.2 Administrator User</w:t>
      </w:r>
      <w:r w:rsidRPr="00531617">
        <w:rPr>
          <w:i/>
        </w:rPr>
        <w:t xml:space="preserve"> Guide</w:t>
      </w:r>
      <w:r w:rsidR="004A1C69">
        <w:t>.</w:t>
      </w:r>
    </w:p>
    <w:p w14:paraId="0D77A4C5" w14:textId="77777777" w:rsidR="00B45FA2" w:rsidRDefault="00B45FA2" w:rsidP="00B45FA2">
      <w:pPr>
        <w:pStyle w:val="Heading4"/>
      </w:pPr>
      <w:r>
        <w:t>Assumptions</w:t>
      </w:r>
      <w:r>
        <w:rPr>
          <w:b w:val="0"/>
        </w:rPr>
        <w:t xml:space="preserve"> </w:t>
      </w:r>
    </w:p>
    <w:p w14:paraId="41F8CCBE" w14:textId="77777777" w:rsidR="004926E0" w:rsidRDefault="004926E0" w:rsidP="000409B1">
      <w:pPr>
        <w:pStyle w:val="TableTextBullet"/>
        <w:numPr>
          <w:ilvl w:val="0"/>
          <w:numId w:val="48"/>
        </w:numPr>
        <w:ind w:right="63"/>
        <w:rPr>
          <w:rFonts w:ascii="Times New Roman" w:hAnsi="Times New Roman"/>
          <w:spacing w:val="-5"/>
          <w:sz w:val="22"/>
          <w:szCs w:val="22"/>
        </w:rPr>
      </w:pPr>
      <w:r>
        <w:rPr>
          <w:rFonts w:ascii="Times New Roman" w:hAnsi="Times New Roman"/>
          <w:spacing w:val="-5"/>
          <w:sz w:val="22"/>
          <w:szCs w:val="22"/>
        </w:rPr>
        <w:t>Test Results have been reviewed and released on the instrument to be transmitted to VBECS.</w:t>
      </w:r>
      <w:r w:rsidR="00FC74A0">
        <w:rPr>
          <w:rFonts w:ascii="Times New Roman" w:hAnsi="Times New Roman"/>
          <w:spacing w:val="-5"/>
          <w:sz w:val="22"/>
          <w:szCs w:val="22"/>
        </w:rPr>
        <w:t xml:space="preserve"> </w:t>
      </w:r>
      <w:r w:rsidR="00FC74A0" w:rsidRPr="00FC74A0">
        <w:rPr>
          <w:rFonts w:ascii="Times New Roman" w:hAnsi="Times New Roman"/>
          <w:vanish/>
          <w:spacing w:val="-5"/>
          <w:sz w:val="22"/>
          <w:szCs w:val="22"/>
        </w:rPr>
        <w:t xml:space="preserve">Defect </w:t>
      </w:r>
      <w:r w:rsidR="00FC74A0" w:rsidRPr="00FC74A0">
        <w:rPr>
          <w:vanish/>
        </w:rPr>
        <w:t>357490</w:t>
      </w:r>
    </w:p>
    <w:p w14:paraId="00D37130"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A patient testing order must be accepted in VBECS and pending test results.</w:t>
      </w:r>
    </w:p>
    <w:p w14:paraId="4AAA01F3"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A blood unit must be received in the VBECS division.</w:t>
      </w:r>
    </w:p>
    <w:p w14:paraId="77199401"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The testing instrument is fully functional and available for use:  The instrument QC is completed and valid, no maintenance is required and test results are available for transmission to VBECS.</w:t>
      </w:r>
    </w:p>
    <w:p w14:paraId="2B4FCFAB" w14:textId="77777777" w:rsidR="00B45FA2"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 xml:space="preserve">Interface Control Parameters </w:t>
      </w:r>
      <w:r>
        <w:rPr>
          <w:rFonts w:ascii="Times New Roman" w:hAnsi="Times New Roman"/>
          <w:spacing w:val="-5"/>
          <w:sz w:val="22"/>
          <w:szCs w:val="22"/>
        </w:rPr>
        <w:t>have</w:t>
      </w:r>
      <w:r w:rsidRPr="00B23B06">
        <w:rPr>
          <w:rFonts w:ascii="Times New Roman" w:hAnsi="Times New Roman"/>
          <w:spacing w:val="-5"/>
          <w:sz w:val="22"/>
          <w:szCs w:val="22"/>
        </w:rPr>
        <w:t xml:space="preserve"> been completed and </w:t>
      </w:r>
      <w:r>
        <w:rPr>
          <w:rFonts w:ascii="Times New Roman" w:hAnsi="Times New Roman"/>
          <w:spacing w:val="-5"/>
          <w:sz w:val="22"/>
          <w:szCs w:val="22"/>
        </w:rPr>
        <w:t>are</w:t>
      </w:r>
      <w:r w:rsidRPr="00B23B06">
        <w:rPr>
          <w:rFonts w:ascii="Times New Roman" w:hAnsi="Times New Roman"/>
          <w:spacing w:val="-5"/>
          <w:sz w:val="22"/>
          <w:szCs w:val="22"/>
        </w:rPr>
        <w:t xml:space="preserve"> enabled for the automated instrument interface</w:t>
      </w:r>
      <w:r w:rsidR="00F27904">
        <w:rPr>
          <w:rFonts w:ascii="Times New Roman" w:hAnsi="Times New Roman"/>
          <w:spacing w:val="-5"/>
          <w:sz w:val="22"/>
          <w:szCs w:val="22"/>
        </w:rPr>
        <w:t xml:space="preserve"> in the VBECS Administrator</w:t>
      </w:r>
      <w:r w:rsidRPr="00B23B06">
        <w:rPr>
          <w:rFonts w:ascii="Times New Roman" w:hAnsi="Times New Roman"/>
          <w:spacing w:val="-5"/>
          <w:sz w:val="22"/>
          <w:szCs w:val="22"/>
        </w:rPr>
        <w:t>.</w:t>
      </w:r>
    </w:p>
    <w:p w14:paraId="2FDE9CC7"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Pr>
          <w:rFonts w:ascii="Times New Roman" w:hAnsi="Times New Roman"/>
          <w:spacing w:val="-5"/>
          <w:sz w:val="22"/>
          <w:szCs w:val="22"/>
        </w:rPr>
        <w:t>Data Innovations Instrument Manager message interface is properly and completely configured.</w:t>
      </w:r>
    </w:p>
    <w:p w14:paraId="0A3146FA" w14:textId="77777777" w:rsidR="00B45FA2" w:rsidRDefault="00B45FA2" w:rsidP="00B45FA2">
      <w:pPr>
        <w:pStyle w:val="Heading4"/>
      </w:pPr>
      <w:r>
        <w:t xml:space="preserve">Outcome </w:t>
      </w:r>
    </w:p>
    <w:p w14:paraId="1F7C9FA4" w14:textId="77777777" w:rsidR="00B45FA2" w:rsidRDefault="0081699D" w:rsidP="00B45FA2">
      <w:pPr>
        <w:pStyle w:val="ListBullet"/>
      </w:pPr>
      <w:r w:rsidRPr="00311A54">
        <w:t>Test results are received by VBECS</w:t>
      </w:r>
      <w:r w:rsidR="00B45FA2" w:rsidRPr="00311A54">
        <w:t>.</w:t>
      </w:r>
    </w:p>
    <w:p w14:paraId="0B05209C" w14:textId="77777777" w:rsidR="00F27904" w:rsidRPr="00311A54" w:rsidRDefault="00F27904" w:rsidP="00B45FA2">
      <w:pPr>
        <w:pStyle w:val="ListBullet"/>
      </w:pPr>
      <w:r>
        <w:t>Task status is updated for tests pending completion.</w:t>
      </w:r>
    </w:p>
    <w:p w14:paraId="5EC0C5D4" w14:textId="77777777" w:rsidR="00B45FA2" w:rsidRDefault="00B45FA2" w:rsidP="00B45FA2">
      <w:pPr>
        <w:pStyle w:val="Heading4"/>
      </w:pPr>
      <w:r>
        <w:t>Limitations and Restrictions</w:t>
      </w:r>
      <w:r>
        <w:rPr>
          <w:b w:val="0"/>
        </w:rPr>
        <w:t xml:space="preserve"> </w:t>
      </w:r>
    </w:p>
    <w:p w14:paraId="247248F5" w14:textId="77777777" w:rsidR="00586388" w:rsidRPr="00586388" w:rsidRDefault="00586388" w:rsidP="000409B1">
      <w:pPr>
        <w:pStyle w:val="TableTextBullet"/>
        <w:numPr>
          <w:ilvl w:val="0"/>
          <w:numId w:val="48"/>
        </w:numPr>
        <w:ind w:right="63"/>
        <w:rPr>
          <w:rFonts w:ascii="Times New Roman" w:hAnsi="Times New Roman"/>
          <w:spacing w:val="-5"/>
          <w:sz w:val="22"/>
          <w:szCs w:val="22"/>
        </w:rPr>
      </w:pPr>
      <w:r w:rsidRPr="00586388">
        <w:rPr>
          <w:rFonts w:ascii="Times New Roman" w:hAnsi="Times New Roman"/>
          <w:sz w:val="22"/>
          <w:szCs w:val="22"/>
        </w:rPr>
        <w:t xml:space="preserve">VBECS has only been tested with one automated instrument connected. </w:t>
      </w:r>
      <w:r w:rsidRPr="00586388">
        <w:rPr>
          <w:rFonts w:ascii="Times New Roman" w:hAnsi="Times New Roman"/>
          <w:vanish/>
          <w:sz w:val="22"/>
          <w:szCs w:val="22"/>
        </w:rPr>
        <w:t>Defect 357490</w:t>
      </w:r>
    </w:p>
    <w:p w14:paraId="4F65AAE8"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Not available for transmission to Transfusion only facilities from a blood center due to constraints of VA’s security software.</w:t>
      </w:r>
    </w:p>
    <w:p w14:paraId="0A5A6033"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The results of Antibody Panels (ABID) will not be accepted by the VBECS Automated Interface.</w:t>
      </w:r>
    </w:p>
    <w:p w14:paraId="482936CE" w14:textId="77777777" w:rsidR="00B45FA2"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The results of QC information from automated instruments will not be accepted by the VBECS Automated Interface.</w:t>
      </w:r>
    </w:p>
    <w:p w14:paraId="7028521A" w14:textId="77777777" w:rsidR="00D33B43" w:rsidRPr="004926E0" w:rsidRDefault="00B45FA2" w:rsidP="000409B1">
      <w:pPr>
        <w:pStyle w:val="TableTextBullet"/>
        <w:numPr>
          <w:ilvl w:val="0"/>
          <w:numId w:val="48"/>
        </w:numPr>
        <w:ind w:right="63"/>
        <w:rPr>
          <w:rFonts w:ascii="Times New Roman" w:hAnsi="Times New Roman"/>
          <w:spacing w:val="-5"/>
          <w:sz w:val="22"/>
          <w:szCs w:val="22"/>
        </w:rPr>
      </w:pPr>
      <w:r w:rsidRPr="004926E0">
        <w:rPr>
          <w:rFonts w:ascii="Times New Roman" w:hAnsi="Times New Roman"/>
          <w:spacing w:val="-5"/>
          <w:sz w:val="22"/>
          <w:szCs w:val="22"/>
        </w:rPr>
        <w:t>Time zone will not be included in HL7 message date time from the broadcasting application (Instrument Manager). The time zone is determined from the division code contained in the message header (MSH) segment of the message.</w:t>
      </w:r>
      <w:r w:rsidR="00D33B43" w:rsidRPr="004926E0">
        <w:rPr>
          <w:rFonts w:ascii="Times New Roman" w:hAnsi="Times New Roman"/>
          <w:vanish/>
          <w:spacing w:val="-5"/>
          <w:sz w:val="22"/>
          <w:szCs w:val="22"/>
        </w:rPr>
        <w:t xml:space="preserve">Defects 290088, 290166 </w:t>
      </w:r>
    </w:p>
    <w:p w14:paraId="55E2A468" w14:textId="77777777" w:rsidR="00B45FA2" w:rsidRDefault="00B45FA2" w:rsidP="00B45FA2">
      <w:pPr>
        <w:pStyle w:val="Heading4"/>
      </w:pPr>
      <w:r>
        <w:t xml:space="preserve">Additional Information </w:t>
      </w:r>
    </w:p>
    <w:p w14:paraId="72CA1873" w14:textId="77777777" w:rsidR="00B45FA2" w:rsidRDefault="00B45FA2" w:rsidP="00B45FA2">
      <w:pPr>
        <w:pStyle w:val="ListBullet"/>
      </w:pPr>
      <w:r>
        <w:t xml:space="preserve">VBECS </w:t>
      </w:r>
      <w:r w:rsidRPr="00BA0C95">
        <w:t xml:space="preserve">will accommodate </w:t>
      </w:r>
      <w:r>
        <w:t xml:space="preserve">antigen typing test results </w:t>
      </w:r>
      <w:r w:rsidRPr="00BA0C95">
        <w:t>where antigen typing tests are available in VBECS.</w:t>
      </w:r>
    </w:p>
    <w:p w14:paraId="4E18D87B" w14:textId="77777777" w:rsidR="002C3F2F" w:rsidRDefault="00057948" w:rsidP="002C3F2F">
      <w:pPr>
        <w:pStyle w:val="ListBullet"/>
      </w:pPr>
      <w:r>
        <w:rPr>
          <w:noProof/>
        </w:rPr>
        <w:drawing>
          <wp:inline distT="0" distB="0" distL="0" distR="0" wp14:anchorId="48A86715" wp14:editId="0668E35B">
            <wp:extent cx="276860" cy="221615"/>
            <wp:effectExtent l="0" t="0" r="8890" b="6985"/>
            <wp:docPr id="2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t xml:space="preserve"> </w:t>
      </w:r>
      <w:r w:rsidR="002C3F2F" w:rsidRPr="002C3F2F">
        <w:rPr>
          <w:vanish/>
        </w:rPr>
        <w:t>Defect 362099</w:t>
      </w:r>
    </w:p>
    <w:p w14:paraId="2A35C552" w14:textId="77777777" w:rsidR="00B45FA2" w:rsidRDefault="00B45FA2" w:rsidP="00B45FA2">
      <w:pPr>
        <w:pStyle w:val="Heading4"/>
        <w:rPr>
          <w:b w:val="0"/>
        </w:rPr>
      </w:pPr>
      <w:r>
        <w:t>User Roles with Access to This Option</w:t>
      </w:r>
      <w:r>
        <w:rPr>
          <w:b w:val="0"/>
        </w:rPr>
        <w:t xml:space="preserve"> </w:t>
      </w:r>
    </w:p>
    <w:p w14:paraId="6BDF9E13" w14:textId="77777777" w:rsidR="00B45FA2" w:rsidRDefault="00B45FA2" w:rsidP="00B45FA2">
      <w:pPr>
        <w:pStyle w:val="Roles"/>
      </w:pPr>
      <w:r>
        <w:t>All users</w:t>
      </w:r>
    </w:p>
    <w:p w14:paraId="7CC01D15" w14:textId="77777777" w:rsidR="00B45FA2" w:rsidRDefault="009068D5" w:rsidP="00B45FA2">
      <w:pPr>
        <w:pStyle w:val="Heading4"/>
      </w:pPr>
      <w:r>
        <w:lastRenderedPageBreak/>
        <w:t>Automated Testing Interface</w:t>
      </w:r>
    </w:p>
    <w:p w14:paraId="7128BB44" w14:textId="77777777" w:rsidR="00B45FA2" w:rsidRDefault="00311A54" w:rsidP="00B45FA2">
      <w:pPr>
        <w:pStyle w:val="BodyText"/>
      </w:pPr>
      <w:r>
        <w:t xml:space="preserve">This </w:t>
      </w:r>
      <w:r w:rsidR="00F27904">
        <w:t>feature</w:t>
      </w:r>
      <w:r>
        <w:t xml:space="preserve"> allows the interface of automated blood banking instruments with VBECS through Data Innovat</w:t>
      </w:r>
      <w:r w:rsidR="00F27904">
        <w:t>ions Instrument Manager. It</w:t>
      </w:r>
      <w:r>
        <w:t xml:space="preserve"> eliminate</w:t>
      </w:r>
      <w:r w:rsidR="00F27904">
        <w:t>s</w:t>
      </w:r>
      <w:r>
        <w:t xml:space="preserve"> the potential for human error associated with the manual entry of results from an automated instrument into</w:t>
      </w:r>
      <w:r w:rsidR="00F27904">
        <w:t xml:space="preserve"> </w:t>
      </w:r>
      <w:r>
        <w:t>VBECS</w:t>
      </w:r>
      <w:r w:rsidR="00F27904">
        <w:t xml:space="preserve">. </w:t>
      </w:r>
      <w:r w:rsidR="00640909">
        <w:t>It also eliminates t</w:t>
      </w:r>
      <w:r>
        <w:t>he potential for transcription errors that can lead to a patient safety issue of ABO incompatible transfusion. In addition to safety, these enhancements will also reduce the time spent entering results manually</w:t>
      </w:r>
      <w:r w:rsidR="00B45FA2"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45FA2" w14:paraId="7BE3592D" w14:textId="77777777" w:rsidTr="003F6E8A">
        <w:trPr>
          <w:cantSplit/>
          <w:tblHeader/>
        </w:trPr>
        <w:tc>
          <w:tcPr>
            <w:tcW w:w="3240" w:type="dxa"/>
            <w:shd w:val="pct30" w:color="auto" w:fill="FFFFFF"/>
            <w:vAlign w:val="bottom"/>
          </w:tcPr>
          <w:p w14:paraId="42A51DA8" w14:textId="77777777" w:rsidR="00B45FA2" w:rsidRDefault="00B45FA2" w:rsidP="003F6E8A">
            <w:pPr>
              <w:pStyle w:val="TableText"/>
              <w:rPr>
                <w:b/>
              </w:rPr>
            </w:pPr>
            <w:r>
              <w:rPr>
                <w:b/>
              </w:rPr>
              <w:t>User Action</w:t>
            </w:r>
          </w:p>
        </w:tc>
        <w:tc>
          <w:tcPr>
            <w:tcW w:w="6120" w:type="dxa"/>
            <w:shd w:val="pct30" w:color="auto" w:fill="FFFFFF"/>
            <w:vAlign w:val="bottom"/>
          </w:tcPr>
          <w:p w14:paraId="536F9CE8" w14:textId="77777777" w:rsidR="00B45FA2" w:rsidRDefault="00B45FA2" w:rsidP="003F6E8A">
            <w:pPr>
              <w:pStyle w:val="TableText"/>
              <w:rPr>
                <w:b/>
              </w:rPr>
            </w:pPr>
            <w:r>
              <w:rPr>
                <w:b/>
              </w:rPr>
              <w:t>VBECS</w:t>
            </w:r>
          </w:p>
        </w:tc>
      </w:tr>
      <w:tr w:rsidR="00B45FA2" w14:paraId="0FA84AC9" w14:textId="77777777" w:rsidTr="003F6E8A">
        <w:tc>
          <w:tcPr>
            <w:tcW w:w="3240" w:type="dxa"/>
          </w:tcPr>
          <w:p w14:paraId="5BE11EF0" w14:textId="77777777" w:rsidR="00B45FA2" w:rsidRDefault="007B08C6" w:rsidP="007B08C6">
            <w:pPr>
              <w:pStyle w:val="TableTextNumbers"/>
            </w:pPr>
            <w:r>
              <w:t xml:space="preserve">User sends test results </w:t>
            </w:r>
            <w:r w:rsidR="00D5538E">
              <w:t xml:space="preserve">from the Automated Instrument </w:t>
            </w:r>
            <w:r>
              <w:t>to VBECS.</w:t>
            </w:r>
          </w:p>
        </w:tc>
        <w:tc>
          <w:tcPr>
            <w:tcW w:w="6120" w:type="dxa"/>
          </w:tcPr>
          <w:p w14:paraId="666CC64F" w14:textId="77777777" w:rsidR="00B45FA2" w:rsidRDefault="00D279DE" w:rsidP="003F6E8A">
            <w:pPr>
              <w:pStyle w:val="TableTextBullet"/>
            </w:pPr>
            <w:r>
              <w:t>U</w:t>
            </w:r>
            <w:r w:rsidR="00B45FA2">
              <w:t>pdates the task status on the Pending Task List (PTL) upon successful receipt of testing.</w:t>
            </w:r>
          </w:p>
          <w:p w14:paraId="7600BED4" w14:textId="77777777" w:rsidR="00B45FA2" w:rsidRDefault="00D279DE" w:rsidP="003F6E8A">
            <w:pPr>
              <w:pStyle w:val="TableTextBullet"/>
            </w:pPr>
            <w:r>
              <w:t>S</w:t>
            </w:r>
            <w:r w:rsidR="00B45FA2">
              <w:t>tores received results for review, processing and acceptance by a user.</w:t>
            </w:r>
          </w:p>
          <w:p w14:paraId="15A5CE11" w14:textId="77777777" w:rsidR="00D95812" w:rsidRDefault="00D95812" w:rsidP="00D95812">
            <w:pPr>
              <w:pStyle w:val="TableTextBullet"/>
              <w:numPr>
                <w:ilvl w:val="0"/>
                <w:numId w:val="0"/>
              </w:numPr>
              <w:ind w:left="288" w:hanging="288"/>
            </w:pPr>
          </w:p>
          <w:p w14:paraId="14DF302E" w14:textId="38F56D37" w:rsidR="00D95812" w:rsidRDefault="00D95812" w:rsidP="00D95812">
            <w:pPr>
              <w:pStyle w:val="TableText"/>
              <w:rPr>
                <w:b/>
                <w:bCs/>
                <w:szCs w:val="18"/>
              </w:rPr>
            </w:pPr>
            <w:r>
              <w:rPr>
                <w:b/>
                <w:bCs/>
                <w:szCs w:val="18"/>
              </w:rPr>
              <w:t>NOTES</w:t>
            </w:r>
          </w:p>
          <w:p w14:paraId="51480B8F" w14:textId="77777777" w:rsidR="00D95812" w:rsidRDefault="00D95812" w:rsidP="00D95812">
            <w:pPr>
              <w:pStyle w:val="NotesText"/>
            </w:pPr>
          </w:p>
          <w:p w14:paraId="53F0454A" w14:textId="77777777" w:rsidR="00D95812" w:rsidRDefault="00F27904" w:rsidP="00D95812">
            <w:pPr>
              <w:pStyle w:val="NotesText"/>
            </w:pPr>
            <w:r w:rsidRPr="00DC70D1">
              <w:rPr>
                <w:rFonts w:cs="Arial"/>
                <w:vanish/>
              </w:rPr>
              <w:t xml:space="preserve">BR_114.01 </w:t>
            </w:r>
            <w:r w:rsidR="00D95812">
              <w:rPr>
                <w:rFonts w:cs="Arial"/>
                <w:vanish/>
              </w:rPr>
              <w:t xml:space="preserve">BR_85.01 </w:t>
            </w:r>
            <w:r w:rsidR="00D95812">
              <w:t>If the blood unit record is not found, the message is rejected</w:t>
            </w:r>
            <w:r>
              <w:t xml:space="preserve"> and results are not available for review</w:t>
            </w:r>
            <w:r w:rsidR="00D95812">
              <w:t>.</w:t>
            </w:r>
          </w:p>
          <w:p w14:paraId="439F07A4" w14:textId="77777777" w:rsidR="00D95812" w:rsidRDefault="00D95812" w:rsidP="00D95812">
            <w:pPr>
              <w:pStyle w:val="NotesText"/>
            </w:pPr>
          </w:p>
          <w:p w14:paraId="46F4FDA9" w14:textId="77777777" w:rsidR="00D95812" w:rsidRDefault="00F27904" w:rsidP="00D95812">
            <w:pPr>
              <w:pStyle w:val="NotesText"/>
            </w:pPr>
            <w:r w:rsidRPr="00DC70D1">
              <w:rPr>
                <w:vanish/>
              </w:rPr>
              <w:t xml:space="preserve">BR_114.02 </w:t>
            </w:r>
            <w:r w:rsidR="00D95812">
              <w:t>If the patient specimen is not associated with an active patient order, the message is rejected</w:t>
            </w:r>
            <w:r>
              <w:t xml:space="preserve"> and results are not available for review</w:t>
            </w:r>
            <w:r w:rsidR="00D95812">
              <w:t>.</w:t>
            </w:r>
          </w:p>
          <w:p w14:paraId="3FB4297E" w14:textId="77777777" w:rsidR="00D95812" w:rsidRDefault="00D95812" w:rsidP="00D95812">
            <w:pPr>
              <w:pStyle w:val="NotesText"/>
            </w:pPr>
          </w:p>
          <w:p w14:paraId="7DA88C3B" w14:textId="77777777" w:rsidR="00D95812" w:rsidRDefault="00F27904" w:rsidP="00D95812">
            <w:pPr>
              <w:pStyle w:val="NotesText"/>
            </w:pPr>
            <w:r w:rsidRPr="00DC70D1">
              <w:rPr>
                <w:vanish/>
              </w:rPr>
              <w:t xml:space="preserve">BR_114.03 </w:t>
            </w:r>
            <w:r w:rsidR="00D95812">
              <w:t>If the cross-matched units are not assigned to a patient order, the message containing crossmatch results is rejected</w:t>
            </w:r>
            <w:r>
              <w:t xml:space="preserve"> and results are not available for review</w:t>
            </w:r>
            <w:r w:rsidR="00D95812">
              <w:t>.</w:t>
            </w:r>
          </w:p>
          <w:p w14:paraId="46189BE2" w14:textId="77777777" w:rsidR="00D95812" w:rsidRDefault="00D95812" w:rsidP="00D95812">
            <w:pPr>
              <w:pStyle w:val="NotesText"/>
            </w:pPr>
          </w:p>
          <w:p w14:paraId="39210F09" w14:textId="77777777" w:rsidR="00D95812" w:rsidRDefault="00F27904" w:rsidP="00D95812">
            <w:pPr>
              <w:pStyle w:val="NotesText"/>
            </w:pPr>
            <w:r w:rsidRPr="00DC70D1">
              <w:rPr>
                <w:vanish/>
              </w:rPr>
              <w:t xml:space="preserve">BR_114.04 </w:t>
            </w:r>
            <w:r w:rsidR="00D95812">
              <w:t>Patient specimen blood test results pending review must be rejected by the user in VBECS before replacement results can be received.</w:t>
            </w:r>
          </w:p>
          <w:p w14:paraId="444A8F41" w14:textId="77777777" w:rsidR="00D95812" w:rsidRDefault="00D95812" w:rsidP="00D95812">
            <w:pPr>
              <w:pStyle w:val="NotesText"/>
            </w:pPr>
          </w:p>
          <w:p w14:paraId="7B669949" w14:textId="77777777" w:rsidR="00D95812" w:rsidRDefault="00F27904" w:rsidP="00D95812">
            <w:pPr>
              <w:pStyle w:val="NotesText"/>
            </w:pPr>
            <w:r w:rsidRPr="00DC70D1">
              <w:rPr>
                <w:vanish/>
              </w:rPr>
              <w:t xml:space="preserve">BR_114.07 </w:t>
            </w:r>
            <w:r w:rsidR="00D95812">
              <w:t>If test results currently exist for a patient order (entered manually or by the Automated Instrument), the replacement test results will not be accepted into VBECS until the user invalidates the existing test results.</w:t>
            </w:r>
          </w:p>
          <w:p w14:paraId="2A137C35" w14:textId="77777777" w:rsidR="00D95812" w:rsidRDefault="00D95812" w:rsidP="00D95812">
            <w:pPr>
              <w:pStyle w:val="NotesText"/>
            </w:pPr>
          </w:p>
          <w:p w14:paraId="4890CC4E" w14:textId="77777777" w:rsidR="00D95812" w:rsidRDefault="00F27904" w:rsidP="00D95812">
            <w:pPr>
              <w:pStyle w:val="NotesText"/>
              <w:rPr>
                <w:rFonts w:cs="Arial"/>
                <w:bCs/>
                <w:color w:val="000000"/>
                <w:szCs w:val="18"/>
              </w:rPr>
            </w:pPr>
            <w:r w:rsidRPr="00DC70D1">
              <w:rPr>
                <w:rFonts w:cs="Arial"/>
                <w:bCs/>
                <w:vanish/>
                <w:color w:val="000000"/>
                <w:szCs w:val="18"/>
              </w:rPr>
              <w:t xml:space="preserve">BR_114.10 </w:t>
            </w:r>
            <w:r w:rsidR="00D95812">
              <w:rPr>
                <w:rFonts w:cs="Arial"/>
                <w:bCs/>
                <w:color w:val="000000"/>
                <w:szCs w:val="18"/>
              </w:rPr>
              <w:t xml:space="preserve">When patient test results </w:t>
            </w:r>
            <w:r w:rsidR="00D95812" w:rsidRPr="00CA7FBC">
              <w:rPr>
                <w:rFonts w:cs="Arial"/>
                <w:bCs/>
                <w:color w:val="000000"/>
                <w:szCs w:val="18"/>
              </w:rPr>
              <w:t xml:space="preserve">are sent to VBECS and multiple orders </w:t>
            </w:r>
            <w:r w:rsidR="00D95812">
              <w:rPr>
                <w:rFonts w:cs="Arial"/>
                <w:bCs/>
                <w:color w:val="000000"/>
                <w:szCs w:val="18"/>
              </w:rPr>
              <w:t xml:space="preserve">exist </w:t>
            </w:r>
            <w:r w:rsidR="00D95812" w:rsidRPr="00CA7FBC">
              <w:rPr>
                <w:rFonts w:cs="Arial"/>
                <w:bCs/>
                <w:color w:val="000000"/>
                <w:szCs w:val="18"/>
              </w:rPr>
              <w:t xml:space="preserve">for the same test type </w:t>
            </w:r>
            <w:r w:rsidR="00D95812">
              <w:rPr>
                <w:rFonts w:cs="Arial"/>
                <w:bCs/>
                <w:color w:val="000000"/>
                <w:szCs w:val="18"/>
              </w:rPr>
              <w:t>and</w:t>
            </w:r>
            <w:r w:rsidR="00D95812" w:rsidRPr="00CA7FBC">
              <w:rPr>
                <w:rFonts w:cs="Arial"/>
                <w:bCs/>
                <w:color w:val="000000"/>
                <w:szCs w:val="18"/>
              </w:rPr>
              <w:t xml:space="preserve"> the same specimen UID on the VBECS P</w:t>
            </w:r>
            <w:r w:rsidR="00D95812">
              <w:rPr>
                <w:rFonts w:cs="Arial"/>
                <w:bCs/>
                <w:color w:val="000000"/>
                <w:szCs w:val="18"/>
              </w:rPr>
              <w:t>TL</w:t>
            </w:r>
            <w:r w:rsidR="00D95812" w:rsidRPr="00CA7FBC">
              <w:rPr>
                <w:rFonts w:cs="Arial"/>
                <w:bCs/>
                <w:color w:val="000000"/>
                <w:szCs w:val="18"/>
              </w:rPr>
              <w:t>, the message is rejected.</w:t>
            </w:r>
            <w:r w:rsidR="00D95812">
              <w:rPr>
                <w:rFonts w:cs="Arial"/>
                <w:bCs/>
                <w:color w:val="000000"/>
                <w:szCs w:val="18"/>
              </w:rPr>
              <w:t xml:space="preserve"> </w:t>
            </w:r>
            <w:r w:rsidR="00D95812" w:rsidRPr="00CA7FBC">
              <w:rPr>
                <w:rFonts w:cs="Arial"/>
                <w:bCs/>
                <w:color w:val="000000"/>
                <w:szCs w:val="18"/>
              </w:rPr>
              <w:t xml:space="preserve">For example: </w:t>
            </w:r>
            <w:r w:rsidR="00D95812">
              <w:rPr>
                <w:rFonts w:cs="Arial"/>
                <w:bCs/>
                <w:color w:val="000000"/>
                <w:szCs w:val="18"/>
              </w:rPr>
              <w:t>When</w:t>
            </w:r>
            <w:r w:rsidR="00D95812" w:rsidRPr="00CA7FBC">
              <w:rPr>
                <w:rFonts w:cs="Arial"/>
                <w:bCs/>
                <w:color w:val="000000"/>
                <w:szCs w:val="18"/>
              </w:rPr>
              <w:t xml:space="preserve"> ABS </w:t>
            </w:r>
            <w:r w:rsidR="00D95812">
              <w:rPr>
                <w:rFonts w:cs="Arial"/>
                <w:bCs/>
                <w:color w:val="000000"/>
                <w:szCs w:val="18"/>
              </w:rPr>
              <w:t xml:space="preserve">test results </w:t>
            </w:r>
            <w:r w:rsidR="00D95812" w:rsidRPr="00CA7FBC">
              <w:rPr>
                <w:rFonts w:cs="Arial"/>
                <w:bCs/>
                <w:color w:val="000000"/>
                <w:szCs w:val="18"/>
              </w:rPr>
              <w:t xml:space="preserve">and Repeat ABS </w:t>
            </w:r>
            <w:r w:rsidR="00D95812">
              <w:rPr>
                <w:rFonts w:cs="Arial"/>
                <w:bCs/>
                <w:color w:val="000000"/>
                <w:szCs w:val="18"/>
              </w:rPr>
              <w:t>test results for the same speci</w:t>
            </w:r>
            <w:r w:rsidR="00D95812" w:rsidRPr="00CA7FBC">
              <w:rPr>
                <w:rFonts w:cs="Arial"/>
                <w:bCs/>
                <w:color w:val="000000"/>
                <w:szCs w:val="18"/>
              </w:rPr>
              <w:t>men UID</w:t>
            </w:r>
            <w:r w:rsidR="00D95812">
              <w:rPr>
                <w:rFonts w:cs="Arial"/>
                <w:bCs/>
                <w:color w:val="000000"/>
                <w:szCs w:val="18"/>
              </w:rPr>
              <w:t xml:space="preserve"> are sent to VBECS at the same time</w:t>
            </w:r>
            <w:r w:rsidR="00D95812" w:rsidRPr="00CA7FBC">
              <w:rPr>
                <w:rFonts w:cs="Arial"/>
                <w:bCs/>
                <w:color w:val="000000"/>
                <w:szCs w:val="18"/>
              </w:rPr>
              <w:t xml:space="preserve">, </w:t>
            </w:r>
            <w:r w:rsidR="00D95812">
              <w:rPr>
                <w:rFonts w:cs="Arial"/>
                <w:bCs/>
                <w:color w:val="000000"/>
                <w:szCs w:val="18"/>
              </w:rPr>
              <w:t>because the Automated Instrument does not indicate which test is primary and which test is reflex, the message must be rejected.</w:t>
            </w:r>
          </w:p>
          <w:p w14:paraId="75FA9803" w14:textId="77777777" w:rsidR="00D95812" w:rsidRDefault="00D95812" w:rsidP="00D95812">
            <w:pPr>
              <w:pStyle w:val="NotesText"/>
              <w:rPr>
                <w:rFonts w:cs="Arial"/>
                <w:bCs/>
                <w:color w:val="000000"/>
                <w:szCs w:val="18"/>
              </w:rPr>
            </w:pPr>
          </w:p>
          <w:p w14:paraId="29A69677" w14:textId="77777777" w:rsidR="00D95812" w:rsidRDefault="00F27904" w:rsidP="00D95812">
            <w:pPr>
              <w:pStyle w:val="NotesText"/>
              <w:rPr>
                <w:rFonts w:cs="Arial"/>
                <w:szCs w:val="18"/>
              </w:rPr>
            </w:pPr>
            <w:r w:rsidRPr="00DC70D1">
              <w:rPr>
                <w:rFonts w:cs="Arial"/>
                <w:vanish/>
                <w:szCs w:val="18"/>
              </w:rPr>
              <w:t xml:space="preserve">BR_114.08 </w:t>
            </w:r>
            <w:r w:rsidR="00D95812">
              <w:rPr>
                <w:rFonts w:cs="Arial"/>
                <w:szCs w:val="18"/>
              </w:rPr>
              <w:t>When the</w:t>
            </w:r>
            <w:r w:rsidR="00D95812" w:rsidRPr="00F61FA8">
              <w:rPr>
                <w:rFonts w:cs="Arial"/>
                <w:szCs w:val="18"/>
              </w:rPr>
              <w:t xml:space="preserve"> </w:t>
            </w:r>
            <w:r w:rsidR="006E3236">
              <w:rPr>
                <w:rFonts w:cs="Arial"/>
                <w:szCs w:val="18"/>
              </w:rPr>
              <w:t>testing instrument for the patient</w:t>
            </w:r>
            <w:r w:rsidR="00D95812" w:rsidRPr="00F61FA8">
              <w:rPr>
                <w:rFonts w:cs="Arial"/>
                <w:szCs w:val="18"/>
              </w:rPr>
              <w:t xml:space="preserve"> ABO/Rh message contains results for Anti-D1 and Anti-D2 which do not conflict (both are positive or both are negative), </w:t>
            </w:r>
            <w:r w:rsidR="003350E0">
              <w:rPr>
                <w:rFonts w:cs="Arial"/>
                <w:szCs w:val="18"/>
              </w:rPr>
              <w:t xml:space="preserve">the </w:t>
            </w:r>
            <w:r w:rsidR="00D95812" w:rsidRPr="00F61FA8">
              <w:rPr>
                <w:rFonts w:cs="Arial"/>
                <w:szCs w:val="18"/>
              </w:rPr>
              <w:t xml:space="preserve">Anti-D1 </w:t>
            </w:r>
            <w:r w:rsidR="003350E0">
              <w:rPr>
                <w:rFonts w:cs="Arial"/>
                <w:szCs w:val="18"/>
              </w:rPr>
              <w:t>result</w:t>
            </w:r>
            <w:r w:rsidR="00D95812" w:rsidRPr="00F61FA8">
              <w:rPr>
                <w:rFonts w:cs="Arial"/>
                <w:szCs w:val="18"/>
              </w:rPr>
              <w:t xml:space="preserve"> will be stored in VBECS</w:t>
            </w:r>
            <w:r w:rsidR="00D95812">
              <w:rPr>
                <w:rFonts w:cs="Arial"/>
                <w:szCs w:val="18"/>
              </w:rPr>
              <w:t>.</w:t>
            </w:r>
          </w:p>
          <w:p w14:paraId="76E711F1" w14:textId="77777777" w:rsidR="00D95812" w:rsidRDefault="00D95812" w:rsidP="00D95812">
            <w:pPr>
              <w:pStyle w:val="NotesText"/>
              <w:rPr>
                <w:rFonts w:cs="Arial"/>
                <w:szCs w:val="18"/>
              </w:rPr>
            </w:pPr>
          </w:p>
          <w:p w14:paraId="19A84C08" w14:textId="77777777" w:rsidR="00D95812" w:rsidRDefault="006E3236" w:rsidP="00D95812">
            <w:pPr>
              <w:pStyle w:val="NotesText"/>
              <w:rPr>
                <w:rFonts w:cs="Arial"/>
                <w:szCs w:val="18"/>
              </w:rPr>
            </w:pPr>
            <w:r>
              <w:rPr>
                <w:rFonts w:cs="Arial"/>
                <w:szCs w:val="18"/>
              </w:rPr>
              <w:t>When the</w:t>
            </w:r>
            <w:r w:rsidRPr="00F61FA8">
              <w:rPr>
                <w:rFonts w:cs="Arial"/>
                <w:szCs w:val="18"/>
              </w:rPr>
              <w:t xml:space="preserve"> </w:t>
            </w:r>
            <w:r>
              <w:rPr>
                <w:rFonts w:cs="Arial"/>
                <w:szCs w:val="18"/>
              </w:rPr>
              <w:t>testing instrument for the patient</w:t>
            </w:r>
            <w:r w:rsidR="00B5630B">
              <w:rPr>
                <w:rFonts w:cs="Arial"/>
                <w:szCs w:val="18"/>
              </w:rPr>
              <w:t xml:space="preserve"> </w:t>
            </w:r>
            <w:r w:rsidR="00B5630B" w:rsidRPr="00F61FA8">
              <w:rPr>
                <w:rFonts w:cs="Arial"/>
                <w:szCs w:val="18"/>
              </w:rPr>
              <w:t>ABO/Rh message contains conflicting results for Anti-D1 and Anti-D2 (one is positive and the othe</w:t>
            </w:r>
            <w:r w:rsidR="00B5630B">
              <w:rPr>
                <w:rFonts w:cs="Arial"/>
                <w:szCs w:val="18"/>
              </w:rPr>
              <w:t>r negative), the message is</w:t>
            </w:r>
            <w:r w:rsidR="00B5630B" w:rsidRPr="00F61FA8">
              <w:rPr>
                <w:rFonts w:cs="Arial"/>
                <w:szCs w:val="18"/>
              </w:rPr>
              <w:t xml:space="preserve"> rejected</w:t>
            </w:r>
            <w:r w:rsidR="003350E0">
              <w:rPr>
                <w:rFonts w:cs="Arial"/>
                <w:szCs w:val="18"/>
              </w:rPr>
              <w:t xml:space="preserve"> </w:t>
            </w:r>
            <w:r w:rsidR="003350E0">
              <w:t>and results are not available for review</w:t>
            </w:r>
            <w:r w:rsidR="00B5630B" w:rsidRPr="00F61FA8">
              <w:rPr>
                <w:rFonts w:cs="Arial"/>
                <w:szCs w:val="18"/>
              </w:rPr>
              <w:t>.</w:t>
            </w:r>
          </w:p>
          <w:p w14:paraId="68797D96" w14:textId="77777777" w:rsidR="00B5630B" w:rsidRDefault="00B5630B" w:rsidP="00D95812">
            <w:pPr>
              <w:pStyle w:val="NotesText"/>
              <w:rPr>
                <w:rFonts w:cs="Arial"/>
                <w:szCs w:val="18"/>
              </w:rPr>
            </w:pPr>
          </w:p>
          <w:p w14:paraId="17D3C38E" w14:textId="77777777" w:rsidR="00B5630B" w:rsidRDefault="00F27904" w:rsidP="00D95812">
            <w:pPr>
              <w:pStyle w:val="NotesText"/>
              <w:rPr>
                <w:rFonts w:cs="Arial"/>
                <w:szCs w:val="18"/>
              </w:rPr>
            </w:pPr>
            <w:r w:rsidRPr="00DC70D1">
              <w:rPr>
                <w:rFonts w:cs="Arial"/>
                <w:vanish/>
                <w:szCs w:val="18"/>
              </w:rPr>
              <w:t xml:space="preserve">BR_114.05 </w:t>
            </w:r>
            <w:r w:rsidR="00B5630B" w:rsidRPr="00D82F90">
              <w:rPr>
                <w:rFonts w:cs="Arial"/>
                <w:szCs w:val="18"/>
              </w:rPr>
              <w:t xml:space="preserve">The message is </w:t>
            </w:r>
            <w:r w:rsidR="00B5630B">
              <w:rPr>
                <w:rFonts w:cs="Arial"/>
                <w:szCs w:val="18"/>
              </w:rPr>
              <w:t xml:space="preserve">processed by the VBECS system. </w:t>
            </w:r>
            <w:r w:rsidR="00B5630B" w:rsidRPr="00D82F90">
              <w:rPr>
                <w:rFonts w:cs="Arial"/>
                <w:szCs w:val="18"/>
              </w:rPr>
              <w:t>If the message is accept</w:t>
            </w:r>
            <w:r w:rsidR="00B5630B">
              <w:rPr>
                <w:rFonts w:cs="Arial"/>
                <w:szCs w:val="18"/>
              </w:rPr>
              <w:t>ed</w:t>
            </w:r>
            <w:r w:rsidR="00B5630B" w:rsidRPr="00D82F90">
              <w:rPr>
                <w:rFonts w:cs="Arial"/>
                <w:szCs w:val="18"/>
              </w:rPr>
              <w:t xml:space="preserve"> (per the approved HL7 message profile specification), a success reply is sent; otherwise, a rejection </w:t>
            </w:r>
            <w:r w:rsidR="00B5630B" w:rsidRPr="00D82F90">
              <w:rPr>
                <w:rFonts w:cs="Arial"/>
                <w:szCs w:val="18"/>
              </w:rPr>
              <w:lastRenderedPageBreak/>
              <w:t>reply is sent to the broadcasting application</w:t>
            </w:r>
            <w:r w:rsidR="003350E0">
              <w:rPr>
                <w:rFonts w:cs="Arial"/>
                <w:szCs w:val="18"/>
              </w:rPr>
              <w:t xml:space="preserve"> </w:t>
            </w:r>
            <w:r w:rsidR="003350E0">
              <w:t>and results are not available for review</w:t>
            </w:r>
            <w:r w:rsidR="00B5630B">
              <w:rPr>
                <w:rFonts w:cs="Arial"/>
                <w:szCs w:val="18"/>
              </w:rPr>
              <w:t>.</w:t>
            </w:r>
          </w:p>
          <w:p w14:paraId="3201CCD1" w14:textId="77777777" w:rsidR="00B5630B" w:rsidRDefault="00B5630B" w:rsidP="00D95812">
            <w:pPr>
              <w:pStyle w:val="NotesText"/>
              <w:rPr>
                <w:rFonts w:cs="Arial"/>
                <w:szCs w:val="18"/>
              </w:rPr>
            </w:pPr>
          </w:p>
          <w:p w14:paraId="0A1B4A8A" w14:textId="77777777" w:rsidR="00B5630B" w:rsidRDefault="00F27904" w:rsidP="00B5630B">
            <w:pPr>
              <w:ind w:left="720"/>
              <w:rPr>
                <w:rFonts w:ascii="Arial" w:hAnsi="Arial" w:cs="Arial"/>
                <w:sz w:val="18"/>
                <w:szCs w:val="18"/>
              </w:rPr>
            </w:pPr>
            <w:r w:rsidRPr="00DC70D1">
              <w:rPr>
                <w:rFonts w:ascii="Arial" w:hAnsi="Arial" w:cs="Arial"/>
                <w:vanish/>
                <w:sz w:val="18"/>
                <w:szCs w:val="18"/>
              </w:rPr>
              <w:t xml:space="preserve">BR_114.06 </w:t>
            </w:r>
            <w:r w:rsidR="00B5630B">
              <w:rPr>
                <w:rFonts w:ascii="Arial" w:hAnsi="Arial" w:cs="Arial"/>
                <w:sz w:val="18"/>
                <w:szCs w:val="18"/>
              </w:rPr>
              <w:t>The system associa</w:t>
            </w:r>
            <w:r w:rsidR="006E3236">
              <w:rPr>
                <w:rFonts w:ascii="Arial" w:hAnsi="Arial" w:cs="Arial"/>
                <w:sz w:val="18"/>
                <w:szCs w:val="18"/>
              </w:rPr>
              <w:t xml:space="preserve">tes </w:t>
            </w:r>
            <w:r w:rsidR="00B5630B">
              <w:rPr>
                <w:rFonts w:ascii="Arial" w:hAnsi="Arial" w:cs="Arial"/>
                <w:sz w:val="18"/>
                <w:szCs w:val="18"/>
              </w:rPr>
              <w:t>inte</w:t>
            </w:r>
            <w:r w:rsidR="006E3236">
              <w:rPr>
                <w:rFonts w:ascii="Arial" w:hAnsi="Arial" w:cs="Arial"/>
                <w:sz w:val="18"/>
                <w:szCs w:val="18"/>
              </w:rPr>
              <w:t xml:space="preserve">rpretation with </w:t>
            </w:r>
            <w:r w:rsidR="00B5630B">
              <w:rPr>
                <w:rFonts w:ascii="Arial" w:hAnsi="Arial" w:cs="Arial"/>
                <w:sz w:val="18"/>
                <w:szCs w:val="18"/>
              </w:rPr>
              <w:t>test results received from an Automated Instrument as follows:</w:t>
            </w:r>
          </w:p>
          <w:p w14:paraId="54075717" w14:textId="77777777" w:rsidR="00B5630B" w:rsidRPr="00B5630B" w:rsidRDefault="00B5630B" w:rsidP="000409B1">
            <w:pPr>
              <w:numPr>
                <w:ilvl w:val="0"/>
                <w:numId w:val="51"/>
              </w:numPr>
              <w:rPr>
                <w:rFonts w:ascii="Arial" w:hAnsi="Arial" w:cs="Arial"/>
                <w:sz w:val="18"/>
                <w:szCs w:val="18"/>
              </w:rPr>
            </w:pPr>
            <w:r w:rsidRPr="00B5630B">
              <w:rPr>
                <w:rFonts w:ascii="Arial" w:hAnsi="Arial"/>
                <w:sz w:val="18"/>
              </w:rPr>
              <w:t>1 is a Positive</w:t>
            </w:r>
          </w:p>
          <w:p w14:paraId="38A4E7B8" w14:textId="77777777" w:rsidR="00B5630B" w:rsidRPr="00B5630B" w:rsidRDefault="00B5630B" w:rsidP="000409B1">
            <w:pPr>
              <w:numPr>
                <w:ilvl w:val="0"/>
                <w:numId w:val="51"/>
              </w:numPr>
              <w:rPr>
                <w:rFonts w:ascii="Arial" w:hAnsi="Arial" w:cs="Arial"/>
                <w:sz w:val="18"/>
                <w:szCs w:val="18"/>
              </w:rPr>
            </w:pPr>
            <w:r>
              <w:rPr>
                <w:rFonts w:ascii="Arial" w:hAnsi="Arial"/>
                <w:sz w:val="18"/>
              </w:rPr>
              <w:t>2 is a Positive</w:t>
            </w:r>
          </w:p>
          <w:p w14:paraId="295A59EF" w14:textId="77777777" w:rsidR="00B5630B" w:rsidRPr="00B5630B" w:rsidRDefault="00B5630B" w:rsidP="000409B1">
            <w:pPr>
              <w:numPr>
                <w:ilvl w:val="0"/>
                <w:numId w:val="51"/>
              </w:numPr>
              <w:rPr>
                <w:rFonts w:ascii="Arial" w:hAnsi="Arial" w:cs="Arial"/>
                <w:sz w:val="18"/>
                <w:szCs w:val="18"/>
              </w:rPr>
            </w:pPr>
            <w:r>
              <w:rPr>
                <w:rFonts w:ascii="Arial" w:hAnsi="Arial"/>
                <w:sz w:val="18"/>
              </w:rPr>
              <w:t>3 is a Positive</w:t>
            </w:r>
          </w:p>
          <w:p w14:paraId="0A38E25F" w14:textId="77777777" w:rsidR="00B5630B" w:rsidRPr="00B5630B" w:rsidRDefault="00B5630B" w:rsidP="000409B1">
            <w:pPr>
              <w:numPr>
                <w:ilvl w:val="0"/>
                <w:numId w:val="51"/>
              </w:numPr>
              <w:rPr>
                <w:rFonts w:ascii="Arial" w:hAnsi="Arial" w:cs="Arial"/>
                <w:sz w:val="18"/>
                <w:szCs w:val="18"/>
              </w:rPr>
            </w:pPr>
            <w:r>
              <w:rPr>
                <w:rFonts w:ascii="Arial" w:hAnsi="Arial"/>
                <w:sz w:val="18"/>
              </w:rPr>
              <w:t>4 is a Positive</w:t>
            </w:r>
          </w:p>
          <w:p w14:paraId="435100FF" w14:textId="77777777" w:rsidR="00B5630B" w:rsidRPr="005477A8" w:rsidRDefault="00B5630B" w:rsidP="000409B1">
            <w:pPr>
              <w:numPr>
                <w:ilvl w:val="0"/>
                <w:numId w:val="51"/>
              </w:numPr>
              <w:rPr>
                <w:rFonts w:ascii="Arial" w:hAnsi="Arial" w:cs="Arial"/>
                <w:sz w:val="18"/>
                <w:szCs w:val="18"/>
              </w:rPr>
            </w:pPr>
            <w:r>
              <w:rPr>
                <w:rFonts w:ascii="Arial" w:hAnsi="Arial"/>
                <w:sz w:val="18"/>
              </w:rPr>
              <w:t>0 is a Negative</w:t>
            </w:r>
          </w:p>
          <w:p w14:paraId="15A0101B" w14:textId="77777777" w:rsidR="00D95812" w:rsidRDefault="00D95812" w:rsidP="00D95812">
            <w:pPr>
              <w:pStyle w:val="TableTextBullet"/>
              <w:numPr>
                <w:ilvl w:val="0"/>
                <w:numId w:val="0"/>
              </w:numPr>
              <w:ind w:left="288" w:hanging="288"/>
            </w:pPr>
          </w:p>
          <w:p w14:paraId="0D583BF5" w14:textId="2CEE2C36" w:rsidR="00863F6D" w:rsidRPr="004831F9" w:rsidRDefault="00D5538E" w:rsidP="00863F6D">
            <w:pPr>
              <w:ind w:left="720"/>
              <w:rPr>
                <w:rFonts w:ascii="Arial" w:hAnsi="Arial" w:cs="Arial"/>
                <w:sz w:val="18"/>
                <w:szCs w:val="18"/>
              </w:rPr>
            </w:pPr>
            <w:r w:rsidRPr="004831F9">
              <w:rPr>
                <w:rFonts w:ascii="Arial" w:hAnsi="Arial" w:cs="Arial"/>
                <w:sz w:val="18"/>
                <w:szCs w:val="18"/>
              </w:rPr>
              <w:t>Se</w:t>
            </w:r>
            <w:r w:rsidR="00C931C4" w:rsidRPr="004831F9">
              <w:rPr>
                <w:rFonts w:ascii="Arial" w:hAnsi="Arial" w:cs="Arial"/>
                <w:sz w:val="18"/>
                <w:szCs w:val="18"/>
              </w:rPr>
              <w:t>e</w:t>
            </w:r>
            <w:r w:rsidR="004831F9" w:rsidRPr="004831F9">
              <w:rPr>
                <w:rFonts w:ascii="Arial" w:hAnsi="Arial" w:cs="Arial"/>
                <w:sz w:val="18"/>
                <w:szCs w:val="18"/>
              </w:rPr>
              <w:t xml:space="preserve"> </w:t>
            </w:r>
            <w:r w:rsidR="00863F6D" w:rsidRPr="00863F6D">
              <w:rPr>
                <w:rFonts w:ascii="Arial" w:hAnsi="Arial" w:cs="Arial"/>
                <w:sz w:val="18"/>
                <w:szCs w:val="18"/>
              </w:rPr>
              <w:fldChar w:fldCharType="begin"/>
            </w:r>
            <w:r w:rsidR="00863F6D" w:rsidRPr="00863F6D">
              <w:rPr>
                <w:rFonts w:ascii="Arial" w:hAnsi="Arial" w:cs="Arial"/>
                <w:sz w:val="18"/>
                <w:szCs w:val="18"/>
              </w:rPr>
              <w:instrText xml:space="preserve"> REF _Ref524693853 \h  \* MERGEFORMAT </w:instrText>
            </w:r>
            <w:r w:rsidR="00863F6D" w:rsidRPr="00863F6D">
              <w:rPr>
                <w:rFonts w:ascii="Arial" w:hAnsi="Arial" w:cs="Arial"/>
                <w:sz w:val="18"/>
                <w:szCs w:val="18"/>
              </w:rPr>
            </w:r>
            <w:r w:rsidR="00863F6D" w:rsidRPr="00863F6D">
              <w:rPr>
                <w:rFonts w:ascii="Arial" w:hAnsi="Arial" w:cs="Arial"/>
                <w:sz w:val="18"/>
                <w:szCs w:val="18"/>
              </w:rPr>
              <w:fldChar w:fldCharType="separate"/>
            </w:r>
            <w:r w:rsidR="004353ED" w:rsidRPr="004353ED">
              <w:rPr>
                <w:rFonts w:ascii="Arial" w:hAnsi="Arial" w:cs="Arial"/>
                <w:sz w:val="18"/>
                <w:szCs w:val="18"/>
              </w:rPr>
              <w:t xml:space="preserve">Table </w:t>
            </w:r>
            <w:r w:rsidR="004353ED" w:rsidRPr="004353ED">
              <w:rPr>
                <w:rFonts w:ascii="Arial" w:hAnsi="Arial" w:cs="Arial"/>
                <w:noProof/>
                <w:sz w:val="18"/>
                <w:szCs w:val="18"/>
              </w:rPr>
              <w:t>13</w:t>
            </w:r>
            <w:r w:rsidR="004353ED" w:rsidRPr="004353ED">
              <w:rPr>
                <w:rFonts w:ascii="Arial" w:hAnsi="Arial" w:cs="Arial"/>
                <w:sz w:val="18"/>
                <w:szCs w:val="18"/>
              </w:rPr>
              <w:t>: HL7 Tests Accepted by VBECS</w:t>
            </w:r>
            <w:r w:rsidR="00863F6D" w:rsidRPr="00863F6D">
              <w:rPr>
                <w:rFonts w:ascii="Arial" w:hAnsi="Arial" w:cs="Arial"/>
                <w:sz w:val="18"/>
                <w:szCs w:val="18"/>
              </w:rPr>
              <w:fldChar w:fldCharType="end"/>
            </w:r>
            <w:r w:rsidR="00863F6D" w:rsidRPr="00863F6D">
              <w:rPr>
                <w:rFonts w:ascii="Arial" w:hAnsi="Arial" w:cs="Arial"/>
                <w:sz w:val="18"/>
                <w:szCs w:val="18"/>
              </w:rPr>
              <w:t>.</w:t>
            </w:r>
          </w:p>
          <w:p w14:paraId="38968AA4" w14:textId="1ACDD3D1" w:rsidR="00D5538E" w:rsidRPr="004831F9" w:rsidRDefault="00D5538E" w:rsidP="008964A9">
            <w:pPr>
              <w:ind w:left="720"/>
              <w:rPr>
                <w:rFonts w:ascii="Arial" w:hAnsi="Arial" w:cs="Arial"/>
                <w:sz w:val="18"/>
                <w:szCs w:val="18"/>
              </w:rPr>
            </w:pPr>
          </w:p>
          <w:p w14:paraId="02517D37" w14:textId="77777777" w:rsidR="00D5538E" w:rsidRDefault="00D5538E" w:rsidP="005477A8">
            <w:pPr>
              <w:ind w:left="720"/>
              <w:rPr>
                <w:rFonts w:ascii="Arial" w:hAnsi="Arial" w:cs="Arial"/>
                <w:sz w:val="18"/>
                <w:szCs w:val="18"/>
              </w:rPr>
            </w:pPr>
          </w:p>
          <w:p w14:paraId="0B3D4CF9" w14:textId="77777777" w:rsidR="005477A8" w:rsidRPr="00E85CBB" w:rsidRDefault="00D5538E" w:rsidP="005477A8">
            <w:pPr>
              <w:ind w:left="720"/>
              <w:rPr>
                <w:rFonts w:ascii="Arial" w:hAnsi="Arial" w:cs="Arial"/>
                <w:sz w:val="18"/>
                <w:szCs w:val="18"/>
              </w:rPr>
            </w:pPr>
            <w:r w:rsidRPr="00F47ABD">
              <w:rPr>
                <w:rFonts w:ascii="Arial" w:hAnsi="Arial" w:cs="Arial"/>
                <w:vanish/>
                <w:sz w:val="18"/>
                <w:szCs w:val="18"/>
              </w:rPr>
              <w:t xml:space="preserve">BR_114.09 </w:t>
            </w:r>
            <w:r>
              <w:rPr>
                <w:rFonts w:ascii="Arial" w:hAnsi="Arial" w:cs="Arial"/>
                <w:sz w:val="18"/>
                <w:szCs w:val="18"/>
              </w:rPr>
              <w:t xml:space="preserve">VBECS </w:t>
            </w:r>
            <w:r w:rsidR="005477A8" w:rsidRPr="00E85CBB">
              <w:rPr>
                <w:rFonts w:ascii="Arial" w:hAnsi="Arial" w:cs="Arial"/>
                <w:sz w:val="18"/>
                <w:szCs w:val="18"/>
              </w:rPr>
              <w:t>stores the following information:</w:t>
            </w:r>
          </w:p>
          <w:p w14:paraId="49BEA375" w14:textId="77777777" w:rsidR="005477A8" w:rsidRPr="005477A8" w:rsidRDefault="005477A8" w:rsidP="000409B1">
            <w:pPr>
              <w:numPr>
                <w:ilvl w:val="0"/>
                <w:numId w:val="51"/>
              </w:numPr>
              <w:rPr>
                <w:rFonts w:ascii="Arial" w:hAnsi="Arial"/>
                <w:sz w:val="18"/>
              </w:rPr>
            </w:pPr>
            <w:r w:rsidRPr="005477A8">
              <w:rPr>
                <w:rFonts w:ascii="Arial" w:hAnsi="Arial"/>
                <w:sz w:val="18"/>
              </w:rPr>
              <w:t>Test Results</w:t>
            </w:r>
          </w:p>
          <w:p w14:paraId="3191966A" w14:textId="77777777" w:rsidR="005477A8" w:rsidRPr="005477A8" w:rsidRDefault="005477A8" w:rsidP="000409B1">
            <w:pPr>
              <w:numPr>
                <w:ilvl w:val="0"/>
                <w:numId w:val="51"/>
              </w:numPr>
              <w:rPr>
                <w:rFonts w:ascii="Arial" w:hAnsi="Arial"/>
                <w:sz w:val="18"/>
              </w:rPr>
            </w:pPr>
            <w:r w:rsidRPr="005477A8">
              <w:rPr>
                <w:rFonts w:ascii="Arial" w:hAnsi="Arial"/>
                <w:sz w:val="18"/>
              </w:rPr>
              <w:t>Test Interpretations</w:t>
            </w:r>
          </w:p>
          <w:p w14:paraId="39441FAC" w14:textId="77777777" w:rsidR="005477A8" w:rsidRPr="005477A8" w:rsidRDefault="005477A8" w:rsidP="000409B1">
            <w:pPr>
              <w:numPr>
                <w:ilvl w:val="0"/>
                <w:numId w:val="51"/>
              </w:numPr>
              <w:rPr>
                <w:rFonts w:ascii="Arial" w:hAnsi="Arial"/>
                <w:sz w:val="18"/>
              </w:rPr>
            </w:pPr>
            <w:r w:rsidRPr="005477A8">
              <w:rPr>
                <w:rFonts w:ascii="Arial" w:hAnsi="Arial"/>
                <w:sz w:val="18"/>
              </w:rPr>
              <w:t>Testing Tech ID</w:t>
            </w:r>
          </w:p>
          <w:p w14:paraId="057FE80C" w14:textId="77777777" w:rsidR="005477A8" w:rsidRPr="005477A8" w:rsidRDefault="005477A8" w:rsidP="000409B1">
            <w:pPr>
              <w:numPr>
                <w:ilvl w:val="0"/>
                <w:numId w:val="51"/>
              </w:numPr>
              <w:rPr>
                <w:rFonts w:ascii="Arial" w:hAnsi="Arial"/>
                <w:sz w:val="18"/>
              </w:rPr>
            </w:pPr>
            <w:r w:rsidRPr="005477A8">
              <w:rPr>
                <w:rFonts w:ascii="Arial" w:hAnsi="Arial"/>
                <w:sz w:val="18"/>
              </w:rPr>
              <w:t>Automated Instrument identifier</w:t>
            </w:r>
          </w:p>
          <w:p w14:paraId="16F5D0AE" w14:textId="77777777" w:rsidR="005477A8" w:rsidRPr="005477A8" w:rsidRDefault="005477A8" w:rsidP="000409B1">
            <w:pPr>
              <w:numPr>
                <w:ilvl w:val="0"/>
                <w:numId w:val="51"/>
              </w:numPr>
              <w:rPr>
                <w:rFonts w:ascii="Arial" w:hAnsi="Arial"/>
                <w:sz w:val="18"/>
              </w:rPr>
            </w:pPr>
            <w:r w:rsidRPr="005477A8">
              <w:rPr>
                <w:rFonts w:ascii="Arial" w:hAnsi="Arial"/>
                <w:sz w:val="18"/>
              </w:rPr>
              <w:t>Date and Time Tested</w:t>
            </w:r>
          </w:p>
          <w:p w14:paraId="6F535F27" w14:textId="77777777" w:rsidR="005477A8" w:rsidRPr="005477A8" w:rsidRDefault="005477A8" w:rsidP="000409B1">
            <w:pPr>
              <w:numPr>
                <w:ilvl w:val="0"/>
                <w:numId w:val="51"/>
              </w:numPr>
              <w:rPr>
                <w:rFonts w:ascii="Arial" w:hAnsi="Arial"/>
                <w:sz w:val="18"/>
              </w:rPr>
            </w:pPr>
            <w:r w:rsidRPr="005477A8">
              <w:rPr>
                <w:rFonts w:ascii="Arial" w:hAnsi="Arial"/>
                <w:sz w:val="18"/>
              </w:rPr>
              <w:t>Automated Instrument Test Comments</w:t>
            </w:r>
          </w:p>
          <w:p w14:paraId="6C7640FE" w14:textId="77777777" w:rsidR="005477A8" w:rsidRDefault="005477A8" w:rsidP="005477A8">
            <w:pPr>
              <w:pStyle w:val="TableTextBullet"/>
              <w:numPr>
                <w:ilvl w:val="0"/>
                <w:numId w:val="0"/>
              </w:numPr>
              <w:ind w:left="288" w:hanging="288"/>
            </w:pPr>
          </w:p>
        </w:tc>
      </w:tr>
      <w:tr w:rsidR="00B45FA2" w14:paraId="3A453B54" w14:textId="77777777" w:rsidTr="003F6E8A">
        <w:tc>
          <w:tcPr>
            <w:tcW w:w="3240" w:type="dxa"/>
          </w:tcPr>
          <w:p w14:paraId="4649B3E5" w14:textId="77777777" w:rsidR="00B45FA2" w:rsidRDefault="005477A8" w:rsidP="005477A8">
            <w:pPr>
              <w:pStyle w:val="TableTextNumbers"/>
            </w:pPr>
            <w:r>
              <w:lastRenderedPageBreak/>
              <w:t xml:space="preserve">The </w:t>
            </w:r>
            <w:r w:rsidR="00D5538E">
              <w:t>user logs into VBECS to review and approve messages.</w:t>
            </w:r>
          </w:p>
          <w:p w14:paraId="14873ED9" w14:textId="77777777" w:rsidR="00D5538E" w:rsidRDefault="00D5538E" w:rsidP="00D5538E">
            <w:pPr>
              <w:pStyle w:val="TableTextNumbers"/>
              <w:numPr>
                <w:ilvl w:val="0"/>
                <w:numId w:val="0"/>
              </w:numPr>
              <w:ind w:left="288" w:hanging="288"/>
            </w:pPr>
          </w:p>
          <w:p w14:paraId="2382B877" w14:textId="77777777" w:rsidR="00D5538E" w:rsidRDefault="00D5538E" w:rsidP="00D279DE">
            <w:pPr>
              <w:pStyle w:val="TableTextNumbers"/>
              <w:numPr>
                <w:ilvl w:val="0"/>
                <w:numId w:val="0"/>
              </w:numPr>
              <w:ind w:left="288"/>
            </w:pPr>
            <w:r>
              <w:t xml:space="preserve">Refer to Automated Testing </w:t>
            </w:r>
            <w:r w:rsidR="002A4CB4">
              <w:t>Review for</w:t>
            </w:r>
            <w:r w:rsidR="007B52EA">
              <w:t xml:space="preserve"> Blood Units or Automated T</w:t>
            </w:r>
            <w:r w:rsidR="002275D4">
              <w:t>esting Review for Patient</w:t>
            </w:r>
            <w:r w:rsidR="007B52EA">
              <w:t>s</w:t>
            </w:r>
            <w:r>
              <w:t>.</w:t>
            </w:r>
          </w:p>
          <w:p w14:paraId="68EB7875" w14:textId="77777777" w:rsidR="007160AE" w:rsidRDefault="007160AE" w:rsidP="007B52EA">
            <w:pPr>
              <w:pStyle w:val="TableTextNumbers"/>
              <w:numPr>
                <w:ilvl w:val="0"/>
                <w:numId w:val="0"/>
              </w:numPr>
              <w:ind w:left="288" w:hanging="288"/>
            </w:pPr>
          </w:p>
        </w:tc>
        <w:tc>
          <w:tcPr>
            <w:tcW w:w="6120" w:type="dxa"/>
          </w:tcPr>
          <w:p w14:paraId="2C79086E" w14:textId="77777777" w:rsidR="00B45FA2" w:rsidRDefault="00B45FA2" w:rsidP="005477A8">
            <w:pPr>
              <w:pStyle w:val="TableTextBullet"/>
              <w:numPr>
                <w:ilvl w:val="0"/>
                <w:numId w:val="0"/>
              </w:numPr>
            </w:pPr>
          </w:p>
        </w:tc>
      </w:tr>
    </w:tbl>
    <w:p w14:paraId="0D01D76A" w14:textId="77777777" w:rsidR="008964A9" w:rsidRDefault="008964A9" w:rsidP="008964A9"/>
    <w:p w14:paraId="002A80FF" w14:textId="77777777" w:rsidR="00486D34" w:rsidRDefault="00486D34">
      <w:pPr>
        <w:rPr>
          <w:b/>
          <w:sz w:val="22"/>
          <w:szCs w:val="22"/>
        </w:rPr>
      </w:pPr>
      <w:bookmarkStart w:id="638" w:name="_Ref446932282"/>
      <w:r>
        <w:br w:type="page"/>
      </w:r>
    </w:p>
    <w:p w14:paraId="1AB1C571" w14:textId="0F6D7883" w:rsidR="008964A9" w:rsidRPr="008964A9" w:rsidRDefault="008964A9" w:rsidP="008964A9">
      <w:pPr>
        <w:pStyle w:val="Caption"/>
      </w:pPr>
      <w:bookmarkStart w:id="639" w:name="_Ref524693853"/>
      <w:r w:rsidRPr="008964A9">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13</w:t>
      </w:r>
      <w:r w:rsidR="004E20BD">
        <w:rPr>
          <w:noProof/>
        </w:rPr>
        <w:fldChar w:fldCharType="end"/>
      </w:r>
      <w:bookmarkEnd w:id="638"/>
      <w:r w:rsidR="004831F9">
        <w:t>: HL7 Tests Accepted by VBECS</w:t>
      </w:r>
      <w:bookmarkEnd w:id="639"/>
    </w:p>
    <w:p w14:paraId="30F041EA" w14:textId="77777777" w:rsidR="008964A9" w:rsidRPr="008964A9" w:rsidRDefault="008964A9" w:rsidP="008964A9">
      <w:pPr>
        <w:rPr>
          <w:sz w:val="22"/>
          <w:szCs w:val="22"/>
        </w:rPr>
      </w:pPr>
      <w:r w:rsidRPr="008964A9">
        <w:rPr>
          <w:sz w:val="22"/>
          <w:szCs w:val="22"/>
        </w:rPr>
        <w:t>The first result received is considered the primary test. Once the primary test is accepted into VBECS, a second message with the same testing result will fill the repeat test.</w:t>
      </w:r>
    </w:p>
    <w:p w14:paraId="0C1D7AE3" w14:textId="77777777" w:rsidR="008964A9" w:rsidRDefault="008964A9" w:rsidP="008964A9"/>
    <w:tbl>
      <w:tblPr>
        <w:tblW w:w="459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600"/>
      </w:tblGrid>
      <w:tr w:rsidR="008964A9" w:rsidRPr="002800C8" w14:paraId="0E2B37C3" w14:textId="77777777" w:rsidTr="008964A9">
        <w:trPr>
          <w:trHeight w:val="179"/>
        </w:trPr>
        <w:tc>
          <w:tcPr>
            <w:tcW w:w="990" w:type="dxa"/>
            <w:shd w:val="clear" w:color="auto" w:fill="D9D9D9"/>
            <w:vAlign w:val="bottom"/>
          </w:tcPr>
          <w:p w14:paraId="620017E0" w14:textId="77777777" w:rsidR="008964A9" w:rsidRPr="002800C8" w:rsidRDefault="008964A9" w:rsidP="008964A9">
            <w:pPr>
              <w:rPr>
                <w:rFonts w:ascii="Arial" w:hAnsi="Arial" w:cs="Arial"/>
                <w:b/>
                <w:color w:val="000000"/>
                <w:sz w:val="20"/>
              </w:rPr>
            </w:pPr>
            <w:r w:rsidRPr="002800C8">
              <w:rPr>
                <w:rFonts w:ascii="Arial" w:hAnsi="Arial" w:cs="Arial"/>
                <w:b/>
                <w:color w:val="000000"/>
                <w:sz w:val="20"/>
              </w:rPr>
              <w:t>Row ID</w:t>
            </w:r>
          </w:p>
        </w:tc>
        <w:tc>
          <w:tcPr>
            <w:tcW w:w="3600" w:type="dxa"/>
            <w:shd w:val="clear" w:color="auto" w:fill="D9D9D9"/>
            <w:noWrap/>
            <w:vAlign w:val="bottom"/>
          </w:tcPr>
          <w:p w14:paraId="38A0DC2B" w14:textId="77777777" w:rsidR="008964A9" w:rsidRPr="002800C8" w:rsidRDefault="008964A9" w:rsidP="008964A9">
            <w:pPr>
              <w:rPr>
                <w:rFonts w:ascii="Arial" w:hAnsi="Arial" w:cs="Arial"/>
                <w:b/>
                <w:color w:val="000000"/>
                <w:sz w:val="20"/>
              </w:rPr>
            </w:pPr>
            <w:r w:rsidRPr="002800C8">
              <w:rPr>
                <w:rFonts w:ascii="Arial" w:hAnsi="Arial" w:cs="Arial"/>
                <w:b/>
                <w:color w:val="000000"/>
                <w:sz w:val="20"/>
              </w:rPr>
              <w:t>Tests</w:t>
            </w:r>
          </w:p>
        </w:tc>
      </w:tr>
      <w:tr w:rsidR="008964A9" w:rsidRPr="00490D9B" w14:paraId="2BCCC1B8" w14:textId="77777777" w:rsidTr="008964A9">
        <w:trPr>
          <w:trHeight w:val="259"/>
        </w:trPr>
        <w:tc>
          <w:tcPr>
            <w:tcW w:w="990" w:type="dxa"/>
            <w:vAlign w:val="center"/>
          </w:tcPr>
          <w:p w14:paraId="2B06FB06"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w:t>
            </w:r>
          </w:p>
        </w:tc>
        <w:tc>
          <w:tcPr>
            <w:tcW w:w="3600" w:type="dxa"/>
            <w:shd w:val="clear" w:color="auto" w:fill="auto"/>
            <w:noWrap/>
            <w:vAlign w:val="bottom"/>
            <w:hideMark/>
          </w:tcPr>
          <w:p w14:paraId="45D8DE16"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Type and Screen (TAS)</w:t>
            </w:r>
          </w:p>
        </w:tc>
      </w:tr>
      <w:tr w:rsidR="008964A9" w:rsidRPr="00490D9B" w14:paraId="6FBC5362" w14:textId="77777777" w:rsidTr="008964A9">
        <w:trPr>
          <w:trHeight w:val="259"/>
        </w:trPr>
        <w:tc>
          <w:tcPr>
            <w:tcW w:w="990" w:type="dxa"/>
            <w:vAlign w:val="center"/>
          </w:tcPr>
          <w:p w14:paraId="69306D82"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2.</w:t>
            </w:r>
          </w:p>
        </w:tc>
        <w:tc>
          <w:tcPr>
            <w:tcW w:w="3600" w:type="dxa"/>
            <w:shd w:val="clear" w:color="auto" w:fill="auto"/>
            <w:noWrap/>
            <w:vAlign w:val="bottom"/>
            <w:hideMark/>
          </w:tcPr>
          <w:p w14:paraId="01E600E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ABO/Rh</w:t>
            </w:r>
          </w:p>
        </w:tc>
      </w:tr>
      <w:tr w:rsidR="008964A9" w:rsidRPr="00490D9B" w14:paraId="159D035D" w14:textId="77777777" w:rsidTr="008964A9">
        <w:trPr>
          <w:trHeight w:val="259"/>
        </w:trPr>
        <w:tc>
          <w:tcPr>
            <w:tcW w:w="990" w:type="dxa"/>
            <w:vAlign w:val="center"/>
          </w:tcPr>
          <w:p w14:paraId="26D7D7C8"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3.</w:t>
            </w:r>
          </w:p>
        </w:tc>
        <w:tc>
          <w:tcPr>
            <w:tcW w:w="3600" w:type="dxa"/>
            <w:shd w:val="clear" w:color="auto" w:fill="auto"/>
            <w:noWrap/>
            <w:vAlign w:val="bottom"/>
            <w:hideMark/>
          </w:tcPr>
          <w:p w14:paraId="417DE3E8"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ABO/Rh</w:t>
            </w:r>
          </w:p>
        </w:tc>
      </w:tr>
      <w:tr w:rsidR="008964A9" w:rsidRPr="00490D9B" w14:paraId="49A59D26" w14:textId="77777777" w:rsidTr="008964A9">
        <w:trPr>
          <w:trHeight w:val="259"/>
        </w:trPr>
        <w:tc>
          <w:tcPr>
            <w:tcW w:w="990" w:type="dxa"/>
            <w:vAlign w:val="center"/>
          </w:tcPr>
          <w:p w14:paraId="4396D695"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4.</w:t>
            </w:r>
          </w:p>
        </w:tc>
        <w:tc>
          <w:tcPr>
            <w:tcW w:w="3600" w:type="dxa"/>
            <w:shd w:val="clear" w:color="auto" w:fill="auto"/>
            <w:noWrap/>
            <w:vAlign w:val="bottom"/>
            <w:hideMark/>
          </w:tcPr>
          <w:p w14:paraId="0CB2FD21"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ABS</w:t>
            </w:r>
          </w:p>
        </w:tc>
      </w:tr>
      <w:tr w:rsidR="008964A9" w:rsidRPr="00490D9B" w14:paraId="243863BE" w14:textId="77777777" w:rsidTr="008964A9">
        <w:trPr>
          <w:trHeight w:val="259"/>
        </w:trPr>
        <w:tc>
          <w:tcPr>
            <w:tcW w:w="990" w:type="dxa"/>
            <w:vAlign w:val="center"/>
          </w:tcPr>
          <w:p w14:paraId="718AA38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5.</w:t>
            </w:r>
          </w:p>
        </w:tc>
        <w:tc>
          <w:tcPr>
            <w:tcW w:w="3600" w:type="dxa"/>
            <w:shd w:val="clear" w:color="auto" w:fill="auto"/>
            <w:noWrap/>
            <w:vAlign w:val="bottom"/>
            <w:hideMark/>
          </w:tcPr>
          <w:p w14:paraId="6EB155E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ABS</w:t>
            </w:r>
          </w:p>
        </w:tc>
      </w:tr>
      <w:tr w:rsidR="008964A9" w:rsidRPr="00490D9B" w14:paraId="66077A3B" w14:textId="77777777" w:rsidTr="008964A9">
        <w:trPr>
          <w:trHeight w:val="259"/>
        </w:trPr>
        <w:tc>
          <w:tcPr>
            <w:tcW w:w="990" w:type="dxa"/>
            <w:vAlign w:val="center"/>
          </w:tcPr>
          <w:p w14:paraId="2257431F"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6.</w:t>
            </w:r>
          </w:p>
        </w:tc>
        <w:tc>
          <w:tcPr>
            <w:tcW w:w="3600" w:type="dxa"/>
            <w:shd w:val="clear" w:color="auto" w:fill="auto"/>
            <w:noWrap/>
            <w:vAlign w:val="bottom"/>
            <w:hideMark/>
          </w:tcPr>
          <w:p w14:paraId="08B6C09A"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AHG DAT</w:t>
            </w:r>
          </w:p>
        </w:tc>
      </w:tr>
      <w:tr w:rsidR="008964A9" w:rsidRPr="00490D9B" w14:paraId="1FAC1D06" w14:textId="77777777" w:rsidTr="008964A9">
        <w:trPr>
          <w:trHeight w:val="259"/>
        </w:trPr>
        <w:tc>
          <w:tcPr>
            <w:tcW w:w="990" w:type="dxa"/>
            <w:vAlign w:val="center"/>
          </w:tcPr>
          <w:p w14:paraId="47E922A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7.</w:t>
            </w:r>
          </w:p>
        </w:tc>
        <w:tc>
          <w:tcPr>
            <w:tcW w:w="3600" w:type="dxa"/>
            <w:shd w:val="clear" w:color="auto" w:fill="auto"/>
            <w:noWrap/>
            <w:vAlign w:val="bottom"/>
            <w:hideMark/>
          </w:tcPr>
          <w:p w14:paraId="55E3CFEA"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AHG DAT</w:t>
            </w:r>
          </w:p>
        </w:tc>
      </w:tr>
      <w:tr w:rsidR="008964A9" w:rsidRPr="00490D9B" w14:paraId="0D6EE69D" w14:textId="77777777" w:rsidTr="008964A9">
        <w:trPr>
          <w:trHeight w:val="259"/>
        </w:trPr>
        <w:tc>
          <w:tcPr>
            <w:tcW w:w="990" w:type="dxa"/>
            <w:vAlign w:val="center"/>
          </w:tcPr>
          <w:p w14:paraId="28E240EE"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8.</w:t>
            </w:r>
          </w:p>
        </w:tc>
        <w:tc>
          <w:tcPr>
            <w:tcW w:w="3600" w:type="dxa"/>
            <w:shd w:val="clear" w:color="auto" w:fill="auto"/>
            <w:noWrap/>
            <w:vAlign w:val="bottom"/>
            <w:hideMark/>
          </w:tcPr>
          <w:p w14:paraId="0AE1A476"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Crossmatch</w:t>
            </w:r>
          </w:p>
        </w:tc>
      </w:tr>
      <w:tr w:rsidR="008964A9" w:rsidRPr="00490D9B" w14:paraId="3FBB00D0" w14:textId="77777777" w:rsidTr="008964A9">
        <w:trPr>
          <w:trHeight w:val="259"/>
        </w:trPr>
        <w:tc>
          <w:tcPr>
            <w:tcW w:w="990" w:type="dxa"/>
            <w:vAlign w:val="center"/>
          </w:tcPr>
          <w:p w14:paraId="7291BACC"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9.</w:t>
            </w:r>
          </w:p>
        </w:tc>
        <w:tc>
          <w:tcPr>
            <w:tcW w:w="3600" w:type="dxa"/>
            <w:shd w:val="clear" w:color="auto" w:fill="auto"/>
            <w:noWrap/>
            <w:vAlign w:val="bottom"/>
            <w:hideMark/>
          </w:tcPr>
          <w:p w14:paraId="5BB812ED"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Crossmatch</w:t>
            </w:r>
          </w:p>
        </w:tc>
      </w:tr>
      <w:tr w:rsidR="008964A9" w:rsidRPr="00490D9B" w14:paraId="4BCF469B" w14:textId="77777777" w:rsidTr="008964A9">
        <w:trPr>
          <w:trHeight w:val="259"/>
        </w:trPr>
        <w:tc>
          <w:tcPr>
            <w:tcW w:w="990" w:type="dxa"/>
            <w:vAlign w:val="center"/>
          </w:tcPr>
          <w:p w14:paraId="041B08E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10.</w:t>
            </w:r>
          </w:p>
        </w:tc>
        <w:tc>
          <w:tcPr>
            <w:tcW w:w="3600" w:type="dxa"/>
            <w:shd w:val="clear" w:color="auto" w:fill="auto"/>
            <w:noWrap/>
            <w:vAlign w:val="bottom"/>
            <w:hideMark/>
          </w:tcPr>
          <w:p w14:paraId="1C322C04"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IgG DAT AHG</w:t>
            </w:r>
          </w:p>
        </w:tc>
      </w:tr>
      <w:tr w:rsidR="008964A9" w:rsidRPr="00490D9B" w14:paraId="201FE1F7" w14:textId="77777777" w:rsidTr="008964A9">
        <w:trPr>
          <w:trHeight w:val="259"/>
        </w:trPr>
        <w:tc>
          <w:tcPr>
            <w:tcW w:w="990" w:type="dxa"/>
            <w:vAlign w:val="center"/>
          </w:tcPr>
          <w:p w14:paraId="69D48824"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11.</w:t>
            </w:r>
          </w:p>
        </w:tc>
        <w:tc>
          <w:tcPr>
            <w:tcW w:w="3600" w:type="dxa"/>
            <w:shd w:val="clear" w:color="auto" w:fill="auto"/>
            <w:noWrap/>
            <w:vAlign w:val="bottom"/>
            <w:hideMark/>
          </w:tcPr>
          <w:p w14:paraId="1977B322"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IgG DAT AHG</w:t>
            </w:r>
          </w:p>
        </w:tc>
      </w:tr>
      <w:tr w:rsidR="008964A9" w:rsidRPr="00490D9B" w14:paraId="227542B4" w14:textId="77777777" w:rsidTr="008964A9">
        <w:trPr>
          <w:trHeight w:val="259"/>
        </w:trPr>
        <w:tc>
          <w:tcPr>
            <w:tcW w:w="990" w:type="dxa"/>
            <w:vAlign w:val="center"/>
          </w:tcPr>
          <w:p w14:paraId="022C8691"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12.</w:t>
            </w:r>
          </w:p>
        </w:tc>
        <w:tc>
          <w:tcPr>
            <w:tcW w:w="3600" w:type="dxa"/>
            <w:shd w:val="clear" w:color="auto" w:fill="auto"/>
            <w:noWrap/>
            <w:vAlign w:val="bottom"/>
            <w:hideMark/>
          </w:tcPr>
          <w:p w14:paraId="0133273F"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C3 DAT AHG</w:t>
            </w:r>
          </w:p>
        </w:tc>
      </w:tr>
      <w:tr w:rsidR="008964A9" w:rsidRPr="00490D9B" w14:paraId="76914DD6" w14:textId="77777777" w:rsidTr="008964A9">
        <w:trPr>
          <w:trHeight w:val="259"/>
        </w:trPr>
        <w:tc>
          <w:tcPr>
            <w:tcW w:w="990" w:type="dxa"/>
            <w:vAlign w:val="center"/>
          </w:tcPr>
          <w:p w14:paraId="078CC150"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13.</w:t>
            </w:r>
          </w:p>
        </w:tc>
        <w:tc>
          <w:tcPr>
            <w:tcW w:w="3600" w:type="dxa"/>
            <w:shd w:val="clear" w:color="auto" w:fill="auto"/>
            <w:noWrap/>
            <w:vAlign w:val="bottom"/>
            <w:hideMark/>
          </w:tcPr>
          <w:p w14:paraId="3DE0DD29"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C3 DAT AHG</w:t>
            </w:r>
          </w:p>
        </w:tc>
      </w:tr>
      <w:tr w:rsidR="008964A9" w:rsidRPr="00490D9B" w14:paraId="1AF6FF7D" w14:textId="77777777" w:rsidTr="008964A9">
        <w:trPr>
          <w:trHeight w:val="259"/>
        </w:trPr>
        <w:tc>
          <w:tcPr>
            <w:tcW w:w="990" w:type="dxa"/>
            <w:vAlign w:val="center"/>
          </w:tcPr>
          <w:p w14:paraId="3F640E77"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14.</w:t>
            </w:r>
          </w:p>
        </w:tc>
        <w:tc>
          <w:tcPr>
            <w:tcW w:w="3600" w:type="dxa"/>
            <w:shd w:val="clear" w:color="auto" w:fill="auto"/>
            <w:noWrap/>
            <w:vAlign w:val="bottom"/>
            <w:hideMark/>
          </w:tcPr>
          <w:p w14:paraId="7C8BD1A7"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Antigen Typing</w:t>
            </w:r>
          </w:p>
        </w:tc>
      </w:tr>
      <w:tr w:rsidR="008964A9" w:rsidRPr="00490D9B" w14:paraId="1C149A2B" w14:textId="77777777" w:rsidTr="008964A9">
        <w:trPr>
          <w:trHeight w:val="259"/>
        </w:trPr>
        <w:tc>
          <w:tcPr>
            <w:tcW w:w="990" w:type="dxa"/>
            <w:vAlign w:val="center"/>
          </w:tcPr>
          <w:p w14:paraId="10B40FC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15.</w:t>
            </w:r>
          </w:p>
        </w:tc>
        <w:tc>
          <w:tcPr>
            <w:tcW w:w="3600" w:type="dxa"/>
            <w:shd w:val="clear" w:color="auto" w:fill="auto"/>
            <w:noWrap/>
            <w:vAlign w:val="bottom"/>
            <w:hideMark/>
          </w:tcPr>
          <w:p w14:paraId="66CE86C1"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Antigen Typing</w:t>
            </w:r>
          </w:p>
        </w:tc>
      </w:tr>
      <w:tr w:rsidR="008964A9" w:rsidRPr="00490D9B" w14:paraId="714DE6C6" w14:textId="77777777" w:rsidTr="008964A9">
        <w:trPr>
          <w:trHeight w:val="259"/>
        </w:trPr>
        <w:tc>
          <w:tcPr>
            <w:tcW w:w="990" w:type="dxa"/>
            <w:vAlign w:val="center"/>
          </w:tcPr>
          <w:p w14:paraId="5D6B275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16.</w:t>
            </w:r>
          </w:p>
        </w:tc>
        <w:tc>
          <w:tcPr>
            <w:tcW w:w="3600" w:type="dxa"/>
            <w:shd w:val="clear" w:color="auto" w:fill="auto"/>
            <w:noWrap/>
            <w:vAlign w:val="bottom"/>
            <w:hideMark/>
          </w:tcPr>
          <w:p w14:paraId="72D1AFB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Unit ABO/Rh</w:t>
            </w:r>
          </w:p>
        </w:tc>
      </w:tr>
      <w:tr w:rsidR="008964A9" w:rsidRPr="00490D9B" w14:paraId="45B31D80" w14:textId="77777777" w:rsidTr="008964A9">
        <w:trPr>
          <w:trHeight w:val="259"/>
        </w:trPr>
        <w:tc>
          <w:tcPr>
            <w:tcW w:w="990" w:type="dxa"/>
            <w:vAlign w:val="center"/>
          </w:tcPr>
          <w:p w14:paraId="549B333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17.</w:t>
            </w:r>
          </w:p>
        </w:tc>
        <w:tc>
          <w:tcPr>
            <w:tcW w:w="3600" w:type="dxa"/>
            <w:shd w:val="clear" w:color="auto" w:fill="auto"/>
            <w:noWrap/>
            <w:vAlign w:val="bottom"/>
            <w:hideMark/>
          </w:tcPr>
          <w:p w14:paraId="610987FF"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Unit Antigen Typing</w:t>
            </w:r>
          </w:p>
        </w:tc>
      </w:tr>
    </w:tbl>
    <w:p w14:paraId="037F8581" w14:textId="77777777" w:rsidR="00B45FA2" w:rsidRDefault="00B45FA2" w:rsidP="007A4841">
      <w:pPr>
        <w:pStyle w:val="Heading2"/>
      </w:pPr>
      <w:r>
        <w:br w:type="page"/>
      </w:r>
      <w:bookmarkStart w:id="640" w:name="_Toc47516772"/>
      <w:r>
        <w:lastRenderedPageBreak/>
        <w:t>Automated Testing Review</w:t>
      </w:r>
      <w:r w:rsidR="00836786">
        <w:t xml:space="preserve"> for Blood Unit</w:t>
      </w:r>
      <w:r w:rsidR="007B52EA">
        <w:t>s</w:t>
      </w:r>
      <w:bookmarkEnd w:id="640"/>
      <w:r w:rsidR="00836786" w:rsidRPr="00836786">
        <w:rPr>
          <w:vanish/>
        </w:rPr>
        <w:t>{ XE “Automated Testing Review f</w:t>
      </w:r>
      <w:r w:rsidR="00BE554D" w:rsidRPr="00836786">
        <w:rPr>
          <w:vanish/>
        </w:rPr>
        <w:t xml:space="preserve">or </w:t>
      </w:r>
      <w:r w:rsidR="00F130A1" w:rsidRPr="00836786">
        <w:rPr>
          <w:vanish/>
        </w:rPr>
        <w:t>Blood Unit ABO/Rh</w:t>
      </w:r>
      <w:r w:rsidR="00836786" w:rsidRPr="00836786">
        <w:rPr>
          <w:vanish/>
        </w:rPr>
        <w:t>” }</w:t>
      </w:r>
      <w:r w:rsidRPr="00836786">
        <w:rPr>
          <w:rFonts w:ascii="Times New Roman" w:hAnsi="Times New Roman" w:cs="Times New Roman"/>
          <w:b w:val="0"/>
          <w:i w:val="0"/>
          <w:vanish/>
          <w:sz w:val="22"/>
        </w:rPr>
        <w:t>UC_115</w:t>
      </w:r>
    </w:p>
    <w:p w14:paraId="4E315CB6" w14:textId="7EF7C50C" w:rsidR="00D23C29" w:rsidRDefault="00D23C29" w:rsidP="00B45FA2">
      <w:pPr>
        <w:pStyle w:val="Heading4"/>
        <w:rPr>
          <w:rFonts w:ascii="Times New Roman" w:hAnsi="Times New Roman"/>
          <w:b w:val="0"/>
          <w:spacing w:val="-5"/>
          <w:szCs w:val="22"/>
        </w:rPr>
      </w:pPr>
      <w:r>
        <w:rPr>
          <w:rFonts w:ascii="Times New Roman" w:hAnsi="Times New Roman"/>
          <w:b w:val="0"/>
          <w:spacing w:val="-5"/>
          <w:szCs w:val="22"/>
        </w:rPr>
        <w:t>A</w:t>
      </w:r>
      <w:r w:rsidRPr="00D23C29">
        <w:rPr>
          <w:rFonts w:ascii="Times New Roman" w:hAnsi="Times New Roman"/>
          <w:b w:val="0"/>
          <w:spacing w:val="-5"/>
          <w:szCs w:val="22"/>
        </w:rPr>
        <w:t>llow</w:t>
      </w:r>
      <w:r>
        <w:rPr>
          <w:rFonts w:ascii="Times New Roman" w:hAnsi="Times New Roman"/>
          <w:b w:val="0"/>
          <w:spacing w:val="-5"/>
          <w:szCs w:val="22"/>
        </w:rPr>
        <w:t>s</w:t>
      </w:r>
      <w:r w:rsidR="00B80078">
        <w:rPr>
          <w:rFonts w:ascii="Times New Roman" w:hAnsi="Times New Roman"/>
          <w:b w:val="0"/>
          <w:spacing w:val="-5"/>
          <w:szCs w:val="22"/>
        </w:rPr>
        <w:t xml:space="preserve"> the user to review and approve testing results completed on an automated instrument and transmitted </w:t>
      </w:r>
      <w:r w:rsidR="006549B7">
        <w:rPr>
          <w:rFonts w:ascii="Times New Roman" w:hAnsi="Times New Roman"/>
          <w:b w:val="0"/>
          <w:spacing w:val="-5"/>
          <w:szCs w:val="22"/>
        </w:rPr>
        <w:t>to VBECS</w:t>
      </w:r>
      <w:r w:rsidRPr="00D23C29">
        <w:rPr>
          <w:rFonts w:ascii="Times New Roman" w:hAnsi="Times New Roman"/>
          <w:b w:val="0"/>
          <w:spacing w:val="-5"/>
          <w:szCs w:val="22"/>
        </w:rPr>
        <w:t>.</w:t>
      </w:r>
    </w:p>
    <w:p w14:paraId="56BE8A75" w14:textId="77777777" w:rsidR="00B45FA2" w:rsidRPr="00D23C29" w:rsidRDefault="00B45FA2" w:rsidP="00B45FA2">
      <w:pPr>
        <w:pStyle w:val="Heading4"/>
      </w:pPr>
      <w:r w:rsidRPr="00D23C29">
        <w:t xml:space="preserve">Assumptions </w:t>
      </w:r>
      <w:r w:rsidR="00A134D8" w:rsidRPr="00A134D8">
        <w:rPr>
          <w:rFonts w:ascii="Arial Bold" w:hAnsi="Arial Bold"/>
          <w:vanish/>
        </w:rPr>
        <w:t>Defect 357490</w:t>
      </w:r>
    </w:p>
    <w:p w14:paraId="66D28A43" w14:textId="77777777" w:rsidR="00B45FA2" w:rsidRPr="009A3F10"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Division is defined as full service.</w:t>
      </w:r>
    </w:p>
    <w:p w14:paraId="360F0B6D" w14:textId="77777777" w:rsidR="00B45FA2" w:rsidRPr="009A3F10"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The testing instrument is fully functional and available for use. The instrument QC is completed and valid, no maintenance is required. No QC information is transmitted to VBECS in the HL7 message.</w:t>
      </w:r>
    </w:p>
    <w:p w14:paraId="7A361B54" w14:textId="77777777" w:rsidR="00B45FA2" w:rsidRPr="009A3F10"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Message is received</w:t>
      </w:r>
      <w:r w:rsidR="00B80078">
        <w:rPr>
          <w:rFonts w:ascii="Times New Roman" w:hAnsi="Times New Roman"/>
          <w:spacing w:val="-5"/>
          <w:sz w:val="22"/>
          <w:szCs w:val="22"/>
        </w:rPr>
        <w:t xml:space="preserve"> successfully as defined in </w:t>
      </w:r>
      <w:r w:rsidRPr="009A3F10">
        <w:rPr>
          <w:rFonts w:ascii="Times New Roman" w:hAnsi="Times New Roman"/>
          <w:spacing w:val="-5"/>
          <w:sz w:val="22"/>
          <w:szCs w:val="22"/>
        </w:rPr>
        <w:t>Automated Testing Interface.</w:t>
      </w:r>
    </w:p>
    <w:p w14:paraId="08C35157" w14:textId="77777777" w:rsidR="00B45FA2" w:rsidRPr="009A3F10" w:rsidRDefault="00B45FA2" w:rsidP="000409B1">
      <w:pPr>
        <w:pStyle w:val="TableTextBullet"/>
        <w:numPr>
          <w:ilvl w:val="0"/>
          <w:numId w:val="48"/>
        </w:numPr>
        <w:rPr>
          <w:rFonts w:ascii="Times New Roman" w:hAnsi="Times New Roman"/>
          <w:spacing w:val="-5"/>
          <w:sz w:val="22"/>
          <w:szCs w:val="22"/>
        </w:rPr>
      </w:pPr>
      <w:r w:rsidRPr="009A3F10">
        <w:rPr>
          <w:rFonts w:ascii="Times New Roman" w:hAnsi="Times New Roman"/>
          <w:spacing w:val="-5"/>
          <w:sz w:val="22"/>
          <w:szCs w:val="22"/>
        </w:rPr>
        <w:t>The blood unit records are in the VBECS database for ABO/Rh confirmation or Unit Antigen Typing.</w:t>
      </w:r>
    </w:p>
    <w:p w14:paraId="481438C4" w14:textId="77777777" w:rsidR="00B45FA2" w:rsidRPr="009A3F10" w:rsidRDefault="00B45FA2" w:rsidP="000409B1">
      <w:pPr>
        <w:numPr>
          <w:ilvl w:val="0"/>
          <w:numId w:val="48"/>
        </w:numPr>
        <w:rPr>
          <w:spacing w:val="-5"/>
          <w:sz w:val="22"/>
          <w:szCs w:val="22"/>
        </w:rPr>
      </w:pPr>
      <w:r w:rsidRPr="009A3F10">
        <w:rPr>
          <w:spacing w:val="-5"/>
          <w:sz w:val="22"/>
          <w:szCs w:val="22"/>
        </w:rPr>
        <w:t>Each transmitted test must include its results and interpretati</w:t>
      </w:r>
      <w:r w:rsidR="00B80078">
        <w:rPr>
          <w:spacing w:val="-5"/>
          <w:sz w:val="22"/>
          <w:szCs w:val="22"/>
        </w:rPr>
        <w:t>on</w:t>
      </w:r>
      <w:r w:rsidRPr="009A3F10">
        <w:rPr>
          <w:spacing w:val="-5"/>
          <w:sz w:val="22"/>
          <w:szCs w:val="22"/>
        </w:rPr>
        <w:t>.</w:t>
      </w:r>
    </w:p>
    <w:p w14:paraId="4AD29FF4" w14:textId="77777777" w:rsidR="00B45FA2" w:rsidRDefault="00B45FA2" w:rsidP="00B45FA2">
      <w:pPr>
        <w:pStyle w:val="Heading4"/>
      </w:pPr>
      <w:r>
        <w:t xml:space="preserve">Outcome </w:t>
      </w:r>
    </w:p>
    <w:p w14:paraId="0D4F2AEF" w14:textId="77777777" w:rsidR="003F0E4F" w:rsidRPr="00D23C29" w:rsidRDefault="003F0E4F"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The test record will capture the details of the verified testing. Completed, current unit and specimen test results will be available for the life of the system for inclusion in various reports generated to document patient and unit testing.</w:t>
      </w:r>
    </w:p>
    <w:p w14:paraId="312EDDC1" w14:textId="77777777" w:rsidR="003F0E4F" w:rsidRPr="00D23C29" w:rsidRDefault="003F0E4F"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Unit(s) will have ABO/Rh and antigen test results recorded in the database.</w:t>
      </w:r>
    </w:p>
    <w:p w14:paraId="6DFE012A" w14:textId="77777777" w:rsidR="003F0E4F" w:rsidRPr="00D23C29" w:rsidRDefault="003F0E4F"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The system updates the workload reporting in VBECS</w:t>
      </w:r>
      <w:r w:rsidR="00A134D8">
        <w:rPr>
          <w:rFonts w:ascii="Times New Roman" w:hAnsi="Times New Roman"/>
          <w:spacing w:val="-5"/>
          <w:sz w:val="22"/>
          <w:szCs w:val="22"/>
        </w:rPr>
        <w:t xml:space="preserve">. </w:t>
      </w:r>
      <w:r w:rsidR="00A134D8" w:rsidRPr="00A134D8">
        <w:rPr>
          <w:rFonts w:ascii="Times New Roman" w:hAnsi="Times New Roman"/>
          <w:vanish/>
          <w:spacing w:val="-5"/>
          <w:sz w:val="22"/>
          <w:szCs w:val="22"/>
        </w:rPr>
        <w:t>Defect 357490</w:t>
      </w:r>
    </w:p>
    <w:p w14:paraId="447F901C" w14:textId="77777777" w:rsidR="00B45FA2" w:rsidRDefault="00B45FA2" w:rsidP="003F0E4F">
      <w:pPr>
        <w:pStyle w:val="Heading4"/>
      </w:pPr>
      <w:r>
        <w:t>Limitations and Restrictions</w:t>
      </w:r>
      <w:r>
        <w:rPr>
          <w:b w:val="0"/>
        </w:rPr>
        <w:t xml:space="preserve"> </w:t>
      </w:r>
    </w:p>
    <w:p w14:paraId="6CC852B8" w14:textId="77777777" w:rsidR="00B45FA2" w:rsidRPr="009A3F10"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 xml:space="preserve">VBECS does not accept inconclusive ABO/Rh test results.  </w:t>
      </w:r>
    </w:p>
    <w:p w14:paraId="5C1A40CC" w14:textId="77777777" w:rsidR="00B45FA2" w:rsidRPr="009A3F10" w:rsidRDefault="00E43DE4" w:rsidP="000409B1">
      <w:pPr>
        <w:pStyle w:val="TableText"/>
        <w:numPr>
          <w:ilvl w:val="0"/>
          <w:numId w:val="48"/>
        </w:numPr>
        <w:rPr>
          <w:rFonts w:ascii="Times New Roman" w:hAnsi="Times New Roman"/>
          <w:spacing w:val="-5"/>
          <w:sz w:val="22"/>
          <w:szCs w:val="22"/>
        </w:rPr>
      </w:pPr>
      <w:r>
        <w:rPr>
          <w:rFonts w:ascii="Times New Roman" w:hAnsi="Times New Roman"/>
          <w:spacing w:val="-5"/>
          <w:sz w:val="22"/>
          <w:szCs w:val="22"/>
        </w:rPr>
        <w:t>Pooled</w:t>
      </w:r>
      <w:r w:rsidR="00B45FA2" w:rsidRPr="009A3F10">
        <w:rPr>
          <w:rFonts w:ascii="Times New Roman" w:hAnsi="Times New Roman"/>
          <w:spacing w:val="-5"/>
          <w:sz w:val="22"/>
          <w:szCs w:val="22"/>
        </w:rPr>
        <w:t xml:space="preserve"> Product Types labeled with an Rh type of “Pooled” is considered an Rh Positive unit which does not require confirmation testing.</w:t>
      </w:r>
    </w:p>
    <w:p w14:paraId="7634B7EF" w14:textId="77777777" w:rsidR="00B45FA2"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Pooled Product Types</w:t>
      </w:r>
      <w:r w:rsidRPr="009A3F10" w:rsidDel="00922FC4">
        <w:rPr>
          <w:rFonts w:ascii="Times New Roman" w:hAnsi="Times New Roman"/>
          <w:spacing w:val="-5"/>
          <w:sz w:val="22"/>
          <w:szCs w:val="22"/>
        </w:rPr>
        <w:t xml:space="preserve"> </w:t>
      </w:r>
      <w:r w:rsidRPr="009A3F10">
        <w:rPr>
          <w:rFonts w:ascii="Times New Roman" w:hAnsi="Times New Roman"/>
          <w:spacing w:val="-5"/>
          <w:sz w:val="22"/>
          <w:szCs w:val="22"/>
        </w:rPr>
        <w:t>that require confirmation, labeled with an ABO group of “Pooled” cannot be confirmed. A blood component unit received as “POOLED ABO” will have to be transfused using the Supervisory option, Document ABO Incompatible Transfusion.</w:t>
      </w:r>
    </w:p>
    <w:p w14:paraId="5F814641" w14:textId="77777777" w:rsidR="004926E0" w:rsidRPr="00DA27C7" w:rsidRDefault="00057948" w:rsidP="000409B1">
      <w:pPr>
        <w:pStyle w:val="TableText"/>
        <w:numPr>
          <w:ilvl w:val="0"/>
          <w:numId w:val="48"/>
        </w:numPr>
        <w:rPr>
          <w:rFonts w:ascii="Times New Roman" w:hAnsi="Times New Roman"/>
          <w:spacing w:val="-5"/>
          <w:sz w:val="22"/>
          <w:szCs w:val="22"/>
        </w:rPr>
      </w:pPr>
      <w:r>
        <w:rPr>
          <w:noProof/>
        </w:rPr>
        <w:drawing>
          <wp:inline distT="0" distB="0" distL="0" distR="0" wp14:anchorId="14C72851" wp14:editId="00E6C18D">
            <wp:extent cx="267970" cy="221615"/>
            <wp:effectExtent l="0" t="0" r="0" b="6985"/>
            <wp:docPr id="263" name="Picture 2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926E0">
        <w:t xml:space="preserve"> </w:t>
      </w:r>
      <w:r w:rsidR="004926E0" w:rsidRPr="00D33B43">
        <w:rPr>
          <w:rFonts w:ascii="Times New Roman" w:hAnsi="Times New Roman"/>
          <w:spacing w:val="-5"/>
          <w:sz w:val="22"/>
          <w:szCs w:val="22"/>
        </w:rPr>
        <w:t>Users can select and assign multiple units with the same DIN and different product codes for crossmatch. Users can only process one DIN (e.g., W123400345345) on the Automated Instrument at a time. It is incumbent on the user to verify that the crossmatch result from the Automated Instrument matches the product code (e.g., E0134V00) associated with the patient in VBECS. To decrease the risk of a mislabeled unit at issue, local practice may want to have only one on the units selected in VBECS at a time when crossmatch testing is being performed on the automated instrument.</w:t>
      </w:r>
      <w:r w:rsidR="00A134D8">
        <w:rPr>
          <w:rFonts w:ascii="Times New Roman" w:hAnsi="Times New Roman"/>
          <w:spacing w:val="-5"/>
          <w:sz w:val="22"/>
          <w:szCs w:val="22"/>
        </w:rPr>
        <w:t xml:space="preserve"> </w:t>
      </w:r>
      <w:r w:rsidR="00A134D8" w:rsidRPr="005028F8">
        <w:rPr>
          <w:rFonts w:ascii="Times New Roman" w:hAnsi="Times New Roman"/>
          <w:vanish/>
          <w:spacing w:val="-5"/>
          <w:sz w:val="22"/>
          <w:szCs w:val="22"/>
        </w:rPr>
        <w:t>Defect 357490</w:t>
      </w:r>
    </w:p>
    <w:p w14:paraId="7D712452" w14:textId="77777777" w:rsidR="00D31EC9" w:rsidRPr="009A3F10" w:rsidRDefault="00D31EC9" w:rsidP="000409B1">
      <w:pPr>
        <w:pStyle w:val="TableText"/>
        <w:numPr>
          <w:ilvl w:val="0"/>
          <w:numId w:val="48"/>
        </w:numPr>
        <w:rPr>
          <w:rFonts w:ascii="Times New Roman" w:hAnsi="Times New Roman"/>
          <w:spacing w:val="-5"/>
          <w:sz w:val="22"/>
          <w:szCs w:val="22"/>
        </w:rPr>
      </w:pPr>
      <w:r w:rsidRPr="00D31EC9">
        <w:rPr>
          <w:rFonts w:ascii="Times New Roman" w:hAnsi="Times New Roman"/>
          <w:spacing w:val="-5"/>
          <w:sz w:val="22"/>
          <w:szCs w:val="22"/>
        </w:rPr>
        <w:t>When a user chooses to reject a transmitted test, a comment is required. The comment is stored but is not available for review on a report at this time. It is recommended that the test is reviewed in the instrument and not sent to VBECS as a result for rejection.</w:t>
      </w:r>
      <w:r>
        <w:rPr>
          <w:rFonts w:ascii="Times New Roman" w:hAnsi="Times New Roman"/>
          <w:spacing w:val="-5"/>
          <w:sz w:val="22"/>
          <w:szCs w:val="22"/>
        </w:rPr>
        <w:t xml:space="preserve"> </w:t>
      </w:r>
      <w:r w:rsidRPr="005028F8">
        <w:rPr>
          <w:rFonts w:ascii="Times New Roman" w:hAnsi="Times New Roman"/>
          <w:vanish/>
          <w:spacing w:val="-5"/>
          <w:sz w:val="22"/>
          <w:szCs w:val="22"/>
        </w:rPr>
        <w:t>Defect 382981</w:t>
      </w:r>
    </w:p>
    <w:p w14:paraId="788B4F87" w14:textId="77777777" w:rsidR="00B45FA2" w:rsidRDefault="00B45FA2" w:rsidP="00B45FA2">
      <w:pPr>
        <w:pStyle w:val="Heading4"/>
      </w:pPr>
      <w:r>
        <w:t xml:space="preserve">Additional Information </w:t>
      </w:r>
    </w:p>
    <w:p w14:paraId="1376E40F" w14:textId="77777777" w:rsidR="00B45FA2" w:rsidRPr="002275D4" w:rsidRDefault="00B45FA2" w:rsidP="000409B1">
      <w:pPr>
        <w:pStyle w:val="TableText"/>
        <w:numPr>
          <w:ilvl w:val="0"/>
          <w:numId w:val="48"/>
        </w:numPr>
        <w:rPr>
          <w:rFonts w:ascii="Times New Roman" w:hAnsi="Times New Roman"/>
          <w:spacing w:val="-5"/>
          <w:sz w:val="22"/>
          <w:szCs w:val="22"/>
        </w:rPr>
      </w:pPr>
      <w:r w:rsidRPr="006E44D8">
        <w:rPr>
          <w:rFonts w:ascii="Times New Roman" w:hAnsi="Times New Roman"/>
          <w:spacing w:val="-5"/>
          <w:sz w:val="22"/>
          <w:szCs w:val="22"/>
        </w:rPr>
        <w:t>When Workload is</w:t>
      </w:r>
      <w:r w:rsidR="00B80078">
        <w:rPr>
          <w:rFonts w:ascii="Times New Roman" w:hAnsi="Times New Roman"/>
          <w:spacing w:val="-5"/>
          <w:sz w:val="22"/>
          <w:szCs w:val="22"/>
        </w:rPr>
        <w:t xml:space="preserve"> not configured per </w:t>
      </w:r>
      <w:r w:rsidRPr="006E44D8">
        <w:rPr>
          <w:rFonts w:ascii="Times New Roman" w:hAnsi="Times New Roman"/>
          <w:spacing w:val="-5"/>
          <w:sz w:val="22"/>
          <w:szCs w:val="22"/>
        </w:rPr>
        <w:t>Workload Codes, then Workload cannot be collected.</w:t>
      </w:r>
    </w:p>
    <w:p w14:paraId="5317CA39" w14:textId="77777777" w:rsidR="00B45FA2" w:rsidRDefault="00B45FA2" w:rsidP="00B45FA2">
      <w:pPr>
        <w:pStyle w:val="Heading4"/>
        <w:rPr>
          <w:b w:val="0"/>
        </w:rPr>
      </w:pPr>
      <w:r>
        <w:t>User Roles with Access to This Option</w:t>
      </w:r>
      <w:r>
        <w:rPr>
          <w:b w:val="0"/>
        </w:rPr>
        <w:t xml:space="preserve"> </w:t>
      </w:r>
    </w:p>
    <w:p w14:paraId="52B5BE14" w14:textId="77777777" w:rsidR="00B45FA2" w:rsidRDefault="00B45FA2" w:rsidP="00B45FA2">
      <w:pPr>
        <w:pStyle w:val="Roles"/>
      </w:pPr>
      <w:r>
        <w:t>All users</w:t>
      </w:r>
    </w:p>
    <w:p w14:paraId="2149E926" w14:textId="77777777" w:rsidR="00B45FA2" w:rsidRPr="00311A54" w:rsidRDefault="009068D5" w:rsidP="00B45FA2">
      <w:pPr>
        <w:pStyle w:val="Heading4"/>
      </w:pPr>
      <w:r w:rsidRPr="00311A54">
        <w:lastRenderedPageBreak/>
        <w:t>Automated Testing Review</w:t>
      </w:r>
    </w:p>
    <w:p w14:paraId="2B820F27" w14:textId="77777777" w:rsidR="008F1BE0" w:rsidRDefault="00311A54" w:rsidP="00311A54">
      <w:pPr>
        <w:pStyle w:val="BodyText"/>
      </w:pPr>
      <w:r>
        <w:t xml:space="preserve">This </w:t>
      </w:r>
      <w:r w:rsidR="00640909">
        <w:t>feature</w:t>
      </w:r>
      <w:r>
        <w:t xml:space="preserve"> allows the interface of automated blood banking instruments with VBECS through Data Innovati</w:t>
      </w:r>
      <w:r w:rsidR="00640909">
        <w:t xml:space="preserve">ons Instrument Manager. It </w:t>
      </w:r>
      <w:r>
        <w:t>eliminate</w:t>
      </w:r>
      <w:r w:rsidR="00640909">
        <w:t>s</w:t>
      </w:r>
      <w:r>
        <w:t xml:space="preserve"> the potential for human error associated with the manual entry of results from an automated instrument into</w:t>
      </w:r>
      <w:r w:rsidR="00640909">
        <w:t xml:space="preserve"> VBECS. It also eliminates the</w:t>
      </w:r>
      <w:r>
        <w:t xml:space="preserve"> potential for transcription errors that can lead to a patient safety issue of ABO incompatible transfusion. In addition to safety, these enhancements will also reduce the time spent entering results manually</w:t>
      </w:r>
      <w:r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45FA2" w14:paraId="77780C2F" w14:textId="77777777" w:rsidTr="003F6E8A">
        <w:trPr>
          <w:cantSplit/>
          <w:tblHeader/>
        </w:trPr>
        <w:tc>
          <w:tcPr>
            <w:tcW w:w="3240" w:type="dxa"/>
            <w:shd w:val="pct30" w:color="auto" w:fill="FFFFFF"/>
            <w:vAlign w:val="bottom"/>
          </w:tcPr>
          <w:p w14:paraId="378C156C" w14:textId="77777777" w:rsidR="00B45FA2" w:rsidRDefault="00B45FA2" w:rsidP="003F6E8A">
            <w:pPr>
              <w:pStyle w:val="TableText"/>
              <w:rPr>
                <w:b/>
              </w:rPr>
            </w:pPr>
            <w:r>
              <w:rPr>
                <w:b/>
              </w:rPr>
              <w:t>User Action</w:t>
            </w:r>
          </w:p>
        </w:tc>
        <w:tc>
          <w:tcPr>
            <w:tcW w:w="6120" w:type="dxa"/>
            <w:shd w:val="pct30" w:color="auto" w:fill="FFFFFF"/>
            <w:vAlign w:val="bottom"/>
          </w:tcPr>
          <w:p w14:paraId="141EAA4D" w14:textId="77777777" w:rsidR="00B45FA2" w:rsidRDefault="00B45FA2" w:rsidP="003F6E8A">
            <w:pPr>
              <w:pStyle w:val="TableText"/>
              <w:rPr>
                <w:b/>
              </w:rPr>
            </w:pPr>
            <w:r>
              <w:rPr>
                <w:b/>
              </w:rPr>
              <w:t>VBECS</w:t>
            </w:r>
          </w:p>
        </w:tc>
      </w:tr>
      <w:tr w:rsidR="00B45FA2" w14:paraId="6BC96257" w14:textId="77777777" w:rsidTr="003F6E8A">
        <w:tc>
          <w:tcPr>
            <w:tcW w:w="3240" w:type="dxa"/>
          </w:tcPr>
          <w:p w14:paraId="53785A77" w14:textId="77777777" w:rsidR="00B45FA2" w:rsidRDefault="00141AB2" w:rsidP="000409B1">
            <w:pPr>
              <w:pStyle w:val="TableTextNumbers"/>
              <w:numPr>
                <w:ilvl w:val="0"/>
                <w:numId w:val="52"/>
              </w:numPr>
            </w:pPr>
            <w:r>
              <w:t xml:space="preserve">User logs into VBECS and selects </w:t>
            </w:r>
            <w:r w:rsidRPr="00307125">
              <w:rPr>
                <w:b/>
              </w:rPr>
              <w:t xml:space="preserve">Blood Units, </w:t>
            </w:r>
            <w:r w:rsidR="00307125" w:rsidRPr="00307125">
              <w:rPr>
                <w:b/>
              </w:rPr>
              <w:t>Automated Testing</w:t>
            </w:r>
            <w:r w:rsidR="00307125">
              <w:t xml:space="preserve"> from the main menu.</w:t>
            </w:r>
          </w:p>
          <w:p w14:paraId="4B335694" w14:textId="77777777" w:rsidR="00307125" w:rsidRDefault="00307125" w:rsidP="00307125">
            <w:pPr>
              <w:pStyle w:val="TableTextNumbers"/>
              <w:numPr>
                <w:ilvl w:val="0"/>
                <w:numId w:val="0"/>
              </w:numPr>
              <w:ind w:left="288"/>
            </w:pPr>
          </w:p>
          <w:p w14:paraId="0B8D5352" w14:textId="77777777" w:rsidR="00307125" w:rsidRDefault="00307125" w:rsidP="00307125">
            <w:pPr>
              <w:pStyle w:val="TableTextNumbers"/>
              <w:numPr>
                <w:ilvl w:val="0"/>
                <w:numId w:val="0"/>
              </w:numPr>
              <w:ind w:left="288"/>
            </w:pPr>
            <w:r>
              <w:t>Or</w:t>
            </w:r>
          </w:p>
          <w:p w14:paraId="47C22550" w14:textId="77777777" w:rsidR="00307125" w:rsidRDefault="00307125" w:rsidP="00307125">
            <w:pPr>
              <w:pStyle w:val="TableTextNumbers"/>
              <w:numPr>
                <w:ilvl w:val="0"/>
                <w:numId w:val="0"/>
              </w:numPr>
              <w:ind w:left="288"/>
            </w:pPr>
          </w:p>
          <w:p w14:paraId="7E1E5490" w14:textId="301E26FF" w:rsidR="00307125" w:rsidRDefault="00307125" w:rsidP="00307125">
            <w:pPr>
              <w:pStyle w:val="TableTextNumbers"/>
              <w:numPr>
                <w:ilvl w:val="0"/>
                <w:numId w:val="0"/>
              </w:numPr>
              <w:ind w:left="288"/>
            </w:pPr>
            <w:r>
              <w:t xml:space="preserve">User logs into VBECS and clicks on the </w:t>
            </w:r>
            <w:r w:rsidRPr="00307125">
              <w:rPr>
                <w:b/>
              </w:rPr>
              <w:t>Automated Testing Toolbar Icon</w:t>
            </w:r>
            <w:r>
              <w:t xml:space="preserve"> (blood drop with </w:t>
            </w:r>
            <w:r w:rsidR="002E5AC8">
              <w:t>lightning</w:t>
            </w:r>
            <w:r>
              <w:t xml:space="preserve"> bolt).</w:t>
            </w:r>
          </w:p>
        </w:tc>
        <w:tc>
          <w:tcPr>
            <w:tcW w:w="6120" w:type="dxa"/>
          </w:tcPr>
          <w:p w14:paraId="6C9F04BB" w14:textId="77777777" w:rsidR="00DB1497" w:rsidRDefault="00D279DE" w:rsidP="00BA1FF8">
            <w:pPr>
              <w:pStyle w:val="TableTextBullet"/>
            </w:pPr>
            <w:r>
              <w:t>Displays</w:t>
            </w:r>
            <w:r w:rsidR="00307125">
              <w:t xml:space="preserve"> the Automated Testing – Pending Blood Units window.</w:t>
            </w:r>
          </w:p>
          <w:p w14:paraId="2B8573D8" w14:textId="77777777" w:rsidR="00307125" w:rsidRDefault="00307125" w:rsidP="00BA1FF8">
            <w:pPr>
              <w:pStyle w:val="TableTextBullet"/>
            </w:pPr>
            <w:r>
              <w:t>Displays message when no pending blood units were found to review.</w:t>
            </w:r>
          </w:p>
          <w:p w14:paraId="39B9ED53" w14:textId="77777777" w:rsidR="00425938" w:rsidRDefault="00425938" w:rsidP="00425938">
            <w:pPr>
              <w:pStyle w:val="TableTextBullet"/>
              <w:numPr>
                <w:ilvl w:val="0"/>
                <w:numId w:val="0"/>
              </w:numPr>
              <w:ind w:left="288" w:hanging="288"/>
            </w:pPr>
          </w:p>
          <w:p w14:paraId="2CD26A69" w14:textId="3A6BBB03" w:rsidR="00425938" w:rsidRDefault="00425938" w:rsidP="00425938">
            <w:pPr>
              <w:pStyle w:val="TableText"/>
              <w:rPr>
                <w:b/>
                <w:bCs/>
                <w:szCs w:val="18"/>
              </w:rPr>
            </w:pPr>
            <w:r>
              <w:rPr>
                <w:b/>
                <w:bCs/>
                <w:szCs w:val="18"/>
              </w:rPr>
              <w:t>NOTES</w:t>
            </w:r>
          </w:p>
          <w:p w14:paraId="1F490F25" w14:textId="77777777" w:rsidR="00425938" w:rsidRDefault="00425938" w:rsidP="00425938">
            <w:pPr>
              <w:pStyle w:val="TableTextBullet"/>
              <w:numPr>
                <w:ilvl w:val="0"/>
                <w:numId w:val="0"/>
              </w:numPr>
              <w:ind w:left="288" w:hanging="288"/>
            </w:pPr>
          </w:p>
          <w:p w14:paraId="50D6BF7A" w14:textId="77777777" w:rsidR="00425938" w:rsidRDefault="00425938" w:rsidP="00425938">
            <w:pPr>
              <w:pStyle w:val="TableText"/>
              <w:ind w:left="720"/>
            </w:pPr>
            <w:r w:rsidRPr="00425938">
              <w:rPr>
                <w:vanish/>
              </w:rPr>
              <w:t xml:space="preserve">BR_2.43 </w:t>
            </w:r>
            <w:r>
              <w:t>The functionality is not accessible if division is defined as a Transfusion Only facility.</w:t>
            </w:r>
          </w:p>
          <w:p w14:paraId="597C9EA2" w14:textId="77777777" w:rsidR="00425938" w:rsidRDefault="00425938" w:rsidP="00425938">
            <w:pPr>
              <w:pStyle w:val="TableText"/>
              <w:ind w:left="720"/>
            </w:pPr>
          </w:p>
          <w:p w14:paraId="1CDE9B99" w14:textId="77777777" w:rsidR="00425938" w:rsidRDefault="00425938" w:rsidP="00036095">
            <w:pPr>
              <w:pStyle w:val="TableText"/>
              <w:ind w:left="720"/>
            </w:pPr>
            <w:r w:rsidRPr="00425938">
              <w:rPr>
                <w:vanish/>
              </w:rPr>
              <w:t xml:space="preserve">BR_2.01 </w:t>
            </w:r>
            <w:r w:rsidRPr="00425938">
              <w:t>Only data within the user’s division can be accessed for any type of processing.</w:t>
            </w:r>
          </w:p>
          <w:p w14:paraId="230401E5" w14:textId="77777777" w:rsidR="00425938" w:rsidRPr="00BA1FF8" w:rsidRDefault="00425938" w:rsidP="00425938">
            <w:pPr>
              <w:pStyle w:val="TableText"/>
              <w:ind w:left="720"/>
            </w:pPr>
          </w:p>
        </w:tc>
      </w:tr>
      <w:tr w:rsidR="00B45FA2" w14:paraId="0BD3AC11" w14:textId="77777777" w:rsidTr="003F6E8A">
        <w:tc>
          <w:tcPr>
            <w:tcW w:w="3240" w:type="dxa"/>
          </w:tcPr>
          <w:p w14:paraId="27CE8DA1" w14:textId="094CDB24" w:rsidR="00665554" w:rsidRDefault="00665554" w:rsidP="003F6E8A">
            <w:pPr>
              <w:pStyle w:val="TableTextNumbers"/>
            </w:pPr>
            <w:r w:rsidRPr="00396B2B">
              <w:t>User selec</w:t>
            </w:r>
            <w:r>
              <w:t>ts from the testing tabs that are enabled on the Automated Testing – Pending Blood Units window</w:t>
            </w:r>
            <w:r w:rsidR="00937534">
              <w:t xml:space="preserve"> (</w:t>
            </w:r>
            <w:r w:rsidR="00937534">
              <w:fldChar w:fldCharType="begin"/>
            </w:r>
            <w:r w:rsidR="00937534">
              <w:instrText xml:space="preserve"> REF _Ref447168071 \h </w:instrText>
            </w:r>
            <w:r w:rsidR="00937534">
              <w:fldChar w:fldCharType="separate"/>
            </w:r>
            <w:r w:rsidR="004353ED">
              <w:t xml:space="preserve">Figure </w:t>
            </w:r>
            <w:r w:rsidR="004353ED">
              <w:rPr>
                <w:noProof/>
              </w:rPr>
              <w:t>143</w:t>
            </w:r>
            <w:r w:rsidR="00937534">
              <w:fldChar w:fldCharType="end"/>
            </w:r>
            <w:r w:rsidR="00937534">
              <w:t>)</w:t>
            </w:r>
            <w:r>
              <w:t>.</w:t>
            </w:r>
          </w:p>
          <w:p w14:paraId="3A1C343A" w14:textId="77777777" w:rsidR="00665554" w:rsidRDefault="00665554" w:rsidP="00665554">
            <w:pPr>
              <w:pStyle w:val="TableTextNumbers"/>
              <w:numPr>
                <w:ilvl w:val="0"/>
                <w:numId w:val="0"/>
              </w:numPr>
              <w:ind w:left="288"/>
            </w:pPr>
          </w:p>
          <w:p w14:paraId="670C6DA2" w14:textId="77777777" w:rsidR="00B45FA2" w:rsidRDefault="00602E53" w:rsidP="00665554">
            <w:pPr>
              <w:pStyle w:val="TableTextNumbers"/>
              <w:numPr>
                <w:ilvl w:val="0"/>
                <w:numId w:val="0"/>
              </w:numPr>
              <w:ind w:left="288"/>
            </w:pPr>
            <w:r>
              <w:rPr>
                <w:b/>
              </w:rPr>
              <w:t xml:space="preserve">Unit ABO-Rh </w:t>
            </w:r>
            <w:r w:rsidRPr="00602E53">
              <w:t>tab</w:t>
            </w:r>
          </w:p>
          <w:p w14:paraId="62D6D483" w14:textId="77777777" w:rsidR="00307125" w:rsidRDefault="00307125" w:rsidP="00307125">
            <w:pPr>
              <w:pStyle w:val="TableTextNumbers"/>
              <w:numPr>
                <w:ilvl w:val="0"/>
                <w:numId w:val="0"/>
              </w:numPr>
              <w:ind w:left="288"/>
            </w:pPr>
          </w:p>
          <w:p w14:paraId="66A39EAC" w14:textId="77777777" w:rsidR="00307125" w:rsidRDefault="00307125" w:rsidP="00307125">
            <w:pPr>
              <w:pStyle w:val="TableTextNumbers"/>
              <w:numPr>
                <w:ilvl w:val="0"/>
                <w:numId w:val="0"/>
              </w:numPr>
              <w:ind w:left="288"/>
            </w:pPr>
            <w:r w:rsidRPr="00307125">
              <w:rPr>
                <w:b/>
              </w:rPr>
              <w:t>Unit Antigen Typing</w:t>
            </w:r>
            <w:r w:rsidR="002615AD" w:rsidRPr="002615AD">
              <w:t xml:space="preserve"> tab.</w:t>
            </w:r>
          </w:p>
        </w:tc>
        <w:tc>
          <w:tcPr>
            <w:tcW w:w="6120" w:type="dxa"/>
          </w:tcPr>
          <w:p w14:paraId="2E0B1AB5" w14:textId="77777777" w:rsidR="00602E53" w:rsidRDefault="00D279DE" w:rsidP="00602E53">
            <w:pPr>
              <w:pStyle w:val="TableTextBullet"/>
            </w:pPr>
            <w:r>
              <w:t>D</w:t>
            </w:r>
            <w:r w:rsidR="00602E53">
              <w:t>etermines that all appropriate test results were entered for the blood unit. Row validation and test validation are completed.</w:t>
            </w:r>
          </w:p>
          <w:p w14:paraId="7B0C4CA5" w14:textId="77777777" w:rsidR="00DB1497" w:rsidRDefault="00DB1497" w:rsidP="00DB1497">
            <w:pPr>
              <w:pStyle w:val="TableTextBullet"/>
              <w:numPr>
                <w:ilvl w:val="0"/>
                <w:numId w:val="0"/>
              </w:numPr>
              <w:ind w:left="288" w:hanging="288"/>
            </w:pPr>
          </w:p>
          <w:p w14:paraId="21E54D4E" w14:textId="51F2285F" w:rsidR="00DB1497" w:rsidRDefault="00DB1497" w:rsidP="00DB1497">
            <w:pPr>
              <w:pStyle w:val="TableText"/>
              <w:rPr>
                <w:b/>
                <w:bCs/>
                <w:szCs w:val="18"/>
              </w:rPr>
            </w:pPr>
            <w:r>
              <w:rPr>
                <w:b/>
                <w:bCs/>
                <w:szCs w:val="18"/>
              </w:rPr>
              <w:t>NOTES</w:t>
            </w:r>
          </w:p>
          <w:p w14:paraId="74D36A72" w14:textId="77777777" w:rsidR="00DB1497" w:rsidRDefault="00DB1497" w:rsidP="00DB1497">
            <w:pPr>
              <w:pStyle w:val="NotesText"/>
            </w:pPr>
          </w:p>
          <w:p w14:paraId="6DA791B2" w14:textId="77777777" w:rsidR="00DB1497" w:rsidRDefault="00602E53" w:rsidP="00DB1497">
            <w:pPr>
              <w:pStyle w:val="TableText"/>
              <w:ind w:left="720"/>
            </w:pPr>
            <w:r w:rsidRPr="00602E53">
              <w:rPr>
                <w:vanish/>
              </w:rPr>
              <w:t xml:space="preserve">BR_115.09 </w:t>
            </w:r>
            <w:r>
              <w:t xml:space="preserve">The unit ID </w:t>
            </w:r>
            <w:r w:rsidRPr="00820C25">
              <w:t>and product code</w:t>
            </w:r>
            <w:r>
              <w:t xml:space="preserve"> are used to identify a specific unit from inventory. The pick list of Units for ABO/Rh or Antigen Typing will only display the product codes of units in an Active status and per the typing requirements.</w:t>
            </w:r>
          </w:p>
          <w:p w14:paraId="508D4449" w14:textId="77777777" w:rsidR="001F08A5" w:rsidRDefault="001F08A5" w:rsidP="00DB1497">
            <w:pPr>
              <w:pStyle w:val="TableText"/>
              <w:ind w:left="720"/>
            </w:pPr>
          </w:p>
          <w:p w14:paraId="568190A4" w14:textId="77777777" w:rsidR="00711E45" w:rsidRDefault="00711E45" w:rsidP="00711E45">
            <w:pPr>
              <w:pStyle w:val="TableText"/>
              <w:ind w:left="720"/>
              <w:rPr>
                <w:rFonts w:cs="Arial"/>
                <w:szCs w:val="18"/>
              </w:rPr>
            </w:pPr>
            <w:r w:rsidRPr="00711E45">
              <w:rPr>
                <w:rFonts w:cs="Arial"/>
                <w:vanish/>
                <w:szCs w:val="18"/>
              </w:rPr>
              <w:t xml:space="preserve">BR_115.10 </w:t>
            </w:r>
            <w:r w:rsidRPr="00E25BE5">
              <w:rPr>
                <w:rFonts w:cs="Arial"/>
                <w:szCs w:val="18"/>
              </w:rPr>
              <w:t xml:space="preserve">When </w:t>
            </w:r>
            <w:r>
              <w:rPr>
                <w:rFonts w:cs="Arial"/>
                <w:szCs w:val="18"/>
              </w:rPr>
              <w:t xml:space="preserve">a </w:t>
            </w:r>
            <w:r w:rsidRPr="00E25BE5">
              <w:rPr>
                <w:rFonts w:cs="Arial"/>
                <w:szCs w:val="18"/>
              </w:rPr>
              <w:t>weak D antigen typing test</w:t>
            </w:r>
            <w:r>
              <w:rPr>
                <w:rFonts w:cs="Arial"/>
                <w:szCs w:val="18"/>
              </w:rPr>
              <w:t xml:space="preserve"> is received on a blood unit that is Rh positive, the test is marked as in error (E) </w:t>
            </w:r>
            <w:r w:rsidRPr="00E25BE5">
              <w:rPr>
                <w:rFonts w:cs="Arial"/>
                <w:szCs w:val="18"/>
              </w:rPr>
              <w:t>the system provides a</w:t>
            </w:r>
            <w:r>
              <w:rPr>
                <w:rFonts w:cs="Arial"/>
                <w:szCs w:val="18"/>
              </w:rPr>
              <w:t xml:space="preserve"> w</w:t>
            </w:r>
            <w:r w:rsidRPr="00E25BE5">
              <w:rPr>
                <w:rFonts w:cs="Arial"/>
                <w:szCs w:val="18"/>
              </w:rPr>
              <w:t>arning message</w:t>
            </w:r>
            <w:r>
              <w:rPr>
                <w:rFonts w:cs="Arial"/>
                <w:szCs w:val="18"/>
              </w:rPr>
              <w:t>:</w:t>
            </w:r>
          </w:p>
          <w:p w14:paraId="4396C18A" w14:textId="77777777" w:rsidR="00711E45" w:rsidRDefault="00711E45" w:rsidP="00711E45">
            <w:pPr>
              <w:pStyle w:val="TableText"/>
              <w:ind w:left="720"/>
              <w:rPr>
                <w:rFonts w:cs="Arial"/>
                <w:szCs w:val="18"/>
              </w:rPr>
            </w:pPr>
          </w:p>
          <w:p w14:paraId="098B9C6F" w14:textId="77777777" w:rsidR="00711E45" w:rsidRDefault="00711E45" w:rsidP="00711E45">
            <w:pPr>
              <w:pStyle w:val="TableText"/>
              <w:ind w:left="720"/>
              <w:rPr>
                <w:rFonts w:cs="Arial"/>
                <w:szCs w:val="18"/>
              </w:rPr>
            </w:pPr>
            <w:r w:rsidRPr="00E25BE5">
              <w:rPr>
                <w:rFonts w:cs="Arial"/>
                <w:szCs w:val="18"/>
              </w:rPr>
              <w:t>“Cannot perform weak D testing on Rh positive unit.”</w:t>
            </w:r>
            <w:r>
              <w:rPr>
                <w:rFonts w:cs="Arial"/>
                <w:szCs w:val="18"/>
              </w:rPr>
              <w:t xml:space="preserve"> </w:t>
            </w:r>
          </w:p>
          <w:p w14:paraId="4BFD04DF" w14:textId="77777777" w:rsidR="00711E45" w:rsidRDefault="00711E45" w:rsidP="00711E45">
            <w:pPr>
              <w:pStyle w:val="TableText"/>
              <w:ind w:left="720"/>
              <w:rPr>
                <w:rFonts w:cs="Arial"/>
                <w:szCs w:val="18"/>
              </w:rPr>
            </w:pPr>
          </w:p>
          <w:p w14:paraId="44B0C1D8" w14:textId="77777777" w:rsidR="00711E45" w:rsidRDefault="00711E45" w:rsidP="00711E45">
            <w:pPr>
              <w:pStyle w:val="TableText"/>
              <w:ind w:left="720"/>
              <w:rPr>
                <w:rFonts w:cs="Arial"/>
                <w:szCs w:val="18"/>
              </w:rPr>
            </w:pPr>
            <w:r>
              <w:rPr>
                <w:rFonts w:cs="Arial"/>
                <w:szCs w:val="18"/>
              </w:rPr>
              <w:t>The test cannot be saved in VBECS and must be rejected.</w:t>
            </w:r>
          </w:p>
          <w:p w14:paraId="4C094559" w14:textId="77777777" w:rsidR="00711E45" w:rsidRDefault="00711E45" w:rsidP="00DB1497">
            <w:pPr>
              <w:pStyle w:val="TableText"/>
              <w:ind w:left="720"/>
            </w:pPr>
          </w:p>
          <w:p w14:paraId="1AB644EC" w14:textId="77777777" w:rsidR="00602E53" w:rsidRDefault="00602E53" w:rsidP="00602E53">
            <w:pPr>
              <w:pStyle w:val="TableText"/>
              <w:ind w:left="720"/>
            </w:pPr>
            <w:r w:rsidRPr="00602E53">
              <w:rPr>
                <w:vanish/>
              </w:rPr>
              <w:t xml:space="preserve">BR_115.11 </w:t>
            </w:r>
            <w:r>
              <w:t>The list view of test results on the Blood Unit windows is sortable by unit ID or date/time of test completion.</w:t>
            </w:r>
          </w:p>
          <w:p w14:paraId="5D7EC030" w14:textId="77777777" w:rsidR="00602E53" w:rsidRDefault="00602E53" w:rsidP="00602E53">
            <w:pPr>
              <w:pStyle w:val="TableText"/>
              <w:ind w:left="720"/>
            </w:pPr>
            <w:r>
              <w:t>Default sort order is on unit ID.</w:t>
            </w:r>
          </w:p>
          <w:p w14:paraId="629FE2F4" w14:textId="77777777" w:rsidR="00602E53" w:rsidRDefault="00602E53" w:rsidP="00602E53">
            <w:pPr>
              <w:pStyle w:val="TableText"/>
              <w:ind w:left="720"/>
            </w:pPr>
          </w:p>
          <w:p w14:paraId="2AD28B99" w14:textId="77777777" w:rsidR="00602E53" w:rsidRDefault="00602E53" w:rsidP="00602E53">
            <w:pPr>
              <w:pStyle w:val="TableText"/>
              <w:ind w:left="720"/>
            </w:pPr>
            <w:r w:rsidRPr="00602E53">
              <w:rPr>
                <w:vanish/>
              </w:rPr>
              <w:t xml:space="preserve">BR_115.16 </w:t>
            </w:r>
            <w:r>
              <w:t xml:space="preserve">When testing is received for an inactivated unit or unit in final status, the system provides a warning message: “Cannot perform testing on an inactivated unit or a unit in final status.” </w:t>
            </w:r>
            <w:r w:rsidRPr="00602E53">
              <w:t>The test cannot be saved in VBECS and must be rejected.</w:t>
            </w:r>
          </w:p>
          <w:p w14:paraId="6A424811" w14:textId="77777777" w:rsidR="00D0496E" w:rsidRPr="00602E53" w:rsidRDefault="00D0496E" w:rsidP="004A39DB">
            <w:pPr>
              <w:pStyle w:val="TableText"/>
            </w:pPr>
          </w:p>
        </w:tc>
      </w:tr>
      <w:tr w:rsidR="00B45FA2" w14:paraId="28CE06A6" w14:textId="77777777" w:rsidTr="003F6E8A">
        <w:tc>
          <w:tcPr>
            <w:tcW w:w="3240" w:type="dxa"/>
          </w:tcPr>
          <w:p w14:paraId="527CAD44" w14:textId="77777777" w:rsidR="00B45FA2" w:rsidRDefault="00602E53" w:rsidP="00665554">
            <w:pPr>
              <w:pStyle w:val="TableTextNumbers"/>
            </w:pPr>
            <w:r>
              <w:rPr>
                <w:rFonts w:cs="Arial"/>
                <w:szCs w:val="18"/>
              </w:rPr>
              <w:t xml:space="preserve">User selects a </w:t>
            </w:r>
            <w:r w:rsidR="00665554">
              <w:rPr>
                <w:rFonts w:cs="Arial"/>
                <w:szCs w:val="18"/>
              </w:rPr>
              <w:t xml:space="preserve">unit </w:t>
            </w:r>
            <w:r>
              <w:rPr>
                <w:rFonts w:cs="Arial"/>
                <w:szCs w:val="18"/>
              </w:rPr>
              <w:t>for review</w:t>
            </w:r>
            <w:r w:rsidR="00C95ED8">
              <w:rPr>
                <w:rFonts w:cs="Arial"/>
                <w:szCs w:val="18"/>
              </w:rPr>
              <w:t xml:space="preserve"> by clicking the check box next to a unit</w:t>
            </w:r>
            <w:r>
              <w:rPr>
                <w:rFonts w:cs="Arial"/>
                <w:szCs w:val="18"/>
              </w:rPr>
              <w:t>.</w:t>
            </w:r>
          </w:p>
        </w:tc>
        <w:tc>
          <w:tcPr>
            <w:tcW w:w="6120" w:type="dxa"/>
          </w:tcPr>
          <w:p w14:paraId="140FE02C" w14:textId="77777777" w:rsidR="00B45FA2" w:rsidRDefault="00B45FA2" w:rsidP="003F6E8A">
            <w:pPr>
              <w:pStyle w:val="TableTextBullet"/>
            </w:pPr>
            <w:r>
              <w:rPr>
                <w:rFonts w:cs="Arial"/>
                <w:vanish/>
              </w:rPr>
              <w:t xml:space="preserve">BR_85.02 </w:t>
            </w:r>
            <w:r w:rsidR="00D279DE">
              <w:t>Al</w:t>
            </w:r>
            <w:r w:rsidR="00602E53">
              <w:t>lows selection of</w:t>
            </w:r>
            <w:r w:rsidR="00D85353">
              <w:t xml:space="preserve"> blood unit test results</w:t>
            </w:r>
            <w:r>
              <w:t>.</w:t>
            </w:r>
          </w:p>
          <w:p w14:paraId="4017C2FD" w14:textId="77777777" w:rsidR="00D85353" w:rsidRDefault="00D85353" w:rsidP="00DB1497">
            <w:pPr>
              <w:pStyle w:val="TableTextBullet"/>
              <w:numPr>
                <w:ilvl w:val="0"/>
                <w:numId w:val="0"/>
              </w:numPr>
              <w:ind w:left="288" w:hanging="288"/>
            </w:pPr>
          </w:p>
          <w:p w14:paraId="6AA036EE" w14:textId="5203ACE3" w:rsidR="00DB1497" w:rsidRDefault="00DB1497" w:rsidP="00DB1497">
            <w:pPr>
              <w:pStyle w:val="TableText"/>
              <w:rPr>
                <w:b/>
                <w:bCs/>
                <w:szCs w:val="18"/>
              </w:rPr>
            </w:pPr>
            <w:r>
              <w:rPr>
                <w:b/>
                <w:bCs/>
                <w:szCs w:val="18"/>
              </w:rPr>
              <w:t>NOTES</w:t>
            </w:r>
          </w:p>
          <w:p w14:paraId="1F682C31" w14:textId="77777777" w:rsidR="00DB1497" w:rsidRDefault="00DB1497" w:rsidP="00DB1497">
            <w:pPr>
              <w:pStyle w:val="NotesText"/>
            </w:pPr>
          </w:p>
          <w:p w14:paraId="7A742492" w14:textId="77777777" w:rsidR="00DB1497" w:rsidRDefault="00D85353" w:rsidP="00DB1497">
            <w:pPr>
              <w:pStyle w:val="TableText"/>
              <w:ind w:left="720"/>
            </w:pPr>
            <w:r w:rsidRPr="00D85353">
              <w:rPr>
                <w:vanish/>
              </w:rPr>
              <w:t xml:space="preserve">BR_115.13 </w:t>
            </w:r>
            <w:r>
              <w:t>Selection of multiple tests with a Valid indicator is permitted.</w:t>
            </w:r>
          </w:p>
          <w:p w14:paraId="54ABEDE6" w14:textId="77777777" w:rsidR="00D85353" w:rsidRDefault="00D85353" w:rsidP="00DB1497">
            <w:pPr>
              <w:pStyle w:val="TableText"/>
              <w:ind w:left="720"/>
            </w:pPr>
          </w:p>
          <w:p w14:paraId="62D269F1" w14:textId="77777777" w:rsidR="004A39DB" w:rsidRDefault="004A39DB" w:rsidP="00DB1497">
            <w:pPr>
              <w:pStyle w:val="TableText"/>
              <w:ind w:left="720"/>
            </w:pPr>
            <w:r w:rsidRPr="00D85353">
              <w:rPr>
                <w:vanish/>
              </w:rPr>
              <w:t xml:space="preserve">BR_115.25 </w:t>
            </w:r>
            <w:r>
              <w:t xml:space="preserve">Tests with a </w:t>
            </w:r>
            <w:r>
              <w:rPr>
                <w:rFonts w:cs="Arial"/>
              </w:rPr>
              <w:t>Warning or Error indicator can only be selected and processed one at a time (no batch selection).</w:t>
            </w:r>
          </w:p>
          <w:p w14:paraId="3D373724" w14:textId="77777777" w:rsidR="004A39DB" w:rsidRDefault="004A39DB" w:rsidP="00DB1497">
            <w:pPr>
              <w:pStyle w:val="TableText"/>
              <w:ind w:left="720"/>
            </w:pPr>
          </w:p>
          <w:p w14:paraId="0A4B2BD6" w14:textId="77777777" w:rsidR="00711E45" w:rsidRDefault="00711E45" w:rsidP="00711E45">
            <w:pPr>
              <w:pStyle w:val="TableText"/>
              <w:ind w:left="720"/>
            </w:pPr>
            <w:r w:rsidRPr="00B30800">
              <w:rPr>
                <w:vanish/>
              </w:rPr>
              <w:lastRenderedPageBreak/>
              <w:t xml:space="preserve">BR_115.32 </w:t>
            </w:r>
            <w:r>
              <w:t>If the unit id transferred from the instrument does not uniquely identify the unit In VBECS, then the system will prompt the user to select the correct product code for the unit available in VBECS.</w:t>
            </w:r>
          </w:p>
          <w:p w14:paraId="00DD565C" w14:textId="77777777" w:rsidR="00711E45" w:rsidRDefault="00711E45" w:rsidP="00711E45">
            <w:pPr>
              <w:pStyle w:val="TableText"/>
              <w:ind w:left="720"/>
            </w:pPr>
          </w:p>
          <w:p w14:paraId="4646C1F1" w14:textId="77777777" w:rsidR="00D85353" w:rsidRDefault="00D85353" w:rsidP="00D85353">
            <w:pPr>
              <w:pStyle w:val="TableText"/>
              <w:ind w:left="720"/>
            </w:pPr>
            <w:r>
              <w:t>Selection of blood products is based on product codes that require ABO/Rh confirmation.</w:t>
            </w:r>
          </w:p>
          <w:p w14:paraId="238B0F13" w14:textId="77777777" w:rsidR="00D85353" w:rsidRDefault="00D85353" w:rsidP="004A39DB">
            <w:pPr>
              <w:pStyle w:val="TableText"/>
            </w:pPr>
          </w:p>
        </w:tc>
      </w:tr>
      <w:tr w:rsidR="00B45FA2" w14:paraId="714BED40" w14:textId="77777777" w:rsidTr="003F6E8A">
        <w:tc>
          <w:tcPr>
            <w:tcW w:w="3240" w:type="dxa"/>
          </w:tcPr>
          <w:p w14:paraId="02E1D15F" w14:textId="77777777" w:rsidR="00665554" w:rsidRPr="00665554" w:rsidRDefault="00665554" w:rsidP="00665554">
            <w:pPr>
              <w:pStyle w:val="TableTextNumbers"/>
            </w:pPr>
            <w:r>
              <w:rPr>
                <w:rFonts w:cs="Arial"/>
                <w:szCs w:val="18"/>
              </w:rPr>
              <w:lastRenderedPageBreak/>
              <w:t xml:space="preserve">User </w:t>
            </w:r>
            <w:r w:rsidRPr="00665554">
              <w:rPr>
                <w:rFonts w:cs="Arial"/>
                <w:b/>
                <w:szCs w:val="18"/>
              </w:rPr>
              <w:t>Accepts</w:t>
            </w:r>
            <w:r>
              <w:rPr>
                <w:rFonts w:cs="Arial"/>
                <w:szCs w:val="18"/>
              </w:rPr>
              <w:t xml:space="preserve"> or </w:t>
            </w:r>
            <w:r w:rsidRPr="00665554">
              <w:rPr>
                <w:rFonts w:cs="Arial"/>
                <w:b/>
                <w:szCs w:val="18"/>
              </w:rPr>
              <w:t>R</w:t>
            </w:r>
            <w:r w:rsidR="00D85353" w:rsidRPr="00665554">
              <w:rPr>
                <w:rFonts w:cs="Arial"/>
                <w:b/>
                <w:szCs w:val="18"/>
              </w:rPr>
              <w:t>ejects</w:t>
            </w:r>
            <w:r w:rsidR="00D85353" w:rsidRPr="00F130A1">
              <w:rPr>
                <w:rFonts w:cs="Arial"/>
                <w:szCs w:val="18"/>
              </w:rPr>
              <w:t xml:space="preserve"> the selected unit test</w:t>
            </w:r>
            <w:r>
              <w:rPr>
                <w:rFonts w:cs="Arial"/>
                <w:szCs w:val="18"/>
              </w:rPr>
              <w:t xml:space="preserve"> results</w:t>
            </w:r>
            <w:r w:rsidR="00D85353" w:rsidRPr="00F130A1">
              <w:rPr>
                <w:rFonts w:cs="Arial"/>
                <w:szCs w:val="18"/>
              </w:rPr>
              <w:t>.</w:t>
            </w:r>
          </w:p>
          <w:p w14:paraId="2C29CC6E" w14:textId="77777777" w:rsidR="00665554" w:rsidRDefault="00665554" w:rsidP="00665554">
            <w:pPr>
              <w:pStyle w:val="TableTextNumbers"/>
              <w:numPr>
                <w:ilvl w:val="0"/>
                <w:numId w:val="0"/>
              </w:numPr>
              <w:ind w:left="288" w:hanging="288"/>
            </w:pPr>
          </w:p>
        </w:tc>
        <w:tc>
          <w:tcPr>
            <w:tcW w:w="6120" w:type="dxa"/>
          </w:tcPr>
          <w:p w14:paraId="5A94642A" w14:textId="77777777" w:rsidR="00B45FA2" w:rsidRPr="00004A4C" w:rsidRDefault="00B45FA2" w:rsidP="00D85353">
            <w:pPr>
              <w:pStyle w:val="TableTextBullet"/>
            </w:pPr>
            <w:r>
              <w:rPr>
                <w:rFonts w:cs="Arial"/>
                <w:vanish/>
              </w:rPr>
              <w:t xml:space="preserve">BR_74.01 </w:t>
            </w:r>
            <w:r w:rsidR="00D279DE">
              <w:t>P</w:t>
            </w:r>
            <w:r w:rsidR="00D85353">
              <w:t>rocesses any applicable overrides.</w:t>
            </w:r>
          </w:p>
          <w:p w14:paraId="09D385B0" w14:textId="77777777" w:rsidR="00004A4C" w:rsidRDefault="00004A4C" w:rsidP="00004A4C">
            <w:pPr>
              <w:pStyle w:val="TableText"/>
            </w:pPr>
          </w:p>
          <w:p w14:paraId="12BC7008" w14:textId="720C5B46" w:rsidR="00004A4C" w:rsidRDefault="00004A4C" w:rsidP="00004A4C">
            <w:pPr>
              <w:pStyle w:val="TableText"/>
              <w:rPr>
                <w:b/>
                <w:bCs/>
                <w:szCs w:val="18"/>
              </w:rPr>
            </w:pPr>
            <w:r>
              <w:rPr>
                <w:b/>
                <w:bCs/>
                <w:szCs w:val="18"/>
              </w:rPr>
              <w:t>NOTES</w:t>
            </w:r>
          </w:p>
          <w:p w14:paraId="62229422" w14:textId="77777777" w:rsidR="00004A4C" w:rsidRDefault="00004A4C" w:rsidP="00004A4C">
            <w:pPr>
              <w:pStyle w:val="NotesText"/>
            </w:pPr>
          </w:p>
          <w:p w14:paraId="6399C327" w14:textId="77777777" w:rsidR="00665554" w:rsidRPr="00920163" w:rsidRDefault="00665554" w:rsidP="00665554">
            <w:pPr>
              <w:pStyle w:val="TableText"/>
              <w:ind w:left="720"/>
              <w:rPr>
                <w:rFonts w:eastAsia="Calibri"/>
                <w:szCs w:val="18"/>
              </w:rPr>
            </w:pPr>
            <w:r>
              <w:rPr>
                <w:vanish/>
              </w:rPr>
              <w:t xml:space="preserve">BR_115.05 </w:t>
            </w:r>
            <w:r>
              <w:t xml:space="preserve">When the test is rejected, the system will: </w:t>
            </w:r>
          </w:p>
          <w:p w14:paraId="1CE0911A" w14:textId="77777777" w:rsidR="00665554" w:rsidRPr="00064B9D" w:rsidRDefault="00665554" w:rsidP="000409B1">
            <w:pPr>
              <w:pStyle w:val="TableText"/>
              <w:numPr>
                <w:ilvl w:val="0"/>
                <w:numId w:val="55"/>
              </w:numPr>
              <w:ind w:left="1080"/>
              <w:rPr>
                <w:sz w:val="20"/>
              </w:rPr>
            </w:pPr>
            <w:r>
              <w:t>Prompt user to confirm they want to reject.</w:t>
            </w:r>
          </w:p>
          <w:p w14:paraId="6E2B556E" w14:textId="77777777" w:rsidR="00064B9D" w:rsidRDefault="00064B9D" w:rsidP="000409B1">
            <w:pPr>
              <w:pStyle w:val="TableText"/>
              <w:numPr>
                <w:ilvl w:val="0"/>
                <w:numId w:val="55"/>
              </w:numPr>
              <w:ind w:left="1080"/>
              <w:rPr>
                <w:sz w:val="20"/>
              </w:rPr>
            </w:pPr>
            <w:r>
              <w:t>Prompt user to enter a comment reason for rejection.</w:t>
            </w:r>
            <w:r w:rsidR="00987559">
              <w:t xml:space="preserve"> </w:t>
            </w:r>
            <w:r w:rsidR="00987559" w:rsidRPr="00987559">
              <w:rPr>
                <w:vanish/>
              </w:rPr>
              <w:t>Defect 357490</w:t>
            </w:r>
          </w:p>
          <w:p w14:paraId="0F7945A4" w14:textId="77777777" w:rsidR="00665554" w:rsidRDefault="00665554" w:rsidP="000409B1">
            <w:pPr>
              <w:pStyle w:val="TableText"/>
              <w:numPr>
                <w:ilvl w:val="0"/>
                <w:numId w:val="55"/>
              </w:numPr>
              <w:ind w:left="1080"/>
            </w:pPr>
            <w:r>
              <w:t>Remove the test from the list for acceptance.</w:t>
            </w:r>
          </w:p>
          <w:p w14:paraId="3A714E9D" w14:textId="77777777" w:rsidR="00665554" w:rsidRDefault="00665554" w:rsidP="000409B1">
            <w:pPr>
              <w:pStyle w:val="TableText"/>
              <w:numPr>
                <w:ilvl w:val="0"/>
                <w:numId w:val="55"/>
              </w:numPr>
              <w:ind w:left="1080"/>
            </w:pPr>
            <w:r>
              <w:t>No rejection message is sent to the instrument.</w:t>
            </w:r>
          </w:p>
          <w:p w14:paraId="27E1B30E" w14:textId="77777777" w:rsidR="00665554" w:rsidRDefault="00665554" w:rsidP="000409B1">
            <w:pPr>
              <w:pStyle w:val="TableText"/>
              <w:numPr>
                <w:ilvl w:val="0"/>
                <w:numId w:val="55"/>
              </w:numPr>
              <w:ind w:left="1080"/>
            </w:pPr>
            <w:r>
              <w:t>The Diagnostic test returns to the previous status and ready for testing.</w:t>
            </w:r>
          </w:p>
          <w:p w14:paraId="189EE7A5" w14:textId="77777777" w:rsidR="00064B9D" w:rsidRDefault="00064B9D" w:rsidP="00064B9D">
            <w:pPr>
              <w:pStyle w:val="TableText"/>
              <w:ind w:left="1080"/>
            </w:pPr>
          </w:p>
          <w:p w14:paraId="23296A54" w14:textId="77777777" w:rsidR="00665554" w:rsidRDefault="00665554" w:rsidP="004A39DB">
            <w:pPr>
              <w:pStyle w:val="TableText"/>
              <w:ind w:left="720"/>
            </w:pPr>
          </w:p>
          <w:p w14:paraId="06E0D3A3" w14:textId="77777777" w:rsidR="006020B2" w:rsidRDefault="006020B2" w:rsidP="004A39DB">
            <w:pPr>
              <w:pStyle w:val="TableText"/>
              <w:ind w:left="720"/>
              <w:rPr>
                <w:vanish/>
              </w:rPr>
            </w:pPr>
          </w:p>
          <w:p w14:paraId="7A23D3C0" w14:textId="40494893" w:rsidR="00004A4C" w:rsidRDefault="00D0496E" w:rsidP="004A39DB">
            <w:pPr>
              <w:pStyle w:val="TableText"/>
              <w:ind w:left="720"/>
            </w:pPr>
            <w:r w:rsidRPr="00D0496E">
              <w:rPr>
                <w:vanish/>
              </w:rPr>
              <w:t xml:space="preserve">BR_2.21 </w:t>
            </w:r>
            <w:r>
              <w:t>When an interpretation of “Inconclusive” is verified for either the ABO or Rh interpretation, the unit is given an indicator of “Quarantine” and the details of the testing are captured for inclusion in an exception report. The system provides an audible alert.</w:t>
            </w:r>
          </w:p>
          <w:p w14:paraId="4B7F6E27" w14:textId="77777777" w:rsidR="00D0496E" w:rsidRDefault="00D0496E" w:rsidP="004A39DB">
            <w:pPr>
              <w:pStyle w:val="TableText"/>
              <w:ind w:left="720"/>
              <w:rPr>
                <w:noProof/>
                <w:color w:val="000000"/>
              </w:rPr>
            </w:pPr>
          </w:p>
          <w:p w14:paraId="72B19C51" w14:textId="77777777" w:rsidR="00D0496E" w:rsidRDefault="004A39DB" w:rsidP="004A39DB">
            <w:pPr>
              <w:pStyle w:val="TableText"/>
              <w:ind w:left="720"/>
              <w:rPr>
                <w:noProof/>
              </w:rPr>
            </w:pPr>
            <w:r>
              <w:rPr>
                <w:vanish/>
              </w:rPr>
              <w:t>BR_2.1</w:t>
            </w:r>
            <w:r w:rsidR="00DC7696" w:rsidRPr="00DC7696">
              <w:rPr>
                <w:vanish/>
              </w:rPr>
              <w:t xml:space="preserve">7 </w:t>
            </w:r>
            <w:r w:rsidR="00D0496E">
              <w:t xml:space="preserve">The system provides an audible alert and a warning message requiring override is generated if the ABO and/or Rh confirmation interpretation does not match the ABO and/or Rh of the unit at initial login. Upon user confirmation of the discrepancy (override), inventory units whose ABO/Rh confirmation does not match the ABO/Rh at login are given an indicator of “Quarantine” and the details of the transaction are captured for inclusion in an exception report. </w:t>
            </w:r>
          </w:p>
          <w:p w14:paraId="22C6BA93" w14:textId="77777777" w:rsidR="00F130A1" w:rsidRDefault="00F130A1" w:rsidP="004A39DB">
            <w:pPr>
              <w:pStyle w:val="StyleTableText9ptChar"/>
              <w:ind w:left="720"/>
            </w:pPr>
          </w:p>
          <w:p w14:paraId="3CF069A7" w14:textId="77777777" w:rsidR="00F130A1" w:rsidRDefault="00F130A1" w:rsidP="00F130A1">
            <w:pPr>
              <w:pStyle w:val="TableText"/>
              <w:ind w:left="720"/>
            </w:pPr>
            <w:r w:rsidRPr="00F130A1">
              <w:rPr>
                <w:vanish/>
              </w:rPr>
              <w:t xml:space="preserve">BR_2.18 </w:t>
            </w:r>
            <w:r>
              <w:t>The system displays all data input during the session and accommodates editing prior to the user electing to update the database. The system will warn the user that if he chooses to cancel using the cancel or “X” button</w:t>
            </w:r>
            <w:r w:rsidR="008A7BDA">
              <w:t xml:space="preserve"> or by leaving/refreshing the current page</w:t>
            </w:r>
            <w:r>
              <w:t>, the system will not save any data changes entered during the session.</w:t>
            </w:r>
          </w:p>
          <w:p w14:paraId="6E11F3BF" w14:textId="77777777" w:rsidR="00F130A1" w:rsidRDefault="00F130A1" w:rsidP="00F130A1">
            <w:pPr>
              <w:pStyle w:val="TableText"/>
              <w:ind w:left="720"/>
              <w:rPr>
                <w:noProof/>
                <w:color w:val="000000"/>
              </w:rPr>
            </w:pPr>
          </w:p>
          <w:p w14:paraId="41C0DC8D" w14:textId="77777777" w:rsidR="00F130A1" w:rsidRDefault="00F130A1" w:rsidP="00F130A1">
            <w:pPr>
              <w:pStyle w:val="TableText"/>
              <w:ind w:left="720"/>
            </w:pPr>
            <w:r w:rsidRPr="00F130A1">
              <w:rPr>
                <w:vanish/>
              </w:rPr>
              <w:t xml:space="preserve">BR_27.15 </w:t>
            </w:r>
            <w:r>
              <w:t>The u</w:t>
            </w:r>
            <w:r w:rsidRPr="00C441A9">
              <w:t>nit has had a quarantine indicator assigne</w:t>
            </w:r>
            <w:r>
              <w:t>d. T</w:t>
            </w:r>
            <w:r w:rsidRPr="00C441A9">
              <w:t>he system will release any patient assignment. Any patient restriction associated with the unit remains intact</w:t>
            </w:r>
            <w:r w:rsidR="006020B2">
              <w:t xml:space="preserve"> (e.g., Directed or Autologous)</w:t>
            </w:r>
            <w:r w:rsidRPr="00C441A9">
              <w:t>.</w:t>
            </w:r>
          </w:p>
          <w:p w14:paraId="1ED9D1EF" w14:textId="77777777" w:rsidR="00F130A1" w:rsidRDefault="00F130A1" w:rsidP="00F130A1">
            <w:pPr>
              <w:pStyle w:val="TableText"/>
              <w:ind w:left="720"/>
              <w:rPr>
                <w:noProof/>
                <w:color w:val="000000"/>
              </w:rPr>
            </w:pPr>
          </w:p>
          <w:p w14:paraId="255786F5" w14:textId="77777777" w:rsidR="00711E45" w:rsidRDefault="00711E45" w:rsidP="00711E45">
            <w:pPr>
              <w:pStyle w:val="TableText"/>
              <w:ind w:left="720"/>
            </w:pPr>
            <w:r w:rsidRPr="00DC7696">
              <w:rPr>
                <w:vanish/>
              </w:rPr>
              <w:t xml:space="preserve">BR_41.12 </w:t>
            </w:r>
            <w:r w:rsidRPr="00702789">
              <w:t xml:space="preserve">The system compares the antigen typing interpretation entered by the technologist to any previously assigned antigen typing for the same antigen (Incoming Shipment, Edit Unit Information, or antigen typing test </w:t>
            </w:r>
            <w:r w:rsidRPr="00DC7696">
              <w:t>other than weak D</w:t>
            </w:r>
            <w:r w:rsidRPr="00702789">
              <w:t>). If the current interpretation does not match the previously identified antigen type, the system displays a warning mes</w:t>
            </w:r>
            <w:r>
              <w:t xml:space="preserve">sage and quarantines the unit: </w:t>
            </w:r>
            <w:r w:rsidRPr="00702789">
              <w:t xml:space="preserve">Current antigen type does not match previously </w:t>
            </w:r>
            <w:r w:rsidRPr="00702789">
              <w:lastRenderedPageBreak/>
              <w:t>recorded antigen type (login, update, or test). This must be resolved before this unit can be used. Unit has been quarantined.</w:t>
            </w:r>
          </w:p>
          <w:p w14:paraId="29E12345" w14:textId="77777777" w:rsidR="00711E45" w:rsidRDefault="00711E45" w:rsidP="00711E45">
            <w:pPr>
              <w:pStyle w:val="TableText"/>
              <w:ind w:left="720"/>
            </w:pPr>
          </w:p>
          <w:p w14:paraId="3D12E5BC" w14:textId="77777777" w:rsidR="00711E45" w:rsidRPr="00DC7696" w:rsidRDefault="00711E45" w:rsidP="00711E45">
            <w:pPr>
              <w:pStyle w:val="TableText"/>
              <w:ind w:left="720"/>
            </w:pPr>
            <w:r w:rsidRPr="00DC7696">
              <w:rPr>
                <w:rFonts w:cs="Arial"/>
                <w:vanish/>
              </w:rPr>
              <w:t xml:space="preserve">BR_41.22 </w:t>
            </w:r>
            <w:r w:rsidRPr="00183123">
              <w:rPr>
                <w:rFonts w:cs="Arial"/>
              </w:rPr>
              <w:t xml:space="preserve">When a weak D interpretation is positive or inconclusive and is verified for a tested blood unit that was labeled as (Rh) D negative, display a warning message and add the quarantine indicator to the unit: "Unit is weak D positive or inconclusive: unit </w:t>
            </w:r>
            <w:r>
              <w:rPr>
                <w:rFonts w:cs="Arial"/>
              </w:rPr>
              <w:t>will be</w:t>
            </w:r>
            <w:r w:rsidRPr="00183123">
              <w:rPr>
                <w:rFonts w:cs="Arial"/>
              </w:rPr>
              <w:t xml:space="preserve"> quarantined." No user action is required.</w:t>
            </w:r>
          </w:p>
          <w:p w14:paraId="190424B5" w14:textId="77777777" w:rsidR="00711E45" w:rsidRDefault="00711E45" w:rsidP="00711E45">
            <w:pPr>
              <w:pStyle w:val="TableText"/>
              <w:ind w:left="720"/>
              <w:rPr>
                <w:noProof/>
                <w:color w:val="000000"/>
              </w:rPr>
            </w:pPr>
          </w:p>
          <w:p w14:paraId="4F00EB33" w14:textId="77777777" w:rsidR="00F130A1" w:rsidRPr="00004A4C" w:rsidRDefault="00987559" w:rsidP="00003BE9">
            <w:pPr>
              <w:pStyle w:val="TableText"/>
              <w:ind w:left="720"/>
              <w:rPr>
                <w:noProof/>
                <w:color w:val="000000"/>
              </w:rPr>
            </w:pPr>
            <w:r w:rsidRPr="00987559">
              <w:rPr>
                <w:vanish/>
              </w:rPr>
              <w:t xml:space="preserve">Defect 357490 </w:t>
            </w:r>
            <w:r w:rsidR="00711E45" w:rsidRPr="00DC7696">
              <w:rPr>
                <w:vanish/>
              </w:rPr>
              <w:t xml:space="preserve">BR_56.29 </w:t>
            </w:r>
            <w:r w:rsidR="00711E45">
              <w:t>When a unit was issued and a conflicting test result found that indicates a potential unit incompatibility with the patient, such as a patient ABO/Rh discrepancy, or the unit is antigen positive where antigen negative is required on the tested specimen, VBECS displays a warning message</w:t>
            </w:r>
            <w:r w:rsidR="00711E45" w:rsidRPr="007C05B4">
              <w:t xml:space="preserve"> such as: Unit has been issued. Notify the physician of this potential problem IMMEDIATELY, per hospital policy! </w:t>
            </w:r>
            <w:r w:rsidR="00711E45">
              <w:t>The warning message displays during the execution of the various tests related to the compatibility of a blood unit. An exception report entry is generated at the save.</w:t>
            </w:r>
          </w:p>
        </w:tc>
      </w:tr>
      <w:tr w:rsidR="00C95ED8" w14:paraId="07961710" w14:textId="77777777" w:rsidTr="003F6E8A">
        <w:tc>
          <w:tcPr>
            <w:tcW w:w="3240" w:type="dxa"/>
          </w:tcPr>
          <w:p w14:paraId="08D99568" w14:textId="77777777" w:rsidR="00C95ED8" w:rsidRDefault="00C95ED8" w:rsidP="00307125">
            <w:pPr>
              <w:pStyle w:val="TableTextNumbers"/>
            </w:pPr>
            <w:r>
              <w:lastRenderedPageBreak/>
              <w:t xml:space="preserve">User clicks </w:t>
            </w:r>
            <w:r w:rsidRPr="00C95ED8">
              <w:rPr>
                <w:b/>
              </w:rPr>
              <w:t>Yes</w:t>
            </w:r>
            <w:r>
              <w:t xml:space="preserve"> to acknowledge acceptance or rejection of test results</w:t>
            </w:r>
            <w:r w:rsidR="00DA6624">
              <w:t>.</w:t>
            </w:r>
          </w:p>
        </w:tc>
        <w:tc>
          <w:tcPr>
            <w:tcW w:w="6120" w:type="dxa"/>
          </w:tcPr>
          <w:p w14:paraId="1E4572A7" w14:textId="77777777" w:rsidR="00C95ED8" w:rsidRPr="00004A4C" w:rsidRDefault="00C95ED8" w:rsidP="00C95ED8">
            <w:pPr>
              <w:pStyle w:val="TableTextBullet"/>
            </w:pPr>
            <w:r>
              <w:t>Saves user input.</w:t>
            </w:r>
          </w:p>
          <w:p w14:paraId="694C2929" w14:textId="77777777" w:rsidR="00C95ED8" w:rsidRDefault="00C95ED8" w:rsidP="00C95ED8">
            <w:pPr>
              <w:pStyle w:val="TableText"/>
            </w:pPr>
          </w:p>
          <w:p w14:paraId="29D40873" w14:textId="5F169253" w:rsidR="00C95ED8" w:rsidRDefault="00C95ED8" w:rsidP="00C95ED8">
            <w:pPr>
              <w:pStyle w:val="TableText"/>
              <w:rPr>
                <w:b/>
                <w:bCs/>
                <w:szCs w:val="18"/>
              </w:rPr>
            </w:pPr>
            <w:r>
              <w:rPr>
                <w:b/>
                <w:bCs/>
                <w:szCs w:val="18"/>
              </w:rPr>
              <w:t>NOTES</w:t>
            </w:r>
          </w:p>
          <w:p w14:paraId="4654F599" w14:textId="77777777" w:rsidR="00C95ED8" w:rsidRDefault="00C95ED8" w:rsidP="00C95ED8">
            <w:pPr>
              <w:pStyle w:val="NotesText"/>
            </w:pPr>
          </w:p>
          <w:p w14:paraId="445ED5E9" w14:textId="77777777" w:rsidR="004A39DB" w:rsidRDefault="00987559" w:rsidP="004A39DB">
            <w:pPr>
              <w:pStyle w:val="TableTextBullet"/>
              <w:numPr>
                <w:ilvl w:val="0"/>
                <w:numId w:val="0"/>
              </w:numPr>
              <w:ind w:left="720"/>
            </w:pPr>
            <w:r w:rsidRPr="00987559">
              <w:rPr>
                <w:vanish/>
              </w:rPr>
              <w:t xml:space="preserve">Defect 357490 </w:t>
            </w:r>
            <w:r w:rsidR="00C95ED8" w:rsidRPr="00F130A1">
              <w:rPr>
                <w:vanish/>
              </w:rPr>
              <w:t xml:space="preserve">BR_2.12 </w:t>
            </w:r>
            <w:r w:rsidR="00C95ED8">
              <w:t>Upon successful completion of ABO/Rh confirmation</w:t>
            </w:r>
            <w:r w:rsidR="00064B9D">
              <w:t xml:space="preserve"> and/or Antigen Typing completion</w:t>
            </w:r>
            <w:r w:rsidR="00C95ED8">
              <w:t>, the unit status is updated. Successful completion means that the ABO and Rh (if required) interpretation is consistent with recorded observed results and matches the ABO/Rh at unit login and any repeat ABO/Rh tests on the unit that are not invalidated</w:t>
            </w:r>
          </w:p>
          <w:p w14:paraId="054111A2" w14:textId="77777777" w:rsidR="004A39DB" w:rsidRDefault="004A39DB" w:rsidP="004A39DB">
            <w:pPr>
              <w:pStyle w:val="TableTextBullet"/>
              <w:numPr>
                <w:ilvl w:val="0"/>
                <w:numId w:val="0"/>
              </w:numPr>
              <w:ind w:left="720"/>
            </w:pPr>
          </w:p>
          <w:p w14:paraId="2C4E19FE" w14:textId="77777777" w:rsidR="004A39DB" w:rsidRPr="00920163" w:rsidRDefault="004A39DB" w:rsidP="004A39DB">
            <w:pPr>
              <w:pStyle w:val="TableText"/>
              <w:ind w:left="720"/>
              <w:rPr>
                <w:rFonts w:eastAsia="Calibri"/>
                <w:szCs w:val="18"/>
              </w:rPr>
            </w:pPr>
            <w:r w:rsidRPr="004A39DB">
              <w:rPr>
                <w:vanish/>
              </w:rPr>
              <w:t xml:space="preserve">BR_115.05 </w:t>
            </w:r>
            <w:r>
              <w:t xml:space="preserve">When the test is rejected, the system will: </w:t>
            </w:r>
          </w:p>
          <w:p w14:paraId="4B47EA35" w14:textId="77777777" w:rsidR="004A39DB" w:rsidRDefault="004A39DB" w:rsidP="000409B1">
            <w:pPr>
              <w:pStyle w:val="TableText"/>
              <w:numPr>
                <w:ilvl w:val="0"/>
                <w:numId w:val="55"/>
              </w:numPr>
              <w:ind w:left="1080"/>
              <w:rPr>
                <w:sz w:val="20"/>
              </w:rPr>
            </w:pPr>
            <w:r>
              <w:t>Prompt user to confirm they want to reject.</w:t>
            </w:r>
          </w:p>
          <w:p w14:paraId="20F0D14B" w14:textId="77777777" w:rsidR="004A39DB" w:rsidRDefault="004A39DB" w:rsidP="000409B1">
            <w:pPr>
              <w:pStyle w:val="TableText"/>
              <w:numPr>
                <w:ilvl w:val="0"/>
                <w:numId w:val="55"/>
              </w:numPr>
              <w:ind w:left="1080"/>
            </w:pPr>
            <w:r>
              <w:t>Remove the test from the list for acceptance.</w:t>
            </w:r>
          </w:p>
          <w:p w14:paraId="5199DC26" w14:textId="77777777" w:rsidR="004A39DB" w:rsidRDefault="004A39DB" w:rsidP="000409B1">
            <w:pPr>
              <w:pStyle w:val="TableText"/>
              <w:numPr>
                <w:ilvl w:val="0"/>
                <w:numId w:val="55"/>
              </w:numPr>
              <w:ind w:left="1080"/>
            </w:pPr>
            <w:r>
              <w:t>No rejection message is sent to the instrument.</w:t>
            </w:r>
          </w:p>
          <w:p w14:paraId="169F7699" w14:textId="77777777" w:rsidR="004A39DB" w:rsidRDefault="004A39DB" w:rsidP="000409B1">
            <w:pPr>
              <w:pStyle w:val="TableText"/>
              <w:numPr>
                <w:ilvl w:val="0"/>
                <w:numId w:val="55"/>
              </w:numPr>
              <w:ind w:left="1080"/>
            </w:pPr>
            <w:r>
              <w:t>The Diagnostic test returns to the previous status and ready for testing.</w:t>
            </w:r>
          </w:p>
          <w:p w14:paraId="7E95886C" w14:textId="77777777" w:rsidR="004A39DB" w:rsidRDefault="004A39DB" w:rsidP="004A39DB">
            <w:pPr>
              <w:pStyle w:val="TableTextBullet"/>
              <w:numPr>
                <w:ilvl w:val="0"/>
                <w:numId w:val="0"/>
              </w:numPr>
              <w:ind w:left="720"/>
            </w:pPr>
          </w:p>
          <w:p w14:paraId="499F83F4" w14:textId="77777777" w:rsidR="004A39DB" w:rsidRDefault="004A39DB" w:rsidP="004A39DB">
            <w:pPr>
              <w:pStyle w:val="TableTextBullet"/>
              <w:numPr>
                <w:ilvl w:val="0"/>
                <w:numId w:val="0"/>
              </w:numPr>
              <w:ind w:left="288" w:hanging="288"/>
            </w:pPr>
          </w:p>
        </w:tc>
      </w:tr>
    </w:tbl>
    <w:p w14:paraId="23FF781D" w14:textId="6925F587" w:rsidR="00937534" w:rsidRDefault="00937534" w:rsidP="00937534">
      <w:pPr>
        <w:pStyle w:val="Caption"/>
      </w:pPr>
      <w:bookmarkStart w:id="641" w:name="_Ref44716807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143</w:t>
      </w:r>
      <w:r w:rsidR="004E20BD">
        <w:rPr>
          <w:noProof/>
        </w:rPr>
        <w:fldChar w:fldCharType="end"/>
      </w:r>
      <w:bookmarkEnd w:id="641"/>
      <w:r>
        <w:t>: Automated Testing – Pending Blood Units Window</w:t>
      </w:r>
    </w:p>
    <w:p w14:paraId="1AAFA5F6" w14:textId="77777777" w:rsidR="005E6617" w:rsidRPr="005E6617" w:rsidRDefault="00057948" w:rsidP="005E6617">
      <w:pPr>
        <w:pStyle w:val="BodyText"/>
      </w:pPr>
      <w:r>
        <w:rPr>
          <w:noProof/>
        </w:rPr>
        <w:drawing>
          <wp:inline distT="0" distB="0" distL="0" distR="0" wp14:anchorId="7BC3C39B" wp14:editId="2F9BE723">
            <wp:extent cx="5163185" cy="1311275"/>
            <wp:effectExtent l="0" t="0" r="0" b="3175"/>
            <wp:docPr id="264" name="Picture 2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a:extLst>
                        <a:ext uri="{C183D7F6-B498-43B3-948B-1728B52AA6E4}">
                          <adec:decorative xmlns:adec="http://schemas.microsoft.com/office/drawing/2017/decorative" val="1"/>
                        </a:ext>
                      </a:extLst>
                    </pic:cNvPr>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163185" cy="1311275"/>
                    </a:xfrm>
                    <a:prstGeom prst="rect">
                      <a:avLst/>
                    </a:prstGeom>
                    <a:noFill/>
                    <a:ln>
                      <a:noFill/>
                    </a:ln>
                  </pic:spPr>
                </pic:pic>
              </a:graphicData>
            </a:graphic>
          </wp:inline>
        </w:drawing>
      </w:r>
    </w:p>
    <w:p w14:paraId="5F7E9566" w14:textId="77777777" w:rsidR="00BE554D" w:rsidRDefault="005E6617" w:rsidP="005E6617">
      <w:pPr>
        <w:pStyle w:val="Heading2"/>
      </w:pPr>
      <w:r>
        <w:br w:type="page"/>
      </w:r>
      <w:bookmarkStart w:id="642" w:name="_Toc47516773"/>
      <w:r w:rsidR="00BE554D" w:rsidRPr="00937534">
        <w:lastRenderedPageBreak/>
        <w:t>Automated Testing Review for Patients</w:t>
      </w:r>
      <w:bookmarkEnd w:id="642"/>
      <w:r w:rsidR="00B31DA1" w:rsidRPr="00836786">
        <w:rPr>
          <w:vanish/>
        </w:rPr>
        <w:t xml:space="preserve">{ XE “Automated Testing Review for </w:t>
      </w:r>
      <w:r w:rsidR="00B31DA1">
        <w:rPr>
          <w:vanish/>
        </w:rPr>
        <w:t>Patients</w:t>
      </w:r>
      <w:r w:rsidR="00B31DA1" w:rsidRPr="00836786">
        <w:rPr>
          <w:vanish/>
        </w:rPr>
        <w:t>” }</w:t>
      </w:r>
      <w:r w:rsidR="00B31DA1">
        <w:t xml:space="preserve"> </w:t>
      </w:r>
      <w:r w:rsidR="00BE554D">
        <w:rPr>
          <w:vanish/>
        </w:rPr>
        <w:t>UC_115</w:t>
      </w:r>
    </w:p>
    <w:p w14:paraId="16364B64" w14:textId="28091E52" w:rsidR="00BE554D" w:rsidRDefault="00BE554D" w:rsidP="00BE554D">
      <w:pPr>
        <w:pStyle w:val="Heading4"/>
        <w:rPr>
          <w:rFonts w:ascii="Times New Roman" w:hAnsi="Times New Roman"/>
          <w:b w:val="0"/>
          <w:spacing w:val="-5"/>
          <w:szCs w:val="22"/>
        </w:rPr>
      </w:pPr>
      <w:r>
        <w:rPr>
          <w:rFonts w:ascii="Times New Roman" w:hAnsi="Times New Roman"/>
          <w:b w:val="0"/>
          <w:spacing w:val="-5"/>
          <w:szCs w:val="22"/>
        </w:rPr>
        <w:t>A</w:t>
      </w:r>
      <w:r w:rsidRPr="00D23C29">
        <w:rPr>
          <w:rFonts w:ascii="Times New Roman" w:hAnsi="Times New Roman"/>
          <w:b w:val="0"/>
          <w:spacing w:val="-5"/>
          <w:szCs w:val="22"/>
        </w:rPr>
        <w:t>llow</w:t>
      </w:r>
      <w:r>
        <w:rPr>
          <w:rFonts w:ascii="Times New Roman" w:hAnsi="Times New Roman"/>
          <w:b w:val="0"/>
          <w:spacing w:val="-5"/>
          <w:szCs w:val="22"/>
        </w:rPr>
        <w:t xml:space="preserve">s the user to review and approve testing results completed on an automated instrument and transmitted to </w:t>
      </w:r>
      <w:r w:rsidRPr="00D23C29">
        <w:rPr>
          <w:rFonts w:ascii="Times New Roman" w:hAnsi="Times New Roman"/>
          <w:b w:val="0"/>
          <w:spacing w:val="-5"/>
          <w:szCs w:val="22"/>
        </w:rPr>
        <w:t>VBECS.</w:t>
      </w:r>
    </w:p>
    <w:p w14:paraId="3BF6ECEE" w14:textId="77777777" w:rsidR="00BE554D" w:rsidRPr="00D23C29" w:rsidRDefault="00BE554D" w:rsidP="00BE554D">
      <w:pPr>
        <w:pStyle w:val="Heading4"/>
      </w:pPr>
      <w:r w:rsidRPr="00D23C29">
        <w:t xml:space="preserve">Assumptions </w:t>
      </w:r>
    </w:p>
    <w:p w14:paraId="0AEC49BF"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Division is defined as full service.</w:t>
      </w:r>
    </w:p>
    <w:p w14:paraId="25D5CB5A"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The testing instrument is fully functional and available for use. The instrument QC is completed and valid, no maintenance is required. No QC information is transmitted to VBECS in the HL7 message.</w:t>
      </w:r>
    </w:p>
    <w:p w14:paraId="15E7008F"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Message is received</w:t>
      </w:r>
      <w:r>
        <w:rPr>
          <w:rFonts w:ascii="Times New Roman" w:hAnsi="Times New Roman"/>
          <w:spacing w:val="-5"/>
          <w:sz w:val="22"/>
          <w:szCs w:val="22"/>
        </w:rPr>
        <w:t xml:space="preserve"> successfully as defined in </w:t>
      </w:r>
      <w:r w:rsidRPr="009A3F10">
        <w:rPr>
          <w:rFonts w:ascii="Times New Roman" w:hAnsi="Times New Roman"/>
          <w:spacing w:val="-5"/>
          <w:sz w:val="22"/>
          <w:szCs w:val="22"/>
        </w:rPr>
        <w:t>Automated Testing Interface.</w:t>
      </w:r>
    </w:p>
    <w:p w14:paraId="5A0D1EA7" w14:textId="77777777" w:rsidR="00BE554D" w:rsidRPr="009A3F10" w:rsidRDefault="00BE554D" w:rsidP="000409B1">
      <w:pPr>
        <w:pStyle w:val="TableTextBullet"/>
        <w:numPr>
          <w:ilvl w:val="0"/>
          <w:numId w:val="48"/>
        </w:numPr>
        <w:ind w:right="63"/>
        <w:rPr>
          <w:rFonts w:ascii="Times New Roman" w:hAnsi="Times New Roman"/>
          <w:spacing w:val="-5"/>
          <w:sz w:val="22"/>
          <w:szCs w:val="22"/>
        </w:rPr>
      </w:pPr>
      <w:r w:rsidRPr="009A3F10">
        <w:rPr>
          <w:rFonts w:ascii="Times New Roman" w:hAnsi="Times New Roman"/>
          <w:spacing w:val="-5"/>
          <w:sz w:val="22"/>
          <w:szCs w:val="22"/>
        </w:rPr>
        <w:t>VBECS database contains an active patient order for diagnostic tests or blood components including reflex tests that have been accepted and appear on the Pending Task List.</w:t>
      </w:r>
    </w:p>
    <w:p w14:paraId="445DC90E" w14:textId="77777777" w:rsidR="00BE554D" w:rsidRPr="009A3F10" w:rsidRDefault="00BE554D" w:rsidP="000409B1">
      <w:pPr>
        <w:numPr>
          <w:ilvl w:val="0"/>
          <w:numId w:val="48"/>
        </w:numPr>
        <w:rPr>
          <w:spacing w:val="-5"/>
          <w:sz w:val="22"/>
          <w:szCs w:val="22"/>
        </w:rPr>
      </w:pPr>
      <w:r>
        <w:rPr>
          <w:spacing w:val="-5"/>
          <w:sz w:val="22"/>
          <w:szCs w:val="22"/>
        </w:rPr>
        <w:t xml:space="preserve">Blood Units are </w:t>
      </w:r>
      <w:r w:rsidRPr="009A3F10">
        <w:rPr>
          <w:spacing w:val="-5"/>
          <w:sz w:val="22"/>
          <w:szCs w:val="22"/>
        </w:rPr>
        <w:t>selected for a patient for serologic crossmatch testing</w:t>
      </w:r>
      <w:r>
        <w:rPr>
          <w:spacing w:val="-5"/>
          <w:sz w:val="22"/>
          <w:szCs w:val="22"/>
        </w:rPr>
        <w:t xml:space="preserve"> prior to</w:t>
      </w:r>
      <w:r w:rsidRPr="009A3F10">
        <w:rPr>
          <w:spacing w:val="-5"/>
          <w:sz w:val="22"/>
          <w:szCs w:val="22"/>
        </w:rPr>
        <w:t xml:space="preserve"> result transmission</w:t>
      </w:r>
      <w:r>
        <w:rPr>
          <w:spacing w:val="-5"/>
          <w:sz w:val="22"/>
          <w:szCs w:val="22"/>
        </w:rPr>
        <w:t xml:space="preserve"> from an automated instrument</w:t>
      </w:r>
      <w:r w:rsidRPr="009A3F10">
        <w:rPr>
          <w:spacing w:val="-5"/>
          <w:sz w:val="22"/>
          <w:szCs w:val="22"/>
        </w:rPr>
        <w:t>.</w:t>
      </w:r>
    </w:p>
    <w:p w14:paraId="5CF6F680" w14:textId="77777777" w:rsidR="00BE554D" w:rsidRPr="009A3F10" w:rsidRDefault="00BE554D" w:rsidP="000409B1">
      <w:pPr>
        <w:numPr>
          <w:ilvl w:val="0"/>
          <w:numId w:val="48"/>
        </w:numPr>
        <w:rPr>
          <w:spacing w:val="-5"/>
          <w:sz w:val="22"/>
          <w:szCs w:val="22"/>
        </w:rPr>
      </w:pPr>
      <w:r w:rsidRPr="009A3F10">
        <w:rPr>
          <w:spacing w:val="-5"/>
          <w:sz w:val="22"/>
          <w:szCs w:val="22"/>
        </w:rPr>
        <w:t>Each transmitted test must include its results and interpretati</w:t>
      </w:r>
      <w:r>
        <w:rPr>
          <w:spacing w:val="-5"/>
          <w:sz w:val="22"/>
          <w:szCs w:val="22"/>
        </w:rPr>
        <w:t>on</w:t>
      </w:r>
      <w:r w:rsidRPr="009A3F10">
        <w:rPr>
          <w:spacing w:val="-5"/>
          <w:sz w:val="22"/>
          <w:szCs w:val="22"/>
        </w:rPr>
        <w:t>.</w:t>
      </w:r>
    </w:p>
    <w:p w14:paraId="095B733B" w14:textId="77777777" w:rsidR="00BE554D" w:rsidRDefault="00BE554D" w:rsidP="00BE554D">
      <w:pPr>
        <w:pStyle w:val="Heading4"/>
      </w:pPr>
      <w:r>
        <w:t xml:space="preserve">Outcome </w:t>
      </w:r>
    </w:p>
    <w:p w14:paraId="14605309" w14:textId="77777777" w:rsidR="00BE554D" w:rsidRPr="00D23C29" w:rsidRDefault="00BE554D"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The test record will capture the details of the verified testing. Completed, current unit and specimen test results will be available for the life of the system for inclusion in various reports generated to document patient and unit testing.</w:t>
      </w:r>
    </w:p>
    <w:p w14:paraId="4E5E4760" w14:textId="77777777" w:rsidR="00BE554D" w:rsidRPr="00D23C29" w:rsidRDefault="00BE554D"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The system updates the task status, the workload reporting in VBECS and the order status in VBECS and VistA.</w:t>
      </w:r>
    </w:p>
    <w:p w14:paraId="11E5162E" w14:textId="77777777" w:rsidR="00BE554D" w:rsidRDefault="00BE554D" w:rsidP="00BE554D">
      <w:pPr>
        <w:pStyle w:val="Heading4"/>
      </w:pPr>
      <w:r>
        <w:t>Limitations and Restrictions</w:t>
      </w:r>
      <w:r>
        <w:rPr>
          <w:b w:val="0"/>
        </w:rPr>
        <w:t xml:space="preserve"> </w:t>
      </w:r>
    </w:p>
    <w:p w14:paraId="1C909032"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 xml:space="preserve">VBECS does not accept inconclusive ABO/Rh test results.  </w:t>
      </w:r>
    </w:p>
    <w:p w14:paraId="70F88B74"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VBECS does not accept inconclusive interpretations for antibody screen tests.</w:t>
      </w:r>
    </w:p>
    <w:p w14:paraId="0A0AD150"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Immediate spin crossmatch is not allowed via au</w:t>
      </w:r>
      <w:r>
        <w:rPr>
          <w:rFonts w:ascii="Times New Roman" w:hAnsi="Times New Roman"/>
          <w:spacing w:val="-5"/>
          <w:sz w:val="22"/>
          <w:szCs w:val="22"/>
        </w:rPr>
        <w:t xml:space="preserve">tomated test entry. </w:t>
      </w:r>
    </w:p>
    <w:p w14:paraId="5C0C9A64"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 xml:space="preserve">Patient Antigen typing applies only to patient specimens </w:t>
      </w:r>
      <w:r>
        <w:rPr>
          <w:rFonts w:ascii="Times New Roman" w:hAnsi="Times New Roman"/>
          <w:spacing w:val="-5"/>
          <w:sz w:val="22"/>
          <w:szCs w:val="22"/>
        </w:rPr>
        <w:t>that contain red blood cells.</w:t>
      </w:r>
    </w:p>
    <w:p w14:paraId="6A8BCE3C"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The system does not check the specificity of a patient’s antibody against an existing patient antigen typing.</w:t>
      </w:r>
    </w:p>
    <w:p w14:paraId="1073C0D2" w14:textId="77777777" w:rsidR="00BE554D"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The patient antigen typing result is not reported to the CPRS record.</w:t>
      </w:r>
    </w:p>
    <w:p w14:paraId="43B8F6C8" w14:textId="77777777" w:rsidR="00DA27C7" w:rsidRDefault="00DA27C7" w:rsidP="000409B1">
      <w:pPr>
        <w:pStyle w:val="TableText"/>
        <w:numPr>
          <w:ilvl w:val="0"/>
          <w:numId w:val="48"/>
        </w:numPr>
        <w:rPr>
          <w:rFonts w:ascii="Times New Roman" w:hAnsi="Times New Roman"/>
          <w:spacing w:val="-5"/>
          <w:sz w:val="22"/>
          <w:szCs w:val="22"/>
        </w:rPr>
      </w:pPr>
      <w:r w:rsidRPr="00DA27C7">
        <w:rPr>
          <w:rFonts w:ascii="Times New Roman" w:hAnsi="Times New Roman"/>
          <w:spacing w:val="-5"/>
          <w:sz w:val="22"/>
          <w:szCs w:val="22"/>
        </w:rPr>
        <w:t>Order Rejection comment entry is required but is not visible on a report.</w:t>
      </w:r>
    </w:p>
    <w:p w14:paraId="29E01CDE" w14:textId="77777777" w:rsidR="00BE554D" w:rsidRDefault="00770FF0" w:rsidP="00BE554D">
      <w:pPr>
        <w:pStyle w:val="Heading4"/>
      </w:pPr>
      <w:r>
        <w:t>Additional Information</w:t>
      </w:r>
    </w:p>
    <w:p w14:paraId="15C02BB2" w14:textId="77777777" w:rsidR="002C3F2F" w:rsidRPr="002C3F2F" w:rsidRDefault="00057948" w:rsidP="000409B1">
      <w:pPr>
        <w:pStyle w:val="ListBullet"/>
        <w:numPr>
          <w:ilvl w:val="0"/>
          <w:numId w:val="48"/>
        </w:numPr>
      </w:pPr>
      <w:r>
        <w:rPr>
          <w:noProof/>
        </w:rPr>
        <w:drawing>
          <wp:inline distT="0" distB="0" distL="0" distR="0" wp14:anchorId="08F53BE4" wp14:editId="0AFEE3F0">
            <wp:extent cx="276860" cy="221615"/>
            <wp:effectExtent l="0" t="0" r="8890" b="6985"/>
            <wp:docPr id="26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t xml:space="preserve"> </w:t>
      </w:r>
      <w:r w:rsidR="002C3F2F" w:rsidRPr="002C3F2F">
        <w:rPr>
          <w:vanish/>
        </w:rPr>
        <w:t>Defect 362099</w:t>
      </w:r>
    </w:p>
    <w:p w14:paraId="0859043D" w14:textId="77777777" w:rsidR="00BE554D" w:rsidRPr="006E44D8" w:rsidRDefault="00BE554D" w:rsidP="000409B1">
      <w:pPr>
        <w:pStyle w:val="TableText"/>
        <w:numPr>
          <w:ilvl w:val="0"/>
          <w:numId w:val="48"/>
        </w:numPr>
        <w:rPr>
          <w:rFonts w:ascii="Times New Roman" w:hAnsi="Times New Roman"/>
          <w:spacing w:val="-5"/>
          <w:sz w:val="22"/>
          <w:szCs w:val="22"/>
        </w:rPr>
      </w:pPr>
      <w:r w:rsidRPr="006E44D8">
        <w:rPr>
          <w:rFonts w:ascii="Times New Roman" w:hAnsi="Times New Roman"/>
          <w:spacing w:val="-5"/>
          <w:sz w:val="22"/>
          <w:szCs w:val="22"/>
        </w:rPr>
        <w:t>The patient’s antigen t</w:t>
      </w:r>
      <w:r>
        <w:rPr>
          <w:rFonts w:ascii="Times New Roman" w:hAnsi="Times New Roman"/>
          <w:spacing w:val="-5"/>
          <w:sz w:val="22"/>
          <w:szCs w:val="22"/>
        </w:rPr>
        <w:t xml:space="preserve">yping information will display in </w:t>
      </w:r>
      <w:r w:rsidRPr="006E44D8">
        <w:rPr>
          <w:rFonts w:ascii="Times New Roman" w:hAnsi="Times New Roman"/>
          <w:spacing w:val="-5"/>
          <w:sz w:val="22"/>
          <w:szCs w:val="22"/>
        </w:rPr>
        <w:t>Display Patient VBECS Data, but will not appear as part of the Transfusion Requirements or Special Instructi</w:t>
      </w:r>
      <w:r>
        <w:rPr>
          <w:rFonts w:ascii="Times New Roman" w:hAnsi="Times New Roman"/>
          <w:spacing w:val="-5"/>
          <w:sz w:val="22"/>
          <w:szCs w:val="22"/>
        </w:rPr>
        <w:t xml:space="preserve">ons that display in </w:t>
      </w:r>
      <w:r w:rsidRPr="006E44D8">
        <w:rPr>
          <w:rFonts w:ascii="Times New Roman" w:hAnsi="Times New Roman"/>
          <w:spacing w:val="-5"/>
          <w:sz w:val="22"/>
          <w:szCs w:val="22"/>
        </w:rPr>
        <w:t>Display Patient Transfusion Requirements and Special Instructions.</w:t>
      </w:r>
    </w:p>
    <w:p w14:paraId="5A0450F4" w14:textId="77777777" w:rsidR="00BE554D" w:rsidRPr="00E82F44" w:rsidRDefault="00E82F44" w:rsidP="000409B1">
      <w:pPr>
        <w:pStyle w:val="TableText"/>
        <w:numPr>
          <w:ilvl w:val="0"/>
          <w:numId w:val="48"/>
        </w:numPr>
        <w:rPr>
          <w:rFonts w:ascii="Times New Roman" w:hAnsi="Times New Roman"/>
          <w:spacing w:val="-5"/>
          <w:sz w:val="22"/>
          <w:szCs w:val="22"/>
        </w:rPr>
      </w:pPr>
      <w:r w:rsidRPr="00E82F44">
        <w:rPr>
          <w:rFonts w:ascii="Times New Roman" w:hAnsi="Times New Roman"/>
          <w:vanish/>
          <w:spacing w:val="-5"/>
          <w:sz w:val="22"/>
          <w:szCs w:val="22"/>
        </w:rPr>
        <w:t xml:space="preserve">Defect 279095 </w:t>
      </w:r>
      <w:r w:rsidR="00BE554D" w:rsidRPr="00E82F44">
        <w:rPr>
          <w:rFonts w:ascii="Times New Roman" w:hAnsi="Times New Roman"/>
          <w:spacing w:val="-5"/>
          <w:sz w:val="22"/>
          <w:szCs w:val="22"/>
        </w:rPr>
        <w:t>When the Antibody Screen test is configured with a Direct Antiglobulin Test (DAT) for manual testing, that DAT test must be executed as a separate test when using an automated instrument for testing and displays on the DAT tab, not the TAS tab.</w:t>
      </w:r>
      <w:r w:rsidR="00770FF0">
        <w:rPr>
          <w:rFonts w:ascii="Times New Roman" w:hAnsi="Times New Roman"/>
          <w:spacing w:val="-5"/>
          <w:sz w:val="22"/>
          <w:szCs w:val="22"/>
        </w:rPr>
        <w:t xml:space="preserve"> </w:t>
      </w:r>
      <w:r w:rsidR="00770FF0" w:rsidRPr="00770FF0">
        <w:rPr>
          <w:rFonts w:ascii="Times New Roman" w:hAnsi="Times New Roman"/>
          <w:spacing w:val="-5"/>
          <w:sz w:val="22"/>
          <w:szCs w:val="22"/>
        </w:rPr>
        <w:t xml:space="preserve">Attempts to send the DAT to VBECS without a separate </w:t>
      </w:r>
      <w:r w:rsidR="00770FF0" w:rsidRPr="00770FF0">
        <w:rPr>
          <w:rFonts w:ascii="Times New Roman" w:hAnsi="Times New Roman"/>
          <w:spacing w:val="-5"/>
          <w:sz w:val="22"/>
          <w:szCs w:val="22"/>
        </w:rPr>
        <w:lastRenderedPageBreak/>
        <w:t>standalone DAT order (either a DAT ordered in CPRS or a Reflex DAT entered in VBECS) will result in a rejection of the DAT result message. Users must have a separate DAT test pending in order to send test results from the Automated Instrument.</w:t>
      </w:r>
    </w:p>
    <w:p w14:paraId="72A294B4" w14:textId="77777777" w:rsidR="00BE554D" w:rsidRDefault="00BE554D" w:rsidP="000409B1">
      <w:pPr>
        <w:pStyle w:val="TableText"/>
        <w:numPr>
          <w:ilvl w:val="0"/>
          <w:numId w:val="48"/>
        </w:numPr>
        <w:rPr>
          <w:rFonts w:ascii="Times New Roman" w:hAnsi="Times New Roman"/>
          <w:spacing w:val="-5"/>
          <w:sz w:val="22"/>
          <w:szCs w:val="22"/>
        </w:rPr>
      </w:pPr>
      <w:r w:rsidRPr="006E44D8">
        <w:rPr>
          <w:rFonts w:ascii="Times New Roman" w:hAnsi="Times New Roman"/>
          <w:spacing w:val="-5"/>
          <w:sz w:val="22"/>
          <w:szCs w:val="22"/>
        </w:rPr>
        <w:t>When Workload is</w:t>
      </w:r>
      <w:r>
        <w:rPr>
          <w:rFonts w:ascii="Times New Roman" w:hAnsi="Times New Roman"/>
          <w:spacing w:val="-5"/>
          <w:sz w:val="22"/>
          <w:szCs w:val="22"/>
        </w:rPr>
        <w:t xml:space="preserve"> not configured per </w:t>
      </w:r>
      <w:r w:rsidRPr="006E44D8">
        <w:rPr>
          <w:rFonts w:ascii="Times New Roman" w:hAnsi="Times New Roman"/>
          <w:spacing w:val="-5"/>
          <w:sz w:val="22"/>
          <w:szCs w:val="22"/>
        </w:rPr>
        <w:t>Workload Codes, then Workload cannot be collected.</w:t>
      </w:r>
    </w:p>
    <w:p w14:paraId="622FA517" w14:textId="77777777" w:rsidR="00ED1FEE" w:rsidRPr="00ED1FEE" w:rsidRDefault="00ED1FEE" w:rsidP="000409B1">
      <w:pPr>
        <w:pStyle w:val="TableText"/>
        <w:numPr>
          <w:ilvl w:val="0"/>
          <w:numId w:val="48"/>
        </w:numPr>
        <w:rPr>
          <w:rFonts w:ascii="Times New Roman" w:hAnsi="Times New Roman"/>
          <w:spacing w:val="-5"/>
          <w:sz w:val="22"/>
          <w:szCs w:val="22"/>
        </w:rPr>
      </w:pPr>
      <w:r w:rsidRPr="00672710">
        <w:rPr>
          <w:rFonts w:ascii="Times New Roman" w:hAnsi="Times New Roman"/>
          <w:spacing w:val="-5"/>
          <w:sz w:val="22"/>
          <w:szCs w:val="22"/>
        </w:rPr>
        <w:t>Review comment entered for ABO/Rh test results from an automated instrument is associated with both ABO and Rh interpretation and will be displayed for both on reports.</w:t>
      </w:r>
      <w:r>
        <w:rPr>
          <w:rFonts w:ascii="Times New Roman" w:hAnsi="Times New Roman"/>
          <w:spacing w:val="-5"/>
          <w:sz w:val="22"/>
          <w:szCs w:val="22"/>
        </w:rPr>
        <w:t xml:space="preserve"> </w:t>
      </w:r>
      <w:r w:rsidRPr="00672710">
        <w:rPr>
          <w:rFonts w:ascii="Times New Roman" w:hAnsi="Times New Roman"/>
          <w:vanish/>
          <w:spacing w:val="-5"/>
          <w:sz w:val="22"/>
          <w:szCs w:val="22"/>
        </w:rPr>
        <w:t>Defect 382981</w:t>
      </w:r>
    </w:p>
    <w:p w14:paraId="58DD4C2E" w14:textId="77777777" w:rsidR="00BE554D" w:rsidRDefault="00BE554D" w:rsidP="00BE554D">
      <w:pPr>
        <w:pStyle w:val="Heading4"/>
        <w:rPr>
          <w:b w:val="0"/>
        </w:rPr>
      </w:pPr>
      <w:r>
        <w:t>User Roles with Access to This Option</w:t>
      </w:r>
      <w:r>
        <w:rPr>
          <w:b w:val="0"/>
        </w:rPr>
        <w:t xml:space="preserve"> </w:t>
      </w:r>
    </w:p>
    <w:p w14:paraId="3CC05EF9" w14:textId="77777777" w:rsidR="00BE554D" w:rsidRDefault="00BE554D" w:rsidP="00BE554D">
      <w:pPr>
        <w:pStyle w:val="Roles"/>
      </w:pPr>
      <w:r>
        <w:t>All users</w:t>
      </w:r>
    </w:p>
    <w:p w14:paraId="3B083D44" w14:textId="77777777" w:rsidR="00BE554D" w:rsidRPr="00311A54" w:rsidRDefault="00BE554D" w:rsidP="00BE554D">
      <w:pPr>
        <w:pStyle w:val="Heading4"/>
      </w:pPr>
      <w:r w:rsidRPr="00311A54">
        <w:t>Automated Testing Review</w:t>
      </w:r>
    </w:p>
    <w:p w14:paraId="46232621" w14:textId="77777777" w:rsidR="00BE554D" w:rsidRDefault="00BE554D" w:rsidP="00BE554D">
      <w:pPr>
        <w:pStyle w:val="BodyText"/>
      </w:pPr>
      <w:r>
        <w:t>This feature allows the interface of automated blood banking instruments with VBECS through Data Innovations Instrument Manager. It eliminates the potential for human error associated with the manual entry of results from an automated instrument into VBECS. It also eliminates the potential for transcription errors that can lead to a patient safety issue of ABO incompatible transfusion. In addition to safety, these enhancements will also reduce the time spent entering results manually</w:t>
      </w:r>
      <w:r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E554D" w14:paraId="6656C105" w14:textId="77777777" w:rsidTr="00381224">
        <w:trPr>
          <w:cantSplit/>
          <w:tblHeader/>
        </w:trPr>
        <w:tc>
          <w:tcPr>
            <w:tcW w:w="3240" w:type="dxa"/>
            <w:shd w:val="pct30" w:color="auto" w:fill="FFFFFF"/>
            <w:vAlign w:val="bottom"/>
          </w:tcPr>
          <w:p w14:paraId="4D7AA451" w14:textId="77777777" w:rsidR="00BE554D" w:rsidRDefault="00BE554D" w:rsidP="00381224">
            <w:pPr>
              <w:pStyle w:val="TableText"/>
              <w:rPr>
                <w:b/>
              </w:rPr>
            </w:pPr>
            <w:r>
              <w:rPr>
                <w:b/>
              </w:rPr>
              <w:t>User Action</w:t>
            </w:r>
          </w:p>
        </w:tc>
        <w:tc>
          <w:tcPr>
            <w:tcW w:w="6120" w:type="dxa"/>
            <w:shd w:val="pct30" w:color="auto" w:fill="FFFFFF"/>
            <w:vAlign w:val="bottom"/>
          </w:tcPr>
          <w:p w14:paraId="74FE9994" w14:textId="77777777" w:rsidR="00BE554D" w:rsidRDefault="00BE554D" w:rsidP="00381224">
            <w:pPr>
              <w:pStyle w:val="TableText"/>
              <w:rPr>
                <w:b/>
              </w:rPr>
            </w:pPr>
            <w:r>
              <w:rPr>
                <w:b/>
              </w:rPr>
              <w:t>VBECS</w:t>
            </w:r>
          </w:p>
        </w:tc>
      </w:tr>
      <w:tr w:rsidR="00BE554D" w14:paraId="6E3DB6DD" w14:textId="77777777" w:rsidTr="00381224">
        <w:tc>
          <w:tcPr>
            <w:tcW w:w="3240" w:type="dxa"/>
          </w:tcPr>
          <w:p w14:paraId="2937B934" w14:textId="77777777" w:rsidR="001631DF" w:rsidRDefault="001631DF" w:rsidP="000409B1">
            <w:pPr>
              <w:pStyle w:val="TableTextNumbers"/>
              <w:numPr>
                <w:ilvl w:val="0"/>
                <w:numId w:val="53"/>
              </w:numPr>
            </w:pPr>
            <w:r>
              <w:t xml:space="preserve">User logs into VBECS and selects </w:t>
            </w:r>
            <w:r>
              <w:rPr>
                <w:b/>
              </w:rPr>
              <w:t>Patients</w:t>
            </w:r>
            <w:r w:rsidRPr="001631DF">
              <w:rPr>
                <w:b/>
              </w:rPr>
              <w:t>, Automated Testing</w:t>
            </w:r>
            <w:r>
              <w:t xml:space="preserve"> from the main menu.</w:t>
            </w:r>
          </w:p>
          <w:p w14:paraId="59C8D84E" w14:textId="77777777" w:rsidR="001631DF" w:rsidRDefault="001631DF" w:rsidP="001631DF">
            <w:pPr>
              <w:pStyle w:val="TableTextNumbers"/>
              <w:numPr>
                <w:ilvl w:val="0"/>
                <w:numId w:val="0"/>
              </w:numPr>
              <w:ind w:left="288"/>
            </w:pPr>
          </w:p>
          <w:p w14:paraId="091F0F11" w14:textId="77777777" w:rsidR="001631DF" w:rsidRDefault="001631DF" w:rsidP="001631DF">
            <w:pPr>
              <w:pStyle w:val="TableTextNumbers"/>
              <w:numPr>
                <w:ilvl w:val="0"/>
                <w:numId w:val="0"/>
              </w:numPr>
              <w:ind w:left="288"/>
            </w:pPr>
            <w:r>
              <w:t>Or</w:t>
            </w:r>
          </w:p>
          <w:p w14:paraId="0791B3C7" w14:textId="77777777" w:rsidR="001631DF" w:rsidRDefault="001631DF" w:rsidP="001631DF">
            <w:pPr>
              <w:pStyle w:val="TableTextNumbers"/>
              <w:numPr>
                <w:ilvl w:val="0"/>
                <w:numId w:val="0"/>
              </w:numPr>
              <w:ind w:left="288"/>
            </w:pPr>
          </w:p>
          <w:p w14:paraId="7BAAA066" w14:textId="671A0058" w:rsidR="00BE554D" w:rsidRDefault="001631DF" w:rsidP="001631DF">
            <w:pPr>
              <w:pStyle w:val="TableTextNumbers"/>
              <w:numPr>
                <w:ilvl w:val="0"/>
                <w:numId w:val="0"/>
              </w:numPr>
              <w:ind w:left="288"/>
            </w:pPr>
            <w:r>
              <w:t xml:space="preserve">User logs into VBECS and clicks on the </w:t>
            </w:r>
            <w:r w:rsidRPr="001631DF">
              <w:rPr>
                <w:b/>
              </w:rPr>
              <w:t>Automated Testing Toolbar Icon</w:t>
            </w:r>
            <w:r>
              <w:t xml:space="preserve"> (patient face with </w:t>
            </w:r>
            <w:r w:rsidR="002E5AC8">
              <w:t>lightning</w:t>
            </w:r>
            <w:r>
              <w:t xml:space="preserve"> bolt)</w:t>
            </w:r>
          </w:p>
        </w:tc>
        <w:tc>
          <w:tcPr>
            <w:tcW w:w="6120" w:type="dxa"/>
          </w:tcPr>
          <w:p w14:paraId="5BD8515A" w14:textId="77777777" w:rsidR="001631DF" w:rsidRDefault="00D279DE" w:rsidP="001631DF">
            <w:pPr>
              <w:pStyle w:val="TableTextBullet"/>
            </w:pPr>
            <w:r>
              <w:t>Displays</w:t>
            </w:r>
            <w:r w:rsidR="001631DF">
              <w:t xml:space="preserve"> the Automated Testing – Pending Patient Orders window.</w:t>
            </w:r>
          </w:p>
          <w:p w14:paraId="14B5E3E8" w14:textId="77777777" w:rsidR="001631DF" w:rsidRDefault="001631DF" w:rsidP="001631DF">
            <w:pPr>
              <w:pStyle w:val="TableTextBullet"/>
            </w:pPr>
            <w:r>
              <w:rPr>
                <w:rFonts w:cs="Arial"/>
                <w:vanish/>
              </w:rPr>
              <w:t xml:space="preserve">BR_85.02 </w:t>
            </w:r>
            <w:r w:rsidR="00D279DE">
              <w:t xml:space="preserve">Allows a user </w:t>
            </w:r>
            <w:r>
              <w:t>to select a patient.</w:t>
            </w:r>
          </w:p>
          <w:p w14:paraId="20F4F893" w14:textId="77777777" w:rsidR="001631DF" w:rsidRDefault="001631DF" w:rsidP="001631DF">
            <w:pPr>
              <w:pStyle w:val="TableTextBullet"/>
            </w:pPr>
            <w:r>
              <w:t xml:space="preserve">Displays message when no pending </w:t>
            </w:r>
            <w:r w:rsidR="004A39DB">
              <w:t>patient specimens</w:t>
            </w:r>
            <w:r>
              <w:t xml:space="preserve"> were found to review.</w:t>
            </w:r>
          </w:p>
          <w:p w14:paraId="70F0E934" w14:textId="77777777" w:rsidR="00BE554D" w:rsidRDefault="00BE554D" w:rsidP="00381224">
            <w:pPr>
              <w:pStyle w:val="TableTextBullet"/>
              <w:numPr>
                <w:ilvl w:val="0"/>
                <w:numId w:val="0"/>
              </w:numPr>
              <w:ind w:left="288" w:hanging="288"/>
            </w:pPr>
          </w:p>
          <w:p w14:paraId="652F6CDE" w14:textId="7FF86AC4" w:rsidR="00BE554D" w:rsidRDefault="00BE554D" w:rsidP="00381224">
            <w:pPr>
              <w:pStyle w:val="TableText"/>
              <w:rPr>
                <w:b/>
                <w:bCs/>
                <w:szCs w:val="18"/>
              </w:rPr>
            </w:pPr>
            <w:r>
              <w:rPr>
                <w:b/>
                <w:bCs/>
                <w:szCs w:val="18"/>
              </w:rPr>
              <w:t>NOTES</w:t>
            </w:r>
          </w:p>
          <w:p w14:paraId="67707FF3" w14:textId="77777777" w:rsidR="00BE554D" w:rsidRDefault="00BE554D" w:rsidP="00381224">
            <w:pPr>
              <w:pStyle w:val="NotesText"/>
            </w:pPr>
          </w:p>
          <w:p w14:paraId="61E97E6B" w14:textId="77777777" w:rsidR="001631DF" w:rsidRDefault="001631DF" w:rsidP="001631DF">
            <w:pPr>
              <w:pStyle w:val="TableText"/>
              <w:ind w:left="720"/>
            </w:pPr>
            <w:r w:rsidRPr="00425938">
              <w:rPr>
                <w:vanish/>
              </w:rPr>
              <w:t xml:space="preserve">BR_2.43 </w:t>
            </w:r>
            <w:r>
              <w:t>The functionality is not accessible if division is defined as a Transfusion Only facility.</w:t>
            </w:r>
          </w:p>
          <w:p w14:paraId="55A3B359" w14:textId="77777777" w:rsidR="001631DF" w:rsidRDefault="001631DF" w:rsidP="001631DF">
            <w:pPr>
              <w:pStyle w:val="NotesText"/>
            </w:pPr>
          </w:p>
          <w:p w14:paraId="04244D6E" w14:textId="77777777" w:rsidR="001631DF" w:rsidRDefault="001631DF" w:rsidP="001631DF">
            <w:pPr>
              <w:pStyle w:val="TableText"/>
              <w:ind w:left="720"/>
            </w:pPr>
            <w:r w:rsidRPr="00F47ABD">
              <w:rPr>
                <w:vanish/>
              </w:rPr>
              <w:t xml:space="preserve">BR_115.03 </w:t>
            </w:r>
            <w:r>
              <w:t>The list displayed contains only those patients associated with pending results from an instrument message.</w:t>
            </w:r>
          </w:p>
          <w:p w14:paraId="7FBB1E3E" w14:textId="77777777" w:rsidR="001631DF" w:rsidRDefault="001631DF" w:rsidP="001631DF">
            <w:pPr>
              <w:pStyle w:val="TableText"/>
              <w:ind w:left="720"/>
            </w:pPr>
          </w:p>
          <w:p w14:paraId="488433F3" w14:textId="77777777" w:rsidR="001631DF" w:rsidRDefault="001631DF" w:rsidP="001631DF">
            <w:pPr>
              <w:pStyle w:val="TableText"/>
              <w:ind w:left="720"/>
            </w:pPr>
            <w:r w:rsidRPr="00F47ABD">
              <w:rPr>
                <w:vanish/>
              </w:rPr>
              <w:t xml:space="preserve">BR_115.04 </w:t>
            </w:r>
            <w:r>
              <w:t>System displays a list of patients who have pending test results from Auto Instrument including the following information:</w:t>
            </w:r>
          </w:p>
          <w:p w14:paraId="12C9BBD6" w14:textId="77777777" w:rsidR="001631DF" w:rsidRDefault="001631DF" w:rsidP="000409B1">
            <w:pPr>
              <w:pStyle w:val="TableText"/>
              <w:numPr>
                <w:ilvl w:val="0"/>
                <w:numId w:val="49"/>
              </w:numPr>
            </w:pPr>
            <w:r>
              <w:t>Patient name</w:t>
            </w:r>
          </w:p>
          <w:p w14:paraId="6037A9F3" w14:textId="77777777" w:rsidR="001631DF" w:rsidRDefault="001631DF" w:rsidP="000409B1">
            <w:pPr>
              <w:pStyle w:val="TableText"/>
              <w:numPr>
                <w:ilvl w:val="0"/>
                <w:numId w:val="49"/>
              </w:numPr>
            </w:pPr>
            <w:r>
              <w:t>Patient ID</w:t>
            </w:r>
          </w:p>
          <w:p w14:paraId="527FCBBC" w14:textId="77777777" w:rsidR="001631DF" w:rsidRDefault="001631DF" w:rsidP="000409B1">
            <w:pPr>
              <w:pStyle w:val="TableText"/>
              <w:numPr>
                <w:ilvl w:val="0"/>
                <w:numId w:val="49"/>
              </w:numPr>
            </w:pPr>
            <w:r>
              <w:t>Patient Historic ABO/Rh</w:t>
            </w:r>
          </w:p>
          <w:p w14:paraId="0BB7B9D3" w14:textId="77777777" w:rsidR="001631DF" w:rsidRDefault="001631DF" w:rsidP="000409B1">
            <w:pPr>
              <w:pStyle w:val="TableText"/>
              <w:numPr>
                <w:ilvl w:val="0"/>
                <w:numId w:val="49"/>
              </w:numPr>
            </w:pPr>
            <w:r>
              <w:t>Specimen UIDs</w:t>
            </w:r>
          </w:p>
          <w:p w14:paraId="226094EB" w14:textId="77777777" w:rsidR="00BE554D" w:rsidRPr="000D7828" w:rsidRDefault="00D00CAC" w:rsidP="000409B1">
            <w:pPr>
              <w:pStyle w:val="TableText"/>
              <w:numPr>
                <w:ilvl w:val="0"/>
                <w:numId w:val="49"/>
              </w:numPr>
            </w:pPr>
            <w:r>
              <w:t>List of pending auto instrument tests for patient</w:t>
            </w:r>
          </w:p>
        </w:tc>
      </w:tr>
      <w:tr w:rsidR="00BE554D" w14:paraId="25FA24B6" w14:textId="77777777" w:rsidTr="00381224">
        <w:tc>
          <w:tcPr>
            <w:tcW w:w="3240" w:type="dxa"/>
          </w:tcPr>
          <w:p w14:paraId="509D1EAA" w14:textId="77777777" w:rsidR="001631DF" w:rsidRPr="00061040" w:rsidRDefault="00BE554D" w:rsidP="00381224">
            <w:pPr>
              <w:pStyle w:val="TableTextNumbers"/>
            </w:pPr>
            <w:r w:rsidRPr="00061040">
              <w:t xml:space="preserve">User selects </w:t>
            </w:r>
            <w:r w:rsidR="00D044A1" w:rsidRPr="00061040">
              <w:t>the</w:t>
            </w:r>
            <w:r w:rsidR="001631DF" w:rsidRPr="00061040">
              <w:t xml:space="preserve"> </w:t>
            </w:r>
            <w:r w:rsidR="00D044A1" w:rsidRPr="00061040">
              <w:t>p</w:t>
            </w:r>
            <w:r w:rsidR="001631DF" w:rsidRPr="00061040">
              <w:t>atient to review from the list of pending results</w:t>
            </w:r>
            <w:r w:rsidR="00D044A1" w:rsidRPr="00061040">
              <w:t xml:space="preserve"> and clicks </w:t>
            </w:r>
            <w:r w:rsidR="00D044A1" w:rsidRPr="00061040">
              <w:rPr>
                <w:b/>
              </w:rPr>
              <w:t>OK</w:t>
            </w:r>
            <w:r w:rsidR="00D044A1" w:rsidRPr="00061040">
              <w:t>.</w:t>
            </w:r>
          </w:p>
          <w:p w14:paraId="36AE4CA1" w14:textId="77777777" w:rsidR="00BE554D" w:rsidRDefault="00BE554D" w:rsidP="001631DF">
            <w:pPr>
              <w:pStyle w:val="TableTextNumbers"/>
              <w:numPr>
                <w:ilvl w:val="0"/>
                <w:numId w:val="0"/>
              </w:numPr>
              <w:ind w:left="288"/>
            </w:pPr>
          </w:p>
        </w:tc>
        <w:tc>
          <w:tcPr>
            <w:tcW w:w="6120" w:type="dxa"/>
          </w:tcPr>
          <w:p w14:paraId="57BE9367" w14:textId="77777777" w:rsidR="00D044A1" w:rsidRDefault="00D044A1" w:rsidP="00D044A1">
            <w:pPr>
              <w:pStyle w:val="TableTextBullet"/>
            </w:pPr>
            <w:r>
              <w:rPr>
                <w:rFonts w:cs="Arial"/>
                <w:vanish/>
              </w:rPr>
              <w:t xml:space="preserve">BR_115.14 </w:t>
            </w:r>
            <w:r w:rsidR="00D279DE">
              <w:t>D</w:t>
            </w:r>
            <w:r>
              <w:t>isplays information about the patient selected.</w:t>
            </w:r>
          </w:p>
          <w:p w14:paraId="4529CB3B" w14:textId="77777777" w:rsidR="00BE554D" w:rsidRDefault="00BE554D" w:rsidP="00381224">
            <w:pPr>
              <w:pStyle w:val="TableTextBullet"/>
              <w:numPr>
                <w:ilvl w:val="0"/>
                <w:numId w:val="0"/>
              </w:numPr>
              <w:ind w:left="288" w:hanging="288"/>
            </w:pPr>
          </w:p>
          <w:p w14:paraId="6F667717" w14:textId="7824E1A1" w:rsidR="00BE554D" w:rsidRDefault="00BE554D" w:rsidP="00381224">
            <w:pPr>
              <w:pStyle w:val="TableText"/>
              <w:rPr>
                <w:b/>
                <w:bCs/>
                <w:szCs w:val="18"/>
              </w:rPr>
            </w:pPr>
            <w:r>
              <w:rPr>
                <w:b/>
                <w:bCs/>
                <w:szCs w:val="18"/>
              </w:rPr>
              <w:t>NOTES</w:t>
            </w:r>
          </w:p>
          <w:p w14:paraId="48F39355" w14:textId="77777777" w:rsidR="00BE554D" w:rsidRDefault="00BE554D" w:rsidP="00381224">
            <w:pPr>
              <w:pStyle w:val="NotesText"/>
            </w:pPr>
          </w:p>
          <w:p w14:paraId="436805F6" w14:textId="77777777" w:rsidR="00BE554D" w:rsidRDefault="00BE554D" w:rsidP="00381224">
            <w:pPr>
              <w:pStyle w:val="TableText"/>
              <w:ind w:left="720"/>
            </w:pPr>
            <w:r w:rsidRPr="00F47ABD">
              <w:rPr>
                <w:vanish/>
              </w:rPr>
              <w:t xml:space="preserve">BR_115.03 </w:t>
            </w:r>
            <w:r>
              <w:t>The list displayed contains only those patients associated with pending results from an instrument message.</w:t>
            </w:r>
          </w:p>
          <w:p w14:paraId="08B97F4B" w14:textId="77777777" w:rsidR="00D044A1" w:rsidRDefault="00D044A1" w:rsidP="00381224">
            <w:pPr>
              <w:pStyle w:val="TableText"/>
              <w:ind w:left="720"/>
            </w:pPr>
          </w:p>
          <w:p w14:paraId="4F551A51" w14:textId="77777777" w:rsidR="00BE554D" w:rsidRDefault="00BE554D" w:rsidP="00381224">
            <w:pPr>
              <w:pStyle w:val="TableText"/>
              <w:ind w:left="720"/>
            </w:pPr>
            <w:r w:rsidRPr="00F47ABD">
              <w:rPr>
                <w:vanish/>
              </w:rPr>
              <w:t xml:space="preserve">BR_115.04 </w:t>
            </w:r>
            <w:r>
              <w:t>System displays a list of patients who have pending test results from Auto Instrument including the following information:</w:t>
            </w:r>
          </w:p>
          <w:p w14:paraId="0EDF6680" w14:textId="77777777" w:rsidR="00BE554D" w:rsidRDefault="00BE554D" w:rsidP="000409B1">
            <w:pPr>
              <w:pStyle w:val="TableText"/>
              <w:numPr>
                <w:ilvl w:val="0"/>
                <w:numId w:val="49"/>
              </w:numPr>
            </w:pPr>
            <w:r>
              <w:t>Patient name</w:t>
            </w:r>
          </w:p>
          <w:p w14:paraId="2B6C0482" w14:textId="77777777" w:rsidR="00BE554D" w:rsidRDefault="00BE554D" w:rsidP="000409B1">
            <w:pPr>
              <w:pStyle w:val="TableText"/>
              <w:numPr>
                <w:ilvl w:val="0"/>
                <w:numId w:val="49"/>
              </w:numPr>
            </w:pPr>
            <w:r>
              <w:t>Patient ID</w:t>
            </w:r>
          </w:p>
          <w:p w14:paraId="69F5B80E" w14:textId="77777777" w:rsidR="00BE554D" w:rsidRDefault="00BE554D" w:rsidP="000409B1">
            <w:pPr>
              <w:pStyle w:val="TableText"/>
              <w:numPr>
                <w:ilvl w:val="0"/>
                <w:numId w:val="49"/>
              </w:numPr>
            </w:pPr>
            <w:r>
              <w:t>Patient Historic ABO/Rh</w:t>
            </w:r>
          </w:p>
          <w:p w14:paraId="12A2E035" w14:textId="77777777" w:rsidR="00BE554D" w:rsidRDefault="00BE554D" w:rsidP="000409B1">
            <w:pPr>
              <w:pStyle w:val="TableText"/>
              <w:numPr>
                <w:ilvl w:val="0"/>
                <w:numId w:val="49"/>
              </w:numPr>
            </w:pPr>
            <w:r>
              <w:t>Specimen UIDs</w:t>
            </w:r>
          </w:p>
          <w:p w14:paraId="0D80130B" w14:textId="77777777" w:rsidR="00BE554D" w:rsidRDefault="00BE554D" w:rsidP="000409B1">
            <w:pPr>
              <w:pStyle w:val="TableText"/>
              <w:numPr>
                <w:ilvl w:val="0"/>
                <w:numId w:val="49"/>
              </w:numPr>
            </w:pPr>
            <w:r>
              <w:t>List of pending auto instrument tests for patient</w:t>
            </w:r>
          </w:p>
          <w:p w14:paraId="056752E8" w14:textId="77777777" w:rsidR="00D044A1" w:rsidRDefault="00D044A1" w:rsidP="00D044A1">
            <w:pPr>
              <w:pStyle w:val="TableText"/>
              <w:ind w:left="720"/>
              <w:rPr>
                <w:vanish/>
              </w:rPr>
            </w:pPr>
          </w:p>
          <w:p w14:paraId="67E453D0" w14:textId="77777777" w:rsidR="00D044A1" w:rsidRDefault="00D044A1" w:rsidP="00D044A1">
            <w:pPr>
              <w:pStyle w:val="TableText"/>
              <w:ind w:left="720"/>
            </w:pPr>
            <w:r w:rsidRPr="00F47ABD">
              <w:rPr>
                <w:vanish/>
              </w:rPr>
              <w:t xml:space="preserve">BR_115.14 </w:t>
            </w:r>
            <w:r>
              <w:t>When patient is selected the system displays the following information:</w:t>
            </w:r>
          </w:p>
          <w:p w14:paraId="3D7041FB" w14:textId="77777777" w:rsidR="00D044A1" w:rsidRDefault="00D044A1" w:rsidP="000409B1">
            <w:pPr>
              <w:pStyle w:val="TableText"/>
              <w:numPr>
                <w:ilvl w:val="0"/>
                <w:numId w:val="49"/>
              </w:numPr>
            </w:pPr>
            <w:r>
              <w:t>Patient name</w:t>
            </w:r>
          </w:p>
          <w:p w14:paraId="16A017D9" w14:textId="77777777" w:rsidR="00D044A1" w:rsidRDefault="00D044A1" w:rsidP="000409B1">
            <w:pPr>
              <w:pStyle w:val="TableText"/>
              <w:numPr>
                <w:ilvl w:val="0"/>
                <w:numId w:val="49"/>
              </w:numPr>
            </w:pPr>
            <w:r>
              <w:t>Patient ID</w:t>
            </w:r>
          </w:p>
          <w:p w14:paraId="16BF9542" w14:textId="77777777" w:rsidR="00D044A1" w:rsidRDefault="00D044A1" w:rsidP="000409B1">
            <w:pPr>
              <w:pStyle w:val="TableText"/>
              <w:numPr>
                <w:ilvl w:val="0"/>
                <w:numId w:val="49"/>
              </w:numPr>
            </w:pPr>
            <w:r>
              <w:t>Patient DOB</w:t>
            </w:r>
          </w:p>
          <w:p w14:paraId="4ECDCC02" w14:textId="77777777" w:rsidR="00D044A1" w:rsidRDefault="00D044A1" w:rsidP="000409B1">
            <w:pPr>
              <w:pStyle w:val="TableText"/>
              <w:numPr>
                <w:ilvl w:val="0"/>
                <w:numId w:val="49"/>
              </w:numPr>
            </w:pPr>
            <w:r>
              <w:t>Patient Historic ABO/Rh</w:t>
            </w:r>
          </w:p>
          <w:p w14:paraId="48184A0F" w14:textId="77777777" w:rsidR="00D044A1" w:rsidRDefault="00D044A1" w:rsidP="000409B1">
            <w:pPr>
              <w:pStyle w:val="TableText"/>
              <w:numPr>
                <w:ilvl w:val="0"/>
                <w:numId w:val="49"/>
              </w:numPr>
            </w:pPr>
            <w:r>
              <w:t>Patient Sex</w:t>
            </w:r>
          </w:p>
          <w:p w14:paraId="66DDF96A" w14:textId="77777777" w:rsidR="00D044A1" w:rsidRDefault="00D044A1" w:rsidP="000409B1">
            <w:pPr>
              <w:pStyle w:val="TableText"/>
              <w:numPr>
                <w:ilvl w:val="0"/>
                <w:numId w:val="49"/>
              </w:numPr>
            </w:pPr>
            <w:r>
              <w:t>Patient location</w:t>
            </w:r>
          </w:p>
          <w:p w14:paraId="6CB63AC9" w14:textId="77777777" w:rsidR="00D044A1" w:rsidRDefault="00D044A1" w:rsidP="00D044A1">
            <w:pPr>
              <w:pStyle w:val="TableText"/>
            </w:pPr>
          </w:p>
        </w:tc>
      </w:tr>
      <w:tr w:rsidR="00BE554D" w14:paraId="67E4EC09" w14:textId="77777777" w:rsidTr="00381224">
        <w:tc>
          <w:tcPr>
            <w:tcW w:w="3240" w:type="dxa"/>
          </w:tcPr>
          <w:p w14:paraId="085F1EFB" w14:textId="6CFC2D46" w:rsidR="0071317D" w:rsidRDefault="00BE554D" w:rsidP="00381224">
            <w:pPr>
              <w:pStyle w:val="TableTextNumbers"/>
            </w:pPr>
            <w:r w:rsidRPr="00396B2B">
              <w:lastRenderedPageBreak/>
              <w:t>User selec</w:t>
            </w:r>
            <w:r>
              <w:t xml:space="preserve">ts </w:t>
            </w:r>
            <w:r w:rsidR="0071317D">
              <w:t>from the testing tabs that are enabled on the Automated Testing – Pending Specimen Tests window</w:t>
            </w:r>
            <w:r w:rsidR="00937534">
              <w:t xml:space="preserve"> (</w:t>
            </w:r>
            <w:r w:rsidR="00937534">
              <w:fldChar w:fldCharType="begin"/>
            </w:r>
            <w:r w:rsidR="00937534">
              <w:instrText xml:space="preserve"> REF _Ref447168245 \h </w:instrText>
            </w:r>
            <w:r w:rsidR="00937534">
              <w:fldChar w:fldCharType="separate"/>
            </w:r>
            <w:r w:rsidR="004353ED">
              <w:t xml:space="preserve">Figure </w:t>
            </w:r>
            <w:r w:rsidR="004353ED">
              <w:rPr>
                <w:noProof/>
              </w:rPr>
              <w:t>144</w:t>
            </w:r>
            <w:r w:rsidR="00937534">
              <w:fldChar w:fldCharType="end"/>
            </w:r>
            <w:r w:rsidR="00937534">
              <w:t>)</w:t>
            </w:r>
            <w:r w:rsidR="0071317D">
              <w:t>.</w:t>
            </w:r>
          </w:p>
          <w:p w14:paraId="443433E3" w14:textId="77777777" w:rsidR="0071317D" w:rsidRPr="0071317D" w:rsidRDefault="0071317D" w:rsidP="0071317D">
            <w:pPr>
              <w:pStyle w:val="TableTextNumbers"/>
              <w:numPr>
                <w:ilvl w:val="0"/>
                <w:numId w:val="0"/>
              </w:numPr>
              <w:ind w:left="288"/>
            </w:pPr>
          </w:p>
          <w:p w14:paraId="21B767DB" w14:textId="77777777" w:rsidR="0071317D" w:rsidRDefault="002615AD" w:rsidP="0071317D">
            <w:pPr>
              <w:pStyle w:val="TableTextNumbers"/>
              <w:numPr>
                <w:ilvl w:val="0"/>
                <w:numId w:val="0"/>
              </w:numPr>
              <w:ind w:left="288"/>
            </w:pPr>
            <w:r w:rsidRPr="002615AD">
              <w:rPr>
                <w:b/>
              </w:rPr>
              <w:t>TAS</w:t>
            </w:r>
            <w:r>
              <w:t xml:space="preserve"> tab </w:t>
            </w:r>
          </w:p>
          <w:p w14:paraId="1417EE9D" w14:textId="77777777" w:rsidR="0071317D" w:rsidRPr="002615AD" w:rsidRDefault="0071317D" w:rsidP="0071317D">
            <w:pPr>
              <w:pStyle w:val="TableTextNumbers"/>
              <w:numPr>
                <w:ilvl w:val="0"/>
                <w:numId w:val="0"/>
              </w:numPr>
              <w:ind w:left="288"/>
              <w:rPr>
                <w:b/>
              </w:rPr>
            </w:pPr>
          </w:p>
          <w:p w14:paraId="7529BD65" w14:textId="77777777" w:rsidR="00BE554D" w:rsidRDefault="002615AD" w:rsidP="0071317D">
            <w:pPr>
              <w:pStyle w:val="TableTextNumbers"/>
              <w:numPr>
                <w:ilvl w:val="0"/>
                <w:numId w:val="0"/>
              </w:numPr>
              <w:ind w:left="288"/>
            </w:pPr>
            <w:r w:rsidRPr="002615AD">
              <w:rPr>
                <w:b/>
              </w:rPr>
              <w:t>ABO/Rh</w:t>
            </w:r>
            <w:r>
              <w:t xml:space="preserve"> tab</w:t>
            </w:r>
          </w:p>
          <w:p w14:paraId="5D53CD04" w14:textId="77777777" w:rsidR="002615AD" w:rsidRDefault="002615AD" w:rsidP="0071317D">
            <w:pPr>
              <w:pStyle w:val="TableTextNumbers"/>
              <w:numPr>
                <w:ilvl w:val="0"/>
                <w:numId w:val="0"/>
              </w:numPr>
              <w:ind w:left="288"/>
            </w:pPr>
          </w:p>
          <w:p w14:paraId="72ED0012" w14:textId="77777777" w:rsidR="002615AD" w:rsidRPr="002615AD" w:rsidRDefault="002615AD" w:rsidP="0071317D">
            <w:pPr>
              <w:pStyle w:val="TableTextNumbers"/>
              <w:numPr>
                <w:ilvl w:val="0"/>
                <w:numId w:val="0"/>
              </w:numPr>
              <w:ind w:left="288"/>
            </w:pPr>
            <w:r>
              <w:rPr>
                <w:b/>
              </w:rPr>
              <w:t>ABS</w:t>
            </w:r>
            <w:r>
              <w:t xml:space="preserve"> tab.</w:t>
            </w:r>
          </w:p>
          <w:p w14:paraId="0928A8C8" w14:textId="77777777" w:rsidR="002615AD" w:rsidRDefault="002615AD" w:rsidP="0071317D">
            <w:pPr>
              <w:pStyle w:val="TableTextNumbers"/>
              <w:numPr>
                <w:ilvl w:val="0"/>
                <w:numId w:val="0"/>
              </w:numPr>
              <w:ind w:left="288"/>
              <w:rPr>
                <w:b/>
              </w:rPr>
            </w:pPr>
          </w:p>
          <w:p w14:paraId="77DFA60B" w14:textId="77777777" w:rsidR="002615AD" w:rsidRDefault="002615AD" w:rsidP="0071317D">
            <w:pPr>
              <w:pStyle w:val="TableTextNumbers"/>
              <w:numPr>
                <w:ilvl w:val="0"/>
                <w:numId w:val="0"/>
              </w:numPr>
              <w:ind w:left="288"/>
            </w:pPr>
            <w:r>
              <w:rPr>
                <w:b/>
              </w:rPr>
              <w:t xml:space="preserve">DAT </w:t>
            </w:r>
            <w:r>
              <w:t>tab.</w:t>
            </w:r>
          </w:p>
          <w:p w14:paraId="59F1E656" w14:textId="77777777" w:rsidR="0071317D" w:rsidRDefault="0071317D" w:rsidP="0071317D">
            <w:pPr>
              <w:pStyle w:val="TableTextNumbers"/>
              <w:numPr>
                <w:ilvl w:val="0"/>
                <w:numId w:val="0"/>
              </w:numPr>
              <w:ind w:left="288"/>
              <w:rPr>
                <w:b/>
              </w:rPr>
            </w:pPr>
          </w:p>
          <w:p w14:paraId="301E5247" w14:textId="77777777" w:rsidR="0071317D" w:rsidRPr="0071317D" w:rsidRDefault="0071317D" w:rsidP="0071317D">
            <w:pPr>
              <w:pStyle w:val="TableTextNumbers"/>
              <w:numPr>
                <w:ilvl w:val="0"/>
                <w:numId w:val="0"/>
              </w:numPr>
              <w:ind w:left="288"/>
            </w:pPr>
            <w:r>
              <w:rPr>
                <w:b/>
              </w:rPr>
              <w:t>An</w:t>
            </w:r>
            <w:r w:rsidR="00D3261A">
              <w:rPr>
                <w:b/>
              </w:rPr>
              <w:t>t</w:t>
            </w:r>
            <w:r>
              <w:rPr>
                <w:b/>
              </w:rPr>
              <w:t xml:space="preserve">igen Typing </w:t>
            </w:r>
            <w:r>
              <w:t>tab</w:t>
            </w:r>
          </w:p>
          <w:p w14:paraId="164729E3" w14:textId="77777777" w:rsidR="002615AD" w:rsidRDefault="002615AD" w:rsidP="0071317D">
            <w:pPr>
              <w:pStyle w:val="TableTextNumbers"/>
              <w:numPr>
                <w:ilvl w:val="0"/>
                <w:numId w:val="0"/>
              </w:numPr>
              <w:ind w:left="288"/>
              <w:rPr>
                <w:b/>
              </w:rPr>
            </w:pPr>
          </w:p>
          <w:p w14:paraId="431EB6DE" w14:textId="77777777" w:rsidR="002615AD" w:rsidRPr="002615AD" w:rsidRDefault="00E82F44" w:rsidP="0071317D">
            <w:pPr>
              <w:pStyle w:val="TableTextNumbers"/>
              <w:numPr>
                <w:ilvl w:val="0"/>
                <w:numId w:val="0"/>
              </w:numPr>
              <w:ind w:left="288"/>
            </w:pPr>
            <w:r>
              <w:t>See S</w:t>
            </w:r>
            <w:r w:rsidR="002615AD">
              <w:t xml:space="preserve">tep </w:t>
            </w:r>
            <w:r w:rsidR="00B16194">
              <w:t>7</w:t>
            </w:r>
            <w:r w:rsidR="002615AD">
              <w:t xml:space="preserve"> for process when the User selects </w:t>
            </w:r>
            <w:r w:rsidR="002615AD">
              <w:rPr>
                <w:b/>
              </w:rPr>
              <w:t>XMatch</w:t>
            </w:r>
            <w:r w:rsidR="002615AD">
              <w:t xml:space="preserve"> tab.</w:t>
            </w:r>
          </w:p>
          <w:p w14:paraId="0C5A2E7B" w14:textId="77777777" w:rsidR="002615AD" w:rsidRDefault="002615AD" w:rsidP="0071317D">
            <w:pPr>
              <w:pStyle w:val="TableTextNumbers"/>
              <w:numPr>
                <w:ilvl w:val="0"/>
                <w:numId w:val="0"/>
              </w:numPr>
              <w:ind w:left="288"/>
              <w:rPr>
                <w:b/>
              </w:rPr>
            </w:pPr>
          </w:p>
          <w:p w14:paraId="7AB5D143" w14:textId="77777777" w:rsidR="00BE554D" w:rsidRDefault="00BE554D" w:rsidP="0071317D">
            <w:pPr>
              <w:pStyle w:val="TableTextNumbers"/>
              <w:numPr>
                <w:ilvl w:val="0"/>
                <w:numId w:val="0"/>
              </w:numPr>
              <w:ind w:left="720"/>
            </w:pPr>
          </w:p>
        </w:tc>
        <w:tc>
          <w:tcPr>
            <w:tcW w:w="6120" w:type="dxa"/>
          </w:tcPr>
          <w:p w14:paraId="2C29FA77" w14:textId="77777777" w:rsidR="0071317D" w:rsidRDefault="00D279DE" w:rsidP="00381224">
            <w:pPr>
              <w:pStyle w:val="TableTextBullet"/>
            </w:pPr>
            <w:r>
              <w:t>D</w:t>
            </w:r>
            <w:r w:rsidR="0071317D">
              <w:t>isplays the first tab from the left side of the screen that has test results to review.</w:t>
            </w:r>
          </w:p>
          <w:p w14:paraId="617A7C46" w14:textId="77777777" w:rsidR="0020636F" w:rsidRDefault="00D279DE" w:rsidP="00381224">
            <w:pPr>
              <w:pStyle w:val="TableTextBullet"/>
            </w:pPr>
            <w:r>
              <w:t>D</w:t>
            </w:r>
            <w:r w:rsidR="0020636F">
              <w:t>etermines that all appropriate test results were entered for the patient.</w:t>
            </w:r>
          </w:p>
          <w:p w14:paraId="32FE697D" w14:textId="77777777" w:rsidR="00BE554D" w:rsidRDefault="00D279DE" w:rsidP="00381224">
            <w:pPr>
              <w:pStyle w:val="TableTextBullet"/>
            </w:pPr>
            <w:r>
              <w:t>V</w:t>
            </w:r>
            <w:r w:rsidR="0020636F">
              <w:t>alidates test results and displays Warning or Error indicator when results do not match expected pattern.</w:t>
            </w:r>
          </w:p>
          <w:p w14:paraId="6521B501" w14:textId="77777777" w:rsidR="0020636F" w:rsidRDefault="0020636F" w:rsidP="00381224">
            <w:pPr>
              <w:pStyle w:val="TableTextBullet"/>
            </w:pPr>
            <w:r>
              <w:t>Displays comments from the Automated Instrument.</w:t>
            </w:r>
          </w:p>
          <w:p w14:paraId="5929C3F9" w14:textId="77777777" w:rsidR="00BE554D" w:rsidRDefault="00BE554D" w:rsidP="00381224">
            <w:pPr>
              <w:pStyle w:val="TableText"/>
            </w:pPr>
          </w:p>
          <w:p w14:paraId="325014C7" w14:textId="39F0C437" w:rsidR="00BE554D" w:rsidRDefault="00BE554D" w:rsidP="00381224">
            <w:pPr>
              <w:pStyle w:val="TableText"/>
              <w:rPr>
                <w:b/>
                <w:bCs/>
                <w:szCs w:val="18"/>
              </w:rPr>
            </w:pPr>
            <w:r>
              <w:rPr>
                <w:b/>
                <w:bCs/>
                <w:szCs w:val="18"/>
              </w:rPr>
              <w:t>NOTES</w:t>
            </w:r>
          </w:p>
          <w:p w14:paraId="4539F0A8" w14:textId="77777777" w:rsidR="00BE554D" w:rsidRDefault="00BE554D" w:rsidP="00381224">
            <w:pPr>
              <w:pStyle w:val="NotesText"/>
            </w:pPr>
          </w:p>
          <w:p w14:paraId="69870732" w14:textId="73BDE881" w:rsidR="007F00C5" w:rsidRDefault="007F00C5" w:rsidP="007F00C5">
            <w:pPr>
              <w:pStyle w:val="TableText"/>
              <w:ind w:left="720"/>
              <w:rPr>
                <w:vanish/>
              </w:rPr>
            </w:pPr>
            <w:r w:rsidRPr="0020636F">
              <w:rPr>
                <w:vanish/>
              </w:rPr>
              <w:t xml:space="preserve">BR_16.01 </w:t>
            </w:r>
            <w:r>
              <w:t xml:space="preserve">The system provides a visual and audible indication to the user when there are patient Special Instructions or Transfusion Requirements to be viewed. </w:t>
            </w:r>
          </w:p>
          <w:p w14:paraId="7C2BF821" w14:textId="77777777" w:rsidR="007F00C5" w:rsidRDefault="007F00C5" w:rsidP="007F00C5">
            <w:pPr>
              <w:pStyle w:val="TableText"/>
              <w:ind w:left="720"/>
              <w:rPr>
                <w:vanish/>
              </w:rPr>
            </w:pPr>
          </w:p>
          <w:p w14:paraId="0F05ADB0" w14:textId="77777777" w:rsidR="00BE554D" w:rsidRPr="00004A4C" w:rsidRDefault="007F00C5" w:rsidP="007F00C5">
            <w:pPr>
              <w:pStyle w:val="TableText"/>
              <w:ind w:left="720"/>
              <w:rPr>
                <w:noProof/>
                <w:color w:val="000000"/>
              </w:rPr>
            </w:pPr>
            <w:r w:rsidRPr="00F47ABD">
              <w:rPr>
                <w:vanish/>
              </w:rPr>
              <w:t xml:space="preserve">BR_115.15 </w:t>
            </w:r>
            <w:r>
              <w:t xml:space="preserve">When the user has unsaved changes and attempts to close the Automated Testing window, the application will warn the user that the changes will not be saved. Clicking </w:t>
            </w:r>
            <w:r>
              <w:rPr>
                <w:b/>
              </w:rPr>
              <w:t>Yes</w:t>
            </w:r>
            <w:r>
              <w:t xml:space="preserve"> closes the form; clicking </w:t>
            </w:r>
            <w:r>
              <w:rPr>
                <w:b/>
              </w:rPr>
              <w:t>No</w:t>
            </w:r>
            <w:r>
              <w:t xml:space="preserve"> returns the user to the Automated Testing – Pending Specimen Tests window.</w:t>
            </w:r>
          </w:p>
        </w:tc>
      </w:tr>
      <w:tr w:rsidR="0020636F" w14:paraId="00BB0174" w14:textId="77777777" w:rsidTr="00381224">
        <w:tc>
          <w:tcPr>
            <w:tcW w:w="3240" w:type="dxa"/>
          </w:tcPr>
          <w:p w14:paraId="544010D3" w14:textId="77777777" w:rsidR="0020636F" w:rsidRDefault="005F3685" w:rsidP="005F3685">
            <w:pPr>
              <w:pStyle w:val="TableTextNumbers"/>
            </w:pPr>
            <w:r>
              <w:t>User clicks on the checkbox next to the result to be accepted or rejected.</w:t>
            </w:r>
          </w:p>
          <w:p w14:paraId="38D25CA6" w14:textId="77777777" w:rsidR="005F3685" w:rsidRDefault="005F3685" w:rsidP="005F3685">
            <w:pPr>
              <w:pStyle w:val="TableTextNumbers"/>
              <w:numPr>
                <w:ilvl w:val="0"/>
                <w:numId w:val="0"/>
              </w:numPr>
              <w:ind w:left="288"/>
            </w:pPr>
          </w:p>
          <w:p w14:paraId="793918A7" w14:textId="77777777" w:rsidR="008E6859" w:rsidRDefault="005F3685" w:rsidP="00E01AD8">
            <w:pPr>
              <w:pStyle w:val="TableTextNumbers"/>
              <w:numPr>
                <w:ilvl w:val="0"/>
                <w:numId w:val="0"/>
              </w:numPr>
              <w:ind w:left="288"/>
            </w:pPr>
            <w:r>
              <w:t xml:space="preserve">Clicks on the comment balloon to enter </w:t>
            </w:r>
            <w:r w:rsidRPr="005F3685">
              <w:rPr>
                <w:b/>
              </w:rPr>
              <w:t>Review Comments</w:t>
            </w:r>
            <w:r>
              <w:t xml:space="preserve"> as needed.</w:t>
            </w:r>
          </w:p>
        </w:tc>
        <w:tc>
          <w:tcPr>
            <w:tcW w:w="6120" w:type="dxa"/>
          </w:tcPr>
          <w:p w14:paraId="1E73C265" w14:textId="77777777" w:rsidR="0020636F" w:rsidRDefault="00D279DE" w:rsidP="00381224">
            <w:pPr>
              <w:pStyle w:val="TableTextBullet"/>
            </w:pPr>
            <w:r>
              <w:t>P</w:t>
            </w:r>
            <w:r w:rsidR="005F3685">
              <w:t>resents appropriate warning messages to the user.</w:t>
            </w:r>
          </w:p>
          <w:p w14:paraId="59F55CC1" w14:textId="77777777" w:rsidR="008D134F" w:rsidRDefault="00EB70AF" w:rsidP="00381224">
            <w:pPr>
              <w:pStyle w:val="TableTextBullet"/>
            </w:pPr>
            <w:r w:rsidRPr="00EB70AF">
              <w:rPr>
                <w:vanish/>
              </w:rPr>
              <w:t xml:space="preserve">BR_115.13 </w:t>
            </w:r>
            <w:r w:rsidR="00D279DE">
              <w:t>A</w:t>
            </w:r>
            <w:r w:rsidR="008D134F">
              <w:t>llows</w:t>
            </w:r>
            <w:r w:rsidR="00D279DE">
              <w:t xml:space="preserve"> user </w:t>
            </w:r>
            <w:r w:rsidR="008D134F">
              <w:t>selection of multiple tests with a Valid indicator.</w:t>
            </w:r>
          </w:p>
          <w:p w14:paraId="34F43D91" w14:textId="77777777" w:rsidR="008D134F" w:rsidRDefault="00EB70AF" w:rsidP="00381224">
            <w:pPr>
              <w:pStyle w:val="TableTextBullet"/>
            </w:pPr>
            <w:r w:rsidRPr="00EB70AF">
              <w:rPr>
                <w:vanish/>
              </w:rPr>
              <w:t xml:space="preserve">BR_115.25 </w:t>
            </w:r>
            <w:r w:rsidR="00D279DE">
              <w:t>R</w:t>
            </w:r>
            <w:r w:rsidR="008D134F">
              <w:t xml:space="preserve">estricts the processing of tests with a Warning or Error indicator to </w:t>
            </w:r>
            <w:r>
              <w:t>one at a time.</w:t>
            </w:r>
          </w:p>
          <w:p w14:paraId="18EABB45" w14:textId="77777777" w:rsidR="005F3685" w:rsidRDefault="005F3685" w:rsidP="005F3685">
            <w:pPr>
              <w:pStyle w:val="TableText"/>
            </w:pPr>
          </w:p>
          <w:p w14:paraId="001F0682" w14:textId="64A44D04" w:rsidR="005F3685" w:rsidRDefault="005F3685" w:rsidP="005F3685">
            <w:pPr>
              <w:pStyle w:val="TableText"/>
              <w:rPr>
                <w:b/>
                <w:bCs/>
                <w:szCs w:val="18"/>
              </w:rPr>
            </w:pPr>
            <w:r>
              <w:rPr>
                <w:b/>
                <w:bCs/>
                <w:szCs w:val="18"/>
              </w:rPr>
              <w:t>NOTES</w:t>
            </w:r>
          </w:p>
          <w:p w14:paraId="414964CB" w14:textId="77777777" w:rsidR="005F3685" w:rsidRDefault="005F3685" w:rsidP="005F3685">
            <w:pPr>
              <w:pStyle w:val="NotesText"/>
            </w:pPr>
          </w:p>
          <w:p w14:paraId="37ACA919" w14:textId="77777777" w:rsidR="005F3685" w:rsidRDefault="005F3685" w:rsidP="005F3685">
            <w:pPr>
              <w:pStyle w:val="NotesText"/>
            </w:pPr>
            <w:r w:rsidRPr="005F3685">
              <w:rPr>
                <w:vanish/>
              </w:rPr>
              <w:t xml:space="preserve">BR_92.09 </w:t>
            </w:r>
            <w:r>
              <w:t>When the user selects an expired task for processing, the system will provide an audible alert and generate a warning message: “This order is expired. Do you want to continue processing it?” When the user responds “No”, the task is cleared and a new task can be entered. When the user responds “Yes”, he must enter a comment and the system will generate an exception report entry.</w:t>
            </w:r>
          </w:p>
          <w:p w14:paraId="75DFF4C7" w14:textId="77777777" w:rsidR="00C82313" w:rsidRDefault="00C82313" w:rsidP="005F3685">
            <w:pPr>
              <w:pStyle w:val="NotesText"/>
            </w:pPr>
          </w:p>
          <w:p w14:paraId="2BBE682F" w14:textId="77777777" w:rsidR="00501170" w:rsidRDefault="00C82313" w:rsidP="005F3685">
            <w:pPr>
              <w:pStyle w:val="NotesText"/>
              <w:rPr>
                <w:rFonts w:cs="Arial"/>
                <w:szCs w:val="18"/>
              </w:rPr>
            </w:pPr>
            <w:r w:rsidRPr="00C82313">
              <w:rPr>
                <w:rFonts w:cs="Arial"/>
                <w:vanish/>
                <w:szCs w:val="18"/>
              </w:rPr>
              <w:t xml:space="preserve">BR_115.18 </w:t>
            </w:r>
            <w:r w:rsidRPr="00E206E0">
              <w:rPr>
                <w:rFonts w:cs="Arial"/>
                <w:szCs w:val="18"/>
              </w:rPr>
              <w:t xml:space="preserve">When row validation for a patient ABO or Rh test results matches the </w:t>
            </w:r>
            <w:r>
              <w:rPr>
                <w:rFonts w:cs="Arial"/>
                <w:szCs w:val="18"/>
              </w:rPr>
              <w:t>instrument</w:t>
            </w:r>
            <w:r w:rsidRPr="00E206E0">
              <w:rPr>
                <w:rFonts w:cs="Arial"/>
                <w:szCs w:val="18"/>
              </w:rPr>
              <w:t xml:space="preserve"> interpretation and does not match the previous ABO</w:t>
            </w:r>
            <w:r w:rsidR="0001680D">
              <w:rPr>
                <w:rFonts w:cs="Arial"/>
                <w:szCs w:val="18"/>
              </w:rPr>
              <w:t xml:space="preserve"> or Rh interpretation on record, the system emits</w:t>
            </w:r>
          </w:p>
          <w:p w14:paraId="42AFB083" w14:textId="77777777" w:rsidR="00C82313" w:rsidRDefault="00C82313" w:rsidP="005F3685">
            <w:pPr>
              <w:pStyle w:val="NotesText"/>
              <w:rPr>
                <w:rFonts w:cs="Arial"/>
                <w:szCs w:val="18"/>
              </w:rPr>
            </w:pPr>
            <w:r w:rsidRPr="00E206E0">
              <w:rPr>
                <w:rFonts w:cs="Arial"/>
                <w:szCs w:val="18"/>
              </w:rPr>
              <w:t>an audible alert and displays a warning message that the current ABO/Rh does not match previous interpretations. The user is required to enter a comment (free text or canned from the “patient testing” context) to continue. The comment and the details of the transaction are captured for inclusion in an exception report</w:t>
            </w:r>
            <w:r>
              <w:rPr>
                <w:rFonts w:cs="Arial"/>
                <w:szCs w:val="18"/>
              </w:rPr>
              <w:t>.</w:t>
            </w:r>
          </w:p>
          <w:p w14:paraId="69135878" w14:textId="77777777" w:rsidR="00D14444" w:rsidRDefault="00D14444" w:rsidP="005F3685">
            <w:pPr>
              <w:pStyle w:val="NotesText"/>
              <w:rPr>
                <w:rFonts w:cs="Arial"/>
                <w:szCs w:val="18"/>
              </w:rPr>
            </w:pPr>
          </w:p>
          <w:p w14:paraId="2635ED5B" w14:textId="709CB1FF" w:rsidR="00D14444" w:rsidRDefault="00D14444" w:rsidP="005F3685">
            <w:pPr>
              <w:pStyle w:val="NotesText"/>
            </w:pPr>
            <w:r w:rsidRPr="00D14444">
              <w:rPr>
                <w:vanish/>
              </w:rPr>
              <w:lastRenderedPageBreak/>
              <w:t xml:space="preserve">BR_115.27 </w:t>
            </w:r>
            <w:r>
              <w:t>The</w:t>
            </w:r>
            <w:r w:rsidRPr="000E14BF">
              <w:t xml:space="preserve"> system check</w:t>
            </w:r>
            <w:r>
              <w:t>s</w:t>
            </w:r>
            <w:r w:rsidRPr="000E14BF">
              <w:t xml:space="preserve"> if a repeat ABO/Rh was performed on the patient specimen. When performed, the repeat ABO/Rh interpretation must match the original ABO/Rh interpretation. If they do not match, the system will provide an audible warning and display a warning message: “Original a</w:t>
            </w:r>
            <w:r>
              <w:t xml:space="preserve">nd repeat ABO/Rh interpretation </w:t>
            </w:r>
            <w:r w:rsidRPr="000E14BF">
              <w:t>do</w:t>
            </w:r>
            <w:r>
              <w:t>es</w:t>
            </w:r>
            <w:r w:rsidRPr="000E14BF">
              <w:t xml:space="preserve"> not match. You must resolve the discrepancy before this specimen may be used.” Continue to save?” A “No” response clears the ABO/Rh testing results and interpretation from the screen. A “Yes” response requires a comment (free text or canned from the “patient testing” context) and the details of the transaction are captured for inclusion in an exception report</w:t>
            </w:r>
            <w:r>
              <w:t>.</w:t>
            </w:r>
          </w:p>
          <w:p w14:paraId="46657740" w14:textId="3D9CB694" w:rsidR="00065638" w:rsidRDefault="00065638" w:rsidP="005F3685">
            <w:pPr>
              <w:pStyle w:val="NotesText"/>
            </w:pPr>
          </w:p>
          <w:p w14:paraId="40152DEC" w14:textId="45EB73DB" w:rsidR="00065638" w:rsidRDefault="00065638" w:rsidP="005F3685">
            <w:pPr>
              <w:pStyle w:val="NotesText"/>
            </w:pPr>
            <w:r w:rsidRPr="00065638">
              <w:rPr>
                <w:vanish/>
              </w:rPr>
              <w:t xml:space="preserve">BR_53.08 </w:t>
            </w:r>
            <w:r>
              <w:t>If the antibody screen is positive, the system emits an audible alert and warning that displays that the Patient has a POSITIVE Antibody Screen Result. Perform Antibody Identification on this patient prior to issue of blood components.</w:t>
            </w:r>
          </w:p>
          <w:p w14:paraId="7DDF75E6" w14:textId="77777777" w:rsidR="005F3685" w:rsidRDefault="005F3685" w:rsidP="005F3685">
            <w:pPr>
              <w:pStyle w:val="TableTextBullet"/>
              <w:numPr>
                <w:ilvl w:val="0"/>
                <w:numId w:val="0"/>
              </w:numPr>
              <w:ind w:left="288" w:hanging="288"/>
            </w:pPr>
          </w:p>
        </w:tc>
      </w:tr>
      <w:tr w:rsidR="00BE554D" w14:paraId="445F3DBA" w14:textId="77777777" w:rsidTr="00381224">
        <w:tc>
          <w:tcPr>
            <w:tcW w:w="3240" w:type="dxa"/>
          </w:tcPr>
          <w:p w14:paraId="21336D39" w14:textId="77777777" w:rsidR="00A80240" w:rsidRDefault="00BE554D" w:rsidP="00A80240">
            <w:pPr>
              <w:pStyle w:val="TableTextNumbers"/>
            </w:pPr>
            <w:r>
              <w:lastRenderedPageBreak/>
              <w:t xml:space="preserve">User </w:t>
            </w:r>
            <w:r w:rsidR="00B571AC" w:rsidRPr="00B571AC">
              <w:rPr>
                <w:b/>
              </w:rPr>
              <w:t>Accepts</w:t>
            </w:r>
            <w:r w:rsidR="00B571AC">
              <w:t xml:space="preserve"> or </w:t>
            </w:r>
            <w:r w:rsidR="00B571AC" w:rsidRPr="00B571AC">
              <w:rPr>
                <w:b/>
              </w:rPr>
              <w:t>Rejects</w:t>
            </w:r>
            <w:r w:rsidR="00B571AC">
              <w:t xml:space="preserve"> the selected patient test results.</w:t>
            </w:r>
          </w:p>
        </w:tc>
        <w:tc>
          <w:tcPr>
            <w:tcW w:w="6120" w:type="dxa"/>
          </w:tcPr>
          <w:p w14:paraId="4CF1F262" w14:textId="77777777" w:rsidR="00D279DE" w:rsidRDefault="00D279DE" w:rsidP="00381224">
            <w:pPr>
              <w:pStyle w:val="TableTextBullet"/>
            </w:pPr>
            <w:r>
              <w:t>Verifies the results for save.</w:t>
            </w:r>
          </w:p>
          <w:p w14:paraId="78EC744D" w14:textId="77777777" w:rsidR="00BE554D" w:rsidRDefault="00CA1AFE" w:rsidP="00381224">
            <w:pPr>
              <w:pStyle w:val="TableTextBullet"/>
            </w:pPr>
            <w:r>
              <w:t>Gathers comments from user for rejected results prior to saving.</w:t>
            </w:r>
          </w:p>
          <w:p w14:paraId="22369646" w14:textId="77777777" w:rsidR="00BE554D" w:rsidRDefault="00BE554D" w:rsidP="00381224">
            <w:pPr>
              <w:pStyle w:val="TableTextBullet"/>
              <w:numPr>
                <w:ilvl w:val="0"/>
                <w:numId w:val="0"/>
              </w:numPr>
              <w:ind w:left="288" w:hanging="288"/>
            </w:pPr>
          </w:p>
          <w:p w14:paraId="232FCF47" w14:textId="0E2B86E5" w:rsidR="00BE554D" w:rsidRDefault="00BE554D" w:rsidP="00381224">
            <w:pPr>
              <w:pStyle w:val="TableText"/>
              <w:rPr>
                <w:b/>
                <w:bCs/>
                <w:szCs w:val="18"/>
              </w:rPr>
            </w:pPr>
            <w:r>
              <w:rPr>
                <w:b/>
                <w:bCs/>
                <w:szCs w:val="18"/>
              </w:rPr>
              <w:t>NOTES</w:t>
            </w:r>
          </w:p>
          <w:p w14:paraId="7C2F9415" w14:textId="77777777" w:rsidR="00BE554D" w:rsidRDefault="00BE554D" w:rsidP="00381224">
            <w:pPr>
              <w:pStyle w:val="NotesText"/>
            </w:pPr>
          </w:p>
          <w:p w14:paraId="4850D9CC" w14:textId="77777777" w:rsidR="00B571AC" w:rsidRPr="00136C64" w:rsidRDefault="00B571AC" w:rsidP="00B571AC">
            <w:pPr>
              <w:pStyle w:val="NotesText"/>
              <w:rPr>
                <w:rFonts w:cs="Arial"/>
              </w:rPr>
            </w:pPr>
            <w:r w:rsidRPr="00F47ABD">
              <w:rPr>
                <w:rFonts w:cs="Arial"/>
                <w:vanish/>
              </w:rPr>
              <w:t xml:space="preserve">BR_115.07 </w:t>
            </w:r>
            <w:r>
              <w:rPr>
                <w:rFonts w:cs="Arial"/>
              </w:rPr>
              <w:t>When</w:t>
            </w:r>
            <w:r w:rsidRPr="00136C64">
              <w:rPr>
                <w:rFonts w:cs="Arial"/>
              </w:rPr>
              <w:t xml:space="preserve"> the test is accepted, the system will save the following:</w:t>
            </w:r>
          </w:p>
          <w:p w14:paraId="60C03DCD" w14:textId="77777777" w:rsidR="00B571AC" w:rsidRPr="00A51E88" w:rsidRDefault="00B571AC" w:rsidP="000409B1">
            <w:pPr>
              <w:pStyle w:val="TableText"/>
              <w:numPr>
                <w:ilvl w:val="0"/>
                <w:numId w:val="49"/>
              </w:numPr>
            </w:pPr>
            <w:r>
              <w:t>R</w:t>
            </w:r>
            <w:r w:rsidRPr="00A51E88">
              <w:t>eviewing Tech ID (Name)</w:t>
            </w:r>
          </w:p>
          <w:p w14:paraId="4A0FC161" w14:textId="77777777" w:rsidR="00B571AC" w:rsidRPr="00A51E88" w:rsidRDefault="00B571AC" w:rsidP="000409B1">
            <w:pPr>
              <w:pStyle w:val="TableText"/>
              <w:numPr>
                <w:ilvl w:val="0"/>
                <w:numId w:val="49"/>
              </w:numPr>
            </w:pPr>
            <w:r w:rsidRPr="00A51E88">
              <w:t>Testing Tech ID (Name)</w:t>
            </w:r>
          </w:p>
          <w:p w14:paraId="597A9342" w14:textId="77777777" w:rsidR="00B571AC" w:rsidRPr="00A51E88" w:rsidRDefault="00B571AC" w:rsidP="000409B1">
            <w:pPr>
              <w:pStyle w:val="TableText"/>
              <w:numPr>
                <w:ilvl w:val="0"/>
                <w:numId w:val="49"/>
              </w:numPr>
            </w:pPr>
            <w:r w:rsidRPr="00A51E88">
              <w:t xml:space="preserve">Interfaced instrument id (Name) as transmitted from instrument, </w:t>
            </w:r>
          </w:p>
          <w:p w14:paraId="4E702FD4" w14:textId="77777777" w:rsidR="00B571AC" w:rsidRDefault="00B571AC" w:rsidP="000409B1">
            <w:pPr>
              <w:pStyle w:val="TableText"/>
              <w:numPr>
                <w:ilvl w:val="0"/>
                <w:numId w:val="49"/>
              </w:numPr>
            </w:pPr>
            <w:r>
              <w:t>D</w:t>
            </w:r>
            <w:r w:rsidRPr="00A51E88">
              <w:t>ate and time te</w:t>
            </w:r>
            <w:r>
              <w:t>sted</w:t>
            </w:r>
          </w:p>
          <w:p w14:paraId="40E7C496" w14:textId="77777777" w:rsidR="00B571AC" w:rsidRDefault="00B571AC" w:rsidP="000409B1">
            <w:pPr>
              <w:pStyle w:val="TableText"/>
              <w:numPr>
                <w:ilvl w:val="0"/>
                <w:numId w:val="49"/>
              </w:numPr>
            </w:pPr>
            <w:r>
              <w:t xml:space="preserve">Date and time reviewed </w:t>
            </w:r>
          </w:p>
          <w:p w14:paraId="166D8FE7" w14:textId="77777777" w:rsidR="00B571AC" w:rsidRPr="00F0612B" w:rsidRDefault="00B571AC" w:rsidP="000409B1">
            <w:pPr>
              <w:pStyle w:val="TableText"/>
              <w:numPr>
                <w:ilvl w:val="0"/>
                <w:numId w:val="49"/>
              </w:numPr>
            </w:pPr>
            <w:r>
              <w:t>Test information: test results, test interpretations, and test comments.</w:t>
            </w:r>
          </w:p>
          <w:p w14:paraId="0436497E" w14:textId="77777777" w:rsidR="00B571AC" w:rsidRDefault="00B571AC" w:rsidP="00381224">
            <w:pPr>
              <w:pStyle w:val="NotesText"/>
              <w:rPr>
                <w:rFonts w:cs="Arial"/>
                <w:vanish/>
              </w:rPr>
            </w:pPr>
          </w:p>
          <w:p w14:paraId="31AE1F92" w14:textId="77777777" w:rsidR="00BE554D" w:rsidRDefault="00BE554D" w:rsidP="00381224">
            <w:pPr>
              <w:pStyle w:val="NotesText"/>
            </w:pPr>
            <w:r w:rsidRPr="00F47ABD">
              <w:rPr>
                <w:rFonts w:cs="Arial"/>
                <w:vanish/>
              </w:rPr>
              <w:t xml:space="preserve">BR_115.05 </w:t>
            </w:r>
            <w:r>
              <w:rPr>
                <w:rFonts w:cs="Arial"/>
              </w:rPr>
              <w:t>When the</w:t>
            </w:r>
            <w:r>
              <w:t xml:space="preserve"> test is rejected, the system will:</w:t>
            </w:r>
          </w:p>
          <w:p w14:paraId="7FFDF1BC" w14:textId="77777777" w:rsidR="00BE554D" w:rsidRDefault="00BE554D" w:rsidP="000409B1">
            <w:pPr>
              <w:pStyle w:val="TableText"/>
              <w:numPr>
                <w:ilvl w:val="0"/>
                <w:numId w:val="49"/>
              </w:numPr>
            </w:pPr>
            <w:r>
              <w:t>Prompt user to confirm they want to reject.</w:t>
            </w:r>
          </w:p>
          <w:p w14:paraId="4C2FC75C" w14:textId="77777777" w:rsidR="00BE554D" w:rsidRDefault="00BE554D" w:rsidP="000409B1">
            <w:pPr>
              <w:pStyle w:val="TableText"/>
              <w:numPr>
                <w:ilvl w:val="0"/>
                <w:numId w:val="49"/>
              </w:numPr>
            </w:pPr>
            <w:r>
              <w:t>Remove the test from the list for acceptance.</w:t>
            </w:r>
          </w:p>
          <w:p w14:paraId="5FFFFD3F" w14:textId="77777777" w:rsidR="00BE554D" w:rsidRDefault="00BE554D" w:rsidP="000409B1">
            <w:pPr>
              <w:pStyle w:val="TableText"/>
              <w:numPr>
                <w:ilvl w:val="0"/>
                <w:numId w:val="49"/>
              </w:numPr>
            </w:pPr>
            <w:r>
              <w:t>No rejection message is sent to the instrument.</w:t>
            </w:r>
          </w:p>
          <w:p w14:paraId="7AA33825" w14:textId="77777777" w:rsidR="00BE554D" w:rsidRDefault="00BE554D" w:rsidP="000409B1">
            <w:pPr>
              <w:pStyle w:val="TableText"/>
              <w:numPr>
                <w:ilvl w:val="0"/>
                <w:numId w:val="49"/>
              </w:numPr>
            </w:pPr>
            <w:r>
              <w:t>The Diagnostic test returns to the previous status and is ready for testing.</w:t>
            </w:r>
          </w:p>
          <w:p w14:paraId="62ADD09C" w14:textId="77777777" w:rsidR="00BE554D" w:rsidRDefault="00BE554D" w:rsidP="00381224">
            <w:pPr>
              <w:pStyle w:val="NotesText"/>
            </w:pPr>
          </w:p>
          <w:p w14:paraId="4128E38A" w14:textId="77777777" w:rsidR="00BE554D" w:rsidRPr="00016C78" w:rsidRDefault="00BE554D" w:rsidP="00381224">
            <w:pPr>
              <w:pStyle w:val="NotesText"/>
            </w:pPr>
            <w:r w:rsidRPr="00016C78">
              <w:rPr>
                <w:vanish/>
              </w:rPr>
              <w:t xml:space="preserve">BR_115.31 </w:t>
            </w:r>
            <w:r w:rsidRPr="00016C78">
              <w:t>Changes test Task status Completed for all tests except for Type and Screen which must have ABO/Rh and ABS saved before the TAS goes to a task status of Completed.</w:t>
            </w:r>
          </w:p>
          <w:p w14:paraId="58ADEA11" w14:textId="77777777" w:rsidR="00BE554D" w:rsidRPr="00016C78" w:rsidRDefault="00BE554D" w:rsidP="00381224">
            <w:pPr>
              <w:pStyle w:val="NotesText"/>
            </w:pPr>
          </w:p>
          <w:p w14:paraId="22F96C36" w14:textId="77777777" w:rsidR="00BE554D" w:rsidRDefault="00BE554D" w:rsidP="00B571AC">
            <w:pPr>
              <w:pStyle w:val="NotesText"/>
            </w:pPr>
            <w:r w:rsidRPr="00016C78">
              <w:rPr>
                <w:vanish/>
              </w:rPr>
              <w:t xml:space="preserve">BR_115.31 </w:t>
            </w:r>
            <w:r w:rsidRPr="00016C78">
              <w:t>If the user saves only the ABO/Rh and rejects ABS or only saves the ABS and rejects the ABO-Rh, the TAS goes to a task status of Partially Completed and is then selectable from the Pending Task List.</w:t>
            </w:r>
          </w:p>
          <w:p w14:paraId="55B92BE2" w14:textId="77777777" w:rsidR="00B571AC" w:rsidRDefault="00B571AC" w:rsidP="00B571AC">
            <w:pPr>
              <w:pStyle w:val="NotesText"/>
            </w:pPr>
          </w:p>
          <w:p w14:paraId="3BD555E4" w14:textId="77777777" w:rsidR="00B571AC" w:rsidRDefault="00B571AC" w:rsidP="00B571AC">
            <w:pPr>
              <w:pStyle w:val="NotesText"/>
            </w:pPr>
            <w:r w:rsidRPr="00B571AC">
              <w:rPr>
                <w:vanish/>
              </w:rPr>
              <w:t xml:space="preserve">BR_56.05 </w:t>
            </w:r>
            <w:r>
              <w:t>The system will update the order status when a valid interpretation is entered and saved for a test, the status of the ordered test is updated to “completed,” and an order status update message is sent to CPRS.</w:t>
            </w:r>
          </w:p>
          <w:p w14:paraId="024CEF0A" w14:textId="77777777" w:rsidR="00DE3FDB" w:rsidRDefault="00DE3FDB" w:rsidP="00B571AC">
            <w:pPr>
              <w:pStyle w:val="NotesText"/>
            </w:pPr>
          </w:p>
          <w:p w14:paraId="5C7AF2A0" w14:textId="77777777" w:rsidR="00DE3FDB" w:rsidRDefault="00DE3FDB" w:rsidP="00B571AC">
            <w:pPr>
              <w:pStyle w:val="NotesText"/>
            </w:pPr>
            <w:r w:rsidRPr="00DE3FDB">
              <w:rPr>
                <w:vanish/>
              </w:rPr>
              <w:t xml:space="preserve">BR_56.29 </w:t>
            </w:r>
            <w:r>
              <w:t xml:space="preserve">When a unit was issued and a conflicting test result found that indicates a potential unit incompatibility with the patient, such as a patient ABO/Rh discrepancy, the unit crossmatch is </w:t>
            </w:r>
            <w:r>
              <w:lastRenderedPageBreak/>
              <w:t>incompatible with the patient, the patient antibody screen test is positive, the patient DAT is positive, or the unit is antigen positive where antigen negative is required on the tested specimen, VBECS displays a warning message</w:t>
            </w:r>
            <w:r w:rsidRPr="007C05B4">
              <w:t xml:space="preserve"> such as: Unit has been emergency issued. Notify the physician of this potential problem IMMEDIATELY, per hospital policy! </w:t>
            </w:r>
            <w:r>
              <w:t>The warning message displays during the execution of the various tests related to the compatibility of a blood unit. An exception report entry is generated at the save.</w:t>
            </w:r>
          </w:p>
          <w:p w14:paraId="73BAD378" w14:textId="77777777" w:rsidR="00DE3FDB" w:rsidRDefault="002275D4" w:rsidP="00B571AC">
            <w:pPr>
              <w:pStyle w:val="NotesText"/>
            </w:pPr>
            <w:r>
              <w:t xml:space="preserve"> </w:t>
            </w:r>
          </w:p>
          <w:p w14:paraId="614F9049" w14:textId="77777777" w:rsidR="00DE3FDB" w:rsidRDefault="002275D4" w:rsidP="0071317D">
            <w:pPr>
              <w:pStyle w:val="NotesText"/>
            </w:pPr>
            <w:r w:rsidRPr="002275D4">
              <w:rPr>
                <w:vanish/>
              </w:rPr>
              <w:t xml:space="preserve">BR_54.07 </w:t>
            </w:r>
            <w:r>
              <w:t xml:space="preserve">A </w:t>
            </w:r>
            <w:r>
              <w:rPr>
                <w:vanish/>
              </w:rPr>
              <w:t>BRBR</w:t>
            </w:r>
            <w:r w:rsidR="00DE3FDB">
              <w:t xml:space="preserve">comment </w:t>
            </w:r>
            <w:r w:rsidR="0071317D">
              <w:t xml:space="preserve">appears on CPRS reports for patients with a </w:t>
            </w:r>
            <w:r w:rsidR="00DE3FDB">
              <w:t xml:space="preserve">positive </w:t>
            </w:r>
            <w:r w:rsidR="0071317D">
              <w:t xml:space="preserve">Antibody Screen or </w:t>
            </w:r>
            <w:r w:rsidR="00DE3FDB">
              <w:t xml:space="preserve">Direct Antiglobulin Test: </w:t>
            </w:r>
            <w:r w:rsidR="00DE3FDB" w:rsidRPr="0093080E">
              <w:t>Preparation of red cell components for transfusion may be delayed due to serologic problems. Contact transfusion service for information on potential clinical significance and availability of blood components</w:t>
            </w:r>
            <w:r>
              <w:t>.</w:t>
            </w:r>
          </w:p>
        </w:tc>
      </w:tr>
      <w:tr w:rsidR="00A80240" w14:paraId="07A0EDFA" w14:textId="77777777" w:rsidTr="00381224">
        <w:tc>
          <w:tcPr>
            <w:tcW w:w="3240" w:type="dxa"/>
          </w:tcPr>
          <w:p w14:paraId="14CFD00E" w14:textId="77777777" w:rsidR="00A80240" w:rsidRPr="00396B2B" w:rsidRDefault="00A80240" w:rsidP="008E6859">
            <w:pPr>
              <w:pStyle w:val="TableTextNumbers"/>
            </w:pPr>
            <w:r>
              <w:lastRenderedPageBreak/>
              <w:t xml:space="preserve">User clicks </w:t>
            </w:r>
            <w:r w:rsidRPr="00A80240">
              <w:rPr>
                <w:b/>
              </w:rPr>
              <w:t>Yes</w:t>
            </w:r>
            <w:r>
              <w:t xml:space="preserve"> to confirm the acceptance or rejection of the selected test(s).</w:t>
            </w:r>
          </w:p>
        </w:tc>
        <w:tc>
          <w:tcPr>
            <w:tcW w:w="6120" w:type="dxa"/>
          </w:tcPr>
          <w:p w14:paraId="036D6781" w14:textId="49804CDF" w:rsidR="00A80240" w:rsidRDefault="00A80240" w:rsidP="00A80240">
            <w:pPr>
              <w:pStyle w:val="TableTextBullet"/>
            </w:pPr>
            <w:r>
              <w:t>Closes the Automated Testing – Pending Specimen Tests window and displays the desktop when there a</w:t>
            </w:r>
            <w:r w:rsidR="0017153D">
              <w:t>re</w:t>
            </w:r>
            <w:r>
              <w:t xml:space="preserve"> no more pending tests to review.</w:t>
            </w:r>
          </w:p>
          <w:p w14:paraId="17287F1B" w14:textId="77777777" w:rsidR="00A80240" w:rsidRDefault="00A80240" w:rsidP="00A80240">
            <w:pPr>
              <w:pStyle w:val="TableTextBullet"/>
            </w:pPr>
            <w:r>
              <w:t>Closes the Automated Testing – Pending Specimen Tests window and displays the Automated Testing – Pending Patient Orders window when there are pending tests to review.</w:t>
            </w:r>
          </w:p>
        </w:tc>
      </w:tr>
      <w:tr w:rsidR="008E6859" w14:paraId="0028F079" w14:textId="77777777" w:rsidTr="00381224">
        <w:tc>
          <w:tcPr>
            <w:tcW w:w="3240" w:type="dxa"/>
          </w:tcPr>
          <w:p w14:paraId="43D64804" w14:textId="77777777" w:rsidR="00B16194" w:rsidRPr="00B16194" w:rsidRDefault="00B16194" w:rsidP="00B16194">
            <w:pPr>
              <w:pStyle w:val="TableTextNumbers"/>
              <w:numPr>
                <w:ilvl w:val="0"/>
                <w:numId w:val="0"/>
              </w:numPr>
              <w:ind w:left="288"/>
              <w:rPr>
                <w:b/>
                <w:i/>
              </w:rPr>
            </w:pPr>
            <w:r w:rsidRPr="00B16194">
              <w:rPr>
                <w:b/>
                <w:i/>
              </w:rPr>
              <w:t>CROSSMATCH</w:t>
            </w:r>
          </w:p>
          <w:p w14:paraId="0E95A423" w14:textId="77777777" w:rsidR="008E6859" w:rsidRDefault="0062092C" w:rsidP="008E6859">
            <w:pPr>
              <w:pStyle w:val="TableTextNumbers"/>
            </w:pPr>
            <w:r w:rsidRPr="00396B2B">
              <w:t>User selec</w:t>
            </w:r>
            <w:r>
              <w:t xml:space="preserve">ts </w:t>
            </w:r>
            <w:r w:rsidRPr="0062092C">
              <w:rPr>
                <w:b/>
              </w:rPr>
              <w:t>XMatch</w:t>
            </w:r>
            <w:r>
              <w:t xml:space="preserve"> from the testing tabs that are enabled on the Automated Testing – Pending Specimen Tests window</w:t>
            </w:r>
            <w:r w:rsidR="008F406C">
              <w:t>.</w:t>
            </w:r>
          </w:p>
        </w:tc>
        <w:tc>
          <w:tcPr>
            <w:tcW w:w="6120" w:type="dxa"/>
          </w:tcPr>
          <w:p w14:paraId="1DC68EA9" w14:textId="77777777" w:rsidR="00274D41" w:rsidRDefault="004A39DB" w:rsidP="00274D41">
            <w:pPr>
              <w:pStyle w:val="TableTextBullet"/>
            </w:pPr>
            <w:r>
              <w:t>D</w:t>
            </w:r>
            <w:r w:rsidR="00274D41">
              <w:t>etermines that all appropriate test results were entered for the patient.</w:t>
            </w:r>
          </w:p>
          <w:p w14:paraId="655BA8DB" w14:textId="77777777" w:rsidR="00274D41" w:rsidRDefault="004A39DB" w:rsidP="00274D41">
            <w:pPr>
              <w:pStyle w:val="TableTextBullet"/>
            </w:pPr>
            <w:r>
              <w:t>V</w:t>
            </w:r>
            <w:r w:rsidR="00274D41">
              <w:t>alidates test results and displays Warning or Error indicator when results do not match expected pattern.</w:t>
            </w:r>
          </w:p>
          <w:p w14:paraId="0869D3FF" w14:textId="77777777" w:rsidR="00274D41" w:rsidRDefault="00274D41" w:rsidP="00274D41">
            <w:pPr>
              <w:pStyle w:val="TableTextBullet"/>
            </w:pPr>
            <w:r>
              <w:t>Displays comments from the Automated Instrument.</w:t>
            </w:r>
          </w:p>
          <w:p w14:paraId="5EF68978" w14:textId="77777777" w:rsidR="0062092C" w:rsidRDefault="0062092C" w:rsidP="0062092C">
            <w:pPr>
              <w:pStyle w:val="TableText"/>
            </w:pPr>
          </w:p>
          <w:p w14:paraId="3304A466" w14:textId="36E2BD02" w:rsidR="0062092C" w:rsidRDefault="0062092C" w:rsidP="0062092C">
            <w:pPr>
              <w:pStyle w:val="TableText"/>
              <w:rPr>
                <w:b/>
                <w:bCs/>
                <w:szCs w:val="18"/>
              </w:rPr>
            </w:pPr>
            <w:r>
              <w:rPr>
                <w:b/>
                <w:bCs/>
                <w:szCs w:val="18"/>
              </w:rPr>
              <w:t>NOTES</w:t>
            </w:r>
          </w:p>
          <w:p w14:paraId="5423B4CB" w14:textId="77777777" w:rsidR="0062092C" w:rsidRDefault="0062092C" w:rsidP="0062092C">
            <w:pPr>
              <w:pStyle w:val="NotesText"/>
            </w:pPr>
          </w:p>
          <w:p w14:paraId="78DBC47B" w14:textId="77777777" w:rsidR="00274D41" w:rsidRPr="00F414D6" w:rsidRDefault="0062092C" w:rsidP="00F414D6">
            <w:pPr>
              <w:pStyle w:val="TableText"/>
              <w:ind w:left="720"/>
              <w:rPr>
                <w:rFonts w:cs="Arial"/>
                <w:szCs w:val="18"/>
              </w:rPr>
            </w:pPr>
            <w:r w:rsidRPr="0062092C">
              <w:rPr>
                <w:rFonts w:cs="Arial"/>
                <w:vanish/>
                <w:szCs w:val="18"/>
              </w:rPr>
              <w:t xml:space="preserve">BR_115.19 </w:t>
            </w:r>
            <w:r>
              <w:rPr>
                <w:rFonts w:cs="Arial"/>
                <w:szCs w:val="18"/>
              </w:rPr>
              <w:t>Units for</w:t>
            </w:r>
            <w:r w:rsidR="00274D41">
              <w:rPr>
                <w:rFonts w:cs="Arial"/>
                <w:szCs w:val="18"/>
              </w:rPr>
              <w:t xml:space="preserve"> crossmatch must be selected for the patient</w:t>
            </w:r>
            <w:r>
              <w:rPr>
                <w:rFonts w:cs="Arial"/>
                <w:szCs w:val="18"/>
              </w:rPr>
              <w:t xml:space="preserve"> prior to results transmission from the Automated Instrument for the results to appear </w:t>
            </w:r>
            <w:r w:rsidR="00274D41">
              <w:rPr>
                <w:rFonts w:cs="Arial"/>
                <w:szCs w:val="18"/>
              </w:rPr>
              <w:t>in</w:t>
            </w:r>
            <w:r>
              <w:rPr>
                <w:rFonts w:cs="Arial"/>
                <w:szCs w:val="18"/>
              </w:rPr>
              <w:t xml:space="preserve"> the </w:t>
            </w:r>
            <w:r w:rsidR="00274D41">
              <w:rPr>
                <w:rFonts w:cs="Arial"/>
                <w:szCs w:val="18"/>
              </w:rPr>
              <w:t xml:space="preserve">Automated Testing – Pending </w:t>
            </w:r>
            <w:r w:rsidR="002A4CB4">
              <w:rPr>
                <w:rFonts w:cs="Arial"/>
                <w:szCs w:val="18"/>
              </w:rPr>
              <w:t>Specimen</w:t>
            </w:r>
            <w:r w:rsidR="00274D41">
              <w:rPr>
                <w:rFonts w:cs="Arial"/>
                <w:szCs w:val="18"/>
              </w:rPr>
              <w:t xml:space="preserve"> Tests window on the XMatch tab</w:t>
            </w:r>
            <w:r>
              <w:rPr>
                <w:rFonts w:cs="Arial"/>
                <w:szCs w:val="18"/>
              </w:rPr>
              <w:t xml:space="preserve"> for review.</w:t>
            </w:r>
          </w:p>
          <w:p w14:paraId="220DA2BD" w14:textId="77777777" w:rsidR="00274D41" w:rsidRPr="00004A4C" w:rsidRDefault="00274D41" w:rsidP="00274D41">
            <w:pPr>
              <w:pStyle w:val="TableText"/>
              <w:ind w:left="720"/>
              <w:rPr>
                <w:noProof/>
                <w:color w:val="000000"/>
              </w:rPr>
            </w:pPr>
          </w:p>
        </w:tc>
      </w:tr>
      <w:tr w:rsidR="00274D41" w14:paraId="19B95070" w14:textId="77777777" w:rsidTr="00381224">
        <w:tc>
          <w:tcPr>
            <w:tcW w:w="3240" w:type="dxa"/>
          </w:tcPr>
          <w:p w14:paraId="3D9E1432" w14:textId="77777777" w:rsidR="00274D41" w:rsidRDefault="00274D41" w:rsidP="00274D41">
            <w:pPr>
              <w:pStyle w:val="TableTextNumbers"/>
            </w:pPr>
            <w:r>
              <w:t>User clicks on the checkbox next to the Unit crossmatch result to be accepted or rejected.</w:t>
            </w:r>
          </w:p>
          <w:p w14:paraId="74798B84" w14:textId="77777777" w:rsidR="00274D41" w:rsidRDefault="00274D41" w:rsidP="00274D41">
            <w:pPr>
              <w:pStyle w:val="TableTextNumbers"/>
              <w:numPr>
                <w:ilvl w:val="0"/>
                <w:numId w:val="0"/>
              </w:numPr>
              <w:ind w:left="288"/>
            </w:pPr>
          </w:p>
          <w:p w14:paraId="75EA4EDF" w14:textId="77777777" w:rsidR="00274D41" w:rsidRDefault="00274D41" w:rsidP="00274D41">
            <w:pPr>
              <w:pStyle w:val="TableTextNumbers"/>
              <w:numPr>
                <w:ilvl w:val="0"/>
                <w:numId w:val="0"/>
              </w:numPr>
              <w:ind w:left="288"/>
            </w:pPr>
            <w:r>
              <w:t xml:space="preserve">Clicks on the comment balloon to enter </w:t>
            </w:r>
            <w:r w:rsidRPr="005F3685">
              <w:rPr>
                <w:b/>
              </w:rPr>
              <w:t>Review Comments</w:t>
            </w:r>
            <w:r>
              <w:t xml:space="preserve"> as needed.</w:t>
            </w:r>
          </w:p>
        </w:tc>
        <w:tc>
          <w:tcPr>
            <w:tcW w:w="6120" w:type="dxa"/>
          </w:tcPr>
          <w:p w14:paraId="38E0AE08" w14:textId="77777777" w:rsidR="00274D41" w:rsidRDefault="004A39DB" w:rsidP="00682345">
            <w:pPr>
              <w:pStyle w:val="TableTextBullet"/>
            </w:pPr>
            <w:r>
              <w:t>P</w:t>
            </w:r>
            <w:r w:rsidR="00274D41">
              <w:t>resents appropriate warning messages to the user.</w:t>
            </w:r>
          </w:p>
          <w:p w14:paraId="1E814DD6" w14:textId="77777777" w:rsidR="00274D41" w:rsidRPr="00274D41" w:rsidRDefault="00274D41" w:rsidP="00682345">
            <w:pPr>
              <w:pStyle w:val="TableTextBullet"/>
            </w:pPr>
            <w:r w:rsidRPr="00274D41">
              <w:rPr>
                <w:vanish/>
              </w:rPr>
              <w:t xml:space="preserve">BR_115.33 </w:t>
            </w:r>
            <w:r w:rsidR="004A39DB">
              <w:t>R</w:t>
            </w:r>
            <w:r>
              <w:t>equires the user to select the product code for the unit crossmatched when there are more than one unit selected for the patient with the same unit ID.</w:t>
            </w:r>
          </w:p>
          <w:p w14:paraId="6193D7EB" w14:textId="77777777" w:rsidR="00274D41" w:rsidRDefault="00274D41" w:rsidP="00682345">
            <w:pPr>
              <w:pStyle w:val="TableTextBullet"/>
            </w:pPr>
            <w:r w:rsidRPr="00EB70AF">
              <w:rPr>
                <w:vanish/>
              </w:rPr>
              <w:t xml:space="preserve">BR_115.13 </w:t>
            </w:r>
            <w:r w:rsidR="004A39DB">
              <w:t>A</w:t>
            </w:r>
            <w:r>
              <w:t>llows selection of multiple tests with a Valid indicator.</w:t>
            </w:r>
          </w:p>
          <w:p w14:paraId="7FCF2FA7" w14:textId="77777777" w:rsidR="00274D41" w:rsidRDefault="00274D41" w:rsidP="00682345">
            <w:pPr>
              <w:pStyle w:val="TableTextBullet"/>
            </w:pPr>
            <w:r w:rsidRPr="00EB70AF">
              <w:rPr>
                <w:vanish/>
              </w:rPr>
              <w:t xml:space="preserve">BR_115.25 </w:t>
            </w:r>
            <w:r w:rsidR="004A39DB">
              <w:t>R</w:t>
            </w:r>
            <w:r>
              <w:t>estricts the processing of tests with a Warning or Error indicator to one at a time.</w:t>
            </w:r>
          </w:p>
          <w:p w14:paraId="4A641F57" w14:textId="77777777" w:rsidR="00274D41" w:rsidRDefault="00274D41" w:rsidP="00682345">
            <w:pPr>
              <w:pStyle w:val="TableText"/>
            </w:pPr>
          </w:p>
          <w:p w14:paraId="7E13283D" w14:textId="3379C9F2" w:rsidR="00274D41" w:rsidRDefault="00274D41" w:rsidP="00682345">
            <w:pPr>
              <w:pStyle w:val="TableText"/>
              <w:rPr>
                <w:b/>
                <w:bCs/>
                <w:szCs w:val="18"/>
              </w:rPr>
            </w:pPr>
            <w:r>
              <w:rPr>
                <w:b/>
                <w:bCs/>
                <w:szCs w:val="18"/>
              </w:rPr>
              <w:t>NOTES</w:t>
            </w:r>
          </w:p>
          <w:p w14:paraId="3FFBB1FC" w14:textId="77777777" w:rsidR="00274D41" w:rsidRDefault="00274D41" w:rsidP="00682345">
            <w:pPr>
              <w:pStyle w:val="NotesText"/>
            </w:pPr>
          </w:p>
          <w:p w14:paraId="35E7D3E9" w14:textId="77777777" w:rsidR="00274D41" w:rsidRDefault="00274D41" w:rsidP="00AF08FF">
            <w:pPr>
              <w:pStyle w:val="NotesText"/>
            </w:pPr>
            <w:r w:rsidRPr="005F3685">
              <w:rPr>
                <w:vanish/>
              </w:rPr>
              <w:t xml:space="preserve">BR_92.09 </w:t>
            </w:r>
            <w:r>
              <w:t>When the user selects an expired task for processing, the system will provide an audible alert and generate a warning message: “This order is expired. Do you want to continue processing it?” When the user responds “No”, the task is cleared and a new task can be entered. When the user responds “Yes”, he must enter a comment and the system will generate an exception report entry.</w:t>
            </w:r>
          </w:p>
        </w:tc>
      </w:tr>
      <w:tr w:rsidR="00F414D6" w14:paraId="0CC5B541" w14:textId="77777777" w:rsidTr="00381224">
        <w:tc>
          <w:tcPr>
            <w:tcW w:w="3240" w:type="dxa"/>
          </w:tcPr>
          <w:p w14:paraId="754F9467" w14:textId="7127EF51" w:rsidR="00F414D6" w:rsidRDefault="00F414D6" w:rsidP="00274D41">
            <w:pPr>
              <w:pStyle w:val="TableTextNumbers"/>
            </w:pPr>
            <w:r>
              <w:t xml:space="preserve">User can change the XMatch Interp by using the </w:t>
            </w:r>
            <w:r w:rsidR="006549B7">
              <w:t>drop-down</w:t>
            </w:r>
            <w:r>
              <w:t xml:space="preserve"> arrow to select another interpretation.</w:t>
            </w:r>
          </w:p>
        </w:tc>
        <w:tc>
          <w:tcPr>
            <w:tcW w:w="6120" w:type="dxa"/>
          </w:tcPr>
          <w:p w14:paraId="08FD2AB5" w14:textId="77777777" w:rsidR="00F414D6" w:rsidRDefault="00F414D6" w:rsidP="00F414D6">
            <w:pPr>
              <w:pStyle w:val="TableTextBullet"/>
            </w:pPr>
            <w:r>
              <w:t xml:space="preserve">Displays the </w:t>
            </w:r>
            <w:r w:rsidR="001809EC">
              <w:t>crossmatch results from the Automated Instrument and allows the user to edit that interpretation before saving.</w:t>
            </w:r>
            <w:r>
              <w:t xml:space="preserve"> </w:t>
            </w:r>
          </w:p>
          <w:p w14:paraId="735C1BD2" w14:textId="77777777" w:rsidR="00F414D6" w:rsidRDefault="00F414D6" w:rsidP="00F414D6">
            <w:pPr>
              <w:pStyle w:val="TableTextBullet"/>
              <w:numPr>
                <w:ilvl w:val="0"/>
                <w:numId w:val="0"/>
              </w:numPr>
              <w:ind w:left="288"/>
            </w:pPr>
          </w:p>
          <w:p w14:paraId="2FA43EBA" w14:textId="6245290C" w:rsidR="00F414D6" w:rsidRDefault="00F414D6" w:rsidP="00F414D6">
            <w:pPr>
              <w:pStyle w:val="TableText"/>
              <w:rPr>
                <w:b/>
                <w:bCs/>
                <w:szCs w:val="18"/>
              </w:rPr>
            </w:pPr>
            <w:r>
              <w:rPr>
                <w:b/>
                <w:bCs/>
                <w:szCs w:val="18"/>
              </w:rPr>
              <w:t>NOTES</w:t>
            </w:r>
          </w:p>
          <w:p w14:paraId="4B072DBA" w14:textId="77777777" w:rsidR="00F414D6" w:rsidRDefault="00F414D6" w:rsidP="00F414D6">
            <w:pPr>
              <w:pStyle w:val="NotesText"/>
            </w:pPr>
          </w:p>
          <w:p w14:paraId="6D720F56" w14:textId="77777777" w:rsidR="001809EC" w:rsidRDefault="001809EC" w:rsidP="001809EC">
            <w:pPr>
              <w:pStyle w:val="TableTextBullet"/>
              <w:numPr>
                <w:ilvl w:val="0"/>
                <w:numId w:val="0"/>
              </w:numPr>
              <w:ind w:left="720"/>
            </w:pPr>
            <w:r w:rsidRPr="001809EC">
              <w:rPr>
                <w:vanish/>
              </w:rPr>
              <w:t xml:space="preserve">BR_115.29 </w:t>
            </w:r>
            <w:r>
              <w:t xml:space="preserve">The system allows a user to change a final crossmatch interpretation of </w:t>
            </w:r>
            <w:r w:rsidRPr="00815BE1">
              <w:rPr>
                <w:b/>
                <w:i/>
              </w:rPr>
              <w:t>Crossmatch Compatible</w:t>
            </w:r>
            <w:r>
              <w:t xml:space="preserve"> (C) to </w:t>
            </w:r>
            <w:r w:rsidRPr="00815BE1">
              <w:rPr>
                <w:i/>
              </w:rPr>
              <w:t>Crossmatch Compatible: don’t transfuse</w:t>
            </w:r>
            <w:r>
              <w:t xml:space="preserve"> (D) prior to saving. The system re-evaluates changes made to the test interpretation and allows saving.</w:t>
            </w:r>
          </w:p>
          <w:p w14:paraId="4BC33D1E" w14:textId="77777777" w:rsidR="001809EC" w:rsidRDefault="001809EC" w:rsidP="001809EC">
            <w:pPr>
              <w:pStyle w:val="TableTextBullet"/>
              <w:numPr>
                <w:ilvl w:val="0"/>
                <w:numId w:val="0"/>
              </w:numPr>
              <w:ind w:left="720"/>
            </w:pPr>
          </w:p>
          <w:p w14:paraId="1C0C90E0" w14:textId="77777777" w:rsidR="001809EC" w:rsidRDefault="001809EC" w:rsidP="001809EC">
            <w:pPr>
              <w:pStyle w:val="TableTextBullet"/>
              <w:numPr>
                <w:ilvl w:val="0"/>
                <w:numId w:val="0"/>
              </w:numPr>
              <w:ind w:left="720"/>
            </w:pPr>
            <w:r>
              <w:t xml:space="preserve">The system allows a user to change a final crossmatch interpretation of </w:t>
            </w:r>
            <w:r w:rsidRPr="00815BE1">
              <w:rPr>
                <w:b/>
                <w:i/>
              </w:rPr>
              <w:t>Crossmatch Incompatible</w:t>
            </w:r>
            <w:r>
              <w:t xml:space="preserve"> (I) to </w:t>
            </w:r>
            <w:r>
              <w:rPr>
                <w:i/>
              </w:rPr>
              <w:t>Crossmatch Inc</w:t>
            </w:r>
            <w:r w:rsidRPr="00815BE1">
              <w:rPr>
                <w:i/>
              </w:rPr>
              <w:t xml:space="preserve">ompatible: </w:t>
            </w:r>
            <w:r>
              <w:rPr>
                <w:i/>
              </w:rPr>
              <w:t>give only with Medical Director approval</w:t>
            </w:r>
            <w:r>
              <w:t xml:space="preserve"> (G) prior to saving. The system re-evaluates changes made to the test interpretation and allows the user to save with appropriate warning messages and overrides.</w:t>
            </w:r>
          </w:p>
          <w:p w14:paraId="291EA736" w14:textId="77777777" w:rsidR="001809EC" w:rsidRDefault="001809EC" w:rsidP="001809EC">
            <w:pPr>
              <w:pStyle w:val="TableTextBullet"/>
              <w:numPr>
                <w:ilvl w:val="0"/>
                <w:numId w:val="0"/>
              </w:numPr>
              <w:ind w:left="720"/>
            </w:pPr>
          </w:p>
          <w:p w14:paraId="1801812F" w14:textId="05526708" w:rsidR="00F414D6" w:rsidRDefault="00F414D6" w:rsidP="008F1BE0">
            <w:pPr>
              <w:pStyle w:val="TableTextBullet"/>
              <w:numPr>
                <w:ilvl w:val="0"/>
                <w:numId w:val="0"/>
              </w:numPr>
              <w:ind w:left="720"/>
            </w:pPr>
            <w:r>
              <w:t>Refer to</w:t>
            </w:r>
            <w:r w:rsidR="008F1BE0">
              <w:t xml:space="preserve"> </w:t>
            </w:r>
            <w:r w:rsidR="008F1BE0">
              <w:fldChar w:fldCharType="begin"/>
            </w:r>
            <w:r w:rsidR="008F1BE0">
              <w:instrText xml:space="preserve"> REF _Ref446945905 \h </w:instrText>
            </w:r>
            <w:r w:rsidR="008F1BE0">
              <w:fldChar w:fldCharType="separate"/>
            </w:r>
            <w:r w:rsidR="004353ED">
              <w:t xml:space="preserve">Table </w:t>
            </w:r>
            <w:r w:rsidR="004353ED">
              <w:rPr>
                <w:noProof/>
              </w:rPr>
              <w:t>11</w:t>
            </w:r>
            <w:r w:rsidR="004353ED">
              <w:t xml:space="preserve">: </w:t>
            </w:r>
            <w:r w:rsidR="004353ED">
              <w:rPr>
                <w:rFonts w:cs="Arial"/>
                <w:vanish/>
              </w:rPr>
              <w:t xml:space="preserve">BR_40.14 </w:t>
            </w:r>
            <w:r w:rsidR="004353ED">
              <w:t>Crossmatch Interpretations for Print Unit Caution Tag &amp; Transfusion Record Form</w:t>
            </w:r>
            <w:r w:rsidR="008F1BE0">
              <w:fldChar w:fldCharType="end"/>
            </w:r>
            <w:r w:rsidR="008F1BE0">
              <w:t>.</w:t>
            </w:r>
          </w:p>
        </w:tc>
      </w:tr>
      <w:tr w:rsidR="00A80240" w14:paraId="3405E2E7" w14:textId="77777777" w:rsidTr="00381224">
        <w:tc>
          <w:tcPr>
            <w:tcW w:w="3240" w:type="dxa"/>
          </w:tcPr>
          <w:p w14:paraId="17C7358A" w14:textId="77777777" w:rsidR="00A80240" w:rsidRDefault="00E82F44" w:rsidP="00274D41">
            <w:pPr>
              <w:pStyle w:val="TableTextNumbers"/>
            </w:pPr>
            <w:r>
              <w:lastRenderedPageBreak/>
              <w:t>Refer to S</w:t>
            </w:r>
            <w:r w:rsidR="00B16194">
              <w:t>tep</w:t>
            </w:r>
            <w:r>
              <w:t xml:space="preserve"> 5 and S</w:t>
            </w:r>
            <w:r w:rsidR="00D279DE">
              <w:t>tep 6 for process to save the crossmatch results.</w:t>
            </w:r>
          </w:p>
        </w:tc>
        <w:tc>
          <w:tcPr>
            <w:tcW w:w="6120" w:type="dxa"/>
          </w:tcPr>
          <w:p w14:paraId="505DA814" w14:textId="77777777" w:rsidR="00A80240" w:rsidRDefault="00A80240" w:rsidP="00D279DE">
            <w:pPr>
              <w:pStyle w:val="TableTextBullet"/>
              <w:numPr>
                <w:ilvl w:val="0"/>
                <w:numId w:val="0"/>
              </w:numPr>
              <w:ind w:left="288"/>
            </w:pPr>
          </w:p>
        </w:tc>
      </w:tr>
    </w:tbl>
    <w:p w14:paraId="60DE9760" w14:textId="77777777" w:rsidR="007A4841" w:rsidRDefault="007A4841" w:rsidP="00D65C6C">
      <w:pPr>
        <w:pStyle w:val="Heading1"/>
        <w:rPr>
          <w:rStyle w:val="BodyTextChar"/>
          <w:rFonts w:ascii="Times New Roman" w:hAnsi="Times New Roman" w:cs="Times New Roman"/>
          <w:b w:val="0"/>
        </w:rPr>
      </w:pPr>
    </w:p>
    <w:p w14:paraId="56622773" w14:textId="64099231" w:rsidR="00937534" w:rsidRDefault="00937534" w:rsidP="00937534">
      <w:pPr>
        <w:pStyle w:val="Caption"/>
      </w:pPr>
      <w:bookmarkStart w:id="643" w:name="_Ref44716824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144</w:t>
      </w:r>
      <w:r w:rsidR="004E20BD">
        <w:rPr>
          <w:noProof/>
        </w:rPr>
        <w:fldChar w:fldCharType="end"/>
      </w:r>
      <w:bookmarkEnd w:id="643"/>
      <w:r>
        <w:t>: Automated Testing</w:t>
      </w:r>
      <w:r w:rsidR="00B46534">
        <w:t xml:space="preserve"> - Pending Specimen</w:t>
      </w:r>
      <w:r>
        <w:t xml:space="preserve"> Tests Window</w:t>
      </w:r>
    </w:p>
    <w:p w14:paraId="0E903DFF" w14:textId="77777777" w:rsidR="00481912" w:rsidRDefault="00057948" w:rsidP="00481912">
      <w:r>
        <w:rPr>
          <w:noProof/>
        </w:rPr>
        <w:drawing>
          <wp:inline distT="0" distB="0" distL="0" distR="0" wp14:anchorId="197F4026" wp14:editId="6F7B3255">
            <wp:extent cx="3860800" cy="1920875"/>
            <wp:effectExtent l="0" t="0" r="6350" b="3175"/>
            <wp:docPr id="266" name="Picture 2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a:extLst>
                        <a:ext uri="{C183D7F6-B498-43B3-948B-1728B52AA6E4}">
                          <adec:decorative xmlns:adec="http://schemas.microsoft.com/office/drawing/2017/decorative" val="1"/>
                        </a:ext>
                      </a:extLst>
                    </pic:cNvPr>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860800" cy="1920875"/>
                    </a:xfrm>
                    <a:prstGeom prst="rect">
                      <a:avLst/>
                    </a:prstGeom>
                    <a:noFill/>
                    <a:ln>
                      <a:noFill/>
                    </a:ln>
                  </pic:spPr>
                </pic:pic>
              </a:graphicData>
            </a:graphic>
          </wp:inline>
        </w:drawing>
      </w:r>
    </w:p>
    <w:p w14:paraId="7D0D74C0" w14:textId="77777777" w:rsidR="00F328F5" w:rsidRPr="00C36D9B" w:rsidRDefault="00C36D9B" w:rsidP="00C36D9B">
      <w:pPr>
        <w:pStyle w:val="Heading1"/>
      </w:pPr>
      <w:r>
        <w:rPr>
          <w:rStyle w:val="BodyTextChar"/>
          <w:rFonts w:ascii="Times New Roman" w:hAnsi="Times New Roman" w:cs="Times New Roman"/>
          <w:b w:val="0"/>
        </w:rPr>
        <w:br w:type="page"/>
      </w:r>
      <w:bookmarkStart w:id="644" w:name="_Toc47516774"/>
      <w:r w:rsidR="002A21AE" w:rsidRPr="00C36D9B">
        <w:lastRenderedPageBreak/>
        <w:t>Reports</w:t>
      </w:r>
      <w:bookmarkEnd w:id="644"/>
    </w:p>
    <w:p w14:paraId="0844F798" w14:textId="644DAE31" w:rsidR="00E22860" w:rsidRDefault="00E22860" w:rsidP="00E22860">
      <w:pPr>
        <w:rPr>
          <w:sz w:val="22"/>
          <w:szCs w:val="22"/>
        </w:rPr>
      </w:pPr>
      <w:r w:rsidRPr="00716B49">
        <w:rPr>
          <w:sz w:val="22"/>
          <w:szCs w:val="22"/>
        </w:rPr>
        <w:t>The report information that is presented on-screen, not the print preview, can be sorted by clicking on each</w:t>
      </w:r>
      <w:r w:rsidR="000B4E47" w:rsidRPr="00716B49">
        <w:rPr>
          <w:sz w:val="22"/>
          <w:szCs w:val="22"/>
        </w:rPr>
        <w:t xml:space="preserve"> column header. The sort changes made do not apply to the printed reports. Reports print in a default sort order.</w:t>
      </w:r>
    </w:p>
    <w:p w14:paraId="132089F6" w14:textId="62595504" w:rsidR="000A0FDE" w:rsidRDefault="000A0FDE" w:rsidP="00E22860">
      <w:pPr>
        <w:rPr>
          <w:sz w:val="22"/>
          <w:szCs w:val="22"/>
        </w:rPr>
      </w:pPr>
    </w:p>
    <w:p w14:paraId="6BC7896C" w14:textId="77777777" w:rsidR="00283DF4" w:rsidRDefault="00CA1FAF" w:rsidP="00E22860">
      <w:pPr>
        <w:rPr>
          <w:sz w:val="22"/>
          <w:szCs w:val="22"/>
        </w:rPr>
      </w:pPr>
      <w:r w:rsidRPr="00716B49">
        <w:rPr>
          <w:b/>
          <w:sz w:val="22"/>
          <w:szCs w:val="22"/>
        </w:rPr>
        <w:t>Note</w:t>
      </w:r>
      <w:r w:rsidR="00283DF4">
        <w:rPr>
          <w:b/>
          <w:sz w:val="22"/>
          <w:szCs w:val="22"/>
        </w:rPr>
        <w:t xml:space="preserve"> 1</w:t>
      </w:r>
      <w:r w:rsidRPr="00716B49">
        <w:rPr>
          <w:b/>
          <w:sz w:val="22"/>
          <w:szCs w:val="22"/>
        </w:rPr>
        <w:t>:</w:t>
      </w:r>
      <w:r w:rsidRPr="00716B49">
        <w:rPr>
          <w:sz w:val="22"/>
          <w:szCs w:val="22"/>
        </w:rPr>
        <w:t xml:space="preserve"> </w:t>
      </w:r>
      <w:r w:rsidR="00422E94">
        <w:rPr>
          <w:sz w:val="22"/>
          <w:szCs w:val="22"/>
        </w:rPr>
        <w:t xml:space="preserve">Switching to Normal layout view from Print layout view so the user can search the report may cause the error message </w:t>
      </w:r>
      <w:r w:rsidR="00422E94" w:rsidRPr="00716B49">
        <w:rPr>
          <w:b/>
          <w:sz w:val="22"/>
          <w:szCs w:val="22"/>
        </w:rPr>
        <w:t>“Error. Thread was being aborted</w:t>
      </w:r>
      <w:r w:rsidR="00422E94">
        <w:rPr>
          <w:b/>
          <w:sz w:val="22"/>
          <w:szCs w:val="22"/>
        </w:rPr>
        <w:t>.</w:t>
      </w:r>
      <w:r w:rsidR="00422E94" w:rsidRPr="00716B49">
        <w:rPr>
          <w:b/>
          <w:sz w:val="22"/>
          <w:szCs w:val="22"/>
        </w:rPr>
        <w:t>”</w:t>
      </w:r>
      <w:r w:rsidR="00422E94">
        <w:rPr>
          <w:sz w:val="22"/>
          <w:szCs w:val="22"/>
        </w:rPr>
        <w:t xml:space="preserve"> to appear for a large report. </w:t>
      </w:r>
      <w:r w:rsidRPr="00716B49">
        <w:rPr>
          <w:sz w:val="22"/>
          <w:szCs w:val="22"/>
        </w:rPr>
        <w:t>The report</w:t>
      </w:r>
      <w:r w:rsidR="00D441C9" w:rsidRPr="00716B49">
        <w:rPr>
          <w:sz w:val="22"/>
          <w:szCs w:val="22"/>
        </w:rPr>
        <w:t xml:space="preserve"> proceeds to load in the different layout </w:t>
      </w:r>
      <w:r w:rsidR="00422E94">
        <w:rPr>
          <w:sz w:val="22"/>
          <w:szCs w:val="22"/>
        </w:rPr>
        <w:t xml:space="preserve">view </w:t>
      </w:r>
      <w:r w:rsidR="00D441C9" w:rsidRPr="00716B49">
        <w:rPr>
          <w:sz w:val="22"/>
          <w:szCs w:val="22"/>
        </w:rPr>
        <w:t>chosen by the user. This is a normal behavior of a report engine and no harm is done.</w:t>
      </w:r>
      <w:r w:rsidR="00716B49" w:rsidRPr="00716B49">
        <w:rPr>
          <w:sz w:val="22"/>
          <w:szCs w:val="22"/>
        </w:rPr>
        <w:t xml:space="preserve"> </w:t>
      </w:r>
      <w:r w:rsidR="00283DF4" w:rsidRPr="00283DF4">
        <w:rPr>
          <w:vanish/>
          <w:sz w:val="22"/>
          <w:szCs w:val="22"/>
        </w:rPr>
        <w:t>DR 5059</w:t>
      </w:r>
    </w:p>
    <w:p w14:paraId="60EFDC29" w14:textId="77777777" w:rsidR="00283DF4" w:rsidRDefault="00283DF4" w:rsidP="00E22860">
      <w:pPr>
        <w:rPr>
          <w:sz w:val="22"/>
          <w:szCs w:val="22"/>
        </w:rPr>
      </w:pPr>
    </w:p>
    <w:p w14:paraId="6CDDE855" w14:textId="631980B5" w:rsidR="00733A12" w:rsidRPr="00716B49" w:rsidRDefault="00283DF4" w:rsidP="00E22860">
      <w:pPr>
        <w:rPr>
          <w:sz w:val="22"/>
          <w:szCs w:val="22"/>
        </w:rPr>
      </w:pPr>
      <w:r w:rsidRPr="00716B49">
        <w:rPr>
          <w:b/>
          <w:sz w:val="22"/>
          <w:szCs w:val="22"/>
        </w:rPr>
        <w:t>Note</w:t>
      </w:r>
      <w:r>
        <w:rPr>
          <w:b/>
          <w:sz w:val="22"/>
          <w:szCs w:val="22"/>
        </w:rPr>
        <w:t xml:space="preserve"> 2</w:t>
      </w:r>
      <w:r w:rsidRPr="00716B49">
        <w:rPr>
          <w:b/>
          <w:sz w:val="22"/>
          <w:szCs w:val="22"/>
        </w:rPr>
        <w:t>:</w:t>
      </w:r>
      <w:r w:rsidRPr="00716B49">
        <w:rPr>
          <w:sz w:val="22"/>
          <w:szCs w:val="22"/>
        </w:rPr>
        <w:t xml:space="preserve"> </w:t>
      </w:r>
      <w:r>
        <w:rPr>
          <w:sz w:val="22"/>
          <w:szCs w:val="22"/>
        </w:rPr>
        <w:t xml:space="preserve">The transfusion count total may indicate a site needs to complete a National Blood Collection and Utilization Survey if the total transfusions is greater than or equal to 100. </w:t>
      </w:r>
      <w:r w:rsidR="00E605B1" w:rsidRPr="00E605B1">
        <w:rPr>
          <w:vanish/>
          <w:sz w:val="22"/>
          <w:szCs w:val="22"/>
        </w:rPr>
        <w:t>Task 503042</w:t>
      </w:r>
    </w:p>
    <w:p w14:paraId="1827041C" w14:textId="77777777" w:rsidR="007A6EB0" w:rsidRDefault="007A6EB0" w:rsidP="007A6EB0">
      <w:pPr>
        <w:pStyle w:val="Heading2"/>
      </w:pPr>
      <w:bookmarkStart w:id="645" w:name="_Toc47516775"/>
      <w:bookmarkStart w:id="646" w:name="_Toc63680379"/>
      <w:bookmarkEnd w:id="633"/>
      <w:r>
        <w:t>Administrative Data Report</w:t>
      </w:r>
      <w:bookmarkEnd w:id="645"/>
      <w:r>
        <w:fldChar w:fldCharType="begin"/>
      </w:r>
      <w:r>
        <w:instrText xml:space="preserve"> XE “Administrative Data Report” </w:instrText>
      </w:r>
      <w:r>
        <w:fldChar w:fldCharType="end"/>
      </w:r>
      <w:r>
        <w:t xml:space="preserve"> </w:t>
      </w:r>
      <w:r>
        <w:rPr>
          <w:rFonts w:ascii="Times New Roman" w:hAnsi="Times New Roman" w:cs="Times New Roman"/>
          <w:b w:val="0"/>
          <w:i w:val="0"/>
          <w:vanish/>
          <w:sz w:val="22"/>
        </w:rPr>
        <w:t>UC_107</w:t>
      </w:r>
    </w:p>
    <w:p w14:paraId="2BD56A22" w14:textId="77777777" w:rsidR="007A6EB0" w:rsidRDefault="007A6EB0" w:rsidP="007A6EB0">
      <w:pPr>
        <w:pStyle w:val="BodyText"/>
      </w:pPr>
      <w:r>
        <w:t>The user views and</w:t>
      </w:r>
      <w:r w:rsidR="00EB1E5A">
        <w:t>/or</w:t>
      </w:r>
      <w:r>
        <w:t xml:space="preserve"> prints the Administrative Data Report.</w:t>
      </w:r>
    </w:p>
    <w:p w14:paraId="35556A87" w14:textId="77777777" w:rsidR="007A6EB0" w:rsidRDefault="007A6EB0" w:rsidP="007A6EB0">
      <w:pPr>
        <w:pStyle w:val="Heading4"/>
      </w:pPr>
      <w:r>
        <w:t>Assumptions</w:t>
      </w:r>
      <w:r>
        <w:rPr>
          <w:b w:val="0"/>
        </w:rPr>
        <w:t xml:space="preserve"> </w:t>
      </w:r>
    </w:p>
    <w:p w14:paraId="28E47E28" w14:textId="77777777" w:rsidR="007A6EB0" w:rsidRDefault="007A6EB0" w:rsidP="007A6EB0">
      <w:pPr>
        <w:pStyle w:val="ListBullet"/>
        <w:rPr>
          <w:b/>
        </w:rPr>
      </w:pPr>
      <w:r>
        <w:t>Data are available for inclusion in the report.</w:t>
      </w:r>
    </w:p>
    <w:p w14:paraId="60C89873" w14:textId="77777777" w:rsidR="00AE521B" w:rsidRDefault="007A6EB0" w:rsidP="007A6EB0">
      <w:pPr>
        <w:pStyle w:val="Heading4"/>
      </w:pPr>
      <w:r>
        <w:t xml:space="preserve">Outcome </w:t>
      </w:r>
    </w:p>
    <w:p w14:paraId="0A8D5E67" w14:textId="77777777" w:rsidR="007A6EB0" w:rsidRDefault="00AE521B" w:rsidP="00AE521B">
      <w:pPr>
        <w:pStyle w:val="ListBullet"/>
      </w:pPr>
      <w:r>
        <w:t>The user views and/or prints the report</w:t>
      </w:r>
      <w:r w:rsidR="007A6EB0">
        <w:t>.</w:t>
      </w:r>
    </w:p>
    <w:p w14:paraId="6C6B5B19" w14:textId="77777777" w:rsidR="007A6EB0" w:rsidRDefault="007A6EB0" w:rsidP="007A6EB0">
      <w:pPr>
        <w:pStyle w:val="Heading4"/>
        <w:rPr>
          <w:b w:val="0"/>
        </w:rPr>
      </w:pPr>
      <w:r>
        <w:t>Limitations and Restrictions</w:t>
      </w:r>
      <w:r>
        <w:rPr>
          <w:b w:val="0"/>
        </w:rPr>
        <w:t xml:space="preserve"> </w:t>
      </w:r>
    </w:p>
    <w:p w14:paraId="6D92CB6F" w14:textId="77777777" w:rsidR="007A6EB0" w:rsidRDefault="007A6EB0" w:rsidP="007A6EB0">
      <w:pPr>
        <w:pStyle w:val="ListBullet"/>
      </w:pPr>
      <w:r>
        <w:t>None</w:t>
      </w:r>
    </w:p>
    <w:p w14:paraId="33935D2F" w14:textId="77777777" w:rsidR="007A6EB0" w:rsidRDefault="007A6EB0" w:rsidP="007A6EB0">
      <w:pPr>
        <w:pStyle w:val="Heading4"/>
      </w:pPr>
      <w:r>
        <w:t xml:space="preserve">Additional Information </w:t>
      </w:r>
    </w:p>
    <w:p w14:paraId="376A914B" w14:textId="77777777" w:rsidR="007A6EB0" w:rsidRDefault="007A6EB0" w:rsidP="007A6EB0">
      <w:pPr>
        <w:pStyle w:val="ListBullet"/>
      </w:pPr>
      <w:r>
        <w:t>The report is available as a single-division or multidivisional (all divisions) report.</w:t>
      </w:r>
    </w:p>
    <w:p w14:paraId="0E54AD16" w14:textId="77777777" w:rsidR="007A6EB0" w:rsidRDefault="007A6EB0" w:rsidP="007A6EB0">
      <w:pPr>
        <w:pStyle w:val="Heading4"/>
        <w:rPr>
          <w:b w:val="0"/>
        </w:rPr>
      </w:pPr>
      <w:r>
        <w:t>User Roles with Access to This Option</w:t>
      </w:r>
      <w:r>
        <w:rPr>
          <w:b w:val="0"/>
        </w:rPr>
        <w:t xml:space="preserve"> </w:t>
      </w:r>
    </w:p>
    <w:p w14:paraId="6180D95E" w14:textId="77777777" w:rsidR="007A6EB0" w:rsidRDefault="007A6EB0" w:rsidP="007A6EB0">
      <w:pPr>
        <w:pStyle w:val="Roles"/>
      </w:pPr>
      <w:r>
        <w:t>All users</w:t>
      </w:r>
    </w:p>
    <w:p w14:paraId="271FC3B7" w14:textId="77777777" w:rsidR="007A6EB0" w:rsidRDefault="007A6EB0" w:rsidP="007A6EB0">
      <w:pPr>
        <w:pStyle w:val="Heading4"/>
      </w:pPr>
      <w:r>
        <w:t xml:space="preserve">Administrative Data Report </w:t>
      </w:r>
    </w:p>
    <w:p w14:paraId="08A411C9" w14:textId="77777777" w:rsidR="007A6EB0" w:rsidRDefault="007A6EB0" w:rsidP="007A6EB0">
      <w:pPr>
        <w:pStyle w:val="BodyText"/>
      </w:pPr>
      <w:r>
        <w:t xml:space="preserve">The user </w:t>
      </w:r>
      <w:r w:rsidR="00FF1708">
        <w:t xml:space="preserve">views </w:t>
      </w:r>
      <w:r w:rsidR="00EB1E5A">
        <w:t>and/or</w:t>
      </w:r>
      <w:r w:rsidR="00FF1708">
        <w:t xml:space="preserve"> prints </w:t>
      </w:r>
      <w:r>
        <w:t>the Administrative Data Report</w:t>
      </w:r>
      <w:r w:rsidR="00A611B6">
        <w:t>, which includes blood product transactions</w:t>
      </w:r>
      <w:r>
        <w:t xml:space="preserve"> for a given date range.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A6EB0" w14:paraId="3EF79EFA" w14:textId="77777777">
        <w:trPr>
          <w:tblHeader/>
        </w:trPr>
        <w:tc>
          <w:tcPr>
            <w:tcW w:w="3240" w:type="dxa"/>
            <w:shd w:val="pct30" w:color="auto" w:fill="FFFFFF"/>
            <w:vAlign w:val="bottom"/>
          </w:tcPr>
          <w:p w14:paraId="194AF861" w14:textId="77777777" w:rsidR="007A6EB0" w:rsidRDefault="007A6EB0" w:rsidP="007A6EB0">
            <w:pPr>
              <w:pStyle w:val="TableText"/>
              <w:rPr>
                <w:b/>
              </w:rPr>
            </w:pPr>
            <w:r>
              <w:rPr>
                <w:b/>
              </w:rPr>
              <w:t>User Action</w:t>
            </w:r>
          </w:p>
        </w:tc>
        <w:tc>
          <w:tcPr>
            <w:tcW w:w="6120" w:type="dxa"/>
            <w:shd w:val="pct30" w:color="auto" w:fill="FFFFFF"/>
            <w:vAlign w:val="bottom"/>
          </w:tcPr>
          <w:p w14:paraId="6C276918" w14:textId="77777777" w:rsidR="007A6EB0" w:rsidRDefault="007A6EB0" w:rsidP="007A6EB0">
            <w:pPr>
              <w:pStyle w:val="TableText"/>
              <w:rPr>
                <w:b/>
              </w:rPr>
            </w:pPr>
            <w:r>
              <w:rPr>
                <w:b/>
              </w:rPr>
              <w:t>VBECS</w:t>
            </w:r>
          </w:p>
        </w:tc>
      </w:tr>
      <w:tr w:rsidR="007A6EB0" w14:paraId="17BE1CD6" w14:textId="77777777">
        <w:tc>
          <w:tcPr>
            <w:tcW w:w="3240" w:type="dxa"/>
          </w:tcPr>
          <w:p w14:paraId="3C9AADF8" w14:textId="77777777" w:rsidR="007A6EB0" w:rsidRDefault="007A6EB0" w:rsidP="000409B1">
            <w:pPr>
              <w:pStyle w:val="TableTextNumbers"/>
              <w:numPr>
                <w:ilvl w:val="0"/>
                <w:numId w:val="56"/>
              </w:numPr>
            </w:pPr>
            <w:r>
              <w:t xml:space="preserve">Select </w:t>
            </w:r>
            <w:r w:rsidRPr="004831F9">
              <w:rPr>
                <w:b/>
              </w:rPr>
              <w:t>Reports</w:t>
            </w:r>
            <w:r>
              <w:t xml:space="preserve"> from the main menu.</w:t>
            </w:r>
          </w:p>
          <w:p w14:paraId="1510D212" w14:textId="77777777" w:rsidR="007A6EB0" w:rsidRDefault="007A6EB0" w:rsidP="007A6EB0">
            <w:pPr>
              <w:pStyle w:val="TableTextNumbersContinued"/>
            </w:pPr>
          </w:p>
          <w:p w14:paraId="4157C140" w14:textId="77777777" w:rsidR="007A6EB0" w:rsidRDefault="007A6EB0" w:rsidP="007A6EB0">
            <w:pPr>
              <w:pStyle w:val="TableTextNumbersContinued"/>
            </w:pPr>
            <w:r>
              <w:t xml:space="preserve">Select </w:t>
            </w:r>
            <w:r>
              <w:rPr>
                <w:b/>
              </w:rPr>
              <w:t>Administrative Data Report</w:t>
            </w:r>
            <w:r>
              <w:t>.</w:t>
            </w:r>
          </w:p>
        </w:tc>
        <w:tc>
          <w:tcPr>
            <w:tcW w:w="6120" w:type="dxa"/>
          </w:tcPr>
          <w:p w14:paraId="5E9D7D61" w14:textId="77777777" w:rsidR="007A6EB0" w:rsidRDefault="007A6EB0" w:rsidP="007A6EB0">
            <w:pPr>
              <w:pStyle w:val="TableTextBullet"/>
            </w:pPr>
            <w:r>
              <w:t>Lists report names.</w:t>
            </w:r>
          </w:p>
          <w:p w14:paraId="5ADFD6DE" w14:textId="77777777" w:rsidR="007A6EB0" w:rsidRDefault="007A6EB0" w:rsidP="007A6EB0">
            <w:pPr>
              <w:pStyle w:val="TableTextBullet"/>
            </w:pPr>
            <w:r>
              <w:t xml:space="preserve">Displays report compilation criteria. </w:t>
            </w:r>
          </w:p>
          <w:p w14:paraId="5842DA50" w14:textId="77777777" w:rsidR="007A6EB0" w:rsidRDefault="007A6EB0" w:rsidP="007A6EB0">
            <w:pPr>
              <w:pStyle w:val="TableTextBullet"/>
            </w:pPr>
            <w:r>
              <w:t>Displays a date range for selection.</w:t>
            </w:r>
          </w:p>
        </w:tc>
      </w:tr>
      <w:tr w:rsidR="007A6EB0" w14:paraId="469FFE36" w14:textId="77777777">
        <w:tc>
          <w:tcPr>
            <w:tcW w:w="3240" w:type="dxa"/>
          </w:tcPr>
          <w:p w14:paraId="7364F530" w14:textId="77777777" w:rsidR="0038145B" w:rsidRDefault="0038145B" w:rsidP="007A6EB0">
            <w:pPr>
              <w:pStyle w:val="TableTextNumbers"/>
            </w:pPr>
            <w:r>
              <w:t>Enter or select start and end dates.</w:t>
            </w:r>
          </w:p>
          <w:p w14:paraId="031F1C2A" w14:textId="77777777" w:rsidR="0038145B" w:rsidRDefault="0038145B" w:rsidP="0038145B">
            <w:pPr>
              <w:pStyle w:val="TableTextNumbers"/>
              <w:numPr>
                <w:ilvl w:val="0"/>
                <w:numId w:val="0"/>
              </w:numPr>
              <w:ind w:left="288"/>
            </w:pPr>
          </w:p>
          <w:p w14:paraId="5B88361F" w14:textId="77777777" w:rsidR="007A6EB0" w:rsidRDefault="007A6EB0" w:rsidP="0038145B">
            <w:pPr>
              <w:pStyle w:val="TableTextNumbers"/>
              <w:numPr>
                <w:ilvl w:val="0"/>
                <w:numId w:val="0"/>
              </w:numPr>
              <w:ind w:left="288"/>
            </w:pPr>
            <w:r>
              <w:t xml:space="preserve">Click the </w:t>
            </w:r>
            <w:r>
              <w:rPr>
                <w:b/>
              </w:rPr>
              <w:t>Current Divisions</w:t>
            </w:r>
            <w:r>
              <w:t xml:space="preserve"> or</w:t>
            </w:r>
            <w:r>
              <w:rPr>
                <w:b/>
              </w:rPr>
              <w:t xml:space="preserve"> All Divisions </w:t>
            </w:r>
            <w:r w:rsidRPr="00BF2E41">
              <w:t>radio button</w:t>
            </w:r>
            <w:r>
              <w:t>.</w:t>
            </w:r>
          </w:p>
        </w:tc>
        <w:tc>
          <w:tcPr>
            <w:tcW w:w="6120" w:type="dxa"/>
          </w:tcPr>
          <w:p w14:paraId="13912C51" w14:textId="77777777" w:rsidR="007A6EB0" w:rsidRDefault="007A6EB0" w:rsidP="007A6EB0">
            <w:pPr>
              <w:pStyle w:val="TableTextBullet"/>
            </w:pPr>
            <w:r>
              <w:t>Allows the user to select one or all divisions.</w:t>
            </w:r>
          </w:p>
          <w:p w14:paraId="435DDCDE" w14:textId="77777777" w:rsidR="007A6EB0" w:rsidRDefault="007A6EB0" w:rsidP="007A6EB0">
            <w:pPr>
              <w:pStyle w:val="TableText"/>
              <w:rPr>
                <w:b/>
                <w:bCs/>
                <w:szCs w:val="18"/>
              </w:rPr>
            </w:pPr>
          </w:p>
          <w:p w14:paraId="02EF0865" w14:textId="12448CED" w:rsidR="007A6EB0" w:rsidRDefault="007A6EB0" w:rsidP="007A6EB0">
            <w:pPr>
              <w:pStyle w:val="TableText"/>
              <w:rPr>
                <w:b/>
                <w:bCs/>
                <w:szCs w:val="18"/>
              </w:rPr>
            </w:pPr>
            <w:r>
              <w:rPr>
                <w:b/>
                <w:bCs/>
                <w:szCs w:val="18"/>
              </w:rPr>
              <w:t>NOTES</w:t>
            </w:r>
          </w:p>
          <w:p w14:paraId="2721B2B4" w14:textId="77777777" w:rsidR="007A6EB0" w:rsidRDefault="007A6EB0" w:rsidP="007A6EB0">
            <w:pPr>
              <w:pStyle w:val="NotesText"/>
            </w:pPr>
          </w:p>
          <w:p w14:paraId="52D17D15" w14:textId="77777777" w:rsidR="007A6EB0" w:rsidRDefault="007A6EB0" w:rsidP="007A6EB0">
            <w:pPr>
              <w:pStyle w:val="NotesText"/>
            </w:pPr>
            <w:r>
              <w:t>For each component class and its subdivisions, VBECS tallies:</w:t>
            </w:r>
          </w:p>
          <w:p w14:paraId="49B8695E" w14:textId="77777777" w:rsidR="007A6EB0" w:rsidRDefault="007A6EB0" w:rsidP="007A6EB0">
            <w:pPr>
              <w:pStyle w:val="NotesTextBullet"/>
              <w:tabs>
                <w:tab w:val="clear" w:pos="1008"/>
                <w:tab w:val="num" w:pos="288"/>
              </w:tabs>
            </w:pPr>
            <w:r>
              <w:rPr>
                <w:rFonts w:cs="Arial"/>
                <w:vanish/>
              </w:rPr>
              <w:lastRenderedPageBreak/>
              <w:t xml:space="preserve">BR_107.01 </w:t>
            </w:r>
            <w:r>
              <w:t>Products received</w:t>
            </w:r>
          </w:p>
          <w:p w14:paraId="42AF13B7" w14:textId="77777777" w:rsidR="007A6EB0" w:rsidRDefault="007A6EB0" w:rsidP="007A6EB0">
            <w:pPr>
              <w:pStyle w:val="NotesTextBullet"/>
              <w:tabs>
                <w:tab w:val="clear" w:pos="1008"/>
                <w:tab w:val="num" w:pos="288"/>
              </w:tabs>
            </w:pPr>
            <w:r>
              <w:rPr>
                <w:rFonts w:cs="Arial"/>
                <w:vanish/>
              </w:rPr>
              <w:t xml:space="preserve">BR_107.02 </w:t>
            </w:r>
            <w:r>
              <w:t>Products modified/prepared</w:t>
            </w:r>
          </w:p>
          <w:p w14:paraId="519421C8" w14:textId="77777777" w:rsidR="007A6EB0" w:rsidRDefault="007A6EB0" w:rsidP="007A6EB0">
            <w:pPr>
              <w:pStyle w:val="NotesTextBullet"/>
              <w:tabs>
                <w:tab w:val="clear" w:pos="1008"/>
                <w:tab w:val="num" w:pos="288"/>
              </w:tabs>
            </w:pPr>
            <w:r>
              <w:rPr>
                <w:rFonts w:cs="Arial"/>
                <w:vanish/>
              </w:rPr>
              <w:t xml:space="preserve">BR_107.03 </w:t>
            </w:r>
            <w:r>
              <w:t>Units transfused</w:t>
            </w:r>
          </w:p>
          <w:p w14:paraId="3AE0C861" w14:textId="77777777" w:rsidR="007A6EB0" w:rsidRDefault="007A6EB0" w:rsidP="007A6EB0">
            <w:pPr>
              <w:pStyle w:val="NotesTextBullet"/>
              <w:tabs>
                <w:tab w:val="clear" w:pos="1008"/>
                <w:tab w:val="num" w:pos="288"/>
              </w:tabs>
            </w:pPr>
            <w:r>
              <w:rPr>
                <w:rFonts w:cs="Arial"/>
                <w:vanish/>
              </w:rPr>
              <w:t xml:space="preserve">BR_107.04 </w:t>
            </w:r>
            <w:r>
              <w:t>Units shipped</w:t>
            </w:r>
          </w:p>
          <w:p w14:paraId="5C73F918" w14:textId="77777777" w:rsidR="007A6EB0" w:rsidRDefault="007A6EB0" w:rsidP="007A6EB0">
            <w:pPr>
              <w:pStyle w:val="NotesTextBullet"/>
              <w:tabs>
                <w:tab w:val="clear" w:pos="1008"/>
                <w:tab w:val="num" w:pos="288"/>
              </w:tabs>
            </w:pPr>
            <w:r>
              <w:rPr>
                <w:rFonts w:cs="Arial"/>
                <w:vanish/>
              </w:rPr>
              <w:t xml:space="preserve">BR_107.05 </w:t>
            </w:r>
            <w:r>
              <w:t>Outdated units</w:t>
            </w:r>
          </w:p>
          <w:p w14:paraId="6872D175" w14:textId="77777777" w:rsidR="00007B62" w:rsidRDefault="00007B62" w:rsidP="00CB0319">
            <w:pPr>
              <w:pStyle w:val="NotesTextBullet"/>
              <w:numPr>
                <w:ilvl w:val="0"/>
                <w:numId w:val="0"/>
              </w:numPr>
              <w:ind w:left="720"/>
              <w:rPr>
                <w:rFonts w:cs="Arial"/>
                <w:vanish/>
              </w:rPr>
            </w:pPr>
          </w:p>
          <w:p w14:paraId="6827EEF9" w14:textId="73503E4C" w:rsidR="007A6EB0" w:rsidRPr="00CB0319" w:rsidRDefault="007A6EB0" w:rsidP="00CB0319">
            <w:pPr>
              <w:pStyle w:val="NotesTextBullet"/>
              <w:numPr>
                <w:ilvl w:val="0"/>
                <w:numId w:val="0"/>
              </w:numPr>
              <w:ind w:left="720"/>
              <w:rPr>
                <w:rFonts w:cs="Arial"/>
                <w:szCs w:val="18"/>
              </w:rPr>
            </w:pPr>
            <w:r>
              <w:rPr>
                <w:rFonts w:cs="Arial"/>
                <w:vanish/>
              </w:rPr>
              <w:t xml:space="preserve">BR_107.06 </w:t>
            </w:r>
            <w:r w:rsidR="00CB0319" w:rsidRPr="006F59A1">
              <w:rPr>
                <w:rFonts w:cs="Arial"/>
                <w:szCs w:val="18"/>
              </w:rPr>
              <w:t>Tallies are presented for total units received as well as subtotals for donation type categories, allogeneic, directed, and autologous.</w:t>
            </w:r>
          </w:p>
          <w:p w14:paraId="5F07BDD1" w14:textId="77777777" w:rsidR="00623790" w:rsidRDefault="00623790" w:rsidP="00CB0319">
            <w:pPr>
              <w:pStyle w:val="NotesTextBullet"/>
              <w:numPr>
                <w:ilvl w:val="0"/>
                <w:numId w:val="0"/>
              </w:numPr>
              <w:tabs>
                <w:tab w:val="num" w:pos="288"/>
              </w:tabs>
            </w:pPr>
          </w:p>
          <w:p w14:paraId="4709E254"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BR_107.08 </w:t>
            </w:r>
            <w:r w:rsidRPr="006F59A1">
              <w:rPr>
                <w:rFonts w:cs="Arial"/>
                <w:szCs w:val="18"/>
              </w:rPr>
              <w:t>Tallies are presented for total units received as well as subtotals for donation type categories, allogeneic, directed, and autologous.</w:t>
            </w:r>
          </w:p>
          <w:p w14:paraId="613C7D77" w14:textId="77777777" w:rsidR="00623790" w:rsidRDefault="00623790" w:rsidP="00623790">
            <w:pPr>
              <w:pStyle w:val="NotesTextBullet"/>
              <w:numPr>
                <w:ilvl w:val="0"/>
                <w:numId w:val="0"/>
              </w:numPr>
              <w:ind w:left="1008" w:hanging="288"/>
              <w:rPr>
                <w:rFonts w:cs="Arial"/>
                <w:szCs w:val="18"/>
              </w:rPr>
            </w:pPr>
          </w:p>
          <w:p w14:paraId="68A62CF9"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BR_107.09 </w:t>
            </w:r>
            <w:r w:rsidRPr="006F59A1">
              <w:rPr>
                <w:rFonts w:cs="Arial"/>
                <w:szCs w:val="18"/>
              </w:rPr>
              <w:t>All categories are calculated within the selected date range, not for a total in the system.</w:t>
            </w:r>
          </w:p>
          <w:p w14:paraId="4A183821" w14:textId="77777777" w:rsidR="00623790" w:rsidRDefault="00623790" w:rsidP="00623790">
            <w:pPr>
              <w:pStyle w:val="NotesTextBullet"/>
              <w:numPr>
                <w:ilvl w:val="0"/>
                <w:numId w:val="0"/>
              </w:numPr>
              <w:ind w:left="1008" w:hanging="288"/>
              <w:rPr>
                <w:rFonts w:cs="Arial"/>
                <w:szCs w:val="18"/>
              </w:rPr>
            </w:pPr>
          </w:p>
          <w:p w14:paraId="1E2E2481" w14:textId="228964AF" w:rsidR="00623790" w:rsidRPr="006F59A1" w:rsidRDefault="00623790" w:rsidP="00623790">
            <w:pPr>
              <w:pStyle w:val="NotesTextBullet"/>
              <w:numPr>
                <w:ilvl w:val="0"/>
                <w:numId w:val="0"/>
              </w:numPr>
              <w:ind w:left="720"/>
              <w:rPr>
                <w:rFonts w:cs="Arial"/>
                <w:szCs w:val="18"/>
              </w:rPr>
            </w:pPr>
            <w:r w:rsidRPr="00623790">
              <w:rPr>
                <w:rFonts w:cs="Arial"/>
                <w:vanish/>
                <w:szCs w:val="18"/>
              </w:rPr>
              <w:t xml:space="preserve">BR_107.10 </w:t>
            </w:r>
            <w:r w:rsidRPr="006F59A1">
              <w:rPr>
                <w:rFonts w:cs="Arial"/>
                <w:szCs w:val="18"/>
              </w:rPr>
              <w:t xml:space="preserve">If there is no calculation for a given field, the system will display </w:t>
            </w:r>
            <w:r w:rsidR="00007B62">
              <w:rPr>
                <w:rFonts w:cs="Arial"/>
                <w:szCs w:val="18"/>
              </w:rPr>
              <w:t>0 (zero)</w:t>
            </w:r>
            <w:r w:rsidRPr="006F59A1">
              <w:rPr>
                <w:rFonts w:cs="Arial"/>
                <w:szCs w:val="18"/>
              </w:rPr>
              <w:t>.</w:t>
            </w:r>
          </w:p>
          <w:p w14:paraId="6B3B2C85" w14:textId="77777777" w:rsidR="00623790" w:rsidRDefault="00623790" w:rsidP="00623790">
            <w:pPr>
              <w:pStyle w:val="NotesTextBullet"/>
              <w:numPr>
                <w:ilvl w:val="0"/>
                <w:numId w:val="0"/>
              </w:numPr>
              <w:ind w:left="1008" w:hanging="288"/>
            </w:pPr>
          </w:p>
          <w:p w14:paraId="5827EB57"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BR_107.11 </w:t>
            </w:r>
            <w:r w:rsidRPr="006F59A1">
              <w:rPr>
                <w:rFonts w:cs="Arial"/>
                <w:szCs w:val="18"/>
              </w:rPr>
              <w:t>Identify split/divided units using the unit product code in ISBT 128</w:t>
            </w:r>
            <w:r>
              <w:rPr>
                <w:rFonts w:cs="Arial"/>
                <w:szCs w:val="18"/>
              </w:rPr>
              <w:t>;</w:t>
            </w:r>
            <w:r w:rsidRPr="006F59A1">
              <w:rPr>
                <w:rFonts w:cs="Arial"/>
                <w:szCs w:val="18"/>
              </w:rPr>
              <w:t xml:space="preserve"> labeling contains the unit division code in the seventh and eighth characters or may be a separ</w:t>
            </w:r>
            <w:r>
              <w:rPr>
                <w:rFonts w:cs="Arial"/>
                <w:szCs w:val="18"/>
              </w:rPr>
              <w:t xml:space="preserve">ate product code, indicated as </w:t>
            </w:r>
            <w:r w:rsidRPr="006F59A1">
              <w:rPr>
                <w:rFonts w:cs="Arial"/>
                <w:szCs w:val="18"/>
              </w:rPr>
              <w:t>1st container, 2nd container, and so on.</w:t>
            </w:r>
          </w:p>
          <w:p w14:paraId="0E7C60B8" w14:textId="77777777" w:rsidR="00623790" w:rsidRDefault="00623790" w:rsidP="00623790">
            <w:pPr>
              <w:pStyle w:val="NotesTextBullet"/>
              <w:numPr>
                <w:ilvl w:val="0"/>
                <w:numId w:val="0"/>
              </w:numPr>
              <w:ind w:left="1008" w:hanging="288"/>
              <w:rPr>
                <w:rFonts w:cs="Arial"/>
                <w:szCs w:val="18"/>
              </w:rPr>
            </w:pPr>
          </w:p>
          <w:p w14:paraId="54972CD6" w14:textId="77777777" w:rsidR="00623790" w:rsidRDefault="00623790" w:rsidP="00623790">
            <w:pPr>
              <w:pStyle w:val="NotesTextBullet"/>
              <w:numPr>
                <w:ilvl w:val="0"/>
                <w:numId w:val="0"/>
              </w:numPr>
              <w:ind w:left="720"/>
            </w:pPr>
            <w:r w:rsidRPr="00623790">
              <w:rPr>
                <w:rFonts w:cs="Arial"/>
                <w:vanish/>
                <w:szCs w:val="18"/>
              </w:rPr>
              <w:t xml:space="preserve">BR_107.12 </w:t>
            </w:r>
            <w:r w:rsidRPr="006F59A1">
              <w:rPr>
                <w:rFonts w:cs="Arial"/>
                <w:szCs w:val="18"/>
              </w:rPr>
              <w:t>For Pooled totals PREPARED in VBECS, include two numbers, the first being the total number of units included in those pools. The second number is number of pools created</w:t>
            </w:r>
            <w:r>
              <w:rPr>
                <w:rFonts w:cs="Arial"/>
                <w:szCs w:val="18"/>
              </w:rPr>
              <w:t>, for</w:t>
            </w:r>
            <w:r w:rsidRPr="006F59A1">
              <w:rPr>
                <w:rFonts w:cs="Arial"/>
                <w:szCs w:val="18"/>
              </w:rPr>
              <w:t xml:space="preserve"> example</w:t>
            </w:r>
            <w:r>
              <w:rPr>
                <w:rFonts w:cs="Arial"/>
                <w:szCs w:val="18"/>
              </w:rPr>
              <w:t>,</w:t>
            </w:r>
            <w:r w:rsidRPr="006F59A1">
              <w:rPr>
                <w:rFonts w:cs="Arial"/>
                <w:szCs w:val="18"/>
              </w:rPr>
              <w:t xml:space="preserve"> (2) 1</w:t>
            </w:r>
            <w:r>
              <w:rPr>
                <w:rFonts w:cs="Arial"/>
                <w:szCs w:val="18"/>
              </w:rPr>
              <w:t>.</w:t>
            </w:r>
          </w:p>
        </w:tc>
      </w:tr>
      <w:tr w:rsidR="007A6EB0" w14:paraId="447D023B" w14:textId="77777777">
        <w:tc>
          <w:tcPr>
            <w:tcW w:w="3240" w:type="dxa"/>
          </w:tcPr>
          <w:p w14:paraId="02E829C0" w14:textId="77777777" w:rsidR="007A6EB0" w:rsidRDefault="007A6EB0" w:rsidP="007A6EB0">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1F964CD8" w14:textId="77777777" w:rsidR="007A6EB0" w:rsidRDefault="007A6EB0" w:rsidP="007A6EB0">
            <w:pPr>
              <w:pStyle w:val="TableTextNumbersContinued"/>
            </w:pPr>
          </w:p>
          <w:p w14:paraId="640EC6BF" w14:textId="77777777" w:rsidR="007A6EB0" w:rsidRDefault="007A6EB0" w:rsidP="007A6EB0">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25EB7AC9" w14:textId="77777777" w:rsidR="005B6A94" w:rsidRDefault="00F64B5C" w:rsidP="00AA2B2E">
            <w:pPr>
              <w:pStyle w:val="TableTextBullet"/>
            </w:pPr>
            <w:r>
              <w:t>Compiles and displays the report.</w:t>
            </w:r>
          </w:p>
          <w:p w14:paraId="55D22BFD" w14:textId="77777777" w:rsidR="00EA1A6F" w:rsidRDefault="00EA1A6F" w:rsidP="00EA1A6F">
            <w:pPr>
              <w:pStyle w:val="TableTextBullet"/>
              <w:numPr>
                <w:ilvl w:val="0"/>
                <w:numId w:val="0"/>
              </w:numPr>
              <w:ind w:left="288" w:hanging="288"/>
            </w:pPr>
          </w:p>
          <w:p w14:paraId="7AEE60DF" w14:textId="6ADF1239" w:rsidR="00EA1A6F" w:rsidRDefault="00EA1A6F" w:rsidP="00EA1A6F">
            <w:pPr>
              <w:pStyle w:val="TableText"/>
              <w:rPr>
                <w:b/>
                <w:bCs/>
                <w:szCs w:val="18"/>
              </w:rPr>
            </w:pPr>
            <w:r>
              <w:rPr>
                <w:b/>
                <w:bCs/>
                <w:szCs w:val="18"/>
              </w:rPr>
              <w:t>NOTES</w:t>
            </w:r>
          </w:p>
          <w:p w14:paraId="0BCA3428" w14:textId="77777777" w:rsidR="00EA1A6F" w:rsidRDefault="00EA1A6F" w:rsidP="00786F85">
            <w:pPr>
              <w:pStyle w:val="NotesText"/>
              <w:ind w:left="0"/>
            </w:pPr>
          </w:p>
          <w:p w14:paraId="673F8F1D" w14:textId="6C6B0C99" w:rsidR="00EA1A6F" w:rsidRDefault="00490777" w:rsidP="00EA1A6F">
            <w:pPr>
              <w:pStyle w:val="NotesText"/>
            </w:pPr>
            <w:r w:rsidRPr="00490777">
              <w:rPr>
                <w:vanish/>
              </w:rPr>
              <w:t xml:space="preserve">BR_77.11 </w:t>
            </w:r>
            <w:r w:rsidR="00D5504F">
              <w:t>The user may choose to schedule a report to run at a future date and time and print on a designated printer. When a date range is supplied for the report, the report's end date must occur before selected date of printing. The report scheduled to run at the future date/time will start processing the data at the time the report is scheduled to print (future date/time). If the date range spans more than 30 days, the system displays the warning message: "You are requesting more than 30 days of data to be printed. Continue?"</w:t>
            </w:r>
          </w:p>
          <w:p w14:paraId="0C623F4B" w14:textId="77777777" w:rsidR="00490777" w:rsidRDefault="00490777" w:rsidP="00EA1A6F">
            <w:pPr>
              <w:pStyle w:val="NotesText"/>
            </w:pPr>
          </w:p>
          <w:p w14:paraId="3022DCCA" w14:textId="77777777" w:rsidR="00490777" w:rsidRDefault="00490777" w:rsidP="00EA1A6F">
            <w:pPr>
              <w:pStyle w:val="NotesText"/>
            </w:pPr>
            <w:r w:rsidRPr="00490777">
              <w:rPr>
                <w:vanish/>
              </w:rPr>
              <w:t xml:space="preserve">BR_20.17 </w:t>
            </w:r>
            <w:r>
              <w:t>When the user chooses to a view report, the system always displays the report. The user may elect to print a hard copy of the report on a designated printer or exit.</w:t>
            </w:r>
          </w:p>
        </w:tc>
      </w:tr>
      <w:tr w:rsidR="007A6EB0" w14:paraId="3D986362" w14:textId="77777777" w:rsidTr="007E500E">
        <w:trPr>
          <w:cantSplit/>
        </w:trPr>
        <w:tc>
          <w:tcPr>
            <w:tcW w:w="3240" w:type="dxa"/>
          </w:tcPr>
          <w:p w14:paraId="0ACB6AE7" w14:textId="6E3947CD" w:rsidR="007A6EB0" w:rsidRDefault="007A6EB0" w:rsidP="007A6EB0">
            <w:pPr>
              <w:pStyle w:val="TableTextNumbers"/>
            </w:pPr>
            <w:bookmarkStart w:id="647" w:name="_Hlk2774996"/>
            <w:r w:rsidRPr="0076371D">
              <w:t xml:space="preserve">Select </w:t>
            </w:r>
            <w:r w:rsidRPr="0076371D">
              <w:rPr>
                <w:b/>
              </w:rPr>
              <w:t>Print</w:t>
            </w:r>
            <w:r w:rsidR="000A0FDE" w:rsidRPr="0076371D">
              <w:rPr>
                <w:b/>
              </w:rPr>
              <w:t xml:space="preserve"> </w:t>
            </w:r>
            <w:r w:rsidRPr="0076371D">
              <w:t>to print the repor</w:t>
            </w:r>
            <w:r w:rsidR="00E9352F">
              <w:t>t</w:t>
            </w:r>
            <w:r w:rsidR="00D330A4" w:rsidRPr="0076371D">
              <w:t xml:space="preserve">, </w:t>
            </w:r>
            <w:r w:rsidR="00D330A4" w:rsidRPr="0076371D">
              <w:rPr>
                <w:b/>
              </w:rPr>
              <w:t>Export</w:t>
            </w:r>
            <w:r w:rsidR="00D330A4" w:rsidRPr="0076371D">
              <w:t xml:space="preserve"> </w:t>
            </w:r>
            <w:r w:rsidR="00E60477">
              <w:t xml:space="preserve">to export the report </w:t>
            </w:r>
            <w:r w:rsidR="00E9352F" w:rsidRPr="0076371D">
              <w:rPr>
                <w:szCs w:val="18"/>
              </w:rPr>
              <w:t xml:space="preserve">(See </w:t>
            </w:r>
            <w:r w:rsidR="00E9352F" w:rsidRPr="0076371D">
              <w:rPr>
                <w:szCs w:val="18"/>
              </w:rPr>
              <w:fldChar w:fldCharType="begin"/>
            </w:r>
            <w:r w:rsidR="00E9352F" w:rsidRPr="0076371D">
              <w:rPr>
                <w:szCs w:val="18"/>
              </w:rPr>
              <w:instrText xml:space="preserve"> REF _Ref2774509 \h  \* MERGEFORMAT </w:instrText>
            </w:r>
            <w:r w:rsidR="00E9352F" w:rsidRPr="0076371D">
              <w:rPr>
                <w:szCs w:val="18"/>
              </w:rPr>
            </w:r>
            <w:r w:rsidR="00E9352F" w:rsidRPr="0076371D">
              <w:rPr>
                <w:szCs w:val="18"/>
              </w:rPr>
              <w:fldChar w:fldCharType="separate"/>
            </w:r>
            <w:r w:rsidR="004353ED" w:rsidRPr="004353ED">
              <w:rPr>
                <w:szCs w:val="18"/>
              </w:rPr>
              <w:t>Report Export</w:t>
            </w:r>
            <w:r w:rsidR="00E9352F" w:rsidRPr="0076371D">
              <w:rPr>
                <w:szCs w:val="18"/>
              </w:rPr>
              <w:fldChar w:fldCharType="end"/>
            </w:r>
            <w:r w:rsidR="00E9352F">
              <w:rPr>
                <w:szCs w:val="18"/>
              </w:rPr>
              <w:t xml:space="preserve"> section</w:t>
            </w:r>
            <w:r w:rsidR="00E9352F" w:rsidRPr="0076371D">
              <w:rPr>
                <w:szCs w:val="18"/>
              </w:rPr>
              <w:t>)</w:t>
            </w:r>
            <w:r w:rsidR="00E9352F">
              <w:t xml:space="preserve">, </w:t>
            </w:r>
            <w:r w:rsidR="00E9352F">
              <w:rPr>
                <w:szCs w:val="18"/>
              </w:rPr>
              <w:t xml:space="preserve">or </w:t>
            </w:r>
            <w:r w:rsidRPr="0076371D">
              <w:t xml:space="preserve">click </w:t>
            </w:r>
            <w:r w:rsidRPr="0076371D">
              <w:rPr>
                <w:b/>
              </w:rPr>
              <w:t>Close</w:t>
            </w:r>
            <w:r w:rsidRPr="0076371D">
              <w:t xml:space="preserve"> to exit</w:t>
            </w:r>
            <w:r w:rsidR="005C22EF">
              <w:t xml:space="preserve"> without printing</w:t>
            </w:r>
            <w:r w:rsidRPr="0076371D">
              <w:t>.</w:t>
            </w:r>
            <w:r w:rsidRPr="0076371D">
              <w:rPr>
                <w:rStyle w:val="StyleTableTextNumbersWhite1Char"/>
              </w:rPr>
              <w:t xml:space="preserve"> </w:t>
            </w:r>
            <w:bookmarkEnd w:id="647"/>
          </w:p>
        </w:tc>
        <w:tc>
          <w:tcPr>
            <w:tcW w:w="6120" w:type="dxa"/>
          </w:tcPr>
          <w:p w14:paraId="7FEAFD0C" w14:textId="70A44A1A" w:rsidR="007A6EB0" w:rsidRDefault="00E9352F" w:rsidP="007A6EB0">
            <w:pPr>
              <w:pStyle w:val="TableTextBullet"/>
            </w:pPr>
            <w:r>
              <w:t>If Print is selected, p</w:t>
            </w:r>
            <w:r w:rsidR="007A6EB0">
              <w:t xml:space="preserve">rints the report on the </w:t>
            </w:r>
            <w:r>
              <w:t>designated</w:t>
            </w:r>
            <w:r w:rsidR="007A6EB0">
              <w:t xml:space="preserve"> printer</w:t>
            </w:r>
            <w:r>
              <w:t>.</w:t>
            </w:r>
          </w:p>
          <w:p w14:paraId="774BAADC" w14:textId="0D0E73D9" w:rsidR="00E9352F" w:rsidRDefault="00E9352F" w:rsidP="007A6EB0">
            <w:pPr>
              <w:pStyle w:val="TableTextBullet"/>
            </w:pPr>
            <w:r>
              <w:t>If Export is selected, exports the report to the designated file.</w:t>
            </w:r>
          </w:p>
          <w:p w14:paraId="38D0CEC0" w14:textId="071F9704" w:rsidR="00E9352F" w:rsidRDefault="00E9352F" w:rsidP="007A6EB0">
            <w:pPr>
              <w:pStyle w:val="TableTextBullet"/>
            </w:pPr>
            <w:r>
              <w:t>If Close is selected, exits the report preview.</w:t>
            </w:r>
          </w:p>
        </w:tc>
      </w:tr>
    </w:tbl>
    <w:p w14:paraId="1A2972F5" w14:textId="77777777" w:rsidR="00F55832" w:rsidRDefault="00F55832" w:rsidP="007A6EB0">
      <w:pPr>
        <w:pStyle w:val="Heading2"/>
      </w:pPr>
    </w:p>
    <w:p w14:paraId="432BD800" w14:textId="77777777" w:rsidR="002A21AE" w:rsidRDefault="00F55832" w:rsidP="007A6EB0">
      <w:pPr>
        <w:pStyle w:val="Heading2"/>
      </w:pPr>
      <w:r>
        <w:br w:type="page"/>
      </w:r>
      <w:bookmarkStart w:id="648" w:name="_Toc47516776"/>
      <w:r w:rsidR="002A21AE">
        <w:lastRenderedPageBreak/>
        <w:t>Audit Trail</w:t>
      </w:r>
      <w:bookmarkEnd w:id="648"/>
      <w:r w:rsidR="002A21AE">
        <w:fldChar w:fldCharType="begin"/>
      </w:r>
      <w:r w:rsidR="002A21AE">
        <w:instrText xml:space="preserve"> XE </w:instrText>
      </w:r>
      <w:r w:rsidR="00FA7E65">
        <w:instrText>“</w:instrText>
      </w:r>
      <w:r w:rsidR="002A21AE">
        <w:instrText>Audit Trail</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UC_77</w:t>
      </w:r>
    </w:p>
    <w:bookmarkEnd w:id="646"/>
    <w:p w14:paraId="040A5E48" w14:textId="77777777" w:rsidR="002A21AE" w:rsidRDefault="002A21AE" w:rsidP="00FA7E65">
      <w:pPr>
        <w:pStyle w:val="BodyText"/>
      </w:pPr>
      <w:r>
        <w:t xml:space="preserve">The user views </w:t>
      </w:r>
      <w:r w:rsidR="00EB1E5A">
        <w:t>and/or</w:t>
      </w:r>
      <w:r>
        <w:t xml:space="preserve"> prints an Audit Trail Report. </w:t>
      </w:r>
    </w:p>
    <w:p w14:paraId="1CCFA150" w14:textId="77777777" w:rsidR="002A21AE" w:rsidRDefault="002A21AE">
      <w:pPr>
        <w:pStyle w:val="Heading4"/>
      </w:pPr>
      <w:r>
        <w:t>Assumptions</w:t>
      </w:r>
    </w:p>
    <w:p w14:paraId="646C3388" w14:textId="77777777" w:rsidR="002A21AE" w:rsidRDefault="002A21AE">
      <w:pPr>
        <w:pStyle w:val="ListBullet"/>
        <w:rPr>
          <w:b/>
        </w:rPr>
      </w:pPr>
      <w:r>
        <w:t>Data are available for inclusion in the report.</w:t>
      </w:r>
    </w:p>
    <w:p w14:paraId="2601CE76" w14:textId="77777777" w:rsidR="002A21AE" w:rsidRDefault="002A21AE">
      <w:pPr>
        <w:pStyle w:val="ListBullet"/>
      </w:pPr>
      <w:r>
        <w:t>The user must be logged into the division in which the report is to be generated.</w:t>
      </w:r>
    </w:p>
    <w:p w14:paraId="2E5A477B" w14:textId="77777777" w:rsidR="002A21AE" w:rsidRDefault="002A21AE">
      <w:pPr>
        <w:pStyle w:val="Heading4"/>
      </w:pPr>
      <w:r>
        <w:t xml:space="preserve">Outcome </w:t>
      </w:r>
    </w:p>
    <w:p w14:paraId="5874FF84" w14:textId="77777777" w:rsidR="002A21AE" w:rsidRDefault="00AE521B">
      <w:pPr>
        <w:pStyle w:val="ListBullet"/>
      </w:pPr>
      <w:r>
        <w:t>The user views and/or prints the report</w:t>
      </w:r>
      <w:r w:rsidR="002A21AE">
        <w:t xml:space="preserve">. </w:t>
      </w:r>
    </w:p>
    <w:p w14:paraId="1B7B4FE2" w14:textId="77777777" w:rsidR="002A21AE" w:rsidRDefault="002A21AE">
      <w:pPr>
        <w:pStyle w:val="Heading4"/>
        <w:rPr>
          <w:b w:val="0"/>
        </w:rPr>
      </w:pPr>
      <w:r>
        <w:t>Limitations and Restrictions</w:t>
      </w:r>
      <w:r>
        <w:rPr>
          <w:b w:val="0"/>
        </w:rPr>
        <w:t xml:space="preserve"> </w:t>
      </w:r>
    </w:p>
    <w:p w14:paraId="64B45E47" w14:textId="77777777" w:rsidR="002A21AE" w:rsidRDefault="00170EEF" w:rsidP="005753B8">
      <w:pPr>
        <w:pStyle w:val="ListBullet"/>
      </w:pPr>
      <w:r>
        <w:t>VBECS does not accommodate online review (verification, signature) of reports.</w:t>
      </w:r>
    </w:p>
    <w:p w14:paraId="7691A713" w14:textId="77777777" w:rsidR="002A21AE" w:rsidRDefault="002A21AE">
      <w:pPr>
        <w:pStyle w:val="Heading4"/>
      </w:pPr>
      <w:r>
        <w:t>Additional Information</w:t>
      </w:r>
    </w:p>
    <w:p w14:paraId="4CC38993" w14:textId="17C0F801" w:rsidR="002A21AE" w:rsidRDefault="002A21AE">
      <w:pPr>
        <w:pStyle w:val="ListBullet"/>
      </w:pPr>
      <w:r>
        <w:t xml:space="preserve">Audit trail entries reflect the actual date and time the change was made. </w:t>
      </w:r>
    </w:p>
    <w:p w14:paraId="60F6F775" w14:textId="45E36EAC" w:rsidR="001C651F" w:rsidRDefault="001C651F" w:rsidP="001C651F">
      <w:pPr>
        <w:pStyle w:val="ListBullet"/>
      </w:pPr>
      <w:r w:rsidRPr="001C651F">
        <w:t>VBECS displays only the ISBT 128 five-digit product code in the sub-header sections of the report. The full eight-digit product code is available in the Unit History Report.</w:t>
      </w:r>
      <w:r w:rsidR="00244AD3">
        <w:t xml:space="preserve"> </w:t>
      </w:r>
      <w:r w:rsidR="00244AD3" w:rsidRPr="00244AD3">
        <w:rPr>
          <w:vanish/>
        </w:rPr>
        <w:t>Defect 208756</w:t>
      </w:r>
    </w:p>
    <w:p w14:paraId="4119A250" w14:textId="00DCEFEF" w:rsidR="007E33DF" w:rsidRDefault="00684888" w:rsidP="001C651F">
      <w:pPr>
        <w:pStyle w:val="ListBullet"/>
      </w:pPr>
      <w:r>
        <w:t>When a unit is rec</w:t>
      </w:r>
      <w:r w:rsidR="00147B9F">
        <w:t>eived with RBC antigens</w:t>
      </w:r>
      <w:r w:rsidR="00532FD9">
        <w:t xml:space="preserve"> selected, that unit may appear on the Audit Trail Report. See the Unit History Report for RBC </w:t>
      </w:r>
      <w:r w:rsidR="002E1949">
        <w:t xml:space="preserve">antigen typing entered for the unit during Incoming Shipment. </w:t>
      </w:r>
      <w:r w:rsidR="00532FD9" w:rsidRPr="002E1949">
        <w:rPr>
          <w:vanish/>
        </w:rPr>
        <w:t>Defect 373942</w:t>
      </w:r>
    </w:p>
    <w:p w14:paraId="0481A80B" w14:textId="77777777" w:rsidR="002A21AE" w:rsidRDefault="002A21AE">
      <w:pPr>
        <w:pStyle w:val="Heading4"/>
        <w:rPr>
          <w:b w:val="0"/>
        </w:rPr>
      </w:pPr>
      <w:r>
        <w:t>User Roles with Access to This Option</w:t>
      </w:r>
      <w:r>
        <w:rPr>
          <w:b w:val="0"/>
        </w:rPr>
        <w:t xml:space="preserve"> </w:t>
      </w:r>
    </w:p>
    <w:p w14:paraId="7D186717" w14:textId="77777777" w:rsidR="002A21AE" w:rsidRDefault="00080A13">
      <w:pPr>
        <w:pStyle w:val="Roles"/>
        <w:rPr>
          <w:snapToGrid w:val="0"/>
        </w:rPr>
      </w:pPr>
      <w:r>
        <w:t>All users</w:t>
      </w:r>
    </w:p>
    <w:p w14:paraId="2C37C6EE" w14:textId="77777777" w:rsidR="002A21AE" w:rsidRDefault="002A21AE">
      <w:pPr>
        <w:pStyle w:val="Heading4"/>
      </w:pPr>
      <w:r>
        <w:t>Audit Trail</w:t>
      </w:r>
    </w:p>
    <w:p w14:paraId="72D76FC0" w14:textId="77777777" w:rsidR="002A21AE" w:rsidRDefault="00EB1E5A" w:rsidP="00FA7E65">
      <w:pPr>
        <w:pStyle w:val="BodyText"/>
      </w:pPr>
      <w:r>
        <w:t>The user views and/or prints an Audit Trail Report, which</w:t>
      </w:r>
      <w:r w:rsidR="002A21AE">
        <w:t xml:space="preserve"> lists changes to specific patient, unit, and division configuration settings. It is a regulatory requirement to maintain documentation proving that these changes were reviewed. </w:t>
      </w:r>
      <w:r w:rsidR="00B25CE5" w:rsidRPr="00BE7BF6">
        <w:t>Modi</w:t>
      </w:r>
      <w:r w:rsidR="00B25CE5">
        <w:t>f</w:t>
      </w:r>
      <w:r w:rsidR="00B25CE5" w:rsidRPr="00BE7BF6">
        <w:t>y local record retention policy to instruct users to print, review, document, and save these reports.</w:t>
      </w:r>
      <w:r w:rsidR="002A21AE">
        <w:t xml:space="preserve"> The Audit Trail Report contains only data changes generated in the user’s login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702F836" w14:textId="77777777">
        <w:trPr>
          <w:cantSplit/>
          <w:tblHeader/>
        </w:trPr>
        <w:tc>
          <w:tcPr>
            <w:tcW w:w="3240" w:type="dxa"/>
            <w:shd w:val="pct30" w:color="auto" w:fill="FFFFFF"/>
            <w:vAlign w:val="bottom"/>
          </w:tcPr>
          <w:p w14:paraId="4DE70A0B" w14:textId="77777777" w:rsidR="002A21AE" w:rsidRDefault="002A21AE">
            <w:pPr>
              <w:pStyle w:val="TableText"/>
              <w:rPr>
                <w:b/>
              </w:rPr>
            </w:pPr>
            <w:r>
              <w:rPr>
                <w:b/>
              </w:rPr>
              <w:t>User Action</w:t>
            </w:r>
          </w:p>
        </w:tc>
        <w:tc>
          <w:tcPr>
            <w:tcW w:w="6120" w:type="dxa"/>
            <w:shd w:val="pct30" w:color="auto" w:fill="FFFFFF"/>
            <w:vAlign w:val="bottom"/>
          </w:tcPr>
          <w:p w14:paraId="3379140D" w14:textId="77777777" w:rsidR="002A21AE" w:rsidRDefault="002A21AE">
            <w:pPr>
              <w:pStyle w:val="TableText"/>
              <w:rPr>
                <w:b/>
              </w:rPr>
            </w:pPr>
            <w:r>
              <w:rPr>
                <w:b/>
              </w:rPr>
              <w:t>VBECS</w:t>
            </w:r>
          </w:p>
        </w:tc>
      </w:tr>
      <w:tr w:rsidR="002A21AE" w14:paraId="2C667136" w14:textId="77777777">
        <w:tc>
          <w:tcPr>
            <w:tcW w:w="3240" w:type="dxa"/>
          </w:tcPr>
          <w:p w14:paraId="57F90004" w14:textId="77777777" w:rsidR="002A21AE" w:rsidRDefault="002A21AE" w:rsidP="00BA3292">
            <w:pPr>
              <w:pStyle w:val="TableTextNumbers"/>
              <w:numPr>
                <w:ilvl w:val="0"/>
                <w:numId w:val="80"/>
              </w:numPr>
            </w:pPr>
            <w:r>
              <w:t xml:space="preserve">Select </w:t>
            </w:r>
            <w:r w:rsidRPr="00946DA2">
              <w:rPr>
                <w:b/>
              </w:rPr>
              <w:t>Reports</w:t>
            </w:r>
            <w:r>
              <w:t xml:space="preserve"> from the main menu.</w:t>
            </w:r>
          </w:p>
          <w:p w14:paraId="06826F7A" w14:textId="77777777" w:rsidR="002A21AE" w:rsidRDefault="002A21AE">
            <w:pPr>
              <w:pStyle w:val="TableTextNumbersContinued"/>
            </w:pPr>
          </w:p>
          <w:p w14:paraId="54FB3C83" w14:textId="77777777" w:rsidR="002A21AE" w:rsidRDefault="002A21AE">
            <w:pPr>
              <w:pStyle w:val="TableTextNumbersContinued"/>
            </w:pPr>
            <w:r>
              <w:t xml:space="preserve">Select </w:t>
            </w:r>
            <w:r>
              <w:rPr>
                <w:b/>
              </w:rPr>
              <w:t>Audit Trail</w:t>
            </w:r>
            <w:r>
              <w:t>.</w:t>
            </w:r>
          </w:p>
        </w:tc>
        <w:tc>
          <w:tcPr>
            <w:tcW w:w="6120" w:type="dxa"/>
          </w:tcPr>
          <w:p w14:paraId="454D5956" w14:textId="77777777" w:rsidR="002A21AE" w:rsidRDefault="002A21AE">
            <w:pPr>
              <w:pStyle w:val="TableTextBullet"/>
            </w:pPr>
            <w:r>
              <w:t>Lists report names.</w:t>
            </w:r>
          </w:p>
          <w:p w14:paraId="436919B9" w14:textId="77777777" w:rsidR="002A21AE" w:rsidRDefault="002A21AE">
            <w:pPr>
              <w:pStyle w:val="TableTextBullet"/>
            </w:pPr>
            <w:r>
              <w:t xml:space="preserve">Displays report compilation criteria. </w:t>
            </w:r>
          </w:p>
          <w:p w14:paraId="320CB41C" w14:textId="77777777" w:rsidR="002A21AE" w:rsidRDefault="002A21AE">
            <w:pPr>
              <w:pStyle w:val="TableTextBullet"/>
            </w:pPr>
            <w:r>
              <w:t>Displays a date range for selection.</w:t>
            </w:r>
          </w:p>
        </w:tc>
      </w:tr>
      <w:tr w:rsidR="002A21AE" w14:paraId="65395DFB" w14:textId="77777777">
        <w:tc>
          <w:tcPr>
            <w:tcW w:w="3240" w:type="dxa"/>
          </w:tcPr>
          <w:p w14:paraId="7111F2B1" w14:textId="77777777" w:rsidR="002A21AE" w:rsidRDefault="002A21AE">
            <w:pPr>
              <w:pStyle w:val="TableTextNumbers"/>
            </w:pPr>
            <w:r>
              <w:t>Enter or select start and end dates.</w:t>
            </w:r>
          </w:p>
        </w:tc>
        <w:tc>
          <w:tcPr>
            <w:tcW w:w="6120" w:type="dxa"/>
          </w:tcPr>
          <w:p w14:paraId="5898547B" w14:textId="77777777" w:rsidR="002A21AE" w:rsidRDefault="002A21AE">
            <w:pPr>
              <w:pStyle w:val="TableText"/>
            </w:pPr>
          </w:p>
          <w:p w14:paraId="66EDC6FA" w14:textId="0ACB0268" w:rsidR="002A21AE" w:rsidRDefault="002A21AE">
            <w:pPr>
              <w:pStyle w:val="TableText"/>
              <w:rPr>
                <w:b/>
                <w:bCs/>
                <w:szCs w:val="18"/>
              </w:rPr>
            </w:pPr>
            <w:r>
              <w:rPr>
                <w:b/>
                <w:bCs/>
                <w:szCs w:val="18"/>
              </w:rPr>
              <w:t>NOTES</w:t>
            </w:r>
          </w:p>
          <w:p w14:paraId="4AF74BEC" w14:textId="77777777" w:rsidR="002A21AE" w:rsidRDefault="002A21AE">
            <w:pPr>
              <w:pStyle w:val="NotesText"/>
            </w:pPr>
          </w:p>
          <w:p w14:paraId="0C28742E" w14:textId="77777777" w:rsidR="002A21AE" w:rsidRDefault="002A21AE">
            <w:pPr>
              <w:pStyle w:val="NotesText"/>
            </w:pPr>
            <w:r>
              <w:rPr>
                <w:rFonts w:cs="Arial"/>
                <w:vanish/>
              </w:rPr>
              <w:t xml:space="preserve">BR_77.06 </w:t>
            </w:r>
            <w:r>
              <w:t xml:space="preserve">The parameter table and Transfusion Requirements </w:t>
            </w:r>
            <w:r w:rsidR="00981F3F">
              <w:t>R</w:t>
            </w:r>
            <w:r>
              <w:t>eport sections include changes from no previous entry to an entry and from an entry to no entry.</w:t>
            </w:r>
          </w:p>
          <w:p w14:paraId="06FDBB37" w14:textId="77777777" w:rsidR="002A21AE" w:rsidRDefault="002A21AE">
            <w:pPr>
              <w:pStyle w:val="NotesText"/>
            </w:pPr>
          </w:p>
          <w:p w14:paraId="4F03F0CA" w14:textId="77777777" w:rsidR="002A21AE" w:rsidRDefault="002A21AE">
            <w:pPr>
              <w:pStyle w:val="NotesText"/>
            </w:pPr>
            <w:r>
              <w:rPr>
                <w:rFonts w:cs="Arial"/>
                <w:vanish/>
              </w:rPr>
              <w:t xml:space="preserve">BR_77.08 </w:t>
            </w:r>
            <w:r>
              <w:t>Each entry includes an area for supervisor acknowledgement (signature or initials and date of review) and comment.</w:t>
            </w:r>
          </w:p>
        </w:tc>
      </w:tr>
      <w:tr w:rsidR="002A21AE" w14:paraId="3207A558" w14:textId="77777777" w:rsidTr="00F3651E">
        <w:trPr>
          <w:cantSplit/>
        </w:trPr>
        <w:tc>
          <w:tcPr>
            <w:tcW w:w="3240" w:type="dxa"/>
          </w:tcPr>
          <w:p w14:paraId="64D755E6"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4075217" w14:textId="77777777" w:rsidR="002A21AE" w:rsidRDefault="002A21AE">
            <w:pPr>
              <w:pStyle w:val="TableTextNumbersContinued"/>
            </w:pPr>
          </w:p>
          <w:p w14:paraId="17E507A9"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4863A6ED" w14:textId="77777777" w:rsidR="005B6A94" w:rsidRPr="00AA2B2E" w:rsidRDefault="00F64B5C" w:rsidP="00AA2B2E">
            <w:pPr>
              <w:pStyle w:val="TableTextBullet"/>
            </w:pPr>
            <w:r>
              <w:t>Compiles and displays the report.</w:t>
            </w:r>
          </w:p>
        </w:tc>
      </w:tr>
      <w:tr w:rsidR="002A21AE" w14:paraId="3D7B352A" w14:textId="77777777">
        <w:tc>
          <w:tcPr>
            <w:tcW w:w="3240" w:type="dxa"/>
          </w:tcPr>
          <w:p w14:paraId="6A5EF33D" w14:textId="3755055F"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numberingChange w:id="649" w:author="Blalock, David (Leidos)" w:date="2020-06-15T14:09:00Z" w:original="0."/>
              </w:fldChar>
            </w:r>
          </w:p>
        </w:tc>
        <w:tc>
          <w:tcPr>
            <w:tcW w:w="6120" w:type="dxa"/>
          </w:tcPr>
          <w:p w14:paraId="42C2F8AF" w14:textId="77777777" w:rsidR="005C22EF" w:rsidRDefault="005C22EF" w:rsidP="005C22EF">
            <w:pPr>
              <w:pStyle w:val="TableTextBullet"/>
            </w:pPr>
            <w:r>
              <w:t>If Print is selected, prints the report on the designated printer.</w:t>
            </w:r>
          </w:p>
          <w:p w14:paraId="4CCB20FF" w14:textId="77777777" w:rsidR="005C22EF" w:rsidRDefault="005C22EF" w:rsidP="005C22EF">
            <w:pPr>
              <w:pStyle w:val="TableTextBullet"/>
            </w:pPr>
            <w:r>
              <w:t>If Export is selected, exports the report to the designated file.</w:t>
            </w:r>
          </w:p>
          <w:p w14:paraId="05FE587D" w14:textId="77777777" w:rsidR="005C22EF" w:rsidRDefault="005C22EF" w:rsidP="005C22EF">
            <w:pPr>
              <w:pStyle w:val="TableTextBullet"/>
            </w:pPr>
            <w:r>
              <w:t>If Close is selected, exits the report preview.</w:t>
            </w:r>
          </w:p>
          <w:p w14:paraId="233B8572" w14:textId="77C38DC0" w:rsidR="002A21AE" w:rsidRDefault="00245B2C" w:rsidP="005C22EF">
            <w:pPr>
              <w:pStyle w:val="TableTextBullet"/>
            </w:pPr>
            <w:r>
              <w:t xml:space="preserve">See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 xml:space="preserve">: </w:t>
            </w:r>
            <w:r w:rsidR="00AE2DC1">
              <w:fldChar w:fldCharType="begin"/>
            </w:r>
            <w:r w:rsidR="00AE2DC1">
              <w:instrText xml:space="preserve"> REF _Ref126504486 \h </w:instrText>
            </w:r>
            <w:r w:rsidR="00AE2DC1">
              <w:fldChar w:fldCharType="separate"/>
            </w:r>
            <w:r w:rsidR="004353ED">
              <w:t xml:space="preserve">Table </w:t>
            </w:r>
            <w:r w:rsidR="004353ED">
              <w:rPr>
                <w:noProof/>
              </w:rPr>
              <w:t>20</w:t>
            </w:r>
            <w:r w:rsidR="004353ED">
              <w:t xml:space="preserve">: </w:t>
            </w:r>
            <w:r w:rsidR="004353ED">
              <w:rPr>
                <w:vanish/>
              </w:rPr>
              <w:t xml:space="preserve">TT_77.01 </w:t>
            </w:r>
            <w:r w:rsidR="004353ED">
              <w:t>Details in Audit Trail Report</w:t>
            </w:r>
            <w:r w:rsidR="00AE2DC1">
              <w:fldChar w:fldCharType="end"/>
            </w:r>
            <w:r w:rsidR="002A21AE">
              <w:t>.</w:t>
            </w:r>
          </w:p>
        </w:tc>
      </w:tr>
    </w:tbl>
    <w:p w14:paraId="3AB3626D" w14:textId="77777777" w:rsidR="002A21AE" w:rsidRDefault="00F55832">
      <w:pPr>
        <w:pStyle w:val="Heading2"/>
      </w:pPr>
      <w:r>
        <w:br w:type="page"/>
      </w:r>
      <w:bookmarkStart w:id="650" w:name="_Toc47516777"/>
      <w:r w:rsidR="002A21AE">
        <w:lastRenderedPageBreak/>
        <w:t>Blood Availability</w:t>
      </w:r>
      <w:bookmarkEnd w:id="650"/>
      <w:r w:rsidR="002A21AE">
        <w:fldChar w:fldCharType="begin"/>
      </w:r>
      <w:r w:rsidR="002A21AE">
        <w:instrText xml:space="preserve"> XE </w:instrText>
      </w:r>
      <w:r w:rsidR="00FA7E65">
        <w:instrText>“</w:instrText>
      </w:r>
      <w:r w:rsidR="002A21AE">
        <w:instrText>Blood Availability</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UC_49</w:t>
      </w:r>
    </w:p>
    <w:p w14:paraId="0ED3C518" w14:textId="77777777" w:rsidR="002A21AE" w:rsidRDefault="002A21AE" w:rsidP="00FA7E65">
      <w:pPr>
        <w:pStyle w:val="BodyText"/>
      </w:pPr>
      <w:r>
        <w:t xml:space="preserve">The user </w:t>
      </w:r>
      <w:r w:rsidR="00FF1708">
        <w:t xml:space="preserve">views </w:t>
      </w:r>
      <w:r w:rsidR="00EB1E5A">
        <w:t>and/or</w:t>
      </w:r>
      <w:r w:rsidR="00FF1708">
        <w:t xml:space="preserve"> prints the Blood Availability Report</w:t>
      </w:r>
      <w:r>
        <w:t>.</w:t>
      </w:r>
    </w:p>
    <w:p w14:paraId="6D3CE6DC" w14:textId="77777777" w:rsidR="002A21AE" w:rsidRDefault="002A21AE">
      <w:pPr>
        <w:pStyle w:val="Heading4"/>
      </w:pPr>
      <w:r>
        <w:t>Assumptions</w:t>
      </w:r>
      <w:r>
        <w:rPr>
          <w:b w:val="0"/>
        </w:rPr>
        <w:t xml:space="preserve"> </w:t>
      </w:r>
    </w:p>
    <w:p w14:paraId="54716827" w14:textId="77777777" w:rsidR="002A21AE" w:rsidRDefault="002A21AE">
      <w:pPr>
        <w:pStyle w:val="ListBullet"/>
      </w:pPr>
      <w:r>
        <w:t>A blood unit is logged into a division in the database.</w:t>
      </w:r>
    </w:p>
    <w:p w14:paraId="1DB57F1B" w14:textId="77777777" w:rsidR="002A21AE" w:rsidRDefault="002A21AE">
      <w:pPr>
        <w:pStyle w:val="Heading4"/>
      </w:pPr>
      <w:r>
        <w:t xml:space="preserve">Outcome </w:t>
      </w:r>
    </w:p>
    <w:p w14:paraId="56D9E79A" w14:textId="77777777" w:rsidR="002A21AE" w:rsidRDefault="002A21AE">
      <w:pPr>
        <w:pStyle w:val="ListBullet"/>
      </w:pPr>
      <w:r>
        <w:t>VBECS users may view available blood unit data in several formats.</w:t>
      </w:r>
    </w:p>
    <w:p w14:paraId="0096F303" w14:textId="77777777" w:rsidR="002A21AE" w:rsidRDefault="002A21AE">
      <w:pPr>
        <w:pStyle w:val="Heading4"/>
      </w:pPr>
      <w:r>
        <w:t>Limitations and Restrictions</w:t>
      </w:r>
      <w:r>
        <w:rPr>
          <w:b w:val="0"/>
        </w:rPr>
        <w:t xml:space="preserve"> </w:t>
      </w:r>
    </w:p>
    <w:p w14:paraId="39F57B6E" w14:textId="77777777" w:rsidR="008F2BFA" w:rsidRDefault="00C3558E">
      <w:pPr>
        <w:pStyle w:val="ListBullet"/>
      </w:pPr>
      <w:r>
        <w:t>None.</w:t>
      </w:r>
    </w:p>
    <w:p w14:paraId="198CED6D" w14:textId="77777777" w:rsidR="002A21AE" w:rsidRDefault="002A21AE">
      <w:pPr>
        <w:pStyle w:val="Heading4"/>
      </w:pPr>
      <w:r>
        <w:t xml:space="preserve">Additional Information </w:t>
      </w:r>
    </w:p>
    <w:p w14:paraId="4E7D31F5" w14:textId="77777777" w:rsidR="002A21AE" w:rsidRDefault="002A21AE">
      <w:pPr>
        <w:pStyle w:val="ListBullet"/>
      </w:pPr>
      <w:r>
        <w:t>VBECS displays the defined reports and allows the user to view an individual Patient Blood Availability Report or to create a custom report.</w:t>
      </w:r>
    </w:p>
    <w:p w14:paraId="33F26928" w14:textId="1C722CCD" w:rsidR="00F86A79" w:rsidRDefault="00F86A79" w:rsidP="00F86A79">
      <w:pPr>
        <w:pStyle w:val="ListBullet"/>
      </w:pPr>
      <w:r>
        <w:t>The report is available as a single-division or multidivisional (all divisions) report.</w:t>
      </w:r>
    </w:p>
    <w:p w14:paraId="75B9059C" w14:textId="77777777" w:rsidR="002A21AE" w:rsidRPr="00C32FB5" w:rsidRDefault="002A21AE" w:rsidP="00A922BB">
      <w:pPr>
        <w:pStyle w:val="Heading4"/>
        <w:rPr>
          <w:b w:val="0"/>
        </w:rPr>
      </w:pPr>
      <w:r>
        <w:t>User Roles with Access to This Option</w:t>
      </w:r>
      <w:r w:rsidRPr="00C32FB5">
        <w:rPr>
          <w:b w:val="0"/>
        </w:rPr>
        <w:t xml:space="preserve"> </w:t>
      </w:r>
    </w:p>
    <w:p w14:paraId="561928F5" w14:textId="77777777" w:rsidR="002A21AE" w:rsidRDefault="00080A13">
      <w:pPr>
        <w:pStyle w:val="Roles"/>
      </w:pPr>
      <w:r>
        <w:t>All users</w:t>
      </w:r>
    </w:p>
    <w:p w14:paraId="1E451F70" w14:textId="77777777" w:rsidR="002A21AE" w:rsidRDefault="002A21AE">
      <w:pPr>
        <w:pStyle w:val="Heading4"/>
      </w:pPr>
      <w:r>
        <w:t>Blood Availability</w:t>
      </w:r>
    </w:p>
    <w:p w14:paraId="5CD3DCC2" w14:textId="77777777" w:rsidR="002A21AE" w:rsidRDefault="002A21AE" w:rsidP="00FA7E65">
      <w:pPr>
        <w:pStyle w:val="BodyText"/>
      </w:pPr>
      <w:r>
        <w:t xml:space="preserve">The user may check the blood availability for a specific patient and view </w:t>
      </w:r>
      <w:r w:rsidR="00EB1E5A">
        <w:t>and/or</w:t>
      </w:r>
      <w:r>
        <w:t xml:space="preserve"> print a variety of Blood Inventory Reports from the user’s and other divisions, as available. Blood </w:t>
      </w:r>
      <w:r w:rsidR="001E776B">
        <w:t>A</w:t>
      </w:r>
      <w:r>
        <w:t xml:space="preserve">vailability </w:t>
      </w:r>
      <w:r w:rsidR="001E776B">
        <w:t>R</w:t>
      </w:r>
      <w:r>
        <w:t>eports include the product’s unit status, indicators, patient information for units in the “assigned” and “issued” statuses, restrictions, and special testing or handling of a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2068784" w14:textId="77777777">
        <w:trPr>
          <w:cantSplit/>
          <w:tblHeader/>
        </w:trPr>
        <w:tc>
          <w:tcPr>
            <w:tcW w:w="3240" w:type="dxa"/>
            <w:shd w:val="pct30" w:color="auto" w:fill="FFFFFF"/>
            <w:vAlign w:val="bottom"/>
          </w:tcPr>
          <w:p w14:paraId="46C8ECD9" w14:textId="77777777" w:rsidR="002A21AE" w:rsidRDefault="002A21AE">
            <w:pPr>
              <w:pStyle w:val="TableText"/>
              <w:rPr>
                <w:b/>
              </w:rPr>
            </w:pPr>
            <w:r>
              <w:rPr>
                <w:b/>
              </w:rPr>
              <w:t>User Action</w:t>
            </w:r>
          </w:p>
        </w:tc>
        <w:tc>
          <w:tcPr>
            <w:tcW w:w="6120" w:type="dxa"/>
            <w:shd w:val="pct30" w:color="auto" w:fill="FFFFFF"/>
            <w:vAlign w:val="bottom"/>
          </w:tcPr>
          <w:p w14:paraId="253309AA" w14:textId="77777777" w:rsidR="002A21AE" w:rsidRDefault="002A21AE">
            <w:pPr>
              <w:pStyle w:val="TableText"/>
              <w:rPr>
                <w:b/>
              </w:rPr>
            </w:pPr>
            <w:r>
              <w:rPr>
                <w:b/>
              </w:rPr>
              <w:t>VBECS</w:t>
            </w:r>
          </w:p>
        </w:tc>
      </w:tr>
      <w:tr w:rsidR="002A21AE" w14:paraId="76C6472E" w14:textId="77777777">
        <w:tc>
          <w:tcPr>
            <w:tcW w:w="3240" w:type="dxa"/>
          </w:tcPr>
          <w:p w14:paraId="3F8994BE" w14:textId="77777777" w:rsidR="002A21AE" w:rsidRDefault="002A21AE">
            <w:pPr>
              <w:pStyle w:val="TableTextNumbers"/>
            </w:pPr>
            <w:r>
              <w:t xml:space="preserve">For a non-individual report, select </w:t>
            </w:r>
            <w:r>
              <w:rPr>
                <w:b/>
              </w:rPr>
              <w:t>Reports</w:t>
            </w:r>
            <w:r>
              <w:t xml:space="preserve"> from the main menu.</w:t>
            </w:r>
          </w:p>
          <w:p w14:paraId="1C1C02EF" w14:textId="77777777" w:rsidR="002A21AE" w:rsidRDefault="002A21AE">
            <w:pPr>
              <w:pStyle w:val="TableTextNumbersContinued"/>
            </w:pPr>
          </w:p>
          <w:p w14:paraId="79A9505B" w14:textId="77777777" w:rsidR="002A21AE" w:rsidRDefault="002A21AE">
            <w:pPr>
              <w:pStyle w:val="TableTextNumbersContinued"/>
            </w:pPr>
            <w:r>
              <w:t xml:space="preserve">Select </w:t>
            </w:r>
            <w:r>
              <w:rPr>
                <w:b/>
              </w:rPr>
              <w:t>Blood Availability</w:t>
            </w:r>
            <w:r>
              <w:t>, or</w:t>
            </w:r>
          </w:p>
          <w:p w14:paraId="6F7CA279" w14:textId="77777777" w:rsidR="002A21AE" w:rsidRDefault="002A21AE">
            <w:pPr>
              <w:pStyle w:val="TableTextNumbersContinued"/>
            </w:pPr>
          </w:p>
          <w:p w14:paraId="1B72000F" w14:textId="77777777" w:rsidR="002A21AE" w:rsidRDefault="002A21AE">
            <w:pPr>
              <w:pStyle w:val="TableTextNumbersContinued"/>
            </w:pPr>
            <w:r>
              <w:t xml:space="preserve">For a patient-specific report, select </w:t>
            </w:r>
            <w:r>
              <w:rPr>
                <w:b/>
              </w:rPr>
              <w:t>Patients</w:t>
            </w:r>
            <w:r>
              <w:t xml:space="preserve"> from the main menu.</w:t>
            </w:r>
          </w:p>
          <w:p w14:paraId="7F78FBEA" w14:textId="77777777" w:rsidR="002A21AE" w:rsidRDefault="002A21AE">
            <w:pPr>
              <w:pStyle w:val="TableTextNumbersContinued"/>
            </w:pPr>
          </w:p>
          <w:p w14:paraId="5F653040" w14:textId="77777777" w:rsidR="002A21AE" w:rsidRDefault="002A21AE">
            <w:pPr>
              <w:pStyle w:val="TableTextNumbersContinued"/>
            </w:pPr>
            <w:r>
              <w:t xml:space="preserve">Select </w:t>
            </w:r>
            <w:r>
              <w:rPr>
                <w:b/>
              </w:rPr>
              <w:t>Blood Availability</w:t>
            </w:r>
            <w:r>
              <w:t>.</w:t>
            </w:r>
          </w:p>
        </w:tc>
        <w:tc>
          <w:tcPr>
            <w:tcW w:w="6120" w:type="dxa"/>
          </w:tcPr>
          <w:p w14:paraId="47F8E4FC" w14:textId="77777777" w:rsidR="002A21AE" w:rsidRDefault="002A21AE">
            <w:pPr>
              <w:pStyle w:val="TableTextBullet"/>
            </w:pPr>
            <w:r>
              <w:t>Displays options for generating, viewing, and printing blood reports.</w:t>
            </w:r>
          </w:p>
          <w:p w14:paraId="32757A4E" w14:textId="77777777" w:rsidR="002A21AE" w:rsidRDefault="002A21AE">
            <w:pPr>
              <w:pStyle w:val="TableTextBullet"/>
            </w:pPr>
            <w:r>
              <w:t xml:space="preserve">Displays non-individual report type and compilation criteria. </w:t>
            </w:r>
          </w:p>
          <w:p w14:paraId="5FE1C53F" w14:textId="77777777" w:rsidR="002A21AE" w:rsidRDefault="002A21AE">
            <w:pPr>
              <w:pStyle w:val="TableTextBullet"/>
            </w:pPr>
            <w:r>
              <w:t>Displays options for generating a patient-specific report.</w:t>
            </w:r>
          </w:p>
          <w:p w14:paraId="2F309B65" w14:textId="67BD8F02" w:rsidR="002A21AE" w:rsidRDefault="002A21AE">
            <w:pPr>
              <w:pStyle w:val="NotesText"/>
            </w:pPr>
          </w:p>
        </w:tc>
      </w:tr>
      <w:tr w:rsidR="002A21AE" w14:paraId="0C7E955A" w14:textId="77777777" w:rsidTr="00305B16">
        <w:trPr>
          <w:cantSplit/>
        </w:trPr>
        <w:tc>
          <w:tcPr>
            <w:tcW w:w="3240" w:type="dxa"/>
          </w:tcPr>
          <w:p w14:paraId="2FA5B995" w14:textId="77777777" w:rsidR="00981244" w:rsidRDefault="00981244" w:rsidP="00981244">
            <w:pPr>
              <w:pStyle w:val="TableTextNumbers"/>
            </w:pPr>
            <w:r>
              <w:lastRenderedPageBreak/>
              <w:t>Click a radio button to select a report format:</w:t>
            </w:r>
          </w:p>
          <w:p w14:paraId="03CD4500" w14:textId="77777777" w:rsidR="007A5DC2" w:rsidRPr="00945BF5" w:rsidRDefault="007A5DC2" w:rsidP="007A5DC2">
            <w:pPr>
              <w:pStyle w:val="TableTextNumbersBullet"/>
              <w:rPr>
                <w:b/>
              </w:rPr>
            </w:pPr>
            <w:r w:rsidRPr="00945BF5">
              <w:rPr>
                <w:b/>
              </w:rPr>
              <w:t>Daily Inventory (All Units)</w:t>
            </w:r>
          </w:p>
          <w:p w14:paraId="74DCC97E" w14:textId="77777777" w:rsidR="007A5DC2" w:rsidRPr="00945BF5" w:rsidRDefault="007A5DC2" w:rsidP="007A5DC2">
            <w:pPr>
              <w:pStyle w:val="TableTextNumbersBullet"/>
              <w:rPr>
                <w:b/>
              </w:rPr>
            </w:pPr>
            <w:r w:rsidRPr="00945BF5">
              <w:rPr>
                <w:b/>
              </w:rPr>
              <w:t>Daily Inventory (Available Units)</w:t>
            </w:r>
          </w:p>
          <w:p w14:paraId="552AE554" w14:textId="77777777" w:rsidR="007A5DC2" w:rsidRPr="00945BF5" w:rsidRDefault="007A5DC2" w:rsidP="007A5DC2">
            <w:pPr>
              <w:pStyle w:val="TableTextNumbersBullet"/>
              <w:rPr>
                <w:b/>
              </w:rPr>
            </w:pPr>
            <w:r w:rsidRPr="00945BF5">
              <w:rPr>
                <w:b/>
              </w:rPr>
              <w:t>Antigen Typed Inventory (Available Units)</w:t>
            </w:r>
          </w:p>
          <w:p w14:paraId="69AC9969" w14:textId="77777777" w:rsidR="007A5DC2" w:rsidRPr="00945BF5" w:rsidRDefault="007A5DC2" w:rsidP="007A5DC2">
            <w:pPr>
              <w:pStyle w:val="TableTextNumbersBullet"/>
              <w:rPr>
                <w:b/>
              </w:rPr>
            </w:pPr>
            <w:r w:rsidRPr="00945BF5">
              <w:rPr>
                <w:b/>
              </w:rPr>
              <w:t>Units with No Disposition</w:t>
            </w:r>
            <w:r w:rsidR="0055440E" w:rsidRPr="00945BF5">
              <w:rPr>
                <w:b/>
              </w:rPr>
              <w:t xml:space="preserve"> (Available Expired)</w:t>
            </w:r>
          </w:p>
          <w:p w14:paraId="1D863F71" w14:textId="77777777" w:rsidR="0055440E" w:rsidRPr="00945BF5" w:rsidRDefault="0055440E" w:rsidP="007A5DC2">
            <w:pPr>
              <w:pStyle w:val="TableTextNumbersBullet"/>
              <w:rPr>
                <w:b/>
              </w:rPr>
            </w:pPr>
            <w:r w:rsidRPr="00945BF5">
              <w:rPr>
                <w:b/>
              </w:rPr>
              <w:t>Units with Final Disposition (Not Transfused)</w:t>
            </w:r>
          </w:p>
          <w:p w14:paraId="423C93EA" w14:textId="77777777" w:rsidR="007A5DC2" w:rsidRPr="00945BF5" w:rsidRDefault="007A5DC2" w:rsidP="007A5DC2">
            <w:pPr>
              <w:pStyle w:val="TableTextNumbersBullet"/>
              <w:rPr>
                <w:b/>
              </w:rPr>
            </w:pPr>
            <w:r w:rsidRPr="00945BF5">
              <w:rPr>
                <w:b/>
              </w:rPr>
              <w:t>Custom Report</w:t>
            </w:r>
          </w:p>
          <w:p w14:paraId="290344E3" w14:textId="77777777" w:rsidR="002A21AE" w:rsidRDefault="007A5DC2" w:rsidP="001E7BDC">
            <w:pPr>
              <w:pStyle w:val="TableTextNumbersBullet"/>
            </w:pPr>
            <w:r w:rsidRPr="00945BF5">
              <w:rPr>
                <w:b/>
              </w:rPr>
              <w:t>Individual Patient Blood Availability</w:t>
            </w:r>
          </w:p>
        </w:tc>
        <w:tc>
          <w:tcPr>
            <w:tcW w:w="6120" w:type="dxa"/>
          </w:tcPr>
          <w:p w14:paraId="7D7679E0" w14:textId="77777777" w:rsidR="002A21AE" w:rsidRDefault="002A21AE">
            <w:pPr>
              <w:pStyle w:val="TableTextBullet"/>
            </w:pPr>
            <w:r>
              <w:t xml:space="preserve">Displays a print preview of the report. </w:t>
            </w:r>
          </w:p>
          <w:p w14:paraId="452E762B" w14:textId="77777777" w:rsidR="002A21AE" w:rsidRDefault="002A21AE">
            <w:pPr>
              <w:pStyle w:val="TableText"/>
            </w:pPr>
          </w:p>
          <w:p w14:paraId="227829C3" w14:textId="29280043" w:rsidR="002A21AE" w:rsidRDefault="002A21AE">
            <w:pPr>
              <w:pStyle w:val="TableText"/>
              <w:rPr>
                <w:b/>
                <w:bCs/>
                <w:szCs w:val="18"/>
              </w:rPr>
            </w:pPr>
            <w:r>
              <w:rPr>
                <w:b/>
                <w:bCs/>
                <w:szCs w:val="18"/>
              </w:rPr>
              <w:t>NOTES</w:t>
            </w:r>
          </w:p>
          <w:p w14:paraId="76E6E505" w14:textId="77777777" w:rsidR="002A21AE" w:rsidRDefault="002A21AE">
            <w:pPr>
              <w:pStyle w:val="NotesText"/>
            </w:pPr>
          </w:p>
          <w:p w14:paraId="12ECE017" w14:textId="77777777" w:rsidR="00B20440" w:rsidRPr="00B20440" w:rsidRDefault="00B20440">
            <w:pPr>
              <w:pStyle w:val="NotesText"/>
              <w:rPr>
                <w:rFonts w:cs="Arial"/>
                <w:szCs w:val="18"/>
              </w:rPr>
            </w:pPr>
            <w:r w:rsidRPr="00B20440">
              <w:rPr>
                <w:rFonts w:cs="Arial"/>
                <w:szCs w:val="18"/>
              </w:rPr>
              <w:t xml:space="preserve">The user may click the </w:t>
            </w:r>
            <w:r w:rsidR="00B90391" w:rsidRPr="00B90391">
              <w:rPr>
                <w:rFonts w:cs="Arial"/>
                <w:b/>
                <w:szCs w:val="18"/>
              </w:rPr>
              <w:t xml:space="preserve">Custom Report </w:t>
            </w:r>
            <w:r w:rsidR="00B90391" w:rsidRPr="00BF2E41">
              <w:rPr>
                <w:rFonts w:cs="Arial"/>
                <w:szCs w:val="18"/>
              </w:rPr>
              <w:t>radio button</w:t>
            </w:r>
            <w:r w:rsidR="00B90391">
              <w:rPr>
                <w:rFonts w:cs="Arial"/>
                <w:szCs w:val="18"/>
              </w:rPr>
              <w:t xml:space="preserve"> and </w:t>
            </w:r>
            <w:r w:rsidR="00B90391" w:rsidRPr="00B90391">
              <w:rPr>
                <w:rFonts w:cs="Arial"/>
                <w:b/>
                <w:szCs w:val="18"/>
              </w:rPr>
              <w:t>OK</w:t>
            </w:r>
            <w:r w:rsidR="00B90391">
              <w:rPr>
                <w:rFonts w:cs="Arial"/>
                <w:szCs w:val="18"/>
              </w:rPr>
              <w:t xml:space="preserve">, and then click the </w:t>
            </w:r>
            <w:r w:rsidRPr="00B20440">
              <w:rPr>
                <w:rFonts w:cs="Arial"/>
                <w:szCs w:val="18"/>
              </w:rPr>
              <w:t xml:space="preserve">appropriate check boxes in the Component Class, Testing, Donation Type, Unit Status, Date Range, ABO/Rh, Product Attributes, and Division tabs </w:t>
            </w:r>
            <w:r w:rsidR="00D42D20">
              <w:rPr>
                <w:rFonts w:cs="Arial"/>
                <w:szCs w:val="18"/>
              </w:rPr>
              <w:t xml:space="preserve">to </w:t>
            </w:r>
            <w:r w:rsidRPr="00B20440">
              <w:rPr>
                <w:rFonts w:cs="Arial"/>
                <w:szCs w:val="18"/>
              </w:rPr>
              <w:t>custom</w:t>
            </w:r>
            <w:r w:rsidR="00D42D20">
              <w:rPr>
                <w:rFonts w:cs="Arial"/>
                <w:szCs w:val="18"/>
              </w:rPr>
              <w:t>ize the</w:t>
            </w:r>
            <w:r w:rsidRPr="00B20440">
              <w:rPr>
                <w:rFonts w:cs="Arial"/>
                <w:szCs w:val="18"/>
              </w:rPr>
              <w:t xml:space="preserve"> report.</w:t>
            </w:r>
          </w:p>
          <w:p w14:paraId="245D7BCB" w14:textId="77777777" w:rsidR="00B20440" w:rsidRDefault="00B20440">
            <w:pPr>
              <w:pStyle w:val="NotesText"/>
              <w:rPr>
                <w:rFonts w:cs="Arial"/>
                <w:vanish/>
              </w:rPr>
            </w:pPr>
          </w:p>
          <w:p w14:paraId="6198013B" w14:textId="77777777" w:rsidR="00DE2677" w:rsidRDefault="00DE2677">
            <w:pPr>
              <w:pStyle w:val="NotesText"/>
              <w:rPr>
                <w:color w:val="000000"/>
              </w:rPr>
            </w:pPr>
          </w:p>
          <w:p w14:paraId="392074C4" w14:textId="0A66E49C" w:rsidR="000D169A" w:rsidRDefault="00DE2677">
            <w:pPr>
              <w:pStyle w:val="NotesText"/>
              <w:rPr>
                <w:color w:val="000000"/>
              </w:rPr>
            </w:pPr>
            <w:r w:rsidRPr="00DE2677">
              <w:rPr>
                <w:vanish/>
                <w:color w:val="000000"/>
              </w:rPr>
              <w:t xml:space="preserve">BR_49.10 </w:t>
            </w:r>
            <w:r w:rsidR="00C82460" w:rsidRPr="00CC1028">
              <w:rPr>
                <w:color w:val="000000"/>
              </w:rPr>
              <w:t>When a user selects the Individual Patient Blood Availability report for his division only, the report includes all units available (unit statuses: assigned, crossmatched, and issued) in his division for the selected patient.</w:t>
            </w:r>
          </w:p>
          <w:p w14:paraId="4F255328" w14:textId="77777777" w:rsidR="00C82460" w:rsidRDefault="00C82460">
            <w:pPr>
              <w:pStyle w:val="NotesText"/>
            </w:pPr>
          </w:p>
          <w:p w14:paraId="2D2C4597" w14:textId="244D9190" w:rsidR="00CC1E5B" w:rsidRDefault="000D169A">
            <w:pPr>
              <w:pStyle w:val="NotesText"/>
            </w:pPr>
            <w:r w:rsidRPr="000D169A">
              <w:rPr>
                <w:vanish/>
                <w:szCs w:val="18"/>
              </w:rPr>
              <w:t>BR_49.22, BR_49.23, BR_49.24</w:t>
            </w:r>
            <w:r w:rsidR="00CC1E5B">
              <w:t xml:space="preserve">When a user selects Units with </w:t>
            </w:r>
            <w:r w:rsidR="00EC6847">
              <w:t>Final</w:t>
            </w:r>
            <w:r w:rsidR="00CC1E5B">
              <w:t xml:space="preserve"> Disposition, the report includes </w:t>
            </w:r>
            <w:r>
              <w:t>units with a status of “discarded,” “modified,” or “</w:t>
            </w:r>
            <w:r w:rsidR="00CC1E5B">
              <w:t xml:space="preserve">transferred.” </w:t>
            </w:r>
          </w:p>
          <w:p w14:paraId="16768926" w14:textId="77777777" w:rsidR="00CC1E5B" w:rsidRDefault="00CC1E5B">
            <w:pPr>
              <w:pStyle w:val="NotesText"/>
            </w:pPr>
          </w:p>
          <w:p w14:paraId="5C7841BB" w14:textId="77777777" w:rsidR="000D169A" w:rsidRDefault="000D169A">
            <w:pPr>
              <w:pStyle w:val="NotesText"/>
            </w:pPr>
            <w:r>
              <w:t>When a user selects Units with No Disposition, the report includes expired units with a status of “limited” or “available</w:t>
            </w:r>
            <w:r w:rsidR="00EC6847">
              <w:t>.</w:t>
            </w:r>
            <w:r>
              <w:t xml:space="preserve">” </w:t>
            </w:r>
          </w:p>
        </w:tc>
      </w:tr>
      <w:tr w:rsidR="001E7BDC" w14:paraId="17F70384" w14:textId="77777777">
        <w:tc>
          <w:tcPr>
            <w:tcW w:w="3240" w:type="dxa"/>
            <w:tcBorders>
              <w:top w:val="single" w:sz="4" w:space="0" w:color="auto"/>
              <w:left w:val="single" w:sz="4" w:space="0" w:color="auto"/>
              <w:bottom w:val="single" w:sz="4" w:space="0" w:color="auto"/>
              <w:right w:val="single" w:sz="4" w:space="0" w:color="auto"/>
            </w:tcBorders>
          </w:tcPr>
          <w:p w14:paraId="6F345F2E" w14:textId="77777777" w:rsidR="001E7BDC" w:rsidRDefault="001E7BDC" w:rsidP="001E7BDC">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47345E79" w14:textId="77777777" w:rsidR="001E7BDC" w:rsidRDefault="001E7BDC" w:rsidP="001E7BDC">
            <w:pPr>
              <w:pStyle w:val="TableTextNumbersContinued"/>
            </w:pPr>
          </w:p>
          <w:p w14:paraId="3F191E0D" w14:textId="77777777" w:rsidR="001E7BDC" w:rsidRDefault="001E7BDC" w:rsidP="001E7BDC">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Borders>
              <w:top w:val="single" w:sz="4" w:space="0" w:color="auto"/>
              <w:left w:val="single" w:sz="4" w:space="0" w:color="auto"/>
              <w:bottom w:val="single" w:sz="4" w:space="0" w:color="auto"/>
              <w:right w:val="single" w:sz="4" w:space="0" w:color="auto"/>
            </w:tcBorders>
          </w:tcPr>
          <w:p w14:paraId="41A2A73F" w14:textId="77777777" w:rsidR="005B6A94" w:rsidRDefault="001E7BDC" w:rsidP="00AA2B2E">
            <w:pPr>
              <w:pStyle w:val="TableTextBullet"/>
            </w:pPr>
            <w:r>
              <w:t>Compiles and displays the report.</w:t>
            </w:r>
          </w:p>
        </w:tc>
      </w:tr>
      <w:tr w:rsidR="001E7BDC" w14:paraId="5D20FD9E" w14:textId="77777777">
        <w:tc>
          <w:tcPr>
            <w:tcW w:w="3240" w:type="dxa"/>
            <w:tcBorders>
              <w:top w:val="single" w:sz="4" w:space="0" w:color="auto"/>
              <w:left w:val="single" w:sz="4" w:space="0" w:color="auto"/>
              <w:bottom w:val="single" w:sz="4" w:space="0" w:color="auto"/>
              <w:right w:val="single" w:sz="4" w:space="0" w:color="auto"/>
            </w:tcBorders>
          </w:tcPr>
          <w:p w14:paraId="7A4E9A71" w14:textId="56C5E3E8" w:rsidR="001E7BDC" w:rsidRDefault="005C22EF" w:rsidP="001E7BD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1E7BDC" w:rsidRPr="00B93B42">
              <w:rPr>
                <w:rStyle w:val="StyleTableTextNumbersWhite1Char"/>
              </w:rPr>
              <w:t xml:space="preserve"> </w:t>
            </w:r>
          </w:p>
        </w:tc>
        <w:tc>
          <w:tcPr>
            <w:tcW w:w="6120" w:type="dxa"/>
            <w:tcBorders>
              <w:top w:val="single" w:sz="4" w:space="0" w:color="auto"/>
              <w:left w:val="single" w:sz="4" w:space="0" w:color="auto"/>
              <w:bottom w:val="single" w:sz="4" w:space="0" w:color="auto"/>
              <w:right w:val="single" w:sz="4" w:space="0" w:color="auto"/>
            </w:tcBorders>
          </w:tcPr>
          <w:p w14:paraId="2E685D1D" w14:textId="77777777" w:rsidR="005C22EF" w:rsidRDefault="005C22EF" w:rsidP="005C22EF">
            <w:pPr>
              <w:pStyle w:val="TableTextBullet"/>
            </w:pPr>
            <w:r>
              <w:t>If Print is selected, prints the report on the designated printer.</w:t>
            </w:r>
          </w:p>
          <w:p w14:paraId="74C8F8AD" w14:textId="77777777" w:rsidR="005C22EF" w:rsidRDefault="005C22EF" w:rsidP="005C22EF">
            <w:pPr>
              <w:pStyle w:val="TableTextBullet"/>
            </w:pPr>
            <w:r>
              <w:t>If Export is selected, exports the report to the designated file.</w:t>
            </w:r>
          </w:p>
          <w:p w14:paraId="3487E9CC" w14:textId="0697A0DE" w:rsidR="00C62C4D" w:rsidRDefault="005C22EF" w:rsidP="005C22EF">
            <w:pPr>
              <w:pStyle w:val="TableTextBullet"/>
            </w:pPr>
            <w:r>
              <w:t>If Close is selected, exits the report preview.</w:t>
            </w:r>
          </w:p>
        </w:tc>
      </w:tr>
    </w:tbl>
    <w:p w14:paraId="55AE6D50" w14:textId="77777777" w:rsidR="002A21AE" w:rsidRDefault="0067521A">
      <w:pPr>
        <w:pStyle w:val="Heading2"/>
      </w:pPr>
      <w:r>
        <w:br w:type="page"/>
      </w:r>
      <w:bookmarkStart w:id="651" w:name="_Toc47516778"/>
      <w:r w:rsidR="002A21AE">
        <w:lastRenderedPageBreak/>
        <w:t>Cost Accounting Report</w:t>
      </w:r>
      <w:bookmarkEnd w:id="651"/>
      <w:r w:rsidR="002A21AE">
        <w:fldChar w:fldCharType="begin"/>
      </w:r>
      <w:r w:rsidR="002A21AE">
        <w:instrText xml:space="preserve"> XE </w:instrText>
      </w:r>
      <w:r w:rsidR="00FA7E65">
        <w:instrText>“</w:instrText>
      </w:r>
      <w:r w:rsidR="002A21AE">
        <w:instrText>Cost Accounting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UC_75</w:t>
      </w:r>
    </w:p>
    <w:p w14:paraId="1FA48AE1" w14:textId="77777777" w:rsidR="002A21AE" w:rsidRDefault="002A21AE" w:rsidP="00FA7E65">
      <w:pPr>
        <w:pStyle w:val="BodyText"/>
      </w:pPr>
      <w:r>
        <w:t xml:space="preserve">The user views </w:t>
      </w:r>
      <w:r w:rsidR="00EB1E5A">
        <w:t xml:space="preserve">and/or </w:t>
      </w:r>
      <w:r>
        <w:t>prints the Cost Accounting Report.</w:t>
      </w:r>
    </w:p>
    <w:p w14:paraId="06709409" w14:textId="77777777" w:rsidR="002A21AE" w:rsidRDefault="002A21AE">
      <w:pPr>
        <w:pStyle w:val="Heading4"/>
      </w:pPr>
      <w:r>
        <w:t>Assumptions</w:t>
      </w:r>
      <w:r>
        <w:rPr>
          <w:b w:val="0"/>
        </w:rPr>
        <w:t xml:space="preserve"> </w:t>
      </w:r>
    </w:p>
    <w:p w14:paraId="27EBDCE3" w14:textId="77777777" w:rsidR="002A21AE" w:rsidRDefault="002A21AE">
      <w:pPr>
        <w:pStyle w:val="ListBullet"/>
      </w:pPr>
      <w:r>
        <w:t>Data for the report were saved in VBECS.</w:t>
      </w:r>
    </w:p>
    <w:p w14:paraId="1E85AC1C" w14:textId="77777777" w:rsidR="002A21AE" w:rsidRDefault="002A21AE">
      <w:pPr>
        <w:pStyle w:val="Heading4"/>
      </w:pPr>
      <w:r>
        <w:t xml:space="preserve">Outcome </w:t>
      </w:r>
    </w:p>
    <w:p w14:paraId="09287821" w14:textId="77777777" w:rsidR="002A21AE" w:rsidRDefault="002A21AE">
      <w:pPr>
        <w:pStyle w:val="ListBullet"/>
      </w:pPr>
      <w:r>
        <w:t>The report is viewable or printed.</w:t>
      </w:r>
    </w:p>
    <w:p w14:paraId="7095482D" w14:textId="77777777" w:rsidR="002A21AE" w:rsidRDefault="002A21AE">
      <w:pPr>
        <w:pStyle w:val="Heading4"/>
      </w:pPr>
      <w:r>
        <w:t>Limitations and Restrictions</w:t>
      </w:r>
      <w:r>
        <w:rPr>
          <w:b w:val="0"/>
        </w:rPr>
        <w:t xml:space="preserve"> </w:t>
      </w:r>
    </w:p>
    <w:p w14:paraId="29FEDD69" w14:textId="77777777" w:rsidR="002A21AE" w:rsidRDefault="006F5AE0">
      <w:pPr>
        <w:pStyle w:val="ListBullet"/>
      </w:pPr>
      <w:r>
        <w:t>None</w:t>
      </w:r>
    </w:p>
    <w:p w14:paraId="3180D0C0" w14:textId="77777777" w:rsidR="002A21AE" w:rsidRDefault="002A21AE">
      <w:pPr>
        <w:pStyle w:val="Heading4"/>
      </w:pPr>
      <w:r>
        <w:t xml:space="preserve">Additional Information </w:t>
      </w:r>
    </w:p>
    <w:p w14:paraId="35D513CB" w14:textId="5B039DA6" w:rsidR="002A21AE" w:rsidRDefault="002A21AE">
      <w:pPr>
        <w:pStyle w:val="ListBullet"/>
      </w:pPr>
      <w:r>
        <w:t>The report is for a single division.</w:t>
      </w:r>
    </w:p>
    <w:p w14:paraId="34C3E217" w14:textId="545B90CF" w:rsidR="00FC4E14" w:rsidRDefault="00FC4E14" w:rsidP="00FC4E14">
      <w:pPr>
        <w:pStyle w:val="ListBullet"/>
      </w:pPr>
      <w:r w:rsidRPr="00FC4E14">
        <w:t>A unit with an edited return credit in final status will not revert to the original return credit amount when the unit’s final status is removed.</w:t>
      </w:r>
      <w:r w:rsidR="007C00C8">
        <w:t xml:space="preserve"> </w:t>
      </w:r>
      <w:r w:rsidR="007C00C8" w:rsidRPr="00FC4E14">
        <w:t>Select Edit Financial Data and correct the return credit amount.</w:t>
      </w:r>
      <w:r w:rsidR="00244AD3">
        <w:t xml:space="preserve"> </w:t>
      </w:r>
      <w:r w:rsidR="00244AD3" w:rsidRPr="00244AD3">
        <w:rPr>
          <w:vanish/>
        </w:rPr>
        <w:t>Defect 208803</w:t>
      </w:r>
    </w:p>
    <w:p w14:paraId="4A651582" w14:textId="77777777" w:rsidR="002A21AE" w:rsidRDefault="002A21AE">
      <w:pPr>
        <w:pStyle w:val="Heading4"/>
        <w:rPr>
          <w:b w:val="0"/>
        </w:rPr>
      </w:pPr>
      <w:r>
        <w:t>User Roles with Access to This Option</w:t>
      </w:r>
      <w:r>
        <w:rPr>
          <w:b w:val="0"/>
        </w:rPr>
        <w:t xml:space="preserve"> </w:t>
      </w:r>
    </w:p>
    <w:p w14:paraId="22F6F000" w14:textId="77777777" w:rsidR="002A21AE" w:rsidRDefault="00606FB0">
      <w:pPr>
        <w:pStyle w:val="Roles"/>
      </w:pPr>
      <w:r>
        <w:t>All users</w:t>
      </w:r>
    </w:p>
    <w:p w14:paraId="7661E652" w14:textId="77777777" w:rsidR="002A21AE" w:rsidRDefault="002A21AE">
      <w:pPr>
        <w:pStyle w:val="Heading4"/>
      </w:pPr>
      <w:r>
        <w:t>Cost Accounting Report</w:t>
      </w:r>
    </w:p>
    <w:p w14:paraId="24CDCC14" w14:textId="77777777" w:rsidR="002A21AE" w:rsidRDefault="002A21AE" w:rsidP="00FA7E65">
      <w:pPr>
        <w:pStyle w:val="BodyText"/>
      </w:pPr>
      <w:r>
        <w:t xml:space="preserve">The user views </w:t>
      </w:r>
      <w:r w:rsidR="00EB1E5A">
        <w:t xml:space="preserve">and/or </w:t>
      </w:r>
      <w:r>
        <w:t xml:space="preserve">prints the Cost Accounting Report for a division. The Cost Accounting Report itemizes incoming and outgoing shipments, modifications of blood products, and patient testing costs for a given period. The report includes base cost, special testing, </w:t>
      </w:r>
      <w:r w:rsidR="006F5AE0">
        <w:t xml:space="preserve">modifications, </w:t>
      </w:r>
      <w:r>
        <w:t>and return credits for units, as applicable.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0E51352" w14:textId="77777777">
        <w:trPr>
          <w:cantSplit/>
          <w:tblHeader/>
        </w:trPr>
        <w:tc>
          <w:tcPr>
            <w:tcW w:w="3240" w:type="dxa"/>
            <w:shd w:val="pct30" w:color="auto" w:fill="FFFFFF"/>
            <w:vAlign w:val="bottom"/>
          </w:tcPr>
          <w:p w14:paraId="061AF183" w14:textId="77777777" w:rsidR="002A21AE" w:rsidRDefault="002A21AE">
            <w:pPr>
              <w:pStyle w:val="TableText"/>
              <w:rPr>
                <w:b/>
              </w:rPr>
            </w:pPr>
            <w:r>
              <w:rPr>
                <w:b/>
              </w:rPr>
              <w:t>User Action</w:t>
            </w:r>
          </w:p>
        </w:tc>
        <w:tc>
          <w:tcPr>
            <w:tcW w:w="6120" w:type="dxa"/>
            <w:shd w:val="pct30" w:color="auto" w:fill="FFFFFF"/>
            <w:vAlign w:val="bottom"/>
          </w:tcPr>
          <w:p w14:paraId="52AFE4B0" w14:textId="77777777" w:rsidR="002A21AE" w:rsidRDefault="002A21AE">
            <w:pPr>
              <w:pStyle w:val="TableText"/>
              <w:rPr>
                <w:b/>
              </w:rPr>
            </w:pPr>
            <w:r>
              <w:rPr>
                <w:b/>
              </w:rPr>
              <w:t>VBECS</w:t>
            </w:r>
          </w:p>
        </w:tc>
      </w:tr>
      <w:tr w:rsidR="002A21AE" w14:paraId="57A11443" w14:textId="77777777">
        <w:tc>
          <w:tcPr>
            <w:tcW w:w="3240" w:type="dxa"/>
          </w:tcPr>
          <w:p w14:paraId="2F231365" w14:textId="77777777" w:rsidR="002A21AE" w:rsidRDefault="002A21AE" w:rsidP="000409B1">
            <w:pPr>
              <w:pStyle w:val="TableTextNumbers"/>
              <w:numPr>
                <w:ilvl w:val="0"/>
                <w:numId w:val="41"/>
              </w:numPr>
            </w:pPr>
            <w:r>
              <w:t xml:space="preserve">Select </w:t>
            </w:r>
            <w:r w:rsidRPr="002F2DF7">
              <w:t>Reports</w:t>
            </w:r>
            <w:r>
              <w:t xml:space="preserve"> from the main menu.</w:t>
            </w:r>
          </w:p>
          <w:p w14:paraId="6FABE507" w14:textId="77777777" w:rsidR="002A21AE" w:rsidRDefault="002A21AE">
            <w:pPr>
              <w:pStyle w:val="TableTextNumbersContinued"/>
            </w:pPr>
          </w:p>
          <w:p w14:paraId="307E277E" w14:textId="77777777" w:rsidR="002A21AE" w:rsidRDefault="002A21AE">
            <w:pPr>
              <w:pStyle w:val="TableTextNumbersContinued"/>
            </w:pPr>
            <w:r>
              <w:t xml:space="preserve">Select </w:t>
            </w:r>
            <w:r>
              <w:rPr>
                <w:b/>
              </w:rPr>
              <w:t>Cost Accounting Report</w:t>
            </w:r>
            <w:r>
              <w:t>.</w:t>
            </w:r>
          </w:p>
        </w:tc>
        <w:tc>
          <w:tcPr>
            <w:tcW w:w="6120" w:type="dxa"/>
          </w:tcPr>
          <w:p w14:paraId="72BDE09E" w14:textId="77777777" w:rsidR="002A21AE" w:rsidRDefault="002A21AE">
            <w:pPr>
              <w:pStyle w:val="TableTextBullet"/>
            </w:pPr>
            <w:r>
              <w:t>Lists report names.</w:t>
            </w:r>
          </w:p>
          <w:p w14:paraId="795EF10D" w14:textId="77777777" w:rsidR="002A21AE" w:rsidRDefault="002A21AE">
            <w:pPr>
              <w:pStyle w:val="TableTextBullet"/>
            </w:pPr>
            <w:r>
              <w:t xml:space="preserve">Displays report compilation criteria. </w:t>
            </w:r>
          </w:p>
          <w:p w14:paraId="4A52700A" w14:textId="77777777" w:rsidR="002A21AE" w:rsidRDefault="002A21AE">
            <w:pPr>
              <w:pStyle w:val="TableTextBullet"/>
            </w:pPr>
            <w:r>
              <w:t>Displays a date range for selection.</w:t>
            </w:r>
          </w:p>
        </w:tc>
      </w:tr>
      <w:tr w:rsidR="002A21AE" w14:paraId="1A73A773" w14:textId="77777777">
        <w:tc>
          <w:tcPr>
            <w:tcW w:w="3240" w:type="dxa"/>
          </w:tcPr>
          <w:p w14:paraId="59932601" w14:textId="77777777" w:rsidR="002A21AE" w:rsidRDefault="002A21AE">
            <w:pPr>
              <w:pStyle w:val="TableTextNumbers"/>
            </w:pPr>
            <w:r>
              <w:t>Enter or select start and end dates.</w:t>
            </w:r>
          </w:p>
        </w:tc>
        <w:tc>
          <w:tcPr>
            <w:tcW w:w="6120" w:type="dxa"/>
          </w:tcPr>
          <w:p w14:paraId="7D25E221" w14:textId="77777777" w:rsidR="002A21AE" w:rsidRDefault="002A21AE">
            <w:pPr>
              <w:pStyle w:val="TableTextBullet"/>
            </w:pPr>
            <w:r>
              <w:t xml:space="preserve">Compiles and displays the report. </w:t>
            </w:r>
          </w:p>
          <w:p w14:paraId="3161102A" w14:textId="77777777" w:rsidR="002A21AE" w:rsidRDefault="002A21AE">
            <w:pPr>
              <w:pStyle w:val="TableText"/>
            </w:pPr>
          </w:p>
          <w:p w14:paraId="73B5DE9E" w14:textId="7E9ED1D1" w:rsidR="002A21AE" w:rsidRDefault="002A21AE">
            <w:pPr>
              <w:pStyle w:val="TableText"/>
              <w:rPr>
                <w:b/>
                <w:bCs/>
                <w:szCs w:val="18"/>
              </w:rPr>
            </w:pPr>
            <w:r>
              <w:rPr>
                <w:b/>
                <w:bCs/>
                <w:szCs w:val="18"/>
              </w:rPr>
              <w:t>NOTES</w:t>
            </w:r>
          </w:p>
          <w:p w14:paraId="232A388E" w14:textId="77777777" w:rsidR="002A21AE" w:rsidRDefault="002A21AE">
            <w:pPr>
              <w:pStyle w:val="NotesText"/>
            </w:pPr>
          </w:p>
          <w:p w14:paraId="25C85B75" w14:textId="0EE353E6" w:rsidR="002A21AE" w:rsidRDefault="002A21AE">
            <w:pPr>
              <w:pStyle w:val="NotesText"/>
            </w:pPr>
            <w:r>
              <w:rPr>
                <w:rFonts w:cs="Arial"/>
                <w:vanish/>
              </w:rPr>
              <w:t xml:space="preserve">BR_75.03 </w:t>
            </w:r>
            <w:r>
              <w:t xml:space="preserve">Final calculations appear at the end of </w:t>
            </w:r>
            <w:r w:rsidR="00C16592">
              <w:t>each section</w:t>
            </w:r>
            <w:r>
              <w:t>:</w:t>
            </w:r>
          </w:p>
          <w:p w14:paraId="12695001" w14:textId="77777777" w:rsidR="002A21AE" w:rsidRDefault="002A21AE">
            <w:pPr>
              <w:pStyle w:val="NotesTextBullet"/>
            </w:pPr>
            <w:r>
              <w:t>Subtotal of base cost per invoice (Incoming Shipment section only)</w:t>
            </w:r>
          </w:p>
          <w:p w14:paraId="6D2EE830" w14:textId="77777777" w:rsidR="002A21AE" w:rsidRDefault="002A21AE">
            <w:pPr>
              <w:pStyle w:val="NotesTextBullet"/>
            </w:pPr>
            <w:r>
              <w:t>Subtotal of special testing cost (Incoming Shipment section only)</w:t>
            </w:r>
          </w:p>
          <w:p w14:paraId="266DE057" w14:textId="23E9A159" w:rsidR="002A21AE" w:rsidRDefault="002A21AE" w:rsidP="00C3613D">
            <w:pPr>
              <w:pStyle w:val="NotesTextBullet"/>
            </w:pPr>
            <w:r>
              <w:t>Subtotal of return credit for an invoice (Outgoing Shipment section only)</w:t>
            </w:r>
          </w:p>
          <w:p w14:paraId="6044361B" w14:textId="77777777" w:rsidR="002A21AE" w:rsidRDefault="002A21AE">
            <w:pPr>
              <w:pStyle w:val="NotesTextBullet"/>
            </w:pPr>
            <w:r>
              <w:t xml:space="preserve">Total special testing cost of all units </w:t>
            </w:r>
          </w:p>
          <w:p w14:paraId="6A9C7D16" w14:textId="2C720B01" w:rsidR="002A21AE" w:rsidRDefault="002A21AE" w:rsidP="00C3613D">
            <w:pPr>
              <w:pStyle w:val="NotesTextBullet"/>
            </w:pPr>
            <w:r>
              <w:t>Total off-site antibody identification testing cost</w:t>
            </w:r>
          </w:p>
          <w:p w14:paraId="0A95063D" w14:textId="110BEADC" w:rsidR="002A21AE" w:rsidRPr="0034286D" w:rsidRDefault="002A21AE" w:rsidP="00C3613D">
            <w:pPr>
              <w:pStyle w:val="NotesTextBullet"/>
            </w:pPr>
            <w:r>
              <w:t>Total cost of modifications</w:t>
            </w:r>
          </w:p>
          <w:p w14:paraId="5716A2E2" w14:textId="1C606567" w:rsidR="0034286D" w:rsidRDefault="0034286D">
            <w:pPr>
              <w:pStyle w:val="NotesTextBullet"/>
            </w:pPr>
            <w:r>
              <w:t>Total cost of units inactivated</w:t>
            </w:r>
          </w:p>
        </w:tc>
      </w:tr>
      <w:tr w:rsidR="002A21AE" w14:paraId="022E44EE" w14:textId="77777777">
        <w:tc>
          <w:tcPr>
            <w:tcW w:w="3240" w:type="dxa"/>
          </w:tcPr>
          <w:p w14:paraId="61EB971B" w14:textId="77777777" w:rsidR="002A21AE" w:rsidRDefault="002A21AE">
            <w:pPr>
              <w:pStyle w:val="TableTextNumbers"/>
            </w:pPr>
            <w:r>
              <w:t xml:space="preserve">In the Report Compilation area, click the </w:t>
            </w:r>
            <w:r>
              <w:rPr>
                <w:b/>
              </w:rPr>
              <w:t>Create Report Now</w:t>
            </w:r>
            <w:r>
              <w:t xml:space="preserve"> </w:t>
            </w:r>
            <w:r w:rsidRPr="00BF2E41">
              <w:lastRenderedPageBreak/>
              <w:t>radio button</w:t>
            </w:r>
            <w:r>
              <w:t xml:space="preserve">. Click </w:t>
            </w:r>
            <w:r>
              <w:rPr>
                <w:b/>
              </w:rPr>
              <w:t>OK</w:t>
            </w:r>
            <w:r>
              <w:t xml:space="preserve"> to view the report, or</w:t>
            </w:r>
          </w:p>
          <w:p w14:paraId="2610C6B8" w14:textId="77777777" w:rsidR="002A21AE" w:rsidRDefault="002A21AE">
            <w:pPr>
              <w:pStyle w:val="TableTextNumbersContinued"/>
            </w:pPr>
          </w:p>
          <w:p w14:paraId="6CA44780"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557DE5A" w14:textId="77777777" w:rsidR="002A21AE" w:rsidRDefault="00F64B5C" w:rsidP="00F64B5C">
            <w:pPr>
              <w:pStyle w:val="TableTextBullet"/>
            </w:pPr>
            <w:r>
              <w:lastRenderedPageBreak/>
              <w:t>Compiles and displays the report.</w:t>
            </w:r>
          </w:p>
          <w:p w14:paraId="46FA0F6B" w14:textId="77777777" w:rsidR="005B6A94" w:rsidRDefault="005B6A94" w:rsidP="00AA2B2E">
            <w:pPr>
              <w:pStyle w:val="TableTextBullet"/>
              <w:numPr>
                <w:ilvl w:val="0"/>
                <w:numId w:val="0"/>
              </w:numPr>
            </w:pPr>
          </w:p>
        </w:tc>
      </w:tr>
      <w:tr w:rsidR="002A21AE" w14:paraId="5E4701BD" w14:textId="77777777">
        <w:tc>
          <w:tcPr>
            <w:tcW w:w="3240" w:type="dxa"/>
          </w:tcPr>
          <w:p w14:paraId="441715C2" w14:textId="1E9657B2"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numberingChange w:id="652" w:author="Blalock, David (Leidos)" w:date="2020-06-15T14:09:00Z" w:original="0."/>
              </w:fldChar>
            </w:r>
          </w:p>
        </w:tc>
        <w:tc>
          <w:tcPr>
            <w:tcW w:w="6120" w:type="dxa"/>
          </w:tcPr>
          <w:p w14:paraId="49D8AB48" w14:textId="77777777" w:rsidR="005C22EF" w:rsidRDefault="005C22EF" w:rsidP="005C22EF">
            <w:pPr>
              <w:pStyle w:val="TableTextBullet"/>
            </w:pPr>
            <w:r>
              <w:t>If Print is selected, prints the report on the designated printer.</w:t>
            </w:r>
          </w:p>
          <w:p w14:paraId="182FCC97" w14:textId="77777777" w:rsidR="005C22EF" w:rsidRDefault="005C22EF" w:rsidP="005C22EF">
            <w:pPr>
              <w:pStyle w:val="TableTextBullet"/>
            </w:pPr>
            <w:r>
              <w:t>If Export is selected, exports the report to the designated file.</w:t>
            </w:r>
          </w:p>
          <w:p w14:paraId="44AA8F44" w14:textId="0B40C2E7" w:rsidR="002A21AE" w:rsidRDefault="005C22EF" w:rsidP="005C22EF">
            <w:pPr>
              <w:pStyle w:val="TableTextBullet"/>
            </w:pPr>
            <w:r>
              <w:t>If Close is selected, exits the report preview.</w:t>
            </w:r>
          </w:p>
        </w:tc>
      </w:tr>
    </w:tbl>
    <w:p w14:paraId="651A87EC" w14:textId="77777777" w:rsidR="00F55832" w:rsidRDefault="00F55832">
      <w:pPr>
        <w:pStyle w:val="Heading2"/>
      </w:pPr>
    </w:p>
    <w:p w14:paraId="45DD67E3" w14:textId="77777777" w:rsidR="002A21AE" w:rsidRDefault="00F55832">
      <w:pPr>
        <w:pStyle w:val="Heading2"/>
      </w:pPr>
      <w:r>
        <w:br w:type="page"/>
      </w:r>
      <w:bookmarkStart w:id="653" w:name="_Toc47516779"/>
      <w:r w:rsidR="002A21AE">
        <w:lastRenderedPageBreak/>
        <w:t>C:T Ratio Report</w:t>
      </w:r>
      <w:bookmarkEnd w:id="653"/>
      <w:r w:rsidR="002A21AE">
        <w:fldChar w:fldCharType="begin"/>
      </w:r>
      <w:r w:rsidR="002A21AE">
        <w:instrText xml:space="preserve"> XE </w:instrText>
      </w:r>
      <w:r w:rsidR="00FA7E65">
        <w:instrText>“</w:instrText>
      </w:r>
      <w:r w:rsidR="002A21AE">
        <w:instrText>C\:T Ratio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UC_104</w:t>
      </w:r>
      <w:r w:rsidR="002A21AE">
        <w:rPr>
          <w:rStyle w:val="CommentReference"/>
          <w:rFonts w:ascii="Times New Roman" w:hAnsi="Times New Roman" w:cs="Times New Roman"/>
          <w:b w:val="0"/>
          <w:bCs w:val="0"/>
          <w:vanish/>
        </w:rPr>
        <w:t xml:space="preserve"> </w:t>
      </w:r>
    </w:p>
    <w:p w14:paraId="59E752AB" w14:textId="77777777" w:rsidR="002A21AE" w:rsidRDefault="002A21AE" w:rsidP="00FA7E65">
      <w:pPr>
        <w:pStyle w:val="BodyText"/>
      </w:pPr>
      <w:r>
        <w:t xml:space="preserve">The user views </w:t>
      </w:r>
      <w:r w:rsidR="00EB1E5A">
        <w:t xml:space="preserve">and/or </w:t>
      </w:r>
      <w:r w:rsidR="00F86A79">
        <w:t>prints the C:T Ratio Report</w:t>
      </w:r>
      <w:r>
        <w:t>.</w:t>
      </w:r>
    </w:p>
    <w:p w14:paraId="1A5B56D8" w14:textId="77777777" w:rsidR="002A21AE" w:rsidRDefault="002A21AE">
      <w:pPr>
        <w:pStyle w:val="Heading4"/>
      </w:pPr>
      <w:r>
        <w:t>Assumptions</w:t>
      </w:r>
      <w:r>
        <w:rPr>
          <w:b w:val="0"/>
        </w:rPr>
        <w:t xml:space="preserve"> </w:t>
      </w:r>
    </w:p>
    <w:p w14:paraId="3D1F6573" w14:textId="77777777" w:rsidR="002A21AE" w:rsidRDefault="002A21AE">
      <w:pPr>
        <w:pStyle w:val="ListBullet"/>
      </w:pPr>
      <w:r>
        <w:t>Data for the report are available.</w:t>
      </w:r>
    </w:p>
    <w:p w14:paraId="7883C377" w14:textId="77777777" w:rsidR="002A21AE" w:rsidRDefault="002A21AE">
      <w:pPr>
        <w:pStyle w:val="Heading4"/>
      </w:pPr>
      <w:r>
        <w:t xml:space="preserve">Outcome </w:t>
      </w:r>
    </w:p>
    <w:p w14:paraId="71EEB280" w14:textId="77777777" w:rsidR="002A21AE" w:rsidRDefault="002A21AE">
      <w:pPr>
        <w:pStyle w:val="ListBullet"/>
      </w:pPr>
      <w:r>
        <w:t>The report is viewed or printed.</w:t>
      </w:r>
    </w:p>
    <w:p w14:paraId="6D42C585" w14:textId="77777777" w:rsidR="002A21AE" w:rsidRDefault="002A21AE">
      <w:pPr>
        <w:pStyle w:val="Heading4"/>
        <w:rPr>
          <w:b w:val="0"/>
        </w:rPr>
      </w:pPr>
      <w:r>
        <w:t>Limitations and Restrictions</w:t>
      </w:r>
      <w:r>
        <w:rPr>
          <w:b w:val="0"/>
        </w:rPr>
        <w:t xml:space="preserve"> </w:t>
      </w:r>
    </w:p>
    <w:p w14:paraId="35A0643F" w14:textId="77777777" w:rsidR="002A21AE" w:rsidRDefault="002A21AE">
      <w:pPr>
        <w:pStyle w:val="ListBullet"/>
      </w:pPr>
      <w:r>
        <w:t>None</w:t>
      </w:r>
    </w:p>
    <w:p w14:paraId="65329223" w14:textId="77777777" w:rsidR="002A21AE" w:rsidRDefault="002A21AE">
      <w:pPr>
        <w:pStyle w:val="Heading4"/>
      </w:pPr>
      <w:r>
        <w:t xml:space="preserve">Additional Information </w:t>
      </w:r>
    </w:p>
    <w:p w14:paraId="601D2CF8" w14:textId="41F79690" w:rsidR="002A21AE" w:rsidRDefault="002A21AE">
      <w:pPr>
        <w:pStyle w:val="ListBullet"/>
      </w:pPr>
      <w:r>
        <w:t xml:space="preserve">This </w:t>
      </w:r>
      <w:r w:rsidR="00834BA7">
        <w:t xml:space="preserve">ratio </w:t>
      </w:r>
      <w:r>
        <w:t>calculation include</w:t>
      </w:r>
      <w:r w:rsidR="00834BA7">
        <w:t>s all</w:t>
      </w:r>
      <w:r>
        <w:t xml:space="preserve"> component classes</w:t>
      </w:r>
      <w:r w:rsidR="00834BA7">
        <w:t>.</w:t>
      </w:r>
      <w:r>
        <w:t xml:space="preserve"> </w:t>
      </w:r>
      <w:r w:rsidR="00834BA7">
        <w:t>For component classes that are not crossmatched, the number of blood units assigned to the patient are used as a basis for calculation</w:t>
      </w:r>
      <w:r>
        <w:t>.</w:t>
      </w:r>
    </w:p>
    <w:p w14:paraId="5A530148" w14:textId="77777777" w:rsidR="00F86A79" w:rsidRDefault="00F86A79" w:rsidP="00F86A79">
      <w:pPr>
        <w:pStyle w:val="ListBullet"/>
      </w:pPr>
      <w:r>
        <w:t>The report is available as a single-division or multidivisional (all divisions) report.</w:t>
      </w:r>
    </w:p>
    <w:p w14:paraId="3D65032B" w14:textId="77777777" w:rsidR="002A21AE" w:rsidRDefault="002A21AE">
      <w:pPr>
        <w:pStyle w:val="Heading4"/>
        <w:rPr>
          <w:b w:val="0"/>
        </w:rPr>
      </w:pPr>
      <w:r>
        <w:t>User Roles with Access to This Option</w:t>
      </w:r>
      <w:r>
        <w:rPr>
          <w:b w:val="0"/>
        </w:rPr>
        <w:t xml:space="preserve"> </w:t>
      </w:r>
    </w:p>
    <w:p w14:paraId="6737648E" w14:textId="77777777" w:rsidR="002A21AE" w:rsidRDefault="00606FB0">
      <w:pPr>
        <w:pStyle w:val="Roles"/>
      </w:pPr>
      <w:r>
        <w:t>All users</w:t>
      </w:r>
    </w:p>
    <w:p w14:paraId="531996EB" w14:textId="77777777" w:rsidR="002A21AE" w:rsidRDefault="002A21AE">
      <w:pPr>
        <w:pStyle w:val="Heading4"/>
      </w:pPr>
      <w:r>
        <w:t>C:T Ratio Report</w:t>
      </w:r>
      <w:r>
        <w:rPr>
          <w:rStyle w:val="CommentReference"/>
          <w:rFonts w:ascii="Times New Roman" w:hAnsi="Times New Roman"/>
          <w:b w:val="0"/>
          <w:bCs/>
          <w:vanish/>
        </w:rPr>
        <w:t xml:space="preserve"> </w:t>
      </w:r>
    </w:p>
    <w:p w14:paraId="17BF8E77" w14:textId="1C60E6B9" w:rsidR="002A21AE" w:rsidRDefault="002A21AE" w:rsidP="00FA7E65">
      <w:pPr>
        <w:pStyle w:val="BodyText"/>
      </w:pPr>
      <w:r>
        <w:t>This option compiles and calculates the crossmatch</w:t>
      </w:r>
      <w:r w:rsidR="008C7C92">
        <w:t>/assigned</w:t>
      </w:r>
      <w:r>
        <w:t>-</w:t>
      </w:r>
      <w:r w:rsidR="00991CFE">
        <w:t>to-transfusion ratio.</w:t>
      </w:r>
      <w:r w:rsidR="00517AC6">
        <w:t xml:space="preserve"> The user may select one of five report formats.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55415A0" w14:textId="77777777">
        <w:trPr>
          <w:cantSplit/>
          <w:tblHeader/>
        </w:trPr>
        <w:tc>
          <w:tcPr>
            <w:tcW w:w="3240" w:type="dxa"/>
            <w:shd w:val="pct30" w:color="auto" w:fill="FFFFFF"/>
            <w:vAlign w:val="bottom"/>
          </w:tcPr>
          <w:p w14:paraId="2AC91D95" w14:textId="77777777" w:rsidR="002A21AE" w:rsidRDefault="002A21AE">
            <w:pPr>
              <w:pStyle w:val="TableText"/>
              <w:rPr>
                <w:b/>
              </w:rPr>
            </w:pPr>
            <w:r>
              <w:rPr>
                <w:b/>
              </w:rPr>
              <w:t>User Action</w:t>
            </w:r>
          </w:p>
        </w:tc>
        <w:tc>
          <w:tcPr>
            <w:tcW w:w="6120" w:type="dxa"/>
            <w:shd w:val="pct30" w:color="auto" w:fill="FFFFFF"/>
            <w:vAlign w:val="bottom"/>
          </w:tcPr>
          <w:p w14:paraId="0080B95F" w14:textId="77777777" w:rsidR="002A21AE" w:rsidRDefault="002A21AE">
            <w:pPr>
              <w:pStyle w:val="TableText"/>
              <w:rPr>
                <w:b/>
              </w:rPr>
            </w:pPr>
            <w:r>
              <w:rPr>
                <w:b/>
              </w:rPr>
              <w:t>VBECS</w:t>
            </w:r>
          </w:p>
        </w:tc>
      </w:tr>
      <w:tr w:rsidR="002A21AE" w14:paraId="4E51CC9C" w14:textId="77777777">
        <w:tc>
          <w:tcPr>
            <w:tcW w:w="3240" w:type="dxa"/>
          </w:tcPr>
          <w:p w14:paraId="65CE8A18" w14:textId="77777777" w:rsidR="002A21AE" w:rsidRDefault="002A21AE">
            <w:pPr>
              <w:pStyle w:val="TableTextNumbers"/>
            </w:pPr>
            <w:r>
              <w:t xml:space="preserve">Select </w:t>
            </w:r>
            <w:r>
              <w:rPr>
                <w:b/>
              </w:rPr>
              <w:t>Reports</w:t>
            </w:r>
            <w:r>
              <w:t xml:space="preserve"> from the main menu.</w:t>
            </w:r>
          </w:p>
          <w:p w14:paraId="3F94A066" w14:textId="77777777" w:rsidR="002A21AE" w:rsidRDefault="002A21AE">
            <w:pPr>
              <w:pStyle w:val="TableTextNumbersContinued"/>
            </w:pPr>
          </w:p>
          <w:p w14:paraId="43DA2F30" w14:textId="77777777" w:rsidR="002A21AE" w:rsidRDefault="002A21AE">
            <w:pPr>
              <w:pStyle w:val="TableTextNumbersContinued"/>
            </w:pPr>
            <w:r>
              <w:t xml:space="preserve">Select </w:t>
            </w:r>
            <w:r>
              <w:rPr>
                <w:b/>
              </w:rPr>
              <w:t>C:T Ratio Report</w:t>
            </w:r>
            <w:r>
              <w:t>.</w:t>
            </w:r>
          </w:p>
        </w:tc>
        <w:tc>
          <w:tcPr>
            <w:tcW w:w="6120" w:type="dxa"/>
          </w:tcPr>
          <w:p w14:paraId="24511EE1" w14:textId="77777777" w:rsidR="002A21AE" w:rsidRDefault="002A21AE">
            <w:pPr>
              <w:pStyle w:val="TableTextBullet"/>
            </w:pPr>
            <w:r>
              <w:t>Lists report names.</w:t>
            </w:r>
          </w:p>
          <w:p w14:paraId="571A5A6E" w14:textId="77777777" w:rsidR="002A21AE" w:rsidRDefault="002A21AE">
            <w:pPr>
              <w:pStyle w:val="TableTextBullet"/>
            </w:pPr>
            <w:r>
              <w:t xml:space="preserve">Displays report type and compilation criteria. </w:t>
            </w:r>
          </w:p>
          <w:p w14:paraId="290C0CBF" w14:textId="5257EF86" w:rsidR="002A21AE" w:rsidRDefault="002A21AE">
            <w:pPr>
              <w:pStyle w:val="TableTextBullet"/>
            </w:pPr>
            <w:r>
              <w:t xml:space="preserve">Displays a date range for selection. </w:t>
            </w:r>
          </w:p>
        </w:tc>
      </w:tr>
      <w:tr w:rsidR="002A21AE" w14:paraId="47E1AE6A" w14:textId="77777777">
        <w:tc>
          <w:tcPr>
            <w:tcW w:w="3240" w:type="dxa"/>
          </w:tcPr>
          <w:p w14:paraId="3323529E" w14:textId="0345A509" w:rsidR="002A21AE" w:rsidRDefault="002A21AE">
            <w:pPr>
              <w:pStyle w:val="TableTextNumbers"/>
            </w:pPr>
            <w:r>
              <w:t>Enter a date range.</w:t>
            </w:r>
          </w:p>
        </w:tc>
        <w:tc>
          <w:tcPr>
            <w:tcW w:w="6120" w:type="dxa"/>
          </w:tcPr>
          <w:p w14:paraId="6D2537FC" w14:textId="77777777" w:rsidR="002A21AE" w:rsidRDefault="002A21AE" w:rsidP="00960693">
            <w:pPr>
              <w:pStyle w:val="TableTextBullet"/>
            </w:pPr>
            <w:r>
              <w:t>Displays an option to compile the report for one or all divisions in the database.</w:t>
            </w:r>
          </w:p>
        </w:tc>
      </w:tr>
      <w:tr w:rsidR="002A21AE" w14:paraId="759A6601" w14:textId="77777777">
        <w:tc>
          <w:tcPr>
            <w:tcW w:w="3240" w:type="dxa"/>
          </w:tcPr>
          <w:p w14:paraId="37ECF9B1" w14:textId="77777777" w:rsidR="002A21AE" w:rsidRDefault="002A21AE">
            <w:pPr>
              <w:pStyle w:val="TableTextNumbers"/>
            </w:pPr>
            <w:r>
              <w:t xml:space="preserve">Click the </w:t>
            </w:r>
            <w:r>
              <w:rPr>
                <w:b/>
              </w:rPr>
              <w:t>Current Division</w:t>
            </w:r>
            <w:r>
              <w:t xml:space="preserve"> or </w:t>
            </w:r>
            <w:r>
              <w:rPr>
                <w:b/>
              </w:rPr>
              <w:t>All Divisions</w:t>
            </w:r>
            <w:r>
              <w:t xml:space="preserve"> </w:t>
            </w:r>
            <w:r w:rsidRPr="00BF2E41">
              <w:t>radio button</w:t>
            </w:r>
            <w:r>
              <w:t>.</w:t>
            </w:r>
          </w:p>
        </w:tc>
        <w:tc>
          <w:tcPr>
            <w:tcW w:w="6120" w:type="dxa"/>
          </w:tcPr>
          <w:p w14:paraId="1933C555" w14:textId="77777777" w:rsidR="002A21AE" w:rsidRDefault="002A21AE">
            <w:pPr>
              <w:pStyle w:val="TableTextBullet"/>
            </w:pPr>
            <w:r>
              <w:t>Allows the user to select a report format.</w:t>
            </w:r>
          </w:p>
          <w:p w14:paraId="72261309" w14:textId="77777777" w:rsidR="002A21AE" w:rsidRDefault="002A21AE">
            <w:pPr>
              <w:pStyle w:val="TableText"/>
            </w:pPr>
          </w:p>
          <w:p w14:paraId="39B53336" w14:textId="2DE44A12" w:rsidR="002A21AE" w:rsidRDefault="002A21AE">
            <w:pPr>
              <w:pStyle w:val="TableText"/>
              <w:rPr>
                <w:b/>
                <w:bCs/>
                <w:szCs w:val="18"/>
              </w:rPr>
            </w:pPr>
            <w:r>
              <w:rPr>
                <w:b/>
                <w:bCs/>
                <w:szCs w:val="18"/>
              </w:rPr>
              <w:t>NOTES</w:t>
            </w:r>
          </w:p>
          <w:p w14:paraId="777A6AAB" w14:textId="77777777" w:rsidR="002A21AE" w:rsidRDefault="002A21AE">
            <w:pPr>
              <w:pStyle w:val="NotesText"/>
            </w:pPr>
          </w:p>
          <w:p w14:paraId="2E5B09F9" w14:textId="7199E8DE" w:rsidR="002A21AE" w:rsidRDefault="002A21AE">
            <w:pPr>
              <w:pStyle w:val="NotesText"/>
            </w:pPr>
            <w:r>
              <w:rPr>
                <w:rFonts w:cs="Arial"/>
                <w:vanish/>
              </w:rPr>
              <w:t xml:space="preserve">BR_104.08 </w:t>
            </w:r>
            <w:r>
              <w:t>The user may request the</w:t>
            </w:r>
            <w:r w:rsidR="003D604B">
              <w:t xml:space="preserve"> Detailed R</w:t>
            </w:r>
            <w:r w:rsidR="0068564B">
              <w:t xml:space="preserve">eport, </w:t>
            </w:r>
            <w:r w:rsidR="004531B5">
              <w:t xml:space="preserve">Ordering </w:t>
            </w:r>
            <w:r w:rsidR="0068564B">
              <w:t>Physician Summary Report</w:t>
            </w:r>
            <w:r w:rsidR="003D604B">
              <w:t>, Treating Specialty Summary Report</w:t>
            </w:r>
            <w:r w:rsidR="0068564B">
              <w:t xml:space="preserve">, Detailed Report with </w:t>
            </w:r>
            <w:r w:rsidR="00BC7B60">
              <w:t xml:space="preserve">Ordering </w:t>
            </w:r>
            <w:r w:rsidR="0068564B">
              <w:t>Physician Summary, or Detailed Report with Treating Specialty Summary</w:t>
            </w:r>
            <w:r w:rsidR="003D604B">
              <w:t>.</w:t>
            </w:r>
            <w:r>
              <w:t xml:space="preserve"> </w:t>
            </w:r>
          </w:p>
        </w:tc>
      </w:tr>
      <w:tr w:rsidR="002A21AE" w14:paraId="1E7E545F" w14:textId="77777777">
        <w:tc>
          <w:tcPr>
            <w:tcW w:w="3240" w:type="dxa"/>
          </w:tcPr>
          <w:p w14:paraId="3F481851" w14:textId="77777777" w:rsidR="002A21AE" w:rsidRDefault="002A21AE">
            <w:pPr>
              <w:pStyle w:val="TableTextNumbers"/>
            </w:pPr>
            <w:r>
              <w:t>Click a radio button to select a report format:</w:t>
            </w:r>
          </w:p>
          <w:p w14:paraId="4BD9C141" w14:textId="77777777" w:rsidR="002A21AE" w:rsidRPr="00945BF5" w:rsidRDefault="002A21AE">
            <w:pPr>
              <w:pStyle w:val="TableTextNumbersBullet"/>
              <w:rPr>
                <w:b/>
              </w:rPr>
            </w:pPr>
            <w:r w:rsidRPr="00945BF5">
              <w:rPr>
                <w:b/>
              </w:rPr>
              <w:t>Detailed Report</w:t>
            </w:r>
          </w:p>
          <w:p w14:paraId="7BD7AEAE" w14:textId="71518F33" w:rsidR="002A21AE" w:rsidRPr="00945BF5" w:rsidRDefault="00834BA7">
            <w:pPr>
              <w:pStyle w:val="TableTextNumbersBullet"/>
              <w:rPr>
                <w:b/>
              </w:rPr>
            </w:pPr>
            <w:r>
              <w:rPr>
                <w:b/>
              </w:rPr>
              <w:t xml:space="preserve">Ordering </w:t>
            </w:r>
            <w:r w:rsidR="002A21AE" w:rsidRPr="00945BF5">
              <w:rPr>
                <w:b/>
              </w:rPr>
              <w:t>Physician Summary Report</w:t>
            </w:r>
          </w:p>
          <w:p w14:paraId="1C5541C6" w14:textId="77777777" w:rsidR="002A21AE" w:rsidRPr="00945BF5" w:rsidRDefault="002A21AE">
            <w:pPr>
              <w:pStyle w:val="TableTextNumbersBullet"/>
              <w:rPr>
                <w:b/>
              </w:rPr>
            </w:pPr>
            <w:r w:rsidRPr="00945BF5">
              <w:rPr>
                <w:b/>
              </w:rPr>
              <w:t>Treating Specialty Summary Report</w:t>
            </w:r>
          </w:p>
          <w:p w14:paraId="0DC90673" w14:textId="1A20FE09" w:rsidR="002A21AE" w:rsidRPr="00945BF5" w:rsidRDefault="002A21AE">
            <w:pPr>
              <w:pStyle w:val="TableTextNumbersBullet"/>
              <w:rPr>
                <w:b/>
              </w:rPr>
            </w:pPr>
            <w:r w:rsidRPr="00945BF5">
              <w:rPr>
                <w:b/>
              </w:rPr>
              <w:t xml:space="preserve">Detailed Report with </w:t>
            </w:r>
            <w:r w:rsidR="00834BA7">
              <w:rPr>
                <w:b/>
              </w:rPr>
              <w:t xml:space="preserve">Ordering </w:t>
            </w:r>
            <w:r w:rsidRPr="00945BF5">
              <w:rPr>
                <w:b/>
              </w:rPr>
              <w:t>Physician Summary</w:t>
            </w:r>
          </w:p>
          <w:p w14:paraId="7409221F" w14:textId="77777777" w:rsidR="002A21AE" w:rsidRDefault="002A21AE">
            <w:pPr>
              <w:pStyle w:val="TableTextNumbersBullet"/>
            </w:pPr>
            <w:r w:rsidRPr="00945BF5">
              <w:rPr>
                <w:b/>
              </w:rPr>
              <w:lastRenderedPageBreak/>
              <w:t>Detailed Report with Treating Specialty Summary</w:t>
            </w:r>
          </w:p>
        </w:tc>
        <w:tc>
          <w:tcPr>
            <w:tcW w:w="6120" w:type="dxa"/>
          </w:tcPr>
          <w:p w14:paraId="1D6EEFE2" w14:textId="77777777" w:rsidR="002A21AE" w:rsidRDefault="002A21AE">
            <w:pPr>
              <w:pStyle w:val="TableTextBullet"/>
            </w:pPr>
            <w:r>
              <w:lastRenderedPageBreak/>
              <w:t>Compiles the report and displays an option to print the report or exit.</w:t>
            </w:r>
          </w:p>
          <w:p w14:paraId="43F564E1" w14:textId="77777777" w:rsidR="002A21AE" w:rsidRDefault="002A21AE">
            <w:pPr>
              <w:pStyle w:val="TableText"/>
            </w:pPr>
          </w:p>
          <w:p w14:paraId="382BD2EC" w14:textId="29FA53DB" w:rsidR="002A21AE" w:rsidRDefault="002A21AE">
            <w:pPr>
              <w:pStyle w:val="TableText"/>
              <w:rPr>
                <w:b/>
                <w:bCs/>
                <w:szCs w:val="18"/>
              </w:rPr>
            </w:pPr>
            <w:r>
              <w:rPr>
                <w:b/>
                <w:bCs/>
                <w:szCs w:val="18"/>
              </w:rPr>
              <w:t>NOTES</w:t>
            </w:r>
          </w:p>
          <w:p w14:paraId="044770A5" w14:textId="77777777" w:rsidR="002A21AE" w:rsidRDefault="002A21AE">
            <w:pPr>
              <w:pStyle w:val="NotesText"/>
            </w:pPr>
          </w:p>
          <w:p w14:paraId="43B9134D" w14:textId="77777777" w:rsidR="00727AC7" w:rsidRDefault="002A21AE" w:rsidP="00727AC7">
            <w:pPr>
              <w:pStyle w:val="NotesText"/>
              <w:rPr>
                <w:rFonts w:cs="Arial"/>
                <w:vanish/>
              </w:rPr>
            </w:pPr>
            <w:r>
              <w:rPr>
                <w:rFonts w:cs="Arial"/>
                <w:vanish/>
              </w:rPr>
              <w:t xml:space="preserve">BR_104.03 </w:t>
            </w:r>
            <w:r>
              <w:t>The physician included in this report is the ordering physician.</w:t>
            </w:r>
            <w:r w:rsidR="00A1063F">
              <w:t xml:space="preserve"> </w:t>
            </w:r>
            <w:r w:rsidR="00727AC7">
              <w:rPr>
                <w:rFonts w:cs="Arial"/>
                <w:vanish/>
              </w:rPr>
              <w:t xml:space="preserve"> </w:t>
            </w:r>
          </w:p>
          <w:p w14:paraId="2E265501" w14:textId="77777777" w:rsidR="00727AC7" w:rsidRDefault="00727AC7" w:rsidP="00727AC7">
            <w:pPr>
              <w:pStyle w:val="NotesText"/>
              <w:rPr>
                <w:rFonts w:cs="Arial"/>
                <w:vanish/>
              </w:rPr>
            </w:pPr>
          </w:p>
          <w:p w14:paraId="0F97CDA6" w14:textId="2F3B2C51" w:rsidR="00727AC7" w:rsidRDefault="00727AC7" w:rsidP="00727AC7">
            <w:pPr>
              <w:pStyle w:val="NotesText"/>
            </w:pPr>
            <w:r>
              <w:rPr>
                <w:rFonts w:cs="Arial"/>
                <w:vanish/>
              </w:rPr>
              <w:t xml:space="preserve">BR_104.06 </w:t>
            </w:r>
            <w:r>
              <w:t>VBECS compiles the C:T ratio report as a summary or detailed report. All versions include a single C:T ratio for the division</w:t>
            </w:r>
            <w:r w:rsidR="00AF71F0">
              <w:t xml:space="preserve"> and each component class</w:t>
            </w:r>
            <w:r>
              <w:t xml:space="preserve">. </w:t>
            </w:r>
            <w:r w:rsidR="00AF71F0">
              <w:t>When a number of transfused units is 0, the ratio is equal to the number of units assigned and crossmatched.</w:t>
            </w:r>
          </w:p>
          <w:p w14:paraId="4DB91B51" w14:textId="77777777" w:rsidR="00727AC7" w:rsidRDefault="00727AC7" w:rsidP="00727AC7">
            <w:pPr>
              <w:pStyle w:val="NotesText"/>
            </w:pPr>
          </w:p>
          <w:p w14:paraId="5159CD3D" w14:textId="5A41196D" w:rsidR="00727AC7" w:rsidRDefault="00727AC7" w:rsidP="00727AC7">
            <w:pPr>
              <w:pStyle w:val="NotesText"/>
            </w:pPr>
            <w:r>
              <w:lastRenderedPageBreak/>
              <w:t>VBECS determines the C:T ratio for a division by dividing the number of units</w:t>
            </w:r>
            <w:r w:rsidR="00834BA7">
              <w:t xml:space="preserve"> assigned or</w:t>
            </w:r>
            <w:r>
              <w:t xml:space="preserve"> crossmatched </w:t>
            </w:r>
            <w:r w:rsidR="001F0C1C">
              <w:t>(electronic</w:t>
            </w:r>
            <w:r w:rsidR="00A9622F">
              <w:t>ally</w:t>
            </w:r>
            <w:r w:rsidR="001F0C1C">
              <w:t xml:space="preserve"> or serologic) </w:t>
            </w:r>
            <w:r>
              <w:t xml:space="preserve">during the period selected by the number of units transfused at the division. </w:t>
            </w:r>
          </w:p>
          <w:p w14:paraId="7D237CB1" w14:textId="77777777" w:rsidR="00727AC7" w:rsidRDefault="00727AC7" w:rsidP="00727AC7">
            <w:pPr>
              <w:pStyle w:val="NotesText"/>
            </w:pPr>
          </w:p>
          <w:p w14:paraId="557382D8" w14:textId="77777777" w:rsidR="002A21AE" w:rsidRDefault="00727AC7" w:rsidP="00727AC7">
            <w:pPr>
              <w:pStyle w:val="NotesText"/>
            </w:pPr>
            <w:r>
              <w:t>This calculation does not include units with a XM result of “Compatible - Don’t Transfuse” or “Incompatible - Unsafe to Transfuse.”</w:t>
            </w:r>
          </w:p>
          <w:p w14:paraId="4B6F6BB7" w14:textId="77777777" w:rsidR="00960693" w:rsidRDefault="00960693" w:rsidP="00960693">
            <w:pPr>
              <w:pStyle w:val="NotesText"/>
            </w:pPr>
          </w:p>
          <w:p w14:paraId="0C841DC1" w14:textId="7BF8A139" w:rsidR="00960693" w:rsidRDefault="00960693" w:rsidP="00960693">
            <w:pPr>
              <w:pStyle w:val="NotesText"/>
            </w:pPr>
            <w:r>
              <w:rPr>
                <w:rFonts w:cs="Arial"/>
                <w:vanish/>
              </w:rPr>
              <w:t xml:space="preserve">BR_104.07 </w:t>
            </w:r>
            <w:r>
              <w:t xml:space="preserve">The detailed C:T ratio report includes a list of units </w:t>
            </w:r>
            <w:r w:rsidR="00834BA7">
              <w:t xml:space="preserve">assigned or </w:t>
            </w:r>
            <w:r>
              <w:t xml:space="preserve">crossmatched </w:t>
            </w:r>
            <w:r w:rsidR="00270ABE">
              <w:t>(electronic</w:t>
            </w:r>
            <w:r w:rsidR="00A9622F">
              <w:t>ally</w:t>
            </w:r>
            <w:r w:rsidR="00270ABE">
              <w:t xml:space="preserve"> or serologic) </w:t>
            </w:r>
            <w:r>
              <w:t xml:space="preserve">for a patient during the selected date range. The report includes the unit ID, </w:t>
            </w:r>
            <w:r w:rsidR="00834BA7">
              <w:t xml:space="preserve">ordering </w:t>
            </w:r>
            <w:r>
              <w:t>physician name,</w:t>
            </w:r>
            <w:r w:rsidR="00834BA7">
              <w:t xml:space="preserve"> unit ABO/Rh,</w:t>
            </w:r>
            <w:r>
              <w:t xml:space="preserve"> treating specialty, XM interpretation, date and time the XM was completed, product short name, and an indication as to whether the unit was transfused or presumed transfused.</w:t>
            </w:r>
          </w:p>
          <w:p w14:paraId="43763986" w14:textId="77777777" w:rsidR="002A21AE" w:rsidRDefault="002A21AE">
            <w:pPr>
              <w:pStyle w:val="NotesText"/>
            </w:pPr>
          </w:p>
          <w:p w14:paraId="29899D4D" w14:textId="36EB3BED" w:rsidR="002A21AE" w:rsidRDefault="002A21AE">
            <w:pPr>
              <w:pStyle w:val="NotesText"/>
            </w:pPr>
            <w:r>
              <w:rPr>
                <w:rFonts w:cs="Arial"/>
                <w:vanish/>
              </w:rPr>
              <w:t xml:space="preserve">BR_104.04 </w:t>
            </w:r>
            <w:r>
              <w:t xml:space="preserve">VBECS determines the C:T ratio for a physician by dividing the number of units that were </w:t>
            </w:r>
            <w:r w:rsidR="00834BA7">
              <w:t xml:space="preserve">assigned or </w:t>
            </w:r>
            <w:r>
              <w:t xml:space="preserve">crossmatched </w:t>
            </w:r>
            <w:r w:rsidR="00270ABE">
              <w:t>(electronic</w:t>
            </w:r>
            <w:r w:rsidR="00A9622F">
              <w:t>ally</w:t>
            </w:r>
            <w:r w:rsidR="00270ABE">
              <w:t xml:space="preserve"> or serologic) </w:t>
            </w:r>
            <w:r>
              <w:t xml:space="preserve">during the period selected by the number of transfused units. </w:t>
            </w:r>
            <w:r w:rsidR="00AF71F0">
              <w:t>When a number of transfused units is 0, the ratio is equal to the number of units assigned and crossmatched.</w:t>
            </w:r>
          </w:p>
          <w:p w14:paraId="1F6461B9" w14:textId="77777777" w:rsidR="002A21AE" w:rsidRDefault="002A21AE">
            <w:pPr>
              <w:pStyle w:val="NotesText"/>
            </w:pPr>
          </w:p>
          <w:p w14:paraId="6905CC5F" w14:textId="33623BA7" w:rsidR="002A21AE" w:rsidRDefault="002A21AE" w:rsidP="00727AC7">
            <w:pPr>
              <w:pStyle w:val="NotesText"/>
            </w:pPr>
            <w:r>
              <w:rPr>
                <w:rFonts w:cs="Arial"/>
                <w:vanish/>
              </w:rPr>
              <w:t xml:space="preserve">BR_104.05 </w:t>
            </w:r>
            <w:r>
              <w:t xml:space="preserve">VBECS determines the C:T ratio for a treating specialty by dividing the number of units </w:t>
            </w:r>
            <w:r w:rsidR="00834BA7">
              <w:t xml:space="preserve">assigned or </w:t>
            </w:r>
            <w:r>
              <w:t xml:space="preserve">crossmatched </w:t>
            </w:r>
            <w:r w:rsidR="00270ABE">
              <w:t>(electronic</w:t>
            </w:r>
            <w:r w:rsidR="00A9622F">
              <w:t>ally</w:t>
            </w:r>
            <w:r w:rsidR="00270ABE">
              <w:t xml:space="preserve"> or serologic) </w:t>
            </w:r>
            <w:r>
              <w:t xml:space="preserve">for all patients listed in that treating specialty by the number of units transfused to all patients listed for that specialty. </w:t>
            </w:r>
            <w:r w:rsidR="00AF71F0">
              <w:t>When a number of transfused units is 0, the ratio is equal to the number of units assigned and crossmatched.</w:t>
            </w:r>
          </w:p>
        </w:tc>
      </w:tr>
      <w:tr w:rsidR="002A21AE" w14:paraId="2BF7BBBE" w14:textId="77777777">
        <w:tc>
          <w:tcPr>
            <w:tcW w:w="3240" w:type="dxa"/>
          </w:tcPr>
          <w:p w14:paraId="6F777DA7"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561C51E6" w14:textId="77777777" w:rsidR="002A21AE" w:rsidRDefault="002A21AE">
            <w:pPr>
              <w:pStyle w:val="TableTextNumbersContinued"/>
            </w:pPr>
          </w:p>
          <w:p w14:paraId="177EC37E"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51E7191" w14:textId="77777777" w:rsidR="005B6A94" w:rsidRDefault="002A21AE" w:rsidP="00AA2B2E">
            <w:pPr>
              <w:pStyle w:val="TableTextBullet"/>
            </w:pPr>
            <w:r>
              <w:t>Compiles and displays the report.</w:t>
            </w:r>
          </w:p>
        </w:tc>
      </w:tr>
      <w:tr w:rsidR="002A21AE" w14:paraId="689A9409" w14:textId="77777777">
        <w:tc>
          <w:tcPr>
            <w:tcW w:w="3240" w:type="dxa"/>
          </w:tcPr>
          <w:p w14:paraId="59EA296F" w14:textId="44423C70"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numberingChange w:id="654" w:author="Blalock, David (Leidos)" w:date="2020-06-15T14:09:00Z" w:original="0."/>
              </w:fldChar>
            </w:r>
          </w:p>
        </w:tc>
        <w:tc>
          <w:tcPr>
            <w:tcW w:w="6120" w:type="dxa"/>
          </w:tcPr>
          <w:p w14:paraId="32D7F4B4" w14:textId="77777777" w:rsidR="005C22EF" w:rsidRDefault="005C22EF" w:rsidP="005C22EF">
            <w:pPr>
              <w:pStyle w:val="TableTextBullet"/>
            </w:pPr>
            <w:r>
              <w:t>If Print is selected, prints the report on the designated printer.</w:t>
            </w:r>
          </w:p>
          <w:p w14:paraId="21D378BB" w14:textId="77777777" w:rsidR="005C22EF" w:rsidRDefault="005C22EF" w:rsidP="005C22EF">
            <w:pPr>
              <w:pStyle w:val="TableTextBullet"/>
            </w:pPr>
            <w:r>
              <w:t>If Export is selected, exports the report to the designated file.</w:t>
            </w:r>
          </w:p>
          <w:p w14:paraId="0744771F" w14:textId="48CB6185" w:rsidR="002A21AE" w:rsidRDefault="005C22EF" w:rsidP="005C22EF">
            <w:pPr>
              <w:pStyle w:val="TableTextBullet"/>
            </w:pPr>
            <w:r>
              <w:t>If Close is selected, exits the report preview.</w:t>
            </w:r>
          </w:p>
        </w:tc>
      </w:tr>
    </w:tbl>
    <w:p w14:paraId="0D2E0AD1" w14:textId="77777777" w:rsidR="00F55832" w:rsidRDefault="00F55832">
      <w:pPr>
        <w:pStyle w:val="Heading2"/>
      </w:pPr>
    </w:p>
    <w:p w14:paraId="6A883861" w14:textId="77777777" w:rsidR="00006995" w:rsidRDefault="00F55832" w:rsidP="00006995">
      <w:pPr>
        <w:pStyle w:val="Heading2"/>
      </w:pPr>
      <w:r>
        <w:br w:type="page"/>
      </w:r>
      <w:bookmarkStart w:id="655" w:name="_Toc47516780"/>
      <w:r w:rsidR="00006995">
        <w:lastRenderedPageBreak/>
        <w:t>CPRS Blood Bank Report</w:t>
      </w:r>
      <w:bookmarkEnd w:id="655"/>
      <w:r w:rsidR="00006995">
        <w:fldChar w:fldCharType="begin"/>
      </w:r>
      <w:r w:rsidR="00006995">
        <w:instrText xml:space="preserve"> XE “CPRS Blood Bank Report” </w:instrText>
      </w:r>
      <w:r w:rsidR="00006995">
        <w:fldChar w:fldCharType="end"/>
      </w:r>
      <w:r w:rsidR="00006995">
        <w:t xml:space="preserve"> </w:t>
      </w:r>
      <w:r w:rsidR="00006995">
        <w:rPr>
          <w:rFonts w:ascii="Times New Roman" w:hAnsi="Times New Roman" w:cs="Times New Roman"/>
          <w:b w:val="0"/>
          <w:i w:val="0"/>
          <w:vanish/>
          <w:sz w:val="22"/>
        </w:rPr>
        <w:t>UC_112</w:t>
      </w:r>
    </w:p>
    <w:p w14:paraId="08EE7BA8" w14:textId="77777777" w:rsidR="00006995" w:rsidRPr="00823F23" w:rsidRDefault="00006995" w:rsidP="00006995">
      <w:pPr>
        <w:pStyle w:val="BodyText"/>
      </w:pPr>
      <w:r w:rsidRPr="00FF0808">
        <w:t xml:space="preserve">CPRS Blood Bank Report provides an overview of </w:t>
      </w:r>
      <w:r>
        <w:t xml:space="preserve">a </w:t>
      </w:r>
      <w:r w:rsidRPr="00FF0808">
        <w:t>patient</w:t>
      </w:r>
      <w:r w:rsidRPr="00D67EC5">
        <w:t>’s blood bank / transfusion information and is available via Computerized Patient Record System</w:t>
      </w:r>
      <w:r>
        <w:t xml:space="preserve"> (CPRS)</w:t>
      </w:r>
      <w:r w:rsidRPr="00D67EC5">
        <w:t>. It is not part of the main VBECS system</w:t>
      </w:r>
      <w:r>
        <w:t>;</w:t>
      </w:r>
      <w:r w:rsidRPr="00D67EC5">
        <w:t xml:space="preserve"> however</w:t>
      </w:r>
      <w:r>
        <w:t>,</w:t>
      </w:r>
      <w:r w:rsidRPr="00D67EC5">
        <w:t xml:space="preserve"> since it fully relies on data stored in VBECS</w:t>
      </w:r>
      <w:r>
        <w:t>,</w:t>
      </w:r>
      <w:r w:rsidRPr="00D67EC5">
        <w:t xml:space="preserve"> it is included in this guide. Being part of CPRS</w:t>
      </w:r>
      <w:r>
        <w:t>,</w:t>
      </w:r>
      <w:r w:rsidRPr="00D67EC5">
        <w:t xml:space="preserve"> this report is available not only to</w:t>
      </w:r>
      <w:r w:rsidRPr="00823F23">
        <w:t xml:space="preserve"> blood bank personnel but to all health providers who utilize CPRS. </w:t>
      </w:r>
    </w:p>
    <w:p w14:paraId="400A99D9" w14:textId="77777777" w:rsidR="00006995" w:rsidRDefault="00006995" w:rsidP="00006995">
      <w:pPr>
        <w:pStyle w:val="Heading4"/>
      </w:pPr>
      <w:r>
        <w:t>Navigation (How to generate a CPRS Blood Bank Report)</w:t>
      </w:r>
      <w:r>
        <w:rPr>
          <w:b w:val="0"/>
        </w:rPr>
        <w:t xml:space="preserve"> </w:t>
      </w:r>
    </w:p>
    <w:p w14:paraId="71BCEE0C" w14:textId="77777777" w:rsidR="00006995" w:rsidRPr="00BE47E0" w:rsidRDefault="00006995" w:rsidP="00006995">
      <w:pPr>
        <w:pStyle w:val="TableText"/>
        <w:ind w:firstLine="360"/>
        <w:rPr>
          <w:rFonts w:ascii="Times New Roman" w:hAnsi="Times New Roman"/>
          <w:sz w:val="22"/>
          <w:szCs w:val="22"/>
        </w:rPr>
      </w:pPr>
      <w:r w:rsidRPr="00BE47E0">
        <w:rPr>
          <w:rFonts w:ascii="Times New Roman" w:hAnsi="Times New Roman"/>
          <w:sz w:val="22"/>
          <w:szCs w:val="22"/>
        </w:rPr>
        <w:t>In CPRS:</w:t>
      </w:r>
    </w:p>
    <w:p w14:paraId="780548DA" w14:textId="77777777" w:rsidR="00006995" w:rsidRPr="00BE47E0" w:rsidRDefault="00006995" w:rsidP="00006995">
      <w:pPr>
        <w:pStyle w:val="TableText"/>
        <w:numPr>
          <w:ilvl w:val="0"/>
          <w:numId w:val="94"/>
        </w:numPr>
        <w:rPr>
          <w:rFonts w:ascii="Times New Roman" w:hAnsi="Times New Roman"/>
          <w:sz w:val="22"/>
          <w:szCs w:val="22"/>
        </w:rPr>
      </w:pPr>
      <w:r w:rsidRPr="00BE47E0">
        <w:rPr>
          <w:rFonts w:ascii="Times New Roman" w:hAnsi="Times New Roman"/>
          <w:sz w:val="22"/>
          <w:szCs w:val="22"/>
        </w:rPr>
        <w:t>Labs tab, Blood Bank</w:t>
      </w:r>
    </w:p>
    <w:p w14:paraId="7DC8D531" w14:textId="77777777" w:rsidR="00006995" w:rsidRPr="00BE47E0" w:rsidRDefault="00006995" w:rsidP="00006995">
      <w:pPr>
        <w:pStyle w:val="TableText"/>
        <w:numPr>
          <w:ilvl w:val="0"/>
          <w:numId w:val="94"/>
        </w:numPr>
        <w:rPr>
          <w:rFonts w:ascii="Times New Roman" w:hAnsi="Times New Roman"/>
          <w:sz w:val="22"/>
          <w:szCs w:val="22"/>
        </w:rPr>
      </w:pPr>
      <w:r w:rsidRPr="00BE47E0">
        <w:rPr>
          <w:rFonts w:ascii="Times New Roman" w:hAnsi="Times New Roman"/>
          <w:sz w:val="22"/>
          <w:szCs w:val="22"/>
        </w:rPr>
        <w:t>Reports tab, Blood Bank Report</w:t>
      </w:r>
    </w:p>
    <w:p w14:paraId="1CA7BEB3" w14:textId="77777777" w:rsidR="00006995" w:rsidRPr="00BE47E0" w:rsidRDefault="00006995" w:rsidP="00006995">
      <w:pPr>
        <w:pStyle w:val="TableText"/>
        <w:numPr>
          <w:ilvl w:val="0"/>
          <w:numId w:val="94"/>
        </w:numPr>
        <w:rPr>
          <w:rFonts w:ascii="Times New Roman" w:hAnsi="Times New Roman"/>
          <w:sz w:val="22"/>
          <w:szCs w:val="22"/>
        </w:rPr>
      </w:pPr>
      <w:r w:rsidRPr="00BE47E0">
        <w:rPr>
          <w:rFonts w:ascii="Times New Roman" w:hAnsi="Times New Roman"/>
          <w:sz w:val="22"/>
          <w:szCs w:val="22"/>
        </w:rPr>
        <w:t>Reports tab, Clinical Reports, Laboratory, Blood Bank Report</w:t>
      </w:r>
    </w:p>
    <w:p w14:paraId="6A4BA347" w14:textId="77777777" w:rsidR="00006995" w:rsidRDefault="00006995" w:rsidP="00006995">
      <w:pPr>
        <w:pStyle w:val="Heading4"/>
      </w:pPr>
      <w:r>
        <w:t xml:space="preserve">Report layout </w:t>
      </w:r>
    </w:p>
    <w:p w14:paraId="72C3DB38" w14:textId="77777777" w:rsidR="00006995" w:rsidRPr="00BE47E0" w:rsidRDefault="00006995" w:rsidP="00006995">
      <w:pPr>
        <w:pStyle w:val="TableText"/>
        <w:ind w:firstLine="360"/>
        <w:rPr>
          <w:rFonts w:ascii="Times New Roman" w:hAnsi="Times New Roman"/>
          <w:sz w:val="22"/>
          <w:szCs w:val="22"/>
        </w:rPr>
      </w:pPr>
      <w:r w:rsidRPr="00BE47E0">
        <w:rPr>
          <w:rFonts w:ascii="Times New Roman" w:hAnsi="Times New Roman"/>
          <w:sz w:val="22"/>
          <w:szCs w:val="22"/>
        </w:rPr>
        <w:t>Report consists of eight sections:</w:t>
      </w:r>
    </w:p>
    <w:p w14:paraId="5EBDD9EB" w14:textId="77777777" w:rsidR="00006995" w:rsidRPr="002D7AAD" w:rsidRDefault="00006995" w:rsidP="00006995">
      <w:pPr>
        <w:pStyle w:val="TableText"/>
        <w:numPr>
          <w:ilvl w:val="0"/>
          <w:numId w:val="94"/>
        </w:numPr>
      </w:pPr>
      <w:r w:rsidRPr="00BE47E0">
        <w:rPr>
          <w:rFonts w:ascii="Times New Roman" w:hAnsi="Times New Roman"/>
          <w:sz w:val="22"/>
          <w:szCs w:val="22"/>
        </w:rPr>
        <w:t xml:space="preserve">ABO/Rh - displays </w:t>
      </w:r>
      <w:r>
        <w:rPr>
          <w:rFonts w:ascii="Times New Roman" w:hAnsi="Times New Roman"/>
          <w:sz w:val="22"/>
          <w:szCs w:val="22"/>
        </w:rPr>
        <w:t xml:space="preserve">a </w:t>
      </w:r>
      <w:r w:rsidRPr="00BE47E0">
        <w:rPr>
          <w:rFonts w:ascii="Times New Roman" w:hAnsi="Times New Roman"/>
          <w:sz w:val="22"/>
          <w:szCs w:val="22"/>
        </w:rPr>
        <w:t>patient’s ABO/Rh based on patient’s ABO/Rh testing history.</w:t>
      </w:r>
    </w:p>
    <w:p w14:paraId="345DFFD6" w14:textId="77777777" w:rsidR="00006995" w:rsidRPr="002D7AAD" w:rsidRDefault="00006995" w:rsidP="00006995">
      <w:pPr>
        <w:pStyle w:val="TableText"/>
        <w:numPr>
          <w:ilvl w:val="0"/>
          <w:numId w:val="94"/>
        </w:numPr>
      </w:pPr>
      <w:r w:rsidRPr="00BE47E0">
        <w:rPr>
          <w:rFonts w:ascii="Times New Roman" w:hAnsi="Times New Roman"/>
          <w:sz w:val="22"/>
          <w:szCs w:val="22"/>
        </w:rPr>
        <w:t xml:space="preserve">Antibodies Identified and Transfusion Requirements - displays </w:t>
      </w:r>
      <w:r>
        <w:rPr>
          <w:rFonts w:ascii="Times New Roman" w:hAnsi="Times New Roman"/>
          <w:sz w:val="22"/>
          <w:szCs w:val="22"/>
        </w:rPr>
        <w:t xml:space="preserve">a </w:t>
      </w:r>
      <w:r w:rsidRPr="00BE47E0">
        <w:rPr>
          <w:rFonts w:ascii="Times New Roman" w:hAnsi="Times New Roman"/>
          <w:sz w:val="22"/>
          <w:szCs w:val="22"/>
        </w:rPr>
        <w:t>patient’s antibodies, antigen negative requirements and component requirements.</w:t>
      </w:r>
    </w:p>
    <w:p w14:paraId="152C8B10" w14:textId="77777777" w:rsidR="00006995" w:rsidRPr="00BE47E0" w:rsidRDefault="00006995" w:rsidP="00006995">
      <w:pPr>
        <w:pStyle w:val="TableText"/>
        <w:numPr>
          <w:ilvl w:val="0"/>
          <w:numId w:val="94"/>
        </w:numPr>
        <w:rPr>
          <w:rFonts w:ascii="Times New Roman" w:hAnsi="Times New Roman"/>
          <w:sz w:val="22"/>
          <w:szCs w:val="22"/>
        </w:rPr>
      </w:pPr>
      <w:r w:rsidRPr="00BE47E0">
        <w:rPr>
          <w:rFonts w:ascii="Times New Roman" w:hAnsi="Times New Roman"/>
          <w:sz w:val="22"/>
          <w:szCs w:val="22"/>
        </w:rPr>
        <w:t xml:space="preserve">Transfusion Reactions – displays </w:t>
      </w:r>
      <w:r>
        <w:rPr>
          <w:rFonts w:ascii="Times New Roman" w:hAnsi="Times New Roman"/>
          <w:sz w:val="22"/>
          <w:szCs w:val="22"/>
        </w:rPr>
        <w:t xml:space="preserve">the </w:t>
      </w:r>
      <w:r w:rsidRPr="00BE47E0">
        <w:rPr>
          <w:rFonts w:ascii="Times New Roman" w:hAnsi="Times New Roman"/>
          <w:sz w:val="22"/>
          <w:szCs w:val="22"/>
        </w:rPr>
        <w:t xml:space="preserve">history of </w:t>
      </w:r>
      <w:r>
        <w:rPr>
          <w:rFonts w:ascii="Times New Roman" w:hAnsi="Times New Roman"/>
          <w:sz w:val="22"/>
          <w:szCs w:val="22"/>
        </w:rPr>
        <w:t xml:space="preserve">a </w:t>
      </w:r>
      <w:r w:rsidRPr="00BE47E0">
        <w:rPr>
          <w:rFonts w:ascii="Times New Roman" w:hAnsi="Times New Roman"/>
          <w:sz w:val="22"/>
          <w:szCs w:val="22"/>
        </w:rPr>
        <w:t>patient’s transfusion reactions.</w:t>
      </w:r>
    </w:p>
    <w:p w14:paraId="68DFA1E0" w14:textId="77777777" w:rsidR="00006995" w:rsidRPr="00BE47E0" w:rsidRDefault="00006995" w:rsidP="00006995">
      <w:pPr>
        <w:pStyle w:val="TableText"/>
        <w:numPr>
          <w:ilvl w:val="0"/>
          <w:numId w:val="94"/>
        </w:numPr>
        <w:rPr>
          <w:rFonts w:ascii="Times New Roman" w:hAnsi="Times New Roman"/>
          <w:sz w:val="22"/>
          <w:szCs w:val="22"/>
        </w:rPr>
      </w:pPr>
      <w:r w:rsidRPr="00BE47E0">
        <w:rPr>
          <w:rFonts w:ascii="Times New Roman" w:hAnsi="Times New Roman"/>
          <w:sz w:val="22"/>
          <w:szCs w:val="22"/>
        </w:rPr>
        <w:t>Available/Issued Units - displays a list of units assigned, crossmatched and issued to the patient.</w:t>
      </w:r>
      <w:r>
        <w:rPr>
          <w:rFonts w:ascii="Times New Roman" w:hAnsi="Times New Roman"/>
          <w:sz w:val="22"/>
          <w:szCs w:val="22"/>
        </w:rPr>
        <w:t xml:space="preserve"> Issued units that are indicated as transfused or presumed transfused in VBECS no longer show in this section but instead display in the Transfused Units section.</w:t>
      </w:r>
    </w:p>
    <w:p w14:paraId="66521000" w14:textId="77777777" w:rsidR="00006995" w:rsidRPr="00BE47E0" w:rsidRDefault="00006995" w:rsidP="00006995">
      <w:pPr>
        <w:pStyle w:val="TableText"/>
        <w:numPr>
          <w:ilvl w:val="0"/>
          <w:numId w:val="94"/>
        </w:numPr>
        <w:rPr>
          <w:rFonts w:ascii="Times New Roman" w:hAnsi="Times New Roman"/>
          <w:sz w:val="22"/>
          <w:szCs w:val="22"/>
        </w:rPr>
      </w:pPr>
      <w:r w:rsidRPr="00BE47E0">
        <w:rPr>
          <w:rFonts w:ascii="Times New Roman" w:hAnsi="Times New Roman"/>
          <w:sz w:val="22"/>
          <w:szCs w:val="22"/>
        </w:rPr>
        <w:t xml:space="preserve">Diagnostic Tests - displays a history of the patient’s completed diagnostic tests (TAS, ABO/Rh, ABS, DAT Poly, DAT IgG and DAT Comp). Only the test interpretation is displayed. Invalidated tests are not shown unless the replacement results were entered. In such case, the invalidated test is marked as </w:t>
      </w:r>
      <w:r w:rsidRPr="00BE47E0">
        <w:rPr>
          <w:rFonts w:ascii="Times New Roman" w:hAnsi="Times New Roman"/>
          <w:b/>
          <w:sz w:val="22"/>
          <w:szCs w:val="22"/>
        </w:rPr>
        <w:t xml:space="preserve">** Entered in Error ** </w:t>
      </w:r>
      <w:r w:rsidRPr="00BE47E0">
        <w:rPr>
          <w:rFonts w:ascii="Times New Roman" w:hAnsi="Times New Roman"/>
          <w:sz w:val="22"/>
          <w:szCs w:val="22"/>
        </w:rPr>
        <w:t xml:space="preserve">and a replacement result is marked as </w:t>
      </w:r>
      <w:r w:rsidRPr="00BE47E0">
        <w:rPr>
          <w:rFonts w:ascii="Times New Roman" w:hAnsi="Times New Roman"/>
          <w:b/>
          <w:sz w:val="22"/>
          <w:szCs w:val="22"/>
        </w:rPr>
        <w:t>** Corrected Result **</w:t>
      </w:r>
      <w:r w:rsidRPr="00BE47E0">
        <w:rPr>
          <w:rFonts w:ascii="Times New Roman" w:hAnsi="Times New Roman"/>
          <w:bCs/>
          <w:sz w:val="22"/>
          <w:szCs w:val="22"/>
        </w:rPr>
        <w:t>.</w:t>
      </w:r>
    </w:p>
    <w:p w14:paraId="753CB2FA" w14:textId="77777777" w:rsidR="00006995" w:rsidRPr="00BE47E0" w:rsidRDefault="00006995" w:rsidP="00006995">
      <w:pPr>
        <w:pStyle w:val="TableText"/>
        <w:numPr>
          <w:ilvl w:val="0"/>
          <w:numId w:val="94"/>
        </w:numPr>
        <w:rPr>
          <w:rFonts w:ascii="Times New Roman" w:hAnsi="Times New Roman"/>
          <w:sz w:val="22"/>
          <w:szCs w:val="22"/>
        </w:rPr>
      </w:pPr>
      <w:r w:rsidRPr="00BE47E0">
        <w:rPr>
          <w:rFonts w:ascii="Times New Roman" w:hAnsi="Times New Roman"/>
          <w:sz w:val="22"/>
          <w:szCs w:val="22"/>
        </w:rPr>
        <w:t xml:space="preserve">Component Requests - displays a history of </w:t>
      </w:r>
      <w:r>
        <w:rPr>
          <w:rFonts w:ascii="Times New Roman" w:hAnsi="Times New Roman"/>
          <w:sz w:val="22"/>
          <w:szCs w:val="22"/>
        </w:rPr>
        <w:t xml:space="preserve">the </w:t>
      </w:r>
      <w:r w:rsidRPr="00BE47E0">
        <w:rPr>
          <w:rFonts w:ascii="Times New Roman" w:hAnsi="Times New Roman"/>
          <w:sz w:val="22"/>
          <w:szCs w:val="22"/>
        </w:rPr>
        <w:t>patient’s component orders. Cancelled orders are not included.</w:t>
      </w:r>
    </w:p>
    <w:p w14:paraId="34AB1F00" w14:textId="77777777" w:rsidR="00006995" w:rsidRPr="00BE47E0" w:rsidRDefault="00006995" w:rsidP="00006995">
      <w:pPr>
        <w:pStyle w:val="TableText"/>
        <w:numPr>
          <w:ilvl w:val="0"/>
          <w:numId w:val="94"/>
        </w:numPr>
        <w:rPr>
          <w:rFonts w:ascii="Times New Roman" w:hAnsi="Times New Roman"/>
          <w:sz w:val="22"/>
          <w:szCs w:val="22"/>
        </w:rPr>
      </w:pPr>
      <w:r w:rsidRPr="00BE47E0">
        <w:rPr>
          <w:rFonts w:ascii="Times New Roman" w:hAnsi="Times New Roman"/>
          <w:sz w:val="22"/>
          <w:szCs w:val="22"/>
        </w:rPr>
        <w:t xml:space="preserve">Transfused Units - displays </w:t>
      </w:r>
      <w:r>
        <w:rPr>
          <w:rFonts w:ascii="Times New Roman" w:hAnsi="Times New Roman"/>
          <w:sz w:val="22"/>
          <w:szCs w:val="22"/>
        </w:rPr>
        <w:t>the</w:t>
      </w:r>
      <w:r w:rsidRPr="00BE47E0">
        <w:rPr>
          <w:rFonts w:ascii="Times New Roman" w:hAnsi="Times New Roman"/>
          <w:sz w:val="22"/>
          <w:szCs w:val="22"/>
        </w:rPr>
        <w:t xml:space="preserve"> history of </w:t>
      </w:r>
      <w:r>
        <w:rPr>
          <w:rFonts w:ascii="Times New Roman" w:hAnsi="Times New Roman"/>
          <w:sz w:val="22"/>
          <w:szCs w:val="22"/>
        </w:rPr>
        <w:t xml:space="preserve">a </w:t>
      </w:r>
      <w:r w:rsidRPr="00BE47E0">
        <w:rPr>
          <w:rFonts w:ascii="Times New Roman" w:hAnsi="Times New Roman"/>
          <w:sz w:val="22"/>
          <w:szCs w:val="22"/>
        </w:rPr>
        <w:t>patient’s transfusions.</w:t>
      </w:r>
    </w:p>
    <w:p w14:paraId="23D11858" w14:textId="77777777" w:rsidR="00006995" w:rsidRPr="002D7AAD" w:rsidRDefault="00006995" w:rsidP="00006995">
      <w:pPr>
        <w:pStyle w:val="TableText"/>
        <w:numPr>
          <w:ilvl w:val="0"/>
          <w:numId w:val="94"/>
        </w:numPr>
      </w:pPr>
      <w:r w:rsidRPr="00BE47E0">
        <w:rPr>
          <w:rFonts w:ascii="Times New Roman" w:hAnsi="Times New Roman"/>
          <w:sz w:val="22"/>
          <w:szCs w:val="22"/>
        </w:rPr>
        <w:t xml:space="preserve">Legacy VistA Blood Bank Report - contains </w:t>
      </w:r>
      <w:r>
        <w:rPr>
          <w:rFonts w:ascii="Times New Roman" w:hAnsi="Times New Roman"/>
          <w:sz w:val="22"/>
          <w:szCs w:val="22"/>
        </w:rPr>
        <w:t xml:space="preserve">a </w:t>
      </w:r>
      <w:r w:rsidRPr="00BE47E0">
        <w:rPr>
          <w:rFonts w:ascii="Times New Roman" w:hAnsi="Times New Roman"/>
          <w:sz w:val="22"/>
          <w:szCs w:val="22"/>
        </w:rPr>
        <w:t>patient’s legacy blood bank information that was not recorded in VBECS.</w:t>
      </w:r>
    </w:p>
    <w:p w14:paraId="279FBD8A" w14:textId="77777777" w:rsidR="00006995" w:rsidRDefault="00006995" w:rsidP="00006995">
      <w:pPr>
        <w:pStyle w:val="Heading4"/>
      </w:pPr>
      <w:r>
        <w:t>Limitations and Restrictions</w:t>
      </w:r>
      <w:r>
        <w:rPr>
          <w:b w:val="0"/>
        </w:rPr>
        <w:t xml:space="preserve"> </w:t>
      </w:r>
    </w:p>
    <w:p w14:paraId="36371B3E" w14:textId="1BA6D2DD" w:rsidR="00006995" w:rsidRPr="00BE47E0" w:rsidRDefault="00006995" w:rsidP="00006995">
      <w:pPr>
        <w:pStyle w:val="ListBullet"/>
        <w:rPr>
          <w:rFonts w:ascii="Arial" w:hAnsi="Arial" w:cs="Arial"/>
          <w:b/>
          <w:bCs/>
          <w:kern w:val="32"/>
          <w:sz w:val="36"/>
          <w:szCs w:val="32"/>
        </w:rPr>
      </w:pPr>
      <w:r>
        <w:t>The report is not multidivisional</w:t>
      </w:r>
      <w:r w:rsidR="007E06EE">
        <w:t>,</w:t>
      </w:r>
      <w:r>
        <w:t xml:space="preserve"> meaning it does not combine a patient’s transfusion information from all VA hospitals.</w:t>
      </w:r>
      <w:r>
        <w:br w:type="page"/>
      </w:r>
    </w:p>
    <w:p w14:paraId="7B1CF7A1" w14:textId="77777777" w:rsidR="00006995" w:rsidRDefault="00006995" w:rsidP="00006995">
      <w:pPr>
        <w:pStyle w:val="Heading4"/>
        <w:tabs>
          <w:tab w:val="left" w:pos="2568"/>
        </w:tabs>
      </w:pPr>
      <w:r>
        <w:lastRenderedPageBreak/>
        <w:t>Troubleshooting</w:t>
      </w:r>
      <w:r>
        <w:rPr>
          <w:b w:val="0"/>
        </w:rPr>
        <w:t xml:space="preserve"> </w:t>
      </w:r>
      <w:r>
        <w:rPr>
          <w:b w:val="0"/>
        </w:rPr>
        <w:tab/>
      </w:r>
    </w:p>
    <w:p w14:paraId="2154E116" w14:textId="2D449746" w:rsidR="00006995" w:rsidRDefault="00006995" w:rsidP="00565A21">
      <w:pPr>
        <w:pStyle w:val="TableText"/>
        <w:rPr>
          <w:rFonts w:ascii="Times New Roman" w:hAnsi="Times New Roman"/>
          <w:sz w:val="22"/>
          <w:szCs w:val="22"/>
        </w:rPr>
      </w:pPr>
      <w:r>
        <w:rPr>
          <w:rFonts w:ascii="Times New Roman" w:hAnsi="Times New Roman"/>
          <w:sz w:val="22"/>
          <w:szCs w:val="22"/>
        </w:rPr>
        <w:t xml:space="preserve">Since the CPRS Blood Bank Report relies on data stored in VBECS, it is possible for it to malfunction when the network connection to VBECS is disrupted or if there is a problem with VBECS </w:t>
      </w:r>
      <w:r w:rsidR="00E86FBC">
        <w:rPr>
          <w:rFonts w:ascii="Times New Roman" w:hAnsi="Times New Roman"/>
          <w:sz w:val="22"/>
          <w:szCs w:val="22"/>
        </w:rPr>
        <w:t>VistALink</w:t>
      </w:r>
      <w:r>
        <w:rPr>
          <w:rFonts w:ascii="Times New Roman" w:hAnsi="Times New Roman"/>
          <w:sz w:val="22"/>
          <w:szCs w:val="22"/>
        </w:rPr>
        <w:t xml:space="preserve"> service. If that happens, the report will display a message similar to this one:</w:t>
      </w:r>
    </w:p>
    <w:p w14:paraId="504BDDBC" w14:textId="77777777" w:rsidR="00006995" w:rsidRDefault="00006995" w:rsidP="00006995">
      <w:pPr>
        <w:pStyle w:val="TableText"/>
        <w:ind w:left="360"/>
        <w:rPr>
          <w:rFonts w:ascii="Times New Roman" w:hAnsi="Times New Roman"/>
          <w:sz w:val="22"/>
          <w:szCs w:val="22"/>
        </w:rPr>
      </w:pPr>
    </w:p>
    <w:p w14:paraId="09865FD9" w14:textId="77777777" w:rsidR="00006995" w:rsidRPr="00823F23" w:rsidRDefault="00006995" w:rsidP="00006995">
      <w:pPr>
        <w:autoSpaceDE w:val="0"/>
        <w:autoSpaceDN w:val="0"/>
        <w:adjustRightInd w:val="0"/>
        <w:rPr>
          <w:rFonts w:ascii="Courier New" w:hAnsi="Courier New" w:cs="Courier New"/>
          <w:sz w:val="16"/>
          <w:szCs w:val="16"/>
        </w:rPr>
      </w:pPr>
      <w:r w:rsidRPr="00823F23">
        <w:rPr>
          <w:rFonts w:ascii="Courier New" w:hAnsi="Courier New" w:cs="Courier New"/>
          <w:sz w:val="16"/>
          <w:szCs w:val="16"/>
        </w:rPr>
        <w:t xml:space="preserve">     ******************************************************************</w:t>
      </w:r>
    </w:p>
    <w:p w14:paraId="0317C68D" w14:textId="77777777" w:rsidR="00006995" w:rsidRPr="00823F23" w:rsidRDefault="00006995" w:rsidP="00006995">
      <w:pPr>
        <w:autoSpaceDE w:val="0"/>
        <w:autoSpaceDN w:val="0"/>
        <w:adjustRightInd w:val="0"/>
        <w:rPr>
          <w:rFonts w:ascii="Courier New" w:hAnsi="Courier New" w:cs="Courier New"/>
          <w:sz w:val="16"/>
          <w:szCs w:val="16"/>
        </w:rPr>
      </w:pPr>
      <w:r w:rsidRPr="00823F23">
        <w:rPr>
          <w:rFonts w:ascii="Courier New" w:hAnsi="Courier New" w:cs="Courier New"/>
          <w:sz w:val="16"/>
          <w:szCs w:val="16"/>
        </w:rPr>
        <w:t xml:space="preserve">     *                                                                *</w:t>
      </w:r>
    </w:p>
    <w:p w14:paraId="4228C3F9" w14:textId="77777777" w:rsidR="00006995" w:rsidRPr="00823F23" w:rsidRDefault="00006995" w:rsidP="00006995">
      <w:pPr>
        <w:autoSpaceDE w:val="0"/>
        <w:autoSpaceDN w:val="0"/>
        <w:adjustRightInd w:val="0"/>
        <w:rPr>
          <w:rFonts w:ascii="Courier New" w:hAnsi="Courier New" w:cs="Courier New"/>
          <w:sz w:val="16"/>
          <w:szCs w:val="16"/>
        </w:rPr>
      </w:pPr>
      <w:r w:rsidRPr="00823F23">
        <w:rPr>
          <w:rFonts w:ascii="Courier New" w:hAnsi="Courier New" w:cs="Courier New"/>
          <w:sz w:val="16"/>
          <w:szCs w:val="16"/>
        </w:rPr>
        <w:t xml:space="preserve">     *          Patient data is not available at this time            *</w:t>
      </w:r>
    </w:p>
    <w:p w14:paraId="30F2FC81" w14:textId="77777777" w:rsidR="00006995" w:rsidRPr="00823F23" w:rsidRDefault="00006995" w:rsidP="00006995">
      <w:pPr>
        <w:autoSpaceDE w:val="0"/>
        <w:autoSpaceDN w:val="0"/>
        <w:adjustRightInd w:val="0"/>
        <w:rPr>
          <w:rFonts w:ascii="Courier New" w:hAnsi="Courier New" w:cs="Courier New"/>
          <w:sz w:val="16"/>
          <w:szCs w:val="16"/>
        </w:rPr>
      </w:pPr>
      <w:r w:rsidRPr="00823F23">
        <w:rPr>
          <w:rFonts w:ascii="Courier New" w:hAnsi="Courier New" w:cs="Courier New"/>
          <w:sz w:val="16"/>
          <w:szCs w:val="16"/>
        </w:rPr>
        <w:t xml:space="preserve">     *            due to a VistALink connection failure.              *</w:t>
      </w:r>
    </w:p>
    <w:p w14:paraId="74CDB18F" w14:textId="77777777" w:rsidR="00006995" w:rsidRPr="007903A0" w:rsidRDefault="00006995" w:rsidP="00006995">
      <w:pPr>
        <w:autoSpaceDE w:val="0"/>
        <w:autoSpaceDN w:val="0"/>
        <w:adjustRightInd w:val="0"/>
        <w:rPr>
          <w:rFonts w:ascii="Courier New" w:hAnsi="Courier New" w:cs="Courier New"/>
          <w:sz w:val="16"/>
          <w:szCs w:val="16"/>
        </w:rPr>
      </w:pPr>
      <w:r w:rsidRPr="007903A0">
        <w:rPr>
          <w:rFonts w:ascii="Courier New" w:hAnsi="Courier New" w:cs="Courier New"/>
          <w:sz w:val="16"/>
          <w:szCs w:val="16"/>
        </w:rPr>
        <w:t xml:space="preserve">     *                                                                *</w:t>
      </w:r>
    </w:p>
    <w:p w14:paraId="1221ACD8" w14:textId="77777777" w:rsidR="00006995" w:rsidRPr="007903A0" w:rsidRDefault="00006995" w:rsidP="00006995">
      <w:pPr>
        <w:autoSpaceDE w:val="0"/>
        <w:autoSpaceDN w:val="0"/>
        <w:adjustRightInd w:val="0"/>
        <w:rPr>
          <w:rFonts w:ascii="Courier New" w:hAnsi="Courier New" w:cs="Courier New"/>
          <w:sz w:val="16"/>
          <w:szCs w:val="16"/>
        </w:rPr>
      </w:pPr>
      <w:r w:rsidRPr="007903A0">
        <w:rPr>
          <w:rFonts w:ascii="Courier New" w:hAnsi="Courier New" w:cs="Courier New"/>
          <w:sz w:val="16"/>
          <w:szCs w:val="16"/>
        </w:rPr>
        <w:t xml:space="preserve">     *                                                                *</w:t>
      </w:r>
    </w:p>
    <w:p w14:paraId="30F0918B" w14:textId="77777777" w:rsidR="00006995" w:rsidRPr="007903A0" w:rsidRDefault="00006995" w:rsidP="00006995">
      <w:pPr>
        <w:pStyle w:val="TableText"/>
        <w:ind w:left="360"/>
        <w:rPr>
          <w:rFonts w:ascii="Times New Roman" w:hAnsi="Times New Roman"/>
          <w:sz w:val="22"/>
          <w:szCs w:val="22"/>
        </w:rPr>
      </w:pPr>
      <w:r w:rsidRPr="007903A0">
        <w:rPr>
          <w:rFonts w:ascii="Courier New" w:hAnsi="Courier New" w:cs="Courier New"/>
          <w:sz w:val="16"/>
          <w:szCs w:val="16"/>
        </w:rPr>
        <w:t xml:space="preserve"> ******************************************************************</w:t>
      </w:r>
    </w:p>
    <w:p w14:paraId="180C4862" w14:textId="77777777" w:rsidR="00006995" w:rsidRDefault="00006995" w:rsidP="00006995">
      <w:pPr>
        <w:pStyle w:val="ListBullet"/>
        <w:numPr>
          <w:ilvl w:val="0"/>
          <w:numId w:val="0"/>
        </w:numPr>
      </w:pPr>
    </w:p>
    <w:p w14:paraId="6CFAE075" w14:textId="53D02D4C" w:rsidR="002F7CC9" w:rsidRDefault="00006995" w:rsidP="00006995">
      <w:r w:rsidRPr="00BE47E0">
        <w:t>In such cas</w:t>
      </w:r>
      <w:r>
        <w:t xml:space="preserve">e, </w:t>
      </w:r>
      <w:r w:rsidRPr="00BE47E0">
        <w:t>contact the Service Desk. See</w:t>
      </w:r>
      <w:r>
        <w:t xml:space="preserve"> the</w:t>
      </w:r>
      <w:r w:rsidRPr="00BE47E0">
        <w:t xml:space="preserve"> Customer Support section of this guide for contact information.</w:t>
      </w:r>
    </w:p>
    <w:p w14:paraId="3AA47715" w14:textId="45769971" w:rsidR="00565A21" w:rsidRDefault="00565A21" w:rsidP="00565A21">
      <w:pPr>
        <w:pStyle w:val="Heading4"/>
        <w:tabs>
          <w:tab w:val="left" w:pos="2568"/>
        </w:tabs>
      </w:pPr>
      <w:r>
        <w:t>Missing Division Names</w:t>
      </w:r>
    </w:p>
    <w:p w14:paraId="437D9320" w14:textId="77777777" w:rsidR="0080456F" w:rsidRDefault="00565A21" w:rsidP="0080456F">
      <w:pPr>
        <w:numPr>
          <w:ilvl w:val="0"/>
          <w:numId w:val="97"/>
        </w:numPr>
        <w:spacing w:before="120" w:after="60"/>
        <w:rPr>
          <w:sz w:val="22"/>
          <w:szCs w:val="22"/>
        </w:rPr>
      </w:pPr>
      <w:r w:rsidRPr="00565A21">
        <w:rPr>
          <w:sz w:val="22"/>
          <w:szCs w:val="22"/>
        </w:rPr>
        <w:t xml:space="preserve">Available/Issued Units and Diagnostic Tests sections of the CPRS Blood Bank Report include the display of the division name. In certain circumstances, the division name might be missing from the report. </w:t>
      </w:r>
      <w:r w:rsidR="0080456F">
        <w:rPr>
          <w:highlight w:val="yellow"/>
        </w:rPr>
        <w:t>REDACTED</w:t>
      </w:r>
    </w:p>
    <w:p w14:paraId="71E96515" w14:textId="43821B3A" w:rsidR="00565A21" w:rsidRPr="00565A21" w:rsidRDefault="00565A21" w:rsidP="00565A21">
      <w:pPr>
        <w:rPr>
          <w:sz w:val="22"/>
          <w:szCs w:val="22"/>
        </w:rPr>
      </w:pPr>
      <w:r w:rsidRPr="00565A21">
        <w:rPr>
          <w:sz w:val="22"/>
          <w:szCs w:val="22"/>
        </w:rPr>
        <w:t>See the Customer Support section</w:t>
      </w:r>
      <w:r w:rsidR="006F1FB3">
        <w:rPr>
          <w:sz w:val="22"/>
          <w:szCs w:val="22"/>
        </w:rPr>
        <w:t xml:space="preserve"> in </w:t>
      </w:r>
      <w:r w:rsidRPr="00565A21">
        <w:rPr>
          <w:sz w:val="22"/>
          <w:szCs w:val="22"/>
        </w:rPr>
        <w:t>this guide for contact information.</w:t>
      </w:r>
    </w:p>
    <w:p w14:paraId="74142CC6" w14:textId="77777777" w:rsidR="002F7CC9" w:rsidRPr="00EB2204" w:rsidRDefault="002F7CC9" w:rsidP="002F7CC9">
      <w:pPr>
        <w:pStyle w:val="Heading2"/>
      </w:pPr>
      <w:bookmarkStart w:id="656" w:name="_Toc47516781"/>
      <w:r w:rsidRPr="00EB2204">
        <w:t>Spell Check</w:t>
      </w:r>
      <w:bookmarkEnd w:id="656"/>
    </w:p>
    <w:p w14:paraId="45069D6B" w14:textId="638C7DD8" w:rsidR="002F7CC9" w:rsidRDefault="002F7CC9" w:rsidP="002F7CC9">
      <w:pPr>
        <w:pStyle w:val="BodyText"/>
      </w:pPr>
      <w:r w:rsidRPr="00EB2204">
        <w:t>VBECS do</w:t>
      </w:r>
      <w:r w:rsidR="00B1099B">
        <w:t>es</w:t>
      </w:r>
      <w:r w:rsidRPr="00EB2204">
        <w:t xml:space="preserve"> not </w:t>
      </w:r>
      <w:r w:rsidR="00B1099B">
        <w:t xml:space="preserve">currently </w:t>
      </w:r>
      <w:r w:rsidRPr="00EB2204">
        <w:t>spell check</w:t>
      </w:r>
      <w:r w:rsidR="00B1099B">
        <w:t xml:space="preserve"> user data but does allow copying and pasting text from other spell-checking applications (e.g., Microsoft Outlook or Word).</w:t>
      </w:r>
      <w:r w:rsidRPr="00EB2204">
        <w:t xml:space="preserve"> </w:t>
      </w:r>
      <w:r w:rsidR="0099073E">
        <w:t>However, c</w:t>
      </w:r>
      <w:r w:rsidR="00D30119">
        <w:t xml:space="preserve">ertain </w:t>
      </w:r>
      <w:r w:rsidRPr="00EB2204">
        <w:t xml:space="preserve">copied text will appear fine in </w:t>
      </w:r>
      <w:r w:rsidR="00D30119" w:rsidRPr="00EB2204">
        <w:t>VBECS but</w:t>
      </w:r>
      <w:r w:rsidRPr="00EB2204">
        <w:t xml:space="preserve"> look incorrect in CPRS. </w:t>
      </w:r>
      <w:r w:rsidR="0099073E">
        <w:t xml:space="preserve">This happens </w:t>
      </w:r>
      <w:r w:rsidR="00D30119">
        <w:t xml:space="preserve">due to </w:t>
      </w:r>
      <w:r w:rsidR="0099073E">
        <w:t>the</w:t>
      </w:r>
      <w:r w:rsidR="00D30119">
        <w:t xml:space="preserve"> </w:t>
      </w:r>
      <w:r w:rsidR="007A10F9">
        <w:t>proofing</w:t>
      </w:r>
      <w:r w:rsidR="0099073E">
        <w:t xml:space="preserve"> logic</w:t>
      </w:r>
      <w:r w:rsidR="007A10F9">
        <w:t xml:space="preserve"> in the external software</w:t>
      </w:r>
      <w:r w:rsidR="00D30119">
        <w:t xml:space="preserve"> which </w:t>
      </w:r>
      <w:r w:rsidR="0099073E">
        <w:t xml:space="preserve">can </w:t>
      </w:r>
      <w:r w:rsidR="00D30119">
        <w:t>replace keyboard characters with more aesthetically pleasing characters.</w:t>
      </w:r>
      <w:r w:rsidRPr="00EB2204">
        <w:t xml:space="preserve"> For example,</w:t>
      </w:r>
      <w:r w:rsidR="0099073E">
        <w:t xml:space="preserve"> </w:t>
      </w:r>
      <w:r w:rsidR="007A10F9">
        <w:t xml:space="preserve">Microsoft Word </w:t>
      </w:r>
      <w:r w:rsidR="0099073E">
        <w:t>may replace a hyphen (-) with</w:t>
      </w:r>
      <w:r w:rsidRPr="00EB2204">
        <w:t xml:space="preserve"> an </w:t>
      </w:r>
      <w:r w:rsidR="00D30119">
        <w:t>“</w:t>
      </w:r>
      <w:r w:rsidRPr="00EB2204">
        <w:t>em</w:t>
      </w:r>
      <w:r w:rsidR="00D30119">
        <w:t xml:space="preserve"> </w:t>
      </w:r>
      <w:r w:rsidRPr="00EB2204">
        <w:t>dash</w:t>
      </w:r>
      <w:r w:rsidR="00D30119">
        <w:t>”</w:t>
      </w:r>
      <w:r w:rsidRPr="00EB2204">
        <w:t xml:space="preserve"> (–) </w:t>
      </w:r>
      <w:r w:rsidR="0099073E">
        <w:t xml:space="preserve">which </w:t>
      </w:r>
      <w:r w:rsidRPr="00EB2204">
        <w:t>CPRS cannot</w:t>
      </w:r>
      <w:r w:rsidR="00D30119">
        <w:t xml:space="preserve"> correctly</w:t>
      </w:r>
      <w:r w:rsidRPr="00EB2204">
        <w:t xml:space="preserve"> </w:t>
      </w:r>
      <w:r w:rsidR="00D30119">
        <w:t>interpret</w:t>
      </w:r>
      <w:r w:rsidRPr="00EB2204">
        <w:t xml:space="preserve"> </w:t>
      </w:r>
      <w:r w:rsidR="0099073E">
        <w:t>and display</w:t>
      </w:r>
      <w:r w:rsidRPr="00EB2204">
        <w:t>.</w:t>
      </w:r>
    </w:p>
    <w:p w14:paraId="29D1E485" w14:textId="2A846499" w:rsidR="002F7CC9" w:rsidRPr="00EB2204" w:rsidRDefault="0099073E" w:rsidP="002F7CC9">
      <w:pPr>
        <w:pStyle w:val="BodyText"/>
      </w:pPr>
      <w:r>
        <w:t xml:space="preserve">Consider </w:t>
      </w:r>
      <w:r w:rsidR="00B1099B">
        <w:t>th</w:t>
      </w:r>
      <w:r>
        <w:t xml:space="preserve">e following sentence, which </w:t>
      </w:r>
      <w:r w:rsidR="007A10F9">
        <w:t>if</w:t>
      </w:r>
      <w:r>
        <w:t xml:space="preserve"> typed d</w:t>
      </w:r>
      <w:r w:rsidR="00B1099B">
        <w:t>irectly i</w:t>
      </w:r>
      <w:r w:rsidR="002F7CC9">
        <w:t>nto VBECS</w:t>
      </w:r>
      <w:r w:rsidR="00B1099B">
        <w:t xml:space="preserve"> </w:t>
      </w:r>
      <w:r>
        <w:t>will display</w:t>
      </w:r>
      <w:r w:rsidR="002F7CC9">
        <w:t xml:space="preserve"> </w:t>
      </w:r>
      <w:r>
        <w:t xml:space="preserve">the same </w:t>
      </w:r>
      <w:r w:rsidR="002F7CC9">
        <w:t>in</w:t>
      </w:r>
      <w:r>
        <w:t xml:space="preserve"> both </w:t>
      </w:r>
      <w:r w:rsidR="002F7CC9">
        <w:t>VBECS and CPRS</w:t>
      </w:r>
      <w:r w:rsidR="002F7CC9" w:rsidRPr="00EB2204">
        <w:t xml:space="preserve">: </w:t>
      </w:r>
    </w:p>
    <w:p w14:paraId="74388334" w14:textId="77777777" w:rsidR="002F7CC9" w:rsidRPr="00B1099B" w:rsidRDefault="002F7CC9" w:rsidP="00B1099B">
      <w:pPr>
        <w:pStyle w:val="ListBullet"/>
        <w:numPr>
          <w:ilvl w:val="0"/>
          <w:numId w:val="0"/>
        </w:numPr>
        <w:ind w:firstLine="720"/>
        <w:rPr>
          <w:b/>
          <w:bCs/>
        </w:rPr>
      </w:pPr>
      <w:r w:rsidRPr="00B1099B">
        <w:rPr>
          <w:b/>
          <w:bCs/>
        </w:rPr>
        <w:t xml:space="preserve">Patient Zero has a history of chronic </w:t>
      </w:r>
      <w:r w:rsidRPr="00B1099B">
        <w:rPr>
          <w:b/>
          <w:bCs/>
          <w:highlight w:val="yellow"/>
        </w:rPr>
        <w:t>"</w:t>
      </w:r>
      <w:r w:rsidRPr="00B1099B">
        <w:rPr>
          <w:b/>
          <w:bCs/>
        </w:rPr>
        <w:t>pain</w:t>
      </w:r>
      <w:r w:rsidRPr="00B1099B">
        <w:rPr>
          <w:b/>
          <w:bCs/>
          <w:highlight w:val="yellow"/>
        </w:rPr>
        <w:t>"</w:t>
      </w:r>
      <w:r w:rsidRPr="00B1099B">
        <w:rPr>
          <w:b/>
          <w:bCs/>
        </w:rPr>
        <w:t xml:space="preserve">, and always asks for more morphine </w:t>
      </w:r>
      <w:r w:rsidRPr="00B1099B">
        <w:rPr>
          <w:b/>
          <w:bCs/>
          <w:highlight w:val="yellow"/>
        </w:rPr>
        <w:t>-</w:t>
      </w:r>
      <w:r w:rsidRPr="00B1099B">
        <w:rPr>
          <w:b/>
          <w:bCs/>
        </w:rPr>
        <w:t xml:space="preserve"> and cookies.</w:t>
      </w:r>
    </w:p>
    <w:p w14:paraId="370E4745" w14:textId="166E746D" w:rsidR="002F7CC9" w:rsidRPr="00EB2204" w:rsidRDefault="002F7CC9" w:rsidP="007A10F9">
      <w:pPr>
        <w:pStyle w:val="BodyText"/>
      </w:pPr>
      <w:r>
        <w:t>However</w:t>
      </w:r>
      <w:r w:rsidR="0099073E">
        <w:t>, if</w:t>
      </w:r>
      <w:r>
        <w:t xml:space="preserve"> </w:t>
      </w:r>
      <w:r w:rsidR="00B1099B">
        <w:t xml:space="preserve">the same sentence </w:t>
      </w:r>
      <w:r w:rsidR="007A10F9">
        <w:t>was</w:t>
      </w:r>
      <w:r w:rsidR="00B1099B">
        <w:t xml:space="preserve"> typed directly into Microsoft Word</w:t>
      </w:r>
      <w:r w:rsidR="007A10F9">
        <w:t>, the proofing logic will replace the quotation marks and hyphen. If that text is then copied and pasted into VBECS, VBECS will still correctly display</w:t>
      </w:r>
      <w:r w:rsidR="0099073E">
        <w:t>:</w:t>
      </w:r>
    </w:p>
    <w:p w14:paraId="39D0F2C4" w14:textId="77777777" w:rsidR="002F7CC9" w:rsidRPr="00B1099B" w:rsidRDefault="002F7CC9" w:rsidP="00B1099B">
      <w:pPr>
        <w:pStyle w:val="ListBullet"/>
        <w:numPr>
          <w:ilvl w:val="0"/>
          <w:numId w:val="0"/>
        </w:numPr>
        <w:ind w:firstLine="720"/>
        <w:rPr>
          <w:b/>
          <w:bCs/>
        </w:rPr>
      </w:pPr>
      <w:bookmarkStart w:id="657" w:name="OLE_LINK18"/>
      <w:r w:rsidRPr="00B1099B">
        <w:rPr>
          <w:b/>
          <w:bCs/>
        </w:rPr>
        <w:t xml:space="preserve">Patient Zero has a history of chronic </w:t>
      </w:r>
      <w:r w:rsidRPr="00B1099B">
        <w:rPr>
          <w:b/>
          <w:bCs/>
          <w:highlight w:val="yellow"/>
        </w:rPr>
        <w:t>“</w:t>
      </w:r>
      <w:r w:rsidRPr="00B1099B">
        <w:rPr>
          <w:b/>
          <w:bCs/>
        </w:rPr>
        <w:t>pain</w:t>
      </w:r>
      <w:r w:rsidRPr="00B1099B">
        <w:rPr>
          <w:b/>
          <w:bCs/>
          <w:highlight w:val="yellow"/>
        </w:rPr>
        <w:t>”</w:t>
      </w:r>
      <w:r w:rsidRPr="00B1099B">
        <w:rPr>
          <w:b/>
          <w:bCs/>
        </w:rPr>
        <w:t xml:space="preserve">, and always asks for more morphine </w:t>
      </w:r>
      <w:r w:rsidRPr="00B1099B">
        <w:rPr>
          <w:b/>
          <w:bCs/>
          <w:highlight w:val="yellow"/>
        </w:rPr>
        <w:t>–</w:t>
      </w:r>
      <w:r w:rsidRPr="00B1099B">
        <w:rPr>
          <w:b/>
          <w:bCs/>
        </w:rPr>
        <w:t xml:space="preserve"> and cookies.</w:t>
      </w:r>
    </w:p>
    <w:bookmarkEnd w:id="657"/>
    <w:p w14:paraId="1FFE14BC" w14:textId="6EF4C67D" w:rsidR="002F7CC9" w:rsidRPr="00EB2204" w:rsidRDefault="007A10F9" w:rsidP="002F7CC9">
      <w:pPr>
        <w:pStyle w:val="BodyText"/>
      </w:pPr>
      <w:r>
        <w:t>But, CPRS will display:</w:t>
      </w:r>
      <w:r w:rsidR="002F7CC9" w:rsidRPr="00EB2204">
        <w:t xml:space="preserve"> </w:t>
      </w:r>
    </w:p>
    <w:p w14:paraId="716E275E" w14:textId="1E09B02D" w:rsidR="002F7CC9" w:rsidRPr="00B1099B" w:rsidRDefault="002F7CC9" w:rsidP="00B1099B">
      <w:pPr>
        <w:pStyle w:val="ListBullet"/>
        <w:numPr>
          <w:ilvl w:val="0"/>
          <w:numId w:val="0"/>
        </w:numPr>
        <w:ind w:firstLine="720"/>
        <w:rPr>
          <w:b/>
          <w:bCs/>
        </w:rPr>
      </w:pPr>
      <w:r w:rsidRPr="00B1099B">
        <w:rPr>
          <w:b/>
          <w:bCs/>
        </w:rPr>
        <w:t xml:space="preserve">Patient Zero has a history of chronic </w:t>
      </w:r>
      <w:r w:rsidRPr="00B1099B">
        <w:rPr>
          <w:b/>
          <w:bCs/>
          <w:highlight w:val="yellow"/>
        </w:rPr>
        <w:t>?</w:t>
      </w:r>
      <w:r w:rsidRPr="00B1099B">
        <w:rPr>
          <w:b/>
          <w:bCs/>
        </w:rPr>
        <w:t>pain</w:t>
      </w:r>
      <w:r w:rsidRPr="00B1099B">
        <w:rPr>
          <w:b/>
          <w:bCs/>
          <w:highlight w:val="yellow"/>
        </w:rPr>
        <w:t>?</w:t>
      </w:r>
      <w:r w:rsidRPr="00B1099B">
        <w:rPr>
          <w:b/>
          <w:bCs/>
        </w:rPr>
        <w:t xml:space="preserve">, and always asks for more morphine </w:t>
      </w:r>
      <w:r w:rsidRPr="00B1099B">
        <w:rPr>
          <w:b/>
          <w:bCs/>
          <w:highlight w:val="yellow"/>
        </w:rPr>
        <w:t>?</w:t>
      </w:r>
      <w:r w:rsidRPr="00B1099B">
        <w:rPr>
          <w:b/>
          <w:bCs/>
        </w:rPr>
        <w:t xml:space="preserve"> and cookies.</w:t>
      </w:r>
    </w:p>
    <w:p w14:paraId="29E92E65" w14:textId="77777777" w:rsidR="002F7CC9" w:rsidRPr="00877DD9" w:rsidRDefault="002F7CC9" w:rsidP="002F7CC9">
      <w:pPr>
        <w:pStyle w:val="PlainText"/>
        <w:rPr>
          <w:rFonts w:ascii="Times New Roman" w:hAnsi="Times New Roman"/>
        </w:rPr>
      </w:pPr>
    </w:p>
    <w:p w14:paraId="39A18EC3" w14:textId="77777777" w:rsidR="0080456F" w:rsidRDefault="0080456F" w:rsidP="0080456F">
      <w:pPr>
        <w:numPr>
          <w:ilvl w:val="0"/>
          <w:numId w:val="97"/>
        </w:numPr>
        <w:spacing w:before="120" w:after="60"/>
        <w:rPr>
          <w:sz w:val="22"/>
          <w:szCs w:val="22"/>
        </w:rPr>
      </w:pPr>
      <w:r>
        <w:rPr>
          <w:highlight w:val="yellow"/>
        </w:rPr>
        <w:t>REDACTED</w:t>
      </w:r>
    </w:p>
    <w:p w14:paraId="7BCD67F0" w14:textId="77777777" w:rsidR="002F7CC9" w:rsidRPr="00877DD9" w:rsidRDefault="002F7CC9" w:rsidP="002F7CC9">
      <w:pPr>
        <w:pStyle w:val="PlainText"/>
        <w:rPr>
          <w:rFonts w:ascii="Times New Roman" w:hAnsi="Times New Roman"/>
        </w:rPr>
      </w:pPr>
    </w:p>
    <w:p w14:paraId="121962FE" w14:textId="40C2BB6F" w:rsidR="002F7CC9" w:rsidRDefault="002F7CC9" w:rsidP="002F7CC9">
      <w:pPr>
        <w:pStyle w:val="PlainText"/>
        <w:rPr>
          <w:rFonts w:ascii="Times New Roman" w:hAnsi="Times New Roman"/>
        </w:rPr>
      </w:pPr>
      <w:r w:rsidRPr="00877DD9">
        <w:rPr>
          <w:rFonts w:ascii="Times New Roman" w:hAnsi="Times New Roman"/>
          <w:b/>
          <w:bCs/>
        </w:rPr>
        <w:t>Workaround</w:t>
      </w:r>
      <w:r w:rsidRPr="00877DD9">
        <w:rPr>
          <w:rFonts w:ascii="Times New Roman" w:hAnsi="Times New Roman"/>
        </w:rPr>
        <w:t xml:space="preserve">: </w:t>
      </w:r>
      <w:r w:rsidR="00E5478F">
        <w:rPr>
          <w:rFonts w:ascii="Times New Roman" w:hAnsi="Times New Roman"/>
        </w:rPr>
        <w:t>If you’d like to keep using spell-checking software, our suggested workaround to avoid the CPRS limitation is to use Microsoft Outlook by following these steps</w:t>
      </w:r>
      <w:r w:rsidR="00FB410D">
        <w:rPr>
          <w:rFonts w:ascii="Times New Roman" w:hAnsi="Times New Roman"/>
        </w:rPr>
        <w:t>:</w:t>
      </w:r>
      <w:r w:rsidR="00FB410D" w:rsidRPr="00FB410D">
        <w:rPr>
          <w:rFonts w:ascii="Times New Roman" w:hAnsi="Times New Roman"/>
          <w:vanish/>
        </w:rPr>
        <w:t xml:space="preserve"> (Defect 1277899)</w:t>
      </w:r>
    </w:p>
    <w:p w14:paraId="4A5A613D" w14:textId="778F9AD4" w:rsidR="00E5478F" w:rsidRPr="000A0354" w:rsidRDefault="00E5478F" w:rsidP="000A0354">
      <w:pPr>
        <w:pStyle w:val="PlainText"/>
        <w:keepNext/>
        <w:numPr>
          <w:ilvl w:val="0"/>
          <w:numId w:val="96"/>
        </w:numPr>
        <w:rPr>
          <w:rFonts w:ascii="Times New Roman" w:hAnsi="Times New Roman"/>
          <w:vanish/>
        </w:rPr>
      </w:pPr>
      <w:r>
        <w:rPr>
          <w:rFonts w:ascii="Times New Roman" w:hAnsi="Times New Roman"/>
        </w:rPr>
        <w:lastRenderedPageBreak/>
        <w:t xml:space="preserve">Open a new </w:t>
      </w:r>
      <w:r w:rsidR="00B27C5A">
        <w:rPr>
          <w:rFonts w:ascii="Times New Roman" w:hAnsi="Times New Roman"/>
        </w:rPr>
        <w:t>email. Select</w:t>
      </w:r>
      <w:r>
        <w:rPr>
          <w:rFonts w:ascii="Times New Roman" w:hAnsi="Times New Roman"/>
        </w:rPr>
        <w:t xml:space="preserve"> the </w:t>
      </w:r>
      <w:r w:rsidRPr="000A0354">
        <w:rPr>
          <w:rFonts w:ascii="Times New Roman" w:hAnsi="Times New Roman"/>
          <w:b/>
          <w:bCs/>
        </w:rPr>
        <w:t>Format Text</w:t>
      </w:r>
      <w:r>
        <w:rPr>
          <w:rFonts w:ascii="Times New Roman" w:hAnsi="Times New Roman"/>
        </w:rPr>
        <w:t xml:space="preserve"> menu</w:t>
      </w:r>
      <w:r w:rsidR="000A0354">
        <w:rPr>
          <w:rFonts w:ascii="Times New Roman" w:hAnsi="Times New Roman"/>
        </w:rPr>
        <w:t xml:space="preserve"> and then</w:t>
      </w:r>
      <w:r>
        <w:rPr>
          <w:rFonts w:ascii="Times New Roman" w:hAnsi="Times New Roman"/>
        </w:rPr>
        <w:t xml:space="preserve"> select the “</w:t>
      </w:r>
      <w:r w:rsidRPr="000A0354">
        <w:rPr>
          <w:rFonts w:ascii="Times New Roman" w:hAnsi="Times New Roman"/>
          <w:b/>
          <w:bCs/>
        </w:rPr>
        <w:t>Plain Text</w:t>
      </w:r>
      <w:r>
        <w:rPr>
          <w:rFonts w:ascii="Times New Roman" w:hAnsi="Times New Roman"/>
        </w:rPr>
        <w:t>” option (</w:t>
      </w:r>
      <w:r w:rsidR="00022B7B" w:rsidRPr="007F7206">
        <w:rPr>
          <w:rFonts w:ascii="Times New Roman" w:hAnsi="Times New Roman"/>
        </w:rPr>
        <w:fldChar w:fldCharType="begin"/>
      </w:r>
      <w:r w:rsidR="00022B7B" w:rsidRPr="007F7206">
        <w:rPr>
          <w:rFonts w:ascii="Times New Roman" w:hAnsi="Times New Roman"/>
        </w:rPr>
        <w:instrText xml:space="preserve"> REF _Ref46753183 \h </w:instrText>
      </w:r>
      <w:r w:rsidR="007F7206">
        <w:rPr>
          <w:rFonts w:ascii="Times New Roman" w:hAnsi="Times New Roman"/>
        </w:rPr>
        <w:instrText xml:space="preserve"> \* MERGEFORMAT </w:instrText>
      </w:r>
      <w:r w:rsidR="00022B7B" w:rsidRPr="007F7206">
        <w:rPr>
          <w:rFonts w:ascii="Times New Roman" w:hAnsi="Times New Roman"/>
        </w:rPr>
      </w:r>
      <w:r w:rsidR="00022B7B" w:rsidRPr="007F7206">
        <w:rPr>
          <w:rFonts w:ascii="Times New Roman" w:hAnsi="Times New Roman"/>
        </w:rPr>
        <w:fldChar w:fldCharType="separate"/>
      </w:r>
      <w:r w:rsidR="00022B7B" w:rsidRPr="007F7206">
        <w:rPr>
          <w:rFonts w:ascii="Times New Roman" w:hAnsi="Times New Roman"/>
        </w:rPr>
        <w:t xml:space="preserve">Figure </w:t>
      </w:r>
      <w:r w:rsidR="00022B7B" w:rsidRPr="007F7206">
        <w:rPr>
          <w:rFonts w:ascii="Times New Roman" w:hAnsi="Times New Roman"/>
          <w:noProof/>
        </w:rPr>
        <w:t>145</w:t>
      </w:r>
      <w:r w:rsidR="00022B7B" w:rsidRPr="007F7206">
        <w:rPr>
          <w:rFonts w:ascii="Times New Roman" w:hAnsi="Times New Roman"/>
        </w:rPr>
        <w:fldChar w:fldCharType="end"/>
      </w:r>
      <w:r w:rsidRPr="007F7206">
        <w:rPr>
          <w:rFonts w:ascii="Times New Roman" w:hAnsi="Times New Roman"/>
        </w:rPr>
        <w:t>).</w:t>
      </w:r>
    </w:p>
    <w:p w14:paraId="4CFAC13A" w14:textId="77777777" w:rsidR="007E06EE" w:rsidRDefault="007E06EE" w:rsidP="00355A17">
      <w:pPr>
        <w:pStyle w:val="Caption"/>
      </w:pPr>
      <w:bookmarkStart w:id="658" w:name="_Ref45105598"/>
    </w:p>
    <w:p w14:paraId="36BD6BC8" w14:textId="52AE1CD2" w:rsidR="00022B7B" w:rsidRPr="00022B7B" w:rsidRDefault="00022B7B" w:rsidP="00022B7B">
      <w:pPr>
        <w:pStyle w:val="Caption"/>
      </w:pPr>
      <w:bookmarkStart w:id="659" w:name="_Ref46753183"/>
      <w:bookmarkEnd w:id="658"/>
      <w:r>
        <w:t xml:space="preserve">Figure </w:t>
      </w:r>
      <w:fldSimple w:instr=" SEQ Figure \* ARABIC ">
        <w:r>
          <w:rPr>
            <w:noProof/>
          </w:rPr>
          <w:t>145</w:t>
        </w:r>
      </w:fldSimple>
      <w:bookmarkEnd w:id="659"/>
      <w:r>
        <w:t>: Changing the Email Text Format</w:t>
      </w:r>
    </w:p>
    <w:p w14:paraId="240431DB" w14:textId="208DA7E6" w:rsidR="000A0354" w:rsidRPr="000A0354" w:rsidRDefault="000A0354" w:rsidP="000A0354">
      <w:pPr>
        <w:pStyle w:val="BodyText"/>
      </w:pPr>
      <w:r>
        <w:rPr>
          <w:noProof/>
        </w:rPr>
        <w:drawing>
          <wp:inline distT="0" distB="0" distL="0" distR="0" wp14:anchorId="571012D1" wp14:editId="6446DBA7">
            <wp:extent cx="5248275" cy="1752600"/>
            <wp:effectExtent l="76200" t="76200" r="85725" b="76200"/>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248275" cy="1752600"/>
                    </a:xfrm>
                    <a:prstGeom prst="rect">
                      <a:avLst/>
                    </a:prstGeom>
                    <a:noFill/>
                    <a:ln>
                      <a:noFill/>
                    </a:ln>
                    <a:effectLst>
                      <a:glow rad="63500">
                        <a:schemeClr val="accent1">
                          <a:satMod val="175000"/>
                          <a:alpha val="40000"/>
                        </a:schemeClr>
                      </a:glow>
                    </a:effectLst>
                  </pic:spPr>
                </pic:pic>
              </a:graphicData>
            </a:graphic>
          </wp:inline>
        </w:drawing>
      </w:r>
    </w:p>
    <w:p w14:paraId="421E02D7" w14:textId="4DBA5250" w:rsidR="00E5478F" w:rsidRPr="000A0354" w:rsidRDefault="000A0354" w:rsidP="00E5478F">
      <w:pPr>
        <w:pStyle w:val="PlainText"/>
        <w:numPr>
          <w:ilvl w:val="0"/>
          <w:numId w:val="96"/>
        </w:numPr>
        <w:rPr>
          <w:rFonts w:ascii="Times New Roman" w:hAnsi="Times New Roman"/>
          <w:vanish/>
        </w:rPr>
      </w:pPr>
      <w:r>
        <w:rPr>
          <w:rFonts w:ascii="Times New Roman" w:hAnsi="Times New Roman"/>
        </w:rPr>
        <w:t xml:space="preserve">You may see </w:t>
      </w:r>
      <w:r w:rsidR="004772C9">
        <w:rPr>
          <w:rFonts w:ascii="Times New Roman" w:hAnsi="Times New Roman"/>
        </w:rPr>
        <w:t xml:space="preserve">the following </w:t>
      </w:r>
      <w:r>
        <w:rPr>
          <w:rFonts w:ascii="Times New Roman" w:hAnsi="Times New Roman"/>
        </w:rPr>
        <w:t>message</w:t>
      </w:r>
      <w:r w:rsidR="00B27C5A">
        <w:rPr>
          <w:rFonts w:ascii="Times New Roman" w:hAnsi="Times New Roman"/>
        </w:rPr>
        <w:t>,</w:t>
      </w:r>
      <w:r w:rsidR="004772C9">
        <w:rPr>
          <w:rFonts w:ascii="Times New Roman" w:hAnsi="Times New Roman"/>
        </w:rPr>
        <w:t xml:space="preserve"> which can be ignored by clicking </w:t>
      </w:r>
      <w:r w:rsidR="004772C9" w:rsidRPr="004772C9">
        <w:rPr>
          <w:rFonts w:ascii="Times New Roman" w:hAnsi="Times New Roman"/>
          <w:b/>
          <w:bCs/>
        </w:rPr>
        <w:t>Continue</w:t>
      </w:r>
      <w:r w:rsidR="004772C9">
        <w:rPr>
          <w:rFonts w:ascii="Times New Roman" w:hAnsi="Times New Roman"/>
        </w:rPr>
        <w:t xml:space="preserve"> </w:t>
      </w:r>
      <w:r>
        <w:rPr>
          <w:rFonts w:ascii="Times New Roman" w:hAnsi="Times New Roman"/>
        </w:rPr>
        <w:t>(</w:t>
      </w:r>
      <w:r w:rsidR="007F7206" w:rsidRPr="007F7206">
        <w:rPr>
          <w:rFonts w:ascii="Times New Roman" w:hAnsi="Times New Roman"/>
        </w:rPr>
        <w:fldChar w:fldCharType="begin"/>
      </w:r>
      <w:r w:rsidR="007F7206" w:rsidRPr="007F7206">
        <w:rPr>
          <w:rFonts w:ascii="Times New Roman" w:hAnsi="Times New Roman"/>
        </w:rPr>
        <w:instrText xml:space="preserve"> REF _Ref46753259 \h </w:instrText>
      </w:r>
      <w:r w:rsidR="007F7206">
        <w:rPr>
          <w:rFonts w:ascii="Times New Roman" w:hAnsi="Times New Roman"/>
        </w:rPr>
        <w:instrText xml:space="preserve"> \* MERGEFORMAT </w:instrText>
      </w:r>
      <w:r w:rsidR="007F7206" w:rsidRPr="007F7206">
        <w:rPr>
          <w:rFonts w:ascii="Times New Roman" w:hAnsi="Times New Roman"/>
        </w:rPr>
      </w:r>
      <w:r w:rsidR="007F7206" w:rsidRPr="007F7206">
        <w:rPr>
          <w:rFonts w:ascii="Times New Roman" w:hAnsi="Times New Roman"/>
        </w:rPr>
        <w:fldChar w:fldCharType="separate"/>
      </w:r>
      <w:r w:rsidR="007F7206" w:rsidRPr="007F7206">
        <w:rPr>
          <w:rFonts w:ascii="Times New Roman" w:hAnsi="Times New Roman"/>
        </w:rPr>
        <w:t xml:space="preserve">Figure </w:t>
      </w:r>
      <w:r w:rsidR="007F7206" w:rsidRPr="007F7206">
        <w:rPr>
          <w:rFonts w:ascii="Times New Roman" w:hAnsi="Times New Roman"/>
          <w:noProof/>
        </w:rPr>
        <w:t>146</w:t>
      </w:r>
      <w:r w:rsidR="007F7206" w:rsidRPr="007F7206">
        <w:rPr>
          <w:rFonts w:ascii="Times New Roman" w:hAnsi="Times New Roman"/>
        </w:rPr>
        <w:fldChar w:fldCharType="end"/>
      </w:r>
      <w:r>
        <w:rPr>
          <w:rFonts w:ascii="Times New Roman" w:hAnsi="Times New Roman"/>
        </w:rPr>
        <w:t>).</w:t>
      </w:r>
    </w:p>
    <w:p w14:paraId="1B1F7267" w14:textId="77777777" w:rsidR="00022B7B" w:rsidRDefault="00022B7B" w:rsidP="00355A17">
      <w:pPr>
        <w:pStyle w:val="Caption"/>
      </w:pPr>
      <w:bookmarkStart w:id="660" w:name="_Ref45105644"/>
    </w:p>
    <w:p w14:paraId="5769BCED" w14:textId="61799B95" w:rsidR="00022B7B" w:rsidRPr="00022B7B" w:rsidRDefault="00022B7B" w:rsidP="00022B7B">
      <w:pPr>
        <w:pStyle w:val="Caption"/>
      </w:pPr>
      <w:bookmarkStart w:id="661" w:name="_Ref46753259"/>
      <w:bookmarkEnd w:id="660"/>
      <w:r>
        <w:t xml:space="preserve">Figure </w:t>
      </w:r>
      <w:fldSimple w:instr=" SEQ Figure \* ARABIC ">
        <w:r>
          <w:rPr>
            <w:noProof/>
          </w:rPr>
          <w:t>146</w:t>
        </w:r>
      </w:fldSimple>
      <w:bookmarkEnd w:id="661"/>
      <w:r>
        <w:t>: Outlook Message that can be Ignored</w:t>
      </w:r>
    </w:p>
    <w:p w14:paraId="41877060" w14:textId="04CF5041" w:rsidR="000A0354" w:rsidRPr="000A0354" w:rsidRDefault="000A0354" w:rsidP="000A0354">
      <w:pPr>
        <w:pStyle w:val="BodyText"/>
      </w:pPr>
      <w:r>
        <w:rPr>
          <w:noProof/>
        </w:rPr>
        <w:drawing>
          <wp:inline distT="0" distB="0" distL="0" distR="0" wp14:anchorId="616E91D8" wp14:editId="0D658624">
            <wp:extent cx="4086225" cy="3314079"/>
            <wp:effectExtent l="0" t="0" r="0" b="635"/>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4102753" cy="3327484"/>
                    </a:xfrm>
                    <a:prstGeom prst="rect">
                      <a:avLst/>
                    </a:prstGeom>
                    <a:noFill/>
                    <a:ln>
                      <a:noFill/>
                    </a:ln>
                  </pic:spPr>
                </pic:pic>
              </a:graphicData>
            </a:graphic>
          </wp:inline>
        </w:drawing>
      </w:r>
    </w:p>
    <w:p w14:paraId="667D9DE5" w14:textId="77777777" w:rsidR="004772C9" w:rsidRPr="004772C9" w:rsidRDefault="000A0354" w:rsidP="00E5478F">
      <w:pPr>
        <w:pStyle w:val="PlainText"/>
        <w:numPr>
          <w:ilvl w:val="0"/>
          <w:numId w:val="96"/>
        </w:numPr>
        <w:rPr>
          <w:rFonts w:ascii="Times New Roman" w:hAnsi="Times New Roman"/>
          <w:vanish/>
        </w:rPr>
      </w:pPr>
      <w:r>
        <w:rPr>
          <w:rFonts w:ascii="Times New Roman" w:hAnsi="Times New Roman"/>
        </w:rPr>
        <w:t xml:space="preserve">Enter your text into the body of the email message. </w:t>
      </w:r>
    </w:p>
    <w:p w14:paraId="634900CE" w14:textId="7A595620" w:rsidR="000A0354" w:rsidRPr="00877DD9" w:rsidRDefault="000A0354" w:rsidP="00E5478F">
      <w:pPr>
        <w:pStyle w:val="PlainText"/>
        <w:numPr>
          <w:ilvl w:val="0"/>
          <w:numId w:val="96"/>
        </w:numPr>
        <w:rPr>
          <w:rFonts w:ascii="Times New Roman" w:hAnsi="Times New Roman"/>
          <w:vanish/>
        </w:rPr>
      </w:pPr>
      <w:r>
        <w:rPr>
          <w:rFonts w:ascii="Times New Roman" w:hAnsi="Times New Roman"/>
        </w:rPr>
        <w:t xml:space="preserve">When </w:t>
      </w:r>
      <w:r w:rsidR="004772C9">
        <w:rPr>
          <w:rFonts w:ascii="Times New Roman" w:hAnsi="Times New Roman"/>
        </w:rPr>
        <w:t>you’re satisfied with your text</w:t>
      </w:r>
      <w:r>
        <w:rPr>
          <w:rFonts w:ascii="Times New Roman" w:hAnsi="Times New Roman"/>
        </w:rPr>
        <w:t xml:space="preserve">, copy and paste </w:t>
      </w:r>
      <w:r w:rsidR="004772C9">
        <w:rPr>
          <w:rFonts w:ascii="Times New Roman" w:hAnsi="Times New Roman"/>
        </w:rPr>
        <w:t xml:space="preserve">it </w:t>
      </w:r>
      <w:r>
        <w:rPr>
          <w:rFonts w:ascii="Times New Roman" w:hAnsi="Times New Roman"/>
        </w:rPr>
        <w:t>into VBECS and discard the email.</w:t>
      </w:r>
    </w:p>
    <w:p w14:paraId="66551EB7" w14:textId="6F81D12D" w:rsidR="00006995" w:rsidRDefault="00006995" w:rsidP="00006995">
      <w:pPr>
        <w:rPr>
          <w:rFonts w:ascii="Arial" w:hAnsi="Arial" w:cs="Arial"/>
          <w:b/>
          <w:bCs/>
          <w:i/>
          <w:iCs/>
          <w:sz w:val="28"/>
          <w:szCs w:val="28"/>
        </w:rPr>
      </w:pPr>
      <w:r>
        <w:br w:type="page"/>
      </w:r>
    </w:p>
    <w:p w14:paraId="3A61BCD5" w14:textId="2EBB666D" w:rsidR="002A21AE" w:rsidRDefault="002A21AE">
      <w:pPr>
        <w:pStyle w:val="Heading2"/>
      </w:pPr>
      <w:bookmarkStart w:id="662" w:name="_Toc47516782"/>
      <w:r>
        <w:lastRenderedPageBreak/>
        <w:t>Division Transfusion Report</w:t>
      </w:r>
      <w:bookmarkEnd w:id="662"/>
      <w:r>
        <w:fldChar w:fldCharType="begin"/>
      </w:r>
      <w:r>
        <w:instrText xml:space="preserve"> XE </w:instrText>
      </w:r>
      <w:r w:rsidR="00FA7E65">
        <w:instrText>“</w:instrText>
      </w:r>
      <w:r>
        <w:instrText>Division Transfusion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UC_74</w:t>
      </w:r>
      <w:r>
        <w:rPr>
          <w:rStyle w:val="CommentReference"/>
          <w:rFonts w:ascii="Times New Roman" w:hAnsi="Times New Roman" w:cs="Times New Roman"/>
          <w:b w:val="0"/>
          <w:bCs w:val="0"/>
          <w:vanish/>
        </w:rPr>
        <w:t xml:space="preserve"> </w:t>
      </w:r>
    </w:p>
    <w:p w14:paraId="5296071A" w14:textId="77777777" w:rsidR="002A21AE" w:rsidRDefault="002A21AE" w:rsidP="00FA7E65">
      <w:pPr>
        <w:pStyle w:val="BodyText"/>
      </w:pPr>
      <w:r>
        <w:t xml:space="preserve">The user views </w:t>
      </w:r>
      <w:r w:rsidR="00EB1E5A">
        <w:t xml:space="preserve">and/or </w:t>
      </w:r>
      <w:r>
        <w:t>prints the Division Transfusion Report.</w:t>
      </w:r>
    </w:p>
    <w:p w14:paraId="609B5479" w14:textId="77777777" w:rsidR="002A21AE" w:rsidRDefault="002A21AE">
      <w:pPr>
        <w:pStyle w:val="Heading4"/>
      </w:pPr>
      <w:r>
        <w:t>Assumptions</w:t>
      </w:r>
      <w:r>
        <w:rPr>
          <w:b w:val="0"/>
        </w:rPr>
        <w:t xml:space="preserve"> </w:t>
      </w:r>
    </w:p>
    <w:p w14:paraId="4204929A" w14:textId="77777777" w:rsidR="002A21AE" w:rsidRDefault="002A21AE">
      <w:pPr>
        <w:pStyle w:val="ListBullet"/>
      </w:pPr>
      <w:r>
        <w:t>Transfused unit data for the report were saved in VBECS.</w:t>
      </w:r>
    </w:p>
    <w:p w14:paraId="44790652" w14:textId="77777777" w:rsidR="002A21AE" w:rsidRDefault="002A21AE">
      <w:pPr>
        <w:pStyle w:val="Heading4"/>
      </w:pPr>
      <w:r>
        <w:t xml:space="preserve">Outcome </w:t>
      </w:r>
    </w:p>
    <w:p w14:paraId="71F45299" w14:textId="77777777" w:rsidR="002A21AE" w:rsidRDefault="00AE521B">
      <w:pPr>
        <w:pStyle w:val="ListBullet"/>
      </w:pPr>
      <w:r>
        <w:t>The user views and/or prints the report</w:t>
      </w:r>
      <w:r w:rsidR="002A21AE">
        <w:t xml:space="preserve">. </w:t>
      </w:r>
    </w:p>
    <w:p w14:paraId="4511BD7B" w14:textId="77777777" w:rsidR="002A21AE" w:rsidRDefault="002A21AE">
      <w:pPr>
        <w:pStyle w:val="Heading4"/>
        <w:rPr>
          <w:b w:val="0"/>
        </w:rPr>
      </w:pPr>
      <w:r>
        <w:t>Limitations and Restrictions</w:t>
      </w:r>
      <w:r>
        <w:rPr>
          <w:b w:val="0"/>
        </w:rPr>
        <w:t xml:space="preserve"> </w:t>
      </w:r>
    </w:p>
    <w:p w14:paraId="549EE1F0" w14:textId="77777777" w:rsidR="002A21AE" w:rsidRDefault="002A21AE">
      <w:pPr>
        <w:pStyle w:val="ListBullet"/>
      </w:pPr>
      <w:r>
        <w:t>None</w:t>
      </w:r>
    </w:p>
    <w:p w14:paraId="6E4E8E40" w14:textId="77777777" w:rsidR="002A21AE" w:rsidRDefault="002A21AE">
      <w:pPr>
        <w:pStyle w:val="Heading4"/>
      </w:pPr>
      <w:r>
        <w:t xml:space="preserve">Additional Information </w:t>
      </w:r>
    </w:p>
    <w:p w14:paraId="56B413D3" w14:textId="77777777" w:rsidR="002A21AE" w:rsidRDefault="002A21AE">
      <w:pPr>
        <w:pStyle w:val="ListBullet"/>
      </w:pPr>
      <w:r>
        <w:rPr>
          <w:rFonts w:ascii="Arial" w:hAnsi="Arial" w:cs="Arial"/>
          <w:vanish/>
          <w:spacing w:val="0"/>
          <w:sz w:val="18"/>
        </w:rPr>
        <w:t xml:space="preserve">BR_74.01 </w:t>
      </w:r>
      <w:r>
        <w:t>VBECS compiles data for the report from the user’s login division.</w:t>
      </w:r>
    </w:p>
    <w:p w14:paraId="5569791E" w14:textId="77777777" w:rsidR="002A21AE" w:rsidRDefault="002A21AE">
      <w:pPr>
        <w:pStyle w:val="Heading4"/>
        <w:rPr>
          <w:b w:val="0"/>
        </w:rPr>
      </w:pPr>
      <w:r>
        <w:t xml:space="preserve">User Roles </w:t>
      </w:r>
      <w:r w:rsidRPr="005F46D4">
        <w:rPr>
          <w:rFonts w:ascii="Arial Bold" w:hAnsi="Arial Bold"/>
          <w:vanish/>
        </w:rPr>
        <w:t xml:space="preserve">with </w:t>
      </w:r>
      <w:r>
        <w:t>Access to This Option</w:t>
      </w:r>
      <w:r>
        <w:rPr>
          <w:b w:val="0"/>
        </w:rPr>
        <w:t xml:space="preserve"> </w:t>
      </w:r>
    </w:p>
    <w:p w14:paraId="4A584A37" w14:textId="77777777" w:rsidR="002A21AE" w:rsidRDefault="00606FB0">
      <w:pPr>
        <w:pStyle w:val="Roles"/>
      </w:pPr>
      <w:r>
        <w:t>All users</w:t>
      </w:r>
    </w:p>
    <w:p w14:paraId="38240369" w14:textId="77777777" w:rsidR="002A21AE" w:rsidRDefault="002A21AE">
      <w:pPr>
        <w:pStyle w:val="Heading4"/>
      </w:pPr>
      <w:r>
        <w:t xml:space="preserve">Division Transfusion Report </w:t>
      </w:r>
    </w:p>
    <w:p w14:paraId="58A3AE68" w14:textId="77777777" w:rsidR="002A21AE" w:rsidRDefault="002A21AE" w:rsidP="00FA7E65">
      <w:pPr>
        <w:pStyle w:val="BodyText"/>
      </w:pPr>
      <w:r>
        <w:t xml:space="preserve">The user views </w:t>
      </w:r>
      <w:r w:rsidR="00EB1E5A">
        <w:t xml:space="preserve">and/or </w:t>
      </w:r>
      <w:r>
        <w:t>prints a Division Transfusion Report</w:t>
      </w:r>
      <w:r w:rsidR="000E7CF5">
        <w:t>, which lists details of units transfused during a selected period</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E27061" w14:textId="77777777">
        <w:trPr>
          <w:cantSplit/>
          <w:tblHeader/>
        </w:trPr>
        <w:tc>
          <w:tcPr>
            <w:tcW w:w="3240" w:type="dxa"/>
            <w:shd w:val="pct30" w:color="auto" w:fill="FFFFFF"/>
            <w:vAlign w:val="bottom"/>
          </w:tcPr>
          <w:p w14:paraId="1A66AEC4" w14:textId="77777777" w:rsidR="002A21AE" w:rsidRDefault="002A21AE">
            <w:pPr>
              <w:pStyle w:val="TableText"/>
              <w:rPr>
                <w:b/>
              </w:rPr>
            </w:pPr>
            <w:r>
              <w:rPr>
                <w:b/>
              </w:rPr>
              <w:t>User Action</w:t>
            </w:r>
          </w:p>
        </w:tc>
        <w:tc>
          <w:tcPr>
            <w:tcW w:w="6120" w:type="dxa"/>
            <w:shd w:val="pct30" w:color="auto" w:fill="FFFFFF"/>
            <w:vAlign w:val="bottom"/>
          </w:tcPr>
          <w:p w14:paraId="704B46A7" w14:textId="77777777" w:rsidR="002A21AE" w:rsidRDefault="002A21AE">
            <w:pPr>
              <w:pStyle w:val="TableText"/>
              <w:rPr>
                <w:b/>
              </w:rPr>
            </w:pPr>
            <w:r>
              <w:rPr>
                <w:b/>
              </w:rPr>
              <w:t>VBECS</w:t>
            </w:r>
          </w:p>
        </w:tc>
      </w:tr>
      <w:tr w:rsidR="002A21AE" w14:paraId="5E49DBA9" w14:textId="77777777">
        <w:tc>
          <w:tcPr>
            <w:tcW w:w="3240" w:type="dxa"/>
            <w:tcBorders>
              <w:top w:val="single" w:sz="4" w:space="0" w:color="auto"/>
              <w:left w:val="single" w:sz="4" w:space="0" w:color="auto"/>
              <w:bottom w:val="single" w:sz="4" w:space="0" w:color="auto"/>
              <w:right w:val="single" w:sz="4" w:space="0" w:color="auto"/>
            </w:tcBorders>
          </w:tcPr>
          <w:p w14:paraId="13FDE885" w14:textId="77777777" w:rsidR="002A21AE" w:rsidRDefault="002A21AE">
            <w:pPr>
              <w:pStyle w:val="TableTextNumbers"/>
            </w:pPr>
            <w:r>
              <w:t xml:space="preserve">Select </w:t>
            </w:r>
            <w:r>
              <w:rPr>
                <w:b/>
              </w:rPr>
              <w:t>Reports</w:t>
            </w:r>
            <w:r>
              <w:t xml:space="preserve"> from the main menu.</w:t>
            </w:r>
          </w:p>
          <w:p w14:paraId="0ECE0166" w14:textId="77777777" w:rsidR="002A21AE" w:rsidRDefault="002A21AE">
            <w:pPr>
              <w:pStyle w:val="TableTextNumbersContinued"/>
            </w:pPr>
          </w:p>
          <w:p w14:paraId="101859AF" w14:textId="77777777" w:rsidR="002A21AE" w:rsidRDefault="002A21AE">
            <w:pPr>
              <w:pStyle w:val="TableTextNumbersContinued"/>
            </w:pPr>
            <w:r>
              <w:t xml:space="preserve">Select </w:t>
            </w:r>
            <w:r>
              <w:rPr>
                <w:b/>
              </w:rPr>
              <w:t>Division Transfusion Report</w:t>
            </w:r>
            <w:r>
              <w:t>.</w:t>
            </w:r>
          </w:p>
        </w:tc>
        <w:tc>
          <w:tcPr>
            <w:tcW w:w="6120" w:type="dxa"/>
            <w:tcBorders>
              <w:top w:val="single" w:sz="4" w:space="0" w:color="auto"/>
              <w:left w:val="single" w:sz="4" w:space="0" w:color="auto"/>
              <w:bottom w:val="single" w:sz="4" w:space="0" w:color="auto"/>
              <w:right w:val="single" w:sz="4" w:space="0" w:color="auto"/>
            </w:tcBorders>
          </w:tcPr>
          <w:p w14:paraId="113547D3" w14:textId="77777777" w:rsidR="002A21AE" w:rsidRDefault="002A21AE">
            <w:pPr>
              <w:pStyle w:val="TableTextBullet"/>
            </w:pPr>
            <w:r>
              <w:t>Lists report names.</w:t>
            </w:r>
          </w:p>
          <w:p w14:paraId="44111470" w14:textId="77777777" w:rsidR="002A21AE" w:rsidRDefault="002A21AE">
            <w:pPr>
              <w:pStyle w:val="TableTextBullet"/>
            </w:pPr>
            <w:r>
              <w:t>Displays fields for entering a report date range.</w:t>
            </w:r>
          </w:p>
        </w:tc>
      </w:tr>
      <w:tr w:rsidR="002A21AE" w14:paraId="5BD79351" w14:textId="77777777">
        <w:tc>
          <w:tcPr>
            <w:tcW w:w="3240" w:type="dxa"/>
          </w:tcPr>
          <w:p w14:paraId="527CCD77" w14:textId="77777777" w:rsidR="002A21AE" w:rsidRDefault="002A21AE">
            <w:pPr>
              <w:pStyle w:val="TableTextNumbers"/>
            </w:pPr>
            <w:r>
              <w:t xml:space="preserve">Enter or select start and end dates. </w:t>
            </w:r>
          </w:p>
          <w:p w14:paraId="18E33DBA" w14:textId="77777777" w:rsidR="002A21AE" w:rsidRDefault="002A21AE">
            <w:pPr>
              <w:pStyle w:val="TableTextNumbersContinued"/>
            </w:pPr>
          </w:p>
          <w:p w14:paraId="2F32D451" w14:textId="77777777" w:rsidR="002A21AE" w:rsidRDefault="002A21AE">
            <w:pPr>
              <w:pStyle w:val="TableTextNumbersContinued"/>
            </w:pPr>
            <w:r>
              <w:t xml:space="preserve">In the Report Type area, select the </w:t>
            </w:r>
            <w:r>
              <w:rPr>
                <w:b/>
              </w:rPr>
              <w:t>Issuing Physician Report</w:t>
            </w:r>
            <w:r>
              <w:t xml:space="preserve">, </w:t>
            </w:r>
            <w:r>
              <w:rPr>
                <w:b/>
              </w:rPr>
              <w:t>Treating Specialty Report</w:t>
            </w:r>
            <w:r>
              <w:t xml:space="preserve">, </w:t>
            </w:r>
            <w:r>
              <w:rPr>
                <w:b/>
              </w:rPr>
              <w:t xml:space="preserve">Issued-To Location Report </w:t>
            </w:r>
            <w:r w:rsidR="00057A94" w:rsidRPr="00057A94">
              <w:t>or</w:t>
            </w:r>
            <w:r w:rsidR="00057A94">
              <w:rPr>
                <w:b/>
              </w:rPr>
              <w:t xml:space="preserve"> Component Class Report </w:t>
            </w:r>
            <w:r w:rsidRPr="00BF2E41">
              <w:t>radio button</w:t>
            </w:r>
            <w:r>
              <w:t>.</w:t>
            </w:r>
          </w:p>
          <w:p w14:paraId="666838D3" w14:textId="77777777" w:rsidR="00057A94" w:rsidRDefault="00057A94">
            <w:pPr>
              <w:pStyle w:val="TableTextNumbersContinued"/>
            </w:pPr>
          </w:p>
          <w:p w14:paraId="60C3C6D6" w14:textId="55959D56" w:rsidR="00057A94" w:rsidRDefault="00057A94">
            <w:pPr>
              <w:pStyle w:val="TableTextNumbersContinued"/>
            </w:pPr>
            <w:r>
              <w:t>May select all or specific items to be included in the report.</w:t>
            </w:r>
          </w:p>
        </w:tc>
        <w:tc>
          <w:tcPr>
            <w:tcW w:w="6120" w:type="dxa"/>
          </w:tcPr>
          <w:p w14:paraId="51AFD768" w14:textId="4DD6FC01" w:rsidR="002A21AE" w:rsidRDefault="002A21AE">
            <w:pPr>
              <w:pStyle w:val="TableTextBullet"/>
            </w:pPr>
            <w:r>
              <w:rPr>
                <w:rFonts w:cs="Arial"/>
                <w:vanish/>
              </w:rPr>
              <w:t xml:space="preserve">BR_74.05 </w:t>
            </w:r>
            <w:r>
              <w:t>Allows the user to compile the report by issuing physician, by treating specialty, or by issued-to location</w:t>
            </w:r>
            <w:r w:rsidR="005F46D4">
              <w:t xml:space="preserve"> or component classes</w:t>
            </w:r>
            <w:r>
              <w:t>.</w:t>
            </w:r>
          </w:p>
          <w:p w14:paraId="502494C9" w14:textId="029707EF" w:rsidR="005F46D4" w:rsidRDefault="002A21AE" w:rsidP="005F46D4">
            <w:pPr>
              <w:pStyle w:val="TableTextBullet"/>
            </w:pPr>
            <w:r>
              <w:rPr>
                <w:rFonts w:cs="Arial"/>
                <w:vanish/>
              </w:rPr>
              <w:t xml:space="preserve">BR_74.06 </w:t>
            </w:r>
            <w:r>
              <w:t xml:space="preserve">Allows the user to include some or all </w:t>
            </w:r>
            <w:r w:rsidR="005F46D4">
              <w:t xml:space="preserve">issuing </w:t>
            </w:r>
            <w:r>
              <w:t>physicians, treating specialties, or issued-to locations</w:t>
            </w:r>
            <w:r w:rsidR="005F46D4">
              <w:t xml:space="preserve"> or component classes</w:t>
            </w:r>
            <w:r>
              <w:t>.</w:t>
            </w:r>
          </w:p>
          <w:p w14:paraId="77180628" w14:textId="3C3E57AB" w:rsidR="005F46D4" w:rsidRDefault="005F46D4" w:rsidP="005F46D4">
            <w:pPr>
              <w:pStyle w:val="TableTextBullet"/>
            </w:pPr>
            <w:r>
              <w:rPr>
                <w:rFonts w:cs="Arial"/>
              </w:rPr>
              <w:t>At the end, there is a summary table with tallies by Unit ABO/Rh and component class.</w:t>
            </w:r>
          </w:p>
          <w:p w14:paraId="0DBA6509" w14:textId="77777777" w:rsidR="002A21AE" w:rsidRDefault="002A21AE">
            <w:pPr>
              <w:pStyle w:val="TableText"/>
            </w:pPr>
          </w:p>
          <w:p w14:paraId="42C2CDA1" w14:textId="036FBEB2" w:rsidR="002A21AE" w:rsidRDefault="002A21AE">
            <w:pPr>
              <w:pStyle w:val="TableText"/>
              <w:rPr>
                <w:b/>
                <w:bCs/>
                <w:szCs w:val="18"/>
              </w:rPr>
            </w:pPr>
            <w:r>
              <w:rPr>
                <w:b/>
                <w:bCs/>
                <w:szCs w:val="18"/>
              </w:rPr>
              <w:t>NOTES</w:t>
            </w:r>
          </w:p>
          <w:p w14:paraId="6A474558" w14:textId="77777777" w:rsidR="00DA42F6" w:rsidRDefault="00DA42F6">
            <w:pPr>
              <w:pStyle w:val="NotesText"/>
            </w:pPr>
          </w:p>
          <w:p w14:paraId="25A23BA9" w14:textId="43B4CEA4" w:rsidR="002A21AE" w:rsidRDefault="00DA42F6" w:rsidP="00DA42F6">
            <w:pPr>
              <w:pStyle w:val="NotesText"/>
            </w:pPr>
            <w:r w:rsidRPr="00DA42F6">
              <w:rPr>
                <w:vanish/>
              </w:rPr>
              <w:t xml:space="preserve">BR_74.08 </w:t>
            </w:r>
            <w:r>
              <w:t>The user has the option to create the report by component class and to select some or all of the component classes for inclusion. The list includes all VBECS component classes.</w:t>
            </w:r>
          </w:p>
        </w:tc>
      </w:tr>
      <w:tr w:rsidR="002A21AE" w14:paraId="5F3D4CFE" w14:textId="77777777">
        <w:tc>
          <w:tcPr>
            <w:tcW w:w="3240" w:type="dxa"/>
          </w:tcPr>
          <w:p w14:paraId="783B6ADB" w14:textId="77777777" w:rsidR="002A21AE" w:rsidRDefault="006738EE">
            <w:pPr>
              <w:pStyle w:val="TableTextNumbers"/>
            </w:pPr>
            <w:r>
              <w:t xml:space="preserve">In the </w:t>
            </w:r>
            <w:r w:rsidRPr="006738EE">
              <w:t>Report Compilation</w:t>
            </w:r>
            <w:r>
              <w:t xml:space="preserve"> area, click the </w:t>
            </w:r>
            <w:r w:rsidRPr="006738EE">
              <w:rPr>
                <w:b/>
              </w:rPr>
              <w:t>Create Report Now</w:t>
            </w:r>
            <w:r>
              <w:t xml:space="preserve"> radio button. Click </w:t>
            </w:r>
            <w:r w:rsidRPr="006738EE">
              <w:rPr>
                <w:b/>
              </w:rPr>
              <w:t>OK</w:t>
            </w:r>
            <w:r>
              <w:t xml:space="preserve"> to review the report, or</w:t>
            </w:r>
          </w:p>
          <w:p w14:paraId="1A7F4AFF" w14:textId="77777777" w:rsidR="006738EE" w:rsidRDefault="006738EE" w:rsidP="006738EE">
            <w:pPr>
              <w:pStyle w:val="TableTextNumbers"/>
              <w:numPr>
                <w:ilvl w:val="0"/>
                <w:numId w:val="0"/>
              </w:numPr>
              <w:ind w:left="288" w:hanging="288"/>
            </w:pPr>
          </w:p>
          <w:p w14:paraId="206CE0CB" w14:textId="77777777" w:rsidR="006738EE" w:rsidRDefault="006738EE" w:rsidP="006738EE">
            <w:pPr>
              <w:pStyle w:val="TableTextNumbers"/>
              <w:numPr>
                <w:ilvl w:val="0"/>
                <w:numId w:val="0"/>
              </w:numPr>
              <w:ind w:left="270" w:firstLine="18"/>
            </w:pPr>
            <w:r>
              <w:t xml:space="preserve">Click the </w:t>
            </w:r>
            <w:r w:rsidRPr="006738EE">
              <w:rPr>
                <w:b/>
              </w:rPr>
              <w:t xml:space="preserve">Schedule Print Job </w:t>
            </w:r>
            <w:r w:rsidRPr="009554A6">
              <w:t xml:space="preserve">radio button </w:t>
            </w:r>
            <w:r>
              <w:t xml:space="preserve">and </w:t>
            </w:r>
            <w:r w:rsidRPr="006738EE">
              <w:rPr>
                <w:b/>
              </w:rPr>
              <w:t>OK</w:t>
            </w:r>
            <w:r>
              <w:t xml:space="preserve">, then enter or select a print date and printer name. Click </w:t>
            </w:r>
            <w:r w:rsidRPr="006738EE">
              <w:rPr>
                <w:b/>
              </w:rPr>
              <w:t>OK</w:t>
            </w:r>
            <w:r>
              <w:t xml:space="preserve"> to view and print the report.</w:t>
            </w:r>
          </w:p>
        </w:tc>
        <w:tc>
          <w:tcPr>
            <w:tcW w:w="6120" w:type="dxa"/>
          </w:tcPr>
          <w:p w14:paraId="0BF8A284" w14:textId="77777777" w:rsidR="002A21AE" w:rsidRDefault="002A21AE">
            <w:pPr>
              <w:pStyle w:val="TableTextBullet"/>
            </w:pPr>
            <w:r>
              <w:t>Compiles and displays the report.</w:t>
            </w:r>
          </w:p>
          <w:p w14:paraId="5C7F6277" w14:textId="77777777" w:rsidR="002A21AE" w:rsidRDefault="002A21AE">
            <w:pPr>
              <w:pStyle w:val="TableText"/>
            </w:pPr>
          </w:p>
          <w:p w14:paraId="1DF15822" w14:textId="70F366BD" w:rsidR="002A21AE" w:rsidRDefault="002A21AE">
            <w:pPr>
              <w:pStyle w:val="TableText"/>
              <w:rPr>
                <w:b/>
                <w:bCs/>
                <w:szCs w:val="18"/>
              </w:rPr>
            </w:pPr>
            <w:r>
              <w:rPr>
                <w:b/>
                <w:bCs/>
                <w:szCs w:val="18"/>
              </w:rPr>
              <w:t>NOTES</w:t>
            </w:r>
          </w:p>
          <w:p w14:paraId="4ECECF37" w14:textId="77777777" w:rsidR="002A21AE" w:rsidRDefault="002A21AE">
            <w:pPr>
              <w:pStyle w:val="NotesText"/>
            </w:pPr>
          </w:p>
          <w:p w14:paraId="6EF05A07" w14:textId="77777777" w:rsidR="002A21AE" w:rsidRDefault="002A21AE">
            <w:pPr>
              <w:pStyle w:val="NotesText"/>
            </w:pPr>
            <w:r>
              <w:rPr>
                <w:rFonts w:cs="Arial"/>
                <w:vanish/>
              </w:rPr>
              <w:t xml:space="preserve">BR_74.03 </w:t>
            </w:r>
            <w:r>
              <w:t>The report displays tallies of units transfused by component class within the date range, by:</w:t>
            </w:r>
          </w:p>
          <w:p w14:paraId="15BAB1B6" w14:textId="77777777" w:rsidR="002A21AE" w:rsidRDefault="002A21AE">
            <w:pPr>
              <w:pStyle w:val="NotesTextBullet"/>
            </w:pPr>
            <w:r>
              <w:t>Physician name</w:t>
            </w:r>
          </w:p>
          <w:p w14:paraId="36404DA3" w14:textId="77777777" w:rsidR="002A21AE" w:rsidRDefault="002A21AE">
            <w:pPr>
              <w:pStyle w:val="NotesTextBullet"/>
            </w:pPr>
            <w:r>
              <w:t>Treating specialty</w:t>
            </w:r>
          </w:p>
          <w:p w14:paraId="5BEF3ABC" w14:textId="1B706107" w:rsidR="002A21AE" w:rsidRDefault="002A21AE">
            <w:pPr>
              <w:pStyle w:val="NotesTextBullet"/>
            </w:pPr>
            <w:r>
              <w:t>Issued-to location</w:t>
            </w:r>
          </w:p>
          <w:p w14:paraId="739180ED" w14:textId="00AAEB75" w:rsidR="002A21AE" w:rsidRDefault="00EA021C" w:rsidP="00EA021C">
            <w:pPr>
              <w:pStyle w:val="NotesTextBullet"/>
            </w:pPr>
            <w:r>
              <w:t>Component class</w:t>
            </w:r>
          </w:p>
          <w:p w14:paraId="38179489" w14:textId="77777777" w:rsidR="00EA021C" w:rsidRPr="00EA021C" w:rsidRDefault="00EA021C" w:rsidP="00EA021C">
            <w:pPr>
              <w:pStyle w:val="NotesTextBullet"/>
              <w:numPr>
                <w:ilvl w:val="0"/>
                <w:numId w:val="0"/>
              </w:numPr>
              <w:ind w:left="720"/>
            </w:pPr>
          </w:p>
          <w:p w14:paraId="300BFB9C" w14:textId="77777777" w:rsidR="002A21AE" w:rsidRDefault="002A21AE">
            <w:pPr>
              <w:pStyle w:val="NotesText"/>
            </w:pPr>
          </w:p>
          <w:p w14:paraId="56C05EB8" w14:textId="77777777" w:rsidR="002A21AE" w:rsidRDefault="002A21AE">
            <w:pPr>
              <w:pStyle w:val="NotesText"/>
            </w:pPr>
            <w:r>
              <w:rPr>
                <w:rFonts w:cs="Arial"/>
                <w:vanish/>
              </w:rPr>
              <w:t xml:space="preserve">BR_74.04 </w:t>
            </w:r>
            <w:r>
              <w:t>Reports include:</w:t>
            </w:r>
          </w:p>
          <w:p w14:paraId="2CFEAAE3" w14:textId="77777777" w:rsidR="002A21AE" w:rsidRDefault="002A21AE">
            <w:pPr>
              <w:pStyle w:val="NotesTextBullet"/>
            </w:pPr>
            <w:r>
              <w:t>Patient name</w:t>
            </w:r>
          </w:p>
          <w:p w14:paraId="40EE8B79" w14:textId="77777777" w:rsidR="002A21AE" w:rsidRDefault="002A21AE">
            <w:pPr>
              <w:pStyle w:val="NotesTextBullet"/>
            </w:pPr>
            <w:r>
              <w:t>Patient ID</w:t>
            </w:r>
          </w:p>
          <w:p w14:paraId="1A6985F7" w14:textId="77777777" w:rsidR="002A21AE" w:rsidRDefault="002A21AE">
            <w:pPr>
              <w:pStyle w:val="NotesTextBullet"/>
            </w:pPr>
            <w:r>
              <w:t>Unit ID</w:t>
            </w:r>
          </w:p>
          <w:p w14:paraId="5D450283" w14:textId="597DEF0B" w:rsidR="002A21AE" w:rsidRDefault="002A21AE">
            <w:pPr>
              <w:pStyle w:val="NotesTextBullet"/>
            </w:pPr>
            <w:r>
              <w:t>Product short name</w:t>
            </w:r>
            <w:r w:rsidR="0060023C">
              <w:t xml:space="preserve"> and product code</w:t>
            </w:r>
          </w:p>
          <w:p w14:paraId="3B7E34C1" w14:textId="4F486591" w:rsidR="002A21AE" w:rsidRDefault="002A21AE">
            <w:pPr>
              <w:pStyle w:val="NotesTextBullet"/>
            </w:pPr>
            <w:r>
              <w:t>If pooled, number of participants in pool</w:t>
            </w:r>
          </w:p>
          <w:p w14:paraId="276D4D16" w14:textId="188A6F37" w:rsidR="0060023C" w:rsidRDefault="0060023C">
            <w:pPr>
              <w:pStyle w:val="NotesTextBullet"/>
            </w:pPr>
            <w:r>
              <w:t>Unit ABO/Rh</w:t>
            </w:r>
          </w:p>
          <w:p w14:paraId="73BAAFCB" w14:textId="77777777" w:rsidR="002A21AE" w:rsidRDefault="002A21AE">
            <w:pPr>
              <w:pStyle w:val="NotesTextBullet"/>
            </w:pPr>
            <w:r>
              <w:t>Date and time Issued</w:t>
            </w:r>
          </w:p>
          <w:p w14:paraId="5BF6FD39" w14:textId="77777777" w:rsidR="002A21AE" w:rsidRDefault="002A21AE">
            <w:pPr>
              <w:pStyle w:val="NotesTextBullet"/>
            </w:pPr>
            <w:r>
              <w:t>Issued-to location</w:t>
            </w:r>
          </w:p>
          <w:p w14:paraId="2D5D64ED" w14:textId="77777777" w:rsidR="002A21AE" w:rsidRDefault="002A21AE">
            <w:pPr>
              <w:pStyle w:val="NotesTextBullet"/>
            </w:pPr>
            <w:r>
              <w:t>Physician</w:t>
            </w:r>
          </w:p>
          <w:p w14:paraId="72F59D2E" w14:textId="77777777" w:rsidR="002A21AE" w:rsidRDefault="002A21AE">
            <w:pPr>
              <w:pStyle w:val="NotesTextBullet"/>
            </w:pPr>
            <w:r>
              <w:t>Treating specialty</w:t>
            </w:r>
          </w:p>
          <w:p w14:paraId="539BD9AF" w14:textId="77777777" w:rsidR="002A21AE" w:rsidRDefault="002A21AE">
            <w:pPr>
              <w:pStyle w:val="NotesTextBullet"/>
            </w:pPr>
            <w:r>
              <w:t>Transfused or presumed transfused indicator, if present</w:t>
            </w:r>
          </w:p>
          <w:p w14:paraId="1CFADEAD" w14:textId="77777777" w:rsidR="00801D1F" w:rsidRPr="00AA2B2E" w:rsidRDefault="002A21AE" w:rsidP="00AA2B2E">
            <w:pPr>
              <w:pStyle w:val="NotesTextBullet"/>
              <w:rPr>
                <w:rFonts w:cs="Arial"/>
              </w:rPr>
            </w:pPr>
            <w:r>
              <w:t>Transfusion comments, if any</w:t>
            </w:r>
          </w:p>
        </w:tc>
      </w:tr>
      <w:tr w:rsidR="002A21AE" w14:paraId="11415545" w14:textId="77777777">
        <w:tc>
          <w:tcPr>
            <w:tcW w:w="3240" w:type="dxa"/>
          </w:tcPr>
          <w:p w14:paraId="4DBF8450" w14:textId="07130913" w:rsidR="002A21AE" w:rsidRDefault="005C22EF">
            <w:pPr>
              <w:pStyle w:val="TableTextNumbers"/>
            </w:pPr>
            <w:r w:rsidRPr="0076371D">
              <w:lastRenderedPageBreak/>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numberingChange w:id="663" w:author="Blalock, David (Leidos)" w:date="2020-06-15T14:09:00Z" w:original="0."/>
              </w:fldChar>
            </w:r>
          </w:p>
        </w:tc>
        <w:tc>
          <w:tcPr>
            <w:tcW w:w="6120" w:type="dxa"/>
          </w:tcPr>
          <w:p w14:paraId="000BEBD0" w14:textId="77777777" w:rsidR="005C22EF" w:rsidRDefault="005C22EF" w:rsidP="005C22EF">
            <w:pPr>
              <w:pStyle w:val="TableTextBullet"/>
            </w:pPr>
            <w:r>
              <w:t>If Print is selected, prints the report on the designated printer.</w:t>
            </w:r>
          </w:p>
          <w:p w14:paraId="6462363E" w14:textId="77777777" w:rsidR="005C22EF" w:rsidRDefault="005C22EF" w:rsidP="005C22EF">
            <w:pPr>
              <w:pStyle w:val="TableTextBullet"/>
            </w:pPr>
            <w:r>
              <w:t>If Export is selected, exports the report to the designated file.</w:t>
            </w:r>
          </w:p>
          <w:p w14:paraId="4743DB50" w14:textId="26C7E4C2" w:rsidR="002A21AE" w:rsidRDefault="005C22EF" w:rsidP="005C22EF">
            <w:pPr>
              <w:pStyle w:val="TableTextBullet"/>
            </w:pPr>
            <w:r>
              <w:t>If Close is selected, exits the report preview.</w:t>
            </w:r>
          </w:p>
        </w:tc>
      </w:tr>
    </w:tbl>
    <w:p w14:paraId="1270FD4E" w14:textId="77777777" w:rsidR="00F55832" w:rsidRDefault="00F55832" w:rsidP="008C5564">
      <w:pPr>
        <w:pStyle w:val="Heading2"/>
      </w:pPr>
    </w:p>
    <w:p w14:paraId="13B24685" w14:textId="77777777" w:rsidR="008C5564" w:rsidRDefault="00F55832" w:rsidP="008C5564">
      <w:pPr>
        <w:pStyle w:val="Heading2"/>
      </w:pPr>
      <w:r>
        <w:br w:type="page"/>
      </w:r>
      <w:bookmarkStart w:id="664" w:name="_Toc47516783"/>
      <w:r w:rsidR="008C5564">
        <w:lastRenderedPageBreak/>
        <w:t>Division Workload Report</w:t>
      </w:r>
      <w:bookmarkEnd w:id="664"/>
      <w:r w:rsidR="008C5564">
        <w:fldChar w:fldCharType="begin"/>
      </w:r>
      <w:r w:rsidR="008C5564">
        <w:instrText xml:space="preserve"> XE </w:instrText>
      </w:r>
      <w:r w:rsidR="00FA7E65">
        <w:instrText>“</w:instrText>
      </w:r>
      <w:r w:rsidR="008C5564">
        <w:instrText>Division Workload Report</w:instrText>
      </w:r>
      <w:r w:rsidR="00FA7E65">
        <w:instrText>”</w:instrText>
      </w:r>
      <w:r w:rsidR="008C5564">
        <w:instrText xml:space="preserve"> </w:instrText>
      </w:r>
      <w:r w:rsidR="008C5564">
        <w:fldChar w:fldCharType="end"/>
      </w:r>
      <w:r w:rsidR="008C5564">
        <w:t xml:space="preserve"> </w:t>
      </w:r>
      <w:r w:rsidR="008C5564">
        <w:rPr>
          <w:vanish/>
        </w:rPr>
        <w:t>UC_79</w:t>
      </w:r>
    </w:p>
    <w:p w14:paraId="39482419" w14:textId="77777777" w:rsidR="008C5564" w:rsidRDefault="008C5564" w:rsidP="00FA7E65">
      <w:pPr>
        <w:pStyle w:val="BodyText"/>
      </w:pPr>
      <w:r>
        <w:t xml:space="preserve">The user views </w:t>
      </w:r>
      <w:r w:rsidR="00EB1E5A">
        <w:t xml:space="preserve">and/or </w:t>
      </w:r>
      <w:r>
        <w:t>prints a workload report.</w:t>
      </w:r>
    </w:p>
    <w:p w14:paraId="1F9DAD5F" w14:textId="77777777" w:rsidR="008C5564" w:rsidRDefault="008C5564" w:rsidP="008C5564">
      <w:pPr>
        <w:pStyle w:val="Heading4"/>
      </w:pPr>
      <w:r>
        <w:t>Assumptions</w:t>
      </w:r>
      <w:r>
        <w:rPr>
          <w:b w:val="0"/>
        </w:rPr>
        <w:t xml:space="preserve"> </w:t>
      </w:r>
    </w:p>
    <w:p w14:paraId="7F10EAA0" w14:textId="77777777" w:rsidR="008C5564" w:rsidRDefault="00CA6E27" w:rsidP="008C5564">
      <w:pPr>
        <w:pStyle w:val="ListBullet"/>
        <w:rPr>
          <w:b/>
        </w:rPr>
      </w:pPr>
      <w:r w:rsidRPr="00CA6E27">
        <w:rPr>
          <w:bCs/>
        </w:rPr>
        <w:t>VistA</w:t>
      </w:r>
      <w:r w:rsidR="008C5564">
        <w:t xml:space="preserve"> workload codes were assigned to VBECS processes through Workload Codes.</w:t>
      </w:r>
    </w:p>
    <w:p w14:paraId="47060984" w14:textId="77777777" w:rsidR="008C5564" w:rsidRDefault="008C5564" w:rsidP="008C5564">
      <w:pPr>
        <w:pStyle w:val="ListBullet"/>
      </w:pPr>
      <w:r>
        <w:t xml:space="preserve">Data for the report were saved in VBECS. </w:t>
      </w:r>
    </w:p>
    <w:p w14:paraId="4DA7DD80" w14:textId="77777777" w:rsidR="008C5564" w:rsidRDefault="008C5564" w:rsidP="008C5564">
      <w:pPr>
        <w:pStyle w:val="Heading4"/>
      </w:pPr>
      <w:r>
        <w:t xml:space="preserve">Outcome </w:t>
      </w:r>
    </w:p>
    <w:p w14:paraId="3BE95B74" w14:textId="77777777" w:rsidR="008C5564" w:rsidRDefault="00AE521B" w:rsidP="008C5564">
      <w:pPr>
        <w:pStyle w:val="ListBullet"/>
      </w:pPr>
      <w:r>
        <w:t>The user views and/or prints the report</w:t>
      </w:r>
      <w:r w:rsidR="008C5564">
        <w:t>.</w:t>
      </w:r>
    </w:p>
    <w:p w14:paraId="026656D3" w14:textId="77777777" w:rsidR="008C5564" w:rsidRDefault="008C5564" w:rsidP="008C5564">
      <w:pPr>
        <w:pStyle w:val="Heading4"/>
        <w:rPr>
          <w:b w:val="0"/>
        </w:rPr>
      </w:pPr>
      <w:r>
        <w:t>Limitations and Restrictions</w:t>
      </w:r>
      <w:r>
        <w:rPr>
          <w:b w:val="0"/>
        </w:rPr>
        <w:t xml:space="preserve"> </w:t>
      </w:r>
    </w:p>
    <w:p w14:paraId="2B1D7C6C" w14:textId="6E88B699" w:rsidR="008C5564" w:rsidRDefault="00B413D4" w:rsidP="008C5564">
      <w:pPr>
        <w:pStyle w:val="ListBullet"/>
      </w:pPr>
      <w:r>
        <w:t xml:space="preserve">A report printed with an end date of today or greater does not print “Preliminary” in the header. Check the subsequent pages of the report and write “PRELIMINARY” on the front page of the report prior to filing. The information included in the report is accurate to the time printed. There is a possibility of a gap of information should the user not overlap the print requests. Generally, this report is printed for the day prior or a time period that does not include the current day. </w:t>
      </w:r>
      <w:r w:rsidRPr="00B413D4">
        <w:rPr>
          <w:vanish/>
        </w:rPr>
        <w:t>Defect 213101</w:t>
      </w:r>
    </w:p>
    <w:p w14:paraId="253B15AD" w14:textId="77777777" w:rsidR="008C5564" w:rsidRDefault="008C5564" w:rsidP="008C5564">
      <w:pPr>
        <w:pStyle w:val="Heading4"/>
      </w:pPr>
      <w:r>
        <w:t xml:space="preserve">Additional Information </w:t>
      </w:r>
    </w:p>
    <w:p w14:paraId="66BB618A" w14:textId="21D0F74B" w:rsidR="00991CFE" w:rsidRDefault="00991CFE" w:rsidP="00991CFE">
      <w:pPr>
        <w:pStyle w:val="ListBullet"/>
      </w:pPr>
      <w:r>
        <w:t>The report is available as a single-division or multidivisional (all divisions) report.</w:t>
      </w:r>
    </w:p>
    <w:p w14:paraId="68ABCC50" w14:textId="6013E7E3" w:rsidR="00C17377" w:rsidRDefault="00C17377" w:rsidP="00C17377">
      <w:pPr>
        <w:pStyle w:val="ListBullet"/>
      </w:pPr>
      <w:r>
        <w:t>The r</w:t>
      </w:r>
      <w:r w:rsidRPr="00C17377">
        <w:t>eport will not print as “Preliminary” when the report contains the current day in the range of data requested.</w:t>
      </w:r>
      <w:r w:rsidR="00244AD3">
        <w:t xml:space="preserve"> </w:t>
      </w:r>
      <w:r w:rsidR="00244AD3" w:rsidRPr="00244AD3">
        <w:rPr>
          <w:vanish/>
        </w:rPr>
        <w:t>Defect 209080</w:t>
      </w:r>
    </w:p>
    <w:p w14:paraId="3D99E737" w14:textId="77777777" w:rsidR="008C5564" w:rsidRDefault="008C5564" w:rsidP="008C5564">
      <w:pPr>
        <w:pStyle w:val="Heading4"/>
      </w:pPr>
      <w:r>
        <w:t>User Roles with Access to This Option</w:t>
      </w:r>
    </w:p>
    <w:p w14:paraId="5447FB07" w14:textId="77777777" w:rsidR="008C5564" w:rsidRDefault="00606FB0" w:rsidP="008C5564">
      <w:pPr>
        <w:pStyle w:val="Roles"/>
      </w:pPr>
      <w:r>
        <w:t>All users</w:t>
      </w:r>
    </w:p>
    <w:p w14:paraId="68761169" w14:textId="77777777" w:rsidR="008C5564" w:rsidRDefault="008C5564" w:rsidP="008C5564">
      <w:pPr>
        <w:pStyle w:val="Heading4"/>
      </w:pPr>
      <w:r>
        <w:t>Division Workload Report</w:t>
      </w:r>
      <w:r>
        <w:rPr>
          <w:rStyle w:val="CommentReference"/>
          <w:rFonts w:ascii="Times New Roman" w:hAnsi="Times New Roman"/>
          <w:b w:val="0"/>
          <w:bCs/>
          <w:vanish/>
        </w:rPr>
        <w:t xml:space="preserve"> </w:t>
      </w:r>
    </w:p>
    <w:p w14:paraId="1486C921" w14:textId="77777777" w:rsidR="008C5564" w:rsidRDefault="008C5564" w:rsidP="00FA7E65">
      <w:pPr>
        <w:pStyle w:val="BodyText"/>
      </w:pPr>
      <w:r>
        <w:t xml:space="preserve">The user views </w:t>
      </w:r>
      <w:r w:rsidR="00EB1E5A">
        <w:t xml:space="preserve">and/or </w:t>
      </w:r>
      <w:r w:rsidR="00DC3B23">
        <w:t>prints</w:t>
      </w:r>
      <w:r>
        <w:t xml:space="preserve"> a workload report</w:t>
      </w:r>
      <w:r w:rsidR="00DC3B23">
        <w:t xml:space="preserve">, which includes totals of workload types, for one or </w:t>
      </w:r>
      <w:r w:rsidR="00DD0E58">
        <w:t>all</w:t>
      </w:r>
      <w:r w:rsidR="00DC3B23">
        <w:t xml:space="preserve"> divisions</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8C5564" w14:paraId="19499B27" w14:textId="77777777">
        <w:trPr>
          <w:cantSplit/>
          <w:tblHeader/>
        </w:trPr>
        <w:tc>
          <w:tcPr>
            <w:tcW w:w="3240" w:type="dxa"/>
            <w:shd w:val="pct30" w:color="auto" w:fill="FFFFFF"/>
            <w:vAlign w:val="bottom"/>
          </w:tcPr>
          <w:p w14:paraId="11DEC49E" w14:textId="77777777" w:rsidR="008C5564" w:rsidRDefault="008C5564" w:rsidP="008C5564">
            <w:pPr>
              <w:pStyle w:val="TableText"/>
              <w:rPr>
                <w:b/>
              </w:rPr>
            </w:pPr>
            <w:r>
              <w:rPr>
                <w:b/>
              </w:rPr>
              <w:t>User Action</w:t>
            </w:r>
          </w:p>
        </w:tc>
        <w:tc>
          <w:tcPr>
            <w:tcW w:w="6120" w:type="dxa"/>
            <w:shd w:val="pct30" w:color="auto" w:fill="FFFFFF"/>
            <w:vAlign w:val="bottom"/>
          </w:tcPr>
          <w:p w14:paraId="2A299BC5" w14:textId="77777777" w:rsidR="008C5564" w:rsidRDefault="008C5564" w:rsidP="008C5564">
            <w:pPr>
              <w:pStyle w:val="TableText"/>
              <w:rPr>
                <w:b/>
              </w:rPr>
            </w:pPr>
            <w:r>
              <w:rPr>
                <w:b/>
              </w:rPr>
              <w:t>VBECS</w:t>
            </w:r>
          </w:p>
        </w:tc>
      </w:tr>
      <w:tr w:rsidR="008C5564" w14:paraId="2B10FAB3" w14:textId="77777777">
        <w:tc>
          <w:tcPr>
            <w:tcW w:w="3240" w:type="dxa"/>
          </w:tcPr>
          <w:p w14:paraId="37D1DEB1" w14:textId="77777777" w:rsidR="008C5564" w:rsidRDefault="008C5564" w:rsidP="008C5564">
            <w:pPr>
              <w:pStyle w:val="TableTextNumbers"/>
            </w:pPr>
            <w:r>
              <w:t xml:space="preserve">Select </w:t>
            </w:r>
            <w:r>
              <w:rPr>
                <w:b/>
              </w:rPr>
              <w:t>Reports</w:t>
            </w:r>
            <w:r>
              <w:t xml:space="preserve"> from the main menu.</w:t>
            </w:r>
          </w:p>
          <w:p w14:paraId="0958F6A2" w14:textId="77777777" w:rsidR="008C5564" w:rsidRDefault="008C5564" w:rsidP="008C5564">
            <w:pPr>
              <w:pStyle w:val="TableTextNumbersContinued"/>
            </w:pPr>
          </w:p>
          <w:p w14:paraId="34FA5F85" w14:textId="77777777" w:rsidR="008C5564" w:rsidRDefault="008C5564" w:rsidP="008C5564">
            <w:pPr>
              <w:pStyle w:val="TableTextNumbersContinued"/>
            </w:pPr>
            <w:r>
              <w:t xml:space="preserve">Select </w:t>
            </w:r>
            <w:r>
              <w:rPr>
                <w:b/>
              </w:rPr>
              <w:t>Division Workload Report</w:t>
            </w:r>
            <w:r>
              <w:t>.</w:t>
            </w:r>
          </w:p>
        </w:tc>
        <w:tc>
          <w:tcPr>
            <w:tcW w:w="6120" w:type="dxa"/>
          </w:tcPr>
          <w:p w14:paraId="042F53C7" w14:textId="77777777" w:rsidR="008C5564" w:rsidRDefault="008C5564" w:rsidP="008C5564">
            <w:pPr>
              <w:pStyle w:val="TableTextBullet"/>
            </w:pPr>
            <w:r>
              <w:t>Lists report names.</w:t>
            </w:r>
          </w:p>
          <w:p w14:paraId="26ADA055" w14:textId="77777777" w:rsidR="008C5564" w:rsidRDefault="008C5564" w:rsidP="008C5564">
            <w:pPr>
              <w:pStyle w:val="TableTextBullet"/>
            </w:pPr>
            <w:r>
              <w:t xml:space="preserve">Displays report division and compilation criteria. </w:t>
            </w:r>
          </w:p>
          <w:p w14:paraId="6DECA8B4" w14:textId="77777777" w:rsidR="008C5564" w:rsidRDefault="008C5564" w:rsidP="008C5564">
            <w:pPr>
              <w:pStyle w:val="TableTextBullet"/>
            </w:pPr>
            <w:r>
              <w:t>Displays a date range for selection.</w:t>
            </w:r>
          </w:p>
        </w:tc>
      </w:tr>
      <w:tr w:rsidR="008C5564" w14:paraId="0159AE0D" w14:textId="77777777">
        <w:tc>
          <w:tcPr>
            <w:tcW w:w="3240" w:type="dxa"/>
          </w:tcPr>
          <w:p w14:paraId="456E81DD" w14:textId="77777777" w:rsidR="008C5564" w:rsidRDefault="008C5564" w:rsidP="008C5564">
            <w:pPr>
              <w:pStyle w:val="TableTextNumbers"/>
            </w:pPr>
            <w:r>
              <w:t xml:space="preserve">Click the </w:t>
            </w:r>
            <w:r>
              <w:rPr>
                <w:b/>
              </w:rPr>
              <w:t xml:space="preserve">Current Divisions </w:t>
            </w:r>
            <w:r>
              <w:t>or</w:t>
            </w:r>
            <w:r>
              <w:rPr>
                <w:b/>
              </w:rPr>
              <w:t xml:space="preserve"> All Divisions </w:t>
            </w:r>
            <w:r w:rsidRPr="00BF2E41">
              <w:t>radio button</w:t>
            </w:r>
            <w:r>
              <w:t>.</w:t>
            </w:r>
          </w:p>
        </w:tc>
        <w:tc>
          <w:tcPr>
            <w:tcW w:w="6120" w:type="dxa"/>
          </w:tcPr>
          <w:p w14:paraId="3B78D726" w14:textId="77777777" w:rsidR="008C5564" w:rsidRDefault="008C5564" w:rsidP="008C5564">
            <w:pPr>
              <w:pStyle w:val="TableTextBullet"/>
            </w:pPr>
            <w:r>
              <w:t>Allows the user to select one or all divisions.</w:t>
            </w:r>
          </w:p>
          <w:p w14:paraId="25E29ACF" w14:textId="77777777" w:rsidR="008C5564" w:rsidRDefault="008C5564" w:rsidP="008C5564">
            <w:pPr>
              <w:pStyle w:val="TableTextBullet"/>
            </w:pPr>
            <w:r>
              <w:t>Displays a date range for selection.</w:t>
            </w:r>
          </w:p>
        </w:tc>
      </w:tr>
      <w:tr w:rsidR="008C5564" w14:paraId="4989814E" w14:textId="77777777">
        <w:tc>
          <w:tcPr>
            <w:tcW w:w="3240" w:type="dxa"/>
          </w:tcPr>
          <w:p w14:paraId="6876DAB3" w14:textId="77777777" w:rsidR="008C5564" w:rsidRDefault="008C5564" w:rsidP="008C5564">
            <w:pPr>
              <w:pStyle w:val="TableTextNumbers"/>
            </w:pPr>
            <w:r>
              <w:t>Enter or select start and end dates.</w:t>
            </w:r>
          </w:p>
        </w:tc>
        <w:tc>
          <w:tcPr>
            <w:tcW w:w="6120" w:type="dxa"/>
          </w:tcPr>
          <w:p w14:paraId="32B0E4CA" w14:textId="77777777" w:rsidR="008C5564" w:rsidRDefault="008C5564" w:rsidP="008C5564">
            <w:pPr>
              <w:pStyle w:val="TableTextBullet"/>
            </w:pPr>
            <w:r>
              <w:t>Compiles and displays the report.</w:t>
            </w:r>
          </w:p>
          <w:p w14:paraId="4745DD91" w14:textId="77777777" w:rsidR="008C5564" w:rsidRDefault="008C5564" w:rsidP="008C5564">
            <w:pPr>
              <w:pStyle w:val="TableTextBullet"/>
            </w:pPr>
            <w:r>
              <w:t>Allows the user to print the report.</w:t>
            </w:r>
          </w:p>
          <w:p w14:paraId="5E51E8C1" w14:textId="77777777" w:rsidR="008C5564" w:rsidRDefault="008C5564" w:rsidP="008C5564">
            <w:pPr>
              <w:pStyle w:val="TableText"/>
            </w:pPr>
          </w:p>
          <w:p w14:paraId="075B0F3B" w14:textId="44B943B7" w:rsidR="008C5564" w:rsidRDefault="008C5564" w:rsidP="008C5564">
            <w:pPr>
              <w:pStyle w:val="TableText"/>
              <w:rPr>
                <w:b/>
                <w:bCs/>
                <w:szCs w:val="18"/>
              </w:rPr>
            </w:pPr>
            <w:r>
              <w:rPr>
                <w:b/>
                <w:bCs/>
                <w:szCs w:val="18"/>
              </w:rPr>
              <w:t>NOTES</w:t>
            </w:r>
          </w:p>
          <w:p w14:paraId="4B63F91D" w14:textId="77777777" w:rsidR="008C5564" w:rsidRDefault="008C5564" w:rsidP="008C5564">
            <w:pPr>
              <w:pStyle w:val="NotesText"/>
            </w:pPr>
          </w:p>
          <w:p w14:paraId="5558AD98" w14:textId="77777777" w:rsidR="008C5564" w:rsidRDefault="008C5564" w:rsidP="008C5564">
            <w:pPr>
              <w:pStyle w:val="NotesText"/>
            </w:pPr>
            <w:r>
              <w:rPr>
                <w:rFonts w:cs="Arial"/>
                <w:vanish/>
              </w:rPr>
              <w:t xml:space="preserve">BR_79.03 </w:t>
            </w:r>
            <w:r>
              <w:t>A multiple-division workload report includes totals for each type of workload for each division requested in the report.</w:t>
            </w:r>
          </w:p>
          <w:p w14:paraId="460874D0" w14:textId="77777777" w:rsidR="008C5564" w:rsidRDefault="008C5564" w:rsidP="008C5564">
            <w:pPr>
              <w:pStyle w:val="NotesText"/>
            </w:pPr>
          </w:p>
          <w:p w14:paraId="4D762C2C" w14:textId="77777777" w:rsidR="008C5564" w:rsidRDefault="008C5564" w:rsidP="008C5564">
            <w:pPr>
              <w:pStyle w:val="NotesText"/>
            </w:pPr>
            <w:r>
              <w:rPr>
                <w:rFonts w:cs="Arial"/>
                <w:vanish/>
              </w:rPr>
              <w:t xml:space="preserve">BR_79.04 </w:t>
            </w:r>
            <w:r>
              <w:t>VBECS searches its workload file for entries within the selected date range.</w:t>
            </w:r>
          </w:p>
        </w:tc>
      </w:tr>
      <w:tr w:rsidR="008C5564" w14:paraId="1E838905" w14:textId="77777777">
        <w:tc>
          <w:tcPr>
            <w:tcW w:w="3240" w:type="dxa"/>
          </w:tcPr>
          <w:p w14:paraId="3B3267B3" w14:textId="77777777" w:rsidR="008C5564" w:rsidRDefault="008C5564" w:rsidP="008C5564">
            <w:pPr>
              <w:pStyle w:val="TableTextNumbers"/>
            </w:pPr>
            <w:r>
              <w:lastRenderedPageBreak/>
              <w:t xml:space="preserve">In the Report Compilation area, click the </w:t>
            </w:r>
            <w:r>
              <w:rPr>
                <w:b/>
              </w:rPr>
              <w:t xml:space="preserve">Create Report Now </w:t>
            </w:r>
            <w:r w:rsidRPr="00BF2E41">
              <w:t>radio button</w:t>
            </w:r>
            <w:r>
              <w:t xml:space="preserve">. Click </w:t>
            </w:r>
            <w:r>
              <w:rPr>
                <w:b/>
              </w:rPr>
              <w:t>OK</w:t>
            </w:r>
            <w:r>
              <w:t xml:space="preserve"> to view the report, or</w:t>
            </w:r>
          </w:p>
          <w:p w14:paraId="17C11A1E" w14:textId="77777777" w:rsidR="008C5564" w:rsidRDefault="008C5564" w:rsidP="008C5564">
            <w:pPr>
              <w:pStyle w:val="TableTextNumbersContinued"/>
              <w:rPr>
                <w:b/>
                <w:bCs/>
              </w:rPr>
            </w:pPr>
          </w:p>
          <w:p w14:paraId="6613AD70" w14:textId="77777777" w:rsidR="008C5564" w:rsidRDefault="008C5564" w:rsidP="008C5564">
            <w:pPr>
              <w:pStyle w:val="TableTextNumbersContinued"/>
            </w:pPr>
            <w:r>
              <w:t xml:space="preserve">Click the </w:t>
            </w:r>
            <w:r>
              <w:rPr>
                <w:b/>
              </w:rPr>
              <w:t xml:space="preserve">Schedule Print Job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1BF198E7" w14:textId="77777777" w:rsidR="005B6A94" w:rsidRDefault="00F64B5C" w:rsidP="00AA2B2E">
            <w:pPr>
              <w:pStyle w:val="TableTextBullet"/>
            </w:pPr>
            <w:r>
              <w:t>Compiles and displays the report.</w:t>
            </w:r>
          </w:p>
        </w:tc>
      </w:tr>
      <w:tr w:rsidR="008C5564" w14:paraId="1BD74190" w14:textId="77777777">
        <w:tc>
          <w:tcPr>
            <w:tcW w:w="3240" w:type="dxa"/>
          </w:tcPr>
          <w:p w14:paraId="372C5A03" w14:textId="08E8D3D5" w:rsidR="008C5564" w:rsidRDefault="005C22EF" w:rsidP="008C5564">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p>
        </w:tc>
        <w:tc>
          <w:tcPr>
            <w:tcW w:w="6120" w:type="dxa"/>
          </w:tcPr>
          <w:p w14:paraId="671BBA65" w14:textId="77777777" w:rsidR="005C22EF" w:rsidRDefault="005C22EF" w:rsidP="005C22EF">
            <w:pPr>
              <w:pStyle w:val="TableTextBullet"/>
            </w:pPr>
            <w:r>
              <w:t>If Print is selected, prints the report on the designated printer.</w:t>
            </w:r>
          </w:p>
          <w:p w14:paraId="2DCAB4BF" w14:textId="77777777" w:rsidR="005C22EF" w:rsidRDefault="005C22EF" w:rsidP="005C22EF">
            <w:pPr>
              <w:pStyle w:val="TableTextBullet"/>
            </w:pPr>
            <w:r>
              <w:t>If Export is selected, exports the report to the designated file.</w:t>
            </w:r>
          </w:p>
          <w:p w14:paraId="3B85ECB9" w14:textId="5484C71F" w:rsidR="008C5564" w:rsidRDefault="005C22EF" w:rsidP="005C22EF">
            <w:pPr>
              <w:pStyle w:val="TableTextBullet"/>
            </w:pPr>
            <w:r>
              <w:t>If Close is selected, exits the report preview.</w:t>
            </w:r>
          </w:p>
        </w:tc>
      </w:tr>
    </w:tbl>
    <w:p w14:paraId="2BFAE850" w14:textId="77777777" w:rsidR="00F55832" w:rsidRDefault="00F55832">
      <w:pPr>
        <w:pStyle w:val="Heading2"/>
      </w:pPr>
    </w:p>
    <w:p w14:paraId="53AF04FA" w14:textId="77777777" w:rsidR="002A21AE" w:rsidRDefault="00F55832">
      <w:pPr>
        <w:pStyle w:val="Heading2"/>
      </w:pPr>
      <w:r>
        <w:br w:type="page"/>
      </w:r>
      <w:bookmarkStart w:id="665" w:name="_Toc47516784"/>
      <w:r w:rsidR="002A21AE">
        <w:lastRenderedPageBreak/>
        <w:t>Exception Report</w:t>
      </w:r>
      <w:bookmarkEnd w:id="665"/>
      <w:r w:rsidR="002A21AE">
        <w:fldChar w:fldCharType="begin"/>
      </w:r>
      <w:r w:rsidR="002A21AE">
        <w:instrText xml:space="preserve"> XE </w:instrText>
      </w:r>
      <w:r w:rsidR="00FA7E65">
        <w:instrText>“</w:instrText>
      </w:r>
      <w:r w:rsidR="002A21AE">
        <w:instrText>Exception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UC_82</w:t>
      </w:r>
      <w:r w:rsidR="002A21AE">
        <w:rPr>
          <w:rStyle w:val="CommentReference"/>
          <w:b w:val="0"/>
          <w:vanish/>
        </w:rPr>
        <w:t xml:space="preserve"> </w:t>
      </w:r>
    </w:p>
    <w:p w14:paraId="7C5EC255" w14:textId="77777777" w:rsidR="002A21AE" w:rsidRDefault="002A21AE" w:rsidP="00FA7E65">
      <w:pPr>
        <w:pStyle w:val="BodyText"/>
      </w:pPr>
      <w:r>
        <w:t xml:space="preserve">The user views </w:t>
      </w:r>
      <w:r w:rsidR="00EB1E5A">
        <w:t xml:space="preserve">and/or </w:t>
      </w:r>
      <w:r>
        <w:t xml:space="preserve">prints an Exception Report. </w:t>
      </w:r>
    </w:p>
    <w:p w14:paraId="5A523D13" w14:textId="77777777" w:rsidR="002A21AE" w:rsidRDefault="002A21AE">
      <w:pPr>
        <w:pStyle w:val="Heading4"/>
      </w:pPr>
      <w:r>
        <w:t>Assumptions</w:t>
      </w:r>
      <w:r>
        <w:rPr>
          <w:b w:val="0"/>
        </w:rPr>
        <w:t xml:space="preserve"> </w:t>
      </w:r>
    </w:p>
    <w:p w14:paraId="1FFDE808" w14:textId="77777777" w:rsidR="002A21AE" w:rsidRDefault="002A21AE">
      <w:pPr>
        <w:pStyle w:val="ListBullet"/>
      </w:pPr>
      <w:r>
        <w:t>Data are available for inclusion in the report.</w:t>
      </w:r>
    </w:p>
    <w:p w14:paraId="6ABB447C" w14:textId="77777777" w:rsidR="002A21AE" w:rsidRDefault="002A21AE">
      <w:pPr>
        <w:pStyle w:val="ListBullet"/>
      </w:pPr>
      <w:r>
        <w:t>The user must be logged into the division in which the report is to be generated.</w:t>
      </w:r>
    </w:p>
    <w:p w14:paraId="2D3F3120" w14:textId="77777777" w:rsidR="002A21AE" w:rsidRDefault="002A21AE">
      <w:pPr>
        <w:pStyle w:val="Heading4"/>
      </w:pPr>
      <w:r>
        <w:t xml:space="preserve">Outcome </w:t>
      </w:r>
    </w:p>
    <w:p w14:paraId="6C4C5790" w14:textId="77777777" w:rsidR="002A21AE" w:rsidRDefault="00AE521B">
      <w:pPr>
        <w:pStyle w:val="ListBullet"/>
      </w:pPr>
      <w:r>
        <w:t>The user views and/or prints the report</w:t>
      </w:r>
      <w:r w:rsidR="002A21AE">
        <w:t>.</w:t>
      </w:r>
    </w:p>
    <w:p w14:paraId="47C81F55" w14:textId="77777777" w:rsidR="002A21AE" w:rsidRDefault="002A21AE">
      <w:pPr>
        <w:pStyle w:val="Heading4"/>
        <w:rPr>
          <w:b w:val="0"/>
        </w:rPr>
      </w:pPr>
      <w:r>
        <w:t>Limitations and Restrictions</w:t>
      </w:r>
      <w:r>
        <w:rPr>
          <w:b w:val="0"/>
        </w:rPr>
        <w:t xml:space="preserve"> </w:t>
      </w:r>
    </w:p>
    <w:p w14:paraId="6366C8A2" w14:textId="77777777" w:rsidR="002A21AE" w:rsidRDefault="00ED5339">
      <w:pPr>
        <w:pStyle w:val="ListBullet"/>
      </w:pPr>
      <w:r>
        <w:t xml:space="preserve">VBECS does not accommodate online review </w:t>
      </w:r>
      <w:r w:rsidR="006C1277">
        <w:t xml:space="preserve">(verification, signature) </w:t>
      </w:r>
      <w:r>
        <w:t>of reports.</w:t>
      </w:r>
    </w:p>
    <w:p w14:paraId="792BD700" w14:textId="052CE1F2" w:rsidR="00C30F9C" w:rsidRDefault="00C30F9C">
      <w:pPr>
        <w:pStyle w:val="ListBullet"/>
      </w:pPr>
      <w:r>
        <w:t xml:space="preserve">Only the first twenty patient antigens will print on the report when an exception is generated for a unit issued with unsatisfied antigen negative requirements. </w:t>
      </w:r>
      <w:r w:rsidRPr="00C30F9C">
        <w:rPr>
          <w:vanish/>
        </w:rPr>
        <w:t>DR 4820</w:t>
      </w:r>
    </w:p>
    <w:p w14:paraId="25E4B943" w14:textId="1BC0AB7E" w:rsidR="007A0743" w:rsidRDefault="007A0743">
      <w:pPr>
        <w:pStyle w:val="ListBullet"/>
      </w:pPr>
      <w:r>
        <w:t>In some areas of the report, the user ID is displayed instead of the user name.</w:t>
      </w:r>
      <w:r w:rsidR="00703803">
        <w:t xml:space="preserve"> </w:t>
      </w:r>
      <w:r w:rsidR="00703803" w:rsidRPr="00703803">
        <w:rPr>
          <w:vanish/>
        </w:rPr>
        <w:t>Defect 209133</w:t>
      </w:r>
    </w:p>
    <w:p w14:paraId="497FD1D8" w14:textId="0BFC8F91" w:rsidR="00725EA9" w:rsidRDefault="00746F32">
      <w:pPr>
        <w:pStyle w:val="ListBullet"/>
      </w:pPr>
      <w:r>
        <w:t>The Exception Date displayed</w:t>
      </w:r>
      <w:r w:rsidR="002C5A43">
        <w:t xml:space="preserve"> is not consistently recorded to data records. It will either be the time the user entered the exception comment or the time the user saved the data record.</w:t>
      </w:r>
      <w:r w:rsidR="00BA05F4">
        <w:t xml:space="preserve"> </w:t>
      </w:r>
      <w:r w:rsidR="00BA05F4" w:rsidRPr="00BA05F4">
        <w:rPr>
          <w:vanish/>
        </w:rPr>
        <w:t>Defect 208987</w:t>
      </w:r>
    </w:p>
    <w:p w14:paraId="21E40746" w14:textId="77777777" w:rsidR="002A21AE" w:rsidRDefault="002A21AE">
      <w:pPr>
        <w:pStyle w:val="Heading4"/>
      </w:pPr>
      <w:r>
        <w:t xml:space="preserve">Additional Information </w:t>
      </w:r>
    </w:p>
    <w:p w14:paraId="43F7CE0A" w14:textId="77777777" w:rsidR="002A21AE" w:rsidRDefault="00DF389C">
      <w:pPr>
        <w:pStyle w:val="ListBullet"/>
      </w:pPr>
      <w:r>
        <w:t>A supervisor may use a</w:t>
      </w:r>
      <w:r w:rsidRPr="00DF389C">
        <w:t xml:space="preserve"> printed report</w:t>
      </w:r>
      <w:r>
        <w:t xml:space="preserve"> to document</w:t>
      </w:r>
      <w:r w:rsidRPr="00DF389C">
        <w:t xml:space="preserve"> the </w:t>
      </w:r>
      <w:r>
        <w:t>review</w:t>
      </w:r>
      <w:r w:rsidR="002A21AE">
        <w:t xml:space="preserve">. </w:t>
      </w:r>
    </w:p>
    <w:p w14:paraId="14A825A9" w14:textId="77777777" w:rsidR="002A21AE" w:rsidRDefault="002A21AE">
      <w:pPr>
        <w:pStyle w:val="ListBullet"/>
      </w:pPr>
      <w:r>
        <w:t>Exception Report entries reflect the actual date and time an exception occurred.</w:t>
      </w:r>
    </w:p>
    <w:p w14:paraId="11B97793" w14:textId="75EB21F6" w:rsidR="005E27C3" w:rsidRDefault="005E27C3">
      <w:pPr>
        <w:pStyle w:val="ListBullet"/>
      </w:pPr>
      <w:r>
        <w:t xml:space="preserve">Exception report entries associated with testing do not include additional information about method, manual or automated instrument. See the </w:t>
      </w:r>
      <w:r w:rsidRPr="00915EFD">
        <w:rPr>
          <w:i/>
        </w:rPr>
        <w:t xml:space="preserve">Testing Worklist </w:t>
      </w:r>
      <w:r w:rsidR="0024416B" w:rsidRPr="00915EFD">
        <w:rPr>
          <w:i/>
        </w:rPr>
        <w:t>Report,</w:t>
      </w:r>
      <w:r w:rsidRPr="00915EFD">
        <w:rPr>
          <w:i/>
        </w:rPr>
        <w:t xml:space="preserve"> Patient History Report or Unit History Report</w:t>
      </w:r>
      <w:r>
        <w:t xml:space="preserve"> for test method information. </w:t>
      </w:r>
      <w:r w:rsidRPr="005E27C3">
        <w:rPr>
          <w:vanish/>
        </w:rPr>
        <w:t>UC_82</w:t>
      </w:r>
    </w:p>
    <w:p w14:paraId="45CE8F89" w14:textId="22B1C582" w:rsidR="00EE28CF" w:rsidRDefault="00EE28CF" w:rsidP="00EE28CF">
      <w:pPr>
        <w:pStyle w:val="ListBullet"/>
      </w:pPr>
      <w:r>
        <w:t xml:space="preserve">In the Emergency Issue section of the report, </w:t>
      </w:r>
      <w:r w:rsidRPr="00EE28CF">
        <w:t>VBECS displays ISBT unit ID and product short name, but not the product code. See the Unit History report for the missing data saved in other options.</w:t>
      </w:r>
      <w:r w:rsidR="0024416B">
        <w:t xml:space="preserve"> </w:t>
      </w:r>
      <w:r w:rsidR="0024416B" w:rsidRPr="0024416B">
        <w:rPr>
          <w:vanish/>
        </w:rPr>
        <w:t xml:space="preserve">Defect </w:t>
      </w:r>
      <w:r w:rsidR="008C2AAA">
        <w:rPr>
          <w:vanish/>
        </w:rPr>
        <w:t>674097</w:t>
      </w:r>
    </w:p>
    <w:p w14:paraId="132CF834" w14:textId="77777777" w:rsidR="0087596E" w:rsidRDefault="00497307">
      <w:pPr>
        <w:pStyle w:val="ListBullet"/>
      </w:pPr>
      <w:r>
        <w:t>Issue Blood Component exceptions that include the Testing Status field displays numeric values 0, 1,</w:t>
      </w:r>
      <w:r w:rsidR="00494357">
        <w:t xml:space="preserve"> 2 or 3. Those numbers represent</w:t>
      </w:r>
      <w:r>
        <w:t xml:space="preserve"> the unit’s disease marker testing</w:t>
      </w:r>
      <w:r w:rsidR="00494357">
        <w:t>.</w:t>
      </w:r>
    </w:p>
    <w:p w14:paraId="3F3AA667" w14:textId="77777777" w:rsidR="0087596E" w:rsidRDefault="0087596E" w:rsidP="002F6D7B">
      <w:pPr>
        <w:pStyle w:val="ListBullet"/>
        <w:numPr>
          <w:ilvl w:val="1"/>
          <w:numId w:val="15"/>
        </w:numPr>
      </w:pPr>
      <w:r>
        <w:t xml:space="preserve">(0) – </w:t>
      </w:r>
      <w:r w:rsidR="000876E5">
        <w:t>N/A</w:t>
      </w:r>
      <w:r>
        <w:t xml:space="preserve"> </w:t>
      </w:r>
      <w:r w:rsidR="00497307">
        <w:t>for non-autologous units</w:t>
      </w:r>
      <w:r w:rsidR="00756D8E">
        <w:t>,</w:t>
      </w:r>
    </w:p>
    <w:p w14:paraId="480E8A25" w14:textId="77777777" w:rsidR="0087596E" w:rsidRDefault="0087596E" w:rsidP="002F6D7B">
      <w:pPr>
        <w:pStyle w:val="ListBullet"/>
        <w:numPr>
          <w:ilvl w:val="1"/>
          <w:numId w:val="15"/>
        </w:numPr>
      </w:pPr>
      <w:r>
        <w:t xml:space="preserve">(1) – </w:t>
      </w:r>
      <w:r w:rsidR="00497307">
        <w:t>NEG – Unit fully tested and negat</w:t>
      </w:r>
      <w:r>
        <w:t>ive for all disease markers</w:t>
      </w:r>
      <w:r w:rsidR="00756D8E">
        <w:t>,</w:t>
      </w:r>
    </w:p>
    <w:p w14:paraId="70D68747" w14:textId="77777777" w:rsidR="0087596E" w:rsidRDefault="0087596E" w:rsidP="002F6D7B">
      <w:pPr>
        <w:pStyle w:val="ListBullet"/>
        <w:numPr>
          <w:ilvl w:val="1"/>
          <w:numId w:val="15"/>
        </w:numPr>
      </w:pPr>
      <w:r>
        <w:t xml:space="preserve">(2) – </w:t>
      </w:r>
      <w:r w:rsidR="00497307">
        <w:t>POS – Unit tested and positive for one or more disease markers, Biohazard</w:t>
      </w:r>
      <w:r w:rsidR="00756D8E">
        <w:t>,</w:t>
      </w:r>
    </w:p>
    <w:p w14:paraId="7110A6D3" w14:textId="77777777" w:rsidR="00497307" w:rsidRDefault="0087596E" w:rsidP="002F6D7B">
      <w:pPr>
        <w:pStyle w:val="ListBullet"/>
        <w:numPr>
          <w:ilvl w:val="1"/>
          <w:numId w:val="15"/>
        </w:numPr>
      </w:pPr>
      <w:r>
        <w:t xml:space="preserve">(3) – </w:t>
      </w:r>
      <w:r w:rsidR="00497307">
        <w:t>NFT – Unit not fully tested for one or more disease</w:t>
      </w:r>
      <w:r w:rsidR="00756D8E">
        <w:t xml:space="preserve"> markers, Biohazard.</w:t>
      </w:r>
      <w:r>
        <w:t xml:space="preserve"> </w:t>
      </w:r>
      <w:r w:rsidRPr="00756D8E">
        <w:rPr>
          <w:vanish/>
        </w:rPr>
        <w:t>DR 4883</w:t>
      </w:r>
    </w:p>
    <w:p w14:paraId="26DCEC8F" w14:textId="77777777" w:rsidR="002A21AE" w:rsidRDefault="002A21AE">
      <w:pPr>
        <w:pStyle w:val="Heading4"/>
        <w:rPr>
          <w:b w:val="0"/>
        </w:rPr>
      </w:pPr>
      <w:r>
        <w:t>User Roles with Access to This Option</w:t>
      </w:r>
      <w:r>
        <w:rPr>
          <w:b w:val="0"/>
        </w:rPr>
        <w:t xml:space="preserve"> </w:t>
      </w:r>
    </w:p>
    <w:p w14:paraId="046BDFD4" w14:textId="77777777" w:rsidR="002A21AE" w:rsidRDefault="00606FB0">
      <w:pPr>
        <w:pStyle w:val="Roles"/>
        <w:rPr>
          <w:snapToGrid w:val="0"/>
        </w:rPr>
      </w:pPr>
      <w:r>
        <w:t>All users</w:t>
      </w:r>
    </w:p>
    <w:p w14:paraId="39766C22" w14:textId="77777777" w:rsidR="002A21AE" w:rsidRDefault="002A21AE">
      <w:pPr>
        <w:pStyle w:val="Heading4"/>
      </w:pPr>
      <w:r>
        <w:t>Exception Report</w:t>
      </w:r>
    </w:p>
    <w:p w14:paraId="0F1F1CF6" w14:textId="77777777" w:rsidR="002A21AE" w:rsidRDefault="000054DE" w:rsidP="00FA7E65">
      <w:pPr>
        <w:pStyle w:val="BodyText"/>
      </w:pPr>
      <w:r>
        <w:t xml:space="preserve">The user views </w:t>
      </w:r>
      <w:r w:rsidR="00EB1E5A">
        <w:t xml:space="preserve">and/or </w:t>
      </w:r>
      <w:r>
        <w:t xml:space="preserve">prints an Exception Report. </w:t>
      </w:r>
      <w:r w:rsidR="002A21AE">
        <w:t xml:space="preserve">Exception Reports list details of transactions that involve overrides to warnings and selected transactions of interest to the supervisor (for example, quarantined units).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5B25BEB" w14:textId="77777777">
        <w:trPr>
          <w:cantSplit/>
          <w:tblHeader/>
        </w:trPr>
        <w:tc>
          <w:tcPr>
            <w:tcW w:w="3240" w:type="dxa"/>
            <w:shd w:val="pct30" w:color="auto" w:fill="FFFFFF"/>
            <w:vAlign w:val="bottom"/>
          </w:tcPr>
          <w:p w14:paraId="37A6BD38" w14:textId="77777777" w:rsidR="002A21AE" w:rsidRDefault="002A21AE">
            <w:pPr>
              <w:pStyle w:val="TableText"/>
              <w:rPr>
                <w:b/>
              </w:rPr>
            </w:pPr>
            <w:r>
              <w:t>.</w:t>
            </w:r>
            <w:r>
              <w:rPr>
                <w:b/>
              </w:rPr>
              <w:t>User Action</w:t>
            </w:r>
          </w:p>
        </w:tc>
        <w:tc>
          <w:tcPr>
            <w:tcW w:w="6120" w:type="dxa"/>
            <w:shd w:val="pct30" w:color="auto" w:fill="FFFFFF"/>
            <w:vAlign w:val="bottom"/>
          </w:tcPr>
          <w:p w14:paraId="12B5DB7F" w14:textId="77777777" w:rsidR="002A21AE" w:rsidRDefault="002A21AE">
            <w:pPr>
              <w:pStyle w:val="TableText"/>
              <w:rPr>
                <w:b/>
              </w:rPr>
            </w:pPr>
            <w:r>
              <w:rPr>
                <w:b/>
              </w:rPr>
              <w:t>VBECS</w:t>
            </w:r>
          </w:p>
        </w:tc>
      </w:tr>
      <w:tr w:rsidR="002A21AE" w14:paraId="41C89C4E" w14:textId="77777777">
        <w:tc>
          <w:tcPr>
            <w:tcW w:w="3240" w:type="dxa"/>
          </w:tcPr>
          <w:p w14:paraId="067D3CD6" w14:textId="77777777" w:rsidR="002A21AE" w:rsidRDefault="002A21AE" w:rsidP="00BA3292">
            <w:pPr>
              <w:pStyle w:val="TableTextNumbers"/>
              <w:numPr>
                <w:ilvl w:val="0"/>
                <w:numId w:val="81"/>
              </w:numPr>
            </w:pPr>
            <w:r>
              <w:t xml:space="preserve">Select </w:t>
            </w:r>
            <w:r w:rsidRPr="00946DA2">
              <w:rPr>
                <w:b/>
              </w:rPr>
              <w:t>Reports</w:t>
            </w:r>
            <w:r>
              <w:t xml:space="preserve"> from the main menu.</w:t>
            </w:r>
          </w:p>
          <w:p w14:paraId="0D9397E4" w14:textId="77777777" w:rsidR="002A21AE" w:rsidRDefault="002A21AE">
            <w:pPr>
              <w:pStyle w:val="TableTextNumbersContinued"/>
            </w:pPr>
          </w:p>
          <w:p w14:paraId="7236B781" w14:textId="77777777" w:rsidR="002A21AE" w:rsidRDefault="002A21AE">
            <w:pPr>
              <w:pStyle w:val="TableTextNumbersContinued"/>
            </w:pPr>
            <w:r>
              <w:t xml:space="preserve">Select </w:t>
            </w:r>
            <w:r>
              <w:rPr>
                <w:b/>
              </w:rPr>
              <w:t>Exception Report</w:t>
            </w:r>
            <w:r>
              <w:t>.</w:t>
            </w:r>
          </w:p>
        </w:tc>
        <w:tc>
          <w:tcPr>
            <w:tcW w:w="6120" w:type="dxa"/>
          </w:tcPr>
          <w:p w14:paraId="382ABA1D" w14:textId="77777777" w:rsidR="002A21AE" w:rsidRDefault="002A21AE">
            <w:pPr>
              <w:pStyle w:val="TableTextBullet"/>
            </w:pPr>
            <w:r>
              <w:t>Lists report names.</w:t>
            </w:r>
          </w:p>
          <w:p w14:paraId="5A32B3E4" w14:textId="77777777" w:rsidR="002A21AE" w:rsidRDefault="002A21AE">
            <w:pPr>
              <w:pStyle w:val="TableTextBullet"/>
            </w:pPr>
            <w:r>
              <w:t xml:space="preserve">Displays report compilation criteria. </w:t>
            </w:r>
          </w:p>
          <w:p w14:paraId="662C04FF" w14:textId="77777777" w:rsidR="002A21AE" w:rsidRDefault="002A21AE">
            <w:pPr>
              <w:pStyle w:val="TableTextBullet"/>
            </w:pPr>
            <w:r>
              <w:t>Displays a date range for selection.</w:t>
            </w:r>
          </w:p>
        </w:tc>
      </w:tr>
      <w:tr w:rsidR="002A21AE" w14:paraId="7333C946" w14:textId="77777777">
        <w:tc>
          <w:tcPr>
            <w:tcW w:w="3240" w:type="dxa"/>
          </w:tcPr>
          <w:p w14:paraId="482124DE" w14:textId="77777777" w:rsidR="002A21AE" w:rsidRDefault="002A21AE">
            <w:pPr>
              <w:pStyle w:val="TableTextNumbers"/>
            </w:pPr>
            <w:r>
              <w:lastRenderedPageBreak/>
              <w:t>Enter or select start and end dates.</w:t>
            </w:r>
          </w:p>
        </w:tc>
        <w:tc>
          <w:tcPr>
            <w:tcW w:w="6120" w:type="dxa"/>
          </w:tcPr>
          <w:p w14:paraId="3A902BE5" w14:textId="77777777" w:rsidR="002A21AE" w:rsidRDefault="002A21AE">
            <w:pPr>
              <w:pStyle w:val="TableText"/>
            </w:pPr>
          </w:p>
          <w:p w14:paraId="47F0C276" w14:textId="1267A26B" w:rsidR="002A21AE" w:rsidRDefault="002A21AE">
            <w:pPr>
              <w:pStyle w:val="TableText"/>
              <w:rPr>
                <w:b/>
                <w:bCs/>
                <w:szCs w:val="18"/>
              </w:rPr>
            </w:pPr>
            <w:r>
              <w:rPr>
                <w:b/>
                <w:bCs/>
                <w:szCs w:val="18"/>
              </w:rPr>
              <w:t>NOTES</w:t>
            </w:r>
          </w:p>
          <w:p w14:paraId="7A6113A3" w14:textId="77777777" w:rsidR="002A21AE" w:rsidRDefault="002A21AE">
            <w:pPr>
              <w:pStyle w:val="NotesText"/>
            </w:pPr>
          </w:p>
          <w:p w14:paraId="793B4E32" w14:textId="77777777" w:rsidR="002A21AE" w:rsidRDefault="002A21AE">
            <w:pPr>
              <w:pStyle w:val="NotesText"/>
            </w:pPr>
            <w:r>
              <w:rPr>
                <w:rFonts w:cs="Arial"/>
                <w:vanish/>
              </w:rPr>
              <w:t xml:space="preserve">BR_82.01 </w:t>
            </w:r>
            <w:r>
              <w:t>The report is sorted by exception type. Exception types are in chronological order.</w:t>
            </w:r>
          </w:p>
        </w:tc>
      </w:tr>
      <w:tr w:rsidR="002A21AE" w14:paraId="78FF1172" w14:textId="77777777">
        <w:tc>
          <w:tcPr>
            <w:tcW w:w="3240" w:type="dxa"/>
          </w:tcPr>
          <w:p w14:paraId="24BD7F0A"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14BF58CF" w14:textId="77777777" w:rsidR="002A21AE" w:rsidRDefault="002A21AE">
            <w:pPr>
              <w:pStyle w:val="TableTextNumbersContinued"/>
            </w:pPr>
          </w:p>
          <w:p w14:paraId="0BBEBD31"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2F6CB8EC" w14:textId="77777777" w:rsidR="005B6A94" w:rsidRDefault="00F64B5C" w:rsidP="00AA2B2E">
            <w:pPr>
              <w:pStyle w:val="TableTextBullet"/>
            </w:pPr>
            <w:r>
              <w:t>Compiles and displays the report.</w:t>
            </w:r>
          </w:p>
        </w:tc>
      </w:tr>
      <w:tr w:rsidR="002A21AE" w14:paraId="1FB27CB3" w14:textId="77777777" w:rsidTr="000518ED">
        <w:trPr>
          <w:trHeight w:val="467"/>
        </w:trPr>
        <w:tc>
          <w:tcPr>
            <w:tcW w:w="3240" w:type="dxa"/>
          </w:tcPr>
          <w:p w14:paraId="6C4D28D7" w14:textId="128A8545"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numberingChange w:id="666" w:author="Blalock, David (Leidos)" w:date="2020-06-15T14:09:00Z" w:original="0."/>
              </w:fldChar>
            </w:r>
          </w:p>
        </w:tc>
        <w:tc>
          <w:tcPr>
            <w:tcW w:w="6120" w:type="dxa"/>
          </w:tcPr>
          <w:p w14:paraId="04D7D1E6" w14:textId="77777777" w:rsidR="005C22EF" w:rsidRDefault="005C22EF" w:rsidP="005C22EF">
            <w:pPr>
              <w:pStyle w:val="TableTextBullet"/>
            </w:pPr>
            <w:r>
              <w:t>If Print is selected, prints the report on the designated printer.</w:t>
            </w:r>
          </w:p>
          <w:p w14:paraId="669C0BAA" w14:textId="77777777" w:rsidR="005C22EF" w:rsidRDefault="005C22EF" w:rsidP="005C22EF">
            <w:pPr>
              <w:pStyle w:val="TableTextBullet"/>
            </w:pPr>
            <w:r>
              <w:t>If Export is selected, exports the report to the designated file.</w:t>
            </w:r>
          </w:p>
          <w:p w14:paraId="5868424C" w14:textId="77777777" w:rsidR="005C22EF" w:rsidRDefault="005C22EF" w:rsidP="005C22EF">
            <w:pPr>
              <w:pStyle w:val="TableTextBullet"/>
            </w:pPr>
            <w:r>
              <w:t>If Close is selected, exits the report preview.</w:t>
            </w:r>
          </w:p>
          <w:p w14:paraId="03F3167D" w14:textId="1D65A77A" w:rsidR="002A21AE" w:rsidRDefault="002A21AE" w:rsidP="005C22EF">
            <w:pPr>
              <w:pStyle w:val="TableTextBullet"/>
            </w:pPr>
            <w:r>
              <w:t xml:space="preserve">See </w:t>
            </w:r>
            <w:r w:rsidR="00543DAF">
              <w:fldChar w:fldCharType="begin"/>
            </w:r>
            <w:r w:rsidR="00543DAF">
              <w:instrText xml:space="preserve"> REF _Ref170004931 \h </w:instrText>
            </w:r>
            <w:r w:rsidR="00543DAF">
              <w:fldChar w:fldCharType="separate"/>
            </w:r>
            <w:r w:rsidR="004353ED">
              <w:t xml:space="preserve">Appendix </w:t>
            </w:r>
            <w:r w:rsidR="004353ED">
              <w:rPr>
                <w:noProof/>
              </w:rPr>
              <w:t>B</w:t>
            </w:r>
            <w:r w:rsidR="00543DAF">
              <w:fldChar w:fldCharType="end"/>
            </w:r>
            <w:r>
              <w:t xml:space="preserve">: </w:t>
            </w:r>
            <w:r w:rsidR="00AE2DC1">
              <w:fldChar w:fldCharType="begin"/>
            </w:r>
            <w:r w:rsidR="00AE2DC1">
              <w:instrText xml:space="preserve"> REF _Ref126504543 \h </w:instrText>
            </w:r>
            <w:r w:rsidR="00AE2DC1">
              <w:fldChar w:fldCharType="separate"/>
            </w:r>
            <w:r w:rsidR="004353ED">
              <w:t xml:space="preserve">Table </w:t>
            </w:r>
            <w:r w:rsidR="004353ED">
              <w:rPr>
                <w:noProof/>
              </w:rPr>
              <w:t>21</w:t>
            </w:r>
            <w:r w:rsidR="004353ED">
              <w:t xml:space="preserve">: </w:t>
            </w:r>
            <w:r w:rsidR="004353ED">
              <w:rPr>
                <w:vanish/>
              </w:rPr>
              <w:t xml:space="preserve">TT_82.01 </w:t>
            </w:r>
            <w:r w:rsidR="004353ED">
              <w:t>Details in Exception Report</w:t>
            </w:r>
            <w:r w:rsidR="00AE2DC1">
              <w:fldChar w:fldCharType="end"/>
            </w:r>
            <w:r>
              <w:t>.</w:t>
            </w:r>
          </w:p>
        </w:tc>
      </w:tr>
    </w:tbl>
    <w:p w14:paraId="1D6696DA" w14:textId="77777777" w:rsidR="000518ED" w:rsidRDefault="000518ED" w:rsidP="00C400F4">
      <w:pPr>
        <w:pStyle w:val="Heading2"/>
      </w:pPr>
    </w:p>
    <w:p w14:paraId="03B5E90A" w14:textId="77777777" w:rsidR="00C400F4" w:rsidRPr="00C400F4" w:rsidRDefault="000518ED" w:rsidP="000518ED">
      <w:pPr>
        <w:pStyle w:val="Heading2"/>
      </w:pPr>
      <w:r>
        <w:br w:type="page"/>
      </w:r>
      <w:bookmarkStart w:id="667" w:name="_Toc47516785"/>
      <w:r w:rsidR="00C400F4">
        <w:lastRenderedPageBreak/>
        <w:t xml:space="preserve">Finalize/Print TRW </w:t>
      </w:r>
      <w:r w:rsidR="00C400F4" w:rsidRPr="00C400F4">
        <w:rPr>
          <w:rFonts w:ascii="Arial Bold" w:hAnsi="Arial Bold"/>
          <w:vanish/>
        </w:rPr>
        <w:t>UC_96</w:t>
      </w:r>
      <w:r w:rsidR="00C400F4">
        <w:rPr>
          <w:rFonts w:ascii="Arial Bold" w:hAnsi="Arial Bold"/>
          <w:vanish/>
        </w:rPr>
        <w:t xml:space="preserve"> </w:t>
      </w:r>
      <w:r w:rsidR="00BA595C">
        <w:t>(S</w:t>
      </w:r>
      <w:r w:rsidR="00C400F4">
        <w:t>ee Patient Services</w:t>
      </w:r>
      <w:r w:rsidR="00BC05B4">
        <w:t>, Finalize/Print TRW</w:t>
      </w:r>
      <w:r w:rsidR="00C400F4">
        <w:t>)</w:t>
      </w:r>
      <w:bookmarkEnd w:id="667"/>
    </w:p>
    <w:p w14:paraId="74B9CED1" w14:textId="77777777" w:rsidR="002A21AE" w:rsidRDefault="002A21AE">
      <w:pPr>
        <w:pStyle w:val="Heading2"/>
      </w:pPr>
      <w:bookmarkStart w:id="668" w:name="_Toc47516786"/>
      <w:r>
        <w:t>Inappropriate Transfusion Request Report</w:t>
      </w:r>
      <w:bookmarkEnd w:id="668"/>
      <w:r>
        <w:fldChar w:fldCharType="begin"/>
      </w:r>
      <w:r>
        <w:instrText xml:space="preserve"> XE </w:instrText>
      </w:r>
      <w:r w:rsidR="00FA7E65">
        <w:instrText>“</w:instrText>
      </w:r>
      <w:r>
        <w:instrText>Inappropriate Transfusion Request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UC_96</w:t>
      </w:r>
    </w:p>
    <w:p w14:paraId="17400BE2" w14:textId="77777777" w:rsidR="002A21AE" w:rsidRDefault="002A21AE" w:rsidP="00FA7E65">
      <w:pPr>
        <w:pStyle w:val="BodyText"/>
      </w:pPr>
      <w:r>
        <w:t xml:space="preserve">The user views </w:t>
      </w:r>
      <w:r w:rsidR="00EB1E5A">
        <w:t xml:space="preserve">and/or </w:t>
      </w:r>
      <w:r>
        <w:t>prints the Inappropriate Transfusion Request Report.</w:t>
      </w:r>
    </w:p>
    <w:p w14:paraId="0F149C92" w14:textId="77777777" w:rsidR="002A21AE" w:rsidRDefault="002A21AE">
      <w:pPr>
        <w:pStyle w:val="Heading4"/>
      </w:pPr>
      <w:r>
        <w:t>Assumptions</w:t>
      </w:r>
      <w:r>
        <w:rPr>
          <w:b w:val="0"/>
        </w:rPr>
        <w:t xml:space="preserve"> </w:t>
      </w:r>
    </w:p>
    <w:p w14:paraId="24C73ABF" w14:textId="77777777" w:rsidR="002A21AE" w:rsidRDefault="002A21AE">
      <w:pPr>
        <w:pStyle w:val="ListBullet"/>
      </w:pPr>
      <w:r>
        <w:t xml:space="preserve">The order is flagged as an inappropriate transfusion request during Accepting an Order. </w:t>
      </w:r>
    </w:p>
    <w:p w14:paraId="0A258396" w14:textId="77777777" w:rsidR="002A21AE" w:rsidRDefault="002A21AE">
      <w:pPr>
        <w:pStyle w:val="ListBullet"/>
      </w:pPr>
      <w:r>
        <w:t>Setting Component Requirements was processed and there are inappropriate test indicators associated with the component classes in the login division.</w:t>
      </w:r>
    </w:p>
    <w:p w14:paraId="5C35CEEF" w14:textId="77777777" w:rsidR="002A21AE" w:rsidRDefault="002A21AE">
      <w:pPr>
        <w:pStyle w:val="ListBullet"/>
      </w:pPr>
      <w:r>
        <w:t>Data for the report were saved in VBECS.</w:t>
      </w:r>
    </w:p>
    <w:p w14:paraId="17507E91" w14:textId="77777777" w:rsidR="002A21AE" w:rsidRDefault="002A21AE">
      <w:pPr>
        <w:pStyle w:val="Heading4"/>
      </w:pPr>
      <w:r>
        <w:t xml:space="preserve">Outcome </w:t>
      </w:r>
    </w:p>
    <w:p w14:paraId="06144F0E" w14:textId="77777777" w:rsidR="002A21AE" w:rsidRDefault="002A21AE">
      <w:pPr>
        <w:pStyle w:val="ListBullet"/>
      </w:pPr>
      <w:r>
        <w:t>The user view or prints the report.</w:t>
      </w:r>
    </w:p>
    <w:p w14:paraId="54297F69" w14:textId="77777777" w:rsidR="002A21AE" w:rsidRDefault="002A21AE">
      <w:pPr>
        <w:pStyle w:val="Heading4"/>
        <w:rPr>
          <w:b w:val="0"/>
        </w:rPr>
      </w:pPr>
      <w:r>
        <w:t>Limitations and Restrictions</w:t>
      </w:r>
      <w:r>
        <w:rPr>
          <w:b w:val="0"/>
        </w:rPr>
        <w:t xml:space="preserve"> </w:t>
      </w:r>
    </w:p>
    <w:p w14:paraId="5709C93E" w14:textId="77777777" w:rsidR="002A21AE" w:rsidRDefault="002A21AE">
      <w:pPr>
        <w:pStyle w:val="ListBullet"/>
      </w:pPr>
      <w:r>
        <w:t>None</w:t>
      </w:r>
    </w:p>
    <w:p w14:paraId="2D7A3128" w14:textId="77777777" w:rsidR="002A21AE" w:rsidRDefault="002A21AE">
      <w:pPr>
        <w:pStyle w:val="Heading4"/>
      </w:pPr>
      <w:r>
        <w:t xml:space="preserve">Additional Information </w:t>
      </w:r>
    </w:p>
    <w:p w14:paraId="43BC9902" w14:textId="77777777" w:rsidR="002A21AE" w:rsidRDefault="002A21AE">
      <w:pPr>
        <w:pStyle w:val="ListBullet"/>
      </w:pPr>
      <w:r>
        <w:t>None</w:t>
      </w:r>
    </w:p>
    <w:p w14:paraId="3546B486" w14:textId="77777777" w:rsidR="002A21AE" w:rsidRDefault="002A21AE">
      <w:pPr>
        <w:pStyle w:val="Heading4"/>
        <w:rPr>
          <w:b w:val="0"/>
        </w:rPr>
      </w:pPr>
      <w:r>
        <w:t>User Roles with Access to This Option</w:t>
      </w:r>
      <w:r>
        <w:rPr>
          <w:b w:val="0"/>
        </w:rPr>
        <w:t xml:space="preserve"> </w:t>
      </w:r>
    </w:p>
    <w:p w14:paraId="74884780" w14:textId="77777777" w:rsidR="002A21AE" w:rsidRDefault="00184EA4">
      <w:pPr>
        <w:pStyle w:val="Roles"/>
      </w:pPr>
      <w:r>
        <w:t>All users</w:t>
      </w:r>
    </w:p>
    <w:p w14:paraId="2B2BFD00" w14:textId="77777777" w:rsidR="002A21AE" w:rsidRDefault="002A21AE">
      <w:pPr>
        <w:pStyle w:val="Heading4"/>
      </w:pPr>
      <w:r>
        <w:t xml:space="preserve">Inappropriate Transfusion Request Report </w:t>
      </w:r>
    </w:p>
    <w:p w14:paraId="5195BA72" w14:textId="77777777" w:rsidR="002A21AE" w:rsidRDefault="002A21AE" w:rsidP="00FA7E65">
      <w:pPr>
        <w:pStyle w:val="BodyText"/>
      </w:pPr>
      <w:r>
        <w:t xml:space="preserve">The user views </w:t>
      </w:r>
      <w:r w:rsidR="00EB1E5A">
        <w:t xml:space="preserve">and/or </w:t>
      </w:r>
      <w:r>
        <w:t>prints the Inappropriate Transfusion Request Report</w:t>
      </w:r>
      <w:r w:rsidR="000054DE">
        <w:t>,</w:t>
      </w:r>
      <w:r w:rsidR="000054DE" w:rsidRPr="000054DE">
        <w:t xml:space="preserve"> </w:t>
      </w:r>
      <w:r w:rsidR="000054DE">
        <w:t>which includes inappropriate transfusion orders determined by the division’s configuration of each component class</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823EB2B" w14:textId="77777777">
        <w:trPr>
          <w:cantSplit/>
          <w:tblHeader/>
        </w:trPr>
        <w:tc>
          <w:tcPr>
            <w:tcW w:w="3240" w:type="dxa"/>
            <w:shd w:val="pct30" w:color="auto" w:fill="FFFFFF"/>
            <w:vAlign w:val="bottom"/>
          </w:tcPr>
          <w:p w14:paraId="781E9242" w14:textId="77777777" w:rsidR="002A21AE" w:rsidRDefault="002A21AE">
            <w:pPr>
              <w:pStyle w:val="TableText"/>
              <w:rPr>
                <w:b/>
              </w:rPr>
            </w:pPr>
            <w:bookmarkStart w:id="669" w:name="_Toc43285442"/>
            <w:bookmarkStart w:id="670" w:name="_Toc71363876"/>
            <w:bookmarkStart w:id="671" w:name="_Toc74366719"/>
            <w:r>
              <w:rPr>
                <w:b/>
              </w:rPr>
              <w:t>User Action</w:t>
            </w:r>
          </w:p>
        </w:tc>
        <w:tc>
          <w:tcPr>
            <w:tcW w:w="6120" w:type="dxa"/>
            <w:shd w:val="pct30" w:color="auto" w:fill="FFFFFF"/>
            <w:vAlign w:val="bottom"/>
          </w:tcPr>
          <w:p w14:paraId="47DDEEEE" w14:textId="77777777" w:rsidR="002A21AE" w:rsidRDefault="002A21AE">
            <w:pPr>
              <w:pStyle w:val="TableText"/>
              <w:rPr>
                <w:b/>
              </w:rPr>
            </w:pPr>
            <w:r>
              <w:rPr>
                <w:b/>
              </w:rPr>
              <w:t>VBECS</w:t>
            </w:r>
          </w:p>
        </w:tc>
      </w:tr>
      <w:tr w:rsidR="002A21AE" w14:paraId="00430656" w14:textId="77777777">
        <w:tc>
          <w:tcPr>
            <w:tcW w:w="3240" w:type="dxa"/>
          </w:tcPr>
          <w:p w14:paraId="050187C6" w14:textId="77777777" w:rsidR="002A21AE" w:rsidRDefault="002A21AE">
            <w:pPr>
              <w:pStyle w:val="TableTextNumbers"/>
            </w:pPr>
            <w:r>
              <w:t xml:space="preserve">Select </w:t>
            </w:r>
            <w:r>
              <w:rPr>
                <w:b/>
              </w:rPr>
              <w:t>Reports</w:t>
            </w:r>
            <w:r>
              <w:t xml:space="preserve"> from the main menu.</w:t>
            </w:r>
          </w:p>
          <w:p w14:paraId="26C25E6B" w14:textId="77777777" w:rsidR="002A21AE" w:rsidRDefault="002A21AE">
            <w:pPr>
              <w:pStyle w:val="TableTextNumbersContinued"/>
            </w:pPr>
          </w:p>
          <w:p w14:paraId="09ACFE26" w14:textId="77777777" w:rsidR="002A21AE" w:rsidRDefault="002A21AE">
            <w:pPr>
              <w:pStyle w:val="TableTextNumbersContinued"/>
            </w:pPr>
            <w:r>
              <w:t xml:space="preserve">Select </w:t>
            </w:r>
            <w:r>
              <w:rPr>
                <w:b/>
              </w:rPr>
              <w:t>Inappropriate Transfusion Request Report</w:t>
            </w:r>
            <w:r>
              <w:t>.</w:t>
            </w:r>
          </w:p>
        </w:tc>
        <w:tc>
          <w:tcPr>
            <w:tcW w:w="6120" w:type="dxa"/>
          </w:tcPr>
          <w:p w14:paraId="4C9EB206" w14:textId="77777777" w:rsidR="002A21AE" w:rsidRDefault="002A21AE">
            <w:pPr>
              <w:pStyle w:val="TableTextBullet"/>
            </w:pPr>
            <w:r>
              <w:t>Lists report names.</w:t>
            </w:r>
          </w:p>
          <w:p w14:paraId="7F206F2F" w14:textId="77777777" w:rsidR="002A21AE" w:rsidRDefault="002A21AE">
            <w:pPr>
              <w:pStyle w:val="TableTextBullet"/>
            </w:pPr>
            <w:r>
              <w:t xml:space="preserve">Displays report compilation criteria. </w:t>
            </w:r>
          </w:p>
          <w:p w14:paraId="1A566A91" w14:textId="77777777" w:rsidR="002A21AE" w:rsidRDefault="002A21AE">
            <w:pPr>
              <w:pStyle w:val="TableTextBullet"/>
            </w:pPr>
            <w:r>
              <w:t>Displays a date range for selection.</w:t>
            </w:r>
          </w:p>
        </w:tc>
      </w:tr>
      <w:tr w:rsidR="002A21AE" w14:paraId="321AFBEE" w14:textId="77777777">
        <w:tc>
          <w:tcPr>
            <w:tcW w:w="3240" w:type="dxa"/>
          </w:tcPr>
          <w:p w14:paraId="2656B390" w14:textId="77777777" w:rsidR="002A21AE" w:rsidRDefault="002A21AE">
            <w:pPr>
              <w:pStyle w:val="TableTextNumbers"/>
            </w:pPr>
            <w:r>
              <w:t>Enter or select start and end dates.</w:t>
            </w:r>
          </w:p>
        </w:tc>
        <w:tc>
          <w:tcPr>
            <w:tcW w:w="6120" w:type="dxa"/>
          </w:tcPr>
          <w:p w14:paraId="67335621" w14:textId="77777777" w:rsidR="002A21AE" w:rsidRDefault="002A21AE">
            <w:pPr>
              <w:pStyle w:val="TableTextBullet"/>
            </w:pPr>
            <w:r>
              <w:t xml:space="preserve">Compiles and displays the report. </w:t>
            </w:r>
          </w:p>
          <w:p w14:paraId="377C2EC5" w14:textId="77777777" w:rsidR="002A21AE" w:rsidRDefault="002A21AE" w:rsidP="0006709D">
            <w:pPr>
              <w:pStyle w:val="NotesText"/>
              <w:ind w:left="0"/>
            </w:pPr>
          </w:p>
        </w:tc>
      </w:tr>
      <w:tr w:rsidR="002A21AE" w14:paraId="71064A18" w14:textId="77777777">
        <w:tc>
          <w:tcPr>
            <w:tcW w:w="3240" w:type="dxa"/>
          </w:tcPr>
          <w:p w14:paraId="503FB46C"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6F980B5" w14:textId="77777777" w:rsidR="002A21AE" w:rsidRDefault="002A21AE">
            <w:pPr>
              <w:pStyle w:val="TableTextNumbersContinued"/>
            </w:pPr>
          </w:p>
          <w:p w14:paraId="1CCB61B1"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416F9725" w14:textId="77777777" w:rsidR="005B6A94" w:rsidRDefault="00F64B5C" w:rsidP="00AA2B2E">
            <w:pPr>
              <w:pStyle w:val="TableTextBullet"/>
            </w:pPr>
            <w:r>
              <w:t>Compiles and displays the report.</w:t>
            </w:r>
          </w:p>
        </w:tc>
      </w:tr>
      <w:tr w:rsidR="002A21AE" w14:paraId="78ECA770" w14:textId="77777777">
        <w:tc>
          <w:tcPr>
            <w:tcW w:w="3240" w:type="dxa"/>
          </w:tcPr>
          <w:p w14:paraId="19556AE4" w14:textId="3025601D"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sidRPr="009660C3">
              <w:rPr>
                <w:vanish/>
                <w:szCs w:val="18"/>
              </w:rPr>
              <w:fldChar w:fldCharType="begin"/>
            </w:r>
            <w:r w:rsidR="002A21AE" w:rsidRPr="009660C3">
              <w:rPr>
                <w:vanish/>
                <w:szCs w:val="18"/>
              </w:rPr>
              <w:instrText xml:space="preserve"> LISTNUM \l 1 \s 0 </w:instrText>
            </w:r>
            <w:r w:rsidR="002A21AE" w:rsidRPr="009660C3">
              <w:rPr>
                <w:vanish/>
                <w:szCs w:val="18"/>
              </w:rPr>
              <w:fldChar w:fldCharType="end">
                <w:numberingChange w:id="672" w:author="Blalock, David (Leidos)" w:date="2020-06-15T14:09:00Z" w:original="0."/>
              </w:fldChar>
            </w:r>
          </w:p>
        </w:tc>
        <w:tc>
          <w:tcPr>
            <w:tcW w:w="6120" w:type="dxa"/>
          </w:tcPr>
          <w:p w14:paraId="53D85857" w14:textId="77777777" w:rsidR="00D45D8C" w:rsidRDefault="00D45D8C" w:rsidP="00D45D8C">
            <w:pPr>
              <w:pStyle w:val="TableTextBullet"/>
            </w:pPr>
            <w:r>
              <w:t>If Print is selected, prints the report on the designated printer.</w:t>
            </w:r>
          </w:p>
          <w:p w14:paraId="2DC1F479" w14:textId="77777777" w:rsidR="00D45D8C" w:rsidRDefault="00D45D8C" w:rsidP="00D45D8C">
            <w:pPr>
              <w:pStyle w:val="TableTextBullet"/>
            </w:pPr>
            <w:r>
              <w:t>If Export is selected, exports the report to the designated file.</w:t>
            </w:r>
          </w:p>
          <w:p w14:paraId="7CF25D27" w14:textId="5702F813" w:rsidR="002A21AE" w:rsidRDefault="00D45D8C" w:rsidP="00D45D8C">
            <w:pPr>
              <w:pStyle w:val="TableTextBullet"/>
            </w:pPr>
            <w:r>
              <w:t>If Close is selected, exits the report preview.</w:t>
            </w:r>
          </w:p>
        </w:tc>
      </w:tr>
      <w:bookmarkEnd w:id="669"/>
      <w:bookmarkEnd w:id="670"/>
      <w:bookmarkEnd w:id="671"/>
    </w:tbl>
    <w:p w14:paraId="1FEAE4AF" w14:textId="77777777" w:rsidR="002A21AE" w:rsidRDefault="002A21AE">
      <w:pPr>
        <w:pStyle w:val="Heading2"/>
      </w:pPr>
      <w:r>
        <w:br w:type="page"/>
      </w:r>
      <w:bookmarkStart w:id="673" w:name="_Toc47516787"/>
      <w:r>
        <w:lastRenderedPageBreak/>
        <w:t>Issued/Returned Unit Report</w:t>
      </w:r>
      <w:bookmarkEnd w:id="673"/>
      <w:r>
        <w:fldChar w:fldCharType="begin"/>
      </w:r>
      <w:r>
        <w:instrText xml:space="preserve"> XE </w:instrText>
      </w:r>
      <w:r w:rsidR="00FA7E65">
        <w:instrText>“</w:instrText>
      </w:r>
      <w:r>
        <w:instrText>Issued/Returned Unit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UC_76</w:t>
      </w:r>
    </w:p>
    <w:p w14:paraId="1153DAC1" w14:textId="77777777" w:rsidR="002A21AE" w:rsidRDefault="002A21AE" w:rsidP="00FA7E65">
      <w:pPr>
        <w:pStyle w:val="BodyText"/>
      </w:pPr>
      <w:r>
        <w:t xml:space="preserve">The user views </w:t>
      </w:r>
      <w:r w:rsidR="00EB1E5A">
        <w:t xml:space="preserve">and/or </w:t>
      </w:r>
      <w:r>
        <w:t xml:space="preserve">prints the Issued/Returned Unit Report. </w:t>
      </w:r>
    </w:p>
    <w:p w14:paraId="58FBD509" w14:textId="77777777" w:rsidR="002A21AE" w:rsidRDefault="002A21AE">
      <w:pPr>
        <w:pStyle w:val="Heading4"/>
      </w:pPr>
      <w:r>
        <w:t>Assumptions</w:t>
      </w:r>
      <w:r>
        <w:rPr>
          <w:b w:val="0"/>
        </w:rPr>
        <w:t xml:space="preserve"> </w:t>
      </w:r>
    </w:p>
    <w:p w14:paraId="50289994" w14:textId="77777777" w:rsidR="002A21AE" w:rsidRDefault="002A21AE">
      <w:pPr>
        <w:pStyle w:val="ListBullet"/>
      </w:pPr>
      <w:r>
        <w:t>Data for the report were saved in the VBECS database.</w:t>
      </w:r>
    </w:p>
    <w:p w14:paraId="40989E67" w14:textId="77777777" w:rsidR="002A21AE" w:rsidRDefault="002A21AE">
      <w:pPr>
        <w:pStyle w:val="Heading4"/>
      </w:pPr>
      <w:r>
        <w:t xml:space="preserve">Outcome </w:t>
      </w:r>
    </w:p>
    <w:p w14:paraId="3A01B4E1" w14:textId="77777777" w:rsidR="002A21AE" w:rsidRDefault="00AE521B">
      <w:pPr>
        <w:pStyle w:val="ListBullet"/>
      </w:pPr>
      <w:r>
        <w:t>The user views and/or prints the report</w:t>
      </w:r>
      <w:r w:rsidR="002A21AE">
        <w:t xml:space="preserve">. </w:t>
      </w:r>
    </w:p>
    <w:p w14:paraId="6E84DEF2" w14:textId="77777777" w:rsidR="002A21AE" w:rsidRDefault="002A21AE">
      <w:pPr>
        <w:pStyle w:val="Heading4"/>
        <w:rPr>
          <w:b w:val="0"/>
        </w:rPr>
      </w:pPr>
      <w:r>
        <w:t>Limitations and Restrictions</w:t>
      </w:r>
      <w:r>
        <w:rPr>
          <w:b w:val="0"/>
        </w:rPr>
        <w:t xml:space="preserve"> </w:t>
      </w:r>
    </w:p>
    <w:p w14:paraId="7A69E77E" w14:textId="77777777" w:rsidR="002A21AE" w:rsidRDefault="002A21AE">
      <w:pPr>
        <w:pStyle w:val="ListBullet"/>
      </w:pPr>
      <w:r>
        <w:t>None</w:t>
      </w:r>
    </w:p>
    <w:p w14:paraId="4BE2B719" w14:textId="77777777" w:rsidR="002A21AE" w:rsidRDefault="002A21AE">
      <w:pPr>
        <w:pStyle w:val="Heading4"/>
      </w:pPr>
      <w:r>
        <w:t xml:space="preserve">Additional Information </w:t>
      </w:r>
    </w:p>
    <w:p w14:paraId="647426F5" w14:textId="130C4BCF" w:rsidR="002A21AE" w:rsidRDefault="002A21AE" w:rsidP="0054648D">
      <w:pPr>
        <w:pStyle w:val="ListBullet"/>
      </w:pPr>
      <w:r>
        <w:t>The report is compiled for one division.</w:t>
      </w:r>
    </w:p>
    <w:p w14:paraId="57077B2A" w14:textId="77777777" w:rsidR="002A21AE" w:rsidRDefault="002A21AE">
      <w:pPr>
        <w:pStyle w:val="Heading4"/>
      </w:pPr>
      <w:r>
        <w:t xml:space="preserve">User Roles with Access to This Option </w:t>
      </w:r>
    </w:p>
    <w:p w14:paraId="550CE541" w14:textId="77777777" w:rsidR="002A21AE" w:rsidRDefault="00184EA4">
      <w:pPr>
        <w:pStyle w:val="Roles"/>
      </w:pPr>
      <w:r>
        <w:t>All users</w:t>
      </w:r>
    </w:p>
    <w:p w14:paraId="6AC3D723" w14:textId="77777777" w:rsidR="002A21AE" w:rsidRDefault="002A21AE">
      <w:pPr>
        <w:pStyle w:val="Heading4"/>
      </w:pPr>
      <w:r>
        <w:t xml:space="preserve">Issued/Returned Unit Report </w:t>
      </w:r>
    </w:p>
    <w:p w14:paraId="76214276" w14:textId="77777777" w:rsidR="002A21AE" w:rsidRDefault="002A21AE" w:rsidP="00FA7E65">
      <w:pPr>
        <w:pStyle w:val="BodyText"/>
      </w:pPr>
      <w:r>
        <w:t xml:space="preserve">The user views </w:t>
      </w:r>
      <w:r w:rsidR="00EB1E5A">
        <w:t xml:space="preserve">and/or </w:t>
      </w:r>
      <w:r>
        <w:t>prints a report of units issued and/or returned to patients within a specified date range for a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B7965AB" w14:textId="77777777">
        <w:trPr>
          <w:cantSplit/>
          <w:tblHeader/>
        </w:trPr>
        <w:tc>
          <w:tcPr>
            <w:tcW w:w="3240" w:type="dxa"/>
            <w:shd w:val="pct30" w:color="auto" w:fill="FFFFFF"/>
            <w:vAlign w:val="bottom"/>
          </w:tcPr>
          <w:p w14:paraId="74FFA685" w14:textId="77777777" w:rsidR="002A21AE" w:rsidRDefault="002A21AE">
            <w:pPr>
              <w:pStyle w:val="TableText"/>
              <w:rPr>
                <w:b/>
              </w:rPr>
            </w:pPr>
            <w:r>
              <w:rPr>
                <w:b/>
              </w:rPr>
              <w:t>User Action</w:t>
            </w:r>
          </w:p>
        </w:tc>
        <w:tc>
          <w:tcPr>
            <w:tcW w:w="6120" w:type="dxa"/>
            <w:shd w:val="pct30" w:color="auto" w:fill="FFFFFF"/>
            <w:vAlign w:val="bottom"/>
          </w:tcPr>
          <w:p w14:paraId="0EA42DB0" w14:textId="77777777" w:rsidR="002A21AE" w:rsidRDefault="002A21AE">
            <w:pPr>
              <w:pStyle w:val="TableText"/>
              <w:rPr>
                <w:b/>
              </w:rPr>
            </w:pPr>
            <w:r>
              <w:rPr>
                <w:b/>
              </w:rPr>
              <w:t>VBECS</w:t>
            </w:r>
          </w:p>
        </w:tc>
      </w:tr>
      <w:tr w:rsidR="002A21AE" w14:paraId="151804A1" w14:textId="77777777">
        <w:tc>
          <w:tcPr>
            <w:tcW w:w="3240" w:type="dxa"/>
            <w:tcBorders>
              <w:top w:val="single" w:sz="4" w:space="0" w:color="auto"/>
              <w:left w:val="single" w:sz="4" w:space="0" w:color="auto"/>
              <w:bottom w:val="single" w:sz="4" w:space="0" w:color="auto"/>
              <w:right w:val="single" w:sz="4" w:space="0" w:color="auto"/>
            </w:tcBorders>
          </w:tcPr>
          <w:p w14:paraId="0B3E3BD3" w14:textId="77777777" w:rsidR="002A21AE" w:rsidRDefault="002A21AE">
            <w:pPr>
              <w:pStyle w:val="TableTextNumbers"/>
            </w:pPr>
            <w:r>
              <w:t xml:space="preserve">Select </w:t>
            </w:r>
            <w:r>
              <w:rPr>
                <w:b/>
              </w:rPr>
              <w:t>Reports</w:t>
            </w:r>
            <w:r>
              <w:t xml:space="preserve"> from the main menu.</w:t>
            </w:r>
          </w:p>
          <w:p w14:paraId="6D89B3F0" w14:textId="77777777" w:rsidR="002A21AE" w:rsidRDefault="002A21AE">
            <w:pPr>
              <w:pStyle w:val="TableTextNumbersContinued"/>
            </w:pPr>
          </w:p>
          <w:p w14:paraId="56C8F76C" w14:textId="77777777" w:rsidR="002A21AE" w:rsidRDefault="002A21AE">
            <w:pPr>
              <w:pStyle w:val="TableTextNumbersContinued"/>
            </w:pPr>
            <w:r>
              <w:t xml:space="preserve">Select </w:t>
            </w:r>
            <w:r>
              <w:rPr>
                <w:b/>
              </w:rPr>
              <w:t>Issued/Returned Report</w:t>
            </w:r>
            <w:r>
              <w:t>.</w:t>
            </w:r>
          </w:p>
        </w:tc>
        <w:tc>
          <w:tcPr>
            <w:tcW w:w="6120" w:type="dxa"/>
            <w:tcBorders>
              <w:top w:val="single" w:sz="4" w:space="0" w:color="auto"/>
              <w:left w:val="single" w:sz="4" w:space="0" w:color="auto"/>
              <w:bottom w:val="single" w:sz="4" w:space="0" w:color="auto"/>
              <w:right w:val="single" w:sz="4" w:space="0" w:color="auto"/>
            </w:tcBorders>
          </w:tcPr>
          <w:p w14:paraId="76C8C02D" w14:textId="77777777" w:rsidR="002A21AE" w:rsidRDefault="002A21AE">
            <w:pPr>
              <w:pStyle w:val="TableTextBullet"/>
            </w:pPr>
            <w:r>
              <w:t>Lists report names.</w:t>
            </w:r>
          </w:p>
          <w:p w14:paraId="0E81654D" w14:textId="77777777" w:rsidR="002A21AE" w:rsidRDefault="002A21AE">
            <w:pPr>
              <w:pStyle w:val="TableTextBullet"/>
            </w:pPr>
            <w:r>
              <w:t>Displays fields for entering a report date range.</w:t>
            </w:r>
          </w:p>
        </w:tc>
      </w:tr>
      <w:tr w:rsidR="002A21AE" w14:paraId="2EF477DE" w14:textId="77777777">
        <w:tc>
          <w:tcPr>
            <w:tcW w:w="3240" w:type="dxa"/>
          </w:tcPr>
          <w:p w14:paraId="55765D2B" w14:textId="77777777" w:rsidR="002A21AE" w:rsidRDefault="002A21AE">
            <w:pPr>
              <w:pStyle w:val="TableTextNumbers"/>
            </w:pPr>
            <w:r>
              <w:t xml:space="preserve">Enter or select start and end dates. </w:t>
            </w:r>
          </w:p>
        </w:tc>
        <w:tc>
          <w:tcPr>
            <w:tcW w:w="6120" w:type="dxa"/>
          </w:tcPr>
          <w:p w14:paraId="38E11BCE" w14:textId="3099D9E7" w:rsidR="002A21AE" w:rsidRDefault="002A21AE">
            <w:pPr>
              <w:pStyle w:val="TableTextBullet"/>
            </w:pPr>
            <w:r>
              <w:t>Allows the user to sort the report by issued date range</w:t>
            </w:r>
            <w:r w:rsidR="005F46D4">
              <w:t xml:space="preserve">, </w:t>
            </w:r>
            <w:r>
              <w:t>by patien</w:t>
            </w:r>
            <w:r w:rsidR="005F46D4">
              <w:t>t name or by component class</w:t>
            </w:r>
            <w:r>
              <w:t>.</w:t>
            </w:r>
          </w:p>
        </w:tc>
      </w:tr>
      <w:tr w:rsidR="00B33FB0" w14:paraId="6B72A20F" w14:textId="77777777">
        <w:tc>
          <w:tcPr>
            <w:tcW w:w="3240" w:type="dxa"/>
          </w:tcPr>
          <w:p w14:paraId="73A744CE" w14:textId="3F560AA9" w:rsidR="00B33FB0" w:rsidRDefault="00B33FB0">
            <w:pPr>
              <w:pStyle w:val="TableTextNumbers"/>
            </w:pPr>
            <w:r>
              <w:t xml:space="preserve">In the Report Sort Order area, select the </w:t>
            </w:r>
            <w:r w:rsidRPr="000D2373">
              <w:rPr>
                <w:b/>
              </w:rPr>
              <w:t>Issue/Return Date</w:t>
            </w:r>
            <w:r w:rsidR="005F46D4">
              <w:rPr>
                <w:b/>
              </w:rPr>
              <w:t>, Patient Name</w:t>
            </w:r>
            <w:r>
              <w:t xml:space="preserve"> or </w:t>
            </w:r>
            <w:r w:rsidR="005F46D4">
              <w:rPr>
                <w:b/>
              </w:rPr>
              <w:t>Component Class</w:t>
            </w:r>
            <w:r>
              <w:t xml:space="preserve"> radio button.</w:t>
            </w:r>
          </w:p>
        </w:tc>
        <w:tc>
          <w:tcPr>
            <w:tcW w:w="6120" w:type="dxa"/>
          </w:tcPr>
          <w:p w14:paraId="730785C6" w14:textId="1BD26211" w:rsidR="00B33FB0" w:rsidRDefault="000D2373">
            <w:pPr>
              <w:pStyle w:val="TableTextBullet"/>
            </w:pPr>
            <w:r w:rsidRPr="000D2373">
              <w:rPr>
                <w:vanish/>
              </w:rPr>
              <w:t>BR_76</w:t>
            </w:r>
            <w:r w:rsidR="00893E3E">
              <w:rPr>
                <w:vanish/>
              </w:rPr>
              <w:t>.</w:t>
            </w:r>
            <w:r w:rsidRPr="000D2373">
              <w:rPr>
                <w:vanish/>
              </w:rPr>
              <w:t xml:space="preserve">01 </w:t>
            </w:r>
            <w:r>
              <w:t>Compiles the report and, for each unit issued and when units are returned, includes return information.</w:t>
            </w:r>
          </w:p>
          <w:p w14:paraId="02A3EF59" w14:textId="77777777" w:rsidR="000D2373" w:rsidRDefault="000D2373" w:rsidP="000D2373">
            <w:pPr>
              <w:pStyle w:val="TableTextBullet"/>
              <w:numPr>
                <w:ilvl w:val="0"/>
                <w:numId w:val="0"/>
              </w:numPr>
              <w:ind w:left="288" w:hanging="288"/>
            </w:pPr>
          </w:p>
          <w:p w14:paraId="6621EAE4" w14:textId="2CCE9BAB" w:rsidR="000D2373" w:rsidRDefault="000D2373" w:rsidP="000D2373">
            <w:pPr>
              <w:pStyle w:val="TableText"/>
              <w:rPr>
                <w:b/>
                <w:bCs/>
                <w:szCs w:val="18"/>
              </w:rPr>
            </w:pPr>
            <w:r>
              <w:rPr>
                <w:b/>
                <w:bCs/>
                <w:szCs w:val="18"/>
              </w:rPr>
              <w:t>NOTES</w:t>
            </w:r>
          </w:p>
          <w:p w14:paraId="3E3D2A90" w14:textId="77777777" w:rsidR="000D2373" w:rsidRDefault="000D2373" w:rsidP="000D2373">
            <w:pPr>
              <w:pStyle w:val="NotesText"/>
            </w:pPr>
          </w:p>
          <w:p w14:paraId="4B9698D9" w14:textId="69FD8D1D" w:rsidR="00F1278D" w:rsidRDefault="000D2373" w:rsidP="006D2C87">
            <w:pPr>
              <w:pStyle w:val="TableTextBullet"/>
              <w:numPr>
                <w:ilvl w:val="0"/>
                <w:numId w:val="0"/>
              </w:numPr>
              <w:ind w:left="738" w:hanging="18"/>
            </w:pPr>
            <w:r>
              <w:rPr>
                <w:rFonts w:cs="Arial"/>
                <w:vanish/>
              </w:rPr>
              <w:t xml:space="preserve">BR_76.02 </w:t>
            </w:r>
            <w:r>
              <w:t>The report includes a unit that is issued or returned within the entered date range. When a unit is identified as issued or returned during the entered date range, the report also includes unit return and issuance data, respectively, even when they fall outside the date range of the report</w:t>
            </w:r>
            <w:r w:rsidR="006D2C87">
              <w:t>.</w:t>
            </w:r>
          </w:p>
        </w:tc>
      </w:tr>
      <w:tr w:rsidR="00301F2A" w14:paraId="15501C6D" w14:textId="77777777">
        <w:tc>
          <w:tcPr>
            <w:tcW w:w="3240" w:type="dxa"/>
          </w:tcPr>
          <w:p w14:paraId="27C00280" w14:textId="77777777" w:rsidR="00301F2A" w:rsidRDefault="00301F2A">
            <w:pPr>
              <w:pStyle w:val="TableTextNumbers"/>
            </w:pPr>
            <w:r>
              <w:t xml:space="preserve">In the Report Compilation area, click the </w:t>
            </w:r>
            <w:r w:rsidRPr="00B40DDD">
              <w:rPr>
                <w:b/>
              </w:rPr>
              <w:t>Create Report Now</w:t>
            </w:r>
            <w:r>
              <w:t xml:space="preserve"> radio button. Click </w:t>
            </w:r>
            <w:r w:rsidRPr="00B40DDD">
              <w:rPr>
                <w:b/>
              </w:rPr>
              <w:t>OK</w:t>
            </w:r>
            <w:r>
              <w:t xml:space="preserve"> to view the report, or</w:t>
            </w:r>
          </w:p>
          <w:p w14:paraId="0C2CB574" w14:textId="77777777" w:rsidR="00301F2A" w:rsidRDefault="00301F2A" w:rsidP="00301F2A">
            <w:pPr>
              <w:pStyle w:val="TableTextNumbers"/>
              <w:numPr>
                <w:ilvl w:val="0"/>
                <w:numId w:val="0"/>
              </w:numPr>
              <w:ind w:left="288"/>
            </w:pPr>
          </w:p>
          <w:p w14:paraId="2A39EB86" w14:textId="77777777" w:rsidR="00301F2A" w:rsidRDefault="00301F2A" w:rsidP="00301F2A">
            <w:pPr>
              <w:pStyle w:val="TableTextNumbers"/>
              <w:numPr>
                <w:ilvl w:val="0"/>
                <w:numId w:val="0"/>
              </w:numPr>
              <w:ind w:left="288"/>
            </w:pPr>
            <w:r>
              <w:t xml:space="preserve">Click the </w:t>
            </w:r>
            <w:r w:rsidRPr="00B40DDD">
              <w:rPr>
                <w:b/>
              </w:rPr>
              <w:t>Schedule Print Job</w:t>
            </w:r>
            <w:r>
              <w:t xml:space="preserve"> radio button and </w:t>
            </w:r>
            <w:r w:rsidRPr="00B40DDD">
              <w:rPr>
                <w:b/>
              </w:rPr>
              <w:t>OK</w:t>
            </w:r>
            <w:r>
              <w:t xml:space="preserve">, then enter or select a print date and printer name. Click </w:t>
            </w:r>
            <w:r w:rsidRPr="00B40DDD">
              <w:rPr>
                <w:b/>
              </w:rPr>
              <w:t>OK</w:t>
            </w:r>
            <w:r>
              <w:t xml:space="preserve"> to view and print the report.</w:t>
            </w:r>
          </w:p>
        </w:tc>
        <w:tc>
          <w:tcPr>
            <w:tcW w:w="6120" w:type="dxa"/>
          </w:tcPr>
          <w:p w14:paraId="0B0D38FE" w14:textId="77777777" w:rsidR="00B40DDD" w:rsidRDefault="00B40DDD" w:rsidP="00AA2B2E">
            <w:pPr>
              <w:pStyle w:val="TableTextBullet"/>
            </w:pPr>
            <w:r>
              <w:t>Compiles and displays the report.</w:t>
            </w:r>
          </w:p>
        </w:tc>
      </w:tr>
      <w:tr w:rsidR="00301F2A" w14:paraId="535A982D" w14:textId="77777777">
        <w:tc>
          <w:tcPr>
            <w:tcW w:w="3240" w:type="dxa"/>
          </w:tcPr>
          <w:p w14:paraId="3D5F4542" w14:textId="5BF0BBD8" w:rsidR="00301F2A" w:rsidRDefault="00D45D8C">
            <w:pPr>
              <w:pStyle w:val="TableTextNumbers"/>
            </w:pPr>
            <w:r w:rsidRPr="0076371D">
              <w:lastRenderedPageBreak/>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p>
        </w:tc>
        <w:tc>
          <w:tcPr>
            <w:tcW w:w="6120" w:type="dxa"/>
          </w:tcPr>
          <w:p w14:paraId="4E3CF220" w14:textId="77777777" w:rsidR="00D45D8C" w:rsidRDefault="00D45D8C" w:rsidP="00D45D8C">
            <w:pPr>
              <w:pStyle w:val="TableTextBullet"/>
            </w:pPr>
            <w:r>
              <w:t>If Print is selected, prints the report on the designated printer.</w:t>
            </w:r>
          </w:p>
          <w:p w14:paraId="1321A2A6" w14:textId="77777777" w:rsidR="00D45D8C" w:rsidRDefault="00D45D8C" w:rsidP="00D45D8C">
            <w:pPr>
              <w:pStyle w:val="TableTextBullet"/>
            </w:pPr>
            <w:r>
              <w:t>If Export is selected, exports the report to the designated file.</w:t>
            </w:r>
          </w:p>
          <w:p w14:paraId="0AF0CFA5" w14:textId="2123977C" w:rsidR="00301F2A" w:rsidRDefault="00D45D8C" w:rsidP="00D45D8C">
            <w:pPr>
              <w:pStyle w:val="TableTextBullet"/>
            </w:pPr>
            <w:r>
              <w:t>If Close is selected, exits the report preview.</w:t>
            </w:r>
          </w:p>
        </w:tc>
      </w:tr>
    </w:tbl>
    <w:p w14:paraId="558CC8C5" w14:textId="77777777" w:rsidR="00F55832" w:rsidRDefault="00F55832">
      <w:pPr>
        <w:pStyle w:val="Heading2"/>
      </w:pPr>
    </w:p>
    <w:p w14:paraId="14FEFFEA" w14:textId="77777777" w:rsidR="00BA595C" w:rsidRDefault="00F55832">
      <w:pPr>
        <w:pStyle w:val="Heading2"/>
      </w:pPr>
      <w:r>
        <w:br w:type="page"/>
      </w:r>
      <w:bookmarkStart w:id="674" w:name="_Toc47516788"/>
      <w:r w:rsidR="00BA595C">
        <w:lastRenderedPageBreak/>
        <w:t xml:space="preserve">Medication Profile </w:t>
      </w:r>
      <w:r w:rsidR="00BA595C" w:rsidRPr="00BA595C">
        <w:rPr>
          <w:rFonts w:ascii="Arial Bold" w:hAnsi="Arial Bold"/>
          <w:vanish/>
        </w:rPr>
        <w:t xml:space="preserve">UC_46 </w:t>
      </w:r>
      <w:r w:rsidR="00BA595C">
        <w:t>(</w:t>
      </w:r>
      <w:r w:rsidR="00203702">
        <w:t>See Patient Information Toolbar</w:t>
      </w:r>
      <w:r w:rsidR="00BA595C">
        <w:t>)</w:t>
      </w:r>
      <w:bookmarkEnd w:id="674"/>
    </w:p>
    <w:p w14:paraId="15AC7F63" w14:textId="77777777" w:rsidR="002A21AE" w:rsidRDefault="002A21AE">
      <w:pPr>
        <w:pStyle w:val="Heading2"/>
      </w:pPr>
      <w:bookmarkStart w:id="675" w:name="_Toc47516789"/>
      <w:r>
        <w:t>Order History Report</w:t>
      </w:r>
      <w:bookmarkEnd w:id="675"/>
      <w:r>
        <w:fldChar w:fldCharType="begin"/>
      </w:r>
      <w:r>
        <w:instrText xml:space="preserve"> XE </w:instrText>
      </w:r>
      <w:r w:rsidR="00FA7E65">
        <w:instrText>“</w:instrText>
      </w:r>
      <w:r>
        <w:instrText>Order History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UC_86</w:t>
      </w:r>
      <w:r>
        <w:rPr>
          <w:rStyle w:val="CommentReference"/>
          <w:rFonts w:ascii="Times New Roman" w:hAnsi="Times New Roman" w:cs="Times New Roman"/>
          <w:b w:val="0"/>
          <w:bCs w:val="0"/>
          <w:vanish/>
        </w:rPr>
        <w:t xml:space="preserve"> </w:t>
      </w:r>
    </w:p>
    <w:p w14:paraId="159FC877" w14:textId="12990072" w:rsidR="002A21AE" w:rsidRDefault="002A21AE" w:rsidP="00FA7E65">
      <w:pPr>
        <w:pStyle w:val="BodyText"/>
      </w:pPr>
      <w:r>
        <w:t xml:space="preserve">The user views </w:t>
      </w:r>
      <w:r w:rsidR="00EB1E5A">
        <w:t xml:space="preserve">and/or </w:t>
      </w:r>
      <w:r>
        <w:t>prints a Single-Order History Report or an Order Summary Report.</w:t>
      </w:r>
    </w:p>
    <w:p w14:paraId="2DDA4C5B" w14:textId="77777777" w:rsidR="002A21AE" w:rsidRDefault="002A21AE">
      <w:pPr>
        <w:pStyle w:val="Heading4"/>
      </w:pPr>
      <w:r>
        <w:t>Assumptions</w:t>
      </w:r>
      <w:r>
        <w:rPr>
          <w:b w:val="0"/>
        </w:rPr>
        <w:t xml:space="preserve"> </w:t>
      </w:r>
    </w:p>
    <w:p w14:paraId="2AB011B5" w14:textId="77777777" w:rsidR="002A21AE" w:rsidRDefault="002A21AE">
      <w:pPr>
        <w:pStyle w:val="ListBullet"/>
      </w:pPr>
      <w:r>
        <w:t>Data for the report are available.</w:t>
      </w:r>
    </w:p>
    <w:p w14:paraId="3FA40DA4" w14:textId="77777777" w:rsidR="002A21AE" w:rsidRDefault="002A21AE">
      <w:pPr>
        <w:pStyle w:val="Heading4"/>
      </w:pPr>
      <w:r>
        <w:t xml:space="preserve">Outcome </w:t>
      </w:r>
    </w:p>
    <w:p w14:paraId="13AC31F6" w14:textId="77777777" w:rsidR="002A21AE" w:rsidRDefault="002A21AE">
      <w:pPr>
        <w:pStyle w:val="ListBullet"/>
      </w:pPr>
      <w:r>
        <w:t>The user may view and/or print a report.</w:t>
      </w:r>
    </w:p>
    <w:p w14:paraId="500554A0" w14:textId="77777777" w:rsidR="002A21AE" w:rsidRDefault="002A21AE">
      <w:pPr>
        <w:pStyle w:val="Heading4"/>
        <w:rPr>
          <w:b w:val="0"/>
        </w:rPr>
      </w:pPr>
      <w:r>
        <w:t>Limitations and Restrictions</w:t>
      </w:r>
      <w:r>
        <w:rPr>
          <w:b w:val="0"/>
        </w:rPr>
        <w:t xml:space="preserve"> </w:t>
      </w:r>
    </w:p>
    <w:p w14:paraId="778C690B" w14:textId="5C30B6D4" w:rsidR="002A21AE" w:rsidRDefault="00C43421">
      <w:pPr>
        <w:pStyle w:val="ListBullet"/>
      </w:pPr>
      <w:r>
        <w:t>VBECS does not display the identity of the CPRS user who discontinues a signed order in CPRS.</w:t>
      </w:r>
      <w:r w:rsidR="00DC0F5E">
        <w:t xml:space="preserve"> The CPRS order detail</w:t>
      </w:r>
      <w:r w:rsidR="00DD73AD">
        <w:t>s option contains all pertinent</w:t>
      </w:r>
      <w:r w:rsidR="00DC0F5E">
        <w:t xml:space="preserve"> order information.</w:t>
      </w:r>
      <w:r>
        <w:rPr>
          <w:vanish/>
        </w:rPr>
        <w:t xml:space="preserve"> DR 3766</w:t>
      </w:r>
      <w:r w:rsidR="00DC0F5E">
        <w:t xml:space="preserve"> </w:t>
      </w:r>
    </w:p>
    <w:p w14:paraId="53E2CEB0" w14:textId="5C745EB7" w:rsidR="00D8384F" w:rsidRDefault="000F404E">
      <w:pPr>
        <w:pStyle w:val="ListBullet"/>
      </w:pPr>
      <w:r>
        <w:t>Cancel</w:t>
      </w:r>
      <w:r w:rsidR="002F7E19">
        <w:t>l</w:t>
      </w:r>
      <w:r>
        <w:t>ed orders are included on the Order Summary Report without a column/data to help identify them as cance</w:t>
      </w:r>
      <w:r w:rsidR="002F7E19">
        <w:t>l</w:t>
      </w:r>
      <w:r>
        <w:t>led. The Single Order History Report includes the cance</w:t>
      </w:r>
      <w:r w:rsidR="002F7E19">
        <w:t>l</w:t>
      </w:r>
      <w:r>
        <w:t>led</w:t>
      </w:r>
      <w:r w:rsidR="0043651F">
        <w:t xml:space="preserve"> order information. When the order is also cance</w:t>
      </w:r>
      <w:r w:rsidR="002F7E19">
        <w:t>l</w:t>
      </w:r>
      <w:r w:rsidR="0043651F">
        <w:t>led in VistA, which would be the norm, there is a lab report that can be referenced</w:t>
      </w:r>
      <w:r w:rsidR="002F7E19">
        <w:t xml:space="preserve"> (See </w:t>
      </w:r>
      <w:r w:rsidR="00F97570">
        <w:t xml:space="preserve">FAQ </w:t>
      </w:r>
      <w:r w:rsidR="002F7E19">
        <w:t>Order Status Clarification)</w:t>
      </w:r>
      <w:r w:rsidR="0043651F">
        <w:t xml:space="preserve">. </w:t>
      </w:r>
      <w:r w:rsidRPr="0043651F">
        <w:rPr>
          <w:vanish/>
        </w:rPr>
        <w:t>Defect 2088</w:t>
      </w:r>
      <w:r w:rsidR="00CA4C08">
        <w:rPr>
          <w:vanish/>
        </w:rPr>
        <w:t>7</w:t>
      </w:r>
      <w:r w:rsidRPr="0043651F">
        <w:rPr>
          <w:vanish/>
        </w:rPr>
        <w:t>7</w:t>
      </w:r>
    </w:p>
    <w:p w14:paraId="6F2AEC00" w14:textId="0B725D5E" w:rsidR="00780C90" w:rsidRDefault="00780C90">
      <w:pPr>
        <w:pStyle w:val="ListBullet"/>
      </w:pPr>
      <w:r>
        <w:t>The Order History Report only displays the first twenty (20) characters of an ordering location. Ordering locations in VistA</w:t>
      </w:r>
      <w:r w:rsidR="003209A5">
        <w:t xml:space="preserve"> can be shortened or changed when the uniqueness of a location cannot be determined with the first twenty (20) characters. </w:t>
      </w:r>
      <w:r w:rsidR="003209A5" w:rsidRPr="003209A5">
        <w:rPr>
          <w:vanish/>
        </w:rPr>
        <w:t>Defect 209846</w:t>
      </w:r>
    </w:p>
    <w:p w14:paraId="60A6D2EA" w14:textId="77777777" w:rsidR="002A21AE" w:rsidRDefault="002A21AE">
      <w:pPr>
        <w:pStyle w:val="Heading4"/>
      </w:pPr>
      <w:r>
        <w:t xml:space="preserve">Additional Information </w:t>
      </w:r>
    </w:p>
    <w:p w14:paraId="7AF64806" w14:textId="77777777" w:rsidR="002A21AE" w:rsidRDefault="002A21AE">
      <w:pPr>
        <w:pStyle w:val="ListBullet"/>
      </w:pPr>
      <w:r>
        <w:t>Test counts and workload information for other VBECS processes are in the Workload Report.</w:t>
      </w:r>
    </w:p>
    <w:p w14:paraId="55361965" w14:textId="77777777" w:rsidR="002A21AE" w:rsidRDefault="002A21AE">
      <w:pPr>
        <w:pStyle w:val="Heading4"/>
        <w:rPr>
          <w:b w:val="0"/>
        </w:rPr>
      </w:pPr>
      <w:r>
        <w:t>User Roles with Access to This Option</w:t>
      </w:r>
      <w:r>
        <w:rPr>
          <w:b w:val="0"/>
        </w:rPr>
        <w:t xml:space="preserve"> </w:t>
      </w:r>
    </w:p>
    <w:p w14:paraId="1779246A" w14:textId="77777777" w:rsidR="002A21AE" w:rsidRDefault="00184EA4">
      <w:pPr>
        <w:pStyle w:val="Roles"/>
      </w:pPr>
      <w:r>
        <w:t>All users</w:t>
      </w:r>
    </w:p>
    <w:p w14:paraId="1D76BF7E" w14:textId="77777777" w:rsidR="002A21AE" w:rsidRDefault="002A21AE">
      <w:pPr>
        <w:pStyle w:val="Heading4"/>
      </w:pPr>
      <w:r>
        <w:t>Order History Report</w:t>
      </w:r>
      <w:r>
        <w:rPr>
          <w:rStyle w:val="CommentReference"/>
          <w:rFonts w:ascii="Times New Roman" w:hAnsi="Times New Roman"/>
          <w:b w:val="0"/>
          <w:bCs/>
          <w:vanish/>
        </w:rPr>
        <w:t xml:space="preserve"> </w:t>
      </w:r>
    </w:p>
    <w:p w14:paraId="6F9CF51A" w14:textId="77777777" w:rsidR="002A21AE" w:rsidRDefault="002A21AE" w:rsidP="00FA7E65">
      <w:pPr>
        <w:pStyle w:val="BodyText"/>
      </w:pPr>
      <w:r>
        <w:t>The user views and/or prints an Order History Report.</w:t>
      </w:r>
      <w:r w:rsidR="000054DE">
        <w:t xml:space="preserve"> </w:t>
      </w:r>
      <w:r>
        <w:t xml:space="preserve">The user may retrieve a report for a single order or </w:t>
      </w:r>
      <w:r w:rsidR="00C166BB">
        <w:t xml:space="preserve">a summary report </w:t>
      </w:r>
      <w:r>
        <w:t xml:space="preserve">for all VBECS orders within a date range. The user may sort the Order Summary Report by treating specialty or by patient location.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86AEC69" w14:textId="77777777">
        <w:trPr>
          <w:cantSplit/>
          <w:tblHeader/>
        </w:trPr>
        <w:tc>
          <w:tcPr>
            <w:tcW w:w="3240" w:type="dxa"/>
            <w:shd w:val="pct30" w:color="auto" w:fill="FFFFFF"/>
            <w:vAlign w:val="bottom"/>
          </w:tcPr>
          <w:p w14:paraId="7373C65A" w14:textId="77777777" w:rsidR="002A21AE" w:rsidRDefault="002A21AE">
            <w:pPr>
              <w:pStyle w:val="TableText"/>
              <w:rPr>
                <w:b/>
              </w:rPr>
            </w:pPr>
            <w:r>
              <w:rPr>
                <w:b/>
              </w:rPr>
              <w:t>User Action</w:t>
            </w:r>
          </w:p>
        </w:tc>
        <w:tc>
          <w:tcPr>
            <w:tcW w:w="6120" w:type="dxa"/>
            <w:shd w:val="pct30" w:color="auto" w:fill="FFFFFF"/>
            <w:vAlign w:val="bottom"/>
          </w:tcPr>
          <w:p w14:paraId="3B8D57B7" w14:textId="77777777" w:rsidR="002A21AE" w:rsidRDefault="002A21AE">
            <w:pPr>
              <w:pStyle w:val="TableText"/>
              <w:rPr>
                <w:b/>
              </w:rPr>
            </w:pPr>
            <w:r>
              <w:rPr>
                <w:b/>
              </w:rPr>
              <w:t>VBECS</w:t>
            </w:r>
          </w:p>
        </w:tc>
      </w:tr>
      <w:tr w:rsidR="002A21AE" w14:paraId="15031065" w14:textId="77777777">
        <w:trPr>
          <w:trHeight w:val="773"/>
        </w:trPr>
        <w:tc>
          <w:tcPr>
            <w:tcW w:w="3240" w:type="dxa"/>
          </w:tcPr>
          <w:p w14:paraId="78FC4551" w14:textId="77777777" w:rsidR="002A21AE" w:rsidRDefault="002A21AE" w:rsidP="000409B1">
            <w:pPr>
              <w:pStyle w:val="TableTextNumbers"/>
              <w:numPr>
                <w:ilvl w:val="0"/>
                <w:numId w:val="42"/>
              </w:numPr>
            </w:pPr>
            <w:r>
              <w:t xml:space="preserve">Select </w:t>
            </w:r>
            <w:r w:rsidRPr="002F2DF7">
              <w:rPr>
                <w:b/>
              </w:rPr>
              <w:t>Reports</w:t>
            </w:r>
            <w:r>
              <w:t xml:space="preserve"> from the main menu.</w:t>
            </w:r>
          </w:p>
          <w:p w14:paraId="00FC3814" w14:textId="77777777" w:rsidR="002A21AE" w:rsidRDefault="002A21AE">
            <w:pPr>
              <w:pStyle w:val="TableTextNumbersContinued"/>
            </w:pPr>
          </w:p>
          <w:p w14:paraId="67001049" w14:textId="77777777" w:rsidR="002A21AE" w:rsidRDefault="002A21AE">
            <w:pPr>
              <w:pStyle w:val="TableTextNumbersContinued"/>
            </w:pPr>
            <w:r>
              <w:t xml:space="preserve">Select </w:t>
            </w:r>
            <w:r>
              <w:rPr>
                <w:b/>
              </w:rPr>
              <w:t>Order History Report</w:t>
            </w:r>
            <w:r>
              <w:t>.</w:t>
            </w:r>
          </w:p>
        </w:tc>
        <w:tc>
          <w:tcPr>
            <w:tcW w:w="6120" w:type="dxa"/>
          </w:tcPr>
          <w:p w14:paraId="087DA321" w14:textId="77777777" w:rsidR="002A21AE" w:rsidRDefault="002A21AE">
            <w:pPr>
              <w:pStyle w:val="TableTextBullet"/>
            </w:pPr>
            <w:r>
              <w:t>Lists report names.</w:t>
            </w:r>
          </w:p>
          <w:p w14:paraId="56E7E96D" w14:textId="77777777" w:rsidR="002A21AE" w:rsidRDefault="002A21AE">
            <w:pPr>
              <w:pStyle w:val="TableTextBullet"/>
            </w:pPr>
            <w:r>
              <w:t>Displays options for generating, viewing, and printing reports.</w:t>
            </w:r>
          </w:p>
          <w:p w14:paraId="19F2DC88" w14:textId="77777777" w:rsidR="002A21AE" w:rsidRDefault="002A21AE">
            <w:pPr>
              <w:pStyle w:val="TableTextBullet"/>
            </w:pPr>
            <w:r>
              <w:t>Displays report type and compilation criteria.</w:t>
            </w:r>
          </w:p>
        </w:tc>
      </w:tr>
      <w:tr w:rsidR="002A21AE" w14:paraId="14E7A9FD" w14:textId="77777777">
        <w:trPr>
          <w:trHeight w:val="773"/>
        </w:trPr>
        <w:tc>
          <w:tcPr>
            <w:tcW w:w="3240" w:type="dxa"/>
            <w:tcBorders>
              <w:top w:val="single" w:sz="4" w:space="0" w:color="auto"/>
              <w:left w:val="single" w:sz="4" w:space="0" w:color="auto"/>
              <w:bottom w:val="single" w:sz="4" w:space="0" w:color="auto"/>
              <w:right w:val="single" w:sz="4" w:space="0" w:color="auto"/>
            </w:tcBorders>
          </w:tcPr>
          <w:p w14:paraId="3198B501" w14:textId="77777777" w:rsidR="002A21AE" w:rsidRDefault="002A21AE">
            <w:pPr>
              <w:pStyle w:val="TableTextNumbers"/>
            </w:pPr>
            <w:r>
              <w:t xml:space="preserve">Click the </w:t>
            </w:r>
            <w:r>
              <w:rPr>
                <w:b/>
              </w:rPr>
              <w:t>Order Summary Repor</w:t>
            </w:r>
            <w:r>
              <w:t xml:space="preserve">t or </w:t>
            </w:r>
            <w:r>
              <w:rPr>
                <w:b/>
              </w:rPr>
              <w:t>Single-Order History Report</w:t>
            </w:r>
            <w:r>
              <w:t xml:space="preserve"> </w:t>
            </w:r>
            <w:r w:rsidRPr="00BF2E41">
              <w:t>radio button</w:t>
            </w:r>
            <w:r>
              <w:t xml:space="preserve"> to select a report type.</w:t>
            </w:r>
          </w:p>
        </w:tc>
        <w:tc>
          <w:tcPr>
            <w:tcW w:w="6120" w:type="dxa"/>
            <w:tcBorders>
              <w:top w:val="single" w:sz="4" w:space="0" w:color="auto"/>
              <w:left w:val="single" w:sz="4" w:space="0" w:color="auto"/>
              <w:bottom w:val="single" w:sz="4" w:space="0" w:color="auto"/>
              <w:right w:val="single" w:sz="4" w:space="0" w:color="auto"/>
            </w:tcBorders>
          </w:tcPr>
          <w:p w14:paraId="4A64B7B0" w14:textId="77777777" w:rsidR="002A21AE" w:rsidRDefault="002A21AE">
            <w:pPr>
              <w:pStyle w:val="TableText"/>
            </w:pPr>
          </w:p>
        </w:tc>
      </w:tr>
      <w:tr w:rsidR="002A21AE" w14:paraId="52391AB0" w14:textId="77777777">
        <w:tc>
          <w:tcPr>
            <w:tcW w:w="3240" w:type="dxa"/>
            <w:tcBorders>
              <w:top w:val="single" w:sz="4" w:space="0" w:color="auto"/>
              <w:left w:val="single" w:sz="4" w:space="0" w:color="auto"/>
              <w:bottom w:val="single" w:sz="4" w:space="0" w:color="auto"/>
              <w:right w:val="single" w:sz="4" w:space="0" w:color="auto"/>
            </w:tcBorders>
          </w:tcPr>
          <w:p w14:paraId="16711A97" w14:textId="77777777" w:rsidR="002A21AE" w:rsidRDefault="002A21AE">
            <w:pPr>
              <w:pStyle w:val="TableTextNumbers"/>
            </w:pPr>
            <w:r>
              <w:t>For an Order Summary Report, create a report date range:</w:t>
            </w:r>
          </w:p>
          <w:p w14:paraId="0C15D7DE" w14:textId="77777777" w:rsidR="002A21AE" w:rsidRDefault="002A21AE">
            <w:pPr>
              <w:pStyle w:val="TableText"/>
            </w:pPr>
          </w:p>
          <w:p w14:paraId="3D071E4A" w14:textId="77777777" w:rsidR="002A21AE" w:rsidRDefault="002A21AE">
            <w:pPr>
              <w:pStyle w:val="TableTextNumbersContinued"/>
            </w:pPr>
            <w:r>
              <w:lastRenderedPageBreak/>
              <w:t xml:space="preserve">Select or edit the dates and times in the </w:t>
            </w:r>
            <w:r w:rsidRPr="00945BF5">
              <w:t>Start Date</w:t>
            </w:r>
            <w:r>
              <w:t xml:space="preserve"> and </w:t>
            </w:r>
            <w:r w:rsidRPr="00945BF5">
              <w:t>End Date</w:t>
            </w:r>
            <w:r>
              <w:t xml:space="preserve"> fields. </w:t>
            </w:r>
          </w:p>
          <w:p w14:paraId="5521D107" w14:textId="77777777" w:rsidR="002A21AE" w:rsidRDefault="002A21AE">
            <w:pPr>
              <w:pStyle w:val="TableTextNumbersContinued"/>
            </w:pPr>
          </w:p>
          <w:p w14:paraId="0D5CD2B6" w14:textId="77777777" w:rsidR="002A21AE" w:rsidRDefault="002A21AE">
            <w:pPr>
              <w:pStyle w:val="TableTextNumbersContinued"/>
            </w:pPr>
            <w:r>
              <w:t xml:space="preserve">In the </w:t>
            </w:r>
            <w:r w:rsidRPr="00E82663">
              <w:rPr>
                <w:b/>
              </w:rPr>
              <w:t>Report Sort Order</w:t>
            </w:r>
            <w:r>
              <w:t xml:space="preserve"> area, click the </w:t>
            </w:r>
            <w:r>
              <w:rPr>
                <w:b/>
              </w:rPr>
              <w:t>Treating Specialty</w:t>
            </w:r>
            <w:r>
              <w:t xml:space="preserve"> or </w:t>
            </w:r>
            <w:r>
              <w:rPr>
                <w:b/>
              </w:rPr>
              <w:t>Ordering Location</w:t>
            </w:r>
            <w:r>
              <w:t xml:space="preserve"> </w:t>
            </w:r>
            <w:r w:rsidRPr="00BF2E41">
              <w:t>radio button</w:t>
            </w:r>
            <w:r>
              <w:t xml:space="preserve"> and continue at Step 5. </w:t>
            </w:r>
          </w:p>
        </w:tc>
        <w:tc>
          <w:tcPr>
            <w:tcW w:w="6120" w:type="dxa"/>
            <w:tcBorders>
              <w:top w:val="single" w:sz="4" w:space="0" w:color="auto"/>
              <w:left w:val="single" w:sz="4" w:space="0" w:color="auto"/>
              <w:bottom w:val="single" w:sz="4" w:space="0" w:color="auto"/>
              <w:right w:val="single" w:sz="4" w:space="0" w:color="auto"/>
            </w:tcBorders>
          </w:tcPr>
          <w:p w14:paraId="3D0C4970" w14:textId="77777777" w:rsidR="002A21AE" w:rsidRDefault="002A21AE">
            <w:pPr>
              <w:pStyle w:val="TableTextBullet"/>
            </w:pPr>
            <w:r>
              <w:lastRenderedPageBreak/>
              <w:t>Displays the option to enter a date range for the report based on the date and time VBECS acknowledged the order.</w:t>
            </w:r>
          </w:p>
          <w:p w14:paraId="1B6A25CE" w14:textId="77777777" w:rsidR="002A21AE" w:rsidRDefault="002A21AE">
            <w:pPr>
              <w:pStyle w:val="TableTextBullet"/>
            </w:pPr>
            <w:r>
              <w:t>Displays an option to sort the report by treating specialty or by ordering location. The report tallies orders in a given date range by ordering location and treating specialty.</w:t>
            </w:r>
          </w:p>
        </w:tc>
      </w:tr>
      <w:tr w:rsidR="002A21AE" w14:paraId="119E5C66" w14:textId="77777777">
        <w:tc>
          <w:tcPr>
            <w:tcW w:w="3240" w:type="dxa"/>
            <w:tcBorders>
              <w:top w:val="single" w:sz="4" w:space="0" w:color="auto"/>
              <w:left w:val="single" w:sz="4" w:space="0" w:color="auto"/>
              <w:bottom w:val="single" w:sz="4" w:space="0" w:color="auto"/>
              <w:right w:val="single" w:sz="4" w:space="0" w:color="auto"/>
            </w:tcBorders>
          </w:tcPr>
          <w:p w14:paraId="73C1BD62" w14:textId="77777777" w:rsidR="002A21AE" w:rsidRDefault="002A21AE">
            <w:pPr>
              <w:pStyle w:val="TableTextNumbers"/>
            </w:pPr>
            <w:r>
              <w:t>For a Single-Order History Report:</w:t>
            </w:r>
          </w:p>
          <w:p w14:paraId="6A8B4492" w14:textId="77777777" w:rsidR="002A21AE" w:rsidRDefault="002A21AE">
            <w:pPr>
              <w:pStyle w:val="TableTextNumbersContinued"/>
            </w:pPr>
          </w:p>
          <w:p w14:paraId="7BD28B7F" w14:textId="77777777" w:rsidR="002A21AE" w:rsidRDefault="002A21AE">
            <w:pPr>
              <w:pStyle w:val="TableTextNumbersContinued"/>
            </w:pPr>
            <w:r>
              <w:t xml:space="preserve">Enter the search criteria and/or click the </w:t>
            </w:r>
            <w:r w:rsidR="00A6373D" w:rsidRPr="00945BF5">
              <w:rPr>
                <w:b/>
              </w:rPr>
              <w:t>find</w:t>
            </w:r>
            <w:r>
              <w:rPr>
                <w:b/>
              </w:rPr>
              <w:t xml:space="preserve"> </w:t>
            </w:r>
            <w:r w:rsidRPr="00D1100E">
              <w:t>button</w:t>
            </w:r>
            <w:r>
              <w:t xml:space="preserve"> to select an order from the list. </w:t>
            </w:r>
          </w:p>
        </w:tc>
        <w:tc>
          <w:tcPr>
            <w:tcW w:w="6120" w:type="dxa"/>
            <w:tcBorders>
              <w:top w:val="single" w:sz="4" w:space="0" w:color="auto"/>
              <w:left w:val="single" w:sz="4" w:space="0" w:color="auto"/>
              <w:bottom w:val="single" w:sz="4" w:space="0" w:color="auto"/>
              <w:right w:val="single" w:sz="4" w:space="0" w:color="auto"/>
            </w:tcBorders>
          </w:tcPr>
          <w:p w14:paraId="573E8E02" w14:textId="77777777" w:rsidR="002A21AE" w:rsidRDefault="002A21AE">
            <w:pPr>
              <w:pStyle w:val="TableTextBullet"/>
              <w:rPr>
                <w:noProof/>
              </w:rPr>
            </w:pPr>
            <w:r>
              <w:rPr>
                <w:noProof/>
              </w:rPr>
              <w:t xml:space="preserve">Displays the </w:t>
            </w:r>
            <w:r>
              <w:t>Select</w:t>
            </w:r>
            <w:r>
              <w:rPr>
                <w:noProof/>
              </w:rPr>
              <w:t xml:space="preserve"> Patient Order window.</w:t>
            </w:r>
          </w:p>
          <w:p w14:paraId="15DABAC5" w14:textId="77777777" w:rsidR="002A21AE" w:rsidRDefault="002A21AE">
            <w:pPr>
              <w:pStyle w:val="TableText"/>
            </w:pPr>
          </w:p>
          <w:p w14:paraId="033BDB75" w14:textId="0D36BCD3" w:rsidR="002A21AE" w:rsidRDefault="002A21AE">
            <w:pPr>
              <w:pStyle w:val="TableText"/>
            </w:pPr>
            <w:r>
              <w:rPr>
                <w:b/>
                <w:bCs/>
                <w:szCs w:val="18"/>
              </w:rPr>
              <w:t>NOTES</w:t>
            </w:r>
          </w:p>
          <w:p w14:paraId="2A5EBA59" w14:textId="77777777" w:rsidR="002A21AE" w:rsidRDefault="002A21AE">
            <w:pPr>
              <w:pStyle w:val="NotesText"/>
            </w:pPr>
          </w:p>
          <w:p w14:paraId="0F1FAD92" w14:textId="77777777" w:rsidR="002A21AE" w:rsidRDefault="002A21AE">
            <w:pPr>
              <w:pStyle w:val="NotesText"/>
            </w:pPr>
            <w:r>
              <w:rPr>
                <w:rFonts w:cs="Arial"/>
                <w:vanish/>
              </w:rPr>
              <w:t xml:space="preserve">BR_86.03 </w:t>
            </w:r>
            <w:r>
              <w:t xml:space="preserve">The user enters a date or a specimen UID, or selects a patient to locate an order. VBECS displays the following information based on the selected search option: </w:t>
            </w:r>
          </w:p>
          <w:p w14:paraId="4D527E39" w14:textId="23BD5A56" w:rsidR="002A21AE" w:rsidRDefault="002A21AE">
            <w:pPr>
              <w:pStyle w:val="NotesTextBullet"/>
            </w:pPr>
            <w:r>
              <w:t>When a user enters a date, VBECS displays orders accepted or cancel</w:t>
            </w:r>
            <w:r w:rsidR="002F7E19">
              <w:t>l</w:t>
            </w:r>
            <w:r>
              <w:t xml:space="preserve">ed by VBECS on that date. </w:t>
            </w:r>
          </w:p>
          <w:p w14:paraId="70C135C8" w14:textId="77777777" w:rsidR="002A21AE" w:rsidRDefault="002A21AE">
            <w:pPr>
              <w:pStyle w:val="NotesTextBullet"/>
            </w:pPr>
            <w:r>
              <w:t>When the specimen UID is entered, VBECS displays only orders associated with that specimen.</w:t>
            </w:r>
          </w:p>
          <w:p w14:paraId="3F393B22" w14:textId="323F5143" w:rsidR="002A21AE" w:rsidRDefault="002A21AE">
            <w:pPr>
              <w:pStyle w:val="NotesTextBullet"/>
              <w:rPr>
                <w:noProof/>
              </w:rPr>
            </w:pPr>
            <w:r>
              <w:t>When a patient name is selected, VBECS displays the patient’s orders listed in reverse chronological order for the last 90 days with an option to display all of the patient’s accepted and cance</w:t>
            </w:r>
            <w:r w:rsidR="002F7E19">
              <w:t>l</w:t>
            </w:r>
            <w:r>
              <w:t>led orders.</w:t>
            </w:r>
          </w:p>
        </w:tc>
      </w:tr>
      <w:tr w:rsidR="002A21AE" w14:paraId="34D67C9E" w14:textId="77777777">
        <w:tc>
          <w:tcPr>
            <w:tcW w:w="3240" w:type="dxa"/>
            <w:tcBorders>
              <w:top w:val="single" w:sz="4" w:space="0" w:color="auto"/>
              <w:left w:val="single" w:sz="4" w:space="0" w:color="auto"/>
              <w:bottom w:val="single" w:sz="4" w:space="0" w:color="auto"/>
              <w:right w:val="single" w:sz="4" w:space="0" w:color="auto"/>
            </w:tcBorders>
          </w:tcPr>
          <w:p w14:paraId="034B6EC1"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and </w:t>
            </w:r>
            <w:r>
              <w:rPr>
                <w:b/>
              </w:rPr>
              <w:t>OK</w:t>
            </w:r>
            <w:r>
              <w:t xml:space="preserve"> to view the report, or </w:t>
            </w:r>
          </w:p>
          <w:p w14:paraId="7FE49057" w14:textId="77777777" w:rsidR="002A21AE" w:rsidRDefault="002A21AE">
            <w:pPr>
              <w:pStyle w:val="TableTextNumbersContinued"/>
            </w:pPr>
          </w:p>
          <w:p w14:paraId="7E825C94"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then click </w:t>
            </w:r>
            <w:r>
              <w:rPr>
                <w:b/>
              </w:rPr>
              <w:t>OK</w:t>
            </w:r>
            <w:r>
              <w:t xml:space="preserve"> to view and print the report.</w:t>
            </w:r>
          </w:p>
        </w:tc>
        <w:tc>
          <w:tcPr>
            <w:tcW w:w="6120" w:type="dxa"/>
            <w:tcBorders>
              <w:top w:val="single" w:sz="4" w:space="0" w:color="auto"/>
              <w:left w:val="single" w:sz="4" w:space="0" w:color="auto"/>
              <w:bottom w:val="single" w:sz="4" w:space="0" w:color="auto"/>
              <w:right w:val="single" w:sz="4" w:space="0" w:color="auto"/>
            </w:tcBorders>
          </w:tcPr>
          <w:p w14:paraId="6A269E29" w14:textId="77777777" w:rsidR="002A21AE" w:rsidRDefault="002A21AE">
            <w:pPr>
              <w:pStyle w:val="TableTextBullet"/>
            </w:pPr>
            <w:r>
              <w:t>Compiles and displays the report.</w:t>
            </w:r>
          </w:p>
          <w:p w14:paraId="668E8999" w14:textId="77777777" w:rsidR="002A21AE" w:rsidRDefault="002A21AE">
            <w:pPr>
              <w:pStyle w:val="TableText"/>
            </w:pPr>
          </w:p>
          <w:p w14:paraId="05419258" w14:textId="07F6ABFE" w:rsidR="002A21AE" w:rsidRDefault="002A21AE">
            <w:pPr>
              <w:pStyle w:val="TableText"/>
              <w:rPr>
                <w:b/>
                <w:bCs/>
                <w:szCs w:val="18"/>
              </w:rPr>
            </w:pPr>
            <w:r>
              <w:rPr>
                <w:b/>
                <w:bCs/>
                <w:szCs w:val="18"/>
              </w:rPr>
              <w:t>NOTES</w:t>
            </w:r>
          </w:p>
          <w:p w14:paraId="3F97F2B1" w14:textId="77777777" w:rsidR="002A21AE" w:rsidRDefault="002A21AE">
            <w:pPr>
              <w:pStyle w:val="NotesText"/>
            </w:pPr>
          </w:p>
          <w:p w14:paraId="43463709" w14:textId="421D3DC6" w:rsidR="002A21AE" w:rsidRDefault="002A21AE">
            <w:pPr>
              <w:pStyle w:val="NotesText"/>
            </w:pPr>
            <w:r>
              <w:rPr>
                <w:rFonts w:cs="Arial"/>
                <w:vanish/>
              </w:rPr>
              <w:t xml:space="preserve">BR_86.04 </w:t>
            </w:r>
            <w:r>
              <w:t>The Order Summary Report includes a section for each treating specialty or ordering location, including accepted and cancel</w:t>
            </w:r>
            <w:r w:rsidR="002F7E19">
              <w:t>l</w:t>
            </w:r>
            <w:r>
              <w:t>ed VBECS orders and the Diagnostic Test or Component Orders for the selected date range. The report lists individual orders by order type, including the Patient Name, ID, CPRS and Lab Order Numbers, and Date.</w:t>
            </w:r>
          </w:p>
          <w:p w14:paraId="77BA19BA" w14:textId="77777777" w:rsidR="002A21AE" w:rsidRDefault="002A21AE">
            <w:pPr>
              <w:pStyle w:val="NotesText"/>
            </w:pPr>
          </w:p>
          <w:p w14:paraId="3979DD05" w14:textId="77777777" w:rsidR="008E4599" w:rsidRDefault="008E4599" w:rsidP="008E4599">
            <w:pPr>
              <w:pStyle w:val="TableText"/>
            </w:pPr>
            <w:r>
              <w:t>The Single-Order History Report contains details of an individual order group, including:</w:t>
            </w:r>
          </w:p>
          <w:p w14:paraId="1320EAC0" w14:textId="77777777" w:rsidR="008E4599" w:rsidRDefault="008E4599" w:rsidP="00BA3292">
            <w:pPr>
              <w:pStyle w:val="TableText"/>
              <w:numPr>
                <w:ilvl w:val="0"/>
                <w:numId w:val="68"/>
              </w:numPr>
            </w:pPr>
            <w:r>
              <w:t>Patient Name</w:t>
            </w:r>
          </w:p>
          <w:p w14:paraId="70DA8ABC" w14:textId="77777777" w:rsidR="008E4599" w:rsidRDefault="008E4599" w:rsidP="00BA3292">
            <w:pPr>
              <w:pStyle w:val="TableText"/>
              <w:numPr>
                <w:ilvl w:val="0"/>
                <w:numId w:val="68"/>
              </w:numPr>
            </w:pPr>
            <w:r>
              <w:t>Patient ID</w:t>
            </w:r>
          </w:p>
          <w:p w14:paraId="0B0936FA" w14:textId="77777777" w:rsidR="008E4599" w:rsidRDefault="008E4599" w:rsidP="00BA3292">
            <w:pPr>
              <w:pStyle w:val="TableText"/>
              <w:numPr>
                <w:ilvl w:val="0"/>
                <w:numId w:val="68"/>
              </w:numPr>
            </w:pPr>
            <w:r>
              <w:t>CPRS Order Name</w:t>
            </w:r>
          </w:p>
          <w:p w14:paraId="7B8EBEDA" w14:textId="77777777" w:rsidR="008E4599" w:rsidRDefault="008E4599" w:rsidP="00BA3292">
            <w:pPr>
              <w:pStyle w:val="TableText"/>
              <w:numPr>
                <w:ilvl w:val="0"/>
                <w:numId w:val="68"/>
              </w:numPr>
            </w:pPr>
            <w:r>
              <w:t xml:space="preserve">CPRS and Lab Order Numbers </w:t>
            </w:r>
          </w:p>
          <w:p w14:paraId="2E3CAD94" w14:textId="77777777" w:rsidR="008E4599" w:rsidRDefault="008E4599" w:rsidP="00BA3292">
            <w:pPr>
              <w:pStyle w:val="TableText"/>
              <w:numPr>
                <w:ilvl w:val="0"/>
                <w:numId w:val="68"/>
              </w:numPr>
            </w:pPr>
            <w:r>
              <w:t xml:space="preserve">Order Urgency </w:t>
            </w:r>
          </w:p>
          <w:p w14:paraId="68DBCE52" w14:textId="77777777" w:rsidR="008E4599" w:rsidRPr="00266E59" w:rsidRDefault="008E4599" w:rsidP="00BA3292">
            <w:pPr>
              <w:pStyle w:val="TableText"/>
              <w:numPr>
                <w:ilvl w:val="0"/>
                <w:numId w:val="68"/>
              </w:numPr>
            </w:pPr>
            <w:r w:rsidRPr="00266E59">
              <w:t>CPRS MODIFIER(S)</w:t>
            </w:r>
          </w:p>
          <w:p w14:paraId="53870B89" w14:textId="77777777" w:rsidR="008E4599" w:rsidRPr="00266E59" w:rsidRDefault="008E4599" w:rsidP="00BA3292">
            <w:pPr>
              <w:pStyle w:val="TableText"/>
              <w:numPr>
                <w:ilvl w:val="0"/>
                <w:numId w:val="68"/>
              </w:numPr>
            </w:pPr>
            <w:r w:rsidRPr="00266E59">
              <w:t>CPRS Reason for Request</w:t>
            </w:r>
          </w:p>
          <w:p w14:paraId="7ED2683F" w14:textId="77777777" w:rsidR="008E4599" w:rsidRPr="00266E59" w:rsidRDefault="008E4599" w:rsidP="00BA3292">
            <w:pPr>
              <w:pStyle w:val="TableText"/>
              <w:numPr>
                <w:ilvl w:val="0"/>
                <w:numId w:val="68"/>
              </w:numPr>
            </w:pPr>
            <w:r w:rsidRPr="00266E59">
              <w:t>CPRS Order Comment(s)</w:t>
            </w:r>
          </w:p>
          <w:p w14:paraId="68F64526" w14:textId="77777777" w:rsidR="008E4599" w:rsidRDefault="008E4599" w:rsidP="00BA3292">
            <w:pPr>
              <w:pStyle w:val="TableText"/>
              <w:numPr>
                <w:ilvl w:val="0"/>
                <w:numId w:val="68"/>
              </w:numPr>
            </w:pPr>
            <w:r>
              <w:t>Specimen Accession Number</w:t>
            </w:r>
          </w:p>
          <w:p w14:paraId="4AC7C435" w14:textId="77777777" w:rsidR="008E4599" w:rsidRDefault="008E4599" w:rsidP="00BA3292">
            <w:pPr>
              <w:pStyle w:val="TableText"/>
              <w:numPr>
                <w:ilvl w:val="0"/>
                <w:numId w:val="68"/>
              </w:numPr>
            </w:pPr>
            <w:r>
              <w:t xml:space="preserve">Specimen UID, if any </w:t>
            </w:r>
          </w:p>
          <w:p w14:paraId="6CBEF354" w14:textId="77777777" w:rsidR="008E4599" w:rsidRDefault="008E4599" w:rsidP="00BA3292">
            <w:pPr>
              <w:pStyle w:val="TableText"/>
              <w:numPr>
                <w:ilvl w:val="0"/>
                <w:numId w:val="68"/>
              </w:numPr>
            </w:pPr>
            <w:r>
              <w:t>Specimen unacceptable comment, if any</w:t>
            </w:r>
          </w:p>
          <w:p w14:paraId="7489C1B1" w14:textId="77777777" w:rsidR="008E4599" w:rsidRDefault="008E4599" w:rsidP="00BA3292">
            <w:pPr>
              <w:pStyle w:val="TableText"/>
              <w:numPr>
                <w:ilvl w:val="0"/>
                <w:numId w:val="68"/>
              </w:numPr>
            </w:pPr>
            <w:r>
              <w:t>Received Date, original and any updates</w:t>
            </w:r>
          </w:p>
          <w:p w14:paraId="63D89DF5" w14:textId="77777777" w:rsidR="008E4599" w:rsidRDefault="008E4599" w:rsidP="00BA3292">
            <w:pPr>
              <w:pStyle w:val="TableText"/>
              <w:numPr>
                <w:ilvl w:val="0"/>
                <w:numId w:val="68"/>
              </w:numPr>
            </w:pPr>
            <w:r>
              <w:t>Expiration Date, original and any updates</w:t>
            </w:r>
          </w:p>
          <w:p w14:paraId="0830A72F" w14:textId="77777777" w:rsidR="008E4599" w:rsidRDefault="008E4599" w:rsidP="00BA3292">
            <w:pPr>
              <w:pStyle w:val="TableText"/>
              <w:numPr>
                <w:ilvl w:val="0"/>
                <w:numId w:val="68"/>
              </w:numPr>
            </w:pPr>
            <w:r>
              <w:t>Accepting Technologist Name</w:t>
            </w:r>
          </w:p>
          <w:p w14:paraId="4D8A6E1F" w14:textId="77777777" w:rsidR="008E4599" w:rsidRDefault="008E4599" w:rsidP="00BA3292">
            <w:pPr>
              <w:pStyle w:val="TableText"/>
              <w:numPr>
                <w:ilvl w:val="0"/>
                <w:numId w:val="68"/>
              </w:numPr>
            </w:pPr>
            <w:r>
              <w:t>Acceptance Date and Time</w:t>
            </w:r>
          </w:p>
          <w:p w14:paraId="52AF7001" w14:textId="77777777" w:rsidR="008E4599" w:rsidRDefault="008E4599" w:rsidP="00BA3292">
            <w:pPr>
              <w:pStyle w:val="TableText"/>
              <w:numPr>
                <w:ilvl w:val="0"/>
                <w:numId w:val="68"/>
              </w:numPr>
            </w:pPr>
            <w:r>
              <w:t>Cancellation Date, if any</w:t>
            </w:r>
          </w:p>
          <w:p w14:paraId="2F68C0EA" w14:textId="77777777" w:rsidR="008E4599" w:rsidRDefault="008E4599" w:rsidP="00BA3292">
            <w:pPr>
              <w:pStyle w:val="TableText"/>
              <w:numPr>
                <w:ilvl w:val="0"/>
                <w:numId w:val="68"/>
              </w:numPr>
            </w:pPr>
            <w:r>
              <w:t>Cancellation Division</w:t>
            </w:r>
          </w:p>
          <w:p w14:paraId="60BD8FB9" w14:textId="77777777" w:rsidR="008E4599" w:rsidRDefault="008E4599" w:rsidP="00BA3292">
            <w:pPr>
              <w:pStyle w:val="TableText"/>
              <w:numPr>
                <w:ilvl w:val="0"/>
                <w:numId w:val="68"/>
              </w:numPr>
            </w:pPr>
            <w:r>
              <w:t>Cancellation Tech ID, if any</w:t>
            </w:r>
          </w:p>
          <w:p w14:paraId="633F8751" w14:textId="77777777" w:rsidR="008E4599" w:rsidRDefault="008E4599" w:rsidP="00BA3292">
            <w:pPr>
              <w:pStyle w:val="TableText"/>
              <w:numPr>
                <w:ilvl w:val="0"/>
                <w:numId w:val="68"/>
              </w:numPr>
            </w:pPr>
            <w:r>
              <w:lastRenderedPageBreak/>
              <w:t>Cancellation Comment, if any</w:t>
            </w:r>
          </w:p>
          <w:p w14:paraId="173729D6" w14:textId="77777777" w:rsidR="008E4599" w:rsidRDefault="008E4599" w:rsidP="00BA3292">
            <w:pPr>
              <w:pStyle w:val="TableText"/>
              <w:numPr>
                <w:ilvl w:val="0"/>
                <w:numId w:val="68"/>
              </w:numPr>
            </w:pPr>
            <w:r>
              <w:t>Ordering Provider</w:t>
            </w:r>
          </w:p>
          <w:p w14:paraId="3A4CB070" w14:textId="77777777" w:rsidR="008E4599" w:rsidRDefault="008E4599" w:rsidP="00BA3292">
            <w:pPr>
              <w:pStyle w:val="TableText"/>
              <w:numPr>
                <w:ilvl w:val="0"/>
                <w:numId w:val="68"/>
              </w:numPr>
            </w:pPr>
            <w:r>
              <w:t>Ordering Location</w:t>
            </w:r>
          </w:p>
          <w:p w14:paraId="2B198D48" w14:textId="77777777" w:rsidR="008E4599" w:rsidRDefault="008E4599" w:rsidP="00BA3292">
            <w:pPr>
              <w:pStyle w:val="TableText"/>
              <w:numPr>
                <w:ilvl w:val="0"/>
                <w:numId w:val="68"/>
              </w:numPr>
            </w:pPr>
            <w:r>
              <w:t>Treating Specialty (patient at time of order)</w:t>
            </w:r>
          </w:p>
          <w:p w14:paraId="0E4DDFC5" w14:textId="77777777" w:rsidR="008E4599" w:rsidRDefault="008E4599" w:rsidP="00BA3292">
            <w:pPr>
              <w:pStyle w:val="TableText"/>
              <w:numPr>
                <w:ilvl w:val="0"/>
                <w:numId w:val="68"/>
              </w:numPr>
            </w:pPr>
            <w:r>
              <w:rPr>
                <w:snapToGrid w:val="0"/>
              </w:rPr>
              <w:t>Component or Diagnostic Test originally ordered</w:t>
            </w:r>
          </w:p>
          <w:p w14:paraId="5C8E4F86" w14:textId="77777777" w:rsidR="008E4599" w:rsidRDefault="008E4599" w:rsidP="00BA3292">
            <w:pPr>
              <w:pStyle w:val="TableText"/>
              <w:numPr>
                <w:ilvl w:val="0"/>
                <w:numId w:val="68"/>
              </w:numPr>
            </w:pPr>
            <w:r>
              <w:t>All Added Reflex Tests, Date(s), and Requesting Tech Name</w:t>
            </w:r>
          </w:p>
          <w:p w14:paraId="5A8DA20B" w14:textId="77777777" w:rsidR="008E4599" w:rsidRDefault="008E4599" w:rsidP="00BA3292">
            <w:pPr>
              <w:pStyle w:val="TableText"/>
              <w:numPr>
                <w:ilvl w:val="0"/>
                <w:numId w:val="68"/>
              </w:numPr>
            </w:pPr>
            <w:r>
              <w:t>Inappropriate Request Information, if any</w:t>
            </w:r>
          </w:p>
          <w:p w14:paraId="068E5C16" w14:textId="77777777" w:rsidR="008E4599" w:rsidRDefault="008E4599" w:rsidP="00BA3292">
            <w:pPr>
              <w:pStyle w:val="TableText"/>
              <w:numPr>
                <w:ilvl w:val="0"/>
                <w:numId w:val="68"/>
              </w:numPr>
            </w:pPr>
            <w:r>
              <w:t>Workload name and VistA (LMIP) code after completion</w:t>
            </w:r>
          </w:p>
          <w:p w14:paraId="1E6F7489" w14:textId="77777777" w:rsidR="005B6A94" w:rsidRDefault="008E4599" w:rsidP="00BA3292">
            <w:pPr>
              <w:pStyle w:val="TableText"/>
              <w:numPr>
                <w:ilvl w:val="0"/>
                <w:numId w:val="68"/>
              </w:numPr>
            </w:pPr>
            <w:r>
              <w:t>Exception report section message: Exception report details are available as part of the patient’s record. Refer to the specimen section of the patient’s record.</w:t>
            </w:r>
          </w:p>
        </w:tc>
      </w:tr>
      <w:tr w:rsidR="00D45D8C" w14:paraId="5A8E1F50" w14:textId="77777777">
        <w:tc>
          <w:tcPr>
            <w:tcW w:w="3240" w:type="dxa"/>
            <w:tcBorders>
              <w:top w:val="single" w:sz="4" w:space="0" w:color="auto"/>
              <w:left w:val="single" w:sz="4" w:space="0" w:color="auto"/>
              <w:bottom w:val="single" w:sz="4" w:space="0" w:color="auto"/>
              <w:right w:val="single" w:sz="4" w:space="0" w:color="auto"/>
            </w:tcBorders>
          </w:tcPr>
          <w:p w14:paraId="237792DD" w14:textId="438F5AF7" w:rsidR="00D45D8C" w:rsidRDefault="00D45D8C" w:rsidP="00D45D8C">
            <w:pPr>
              <w:pStyle w:val="TableTextNumbers"/>
            </w:pPr>
            <w:r w:rsidRPr="0076371D">
              <w:lastRenderedPageBreak/>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t xml:space="preserve"> </w:t>
            </w:r>
            <w:r w:rsidRPr="009660C3">
              <w:rPr>
                <w:vanish/>
                <w:szCs w:val="18"/>
              </w:rPr>
              <w:fldChar w:fldCharType="begin"/>
            </w:r>
            <w:r w:rsidRPr="009660C3">
              <w:rPr>
                <w:vanish/>
                <w:szCs w:val="18"/>
              </w:rPr>
              <w:instrText xml:space="preserve"> LISTNUM \l 1 \s 0 </w:instrText>
            </w:r>
            <w:r w:rsidRPr="009660C3">
              <w:rPr>
                <w:vanish/>
                <w:szCs w:val="18"/>
              </w:rPr>
              <w:fldChar w:fldCharType="end">
                <w:numberingChange w:id="676"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2BBAD4C1" w14:textId="77777777" w:rsidR="00D45D8C" w:rsidRDefault="00D45D8C" w:rsidP="00D45D8C">
            <w:pPr>
              <w:pStyle w:val="TableTextBullet"/>
            </w:pPr>
            <w:r>
              <w:t>If Print is selected, prints the report on the designated printer.</w:t>
            </w:r>
          </w:p>
          <w:p w14:paraId="3980B92B" w14:textId="047B99F3" w:rsidR="00D45D8C" w:rsidRDefault="00D45D8C" w:rsidP="00D45D8C">
            <w:pPr>
              <w:pStyle w:val="TableTextBullet"/>
            </w:pPr>
            <w:r>
              <w:t>If Export is selected, exports the report to the designated file.</w:t>
            </w:r>
          </w:p>
          <w:p w14:paraId="3D49FD7B" w14:textId="712EB6FD" w:rsidR="00D45D8C" w:rsidRDefault="00D45D8C" w:rsidP="00D45D8C">
            <w:pPr>
              <w:pStyle w:val="TableTextBullet"/>
            </w:pPr>
            <w:r>
              <w:t>If Close is selected, exits the report preview.</w:t>
            </w:r>
          </w:p>
        </w:tc>
      </w:tr>
    </w:tbl>
    <w:p w14:paraId="195432C8" w14:textId="77777777" w:rsidR="00F55832" w:rsidRDefault="00F55832">
      <w:pPr>
        <w:pStyle w:val="Heading2"/>
      </w:pPr>
    </w:p>
    <w:p w14:paraId="4E2CD9A7" w14:textId="77777777" w:rsidR="002A21AE" w:rsidRDefault="00F55832">
      <w:pPr>
        <w:pStyle w:val="Heading2"/>
      </w:pPr>
      <w:r>
        <w:br w:type="page"/>
      </w:r>
      <w:bookmarkStart w:id="677" w:name="_Toc47516790"/>
      <w:r w:rsidR="002A21AE">
        <w:lastRenderedPageBreak/>
        <w:t>Patient History Report</w:t>
      </w:r>
      <w:bookmarkEnd w:id="677"/>
      <w:r w:rsidR="002A21AE">
        <w:fldChar w:fldCharType="begin"/>
      </w:r>
      <w:r w:rsidR="002A21AE">
        <w:instrText xml:space="preserve"> XE </w:instrText>
      </w:r>
      <w:r w:rsidR="00FA7E65">
        <w:instrText>“</w:instrText>
      </w:r>
      <w:r w:rsidR="002A21AE">
        <w:instrText>Patient History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UC_101</w:t>
      </w:r>
    </w:p>
    <w:p w14:paraId="29A6C1F2" w14:textId="77777777" w:rsidR="002A21AE" w:rsidRDefault="002A21AE" w:rsidP="00FA7E65">
      <w:pPr>
        <w:pStyle w:val="BodyText"/>
      </w:pPr>
      <w:r>
        <w:t>The user views and</w:t>
      </w:r>
      <w:r w:rsidR="000054DE">
        <w:t>/or</w:t>
      </w:r>
      <w:r>
        <w:t xml:space="preserve"> prints </w:t>
      </w:r>
      <w:r w:rsidR="000054DE">
        <w:t>the Patient History Report</w:t>
      </w:r>
      <w:r>
        <w:t>.</w:t>
      </w:r>
    </w:p>
    <w:p w14:paraId="7D6B386D" w14:textId="77777777" w:rsidR="002A21AE" w:rsidRDefault="002A21AE">
      <w:pPr>
        <w:pStyle w:val="Heading4"/>
      </w:pPr>
      <w:bookmarkStart w:id="678" w:name="_Toc94349358"/>
      <w:r>
        <w:t>Assumptions</w:t>
      </w:r>
      <w:bookmarkEnd w:id="678"/>
      <w:r>
        <w:rPr>
          <w:b w:val="0"/>
        </w:rPr>
        <w:t xml:space="preserve"> </w:t>
      </w:r>
    </w:p>
    <w:p w14:paraId="1560B3CC" w14:textId="77777777" w:rsidR="002A21AE" w:rsidRDefault="002A21AE">
      <w:pPr>
        <w:pStyle w:val="ListBullet"/>
      </w:pPr>
      <w:r>
        <w:t>VBECS displays the report header even when there is no information in the report.</w:t>
      </w:r>
    </w:p>
    <w:p w14:paraId="39DE58E0" w14:textId="77777777" w:rsidR="002A21AE" w:rsidRDefault="002A21AE">
      <w:pPr>
        <w:pStyle w:val="Heading4"/>
      </w:pPr>
      <w:bookmarkStart w:id="679" w:name="_Toc94349359"/>
      <w:r>
        <w:t>Outcome</w:t>
      </w:r>
      <w:bookmarkEnd w:id="679"/>
      <w:r>
        <w:t xml:space="preserve"> </w:t>
      </w:r>
    </w:p>
    <w:p w14:paraId="220452F5" w14:textId="77777777" w:rsidR="002A21AE" w:rsidRDefault="002A21AE">
      <w:pPr>
        <w:pStyle w:val="ListBullet"/>
      </w:pPr>
      <w:r>
        <w:t>The user views and prints a patient’s VBECS record.</w:t>
      </w:r>
    </w:p>
    <w:p w14:paraId="1AEF42B8" w14:textId="77777777" w:rsidR="002A21AE" w:rsidRDefault="002A21AE">
      <w:pPr>
        <w:pStyle w:val="Heading4"/>
      </w:pPr>
      <w:bookmarkStart w:id="680" w:name="_Toc94349360"/>
      <w:r>
        <w:t>Limitations and Restrictions</w:t>
      </w:r>
      <w:bookmarkEnd w:id="680"/>
      <w:r>
        <w:rPr>
          <w:b w:val="0"/>
        </w:rPr>
        <w:t xml:space="preserve"> </w:t>
      </w:r>
    </w:p>
    <w:p w14:paraId="67DF4BC8" w14:textId="3D9333ED" w:rsidR="002A21AE" w:rsidRPr="00D94DA3" w:rsidRDefault="00831D8F">
      <w:pPr>
        <w:pStyle w:val="ListBullet"/>
      </w:pPr>
      <w:r>
        <w:t>When units are restricted for a patient during Incoming Shipment, VBECS does not display the</w:t>
      </w:r>
      <w:r w:rsidR="006E3236">
        <w:t>m on the Patient History Report</w:t>
      </w:r>
      <w:r w:rsidR="002A21AE">
        <w:t>.</w:t>
      </w:r>
      <w:r>
        <w:t xml:space="preserve"> </w:t>
      </w:r>
      <w:r w:rsidRPr="00831D8F">
        <w:rPr>
          <w:vanish/>
        </w:rPr>
        <w:t>(</w:t>
      </w:r>
      <w:r w:rsidR="001D3AF6">
        <w:rPr>
          <w:vanish/>
        </w:rPr>
        <w:t>Defect 212160)</w:t>
      </w:r>
    </w:p>
    <w:p w14:paraId="7C6B27AC" w14:textId="77777777" w:rsidR="00D94DA3" w:rsidRDefault="00D94DA3" w:rsidP="00D94DA3">
      <w:pPr>
        <w:pStyle w:val="ListBullet"/>
      </w:pPr>
      <w:r>
        <w:t xml:space="preserve">VBECS displays these default values </w:t>
      </w:r>
      <w:r w:rsidR="00FF5006">
        <w:t>for</w:t>
      </w:r>
      <w:r>
        <w:t xml:space="preserve"> transfusion reactions converted from VistA to VBECS. </w:t>
      </w:r>
      <w:r w:rsidR="00FF5006">
        <w:t>They do not</w:t>
      </w:r>
      <w:r>
        <w:t xml:space="preserve"> </w:t>
      </w:r>
      <w:r w:rsidR="00FF5006">
        <w:t>reflect actual interpretations or results:</w:t>
      </w:r>
      <w:r w:rsidR="00FF5006" w:rsidRPr="00FF5006">
        <w:rPr>
          <w:vanish/>
        </w:rPr>
        <w:t xml:space="preserve"> (DR 2,724)</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4"/>
        <w:gridCol w:w="3326"/>
      </w:tblGrid>
      <w:tr w:rsidR="00FF5006" w:rsidRPr="00887834" w14:paraId="19DF46D8" w14:textId="77777777">
        <w:trPr>
          <w:tblHeader/>
        </w:trPr>
        <w:tc>
          <w:tcPr>
            <w:tcW w:w="4428" w:type="dxa"/>
            <w:shd w:val="clear" w:color="auto" w:fill="B3B3B3"/>
          </w:tcPr>
          <w:p w14:paraId="35DDE087" w14:textId="77777777" w:rsidR="00FF5006" w:rsidRPr="00887834" w:rsidRDefault="00FF5006" w:rsidP="00FF5006">
            <w:pPr>
              <w:pStyle w:val="TableText"/>
              <w:rPr>
                <w:b/>
              </w:rPr>
            </w:pPr>
            <w:r w:rsidRPr="00887834">
              <w:rPr>
                <w:b/>
              </w:rPr>
              <w:t>Converted Transfusion Reaction</w:t>
            </w:r>
          </w:p>
        </w:tc>
        <w:tc>
          <w:tcPr>
            <w:tcW w:w="2772" w:type="dxa"/>
            <w:shd w:val="clear" w:color="auto" w:fill="B3B3B3"/>
          </w:tcPr>
          <w:p w14:paraId="1BFB7C61" w14:textId="77777777" w:rsidR="00FF5006" w:rsidRPr="00887834" w:rsidRDefault="00FF5006" w:rsidP="00FF5006">
            <w:pPr>
              <w:pStyle w:val="TableText"/>
              <w:rPr>
                <w:b/>
              </w:rPr>
            </w:pPr>
            <w:r w:rsidRPr="00887834">
              <w:rPr>
                <w:b/>
              </w:rPr>
              <w:t>Default</w:t>
            </w:r>
          </w:p>
        </w:tc>
      </w:tr>
      <w:tr w:rsidR="00FF5006" w14:paraId="78B9CA1A" w14:textId="77777777">
        <w:tc>
          <w:tcPr>
            <w:tcW w:w="4428" w:type="dxa"/>
          </w:tcPr>
          <w:p w14:paraId="25AD8963" w14:textId="77777777" w:rsidR="00FF5006" w:rsidRDefault="00FF5006" w:rsidP="00FF5006">
            <w:pPr>
              <w:pStyle w:val="TableText"/>
            </w:pPr>
            <w:r>
              <w:t xml:space="preserve">Pre-Transfusion Specimen Checks, Hemolysis Checks OK? </w:t>
            </w:r>
          </w:p>
        </w:tc>
        <w:tc>
          <w:tcPr>
            <w:tcW w:w="2772" w:type="dxa"/>
          </w:tcPr>
          <w:p w14:paraId="0D7C684B" w14:textId="77777777" w:rsidR="00FF5006" w:rsidRDefault="00FF5006" w:rsidP="00FF5006">
            <w:pPr>
              <w:pStyle w:val="TableText"/>
            </w:pPr>
            <w:r>
              <w:t>Yes</w:t>
            </w:r>
          </w:p>
        </w:tc>
      </w:tr>
      <w:tr w:rsidR="00FF5006" w14:paraId="33C7CDFF" w14:textId="77777777">
        <w:tc>
          <w:tcPr>
            <w:tcW w:w="4428" w:type="dxa"/>
          </w:tcPr>
          <w:p w14:paraId="0A8B44E1" w14:textId="77777777" w:rsidR="00FF5006" w:rsidRDefault="00FF5006" w:rsidP="00FF5006">
            <w:pPr>
              <w:pStyle w:val="TableText"/>
            </w:pPr>
            <w:r>
              <w:t xml:space="preserve">Post-Transfusion Specimen Checks, Hemolysis Checks OK? </w:t>
            </w:r>
          </w:p>
        </w:tc>
        <w:tc>
          <w:tcPr>
            <w:tcW w:w="2772" w:type="dxa"/>
          </w:tcPr>
          <w:p w14:paraId="1BDE21EA" w14:textId="77777777" w:rsidR="00FF5006" w:rsidRDefault="00FF5006" w:rsidP="00FF5006">
            <w:pPr>
              <w:pStyle w:val="TableText"/>
            </w:pPr>
            <w:r>
              <w:t>Yes</w:t>
            </w:r>
          </w:p>
        </w:tc>
      </w:tr>
      <w:tr w:rsidR="00FF5006" w14:paraId="583934E2" w14:textId="77777777">
        <w:tc>
          <w:tcPr>
            <w:tcW w:w="4428" w:type="dxa"/>
          </w:tcPr>
          <w:p w14:paraId="13368E20" w14:textId="77777777" w:rsidR="00FF5006" w:rsidRDefault="00A1063F" w:rsidP="00FF5006">
            <w:pPr>
              <w:pStyle w:val="TableText"/>
            </w:pPr>
            <w:r>
              <w:t>Symptoms</w:t>
            </w:r>
          </w:p>
        </w:tc>
        <w:tc>
          <w:tcPr>
            <w:tcW w:w="2772" w:type="dxa"/>
          </w:tcPr>
          <w:p w14:paraId="2EF716FA" w14:textId="77777777" w:rsidR="00FF5006" w:rsidRDefault="00FF5006" w:rsidP="00FF5006">
            <w:pPr>
              <w:pStyle w:val="TableText"/>
            </w:pPr>
            <w:r>
              <w:t>No symptoms identified.</w:t>
            </w:r>
          </w:p>
        </w:tc>
      </w:tr>
      <w:tr w:rsidR="00FF5006" w14:paraId="277F0727" w14:textId="77777777">
        <w:tc>
          <w:tcPr>
            <w:tcW w:w="4428" w:type="dxa"/>
          </w:tcPr>
          <w:p w14:paraId="25AEA78E" w14:textId="77777777" w:rsidR="00FF5006" w:rsidRDefault="00FF5006" w:rsidP="00FF5006">
            <w:pPr>
              <w:pStyle w:val="TableText"/>
            </w:pPr>
            <w:r>
              <w:t>Implicated units</w:t>
            </w:r>
          </w:p>
        </w:tc>
        <w:tc>
          <w:tcPr>
            <w:tcW w:w="2772" w:type="dxa"/>
          </w:tcPr>
          <w:p w14:paraId="385ECA2E" w14:textId="77777777" w:rsidR="00FF5006" w:rsidRDefault="00FF5006" w:rsidP="00FF5006">
            <w:pPr>
              <w:pStyle w:val="TableText"/>
            </w:pPr>
            <w:r>
              <w:t>No units implicated in reaction.</w:t>
            </w:r>
          </w:p>
        </w:tc>
      </w:tr>
      <w:tr w:rsidR="00FF5006" w14:paraId="7F3FD19D" w14:textId="77777777">
        <w:tc>
          <w:tcPr>
            <w:tcW w:w="4428" w:type="dxa"/>
          </w:tcPr>
          <w:p w14:paraId="4F421EBC" w14:textId="77777777" w:rsidR="00FF5006" w:rsidRDefault="00FF5006" w:rsidP="00FF5006">
            <w:pPr>
              <w:pStyle w:val="TableText"/>
            </w:pPr>
            <w:r>
              <w:t>Serologic tests</w:t>
            </w:r>
          </w:p>
        </w:tc>
        <w:tc>
          <w:tcPr>
            <w:tcW w:w="2772" w:type="dxa"/>
          </w:tcPr>
          <w:p w14:paraId="36A1FBA6" w14:textId="77777777" w:rsidR="00FF5006" w:rsidRDefault="00FF5006" w:rsidP="00FF5006">
            <w:pPr>
              <w:pStyle w:val="TableText"/>
            </w:pPr>
            <w:r>
              <w:t>No serologic tests performed.</w:t>
            </w:r>
          </w:p>
        </w:tc>
      </w:tr>
    </w:tbl>
    <w:p w14:paraId="4E596AB9" w14:textId="77777777" w:rsidR="002A21AE" w:rsidRDefault="002A21AE">
      <w:pPr>
        <w:pStyle w:val="Heading4"/>
      </w:pPr>
      <w:bookmarkStart w:id="681" w:name="_Toc94349361"/>
      <w:r>
        <w:t>Additional Information</w:t>
      </w:r>
      <w:bookmarkEnd w:id="681"/>
      <w:r>
        <w:t xml:space="preserve"> </w:t>
      </w:r>
    </w:p>
    <w:p w14:paraId="57600A41" w14:textId="77777777" w:rsidR="00831D8F" w:rsidRDefault="00831D8F" w:rsidP="00831D8F">
      <w:pPr>
        <w:pStyle w:val="ListBullet"/>
      </w:pPr>
      <w:r>
        <w:t>The patient record report is divided into sections for report retrieval.</w:t>
      </w:r>
    </w:p>
    <w:p w14:paraId="1A7651A8" w14:textId="77777777" w:rsidR="004F0553" w:rsidRDefault="004F0553">
      <w:pPr>
        <w:pStyle w:val="ListBullet"/>
      </w:pPr>
      <w:r>
        <w:t>This report includes:</w:t>
      </w:r>
    </w:p>
    <w:p w14:paraId="48275F0A" w14:textId="77777777" w:rsidR="004F0553" w:rsidRDefault="004F0553" w:rsidP="004F0553">
      <w:pPr>
        <w:pStyle w:val="ListBullet2"/>
      </w:pPr>
      <w:r>
        <w:t>Post-transfusion details.</w:t>
      </w:r>
    </w:p>
    <w:p w14:paraId="2975E7A3" w14:textId="77777777" w:rsidR="002A21AE" w:rsidRDefault="004F0553" w:rsidP="004F0553">
      <w:pPr>
        <w:pStyle w:val="ListBullet2"/>
      </w:pPr>
      <w:r>
        <w:t>Data</w:t>
      </w:r>
      <w:r w:rsidR="002A21AE">
        <w:t xml:space="preserve"> from all divisions within the database.</w:t>
      </w:r>
    </w:p>
    <w:p w14:paraId="2B442C5C" w14:textId="77777777" w:rsidR="002A21AE" w:rsidRDefault="002A21AE">
      <w:pPr>
        <w:pStyle w:val="Heading4"/>
        <w:rPr>
          <w:b w:val="0"/>
        </w:rPr>
      </w:pPr>
      <w:bookmarkStart w:id="682" w:name="_Toc94349362"/>
      <w:r>
        <w:t>User Roles with Access to This Option</w:t>
      </w:r>
      <w:bookmarkEnd w:id="682"/>
      <w:r>
        <w:rPr>
          <w:b w:val="0"/>
        </w:rPr>
        <w:t xml:space="preserve"> </w:t>
      </w:r>
    </w:p>
    <w:p w14:paraId="71669E95" w14:textId="77777777" w:rsidR="002A21AE" w:rsidRDefault="00184EA4">
      <w:pPr>
        <w:pStyle w:val="Roles"/>
      </w:pPr>
      <w:r>
        <w:t>All users</w:t>
      </w:r>
    </w:p>
    <w:p w14:paraId="08DEC02E" w14:textId="77777777" w:rsidR="002A21AE" w:rsidRDefault="002A21AE">
      <w:pPr>
        <w:pStyle w:val="Heading4"/>
      </w:pPr>
      <w:bookmarkStart w:id="683" w:name="_Toc94349363"/>
      <w:r>
        <w:t>Patient History Report</w:t>
      </w:r>
      <w:bookmarkEnd w:id="683"/>
    </w:p>
    <w:p w14:paraId="647F5689" w14:textId="77777777" w:rsidR="002A21AE" w:rsidRDefault="002A21AE" w:rsidP="00FA7E65">
      <w:pPr>
        <w:pStyle w:val="BodyText"/>
      </w:pPr>
      <w:r>
        <w:t>The user views and/or prints the patient’s VBECS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0909013" w14:textId="77777777">
        <w:trPr>
          <w:tblHeader/>
        </w:trPr>
        <w:tc>
          <w:tcPr>
            <w:tcW w:w="3240" w:type="dxa"/>
            <w:shd w:val="pct30" w:color="auto" w:fill="FFFFFF"/>
            <w:vAlign w:val="bottom"/>
          </w:tcPr>
          <w:p w14:paraId="0427BDF5" w14:textId="77777777" w:rsidR="002A21AE" w:rsidRDefault="002A21AE">
            <w:pPr>
              <w:pStyle w:val="TableText"/>
              <w:rPr>
                <w:b/>
              </w:rPr>
            </w:pPr>
            <w:r>
              <w:rPr>
                <w:b/>
              </w:rPr>
              <w:t>User Action</w:t>
            </w:r>
          </w:p>
        </w:tc>
        <w:tc>
          <w:tcPr>
            <w:tcW w:w="6120" w:type="dxa"/>
            <w:shd w:val="pct30" w:color="auto" w:fill="FFFFFF"/>
            <w:vAlign w:val="bottom"/>
          </w:tcPr>
          <w:p w14:paraId="03AF20F9" w14:textId="77777777" w:rsidR="002A21AE" w:rsidRDefault="002A21AE">
            <w:pPr>
              <w:pStyle w:val="TableText"/>
              <w:rPr>
                <w:b/>
              </w:rPr>
            </w:pPr>
            <w:r>
              <w:rPr>
                <w:b/>
              </w:rPr>
              <w:t>VBECS</w:t>
            </w:r>
          </w:p>
        </w:tc>
      </w:tr>
      <w:tr w:rsidR="002A21AE" w14:paraId="6FC27939" w14:textId="77777777">
        <w:tc>
          <w:tcPr>
            <w:tcW w:w="3240" w:type="dxa"/>
          </w:tcPr>
          <w:p w14:paraId="74F41BC4" w14:textId="77777777" w:rsidR="002A21AE" w:rsidRDefault="002A21AE">
            <w:pPr>
              <w:pStyle w:val="TableTextNumbers"/>
            </w:pPr>
            <w:r>
              <w:t xml:space="preserve">Select </w:t>
            </w:r>
            <w:r>
              <w:rPr>
                <w:b/>
              </w:rPr>
              <w:t>Patients</w:t>
            </w:r>
            <w:r>
              <w:t xml:space="preserve"> or </w:t>
            </w:r>
            <w:r>
              <w:rPr>
                <w:b/>
              </w:rPr>
              <w:t>Reports</w:t>
            </w:r>
            <w:r>
              <w:t xml:space="preserve"> from the main menu.</w:t>
            </w:r>
          </w:p>
          <w:p w14:paraId="53DA1993" w14:textId="77777777" w:rsidR="002A21AE" w:rsidRDefault="002A21AE">
            <w:pPr>
              <w:pStyle w:val="TableTextNumbersContinued"/>
            </w:pPr>
          </w:p>
          <w:p w14:paraId="7114017A" w14:textId="77777777" w:rsidR="002A21AE" w:rsidRDefault="002A21AE">
            <w:pPr>
              <w:pStyle w:val="TableTextNumbersContinued"/>
            </w:pPr>
            <w:r>
              <w:t xml:space="preserve">Select </w:t>
            </w:r>
            <w:r>
              <w:rPr>
                <w:b/>
              </w:rPr>
              <w:t>Patient History Report</w:t>
            </w:r>
            <w:r>
              <w:t>.</w:t>
            </w:r>
          </w:p>
        </w:tc>
        <w:tc>
          <w:tcPr>
            <w:tcW w:w="6120" w:type="dxa"/>
          </w:tcPr>
          <w:p w14:paraId="2789A6CC" w14:textId="77777777" w:rsidR="002A21AE" w:rsidRDefault="002A21AE">
            <w:pPr>
              <w:pStyle w:val="TableTextBullet"/>
            </w:pPr>
            <w:r>
              <w:t>Displays options for processing patient-related functions, or for generating, viewing, and printing reports.</w:t>
            </w:r>
          </w:p>
          <w:p w14:paraId="66D0B527" w14:textId="77777777" w:rsidR="002A21AE" w:rsidRDefault="002A21AE">
            <w:pPr>
              <w:pStyle w:val="TableTextBullet"/>
            </w:pPr>
            <w:r>
              <w:t>Displays report sections and compilation criteria.</w:t>
            </w:r>
          </w:p>
        </w:tc>
      </w:tr>
      <w:tr w:rsidR="002A21AE" w14:paraId="115C29AE" w14:textId="77777777" w:rsidTr="00305B16">
        <w:trPr>
          <w:cantSplit/>
        </w:trPr>
        <w:tc>
          <w:tcPr>
            <w:tcW w:w="3240" w:type="dxa"/>
          </w:tcPr>
          <w:p w14:paraId="12B17AAB" w14:textId="77777777" w:rsidR="002A21AE" w:rsidRDefault="002A21AE">
            <w:pPr>
              <w:pStyle w:val="TableTextNumbers"/>
            </w:pPr>
            <w:r>
              <w:lastRenderedPageBreak/>
              <w:t xml:space="preserve">Enter the patient name </w:t>
            </w:r>
            <w:r w:rsidRPr="00945BF5">
              <w:t>and/or ID</w:t>
            </w:r>
            <w:r>
              <w:t xml:space="preserve">, or click the </w:t>
            </w:r>
            <w:r w:rsidR="00A6373D" w:rsidRPr="00945BF5">
              <w:rPr>
                <w:b/>
              </w:rPr>
              <w:t>find</w:t>
            </w:r>
            <w:r>
              <w:rPr>
                <w:b/>
              </w:rPr>
              <w:t xml:space="preserve"> </w:t>
            </w:r>
            <w:r w:rsidRPr="00D1100E">
              <w:t>button</w:t>
            </w:r>
            <w:r>
              <w:t xml:space="preserve"> to search for patient data.</w:t>
            </w:r>
          </w:p>
          <w:p w14:paraId="3DBBA872" w14:textId="77777777" w:rsidR="002A21AE" w:rsidRDefault="002A21AE">
            <w:pPr>
              <w:pStyle w:val="TableTextNumbersContinued"/>
            </w:pPr>
          </w:p>
          <w:p w14:paraId="6339EB56" w14:textId="77777777" w:rsidR="002A21AE" w:rsidRDefault="002A21AE">
            <w:pPr>
              <w:pStyle w:val="TableTextNumbersContinued"/>
            </w:pPr>
            <w:r>
              <w:t xml:space="preserve">Click </w:t>
            </w:r>
            <w:r>
              <w:rPr>
                <w:b/>
              </w:rPr>
              <w:t>OK</w:t>
            </w:r>
            <w:r>
              <w:t>.</w:t>
            </w:r>
          </w:p>
        </w:tc>
        <w:tc>
          <w:tcPr>
            <w:tcW w:w="6120" w:type="dxa"/>
          </w:tcPr>
          <w:p w14:paraId="40063ED9" w14:textId="77777777" w:rsidR="002A21AE" w:rsidRDefault="002A21AE">
            <w:pPr>
              <w:pStyle w:val="TableTextBullet"/>
              <w:tabs>
                <w:tab w:val="num" w:pos="360"/>
              </w:tabs>
            </w:pPr>
            <w:r>
              <w:t>Allows the entry or selection of a patient.</w:t>
            </w:r>
          </w:p>
          <w:p w14:paraId="4AA5E74B" w14:textId="77777777" w:rsidR="002A21AE" w:rsidRDefault="002A21AE">
            <w:pPr>
              <w:pStyle w:val="TableTextBullet"/>
              <w:tabs>
                <w:tab w:val="num" w:pos="360"/>
              </w:tabs>
            </w:pPr>
            <w:r>
              <w:t>Displays the patient report section types for selection:</w:t>
            </w:r>
          </w:p>
          <w:p w14:paraId="59A707A1" w14:textId="77777777" w:rsidR="002A21AE" w:rsidRDefault="002A21AE">
            <w:pPr>
              <w:pStyle w:val="TableTextBullet1"/>
            </w:pPr>
            <w:r>
              <w:t>Patient Demographic History</w:t>
            </w:r>
          </w:p>
          <w:p w14:paraId="77DC8E17" w14:textId="77777777" w:rsidR="002A21AE" w:rsidRDefault="002A21AE">
            <w:pPr>
              <w:pStyle w:val="TableTextBullet1"/>
            </w:pPr>
            <w:r>
              <w:t>Transfusion Requirements</w:t>
            </w:r>
          </w:p>
          <w:p w14:paraId="63440A0E" w14:textId="77777777" w:rsidR="002A21AE" w:rsidRDefault="002A21AE">
            <w:pPr>
              <w:pStyle w:val="TableTextBullet1"/>
            </w:pPr>
            <w:r>
              <w:t>Testing Details</w:t>
            </w:r>
          </w:p>
          <w:p w14:paraId="4442A51C" w14:textId="77777777" w:rsidR="002A21AE" w:rsidRDefault="002A21AE">
            <w:pPr>
              <w:pStyle w:val="TableTextBullet1"/>
            </w:pPr>
            <w:r>
              <w:t>Unit Assignment History</w:t>
            </w:r>
          </w:p>
          <w:p w14:paraId="4BC4FDD6" w14:textId="77777777" w:rsidR="002A21AE" w:rsidRDefault="002A21AE">
            <w:pPr>
              <w:pStyle w:val="TableTextBullet1"/>
            </w:pPr>
            <w:r>
              <w:t>Transfusion History</w:t>
            </w:r>
          </w:p>
          <w:p w14:paraId="5F4ACC56" w14:textId="77777777" w:rsidR="002A21AE" w:rsidRDefault="002A21AE">
            <w:pPr>
              <w:pStyle w:val="TableTextBullet1"/>
            </w:pPr>
            <w:r>
              <w:t>Specimen Details</w:t>
            </w:r>
          </w:p>
          <w:p w14:paraId="538DF807" w14:textId="77777777" w:rsidR="002A21AE" w:rsidRDefault="002A21AE">
            <w:pPr>
              <w:pStyle w:val="TableTextBullet1"/>
            </w:pPr>
            <w:r>
              <w:t>Special Instructions</w:t>
            </w:r>
          </w:p>
          <w:p w14:paraId="0870F6E5" w14:textId="77777777" w:rsidR="002A21AE" w:rsidRDefault="002A21AE">
            <w:pPr>
              <w:pStyle w:val="TableTextBullet1"/>
            </w:pPr>
            <w:r>
              <w:t>Transfusion Reaction Details</w:t>
            </w:r>
          </w:p>
          <w:p w14:paraId="70BC5434" w14:textId="77777777" w:rsidR="002A21AE" w:rsidRDefault="002A21AE">
            <w:pPr>
              <w:pStyle w:val="TableTextBullet1"/>
            </w:pPr>
            <w:r>
              <w:t>Exception Report Entries</w:t>
            </w:r>
          </w:p>
          <w:p w14:paraId="03F744C2" w14:textId="77777777" w:rsidR="002A21AE" w:rsidRDefault="002A21AE">
            <w:pPr>
              <w:pStyle w:val="TableTextBullet1"/>
            </w:pPr>
            <w:r>
              <w:t>Assignments/Releases</w:t>
            </w:r>
          </w:p>
          <w:p w14:paraId="40156F50" w14:textId="77777777" w:rsidR="002A21AE" w:rsidRDefault="002A21AE">
            <w:pPr>
              <w:pStyle w:val="TableTextBullet1"/>
            </w:pPr>
            <w:r>
              <w:t>Audit Trail Report</w:t>
            </w:r>
          </w:p>
        </w:tc>
      </w:tr>
      <w:tr w:rsidR="002A21AE" w14:paraId="01369482" w14:textId="77777777">
        <w:tc>
          <w:tcPr>
            <w:tcW w:w="3240" w:type="dxa"/>
          </w:tcPr>
          <w:p w14:paraId="17B7B4FB" w14:textId="77777777" w:rsidR="002A21AE" w:rsidRDefault="002A21AE">
            <w:pPr>
              <w:pStyle w:val="TableTextNumbers"/>
            </w:pPr>
            <w:r>
              <w:t>Select one or more sections to include in the report.</w:t>
            </w:r>
          </w:p>
        </w:tc>
        <w:tc>
          <w:tcPr>
            <w:tcW w:w="6120" w:type="dxa"/>
          </w:tcPr>
          <w:p w14:paraId="7DA6C092" w14:textId="77777777" w:rsidR="002A21AE" w:rsidRDefault="002A21AE">
            <w:pPr>
              <w:pStyle w:val="TableText"/>
            </w:pPr>
          </w:p>
        </w:tc>
      </w:tr>
      <w:tr w:rsidR="002A21AE" w14:paraId="64011988" w14:textId="77777777">
        <w:tc>
          <w:tcPr>
            <w:tcW w:w="3240" w:type="dxa"/>
          </w:tcPr>
          <w:p w14:paraId="25EBEF42" w14:textId="77777777" w:rsidR="002A21AE" w:rsidRDefault="002A21AE">
            <w:pPr>
              <w:pStyle w:val="TableTextNumbers"/>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7467B03" w14:textId="77777777" w:rsidR="002A21AE" w:rsidRDefault="002A21AE">
            <w:pPr>
              <w:pStyle w:val="TableTextBullet"/>
              <w:tabs>
                <w:tab w:val="num" w:pos="360"/>
              </w:tabs>
            </w:pPr>
            <w:r>
              <w:t>Compiles and displays the report.</w:t>
            </w:r>
          </w:p>
          <w:p w14:paraId="15EA04BC" w14:textId="77777777" w:rsidR="002A21AE" w:rsidRDefault="002A21AE">
            <w:pPr>
              <w:pStyle w:val="TableTextBullet"/>
              <w:tabs>
                <w:tab w:val="num" w:pos="360"/>
              </w:tabs>
            </w:pPr>
            <w:r>
              <w:t xml:space="preserve">Allows the user to print the report. </w:t>
            </w:r>
          </w:p>
          <w:p w14:paraId="4DC46BF9" w14:textId="77777777" w:rsidR="002A21AE" w:rsidRDefault="002A21AE">
            <w:pPr>
              <w:pStyle w:val="TableText"/>
            </w:pPr>
          </w:p>
          <w:p w14:paraId="036F1AD5" w14:textId="1D30F1BD" w:rsidR="002A21AE" w:rsidRDefault="002A21AE">
            <w:pPr>
              <w:pStyle w:val="TableText"/>
              <w:rPr>
                <w:b/>
                <w:bCs/>
              </w:rPr>
            </w:pPr>
            <w:r>
              <w:rPr>
                <w:b/>
                <w:bCs/>
              </w:rPr>
              <w:t>NOTES</w:t>
            </w:r>
          </w:p>
          <w:p w14:paraId="58651C05" w14:textId="77777777" w:rsidR="002A21AE" w:rsidRDefault="002A21AE">
            <w:pPr>
              <w:pStyle w:val="NotesText"/>
            </w:pPr>
          </w:p>
          <w:p w14:paraId="39F0BFF6" w14:textId="77777777" w:rsidR="005B6A94" w:rsidRDefault="002A21AE" w:rsidP="00E90A01">
            <w:pPr>
              <w:pStyle w:val="NotesText"/>
            </w:pPr>
            <w:r>
              <w:rPr>
                <w:rFonts w:cs="Arial"/>
                <w:vanish/>
              </w:rPr>
              <w:t xml:space="preserve">BR_101.04 </w:t>
            </w:r>
            <w:r>
              <w:t xml:space="preserve">When the patient has an ABO/Rh as the result of a conversion, VBECS displays a message in the Transfusion History section instructing the user to check the legacy records for </w:t>
            </w:r>
            <w:r w:rsidR="00E90A01">
              <w:t>additional</w:t>
            </w:r>
            <w:r>
              <w:t xml:space="preserve"> information.</w:t>
            </w:r>
          </w:p>
        </w:tc>
      </w:tr>
      <w:tr w:rsidR="002A21AE" w14:paraId="1EAC54D0" w14:textId="77777777">
        <w:tc>
          <w:tcPr>
            <w:tcW w:w="3240" w:type="dxa"/>
          </w:tcPr>
          <w:p w14:paraId="193D5618" w14:textId="3BBBBFC1"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t xml:space="preserve"> </w:t>
            </w:r>
            <w:r w:rsidR="002A21AE" w:rsidRPr="009660C3">
              <w:rPr>
                <w:vanish/>
                <w:szCs w:val="18"/>
              </w:rPr>
              <w:fldChar w:fldCharType="begin"/>
            </w:r>
            <w:r w:rsidR="002A21AE" w:rsidRPr="009660C3">
              <w:rPr>
                <w:vanish/>
                <w:szCs w:val="18"/>
              </w:rPr>
              <w:instrText xml:space="preserve"> LISTNUM \l 1 \s 0 </w:instrText>
            </w:r>
            <w:r w:rsidR="002A21AE" w:rsidRPr="009660C3">
              <w:rPr>
                <w:vanish/>
                <w:szCs w:val="18"/>
              </w:rPr>
              <w:fldChar w:fldCharType="end">
                <w:numberingChange w:id="684" w:author="Blalock, David (Leidos)" w:date="2020-06-15T14:09:00Z" w:original="0."/>
              </w:fldChar>
            </w:r>
          </w:p>
        </w:tc>
        <w:tc>
          <w:tcPr>
            <w:tcW w:w="6120" w:type="dxa"/>
          </w:tcPr>
          <w:p w14:paraId="4E81DE2D" w14:textId="77777777" w:rsidR="00D45D8C" w:rsidRDefault="00D45D8C" w:rsidP="00D45D8C">
            <w:pPr>
              <w:pStyle w:val="TableTextBullet"/>
            </w:pPr>
            <w:r>
              <w:t>If Print is selected, prints the report on the designated printer.</w:t>
            </w:r>
          </w:p>
          <w:p w14:paraId="6735357E" w14:textId="77777777" w:rsidR="00D45D8C" w:rsidRDefault="00D45D8C" w:rsidP="00D45D8C">
            <w:pPr>
              <w:pStyle w:val="TableTextBullet"/>
            </w:pPr>
            <w:r>
              <w:t>If Export is selected, exports the report to the designated file.</w:t>
            </w:r>
          </w:p>
          <w:p w14:paraId="611C8878" w14:textId="7F52181C" w:rsidR="002A21AE" w:rsidRDefault="00D45D8C" w:rsidP="00D45D8C">
            <w:pPr>
              <w:pStyle w:val="TableTextBullet"/>
            </w:pPr>
            <w:r>
              <w:t>If Close is selected, exits the report preview.</w:t>
            </w:r>
          </w:p>
        </w:tc>
      </w:tr>
    </w:tbl>
    <w:p w14:paraId="543E74A5" w14:textId="77777777" w:rsidR="00F55832" w:rsidRDefault="00F55832">
      <w:pPr>
        <w:pStyle w:val="Heading2"/>
      </w:pPr>
    </w:p>
    <w:p w14:paraId="6A22DB01" w14:textId="4DE43D83" w:rsidR="002A21AE" w:rsidRDefault="00F55832" w:rsidP="00246E50">
      <w:pPr>
        <w:pStyle w:val="Heading2"/>
      </w:pPr>
      <w:r>
        <w:br w:type="page"/>
      </w:r>
      <w:bookmarkStart w:id="685" w:name="_Toc47516791"/>
      <w:r w:rsidR="000E7760">
        <w:lastRenderedPageBreak/>
        <w:t>Patient Testing Worklist and Testing Worklist Reports</w:t>
      </w:r>
      <w:bookmarkEnd w:id="685"/>
      <w:r w:rsidR="002A21AE">
        <w:fldChar w:fldCharType="begin"/>
      </w:r>
      <w:r w:rsidR="002A21AE">
        <w:instrText xml:space="preserve"> XE </w:instrText>
      </w:r>
      <w:r w:rsidR="00FA7E65">
        <w:instrText>“</w:instrText>
      </w:r>
      <w:r w:rsidR="000E7760">
        <w:instrText>Patient Testing Worklist and Testing Worklist Reports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UC_48</w:t>
      </w:r>
    </w:p>
    <w:p w14:paraId="5638AB99" w14:textId="77777777" w:rsidR="002A21AE" w:rsidRDefault="002A21AE" w:rsidP="00FA7E65">
      <w:pPr>
        <w:pStyle w:val="BodyText"/>
      </w:pPr>
      <w:r>
        <w:t>The user views and</w:t>
      </w:r>
      <w:r w:rsidR="003A39EF">
        <w:t>/or</w:t>
      </w:r>
      <w:r>
        <w:t xml:space="preserve"> prints the</w:t>
      </w:r>
      <w:r w:rsidR="003D604B">
        <w:t xml:space="preserve"> Patient Testing Worklist and Testing Worklist Reports.</w:t>
      </w:r>
    </w:p>
    <w:p w14:paraId="571BFE8C" w14:textId="77777777" w:rsidR="002A21AE" w:rsidRDefault="002A21AE">
      <w:pPr>
        <w:pStyle w:val="Heading4"/>
      </w:pPr>
      <w:r>
        <w:t>Assumptions</w:t>
      </w:r>
      <w:r>
        <w:rPr>
          <w:b w:val="0"/>
        </w:rPr>
        <w:t xml:space="preserve"> </w:t>
      </w:r>
    </w:p>
    <w:p w14:paraId="68012543" w14:textId="77777777" w:rsidR="002A21AE" w:rsidRDefault="002A21AE">
      <w:pPr>
        <w:pStyle w:val="ListBullet"/>
      </w:pPr>
      <w:r>
        <w:t>The user must be logged into the division in which the report is to be generated.</w:t>
      </w:r>
    </w:p>
    <w:p w14:paraId="0EFF6478" w14:textId="77777777" w:rsidR="002A21AE" w:rsidRDefault="002A21AE">
      <w:pPr>
        <w:pStyle w:val="Heading4"/>
      </w:pPr>
      <w:r>
        <w:t xml:space="preserve">Outcome </w:t>
      </w:r>
    </w:p>
    <w:p w14:paraId="76BDFCFF" w14:textId="77777777" w:rsidR="002A21AE" w:rsidRDefault="002728D7">
      <w:pPr>
        <w:pStyle w:val="ListBullet"/>
      </w:pPr>
      <w:r>
        <w:t>The user views and/or prints</w:t>
      </w:r>
      <w:r w:rsidR="002A21AE">
        <w:t xml:space="preserve"> a report, or schedules a report for future compilation and printing.</w:t>
      </w:r>
    </w:p>
    <w:p w14:paraId="719FC5AF" w14:textId="77777777" w:rsidR="002A21AE" w:rsidRDefault="002A21AE">
      <w:pPr>
        <w:pStyle w:val="Heading4"/>
      </w:pPr>
      <w:r>
        <w:t>Limitations and Restrictions</w:t>
      </w:r>
      <w:r>
        <w:rPr>
          <w:b w:val="0"/>
        </w:rPr>
        <w:t xml:space="preserve"> </w:t>
      </w:r>
    </w:p>
    <w:p w14:paraId="196FBEF1" w14:textId="77777777" w:rsidR="002A21AE" w:rsidRDefault="000A5167">
      <w:pPr>
        <w:pStyle w:val="ListBullet"/>
      </w:pPr>
      <w:r>
        <w:t>Reports do</w:t>
      </w:r>
      <w:r w:rsidR="002A21AE">
        <w:t xml:space="preserve"> not include Transfusion Reaction Workup (TRW) test results.</w:t>
      </w:r>
    </w:p>
    <w:p w14:paraId="6EFCDA78" w14:textId="739386E6" w:rsidR="002A21AE" w:rsidRDefault="00170EEF">
      <w:pPr>
        <w:pStyle w:val="ListBullet"/>
      </w:pPr>
      <w:r>
        <w:t>VBECS does not accommodate online review (verification, signature) of reports.</w:t>
      </w:r>
    </w:p>
    <w:p w14:paraId="7DAB1DE3" w14:textId="351AF668" w:rsidR="00E47EDD" w:rsidRDefault="00E47EDD">
      <w:pPr>
        <w:pStyle w:val="ListBullet"/>
      </w:pPr>
      <w:r>
        <w:t xml:space="preserve">The Rack QC Testing Worklist Report section of the Testing Worklist Report does not contain a Processed By column. Maintain the original testing records for the QC that was performed offline with the testing tech information.  Do not change the testing tech name when entering results in VBECS so that the logged in tech that enters the results is included on the Testing Worklist report. </w:t>
      </w:r>
      <w:r w:rsidRPr="00E47EDD">
        <w:rPr>
          <w:vanish/>
        </w:rPr>
        <w:t>Defect 214073</w:t>
      </w:r>
    </w:p>
    <w:p w14:paraId="75563343" w14:textId="77777777" w:rsidR="002A21AE" w:rsidRDefault="002A21AE">
      <w:pPr>
        <w:pStyle w:val="Heading4"/>
      </w:pPr>
      <w:r>
        <w:t xml:space="preserve">Additional Information </w:t>
      </w:r>
    </w:p>
    <w:p w14:paraId="06F99358" w14:textId="77777777" w:rsidR="002A21AE" w:rsidRDefault="002A21AE">
      <w:pPr>
        <w:pStyle w:val="ListBullet"/>
      </w:pPr>
      <w:r w:rsidRPr="00D231F7">
        <w:rPr>
          <w:vanish/>
        </w:rPr>
        <w:t xml:space="preserve">BR_48.03 </w:t>
      </w:r>
      <w:r w:rsidR="00D231F7" w:rsidRPr="00D231F7">
        <w:t xml:space="preserve">In a </w:t>
      </w:r>
      <w:r w:rsidRPr="00D231F7">
        <w:t>t</w:t>
      </w:r>
      <w:r w:rsidR="00D231F7" w:rsidRPr="00D231F7">
        <w:t>ransfusi</w:t>
      </w:r>
      <w:r w:rsidR="00D231F7">
        <w:t xml:space="preserve">on-only facility, </w:t>
      </w:r>
      <w:r>
        <w:t>VBECS does not populate the test cell or phase results sections.</w:t>
      </w:r>
    </w:p>
    <w:p w14:paraId="2F965024" w14:textId="77777777" w:rsidR="002A21AE" w:rsidRDefault="002A21AE">
      <w:pPr>
        <w:pStyle w:val="ListBullet"/>
      </w:pPr>
      <w:r>
        <w:t>VBECS collates complete, incomplete, and invalidated unit test results entered in the user’s division when the date tested falls within the supplied date range for the unit testing, reagent QC, and patient testing sections of the report.</w:t>
      </w:r>
    </w:p>
    <w:p w14:paraId="348D3F42" w14:textId="77777777" w:rsidR="002A21AE" w:rsidRDefault="002A21AE">
      <w:pPr>
        <w:pStyle w:val="ListBullet"/>
      </w:pPr>
      <w:r w:rsidRPr="007D540F">
        <w:rPr>
          <w:vanish/>
        </w:rPr>
        <w:t xml:space="preserve">BR_48.10 </w:t>
      </w:r>
      <w:r>
        <w:t xml:space="preserve">VBECS includes test results on all units, regardless of status, for the unit testing section. CMV and Sickle Cell test results are not included in the report. </w:t>
      </w:r>
    </w:p>
    <w:p w14:paraId="29C09A13" w14:textId="77777777" w:rsidR="002A21AE" w:rsidRDefault="002A21AE">
      <w:pPr>
        <w:pStyle w:val="ListBullet"/>
      </w:pPr>
      <w:r w:rsidRPr="007D540F">
        <w:rPr>
          <w:vanish/>
        </w:rPr>
        <w:t xml:space="preserve">BR_48.11 </w:t>
      </w:r>
      <w:r>
        <w:t>VBECS includes the results of the daily rack QC and patient and unit control testing for the reagent QC section.</w:t>
      </w:r>
    </w:p>
    <w:p w14:paraId="5CE38F3C" w14:textId="77777777" w:rsidR="002A21AE" w:rsidRDefault="002A21AE">
      <w:pPr>
        <w:pStyle w:val="ListBullet"/>
      </w:pPr>
      <w:r w:rsidRPr="007D540F">
        <w:rPr>
          <w:vanish/>
        </w:rPr>
        <w:t xml:space="preserve">BR_48.06 </w:t>
      </w:r>
      <w:r>
        <w:t xml:space="preserve">For the patient testing section: </w:t>
      </w:r>
    </w:p>
    <w:p w14:paraId="20FAE3D0" w14:textId="77777777" w:rsidR="002A21AE" w:rsidRDefault="002A21AE" w:rsidP="00927C99">
      <w:pPr>
        <w:pStyle w:val="ListBullet2"/>
        <w:ind w:left="900" w:hanging="252"/>
      </w:pPr>
      <w:r>
        <w:t xml:space="preserve">VBECS collates as above for the selected patient specimens </w:t>
      </w:r>
      <w:r w:rsidR="00665443">
        <w:t>within a</w:t>
      </w:r>
      <w:r w:rsidR="00CC0418">
        <w:t xml:space="preserve"> specified </w:t>
      </w:r>
      <w:r w:rsidR="00665443">
        <w:t>date range</w:t>
      </w:r>
      <w:r>
        <w:t>.</w:t>
      </w:r>
    </w:p>
    <w:p w14:paraId="5402756F" w14:textId="77777777" w:rsidR="002A21AE" w:rsidRDefault="002A21AE" w:rsidP="00927C99">
      <w:pPr>
        <w:pStyle w:val="ListBullet2"/>
        <w:ind w:left="900" w:hanging="252"/>
      </w:pPr>
      <w:r>
        <w:t xml:space="preserve">The report does not include TRW test results. </w:t>
      </w:r>
    </w:p>
    <w:p w14:paraId="7D5FF91D" w14:textId="77777777" w:rsidR="004C1952" w:rsidRDefault="002A21AE" w:rsidP="00927C99">
      <w:pPr>
        <w:pStyle w:val="ListBullet2"/>
        <w:ind w:left="900" w:hanging="252"/>
      </w:pPr>
      <w:r w:rsidRPr="0045199E">
        <w:rPr>
          <w:vanish/>
        </w:rPr>
        <w:t xml:space="preserve">BR_48.08 </w:t>
      </w:r>
      <w:r>
        <w:t>VBECS includes XMs only in the patient testing section.</w:t>
      </w:r>
    </w:p>
    <w:p w14:paraId="65E4CCE9" w14:textId="3ED19C8F" w:rsidR="002A21AE" w:rsidRDefault="002A21AE" w:rsidP="004C1952">
      <w:pPr>
        <w:pStyle w:val="ListBullet2"/>
        <w:ind w:left="900" w:hanging="252"/>
      </w:pPr>
      <w:r w:rsidRPr="007D540F">
        <w:rPr>
          <w:vanish/>
          <w:spacing w:val="-5"/>
        </w:rPr>
        <w:t xml:space="preserve">BR_48.12 </w:t>
      </w:r>
      <w:r>
        <w:t>VBECS displays individual tests within the TAS.</w:t>
      </w:r>
    </w:p>
    <w:p w14:paraId="365B1279" w14:textId="77777777" w:rsidR="0088290C" w:rsidRPr="00622C54" w:rsidRDefault="0088290C" w:rsidP="0088290C">
      <w:pPr>
        <w:pStyle w:val="ListBullet"/>
      </w:pPr>
      <w:r w:rsidRPr="00622C54">
        <w:t xml:space="preserve">If a rack has </w:t>
      </w:r>
      <w:r w:rsidR="006D0362">
        <w:t>only</w:t>
      </w:r>
      <w:r w:rsidR="008F5298">
        <w:t xml:space="preserve"> </w:t>
      </w:r>
      <w:r w:rsidRPr="00622C54">
        <w:t xml:space="preserve">been tested offline </w:t>
      </w:r>
      <w:r w:rsidR="006D0362">
        <w:t>(</w:t>
      </w:r>
      <w:r w:rsidR="008F5298">
        <w:t>never tested within VBECS</w:t>
      </w:r>
      <w:r w:rsidR="006D0362">
        <w:t>)</w:t>
      </w:r>
      <w:r w:rsidR="008F5298">
        <w:t xml:space="preserve"> </w:t>
      </w:r>
      <w:r w:rsidRPr="00622C54">
        <w:t>and the QC has expired</w:t>
      </w:r>
      <w:r w:rsidR="006F2884" w:rsidRPr="00622C54">
        <w:t>, the message “Rack was never QC’d and cannot be used.”</w:t>
      </w:r>
      <w:r w:rsidR="00CF410C" w:rsidRPr="00622C54">
        <w:t xml:space="preserve"> is displayed</w:t>
      </w:r>
      <w:r w:rsidR="006F2884" w:rsidRPr="00622C54">
        <w:t>.</w:t>
      </w:r>
      <w:r w:rsidR="001545B8" w:rsidRPr="00622C54">
        <w:t xml:space="preserve"> </w:t>
      </w:r>
      <w:r w:rsidR="001545B8" w:rsidRPr="00622C54">
        <w:rPr>
          <w:vanish/>
        </w:rPr>
        <w:t>DR 4317</w:t>
      </w:r>
    </w:p>
    <w:p w14:paraId="5EE0760F" w14:textId="1F8F2AE4" w:rsidR="00F62041" w:rsidRDefault="00F62041" w:rsidP="0088290C">
      <w:pPr>
        <w:pStyle w:val="ListBullet"/>
      </w:pPr>
      <w:r w:rsidRPr="00622C54">
        <w:t xml:space="preserve">The Testing Worklist Report does not display any information for Rack QC when QC Documentation Offline has been checked for that date. </w:t>
      </w:r>
      <w:r w:rsidRPr="00622C54">
        <w:rPr>
          <w:vanish/>
        </w:rPr>
        <w:t>DR 4317</w:t>
      </w:r>
    </w:p>
    <w:p w14:paraId="641E0FF0" w14:textId="77777777" w:rsidR="002A21AE" w:rsidRDefault="002A21AE">
      <w:pPr>
        <w:pStyle w:val="Heading4"/>
        <w:rPr>
          <w:b w:val="0"/>
          <w:bCs/>
          <w:snapToGrid w:val="0"/>
        </w:rPr>
      </w:pPr>
      <w:r>
        <w:rPr>
          <w:bCs/>
          <w:snapToGrid w:val="0"/>
        </w:rPr>
        <w:t>User Roles with Access to This Option</w:t>
      </w:r>
      <w:r>
        <w:rPr>
          <w:b w:val="0"/>
          <w:bCs/>
          <w:snapToGrid w:val="0"/>
        </w:rPr>
        <w:t xml:space="preserve"> </w:t>
      </w:r>
    </w:p>
    <w:p w14:paraId="70565901" w14:textId="77777777" w:rsidR="002A21AE" w:rsidRDefault="00184EA4">
      <w:pPr>
        <w:pStyle w:val="Roles"/>
      </w:pPr>
      <w:r>
        <w:t>All users</w:t>
      </w:r>
    </w:p>
    <w:p w14:paraId="3BA16E01" w14:textId="77777777" w:rsidR="00752960" w:rsidRDefault="00F55832" w:rsidP="00752960">
      <w:pPr>
        <w:pStyle w:val="Heading4"/>
      </w:pPr>
      <w:r>
        <w:br w:type="page"/>
      </w:r>
      <w:r w:rsidR="00752960">
        <w:lastRenderedPageBreak/>
        <w:t>Patient Testing Worklist and Testing Worklist Reports</w:t>
      </w:r>
    </w:p>
    <w:p w14:paraId="3B05F2E8" w14:textId="52266F07" w:rsidR="002A21AE" w:rsidRDefault="002A21AE" w:rsidP="00FA7E65">
      <w:pPr>
        <w:pStyle w:val="BodyText"/>
      </w:pPr>
      <w:r>
        <w:t xml:space="preserve">The user </w:t>
      </w:r>
      <w:r w:rsidR="003A39EF">
        <w:t>views and/or prints</w:t>
      </w:r>
      <w:r>
        <w:t xml:space="preserve"> a</w:t>
      </w:r>
      <w:r w:rsidR="00455261">
        <w:t xml:space="preserve"> Patient Testing Worklist Report for</w:t>
      </w:r>
      <w:r>
        <w:t xml:space="preserve"> a specific patient</w:t>
      </w:r>
      <w:r w:rsidR="00455261">
        <w:t xml:space="preserve"> or a Testing Worklist Report for a division. </w:t>
      </w:r>
      <w:r>
        <w:t>The report</w:t>
      </w:r>
      <w:r w:rsidR="000E7760">
        <w:t>s</w:t>
      </w:r>
      <w:r>
        <w:t xml:space="preserve"> contain both partially completed and completed testing data entries on patients, units, and reagents created in the same division as the user generating the report.</w:t>
      </w:r>
      <w:r w:rsidR="006C3E9C">
        <w:t xml:space="preserve"> Crossmatch test results</w:t>
      </w:r>
      <w:r w:rsidR="007B4C92" w:rsidRPr="007B4C92">
        <w:t xml:space="preserve"> </w:t>
      </w:r>
      <w:r w:rsidR="006C3E9C">
        <w:t xml:space="preserve">are sequenced </w:t>
      </w:r>
      <w:r w:rsidR="007B4C92" w:rsidRPr="007B4C92">
        <w:t>by date and time on the repor</w:t>
      </w:r>
      <w:r w:rsidR="006C3E9C">
        <w:t xml:space="preserve">t. </w:t>
      </w:r>
      <w:r w:rsidR="00FC3506" w:rsidRPr="00FC3506">
        <w:t>The Interp. Column of the Patient Testing Worklist Report displays "Inc", which</w:t>
      </w:r>
      <w:r w:rsidR="007C00C8">
        <w:t xml:space="preserve"> can </w:t>
      </w:r>
      <w:r w:rsidR="00FC3506" w:rsidRPr="00FC3506">
        <w:t xml:space="preserve">mean </w:t>
      </w:r>
      <w:r w:rsidR="00FC3506">
        <w:t>“</w:t>
      </w:r>
      <w:r w:rsidR="00FC3506" w:rsidRPr="00FC3506">
        <w:t>Incompatible</w:t>
      </w:r>
      <w:r w:rsidR="00FC3506">
        <w:t>”</w:t>
      </w:r>
      <w:r w:rsidR="006C3E9C">
        <w:t xml:space="preserve"> or “Inconclusive</w:t>
      </w:r>
      <w:r w:rsidR="001A1374">
        <w:t>”</w:t>
      </w:r>
      <w:r w:rsidR="006C3E9C">
        <w:t>, depending on the test it is displayed with</w:t>
      </w:r>
      <w:r w:rsidR="00FC3506" w:rsidRPr="00FC3506">
        <w:t>.</w:t>
      </w:r>
      <w:r w:rsidR="00DC3A9D">
        <w:t xml:space="preserve"> </w:t>
      </w:r>
      <w:r w:rsidR="00DC3A9D" w:rsidRPr="00DC3A9D">
        <w:rPr>
          <w:vanish/>
        </w:rPr>
        <w:t>Defect 208964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161E1C4" w14:textId="77777777">
        <w:trPr>
          <w:tblHeader/>
        </w:trPr>
        <w:tc>
          <w:tcPr>
            <w:tcW w:w="3240" w:type="dxa"/>
            <w:shd w:val="pct30" w:color="auto" w:fill="FFFFFF"/>
            <w:vAlign w:val="bottom"/>
          </w:tcPr>
          <w:p w14:paraId="6E448040" w14:textId="77777777" w:rsidR="002A21AE" w:rsidRDefault="002A21AE">
            <w:pPr>
              <w:pStyle w:val="TableText"/>
              <w:rPr>
                <w:b/>
              </w:rPr>
            </w:pPr>
            <w:r>
              <w:rPr>
                <w:b/>
              </w:rPr>
              <w:t>User Action</w:t>
            </w:r>
          </w:p>
        </w:tc>
        <w:tc>
          <w:tcPr>
            <w:tcW w:w="6120" w:type="dxa"/>
            <w:shd w:val="pct30" w:color="auto" w:fill="FFFFFF"/>
            <w:vAlign w:val="bottom"/>
          </w:tcPr>
          <w:p w14:paraId="54F90C83" w14:textId="77777777" w:rsidR="002A21AE" w:rsidRDefault="002A21AE">
            <w:pPr>
              <w:pStyle w:val="TableText"/>
              <w:rPr>
                <w:b/>
              </w:rPr>
            </w:pPr>
            <w:r>
              <w:rPr>
                <w:b/>
              </w:rPr>
              <w:t>VBECS</w:t>
            </w:r>
          </w:p>
        </w:tc>
      </w:tr>
      <w:tr w:rsidR="002A21AE" w14:paraId="26F640E9" w14:textId="77777777">
        <w:tc>
          <w:tcPr>
            <w:tcW w:w="3240" w:type="dxa"/>
          </w:tcPr>
          <w:p w14:paraId="531F16C9" w14:textId="77777777" w:rsidR="002A21AE" w:rsidRDefault="002A21AE">
            <w:pPr>
              <w:pStyle w:val="TableTextNumbers"/>
            </w:pPr>
            <w:r>
              <w:t xml:space="preserve">For </w:t>
            </w:r>
            <w:r w:rsidR="00F05FA1">
              <w:t>a Patient Testing Worklist Report (for</w:t>
            </w:r>
            <w:r>
              <w:t xml:space="preserve"> a single patient, select </w:t>
            </w:r>
            <w:r>
              <w:rPr>
                <w:b/>
              </w:rPr>
              <w:t>Patients</w:t>
            </w:r>
            <w:r>
              <w:t xml:space="preserve"> from the main menu. </w:t>
            </w:r>
          </w:p>
          <w:p w14:paraId="6AB9FD26" w14:textId="77777777" w:rsidR="002A21AE" w:rsidRDefault="002A21AE">
            <w:pPr>
              <w:pStyle w:val="TableTextNumbersContinued"/>
            </w:pPr>
          </w:p>
          <w:p w14:paraId="7C319CBA" w14:textId="77777777" w:rsidR="002A21AE" w:rsidRDefault="002A21AE">
            <w:pPr>
              <w:pStyle w:val="TableTextNumbersContinued"/>
            </w:pPr>
            <w:r>
              <w:t xml:space="preserve">Select </w:t>
            </w:r>
            <w:r>
              <w:rPr>
                <w:b/>
              </w:rPr>
              <w:t>Patient</w:t>
            </w:r>
            <w:r>
              <w:t xml:space="preserve"> </w:t>
            </w:r>
            <w:r>
              <w:rPr>
                <w:b/>
              </w:rPr>
              <w:t>Testing Worklist Report</w:t>
            </w:r>
            <w:r>
              <w:t>.</w:t>
            </w:r>
          </w:p>
          <w:p w14:paraId="16568A6D" w14:textId="77777777" w:rsidR="002A21AE" w:rsidRDefault="002A21AE">
            <w:pPr>
              <w:pStyle w:val="TableTextNumbersContinued"/>
            </w:pPr>
          </w:p>
          <w:p w14:paraId="11093F02" w14:textId="77777777" w:rsidR="002A21AE" w:rsidRDefault="002A21AE">
            <w:pPr>
              <w:pStyle w:val="TableTextNumbersContinued"/>
            </w:pPr>
            <w:r>
              <w:t xml:space="preserve">For a </w:t>
            </w:r>
            <w:r w:rsidR="000E7760">
              <w:t>Testing Worklist Report</w:t>
            </w:r>
            <w:r>
              <w:t xml:space="preserve"> for a division, go to Step 5.</w:t>
            </w:r>
          </w:p>
        </w:tc>
        <w:tc>
          <w:tcPr>
            <w:tcW w:w="6120" w:type="dxa"/>
          </w:tcPr>
          <w:p w14:paraId="2AC2E72D" w14:textId="77777777" w:rsidR="002A21AE" w:rsidRDefault="002A21AE">
            <w:pPr>
              <w:pStyle w:val="TableTextBullet"/>
            </w:pPr>
            <w:r>
              <w:t>Displays options for processing patient-related functions.</w:t>
            </w:r>
          </w:p>
          <w:p w14:paraId="122B6CB6" w14:textId="77777777" w:rsidR="002A21AE" w:rsidRDefault="002A21AE">
            <w:pPr>
              <w:pStyle w:val="TableTextBullet"/>
            </w:pPr>
            <w:r>
              <w:t>Displays patient search criteria.</w:t>
            </w:r>
          </w:p>
        </w:tc>
      </w:tr>
      <w:tr w:rsidR="002A21AE" w14:paraId="14BE447E" w14:textId="77777777">
        <w:tc>
          <w:tcPr>
            <w:tcW w:w="3240" w:type="dxa"/>
          </w:tcPr>
          <w:p w14:paraId="5024E65D" w14:textId="77777777" w:rsidR="002A21AE" w:rsidRDefault="002A21AE">
            <w:pPr>
              <w:pStyle w:val="TableTextNumbers"/>
            </w:pPr>
            <w:r>
              <w:t xml:space="preserve">Enter the </w:t>
            </w:r>
            <w:r w:rsidRPr="00945BF5">
              <w:t>patient name or identification number.</w:t>
            </w:r>
            <w:r>
              <w:t xml:space="preserve"> </w:t>
            </w:r>
          </w:p>
          <w:p w14:paraId="32A64EB5" w14:textId="77777777" w:rsidR="002A21AE" w:rsidRDefault="002A21AE">
            <w:pPr>
              <w:pStyle w:val="TableTextNumbersContinued"/>
            </w:pPr>
          </w:p>
          <w:p w14:paraId="31265630" w14:textId="77777777" w:rsidR="002A21AE" w:rsidRDefault="002A21AE">
            <w:pPr>
              <w:pStyle w:val="TableTextNumbersContinued"/>
            </w:pPr>
            <w:r>
              <w:t xml:space="preserve">Click </w:t>
            </w:r>
            <w:r>
              <w:rPr>
                <w:b/>
              </w:rPr>
              <w:t xml:space="preserve">Search, </w:t>
            </w:r>
            <w:r>
              <w:t xml:space="preserve">as required. </w:t>
            </w:r>
          </w:p>
          <w:p w14:paraId="26C54083" w14:textId="77777777" w:rsidR="002A21AE" w:rsidRDefault="002A21AE">
            <w:pPr>
              <w:pStyle w:val="TableTextNumbersContinued"/>
            </w:pPr>
          </w:p>
          <w:p w14:paraId="7848A998" w14:textId="77777777" w:rsidR="002A21AE" w:rsidRDefault="002A21AE">
            <w:pPr>
              <w:pStyle w:val="TableTextNumbersContinued"/>
            </w:pPr>
            <w:r>
              <w:t xml:space="preserve">Select a patient and click </w:t>
            </w:r>
            <w:r>
              <w:rPr>
                <w:b/>
              </w:rPr>
              <w:t>OK</w:t>
            </w:r>
            <w:r>
              <w:t>.</w:t>
            </w:r>
          </w:p>
        </w:tc>
        <w:tc>
          <w:tcPr>
            <w:tcW w:w="6120" w:type="dxa"/>
          </w:tcPr>
          <w:p w14:paraId="169F1B6A" w14:textId="77777777" w:rsidR="002A21AE" w:rsidRDefault="002A21AE">
            <w:pPr>
              <w:pStyle w:val="TableTextBullet"/>
            </w:pPr>
            <w:r>
              <w:t>Requires the user to select a patient.</w:t>
            </w:r>
          </w:p>
          <w:p w14:paraId="70EB7A43" w14:textId="77777777" w:rsidR="002A21AE" w:rsidRDefault="002A21AE">
            <w:pPr>
              <w:pStyle w:val="TableTextBullet"/>
            </w:pPr>
            <w:r>
              <w:t>Displays specimen search criteria.</w:t>
            </w:r>
          </w:p>
        </w:tc>
      </w:tr>
      <w:tr w:rsidR="002A21AE" w14:paraId="29A2A13F" w14:textId="77777777">
        <w:tc>
          <w:tcPr>
            <w:tcW w:w="3240" w:type="dxa"/>
          </w:tcPr>
          <w:p w14:paraId="62565BD4" w14:textId="77777777" w:rsidR="002A21AE" w:rsidRDefault="002A21AE">
            <w:pPr>
              <w:pStyle w:val="TableTextNumbers"/>
            </w:pPr>
            <w:r>
              <w:t>Select or edit the dates and times in the Sp</w:t>
            </w:r>
            <w:r w:rsidRPr="00CE38AA">
              <w:t>ecimen Received Start Date and End Date fields</w:t>
            </w:r>
            <w:r w:rsidRPr="00945BF5">
              <w:t>.</w:t>
            </w:r>
          </w:p>
          <w:p w14:paraId="260DCDDA" w14:textId="77777777" w:rsidR="002A21AE" w:rsidRDefault="002A21AE">
            <w:pPr>
              <w:pStyle w:val="TableTextNumbersContinued"/>
            </w:pPr>
          </w:p>
          <w:p w14:paraId="7A9EE501" w14:textId="77777777" w:rsidR="002A21AE" w:rsidRDefault="002A21AE">
            <w:pPr>
              <w:pStyle w:val="TableTextNumbersContinued"/>
            </w:pPr>
            <w:r>
              <w:t xml:space="preserve">Click </w:t>
            </w:r>
            <w:r>
              <w:rPr>
                <w:b/>
              </w:rPr>
              <w:t>Search</w:t>
            </w:r>
            <w:r>
              <w:t>, as required.</w:t>
            </w:r>
          </w:p>
        </w:tc>
        <w:tc>
          <w:tcPr>
            <w:tcW w:w="6120" w:type="dxa"/>
          </w:tcPr>
          <w:p w14:paraId="3CC45C23" w14:textId="77777777" w:rsidR="002A21AE" w:rsidRDefault="002A21AE">
            <w:pPr>
              <w:pStyle w:val="TableTextBullet"/>
            </w:pPr>
            <w:r>
              <w:t>Allows the user to indicate a date range and patient specimens to include in the report.</w:t>
            </w:r>
          </w:p>
          <w:p w14:paraId="540F7F75" w14:textId="77777777" w:rsidR="002A21AE" w:rsidRDefault="002A21AE">
            <w:pPr>
              <w:pStyle w:val="TableTextBullet"/>
            </w:pPr>
            <w:r>
              <w:t xml:space="preserve">Displays specimens with associated testing for the selected patient. </w:t>
            </w:r>
          </w:p>
          <w:p w14:paraId="7199960D" w14:textId="77777777" w:rsidR="002A21AE" w:rsidRDefault="002A21AE">
            <w:pPr>
              <w:pStyle w:val="TableText"/>
            </w:pPr>
          </w:p>
          <w:p w14:paraId="2C1E55CD" w14:textId="6CE10FC1" w:rsidR="002A21AE" w:rsidRDefault="002A21AE">
            <w:pPr>
              <w:pStyle w:val="TableText"/>
              <w:rPr>
                <w:b/>
                <w:bCs/>
                <w:szCs w:val="18"/>
              </w:rPr>
            </w:pPr>
            <w:r>
              <w:rPr>
                <w:b/>
                <w:bCs/>
                <w:szCs w:val="18"/>
              </w:rPr>
              <w:t>NOTES</w:t>
            </w:r>
          </w:p>
          <w:p w14:paraId="22CE74AA" w14:textId="77777777" w:rsidR="002A21AE" w:rsidRDefault="002A21AE">
            <w:pPr>
              <w:pStyle w:val="NotesText"/>
            </w:pPr>
          </w:p>
          <w:p w14:paraId="655E5368" w14:textId="77777777" w:rsidR="002A21AE" w:rsidRDefault="002A21AE">
            <w:pPr>
              <w:pStyle w:val="NotesText"/>
            </w:pPr>
            <w:r>
              <w:rPr>
                <w:rFonts w:cs="Arial"/>
                <w:vanish/>
              </w:rPr>
              <w:t xml:space="preserve">BR_48.15 </w:t>
            </w:r>
            <w:r>
              <w:t xml:space="preserve">The individual </w:t>
            </w:r>
            <w:r w:rsidR="00F05FA1">
              <w:t xml:space="preserve">Patient Testing Worklist Report </w:t>
            </w:r>
            <w:r>
              <w:t xml:space="preserve">includes VBECS specimen UIDs from the last 90 days, by default. The user may remove one or more specimen UIDs and/or edit the default date range. </w:t>
            </w:r>
          </w:p>
          <w:p w14:paraId="6EB298B7" w14:textId="77777777" w:rsidR="002A21AE" w:rsidRDefault="002A21AE">
            <w:pPr>
              <w:pStyle w:val="NotesText"/>
            </w:pPr>
          </w:p>
          <w:p w14:paraId="54999FD0" w14:textId="77777777" w:rsidR="002A21AE" w:rsidRDefault="002A21AE">
            <w:pPr>
              <w:pStyle w:val="NotesText"/>
            </w:pPr>
            <w:r>
              <w:rPr>
                <w:rFonts w:cs="Arial"/>
                <w:vanish/>
              </w:rPr>
              <w:t xml:space="preserve">BR_48.04 </w:t>
            </w:r>
            <w:r>
              <w:t>When the patient record is not found, VBECS notifies the user that no matching patients were found.</w:t>
            </w:r>
          </w:p>
          <w:p w14:paraId="2494C7CE" w14:textId="77777777" w:rsidR="002A21AE" w:rsidRDefault="002A21AE">
            <w:pPr>
              <w:pStyle w:val="NotesText"/>
            </w:pPr>
          </w:p>
          <w:p w14:paraId="7AC1EA1F" w14:textId="77777777" w:rsidR="00FC3506" w:rsidRDefault="002A21AE" w:rsidP="00FC3506">
            <w:pPr>
              <w:pStyle w:val="NotesText"/>
            </w:pPr>
            <w:r>
              <w:rPr>
                <w:rFonts w:cs="Arial"/>
                <w:vanish/>
              </w:rPr>
              <w:t xml:space="preserve">BR_48.01 </w:t>
            </w:r>
            <w:r>
              <w:t>When the selected patient has no specimen on file within the division, VBECS warns the user and asks the user to select a different patient.</w:t>
            </w:r>
          </w:p>
          <w:p w14:paraId="7C3FA19E" w14:textId="77777777" w:rsidR="002A21AE" w:rsidRDefault="002A21AE">
            <w:pPr>
              <w:pStyle w:val="NotesText"/>
            </w:pPr>
          </w:p>
          <w:p w14:paraId="30281C11" w14:textId="77777777" w:rsidR="002A21AE" w:rsidRDefault="002A21AE">
            <w:pPr>
              <w:pStyle w:val="NotesText"/>
            </w:pPr>
            <w:r>
              <w:t>Requires the user to indicate the format of the report:</w:t>
            </w:r>
          </w:p>
          <w:p w14:paraId="0DC980C9" w14:textId="77777777" w:rsidR="00661E8D" w:rsidRDefault="00661E8D">
            <w:pPr>
              <w:pStyle w:val="NotesTextBullet"/>
            </w:pPr>
            <w:r>
              <w:t>Patient Testing</w:t>
            </w:r>
          </w:p>
          <w:p w14:paraId="065E52E0" w14:textId="77777777" w:rsidR="00661E8D" w:rsidRDefault="00661E8D">
            <w:pPr>
              <w:pStyle w:val="NotesTextBullet"/>
            </w:pPr>
            <w:r>
              <w:t>Unit Testing</w:t>
            </w:r>
          </w:p>
          <w:p w14:paraId="6B9E0329" w14:textId="77777777" w:rsidR="00661E8D" w:rsidRDefault="00661E8D">
            <w:pPr>
              <w:pStyle w:val="NotesTextBullet"/>
            </w:pPr>
            <w:r>
              <w:t>Daily QC</w:t>
            </w:r>
          </w:p>
          <w:p w14:paraId="27EC270B" w14:textId="77777777" w:rsidR="002A21AE" w:rsidRDefault="00661E8D">
            <w:pPr>
              <w:pStyle w:val="NotesTextBullet"/>
            </w:pPr>
            <w:r>
              <w:t>Miscellaneous Reagent QC</w:t>
            </w:r>
          </w:p>
        </w:tc>
      </w:tr>
      <w:tr w:rsidR="002A21AE" w14:paraId="00BC2F18" w14:textId="77777777">
        <w:tc>
          <w:tcPr>
            <w:tcW w:w="3240" w:type="dxa"/>
          </w:tcPr>
          <w:p w14:paraId="5F10B5F7" w14:textId="77777777" w:rsidR="002A21AE" w:rsidRDefault="002A21AE">
            <w:pPr>
              <w:pStyle w:val="TableTextNumbers"/>
            </w:pPr>
            <w:r>
              <w:t>Click one or more check boxes to select specimens.</w:t>
            </w:r>
          </w:p>
          <w:p w14:paraId="1F21BAE5" w14:textId="77777777" w:rsidR="002A21AE" w:rsidRDefault="002A21AE">
            <w:pPr>
              <w:pStyle w:val="TableTextNumbersContinued"/>
            </w:pPr>
          </w:p>
          <w:p w14:paraId="6C0BA7D3" w14:textId="77777777" w:rsidR="002A21AE" w:rsidRDefault="002A21AE">
            <w:pPr>
              <w:pStyle w:val="TableTextNumbersContinued"/>
            </w:pPr>
            <w:r>
              <w:t xml:space="preserve">Click </w:t>
            </w:r>
            <w:r>
              <w:rPr>
                <w:b/>
              </w:rPr>
              <w:t>OK</w:t>
            </w:r>
            <w:r>
              <w:t>.</w:t>
            </w:r>
          </w:p>
          <w:p w14:paraId="1632322E" w14:textId="77777777" w:rsidR="002A21AE" w:rsidRDefault="002A21AE">
            <w:pPr>
              <w:pStyle w:val="TableTextNumbersContinued"/>
            </w:pPr>
          </w:p>
          <w:p w14:paraId="1EBBD12D" w14:textId="77777777" w:rsidR="002A21AE" w:rsidRDefault="002A21AE">
            <w:pPr>
              <w:pStyle w:val="TableTextNumbersContinued"/>
            </w:pPr>
            <w:r>
              <w:t>Go to Step 8.</w:t>
            </w:r>
          </w:p>
        </w:tc>
        <w:tc>
          <w:tcPr>
            <w:tcW w:w="6120" w:type="dxa"/>
          </w:tcPr>
          <w:p w14:paraId="2654633F" w14:textId="77777777" w:rsidR="002A21AE" w:rsidRDefault="002A21AE">
            <w:pPr>
              <w:pStyle w:val="TableTextBullet"/>
            </w:pPr>
            <w:r>
              <w:t>Displays the report.</w:t>
            </w:r>
          </w:p>
          <w:p w14:paraId="0E702EB3" w14:textId="77777777" w:rsidR="002A21AE" w:rsidRDefault="002A21AE">
            <w:pPr>
              <w:pStyle w:val="TableTextBullet"/>
            </w:pPr>
            <w:r>
              <w:t>Allows the user to print the report.</w:t>
            </w:r>
          </w:p>
        </w:tc>
      </w:tr>
      <w:tr w:rsidR="002A21AE" w14:paraId="30092800" w14:textId="77777777">
        <w:tc>
          <w:tcPr>
            <w:tcW w:w="3240" w:type="dxa"/>
          </w:tcPr>
          <w:p w14:paraId="4E6769AF" w14:textId="77777777" w:rsidR="002A21AE" w:rsidRDefault="002A21AE">
            <w:pPr>
              <w:pStyle w:val="TableTextNumbers"/>
            </w:pPr>
            <w:r>
              <w:lastRenderedPageBreak/>
              <w:t xml:space="preserve">For a Testing Worklist Report for a division, select </w:t>
            </w:r>
            <w:r>
              <w:rPr>
                <w:b/>
              </w:rPr>
              <w:t>Reports</w:t>
            </w:r>
            <w:r>
              <w:t xml:space="preserve"> from the main menu.</w:t>
            </w:r>
          </w:p>
          <w:p w14:paraId="704E40BB" w14:textId="77777777" w:rsidR="002A21AE" w:rsidRDefault="002A21AE">
            <w:pPr>
              <w:pStyle w:val="TableTextNumbersContinued"/>
            </w:pPr>
          </w:p>
          <w:p w14:paraId="0516294B" w14:textId="77777777" w:rsidR="002A21AE" w:rsidRDefault="002A21AE">
            <w:pPr>
              <w:pStyle w:val="TableTextNumbersContinued"/>
            </w:pPr>
            <w:r>
              <w:t xml:space="preserve">Select </w:t>
            </w:r>
            <w:r>
              <w:rPr>
                <w:b/>
              </w:rPr>
              <w:t>Testing Worklist Report</w:t>
            </w:r>
            <w:r>
              <w:t>.</w:t>
            </w:r>
          </w:p>
        </w:tc>
        <w:tc>
          <w:tcPr>
            <w:tcW w:w="6120" w:type="dxa"/>
          </w:tcPr>
          <w:p w14:paraId="3E3AD054" w14:textId="77777777" w:rsidR="002A21AE" w:rsidRDefault="002A21AE">
            <w:pPr>
              <w:pStyle w:val="TableTextBullet"/>
            </w:pPr>
            <w:r>
              <w:t>Lists report names.</w:t>
            </w:r>
          </w:p>
          <w:p w14:paraId="7156F530" w14:textId="77777777" w:rsidR="002A21AE" w:rsidRDefault="002A21AE">
            <w:pPr>
              <w:pStyle w:val="TableTextBullet"/>
            </w:pPr>
            <w:r>
              <w:t>Displays the report date range, sections</w:t>
            </w:r>
            <w:r w:rsidR="00E3701B">
              <w:t xml:space="preserve"> (Patient Testing, Unit Testing, Rack QC, and Miscellaneous Reagent QC)</w:t>
            </w:r>
            <w:r>
              <w:t>, and compilation criteria.</w:t>
            </w:r>
          </w:p>
        </w:tc>
      </w:tr>
      <w:tr w:rsidR="002A21AE" w14:paraId="7D0945E6" w14:textId="77777777">
        <w:tc>
          <w:tcPr>
            <w:tcW w:w="3240" w:type="dxa"/>
          </w:tcPr>
          <w:p w14:paraId="6A5061B0" w14:textId="77777777" w:rsidR="002A21AE" w:rsidRDefault="002A21AE">
            <w:pPr>
              <w:pStyle w:val="TableTextNumbers"/>
            </w:pPr>
            <w:r>
              <w:t xml:space="preserve">Select or edit the dates and times in the </w:t>
            </w:r>
            <w:r w:rsidRPr="00945BF5">
              <w:rPr>
                <w:b/>
              </w:rPr>
              <w:t>Start Date</w:t>
            </w:r>
            <w:r w:rsidRPr="00945BF5">
              <w:t xml:space="preserve"> and </w:t>
            </w:r>
            <w:r w:rsidRPr="00945BF5">
              <w:rPr>
                <w:b/>
              </w:rPr>
              <w:t>End Date</w:t>
            </w:r>
            <w:r>
              <w:t xml:space="preserve"> fields.</w:t>
            </w:r>
          </w:p>
        </w:tc>
        <w:tc>
          <w:tcPr>
            <w:tcW w:w="6120" w:type="dxa"/>
          </w:tcPr>
          <w:p w14:paraId="28C0870A" w14:textId="77777777" w:rsidR="002A21AE" w:rsidRDefault="002A21AE">
            <w:pPr>
              <w:pStyle w:val="TableTextBullet"/>
            </w:pPr>
            <w:r>
              <w:t>Displays the option to enter a date range for the report based on the date and time VBECS acknowledged the order.</w:t>
            </w:r>
          </w:p>
        </w:tc>
      </w:tr>
      <w:tr w:rsidR="002A21AE" w14:paraId="2BB2D39A" w14:textId="77777777">
        <w:tc>
          <w:tcPr>
            <w:tcW w:w="3240" w:type="dxa"/>
          </w:tcPr>
          <w:p w14:paraId="67CB7C64" w14:textId="77777777" w:rsidR="002A21AE" w:rsidRDefault="002A21AE" w:rsidP="001D6377">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047001A4" w14:textId="77777777" w:rsidR="002A21AE" w:rsidRDefault="002A21AE">
            <w:pPr>
              <w:pStyle w:val="TableTextNumbersContinued"/>
            </w:pPr>
          </w:p>
          <w:p w14:paraId="57FBA6FA"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C4199B6" w14:textId="77777777" w:rsidR="000566D6" w:rsidRDefault="002A21AE" w:rsidP="00AA2B2E">
            <w:pPr>
              <w:pStyle w:val="TableTextBullet"/>
            </w:pPr>
            <w:r>
              <w:t>Compiles and displays the report.</w:t>
            </w:r>
          </w:p>
        </w:tc>
      </w:tr>
      <w:tr w:rsidR="002A21AE" w14:paraId="34E54F51" w14:textId="77777777">
        <w:tc>
          <w:tcPr>
            <w:tcW w:w="3240" w:type="dxa"/>
          </w:tcPr>
          <w:p w14:paraId="066C97C9" w14:textId="0B57CC0E"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p>
        </w:tc>
        <w:tc>
          <w:tcPr>
            <w:tcW w:w="6120" w:type="dxa"/>
          </w:tcPr>
          <w:p w14:paraId="29E9E381" w14:textId="77777777" w:rsidR="00D45D8C" w:rsidRDefault="00D45D8C" w:rsidP="00D45D8C">
            <w:pPr>
              <w:pStyle w:val="TableTextBullet"/>
            </w:pPr>
            <w:r>
              <w:t>If Print is selected, prints the report on the designated printer.</w:t>
            </w:r>
          </w:p>
          <w:p w14:paraId="0CC9A3D5" w14:textId="77777777" w:rsidR="00D45D8C" w:rsidRDefault="00D45D8C" w:rsidP="00D45D8C">
            <w:pPr>
              <w:pStyle w:val="TableTextBullet"/>
            </w:pPr>
            <w:r>
              <w:t>If Export is selected, exports the report to the designated file.</w:t>
            </w:r>
          </w:p>
          <w:p w14:paraId="0F07AF86" w14:textId="2E9EDF4C" w:rsidR="002A21AE" w:rsidRDefault="00D45D8C" w:rsidP="00D45D8C">
            <w:pPr>
              <w:pStyle w:val="TableTextBullet"/>
            </w:pPr>
            <w:r>
              <w:t>If Close is selected, exits the report preview.</w:t>
            </w:r>
          </w:p>
        </w:tc>
      </w:tr>
    </w:tbl>
    <w:p w14:paraId="5C20B3A3" w14:textId="77777777" w:rsidR="00F55832" w:rsidRDefault="00F55832">
      <w:pPr>
        <w:pStyle w:val="Heading2"/>
      </w:pPr>
    </w:p>
    <w:p w14:paraId="1BD59FBB" w14:textId="77777777" w:rsidR="00246E50" w:rsidRDefault="00F55832" w:rsidP="00246E50">
      <w:pPr>
        <w:pStyle w:val="Heading2"/>
      </w:pPr>
      <w:r>
        <w:br w:type="page"/>
      </w:r>
      <w:bookmarkStart w:id="686" w:name="_Toc47516792"/>
      <w:r w:rsidR="00246E50">
        <w:lastRenderedPageBreak/>
        <w:t>Prolonged Transfusion Time Report</w:t>
      </w:r>
      <w:bookmarkEnd w:id="686"/>
      <w:r w:rsidR="00246E50">
        <w:fldChar w:fldCharType="begin"/>
      </w:r>
      <w:r w:rsidR="00246E50">
        <w:instrText xml:space="preserve"> XE “Prolonged Transfusion Time Report” </w:instrText>
      </w:r>
      <w:r w:rsidR="00246E50">
        <w:fldChar w:fldCharType="end"/>
      </w:r>
      <w:r w:rsidR="00246E50">
        <w:t xml:space="preserve"> </w:t>
      </w:r>
      <w:r w:rsidR="00246E50">
        <w:rPr>
          <w:rFonts w:ascii="Times New Roman" w:hAnsi="Times New Roman" w:cs="Times New Roman"/>
          <w:b w:val="0"/>
          <w:i w:val="0"/>
          <w:vanish/>
          <w:sz w:val="22"/>
        </w:rPr>
        <w:t>UC_105</w:t>
      </w:r>
    </w:p>
    <w:p w14:paraId="6D5D9416" w14:textId="77777777" w:rsidR="00246E50" w:rsidRDefault="00246E50" w:rsidP="00246E50">
      <w:pPr>
        <w:pStyle w:val="BodyText"/>
      </w:pPr>
      <w:r>
        <w:t xml:space="preserve">The user views and/or prints the Prolonged Transfusion Time Report. </w:t>
      </w:r>
    </w:p>
    <w:p w14:paraId="3A06F0F3" w14:textId="77777777" w:rsidR="00246E50" w:rsidRDefault="00246E50" w:rsidP="00246E50">
      <w:pPr>
        <w:pStyle w:val="Heading4"/>
      </w:pPr>
      <w:r>
        <w:t>Assumptions</w:t>
      </w:r>
      <w:r>
        <w:rPr>
          <w:b w:val="0"/>
        </w:rPr>
        <w:t xml:space="preserve"> </w:t>
      </w:r>
    </w:p>
    <w:p w14:paraId="375675EA" w14:textId="77777777" w:rsidR="00246E50" w:rsidRDefault="00246E50" w:rsidP="00246E50">
      <w:pPr>
        <w:pStyle w:val="ListBullet"/>
      </w:pPr>
      <w:r>
        <w:t>Data for the report were saved in VBECS.</w:t>
      </w:r>
    </w:p>
    <w:p w14:paraId="0AF67178" w14:textId="77777777" w:rsidR="00246E50" w:rsidRDefault="00246E50" w:rsidP="00246E50">
      <w:pPr>
        <w:pStyle w:val="Heading4"/>
      </w:pPr>
      <w:r>
        <w:t xml:space="preserve">Outcome </w:t>
      </w:r>
    </w:p>
    <w:p w14:paraId="2B6BCBCE" w14:textId="77777777" w:rsidR="00246E50" w:rsidRDefault="00246E50" w:rsidP="00246E50">
      <w:pPr>
        <w:pStyle w:val="ListBullet"/>
      </w:pPr>
      <w:r>
        <w:t>The user views and prints the report.</w:t>
      </w:r>
    </w:p>
    <w:p w14:paraId="6176750D" w14:textId="77777777" w:rsidR="00246E50" w:rsidRDefault="00246E50" w:rsidP="00246E50">
      <w:pPr>
        <w:pStyle w:val="Heading4"/>
        <w:rPr>
          <w:b w:val="0"/>
        </w:rPr>
      </w:pPr>
      <w:r>
        <w:t>Limitations and Restrictions</w:t>
      </w:r>
      <w:r>
        <w:rPr>
          <w:b w:val="0"/>
        </w:rPr>
        <w:t xml:space="preserve"> </w:t>
      </w:r>
    </w:p>
    <w:p w14:paraId="18755E0C" w14:textId="77777777" w:rsidR="00246E50" w:rsidRDefault="00246E50" w:rsidP="00246E50">
      <w:pPr>
        <w:pStyle w:val="ListBullet"/>
      </w:pPr>
      <w:r>
        <w:t>This report does not include p</w:t>
      </w:r>
      <w:r>
        <w:rPr>
          <w:rStyle w:val="ListBulletChar"/>
        </w:rPr>
        <w:t>r</w:t>
      </w:r>
      <w:r>
        <w:t>esumed transfused units or units issued to a remote storage location.</w:t>
      </w:r>
    </w:p>
    <w:p w14:paraId="69A5C288" w14:textId="77777777" w:rsidR="00246E50" w:rsidRPr="00244DDA" w:rsidRDefault="00246E50" w:rsidP="00246E50">
      <w:pPr>
        <w:pStyle w:val="ListBullet"/>
        <w:rPr>
          <w:sz w:val="20"/>
          <w:szCs w:val="20"/>
        </w:rPr>
      </w:pPr>
      <w:r>
        <w:t xml:space="preserve">Units issued to a remote storage location will display on the report when the transfusion start time is greater than 30 minutes after issue time. </w:t>
      </w:r>
      <w:r w:rsidRPr="00244DDA">
        <w:rPr>
          <w:vanish/>
        </w:rPr>
        <w:t>Defect 209735</w:t>
      </w:r>
    </w:p>
    <w:p w14:paraId="1724C2E3" w14:textId="77777777" w:rsidR="00246E50" w:rsidRDefault="00246E50" w:rsidP="00246E50">
      <w:pPr>
        <w:pStyle w:val="ListBullet"/>
      </w:pPr>
      <w:r>
        <w:t xml:space="preserve">Units issued to a remote storage location should not display to have a prolonged issue time as this setting indicates that the unit is issued to a monitored location maintained at the proper temperature for the product type. </w:t>
      </w:r>
      <w:r w:rsidRPr="00244DDA">
        <w:rPr>
          <w:vanish/>
        </w:rPr>
        <w:t>Defect 209735</w:t>
      </w:r>
    </w:p>
    <w:p w14:paraId="78552C05" w14:textId="77777777" w:rsidR="00246E50" w:rsidRDefault="00246E50" w:rsidP="00246E50">
      <w:pPr>
        <w:pStyle w:val="ListBullet"/>
      </w:pPr>
      <w:r>
        <w:t xml:space="preserve">The Delayed (minutes) column on the report is not subtracting 30 minutes when the Transfusion Start time is greater  than 30 minutes from the time of issue. Handwrite the correct Delayed (minutes) on the printed report. </w:t>
      </w:r>
      <w:r w:rsidRPr="00917168">
        <w:rPr>
          <w:vanish/>
        </w:rPr>
        <w:t>Defect 209431</w:t>
      </w:r>
    </w:p>
    <w:p w14:paraId="7686A670" w14:textId="77777777" w:rsidR="00246E50" w:rsidRDefault="00246E50" w:rsidP="00246E50">
      <w:pPr>
        <w:pStyle w:val="Heading4"/>
      </w:pPr>
      <w:r>
        <w:t xml:space="preserve">Additional Information </w:t>
      </w:r>
    </w:p>
    <w:p w14:paraId="26AC02D0" w14:textId="77777777" w:rsidR="00246E50" w:rsidRPr="00AA647C" w:rsidRDefault="00246E50" w:rsidP="00246E50">
      <w:pPr>
        <w:pStyle w:val="Roles"/>
      </w:pPr>
      <w:r>
        <w:rPr>
          <w:vanish/>
        </w:rPr>
        <w:t xml:space="preserve">PT_105.01 </w:t>
      </w:r>
      <w:r>
        <w:t>None</w:t>
      </w:r>
    </w:p>
    <w:p w14:paraId="2FF49D3C" w14:textId="77777777" w:rsidR="00246E50" w:rsidRDefault="00246E50" w:rsidP="00246E50">
      <w:pPr>
        <w:pStyle w:val="Heading4"/>
      </w:pPr>
      <w:r>
        <w:t xml:space="preserve">User Roles with Access to This Option </w:t>
      </w:r>
    </w:p>
    <w:p w14:paraId="5640DF10" w14:textId="77777777" w:rsidR="00246E50" w:rsidRDefault="00246E50" w:rsidP="00246E50">
      <w:pPr>
        <w:pStyle w:val="Roles"/>
      </w:pPr>
      <w:r>
        <w:t>All users</w:t>
      </w:r>
    </w:p>
    <w:p w14:paraId="11BA419B" w14:textId="77777777" w:rsidR="00246E50" w:rsidRDefault="00246E50" w:rsidP="00246E50">
      <w:pPr>
        <w:pStyle w:val="Heading4"/>
      </w:pPr>
      <w:r>
        <w:t>Prolonged Transfusion Time Report</w:t>
      </w:r>
    </w:p>
    <w:p w14:paraId="31739427" w14:textId="77777777" w:rsidR="00246E50" w:rsidRDefault="00246E50" w:rsidP="00246E50">
      <w:pPr>
        <w:pStyle w:val="BodyText"/>
      </w:pPr>
      <w:r>
        <w:t>The user views and/or prints the Prolonged Transfusion Time Report, which shows transfusions started more than 30 minutes after issue and units transfused for more than the maximum transfusion time set by each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46E50" w14:paraId="7DCA22DE" w14:textId="77777777" w:rsidTr="00246E50">
        <w:trPr>
          <w:cantSplit/>
          <w:tblHeader/>
        </w:trPr>
        <w:tc>
          <w:tcPr>
            <w:tcW w:w="3240" w:type="dxa"/>
            <w:shd w:val="pct30" w:color="auto" w:fill="FFFFFF"/>
            <w:vAlign w:val="bottom"/>
          </w:tcPr>
          <w:p w14:paraId="3A076287" w14:textId="77777777" w:rsidR="00246E50" w:rsidRDefault="00246E50" w:rsidP="00246E50">
            <w:pPr>
              <w:pStyle w:val="TableText"/>
              <w:rPr>
                <w:b/>
              </w:rPr>
            </w:pPr>
            <w:r>
              <w:rPr>
                <w:b/>
              </w:rPr>
              <w:t>User Action</w:t>
            </w:r>
          </w:p>
        </w:tc>
        <w:tc>
          <w:tcPr>
            <w:tcW w:w="6120" w:type="dxa"/>
            <w:shd w:val="pct30" w:color="auto" w:fill="FFFFFF"/>
            <w:vAlign w:val="bottom"/>
          </w:tcPr>
          <w:p w14:paraId="485B9E06" w14:textId="77777777" w:rsidR="00246E50" w:rsidRDefault="00246E50" w:rsidP="00246E50">
            <w:pPr>
              <w:pStyle w:val="TableText"/>
              <w:rPr>
                <w:b/>
              </w:rPr>
            </w:pPr>
            <w:r>
              <w:rPr>
                <w:b/>
              </w:rPr>
              <w:t>VBECS</w:t>
            </w:r>
          </w:p>
        </w:tc>
      </w:tr>
      <w:tr w:rsidR="00246E50" w14:paraId="0C2E780D" w14:textId="77777777" w:rsidTr="00246E50">
        <w:tc>
          <w:tcPr>
            <w:tcW w:w="3240" w:type="dxa"/>
          </w:tcPr>
          <w:p w14:paraId="4EA8A4EB" w14:textId="77777777" w:rsidR="00246E50" w:rsidRDefault="00246E50" w:rsidP="00A809BB">
            <w:pPr>
              <w:pStyle w:val="TableTextNumbers"/>
              <w:numPr>
                <w:ilvl w:val="0"/>
                <w:numId w:val="95"/>
              </w:numPr>
            </w:pPr>
            <w:r>
              <w:t xml:space="preserve">Select </w:t>
            </w:r>
            <w:r w:rsidRPr="00A809BB">
              <w:rPr>
                <w:b/>
              </w:rPr>
              <w:t>Reports</w:t>
            </w:r>
            <w:r>
              <w:t xml:space="preserve"> from the main menu.</w:t>
            </w:r>
          </w:p>
          <w:p w14:paraId="36CBB865" w14:textId="77777777" w:rsidR="00246E50" w:rsidRDefault="00246E50" w:rsidP="00246E50">
            <w:pPr>
              <w:pStyle w:val="TableTextNumbersContinued"/>
            </w:pPr>
          </w:p>
          <w:p w14:paraId="406DB92F" w14:textId="77777777" w:rsidR="00246E50" w:rsidRDefault="00246E50" w:rsidP="00246E50">
            <w:pPr>
              <w:pStyle w:val="TableTextNumbersContinued"/>
            </w:pPr>
            <w:r>
              <w:t xml:space="preserve">Select </w:t>
            </w:r>
            <w:r>
              <w:rPr>
                <w:b/>
              </w:rPr>
              <w:t>Prolonged Transfusion Time Report</w:t>
            </w:r>
            <w:r>
              <w:t>.</w:t>
            </w:r>
          </w:p>
        </w:tc>
        <w:tc>
          <w:tcPr>
            <w:tcW w:w="6120" w:type="dxa"/>
          </w:tcPr>
          <w:p w14:paraId="4C660648" w14:textId="77777777" w:rsidR="00246E50" w:rsidRDefault="00246E50" w:rsidP="00246E50">
            <w:pPr>
              <w:pStyle w:val="TableTextBullet"/>
            </w:pPr>
            <w:r>
              <w:t>Displays options for generating, viewing, and printing reports.</w:t>
            </w:r>
          </w:p>
          <w:p w14:paraId="010BD991" w14:textId="77777777" w:rsidR="00246E50" w:rsidRDefault="00246E50" w:rsidP="00246E50">
            <w:pPr>
              <w:pStyle w:val="TableTextBullet"/>
            </w:pPr>
            <w:r>
              <w:t>Displays a date range for selection.</w:t>
            </w:r>
          </w:p>
          <w:p w14:paraId="3EA6483F" w14:textId="77777777" w:rsidR="00246E50" w:rsidRDefault="00246E50" w:rsidP="00246E50">
            <w:pPr>
              <w:pStyle w:val="TableTextBullet"/>
            </w:pPr>
            <w:r>
              <w:t>Displays report sort order and compilation criteria.</w:t>
            </w:r>
          </w:p>
        </w:tc>
      </w:tr>
      <w:tr w:rsidR="00246E50" w14:paraId="6DCC89FB" w14:textId="77777777" w:rsidTr="00246E50">
        <w:tc>
          <w:tcPr>
            <w:tcW w:w="3240" w:type="dxa"/>
          </w:tcPr>
          <w:p w14:paraId="6DC03D86" w14:textId="77777777" w:rsidR="00246E50" w:rsidRDefault="00246E50" w:rsidP="00246E50">
            <w:pPr>
              <w:pStyle w:val="TableTextNumbers"/>
            </w:pPr>
            <w:r>
              <w:t>Enter a date range.</w:t>
            </w:r>
          </w:p>
          <w:p w14:paraId="03051D5E" w14:textId="77777777" w:rsidR="00246E50" w:rsidRDefault="00246E50" w:rsidP="00246E50">
            <w:pPr>
              <w:pStyle w:val="TableTextNumbersContinued"/>
            </w:pPr>
          </w:p>
          <w:p w14:paraId="764450F9" w14:textId="77777777" w:rsidR="00246E50" w:rsidRDefault="00246E50" w:rsidP="00246E50">
            <w:pPr>
              <w:pStyle w:val="TableTextNumbersContinued"/>
            </w:pPr>
            <w:r>
              <w:t xml:space="preserve">Click the </w:t>
            </w:r>
            <w:r>
              <w:rPr>
                <w:b/>
              </w:rPr>
              <w:t>Transfusion Date (Reverse Chronological)</w:t>
            </w:r>
            <w:r>
              <w:t xml:space="preserve"> or </w:t>
            </w:r>
            <w:r>
              <w:rPr>
                <w:b/>
              </w:rPr>
              <w:t xml:space="preserve">Issue-To Location </w:t>
            </w:r>
            <w:r w:rsidRPr="00BF2E41">
              <w:t>radio button</w:t>
            </w:r>
            <w:r>
              <w:t xml:space="preserve"> to select a sort order.</w:t>
            </w:r>
          </w:p>
        </w:tc>
        <w:tc>
          <w:tcPr>
            <w:tcW w:w="6120" w:type="dxa"/>
          </w:tcPr>
          <w:p w14:paraId="35E358A5" w14:textId="77777777" w:rsidR="00246E50" w:rsidRDefault="00246E50" w:rsidP="00246E50">
            <w:pPr>
              <w:pStyle w:val="TableText"/>
            </w:pPr>
            <w:r>
              <w:t xml:space="preserve"> </w:t>
            </w:r>
          </w:p>
        </w:tc>
      </w:tr>
      <w:tr w:rsidR="00246E50" w14:paraId="277A1001" w14:textId="77777777" w:rsidTr="00246E50">
        <w:tc>
          <w:tcPr>
            <w:tcW w:w="3240" w:type="dxa"/>
          </w:tcPr>
          <w:p w14:paraId="5AD64C6E" w14:textId="77777777" w:rsidR="00246E50" w:rsidRDefault="00246E50" w:rsidP="00246E50">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6A3F07AD" w14:textId="77777777" w:rsidR="00246E50" w:rsidRDefault="00246E50" w:rsidP="00246E50">
            <w:pPr>
              <w:pStyle w:val="TableTextNumbersContinued"/>
            </w:pPr>
          </w:p>
          <w:p w14:paraId="0F167162" w14:textId="77777777" w:rsidR="00246E50" w:rsidRDefault="00246E50" w:rsidP="00246E50">
            <w:pPr>
              <w:pStyle w:val="TableTextNumbersContinued"/>
            </w:pPr>
            <w:r>
              <w:lastRenderedPageBreak/>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B0887E7" w14:textId="77777777" w:rsidR="00246E50" w:rsidRDefault="00246E50" w:rsidP="00246E50">
            <w:pPr>
              <w:pStyle w:val="TableTextBullet"/>
              <w:rPr>
                <w:b/>
                <w:bCs/>
                <w:szCs w:val="18"/>
              </w:rPr>
            </w:pPr>
            <w:r>
              <w:lastRenderedPageBreak/>
              <w:t>Compiles and displays the report.</w:t>
            </w:r>
            <w:r>
              <w:rPr>
                <w:b/>
                <w:bCs/>
              </w:rPr>
              <w:t xml:space="preserve"> </w:t>
            </w:r>
          </w:p>
          <w:p w14:paraId="415297D0" w14:textId="77777777" w:rsidR="00246E50" w:rsidRDefault="00246E50" w:rsidP="00246E50">
            <w:pPr>
              <w:pStyle w:val="TableText"/>
            </w:pPr>
          </w:p>
          <w:p w14:paraId="1896D9D0" w14:textId="77777777" w:rsidR="00246E50" w:rsidRDefault="00246E50" w:rsidP="00246E50">
            <w:pPr>
              <w:pStyle w:val="TableText"/>
              <w:rPr>
                <w:b/>
                <w:bCs/>
              </w:rPr>
            </w:pPr>
            <w:r>
              <w:rPr>
                <w:b/>
                <w:bCs/>
              </w:rPr>
              <w:t>NOTES</w:t>
            </w:r>
          </w:p>
          <w:p w14:paraId="6E2EAC78" w14:textId="77777777" w:rsidR="00246E50" w:rsidRDefault="00246E50" w:rsidP="00246E50">
            <w:pPr>
              <w:pStyle w:val="NotesText"/>
            </w:pPr>
          </w:p>
          <w:p w14:paraId="0F9B625F" w14:textId="77777777" w:rsidR="00246E50" w:rsidRDefault="00246E50" w:rsidP="00246E50">
            <w:pPr>
              <w:pStyle w:val="NotesText"/>
              <w:rPr>
                <w:rFonts w:cs="Arial"/>
              </w:rPr>
            </w:pPr>
            <w:r>
              <w:t>The report includes:</w:t>
            </w:r>
            <w:r>
              <w:rPr>
                <w:rFonts w:cs="Arial"/>
              </w:rPr>
              <w:t xml:space="preserve"> </w:t>
            </w:r>
          </w:p>
          <w:p w14:paraId="571983D8" w14:textId="77777777" w:rsidR="00246E50" w:rsidRDefault="00246E50" w:rsidP="00246E50">
            <w:pPr>
              <w:pStyle w:val="NotesTextBullet"/>
            </w:pPr>
            <w:r>
              <w:lastRenderedPageBreak/>
              <w:t>Issue-to location</w:t>
            </w:r>
          </w:p>
          <w:p w14:paraId="08E3CB31" w14:textId="77777777" w:rsidR="00246E50" w:rsidRDefault="00246E50" w:rsidP="00246E50">
            <w:pPr>
              <w:pStyle w:val="NotesTextBullet"/>
            </w:pPr>
            <w:r>
              <w:t>Unit ID</w:t>
            </w:r>
          </w:p>
          <w:p w14:paraId="25F6C27C" w14:textId="77777777" w:rsidR="00246E50" w:rsidRDefault="00246E50" w:rsidP="00246E50">
            <w:pPr>
              <w:pStyle w:val="NotesTextBullet"/>
            </w:pPr>
            <w:r>
              <w:t>Product short name</w:t>
            </w:r>
          </w:p>
          <w:p w14:paraId="068FE4EB" w14:textId="77777777" w:rsidR="00246E50" w:rsidRDefault="00246E50" w:rsidP="00246E50">
            <w:pPr>
              <w:pStyle w:val="NotesTextBullet"/>
            </w:pPr>
            <w:r>
              <w:t>Issue Date/time</w:t>
            </w:r>
          </w:p>
          <w:p w14:paraId="594DC4FD" w14:textId="77777777" w:rsidR="00246E50" w:rsidRDefault="00246E50" w:rsidP="00246E50">
            <w:pPr>
              <w:pStyle w:val="NotesTextBullet"/>
            </w:pPr>
            <w:r>
              <w:t xml:space="preserve">Start Date/time </w:t>
            </w:r>
          </w:p>
          <w:p w14:paraId="178B11E7" w14:textId="77777777" w:rsidR="00246E50" w:rsidRDefault="00246E50" w:rsidP="00246E50">
            <w:pPr>
              <w:pStyle w:val="NotesTextBullet"/>
            </w:pPr>
            <w:r>
              <w:t>End Date/time</w:t>
            </w:r>
          </w:p>
          <w:p w14:paraId="4D3A8549" w14:textId="77777777" w:rsidR="00246E50" w:rsidRDefault="00246E50" w:rsidP="00246E50">
            <w:pPr>
              <w:pStyle w:val="NotesTextBullet"/>
            </w:pPr>
            <w:r>
              <w:t>Number of minutes elapsed between unit issue and start time, when exceeds 30 minutes</w:t>
            </w:r>
          </w:p>
          <w:p w14:paraId="59182E77" w14:textId="77777777" w:rsidR="00246E50" w:rsidRDefault="00246E50" w:rsidP="00246E50">
            <w:pPr>
              <w:pStyle w:val="NotesTextBullet"/>
            </w:pPr>
            <w:r>
              <w:t xml:space="preserve">Number of minutes elapsed between the unit start and end dates and times, when they exceed the maximum transfusion setting for the component class. </w:t>
            </w:r>
          </w:p>
          <w:p w14:paraId="0FBB691E" w14:textId="77777777" w:rsidR="00246E50" w:rsidRDefault="00246E50" w:rsidP="00246E50">
            <w:pPr>
              <w:pStyle w:val="NotesTextBullet"/>
            </w:pPr>
            <w:r>
              <w:t>Patient Name</w:t>
            </w:r>
          </w:p>
          <w:p w14:paraId="23BC6E3B" w14:textId="77777777" w:rsidR="00246E50" w:rsidRDefault="00246E50" w:rsidP="00246E50">
            <w:pPr>
              <w:pStyle w:val="NotesTextBullet"/>
            </w:pPr>
            <w:r>
              <w:t>Patient ID</w:t>
            </w:r>
          </w:p>
          <w:p w14:paraId="0EDD881B" w14:textId="77777777" w:rsidR="00246E50" w:rsidRDefault="00246E50" w:rsidP="00246E50">
            <w:pPr>
              <w:pStyle w:val="NotesTextBullet"/>
            </w:pPr>
            <w:r>
              <w:t>Treating Specialty</w:t>
            </w:r>
          </w:p>
          <w:p w14:paraId="63BB2FE6" w14:textId="77777777" w:rsidR="00246E50" w:rsidRDefault="00246E50" w:rsidP="00246E50">
            <w:pPr>
              <w:pStyle w:val="NotesText"/>
            </w:pPr>
          </w:p>
          <w:p w14:paraId="1F297E52" w14:textId="77777777" w:rsidR="00246E50" w:rsidRDefault="00246E50" w:rsidP="00246E50">
            <w:pPr>
              <w:pStyle w:val="NotesText"/>
            </w:pPr>
            <w:r>
              <w:rPr>
                <w:rFonts w:cs="Arial"/>
                <w:vanish/>
              </w:rPr>
              <w:t xml:space="preserve">BR_105.02 </w:t>
            </w:r>
            <w:r>
              <w:t>The report includes instances of a prolonged start time and/or the prolonged transfusion time.</w:t>
            </w:r>
          </w:p>
          <w:p w14:paraId="15DFDB9F" w14:textId="77777777" w:rsidR="00246E50" w:rsidRDefault="00246E50" w:rsidP="00246E50">
            <w:pPr>
              <w:pStyle w:val="NotesText"/>
            </w:pPr>
          </w:p>
          <w:p w14:paraId="47F90F58" w14:textId="77777777" w:rsidR="00246E50" w:rsidRDefault="00246E50" w:rsidP="00246E50">
            <w:pPr>
              <w:pStyle w:val="NotesText"/>
            </w:pPr>
            <w:r>
              <w:rPr>
                <w:rFonts w:cs="Arial"/>
                <w:vanish/>
              </w:rPr>
              <w:t xml:space="preserve">BR_105.03 </w:t>
            </w:r>
            <w:r>
              <w:t>A prolonged transfusion time is the number of minutes elapsed between the transfusion start and end times and the maximum transfusion time setting for the component class. When the number of minutes exceeds the maximum transfusion time setting for the component class, the unit and its transfusion data are included in the report.</w:t>
            </w:r>
          </w:p>
          <w:p w14:paraId="38CE7FBB" w14:textId="77777777" w:rsidR="00246E50" w:rsidRDefault="00246E50" w:rsidP="00246E50">
            <w:pPr>
              <w:pStyle w:val="NotesText"/>
            </w:pPr>
          </w:p>
          <w:p w14:paraId="6506FDD3" w14:textId="77777777" w:rsidR="00246E50" w:rsidRDefault="00246E50" w:rsidP="00246E50">
            <w:pPr>
              <w:pStyle w:val="NotesText"/>
            </w:pPr>
            <w:r>
              <w:rPr>
                <w:rFonts w:cs="Arial"/>
                <w:vanish/>
              </w:rPr>
              <w:t xml:space="preserve">BR_105.04 </w:t>
            </w:r>
            <w:r>
              <w:t>A delayed start of transfusion is the number of minutes elapsed between the issue time and the transfusion start time. When the start time of the unit’s transfusion is greater than 30 minutes from the unit’s issue time and when no remote storage location is indicated, the unit and its transfusion data are included in the report.</w:t>
            </w:r>
          </w:p>
          <w:p w14:paraId="58448023" w14:textId="77777777" w:rsidR="00246E50" w:rsidRDefault="00246E50" w:rsidP="00246E50">
            <w:pPr>
              <w:pStyle w:val="NotesText"/>
            </w:pPr>
          </w:p>
          <w:p w14:paraId="56F49B8D" w14:textId="77777777" w:rsidR="00246E50" w:rsidRDefault="00246E50" w:rsidP="00246E50">
            <w:pPr>
              <w:pStyle w:val="NotesText"/>
            </w:pPr>
            <w:r>
              <w:rPr>
                <w:rFonts w:cs="Arial"/>
                <w:vanish/>
              </w:rPr>
              <w:t xml:space="preserve">BR_105.06 </w:t>
            </w:r>
            <w:r>
              <w:t>The total transfusion time is the number of minutes elapsed between the issue and end times.</w:t>
            </w:r>
          </w:p>
          <w:p w14:paraId="01004C17" w14:textId="77777777" w:rsidR="00246E50" w:rsidRDefault="00246E50" w:rsidP="00246E50">
            <w:pPr>
              <w:pStyle w:val="NotesText"/>
            </w:pPr>
          </w:p>
          <w:p w14:paraId="0373B5FF" w14:textId="77777777" w:rsidR="00246E50" w:rsidRDefault="00246E50" w:rsidP="00246E50">
            <w:pPr>
              <w:pStyle w:val="NotesText"/>
            </w:pPr>
            <w:r>
              <w:rPr>
                <w:rFonts w:cs="Arial"/>
                <w:vanish/>
              </w:rPr>
              <w:t xml:space="preserve">BR_105.05 </w:t>
            </w:r>
            <w:r>
              <w:t>The report includes:</w:t>
            </w:r>
          </w:p>
          <w:p w14:paraId="0919AE7D" w14:textId="77777777" w:rsidR="00246E50" w:rsidRDefault="00246E50" w:rsidP="00246E50">
            <w:pPr>
              <w:pStyle w:val="NotesTextBullet"/>
            </w:pPr>
            <w:r>
              <w:t>Issue-To Location</w:t>
            </w:r>
          </w:p>
          <w:p w14:paraId="3947AEE3" w14:textId="77777777" w:rsidR="00246E50" w:rsidRDefault="00246E50" w:rsidP="00246E50">
            <w:pPr>
              <w:pStyle w:val="NotesTextBullet"/>
            </w:pPr>
            <w:r>
              <w:t>Unit ID</w:t>
            </w:r>
          </w:p>
          <w:p w14:paraId="0E0CFAE3" w14:textId="77777777" w:rsidR="00246E50" w:rsidRDefault="00246E50" w:rsidP="00246E50">
            <w:pPr>
              <w:pStyle w:val="NotesTextBullet"/>
            </w:pPr>
            <w:r>
              <w:t>Product Short Name</w:t>
            </w:r>
          </w:p>
          <w:p w14:paraId="230199E7" w14:textId="77777777" w:rsidR="00246E50" w:rsidRDefault="00246E50" w:rsidP="00246E50">
            <w:pPr>
              <w:pStyle w:val="NotesTextBullet"/>
            </w:pPr>
            <w:r>
              <w:t>Issue Date/Time</w:t>
            </w:r>
          </w:p>
          <w:p w14:paraId="0F79F8AE" w14:textId="77777777" w:rsidR="00246E50" w:rsidRDefault="00246E50" w:rsidP="00246E50">
            <w:pPr>
              <w:pStyle w:val="NotesTextBullet"/>
            </w:pPr>
            <w:r>
              <w:t xml:space="preserve">Start Date/Time </w:t>
            </w:r>
          </w:p>
          <w:p w14:paraId="5545E2CF" w14:textId="77777777" w:rsidR="00246E50" w:rsidRDefault="00246E50" w:rsidP="00246E50">
            <w:pPr>
              <w:pStyle w:val="NotesTextBullet"/>
            </w:pPr>
            <w:r>
              <w:t>End Date/Time</w:t>
            </w:r>
          </w:p>
          <w:p w14:paraId="751AF07E" w14:textId="77777777" w:rsidR="00246E50" w:rsidRDefault="00246E50" w:rsidP="00246E50">
            <w:pPr>
              <w:pStyle w:val="NotesTextBullet"/>
            </w:pPr>
            <w:r>
              <w:t>Delayed start interval (the number of minutes elapsed between unit issue and start times, when it exceeds 30 minutes)</w:t>
            </w:r>
          </w:p>
          <w:p w14:paraId="2589150D" w14:textId="77777777" w:rsidR="00246E50" w:rsidRDefault="00246E50" w:rsidP="00246E50">
            <w:pPr>
              <w:pStyle w:val="NotesTextBullet"/>
            </w:pPr>
            <w:r>
              <w:t>Prolonged transfusion interval (the number of minutes elapsed between unit start and end dates and times, when they exceed the maximum transfusion setting for the component class)</w:t>
            </w:r>
          </w:p>
          <w:p w14:paraId="16F95031" w14:textId="77777777" w:rsidR="00246E50" w:rsidRDefault="00246E50" w:rsidP="00246E50">
            <w:pPr>
              <w:pStyle w:val="NotesTextBullet"/>
            </w:pPr>
            <w:r>
              <w:t>Patient Name</w:t>
            </w:r>
          </w:p>
          <w:p w14:paraId="758631AD" w14:textId="77777777" w:rsidR="00246E50" w:rsidRDefault="00246E50" w:rsidP="00246E50">
            <w:pPr>
              <w:pStyle w:val="NotesTextBullet"/>
            </w:pPr>
            <w:r>
              <w:t xml:space="preserve">Patient ID </w:t>
            </w:r>
          </w:p>
          <w:p w14:paraId="382CBDCC" w14:textId="77777777" w:rsidR="00246E50" w:rsidRDefault="00246E50" w:rsidP="00246E50">
            <w:pPr>
              <w:pStyle w:val="NotesTextBullet"/>
            </w:pPr>
            <w:r>
              <w:t>Treating Specialty</w:t>
            </w:r>
          </w:p>
        </w:tc>
      </w:tr>
      <w:tr w:rsidR="00246E50" w14:paraId="56908E25" w14:textId="77777777" w:rsidTr="00246E50">
        <w:trPr>
          <w:cantSplit/>
        </w:trPr>
        <w:tc>
          <w:tcPr>
            <w:tcW w:w="3240" w:type="dxa"/>
          </w:tcPr>
          <w:p w14:paraId="10C4C87D" w14:textId="0275B7E4" w:rsidR="00246E50" w:rsidRDefault="00246E50" w:rsidP="00246E50">
            <w:pPr>
              <w:pStyle w:val="TableTextNumbers"/>
            </w:pPr>
            <w:r w:rsidRPr="0076371D">
              <w:lastRenderedPageBreak/>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t xml:space="preserve"> </w:t>
            </w:r>
            <w:r w:rsidRPr="009660C3">
              <w:rPr>
                <w:vanish/>
                <w:szCs w:val="18"/>
              </w:rPr>
              <w:fldChar w:fldCharType="begin"/>
            </w:r>
            <w:r w:rsidRPr="009660C3">
              <w:rPr>
                <w:vanish/>
                <w:szCs w:val="18"/>
              </w:rPr>
              <w:instrText xml:space="preserve"> LISTNUM \l 1 \s 0 </w:instrText>
            </w:r>
            <w:r w:rsidRPr="009660C3">
              <w:rPr>
                <w:vanish/>
                <w:szCs w:val="18"/>
              </w:rPr>
              <w:fldChar w:fldCharType="end">
                <w:numberingChange w:id="687" w:author="Muszynski, Thomas (Leidos)" w:date="2020-06-23T10:55:00Z" w:original="0."/>
              </w:fldChar>
            </w:r>
          </w:p>
        </w:tc>
        <w:tc>
          <w:tcPr>
            <w:tcW w:w="6120" w:type="dxa"/>
          </w:tcPr>
          <w:p w14:paraId="684C19E2" w14:textId="77777777" w:rsidR="00246E50" w:rsidRDefault="00246E50" w:rsidP="00246E50">
            <w:pPr>
              <w:pStyle w:val="TableTextBullet"/>
            </w:pPr>
            <w:r>
              <w:t>If Print is selected, prints the report on the designated printer.</w:t>
            </w:r>
          </w:p>
          <w:p w14:paraId="4A89CEF7" w14:textId="77777777" w:rsidR="00246E50" w:rsidRDefault="00246E50" w:rsidP="00246E50">
            <w:pPr>
              <w:pStyle w:val="TableTextBullet"/>
            </w:pPr>
            <w:r>
              <w:t>If Export is selected, exports the report to the designated file.</w:t>
            </w:r>
          </w:p>
          <w:p w14:paraId="23D5A7BC" w14:textId="77777777" w:rsidR="00246E50" w:rsidRDefault="00246E50" w:rsidP="00246E50">
            <w:pPr>
              <w:pStyle w:val="TableTextBullet"/>
            </w:pPr>
            <w:r>
              <w:t>If Close is selected, exits the report preview.</w:t>
            </w:r>
          </w:p>
        </w:tc>
      </w:tr>
    </w:tbl>
    <w:p w14:paraId="791E55FC" w14:textId="77777777" w:rsidR="00246E50" w:rsidRDefault="00246E50">
      <w:pPr>
        <w:rPr>
          <w:rFonts w:ascii="Arial" w:hAnsi="Arial" w:cs="Arial"/>
          <w:b/>
          <w:bCs/>
          <w:i/>
          <w:iCs/>
          <w:sz w:val="28"/>
          <w:szCs w:val="28"/>
        </w:rPr>
      </w:pPr>
      <w:r>
        <w:br w:type="page"/>
      </w:r>
    </w:p>
    <w:p w14:paraId="6D984C8E" w14:textId="53302593" w:rsidR="002A21AE" w:rsidRDefault="002A21AE">
      <w:pPr>
        <w:pStyle w:val="Heading2"/>
      </w:pPr>
      <w:bookmarkStart w:id="688" w:name="_Toc47516793"/>
      <w:r>
        <w:lastRenderedPageBreak/>
        <w:t>Transfusion Complications Report</w:t>
      </w:r>
      <w:bookmarkEnd w:id="688"/>
      <w:r>
        <w:fldChar w:fldCharType="begin"/>
      </w:r>
      <w:r>
        <w:instrText xml:space="preserve"> XE </w:instrText>
      </w:r>
      <w:r w:rsidR="00FA7E65">
        <w:instrText>“</w:instrText>
      </w:r>
      <w:r>
        <w:instrText>Transfusion Complications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UC_90</w:t>
      </w:r>
    </w:p>
    <w:p w14:paraId="06BDC359" w14:textId="77777777" w:rsidR="002A21AE" w:rsidRDefault="002A21AE" w:rsidP="00FA7E65">
      <w:pPr>
        <w:pStyle w:val="BodyText"/>
      </w:pPr>
      <w:r>
        <w:t xml:space="preserve">The user views </w:t>
      </w:r>
      <w:r w:rsidR="003F3B4B">
        <w:t>and</w:t>
      </w:r>
      <w:r w:rsidR="009162DB">
        <w:t>/or</w:t>
      </w:r>
      <w:r>
        <w:t xml:space="preserve"> prints the T</w:t>
      </w:r>
      <w:r w:rsidR="009162DB">
        <w:t>ransfusion Complications Report</w:t>
      </w:r>
      <w:r>
        <w:t xml:space="preserve">. </w:t>
      </w:r>
    </w:p>
    <w:p w14:paraId="38FBE634" w14:textId="77777777" w:rsidR="002A21AE" w:rsidRDefault="002A21AE">
      <w:pPr>
        <w:pStyle w:val="Heading4"/>
      </w:pPr>
      <w:r>
        <w:t>Assumptions</w:t>
      </w:r>
      <w:r>
        <w:rPr>
          <w:b w:val="0"/>
        </w:rPr>
        <w:t xml:space="preserve"> </w:t>
      </w:r>
    </w:p>
    <w:p w14:paraId="32BB2D90" w14:textId="77777777" w:rsidR="00CA6E27" w:rsidRDefault="00CA6E27">
      <w:pPr>
        <w:pStyle w:val="ListBullet"/>
      </w:pPr>
      <w:r w:rsidRPr="00CA6E27">
        <w:rPr>
          <w:bCs/>
        </w:rPr>
        <w:t>VistA</w:t>
      </w:r>
      <w:r w:rsidR="002A21AE">
        <w:t xml:space="preserve"> tests are defined</w:t>
      </w:r>
      <w:r w:rsidR="00DF389C">
        <w:t xml:space="preserve"> in Transfusion Complications</w:t>
      </w:r>
      <w:r>
        <w:t>.</w:t>
      </w:r>
    </w:p>
    <w:p w14:paraId="51CFAA87" w14:textId="77777777" w:rsidR="002A21AE" w:rsidRDefault="00CA6E27">
      <w:pPr>
        <w:pStyle w:val="ListBullet"/>
      </w:pPr>
      <w:r>
        <w:t>T</w:t>
      </w:r>
      <w:r w:rsidR="002A21AE">
        <w:t xml:space="preserve">he connection to </w:t>
      </w:r>
      <w:r w:rsidRPr="00CA6E27">
        <w:rPr>
          <w:bCs/>
        </w:rPr>
        <w:t>VistA</w:t>
      </w:r>
      <w:r w:rsidR="002A21AE">
        <w:t xml:space="preserve"> is active.</w:t>
      </w:r>
    </w:p>
    <w:p w14:paraId="26CDE63F" w14:textId="77777777" w:rsidR="002A21AE" w:rsidRDefault="002A21AE">
      <w:pPr>
        <w:pStyle w:val="ListBullet"/>
      </w:pPr>
      <w:r>
        <w:t>Transfusion Complications was processed and post-transfusion complication tests are defined.</w:t>
      </w:r>
    </w:p>
    <w:p w14:paraId="4406B343" w14:textId="77777777" w:rsidR="002A21AE" w:rsidRDefault="002A21AE">
      <w:pPr>
        <w:pStyle w:val="ListBullet"/>
      </w:pPr>
      <w:r>
        <w:t>Units have a status of presumed transfused or transfused for the patient.</w:t>
      </w:r>
    </w:p>
    <w:p w14:paraId="5017E9E8" w14:textId="77777777" w:rsidR="002A21AE" w:rsidRDefault="002A21AE">
      <w:pPr>
        <w:pStyle w:val="Heading4"/>
      </w:pPr>
      <w:r>
        <w:t xml:space="preserve">Outcome </w:t>
      </w:r>
    </w:p>
    <w:p w14:paraId="40753795" w14:textId="77777777" w:rsidR="002A21AE" w:rsidRDefault="00AE521B">
      <w:pPr>
        <w:pStyle w:val="ListBullet"/>
      </w:pPr>
      <w:r>
        <w:t>The user views and/or prints the report</w:t>
      </w:r>
      <w:r w:rsidR="002A21AE">
        <w:t xml:space="preserve">. </w:t>
      </w:r>
    </w:p>
    <w:p w14:paraId="6BE221D9" w14:textId="77777777" w:rsidR="002A21AE" w:rsidRDefault="002A21AE">
      <w:pPr>
        <w:pStyle w:val="Heading4"/>
      </w:pPr>
      <w:r>
        <w:t>Limitations and Restrictions</w:t>
      </w:r>
      <w:r>
        <w:rPr>
          <w:b w:val="0"/>
        </w:rPr>
        <w:t xml:space="preserve"> </w:t>
      </w:r>
    </w:p>
    <w:p w14:paraId="5D39700D" w14:textId="77777777" w:rsidR="002A21AE" w:rsidRDefault="002A21AE">
      <w:pPr>
        <w:pStyle w:val="ListBullet"/>
      </w:pPr>
      <w:r>
        <w:t>The report does not include units in an issued status.</w:t>
      </w:r>
    </w:p>
    <w:p w14:paraId="7F8C840D" w14:textId="15DB27E1" w:rsidR="00270D6F" w:rsidRDefault="00270D6F" w:rsidP="00270D6F">
      <w:pPr>
        <w:pStyle w:val="ListBullet"/>
      </w:pPr>
      <w:r>
        <w:t xml:space="preserve">The report cannot be </w:t>
      </w:r>
      <w:r w:rsidR="00C73E0E">
        <w:t>scheduled.</w:t>
      </w:r>
      <w:r w:rsidR="00CD5BA1">
        <w:t xml:space="preserve"> </w:t>
      </w:r>
      <w:r w:rsidR="00CD5BA1" w:rsidRPr="00CD5BA1">
        <w:rPr>
          <w:vanish/>
        </w:rPr>
        <w:t>Defect 210264</w:t>
      </w:r>
    </w:p>
    <w:p w14:paraId="060A0728" w14:textId="13A64A81" w:rsidR="002A21AE" w:rsidRDefault="002A21AE" w:rsidP="005304F5">
      <w:pPr>
        <w:pStyle w:val="Heading4"/>
      </w:pPr>
      <w:r>
        <w:t xml:space="preserve">Additional Information </w:t>
      </w:r>
    </w:p>
    <w:p w14:paraId="49C13E6E" w14:textId="77777777" w:rsidR="002A21AE" w:rsidRDefault="002A21AE">
      <w:pPr>
        <w:pStyle w:val="ListBullet"/>
      </w:pPr>
      <w:r>
        <w:t xml:space="preserve">The report searches for </w:t>
      </w:r>
      <w:r w:rsidR="00CA6E27" w:rsidRPr="00CA6E27">
        <w:rPr>
          <w:bCs/>
        </w:rPr>
        <w:t>VistA</w:t>
      </w:r>
      <w:r>
        <w:t xml:space="preserve"> tests defined in Transfusion Complications when the report is requested.</w:t>
      </w:r>
    </w:p>
    <w:p w14:paraId="1584E4F2" w14:textId="77777777" w:rsidR="002A21AE" w:rsidRDefault="002A21AE">
      <w:pPr>
        <w:pStyle w:val="ListBullet"/>
      </w:pPr>
      <w:r>
        <w:t>If threshold values are words, they are case insensitive.</w:t>
      </w:r>
    </w:p>
    <w:p w14:paraId="264FC95E" w14:textId="77777777" w:rsidR="002A21AE" w:rsidRDefault="002A21AE">
      <w:pPr>
        <w:pStyle w:val="ListBullet"/>
      </w:pPr>
      <w:r>
        <w:t>A patient’s test results and transfusions are not directly linked by date, episode, or admission event.</w:t>
      </w:r>
    </w:p>
    <w:p w14:paraId="5DECF07E" w14:textId="77777777" w:rsidR="002A21AE" w:rsidRDefault="002A21AE">
      <w:pPr>
        <w:pStyle w:val="ListBullet"/>
      </w:pPr>
      <w:r>
        <w:t>Lab test data retrieved for the report are not saved in VBECS.</w:t>
      </w:r>
    </w:p>
    <w:p w14:paraId="65D2E757" w14:textId="77777777" w:rsidR="002A21AE" w:rsidRDefault="002A21AE">
      <w:pPr>
        <w:pStyle w:val="ListBullet"/>
      </w:pPr>
      <w:r>
        <w:t>The report is not saved in VBECS.</w:t>
      </w:r>
    </w:p>
    <w:p w14:paraId="6701DF14" w14:textId="77777777" w:rsidR="002A21AE" w:rsidRDefault="002A21AE">
      <w:pPr>
        <w:pStyle w:val="Heading4"/>
        <w:rPr>
          <w:b w:val="0"/>
        </w:rPr>
      </w:pPr>
      <w:r>
        <w:t>User Roles with Access to This Option</w:t>
      </w:r>
      <w:r>
        <w:rPr>
          <w:b w:val="0"/>
        </w:rPr>
        <w:t xml:space="preserve"> </w:t>
      </w:r>
    </w:p>
    <w:p w14:paraId="4DD7E060" w14:textId="77777777" w:rsidR="002A21AE" w:rsidRDefault="00184EA4">
      <w:pPr>
        <w:pStyle w:val="Roles"/>
      </w:pPr>
      <w:r>
        <w:t>All users</w:t>
      </w:r>
    </w:p>
    <w:p w14:paraId="6DC7A21B" w14:textId="77777777" w:rsidR="002A21AE" w:rsidRDefault="002A21AE">
      <w:pPr>
        <w:pStyle w:val="Heading4"/>
        <w:tabs>
          <w:tab w:val="left" w:pos="6885"/>
        </w:tabs>
      </w:pPr>
      <w:r>
        <w:t xml:space="preserve">Transfusion Complications Report </w:t>
      </w:r>
      <w:r>
        <w:tab/>
      </w:r>
    </w:p>
    <w:p w14:paraId="1EA2E0D8" w14:textId="77777777" w:rsidR="002A21AE" w:rsidRDefault="002A21AE" w:rsidP="00FA7E65">
      <w:pPr>
        <w:pStyle w:val="BodyText"/>
      </w:pPr>
      <w:r>
        <w:t xml:space="preserve">The user views </w:t>
      </w:r>
      <w:r w:rsidR="009162DB">
        <w:t>and/</w:t>
      </w:r>
      <w:r>
        <w:t>or prints the Transfusion Complications Report</w:t>
      </w:r>
      <w:r w:rsidR="009162DB">
        <w:t>, which includes patients transfused in his division with a test result that exceeds the threshold set in Transfusion Complications for that test</w:t>
      </w:r>
      <w:r>
        <w:t>. Tests associated with possible post-transfusion complications are gathered by searching for results in a user-defined date range for the report. The report also includes the documented patient transfusions from 12 months prior to the start date of the report through the end date of the report.</w:t>
      </w:r>
      <w:r w:rsidR="009162DB">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4824773" w14:textId="77777777">
        <w:trPr>
          <w:cantSplit/>
          <w:tblHeader/>
        </w:trPr>
        <w:tc>
          <w:tcPr>
            <w:tcW w:w="3240" w:type="dxa"/>
            <w:shd w:val="pct30" w:color="auto" w:fill="FFFFFF"/>
            <w:vAlign w:val="bottom"/>
          </w:tcPr>
          <w:p w14:paraId="69987BD5" w14:textId="77777777" w:rsidR="002A21AE" w:rsidRDefault="002A21AE">
            <w:pPr>
              <w:pStyle w:val="TableText"/>
              <w:rPr>
                <w:b/>
              </w:rPr>
            </w:pPr>
            <w:r>
              <w:rPr>
                <w:b/>
              </w:rPr>
              <w:t>User Action</w:t>
            </w:r>
          </w:p>
        </w:tc>
        <w:tc>
          <w:tcPr>
            <w:tcW w:w="6120" w:type="dxa"/>
            <w:shd w:val="pct30" w:color="auto" w:fill="FFFFFF"/>
            <w:vAlign w:val="bottom"/>
          </w:tcPr>
          <w:p w14:paraId="19D39184" w14:textId="77777777" w:rsidR="002A21AE" w:rsidRDefault="002A21AE">
            <w:pPr>
              <w:pStyle w:val="TableText"/>
              <w:rPr>
                <w:b/>
              </w:rPr>
            </w:pPr>
            <w:r>
              <w:rPr>
                <w:b/>
              </w:rPr>
              <w:t>VBECS</w:t>
            </w:r>
          </w:p>
        </w:tc>
      </w:tr>
      <w:tr w:rsidR="002A21AE" w14:paraId="63A9D506" w14:textId="77777777">
        <w:tc>
          <w:tcPr>
            <w:tcW w:w="3240" w:type="dxa"/>
            <w:tcBorders>
              <w:top w:val="single" w:sz="4" w:space="0" w:color="auto"/>
              <w:left w:val="single" w:sz="4" w:space="0" w:color="auto"/>
              <w:bottom w:val="single" w:sz="4" w:space="0" w:color="auto"/>
              <w:right w:val="single" w:sz="4" w:space="0" w:color="auto"/>
            </w:tcBorders>
          </w:tcPr>
          <w:p w14:paraId="74FBE017" w14:textId="77777777" w:rsidR="002A21AE" w:rsidRDefault="002A21AE" w:rsidP="00BA3292">
            <w:pPr>
              <w:pStyle w:val="TableTextNumbers"/>
              <w:numPr>
                <w:ilvl w:val="0"/>
                <w:numId w:val="82"/>
              </w:numPr>
            </w:pPr>
            <w:r>
              <w:t xml:space="preserve">Select </w:t>
            </w:r>
            <w:r w:rsidRPr="00946DA2">
              <w:rPr>
                <w:b/>
              </w:rPr>
              <w:t>Reports</w:t>
            </w:r>
            <w:r>
              <w:t xml:space="preserve"> from the main menu.</w:t>
            </w:r>
          </w:p>
          <w:p w14:paraId="7DD0BFF9" w14:textId="77777777" w:rsidR="002A21AE" w:rsidRDefault="002A21AE">
            <w:pPr>
              <w:pStyle w:val="TableTextNumbersContinued"/>
            </w:pPr>
          </w:p>
          <w:p w14:paraId="4C61A9C5" w14:textId="77777777" w:rsidR="002A21AE" w:rsidRDefault="002A21AE">
            <w:pPr>
              <w:pStyle w:val="TableTextNumbersContinued"/>
            </w:pPr>
            <w:r>
              <w:t xml:space="preserve">Select </w:t>
            </w:r>
            <w:r>
              <w:rPr>
                <w:b/>
              </w:rPr>
              <w:t>Transfusion Complications Report</w:t>
            </w:r>
            <w:r>
              <w:t>.</w:t>
            </w:r>
          </w:p>
        </w:tc>
        <w:tc>
          <w:tcPr>
            <w:tcW w:w="6120" w:type="dxa"/>
            <w:tcBorders>
              <w:top w:val="single" w:sz="4" w:space="0" w:color="auto"/>
              <w:left w:val="single" w:sz="4" w:space="0" w:color="auto"/>
              <w:bottom w:val="single" w:sz="4" w:space="0" w:color="auto"/>
              <w:right w:val="single" w:sz="4" w:space="0" w:color="auto"/>
            </w:tcBorders>
          </w:tcPr>
          <w:p w14:paraId="59BABD36" w14:textId="77777777" w:rsidR="002A21AE" w:rsidRDefault="002A21AE">
            <w:pPr>
              <w:pStyle w:val="TableTextBullet"/>
            </w:pPr>
            <w:r>
              <w:t>Lists report names.</w:t>
            </w:r>
          </w:p>
          <w:p w14:paraId="6BF9A7DE" w14:textId="77777777" w:rsidR="002A21AE" w:rsidRDefault="002A21AE">
            <w:pPr>
              <w:pStyle w:val="TableTextBullet"/>
            </w:pPr>
            <w:r>
              <w:t>Displays fields for entering a report date range.</w:t>
            </w:r>
          </w:p>
        </w:tc>
      </w:tr>
      <w:tr w:rsidR="002A21AE" w14:paraId="2686EF75" w14:textId="77777777" w:rsidTr="00305B16">
        <w:trPr>
          <w:cantSplit/>
        </w:trPr>
        <w:tc>
          <w:tcPr>
            <w:tcW w:w="3240" w:type="dxa"/>
          </w:tcPr>
          <w:p w14:paraId="055E3E3F" w14:textId="77777777" w:rsidR="002A21AE" w:rsidRDefault="002A21AE">
            <w:pPr>
              <w:pStyle w:val="TableTextNumbers"/>
            </w:pPr>
            <w:r>
              <w:lastRenderedPageBreak/>
              <w:t>Enter or select start and end dates.</w:t>
            </w:r>
          </w:p>
        </w:tc>
        <w:tc>
          <w:tcPr>
            <w:tcW w:w="6120" w:type="dxa"/>
          </w:tcPr>
          <w:p w14:paraId="0B869C0E" w14:textId="77777777" w:rsidR="002A21AE" w:rsidRDefault="002A21AE">
            <w:pPr>
              <w:pStyle w:val="TableTextBullet"/>
            </w:pPr>
            <w:r>
              <w:t>Compiles and displays the report and allows the user to print it.</w:t>
            </w:r>
          </w:p>
          <w:p w14:paraId="461D7C28" w14:textId="77777777" w:rsidR="002A21AE" w:rsidRDefault="002A21AE">
            <w:pPr>
              <w:pStyle w:val="TableText"/>
            </w:pPr>
          </w:p>
          <w:p w14:paraId="7430F7C6" w14:textId="112651FB" w:rsidR="002A21AE" w:rsidRDefault="002A21AE">
            <w:pPr>
              <w:pStyle w:val="TableText"/>
              <w:rPr>
                <w:b/>
                <w:bCs/>
                <w:szCs w:val="18"/>
              </w:rPr>
            </w:pPr>
            <w:r>
              <w:rPr>
                <w:b/>
                <w:bCs/>
                <w:szCs w:val="18"/>
              </w:rPr>
              <w:t>NOTES</w:t>
            </w:r>
          </w:p>
          <w:p w14:paraId="159E60B1" w14:textId="77777777" w:rsidR="002A21AE" w:rsidRDefault="002A21AE">
            <w:pPr>
              <w:pStyle w:val="NotesText"/>
            </w:pPr>
          </w:p>
          <w:p w14:paraId="77F02038" w14:textId="77777777" w:rsidR="002A21AE" w:rsidRDefault="002A21AE">
            <w:pPr>
              <w:pStyle w:val="NotesText"/>
            </w:pPr>
            <w:r>
              <w:rPr>
                <w:rFonts w:cs="Arial"/>
                <w:vanish/>
              </w:rPr>
              <w:t xml:space="preserve">BR_90.02 </w:t>
            </w:r>
            <w:r>
              <w:t>VBECS searches the Laboratory files (VistALink) and gathers instances of tests that exceed the threshold result of the tests set in Transfusion Complications within the specified date range. Retrieved test results are then filtered so that the report includes results only</w:t>
            </w:r>
            <w:r>
              <w:rPr>
                <w:b/>
              </w:rPr>
              <w:t xml:space="preserve"> </w:t>
            </w:r>
            <w:r>
              <w:t>for patients who have transfusions documented in VBECS within the last 12 months prior to the start date of the report through the end date.</w:t>
            </w:r>
          </w:p>
          <w:p w14:paraId="5210EDD8" w14:textId="77777777" w:rsidR="002A21AE" w:rsidRDefault="002A21AE">
            <w:pPr>
              <w:pStyle w:val="NotesText"/>
            </w:pPr>
          </w:p>
          <w:p w14:paraId="6E8147B7" w14:textId="41E9C47F" w:rsidR="002A21AE" w:rsidRDefault="002A21AE">
            <w:pPr>
              <w:pStyle w:val="NotesText"/>
            </w:pPr>
            <w:r>
              <w:rPr>
                <w:rFonts w:cs="Arial"/>
                <w:vanish/>
              </w:rPr>
              <w:t xml:space="preserve">BR_90.03 </w:t>
            </w:r>
            <w:r>
              <w:t>VBECS includes the evaluated tests and their threshold values in the report criteria section</w:t>
            </w:r>
            <w:r w:rsidR="006E7ECE">
              <w:t xml:space="preserve"> ‘Transfusion Complication Test Name’</w:t>
            </w:r>
            <w:r>
              <w:t>.</w:t>
            </w:r>
            <w:r w:rsidR="006E7ECE">
              <w:t xml:space="preserve"> All complications and thresholds are reported, not just the ones where the threshold is exceeded.</w:t>
            </w:r>
          </w:p>
          <w:p w14:paraId="70A925EC" w14:textId="77777777" w:rsidR="002A21AE" w:rsidRDefault="002A21AE">
            <w:pPr>
              <w:pStyle w:val="NotesText"/>
            </w:pPr>
          </w:p>
          <w:p w14:paraId="2420C50C" w14:textId="77777777" w:rsidR="002A21AE" w:rsidRDefault="002A21AE">
            <w:pPr>
              <w:pStyle w:val="NotesText"/>
            </w:pPr>
            <w:r>
              <w:rPr>
                <w:rFonts w:cs="Arial"/>
                <w:vanish/>
              </w:rPr>
              <w:t xml:space="preserve">BR_90.04 </w:t>
            </w:r>
            <w:r>
              <w:rPr>
                <w:color w:val="000000"/>
              </w:rPr>
              <w:t>Details of the report include</w:t>
            </w:r>
            <w:r>
              <w:t>:</w:t>
            </w:r>
          </w:p>
          <w:p w14:paraId="18343002" w14:textId="77777777" w:rsidR="002A21AE" w:rsidRDefault="002A21AE">
            <w:pPr>
              <w:pStyle w:val="NotesTextBullet"/>
            </w:pPr>
            <w:r>
              <w:t>Patient name</w:t>
            </w:r>
          </w:p>
          <w:p w14:paraId="25227D9E" w14:textId="77777777" w:rsidR="002A21AE" w:rsidRDefault="002A21AE">
            <w:pPr>
              <w:pStyle w:val="NotesTextBullet"/>
            </w:pPr>
            <w:r>
              <w:t>Patient ID</w:t>
            </w:r>
          </w:p>
          <w:p w14:paraId="3739D56A" w14:textId="77777777" w:rsidR="002A21AE" w:rsidRDefault="002A21AE">
            <w:pPr>
              <w:pStyle w:val="NotesTextBullet"/>
            </w:pPr>
            <w:r>
              <w:t>Current hospital location</w:t>
            </w:r>
          </w:p>
          <w:p w14:paraId="40BD1422" w14:textId="77777777" w:rsidR="002A21AE" w:rsidRDefault="002A21AE">
            <w:pPr>
              <w:pStyle w:val="NotesTextBullet"/>
            </w:pPr>
            <w:r>
              <w:t>Date of death (in lieu of location if patient died)</w:t>
            </w:r>
          </w:p>
          <w:p w14:paraId="30BA20EA" w14:textId="77777777" w:rsidR="002A21AE" w:rsidRDefault="002A21AE">
            <w:pPr>
              <w:pStyle w:val="NotesTextBullet"/>
            </w:pPr>
            <w:r>
              <w:t>Unit ID</w:t>
            </w:r>
          </w:p>
          <w:p w14:paraId="6F8D6C33" w14:textId="77777777" w:rsidR="002A21AE" w:rsidRDefault="002A21AE">
            <w:pPr>
              <w:pStyle w:val="NotesTextBullet"/>
            </w:pPr>
            <w:r>
              <w:t>Unit short name</w:t>
            </w:r>
          </w:p>
          <w:p w14:paraId="1F7CCD67" w14:textId="77777777" w:rsidR="002A21AE" w:rsidRDefault="002A21AE">
            <w:pPr>
              <w:pStyle w:val="NotesTextBullet"/>
            </w:pPr>
            <w:r>
              <w:t>End date and time of the unit’s transfusion, if available</w:t>
            </w:r>
          </w:p>
          <w:p w14:paraId="11E0990D" w14:textId="77777777" w:rsidR="002A21AE" w:rsidRDefault="002A21AE">
            <w:pPr>
              <w:pStyle w:val="NotesText"/>
            </w:pPr>
          </w:p>
          <w:p w14:paraId="705C36C6" w14:textId="77777777" w:rsidR="002A21AE" w:rsidRDefault="002A21AE">
            <w:pPr>
              <w:pStyle w:val="NotesText"/>
            </w:pPr>
            <w:r>
              <w:t xml:space="preserve">From </w:t>
            </w:r>
            <w:r w:rsidR="00CA6E27" w:rsidRPr="00CA6E27">
              <w:rPr>
                <w:bCs/>
              </w:rPr>
              <w:t>VistA</w:t>
            </w:r>
            <w:r>
              <w:t xml:space="preserve"> for each patient’s tests:</w:t>
            </w:r>
          </w:p>
          <w:p w14:paraId="1CAE4CD5" w14:textId="77777777" w:rsidR="002A21AE" w:rsidRDefault="002A21AE">
            <w:pPr>
              <w:pStyle w:val="NotesTextBullet"/>
            </w:pPr>
            <w:r>
              <w:t>Test name</w:t>
            </w:r>
          </w:p>
          <w:p w14:paraId="65C64771" w14:textId="77777777" w:rsidR="002A21AE" w:rsidRDefault="002A21AE">
            <w:pPr>
              <w:pStyle w:val="NotesTextBullet"/>
            </w:pPr>
            <w:r>
              <w:t>Associated test result</w:t>
            </w:r>
          </w:p>
          <w:p w14:paraId="02AF9F82" w14:textId="77777777" w:rsidR="002A21AE" w:rsidRDefault="002A21AE">
            <w:pPr>
              <w:pStyle w:val="NotesTextBullet"/>
            </w:pPr>
            <w:r>
              <w:t>Date and time recorded</w:t>
            </w:r>
          </w:p>
        </w:tc>
      </w:tr>
      <w:tr w:rsidR="000D2373" w14:paraId="2B4BA2B3" w14:textId="77777777">
        <w:tc>
          <w:tcPr>
            <w:tcW w:w="3240" w:type="dxa"/>
          </w:tcPr>
          <w:p w14:paraId="219D1BF2" w14:textId="77777777" w:rsidR="000D2373" w:rsidRDefault="000D2373" w:rsidP="000D2373">
            <w:pPr>
              <w:pStyle w:val="TableTextNumbers"/>
            </w:pPr>
            <w:r>
              <w:t xml:space="preserve">In the Report Compilation area, click the </w:t>
            </w:r>
            <w:r w:rsidRPr="00B40DDD">
              <w:rPr>
                <w:b/>
              </w:rPr>
              <w:t>Create Report Now</w:t>
            </w:r>
            <w:r>
              <w:t xml:space="preserve"> radio button. Click </w:t>
            </w:r>
            <w:r w:rsidRPr="00B40DDD">
              <w:rPr>
                <w:b/>
              </w:rPr>
              <w:t>OK</w:t>
            </w:r>
            <w:r>
              <w:t xml:space="preserve"> to view the report, or</w:t>
            </w:r>
          </w:p>
          <w:p w14:paraId="2345E57D" w14:textId="77777777" w:rsidR="000D2373" w:rsidRDefault="000D2373" w:rsidP="000D2373">
            <w:pPr>
              <w:pStyle w:val="TableTextNumbers"/>
              <w:numPr>
                <w:ilvl w:val="0"/>
                <w:numId w:val="0"/>
              </w:numPr>
              <w:ind w:left="288"/>
            </w:pPr>
          </w:p>
          <w:p w14:paraId="4B81A654" w14:textId="77777777" w:rsidR="000D2373" w:rsidRDefault="000D2373" w:rsidP="000D2373">
            <w:pPr>
              <w:pStyle w:val="TableTextNumbers"/>
              <w:numPr>
                <w:ilvl w:val="0"/>
                <w:numId w:val="0"/>
              </w:numPr>
              <w:ind w:left="288"/>
            </w:pPr>
            <w:r>
              <w:t xml:space="preserve">Click the </w:t>
            </w:r>
            <w:r w:rsidRPr="00B40DDD">
              <w:rPr>
                <w:b/>
              </w:rPr>
              <w:t>Schedule Print Job</w:t>
            </w:r>
            <w:r>
              <w:t xml:space="preserve"> radio button and </w:t>
            </w:r>
            <w:r w:rsidRPr="00B40DDD">
              <w:rPr>
                <w:b/>
              </w:rPr>
              <w:t>OK</w:t>
            </w:r>
            <w:r>
              <w:t xml:space="preserve">, then enter or select a print date and printer name. Click </w:t>
            </w:r>
            <w:r w:rsidRPr="00B40DDD">
              <w:rPr>
                <w:b/>
              </w:rPr>
              <w:t>OK</w:t>
            </w:r>
            <w:r>
              <w:t xml:space="preserve"> to view and print the report.</w:t>
            </w:r>
          </w:p>
        </w:tc>
        <w:tc>
          <w:tcPr>
            <w:tcW w:w="6120" w:type="dxa"/>
          </w:tcPr>
          <w:p w14:paraId="47D6CE04" w14:textId="77777777" w:rsidR="000D2373" w:rsidRDefault="000D2373" w:rsidP="000D2373">
            <w:pPr>
              <w:pStyle w:val="TableTextBullet"/>
            </w:pPr>
            <w:r>
              <w:t>Compiles and displays the report.</w:t>
            </w:r>
          </w:p>
          <w:p w14:paraId="16AA3FB4" w14:textId="77777777" w:rsidR="000D2373" w:rsidRDefault="000D2373" w:rsidP="000D2373">
            <w:pPr>
              <w:pStyle w:val="TableText"/>
              <w:rPr>
                <w:b/>
                <w:bCs/>
                <w:szCs w:val="18"/>
              </w:rPr>
            </w:pPr>
          </w:p>
          <w:p w14:paraId="1C5AA479" w14:textId="0623CF32" w:rsidR="000D2373" w:rsidRDefault="000D2373" w:rsidP="000D2373">
            <w:pPr>
              <w:pStyle w:val="TableText"/>
              <w:rPr>
                <w:b/>
                <w:bCs/>
                <w:szCs w:val="18"/>
              </w:rPr>
            </w:pPr>
            <w:r>
              <w:rPr>
                <w:b/>
                <w:bCs/>
                <w:szCs w:val="18"/>
              </w:rPr>
              <w:t>NOTES</w:t>
            </w:r>
          </w:p>
          <w:p w14:paraId="5C6485C1" w14:textId="77777777" w:rsidR="000D2373" w:rsidRDefault="000D2373" w:rsidP="000D2373">
            <w:pPr>
              <w:pStyle w:val="NotesText"/>
            </w:pPr>
          </w:p>
          <w:p w14:paraId="176C281D" w14:textId="77777777" w:rsidR="00CD40A5" w:rsidRDefault="00CD40A5" w:rsidP="000D2373">
            <w:pPr>
              <w:pStyle w:val="TableTextBullet"/>
            </w:pPr>
            <w:r>
              <w:rPr>
                <w:rFonts w:cs="Arial"/>
              </w:rPr>
              <w:t>This report requires a logged on VistA user to retrieve the lab results.</w:t>
            </w:r>
            <w:r>
              <w:t xml:space="preserve"> It cannot be scheduled to print. </w:t>
            </w:r>
            <w:r w:rsidRPr="00124A3D">
              <w:rPr>
                <w:vanish/>
              </w:rPr>
              <w:t>DR 4810</w:t>
            </w:r>
          </w:p>
        </w:tc>
      </w:tr>
      <w:tr w:rsidR="002A21AE" w14:paraId="632FDF66" w14:textId="77777777">
        <w:tc>
          <w:tcPr>
            <w:tcW w:w="3240" w:type="dxa"/>
          </w:tcPr>
          <w:p w14:paraId="0FAD6F6B" w14:textId="4C2573D9"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9660C3">
              <w:rPr>
                <w:vanish/>
                <w:szCs w:val="18"/>
              </w:rPr>
              <w:fldChar w:fldCharType="begin"/>
            </w:r>
            <w:r w:rsidR="002A21AE" w:rsidRPr="009660C3">
              <w:rPr>
                <w:vanish/>
                <w:szCs w:val="18"/>
              </w:rPr>
              <w:instrText xml:space="preserve"> LISTNUM \l 1 \s 0 </w:instrText>
            </w:r>
            <w:r w:rsidR="002A21AE" w:rsidRPr="009660C3">
              <w:rPr>
                <w:vanish/>
                <w:szCs w:val="18"/>
              </w:rPr>
              <w:fldChar w:fldCharType="end">
                <w:numberingChange w:id="689" w:author="Blalock, David (Leidos)" w:date="2020-06-15T14:09:00Z" w:original="0."/>
              </w:fldChar>
            </w:r>
          </w:p>
        </w:tc>
        <w:tc>
          <w:tcPr>
            <w:tcW w:w="6120" w:type="dxa"/>
          </w:tcPr>
          <w:p w14:paraId="20DFBCC0" w14:textId="77777777" w:rsidR="00D45D8C" w:rsidRDefault="00D45D8C" w:rsidP="00D45D8C">
            <w:pPr>
              <w:pStyle w:val="TableTextBullet"/>
            </w:pPr>
            <w:r>
              <w:t>If Print is selected, prints the report on the designated printer.</w:t>
            </w:r>
          </w:p>
          <w:p w14:paraId="4258C6F3" w14:textId="77777777" w:rsidR="00D45D8C" w:rsidRDefault="00D45D8C" w:rsidP="00D45D8C">
            <w:pPr>
              <w:pStyle w:val="TableTextBullet"/>
            </w:pPr>
            <w:r>
              <w:t>If Export is selected, exports the report to the designated file.</w:t>
            </w:r>
          </w:p>
          <w:p w14:paraId="0B980CCE" w14:textId="62D530C4" w:rsidR="002A21AE" w:rsidRDefault="00D45D8C" w:rsidP="00D45D8C">
            <w:pPr>
              <w:pStyle w:val="TableTextBullet"/>
            </w:pPr>
            <w:r>
              <w:t>If Close is selected, exits the report preview.</w:t>
            </w:r>
          </w:p>
        </w:tc>
      </w:tr>
    </w:tbl>
    <w:p w14:paraId="3E9A3E78" w14:textId="77777777" w:rsidR="00F55832" w:rsidRDefault="00F55832">
      <w:pPr>
        <w:pStyle w:val="Heading2"/>
      </w:pPr>
    </w:p>
    <w:p w14:paraId="3E5B6972" w14:textId="77777777" w:rsidR="002A21AE" w:rsidRDefault="00F55832">
      <w:pPr>
        <w:pStyle w:val="Heading2"/>
      </w:pPr>
      <w:r>
        <w:br w:type="page"/>
      </w:r>
      <w:bookmarkStart w:id="690" w:name="_Toc47516794"/>
      <w:r w:rsidR="002A21AE">
        <w:lastRenderedPageBreak/>
        <w:t>Transfusion Effectiveness Report</w:t>
      </w:r>
      <w:bookmarkEnd w:id="690"/>
      <w:r w:rsidR="002A21AE">
        <w:fldChar w:fldCharType="begin"/>
      </w:r>
      <w:r w:rsidR="002A21AE">
        <w:instrText xml:space="preserve"> XE </w:instrText>
      </w:r>
      <w:r w:rsidR="00FA7E65">
        <w:instrText>“</w:instrText>
      </w:r>
      <w:r w:rsidR="002A21AE">
        <w:instrText>Transfusion Effectiveness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UC_91</w:t>
      </w:r>
    </w:p>
    <w:p w14:paraId="53E90AD0" w14:textId="77777777" w:rsidR="002A21AE" w:rsidRDefault="002A21AE" w:rsidP="00FA7E65">
      <w:pPr>
        <w:pStyle w:val="BodyText"/>
      </w:pPr>
      <w:r>
        <w:t>The user views and</w:t>
      </w:r>
      <w:r w:rsidR="00AF59E4">
        <w:t>/or</w:t>
      </w:r>
      <w:r>
        <w:t xml:space="preserve"> prints a Transfusion Effectiveness Report.</w:t>
      </w:r>
    </w:p>
    <w:p w14:paraId="2E50A395" w14:textId="77777777" w:rsidR="002A21AE" w:rsidRDefault="002A21AE">
      <w:pPr>
        <w:pStyle w:val="Heading4"/>
      </w:pPr>
      <w:r>
        <w:t>Assumptions</w:t>
      </w:r>
      <w:r>
        <w:rPr>
          <w:b w:val="0"/>
        </w:rPr>
        <w:t xml:space="preserve"> </w:t>
      </w:r>
    </w:p>
    <w:p w14:paraId="66A052AF" w14:textId="77777777" w:rsidR="007A48D1" w:rsidRDefault="00CA6E27">
      <w:pPr>
        <w:pStyle w:val="ListBullet"/>
      </w:pPr>
      <w:r w:rsidRPr="00CA6E27">
        <w:rPr>
          <w:bCs/>
        </w:rPr>
        <w:t>VistA</w:t>
      </w:r>
      <w:r w:rsidR="002A21AE">
        <w:t xml:space="preserve"> tests are defined </w:t>
      </w:r>
      <w:r w:rsidR="007A48D1">
        <w:t>in Transfusion Effectiveness.</w:t>
      </w:r>
    </w:p>
    <w:p w14:paraId="2F90EF53" w14:textId="77777777" w:rsidR="002A21AE" w:rsidRDefault="007A48D1">
      <w:pPr>
        <w:pStyle w:val="ListBullet"/>
      </w:pPr>
      <w:r>
        <w:t>Th</w:t>
      </w:r>
      <w:r w:rsidR="002A21AE">
        <w:t xml:space="preserve">e connection to </w:t>
      </w:r>
      <w:r w:rsidR="00CA6E27" w:rsidRPr="00CA6E27">
        <w:rPr>
          <w:bCs/>
        </w:rPr>
        <w:t>VistA</w:t>
      </w:r>
      <w:r w:rsidR="002A21AE">
        <w:t xml:space="preserve"> is active.</w:t>
      </w:r>
    </w:p>
    <w:p w14:paraId="6639FE45" w14:textId="77777777" w:rsidR="007A48D1" w:rsidRDefault="007A48D1">
      <w:pPr>
        <w:pStyle w:val="ListBullet"/>
      </w:pPr>
      <w:r>
        <w:t>Units have a status of presumed transfused or transfused for the patient.</w:t>
      </w:r>
    </w:p>
    <w:p w14:paraId="59DC82F8" w14:textId="77777777" w:rsidR="002A21AE" w:rsidRDefault="002A21AE">
      <w:pPr>
        <w:pStyle w:val="ListBullet"/>
      </w:pPr>
      <w:r>
        <w:t xml:space="preserve">Data for the report were saved in VBECS and in </w:t>
      </w:r>
      <w:r w:rsidR="00CA6E27" w:rsidRPr="00CA6E27">
        <w:rPr>
          <w:bCs/>
        </w:rPr>
        <w:t>VistA</w:t>
      </w:r>
      <w:r>
        <w:t>.</w:t>
      </w:r>
    </w:p>
    <w:p w14:paraId="7B993F21" w14:textId="77777777" w:rsidR="002A21AE" w:rsidRDefault="002A21AE">
      <w:pPr>
        <w:pStyle w:val="Heading4"/>
      </w:pPr>
      <w:r>
        <w:t xml:space="preserve">Outcome </w:t>
      </w:r>
    </w:p>
    <w:p w14:paraId="4117C96D" w14:textId="77777777" w:rsidR="002A21AE" w:rsidRDefault="00AE521B">
      <w:pPr>
        <w:pStyle w:val="ListBullet"/>
      </w:pPr>
      <w:r>
        <w:t>The user views and/or prints the report</w:t>
      </w:r>
      <w:r w:rsidR="002A21AE">
        <w:t>.</w:t>
      </w:r>
    </w:p>
    <w:p w14:paraId="48973EED" w14:textId="77777777" w:rsidR="002A21AE" w:rsidRDefault="002A21AE">
      <w:pPr>
        <w:pStyle w:val="Heading4"/>
      </w:pPr>
      <w:r>
        <w:t>Limitations and Restrictions</w:t>
      </w:r>
      <w:r>
        <w:rPr>
          <w:b w:val="0"/>
        </w:rPr>
        <w:t xml:space="preserve"> </w:t>
      </w:r>
    </w:p>
    <w:p w14:paraId="6D55EC40" w14:textId="77777777" w:rsidR="002A21AE" w:rsidRDefault="002A21AE">
      <w:pPr>
        <w:pStyle w:val="ListBullet"/>
      </w:pPr>
      <w:r>
        <w:t>The report does not include VBECS diagnostic tests.</w:t>
      </w:r>
    </w:p>
    <w:p w14:paraId="14555182" w14:textId="77777777" w:rsidR="002A21AE" w:rsidRDefault="002A21AE">
      <w:pPr>
        <w:pStyle w:val="Heading4"/>
      </w:pPr>
      <w:r>
        <w:t xml:space="preserve">Additional Information </w:t>
      </w:r>
    </w:p>
    <w:p w14:paraId="28249E40" w14:textId="77777777" w:rsidR="002A21AE" w:rsidRDefault="002A21AE">
      <w:pPr>
        <w:pStyle w:val="ListBullet"/>
      </w:pPr>
      <w:r>
        <w:rPr>
          <w:rFonts w:ascii="Arial" w:hAnsi="Arial" w:cs="Arial"/>
          <w:vanish/>
          <w:spacing w:val="0"/>
          <w:sz w:val="18"/>
        </w:rPr>
        <w:t xml:space="preserve">BR_91.01 </w:t>
      </w:r>
      <w:r>
        <w:t xml:space="preserve">Only verified Laboratory test results are available from </w:t>
      </w:r>
      <w:r w:rsidR="00CA6E27" w:rsidRPr="00CA6E27">
        <w:rPr>
          <w:bCs/>
        </w:rPr>
        <w:t>VistA</w:t>
      </w:r>
      <w:r>
        <w:t xml:space="preserve">. </w:t>
      </w:r>
    </w:p>
    <w:p w14:paraId="1FD7D5AB" w14:textId="77777777" w:rsidR="002A21AE" w:rsidRDefault="002A21AE">
      <w:pPr>
        <w:pStyle w:val="ListBullet"/>
      </w:pPr>
      <w:r>
        <w:t xml:space="preserve">Laboratory test data retrieved for the report from </w:t>
      </w:r>
      <w:r w:rsidR="00CA6E27" w:rsidRPr="00CA6E27">
        <w:rPr>
          <w:bCs/>
        </w:rPr>
        <w:t>VistA</w:t>
      </w:r>
      <w:r>
        <w:t xml:space="preserve"> are not saved in VBECS. </w:t>
      </w:r>
    </w:p>
    <w:p w14:paraId="362CC17C" w14:textId="77777777" w:rsidR="002A21AE" w:rsidRDefault="002A21AE">
      <w:pPr>
        <w:pStyle w:val="ListBullet"/>
      </w:pPr>
      <w:r>
        <w:rPr>
          <w:rFonts w:ascii="Arial" w:hAnsi="Arial" w:cs="Arial"/>
          <w:vanish/>
          <w:spacing w:val="0"/>
          <w:sz w:val="18"/>
        </w:rPr>
        <w:t xml:space="preserve">BR_91.03 </w:t>
      </w:r>
      <w:r>
        <w:t>A new page is started for each patient in the report.</w:t>
      </w:r>
    </w:p>
    <w:p w14:paraId="6E078D02" w14:textId="77777777" w:rsidR="002A21AE" w:rsidRDefault="002A21AE">
      <w:pPr>
        <w:pStyle w:val="ListBullet"/>
      </w:pPr>
      <w:r>
        <w:t>Test results in the report do not include units of measure or normal ranges.</w:t>
      </w:r>
    </w:p>
    <w:p w14:paraId="32B97333" w14:textId="77777777" w:rsidR="002A21AE" w:rsidRDefault="002A21AE">
      <w:pPr>
        <w:pStyle w:val="Heading4"/>
        <w:rPr>
          <w:b w:val="0"/>
        </w:rPr>
      </w:pPr>
      <w:r>
        <w:t>User Roles with Access to This Option</w:t>
      </w:r>
      <w:r>
        <w:rPr>
          <w:b w:val="0"/>
        </w:rPr>
        <w:t xml:space="preserve"> </w:t>
      </w:r>
    </w:p>
    <w:p w14:paraId="0F852D8B" w14:textId="77777777" w:rsidR="002A21AE" w:rsidRDefault="00184EA4">
      <w:pPr>
        <w:pStyle w:val="Roles"/>
      </w:pPr>
      <w:r>
        <w:t>All users</w:t>
      </w:r>
    </w:p>
    <w:p w14:paraId="0330E1F3" w14:textId="77777777" w:rsidR="002A21AE" w:rsidRDefault="002A21AE">
      <w:pPr>
        <w:pStyle w:val="Heading4"/>
      </w:pPr>
      <w:r>
        <w:t xml:space="preserve">Transfusion Effectiveness Report </w:t>
      </w:r>
    </w:p>
    <w:p w14:paraId="0558E074" w14:textId="77777777" w:rsidR="002A21AE" w:rsidRDefault="002A21AE" w:rsidP="00FA7E65">
      <w:pPr>
        <w:pStyle w:val="BodyText"/>
      </w:pPr>
      <w:r>
        <w:t xml:space="preserve">The user views </w:t>
      </w:r>
      <w:r w:rsidR="00AF59E4">
        <w:t>and/</w:t>
      </w:r>
      <w:r>
        <w:t>or prints the Transfusion Effectiveness Report</w:t>
      </w:r>
      <w:r w:rsidR="00AF59E4">
        <w:t>, which contains transfusion episodes and Laboratory results for patients for a selected period</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2FD3511" w14:textId="77777777">
        <w:trPr>
          <w:cantSplit/>
          <w:tblHeader/>
        </w:trPr>
        <w:tc>
          <w:tcPr>
            <w:tcW w:w="3240" w:type="dxa"/>
            <w:shd w:val="pct30" w:color="auto" w:fill="FFFFFF"/>
            <w:vAlign w:val="bottom"/>
          </w:tcPr>
          <w:p w14:paraId="3DA765F6" w14:textId="77777777" w:rsidR="002A21AE" w:rsidRDefault="002A21AE">
            <w:pPr>
              <w:pStyle w:val="TableText"/>
              <w:rPr>
                <w:b/>
              </w:rPr>
            </w:pPr>
            <w:r>
              <w:rPr>
                <w:b/>
              </w:rPr>
              <w:t>User Action</w:t>
            </w:r>
          </w:p>
        </w:tc>
        <w:tc>
          <w:tcPr>
            <w:tcW w:w="6120" w:type="dxa"/>
            <w:shd w:val="pct30" w:color="auto" w:fill="FFFFFF"/>
            <w:vAlign w:val="bottom"/>
          </w:tcPr>
          <w:p w14:paraId="59FF5217" w14:textId="77777777" w:rsidR="002A21AE" w:rsidRDefault="002A21AE">
            <w:pPr>
              <w:pStyle w:val="TableText"/>
              <w:rPr>
                <w:b/>
              </w:rPr>
            </w:pPr>
            <w:r>
              <w:rPr>
                <w:b/>
              </w:rPr>
              <w:t>VBECS</w:t>
            </w:r>
          </w:p>
        </w:tc>
      </w:tr>
      <w:tr w:rsidR="002A21AE" w14:paraId="0C7E860B" w14:textId="77777777">
        <w:tc>
          <w:tcPr>
            <w:tcW w:w="3240" w:type="dxa"/>
          </w:tcPr>
          <w:p w14:paraId="36E9988E" w14:textId="77777777" w:rsidR="002A21AE" w:rsidRDefault="002A21AE">
            <w:pPr>
              <w:pStyle w:val="TableTextNumbers"/>
            </w:pPr>
            <w:r>
              <w:t xml:space="preserve">Select </w:t>
            </w:r>
            <w:r>
              <w:rPr>
                <w:b/>
              </w:rPr>
              <w:t>Reports</w:t>
            </w:r>
            <w:r>
              <w:t xml:space="preserve"> from the main menu.</w:t>
            </w:r>
          </w:p>
          <w:p w14:paraId="3A8E4F16" w14:textId="77777777" w:rsidR="002A21AE" w:rsidRDefault="002A21AE">
            <w:pPr>
              <w:pStyle w:val="TableTextNumbersContinued"/>
            </w:pPr>
          </w:p>
          <w:p w14:paraId="007CCE1F" w14:textId="77777777" w:rsidR="002A21AE" w:rsidRDefault="002A21AE">
            <w:pPr>
              <w:pStyle w:val="TableTextNumbersContinued"/>
            </w:pPr>
            <w:r>
              <w:t xml:space="preserve">Select </w:t>
            </w:r>
            <w:r>
              <w:rPr>
                <w:b/>
              </w:rPr>
              <w:t>Transfusion Effectiveness Report</w:t>
            </w:r>
            <w:r>
              <w:t>.</w:t>
            </w:r>
          </w:p>
        </w:tc>
        <w:tc>
          <w:tcPr>
            <w:tcW w:w="6120" w:type="dxa"/>
          </w:tcPr>
          <w:p w14:paraId="4EFC278B" w14:textId="77777777" w:rsidR="002A21AE" w:rsidRDefault="002A21AE">
            <w:pPr>
              <w:pStyle w:val="TableTextBullet"/>
            </w:pPr>
            <w:r>
              <w:t>Lists report names.</w:t>
            </w:r>
          </w:p>
          <w:p w14:paraId="3A85E6C0" w14:textId="77777777" w:rsidR="002A21AE" w:rsidRDefault="002A21AE">
            <w:pPr>
              <w:pStyle w:val="TableTextBullet"/>
            </w:pPr>
            <w:r>
              <w:t xml:space="preserve">Displays report compilation criteria. </w:t>
            </w:r>
          </w:p>
          <w:p w14:paraId="3DF21E3B" w14:textId="77777777" w:rsidR="002A21AE" w:rsidRDefault="002A21AE">
            <w:pPr>
              <w:pStyle w:val="TableTextBullet"/>
            </w:pPr>
            <w:r>
              <w:t>Displays a date range for selection.</w:t>
            </w:r>
          </w:p>
        </w:tc>
      </w:tr>
      <w:tr w:rsidR="002A21AE" w14:paraId="7AF6D167" w14:textId="77777777">
        <w:tc>
          <w:tcPr>
            <w:tcW w:w="3240" w:type="dxa"/>
          </w:tcPr>
          <w:p w14:paraId="6CE907D8" w14:textId="77777777" w:rsidR="002A21AE" w:rsidRDefault="002A21AE">
            <w:pPr>
              <w:pStyle w:val="TableTextNumbers"/>
            </w:pPr>
            <w:r>
              <w:t>Enter or select start and end dates.</w:t>
            </w:r>
          </w:p>
        </w:tc>
        <w:tc>
          <w:tcPr>
            <w:tcW w:w="6120" w:type="dxa"/>
          </w:tcPr>
          <w:p w14:paraId="42DEDDFB" w14:textId="77777777" w:rsidR="002A21AE" w:rsidRDefault="002A21AE">
            <w:pPr>
              <w:pStyle w:val="NotesText"/>
            </w:pPr>
          </w:p>
        </w:tc>
      </w:tr>
      <w:tr w:rsidR="002A21AE" w14:paraId="16296543" w14:textId="77777777">
        <w:tc>
          <w:tcPr>
            <w:tcW w:w="3240" w:type="dxa"/>
          </w:tcPr>
          <w:p w14:paraId="69CC59D9" w14:textId="77777777" w:rsidR="002A21AE" w:rsidRDefault="002A21AE">
            <w:pPr>
              <w:pStyle w:val="TableTextNumbers"/>
            </w:pPr>
            <w:r>
              <w:t xml:space="preserve">In the Report Type area, select the </w:t>
            </w:r>
            <w:r>
              <w:rPr>
                <w:b/>
              </w:rPr>
              <w:t>All Patients</w:t>
            </w:r>
            <w:r>
              <w:t xml:space="preserve"> </w:t>
            </w:r>
            <w:r w:rsidRPr="00BF2E41">
              <w:t>radio button</w:t>
            </w:r>
            <w:r>
              <w:t xml:space="preserve">, or </w:t>
            </w:r>
          </w:p>
          <w:p w14:paraId="5F9FB65E" w14:textId="77777777" w:rsidR="002A21AE" w:rsidRDefault="002A21AE">
            <w:pPr>
              <w:pStyle w:val="TableTextNumbersContinued"/>
            </w:pPr>
          </w:p>
          <w:p w14:paraId="0D241A81" w14:textId="77777777" w:rsidR="002A21AE" w:rsidRDefault="002A21AE">
            <w:pPr>
              <w:pStyle w:val="TableTextNumbersContinued"/>
            </w:pPr>
            <w:r>
              <w:t xml:space="preserve">Click the </w:t>
            </w:r>
            <w:r>
              <w:rPr>
                <w:b/>
              </w:rPr>
              <w:t xml:space="preserve">Individual Patient Report </w:t>
            </w:r>
            <w:r w:rsidRPr="00ED1C1B">
              <w:t>radio</w:t>
            </w:r>
            <w:r>
              <w:rPr>
                <w:b/>
              </w:rPr>
              <w:t xml:space="preserve"> </w:t>
            </w:r>
            <w:r w:rsidRPr="00BF2E41">
              <w:t>button</w:t>
            </w:r>
            <w:r>
              <w:t xml:space="preserve"> and the </w:t>
            </w:r>
            <w:r w:rsidR="00A6373D" w:rsidRPr="00945BF5">
              <w:rPr>
                <w:b/>
              </w:rPr>
              <w:t>find</w:t>
            </w:r>
            <w:r>
              <w:rPr>
                <w:b/>
              </w:rPr>
              <w:t xml:space="preserve"> </w:t>
            </w:r>
            <w:r w:rsidRPr="00BF2E41">
              <w:t>button</w:t>
            </w:r>
            <w:r>
              <w:rPr>
                <w:b/>
              </w:rPr>
              <w:t xml:space="preserve"> </w:t>
            </w:r>
            <w:r>
              <w:t>to search for a patient.</w:t>
            </w:r>
          </w:p>
        </w:tc>
        <w:tc>
          <w:tcPr>
            <w:tcW w:w="6120" w:type="dxa"/>
          </w:tcPr>
          <w:p w14:paraId="3D197EFC" w14:textId="77777777" w:rsidR="002A21AE" w:rsidRDefault="002A21AE">
            <w:pPr>
              <w:pStyle w:val="TableTextBullet"/>
            </w:pPr>
            <w:r>
              <w:t xml:space="preserve">Compiles and displays the report. </w:t>
            </w:r>
          </w:p>
        </w:tc>
      </w:tr>
      <w:tr w:rsidR="002A21AE" w14:paraId="5C3230E4" w14:textId="77777777" w:rsidTr="00305B16">
        <w:trPr>
          <w:cantSplit/>
        </w:trPr>
        <w:tc>
          <w:tcPr>
            <w:tcW w:w="3240" w:type="dxa"/>
          </w:tcPr>
          <w:p w14:paraId="4D1E7B67"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257103DF" w14:textId="77777777" w:rsidR="002A21AE" w:rsidRDefault="002A21AE">
            <w:pPr>
              <w:pStyle w:val="TableTextNumbersContinued"/>
            </w:pPr>
          </w:p>
          <w:p w14:paraId="7BAE5999"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AB04FBF" w14:textId="77777777" w:rsidR="002A21AE" w:rsidRDefault="00F64B5C" w:rsidP="00F64B5C">
            <w:pPr>
              <w:pStyle w:val="TableTextBullet"/>
            </w:pPr>
            <w:r>
              <w:t>Compiles and displays the report.</w:t>
            </w:r>
          </w:p>
          <w:p w14:paraId="08F03452" w14:textId="77777777" w:rsidR="000566D6" w:rsidRDefault="000566D6" w:rsidP="000566D6">
            <w:pPr>
              <w:pStyle w:val="TableTextBullet"/>
              <w:numPr>
                <w:ilvl w:val="0"/>
                <w:numId w:val="0"/>
              </w:numPr>
              <w:ind w:left="288"/>
            </w:pPr>
          </w:p>
          <w:p w14:paraId="0213F0C7" w14:textId="26D06FCE" w:rsidR="000566D6" w:rsidRDefault="000566D6" w:rsidP="000566D6">
            <w:pPr>
              <w:pStyle w:val="TableText"/>
              <w:rPr>
                <w:b/>
                <w:bCs/>
                <w:szCs w:val="18"/>
              </w:rPr>
            </w:pPr>
            <w:r>
              <w:rPr>
                <w:b/>
                <w:bCs/>
                <w:szCs w:val="18"/>
              </w:rPr>
              <w:t>NOTES</w:t>
            </w:r>
          </w:p>
          <w:p w14:paraId="5208C49B" w14:textId="77777777" w:rsidR="00124A3D" w:rsidRDefault="00124A3D" w:rsidP="00AA2B2E">
            <w:pPr>
              <w:pStyle w:val="TableTextBullet"/>
              <w:numPr>
                <w:ilvl w:val="0"/>
                <w:numId w:val="0"/>
              </w:numPr>
              <w:rPr>
                <w:rFonts w:cs="Arial"/>
              </w:rPr>
            </w:pPr>
          </w:p>
          <w:p w14:paraId="356B3EA3" w14:textId="77777777" w:rsidR="00124A3D" w:rsidRPr="00EF5693" w:rsidRDefault="00124A3D" w:rsidP="00EF5693">
            <w:pPr>
              <w:pStyle w:val="TableTextBullet"/>
              <w:rPr>
                <w:rFonts w:cs="Arial"/>
              </w:rPr>
            </w:pPr>
            <w:r>
              <w:rPr>
                <w:rFonts w:cs="Arial"/>
              </w:rPr>
              <w:t>This report requires a logged on VistA user to retrieve the lab results.</w:t>
            </w:r>
            <w:r w:rsidRPr="00EF5693">
              <w:rPr>
                <w:rFonts w:cs="Arial"/>
              </w:rPr>
              <w:t xml:space="preserve"> It cannot be scheduled to print.</w:t>
            </w:r>
            <w:r w:rsidRPr="00EF5693">
              <w:rPr>
                <w:rFonts w:cs="Arial"/>
                <w:vanish/>
              </w:rPr>
              <w:t xml:space="preserve"> DR 4810</w:t>
            </w:r>
          </w:p>
          <w:p w14:paraId="6E4EB2E7" w14:textId="77777777" w:rsidR="000566D6" w:rsidRDefault="000566D6" w:rsidP="000566D6">
            <w:pPr>
              <w:pStyle w:val="TableTextBullet"/>
              <w:numPr>
                <w:ilvl w:val="0"/>
                <w:numId w:val="0"/>
              </w:numPr>
              <w:ind w:left="720"/>
            </w:pPr>
            <w:r>
              <w:rPr>
                <w:rFonts w:cs="Arial"/>
                <w:vanish/>
              </w:rPr>
              <w:t xml:space="preserve"> DR 4013</w:t>
            </w:r>
          </w:p>
        </w:tc>
      </w:tr>
      <w:tr w:rsidR="002A21AE" w14:paraId="40EB273D" w14:textId="77777777">
        <w:tc>
          <w:tcPr>
            <w:tcW w:w="3240" w:type="dxa"/>
          </w:tcPr>
          <w:p w14:paraId="0C8A871A" w14:textId="57F6D4D3"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3F3B4B">
              <w:rPr>
                <w:rFonts w:ascii="Times New Roman" w:hAnsi="Times New Roman"/>
                <w:vanish/>
                <w:szCs w:val="18"/>
              </w:rPr>
              <w:fldChar w:fldCharType="begin"/>
            </w:r>
            <w:r w:rsidR="002A21AE" w:rsidRPr="003F3B4B">
              <w:rPr>
                <w:rFonts w:ascii="Times New Roman" w:hAnsi="Times New Roman"/>
                <w:vanish/>
                <w:szCs w:val="18"/>
              </w:rPr>
              <w:instrText xml:space="preserve"> LISTNUM \l 1 \s 0 </w:instrText>
            </w:r>
            <w:r w:rsidR="002A21AE" w:rsidRPr="003F3B4B">
              <w:rPr>
                <w:rFonts w:ascii="Times New Roman" w:hAnsi="Times New Roman"/>
                <w:vanish/>
                <w:szCs w:val="18"/>
              </w:rPr>
              <w:fldChar w:fldCharType="end">
                <w:numberingChange w:id="691" w:author="Blalock, David (Leidos)" w:date="2020-06-15T14:09:00Z" w:original="0."/>
              </w:fldChar>
            </w:r>
          </w:p>
        </w:tc>
        <w:tc>
          <w:tcPr>
            <w:tcW w:w="6120" w:type="dxa"/>
          </w:tcPr>
          <w:p w14:paraId="0EA79A66" w14:textId="77777777" w:rsidR="00D45D8C" w:rsidRDefault="00D45D8C" w:rsidP="00D45D8C">
            <w:pPr>
              <w:pStyle w:val="TableTextBullet"/>
            </w:pPr>
            <w:r>
              <w:t>If Print is selected, prints the report on the designated printer.</w:t>
            </w:r>
          </w:p>
          <w:p w14:paraId="4EDB0289" w14:textId="77777777" w:rsidR="00D45D8C" w:rsidRDefault="00D45D8C" w:rsidP="00D45D8C">
            <w:pPr>
              <w:pStyle w:val="TableTextBullet"/>
            </w:pPr>
            <w:r>
              <w:t>If Export is selected, exports the report to the designated file.</w:t>
            </w:r>
          </w:p>
          <w:p w14:paraId="396DB5FB" w14:textId="42FD268C" w:rsidR="002A21AE" w:rsidRDefault="00D45D8C" w:rsidP="00D45D8C">
            <w:pPr>
              <w:pStyle w:val="TableTextBullet"/>
            </w:pPr>
            <w:r>
              <w:t>If Close is selected, exits the report preview.</w:t>
            </w:r>
          </w:p>
        </w:tc>
      </w:tr>
    </w:tbl>
    <w:p w14:paraId="184D2CD3" w14:textId="77777777" w:rsidR="002813A3" w:rsidRDefault="002813A3">
      <w:pPr>
        <w:pStyle w:val="Heading2"/>
      </w:pPr>
    </w:p>
    <w:p w14:paraId="63BD5013" w14:textId="77777777" w:rsidR="002A21AE" w:rsidRDefault="002813A3">
      <w:pPr>
        <w:pStyle w:val="Heading2"/>
      </w:pPr>
      <w:r>
        <w:br w:type="page"/>
      </w:r>
      <w:bookmarkStart w:id="692" w:name="_Toc47516795"/>
      <w:r w:rsidR="002A21AE">
        <w:lastRenderedPageBreak/>
        <w:t>Transfusion Reaction Count Report</w:t>
      </w:r>
      <w:bookmarkEnd w:id="692"/>
      <w:r w:rsidR="002A21AE">
        <w:fldChar w:fldCharType="begin"/>
      </w:r>
      <w:r w:rsidR="002A21AE">
        <w:instrText xml:space="preserve"> XE </w:instrText>
      </w:r>
      <w:r w:rsidR="00FA7E65">
        <w:instrText>“</w:instrText>
      </w:r>
      <w:r w:rsidR="002A21AE">
        <w:instrText>Transfusion Reaction Count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UC_106</w:t>
      </w:r>
    </w:p>
    <w:p w14:paraId="70B5D64C" w14:textId="77777777" w:rsidR="002A21AE" w:rsidRDefault="002A21AE" w:rsidP="00FA7E65">
      <w:pPr>
        <w:pStyle w:val="BodyText"/>
      </w:pPr>
      <w:r>
        <w:t>The user views and</w:t>
      </w:r>
      <w:r w:rsidR="00DD0E58">
        <w:t>/or</w:t>
      </w:r>
      <w:r>
        <w:t xml:space="preserve"> prints a Transfusion Reaction Count Report.</w:t>
      </w:r>
    </w:p>
    <w:p w14:paraId="0AEB02F2" w14:textId="77777777" w:rsidR="002A21AE" w:rsidRDefault="002A21AE">
      <w:pPr>
        <w:pStyle w:val="Heading4"/>
      </w:pPr>
      <w:r>
        <w:t>Assumptions</w:t>
      </w:r>
      <w:r>
        <w:rPr>
          <w:b w:val="0"/>
        </w:rPr>
        <w:t xml:space="preserve"> </w:t>
      </w:r>
    </w:p>
    <w:p w14:paraId="74DCAF97" w14:textId="77777777" w:rsidR="002A21AE" w:rsidRDefault="002A21AE">
      <w:pPr>
        <w:pStyle w:val="ListBullet"/>
      </w:pPr>
      <w:r>
        <w:t>Data for the report were saved in VBECS.</w:t>
      </w:r>
    </w:p>
    <w:p w14:paraId="51491E1A" w14:textId="77777777" w:rsidR="002A21AE" w:rsidRDefault="002A21AE">
      <w:pPr>
        <w:pStyle w:val="Heading4"/>
      </w:pPr>
      <w:r>
        <w:t xml:space="preserve">Outcome </w:t>
      </w:r>
    </w:p>
    <w:p w14:paraId="7D14BB29" w14:textId="77777777" w:rsidR="002A21AE" w:rsidRDefault="00AE521B">
      <w:pPr>
        <w:pStyle w:val="ListBullet"/>
      </w:pPr>
      <w:r>
        <w:t>The user views and/or prints the report</w:t>
      </w:r>
      <w:r w:rsidR="002A21AE">
        <w:t>.</w:t>
      </w:r>
    </w:p>
    <w:p w14:paraId="1F5D0D6E" w14:textId="77777777" w:rsidR="002A21AE" w:rsidRDefault="002A21AE">
      <w:pPr>
        <w:pStyle w:val="Heading4"/>
        <w:rPr>
          <w:b w:val="0"/>
        </w:rPr>
      </w:pPr>
      <w:r>
        <w:t>Limitations and Restrictions</w:t>
      </w:r>
      <w:r>
        <w:rPr>
          <w:b w:val="0"/>
        </w:rPr>
        <w:t xml:space="preserve"> </w:t>
      </w:r>
    </w:p>
    <w:p w14:paraId="4FD9006A" w14:textId="7BAE3775" w:rsidR="002A21AE" w:rsidRDefault="00AC682A">
      <w:pPr>
        <w:pStyle w:val="ListBullet"/>
      </w:pPr>
      <w:r>
        <w:t xml:space="preserve">Transfusion Reactions are only included on the report if the data were entered/updated during the selected date range. This means that retrospective entry of transfusion reactions may not display in the correct date range. The recorded date of the reaction is not considered in the selection criteria. Rerun the report for a date range that includes the date the data was entered or updated. For example, if a transfusion reaction that occurred on February 28 is retrospectively entered on March 1, it will only display on a report that includes March 1 in its date range. </w:t>
      </w:r>
      <w:r w:rsidRPr="00AC682A">
        <w:rPr>
          <w:vanish/>
        </w:rPr>
        <w:t>Defect 209152</w:t>
      </w:r>
    </w:p>
    <w:p w14:paraId="52F1B8F9" w14:textId="77777777" w:rsidR="002A21AE" w:rsidRDefault="002A21AE">
      <w:pPr>
        <w:pStyle w:val="Heading4"/>
      </w:pPr>
      <w:r>
        <w:t xml:space="preserve">Additional Information </w:t>
      </w:r>
    </w:p>
    <w:p w14:paraId="1E5219D3" w14:textId="77777777" w:rsidR="00991CFE" w:rsidRDefault="00991CFE" w:rsidP="00991CFE">
      <w:pPr>
        <w:pStyle w:val="ListBullet"/>
      </w:pPr>
      <w:r>
        <w:t>The report is available as a single-division or multidivisional (all divisions) report.</w:t>
      </w:r>
    </w:p>
    <w:p w14:paraId="4EB586AC" w14:textId="03190B1E" w:rsidR="00B15891" w:rsidRDefault="00B15891" w:rsidP="004210FE">
      <w:pPr>
        <w:pStyle w:val="ListBullet"/>
      </w:pPr>
      <w:r w:rsidRPr="00B15891">
        <w:t>The report only displays text entered in the “details” field of the Finalize T</w:t>
      </w:r>
      <w:r w:rsidR="004210FE">
        <w:t xml:space="preserve">ransfusion </w:t>
      </w:r>
      <w:r w:rsidRPr="00B15891">
        <w:t>R</w:t>
      </w:r>
      <w:r w:rsidR="004210FE">
        <w:t xml:space="preserve">eaction </w:t>
      </w:r>
      <w:r w:rsidRPr="00B15891">
        <w:t>W</w:t>
      </w:r>
      <w:r w:rsidR="004210FE">
        <w:t>orkup</w:t>
      </w:r>
      <w:r w:rsidRPr="00B15891">
        <w:t xml:space="preserve"> screen. The canned comments entered are suppressed on the report.</w:t>
      </w:r>
      <w:r w:rsidR="004210FE">
        <w:t xml:space="preserve"> </w:t>
      </w:r>
      <w:r w:rsidR="004210FE" w:rsidRPr="004210FE">
        <w:t>Enter all comments in the “details” field for them to print on the report.</w:t>
      </w:r>
      <w:r w:rsidR="0045341A">
        <w:t xml:space="preserve"> </w:t>
      </w:r>
      <w:r w:rsidR="0045341A" w:rsidRPr="0045341A">
        <w:rPr>
          <w:vanish/>
        </w:rPr>
        <w:t>Defect 209792</w:t>
      </w:r>
    </w:p>
    <w:p w14:paraId="24FC5837" w14:textId="77777777" w:rsidR="002A21AE" w:rsidRDefault="002A21AE">
      <w:pPr>
        <w:pStyle w:val="Heading4"/>
        <w:tabs>
          <w:tab w:val="left" w:pos="4140"/>
        </w:tabs>
        <w:rPr>
          <w:b w:val="0"/>
        </w:rPr>
      </w:pPr>
      <w:r>
        <w:t>User Roles with Access to This Option</w:t>
      </w:r>
      <w:r>
        <w:rPr>
          <w:b w:val="0"/>
        </w:rPr>
        <w:t xml:space="preserve"> </w:t>
      </w:r>
    </w:p>
    <w:p w14:paraId="7FD106C0" w14:textId="77777777" w:rsidR="002A21AE" w:rsidRDefault="00184EA4">
      <w:pPr>
        <w:pStyle w:val="Roles"/>
      </w:pPr>
      <w:r>
        <w:t>All users</w:t>
      </w:r>
    </w:p>
    <w:p w14:paraId="10FCEC9D" w14:textId="77777777" w:rsidR="002A21AE" w:rsidRDefault="002A21AE">
      <w:pPr>
        <w:pStyle w:val="Heading4"/>
      </w:pPr>
      <w:bookmarkStart w:id="693" w:name="_Hlk523065871"/>
      <w:r>
        <w:t>Transfusion Reaction Count Report</w:t>
      </w:r>
    </w:p>
    <w:bookmarkEnd w:id="693"/>
    <w:p w14:paraId="520DF610" w14:textId="77777777" w:rsidR="002A21AE" w:rsidRDefault="002A21AE" w:rsidP="00FA7E65">
      <w:pPr>
        <w:pStyle w:val="BodyText"/>
      </w:pPr>
      <w:r>
        <w:t>The user views and/or prints the Transfusion Reaction Count Report for a single division or for all divisions in the database.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7388305" w14:textId="77777777">
        <w:trPr>
          <w:cantSplit/>
          <w:tblHeader/>
        </w:trPr>
        <w:tc>
          <w:tcPr>
            <w:tcW w:w="3240" w:type="dxa"/>
            <w:shd w:val="pct30" w:color="auto" w:fill="FFFFFF"/>
            <w:vAlign w:val="bottom"/>
          </w:tcPr>
          <w:p w14:paraId="7CA59209" w14:textId="77777777" w:rsidR="002A21AE" w:rsidRDefault="002A21AE">
            <w:pPr>
              <w:pStyle w:val="TableText"/>
              <w:rPr>
                <w:b/>
              </w:rPr>
            </w:pPr>
            <w:r>
              <w:rPr>
                <w:b/>
              </w:rPr>
              <w:t>User Action</w:t>
            </w:r>
          </w:p>
        </w:tc>
        <w:tc>
          <w:tcPr>
            <w:tcW w:w="6120" w:type="dxa"/>
            <w:shd w:val="pct30" w:color="auto" w:fill="FFFFFF"/>
            <w:vAlign w:val="bottom"/>
          </w:tcPr>
          <w:p w14:paraId="76E05562" w14:textId="77777777" w:rsidR="002A21AE" w:rsidRDefault="002A21AE">
            <w:pPr>
              <w:pStyle w:val="TableText"/>
              <w:rPr>
                <w:b/>
              </w:rPr>
            </w:pPr>
            <w:r>
              <w:rPr>
                <w:b/>
              </w:rPr>
              <w:t>VBECS</w:t>
            </w:r>
          </w:p>
        </w:tc>
      </w:tr>
      <w:tr w:rsidR="002A21AE" w14:paraId="5DAD6685" w14:textId="77777777">
        <w:tc>
          <w:tcPr>
            <w:tcW w:w="3240" w:type="dxa"/>
          </w:tcPr>
          <w:p w14:paraId="6E071860" w14:textId="77777777" w:rsidR="002A21AE" w:rsidRDefault="002A21AE">
            <w:pPr>
              <w:pStyle w:val="TableTextNumbers"/>
            </w:pPr>
            <w:r>
              <w:t xml:space="preserve">Select </w:t>
            </w:r>
            <w:r>
              <w:rPr>
                <w:b/>
              </w:rPr>
              <w:t>Reports</w:t>
            </w:r>
            <w:r>
              <w:t xml:space="preserve"> from the main menu.</w:t>
            </w:r>
          </w:p>
          <w:p w14:paraId="213F189B" w14:textId="77777777" w:rsidR="002A21AE" w:rsidRDefault="002A21AE">
            <w:pPr>
              <w:pStyle w:val="TableTextNumbersContinued"/>
            </w:pPr>
          </w:p>
          <w:p w14:paraId="0C9FC45C" w14:textId="77777777" w:rsidR="002A21AE" w:rsidRDefault="002A21AE">
            <w:pPr>
              <w:pStyle w:val="TableTextNumbersContinued"/>
            </w:pPr>
            <w:r>
              <w:t xml:space="preserve">Select </w:t>
            </w:r>
            <w:r>
              <w:rPr>
                <w:b/>
              </w:rPr>
              <w:t>Transfusion Reaction Count Report</w:t>
            </w:r>
            <w:r>
              <w:t>.</w:t>
            </w:r>
          </w:p>
        </w:tc>
        <w:tc>
          <w:tcPr>
            <w:tcW w:w="6120" w:type="dxa"/>
          </w:tcPr>
          <w:p w14:paraId="683CACED" w14:textId="77777777" w:rsidR="002A21AE" w:rsidRDefault="002A21AE">
            <w:pPr>
              <w:pStyle w:val="TableTextBullet"/>
            </w:pPr>
            <w:r>
              <w:t>Lists report names.</w:t>
            </w:r>
          </w:p>
          <w:p w14:paraId="7AC2E014" w14:textId="77777777" w:rsidR="002A21AE" w:rsidRDefault="002A21AE">
            <w:pPr>
              <w:pStyle w:val="TableTextBullet"/>
            </w:pPr>
            <w:r>
              <w:t xml:space="preserve">Displays report division, format, and compilation criteria. </w:t>
            </w:r>
          </w:p>
          <w:p w14:paraId="211B5342" w14:textId="77777777" w:rsidR="002A21AE" w:rsidRDefault="002A21AE">
            <w:pPr>
              <w:pStyle w:val="TableText"/>
            </w:pPr>
          </w:p>
          <w:p w14:paraId="3055C559" w14:textId="255E05FB" w:rsidR="002A21AE" w:rsidRDefault="002A21AE">
            <w:pPr>
              <w:pStyle w:val="TableText"/>
              <w:rPr>
                <w:b/>
                <w:bCs/>
                <w:szCs w:val="18"/>
              </w:rPr>
            </w:pPr>
            <w:r>
              <w:rPr>
                <w:b/>
                <w:bCs/>
                <w:szCs w:val="18"/>
              </w:rPr>
              <w:t>NOTES</w:t>
            </w:r>
          </w:p>
          <w:p w14:paraId="6580ADEA" w14:textId="77777777" w:rsidR="002A21AE" w:rsidRDefault="002A21AE">
            <w:pPr>
              <w:pStyle w:val="NotesText"/>
            </w:pPr>
          </w:p>
          <w:p w14:paraId="149CC7E5" w14:textId="77777777" w:rsidR="002A21AE" w:rsidRDefault="002A21AE">
            <w:pPr>
              <w:pStyle w:val="NotesText"/>
            </w:pPr>
            <w:r>
              <w:rPr>
                <w:rFonts w:cs="Arial"/>
                <w:vanish/>
              </w:rPr>
              <w:t xml:space="preserve">BR_106.01 </w:t>
            </w:r>
            <w:bookmarkStart w:id="694" w:name="_Hlk523065851"/>
            <w:r>
              <w:t>The report includes transfusion reactions that are ordered, pending, completed, or finalized</w:t>
            </w:r>
            <w:r w:rsidR="00AF0CB8">
              <w:t>, and those indicated during Post-Transfusion Information.</w:t>
            </w:r>
            <w:bookmarkEnd w:id="694"/>
          </w:p>
        </w:tc>
      </w:tr>
      <w:tr w:rsidR="002A21AE" w14:paraId="0E60BDDA" w14:textId="77777777">
        <w:tc>
          <w:tcPr>
            <w:tcW w:w="3240" w:type="dxa"/>
          </w:tcPr>
          <w:p w14:paraId="6042DD59" w14:textId="77777777" w:rsidR="002A21AE" w:rsidRDefault="002A21AE">
            <w:pPr>
              <w:pStyle w:val="TableTextNumbers"/>
            </w:pPr>
            <w:r>
              <w:t>Enter or select start and end dates.</w:t>
            </w:r>
          </w:p>
        </w:tc>
        <w:tc>
          <w:tcPr>
            <w:tcW w:w="6120" w:type="dxa"/>
          </w:tcPr>
          <w:p w14:paraId="003281CB" w14:textId="77777777" w:rsidR="002A21AE" w:rsidRDefault="002A21AE">
            <w:pPr>
              <w:pStyle w:val="TableTextBullet"/>
            </w:pPr>
            <w:r>
              <w:t>Compiles and displays the report.</w:t>
            </w:r>
          </w:p>
          <w:p w14:paraId="2CA9EFC9" w14:textId="77777777" w:rsidR="002A21AE" w:rsidRDefault="002A21AE">
            <w:pPr>
              <w:pStyle w:val="TableTextBullet"/>
            </w:pPr>
            <w:r>
              <w:t>Allows the user to print the report.</w:t>
            </w:r>
          </w:p>
        </w:tc>
      </w:tr>
      <w:tr w:rsidR="002A21AE" w14:paraId="2EEF4632" w14:textId="77777777" w:rsidTr="00305B16">
        <w:trPr>
          <w:cantSplit/>
        </w:trPr>
        <w:tc>
          <w:tcPr>
            <w:tcW w:w="3240" w:type="dxa"/>
          </w:tcPr>
          <w:p w14:paraId="30600F2A" w14:textId="77777777" w:rsidR="002A21AE" w:rsidRDefault="002A21AE">
            <w:pPr>
              <w:pStyle w:val="TableTextNumbers"/>
            </w:pPr>
            <w:r>
              <w:lastRenderedPageBreak/>
              <w:t xml:space="preserve">Click the </w:t>
            </w:r>
            <w:r>
              <w:rPr>
                <w:b/>
              </w:rPr>
              <w:t xml:space="preserve">Current Divisions </w:t>
            </w:r>
            <w:r>
              <w:t>or</w:t>
            </w:r>
            <w:r>
              <w:rPr>
                <w:b/>
              </w:rPr>
              <w:t xml:space="preserve"> All Divisions </w:t>
            </w:r>
            <w:r w:rsidRPr="00BF2E41">
              <w:t>radio button</w:t>
            </w:r>
            <w:r>
              <w:t>.</w:t>
            </w:r>
          </w:p>
        </w:tc>
        <w:tc>
          <w:tcPr>
            <w:tcW w:w="6120" w:type="dxa"/>
          </w:tcPr>
          <w:p w14:paraId="70329639" w14:textId="77777777" w:rsidR="002A21AE" w:rsidRDefault="002A21AE">
            <w:pPr>
              <w:pStyle w:val="TableTextBullet"/>
            </w:pPr>
            <w:r>
              <w:t>Allows the user to select one or all divisions.</w:t>
            </w:r>
          </w:p>
          <w:p w14:paraId="5FB9EBFC" w14:textId="77777777" w:rsidR="002A21AE" w:rsidRDefault="002A21AE">
            <w:pPr>
              <w:pStyle w:val="TableTextBullet"/>
            </w:pPr>
            <w:r>
              <w:t>Displays a date range for selection.</w:t>
            </w:r>
          </w:p>
          <w:p w14:paraId="7A9F164F" w14:textId="77777777" w:rsidR="002A21AE" w:rsidRDefault="002A21AE">
            <w:pPr>
              <w:pStyle w:val="TableText"/>
              <w:rPr>
                <w:b/>
                <w:bCs/>
                <w:szCs w:val="18"/>
              </w:rPr>
            </w:pPr>
          </w:p>
          <w:p w14:paraId="4427C6E4" w14:textId="2318475A" w:rsidR="002A21AE" w:rsidRDefault="002A21AE">
            <w:pPr>
              <w:pStyle w:val="TableText"/>
              <w:rPr>
                <w:b/>
                <w:bCs/>
                <w:szCs w:val="18"/>
              </w:rPr>
            </w:pPr>
            <w:r>
              <w:rPr>
                <w:b/>
                <w:bCs/>
                <w:szCs w:val="18"/>
              </w:rPr>
              <w:t>NOTES</w:t>
            </w:r>
          </w:p>
          <w:p w14:paraId="4505EBC6" w14:textId="77777777" w:rsidR="002A21AE" w:rsidRDefault="002A21AE">
            <w:pPr>
              <w:pStyle w:val="NotesText"/>
            </w:pPr>
          </w:p>
          <w:p w14:paraId="0F32E7B2" w14:textId="77777777" w:rsidR="002A21AE" w:rsidRDefault="002A21AE">
            <w:pPr>
              <w:pStyle w:val="NotesText"/>
            </w:pPr>
            <w:r>
              <w:rPr>
                <w:rFonts w:cs="Arial"/>
                <w:vanish/>
              </w:rPr>
              <w:t xml:space="preserve">BR_106.03 </w:t>
            </w:r>
            <w:r>
              <w:t>The Transfusion Reaction Count Report by type includes specific patient information indicated by the user. The default report setting excludes patient names.</w:t>
            </w:r>
          </w:p>
        </w:tc>
      </w:tr>
      <w:tr w:rsidR="002A21AE" w14:paraId="137C388E" w14:textId="77777777">
        <w:tc>
          <w:tcPr>
            <w:tcW w:w="3240" w:type="dxa"/>
          </w:tcPr>
          <w:p w14:paraId="2C64BE49" w14:textId="77777777" w:rsidR="002A21AE" w:rsidRDefault="002A21AE">
            <w:pPr>
              <w:pStyle w:val="TableTextNumbers"/>
            </w:pPr>
            <w:r>
              <w:t xml:space="preserve">Click the </w:t>
            </w:r>
            <w:r>
              <w:rPr>
                <w:b/>
              </w:rPr>
              <w:t xml:space="preserve">Detailed Report </w:t>
            </w:r>
            <w:r>
              <w:t>or</w:t>
            </w:r>
            <w:r>
              <w:rPr>
                <w:b/>
              </w:rPr>
              <w:t xml:space="preserve"> Summary Report </w:t>
            </w:r>
            <w:r w:rsidRPr="00BF2E41">
              <w:t>radio button</w:t>
            </w:r>
            <w:r>
              <w:t>.</w:t>
            </w:r>
          </w:p>
        </w:tc>
        <w:tc>
          <w:tcPr>
            <w:tcW w:w="6120" w:type="dxa"/>
          </w:tcPr>
          <w:p w14:paraId="2FE4D35B" w14:textId="77777777" w:rsidR="002A21AE" w:rsidRDefault="002A21AE">
            <w:pPr>
              <w:pStyle w:val="TableTextBullet"/>
            </w:pPr>
            <w:r>
              <w:t>Displays an option to compile the report as detailed or summary.</w:t>
            </w:r>
          </w:p>
          <w:p w14:paraId="788D25EB" w14:textId="77777777" w:rsidR="002A21AE" w:rsidRDefault="002A21AE">
            <w:pPr>
              <w:pStyle w:val="TableTextBullet"/>
            </w:pPr>
            <w:r>
              <w:t>Compiles and displays the report.</w:t>
            </w:r>
          </w:p>
          <w:p w14:paraId="59F49CBC" w14:textId="77777777" w:rsidR="002A21AE" w:rsidRDefault="002A21AE">
            <w:pPr>
              <w:pStyle w:val="TableTextBullet"/>
            </w:pPr>
            <w:r>
              <w:t xml:space="preserve">Allows the user to print the report. </w:t>
            </w:r>
          </w:p>
          <w:p w14:paraId="182DB596" w14:textId="77777777" w:rsidR="002A21AE" w:rsidRDefault="002A21AE">
            <w:pPr>
              <w:pStyle w:val="TableText"/>
            </w:pPr>
          </w:p>
          <w:p w14:paraId="2C9BF470" w14:textId="75760103" w:rsidR="002A21AE" w:rsidRDefault="002A21AE">
            <w:pPr>
              <w:pStyle w:val="TableText"/>
              <w:rPr>
                <w:b/>
                <w:bCs/>
                <w:szCs w:val="18"/>
              </w:rPr>
            </w:pPr>
            <w:r>
              <w:rPr>
                <w:b/>
                <w:bCs/>
                <w:szCs w:val="18"/>
              </w:rPr>
              <w:t>NOTES</w:t>
            </w:r>
          </w:p>
          <w:p w14:paraId="75FD4852" w14:textId="77777777" w:rsidR="002A21AE" w:rsidRDefault="002A21AE">
            <w:pPr>
              <w:pStyle w:val="NotesText"/>
            </w:pPr>
          </w:p>
          <w:p w14:paraId="10CC779D" w14:textId="77777777" w:rsidR="002A21AE" w:rsidRDefault="002A21AE">
            <w:pPr>
              <w:pStyle w:val="NotesText"/>
            </w:pPr>
            <w:r>
              <w:rPr>
                <w:rFonts w:cs="Arial"/>
                <w:vanish/>
              </w:rPr>
              <w:t xml:space="preserve">BR_106.04 </w:t>
            </w:r>
            <w:r>
              <w:t>The Transfusion Reaction Count Report prints the implicated unit numbers or “no implicated units,” as appropriate.</w:t>
            </w:r>
          </w:p>
          <w:p w14:paraId="0F158566" w14:textId="77777777" w:rsidR="002A21AE" w:rsidRDefault="002A21AE">
            <w:pPr>
              <w:pStyle w:val="NotesText"/>
            </w:pPr>
          </w:p>
          <w:p w14:paraId="47AB58D8" w14:textId="77777777" w:rsidR="002A21AE" w:rsidRDefault="002A21AE" w:rsidP="0053173B">
            <w:pPr>
              <w:pStyle w:val="NotesText"/>
            </w:pPr>
            <w:r>
              <w:rPr>
                <w:rFonts w:cs="Arial"/>
                <w:vanish/>
              </w:rPr>
              <w:t xml:space="preserve">BR_106.06 </w:t>
            </w:r>
            <w:r>
              <w:t>VBECS reports the total number of patient transfusion reactions in the selected date range.</w:t>
            </w:r>
          </w:p>
        </w:tc>
      </w:tr>
      <w:tr w:rsidR="002A21AE" w14:paraId="1B7171DA" w14:textId="77777777">
        <w:tc>
          <w:tcPr>
            <w:tcW w:w="3240" w:type="dxa"/>
          </w:tcPr>
          <w:p w14:paraId="1F924A26" w14:textId="77777777" w:rsidR="002A21AE" w:rsidRDefault="002A21AE">
            <w:pPr>
              <w:pStyle w:val="TableTextNumbers"/>
            </w:pPr>
            <w:r>
              <w:t xml:space="preserve">In the Report Compilation area, click the </w:t>
            </w:r>
            <w:r>
              <w:rPr>
                <w:b/>
              </w:rPr>
              <w:t xml:space="preserve">Create Report Now </w:t>
            </w:r>
            <w:r w:rsidRPr="00BF2E41">
              <w:t>radio button</w:t>
            </w:r>
            <w:r>
              <w:t xml:space="preserve">. Click </w:t>
            </w:r>
            <w:r>
              <w:rPr>
                <w:b/>
              </w:rPr>
              <w:t>OK</w:t>
            </w:r>
            <w:r>
              <w:t xml:space="preserve"> to view the report, or</w:t>
            </w:r>
          </w:p>
          <w:p w14:paraId="4A334DE0" w14:textId="77777777" w:rsidR="002A21AE" w:rsidRDefault="002A21AE">
            <w:pPr>
              <w:pStyle w:val="TableTextNumbersContinued"/>
              <w:rPr>
                <w:b/>
                <w:bCs/>
              </w:rPr>
            </w:pPr>
          </w:p>
          <w:p w14:paraId="2D3F5B73"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 or click </w:t>
            </w:r>
            <w:r>
              <w:rPr>
                <w:b/>
              </w:rPr>
              <w:t>Close</w:t>
            </w:r>
            <w:r>
              <w:t xml:space="preserve"> to exit without printing.</w:t>
            </w:r>
            <w:r>
              <w:rPr>
                <w:color w:val="FFFFFF"/>
              </w:rPr>
              <w:t xml:space="preserve"> </w:t>
            </w:r>
          </w:p>
        </w:tc>
        <w:tc>
          <w:tcPr>
            <w:tcW w:w="6120" w:type="dxa"/>
          </w:tcPr>
          <w:p w14:paraId="72A412C8" w14:textId="77777777" w:rsidR="000566D6" w:rsidRDefault="00F64B5C" w:rsidP="00AA2B2E">
            <w:pPr>
              <w:pStyle w:val="TableTextBullet"/>
            </w:pPr>
            <w:r>
              <w:t>Compiles and displays the report.</w:t>
            </w:r>
          </w:p>
        </w:tc>
      </w:tr>
      <w:tr w:rsidR="00F64B5C" w14:paraId="4C498BDE" w14:textId="77777777">
        <w:tc>
          <w:tcPr>
            <w:tcW w:w="3240" w:type="dxa"/>
            <w:tcBorders>
              <w:top w:val="single" w:sz="4" w:space="0" w:color="auto"/>
              <w:left w:val="single" w:sz="4" w:space="0" w:color="auto"/>
              <w:bottom w:val="single" w:sz="4" w:space="0" w:color="auto"/>
              <w:right w:val="single" w:sz="4" w:space="0" w:color="auto"/>
            </w:tcBorders>
          </w:tcPr>
          <w:p w14:paraId="6A2980F3" w14:textId="17C81AF8" w:rsidR="00F64B5C" w:rsidRDefault="00D45D8C" w:rsidP="007E0D91">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F64B5C" w:rsidRPr="00200B6D">
              <w:rPr>
                <w:vanish/>
                <w:szCs w:val="18"/>
              </w:rPr>
              <w:t xml:space="preserve"> </w:t>
            </w:r>
            <w:r w:rsidR="00F64B5C" w:rsidRPr="00200B6D">
              <w:rPr>
                <w:vanish/>
                <w:szCs w:val="18"/>
              </w:rPr>
              <w:fldChar w:fldCharType="begin"/>
            </w:r>
            <w:r w:rsidR="00F64B5C" w:rsidRPr="00200B6D">
              <w:rPr>
                <w:vanish/>
                <w:szCs w:val="18"/>
              </w:rPr>
              <w:instrText xml:space="preserve"> LISTNUM \l 1 \s 0 </w:instrText>
            </w:r>
            <w:r w:rsidR="00F64B5C" w:rsidRPr="00200B6D">
              <w:rPr>
                <w:vanish/>
                <w:szCs w:val="18"/>
              </w:rPr>
              <w:fldChar w:fldCharType="end">
                <w:numberingChange w:id="695" w:author="Blalock, David (Leidos)" w:date="2020-06-15T14:09:00Z" w:original="0."/>
              </w:fldChar>
            </w:r>
          </w:p>
        </w:tc>
        <w:tc>
          <w:tcPr>
            <w:tcW w:w="6120" w:type="dxa"/>
            <w:tcBorders>
              <w:top w:val="single" w:sz="4" w:space="0" w:color="auto"/>
              <w:left w:val="single" w:sz="4" w:space="0" w:color="auto"/>
              <w:bottom w:val="single" w:sz="4" w:space="0" w:color="auto"/>
              <w:right w:val="single" w:sz="4" w:space="0" w:color="auto"/>
            </w:tcBorders>
          </w:tcPr>
          <w:p w14:paraId="151E0E21" w14:textId="77777777" w:rsidR="00D45D8C" w:rsidRDefault="00D45D8C" w:rsidP="00D45D8C">
            <w:pPr>
              <w:pStyle w:val="TableTextBullet"/>
            </w:pPr>
            <w:r>
              <w:t>If Print is selected, prints the report on the designated printer.</w:t>
            </w:r>
          </w:p>
          <w:p w14:paraId="3D10BE76" w14:textId="77777777" w:rsidR="00D45D8C" w:rsidRDefault="00D45D8C" w:rsidP="00D45D8C">
            <w:pPr>
              <w:pStyle w:val="TableTextBullet"/>
            </w:pPr>
            <w:r>
              <w:t>If Export is selected, exports the report to the designated file.</w:t>
            </w:r>
          </w:p>
          <w:p w14:paraId="5544D26D" w14:textId="466790BB" w:rsidR="00F64B5C" w:rsidRDefault="00D45D8C" w:rsidP="00D45D8C">
            <w:pPr>
              <w:pStyle w:val="TableTextBullet"/>
            </w:pPr>
            <w:r>
              <w:t>If Close is selected, exits the report preview.</w:t>
            </w:r>
          </w:p>
        </w:tc>
      </w:tr>
    </w:tbl>
    <w:p w14:paraId="3C87AF8C" w14:textId="77777777" w:rsidR="002813A3" w:rsidRDefault="002813A3">
      <w:pPr>
        <w:pStyle w:val="Heading2"/>
      </w:pPr>
    </w:p>
    <w:p w14:paraId="3C6656EA" w14:textId="77777777" w:rsidR="002A21AE" w:rsidRDefault="002813A3">
      <w:pPr>
        <w:pStyle w:val="Heading2"/>
      </w:pPr>
      <w:r>
        <w:br w:type="page"/>
      </w:r>
      <w:bookmarkStart w:id="696" w:name="_Toc47516796"/>
      <w:r w:rsidR="002A21AE">
        <w:lastRenderedPageBreak/>
        <w:t>Transfusion Requirements Report</w:t>
      </w:r>
      <w:bookmarkEnd w:id="696"/>
      <w:r w:rsidR="002A21AE">
        <w:fldChar w:fldCharType="begin"/>
      </w:r>
      <w:r w:rsidR="002A21AE">
        <w:instrText xml:space="preserve"> XE </w:instrText>
      </w:r>
      <w:r w:rsidR="00FA7E65">
        <w:instrText>“</w:instrText>
      </w:r>
      <w:r w:rsidR="002A21AE">
        <w:instrText>Transfusion Requirements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UC_89</w:t>
      </w:r>
    </w:p>
    <w:p w14:paraId="3D212CAB" w14:textId="77777777" w:rsidR="002A21AE" w:rsidRDefault="002A21AE" w:rsidP="00FA7E65">
      <w:pPr>
        <w:pStyle w:val="BodyText"/>
      </w:pPr>
      <w:r>
        <w:t xml:space="preserve">The user views </w:t>
      </w:r>
      <w:r w:rsidR="00EB1E5A">
        <w:t xml:space="preserve">and/or </w:t>
      </w:r>
      <w:r>
        <w:t xml:space="preserve">prints a Transfusion Requirements Report. </w:t>
      </w:r>
    </w:p>
    <w:p w14:paraId="3CBB77E9" w14:textId="77777777" w:rsidR="002A21AE" w:rsidRDefault="002A21AE">
      <w:pPr>
        <w:pStyle w:val="Heading4"/>
      </w:pPr>
      <w:r>
        <w:t>Assumptions</w:t>
      </w:r>
      <w:r>
        <w:rPr>
          <w:b w:val="0"/>
        </w:rPr>
        <w:t xml:space="preserve"> </w:t>
      </w:r>
    </w:p>
    <w:p w14:paraId="7EF3ECAC" w14:textId="77777777" w:rsidR="002A21AE" w:rsidRDefault="002A21AE">
      <w:pPr>
        <w:pStyle w:val="ListBullet"/>
      </w:pPr>
      <w:r>
        <w:t xml:space="preserve">The database conversion of </w:t>
      </w:r>
      <w:r w:rsidR="00CA6E27" w:rsidRPr="00CA6E27">
        <w:rPr>
          <w:bCs/>
        </w:rPr>
        <w:t>VistA</w:t>
      </w:r>
      <w:r>
        <w:t xml:space="preserve"> patient files is complete.</w:t>
      </w:r>
    </w:p>
    <w:p w14:paraId="6ECB8A2D" w14:textId="77777777" w:rsidR="002A21AE" w:rsidRDefault="002A21AE">
      <w:pPr>
        <w:pStyle w:val="ListBullet"/>
      </w:pPr>
      <w:r>
        <w:t>Data for the report were saved in VBECS.</w:t>
      </w:r>
    </w:p>
    <w:p w14:paraId="1180DEC1" w14:textId="77777777" w:rsidR="002A21AE" w:rsidRDefault="002A21AE">
      <w:pPr>
        <w:pStyle w:val="Heading4"/>
      </w:pPr>
      <w:r>
        <w:t xml:space="preserve">Outcome </w:t>
      </w:r>
    </w:p>
    <w:p w14:paraId="17EE5613" w14:textId="77777777" w:rsidR="002A21AE" w:rsidRDefault="00AE521B">
      <w:pPr>
        <w:pStyle w:val="ListBullet"/>
      </w:pPr>
      <w:r>
        <w:t>The user views and/or prints the report</w:t>
      </w:r>
      <w:r w:rsidR="002A21AE">
        <w:t>.</w:t>
      </w:r>
    </w:p>
    <w:p w14:paraId="2D68E714" w14:textId="77777777" w:rsidR="002A21AE" w:rsidRDefault="002A21AE">
      <w:pPr>
        <w:pStyle w:val="Heading4"/>
      </w:pPr>
      <w:r>
        <w:t>Limitations and Restrictions</w:t>
      </w:r>
      <w:r>
        <w:rPr>
          <w:b w:val="0"/>
        </w:rPr>
        <w:t xml:space="preserve"> </w:t>
      </w:r>
    </w:p>
    <w:p w14:paraId="2C75AB61" w14:textId="4AEEA982" w:rsidR="002A21AE" w:rsidRPr="00684625" w:rsidRDefault="002A21AE">
      <w:pPr>
        <w:pStyle w:val="ListBullet"/>
      </w:pPr>
      <w:r>
        <w:rPr>
          <w:rFonts w:ascii="Arial" w:hAnsi="Arial" w:cs="Arial"/>
          <w:vanish/>
          <w:spacing w:val="0"/>
          <w:sz w:val="18"/>
        </w:rPr>
        <w:t xml:space="preserve">BR_89.01 </w:t>
      </w:r>
      <w:r w:rsidR="00B93109" w:rsidRPr="00684625">
        <w:rPr>
          <w:spacing w:val="0"/>
        </w:rPr>
        <w:t>Deceased patient records do not appear on the report when they are generated after the patient has been marked</w:t>
      </w:r>
      <w:r w:rsidR="00DB68D8" w:rsidRPr="00684625">
        <w:rPr>
          <w:spacing w:val="0"/>
        </w:rPr>
        <w:t xml:space="preserve"> as deceased</w:t>
      </w:r>
      <w:r w:rsidR="00B93109" w:rsidRPr="00684625">
        <w:rPr>
          <w:spacing w:val="0"/>
        </w:rPr>
        <w:t xml:space="preserve"> in the VBECS database via a VistA Death Notification Update.</w:t>
      </w:r>
      <w:r w:rsidR="00DB68D8" w:rsidRPr="00684625">
        <w:rPr>
          <w:spacing w:val="0"/>
        </w:rPr>
        <w:t xml:space="preserve"> </w:t>
      </w:r>
      <w:r w:rsidR="00DB68D8" w:rsidRPr="00684625">
        <w:rPr>
          <w:vanish/>
          <w:spacing w:val="0"/>
        </w:rPr>
        <w:t>DR 5086</w:t>
      </w:r>
    </w:p>
    <w:p w14:paraId="40E9BFD6" w14:textId="04708542" w:rsidR="00684625" w:rsidRDefault="00684625">
      <w:pPr>
        <w:pStyle w:val="ListBullet"/>
      </w:pPr>
      <w:r w:rsidRPr="00684625">
        <w:rPr>
          <w:vanish/>
          <w:spacing w:val="0"/>
        </w:rPr>
        <w:t>The cumulative report</w:t>
      </w:r>
      <w:r w:rsidRPr="00684625">
        <w:rPr>
          <w:spacing w:val="0"/>
        </w:rPr>
        <w:t xml:space="preserve">The cumulative report is not displaying </w:t>
      </w:r>
      <w:r w:rsidRPr="00684625">
        <w:t>all patients on file. A patient with ABO/Rh testing and no other requirement appears on the partial Transfusion Requirements report, but not on the cumulative report.</w:t>
      </w:r>
      <w:r>
        <w:t xml:space="preserve"> </w:t>
      </w:r>
      <w:r w:rsidRPr="00684625">
        <w:rPr>
          <w:vanish/>
        </w:rPr>
        <w:t>Defect 208903</w:t>
      </w:r>
    </w:p>
    <w:p w14:paraId="6BB4EAD9" w14:textId="17712B70" w:rsidR="00684625" w:rsidRPr="00684625" w:rsidRDefault="00684625">
      <w:pPr>
        <w:pStyle w:val="ListBullet"/>
      </w:pPr>
      <w:r>
        <w:t xml:space="preserve">A report printed with an end date of today or greater does not print “Partial” in the header. </w:t>
      </w:r>
      <w:r w:rsidRPr="00684625">
        <w:rPr>
          <w:vanish/>
        </w:rPr>
        <w:t>Defect 208901</w:t>
      </w:r>
    </w:p>
    <w:p w14:paraId="393C7C29" w14:textId="77777777" w:rsidR="002A21AE" w:rsidRDefault="002A21AE">
      <w:pPr>
        <w:pStyle w:val="Heading4"/>
      </w:pPr>
      <w:r>
        <w:t>Additional Information</w:t>
      </w:r>
      <w:r>
        <w:rPr>
          <w:rFonts w:ascii="Times New Roman" w:hAnsi="Times New Roman"/>
          <w:i/>
          <w:sz w:val="24"/>
        </w:rPr>
        <w:t xml:space="preserve"> </w:t>
      </w:r>
    </w:p>
    <w:p w14:paraId="6073F527" w14:textId="0BFD6913" w:rsidR="002A21AE" w:rsidRPr="00E53D6C" w:rsidRDefault="002A21AE" w:rsidP="00684625">
      <w:pPr>
        <w:pStyle w:val="ListBullet"/>
        <w:tabs>
          <w:tab w:val="clear" w:pos="648"/>
          <w:tab w:val="num" w:pos="630"/>
          <w:tab w:val="num" w:pos="720"/>
        </w:tabs>
        <w:ind w:left="720"/>
      </w:pPr>
      <w:r>
        <w:rPr>
          <w:rFonts w:ascii="Arial" w:hAnsi="Arial" w:cs="Arial"/>
          <w:vanish/>
          <w:spacing w:val="0"/>
          <w:sz w:val="18"/>
        </w:rPr>
        <w:t xml:space="preserve">BR_89.06 </w:t>
      </w:r>
      <w:r w:rsidRPr="00F32AB8">
        <w:rPr>
          <w:vanish/>
        </w:rPr>
        <w:t xml:space="preserve"> </w:t>
      </w:r>
      <w:r w:rsidR="00F32AB8" w:rsidRPr="00E53D6C">
        <w:t xml:space="preserve">A </w:t>
      </w:r>
      <w:r w:rsidRPr="00E53D6C">
        <w:t xml:space="preserve">Transfusion Requirements report is compiled </w:t>
      </w:r>
      <w:r w:rsidR="00875D04" w:rsidRPr="00E53D6C">
        <w:t xml:space="preserve">from </w:t>
      </w:r>
      <w:r w:rsidR="00F32AB8" w:rsidRPr="00E53D6C">
        <w:t xml:space="preserve">all VBECS </w:t>
      </w:r>
      <w:r w:rsidRPr="00E53D6C">
        <w:t>divisions</w:t>
      </w:r>
      <w:r w:rsidR="00F32AB8" w:rsidRPr="00E53D6C">
        <w:t xml:space="preserve"> defined in the VBECS</w:t>
      </w:r>
      <w:r w:rsidR="00684625">
        <w:t xml:space="preserve"> </w:t>
      </w:r>
      <w:r w:rsidR="00F32AB8" w:rsidRPr="00E53D6C">
        <w:t>database.</w:t>
      </w:r>
    </w:p>
    <w:p w14:paraId="5B90C537" w14:textId="77777777" w:rsidR="002A21AE" w:rsidRPr="00E53D6C" w:rsidRDefault="002A21AE">
      <w:pPr>
        <w:pStyle w:val="ListBullet"/>
        <w:tabs>
          <w:tab w:val="num" w:pos="720"/>
        </w:tabs>
        <w:ind w:left="720"/>
      </w:pPr>
      <w:r w:rsidRPr="00E53D6C">
        <w:rPr>
          <w:vanish/>
          <w:spacing w:val="0"/>
        </w:rPr>
        <w:t xml:space="preserve">BR_89.02 </w:t>
      </w:r>
      <w:r w:rsidRPr="00E53D6C">
        <w:t>VBECS does not allow a report to be printed when no data are available.</w:t>
      </w:r>
    </w:p>
    <w:p w14:paraId="5BEAA5F9" w14:textId="77777777" w:rsidR="002A21AE" w:rsidRDefault="002A21AE" w:rsidP="00E53D6C">
      <w:pPr>
        <w:pStyle w:val="ListBullet"/>
        <w:tabs>
          <w:tab w:val="clear" w:pos="648"/>
          <w:tab w:val="left" w:pos="630"/>
          <w:tab w:val="num" w:pos="720"/>
        </w:tabs>
        <w:ind w:left="720"/>
      </w:pPr>
      <w:r w:rsidRPr="00E53D6C">
        <w:rPr>
          <w:vanish/>
          <w:spacing w:val="0"/>
        </w:rPr>
        <w:t xml:space="preserve">BR_89.04 </w:t>
      </w:r>
      <w:r w:rsidRPr="00E53D6C">
        <w:t>When the date range includes a future date and time, VBECS displays “Partial” in the report header on each page of the report.</w:t>
      </w:r>
    </w:p>
    <w:p w14:paraId="6ACEF957" w14:textId="0F2F86C9" w:rsidR="00BD4462" w:rsidRPr="00E53D6C" w:rsidRDefault="00721A9D" w:rsidP="001403D9">
      <w:pPr>
        <w:pStyle w:val="ListBullet"/>
        <w:tabs>
          <w:tab w:val="clear" w:pos="648"/>
          <w:tab w:val="left" w:pos="630"/>
          <w:tab w:val="num" w:pos="720"/>
        </w:tabs>
        <w:ind w:left="720"/>
      </w:pPr>
      <w:r w:rsidRPr="00721A9D">
        <w:t xml:space="preserve">The </w:t>
      </w:r>
      <w:r>
        <w:t>“</w:t>
      </w:r>
      <w:r w:rsidRPr="00721A9D">
        <w:t>Partial</w:t>
      </w:r>
      <w:r>
        <w:t>”</w:t>
      </w:r>
      <w:r w:rsidRPr="00721A9D">
        <w:t xml:space="preserve"> format of the report does not allow scheduling to print in the future</w:t>
      </w:r>
      <w:r w:rsidR="001403D9">
        <w:t xml:space="preserve">; a full report </w:t>
      </w:r>
      <w:r w:rsidR="00571BE3">
        <w:t>will print instead.</w:t>
      </w:r>
      <w:r w:rsidR="0045341A">
        <w:t xml:space="preserve"> </w:t>
      </w:r>
      <w:r w:rsidR="0045341A" w:rsidRPr="0045341A">
        <w:rPr>
          <w:vanish/>
        </w:rPr>
        <w:t>Defect 210519</w:t>
      </w:r>
    </w:p>
    <w:p w14:paraId="6FF06BE9" w14:textId="77777777" w:rsidR="007E0D91" w:rsidRPr="00E53D6C" w:rsidRDefault="002A21AE" w:rsidP="007E0D91">
      <w:pPr>
        <w:pStyle w:val="ListBullet"/>
        <w:tabs>
          <w:tab w:val="num" w:pos="720"/>
        </w:tabs>
        <w:ind w:left="720"/>
      </w:pPr>
      <w:r w:rsidRPr="00E53D6C">
        <w:rPr>
          <w:vanish/>
          <w:spacing w:val="0"/>
        </w:rPr>
        <w:t xml:space="preserve">BR_89.05 </w:t>
      </w:r>
      <w:r w:rsidRPr="00E53D6C">
        <w:t>Each page containing patient information includes the patient name.</w:t>
      </w:r>
    </w:p>
    <w:p w14:paraId="7568AFFE" w14:textId="77777777" w:rsidR="007E0D91" w:rsidRPr="00E53D6C" w:rsidRDefault="007E0D91" w:rsidP="007E0D91">
      <w:pPr>
        <w:pStyle w:val="ListBullet"/>
        <w:tabs>
          <w:tab w:val="num" w:pos="720"/>
        </w:tabs>
        <w:ind w:left="720"/>
      </w:pPr>
      <w:r w:rsidRPr="00E53D6C">
        <w:t>Divisions in a multidivisional database may view each other’s Special Instructions (SI) comments.</w:t>
      </w:r>
    </w:p>
    <w:p w14:paraId="4C34A845" w14:textId="7E42D019" w:rsidR="00E53D6C" w:rsidRPr="00E53D6C" w:rsidRDefault="00E53D6C" w:rsidP="00E53D6C">
      <w:pPr>
        <w:pStyle w:val="ListBullet"/>
        <w:tabs>
          <w:tab w:val="clear" w:pos="648"/>
          <w:tab w:val="left" w:pos="630"/>
          <w:tab w:val="num" w:pos="720"/>
        </w:tabs>
        <w:ind w:left="720"/>
      </w:pPr>
      <w:r w:rsidRPr="00E53D6C">
        <w:t>Important transfusion related information for a patient may</w:t>
      </w:r>
      <w:r>
        <w:t xml:space="preserve"> appear on more than one page. </w:t>
      </w:r>
      <w:r w:rsidR="0045341A">
        <w:t xml:space="preserve">Always </w:t>
      </w:r>
      <w:r w:rsidRPr="00E53D6C">
        <w:t>check the next page for additional patient information.</w:t>
      </w:r>
      <w:r>
        <w:t xml:space="preserve"> </w:t>
      </w:r>
      <w:r w:rsidRPr="00E53D6C">
        <w:rPr>
          <w:vanish/>
        </w:rPr>
        <w:t>DR 5125</w:t>
      </w:r>
    </w:p>
    <w:p w14:paraId="1B2848CB" w14:textId="77777777" w:rsidR="002A21AE" w:rsidRDefault="002A21AE">
      <w:pPr>
        <w:pStyle w:val="Heading4"/>
        <w:rPr>
          <w:b w:val="0"/>
        </w:rPr>
      </w:pPr>
      <w:r>
        <w:t>User Roles with Access to This Option</w:t>
      </w:r>
      <w:r>
        <w:rPr>
          <w:b w:val="0"/>
        </w:rPr>
        <w:t xml:space="preserve"> </w:t>
      </w:r>
    </w:p>
    <w:p w14:paraId="737D5288" w14:textId="77777777" w:rsidR="002A21AE" w:rsidRDefault="00184EA4">
      <w:pPr>
        <w:pStyle w:val="Roles"/>
      </w:pPr>
      <w:r>
        <w:t>All users</w:t>
      </w:r>
    </w:p>
    <w:p w14:paraId="29D433DA" w14:textId="77777777" w:rsidR="002A21AE" w:rsidRDefault="002A21AE">
      <w:pPr>
        <w:pStyle w:val="Heading4"/>
      </w:pPr>
      <w:r>
        <w:t xml:space="preserve">Transfusion Requirements Report </w:t>
      </w:r>
    </w:p>
    <w:p w14:paraId="4CD60331" w14:textId="77777777" w:rsidR="002A21AE" w:rsidRDefault="002A21AE" w:rsidP="00FA7E65">
      <w:pPr>
        <w:pStyle w:val="BodyText"/>
      </w:pPr>
      <w:r>
        <w:t xml:space="preserve">The user views </w:t>
      </w:r>
      <w:r w:rsidR="00EB1E5A">
        <w:t xml:space="preserve">and/or </w:t>
      </w:r>
      <w:r>
        <w:t>prints the Transfusion Requirements Report</w:t>
      </w:r>
      <w:r w:rsidR="00B04E4F">
        <w:t xml:space="preserve"> for a division</w:t>
      </w:r>
      <w:r>
        <w:t>. This option describes the continuous compilation of the complete file of patients in the VBECS database</w:t>
      </w:r>
      <w:r w:rsidR="00B04E4F">
        <w:t xml:space="preserve"> for historic record checking during downtime.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20087D9" w14:textId="77777777">
        <w:trPr>
          <w:cantSplit/>
          <w:tblHeader/>
        </w:trPr>
        <w:tc>
          <w:tcPr>
            <w:tcW w:w="3240" w:type="dxa"/>
            <w:shd w:val="pct30" w:color="auto" w:fill="FFFFFF"/>
            <w:vAlign w:val="bottom"/>
          </w:tcPr>
          <w:p w14:paraId="49455634" w14:textId="77777777" w:rsidR="002A21AE" w:rsidRDefault="002A21AE">
            <w:pPr>
              <w:pStyle w:val="TableText"/>
              <w:rPr>
                <w:b/>
              </w:rPr>
            </w:pPr>
            <w:r>
              <w:rPr>
                <w:b/>
              </w:rPr>
              <w:t>User Action</w:t>
            </w:r>
          </w:p>
        </w:tc>
        <w:tc>
          <w:tcPr>
            <w:tcW w:w="6120" w:type="dxa"/>
            <w:shd w:val="pct30" w:color="auto" w:fill="FFFFFF"/>
            <w:vAlign w:val="bottom"/>
          </w:tcPr>
          <w:p w14:paraId="0408D5D9" w14:textId="77777777" w:rsidR="002A21AE" w:rsidRDefault="002A21AE">
            <w:pPr>
              <w:pStyle w:val="TableText"/>
              <w:rPr>
                <w:b/>
              </w:rPr>
            </w:pPr>
            <w:r>
              <w:rPr>
                <w:b/>
              </w:rPr>
              <w:t>VBECS</w:t>
            </w:r>
          </w:p>
        </w:tc>
      </w:tr>
      <w:tr w:rsidR="002A21AE" w14:paraId="1087BECE" w14:textId="77777777">
        <w:tc>
          <w:tcPr>
            <w:tcW w:w="3240" w:type="dxa"/>
          </w:tcPr>
          <w:p w14:paraId="49687B81" w14:textId="77777777" w:rsidR="002A21AE" w:rsidRDefault="002A21AE">
            <w:pPr>
              <w:pStyle w:val="TableTextNumbers"/>
            </w:pPr>
            <w:r>
              <w:t xml:space="preserve">Select </w:t>
            </w:r>
            <w:r>
              <w:rPr>
                <w:b/>
              </w:rPr>
              <w:t>Reports</w:t>
            </w:r>
            <w:r>
              <w:t xml:space="preserve"> from the main menu.</w:t>
            </w:r>
          </w:p>
          <w:p w14:paraId="4856DE60" w14:textId="77777777" w:rsidR="002A21AE" w:rsidRDefault="002A21AE">
            <w:pPr>
              <w:pStyle w:val="TableTextNumbersContinued"/>
            </w:pPr>
          </w:p>
          <w:p w14:paraId="479DF2E6" w14:textId="77777777" w:rsidR="002A21AE" w:rsidRDefault="002A21AE">
            <w:pPr>
              <w:pStyle w:val="TableTextNumbersContinued"/>
            </w:pPr>
            <w:r>
              <w:t xml:space="preserve">Select </w:t>
            </w:r>
            <w:r>
              <w:rPr>
                <w:b/>
              </w:rPr>
              <w:t>Transfusion Requirements Report</w:t>
            </w:r>
            <w:r>
              <w:t>.</w:t>
            </w:r>
          </w:p>
        </w:tc>
        <w:tc>
          <w:tcPr>
            <w:tcW w:w="6120" w:type="dxa"/>
          </w:tcPr>
          <w:p w14:paraId="117C3C39" w14:textId="77777777" w:rsidR="002A21AE" w:rsidRDefault="002A21AE">
            <w:pPr>
              <w:pStyle w:val="TableTextBullet"/>
            </w:pPr>
            <w:r>
              <w:t>Lists report names.</w:t>
            </w:r>
          </w:p>
          <w:p w14:paraId="661F01F0" w14:textId="77777777" w:rsidR="002A21AE" w:rsidRDefault="002A21AE">
            <w:pPr>
              <w:pStyle w:val="TableTextBullet"/>
            </w:pPr>
            <w:r>
              <w:t xml:space="preserve">Displays report compilation criteria. </w:t>
            </w:r>
          </w:p>
          <w:p w14:paraId="4E9A4CF9" w14:textId="77777777" w:rsidR="002A21AE" w:rsidRDefault="002A21AE">
            <w:pPr>
              <w:pStyle w:val="TableTextBullet"/>
            </w:pPr>
            <w:r>
              <w:t>Displays a date range for selection.</w:t>
            </w:r>
          </w:p>
        </w:tc>
      </w:tr>
      <w:tr w:rsidR="002A21AE" w14:paraId="361834BD" w14:textId="77777777">
        <w:tc>
          <w:tcPr>
            <w:tcW w:w="3240" w:type="dxa"/>
          </w:tcPr>
          <w:p w14:paraId="42AFB037" w14:textId="77777777" w:rsidR="002A21AE" w:rsidRDefault="002A21AE">
            <w:pPr>
              <w:pStyle w:val="TableTextNumbers"/>
            </w:pPr>
            <w:r>
              <w:lastRenderedPageBreak/>
              <w:t xml:space="preserve">In the </w:t>
            </w:r>
            <w:r w:rsidRPr="00B46EEA">
              <w:rPr>
                <w:b/>
              </w:rPr>
              <w:t>Report Type</w:t>
            </w:r>
            <w:r>
              <w:t xml:space="preserve"> area, select the </w:t>
            </w:r>
            <w:r>
              <w:rPr>
                <w:b/>
              </w:rPr>
              <w:t>Cumulative Report</w:t>
            </w:r>
            <w:r>
              <w:t xml:space="preserve"> </w:t>
            </w:r>
            <w:r w:rsidRPr="00BF2E41">
              <w:t>radio button</w:t>
            </w:r>
            <w:r>
              <w:t xml:space="preserve">, or </w:t>
            </w:r>
          </w:p>
          <w:p w14:paraId="6907FD7A" w14:textId="77777777" w:rsidR="002A21AE" w:rsidRDefault="002A21AE">
            <w:pPr>
              <w:pStyle w:val="TableTextNumbersContinued"/>
            </w:pPr>
          </w:p>
          <w:p w14:paraId="729426CE" w14:textId="77777777" w:rsidR="002A21AE" w:rsidRDefault="002A21AE">
            <w:pPr>
              <w:pStyle w:val="TableTextNumbersContinued"/>
            </w:pPr>
            <w:r>
              <w:t xml:space="preserve">Click the </w:t>
            </w:r>
            <w:r>
              <w:rPr>
                <w:b/>
              </w:rPr>
              <w:t xml:space="preserve">Partial Report </w:t>
            </w:r>
            <w:r w:rsidRPr="00BF2E41">
              <w:t>radio button</w:t>
            </w:r>
            <w:r>
              <w:t xml:space="preserve"> and enter or select start and end dates.</w:t>
            </w:r>
          </w:p>
        </w:tc>
        <w:tc>
          <w:tcPr>
            <w:tcW w:w="6120" w:type="dxa"/>
          </w:tcPr>
          <w:p w14:paraId="38A1A5D9" w14:textId="77777777" w:rsidR="00811C5F" w:rsidRDefault="002A21AE">
            <w:pPr>
              <w:pStyle w:val="TableTextBullet"/>
            </w:pPr>
            <w:r>
              <w:t>Compiles and displays the report.</w:t>
            </w:r>
          </w:p>
          <w:p w14:paraId="2C6436CC" w14:textId="77777777" w:rsidR="00811C5F" w:rsidRDefault="00811C5F" w:rsidP="00811C5F">
            <w:pPr>
              <w:pStyle w:val="TableText"/>
              <w:rPr>
                <w:b/>
                <w:bCs/>
                <w:szCs w:val="18"/>
              </w:rPr>
            </w:pPr>
          </w:p>
          <w:p w14:paraId="1B96F618" w14:textId="4B11CE92" w:rsidR="00811C5F" w:rsidRDefault="00811C5F" w:rsidP="00811C5F">
            <w:pPr>
              <w:pStyle w:val="TableText"/>
              <w:rPr>
                <w:b/>
                <w:bCs/>
                <w:szCs w:val="18"/>
              </w:rPr>
            </w:pPr>
            <w:r>
              <w:rPr>
                <w:b/>
                <w:bCs/>
                <w:szCs w:val="18"/>
              </w:rPr>
              <w:t>NOTES</w:t>
            </w:r>
          </w:p>
          <w:p w14:paraId="096BC339" w14:textId="77777777" w:rsidR="00811C5F" w:rsidRDefault="00811C5F" w:rsidP="00811C5F">
            <w:pPr>
              <w:pStyle w:val="NotesText"/>
              <w:ind w:left="0"/>
            </w:pPr>
          </w:p>
          <w:p w14:paraId="062D26A5" w14:textId="77777777" w:rsidR="00F9149B" w:rsidRPr="00DC4D3E" w:rsidRDefault="00BC7A6E" w:rsidP="00811C5F">
            <w:pPr>
              <w:pStyle w:val="NotesText"/>
            </w:pPr>
            <w:r>
              <w:t>Patients who do not have a blood type, SI, TR, or Transfusion Reaction in their VBECS record do not display on the Transfusion Requirements Report in either the Cumulative or Partial format.</w:t>
            </w:r>
            <w:r w:rsidR="00DC4D3E">
              <w:rPr>
                <w:vanish/>
              </w:rPr>
              <w:t xml:space="preserve"> DR 3356</w:t>
            </w:r>
          </w:p>
          <w:p w14:paraId="0D303F9E" w14:textId="77777777" w:rsidR="00F9149B" w:rsidRDefault="00F9149B" w:rsidP="00811C5F">
            <w:pPr>
              <w:pStyle w:val="NotesText"/>
            </w:pPr>
          </w:p>
          <w:p w14:paraId="0F05424E" w14:textId="77777777" w:rsidR="00F9149B" w:rsidRDefault="00811C5F" w:rsidP="00811C5F">
            <w:pPr>
              <w:pStyle w:val="NotesText"/>
            </w:pPr>
            <w:r>
              <w:t>The Cumulative Report displays patients that have a blood type, SI, TR</w:t>
            </w:r>
            <w:r w:rsidR="00F9149B">
              <w:t>, or Transfusion Reaction.</w:t>
            </w:r>
          </w:p>
          <w:p w14:paraId="57CD5CC3" w14:textId="77777777" w:rsidR="00F9149B" w:rsidRDefault="00F9149B" w:rsidP="00811C5F">
            <w:pPr>
              <w:pStyle w:val="NotesText"/>
            </w:pPr>
          </w:p>
          <w:p w14:paraId="7C6C880B" w14:textId="77777777" w:rsidR="00811C5F" w:rsidRDefault="00811C5F" w:rsidP="00811C5F">
            <w:pPr>
              <w:pStyle w:val="NotesText"/>
            </w:pPr>
            <w:r>
              <w:t xml:space="preserve">The Partial Report displays </w:t>
            </w:r>
            <w:r w:rsidR="00313C6B">
              <w:t>patient</w:t>
            </w:r>
            <w:r w:rsidR="00F9149B">
              <w:t>s that have a change to their VBECS record within the date range of the requested report.</w:t>
            </w:r>
          </w:p>
          <w:p w14:paraId="6AABFAB7" w14:textId="77777777" w:rsidR="00F9149B" w:rsidRDefault="00F9149B" w:rsidP="00811C5F">
            <w:pPr>
              <w:pStyle w:val="NotesText"/>
            </w:pPr>
            <w:r>
              <w:t>Changes are defined as:</w:t>
            </w:r>
          </w:p>
          <w:p w14:paraId="62BE2DE6" w14:textId="77777777" w:rsidR="00F9149B" w:rsidRDefault="00F9149B" w:rsidP="00F9149B">
            <w:pPr>
              <w:pStyle w:val="NotesTextBullet"/>
            </w:pPr>
            <w:r>
              <w:t>New order</w:t>
            </w:r>
          </w:p>
          <w:p w14:paraId="34F3AE37" w14:textId="77777777" w:rsidR="00F9149B" w:rsidRDefault="00F9149B" w:rsidP="00F9149B">
            <w:pPr>
              <w:pStyle w:val="NotesTextBullet"/>
            </w:pPr>
            <w:r>
              <w:t>Record of testing</w:t>
            </w:r>
          </w:p>
          <w:p w14:paraId="036F4FC6" w14:textId="77777777" w:rsidR="00F9149B" w:rsidRDefault="00F9149B" w:rsidP="00F9149B">
            <w:pPr>
              <w:pStyle w:val="NotesTextBullet"/>
            </w:pPr>
            <w:r>
              <w:t>Patient Update event</w:t>
            </w:r>
          </w:p>
          <w:p w14:paraId="6053FF99" w14:textId="77777777" w:rsidR="00F9149B" w:rsidRDefault="00F9149B" w:rsidP="00F9149B">
            <w:pPr>
              <w:pStyle w:val="NotesTextBullet"/>
            </w:pPr>
            <w:r>
              <w:t>New SI entered</w:t>
            </w:r>
          </w:p>
          <w:p w14:paraId="118171EB" w14:textId="77777777" w:rsidR="00F9149B" w:rsidRDefault="00F9149B" w:rsidP="00F9149B">
            <w:pPr>
              <w:pStyle w:val="NotesTextBullet"/>
            </w:pPr>
            <w:r>
              <w:t>New TR entered</w:t>
            </w:r>
          </w:p>
          <w:p w14:paraId="2DFBF5FA" w14:textId="77777777" w:rsidR="00811C5F" w:rsidRDefault="00F9149B" w:rsidP="00DC4D3E">
            <w:pPr>
              <w:pStyle w:val="NotesTextBullet"/>
            </w:pPr>
            <w:r>
              <w:t>New Transfusion Reaction entered</w:t>
            </w:r>
          </w:p>
        </w:tc>
      </w:tr>
      <w:tr w:rsidR="002A21AE" w14:paraId="0D84C894" w14:textId="77777777">
        <w:tc>
          <w:tcPr>
            <w:tcW w:w="3240" w:type="dxa"/>
          </w:tcPr>
          <w:p w14:paraId="59AC03FC"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721C5C5" w14:textId="77777777" w:rsidR="002A21AE" w:rsidRDefault="002A21AE">
            <w:pPr>
              <w:pStyle w:val="TableTextNumbersContinued"/>
            </w:pPr>
          </w:p>
          <w:p w14:paraId="25ACEDA3"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6253C3C" w14:textId="77777777" w:rsidR="000566D6" w:rsidRDefault="00F64B5C" w:rsidP="00AA2B2E">
            <w:pPr>
              <w:pStyle w:val="TableTextBullet"/>
            </w:pPr>
            <w:r>
              <w:t>Compiles and displays the report.</w:t>
            </w:r>
          </w:p>
        </w:tc>
      </w:tr>
      <w:tr w:rsidR="002A21AE" w14:paraId="16EB39C0" w14:textId="77777777">
        <w:tc>
          <w:tcPr>
            <w:tcW w:w="3240" w:type="dxa"/>
          </w:tcPr>
          <w:p w14:paraId="3A0F9621" w14:textId="0151A9EF"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200B6D">
              <w:rPr>
                <w:rFonts w:cs="Arial"/>
                <w:vanish/>
                <w:szCs w:val="18"/>
              </w:rPr>
              <w:fldChar w:fldCharType="begin"/>
            </w:r>
            <w:r w:rsidR="002A21AE" w:rsidRPr="00200B6D">
              <w:rPr>
                <w:rFonts w:cs="Arial"/>
                <w:vanish/>
                <w:szCs w:val="18"/>
              </w:rPr>
              <w:instrText xml:space="preserve"> LISTNUM \l 1 \s 0 </w:instrText>
            </w:r>
            <w:r w:rsidR="002A21AE" w:rsidRPr="00200B6D">
              <w:rPr>
                <w:rFonts w:cs="Arial"/>
                <w:vanish/>
                <w:szCs w:val="18"/>
              </w:rPr>
              <w:fldChar w:fldCharType="end">
                <w:numberingChange w:id="697" w:author="Blalock, David (Leidos)" w:date="2020-06-15T14:09:00Z" w:original="0."/>
              </w:fldChar>
            </w:r>
          </w:p>
        </w:tc>
        <w:tc>
          <w:tcPr>
            <w:tcW w:w="6120" w:type="dxa"/>
          </w:tcPr>
          <w:p w14:paraId="34F76509" w14:textId="77777777" w:rsidR="00D45D8C" w:rsidRDefault="00D45D8C" w:rsidP="00D45D8C">
            <w:pPr>
              <w:pStyle w:val="TableTextBullet"/>
            </w:pPr>
            <w:r>
              <w:t>If Print is selected, prints the report on the designated printer.</w:t>
            </w:r>
          </w:p>
          <w:p w14:paraId="11EBE29D" w14:textId="77777777" w:rsidR="00D45D8C" w:rsidRDefault="00D45D8C" w:rsidP="00D45D8C">
            <w:pPr>
              <w:pStyle w:val="TableTextBullet"/>
            </w:pPr>
            <w:r>
              <w:t>If Export is selected, exports the report to the designated file.</w:t>
            </w:r>
          </w:p>
          <w:p w14:paraId="02FF4AF5" w14:textId="21615A6F" w:rsidR="002A21AE" w:rsidRDefault="00D45D8C" w:rsidP="00D45D8C">
            <w:pPr>
              <w:pStyle w:val="TableTextBullet"/>
            </w:pPr>
            <w:r>
              <w:t>If Close is selected, exits the report preview.</w:t>
            </w:r>
          </w:p>
        </w:tc>
      </w:tr>
    </w:tbl>
    <w:p w14:paraId="59133CB0" w14:textId="77777777" w:rsidR="002A21AE" w:rsidRDefault="002A21AE">
      <w:pPr>
        <w:pStyle w:val="Heading2"/>
      </w:pPr>
      <w:r>
        <w:br w:type="page"/>
      </w:r>
      <w:bookmarkStart w:id="698" w:name="_Toc47516797"/>
      <w:r>
        <w:lastRenderedPageBreak/>
        <w:t>Unit History Report</w:t>
      </w:r>
      <w:bookmarkEnd w:id="698"/>
      <w:r>
        <w:fldChar w:fldCharType="begin"/>
      </w:r>
      <w:r>
        <w:instrText xml:space="preserve"> XE </w:instrText>
      </w:r>
      <w:r w:rsidR="00FA7E65">
        <w:instrText>“</w:instrText>
      </w:r>
      <w:r>
        <w:instrText>Unit History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UC_85</w:t>
      </w:r>
    </w:p>
    <w:p w14:paraId="520C16C9" w14:textId="77777777" w:rsidR="002A21AE" w:rsidRDefault="002A21AE" w:rsidP="00FA7E65">
      <w:pPr>
        <w:pStyle w:val="BodyText"/>
      </w:pPr>
      <w:r>
        <w:t xml:space="preserve">The user views </w:t>
      </w:r>
      <w:r w:rsidR="00EB1E5A">
        <w:t xml:space="preserve">and/or </w:t>
      </w:r>
      <w:r>
        <w:t xml:space="preserve">prints a Unit History Report. </w:t>
      </w:r>
    </w:p>
    <w:p w14:paraId="34D2F79C" w14:textId="77777777" w:rsidR="002A21AE" w:rsidRDefault="002A21AE">
      <w:pPr>
        <w:pStyle w:val="Heading4"/>
      </w:pPr>
      <w:r>
        <w:t>Assumptions</w:t>
      </w:r>
      <w:r>
        <w:rPr>
          <w:b w:val="0"/>
        </w:rPr>
        <w:t xml:space="preserve"> </w:t>
      </w:r>
    </w:p>
    <w:p w14:paraId="1C71E64E" w14:textId="77777777" w:rsidR="002A21AE" w:rsidRDefault="002A21AE">
      <w:pPr>
        <w:pStyle w:val="ListBullet"/>
      </w:pPr>
      <w:r>
        <w:t>The unit exists in the user’s division.</w:t>
      </w:r>
    </w:p>
    <w:p w14:paraId="589CEE83" w14:textId="77777777" w:rsidR="002A21AE" w:rsidRDefault="002A21AE">
      <w:pPr>
        <w:pStyle w:val="Heading4"/>
      </w:pPr>
      <w:r>
        <w:t xml:space="preserve">Outcome </w:t>
      </w:r>
    </w:p>
    <w:p w14:paraId="17770FED" w14:textId="77777777" w:rsidR="002A21AE" w:rsidRDefault="00AE521B">
      <w:pPr>
        <w:pStyle w:val="ListBullet"/>
      </w:pPr>
      <w:r>
        <w:t>The user views and/or prints the report</w:t>
      </w:r>
      <w:r w:rsidR="002A21AE">
        <w:t>.</w:t>
      </w:r>
    </w:p>
    <w:p w14:paraId="4DAAC5FF" w14:textId="77777777" w:rsidR="002A21AE" w:rsidRDefault="002A21AE">
      <w:pPr>
        <w:pStyle w:val="Heading4"/>
      </w:pPr>
      <w:r>
        <w:t>Limitations and Restrictions</w:t>
      </w:r>
      <w:r>
        <w:rPr>
          <w:b w:val="0"/>
        </w:rPr>
        <w:t xml:space="preserve"> </w:t>
      </w:r>
    </w:p>
    <w:p w14:paraId="2B7AABBE" w14:textId="77777777" w:rsidR="002A21AE" w:rsidRDefault="002A21AE">
      <w:pPr>
        <w:pStyle w:val="ListBullet"/>
      </w:pPr>
      <w:r>
        <w:t xml:space="preserve">The report is not multidivisional. </w:t>
      </w:r>
    </w:p>
    <w:p w14:paraId="1C1B6547" w14:textId="77777777" w:rsidR="00DD7CAF" w:rsidRDefault="00DD7CAF">
      <w:pPr>
        <w:pStyle w:val="ListBullet"/>
      </w:pPr>
      <w:r>
        <w:t>When a user retroactively updates a unit status through Discard or Quarantine, the Unit History Report displays the updated information, but does not display the date the change was made.</w:t>
      </w:r>
    </w:p>
    <w:p w14:paraId="620912AF" w14:textId="6B6250F4" w:rsidR="001F1DB9" w:rsidRDefault="001F1DB9" w:rsidP="001F1DB9">
      <w:pPr>
        <w:pStyle w:val="ListBullet"/>
      </w:pPr>
      <w:r>
        <w:t>The r</w:t>
      </w:r>
      <w:r w:rsidRPr="001F1DB9">
        <w:t xml:space="preserve">eport </w:t>
      </w:r>
      <w:r>
        <w:t>will not indicate if a unit was returned to shipper, or shipped to another facility. This information can be found in the Cost Accounting Report.</w:t>
      </w:r>
      <w:r w:rsidR="00CD5BA1">
        <w:t xml:space="preserve"> </w:t>
      </w:r>
      <w:r w:rsidR="00CD5BA1" w:rsidRPr="00CD5BA1">
        <w:rPr>
          <w:vanish/>
        </w:rPr>
        <w:t>Defect 212158</w:t>
      </w:r>
    </w:p>
    <w:p w14:paraId="1235ABF3" w14:textId="53B3CA46" w:rsidR="00CD5BA1" w:rsidRDefault="00CD5BA1" w:rsidP="006B7ADC">
      <w:pPr>
        <w:pStyle w:val="ListBullet"/>
      </w:pPr>
      <w:r>
        <w:t xml:space="preserve">The report does not display the Antigen Testing Phase Change Exception. See the Exception Report for this information. </w:t>
      </w:r>
      <w:r w:rsidRPr="00CD5BA1">
        <w:rPr>
          <w:vanish/>
        </w:rPr>
        <w:t>Defect 209575</w:t>
      </w:r>
    </w:p>
    <w:p w14:paraId="3363C1E3" w14:textId="4268C65D" w:rsidR="00680B7F" w:rsidRDefault="00680B7F" w:rsidP="006B7ADC">
      <w:pPr>
        <w:pStyle w:val="ListBullet"/>
      </w:pPr>
      <w:r>
        <w:t xml:space="preserve">When a user retroactively updates a unit status through the Discard or Quarantine option, the Unit History Report displays the updated information, but does not display the date the change was made. </w:t>
      </w:r>
      <w:r w:rsidRPr="00680B7F">
        <w:rPr>
          <w:vanish/>
        </w:rPr>
        <w:t>Defect 212537</w:t>
      </w:r>
    </w:p>
    <w:p w14:paraId="261ED922" w14:textId="2D8AB749" w:rsidR="002A21AE" w:rsidRDefault="002A21AE" w:rsidP="005B025F">
      <w:pPr>
        <w:pStyle w:val="Heading4"/>
      </w:pPr>
      <w:r>
        <w:t xml:space="preserve">Additional Information </w:t>
      </w:r>
    </w:p>
    <w:p w14:paraId="087CC253" w14:textId="77777777" w:rsidR="002A21AE" w:rsidRDefault="002A21AE">
      <w:pPr>
        <w:pStyle w:val="ListBullet"/>
      </w:pPr>
      <w:r>
        <w:t>There may be multiple instances of the same unit number and product code in the same division. Inactivated unit records may have a unit ID and product code that duplicate an active unit ID and product code.</w:t>
      </w:r>
    </w:p>
    <w:p w14:paraId="35379CE1" w14:textId="77777777" w:rsidR="002A21AE" w:rsidRDefault="002A21AE">
      <w:pPr>
        <w:pStyle w:val="ListBullet"/>
      </w:pPr>
      <w:r>
        <w:t xml:space="preserve">VBECS always displays the current unit status when the user selects a blood unit, so there is no need for a separate report option, as is possible in </w:t>
      </w:r>
      <w:r w:rsidR="00CA6E27" w:rsidRPr="00CA6E27">
        <w:rPr>
          <w:bCs/>
        </w:rPr>
        <w:t>VistA</w:t>
      </w:r>
      <w:r>
        <w:t>.</w:t>
      </w:r>
    </w:p>
    <w:p w14:paraId="318A3C74" w14:textId="77777777" w:rsidR="002A21AE" w:rsidRDefault="002A21AE">
      <w:pPr>
        <w:pStyle w:val="ListBullet"/>
      </w:pPr>
      <w:r>
        <w:t>Unit testing details are included in Testing Worklist Report.</w:t>
      </w:r>
    </w:p>
    <w:p w14:paraId="1F3E0A61" w14:textId="6CF7B245" w:rsidR="002D3BEC" w:rsidRDefault="002D3BEC">
      <w:pPr>
        <w:pStyle w:val="ListBullet"/>
      </w:pPr>
      <w:r>
        <w:t xml:space="preserve">The report header for RBC and WB products does not display the </w:t>
      </w:r>
      <w:r w:rsidR="005E237B">
        <w:t xml:space="preserve">= </w:t>
      </w:r>
      <w:r>
        <w:t>&gt; 2 mL RBC contamination information.</w:t>
      </w:r>
    </w:p>
    <w:p w14:paraId="2A20F5B8" w14:textId="77777777" w:rsidR="002A21AE" w:rsidRDefault="002A21AE">
      <w:pPr>
        <w:pStyle w:val="Heading4"/>
        <w:rPr>
          <w:b w:val="0"/>
        </w:rPr>
      </w:pPr>
      <w:r>
        <w:t>User Roles with Access to This Option</w:t>
      </w:r>
      <w:r>
        <w:rPr>
          <w:b w:val="0"/>
        </w:rPr>
        <w:t xml:space="preserve"> </w:t>
      </w:r>
    </w:p>
    <w:p w14:paraId="4D7F5C73" w14:textId="77777777" w:rsidR="002A21AE" w:rsidRDefault="00184EA4">
      <w:pPr>
        <w:pStyle w:val="Roles"/>
      </w:pPr>
      <w:r>
        <w:t>All users</w:t>
      </w:r>
    </w:p>
    <w:p w14:paraId="2A0A81FE" w14:textId="77777777" w:rsidR="002A21AE" w:rsidRDefault="002A21AE">
      <w:pPr>
        <w:pStyle w:val="Heading4"/>
      </w:pPr>
      <w:r>
        <w:t xml:space="preserve">Unit History Report </w:t>
      </w:r>
    </w:p>
    <w:p w14:paraId="7029BB6C" w14:textId="77777777" w:rsidR="002A21AE" w:rsidRDefault="002A21AE" w:rsidP="00FA7E65">
      <w:pPr>
        <w:pStyle w:val="BodyText"/>
      </w:pPr>
      <w:r>
        <w:t xml:space="preserve">The user views </w:t>
      </w:r>
      <w:r w:rsidR="00EB1E5A">
        <w:t xml:space="preserve">and/or </w:t>
      </w:r>
      <w:r>
        <w:t>prints the complete record for a blood unit</w:t>
      </w:r>
      <w:r w:rsidR="00160D7B">
        <w:t>, from incoming shipment through final status, including unit activities saved in the VBECS database</w:t>
      </w:r>
      <w:r>
        <w:t>. VBECS compiles data for that unit for one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0F8A747" w14:textId="77777777">
        <w:trPr>
          <w:cantSplit/>
          <w:tblHeader/>
        </w:trPr>
        <w:tc>
          <w:tcPr>
            <w:tcW w:w="3240" w:type="dxa"/>
            <w:shd w:val="pct30" w:color="auto" w:fill="FFFFFF"/>
            <w:vAlign w:val="bottom"/>
          </w:tcPr>
          <w:p w14:paraId="0C080963" w14:textId="77777777" w:rsidR="002A21AE" w:rsidRDefault="002A21AE">
            <w:pPr>
              <w:pStyle w:val="TableText"/>
              <w:rPr>
                <w:b/>
              </w:rPr>
            </w:pPr>
            <w:r>
              <w:rPr>
                <w:b/>
              </w:rPr>
              <w:t>User Action</w:t>
            </w:r>
          </w:p>
        </w:tc>
        <w:tc>
          <w:tcPr>
            <w:tcW w:w="6120" w:type="dxa"/>
            <w:shd w:val="pct30" w:color="auto" w:fill="FFFFFF"/>
            <w:vAlign w:val="bottom"/>
          </w:tcPr>
          <w:p w14:paraId="2B5CC4DA" w14:textId="77777777" w:rsidR="002A21AE" w:rsidRDefault="002A21AE">
            <w:pPr>
              <w:pStyle w:val="TableText"/>
              <w:rPr>
                <w:b/>
              </w:rPr>
            </w:pPr>
            <w:r>
              <w:rPr>
                <w:b/>
              </w:rPr>
              <w:t>VBECS</w:t>
            </w:r>
          </w:p>
        </w:tc>
      </w:tr>
      <w:tr w:rsidR="002A21AE" w14:paraId="4AC01B50" w14:textId="77777777">
        <w:tc>
          <w:tcPr>
            <w:tcW w:w="3240" w:type="dxa"/>
          </w:tcPr>
          <w:p w14:paraId="7E361E97" w14:textId="77777777" w:rsidR="002A21AE" w:rsidRDefault="002A21AE">
            <w:pPr>
              <w:pStyle w:val="TableTextNumbers"/>
            </w:pPr>
            <w:r>
              <w:t xml:space="preserve">Select </w:t>
            </w:r>
            <w:r>
              <w:rPr>
                <w:b/>
              </w:rPr>
              <w:t>Reports</w:t>
            </w:r>
            <w:r>
              <w:t xml:space="preserve"> from the main menu.</w:t>
            </w:r>
          </w:p>
          <w:p w14:paraId="7D4071DA" w14:textId="77777777" w:rsidR="002A21AE" w:rsidRDefault="002A21AE">
            <w:pPr>
              <w:pStyle w:val="TableTextNumbersContinued"/>
            </w:pPr>
          </w:p>
          <w:p w14:paraId="2C5CA0B9" w14:textId="77777777" w:rsidR="002A21AE" w:rsidRDefault="002A21AE">
            <w:pPr>
              <w:pStyle w:val="TableTextNumbersContinued"/>
            </w:pPr>
            <w:r>
              <w:t xml:space="preserve">Select </w:t>
            </w:r>
            <w:r>
              <w:rPr>
                <w:b/>
              </w:rPr>
              <w:t>Unit History Report</w:t>
            </w:r>
            <w:r>
              <w:t>.</w:t>
            </w:r>
          </w:p>
        </w:tc>
        <w:tc>
          <w:tcPr>
            <w:tcW w:w="6120" w:type="dxa"/>
          </w:tcPr>
          <w:p w14:paraId="788E9BAA" w14:textId="77777777" w:rsidR="002A21AE" w:rsidRDefault="002A21AE">
            <w:pPr>
              <w:pStyle w:val="TableTextBullet"/>
            </w:pPr>
            <w:r>
              <w:t>Lists report names.</w:t>
            </w:r>
          </w:p>
          <w:p w14:paraId="11F6CD62" w14:textId="77777777" w:rsidR="002A21AE" w:rsidRDefault="002A21AE">
            <w:pPr>
              <w:pStyle w:val="TableTextBullet"/>
            </w:pPr>
            <w:r>
              <w:t>Allows the user to scan or enter a unit ID and product code.</w:t>
            </w:r>
          </w:p>
          <w:p w14:paraId="4431EF8F" w14:textId="77777777" w:rsidR="002A21AE" w:rsidRDefault="002A21AE" w:rsidP="009D2266">
            <w:pPr>
              <w:pStyle w:val="TableTextBullet"/>
              <w:numPr>
                <w:ilvl w:val="0"/>
                <w:numId w:val="10"/>
              </w:numPr>
              <w:tabs>
                <w:tab w:val="clear" w:pos="720"/>
                <w:tab w:val="num" w:pos="288"/>
              </w:tabs>
              <w:ind w:left="288" w:hanging="288"/>
            </w:pPr>
            <w:r>
              <w:t xml:space="preserve">Displays compilation criteria. </w:t>
            </w:r>
          </w:p>
        </w:tc>
      </w:tr>
      <w:tr w:rsidR="002A21AE" w14:paraId="06D2C6E4" w14:textId="77777777">
        <w:tc>
          <w:tcPr>
            <w:tcW w:w="3240" w:type="dxa"/>
          </w:tcPr>
          <w:p w14:paraId="46E4A826" w14:textId="77777777" w:rsidR="002A21AE" w:rsidRDefault="002A21AE">
            <w:pPr>
              <w:pStyle w:val="TableTextNumbers"/>
            </w:pPr>
            <w:r>
              <w:t xml:space="preserve">Scan or enter the unit ID and product code, or click the </w:t>
            </w:r>
            <w:r w:rsidR="00A6373D" w:rsidRPr="00945BF5">
              <w:rPr>
                <w:b/>
              </w:rPr>
              <w:t>find</w:t>
            </w:r>
            <w:r>
              <w:rPr>
                <w:b/>
              </w:rPr>
              <w:t xml:space="preserve"> </w:t>
            </w:r>
            <w:r w:rsidRPr="00D1100E">
              <w:lastRenderedPageBreak/>
              <w:t>button</w:t>
            </w:r>
            <w:r>
              <w:t xml:space="preserve"> to search for and select a unit.</w:t>
            </w:r>
          </w:p>
        </w:tc>
        <w:tc>
          <w:tcPr>
            <w:tcW w:w="6120" w:type="dxa"/>
          </w:tcPr>
          <w:p w14:paraId="4D139CB6" w14:textId="77777777" w:rsidR="002A21AE" w:rsidRDefault="002A21AE">
            <w:pPr>
              <w:pStyle w:val="TableText"/>
            </w:pPr>
          </w:p>
          <w:p w14:paraId="046FC2F8" w14:textId="052E81E5" w:rsidR="002A21AE" w:rsidRDefault="002A21AE">
            <w:pPr>
              <w:pStyle w:val="TableText"/>
              <w:rPr>
                <w:b/>
                <w:bCs/>
                <w:szCs w:val="18"/>
              </w:rPr>
            </w:pPr>
            <w:r>
              <w:rPr>
                <w:b/>
                <w:bCs/>
                <w:szCs w:val="18"/>
              </w:rPr>
              <w:t>NOTES</w:t>
            </w:r>
          </w:p>
          <w:p w14:paraId="4E975732" w14:textId="77777777" w:rsidR="002A21AE" w:rsidRDefault="002A21AE">
            <w:pPr>
              <w:pStyle w:val="NotesText"/>
            </w:pPr>
          </w:p>
          <w:p w14:paraId="1EF8EE5C" w14:textId="77777777" w:rsidR="002A21AE" w:rsidRDefault="002A21AE">
            <w:pPr>
              <w:pStyle w:val="NotesText"/>
            </w:pPr>
            <w:r>
              <w:rPr>
                <w:rFonts w:cs="Arial"/>
                <w:vanish/>
              </w:rPr>
              <w:lastRenderedPageBreak/>
              <w:t xml:space="preserve">BR_85.01 </w:t>
            </w:r>
            <w:r>
              <w:t>The user may select any unit (active or inactive) in a division. VBECS marks the units so that the active ones are distinct from the inactive ones.</w:t>
            </w:r>
          </w:p>
          <w:p w14:paraId="4EDD070E" w14:textId="77777777" w:rsidR="005104F5" w:rsidRDefault="005104F5">
            <w:pPr>
              <w:pStyle w:val="NotesText"/>
            </w:pPr>
          </w:p>
          <w:p w14:paraId="10647071" w14:textId="77777777" w:rsidR="005104F5" w:rsidRPr="00FF65BE" w:rsidRDefault="005104F5" w:rsidP="005104F5">
            <w:pPr>
              <w:pStyle w:val="NotesText"/>
            </w:pPr>
            <w:r w:rsidRPr="00FF65BE">
              <w:rPr>
                <w:vanish/>
              </w:rPr>
              <w:t xml:space="preserve">BR_1.34 </w:t>
            </w:r>
            <w:r w:rsidRPr="00FF65BE">
              <w:t xml:space="preserve">When processing an Autologous unit, the user must indicate the testing status of that unit. </w:t>
            </w:r>
          </w:p>
          <w:p w14:paraId="783A560C" w14:textId="77777777" w:rsidR="005104F5" w:rsidRPr="00FF65BE" w:rsidRDefault="005104F5" w:rsidP="005104F5">
            <w:pPr>
              <w:pStyle w:val="NotesText"/>
            </w:pPr>
            <w:r w:rsidRPr="00FF65BE">
              <w:t>There are three valid choices:</w:t>
            </w:r>
          </w:p>
          <w:p w14:paraId="7103F0A2" w14:textId="77777777" w:rsidR="005104F5" w:rsidRPr="00FF65BE" w:rsidRDefault="005104F5" w:rsidP="005104F5">
            <w:pPr>
              <w:pStyle w:val="NotesText"/>
            </w:pPr>
            <w:r w:rsidRPr="00FF65BE">
              <w:t>NEG - Unit fully tested and negative for all disease markers</w:t>
            </w:r>
          </w:p>
          <w:p w14:paraId="3F3374CE" w14:textId="77777777" w:rsidR="005104F5" w:rsidRPr="00FF65BE" w:rsidRDefault="005104F5" w:rsidP="005104F5">
            <w:pPr>
              <w:pStyle w:val="NotesText"/>
            </w:pPr>
            <w:r w:rsidRPr="00FF65BE">
              <w:t xml:space="preserve">POS - Unit tested and positive for one or more disease markers, Biohazard </w:t>
            </w:r>
          </w:p>
          <w:p w14:paraId="3414E9B7" w14:textId="77777777" w:rsidR="005104F5" w:rsidRDefault="005104F5" w:rsidP="005104F5">
            <w:pPr>
              <w:pStyle w:val="NotesText"/>
            </w:pPr>
            <w:r>
              <w:t>NFT - Unit not fully tested for one or more disease markers, Biohazard</w:t>
            </w:r>
          </w:p>
          <w:p w14:paraId="2156D405" w14:textId="77777777" w:rsidR="005104F5" w:rsidRDefault="005104F5" w:rsidP="005104F5">
            <w:pPr>
              <w:pStyle w:val="NotesText"/>
            </w:pPr>
          </w:p>
          <w:p w14:paraId="1B1082AF" w14:textId="77777777" w:rsidR="005104F5" w:rsidRDefault="005104F5" w:rsidP="005104F5">
            <w:pPr>
              <w:pStyle w:val="NotesText"/>
              <w:rPr>
                <w:rFonts w:cs="Arial"/>
                <w:szCs w:val="18"/>
              </w:rPr>
            </w:pPr>
            <w:r w:rsidRPr="00894624">
              <w:rPr>
                <w:rFonts w:cs="Arial"/>
                <w:vanish/>
                <w:szCs w:val="18"/>
              </w:rPr>
              <w:t xml:space="preserve">BR_73.38 </w:t>
            </w:r>
            <w:r>
              <w:rPr>
                <w:rFonts w:cs="Arial"/>
                <w:szCs w:val="18"/>
              </w:rPr>
              <w:t xml:space="preserve">When the component order is for PLATELETS or OTHER the units with = &gt; 2 mL of RBC contamination must be presented </w:t>
            </w:r>
            <w:r w:rsidRPr="005722FA">
              <w:rPr>
                <w:rFonts w:cs="Arial"/>
                <w:szCs w:val="18"/>
              </w:rPr>
              <w:t>and checke</w:t>
            </w:r>
            <w:r>
              <w:rPr>
                <w:rFonts w:cs="Arial"/>
                <w:szCs w:val="18"/>
              </w:rPr>
              <w:t>d for compatibility during Issue Blood Component and will display before products with less than (&lt; ) 2 mL of RBC contamination.</w:t>
            </w:r>
          </w:p>
          <w:p w14:paraId="63723642" w14:textId="77777777" w:rsidR="005104F5" w:rsidRDefault="005104F5" w:rsidP="005104F5">
            <w:pPr>
              <w:pStyle w:val="NotesText"/>
              <w:rPr>
                <w:rFonts w:cs="Arial"/>
                <w:szCs w:val="18"/>
              </w:rPr>
            </w:pPr>
          </w:p>
          <w:p w14:paraId="2F987525" w14:textId="77777777" w:rsidR="005104F5" w:rsidRDefault="005104F5" w:rsidP="005104F5">
            <w:pPr>
              <w:pStyle w:val="NotesText"/>
            </w:pPr>
            <w:r>
              <w:rPr>
                <w:rFonts w:cs="Arial"/>
                <w:szCs w:val="18"/>
              </w:rPr>
              <w:t>The system will present all available units when the Product Type is PLATELETS or OTHER non-plasma components that have &lt; 2 mL RBC contamination.</w:t>
            </w:r>
          </w:p>
        </w:tc>
      </w:tr>
      <w:tr w:rsidR="002A21AE" w14:paraId="2BC06499" w14:textId="77777777">
        <w:tc>
          <w:tcPr>
            <w:tcW w:w="3240" w:type="dxa"/>
          </w:tcPr>
          <w:p w14:paraId="5F24C004" w14:textId="77777777" w:rsidR="002A21AE" w:rsidRDefault="002A21AE">
            <w:pPr>
              <w:pStyle w:val="TableTextNumbers"/>
            </w:pPr>
            <w:r>
              <w:lastRenderedPageBreak/>
              <w:t xml:space="preserve">In the </w:t>
            </w:r>
            <w:r w:rsidRPr="00B46EEA">
              <w:rPr>
                <w:b/>
              </w:rPr>
              <w:t>Include Report Sections</w:t>
            </w:r>
            <w:r>
              <w:t xml:space="preserve"> area, click one or more check boxes to select report sections.</w:t>
            </w:r>
          </w:p>
        </w:tc>
        <w:tc>
          <w:tcPr>
            <w:tcW w:w="6120" w:type="dxa"/>
          </w:tcPr>
          <w:p w14:paraId="1FE73338" w14:textId="77777777" w:rsidR="002A21AE" w:rsidRDefault="002A21AE">
            <w:pPr>
              <w:pStyle w:val="TableTextBullet"/>
            </w:pPr>
            <w:r>
              <w:rPr>
                <w:rFonts w:cs="Arial"/>
                <w:vanish/>
              </w:rPr>
              <w:t xml:space="preserve">BR_85.02 </w:t>
            </w:r>
            <w:r>
              <w:t>Displays the unit report section types for selection:</w:t>
            </w:r>
          </w:p>
          <w:p w14:paraId="03A4B60D" w14:textId="77777777" w:rsidR="00753E10" w:rsidRDefault="00753E10" w:rsidP="00100276">
            <w:pPr>
              <w:pStyle w:val="TableTextBullet1"/>
            </w:pPr>
            <w:r>
              <w:t>Incoming Shipment</w:t>
            </w:r>
          </w:p>
          <w:p w14:paraId="60E8C7DE" w14:textId="77777777" w:rsidR="00753E10" w:rsidRDefault="00753E10" w:rsidP="00AC5D7B">
            <w:pPr>
              <w:pStyle w:val="TableTextBullet1"/>
            </w:pPr>
            <w:r>
              <w:t>Outgoing Shipment</w:t>
            </w:r>
          </w:p>
          <w:p w14:paraId="5D4883DC" w14:textId="77777777" w:rsidR="00753E10" w:rsidRDefault="00753E10" w:rsidP="00AC5D7B">
            <w:pPr>
              <w:pStyle w:val="TableTextBullet1"/>
            </w:pPr>
            <w:r>
              <w:t>Unit Quarantine Information</w:t>
            </w:r>
          </w:p>
          <w:p w14:paraId="41F7848F" w14:textId="77777777" w:rsidR="00753E10" w:rsidRDefault="00753E10" w:rsidP="00AC5D7B">
            <w:pPr>
              <w:pStyle w:val="TableTextBullet1"/>
            </w:pPr>
            <w:r>
              <w:t>Unit Financials</w:t>
            </w:r>
          </w:p>
          <w:p w14:paraId="4FA54288" w14:textId="77777777" w:rsidR="00753E10" w:rsidRDefault="00753E10" w:rsidP="00AC5D7B">
            <w:pPr>
              <w:pStyle w:val="TableTextBullet1"/>
            </w:pPr>
            <w:r>
              <w:t>Patient Associations History</w:t>
            </w:r>
          </w:p>
          <w:p w14:paraId="11F63A6B" w14:textId="77777777" w:rsidR="009D4082" w:rsidRDefault="009D4082" w:rsidP="00AC5D7B">
            <w:pPr>
              <w:pStyle w:val="TableTextBullet1"/>
            </w:pPr>
            <w:r>
              <w:t>Restricted Patient</w:t>
            </w:r>
          </w:p>
          <w:p w14:paraId="2E2BDAA3" w14:textId="77777777" w:rsidR="00753E10" w:rsidRDefault="00753E10" w:rsidP="00AC5D7B">
            <w:pPr>
              <w:pStyle w:val="TableTextBullet1"/>
            </w:pPr>
            <w:r>
              <w:t>Issue Information</w:t>
            </w:r>
          </w:p>
          <w:p w14:paraId="636F68CB" w14:textId="77777777" w:rsidR="00753E10" w:rsidRDefault="00753E10" w:rsidP="00AC5D7B">
            <w:pPr>
              <w:pStyle w:val="TableTextBullet1"/>
            </w:pPr>
            <w:r>
              <w:t>Testing</w:t>
            </w:r>
          </w:p>
          <w:p w14:paraId="44141BD2" w14:textId="77777777" w:rsidR="009D4082" w:rsidRDefault="009D4082" w:rsidP="00AC5D7B">
            <w:pPr>
              <w:pStyle w:val="TableTextBullet1"/>
            </w:pPr>
            <w:r>
              <w:t>Antigen Typing</w:t>
            </w:r>
          </w:p>
          <w:p w14:paraId="527C2C97" w14:textId="77777777" w:rsidR="00753E10" w:rsidRDefault="00753E10" w:rsidP="00AC5D7B">
            <w:pPr>
              <w:pStyle w:val="TableTextBullet1"/>
            </w:pPr>
            <w:r>
              <w:t>Crossmatch</w:t>
            </w:r>
          </w:p>
          <w:p w14:paraId="00C78CE1" w14:textId="77777777" w:rsidR="00753E10" w:rsidRDefault="00753E10" w:rsidP="00AC5D7B">
            <w:pPr>
              <w:pStyle w:val="TableTextBullet1"/>
            </w:pPr>
            <w:r>
              <w:t>Modification</w:t>
            </w:r>
          </w:p>
          <w:p w14:paraId="0274360F" w14:textId="77777777" w:rsidR="00753E10" w:rsidRDefault="00753E10" w:rsidP="00AC5D7B">
            <w:pPr>
              <w:pStyle w:val="TableTextBullet1"/>
            </w:pPr>
            <w:r>
              <w:t>Transfused To</w:t>
            </w:r>
          </w:p>
          <w:p w14:paraId="3F4A9845" w14:textId="77777777" w:rsidR="00753E10" w:rsidRDefault="00753E10" w:rsidP="00AC5D7B">
            <w:pPr>
              <w:pStyle w:val="TableTextBullet1"/>
            </w:pPr>
            <w:r>
              <w:t>Exception Report</w:t>
            </w:r>
          </w:p>
        </w:tc>
      </w:tr>
      <w:tr w:rsidR="002A21AE" w14:paraId="208BD89B" w14:textId="77777777" w:rsidTr="00305B16">
        <w:trPr>
          <w:cantSplit/>
        </w:trPr>
        <w:tc>
          <w:tcPr>
            <w:tcW w:w="3240" w:type="dxa"/>
          </w:tcPr>
          <w:p w14:paraId="0EDFFE6D" w14:textId="77777777" w:rsidR="002A21AE" w:rsidRDefault="002A21AE">
            <w:pPr>
              <w:pStyle w:val="TableTextNumbers"/>
            </w:pPr>
            <w:r>
              <w:lastRenderedPageBreak/>
              <w:t xml:space="preserve">In the </w:t>
            </w:r>
            <w:r w:rsidRPr="009554A6">
              <w:t>Report Compilation</w:t>
            </w:r>
            <w:r>
              <w:t xml:space="preserve"> area, click the </w:t>
            </w:r>
            <w:r>
              <w:rPr>
                <w:b/>
              </w:rPr>
              <w:t xml:space="preserve">Create Report Now </w:t>
            </w:r>
            <w:r w:rsidRPr="00BF2E41">
              <w:t>radio button</w:t>
            </w:r>
            <w:r>
              <w:t xml:space="preserve">. Click </w:t>
            </w:r>
            <w:r>
              <w:rPr>
                <w:b/>
              </w:rPr>
              <w:t>OK</w:t>
            </w:r>
            <w:r>
              <w:t xml:space="preserve"> to view the report, or</w:t>
            </w:r>
          </w:p>
          <w:p w14:paraId="423061F5" w14:textId="77777777" w:rsidR="002A21AE" w:rsidRDefault="002A21AE">
            <w:pPr>
              <w:pStyle w:val="TableTextNumbersContinued"/>
              <w:rPr>
                <w:b/>
                <w:bCs/>
              </w:rPr>
            </w:pPr>
          </w:p>
          <w:p w14:paraId="552ABCFC" w14:textId="77777777" w:rsidR="002A21AE" w:rsidRDefault="002A21AE">
            <w:pPr>
              <w:pStyle w:val="TableTextNumbersContinued"/>
            </w:pPr>
            <w:r>
              <w:t xml:space="preserve">Click the </w:t>
            </w:r>
            <w:r>
              <w:rPr>
                <w:b/>
              </w:rPr>
              <w:t xml:space="preserve">Schedule Print Job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3A0E63D" w14:textId="77777777" w:rsidR="002A21AE" w:rsidRDefault="002A21AE">
            <w:pPr>
              <w:pStyle w:val="TableTextBullet"/>
            </w:pPr>
            <w:r>
              <w:rPr>
                <w:rFonts w:cs="Arial"/>
                <w:vanish/>
              </w:rPr>
              <w:t xml:space="preserve">BR_74.01 </w:t>
            </w:r>
            <w:r>
              <w:t>Compiles and displays the report for the user’s login division.</w:t>
            </w:r>
          </w:p>
          <w:p w14:paraId="2EAD9212" w14:textId="77777777" w:rsidR="002A21AE" w:rsidRDefault="002A21AE">
            <w:pPr>
              <w:pStyle w:val="TableText"/>
            </w:pPr>
          </w:p>
          <w:p w14:paraId="53C98332" w14:textId="6439F346" w:rsidR="002A21AE" w:rsidRDefault="002A21AE">
            <w:pPr>
              <w:pStyle w:val="TableText"/>
              <w:rPr>
                <w:b/>
                <w:bCs/>
                <w:szCs w:val="18"/>
              </w:rPr>
            </w:pPr>
            <w:r>
              <w:rPr>
                <w:b/>
                <w:bCs/>
                <w:szCs w:val="18"/>
              </w:rPr>
              <w:t>NOTES</w:t>
            </w:r>
          </w:p>
          <w:p w14:paraId="74BAFA04" w14:textId="77777777" w:rsidR="002A21AE" w:rsidRDefault="002A21AE" w:rsidP="00AD6A88">
            <w:pPr>
              <w:pStyle w:val="NotesText"/>
            </w:pPr>
          </w:p>
          <w:p w14:paraId="44165806" w14:textId="77777777" w:rsidR="002A21AE" w:rsidRDefault="002A21AE">
            <w:pPr>
              <w:pStyle w:val="NotesText"/>
            </w:pPr>
            <w:r>
              <w:rPr>
                <w:rFonts w:cs="Arial"/>
                <w:vanish/>
              </w:rPr>
              <w:t xml:space="preserve">BR_85.03 </w:t>
            </w:r>
            <w:r>
              <w:t>The page header includes the standard VBECS header, the unit ID, product, donation type, expiration date, restricted for patient, status, ABO/Rh, division, product long name, and user.</w:t>
            </w:r>
          </w:p>
          <w:p w14:paraId="283BBFAA" w14:textId="77777777" w:rsidR="002A21AE" w:rsidRDefault="002A21AE">
            <w:pPr>
              <w:pStyle w:val="NotesText"/>
            </w:pPr>
          </w:p>
          <w:p w14:paraId="17349C4D" w14:textId="77777777" w:rsidR="002A21AE" w:rsidRDefault="002A21AE">
            <w:pPr>
              <w:pStyle w:val="NotesText"/>
            </w:pPr>
            <w:r>
              <w:rPr>
                <w:rFonts w:cs="Arial"/>
                <w:vanish/>
              </w:rPr>
              <w:t xml:space="preserve">BR_85.04 </w:t>
            </w:r>
            <w:r>
              <w:t xml:space="preserve">VBECS displays entries from only the related reports (Audit Trail and Exception Reports) specific to the selected unit or patient. </w:t>
            </w:r>
          </w:p>
          <w:p w14:paraId="585CEAA5" w14:textId="77777777" w:rsidR="002A21AE" w:rsidRDefault="002A21AE">
            <w:pPr>
              <w:pStyle w:val="NotesText"/>
            </w:pPr>
          </w:p>
          <w:p w14:paraId="7FA2B060" w14:textId="77777777" w:rsidR="002A21AE" w:rsidRDefault="002A21AE">
            <w:pPr>
              <w:pStyle w:val="NotesText"/>
            </w:pPr>
            <w:r>
              <w:t>Audit Trail and Exception Reports that record only unit override information are linked to the unit</w:t>
            </w:r>
            <w:r w:rsidR="00FA7E65">
              <w:t>’</w:t>
            </w:r>
            <w:r>
              <w:t xml:space="preserve">s </w:t>
            </w:r>
            <w:r w:rsidR="0051757B">
              <w:t>historic</w:t>
            </w:r>
            <w:r>
              <w:t xml:space="preserve"> record. Those that record only patient override information are linked to the patient</w:t>
            </w:r>
            <w:r w:rsidR="00FA7E65">
              <w:t>’</w:t>
            </w:r>
            <w:r>
              <w:t xml:space="preserve">s </w:t>
            </w:r>
            <w:r w:rsidR="0051757B">
              <w:t>historic</w:t>
            </w:r>
            <w:r>
              <w:t xml:space="preserve"> record. Those that record both are accessible in unit and patient </w:t>
            </w:r>
            <w:r w:rsidR="0051757B">
              <w:t>historic</w:t>
            </w:r>
            <w:r>
              <w:t xml:space="preserve"> records.</w:t>
            </w:r>
          </w:p>
          <w:p w14:paraId="1F555D6B" w14:textId="77777777" w:rsidR="002A21AE" w:rsidRDefault="002A21AE">
            <w:pPr>
              <w:pStyle w:val="NotesText"/>
              <w:rPr>
                <w:rFonts w:eastAsia="Symbol" w:cs="Arial"/>
                <w:sz w:val="20"/>
              </w:rPr>
            </w:pPr>
          </w:p>
          <w:p w14:paraId="28EDA62B" w14:textId="436E3FE7" w:rsidR="002A21AE" w:rsidRDefault="002A21AE">
            <w:pPr>
              <w:pStyle w:val="NotesText"/>
            </w:pPr>
            <w:r>
              <w:t xml:space="preserve">See </w:t>
            </w:r>
            <w:r w:rsidR="007D7892">
              <w:fldChar w:fldCharType="begin"/>
            </w:r>
            <w:r w:rsidR="007D7892">
              <w:instrText xml:space="preserve"> REF _Ref170004931 \h </w:instrText>
            </w:r>
            <w:r w:rsidR="007D7892">
              <w:fldChar w:fldCharType="separate"/>
            </w:r>
            <w:r w:rsidR="004353ED">
              <w:t xml:space="preserve">Appendix </w:t>
            </w:r>
            <w:r w:rsidR="004353ED">
              <w:rPr>
                <w:noProof/>
              </w:rPr>
              <w:t>B</w:t>
            </w:r>
            <w:r w:rsidR="007D7892">
              <w:fldChar w:fldCharType="end"/>
            </w:r>
            <w:r>
              <w:t xml:space="preserve">: </w:t>
            </w:r>
            <w:r w:rsidR="00CF5477">
              <w:fldChar w:fldCharType="begin"/>
            </w:r>
            <w:r w:rsidR="00CF5477">
              <w:instrText xml:space="preserve"> REF _Ref126504618 \h </w:instrText>
            </w:r>
            <w:r w:rsidR="00CF5477">
              <w:fldChar w:fldCharType="separate"/>
            </w:r>
            <w:r w:rsidR="004353ED">
              <w:t xml:space="preserve">Table </w:t>
            </w:r>
            <w:r w:rsidR="004353ED">
              <w:rPr>
                <w:noProof/>
              </w:rPr>
              <w:t>20</w:t>
            </w:r>
            <w:r w:rsidR="004353ED">
              <w:t xml:space="preserve">: </w:t>
            </w:r>
            <w:r w:rsidR="004353ED">
              <w:rPr>
                <w:vanish/>
              </w:rPr>
              <w:t xml:space="preserve">TT_77.01 </w:t>
            </w:r>
            <w:r w:rsidR="004353ED">
              <w:t>Details in Audit Trail Report</w:t>
            </w:r>
            <w:r w:rsidR="00CF5477">
              <w:fldChar w:fldCharType="end"/>
            </w:r>
            <w:r>
              <w:t xml:space="preserve"> and </w:t>
            </w:r>
            <w:r w:rsidR="00CF5477">
              <w:fldChar w:fldCharType="begin"/>
            </w:r>
            <w:r w:rsidR="00CF5477">
              <w:instrText xml:space="preserve"> REF _Ref126504629 \h </w:instrText>
            </w:r>
            <w:r w:rsidR="00CF5477">
              <w:fldChar w:fldCharType="separate"/>
            </w:r>
            <w:r w:rsidR="004353ED">
              <w:t xml:space="preserve">Table </w:t>
            </w:r>
            <w:r w:rsidR="004353ED">
              <w:rPr>
                <w:noProof/>
              </w:rPr>
              <w:t>21</w:t>
            </w:r>
            <w:r w:rsidR="004353ED">
              <w:t xml:space="preserve">: </w:t>
            </w:r>
            <w:r w:rsidR="004353ED">
              <w:rPr>
                <w:vanish/>
              </w:rPr>
              <w:t xml:space="preserve">TT_82.01 </w:t>
            </w:r>
            <w:r w:rsidR="004353ED">
              <w:t>Details in Exception Report</w:t>
            </w:r>
            <w:r w:rsidR="00CF5477">
              <w:fldChar w:fldCharType="end"/>
            </w:r>
            <w:r>
              <w:t>.</w:t>
            </w:r>
          </w:p>
          <w:p w14:paraId="400C805C" w14:textId="77777777" w:rsidR="002A21AE" w:rsidRDefault="002A21AE">
            <w:pPr>
              <w:pStyle w:val="NotesText"/>
            </w:pPr>
          </w:p>
          <w:p w14:paraId="3AA520DD" w14:textId="77777777" w:rsidR="002A21AE" w:rsidRDefault="002A21AE">
            <w:pPr>
              <w:pStyle w:val="NotesText"/>
              <w:rPr>
                <w:rFonts w:eastAsia="Symbol" w:cs="Arial"/>
                <w:sz w:val="20"/>
              </w:rPr>
            </w:pPr>
            <w:r>
              <w:rPr>
                <w:rFonts w:cs="Arial"/>
                <w:vanish/>
              </w:rPr>
              <w:t xml:space="preserve">BR_85.05 </w:t>
            </w:r>
            <w:r>
              <w:t>The report displays the product long name.</w:t>
            </w:r>
          </w:p>
          <w:p w14:paraId="6BEA9726" w14:textId="77777777" w:rsidR="002A21AE" w:rsidRDefault="002A21AE">
            <w:pPr>
              <w:pStyle w:val="NotesText"/>
            </w:pPr>
          </w:p>
          <w:p w14:paraId="21B576FB" w14:textId="1252B904" w:rsidR="002A21AE" w:rsidRDefault="002A21AE">
            <w:pPr>
              <w:pStyle w:val="NotesText"/>
              <w:rPr>
                <w:rFonts w:eastAsia="Symbol" w:cs="Arial"/>
                <w:sz w:val="20"/>
              </w:rPr>
            </w:pPr>
            <w:r>
              <w:rPr>
                <w:rFonts w:cs="Arial"/>
                <w:vanish/>
              </w:rPr>
              <w:t xml:space="preserve">BR_85.08 </w:t>
            </w:r>
            <w:r>
              <w:t xml:space="preserve">The </w:t>
            </w:r>
            <w:r w:rsidR="00020B22">
              <w:t>report displays “CMV neg”,</w:t>
            </w:r>
            <w:r>
              <w:t xml:space="preserve"> “SC </w:t>
            </w:r>
            <w:r w:rsidR="006549B7">
              <w:t>neg” and</w:t>
            </w:r>
            <w:r w:rsidR="00452A6C">
              <w:t xml:space="preserve">/or </w:t>
            </w:r>
            <w:r w:rsidR="003723D4">
              <w:t xml:space="preserve">= </w:t>
            </w:r>
            <w:r w:rsidR="00452A6C">
              <w:t xml:space="preserve">&gt; </w:t>
            </w:r>
            <w:r w:rsidR="003723D4">
              <w:t>2</w:t>
            </w:r>
            <w:r w:rsidR="00452A6C">
              <w:t xml:space="preserve"> </w:t>
            </w:r>
            <w:r w:rsidR="003723D4">
              <w:t xml:space="preserve">mL RBC contamination </w:t>
            </w:r>
            <w:r w:rsidR="00B62C7E">
              <w:t xml:space="preserve">(which will display only for non-WB and non-RBC blood products) </w:t>
            </w:r>
            <w:r>
              <w:t>in the “Special Testing” column when a unit qualifies.</w:t>
            </w:r>
          </w:p>
          <w:p w14:paraId="49A23D7F" w14:textId="77777777" w:rsidR="002A21AE" w:rsidRDefault="002A21AE">
            <w:pPr>
              <w:pStyle w:val="NotesText"/>
            </w:pPr>
          </w:p>
          <w:p w14:paraId="701E0175" w14:textId="77777777" w:rsidR="002A21AE" w:rsidRDefault="002A21AE">
            <w:pPr>
              <w:pStyle w:val="NotesText"/>
            </w:pPr>
            <w:r>
              <w:rPr>
                <w:rFonts w:cs="Arial"/>
                <w:vanish/>
              </w:rPr>
              <w:t xml:space="preserve">BR_85.09 </w:t>
            </w:r>
            <w:r>
              <w:t>The report displays the unit’s quarantine indicator in the “Quarantined” column: blank when never quarantined, “Yes” when quarantined, and “No” when released from quarantine.</w:t>
            </w:r>
          </w:p>
          <w:p w14:paraId="4A2ADAEB" w14:textId="77777777" w:rsidR="002A21AE" w:rsidRDefault="002A21AE">
            <w:pPr>
              <w:pStyle w:val="NotesText"/>
              <w:rPr>
                <w:rFonts w:eastAsia="Symbol" w:cs="Arial"/>
                <w:sz w:val="20"/>
              </w:rPr>
            </w:pPr>
          </w:p>
          <w:p w14:paraId="691D351F" w14:textId="77777777" w:rsidR="000566D6" w:rsidRDefault="002A21AE" w:rsidP="00AA2B2E">
            <w:pPr>
              <w:pStyle w:val="NotesText"/>
            </w:pPr>
            <w:r>
              <w:rPr>
                <w:rFonts w:cs="Arial"/>
                <w:vanish/>
              </w:rPr>
              <w:t xml:space="preserve">BR_85.10 </w:t>
            </w:r>
            <w:r>
              <w:t>The report displays the unit’s biohazardous indicator in the “Biohazard” column: blank when never marked as biohazardous, “Yes” when biohazardous, and “No” when the biohazard indicator was removed.</w:t>
            </w:r>
          </w:p>
        </w:tc>
      </w:tr>
      <w:tr w:rsidR="00946DA2" w14:paraId="6AE4BE69" w14:textId="77777777">
        <w:tc>
          <w:tcPr>
            <w:tcW w:w="3240" w:type="dxa"/>
          </w:tcPr>
          <w:p w14:paraId="30016CD4" w14:textId="2D09AAD4" w:rsidR="00946DA2" w:rsidRDefault="00946DA2" w:rsidP="00946DA2">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r>
            <w:r w:rsidRPr="0076371D">
              <w:rPr>
                <w:szCs w:val="18"/>
              </w:rPr>
              <w:instrText xml:space="preserve"> REF _Ref2774509 \h  \* MERGEFORMAT </w:instrText>
            </w:r>
            <w:r w:rsidRPr="0076371D">
              <w:rPr>
                <w:szCs w:val="18"/>
              </w:rPr>
            </w:r>
            <w:r w:rsidRPr="0076371D">
              <w:rPr>
                <w:szCs w:val="18"/>
              </w:rPr>
              <w:fldChar w:fldCharType="separate"/>
            </w:r>
            <w:r w:rsidR="004353ED" w:rsidRPr="004353ED">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p>
        </w:tc>
        <w:tc>
          <w:tcPr>
            <w:tcW w:w="6120" w:type="dxa"/>
          </w:tcPr>
          <w:p w14:paraId="78C7865B" w14:textId="77777777" w:rsidR="00946DA2" w:rsidRDefault="00946DA2" w:rsidP="00946DA2">
            <w:pPr>
              <w:pStyle w:val="TableTextBullet"/>
            </w:pPr>
            <w:r>
              <w:t>If Print is selected, prints the report on the designated printer.</w:t>
            </w:r>
          </w:p>
          <w:p w14:paraId="197A4C52" w14:textId="77777777" w:rsidR="00946DA2" w:rsidRDefault="00946DA2" w:rsidP="00946DA2">
            <w:pPr>
              <w:pStyle w:val="TableTextBullet"/>
            </w:pPr>
            <w:r>
              <w:t>If Export is selected, exports the report to the designated file.</w:t>
            </w:r>
          </w:p>
          <w:p w14:paraId="41B8D589" w14:textId="03CEA88E" w:rsidR="00946DA2" w:rsidRDefault="00946DA2" w:rsidP="00946DA2">
            <w:pPr>
              <w:pStyle w:val="TableTextBullet"/>
            </w:pPr>
            <w:r>
              <w:t>If Close is selected, exits the report preview.</w:t>
            </w:r>
          </w:p>
        </w:tc>
      </w:tr>
    </w:tbl>
    <w:p w14:paraId="14798E4D" w14:textId="5E9AB2D6" w:rsidR="00823F23" w:rsidRPr="00BE47E0" w:rsidRDefault="00823F23" w:rsidP="00006995">
      <w:pPr>
        <w:pStyle w:val="Heading2"/>
      </w:pPr>
      <w:r w:rsidRPr="00BE47E0">
        <w:br w:type="page"/>
      </w:r>
    </w:p>
    <w:p w14:paraId="2253269F" w14:textId="77777777" w:rsidR="00823F23" w:rsidRDefault="00823F23" w:rsidP="00BE47E0">
      <w:pPr>
        <w:pStyle w:val="ListBullet"/>
        <w:numPr>
          <w:ilvl w:val="0"/>
          <w:numId w:val="0"/>
        </w:numPr>
        <w:ind w:left="648" w:hanging="360"/>
        <w:rPr>
          <w:rFonts w:ascii="Arial" w:hAnsi="Arial" w:cs="Arial"/>
          <w:b/>
          <w:bCs/>
          <w:kern w:val="32"/>
          <w:sz w:val="36"/>
          <w:szCs w:val="32"/>
        </w:rPr>
      </w:pPr>
    </w:p>
    <w:p w14:paraId="22971D09" w14:textId="3A4AAC65" w:rsidR="002A21AE" w:rsidRDefault="002A21AE" w:rsidP="00A04F10">
      <w:pPr>
        <w:pStyle w:val="Heading1"/>
      </w:pPr>
      <w:bookmarkStart w:id="699" w:name="_Toc47516798"/>
      <w:r>
        <w:t>References</w:t>
      </w:r>
      <w:bookmarkEnd w:id="699"/>
      <w:r>
        <w:fldChar w:fldCharType="begin"/>
      </w:r>
      <w:r>
        <w:instrText xml:space="preserve"> XE </w:instrText>
      </w:r>
      <w:r w:rsidR="00FA7E65">
        <w:instrText>“</w:instrText>
      </w:r>
      <w:r>
        <w:instrText>References</w:instrText>
      </w:r>
      <w:r w:rsidR="00FA7E65">
        <w:instrText>”</w:instrText>
      </w:r>
      <w:r>
        <w:instrText xml:space="preserve"> </w:instrText>
      </w:r>
      <w:r>
        <w:fldChar w:fldCharType="end"/>
      </w:r>
    </w:p>
    <w:p w14:paraId="1A41AB2D" w14:textId="77777777" w:rsidR="002A21AE" w:rsidRDefault="002A21AE">
      <w:pPr>
        <w:pStyle w:val="ListBullet"/>
        <w:rPr>
          <w:i/>
        </w:rPr>
      </w:pPr>
      <w:r>
        <w:t>Association for the Advancement of Medical Instrumentation, Arlington, Virginia.</w:t>
      </w:r>
      <w:r>
        <w:rPr>
          <w:i/>
        </w:rPr>
        <w:t xml:space="preserve"> The Quality System Compendium: GMP Requirements &amp; Industry Practice, </w:t>
      </w:r>
      <w:r>
        <w:t>1998.</w:t>
      </w:r>
    </w:p>
    <w:p w14:paraId="6450AD12" w14:textId="77777777" w:rsidR="002A21AE" w:rsidRPr="0026301E" w:rsidRDefault="002A21AE">
      <w:pPr>
        <w:pStyle w:val="ListBullet"/>
        <w:rPr>
          <w:i/>
        </w:rPr>
      </w:pPr>
      <w:r w:rsidRPr="0026301E">
        <w:t>Association for the Advancement of Medical Instrumentation.</w:t>
      </w:r>
      <w:r>
        <w:rPr>
          <w:i/>
        </w:rPr>
        <w:t xml:space="preserve"> </w:t>
      </w:r>
      <w:r w:rsidRPr="0026301E">
        <w:rPr>
          <w:i/>
        </w:rPr>
        <w:t>Medical device software—Software life cycle processes (ANSI/AAMI SW68:2001), 2001.</w:t>
      </w:r>
    </w:p>
    <w:p w14:paraId="060C6F92" w14:textId="77777777" w:rsidR="002A21AE" w:rsidRDefault="002A21AE">
      <w:pPr>
        <w:pStyle w:val="ListBullet"/>
        <w:rPr>
          <w:i/>
        </w:rPr>
      </w:pPr>
      <w:r w:rsidRPr="0026301E">
        <w:t>Brandt, Gwyneth. ClinicalTrialJobs.com. “Preparing for FDA Inspections.” July 18, 2002.</w:t>
      </w:r>
    </w:p>
    <w:p w14:paraId="2620FA53" w14:textId="77777777" w:rsidR="002A21AE" w:rsidRDefault="002A21AE">
      <w:pPr>
        <w:pStyle w:val="ListBullet"/>
      </w:pPr>
      <w:r>
        <w:rPr>
          <w:i/>
        </w:rPr>
        <w:t>Clinical Laboratory Technical Procedure Manuals</w:t>
      </w:r>
      <w:r>
        <w:rPr>
          <w:i/>
          <w:iCs/>
        </w:rPr>
        <w:t>; Approved Guideline—Fourth Edition</w:t>
      </w:r>
      <w:r>
        <w:t>, NCCLS document GP2-A4 (Wayne, PA: National Committee for Clinical Laboratory Standards, 2002).</w:t>
      </w:r>
    </w:p>
    <w:p w14:paraId="5A30042A" w14:textId="77777777" w:rsidR="002A21AE" w:rsidRDefault="002A21AE">
      <w:pPr>
        <w:pStyle w:val="ListBullet"/>
        <w:rPr>
          <w:i/>
        </w:rPr>
      </w:pPr>
      <w:r w:rsidRPr="0026301E">
        <w:t>CMMI Product Development Team, Carnegie Mellon Software Engineering Institute.</w:t>
      </w:r>
      <w:r>
        <w:rPr>
          <w:i/>
        </w:rPr>
        <w:t xml:space="preserve"> </w:t>
      </w:r>
      <w:r w:rsidRPr="0026301E">
        <w:rPr>
          <w:i/>
        </w:rPr>
        <w:t>CMMI</w:t>
      </w:r>
      <w:r w:rsidRPr="0026301E">
        <w:rPr>
          <w:i/>
          <w:vertAlign w:val="superscript"/>
        </w:rPr>
        <w:t>SM</w:t>
      </w:r>
      <w:r w:rsidRPr="0026301E">
        <w:rPr>
          <w:i/>
        </w:rPr>
        <w:t xml:space="preserve">-SE/SW, V1.0, Capability Maturity Model®—Integrated for Systems Engineering/Software Engineering, Version 1.0 </w:t>
      </w:r>
      <w:r w:rsidRPr="0026301E">
        <w:t>(Pittsburgh, PA: Carnegie Mellon Software Engineering Institute, August 2000).</w:t>
      </w:r>
    </w:p>
    <w:p w14:paraId="7F1C9A11" w14:textId="77777777" w:rsidR="002A21AE" w:rsidRDefault="002A21AE">
      <w:pPr>
        <w:pStyle w:val="ListBullet"/>
      </w:pPr>
      <w:r w:rsidRPr="0026301E">
        <w:t xml:space="preserve">Commission on Laboratory Accreditation, Laboratory Accreditation Program. </w:t>
      </w:r>
      <w:r>
        <w:rPr>
          <w:i/>
        </w:rPr>
        <w:t>Laboratory General Checklist</w:t>
      </w:r>
      <w:r>
        <w:t xml:space="preserve"> (Northfield, IL: </w:t>
      </w:r>
      <w:bookmarkStart w:id="700" w:name="OLE_LINK15"/>
      <w:bookmarkStart w:id="701" w:name="OLE_LINK16"/>
      <w:r>
        <w:t>College of American Pathologists</w:t>
      </w:r>
      <w:bookmarkEnd w:id="700"/>
      <w:bookmarkEnd w:id="701"/>
      <w:r w:rsidR="00680E9A">
        <w:t>, 201</w:t>
      </w:r>
      <w:r w:rsidR="00BE3412">
        <w:t>7</w:t>
      </w:r>
      <w:r>
        <w:t>).</w:t>
      </w:r>
    </w:p>
    <w:p w14:paraId="074F8414" w14:textId="77777777" w:rsidR="002A21AE" w:rsidRDefault="002A21AE">
      <w:pPr>
        <w:pStyle w:val="ListBullet"/>
      </w:pPr>
      <w:r w:rsidRPr="0026301E">
        <w:t xml:space="preserve">Commission on Laboratory Accreditation, Laboratory Accreditation Program. </w:t>
      </w:r>
      <w:r>
        <w:rPr>
          <w:i/>
        </w:rPr>
        <w:t>Transfusion Medicine Checklist</w:t>
      </w:r>
      <w:r>
        <w:t xml:space="preserve"> (Northfield, IL: Colle</w:t>
      </w:r>
      <w:r w:rsidR="00680E9A">
        <w:t>ge of American Pathologists, 201</w:t>
      </w:r>
      <w:r w:rsidR="00BE3412">
        <w:t>7</w:t>
      </w:r>
      <w:r>
        <w:t>).</w:t>
      </w:r>
    </w:p>
    <w:p w14:paraId="108A9729" w14:textId="77777777" w:rsidR="002A21AE" w:rsidRDefault="002A21AE">
      <w:pPr>
        <w:pStyle w:val="ListBullet"/>
        <w:rPr>
          <w:i/>
        </w:rPr>
      </w:pPr>
      <w:r>
        <w:t xml:space="preserve">Joint Commission on Accreditation of Healthcare Organizations. </w:t>
      </w:r>
      <w:r>
        <w:rPr>
          <w:i/>
        </w:rPr>
        <w:t>Comprehensive Accreditation Manual for Hospitals: The Official Handbook (CAMH)</w:t>
      </w:r>
      <w:r>
        <w:t>. (Oakbrook Terrace, Illinois: Joint Commission on Accreditation o</w:t>
      </w:r>
      <w:r w:rsidR="00680E9A">
        <w:t>f Healthcare Organizations, 2013</w:t>
      </w:r>
      <w:r>
        <w:t>).</w:t>
      </w:r>
    </w:p>
    <w:p w14:paraId="2FD5B399" w14:textId="77777777" w:rsidR="00C10667" w:rsidRDefault="00C10667">
      <w:pPr>
        <w:pStyle w:val="ListBullet"/>
      </w:pPr>
      <w:r>
        <w:t xml:space="preserve">Department of Veterans Affairs, </w:t>
      </w:r>
      <w:r w:rsidRPr="005F521F">
        <w:t>Software Engineering Process Group</w:t>
      </w:r>
      <w:r>
        <w:t xml:space="preserve"> (SEPG) and </w:t>
      </w:r>
      <w:r w:rsidRPr="005F521F">
        <w:t>Software Quality Assurance (SQA)</w:t>
      </w:r>
      <w:r>
        <w:t xml:space="preserve">, </w:t>
      </w:r>
      <w:r w:rsidRPr="00FF500D">
        <w:rPr>
          <w:i/>
        </w:rPr>
        <w:t>National Documentation Standards</w:t>
      </w:r>
      <w:r>
        <w:t xml:space="preserve"> (</w:t>
      </w:r>
      <w:r w:rsidR="00C827F9">
        <w:t>October</w:t>
      </w:r>
      <w:r>
        <w:t xml:space="preserve"> 2005).</w:t>
      </w:r>
    </w:p>
    <w:p w14:paraId="3457B4CC" w14:textId="77777777" w:rsidR="00C10667" w:rsidRPr="001C6432" w:rsidRDefault="00C10667">
      <w:pPr>
        <w:pStyle w:val="ListBullet"/>
        <w:rPr>
          <w:i/>
        </w:rPr>
      </w:pPr>
      <w:r>
        <w:t xml:space="preserve">Department of Veterans Affairs, Veterans Health Administration. </w:t>
      </w:r>
      <w:r>
        <w:rPr>
          <w:i/>
        </w:rPr>
        <w:t xml:space="preserve">VHA Directive 99-053, </w:t>
      </w:r>
      <w:r w:rsidR="00DD0D86">
        <w:rPr>
          <w:i/>
        </w:rPr>
        <w:t>VBECS</w:t>
      </w:r>
      <w:r>
        <w:rPr>
          <w:i/>
        </w:rPr>
        <w:t xml:space="preserve"> Blood Bank Software</w:t>
      </w:r>
      <w:r w:rsidR="00DD0D86">
        <w:t>, November 8, 2007</w:t>
      </w:r>
      <w:r>
        <w:t>.</w:t>
      </w:r>
    </w:p>
    <w:p w14:paraId="23BFC323" w14:textId="77777777" w:rsidR="002A21AE" w:rsidRDefault="002A21AE">
      <w:pPr>
        <w:pStyle w:val="ListBullet"/>
        <w:rPr>
          <w:i/>
        </w:rPr>
      </w:pPr>
      <w:r>
        <w:t xml:space="preserve">Galloway, Dianne. </w:t>
      </w:r>
      <w:r>
        <w:rPr>
          <w:i/>
        </w:rPr>
        <w:t>Mapping Work Processes</w:t>
      </w:r>
      <w:r>
        <w:t>. (Milwaukee, Wisconsin: ASQ Quality Press, 1994).</w:t>
      </w:r>
    </w:p>
    <w:p w14:paraId="0EADE511" w14:textId="77777777" w:rsidR="002A21AE" w:rsidRDefault="002A21AE">
      <w:pPr>
        <w:pStyle w:val="ListBullet"/>
        <w:rPr>
          <w:i/>
        </w:rPr>
      </w:pPr>
      <w:r>
        <w:rPr>
          <w:i/>
        </w:rPr>
        <w:t>General Principles of Software Validation; Final Guidance for Industry and FDA Staff</w:t>
      </w:r>
      <w:r>
        <w:t xml:space="preserve"> (U.S. Department Of Health and Human Services, Food and Drug Administration, Center for Devices and Radiological Health, Center for Biologics Evaluation and Research, January 11, 2002).</w:t>
      </w:r>
    </w:p>
    <w:p w14:paraId="40397E5D" w14:textId="77777777" w:rsidR="002A21AE" w:rsidRDefault="002A21AE">
      <w:pPr>
        <w:pStyle w:val="ListBullet"/>
      </w:pPr>
      <w:r>
        <w:rPr>
          <w:i/>
        </w:rPr>
        <w:t>Guidance for Industry and FDA Premarket and Design Control Reviewers, Medical Device Use-Safety: Incorporating Human Factors Engineering into Risk Management</w:t>
      </w:r>
      <w:r>
        <w:t xml:space="preserve"> (U.S. Department of Health and Human Services, Food and Drug Administration, Center for Devices and Radiological Health, Division of Device User Programs and Systems Analysis, Office of Health and Industry Programs, July 18, 2000).</w:t>
      </w:r>
    </w:p>
    <w:p w14:paraId="78B190AC" w14:textId="77777777" w:rsidR="002A21AE" w:rsidRPr="0000295A" w:rsidRDefault="002A21AE">
      <w:pPr>
        <w:pStyle w:val="ListBullet"/>
        <w:rPr>
          <w:i/>
        </w:rPr>
      </w:pPr>
      <w:r>
        <w:rPr>
          <w:i/>
        </w:rPr>
        <w:t>Guidance for Industry, FDA Reviewers and Compliance on Off-The-Shelf Software Use in Medical Devices</w:t>
      </w:r>
      <w:r>
        <w:t xml:space="preserve"> (U.S. Department Of Health And Human Services, Food and Drug Administration, Center for Devices and Radiological Health, Office of Device Evaluation, September 9, 1999).</w:t>
      </w:r>
    </w:p>
    <w:p w14:paraId="4F07FCFC" w14:textId="77777777" w:rsidR="0000295A" w:rsidRDefault="0000295A">
      <w:pPr>
        <w:pStyle w:val="ListBullet"/>
        <w:rPr>
          <w:i/>
        </w:rPr>
      </w:pPr>
      <w:r w:rsidRPr="00257AD6">
        <w:rPr>
          <w:i/>
        </w:rPr>
        <w:t xml:space="preserve">Guidelines for </w:t>
      </w:r>
      <w:r w:rsidRPr="00257AD6">
        <w:rPr>
          <w:bCs/>
          <w:i/>
        </w:rPr>
        <w:t>Implementing the Electronic Crossmatch</w:t>
      </w:r>
      <w:r w:rsidRPr="0026301E">
        <w:t xml:space="preserve"> (Bethesda, MD: American Association of Blood Banks, 200</w:t>
      </w:r>
      <w:r>
        <w:t>3</w:t>
      </w:r>
      <w:r w:rsidRPr="0026301E">
        <w:t>).</w:t>
      </w:r>
    </w:p>
    <w:p w14:paraId="00813BF9" w14:textId="77777777" w:rsidR="002A21AE" w:rsidRPr="0026301E" w:rsidRDefault="002A21AE">
      <w:pPr>
        <w:pStyle w:val="ListBullet"/>
        <w:rPr>
          <w:i/>
        </w:rPr>
      </w:pPr>
      <w:r w:rsidRPr="0026301E">
        <w:rPr>
          <w:i/>
        </w:rPr>
        <w:t xml:space="preserve">Guidelines for the Labeling of Specimens for Compatibility Testing. </w:t>
      </w:r>
      <w:r w:rsidRPr="0026301E">
        <w:t>Ed. James P. AuBuchon, MD. (Bethesda, MD: American Association of Blood Banks, 2002).</w:t>
      </w:r>
    </w:p>
    <w:p w14:paraId="78E66C90" w14:textId="77777777" w:rsidR="002A21AE" w:rsidRDefault="002A21AE">
      <w:pPr>
        <w:pStyle w:val="ListBullet"/>
        <w:rPr>
          <w:i/>
        </w:rPr>
      </w:pPr>
      <w:r>
        <w:rPr>
          <w:i/>
          <w:iCs/>
        </w:rPr>
        <w:t>Guidelines for the Laboratory Evaluation of Transfusion Reactions</w:t>
      </w:r>
      <w:r>
        <w:t xml:space="preserve"> (Bethesda, MD: American Association of Blood Banks, 2003).</w:t>
      </w:r>
    </w:p>
    <w:p w14:paraId="3ADFB77E" w14:textId="77777777" w:rsidR="002A21AE" w:rsidRDefault="002A21AE">
      <w:pPr>
        <w:pStyle w:val="ListBullet"/>
      </w:pPr>
      <w:r>
        <w:rPr>
          <w:i/>
        </w:rPr>
        <w:t>IEEE Standard for Software Configuration Management Plans</w:t>
      </w:r>
      <w:r>
        <w:rPr>
          <w:iCs/>
        </w:rPr>
        <w:t xml:space="preserve"> (IEEE Std 828-1998) (New York: Institute of Electrical and Electronic Engineers, Inc., 1998).</w:t>
      </w:r>
    </w:p>
    <w:p w14:paraId="338F206F" w14:textId="77777777" w:rsidR="002A21AE" w:rsidRDefault="002A21AE">
      <w:pPr>
        <w:pStyle w:val="ListBullet"/>
      </w:pPr>
      <w:r>
        <w:rPr>
          <w:i/>
        </w:rPr>
        <w:lastRenderedPageBreak/>
        <w:t>ISBT 128 Bar Code Symbology and Application Specification for Labeling of Whole Blood and Blood Components,</w:t>
      </w:r>
      <w:r>
        <w:t xml:space="preserve"> Version Number 1.4.0 [York, PA: International Council for Commonality in Blood Banking Automation (ICCBBA), June 2001].</w:t>
      </w:r>
    </w:p>
    <w:p w14:paraId="14DC1CFE" w14:textId="77777777" w:rsidR="002A21AE" w:rsidRDefault="002A21AE">
      <w:pPr>
        <w:pStyle w:val="ListBullet"/>
        <w:rPr>
          <w:i/>
        </w:rPr>
      </w:pPr>
      <w:r>
        <w:t xml:space="preserve">Jacobson, Ivar, Grady Booch, and James Rumbaugh. </w:t>
      </w:r>
      <w:r>
        <w:rPr>
          <w:i/>
        </w:rPr>
        <w:t>The Unified Software Development Process</w:t>
      </w:r>
      <w:r>
        <w:t xml:space="preserve"> (Boston: Addison-Wesley, 1999).</w:t>
      </w:r>
    </w:p>
    <w:p w14:paraId="5B50E781" w14:textId="77777777" w:rsidR="002A21AE" w:rsidRDefault="002A21AE">
      <w:pPr>
        <w:pStyle w:val="ListBullet"/>
        <w:rPr>
          <w:i/>
        </w:rPr>
      </w:pPr>
      <w:r>
        <w:rPr>
          <w:i/>
        </w:rPr>
        <w:t>Medical devices—Application of risk management to medical devices</w:t>
      </w:r>
      <w:r>
        <w:t xml:space="preserve"> (ANSI/AAMI/ISO 14971:2000), 2001. Association for the Advancement of Medical Instrumentation.</w:t>
      </w:r>
    </w:p>
    <w:p w14:paraId="49CE38A6" w14:textId="77777777" w:rsidR="002A21AE" w:rsidRDefault="002A21AE">
      <w:pPr>
        <w:pStyle w:val="ListBullet"/>
      </w:pPr>
      <w:r>
        <w:t xml:space="preserve">Nevalainen, D. E. and M. F. Callery. </w:t>
      </w:r>
      <w:r>
        <w:rPr>
          <w:i/>
        </w:rPr>
        <w:t>Applying Self-Assessment and Process Analysis to Create a Quality System</w:t>
      </w:r>
      <w:r>
        <w:t xml:space="preserve"> (Basel, Switzerland: S. Karger Publishing, 1995).</w:t>
      </w:r>
    </w:p>
    <w:p w14:paraId="07600AA8" w14:textId="77777777" w:rsidR="00994DBA" w:rsidRDefault="00994DBA">
      <w:pPr>
        <w:pStyle w:val="ListBullet"/>
      </w:pPr>
      <w:r>
        <w:t xml:space="preserve">Nozick, Robin F. “Demystifying the Information Systems Validation Process,” </w:t>
      </w:r>
      <w:r w:rsidRPr="008D14C3">
        <w:rPr>
          <w:i/>
        </w:rPr>
        <w:t>AABB News</w:t>
      </w:r>
      <w:r>
        <w:t xml:space="preserve"> 7:6 (</w:t>
      </w:r>
      <w:r w:rsidR="008D14C3">
        <w:t xml:space="preserve">2005): </w:t>
      </w:r>
      <w:r>
        <w:t>50–51.</w:t>
      </w:r>
    </w:p>
    <w:p w14:paraId="0A85740D" w14:textId="77777777" w:rsidR="002A21AE" w:rsidRPr="00BA2FFC" w:rsidRDefault="002A21AE">
      <w:pPr>
        <w:pStyle w:val="ListBullet"/>
      </w:pPr>
      <w:r w:rsidRPr="00BA2FFC">
        <w:rPr>
          <w:i/>
        </w:rPr>
        <w:t>Object-Oriented Analysis and Design Using the UML: Student Manual, Book 1, Version 4.2</w:t>
      </w:r>
      <w:r w:rsidRPr="00BA2FFC">
        <w:t xml:space="preserve"> (Cupertino, CA: Rational Corporation, 1999).</w:t>
      </w:r>
    </w:p>
    <w:p w14:paraId="3CC1BFDC" w14:textId="77777777" w:rsidR="002A21AE" w:rsidRDefault="002A21AE">
      <w:pPr>
        <w:pStyle w:val="ListBullet"/>
      </w:pPr>
      <w:r w:rsidRPr="00BA2FFC">
        <w:rPr>
          <w:i/>
        </w:rPr>
        <w:t xml:space="preserve">Rational </w:t>
      </w:r>
      <w:r w:rsidR="007E56E1">
        <w:rPr>
          <w:i/>
        </w:rPr>
        <w:t>Team Concert. Version 6.0.5</w:t>
      </w:r>
      <w:r w:rsidR="00451526">
        <w:rPr>
          <w:i/>
        </w:rPr>
        <w:t>,</w:t>
      </w:r>
      <w:r w:rsidRPr="00BA2FFC">
        <w:t xml:space="preserve"> Rational Software Corporation.</w:t>
      </w:r>
    </w:p>
    <w:p w14:paraId="6FEA2A0B" w14:textId="77777777" w:rsidR="008D65D0" w:rsidRPr="008D65D0" w:rsidRDefault="008D65D0">
      <w:pPr>
        <w:pStyle w:val="ListBullet"/>
      </w:pPr>
      <w:r w:rsidRPr="008D65D0">
        <w:rPr>
          <w:i/>
        </w:rPr>
        <w:t>Deciding When to Submit a 510(k) for a Software Change to an Existing Device</w:t>
      </w:r>
      <w:r>
        <w:t>, October 25, 2017.</w:t>
      </w:r>
    </w:p>
    <w:p w14:paraId="055BE102" w14:textId="2DCC685B" w:rsidR="002A21AE" w:rsidRDefault="00483FF1">
      <w:pPr>
        <w:pStyle w:val="ListBullet"/>
      </w:pPr>
      <w:r>
        <w:rPr>
          <w:i/>
        </w:rPr>
        <w:t xml:space="preserve">Department of Veterans Affairs, </w:t>
      </w:r>
      <w:r w:rsidR="006549B7">
        <w:rPr>
          <w:i/>
        </w:rPr>
        <w:t>Office</w:t>
      </w:r>
      <w:r>
        <w:rPr>
          <w:i/>
        </w:rPr>
        <w:t xml:space="preserve"> of Information and Technology (OI&amp;T) </w:t>
      </w:r>
      <w:r w:rsidR="002A21AE">
        <w:rPr>
          <w:i/>
        </w:rPr>
        <w:t xml:space="preserve">Documentation Style </w:t>
      </w:r>
      <w:r>
        <w:rPr>
          <w:i/>
        </w:rPr>
        <w:t>Guide</w:t>
      </w:r>
      <w:r>
        <w:t>, October 2016</w:t>
      </w:r>
      <w:r w:rsidR="002A21AE">
        <w:t>.</w:t>
      </w:r>
    </w:p>
    <w:p w14:paraId="30D3CAB1" w14:textId="77777777" w:rsidR="002A21AE" w:rsidRDefault="002A21AE">
      <w:pPr>
        <w:pStyle w:val="ListBullet"/>
        <w:rPr>
          <w:i/>
        </w:rPr>
      </w:pPr>
      <w:r>
        <w:rPr>
          <w:i/>
        </w:rPr>
        <w:t xml:space="preserve">Standards for Blood Banks and Transfusion Services. </w:t>
      </w:r>
      <w:r>
        <w:t>Twenty-</w:t>
      </w:r>
      <w:r w:rsidR="00680E9A">
        <w:t>ninth</w:t>
      </w:r>
      <w:r>
        <w:t xml:space="preserve"> edition (Bethesda, MD: American Association </w:t>
      </w:r>
      <w:r w:rsidR="00680E9A">
        <w:t>of Blood Banks, 2014</w:t>
      </w:r>
      <w:r>
        <w:t>).</w:t>
      </w:r>
    </w:p>
    <w:p w14:paraId="4813AE49" w14:textId="77777777" w:rsidR="002A21AE" w:rsidRDefault="002A21AE">
      <w:pPr>
        <w:pStyle w:val="ListBullet"/>
        <w:rPr>
          <w:i/>
        </w:rPr>
      </w:pPr>
      <w:r>
        <w:rPr>
          <w:i/>
        </w:rPr>
        <w:t xml:space="preserve">Technical Manual. </w:t>
      </w:r>
      <w:r w:rsidR="00680E9A">
        <w:rPr>
          <w:i/>
        </w:rPr>
        <w:t>Eighteenth</w:t>
      </w:r>
      <w:r>
        <w:rPr>
          <w:i/>
        </w:rPr>
        <w:t xml:space="preserve"> edition </w:t>
      </w:r>
      <w:r>
        <w:t>(Bethesda, MD: American</w:t>
      </w:r>
      <w:r w:rsidR="00680E9A">
        <w:t xml:space="preserve"> Association of Blood Banks, 2014</w:t>
      </w:r>
      <w:r>
        <w:t>).</w:t>
      </w:r>
    </w:p>
    <w:p w14:paraId="3611F306" w14:textId="77777777" w:rsidR="00D931C3" w:rsidRPr="00D931C3" w:rsidRDefault="00D931C3" w:rsidP="00D931C3">
      <w:pPr>
        <w:pStyle w:val="ListBullet"/>
      </w:pPr>
      <w:r w:rsidRPr="00D931C3">
        <w:rPr>
          <w:i/>
        </w:rPr>
        <w:t>The Chicago Manual of Style</w:t>
      </w:r>
      <w:r w:rsidR="00680E9A">
        <w:t>, 16</w:t>
      </w:r>
      <w:r w:rsidRPr="00D931C3">
        <w:t>th</w:t>
      </w:r>
      <w:r>
        <w:t xml:space="preserve"> ed., (Chicago: The U</w:t>
      </w:r>
      <w:r w:rsidR="00680E9A">
        <w:t>niversity of Chicago Press, 2014</w:t>
      </w:r>
      <w:r>
        <w:t>).</w:t>
      </w:r>
    </w:p>
    <w:p w14:paraId="69A4F21D" w14:textId="77777777" w:rsidR="002A21AE" w:rsidRDefault="002A21AE">
      <w:pPr>
        <w:pStyle w:val="ListBullet"/>
        <w:rPr>
          <w:i/>
        </w:rPr>
      </w:pPr>
      <w:r>
        <w:rPr>
          <w:i/>
        </w:rPr>
        <w:t>Title 21 Code of Federal Regulations,</w:t>
      </w:r>
      <w:r>
        <w:t xml:space="preserve"> Part 11, Electronic Records; Electronic Signatures.</w:t>
      </w:r>
    </w:p>
    <w:p w14:paraId="77E92091" w14:textId="77777777" w:rsidR="002A21AE" w:rsidRDefault="002A21AE">
      <w:pPr>
        <w:pStyle w:val="ListBullet"/>
        <w:rPr>
          <w:i/>
        </w:rPr>
      </w:pPr>
      <w:r>
        <w:rPr>
          <w:i/>
        </w:rPr>
        <w:t xml:space="preserve">Title 21 Code of Federal Regulations, </w:t>
      </w:r>
      <w:r>
        <w:t>Part 803, Medical Device Reporting.</w:t>
      </w:r>
    </w:p>
    <w:p w14:paraId="4593594E" w14:textId="77777777" w:rsidR="002A21AE" w:rsidRDefault="002A21AE">
      <w:pPr>
        <w:pStyle w:val="ListBullet"/>
        <w:rPr>
          <w:i/>
        </w:rPr>
      </w:pPr>
      <w:r>
        <w:rPr>
          <w:i/>
        </w:rPr>
        <w:t xml:space="preserve">Title 21 Code of Federal Regulations, </w:t>
      </w:r>
      <w:r>
        <w:t>Part 806, Medical Devices; Reports of Corrections and Removals.</w:t>
      </w:r>
    </w:p>
    <w:p w14:paraId="40D5DE47" w14:textId="77777777" w:rsidR="002A21AE" w:rsidRDefault="002A21AE">
      <w:pPr>
        <w:pStyle w:val="ListBullet"/>
        <w:rPr>
          <w:i/>
        </w:rPr>
      </w:pPr>
      <w:r>
        <w:rPr>
          <w:i/>
        </w:rPr>
        <w:t>Title 21 Code of Federal Regulations,</w:t>
      </w:r>
      <w:r>
        <w:t xml:space="preserve"> Part 807, Establishment Registration and Device Listing for Manufacturers and Initial Importers of Devices.</w:t>
      </w:r>
    </w:p>
    <w:p w14:paraId="67BD1492" w14:textId="77777777" w:rsidR="002A21AE" w:rsidRDefault="002A21AE">
      <w:pPr>
        <w:pStyle w:val="ListBullet"/>
        <w:rPr>
          <w:i/>
        </w:rPr>
      </w:pPr>
      <w:r>
        <w:rPr>
          <w:i/>
        </w:rPr>
        <w:t>Title 21 Code of Federal Regulations</w:t>
      </w:r>
      <w:r>
        <w:t>, Part 810, Medical Device Recall Authority.</w:t>
      </w:r>
    </w:p>
    <w:p w14:paraId="5BCB0984" w14:textId="77777777" w:rsidR="002A21AE" w:rsidRDefault="002A21AE">
      <w:pPr>
        <w:pStyle w:val="ListBullet"/>
        <w:rPr>
          <w:i/>
        </w:rPr>
      </w:pPr>
      <w:r>
        <w:rPr>
          <w:i/>
        </w:rPr>
        <w:t xml:space="preserve">Title 21 Code of Federal Regulations, </w:t>
      </w:r>
      <w:r>
        <w:t>Part 820, Quality System Regulation.</w:t>
      </w:r>
    </w:p>
    <w:p w14:paraId="1738FD0C" w14:textId="77777777" w:rsidR="002A21AE" w:rsidRDefault="002A21AE">
      <w:pPr>
        <w:pStyle w:val="ListBullet"/>
        <w:rPr>
          <w:i/>
        </w:rPr>
      </w:pPr>
      <w:r>
        <w:rPr>
          <w:i/>
        </w:rPr>
        <w:t>Title 21 Code of Federal Regulations,</w:t>
      </w:r>
      <w:r>
        <w:t xml:space="preserve"> Parts 200 to 299, Food and Drugs.</w:t>
      </w:r>
    </w:p>
    <w:p w14:paraId="00508503" w14:textId="77777777" w:rsidR="002A21AE" w:rsidRDefault="002A21AE">
      <w:pPr>
        <w:pStyle w:val="ListBullet"/>
        <w:rPr>
          <w:i/>
        </w:rPr>
      </w:pPr>
      <w:r>
        <w:rPr>
          <w:i/>
        </w:rPr>
        <w:t>Title 21 Code of Federal Regulations,</w:t>
      </w:r>
      <w:r>
        <w:t xml:space="preserve"> Parts 600 to 799, Food and Drugs.</w:t>
      </w:r>
    </w:p>
    <w:p w14:paraId="2C0B7ACA" w14:textId="77777777" w:rsidR="002A21AE" w:rsidRDefault="002A21AE">
      <w:pPr>
        <w:pStyle w:val="ListBullet"/>
        <w:rPr>
          <w:i/>
        </w:rPr>
      </w:pPr>
      <w:r>
        <w:rPr>
          <w:i/>
        </w:rPr>
        <w:t>Title 21 Code of Federal Regulations,</w:t>
      </w:r>
      <w:r>
        <w:t xml:space="preserve"> Parts 800 to 1299, Food and Drugs.</w:t>
      </w:r>
    </w:p>
    <w:p w14:paraId="4F7261CA" w14:textId="77777777" w:rsidR="002A21AE" w:rsidRDefault="002A21AE">
      <w:pPr>
        <w:pStyle w:val="ListBullet"/>
      </w:pPr>
      <w:r>
        <w:t xml:space="preserve">Trautman, Kimberly A. </w:t>
      </w:r>
      <w:r>
        <w:rPr>
          <w:i/>
        </w:rPr>
        <w:t xml:space="preserve">The FDA and Worldwide Quality System Requirements Guidebook for Medical Devices </w:t>
      </w:r>
      <w:r>
        <w:t>(Milwaukee, Wisconsin: ASQ Quality Press, 1997).</w:t>
      </w:r>
    </w:p>
    <w:p w14:paraId="721E5267" w14:textId="77777777" w:rsidR="002A21AE" w:rsidRDefault="002A21AE">
      <w:pPr>
        <w:pStyle w:val="ListBullet"/>
      </w:pPr>
      <w:r>
        <w:t xml:space="preserve">U.S. Department Of Health and Human Services, Food and Drug Administration, Center for Devices and Radiological Health. </w:t>
      </w:r>
      <w:r>
        <w:rPr>
          <w:i/>
        </w:rPr>
        <w:t>Design Control Guidance for Medical Device Manufacturers</w:t>
      </w:r>
      <w:r>
        <w:t>, March 11, 1997.</w:t>
      </w:r>
    </w:p>
    <w:p w14:paraId="104C3953" w14:textId="77777777" w:rsidR="002A21AE" w:rsidRDefault="002A21AE">
      <w:pPr>
        <w:pStyle w:val="ListBullet"/>
      </w:pPr>
      <w:r>
        <w:t xml:space="preserve">U.S. Department Of Health and Human Services, Food and Drug Administration, Center for Devices and Radiological Health. </w:t>
      </w:r>
      <w:r>
        <w:rPr>
          <w:i/>
        </w:rPr>
        <w:t>Inspection of Medical Device Manufacturers, Final Guidance for Industry and FDA</w:t>
      </w:r>
      <w:r>
        <w:t>, February 7, 2001.</w:t>
      </w:r>
    </w:p>
    <w:p w14:paraId="573FDB06" w14:textId="77777777" w:rsidR="002A21AE" w:rsidRDefault="002A21AE">
      <w:pPr>
        <w:pStyle w:val="ListBullet"/>
      </w:pPr>
      <w:r>
        <w:t xml:space="preserve">U.S. Department Of Health and Human Services, Food and Drug Administration, Center for Devices and Radiological Health. </w:t>
      </w:r>
      <w:r>
        <w:rPr>
          <w:i/>
        </w:rPr>
        <w:t>Medical Device Quality Systems Manual: A Small Entity Compliance Guide</w:t>
      </w:r>
      <w:r>
        <w:t>. First edition, December 1996.</w:t>
      </w:r>
    </w:p>
    <w:p w14:paraId="47C26606" w14:textId="77777777" w:rsidR="002A21AE" w:rsidRDefault="002A21AE">
      <w:pPr>
        <w:pStyle w:val="ListBullet"/>
        <w:rPr>
          <w:i/>
        </w:rPr>
      </w:pPr>
      <w:r>
        <w:t xml:space="preserve">U.S. Department Of Health And Human Services, Food and Drug Administration, Center for Devices and Radiological Health, Office of Device Evaluation. </w:t>
      </w:r>
      <w:r>
        <w:rPr>
          <w:i/>
        </w:rPr>
        <w:t>Guidance for the Content of Premarket Submissions for Software Contained in Medical Devices</w:t>
      </w:r>
      <w:r>
        <w:t>, May 29, 1998.</w:t>
      </w:r>
    </w:p>
    <w:p w14:paraId="07D0BCCA" w14:textId="77777777" w:rsidR="002A21AE" w:rsidRDefault="002A21AE">
      <w:pPr>
        <w:pStyle w:val="ListBullet"/>
        <w:rPr>
          <w:i/>
        </w:rPr>
      </w:pPr>
      <w:r>
        <w:lastRenderedPageBreak/>
        <w:t xml:space="preserve">U.S. Department Of Health And Human Services, Food and Drug Administration, Center for Devices and Radiological Health, Office of Regulatory Affairs. </w:t>
      </w:r>
      <w:r>
        <w:rPr>
          <w:i/>
        </w:rPr>
        <w:t>Glossary of Computerized System and Software Development Terminology</w:t>
      </w:r>
      <w:r>
        <w:t>, August 1995.</w:t>
      </w:r>
    </w:p>
    <w:p w14:paraId="6DE7453B" w14:textId="77777777" w:rsidR="002A21AE" w:rsidRDefault="002A21AE">
      <w:pPr>
        <w:pStyle w:val="ListBullet"/>
        <w:rPr>
          <w:i/>
        </w:rPr>
      </w:pPr>
      <w:r>
        <w:t xml:space="preserve">U.S. Department Of Health and Human Services, Food and Drug Administration, Center for Devices and Radiological Health. </w:t>
      </w:r>
      <w:r>
        <w:rPr>
          <w:i/>
        </w:rPr>
        <w:t>Premarket Approval Manual</w:t>
      </w:r>
      <w:r>
        <w:t>. January 1998.</w:t>
      </w:r>
    </w:p>
    <w:p w14:paraId="5C57DCF2" w14:textId="77777777" w:rsidR="002A21AE" w:rsidRDefault="002A21AE">
      <w:pPr>
        <w:pStyle w:val="ListBullet"/>
      </w:pPr>
      <w:r>
        <w:t>U.S. Food and Drug Administration, Office of Regulatory Affairs and the Center for Devices and Radiological Health</w:t>
      </w:r>
      <w:r w:rsidR="00845D52">
        <w:t>.</w:t>
      </w:r>
      <w:r>
        <w:t xml:space="preserve"> </w:t>
      </w:r>
      <w:r>
        <w:rPr>
          <w:i/>
        </w:rPr>
        <w:t>Guide to Inspections of Medical Device Manufacturers</w:t>
      </w:r>
      <w:r>
        <w:t>,</w:t>
      </w:r>
      <w:r>
        <w:rPr>
          <w:i/>
        </w:rPr>
        <w:t xml:space="preserve"> </w:t>
      </w:r>
      <w:r>
        <w:t>December 1997.</w:t>
      </w:r>
    </w:p>
    <w:p w14:paraId="31C41B23" w14:textId="77777777" w:rsidR="002A21AE" w:rsidRDefault="002A21AE">
      <w:pPr>
        <w:pStyle w:val="ListBullet"/>
      </w:pPr>
      <w:r>
        <w:t xml:space="preserve">U.S. Food and Drug Administration, ORA Inspectional References, Quality Inspection System Technique. </w:t>
      </w:r>
      <w:r>
        <w:rPr>
          <w:i/>
        </w:rPr>
        <w:t>Guide to Inspections of Quality Systems</w:t>
      </w:r>
      <w:r>
        <w:t>, August 1999.</w:t>
      </w:r>
    </w:p>
    <w:p w14:paraId="4B51E4C8" w14:textId="77777777" w:rsidR="002A21AE" w:rsidRDefault="002A21AE">
      <w:pPr>
        <w:pStyle w:val="ListBullet"/>
      </w:pPr>
      <w:r>
        <w:rPr>
          <w:i/>
        </w:rPr>
        <w:t>United States Industry Consensus Standard for the Uniform Labeling of Blood and Blood Components Using</w:t>
      </w:r>
      <w:r w:rsidRPr="00845D52">
        <w:rPr>
          <w:i/>
        </w:rPr>
        <w:t xml:space="preserve"> ISBT 128, Version 1.2.0</w:t>
      </w:r>
      <w:r>
        <w:t>, prepared by the International Council for Commonality in Blood Banking Automation, Inc. (U.S. Department of Health and Human Services, Food and Drug Administration, Center for Biologics Evaluation and Research, November 1999).</w:t>
      </w:r>
    </w:p>
    <w:p w14:paraId="1FC2A90C" w14:textId="77777777" w:rsidR="00FE1B9A" w:rsidRDefault="00782012">
      <w:pPr>
        <w:pStyle w:val="ListBullet"/>
      </w:pPr>
      <w:r>
        <w:rPr>
          <w:i/>
        </w:rPr>
        <w:t>Office of Enterprise Developme</w:t>
      </w:r>
      <w:r w:rsidR="00FE1B9A">
        <w:rPr>
          <w:i/>
        </w:rPr>
        <w:t>nt Documentation Standards, Version 1</w:t>
      </w:r>
      <w:r w:rsidR="00FE1B9A" w:rsidRPr="00FE1B9A">
        <w:t>.</w:t>
      </w:r>
      <w:r w:rsidR="00FE1B9A">
        <w:t>4, June 2009.</w:t>
      </w:r>
    </w:p>
    <w:p w14:paraId="09DBE36A" w14:textId="77777777" w:rsidR="002A21AE" w:rsidRDefault="002A21AE">
      <w:pPr>
        <w:pStyle w:val="ListBullet"/>
      </w:pPr>
      <w:r>
        <w:t xml:space="preserve">Wilson, Paul F., Larry D. Dell, and Gaylord F. Anderson. </w:t>
      </w:r>
      <w:r>
        <w:rPr>
          <w:i/>
        </w:rPr>
        <w:t>Root Cause Analysis: A Tool for Total Quality Management</w:t>
      </w:r>
      <w:r>
        <w:t xml:space="preserve"> (Milwaukee, Wisconsin: ASQ Quality Press, 1993).</w:t>
      </w:r>
    </w:p>
    <w:p w14:paraId="53B019DF" w14:textId="77777777" w:rsidR="002A21AE" w:rsidRDefault="002A21AE">
      <w:pPr>
        <w:pStyle w:val="ListBullet"/>
      </w:pPr>
      <w:r>
        <w:rPr>
          <w:i/>
        </w:rPr>
        <w:t>ZPL II Programming Guide</w:t>
      </w:r>
      <w:r>
        <w:t>, Customer order # 46530L, Manufacturer part # 46530LB (Zebr</w:t>
      </w:r>
      <w:r w:rsidR="00845B27">
        <w:t>a Technologies Corporation, November 18, 201</w:t>
      </w:r>
      <w:r w:rsidR="00680E9A">
        <w:t>6</w:t>
      </w:r>
      <w:r>
        <w:t>).</w:t>
      </w:r>
    </w:p>
    <w:p w14:paraId="25DD5AFA" w14:textId="77777777" w:rsidR="00CF32F4" w:rsidRDefault="002A21AE" w:rsidP="00CF32F4">
      <w:pPr>
        <w:pStyle w:val="BodyText"/>
        <w:jc w:val="center"/>
      </w:pPr>
      <w:r>
        <w:br w:type="page"/>
      </w:r>
      <w:r w:rsidR="002249FA">
        <w:lastRenderedPageBreak/>
        <w:t>This page intentionally left</w:t>
      </w:r>
      <w:r w:rsidR="000014DD">
        <w:t xml:space="preserve"> </w:t>
      </w:r>
      <w:r w:rsidR="002249FA">
        <w:t>blank.</w:t>
      </w:r>
    </w:p>
    <w:p w14:paraId="37F7EFEE" w14:textId="77777777" w:rsidR="002A21AE" w:rsidRDefault="002A21AE">
      <w:pPr>
        <w:pStyle w:val="Heading1"/>
      </w:pPr>
      <w:r>
        <w:br w:type="page"/>
      </w:r>
      <w:bookmarkStart w:id="702" w:name="_Toc47516799"/>
      <w:r>
        <w:lastRenderedPageBreak/>
        <w:t>Glossary</w:t>
      </w:r>
      <w:bookmarkEnd w:id="702"/>
      <w:r>
        <w:fldChar w:fldCharType="begin"/>
      </w:r>
      <w:r>
        <w:instrText xml:space="preserve"> XE </w:instrText>
      </w:r>
      <w:r w:rsidR="00FA7E65">
        <w:instrText>“</w:instrText>
      </w:r>
      <w:r>
        <w:instrText>Glossary</w:instrText>
      </w:r>
      <w:r w:rsidR="00FA7E65">
        <w:instrText>”</w:instrText>
      </w:r>
      <w:r>
        <w:instrText xml:space="preserve"> </w:instrText>
      </w:r>
      <w:r>
        <w:fldChar w:fldCharType="end"/>
      </w:r>
    </w:p>
    <w:tbl>
      <w:tblPr>
        <w:tblW w:w="4944" w:type="pct"/>
        <w:tblLook w:val="0000" w:firstRow="0" w:lastRow="0" w:firstColumn="0" w:lastColumn="0" w:noHBand="0" w:noVBand="0"/>
      </w:tblPr>
      <w:tblGrid>
        <w:gridCol w:w="3097"/>
        <w:gridCol w:w="6158"/>
      </w:tblGrid>
      <w:tr w:rsidR="00AF274B" w14:paraId="14DDFE36" w14:textId="77777777">
        <w:trPr>
          <w:cantSplit/>
          <w:trHeight w:val="403"/>
          <w:tblHeader/>
        </w:trPr>
        <w:tc>
          <w:tcPr>
            <w:tcW w:w="1673" w:type="pct"/>
            <w:shd w:val="clear" w:color="auto" w:fill="B3B3B3"/>
            <w:vAlign w:val="bottom"/>
          </w:tcPr>
          <w:p w14:paraId="3DBC3F66" w14:textId="77777777" w:rsidR="00AF274B" w:rsidRDefault="00AF274B">
            <w:pPr>
              <w:pStyle w:val="GlossaryTableText"/>
              <w:rPr>
                <w:b/>
                <w:bCs/>
              </w:rPr>
            </w:pPr>
            <w:r>
              <w:rPr>
                <w:b/>
                <w:bCs/>
              </w:rPr>
              <w:t>Acronym, Term</w:t>
            </w:r>
          </w:p>
        </w:tc>
        <w:tc>
          <w:tcPr>
            <w:tcW w:w="3327" w:type="pct"/>
            <w:shd w:val="clear" w:color="auto" w:fill="B3B3B3"/>
            <w:vAlign w:val="bottom"/>
          </w:tcPr>
          <w:p w14:paraId="79D8FFE5" w14:textId="77777777" w:rsidR="00AF274B" w:rsidRDefault="00AF274B">
            <w:pPr>
              <w:pStyle w:val="GlossaryTableText"/>
              <w:rPr>
                <w:b/>
                <w:bCs/>
              </w:rPr>
            </w:pPr>
            <w:r>
              <w:rPr>
                <w:b/>
                <w:bCs/>
              </w:rPr>
              <w:t>Definition</w:t>
            </w:r>
          </w:p>
        </w:tc>
      </w:tr>
      <w:tr w:rsidR="00AF274B" w14:paraId="5D4AC7EA" w14:textId="77777777">
        <w:trPr>
          <w:cantSplit/>
        </w:trPr>
        <w:tc>
          <w:tcPr>
            <w:tcW w:w="1673" w:type="pct"/>
          </w:tcPr>
          <w:p w14:paraId="236E2793" w14:textId="77777777" w:rsidR="00AF274B" w:rsidRDefault="00AF274B">
            <w:pPr>
              <w:pStyle w:val="GlossaryTableText"/>
              <w:rPr>
                <w:rFonts w:ascii="Symbol"/>
                <w:b/>
              </w:rPr>
            </w:pPr>
            <w:r>
              <w:rPr>
                <w:b/>
              </w:rPr>
              <w:t>AABB</w:t>
            </w:r>
          </w:p>
        </w:tc>
        <w:tc>
          <w:tcPr>
            <w:tcW w:w="3327" w:type="pct"/>
          </w:tcPr>
          <w:p w14:paraId="53F0F098" w14:textId="77777777" w:rsidR="00AF274B" w:rsidRDefault="00AF274B">
            <w:pPr>
              <w:pStyle w:val="GlossaryTableText"/>
            </w:pPr>
            <w:r>
              <w:t>American Association of Blood Banks.</w:t>
            </w:r>
          </w:p>
        </w:tc>
      </w:tr>
      <w:tr w:rsidR="001A1559" w14:paraId="0CF5D029" w14:textId="77777777">
        <w:trPr>
          <w:cantSplit/>
        </w:trPr>
        <w:tc>
          <w:tcPr>
            <w:tcW w:w="1673" w:type="pct"/>
          </w:tcPr>
          <w:p w14:paraId="18E44DE7" w14:textId="77777777" w:rsidR="001A1559" w:rsidRDefault="001A1559">
            <w:pPr>
              <w:pStyle w:val="GlossaryTableText"/>
              <w:rPr>
                <w:b/>
              </w:rPr>
            </w:pPr>
            <w:r>
              <w:rPr>
                <w:b/>
              </w:rPr>
              <w:t>ABID</w:t>
            </w:r>
          </w:p>
        </w:tc>
        <w:tc>
          <w:tcPr>
            <w:tcW w:w="3327" w:type="pct"/>
          </w:tcPr>
          <w:p w14:paraId="098D4DFE" w14:textId="77777777" w:rsidR="001A1559" w:rsidRDefault="001A1559">
            <w:pPr>
              <w:pStyle w:val="GlossaryTableText"/>
            </w:pPr>
            <w:r>
              <w:t>Antibody identification.</w:t>
            </w:r>
          </w:p>
        </w:tc>
      </w:tr>
      <w:tr w:rsidR="00AF274B" w14:paraId="7AE50FDD" w14:textId="77777777">
        <w:trPr>
          <w:cantSplit/>
        </w:trPr>
        <w:tc>
          <w:tcPr>
            <w:tcW w:w="1673" w:type="pct"/>
          </w:tcPr>
          <w:p w14:paraId="4D3F61ED" w14:textId="77777777" w:rsidR="00AF274B" w:rsidRDefault="00AF274B">
            <w:pPr>
              <w:pStyle w:val="GlossaryTableText"/>
              <w:rPr>
                <w:b/>
              </w:rPr>
            </w:pPr>
            <w:r>
              <w:rPr>
                <w:b/>
              </w:rPr>
              <w:t>ABO</w:t>
            </w:r>
          </w:p>
        </w:tc>
        <w:tc>
          <w:tcPr>
            <w:tcW w:w="3327" w:type="pct"/>
          </w:tcPr>
          <w:p w14:paraId="139CA14F" w14:textId="77777777" w:rsidR="00AF274B" w:rsidRDefault="00AF274B">
            <w:pPr>
              <w:pStyle w:val="GlossaryTableText"/>
            </w:pPr>
            <w:r>
              <w:t>A group for classifying human blood, based on the presence or absence of specific antigens in the blood, which contains four blood types: A, B, AB, and O. The ABO group is the most critical of the human blood systems. It is used to determine general compatibility of donor units to a recipient.</w:t>
            </w:r>
          </w:p>
        </w:tc>
      </w:tr>
      <w:tr w:rsidR="00AF274B" w14:paraId="2EF29EBE" w14:textId="77777777">
        <w:trPr>
          <w:cantSplit/>
        </w:trPr>
        <w:tc>
          <w:tcPr>
            <w:tcW w:w="1673" w:type="pct"/>
          </w:tcPr>
          <w:p w14:paraId="409E8C05" w14:textId="77777777" w:rsidR="00AF274B" w:rsidRDefault="00AF274B">
            <w:pPr>
              <w:pStyle w:val="GlossaryTableText"/>
              <w:rPr>
                <w:b/>
              </w:rPr>
            </w:pPr>
            <w:r>
              <w:rPr>
                <w:b/>
              </w:rPr>
              <w:t>ABS</w:t>
            </w:r>
          </w:p>
        </w:tc>
        <w:tc>
          <w:tcPr>
            <w:tcW w:w="3327" w:type="pct"/>
          </w:tcPr>
          <w:p w14:paraId="1D6E63AD" w14:textId="77777777" w:rsidR="00AF274B" w:rsidRDefault="00AF274B">
            <w:pPr>
              <w:pStyle w:val="GlossaryTableText"/>
            </w:pPr>
            <w:r>
              <w:t xml:space="preserve">Antibody screen, </w:t>
            </w:r>
            <w:r w:rsidR="008E2E30">
              <w:t>Antibody Screen Test</w:t>
            </w:r>
            <w:r>
              <w:t>.</w:t>
            </w:r>
          </w:p>
        </w:tc>
      </w:tr>
      <w:tr w:rsidR="00AF274B" w14:paraId="2B0F0C4C" w14:textId="77777777">
        <w:trPr>
          <w:cantSplit/>
        </w:trPr>
        <w:tc>
          <w:tcPr>
            <w:tcW w:w="1673" w:type="pct"/>
          </w:tcPr>
          <w:p w14:paraId="2CC0B006" w14:textId="77777777" w:rsidR="00AF274B" w:rsidRDefault="00AF274B">
            <w:pPr>
              <w:pStyle w:val="GlossaryTableText"/>
              <w:rPr>
                <w:b/>
              </w:rPr>
            </w:pPr>
            <w:r>
              <w:rPr>
                <w:b/>
              </w:rPr>
              <w:t>Access Code</w:t>
            </w:r>
          </w:p>
        </w:tc>
        <w:tc>
          <w:tcPr>
            <w:tcW w:w="3327" w:type="pct"/>
          </w:tcPr>
          <w:p w14:paraId="772D9737" w14:textId="77777777" w:rsidR="00AF274B" w:rsidRDefault="00AF274B">
            <w:pPr>
              <w:pStyle w:val="GlossaryTableText"/>
            </w:pPr>
            <w:r>
              <w:t xml:space="preserve">A field in the </w:t>
            </w:r>
            <w:r w:rsidRPr="00CA6E27">
              <w:rPr>
                <w:bCs/>
              </w:rPr>
              <w:t>VistA</w:t>
            </w:r>
            <w:r>
              <w:t xml:space="preserve"> New Person file used to uniquely identify a user on the </w:t>
            </w:r>
            <w:r w:rsidRPr="00CA6E27">
              <w:rPr>
                <w:bCs/>
              </w:rPr>
              <w:t>VistA</w:t>
            </w:r>
            <w:r>
              <w:t xml:space="preserve"> system.</w:t>
            </w:r>
          </w:p>
        </w:tc>
      </w:tr>
      <w:tr w:rsidR="00AF274B" w14:paraId="25E2F8AF" w14:textId="77777777">
        <w:trPr>
          <w:cantSplit/>
        </w:trPr>
        <w:tc>
          <w:tcPr>
            <w:tcW w:w="1673" w:type="pct"/>
          </w:tcPr>
          <w:p w14:paraId="7B578810" w14:textId="77777777" w:rsidR="00AF274B" w:rsidRDefault="00AF274B">
            <w:pPr>
              <w:pStyle w:val="GlossaryTableText"/>
              <w:rPr>
                <w:b/>
              </w:rPr>
            </w:pPr>
            <w:r>
              <w:rPr>
                <w:b/>
              </w:rPr>
              <w:t>Accessioned</w:t>
            </w:r>
          </w:p>
        </w:tc>
        <w:tc>
          <w:tcPr>
            <w:tcW w:w="3327" w:type="pct"/>
          </w:tcPr>
          <w:p w14:paraId="680BC073" w14:textId="77777777" w:rsidR="00AF274B" w:rsidRDefault="00AF274B">
            <w:pPr>
              <w:pStyle w:val="GlossaryTableText"/>
            </w:pPr>
            <w:r>
              <w:t xml:space="preserve">Describes an order when a specimen has been collected or has been placed on a current collection list by the </w:t>
            </w:r>
            <w:r w:rsidRPr="00CA6E27">
              <w:rPr>
                <w:bCs/>
              </w:rPr>
              <w:t>VistA</w:t>
            </w:r>
            <w:r>
              <w:t xml:space="preserve"> Laboratory software. </w:t>
            </w:r>
            <w:r>
              <w:rPr>
                <w:i/>
              </w:rPr>
              <w:t>A mechanism for accessioning orders for blood components that do not require a specimen needs to be designed.</w:t>
            </w:r>
          </w:p>
        </w:tc>
      </w:tr>
      <w:tr w:rsidR="00AF274B" w14:paraId="4B3B7695" w14:textId="77777777">
        <w:trPr>
          <w:cantSplit/>
        </w:trPr>
        <w:tc>
          <w:tcPr>
            <w:tcW w:w="1673" w:type="pct"/>
          </w:tcPr>
          <w:p w14:paraId="0F6B238D" w14:textId="77777777" w:rsidR="00AF274B" w:rsidRDefault="00AF274B">
            <w:pPr>
              <w:pStyle w:val="GlossaryTableText"/>
              <w:rPr>
                <w:b/>
              </w:rPr>
            </w:pPr>
            <w:r>
              <w:rPr>
                <w:b/>
                <w:snapToGrid w:val="0"/>
              </w:rPr>
              <w:t>Active order</w:t>
            </w:r>
          </w:p>
        </w:tc>
        <w:tc>
          <w:tcPr>
            <w:tcW w:w="3327" w:type="pct"/>
          </w:tcPr>
          <w:p w14:paraId="1C3F80C3" w14:textId="77777777" w:rsidR="00AF274B" w:rsidRDefault="00AF274B">
            <w:pPr>
              <w:pStyle w:val="GlossaryTableText"/>
            </w:pPr>
            <w:r>
              <w:t>A patient order for blood product(s) that is not completed or expired. Depending on the component class, an accompanying specimen may be required.</w:t>
            </w:r>
          </w:p>
        </w:tc>
      </w:tr>
      <w:tr w:rsidR="00AF274B" w14:paraId="118F8CF7" w14:textId="77777777">
        <w:trPr>
          <w:cantSplit/>
        </w:trPr>
        <w:tc>
          <w:tcPr>
            <w:tcW w:w="1673" w:type="pct"/>
          </w:tcPr>
          <w:p w14:paraId="4340FF61" w14:textId="77777777" w:rsidR="00AF274B" w:rsidRDefault="00AF274B">
            <w:pPr>
              <w:pStyle w:val="GlossaryTableText"/>
              <w:rPr>
                <w:b/>
              </w:rPr>
            </w:pPr>
            <w:r>
              <w:rPr>
                <w:b/>
              </w:rPr>
              <w:t>Active user</w:t>
            </w:r>
          </w:p>
        </w:tc>
        <w:tc>
          <w:tcPr>
            <w:tcW w:w="3327" w:type="pct"/>
          </w:tcPr>
          <w:p w14:paraId="2F92107E" w14:textId="77777777" w:rsidR="00AF274B" w:rsidRDefault="00AF274B">
            <w:pPr>
              <w:pStyle w:val="GlossaryTableText"/>
            </w:pPr>
            <w:r>
              <w:t xml:space="preserve">A user with a setting in </w:t>
            </w:r>
            <w:r w:rsidRPr="00CA6E27">
              <w:t>VistA</w:t>
            </w:r>
            <w:r>
              <w:t xml:space="preserve"> that allows him to access VBECS. Inactive use</w:t>
            </w:r>
            <w:r w:rsidR="000D6CFB">
              <w:t>rs may no longer access VBECS.</w:t>
            </w:r>
          </w:p>
        </w:tc>
      </w:tr>
      <w:tr w:rsidR="00AF274B" w14:paraId="7CD24150" w14:textId="77777777">
        <w:trPr>
          <w:cantSplit/>
        </w:trPr>
        <w:tc>
          <w:tcPr>
            <w:tcW w:w="1673" w:type="pct"/>
          </w:tcPr>
          <w:p w14:paraId="4B1F9561" w14:textId="77777777" w:rsidR="00AF274B" w:rsidRDefault="00AF274B">
            <w:pPr>
              <w:pStyle w:val="GlossaryTableText"/>
              <w:rPr>
                <w:b/>
              </w:rPr>
            </w:pPr>
            <w:r>
              <w:rPr>
                <w:b/>
              </w:rPr>
              <w:t>Activities</w:t>
            </w:r>
          </w:p>
        </w:tc>
        <w:tc>
          <w:tcPr>
            <w:tcW w:w="3327" w:type="pct"/>
          </w:tcPr>
          <w:p w14:paraId="15B2862E" w14:textId="77777777" w:rsidR="00AF274B" w:rsidRDefault="00AF274B">
            <w:pPr>
              <w:pStyle w:val="GlossaryTableText"/>
            </w:pPr>
            <w:r>
              <w:t>Business processes that the product supports.</w:t>
            </w:r>
          </w:p>
        </w:tc>
      </w:tr>
      <w:tr w:rsidR="00AF274B" w14:paraId="50509D3A" w14:textId="77777777">
        <w:trPr>
          <w:cantSplit/>
        </w:trPr>
        <w:tc>
          <w:tcPr>
            <w:tcW w:w="1673" w:type="pct"/>
          </w:tcPr>
          <w:p w14:paraId="29209984" w14:textId="77777777" w:rsidR="00AF274B" w:rsidRDefault="00AF274B">
            <w:pPr>
              <w:pStyle w:val="GlossaryTableText"/>
              <w:rPr>
                <w:b/>
              </w:rPr>
            </w:pPr>
            <w:r>
              <w:rPr>
                <w:b/>
              </w:rPr>
              <w:t>Activity</w:t>
            </w:r>
          </w:p>
        </w:tc>
        <w:tc>
          <w:tcPr>
            <w:tcW w:w="3327" w:type="pct"/>
          </w:tcPr>
          <w:p w14:paraId="62AE35BE" w14:textId="77777777" w:rsidR="00AF274B" w:rsidRDefault="00AF274B">
            <w:pPr>
              <w:pStyle w:val="GlossaryTableText"/>
            </w:pPr>
            <w:r>
              <w:t>An identified verification and validation task.</w:t>
            </w:r>
          </w:p>
        </w:tc>
      </w:tr>
      <w:tr w:rsidR="00AF274B" w14:paraId="32AEF0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FACA6CB" w14:textId="77777777" w:rsidR="00AF274B" w:rsidRDefault="00AF274B">
            <w:pPr>
              <w:pStyle w:val="GlossaryTableText"/>
              <w:rPr>
                <w:b/>
              </w:rPr>
            </w:pPr>
            <w:r>
              <w:rPr>
                <w:b/>
              </w:rPr>
              <w:t>ADPAC</w:t>
            </w:r>
          </w:p>
        </w:tc>
        <w:tc>
          <w:tcPr>
            <w:tcW w:w="3327" w:type="pct"/>
            <w:tcBorders>
              <w:top w:val="nil"/>
              <w:left w:val="nil"/>
              <w:bottom w:val="nil"/>
              <w:right w:val="nil"/>
            </w:tcBorders>
          </w:tcPr>
          <w:p w14:paraId="5D8782BA" w14:textId="77777777" w:rsidR="00AF274B" w:rsidRDefault="00AF274B">
            <w:pPr>
              <w:pStyle w:val="GlossaryTableText"/>
            </w:pPr>
            <w:r>
              <w:t>Automated Data Processing Application Coordinator.</w:t>
            </w:r>
          </w:p>
        </w:tc>
      </w:tr>
      <w:tr w:rsidR="00AF274B" w14:paraId="02C7DC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C441A3F" w14:textId="77777777" w:rsidR="00AF274B" w:rsidRDefault="00AF274B">
            <w:pPr>
              <w:pStyle w:val="GlossaryTableText"/>
              <w:rPr>
                <w:b/>
              </w:rPr>
            </w:pPr>
            <w:r>
              <w:rPr>
                <w:b/>
              </w:rPr>
              <w:t>AHG</w:t>
            </w:r>
          </w:p>
        </w:tc>
        <w:tc>
          <w:tcPr>
            <w:tcW w:w="3327" w:type="pct"/>
            <w:tcBorders>
              <w:top w:val="nil"/>
              <w:left w:val="nil"/>
              <w:bottom w:val="nil"/>
              <w:right w:val="nil"/>
            </w:tcBorders>
          </w:tcPr>
          <w:p w14:paraId="5BAFCFE8" w14:textId="77777777" w:rsidR="00AF274B" w:rsidRDefault="00AF274B">
            <w:pPr>
              <w:pStyle w:val="GlossaryTableText"/>
            </w:pPr>
            <w:r>
              <w:t>Anti-Human Globulin.</w:t>
            </w:r>
          </w:p>
        </w:tc>
      </w:tr>
      <w:tr w:rsidR="00AF274B" w14:paraId="381FFE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857D0CB" w14:textId="77777777" w:rsidR="00AF274B" w:rsidRDefault="00AF274B">
            <w:pPr>
              <w:pStyle w:val="GlossaryTableText"/>
              <w:rPr>
                <w:b/>
              </w:rPr>
            </w:pPr>
            <w:r>
              <w:rPr>
                <w:b/>
              </w:rPr>
              <w:t>Aliquot</w:t>
            </w:r>
          </w:p>
        </w:tc>
        <w:tc>
          <w:tcPr>
            <w:tcW w:w="3327" w:type="pct"/>
            <w:tcBorders>
              <w:top w:val="nil"/>
              <w:left w:val="nil"/>
              <w:bottom w:val="nil"/>
              <w:right w:val="nil"/>
            </w:tcBorders>
          </w:tcPr>
          <w:p w14:paraId="6BF1D908" w14:textId="77777777" w:rsidR="00AF274B" w:rsidRDefault="00AF274B">
            <w:pPr>
              <w:pStyle w:val="GlossaryTableText"/>
            </w:pPr>
            <w:r>
              <w:t>A sample/portion divided off or separated as a part of a whole.</w:t>
            </w:r>
          </w:p>
        </w:tc>
      </w:tr>
      <w:tr w:rsidR="00AF274B" w14:paraId="2F2453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687CFD" w14:textId="77777777" w:rsidR="00AF274B" w:rsidRDefault="00AF274B">
            <w:pPr>
              <w:pStyle w:val="GlossaryTableText"/>
              <w:rPr>
                <w:b/>
              </w:rPr>
            </w:pPr>
            <w:r>
              <w:rPr>
                <w:b/>
              </w:rPr>
              <w:t>Allogeneic</w:t>
            </w:r>
          </w:p>
        </w:tc>
        <w:tc>
          <w:tcPr>
            <w:tcW w:w="3327" w:type="pct"/>
            <w:tcBorders>
              <w:top w:val="nil"/>
              <w:left w:val="nil"/>
              <w:bottom w:val="nil"/>
              <w:right w:val="nil"/>
            </w:tcBorders>
          </w:tcPr>
          <w:p w14:paraId="498FDD29" w14:textId="77777777" w:rsidR="00AF274B" w:rsidRDefault="00AF274B">
            <w:pPr>
              <w:pStyle w:val="GlossaryTableText"/>
            </w:pPr>
            <w:r>
              <w:t>See “Homologous.”</w:t>
            </w:r>
          </w:p>
        </w:tc>
      </w:tr>
      <w:tr w:rsidR="00AF274B" w14:paraId="05C9C1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F9B750E" w14:textId="77777777" w:rsidR="00AF274B" w:rsidRDefault="00AF274B">
            <w:pPr>
              <w:pStyle w:val="GlossaryTableText"/>
              <w:rPr>
                <w:b/>
              </w:rPr>
            </w:pPr>
            <w:r>
              <w:rPr>
                <w:b/>
                <w:snapToGrid w:val="0"/>
              </w:rPr>
              <w:t>Antibody</w:t>
            </w:r>
          </w:p>
        </w:tc>
        <w:tc>
          <w:tcPr>
            <w:tcW w:w="3327" w:type="pct"/>
            <w:tcBorders>
              <w:top w:val="nil"/>
              <w:left w:val="nil"/>
              <w:bottom w:val="nil"/>
              <w:right w:val="nil"/>
            </w:tcBorders>
          </w:tcPr>
          <w:p w14:paraId="29E65EA6" w14:textId="77777777" w:rsidR="00AF274B" w:rsidRDefault="00AF274B">
            <w:pPr>
              <w:pStyle w:val="GlossaryTableText"/>
            </w:pPr>
            <w:r>
              <w:rPr>
                <w:snapToGrid w:val="0"/>
              </w:rPr>
              <w:t xml:space="preserve">A protein in the serum of some people that will react to a specific antigen on the blood cells. </w:t>
            </w:r>
            <w:r>
              <w:rPr>
                <w:i/>
                <w:snapToGrid w:val="0"/>
              </w:rPr>
              <w:t>In the case of a red blood cell transfusion, a patient with a clinically significant (leading to a transfusion reaction and possible patient harm) identified antibody must receive only red cells that are typed and found negative for the associated antigen. Once a clinically significant antibody is identified, antigen-negative cells must always be transfused even if a current specimen no longer shows the presence of the antibody. The antibody table in VBECS addresses the antibodies associated with red cell antigens. Though many antibodies are considered clinically significant, some are more of a nuisance to testing than a problem for transfusion. Many antibodies have documentation that defines their clinical significance; that information is used to define the VBECS table system warnings and overrides.</w:t>
            </w:r>
          </w:p>
        </w:tc>
      </w:tr>
      <w:tr w:rsidR="00AF274B" w14:paraId="5FCE61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8111202" w14:textId="77777777" w:rsidR="00AF274B" w:rsidRDefault="00AF274B">
            <w:pPr>
              <w:pStyle w:val="GlossaryTableText"/>
              <w:rPr>
                <w:b/>
                <w:snapToGrid w:val="0"/>
              </w:rPr>
            </w:pPr>
            <w:r>
              <w:rPr>
                <w:b/>
              </w:rPr>
              <w:t>Antigen</w:t>
            </w:r>
          </w:p>
        </w:tc>
        <w:tc>
          <w:tcPr>
            <w:tcW w:w="3327" w:type="pct"/>
            <w:tcBorders>
              <w:top w:val="nil"/>
              <w:left w:val="nil"/>
              <w:bottom w:val="nil"/>
              <w:right w:val="nil"/>
            </w:tcBorders>
          </w:tcPr>
          <w:p w14:paraId="31ECADA5" w14:textId="77777777" w:rsidR="00AF274B" w:rsidRDefault="00AF274B">
            <w:pPr>
              <w:pStyle w:val="GlossaryTableText"/>
              <w:rPr>
                <w:snapToGrid w:val="0"/>
              </w:rPr>
            </w:pPr>
            <w:r>
              <w:t>A substance on the surface of a red cell that stimulates an immune response (formation of an antibody).</w:t>
            </w:r>
          </w:p>
        </w:tc>
      </w:tr>
      <w:tr w:rsidR="00AF274B" w14:paraId="0DB9FC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7B19FD" w14:textId="77777777" w:rsidR="00AF274B" w:rsidRDefault="00AF274B">
            <w:pPr>
              <w:pStyle w:val="GlossaryTableText"/>
              <w:rPr>
                <w:b/>
                <w:snapToGrid w:val="0"/>
              </w:rPr>
            </w:pPr>
            <w:r>
              <w:rPr>
                <w:b/>
                <w:snapToGrid w:val="0"/>
              </w:rPr>
              <w:t>Antigen negative requirement</w:t>
            </w:r>
          </w:p>
        </w:tc>
        <w:tc>
          <w:tcPr>
            <w:tcW w:w="3327" w:type="pct"/>
            <w:tcBorders>
              <w:top w:val="nil"/>
              <w:left w:val="nil"/>
              <w:bottom w:val="nil"/>
              <w:right w:val="nil"/>
            </w:tcBorders>
          </w:tcPr>
          <w:p w14:paraId="0CA0BE87" w14:textId="77777777" w:rsidR="00AF274B" w:rsidRDefault="00AF274B">
            <w:pPr>
              <w:pStyle w:val="GlossaryTableText"/>
              <w:rPr>
                <w:snapToGrid w:val="0"/>
              </w:rPr>
            </w:pPr>
            <w:r>
              <w:rPr>
                <w:snapToGrid w:val="0"/>
              </w:rPr>
              <w:t>A prerequisite that specified blood product categories must not contain stated characteristics.</w:t>
            </w:r>
          </w:p>
        </w:tc>
      </w:tr>
      <w:tr w:rsidR="00AF274B" w14:paraId="0EF410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31FB5E5" w14:textId="77777777" w:rsidR="00AF274B" w:rsidRDefault="00AF274B">
            <w:pPr>
              <w:pStyle w:val="GlossaryTableText"/>
              <w:rPr>
                <w:b/>
              </w:rPr>
            </w:pPr>
            <w:r>
              <w:rPr>
                <w:b/>
              </w:rPr>
              <w:lastRenderedPageBreak/>
              <w:t>Antigen typing</w:t>
            </w:r>
          </w:p>
        </w:tc>
        <w:tc>
          <w:tcPr>
            <w:tcW w:w="3327" w:type="pct"/>
            <w:tcBorders>
              <w:top w:val="nil"/>
              <w:left w:val="nil"/>
              <w:bottom w:val="nil"/>
              <w:right w:val="nil"/>
            </w:tcBorders>
          </w:tcPr>
          <w:p w14:paraId="6291D061" w14:textId="77777777" w:rsidR="00AF274B" w:rsidRDefault="00AF274B">
            <w:pPr>
              <w:pStyle w:val="GlossaryTableText"/>
            </w:pPr>
            <w:r>
              <w:t>Testing for the presence or absence of an antigen on a red blood cell.</w:t>
            </w:r>
          </w:p>
        </w:tc>
      </w:tr>
      <w:tr w:rsidR="00AF274B" w14:paraId="0696CA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4222580" w14:textId="77777777" w:rsidR="00AF274B" w:rsidRDefault="00AF274B">
            <w:pPr>
              <w:pStyle w:val="GlossaryTableText"/>
              <w:rPr>
                <w:b/>
                <w:snapToGrid w:val="0"/>
              </w:rPr>
            </w:pPr>
            <w:r>
              <w:rPr>
                <w:b/>
              </w:rPr>
              <w:t>Antiglobulin</w:t>
            </w:r>
          </w:p>
        </w:tc>
        <w:tc>
          <w:tcPr>
            <w:tcW w:w="3327" w:type="pct"/>
            <w:tcBorders>
              <w:top w:val="nil"/>
              <w:left w:val="nil"/>
              <w:bottom w:val="nil"/>
              <w:right w:val="nil"/>
            </w:tcBorders>
          </w:tcPr>
          <w:p w14:paraId="6D057CEF" w14:textId="77777777" w:rsidR="00AF274B" w:rsidRDefault="00AF274B">
            <w:pPr>
              <w:pStyle w:val="GlossaryTableText"/>
              <w:rPr>
                <w:snapToGrid w:val="0"/>
              </w:rPr>
            </w:pPr>
            <w:r>
              <w:t>An antibody that combines with a specific protein on a different type of antibody.</w:t>
            </w:r>
          </w:p>
        </w:tc>
      </w:tr>
      <w:tr w:rsidR="00AF274B" w14:paraId="6EB395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D2E815" w14:textId="77777777" w:rsidR="00AF274B" w:rsidRDefault="00AF274B">
            <w:pPr>
              <w:pStyle w:val="GlossaryTableText"/>
              <w:rPr>
                <w:b/>
              </w:rPr>
            </w:pPr>
            <w:r>
              <w:rPr>
                <w:b/>
                <w:snapToGrid w:val="0"/>
              </w:rPr>
              <w:t>Anti-Human Globulin</w:t>
            </w:r>
          </w:p>
        </w:tc>
        <w:tc>
          <w:tcPr>
            <w:tcW w:w="3327" w:type="pct"/>
            <w:tcBorders>
              <w:top w:val="nil"/>
              <w:left w:val="nil"/>
              <w:bottom w:val="nil"/>
              <w:right w:val="nil"/>
            </w:tcBorders>
          </w:tcPr>
          <w:p w14:paraId="731E5BC5" w14:textId="77777777" w:rsidR="00AF274B" w:rsidRDefault="00AF274B">
            <w:pPr>
              <w:pStyle w:val="GlossaryTableText"/>
            </w:pPr>
            <w:r>
              <w:rPr>
                <w:snapToGrid w:val="0"/>
              </w:rPr>
              <w:t>A commercial reagent that binds to immunoglobulin molecules attached to the surface of a red blood cell.</w:t>
            </w:r>
          </w:p>
        </w:tc>
      </w:tr>
      <w:tr w:rsidR="00AF274B" w14:paraId="285B36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705A89" w14:textId="77777777" w:rsidR="00AF274B" w:rsidRDefault="00AF274B">
            <w:pPr>
              <w:pStyle w:val="GlossaryTableText"/>
              <w:rPr>
                <w:b/>
              </w:rPr>
            </w:pPr>
            <w:r>
              <w:rPr>
                <w:b/>
              </w:rPr>
              <w:t>Antisera</w:t>
            </w:r>
          </w:p>
        </w:tc>
        <w:tc>
          <w:tcPr>
            <w:tcW w:w="3327" w:type="pct"/>
            <w:tcBorders>
              <w:top w:val="nil"/>
              <w:left w:val="nil"/>
              <w:bottom w:val="nil"/>
              <w:right w:val="nil"/>
            </w:tcBorders>
          </w:tcPr>
          <w:p w14:paraId="434E27D7" w14:textId="77777777" w:rsidR="00AF274B" w:rsidRDefault="00AF274B">
            <w:pPr>
              <w:pStyle w:val="GlossaryTableText"/>
            </w:pPr>
            <w:r>
              <w:t>Plural of “antiserum.”</w:t>
            </w:r>
          </w:p>
        </w:tc>
      </w:tr>
      <w:tr w:rsidR="00AF274B" w14:paraId="5F658A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E46ACB5" w14:textId="77777777" w:rsidR="00AF274B" w:rsidRDefault="00AF274B">
            <w:pPr>
              <w:pStyle w:val="GlossaryTableText"/>
              <w:rPr>
                <w:b/>
              </w:rPr>
            </w:pPr>
            <w:r>
              <w:rPr>
                <w:b/>
              </w:rPr>
              <w:t>Antiserum</w:t>
            </w:r>
          </w:p>
        </w:tc>
        <w:tc>
          <w:tcPr>
            <w:tcW w:w="3327" w:type="pct"/>
            <w:tcBorders>
              <w:top w:val="nil"/>
              <w:left w:val="nil"/>
              <w:bottom w:val="nil"/>
              <w:right w:val="nil"/>
            </w:tcBorders>
          </w:tcPr>
          <w:p w14:paraId="085C7E4A" w14:textId="77777777" w:rsidR="00AF274B" w:rsidRDefault="00AF274B">
            <w:pPr>
              <w:pStyle w:val="GlossaryTableText"/>
            </w:pPr>
            <w:r>
              <w:t>Blood serum (human, animal, monoclonal) containing antibodies that are specific for one or more antigens.</w:t>
            </w:r>
          </w:p>
        </w:tc>
      </w:tr>
      <w:tr w:rsidR="00AF274B" w14:paraId="67020E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8E1489" w14:textId="77777777" w:rsidR="00AF274B" w:rsidRDefault="00AF274B">
            <w:pPr>
              <w:pStyle w:val="GlossaryTableText"/>
              <w:rPr>
                <w:b/>
              </w:rPr>
            </w:pPr>
            <w:r>
              <w:rPr>
                <w:b/>
              </w:rPr>
              <w:t>Assigned</w:t>
            </w:r>
          </w:p>
        </w:tc>
        <w:tc>
          <w:tcPr>
            <w:tcW w:w="3327" w:type="pct"/>
            <w:tcBorders>
              <w:top w:val="nil"/>
              <w:left w:val="nil"/>
              <w:bottom w:val="nil"/>
              <w:right w:val="nil"/>
            </w:tcBorders>
          </w:tcPr>
          <w:p w14:paraId="46B69F17" w14:textId="77777777" w:rsidR="00AF274B" w:rsidRDefault="00AF274B">
            <w:pPr>
              <w:pStyle w:val="GlossaryTableText"/>
            </w:pPr>
            <w:r>
              <w:t>Describes a unit of blood in a state that can be issued for transfusion and assign</w:t>
            </w:r>
            <w:r w:rsidR="00534B75">
              <w:t>ed to a patient.</w:t>
            </w:r>
          </w:p>
        </w:tc>
      </w:tr>
      <w:tr w:rsidR="00AF274B" w14:paraId="38EA15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4F6C3DF" w14:textId="77777777" w:rsidR="00AF274B" w:rsidRDefault="00AF274B">
            <w:pPr>
              <w:pStyle w:val="GlossaryTableText"/>
              <w:rPr>
                <w:b/>
              </w:rPr>
            </w:pPr>
            <w:r>
              <w:rPr>
                <w:b/>
              </w:rPr>
              <w:t>Attribute</w:t>
            </w:r>
          </w:p>
        </w:tc>
        <w:tc>
          <w:tcPr>
            <w:tcW w:w="3327" w:type="pct"/>
            <w:tcBorders>
              <w:top w:val="nil"/>
              <w:left w:val="nil"/>
              <w:bottom w:val="nil"/>
              <w:right w:val="nil"/>
            </w:tcBorders>
          </w:tcPr>
          <w:p w14:paraId="19C51602" w14:textId="77777777" w:rsidR="00AF274B" w:rsidRDefault="00AF274B">
            <w:pPr>
              <w:pStyle w:val="GlossaryTableText"/>
            </w:pPr>
            <w:r>
              <w:t xml:space="preserve">ISBT 128 term that describes a property of a collected blood product. </w:t>
            </w:r>
            <w:r>
              <w:rPr>
                <w:i/>
              </w:rPr>
              <w:t>Examples include “Irradiated” and “Residual Leukocyte Content” (Leukopoor).</w:t>
            </w:r>
          </w:p>
        </w:tc>
      </w:tr>
      <w:tr w:rsidR="00AF274B" w14:paraId="4BB322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7591992" w14:textId="77777777" w:rsidR="00AF274B" w:rsidRDefault="00AF274B">
            <w:pPr>
              <w:pStyle w:val="GlossaryTableText"/>
              <w:rPr>
                <w:b/>
              </w:rPr>
            </w:pPr>
            <w:r>
              <w:rPr>
                <w:b/>
              </w:rPr>
              <w:t>Audit Trail Report</w:t>
            </w:r>
          </w:p>
        </w:tc>
        <w:tc>
          <w:tcPr>
            <w:tcW w:w="3327" w:type="pct"/>
            <w:tcBorders>
              <w:top w:val="nil"/>
              <w:left w:val="nil"/>
              <w:bottom w:val="nil"/>
              <w:right w:val="nil"/>
            </w:tcBorders>
          </w:tcPr>
          <w:p w14:paraId="0036A70C" w14:textId="77777777" w:rsidR="00AF274B" w:rsidRDefault="00AF274B">
            <w:pPr>
              <w:pStyle w:val="GlossaryTableText"/>
            </w:pPr>
            <w:r>
              <w:t xml:space="preserve">The report of changes made to previously verified data. </w:t>
            </w:r>
            <w:r>
              <w:rPr>
                <w:i/>
              </w:rPr>
              <w:t>Regulations require that a mechanism be in place to prevent “electronic white-out.” An audit report contains details of the change, before and after data, date, and who made the change.</w:t>
            </w:r>
          </w:p>
        </w:tc>
      </w:tr>
      <w:tr w:rsidR="00AF274B" w14:paraId="4514F3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4E7320" w14:textId="77777777" w:rsidR="00AF274B" w:rsidRDefault="00AF274B">
            <w:pPr>
              <w:pStyle w:val="GlossaryTableText"/>
              <w:rPr>
                <w:b/>
                <w:snapToGrid w:val="0"/>
              </w:rPr>
            </w:pPr>
            <w:r>
              <w:rPr>
                <w:b/>
                <w:snapToGrid w:val="0"/>
              </w:rPr>
              <w:t>Autocontrol</w:t>
            </w:r>
          </w:p>
        </w:tc>
        <w:tc>
          <w:tcPr>
            <w:tcW w:w="3327" w:type="pct"/>
            <w:tcBorders>
              <w:top w:val="nil"/>
              <w:left w:val="nil"/>
              <w:bottom w:val="nil"/>
              <w:right w:val="nil"/>
            </w:tcBorders>
          </w:tcPr>
          <w:p w14:paraId="06A362E1" w14:textId="77777777" w:rsidR="00AF274B" w:rsidRDefault="00AF274B">
            <w:pPr>
              <w:pStyle w:val="GlossaryTableText"/>
              <w:rPr>
                <w:snapToGrid w:val="0"/>
              </w:rPr>
            </w:pPr>
            <w:r>
              <w:rPr>
                <w:snapToGrid w:val="0"/>
              </w:rPr>
              <w:t>A test using a patient’s serum (plasma) and cells under the same conditions as the accompanying test.</w:t>
            </w:r>
          </w:p>
        </w:tc>
      </w:tr>
      <w:tr w:rsidR="00AF274B" w14:paraId="6E580D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FCC9F4D" w14:textId="77777777" w:rsidR="00AF274B" w:rsidRDefault="00AF274B">
            <w:pPr>
              <w:pStyle w:val="GlossaryTableText"/>
              <w:rPr>
                <w:b/>
                <w:snapToGrid w:val="0"/>
              </w:rPr>
            </w:pPr>
            <w:r>
              <w:rPr>
                <w:b/>
              </w:rPr>
              <w:t>Autodiscriminate</w:t>
            </w:r>
          </w:p>
        </w:tc>
        <w:tc>
          <w:tcPr>
            <w:tcW w:w="3327" w:type="pct"/>
            <w:tcBorders>
              <w:top w:val="nil"/>
              <w:left w:val="nil"/>
              <w:bottom w:val="nil"/>
              <w:right w:val="nil"/>
            </w:tcBorders>
          </w:tcPr>
          <w:p w14:paraId="780837F8" w14:textId="77777777" w:rsidR="00AF274B" w:rsidRDefault="00AF274B">
            <w:pPr>
              <w:pStyle w:val="GlossaryTableText"/>
              <w:rPr>
                <w:snapToGrid w:val="0"/>
              </w:rPr>
            </w:pPr>
            <w:r>
              <w:t>Describes the ability of a barcode scanner to identify and interpret more than one barcode symbology without having to adjust any software or hardware parameters.</w:t>
            </w:r>
          </w:p>
        </w:tc>
      </w:tr>
      <w:tr w:rsidR="00AF274B" w14:paraId="04C39F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30F4F39" w14:textId="77777777" w:rsidR="00AF274B" w:rsidRDefault="00AF274B">
            <w:pPr>
              <w:pStyle w:val="GlossaryTableText"/>
              <w:rPr>
                <w:b/>
                <w:snapToGrid w:val="0"/>
              </w:rPr>
            </w:pPr>
            <w:r>
              <w:rPr>
                <w:b/>
              </w:rPr>
              <w:t>Autologous</w:t>
            </w:r>
          </w:p>
        </w:tc>
        <w:tc>
          <w:tcPr>
            <w:tcW w:w="3327" w:type="pct"/>
            <w:tcBorders>
              <w:top w:val="nil"/>
              <w:left w:val="nil"/>
              <w:bottom w:val="nil"/>
              <w:right w:val="nil"/>
            </w:tcBorders>
          </w:tcPr>
          <w:p w14:paraId="3D5F1C0B" w14:textId="77777777" w:rsidR="00AF274B" w:rsidRDefault="00AF274B">
            <w:pPr>
              <w:pStyle w:val="GlossaryTableText"/>
              <w:rPr>
                <w:snapToGrid w:val="0"/>
              </w:rPr>
            </w:pPr>
            <w:r>
              <w:t xml:space="preserve">Describes blood donated in advance for use by the donor in the future, often for elective surgery. </w:t>
            </w:r>
            <w:r>
              <w:rPr>
                <w:i/>
              </w:rPr>
              <w:t>Regulations allow for processing patients with diseases that otherwise would preclude them from donating blood to donate for themselves autologously. It is imperative that software guarantee that such blood is never available for use by anyone other than the intended recipient.</w:t>
            </w:r>
          </w:p>
        </w:tc>
      </w:tr>
      <w:tr w:rsidR="00AF274B" w14:paraId="62A256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FD5373C" w14:textId="77777777" w:rsidR="00AF274B" w:rsidRDefault="00AF274B">
            <w:pPr>
              <w:pStyle w:val="GlossaryTableText"/>
              <w:rPr>
                <w:b/>
              </w:rPr>
            </w:pPr>
            <w:r>
              <w:rPr>
                <w:b/>
              </w:rPr>
              <w:t>Barcode scanner</w:t>
            </w:r>
          </w:p>
        </w:tc>
        <w:tc>
          <w:tcPr>
            <w:tcW w:w="3327" w:type="pct"/>
            <w:tcBorders>
              <w:top w:val="nil"/>
              <w:left w:val="nil"/>
              <w:bottom w:val="nil"/>
              <w:right w:val="nil"/>
            </w:tcBorders>
          </w:tcPr>
          <w:p w14:paraId="11B4DD81" w14:textId="77777777" w:rsidR="00AF274B" w:rsidRDefault="00AF274B">
            <w:pPr>
              <w:pStyle w:val="GlossaryTableText"/>
            </w:pPr>
            <w:r>
              <w:t>An electronic device that uses a finely focused beam of light to sense and transmit the data in a barcode image.</w:t>
            </w:r>
          </w:p>
        </w:tc>
      </w:tr>
      <w:tr w:rsidR="00083B7D" w14:paraId="04ADD7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8CF4001" w14:textId="77777777" w:rsidR="00083B7D" w:rsidRDefault="00083B7D">
            <w:pPr>
              <w:pStyle w:val="GlossaryTableText"/>
              <w:rPr>
                <w:b/>
              </w:rPr>
            </w:pPr>
            <w:r>
              <w:rPr>
                <w:b/>
              </w:rPr>
              <w:t>BCE-PPI</w:t>
            </w:r>
          </w:p>
        </w:tc>
        <w:tc>
          <w:tcPr>
            <w:tcW w:w="3327" w:type="pct"/>
            <w:tcBorders>
              <w:top w:val="nil"/>
              <w:left w:val="nil"/>
              <w:bottom w:val="nil"/>
              <w:right w:val="nil"/>
            </w:tcBorders>
          </w:tcPr>
          <w:p w14:paraId="11D71E30" w14:textId="77777777" w:rsidR="00083B7D" w:rsidRDefault="00083B7D">
            <w:pPr>
              <w:pStyle w:val="GlossaryTableText"/>
            </w:pPr>
            <w:r>
              <w:t>Bar Code Enhancement – Positive Patient Identification.</w:t>
            </w:r>
          </w:p>
        </w:tc>
      </w:tr>
      <w:tr w:rsidR="00AF274B" w14:paraId="0B26B3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C288F58" w14:textId="77777777" w:rsidR="00AF274B" w:rsidRDefault="00AF274B">
            <w:pPr>
              <w:pStyle w:val="GlossaryTableText"/>
              <w:rPr>
                <w:b/>
              </w:rPr>
            </w:pPr>
            <w:r>
              <w:rPr>
                <w:b/>
              </w:rPr>
              <w:t>Billable</w:t>
            </w:r>
          </w:p>
        </w:tc>
        <w:tc>
          <w:tcPr>
            <w:tcW w:w="3327" w:type="pct"/>
            <w:tcBorders>
              <w:top w:val="nil"/>
              <w:left w:val="nil"/>
              <w:bottom w:val="nil"/>
              <w:right w:val="nil"/>
            </w:tcBorders>
          </w:tcPr>
          <w:p w14:paraId="5B0FE08F" w14:textId="77777777" w:rsidR="00AF274B" w:rsidRDefault="00AF274B">
            <w:pPr>
              <w:pStyle w:val="GlossaryTableText"/>
            </w:pPr>
            <w:r>
              <w:t>A characteristic of an LMIP workload code that determines if statistics gathered as a result of that workload code should be included in the monthly report to the Austin Automation Center.</w:t>
            </w:r>
          </w:p>
        </w:tc>
      </w:tr>
      <w:tr w:rsidR="00AF274B" w14:paraId="0D9BD2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6C5ED9E" w14:textId="77777777" w:rsidR="00AF274B" w:rsidRDefault="00AF274B">
            <w:pPr>
              <w:pStyle w:val="GlossaryTableText"/>
              <w:rPr>
                <w:b/>
              </w:rPr>
            </w:pPr>
            <w:r>
              <w:rPr>
                <w:b/>
              </w:rPr>
              <w:t>Blood product</w:t>
            </w:r>
          </w:p>
        </w:tc>
        <w:tc>
          <w:tcPr>
            <w:tcW w:w="3327" w:type="pct"/>
            <w:tcBorders>
              <w:top w:val="nil"/>
              <w:left w:val="nil"/>
              <w:bottom w:val="nil"/>
              <w:right w:val="nil"/>
            </w:tcBorders>
          </w:tcPr>
          <w:p w14:paraId="5239C733" w14:textId="77777777" w:rsidR="00AF274B" w:rsidRDefault="00534B75">
            <w:pPr>
              <w:pStyle w:val="GlossaryTableText"/>
            </w:pPr>
            <w:r>
              <w:t>A specific example of a blood component class (e.g.,</w:t>
            </w:r>
            <w:r>
              <w:rPr>
                <w:i/>
              </w:rPr>
              <w:t xml:space="preserve"> AS-1 Red Blood Cells in the component class Red Blood Cells. (</w:t>
            </w:r>
            <w:r>
              <w:t>BloodProduct</w:t>
            </w:r>
            <w:r>
              <w:rPr>
                <w:i/>
              </w:rPr>
              <w:t xml:space="preserve"> in VBECS model).</w:t>
            </w:r>
          </w:p>
        </w:tc>
      </w:tr>
      <w:tr w:rsidR="00AF274B" w14:paraId="45AE23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DEA7CEA" w14:textId="77777777" w:rsidR="00AF274B" w:rsidRDefault="00AF274B">
            <w:pPr>
              <w:pStyle w:val="GlossaryTableText"/>
              <w:rPr>
                <w:b/>
              </w:rPr>
            </w:pPr>
            <w:r>
              <w:rPr>
                <w:b/>
              </w:rPr>
              <w:t>Blood Transfusion Record Form (BTRF)</w:t>
            </w:r>
          </w:p>
        </w:tc>
        <w:tc>
          <w:tcPr>
            <w:tcW w:w="3327" w:type="pct"/>
            <w:tcBorders>
              <w:top w:val="nil"/>
              <w:left w:val="nil"/>
              <w:bottom w:val="nil"/>
              <w:right w:val="nil"/>
            </w:tcBorders>
          </w:tcPr>
          <w:p w14:paraId="17C6EE3C" w14:textId="77777777" w:rsidR="00AF274B" w:rsidRDefault="00AF274B">
            <w:pPr>
              <w:pStyle w:val="GlossaryTableText"/>
              <w:rPr>
                <w:b/>
                <w:i/>
              </w:rPr>
            </w:pPr>
            <w:r>
              <w:t xml:space="preserve">A form printed in the blood bank used to record the actual events of a transfusion. </w:t>
            </w:r>
            <w:r>
              <w:rPr>
                <w:i/>
              </w:rPr>
              <w:t>Examples: start/stop time, transfusionists, vitals, reaction information. Formerly “SF 518 equivalent”</w:t>
            </w:r>
            <w:r>
              <w:t xml:space="preserve"> (</w:t>
            </w:r>
            <w:r w:rsidRPr="00CA6E27">
              <w:rPr>
                <w:bCs/>
                <w:i/>
              </w:rPr>
              <w:t>VistA</w:t>
            </w:r>
            <w:r>
              <w:rPr>
                <w:i/>
              </w:rPr>
              <w:t xml:space="preserve"> nomenclature).</w:t>
            </w:r>
          </w:p>
        </w:tc>
      </w:tr>
      <w:tr w:rsidR="00AF274B" w14:paraId="3C7465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49000D4" w14:textId="77777777" w:rsidR="00AF274B" w:rsidRDefault="00AF274B">
            <w:pPr>
              <w:pStyle w:val="GlossaryTableText"/>
              <w:rPr>
                <w:b/>
              </w:rPr>
            </w:pPr>
            <w:r>
              <w:rPr>
                <w:b/>
              </w:rPr>
              <w:t>Blood type (blood group)</w:t>
            </w:r>
          </w:p>
        </w:tc>
        <w:tc>
          <w:tcPr>
            <w:tcW w:w="3327" w:type="pct"/>
            <w:tcBorders>
              <w:top w:val="nil"/>
              <w:left w:val="nil"/>
              <w:bottom w:val="nil"/>
              <w:right w:val="nil"/>
            </w:tcBorders>
          </w:tcPr>
          <w:p w14:paraId="637C8E85" w14:textId="77777777" w:rsidR="00AF274B" w:rsidRDefault="00AF274B">
            <w:pPr>
              <w:pStyle w:val="GlossaryTableText"/>
            </w:pPr>
            <w:r>
              <w:t>The ABO and Rh type of blood determined by testing.</w:t>
            </w:r>
          </w:p>
        </w:tc>
      </w:tr>
      <w:tr w:rsidR="00AF274B" w14:paraId="28E4B6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863C9A8" w14:textId="77777777" w:rsidR="00AF274B" w:rsidRDefault="00AF274B">
            <w:pPr>
              <w:pStyle w:val="GlossaryTableText"/>
              <w:rPr>
                <w:b/>
                <w:bCs/>
              </w:rPr>
            </w:pPr>
            <w:r>
              <w:rPr>
                <w:b/>
                <w:bCs/>
              </w:rPr>
              <w:lastRenderedPageBreak/>
              <w:t>Canned comment</w:t>
            </w:r>
          </w:p>
        </w:tc>
        <w:tc>
          <w:tcPr>
            <w:tcW w:w="3327" w:type="pct"/>
            <w:tcBorders>
              <w:top w:val="nil"/>
              <w:left w:val="nil"/>
              <w:bottom w:val="nil"/>
              <w:right w:val="nil"/>
            </w:tcBorders>
          </w:tcPr>
          <w:p w14:paraId="073C21AE" w14:textId="77777777" w:rsidR="00AF274B" w:rsidRDefault="00AF274B">
            <w:pPr>
              <w:pStyle w:val="GlossaryTableText"/>
            </w:pPr>
            <w:r>
              <w:t xml:space="preserve">Defined comments, entered in abbreviated form and displayed as expanded text, used to enter supporting information at a variety of data entry points. </w:t>
            </w:r>
          </w:p>
        </w:tc>
      </w:tr>
      <w:tr w:rsidR="00AF274B" w14:paraId="0D5589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928E025" w14:textId="77777777" w:rsidR="00AF274B" w:rsidRDefault="00AF274B">
            <w:pPr>
              <w:pStyle w:val="GlossaryTableText"/>
              <w:rPr>
                <w:b/>
                <w:bCs/>
              </w:rPr>
            </w:pPr>
            <w:r>
              <w:rPr>
                <w:b/>
                <w:bCs/>
                <w:snapToGrid w:val="0"/>
              </w:rPr>
              <w:t>Category type</w:t>
            </w:r>
          </w:p>
        </w:tc>
        <w:tc>
          <w:tcPr>
            <w:tcW w:w="3327" w:type="pct"/>
            <w:tcBorders>
              <w:top w:val="nil"/>
              <w:left w:val="nil"/>
              <w:bottom w:val="nil"/>
              <w:right w:val="nil"/>
            </w:tcBorders>
          </w:tcPr>
          <w:p w14:paraId="602BD9F6" w14:textId="77777777" w:rsidR="00AF274B" w:rsidRDefault="00AF274B">
            <w:pPr>
              <w:pStyle w:val="GlossaryTableText"/>
            </w:pPr>
            <w:r>
              <w:rPr>
                <w:snapToGrid w:val="0"/>
              </w:rPr>
              <w:t>When used in relation to the file of canned comments, the category of the comment that determines in which functionality the comment may be selected and associated with other data.</w:t>
            </w:r>
          </w:p>
        </w:tc>
      </w:tr>
      <w:tr w:rsidR="00AF274B" w14:paraId="72D888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57AC43B" w14:textId="77777777" w:rsidR="00AF274B" w:rsidRDefault="00AF274B">
            <w:pPr>
              <w:pStyle w:val="GlossaryTableText"/>
              <w:rPr>
                <w:b/>
                <w:bCs/>
              </w:rPr>
            </w:pPr>
            <w:r>
              <w:rPr>
                <w:b/>
                <w:bCs/>
              </w:rPr>
              <w:t>Caution Tag</w:t>
            </w:r>
          </w:p>
        </w:tc>
        <w:tc>
          <w:tcPr>
            <w:tcW w:w="3327" w:type="pct"/>
            <w:tcBorders>
              <w:top w:val="nil"/>
              <w:left w:val="nil"/>
              <w:bottom w:val="nil"/>
              <w:right w:val="nil"/>
            </w:tcBorders>
          </w:tcPr>
          <w:p w14:paraId="71C6CDF8" w14:textId="77777777" w:rsidR="00AF274B" w:rsidRDefault="00AF274B">
            <w:pPr>
              <w:pStyle w:val="GlossaryTableText"/>
            </w:pPr>
            <w:r>
              <w:t>A blood bank-generated form attached to a unit of blood when the unit is assigned or crossmatched.</w:t>
            </w:r>
          </w:p>
        </w:tc>
      </w:tr>
      <w:tr w:rsidR="00AF274B" w14:paraId="46984C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7F29AE9" w14:textId="77777777" w:rsidR="00AF274B" w:rsidRDefault="00AF274B">
            <w:pPr>
              <w:pStyle w:val="GlossaryTableText"/>
              <w:rPr>
                <w:b/>
                <w:bCs/>
              </w:rPr>
            </w:pPr>
            <w:r>
              <w:rPr>
                <w:b/>
                <w:bCs/>
              </w:rPr>
              <w:t>CC</w:t>
            </w:r>
          </w:p>
        </w:tc>
        <w:tc>
          <w:tcPr>
            <w:tcW w:w="3327" w:type="pct"/>
            <w:tcBorders>
              <w:top w:val="nil"/>
              <w:left w:val="nil"/>
              <w:bottom w:val="nil"/>
              <w:right w:val="nil"/>
            </w:tcBorders>
          </w:tcPr>
          <w:p w14:paraId="312DD6DB" w14:textId="77777777" w:rsidR="00AF274B" w:rsidRDefault="00AF274B">
            <w:pPr>
              <w:pStyle w:val="GlossaryTableText"/>
            </w:pPr>
            <w:r>
              <w:t>Check Cell.</w:t>
            </w:r>
          </w:p>
        </w:tc>
      </w:tr>
      <w:tr w:rsidR="00AF274B" w14:paraId="0B49ED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BCBF0DE" w14:textId="77777777" w:rsidR="00AF274B" w:rsidRDefault="00AF274B">
            <w:pPr>
              <w:pStyle w:val="GlossaryTableText"/>
              <w:rPr>
                <w:b/>
                <w:bCs/>
              </w:rPr>
            </w:pPr>
            <w:r>
              <w:rPr>
                <w:b/>
                <w:bCs/>
              </w:rPr>
              <w:t>Check Cell (CC)</w:t>
            </w:r>
          </w:p>
        </w:tc>
        <w:tc>
          <w:tcPr>
            <w:tcW w:w="3327" w:type="pct"/>
            <w:tcBorders>
              <w:top w:val="nil"/>
              <w:left w:val="nil"/>
              <w:bottom w:val="nil"/>
              <w:right w:val="nil"/>
            </w:tcBorders>
          </w:tcPr>
          <w:p w14:paraId="39E46D82" w14:textId="77777777" w:rsidR="00AF274B" w:rsidRDefault="00AF274B">
            <w:pPr>
              <w:pStyle w:val="GlossaryTableText"/>
            </w:pPr>
            <w:r>
              <w:t xml:space="preserve">A type of reagent red cell used in the blood bank to verify the reactivity of antiglobulin antisera when the results of an antiglobulin test are negative. </w:t>
            </w:r>
            <w:r>
              <w:rPr>
                <w:i/>
              </w:rPr>
              <w:t>Also referred to as “Coombs Control cells.”</w:t>
            </w:r>
          </w:p>
        </w:tc>
      </w:tr>
      <w:tr w:rsidR="00BE425A" w14:paraId="3D88F8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2AB4C1" w14:textId="77777777" w:rsidR="00BE425A" w:rsidRDefault="00BE425A">
            <w:pPr>
              <w:pStyle w:val="GlossaryTableText"/>
              <w:rPr>
                <w:b/>
                <w:bCs/>
              </w:rPr>
            </w:pPr>
            <w:r>
              <w:rPr>
                <w:b/>
                <w:bCs/>
              </w:rPr>
              <w:t>Check character</w:t>
            </w:r>
          </w:p>
        </w:tc>
        <w:tc>
          <w:tcPr>
            <w:tcW w:w="3327" w:type="pct"/>
            <w:tcBorders>
              <w:top w:val="nil"/>
              <w:left w:val="nil"/>
              <w:bottom w:val="nil"/>
              <w:right w:val="nil"/>
            </w:tcBorders>
          </w:tcPr>
          <w:p w14:paraId="37651FFD" w14:textId="77777777" w:rsidR="00BE425A" w:rsidRDefault="00BE425A">
            <w:pPr>
              <w:pStyle w:val="GlossaryTableText"/>
            </w:pPr>
            <w:r>
              <w:rPr>
                <w:rFonts w:cs="Arial"/>
              </w:rPr>
              <w:t>A character used to check the integrity of a barcode</w:t>
            </w:r>
            <w:r w:rsidR="005C2D6C">
              <w:rPr>
                <w:rFonts w:cs="Arial"/>
              </w:rPr>
              <w:t xml:space="preserve"> symbol.</w:t>
            </w:r>
          </w:p>
        </w:tc>
      </w:tr>
      <w:tr w:rsidR="00AF274B" w14:paraId="34BCD6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AB29DFE" w14:textId="77777777" w:rsidR="00AF274B" w:rsidRDefault="00AF274B">
            <w:pPr>
              <w:pStyle w:val="GlossaryTableText"/>
              <w:rPr>
                <w:b/>
                <w:bCs/>
              </w:rPr>
            </w:pPr>
            <w:r>
              <w:rPr>
                <w:b/>
                <w:bCs/>
              </w:rPr>
              <w:t>Clinically significant antibodies</w:t>
            </w:r>
          </w:p>
        </w:tc>
        <w:tc>
          <w:tcPr>
            <w:tcW w:w="3327" w:type="pct"/>
            <w:tcBorders>
              <w:top w:val="nil"/>
              <w:left w:val="nil"/>
              <w:bottom w:val="nil"/>
              <w:right w:val="nil"/>
            </w:tcBorders>
          </w:tcPr>
          <w:p w14:paraId="41640266" w14:textId="77777777" w:rsidR="00AF274B" w:rsidRDefault="00AF274B">
            <w:pPr>
              <w:pStyle w:val="GlossaryTableText"/>
              <w:rPr>
                <w:i/>
              </w:rPr>
            </w:pPr>
            <w:r>
              <w:t xml:space="preserve">If there is a chance of an adverse reaction to a transfusion, the antibodies associated with the antigens in that unit are considered clinically significant. </w:t>
            </w:r>
            <w:r>
              <w:rPr>
                <w:i/>
              </w:rPr>
              <w:t>Only clinically significant antibodies require that the patient receive red cells that have been phenotyped as negative for the associated antigen.</w:t>
            </w:r>
          </w:p>
        </w:tc>
      </w:tr>
      <w:tr w:rsidR="00AF274B" w14:paraId="2C0A13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B8A3957" w14:textId="77777777" w:rsidR="00AF274B" w:rsidRDefault="00AF274B">
            <w:pPr>
              <w:pStyle w:val="GlossaryTableText"/>
              <w:rPr>
                <w:b/>
                <w:bCs/>
              </w:rPr>
            </w:pPr>
            <w:r>
              <w:rPr>
                <w:b/>
                <w:bCs/>
              </w:rPr>
              <w:t>CMS</w:t>
            </w:r>
          </w:p>
        </w:tc>
        <w:tc>
          <w:tcPr>
            <w:tcW w:w="3327" w:type="pct"/>
            <w:tcBorders>
              <w:top w:val="nil"/>
              <w:left w:val="nil"/>
              <w:bottom w:val="nil"/>
              <w:right w:val="nil"/>
            </w:tcBorders>
          </w:tcPr>
          <w:p w14:paraId="10C68C89" w14:textId="77777777" w:rsidR="00AF274B" w:rsidRDefault="00AF274B">
            <w:pPr>
              <w:pStyle w:val="GlossaryTableText"/>
            </w:pPr>
            <w:r>
              <w:t xml:space="preserve">Centers for Medicare and Medicaid Services. </w:t>
            </w:r>
            <w:r w:rsidR="00F13656">
              <w:t xml:space="preserve">The federal agency responsible for administering the Medicare and Medicaid programs as well as certain other healthcare entitlement programs. </w:t>
            </w:r>
            <w:r w:rsidR="00A42B8B">
              <w:t>“</w:t>
            </w:r>
            <w:r w:rsidR="00F13656">
              <w:t>CMS</w:t>
            </w:r>
            <w:r w:rsidR="00A42B8B">
              <w:t>”</w:t>
            </w:r>
            <w:r>
              <w:t xml:space="preserve"> is the new name for HCFA (Health Care Financing Administration) under the Bush administration.</w:t>
            </w:r>
          </w:p>
        </w:tc>
      </w:tr>
      <w:tr w:rsidR="00AF274B" w14:paraId="1326DE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9A0A3C5" w14:textId="77777777" w:rsidR="00AF274B" w:rsidRDefault="00AF274B">
            <w:pPr>
              <w:pStyle w:val="GlossaryTableText"/>
              <w:rPr>
                <w:b/>
                <w:bCs/>
              </w:rPr>
            </w:pPr>
            <w:r>
              <w:rPr>
                <w:b/>
                <w:bCs/>
              </w:rPr>
              <w:t>CMV</w:t>
            </w:r>
          </w:p>
        </w:tc>
        <w:tc>
          <w:tcPr>
            <w:tcW w:w="3327" w:type="pct"/>
            <w:tcBorders>
              <w:top w:val="nil"/>
              <w:left w:val="nil"/>
              <w:bottom w:val="nil"/>
              <w:right w:val="nil"/>
            </w:tcBorders>
          </w:tcPr>
          <w:p w14:paraId="42B77596" w14:textId="77777777" w:rsidR="00AF274B" w:rsidRDefault="00AF274B">
            <w:pPr>
              <w:pStyle w:val="GlossaryTableText"/>
            </w:pPr>
            <w:r>
              <w:t>Cytomegalovirus. Some patients should receive only blood units that have been tested and found negative for CMV.</w:t>
            </w:r>
          </w:p>
        </w:tc>
      </w:tr>
      <w:tr w:rsidR="00083B7D" w14:paraId="5F8975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23406B" w14:textId="77777777" w:rsidR="00083B7D" w:rsidRDefault="00083B7D">
            <w:pPr>
              <w:pStyle w:val="GlossaryTableText"/>
              <w:rPr>
                <w:b/>
                <w:bCs/>
              </w:rPr>
            </w:pPr>
            <w:r>
              <w:rPr>
                <w:b/>
                <w:bCs/>
              </w:rPr>
              <w:t>COTS</w:t>
            </w:r>
          </w:p>
        </w:tc>
        <w:tc>
          <w:tcPr>
            <w:tcW w:w="3327" w:type="pct"/>
            <w:tcBorders>
              <w:top w:val="nil"/>
              <w:left w:val="nil"/>
              <w:bottom w:val="nil"/>
              <w:right w:val="nil"/>
            </w:tcBorders>
          </w:tcPr>
          <w:p w14:paraId="446B32D2" w14:textId="77777777" w:rsidR="00083B7D" w:rsidRDefault="00083B7D">
            <w:pPr>
              <w:pStyle w:val="GlossaryTableText"/>
            </w:pPr>
            <w:r>
              <w:t>Commercial-Off-The-Shelf.</w:t>
            </w:r>
          </w:p>
        </w:tc>
      </w:tr>
      <w:tr w:rsidR="00AF274B" w14:paraId="119A6A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D9EF061" w14:textId="77777777" w:rsidR="00AF274B" w:rsidRDefault="00AF274B">
            <w:pPr>
              <w:pStyle w:val="GlossaryTableText"/>
              <w:rPr>
                <w:b/>
                <w:bCs/>
              </w:rPr>
            </w:pPr>
            <w:r>
              <w:rPr>
                <w:b/>
                <w:bCs/>
              </w:rPr>
              <w:t>Compatibility testing</w:t>
            </w:r>
          </w:p>
        </w:tc>
        <w:tc>
          <w:tcPr>
            <w:tcW w:w="3327" w:type="pct"/>
            <w:tcBorders>
              <w:top w:val="nil"/>
              <w:left w:val="nil"/>
              <w:bottom w:val="nil"/>
              <w:right w:val="nil"/>
            </w:tcBorders>
          </w:tcPr>
          <w:p w14:paraId="5578AD3A" w14:textId="77777777" w:rsidR="00AF274B" w:rsidRDefault="00AF274B">
            <w:pPr>
              <w:pStyle w:val="GlossaryTableText"/>
            </w:pPr>
            <w:r>
              <w:t xml:space="preserve">Tests performed in the blood bank to determine the suitability of a unit of blood for a patient. </w:t>
            </w:r>
            <w:r>
              <w:rPr>
                <w:i/>
              </w:rPr>
              <w:t>Depending on the component class, compatibility testing can be as limited as comparing donor and patient ABO/Rh or as complex as requiring crossmatch.</w:t>
            </w:r>
          </w:p>
        </w:tc>
      </w:tr>
      <w:tr w:rsidR="00AF274B" w14:paraId="40B709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C00276B" w14:textId="77777777" w:rsidR="00AF274B" w:rsidRDefault="00AF274B">
            <w:pPr>
              <w:pStyle w:val="GlossaryTableText"/>
              <w:rPr>
                <w:b/>
                <w:bCs/>
              </w:rPr>
            </w:pPr>
            <w:r>
              <w:rPr>
                <w:b/>
                <w:bCs/>
              </w:rPr>
              <w:t>Completed TRW</w:t>
            </w:r>
          </w:p>
        </w:tc>
        <w:tc>
          <w:tcPr>
            <w:tcW w:w="3327" w:type="pct"/>
            <w:tcBorders>
              <w:top w:val="nil"/>
              <w:left w:val="nil"/>
              <w:bottom w:val="nil"/>
              <w:right w:val="nil"/>
            </w:tcBorders>
          </w:tcPr>
          <w:p w14:paraId="5CF511C1" w14:textId="77777777" w:rsidR="00AF274B" w:rsidRDefault="00AF274B">
            <w:pPr>
              <w:pStyle w:val="GlossaryTableText"/>
            </w:pPr>
            <w:r w:rsidRPr="007F427E">
              <w:t xml:space="preserve">A completed TRW indicates that serologic testing was completed. </w:t>
            </w:r>
          </w:p>
        </w:tc>
      </w:tr>
      <w:tr w:rsidR="00AF274B" w14:paraId="27E278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902E4BD" w14:textId="77777777" w:rsidR="00AF274B" w:rsidRDefault="00AF274B">
            <w:pPr>
              <w:pStyle w:val="GlossaryTableText"/>
              <w:rPr>
                <w:b/>
                <w:bCs/>
              </w:rPr>
            </w:pPr>
            <w:r>
              <w:rPr>
                <w:b/>
                <w:bCs/>
              </w:rPr>
              <w:t>Component</w:t>
            </w:r>
          </w:p>
        </w:tc>
        <w:tc>
          <w:tcPr>
            <w:tcW w:w="3327" w:type="pct"/>
            <w:tcBorders>
              <w:top w:val="nil"/>
              <w:left w:val="nil"/>
              <w:bottom w:val="nil"/>
              <w:right w:val="nil"/>
            </w:tcBorders>
          </w:tcPr>
          <w:p w14:paraId="0F0E0500" w14:textId="77777777" w:rsidR="00AF274B" w:rsidRDefault="00AF274B">
            <w:pPr>
              <w:pStyle w:val="GlossaryTableText"/>
            </w:pPr>
            <w:r>
              <w:t>Any raw material, substance, piece, part, software, firmware, labeling, or assembly that is intended to be included as part of the finished, packaged, and labeled device.</w:t>
            </w:r>
          </w:p>
        </w:tc>
      </w:tr>
      <w:tr w:rsidR="00AF274B" w14:paraId="6AA8B1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3242D1" w14:textId="77777777" w:rsidR="00AF274B" w:rsidRDefault="00AF274B">
            <w:pPr>
              <w:pStyle w:val="GlossaryTableText"/>
              <w:rPr>
                <w:b/>
                <w:bCs/>
              </w:rPr>
            </w:pPr>
            <w:r>
              <w:rPr>
                <w:b/>
                <w:bCs/>
              </w:rPr>
              <w:t>Component class</w:t>
            </w:r>
          </w:p>
        </w:tc>
        <w:tc>
          <w:tcPr>
            <w:tcW w:w="3327" w:type="pct"/>
            <w:tcBorders>
              <w:top w:val="nil"/>
              <w:left w:val="nil"/>
              <w:bottom w:val="nil"/>
              <w:right w:val="nil"/>
            </w:tcBorders>
          </w:tcPr>
          <w:p w14:paraId="413A0A44" w14:textId="77777777" w:rsidR="00AF274B" w:rsidRDefault="00AF274B">
            <w:pPr>
              <w:pStyle w:val="GlossaryTableText"/>
            </w:pPr>
            <w:r>
              <w:t xml:space="preserve">The general form of a specific product produced by a blood supplier. </w:t>
            </w:r>
            <w:r>
              <w:rPr>
                <w:i/>
              </w:rPr>
              <w:t>Example: Red Blood Cells, Fresh Frozen Plasma, and Platelets. (</w:t>
            </w:r>
            <w:r>
              <w:t>Product Type</w:t>
            </w:r>
            <w:r>
              <w:rPr>
                <w:i/>
              </w:rPr>
              <w:t xml:space="preserve"> in VBECS model)</w:t>
            </w:r>
          </w:p>
        </w:tc>
      </w:tr>
      <w:tr w:rsidR="00AF274B" w14:paraId="3FEA3F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4A819E4" w14:textId="77777777" w:rsidR="00AF274B" w:rsidRDefault="00AF274B">
            <w:pPr>
              <w:pStyle w:val="GlossaryTableText"/>
              <w:rPr>
                <w:b/>
                <w:bCs/>
              </w:rPr>
            </w:pPr>
            <w:r>
              <w:rPr>
                <w:b/>
                <w:bCs/>
              </w:rPr>
              <w:t>Coombs test</w:t>
            </w:r>
          </w:p>
        </w:tc>
        <w:tc>
          <w:tcPr>
            <w:tcW w:w="3327" w:type="pct"/>
            <w:tcBorders>
              <w:top w:val="nil"/>
              <w:left w:val="nil"/>
              <w:bottom w:val="nil"/>
              <w:right w:val="nil"/>
            </w:tcBorders>
          </w:tcPr>
          <w:p w14:paraId="1FF61E04" w14:textId="77777777" w:rsidR="00AF274B" w:rsidRPr="00366313" w:rsidRDefault="00AF274B" w:rsidP="00366313">
            <w:pPr>
              <w:pStyle w:val="GlossaryTableText"/>
            </w:pPr>
            <w:r w:rsidRPr="00366313">
              <w:t xml:space="preserve">See </w:t>
            </w:r>
            <w:r>
              <w:t>“</w:t>
            </w:r>
            <w:r w:rsidRPr="00366313">
              <w:t>Anti-Human Globulin.</w:t>
            </w:r>
            <w:r>
              <w:t>”</w:t>
            </w:r>
          </w:p>
        </w:tc>
      </w:tr>
      <w:tr w:rsidR="00AF274B" w14:paraId="4FE3DB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88AF0CC" w14:textId="77777777" w:rsidR="00AF274B" w:rsidRDefault="00AF274B">
            <w:pPr>
              <w:pStyle w:val="GlossaryTableText"/>
              <w:rPr>
                <w:b/>
                <w:bCs/>
              </w:rPr>
            </w:pPr>
            <w:r>
              <w:rPr>
                <w:b/>
                <w:bCs/>
              </w:rPr>
              <w:t>CPRS</w:t>
            </w:r>
          </w:p>
        </w:tc>
        <w:tc>
          <w:tcPr>
            <w:tcW w:w="3327" w:type="pct"/>
            <w:tcBorders>
              <w:top w:val="nil"/>
              <w:left w:val="nil"/>
              <w:bottom w:val="nil"/>
              <w:right w:val="nil"/>
            </w:tcBorders>
          </w:tcPr>
          <w:p w14:paraId="25447FB4" w14:textId="77777777" w:rsidR="00AF274B" w:rsidRDefault="00AF274B">
            <w:pPr>
              <w:pStyle w:val="GlossaryTableText"/>
            </w:pPr>
            <w:r>
              <w:t xml:space="preserve">Computerized Patient Record System. A </w:t>
            </w:r>
            <w:r w:rsidRPr="00CA6E27">
              <w:rPr>
                <w:bCs/>
              </w:rPr>
              <w:t>VistA</w:t>
            </w:r>
            <w:r>
              <w:t xml:space="preserve"> software application that provides an integrated patient record system for use by clinicians, managers, quality assurance staff, and researchers.</w:t>
            </w:r>
          </w:p>
        </w:tc>
      </w:tr>
      <w:tr w:rsidR="00AF274B" w14:paraId="25193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7074E2" w14:textId="77777777" w:rsidR="00AF274B" w:rsidRDefault="00AF274B">
            <w:pPr>
              <w:pStyle w:val="GlossaryTableText"/>
              <w:rPr>
                <w:b/>
                <w:bCs/>
              </w:rPr>
            </w:pPr>
            <w:r>
              <w:rPr>
                <w:b/>
                <w:bCs/>
              </w:rPr>
              <w:lastRenderedPageBreak/>
              <w:t>CPT</w:t>
            </w:r>
          </w:p>
        </w:tc>
        <w:tc>
          <w:tcPr>
            <w:tcW w:w="3327" w:type="pct"/>
            <w:tcBorders>
              <w:top w:val="nil"/>
              <w:left w:val="nil"/>
              <w:bottom w:val="nil"/>
              <w:right w:val="nil"/>
            </w:tcBorders>
          </w:tcPr>
          <w:p w14:paraId="3C4102E7" w14:textId="77777777" w:rsidR="00AF274B" w:rsidRDefault="00AF274B">
            <w:pPr>
              <w:pStyle w:val="GlossaryTableText"/>
              <w:rPr>
                <w:i/>
              </w:rPr>
            </w:pPr>
            <w:r>
              <w:t xml:space="preserve">Current Procedural Terminology. A proprietary terminology system owned by the AMA that enumerates medical and surgical services typically provided by physicians. </w:t>
            </w:r>
            <w:r>
              <w:rPr>
                <w:i/>
                <w:iCs/>
              </w:rPr>
              <w:t>Although CPT is proprietary, CMS (formerly HCFA) includes it in HCPCS and requires its use for outpatient claims submitted for Medicare and Medicaid beneficiaries.</w:t>
            </w:r>
          </w:p>
        </w:tc>
      </w:tr>
      <w:tr w:rsidR="00AF274B" w14:paraId="72679D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FB211C" w14:textId="77777777" w:rsidR="00AF274B" w:rsidRDefault="00AF274B">
            <w:pPr>
              <w:pStyle w:val="GlossaryTableText"/>
              <w:rPr>
                <w:b/>
                <w:bCs/>
              </w:rPr>
            </w:pPr>
            <w:r>
              <w:rPr>
                <w:b/>
                <w:bCs/>
              </w:rPr>
              <w:t>Crossmatch</w:t>
            </w:r>
          </w:p>
        </w:tc>
        <w:tc>
          <w:tcPr>
            <w:tcW w:w="3327" w:type="pct"/>
            <w:tcBorders>
              <w:top w:val="nil"/>
              <w:left w:val="nil"/>
              <w:bottom w:val="nil"/>
              <w:right w:val="nil"/>
            </w:tcBorders>
          </w:tcPr>
          <w:p w14:paraId="643222A2" w14:textId="77777777" w:rsidR="00AF274B" w:rsidRDefault="00AF274B">
            <w:pPr>
              <w:pStyle w:val="GlossaryTableText"/>
            </w:pPr>
            <w:r>
              <w:t xml:space="preserve">A procedure that demonstrates ABO compatibility and the absence of clinically significant antibody reactions between a patient and a unit of blood. </w:t>
            </w:r>
            <w:r>
              <w:rPr>
                <w:i/>
              </w:rPr>
              <w:t>Traditionally, a crossmatch consists of a serological test between the patient’s blood and a sample of the blood unit to be transfused. New regulations allow for what is called “computer/electronic crossmatch” in defined circumstances.</w:t>
            </w:r>
          </w:p>
        </w:tc>
      </w:tr>
      <w:tr w:rsidR="00AF274B" w14:paraId="539077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C134DD7" w14:textId="77777777" w:rsidR="00AF274B" w:rsidRDefault="00AF274B">
            <w:pPr>
              <w:pStyle w:val="GlossaryTableText"/>
              <w:rPr>
                <w:b/>
                <w:bCs/>
              </w:rPr>
            </w:pPr>
            <w:r>
              <w:rPr>
                <w:b/>
                <w:bCs/>
              </w:rPr>
              <w:t>Crossover</w:t>
            </w:r>
          </w:p>
        </w:tc>
        <w:tc>
          <w:tcPr>
            <w:tcW w:w="3327" w:type="pct"/>
            <w:tcBorders>
              <w:top w:val="nil"/>
              <w:left w:val="nil"/>
              <w:bottom w:val="nil"/>
              <w:right w:val="nil"/>
            </w:tcBorders>
          </w:tcPr>
          <w:p w14:paraId="5B9DE614" w14:textId="77777777" w:rsidR="00AF274B" w:rsidRDefault="00AF274B">
            <w:pPr>
              <w:pStyle w:val="GlossaryTableText"/>
              <w:rPr>
                <w:i/>
              </w:rPr>
            </w:pPr>
            <w:r>
              <w:t xml:space="preserve">A process by which an autologous or directed donor unit is released from the intended recipient and made available for general transfusion. </w:t>
            </w:r>
            <w:r>
              <w:rPr>
                <w:i/>
              </w:rPr>
              <w:t>VBECS supports only directed unit crossover.</w:t>
            </w:r>
          </w:p>
        </w:tc>
      </w:tr>
      <w:tr w:rsidR="00AF274B" w14:paraId="4CE4B2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83A4CAC" w14:textId="77777777" w:rsidR="00AF274B" w:rsidRDefault="00AF274B">
            <w:pPr>
              <w:pStyle w:val="GlossaryTableText"/>
              <w:rPr>
                <w:b/>
                <w:bCs/>
              </w:rPr>
            </w:pPr>
            <w:r>
              <w:rPr>
                <w:b/>
                <w:bCs/>
              </w:rPr>
              <w:t>D</w:t>
            </w:r>
          </w:p>
        </w:tc>
        <w:tc>
          <w:tcPr>
            <w:tcW w:w="3327" w:type="pct"/>
            <w:tcBorders>
              <w:top w:val="nil"/>
              <w:left w:val="nil"/>
              <w:bottom w:val="nil"/>
              <w:right w:val="nil"/>
            </w:tcBorders>
          </w:tcPr>
          <w:p w14:paraId="1F9C5E91" w14:textId="77777777" w:rsidR="00AF274B" w:rsidRDefault="00AF274B">
            <w:pPr>
              <w:pStyle w:val="GlossaryTableText"/>
            </w:pPr>
            <w:r>
              <w:t>The major antigen of the Rh system. Also “Rh</w:t>
            </w:r>
            <w:r>
              <w:rPr>
                <w:vertAlign w:val="subscript"/>
              </w:rPr>
              <w:t>o</w:t>
            </w:r>
            <w:r>
              <w:t xml:space="preserve">.” </w:t>
            </w:r>
            <w:r>
              <w:rPr>
                <w:i/>
              </w:rPr>
              <w:t>The presence of this antigen on red blood cells determines if a patient or donor is Rh Pos or Rh Neg. A weak expression of the D antigen, referred to as “Du” or “weak D,” may require additional testing to determine its presence. “D negative” is another term for “Rh negative”; “D control” is another term for “Rh control.” The convention for VBECS GUIs is D control.</w:t>
            </w:r>
          </w:p>
        </w:tc>
      </w:tr>
      <w:tr w:rsidR="00AF274B" w14:paraId="1C276B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CA93912" w14:textId="77777777" w:rsidR="00AF274B" w:rsidRDefault="00AF274B">
            <w:pPr>
              <w:pStyle w:val="GlossaryTableText"/>
              <w:rPr>
                <w:b/>
              </w:rPr>
            </w:pPr>
            <w:r>
              <w:rPr>
                <w:b/>
                <w:snapToGrid w:val="0"/>
              </w:rPr>
              <w:t>Data entry grid</w:t>
            </w:r>
          </w:p>
        </w:tc>
        <w:tc>
          <w:tcPr>
            <w:tcW w:w="3327" w:type="pct"/>
            <w:tcBorders>
              <w:top w:val="nil"/>
              <w:left w:val="nil"/>
              <w:bottom w:val="nil"/>
              <w:right w:val="nil"/>
            </w:tcBorders>
          </w:tcPr>
          <w:p w14:paraId="02FF6DE4" w14:textId="77777777" w:rsidR="00AF274B" w:rsidRDefault="00AF274B">
            <w:pPr>
              <w:pStyle w:val="GlossaryTableText"/>
              <w:rPr>
                <w:snapToGrid w:val="0"/>
              </w:rPr>
            </w:pPr>
            <w:r>
              <w:rPr>
                <w:snapToGrid w:val="0"/>
              </w:rPr>
              <w:t>A grid that contains observations and interpretations of observations.</w:t>
            </w:r>
          </w:p>
        </w:tc>
      </w:tr>
      <w:tr w:rsidR="00AF274B" w14:paraId="229937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F4711F6" w14:textId="77777777" w:rsidR="00AF274B" w:rsidRDefault="00AF274B">
            <w:pPr>
              <w:pStyle w:val="GlossaryTableText"/>
              <w:rPr>
                <w:b/>
              </w:rPr>
            </w:pPr>
            <w:r>
              <w:rPr>
                <w:b/>
              </w:rPr>
              <w:t>Database</w:t>
            </w:r>
          </w:p>
        </w:tc>
        <w:tc>
          <w:tcPr>
            <w:tcW w:w="3327" w:type="pct"/>
            <w:tcBorders>
              <w:top w:val="nil"/>
              <w:left w:val="nil"/>
              <w:bottom w:val="nil"/>
              <w:right w:val="nil"/>
            </w:tcBorders>
          </w:tcPr>
          <w:p w14:paraId="5488E3D5" w14:textId="77777777" w:rsidR="00AF274B" w:rsidRDefault="00AF274B">
            <w:pPr>
              <w:pStyle w:val="GlossaryTableText"/>
            </w:pPr>
            <w:r>
              <w:t>A collection of data arranged for ease and speed of retrieval that may or may not contain data from multiple VBECS divisions.</w:t>
            </w:r>
          </w:p>
        </w:tc>
      </w:tr>
      <w:tr w:rsidR="00AF274B" w14:paraId="2FE3BC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F5CA08" w14:textId="77777777" w:rsidR="00AF274B" w:rsidRDefault="00AF274B">
            <w:pPr>
              <w:pStyle w:val="GlossaryTableText"/>
              <w:rPr>
                <w:b/>
              </w:rPr>
            </w:pPr>
            <w:r>
              <w:rPr>
                <w:b/>
              </w:rPr>
              <w:t>Day of use</w:t>
            </w:r>
          </w:p>
        </w:tc>
        <w:tc>
          <w:tcPr>
            <w:tcW w:w="3327" w:type="pct"/>
            <w:tcBorders>
              <w:top w:val="nil"/>
              <w:left w:val="nil"/>
              <w:bottom w:val="nil"/>
              <w:right w:val="nil"/>
            </w:tcBorders>
          </w:tcPr>
          <w:p w14:paraId="7254879E" w14:textId="77777777" w:rsidR="00AF274B" w:rsidRDefault="00AF274B">
            <w:pPr>
              <w:pStyle w:val="GlossaryTableText"/>
              <w:rPr>
                <w:snapToGrid w:val="0"/>
              </w:rPr>
            </w:pPr>
            <w:r>
              <w:t>The calendar date times (0000–2359) a reagent is used.</w:t>
            </w:r>
          </w:p>
        </w:tc>
      </w:tr>
      <w:tr w:rsidR="00AF274B" w14:paraId="195B9A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EB7B77C" w14:textId="77777777" w:rsidR="00AF274B" w:rsidRDefault="00AF274B">
            <w:pPr>
              <w:pStyle w:val="GlossaryTableText"/>
              <w:rPr>
                <w:b/>
              </w:rPr>
            </w:pPr>
            <w:r>
              <w:rPr>
                <w:b/>
              </w:rPr>
              <w:t>DDE</w:t>
            </w:r>
          </w:p>
        </w:tc>
        <w:tc>
          <w:tcPr>
            <w:tcW w:w="3327" w:type="pct"/>
            <w:tcBorders>
              <w:top w:val="nil"/>
              <w:left w:val="nil"/>
              <w:bottom w:val="nil"/>
              <w:right w:val="nil"/>
            </w:tcBorders>
          </w:tcPr>
          <w:p w14:paraId="7906EA68" w14:textId="77777777" w:rsidR="00AF274B" w:rsidRDefault="00AF274B">
            <w:pPr>
              <w:pStyle w:val="GlossaryTableText"/>
            </w:pPr>
            <w:r>
              <w:t xml:space="preserve">Direct data entry. </w:t>
            </w:r>
          </w:p>
        </w:tc>
      </w:tr>
      <w:tr w:rsidR="00AF274B" w14:paraId="499FE3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38AC69" w14:textId="77777777" w:rsidR="00AF274B" w:rsidRDefault="00AF274B">
            <w:pPr>
              <w:pStyle w:val="GlossaryTableText"/>
              <w:rPr>
                <w:b/>
              </w:rPr>
            </w:pPr>
            <w:r>
              <w:rPr>
                <w:b/>
              </w:rPr>
              <w:t>Delete</w:t>
            </w:r>
          </w:p>
        </w:tc>
        <w:tc>
          <w:tcPr>
            <w:tcW w:w="3327" w:type="pct"/>
            <w:tcBorders>
              <w:top w:val="nil"/>
              <w:left w:val="nil"/>
              <w:bottom w:val="nil"/>
              <w:right w:val="nil"/>
            </w:tcBorders>
          </w:tcPr>
          <w:p w14:paraId="1B3B3654" w14:textId="77777777" w:rsidR="00AF274B" w:rsidRPr="007A099E" w:rsidRDefault="00AF274B" w:rsidP="007A099E">
            <w:pPr>
              <w:pStyle w:val="TableText"/>
            </w:pPr>
            <w:r>
              <w:t>Remove a VBECS record from user access and keep it in the database.</w:t>
            </w:r>
          </w:p>
        </w:tc>
      </w:tr>
      <w:tr w:rsidR="00AF274B" w14:paraId="0C0267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5E754B5" w14:textId="77777777" w:rsidR="00AF274B" w:rsidRDefault="00AF274B">
            <w:pPr>
              <w:pStyle w:val="GlossaryTableText"/>
              <w:rPr>
                <w:b/>
              </w:rPr>
            </w:pPr>
            <w:r>
              <w:rPr>
                <w:b/>
              </w:rPr>
              <w:t>Direct Antiglobulin Test (DAT)</w:t>
            </w:r>
          </w:p>
        </w:tc>
        <w:tc>
          <w:tcPr>
            <w:tcW w:w="3327" w:type="pct"/>
            <w:tcBorders>
              <w:top w:val="nil"/>
              <w:left w:val="nil"/>
              <w:bottom w:val="nil"/>
              <w:right w:val="nil"/>
            </w:tcBorders>
          </w:tcPr>
          <w:p w14:paraId="66A967DD" w14:textId="77777777" w:rsidR="00AF274B" w:rsidRDefault="00AF274B">
            <w:pPr>
              <w:pStyle w:val="GlossaryTableText"/>
              <w:rPr>
                <w:b/>
              </w:rPr>
            </w:pPr>
            <w:r>
              <w:t xml:space="preserve">A laboratory test performed in a blood bank in conjunction with pre-transfusion testing or as a diagnostic test. </w:t>
            </w:r>
            <w:r>
              <w:rPr>
                <w:i/>
              </w:rPr>
              <w:t>A positive DAT indicates that an antibody-antigen reaction may have occurred in vivo, which may be related to medications or previous transfusions. “Direct Coombs” and “DAT” are used interchangeably.</w:t>
            </w:r>
          </w:p>
        </w:tc>
      </w:tr>
      <w:tr w:rsidR="00AF274B" w14:paraId="5F0806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456CED" w14:textId="77777777" w:rsidR="00AF274B" w:rsidRDefault="00AF274B">
            <w:pPr>
              <w:pStyle w:val="GlossaryTableText"/>
              <w:rPr>
                <w:b/>
              </w:rPr>
            </w:pPr>
            <w:r>
              <w:rPr>
                <w:b/>
              </w:rPr>
              <w:t>Direct data entry (DDE)</w:t>
            </w:r>
          </w:p>
        </w:tc>
        <w:tc>
          <w:tcPr>
            <w:tcW w:w="3327" w:type="pct"/>
            <w:tcBorders>
              <w:top w:val="nil"/>
              <w:left w:val="nil"/>
              <w:bottom w:val="nil"/>
              <w:right w:val="nil"/>
            </w:tcBorders>
          </w:tcPr>
          <w:p w14:paraId="297094C5" w14:textId="77777777" w:rsidR="00AF274B" w:rsidRDefault="00AF274B">
            <w:pPr>
              <w:pStyle w:val="GlossaryTableText"/>
            </w:pPr>
            <w:r>
              <w:t>The process of entering test results in a computer rather than recording them on paper.</w:t>
            </w:r>
          </w:p>
        </w:tc>
      </w:tr>
      <w:tr w:rsidR="00AF274B" w14:paraId="2FD77F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F90FDB" w14:textId="77777777" w:rsidR="00AF274B" w:rsidRDefault="00AF274B">
            <w:pPr>
              <w:pStyle w:val="GlossaryTableText"/>
              <w:rPr>
                <w:b/>
              </w:rPr>
            </w:pPr>
            <w:r>
              <w:rPr>
                <w:b/>
              </w:rPr>
              <w:t>Directed</w:t>
            </w:r>
          </w:p>
        </w:tc>
        <w:tc>
          <w:tcPr>
            <w:tcW w:w="3327" w:type="pct"/>
            <w:tcBorders>
              <w:top w:val="nil"/>
              <w:left w:val="nil"/>
              <w:bottom w:val="nil"/>
              <w:right w:val="nil"/>
            </w:tcBorders>
          </w:tcPr>
          <w:p w14:paraId="5AE21F4C" w14:textId="77777777" w:rsidR="00AF274B" w:rsidRDefault="00AF274B">
            <w:pPr>
              <w:pStyle w:val="GlossaryTableText"/>
            </w:pPr>
            <w:r>
              <w:t xml:space="preserve">Blood that is donated in advance to be set aside for a specific patient. </w:t>
            </w:r>
            <w:r>
              <w:rPr>
                <w:i/>
              </w:rPr>
              <w:t>Directed donation units must meet all of the requirements of any regular unit of donated blood (all disease marker testing must be negative). If not needed by the intended recipient, a directed unit may be released for general use.</w:t>
            </w:r>
          </w:p>
        </w:tc>
      </w:tr>
      <w:tr w:rsidR="00AF274B" w14:paraId="2C7442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936AFA5" w14:textId="77777777" w:rsidR="00AF274B" w:rsidRDefault="00AF274B">
            <w:pPr>
              <w:pStyle w:val="GlossaryTableText"/>
              <w:rPr>
                <w:b/>
              </w:rPr>
            </w:pPr>
            <w:r>
              <w:rPr>
                <w:b/>
              </w:rPr>
              <w:t>Disposition</w:t>
            </w:r>
          </w:p>
        </w:tc>
        <w:tc>
          <w:tcPr>
            <w:tcW w:w="3327" w:type="pct"/>
            <w:tcBorders>
              <w:top w:val="nil"/>
              <w:left w:val="nil"/>
              <w:bottom w:val="nil"/>
              <w:right w:val="nil"/>
            </w:tcBorders>
          </w:tcPr>
          <w:p w14:paraId="41FD4607" w14:textId="77777777" w:rsidR="00AF274B" w:rsidRDefault="00AF274B">
            <w:pPr>
              <w:pStyle w:val="GlossaryTableText"/>
            </w:pPr>
            <w:r>
              <w:t xml:space="preserve">The recorded final state of a blood unit. </w:t>
            </w:r>
            <w:r>
              <w:rPr>
                <w:i/>
              </w:rPr>
              <w:t>A blood unit with a disposition is no longer available for routine processing.</w:t>
            </w:r>
          </w:p>
        </w:tc>
      </w:tr>
      <w:tr w:rsidR="00AF274B" w14:paraId="239A40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3242451" w14:textId="77777777" w:rsidR="00AF274B" w:rsidRDefault="00AF274B">
            <w:pPr>
              <w:pStyle w:val="GlossaryTableText"/>
              <w:rPr>
                <w:b/>
                <w:bCs/>
              </w:rPr>
            </w:pPr>
            <w:r>
              <w:rPr>
                <w:b/>
                <w:bCs/>
              </w:rPr>
              <w:t>Edit</w:t>
            </w:r>
          </w:p>
        </w:tc>
        <w:tc>
          <w:tcPr>
            <w:tcW w:w="3327" w:type="pct"/>
            <w:tcBorders>
              <w:top w:val="nil"/>
              <w:left w:val="nil"/>
              <w:bottom w:val="nil"/>
              <w:right w:val="nil"/>
            </w:tcBorders>
          </w:tcPr>
          <w:p w14:paraId="1C91E210" w14:textId="77777777" w:rsidR="00AF274B" w:rsidRDefault="00AF274B">
            <w:pPr>
              <w:pStyle w:val="GlossaryTableText"/>
            </w:pPr>
            <w:r>
              <w:t xml:space="preserve">To enter or change previously saved information. </w:t>
            </w:r>
            <w:r>
              <w:rPr>
                <w:i/>
              </w:rPr>
              <w:t>VistA overwrites the data and does not create an audit trail. VBECS overlays the data and creates an audit trail.</w:t>
            </w:r>
          </w:p>
        </w:tc>
      </w:tr>
      <w:tr w:rsidR="00AF274B" w14:paraId="51A5BD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B6CF26" w14:textId="77777777" w:rsidR="00AF274B" w:rsidRDefault="00AF274B">
            <w:pPr>
              <w:pStyle w:val="GlossaryTableText"/>
              <w:rPr>
                <w:b/>
                <w:bCs/>
              </w:rPr>
            </w:pPr>
            <w:r>
              <w:rPr>
                <w:b/>
                <w:bCs/>
              </w:rPr>
              <w:lastRenderedPageBreak/>
              <w:t>Elution</w:t>
            </w:r>
          </w:p>
        </w:tc>
        <w:tc>
          <w:tcPr>
            <w:tcW w:w="3327" w:type="pct"/>
            <w:tcBorders>
              <w:top w:val="nil"/>
              <w:left w:val="nil"/>
              <w:bottom w:val="nil"/>
              <w:right w:val="nil"/>
            </w:tcBorders>
          </w:tcPr>
          <w:p w14:paraId="5335CA7B" w14:textId="77777777" w:rsidR="00AF274B" w:rsidRDefault="00AF274B">
            <w:pPr>
              <w:pStyle w:val="GlossaryTableText"/>
            </w:pPr>
            <w:r>
              <w:t xml:space="preserve">A procedure performed by a blood bank technologist to investigate a positive DAT. </w:t>
            </w:r>
            <w:r>
              <w:rPr>
                <w:i/>
              </w:rPr>
              <w:t>A positive eluate is further tested to determine the specificity of the antibody, which has been eluted from the patient’s red cells.</w:t>
            </w:r>
          </w:p>
        </w:tc>
      </w:tr>
      <w:tr w:rsidR="00AF274B" w14:paraId="689A92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E5A4805" w14:textId="77777777" w:rsidR="00AF274B" w:rsidRDefault="00AF274B">
            <w:pPr>
              <w:pStyle w:val="GlossaryTableText"/>
              <w:rPr>
                <w:b/>
                <w:bCs/>
              </w:rPr>
            </w:pPr>
            <w:r>
              <w:rPr>
                <w:b/>
                <w:bCs/>
              </w:rPr>
              <w:t>Emergency issue</w:t>
            </w:r>
          </w:p>
        </w:tc>
        <w:tc>
          <w:tcPr>
            <w:tcW w:w="3327" w:type="pct"/>
            <w:tcBorders>
              <w:top w:val="nil"/>
              <w:left w:val="nil"/>
              <w:bottom w:val="nil"/>
              <w:right w:val="nil"/>
            </w:tcBorders>
          </w:tcPr>
          <w:p w14:paraId="4889C6C0" w14:textId="77777777" w:rsidR="00AF274B" w:rsidRDefault="00AF274B">
            <w:pPr>
              <w:pStyle w:val="GlossaryTableText"/>
            </w:pPr>
            <w:r>
              <w:t xml:space="preserve">The release of blood prior to pre-transfusion testing and crossmatch. </w:t>
            </w:r>
          </w:p>
        </w:tc>
      </w:tr>
      <w:tr w:rsidR="00AF274B" w14:paraId="516F35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D02C259" w14:textId="77777777" w:rsidR="00AF274B" w:rsidRDefault="00AF274B">
            <w:pPr>
              <w:pStyle w:val="GlossaryTableText"/>
              <w:rPr>
                <w:b/>
                <w:bCs/>
              </w:rPr>
            </w:pPr>
            <w:r>
              <w:rPr>
                <w:b/>
                <w:bCs/>
              </w:rPr>
              <w:t>Exception Report</w:t>
            </w:r>
          </w:p>
        </w:tc>
        <w:tc>
          <w:tcPr>
            <w:tcW w:w="3327" w:type="pct"/>
            <w:tcBorders>
              <w:top w:val="nil"/>
              <w:left w:val="nil"/>
              <w:bottom w:val="nil"/>
              <w:right w:val="nil"/>
            </w:tcBorders>
          </w:tcPr>
          <w:p w14:paraId="3DE691AC" w14:textId="77777777" w:rsidR="00AF274B" w:rsidRDefault="00AF274B">
            <w:pPr>
              <w:pStyle w:val="GlossaryTableText"/>
            </w:pPr>
            <w:r>
              <w:t xml:space="preserve">A report that details a user deviation from a standard process. </w:t>
            </w:r>
            <w:r>
              <w:rPr>
                <w:i/>
              </w:rPr>
              <w:t>Example: a user overrides a warning and is required to enter a justification for continuing.</w:t>
            </w:r>
            <w:r>
              <w:t xml:space="preserve"> </w:t>
            </w:r>
          </w:p>
        </w:tc>
      </w:tr>
      <w:tr w:rsidR="00AF274B" w14:paraId="7C29D6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75632D" w14:textId="77777777" w:rsidR="00AF274B" w:rsidRDefault="00AF274B">
            <w:pPr>
              <w:pStyle w:val="GlossaryTableText"/>
              <w:rPr>
                <w:b/>
                <w:bCs/>
              </w:rPr>
            </w:pPr>
            <w:r>
              <w:rPr>
                <w:b/>
                <w:bCs/>
                <w:snapToGrid w:val="0"/>
              </w:rPr>
              <w:t>eXM</w:t>
            </w:r>
          </w:p>
        </w:tc>
        <w:tc>
          <w:tcPr>
            <w:tcW w:w="3327" w:type="pct"/>
            <w:tcBorders>
              <w:top w:val="nil"/>
              <w:left w:val="nil"/>
              <w:bottom w:val="nil"/>
              <w:right w:val="nil"/>
            </w:tcBorders>
          </w:tcPr>
          <w:p w14:paraId="5C6A7C27" w14:textId="77777777" w:rsidR="00AF274B" w:rsidRDefault="00AF274B">
            <w:pPr>
              <w:pStyle w:val="GlossaryTableText"/>
              <w:rPr>
                <w:b/>
              </w:rPr>
            </w:pPr>
            <w:r>
              <w:rPr>
                <w:snapToGrid w:val="0"/>
              </w:rPr>
              <w:t>Electronic crossmatch.</w:t>
            </w:r>
          </w:p>
        </w:tc>
      </w:tr>
      <w:tr w:rsidR="00AF274B" w14:paraId="5D5CB5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C285955" w14:textId="77777777" w:rsidR="00AF274B" w:rsidRDefault="00AF274B">
            <w:pPr>
              <w:pStyle w:val="GlossaryTableText"/>
              <w:rPr>
                <w:b/>
                <w:bCs/>
              </w:rPr>
            </w:pPr>
            <w:r>
              <w:rPr>
                <w:b/>
                <w:bCs/>
              </w:rPr>
              <w:t>Expiration date</w:t>
            </w:r>
          </w:p>
        </w:tc>
        <w:tc>
          <w:tcPr>
            <w:tcW w:w="3327" w:type="pct"/>
            <w:tcBorders>
              <w:top w:val="nil"/>
              <w:left w:val="nil"/>
              <w:bottom w:val="nil"/>
              <w:right w:val="nil"/>
            </w:tcBorders>
          </w:tcPr>
          <w:p w14:paraId="62F7F41C" w14:textId="77777777" w:rsidR="00AF274B" w:rsidRDefault="00AF274B">
            <w:pPr>
              <w:pStyle w:val="GlossaryTableText"/>
            </w:pPr>
            <w:r>
              <w:t xml:space="preserve">The last date during which a blood component can be considered safe for transfusion. </w:t>
            </w:r>
            <w:r>
              <w:rPr>
                <w:i/>
              </w:rPr>
              <w:t>If the expiration date does not include a time, the time is assumed to be midnight.</w:t>
            </w:r>
          </w:p>
        </w:tc>
      </w:tr>
      <w:tr w:rsidR="00AF274B" w14:paraId="1FF4B3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06A6B3D" w14:textId="77777777" w:rsidR="00AF274B" w:rsidRDefault="00AF274B">
            <w:pPr>
              <w:pStyle w:val="GlossaryTableText"/>
              <w:rPr>
                <w:b/>
                <w:bCs/>
              </w:rPr>
            </w:pPr>
            <w:r>
              <w:rPr>
                <w:b/>
                <w:bCs/>
              </w:rPr>
              <w:t>Facility (see “Site”)</w:t>
            </w:r>
          </w:p>
        </w:tc>
        <w:tc>
          <w:tcPr>
            <w:tcW w:w="3327" w:type="pct"/>
            <w:tcBorders>
              <w:top w:val="nil"/>
              <w:left w:val="nil"/>
              <w:bottom w:val="nil"/>
              <w:right w:val="nil"/>
            </w:tcBorders>
          </w:tcPr>
          <w:p w14:paraId="7DA0E16B" w14:textId="77777777" w:rsidR="00AF274B" w:rsidRDefault="00AF274B">
            <w:pPr>
              <w:pStyle w:val="GlossaryTableText"/>
            </w:pPr>
            <w:r>
              <w:t>A blood bank laboratory where a blood unit is located.</w:t>
            </w:r>
          </w:p>
        </w:tc>
      </w:tr>
      <w:tr w:rsidR="00AF274B" w14:paraId="7EEBC8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9857980" w14:textId="77777777" w:rsidR="00AF274B" w:rsidRDefault="00AF274B">
            <w:pPr>
              <w:pStyle w:val="GlossaryTableText"/>
              <w:rPr>
                <w:b/>
                <w:bCs/>
              </w:rPr>
            </w:pPr>
            <w:r>
              <w:rPr>
                <w:b/>
                <w:bCs/>
              </w:rPr>
              <w:t>FDA</w:t>
            </w:r>
          </w:p>
        </w:tc>
        <w:tc>
          <w:tcPr>
            <w:tcW w:w="3327" w:type="pct"/>
            <w:tcBorders>
              <w:top w:val="nil"/>
              <w:left w:val="nil"/>
              <w:bottom w:val="nil"/>
              <w:right w:val="nil"/>
            </w:tcBorders>
          </w:tcPr>
          <w:p w14:paraId="6092E86F" w14:textId="77777777" w:rsidR="00AF274B" w:rsidRDefault="00AF274B">
            <w:pPr>
              <w:pStyle w:val="GlossaryTableText"/>
            </w:pPr>
            <w:r>
              <w:t>Food and Drug Administration.</w:t>
            </w:r>
          </w:p>
        </w:tc>
      </w:tr>
      <w:tr w:rsidR="001A7C4F" w14:paraId="615E2B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7249B0" w14:textId="77777777" w:rsidR="001A7C4F" w:rsidRDefault="001A7C4F">
            <w:pPr>
              <w:pStyle w:val="GlossaryTableText"/>
              <w:rPr>
                <w:b/>
                <w:bCs/>
              </w:rPr>
            </w:pPr>
            <w:r>
              <w:rPr>
                <w:b/>
                <w:bCs/>
              </w:rPr>
              <w:t>FDA UDI</w:t>
            </w:r>
          </w:p>
        </w:tc>
        <w:tc>
          <w:tcPr>
            <w:tcW w:w="3327" w:type="pct"/>
            <w:tcBorders>
              <w:top w:val="nil"/>
              <w:left w:val="nil"/>
              <w:bottom w:val="nil"/>
              <w:right w:val="nil"/>
            </w:tcBorders>
          </w:tcPr>
          <w:p w14:paraId="5981BDE0" w14:textId="77777777" w:rsidR="001A7C4F" w:rsidRDefault="001A7C4F">
            <w:pPr>
              <w:pStyle w:val="GlossaryTableText"/>
            </w:pPr>
            <w:r>
              <w:t>FDA Unique Device Identification.</w:t>
            </w:r>
          </w:p>
        </w:tc>
      </w:tr>
      <w:tr w:rsidR="00AF274B" w14:paraId="7BD907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4B84B6E" w14:textId="77777777" w:rsidR="00AF274B" w:rsidRDefault="00AF274B">
            <w:pPr>
              <w:pStyle w:val="GlossaryTableText"/>
              <w:rPr>
                <w:b/>
                <w:bCs/>
              </w:rPr>
            </w:pPr>
            <w:r>
              <w:rPr>
                <w:b/>
                <w:bCs/>
              </w:rPr>
              <w:t>File</w:t>
            </w:r>
          </w:p>
        </w:tc>
        <w:tc>
          <w:tcPr>
            <w:tcW w:w="3327" w:type="pct"/>
            <w:tcBorders>
              <w:top w:val="nil"/>
              <w:left w:val="nil"/>
              <w:bottom w:val="nil"/>
              <w:right w:val="nil"/>
            </w:tcBorders>
          </w:tcPr>
          <w:p w14:paraId="5D32AB0D" w14:textId="77777777" w:rsidR="00AF274B" w:rsidRDefault="00AF274B">
            <w:pPr>
              <w:pStyle w:val="GlossaryTableText"/>
            </w:pPr>
            <w:r>
              <w:t>Source code, data, and documentation.</w:t>
            </w:r>
          </w:p>
        </w:tc>
      </w:tr>
      <w:tr w:rsidR="00AF274B" w14:paraId="793DE1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00A945B" w14:textId="77777777" w:rsidR="00AF274B" w:rsidRDefault="00AF274B">
            <w:pPr>
              <w:pStyle w:val="GlossaryTableText"/>
              <w:rPr>
                <w:b/>
                <w:bCs/>
              </w:rPr>
            </w:pPr>
            <w:r>
              <w:rPr>
                <w:b/>
                <w:bCs/>
              </w:rPr>
              <w:t>Finalized TRW</w:t>
            </w:r>
          </w:p>
        </w:tc>
        <w:tc>
          <w:tcPr>
            <w:tcW w:w="3327" w:type="pct"/>
            <w:tcBorders>
              <w:top w:val="nil"/>
              <w:left w:val="nil"/>
              <w:bottom w:val="nil"/>
              <w:right w:val="nil"/>
            </w:tcBorders>
          </w:tcPr>
          <w:p w14:paraId="40EA57FA" w14:textId="77777777" w:rsidR="00AF274B" w:rsidRDefault="00AF274B">
            <w:pPr>
              <w:pStyle w:val="GlossaryTableText"/>
            </w:pPr>
            <w:r w:rsidRPr="007F427E">
              <w:t>A finalized TRW indicates that the medical director reviewed the TRW, classified the reaction, and may make recommendations for future transfusions.</w:t>
            </w:r>
          </w:p>
        </w:tc>
      </w:tr>
      <w:tr w:rsidR="001A1559" w14:paraId="78F5D1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FCB5C8" w14:textId="77777777" w:rsidR="001A1559" w:rsidRDefault="001A1559">
            <w:pPr>
              <w:pStyle w:val="GlossaryTableText"/>
              <w:rPr>
                <w:b/>
                <w:bCs/>
              </w:rPr>
            </w:pPr>
            <w:r>
              <w:rPr>
                <w:b/>
                <w:bCs/>
              </w:rPr>
              <w:t>FOIA</w:t>
            </w:r>
          </w:p>
        </w:tc>
        <w:tc>
          <w:tcPr>
            <w:tcW w:w="3327" w:type="pct"/>
            <w:tcBorders>
              <w:top w:val="nil"/>
              <w:left w:val="nil"/>
              <w:bottom w:val="nil"/>
              <w:right w:val="nil"/>
            </w:tcBorders>
          </w:tcPr>
          <w:p w14:paraId="5AD6AE9E" w14:textId="77777777" w:rsidR="001A1559" w:rsidRDefault="001A1559">
            <w:pPr>
              <w:pStyle w:val="GlossaryTableText"/>
            </w:pPr>
            <w:r>
              <w:t>Freedom of Information Act.</w:t>
            </w:r>
          </w:p>
        </w:tc>
      </w:tr>
      <w:tr w:rsidR="00AF274B" w14:paraId="15AE3D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985DB03" w14:textId="77777777" w:rsidR="00AF274B" w:rsidRDefault="00AF274B">
            <w:pPr>
              <w:pStyle w:val="GlossaryTableText"/>
              <w:rPr>
                <w:b/>
                <w:bCs/>
              </w:rPr>
            </w:pPr>
            <w:r>
              <w:rPr>
                <w:b/>
                <w:bCs/>
              </w:rPr>
              <w:t>HCPCS</w:t>
            </w:r>
          </w:p>
        </w:tc>
        <w:tc>
          <w:tcPr>
            <w:tcW w:w="3327" w:type="pct"/>
            <w:tcBorders>
              <w:top w:val="nil"/>
              <w:left w:val="nil"/>
              <w:bottom w:val="nil"/>
              <w:right w:val="nil"/>
            </w:tcBorders>
          </w:tcPr>
          <w:p w14:paraId="6F2FBE8E" w14:textId="77777777" w:rsidR="00AF274B" w:rsidRDefault="00AF274B">
            <w:pPr>
              <w:pStyle w:val="GlossaryTableText"/>
              <w:rPr>
                <w:b/>
              </w:rPr>
            </w:pPr>
            <w:r>
              <w:t xml:space="preserve">Healthcare Common Procedure Coding System. Codes used to enumerate medical and surgical services and supplies in the outpatient setting. </w:t>
            </w:r>
            <w:r>
              <w:rPr>
                <w:i/>
                <w:iCs/>
              </w:rPr>
              <w:t>CMS (formerly HCFA) uses HCPCS for Medicare and Medicaid reimbursement. HCPCS are the required code set for medical and surgical services and supplies for the outpatient setting under the final code set standards for HIPAA. There are three levels of HCPCS codes: level I are CPT codes from AMA; level II are additional codes developed by HCFA for services and supplies not covered by CPT; level III are local codes assigned by individual state Medicare carriers. Level III codes are scheduled to be phased out under HIPAA.</w:t>
            </w:r>
          </w:p>
        </w:tc>
      </w:tr>
      <w:tr w:rsidR="00AF274B" w14:paraId="22E6A9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886CBC0" w14:textId="77777777" w:rsidR="00AF274B" w:rsidRDefault="00AF274B">
            <w:pPr>
              <w:pStyle w:val="GlossaryTableText"/>
              <w:rPr>
                <w:b/>
                <w:bCs/>
              </w:rPr>
            </w:pPr>
            <w:r>
              <w:rPr>
                <w:b/>
                <w:bCs/>
              </w:rPr>
              <w:t>HIPAA</w:t>
            </w:r>
          </w:p>
        </w:tc>
        <w:tc>
          <w:tcPr>
            <w:tcW w:w="3327" w:type="pct"/>
            <w:tcBorders>
              <w:top w:val="nil"/>
              <w:left w:val="nil"/>
              <w:bottom w:val="nil"/>
              <w:right w:val="nil"/>
            </w:tcBorders>
          </w:tcPr>
          <w:p w14:paraId="46436781" w14:textId="77777777" w:rsidR="00AF274B" w:rsidRDefault="00AF274B">
            <w:pPr>
              <w:pStyle w:val="GlossaryTableText"/>
            </w:pPr>
            <w:r>
              <w:rPr>
                <w:bCs/>
              </w:rPr>
              <w:t>Health Insurance Portability and Accountability Act</w:t>
            </w:r>
            <w:r w:rsidR="00F717BC">
              <w:rPr>
                <w:bCs/>
              </w:rPr>
              <w:t xml:space="preserve"> of 1996</w:t>
            </w:r>
            <w:r>
              <w:rPr>
                <w:bCs/>
              </w:rPr>
              <w:t>.</w:t>
            </w:r>
          </w:p>
        </w:tc>
      </w:tr>
      <w:tr w:rsidR="00AF274B" w14:paraId="738765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5F3856D" w14:textId="77777777" w:rsidR="00AF274B" w:rsidRDefault="00AF274B">
            <w:pPr>
              <w:pStyle w:val="GlossaryTableText"/>
              <w:rPr>
                <w:b/>
                <w:bCs/>
              </w:rPr>
            </w:pPr>
            <w:r>
              <w:rPr>
                <w:b/>
                <w:bCs/>
              </w:rPr>
              <w:t>Historical ABO/Rh</w:t>
            </w:r>
          </w:p>
        </w:tc>
        <w:tc>
          <w:tcPr>
            <w:tcW w:w="3327" w:type="pct"/>
            <w:tcBorders>
              <w:top w:val="nil"/>
              <w:left w:val="nil"/>
              <w:bottom w:val="nil"/>
              <w:right w:val="nil"/>
            </w:tcBorders>
          </w:tcPr>
          <w:p w14:paraId="6A5254AD" w14:textId="77777777" w:rsidR="00AF274B" w:rsidRDefault="00AF274B">
            <w:pPr>
              <w:pStyle w:val="GlossaryTableText"/>
              <w:rPr>
                <w:rFonts w:ascii="Symbol"/>
              </w:rPr>
            </w:pPr>
            <w:r>
              <w:t>The most recent valid entry entered in the same division as the current order/treatment record, not from the database conversion.</w:t>
            </w:r>
          </w:p>
        </w:tc>
      </w:tr>
      <w:tr w:rsidR="00AF274B" w14:paraId="4673CA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C5C84AA" w14:textId="77777777" w:rsidR="00AF274B" w:rsidRDefault="00AF274B" w:rsidP="005957FF">
            <w:pPr>
              <w:pStyle w:val="GlossaryTableText"/>
              <w:rPr>
                <w:b/>
                <w:bCs/>
              </w:rPr>
            </w:pPr>
            <w:r>
              <w:rPr>
                <w:b/>
                <w:bCs/>
              </w:rPr>
              <w:t>Historical record</w:t>
            </w:r>
          </w:p>
        </w:tc>
        <w:tc>
          <w:tcPr>
            <w:tcW w:w="3327" w:type="pct"/>
            <w:tcBorders>
              <w:top w:val="nil"/>
              <w:left w:val="nil"/>
              <w:bottom w:val="nil"/>
              <w:right w:val="nil"/>
            </w:tcBorders>
          </w:tcPr>
          <w:p w14:paraId="745A4772" w14:textId="77777777" w:rsidR="00AF274B" w:rsidRDefault="00AF274B" w:rsidP="005957FF">
            <w:pPr>
              <w:pStyle w:val="GlossaryTableText"/>
            </w:pPr>
            <w:r>
              <w:t>Cumulative, redundant data, referenced continually throughout VBECS.</w:t>
            </w:r>
          </w:p>
        </w:tc>
      </w:tr>
      <w:tr w:rsidR="00AF274B" w14:paraId="7B35A2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32CE538" w14:textId="77777777" w:rsidR="00AF274B" w:rsidRDefault="00AF274B">
            <w:pPr>
              <w:pStyle w:val="GlossaryTableText"/>
              <w:rPr>
                <w:b/>
                <w:bCs/>
              </w:rPr>
            </w:pPr>
            <w:r>
              <w:rPr>
                <w:b/>
                <w:bCs/>
              </w:rPr>
              <w:t>HL7</w:t>
            </w:r>
          </w:p>
        </w:tc>
        <w:tc>
          <w:tcPr>
            <w:tcW w:w="3327" w:type="pct"/>
            <w:tcBorders>
              <w:top w:val="nil"/>
              <w:left w:val="nil"/>
              <w:bottom w:val="nil"/>
              <w:right w:val="nil"/>
            </w:tcBorders>
          </w:tcPr>
          <w:p w14:paraId="4C62892F" w14:textId="77777777" w:rsidR="00AF274B" w:rsidRDefault="00AF274B">
            <w:pPr>
              <w:pStyle w:val="GlossaryTableText"/>
            </w:pPr>
            <w:r>
              <w:t>Health Level 7. An international messaging standard used predominantly in the healthcare industry.</w:t>
            </w:r>
          </w:p>
        </w:tc>
      </w:tr>
      <w:tr w:rsidR="00AF274B" w14:paraId="78D0EA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B613D6" w14:textId="77777777" w:rsidR="00AF274B" w:rsidRDefault="00AF274B">
            <w:pPr>
              <w:pStyle w:val="GlossaryTableText"/>
              <w:rPr>
                <w:b/>
                <w:bCs/>
              </w:rPr>
            </w:pPr>
            <w:r>
              <w:rPr>
                <w:b/>
                <w:bCs/>
                <w:snapToGrid w:val="0"/>
              </w:rPr>
              <w:t>HLA (histocompatibility locus antigens)</w:t>
            </w:r>
          </w:p>
        </w:tc>
        <w:tc>
          <w:tcPr>
            <w:tcW w:w="3327" w:type="pct"/>
            <w:tcBorders>
              <w:top w:val="nil"/>
              <w:left w:val="nil"/>
              <w:bottom w:val="nil"/>
              <w:right w:val="nil"/>
            </w:tcBorders>
          </w:tcPr>
          <w:p w14:paraId="0B23D5E2" w14:textId="77777777" w:rsidR="00AF274B" w:rsidRDefault="00AF274B">
            <w:pPr>
              <w:pStyle w:val="GlossaryTableText"/>
              <w:rPr>
                <w:b/>
              </w:rPr>
            </w:pPr>
            <w:r>
              <w:rPr>
                <w:snapToGrid w:val="0"/>
              </w:rPr>
              <w:t>Antigens associated with cellular immunity.</w:t>
            </w:r>
          </w:p>
        </w:tc>
      </w:tr>
      <w:tr w:rsidR="00AF274B" w14:paraId="5B151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B2180E" w14:textId="77777777" w:rsidR="00AF274B" w:rsidRDefault="00AF274B">
            <w:pPr>
              <w:pStyle w:val="GlossaryTableText"/>
              <w:rPr>
                <w:b/>
                <w:bCs/>
              </w:rPr>
            </w:pPr>
            <w:r>
              <w:rPr>
                <w:b/>
                <w:bCs/>
              </w:rPr>
              <w:t>Homologous (also “allogeneic”)</w:t>
            </w:r>
          </w:p>
        </w:tc>
        <w:tc>
          <w:tcPr>
            <w:tcW w:w="3327" w:type="pct"/>
            <w:tcBorders>
              <w:top w:val="nil"/>
              <w:left w:val="nil"/>
              <w:bottom w:val="nil"/>
              <w:right w:val="nil"/>
            </w:tcBorders>
          </w:tcPr>
          <w:p w14:paraId="28518982" w14:textId="77777777" w:rsidR="00AF274B" w:rsidRDefault="00AF274B">
            <w:pPr>
              <w:pStyle w:val="GlossaryTableText"/>
            </w:pPr>
            <w:r>
              <w:t>The standard type of blood donation: a volunteer donor reports to a blood collection facility and donates a unit of blood. The blood is tested and released for general use.</w:t>
            </w:r>
          </w:p>
        </w:tc>
      </w:tr>
      <w:tr w:rsidR="00B85400" w14:paraId="251FF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4B55B9" w14:textId="77777777" w:rsidR="00B85400" w:rsidRDefault="00B85400">
            <w:pPr>
              <w:pStyle w:val="GlossaryTableText"/>
              <w:rPr>
                <w:b/>
                <w:bCs/>
              </w:rPr>
            </w:pPr>
            <w:r>
              <w:rPr>
                <w:b/>
                <w:bCs/>
              </w:rPr>
              <w:t>I</w:t>
            </w:r>
            <w:r w:rsidR="00072167">
              <w:rPr>
                <w:b/>
                <w:bCs/>
              </w:rPr>
              <w:t>AM</w:t>
            </w:r>
          </w:p>
        </w:tc>
        <w:tc>
          <w:tcPr>
            <w:tcW w:w="3327" w:type="pct"/>
            <w:tcBorders>
              <w:top w:val="nil"/>
              <w:left w:val="nil"/>
              <w:bottom w:val="nil"/>
              <w:right w:val="nil"/>
            </w:tcBorders>
          </w:tcPr>
          <w:p w14:paraId="2F247818" w14:textId="77777777" w:rsidR="00B85400" w:rsidRDefault="00072167">
            <w:pPr>
              <w:pStyle w:val="GlossaryTableText"/>
            </w:pPr>
            <w:r>
              <w:t>Identity and Access Management</w:t>
            </w:r>
          </w:p>
        </w:tc>
      </w:tr>
      <w:tr w:rsidR="00AF274B" w14:paraId="55354E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EEDC64" w14:textId="77777777" w:rsidR="00AF274B" w:rsidRDefault="00AF274B">
            <w:pPr>
              <w:pStyle w:val="GlossaryTableText"/>
              <w:rPr>
                <w:b/>
                <w:bCs/>
              </w:rPr>
            </w:pPr>
            <w:r>
              <w:rPr>
                <w:b/>
                <w:bCs/>
              </w:rPr>
              <w:lastRenderedPageBreak/>
              <w:t>ICCBBA</w:t>
            </w:r>
          </w:p>
        </w:tc>
        <w:tc>
          <w:tcPr>
            <w:tcW w:w="3327" w:type="pct"/>
            <w:tcBorders>
              <w:top w:val="nil"/>
              <w:left w:val="nil"/>
              <w:bottom w:val="nil"/>
              <w:right w:val="nil"/>
            </w:tcBorders>
          </w:tcPr>
          <w:p w14:paraId="2489CAC9" w14:textId="77777777" w:rsidR="00AF274B" w:rsidRDefault="00AF274B">
            <w:pPr>
              <w:pStyle w:val="GlossaryTableText"/>
            </w:pPr>
            <w:r>
              <w:t>International Council for Commonality in Blood Banking Automation, Inc. The governing body that developed and maintained the database that governs the ISBT 128 blood labeling system.</w:t>
            </w:r>
          </w:p>
        </w:tc>
      </w:tr>
      <w:tr w:rsidR="001A1559" w14:paraId="3F0BE0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90E510F" w14:textId="77777777" w:rsidR="001A1559" w:rsidRDefault="001A1559">
            <w:pPr>
              <w:pStyle w:val="GlossaryTableText"/>
              <w:rPr>
                <w:b/>
                <w:bCs/>
                <w:snapToGrid w:val="0"/>
              </w:rPr>
            </w:pPr>
            <w:r>
              <w:rPr>
                <w:b/>
                <w:bCs/>
                <w:snapToGrid w:val="0"/>
              </w:rPr>
              <w:t>IEN</w:t>
            </w:r>
          </w:p>
        </w:tc>
        <w:tc>
          <w:tcPr>
            <w:tcW w:w="3327" w:type="pct"/>
            <w:tcBorders>
              <w:top w:val="nil"/>
              <w:left w:val="nil"/>
              <w:bottom w:val="nil"/>
              <w:right w:val="nil"/>
            </w:tcBorders>
          </w:tcPr>
          <w:p w14:paraId="3548A5C2" w14:textId="77777777" w:rsidR="001A1559" w:rsidRDefault="001A1559">
            <w:pPr>
              <w:pStyle w:val="GlossaryTableText"/>
              <w:rPr>
                <w:snapToGrid w:val="0"/>
              </w:rPr>
            </w:pPr>
            <w:r>
              <w:rPr>
                <w:snapToGrid w:val="0"/>
              </w:rPr>
              <w:t xml:space="preserve">Internal Entry Number. </w:t>
            </w:r>
          </w:p>
        </w:tc>
      </w:tr>
      <w:tr w:rsidR="00AF274B" w14:paraId="0FFF5E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5A938ED" w14:textId="77777777" w:rsidR="00AF274B" w:rsidRDefault="00AF274B">
            <w:pPr>
              <w:pStyle w:val="GlossaryTableText"/>
              <w:rPr>
                <w:b/>
                <w:bCs/>
              </w:rPr>
            </w:pPr>
            <w:r>
              <w:rPr>
                <w:b/>
                <w:bCs/>
                <w:snapToGrid w:val="0"/>
              </w:rPr>
              <w:t>IgA (Immunoglobulin A)</w:t>
            </w:r>
          </w:p>
        </w:tc>
        <w:tc>
          <w:tcPr>
            <w:tcW w:w="3327" w:type="pct"/>
            <w:tcBorders>
              <w:top w:val="nil"/>
              <w:left w:val="nil"/>
              <w:bottom w:val="nil"/>
              <w:right w:val="nil"/>
            </w:tcBorders>
          </w:tcPr>
          <w:p w14:paraId="07F9AA1A" w14:textId="77777777" w:rsidR="00AF274B" w:rsidRDefault="00AF274B">
            <w:pPr>
              <w:pStyle w:val="GlossaryTableText"/>
              <w:rPr>
                <w:b/>
              </w:rPr>
            </w:pPr>
            <w:r>
              <w:rPr>
                <w:snapToGrid w:val="0"/>
              </w:rPr>
              <w:t>Immune protein usually associated with tissue response (hypersensitivity).</w:t>
            </w:r>
          </w:p>
        </w:tc>
      </w:tr>
      <w:tr w:rsidR="00AF274B" w14:paraId="3A207B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D13B96" w14:textId="77777777" w:rsidR="00AF274B" w:rsidRDefault="00AF274B">
            <w:pPr>
              <w:pStyle w:val="GlossaryTableText"/>
              <w:rPr>
                <w:b/>
                <w:bCs/>
              </w:rPr>
            </w:pPr>
            <w:r>
              <w:rPr>
                <w:b/>
                <w:bCs/>
              </w:rPr>
              <w:t>In-date</w:t>
            </w:r>
          </w:p>
        </w:tc>
        <w:tc>
          <w:tcPr>
            <w:tcW w:w="3327" w:type="pct"/>
            <w:tcBorders>
              <w:top w:val="nil"/>
              <w:left w:val="nil"/>
              <w:bottom w:val="nil"/>
              <w:right w:val="nil"/>
            </w:tcBorders>
          </w:tcPr>
          <w:p w14:paraId="3FE7C940" w14:textId="77777777" w:rsidR="00AF274B" w:rsidRDefault="00AF274B">
            <w:pPr>
              <w:pStyle w:val="GlossaryTableText"/>
            </w:pPr>
            <w:r>
              <w:t xml:space="preserve">Describes the state of a unit of blood when the expiration date/time of the unit is in the future. </w:t>
            </w:r>
          </w:p>
        </w:tc>
      </w:tr>
      <w:tr w:rsidR="00AF274B" w14:paraId="24E470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2858FA" w14:textId="77777777" w:rsidR="00AF274B" w:rsidRDefault="00AF274B">
            <w:pPr>
              <w:pStyle w:val="GlossaryTableText"/>
              <w:rPr>
                <w:b/>
                <w:bCs/>
              </w:rPr>
            </w:pPr>
            <w:r>
              <w:rPr>
                <w:b/>
                <w:bCs/>
              </w:rPr>
              <w:t>Interpretation</w:t>
            </w:r>
          </w:p>
        </w:tc>
        <w:tc>
          <w:tcPr>
            <w:tcW w:w="3327" w:type="pct"/>
            <w:tcBorders>
              <w:top w:val="nil"/>
              <w:left w:val="nil"/>
              <w:bottom w:val="nil"/>
              <w:right w:val="nil"/>
            </w:tcBorders>
          </w:tcPr>
          <w:p w14:paraId="25EA3448" w14:textId="77777777" w:rsidR="00AF274B" w:rsidRDefault="00AF274B">
            <w:pPr>
              <w:pStyle w:val="GlossaryTableText"/>
            </w:pPr>
            <w:r>
              <w:t>The evaluation of serologic test reactions.</w:t>
            </w:r>
          </w:p>
        </w:tc>
      </w:tr>
      <w:tr w:rsidR="00AF274B" w14:paraId="0E90CB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B2DC4D" w14:textId="77777777" w:rsidR="00AF274B" w:rsidRDefault="00AF274B">
            <w:pPr>
              <w:pStyle w:val="GlossaryTableText"/>
              <w:rPr>
                <w:b/>
                <w:bCs/>
              </w:rPr>
            </w:pPr>
            <w:r>
              <w:rPr>
                <w:b/>
                <w:bCs/>
              </w:rPr>
              <w:t>IRM</w:t>
            </w:r>
          </w:p>
        </w:tc>
        <w:tc>
          <w:tcPr>
            <w:tcW w:w="3327" w:type="pct"/>
            <w:tcBorders>
              <w:top w:val="nil"/>
              <w:left w:val="nil"/>
              <w:bottom w:val="nil"/>
              <w:right w:val="nil"/>
            </w:tcBorders>
          </w:tcPr>
          <w:p w14:paraId="6ABA77BF" w14:textId="77777777" w:rsidR="00AF274B" w:rsidRDefault="00AF274B">
            <w:pPr>
              <w:pStyle w:val="GlossaryTableText"/>
              <w:rPr>
                <w:rFonts w:ascii="Symbol"/>
              </w:rPr>
            </w:pPr>
            <w:r>
              <w:t>Information Resource Management.</w:t>
            </w:r>
          </w:p>
        </w:tc>
      </w:tr>
      <w:tr w:rsidR="00AF274B" w14:paraId="676C8F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3D43EE8" w14:textId="77777777" w:rsidR="00AF274B" w:rsidRDefault="00AF274B">
            <w:pPr>
              <w:pStyle w:val="GlossaryTableText"/>
              <w:rPr>
                <w:b/>
                <w:bCs/>
              </w:rPr>
            </w:pPr>
            <w:r>
              <w:rPr>
                <w:b/>
                <w:bCs/>
                <w:snapToGrid w:val="0"/>
              </w:rPr>
              <w:t>Irradiate</w:t>
            </w:r>
          </w:p>
        </w:tc>
        <w:tc>
          <w:tcPr>
            <w:tcW w:w="3327" w:type="pct"/>
            <w:tcBorders>
              <w:top w:val="nil"/>
              <w:left w:val="nil"/>
              <w:bottom w:val="nil"/>
              <w:right w:val="nil"/>
            </w:tcBorders>
          </w:tcPr>
          <w:p w14:paraId="607E46BC" w14:textId="77777777" w:rsidR="00C64C05" w:rsidRPr="00C64C05" w:rsidRDefault="00BB6868" w:rsidP="00BB6868">
            <w:pPr>
              <w:pStyle w:val="GlossaryTableText"/>
            </w:pPr>
            <w:r>
              <w:t xml:space="preserve">To expose blood products to radiation to damage white cells and </w:t>
            </w:r>
            <w:r w:rsidR="00A77C51">
              <w:t>avoid graft-versus-</w:t>
            </w:r>
            <w:r>
              <w:t>host disease.</w:t>
            </w:r>
          </w:p>
        </w:tc>
      </w:tr>
      <w:tr w:rsidR="00AF274B" w14:paraId="197CF1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ABDE5B3" w14:textId="77777777" w:rsidR="00AF274B" w:rsidRDefault="00AF274B">
            <w:pPr>
              <w:pStyle w:val="GlossaryTableText"/>
              <w:rPr>
                <w:b/>
                <w:bCs/>
              </w:rPr>
            </w:pPr>
            <w:r>
              <w:rPr>
                <w:b/>
                <w:bCs/>
              </w:rPr>
              <w:t>ISBT</w:t>
            </w:r>
          </w:p>
        </w:tc>
        <w:tc>
          <w:tcPr>
            <w:tcW w:w="3327" w:type="pct"/>
            <w:tcBorders>
              <w:top w:val="nil"/>
              <w:left w:val="nil"/>
              <w:bottom w:val="nil"/>
              <w:right w:val="nil"/>
            </w:tcBorders>
          </w:tcPr>
          <w:p w14:paraId="7221E5E2" w14:textId="77777777" w:rsidR="00AF274B" w:rsidRDefault="00AF274B">
            <w:pPr>
              <w:pStyle w:val="GlossaryTableText"/>
            </w:pPr>
            <w:r>
              <w:t>International Society of Blood Transfusion.</w:t>
            </w:r>
          </w:p>
        </w:tc>
      </w:tr>
      <w:tr w:rsidR="00AF274B" w14:paraId="1C7F31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948E88D" w14:textId="77777777" w:rsidR="00AF274B" w:rsidRDefault="00AF274B">
            <w:pPr>
              <w:pStyle w:val="GlossaryTableText"/>
              <w:rPr>
                <w:b/>
                <w:bCs/>
              </w:rPr>
            </w:pPr>
            <w:r>
              <w:rPr>
                <w:b/>
                <w:bCs/>
              </w:rPr>
              <w:t>ISBT 128</w:t>
            </w:r>
          </w:p>
        </w:tc>
        <w:tc>
          <w:tcPr>
            <w:tcW w:w="3327" w:type="pct"/>
            <w:tcBorders>
              <w:top w:val="nil"/>
              <w:left w:val="nil"/>
              <w:bottom w:val="nil"/>
              <w:right w:val="nil"/>
            </w:tcBorders>
          </w:tcPr>
          <w:p w14:paraId="2D0E6681" w14:textId="3F9C2811" w:rsidR="00AF274B" w:rsidRDefault="00AF274B">
            <w:pPr>
              <w:pStyle w:val="GlossaryTableText"/>
            </w:pPr>
            <w:r>
              <w:t>New standardized method for labeling blood units</w:t>
            </w:r>
            <w:r w:rsidR="002A6AEA">
              <w:t>,</w:t>
            </w:r>
            <w:r w:rsidR="00646D98">
              <w:t xml:space="preserve"> </w:t>
            </w:r>
            <w:r w:rsidR="0050114F">
              <w:t>that has replaced Codabar</w:t>
            </w:r>
            <w:r>
              <w:t xml:space="preserve"> </w:t>
            </w:r>
            <w:r>
              <w:rPr>
                <w:i/>
              </w:rPr>
              <w:t>It includes much more information within the barcodes than is possible with Codabar. Its rules are much more structured than Codabar. It is not backwards compatible with Codabar.</w:t>
            </w:r>
          </w:p>
        </w:tc>
      </w:tr>
      <w:tr w:rsidR="00AF274B" w14:paraId="4F226C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93AAB8" w14:textId="77777777" w:rsidR="00AF274B" w:rsidRDefault="00AF274B">
            <w:pPr>
              <w:pStyle w:val="GlossaryTableText"/>
              <w:rPr>
                <w:b/>
                <w:bCs/>
                <w:snapToGrid w:val="0"/>
              </w:rPr>
            </w:pPr>
            <w:r>
              <w:rPr>
                <w:b/>
                <w:bCs/>
                <w:snapToGrid w:val="0"/>
              </w:rPr>
              <w:t>Leukopoor</w:t>
            </w:r>
          </w:p>
        </w:tc>
        <w:tc>
          <w:tcPr>
            <w:tcW w:w="3327" w:type="pct"/>
            <w:tcBorders>
              <w:top w:val="nil"/>
              <w:left w:val="nil"/>
              <w:bottom w:val="nil"/>
              <w:right w:val="nil"/>
            </w:tcBorders>
          </w:tcPr>
          <w:p w14:paraId="7A093AD1" w14:textId="77777777" w:rsidR="00AF274B" w:rsidRDefault="00AF274B">
            <w:pPr>
              <w:pStyle w:val="GlossaryTableText"/>
            </w:pPr>
            <w:r>
              <w:t>See “leukoreduce.”</w:t>
            </w:r>
          </w:p>
        </w:tc>
      </w:tr>
      <w:tr w:rsidR="00E85CF4" w14:paraId="10D2C7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6A16990" w14:textId="77777777" w:rsidR="00E85CF4" w:rsidRDefault="00E85CF4" w:rsidP="00AD0B01">
            <w:pPr>
              <w:pStyle w:val="GlossaryTableText"/>
              <w:rPr>
                <w:b/>
                <w:bCs/>
                <w:snapToGrid w:val="0"/>
              </w:rPr>
            </w:pPr>
          </w:p>
          <w:p w14:paraId="295B9DDE" w14:textId="77777777" w:rsidR="00E85CF4" w:rsidRDefault="00E85CF4" w:rsidP="00AD0B01">
            <w:pPr>
              <w:pStyle w:val="GlossaryTableText"/>
              <w:rPr>
                <w:b/>
                <w:bCs/>
                <w:snapToGrid w:val="0"/>
              </w:rPr>
            </w:pPr>
            <w:r>
              <w:rPr>
                <w:b/>
                <w:bCs/>
                <w:snapToGrid w:val="0"/>
              </w:rPr>
              <w:t>Leukoreduce</w:t>
            </w:r>
          </w:p>
        </w:tc>
        <w:tc>
          <w:tcPr>
            <w:tcW w:w="3327" w:type="pct"/>
            <w:tcBorders>
              <w:top w:val="nil"/>
              <w:left w:val="nil"/>
              <w:bottom w:val="nil"/>
              <w:right w:val="nil"/>
            </w:tcBorders>
          </w:tcPr>
          <w:p w14:paraId="3AC41E7F" w14:textId="77777777" w:rsidR="00E85CF4" w:rsidRDefault="00E85CF4" w:rsidP="00AD0B01">
            <w:pPr>
              <w:pStyle w:val="GlossaryTableText"/>
            </w:pPr>
            <w:r>
              <w:t>To remove white cells from a cellular product through filtration. The resulting product is considered “leukoreduced” or “leukopoor.”</w:t>
            </w:r>
          </w:p>
        </w:tc>
      </w:tr>
      <w:tr w:rsidR="0003186D" w14:paraId="5116E2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403425" w14:textId="77777777" w:rsidR="0003186D" w:rsidRDefault="0003186D">
            <w:pPr>
              <w:pStyle w:val="GlossaryTableText"/>
              <w:rPr>
                <w:b/>
                <w:bCs/>
              </w:rPr>
            </w:pPr>
            <w:r>
              <w:rPr>
                <w:b/>
                <w:bCs/>
              </w:rPr>
              <w:t>ListServ</w:t>
            </w:r>
          </w:p>
        </w:tc>
        <w:tc>
          <w:tcPr>
            <w:tcW w:w="3327" w:type="pct"/>
            <w:tcBorders>
              <w:top w:val="nil"/>
              <w:left w:val="nil"/>
              <w:bottom w:val="nil"/>
              <w:right w:val="nil"/>
            </w:tcBorders>
          </w:tcPr>
          <w:p w14:paraId="171D10B6" w14:textId="77777777" w:rsidR="0003186D" w:rsidRDefault="0003186D">
            <w:pPr>
              <w:pStyle w:val="GlossaryTableText"/>
            </w:pPr>
            <w:r>
              <w:t>A</w:t>
            </w:r>
            <w:r w:rsidRPr="00F05B26">
              <w:t>n email distribution list to manage discussion groups</w:t>
            </w:r>
            <w:r>
              <w:t>.</w:t>
            </w:r>
          </w:p>
        </w:tc>
      </w:tr>
      <w:tr w:rsidR="00AF274B" w14:paraId="6794FD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5FAFE74" w14:textId="77777777" w:rsidR="00AF274B" w:rsidRDefault="00AF274B">
            <w:pPr>
              <w:pStyle w:val="GlossaryTableText"/>
              <w:rPr>
                <w:b/>
                <w:bCs/>
              </w:rPr>
            </w:pPr>
            <w:r>
              <w:rPr>
                <w:b/>
                <w:bCs/>
              </w:rPr>
              <w:t>LMIP</w:t>
            </w:r>
          </w:p>
        </w:tc>
        <w:tc>
          <w:tcPr>
            <w:tcW w:w="3327" w:type="pct"/>
            <w:tcBorders>
              <w:top w:val="nil"/>
              <w:left w:val="nil"/>
              <w:bottom w:val="nil"/>
              <w:right w:val="nil"/>
            </w:tcBorders>
          </w:tcPr>
          <w:p w14:paraId="39009D08" w14:textId="77777777" w:rsidR="00AF274B" w:rsidRDefault="00AF274B">
            <w:pPr>
              <w:pStyle w:val="GlossaryTableText"/>
            </w:pPr>
            <w:r>
              <w:t>Laboratory Management Index Program</w:t>
            </w:r>
            <w:r w:rsidR="003D16EE">
              <w:t xml:space="preserve"> (LMIP) is the name given to the functionality in Veterans Health Information and Technology Architecture (VistA) software designed to capture and tabulate both technical and professional workload as it relates to the performance of ordered/billable tests in VA laboratories</w:t>
            </w:r>
            <w:r>
              <w:t>.</w:t>
            </w:r>
          </w:p>
        </w:tc>
      </w:tr>
      <w:tr w:rsidR="003D16EE" w14:paraId="7BBA1D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9C13C7A" w14:textId="77777777" w:rsidR="003D16EE" w:rsidRDefault="003D16EE">
            <w:pPr>
              <w:pStyle w:val="GlossaryTableText"/>
              <w:rPr>
                <w:b/>
                <w:bCs/>
              </w:rPr>
            </w:pPr>
            <w:r>
              <w:rPr>
                <w:b/>
                <w:bCs/>
              </w:rPr>
              <w:t>Managerial Cost Accounting</w:t>
            </w:r>
          </w:p>
        </w:tc>
        <w:tc>
          <w:tcPr>
            <w:tcW w:w="3327" w:type="pct"/>
            <w:tcBorders>
              <w:top w:val="nil"/>
              <w:left w:val="nil"/>
              <w:bottom w:val="nil"/>
              <w:right w:val="nil"/>
            </w:tcBorders>
          </w:tcPr>
          <w:p w14:paraId="6539F6B3" w14:textId="77777777" w:rsidR="003D16EE" w:rsidRDefault="003D16EE">
            <w:pPr>
              <w:pStyle w:val="GlossaryTableText"/>
            </w:pPr>
            <w:r>
              <w:t>MCA means the process of accumulating, measuring, analyzing, interpreting and reporting cost information useful to both internal and external groups concerned with the way the organization uses, accounts for, safeguards and controls its resources to meet its objectives. MCA assists budgeting, financial accounting and reporting and provides useful information to leadership.</w:t>
            </w:r>
          </w:p>
        </w:tc>
      </w:tr>
      <w:tr w:rsidR="00AF274B" w14:paraId="38B505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16F79A" w14:textId="77777777" w:rsidR="00AF274B" w:rsidRDefault="00AF274B" w:rsidP="003004A7">
            <w:pPr>
              <w:pStyle w:val="GlossaryTableText"/>
              <w:rPr>
                <w:b/>
              </w:rPr>
            </w:pPr>
            <w:r>
              <w:rPr>
                <w:b/>
              </w:rPr>
              <w:t>Medical device</w:t>
            </w:r>
          </w:p>
        </w:tc>
        <w:tc>
          <w:tcPr>
            <w:tcW w:w="3327" w:type="pct"/>
            <w:tcBorders>
              <w:top w:val="nil"/>
              <w:left w:val="nil"/>
              <w:bottom w:val="nil"/>
              <w:right w:val="nil"/>
            </w:tcBorders>
          </w:tcPr>
          <w:p w14:paraId="4225A197" w14:textId="77777777" w:rsidR="00AF274B" w:rsidRDefault="00142B16" w:rsidP="00142B16">
            <w:pPr>
              <w:pStyle w:val="GlossaryTableText"/>
            </w:pPr>
            <w:r>
              <w:t>An instrument, apparatus, implement, machine, contrivance, implant, in vitro reagent, or other similar or related article, including a component part, or accessory that is intended for use in the diagnosis of disease or other conditions, or in the cure, mitigation, treatment, or prevention of disease.</w:t>
            </w:r>
          </w:p>
        </w:tc>
      </w:tr>
      <w:tr w:rsidR="00AF274B" w14:paraId="214B36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391C231" w14:textId="77777777" w:rsidR="00AF274B" w:rsidRDefault="00AF274B">
            <w:pPr>
              <w:pStyle w:val="GlossaryTableText"/>
              <w:rPr>
                <w:b/>
                <w:bCs/>
              </w:rPr>
            </w:pPr>
            <w:r>
              <w:rPr>
                <w:b/>
                <w:bCs/>
              </w:rPr>
              <w:t>Modifier</w:t>
            </w:r>
          </w:p>
        </w:tc>
        <w:tc>
          <w:tcPr>
            <w:tcW w:w="3327" w:type="pct"/>
            <w:tcBorders>
              <w:top w:val="nil"/>
              <w:left w:val="nil"/>
              <w:bottom w:val="nil"/>
              <w:right w:val="nil"/>
            </w:tcBorders>
          </w:tcPr>
          <w:p w14:paraId="59D37C0F" w14:textId="77777777" w:rsidR="00AF274B" w:rsidRDefault="00AF274B">
            <w:pPr>
              <w:pStyle w:val="GlossaryTableText"/>
            </w:pPr>
            <w:r>
              <w:t xml:space="preserve">An ISBT 128 term that describes a characteristic of a donated unit of blood that distinguishes it from other members of the component class. </w:t>
            </w:r>
            <w:r>
              <w:rPr>
                <w:i/>
              </w:rPr>
              <w:t>The VBECS application is concerned with the modifiers “Washed,” “Thawed,” “Liquid,” “Frozen,” “Rejuvenated,” and “Deglycerolized.”</w:t>
            </w:r>
          </w:p>
        </w:tc>
      </w:tr>
      <w:tr w:rsidR="00AF274B" w14:paraId="55BC34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D71BC11" w14:textId="77777777" w:rsidR="00AF274B" w:rsidRDefault="00AF274B" w:rsidP="005957FF">
            <w:pPr>
              <w:pStyle w:val="GlossaryTableText"/>
              <w:rPr>
                <w:b/>
                <w:bCs/>
              </w:rPr>
            </w:pPr>
            <w:r>
              <w:rPr>
                <w:b/>
                <w:bCs/>
              </w:rPr>
              <w:lastRenderedPageBreak/>
              <w:t>Modifier (order)</w:t>
            </w:r>
          </w:p>
        </w:tc>
        <w:tc>
          <w:tcPr>
            <w:tcW w:w="3327" w:type="pct"/>
            <w:tcBorders>
              <w:top w:val="nil"/>
              <w:left w:val="nil"/>
              <w:bottom w:val="nil"/>
              <w:right w:val="nil"/>
            </w:tcBorders>
          </w:tcPr>
          <w:p w14:paraId="6F48C50B" w14:textId="77777777" w:rsidR="00AF274B" w:rsidRDefault="00AF274B" w:rsidP="005957FF">
            <w:pPr>
              <w:pStyle w:val="GlossaryTableText"/>
            </w:pPr>
            <w:r>
              <w:t xml:space="preserve">Component requirements associated with a specific component order. </w:t>
            </w:r>
            <w:r>
              <w:rPr>
                <w:i/>
              </w:rPr>
              <w:t>Example: a component order where red blood cells must be leukoreduced. When a component order is accompanied by special requirements, units issued for transfusion must meet specific criteria that translate into “Modifiers” or “Attributes” in ISBT 128.</w:t>
            </w:r>
            <w:r>
              <w:t xml:space="preserve"> </w:t>
            </w:r>
          </w:p>
        </w:tc>
      </w:tr>
      <w:tr w:rsidR="00AF274B" w14:paraId="7062EF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02E563F" w14:textId="77777777" w:rsidR="00AF274B" w:rsidRDefault="00AF274B">
            <w:pPr>
              <w:pStyle w:val="GlossaryTableText"/>
              <w:rPr>
                <w:b/>
                <w:bCs/>
              </w:rPr>
            </w:pPr>
            <w:r>
              <w:rPr>
                <w:b/>
                <w:bCs/>
              </w:rPr>
              <w:t>MSBOS</w:t>
            </w:r>
          </w:p>
        </w:tc>
        <w:tc>
          <w:tcPr>
            <w:tcW w:w="3327" w:type="pct"/>
            <w:tcBorders>
              <w:top w:val="nil"/>
              <w:left w:val="nil"/>
              <w:bottom w:val="nil"/>
              <w:right w:val="nil"/>
            </w:tcBorders>
          </w:tcPr>
          <w:p w14:paraId="7CAF692D" w14:textId="77777777" w:rsidR="00AF274B" w:rsidRDefault="00AF274B">
            <w:pPr>
              <w:pStyle w:val="GlossaryTableText"/>
            </w:pPr>
            <w:r>
              <w:t xml:space="preserve">Maximum Surgical Blood Ordering Schedule. The appropriate number of specific blood components to be ordered for selected surgeries at a facility. </w:t>
            </w:r>
            <w:r>
              <w:rPr>
                <w:i/>
              </w:rPr>
              <w:t>Preoperative blood component orders are compared with this list and details of orders falling outside of these established criteria are recorded and reportable.</w:t>
            </w:r>
          </w:p>
        </w:tc>
      </w:tr>
      <w:tr w:rsidR="00AF274B" w14:paraId="77ACDF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E921505" w14:textId="77777777" w:rsidR="00AF274B" w:rsidRDefault="00AF274B">
            <w:pPr>
              <w:pStyle w:val="GlossaryTableText"/>
              <w:rPr>
                <w:b/>
                <w:bCs/>
              </w:rPr>
            </w:pPr>
            <w:r>
              <w:rPr>
                <w:b/>
                <w:bCs/>
              </w:rPr>
              <w:t>Multidivisional database</w:t>
            </w:r>
          </w:p>
        </w:tc>
        <w:tc>
          <w:tcPr>
            <w:tcW w:w="3327" w:type="pct"/>
            <w:tcBorders>
              <w:top w:val="nil"/>
              <w:left w:val="nil"/>
              <w:bottom w:val="nil"/>
              <w:right w:val="nil"/>
            </w:tcBorders>
          </w:tcPr>
          <w:p w14:paraId="653D31D0" w14:textId="77777777" w:rsidR="00AF274B" w:rsidRDefault="00AF274B">
            <w:pPr>
              <w:pStyle w:val="GlossaryTableText"/>
            </w:pPr>
            <w:r>
              <w:t>More than one separate transfusion services share a database.</w:t>
            </w:r>
          </w:p>
        </w:tc>
      </w:tr>
      <w:tr w:rsidR="00AF274B" w14:paraId="237235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18D3AF" w14:textId="77777777" w:rsidR="00AF274B" w:rsidRDefault="00AF274B">
            <w:pPr>
              <w:pStyle w:val="GlossaryTableText"/>
              <w:rPr>
                <w:b/>
                <w:bCs/>
              </w:rPr>
            </w:pPr>
            <w:r>
              <w:rPr>
                <w:b/>
                <w:bCs/>
              </w:rPr>
              <w:t>Negative control</w:t>
            </w:r>
          </w:p>
        </w:tc>
        <w:tc>
          <w:tcPr>
            <w:tcW w:w="3327" w:type="pct"/>
            <w:tcBorders>
              <w:top w:val="nil"/>
              <w:left w:val="nil"/>
              <w:bottom w:val="nil"/>
              <w:right w:val="nil"/>
            </w:tcBorders>
          </w:tcPr>
          <w:p w14:paraId="597DA907" w14:textId="77777777" w:rsidR="00AF274B" w:rsidRDefault="00AF274B">
            <w:pPr>
              <w:pStyle w:val="GlossaryTableText"/>
            </w:pPr>
            <w:r>
              <w:t>The negative control cell is known to lack the antigen the antiserum type is to detect. This cell should demonstrate negative serologic reaction, and, therefore, have a valid negative interpretation.</w:t>
            </w:r>
          </w:p>
          <w:p w14:paraId="44CA642F" w14:textId="77777777" w:rsidR="00AF274B" w:rsidRDefault="00AF274B">
            <w:pPr>
              <w:pStyle w:val="GlossaryTableText"/>
            </w:pPr>
            <w:r>
              <w:t>The positive and negative control cells must demonstrate a valid positive or negative set of serologic reactions and interpretations for the test of the unit or patient to be considered valid, regardless of the row validation of the unit test itself. (See “Positive control.”</w:t>
            </w:r>
          </w:p>
        </w:tc>
      </w:tr>
      <w:tr w:rsidR="00AF274B" w14:paraId="0D06BE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7A00A0" w14:textId="77777777" w:rsidR="00AF274B" w:rsidRDefault="00AF274B">
            <w:pPr>
              <w:pStyle w:val="GlossaryTableText"/>
              <w:rPr>
                <w:b/>
                <w:bCs/>
              </w:rPr>
            </w:pPr>
            <w:r>
              <w:rPr>
                <w:b/>
                <w:bCs/>
              </w:rPr>
              <w:t>NFT</w:t>
            </w:r>
          </w:p>
        </w:tc>
        <w:tc>
          <w:tcPr>
            <w:tcW w:w="3327" w:type="pct"/>
            <w:tcBorders>
              <w:top w:val="nil"/>
              <w:left w:val="nil"/>
              <w:bottom w:val="nil"/>
              <w:right w:val="nil"/>
            </w:tcBorders>
          </w:tcPr>
          <w:p w14:paraId="3676F7A1" w14:textId="77777777" w:rsidR="00AF274B" w:rsidRDefault="00AF274B">
            <w:pPr>
              <w:pStyle w:val="GlossaryTableText"/>
              <w:rPr>
                <w:b/>
              </w:rPr>
            </w:pPr>
            <w:r>
              <w:t>Not fully tested.</w:t>
            </w:r>
          </w:p>
        </w:tc>
      </w:tr>
      <w:tr w:rsidR="00AF274B" w14:paraId="5F5C80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D718A2" w14:textId="77777777" w:rsidR="00AF274B" w:rsidRDefault="00AF274B">
            <w:pPr>
              <w:pStyle w:val="GlossaryTableText"/>
              <w:rPr>
                <w:b/>
                <w:bCs/>
              </w:rPr>
            </w:pPr>
            <w:r>
              <w:rPr>
                <w:b/>
                <w:bCs/>
              </w:rPr>
              <w:t>NLT</w:t>
            </w:r>
          </w:p>
        </w:tc>
        <w:tc>
          <w:tcPr>
            <w:tcW w:w="3327" w:type="pct"/>
            <w:tcBorders>
              <w:top w:val="nil"/>
              <w:left w:val="nil"/>
              <w:bottom w:val="nil"/>
              <w:right w:val="nil"/>
            </w:tcBorders>
          </w:tcPr>
          <w:p w14:paraId="14D8E1D6" w14:textId="77777777" w:rsidR="00AF274B" w:rsidRDefault="00AF274B">
            <w:pPr>
              <w:pStyle w:val="GlossaryTableText"/>
            </w:pPr>
            <w:r>
              <w:t xml:space="preserve">National Laboratory Test code. Coding schema used by the </w:t>
            </w:r>
            <w:r w:rsidRPr="00CA6E27">
              <w:rPr>
                <w:bCs/>
              </w:rPr>
              <w:t>VistA</w:t>
            </w:r>
            <w:r>
              <w:t xml:space="preserve"> Laboratory software to assign numeric </w:t>
            </w:r>
            <w:r>
              <w:rPr>
                <w:color w:val="000000"/>
              </w:rPr>
              <w:t>identifier</w:t>
            </w:r>
            <w:r>
              <w:t xml:space="preserve"> code to specific tests. Also known as Workload Code (WKLD CODE).</w:t>
            </w:r>
          </w:p>
        </w:tc>
      </w:tr>
      <w:tr w:rsidR="00AF274B" w14:paraId="13D311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AED381" w14:textId="77777777" w:rsidR="00AF274B" w:rsidRDefault="00AF274B">
            <w:pPr>
              <w:pStyle w:val="GlossaryTableText"/>
              <w:rPr>
                <w:b/>
                <w:bCs/>
              </w:rPr>
            </w:pPr>
            <w:r>
              <w:rPr>
                <w:b/>
                <w:bCs/>
              </w:rPr>
              <w:t>Order</w:t>
            </w:r>
          </w:p>
        </w:tc>
        <w:tc>
          <w:tcPr>
            <w:tcW w:w="3327" w:type="pct"/>
            <w:tcBorders>
              <w:top w:val="nil"/>
              <w:left w:val="nil"/>
              <w:bottom w:val="nil"/>
              <w:right w:val="nil"/>
            </w:tcBorders>
          </w:tcPr>
          <w:p w14:paraId="1FF4F7CC" w14:textId="77777777" w:rsidR="00AF274B" w:rsidRDefault="00AF274B">
            <w:pPr>
              <w:pStyle w:val="GlossaryTableText"/>
            </w:pPr>
            <w:r>
              <w:t xml:space="preserve">Request for a service. </w:t>
            </w:r>
            <w:r>
              <w:rPr>
                <w:i/>
              </w:rPr>
              <w:t>The request may specify when the order is to be completed, e.g., immediately (STAT). VBECS acts on the order when it has been “accessioned.”</w:t>
            </w:r>
          </w:p>
        </w:tc>
      </w:tr>
      <w:tr w:rsidR="001A1559" w14:paraId="78299B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34E2F32" w14:textId="77777777" w:rsidR="001A1559" w:rsidRDefault="001A1559">
            <w:pPr>
              <w:pStyle w:val="GlossaryTableText"/>
              <w:rPr>
                <w:b/>
                <w:bCs/>
              </w:rPr>
            </w:pPr>
            <w:r>
              <w:rPr>
                <w:b/>
                <w:bCs/>
              </w:rPr>
              <w:t>Original unit</w:t>
            </w:r>
          </w:p>
        </w:tc>
        <w:tc>
          <w:tcPr>
            <w:tcW w:w="3327" w:type="pct"/>
            <w:tcBorders>
              <w:top w:val="nil"/>
              <w:left w:val="nil"/>
              <w:bottom w:val="nil"/>
              <w:right w:val="nil"/>
            </w:tcBorders>
          </w:tcPr>
          <w:p w14:paraId="09756829" w14:textId="77777777" w:rsidR="001A1559" w:rsidRDefault="001A1559">
            <w:pPr>
              <w:pStyle w:val="GlossaryTableText"/>
            </w:pPr>
            <w:r>
              <w:rPr>
                <w:snapToGrid w:val="0"/>
              </w:rPr>
              <w:t xml:space="preserve">A unit </w:t>
            </w:r>
            <w:r w:rsidR="004974ED">
              <w:rPr>
                <w:snapToGrid w:val="0"/>
              </w:rPr>
              <w:t>before modification</w:t>
            </w:r>
            <w:r>
              <w:rPr>
                <w:snapToGrid w:val="0"/>
              </w:rPr>
              <w:t>.</w:t>
            </w:r>
          </w:p>
        </w:tc>
      </w:tr>
      <w:tr w:rsidR="00AF274B" w14:paraId="1400F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5095D0" w14:textId="77777777" w:rsidR="00AF274B" w:rsidRDefault="00AF274B">
            <w:pPr>
              <w:pStyle w:val="GlossaryTableText"/>
              <w:rPr>
                <w:b/>
                <w:bCs/>
              </w:rPr>
            </w:pPr>
            <w:r>
              <w:rPr>
                <w:b/>
                <w:bCs/>
              </w:rPr>
              <w:t>Outdated</w:t>
            </w:r>
          </w:p>
        </w:tc>
        <w:tc>
          <w:tcPr>
            <w:tcW w:w="3327" w:type="pct"/>
            <w:tcBorders>
              <w:top w:val="nil"/>
              <w:left w:val="nil"/>
              <w:bottom w:val="nil"/>
              <w:right w:val="nil"/>
            </w:tcBorders>
          </w:tcPr>
          <w:p w14:paraId="019032FE" w14:textId="77777777" w:rsidR="00AF274B" w:rsidRDefault="00AF274B">
            <w:pPr>
              <w:pStyle w:val="GlossaryTableText"/>
            </w:pPr>
            <w:r>
              <w:t xml:space="preserve">Describes the state of a unit of blood that has passed the expiration date/time. </w:t>
            </w:r>
          </w:p>
        </w:tc>
      </w:tr>
      <w:tr w:rsidR="00AF274B" w14:paraId="6D69FC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46E1C41" w14:textId="77777777" w:rsidR="00AF274B" w:rsidRDefault="00AF274B">
            <w:pPr>
              <w:pStyle w:val="GlossaryTableText"/>
              <w:rPr>
                <w:b/>
                <w:bCs/>
              </w:rPr>
            </w:pPr>
            <w:r>
              <w:rPr>
                <w:b/>
                <w:bCs/>
              </w:rPr>
              <w:t>Patch</w:t>
            </w:r>
          </w:p>
        </w:tc>
        <w:tc>
          <w:tcPr>
            <w:tcW w:w="3327" w:type="pct"/>
            <w:tcBorders>
              <w:top w:val="nil"/>
              <w:left w:val="nil"/>
              <w:bottom w:val="nil"/>
              <w:right w:val="nil"/>
            </w:tcBorders>
          </w:tcPr>
          <w:p w14:paraId="0F3E8B12" w14:textId="77777777" w:rsidR="00AF274B" w:rsidRDefault="00AF274B">
            <w:pPr>
              <w:pStyle w:val="GlossaryTableText"/>
            </w:pPr>
            <w:r>
              <w:rPr>
                <w:color w:val="000000"/>
              </w:rPr>
              <w:t>Software developed and released to correct a defect, or change or enhance existing functionality; usually a modified subset or small addition to existing software.</w:t>
            </w:r>
          </w:p>
        </w:tc>
      </w:tr>
      <w:tr w:rsidR="00AF274B" w14:paraId="5FF0CB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5FA643B" w14:textId="77777777" w:rsidR="00AF274B" w:rsidRDefault="00AF274B">
            <w:pPr>
              <w:pStyle w:val="GlossaryTableText"/>
              <w:rPr>
                <w:b/>
                <w:bCs/>
              </w:rPr>
            </w:pPr>
            <w:r>
              <w:rPr>
                <w:b/>
                <w:bCs/>
                <w:snapToGrid w:val="0"/>
              </w:rPr>
              <w:t>Patient care encounter (PCE)</w:t>
            </w:r>
          </w:p>
        </w:tc>
        <w:tc>
          <w:tcPr>
            <w:tcW w:w="3327" w:type="pct"/>
            <w:tcBorders>
              <w:top w:val="nil"/>
              <w:left w:val="nil"/>
              <w:bottom w:val="nil"/>
              <w:right w:val="nil"/>
            </w:tcBorders>
          </w:tcPr>
          <w:p w14:paraId="41E3EC66" w14:textId="77777777" w:rsidR="00AF274B" w:rsidRDefault="00AF274B">
            <w:pPr>
              <w:pStyle w:val="GlossaryTableText"/>
              <w:rPr>
                <w:snapToGrid w:val="0"/>
              </w:rPr>
            </w:pPr>
            <w:r>
              <w:rPr>
                <w:snapToGrid w:val="0"/>
              </w:rPr>
              <w:t>A contact with a patient documented in the patient’s record.</w:t>
            </w:r>
          </w:p>
        </w:tc>
      </w:tr>
      <w:tr w:rsidR="00AF274B" w14:paraId="6CC478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3AA0B23" w14:textId="77777777" w:rsidR="00AF274B" w:rsidRDefault="00AF274B">
            <w:pPr>
              <w:pStyle w:val="GlossaryTableText"/>
              <w:rPr>
                <w:b/>
                <w:bCs/>
              </w:rPr>
            </w:pPr>
            <w:r>
              <w:rPr>
                <w:b/>
                <w:bCs/>
                <w:snapToGrid w:val="0"/>
              </w:rPr>
              <w:t>Pending Order List (POL)</w:t>
            </w:r>
          </w:p>
        </w:tc>
        <w:tc>
          <w:tcPr>
            <w:tcW w:w="3327" w:type="pct"/>
            <w:tcBorders>
              <w:top w:val="nil"/>
              <w:left w:val="nil"/>
              <w:bottom w:val="nil"/>
              <w:right w:val="nil"/>
            </w:tcBorders>
          </w:tcPr>
          <w:p w14:paraId="1D7A02A7" w14:textId="77777777" w:rsidR="00AF274B" w:rsidRDefault="00AF274B">
            <w:pPr>
              <w:pStyle w:val="GlossaryTableText"/>
              <w:rPr>
                <w:snapToGrid w:val="0"/>
              </w:rPr>
            </w:pPr>
            <w:r>
              <w:rPr>
                <w:snapToGrid w:val="0"/>
              </w:rPr>
              <w:t>A list of orders transmitted from CPRS waiting to be processed.</w:t>
            </w:r>
          </w:p>
        </w:tc>
      </w:tr>
      <w:tr w:rsidR="00AF274B" w14:paraId="1FF6B3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84979DF" w14:textId="77777777" w:rsidR="00AF274B" w:rsidRDefault="00AF274B">
            <w:pPr>
              <w:pStyle w:val="GlossaryTableText"/>
              <w:rPr>
                <w:b/>
                <w:bCs/>
              </w:rPr>
            </w:pPr>
            <w:r>
              <w:rPr>
                <w:b/>
                <w:bCs/>
                <w:snapToGrid w:val="0"/>
              </w:rPr>
              <w:t>Pending Task List (PTL)</w:t>
            </w:r>
          </w:p>
        </w:tc>
        <w:tc>
          <w:tcPr>
            <w:tcW w:w="3327" w:type="pct"/>
            <w:tcBorders>
              <w:top w:val="nil"/>
              <w:left w:val="nil"/>
              <w:bottom w:val="nil"/>
              <w:right w:val="nil"/>
            </w:tcBorders>
          </w:tcPr>
          <w:p w14:paraId="45D538F4" w14:textId="77777777" w:rsidR="00AF274B" w:rsidRDefault="00AF274B">
            <w:pPr>
              <w:pStyle w:val="GlossaryTableText"/>
              <w:rPr>
                <w:snapToGrid w:val="0"/>
              </w:rPr>
            </w:pPr>
            <w:r>
              <w:t>A list of tasks to be processed in the blood bank.</w:t>
            </w:r>
          </w:p>
        </w:tc>
      </w:tr>
      <w:tr w:rsidR="00AF274B" w14:paraId="366527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4DF459" w14:textId="77777777" w:rsidR="00AF274B" w:rsidRDefault="00AF274B">
            <w:pPr>
              <w:pStyle w:val="GlossaryTableText"/>
              <w:rPr>
                <w:b/>
                <w:bCs/>
              </w:rPr>
            </w:pPr>
            <w:r>
              <w:rPr>
                <w:b/>
                <w:bCs/>
              </w:rPr>
              <w:t>Phenotype</w:t>
            </w:r>
          </w:p>
        </w:tc>
        <w:tc>
          <w:tcPr>
            <w:tcW w:w="3327" w:type="pct"/>
            <w:tcBorders>
              <w:top w:val="nil"/>
              <w:left w:val="nil"/>
              <w:bottom w:val="nil"/>
              <w:right w:val="nil"/>
            </w:tcBorders>
          </w:tcPr>
          <w:p w14:paraId="07A3EA6E" w14:textId="77777777" w:rsidR="00AF274B" w:rsidRDefault="00AF274B">
            <w:pPr>
              <w:pStyle w:val="GlossaryTableText"/>
            </w:pPr>
            <w:r>
              <w:t>Describes the presence or absence of specific antigens.</w:t>
            </w:r>
          </w:p>
        </w:tc>
      </w:tr>
      <w:tr w:rsidR="00AF274B" w14:paraId="338C17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9F78F2" w14:textId="77777777" w:rsidR="00AF274B" w:rsidRDefault="00AF274B">
            <w:pPr>
              <w:pStyle w:val="GlossaryTableText"/>
              <w:rPr>
                <w:b/>
                <w:bCs/>
              </w:rPr>
            </w:pPr>
            <w:r>
              <w:rPr>
                <w:b/>
                <w:bCs/>
              </w:rPr>
              <w:t>Phenotyping</w:t>
            </w:r>
          </w:p>
        </w:tc>
        <w:tc>
          <w:tcPr>
            <w:tcW w:w="3327" w:type="pct"/>
            <w:tcBorders>
              <w:top w:val="nil"/>
              <w:left w:val="nil"/>
              <w:bottom w:val="nil"/>
              <w:right w:val="nil"/>
            </w:tcBorders>
          </w:tcPr>
          <w:p w14:paraId="3DEFCCAE" w14:textId="77777777" w:rsidR="00AF274B" w:rsidRDefault="00AF274B">
            <w:pPr>
              <w:pStyle w:val="GlossaryTableText"/>
            </w:pPr>
            <w:r>
              <w:t>Testing for the presence or absence of specific antigens. See “Antigen typing.”</w:t>
            </w:r>
          </w:p>
        </w:tc>
      </w:tr>
      <w:tr w:rsidR="00AF274B" w14:paraId="4009C7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06350F4" w14:textId="77777777" w:rsidR="00AF274B" w:rsidRDefault="00AF274B">
            <w:pPr>
              <w:pStyle w:val="GlossaryTableText"/>
              <w:rPr>
                <w:b/>
                <w:bCs/>
              </w:rPr>
            </w:pPr>
            <w:r>
              <w:rPr>
                <w:b/>
                <w:bCs/>
                <w:snapToGrid w:val="0"/>
              </w:rPr>
              <w:t>Pick list</w:t>
            </w:r>
          </w:p>
        </w:tc>
        <w:tc>
          <w:tcPr>
            <w:tcW w:w="3327" w:type="pct"/>
            <w:tcBorders>
              <w:top w:val="nil"/>
              <w:left w:val="nil"/>
              <w:bottom w:val="nil"/>
              <w:right w:val="nil"/>
            </w:tcBorders>
          </w:tcPr>
          <w:p w14:paraId="1D256E6B" w14:textId="77777777" w:rsidR="00AF274B" w:rsidRDefault="00AF274B">
            <w:pPr>
              <w:pStyle w:val="GlossaryTableText"/>
              <w:rPr>
                <w:snapToGrid w:val="0"/>
              </w:rPr>
            </w:pPr>
            <w:r>
              <w:rPr>
                <w:snapToGrid w:val="0"/>
              </w:rPr>
              <w:t>A system-generated list that allows a user to select one or more entries.</w:t>
            </w:r>
          </w:p>
        </w:tc>
      </w:tr>
      <w:tr w:rsidR="00AF274B" w14:paraId="69ED57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2AEE0D" w14:textId="77777777" w:rsidR="00AF274B" w:rsidRDefault="00AF274B">
            <w:pPr>
              <w:pStyle w:val="GlossaryTableText"/>
              <w:rPr>
                <w:b/>
                <w:bCs/>
              </w:rPr>
            </w:pPr>
            <w:r>
              <w:rPr>
                <w:b/>
                <w:bCs/>
              </w:rPr>
              <w:t>Pool</w:t>
            </w:r>
          </w:p>
        </w:tc>
        <w:tc>
          <w:tcPr>
            <w:tcW w:w="3327" w:type="pct"/>
            <w:tcBorders>
              <w:top w:val="nil"/>
              <w:left w:val="nil"/>
              <w:bottom w:val="nil"/>
              <w:right w:val="nil"/>
            </w:tcBorders>
          </w:tcPr>
          <w:p w14:paraId="53FB475B" w14:textId="77777777" w:rsidR="008A6FC3" w:rsidRPr="008A6FC3" w:rsidRDefault="008A6FC3" w:rsidP="008A6FC3">
            <w:pPr>
              <w:pStyle w:val="GlossaryTableText"/>
            </w:pPr>
            <w:r>
              <w:t>A blood product from many donors stored for later use.</w:t>
            </w:r>
          </w:p>
        </w:tc>
      </w:tr>
      <w:tr w:rsidR="00AF274B" w14:paraId="094B0E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4A98F0" w14:textId="77777777" w:rsidR="00AF274B" w:rsidRDefault="00AF274B">
            <w:pPr>
              <w:pStyle w:val="GlossaryTableText"/>
              <w:rPr>
                <w:b/>
                <w:bCs/>
              </w:rPr>
            </w:pPr>
            <w:r>
              <w:rPr>
                <w:b/>
                <w:bCs/>
              </w:rPr>
              <w:lastRenderedPageBreak/>
              <w:t>Positive control</w:t>
            </w:r>
          </w:p>
        </w:tc>
        <w:tc>
          <w:tcPr>
            <w:tcW w:w="3327" w:type="pct"/>
            <w:tcBorders>
              <w:top w:val="nil"/>
              <w:left w:val="nil"/>
              <w:bottom w:val="nil"/>
              <w:right w:val="nil"/>
            </w:tcBorders>
          </w:tcPr>
          <w:p w14:paraId="35DA1564" w14:textId="77777777" w:rsidR="00AF274B" w:rsidRDefault="00AF274B">
            <w:pPr>
              <w:pStyle w:val="GlossaryTableText"/>
            </w:pPr>
            <w:r>
              <w:t xml:space="preserve">The positive control cell is known to have the antigen that the reagent antiserum type is to detect. This cell should demonstrate positive serologic reaction and, therefore, have a valid positive interpretation. </w:t>
            </w:r>
          </w:p>
          <w:p w14:paraId="0A736DE1" w14:textId="77777777" w:rsidR="00AF274B" w:rsidRDefault="00AF274B">
            <w:pPr>
              <w:pStyle w:val="GlossaryTableText"/>
            </w:pPr>
            <w:r>
              <w:t>The positive and negative control cells must demonstrate a valid positive or negative set of serologic reactions and interpretations for the test of the unit or patient to be considered valid, regardless of the row validation of the unit test itself. (See “Negative control.”)</w:t>
            </w:r>
          </w:p>
        </w:tc>
      </w:tr>
      <w:tr w:rsidR="00AF274B" w14:paraId="6A8294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F719232" w14:textId="77777777" w:rsidR="00AF274B" w:rsidRDefault="00AF274B">
            <w:pPr>
              <w:pStyle w:val="GlossaryTableText"/>
              <w:rPr>
                <w:b/>
                <w:bCs/>
              </w:rPr>
            </w:pPr>
            <w:r>
              <w:rPr>
                <w:b/>
                <w:bCs/>
              </w:rPr>
              <w:t>Potential hazard</w:t>
            </w:r>
          </w:p>
        </w:tc>
        <w:tc>
          <w:tcPr>
            <w:tcW w:w="3327" w:type="pct"/>
            <w:tcBorders>
              <w:top w:val="nil"/>
              <w:left w:val="nil"/>
              <w:bottom w:val="nil"/>
              <w:right w:val="nil"/>
            </w:tcBorders>
          </w:tcPr>
          <w:p w14:paraId="63024E4C" w14:textId="77777777" w:rsidR="00AF274B" w:rsidRDefault="00AF274B">
            <w:pPr>
              <w:pStyle w:val="GlossaryTableText"/>
            </w:pPr>
            <w:r>
              <w:t>An event that compromises the safety of the patient or blood supply.</w:t>
            </w:r>
          </w:p>
        </w:tc>
      </w:tr>
      <w:tr w:rsidR="00AF274B" w14:paraId="741776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76736A" w14:textId="77777777" w:rsidR="00AF274B" w:rsidRDefault="00AF274B">
            <w:pPr>
              <w:pStyle w:val="GlossaryTableText"/>
              <w:rPr>
                <w:b/>
                <w:bCs/>
              </w:rPr>
            </w:pPr>
            <w:r>
              <w:rPr>
                <w:b/>
                <w:bCs/>
              </w:rPr>
              <w:t>Pre-transfusion testing</w:t>
            </w:r>
          </w:p>
        </w:tc>
        <w:tc>
          <w:tcPr>
            <w:tcW w:w="3327" w:type="pct"/>
            <w:tcBorders>
              <w:top w:val="nil"/>
              <w:left w:val="nil"/>
              <w:bottom w:val="nil"/>
              <w:right w:val="nil"/>
            </w:tcBorders>
          </w:tcPr>
          <w:p w14:paraId="1136884C" w14:textId="77777777" w:rsidR="00AF274B" w:rsidRDefault="00AF274B">
            <w:pPr>
              <w:pStyle w:val="GlossaryTableText"/>
            </w:pPr>
            <w:r>
              <w:t>A group of tests, including ABO/Rh and an antibody screen, that must be performed on a sample of blood prior to crossmatching red cells for transfusion.</w:t>
            </w:r>
          </w:p>
        </w:tc>
      </w:tr>
      <w:tr w:rsidR="00AF274B" w14:paraId="41C8BF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328AF89" w14:textId="77777777" w:rsidR="00AF274B" w:rsidRDefault="00AF274B">
            <w:pPr>
              <w:pStyle w:val="GlossaryTableText"/>
              <w:rPr>
                <w:b/>
                <w:bCs/>
              </w:rPr>
            </w:pPr>
            <w:r>
              <w:rPr>
                <w:b/>
                <w:bCs/>
              </w:rPr>
              <w:t>Product</w:t>
            </w:r>
          </w:p>
        </w:tc>
        <w:tc>
          <w:tcPr>
            <w:tcW w:w="3327" w:type="pct"/>
            <w:tcBorders>
              <w:top w:val="nil"/>
              <w:left w:val="nil"/>
              <w:bottom w:val="nil"/>
              <w:right w:val="nil"/>
            </w:tcBorders>
          </w:tcPr>
          <w:p w14:paraId="0AE301CD" w14:textId="77777777" w:rsidR="00AF274B" w:rsidRDefault="00AF274B">
            <w:pPr>
              <w:pStyle w:val="GlossaryTableText"/>
            </w:pPr>
            <w:r>
              <w:t>Components, manufacturing materials, in-process devices, finished devices, and returned devices.</w:t>
            </w:r>
          </w:p>
        </w:tc>
      </w:tr>
      <w:tr w:rsidR="00AF274B" w14:paraId="641CD7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D6A941D" w14:textId="77777777" w:rsidR="00AF274B" w:rsidRDefault="00AF274B">
            <w:pPr>
              <w:pStyle w:val="GlossaryTableText"/>
              <w:rPr>
                <w:b/>
                <w:bCs/>
              </w:rPr>
            </w:pPr>
            <w:r>
              <w:rPr>
                <w:b/>
                <w:bCs/>
              </w:rPr>
              <w:t>Product type</w:t>
            </w:r>
          </w:p>
        </w:tc>
        <w:tc>
          <w:tcPr>
            <w:tcW w:w="3327" w:type="pct"/>
            <w:tcBorders>
              <w:top w:val="nil"/>
              <w:left w:val="nil"/>
              <w:bottom w:val="nil"/>
              <w:right w:val="nil"/>
            </w:tcBorders>
          </w:tcPr>
          <w:p w14:paraId="0CC10656" w14:textId="77777777" w:rsidR="00AF274B" w:rsidRDefault="00AF274B">
            <w:pPr>
              <w:pStyle w:val="GlossaryTableText"/>
            </w:pPr>
            <w:r>
              <w:t>See “Component class.”</w:t>
            </w:r>
          </w:p>
        </w:tc>
      </w:tr>
      <w:tr w:rsidR="00542729" w14:paraId="2CD144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170F8F6" w14:textId="77777777" w:rsidR="00542729" w:rsidRDefault="00542729">
            <w:pPr>
              <w:pStyle w:val="GlossaryTableText"/>
              <w:rPr>
                <w:b/>
                <w:bCs/>
              </w:rPr>
            </w:pPr>
            <w:r>
              <w:rPr>
                <w:b/>
                <w:bCs/>
              </w:rPr>
              <w:t>Presumed transfused</w:t>
            </w:r>
          </w:p>
        </w:tc>
        <w:tc>
          <w:tcPr>
            <w:tcW w:w="3327" w:type="pct"/>
            <w:tcBorders>
              <w:top w:val="nil"/>
              <w:left w:val="nil"/>
              <w:bottom w:val="nil"/>
              <w:right w:val="nil"/>
            </w:tcBorders>
          </w:tcPr>
          <w:p w14:paraId="260BC6AB" w14:textId="77777777" w:rsidR="00542729" w:rsidRDefault="00542729">
            <w:pPr>
              <w:pStyle w:val="GlossaryTableText"/>
            </w:pPr>
            <w:r>
              <w:t>Unit status that VBECS assigns 48 hours after issue of a bl</w:t>
            </w:r>
            <w:r w:rsidR="006B7AA9">
              <w:t>ood product.</w:t>
            </w:r>
          </w:p>
        </w:tc>
      </w:tr>
      <w:tr w:rsidR="00AF274B" w14:paraId="75D6E4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4436F3" w14:textId="77777777" w:rsidR="00AF274B" w:rsidRDefault="00AF274B">
            <w:pPr>
              <w:pStyle w:val="GlossaryTableText"/>
              <w:rPr>
                <w:b/>
                <w:bCs/>
              </w:rPr>
            </w:pPr>
            <w:r>
              <w:rPr>
                <w:b/>
                <w:bCs/>
              </w:rPr>
              <w:t>QC</w:t>
            </w:r>
          </w:p>
        </w:tc>
        <w:tc>
          <w:tcPr>
            <w:tcW w:w="3327" w:type="pct"/>
            <w:tcBorders>
              <w:top w:val="nil"/>
              <w:left w:val="nil"/>
              <w:bottom w:val="nil"/>
              <w:right w:val="nil"/>
            </w:tcBorders>
          </w:tcPr>
          <w:p w14:paraId="1AFCF886" w14:textId="77777777" w:rsidR="00AF274B" w:rsidRDefault="00AF274B">
            <w:pPr>
              <w:pStyle w:val="GlossaryTableText"/>
            </w:pPr>
            <w:r>
              <w:t xml:space="preserve">Quality control. Testing routinely performed to ensure the proper functioning of materials, equipment, and methods. </w:t>
            </w:r>
          </w:p>
        </w:tc>
      </w:tr>
      <w:tr w:rsidR="00AF274B" w14:paraId="4EFCE6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FF7A97A" w14:textId="77777777" w:rsidR="00AF274B" w:rsidRDefault="00AF274B">
            <w:pPr>
              <w:pStyle w:val="GlossaryTableText"/>
              <w:rPr>
                <w:b/>
                <w:bCs/>
              </w:rPr>
            </w:pPr>
            <w:r>
              <w:rPr>
                <w:b/>
                <w:bCs/>
              </w:rPr>
              <w:t>Quality</w:t>
            </w:r>
          </w:p>
        </w:tc>
        <w:tc>
          <w:tcPr>
            <w:tcW w:w="3327" w:type="pct"/>
            <w:tcBorders>
              <w:top w:val="nil"/>
              <w:left w:val="nil"/>
              <w:bottom w:val="nil"/>
              <w:right w:val="nil"/>
            </w:tcBorders>
          </w:tcPr>
          <w:p w14:paraId="6B2D96BE" w14:textId="77777777" w:rsidR="00AF274B" w:rsidRDefault="00AF274B">
            <w:pPr>
              <w:pStyle w:val="GlossaryTableText"/>
            </w:pPr>
            <w:r>
              <w:t>The totality of features and characteristics that affect the ability of a device to satisfy fitness-for-use, including safety and performance.</w:t>
            </w:r>
          </w:p>
        </w:tc>
      </w:tr>
      <w:tr w:rsidR="00AF274B" w14:paraId="02BCF6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729FA79" w14:textId="77777777" w:rsidR="00AF274B" w:rsidRDefault="00AF274B">
            <w:pPr>
              <w:pStyle w:val="GlossaryTableText"/>
              <w:rPr>
                <w:b/>
                <w:bCs/>
              </w:rPr>
            </w:pPr>
            <w:r>
              <w:rPr>
                <w:b/>
                <w:bCs/>
              </w:rPr>
              <w:t>Reagent rack (also “rack”)</w:t>
            </w:r>
          </w:p>
        </w:tc>
        <w:tc>
          <w:tcPr>
            <w:tcW w:w="3327" w:type="pct"/>
            <w:tcBorders>
              <w:top w:val="nil"/>
              <w:left w:val="nil"/>
              <w:bottom w:val="nil"/>
              <w:right w:val="nil"/>
            </w:tcBorders>
          </w:tcPr>
          <w:p w14:paraId="007AD152" w14:textId="77777777" w:rsidR="00AF274B" w:rsidRDefault="00AF274B">
            <w:pPr>
              <w:pStyle w:val="GlossaryTableText"/>
            </w:pPr>
            <w:r>
              <w:t>A group of reagents used in routine blood bank testing.</w:t>
            </w:r>
          </w:p>
        </w:tc>
      </w:tr>
      <w:tr w:rsidR="00AF274B" w14:paraId="662415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6512EE9" w14:textId="77777777" w:rsidR="00AF274B" w:rsidRDefault="00AF274B">
            <w:pPr>
              <w:pStyle w:val="GlossaryTableText"/>
              <w:rPr>
                <w:b/>
                <w:bCs/>
              </w:rPr>
            </w:pPr>
            <w:r>
              <w:rPr>
                <w:b/>
                <w:bCs/>
              </w:rPr>
              <w:t>Reagent red blood cells</w:t>
            </w:r>
          </w:p>
        </w:tc>
        <w:tc>
          <w:tcPr>
            <w:tcW w:w="3327" w:type="pct"/>
            <w:tcBorders>
              <w:top w:val="nil"/>
              <w:left w:val="nil"/>
              <w:bottom w:val="nil"/>
              <w:right w:val="nil"/>
            </w:tcBorders>
          </w:tcPr>
          <w:p w14:paraId="1381659E" w14:textId="77777777" w:rsidR="00AF274B" w:rsidRDefault="00AF274B">
            <w:pPr>
              <w:pStyle w:val="GlossaryTableText"/>
            </w:pPr>
            <w:r>
              <w:t>Non-patient testing materials, usually from a commercial source.</w:t>
            </w:r>
          </w:p>
        </w:tc>
      </w:tr>
      <w:tr w:rsidR="00AF274B" w14:paraId="285147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1629964" w14:textId="77777777" w:rsidR="00AF274B" w:rsidRDefault="00AF274B">
            <w:pPr>
              <w:pStyle w:val="GlossaryTableText"/>
              <w:rPr>
                <w:b/>
                <w:bCs/>
              </w:rPr>
            </w:pPr>
            <w:r>
              <w:rPr>
                <w:b/>
                <w:bCs/>
              </w:rPr>
              <w:t>Reflex order</w:t>
            </w:r>
          </w:p>
        </w:tc>
        <w:tc>
          <w:tcPr>
            <w:tcW w:w="3327" w:type="pct"/>
            <w:tcBorders>
              <w:top w:val="nil"/>
              <w:left w:val="nil"/>
              <w:bottom w:val="nil"/>
              <w:right w:val="nil"/>
            </w:tcBorders>
          </w:tcPr>
          <w:p w14:paraId="0EA34315" w14:textId="77777777" w:rsidR="00AF274B" w:rsidRDefault="00AF274B">
            <w:pPr>
              <w:pStyle w:val="GlossaryTableText"/>
            </w:pPr>
            <w:r>
              <w:t>An order for additional testing to be performed resulting from observations of previous testing.</w:t>
            </w:r>
          </w:p>
        </w:tc>
      </w:tr>
      <w:tr w:rsidR="00AF274B" w14:paraId="7C9B03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302521" w14:textId="77777777" w:rsidR="00AF274B" w:rsidRDefault="00AF274B">
            <w:pPr>
              <w:pStyle w:val="GlossaryTableText"/>
              <w:rPr>
                <w:b/>
                <w:bCs/>
              </w:rPr>
            </w:pPr>
            <w:r>
              <w:rPr>
                <w:b/>
                <w:bCs/>
              </w:rPr>
              <w:t>Reflex test</w:t>
            </w:r>
          </w:p>
        </w:tc>
        <w:tc>
          <w:tcPr>
            <w:tcW w:w="3327" w:type="pct"/>
            <w:tcBorders>
              <w:top w:val="nil"/>
              <w:left w:val="nil"/>
              <w:bottom w:val="nil"/>
              <w:right w:val="nil"/>
            </w:tcBorders>
          </w:tcPr>
          <w:p w14:paraId="3F0D4EF6" w14:textId="77777777" w:rsidR="00AF274B" w:rsidRDefault="00AF274B">
            <w:pPr>
              <w:pStyle w:val="GlossaryTableText"/>
            </w:pPr>
            <w:r>
              <w:t>A laboratory test not ordered by a physician but performed in response to results of other laboratory tests.</w:t>
            </w:r>
          </w:p>
        </w:tc>
      </w:tr>
      <w:tr w:rsidR="00AF274B" w14:paraId="162ABA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DDECDE" w14:textId="77777777" w:rsidR="00AF274B" w:rsidRDefault="00AF274B">
            <w:pPr>
              <w:pStyle w:val="GlossaryTableText"/>
              <w:rPr>
                <w:b/>
                <w:bCs/>
              </w:rPr>
            </w:pPr>
            <w:r>
              <w:rPr>
                <w:b/>
                <w:bCs/>
                <w:snapToGrid w:val="0"/>
              </w:rPr>
              <w:t>Rh (also “Rh factor”)</w:t>
            </w:r>
          </w:p>
        </w:tc>
        <w:tc>
          <w:tcPr>
            <w:tcW w:w="3327" w:type="pct"/>
            <w:tcBorders>
              <w:top w:val="nil"/>
              <w:left w:val="nil"/>
              <w:bottom w:val="nil"/>
              <w:right w:val="nil"/>
            </w:tcBorders>
          </w:tcPr>
          <w:p w14:paraId="19D4DCE3" w14:textId="77777777" w:rsidR="00AF274B" w:rsidRDefault="00AF274B">
            <w:pPr>
              <w:pStyle w:val="GlossaryTableText"/>
              <w:rPr>
                <w:snapToGrid w:val="0"/>
              </w:rPr>
            </w:pPr>
            <w:r>
              <w:rPr>
                <w:snapToGrid w:val="0"/>
              </w:rPr>
              <w:t xml:space="preserve">Rhesus factor. </w:t>
            </w:r>
            <w:r>
              <w:t>The major antigen of the Rh system. Also “D.”</w:t>
            </w:r>
            <w:r>
              <w:rPr>
                <w:i/>
              </w:rPr>
              <w:t xml:space="preserve"> The presence of this antigen on red blood cells determines if a patient or donor is Rh Pos or Rh Neg. A weak expression of the D antigen, referred to as “Du” or “weak D,” may require additional testing to determine its presence.</w:t>
            </w:r>
          </w:p>
        </w:tc>
      </w:tr>
      <w:tr w:rsidR="00AF274B" w14:paraId="753DE5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0529E86" w14:textId="77777777" w:rsidR="00AF274B" w:rsidRDefault="00AF274B">
            <w:pPr>
              <w:pStyle w:val="GlossaryTableText"/>
              <w:rPr>
                <w:b/>
                <w:bCs/>
              </w:rPr>
            </w:pPr>
            <w:r>
              <w:rPr>
                <w:b/>
                <w:bCs/>
                <w:snapToGrid w:val="0"/>
              </w:rPr>
              <w:t>SCD</w:t>
            </w:r>
          </w:p>
        </w:tc>
        <w:tc>
          <w:tcPr>
            <w:tcW w:w="3327" w:type="pct"/>
            <w:tcBorders>
              <w:top w:val="nil"/>
              <w:left w:val="nil"/>
              <w:bottom w:val="nil"/>
              <w:right w:val="nil"/>
            </w:tcBorders>
          </w:tcPr>
          <w:p w14:paraId="7C982E87" w14:textId="77777777" w:rsidR="00AF274B" w:rsidRDefault="00AF274B">
            <w:pPr>
              <w:pStyle w:val="GlossaryTableText"/>
              <w:rPr>
                <w:snapToGrid w:val="0"/>
              </w:rPr>
            </w:pPr>
            <w:r>
              <w:rPr>
                <w:snapToGrid w:val="0"/>
              </w:rPr>
              <w:t>Sterile connection device.</w:t>
            </w:r>
          </w:p>
        </w:tc>
      </w:tr>
      <w:tr w:rsidR="00AF274B" w14:paraId="7060FE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74137D2" w14:textId="77777777" w:rsidR="00AF274B" w:rsidRDefault="00AF274B">
            <w:pPr>
              <w:pStyle w:val="GlossaryTableText"/>
              <w:rPr>
                <w:b/>
                <w:bCs/>
                <w:snapToGrid w:val="0"/>
              </w:rPr>
            </w:pPr>
            <w:r>
              <w:rPr>
                <w:b/>
                <w:bCs/>
                <w:snapToGrid w:val="0"/>
              </w:rPr>
              <w:t>Screening cell (SC)</w:t>
            </w:r>
          </w:p>
          <w:p w14:paraId="629C7231" w14:textId="68D18599" w:rsidR="0022026D" w:rsidRPr="0022026D" w:rsidRDefault="0022026D" w:rsidP="0022026D">
            <w:pPr>
              <w:pStyle w:val="TableText"/>
              <w:rPr>
                <w:b/>
                <w:sz w:val="20"/>
                <w:szCs w:val="20"/>
              </w:rPr>
            </w:pPr>
            <w:r w:rsidRPr="0022026D">
              <w:rPr>
                <w:b/>
                <w:sz w:val="20"/>
                <w:szCs w:val="20"/>
              </w:rPr>
              <w:t>SD</w:t>
            </w:r>
          </w:p>
        </w:tc>
        <w:tc>
          <w:tcPr>
            <w:tcW w:w="3327" w:type="pct"/>
            <w:tcBorders>
              <w:top w:val="nil"/>
              <w:left w:val="nil"/>
              <w:bottom w:val="nil"/>
              <w:right w:val="nil"/>
            </w:tcBorders>
          </w:tcPr>
          <w:p w14:paraId="247FA565" w14:textId="77777777" w:rsidR="00AF274B" w:rsidRDefault="00AF274B">
            <w:pPr>
              <w:pStyle w:val="GlossaryTableText"/>
              <w:rPr>
                <w:snapToGrid w:val="0"/>
              </w:rPr>
            </w:pPr>
            <w:r>
              <w:rPr>
                <w:snapToGrid w:val="0"/>
              </w:rPr>
              <w:t>Antigenically defined cells used to detect alloantibodies.</w:t>
            </w:r>
          </w:p>
          <w:p w14:paraId="26D5BA83" w14:textId="3CE79ADE" w:rsidR="0022026D" w:rsidRPr="0022026D" w:rsidRDefault="0022026D" w:rsidP="0022026D">
            <w:pPr>
              <w:pStyle w:val="TableText"/>
              <w:rPr>
                <w:sz w:val="20"/>
                <w:szCs w:val="20"/>
              </w:rPr>
            </w:pPr>
            <w:r w:rsidRPr="0022026D">
              <w:rPr>
                <w:sz w:val="20"/>
                <w:szCs w:val="20"/>
              </w:rPr>
              <w:t>Service Desk (formerly National Help Desk).</w:t>
            </w:r>
          </w:p>
        </w:tc>
      </w:tr>
      <w:tr w:rsidR="00AF274B" w14:paraId="17B4D7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4223F97" w14:textId="77777777" w:rsidR="00AF274B" w:rsidRDefault="00AF274B">
            <w:pPr>
              <w:pStyle w:val="GlossaryTableText"/>
              <w:rPr>
                <w:b/>
                <w:bCs/>
              </w:rPr>
            </w:pPr>
            <w:r>
              <w:rPr>
                <w:b/>
                <w:bCs/>
              </w:rPr>
              <w:t>Selected</w:t>
            </w:r>
          </w:p>
        </w:tc>
        <w:tc>
          <w:tcPr>
            <w:tcW w:w="3327" w:type="pct"/>
            <w:tcBorders>
              <w:top w:val="nil"/>
              <w:left w:val="nil"/>
              <w:bottom w:val="nil"/>
              <w:right w:val="nil"/>
            </w:tcBorders>
          </w:tcPr>
          <w:p w14:paraId="40EE796B" w14:textId="77777777" w:rsidR="00AF274B" w:rsidRDefault="00AF274B">
            <w:pPr>
              <w:pStyle w:val="GlossaryTableText"/>
            </w:pPr>
            <w:r>
              <w:t xml:space="preserve">Status of a unit of red cells when the blood bank technician selects it from available inventory to be crossmatched with a patient specimen. </w:t>
            </w:r>
            <w:r>
              <w:rPr>
                <w:i/>
              </w:rPr>
              <w:t>A unit in “selected” state is not available to be issued for transfusion. By entering a crossmatch result of “compatible,” the state changes from “selected” to “assigned.”</w:t>
            </w:r>
          </w:p>
        </w:tc>
      </w:tr>
      <w:tr w:rsidR="00AF274B" w14:paraId="5E58B1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FBB932E" w14:textId="77777777" w:rsidR="00AF274B" w:rsidRDefault="00AF274B">
            <w:pPr>
              <w:pStyle w:val="GlossaryTableText"/>
              <w:rPr>
                <w:b/>
                <w:bCs/>
              </w:rPr>
            </w:pPr>
            <w:r>
              <w:rPr>
                <w:b/>
                <w:bCs/>
                <w:snapToGrid w:val="0"/>
              </w:rPr>
              <w:t>Serologic crossmatch</w:t>
            </w:r>
          </w:p>
        </w:tc>
        <w:tc>
          <w:tcPr>
            <w:tcW w:w="3327" w:type="pct"/>
            <w:tcBorders>
              <w:top w:val="nil"/>
              <w:left w:val="nil"/>
              <w:bottom w:val="nil"/>
              <w:right w:val="nil"/>
            </w:tcBorders>
          </w:tcPr>
          <w:p w14:paraId="2A0A0B1A" w14:textId="77777777" w:rsidR="00AF274B" w:rsidRDefault="00AF274B">
            <w:pPr>
              <w:pStyle w:val="GlossaryTableText"/>
              <w:rPr>
                <w:b/>
              </w:rPr>
            </w:pPr>
            <w:r>
              <w:rPr>
                <w:snapToGrid w:val="0"/>
              </w:rPr>
              <w:t>Performance of a laboratory test to predict post-transfusion survival of transfused blood.</w:t>
            </w:r>
          </w:p>
        </w:tc>
      </w:tr>
      <w:tr w:rsidR="00AF274B" w14:paraId="140FB8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A01E2E" w14:textId="77777777" w:rsidR="00AF274B" w:rsidRDefault="00AF274B">
            <w:pPr>
              <w:pStyle w:val="GlossaryTableText"/>
              <w:rPr>
                <w:b/>
                <w:bCs/>
              </w:rPr>
            </w:pPr>
            <w:r>
              <w:rPr>
                <w:b/>
                <w:bCs/>
              </w:rPr>
              <w:t>Serum</w:t>
            </w:r>
          </w:p>
        </w:tc>
        <w:tc>
          <w:tcPr>
            <w:tcW w:w="3327" w:type="pct"/>
            <w:tcBorders>
              <w:top w:val="nil"/>
              <w:left w:val="nil"/>
              <w:bottom w:val="nil"/>
              <w:right w:val="nil"/>
            </w:tcBorders>
          </w:tcPr>
          <w:p w14:paraId="18B287C8" w14:textId="77777777" w:rsidR="00AF274B" w:rsidRDefault="00AF274B">
            <w:pPr>
              <w:pStyle w:val="GlossaryTableText"/>
            </w:pPr>
            <w:r>
              <w:t>The liquid portion of blood used to detect antibodies.</w:t>
            </w:r>
          </w:p>
        </w:tc>
      </w:tr>
      <w:tr w:rsidR="00AF274B" w14:paraId="493E53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A280291" w14:textId="77777777" w:rsidR="00AF274B" w:rsidRDefault="00AF274B">
            <w:pPr>
              <w:pStyle w:val="GlossaryTableText"/>
              <w:rPr>
                <w:b/>
                <w:bCs/>
              </w:rPr>
            </w:pPr>
            <w:r>
              <w:rPr>
                <w:b/>
                <w:bCs/>
              </w:rPr>
              <w:lastRenderedPageBreak/>
              <w:t>Server</w:t>
            </w:r>
          </w:p>
        </w:tc>
        <w:tc>
          <w:tcPr>
            <w:tcW w:w="3327" w:type="pct"/>
            <w:tcBorders>
              <w:top w:val="nil"/>
              <w:left w:val="nil"/>
              <w:bottom w:val="nil"/>
              <w:right w:val="nil"/>
            </w:tcBorders>
          </w:tcPr>
          <w:p w14:paraId="2BF74C7E" w14:textId="77777777" w:rsidR="00AF274B" w:rsidRDefault="00AF274B">
            <w:pPr>
              <w:pStyle w:val="GlossaryTableText"/>
            </w:pPr>
            <w:r>
              <w:t>A computer system in a network shared by multiple users.</w:t>
            </w:r>
          </w:p>
        </w:tc>
      </w:tr>
      <w:tr w:rsidR="00AF274B" w14:paraId="455BCD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7077B77" w14:textId="77777777" w:rsidR="00AF274B" w:rsidRDefault="00AF274B">
            <w:pPr>
              <w:pStyle w:val="GlossaryTableText"/>
              <w:rPr>
                <w:b/>
                <w:bCs/>
              </w:rPr>
            </w:pPr>
            <w:r>
              <w:rPr>
                <w:b/>
                <w:bCs/>
              </w:rPr>
              <w:t>SF 518 equivalent</w:t>
            </w:r>
          </w:p>
        </w:tc>
        <w:tc>
          <w:tcPr>
            <w:tcW w:w="3327" w:type="pct"/>
            <w:tcBorders>
              <w:top w:val="nil"/>
              <w:left w:val="nil"/>
              <w:bottom w:val="nil"/>
              <w:right w:val="nil"/>
            </w:tcBorders>
          </w:tcPr>
          <w:p w14:paraId="75186EB3" w14:textId="77777777" w:rsidR="00AF274B" w:rsidRDefault="00AF274B">
            <w:pPr>
              <w:pStyle w:val="GlossaryTableText"/>
            </w:pPr>
            <w:r>
              <w:t>See “Blood Transfusion Reaction Form.”</w:t>
            </w:r>
          </w:p>
        </w:tc>
      </w:tr>
      <w:tr w:rsidR="00AF274B" w14:paraId="335FD7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DEA66AD" w14:textId="77777777" w:rsidR="00AF274B" w:rsidRDefault="00AF274B">
            <w:pPr>
              <w:pStyle w:val="GlossaryTableText"/>
              <w:rPr>
                <w:b/>
                <w:bCs/>
              </w:rPr>
            </w:pPr>
            <w:r>
              <w:rPr>
                <w:b/>
                <w:bCs/>
              </w:rPr>
              <w:t>Site (see also “Facility”)</w:t>
            </w:r>
          </w:p>
        </w:tc>
        <w:tc>
          <w:tcPr>
            <w:tcW w:w="3327" w:type="pct"/>
            <w:tcBorders>
              <w:top w:val="nil"/>
              <w:left w:val="nil"/>
              <w:bottom w:val="nil"/>
              <w:right w:val="nil"/>
            </w:tcBorders>
          </w:tcPr>
          <w:p w14:paraId="5471F8BA" w14:textId="77777777" w:rsidR="00AF274B" w:rsidRDefault="00AF274B">
            <w:pPr>
              <w:pStyle w:val="GlossaryTableText"/>
            </w:pPr>
            <w:r>
              <w:t>A blood bank laboratory where a blood unit is located.</w:t>
            </w:r>
          </w:p>
        </w:tc>
      </w:tr>
      <w:tr w:rsidR="001A1559" w14:paraId="400A6A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ED77077" w14:textId="77777777" w:rsidR="001A1559" w:rsidRDefault="001A1559">
            <w:pPr>
              <w:pStyle w:val="GlossaryTableText"/>
              <w:rPr>
                <w:b/>
                <w:bCs/>
              </w:rPr>
            </w:pPr>
            <w:r>
              <w:rPr>
                <w:b/>
                <w:bCs/>
              </w:rPr>
              <w:t>SME</w:t>
            </w:r>
          </w:p>
        </w:tc>
        <w:tc>
          <w:tcPr>
            <w:tcW w:w="3327" w:type="pct"/>
            <w:tcBorders>
              <w:top w:val="nil"/>
              <w:left w:val="nil"/>
              <w:bottom w:val="nil"/>
              <w:right w:val="nil"/>
            </w:tcBorders>
          </w:tcPr>
          <w:p w14:paraId="2A029492" w14:textId="77777777" w:rsidR="001A1559" w:rsidRDefault="001A1559">
            <w:pPr>
              <w:pStyle w:val="GlossaryTableText"/>
            </w:pPr>
            <w:r>
              <w:t>Subject matter expert.</w:t>
            </w:r>
          </w:p>
        </w:tc>
      </w:tr>
      <w:tr w:rsidR="00AF274B" w14:paraId="7BA928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B5B1CF" w14:textId="77777777" w:rsidR="00AF274B" w:rsidRDefault="00AF274B">
            <w:pPr>
              <w:pStyle w:val="GlossaryTableText"/>
              <w:rPr>
                <w:b/>
                <w:bCs/>
              </w:rPr>
            </w:pPr>
            <w:r>
              <w:rPr>
                <w:b/>
                <w:bCs/>
              </w:rPr>
              <w:t>Software</w:t>
            </w:r>
          </w:p>
        </w:tc>
        <w:tc>
          <w:tcPr>
            <w:tcW w:w="3327" w:type="pct"/>
            <w:tcBorders>
              <w:top w:val="nil"/>
              <w:left w:val="nil"/>
              <w:bottom w:val="nil"/>
              <w:right w:val="nil"/>
            </w:tcBorders>
          </w:tcPr>
          <w:p w14:paraId="5773419E" w14:textId="77777777" w:rsidR="00AF274B" w:rsidRDefault="00AF274B">
            <w:pPr>
              <w:pStyle w:val="GlossaryTableText"/>
              <w:rPr>
                <w:b/>
              </w:rPr>
            </w:pPr>
            <w:r>
              <w:t>Computer programs and associated documentation pertaining to the operation of a system.</w:t>
            </w:r>
          </w:p>
        </w:tc>
      </w:tr>
      <w:tr w:rsidR="00AF274B" w14:paraId="474873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372A33D" w14:textId="77777777" w:rsidR="00AF274B" w:rsidRDefault="00AF274B">
            <w:pPr>
              <w:pStyle w:val="GlossaryTableText"/>
              <w:rPr>
                <w:b/>
                <w:bCs/>
              </w:rPr>
            </w:pPr>
            <w:r>
              <w:rPr>
                <w:b/>
                <w:bCs/>
                <w:snapToGrid w:val="0"/>
              </w:rPr>
              <w:t>Special Instructions (SIs)</w:t>
            </w:r>
          </w:p>
        </w:tc>
        <w:tc>
          <w:tcPr>
            <w:tcW w:w="3327" w:type="pct"/>
            <w:tcBorders>
              <w:top w:val="nil"/>
              <w:left w:val="nil"/>
              <w:bottom w:val="nil"/>
              <w:right w:val="nil"/>
            </w:tcBorders>
          </w:tcPr>
          <w:p w14:paraId="7FED2243" w14:textId="77777777" w:rsidR="00AF274B" w:rsidRDefault="00AF274B">
            <w:pPr>
              <w:pStyle w:val="GlossaryTableText"/>
              <w:rPr>
                <w:snapToGrid w:val="0"/>
              </w:rPr>
            </w:pPr>
            <w:r>
              <w:rPr>
                <w:snapToGrid w:val="0"/>
              </w:rPr>
              <w:t>Free-text or canned comments entered by the Blood Bank Technologist to communicate problems, restrictions, and considerations not otherwise documented in a patient’s record.</w:t>
            </w:r>
          </w:p>
        </w:tc>
      </w:tr>
      <w:tr w:rsidR="00AF274B" w14:paraId="283D4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170C135" w14:textId="77777777" w:rsidR="00AF274B" w:rsidRDefault="00AF274B">
            <w:pPr>
              <w:pStyle w:val="GlossaryTableText"/>
              <w:rPr>
                <w:b/>
                <w:bCs/>
              </w:rPr>
            </w:pPr>
            <w:r>
              <w:rPr>
                <w:b/>
                <w:bCs/>
              </w:rPr>
              <w:t>Status</w:t>
            </w:r>
          </w:p>
        </w:tc>
        <w:tc>
          <w:tcPr>
            <w:tcW w:w="3327" w:type="pct"/>
            <w:tcBorders>
              <w:top w:val="nil"/>
              <w:left w:val="nil"/>
              <w:bottom w:val="nil"/>
              <w:right w:val="nil"/>
            </w:tcBorders>
          </w:tcPr>
          <w:p w14:paraId="1DB0F1E9" w14:textId="77777777" w:rsidR="00AF274B" w:rsidRDefault="00AF274B">
            <w:pPr>
              <w:pStyle w:val="GlossaryTableText"/>
            </w:pPr>
            <w:r>
              <w:t>The disposition of a unit of blood.</w:t>
            </w:r>
          </w:p>
        </w:tc>
      </w:tr>
      <w:tr w:rsidR="00AF274B" w14:paraId="3E71A7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04AF65" w14:textId="77777777" w:rsidR="00AF274B" w:rsidRDefault="00AF274B">
            <w:pPr>
              <w:pStyle w:val="GlossaryTableText"/>
              <w:rPr>
                <w:b/>
                <w:bCs/>
              </w:rPr>
            </w:pPr>
            <w:r>
              <w:rPr>
                <w:b/>
                <w:bCs/>
                <w:snapToGrid w:val="0"/>
              </w:rPr>
              <w:t>Sterile connection device</w:t>
            </w:r>
          </w:p>
        </w:tc>
        <w:tc>
          <w:tcPr>
            <w:tcW w:w="3327" w:type="pct"/>
            <w:tcBorders>
              <w:top w:val="nil"/>
              <w:left w:val="nil"/>
              <w:bottom w:val="nil"/>
              <w:right w:val="nil"/>
            </w:tcBorders>
          </w:tcPr>
          <w:p w14:paraId="3BC98EA2" w14:textId="77777777" w:rsidR="00AF274B" w:rsidRDefault="00AF274B">
            <w:pPr>
              <w:pStyle w:val="GlossaryTableText"/>
              <w:rPr>
                <w:snapToGrid w:val="0"/>
              </w:rPr>
            </w:pPr>
            <w:r>
              <w:rPr>
                <w:snapToGrid w:val="0"/>
              </w:rPr>
              <w:t>An instrument that connects two plastic tubes while maintaining sterility.</w:t>
            </w:r>
          </w:p>
        </w:tc>
      </w:tr>
      <w:tr w:rsidR="009A6A1E" w14:paraId="2E181C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938AFF8" w14:textId="77777777" w:rsidR="009A6A1E" w:rsidRDefault="009A6A1E">
            <w:pPr>
              <w:pStyle w:val="GlossaryTableText"/>
              <w:rPr>
                <w:b/>
                <w:bCs/>
                <w:snapToGrid w:val="0"/>
              </w:rPr>
            </w:pPr>
            <w:r>
              <w:rPr>
                <w:b/>
                <w:bCs/>
                <w:snapToGrid w:val="0"/>
              </w:rPr>
              <w:t>SSRS</w:t>
            </w:r>
          </w:p>
        </w:tc>
        <w:tc>
          <w:tcPr>
            <w:tcW w:w="3327" w:type="pct"/>
            <w:tcBorders>
              <w:top w:val="nil"/>
              <w:left w:val="nil"/>
              <w:bottom w:val="nil"/>
              <w:right w:val="nil"/>
            </w:tcBorders>
          </w:tcPr>
          <w:p w14:paraId="7EC386D2" w14:textId="77777777" w:rsidR="009A6A1E" w:rsidRDefault="009A6A1E">
            <w:pPr>
              <w:pStyle w:val="GlossaryTableText"/>
              <w:rPr>
                <w:snapToGrid w:val="0"/>
              </w:rPr>
            </w:pPr>
            <w:r>
              <w:rPr>
                <w:snapToGrid w:val="0"/>
              </w:rPr>
              <w:t>SQL Server Reporting Services.</w:t>
            </w:r>
          </w:p>
        </w:tc>
      </w:tr>
      <w:tr w:rsidR="00AF274B" w14:paraId="6A4E3A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E02931B" w14:textId="77777777" w:rsidR="00AF274B" w:rsidRDefault="00AF274B">
            <w:pPr>
              <w:pStyle w:val="GlossaryTableText"/>
              <w:rPr>
                <w:b/>
                <w:bCs/>
                <w:snapToGrid w:val="0"/>
              </w:rPr>
            </w:pPr>
            <w:r>
              <w:rPr>
                <w:b/>
                <w:bCs/>
                <w:snapToGrid w:val="0"/>
              </w:rPr>
              <w:t>Target unit</w:t>
            </w:r>
          </w:p>
        </w:tc>
        <w:tc>
          <w:tcPr>
            <w:tcW w:w="3327" w:type="pct"/>
            <w:tcBorders>
              <w:top w:val="nil"/>
              <w:left w:val="nil"/>
              <w:bottom w:val="nil"/>
              <w:right w:val="nil"/>
            </w:tcBorders>
          </w:tcPr>
          <w:p w14:paraId="73D26A8B" w14:textId="77777777" w:rsidR="00AF274B" w:rsidRDefault="00AF274B">
            <w:pPr>
              <w:pStyle w:val="GlossaryTableText"/>
              <w:rPr>
                <w:snapToGrid w:val="0"/>
              </w:rPr>
            </w:pPr>
            <w:r>
              <w:rPr>
                <w:snapToGrid w:val="0"/>
              </w:rPr>
              <w:t>A unit formed as a result of a pool or split.</w:t>
            </w:r>
          </w:p>
        </w:tc>
      </w:tr>
      <w:tr w:rsidR="00AF274B" w14:paraId="0D2A62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281366" w14:textId="77777777" w:rsidR="00AF274B" w:rsidRDefault="00AF274B">
            <w:pPr>
              <w:pStyle w:val="GlossaryTableText"/>
              <w:rPr>
                <w:b/>
                <w:bCs/>
              </w:rPr>
            </w:pPr>
            <w:r>
              <w:rPr>
                <w:b/>
                <w:bCs/>
                <w:snapToGrid w:val="0"/>
              </w:rPr>
              <w:t>TAS</w:t>
            </w:r>
          </w:p>
        </w:tc>
        <w:tc>
          <w:tcPr>
            <w:tcW w:w="3327" w:type="pct"/>
            <w:tcBorders>
              <w:top w:val="nil"/>
              <w:left w:val="nil"/>
              <w:bottom w:val="nil"/>
              <w:right w:val="nil"/>
            </w:tcBorders>
          </w:tcPr>
          <w:p w14:paraId="5A7D1F66" w14:textId="77777777" w:rsidR="00AF274B" w:rsidRDefault="00AF274B">
            <w:pPr>
              <w:pStyle w:val="GlossaryTableText"/>
              <w:rPr>
                <w:snapToGrid w:val="0"/>
              </w:rPr>
            </w:pPr>
            <w:r>
              <w:rPr>
                <w:snapToGrid w:val="0"/>
              </w:rPr>
              <w:t>Type &amp; Screen.</w:t>
            </w:r>
          </w:p>
        </w:tc>
      </w:tr>
      <w:tr w:rsidR="00AF274B" w14:paraId="64D5F8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1B194C" w14:textId="77777777" w:rsidR="00AF274B" w:rsidRDefault="00AF274B">
            <w:pPr>
              <w:pStyle w:val="GlossaryTableText"/>
              <w:rPr>
                <w:b/>
                <w:bCs/>
              </w:rPr>
            </w:pPr>
            <w:r w:rsidRPr="00741C68">
              <w:rPr>
                <w:b/>
                <w:bCs/>
                <w:snapToGrid w:val="0"/>
              </w:rPr>
              <w:t>TCP/IP</w:t>
            </w:r>
          </w:p>
        </w:tc>
        <w:tc>
          <w:tcPr>
            <w:tcW w:w="3327" w:type="pct"/>
            <w:tcBorders>
              <w:top w:val="nil"/>
              <w:left w:val="nil"/>
              <w:bottom w:val="nil"/>
              <w:right w:val="nil"/>
            </w:tcBorders>
          </w:tcPr>
          <w:p w14:paraId="60A63F44" w14:textId="77777777" w:rsidR="00AF274B" w:rsidRDefault="00AF274B">
            <w:pPr>
              <w:pStyle w:val="GlossaryTableText"/>
            </w:pPr>
            <w:r>
              <w:t>Transmission Control Protocol/Internet Protocol.</w:t>
            </w:r>
          </w:p>
        </w:tc>
      </w:tr>
      <w:tr w:rsidR="00AF274B" w14:paraId="225285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FAD4C27" w14:textId="77777777" w:rsidR="00AF274B" w:rsidRDefault="00AF274B">
            <w:pPr>
              <w:pStyle w:val="GlossaryTableText"/>
              <w:rPr>
                <w:b/>
                <w:bCs/>
              </w:rPr>
            </w:pPr>
            <w:r>
              <w:rPr>
                <w:b/>
                <w:bCs/>
              </w:rPr>
              <w:t>Test (in general and laboratory contexts)</w:t>
            </w:r>
          </w:p>
        </w:tc>
        <w:tc>
          <w:tcPr>
            <w:tcW w:w="3327" w:type="pct"/>
            <w:tcBorders>
              <w:top w:val="nil"/>
              <w:left w:val="nil"/>
              <w:bottom w:val="nil"/>
              <w:right w:val="nil"/>
            </w:tcBorders>
          </w:tcPr>
          <w:p w14:paraId="364F7BF0" w14:textId="77777777" w:rsidR="00AF274B" w:rsidRDefault="00AF274B">
            <w:pPr>
              <w:pStyle w:val="GlossaryTableText"/>
            </w:pPr>
            <w:r>
              <w:t>A means of examination to determine a property. In the context of the VBECS database, the contents of a single grid entry (test cell).</w:t>
            </w:r>
          </w:p>
        </w:tc>
      </w:tr>
      <w:tr w:rsidR="00AF274B" w14:paraId="2FD981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C9D56B" w14:textId="77777777" w:rsidR="00AF274B" w:rsidRDefault="00AF274B">
            <w:pPr>
              <w:pStyle w:val="GlossaryTableText"/>
              <w:rPr>
                <w:b/>
                <w:bCs/>
              </w:rPr>
            </w:pPr>
            <w:r>
              <w:rPr>
                <w:b/>
                <w:bCs/>
              </w:rPr>
              <w:t>Test cell</w:t>
            </w:r>
          </w:p>
        </w:tc>
        <w:tc>
          <w:tcPr>
            <w:tcW w:w="3327" w:type="pct"/>
            <w:tcBorders>
              <w:top w:val="nil"/>
              <w:left w:val="nil"/>
              <w:bottom w:val="nil"/>
              <w:right w:val="nil"/>
            </w:tcBorders>
          </w:tcPr>
          <w:p w14:paraId="240D5DF0" w14:textId="77777777" w:rsidR="00AF274B" w:rsidRDefault="00AF274B">
            <w:pPr>
              <w:pStyle w:val="GlossaryTableText"/>
              <w:rPr>
                <w:b/>
              </w:rPr>
            </w:pPr>
            <w:r>
              <w:t>In the context of the VBECS database: A grid space. In a laboratory: Red cells, in a reagent vial, used in a test.</w:t>
            </w:r>
          </w:p>
        </w:tc>
      </w:tr>
      <w:tr w:rsidR="00AF274B" w14:paraId="570D43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64ADA81" w14:textId="77777777" w:rsidR="00AF274B" w:rsidRDefault="00AF274B">
            <w:pPr>
              <w:pStyle w:val="GlossaryTableText"/>
              <w:rPr>
                <w:b/>
                <w:bCs/>
              </w:rPr>
            </w:pPr>
            <w:r>
              <w:rPr>
                <w:b/>
                <w:bCs/>
              </w:rPr>
              <w:t>Testing phase</w:t>
            </w:r>
          </w:p>
        </w:tc>
        <w:tc>
          <w:tcPr>
            <w:tcW w:w="3327" w:type="pct"/>
            <w:tcBorders>
              <w:top w:val="nil"/>
              <w:left w:val="nil"/>
              <w:bottom w:val="nil"/>
              <w:right w:val="nil"/>
            </w:tcBorders>
          </w:tcPr>
          <w:p w14:paraId="40AD6520" w14:textId="77777777" w:rsidR="00AF274B" w:rsidRDefault="00AF274B">
            <w:pPr>
              <w:pStyle w:val="GlossaryTableText"/>
            </w:pPr>
            <w:r>
              <w:t>1. The portion of a laboratory test in which an interpretation is recorded. 2. The phase of the development process in which the functionality is available for testing.</w:t>
            </w:r>
          </w:p>
        </w:tc>
      </w:tr>
      <w:tr w:rsidR="00AF274B" w14:paraId="075A50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E0C5C1" w14:textId="77777777" w:rsidR="00AF274B" w:rsidRDefault="00AF274B">
            <w:pPr>
              <w:pStyle w:val="GlossaryTableText"/>
              <w:rPr>
                <w:b/>
                <w:bCs/>
              </w:rPr>
            </w:pPr>
            <w:r>
              <w:rPr>
                <w:b/>
                <w:bCs/>
                <w:snapToGrid w:val="0"/>
              </w:rPr>
              <w:t>Transfusion Requirements (TRs)</w:t>
            </w:r>
          </w:p>
        </w:tc>
        <w:tc>
          <w:tcPr>
            <w:tcW w:w="3327" w:type="pct"/>
            <w:tcBorders>
              <w:top w:val="nil"/>
              <w:left w:val="nil"/>
              <w:bottom w:val="nil"/>
              <w:right w:val="nil"/>
            </w:tcBorders>
          </w:tcPr>
          <w:p w14:paraId="740F3B13" w14:textId="77777777" w:rsidR="00AF274B" w:rsidRDefault="00AF274B">
            <w:pPr>
              <w:pStyle w:val="GlossaryTableText"/>
              <w:rPr>
                <w:snapToGrid w:val="0"/>
              </w:rPr>
            </w:pPr>
            <w:r>
              <w:rPr>
                <w:snapToGrid w:val="0"/>
              </w:rPr>
              <w:t>Mandatory blood product attributes applied to every transfusion.</w:t>
            </w:r>
          </w:p>
        </w:tc>
      </w:tr>
      <w:tr w:rsidR="00AF274B" w14:paraId="002A56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CC1747" w14:textId="77777777" w:rsidR="00AF274B" w:rsidRDefault="00AF274B">
            <w:pPr>
              <w:pStyle w:val="GlossaryTableText"/>
              <w:rPr>
                <w:b/>
                <w:bCs/>
              </w:rPr>
            </w:pPr>
            <w:r>
              <w:rPr>
                <w:b/>
                <w:bCs/>
              </w:rPr>
              <w:t>Truth table</w:t>
            </w:r>
          </w:p>
        </w:tc>
        <w:tc>
          <w:tcPr>
            <w:tcW w:w="3327" w:type="pct"/>
            <w:tcBorders>
              <w:top w:val="nil"/>
              <w:left w:val="nil"/>
              <w:bottom w:val="nil"/>
              <w:right w:val="nil"/>
            </w:tcBorders>
          </w:tcPr>
          <w:p w14:paraId="66A5C2AD" w14:textId="77777777" w:rsidR="00AF274B" w:rsidRDefault="00AF274B">
            <w:pPr>
              <w:pStyle w:val="GlossaryTableText"/>
            </w:pPr>
            <w:r>
              <w:t>A table, specific to a test or action, listing all possible combinations of user inputs and the corresponding acceptable results and/or interpretations. It allows the system to verify user input based on established parameters.</w:t>
            </w:r>
          </w:p>
        </w:tc>
      </w:tr>
      <w:tr w:rsidR="00AF274B" w14:paraId="270CE8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420C1A" w14:textId="77777777" w:rsidR="00AF274B" w:rsidRDefault="00AF274B">
            <w:pPr>
              <w:pStyle w:val="GlossaryTableText"/>
              <w:rPr>
                <w:b/>
                <w:bCs/>
              </w:rPr>
            </w:pPr>
            <w:r>
              <w:rPr>
                <w:b/>
                <w:bCs/>
              </w:rPr>
              <w:t>TRW</w:t>
            </w:r>
          </w:p>
        </w:tc>
        <w:tc>
          <w:tcPr>
            <w:tcW w:w="3327" w:type="pct"/>
            <w:tcBorders>
              <w:top w:val="nil"/>
              <w:left w:val="nil"/>
              <w:bottom w:val="nil"/>
              <w:right w:val="nil"/>
            </w:tcBorders>
          </w:tcPr>
          <w:p w14:paraId="47D73B5B" w14:textId="77777777" w:rsidR="00AF274B" w:rsidRDefault="00AF274B">
            <w:pPr>
              <w:pStyle w:val="GlossaryTableText"/>
            </w:pPr>
            <w:r>
              <w:t>Transfusion reaction workup.</w:t>
            </w:r>
          </w:p>
        </w:tc>
      </w:tr>
      <w:tr w:rsidR="00AF274B" w14:paraId="49FC7D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538AE6F" w14:textId="77777777" w:rsidR="00AF274B" w:rsidRDefault="00AF274B">
            <w:pPr>
              <w:pStyle w:val="GlossaryTableText"/>
              <w:rPr>
                <w:b/>
                <w:bCs/>
              </w:rPr>
            </w:pPr>
            <w:r>
              <w:rPr>
                <w:b/>
                <w:bCs/>
              </w:rPr>
              <w:t>UID</w:t>
            </w:r>
          </w:p>
        </w:tc>
        <w:tc>
          <w:tcPr>
            <w:tcW w:w="3327" w:type="pct"/>
            <w:tcBorders>
              <w:top w:val="nil"/>
              <w:left w:val="nil"/>
              <w:bottom w:val="nil"/>
              <w:right w:val="nil"/>
            </w:tcBorders>
          </w:tcPr>
          <w:p w14:paraId="5A88B7B5" w14:textId="77777777" w:rsidR="00AF274B" w:rsidRDefault="00AF274B">
            <w:pPr>
              <w:pStyle w:val="GlossaryTableText"/>
              <w:rPr>
                <w:i/>
              </w:rPr>
            </w:pPr>
            <w:r>
              <w:t xml:space="preserve">Universal ID. An eye-readable and barcode-scannable coded representation of the Accession Number assigned by the laboratory package. </w:t>
            </w:r>
            <w:r>
              <w:rPr>
                <w:i/>
              </w:rPr>
              <w:t>UID is unique to the generating information system where the specimen was received.</w:t>
            </w:r>
          </w:p>
        </w:tc>
      </w:tr>
      <w:tr w:rsidR="00AF274B" w14:paraId="3E5AEA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6620DC2" w14:textId="77777777" w:rsidR="00AF274B" w:rsidRDefault="00AF274B">
            <w:pPr>
              <w:pStyle w:val="GlossaryTableText"/>
              <w:rPr>
                <w:b/>
                <w:bCs/>
              </w:rPr>
            </w:pPr>
            <w:r>
              <w:rPr>
                <w:b/>
                <w:bCs/>
              </w:rPr>
              <w:t>Unit</w:t>
            </w:r>
          </w:p>
        </w:tc>
        <w:tc>
          <w:tcPr>
            <w:tcW w:w="3327" w:type="pct"/>
            <w:tcBorders>
              <w:top w:val="nil"/>
              <w:left w:val="nil"/>
              <w:bottom w:val="nil"/>
              <w:right w:val="nil"/>
            </w:tcBorders>
          </w:tcPr>
          <w:p w14:paraId="2AB6B56D" w14:textId="77777777" w:rsidR="00AF274B" w:rsidRDefault="00AF274B">
            <w:pPr>
              <w:pStyle w:val="GlossaryTableText"/>
            </w:pPr>
            <w:r>
              <w:t>A single example of a blood component type. Example: a single unit of red cells, a unit of plasma, a unit of platelets.</w:t>
            </w:r>
          </w:p>
        </w:tc>
      </w:tr>
      <w:tr w:rsidR="00AF274B" w14:paraId="7E425D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0E0D4B5" w14:textId="77777777" w:rsidR="00AF274B" w:rsidRDefault="00AF274B">
            <w:pPr>
              <w:pStyle w:val="GlossaryTableText"/>
              <w:rPr>
                <w:b/>
                <w:bCs/>
              </w:rPr>
            </w:pPr>
            <w:r>
              <w:rPr>
                <w:b/>
                <w:bCs/>
              </w:rPr>
              <w:t>Unit ID</w:t>
            </w:r>
          </w:p>
        </w:tc>
        <w:tc>
          <w:tcPr>
            <w:tcW w:w="3327" w:type="pct"/>
            <w:tcBorders>
              <w:top w:val="nil"/>
              <w:left w:val="nil"/>
              <w:bottom w:val="nil"/>
              <w:right w:val="nil"/>
            </w:tcBorders>
          </w:tcPr>
          <w:p w14:paraId="0C4CED90" w14:textId="77777777" w:rsidR="00AF274B" w:rsidRDefault="00AF274B">
            <w:pPr>
              <w:pStyle w:val="GlossaryTableText"/>
            </w:pPr>
            <w:r>
              <w:t>The label identifier, consisting of a string of characters, of the unit of blood, barcoded on the blood bag label and scanned when a blood unit is received in the blood bank in a shipment.</w:t>
            </w:r>
          </w:p>
        </w:tc>
      </w:tr>
      <w:tr w:rsidR="00AF274B" w14:paraId="585BAF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0C5C9D" w14:textId="77777777" w:rsidR="00AF274B" w:rsidRDefault="00AF274B">
            <w:pPr>
              <w:pStyle w:val="GlossaryTableText"/>
              <w:rPr>
                <w:b/>
                <w:bCs/>
              </w:rPr>
            </w:pPr>
            <w:r>
              <w:rPr>
                <w:b/>
                <w:bCs/>
              </w:rPr>
              <w:lastRenderedPageBreak/>
              <w:t>Unit status</w:t>
            </w:r>
          </w:p>
        </w:tc>
        <w:tc>
          <w:tcPr>
            <w:tcW w:w="3327" w:type="pct"/>
            <w:tcBorders>
              <w:top w:val="nil"/>
              <w:left w:val="nil"/>
              <w:bottom w:val="nil"/>
              <w:right w:val="nil"/>
            </w:tcBorders>
          </w:tcPr>
          <w:p w14:paraId="1C49E441" w14:textId="77777777" w:rsidR="00AF274B" w:rsidRDefault="00AF274B">
            <w:pPr>
              <w:pStyle w:val="GlossaryTableText"/>
              <w:rPr>
                <w:u w:val="single"/>
              </w:rPr>
            </w:pPr>
            <w:r>
              <w:t>The state of a unit of blood at any given time.</w:t>
            </w:r>
          </w:p>
          <w:p w14:paraId="59C656B2" w14:textId="77777777" w:rsidR="00AF274B" w:rsidRDefault="00AF274B">
            <w:pPr>
              <w:pStyle w:val="GlossaryTableTextBullets"/>
            </w:pPr>
            <w:r>
              <w:t>Available: Required processing is complete.</w:t>
            </w:r>
          </w:p>
          <w:p w14:paraId="28F8D6A3" w14:textId="77777777" w:rsidR="00AF274B" w:rsidRDefault="00AF274B">
            <w:pPr>
              <w:pStyle w:val="GlossaryTableTextBullets"/>
            </w:pPr>
            <w:r>
              <w:t>Crossmatched/Assigned: The unit is immediately available for transfusion. All required compatibility testing, including crossmatch if indicated, is performed.</w:t>
            </w:r>
          </w:p>
          <w:p w14:paraId="6D4EFB3C" w14:textId="77777777" w:rsidR="00AF274B" w:rsidRDefault="00AF274B">
            <w:pPr>
              <w:pStyle w:val="GlossaryTableTextBullets"/>
            </w:pPr>
            <w:r>
              <w:t>Discarded: The unit has been destroyed and is no longer available.</w:t>
            </w:r>
          </w:p>
          <w:p w14:paraId="0A092CB4" w14:textId="77777777" w:rsidR="00AF274B" w:rsidRDefault="00AF274B">
            <w:pPr>
              <w:pStyle w:val="GlossaryTableTextBullets"/>
            </w:pPr>
            <w:r>
              <w:t xml:space="preserve">Issued: The unit is not currently located in the blood bank. </w:t>
            </w:r>
          </w:p>
          <w:p w14:paraId="1D04AB44" w14:textId="77777777" w:rsidR="00AF274B" w:rsidRDefault="00AF274B">
            <w:pPr>
              <w:pStyle w:val="GlossaryTableTextBullets"/>
            </w:pPr>
            <w:r>
              <w:t>Limited: Required processing is complete, except for ABO/Rh confirmation</w:t>
            </w:r>
            <w:r w:rsidR="009204CC">
              <w:t>.</w:t>
            </w:r>
          </w:p>
          <w:p w14:paraId="572B1A2E" w14:textId="77777777" w:rsidR="00AF274B" w:rsidRDefault="00AF274B">
            <w:pPr>
              <w:pStyle w:val="GlossaryTableTextBullets"/>
            </w:pPr>
            <w:r>
              <w:t>Quarantine: The unit cannot be selected.</w:t>
            </w:r>
          </w:p>
          <w:p w14:paraId="2B9845AE" w14:textId="77777777" w:rsidR="00AF274B" w:rsidRDefault="00AF274B">
            <w:pPr>
              <w:pStyle w:val="GlossaryTableTextBullets"/>
            </w:pPr>
            <w:r>
              <w:t>Selected: The unit is reserved for one or more patients. Additional compatibility testing is required, such as antigen phenotype, crossmatch, and unit ABO/Rh confirmation.</w:t>
            </w:r>
          </w:p>
          <w:p w14:paraId="0BB5FE6E" w14:textId="77777777" w:rsidR="00AF274B" w:rsidRDefault="00AF274B">
            <w:pPr>
              <w:pStyle w:val="GlossaryTableTextBullets"/>
              <w:rPr>
                <w:b/>
              </w:rPr>
            </w:pPr>
            <w:r>
              <w:t>Transferred: The unit has been returned to the original supplier or transferred to a different facility.</w:t>
            </w:r>
          </w:p>
          <w:p w14:paraId="5FEE69BF" w14:textId="77777777" w:rsidR="00AF274B" w:rsidRDefault="00AF274B">
            <w:pPr>
              <w:pStyle w:val="GlossaryTableTextBullets"/>
              <w:rPr>
                <w:b/>
              </w:rPr>
            </w:pPr>
            <w:r>
              <w:t>Transfused: The unit has been infused into a patient and is no longer available.</w:t>
            </w:r>
          </w:p>
        </w:tc>
      </w:tr>
      <w:tr w:rsidR="00AF274B" w14:paraId="3F3F01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069EADE" w14:textId="77777777" w:rsidR="00AF274B" w:rsidRDefault="00AF274B">
            <w:pPr>
              <w:pStyle w:val="GlossaryTableText"/>
              <w:rPr>
                <w:b/>
                <w:bCs/>
              </w:rPr>
            </w:pPr>
            <w:r>
              <w:rPr>
                <w:b/>
                <w:bCs/>
              </w:rPr>
              <w:t>Validation</w:t>
            </w:r>
          </w:p>
        </w:tc>
        <w:tc>
          <w:tcPr>
            <w:tcW w:w="3327" w:type="pct"/>
            <w:tcBorders>
              <w:top w:val="nil"/>
              <w:left w:val="nil"/>
              <w:bottom w:val="nil"/>
              <w:right w:val="nil"/>
            </w:tcBorders>
          </w:tcPr>
          <w:p w14:paraId="0A642729" w14:textId="77777777" w:rsidR="00AF274B" w:rsidRDefault="00AF274B">
            <w:pPr>
              <w:pStyle w:val="GlossaryTableText"/>
            </w:pPr>
            <w:r>
              <w:t>Establishment by objective evidence that a specific process or device specification conforms to user needs and intended use.</w:t>
            </w:r>
          </w:p>
        </w:tc>
      </w:tr>
      <w:tr w:rsidR="001A1559" w14:paraId="796CD9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6FF746" w14:textId="77777777" w:rsidR="001A1559" w:rsidRDefault="004974ED">
            <w:pPr>
              <w:pStyle w:val="GlossaryTableText"/>
              <w:rPr>
                <w:b/>
                <w:bCs/>
              </w:rPr>
            </w:pPr>
            <w:r>
              <w:rPr>
                <w:b/>
                <w:bCs/>
              </w:rPr>
              <w:t>VDL</w:t>
            </w:r>
          </w:p>
        </w:tc>
        <w:tc>
          <w:tcPr>
            <w:tcW w:w="3327" w:type="pct"/>
            <w:tcBorders>
              <w:top w:val="nil"/>
              <w:left w:val="nil"/>
              <w:bottom w:val="nil"/>
              <w:right w:val="nil"/>
            </w:tcBorders>
          </w:tcPr>
          <w:p w14:paraId="3F6DFC17" w14:textId="77777777" w:rsidR="001A1559" w:rsidRDefault="004974ED">
            <w:pPr>
              <w:pStyle w:val="GlossaryTableText"/>
            </w:pPr>
            <w:r w:rsidRPr="000C7684">
              <w:rPr>
                <w:bCs/>
              </w:rPr>
              <w:t>VistA</w:t>
            </w:r>
            <w:r>
              <w:t xml:space="preserve"> Documentation Library.</w:t>
            </w:r>
          </w:p>
        </w:tc>
      </w:tr>
      <w:tr w:rsidR="00AF274B" w14:paraId="53CCFF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FCE71E0" w14:textId="77777777" w:rsidR="00AF274B" w:rsidRDefault="00AF274B">
            <w:pPr>
              <w:pStyle w:val="GlossaryTableText"/>
              <w:rPr>
                <w:b/>
                <w:bCs/>
              </w:rPr>
            </w:pPr>
            <w:r>
              <w:rPr>
                <w:b/>
                <w:bCs/>
              </w:rPr>
              <w:t>Verification</w:t>
            </w:r>
          </w:p>
        </w:tc>
        <w:tc>
          <w:tcPr>
            <w:tcW w:w="3327" w:type="pct"/>
            <w:tcBorders>
              <w:top w:val="nil"/>
              <w:left w:val="nil"/>
              <w:bottom w:val="nil"/>
              <w:right w:val="nil"/>
            </w:tcBorders>
          </w:tcPr>
          <w:p w14:paraId="0DF38F4C" w14:textId="77777777" w:rsidR="00AF274B" w:rsidRDefault="00AF274B">
            <w:pPr>
              <w:pStyle w:val="GlossaryTableText"/>
            </w:pPr>
            <w:r>
              <w:t>Confirmation by examination and provision of objective evidence that requirements were fulfilled.</w:t>
            </w:r>
          </w:p>
        </w:tc>
      </w:tr>
      <w:tr w:rsidR="00AF274B" w14:paraId="3D5AB2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7EF161" w14:textId="77777777" w:rsidR="00AF274B" w:rsidRDefault="00AF274B">
            <w:pPr>
              <w:pStyle w:val="GlossaryTableText"/>
              <w:rPr>
                <w:b/>
                <w:bCs/>
              </w:rPr>
            </w:pPr>
            <w:r>
              <w:rPr>
                <w:b/>
                <w:bCs/>
              </w:rPr>
              <w:t>Verify Code</w:t>
            </w:r>
          </w:p>
        </w:tc>
        <w:tc>
          <w:tcPr>
            <w:tcW w:w="3327" w:type="pct"/>
            <w:tcBorders>
              <w:top w:val="nil"/>
              <w:left w:val="nil"/>
              <w:bottom w:val="nil"/>
              <w:right w:val="nil"/>
            </w:tcBorders>
          </w:tcPr>
          <w:p w14:paraId="72FF0B20" w14:textId="77777777" w:rsidR="00AF274B" w:rsidRDefault="00AF274B">
            <w:pPr>
              <w:pStyle w:val="GlossaryTableText"/>
              <w:rPr>
                <w:b/>
              </w:rPr>
            </w:pPr>
            <w:r>
              <w:t xml:space="preserve">A field in the </w:t>
            </w:r>
            <w:r w:rsidRPr="00CA6E27">
              <w:rPr>
                <w:bCs/>
              </w:rPr>
              <w:t>VistA</w:t>
            </w:r>
            <w:r>
              <w:t xml:space="preserve"> New Person file used to verify the identity of a user associated with an Access Code.</w:t>
            </w:r>
          </w:p>
        </w:tc>
      </w:tr>
      <w:tr w:rsidR="00AF274B" w14:paraId="48A479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B75232E" w14:textId="77777777" w:rsidR="00AF274B" w:rsidRDefault="00AF274B">
            <w:pPr>
              <w:pStyle w:val="GlossaryTableText"/>
              <w:rPr>
                <w:b/>
                <w:bCs/>
              </w:rPr>
            </w:pPr>
            <w:r>
              <w:rPr>
                <w:b/>
                <w:bCs/>
              </w:rPr>
              <w:t>Vial identifier</w:t>
            </w:r>
          </w:p>
        </w:tc>
        <w:tc>
          <w:tcPr>
            <w:tcW w:w="3327" w:type="pct"/>
            <w:tcBorders>
              <w:top w:val="nil"/>
              <w:left w:val="nil"/>
              <w:bottom w:val="nil"/>
              <w:right w:val="nil"/>
            </w:tcBorders>
          </w:tcPr>
          <w:p w14:paraId="37D38510" w14:textId="77777777" w:rsidR="00AF274B" w:rsidRDefault="00AF274B">
            <w:pPr>
              <w:pStyle w:val="GlossaryTableText"/>
              <w:rPr>
                <w:b/>
              </w:rPr>
            </w:pPr>
            <w:r>
              <w:t xml:space="preserve">A one- or two-character number that identifies a specific vial contained within a kit of reagents. </w:t>
            </w:r>
            <w:r>
              <w:rPr>
                <w:i/>
              </w:rPr>
              <w:t>A vial contains antigen positive or antigen negative blood cells to be used in quality control of antisera. Also referred to as “cell identifier.”</w:t>
            </w:r>
          </w:p>
        </w:tc>
      </w:tr>
      <w:tr w:rsidR="00AF274B" w14:paraId="547127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8C790F2" w14:textId="77777777" w:rsidR="00AF274B" w:rsidRDefault="00AF274B">
            <w:pPr>
              <w:pStyle w:val="GlossaryTableText"/>
              <w:rPr>
                <w:b/>
                <w:bCs/>
              </w:rPr>
            </w:pPr>
            <w:r>
              <w:rPr>
                <w:b/>
                <w:bCs/>
              </w:rPr>
              <w:t>VISN</w:t>
            </w:r>
          </w:p>
        </w:tc>
        <w:tc>
          <w:tcPr>
            <w:tcW w:w="3327" w:type="pct"/>
            <w:tcBorders>
              <w:top w:val="nil"/>
              <w:left w:val="nil"/>
              <w:bottom w:val="nil"/>
              <w:right w:val="nil"/>
            </w:tcBorders>
          </w:tcPr>
          <w:p w14:paraId="4B108954" w14:textId="77777777" w:rsidR="00AF274B" w:rsidRDefault="00AF274B">
            <w:pPr>
              <w:pStyle w:val="GlossaryTableText"/>
            </w:pPr>
            <w:r>
              <w:t>Veterans Integrated Services Network.</w:t>
            </w:r>
          </w:p>
        </w:tc>
      </w:tr>
      <w:tr w:rsidR="00AF274B" w14:paraId="3CBC28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3F96E2D" w14:textId="77777777" w:rsidR="00AF274B" w:rsidRPr="00CA6E27" w:rsidRDefault="00AF274B">
            <w:pPr>
              <w:pStyle w:val="GlossaryTableText"/>
              <w:rPr>
                <w:b/>
                <w:bCs/>
              </w:rPr>
            </w:pPr>
            <w:r w:rsidRPr="00CA6E27">
              <w:rPr>
                <w:b/>
                <w:bCs/>
              </w:rPr>
              <w:t>VistA</w:t>
            </w:r>
          </w:p>
        </w:tc>
        <w:tc>
          <w:tcPr>
            <w:tcW w:w="3327" w:type="pct"/>
            <w:tcBorders>
              <w:top w:val="nil"/>
              <w:left w:val="nil"/>
              <w:bottom w:val="nil"/>
              <w:right w:val="nil"/>
            </w:tcBorders>
          </w:tcPr>
          <w:p w14:paraId="630472FC" w14:textId="77777777" w:rsidR="00AF274B" w:rsidRDefault="00AF274B">
            <w:pPr>
              <w:pStyle w:val="GlossaryTableText"/>
            </w:pPr>
            <w:r>
              <w:t>Veterans Health Information Systems and Technology Architecture.</w:t>
            </w:r>
          </w:p>
        </w:tc>
      </w:tr>
      <w:tr w:rsidR="00AF274B" w14:paraId="443050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9597A41" w14:textId="77777777" w:rsidR="00AF274B" w:rsidRDefault="00AF274B">
            <w:pPr>
              <w:pStyle w:val="GlossaryTableText"/>
              <w:rPr>
                <w:b/>
                <w:bCs/>
              </w:rPr>
            </w:pPr>
            <w:r>
              <w:rPr>
                <w:b/>
                <w:bCs/>
              </w:rPr>
              <w:t>VistALink</w:t>
            </w:r>
          </w:p>
        </w:tc>
        <w:tc>
          <w:tcPr>
            <w:tcW w:w="3327" w:type="pct"/>
            <w:tcBorders>
              <w:top w:val="nil"/>
              <w:left w:val="nil"/>
              <w:bottom w:val="nil"/>
              <w:right w:val="nil"/>
            </w:tcBorders>
          </w:tcPr>
          <w:p w14:paraId="18B3C8F0" w14:textId="77777777" w:rsidR="00AF274B" w:rsidRDefault="00AF274B">
            <w:pPr>
              <w:pStyle w:val="GlossaryTableText"/>
            </w:pPr>
            <w:r>
              <w:t xml:space="preserve">A real-time communication link that provides connectivity and utilities for data exchange between </w:t>
            </w:r>
            <w:r w:rsidRPr="00CA6E27">
              <w:rPr>
                <w:bCs/>
              </w:rPr>
              <w:t>VistA</w:t>
            </w:r>
            <w:r>
              <w:t xml:space="preserve"> and VBECS.</w:t>
            </w:r>
          </w:p>
        </w:tc>
      </w:tr>
      <w:tr w:rsidR="004974ED" w14:paraId="39F674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C9DF868" w14:textId="77777777" w:rsidR="004974ED" w:rsidRDefault="004974ED">
            <w:pPr>
              <w:pStyle w:val="GlossaryTableText"/>
              <w:rPr>
                <w:b/>
                <w:bCs/>
                <w:snapToGrid w:val="0"/>
              </w:rPr>
            </w:pPr>
            <w:r>
              <w:rPr>
                <w:b/>
                <w:bCs/>
                <w:snapToGrid w:val="0"/>
              </w:rPr>
              <w:t>WAN</w:t>
            </w:r>
          </w:p>
        </w:tc>
        <w:tc>
          <w:tcPr>
            <w:tcW w:w="3327" w:type="pct"/>
            <w:tcBorders>
              <w:top w:val="nil"/>
              <w:left w:val="nil"/>
              <w:bottom w:val="nil"/>
              <w:right w:val="nil"/>
            </w:tcBorders>
          </w:tcPr>
          <w:p w14:paraId="234F72DE" w14:textId="77777777" w:rsidR="004974ED" w:rsidRDefault="004974ED">
            <w:pPr>
              <w:pStyle w:val="GlossaryTableText"/>
              <w:rPr>
                <w:snapToGrid w:val="0"/>
              </w:rPr>
            </w:pPr>
            <w:r>
              <w:rPr>
                <w:snapToGrid w:val="0"/>
              </w:rPr>
              <w:t>Wide Area Network.</w:t>
            </w:r>
          </w:p>
        </w:tc>
      </w:tr>
      <w:tr w:rsidR="00AF274B" w14:paraId="7329F7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D6D800" w14:textId="77777777" w:rsidR="00AF274B" w:rsidRDefault="00AF274B">
            <w:pPr>
              <w:pStyle w:val="GlossaryTableText"/>
              <w:rPr>
                <w:b/>
                <w:bCs/>
              </w:rPr>
            </w:pPr>
            <w:r>
              <w:rPr>
                <w:b/>
                <w:bCs/>
                <w:snapToGrid w:val="0"/>
              </w:rPr>
              <w:t>Worklist</w:t>
            </w:r>
          </w:p>
        </w:tc>
        <w:tc>
          <w:tcPr>
            <w:tcW w:w="3327" w:type="pct"/>
            <w:tcBorders>
              <w:top w:val="nil"/>
              <w:left w:val="nil"/>
              <w:bottom w:val="nil"/>
              <w:right w:val="nil"/>
            </w:tcBorders>
          </w:tcPr>
          <w:p w14:paraId="5329518A" w14:textId="77777777" w:rsidR="00AF274B" w:rsidRDefault="00AF274B">
            <w:pPr>
              <w:pStyle w:val="GlossaryTableText"/>
              <w:rPr>
                <w:snapToGrid w:val="0"/>
              </w:rPr>
            </w:pPr>
            <w:r>
              <w:rPr>
                <w:snapToGrid w:val="0"/>
              </w:rPr>
              <w:t>A list detailing work to be performed.</w:t>
            </w:r>
          </w:p>
        </w:tc>
      </w:tr>
      <w:tr w:rsidR="00AF274B" w14:paraId="58DD22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C00E21F" w14:textId="77777777" w:rsidR="00AF274B" w:rsidRDefault="00AF274B">
            <w:pPr>
              <w:pStyle w:val="GlossaryTableText"/>
              <w:rPr>
                <w:b/>
                <w:bCs/>
              </w:rPr>
            </w:pPr>
            <w:r>
              <w:rPr>
                <w:b/>
                <w:bCs/>
              </w:rPr>
              <w:t>Workload</w:t>
            </w:r>
          </w:p>
        </w:tc>
        <w:tc>
          <w:tcPr>
            <w:tcW w:w="3327" w:type="pct"/>
            <w:tcBorders>
              <w:top w:val="nil"/>
              <w:left w:val="nil"/>
              <w:bottom w:val="nil"/>
              <w:right w:val="nil"/>
            </w:tcBorders>
          </w:tcPr>
          <w:p w14:paraId="38EF8C10" w14:textId="77777777" w:rsidR="00AF274B" w:rsidRDefault="00AF274B">
            <w:pPr>
              <w:pStyle w:val="GlossaryTableText"/>
            </w:pPr>
            <w:r>
              <w:t>Statistical data used to calculate productivity.</w:t>
            </w:r>
          </w:p>
        </w:tc>
      </w:tr>
      <w:tr w:rsidR="00AF274B" w14:paraId="217760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85FB50" w14:textId="77777777" w:rsidR="00AF274B" w:rsidRDefault="00AF274B">
            <w:pPr>
              <w:pStyle w:val="GlossaryTableText"/>
              <w:rPr>
                <w:b/>
                <w:bCs/>
              </w:rPr>
            </w:pPr>
            <w:r>
              <w:rPr>
                <w:b/>
                <w:bCs/>
                <w:snapToGrid w:val="0"/>
              </w:rPr>
              <w:t>XM</w:t>
            </w:r>
          </w:p>
        </w:tc>
        <w:tc>
          <w:tcPr>
            <w:tcW w:w="3327" w:type="pct"/>
            <w:tcBorders>
              <w:top w:val="nil"/>
              <w:left w:val="nil"/>
              <w:bottom w:val="nil"/>
              <w:right w:val="nil"/>
            </w:tcBorders>
          </w:tcPr>
          <w:p w14:paraId="4D0705D3" w14:textId="77777777" w:rsidR="00AF274B" w:rsidRDefault="00AF274B">
            <w:pPr>
              <w:pStyle w:val="GlossaryTableText"/>
              <w:rPr>
                <w:snapToGrid w:val="0"/>
              </w:rPr>
            </w:pPr>
            <w:r>
              <w:rPr>
                <w:snapToGrid w:val="0"/>
              </w:rPr>
              <w:t>Crossmatch.</w:t>
            </w:r>
          </w:p>
        </w:tc>
      </w:tr>
      <w:tr w:rsidR="004974ED" w14:paraId="282F39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BC6505A" w14:textId="77777777" w:rsidR="004974ED" w:rsidRDefault="004974ED">
            <w:pPr>
              <w:pStyle w:val="GlossaryTableText"/>
              <w:rPr>
                <w:b/>
                <w:bCs/>
                <w:snapToGrid w:val="0"/>
              </w:rPr>
            </w:pPr>
            <w:r>
              <w:rPr>
                <w:b/>
                <w:bCs/>
                <w:snapToGrid w:val="0"/>
              </w:rPr>
              <w:t>XML</w:t>
            </w:r>
          </w:p>
        </w:tc>
        <w:tc>
          <w:tcPr>
            <w:tcW w:w="3327" w:type="pct"/>
            <w:tcBorders>
              <w:top w:val="nil"/>
              <w:left w:val="nil"/>
              <w:bottom w:val="nil"/>
              <w:right w:val="nil"/>
            </w:tcBorders>
          </w:tcPr>
          <w:p w14:paraId="020580EA" w14:textId="77777777" w:rsidR="004974ED" w:rsidRDefault="004974ED">
            <w:pPr>
              <w:pStyle w:val="GlossaryTableText"/>
              <w:rPr>
                <w:snapToGrid w:val="0"/>
              </w:rPr>
            </w:pPr>
            <w:r>
              <w:t>Extensible Markup Language.</w:t>
            </w:r>
          </w:p>
        </w:tc>
      </w:tr>
    </w:tbl>
    <w:p w14:paraId="36D0ACD4" w14:textId="77777777" w:rsidR="00D65C6C" w:rsidRDefault="00D65C6C" w:rsidP="00B10AB7"/>
    <w:p w14:paraId="6F97546E" w14:textId="77777777" w:rsidR="00B27FE8" w:rsidRDefault="00B27FE8">
      <w:pPr>
        <w:rPr>
          <w:rFonts w:ascii="Arial" w:hAnsi="Arial" w:cs="Arial"/>
          <w:b/>
          <w:bCs/>
          <w:kern w:val="32"/>
          <w:sz w:val="36"/>
          <w:szCs w:val="32"/>
        </w:rPr>
      </w:pPr>
      <w:r>
        <w:br w:type="page"/>
      </w:r>
    </w:p>
    <w:p w14:paraId="7E830C8A" w14:textId="12BCC9D3" w:rsidR="002A21AE" w:rsidRDefault="002A21AE" w:rsidP="0086066C">
      <w:pPr>
        <w:pStyle w:val="Heading1"/>
      </w:pPr>
      <w:bookmarkStart w:id="703" w:name="_Toc47516800"/>
      <w:r>
        <w:lastRenderedPageBreak/>
        <w:t>Appendices</w:t>
      </w:r>
      <w:bookmarkEnd w:id="703"/>
    </w:p>
    <w:p w14:paraId="04850DF0" w14:textId="663B3989" w:rsidR="002A21AE" w:rsidRDefault="002A21AE">
      <w:pPr>
        <w:pStyle w:val="Heading2"/>
      </w:pPr>
      <w:bookmarkStart w:id="704" w:name="_Toc47516801"/>
      <w:r>
        <w:t xml:space="preserve">Appendix </w:t>
      </w:r>
      <w:r w:rsidR="004E20BD">
        <w:rPr>
          <w:noProof/>
        </w:rPr>
        <w:fldChar w:fldCharType="begin"/>
      </w:r>
      <w:r w:rsidR="004E20BD">
        <w:rPr>
          <w:noProof/>
        </w:rPr>
        <w:instrText xml:space="preserve"> SEQ Appendix \* ALPHABETIC </w:instrText>
      </w:r>
      <w:r w:rsidR="004E20BD">
        <w:rPr>
          <w:noProof/>
        </w:rPr>
        <w:fldChar w:fldCharType="separate"/>
      </w:r>
      <w:r w:rsidR="004353ED">
        <w:rPr>
          <w:noProof/>
        </w:rPr>
        <w:t>A</w:t>
      </w:r>
      <w:r w:rsidR="004E20BD">
        <w:rPr>
          <w:noProof/>
        </w:rPr>
        <w:fldChar w:fldCharType="end"/>
      </w:r>
      <w:r>
        <w:t>: Downtime Forms and Instructions</w:t>
      </w:r>
      <w:bookmarkEnd w:id="704"/>
      <w:r>
        <w:fldChar w:fldCharType="begin"/>
      </w:r>
      <w:r>
        <w:instrText xml:space="preserve"> XE </w:instrText>
      </w:r>
      <w:r w:rsidR="00FA7E65">
        <w:instrText>“</w:instrText>
      </w:r>
      <w:r>
        <w:instrText>Downtime Forms and Instructions</w:instrText>
      </w:r>
      <w:r w:rsidR="00FA7E65">
        <w:instrText>”</w:instrText>
      </w:r>
      <w:r>
        <w:instrText xml:space="preserve"> </w:instrText>
      </w:r>
      <w:r>
        <w:fldChar w:fldCharType="end"/>
      </w:r>
    </w:p>
    <w:p w14:paraId="7F7450C7" w14:textId="77777777" w:rsidR="00270245" w:rsidRDefault="00270245" w:rsidP="00270245">
      <w:pPr>
        <w:pStyle w:val="BodyText"/>
      </w:pPr>
      <w:r>
        <w:t>Each site establishes its own policies, procedures, and processes to address unexpected VBECS downtime issues such as:</w:t>
      </w:r>
      <w:r>
        <w:rPr>
          <w:rStyle w:val="CommentReference"/>
          <w:b/>
          <w:bCs/>
          <w:vanish/>
        </w:rPr>
        <w:t xml:space="preserve"> </w:t>
      </w:r>
    </w:p>
    <w:p w14:paraId="2C4BE305" w14:textId="77777777" w:rsidR="00270245" w:rsidRDefault="00270245" w:rsidP="00270245">
      <w:pPr>
        <w:pStyle w:val="ListBullet"/>
      </w:pPr>
      <w:r>
        <w:t>The interface is unavailable. It is recommended that blood bank staff notify clinicians when messaging between CPRS and VBECS fails during order completion: clinicians may need to know that blood units are ready for pickup and transfusion.</w:t>
      </w:r>
      <w:r>
        <w:rPr>
          <w:vanish/>
        </w:rPr>
        <w:t xml:space="preserve"> (ClearQuest Task 386)</w:t>
      </w:r>
    </w:p>
    <w:p w14:paraId="7651130D" w14:textId="77777777" w:rsidR="00270245" w:rsidRDefault="00270245" w:rsidP="00270245">
      <w:pPr>
        <w:pStyle w:val="ListBullet"/>
      </w:pPr>
      <w:r>
        <w:rPr>
          <w:szCs w:val="20"/>
        </w:rPr>
        <w:t>T</w:t>
      </w:r>
      <w:r>
        <w:t>est order handling and completion when the serologic testing is performed off-site or in a non-VA facility. The CPRS test order must be processed and completed even when testing is done off-site.</w:t>
      </w:r>
    </w:p>
    <w:p w14:paraId="1F54CA91" w14:textId="77777777" w:rsidR="00270245" w:rsidRDefault="00270245" w:rsidP="00270245">
      <w:pPr>
        <w:pStyle w:val="ListBullet"/>
      </w:pPr>
      <w:r>
        <w:t xml:space="preserve">The physical handling of a blood unit when it </w:t>
      </w:r>
      <w:r w:rsidR="00313C6B">
        <w:t>cannot</w:t>
      </w:r>
      <w:r>
        <w:t xml:space="preserve"> be logged into inventory because VistALink is down and the patient is not in the VBECS database. The unit does not exist in VBECS until it is logged in, but is physically available.</w:t>
      </w:r>
      <w:r>
        <w:rPr>
          <w:vanish/>
        </w:rPr>
        <w:t xml:space="preserve"> (ClearQuest Task 387)</w:t>
      </w:r>
    </w:p>
    <w:p w14:paraId="12EBE56F" w14:textId="77777777" w:rsidR="00270245" w:rsidRDefault="00270245" w:rsidP="00270245">
      <w:pPr>
        <w:pStyle w:val="ListBullet"/>
      </w:pPr>
      <w:r>
        <w:t>Manual blood labeling, verification of labels, and tracking documentation of the downtime labeling.</w:t>
      </w:r>
      <w:r>
        <w:rPr>
          <w:vanish/>
        </w:rPr>
        <w:t xml:space="preserve"> (ClearQuest Task 521)</w:t>
      </w:r>
    </w:p>
    <w:p w14:paraId="7ECD951C" w14:textId="77777777" w:rsidR="00270245" w:rsidRDefault="00270245" w:rsidP="00270245">
      <w:pPr>
        <w:pStyle w:val="ListBullet"/>
      </w:pPr>
      <w:r>
        <w:t>Some Special Instructions (SIs) that were moved to VBECS during the database conversion must be entered as Transfusion Requirements (TRs) in VBECS. Inactivate the old SI and create a TR and new updated SI: the database conversion software cannot automatically translate the SI from database conversion into a rule-based TR.</w:t>
      </w:r>
    </w:p>
    <w:p w14:paraId="2FDE3F72" w14:textId="77777777" w:rsidR="00270245" w:rsidRDefault="00270245" w:rsidP="00270245">
      <w:pPr>
        <w:pStyle w:val="ListBullet"/>
      </w:pPr>
      <w:r>
        <w:t>Creating the Audit Trail, Exception, and Testing Worklist Reports.</w:t>
      </w:r>
    </w:p>
    <w:p w14:paraId="7C34BE05" w14:textId="77777777" w:rsidR="00270245" w:rsidRDefault="00270245" w:rsidP="00270245">
      <w:pPr>
        <w:pStyle w:val="ListBullet"/>
      </w:pPr>
      <w:r>
        <w:t>Mitigation of the risk of patient identification conflicts due to patient merge issues (changing patient name or ID). It is recommended that staff submit the patient name and ID in writing to the blood bank when picking up blood products.</w:t>
      </w:r>
      <w:r>
        <w:rPr>
          <w:vanish/>
        </w:rPr>
        <w:t xml:space="preserve"> (ClearQuest Task 395)</w:t>
      </w:r>
    </w:p>
    <w:p w14:paraId="0E6ABC35" w14:textId="77777777" w:rsidR="00270245" w:rsidRDefault="00270245" w:rsidP="00270245">
      <w:pPr>
        <w:pStyle w:val="ListBullet"/>
      </w:pPr>
      <w:r>
        <w:t xml:space="preserve">VBECS is unavailable. To ensure accurate entry of information when VBECS is running, users must record the unit number and ID on their downtime form. </w:t>
      </w:r>
    </w:p>
    <w:p w14:paraId="2FC2F06E" w14:textId="77777777" w:rsidR="00E27E7A" w:rsidRDefault="00640159" w:rsidP="00FA7E65">
      <w:pPr>
        <w:pStyle w:val="BodyText"/>
      </w:pPr>
      <w:r>
        <w:t>It is recommended that e</w:t>
      </w:r>
      <w:r w:rsidR="00780A01">
        <w:t xml:space="preserve">ach site have </w:t>
      </w:r>
      <w:r w:rsidR="001B6D4B">
        <w:t>available</w:t>
      </w:r>
      <w:r w:rsidR="00780A01">
        <w:t>:</w:t>
      </w:r>
    </w:p>
    <w:p w14:paraId="648E881F" w14:textId="77777777" w:rsidR="00112590" w:rsidRDefault="00112590" w:rsidP="00780A01">
      <w:pPr>
        <w:pStyle w:val="ListBullet"/>
      </w:pPr>
      <w:r>
        <w:t>Antibody Workup Forms</w:t>
      </w:r>
    </w:p>
    <w:p w14:paraId="4B08F723" w14:textId="77777777" w:rsidR="00112590" w:rsidRDefault="00112590" w:rsidP="00780A01">
      <w:pPr>
        <w:pStyle w:val="ListBullet"/>
      </w:pPr>
      <w:r>
        <w:t>Antigen Typing Forms (for patient)</w:t>
      </w:r>
    </w:p>
    <w:p w14:paraId="31FDC671" w14:textId="77777777" w:rsidR="00112590" w:rsidRDefault="00112590" w:rsidP="00780A01">
      <w:pPr>
        <w:pStyle w:val="ListBullet"/>
      </w:pPr>
      <w:r>
        <w:t>Antigen Typing Forms (for unit)</w:t>
      </w:r>
    </w:p>
    <w:p w14:paraId="6FB2B6E3" w14:textId="77777777" w:rsidR="00112590" w:rsidRDefault="00112590" w:rsidP="00780A01">
      <w:pPr>
        <w:pStyle w:val="ListBullet"/>
      </w:pPr>
      <w:r>
        <w:t>Blood Transfusion Record Forms</w:t>
      </w:r>
    </w:p>
    <w:p w14:paraId="361F1A80" w14:textId="77777777" w:rsidR="00112590" w:rsidRDefault="00112590" w:rsidP="00780A01">
      <w:pPr>
        <w:pStyle w:val="ListBullet"/>
      </w:pPr>
      <w:r>
        <w:t>Caution Tags</w:t>
      </w:r>
    </w:p>
    <w:p w14:paraId="62487A0A" w14:textId="77777777" w:rsidR="00112590" w:rsidRDefault="00112590" w:rsidP="00780A01">
      <w:pPr>
        <w:pStyle w:val="ListBullet"/>
      </w:pPr>
      <w:r>
        <w:t>Daily QC Forms</w:t>
      </w:r>
    </w:p>
    <w:p w14:paraId="117EADCC" w14:textId="77777777" w:rsidR="00112590" w:rsidRDefault="00112590" w:rsidP="0095796B">
      <w:pPr>
        <w:pStyle w:val="ListBullet"/>
      </w:pPr>
      <w:r>
        <w:t>Emergency Issue Forms: developed by each site to reflect site-specific emergency issue policies and procedures</w:t>
      </w:r>
    </w:p>
    <w:p w14:paraId="43DE2E9F" w14:textId="77777777" w:rsidR="00112590" w:rsidRDefault="00112590" w:rsidP="00780A01">
      <w:pPr>
        <w:pStyle w:val="ListBullet"/>
      </w:pPr>
      <w:r>
        <w:t>Reagent Receipt Log</w:t>
      </w:r>
    </w:p>
    <w:p w14:paraId="3DAF567D" w14:textId="77777777" w:rsidR="00112590" w:rsidRDefault="00112590" w:rsidP="00780A01">
      <w:pPr>
        <w:pStyle w:val="ListBullet"/>
      </w:pPr>
      <w:r>
        <w:t>Supply Receipt Log</w:t>
      </w:r>
    </w:p>
    <w:p w14:paraId="0A95D341" w14:textId="77777777" w:rsidR="00112590" w:rsidRDefault="00112590" w:rsidP="00780A01">
      <w:pPr>
        <w:pStyle w:val="ListBullet"/>
      </w:pPr>
      <w:r>
        <w:t>Transfusion Reaction Forms</w:t>
      </w:r>
    </w:p>
    <w:p w14:paraId="30D60FEC" w14:textId="4C6A06EF" w:rsidR="00112590" w:rsidRDefault="00112590" w:rsidP="0095796B">
      <w:pPr>
        <w:pStyle w:val="ListBullet"/>
      </w:pPr>
      <w:r>
        <w:t>Transfusion Requirements Report: current printed version must be available at all times for user</w:t>
      </w:r>
      <w:r w:rsidR="004C1E6C">
        <w:t>s to check patient historic records and Transfusion Requirements</w:t>
      </w:r>
      <w:r>
        <w:t>. (See</w:t>
      </w:r>
      <w:r w:rsidR="00EE4647">
        <w:t xml:space="preserve"> </w:t>
      </w:r>
      <w:r w:rsidR="00EE4647">
        <w:fldChar w:fldCharType="begin"/>
      </w:r>
      <w:r w:rsidR="00EE4647">
        <w:instrText xml:space="preserve"> REF _Ref256684287 \h </w:instrText>
      </w:r>
      <w:r w:rsidR="00EE4647">
        <w:fldChar w:fldCharType="separate"/>
      </w:r>
      <w:r w:rsidR="004353ED">
        <w:t xml:space="preserve">Appendix </w:t>
      </w:r>
      <w:r w:rsidR="004353ED">
        <w:rPr>
          <w:noProof/>
        </w:rPr>
        <w:t>J</w:t>
      </w:r>
      <w:r w:rsidR="004353ED">
        <w:t>: Recommended Report Usage</w:t>
      </w:r>
      <w:r w:rsidR="00EE4647">
        <w:fldChar w:fldCharType="end"/>
      </w:r>
      <w:r>
        <w:t xml:space="preserve">: </w:t>
      </w:r>
      <w:r w:rsidR="00CF5477">
        <w:fldChar w:fldCharType="begin"/>
      </w:r>
      <w:r w:rsidR="00CF5477">
        <w:instrText xml:space="preserve"> REF _Ref126504669 \h </w:instrText>
      </w:r>
      <w:r w:rsidR="00CF5477">
        <w:fldChar w:fldCharType="separate"/>
      </w:r>
      <w:r w:rsidR="004353ED">
        <w:t xml:space="preserve">Table </w:t>
      </w:r>
      <w:r w:rsidR="004353ED">
        <w:rPr>
          <w:noProof/>
        </w:rPr>
        <w:t>37</w:t>
      </w:r>
      <w:r w:rsidR="004353ED">
        <w:t>: Recommended Report Usage</w:t>
      </w:r>
      <w:r w:rsidR="00CF5477">
        <w:fldChar w:fldCharType="end"/>
      </w:r>
      <w:r>
        <w:t>.)</w:t>
      </w:r>
    </w:p>
    <w:p w14:paraId="1F2DAA20" w14:textId="77777777" w:rsidR="004C542E" w:rsidRDefault="0000620B" w:rsidP="004C542E">
      <w:pPr>
        <w:pStyle w:val="BodyText"/>
      </w:pPr>
      <w:r>
        <w:t>Each site may use</w:t>
      </w:r>
      <w:r w:rsidR="004C542E">
        <w:t xml:space="preserve"> and modify</w:t>
      </w:r>
      <w:r>
        <w:t xml:space="preserve"> (included in this appendix)</w:t>
      </w:r>
      <w:r w:rsidR="004C542E">
        <w:t>:</w:t>
      </w:r>
      <w:r w:rsidR="001D72C9">
        <w:t xml:space="preserve"> </w:t>
      </w:r>
    </w:p>
    <w:p w14:paraId="35E45BDA" w14:textId="77777777" w:rsidR="0000620B" w:rsidRDefault="0000620B" w:rsidP="004C542E">
      <w:pPr>
        <w:pStyle w:val="ListBullet"/>
      </w:pPr>
      <w:r>
        <w:t>Patient Testing Forms</w:t>
      </w:r>
    </w:p>
    <w:p w14:paraId="14A485F3" w14:textId="77777777" w:rsidR="0000620B" w:rsidRDefault="0000620B" w:rsidP="004C542E">
      <w:pPr>
        <w:pStyle w:val="ListBullet"/>
      </w:pPr>
      <w:r>
        <w:t>Unit ABO/Rh Confirmation Forms</w:t>
      </w:r>
    </w:p>
    <w:p w14:paraId="06B38742" w14:textId="77777777" w:rsidR="0000620B" w:rsidRDefault="0000620B" w:rsidP="004C542E">
      <w:pPr>
        <w:pStyle w:val="ListBullet"/>
      </w:pPr>
      <w:r>
        <w:lastRenderedPageBreak/>
        <w:t>Unit Issue and Inspection Logs</w:t>
      </w:r>
    </w:p>
    <w:p w14:paraId="3058A97F" w14:textId="77777777" w:rsidR="0000620B" w:rsidRDefault="0000620B" w:rsidP="004C542E">
      <w:pPr>
        <w:pStyle w:val="ListBullet"/>
      </w:pPr>
      <w:r>
        <w:t>Unit Modification Forms</w:t>
      </w:r>
    </w:p>
    <w:p w14:paraId="546B41A8" w14:textId="77777777" w:rsidR="004C542E" w:rsidRDefault="004C542E" w:rsidP="004C542E">
      <w:pPr>
        <w:pStyle w:val="BodyText"/>
      </w:pPr>
      <w:r>
        <w:t>The information on these forms match</w:t>
      </w:r>
      <w:r w:rsidR="00672426">
        <w:t>es</w:t>
      </w:r>
      <w:r>
        <w:t xml:space="preserve"> information to be input in VBECS.</w:t>
      </w:r>
    </w:p>
    <w:p w14:paraId="31C29FAD" w14:textId="77777777" w:rsidR="002A21AE" w:rsidRDefault="002A21AE">
      <w:pPr>
        <w:pStyle w:val="ListBullet"/>
        <w:numPr>
          <w:ilvl w:val="0"/>
          <w:numId w:val="0"/>
        </w:numPr>
        <w:ind w:left="576" w:hanging="288"/>
        <w:sectPr w:rsidR="002A21AE" w:rsidSect="00EE771C">
          <w:pgSz w:w="12240" w:h="15840" w:code="1"/>
          <w:pgMar w:top="1440" w:right="1440" w:bottom="1440" w:left="1440" w:header="720" w:footer="720" w:gutter="0"/>
          <w:cols w:space="720"/>
          <w:docGrid w:linePitch="360"/>
        </w:sectPr>
      </w:pPr>
    </w:p>
    <w:p w14:paraId="12747AEE" w14:textId="77777777" w:rsidR="004A6408" w:rsidRDefault="004A6408" w:rsidP="00266EAB">
      <w:pPr>
        <w:pStyle w:val="Heading3"/>
      </w:pPr>
      <w:bookmarkStart w:id="705" w:name="_Toc47516802"/>
      <w:r w:rsidRPr="009244E2">
        <w:lastRenderedPageBreak/>
        <w:t>Patient Testing Form</w:t>
      </w:r>
      <w:bookmarkEnd w:id="705"/>
      <w:r w:rsidR="00246F04">
        <w:fldChar w:fldCharType="begin"/>
      </w:r>
      <w:r w:rsidR="00246F04">
        <w:instrText xml:space="preserve"> XE "</w:instrText>
      </w:r>
      <w:r w:rsidR="00246F04" w:rsidRPr="004C6254">
        <w:instrText>Patient Testing Form</w:instrText>
      </w:r>
      <w:r w:rsidR="00246F04">
        <w:instrText xml:space="preserve">" </w:instrText>
      </w:r>
      <w:r w:rsidR="00246F04">
        <w:fldChar w:fldCharType="end"/>
      </w:r>
      <w:r w:rsidR="00A95965">
        <w:fldChar w:fldCharType="begin"/>
      </w:r>
      <w:r w:rsidR="00A95965">
        <w:instrText xml:space="preserve"> XE “Forms:Patient Testing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5"/>
        <w:gridCol w:w="2189"/>
        <w:gridCol w:w="1244"/>
        <w:gridCol w:w="1420"/>
        <w:gridCol w:w="897"/>
        <w:gridCol w:w="603"/>
        <w:gridCol w:w="1020"/>
        <w:gridCol w:w="694"/>
        <w:gridCol w:w="457"/>
        <w:gridCol w:w="702"/>
        <w:gridCol w:w="1459"/>
      </w:tblGrid>
      <w:tr w:rsidR="003F4F8B" w14:paraId="2B1C1B9A" w14:textId="77777777">
        <w:tc>
          <w:tcPr>
            <w:tcW w:w="12960" w:type="dxa"/>
            <w:gridSpan w:val="11"/>
          </w:tcPr>
          <w:p w14:paraId="199CB017" w14:textId="77777777" w:rsidR="003F4F8B" w:rsidRPr="003F4F8B" w:rsidRDefault="003F4F8B" w:rsidP="00FC4396">
            <w:pPr>
              <w:pStyle w:val="TableText"/>
            </w:pPr>
            <w:r w:rsidRPr="00887834">
              <w:rPr>
                <w:b/>
              </w:rPr>
              <w:t xml:space="preserve">Facility Name: </w:t>
            </w:r>
          </w:p>
        </w:tc>
      </w:tr>
      <w:tr w:rsidR="003F4F8B" w14:paraId="0918CBB2" w14:textId="77777777">
        <w:tc>
          <w:tcPr>
            <w:tcW w:w="12960" w:type="dxa"/>
            <w:gridSpan w:val="11"/>
          </w:tcPr>
          <w:p w14:paraId="705BB417" w14:textId="77777777" w:rsidR="003F4F8B" w:rsidRPr="003F4F8B" w:rsidRDefault="003F4F8B" w:rsidP="00FC4396">
            <w:pPr>
              <w:pStyle w:val="TableText"/>
            </w:pPr>
            <w:r w:rsidRPr="00887834">
              <w:rPr>
                <w:b/>
              </w:rPr>
              <w:t xml:space="preserve">Address: </w:t>
            </w:r>
          </w:p>
        </w:tc>
      </w:tr>
      <w:tr w:rsidR="003F4F8B" w14:paraId="3A915BBF" w14:textId="77777777">
        <w:tc>
          <w:tcPr>
            <w:tcW w:w="12960" w:type="dxa"/>
            <w:gridSpan w:val="11"/>
          </w:tcPr>
          <w:p w14:paraId="174B3087" w14:textId="77777777" w:rsidR="003F4F8B" w:rsidRPr="003F4F8B" w:rsidRDefault="003F4F8B" w:rsidP="00FC4396">
            <w:pPr>
              <w:pStyle w:val="TableText"/>
            </w:pPr>
            <w:r w:rsidRPr="00887834">
              <w:rPr>
                <w:b/>
              </w:rPr>
              <w:t>City, State, Zip Code:</w:t>
            </w:r>
            <w:r>
              <w:t xml:space="preserve"> </w:t>
            </w:r>
          </w:p>
        </w:tc>
      </w:tr>
      <w:tr w:rsidR="004A6408" w:rsidRPr="0085788A" w14:paraId="5D07378C"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231"/>
        </w:trPr>
        <w:tc>
          <w:tcPr>
            <w:tcW w:w="2275" w:type="dxa"/>
            <w:tcBorders>
              <w:bottom w:val="single" w:sz="2" w:space="0" w:color="auto"/>
            </w:tcBorders>
            <w:shd w:val="clear" w:color="auto" w:fill="B3B3B3"/>
            <w:noWrap/>
          </w:tcPr>
          <w:p w14:paraId="75798AC5" w14:textId="77777777" w:rsidR="004A6408" w:rsidRPr="0085788A" w:rsidRDefault="004A6408" w:rsidP="00A95965">
            <w:pPr>
              <w:pStyle w:val="TableText"/>
              <w:rPr>
                <w:b/>
              </w:rPr>
            </w:pPr>
            <w:r w:rsidRPr="0085788A">
              <w:rPr>
                <w:b/>
              </w:rPr>
              <w:t>Patient Name</w:t>
            </w:r>
          </w:p>
        </w:tc>
        <w:tc>
          <w:tcPr>
            <w:tcW w:w="2189" w:type="dxa"/>
            <w:tcBorders>
              <w:bottom w:val="single" w:sz="2" w:space="0" w:color="auto"/>
            </w:tcBorders>
            <w:shd w:val="clear" w:color="auto" w:fill="B3B3B3"/>
            <w:noWrap/>
          </w:tcPr>
          <w:p w14:paraId="52CDA658" w14:textId="77777777" w:rsidR="004A6408" w:rsidRPr="0085788A" w:rsidRDefault="004A6408" w:rsidP="00A95965">
            <w:pPr>
              <w:pStyle w:val="TableText"/>
              <w:rPr>
                <w:b/>
              </w:rPr>
            </w:pPr>
            <w:r w:rsidRPr="0085788A">
              <w:rPr>
                <w:b/>
              </w:rPr>
              <w:t xml:space="preserve">Patient </w:t>
            </w:r>
            <w:r>
              <w:rPr>
                <w:b/>
                <w:szCs w:val="20"/>
              </w:rPr>
              <w:t>Identification Number</w:t>
            </w:r>
            <w:r w:rsidRPr="0085788A">
              <w:rPr>
                <w:b/>
              </w:rPr>
              <w:t xml:space="preserve"> </w:t>
            </w:r>
          </w:p>
        </w:tc>
        <w:tc>
          <w:tcPr>
            <w:tcW w:w="1244" w:type="dxa"/>
            <w:tcBorders>
              <w:bottom w:val="single" w:sz="2" w:space="0" w:color="auto"/>
            </w:tcBorders>
            <w:shd w:val="clear" w:color="auto" w:fill="B3B3B3"/>
            <w:noWrap/>
          </w:tcPr>
          <w:p w14:paraId="367364B2" w14:textId="77777777" w:rsidR="004A6408" w:rsidRPr="0085788A" w:rsidRDefault="004A6408" w:rsidP="00A95965">
            <w:pPr>
              <w:pStyle w:val="TableText"/>
              <w:rPr>
                <w:b/>
              </w:rPr>
            </w:pPr>
            <w:r w:rsidRPr="0085788A">
              <w:rPr>
                <w:b/>
              </w:rPr>
              <w:t>Location</w:t>
            </w:r>
          </w:p>
        </w:tc>
        <w:tc>
          <w:tcPr>
            <w:tcW w:w="2317" w:type="dxa"/>
            <w:gridSpan w:val="2"/>
            <w:tcBorders>
              <w:bottom w:val="single" w:sz="2" w:space="0" w:color="auto"/>
            </w:tcBorders>
            <w:shd w:val="clear" w:color="auto" w:fill="B3B3B3"/>
            <w:noWrap/>
          </w:tcPr>
          <w:p w14:paraId="03EADBA2" w14:textId="77777777" w:rsidR="004A6408" w:rsidRPr="0085788A" w:rsidRDefault="004A6408" w:rsidP="00A95965">
            <w:pPr>
              <w:pStyle w:val="TableText"/>
              <w:rPr>
                <w:b/>
              </w:rPr>
            </w:pPr>
            <w:r w:rsidRPr="0085788A">
              <w:rPr>
                <w:b/>
              </w:rPr>
              <w:t>CPRS Order Number</w:t>
            </w:r>
          </w:p>
        </w:tc>
        <w:tc>
          <w:tcPr>
            <w:tcW w:w="2317" w:type="dxa"/>
            <w:gridSpan w:val="3"/>
            <w:tcBorders>
              <w:bottom w:val="single" w:sz="2" w:space="0" w:color="auto"/>
            </w:tcBorders>
            <w:shd w:val="clear" w:color="auto" w:fill="B3B3B3"/>
            <w:noWrap/>
          </w:tcPr>
          <w:p w14:paraId="63F87698" w14:textId="77777777" w:rsidR="004A6408" w:rsidRPr="0085788A" w:rsidRDefault="004A6408" w:rsidP="00A95965">
            <w:pPr>
              <w:pStyle w:val="TableText"/>
              <w:rPr>
                <w:b/>
              </w:rPr>
            </w:pPr>
            <w:r w:rsidRPr="0085788A">
              <w:rPr>
                <w:b/>
              </w:rPr>
              <w:t>Lab Order Number</w:t>
            </w:r>
          </w:p>
        </w:tc>
        <w:tc>
          <w:tcPr>
            <w:tcW w:w="1159" w:type="dxa"/>
            <w:gridSpan w:val="2"/>
            <w:tcBorders>
              <w:bottom w:val="single" w:sz="2" w:space="0" w:color="auto"/>
            </w:tcBorders>
            <w:shd w:val="clear" w:color="auto" w:fill="B3B3B3"/>
            <w:noWrap/>
          </w:tcPr>
          <w:p w14:paraId="4DEA8D85" w14:textId="77777777" w:rsidR="004A6408" w:rsidRPr="0085788A" w:rsidRDefault="004A6408" w:rsidP="00A95965">
            <w:pPr>
              <w:pStyle w:val="TableText"/>
              <w:rPr>
                <w:b/>
              </w:rPr>
            </w:pPr>
            <w:r w:rsidRPr="0085788A">
              <w:rPr>
                <w:b/>
              </w:rPr>
              <w:t>Urgency</w:t>
            </w:r>
          </w:p>
        </w:tc>
        <w:tc>
          <w:tcPr>
            <w:tcW w:w="1459" w:type="dxa"/>
            <w:tcBorders>
              <w:bottom w:val="single" w:sz="2" w:space="0" w:color="auto"/>
            </w:tcBorders>
            <w:shd w:val="clear" w:color="auto" w:fill="B3B3B3"/>
            <w:noWrap/>
          </w:tcPr>
          <w:p w14:paraId="3A43FB29" w14:textId="77777777" w:rsidR="004A6408" w:rsidRPr="0085788A" w:rsidRDefault="004A6408" w:rsidP="00A95965">
            <w:pPr>
              <w:pStyle w:val="TableText"/>
              <w:rPr>
                <w:b/>
              </w:rPr>
            </w:pPr>
            <w:r w:rsidRPr="0085788A">
              <w:rPr>
                <w:b/>
              </w:rPr>
              <w:t>Appropriate?</w:t>
            </w:r>
            <w:r>
              <w:rPr>
                <w:b/>
              </w:rPr>
              <w:t xml:space="preserve"> (Yes, No)</w:t>
            </w:r>
          </w:p>
        </w:tc>
      </w:tr>
      <w:tr w:rsidR="004A6408" w:rsidRPr="004603A1" w14:paraId="26A35F9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auto"/>
            <w:noWrap/>
          </w:tcPr>
          <w:p w14:paraId="78EAE606" w14:textId="77777777" w:rsidR="004A6408" w:rsidRPr="004603A1" w:rsidRDefault="004A6408" w:rsidP="00A95965">
            <w:pPr>
              <w:pStyle w:val="TableText"/>
            </w:pPr>
          </w:p>
        </w:tc>
        <w:tc>
          <w:tcPr>
            <w:tcW w:w="2189" w:type="dxa"/>
            <w:tcBorders>
              <w:top w:val="single" w:sz="2" w:space="0" w:color="auto"/>
              <w:left w:val="single" w:sz="2" w:space="0" w:color="auto"/>
              <w:bottom w:val="single" w:sz="2" w:space="0" w:color="auto"/>
              <w:right w:val="single" w:sz="2" w:space="0" w:color="auto"/>
            </w:tcBorders>
            <w:shd w:val="clear" w:color="auto" w:fill="auto"/>
            <w:noWrap/>
          </w:tcPr>
          <w:p w14:paraId="66877128" w14:textId="77777777" w:rsidR="004A6408" w:rsidRPr="004603A1" w:rsidRDefault="004A6408" w:rsidP="00A95965">
            <w:pPr>
              <w:pStyle w:val="TableText"/>
            </w:pPr>
          </w:p>
        </w:tc>
        <w:tc>
          <w:tcPr>
            <w:tcW w:w="1244" w:type="dxa"/>
            <w:tcBorders>
              <w:top w:val="single" w:sz="2" w:space="0" w:color="auto"/>
              <w:left w:val="single" w:sz="2" w:space="0" w:color="auto"/>
              <w:bottom w:val="single" w:sz="2" w:space="0" w:color="auto"/>
              <w:right w:val="single" w:sz="2" w:space="0" w:color="auto"/>
            </w:tcBorders>
            <w:shd w:val="clear" w:color="auto" w:fill="auto"/>
            <w:noWrap/>
          </w:tcPr>
          <w:p w14:paraId="750D0AD5" w14:textId="77777777" w:rsidR="004A6408" w:rsidRPr="004603A1" w:rsidRDefault="004A6408" w:rsidP="00A95965">
            <w:pPr>
              <w:pStyle w:val="TableText"/>
            </w:pPr>
          </w:p>
        </w:tc>
        <w:tc>
          <w:tcPr>
            <w:tcW w:w="2317" w:type="dxa"/>
            <w:gridSpan w:val="2"/>
            <w:tcBorders>
              <w:top w:val="single" w:sz="2" w:space="0" w:color="auto"/>
              <w:left w:val="single" w:sz="2" w:space="0" w:color="auto"/>
              <w:bottom w:val="single" w:sz="2" w:space="0" w:color="auto"/>
              <w:right w:val="single" w:sz="2" w:space="0" w:color="auto"/>
            </w:tcBorders>
            <w:shd w:val="clear" w:color="auto" w:fill="auto"/>
            <w:noWrap/>
          </w:tcPr>
          <w:p w14:paraId="10657E86" w14:textId="77777777" w:rsidR="004A6408" w:rsidRPr="004603A1" w:rsidRDefault="004A6408" w:rsidP="00A95965">
            <w:pPr>
              <w:pStyle w:val="TableText"/>
            </w:pPr>
          </w:p>
        </w:tc>
        <w:tc>
          <w:tcPr>
            <w:tcW w:w="2317" w:type="dxa"/>
            <w:gridSpan w:val="3"/>
            <w:tcBorders>
              <w:top w:val="single" w:sz="2" w:space="0" w:color="auto"/>
              <w:left w:val="single" w:sz="2" w:space="0" w:color="auto"/>
              <w:bottom w:val="single" w:sz="2" w:space="0" w:color="auto"/>
              <w:right w:val="single" w:sz="2" w:space="0" w:color="auto"/>
            </w:tcBorders>
            <w:shd w:val="clear" w:color="auto" w:fill="auto"/>
            <w:noWrap/>
          </w:tcPr>
          <w:p w14:paraId="20B398F3" w14:textId="77777777" w:rsidR="004A6408" w:rsidRPr="004603A1" w:rsidRDefault="004A6408" w:rsidP="00A95965">
            <w:pPr>
              <w:pStyle w:val="TableText"/>
            </w:pPr>
          </w:p>
        </w:tc>
        <w:tc>
          <w:tcPr>
            <w:tcW w:w="1159" w:type="dxa"/>
            <w:gridSpan w:val="2"/>
            <w:tcBorders>
              <w:top w:val="single" w:sz="2" w:space="0" w:color="auto"/>
              <w:left w:val="single" w:sz="2" w:space="0" w:color="auto"/>
              <w:bottom w:val="single" w:sz="2" w:space="0" w:color="auto"/>
              <w:right w:val="single" w:sz="2" w:space="0" w:color="auto"/>
            </w:tcBorders>
            <w:shd w:val="clear" w:color="auto" w:fill="auto"/>
            <w:noWrap/>
          </w:tcPr>
          <w:p w14:paraId="24FF5395" w14:textId="77777777" w:rsidR="004A6408" w:rsidRPr="004603A1" w:rsidRDefault="004A6408" w:rsidP="00A95965">
            <w:pPr>
              <w:pStyle w:val="TableText"/>
            </w:pPr>
          </w:p>
        </w:tc>
        <w:tc>
          <w:tcPr>
            <w:tcW w:w="1459" w:type="dxa"/>
            <w:tcBorders>
              <w:top w:val="single" w:sz="2" w:space="0" w:color="auto"/>
              <w:left w:val="single" w:sz="2" w:space="0" w:color="auto"/>
              <w:bottom w:val="single" w:sz="2" w:space="0" w:color="auto"/>
              <w:right w:val="single" w:sz="2" w:space="0" w:color="auto"/>
            </w:tcBorders>
            <w:shd w:val="clear" w:color="auto" w:fill="auto"/>
            <w:noWrap/>
          </w:tcPr>
          <w:p w14:paraId="72364288" w14:textId="77777777" w:rsidR="004A6408" w:rsidRPr="004603A1" w:rsidRDefault="004A6408" w:rsidP="00A95965">
            <w:pPr>
              <w:pStyle w:val="TableText"/>
            </w:pPr>
          </w:p>
        </w:tc>
      </w:tr>
      <w:tr w:rsidR="004A6408" w:rsidRPr="004603A1" w14:paraId="2AEFEB7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B3B3B3"/>
            <w:noWrap/>
          </w:tcPr>
          <w:p w14:paraId="64969A7D" w14:textId="77777777" w:rsidR="004A6408" w:rsidRPr="0085788A" w:rsidRDefault="004A6408" w:rsidP="00A95965">
            <w:pPr>
              <w:pStyle w:val="TableText"/>
              <w:rPr>
                <w:b/>
              </w:rPr>
            </w:pPr>
            <w:r w:rsidRPr="0085788A">
              <w:rPr>
                <w:b/>
              </w:rPr>
              <w:t>Specimen UID</w:t>
            </w:r>
          </w:p>
        </w:tc>
        <w:tc>
          <w:tcPr>
            <w:tcW w:w="2189" w:type="dxa"/>
            <w:tcBorders>
              <w:top w:val="single" w:sz="2" w:space="0" w:color="auto"/>
              <w:left w:val="single" w:sz="2" w:space="0" w:color="auto"/>
              <w:bottom w:val="single" w:sz="2" w:space="0" w:color="auto"/>
              <w:right w:val="single" w:sz="2" w:space="0" w:color="auto"/>
            </w:tcBorders>
            <w:shd w:val="clear" w:color="auto" w:fill="B3B3B3"/>
            <w:noWrap/>
          </w:tcPr>
          <w:p w14:paraId="00B19291" w14:textId="77777777" w:rsidR="004A6408" w:rsidRPr="0085788A" w:rsidRDefault="004A6408" w:rsidP="00A95965">
            <w:pPr>
              <w:pStyle w:val="TableText"/>
              <w:rPr>
                <w:b/>
              </w:rPr>
            </w:pPr>
            <w:r w:rsidRPr="0085788A">
              <w:rPr>
                <w:rFonts w:eastAsia="Symbol"/>
                <w:b/>
              </w:rPr>
              <w:t>Date</w:t>
            </w:r>
            <w:r>
              <w:rPr>
                <w:rFonts w:eastAsia="Symbol"/>
                <w:b/>
              </w:rPr>
              <w:t xml:space="preserve"> and </w:t>
            </w:r>
            <w:r w:rsidRPr="0085788A">
              <w:rPr>
                <w:rFonts w:eastAsia="Symbol"/>
                <w:b/>
              </w:rPr>
              <w:t>Time Collected</w:t>
            </w:r>
          </w:p>
        </w:tc>
        <w:tc>
          <w:tcPr>
            <w:tcW w:w="2664" w:type="dxa"/>
            <w:gridSpan w:val="2"/>
            <w:tcBorders>
              <w:top w:val="single" w:sz="2" w:space="0" w:color="auto"/>
              <w:left w:val="single" w:sz="2" w:space="0" w:color="auto"/>
              <w:bottom w:val="single" w:sz="2" w:space="0" w:color="auto"/>
              <w:right w:val="single" w:sz="2" w:space="0" w:color="auto"/>
            </w:tcBorders>
            <w:shd w:val="clear" w:color="auto" w:fill="B3B3B3"/>
            <w:noWrap/>
          </w:tcPr>
          <w:p w14:paraId="37508065" w14:textId="77777777" w:rsidR="004A6408" w:rsidRPr="004603A1" w:rsidRDefault="004A6408" w:rsidP="00A95965">
            <w:pPr>
              <w:pStyle w:val="TableText"/>
            </w:pPr>
            <w:r w:rsidRPr="0085788A">
              <w:rPr>
                <w:b/>
              </w:rPr>
              <w:t xml:space="preserve">Phlebotomist </w:t>
            </w:r>
            <w:r>
              <w:rPr>
                <w:b/>
                <w:szCs w:val="20"/>
              </w:rPr>
              <w:t>Name</w:t>
            </w:r>
          </w:p>
        </w:tc>
        <w:tc>
          <w:tcPr>
            <w:tcW w:w="2520" w:type="dxa"/>
            <w:gridSpan w:val="3"/>
            <w:tcBorders>
              <w:top w:val="single" w:sz="2" w:space="0" w:color="auto"/>
              <w:left w:val="single" w:sz="2" w:space="0" w:color="auto"/>
              <w:bottom w:val="single" w:sz="2" w:space="0" w:color="auto"/>
              <w:right w:val="single" w:sz="2" w:space="0" w:color="auto"/>
            </w:tcBorders>
            <w:shd w:val="clear" w:color="auto" w:fill="B3B3B3"/>
            <w:noWrap/>
          </w:tcPr>
          <w:p w14:paraId="265A739E" w14:textId="77777777" w:rsidR="004A6408" w:rsidRPr="004603A1" w:rsidRDefault="004A6408" w:rsidP="00A95965">
            <w:pPr>
              <w:pStyle w:val="TableText"/>
            </w:pPr>
            <w:r w:rsidRPr="0085788A">
              <w:rPr>
                <w:b/>
              </w:rPr>
              <w:t>Date</w:t>
            </w:r>
            <w:r>
              <w:rPr>
                <w:b/>
              </w:rPr>
              <w:t xml:space="preserve"> and </w:t>
            </w:r>
            <w:r w:rsidRPr="0085788A">
              <w:rPr>
                <w:b/>
              </w:rPr>
              <w:t>Time Received</w:t>
            </w:r>
          </w:p>
        </w:tc>
        <w:tc>
          <w:tcPr>
            <w:tcW w:w="1853" w:type="dxa"/>
            <w:gridSpan w:val="3"/>
            <w:tcBorders>
              <w:top w:val="single" w:sz="2" w:space="0" w:color="auto"/>
              <w:left w:val="single" w:sz="2" w:space="0" w:color="auto"/>
              <w:bottom w:val="single" w:sz="2" w:space="0" w:color="auto"/>
              <w:right w:val="single" w:sz="2" w:space="0" w:color="auto"/>
            </w:tcBorders>
            <w:shd w:val="clear" w:color="auto" w:fill="B3B3B3"/>
            <w:noWrap/>
          </w:tcPr>
          <w:p w14:paraId="771239EE" w14:textId="77777777" w:rsidR="004A6408" w:rsidRPr="004603A1" w:rsidRDefault="004A6408" w:rsidP="00A95965">
            <w:pPr>
              <w:pStyle w:val="TableText"/>
            </w:pPr>
            <w:r w:rsidRPr="0085788A">
              <w:rPr>
                <w:b/>
              </w:rPr>
              <w:t xml:space="preserve">Processed </w:t>
            </w:r>
            <w:r>
              <w:rPr>
                <w:b/>
              </w:rPr>
              <w:t>B</w:t>
            </w:r>
            <w:r w:rsidRPr="0085788A">
              <w:rPr>
                <w:b/>
              </w:rPr>
              <w:t>y:</w:t>
            </w:r>
          </w:p>
        </w:tc>
        <w:tc>
          <w:tcPr>
            <w:tcW w:w="1459" w:type="dxa"/>
            <w:tcBorders>
              <w:top w:val="single" w:sz="2" w:space="0" w:color="auto"/>
              <w:left w:val="single" w:sz="2" w:space="0" w:color="auto"/>
              <w:bottom w:val="single" w:sz="2" w:space="0" w:color="auto"/>
              <w:right w:val="single" w:sz="2" w:space="0" w:color="auto"/>
            </w:tcBorders>
            <w:shd w:val="clear" w:color="auto" w:fill="B3B3B3"/>
            <w:noWrap/>
          </w:tcPr>
          <w:p w14:paraId="11454EE2" w14:textId="77777777" w:rsidR="004A6408" w:rsidRPr="004603A1" w:rsidRDefault="004A6408" w:rsidP="00A95965">
            <w:pPr>
              <w:pStyle w:val="TableText"/>
            </w:pPr>
            <w:r w:rsidRPr="0085788A">
              <w:rPr>
                <w:b/>
              </w:rPr>
              <w:t>Acceptable?</w:t>
            </w:r>
            <w:r>
              <w:rPr>
                <w:b/>
              </w:rPr>
              <w:t xml:space="preserve"> (Yes, No)</w:t>
            </w:r>
          </w:p>
        </w:tc>
      </w:tr>
      <w:tr w:rsidR="004A6408" w:rsidRPr="004603A1" w14:paraId="2543F8A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auto"/>
            <w:noWrap/>
          </w:tcPr>
          <w:p w14:paraId="512963B6" w14:textId="77777777" w:rsidR="004A6408" w:rsidRPr="004603A1" w:rsidRDefault="004A6408" w:rsidP="00A95965">
            <w:pPr>
              <w:pStyle w:val="TableText"/>
            </w:pPr>
          </w:p>
        </w:tc>
        <w:tc>
          <w:tcPr>
            <w:tcW w:w="2189" w:type="dxa"/>
            <w:tcBorders>
              <w:top w:val="single" w:sz="2" w:space="0" w:color="auto"/>
              <w:left w:val="single" w:sz="2" w:space="0" w:color="auto"/>
              <w:bottom w:val="single" w:sz="2" w:space="0" w:color="auto"/>
              <w:right w:val="single" w:sz="2" w:space="0" w:color="auto"/>
            </w:tcBorders>
            <w:shd w:val="clear" w:color="auto" w:fill="auto"/>
            <w:noWrap/>
          </w:tcPr>
          <w:p w14:paraId="3BE32664" w14:textId="77777777" w:rsidR="004A6408" w:rsidRPr="004603A1" w:rsidRDefault="004A6408" w:rsidP="00A95965">
            <w:pPr>
              <w:pStyle w:val="TableText"/>
            </w:pPr>
          </w:p>
        </w:tc>
        <w:tc>
          <w:tcPr>
            <w:tcW w:w="2664" w:type="dxa"/>
            <w:gridSpan w:val="2"/>
            <w:tcBorders>
              <w:top w:val="single" w:sz="2" w:space="0" w:color="auto"/>
              <w:left w:val="single" w:sz="2" w:space="0" w:color="auto"/>
              <w:bottom w:val="single" w:sz="2" w:space="0" w:color="auto"/>
              <w:right w:val="single" w:sz="2" w:space="0" w:color="auto"/>
            </w:tcBorders>
            <w:shd w:val="clear" w:color="auto" w:fill="auto"/>
            <w:noWrap/>
          </w:tcPr>
          <w:p w14:paraId="1444AC0A" w14:textId="77777777" w:rsidR="004A6408" w:rsidRPr="004603A1" w:rsidRDefault="004A6408" w:rsidP="00A95965">
            <w:pPr>
              <w:pStyle w:val="TableText"/>
            </w:pPr>
          </w:p>
        </w:tc>
        <w:tc>
          <w:tcPr>
            <w:tcW w:w="2520" w:type="dxa"/>
            <w:gridSpan w:val="3"/>
            <w:tcBorders>
              <w:top w:val="single" w:sz="2" w:space="0" w:color="auto"/>
              <w:left w:val="single" w:sz="2" w:space="0" w:color="auto"/>
              <w:bottom w:val="single" w:sz="2" w:space="0" w:color="auto"/>
              <w:right w:val="single" w:sz="2" w:space="0" w:color="auto"/>
            </w:tcBorders>
            <w:shd w:val="clear" w:color="auto" w:fill="auto"/>
            <w:noWrap/>
          </w:tcPr>
          <w:p w14:paraId="2988A9B7" w14:textId="77777777" w:rsidR="004A6408" w:rsidRPr="004603A1" w:rsidRDefault="004A6408" w:rsidP="00A95965">
            <w:pPr>
              <w:pStyle w:val="TableText"/>
            </w:pPr>
          </w:p>
        </w:tc>
        <w:tc>
          <w:tcPr>
            <w:tcW w:w="1853" w:type="dxa"/>
            <w:gridSpan w:val="3"/>
            <w:tcBorders>
              <w:top w:val="single" w:sz="2" w:space="0" w:color="auto"/>
              <w:left w:val="single" w:sz="2" w:space="0" w:color="auto"/>
              <w:bottom w:val="single" w:sz="2" w:space="0" w:color="auto"/>
              <w:right w:val="single" w:sz="2" w:space="0" w:color="auto"/>
            </w:tcBorders>
            <w:shd w:val="clear" w:color="auto" w:fill="auto"/>
            <w:noWrap/>
          </w:tcPr>
          <w:p w14:paraId="7AE3A027" w14:textId="77777777" w:rsidR="004A6408" w:rsidRPr="004603A1" w:rsidRDefault="004A6408" w:rsidP="00A95965">
            <w:pPr>
              <w:pStyle w:val="TableText"/>
            </w:pPr>
          </w:p>
        </w:tc>
        <w:tc>
          <w:tcPr>
            <w:tcW w:w="1459" w:type="dxa"/>
            <w:tcBorders>
              <w:top w:val="single" w:sz="2" w:space="0" w:color="auto"/>
              <w:left w:val="single" w:sz="2" w:space="0" w:color="auto"/>
              <w:bottom w:val="single" w:sz="2" w:space="0" w:color="auto"/>
              <w:right w:val="single" w:sz="2" w:space="0" w:color="auto"/>
            </w:tcBorders>
            <w:shd w:val="clear" w:color="auto" w:fill="auto"/>
            <w:noWrap/>
          </w:tcPr>
          <w:p w14:paraId="0983EDBC" w14:textId="77777777" w:rsidR="004A6408" w:rsidRPr="004603A1" w:rsidRDefault="004A6408" w:rsidP="00A95965">
            <w:pPr>
              <w:pStyle w:val="TableText"/>
            </w:pPr>
          </w:p>
        </w:tc>
      </w:tr>
      <w:tr w:rsidR="004A6408" w14:paraId="640A3A8D"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12960" w:type="dxa"/>
            <w:gridSpan w:val="11"/>
            <w:noWrap/>
          </w:tcPr>
          <w:p w14:paraId="3BA5D5DC" w14:textId="77777777" w:rsidR="004A6408" w:rsidRPr="00547668" w:rsidRDefault="004A6408" w:rsidP="00A95965">
            <w:pPr>
              <w:pStyle w:val="TableText"/>
              <w:rPr>
                <w:b/>
                <w:szCs w:val="20"/>
              </w:rPr>
            </w:pPr>
            <w:r w:rsidRPr="00547668">
              <w:rPr>
                <w:b/>
                <w:szCs w:val="20"/>
              </w:rPr>
              <w:t>Ordered Tests:</w:t>
            </w:r>
          </w:p>
        </w:tc>
      </w:tr>
      <w:tr w:rsidR="004A6408" w14:paraId="1A4E932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8628" w:type="dxa"/>
            <w:gridSpan w:val="6"/>
            <w:noWrap/>
          </w:tcPr>
          <w:p w14:paraId="7775270F" w14:textId="77777777" w:rsidR="004A6408" w:rsidRPr="00547668" w:rsidRDefault="004A6408" w:rsidP="00A95965">
            <w:pPr>
              <w:pStyle w:val="TableText"/>
              <w:rPr>
                <w:b/>
                <w:szCs w:val="20"/>
              </w:rPr>
            </w:pPr>
            <w:r w:rsidRPr="00547668">
              <w:rPr>
                <w:b/>
                <w:szCs w:val="20"/>
              </w:rPr>
              <w:t>Comments:</w:t>
            </w:r>
          </w:p>
        </w:tc>
        <w:tc>
          <w:tcPr>
            <w:tcW w:w="2171" w:type="dxa"/>
            <w:gridSpan w:val="3"/>
          </w:tcPr>
          <w:p w14:paraId="6468639B" w14:textId="77777777" w:rsidR="004A6408" w:rsidRPr="00547668" w:rsidRDefault="004A6408" w:rsidP="00A95965">
            <w:pPr>
              <w:pStyle w:val="TableText"/>
              <w:rPr>
                <w:b/>
                <w:szCs w:val="20"/>
              </w:rPr>
            </w:pPr>
            <w:r w:rsidRPr="00547668">
              <w:rPr>
                <w:b/>
                <w:szCs w:val="20"/>
              </w:rPr>
              <w:t>Entered By:</w:t>
            </w:r>
          </w:p>
        </w:tc>
        <w:tc>
          <w:tcPr>
            <w:tcW w:w="2161" w:type="dxa"/>
            <w:gridSpan w:val="2"/>
          </w:tcPr>
          <w:p w14:paraId="13C22693" w14:textId="77777777" w:rsidR="004A6408" w:rsidRPr="00547668" w:rsidRDefault="004A6408" w:rsidP="00A95965">
            <w:pPr>
              <w:pStyle w:val="TableText"/>
              <w:rPr>
                <w:b/>
                <w:szCs w:val="20"/>
              </w:rPr>
            </w:pPr>
            <w:r w:rsidRPr="00547668">
              <w:rPr>
                <w:b/>
                <w:szCs w:val="20"/>
              </w:rPr>
              <w:t>Date and Time</w:t>
            </w:r>
            <w:r>
              <w:rPr>
                <w:b/>
                <w:szCs w:val="20"/>
              </w:rPr>
              <w:t>:</w:t>
            </w:r>
          </w:p>
        </w:tc>
      </w:tr>
    </w:tbl>
    <w:p w14:paraId="536FBFB1" w14:textId="77777777" w:rsidR="004A6408" w:rsidRDefault="004A6408"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1455"/>
        <w:gridCol w:w="897"/>
        <w:gridCol w:w="546"/>
        <w:gridCol w:w="1407"/>
        <w:gridCol w:w="28"/>
        <w:gridCol w:w="1434"/>
        <w:gridCol w:w="1434"/>
        <w:gridCol w:w="1441"/>
        <w:gridCol w:w="1433"/>
        <w:gridCol w:w="1433"/>
        <w:gridCol w:w="1452"/>
      </w:tblGrid>
      <w:tr w:rsidR="004A6408" w14:paraId="4D3DC2F4" w14:textId="77777777">
        <w:trPr>
          <w:cantSplit/>
          <w:trHeight w:val="230"/>
        </w:trPr>
        <w:tc>
          <w:tcPr>
            <w:tcW w:w="2352" w:type="dxa"/>
            <w:gridSpan w:val="2"/>
            <w:shd w:val="clear" w:color="auto" w:fill="B3B3B3"/>
            <w:noWrap/>
          </w:tcPr>
          <w:p w14:paraId="0119CD8F" w14:textId="77777777" w:rsidR="004A6408" w:rsidRPr="00DD058C" w:rsidRDefault="004A6408" w:rsidP="00A95965">
            <w:pPr>
              <w:pStyle w:val="TableText"/>
              <w:rPr>
                <w:b/>
                <w:szCs w:val="20"/>
              </w:rPr>
            </w:pPr>
            <w:r>
              <w:rPr>
                <w:b/>
                <w:szCs w:val="20"/>
              </w:rPr>
              <w:t>Reagent Rack</w:t>
            </w:r>
          </w:p>
        </w:tc>
        <w:tc>
          <w:tcPr>
            <w:tcW w:w="1953" w:type="dxa"/>
            <w:gridSpan w:val="2"/>
            <w:shd w:val="clear" w:color="auto" w:fill="B3B3B3"/>
          </w:tcPr>
          <w:p w14:paraId="55EF9BC6" w14:textId="77777777" w:rsidR="004A6408" w:rsidRPr="00DD058C" w:rsidRDefault="004A6408" w:rsidP="00A95965">
            <w:pPr>
              <w:pStyle w:val="TableText"/>
              <w:rPr>
                <w:b/>
                <w:szCs w:val="20"/>
              </w:rPr>
            </w:pPr>
            <w:r>
              <w:rPr>
                <w:b/>
                <w:szCs w:val="20"/>
              </w:rPr>
              <w:t>Date and Time</w:t>
            </w:r>
          </w:p>
        </w:tc>
        <w:tc>
          <w:tcPr>
            <w:tcW w:w="8655" w:type="dxa"/>
            <w:gridSpan w:val="7"/>
            <w:shd w:val="clear" w:color="auto" w:fill="B3B3B3"/>
          </w:tcPr>
          <w:p w14:paraId="6437D6F1" w14:textId="77777777" w:rsidR="004A6408" w:rsidRPr="00DD058C" w:rsidRDefault="004A6408" w:rsidP="00A95965">
            <w:pPr>
              <w:pStyle w:val="TableText"/>
              <w:rPr>
                <w:b/>
                <w:szCs w:val="20"/>
              </w:rPr>
            </w:pPr>
            <w:r>
              <w:rPr>
                <w:b/>
                <w:szCs w:val="20"/>
              </w:rPr>
              <w:t>Tech Name</w:t>
            </w:r>
          </w:p>
        </w:tc>
      </w:tr>
      <w:tr w:rsidR="004A6408" w14:paraId="71E8E720" w14:textId="77777777">
        <w:tblPrEx>
          <w:shd w:val="clear" w:color="auto" w:fill="auto"/>
        </w:tblPrEx>
        <w:trPr>
          <w:cantSplit/>
          <w:trHeight w:val="432"/>
        </w:trPr>
        <w:tc>
          <w:tcPr>
            <w:tcW w:w="2352" w:type="dxa"/>
            <w:gridSpan w:val="2"/>
            <w:noWrap/>
          </w:tcPr>
          <w:p w14:paraId="556CD797" w14:textId="77777777" w:rsidR="004A6408" w:rsidRDefault="004A6408" w:rsidP="00A95965">
            <w:pPr>
              <w:pStyle w:val="TableText"/>
              <w:rPr>
                <w:szCs w:val="20"/>
              </w:rPr>
            </w:pPr>
          </w:p>
        </w:tc>
        <w:tc>
          <w:tcPr>
            <w:tcW w:w="1953" w:type="dxa"/>
            <w:gridSpan w:val="2"/>
          </w:tcPr>
          <w:p w14:paraId="4B97AA99" w14:textId="77777777" w:rsidR="004A6408" w:rsidRDefault="004A6408" w:rsidP="00A95965">
            <w:pPr>
              <w:pStyle w:val="TableText"/>
              <w:rPr>
                <w:szCs w:val="20"/>
              </w:rPr>
            </w:pPr>
          </w:p>
        </w:tc>
        <w:tc>
          <w:tcPr>
            <w:tcW w:w="8655" w:type="dxa"/>
            <w:gridSpan w:val="7"/>
          </w:tcPr>
          <w:p w14:paraId="14789B42" w14:textId="77777777" w:rsidR="004A6408" w:rsidRDefault="004A6408" w:rsidP="00A95965">
            <w:pPr>
              <w:pStyle w:val="TableText"/>
              <w:rPr>
                <w:szCs w:val="20"/>
              </w:rPr>
            </w:pPr>
          </w:p>
        </w:tc>
      </w:tr>
      <w:tr w:rsidR="004A6408" w14:paraId="4E8EB06F" w14:textId="77777777">
        <w:tblPrEx>
          <w:shd w:val="clear" w:color="auto" w:fill="auto"/>
        </w:tblPrEx>
        <w:trPr>
          <w:cantSplit/>
          <w:trHeight w:val="230"/>
          <w:tblHeader/>
        </w:trPr>
        <w:tc>
          <w:tcPr>
            <w:tcW w:w="1455" w:type="dxa"/>
            <w:vMerge w:val="restart"/>
            <w:shd w:val="clear" w:color="auto" w:fill="B3B3B3"/>
            <w:noWrap/>
          </w:tcPr>
          <w:p w14:paraId="0EF7A0A7" w14:textId="77777777" w:rsidR="004A6408" w:rsidRPr="00E42FCF" w:rsidRDefault="004A6408" w:rsidP="00A95965">
            <w:pPr>
              <w:pStyle w:val="TableText"/>
              <w:rPr>
                <w:b/>
                <w:szCs w:val="20"/>
              </w:rPr>
            </w:pPr>
            <w:r>
              <w:rPr>
                <w:b/>
                <w:szCs w:val="20"/>
              </w:rPr>
              <w:t>Historic ABO/Rh Check</w:t>
            </w:r>
          </w:p>
        </w:tc>
        <w:tc>
          <w:tcPr>
            <w:tcW w:w="4312" w:type="dxa"/>
            <w:gridSpan w:val="5"/>
            <w:tcBorders>
              <w:bottom w:val="single" w:sz="2" w:space="0" w:color="auto"/>
            </w:tcBorders>
            <w:shd w:val="clear" w:color="auto" w:fill="B3B3B3"/>
          </w:tcPr>
          <w:p w14:paraId="4CDADB0B" w14:textId="77777777" w:rsidR="004A6408" w:rsidRPr="00E42FCF" w:rsidRDefault="004A6408" w:rsidP="00FC4396">
            <w:pPr>
              <w:pStyle w:val="TableText"/>
              <w:rPr>
                <w:b/>
                <w:szCs w:val="20"/>
              </w:rPr>
            </w:pPr>
            <w:r w:rsidRPr="00E42FCF">
              <w:rPr>
                <w:b/>
                <w:szCs w:val="20"/>
              </w:rPr>
              <w:t>Forward ABO Grouping</w:t>
            </w:r>
          </w:p>
        </w:tc>
        <w:tc>
          <w:tcPr>
            <w:tcW w:w="2875" w:type="dxa"/>
            <w:gridSpan w:val="2"/>
            <w:tcBorders>
              <w:bottom w:val="single" w:sz="2" w:space="0" w:color="auto"/>
            </w:tcBorders>
            <w:shd w:val="clear" w:color="auto" w:fill="B3B3B3"/>
          </w:tcPr>
          <w:p w14:paraId="03120D91" w14:textId="77777777" w:rsidR="004A6408" w:rsidRPr="00E42FCF" w:rsidRDefault="004A6408" w:rsidP="00FC4396">
            <w:pPr>
              <w:pStyle w:val="TableText"/>
              <w:rPr>
                <w:b/>
                <w:szCs w:val="20"/>
              </w:rPr>
            </w:pPr>
            <w:r w:rsidRPr="00E42FCF">
              <w:rPr>
                <w:b/>
                <w:szCs w:val="20"/>
              </w:rPr>
              <w:t>Rh Typing</w:t>
            </w:r>
          </w:p>
        </w:tc>
        <w:tc>
          <w:tcPr>
            <w:tcW w:w="2866" w:type="dxa"/>
            <w:gridSpan w:val="2"/>
            <w:tcBorders>
              <w:bottom w:val="single" w:sz="2" w:space="0" w:color="auto"/>
            </w:tcBorders>
            <w:shd w:val="clear" w:color="auto" w:fill="B3B3B3"/>
          </w:tcPr>
          <w:p w14:paraId="669F1B9C" w14:textId="77777777" w:rsidR="004A6408" w:rsidRPr="00E42FCF" w:rsidRDefault="004A6408" w:rsidP="00FC4396">
            <w:pPr>
              <w:pStyle w:val="TableText"/>
              <w:rPr>
                <w:b/>
                <w:szCs w:val="20"/>
              </w:rPr>
            </w:pPr>
            <w:r w:rsidRPr="00E42FCF">
              <w:rPr>
                <w:b/>
                <w:szCs w:val="20"/>
              </w:rPr>
              <w:t>Reverse ABO Grouping</w:t>
            </w:r>
          </w:p>
        </w:tc>
        <w:tc>
          <w:tcPr>
            <w:tcW w:w="1452" w:type="dxa"/>
            <w:vMerge w:val="restart"/>
            <w:shd w:val="clear" w:color="auto" w:fill="B3B3B3"/>
          </w:tcPr>
          <w:p w14:paraId="00F328C3" w14:textId="77777777" w:rsidR="004A6408" w:rsidRDefault="004A6408" w:rsidP="00A95965">
            <w:pPr>
              <w:pStyle w:val="TableText"/>
              <w:rPr>
                <w:b/>
                <w:szCs w:val="20"/>
              </w:rPr>
            </w:pPr>
            <w:r w:rsidRPr="00E42FCF">
              <w:rPr>
                <w:b/>
                <w:szCs w:val="20"/>
              </w:rPr>
              <w:t>ABO/Rh</w:t>
            </w:r>
          </w:p>
          <w:p w14:paraId="0B6F7957" w14:textId="77777777" w:rsidR="004A6408" w:rsidRPr="00E42FCF" w:rsidRDefault="004A6408" w:rsidP="00A95965">
            <w:pPr>
              <w:pStyle w:val="TableText"/>
              <w:rPr>
                <w:b/>
                <w:szCs w:val="20"/>
              </w:rPr>
            </w:pPr>
            <w:r>
              <w:rPr>
                <w:b/>
                <w:szCs w:val="20"/>
              </w:rPr>
              <w:t>Interpretation</w:t>
            </w:r>
          </w:p>
        </w:tc>
      </w:tr>
      <w:tr w:rsidR="004A6408" w14:paraId="1D5F4665" w14:textId="77777777">
        <w:tblPrEx>
          <w:shd w:val="clear" w:color="auto" w:fill="auto"/>
        </w:tblPrEx>
        <w:trPr>
          <w:cantSplit/>
          <w:trHeight w:val="230"/>
          <w:tblHeader/>
        </w:trPr>
        <w:tc>
          <w:tcPr>
            <w:tcW w:w="1455" w:type="dxa"/>
            <w:vMerge/>
            <w:noWrap/>
          </w:tcPr>
          <w:p w14:paraId="53136FA6" w14:textId="77777777" w:rsidR="004A6408" w:rsidRDefault="004A6408" w:rsidP="00A95965">
            <w:pPr>
              <w:pStyle w:val="TableText"/>
              <w:rPr>
                <w:szCs w:val="20"/>
              </w:rPr>
            </w:pPr>
          </w:p>
        </w:tc>
        <w:tc>
          <w:tcPr>
            <w:tcW w:w="1443" w:type="dxa"/>
            <w:gridSpan w:val="2"/>
            <w:shd w:val="clear" w:color="auto" w:fill="B3B3B3"/>
          </w:tcPr>
          <w:p w14:paraId="2BAF02E1" w14:textId="77777777" w:rsidR="004A6408" w:rsidRPr="00C3237D" w:rsidRDefault="004A6408" w:rsidP="000D14B2">
            <w:pPr>
              <w:pStyle w:val="TableText"/>
              <w:jc w:val="center"/>
              <w:rPr>
                <w:b/>
                <w:szCs w:val="20"/>
              </w:rPr>
            </w:pPr>
            <w:r>
              <w:rPr>
                <w:b/>
                <w:szCs w:val="20"/>
              </w:rPr>
              <w:t>Anti-A</w:t>
            </w:r>
          </w:p>
        </w:tc>
        <w:tc>
          <w:tcPr>
            <w:tcW w:w="1435" w:type="dxa"/>
            <w:gridSpan w:val="2"/>
            <w:shd w:val="clear" w:color="auto" w:fill="B3B3B3"/>
          </w:tcPr>
          <w:p w14:paraId="740E47D4" w14:textId="77777777" w:rsidR="004A6408" w:rsidRPr="00C3237D" w:rsidRDefault="004A6408" w:rsidP="000D14B2">
            <w:pPr>
              <w:pStyle w:val="TableText"/>
              <w:jc w:val="center"/>
              <w:rPr>
                <w:b/>
                <w:szCs w:val="20"/>
              </w:rPr>
            </w:pPr>
            <w:r>
              <w:rPr>
                <w:b/>
                <w:szCs w:val="20"/>
              </w:rPr>
              <w:t>Anti-B</w:t>
            </w:r>
          </w:p>
        </w:tc>
        <w:tc>
          <w:tcPr>
            <w:tcW w:w="1434" w:type="dxa"/>
            <w:shd w:val="clear" w:color="auto" w:fill="B3B3B3"/>
          </w:tcPr>
          <w:p w14:paraId="62E684E7" w14:textId="77777777" w:rsidR="004A6408" w:rsidRPr="00C3237D" w:rsidRDefault="004A6408" w:rsidP="000D14B2">
            <w:pPr>
              <w:pStyle w:val="TableText"/>
              <w:jc w:val="center"/>
              <w:rPr>
                <w:b/>
                <w:szCs w:val="20"/>
              </w:rPr>
            </w:pPr>
            <w:r>
              <w:rPr>
                <w:b/>
                <w:szCs w:val="20"/>
              </w:rPr>
              <w:t>Anti-A,B</w:t>
            </w:r>
          </w:p>
        </w:tc>
        <w:tc>
          <w:tcPr>
            <w:tcW w:w="1434" w:type="dxa"/>
            <w:shd w:val="clear" w:color="auto" w:fill="B3B3B3"/>
          </w:tcPr>
          <w:p w14:paraId="4085798B" w14:textId="77777777" w:rsidR="004A6408" w:rsidRPr="00C3237D" w:rsidRDefault="004A6408" w:rsidP="000D14B2">
            <w:pPr>
              <w:pStyle w:val="TableText"/>
              <w:jc w:val="center"/>
              <w:rPr>
                <w:b/>
                <w:szCs w:val="20"/>
              </w:rPr>
            </w:pPr>
            <w:r>
              <w:rPr>
                <w:b/>
                <w:szCs w:val="20"/>
              </w:rPr>
              <w:t>Anti-D</w:t>
            </w:r>
          </w:p>
        </w:tc>
        <w:tc>
          <w:tcPr>
            <w:tcW w:w="1441" w:type="dxa"/>
            <w:shd w:val="clear" w:color="auto" w:fill="B3B3B3"/>
          </w:tcPr>
          <w:p w14:paraId="5B94AB5A" w14:textId="77777777" w:rsidR="004A6408" w:rsidRPr="00C3237D" w:rsidRDefault="004A6408" w:rsidP="000D14B2">
            <w:pPr>
              <w:pStyle w:val="TableText"/>
              <w:jc w:val="center"/>
              <w:rPr>
                <w:b/>
                <w:szCs w:val="20"/>
              </w:rPr>
            </w:pPr>
            <w:r>
              <w:rPr>
                <w:b/>
                <w:szCs w:val="20"/>
              </w:rPr>
              <w:t>Rh Control</w:t>
            </w:r>
          </w:p>
        </w:tc>
        <w:tc>
          <w:tcPr>
            <w:tcW w:w="1433" w:type="dxa"/>
            <w:shd w:val="clear" w:color="auto" w:fill="B3B3B3"/>
          </w:tcPr>
          <w:p w14:paraId="717E7E13" w14:textId="77777777" w:rsidR="004A6408" w:rsidRPr="00C3237D" w:rsidRDefault="004A6408" w:rsidP="000D14B2">
            <w:pPr>
              <w:pStyle w:val="TableText"/>
              <w:jc w:val="center"/>
              <w:rPr>
                <w:b/>
                <w:szCs w:val="20"/>
              </w:rPr>
            </w:pPr>
            <w:r>
              <w:rPr>
                <w:b/>
                <w:szCs w:val="20"/>
              </w:rPr>
              <w:t>A1 Cell</w:t>
            </w:r>
          </w:p>
        </w:tc>
        <w:tc>
          <w:tcPr>
            <w:tcW w:w="1433" w:type="dxa"/>
            <w:shd w:val="clear" w:color="auto" w:fill="B3B3B3"/>
          </w:tcPr>
          <w:p w14:paraId="1CB78BB3" w14:textId="77777777" w:rsidR="004A6408" w:rsidRPr="00C3237D" w:rsidRDefault="004A6408" w:rsidP="000D14B2">
            <w:pPr>
              <w:pStyle w:val="TableText"/>
              <w:jc w:val="center"/>
              <w:rPr>
                <w:b/>
                <w:szCs w:val="20"/>
              </w:rPr>
            </w:pPr>
            <w:r>
              <w:rPr>
                <w:b/>
                <w:szCs w:val="20"/>
              </w:rPr>
              <w:t>B Cell</w:t>
            </w:r>
          </w:p>
        </w:tc>
        <w:tc>
          <w:tcPr>
            <w:tcW w:w="1452" w:type="dxa"/>
            <w:vMerge/>
          </w:tcPr>
          <w:p w14:paraId="487721FA" w14:textId="77777777" w:rsidR="004A6408" w:rsidRDefault="004A6408" w:rsidP="00A95965">
            <w:pPr>
              <w:pStyle w:val="TableText"/>
              <w:rPr>
                <w:szCs w:val="20"/>
              </w:rPr>
            </w:pPr>
          </w:p>
        </w:tc>
      </w:tr>
      <w:tr w:rsidR="00041C69" w14:paraId="7054D68E" w14:textId="77777777">
        <w:tblPrEx>
          <w:shd w:val="clear" w:color="auto" w:fill="auto"/>
        </w:tblPrEx>
        <w:trPr>
          <w:cantSplit/>
          <w:trHeight w:val="432"/>
        </w:trPr>
        <w:tc>
          <w:tcPr>
            <w:tcW w:w="1455" w:type="dxa"/>
            <w:noWrap/>
          </w:tcPr>
          <w:p w14:paraId="6B1C4A9C" w14:textId="77777777" w:rsidR="00041C69" w:rsidRDefault="00041C69" w:rsidP="00A95965">
            <w:pPr>
              <w:pStyle w:val="TableText"/>
              <w:rPr>
                <w:szCs w:val="20"/>
              </w:rPr>
            </w:pPr>
          </w:p>
        </w:tc>
        <w:tc>
          <w:tcPr>
            <w:tcW w:w="1443" w:type="dxa"/>
            <w:gridSpan w:val="2"/>
          </w:tcPr>
          <w:p w14:paraId="37672C2C" w14:textId="77777777" w:rsidR="00041C69" w:rsidRDefault="00041C69" w:rsidP="00A95965">
            <w:pPr>
              <w:pStyle w:val="TableText"/>
              <w:rPr>
                <w:szCs w:val="20"/>
              </w:rPr>
            </w:pPr>
          </w:p>
        </w:tc>
        <w:tc>
          <w:tcPr>
            <w:tcW w:w="1435" w:type="dxa"/>
            <w:gridSpan w:val="2"/>
          </w:tcPr>
          <w:p w14:paraId="0C16643C" w14:textId="77777777" w:rsidR="00041C69" w:rsidRDefault="00041C69" w:rsidP="00A95965">
            <w:pPr>
              <w:pStyle w:val="TableText"/>
              <w:rPr>
                <w:szCs w:val="20"/>
              </w:rPr>
            </w:pPr>
          </w:p>
        </w:tc>
        <w:tc>
          <w:tcPr>
            <w:tcW w:w="1434" w:type="dxa"/>
          </w:tcPr>
          <w:p w14:paraId="521019E1" w14:textId="77777777" w:rsidR="00041C69" w:rsidRDefault="00041C69" w:rsidP="00A95965">
            <w:pPr>
              <w:pStyle w:val="TableText"/>
              <w:rPr>
                <w:szCs w:val="20"/>
              </w:rPr>
            </w:pPr>
          </w:p>
        </w:tc>
        <w:tc>
          <w:tcPr>
            <w:tcW w:w="1434" w:type="dxa"/>
          </w:tcPr>
          <w:p w14:paraId="4EBD9C89" w14:textId="77777777" w:rsidR="00041C69" w:rsidRDefault="00041C69" w:rsidP="00A95965">
            <w:pPr>
              <w:pStyle w:val="TableText"/>
              <w:rPr>
                <w:szCs w:val="20"/>
              </w:rPr>
            </w:pPr>
          </w:p>
        </w:tc>
        <w:tc>
          <w:tcPr>
            <w:tcW w:w="1441" w:type="dxa"/>
          </w:tcPr>
          <w:p w14:paraId="5B2B1EC4" w14:textId="77777777" w:rsidR="00041C69" w:rsidRDefault="00041C69" w:rsidP="00A95965">
            <w:pPr>
              <w:pStyle w:val="TableText"/>
              <w:rPr>
                <w:szCs w:val="20"/>
              </w:rPr>
            </w:pPr>
          </w:p>
        </w:tc>
        <w:tc>
          <w:tcPr>
            <w:tcW w:w="1433" w:type="dxa"/>
          </w:tcPr>
          <w:p w14:paraId="20482DBB" w14:textId="77777777" w:rsidR="00041C69" w:rsidRDefault="00041C69" w:rsidP="00A95965">
            <w:pPr>
              <w:pStyle w:val="TableText"/>
              <w:rPr>
                <w:szCs w:val="20"/>
              </w:rPr>
            </w:pPr>
          </w:p>
        </w:tc>
        <w:tc>
          <w:tcPr>
            <w:tcW w:w="1433" w:type="dxa"/>
          </w:tcPr>
          <w:p w14:paraId="0C0F2153" w14:textId="77777777" w:rsidR="00041C69" w:rsidRDefault="00041C69" w:rsidP="00A95965">
            <w:pPr>
              <w:pStyle w:val="TableText"/>
              <w:rPr>
                <w:szCs w:val="20"/>
              </w:rPr>
            </w:pPr>
          </w:p>
        </w:tc>
        <w:tc>
          <w:tcPr>
            <w:tcW w:w="1452" w:type="dxa"/>
          </w:tcPr>
          <w:p w14:paraId="3B7E1E15" w14:textId="77777777" w:rsidR="00041C69" w:rsidRDefault="00041C69" w:rsidP="00A95965">
            <w:pPr>
              <w:pStyle w:val="TableText"/>
              <w:rPr>
                <w:szCs w:val="20"/>
              </w:rPr>
            </w:pPr>
          </w:p>
        </w:tc>
      </w:tr>
      <w:tr w:rsidR="00041C69" w14:paraId="5958216A" w14:textId="77777777">
        <w:tblPrEx>
          <w:shd w:val="clear" w:color="auto" w:fill="auto"/>
        </w:tblPrEx>
        <w:trPr>
          <w:cantSplit/>
          <w:trHeight w:val="432"/>
        </w:trPr>
        <w:tc>
          <w:tcPr>
            <w:tcW w:w="1455" w:type="dxa"/>
            <w:noWrap/>
          </w:tcPr>
          <w:p w14:paraId="01B7F801" w14:textId="77777777" w:rsidR="00041C69" w:rsidRDefault="00041C69" w:rsidP="00A95965">
            <w:pPr>
              <w:pStyle w:val="TableText"/>
              <w:rPr>
                <w:szCs w:val="20"/>
              </w:rPr>
            </w:pPr>
          </w:p>
        </w:tc>
        <w:tc>
          <w:tcPr>
            <w:tcW w:w="1443" w:type="dxa"/>
            <w:gridSpan w:val="2"/>
          </w:tcPr>
          <w:p w14:paraId="09B1FFEE" w14:textId="77777777" w:rsidR="00041C69" w:rsidRDefault="00041C69" w:rsidP="00A95965">
            <w:pPr>
              <w:pStyle w:val="TableText"/>
              <w:rPr>
                <w:szCs w:val="20"/>
              </w:rPr>
            </w:pPr>
          </w:p>
        </w:tc>
        <w:tc>
          <w:tcPr>
            <w:tcW w:w="1435" w:type="dxa"/>
            <w:gridSpan w:val="2"/>
          </w:tcPr>
          <w:p w14:paraId="0CB3FE78" w14:textId="77777777" w:rsidR="00041C69" w:rsidRDefault="00041C69" w:rsidP="00A95965">
            <w:pPr>
              <w:pStyle w:val="TableText"/>
              <w:rPr>
                <w:szCs w:val="20"/>
              </w:rPr>
            </w:pPr>
          </w:p>
        </w:tc>
        <w:tc>
          <w:tcPr>
            <w:tcW w:w="1434" w:type="dxa"/>
          </w:tcPr>
          <w:p w14:paraId="7036041E" w14:textId="77777777" w:rsidR="00041C69" w:rsidRDefault="00041C69" w:rsidP="00A95965">
            <w:pPr>
              <w:pStyle w:val="TableText"/>
              <w:rPr>
                <w:szCs w:val="20"/>
              </w:rPr>
            </w:pPr>
          </w:p>
        </w:tc>
        <w:tc>
          <w:tcPr>
            <w:tcW w:w="1434" w:type="dxa"/>
          </w:tcPr>
          <w:p w14:paraId="6348EF3B" w14:textId="77777777" w:rsidR="00041C69" w:rsidRDefault="00041C69" w:rsidP="00A95965">
            <w:pPr>
              <w:pStyle w:val="TableText"/>
              <w:rPr>
                <w:szCs w:val="20"/>
              </w:rPr>
            </w:pPr>
          </w:p>
        </w:tc>
        <w:tc>
          <w:tcPr>
            <w:tcW w:w="1441" w:type="dxa"/>
          </w:tcPr>
          <w:p w14:paraId="000E98CF" w14:textId="77777777" w:rsidR="00041C69" w:rsidRDefault="00041C69" w:rsidP="00A95965">
            <w:pPr>
              <w:pStyle w:val="TableText"/>
              <w:rPr>
                <w:szCs w:val="20"/>
              </w:rPr>
            </w:pPr>
          </w:p>
        </w:tc>
        <w:tc>
          <w:tcPr>
            <w:tcW w:w="1433" w:type="dxa"/>
          </w:tcPr>
          <w:p w14:paraId="4B08DFAA" w14:textId="77777777" w:rsidR="00041C69" w:rsidRDefault="00041C69" w:rsidP="00A95965">
            <w:pPr>
              <w:pStyle w:val="TableText"/>
              <w:rPr>
                <w:szCs w:val="20"/>
              </w:rPr>
            </w:pPr>
          </w:p>
        </w:tc>
        <w:tc>
          <w:tcPr>
            <w:tcW w:w="1433" w:type="dxa"/>
          </w:tcPr>
          <w:p w14:paraId="2E796BE1" w14:textId="77777777" w:rsidR="00041C69" w:rsidRDefault="00041C69" w:rsidP="00A95965">
            <w:pPr>
              <w:pStyle w:val="TableText"/>
              <w:rPr>
                <w:szCs w:val="20"/>
              </w:rPr>
            </w:pPr>
          </w:p>
        </w:tc>
        <w:tc>
          <w:tcPr>
            <w:tcW w:w="1452" w:type="dxa"/>
          </w:tcPr>
          <w:p w14:paraId="032C662B" w14:textId="77777777" w:rsidR="00041C69" w:rsidRDefault="00041C69" w:rsidP="00A95965">
            <w:pPr>
              <w:pStyle w:val="TableText"/>
              <w:rPr>
                <w:szCs w:val="20"/>
              </w:rPr>
            </w:pPr>
          </w:p>
        </w:tc>
      </w:tr>
    </w:tbl>
    <w:p w14:paraId="2506B647" w14:textId="77777777" w:rsidR="00140686" w:rsidRDefault="00140686" w:rsidP="00DD75E5">
      <w:pPr>
        <w:pStyle w:val="BodyText"/>
      </w:pPr>
    </w:p>
    <w:p w14:paraId="0D8B9950" w14:textId="77777777" w:rsidR="003F3F74" w:rsidRDefault="00140686" w:rsidP="00DD75E5">
      <w:pPr>
        <w:pStyle w:val="BodyText"/>
      </w:pPr>
      <w:r>
        <w:br w:type="page"/>
      </w: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746"/>
        <w:gridCol w:w="641"/>
        <w:gridCol w:w="686"/>
        <w:gridCol w:w="643"/>
        <w:gridCol w:w="681"/>
        <w:gridCol w:w="641"/>
        <w:gridCol w:w="650"/>
        <w:gridCol w:w="639"/>
        <w:gridCol w:w="681"/>
        <w:gridCol w:w="641"/>
        <w:gridCol w:w="650"/>
        <w:gridCol w:w="641"/>
        <w:gridCol w:w="681"/>
        <w:gridCol w:w="641"/>
        <w:gridCol w:w="650"/>
        <w:gridCol w:w="639"/>
        <w:gridCol w:w="2409"/>
      </w:tblGrid>
      <w:tr w:rsidR="004A6408" w14:paraId="77AF8675" w14:textId="77777777">
        <w:trPr>
          <w:cantSplit/>
          <w:trHeight w:val="230"/>
          <w:tblHeader/>
        </w:trPr>
        <w:tc>
          <w:tcPr>
            <w:tcW w:w="12888" w:type="dxa"/>
            <w:gridSpan w:val="17"/>
            <w:shd w:val="clear" w:color="auto" w:fill="B3B3B3"/>
            <w:noWrap/>
          </w:tcPr>
          <w:p w14:paraId="3F854B88" w14:textId="77777777" w:rsidR="004A6408" w:rsidRPr="006A7FD3" w:rsidRDefault="004A6408" w:rsidP="00FC4396">
            <w:pPr>
              <w:pStyle w:val="TableText"/>
              <w:rPr>
                <w:b/>
                <w:szCs w:val="20"/>
              </w:rPr>
            </w:pPr>
            <w:r>
              <w:rPr>
                <w:b/>
                <w:szCs w:val="20"/>
              </w:rPr>
              <w:lastRenderedPageBreak/>
              <w:t>Antibody Screening</w:t>
            </w:r>
          </w:p>
        </w:tc>
      </w:tr>
      <w:tr w:rsidR="004A6408" w14:paraId="0E4DD13E" w14:textId="77777777">
        <w:tblPrEx>
          <w:shd w:val="clear" w:color="auto" w:fill="auto"/>
        </w:tblPrEx>
        <w:trPr>
          <w:cantSplit/>
          <w:trHeight w:val="230"/>
          <w:tblHeader/>
        </w:trPr>
        <w:tc>
          <w:tcPr>
            <w:tcW w:w="2704" w:type="dxa"/>
            <w:gridSpan w:val="4"/>
            <w:tcBorders>
              <w:top w:val="single" w:sz="2" w:space="0" w:color="auto"/>
              <w:left w:val="single" w:sz="2" w:space="0" w:color="auto"/>
              <w:bottom w:val="single" w:sz="2" w:space="0" w:color="auto"/>
              <w:right w:val="single" w:sz="2" w:space="0" w:color="auto"/>
            </w:tcBorders>
            <w:shd w:val="clear" w:color="auto" w:fill="B3B3B3"/>
            <w:noWrap/>
          </w:tcPr>
          <w:p w14:paraId="23C61F7B" w14:textId="77777777" w:rsidR="004A6408" w:rsidRPr="006A7FD3" w:rsidRDefault="004A6408" w:rsidP="00FC4396">
            <w:pPr>
              <w:pStyle w:val="TableText"/>
              <w:rPr>
                <w:b/>
                <w:szCs w:val="20"/>
              </w:rPr>
            </w:pPr>
            <w:r>
              <w:rPr>
                <w:b/>
                <w:szCs w:val="20"/>
              </w:rPr>
              <w:t>Screen Cell 1</w:t>
            </w:r>
          </w:p>
        </w:tc>
        <w:tc>
          <w:tcPr>
            <w:tcW w:w="2596" w:type="dxa"/>
            <w:gridSpan w:val="4"/>
            <w:tcBorders>
              <w:top w:val="single" w:sz="2" w:space="0" w:color="auto"/>
              <w:left w:val="single" w:sz="2" w:space="0" w:color="auto"/>
              <w:bottom w:val="single" w:sz="2" w:space="0" w:color="auto"/>
              <w:right w:val="single" w:sz="2" w:space="0" w:color="auto"/>
            </w:tcBorders>
            <w:shd w:val="clear" w:color="auto" w:fill="B3B3B3"/>
          </w:tcPr>
          <w:p w14:paraId="02B27799" w14:textId="77777777" w:rsidR="004A6408" w:rsidRPr="006A7FD3" w:rsidRDefault="004A6408" w:rsidP="00FC4396">
            <w:pPr>
              <w:pStyle w:val="TableText"/>
              <w:rPr>
                <w:b/>
                <w:szCs w:val="20"/>
              </w:rPr>
            </w:pPr>
            <w:r>
              <w:rPr>
                <w:b/>
                <w:szCs w:val="20"/>
              </w:rPr>
              <w:t>Screen Cell 2</w:t>
            </w:r>
          </w:p>
        </w:tc>
        <w:tc>
          <w:tcPr>
            <w:tcW w:w="2597" w:type="dxa"/>
            <w:gridSpan w:val="4"/>
            <w:tcBorders>
              <w:top w:val="single" w:sz="2" w:space="0" w:color="auto"/>
              <w:left w:val="single" w:sz="2" w:space="0" w:color="auto"/>
              <w:bottom w:val="single" w:sz="2" w:space="0" w:color="auto"/>
              <w:right w:val="single" w:sz="2" w:space="0" w:color="auto"/>
            </w:tcBorders>
            <w:shd w:val="clear" w:color="auto" w:fill="B3B3B3"/>
          </w:tcPr>
          <w:p w14:paraId="13A2C7C1" w14:textId="77777777" w:rsidR="004A6408" w:rsidRPr="006A7FD3" w:rsidRDefault="004A6408" w:rsidP="00FC4396">
            <w:pPr>
              <w:pStyle w:val="TableText"/>
              <w:rPr>
                <w:b/>
                <w:szCs w:val="20"/>
              </w:rPr>
            </w:pPr>
            <w:r>
              <w:rPr>
                <w:b/>
                <w:szCs w:val="20"/>
              </w:rPr>
              <w:t>Screen Cell 3</w:t>
            </w:r>
          </w:p>
        </w:tc>
        <w:tc>
          <w:tcPr>
            <w:tcW w:w="2595" w:type="dxa"/>
            <w:gridSpan w:val="4"/>
            <w:tcBorders>
              <w:top w:val="single" w:sz="2" w:space="0" w:color="auto"/>
              <w:left w:val="single" w:sz="2" w:space="0" w:color="auto"/>
              <w:bottom w:val="single" w:sz="2" w:space="0" w:color="auto"/>
              <w:right w:val="single" w:sz="2" w:space="0" w:color="auto"/>
            </w:tcBorders>
            <w:shd w:val="clear" w:color="auto" w:fill="B3B3B3"/>
          </w:tcPr>
          <w:p w14:paraId="66D6002B" w14:textId="77777777" w:rsidR="004A6408" w:rsidRPr="006A7FD3" w:rsidRDefault="004A6408" w:rsidP="00FC4396">
            <w:pPr>
              <w:pStyle w:val="TableText"/>
              <w:rPr>
                <w:b/>
                <w:szCs w:val="20"/>
              </w:rPr>
            </w:pPr>
            <w:r>
              <w:rPr>
                <w:b/>
                <w:szCs w:val="20"/>
              </w:rPr>
              <w:t>Screen Cell 4</w:t>
            </w:r>
          </w:p>
        </w:tc>
        <w:tc>
          <w:tcPr>
            <w:tcW w:w="2396" w:type="dxa"/>
            <w:vMerge w:val="restart"/>
            <w:tcBorders>
              <w:top w:val="single" w:sz="2" w:space="0" w:color="auto"/>
              <w:left w:val="single" w:sz="2" w:space="0" w:color="auto"/>
              <w:right w:val="single" w:sz="2" w:space="0" w:color="auto"/>
            </w:tcBorders>
            <w:shd w:val="clear" w:color="auto" w:fill="B3B3B3"/>
          </w:tcPr>
          <w:p w14:paraId="3AD16649" w14:textId="77777777" w:rsidR="004A6408" w:rsidRPr="006A7FD3" w:rsidRDefault="004A6408" w:rsidP="00FC4396">
            <w:pPr>
              <w:pStyle w:val="TableText"/>
              <w:rPr>
                <w:b/>
                <w:szCs w:val="20"/>
              </w:rPr>
            </w:pPr>
            <w:r>
              <w:rPr>
                <w:b/>
                <w:szCs w:val="20"/>
              </w:rPr>
              <w:t>Screen Interpretation</w:t>
            </w:r>
          </w:p>
        </w:tc>
      </w:tr>
      <w:tr w:rsidR="004A6408" w14:paraId="20F9E86A" w14:textId="77777777">
        <w:tblPrEx>
          <w:shd w:val="clear" w:color="auto" w:fill="auto"/>
        </w:tblPrEx>
        <w:trPr>
          <w:cantSplit/>
          <w:trHeight w:val="230"/>
          <w:tblHeader/>
        </w:trPr>
        <w:tc>
          <w:tcPr>
            <w:tcW w:w="743" w:type="dxa"/>
            <w:shd w:val="clear" w:color="auto" w:fill="B3B3B3"/>
            <w:noWrap/>
          </w:tcPr>
          <w:p w14:paraId="5A60FF61" w14:textId="77777777" w:rsidR="004A6408" w:rsidRPr="006A7FD3" w:rsidRDefault="004A6408" w:rsidP="00FC4396">
            <w:pPr>
              <w:pStyle w:val="TableText"/>
              <w:jc w:val="both"/>
              <w:rPr>
                <w:b/>
                <w:szCs w:val="20"/>
              </w:rPr>
            </w:pPr>
            <w:r w:rsidRPr="006A7FD3">
              <w:rPr>
                <w:b/>
                <w:szCs w:val="20"/>
              </w:rPr>
              <w:t>RT/IS</w:t>
            </w:r>
            <w:r>
              <w:rPr>
                <w:rStyle w:val="FootnoteReference"/>
                <w:b/>
                <w:szCs w:val="20"/>
              </w:rPr>
              <w:footnoteReference w:id="5"/>
            </w:r>
          </w:p>
        </w:tc>
        <w:tc>
          <w:tcPr>
            <w:tcW w:w="638" w:type="dxa"/>
            <w:shd w:val="clear" w:color="auto" w:fill="B3B3B3"/>
          </w:tcPr>
          <w:p w14:paraId="56320D7F"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83" w:type="dxa"/>
            <w:shd w:val="clear" w:color="auto" w:fill="B3B3B3"/>
          </w:tcPr>
          <w:p w14:paraId="593C9222" w14:textId="77777777" w:rsidR="004A6408" w:rsidRPr="006A7FD3" w:rsidRDefault="004A6408" w:rsidP="00FC4396">
            <w:pPr>
              <w:pStyle w:val="TableText"/>
              <w:jc w:val="both"/>
              <w:rPr>
                <w:b/>
                <w:szCs w:val="20"/>
              </w:rPr>
            </w:pPr>
            <w:r w:rsidRPr="006A7FD3">
              <w:rPr>
                <w:b/>
                <w:szCs w:val="20"/>
              </w:rPr>
              <w:t>AHG</w:t>
            </w:r>
            <w:r>
              <w:rPr>
                <w:rStyle w:val="FootnoteReference"/>
                <w:b/>
                <w:szCs w:val="20"/>
              </w:rPr>
              <w:footnoteReference w:id="6"/>
            </w:r>
          </w:p>
        </w:tc>
        <w:tc>
          <w:tcPr>
            <w:tcW w:w="640" w:type="dxa"/>
            <w:shd w:val="clear" w:color="auto" w:fill="B3B3B3"/>
          </w:tcPr>
          <w:p w14:paraId="03BF09C2" w14:textId="77777777" w:rsidR="004A6408" w:rsidRPr="006A7FD3" w:rsidRDefault="004A6408" w:rsidP="00FC4396">
            <w:pPr>
              <w:pStyle w:val="TableText"/>
              <w:jc w:val="both"/>
              <w:rPr>
                <w:b/>
                <w:szCs w:val="20"/>
              </w:rPr>
            </w:pPr>
            <w:r w:rsidRPr="006A7FD3">
              <w:rPr>
                <w:b/>
                <w:szCs w:val="20"/>
              </w:rPr>
              <w:t>CC</w:t>
            </w:r>
            <w:r>
              <w:rPr>
                <w:rStyle w:val="FootnoteReference"/>
                <w:b/>
                <w:szCs w:val="20"/>
              </w:rPr>
              <w:footnoteReference w:id="7"/>
            </w:r>
          </w:p>
        </w:tc>
        <w:tc>
          <w:tcPr>
            <w:tcW w:w="678" w:type="dxa"/>
            <w:shd w:val="clear" w:color="auto" w:fill="B3B3B3"/>
          </w:tcPr>
          <w:p w14:paraId="52E5FE10"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5C509A8E"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B462543" w14:textId="77777777" w:rsidR="004A6408" w:rsidRPr="006A7FD3" w:rsidRDefault="004A6408" w:rsidP="00FC4396">
            <w:pPr>
              <w:pStyle w:val="TableText"/>
              <w:jc w:val="both"/>
              <w:rPr>
                <w:b/>
                <w:szCs w:val="20"/>
              </w:rPr>
            </w:pPr>
            <w:r w:rsidRPr="006A7FD3">
              <w:rPr>
                <w:b/>
                <w:szCs w:val="20"/>
              </w:rPr>
              <w:t>AHG</w:t>
            </w:r>
          </w:p>
        </w:tc>
        <w:tc>
          <w:tcPr>
            <w:tcW w:w="635" w:type="dxa"/>
            <w:shd w:val="clear" w:color="auto" w:fill="B3B3B3"/>
          </w:tcPr>
          <w:p w14:paraId="6D102F7D" w14:textId="77777777" w:rsidR="004A6408" w:rsidRPr="006A7FD3" w:rsidRDefault="004A6408" w:rsidP="00FC4396">
            <w:pPr>
              <w:pStyle w:val="TableText"/>
              <w:jc w:val="both"/>
              <w:rPr>
                <w:b/>
                <w:szCs w:val="20"/>
              </w:rPr>
            </w:pPr>
            <w:r w:rsidRPr="006A7FD3">
              <w:rPr>
                <w:b/>
                <w:szCs w:val="20"/>
              </w:rPr>
              <w:t>CC</w:t>
            </w:r>
          </w:p>
        </w:tc>
        <w:tc>
          <w:tcPr>
            <w:tcW w:w="677" w:type="dxa"/>
            <w:shd w:val="clear" w:color="auto" w:fill="B3B3B3"/>
          </w:tcPr>
          <w:p w14:paraId="20FAB870"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4D825510"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C061F61" w14:textId="77777777" w:rsidR="004A6408" w:rsidRPr="006A7FD3" w:rsidRDefault="004A6408" w:rsidP="00FC4396">
            <w:pPr>
              <w:pStyle w:val="TableText"/>
              <w:jc w:val="both"/>
              <w:rPr>
                <w:b/>
                <w:szCs w:val="20"/>
              </w:rPr>
            </w:pPr>
            <w:r w:rsidRPr="006A7FD3">
              <w:rPr>
                <w:b/>
                <w:szCs w:val="20"/>
              </w:rPr>
              <w:t>AHG</w:t>
            </w:r>
          </w:p>
        </w:tc>
        <w:tc>
          <w:tcPr>
            <w:tcW w:w="637" w:type="dxa"/>
            <w:shd w:val="clear" w:color="auto" w:fill="B3B3B3"/>
          </w:tcPr>
          <w:p w14:paraId="31EE9A8A" w14:textId="77777777" w:rsidR="004A6408" w:rsidRPr="006A7FD3" w:rsidRDefault="004A6408" w:rsidP="00FC4396">
            <w:pPr>
              <w:pStyle w:val="TableText"/>
              <w:jc w:val="both"/>
              <w:rPr>
                <w:b/>
                <w:szCs w:val="20"/>
              </w:rPr>
            </w:pPr>
            <w:r w:rsidRPr="006A7FD3">
              <w:rPr>
                <w:b/>
                <w:szCs w:val="20"/>
              </w:rPr>
              <w:t>CC</w:t>
            </w:r>
          </w:p>
        </w:tc>
        <w:tc>
          <w:tcPr>
            <w:tcW w:w="677" w:type="dxa"/>
            <w:shd w:val="clear" w:color="auto" w:fill="B3B3B3"/>
          </w:tcPr>
          <w:p w14:paraId="29AB72DB"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3162036B"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829DAC4" w14:textId="77777777" w:rsidR="004A6408" w:rsidRPr="006A7FD3" w:rsidRDefault="004A6408" w:rsidP="00FC4396">
            <w:pPr>
              <w:pStyle w:val="TableText"/>
              <w:jc w:val="both"/>
              <w:rPr>
                <w:b/>
                <w:szCs w:val="20"/>
              </w:rPr>
            </w:pPr>
            <w:r w:rsidRPr="006A7FD3">
              <w:rPr>
                <w:b/>
                <w:szCs w:val="20"/>
              </w:rPr>
              <w:t>AHG</w:t>
            </w:r>
          </w:p>
        </w:tc>
        <w:tc>
          <w:tcPr>
            <w:tcW w:w="635" w:type="dxa"/>
            <w:tcBorders>
              <w:right w:val="single" w:sz="2" w:space="0" w:color="auto"/>
            </w:tcBorders>
            <w:shd w:val="clear" w:color="auto" w:fill="B3B3B3"/>
          </w:tcPr>
          <w:p w14:paraId="18BA6234" w14:textId="77777777" w:rsidR="004A6408" w:rsidRPr="006A7FD3" w:rsidRDefault="004A6408" w:rsidP="00FC4396">
            <w:pPr>
              <w:pStyle w:val="TableText"/>
              <w:jc w:val="both"/>
              <w:rPr>
                <w:b/>
                <w:szCs w:val="20"/>
              </w:rPr>
            </w:pPr>
            <w:r w:rsidRPr="006A7FD3">
              <w:rPr>
                <w:b/>
                <w:szCs w:val="20"/>
              </w:rPr>
              <w:t>CC</w:t>
            </w:r>
          </w:p>
        </w:tc>
        <w:tc>
          <w:tcPr>
            <w:tcW w:w="2396" w:type="dxa"/>
            <w:vMerge/>
            <w:tcBorders>
              <w:left w:val="single" w:sz="2" w:space="0" w:color="auto"/>
              <w:right w:val="single" w:sz="2" w:space="0" w:color="auto"/>
            </w:tcBorders>
          </w:tcPr>
          <w:p w14:paraId="415625EE" w14:textId="77777777" w:rsidR="004A6408" w:rsidRPr="006A7FD3" w:rsidRDefault="004A6408" w:rsidP="00FC4396">
            <w:pPr>
              <w:pStyle w:val="TableText"/>
              <w:jc w:val="both"/>
              <w:rPr>
                <w:b/>
                <w:szCs w:val="20"/>
              </w:rPr>
            </w:pPr>
          </w:p>
        </w:tc>
      </w:tr>
      <w:tr w:rsidR="004A6408" w14:paraId="172CE6F9" w14:textId="77777777">
        <w:tblPrEx>
          <w:shd w:val="clear" w:color="auto" w:fill="auto"/>
        </w:tblPrEx>
        <w:trPr>
          <w:cantSplit/>
          <w:trHeight w:val="432"/>
        </w:trPr>
        <w:tc>
          <w:tcPr>
            <w:tcW w:w="743" w:type="dxa"/>
            <w:noWrap/>
          </w:tcPr>
          <w:p w14:paraId="2E55F2E4" w14:textId="77777777" w:rsidR="004A6408" w:rsidRDefault="004A6408" w:rsidP="00A95965">
            <w:pPr>
              <w:pStyle w:val="TableText"/>
              <w:rPr>
                <w:szCs w:val="20"/>
              </w:rPr>
            </w:pPr>
          </w:p>
        </w:tc>
        <w:tc>
          <w:tcPr>
            <w:tcW w:w="638" w:type="dxa"/>
          </w:tcPr>
          <w:p w14:paraId="3253DA23" w14:textId="77777777" w:rsidR="004A6408" w:rsidRDefault="004A6408" w:rsidP="00A95965">
            <w:pPr>
              <w:pStyle w:val="TableText"/>
              <w:rPr>
                <w:szCs w:val="20"/>
              </w:rPr>
            </w:pPr>
          </w:p>
        </w:tc>
        <w:tc>
          <w:tcPr>
            <w:tcW w:w="683" w:type="dxa"/>
          </w:tcPr>
          <w:p w14:paraId="55E44B3A" w14:textId="77777777" w:rsidR="004A6408" w:rsidRDefault="004A6408" w:rsidP="00A95965">
            <w:pPr>
              <w:pStyle w:val="TableText"/>
              <w:rPr>
                <w:szCs w:val="20"/>
              </w:rPr>
            </w:pPr>
          </w:p>
        </w:tc>
        <w:tc>
          <w:tcPr>
            <w:tcW w:w="640" w:type="dxa"/>
          </w:tcPr>
          <w:p w14:paraId="3226DA18" w14:textId="77777777" w:rsidR="004A6408" w:rsidRDefault="004A6408" w:rsidP="00A95965">
            <w:pPr>
              <w:pStyle w:val="TableText"/>
              <w:rPr>
                <w:szCs w:val="20"/>
              </w:rPr>
            </w:pPr>
          </w:p>
        </w:tc>
        <w:tc>
          <w:tcPr>
            <w:tcW w:w="678" w:type="dxa"/>
          </w:tcPr>
          <w:p w14:paraId="1789A563" w14:textId="77777777" w:rsidR="004A6408" w:rsidRDefault="004A6408" w:rsidP="00A95965">
            <w:pPr>
              <w:pStyle w:val="TableText"/>
              <w:rPr>
                <w:szCs w:val="20"/>
              </w:rPr>
            </w:pPr>
          </w:p>
        </w:tc>
        <w:tc>
          <w:tcPr>
            <w:tcW w:w="637" w:type="dxa"/>
          </w:tcPr>
          <w:p w14:paraId="169A7234" w14:textId="77777777" w:rsidR="004A6408" w:rsidRDefault="004A6408" w:rsidP="00A95965">
            <w:pPr>
              <w:pStyle w:val="TableText"/>
              <w:rPr>
                <w:szCs w:val="20"/>
              </w:rPr>
            </w:pPr>
          </w:p>
        </w:tc>
        <w:tc>
          <w:tcPr>
            <w:tcW w:w="646" w:type="dxa"/>
          </w:tcPr>
          <w:p w14:paraId="3E1BE0F3" w14:textId="77777777" w:rsidR="004A6408" w:rsidRDefault="004A6408" w:rsidP="00A95965">
            <w:pPr>
              <w:pStyle w:val="TableText"/>
              <w:rPr>
                <w:szCs w:val="20"/>
              </w:rPr>
            </w:pPr>
          </w:p>
        </w:tc>
        <w:tc>
          <w:tcPr>
            <w:tcW w:w="635" w:type="dxa"/>
          </w:tcPr>
          <w:p w14:paraId="4E919C9F" w14:textId="77777777" w:rsidR="004A6408" w:rsidRDefault="004A6408" w:rsidP="00A95965">
            <w:pPr>
              <w:pStyle w:val="TableText"/>
              <w:rPr>
                <w:szCs w:val="20"/>
              </w:rPr>
            </w:pPr>
          </w:p>
        </w:tc>
        <w:tc>
          <w:tcPr>
            <w:tcW w:w="677" w:type="dxa"/>
          </w:tcPr>
          <w:p w14:paraId="43327181" w14:textId="77777777" w:rsidR="004A6408" w:rsidRDefault="004A6408" w:rsidP="00A95965">
            <w:pPr>
              <w:pStyle w:val="TableText"/>
              <w:rPr>
                <w:szCs w:val="20"/>
              </w:rPr>
            </w:pPr>
          </w:p>
        </w:tc>
        <w:tc>
          <w:tcPr>
            <w:tcW w:w="637" w:type="dxa"/>
          </w:tcPr>
          <w:p w14:paraId="0139315E" w14:textId="77777777" w:rsidR="004A6408" w:rsidRDefault="004A6408" w:rsidP="00A95965">
            <w:pPr>
              <w:pStyle w:val="TableText"/>
              <w:rPr>
                <w:szCs w:val="20"/>
              </w:rPr>
            </w:pPr>
          </w:p>
        </w:tc>
        <w:tc>
          <w:tcPr>
            <w:tcW w:w="646" w:type="dxa"/>
          </w:tcPr>
          <w:p w14:paraId="0A278BEA" w14:textId="77777777" w:rsidR="004A6408" w:rsidRDefault="004A6408" w:rsidP="00A95965">
            <w:pPr>
              <w:pStyle w:val="TableText"/>
              <w:rPr>
                <w:szCs w:val="20"/>
              </w:rPr>
            </w:pPr>
          </w:p>
        </w:tc>
        <w:tc>
          <w:tcPr>
            <w:tcW w:w="637" w:type="dxa"/>
          </w:tcPr>
          <w:p w14:paraId="2A2F3C4B" w14:textId="77777777" w:rsidR="004A6408" w:rsidRDefault="004A6408" w:rsidP="00A95965">
            <w:pPr>
              <w:pStyle w:val="TableText"/>
              <w:rPr>
                <w:szCs w:val="20"/>
              </w:rPr>
            </w:pPr>
          </w:p>
        </w:tc>
        <w:tc>
          <w:tcPr>
            <w:tcW w:w="677" w:type="dxa"/>
          </w:tcPr>
          <w:p w14:paraId="7128D5A2" w14:textId="77777777" w:rsidR="004A6408" w:rsidRDefault="004A6408" w:rsidP="00A95965">
            <w:pPr>
              <w:pStyle w:val="TableText"/>
              <w:rPr>
                <w:szCs w:val="20"/>
              </w:rPr>
            </w:pPr>
          </w:p>
        </w:tc>
        <w:tc>
          <w:tcPr>
            <w:tcW w:w="637" w:type="dxa"/>
          </w:tcPr>
          <w:p w14:paraId="46989BE1" w14:textId="77777777" w:rsidR="004A6408" w:rsidRDefault="004A6408" w:rsidP="00A95965">
            <w:pPr>
              <w:pStyle w:val="TableText"/>
              <w:rPr>
                <w:szCs w:val="20"/>
              </w:rPr>
            </w:pPr>
          </w:p>
        </w:tc>
        <w:tc>
          <w:tcPr>
            <w:tcW w:w="646" w:type="dxa"/>
          </w:tcPr>
          <w:p w14:paraId="67A0D7E2" w14:textId="77777777" w:rsidR="004A6408" w:rsidRDefault="004A6408" w:rsidP="00A95965">
            <w:pPr>
              <w:pStyle w:val="TableText"/>
              <w:rPr>
                <w:szCs w:val="20"/>
              </w:rPr>
            </w:pPr>
          </w:p>
        </w:tc>
        <w:tc>
          <w:tcPr>
            <w:tcW w:w="635" w:type="dxa"/>
          </w:tcPr>
          <w:p w14:paraId="2086EE71" w14:textId="77777777" w:rsidR="004A6408" w:rsidRDefault="004A6408" w:rsidP="00A95965">
            <w:pPr>
              <w:pStyle w:val="TableText"/>
              <w:rPr>
                <w:szCs w:val="20"/>
              </w:rPr>
            </w:pPr>
          </w:p>
        </w:tc>
        <w:tc>
          <w:tcPr>
            <w:tcW w:w="2396" w:type="dxa"/>
          </w:tcPr>
          <w:p w14:paraId="737629C2" w14:textId="77777777" w:rsidR="004A6408" w:rsidRDefault="004A6408" w:rsidP="00A95965">
            <w:pPr>
              <w:pStyle w:val="TableText"/>
              <w:rPr>
                <w:szCs w:val="20"/>
              </w:rPr>
            </w:pPr>
          </w:p>
        </w:tc>
      </w:tr>
      <w:tr w:rsidR="004A6408" w14:paraId="67711F5F" w14:textId="77777777">
        <w:tblPrEx>
          <w:shd w:val="clear" w:color="auto" w:fill="auto"/>
        </w:tblPrEx>
        <w:trPr>
          <w:cantSplit/>
          <w:trHeight w:val="432"/>
        </w:trPr>
        <w:tc>
          <w:tcPr>
            <w:tcW w:w="743" w:type="dxa"/>
            <w:noWrap/>
          </w:tcPr>
          <w:p w14:paraId="30A59CB9" w14:textId="77777777" w:rsidR="004A6408" w:rsidRDefault="004A6408" w:rsidP="00A95965">
            <w:pPr>
              <w:pStyle w:val="TableText"/>
              <w:rPr>
                <w:szCs w:val="20"/>
              </w:rPr>
            </w:pPr>
          </w:p>
        </w:tc>
        <w:tc>
          <w:tcPr>
            <w:tcW w:w="638" w:type="dxa"/>
          </w:tcPr>
          <w:p w14:paraId="5C7A3CDF" w14:textId="77777777" w:rsidR="004A6408" w:rsidRDefault="004A6408" w:rsidP="00A95965">
            <w:pPr>
              <w:pStyle w:val="TableText"/>
              <w:rPr>
                <w:szCs w:val="20"/>
              </w:rPr>
            </w:pPr>
          </w:p>
        </w:tc>
        <w:tc>
          <w:tcPr>
            <w:tcW w:w="683" w:type="dxa"/>
          </w:tcPr>
          <w:p w14:paraId="587E24C8" w14:textId="77777777" w:rsidR="004A6408" w:rsidRDefault="004A6408" w:rsidP="00A95965">
            <w:pPr>
              <w:pStyle w:val="TableText"/>
              <w:rPr>
                <w:szCs w:val="20"/>
              </w:rPr>
            </w:pPr>
          </w:p>
        </w:tc>
        <w:tc>
          <w:tcPr>
            <w:tcW w:w="640" w:type="dxa"/>
          </w:tcPr>
          <w:p w14:paraId="7A55EA77" w14:textId="77777777" w:rsidR="004A6408" w:rsidRDefault="004A6408" w:rsidP="00A95965">
            <w:pPr>
              <w:pStyle w:val="TableText"/>
              <w:rPr>
                <w:szCs w:val="20"/>
              </w:rPr>
            </w:pPr>
          </w:p>
        </w:tc>
        <w:tc>
          <w:tcPr>
            <w:tcW w:w="678" w:type="dxa"/>
          </w:tcPr>
          <w:p w14:paraId="4D10C0F4" w14:textId="77777777" w:rsidR="004A6408" w:rsidRDefault="004A6408" w:rsidP="00A95965">
            <w:pPr>
              <w:pStyle w:val="TableText"/>
              <w:rPr>
                <w:szCs w:val="20"/>
              </w:rPr>
            </w:pPr>
          </w:p>
        </w:tc>
        <w:tc>
          <w:tcPr>
            <w:tcW w:w="637" w:type="dxa"/>
          </w:tcPr>
          <w:p w14:paraId="16C735DF" w14:textId="77777777" w:rsidR="004A6408" w:rsidRDefault="004A6408" w:rsidP="00A95965">
            <w:pPr>
              <w:pStyle w:val="TableText"/>
              <w:rPr>
                <w:szCs w:val="20"/>
              </w:rPr>
            </w:pPr>
          </w:p>
        </w:tc>
        <w:tc>
          <w:tcPr>
            <w:tcW w:w="646" w:type="dxa"/>
          </w:tcPr>
          <w:p w14:paraId="736A6EB2" w14:textId="77777777" w:rsidR="004A6408" w:rsidRDefault="004A6408" w:rsidP="00A95965">
            <w:pPr>
              <w:pStyle w:val="TableText"/>
              <w:rPr>
                <w:szCs w:val="20"/>
              </w:rPr>
            </w:pPr>
          </w:p>
        </w:tc>
        <w:tc>
          <w:tcPr>
            <w:tcW w:w="635" w:type="dxa"/>
          </w:tcPr>
          <w:p w14:paraId="552595D4" w14:textId="77777777" w:rsidR="004A6408" w:rsidRDefault="004A6408" w:rsidP="00A95965">
            <w:pPr>
              <w:pStyle w:val="TableText"/>
              <w:rPr>
                <w:szCs w:val="20"/>
              </w:rPr>
            </w:pPr>
          </w:p>
        </w:tc>
        <w:tc>
          <w:tcPr>
            <w:tcW w:w="677" w:type="dxa"/>
          </w:tcPr>
          <w:p w14:paraId="1DF1C6E6" w14:textId="77777777" w:rsidR="004A6408" w:rsidRDefault="004A6408" w:rsidP="00A95965">
            <w:pPr>
              <w:pStyle w:val="TableText"/>
              <w:rPr>
                <w:szCs w:val="20"/>
              </w:rPr>
            </w:pPr>
          </w:p>
        </w:tc>
        <w:tc>
          <w:tcPr>
            <w:tcW w:w="637" w:type="dxa"/>
          </w:tcPr>
          <w:p w14:paraId="5F683A12" w14:textId="77777777" w:rsidR="004A6408" w:rsidRDefault="004A6408" w:rsidP="00A95965">
            <w:pPr>
              <w:pStyle w:val="TableText"/>
              <w:rPr>
                <w:szCs w:val="20"/>
              </w:rPr>
            </w:pPr>
          </w:p>
        </w:tc>
        <w:tc>
          <w:tcPr>
            <w:tcW w:w="646" w:type="dxa"/>
          </w:tcPr>
          <w:p w14:paraId="3C88C08C" w14:textId="77777777" w:rsidR="004A6408" w:rsidRDefault="004A6408" w:rsidP="00A95965">
            <w:pPr>
              <w:pStyle w:val="TableText"/>
              <w:rPr>
                <w:szCs w:val="20"/>
              </w:rPr>
            </w:pPr>
          </w:p>
        </w:tc>
        <w:tc>
          <w:tcPr>
            <w:tcW w:w="637" w:type="dxa"/>
          </w:tcPr>
          <w:p w14:paraId="654F85F0" w14:textId="77777777" w:rsidR="004A6408" w:rsidRDefault="004A6408" w:rsidP="00A95965">
            <w:pPr>
              <w:pStyle w:val="TableText"/>
              <w:rPr>
                <w:szCs w:val="20"/>
              </w:rPr>
            </w:pPr>
          </w:p>
        </w:tc>
        <w:tc>
          <w:tcPr>
            <w:tcW w:w="677" w:type="dxa"/>
          </w:tcPr>
          <w:p w14:paraId="36D2222D" w14:textId="77777777" w:rsidR="004A6408" w:rsidRDefault="004A6408" w:rsidP="00A95965">
            <w:pPr>
              <w:pStyle w:val="TableText"/>
              <w:rPr>
                <w:szCs w:val="20"/>
              </w:rPr>
            </w:pPr>
          </w:p>
        </w:tc>
        <w:tc>
          <w:tcPr>
            <w:tcW w:w="637" w:type="dxa"/>
          </w:tcPr>
          <w:p w14:paraId="3675F7F5" w14:textId="77777777" w:rsidR="004A6408" w:rsidRDefault="004A6408" w:rsidP="00A95965">
            <w:pPr>
              <w:pStyle w:val="TableText"/>
              <w:rPr>
                <w:szCs w:val="20"/>
              </w:rPr>
            </w:pPr>
          </w:p>
        </w:tc>
        <w:tc>
          <w:tcPr>
            <w:tcW w:w="646" w:type="dxa"/>
          </w:tcPr>
          <w:p w14:paraId="66B64326" w14:textId="77777777" w:rsidR="004A6408" w:rsidRDefault="004A6408" w:rsidP="00A95965">
            <w:pPr>
              <w:pStyle w:val="TableText"/>
              <w:rPr>
                <w:szCs w:val="20"/>
              </w:rPr>
            </w:pPr>
          </w:p>
        </w:tc>
        <w:tc>
          <w:tcPr>
            <w:tcW w:w="635" w:type="dxa"/>
          </w:tcPr>
          <w:p w14:paraId="793AFE24" w14:textId="77777777" w:rsidR="004A6408" w:rsidRDefault="004A6408" w:rsidP="00A95965">
            <w:pPr>
              <w:pStyle w:val="TableText"/>
              <w:rPr>
                <w:szCs w:val="20"/>
              </w:rPr>
            </w:pPr>
          </w:p>
        </w:tc>
        <w:tc>
          <w:tcPr>
            <w:tcW w:w="2396" w:type="dxa"/>
          </w:tcPr>
          <w:p w14:paraId="67349626" w14:textId="77777777" w:rsidR="004A6408" w:rsidRDefault="004A6408" w:rsidP="00A95965">
            <w:pPr>
              <w:pStyle w:val="TableText"/>
              <w:rPr>
                <w:szCs w:val="20"/>
              </w:rPr>
            </w:pPr>
          </w:p>
        </w:tc>
      </w:tr>
      <w:tr w:rsidR="004A6408" w14:paraId="5892E4B7" w14:textId="77777777">
        <w:tblPrEx>
          <w:shd w:val="clear" w:color="auto" w:fill="auto"/>
        </w:tblPrEx>
        <w:trPr>
          <w:cantSplit/>
          <w:trHeight w:val="432"/>
        </w:trPr>
        <w:tc>
          <w:tcPr>
            <w:tcW w:w="12888" w:type="dxa"/>
            <w:gridSpan w:val="17"/>
            <w:noWrap/>
          </w:tcPr>
          <w:p w14:paraId="79CD6B1B" w14:textId="77777777" w:rsidR="004A6408" w:rsidRPr="00AC5C64" w:rsidRDefault="004A6408" w:rsidP="00A95965">
            <w:pPr>
              <w:pStyle w:val="TableText"/>
              <w:rPr>
                <w:b/>
                <w:szCs w:val="20"/>
              </w:rPr>
            </w:pPr>
            <w:r>
              <w:rPr>
                <w:b/>
                <w:szCs w:val="20"/>
              </w:rPr>
              <w:t>Comments:</w:t>
            </w:r>
          </w:p>
        </w:tc>
      </w:tr>
    </w:tbl>
    <w:p w14:paraId="165D2EB4" w14:textId="77777777" w:rsidR="003F3F74" w:rsidRDefault="003F3F74"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402"/>
        <w:gridCol w:w="19"/>
        <w:gridCol w:w="969"/>
        <w:gridCol w:w="970"/>
        <w:gridCol w:w="970"/>
        <w:gridCol w:w="971"/>
        <w:gridCol w:w="970"/>
        <w:gridCol w:w="970"/>
        <w:gridCol w:w="21"/>
        <w:gridCol w:w="1938"/>
        <w:gridCol w:w="1760"/>
      </w:tblGrid>
      <w:tr w:rsidR="004A6408" w14:paraId="1344A179" w14:textId="77777777">
        <w:trPr>
          <w:cantSplit/>
          <w:trHeight w:val="230"/>
        </w:trPr>
        <w:tc>
          <w:tcPr>
            <w:tcW w:w="3402" w:type="dxa"/>
            <w:shd w:val="clear" w:color="auto" w:fill="B3B3B3"/>
            <w:noWrap/>
          </w:tcPr>
          <w:p w14:paraId="0FD56A4A" w14:textId="77777777" w:rsidR="004A6408" w:rsidRPr="00AC5C64" w:rsidRDefault="004A6408" w:rsidP="00A95965">
            <w:pPr>
              <w:pStyle w:val="TableText"/>
              <w:rPr>
                <w:b/>
                <w:szCs w:val="20"/>
              </w:rPr>
            </w:pPr>
            <w:r>
              <w:rPr>
                <w:b/>
                <w:szCs w:val="20"/>
              </w:rPr>
              <w:t>Patient Name</w:t>
            </w:r>
          </w:p>
        </w:tc>
        <w:tc>
          <w:tcPr>
            <w:tcW w:w="3899" w:type="dxa"/>
            <w:gridSpan w:val="5"/>
            <w:shd w:val="clear" w:color="auto" w:fill="B3B3B3"/>
          </w:tcPr>
          <w:p w14:paraId="095B4385" w14:textId="77777777" w:rsidR="004A6408" w:rsidRPr="00AC5C64" w:rsidRDefault="004A6408" w:rsidP="00A95965">
            <w:pPr>
              <w:pStyle w:val="TableText"/>
              <w:rPr>
                <w:b/>
                <w:szCs w:val="20"/>
              </w:rPr>
            </w:pPr>
            <w:r>
              <w:rPr>
                <w:b/>
                <w:szCs w:val="20"/>
              </w:rPr>
              <w:t>Patient Identification Number</w:t>
            </w:r>
          </w:p>
        </w:tc>
        <w:tc>
          <w:tcPr>
            <w:tcW w:w="1961" w:type="dxa"/>
            <w:gridSpan w:val="3"/>
            <w:shd w:val="clear" w:color="auto" w:fill="B3B3B3"/>
          </w:tcPr>
          <w:p w14:paraId="0D3A065C" w14:textId="77777777" w:rsidR="004A6408" w:rsidRPr="00AC5C64" w:rsidRDefault="004A6408" w:rsidP="00A95965">
            <w:pPr>
              <w:pStyle w:val="TableText"/>
              <w:rPr>
                <w:b/>
                <w:szCs w:val="20"/>
              </w:rPr>
            </w:pPr>
            <w:r>
              <w:rPr>
                <w:b/>
                <w:szCs w:val="20"/>
              </w:rPr>
              <w:t>Location</w:t>
            </w:r>
          </w:p>
        </w:tc>
        <w:tc>
          <w:tcPr>
            <w:tcW w:w="3698" w:type="dxa"/>
            <w:gridSpan w:val="2"/>
            <w:shd w:val="clear" w:color="auto" w:fill="B3B3B3"/>
          </w:tcPr>
          <w:p w14:paraId="06129E04" w14:textId="77777777" w:rsidR="004A6408" w:rsidRPr="00AC5C64" w:rsidRDefault="004A6408" w:rsidP="00A95965">
            <w:pPr>
              <w:pStyle w:val="TableText"/>
              <w:rPr>
                <w:b/>
                <w:szCs w:val="20"/>
              </w:rPr>
            </w:pPr>
            <w:r>
              <w:rPr>
                <w:b/>
                <w:szCs w:val="20"/>
              </w:rPr>
              <w:t>Specimen UID</w:t>
            </w:r>
          </w:p>
        </w:tc>
      </w:tr>
      <w:tr w:rsidR="004A6408" w14:paraId="4E105E03" w14:textId="77777777">
        <w:trPr>
          <w:cantSplit/>
          <w:trHeight w:val="432"/>
        </w:trPr>
        <w:tc>
          <w:tcPr>
            <w:tcW w:w="3402" w:type="dxa"/>
            <w:noWrap/>
          </w:tcPr>
          <w:p w14:paraId="4AF36444" w14:textId="77777777" w:rsidR="004A6408" w:rsidRDefault="004A6408" w:rsidP="00A95965">
            <w:pPr>
              <w:pStyle w:val="TableText"/>
              <w:rPr>
                <w:szCs w:val="20"/>
              </w:rPr>
            </w:pPr>
          </w:p>
        </w:tc>
        <w:tc>
          <w:tcPr>
            <w:tcW w:w="3899" w:type="dxa"/>
            <w:gridSpan w:val="5"/>
          </w:tcPr>
          <w:p w14:paraId="765A5F37" w14:textId="77777777" w:rsidR="004A6408" w:rsidRDefault="004A6408" w:rsidP="00A95965">
            <w:pPr>
              <w:pStyle w:val="TableText"/>
              <w:rPr>
                <w:szCs w:val="20"/>
              </w:rPr>
            </w:pPr>
          </w:p>
        </w:tc>
        <w:tc>
          <w:tcPr>
            <w:tcW w:w="1961" w:type="dxa"/>
            <w:gridSpan w:val="3"/>
          </w:tcPr>
          <w:p w14:paraId="0403AB02" w14:textId="77777777" w:rsidR="004A6408" w:rsidRDefault="004A6408" w:rsidP="00A95965">
            <w:pPr>
              <w:pStyle w:val="TableText"/>
              <w:rPr>
                <w:szCs w:val="20"/>
              </w:rPr>
            </w:pPr>
          </w:p>
        </w:tc>
        <w:tc>
          <w:tcPr>
            <w:tcW w:w="3698" w:type="dxa"/>
            <w:gridSpan w:val="2"/>
          </w:tcPr>
          <w:p w14:paraId="1BC4201B" w14:textId="77777777" w:rsidR="004A6408" w:rsidRDefault="004A6408" w:rsidP="00A95965">
            <w:pPr>
              <w:pStyle w:val="TableText"/>
              <w:rPr>
                <w:szCs w:val="20"/>
              </w:rPr>
            </w:pPr>
          </w:p>
        </w:tc>
      </w:tr>
      <w:tr w:rsidR="004A6408" w14:paraId="68D23A0C" w14:textId="77777777">
        <w:trPr>
          <w:cantSplit/>
          <w:trHeight w:val="230"/>
          <w:tblHeader/>
        </w:trPr>
        <w:tc>
          <w:tcPr>
            <w:tcW w:w="12960" w:type="dxa"/>
            <w:gridSpan w:val="11"/>
            <w:shd w:val="clear" w:color="auto" w:fill="B3B3B3"/>
            <w:noWrap/>
          </w:tcPr>
          <w:p w14:paraId="64F36763" w14:textId="77777777" w:rsidR="004A6408" w:rsidRPr="00035A4D" w:rsidRDefault="004A6408" w:rsidP="00FC4396">
            <w:pPr>
              <w:pStyle w:val="TableText"/>
              <w:rPr>
                <w:b/>
                <w:szCs w:val="20"/>
              </w:rPr>
            </w:pPr>
            <w:r>
              <w:rPr>
                <w:b/>
                <w:szCs w:val="20"/>
              </w:rPr>
              <w:t>Compatibility Testing</w:t>
            </w:r>
          </w:p>
        </w:tc>
      </w:tr>
      <w:tr w:rsidR="006304EB" w14:paraId="5135CEE4" w14:textId="77777777">
        <w:trPr>
          <w:cantSplit/>
          <w:trHeight w:val="230"/>
          <w:tblHeader/>
        </w:trPr>
        <w:tc>
          <w:tcPr>
            <w:tcW w:w="3421" w:type="dxa"/>
            <w:gridSpan w:val="2"/>
            <w:shd w:val="clear" w:color="auto" w:fill="B3B3B3"/>
            <w:noWrap/>
          </w:tcPr>
          <w:p w14:paraId="6409CC94" w14:textId="77777777" w:rsidR="006304EB" w:rsidRPr="00035A4D" w:rsidRDefault="006304EB" w:rsidP="00FC4396">
            <w:pPr>
              <w:pStyle w:val="TableText"/>
              <w:rPr>
                <w:b/>
                <w:szCs w:val="20"/>
              </w:rPr>
            </w:pPr>
            <w:r w:rsidRPr="00035A4D">
              <w:rPr>
                <w:b/>
                <w:szCs w:val="20"/>
              </w:rPr>
              <w:t>Unit Identification Number</w:t>
            </w:r>
          </w:p>
        </w:tc>
        <w:tc>
          <w:tcPr>
            <w:tcW w:w="969" w:type="dxa"/>
            <w:shd w:val="clear" w:color="auto" w:fill="B3B3B3"/>
          </w:tcPr>
          <w:p w14:paraId="66FA2B05" w14:textId="77777777" w:rsidR="006304EB" w:rsidRPr="00035A4D" w:rsidRDefault="006304EB" w:rsidP="00FC4396">
            <w:pPr>
              <w:pStyle w:val="TableText"/>
              <w:rPr>
                <w:b/>
                <w:szCs w:val="20"/>
              </w:rPr>
            </w:pPr>
            <w:r>
              <w:rPr>
                <w:b/>
                <w:szCs w:val="20"/>
              </w:rPr>
              <w:t>Product Code</w:t>
            </w:r>
          </w:p>
        </w:tc>
        <w:tc>
          <w:tcPr>
            <w:tcW w:w="970" w:type="dxa"/>
            <w:shd w:val="clear" w:color="auto" w:fill="B3B3B3"/>
          </w:tcPr>
          <w:p w14:paraId="2651562E" w14:textId="77777777" w:rsidR="006304EB" w:rsidRPr="00035A4D" w:rsidRDefault="006304EB" w:rsidP="00FC4396">
            <w:pPr>
              <w:pStyle w:val="TableText"/>
              <w:rPr>
                <w:b/>
                <w:szCs w:val="20"/>
              </w:rPr>
            </w:pPr>
            <w:r w:rsidRPr="00035A4D">
              <w:rPr>
                <w:b/>
                <w:szCs w:val="20"/>
              </w:rPr>
              <w:t>ABO/Rh</w:t>
            </w:r>
          </w:p>
        </w:tc>
        <w:tc>
          <w:tcPr>
            <w:tcW w:w="970" w:type="dxa"/>
            <w:shd w:val="clear" w:color="auto" w:fill="B3B3B3"/>
          </w:tcPr>
          <w:p w14:paraId="1963E3C0" w14:textId="77777777" w:rsidR="006304EB" w:rsidRPr="00035A4D" w:rsidRDefault="006304EB" w:rsidP="00FC4396">
            <w:pPr>
              <w:pStyle w:val="TableText"/>
              <w:rPr>
                <w:b/>
                <w:szCs w:val="20"/>
              </w:rPr>
            </w:pPr>
            <w:r w:rsidRPr="00035A4D">
              <w:rPr>
                <w:b/>
                <w:szCs w:val="20"/>
              </w:rPr>
              <w:t>RT/IS</w:t>
            </w:r>
          </w:p>
        </w:tc>
        <w:tc>
          <w:tcPr>
            <w:tcW w:w="971" w:type="dxa"/>
            <w:shd w:val="clear" w:color="auto" w:fill="B3B3B3"/>
          </w:tcPr>
          <w:p w14:paraId="282509B4" w14:textId="77777777" w:rsidR="006304EB" w:rsidRPr="00035A4D" w:rsidRDefault="006304EB" w:rsidP="00FC4396">
            <w:pPr>
              <w:pStyle w:val="TableText"/>
              <w:rPr>
                <w:b/>
                <w:szCs w:val="20"/>
              </w:rPr>
            </w:pPr>
            <w:r w:rsidRPr="00035A4D">
              <w:rPr>
                <w:b/>
                <w:szCs w:val="20"/>
              </w:rPr>
              <w:t>37</w:t>
            </w:r>
            <w:r w:rsidRPr="00035A4D">
              <w:rPr>
                <w:rFonts w:cs="Arial"/>
                <w:b/>
                <w:szCs w:val="20"/>
              </w:rPr>
              <w:t>°</w:t>
            </w:r>
          </w:p>
        </w:tc>
        <w:tc>
          <w:tcPr>
            <w:tcW w:w="970" w:type="dxa"/>
            <w:shd w:val="clear" w:color="auto" w:fill="B3B3B3"/>
          </w:tcPr>
          <w:p w14:paraId="2FF206C6" w14:textId="77777777" w:rsidR="006304EB" w:rsidRPr="00035A4D" w:rsidRDefault="006304EB" w:rsidP="00FC4396">
            <w:pPr>
              <w:pStyle w:val="TableText"/>
              <w:rPr>
                <w:b/>
                <w:szCs w:val="20"/>
              </w:rPr>
            </w:pPr>
            <w:r w:rsidRPr="00035A4D">
              <w:rPr>
                <w:b/>
                <w:szCs w:val="20"/>
              </w:rPr>
              <w:t>AHG</w:t>
            </w:r>
          </w:p>
        </w:tc>
        <w:tc>
          <w:tcPr>
            <w:tcW w:w="970" w:type="dxa"/>
            <w:shd w:val="clear" w:color="auto" w:fill="B3B3B3"/>
          </w:tcPr>
          <w:p w14:paraId="72FA9F3C" w14:textId="77777777" w:rsidR="006304EB" w:rsidRPr="00035A4D" w:rsidRDefault="006304EB" w:rsidP="00FC4396">
            <w:pPr>
              <w:pStyle w:val="TableText"/>
              <w:rPr>
                <w:b/>
                <w:szCs w:val="20"/>
              </w:rPr>
            </w:pPr>
            <w:r w:rsidRPr="00035A4D">
              <w:rPr>
                <w:b/>
                <w:szCs w:val="20"/>
              </w:rPr>
              <w:t>CC</w:t>
            </w:r>
          </w:p>
        </w:tc>
        <w:tc>
          <w:tcPr>
            <w:tcW w:w="1959" w:type="dxa"/>
            <w:gridSpan w:val="2"/>
            <w:shd w:val="clear" w:color="auto" w:fill="B3B3B3"/>
          </w:tcPr>
          <w:p w14:paraId="13BBC1AD" w14:textId="77777777" w:rsidR="006304EB" w:rsidRPr="00035A4D" w:rsidRDefault="006304EB" w:rsidP="00FC4396">
            <w:pPr>
              <w:pStyle w:val="TableText"/>
              <w:rPr>
                <w:b/>
                <w:szCs w:val="20"/>
              </w:rPr>
            </w:pPr>
            <w:r w:rsidRPr="00035A4D">
              <w:rPr>
                <w:b/>
                <w:szCs w:val="20"/>
              </w:rPr>
              <w:t>Interpretation</w:t>
            </w:r>
          </w:p>
        </w:tc>
        <w:tc>
          <w:tcPr>
            <w:tcW w:w="1760" w:type="dxa"/>
            <w:shd w:val="clear" w:color="auto" w:fill="B3B3B3"/>
          </w:tcPr>
          <w:p w14:paraId="2501CD83" w14:textId="77777777" w:rsidR="006304EB" w:rsidRPr="00035A4D" w:rsidRDefault="006304EB" w:rsidP="00FC4396">
            <w:pPr>
              <w:pStyle w:val="TableText"/>
              <w:rPr>
                <w:b/>
                <w:szCs w:val="20"/>
              </w:rPr>
            </w:pPr>
            <w:r w:rsidRPr="00035A4D">
              <w:rPr>
                <w:b/>
                <w:szCs w:val="20"/>
              </w:rPr>
              <w:t>Tech Name</w:t>
            </w:r>
          </w:p>
        </w:tc>
      </w:tr>
      <w:tr w:rsidR="006304EB" w14:paraId="6E9BC5E0" w14:textId="77777777">
        <w:trPr>
          <w:cantSplit/>
          <w:trHeight w:val="432"/>
        </w:trPr>
        <w:tc>
          <w:tcPr>
            <w:tcW w:w="3421" w:type="dxa"/>
            <w:gridSpan w:val="2"/>
            <w:noWrap/>
          </w:tcPr>
          <w:p w14:paraId="184ED26E" w14:textId="77777777" w:rsidR="006304EB" w:rsidRDefault="006304EB" w:rsidP="00A95965">
            <w:pPr>
              <w:pStyle w:val="TableText"/>
              <w:rPr>
                <w:szCs w:val="20"/>
              </w:rPr>
            </w:pPr>
          </w:p>
        </w:tc>
        <w:tc>
          <w:tcPr>
            <w:tcW w:w="969" w:type="dxa"/>
          </w:tcPr>
          <w:p w14:paraId="22EB7205" w14:textId="77777777" w:rsidR="006304EB" w:rsidRDefault="006304EB" w:rsidP="00A95965">
            <w:pPr>
              <w:pStyle w:val="TableText"/>
              <w:rPr>
                <w:szCs w:val="20"/>
              </w:rPr>
            </w:pPr>
          </w:p>
        </w:tc>
        <w:tc>
          <w:tcPr>
            <w:tcW w:w="970" w:type="dxa"/>
          </w:tcPr>
          <w:p w14:paraId="3D81FC2A" w14:textId="77777777" w:rsidR="006304EB" w:rsidRDefault="006304EB" w:rsidP="00A95965">
            <w:pPr>
              <w:pStyle w:val="TableText"/>
              <w:rPr>
                <w:szCs w:val="20"/>
              </w:rPr>
            </w:pPr>
          </w:p>
        </w:tc>
        <w:tc>
          <w:tcPr>
            <w:tcW w:w="970" w:type="dxa"/>
          </w:tcPr>
          <w:p w14:paraId="3EB3A2A3" w14:textId="77777777" w:rsidR="006304EB" w:rsidRDefault="006304EB" w:rsidP="00A95965">
            <w:pPr>
              <w:pStyle w:val="TableText"/>
              <w:rPr>
                <w:szCs w:val="20"/>
              </w:rPr>
            </w:pPr>
          </w:p>
        </w:tc>
        <w:tc>
          <w:tcPr>
            <w:tcW w:w="971" w:type="dxa"/>
          </w:tcPr>
          <w:p w14:paraId="0C7316B8" w14:textId="77777777" w:rsidR="006304EB" w:rsidRPr="006A7FD3" w:rsidRDefault="006304EB" w:rsidP="00A95965">
            <w:pPr>
              <w:pStyle w:val="TableText"/>
              <w:jc w:val="center"/>
              <w:rPr>
                <w:b/>
                <w:szCs w:val="20"/>
              </w:rPr>
            </w:pPr>
          </w:p>
        </w:tc>
        <w:tc>
          <w:tcPr>
            <w:tcW w:w="970" w:type="dxa"/>
          </w:tcPr>
          <w:p w14:paraId="363B399B" w14:textId="77777777" w:rsidR="006304EB" w:rsidRPr="006A7FD3" w:rsidRDefault="006304EB" w:rsidP="00A95965">
            <w:pPr>
              <w:pStyle w:val="TableText"/>
              <w:jc w:val="center"/>
              <w:rPr>
                <w:b/>
                <w:szCs w:val="20"/>
              </w:rPr>
            </w:pPr>
          </w:p>
        </w:tc>
        <w:tc>
          <w:tcPr>
            <w:tcW w:w="970" w:type="dxa"/>
          </w:tcPr>
          <w:p w14:paraId="191DC1F5" w14:textId="77777777" w:rsidR="006304EB" w:rsidRPr="006A7FD3" w:rsidRDefault="006304EB" w:rsidP="00A95965">
            <w:pPr>
              <w:pStyle w:val="TableText"/>
              <w:jc w:val="center"/>
              <w:rPr>
                <w:b/>
                <w:szCs w:val="20"/>
              </w:rPr>
            </w:pPr>
          </w:p>
        </w:tc>
        <w:tc>
          <w:tcPr>
            <w:tcW w:w="1959" w:type="dxa"/>
            <w:gridSpan w:val="2"/>
          </w:tcPr>
          <w:p w14:paraId="25A694E5" w14:textId="77777777" w:rsidR="006304EB" w:rsidRDefault="006304EB" w:rsidP="00A95965">
            <w:pPr>
              <w:pStyle w:val="TableText"/>
              <w:rPr>
                <w:szCs w:val="20"/>
              </w:rPr>
            </w:pPr>
          </w:p>
        </w:tc>
        <w:tc>
          <w:tcPr>
            <w:tcW w:w="1760" w:type="dxa"/>
          </w:tcPr>
          <w:p w14:paraId="02AAD436" w14:textId="77777777" w:rsidR="006304EB" w:rsidRDefault="006304EB" w:rsidP="00A95965">
            <w:pPr>
              <w:pStyle w:val="TableText"/>
              <w:rPr>
                <w:szCs w:val="20"/>
              </w:rPr>
            </w:pPr>
          </w:p>
        </w:tc>
      </w:tr>
      <w:tr w:rsidR="006304EB" w14:paraId="688116C3" w14:textId="77777777">
        <w:trPr>
          <w:cantSplit/>
          <w:trHeight w:val="432"/>
        </w:trPr>
        <w:tc>
          <w:tcPr>
            <w:tcW w:w="3421" w:type="dxa"/>
            <w:gridSpan w:val="2"/>
            <w:noWrap/>
          </w:tcPr>
          <w:p w14:paraId="69030D4C" w14:textId="77777777" w:rsidR="006304EB" w:rsidRDefault="006304EB" w:rsidP="00A95965">
            <w:pPr>
              <w:pStyle w:val="TableText"/>
              <w:rPr>
                <w:szCs w:val="20"/>
              </w:rPr>
            </w:pPr>
          </w:p>
        </w:tc>
        <w:tc>
          <w:tcPr>
            <w:tcW w:w="969" w:type="dxa"/>
          </w:tcPr>
          <w:p w14:paraId="3522152C" w14:textId="77777777" w:rsidR="006304EB" w:rsidRDefault="006304EB" w:rsidP="00A95965">
            <w:pPr>
              <w:pStyle w:val="TableText"/>
              <w:rPr>
                <w:szCs w:val="20"/>
              </w:rPr>
            </w:pPr>
          </w:p>
        </w:tc>
        <w:tc>
          <w:tcPr>
            <w:tcW w:w="970" w:type="dxa"/>
          </w:tcPr>
          <w:p w14:paraId="7792F66C" w14:textId="77777777" w:rsidR="006304EB" w:rsidRDefault="006304EB" w:rsidP="00A95965">
            <w:pPr>
              <w:pStyle w:val="TableText"/>
              <w:rPr>
                <w:szCs w:val="20"/>
              </w:rPr>
            </w:pPr>
          </w:p>
        </w:tc>
        <w:tc>
          <w:tcPr>
            <w:tcW w:w="970" w:type="dxa"/>
          </w:tcPr>
          <w:p w14:paraId="5C048B56" w14:textId="77777777" w:rsidR="006304EB" w:rsidRDefault="006304EB" w:rsidP="00A95965">
            <w:pPr>
              <w:pStyle w:val="TableText"/>
              <w:rPr>
                <w:szCs w:val="20"/>
              </w:rPr>
            </w:pPr>
          </w:p>
        </w:tc>
        <w:tc>
          <w:tcPr>
            <w:tcW w:w="971" w:type="dxa"/>
          </w:tcPr>
          <w:p w14:paraId="3562570E" w14:textId="77777777" w:rsidR="006304EB" w:rsidRPr="006A7FD3" w:rsidRDefault="006304EB" w:rsidP="00A95965">
            <w:pPr>
              <w:pStyle w:val="TableText"/>
              <w:jc w:val="center"/>
              <w:rPr>
                <w:b/>
                <w:szCs w:val="20"/>
              </w:rPr>
            </w:pPr>
          </w:p>
        </w:tc>
        <w:tc>
          <w:tcPr>
            <w:tcW w:w="970" w:type="dxa"/>
          </w:tcPr>
          <w:p w14:paraId="18B294BF" w14:textId="77777777" w:rsidR="006304EB" w:rsidRPr="006A7FD3" w:rsidRDefault="006304EB" w:rsidP="00A95965">
            <w:pPr>
              <w:pStyle w:val="TableText"/>
              <w:jc w:val="center"/>
              <w:rPr>
                <w:b/>
                <w:szCs w:val="20"/>
              </w:rPr>
            </w:pPr>
          </w:p>
        </w:tc>
        <w:tc>
          <w:tcPr>
            <w:tcW w:w="970" w:type="dxa"/>
          </w:tcPr>
          <w:p w14:paraId="16012301" w14:textId="77777777" w:rsidR="006304EB" w:rsidRPr="006A7FD3" w:rsidRDefault="006304EB" w:rsidP="00A95965">
            <w:pPr>
              <w:pStyle w:val="TableText"/>
              <w:jc w:val="center"/>
              <w:rPr>
                <w:b/>
                <w:szCs w:val="20"/>
              </w:rPr>
            </w:pPr>
          </w:p>
        </w:tc>
        <w:tc>
          <w:tcPr>
            <w:tcW w:w="1959" w:type="dxa"/>
            <w:gridSpan w:val="2"/>
          </w:tcPr>
          <w:p w14:paraId="44A89902" w14:textId="77777777" w:rsidR="006304EB" w:rsidRDefault="006304EB" w:rsidP="00A95965">
            <w:pPr>
              <w:pStyle w:val="TableText"/>
              <w:rPr>
                <w:szCs w:val="20"/>
              </w:rPr>
            </w:pPr>
          </w:p>
        </w:tc>
        <w:tc>
          <w:tcPr>
            <w:tcW w:w="1760" w:type="dxa"/>
          </w:tcPr>
          <w:p w14:paraId="1302ABAF" w14:textId="77777777" w:rsidR="006304EB" w:rsidRDefault="006304EB" w:rsidP="00A95965">
            <w:pPr>
              <w:pStyle w:val="TableText"/>
              <w:rPr>
                <w:szCs w:val="20"/>
              </w:rPr>
            </w:pPr>
          </w:p>
        </w:tc>
      </w:tr>
      <w:tr w:rsidR="006304EB" w14:paraId="7D09D4DE" w14:textId="77777777">
        <w:trPr>
          <w:cantSplit/>
          <w:trHeight w:val="432"/>
        </w:trPr>
        <w:tc>
          <w:tcPr>
            <w:tcW w:w="3421" w:type="dxa"/>
            <w:gridSpan w:val="2"/>
            <w:noWrap/>
          </w:tcPr>
          <w:p w14:paraId="3B532DE7" w14:textId="77777777" w:rsidR="006304EB" w:rsidRDefault="006304EB" w:rsidP="00A95965">
            <w:pPr>
              <w:pStyle w:val="TableText"/>
              <w:rPr>
                <w:szCs w:val="20"/>
              </w:rPr>
            </w:pPr>
          </w:p>
        </w:tc>
        <w:tc>
          <w:tcPr>
            <w:tcW w:w="969" w:type="dxa"/>
          </w:tcPr>
          <w:p w14:paraId="0114C273" w14:textId="77777777" w:rsidR="006304EB" w:rsidRDefault="006304EB" w:rsidP="00A95965">
            <w:pPr>
              <w:pStyle w:val="TableText"/>
              <w:rPr>
                <w:szCs w:val="20"/>
              </w:rPr>
            </w:pPr>
          </w:p>
        </w:tc>
        <w:tc>
          <w:tcPr>
            <w:tcW w:w="970" w:type="dxa"/>
          </w:tcPr>
          <w:p w14:paraId="14746CDA" w14:textId="77777777" w:rsidR="006304EB" w:rsidRDefault="006304EB" w:rsidP="00A95965">
            <w:pPr>
              <w:pStyle w:val="TableText"/>
              <w:rPr>
                <w:szCs w:val="20"/>
              </w:rPr>
            </w:pPr>
          </w:p>
        </w:tc>
        <w:tc>
          <w:tcPr>
            <w:tcW w:w="970" w:type="dxa"/>
          </w:tcPr>
          <w:p w14:paraId="5180AE14" w14:textId="77777777" w:rsidR="006304EB" w:rsidRDefault="006304EB" w:rsidP="00A95965">
            <w:pPr>
              <w:pStyle w:val="TableText"/>
              <w:rPr>
                <w:szCs w:val="20"/>
              </w:rPr>
            </w:pPr>
          </w:p>
        </w:tc>
        <w:tc>
          <w:tcPr>
            <w:tcW w:w="971" w:type="dxa"/>
          </w:tcPr>
          <w:p w14:paraId="50A31429" w14:textId="77777777" w:rsidR="006304EB" w:rsidRPr="006A7FD3" w:rsidRDefault="006304EB" w:rsidP="00A95965">
            <w:pPr>
              <w:pStyle w:val="TableText"/>
              <w:jc w:val="center"/>
              <w:rPr>
                <w:b/>
                <w:szCs w:val="20"/>
              </w:rPr>
            </w:pPr>
          </w:p>
        </w:tc>
        <w:tc>
          <w:tcPr>
            <w:tcW w:w="970" w:type="dxa"/>
          </w:tcPr>
          <w:p w14:paraId="1B4957CA" w14:textId="77777777" w:rsidR="006304EB" w:rsidRPr="006A7FD3" w:rsidRDefault="006304EB" w:rsidP="00A95965">
            <w:pPr>
              <w:pStyle w:val="TableText"/>
              <w:jc w:val="center"/>
              <w:rPr>
                <w:b/>
                <w:szCs w:val="20"/>
              </w:rPr>
            </w:pPr>
          </w:p>
        </w:tc>
        <w:tc>
          <w:tcPr>
            <w:tcW w:w="970" w:type="dxa"/>
          </w:tcPr>
          <w:p w14:paraId="67B9B3A0" w14:textId="77777777" w:rsidR="006304EB" w:rsidRPr="006A7FD3" w:rsidRDefault="006304EB" w:rsidP="00A95965">
            <w:pPr>
              <w:pStyle w:val="TableText"/>
              <w:jc w:val="center"/>
              <w:rPr>
                <w:b/>
                <w:szCs w:val="20"/>
              </w:rPr>
            </w:pPr>
          </w:p>
        </w:tc>
        <w:tc>
          <w:tcPr>
            <w:tcW w:w="1959" w:type="dxa"/>
            <w:gridSpan w:val="2"/>
          </w:tcPr>
          <w:p w14:paraId="5A2CF9C2" w14:textId="77777777" w:rsidR="006304EB" w:rsidRDefault="006304EB" w:rsidP="00A95965">
            <w:pPr>
              <w:pStyle w:val="TableText"/>
              <w:rPr>
                <w:szCs w:val="20"/>
              </w:rPr>
            </w:pPr>
          </w:p>
        </w:tc>
        <w:tc>
          <w:tcPr>
            <w:tcW w:w="1760" w:type="dxa"/>
          </w:tcPr>
          <w:p w14:paraId="0A767241" w14:textId="77777777" w:rsidR="006304EB" w:rsidRDefault="006304EB" w:rsidP="00A95965">
            <w:pPr>
              <w:pStyle w:val="TableText"/>
              <w:rPr>
                <w:szCs w:val="20"/>
              </w:rPr>
            </w:pPr>
          </w:p>
        </w:tc>
      </w:tr>
      <w:tr w:rsidR="006304EB" w14:paraId="302873A3" w14:textId="77777777">
        <w:trPr>
          <w:cantSplit/>
          <w:trHeight w:val="432"/>
        </w:trPr>
        <w:tc>
          <w:tcPr>
            <w:tcW w:w="3421" w:type="dxa"/>
            <w:gridSpan w:val="2"/>
            <w:noWrap/>
          </w:tcPr>
          <w:p w14:paraId="7D383DC2" w14:textId="77777777" w:rsidR="006304EB" w:rsidRDefault="006304EB" w:rsidP="00A95965">
            <w:pPr>
              <w:pStyle w:val="TableText"/>
              <w:rPr>
                <w:szCs w:val="20"/>
              </w:rPr>
            </w:pPr>
          </w:p>
        </w:tc>
        <w:tc>
          <w:tcPr>
            <w:tcW w:w="969" w:type="dxa"/>
          </w:tcPr>
          <w:p w14:paraId="71A63814" w14:textId="77777777" w:rsidR="006304EB" w:rsidRDefault="006304EB" w:rsidP="00A95965">
            <w:pPr>
              <w:pStyle w:val="TableText"/>
              <w:rPr>
                <w:szCs w:val="20"/>
              </w:rPr>
            </w:pPr>
          </w:p>
        </w:tc>
        <w:tc>
          <w:tcPr>
            <w:tcW w:w="970" w:type="dxa"/>
          </w:tcPr>
          <w:p w14:paraId="10C25A2B" w14:textId="77777777" w:rsidR="006304EB" w:rsidRDefault="006304EB" w:rsidP="00A95965">
            <w:pPr>
              <w:pStyle w:val="TableText"/>
              <w:rPr>
                <w:szCs w:val="20"/>
              </w:rPr>
            </w:pPr>
          </w:p>
        </w:tc>
        <w:tc>
          <w:tcPr>
            <w:tcW w:w="970" w:type="dxa"/>
          </w:tcPr>
          <w:p w14:paraId="0B09E3B0" w14:textId="77777777" w:rsidR="006304EB" w:rsidRDefault="006304EB" w:rsidP="00A95965">
            <w:pPr>
              <w:pStyle w:val="TableText"/>
              <w:rPr>
                <w:szCs w:val="20"/>
              </w:rPr>
            </w:pPr>
          </w:p>
        </w:tc>
        <w:tc>
          <w:tcPr>
            <w:tcW w:w="971" w:type="dxa"/>
          </w:tcPr>
          <w:p w14:paraId="15709608" w14:textId="77777777" w:rsidR="006304EB" w:rsidRPr="006A7FD3" w:rsidRDefault="006304EB" w:rsidP="00A95965">
            <w:pPr>
              <w:pStyle w:val="TableText"/>
              <w:jc w:val="center"/>
              <w:rPr>
                <w:b/>
                <w:szCs w:val="20"/>
              </w:rPr>
            </w:pPr>
          </w:p>
        </w:tc>
        <w:tc>
          <w:tcPr>
            <w:tcW w:w="970" w:type="dxa"/>
          </w:tcPr>
          <w:p w14:paraId="1B386223" w14:textId="77777777" w:rsidR="006304EB" w:rsidRPr="006A7FD3" w:rsidRDefault="006304EB" w:rsidP="00A95965">
            <w:pPr>
              <w:pStyle w:val="TableText"/>
              <w:jc w:val="center"/>
              <w:rPr>
                <w:b/>
                <w:szCs w:val="20"/>
              </w:rPr>
            </w:pPr>
          </w:p>
        </w:tc>
        <w:tc>
          <w:tcPr>
            <w:tcW w:w="970" w:type="dxa"/>
          </w:tcPr>
          <w:p w14:paraId="5D199927" w14:textId="77777777" w:rsidR="006304EB" w:rsidRPr="006A7FD3" w:rsidRDefault="006304EB" w:rsidP="00A95965">
            <w:pPr>
              <w:pStyle w:val="TableText"/>
              <w:jc w:val="center"/>
              <w:rPr>
                <w:b/>
                <w:szCs w:val="20"/>
              </w:rPr>
            </w:pPr>
          </w:p>
        </w:tc>
        <w:tc>
          <w:tcPr>
            <w:tcW w:w="1959" w:type="dxa"/>
            <w:gridSpan w:val="2"/>
          </w:tcPr>
          <w:p w14:paraId="3A154F1A" w14:textId="77777777" w:rsidR="006304EB" w:rsidRDefault="006304EB" w:rsidP="00A95965">
            <w:pPr>
              <w:pStyle w:val="TableText"/>
              <w:rPr>
                <w:szCs w:val="20"/>
              </w:rPr>
            </w:pPr>
          </w:p>
        </w:tc>
        <w:tc>
          <w:tcPr>
            <w:tcW w:w="1760" w:type="dxa"/>
          </w:tcPr>
          <w:p w14:paraId="5E885B6E" w14:textId="77777777" w:rsidR="006304EB" w:rsidRDefault="006304EB" w:rsidP="00A95965">
            <w:pPr>
              <w:pStyle w:val="TableText"/>
              <w:rPr>
                <w:szCs w:val="20"/>
              </w:rPr>
            </w:pPr>
          </w:p>
        </w:tc>
      </w:tr>
      <w:tr w:rsidR="006304EB" w14:paraId="217B9172" w14:textId="77777777">
        <w:trPr>
          <w:cantSplit/>
          <w:trHeight w:val="432"/>
        </w:trPr>
        <w:tc>
          <w:tcPr>
            <w:tcW w:w="3421" w:type="dxa"/>
            <w:gridSpan w:val="2"/>
            <w:noWrap/>
          </w:tcPr>
          <w:p w14:paraId="1AE9048A" w14:textId="77777777" w:rsidR="006304EB" w:rsidRDefault="006304EB" w:rsidP="00A95965">
            <w:pPr>
              <w:pStyle w:val="TableText"/>
              <w:rPr>
                <w:szCs w:val="20"/>
              </w:rPr>
            </w:pPr>
          </w:p>
        </w:tc>
        <w:tc>
          <w:tcPr>
            <w:tcW w:w="969" w:type="dxa"/>
          </w:tcPr>
          <w:p w14:paraId="785FF12E" w14:textId="77777777" w:rsidR="006304EB" w:rsidRDefault="006304EB" w:rsidP="00A95965">
            <w:pPr>
              <w:pStyle w:val="TableText"/>
              <w:rPr>
                <w:szCs w:val="20"/>
              </w:rPr>
            </w:pPr>
          </w:p>
        </w:tc>
        <w:tc>
          <w:tcPr>
            <w:tcW w:w="970" w:type="dxa"/>
          </w:tcPr>
          <w:p w14:paraId="13B463C1" w14:textId="77777777" w:rsidR="006304EB" w:rsidRDefault="006304EB" w:rsidP="00A95965">
            <w:pPr>
              <w:pStyle w:val="TableText"/>
              <w:rPr>
                <w:szCs w:val="20"/>
              </w:rPr>
            </w:pPr>
          </w:p>
        </w:tc>
        <w:tc>
          <w:tcPr>
            <w:tcW w:w="970" w:type="dxa"/>
          </w:tcPr>
          <w:p w14:paraId="0A63A847" w14:textId="77777777" w:rsidR="006304EB" w:rsidRDefault="006304EB" w:rsidP="00A95965">
            <w:pPr>
              <w:pStyle w:val="TableText"/>
              <w:rPr>
                <w:szCs w:val="20"/>
              </w:rPr>
            </w:pPr>
          </w:p>
        </w:tc>
        <w:tc>
          <w:tcPr>
            <w:tcW w:w="971" w:type="dxa"/>
          </w:tcPr>
          <w:p w14:paraId="2C3B5202" w14:textId="77777777" w:rsidR="006304EB" w:rsidRPr="006A7FD3" w:rsidRDefault="006304EB" w:rsidP="00A95965">
            <w:pPr>
              <w:pStyle w:val="TableText"/>
              <w:jc w:val="center"/>
              <w:rPr>
                <w:b/>
                <w:szCs w:val="20"/>
              </w:rPr>
            </w:pPr>
          </w:p>
        </w:tc>
        <w:tc>
          <w:tcPr>
            <w:tcW w:w="970" w:type="dxa"/>
          </w:tcPr>
          <w:p w14:paraId="7AC5E2A0" w14:textId="77777777" w:rsidR="006304EB" w:rsidRPr="006A7FD3" w:rsidRDefault="006304EB" w:rsidP="00A95965">
            <w:pPr>
              <w:pStyle w:val="TableText"/>
              <w:jc w:val="center"/>
              <w:rPr>
                <w:b/>
                <w:szCs w:val="20"/>
              </w:rPr>
            </w:pPr>
          </w:p>
        </w:tc>
        <w:tc>
          <w:tcPr>
            <w:tcW w:w="970" w:type="dxa"/>
          </w:tcPr>
          <w:p w14:paraId="14941468" w14:textId="77777777" w:rsidR="006304EB" w:rsidRPr="006A7FD3" w:rsidRDefault="006304EB" w:rsidP="00A95965">
            <w:pPr>
              <w:pStyle w:val="TableText"/>
              <w:jc w:val="center"/>
              <w:rPr>
                <w:b/>
                <w:szCs w:val="20"/>
              </w:rPr>
            </w:pPr>
          </w:p>
        </w:tc>
        <w:tc>
          <w:tcPr>
            <w:tcW w:w="1959" w:type="dxa"/>
            <w:gridSpan w:val="2"/>
          </w:tcPr>
          <w:p w14:paraId="0FDF8C10" w14:textId="77777777" w:rsidR="006304EB" w:rsidRDefault="006304EB" w:rsidP="00A95965">
            <w:pPr>
              <w:pStyle w:val="TableText"/>
              <w:rPr>
                <w:szCs w:val="20"/>
              </w:rPr>
            </w:pPr>
          </w:p>
        </w:tc>
        <w:tc>
          <w:tcPr>
            <w:tcW w:w="1760" w:type="dxa"/>
          </w:tcPr>
          <w:p w14:paraId="0E0CF0B9" w14:textId="77777777" w:rsidR="006304EB" w:rsidRDefault="006304EB" w:rsidP="00A95965">
            <w:pPr>
              <w:pStyle w:val="TableText"/>
              <w:rPr>
                <w:szCs w:val="20"/>
              </w:rPr>
            </w:pPr>
          </w:p>
        </w:tc>
      </w:tr>
      <w:tr w:rsidR="006304EB" w14:paraId="5F48C799" w14:textId="77777777">
        <w:trPr>
          <w:cantSplit/>
          <w:trHeight w:val="432"/>
        </w:trPr>
        <w:tc>
          <w:tcPr>
            <w:tcW w:w="3421" w:type="dxa"/>
            <w:gridSpan w:val="2"/>
            <w:noWrap/>
          </w:tcPr>
          <w:p w14:paraId="1C878AA6" w14:textId="77777777" w:rsidR="006304EB" w:rsidRDefault="006304EB" w:rsidP="00A95965">
            <w:pPr>
              <w:pStyle w:val="TableText"/>
              <w:rPr>
                <w:szCs w:val="20"/>
              </w:rPr>
            </w:pPr>
          </w:p>
        </w:tc>
        <w:tc>
          <w:tcPr>
            <w:tcW w:w="969" w:type="dxa"/>
          </w:tcPr>
          <w:p w14:paraId="16DEB9AE" w14:textId="77777777" w:rsidR="006304EB" w:rsidRDefault="006304EB" w:rsidP="00A95965">
            <w:pPr>
              <w:pStyle w:val="TableText"/>
              <w:rPr>
                <w:szCs w:val="20"/>
              </w:rPr>
            </w:pPr>
          </w:p>
        </w:tc>
        <w:tc>
          <w:tcPr>
            <w:tcW w:w="970" w:type="dxa"/>
          </w:tcPr>
          <w:p w14:paraId="7986049A" w14:textId="77777777" w:rsidR="006304EB" w:rsidRDefault="006304EB" w:rsidP="00A95965">
            <w:pPr>
              <w:pStyle w:val="TableText"/>
              <w:rPr>
                <w:szCs w:val="20"/>
              </w:rPr>
            </w:pPr>
          </w:p>
        </w:tc>
        <w:tc>
          <w:tcPr>
            <w:tcW w:w="970" w:type="dxa"/>
          </w:tcPr>
          <w:p w14:paraId="256B7139" w14:textId="77777777" w:rsidR="006304EB" w:rsidRDefault="006304EB" w:rsidP="00A95965">
            <w:pPr>
              <w:pStyle w:val="TableText"/>
              <w:rPr>
                <w:szCs w:val="20"/>
              </w:rPr>
            </w:pPr>
          </w:p>
        </w:tc>
        <w:tc>
          <w:tcPr>
            <w:tcW w:w="971" w:type="dxa"/>
          </w:tcPr>
          <w:p w14:paraId="25E35321" w14:textId="77777777" w:rsidR="006304EB" w:rsidRPr="006A7FD3" w:rsidRDefault="006304EB" w:rsidP="00A95965">
            <w:pPr>
              <w:pStyle w:val="TableText"/>
              <w:jc w:val="center"/>
              <w:rPr>
                <w:b/>
                <w:szCs w:val="20"/>
              </w:rPr>
            </w:pPr>
          </w:p>
        </w:tc>
        <w:tc>
          <w:tcPr>
            <w:tcW w:w="970" w:type="dxa"/>
          </w:tcPr>
          <w:p w14:paraId="1CF8CE0A" w14:textId="77777777" w:rsidR="006304EB" w:rsidRPr="006A7FD3" w:rsidRDefault="006304EB" w:rsidP="00A95965">
            <w:pPr>
              <w:pStyle w:val="TableText"/>
              <w:jc w:val="center"/>
              <w:rPr>
                <w:b/>
                <w:szCs w:val="20"/>
              </w:rPr>
            </w:pPr>
          </w:p>
        </w:tc>
        <w:tc>
          <w:tcPr>
            <w:tcW w:w="970" w:type="dxa"/>
          </w:tcPr>
          <w:p w14:paraId="10052031" w14:textId="77777777" w:rsidR="006304EB" w:rsidRPr="006A7FD3" w:rsidRDefault="006304EB" w:rsidP="00A95965">
            <w:pPr>
              <w:pStyle w:val="TableText"/>
              <w:jc w:val="center"/>
              <w:rPr>
                <w:b/>
                <w:szCs w:val="20"/>
              </w:rPr>
            </w:pPr>
          </w:p>
        </w:tc>
        <w:tc>
          <w:tcPr>
            <w:tcW w:w="1959" w:type="dxa"/>
            <w:gridSpan w:val="2"/>
          </w:tcPr>
          <w:p w14:paraId="2FB0A103" w14:textId="77777777" w:rsidR="006304EB" w:rsidRDefault="006304EB" w:rsidP="00A95965">
            <w:pPr>
              <w:pStyle w:val="TableText"/>
              <w:rPr>
                <w:szCs w:val="20"/>
              </w:rPr>
            </w:pPr>
          </w:p>
        </w:tc>
        <w:tc>
          <w:tcPr>
            <w:tcW w:w="1760" w:type="dxa"/>
          </w:tcPr>
          <w:p w14:paraId="261DC62F" w14:textId="77777777" w:rsidR="006304EB" w:rsidRDefault="006304EB" w:rsidP="00A95965">
            <w:pPr>
              <w:pStyle w:val="TableText"/>
              <w:rPr>
                <w:szCs w:val="20"/>
              </w:rPr>
            </w:pPr>
          </w:p>
        </w:tc>
      </w:tr>
      <w:tr w:rsidR="006304EB" w14:paraId="735C6AE2" w14:textId="77777777">
        <w:trPr>
          <w:cantSplit/>
          <w:trHeight w:val="432"/>
        </w:trPr>
        <w:tc>
          <w:tcPr>
            <w:tcW w:w="3421" w:type="dxa"/>
            <w:gridSpan w:val="2"/>
            <w:noWrap/>
          </w:tcPr>
          <w:p w14:paraId="061E2036" w14:textId="77777777" w:rsidR="006304EB" w:rsidRDefault="006304EB" w:rsidP="00A95965">
            <w:pPr>
              <w:pStyle w:val="TableText"/>
              <w:rPr>
                <w:szCs w:val="20"/>
              </w:rPr>
            </w:pPr>
          </w:p>
        </w:tc>
        <w:tc>
          <w:tcPr>
            <w:tcW w:w="969" w:type="dxa"/>
          </w:tcPr>
          <w:p w14:paraId="4CC6731C" w14:textId="77777777" w:rsidR="006304EB" w:rsidRDefault="006304EB" w:rsidP="00A95965">
            <w:pPr>
              <w:pStyle w:val="TableText"/>
              <w:rPr>
                <w:szCs w:val="20"/>
              </w:rPr>
            </w:pPr>
          </w:p>
        </w:tc>
        <w:tc>
          <w:tcPr>
            <w:tcW w:w="970" w:type="dxa"/>
          </w:tcPr>
          <w:p w14:paraId="743ADB8D" w14:textId="77777777" w:rsidR="006304EB" w:rsidRDefault="006304EB" w:rsidP="00A95965">
            <w:pPr>
              <w:pStyle w:val="TableText"/>
              <w:rPr>
                <w:szCs w:val="20"/>
              </w:rPr>
            </w:pPr>
          </w:p>
        </w:tc>
        <w:tc>
          <w:tcPr>
            <w:tcW w:w="970" w:type="dxa"/>
          </w:tcPr>
          <w:p w14:paraId="11059D06" w14:textId="77777777" w:rsidR="006304EB" w:rsidRDefault="006304EB" w:rsidP="00A95965">
            <w:pPr>
              <w:pStyle w:val="TableText"/>
              <w:rPr>
                <w:szCs w:val="20"/>
              </w:rPr>
            </w:pPr>
          </w:p>
        </w:tc>
        <w:tc>
          <w:tcPr>
            <w:tcW w:w="971" w:type="dxa"/>
          </w:tcPr>
          <w:p w14:paraId="1F6598C4" w14:textId="77777777" w:rsidR="006304EB" w:rsidRPr="006A7FD3" w:rsidRDefault="006304EB" w:rsidP="00A95965">
            <w:pPr>
              <w:pStyle w:val="TableText"/>
              <w:jc w:val="center"/>
              <w:rPr>
                <w:b/>
                <w:szCs w:val="20"/>
              </w:rPr>
            </w:pPr>
          </w:p>
        </w:tc>
        <w:tc>
          <w:tcPr>
            <w:tcW w:w="970" w:type="dxa"/>
          </w:tcPr>
          <w:p w14:paraId="17A269C7" w14:textId="77777777" w:rsidR="006304EB" w:rsidRPr="006A7FD3" w:rsidRDefault="006304EB" w:rsidP="00A95965">
            <w:pPr>
              <w:pStyle w:val="TableText"/>
              <w:jc w:val="center"/>
              <w:rPr>
                <w:b/>
                <w:szCs w:val="20"/>
              </w:rPr>
            </w:pPr>
          </w:p>
        </w:tc>
        <w:tc>
          <w:tcPr>
            <w:tcW w:w="970" w:type="dxa"/>
          </w:tcPr>
          <w:p w14:paraId="4CC0B136" w14:textId="77777777" w:rsidR="006304EB" w:rsidRPr="006A7FD3" w:rsidRDefault="006304EB" w:rsidP="00A95965">
            <w:pPr>
              <w:pStyle w:val="TableText"/>
              <w:jc w:val="center"/>
              <w:rPr>
                <w:b/>
                <w:szCs w:val="20"/>
              </w:rPr>
            </w:pPr>
          </w:p>
        </w:tc>
        <w:tc>
          <w:tcPr>
            <w:tcW w:w="1959" w:type="dxa"/>
            <w:gridSpan w:val="2"/>
          </w:tcPr>
          <w:p w14:paraId="175B4E1E" w14:textId="77777777" w:rsidR="006304EB" w:rsidRDefault="006304EB" w:rsidP="00A95965">
            <w:pPr>
              <w:pStyle w:val="TableText"/>
              <w:rPr>
                <w:szCs w:val="20"/>
              </w:rPr>
            </w:pPr>
          </w:p>
        </w:tc>
        <w:tc>
          <w:tcPr>
            <w:tcW w:w="1760" w:type="dxa"/>
          </w:tcPr>
          <w:p w14:paraId="24D0A526" w14:textId="77777777" w:rsidR="006304EB" w:rsidRDefault="006304EB" w:rsidP="00A95965">
            <w:pPr>
              <w:pStyle w:val="TableText"/>
              <w:rPr>
                <w:szCs w:val="20"/>
              </w:rPr>
            </w:pPr>
          </w:p>
        </w:tc>
      </w:tr>
    </w:tbl>
    <w:p w14:paraId="3B7D5644" w14:textId="77777777" w:rsidR="004A6408" w:rsidRDefault="004A6408" w:rsidP="00DD75E5">
      <w:pPr>
        <w:pStyle w:val="BodyText"/>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2044"/>
        <w:gridCol w:w="2044"/>
        <w:gridCol w:w="1973"/>
        <w:gridCol w:w="2432"/>
        <w:gridCol w:w="2091"/>
      </w:tblGrid>
      <w:tr w:rsidR="00902D46" w:rsidRPr="00887834" w14:paraId="42B832A3" w14:textId="77777777">
        <w:trPr>
          <w:tblHeader/>
        </w:trPr>
        <w:tc>
          <w:tcPr>
            <w:tcW w:w="12960" w:type="dxa"/>
            <w:gridSpan w:val="6"/>
            <w:shd w:val="clear" w:color="auto" w:fill="B3B3B3"/>
          </w:tcPr>
          <w:p w14:paraId="52633369" w14:textId="77777777" w:rsidR="00902D46" w:rsidRPr="00887834" w:rsidRDefault="00902D46" w:rsidP="00FC4396">
            <w:pPr>
              <w:pStyle w:val="TableText"/>
              <w:rPr>
                <w:b/>
              </w:rPr>
            </w:pPr>
            <w:r w:rsidRPr="00887834">
              <w:rPr>
                <w:b/>
              </w:rPr>
              <w:lastRenderedPageBreak/>
              <w:t>Direct Antiglobulin Test</w:t>
            </w:r>
          </w:p>
        </w:tc>
      </w:tr>
      <w:tr w:rsidR="00887834" w:rsidRPr="00887834" w14:paraId="3AAE88DB" w14:textId="77777777">
        <w:trPr>
          <w:tblHeader/>
        </w:trPr>
        <w:tc>
          <w:tcPr>
            <w:tcW w:w="2376" w:type="dxa"/>
            <w:shd w:val="clear" w:color="auto" w:fill="B3B3B3"/>
          </w:tcPr>
          <w:p w14:paraId="2F7B7BD8" w14:textId="77777777" w:rsidR="008B5CC4" w:rsidRPr="00887834" w:rsidRDefault="008B5CC4" w:rsidP="00FC4396">
            <w:pPr>
              <w:pStyle w:val="TableText"/>
              <w:rPr>
                <w:b/>
              </w:rPr>
            </w:pPr>
            <w:r w:rsidRPr="00887834">
              <w:rPr>
                <w:b/>
              </w:rPr>
              <w:t>Reagent</w:t>
            </w:r>
            <w:r w:rsidR="00CB127B" w:rsidRPr="00887834">
              <w:rPr>
                <w:b/>
              </w:rPr>
              <w:t xml:space="preserve"> Antiserum</w:t>
            </w:r>
          </w:p>
        </w:tc>
        <w:tc>
          <w:tcPr>
            <w:tcW w:w="2044" w:type="dxa"/>
            <w:shd w:val="clear" w:color="auto" w:fill="B3B3B3"/>
          </w:tcPr>
          <w:p w14:paraId="2F4AE523" w14:textId="77777777" w:rsidR="008B5CC4" w:rsidRPr="00887834" w:rsidRDefault="008B5CC4" w:rsidP="00FC4396">
            <w:pPr>
              <w:pStyle w:val="TableText"/>
              <w:rPr>
                <w:b/>
              </w:rPr>
            </w:pPr>
            <w:r w:rsidRPr="00887834">
              <w:rPr>
                <w:b/>
                <w:szCs w:val="20"/>
              </w:rPr>
              <w:t>Lot Number</w:t>
            </w:r>
          </w:p>
        </w:tc>
        <w:tc>
          <w:tcPr>
            <w:tcW w:w="2044" w:type="dxa"/>
            <w:shd w:val="clear" w:color="auto" w:fill="B3B3B3"/>
          </w:tcPr>
          <w:p w14:paraId="6745371F" w14:textId="77777777" w:rsidR="008B5CC4" w:rsidRPr="00887834" w:rsidRDefault="008B5CC4" w:rsidP="00FC4396">
            <w:pPr>
              <w:pStyle w:val="TableText"/>
              <w:rPr>
                <w:b/>
              </w:rPr>
            </w:pPr>
            <w:r w:rsidRPr="00887834">
              <w:rPr>
                <w:b/>
                <w:szCs w:val="20"/>
              </w:rPr>
              <w:t>AHG</w:t>
            </w:r>
          </w:p>
        </w:tc>
        <w:tc>
          <w:tcPr>
            <w:tcW w:w="1973" w:type="dxa"/>
            <w:shd w:val="clear" w:color="auto" w:fill="B3B3B3"/>
          </w:tcPr>
          <w:p w14:paraId="65607E12" w14:textId="77777777" w:rsidR="008B5CC4" w:rsidRPr="00887834" w:rsidRDefault="008B5CC4" w:rsidP="00FC4396">
            <w:pPr>
              <w:pStyle w:val="TableText"/>
              <w:rPr>
                <w:b/>
              </w:rPr>
            </w:pPr>
            <w:r w:rsidRPr="00887834">
              <w:rPr>
                <w:b/>
                <w:szCs w:val="20"/>
              </w:rPr>
              <w:t>CC</w:t>
            </w:r>
          </w:p>
        </w:tc>
        <w:tc>
          <w:tcPr>
            <w:tcW w:w="2432" w:type="dxa"/>
            <w:shd w:val="clear" w:color="auto" w:fill="B3B3B3"/>
          </w:tcPr>
          <w:p w14:paraId="41D16243" w14:textId="77777777" w:rsidR="008B5CC4" w:rsidRPr="00887834" w:rsidRDefault="008B5CC4" w:rsidP="00FC4396">
            <w:pPr>
              <w:pStyle w:val="TableText"/>
              <w:rPr>
                <w:b/>
              </w:rPr>
            </w:pPr>
            <w:r w:rsidRPr="00887834">
              <w:rPr>
                <w:b/>
                <w:szCs w:val="20"/>
              </w:rPr>
              <w:t>Interpretation</w:t>
            </w:r>
          </w:p>
        </w:tc>
        <w:tc>
          <w:tcPr>
            <w:tcW w:w="2091" w:type="dxa"/>
            <w:shd w:val="clear" w:color="auto" w:fill="B3B3B3"/>
          </w:tcPr>
          <w:p w14:paraId="18B3897F" w14:textId="77777777" w:rsidR="008B5CC4" w:rsidRPr="00887834" w:rsidRDefault="008B5CC4" w:rsidP="00FC4396">
            <w:pPr>
              <w:pStyle w:val="TableText"/>
              <w:rPr>
                <w:b/>
              </w:rPr>
            </w:pPr>
            <w:r w:rsidRPr="00887834">
              <w:rPr>
                <w:b/>
                <w:szCs w:val="20"/>
              </w:rPr>
              <w:t>Tech Name</w:t>
            </w:r>
          </w:p>
        </w:tc>
      </w:tr>
      <w:tr w:rsidR="00887834" w14:paraId="382D7AD4" w14:textId="77777777">
        <w:trPr>
          <w:trHeight w:val="432"/>
        </w:trPr>
        <w:tc>
          <w:tcPr>
            <w:tcW w:w="2376" w:type="dxa"/>
          </w:tcPr>
          <w:p w14:paraId="54C50A7B" w14:textId="77777777" w:rsidR="008B5CC4" w:rsidRPr="00887834" w:rsidRDefault="008B5CC4" w:rsidP="00902D46">
            <w:pPr>
              <w:pStyle w:val="TableText"/>
              <w:rPr>
                <w:b/>
              </w:rPr>
            </w:pPr>
            <w:r w:rsidRPr="00887834">
              <w:rPr>
                <w:b/>
              </w:rPr>
              <w:t>Polyspecific</w:t>
            </w:r>
          </w:p>
        </w:tc>
        <w:tc>
          <w:tcPr>
            <w:tcW w:w="2044" w:type="dxa"/>
          </w:tcPr>
          <w:p w14:paraId="262FF11E" w14:textId="77777777" w:rsidR="008B5CC4" w:rsidRDefault="008B5CC4" w:rsidP="00571D70">
            <w:pPr>
              <w:pStyle w:val="TableText"/>
            </w:pPr>
          </w:p>
        </w:tc>
        <w:tc>
          <w:tcPr>
            <w:tcW w:w="2044" w:type="dxa"/>
          </w:tcPr>
          <w:p w14:paraId="1841DCF9" w14:textId="77777777" w:rsidR="008B5CC4" w:rsidRDefault="008B5CC4" w:rsidP="00902D46">
            <w:pPr>
              <w:pStyle w:val="TableText"/>
            </w:pPr>
          </w:p>
        </w:tc>
        <w:tc>
          <w:tcPr>
            <w:tcW w:w="1973" w:type="dxa"/>
          </w:tcPr>
          <w:p w14:paraId="31C70477" w14:textId="77777777" w:rsidR="008B5CC4" w:rsidRDefault="008B5CC4" w:rsidP="00902D46">
            <w:pPr>
              <w:pStyle w:val="TableText"/>
            </w:pPr>
          </w:p>
        </w:tc>
        <w:tc>
          <w:tcPr>
            <w:tcW w:w="2432" w:type="dxa"/>
          </w:tcPr>
          <w:p w14:paraId="3B031210" w14:textId="77777777" w:rsidR="008B5CC4" w:rsidRDefault="008B5CC4" w:rsidP="00902D46">
            <w:pPr>
              <w:pStyle w:val="TableText"/>
            </w:pPr>
          </w:p>
        </w:tc>
        <w:tc>
          <w:tcPr>
            <w:tcW w:w="2091" w:type="dxa"/>
          </w:tcPr>
          <w:p w14:paraId="7FD8B890" w14:textId="77777777" w:rsidR="008B5CC4" w:rsidRDefault="008B5CC4" w:rsidP="00902D46">
            <w:pPr>
              <w:pStyle w:val="TableText"/>
            </w:pPr>
          </w:p>
        </w:tc>
      </w:tr>
      <w:tr w:rsidR="00887834" w14:paraId="570534BA" w14:textId="77777777">
        <w:trPr>
          <w:trHeight w:val="432"/>
        </w:trPr>
        <w:tc>
          <w:tcPr>
            <w:tcW w:w="2376" w:type="dxa"/>
          </w:tcPr>
          <w:p w14:paraId="43CDDD13" w14:textId="77777777" w:rsidR="008B5CC4" w:rsidRPr="00887834" w:rsidRDefault="008B5CC4" w:rsidP="00902D46">
            <w:pPr>
              <w:pStyle w:val="TableText"/>
              <w:rPr>
                <w:b/>
              </w:rPr>
            </w:pPr>
            <w:r w:rsidRPr="00887834">
              <w:rPr>
                <w:b/>
              </w:rPr>
              <w:t>Anti-IgG</w:t>
            </w:r>
          </w:p>
        </w:tc>
        <w:tc>
          <w:tcPr>
            <w:tcW w:w="2044" w:type="dxa"/>
          </w:tcPr>
          <w:p w14:paraId="4BA6F55F" w14:textId="77777777" w:rsidR="008B5CC4" w:rsidRDefault="008B5CC4" w:rsidP="00571D70">
            <w:pPr>
              <w:pStyle w:val="TableText"/>
            </w:pPr>
          </w:p>
        </w:tc>
        <w:tc>
          <w:tcPr>
            <w:tcW w:w="2044" w:type="dxa"/>
          </w:tcPr>
          <w:p w14:paraId="5F2024B0" w14:textId="77777777" w:rsidR="008B5CC4" w:rsidRDefault="008B5CC4" w:rsidP="00902D46">
            <w:pPr>
              <w:pStyle w:val="TableText"/>
            </w:pPr>
          </w:p>
        </w:tc>
        <w:tc>
          <w:tcPr>
            <w:tcW w:w="1973" w:type="dxa"/>
          </w:tcPr>
          <w:p w14:paraId="6F2C5258" w14:textId="77777777" w:rsidR="008B5CC4" w:rsidRDefault="008B5CC4" w:rsidP="00902D46">
            <w:pPr>
              <w:pStyle w:val="TableText"/>
            </w:pPr>
          </w:p>
        </w:tc>
        <w:tc>
          <w:tcPr>
            <w:tcW w:w="2432" w:type="dxa"/>
          </w:tcPr>
          <w:p w14:paraId="125FF514" w14:textId="77777777" w:rsidR="008B5CC4" w:rsidRDefault="008B5CC4" w:rsidP="00902D46">
            <w:pPr>
              <w:pStyle w:val="TableText"/>
            </w:pPr>
          </w:p>
        </w:tc>
        <w:tc>
          <w:tcPr>
            <w:tcW w:w="2091" w:type="dxa"/>
          </w:tcPr>
          <w:p w14:paraId="0649C487" w14:textId="77777777" w:rsidR="008B5CC4" w:rsidRDefault="008B5CC4" w:rsidP="00902D46">
            <w:pPr>
              <w:pStyle w:val="TableText"/>
            </w:pPr>
          </w:p>
        </w:tc>
      </w:tr>
      <w:tr w:rsidR="00887834" w14:paraId="65B081D5" w14:textId="77777777">
        <w:trPr>
          <w:trHeight w:val="432"/>
        </w:trPr>
        <w:tc>
          <w:tcPr>
            <w:tcW w:w="2376" w:type="dxa"/>
          </w:tcPr>
          <w:p w14:paraId="7DC49A8F" w14:textId="77777777" w:rsidR="008B5CC4" w:rsidRPr="00887834" w:rsidRDefault="008B5CC4" w:rsidP="00902D46">
            <w:pPr>
              <w:pStyle w:val="TableText"/>
              <w:rPr>
                <w:b/>
              </w:rPr>
            </w:pPr>
            <w:r w:rsidRPr="00887834">
              <w:rPr>
                <w:b/>
              </w:rPr>
              <w:t>Anti-C3d</w:t>
            </w:r>
          </w:p>
        </w:tc>
        <w:tc>
          <w:tcPr>
            <w:tcW w:w="2044" w:type="dxa"/>
          </w:tcPr>
          <w:p w14:paraId="7A6A5BBA" w14:textId="77777777" w:rsidR="008B5CC4" w:rsidRDefault="008B5CC4" w:rsidP="00571D70">
            <w:pPr>
              <w:pStyle w:val="TableText"/>
            </w:pPr>
          </w:p>
        </w:tc>
        <w:tc>
          <w:tcPr>
            <w:tcW w:w="2044" w:type="dxa"/>
          </w:tcPr>
          <w:p w14:paraId="5D4DF178" w14:textId="77777777" w:rsidR="008B5CC4" w:rsidRDefault="008B5CC4" w:rsidP="00902D46">
            <w:pPr>
              <w:pStyle w:val="TableText"/>
            </w:pPr>
          </w:p>
        </w:tc>
        <w:tc>
          <w:tcPr>
            <w:tcW w:w="1973" w:type="dxa"/>
          </w:tcPr>
          <w:p w14:paraId="12356F06" w14:textId="77777777" w:rsidR="008B5CC4" w:rsidRDefault="008B5CC4" w:rsidP="00902D46">
            <w:pPr>
              <w:pStyle w:val="TableText"/>
            </w:pPr>
          </w:p>
        </w:tc>
        <w:tc>
          <w:tcPr>
            <w:tcW w:w="2432" w:type="dxa"/>
          </w:tcPr>
          <w:p w14:paraId="26F0F845" w14:textId="77777777" w:rsidR="008B5CC4" w:rsidRDefault="008B5CC4" w:rsidP="00902D46">
            <w:pPr>
              <w:pStyle w:val="TableText"/>
            </w:pPr>
          </w:p>
        </w:tc>
        <w:tc>
          <w:tcPr>
            <w:tcW w:w="2091" w:type="dxa"/>
          </w:tcPr>
          <w:p w14:paraId="057146A9" w14:textId="77777777" w:rsidR="008B5CC4" w:rsidRDefault="008B5CC4" w:rsidP="00902D46">
            <w:pPr>
              <w:pStyle w:val="TableText"/>
            </w:pPr>
          </w:p>
        </w:tc>
      </w:tr>
    </w:tbl>
    <w:p w14:paraId="3F71AA4F" w14:textId="77777777" w:rsidR="00902D46" w:rsidRDefault="00902D46" w:rsidP="00902D46">
      <w:pPr>
        <w:rPr>
          <w:rFonts w:ascii="Arial" w:hAnsi="Arial" w:cs="Arial"/>
          <w:sz w:val="18"/>
          <w:szCs w:val="18"/>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8"/>
        <w:gridCol w:w="1099"/>
        <w:gridCol w:w="1099"/>
        <w:gridCol w:w="1100"/>
        <w:gridCol w:w="1100"/>
        <w:gridCol w:w="1100"/>
        <w:gridCol w:w="1100"/>
        <w:gridCol w:w="1100"/>
        <w:gridCol w:w="1410"/>
        <w:gridCol w:w="1434"/>
      </w:tblGrid>
      <w:tr w:rsidR="00C54677" w:rsidRPr="00887834" w14:paraId="304CEF09" w14:textId="77777777">
        <w:trPr>
          <w:tblHeader/>
        </w:trPr>
        <w:tc>
          <w:tcPr>
            <w:tcW w:w="12960" w:type="dxa"/>
            <w:gridSpan w:val="10"/>
            <w:shd w:val="clear" w:color="auto" w:fill="B3B3B3"/>
          </w:tcPr>
          <w:p w14:paraId="069F820D" w14:textId="77777777" w:rsidR="00C54677" w:rsidRPr="00887834" w:rsidRDefault="00C54677" w:rsidP="00FC4396">
            <w:pPr>
              <w:pStyle w:val="TableText"/>
              <w:rPr>
                <w:b/>
              </w:rPr>
            </w:pPr>
            <w:r w:rsidRPr="00887834">
              <w:rPr>
                <w:b/>
              </w:rPr>
              <w:t>Direct Antiglobulin QC</w:t>
            </w:r>
          </w:p>
        </w:tc>
      </w:tr>
      <w:tr w:rsidR="00887834" w:rsidRPr="00887834" w14:paraId="6A0C388A" w14:textId="77777777">
        <w:trPr>
          <w:tblHeader/>
        </w:trPr>
        <w:tc>
          <w:tcPr>
            <w:tcW w:w="2418" w:type="dxa"/>
            <w:shd w:val="clear" w:color="auto" w:fill="B3B3B3"/>
          </w:tcPr>
          <w:p w14:paraId="127AFC99" w14:textId="77777777" w:rsidR="007375B1" w:rsidRPr="00887834" w:rsidRDefault="007375B1" w:rsidP="00FC4396">
            <w:pPr>
              <w:pStyle w:val="TableText"/>
              <w:rPr>
                <w:b/>
              </w:rPr>
            </w:pPr>
            <w:r w:rsidRPr="00887834">
              <w:rPr>
                <w:b/>
              </w:rPr>
              <w:t>Reagent Antiserum</w:t>
            </w:r>
          </w:p>
        </w:tc>
        <w:tc>
          <w:tcPr>
            <w:tcW w:w="1099" w:type="dxa"/>
            <w:shd w:val="clear" w:color="auto" w:fill="B3B3B3"/>
          </w:tcPr>
          <w:p w14:paraId="13392245" w14:textId="77777777" w:rsidR="007375B1" w:rsidRPr="00887834" w:rsidRDefault="007375B1" w:rsidP="00FC4396">
            <w:pPr>
              <w:pStyle w:val="TableText"/>
              <w:rPr>
                <w:b/>
              </w:rPr>
            </w:pPr>
            <w:r w:rsidRPr="00887834">
              <w:rPr>
                <w:b/>
                <w:szCs w:val="20"/>
              </w:rPr>
              <w:t>Lot Number</w:t>
            </w:r>
          </w:p>
        </w:tc>
        <w:tc>
          <w:tcPr>
            <w:tcW w:w="1099" w:type="dxa"/>
            <w:shd w:val="clear" w:color="auto" w:fill="B3B3B3"/>
          </w:tcPr>
          <w:p w14:paraId="11E47CBF" w14:textId="77777777" w:rsidR="007375B1" w:rsidRPr="00887834" w:rsidRDefault="007375B1" w:rsidP="00FC4396">
            <w:pPr>
              <w:pStyle w:val="TableText"/>
              <w:rPr>
                <w:b/>
                <w:szCs w:val="20"/>
              </w:rPr>
            </w:pPr>
            <w:r w:rsidRPr="00887834">
              <w:rPr>
                <w:b/>
                <w:szCs w:val="20"/>
              </w:rPr>
              <w:t>Expiration Date</w:t>
            </w:r>
          </w:p>
        </w:tc>
        <w:tc>
          <w:tcPr>
            <w:tcW w:w="1100" w:type="dxa"/>
            <w:shd w:val="clear" w:color="auto" w:fill="B3B3B3"/>
          </w:tcPr>
          <w:p w14:paraId="05927066" w14:textId="77777777" w:rsidR="007375B1" w:rsidRPr="00887834" w:rsidRDefault="007375B1" w:rsidP="00FC4396">
            <w:pPr>
              <w:pStyle w:val="TableText"/>
              <w:rPr>
                <w:b/>
                <w:szCs w:val="20"/>
              </w:rPr>
            </w:pPr>
            <w:r w:rsidRPr="00887834">
              <w:rPr>
                <w:b/>
                <w:szCs w:val="20"/>
              </w:rPr>
              <w:t>Reagent Red Cells</w:t>
            </w:r>
          </w:p>
        </w:tc>
        <w:tc>
          <w:tcPr>
            <w:tcW w:w="1100" w:type="dxa"/>
            <w:shd w:val="clear" w:color="auto" w:fill="B3B3B3"/>
          </w:tcPr>
          <w:p w14:paraId="5DEEB7B1" w14:textId="77777777" w:rsidR="007375B1" w:rsidRPr="00887834" w:rsidRDefault="007375B1" w:rsidP="00FC4396">
            <w:pPr>
              <w:pStyle w:val="TableText"/>
              <w:rPr>
                <w:b/>
                <w:szCs w:val="20"/>
              </w:rPr>
            </w:pPr>
            <w:r w:rsidRPr="00887834">
              <w:rPr>
                <w:b/>
                <w:szCs w:val="20"/>
              </w:rPr>
              <w:t>Lot Number</w:t>
            </w:r>
          </w:p>
        </w:tc>
        <w:tc>
          <w:tcPr>
            <w:tcW w:w="1100" w:type="dxa"/>
            <w:shd w:val="clear" w:color="auto" w:fill="B3B3B3"/>
          </w:tcPr>
          <w:p w14:paraId="2A09FBCF" w14:textId="77777777" w:rsidR="007375B1" w:rsidRPr="00887834" w:rsidRDefault="007375B1" w:rsidP="00FC4396">
            <w:pPr>
              <w:pStyle w:val="TableText"/>
              <w:rPr>
                <w:b/>
                <w:szCs w:val="20"/>
              </w:rPr>
            </w:pPr>
            <w:r w:rsidRPr="00887834">
              <w:rPr>
                <w:b/>
                <w:szCs w:val="20"/>
              </w:rPr>
              <w:t>Expiration Date</w:t>
            </w:r>
          </w:p>
        </w:tc>
        <w:tc>
          <w:tcPr>
            <w:tcW w:w="1100" w:type="dxa"/>
            <w:shd w:val="clear" w:color="auto" w:fill="B3B3B3"/>
          </w:tcPr>
          <w:p w14:paraId="5C0E0D5D" w14:textId="77777777" w:rsidR="007375B1" w:rsidRPr="00887834" w:rsidRDefault="007375B1" w:rsidP="00FC4396">
            <w:pPr>
              <w:pStyle w:val="TableText"/>
              <w:rPr>
                <w:b/>
              </w:rPr>
            </w:pPr>
            <w:r w:rsidRPr="00887834">
              <w:rPr>
                <w:b/>
                <w:szCs w:val="20"/>
              </w:rPr>
              <w:t>AHG</w:t>
            </w:r>
          </w:p>
        </w:tc>
        <w:tc>
          <w:tcPr>
            <w:tcW w:w="1100" w:type="dxa"/>
            <w:shd w:val="clear" w:color="auto" w:fill="B3B3B3"/>
          </w:tcPr>
          <w:p w14:paraId="22238879" w14:textId="77777777" w:rsidR="007375B1" w:rsidRPr="00887834" w:rsidRDefault="007375B1" w:rsidP="00FC4396">
            <w:pPr>
              <w:pStyle w:val="TableText"/>
              <w:rPr>
                <w:b/>
              </w:rPr>
            </w:pPr>
            <w:r w:rsidRPr="00887834">
              <w:rPr>
                <w:b/>
                <w:szCs w:val="20"/>
              </w:rPr>
              <w:t>CC</w:t>
            </w:r>
          </w:p>
        </w:tc>
        <w:tc>
          <w:tcPr>
            <w:tcW w:w="1410" w:type="dxa"/>
            <w:shd w:val="clear" w:color="auto" w:fill="B3B3B3"/>
          </w:tcPr>
          <w:p w14:paraId="48373BB6" w14:textId="77777777" w:rsidR="007375B1" w:rsidRPr="00887834" w:rsidRDefault="007375B1" w:rsidP="00FC4396">
            <w:pPr>
              <w:pStyle w:val="TableText"/>
              <w:rPr>
                <w:b/>
              </w:rPr>
            </w:pPr>
            <w:r w:rsidRPr="00887834">
              <w:rPr>
                <w:b/>
                <w:szCs w:val="20"/>
              </w:rPr>
              <w:t>Interpretation</w:t>
            </w:r>
          </w:p>
        </w:tc>
        <w:tc>
          <w:tcPr>
            <w:tcW w:w="1434" w:type="dxa"/>
            <w:shd w:val="clear" w:color="auto" w:fill="B3B3B3"/>
          </w:tcPr>
          <w:p w14:paraId="09FA7FF9" w14:textId="77777777" w:rsidR="007375B1" w:rsidRPr="00887834" w:rsidRDefault="007375B1" w:rsidP="00FC4396">
            <w:pPr>
              <w:pStyle w:val="TableText"/>
              <w:rPr>
                <w:b/>
              </w:rPr>
            </w:pPr>
            <w:r w:rsidRPr="00887834">
              <w:rPr>
                <w:b/>
                <w:szCs w:val="20"/>
              </w:rPr>
              <w:t>Tech Name</w:t>
            </w:r>
          </w:p>
        </w:tc>
      </w:tr>
      <w:tr w:rsidR="00887834" w14:paraId="39F05340" w14:textId="77777777">
        <w:trPr>
          <w:trHeight w:val="432"/>
        </w:trPr>
        <w:tc>
          <w:tcPr>
            <w:tcW w:w="2418" w:type="dxa"/>
          </w:tcPr>
          <w:p w14:paraId="71E1F21A" w14:textId="77777777" w:rsidR="007375B1" w:rsidRPr="00887834" w:rsidRDefault="007375B1" w:rsidP="00DF12C8">
            <w:pPr>
              <w:pStyle w:val="TableText"/>
              <w:rPr>
                <w:b/>
              </w:rPr>
            </w:pPr>
            <w:r w:rsidRPr="00887834">
              <w:rPr>
                <w:b/>
              </w:rPr>
              <w:t>Polyspecific</w:t>
            </w:r>
          </w:p>
        </w:tc>
        <w:tc>
          <w:tcPr>
            <w:tcW w:w="1099" w:type="dxa"/>
          </w:tcPr>
          <w:p w14:paraId="0411C5D6" w14:textId="77777777" w:rsidR="007375B1" w:rsidRDefault="007375B1" w:rsidP="00DF12C8">
            <w:pPr>
              <w:pStyle w:val="TableText"/>
            </w:pPr>
          </w:p>
        </w:tc>
        <w:tc>
          <w:tcPr>
            <w:tcW w:w="1099" w:type="dxa"/>
          </w:tcPr>
          <w:p w14:paraId="38DF55EB" w14:textId="77777777" w:rsidR="007375B1" w:rsidRDefault="007375B1" w:rsidP="00DF12C8">
            <w:pPr>
              <w:pStyle w:val="TableText"/>
            </w:pPr>
          </w:p>
        </w:tc>
        <w:tc>
          <w:tcPr>
            <w:tcW w:w="1100" w:type="dxa"/>
          </w:tcPr>
          <w:p w14:paraId="6AEFF488" w14:textId="77777777" w:rsidR="007375B1" w:rsidRDefault="007375B1" w:rsidP="00DF12C8">
            <w:pPr>
              <w:pStyle w:val="TableText"/>
            </w:pPr>
          </w:p>
        </w:tc>
        <w:tc>
          <w:tcPr>
            <w:tcW w:w="1100" w:type="dxa"/>
          </w:tcPr>
          <w:p w14:paraId="1284EF48" w14:textId="77777777" w:rsidR="007375B1" w:rsidRDefault="007375B1" w:rsidP="00DF12C8">
            <w:pPr>
              <w:pStyle w:val="TableText"/>
            </w:pPr>
          </w:p>
        </w:tc>
        <w:tc>
          <w:tcPr>
            <w:tcW w:w="1100" w:type="dxa"/>
          </w:tcPr>
          <w:p w14:paraId="10DC69F6" w14:textId="77777777" w:rsidR="007375B1" w:rsidRDefault="007375B1" w:rsidP="00DF12C8">
            <w:pPr>
              <w:pStyle w:val="TableText"/>
            </w:pPr>
          </w:p>
        </w:tc>
        <w:tc>
          <w:tcPr>
            <w:tcW w:w="1100" w:type="dxa"/>
          </w:tcPr>
          <w:p w14:paraId="72D9BCCF" w14:textId="77777777" w:rsidR="007375B1" w:rsidRDefault="007375B1" w:rsidP="00DF12C8">
            <w:pPr>
              <w:pStyle w:val="TableText"/>
            </w:pPr>
          </w:p>
        </w:tc>
        <w:tc>
          <w:tcPr>
            <w:tcW w:w="1100" w:type="dxa"/>
          </w:tcPr>
          <w:p w14:paraId="262D451D" w14:textId="77777777" w:rsidR="007375B1" w:rsidRDefault="007375B1" w:rsidP="00DF12C8">
            <w:pPr>
              <w:pStyle w:val="TableText"/>
            </w:pPr>
          </w:p>
        </w:tc>
        <w:tc>
          <w:tcPr>
            <w:tcW w:w="1410" w:type="dxa"/>
          </w:tcPr>
          <w:p w14:paraId="31C14360" w14:textId="77777777" w:rsidR="007375B1" w:rsidRDefault="007375B1" w:rsidP="00DF12C8">
            <w:pPr>
              <w:pStyle w:val="TableText"/>
            </w:pPr>
          </w:p>
        </w:tc>
        <w:tc>
          <w:tcPr>
            <w:tcW w:w="1434" w:type="dxa"/>
          </w:tcPr>
          <w:p w14:paraId="5E428B8C" w14:textId="77777777" w:rsidR="007375B1" w:rsidRDefault="007375B1" w:rsidP="00DF12C8">
            <w:pPr>
              <w:pStyle w:val="TableText"/>
            </w:pPr>
          </w:p>
        </w:tc>
      </w:tr>
      <w:tr w:rsidR="00887834" w14:paraId="07769D52" w14:textId="77777777">
        <w:trPr>
          <w:trHeight w:val="432"/>
        </w:trPr>
        <w:tc>
          <w:tcPr>
            <w:tcW w:w="2418" w:type="dxa"/>
          </w:tcPr>
          <w:p w14:paraId="53B68C79" w14:textId="77777777" w:rsidR="007375B1" w:rsidRPr="00887834" w:rsidRDefault="007375B1" w:rsidP="00DF12C8">
            <w:pPr>
              <w:pStyle w:val="TableText"/>
              <w:rPr>
                <w:b/>
              </w:rPr>
            </w:pPr>
            <w:r w:rsidRPr="00887834">
              <w:rPr>
                <w:b/>
              </w:rPr>
              <w:t>Anti-IgG</w:t>
            </w:r>
          </w:p>
        </w:tc>
        <w:tc>
          <w:tcPr>
            <w:tcW w:w="1099" w:type="dxa"/>
          </w:tcPr>
          <w:p w14:paraId="1D37F013" w14:textId="77777777" w:rsidR="007375B1" w:rsidRDefault="007375B1" w:rsidP="00DF12C8">
            <w:pPr>
              <w:pStyle w:val="TableText"/>
            </w:pPr>
          </w:p>
        </w:tc>
        <w:tc>
          <w:tcPr>
            <w:tcW w:w="1099" w:type="dxa"/>
          </w:tcPr>
          <w:p w14:paraId="0601D4E2" w14:textId="77777777" w:rsidR="007375B1" w:rsidRDefault="007375B1" w:rsidP="00DF12C8">
            <w:pPr>
              <w:pStyle w:val="TableText"/>
            </w:pPr>
          </w:p>
        </w:tc>
        <w:tc>
          <w:tcPr>
            <w:tcW w:w="1100" w:type="dxa"/>
          </w:tcPr>
          <w:p w14:paraId="0F509CA0" w14:textId="77777777" w:rsidR="007375B1" w:rsidRDefault="007375B1" w:rsidP="00DF12C8">
            <w:pPr>
              <w:pStyle w:val="TableText"/>
            </w:pPr>
          </w:p>
        </w:tc>
        <w:tc>
          <w:tcPr>
            <w:tcW w:w="1100" w:type="dxa"/>
          </w:tcPr>
          <w:p w14:paraId="22955448" w14:textId="77777777" w:rsidR="007375B1" w:rsidRDefault="007375B1" w:rsidP="00DF12C8">
            <w:pPr>
              <w:pStyle w:val="TableText"/>
            </w:pPr>
          </w:p>
        </w:tc>
        <w:tc>
          <w:tcPr>
            <w:tcW w:w="1100" w:type="dxa"/>
          </w:tcPr>
          <w:p w14:paraId="55CF23CC" w14:textId="77777777" w:rsidR="007375B1" w:rsidRDefault="007375B1" w:rsidP="00DF12C8">
            <w:pPr>
              <w:pStyle w:val="TableText"/>
            </w:pPr>
          </w:p>
        </w:tc>
        <w:tc>
          <w:tcPr>
            <w:tcW w:w="1100" w:type="dxa"/>
          </w:tcPr>
          <w:p w14:paraId="069D3A8E" w14:textId="77777777" w:rsidR="007375B1" w:rsidRDefault="007375B1" w:rsidP="00DF12C8">
            <w:pPr>
              <w:pStyle w:val="TableText"/>
            </w:pPr>
          </w:p>
        </w:tc>
        <w:tc>
          <w:tcPr>
            <w:tcW w:w="1100" w:type="dxa"/>
          </w:tcPr>
          <w:p w14:paraId="58DC0D36" w14:textId="77777777" w:rsidR="007375B1" w:rsidRDefault="007375B1" w:rsidP="00DF12C8">
            <w:pPr>
              <w:pStyle w:val="TableText"/>
            </w:pPr>
          </w:p>
        </w:tc>
        <w:tc>
          <w:tcPr>
            <w:tcW w:w="1410" w:type="dxa"/>
          </w:tcPr>
          <w:p w14:paraId="0CF3B03B" w14:textId="77777777" w:rsidR="007375B1" w:rsidRDefault="007375B1" w:rsidP="00DF12C8">
            <w:pPr>
              <w:pStyle w:val="TableText"/>
            </w:pPr>
          </w:p>
        </w:tc>
        <w:tc>
          <w:tcPr>
            <w:tcW w:w="1434" w:type="dxa"/>
          </w:tcPr>
          <w:p w14:paraId="7BBC7237" w14:textId="77777777" w:rsidR="007375B1" w:rsidRDefault="007375B1" w:rsidP="00DF12C8">
            <w:pPr>
              <w:pStyle w:val="TableText"/>
            </w:pPr>
          </w:p>
        </w:tc>
      </w:tr>
      <w:tr w:rsidR="00887834" w14:paraId="7E125E34" w14:textId="77777777">
        <w:trPr>
          <w:trHeight w:val="432"/>
        </w:trPr>
        <w:tc>
          <w:tcPr>
            <w:tcW w:w="2418" w:type="dxa"/>
          </w:tcPr>
          <w:p w14:paraId="6C7E17A5" w14:textId="77777777" w:rsidR="007375B1" w:rsidRPr="00887834" w:rsidRDefault="007375B1" w:rsidP="00DF12C8">
            <w:pPr>
              <w:pStyle w:val="TableText"/>
              <w:rPr>
                <w:b/>
              </w:rPr>
            </w:pPr>
            <w:r w:rsidRPr="00887834">
              <w:rPr>
                <w:b/>
              </w:rPr>
              <w:t>Anti-C3d</w:t>
            </w:r>
          </w:p>
        </w:tc>
        <w:tc>
          <w:tcPr>
            <w:tcW w:w="1099" w:type="dxa"/>
          </w:tcPr>
          <w:p w14:paraId="3C5E125F" w14:textId="77777777" w:rsidR="007375B1" w:rsidRDefault="007375B1" w:rsidP="00DF12C8">
            <w:pPr>
              <w:pStyle w:val="TableText"/>
            </w:pPr>
          </w:p>
        </w:tc>
        <w:tc>
          <w:tcPr>
            <w:tcW w:w="1099" w:type="dxa"/>
          </w:tcPr>
          <w:p w14:paraId="7FF3A30B" w14:textId="77777777" w:rsidR="007375B1" w:rsidRDefault="007375B1" w:rsidP="00DF12C8">
            <w:pPr>
              <w:pStyle w:val="TableText"/>
            </w:pPr>
          </w:p>
        </w:tc>
        <w:tc>
          <w:tcPr>
            <w:tcW w:w="1100" w:type="dxa"/>
          </w:tcPr>
          <w:p w14:paraId="40C2E9B6" w14:textId="77777777" w:rsidR="007375B1" w:rsidRDefault="007375B1" w:rsidP="00DF12C8">
            <w:pPr>
              <w:pStyle w:val="TableText"/>
            </w:pPr>
          </w:p>
        </w:tc>
        <w:tc>
          <w:tcPr>
            <w:tcW w:w="1100" w:type="dxa"/>
          </w:tcPr>
          <w:p w14:paraId="108CC9C1" w14:textId="77777777" w:rsidR="007375B1" w:rsidRDefault="007375B1" w:rsidP="00DF12C8">
            <w:pPr>
              <w:pStyle w:val="TableText"/>
            </w:pPr>
          </w:p>
        </w:tc>
        <w:tc>
          <w:tcPr>
            <w:tcW w:w="1100" w:type="dxa"/>
          </w:tcPr>
          <w:p w14:paraId="0424B467" w14:textId="77777777" w:rsidR="007375B1" w:rsidRDefault="007375B1" w:rsidP="00DF12C8">
            <w:pPr>
              <w:pStyle w:val="TableText"/>
            </w:pPr>
          </w:p>
        </w:tc>
        <w:tc>
          <w:tcPr>
            <w:tcW w:w="1100" w:type="dxa"/>
          </w:tcPr>
          <w:p w14:paraId="0F298B3E" w14:textId="77777777" w:rsidR="007375B1" w:rsidRDefault="007375B1" w:rsidP="00DF12C8">
            <w:pPr>
              <w:pStyle w:val="TableText"/>
            </w:pPr>
          </w:p>
        </w:tc>
        <w:tc>
          <w:tcPr>
            <w:tcW w:w="1100" w:type="dxa"/>
          </w:tcPr>
          <w:p w14:paraId="47CF895D" w14:textId="77777777" w:rsidR="007375B1" w:rsidRDefault="007375B1" w:rsidP="00DF12C8">
            <w:pPr>
              <w:pStyle w:val="TableText"/>
            </w:pPr>
          </w:p>
        </w:tc>
        <w:tc>
          <w:tcPr>
            <w:tcW w:w="1410" w:type="dxa"/>
          </w:tcPr>
          <w:p w14:paraId="7FD58554" w14:textId="77777777" w:rsidR="007375B1" w:rsidRDefault="007375B1" w:rsidP="00DF12C8">
            <w:pPr>
              <w:pStyle w:val="TableText"/>
            </w:pPr>
          </w:p>
        </w:tc>
        <w:tc>
          <w:tcPr>
            <w:tcW w:w="1434" w:type="dxa"/>
          </w:tcPr>
          <w:p w14:paraId="3D68F1D5" w14:textId="77777777" w:rsidR="007375B1" w:rsidRDefault="007375B1" w:rsidP="00DF12C8">
            <w:pPr>
              <w:pStyle w:val="TableText"/>
            </w:pPr>
          </w:p>
        </w:tc>
      </w:tr>
    </w:tbl>
    <w:p w14:paraId="21B4EB53" w14:textId="77777777" w:rsidR="00C54677" w:rsidRDefault="00C54677" w:rsidP="00C54677">
      <w:pPr>
        <w:pStyle w:val="BodyText"/>
      </w:pPr>
      <w:r>
        <w:t>Test Results: Positive, Graded = M, F, W, 1+, 2+, 3+, 4+; Negative = 0; NT = Not Tested</w:t>
      </w:r>
    </w:p>
    <w:p w14:paraId="34B4A180" w14:textId="77777777" w:rsidR="0050722E" w:rsidRDefault="0050722E" w:rsidP="00C54677">
      <w:pPr>
        <w:pStyle w:val="BodyText"/>
      </w:pPr>
    </w:p>
    <w:p w14:paraId="10A476E2" w14:textId="77777777" w:rsidR="00E7240A" w:rsidRDefault="00E7240A" w:rsidP="0050722E">
      <w:pPr>
        <w:pStyle w:val="Heading3"/>
      </w:pPr>
      <w:r>
        <w:br w:type="page"/>
      </w:r>
      <w:bookmarkStart w:id="706" w:name="_Toc47516803"/>
      <w:r>
        <w:lastRenderedPageBreak/>
        <w:t>Unit ABO/Rh Confirmation Form</w:t>
      </w:r>
      <w:bookmarkEnd w:id="706"/>
      <w:r w:rsidR="00246F04">
        <w:fldChar w:fldCharType="begin"/>
      </w:r>
      <w:r w:rsidR="00246F04">
        <w:instrText xml:space="preserve"> XE "</w:instrText>
      </w:r>
      <w:r w:rsidR="00246F04" w:rsidRPr="005960AD">
        <w:instrText>Unit ABO/Rh Confirmation Form</w:instrText>
      </w:r>
      <w:r w:rsidR="00246F04">
        <w:instrText xml:space="preserve">" </w:instrText>
      </w:r>
      <w:r w:rsidR="00246F04">
        <w:fldChar w:fldCharType="end"/>
      </w:r>
      <w:r w:rsidR="00A95965">
        <w:fldChar w:fldCharType="begin"/>
      </w:r>
      <w:r w:rsidR="00A95965">
        <w:instrText xml:space="preserve"> XE “Forms:Unit ABO/Rh Confirmation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0"/>
        <w:gridCol w:w="3161"/>
        <w:gridCol w:w="1588"/>
        <w:gridCol w:w="1584"/>
        <w:gridCol w:w="3157"/>
      </w:tblGrid>
      <w:tr w:rsidR="003F4F8B" w14:paraId="6945A448" w14:textId="77777777">
        <w:tc>
          <w:tcPr>
            <w:tcW w:w="12960" w:type="dxa"/>
            <w:gridSpan w:val="5"/>
          </w:tcPr>
          <w:p w14:paraId="1071653E" w14:textId="77777777" w:rsidR="003F4F8B" w:rsidRPr="003F4F8B" w:rsidRDefault="003F4F8B" w:rsidP="003F4F8B">
            <w:pPr>
              <w:pStyle w:val="TableText"/>
            </w:pPr>
            <w:r w:rsidRPr="00887834">
              <w:rPr>
                <w:b/>
              </w:rPr>
              <w:t xml:space="preserve">Facility Name: </w:t>
            </w:r>
          </w:p>
        </w:tc>
      </w:tr>
      <w:tr w:rsidR="003F4F8B" w14:paraId="6768CD82" w14:textId="77777777">
        <w:tc>
          <w:tcPr>
            <w:tcW w:w="12960" w:type="dxa"/>
            <w:gridSpan w:val="5"/>
          </w:tcPr>
          <w:p w14:paraId="2FBC572B" w14:textId="77777777" w:rsidR="003F4F8B" w:rsidRPr="003F4F8B" w:rsidRDefault="003F4F8B" w:rsidP="003F4F8B">
            <w:pPr>
              <w:pStyle w:val="TableText"/>
            </w:pPr>
            <w:r w:rsidRPr="00887834">
              <w:rPr>
                <w:b/>
              </w:rPr>
              <w:t xml:space="preserve">Address: </w:t>
            </w:r>
          </w:p>
        </w:tc>
      </w:tr>
      <w:tr w:rsidR="003F4F8B" w14:paraId="47C8DFEE" w14:textId="77777777">
        <w:tc>
          <w:tcPr>
            <w:tcW w:w="12960" w:type="dxa"/>
            <w:gridSpan w:val="5"/>
          </w:tcPr>
          <w:p w14:paraId="3AA0D99B" w14:textId="77777777" w:rsidR="003F4F8B" w:rsidRPr="003F4F8B" w:rsidRDefault="003F4F8B" w:rsidP="003F4F8B">
            <w:pPr>
              <w:pStyle w:val="TableText"/>
            </w:pPr>
            <w:r w:rsidRPr="00887834">
              <w:rPr>
                <w:b/>
              </w:rPr>
              <w:t>City, State, Zip Code:</w:t>
            </w:r>
            <w:r>
              <w:t xml:space="preserve"> </w:t>
            </w:r>
          </w:p>
        </w:tc>
      </w:tr>
      <w:tr w:rsidR="00E7240A" w14:paraId="6675C4F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230"/>
        </w:trPr>
        <w:tc>
          <w:tcPr>
            <w:tcW w:w="3470" w:type="dxa"/>
            <w:tcBorders>
              <w:bottom w:val="single" w:sz="2" w:space="0" w:color="auto"/>
            </w:tcBorders>
            <w:shd w:val="clear" w:color="auto" w:fill="B3B3B3"/>
            <w:noWrap/>
          </w:tcPr>
          <w:p w14:paraId="00439863" w14:textId="77777777" w:rsidR="00E7240A" w:rsidRPr="00E8564A" w:rsidRDefault="00E7240A" w:rsidP="00A95965">
            <w:pPr>
              <w:pStyle w:val="TableText"/>
              <w:rPr>
                <w:b/>
                <w:szCs w:val="20"/>
              </w:rPr>
            </w:pPr>
            <w:r w:rsidRPr="00E8564A">
              <w:rPr>
                <w:b/>
                <w:szCs w:val="20"/>
              </w:rPr>
              <w:t>Invoice Number</w:t>
            </w:r>
          </w:p>
        </w:tc>
        <w:tc>
          <w:tcPr>
            <w:tcW w:w="3161" w:type="dxa"/>
            <w:tcBorders>
              <w:bottom w:val="single" w:sz="2" w:space="0" w:color="auto"/>
            </w:tcBorders>
            <w:shd w:val="clear" w:color="auto" w:fill="B3B3B3"/>
          </w:tcPr>
          <w:p w14:paraId="3C39C929" w14:textId="77777777" w:rsidR="00E7240A" w:rsidRPr="00E8564A" w:rsidRDefault="00E7240A" w:rsidP="00A95965">
            <w:pPr>
              <w:pStyle w:val="TableText"/>
              <w:rPr>
                <w:b/>
                <w:szCs w:val="20"/>
              </w:rPr>
            </w:pPr>
            <w:r w:rsidRPr="00E8564A">
              <w:rPr>
                <w:b/>
                <w:szCs w:val="20"/>
              </w:rPr>
              <w:t>Source (Shipper) Name</w:t>
            </w:r>
          </w:p>
        </w:tc>
        <w:tc>
          <w:tcPr>
            <w:tcW w:w="1588" w:type="dxa"/>
            <w:tcBorders>
              <w:bottom w:val="single" w:sz="2" w:space="0" w:color="auto"/>
            </w:tcBorders>
            <w:shd w:val="clear" w:color="auto" w:fill="B3B3B3"/>
          </w:tcPr>
          <w:p w14:paraId="0FE6F068" w14:textId="77777777" w:rsidR="00E7240A" w:rsidRPr="00E8564A" w:rsidRDefault="00E7240A" w:rsidP="00A95965">
            <w:pPr>
              <w:pStyle w:val="TableText"/>
              <w:rPr>
                <w:b/>
                <w:szCs w:val="20"/>
              </w:rPr>
            </w:pPr>
            <w:r w:rsidRPr="00E8564A">
              <w:rPr>
                <w:b/>
                <w:szCs w:val="20"/>
              </w:rPr>
              <w:t>Reagent Rack</w:t>
            </w:r>
          </w:p>
        </w:tc>
        <w:tc>
          <w:tcPr>
            <w:tcW w:w="1584" w:type="dxa"/>
            <w:tcBorders>
              <w:bottom w:val="single" w:sz="2" w:space="0" w:color="auto"/>
            </w:tcBorders>
            <w:shd w:val="clear" w:color="auto" w:fill="B3B3B3"/>
          </w:tcPr>
          <w:p w14:paraId="29A184B9" w14:textId="77777777" w:rsidR="00E7240A" w:rsidRPr="00E8564A" w:rsidRDefault="00E7240A" w:rsidP="00A95965">
            <w:pPr>
              <w:pStyle w:val="TableText"/>
              <w:rPr>
                <w:b/>
                <w:szCs w:val="20"/>
              </w:rPr>
            </w:pPr>
            <w:r w:rsidRPr="00E8564A">
              <w:rPr>
                <w:b/>
                <w:szCs w:val="20"/>
              </w:rPr>
              <w:t>Date</w:t>
            </w:r>
            <w:r>
              <w:rPr>
                <w:b/>
                <w:szCs w:val="20"/>
              </w:rPr>
              <w:t xml:space="preserve"> and Time</w:t>
            </w:r>
          </w:p>
        </w:tc>
        <w:tc>
          <w:tcPr>
            <w:tcW w:w="3157" w:type="dxa"/>
            <w:tcBorders>
              <w:bottom w:val="single" w:sz="2" w:space="0" w:color="auto"/>
            </w:tcBorders>
            <w:shd w:val="clear" w:color="auto" w:fill="B3B3B3"/>
          </w:tcPr>
          <w:p w14:paraId="346D76DD" w14:textId="77777777" w:rsidR="00E7240A" w:rsidRPr="00E8564A" w:rsidRDefault="00E7240A" w:rsidP="00A95965">
            <w:pPr>
              <w:pStyle w:val="TableText"/>
              <w:rPr>
                <w:b/>
                <w:szCs w:val="20"/>
              </w:rPr>
            </w:pPr>
            <w:r w:rsidRPr="00E8564A">
              <w:rPr>
                <w:b/>
                <w:szCs w:val="20"/>
              </w:rPr>
              <w:t>Tech Name</w:t>
            </w:r>
          </w:p>
        </w:tc>
      </w:tr>
      <w:tr w:rsidR="00E7240A" w14:paraId="1064CDB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432"/>
        </w:trPr>
        <w:tc>
          <w:tcPr>
            <w:tcW w:w="3470" w:type="dxa"/>
            <w:shd w:val="clear" w:color="auto" w:fill="auto"/>
            <w:noWrap/>
          </w:tcPr>
          <w:p w14:paraId="4F1218E9" w14:textId="77777777" w:rsidR="00E7240A" w:rsidRPr="00E8564A" w:rsidRDefault="00E7240A" w:rsidP="00A95965">
            <w:pPr>
              <w:pStyle w:val="TableText"/>
              <w:rPr>
                <w:b/>
                <w:szCs w:val="20"/>
              </w:rPr>
            </w:pPr>
          </w:p>
        </w:tc>
        <w:tc>
          <w:tcPr>
            <w:tcW w:w="3161" w:type="dxa"/>
            <w:shd w:val="clear" w:color="auto" w:fill="auto"/>
          </w:tcPr>
          <w:p w14:paraId="0452930A" w14:textId="77777777" w:rsidR="00E7240A" w:rsidRPr="00E8564A" w:rsidRDefault="00E7240A" w:rsidP="00A95965">
            <w:pPr>
              <w:pStyle w:val="TableText"/>
              <w:rPr>
                <w:b/>
                <w:szCs w:val="20"/>
              </w:rPr>
            </w:pPr>
          </w:p>
        </w:tc>
        <w:tc>
          <w:tcPr>
            <w:tcW w:w="1588" w:type="dxa"/>
            <w:shd w:val="clear" w:color="auto" w:fill="auto"/>
          </w:tcPr>
          <w:p w14:paraId="6EDFABCA" w14:textId="77777777" w:rsidR="00E7240A" w:rsidRPr="00E8564A" w:rsidRDefault="00E7240A" w:rsidP="00A95965">
            <w:pPr>
              <w:pStyle w:val="TableText"/>
              <w:rPr>
                <w:b/>
                <w:szCs w:val="20"/>
              </w:rPr>
            </w:pPr>
          </w:p>
        </w:tc>
        <w:tc>
          <w:tcPr>
            <w:tcW w:w="1584" w:type="dxa"/>
            <w:shd w:val="clear" w:color="auto" w:fill="auto"/>
          </w:tcPr>
          <w:p w14:paraId="15CE5753" w14:textId="77777777" w:rsidR="00E7240A" w:rsidRPr="00E8564A" w:rsidRDefault="00E7240A" w:rsidP="00A95965">
            <w:pPr>
              <w:pStyle w:val="TableText"/>
              <w:rPr>
                <w:b/>
                <w:szCs w:val="20"/>
              </w:rPr>
            </w:pPr>
          </w:p>
        </w:tc>
        <w:tc>
          <w:tcPr>
            <w:tcW w:w="3157" w:type="dxa"/>
            <w:shd w:val="clear" w:color="auto" w:fill="auto"/>
          </w:tcPr>
          <w:p w14:paraId="27F8D735" w14:textId="77777777" w:rsidR="00E7240A" w:rsidRPr="00E8564A" w:rsidRDefault="00E7240A" w:rsidP="00A95965">
            <w:pPr>
              <w:pStyle w:val="TableText"/>
              <w:rPr>
                <w:b/>
                <w:szCs w:val="20"/>
              </w:rPr>
            </w:pPr>
          </w:p>
        </w:tc>
      </w:tr>
    </w:tbl>
    <w:p w14:paraId="0635C26D"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973"/>
        <w:gridCol w:w="1127"/>
        <w:gridCol w:w="1132"/>
        <w:gridCol w:w="971"/>
        <w:gridCol w:w="971"/>
        <w:gridCol w:w="971"/>
        <w:gridCol w:w="971"/>
        <w:gridCol w:w="1103"/>
        <w:gridCol w:w="1741"/>
      </w:tblGrid>
      <w:tr w:rsidR="006304EB" w14:paraId="10B5B47E" w14:textId="77777777">
        <w:trPr>
          <w:cantSplit/>
          <w:trHeight w:val="230"/>
          <w:tblHeader/>
        </w:trPr>
        <w:tc>
          <w:tcPr>
            <w:tcW w:w="3973" w:type="dxa"/>
            <w:shd w:val="clear" w:color="auto" w:fill="B3B3B3"/>
            <w:noWrap/>
          </w:tcPr>
          <w:p w14:paraId="57707F40" w14:textId="77777777" w:rsidR="006304EB" w:rsidRPr="005F4649" w:rsidRDefault="006304EB" w:rsidP="00A95965">
            <w:pPr>
              <w:pStyle w:val="TableText"/>
              <w:rPr>
                <w:b/>
                <w:szCs w:val="20"/>
              </w:rPr>
            </w:pPr>
            <w:r w:rsidRPr="005F4649">
              <w:rPr>
                <w:b/>
                <w:szCs w:val="20"/>
              </w:rPr>
              <w:t>Unit Identification Number</w:t>
            </w:r>
          </w:p>
        </w:tc>
        <w:tc>
          <w:tcPr>
            <w:tcW w:w="1127" w:type="dxa"/>
            <w:shd w:val="clear" w:color="auto" w:fill="B3B3B3"/>
          </w:tcPr>
          <w:p w14:paraId="11CEA82C" w14:textId="77777777" w:rsidR="006304EB" w:rsidRPr="005F4649" w:rsidRDefault="006304EB" w:rsidP="006304EB">
            <w:pPr>
              <w:pStyle w:val="TableText"/>
              <w:rPr>
                <w:b/>
                <w:szCs w:val="20"/>
              </w:rPr>
            </w:pPr>
            <w:r>
              <w:rPr>
                <w:b/>
                <w:szCs w:val="20"/>
              </w:rPr>
              <w:t xml:space="preserve">Product Code </w:t>
            </w:r>
          </w:p>
        </w:tc>
        <w:tc>
          <w:tcPr>
            <w:tcW w:w="1132" w:type="dxa"/>
            <w:shd w:val="clear" w:color="auto" w:fill="B3B3B3"/>
          </w:tcPr>
          <w:p w14:paraId="4016655E" w14:textId="77777777" w:rsidR="006304EB" w:rsidRPr="005F4649" w:rsidRDefault="006304EB" w:rsidP="00A95965">
            <w:pPr>
              <w:pStyle w:val="TableText"/>
              <w:rPr>
                <w:b/>
                <w:szCs w:val="20"/>
              </w:rPr>
            </w:pPr>
            <w:r w:rsidRPr="005F4649">
              <w:rPr>
                <w:b/>
                <w:szCs w:val="20"/>
              </w:rPr>
              <w:t>Unit ABO/Rh</w:t>
            </w:r>
          </w:p>
        </w:tc>
        <w:tc>
          <w:tcPr>
            <w:tcW w:w="971" w:type="dxa"/>
            <w:shd w:val="clear" w:color="auto" w:fill="B3B3B3"/>
          </w:tcPr>
          <w:p w14:paraId="363BA8A2" w14:textId="77777777" w:rsidR="006304EB" w:rsidRPr="005F4649" w:rsidRDefault="006304EB" w:rsidP="00A95965">
            <w:pPr>
              <w:pStyle w:val="TableText"/>
              <w:rPr>
                <w:b/>
                <w:szCs w:val="20"/>
              </w:rPr>
            </w:pPr>
            <w:r w:rsidRPr="005F4649">
              <w:rPr>
                <w:b/>
                <w:szCs w:val="20"/>
              </w:rPr>
              <w:t>Anti-A</w:t>
            </w:r>
          </w:p>
        </w:tc>
        <w:tc>
          <w:tcPr>
            <w:tcW w:w="971" w:type="dxa"/>
            <w:shd w:val="clear" w:color="auto" w:fill="B3B3B3"/>
          </w:tcPr>
          <w:p w14:paraId="29C10E64" w14:textId="77777777" w:rsidR="006304EB" w:rsidRPr="005F4649" w:rsidRDefault="006304EB" w:rsidP="00A95965">
            <w:pPr>
              <w:pStyle w:val="TableText"/>
              <w:rPr>
                <w:b/>
                <w:szCs w:val="20"/>
              </w:rPr>
            </w:pPr>
            <w:r w:rsidRPr="005F4649">
              <w:rPr>
                <w:b/>
                <w:szCs w:val="20"/>
              </w:rPr>
              <w:t>Anti-B</w:t>
            </w:r>
          </w:p>
        </w:tc>
        <w:tc>
          <w:tcPr>
            <w:tcW w:w="971" w:type="dxa"/>
            <w:shd w:val="clear" w:color="auto" w:fill="B3B3B3"/>
          </w:tcPr>
          <w:p w14:paraId="6E51ED5D" w14:textId="77777777" w:rsidR="006304EB" w:rsidRPr="005F4649" w:rsidRDefault="006304EB" w:rsidP="00A95965">
            <w:pPr>
              <w:pStyle w:val="TableText"/>
              <w:rPr>
                <w:b/>
                <w:szCs w:val="20"/>
              </w:rPr>
            </w:pPr>
            <w:r w:rsidRPr="005F4649">
              <w:rPr>
                <w:b/>
                <w:szCs w:val="20"/>
              </w:rPr>
              <w:t>Anti-A,B</w:t>
            </w:r>
          </w:p>
        </w:tc>
        <w:tc>
          <w:tcPr>
            <w:tcW w:w="971" w:type="dxa"/>
            <w:shd w:val="clear" w:color="auto" w:fill="B3B3B3"/>
          </w:tcPr>
          <w:p w14:paraId="580BFD39" w14:textId="77777777" w:rsidR="006304EB" w:rsidRPr="005F4649" w:rsidRDefault="006304EB" w:rsidP="00A95965">
            <w:pPr>
              <w:pStyle w:val="TableText"/>
              <w:rPr>
                <w:b/>
                <w:szCs w:val="20"/>
              </w:rPr>
            </w:pPr>
            <w:r w:rsidRPr="005F4649">
              <w:rPr>
                <w:b/>
                <w:szCs w:val="20"/>
              </w:rPr>
              <w:t>Anti-D</w:t>
            </w:r>
          </w:p>
        </w:tc>
        <w:tc>
          <w:tcPr>
            <w:tcW w:w="1103" w:type="dxa"/>
            <w:shd w:val="clear" w:color="auto" w:fill="B3B3B3"/>
          </w:tcPr>
          <w:p w14:paraId="5EFE5809" w14:textId="77777777" w:rsidR="006304EB" w:rsidRPr="005F4649" w:rsidRDefault="006304EB" w:rsidP="00A95965">
            <w:pPr>
              <w:pStyle w:val="TableText"/>
              <w:rPr>
                <w:b/>
                <w:szCs w:val="20"/>
              </w:rPr>
            </w:pPr>
            <w:r>
              <w:rPr>
                <w:b/>
                <w:szCs w:val="20"/>
              </w:rPr>
              <w:t>Rh C</w:t>
            </w:r>
            <w:r w:rsidRPr="005F4649">
              <w:rPr>
                <w:b/>
                <w:szCs w:val="20"/>
              </w:rPr>
              <w:t>ontrol</w:t>
            </w:r>
          </w:p>
        </w:tc>
        <w:tc>
          <w:tcPr>
            <w:tcW w:w="1741" w:type="dxa"/>
            <w:shd w:val="clear" w:color="auto" w:fill="B3B3B3"/>
          </w:tcPr>
          <w:p w14:paraId="5E84336D" w14:textId="77777777" w:rsidR="006304EB" w:rsidRPr="005F4649" w:rsidRDefault="006304EB" w:rsidP="00A95965">
            <w:pPr>
              <w:pStyle w:val="TableText"/>
              <w:rPr>
                <w:b/>
                <w:szCs w:val="20"/>
              </w:rPr>
            </w:pPr>
            <w:r w:rsidRPr="005F4649">
              <w:rPr>
                <w:b/>
                <w:szCs w:val="20"/>
              </w:rPr>
              <w:t>ABO/Rh Interpretation</w:t>
            </w:r>
          </w:p>
        </w:tc>
      </w:tr>
      <w:tr w:rsidR="006304EB" w14:paraId="772D3865" w14:textId="77777777">
        <w:trPr>
          <w:cantSplit/>
          <w:trHeight w:val="432"/>
        </w:trPr>
        <w:tc>
          <w:tcPr>
            <w:tcW w:w="3973" w:type="dxa"/>
            <w:noWrap/>
          </w:tcPr>
          <w:p w14:paraId="25D9FBB9" w14:textId="77777777" w:rsidR="006304EB" w:rsidRPr="005F4649" w:rsidRDefault="006304EB" w:rsidP="00A95965">
            <w:pPr>
              <w:pStyle w:val="TableText"/>
              <w:rPr>
                <w:b/>
                <w:szCs w:val="20"/>
              </w:rPr>
            </w:pPr>
          </w:p>
        </w:tc>
        <w:tc>
          <w:tcPr>
            <w:tcW w:w="1127" w:type="dxa"/>
          </w:tcPr>
          <w:p w14:paraId="369AB9A8" w14:textId="77777777" w:rsidR="006304EB" w:rsidRPr="005F4649" w:rsidRDefault="006304EB" w:rsidP="006304EB">
            <w:pPr>
              <w:pStyle w:val="TableText"/>
              <w:rPr>
                <w:b/>
                <w:szCs w:val="20"/>
              </w:rPr>
            </w:pPr>
          </w:p>
        </w:tc>
        <w:tc>
          <w:tcPr>
            <w:tcW w:w="1132" w:type="dxa"/>
          </w:tcPr>
          <w:p w14:paraId="68D12683" w14:textId="77777777" w:rsidR="006304EB" w:rsidRPr="005F4649" w:rsidRDefault="006304EB" w:rsidP="00A95965">
            <w:pPr>
              <w:pStyle w:val="TableText"/>
              <w:rPr>
                <w:b/>
                <w:szCs w:val="20"/>
              </w:rPr>
            </w:pPr>
          </w:p>
        </w:tc>
        <w:tc>
          <w:tcPr>
            <w:tcW w:w="971" w:type="dxa"/>
          </w:tcPr>
          <w:p w14:paraId="3ABF708B" w14:textId="77777777" w:rsidR="006304EB" w:rsidRPr="005F4649" w:rsidRDefault="006304EB" w:rsidP="00A95965">
            <w:pPr>
              <w:pStyle w:val="TableText"/>
              <w:rPr>
                <w:b/>
                <w:szCs w:val="20"/>
              </w:rPr>
            </w:pPr>
          </w:p>
        </w:tc>
        <w:tc>
          <w:tcPr>
            <w:tcW w:w="971" w:type="dxa"/>
          </w:tcPr>
          <w:p w14:paraId="5D4D4F20" w14:textId="77777777" w:rsidR="006304EB" w:rsidRPr="005F4649" w:rsidRDefault="006304EB" w:rsidP="00A95965">
            <w:pPr>
              <w:pStyle w:val="TableText"/>
              <w:rPr>
                <w:b/>
                <w:szCs w:val="20"/>
              </w:rPr>
            </w:pPr>
          </w:p>
        </w:tc>
        <w:tc>
          <w:tcPr>
            <w:tcW w:w="971" w:type="dxa"/>
          </w:tcPr>
          <w:p w14:paraId="79E1552A" w14:textId="77777777" w:rsidR="006304EB" w:rsidRPr="005F4649" w:rsidRDefault="006304EB" w:rsidP="00A95965">
            <w:pPr>
              <w:pStyle w:val="TableText"/>
              <w:rPr>
                <w:b/>
                <w:szCs w:val="20"/>
              </w:rPr>
            </w:pPr>
          </w:p>
        </w:tc>
        <w:tc>
          <w:tcPr>
            <w:tcW w:w="971" w:type="dxa"/>
          </w:tcPr>
          <w:p w14:paraId="548D2497" w14:textId="77777777" w:rsidR="006304EB" w:rsidRPr="005F4649" w:rsidRDefault="006304EB" w:rsidP="00A95965">
            <w:pPr>
              <w:pStyle w:val="TableText"/>
              <w:rPr>
                <w:b/>
                <w:szCs w:val="20"/>
              </w:rPr>
            </w:pPr>
          </w:p>
        </w:tc>
        <w:tc>
          <w:tcPr>
            <w:tcW w:w="1103" w:type="dxa"/>
          </w:tcPr>
          <w:p w14:paraId="45C1AA45" w14:textId="77777777" w:rsidR="006304EB" w:rsidRDefault="006304EB" w:rsidP="00A95965">
            <w:pPr>
              <w:pStyle w:val="TableText"/>
              <w:rPr>
                <w:b/>
                <w:szCs w:val="20"/>
              </w:rPr>
            </w:pPr>
          </w:p>
        </w:tc>
        <w:tc>
          <w:tcPr>
            <w:tcW w:w="1741" w:type="dxa"/>
          </w:tcPr>
          <w:p w14:paraId="31ADE4BF" w14:textId="77777777" w:rsidR="006304EB" w:rsidRPr="005F4649" w:rsidRDefault="006304EB" w:rsidP="00A95965">
            <w:pPr>
              <w:pStyle w:val="TableText"/>
              <w:rPr>
                <w:b/>
                <w:szCs w:val="20"/>
              </w:rPr>
            </w:pPr>
          </w:p>
        </w:tc>
      </w:tr>
      <w:tr w:rsidR="006304EB" w14:paraId="7D363DC9" w14:textId="77777777">
        <w:trPr>
          <w:cantSplit/>
          <w:trHeight w:val="432"/>
        </w:trPr>
        <w:tc>
          <w:tcPr>
            <w:tcW w:w="3973" w:type="dxa"/>
            <w:noWrap/>
          </w:tcPr>
          <w:p w14:paraId="1CD95FB2" w14:textId="77777777" w:rsidR="006304EB" w:rsidRPr="005F4649" w:rsidRDefault="006304EB" w:rsidP="00A95965">
            <w:pPr>
              <w:pStyle w:val="TableText"/>
              <w:rPr>
                <w:b/>
                <w:szCs w:val="20"/>
              </w:rPr>
            </w:pPr>
          </w:p>
        </w:tc>
        <w:tc>
          <w:tcPr>
            <w:tcW w:w="1127" w:type="dxa"/>
          </w:tcPr>
          <w:p w14:paraId="5A3903CF" w14:textId="77777777" w:rsidR="006304EB" w:rsidRPr="005F4649" w:rsidRDefault="006304EB" w:rsidP="006304EB">
            <w:pPr>
              <w:pStyle w:val="TableText"/>
              <w:rPr>
                <w:b/>
                <w:szCs w:val="20"/>
              </w:rPr>
            </w:pPr>
          </w:p>
        </w:tc>
        <w:tc>
          <w:tcPr>
            <w:tcW w:w="1132" w:type="dxa"/>
          </w:tcPr>
          <w:p w14:paraId="5853F55D" w14:textId="77777777" w:rsidR="006304EB" w:rsidRPr="005F4649" w:rsidRDefault="006304EB" w:rsidP="00A95965">
            <w:pPr>
              <w:pStyle w:val="TableText"/>
              <w:rPr>
                <w:b/>
                <w:szCs w:val="20"/>
              </w:rPr>
            </w:pPr>
          </w:p>
        </w:tc>
        <w:tc>
          <w:tcPr>
            <w:tcW w:w="971" w:type="dxa"/>
          </w:tcPr>
          <w:p w14:paraId="27F8D078" w14:textId="77777777" w:rsidR="006304EB" w:rsidRPr="005F4649" w:rsidRDefault="006304EB" w:rsidP="00A95965">
            <w:pPr>
              <w:pStyle w:val="TableText"/>
              <w:rPr>
                <w:b/>
                <w:szCs w:val="20"/>
              </w:rPr>
            </w:pPr>
          </w:p>
        </w:tc>
        <w:tc>
          <w:tcPr>
            <w:tcW w:w="971" w:type="dxa"/>
          </w:tcPr>
          <w:p w14:paraId="0F6263B6" w14:textId="77777777" w:rsidR="006304EB" w:rsidRPr="005F4649" w:rsidRDefault="006304EB" w:rsidP="00A95965">
            <w:pPr>
              <w:pStyle w:val="TableText"/>
              <w:rPr>
                <w:b/>
                <w:szCs w:val="20"/>
              </w:rPr>
            </w:pPr>
          </w:p>
        </w:tc>
        <w:tc>
          <w:tcPr>
            <w:tcW w:w="971" w:type="dxa"/>
          </w:tcPr>
          <w:p w14:paraId="4C9807F8" w14:textId="77777777" w:rsidR="006304EB" w:rsidRPr="005F4649" w:rsidRDefault="006304EB" w:rsidP="00A95965">
            <w:pPr>
              <w:pStyle w:val="TableText"/>
              <w:rPr>
                <w:b/>
                <w:szCs w:val="20"/>
              </w:rPr>
            </w:pPr>
          </w:p>
        </w:tc>
        <w:tc>
          <w:tcPr>
            <w:tcW w:w="971" w:type="dxa"/>
          </w:tcPr>
          <w:p w14:paraId="7F76A08A" w14:textId="77777777" w:rsidR="006304EB" w:rsidRPr="005F4649" w:rsidRDefault="006304EB" w:rsidP="00A95965">
            <w:pPr>
              <w:pStyle w:val="TableText"/>
              <w:rPr>
                <w:b/>
                <w:szCs w:val="20"/>
              </w:rPr>
            </w:pPr>
          </w:p>
        </w:tc>
        <w:tc>
          <w:tcPr>
            <w:tcW w:w="1103" w:type="dxa"/>
          </w:tcPr>
          <w:p w14:paraId="04F9BA1C" w14:textId="77777777" w:rsidR="006304EB" w:rsidRDefault="006304EB" w:rsidP="00A95965">
            <w:pPr>
              <w:pStyle w:val="TableText"/>
              <w:rPr>
                <w:b/>
                <w:szCs w:val="20"/>
              </w:rPr>
            </w:pPr>
          </w:p>
        </w:tc>
        <w:tc>
          <w:tcPr>
            <w:tcW w:w="1741" w:type="dxa"/>
          </w:tcPr>
          <w:p w14:paraId="7B656DE7" w14:textId="77777777" w:rsidR="006304EB" w:rsidRPr="005F4649" w:rsidRDefault="006304EB" w:rsidP="00A95965">
            <w:pPr>
              <w:pStyle w:val="TableText"/>
              <w:rPr>
                <w:b/>
                <w:szCs w:val="20"/>
              </w:rPr>
            </w:pPr>
          </w:p>
        </w:tc>
      </w:tr>
      <w:tr w:rsidR="006304EB" w14:paraId="4AD12AE5" w14:textId="77777777">
        <w:trPr>
          <w:cantSplit/>
          <w:trHeight w:val="432"/>
        </w:trPr>
        <w:tc>
          <w:tcPr>
            <w:tcW w:w="3973" w:type="dxa"/>
            <w:noWrap/>
          </w:tcPr>
          <w:p w14:paraId="24ED466D" w14:textId="77777777" w:rsidR="006304EB" w:rsidRPr="005F4649" w:rsidRDefault="006304EB" w:rsidP="00A95965">
            <w:pPr>
              <w:pStyle w:val="TableText"/>
              <w:rPr>
                <w:b/>
                <w:szCs w:val="20"/>
              </w:rPr>
            </w:pPr>
          </w:p>
        </w:tc>
        <w:tc>
          <w:tcPr>
            <w:tcW w:w="1127" w:type="dxa"/>
          </w:tcPr>
          <w:p w14:paraId="3DB3878F" w14:textId="77777777" w:rsidR="006304EB" w:rsidRPr="005F4649" w:rsidRDefault="006304EB" w:rsidP="006304EB">
            <w:pPr>
              <w:pStyle w:val="TableText"/>
              <w:rPr>
                <w:b/>
                <w:szCs w:val="20"/>
              </w:rPr>
            </w:pPr>
          </w:p>
        </w:tc>
        <w:tc>
          <w:tcPr>
            <w:tcW w:w="1132" w:type="dxa"/>
          </w:tcPr>
          <w:p w14:paraId="2B644920" w14:textId="77777777" w:rsidR="006304EB" w:rsidRPr="005F4649" w:rsidRDefault="006304EB" w:rsidP="00A95965">
            <w:pPr>
              <w:pStyle w:val="TableText"/>
              <w:rPr>
                <w:b/>
                <w:szCs w:val="20"/>
              </w:rPr>
            </w:pPr>
          </w:p>
        </w:tc>
        <w:tc>
          <w:tcPr>
            <w:tcW w:w="971" w:type="dxa"/>
          </w:tcPr>
          <w:p w14:paraId="415611BD" w14:textId="77777777" w:rsidR="006304EB" w:rsidRPr="005F4649" w:rsidRDefault="006304EB" w:rsidP="00A95965">
            <w:pPr>
              <w:pStyle w:val="TableText"/>
              <w:rPr>
                <w:b/>
                <w:szCs w:val="20"/>
              </w:rPr>
            </w:pPr>
          </w:p>
        </w:tc>
        <w:tc>
          <w:tcPr>
            <w:tcW w:w="971" w:type="dxa"/>
          </w:tcPr>
          <w:p w14:paraId="1DF35395" w14:textId="77777777" w:rsidR="006304EB" w:rsidRPr="005F4649" w:rsidRDefault="006304EB" w:rsidP="00A95965">
            <w:pPr>
              <w:pStyle w:val="TableText"/>
              <w:rPr>
                <w:b/>
                <w:szCs w:val="20"/>
              </w:rPr>
            </w:pPr>
          </w:p>
        </w:tc>
        <w:tc>
          <w:tcPr>
            <w:tcW w:w="971" w:type="dxa"/>
          </w:tcPr>
          <w:p w14:paraId="1ADA3F64" w14:textId="77777777" w:rsidR="006304EB" w:rsidRPr="005F4649" w:rsidRDefault="006304EB" w:rsidP="00A95965">
            <w:pPr>
              <w:pStyle w:val="TableText"/>
              <w:rPr>
                <w:b/>
                <w:szCs w:val="20"/>
              </w:rPr>
            </w:pPr>
          </w:p>
        </w:tc>
        <w:tc>
          <w:tcPr>
            <w:tcW w:w="971" w:type="dxa"/>
          </w:tcPr>
          <w:p w14:paraId="41BEA503" w14:textId="77777777" w:rsidR="006304EB" w:rsidRPr="005F4649" w:rsidRDefault="006304EB" w:rsidP="00A95965">
            <w:pPr>
              <w:pStyle w:val="TableText"/>
              <w:rPr>
                <w:b/>
                <w:szCs w:val="20"/>
              </w:rPr>
            </w:pPr>
          </w:p>
        </w:tc>
        <w:tc>
          <w:tcPr>
            <w:tcW w:w="1103" w:type="dxa"/>
          </w:tcPr>
          <w:p w14:paraId="49CD3B15" w14:textId="77777777" w:rsidR="006304EB" w:rsidRDefault="006304EB" w:rsidP="00A95965">
            <w:pPr>
              <w:pStyle w:val="TableText"/>
              <w:rPr>
                <w:b/>
                <w:szCs w:val="20"/>
              </w:rPr>
            </w:pPr>
          </w:p>
        </w:tc>
        <w:tc>
          <w:tcPr>
            <w:tcW w:w="1741" w:type="dxa"/>
          </w:tcPr>
          <w:p w14:paraId="61606A0C" w14:textId="77777777" w:rsidR="006304EB" w:rsidRPr="005F4649" w:rsidRDefault="006304EB" w:rsidP="00A95965">
            <w:pPr>
              <w:pStyle w:val="TableText"/>
              <w:rPr>
                <w:b/>
                <w:szCs w:val="20"/>
              </w:rPr>
            </w:pPr>
          </w:p>
        </w:tc>
      </w:tr>
      <w:tr w:rsidR="006304EB" w14:paraId="6C15B4F9" w14:textId="77777777">
        <w:trPr>
          <w:cantSplit/>
          <w:trHeight w:val="432"/>
        </w:trPr>
        <w:tc>
          <w:tcPr>
            <w:tcW w:w="3973" w:type="dxa"/>
            <w:noWrap/>
          </w:tcPr>
          <w:p w14:paraId="5567798B" w14:textId="77777777" w:rsidR="006304EB" w:rsidRPr="005F4649" w:rsidRDefault="006304EB" w:rsidP="00A95965">
            <w:pPr>
              <w:pStyle w:val="TableText"/>
              <w:rPr>
                <w:b/>
                <w:szCs w:val="20"/>
              </w:rPr>
            </w:pPr>
          </w:p>
        </w:tc>
        <w:tc>
          <w:tcPr>
            <w:tcW w:w="1127" w:type="dxa"/>
          </w:tcPr>
          <w:p w14:paraId="7DAEA7FA" w14:textId="77777777" w:rsidR="006304EB" w:rsidRPr="005F4649" w:rsidRDefault="006304EB" w:rsidP="006304EB">
            <w:pPr>
              <w:pStyle w:val="TableText"/>
              <w:rPr>
                <w:b/>
                <w:szCs w:val="20"/>
              </w:rPr>
            </w:pPr>
          </w:p>
        </w:tc>
        <w:tc>
          <w:tcPr>
            <w:tcW w:w="1132" w:type="dxa"/>
          </w:tcPr>
          <w:p w14:paraId="306F23E6" w14:textId="77777777" w:rsidR="006304EB" w:rsidRPr="005F4649" w:rsidRDefault="006304EB" w:rsidP="00A95965">
            <w:pPr>
              <w:pStyle w:val="TableText"/>
              <w:rPr>
                <w:b/>
                <w:szCs w:val="20"/>
              </w:rPr>
            </w:pPr>
          </w:p>
        </w:tc>
        <w:tc>
          <w:tcPr>
            <w:tcW w:w="971" w:type="dxa"/>
          </w:tcPr>
          <w:p w14:paraId="32C0EE9F" w14:textId="77777777" w:rsidR="006304EB" w:rsidRPr="005F4649" w:rsidRDefault="006304EB" w:rsidP="00A95965">
            <w:pPr>
              <w:pStyle w:val="TableText"/>
              <w:rPr>
                <w:b/>
                <w:szCs w:val="20"/>
              </w:rPr>
            </w:pPr>
          </w:p>
        </w:tc>
        <w:tc>
          <w:tcPr>
            <w:tcW w:w="971" w:type="dxa"/>
          </w:tcPr>
          <w:p w14:paraId="2E8F08DA" w14:textId="77777777" w:rsidR="006304EB" w:rsidRPr="005F4649" w:rsidRDefault="006304EB" w:rsidP="00A95965">
            <w:pPr>
              <w:pStyle w:val="TableText"/>
              <w:rPr>
                <w:b/>
                <w:szCs w:val="20"/>
              </w:rPr>
            </w:pPr>
          </w:p>
        </w:tc>
        <w:tc>
          <w:tcPr>
            <w:tcW w:w="971" w:type="dxa"/>
          </w:tcPr>
          <w:p w14:paraId="40536AC9" w14:textId="77777777" w:rsidR="006304EB" w:rsidRPr="005F4649" w:rsidRDefault="006304EB" w:rsidP="00A95965">
            <w:pPr>
              <w:pStyle w:val="TableText"/>
              <w:rPr>
                <w:b/>
                <w:szCs w:val="20"/>
              </w:rPr>
            </w:pPr>
          </w:p>
        </w:tc>
        <w:tc>
          <w:tcPr>
            <w:tcW w:w="971" w:type="dxa"/>
          </w:tcPr>
          <w:p w14:paraId="5B3487D2" w14:textId="77777777" w:rsidR="006304EB" w:rsidRPr="005F4649" w:rsidRDefault="006304EB" w:rsidP="00A95965">
            <w:pPr>
              <w:pStyle w:val="TableText"/>
              <w:rPr>
                <w:b/>
                <w:szCs w:val="20"/>
              </w:rPr>
            </w:pPr>
          </w:p>
        </w:tc>
        <w:tc>
          <w:tcPr>
            <w:tcW w:w="1103" w:type="dxa"/>
          </w:tcPr>
          <w:p w14:paraId="094B6539" w14:textId="77777777" w:rsidR="006304EB" w:rsidRDefault="006304EB" w:rsidP="00A95965">
            <w:pPr>
              <w:pStyle w:val="TableText"/>
              <w:rPr>
                <w:b/>
                <w:szCs w:val="20"/>
              </w:rPr>
            </w:pPr>
          </w:p>
        </w:tc>
        <w:tc>
          <w:tcPr>
            <w:tcW w:w="1741" w:type="dxa"/>
          </w:tcPr>
          <w:p w14:paraId="2C76FEB2" w14:textId="77777777" w:rsidR="006304EB" w:rsidRPr="005F4649" w:rsidRDefault="006304EB" w:rsidP="00A95965">
            <w:pPr>
              <w:pStyle w:val="TableText"/>
              <w:rPr>
                <w:b/>
                <w:szCs w:val="20"/>
              </w:rPr>
            </w:pPr>
          </w:p>
        </w:tc>
      </w:tr>
      <w:tr w:rsidR="006304EB" w14:paraId="714F72D1" w14:textId="77777777">
        <w:trPr>
          <w:cantSplit/>
          <w:trHeight w:val="432"/>
        </w:trPr>
        <w:tc>
          <w:tcPr>
            <w:tcW w:w="3973" w:type="dxa"/>
            <w:noWrap/>
          </w:tcPr>
          <w:p w14:paraId="17CCAB25" w14:textId="77777777" w:rsidR="006304EB" w:rsidRPr="005F4649" w:rsidRDefault="006304EB" w:rsidP="00A95965">
            <w:pPr>
              <w:pStyle w:val="TableText"/>
              <w:rPr>
                <w:b/>
                <w:szCs w:val="20"/>
              </w:rPr>
            </w:pPr>
          </w:p>
        </w:tc>
        <w:tc>
          <w:tcPr>
            <w:tcW w:w="1127" w:type="dxa"/>
          </w:tcPr>
          <w:p w14:paraId="21CE797E" w14:textId="77777777" w:rsidR="006304EB" w:rsidRPr="005F4649" w:rsidRDefault="006304EB" w:rsidP="006304EB">
            <w:pPr>
              <w:pStyle w:val="TableText"/>
              <w:rPr>
                <w:b/>
                <w:szCs w:val="20"/>
              </w:rPr>
            </w:pPr>
          </w:p>
        </w:tc>
        <w:tc>
          <w:tcPr>
            <w:tcW w:w="1132" w:type="dxa"/>
          </w:tcPr>
          <w:p w14:paraId="0917A274" w14:textId="77777777" w:rsidR="006304EB" w:rsidRPr="005F4649" w:rsidRDefault="006304EB" w:rsidP="00A95965">
            <w:pPr>
              <w:pStyle w:val="TableText"/>
              <w:rPr>
                <w:b/>
                <w:szCs w:val="20"/>
              </w:rPr>
            </w:pPr>
          </w:p>
        </w:tc>
        <w:tc>
          <w:tcPr>
            <w:tcW w:w="971" w:type="dxa"/>
          </w:tcPr>
          <w:p w14:paraId="6AC00126" w14:textId="77777777" w:rsidR="006304EB" w:rsidRPr="005F4649" w:rsidRDefault="006304EB" w:rsidP="00A95965">
            <w:pPr>
              <w:pStyle w:val="TableText"/>
              <w:rPr>
                <w:b/>
                <w:szCs w:val="20"/>
              </w:rPr>
            </w:pPr>
          </w:p>
        </w:tc>
        <w:tc>
          <w:tcPr>
            <w:tcW w:w="971" w:type="dxa"/>
          </w:tcPr>
          <w:p w14:paraId="62F8F3CE" w14:textId="77777777" w:rsidR="006304EB" w:rsidRPr="005F4649" w:rsidRDefault="006304EB" w:rsidP="00A95965">
            <w:pPr>
              <w:pStyle w:val="TableText"/>
              <w:rPr>
                <w:b/>
                <w:szCs w:val="20"/>
              </w:rPr>
            </w:pPr>
          </w:p>
        </w:tc>
        <w:tc>
          <w:tcPr>
            <w:tcW w:w="971" w:type="dxa"/>
          </w:tcPr>
          <w:p w14:paraId="03AE2059" w14:textId="77777777" w:rsidR="006304EB" w:rsidRPr="005F4649" w:rsidRDefault="006304EB" w:rsidP="00A95965">
            <w:pPr>
              <w:pStyle w:val="TableText"/>
              <w:rPr>
                <w:b/>
                <w:szCs w:val="20"/>
              </w:rPr>
            </w:pPr>
          </w:p>
        </w:tc>
        <w:tc>
          <w:tcPr>
            <w:tcW w:w="971" w:type="dxa"/>
          </w:tcPr>
          <w:p w14:paraId="4A1BA922" w14:textId="77777777" w:rsidR="006304EB" w:rsidRPr="005F4649" w:rsidRDefault="006304EB" w:rsidP="00A95965">
            <w:pPr>
              <w:pStyle w:val="TableText"/>
              <w:rPr>
                <w:b/>
                <w:szCs w:val="20"/>
              </w:rPr>
            </w:pPr>
          </w:p>
        </w:tc>
        <w:tc>
          <w:tcPr>
            <w:tcW w:w="1103" w:type="dxa"/>
          </w:tcPr>
          <w:p w14:paraId="22345D0A" w14:textId="77777777" w:rsidR="006304EB" w:rsidRDefault="006304EB" w:rsidP="00A95965">
            <w:pPr>
              <w:pStyle w:val="TableText"/>
              <w:rPr>
                <w:b/>
                <w:szCs w:val="20"/>
              </w:rPr>
            </w:pPr>
          </w:p>
        </w:tc>
        <w:tc>
          <w:tcPr>
            <w:tcW w:w="1741" w:type="dxa"/>
          </w:tcPr>
          <w:p w14:paraId="4DE1FA62" w14:textId="77777777" w:rsidR="006304EB" w:rsidRPr="005F4649" w:rsidRDefault="006304EB" w:rsidP="00A95965">
            <w:pPr>
              <w:pStyle w:val="TableText"/>
              <w:rPr>
                <w:b/>
                <w:szCs w:val="20"/>
              </w:rPr>
            </w:pPr>
          </w:p>
        </w:tc>
      </w:tr>
      <w:tr w:rsidR="006304EB" w14:paraId="33626256" w14:textId="77777777">
        <w:trPr>
          <w:cantSplit/>
          <w:trHeight w:val="432"/>
        </w:trPr>
        <w:tc>
          <w:tcPr>
            <w:tcW w:w="3973" w:type="dxa"/>
            <w:noWrap/>
          </w:tcPr>
          <w:p w14:paraId="0FF4A760" w14:textId="77777777" w:rsidR="006304EB" w:rsidRPr="005F4649" w:rsidRDefault="006304EB" w:rsidP="00A95965">
            <w:pPr>
              <w:pStyle w:val="TableText"/>
              <w:rPr>
                <w:b/>
                <w:szCs w:val="20"/>
              </w:rPr>
            </w:pPr>
          </w:p>
        </w:tc>
        <w:tc>
          <w:tcPr>
            <w:tcW w:w="1127" w:type="dxa"/>
          </w:tcPr>
          <w:p w14:paraId="37C5D3A2" w14:textId="77777777" w:rsidR="006304EB" w:rsidRPr="005F4649" w:rsidRDefault="006304EB" w:rsidP="006304EB">
            <w:pPr>
              <w:pStyle w:val="TableText"/>
              <w:rPr>
                <w:b/>
                <w:szCs w:val="20"/>
              </w:rPr>
            </w:pPr>
          </w:p>
        </w:tc>
        <w:tc>
          <w:tcPr>
            <w:tcW w:w="1132" w:type="dxa"/>
          </w:tcPr>
          <w:p w14:paraId="3B54CBD0" w14:textId="77777777" w:rsidR="006304EB" w:rsidRPr="005F4649" w:rsidRDefault="006304EB" w:rsidP="00A95965">
            <w:pPr>
              <w:pStyle w:val="TableText"/>
              <w:rPr>
                <w:b/>
                <w:szCs w:val="20"/>
              </w:rPr>
            </w:pPr>
          </w:p>
        </w:tc>
        <w:tc>
          <w:tcPr>
            <w:tcW w:w="971" w:type="dxa"/>
          </w:tcPr>
          <w:p w14:paraId="3F1BBBDC" w14:textId="77777777" w:rsidR="006304EB" w:rsidRPr="005F4649" w:rsidRDefault="006304EB" w:rsidP="00A95965">
            <w:pPr>
              <w:pStyle w:val="TableText"/>
              <w:rPr>
                <w:b/>
                <w:szCs w:val="20"/>
              </w:rPr>
            </w:pPr>
          </w:p>
        </w:tc>
        <w:tc>
          <w:tcPr>
            <w:tcW w:w="971" w:type="dxa"/>
          </w:tcPr>
          <w:p w14:paraId="2602C3D6" w14:textId="77777777" w:rsidR="006304EB" w:rsidRPr="005F4649" w:rsidRDefault="006304EB" w:rsidP="00A95965">
            <w:pPr>
              <w:pStyle w:val="TableText"/>
              <w:rPr>
                <w:b/>
                <w:szCs w:val="20"/>
              </w:rPr>
            </w:pPr>
          </w:p>
        </w:tc>
        <w:tc>
          <w:tcPr>
            <w:tcW w:w="971" w:type="dxa"/>
          </w:tcPr>
          <w:p w14:paraId="531FA535" w14:textId="77777777" w:rsidR="006304EB" w:rsidRPr="005F4649" w:rsidRDefault="006304EB" w:rsidP="00A95965">
            <w:pPr>
              <w:pStyle w:val="TableText"/>
              <w:rPr>
                <w:b/>
                <w:szCs w:val="20"/>
              </w:rPr>
            </w:pPr>
          </w:p>
        </w:tc>
        <w:tc>
          <w:tcPr>
            <w:tcW w:w="971" w:type="dxa"/>
          </w:tcPr>
          <w:p w14:paraId="0011D280" w14:textId="77777777" w:rsidR="006304EB" w:rsidRPr="005F4649" w:rsidRDefault="006304EB" w:rsidP="00A95965">
            <w:pPr>
              <w:pStyle w:val="TableText"/>
              <w:rPr>
                <w:b/>
                <w:szCs w:val="20"/>
              </w:rPr>
            </w:pPr>
          </w:p>
        </w:tc>
        <w:tc>
          <w:tcPr>
            <w:tcW w:w="1103" w:type="dxa"/>
          </w:tcPr>
          <w:p w14:paraId="46C52FB9" w14:textId="77777777" w:rsidR="006304EB" w:rsidRDefault="006304EB" w:rsidP="00A95965">
            <w:pPr>
              <w:pStyle w:val="TableText"/>
              <w:rPr>
                <w:b/>
                <w:szCs w:val="20"/>
              </w:rPr>
            </w:pPr>
          </w:p>
        </w:tc>
        <w:tc>
          <w:tcPr>
            <w:tcW w:w="1741" w:type="dxa"/>
          </w:tcPr>
          <w:p w14:paraId="15C4A108" w14:textId="77777777" w:rsidR="006304EB" w:rsidRPr="005F4649" w:rsidRDefault="006304EB" w:rsidP="00A95965">
            <w:pPr>
              <w:pStyle w:val="TableText"/>
              <w:rPr>
                <w:b/>
                <w:szCs w:val="20"/>
              </w:rPr>
            </w:pPr>
          </w:p>
        </w:tc>
      </w:tr>
      <w:tr w:rsidR="006304EB" w14:paraId="3FB535F2" w14:textId="77777777">
        <w:trPr>
          <w:cantSplit/>
          <w:trHeight w:val="432"/>
        </w:trPr>
        <w:tc>
          <w:tcPr>
            <w:tcW w:w="3973" w:type="dxa"/>
            <w:noWrap/>
          </w:tcPr>
          <w:p w14:paraId="60633A15" w14:textId="77777777" w:rsidR="006304EB" w:rsidRPr="005F4649" w:rsidRDefault="006304EB" w:rsidP="00A95965">
            <w:pPr>
              <w:pStyle w:val="TableText"/>
              <w:rPr>
                <w:b/>
                <w:szCs w:val="20"/>
              </w:rPr>
            </w:pPr>
          </w:p>
        </w:tc>
        <w:tc>
          <w:tcPr>
            <w:tcW w:w="1127" w:type="dxa"/>
          </w:tcPr>
          <w:p w14:paraId="59B82459" w14:textId="77777777" w:rsidR="006304EB" w:rsidRPr="005F4649" w:rsidRDefault="006304EB" w:rsidP="006304EB">
            <w:pPr>
              <w:pStyle w:val="TableText"/>
              <w:rPr>
                <w:b/>
                <w:szCs w:val="20"/>
              </w:rPr>
            </w:pPr>
          </w:p>
        </w:tc>
        <w:tc>
          <w:tcPr>
            <w:tcW w:w="1132" w:type="dxa"/>
          </w:tcPr>
          <w:p w14:paraId="085759AE" w14:textId="77777777" w:rsidR="006304EB" w:rsidRPr="005F4649" w:rsidRDefault="006304EB" w:rsidP="00A95965">
            <w:pPr>
              <w:pStyle w:val="TableText"/>
              <w:rPr>
                <w:b/>
                <w:szCs w:val="20"/>
              </w:rPr>
            </w:pPr>
          </w:p>
        </w:tc>
        <w:tc>
          <w:tcPr>
            <w:tcW w:w="971" w:type="dxa"/>
          </w:tcPr>
          <w:p w14:paraId="1A18188B" w14:textId="77777777" w:rsidR="006304EB" w:rsidRPr="005F4649" w:rsidRDefault="006304EB" w:rsidP="00A95965">
            <w:pPr>
              <w:pStyle w:val="TableText"/>
              <w:rPr>
                <w:b/>
                <w:szCs w:val="20"/>
              </w:rPr>
            </w:pPr>
          </w:p>
        </w:tc>
        <w:tc>
          <w:tcPr>
            <w:tcW w:w="971" w:type="dxa"/>
          </w:tcPr>
          <w:p w14:paraId="2972460B" w14:textId="77777777" w:rsidR="006304EB" w:rsidRPr="005F4649" w:rsidRDefault="006304EB" w:rsidP="00A95965">
            <w:pPr>
              <w:pStyle w:val="TableText"/>
              <w:rPr>
                <w:b/>
                <w:szCs w:val="20"/>
              </w:rPr>
            </w:pPr>
          </w:p>
        </w:tc>
        <w:tc>
          <w:tcPr>
            <w:tcW w:w="971" w:type="dxa"/>
          </w:tcPr>
          <w:p w14:paraId="1FF5DAA8" w14:textId="77777777" w:rsidR="006304EB" w:rsidRPr="005F4649" w:rsidRDefault="006304EB" w:rsidP="00A95965">
            <w:pPr>
              <w:pStyle w:val="TableText"/>
              <w:rPr>
                <w:b/>
                <w:szCs w:val="20"/>
              </w:rPr>
            </w:pPr>
          </w:p>
        </w:tc>
        <w:tc>
          <w:tcPr>
            <w:tcW w:w="971" w:type="dxa"/>
          </w:tcPr>
          <w:p w14:paraId="35D21D86" w14:textId="77777777" w:rsidR="006304EB" w:rsidRPr="005F4649" w:rsidRDefault="006304EB" w:rsidP="00A95965">
            <w:pPr>
              <w:pStyle w:val="TableText"/>
              <w:rPr>
                <w:b/>
                <w:szCs w:val="20"/>
              </w:rPr>
            </w:pPr>
          </w:p>
        </w:tc>
        <w:tc>
          <w:tcPr>
            <w:tcW w:w="1103" w:type="dxa"/>
          </w:tcPr>
          <w:p w14:paraId="58C363E3" w14:textId="77777777" w:rsidR="006304EB" w:rsidRDefault="006304EB" w:rsidP="00A95965">
            <w:pPr>
              <w:pStyle w:val="TableText"/>
              <w:rPr>
                <w:b/>
                <w:szCs w:val="20"/>
              </w:rPr>
            </w:pPr>
          </w:p>
        </w:tc>
        <w:tc>
          <w:tcPr>
            <w:tcW w:w="1741" w:type="dxa"/>
          </w:tcPr>
          <w:p w14:paraId="5ADBDCDF" w14:textId="77777777" w:rsidR="006304EB" w:rsidRPr="005F4649" w:rsidRDefault="006304EB" w:rsidP="00A95965">
            <w:pPr>
              <w:pStyle w:val="TableText"/>
              <w:rPr>
                <w:b/>
                <w:szCs w:val="20"/>
              </w:rPr>
            </w:pPr>
          </w:p>
        </w:tc>
      </w:tr>
      <w:tr w:rsidR="006304EB" w14:paraId="04CD2994" w14:textId="77777777">
        <w:trPr>
          <w:cantSplit/>
          <w:trHeight w:val="432"/>
        </w:trPr>
        <w:tc>
          <w:tcPr>
            <w:tcW w:w="3973" w:type="dxa"/>
            <w:noWrap/>
          </w:tcPr>
          <w:p w14:paraId="25E36413" w14:textId="77777777" w:rsidR="006304EB" w:rsidRPr="005F4649" w:rsidRDefault="006304EB" w:rsidP="00A95965">
            <w:pPr>
              <w:pStyle w:val="TableText"/>
              <w:rPr>
                <w:b/>
                <w:szCs w:val="20"/>
              </w:rPr>
            </w:pPr>
          </w:p>
        </w:tc>
        <w:tc>
          <w:tcPr>
            <w:tcW w:w="1127" w:type="dxa"/>
          </w:tcPr>
          <w:p w14:paraId="1F82FA9B" w14:textId="77777777" w:rsidR="006304EB" w:rsidRPr="005F4649" w:rsidRDefault="006304EB" w:rsidP="006304EB">
            <w:pPr>
              <w:pStyle w:val="TableText"/>
              <w:rPr>
                <w:b/>
                <w:szCs w:val="20"/>
              </w:rPr>
            </w:pPr>
          </w:p>
        </w:tc>
        <w:tc>
          <w:tcPr>
            <w:tcW w:w="1132" w:type="dxa"/>
          </w:tcPr>
          <w:p w14:paraId="7ED4CDA4" w14:textId="77777777" w:rsidR="006304EB" w:rsidRPr="005F4649" w:rsidRDefault="006304EB" w:rsidP="00A95965">
            <w:pPr>
              <w:pStyle w:val="TableText"/>
              <w:rPr>
                <w:b/>
                <w:szCs w:val="20"/>
              </w:rPr>
            </w:pPr>
          </w:p>
        </w:tc>
        <w:tc>
          <w:tcPr>
            <w:tcW w:w="971" w:type="dxa"/>
          </w:tcPr>
          <w:p w14:paraId="44E21BC4" w14:textId="77777777" w:rsidR="006304EB" w:rsidRPr="005F4649" w:rsidRDefault="006304EB" w:rsidP="00A95965">
            <w:pPr>
              <w:pStyle w:val="TableText"/>
              <w:rPr>
                <w:b/>
                <w:szCs w:val="20"/>
              </w:rPr>
            </w:pPr>
          </w:p>
        </w:tc>
        <w:tc>
          <w:tcPr>
            <w:tcW w:w="971" w:type="dxa"/>
          </w:tcPr>
          <w:p w14:paraId="31500C8A" w14:textId="77777777" w:rsidR="006304EB" w:rsidRPr="005F4649" w:rsidRDefault="006304EB" w:rsidP="00A95965">
            <w:pPr>
              <w:pStyle w:val="TableText"/>
              <w:rPr>
                <w:b/>
                <w:szCs w:val="20"/>
              </w:rPr>
            </w:pPr>
          </w:p>
        </w:tc>
        <w:tc>
          <w:tcPr>
            <w:tcW w:w="971" w:type="dxa"/>
          </w:tcPr>
          <w:p w14:paraId="66FDD7E8" w14:textId="77777777" w:rsidR="006304EB" w:rsidRPr="005F4649" w:rsidRDefault="006304EB" w:rsidP="00A95965">
            <w:pPr>
              <w:pStyle w:val="TableText"/>
              <w:rPr>
                <w:b/>
                <w:szCs w:val="20"/>
              </w:rPr>
            </w:pPr>
          </w:p>
        </w:tc>
        <w:tc>
          <w:tcPr>
            <w:tcW w:w="971" w:type="dxa"/>
          </w:tcPr>
          <w:p w14:paraId="3350CDF4" w14:textId="77777777" w:rsidR="006304EB" w:rsidRPr="005F4649" w:rsidRDefault="006304EB" w:rsidP="00A95965">
            <w:pPr>
              <w:pStyle w:val="TableText"/>
              <w:rPr>
                <w:b/>
                <w:szCs w:val="20"/>
              </w:rPr>
            </w:pPr>
          </w:p>
        </w:tc>
        <w:tc>
          <w:tcPr>
            <w:tcW w:w="1103" w:type="dxa"/>
          </w:tcPr>
          <w:p w14:paraId="3DF9C7FB" w14:textId="77777777" w:rsidR="006304EB" w:rsidRDefault="006304EB" w:rsidP="00A95965">
            <w:pPr>
              <w:pStyle w:val="TableText"/>
              <w:rPr>
                <w:b/>
                <w:szCs w:val="20"/>
              </w:rPr>
            </w:pPr>
          </w:p>
        </w:tc>
        <w:tc>
          <w:tcPr>
            <w:tcW w:w="1741" w:type="dxa"/>
          </w:tcPr>
          <w:p w14:paraId="3279C6D2" w14:textId="77777777" w:rsidR="006304EB" w:rsidRPr="005F4649" w:rsidRDefault="006304EB" w:rsidP="00A95965">
            <w:pPr>
              <w:pStyle w:val="TableText"/>
              <w:rPr>
                <w:b/>
                <w:szCs w:val="20"/>
              </w:rPr>
            </w:pPr>
          </w:p>
        </w:tc>
      </w:tr>
      <w:tr w:rsidR="006304EB" w14:paraId="2B8332EE" w14:textId="77777777">
        <w:trPr>
          <w:cantSplit/>
          <w:trHeight w:val="432"/>
        </w:trPr>
        <w:tc>
          <w:tcPr>
            <w:tcW w:w="3973" w:type="dxa"/>
            <w:noWrap/>
          </w:tcPr>
          <w:p w14:paraId="4DC0CA96" w14:textId="77777777" w:rsidR="006304EB" w:rsidRPr="005F4649" w:rsidRDefault="006304EB" w:rsidP="00A95965">
            <w:pPr>
              <w:pStyle w:val="TableText"/>
              <w:rPr>
                <w:b/>
                <w:szCs w:val="20"/>
              </w:rPr>
            </w:pPr>
          </w:p>
        </w:tc>
        <w:tc>
          <w:tcPr>
            <w:tcW w:w="1127" w:type="dxa"/>
          </w:tcPr>
          <w:p w14:paraId="7828C2B1" w14:textId="77777777" w:rsidR="006304EB" w:rsidRPr="005F4649" w:rsidRDefault="006304EB" w:rsidP="006304EB">
            <w:pPr>
              <w:pStyle w:val="TableText"/>
              <w:rPr>
                <w:b/>
                <w:szCs w:val="20"/>
              </w:rPr>
            </w:pPr>
          </w:p>
        </w:tc>
        <w:tc>
          <w:tcPr>
            <w:tcW w:w="1132" w:type="dxa"/>
          </w:tcPr>
          <w:p w14:paraId="4EC1F736" w14:textId="77777777" w:rsidR="006304EB" w:rsidRPr="005F4649" w:rsidRDefault="006304EB" w:rsidP="00A95965">
            <w:pPr>
              <w:pStyle w:val="TableText"/>
              <w:rPr>
                <w:b/>
                <w:szCs w:val="20"/>
              </w:rPr>
            </w:pPr>
          </w:p>
        </w:tc>
        <w:tc>
          <w:tcPr>
            <w:tcW w:w="971" w:type="dxa"/>
          </w:tcPr>
          <w:p w14:paraId="0235B6A7" w14:textId="77777777" w:rsidR="006304EB" w:rsidRPr="005F4649" w:rsidRDefault="006304EB" w:rsidP="00A95965">
            <w:pPr>
              <w:pStyle w:val="TableText"/>
              <w:rPr>
                <w:b/>
                <w:szCs w:val="20"/>
              </w:rPr>
            </w:pPr>
          </w:p>
        </w:tc>
        <w:tc>
          <w:tcPr>
            <w:tcW w:w="971" w:type="dxa"/>
          </w:tcPr>
          <w:p w14:paraId="61ACC496" w14:textId="77777777" w:rsidR="006304EB" w:rsidRPr="005F4649" w:rsidRDefault="006304EB" w:rsidP="00A95965">
            <w:pPr>
              <w:pStyle w:val="TableText"/>
              <w:rPr>
                <w:b/>
                <w:szCs w:val="20"/>
              </w:rPr>
            </w:pPr>
          </w:p>
        </w:tc>
        <w:tc>
          <w:tcPr>
            <w:tcW w:w="971" w:type="dxa"/>
          </w:tcPr>
          <w:p w14:paraId="3BFE96DF" w14:textId="77777777" w:rsidR="006304EB" w:rsidRPr="005F4649" w:rsidRDefault="006304EB" w:rsidP="00A95965">
            <w:pPr>
              <w:pStyle w:val="TableText"/>
              <w:rPr>
                <w:b/>
                <w:szCs w:val="20"/>
              </w:rPr>
            </w:pPr>
          </w:p>
        </w:tc>
        <w:tc>
          <w:tcPr>
            <w:tcW w:w="971" w:type="dxa"/>
          </w:tcPr>
          <w:p w14:paraId="30EEB477" w14:textId="77777777" w:rsidR="006304EB" w:rsidRPr="005F4649" w:rsidRDefault="006304EB" w:rsidP="00A95965">
            <w:pPr>
              <w:pStyle w:val="TableText"/>
              <w:rPr>
                <w:b/>
                <w:szCs w:val="20"/>
              </w:rPr>
            </w:pPr>
          </w:p>
        </w:tc>
        <w:tc>
          <w:tcPr>
            <w:tcW w:w="1103" w:type="dxa"/>
          </w:tcPr>
          <w:p w14:paraId="508E0FB2" w14:textId="77777777" w:rsidR="006304EB" w:rsidRDefault="006304EB" w:rsidP="00A95965">
            <w:pPr>
              <w:pStyle w:val="TableText"/>
              <w:rPr>
                <w:b/>
                <w:szCs w:val="20"/>
              </w:rPr>
            </w:pPr>
          </w:p>
        </w:tc>
        <w:tc>
          <w:tcPr>
            <w:tcW w:w="1741" w:type="dxa"/>
          </w:tcPr>
          <w:p w14:paraId="74FD1107" w14:textId="77777777" w:rsidR="006304EB" w:rsidRPr="005F4649" w:rsidRDefault="006304EB" w:rsidP="00A95965">
            <w:pPr>
              <w:pStyle w:val="TableText"/>
              <w:rPr>
                <w:b/>
                <w:szCs w:val="20"/>
              </w:rPr>
            </w:pPr>
          </w:p>
        </w:tc>
      </w:tr>
      <w:tr w:rsidR="006304EB" w14:paraId="000F378F" w14:textId="77777777">
        <w:trPr>
          <w:cantSplit/>
          <w:trHeight w:val="432"/>
        </w:trPr>
        <w:tc>
          <w:tcPr>
            <w:tcW w:w="3973" w:type="dxa"/>
            <w:noWrap/>
          </w:tcPr>
          <w:p w14:paraId="634591D3" w14:textId="77777777" w:rsidR="006304EB" w:rsidRPr="005F4649" w:rsidRDefault="006304EB" w:rsidP="00A95965">
            <w:pPr>
              <w:pStyle w:val="TableText"/>
              <w:rPr>
                <w:b/>
                <w:szCs w:val="20"/>
              </w:rPr>
            </w:pPr>
          </w:p>
        </w:tc>
        <w:tc>
          <w:tcPr>
            <w:tcW w:w="1127" w:type="dxa"/>
          </w:tcPr>
          <w:p w14:paraId="7EF842C9" w14:textId="77777777" w:rsidR="006304EB" w:rsidRPr="005F4649" w:rsidRDefault="006304EB" w:rsidP="006304EB">
            <w:pPr>
              <w:pStyle w:val="TableText"/>
              <w:rPr>
                <w:b/>
                <w:szCs w:val="20"/>
              </w:rPr>
            </w:pPr>
          </w:p>
        </w:tc>
        <w:tc>
          <w:tcPr>
            <w:tcW w:w="1132" w:type="dxa"/>
          </w:tcPr>
          <w:p w14:paraId="152711E2" w14:textId="77777777" w:rsidR="006304EB" w:rsidRPr="005F4649" w:rsidRDefault="006304EB" w:rsidP="00A95965">
            <w:pPr>
              <w:pStyle w:val="TableText"/>
              <w:rPr>
                <w:b/>
                <w:szCs w:val="20"/>
              </w:rPr>
            </w:pPr>
          </w:p>
        </w:tc>
        <w:tc>
          <w:tcPr>
            <w:tcW w:w="971" w:type="dxa"/>
          </w:tcPr>
          <w:p w14:paraId="16E5BE21" w14:textId="77777777" w:rsidR="006304EB" w:rsidRPr="005F4649" w:rsidRDefault="006304EB" w:rsidP="00A95965">
            <w:pPr>
              <w:pStyle w:val="TableText"/>
              <w:rPr>
                <w:b/>
                <w:szCs w:val="20"/>
              </w:rPr>
            </w:pPr>
          </w:p>
        </w:tc>
        <w:tc>
          <w:tcPr>
            <w:tcW w:w="971" w:type="dxa"/>
          </w:tcPr>
          <w:p w14:paraId="06BBC638" w14:textId="77777777" w:rsidR="006304EB" w:rsidRPr="005F4649" w:rsidRDefault="006304EB" w:rsidP="00A95965">
            <w:pPr>
              <w:pStyle w:val="TableText"/>
              <w:rPr>
                <w:b/>
                <w:szCs w:val="20"/>
              </w:rPr>
            </w:pPr>
          </w:p>
        </w:tc>
        <w:tc>
          <w:tcPr>
            <w:tcW w:w="971" w:type="dxa"/>
          </w:tcPr>
          <w:p w14:paraId="6CAFF7BB" w14:textId="77777777" w:rsidR="006304EB" w:rsidRPr="005F4649" w:rsidRDefault="006304EB" w:rsidP="00A95965">
            <w:pPr>
              <w:pStyle w:val="TableText"/>
              <w:rPr>
                <w:b/>
                <w:szCs w:val="20"/>
              </w:rPr>
            </w:pPr>
          </w:p>
        </w:tc>
        <w:tc>
          <w:tcPr>
            <w:tcW w:w="971" w:type="dxa"/>
          </w:tcPr>
          <w:p w14:paraId="35BFB346" w14:textId="77777777" w:rsidR="006304EB" w:rsidRPr="005F4649" w:rsidRDefault="006304EB" w:rsidP="00A95965">
            <w:pPr>
              <w:pStyle w:val="TableText"/>
              <w:rPr>
                <w:b/>
                <w:szCs w:val="20"/>
              </w:rPr>
            </w:pPr>
          </w:p>
        </w:tc>
        <w:tc>
          <w:tcPr>
            <w:tcW w:w="1103" w:type="dxa"/>
          </w:tcPr>
          <w:p w14:paraId="164D6577" w14:textId="77777777" w:rsidR="006304EB" w:rsidRDefault="006304EB" w:rsidP="00A95965">
            <w:pPr>
              <w:pStyle w:val="TableText"/>
              <w:rPr>
                <w:b/>
                <w:szCs w:val="20"/>
              </w:rPr>
            </w:pPr>
          </w:p>
        </w:tc>
        <w:tc>
          <w:tcPr>
            <w:tcW w:w="1741" w:type="dxa"/>
          </w:tcPr>
          <w:p w14:paraId="323A4253" w14:textId="77777777" w:rsidR="006304EB" w:rsidRPr="005F4649" w:rsidRDefault="006304EB" w:rsidP="00A95965">
            <w:pPr>
              <w:pStyle w:val="TableText"/>
              <w:rPr>
                <w:b/>
                <w:szCs w:val="20"/>
              </w:rPr>
            </w:pPr>
          </w:p>
        </w:tc>
      </w:tr>
      <w:tr w:rsidR="006304EB" w14:paraId="43198127" w14:textId="77777777">
        <w:trPr>
          <w:cantSplit/>
          <w:trHeight w:val="432"/>
        </w:trPr>
        <w:tc>
          <w:tcPr>
            <w:tcW w:w="3973" w:type="dxa"/>
            <w:noWrap/>
          </w:tcPr>
          <w:p w14:paraId="62D30E69" w14:textId="77777777" w:rsidR="006304EB" w:rsidRPr="005F4649" w:rsidRDefault="006304EB" w:rsidP="00A95965">
            <w:pPr>
              <w:pStyle w:val="TableText"/>
              <w:rPr>
                <w:b/>
                <w:szCs w:val="20"/>
              </w:rPr>
            </w:pPr>
          </w:p>
        </w:tc>
        <w:tc>
          <w:tcPr>
            <w:tcW w:w="1127" w:type="dxa"/>
          </w:tcPr>
          <w:p w14:paraId="55DCCB74" w14:textId="77777777" w:rsidR="006304EB" w:rsidRPr="005F4649" w:rsidRDefault="006304EB" w:rsidP="006304EB">
            <w:pPr>
              <w:pStyle w:val="TableText"/>
              <w:rPr>
                <w:b/>
                <w:szCs w:val="20"/>
              </w:rPr>
            </w:pPr>
          </w:p>
        </w:tc>
        <w:tc>
          <w:tcPr>
            <w:tcW w:w="1132" w:type="dxa"/>
          </w:tcPr>
          <w:p w14:paraId="12760B8B" w14:textId="77777777" w:rsidR="006304EB" w:rsidRPr="005F4649" w:rsidRDefault="006304EB" w:rsidP="00A95965">
            <w:pPr>
              <w:pStyle w:val="TableText"/>
              <w:rPr>
                <w:b/>
                <w:szCs w:val="20"/>
              </w:rPr>
            </w:pPr>
          </w:p>
        </w:tc>
        <w:tc>
          <w:tcPr>
            <w:tcW w:w="971" w:type="dxa"/>
          </w:tcPr>
          <w:p w14:paraId="55A58446" w14:textId="77777777" w:rsidR="006304EB" w:rsidRPr="005F4649" w:rsidRDefault="006304EB" w:rsidP="00A95965">
            <w:pPr>
              <w:pStyle w:val="TableText"/>
              <w:rPr>
                <w:b/>
                <w:szCs w:val="20"/>
              </w:rPr>
            </w:pPr>
          </w:p>
        </w:tc>
        <w:tc>
          <w:tcPr>
            <w:tcW w:w="971" w:type="dxa"/>
          </w:tcPr>
          <w:p w14:paraId="49D054C9" w14:textId="77777777" w:rsidR="006304EB" w:rsidRPr="005F4649" w:rsidRDefault="006304EB" w:rsidP="00A95965">
            <w:pPr>
              <w:pStyle w:val="TableText"/>
              <w:rPr>
                <w:b/>
                <w:szCs w:val="20"/>
              </w:rPr>
            </w:pPr>
          </w:p>
        </w:tc>
        <w:tc>
          <w:tcPr>
            <w:tcW w:w="971" w:type="dxa"/>
          </w:tcPr>
          <w:p w14:paraId="58517750" w14:textId="77777777" w:rsidR="006304EB" w:rsidRPr="005F4649" w:rsidRDefault="006304EB" w:rsidP="00A95965">
            <w:pPr>
              <w:pStyle w:val="TableText"/>
              <w:rPr>
                <w:b/>
                <w:szCs w:val="20"/>
              </w:rPr>
            </w:pPr>
          </w:p>
        </w:tc>
        <w:tc>
          <w:tcPr>
            <w:tcW w:w="971" w:type="dxa"/>
          </w:tcPr>
          <w:p w14:paraId="485B1F2A" w14:textId="77777777" w:rsidR="006304EB" w:rsidRPr="005F4649" w:rsidRDefault="006304EB" w:rsidP="00A95965">
            <w:pPr>
              <w:pStyle w:val="TableText"/>
              <w:rPr>
                <w:b/>
                <w:szCs w:val="20"/>
              </w:rPr>
            </w:pPr>
          </w:p>
        </w:tc>
        <w:tc>
          <w:tcPr>
            <w:tcW w:w="1103" w:type="dxa"/>
          </w:tcPr>
          <w:p w14:paraId="6AC765B2" w14:textId="77777777" w:rsidR="006304EB" w:rsidRDefault="006304EB" w:rsidP="00A95965">
            <w:pPr>
              <w:pStyle w:val="TableText"/>
              <w:rPr>
                <w:b/>
                <w:szCs w:val="20"/>
              </w:rPr>
            </w:pPr>
          </w:p>
        </w:tc>
        <w:tc>
          <w:tcPr>
            <w:tcW w:w="1741" w:type="dxa"/>
          </w:tcPr>
          <w:p w14:paraId="7E955CE4" w14:textId="77777777" w:rsidR="006304EB" w:rsidRPr="005F4649" w:rsidRDefault="006304EB" w:rsidP="00A95965">
            <w:pPr>
              <w:pStyle w:val="TableText"/>
              <w:rPr>
                <w:b/>
                <w:szCs w:val="20"/>
              </w:rPr>
            </w:pPr>
          </w:p>
        </w:tc>
      </w:tr>
      <w:tr w:rsidR="006304EB" w14:paraId="79A0BBD2" w14:textId="77777777">
        <w:trPr>
          <w:cantSplit/>
          <w:trHeight w:val="432"/>
        </w:trPr>
        <w:tc>
          <w:tcPr>
            <w:tcW w:w="3973" w:type="dxa"/>
            <w:noWrap/>
          </w:tcPr>
          <w:p w14:paraId="447C856B" w14:textId="77777777" w:rsidR="006304EB" w:rsidRPr="005F4649" w:rsidRDefault="006304EB" w:rsidP="00A95965">
            <w:pPr>
              <w:pStyle w:val="TableText"/>
              <w:rPr>
                <w:b/>
                <w:szCs w:val="20"/>
              </w:rPr>
            </w:pPr>
          </w:p>
        </w:tc>
        <w:tc>
          <w:tcPr>
            <w:tcW w:w="1127" w:type="dxa"/>
          </w:tcPr>
          <w:p w14:paraId="781721F3" w14:textId="77777777" w:rsidR="006304EB" w:rsidRPr="005F4649" w:rsidRDefault="006304EB" w:rsidP="006304EB">
            <w:pPr>
              <w:pStyle w:val="TableText"/>
              <w:rPr>
                <w:b/>
                <w:szCs w:val="20"/>
              </w:rPr>
            </w:pPr>
          </w:p>
        </w:tc>
        <w:tc>
          <w:tcPr>
            <w:tcW w:w="1132" w:type="dxa"/>
          </w:tcPr>
          <w:p w14:paraId="2A7E5D71" w14:textId="77777777" w:rsidR="006304EB" w:rsidRPr="005F4649" w:rsidRDefault="006304EB" w:rsidP="00A95965">
            <w:pPr>
              <w:pStyle w:val="TableText"/>
              <w:rPr>
                <w:b/>
                <w:szCs w:val="20"/>
              </w:rPr>
            </w:pPr>
          </w:p>
        </w:tc>
        <w:tc>
          <w:tcPr>
            <w:tcW w:w="971" w:type="dxa"/>
          </w:tcPr>
          <w:p w14:paraId="4CD37CC2" w14:textId="77777777" w:rsidR="006304EB" w:rsidRPr="005F4649" w:rsidRDefault="006304EB" w:rsidP="00A95965">
            <w:pPr>
              <w:pStyle w:val="TableText"/>
              <w:rPr>
                <w:b/>
                <w:szCs w:val="20"/>
              </w:rPr>
            </w:pPr>
          </w:p>
        </w:tc>
        <w:tc>
          <w:tcPr>
            <w:tcW w:w="971" w:type="dxa"/>
          </w:tcPr>
          <w:p w14:paraId="68660DF8" w14:textId="77777777" w:rsidR="006304EB" w:rsidRPr="005F4649" w:rsidRDefault="006304EB" w:rsidP="00A95965">
            <w:pPr>
              <w:pStyle w:val="TableText"/>
              <w:rPr>
                <w:b/>
                <w:szCs w:val="20"/>
              </w:rPr>
            </w:pPr>
          </w:p>
        </w:tc>
        <w:tc>
          <w:tcPr>
            <w:tcW w:w="971" w:type="dxa"/>
          </w:tcPr>
          <w:p w14:paraId="2E32C7B9" w14:textId="77777777" w:rsidR="006304EB" w:rsidRPr="005F4649" w:rsidRDefault="006304EB" w:rsidP="00A95965">
            <w:pPr>
              <w:pStyle w:val="TableText"/>
              <w:rPr>
                <w:b/>
                <w:szCs w:val="20"/>
              </w:rPr>
            </w:pPr>
          </w:p>
        </w:tc>
        <w:tc>
          <w:tcPr>
            <w:tcW w:w="971" w:type="dxa"/>
          </w:tcPr>
          <w:p w14:paraId="6D24DBDF" w14:textId="77777777" w:rsidR="006304EB" w:rsidRPr="005F4649" w:rsidRDefault="006304EB" w:rsidP="00A95965">
            <w:pPr>
              <w:pStyle w:val="TableText"/>
              <w:rPr>
                <w:b/>
                <w:szCs w:val="20"/>
              </w:rPr>
            </w:pPr>
          </w:p>
        </w:tc>
        <w:tc>
          <w:tcPr>
            <w:tcW w:w="1103" w:type="dxa"/>
          </w:tcPr>
          <w:p w14:paraId="3A13E7C8" w14:textId="77777777" w:rsidR="006304EB" w:rsidRDefault="006304EB" w:rsidP="00A95965">
            <w:pPr>
              <w:pStyle w:val="TableText"/>
              <w:rPr>
                <w:b/>
                <w:szCs w:val="20"/>
              </w:rPr>
            </w:pPr>
          </w:p>
        </w:tc>
        <w:tc>
          <w:tcPr>
            <w:tcW w:w="1741" w:type="dxa"/>
          </w:tcPr>
          <w:p w14:paraId="28AFC18B" w14:textId="77777777" w:rsidR="006304EB" w:rsidRPr="005F4649" w:rsidRDefault="006304EB" w:rsidP="00A95965">
            <w:pPr>
              <w:pStyle w:val="TableText"/>
              <w:rPr>
                <w:b/>
                <w:szCs w:val="20"/>
              </w:rPr>
            </w:pPr>
          </w:p>
        </w:tc>
      </w:tr>
    </w:tbl>
    <w:p w14:paraId="26526EB0" w14:textId="77777777" w:rsidR="00E7240A" w:rsidRDefault="00E7240A" w:rsidP="00E7240A">
      <w:pPr>
        <w:pStyle w:val="Heading3"/>
      </w:pPr>
      <w:bookmarkStart w:id="707" w:name="_Toc47516804"/>
      <w:r>
        <w:lastRenderedPageBreak/>
        <w:t>Unit Issue and Inspection Log</w:t>
      </w:r>
      <w:bookmarkEnd w:id="707"/>
      <w:r w:rsidR="00246F04">
        <w:fldChar w:fldCharType="begin"/>
      </w:r>
      <w:r w:rsidR="00246F04">
        <w:instrText xml:space="preserve"> XE "</w:instrText>
      </w:r>
      <w:r w:rsidR="00246F04" w:rsidRPr="003C3810">
        <w:instrText>Unit Issue and Inspection Log</w:instrText>
      </w:r>
      <w:r w:rsidR="00246F04">
        <w:instrText xml:space="preserve">" </w:instrText>
      </w:r>
      <w:r w:rsidR="00246F04">
        <w:fldChar w:fldCharType="end"/>
      </w:r>
      <w:r w:rsidR="00A95965">
        <w:fldChar w:fldCharType="begin"/>
      </w:r>
      <w:r w:rsidR="00A95965">
        <w:instrText xml:space="preserve"> XE “Forms:Unit Issue and Inspection Log”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2290"/>
        <w:gridCol w:w="897"/>
        <w:gridCol w:w="797"/>
        <w:gridCol w:w="835"/>
        <w:gridCol w:w="905"/>
        <w:gridCol w:w="1357"/>
        <w:gridCol w:w="747"/>
        <w:gridCol w:w="708"/>
        <w:gridCol w:w="1026"/>
      </w:tblGrid>
      <w:tr w:rsidR="003F4F8B" w14:paraId="4A5C6A2D" w14:textId="77777777">
        <w:tc>
          <w:tcPr>
            <w:tcW w:w="12960" w:type="dxa"/>
            <w:gridSpan w:val="10"/>
          </w:tcPr>
          <w:p w14:paraId="436D121B" w14:textId="77777777" w:rsidR="003F4F8B" w:rsidRPr="003F4F8B" w:rsidRDefault="003F4F8B" w:rsidP="003F4F8B">
            <w:pPr>
              <w:pStyle w:val="TableText"/>
            </w:pPr>
            <w:r w:rsidRPr="00887834">
              <w:rPr>
                <w:b/>
              </w:rPr>
              <w:t xml:space="preserve">Facility Name: </w:t>
            </w:r>
          </w:p>
        </w:tc>
      </w:tr>
      <w:tr w:rsidR="003F4F8B" w14:paraId="0F9B9232" w14:textId="77777777">
        <w:tc>
          <w:tcPr>
            <w:tcW w:w="12960" w:type="dxa"/>
            <w:gridSpan w:val="10"/>
          </w:tcPr>
          <w:p w14:paraId="56622E6B" w14:textId="77777777" w:rsidR="003F4F8B" w:rsidRPr="003F4F8B" w:rsidRDefault="003F4F8B" w:rsidP="003F4F8B">
            <w:pPr>
              <w:pStyle w:val="TableText"/>
            </w:pPr>
            <w:r w:rsidRPr="00887834">
              <w:rPr>
                <w:b/>
              </w:rPr>
              <w:t xml:space="preserve">Address: </w:t>
            </w:r>
          </w:p>
        </w:tc>
      </w:tr>
      <w:tr w:rsidR="003F4F8B" w14:paraId="7A99D548" w14:textId="77777777">
        <w:tc>
          <w:tcPr>
            <w:tcW w:w="12960" w:type="dxa"/>
            <w:gridSpan w:val="10"/>
          </w:tcPr>
          <w:p w14:paraId="5E443B0A" w14:textId="77777777" w:rsidR="003F4F8B" w:rsidRPr="003F4F8B" w:rsidRDefault="003F4F8B" w:rsidP="003F4F8B">
            <w:pPr>
              <w:pStyle w:val="TableText"/>
            </w:pPr>
            <w:r w:rsidRPr="00887834">
              <w:rPr>
                <w:b/>
              </w:rPr>
              <w:t>City, State, Zip Code:</w:t>
            </w:r>
            <w:r>
              <w:t xml:space="preserve"> </w:t>
            </w:r>
          </w:p>
        </w:tc>
      </w:tr>
      <w:tr w:rsidR="00695EBA" w14:paraId="54FBB57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30"/>
          <w:tblHeader/>
        </w:trPr>
        <w:tc>
          <w:tcPr>
            <w:tcW w:w="3398" w:type="dxa"/>
            <w:vMerge w:val="restart"/>
            <w:shd w:val="clear" w:color="auto" w:fill="B3B3B3"/>
            <w:noWrap/>
          </w:tcPr>
          <w:p w14:paraId="7A982583" w14:textId="77777777" w:rsidR="00695EBA" w:rsidRPr="003521C6" w:rsidRDefault="00695EBA" w:rsidP="00F72DE4">
            <w:pPr>
              <w:pStyle w:val="TableText"/>
              <w:rPr>
                <w:b/>
                <w:szCs w:val="20"/>
              </w:rPr>
            </w:pPr>
            <w:r w:rsidRPr="003521C6">
              <w:rPr>
                <w:b/>
                <w:szCs w:val="20"/>
              </w:rPr>
              <w:t>Patient Last Name</w:t>
            </w:r>
            <w:r>
              <w:rPr>
                <w:b/>
                <w:szCs w:val="20"/>
              </w:rPr>
              <w:t>, Last Four Digits</w:t>
            </w:r>
            <w:r w:rsidRPr="003521C6">
              <w:rPr>
                <w:b/>
                <w:szCs w:val="20"/>
              </w:rPr>
              <w:t xml:space="preserve"> of SSN</w:t>
            </w:r>
          </w:p>
        </w:tc>
        <w:tc>
          <w:tcPr>
            <w:tcW w:w="2290" w:type="dxa"/>
            <w:vMerge w:val="restart"/>
            <w:shd w:val="clear" w:color="auto" w:fill="B3B3B3"/>
          </w:tcPr>
          <w:p w14:paraId="39E40442" w14:textId="77777777" w:rsidR="00695EBA" w:rsidRPr="003521C6" w:rsidRDefault="00695EBA" w:rsidP="00F72DE4">
            <w:pPr>
              <w:pStyle w:val="TableText"/>
              <w:rPr>
                <w:b/>
                <w:szCs w:val="20"/>
              </w:rPr>
            </w:pPr>
            <w:r w:rsidRPr="003521C6">
              <w:rPr>
                <w:b/>
                <w:szCs w:val="20"/>
              </w:rPr>
              <w:t>Unit Number</w:t>
            </w:r>
          </w:p>
        </w:tc>
        <w:tc>
          <w:tcPr>
            <w:tcW w:w="897" w:type="dxa"/>
            <w:vMerge w:val="restart"/>
            <w:shd w:val="clear" w:color="auto" w:fill="B3B3B3"/>
          </w:tcPr>
          <w:p w14:paraId="7B842094" w14:textId="77777777" w:rsidR="00695EBA" w:rsidRPr="003521C6" w:rsidRDefault="00695EBA" w:rsidP="00F72DE4">
            <w:pPr>
              <w:pStyle w:val="TableText"/>
              <w:rPr>
                <w:b/>
                <w:szCs w:val="20"/>
              </w:rPr>
            </w:pPr>
            <w:r>
              <w:rPr>
                <w:b/>
                <w:szCs w:val="20"/>
              </w:rPr>
              <w:t>Product Code</w:t>
            </w:r>
          </w:p>
        </w:tc>
        <w:tc>
          <w:tcPr>
            <w:tcW w:w="797" w:type="dxa"/>
            <w:vMerge w:val="restart"/>
            <w:shd w:val="clear" w:color="auto" w:fill="B3B3B3"/>
          </w:tcPr>
          <w:p w14:paraId="16E2CE58" w14:textId="77777777" w:rsidR="00695EBA" w:rsidRPr="003521C6" w:rsidRDefault="00695EBA" w:rsidP="00F72DE4">
            <w:pPr>
              <w:pStyle w:val="TableText"/>
              <w:rPr>
                <w:b/>
                <w:szCs w:val="20"/>
              </w:rPr>
            </w:pPr>
            <w:r w:rsidRPr="003521C6">
              <w:rPr>
                <w:b/>
                <w:szCs w:val="20"/>
              </w:rPr>
              <w:t>Date</w:t>
            </w:r>
          </w:p>
        </w:tc>
        <w:tc>
          <w:tcPr>
            <w:tcW w:w="1740" w:type="dxa"/>
            <w:gridSpan w:val="2"/>
            <w:tcBorders>
              <w:bottom w:val="single" w:sz="2" w:space="0" w:color="auto"/>
            </w:tcBorders>
            <w:shd w:val="clear" w:color="auto" w:fill="B3B3B3"/>
          </w:tcPr>
          <w:p w14:paraId="1612D41F" w14:textId="77777777" w:rsidR="00695EBA" w:rsidRPr="003521C6" w:rsidRDefault="00695EBA" w:rsidP="00F72DE4">
            <w:pPr>
              <w:pStyle w:val="TableText"/>
              <w:rPr>
                <w:b/>
                <w:szCs w:val="20"/>
              </w:rPr>
            </w:pPr>
            <w:r w:rsidRPr="003521C6">
              <w:rPr>
                <w:b/>
                <w:szCs w:val="20"/>
              </w:rPr>
              <w:t>Time</w:t>
            </w:r>
          </w:p>
        </w:tc>
        <w:tc>
          <w:tcPr>
            <w:tcW w:w="1357" w:type="dxa"/>
            <w:vMerge w:val="restart"/>
            <w:shd w:val="clear" w:color="auto" w:fill="B3B3B3"/>
          </w:tcPr>
          <w:p w14:paraId="6B606E0B" w14:textId="77777777" w:rsidR="00695EBA" w:rsidRPr="003521C6" w:rsidRDefault="00695EBA" w:rsidP="00F72DE4">
            <w:pPr>
              <w:pStyle w:val="TableText"/>
              <w:rPr>
                <w:b/>
                <w:szCs w:val="20"/>
              </w:rPr>
            </w:pPr>
            <w:r>
              <w:rPr>
                <w:b/>
                <w:szCs w:val="20"/>
              </w:rPr>
              <w:t xml:space="preserve">Unit </w:t>
            </w:r>
            <w:r w:rsidRPr="003521C6">
              <w:rPr>
                <w:b/>
                <w:szCs w:val="20"/>
              </w:rPr>
              <w:t>Satisfactory</w:t>
            </w:r>
            <w:r>
              <w:rPr>
                <w:b/>
                <w:szCs w:val="20"/>
              </w:rPr>
              <w:t>?</w:t>
            </w:r>
          </w:p>
          <w:p w14:paraId="6D6A9275" w14:textId="77777777" w:rsidR="00695EBA" w:rsidRPr="003521C6" w:rsidRDefault="00695EBA" w:rsidP="00F72DE4">
            <w:pPr>
              <w:pStyle w:val="TableText"/>
              <w:rPr>
                <w:b/>
                <w:szCs w:val="20"/>
              </w:rPr>
            </w:pPr>
            <w:r w:rsidRPr="003521C6">
              <w:rPr>
                <w:b/>
                <w:szCs w:val="20"/>
              </w:rPr>
              <w:t>(Yes</w:t>
            </w:r>
            <w:r>
              <w:rPr>
                <w:b/>
                <w:szCs w:val="20"/>
              </w:rPr>
              <w:t>,</w:t>
            </w:r>
            <w:r w:rsidRPr="003521C6">
              <w:rPr>
                <w:b/>
                <w:szCs w:val="20"/>
              </w:rPr>
              <w:t xml:space="preserve"> No)</w:t>
            </w:r>
          </w:p>
        </w:tc>
        <w:tc>
          <w:tcPr>
            <w:tcW w:w="747" w:type="dxa"/>
            <w:vMerge w:val="restart"/>
            <w:shd w:val="clear" w:color="auto" w:fill="B3B3B3"/>
          </w:tcPr>
          <w:p w14:paraId="2C817317" w14:textId="77777777" w:rsidR="00695EBA" w:rsidRPr="003521C6" w:rsidRDefault="00695EBA" w:rsidP="00F72DE4">
            <w:pPr>
              <w:pStyle w:val="TableText"/>
              <w:rPr>
                <w:b/>
                <w:szCs w:val="20"/>
              </w:rPr>
            </w:pPr>
            <w:r w:rsidRPr="003521C6">
              <w:rPr>
                <w:b/>
                <w:szCs w:val="20"/>
              </w:rPr>
              <w:t>Ward</w:t>
            </w:r>
          </w:p>
        </w:tc>
        <w:tc>
          <w:tcPr>
            <w:tcW w:w="708" w:type="dxa"/>
            <w:vMerge w:val="restart"/>
            <w:shd w:val="clear" w:color="auto" w:fill="B3B3B3"/>
          </w:tcPr>
          <w:p w14:paraId="7D28F213" w14:textId="77777777" w:rsidR="00695EBA" w:rsidRPr="003521C6" w:rsidRDefault="00695EBA" w:rsidP="00F72DE4">
            <w:pPr>
              <w:pStyle w:val="TableText"/>
              <w:rPr>
                <w:b/>
                <w:szCs w:val="20"/>
              </w:rPr>
            </w:pPr>
            <w:r w:rsidRPr="003521C6">
              <w:rPr>
                <w:b/>
                <w:szCs w:val="20"/>
              </w:rPr>
              <w:t>Tech</w:t>
            </w:r>
          </w:p>
        </w:tc>
        <w:tc>
          <w:tcPr>
            <w:tcW w:w="1026" w:type="dxa"/>
            <w:vMerge w:val="restart"/>
            <w:shd w:val="clear" w:color="auto" w:fill="B3B3B3"/>
          </w:tcPr>
          <w:p w14:paraId="26DBB000" w14:textId="77777777" w:rsidR="00695EBA" w:rsidRPr="003521C6" w:rsidRDefault="00695EBA" w:rsidP="00F72DE4">
            <w:pPr>
              <w:pStyle w:val="TableText"/>
              <w:rPr>
                <w:b/>
                <w:szCs w:val="20"/>
              </w:rPr>
            </w:pPr>
            <w:r w:rsidRPr="003521C6">
              <w:rPr>
                <w:b/>
                <w:szCs w:val="20"/>
              </w:rPr>
              <w:t>Issued To</w:t>
            </w:r>
            <w:r>
              <w:rPr>
                <w:b/>
                <w:szCs w:val="20"/>
              </w:rPr>
              <w:t>:</w:t>
            </w:r>
          </w:p>
        </w:tc>
      </w:tr>
      <w:tr w:rsidR="00695EBA" w14:paraId="11501E3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30"/>
          <w:tblHeader/>
        </w:trPr>
        <w:tc>
          <w:tcPr>
            <w:tcW w:w="3398" w:type="dxa"/>
            <w:vMerge/>
            <w:noWrap/>
          </w:tcPr>
          <w:p w14:paraId="576D31F4" w14:textId="77777777" w:rsidR="00695EBA" w:rsidRDefault="00695EBA" w:rsidP="00F72DE4">
            <w:pPr>
              <w:pStyle w:val="TableText"/>
              <w:rPr>
                <w:szCs w:val="20"/>
              </w:rPr>
            </w:pPr>
          </w:p>
        </w:tc>
        <w:tc>
          <w:tcPr>
            <w:tcW w:w="2290" w:type="dxa"/>
            <w:vMerge/>
          </w:tcPr>
          <w:p w14:paraId="13223F6D" w14:textId="77777777" w:rsidR="00695EBA" w:rsidRDefault="00695EBA" w:rsidP="00F72DE4">
            <w:pPr>
              <w:pStyle w:val="TableText"/>
              <w:rPr>
                <w:szCs w:val="20"/>
              </w:rPr>
            </w:pPr>
          </w:p>
        </w:tc>
        <w:tc>
          <w:tcPr>
            <w:tcW w:w="897" w:type="dxa"/>
            <w:vMerge/>
          </w:tcPr>
          <w:p w14:paraId="23E7EDA6" w14:textId="77777777" w:rsidR="00695EBA" w:rsidRDefault="00695EBA" w:rsidP="00F72DE4">
            <w:pPr>
              <w:pStyle w:val="TableText"/>
              <w:rPr>
                <w:szCs w:val="20"/>
              </w:rPr>
            </w:pPr>
          </w:p>
        </w:tc>
        <w:tc>
          <w:tcPr>
            <w:tcW w:w="797" w:type="dxa"/>
            <w:vMerge/>
          </w:tcPr>
          <w:p w14:paraId="1394C3DD" w14:textId="77777777" w:rsidR="00695EBA" w:rsidRDefault="00695EBA" w:rsidP="00F72DE4">
            <w:pPr>
              <w:pStyle w:val="TableText"/>
              <w:rPr>
                <w:szCs w:val="20"/>
              </w:rPr>
            </w:pPr>
          </w:p>
        </w:tc>
        <w:tc>
          <w:tcPr>
            <w:tcW w:w="835" w:type="dxa"/>
            <w:shd w:val="clear" w:color="auto" w:fill="B3B3B3"/>
          </w:tcPr>
          <w:p w14:paraId="4D2A9E7F" w14:textId="77777777" w:rsidR="00695EBA" w:rsidRPr="003521C6" w:rsidRDefault="00695EBA" w:rsidP="00F72DE4">
            <w:pPr>
              <w:pStyle w:val="TableText"/>
              <w:rPr>
                <w:b/>
                <w:szCs w:val="20"/>
              </w:rPr>
            </w:pPr>
            <w:r w:rsidRPr="003521C6">
              <w:rPr>
                <w:b/>
                <w:szCs w:val="20"/>
              </w:rPr>
              <w:t>Issue</w:t>
            </w:r>
          </w:p>
        </w:tc>
        <w:tc>
          <w:tcPr>
            <w:tcW w:w="905" w:type="dxa"/>
            <w:shd w:val="clear" w:color="auto" w:fill="B3B3B3"/>
          </w:tcPr>
          <w:p w14:paraId="770F443A" w14:textId="77777777" w:rsidR="00695EBA" w:rsidRPr="003521C6" w:rsidRDefault="00695EBA" w:rsidP="00F72DE4">
            <w:pPr>
              <w:pStyle w:val="TableText"/>
              <w:rPr>
                <w:b/>
                <w:szCs w:val="20"/>
              </w:rPr>
            </w:pPr>
            <w:r w:rsidRPr="003521C6">
              <w:rPr>
                <w:b/>
                <w:szCs w:val="20"/>
              </w:rPr>
              <w:t>Return</w:t>
            </w:r>
          </w:p>
        </w:tc>
        <w:tc>
          <w:tcPr>
            <w:tcW w:w="1357" w:type="dxa"/>
            <w:vMerge/>
          </w:tcPr>
          <w:p w14:paraId="1FB959F6" w14:textId="77777777" w:rsidR="00695EBA" w:rsidRDefault="00695EBA" w:rsidP="00F72DE4">
            <w:pPr>
              <w:pStyle w:val="TableText"/>
              <w:rPr>
                <w:szCs w:val="20"/>
              </w:rPr>
            </w:pPr>
          </w:p>
        </w:tc>
        <w:tc>
          <w:tcPr>
            <w:tcW w:w="747" w:type="dxa"/>
            <w:vMerge/>
          </w:tcPr>
          <w:p w14:paraId="24BCF3A2" w14:textId="77777777" w:rsidR="00695EBA" w:rsidRDefault="00695EBA" w:rsidP="00F72DE4">
            <w:pPr>
              <w:pStyle w:val="TableText"/>
              <w:rPr>
                <w:szCs w:val="20"/>
              </w:rPr>
            </w:pPr>
          </w:p>
        </w:tc>
        <w:tc>
          <w:tcPr>
            <w:tcW w:w="708" w:type="dxa"/>
            <w:vMerge/>
          </w:tcPr>
          <w:p w14:paraId="7FDB4957" w14:textId="77777777" w:rsidR="00695EBA" w:rsidRDefault="00695EBA" w:rsidP="00F72DE4">
            <w:pPr>
              <w:pStyle w:val="TableText"/>
              <w:rPr>
                <w:szCs w:val="20"/>
              </w:rPr>
            </w:pPr>
          </w:p>
        </w:tc>
        <w:tc>
          <w:tcPr>
            <w:tcW w:w="1026" w:type="dxa"/>
            <w:vMerge/>
          </w:tcPr>
          <w:p w14:paraId="1A99975A" w14:textId="77777777" w:rsidR="00695EBA" w:rsidRDefault="00695EBA" w:rsidP="00F72DE4">
            <w:pPr>
              <w:pStyle w:val="TableText"/>
              <w:rPr>
                <w:szCs w:val="20"/>
              </w:rPr>
            </w:pPr>
          </w:p>
        </w:tc>
      </w:tr>
      <w:tr w:rsidR="00695EBA" w14:paraId="609C234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9A387CF" w14:textId="77777777" w:rsidR="00695EBA" w:rsidRDefault="00695EBA" w:rsidP="00A95965">
            <w:pPr>
              <w:pStyle w:val="TableText"/>
              <w:rPr>
                <w:szCs w:val="20"/>
              </w:rPr>
            </w:pPr>
          </w:p>
        </w:tc>
        <w:tc>
          <w:tcPr>
            <w:tcW w:w="2290" w:type="dxa"/>
          </w:tcPr>
          <w:p w14:paraId="219DDEA7" w14:textId="77777777" w:rsidR="00695EBA" w:rsidRDefault="00695EBA" w:rsidP="00A95965">
            <w:pPr>
              <w:pStyle w:val="TableText"/>
              <w:rPr>
                <w:szCs w:val="20"/>
              </w:rPr>
            </w:pPr>
          </w:p>
        </w:tc>
        <w:tc>
          <w:tcPr>
            <w:tcW w:w="897" w:type="dxa"/>
          </w:tcPr>
          <w:p w14:paraId="407366F6" w14:textId="77777777" w:rsidR="00695EBA" w:rsidRDefault="00695EBA" w:rsidP="00571D70">
            <w:pPr>
              <w:pStyle w:val="TableText"/>
              <w:rPr>
                <w:szCs w:val="20"/>
              </w:rPr>
            </w:pPr>
          </w:p>
        </w:tc>
        <w:tc>
          <w:tcPr>
            <w:tcW w:w="797" w:type="dxa"/>
          </w:tcPr>
          <w:p w14:paraId="2641D159" w14:textId="77777777" w:rsidR="00695EBA" w:rsidRDefault="00695EBA" w:rsidP="00A95965">
            <w:pPr>
              <w:pStyle w:val="TableText"/>
              <w:rPr>
                <w:szCs w:val="20"/>
              </w:rPr>
            </w:pPr>
          </w:p>
        </w:tc>
        <w:tc>
          <w:tcPr>
            <w:tcW w:w="835" w:type="dxa"/>
          </w:tcPr>
          <w:p w14:paraId="4608FEFA" w14:textId="77777777" w:rsidR="00695EBA" w:rsidRDefault="00695EBA" w:rsidP="00A95965">
            <w:pPr>
              <w:pStyle w:val="TableText"/>
              <w:rPr>
                <w:szCs w:val="20"/>
              </w:rPr>
            </w:pPr>
          </w:p>
        </w:tc>
        <w:tc>
          <w:tcPr>
            <w:tcW w:w="905" w:type="dxa"/>
          </w:tcPr>
          <w:p w14:paraId="622A86C6" w14:textId="77777777" w:rsidR="00695EBA" w:rsidRDefault="00695EBA" w:rsidP="00A95965">
            <w:pPr>
              <w:pStyle w:val="TableText"/>
              <w:rPr>
                <w:szCs w:val="20"/>
              </w:rPr>
            </w:pPr>
          </w:p>
        </w:tc>
        <w:tc>
          <w:tcPr>
            <w:tcW w:w="1357" w:type="dxa"/>
          </w:tcPr>
          <w:p w14:paraId="14813E7D" w14:textId="77777777" w:rsidR="00695EBA" w:rsidRDefault="00695EBA" w:rsidP="00A95965">
            <w:pPr>
              <w:pStyle w:val="TableText"/>
              <w:rPr>
                <w:szCs w:val="20"/>
              </w:rPr>
            </w:pPr>
          </w:p>
        </w:tc>
        <w:tc>
          <w:tcPr>
            <w:tcW w:w="747" w:type="dxa"/>
          </w:tcPr>
          <w:p w14:paraId="3D46EBBF" w14:textId="77777777" w:rsidR="00695EBA" w:rsidRDefault="00695EBA" w:rsidP="00A95965">
            <w:pPr>
              <w:pStyle w:val="TableText"/>
              <w:rPr>
                <w:szCs w:val="20"/>
              </w:rPr>
            </w:pPr>
          </w:p>
        </w:tc>
        <w:tc>
          <w:tcPr>
            <w:tcW w:w="708" w:type="dxa"/>
          </w:tcPr>
          <w:p w14:paraId="64CEC9EA" w14:textId="77777777" w:rsidR="00695EBA" w:rsidRDefault="00695EBA" w:rsidP="00A95965">
            <w:pPr>
              <w:pStyle w:val="TableText"/>
              <w:rPr>
                <w:szCs w:val="20"/>
              </w:rPr>
            </w:pPr>
          </w:p>
        </w:tc>
        <w:tc>
          <w:tcPr>
            <w:tcW w:w="1026" w:type="dxa"/>
          </w:tcPr>
          <w:p w14:paraId="6C24F371" w14:textId="77777777" w:rsidR="00695EBA" w:rsidRDefault="00695EBA" w:rsidP="00A95965">
            <w:pPr>
              <w:pStyle w:val="TableText"/>
              <w:rPr>
                <w:szCs w:val="20"/>
              </w:rPr>
            </w:pPr>
          </w:p>
        </w:tc>
      </w:tr>
      <w:tr w:rsidR="00695EBA" w14:paraId="749DD2B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6102EE27" w14:textId="77777777" w:rsidR="00695EBA" w:rsidRDefault="00695EBA" w:rsidP="00A95965">
            <w:pPr>
              <w:pStyle w:val="TableText"/>
              <w:rPr>
                <w:szCs w:val="20"/>
              </w:rPr>
            </w:pPr>
          </w:p>
        </w:tc>
        <w:tc>
          <w:tcPr>
            <w:tcW w:w="2290" w:type="dxa"/>
          </w:tcPr>
          <w:p w14:paraId="48773C50" w14:textId="77777777" w:rsidR="00695EBA" w:rsidRDefault="00695EBA" w:rsidP="00A95965">
            <w:pPr>
              <w:pStyle w:val="TableText"/>
              <w:rPr>
                <w:szCs w:val="20"/>
              </w:rPr>
            </w:pPr>
          </w:p>
        </w:tc>
        <w:tc>
          <w:tcPr>
            <w:tcW w:w="897" w:type="dxa"/>
          </w:tcPr>
          <w:p w14:paraId="2151A35A" w14:textId="77777777" w:rsidR="00695EBA" w:rsidRDefault="00695EBA" w:rsidP="00571D70">
            <w:pPr>
              <w:pStyle w:val="TableText"/>
              <w:rPr>
                <w:szCs w:val="20"/>
              </w:rPr>
            </w:pPr>
          </w:p>
        </w:tc>
        <w:tc>
          <w:tcPr>
            <w:tcW w:w="797" w:type="dxa"/>
          </w:tcPr>
          <w:p w14:paraId="53F488D0" w14:textId="77777777" w:rsidR="00695EBA" w:rsidRDefault="00695EBA" w:rsidP="00A95965">
            <w:pPr>
              <w:pStyle w:val="TableText"/>
              <w:rPr>
                <w:szCs w:val="20"/>
              </w:rPr>
            </w:pPr>
          </w:p>
        </w:tc>
        <w:tc>
          <w:tcPr>
            <w:tcW w:w="835" w:type="dxa"/>
          </w:tcPr>
          <w:p w14:paraId="67317A96" w14:textId="77777777" w:rsidR="00695EBA" w:rsidRDefault="00695EBA" w:rsidP="00A95965">
            <w:pPr>
              <w:pStyle w:val="TableText"/>
              <w:rPr>
                <w:szCs w:val="20"/>
              </w:rPr>
            </w:pPr>
          </w:p>
        </w:tc>
        <w:tc>
          <w:tcPr>
            <w:tcW w:w="905" w:type="dxa"/>
          </w:tcPr>
          <w:p w14:paraId="7038C353" w14:textId="77777777" w:rsidR="00695EBA" w:rsidRDefault="00695EBA" w:rsidP="00A95965">
            <w:pPr>
              <w:pStyle w:val="TableText"/>
              <w:rPr>
                <w:szCs w:val="20"/>
              </w:rPr>
            </w:pPr>
          </w:p>
        </w:tc>
        <w:tc>
          <w:tcPr>
            <w:tcW w:w="1357" w:type="dxa"/>
          </w:tcPr>
          <w:p w14:paraId="4CAA4A80" w14:textId="77777777" w:rsidR="00695EBA" w:rsidRDefault="00695EBA" w:rsidP="00A95965">
            <w:pPr>
              <w:pStyle w:val="TableText"/>
              <w:rPr>
                <w:szCs w:val="20"/>
              </w:rPr>
            </w:pPr>
          </w:p>
        </w:tc>
        <w:tc>
          <w:tcPr>
            <w:tcW w:w="747" w:type="dxa"/>
          </w:tcPr>
          <w:p w14:paraId="3BF8FA60" w14:textId="77777777" w:rsidR="00695EBA" w:rsidRDefault="00695EBA" w:rsidP="00A95965">
            <w:pPr>
              <w:pStyle w:val="TableText"/>
              <w:rPr>
                <w:szCs w:val="20"/>
              </w:rPr>
            </w:pPr>
          </w:p>
        </w:tc>
        <w:tc>
          <w:tcPr>
            <w:tcW w:w="708" w:type="dxa"/>
          </w:tcPr>
          <w:p w14:paraId="59AA019A" w14:textId="77777777" w:rsidR="00695EBA" w:rsidRDefault="00695EBA" w:rsidP="00A95965">
            <w:pPr>
              <w:pStyle w:val="TableText"/>
              <w:rPr>
                <w:szCs w:val="20"/>
              </w:rPr>
            </w:pPr>
          </w:p>
        </w:tc>
        <w:tc>
          <w:tcPr>
            <w:tcW w:w="1026" w:type="dxa"/>
          </w:tcPr>
          <w:p w14:paraId="6A0C4AC8" w14:textId="77777777" w:rsidR="00695EBA" w:rsidRDefault="00695EBA" w:rsidP="00A95965">
            <w:pPr>
              <w:pStyle w:val="TableText"/>
              <w:rPr>
                <w:szCs w:val="20"/>
              </w:rPr>
            </w:pPr>
          </w:p>
        </w:tc>
      </w:tr>
      <w:tr w:rsidR="00695EBA" w14:paraId="2258F60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65A8A9B0" w14:textId="77777777" w:rsidR="00695EBA" w:rsidRDefault="00695EBA" w:rsidP="00A95965">
            <w:pPr>
              <w:pStyle w:val="TableText"/>
              <w:rPr>
                <w:szCs w:val="20"/>
              </w:rPr>
            </w:pPr>
          </w:p>
        </w:tc>
        <w:tc>
          <w:tcPr>
            <w:tcW w:w="2290" w:type="dxa"/>
          </w:tcPr>
          <w:p w14:paraId="1282B99B" w14:textId="77777777" w:rsidR="00695EBA" w:rsidRDefault="00695EBA" w:rsidP="00A95965">
            <w:pPr>
              <w:pStyle w:val="TableText"/>
              <w:rPr>
                <w:szCs w:val="20"/>
              </w:rPr>
            </w:pPr>
          </w:p>
        </w:tc>
        <w:tc>
          <w:tcPr>
            <w:tcW w:w="897" w:type="dxa"/>
          </w:tcPr>
          <w:p w14:paraId="3C171BAB" w14:textId="77777777" w:rsidR="00695EBA" w:rsidRDefault="00695EBA" w:rsidP="00571D70">
            <w:pPr>
              <w:pStyle w:val="TableText"/>
              <w:rPr>
                <w:szCs w:val="20"/>
              </w:rPr>
            </w:pPr>
          </w:p>
        </w:tc>
        <w:tc>
          <w:tcPr>
            <w:tcW w:w="797" w:type="dxa"/>
          </w:tcPr>
          <w:p w14:paraId="5D8D36FA" w14:textId="77777777" w:rsidR="00695EBA" w:rsidRDefault="00695EBA" w:rsidP="00A95965">
            <w:pPr>
              <w:pStyle w:val="TableText"/>
              <w:rPr>
                <w:szCs w:val="20"/>
              </w:rPr>
            </w:pPr>
          </w:p>
        </w:tc>
        <w:tc>
          <w:tcPr>
            <w:tcW w:w="835" w:type="dxa"/>
          </w:tcPr>
          <w:p w14:paraId="0D82F615" w14:textId="77777777" w:rsidR="00695EBA" w:rsidRDefault="00695EBA" w:rsidP="00A95965">
            <w:pPr>
              <w:pStyle w:val="TableText"/>
              <w:rPr>
                <w:szCs w:val="20"/>
              </w:rPr>
            </w:pPr>
          </w:p>
        </w:tc>
        <w:tc>
          <w:tcPr>
            <w:tcW w:w="905" w:type="dxa"/>
          </w:tcPr>
          <w:p w14:paraId="74272E43" w14:textId="77777777" w:rsidR="00695EBA" w:rsidRDefault="00695EBA" w:rsidP="00A95965">
            <w:pPr>
              <w:pStyle w:val="TableText"/>
              <w:rPr>
                <w:szCs w:val="20"/>
              </w:rPr>
            </w:pPr>
          </w:p>
        </w:tc>
        <w:tc>
          <w:tcPr>
            <w:tcW w:w="1357" w:type="dxa"/>
          </w:tcPr>
          <w:p w14:paraId="1E26A7BE" w14:textId="77777777" w:rsidR="00695EBA" w:rsidRDefault="00695EBA" w:rsidP="00A95965">
            <w:pPr>
              <w:pStyle w:val="TableText"/>
              <w:rPr>
                <w:szCs w:val="20"/>
              </w:rPr>
            </w:pPr>
          </w:p>
        </w:tc>
        <w:tc>
          <w:tcPr>
            <w:tcW w:w="747" w:type="dxa"/>
          </w:tcPr>
          <w:p w14:paraId="4BFDF0F9" w14:textId="77777777" w:rsidR="00695EBA" w:rsidRDefault="00695EBA" w:rsidP="00A95965">
            <w:pPr>
              <w:pStyle w:val="TableText"/>
              <w:rPr>
                <w:szCs w:val="20"/>
              </w:rPr>
            </w:pPr>
          </w:p>
        </w:tc>
        <w:tc>
          <w:tcPr>
            <w:tcW w:w="708" w:type="dxa"/>
          </w:tcPr>
          <w:p w14:paraId="68126F33" w14:textId="77777777" w:rsidR="00695EBA" w:rsidRDefault="00695EBA" w:rsidP="00A95965">
            <w:pPr>
              <w:pStyle w:val="TableText"/>
              <w:rPr>
                <w:szCs w:val="20"/>
              </w:rPr>
            </w:pPr>
          </w:p>
        </w:tc>
        <w:tc>
          <w:tcPr>
            <w:tcW w:w="1026" w:type="dxa"/>
          </w:tcPr>
          <w:p w14:paraId="2640E334" w14:textId="77777777" w:rsidR="00695EBA" w:rsidRDefault="00695EBA" w:rsidP="00A95965">
            <w:pPr>
              <w:pStyle w:val="TableText"/>
              <w:rPr>
                <w:szCs w:val="20"/>
              </w:rPr>
            </w:pPr>
          </w:p>
        </w:tc>
      </w:tr>
      <w:tr w:rsidR="00695EBA" w14:paraId="545C7FC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9E3C7A8" w14:textId="77777777" w:rsidR="00695EBA" w:rsidRDefault="00695EBA" w:rsidP="00A95965">
            <w:pPr>
              <w:pStyle w:val="TableText"/>
              <w:rPr>
                <w:szCs w:val="20"/>
              </w:rPr>
            </w:pPr>
          </w:p>
        </w:tc>
        <w:tc>
          <w:tcPr>
            <w:tcW w:w="2290" w:type="dxa"/>
          </w:tcPr>
          <w:p w14:paraId="426F52B2" w14:textId="77777777" w:rsidR="00695EBA" w:rsidRDefault="00695EBA" w:rsidP="00A95965">
            <w:pPr>
              <w:pStyle w:val="TableText"/>
              <w:rPr>
                <w:szCs w:val="20"/>
              </w:rPr>
            </w:pPr>
          </w:p>
        </w:tc>
        <w:tc>
          <w:tcPr>
            <w:tcW w:w="897" w:type="dxa"/>
          </w:tcPr>
          <w:p w14:paraId="43C44843" w14:textId="77777777" w:rsidR="00695EBA" w:rsidRDefault="00695EBA" w:rsidP="00571D70">
            <w:pPr>
              <w:pStyle w:val="TableText"/>
              <w:rPr>
                <w:szCs w:val="20"/>
              </w:rPr>
            </w:pPr>
          </w:p>
        </w:tc>
        <w:tc>
          <w:tcPr>
            <w:tcW w:w="797" w:type="dxa"/>
          </w:tcPr>
          <w:p w14:paraId="5C1504C2" w14:textId="77777777" w:rsidR="00695EBA" w:rsidRDefault="00695EBA" w:rsidP="00A95965">
            <w:pPr>
              <w:pStyle w:val="TableText"/>
              <w:rPr>
                <w:szCs w:val="20"/>
              </w:rPr>
            </w:pPr>
          </w:p>
        </w:tc>
        <w:tc>
          <w:tcPr>
            <w:tcW w:w="835" w:type="dxa"/>
          </w:tcPr>
          <w:p w14:paraId="2D647F30" w14:textId="77777777" w:rsidR="00695EBA" w:rsidRDefault="00695EBA" w:rsidP="00A95965">
            <w:pPr>
              <w:pStyle w:val="TableText"/>
              <w:rPr>
                <w:szCs w:val="20"/>
              </w:rPr>
            </w:pPr>
          </w:p>
        </w:tc>
        <w:tc>
          <w:tcPr>
            <w:tcW w:w="905" w:type="dxa"/>
          </w:tcPr>
          <w:p w14:paraId="03701FD2" w14:textId="77777777" w:rsidR="00695EBA" w:rsidRDefault="00695EBA" w:rsidP="00A95965">
            <w:pPr>
              <w:pStyle w:val="TableText"/>
              <w:rPr>
                <w:szCs w:val="20"/>
              </w:rPr>
            </w:pPr>
          </w:p>
        </w:tc>
        <w:tc>
          <w:tcPr>
            <w:tcW w:w="1357" w:type="dxa"/>
          </w:tcPr>
          <w:p w14:paraId="7F81646C" w14:textId="77777777" w:rsidR="00695EBA" w:rsidRDefault="00695EBA" w:rsidP="00A95965">
            <w:pPr>
              <w:pStyle w:val="TableText"/>
              <w:rPr>
                <w:szCs w:val="20"/>
              </w:rPr>
            </w:pPr>
          </w:p>
        </w:tc>
        <w:tc>
          <w:tcPr>
            <w:tcW w:w="747" w:type="dxa"/>
          </w:tcPr>
          <w:p w14:paraId="21F678B9" w14:textId="77777777" w:rsidR="00695EBA" w:rsidRDefault="00695EBA" w:rsidP="00A95965">
            <w:pPr>
              <w:pStyle w:val="TableText"/>
              <w:rPr>
                <w:szCs w:val="20"/>
              </w:rPr>
            </w:pPr>
          </w:p>
        </w:tc>
        <w:tc>
          <w:tcPr>
            <w:tcW w:w="708" w:type="dxa"/>
          </w:tcPr>
          <w:p w14:paraId="078223DB" w14:textId="77777777" w:rsidR="00695EBA" w:rsidRDefault="00695EBA" w:rsidP="00A95965">
            <w:pPr>
              <w:pStyle w:val="TableText"/>
              <w:rPr>
                <w:szCs w:val="20"/>
              </w:rPr>
            </w:pPr>
          </w:p>
        </w:tc>
        <w:tc>
          <w:tcPr>
            <w:tcW w:w="1026" w:type="dxa"/>
          </w:tcPr>
          <w:p w14:paraId="26A64973" w14:textId="77777777" w:rsidR="00695EBA" w:rsidRDefault="00695EBA" w:rsidP="00A95965">
            <w:pPr>
              <w:pStyle w:val="TableText"/>
              <w:rPr>
                <w:szCs w:val="20"/>
              </w:rPr>
            </w:pPr>
          </w:p>
        </w:tc>
      </w:tr>
      <w:tr w:rsidR="00695EBA" w14:paraId="3F72F76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7B9F5F5E" w14:textId="77777777" w:rsidR="00695EBA" w:rsidRDefault="00695EBA" w:rsidP="00A95965">
            <w:pPr>
              <w:pStyle w:val="TableText"/>
              <w:rPr>
                <w:szCs w:val="20"/>
              </w:rPr>
            </w:pPr>
          </w:p>
        </w:tc>
        <w:tc>
          <w:tcPr>
            <w:tcW w:w="2290" w:type="dxa"/>
          </w:tcPr>
          <w:p w14:paraId="2C1A8413" w14:textId="77777777" w:rsidR="00695EBA" w:rsidRDefault="00695EBA" w:rsidP="00A95965">
            <w:pPr>
              <w:pStyle w:val="TableText"/>
              <w:rPr>
                <w:szCs w:val="20"/>
              </w:rPr>
            </w:pPr>
          </w:p>
        </w:tc>
        <w:tc>
          <w:tcPr>
            <w:tcW w:w="897" w:type="dxa"/>
          </w:tcPr>
          <w:p w14:paraId="1049882D" w14:textId="77777777" w:rsidR="00695EBA" w:rsidRDefault="00695EBA" w:rsidP="00571D70">
            <w:pPr>
              <w:pStyle w:val="TableText"/>
              <w:rPr>
                <w:szCs w:val="20"/>
              </w:rPr>
            </w:pPr>
          </w:p>
        </w:tc>
        <w:tc>
          <w:tcPr>
            <w:tcW w:w="797" w:type="dxa"/>
          </w:tcPr>
          <w:p w14:paraId="6FF9CD75" w14:textId="77777777" w:rsidR="00695EBA" w:rsidRDefault="00695EBA" w:rsidP="00A95965">
            <w:pPr>
              <w:pStyle w:val="TableText"/>
              <w:rPr>
                <w:szCs w:val="20"/>
              </w:rPr>
            </w:pPr>
          </w:p>
        </w:tc>
        <w:tc>
          <w:tcPr>
            <w:tcW w:w="835" w:type="dxa"/>
          </w:tcPr>
          <w:p w14:paraId="5D4BFAA9" w14:textId="77777777" w:rsidR="00695EBA" w:rsidRDefault="00695EBA" w:rsidP="00A95965">
            <w:pPr>
              <w:pStyle w:val="TableText"/>
              <w:rPr>
                <w:szCs w:val="20"/>
              </w:rPr>
            </w:pPr>
          </w:p>
        </w:tc>
        <w:tc>
          <w:tcPr>
            <w:tcW w:w="905" w:type="dxa"/>
          </w:tcPr>
          <w:p w14:paraId="46DC1AA8" w14:textId="77777777" w:rsidR="00695EBA" w:rsidRDefault="00695EBA" w:rsidP="00A95965">
            <w:pPr>
              <w:pStyle w:val="TableText"/>
              <w:rPr>
                <w:szCs w:val="20"/>
              </w:rPr>
            </w:pPr>
          </w:p>
        </w:tc>
        <w:tc>
          <w:tcPr>
            <w:tcW w:w="1357" w:type="dxa"/>
          </w:tcPr>
          <w:p w14:paraId="04F78324" w14:textId="77777777" w:rsidR="00695EBA" w:rsidRDefault="00695EBA" w:rsidP="00A95965">
            <w:pPr>
              <w:pStyle w:val="TableText"/>
              <w:rPr>
                <w:szCs w:val="20"/>
              </w:rPr>
            </w:pPr>
          </w:p>
        </w:tc>
        <w:tc>
          <w:tcPr>
            <w:tcW w:w="747" w:type="dxa"/>
          </w:tcPr>
          <w:p w14:paraId="266EA2F8" w14:textId="77777777" w:rsidR="00695EBA" w:rsidRDefault="00695EBA" w:rsidP="00A95965">
            <w:pPr>
              <w:pStyle w:val="TableText"/>
              <w:rPr>
                <w:szCs w:val="20"/>
              </w:rPr>
            </w:pPr>
          </w:p>
        </w:tc>
        <w:tc>
          <w:tcPr>
            <w:tcW w:w="708" w:type="dxa"/>
          </w:tcPr>
          <w:p w14:paraId="7D6EC1FB" w14:textId="77777777" w:rsidR="00695EBA" w:rsidRDefault="00695EBA" w:rsidP="00A95965">
            <w:pPr>
              <w:pStyle w:val="TableText"/>
              <w:rPr>
                <w:szCs w:val="20"/>
              </w:rPr>
            </w:pPr>
          </w:p>
        </w:tc>
        <w:tc>
          <w:tcPr>
            <w:tcW w:w="1026" w:type="dxa"/>
          </w:tcPr>
          <w:p w14:paraId="1D14BBBD" w14:textId="77777777" w:rsidR="00695EBA" w:rsidRDefault="00695EBA" w:rsidP="00A95965">
            <w:pPr>
              <w:pStyle w:val="TableText"/>
              <w:rPr>
                <w:szCs w:val="20"/>
              </w:rPr>
            </w:pPr>
          </w:p>
        </w:tc>
      </w:tr>
      <w:tr w:rsidR="00695EBA" w14:paraId="7C061EE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38894D82" w14:textId="77777777" w:rsidR="00695EBA" w:rsidRDefault="00695EBA" w:rsidP="00A95965">
            <w:pPr>
              <w:pStyle w:val="TableText"/>
              <w:rPr>
                <w:szCs w:val="20"/>
              </w:rPr>
            </w:pPr>
          </w:p>
        </w:tc>
        <w:tc>
          <w:tcPr>
            <w:tcW w:w="2290" w:type="dxa"/>
          </w:tcPr>
          <w:p w14:paraId="066F4514" w14:textId="77777777" w:rsidR="00695EBA" w:rsidRDefault="00695EBA" w:rsidP="00A95965">
            <w:pPr>
              <w:pStyle w:val="TableText"/>
              <w:rPr>
                <w:szCs w:val="20"/>
              </w:rPr>
            </w:pPr>
          </w:p>
        </w:tc>
        <w:tc>
          <w:tcPr>
            <w:tcW w:w="897" w:type="dxa"/>
          </w:tcPr>
          <w:p w14:paraId="75B9C35D" w14:textId="77777777" w:rsidR="00695EBA" w:rsidRDefault="00695EBA" w:rsidP="00571D70">
            <w:pPr>
              <w:pStyle w:val="TableText"/>
              <w:rPr>
                <w:szCs w:val="20"/>
              </w:rPr>
            </w:pPr>
          </w:p>
        </w:tc>
        <w:tc>
          <w:tcPr>
            <w:tcW w:w="797" w:type="dxa"/>
          </w:tcPr>
          <w:p w14:paraId="7288C257" w14:textId="77777777" w:rsidR="00695EBA" w:rsidRDefault="00695EBA" w:rsidP="00A95965">
            <w:pPr>
              <w:pStyle w:val="TableText"/>
              <w:rPr>
                <w:szCs w:val="20"/>
              </w:rPr>
            </w:pPr>
          </w:p>
        </w:tc>
        <w:tc>
          <w:tcPr>
            <w:tcW w:w="835" w:type="dxa"/>
          </w:tcPr>
          <w:p w14:paraId="039471AE" w14:textId="77777777" w:rsidR="00695EBA" w:rsidRDefault="00695EBA" w:rsidP="00A95965">
            <w:pPr>
              <w:pStyle w:val="TableText"/>
              <w:rPr>
                <w:szCs w:val="20"/>
              </w:rPr>
            </w:pPr>
          </w:p>
        </w:tc>
        <w:tc>
          <w:tcPr>
            <w:tcW w:w="905" w:type="dxa"/>
          </w:tcPr>
          <w:p w14:paraId="70D9CD3D" w14:textId="77777777" w:rsidR="00695EBA" w:rsidRDefault="00695EBA" w:rsidP="00A95965">
            <w:pPr>
              <w:pStyle w:val="TableText"/>
              <w:rPr>
                <w:szCs w:val="20"/>
              </w:rPr>
            </w:pPr>
          </w:p>
        </w:tc>
        <w:tc>
          <w:tcPr>
            <w:tcW w:w="1357" w:type="dxa"/>
          </w:tcPr>
          <w:p w14:paraId="6EA3A3BB" w14:textId="77777777" w:rsidR="00695EBA" w:rsidRDefault="00695EBA" w:rsidP="00A95965">
            <w:pPr>
              <w:pStyle w:val="TableText"/>
              <w:rPr>
                <w:szCs w:val="20"/>
              </w:rPr>
            </w:pPr>
          </w:p>
        </w:tc>
        <w:tc>
          <w:tcPr>
            <w:tcW w:w="747" w:type="dxa"/>
          </w:tcPr>
          <w:p w14:paraId="16CD1F78" w14:textId="77777777" w:rsidR="00695EBA" w:rsidRDefault="00695EBA" w:rsidP="00A95965">
            <w:pPr>
              <w:pStyle w:val="TableText"/>
              <w:rPr>
                <w:szCs w:val="20"/>
              </w:rPr>
            </w:pPr>
          </w:p>
        </w:tc>
        <w:tc>
          <w:tcPr>
            <w:tcW w:w="708" w:type="dxa"/>
          </w:tcPr>
          <w:p w14:paraId="563CECAC" w14:textId="77777777" w:rsidR="00695EBA" w:rsidRDefault="00695EBA" w:rsidP="00A95965">
            <w:pPr>
              <w:pStyle w:val="TableText"/>
              <w:rPr>
                <w:szCs w:val="20"/>
              </w:rPr>
            </w:pPr>
          </w:p>
        </w:tc>
        <w:tc>
          <w:tcPr>
            <w:tcW w:w="1026" w:type="dxa"/>
          </w:tcPr>
          <w:p w14:paraId="7A507785" w14:textId="77777777" w:rsidR="00695EBA" w:rsidRDefault="00695EBA" w:rsidP="00A95965">
            <w:pPr>
              <w:pStyle w:val="TableText"/>
              <w:rPr>
                <w:szCs w:val="20"/>
              </w:rPr>
            </w:pPr>
          </w:p>
        </w:tc>
      </w:tr>
      <w:tr w:rsidR="00695EBA" w14:paraId="2383ACD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11DB776E" w14:textId="77777777" w:rsidR="00695EBA" w:rsidRDefault="00695EBA" w:rsidP="00A95965">
            <w:pPr>
              <w:pStyle w:val="TableText"/>
              <w:rPr>
                <w:szCs w:val="20"/>
              </w:rPr>
            </w:pPr>
          </w:p>
        </w:tc>
        <w:tc>
          <w:tcPr>
            <w:tcW w:w="2290" w:type="dxa"/>
          </w:tcPr>
          <w:p w14:paraId="2B817AC6" w14:textId="77777777" w:rsidR="00695EBA" w:rsidRDefault="00695EBA" w:rsidP="00A95965">
            <w:pPr>
              <w:pStyle w:val="TableText"/>
              <w:rPr>
                <w:szCs w:val="20"/>
              </w:rPr>
            </w:pPr>
          </w:p>
        </w:tc>
        <w:tc>
          <w:tcPr>
            <w:tcW w:w="897" w:type="dxa"/>
          </w:tcPr>
          <w:p w14:paraId="214FC02B" w14:textId="77777777" w:rsidR="00695EBA" w:rsidRDefault="00695EBA" w:rsidP="00571D70">
            <w:pPr>
              <w:pStyle w:val="TableText"/>
              <w:rPr>
                <w:szCs w:val="20"/>
              </w:rPr>
            </w:pPr>
          </w:p>
        </w:tc>
        <w:tc>
          <w:tcPr>
            <w:tcW w:w="797" w:type="dxa"/>
          </w:tcPr>
          <w:p w14:paraId="0B8BFAFB" w14:textId="77777777" w:rsidR="00695EBA" w:rsidRDefault="00695EBA" w:rsidP="00A95965">
            <w:pPr>
              <w:pStyle w:val="TableText"/>
              <w:rPr>
                <w:szCs w:val="20"/>
              </w:rPr>
            </w:pPr>
          </w:p>
        </w:tc>
        <w:tc>
          <w:tcPr>
            <w:tcW w:w="835" w:type="dxa"/>
          </w:tcPr>
          <w:p w14:paraId="14281BFE" w14:textId="77777777" w:rsidR="00695EBA" w:rsidRDefault="00695EBA" w:rsidP="00A95965">
            <w:pPr>
              <w:pStyle w:val="TableText"/>
              <w:rPr>
                <w:szCs w:val="20"/>
              </w:rPr>
            </w:pPr>
          </w:p>
        </w:tc>
        <w:tc>
          <w:tcPr>
            <w:tcW w:w="905" w:type="dxa"/>
          </w:tcPr>
          <w:p w14:paraId="61C6AA93" w14:textId="77777777" w:rsidR="00695EBA" w:rsidRDefault="00695EBA" w:rsidP="00A95965">
            <w:pPr>
              <w:pStyle w:val="TableText"/>
              <w:rPr>
                <w:szCs w:val="20"/>
              </w:rPr>
            </w:pPr>
          </w:p>
        </w:tc>
        <w:tc>
          <w:tcPr>
            <w:tcW w:w="1357" w:type="dxa"/>
          </w:tcPr>
          <w:p w14:paraId="1D8AB84C" w14:textId="77777777" w:rsidR="00695EBA" w:rsidRDefault="00695EBA" w:rsidP="00A95965">
            <w:pPr>
              <w:pStyle w:val="TableText"/>
              <w:rPr>
                <w:szCs w:val="20"/>
              </w:rPr>
            </w:pPr>
          </w:p>
        </w:tc>
        <w:tc>
          <w:tcPr>
            <w:tcW w:w="747" w:type="dxa"/>
          </w:tcPr>
          <w:p w14:paraId="6DCD0EDA" w14:textId="77777777" w:rsidR="00695EBA" w:rsidRDefault="00695EBA" w:rsidP="00A95965">
            <w:pPr>
              <w:pStyle w:val="TableText"/>
              <w:rPr>
                <w:szCs w:val="20"/>
              </w:rPr>
            </w:pPr>
          </w:p>
        </w:tc>
        <w:tc>
          <w:tcPr>
            <w:tcW w:w="708" w:type="dxa"/>
          </w:tcPr>
          <w:p w14:paraId="6EBFB9D4" w14:textId="77777777" w:rsidR="00695EBA" w:rsidRDefault="00695EBA" w:rsidP="00A95965">
            <w:pPr>
              <w:pStyle w:val="TableText"/>
              <w:rPr>
                <w:szCs w:val="20"/>
              </w:rPr>
            </w:pPr>
          </w:p>
        </w:tc>
        <w:tc>
          <w:tcPr>
            <w:tcW w:w="1026" w:type="dxa"/>
          </w:tcPr>
          <w:p w14:paraId="4C48E4F0" w14:textId="77777777" w:rsidR="00695EBA" w:rsidRDefault="00695EBA" w:rsidP="00A95965">
            <w:pPr>
              <w:pStyle w:val="TableText"/>
              <w:rPr>
                <w:szCs w:val="20"/>
              </w:rPr>
            </w:pPr>
          </w:p>
        </w:tc>
      </w:tr>
      <w:tr w:rsidR="00695EBA" w14:paraId="6F578B1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D89C1C5" w14:textId="77777777" w:rsidR="00695EBA" w:rsidRDefault="00695EBA" w:rsidP="00A95965">
            <w:pPr>
              <w:pStyle w:val="TableText"/>
              <w:rPr>
                <w:szCs w:val="20"/>
              </w:rPr>
            </w:pPr>
          </w:p>
        </w:tc>
        <w:tc>
          <w:tcPr>
            <w:tcW w:w="2290" w:type="dxa"/>
          </w:tcPr>
          <w:p w14:paraId="78DB4EFF" w14:textId="77777777" w:rsidR="00695EBA" w:rsidRDefault="00695EBA" w:rsidP="00A95965">
            <w:pPr>
              <w:pStyle w:val="TableText"/>
              <w:rPr>
                <w:szCs w:val="20"/>
              </w:rPr>
            </w:pPr>
          </w:p>
        </w:tc>
        <w:tc>
          <w:tcPr>
            <w:tcW w:w="897" w:type="dxa"/>
          </w:tcPr>
          <w:p w14:paraId="107281D4" w14:textId="77777777" w:rsidR="00695EBA" w:rsidRDefault="00695EBA" w:rsidP="00571D70">
            <w:pPr>
              <w:pStyle w:val="TableText"/>
              <w:rPr>
                <w:szCs w:val="20"/>
              </w:rPr>
            </w:pPr>
          </w:p>
        </w:tc>
        <w:tc>
          <w:tcPr>
            <w:tcW w:w="797" w:type="dxa"/>
          </w:tcPr>
          <w:p w14:paraId="13EB58CB" w14:textId="77777777" w:rsidR="00695EBA" w:rsidRDefault="00695EBA" w:rsidP="00A95965">
            <w:pPr>
              <w:pStyle w:val="TableText"/>
              <w:rPr>
                <w:szCs w:val="20"/>
              </w:rPr>
            </w:pPr>
          </w:p>
        </w:tc>
        <w:tc>
          <w:tcPr>
            <w:tcW w:w="835" w:type="dxa"/>
          </w:tcPr>
          <w:p w14:paraId="46BA0EC1" w14:textId="77777777" w:rsidR="00695EBA" w:rsidRDefault="00695EBA" w:rsidP="00A95965">
            <w:pPr>
              <w:pStyle w:val="TableText"/>
              <w:rPr>
                <w:szCs w:val="20"/>
              </w:rPr>
            </w:pPr>
          </w:p>
        </w:tc>
        <w:tc>
          <w:tcPr>
            <w:tcW w:w="905" w:type="dxa"/>
          </w:tcPr>
          <w:p w14:paraId="6AD4E5FE" w14:textId="77777777" w:rsidR="00695EBA" w:rsidRDefault="00695EBA" w:rsidP="00A95965">
            <w:pPr>
              <w:pStyle w:val="TableText"/>
              <w:rPr>
                <w:szCs w:val="20"/>
              </w:rPr>
            </w:pPr>
          </w:p>
        </w:tc>
        <w:tc>
          <w:tcPr>
            <w:tcW w:w="1357" w:type="dxa"/>
          </w:tcPr>
          <w:p w14:paraId="04881FFD" w14:textId="77777777" w:rsidR="00695EBA" w:rsidRDefault="00695EBA" w:rsidP="00A95965">
            <w:pPr>
              <w:pStyle w:val="TableText"/>
              <w:rPr>
                <w:szCs w:val="20"/>
              </w:rPr>
            </w:pPr>
          </w:p>
        </w:tc>
        <w:tc>
          <w:tcPr>
            <w:tcW w:w="747" w:type="dxa"/>
          </w:tcPr>
          <w:p w14:paraId="753FD0CC" w14:textId="77777777" w:rsidR="00695EBA" w:rsidRDefault="00695EBA" w:rsidP="00A95965">
            <w:pPr>
              <w:pStyle w:val="TableText"/>
              <w:rPr>
                <w:szCs w:val="20"/>
              </w:rPr>
            </w:pPr>
          </w:p>
        </w:tc>
        <w:tc>
          <w:tcPr>
            <w:tcW w:w="708" w:type="dxa"/>
          </w:tcPr>
          <w:p w14:paraId="2C3A228A" w14:textId="77777777" w:rsidR="00695EBA" w:rsidRDefault="00695EBA" w:rsidP="00A95965">
            <w:pPr>
              <w:pStyle w:val="TableText"/>
              <w:rPr>
                <w:szCs w:val="20"/>
              </w:rPr>
            </w:pPr>
          </w:p>
        </w:tc>
        <w:tc>
          <w:tcPr>
            <w:tcW w:w="1026" w:type="dxa"/>
          </w:tcPr>
          <w:p w14:paraId="4D4BC87F" w14:textId="77777777" w:rsidR="00695EBA" w:rsidRDefault="00695EBA" w:rsidP="00A95965">
            <w:pPr>
              <w:pStyle w:val="TableText"/>
              <w:rPr>
                <w:szCs w:val="20"/>
              </w:rPr>
            </w:pPr>
          </w:p>
        </w:tc>
      </w:tr>
      <w:tr w:rsidR="00695EBA" w14:paraId="3E70C28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C802B8E" w14:textId="77777777" w:rsidR="00695EBA" w:rsidRDefault="00695EBA" w:rsidP="00A95965">
            <w:pPr>
              <w:pStyle w:val="TableText"/>
              <w:rPr>
                <w:szCs w:val="20"/>
              </w:rPr>
            </w:pPr>
          </w:p>
        </w:tc>
        <w:tc>
          <w:tcPr>
            <w:tcW w:w="2290" w:type="dxa"/>
          </w:tcPr>
          <w:p w14:paraId="2C13A899" w14:textId="77777777" w:rsidR="00695EBA" w:rsidRDefault="00695EBA" w:rsidP="00A95965">
            <w:pPr>
              <w:pStyle w:val="TableText"/>
              <w:rPr>
                <w:szCs w:val="20"/>
              </w:rPr>
            </w:pPr>
          </w:p>
        </w:tc>
        <w:tc>
          <w:tcPr>
            <w:tcW w:w="897" w:type="dxa"/>
          </w:tcPr>
          <w:p w14:paraId="0937D066" w14:textId="77777777" w:rsidR="00695EBA" w:rsidRDefault="00695EBA" w:rsidP="00571D70">
            <w:pPr>
              <w:pStyle w:val="TableText"/>
              <w:rPr>
                <w:szCs w:val="20"/>
              </w:rPr>
            </w:pPr>
          </w:p>
        </w:tc>
        <w:tc>
          <w:tcPr>
            <w:tcW w:w="797" w:type="dxa"/>
          </w:tcPr>
          <w:p w14:paraId="3D42923A" w14:textId="77777777" w:rsidR="00695EBA" w:rsidRDefault="00695EBA" w:rsidP="00A95965">
            <w:pPr>
              <w:pStyle w:val="TableText"/>
              <w:rPr>
                <w:szCs w:val="20"/>
              </w:rPr>
            </w:pPr>
          </w:p>
        </w:tc>
        <w:tc>
          <w:tcPr>
            <w:tcW w:w="835" w:type="dxa"/>
          </w:tcPr>
          <w:p w14:paraId="3DF08540" w14:textId="77777777" w:rsidR="00695EBA" w:rsidRDefault="00695EBA" w:rsidP="00A95965">
            <w:pPr>
              <w:pStyle w:val="TableText"/>
              <w:rPr>
                <w:szCs w:val="20"/>
              </w:rPr>
            </w:pPr>
          </w:p>
        </w:tc>
        <w:tc>
          <w:tcPr>
            <w:tcW w:w="905" w:type="dxa"/>
          </w:tcPr>
          <w:p w14:paraId="4F34BB58" w14:textId="77777777" w:rsidR="00695EBA" w:rsidRDefault="00695EBA" w:rsidP="00A95965">
            <w:pPr>
              <w:pStyle w:val="TableText"/>
              <w:rPr>
                <w:szCs w:val="20"/>
              </w:rPr>
            </w:pPr>
          </w:p>
        </w:tc>
        <w:tc>
          <w:tcPr>
            <w:tcW w:w="1357" w:type="dxa"/>
          </w:tcPr>
          <w:p w14:paraId="350409AB" w14:textId="77777777" w:rsidR="00695EBA" w:rsidRDefault="00695EBA" w:rsidP="00A95965">
            <w:pPr>
              <w:pStyle w:val="TableText"/>
              <w:rPr>
                <w:szCs w:val="20"/>
              </w:rPr>
            </w:pPr>
          </w:p>
        </w:tc>
        <w:tc>
          <w:tcPr>
            <w:tcW w:w="747" w:type="dxa"/>
          </w:tcPr>
          <w:p w14:paraId="76F3B1C5" w14:textId="77777777" w:rsidR="00695EBA" w:rsidRDefault="00695EBA" w:rsidP="00A95965">
            <w:pPr>
              <w:pStyle w:val="TableText"/>
              <w:rPr>
                <w:szCs w:val="20"/>
              </w:rPr>
            </w:pPr>
          </w:p>
        </w:tc>
        <w:tc>
          <w:tcPr>
            <w:tcW w:w="708" w:type="dxa"/>
          </w:tcPr>
          <w:p w14:paraId="7DF7CBCC" w14:textId="77777777" w:rsidR="00695EBA" w:rsidRDefault="00695EBA" w:rsidP="00A95965">
            <w:pPr>
              <w:pStyle w:val="TableText"/>
              <w:rPr>
                <w:szCs w:val="20"/>
              </w:rPr>
            </w:pPr>
          </w:p>
        </w:tc>
        <w:tc>
          <w:tcPr>
            <w:tcW w:w="1026" w:type="dxa"/>
          </w:tcPr>
          <w:p w14:paraId="26524D6B" w14:textId="77777777" w:rsidR="00695EBA" w:rsidRDefault="00695EBA" w:rsidP="00A95965">
            <w:pPr>
              <w:pStyle w:val="TableText"/>
              <w:rPr>
                <w:szCs w:val="20"/>
              </w:rPr>
            </w:pPr>
          </w:p>
        </w:tc>
      </w:tr>
      <w:tr w:rsidR="00695EBA" w14:paraId="3E1AFC0E"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6E3D23F" w14:textId="77777777" w:rsidR="00695EBA" w:rsidRDefault="00695EBA" w:rsidP="00A95965">
            <w:pPr>
              <w:pStyle w:val="TableText"/>
              <w:rPr>
                <w:szCs w:val="20"/>
              </w:rPr>
            </w:pPr>
          </w:p>
        </w:tc>
        <w:tc>
          <w:tcPr>
            <w:tcW w:w="2290" w:type="dxa"/>
          </w:tcPr>
          <w:p w14:paraId="6D057182" w14:textId="77777777" w:rsidR="00695EBA" w:rsidRDefault="00695EBA" w:rsidP="00A95965">
            <w:pPr>
              <w:pStyle w:val="TableText"/>
              <w:rPr>
                <w:szCs w:val="20"/>
              </w:rPr>
            </w:pPr>
          </w:p>
        </w:tc>
        <w:tc>
          <w:tcPr>
            <w:tcW w:w="897" w:type="dxa"/>
          </w:tcPr>
          <w:p w14:paraId="04E07207" w14:textId="77777777" w:rsidR="00695EBA" w:rsidRDefault="00695EBA" w:rsidP="00571D70">
            <w:pPr>
              <w:pStyle w:val="TableText"/>
              <w:rPr>
                <w:szCs w:val="20"/>
              </w:rPr>
            </w:pPr>
          </w:p>
        </w:tc>
        <w:tc>
          <w:tcPr>
            <w:tcW w:w="797" w:type="dxa"/>
          </w:tcPr>
          <w:p w14:paraId="31833C4D" w14:textId="77777777" w:rsidR="00695EBA" w:rsidRDefault="00695EBA" w:rsidP="00A95965">
            <w:pPr>
              <w:pStyle w:val="TableText"/>
              <w:rPr>
                <w:szCs w:val="20"/>
              </w:rPr>
            </w:pPr>
          </w:p>
        </w:tc>
        <w:tc>
          <w:tcPr>
            <w:tcW w:w="835" w:type="dxa"/>
          </w:tcPr>
          <w:p w14:paraId="12AD33F0" w14:textId="77777777" w:rsidR="00695EBA" w:rsidRDefault="00695EBA" w:rsidP="00A95965">
            <w:pPr>
              <w:pStyle w:val="TableText"/>
              <w:rPr>
                <w:szCs w:val="20"/>
              </w:rPr>
            </w:pPr>
          </w:p>
        </w:tc>
        <w:tc>
          <w:tcPr>
            <w:tcW w:w="905" w:type="dxa"/>
          </w:tcPr>
          <w:p w14:paraId="19AE2920" w14:textId="77777777" w:rsidR="00695EBA" w:rsidRDefault="00695EBA" w:rsidP="00A95965">
            <w:pPr>
              <w:pStyle w:val="TableText"/>
              <w:rPr>
                <w:szCs w:val="20"/>
              </w:rPr>
            </w:pPr>
          </w:p>
        </w:tc>
        <w:tc>
          <w:tcPr>
            <w:tcW w:w="1357" w:type="dxa"/>
          </w:tcPr>
          <w:p w14:paraId="496C672C" w14:textId="77777777" w:rsidR="00695EBA" w:rsidRDefault="00695EBA" w:rsidP="00A95965">
            <w:pPr>
              <w:pStyle w:val="TableText"/>
              <w:rPr>
                <w:szCs w:val="20"/>
              </w:rPr>
            </w:pPr>
          </w:p>
        </w:tc>
        <w:tc>
          <w:tcPr>
            <w:tcW w:w="747" w:type="dxa"/>
          </w:tcPr>
          <w:p w14:paraId="5EBEE5D0" w14:textId="77777777" w:rsidR="00695EBA" w:rsidRDefault="00695EBA" w:rsidP="00A95965">
            <w:pPr>
              <w:pStyle w:val="TableText"/>
              <w:rPr>
                <w:szCs w:val="20"/>
              </w:rPr>
            </w:pPr>
          </w:p>
        </w:tc>
        <w:tc>
          <w:tcPr>
            <w:tcW w:w="708" w:type="dxa"/>
          </w:tcPr>
          <w:p w14:paraId="5C834CCE" w14:textId="77777777" w:rsidR="00695EBA" w:rsidRDefault="00695EBA" w:rsidP="00A95965">
            <w:pPr>
              <w:pStyle w:val="TableText"/>
              <w:rPr>
                <w:szCs w:val="20"/>
              </w:rPr>
            </w:pPr>
          </w:p>
        </w:tc>
        <w:tc>
          <w:tcPr>
            <w:tcW w:w="1026" w:type="dxa"/>
          </w:tcPr>
          <w:p w14:paraId="3426586C" w14:textId="77777777" w:rsidR="00695EBA" w:rsidRDefault="00695EBA" w:rsidP="00A95965">
            <w:pPr>
              <w:pStyle w:val="TableText"/>
              <w:rPr>
                <w:szCs w:val="20"/>
              </w:rPr>
            </w:pPr>
          </w:p>
        </w:tc>
      </w:tr>
      <w:tr w:rsidR="00695EBA" w14:paraId="4D9E2BD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2C44703E" w14:textId="77777777" w:rsidR="00695EBA" w:rsidRDefault="00695EBA" w:rsidP="00A95965">
            <w:pPr>
              <w:pStyle w:val="TableText"/>
              <w:rPr>
                <w:szCs w:val="20"/>
              </w:rPr>
            </w:pPr>
          </w:p>
        </w:tc>
        <w:tc>
          <w:tcPr>
            <w:tcW w:w="2290" w:type="dxa"/>
          </w:tcPr>
          <w:p w14:paraId="5892B51E" w14:textId="77777777" w:rsidR="00695EBA" w:rsidRDefault="00695EBA" w:rsidP="00A95965">
            <w:pPr>
              <w:pStyle w:val="TableText"/>
              <w:rPr>
                <w:szCs w:val="20"/>
              </w:rPr>
            </w:pPr>
          </w:p>
        </w:tc>
        <w:tc>
          <w:tcPr>
            <w:tcW w:w="897" w:type="dxa"/>
          </w:tcPr>
          <w:p w14:paraId="0F3B1B64" w14:textId="77777777" w:rsidR="00695EBA" w:rsidRDefault="00695EBA" w:rsidP="00571D70">
            <w:pPr>
              <w:pStyle w:val="TableText"/>
              <w:rPr>
                <w:szCs w:val="20"/>
              </w:rPr>
            </w:pPr>
          </w:p>
        </w:tc>
        <w:tc>
          <w:tcPr>
            <w:tcW w:w="797" w:type="dxa"/>
          </w:tcPr>
          <w:p w14:paraId="6996767C" w14:textId="77777777" w:rsidR="00695EBA" w:rsidRDefault="00695EBA" w:rsidP="00A95965">
            <w:pPr>
              <w:pStyle w:val="TableText"/>
              <w:rPr>
                <w:szCs w:val="20"/>
              </w:rPr>
            </w:pPr>
          </w:p>
        </w:tc>
        <w:tc>
          <w:tcPr>
            <w:tcW w:w="835" w:type="dxa"/>
          </w:tcPr>
          <w:p w14:paraId="4C4C64DD" w14:textId="77777777" w:rsidR="00695EBA" w:rsidRDefault="00695EBA" w:rsidP="00A95965">
            <w:pPr>
              <w:pStyle w:val="TableText"/>
              <w:rPr>
                <w:szCs w:val="20"/>
              </w:rPr>
            </w:pPr>
          </w:p>
        </w:tc>
        <w:tc>
          <w:tcPr>
            <w:tcW w:w="905" w:type="dxa"/>
          </w:tcPr>
          <w:p w14:paraId="29C648C1" w14:textId="77777777" w:rsidR="00695EBA" w:rsidRDefault="00695EBA" w:rsidP="00A95965">
            <w:pPr>
              <w:pStyle w:val="TableText"/>
              <w:rPr>
                <w:szCs w:val="20"/>
              </w:rPr>
            </w:pPr>
          </w:p>
        </w:tc>
        <w:tc>
          <w:tcPr>
            <w:tcW w:w="1357" w:type="dxa"/>
          </w:tcPr>
          <w:p w14:paraId="36E1DF1E" w14:textId="77777777" w:rsidR="00695EBA" w:rsidRDefault="00695EBA" w:rsidP="00A95965">
            <w:pPr>
              <w:pStyle w:val="TableText"/>
              <w:rPr>
                <w:szCs w:val="20"/>
              </w:rPr>
            </w:pPr>
          </w:p>
        </w:tc>
        <w:tc>
          <w:tcPr>
            <w:tcW w:w="747" w:type="dxa"/>
          </w:tcPr>
          <w:p w14:paraId="123954EC" w14:textId="77777777" w:rsidR="00695EBA" w:rsidRDefault="00695EBA" w:rsidP="00A95965">
            <w:pPr>
              <w:pStyle w:val="TableText"/>
              <w:rPr>
                <w:szCs w:val="20"/>
              </w:rPr>
            </w:pPr>
          </w:p>
        </w:tc>
        <w:tc>
          <w:tcPr>
            <w:tcW w:w="708" w:type="dxa"/>
          </w:tcPr>
          <w:p w14:paraId="3C7B9F1A" w14:textId="77777777" w:rsidR="00695EBA" w:rsidRDefault="00695EBA" w:rsidP="00A95965">
            <w:pPr>
              <w:pStyle w:val="TableText"/>
              <w:rPr>
                <w:szCs w:val="20"/>
              </w:rPr>
            </w:pPr>
          </w:p>
        </w:tc>
        <w:tc>
          <w:tcPr>
            <w:tcW w:w="1026" w:type="dxa"/>
          </w:tcPr>
          <w:p w14:paraId="6D937937" w14:textId="77777777" w:rsidR="00695EBA" w:rsidRDefault="00695EBA" w:rsidP="00A95965">
            <w:pPr>
              <w:pStyle w:val="TableText"/>
              <w:rPr>
                <w:szCs w:val="20"/>
              </w:rPr>
            </w:pPr>
          </w:p>
        </w:tc>
      </w:tr>
      <w:tr w:rsidR="00695EBA" w14:paraId="4721B9B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804B07F" w14:textId="77777777" w:rsidR="00695EBA" w:rsidRDefault="00695EBA" w:rsidP="00A95965">
            <w:pPr>
              <w:pStyle w:val="TableText"/>
              <w:rPr>
                <w:szCs w:val="20"/>
              </w:rPr>
            </w:pPr>
          </w:p>
        </w:tc>
        <w:tc>
          <w:tcPr>
            <w:tcW w:w="2290" w:type="dxa"/>
          </w:tcPr>
          <w:p w14:paraId="76F3C65C" w14:textId="77777777" w:rsidR="00695EBA" w:rsidRDefault="00695EBA" w:rsidP="00A95965">
            <w:pPr>
              <w:pStyle w:val="TableText"/>
              <w:rPr>
                <w:szCs w:val="20"/>
              </w:rPr>
            </w:pPr>
          </w:p>
        </w:tc>
        <w:tc>
          <w:tcPr>
            <w:tcW w:w="897" w:type="dxa"/>
          </w:tcPr>
          <w:p w14:paraId="010DA98B" w14:textId="77777777" w:rsidR="00695EBA" w:rsidRDefault="00695EBA" w:rsidP="00571D70">
            <w:pPr>
              <w:pStyle w:val="TableText"/>
              <w:rPr>
                <w:szCs w:val="20"/>
              </w:rPr>
            </w:pPr>
          </w:p>
        </w:tc>
        <w:tc>
          <w:tcPr>
            <w:tcW w:w="797" w:type="dxa"/>
          </w:tcPr>
          <w:p w14:paraId="042DDF30" w14:textId="77777777" w:rsidR="00695EBA" w:rsidRDefault="00695EBA" w:rsidP="00A95965">
            <w:pPr>
              <w:pStyle w:val="TableText"/>
              <w:rPr>
                <w:szCs w:val="20"/>
              </w:rPr>
            </w:pPr>
          </w:p>
        </w:tc>
        <w:tc>
          <w:tcPr>
            <w:tcW w:w="835" w:type="dxa"/>
          </w:tcPr>
          <w:p w14:paraId="6ED7F5EC" w14:textId="77777777" w:rsidR="00695EBA" w:rsidRDefault="00695EBA" w:rsidP="00A95965">
            <w:pPr>
              <w:pStyle w:val="TableText"/>
              <w:rPr>
                <w:szCs w:val="20"/>
              </w:rPr>
            </w:pPr>
          </w:p>
        </w:tc>
        <w:tc>
          <w:tcPr>
            <w:tcW w:w="905" w:type="dxa"/>
          </w:tcPr>
          <w:p w14:paraId="6E0260FD" w14:textId="77777777" w:rsidR="00695EBA" w:rsidRDefault="00695EBA" w:rsidP="00A95965">
            <w:pPr>
              <w:pStyle w:val="TableText"/>
              <w:rPr>
                <w:szCs w:val="20"/>
              </w:rPr>
            </w:pPr>
          </w:p>
        </w:tc>
        <w:tc>
          <w:tcPr>
            <w:tcW w:w="1357" w:type="dxa"/>
          </w:tcPr>
          <w:p w14:paraId="6C4FCD68" w14:textId="77777777" w:rsidR="00695EBA" w:rsidRDefault="00695EBA" w:rsidP="00A95965">
            <w:pPr>
              <w:pStyle w:val="TableText"/>
              <w:rPr>
                <w:szCs w:val="20"/>
              </w:rPr>
            </w:pPr>
          </w:p>
        </w:tc>
        <w:tc>
          <w:tcPr>
            <w:tcW w:w="747" w:type="dxa"/>
          </w:tcPr>
          <w:p w14:paraId="4C880697" w14:textId="77777777" w:rsidR="00695EBA" w:rsidRDefault="00695EBA" w:rsidP="00A95965">
            <w:pPr>
              <w:pStyle w:val="TableText"/>
              <w:rPr>
                <w:szCs w:val="20"/>
              </w:rPr>
            </w:pPr>
          </w:p>
        </w:tc>
        <w:tc>
          <w:tcPr>
            <w:tcW w:w="708" w:type="dxa"/>
          </w:tcPr>
          <w:p w14:paraId="1971B9C8" w14:textId="77777777" w:rsidR="00695EBA" w:rsidRDefault="00695EBA" w:rsidP="00A95965">
            <w:pPr>
              <w:pStyle w:val="TableText"/>
              <w:rPr>
                <w:szCs w:val="20"/>
              </w:rPr>
            </w:pPr>
          </w:p>
        </w:tc>
        <w:tc>
          <w:tcPr>
            <w:tcW w:w="1026" w:type="dxa"/>
          </w:tcPr>
          <w:p w14:paraId="3AF0E8DA" w14:textId="77777777" w:rsidR="00695EBA" w:rsidRDefault="00695EBA" w:rsidP="00A95965">
            <w:pPr>
              <w:pStyle w:val="TableText"/>
              <w:rPr>
                <w:szCs w:val="20"/>
              </w:rPr>
            </w:pPr>
          </w:p>
        </w:tc>
      </w:tr>
      <w:tr w:rsidR="00695EBA" w14:paraId="30A3D66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73DE054E" w14:textId="77777777" w:rsidR="00695EBA" w:rsidRDefault="00695EBA" w:rsidP="00A95965">
            <w:pPr>
              <w:pStyle w:val="TableText"/>
              <w:rPr>
                <w:szCs w:val="20"/>
              </w:rPr>
            </w:pPr>
          </w:p>
        </w:tc>
        <w:tc>
          <w:tcPr>
            <w:tcW w:w="2290" w:type="dxa"/>
          </w:tcPr>
          <w:p w14:paraId="277E7627" w14:textId="77777777" w:rsidR="00695EBA" w:rsidRDefault="00695EBA" w:rsidP="00A95965">
            <w:pPr>
              <w:pStyle w:val="TableText"/>
              <w:rPr>
                <w:szCs w:val="20"/>
              </w:rPr>
            </w:pPr>
          </w:p>
        </w:tc>
        <w:tc>
          <w:tcPr>
            <w:tcW w:w="897" w:type="dxa"/>
          </w:tcPr>
          <w:p w14:paraId="3987708A" w14:textId="77777777" w:rsidR="00695EBA" w:rsidRDefault="00695EBA" w:rsidP="00571D70">
            <w:pPr>
              <w:pStyle w:val="TableText"/>
              <w:rPr>
                <w:szCs w:val="20"/>
              </w:rPr>
            </w:pPr>
          </w:p>
        </w:tc>
        <w:tc>
          <w:tcPr>
            <w:tcW w:w="797" w:type="dxa"/>
          </w:tcPr>
          <w:p w14:paraId="1BF524B8" w14:textId="77777777" w:rsidR="00695EBA" w:rsidRDefault="00695EBA" w:rsidP="00A95965">
            <w:pPr>
              <w:pStyle w:val="TableText"/>
              <w:rPr>
                <w:szCs w:val="20"/>
              </w:rPr>
            </w:pPr>
          </w:p>
        </w:tc>
        <w:tc>
          <w:tcPr>
            <w:tcW w:w="835" w:type="dxa"/>
          </w:tcPr>
          <w:p w14:paraId="268E5E5E" w14:textId="77777777" w:rsidR="00695EBA" w:rsidRDefault="00695EBA" w:rsidP="00A95965">
            <w:pPr>
              <w:pStyle w:val="TableText"/>
              <w:rPr>
                <w:szCs w:val="20"/>
              </w:rPr>
            </w:pPr>
          </w:p>
        </w:tc>
        <w:tc>
          <w:tcPr>
            <w:tcW w:w="905" w:type="dxa"/>
          </w:tcPr>
          <w:p w14:paraId="3EC7067A" w14:textId="77777777" w:rsidR="00695EBA" w:rsidRDefault="00695EBA" w:rsidP="00A95965">
            <w:pPr>
              <w:pStyle w:val="TableText"/>
              <w:rPr>
                <w:szCs w:val="20"/>
              </w:rPr>
            </w:pPr>
          </w:p>
        </w:tc>
        <w:tc>
          <w:tcPr>
            <w:tcW w:w="1357" w:type="dxa"/>
          </w:tcPr>
          <w:p w14:paraId="74505759" w14:textId="77777777" w:rsidR="00695EBA" w:rsidRDefault="00695EBA" w:rsidP="00A95965">
            <w:pPr>
              <w:pStyle w:val="TableText"/>
              <w:rPr>
                <w:szCs w:val="20"/>
              </w:rPr>
            </w:pPr>
          </w:p>
        </w:tc>
        <w:tc>
          <w:tcPr>
            <w:tcW w:w="747" w:type="dxa"/>
          </w:tcPr>
          <w:p w14:paraId="4933FA27" w14:textId="77777777" w:rsidR="00695EBA" w:rsidRDefault="00695EBA" w:rsidP="00A95965">
            <w:pPr>
              <w:pStyle w:val="TableText"/>
              <w:rPr>
                <w:szCs w:val="20"/>
              </w:rPr>
            </w:pPr>
          </w:p>
        </w:tc>
        <w:tc>
          <w:tcPr>
            <w:tcW w:w="708" w:type="dxa"/>
          </w:tcPr>
          <w:p w14:paraId="6A1077B7" w14:textId="77777777" w:rsidR="00695EBA" w:rsidRDefault="00695EBA" w:rsidP="00A95965">
            <w:pPr>
              <w:pStyle w:val="TableText"/>
              <w:rPr>
                <w:szCs w:val="20"/>
              </w:rPr>
            </w:pPr>
          </w:p>
        </w:tc>
        <w:tc>
          <w:tcPr>
            <w:tcW w:w="1026" w:type="dxa"/>
          </w:tcPr>
          <w:p w14:paraId="14CDA79C" w14:textId="77777777" w:rsidR="00695EBA" w:rsidRDefault="00695EBA" w:rsidP="00A95965">
            <w:pPr>
              <w:pStyle w:val="TableText"/>
              <w:rPr>
                <w:szCs w:val="20"/>
              </w:rPr>
            </w:pPr>
          </w:p>
        </w:tc>
      </w:tr>
      <w:tr w:rsidR="00695EBA" w14:paraId="6163481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1863FE63" w14:textId="77777777" w:rsidR="00695EBA" w:rsidRDefault="00695EBA" w:rsidP="00A95965">
            <w:pPr>
              <w:pStyle w:val="TableText"/>
              <w:rPr>
                <w:szCs w:val="20"/>
              </w:rPr>
            </w:pPr>
          </w:p>
        </w:tc>
        <w:tc>
          <w:tcPr>
            <w:tcW w:w="2290" w:type="dxa"/>
          </w:tcPr>
          <w:p w14:paraId="4F22E9D1" w14:textId="77777777" w:rsidR="00695EBA" w:rsidRDefault="00695EBA" w:rsidP="00A95965">
            <w:pPr>
              <w:pStyle w:val="TableText"/>
              <w:rPr>
                <w:szCs w:val="20"/>
              </w:rPr>
            </w:pPr>
          </w:p>
        </w:tc>
        <w:tc>
          <w:tcPr>
            <w:tcW w:w="897" w:type="dxa"/>
          </w:tcPr>
          <w:p w14:paraId="0970C634" w14:textId="77777777" w:rsidR="00695EBA" w:rsidRDefault="00695EBA" w:rsidP="00571D70">
            <w:pPr>
              <w:pStyle w:val="TableText"/>
              <w:rPr>
                <w:szCs w:val="20"/>
              </w:rPr>
            </w:pPr>
          </w:p>
        </w:tc>
        <w:tc>
          <w:tcPr>
            <w:tcW w:w="797" w:type="dxa"/>
          </w:tcPr>
          <w:p w14:paraId="4670731C" w14:textId="77777777" w:rsidR="00695EBA" w:rsidRDefault="00695EBA" w:rsidP="00A95965">
            <w:pPr>
              <w:pStyle w:val="TableText"/>
              <w:rPr>
                <w:szCs w:val="20"/>
              </w:rPr>
            </w:pPr>
          </w:p>
        </w:tc>
        <w:tc>
          <w:tcPr>
            <w:tcW w:w="835" w:type="dxa"/>
          </w:tcPr>
          <w:p w14:paraId="62FCD82E" w14:textId="77777777" w:rsidR="00695EBA" w:rsidRDefault="00695EBA" w:rsidP="00A95965">
            <w:pPr>
              <w:pStyle w:val="TableText"/>
              <w:rPr>
                <w:szCs w:val="20"/>
              </w:rPr>
            </w:pPr>
          </w:p>
        </w:tc>
        <w:tc>
          <w:tcPr>
            <w:tcW w:w="905" w:type="dxa"/>
          </w:tcPr>
          <w:p w14:paraId="18FE42D7" w14:textId="77777777" w:rsidR="00695EBA" w:rsidRDefault="00695EBA" w:rsidP="00A95965">
            <w:pPr>
              <w:pStyle w:val="TableText"/>
              <w:rPr>
                <w:szCs w:val="20"/>
              </w:rPr>
            </w:pPr>
          </w:p>
        </w:tc>
        <w:tc>
          <w:tcPr>
            <w:tcW w:w="1357" w:type="dxa"/>
          </w:tcPr>
          <w:p w14:paraId="6D56FBAF" w14:textId="77777777" w:rsidR="00695EBA" w:rsidRDefault="00695EBA" w:rsidP="00A95965">
            <w:pPr>
              <w:pStyle w:val="TableText"/>
              <w:rPr>
                <w:szCs w:val="20"/>
              </w:rPr>
            </w:pPr>
          </w:p>
        </w:tc>
        <w:tc>
          <w:tcPr>
            <w:tcW w:w="747" w:type="dxa"/>
          </w:tcPr>
          <w:p w14:paraId="3D0250A6" w14:textId="77777777" w:rsidR="00695EBA" w:rsidRDefault="00695EBA" w:rsidP="00A95965">
            <w:pPr>
              <w:pStyle w:val="TableText"/>
              <w:rPr>
                <w:szCs w:val="20"/>
              </w:rPr>
            </w:pPr>
          </w:p>
        </w:tc>
        <w:tc>
          <w:tcPr>
            <w:tcW w:w="708" w:type="dxa"/>
          </w:tcPr>
          <w:p w14:paraId="1CDCD5AF" w14:textId="77777777" w:rsidR="00695EBA" w:rsidRDefault="00695EBA" w:rsidP="00A95965">
            <w:pPr>
              <w:pStyle w:val="TableText"/>
              <w:rPr>
                <w:szCs w:val="20"/>
              </w:rPr>
            </w:pPr>
          </w:p>
        </w:tc>
        <w:tc>
          <w:tcPr>
            <w:tcW w:w="1026" w:type="dxa"/>
          </w:tcPr>
          <w:p w14:paraId="5EFE6B32" w14:textId="77777777" w:rsidR="00695EBA" w:rsidRDefault="00695EBA" w:rsidP="00A95965">
            <w:pPr>
              <w:pStyle w:val="TableText"/>
              <w:rPr>
                <w:szCs w:val="20"/>
              </w:rPr>
            </w:pPr>
          </w:p>
        </w:tc>
      </w:tr>
    </w:tbl>
    <w:p w14:paraId="38D1558D" w14:textId="77777777" w:rsidR="00E7240A" w:rsidRDefault="00E7240A" w:rsidP="00DD75E5">
      <w:pPr>
        <w:pStyle w:val="BodyText"/>
      </w:pPr>
    </w:p>
    <w:p w14:paraId="51CBC8BB" w14:textId="77777777" w:rsidR="00E7240A" w:rsidRDefault="00E7240A" w:rsidP="00E7240A">
      <w:pPr>
        <w:pStyle w:val="Heading3"/>
      </w:pPr>
      <w:r>
        <w:br w:type="page"/>
      </w:r>
      <w:bookmarkStart w:id="708" w:name="_Toc47516805"/>
      <w:r>
        <w:lastRenderedPageBreak/>
        <w:t>Unit Modification Form</w:t>
      </w:r>
      <w:bookmarkEnd w:id="708"/>
      <w:r w:rsidR="00246F04">
        <w:fldChar w:fldCharType="begin"/>
      </w:r>
      <w:r w:rsidR="00246F04">
        <w:instrText xml:space="preserve"> XE "</w:instrText>
      </w:r>
      <w:r w:rsidR="00246F04" w:rsidRPr="00775C8B">
        <w:instrText>Unit Modification Form</w:instrText>
      </w:r>
      <w:r w:rsidR="00246F04">
        <w:instrText xml:space="preserve">" </w:instrText>
      </w:r>
      <w:r w:rsidR="00246F04">
        <w:fldChar w:fldCharType="end"/>
      </w:r>
      <w:r w:rsidR="00A95965">
        <w:fldChar w:fldCharType="begin"/>
      </w:r>
      <w:r w:rsidR="00A95965">
        <w:instrText xml:space="preserve"> XE “Forms:Unit Modification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2"/>
        <w:gridCol w:w="1609"/>
        <w:gridCol w:w="2039"/>
        <w:gridCol w:w="1201"/>
        <w:gridCol w:w="2639"/>
        <w:gridCol w:w="600"/>
        <w:gridCol w:w="3240"/>
      </w:tblGrid>
      <w:tr w:rsidR="003F4F8B" w14:paraId="6D556DA5" w14:textId="77777777">
        <w:tc>
          <w:tcPr>
            <w:tcW w:w="12960" w:type="dxa"/>
            <w:gridSpan w:val="7"/>
          </w:tcPr>
          <w:p w14:paraId="11E084DB" w14:textId="77777777" w:rsidR="003F4F8B" w:rsidRPr="003F4F8B" w:rsidRDefault="003F4F8B" w:rsidP="003F4F8B">
            <w:pPr>
              <w:pStyle w:val="TableText"/>
            </w:pPr>
            <w:r w:rsidRPr="00887834">
              <w:rPr>
                <w:b/>
              </w:rPr>
              <w:t xml:space="preserve">Facility Name: </w:t>
            </w:r>
          </w:p>
        </w:tc>
      </w:tr>
      <w:tr w:rsidR="003F4F8B" w14:paraId="49345AB6" w14:textId="77777777">
        <w:tc>
          <w:tcPr>
            <w:tcW w:w="12960" w:type="dxa"/>
            <w:gridSpan w:val="7"/>
          </w:tcPr>
          <w:p w14:paraId="015C339A" w14:textId="77777777" w:rsidR="003F4F8B" w:rsidRPr="003F4F8B" w:rsidRDefault="003F4F8B" w:rsidP="003F4F8B">
            <w:pPr>
              <w:pStyle w:val="TableText"/>
            </w:pPr>
            <w:r w:rsidRPr="00887834">
              <w:rPr>
                <w:b/>
              </w:rPr>
              <w:t xml:space="preserve">Address: </w:t>
            </w:r>
          </w:p>
        </w:tc>
      </w:tr>
      <w:tr w:rsidR="003F4F8B" w14:paraId="317BBD34" w14:textId="77777777">
        <w:tc>
          <w:tcPr>
            <w:tcW w:w="12960" w:type="dxa"/>
            <w:gridSpan w:val="7"/>
          </w:tcPr>
          <w:p w14:paraId="7888C1B2" w14:textId="77777777" w:rsidR="003F4F8B" w:rsidRPr="003F4F8B" w:rsidRDefault="003F4F8B" w:rsidP="003F4F8B">
            <w:pPr>
              <w:pStyle w:val="TableText"/>
            </w:pPr>
            <w:r w:rsidRPr="00887834">
              <w:rPr>
                <w:b/>
              </w:rPr>
              <w:t>City, State, Zip Code:</w:t>
            </w:r>
            <w:r>
              <w:t xml:space="preserve"> </w:t>
            </w:r>
          </w:p>
        </w:tc>
      </w:tr>
      <w:tr w:rsidR="00E7240A" w14:paraId="4665370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230"/>
        </w:trPr>
        <w:tc>
          <w:tcPr>
            <w:tcW w:w="3241" w:type="dxa"/>
            <w:gridSpan w:val="2"/>
            <w:shd w:val="clear" w:color="auto" w:fill="B3B3B3"/>
            <w:noWrap/>
          </w:tcPr>
          <w:p w14:paraId="73165153" w14:textId="77777777" w:rsidR="00E7240A" w:rsidRPr="005F4649" w:rsidRDefault="00E7240A" w:rsidP="00A95965">
            <w:pPr>
              <w:pStyle w:val="TableText"/>
              <w:rPr>
                <w:b/>
                <w:szCs w:val="20"/>
              </w:rPr>
            </w:pPr>
            <w:r>
              <w:rPr>
                <w:b/>
                <w:szCs w:val="20"/>
              </w:rPr>
              <w:t>Modification Date and Time</w:t>
            </w:r>
          </w:p>
        </w:tc>
        <w:tc>
          <w:tcPr>
            <w:tcW w:w="3240" w:type="dxa"/>
            <w:gridSpan w:val="2"/>
            <w:shd w:val="clear" w:color="auto" w:fill="B3B3B3"/>
          </w:tcPr>
          <w:p w14:paraId="3A3ACA66" w14:textId="77777777" w:rsidR="00E7240A" w:rsidRPr="005F4649" w:rsidRDefault="00E7240A" w:rsidP="00A95965">
            <w:pPr>
              <w:pStyle w:val="TableText"/>
              <w:rPr>
                <w:b/>
                <w:szCs w:val="20"/>
              </w:rPr>
            </w:pPr>
            <w:r>
              <w:rPr>
                <w:b/>
                <w:szCs w:val="20"/>
              </w:rPr>
              <w:t>Modification Type</w:t>
            </w:r>
          </w:p>
        </w:tc>
        <w:tc>
          <w:tcPr>
            <w:tcW w:w="3239" w:type="dxa"/>
            <w:gridSpan w:val="2"/>
            <w:shd w:val="clear" w:color="auto" w:fill="B3B3B3"/>
          </w:tcPr>
          <w:p w14:paraId="7C737E99" w14:textId="77777777" w:rsidR="00E7240A" w:rsidRDefault="00E7240A" w:rsidP="00A95965">
            <w:pPr>
              <w:pStyle w:val="TableText"/>
              <w:rPr>
                <w:b/>
                <w:szCs w:val="20"/>
              </w:rPr>
            </w:pPr>
            <w:r>
              <w:rPr>
                <w:b/>
                <w:szCs w:val="20"/>
              </w:rPr>
              <w:t>Method (Open, Closed, SCD)</w:t>
            </w:r>
          </w:p>
        </w:tc>
        <w:tc>
          <w:tcPr>
            <w:tcW w:w="3240" w:type="dxa"/>
            <w:shd w:val="clear" w:color="auto" w:fill="B3B3B3"/>
          </w:tcPr>
          <w:p w14:paraId="75CCA1B9" w14:textId="77777777" w:rsidR="00E7240A" w:rsidRPr="005F4649" w:rsidRDefault="00E7240A" w:rsidP="00A95965">
            <w:pPr>
              <w:pStyle w:val="TableText"/>
              <w:rPr>
                <w:b/>
                <w:szCs w:val="20"/>
              </w:rPr>
            </w:pPr>
            <w:r>
              <w:rPr>
                <w:b/>
                <w:szCs w:val="20"/>
              </w:rPr>
              <w:t>Modified By:</w:t>
            </w:r>
          </w:p>
        </w:tc>
      </w:tr>
      <w:tr w:rsidR="00E7240A" w14:paraId="4B383EB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3241" w:type="dxa"/>
            <w:gridSpan w:val="2"/>
            <w:noWrap/>
          </w:tcPr>
          <w:p w14:paraId="33FC2ADC" w14:textId="77777777" w:rsidR="00E7240A" w:rsidRDefault="00E7240A" w:rsidP="00A95965">
            <w:pPr>
              <w:pStyle w:val="TableText"/>
              <w:rPr>
                <w:b/>
                <w:szCs w:val="20"/>
              </w:rPr>
            </w:pPr>
          </w:p>
        </w:tc>
        <w:tc>
          <w:tcPr>
            <w:tcW w:w="3240" w:type="dxa"/>
            <w:gridSpan w:val="2"/>
          </w:tcPr>
          <w:p w14:paraId="6C04F94F" w14:textId="77777777" w:rsidR="00E7240A" w:rsidRDefault="00E7240A" w:rsidP="00A95965">
            <w:pPr>
              <w:pStyle w:val="TableText"/>
              <w:rPr>
                <w:b/>
                <w:szCs w:val="20"/>
              </w:rPr>
            </w:pPr>
          </w:p>
        </w:tc>
        <w:tc>
          <w:tcPr>
            <w:tcW w:w="3239" w:type="dxa"/>
            <w:gridSpan w:val="2"/>
          </w:tcPr>
          <w:p w14:paraId="15DD3F2B" w14:textId="77777777" w:rsidR="00E7240A" w:rsidRDefault="00E7240A" w:rsidP="00A95965">
            <w:pPr>
              <w:pStyle w:val="TableText"/>
              <w:rPr>
                <w:b/>
                <w:szCs w:val="20"/>
              </w:rPr>
            </w:pPr>
          </w:p>
        </w:tc>
        <w:tc>
          <w:tcPr>
            <w:tcW w:w="3240" w:type="dxa"/>
          </w:tcPr>
          <w:p w14:paraId="63CD04A6" w14:textId="77777777" w:rsidR="00E7240A" w:rsidRDefault="00E7240A" w:rsidP="00A95965">
            <w:pPr>
              <w:pStyle w:val="TableText"/>
              <w:rPr>
                <w:b/>
                <w:szCs w:val="20"/>
              </w:rPr>
            </w:pPr>
          </w:p>
        </w:tc>
      </w:tr>
      <w:tr w:rsidR="00E7240A" w14:paraId="04AF9B9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230"/>
        </w:trPr>
        <w:tc>
          <w:tcPr>
            <w:tcW w:w="1632" w:type="dxa"/>
            <w:tcBorders>
              <w:bottom w:val="single" w:sz="2" w:space="0" w:color="auto"/>
            </w:tcBorders>
            <w:shd w:val="clear" w:color="auto" w:fill="B3B3B3"/>
            <w:noWrap/>
          </w:tcPr>
          <w:p w14:paraId="47CA5688" w14:textId="77777777" w:rsidR="00E7240A" w:rsidRDefault="00E7240A" w:rsidP="00A95965">
            <w:pPr>
              <w:pStyle w:val="TableText"/>
              <w:rPr>
                <w:b/>
                <w:szCs w:val="20"/>
              </w:rPr>
            </w:pPr>
            <w:r>
              <w:rPr>
                <w:b/>
                <w:szCs w:val="20"/>
              </w:rPr>
              <w:t>Unit Assigned? (Yes, No)</w:t>
            </w:r>
          </w:p>
        </w:tc>
        <w:tc>
          <w:tcPr>
            <w:tcW w:w="3648" w:type="dxa"/>
            <w:gridSpan w:val="2"/>
            <w:tcBorders>
              <w:bottom w:val="single" w:sz="2" w:space="0" w:color="auto"/>
            </w:tcBorders>
            <w:shd w:val="clear" w:color="auto" w:fill="B3B3B3"/>
          </w:tcPr>
          <w:p w14:paraId="386682C3" w14:textId="77777777" w:rsidR="00E7240A" w:rsidRDefault="00E7240A" w:rsidP="00A95965">
            <w:pPr>
              <w:pStyle w:val="TableText"/>
              <w:rPr>
                <w:b/>
                <w:szCs w:val="20"/>
              </w:rPr>
            </w:pPr>
            <w:r>
              <w:rPr>
                <w:b/>
                <w:szCs w:val="20"/>
              </w:rPr>
              <w:t>Patient Name</w:t>
            </w:r>
          </w:p>
        </w:tc>
        <w:tc>
          <w:tcPr>
            <w:tcW w:w="3840" w:type="dxa"/>
            <w:gridSpan w:val="2"/>
            <w:tcBorders>
              <w:bottom w:val="single" w:sz="2" w:space="0" w:color="auto"/>
            </w:tcBorders>
            <w:shd w:val="clear" w:color="auto" w:fill="B3B3B3"/>
          </w:tcPr>
          <w:p w14:paraId="4FB34722" w14:textId="77777777" w:rsidR="00E7240A" w:rsidRDefault="00E7240A" w:rsidP="00A95965">
            <w:pPr>
              <w:pStyle w:val="TableText"/>
              <w:rPr>
                <w:b/>
                <w:szCs w:val="20"/>
              </w:rPr>
            </w:pPr>
            <w:r>
              <w:rPr>
                <w:b/>
                <w:szCs w:val="20"/>
              </w:rPr>
              <w:t>Patient Identification Number</w:t>
            </w:r>
          </w:p>
        </w:tc>
        <w:tc>
          <w:tcPr>
            <w:tcW w:w="3840" w:type="dxa"/>
            <w:gridSpan w:val="2"/>
            <w:tcBorders>
              <w:bottom w:val="single" w:sz="2" w:space="0" w:color="auto"/>
            </w:tcBorders>
            <w:shd w:val="clear" w:color="auto" w:fill="B3B3B3"/>
          </w:tcPr>
          <w:p w14:paraId="2BBCCA74" w14:textId="77777777" w:rsidR="00E7240A" w:rsidRDefault="00E7240A" w:rsidP="00A95965">
            <w:pPr>
              <w:pStyle w:val="TableText"/>
              <w:rPr>
                <w:b/>
                <w:szCs w:val="20"/>
              </w:rPr>
            </w:pPr>
            <w:r>
              <w:rPr>
                <w:b/>
                <w:szCs w:val="20"/>
              </w:rPr>
              <w:t>Specimen UID</w:t>
            </w:r>
          </w:p>
        </w:tc>
      </w:tr>
      <w:tr w:rsidR="00E7240A" w14:paraId="3AC72D5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432"/>
        </w:trPr>
        <w:tc>
          <w:tcPr>
            <w:tcW w:w="1632" w:type="dxa"/>
            <w:shd w:val="clear" w:color="auto" w:fill="auto"/>
            <w:noWrap/>
          </w:tcPr>
          <w:p w14:paraId="5FF07BFE" w14:textId="77777777" w:rsidR="00E7240A" w:rsidRDefault="00E7240A" w:rsidP="00A95965">
            <w:pPr>
              <w:pStyle w:val="TableText"/>
              <w:rPr>
                <w:b/>
                <w:szCs w:val="20"/>
              </w:rPr>
            </w:pPr>
          </w:p>
        </w:tc>
        <w:tc>
          <w:tcPr>
            <w:tcW w:w="3648" w:type="dxa"/>
            <w:gridSpan w:val="2"/>
            <w:shd w:val="clear" w:color="auto" w:fill="auto"/>
          </w:tcPr>
          <w:p w14:paraId="27D1A973" w14:textId="77777777" w:rsidR="00E7240A" w:rsidRDefault="00E7240A" w:rsidP="00A95965">
            <w:pPr>
              <w:pStyle w:val="TableText"/>
              <w:rPr>
                <w:b/>
                <w:szCs w:val="20"/>
              </w:rPr>
            </w:pPr>
          </w:p>
        </w:tc>
        <w:tc>
          <w:tcPr>
            <w:tcW w:w="3840" w:type="dxa"/>
            <w:gridSpan w:val="2"/>
            <w:shd w:val="clear" w:color="auto" w:fill="auto"/>
          </w:tcPr>
          <w:p w14:paraId="315E6304" w14:textId="77777777" w:rsidR="00E7240A" w:rsidRDefault="00E7240A" w:rsidP="00A95965">
            <w:pPr>
              <w:pStyle w:val="TableText"/>
              <w:rPr>
                <w:b/>
                <w:szCs w:val="20"/>
              </w:rPr>
            </w:pPr>
          </w:p>
        </w:tc>
        <w:tc>
          <w:tcPr>
            <w:tcW w:w="3840" w:type="dxa"/>
            <w:gridSpan w:val="2"/>
            <w:shd w:val="clear" w:color="auto" w:fill="auto"/>
          </w:tcPr>
          <w:p w14:paraId="0D0959D0" w14:textId="77777777" w:rsidR="00E7240A" w:rsidRDefault="00E7240A" w:rsidP="00A95965">
            <w:pPr>
              <w:pStyle w:val="TableText"/>
              <w:rPr>
                <w:b/>
                <w:szCs w:val="20"/>
              </w:rPr>
            </w:pPr>
          </w:p>
        </w:tc>
      </w:tr>
    </w:tbl>
    <w:p w14:paraId="062460D2"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3793"/>
        <w:gridCol w:w="2330"/>
        <w:gridCol w:w="2111"/>
        <w:gridCol w:w="2330"/>
        <w:gridCol w:w="2396"/>
      </w:tblGrid>
      <w:tr w:rsidR="00E7240A" w14:paraId="536F2DC0" w14:textId="77777777">
        <w:trPr>
          <w:cantSplit/>
          <w:trHeight w:val="235"/>
          <w:tblHeader/>
        </w:trPr>
        <w:tc>
          <w:tcPr>
            <w:tcW w:w="12960" w:type="dxa"/>
            <w:gridSpan w:val="5"/>
            <w:shd w:val="clear" w:color="auto" w:fill="B3B3B3"/>
            <w:noWrap/>
          </w:tcPr>
          <w:p w14:paraId="3CA2FA75" w14:textId="77777777" w:rsidR="00E7240A" w:rsidRPr="005F4649" w:rsidRDefault="00E7240A" w:rsidP="00CA119C">
            <w:pPr>
              <w:pStyle w:val="TableText"/>
              <w:rPr>
                <w:b/>
                <w:szCs w:val="20"/>
              </w:rPr>
            </w:pPr>
            <w:r>
              <w:rPr>
                <w:b/>
                <w:szCs w:val="20"/>
              </w:rPr>
              <w:t>Unit(s) to Be Modified</w:t>
            </w:r>
          </w:p>
        </w:tc>
      </w:tr>
      <w:tr w:rsidR="00E7240A" w14:paraId="3218E773" w14:textId="77777777">
        <w:tblPrEx>
          <w:shd w:val="clear" w:color="auto" w:fill="auto"/>
        </w:tblPrEx>
        <w:trPr>
          <w:cantSplit/>
          <w:trHeight w:val="230"/>
          <w:tblHeader/>
        </w:trPr>
        <w:tc>
          <w:tcPr>
            <w:tcW w:w="3793" w:type="dxa"/>
            <w:shd w:val="clear" w:color="auto" w:fill="B3B3B3"/>
            <w:noWrap/>
          </w:tcPr>
          <w:p w14:paraId="6B3AF105" w14:textId="77777777" w:rsidR="00E7240A" w:rsidRPr="005F4649" w:rsidRDefault="00E7240A" w:rsidP="00CA119C">
            <w:pPr>
              <w:pStyle w:val="TableText"/>
              <w:rPr>
                <w:b/>
                <w:szCs w:val="20"/>
              </w:rPr>
            </w:pPr>
            <w:r>
              <w:rPr>
                <w:b/>
                <w:szCs w:val="20"/>
              </w:rPr>
              <w:t>Unit Identification Number</w:t>
            </w:r>
          </w:p>
        </w:tc>
        <w:tc>
          <w:tcPr>
            <w:tcW w:w="2330" w:type="dxa"/>
            <w:shd w:val="clear" w:color="auto" w:fill="B3B3B3"/>
          </w:tcPr>
          <w:p w14:paraId="4F3D3797" w14:textId="77777777" w:rsidR="00E7240A" w:rsidRPr="005F4649" w:rsidRDefault="00E7240A" w:rsidP="00CA119C">
            <w:pPr>
              <w:pStyle w:val="TableText"/>
              <w:rPr>
                <w:b/>
                <w:szCs w:val="20"/>
              </w:rPr>
            </w:pPr>
            <w:r>
              <w:rPr>
                <w:b/>
                <w:szCs w:val="20"/>
              </w:rPr>
              <w:t>Product Code</w:t>
            </w:r>
          </w:p>
        </w:tc>
        <w:tc>
          <w:tcPr>
            <w:tcW w:w="2111" w:type="dxa"/>
            <w:shd w:val="clear" w:color="auto" w:fill="B3B3B3"/>
          </w:tcPr>
          <w:p w14:paraId="7A8A6F8C" w14:textId="77777777" w:rsidR="00E7240A" w:rsidRDefault="00E7240A" w:rsidP="00CA119C">
            <w:pPr>
              <w:pStyle w:val="TableText"/>
              <w:rPr>
                <w:b/>
                <w:szCs w:val="20"/>
              </w:rPr>
            </w:pPr>
            <w:r>
              <w:rPr>
                <w:b/>
                <w:szCs w:val="20"/>
              </w:rPr>
              <w:t>ABO/Rh</w:t>
            </w:r>
          </w:p>
        </w:tc>
        <w:tc>
          <w:tcPr>
            <w:tcW w:w="2330" w:type="dxa"/>
            <w:shd w:val="clear" w:color="auto" w:fill="B3B3B3"/>
          </w:tcPr>
          <w:p w14:paraId="2BE649F1" w14:textId="77777777" w:rsidR="00E7240A" w:rsidRPr="005F4649" w:rsidRDefault="00E7240A" w:rsidP="00CA119C">
            <w:pPr>
              <w:pStyle w:val="TableText"/>
              <w:rPr>
                <w:b/>
                <w:szCs w:val="20"/>
              </w:rPr>
            </w:pPr>
            <w:r>
              <w:rPr>
                <w:b/>
                <w:szCs w:val="20"/>
              </w:rPr>
              <w:t>Container Lot Number</w:t>
            </w:r>
          </w:p>
        </w:tc>
        <w:tc>
          <w:tcPr>
            <w:tcW w:w="2396" w:type="dxa"/>
            <w:shd w:val="clear" w:color="auto" w:fill="B3B3B3"/>
          </w:tcPr>
          <w:p w14:paraId="3CAF7499" w14:textId="77777777" w:rsidR="00E7240A" w:rsidRPr="005F4649" w:rsidRDefault="00E7240A" w:rsidP="00CA119C">
            <w:pPr>
              <w:pStyle w:val="TableText"/>
              <w:rPr>
                <w:b/>
                <w:szCs w:val="20"/>
              </w:rPr>
            </w:pPr>
            <w:r>
              <w:rPr>
                <w:b/>
                <w:szCs w:val="20"/>
              </w:rPr>
              <w:t>Expiration Date and Time</w:t>
            </w:r>
          </w:p>
        </w:tc>
      </w:tr>
      <w:tr w:rsidR="00E7240A" w14:paraId="77FC1AA8" w14:textId="77777777">
        <w:tblPrEx>
          <w:shd w:val="clear" w:color="auto" w:fill="auto"/>
        </w:tblPrEx>
        <w:trPr>
          <w:cantSplit/>
          <w:trHeight w:val="432"/>
        </w:trPr>
        <w:tc>
          <w:tcPr>
            <w:tcW w:w="3793" w:type="dxa"/>
            <w:noWrap/>
          </w:tcPr>
          <w:p w14:paraId="007406C4" w14:textId="77777777" w:rsidR="00E7240A" w:rsidRDefault="00E7240A" w:rsidP="00A95965">
            <w:pPr>
              <w:pStyle w:val="TableText"/>
              <w:rPr>
                <w:b/>
                <w:szCs w:val="20"/>
              </w:rPr>
            </w:pPr>
          </w:p>
        </w:tc>
        <w:tc>
          <w:tcPr>
            <w:tcW w:w="2330" w:type="dxa"/>
          </w:tcPr>
          <w:p w14:paraId="7E343476" w14:textId="77777777" w:rsidR="00E7240A" w:rsidRDefault="00E7240A" w:rsidP="00A95965">
            <w:pPr>
              <w:pStyle w:val="TableText"/>
              <w:rPr>
                <w:b/>
                <w:szCs w:val="20"/>
              </w:rPr>
            </w:pPr>
          </w:p>
        </w:tc>
        <w:tc>
          <w:tcPr>
            <w:tcW w:w="2111" w:type="dxa"/>
          </w:tcPr>
          <w:p w14:paraId="33CD99F7" w14:textId="77777777" w:rsidR="00E7240A" w:rsidRDefault="00E7240A" w:rsidP="00A95965">
            <w:pPr>
              <w:pStyle w:val="TableText"/>
              <w:rPr>
                <w:b/>
                <w:szCs w:val="20"/>
              </w:rPr>
            </w:pPr>
          </w:p>
        </w:tc>
        <w:tc>
          <w:tcPr>
            <w:tcW w:w="2330" w:type="dxa"/>
          </w:tcPr>
          <w:p w14:paraId="71986AED" w14:textId="77777777" w:rsidR="00E7240A" w:rsidRDefault="00E7240A" w:rsidP="00A95965">
            <w:pPr>
              <w:pStyle w:val="TableText"/>
              <w:rPr>
                <w:b/>
                <w:szCs w:val="20"/>
              </w:rPr>
            </w:pPr>
          </w:p>
        </w:tc>
        <w:tc>
          <w:tcPr>
            <w:tcW w:w="2396" w:type="dxa"/>
          </w:tcPr>
          <w:p w14:paraId="7F4AE9E6" w14:textId="77777777" w:rsidR="00E7240A" w:rsidRDefault="00E7240A" w:rsidP="00A95965">
            <w:pPr>
              <w:pStyle w:val="TableText"/>
              <w:rPr>
                <w:b/>
                <w:szCs w:val="20"/>
              </w:rPr>
            </w:pPr>
          </w:p>
        </w:tc>
      </w:tr>
      <w:tr w:rsidR="00E7240A" w14:paraId="1C5BA426" w14:textId="77777777">
        <w:tblPrEx>
          <w:shd w:val="clear" w:color="auto" w:fill="auto"/>
        </w:tblPrEx>
        <w:trPr>
          <w:cantSplit/>
          <w:trHeight w:val="432"/>
        </w:trPr>
        <w:tc>
          <w:tcPr>
            <w:tcW w:w="3793" w:type="dxa"/>
            <w:noWrap/>
          </w:tcPr>
          <w:p w14:paraId="1D9793D9" w14:textId="77777777" w:rsidR="00E7240A" w:rsidRDefault="00E7240A" w:rsidP="00A95965">
            <w:pPr>
              <w:pStyle w:val="TableText"/>
              <w:rPr>
                <w:b/>
                <w:szCs w:val="20"/>
              </w:rPr>
            </w:pPr>
          </w:p>
        </w:tc>
        <w:tc>
          <w:tcPr>
            <w:tcW w:w="2330" w:type="dxa"/>
          </w:tcPr>
          <w:p w14:paraId="5B0FA633" w14:textId="77777777" w:rsidR="00E7240A" w:rsidRDefault="00E7240A" w:rsidP="00A95965">
            <w:pPr>
              <w:pStyle w:val="TableText"/>
              <w:rPr>
                <w:b/>
                <w:szCs w:val="20"/>
              </w:rPr>
            </w:pPr>
          </w:p>
        </w:tc>
        <w:tc>
          <w:tcPr>
            <w:tcW w:w="2111" w:type="dxa"/>
          </w:tcPr>
          <w:p w14:paraId="0267DF7A" w14:textId="77777777" w:rsidR="00E7240A" w:rsidRDefault="00E7240A" w:rsidP="00A95965">
            <w:pPr>
              <w:pStyle w:val="TableText"/>
              <w:rPr>
                <w:b/>
                <w:szCs w:val="20"/>
              </w:rPr>
            </w:pPr>
          </w:p>
        </w:tc>
        <w:tc>
          <w:tcPr>
            <w:tcW w:w="2330" w:type="dxa"/>
          </w:tcPr>
          <w:p w14:paraId="65F502D7" w14:textId="77777777" w:rsidR="00E7240A" w:rsidRDefault="00E7240A" w:rsidP="00A95965">
            <w:pPr>
              <w:pStyle w:val="TableText"/>
              <w:rPr>
                <w:b/>
                <w:szCs w:val="20"/>
              </w:rPr>
            </w:pPr>
          </w:p>
        </w:tc>
        <w:tc>
          <w:tcPr>
            <w:tcW w:w="2396" w:type="dxa"/>
          </w:tcPr>
          <w:p w14:paraId="037AE2CE" w14:textId="77777777" w:rsidR="00E7240A" w:rsidRDefault="00E7240A" w:rsidP="00A95965">
            <w:pPr>
              <w:pStyle w:val="TableText"/>
              <w:rPr>
                <w:b/>
                <w:szCs w:val="20"/>
              </w:rPr>
            </w:pPr>
          </w:p>
        </w:tc>
      </w:tr>
      <w:tr w:rsidR="00E7240A" w14:paraId="08F307A9" w14:textId="77777777">
        <w:tblPrEx>
          <w:shd w:val="clear" w:color="auto" w:fill="auto"/>
        </w:tblPrEx>
        <w:trPr>
          <w:cantSplit/>
          <w:trHeight w:val="432"/>
        </w:trPr>
        <w:tc>
          <w:tcPr>
            <w:tcW w:w="3793" w:type="dxa"/>
            <w:noWrap/>
          </w:tcPr>
          <w:p w14:paraId="02B4F8D6" w14:textId="77777777" w:rsidR="00E7240A" w:rsidRDefault="00E7240A" w:rsidP="00A95965">
            <w:pPr>
              <w:pStyle w:val="TableText"/>
              <w:rPr>
                <w:b/>
                <w:szCs w:val="20"/>
              </w:rPr>
            </w:pPr>
          </w:p>
        </w:tc>
        <w:tc>
          <w:tcPr>
            <w:tcW w:w="2330" w:type="dxa"/>
          </w:tcPr>
          <w:p w14:paraId="73BAD19A" w14:textId="77777777" w:rsidR="00E7240A" w:rsidRDefault="00E7240A" w:rsidP="00A95965">
            <w:pPr>
              <w:pStyle w:val="TableText"/>
              <w:rPr>
                <w:b/>
                <w:szCs w:val="20"/>
              </w:rPr>
            </w:pPr>
          </w:p>
        </w:tc>
        <w:tc>
          <w:tcPr>
            <w:tcW w:w="2111" w:type="dxa"/>
          </w:tcPr>
          <w:p w14:paraId="6107F310" w14:textId="77777777" w:rsidR="00E7240A" w:rsidRDefault="00E7240A" w:rsidP="00A95965">
            <w:pPr>
              <w:pStyle w:val="TableText"/>
              <w:rPr>
                <w:b/>
                <w:szCs w:val="20"/>
              </w:rPr>
            </w:pPr>
          </w:p>
        </w:tc>
        <w:tc>
          <w:tcPr>
            <w:tcW w:w="2330" w:type="dxa"/>
          </w:tcPr>
          <w:p w14:paraId="09048FCC" w14:textId="77777777" w:rsidR="00E7240A" w:rsidRDefault="00E7240A" w:rsidP="00A95965">
            <w:pPr>
              <w:pStyle w:val="TableText"/>
              <w:rPr>
                <w:b/>
                <w:szCs w:val="20"/>
              </w:rPr>
            </w:pPr>
          </w:p>
        </w:tc>
        <w:tc>
          <w:tcPr>
            <w:tcW w:w="2396" w:type="dxa"/>
          </w:tcPr>
          <w:p w14:paraId="0F0D3691" w14:textId="77777777" w:rsidR="00E7240A" w:rsidRDefault="00E7240A" w:rsidP="00A95965">
            <w:pPr>
              <w:pStyle w:val="TableText"/>
              <w:rPr>
                <w:b/>
                <w:szCs w:val="20"/>
              </w:rPr>
            </w:pPr>
          </w:p>
        </w:tc>
      </w:tr>
      <w:tr w:rsidR="00E7240A" w14:paraId="14212F11" w14:textId="77777777">
        <w:tblPrEx>
          <w:shd w:val="clear" w:color="auto" w:fill="auto"/>
        </w:tblPrEx>
        <w:trPr>
          <w:cantSplit/>
          <w:trHeight w:val="432"/>
        </w:trPr>
        <w:tc>
          <w:tcPr>
            <w:tcW w:w="3793" w:type="dxa"/>
            <w:noWrap/>
          </w:tcPr>
          <w:p w14:paraId="6E798D99" w14:textId="77777777" w:rsidR="00E7240A" w:rsidRDefault="00E7240A" w:rsidP="00A95965">
            <w:pPr>
              <w:pStyle w:val="TableText"/>
              <w:rPr>
                <w:b/>
                <w:szCs w:val="20"/>
              </w:rPr>
            </w:pPr>
          </w:p>
        </w:tc>
        <w:tc>
          <w:tcPr>
            <w:tcW w:w="2330" w:type="dxa"/>
          </w:tcPr>
          <w:p w14:paraId="483A110E" w14:textId="77777777" w:rsidR="00E7240A" w:rsidRDefault="00E7240A" w:rsidP="00A95965">
            <w:pPr>
              <w:pStyle w:val="TableText"/>
              <w:rPr>
                <w:b/>
                <w:szCs w:val="20"/>
              </w:rPr>
            </w:pPr>
          </w:p>
        </w:tc>
        <w:tc>
          <w:tcPr>
            <w:tcW w:w="2111" w:type="dxa"/>
          </w:tcPr>
          <w:p w14:paraId="76AD2445" w14:textId="77777777" w:rsidR="00E7240A" w:rsidRDefault="00E7240A" w:rsidP="00A95965">
            <w:pPr>
              <w:pStyle w:val="TableText"/>
              <w:rPr>
                <w:b/>
                <w:szCs w:val="20"/>
              </w:rPr>
            </w:pPr>
          </w:p>
        </w:tc>
        <w:tc>
          <w:tcPr>
            <w:tcW w:w="2330" w:type="dxa"/>
          </w:tcPr>
          <w:p w14:paraId="6B555144" w14:textId="77777777" w:rsidR="00E7240A" w:rsidRDefault="00E7240A" w:rsidP="00A95965">
            <w:pPr>
              <w:pStyle w:val="TableText"/>
              <w:rPr>
                <w:b/>
                <w:szCs w:val="20"/>
              </w:rPr>
            </w:pPr>
          </w:p>
        </w:tc>
        <w:tc>
          <w:tcPr>
            <w:tcW w:w="2396" w:type="dxa"/>
          </w:tcPr>
          <w:p w14:paraId="431B949D" w14:textId="77777777" w:rsidR="00E7240A" w:rsidRDefault="00E7240A" w:rsidP="00A95965">
            <w:pPr>
              <w:pStyle w:val="TableText"/>
              <w:rPr>
                <w:b/>
                <w:szCs w:val="20"/>
              </w:rPr>
            </w:pPr>
          </w:p>
        </w:tc>
      </w:tr>
      <w:tr w:rsidR="00E7240A" w14:paraId="1C6BB747" w14:textId="77777777">
        <w:tblPrEx>
          <w:shd w:val="clear" w:color="auto" w:fill="auto"/>
        </w:tblPrEx>
        <w:trPr>
          <w:cantSplit/>
          <w:trHeight w:val="432"/>
        </w:trPr>
        <w:tc>
          <w:tcPr>
            <w:tcW w:w="3793" w:type="dxa"/>
            <w:noWrap/>
          </w:tcPr>
          <w:p w14:paraId="58176575" w14:textId="77777777" w:rsidR="00E7240A" w:rsidRDefault="00E7240A" w:rsidP="00A95965">
            <w:pPr>
              <w:pStyle w:val="TableText"/>
              <w:rPr>
                <w:b/>
                <w:szCs w:val="20"/>
              </w:rPr>
            </w:pPr>
          </w:p>
        </w:tc>
        <w:tc>
          <w:tcPr>
            <w:tcW w:w="2330" w:type="dxa"/>
          </w:tcPr>
          <w:p w14:paraId="149C21E2" w14:textId="77777777" w:rsidR="00E7240A" w:rsidRDefault="00E7240A" w:rsidP="00A95965">
            <w:pPr>
              <w:pStyle w:val="TableText"/>
              <w:rPr>
                <w:b/>
                <w:szCs w:val="20"/>
              </w:rPr>
            </w:pPr>
          </w:p>
        </w:tc>
        <w:tc>
          <w:tcPr>
            <w:tcW w:w="2111" w:type="dxa"/>
          </w:tcPr>
          <w:p w14:paraId="44CC8F8D" w14:textId="77777777" w:rsidR="00E7240A" w:rsidRDefault="00E7240A" w:rsidP="00A95965">
            <w:pPr>
              <w:pStyle w:val="TableText"/>
              <w:rPr>
                <w:b/>
                <w:szCs w:val="20"/>
              </w:rPr>
            </w:pPr>
          </w:p>
        </w:tc>
        <w:tc>
          <w:tcPr>
            <w:tcW w:w="2330" w:type="dxa"/>
          </w:tcPr>
          <w:p w14:paraId="76ABF3C1" w14:textId="77777777" w:rsidR="00E7240A" w:rsidRDefault="00E7240A" w:rsidP="00A95965">
            <w:pPr>
              <w:pStyle w:val="TableText"/>
              <w:rPr>
                <w:b/>
                <w:szCs w:val="20"/>
              </w:rPr>
            </w:pPr>
          </w:p>
        </w:tc>
        <w:tc>
          <w:tcPr>
            <w:tcW w:w="2396" w:type="dxa"/>
          </w:tcPr>
          <w:p w14:paraId="3DB323A8" w14:textId="77777777" w:rsidR="00E7240A" w:rsidRDefault="00E7240A" w:rsidP="00A95965">
            <w:pPr>
              <w:pStyle w:val="TableText"/>
              <w:rPr>
                <w:b/>
                <w:szCs w:val="20"/>
              </w:rPr>
            </w:pPr>
          </w:p>
        </w:tc>
      </w:tr>
      <w:tr w:rsidR="00E7240A" w14:paraId="09A305B6" w14:textId="77777777">
        <w:tblPrEx>
          <w:shd w:val="clear" w:color="auto" w:fill="auto"/>
        </w:tblPrEx>
        <w:trPr>
          <w:cantSplit/>
          <w:trHeight w:val="432"/>
        </w:trPr>
        <w:tc>
          <w:tcPr>
            <w:tcW w:w="3793" w:type="dxa"/>
            <w:noWrap/>
          </w:tcPr>
          <w:p w14:paraId="6B62F110" w14:textId="77777777" w:rsidR="00E7240A" w:rsidRDefault="00E7240A" w:rsidP="00A95965">
            <w:pPr>
              <w:pStyle w:val="TableText"/>
              <w:rPr>
                <w:b/>
                <w:szCs w:val="20"/>
              </w:rPr>
            </w:pPr>
          </w:p>
        </w:tc>
        <w:tc>
          <w:tcPr>
            <w:tcW w:w="2330" w:type="dxa"/>
          </w:tcPr>
          <w:p w14:paraId="4DC6DD96" w14:textId="77777777" w:rsidR="00E7240A" w:rsidRDefault="00E7240A" w:rsidP="00A95965">
            <w:pPr>
              <w:pStyle w:val="TableText"/>
              <w:rPr>
                <w:b/>
                <w:szCs w:val="20"/>
              </w:rPr>
            </w:pPr>
          </w:p>
        </w:tc>
        <w:tc>
          <w:tcPr>
            <w:tcW w:w="2111" w:type="dxa"/>
          </w:tcPr>
          <w:p w14:paraId="612F972F" w14:textId="77777777" w:rsidR="00E7240A" w:rsidRDefault="00E7240A" w:rsidP="00A95965">
            <w:pPr>
              <w:pStyle w:val="TableText"/>
              <w:rPr>
                <w:b/>
                <w:szCs w:val="20"/>
              </w:rPr>
            </w:pPr>
          </w:p>
        </w:tc>
        <w:tc>
          <w:tcPr>
            <w:tcW w:w="2330" w:type="dxa"/>
          </w:tcPr>
          <w:p w14:paraId="79C7E227" w14:textId="77777777" w:rsidR="00E7240A" w:rsidRDefault="00E7240A" w:rsidP="00A95965">
            <w:pPr>
              <w:pStyle w:val="TableText"/>
              <w:rPr>
                <w:b/>
                <w:szCs w:val="20"/>
              </w:rPr>
            </w:pPr>
          </w:p>
        </w:tc>
        <w:tc>
          <w:tcPr>
            <w:tcW w:w="2396" w:type="dxa"/>
          </w:tcPr>
          <w:p w14:paraId="043BEA95" w14:textId="77777777" w:rsidR="00E7240A" w:rsidRDefault="00E7240A" w:rsidP="00A95965">
            <w:pPr>
              <w:pStyle w:val="TableText"/>
              <w:rPr>
                <w:b/>
                <w:szCs w:val="20"/>
              </w:rPr>
            </w:pPr>
          </w:p>
        </w:tc>
      </w:tr>
      <w:tr w:rsidR="00E7240A" w14:paraId="15DCE05A" w14:textId="77777777">
        <w:tblPrEx>
          <w:shd w:val="clear" w:color="auto" w:fill="auto"/>
        </w:tblPrEx>
        <w:trPr>
          <w:cantSplit/>
          <w:trHeight w:val="432"/>
        </w:trPr>
        <w:tc>
          <w:tcPr>
            <w:tcW w:w="3793" w:type="dxa"/>
            <w:noWrap/>
          </w:tcPr>
          <w:p w14:paraId="4E1ED7B4" w14:textId="77777777" w:rsidR="00E7240A" w:rsidRDefault="00E7240A" w:rsidP="00A95965">
            <w:pPr>
              <w:pStyle w:val="TableText"/>
              <w:rPr>
                <w:b/>
                <w:szCs w:val="20"/>
              </w:rPr>
            </w:pPr>
          </w:p>
        </w:tc>
        <w:tc>
          <w:tcPr>
            <w:tcW w:w="2330" w:type="dxa"/>
          </w:tcPr>
          <w:p w14:paraId="10460443" w14:textId="77777777" w:rsidR="00E7240A" w:rsidRDefault="00E7240A" w:rsidP="00A95965">
            <w:pPr>
              <w:pStyle w:val="TableText"/>
              <w:rPr>
                <w:b/>
                <w:szCs w:val="20"/>
              </w:rPr>
            </w:pPr>
          </w:p>
        </w:tc>
        <w:tc>
          <w:tcPr>
            <w:tcW w:w="2111" w:type="dxa"/>
          </w:tcPr>
          <w:p w14:paraId="691E3915" w14:textId="77777777" w:rsidR="00E7240A" w:rsidRDefault="00E7240A" w:rsidP="00A95965">
            <w:pPr>
              <w:pStyle w:val="TableText"/>
              <w:rPr>
                <w:b/>
                <w:szCs w:val="20"/>
              </w:rPr>
            </w:pPr>
          </w:p>
        </w:tc>
        <w:tc>
          <w:tcPr>
            <w:tcW w:w="2330" w:type="dxa"/>
          </w:tcPr>
          <w:p w14:paraId="4780C40E" w14:textId="77777777" w:rsidR="00E7240A" w:rsidRDefault="00E7240A" w:rsidP="00A95965">
            <w:pPr>
              <w:pStyle w:val="TableText"/>
              <w:rPr>
                <w:b/>
                <w:szCs w:val="20"/>
              </w:rPr>
            </w:pPr>
          </w:p>
        </w:tc>
        <w:tc>
          <w:tcPr>
            <w:tcW w:w="2396" w:type="dxa"/>
          </w:tcPr>
          <w:p w14:paraId="31EE165E" w14:textId="77777777" w:rsidR="00E7240A" w:rsidRDefault="00E7240A" w:rsidP="00A95965">
            <w:pPr>
              <w:pStyle w:val="TableText"/>
              <w:rPr>
                <w:b/>
                <w:szCs w:val="20"/>
              </w:rPr>
            </w:pPr>
          </w:p>
        </w:tc>
      </w:tr>
      <w:tr w:rsidR="00E7240A" w14:paraId="0F7439D8" w14:textId="77777777">
        <w:tblPrEx>
          <w:shd w:val="clear" w:color="auto" w:fill="auto"/>
        </w:tblPrEx>
        <w:trPr>
          <w:cantSplit/>
          <w:trHeight w:val="432"/>
        </w:trPr>
        <w:tc>
          <w:tcPr>
            <w:tcW w:w="3793" w:type="dxa"/>
            <w:noWrap/>
          </w:tcPr>
          <w:p w14:paraId="5597AC1E" w14:textId="77777777" w:rsidR="00E7240A" w:rsidRDefault="00E7240A" w:rsidP="00A95965">
            <w:pPr>
              <w:pStyle w:val="TableText"/>
              <w:rPr>
                <w:b/>
                <w:szCs w:val="20"/>
              </w:rPr>
            </w:pPr>
          </w:p>
        </w:tc>
        <w:tc>
          <w:tcPr>
            <w:tcW w:w="2330" w:type="dxa"/>
          </w:tcPr>
          <w:p w14:paraId="36B2E96B" w14:textId="77777777" w:rsidR="00E7240A" w:rsidRDefault="00E7240A" w:rsidP="00A95965">
            <w:pPr>
              <w:pStyle w:val="TableText"/>
              <w:rPr>
                <w:b/>
                <w:szCs w:val="20"/>
              </w:rPr>
            </w:pPr>
          </w:p>
        </w:tc>
        <w:tc>
          <w:tcPr>
            <w:tcW w:w="2111" w:type="dxa"/>
          </w:tcPr>
          <w:p w14:paraId="08B184A4" w14:textId="77777777" w:rsidR="00E7240A" w:rsidRDefault="00E7240A" w:rsidP="00A95965">
            <w:pPr>
              <w:pStyle w:val="TableText"/>
              <w:rPr>
                <w:b/>
                <w:szCs w:val="20"/>
              </w:rPr>
            </w:pPr>
          </w:p>
        </w:tc>
        <w:tc>
          <w:tcPr>
            <w:tcW w:w="2330" w:type="dxa"/>
          </w:tcPr>
          <w:p w14:paraId="1D3A4818" w14:textId="77777777" w:rsidR="00E7240A" w:rsidRDefault="00E7240A" w:rsidP="00A95965">
            <w:pPr>
              <w:pStyle w:val="TableText"/>
              <w:rPr>
                <w:b/>
                <w:szCs w:val="20"/>
              </w:rPr>
            </w:pPr>
          </w:p>
        </w:tc>
        <w:tc>
          <w:tcPr>
            <w:tcW w:w="2396" w:type="dxa"/>
          </w:tcPr>
          <w:p w14:paraId="5FEC8341" w14:textId="77777777" w:rsidR="00E7240A" w:rsidRDefault="00E7240A" w:rsidP="00A95965">
            <w:pPr>
              <w:pStyle w:val="TableText"/>
              <w:rPr>
                <w:b/>
                <w:szCs w:val="20"/>
              </w:rPr>
            </w:pPr>
          </w:p>
        </w:tc>
      </w:tr>
      <w:tr w:rsidR="00E7240A" w14:paraId="3DCC3941" w14:textId="77777777">
        <w:tblPrEx>
          <w:shd w:val="clear" w:color="auto" w:fill="auto"/>
        </w:tblPrEx>
        <w:trPr>
          <w:cantSplit/>
          <w:trHeight w:val="432"/>
        </w:trPr>
        <w:tc>
          <w:tcPr>
            <w:tcW w:w="3793" w:type="dxa"/>
            <w:noWrap/>
          </w:tcPr>
          <w:p w14:paraId="78DBD627" w14:textId="77777777" w:rsidR="00E7240A" w:rsidRDefault="00E7240A" w:rsidP="00A95965">
            <w:pPr>
              <w:pStyle w:val="TableText"/>
              <w:rPr>
                <w:b/>
                <w:szCs w:val="20"/>
              </w:rPr>
            </w:pPr>
          </w:p>
        </w:tc>
        <w:tc>
          <w:tcPr>
            <w:tcW w:w="2330" w:type="dxa"/>
          </w:tcPr>
          <w:p w14:paraId="24B38956" w14:textId="77777777" w:rsidR="00E7240A" w:rsidRDefault="00E7240A" w:rsidP="00A95965">
            <w:pPr>
              <w:pStyle w:val="TableText"/>
              <w:rPr>
                <w:b/>
                <w:szCs w:val="20"/>
              </w:rPr>
            </w:pPr>
          </w:p>
        </w:tc>
        <w:tc>
          <w:tcPr>
            <w:tcW w:w="2111" w:type="dxa"/>
          </w:tcPr>
          <w:p w14:paraId="16A862C4" w14:textId="77777777" w:rsidR="00E7240A" w:rsidRDefault="00E7240A" w:rsidP="00A95965">
            <w:pPr>
              <w:pStyle w:val="TableText"/>
              <w:rPr>
                <w:b/>
                <w:szCs w:val="20"/>
              </w:rPr>
            </w:pPr>
          </w:p>
        </w:tc>
        <w:tc>
          <w:tcPr>
            <w:tcW w:w="2330" w:type="dxa"/>
          </w:tcPr>
          <w:p w14:paraId="54E1A75C" w14:textId="77777777" w:rsidR="00E7240A" w:rsidRDefault="00E7240A" w:rsidP="00A95965">
            <w:pPr>
              <w:pStyle w:val="TableText"/>
              <w:rPr>
                <w:b/>
                <w:szCs w:val="20"/>
              </w:rPr>
            </w:pPr>
          </w:p>
        </w:tc>
        <w:tc>
          <w:tcPr>
            <w:tcW w:w="2396" w:type="dxa"/>
          </w:tcPr>
          <w:p w14:paraId="6FDE4A10" w14:textId="77777777" w:rsidR="00E7240A" w:rsidRDefault="00E7240A" w:rsidP="00A95965">
            <w:pPr>
              <w:pStyle w:val="TableText"/>
              <w:rPr>
                <w:b/>
                <w:szCs w:val="20"/>
              </w:rPr>
            </w:pPr>
          </w:p>
        </w:tc>
      </w:tr>
      <w:tr w:rsidR="00E7240A" w14:paraId="23320386" w14:textId="77777777">
        <w:tblPrEx>
          <w:shd w:val="clear" w:color="auto" w:fill="auto"/>
        </w:tblPrEx>
        <w:trPr>
          <w:cantSplit/>
          <w:trHeight w:val="432"/>
        </w:trPr>
        <w:tc>
          <w:tcPr>
            <w:tcW w:w="3793" w:type="dxa"/>
            <w:noWrap/>
          </w:tcPr>
          <w:p w14:paraId="5EBD4CC0" w14:textId="77777777" w:rsidR="00E7240A" w:rsidRDefault="00E7240A" w:rsidP="00A95965">
            <w:pPr>
              <w:pStyle w:val="TableText"/>
              <w:rPr>
                <w:b/>
                <w:szCs w:val="20"/>
              </w:rPr>
            </w:pPr>
          </w:p>
        </w:tc>
        <w:tc>
          <w:tcPr>
            <w:tcW w:w="2330" w:type="dxa"/>
          </w:tcPr>
          <w:p w14:paraId="1F364F4C" w14:textId="77777777" w:rsidR="00E7240A" w:rsidRDefault="00E7240A" w:rsidP="00A95965">
            <w:pPr>
              <w:pStyle w:val="TableText"/>
              <w:rPr>
                <w:b/>
                <w:szCs w:val="20"/>
              </w:rPr>
            </w:pPr>
          </w:p>
        </w:tc>
        <w:tc>
          <w:tcPr>
            <w:tcW w:w="2111" w:type="dxa"/>
          </w:tcPr>
          <w:p w14:paraId="018CDF85" w14:textId="77777777" w:rsidR="00E7240A" w:rsidRDefault="00E7240A" w:rsidP="00A95965">
            <w:pPr>
              <w:pStyle w:val="TableText"/>
              <w:rPr>
                <w:b/>
                <w:szCs w:val="20"/>
              </w:rPr>
            </w:pPr>
          </w:p>
        </w:tc>
        <w:tc>
          <w:tcPr>
            <w:tcW w:w="2330" w:type="dxa"/>
          </w:tcPr>
          <w:p w14:paraId="14679AAE" w14:textId="77777777" w:rsidR="00E7240A" w:rsidRDefault="00E7240A" w:rsidP="00A95965">
            <w:pPr>
              <w:pStyle w:val="TableText"/>
              <w:rPr>
                <w:b/>
                <w:szCs w:val="20"/>
              </w:rPr>
            </w:pPr>
          </w:p>
        </w:tc>
        <w:tc>
          <w:tcPr>
            <w:tcW w:w="2396" w:type="dxa"/>
          </w:tcPr>
          <w:p w14:paraId="65A5C2E0" w14:textId="77777777" w:rsidR="00E7240A" w:rsidRDefault="00E7240A" w:rsidP="00A95965">
            <w:pPr>
              <w:pStyle w:val="TableText"/>
              <w:rPr>
                <w:b/>
                <w:szCs w:val="20"/>
              </w:rPr>
            </w:pPr>
          </w:p>
        </w:tc>
      </w:tr>
      <w:tr w:rsidR="00246F04" w14:paraId="659897A4" w14:textId="77777777">
        <w:tblPrEx>
          <w:shd w:val="clear" w:color="auto" w:fill="auto"/>
        </w:tblPrEx>
        <w:trPr>
          <w:cantSplit/>
          <w:trHeight w:val="432"/>
        </w:trPr>
        <w:tc>
          <w:tcPr>
            <w:tcW w:w="3793" w:type="dxa"/>
            <w:noWrap/>
          </w:tcPr>
          <w:p w14:paraId="50BDFC4D" w14:textId="77777777" w:rsidR="00246F04" w:rsidRDefault="00246F04" w:rsidP="00A95965">
            <w:pPr>
              <w:pStyle w:val="TableText"/>
              <w:rPr>
                <w:b/>
                <w:szCs w:val="20"/>
              </w:rPr>
            </w:pPr>
          </w:p>
        </w:tc>
        <w:tc>
          <w:tcPr>
            <w:tcW w:w="2330" w:type="dxa"/>
          </w:tcPr>
          <w:p w14:paraId="238500E6" w14:textId="77777777" w:rsidR="00246F04" w:rsidRDefault="00246F04" w:rsidP="00A95965">
            <w:pPr>
              <w:pStyle w:val="TableText"/>
              <w:rPr>
                <w:b/>
                <w:szCs w:val="20"/>
              </w:rPr>
            </w:pPr>
          </w:p>
        </w:tc>
        <w:tc>
          <w:tcPr>
            <w:tcW w:w="2111" w:type="dxa"/>
          </w:tcPr>
          <w:p w14:paraId="408032C0" w14:textId="77777777" w:rsidR="00246F04" w:rsidRDefault="00246F04" w:rsidP="00A95965">
            <w:pPr>
              <w:pStyle w:val="TableText"/>
              <w:rPr>
                <w:b/>
                <w:szCs w:val="20"/>
              </w:rPr>
            </w:pPr>
          </w:p>
        </w:tc>
        <w:tc>
          <w:tcPr>
            <w:tcW w:w="2330" w:type="dxa"/>
          </w:tcPr>
          <w:p w14:paraId="1127B643" w14:textId="77777777" w:rsidR="00246F04" w:rsidRDefault="00246F04" w:rsidP="00A95965">
            <w:pPr>
              <w:pStyle w:val="TableText"/>
              <w:rPr>
                <w:b/>
                <w:szCs w:val="20"/>
              </w:rPr>
            </w:pPr>
          </w:p>
        </w:tc>
        <w:tc>
          <w:tcPr>
            <w:tcW w:w="2396" w:type="dxa"/>
          </w:tcPr>
          <w:p w14:paraId="3B87D8E5" w14:textId="77777777" w:rsidR="00246F04" w:rsidRDefault="00246F04" w:rsidP="00A95965">
            <w:pPr>
              <w:pStyle w:val="TableText"/>
              <w:rPr>
                <w:b/>
                <w:szCs w:val="20"/>
              </w:rPr>
            </w:pPr>
          </w:p>
        </w:tc>
      </w:tr>
      <w:tr w:rsidR="00E7240A" w14:paraId="1B075C8D" w14:textId="77777777">
        <w:tblPrEx>
          <w:shd w:val="clear" w:color="auto" w:fill="auto"/>
        </w:tblPrEx>
        <w:trPr>
          <w:cantSplit/>
          <w:trHeight w:val="432"/>
        </w:trPr>
        <w:tc>
          <w:tcPr>
            <w:tcW w:w="3793" w:type="dxa"/>
            <w:noWrap/>
          </w:tcPr>
          <w:p w14:paraId="29FE4F3D" w14:textId="77777777" w:rsidR="00E7240A" w:rsidRDefault="00E7240A" w:rsidP="00A95965">
            <w:pPr>
              <w:pStyle w:val="TableText"/>
              <w:rPr>
                <w:b/>
                <w:szCs w:val="20"/>
              </w:rPr>
            </w:pPr>
          </w:p>
        </w:tc>
        <w:tc>
          <w:tcPr>
            <w:tcW w:w="2330" w:type="dxa"/>
          </w:tcPr>
          <w:p w14:paraId="1C3296C7" w14:textId="77777777" w:rsidR="00E7240A" w:rsidRDefault="00E7240A" w:rsidP="00A95965">
            <w:pPr>
              <w:pStyle w:val="TableText"/>
              <w:rPr>
                <w:b/>
                <w:szCs w:val="20"/>
              </w:rPr>
            </w:pPr>
          </w:p>
        </w:tc>
        <w:tc>
          <w:tcPr>
            <w:tcW w:w="2111" w:type="dxa"/>
          </w:tcPr>
          <w:p w14:paraId="5BCF0BEF" w14:textId="77777777" w:rsidR="00E7240A" w:rsidRDefault="00E7240A" w:rsidP="00A95965">
            <w:pPr>
              <w:pStyle w:val="TableText"/>
              <w:rPr>
                <w:b/>
                <w:szCs w:val="20"/>
              </w:rPr>
            </w:pPr>
          </w:p>
        </w:tc>
        <w:tc>
          <w:tcPr>
            <w:tcW w:w="2330" w:type="dxa"/>
          </w:tcPr>
          <w:p w14:paraId="3109C025" w14:textId="77777777" w:rsidR="00E7240A" w:rsidRDefault="00E7240A" w:rsidP="00A95965">
            <w:pPr>
              <w:pStyle w:val="TableText"/>
              <w:rPr>
                <w:b/>
                <w:szCs w:val="20"/>
              </w:rPr>
            </w:pPr>
          </w:p>
        </w:tc>
        <w:tc>
          <w:tcPr>
            <w:tcW w:w="2396" w:type="dxa"/>
          </w:tcPr>
          <w:p w14:paraId="5E1D09A1" w14:textId="77777777" w:rsidR="00E7240A" w:rsidRDefault="00E7240A" w:rsidP="00A95965">
            <w:pPr>
              <w:pStyle w:val="TableText"/>
              <w:rPr>
                <w:b/>
                <w:szCs w:val="20"/>
              </w:rPr>
            </w:pPr>
          </w:p>
        </w:tc>
      </w:tr>
      <w:tr w:rsidR="00E7240A" w14:paraId="0B3D33B1" w14:textId="77777777">
        <w:tblPrEx>
          <w:shd w:val="clear" w:color="auto" w:fill="auto"/>
        </w:tblPrEx>
        <w:trPr>
          <w:cantSplit/>
          <w:trHeight w:val="432"/>
        </w:trPr>
        <w:tc>
          <w:tcPr>
            <w:tcW w:w="3793" w:type="dxa"/>
            <w:noWrap/>
          </w:tcPr>
          <w:p w14:paraId="047658C1" w14:textId="77777777" w:rsidR="00E7240A" w:rsidRDefault="00E7240A" w:rsidP="00A95965">
            <w:pPr>
              <w:pStyle w:val="TableText"/>
              <w:rPr>
                <w:b/>
                <w:szCs w:val="20"/>
              </w:rPr>
            </w:pPr>
          </w:p>
        </w:tc>
        <w:tc>
          <w:tcPr>
            <w:tcW w:w="2330" w:type="dxa"/>
          </w:tcPr>
          <w:p w14:paraId="4B379B2F" w14:textId="77777777" w:rsidR="00E7240A" w:rsidRDefault="00E7240A" w:rsidP="00A95965">
            <w:pPr>
              <w:pStyle w:val="TableText"/>
              <w:rPr>
                <w:b/>
                <w:szCs w:val="20"/>
              </w:rPr>
            </w:pPr>
          </w:p>
        </w:tc>
        <w:tc>
          <w:tcPr>
            <w:tcW w:w="2111" w:type="dxa"/>
          </w:tcPr>
          <w:p w14:paraId="2F494752" w14:textId="77777777" w:rsidR="00E7240A" w:rsidRDefault="00E7240A" w:rsidP="00A95965">
            <w:pPr>
              <w:pStyle w:val="TableText"/>
              <w:rPr>
                <w:b/>
                <w:szCs w:val="20"/>
              </w:rPr>
            </w:pPr>
          </w:p>
        </w:tc>
        <w:tc>
          <w:tcPr>
            <w:tcW w:w="2330" w:type="dxa"/>
          </w:tcPr>
          <w:p w14:paraId="2941E830" w14:textId="77777777" w:rsidR="00E7240A" w:rsidRDefault="00E7240A" w:rsidP="00A95965">
            <w:pPr>
              <w:pStyle w:val="TableText"/>
              <w:rPr>
                <w:b/>
                <w:szCs w:val="20"/>
              </w:rPr>
            </w:pPr>
          </w:p>
        </w:tc>
        <w:tc>
          <w:tcPr>
            <w:tcW w:w="2396" w:type="dxa"/>
          </w:tcPr>
          <w:p w14:paraId="60753348" w14:textId="77777777" w:rsidR="00E7240A" w:rsidRDefault="00E7240A" w:rsidP="00A95965">
            <w:pPr>
              <w:pStyle w:val="TableText"/>
              <w:rPr>
                <w:b/>
                <w:szCs w:val="20"/>
              </w:rPr>
            </w:pPr>
          </w:p>
        </w:tc>
      </w:tr>
    </w:tbl>
    <w:p w14:paraId="45F4BB4F"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ayout w:type="fixed"/>
        <w:tblLook w:val="0000" w:firstRow="0" w:lastRow="0" w:firstColumn="0" w:lastColumn="0" w:noHBand="0" w:noVBand="0"/>
      </w:tblPr>
      <w:tblGrid>
        <w:gridCol w:w="1632"/>
        <w:gridCol w:w="3648"/>
        <w:gridCol w:w="3840"/>
        <w:gridCol w:w="3840"/>
      </w:tblGrid>
      <w:tr w:rsidR="00E7240A" w14:paraId="479D7D11" w14:textId="77777777">
        <w:trPr>
          <w:cantSplit/>
          <w:trHeight w:val="230"/>
        </w:trPr>
        <w:tc>
          <w:tcPr>
            <w:tcW w:w="1632" w:type="dxa"/>
            <w:tcBorders>
              <w:bottom w:val="single" w:sz="2" w:space="0" w:color="auto"/>
            </w:tcBorders>
            <w:shd w:val="clear" w:color="auto" w:fill="B3B3B3"/>
            <w:noWrap/>
          </w:tcPr>
          <w:p w14:paraId="58C28D68" w14:textId="77777777" w:rsidR="00E7240A" w:rsidRDefault="00E7240A" w:rsidP="00A95965">
            <w:pPr>
              <w:pStyle w:val="TableText"/>
              <w:rPr>
                <w:b/>
                <w:szCs w:val="20"/>
              </w:rPr>
            </w:pPr>
            <w:r>
              <w:br w:type="page"/>
            </w:r>
            <w:r>
              <w:rPr>
                <w:b/>
                <w:szCs w:val="20"/>
              </w:rPr>
              <w:t xml:space="preserve"> Unit Assigned? (Yes, No)</w:t>
            </w:r>
          </w:p>
        </w:tc>
        <w:tc>
          <w:tcPr>
            <w:tcW w:w="3648" w:type="dxa"/>
            <w:tcBorders>
              <w:bottom w:val="single" w:sz="2" w:space="0" w:color="auto"/>
            </w:tcBorders>
            <w:shd w:val="clear" w:color="auto" w:fill="B3B3B3"/>
          </w:tcPr>
          <w:p w14:paraId="3AB7A21A" w14:textId="77777777" w:rsidR="00E7240A" w:rsidRDefault="00E7240A" w:rsidP="00A95965">
            <w:pPr>
              <w:pStyle w:val="TableText"/>
              <w:rPr>
                <w:b/>
                <w:szCs w:val="20"/>
              </w:rPr>
            </w:pPr>
            <w:r>
              <w:rPr>
                <w:b/>
                <w:szCs w:val="20"/>
              </w:rPr>
              <w:t>Patient Name</w:t>
            </w:r>
          </w:p>
        </w:tc>
        <w:tc>
          <w:tcPr>
            <w:tcW w:w="3840" w:type="dxa"/>
            <w:tcBorders>
              <w:bottom w:val="single" w:sz="2" w:space="0" w:color="auto"/>
            </w:tcBorders>
            <w:shd w:val="clear" w:color="auto" w:fill="B3B3B3"/>
          </w:tcPr>
          <w:p w14:paraId="31D298B0" w14:textId="77777777" w:rsidR="00E7240A" w:rsidRDefault="00E7240A" w:rsidP="00A95965">
            <w:pPr>
              <w:pStyle w:val="TableText"/>
              <w:rPr>
                <w:b/>
                <w:szCs w:val="20"/>
              </w:rPr>
            </w:pPr>
            <w:r>
              <w:rPr>
                <w:b/>
                <w:szCs w:val="20"/>
              </w:rPr>
              <w:t>Patient Identification Number</w:t>
            </w:r>
          </w:p>
        </w:tc>
        <w:tc>
          <w:tcPr>
            <w:tcW w:w="3840" w:type="dxa"/>
            <w:tcBorders>
              <w:bottom w:val="single" w:sz="2" w:space="0" w:color="auto"/>
            </w:tcBorders>
            <w:shd w:val="clear" w:color="auto" w:fill="B3B3B3"/>
          </w:tcPr>
          <w:p w14:paraId="77385839" w14:textId="77777777" w:rsidR="00E7240A" w:rsidRDefault="00E7240A" w:rsidP="00A95965">
            <w:pPr>
              <w:pStyle w:val="TableText"/>
              <w:rPr>
                <w:b/>
                <w:szCs w:val="20"/>
              </w:rPr>
            </w:pPr>
            <w:r>
              <w:rPr>
                <w:b/>
                <w:szCs w:val="20"/>
              </w:rPr>
              <w:t>Specimen UID</w:t>
            </w:r>
          </w:p>
        </w:tc>
      </w:tr>
      <w:tr w:rsidR="00E7240A" w14:paraId="712A973F" w14:textId="77777777">
        <w:trPr>
          <w:cantSplit/>
          <w:trHeight w:val="432"/>
        </w:trPr>
        <w:tc>
          <w:tcPr>
            <w:tcW w:w="1632" w:type="dxa"/>
            <w:shd w:val="clear" w:color="auto" w:fill="auto"/>
            <w:noWrap/>
          </w:tcPr>
          <w:p w14:paraId="7FD3C07A" w14:textId="77777777" w:rsidR="00E7240A" w:rsidRDefault="00E7240A" w:rsidP="00A95965">
            <w:pPr>
              <w:pStyle w:val="TableText"/>
              <w:rPr>
                <w:b/>
                <w:szCs w:val="20"/>
              </w:rPr>
            </w:pPr>
          </w:p>
        </w:tc>
        <w:tc>
          <w:tcPr>
            <w:tcW w:w="3648" w:type="dxa"/>
            <w:shd w:val="clear" w:color="auto" w:fill="auto"/>
          </w:tcPr>
          <w:p w14:paraId="798BF736" w14:textId="77777777" w:rsidR="00E7240A" w:rsidRDefault="00E7240A" w:rsidP="00A95965">
            <w:pPr>
              <w:pStyle w:val="TableText"/>
              <w:rPr>
                <w:b/>
                <w:szCs w:val="20"/>
              </w:rPr>
            </w:pPr>
          </w:p>
        </w:tc>
        <w:tc>
          <w:tcPr>
            <w:tcW w:w="3840" w:type="dxa"/>
            <w:shd w:val="clear" w:color="auto" w:fill="auto"/>
          </w:tcPr>
          <w:p w14:paraId="0997CC3B" w14:textId="77777777" w:rsidR="00E7240A" w:rsidRDefault="00E7240A" w:rsidP="00A95965">
            <w:pPr>
              <w:pStyle w:val="TableText"/>
              <w:rPr>
                <w:b/>
                <w:szCs w:val="20"/>
              </w:rPr>
            </w:pPr>
          </w:p>
        </w:tc>
        <w:tc>
          <w:tcPr>
            <w:tcW w:w="3840" w:type="dxa"/>
            <w:shd w:val="clear" w:color="auto" w:fill="auto"/>
          </w:tcPr>
          <w:p w14:paraId="1F829F6B" w14:textId="77777777" w:rsidR="00E7240A" w:rsidRDefault="00E7240A" w:rsidP="00A95965">
            <w:pPr>
              <w:pStyle w:val="TableText"/>
              <w:rPr>
                <w:b/>
                <w:szCs w:val="20"/>
              </w:rPr>
            </w:pPr>
          </w:p>
        </w:tc>
      </w:tr>
    </w:tbl>
    <w:p w14:paraId="09F941C1"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3793"/>
        <w:gridCol w:w="2330"/>
        <w:gridCol w:w="2111"/>
        <w:gridCol w:w="2330"/>
        <w:gridCol w:w="2396"/>
      </w:tblGrid>
      <w:tr w:rsidR="00E7240A" w14:paraId="7DF510E3" w14:textId="77777777">
        <w:trPr>
          <w:cantSplit/>
          <w:trHeight w:val="235"/>
          <w:tblHeader/>
        </w:trPr>
        <w:tc>
          <w:tcPr>
            <w:tcW w:w="12960" w:type="dxa"/>
            <w:gridSpan w:val="5"/>
            <w:shd w:val="clear" w:color="auto" w:fill="B3B3B3"/>
            <w:noWrap/>
          </w:tcPr>
          <w:p w14:paraId="3A5C31F3" w14:textId="77777777" w:rsidR="00E7240A" w:rsidRPr="005F4649" w:rsidRDefault="00E7240A" w:rsidP="00CA119C">
            <w:pPr>
              <w:pStyle w:val="TableText"/>
              <w:rPr>
                <w:b/>
                <w:szCs w:val="20"/>
              </w:rPr>
            </w:pPr>
            <w:r>
              <w:rPr>
                <w:b/>
                <w:szCs w:val="20"/>
              </w:rPr>
              <w:t>Modified Unit(s)</w:t>
            </w:r>
          </w:p>
        </w:tc>
      </w:tr>
      <w:tr w:rsidR="00E7240A" w14:paraId="78A2AB14" w14:textId="77777777">
        <w:tblPrEx>
          <w:shd w:val="clear" w:color="auto" w:fill="auto"/>
        </w:tblPrEx>
        <w:trPr>
          <w:cantSplit/>
          <w:trHeight w:val="230"/>
          <w:tblHeader/>
        </w:trPr>
        <w:tc>
          <w:tcPr>
            <w:tcW w:w="3793" w:type="dxa"/>
            <w:shd w:val="clear" w:color="auto" w:fill="B3B3B3"/>
            <w:noWrap/>
          </w:tcPr>
          <w:p w14:paraId="3D95DDF5" w14:textId="77777777" w:rsidR="00E7240A" w:rsidRPr="005F4649" w:rsidRDefault="00E7240A" w:rsidP="00CA119C">
            <w:pPr>
              <w:pStyle w:val="TableText"/>
              <w:rPr>
                <w:b/>
                <w:szCs w:val="20"/>
              </w:rPr>
            </w:pPr>
            <w:r>
              <w:rPr>
                <w:b/>
                <w:szCs w:val="20"/>
              </w:rPr>
              <w:t>Unit Identification Number</w:t>
            </w:r>
          </w:p>
        </w:tc>
        <w:tc>
          <w:tcPr>
            <w:tcW w:w="2330" w:type="dxa"/>
            <w:shd w:val="clear" w:color="auto" w:fill="B3B3B3"/>
          </w:tcPr>
          <w:p w14:paraId="3970E5D5" w14:textId="77777777" w:rsidR="00E7240A" w:rsidRPr="005F4649" w:rsidRDefault="00E7240A" w:rsidP="00CA119C">
            <w:pPr>
              <w:pStyle w:val="TableText"/>
              <w:rPr>
                <w:b/>
                <w:szCs w:val="20"/>
              </w:rPr>
            </w:pPr>
            <w:r>
              <w:rPr>
                <w:b/>
                <w:szCs w:val="20"/>
              </w:rPr>
              <w:t>Product Code</w:t>
            </w:r>
          </w:p>
        </w:tc>
        <w:tc>
          <w:tcPr>
            <w:tcW w:w="2111" w:type="dxa"/>
            <w:shd w:val="clear" w:color="auto" w:fill="B3B3B3"/>
          </w:tcPr>
          <w:p w14:paraId="3B2DF073" w14:textId="77777777" w:rsidR="00E7240A" w:rsidRDefault="00E7240A" w:rsidP="00CA119C">
            <w:pPr>
              <w:pStyle w:val="TableText"/>
              <w:rPr>
                <w:b/>
                <w:szCs w:val="20"/>
              </w:rPr>
            </w:pPr>
            <w:r>
              <w:rPr>
                <w:b/>
                <w:szCs w:val="20"/>
              </w:rPr>
              <w:t>ABO/Rh</w:t>
            </w:r>
          </w:p>
        </w:tc>
        <w:tc>
          <w:tcPr>
            <w:tcW w:w="2330" w:type="dxa"/>
            <w:shd w:val="clear" w:color="auto" w:fill="B3B3B3"/>
          </w:tcPr>
          <w:p w14:paraId="6C6E3DF9" w14:textId="77777777" w:rsidR="00E7240A" w:rsidRPr="005F4649" w:rsidRDefault="00E7240A" w:rsidP="00CA119C">
            <w:pPr>
              <w:pStyle w:val="TableText"/>
              <w:rPr>
                <w:b/>
                <w:szCs w:val="20"/>
              </w:rPr>
            </w:pPr>
            <w:r>
              <w:rPr>
                <w:b/>
                <w:szCs w:val="20"/>
              </w:rPr>
              <w:t>Container Lot Number</w:t>
            </w:r>
          </w:p>
        </w:tc>
        <w:tc>
          <w:tcPr>
            <w:tcW w:w="2396" w:type="dxa"/>
            <w:shd w:val="clear" w:color="auto" w:fill="B3B3B3"/>
          </w:tcPr>
          <w:p w14:paraId="5C4C5D43" w14:textId="77777777" w:rsidR="00E7240A" w:rsidRPr="005F4649" w:rsidRDefault="00E7240A" w:rsidP="00CA119C">
            <w:pPr>
              <w:pStyle w:val="TableText"/>
              <w:rPr>
                <w:b/>
                <w:szCs w:val="20"/>
              </w:rPr>
            </w:pPr>
            <w:r>
              <w:rPr>
                <w:b/>
                <w:szCs w:val="20"/>
              </w:rPr>
              <w:t>Expiration Date and Time</w:t>
            </w:r>
          </w:p>
        </w:tc>
      </w:tr>
      <w:tr w:rsidR="00E7240A" w14:paraId="584DFC26" w14:textId="77777777">
        <w:tblPrEx>
          <w:shd w:val="clear" w:color="auto" w:fill="auto"/>
        </w:tblPrEx>
        <w:trPr>
          <w:cantSplit/>
          <w:trHeight w:val="432"/>
        </w:trPr>
        <w:tc>
          <w:tcPr>
            <w:tcW w:w="3793" w:type="dxa"/>
            <w:noWrap/>
          </w:tcPr>
          <w:p w14:paraId="138A1302" w14:textId="77777777" w:rsidR="00E7240A" w:rsidRDefault="00E7240A" w:rsidP="00A95965">
            <w:pPr>
              <w:pStyle w:val="TableText"/>
              <w:rPr>
                <w:b/>
                <w:szCs w:val="20"/>
              </w:rPr>
            </w:pPr>
          </w:p>
        </w:tc>
        <w:tc>
          <w:tcPr>
            <w:tcW w:w="2330" w:type="dxa"/>
          </w:tcPr>
          <w:p w14:paraId="3307E734" w14:textId="77777777" w:rsidR="00E7240A" w:rsidRDefault="00E7240A" w:rsidP="00A95965">
            <w:pPr>
              <w:pStyle w:val="TableText"/>
              <w:rPr>
                <w:b/>
                <w:szCs w:val="20"/>
              </w:rPr>
            </w:pPr>
          </w:p>
        </w:tc>
        <w:tc>
          <w:tcPr>
            <w:tcW w:w="2111" w:type="dxa"/>
          </w:tcPr>
          <w:p w14:paraId="513D8790" w14:textId="77777777" w:rsidR="00E7240A" w:rsidRDefault="00E7240A" w:rsidP="00A95965">
            <w:pPr>
              <w:pStyle w:val="TableText"/>
              <w:rPr>
                <w:b/>
                <w:szCs w:val="20"/>
              </w:rPr>
            </w:pPr>
          </w:p>
        </w:tc>
        <w:tc>
          <w:tcPr>
            <w:tcW w:w="2330" w:type="dxa"/>
          </w:tcPr>
          <w:p w14:paraId="408678B4" w14:textId="77777777" w:rsidR="00E7240A" w:rsidRDefault="00E7240A" w:rsidP="00A95965">
            <w:pPr>
              <w:pStyle w:val="TableText"/>
              <w:rPr>
                <w:b/>
                <w:szCs w:val="20"/>
              </w:rPr>
            </w:pPr>
          </w:p>
        </w:tc>
        <w:tc>
          <w:tcPr>
            <w:tcW w:w="2396" w:type="dxa"/>
          </w:tcPr>
          <w:p w14:paraId="01D15F9F" w14:textId="77777777" w:rsidR="00E7240A" w:rsidRDefault="00E7240A" w:rsidP="00A95965">
            <w:pPr>
              <w:pStyle w:val="TableText"/>
              <w:rPr>
                <w:b/>
                <w:szCs w:val="20"/>
              </w:rPr>
            </w:pPr>
          </w:p>
        </w:tc>
      </w:tr>
      <w:tr w:rsidR="00E7240A" w14:paraId="311F8130" w14:textId="77777777">
        <w:tblPrEx>
          <w:shd w:val="clear" w:color="auto" w:fill="auto"/>
        </w:tblPrEx>
        <w:trPr>
          <w:cantSplit/>
          <w:trHeight w:val="432"/>
        </w:trPr>
        <w:tc>
          <w:tcPr>
            <w:tcW w:w="3793" w:type="dxa"/>
            <w:noWrap/>
          </w:tcPr>
          <w:p w14:paraId="42CF3026" w14:textId="77777777" w:rsidR="00E7240A" w:rsidRDefault="00E7240A" w:rsidP="00A95965">
            <w:pPr>
              <w:pStyle w:val="TableText"/>
              <w:rPr>
                <w:b/>
                <w:szCs w:val="20"/>
              </w:rPr>
            </w:pPr>
          </w:p>
        </w:tc>
        <w:tc>
          <w:tcPr>
            <w:tcW w:w="2330" w:type="dxa"/>
          </w:tcPr>
          <w:p w14:paraId="2176F354" w14:textId="77777777" w:rsidR="00E7240A" w:rsidRDefault="00E7240A" w:rsidP="00A95965">
            <w:pPr>
              <w:pStyle w:val="TableText"/>
              <w:rPr>
                <w:b/>
                <w:szCs w:val="20"/>
              </w:rPr>
            </w:pPr>
          </w:p>
        </w:tc>
        <w:tc>
          <w:tcPr>
            <w:tcW w:w="2111" w:type="dxa"/>
          </w:tcPr>
          <w:p w14:paraId="6B61A8F7" w14:textId="77777777" w:rsidR="00E7240A" w:rsidRDefault="00E7240A" w:rsidP="00A95965">
            <w:pPr>
              <w:pStyle w:val="TableText"/>
              <w:rPr>
                <w:b/>
                <w:szCs w:val="20"/>
              </w:rPr>
            </w:pPr>
          </w:p>
        </w:tc>
        <w:tc>
          <w:tcPr>
            <w:tcW w:w="2330" w:type="dxa"/>
          </w:tcPr>
          <w:p w14:paraId="1C9C0890" w14:textId="77777777" w:rsidR="00E7240A" w:rsidRDefault="00E7240A" w:rsidP="00A95965">
            <w:pPr>
              <w:pStyle w:val="TableText"/>
              <w:rPr>
                <w:b/>
                <w:szCs w:val="20"/>
              </w:rPr>
            </w:pPr>
          </w:p>
        </w:tc>
        <w:tc>
          <w:tcPr>
            <w:tcW w:w="2396" w:type="dxa"/>
          </w:tcPr>
          <w:p w14:paraId="29014778" w14:textId="77777777" w:rsidR="00E7240A" w:rsidRDefault="00E7240A" w:rsidP="00A95965">
            <w:pPr>
              <w:pStyle w:val="TableText"/>
              <w:rPr>
                <w:b/>
                <w:szCs w:val="20"/>
              </w:rPr>
            </w:pPr>
          </w:p>
        </w:tc>
      </w:tr>
      <w:tr w:rsidR="00E7240A" w14:paraId="69684C91" w14:textId="77777777">
        <w:tblPrEx>
          <w:shd w:val="clear" w:color="auto" w:fill="auto"/>
        </w:tblPrEx>
        <w:trPr>
          <w:cantSplit/>
          <w:trHeight w:val="432"/>
        </w:trPr>
        <w:tc>
          <w:tcPr>
            <w:tcW w:w="3793" w:type="dxa"/>
            <w:noWrap/>
          </w:tcPr>
          <w:p w14:paraId="20ABE9ED" w14:textId="77777777" w:rsidR="00E7240A" w:rsidRDefault="00E7240A" w:rsidP="00A95965">
            <w:pPr>
              <w:pStyle w:val="TableText"/>
              <w:rPr>
                <w:b/>
                <w:szCs w:val="20"/>
              </w:rPr>
            </w:pPr>
          </w:p>
        </w:tc>
        <w:tc>
          <w:tcPr>
            <w:tcW w:w="2330" w:type="dxa"/>
          </w:tcPr>
          <w:p w14:paraId="7E39FA9E" w14:textId="77777777" w:rsidR="00E7240A" w:rsidRDefault="00E7240A" w:rsidP="00A95965">
            <w:pPr>
              <w:pStyle w:val="TableText"/>
              <w:rPr>
                <w:b/>
                <w:szCs w:val="20"/>
              </w:rPr>
            </w:pPr>
          </w:p>
        </w:tc>
        <w:tc>
          <w:tcPr>
            <w:tcW w:w="2111" w:type="dxa"/>
          </w:tcPr>
          <w:p w14:paraId="11507138" w14:textId="77777777" w:rsidR="00E7240A" w:rsidRDefault="00E7240A" w:rsidP="00A95965">
            <w:pPr>
              <w:pStyle w:val="TableText"/>
              <w:rPr>
                <w:b/>
                <w:szCs w:val="20"/>
              </w:rPr>
            </w:pPr>
          </w:p>
        </w:tc>
        <w:tc>
          <w:tcPr>
            <w:tcW w:w="2330" w:type="dxa"/>
          </w:tcPr>
          <w:p w14:paraId="56142186" w14:textId="77777777" w:rsidR="00E7240A" w:rsidRDefault="00E7240A" w:rsidP="00A95965">
            <w:pPr>
              <w:pStyle w:val="TableText"/>
              <w:rPr>
                <w:b/>
                <w:szCs w:val="20"/>
              </w:rPr>
            </w:pPr>
          </w:p>
        </w:tc>
        <w:tc>
          <w:tcPr>
            <w:tcW w:w="2396" w:type="dxa"/>
          </w:tcPr>
          <w:p w14:paraId="5D56E3A6" w14:textId="77777777" w:rsidR="00E7240A" w:rsidRDefault="00E7240A" w:rsidP="00A95965">
            <w:pPr>
              <w:pStyle w:val="TableText"/>
              <w:rPr>
                <w:b/>
                <w:szCs w:val="20"/>
              </w:rPr>
            </w:pPr>
          </w:p>
        </w:tc>
      </w:tr>
      <w:tr w:rsidR="00246F04" w14:paraId="1AD19D65" w14:textId="77777777">
        <w:tblPrEx>
          <w:shd w:val="clear" w:color="auto" w:fill="auto"/>
        </w:tblPrEx>
        <w:trPr>
          <w:cantSplit/>
          <w:trHeight w:val="432"/>
        </w:trPr>
        <w:tc>
          <w:tcPr>
            <w:tcW w:w="3793" w:type="dxa"/>
            <w:noWrap/>
          </w:tcPr>
          <w:p w14:paraId="614E3AC7" w14:textId="77777777" w:rsidR="00246F04" w:rsidRDefault="00246F04" w:rsidP="00A95965">
            <w:pPr>
              <w:pStyle w:val="TableText"/>
              <w:rPr>
                <w:b/>
                <w:szCs w:val="20"/>
              </w:rPr>
            </w:pPr>
          </w:p>
        </w:tc>
        <w:tc>
          <w:tcPr>
            <w:tcW w:w="2330" w:type="dxa"/>
          </w:tcPr>
          <w:p w14:paraId="1131D7E9" w14:textId="77777777" w:rsidR="00246F04" w:rsidRDefault="00246F04" w:rsidP="00A95965">
            <w:pPr>
              <w:pStyle w:val="TableText"/>
              <w:rPr>
                <w:b/>
                <w:szCs w:val="20"/>
              </w:rPr>
            </w:pPr>
          </w:p>
        </w:tc>
        <w:tc>
          <w:tcPr>
            <w:tcW w:w="2111" w:type="dxa"/>
          </w:tcPr>
          <w:p w14:paraId="4034C389" w14:textId="77777777" w:rsidR="00246F04" w:rsidRDefault="00246F04" w:rsidP="00A95965">
            <w:pPr>
              <w:pStyle w:val="TableText"/>
              <w:rPr>
                <w:b/>
                <w:szCs w:val="20"/>
              </w:rPr>
            </w:pPr>
          </w:p>
        </w:tc>
        <w:tc>
          <w:tcPr>
            <w:tcW w:w="2330" w:type="dxa"/>
          </w:tcPr>
          <w:p w14:paraId="433E39F5" w14:textId="77777777" w:rsidR="00246F04" w:rsidRDefault="00246F04" w:rsidP="00A95965">
            <w:pPr>
              <w:pStyle w:val="TableText"/>
              <w:rPr>
                <w:b/>
                <w:szCs w:val="20"/>
              </w:rPr>
            </w:pPr>
          </w:p>
        </w:tc>
        <w:tc>
          <w:tcPr>
            <w:tcW w:w="2396" w:type="dxa"/>
          </w:tcPr>
          <w:p w14:paraId="45424804" w14:textId="77777777" w:rsidR="00246F04" w:rsidRDefault="00246F04" w:rsidP="00A95965">
            <w:pPr>
              <w:pStyle w:val="TableText"/>
              <w:rPr>
                <w:b/>
                <w:szCs w:val="20"/>
              </w:rPr>
            </w:pPr>
          </w:p>
        </w:tc>
      </w:tr>
      <w:tr w:rsidR="00246F04" w14:paraId="0400771A" w14:textId="77777777">
        <w:tblPrEx>
          <w:shd w:val="clear" w:color="auto" w:fill="auto"/>
        </w:tblPrEx>
        <w:trPr>
          <w:cantSplit/>
          <w:trHeight w:val="432"/>
        </w:trPr>
        <w:tc>
          <w:tcPr>
            <w:tcW w:w="3793" w:type="dxa"/>
            <w:noWrap/>
          </w:tcPr>
          <w:p w14:paraId="768FDA4B" w14:textId="77777777" w:rsidR="00246F04" w:rsidRDefault="00246F04" w:rsidP="00A95965">
            <w:pPr>
              <w:pStyle w:val="TableText"/>
              <w:rPr>
                <w:b/>
                <w:szCs w:val="20"/>
              </w:rPr>
            </w:pPr>
          </w:p>
        </w:tc>
        <w:tc>
          <w:tcPr>
            <w:tcW w:w="2330" w:type="dxa"/>
          </w:tcPr>
          <w:p w14:paraId="07B66EB4" w14:textId="77777777" w:rsidR="00246F04" w:rsidRDefault="00246F04" w:rsidP="00A95965">
            <w:pPr>
              <w:pStyle w:val="TableText"/>
              <w:rPr>
                <w:b/>
                <w:szCs w:val="20"/>
              </w:rPr>
            </w:pPr>
          </w:p>
        </w:tc>
        <w:tc>
          <w:tcPr>
            <w:tcW w:w="2111" w:type="dxa"/>
          </w:tcPr>
          <w:p w14:paraId="7CC1A1D0" w14:textId="77777777" w:rsidR="00246F04" w:rsidRDefault="00246F04" w:rsidP="00A95965">
            <w:pPr>
              <w:pStyle w:val="TableText"/>
              <w:rPr>
                <w:b/>
                <w:szCs w:val="20"/>
              </w:rPr>
            </w:pPr>
          </w:p>
        </w:tc>
        <w:tc>
          <w:tcPr>
            <w:tcW w:w="2330" w:type="dxa"/>
          </w:tcPr>
          <w:p w14:paraId="2B69B222" w14:textId="77777777" w:rsidR="00246F04" w:rsidRDefault="00246F04" w:rsidP="00A95965">
            <w:pPr>
              <w:pStyle w:val="TableText"/>
              <w:rPr>
                <w:b/>
                <w:szCs w:val="20"/>
              </w:rPr>
            </w:pPr>
          </w:p>
        </w:tc>
        <w:tc>
          <w:tcPr>
            <w:tcW w:w="2396" w:type="dxa"/>
          </w:tcPr>
          <w:p w14:paraId="10E388B6" w14:textId="77777777" w:rsidR="00246F04" w:rsidRDefault="00246F04" w:rsidP="00A95965">
            <w:pPr>
              <w:pStyle w:val="TableText"/>
              <w:rPr>
                <w:b/>
                <w:szCs w:val="20"/>
              </w:rPr>
            </w:pPr>
          </w:p>
        </w:tc>
      </w:tr>
      <w:tr w:rsidR="00246F04" w14:paraId="2F693C29" w14:textId="77777777">
        <w:tblPrEx>
          <w:shd w:val="clear" w:color="auto" w:fill="auto"/>
        </w:tblPrEx>
        <w:trPr>
          <w:cantSplit/>
          <w:trHeight w:val="432"/>
        </w:trPr>
        <w:tc>
          <w:tcPr>
            <w:tcW w:w="3793" w:type="dxa"/>
            <w:noWrap/>
          </w:tcPr>
          <w:p w14:paraId="20E5D0C7" w14:textId="77777777" w:rsidR="00246F04" w:rsidRDefault="00246F04" w:rsidP="00A95965">
            <w:pPr>
              <w:pStyle w:val="TableText"/>
              <w:rPr>
                <w:b/>
                <w:szCs w:val="20"/>
              </w:rPr>
            </w:pPr>
          </w:p>
        </w:tc>
        <w:tc>
          <w:tcPr>
            <w:tcW w:w="2330" w:type="dxa"/>
          </w:tcPr>
          <w:p w14:paraId="2B871BD7" w14:textId="77777777" w:rsidR="00246F04" w:rsidRDefault="00246F04" w:rsidP="00A95965">
            <w:pPr>
              <w:pStyle w:val="TableText"/>
              <w:rPr>
                <w:b/>
                <w:szCs w:val="20"/>
              </w:rPr>
            </w:pPr>
          </w:p>
        </w:tc>
        <w:tc>
          <w:tcPr>
            <w:tcW w:w="2111" w:type="dxa"/>
          </w:tcPr>
          <w:p w14:paraId="7943CDC2" w14:textId="77777777" w:rsidR="00246F04" w:rsidRDefault="00246F04" w:rsidP="00A95965">
            <w:pPr>
              <w:pStyle w:val="TableText"/>
              <w:rPr>
                <w:b/>
                <w:szCs w:val="20"/>
              </w:rPr>
            </w:pPr>
          </w:p>
        </w:tc>
        <w:tc>
          <w:tcPr>
            <w:tcW w:w="2330" w:type="dxa"/>
          </w:tcPr>
          <w:p w14:paraId="393996B2" w14:textId="77777777" w:rsidR="00246F04" w:rsidRDefault="00246F04" w:rsidP="00A95965">
            <w:pPr>
              <w:pStyle w:val="TableText"/>
              <w:rPr>
                <w:b/>
                <w:szCs w:val="20"/>
              </w:rPr>
            </w:pPr>
          </w:p>
        </w:tc>
        <w:tc>
          <w:tcPr>
            <w:tcW w:w="2396" w:type="dxa"/>
          </w:tcPr>
          <w:p w14:paraId="7156F105" w14:textId="77777777" w:rsidR="00246F04" w:rsidRDefault="00246F04" w:rsidP="00A95965">
            <w:pPr>
              <w:pStyle w:val="TableText"/>
              <w:rPr>
                <w:b/>
                <w:szCs w:val="20"/>
              </w:rPr>
            </w:pPr>
          </w:p>
        </w:tc>
      </w:tr>
      <w:tr w:rsidR="00E7240A" w14:paraId="33B74B18" w14:textId="77777777">
        <w:tblPrEx>
          <w:shd w:val="clear" w:color="auto" w:fill="auto"/>
        </w:tblPrEx>
        <w:trPr>
          <w:cantSplit/>
          <w:trHeight w:val="432"/>
        </w:trPr>
        <w:tc>
          <w:tcPr>
            <w:tcW w:w="3793" w:type="dxa"/>
            <w:noWrap/>
          </w:tcPr>
          <w:p w14:paraId="7335C7BC" w14:textId="77777777" w:rsidR="00E7240A" w:rsidRDefault="00E7240A" w:rsidP="00A95965">
            <w:pPr>
              <w:pStyle w:val="TableText"/>
              <w:rPr>
                <w:b/>
                <w:szCs w:val="20"/>
              </w:rPr>
            </w:pPr>
          </w:p>
        </w:tc>
        <w:tc>
          <w:tcPr>
            <w:tcW w:w="2330" w:type="dxa"/>
          </w:tcPr>
          <w:p w14:paraId="713C6524" w14:textId="77777777" w:rsidR="00E7240A" w:rsidRDefault="00E7240A" w:rsidP="00A95965">
            <w:pPr>
              <w:pStyle w:val="TableText"/>
              <w:rPr>
                <w:b/>
                <w:szCs w:val="20"/>
              </w:rPr>
            </w:pPr>
          </w:p>
        </w:tc>
        <w:tc>
          <w:tcPr>
            <w:tcW w:w="2111" w:type="dxa"/>
          </w:tcPr>
          <w:p w14:paraId="3500FB02" w14:textId="77777777" w:rsidR="00E7240A" w:rsidRDefault="00E7240A" w:rsidP="00A95965">
            <w:pPr>
              <w:pStyle w:val="TableText"/>
              <w:rPr>
                <w:b/>
                <w:szCs w:val="20"/>
              </w:rPr>
            </w:pPr>
          </w:p>
        </w:tc>
        <w:tc>
          <w:tcPr>
            <w:tcW w:w="2330" w:type="dxa"/>
          </w:tcPr>
          <w:p w14:paraId="01AA48FB" w14:textId="77777777" w:rsidR="00E7240A" w:rsidRDefault="00E7240A" w:rsidP="00A95965">
            <w:pPr>
              <w:pStyle w:val="TableText"/>
              <w:rPr>
                <w:b/>
                <w:szCs w:val="20"/>
              </w:rPr>
            </w:pPr>
          </w:p>
        </w:tc>
        <w:tc>
          <w:tcPr>
            <w:tcW w:w="2396" w:type="dxa"/>
          </w:tcPr>
          <w:p w14:paraId="7CBE8312" w14:textId="77777777" w:rsidR="00E7240A" w:rsidRDefault="00E7240A" w:rsidP="00A95965">
            <w:pPr>
              <w:pStyle w:val="TableText"/>
              <w:rPr>
                <w:b/>
                <w:szCs w:val="20"/>
              </w:rPr>
            </w:pPr>
          </w:p>
        </w:tc>
      </w:tr>
      <w:tr w:rsidR="00E7240A" w14:paraId="59B9A127" w14:textId="77777777">
        <w:tblPrEx>
          <w:shd w:val="clear" w:color="auto" w:fill="auto"/>
        </w:tblPrEx>
        <w:trPr>
          <w:cantSplit/>
          <w:trHeight w:val="432"/>
        </w:trPr>
        <w:tc>
          <w:tcPr>
            <w:tcW w:w="3793" w:type="dxa"/>
            <w:noWrap/>
          </w:tcPr>
          <w:p w14:paraId="19C898FC" w14:textId="77777777" w:rsidR="00E7240A" w:rsidRDefault="00E7240A" w:rsidP="00A95965">
            <w:pPr>
              <w:pStyle w:val="TableText"/>
              <w:rPr>
                <w:b/>
                <w:szCs w:val="20"/>
              </w:rPr>
            </w:pPr>
          </w:p>
        </w:tc>
        <w:tc>
          <w:tcPr>
            <w:tcW w:w="2330" w:type="dxa"/>
          </w:tcPr>
          <w:p w14:paraId="3FA1B70A" w14:textId="77777777" w:rsidR="00E7240A" w:rsidRDefault="00E7240A" w:rsidP="00A95965">
            <w:pPr>
              <w:pStyle w:val="TableText"/>
              <w:rPr>
                <w:b/>
                <w:szCs w:val="20"/>
              </w:rPr>
            </w:pPr>
          </w:p>
        </w:tc>
        <w:tc>
          <w:tcPr>
            <w:tcW w:w="2111" w:type="dxa"/>
          </w:tcPr>
          <w:p w14:paraId="39F7DD04" w14:textId="77777777" w:rsidR="00E7240A" w:rsidRDefault="00E7240A" w:rsidP="00A95965">
            <w:pPr>
              <w:pStyle w:val="TableText"/>
              <w:rPr>
                <w:b/>
                <w:szCs w:val="20"/>
              </w:rPr>
            </w:pPr>
          </w:p>
        </w:tc>
        <w:tc>
          <w:tcPr>
            <w:tcW w:w="2330" w:type="dxa"/>
          </w:tcPr>
          <w:p w14:paraId="74E6A8E2" w14:textId="77777777" w:rsidR="00E7240A" w:rsidRDefault="00E7240A" w:rsidP="00A95965">
            <w:pPr>
              <w:pStyle w:val="TableText"/>
              <w:rPr>
                <w:b/>
                <w:szCs w:val="20"/>
              </w:rPr>
            </w:pPr>
          </w:p>
        </w:tc>
        <w:tc>
          <w:tcPr>
            <w:tcW w:w="2396" w:type="dxa"/>
          </w:tcPr>
          <w:p w14:paraId="4FE9DC6A" w14:textId="77777777" w:rsidR="00E7240A" w:rsidRDefault="00E7240A" w:rsidP="00A95965">
            <w:pPr>
              <w:pStyle w:val="TableText"/>
              <w:rPr>
                <w:b/>
                <w:szCs w:val="20"/>
              </w:rPr>
            </w:pPr>
          </w:p>
        </w:tc>
      </w:tr>
      <w:tr w:rsidR="00E7240A" w14:paraId="0231BA1D" w14:textId="77777777">
        <w:tblPrEx>
          <w:shd w:val="clear" w:color="auto" w:fill="auto"/>
        </w:tblPrEx>
        <w:trPr>
          <w:cantSplit/>
          <w:trHeight w:val="432"/>
        </w:trPr>
        <w:tc>
          <w:tcPr>
            <w:tcW w:w="3793" w:type="dxa"/>
            <w:noWrap/>
          </w:tcPr>
          <w:p w14:paraId="41683C6B" w14:textId="77777777" w:rsidR="00E7240A" w:rsidRDefault="00E7240A" w:rsidP="00A95965">
            <w:pPr>
              <w:pStyle w:val="TableText"/>
              <w:rPr>
                <w:b/>
                <w:szCs w:val="20"/>
              </w:rPr>
            </w:pPr>
          </w:p>
        </w:tc>
        <w:tc>
          <w:tcPr>
            <w:tcW w:w="2330" w:type="dxa"/>
          </w:tcPr>
          <w:p w14:paraId="56E2BA3F" w14:textId="77777777" w:rsidR="00E7240A" w:rsidRDefault="00E7240A" w:rsidP="00A95965">
            <w:pPr>
              <w:pStyle w:val="TableText"/>
              <w:rPr>
                <w:b/>
                <w:szCs w:val="20"/>
              </w:rPr>
            </w:pPr>
          </w:p>
        </w:tc>
        <w:tc>
          <w:tcPr>
            <w:tcW w:w="2111" w:type="dxa"/>
          </w:tcPr>
          <w:p w14:paraId="530FF9DF" w14:textId="77777777" w:rsidR="00E7240A" w:rsidRDefault="00E7240A" w:rsidP="00A95965">
            <w:pPr>
              <w:pStyle w:val="TableText"/>
              <w:rPr>
                <w:b/>
                <w:szCs w:val="20"/>
              </w:rPr>
            </w:pPr>
          </w:p>
        </w:tc>
        <w:tc>
          <w:tcPr>
            <w:tcW w:w="2330" w:type="dxa"/>
          </w:tcPr>
          <w:p w14:paraId="26F1CAF0" w14:textId="77777777" w:rsidR="00E7240A" w:rsidRDefault="00E7240A" w:rsidP="00A95965">
            <w:pPr>
              <w:pStyle w:val="TableText"/>
              <w:rPr>
                <w:b/>
                <w:szCs w:val="20"/>
              </w:rPr>
            </w:pPr>
          </w:p>
        </w:tc>
        <w:tc>
          <w:tcPr>
            <w:tcW w:w="2396" w:type="dxa"/>
          </w:tcPr>
          <w:p w14:paraId="25031462" w14:textId="77777777" w:rsidR="00E7240A" w:rsidRDefault="00E7240A" w:rsidP="00A95965">
            <w:pPr>
              <w:pStyle w:val="TableText"/>
              <w:rPr>
                <w:b/>
                <w:szCs w:val="20"/>
              </w:rPr>
            </w:pPr>
          </w:p>
        </w:tc>
      </w:tr>
    </w:tbl>
    <w:p w14:paraId="48BD9B17" w14:textId="77777777" w:rsidR="00902D46" w:rsidRDefault="00902D46" w:rsidP="00CF32F4">
      <w:pPr>
        <w:pStyle w:val="BodyText"/>
        <w:jc w:val="center"/>
        <w:sectPr w:rsidR="00902D46" w:rsidSect="00EE771C">
          <w:footerReference w:type="default" r:id="rId238"/>
          <w:pgSz w:w="15840" w:h="12240" w:orient="landscape" w:code="1"/>
          <w:pgMar w:top="1440" w:right="1440" w:bottom="1440" w:left="1440" w:header="720" w:footer="720" w:gutter="0"/>
          <w:cols w:space="720"/>
          <w:docGrid w:linePitch="360"/>
        </w:sectPr>
      </w:pPr>
    </w:p>
    <w:p w14:paraId="2CF38FCF" w14:textId="77777777" w:rsidR="000C342D" w:rsidRDefault="000C342D" w:rsidP="000C342D">
      <w:pPr>
        <w:pStyle w:val="BodyText"/>
        <w:jc w:val="center"/>
      </w:pPr>
      <w:r>
        <w:lastRenderedPageBreak/>
        <w:t>This page intentionally left blank.</w:t>
      </w:r>
    </w:p>
    <w:p w14:paraId="16E0C980" w14:textId="12512C66" w:rsidR="002A21AE" w:rsidRDefault="000C342D">
      <w:pPr>
        <w:pStyle w:val="Heading2"/>
      </w:pPr>
      <w:r>
        <w:br w:type="page"/>
      </w:r>
      <w:bookmarkStart w:id="709" w:name="_Ref170004931"/>
      <w:bookmarkStart w:id="710" w:name="_Toc47516806"/>
      <w:r w:rsidR="002A21AE">
        <w:lastRenderedPageBreak/>
        <w:t xml:space="preserve">Appendix </w:t>
      </w:r>
      <w:r w:rsidR="004E20BD">
        <w:rPr>
          <w:noProof/>
        </w:rPr>
        <w:fldChar w:fldCharType="begin"/>
      </w:r>
      <w:r w:rsidR="004E20BD">
        <w:rPr>
          <w:noProof/>
        </w:rPr>
        <w:instrText xml:space="preserve"> SEQ Appendix \* ALPHABETIC </w:instrText>
      </w:r>
      <w:r w:rsidR="004E20BD">
        <w:rPr>
          <w:noProof/>
        </w:rPr>
        <w:fldChar w:fldCharType="separate"/>
      </w:r>
      <w:r w:rsidR="004353ED">
        <w:rPr>
          <w:noProof/>
        </w:rPr>
        <w:t>B</w:t>
      </w:r>
      <w:r w:rsidR="004E20BD">
        <w:rPr>
          <w:noProof/>
        </w:rPr>
        <w:fldChar w:fldCharType="end"/>
      </w:r>
      <w:bookmarkEnd w:id="709"/>
      <w:r w:rsidR="002A21AE">
        <w:t>: Database Table Information</w:t>
      </w:r>
      <w:bookmarkEnd w:id="710"/>
      <w:r w:rsidR="00681D23">
        <w:fldChar w:fldCharType="begin"/>
      </w:r>
      <w:r w:rsidR="00681D23">
        <w:instrText xml:space="preserve"> XE "</w:instrText>
      </w:r>
      <w:r w:rsidR="00681D23" w:rsidRPr="00FB2A0A">
        <w:instrText>Database Table Information</w:instrText>
      </w:r>
      <w:r w:rsidR="00681D23">
        <w:instrText xml:space="preserve">" </w:instrText>
      </w:r>
      <w:r w:rsidR="00681D23">
        <w:fldChar w:fldCharType="end"/>
      </w:r>
    </w:p>
    <w:p w14:paraId="489EEA0C" w14:textId="77777777" w:rsidR="002A21AE" w:rsidRDefault="002A21AE">
      <w:pPr>
        <w:pStyle w:val="Heading3"/>
      </w:pPr>
      <w:bookmarkStart w:id="711" w:name="_Toc77663546"/>
      <w:bookmarkStart w:id="712" w:name="_Toc91323761"/>
      <w:bookmarkStart w:id="713" w:name="_Toc77663549"/>
      <w:bookmarkStart w:id="714" w:name="_Toc91323764"/>
      <w:bookmarkStart w:id="715" w:name="_Toc91323735"/>
      <w:r w:rsidRPr="00302434">
        <w:rPr>
          <w:rFonts w:ascii="Arial Bold" w:hAnsi="Arial Bold"/>
          <w:vanish/>
        </w:rPr>
        <w:t xml:space="preserve">TT_23.01 </w:t>
      </w:r>
      <w:bookmarkStart w:id="716" w:name="_Toc47516807"/>
      <w:r>
        <w:t>Antibody and Antigen Tables</w:t>
      </w:r>
      <w:bookmarkEnd w:id="711"/>
      <w:bookmarkEnd w:id="712"/>
      <w:bookmarkEnd w:id="716"/>
    </w:p>
    <w:p w14:paraId="1385B131" w14:textId="77777777" w:rsidR="002A21AE" w:rsidRDefault="002A21AE" w:rsidP="0065062F">
      <w:pPr>
        <w:pStyle w:val="Heading3"/>
      </w:pPr>
      <w:bookmarkStart w:id="717" w:name="table13"/>
      <w:bookmarkStart w:id="718" w:name="_Toc77663547"/>
      <w:bookmarkStart w:id="719" w:name="_Toc91323762"/>
      <w:bookmarkStart w:id="720" w:name="_Toc47516808"/>
      <w:bookmarkEnd w:id="717"/>
      <w:r>
        <w:t>Antibody and Antigen Table: Irregular Antibodies</w:t>
      </w:r>
      <w:bookmarkEnd w:id="718"/>
      <w:bookmarkEnd w:id="719"/>
      <w:bookmarkEnd w:id="720"/>
      <w:r>
        <w:fldChar w:fldCharType="begin"/>
      </w:r>
      <w:r>
        <w:instrText xml:space="preserve"> XE </w:instrText>
      </w:r>
      <w:r w:rsidR="00FA7E65">
        <w:instrText>“</w:instrText>
      </w:r>
      <w:r>
        <w:instrText>Tables:Antibody and Antigen Table, Irregular Antibodies</w:instrText>
      </w:r>
      <w:r w:rsidR="00FA7E65">
        <w:instrText>”</w:instrText>
      </w:r>
      <w:r>
        <w:instrText xml:space="preserve"> </w:instrText>
      </w:r>
      <w:r>
        <w:fldChar w:fldCharType="end"/>
      </w:r>
    </w:p>
    <w:p w14:paraId="0AEB6EAF" w14:textId="77777777" w:rsidR="006C5E3A" w:rsidRDefault="00247207" w:rsidP="006C5E3A">
      <w:pPr>
        <w:pStyle w:val="BodyText"/>
      </w:pPr>
      <w:r>
        <w:t xml:space="preserve">VBECS </w:t>
      </w:r>
      <w:r w:rsidR="006C5E3A">
        <w:t xml:space="preserve">creates a division-specific copy in each division in the database. Setting Antibody Parameters allows the division to reset the calculated antigen negative requirement of antibodies to its medical director’s policy. </w:t>
      </w:r>
      <w:r w:rsidR="009A11C7">
        <w:t>Each orderable test name has a corresponding repeat test.</w:t>
      </w:r>
    </w:p>
    <w:p w14:paraId="0501E6CD" w14:textId="77777777" w:rsidR="002A21AE" w:rsidRDefault="002A21AE" w:rsidP="00FA7E65">
      <w:pPr>
        <w:pStyle w:val="BodyText"/>
      </w:pPr>
      <w:r>
        <w:t>Clinical significance of antibody specificity is set using the 14th edition of the AABB Technical Manual. A specific instance of an antibody for certain patients or different treatment conditions may behave quite differently, requiring antigen negative or crossmatch-compatible blood for the patient. The user may edit these settings for an individual patient.</w:t>
      </w:r>
    </w:p>
    <w:p w14:paraId="34FFF4EE" w14:textId="77777777" w:rsidR="002A21AE" w:rsidRDefault="002A21AE" w:rsidP="00FA7E65">
      <w:pPr>
        <w:pStyle w:val="BodyText"/>
      </w:pPr>
      <w:r>
        <w:t xml:space="preserve">The antigen negative required settings apply to all instances of the antibody. Individual hospital policy may indicate that a setting of “OPT” should be made “REQ.” A policy of a global OPT may remain in the event of a specific clinically significant instance of a specificity in a particular patient. The individual patient’s antigen negative requirement may be set for the specificity in Entering and Removing Transfusion Requirements. </w:t>
      </w:r>
      <w:r>
        <w:rPr>
          <w:szCs w:val="16"/>
        </w:rPr>
        <w:t>In the Antigen Negative Requirement column:</w:t>
      </w:r>
    </w:p>
    <w:p w14:paraId="5A64199D" w14:textId="77777777" w:rsidR="002A21AE" w:rsidRDefault="002A21AE">
      <w:pPr>
        <w:pStyle w:val="ListBullet"/>
      </w:pPr>
      <w:r>
        <w:t>“REQ” sets an antigen negative requirement that is not editable because these are generally considered to require the provision of antigen negative blood for patient transfusion.</w:t>
      </w:r>
    </w:p>
    <w:p w14:paraId="4D377CFE" w14:textId="77777777" w:rsidR="002A21AE" w:rsidRDefault="002A21AE">
      <w:pPr>
        <w:pStyle w:val="ListBullet"/>
      </w:pPr>
      <w:r>
        <w:t xml:space="preserve">“NO” does not set an antigen negative requirement and is not editable. </w:t>
      </w:r>
    </w:p>
    <w:p w14:paraId="64C2F7C2" w14:textId="77777777" w:rsidR="002A21AE" w:rsidRDefault="002A21AE">
      <w:pPr>
        <w:pStyle w:val="ListBullet"/>
      </w:pPr>
      <w:r>
        <w:t xml:space="preserve">“OPT” in the Antibody sets an antigen negative requirement is editable and may be reset repeatedly on the division’s copy of the table. </w:t>
      </w:r>
    </w:p>
    <w:p w14:paraId="26A7C55D" w14:textId="2922540E" w:rsidR="002A21AE" w:rsidRDefault="00896B41">
      <w:pPr>
        <w:pStyle w:val="Caption"/>
      </w:pPr>
      <w:bookmarkStart w:id="721" w:name="_Toc97523630"/>
      <w:bookmarkStart w:id="722" w:name="_Toc97527600"/>
      <w:r>
        <w:br w:type="page"/>
      </w:r>
      <w:bookmarkStart w:id="723" w:name="_Ref126730855"/>
      <w:bookmarkStart w:id="724" w:name="_Ref126484449"/>
      <w:r w:rsidR="002A21AE">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14</w:t>
      </w:r>
      <w:r w:rsidR="004E20BD">
        <w:rPr>
          <w:noProof/>
        </w:rPr>
        <w:fldChar w:fldCharType="end"/>
      </w:r>
      <w:bookmarkEnd w:id="723"/>
      <w:r w:rsidR="002A21AE">
        <w:t xml:space="preserve">: </w:t>
      </w:r>
      <w:r w:rsidR="002A21AE">
        <w:rPr>
          <w:vanish/>
        </w:rPr>
        <w:t xml:space="preserve">TT_23.01A </w:t>
      </w:r>
      <w:r w:rsidR="002A21AE">
        <w:t>Antibody and Antigen Table: Irregular Antibodies</w:t>
      </w:r>
      <w:bookmarkEnd w:id="721"/>
      <w:bookmarkEnd w:id="722"/>
      <w:bookmarkEnd w:id="724"/>
    </w:p>
    <w:tbl>
      <w:tblPr>
        <w:tblW w:w="936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253"/>
        <w:gridCol w:w="1253"/>
        <w:gridCol w:w="878"/>
        <w:gridCol w:w="878"/>
        <w:gridCol w:w="1253"/>
        <w:gridCol w:w="1253"/>
        <w:gridCol w:w="1296"/>
        <w:gridCol w:w="1296"/>
      </w:tblGrid>
      <w:tr w:rsidR="00B769D3" w:rsidRPr="00F77B4F" w14:paraId="7760C45D" w14:textId="77777777">
        <w:trPr>
          <w:cantSplit/>
          <w:tblHeader/>
        </w:trPr>
        <w:tc>
          <w:tcPr>
            <w:tcW w:w="2506" w:type="dxa"/>
            <w:gridSpan w:val="2"/>
            <w:tcBorders>
              <w:top w:val="single" w:sz="4" w:space="0" w:color="auto"/>
              <w:left w:val="single" w:sz="4" w:space="0" w:color="auto"/>
              <w:bottom w:val="single" w:sz="4" w:space="0" w:color="auto"/>
              <w:right w:val="single" w:sz="4" w:space="0" w:color="auto"/>
            </w:tcBorders>
            <w:shd w:val="clear" w:color="auto" w:fill="B3B3B3"/>
          </w:tcPr>
          <w:p w14:paraId="0D4B4C3E" w14:textId="77777777" w:rsidR="00824338" w:rsidRPr="00F77B4F" w:rsidRDefault="00824338" w:rsidP="004D0818">
            <w:pPr>
              <w:pStyle w:val="TableText"/>
              <w:jc w:val="center"/>
              <w:rPr>
                <w:b/>
              </w:rPr>
            </w:pPr>
            <w:r w:rsidRPr="00F77B4F">
              <w:rPr>
                <w:b/>
              </w:rPr>
              <w:t>Antibody Name</w:t>
            </w:r>
          </w:p>
        </w:tc>
        <w:tc>
          <w:tcPr>
            <w:tcW w:w="878" w:type="dxa"/>
            <w:vMerge w:val="restart"/>
            <w:tcBorders>
              <w:top w:val="single" w:sz="4" w:space="0" w:color="auto"/>
              <w:left w:val="single" w:sz="4" w:space="0" w:color="auto"/>
              <w:right w:val="single" w:sz="4" w:space="0" w:color="auto"/>
            </w:tcBorders>
            <w:shd w:val="clear" w:color="auto" w:fill="B3B3B3"/>
            <w:textDirection w:val="btLr"/>
          </w:tcPr>
          <w:p w14:paraId="1CB896A1" w14:textId="77777777" w:rsidR="00824338" w:rsidRPr="00F77B4F" w:rsidRDefault="00824338" w:rsidP="0088039E">
            <w:pPr>
              <w:pStyle w:val="TableText"/>
              <w:rPr>
                <w:b/>
                <w:szCs w:val="16"/>
              </w:rPr>
            </w:pPr>
            <w:r>
              <w:rPr>
                <w:b/>
                <w:szCs w:val="16"/>
              </w:rPr>
              <w:t>Clinically Significant?</w:t>
            </w:r>
            <w:r w:rsidR="00F528F3" w:rsidRPr="00191509">
              <w:rPr>
                <w:rFonts w:ascii="Arial Bold" w:hAnsi="Arial Bold"/>
                <w:b/>
                <w:szCs w:val="18"/>
              </w:rPr>
              <w:t>§</w:t>
            </w:r>
            <w:r w:rsidR="00191509" w:rsidRPr="00191509">
              <w:rPr>
                <w:rFonts w:ascii="Arial Bold" w:hAnsi="Arial Bold"/>
                <w:b/>
                <w:vanish/>
                <w:szCs w:val="18"/>
              </w:rPr>
              <w:t>UserDoc Task 1096</w:t>
            </w:r>
          </w:p>
        </w:tc>
        <w:tc>
          <w:tcPr>
            <w:tcW w:w="878" w:type="dxa"/>
            <w:vMerge w:val="restart"/>
            <w:tcBorders>
              <w:top w:val="single" w:sz="4" w:space="0" w:color="auto"/>
              <w:left w:val="single" w:sz="4" w:space="0" w:color="auto"/>
              <w:right w:val="single" w:sz="4" w:space="0" w:color="auto"/>
            </w:tcBorders>
            <w:shd w:val="clear" w:color="auto" w:fill="B3B3B3"/>
            <w:textDirection w:val="btLr"/>
          </w:tcPr>
          <w:p w14:paraId="7077697D" w14:textId="77777777" w:rsidR="00824338" w:rsidRPr="00F77B4F" w:rsidRDefault="00824338" w:rsidP="0088039E">
            <w:pPr>
              <w:pStyle w:val="TableText"/>
              <w:rPr>
                <w:b/>
                <w:szCs w:val="16"/>
              </w:rPr>
            </w:pPr>
            <w:r w:rsidRPr="00F77B4F">
              <w:rPr>
                <w:b/>
                <w:szCs w:val="16"/>
              </w:rPr>
              <w:t>Does Antibody Set a</w:t>
            </w:r>
            <w:r>
              <w:rPr>
                <w:b/>
                <w:szCs w:val="16"/>
              </w:rPr>
              <w:t>n Antigen Negative Requirement?</w:t>
            </w:r>
          </w:p>
        </w:tc>
        <w:tc>
          <w:tcPr>
            <w:tcW w:w="2506" w:type="dxa"/>
            <w:gridSpan w:val="2"/>
            <w:tcBorders>
              <w:top w:val="single" w:sz="4" w:space="0" w:color="auto"/>
              <w:left w:val="single" w:sz="4" w:space="0" w:color="auto"/>
              <w:bottom w:val="single" w:sz="4" w:space="0" w:color="auto"/>
              <w:right w:val="single" w:sz="4" w:space="0" w:color="auto"/>
            </w:tcBorders>
            <w:shd w:val="clear" w:color="auto" w:fill="B3B3B3"/>
          </w:tcPr>
          <w:p w14:paraId="3016D9CC" w14:textId="77777777" w:rsidR="00824338" w:rsidRPr="00F77B4F" w:rsidRDefault="00824338" w:rsidP="004D0818">
            <w:pPr>
              <w:pStyle w:val="TableText"/>
              <w:jc w:val="center"/>
              <w:rPr>
                <w:b/>
              </w:rPr>
            </w:pPr>
            <w:r w:rsidRPr="00F77B4F">
              <w:rPr>
                <w:b/>
              </w:rPr>
              <w:t>Associated Antigen</w:t>
            </w:r>
          </w:p>
        </w:tc>
        <w:tc>
          <w:tcPr>
            <w:tcW w:w="1296" w:type="dxa"/>
            <w:vMerge w:val="restart"/>
            <w:tcBorders>
              <w:top w:val="single" w:sz="4" w:space="0" w:color="auto"/>
              <w:left w:val="single" w:sz="4" w:space="0" w:color="auto"/>
              <w:right w:val="single" w:sz="4" w:space="0" w:color="auto"/>
            </w:tcBorders>
            <w:shd w:val="clear" w:color="auto" w:fill="B3B3B3"/>
            <w:textDirection w:val="btLr"/>
          </w:tcPr>
          <w:p w14:paraId="77AE2479" w14:textId="77777777" w:rsidR="00824338" w:rsidRPr="00F77B4F" w:rsidRDefault="00824338" w:rsidP="0088039E">
            <w:pPr>
              <w:pStyle w:val="TableText"/>
              <w:rPr>
                <w:b/>
              </w:rPr>
            </w:pPr>
            <w:r w:rsidRPr="00F77B4F">
              <w:rPr>
                <w:b/>
              </w:rPr>
              <w:t>Antigen Negative Compatibility Percentage</w:t>
            </w:r>
          </w:p>
        </w:tc>
        <w:tc>
          <w:tcPr>
            <w:tcW w:w="1296" w:type="dxa"/>
            <w:vMerge w:val="restart"/>
            <w:tcBorders>
              <w:top w:val="single" w:sz="4" w:space="0" w:color="auto"/>
              <w:left w:val="single" w:sz="4" w:space="0" w:color="auto"/>
              <w:right w:val="single" w:sz="4" w:space="0" w:color="auto"/>
            </w:tcBorders>
            <w:shd w:val="clear" w:color="auto" w:fill="B3B3B3"/>
            <w:textDirection w:val="btLr"/>
          </w:tcPr>
          <w:p w14:paraId="6EBA2D17" w14:textId="77777777" w:rsidR="00824338" w:rsidRPr="00F77B4F" w:rsidRDefault="00824338" w:rsidP="0088039E">
            <w:pPr>
              <w:pStyle w:val="TableText"/>
              <w:rPr>
                <w:b/>
              </w:rPr>
            </w:pPr>
            <w:r w:rsidRPr="00F77B4F">
              <w:rPr>
                <w:b/>
              </w:rPr>
              <w:t>VBECS Antigen Typing Orderable Test</w:t>
            </w:r>
          </w:p>
        </w:tc>
      </w:tr>
      <w:tr w:rsidR="00824338" w:rsidRPr="00F77B4F" w14:paraId="2A445DF4" w14:textId="77777777">
        <w:trPr>
          <w:cantSplit/>
          <w:trHeight w:val="1358"/>
          <w:tblHeader/>
        </w:trPr>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565A0B1C" w14:textId="77777777" w:rsidR="00824338" w:rsidRPr="00F77B4F" w:rsidRDefault="00824338" w:rsidP="00AD0B01">
            <w:pPr>
              <w:pStyle w:val="TableText"/>
              <w:rPr>
                <w:rFonts w:eastAsia="Symbol"/>
                <w:b/>
              </w:rPr>
            </w:pPr>
            <w:r w:rsidRPr="00F77B4F">
              <w:rPr>
                <w:b/>
              </w:rPr>
              <w:t>VBECS*</w:t>
            </w: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57691D98" w14:textId="77777777" w:rsidR="00824338" w:rsidRPr="00F77B4F" w:rsidRDefault="00824338" w:rsidP="00AD0B01">
            <w:pPr>
              <w:pStyle w:val="TableText"/>
              <w:rPr>
                <w:b/>
              </w:rPr>
            </w:pPr>
            <w:r w:rsidRPr="00F77B4F">
              <w:rPr>
                <w:b/>
              </w:rPr>
              <w:t>VistA</w:t>
            </w:r>
            <w:r>
              <w:rPr>
                <w:b/>
              </w:rPr>
              <w:t>†</w:t>
            </w:r>
          </w:p>
        </w:tc>
        <w:tc>
          <w:tcPr>
            <w:tcW w:w="878" w:type="dxa"/>
            <w:vMerge/>
            <w:tcBorders>
              <w:left w:val="single" w:sz="4" w:space="0" w:color="auto"/>
              <w:bottom w:val="single" w:sz="4" w:space="0" w:color="auto"/>
              <w:right w:val="single" w:sz="4" w:space="0" w:color="auto"/>
            </w:tcBorders>
            <w:shd w:val="clear" w:color="auto" w:fill="B3B3B3"/>
            <w:textDirection w:val="btLr"/>
          </w:tcPr>
          <w:p w14:paraId="76A123B0" w14:textId="77777777" w:rsidR="00824338" w:rsidRPr="00F77B4F" w:rsidRDefault="00824338" w:rsidP="00AD0B01">
            <w:pPr>
              <w:pStyle w:val="TableText"/>
              <w:rPr>
                <w:b/>
                <w:szCs w:val="16"/>
              </w:rPr>
            </w:pPr>
          </w:p>
        </w:tc>
        <w:tc>
          <w:tcPr>
            <w:tcW w:w="878" w:type="dxa"/>
            <w:vMerge/>
            <w:tcBorders>
              <w:left w:val="single" w:sz="4" w:space="0" w:color="auto"/>
              <w:bottom w:val="single" w:sz="4" w:space="0" w:color="auto"/>
              <w:right w:val="single" w:sz="4" w:space="0" w:color="auto"/>
            </w:tcBorders>
            <w:shd w:val="clear" w:color="auto" w:fill="B3B3B3"/>
            <w:textDirection w:val="btLr"/>
          </w:tcPr>
          <w:p w14:paraId="1EE2FE1E" w14:textId="77777777" w:rsidR="00824338" w:rsidRPr="00F77B4F" w:rsidRDefault="00824338" w:rsidP="00AD0B01">
            <w:pPr>
              <w:pStyle w:val="TableText"/>
              <w:rPr>
                <w:rFonts w:eastAsia="Symbol"/>
                <w:b/>
                <w:szCs w:val="16"/>
              </w:rPr>
            </w:pP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053B7D06" w14:textId="77777777" w:rsidR="00824338" w:rsidRPr="006831BE" w:rsidRDefault="00824338" w:rsidP="006831BE">
            <w:pPr>
              <w:pStyle w:val="TableText"/>
              <w:rPr>
                <w:b/>
              </w:rPr>
            </w:pPr>
            <w:r w:rsidRPr="006831BE">
              <w:rPr>
                <w:b/>
              </w:rPr>
              <w:t>VBECS</w:t>
            </w: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56380487" w14:textId="77777777" w:rsidR="00824338" w:rsidRPr="006831BE" w:rsidRDefault="00824338" w:rsidP="006831BE">
            <w:pPr>
              <w:pStyle w:val="TableText"/>
              <w:rPr>
                <w:b/>
              </w:rPr>
            </w:pPr>
            <w:r w:rsidRPr="006831BE">
              <w:rPr>
                <w:b/>
              </w:rPr>
              <w:t>VistA†</w:t>
            </w:r>
          </w:p>
        </w:tc>
        <w:tc>
          <w:tcPr>
            <w:tcW w:w="1296" w:type="dxa"/>
            <w:vMerge/>
            <w:tcBorders>
              <w:left w:val="single" w:sz="4" w:space="0" w:color="auto"/>
              <w:bottom w:val="single" w:sz="4" w:space="0" w:color="auto"/>
              <w:right w:val="single" w:sz="4" w:space="0" w:color="auto"/>
            </w:tcBorders>
            <w:shd w:val="clear" w:color="auto" w:fill="B3B3B3"/>
            <w:textDirection w:val="btLr"/>
          </w:tcPr>
          <w:p w14:paraId="3E129578" w14:textId="77777777" w:rsidR="00824338" w:rsidRPr="00F77B4F" w:rsidRDefault="00824338" w:rsidP="00AD0B01">
            <w:pPr>
              <w:pStyle w:val="TableText"/>
              <w:rPr>
                <w:rFonts w:eastAsia="Symbol"/>
                <w:b/>
              </w:rPr>
            </w:pPr>
          </w:p>
        </w:tc>
        <w:tc>
          <w:tcPr>
            <w:tcW w:w="1296" w:type="dxa"/>
            <w:vMerge/>
            <w:tcBorders>
              <w:left w:val="single" w:sz="4" w:space="0" w:color="auto"/>
              <w:bottom w:val="single" w:sz="4" w:space="0" w:color="auto"/>
              <w:right w:val="single" w:sz="4" w:space="0" w:color="auto"/>
            </w:tcBorders>
            <w:shd w:val="clear" w:color="auto" w:fill="B3B3B3"/>
            <w:textDirection w:val="btLr"/>
          </w:tcPr>
          <w:p w14:paraId="69FD020B" w14:textId="77777777" w:rsidR="00824338" w:rsidRPr="00F77B4F" w:rsidRDefault="00824338" w:rsidP="00AD0B01">
            <w:pPr>
              <w:pStyle w:val="TableText"/>
              <w:rPr>
                <w:b/>
              </w:rPr>
            </w:pPr>
          </w:p>
        </w:tc>
      </w:tr>
      <w:tr w:rsidR="00824338" w14:paraId="5A4E9F51" w14:textId="77777777">
        <w:tblPrEx>
          <w:tblBorders>
            <w:insideH w:val="single" w:sz="4" w:space="0" w:color="auto"/>
            <w:insideV w:val="single" w:sz="4" w:space="0" w:color="auto"/>
          </w:tblBorders>
        </w:tblPrEx>
        <w:tc>
          <w:tcPr>
            <w:tcW w:w="1253" w:type="dxa"/>
            <w:shd w:val="clear" w:color="auto" w:fill="auto"/>
          </w:tcPr>
          <w:p w14:paraId="1BD51A15" w14:textId="77777777" w:rsidR="003E3D07" w:rsidRDefault="003E3D07">
            <w:pPr>
              <w:pStyle w:val="TableText"/>
              <w:rPr>
                <w:rFonts w:eastAsia="Symbol"/>
              </w:rPr>
            </w:pPr>
            <w:bookmarkStart w:id="725" w:name="_Toc77663548"/>
            <w:r>
              <w:t>Anti-D</w:t>
            </w:r>
          </w:p>
        </w:tc>
        <w:tc>
          <w:tcPr>
            <w:tcW w:w="1253" w:type="dxa"/>
            <w:shd w:val="clear" w:color="auto" w:fill="auto"/>
          </w:tcPr>
          <w:p w14:paraId="59565332" w14:textId="77777777" w:rsidR="003E3D07" w:rsidRDefault="003E3D07">
            <w:pPr>
              <w:pStyle w:val="TableText"/>
              <w:rPr>
                <w:rFonts w:eastAsia="Symbol"/>
              </w:rPr>
            </w:pPr>
            <w:r>
              <w:t>Anti-D</w:t>
            </w:r>
          </w:p>
        </w:tc>
        <w:tc>
          <w:tcPr>
            <w:tcW w:w="878" w:type="dxa"/>
            <w:shd w:val="clear" w:color="auto" w:fill="auto"/>
          </w:tcPr>
          <w:p w14:paraId="5FC28E83" w14:textId="77777777" w:rsidR="003E3D07" w:rsidRDefault="003E3D07">
            <w:pPr>
              <w:pStyle w:val="TableText"/>
              <w:rPr>
                <w:b/>
                <w:bCs/>
              </w:rPr>
            </w:pPr>
            <w:r>
              <w:rPr>
                <w:bCs/>
              </w:rPr>
              <w:t>Yes</w:t>
            </w:r>
          </w:p>
        </w:tc>
        <w:tc>
          <w:tcPr>
            <w:tcW w:w="878" w:type="dxa"/>
            <w:shd w:val="clear" w:color="auto" w:fill="auto"/>
          </w:tcPr>
          <w:p w14:paraId="45E22044" w14:textId="77777777" w:rsidR="003E3D07" w:rsidRDefault="003E3D07">
            <w:pPr>
              <w:pStyle w:val="TableText"/>
              <w:rPr>
                <w:rFonts w:eastAsia="Symbol"/>
                <w:b/>
                <w:bCs/>
              </w:rPr>
            </w:pPr>
            <w:r>
              <w:rPr>
                <w:bCs/>
              </w:rPr>
              <w:t>Yes</w:t>
            </w:r>
          </w:p>
        </w:tc>
        <w:tc>
          <w:tcPr>
            <w:tcW w:w="1253" w:type="dxa"/>
            <w:shd w:val="clear" w:color="auto" w:fill="auto"/>
          </w:tcPr>
          <w:p w14:paraId="0EFCA108" w14:textId="77777777" w:rsidR="003E3D07" w:rsidRDefault="003E3D07">
            <w:pPr>
              <w:pStyle w:val="TableText"/>
              <w:rPr>
                <w:rFonts w:eastAsia="Symbol"/>
              </w:rPr>
            </w:pPr>
            <w:r>
              <w:t>D</w:t>
            </w:r>
          </w:p>
        </w:tc>
        <w:tc>
          <w:tcPr>
            <w:tcW w:w="1253" w:type="dxa"/>
            <w:shd w:val="clear" w:color="auto" w:fill="auto"/>
          </w:tcPr>
          <w:p w14:paraId="0CBA5899" w14:textId="77777777" w:rsidR="003E3D07" w:rsidRDefault="003E3D07">
            <w:pPr>
              <w:pStyle w:val="TableText"/>
              <w:rPr>
                <w:rFonts w:eastAsia="Symbol"/>
              </w:rPr>
            </w:pPr>
            <w:r>
              <w:t>D</w:t>
            </w:r>
          </w:p>
        </w:tc>
        <w:tc>
          <w:tcPr>
            <w:tcW w:w="1296" w:type="dxa"/>
            <w:shd w:val="clear" w:color="auto" w:fill="auto"/>
          </w:tcPr>
          <w:p w14:paraId="63E58AE5" w14:textId="77777777" w:rsidR="003E3D07" w:rsidRDefault="003E3D07">
            <w:pPr>
              <w:pStyle w:val="TableText"/>
              <w:rPr>
                <w:rFonts w:eastAsia="Symbol"/>
              </w:rPr>
            </w:pPr>
            <w:r>
              <w:t>13</w:t>
            </w:r>
          </w:p>
        </w:tc>
        <w:tc>
          <w:tcPr>
            <w:tcW w:w="1296" w:type="dxa"/>
            <w:shd w:val="clear" w:color="auto" w:fill="auto"/>
          </w:tcPr>
          <w:p w14:paraId="780E5E90" w14:textId="77777777" w:rsidR="003E3D07" w:rsidRDefault="003E3D07">
            <w:pPr>
              <w:pStyle w:val="TableText"/>
              <w:rPr>
                <w:rFonts w:eastAsia="Symbol"/>
              </w:rPr>
            </w:pPr>
            <w:r>
              <w:t>AGD</w:t>
            </w:r>
          </w:p>
        </w:tc>
      </w:tr>
      <w:tr w:rsidR="00824338" w14:paraId="774ED68D" w14:textId="77777777">
        <w:tblPrEx>
          <w:tblBorders>
            <w:insideH w:val="single" w:sz="4" w:space="0" w:color="auto"/>
            <w:insideV w:val="single" w:sz="4" w:space="0" w:color="auto"/>
          </w:tblBorders>
        </w:tblPrEx>
        <w:tc>
          <w:tcPr>
            <w:tcW w:w="1253" w:type="dxa"/>
            <w:shd w:val="clear" w:color="auto" w:fill="auto"/>
          </w:tcPr>
          <w:p w14:paraId="1542BA93" w14:textId="77777777" w:rsidR="003E3D07" w:rsidRDefault="003E3D07">
            <w:pPr>
              <w:pStyle w:val="TableText"/>
            </w:pPr>
            <w:r>
              <w:t>N/A</w:t>
            </w:r>
          </w:p>
        </w:tc>
        <w:tc>
          <w:tcPr>
            <w:tcW w:w="1253" w:type="dxa"/>
            <w:shd w:val="clear" w:color="auto" w:fill="auto"/>
          </w:tcPr>
          <w:p w14:paraId="3BFC4C34" w14:textId="77777777" w:rsidR="003E3D07" w:rsidRDefault="003E3D07">
            <w:pPr>
              <w:pStyle w:val="TableText"/>
            </w:pPr>
            <w:r>
              <w:t>N/A</w:t>
            </w:r>
          </w:p>
        </w:tc>
        <w:tc>
          <w:tcPr>
            <w:tcW w:w="878" w:type="dxa"/>
            <w:shd w:val="clear" w:color="auto" w:fill="auto"/>
          </w:tcPr>
          <w:p w14:paraId="59044693" w14:textId="77777777" w:rsidR="003E3D07" w:rsidRDefault="003E3D07">
            <w:pPr>
              <w:pStyle w:val="TableText"/>
              <w:rPr>
                <w:b/>
                <w:bCs/>
              </w:rPr>
            </w:pPr>
            <w:r>
              <w:t>N/A</w:t>
            </w:r>
          </w:p>
        </w:tc>
        <w:tc>
          <w:tcPr>
            <w:tcW w:w="878" w:type="dxa"/>
            <w:shd w:val="clear" w:color="auto" w:fill="auto"/>
          </w:tcPr>
          <w:p w14:paraId="14144D85" w14:textId="77777777" w:rsidR="003E3D07" w:rsidRDefault="003E3D07">
            <w:pPr>
              <w:pStyle w:val="TableText"/>
              <w:rPr>
                <w:b/>
                <w:bCs/>
              </w:rPr>
            </w:pPr>
            <w:r>
              <w:t>N/A</w:t>
            </w:r>
          </w:p>
        </w:tc>
        <w:tc>
          <w:tcPr>
            <w:tcW w:w="1253" w:type="dxa"/>
            <w:shd w:val="clear" w:color="auto" w:fill="auto"/>
          </w:tcPr>
          <w:p w14:paraId="69EEB22B" w14:textId="77777777" w:rsidR="003E3D07" w:rsidRDefault="003E3D07">
            <w:pPr>
              <w:pStyle w:val="TableText"/>
            </w:pPr>
            <w:r>
              <w:t>N/A</w:t>
            </w:r>
          </w:p>
        </w:tc>
        <w:tc>
          <w:tcPr>
            <w:tcW w:w="1253" w:type="dxa"/>
            <w:shd w:val="clear" w:color="auto" w:fill="auto"/>
          </w:tcPr>
          <w:p w14:paraId="05360712" w14:textId="77777777" w:rsidR="003E3D07" w:rsidRDefault="003E3D07">
            <w:pPr>
              <w:pStyle w:val="TableText"/>
            </w:pPr>
            <w:r>
              <w:t>N/A</w:t>
            </w:r>
          </w:p>
        </w:tc>
        <w:tc>
          <w:tcPr>
            <w:tcW w:w="1296" w:type="dxa"/>
            <w:shd w:val="clear" w:color="auto" w:fill="auto"/>
          </w:tcPr>
          <w:p w14:paraId="04BA0327" w14:textId="77777777" w:rsidR="003E3D07" w:rsidRDefault="003E3D07">
            <w:pPr>
              <w:pStyle w:val="TableText"/>
            </w:pPr>
            <w:r>
              <w:t>N/A</w:t>
            </w:r>
          </w:p>
        </w:tc>
        <w:tc>
          <w:tcPr>
            <w:tcW w:w="1296" w:type="dxa"/>
            <w:shd w:val="clear" w:color="auto" w:fill="auto"/>
          </w:tcPr>
          <w:p w14:paraId="6F1798D3" w14:textId="77777777" w:rsidR="003E3D07" w:rsidRDefault="003E3D07">
            <w:pPr>
              <w:pStyle w:val="TableText"/>
            </w:pPr>
            <w:r>
              <w:t>AGwD</w:t>
            </w:r>
          </w:p>
        </w:tc>
      </w:tr>
      <w:tr w:rsidR="00824338" w14:paraId="3C767DF3" w14:textId="77777777">
        <w:tblPrEx>
          <w:tblBorders>
            <w:insideH w:val="single" w:sz="4" w:space="0" w:color="auto"/>
            <w:insideV w:val="single" w:sz="4" w:space="0" w:color="auto"/>
          </w:tblBorders>
        </w:tblPrEx>
        <w:tc>
          <w:tcPr>
            <w:tcW w:w="1253" w:type="dxa"/>
            <w:shd w:val="clear" w:color="auto" w:fill="auto"/>
          </w:tcPr>
          <w:p w14:paraId="2689E1D3" w14:textId="77777777" w:rsidR="003E3D07" w:rsidRDefault="003E3D07">
            <w:pPr>
              <w:pStyle w:val="TableText"/>
              <w:rPr>
                <w:rFonts w:eastAsia="Symbol"/>
              </w:rPr>
            </w:pPr>
            <w:r>
              <w:t>Anti-C</w:t>
            </w:r>
          </w:p>
        </w:tc>
        <w:tc>
          <w:tcPr>
            <w:tcW w:w="1253" w:type="dxa"/>
            <w:shd w:val="clear" w:color="auto" w:fill="auto"/>
          </w:tcPr>
          <w:p w14:paraId="12A92636" w14:textId="77777777" w:rsidR="003E3D07" w:rsidRDefault="003E3D07">
            <w:pPr>
              <w:pStyle w:val="TableText"/>
              <w:rPr>
                <w:rFonts w:eastAsia="Symbol"/>
              </w:rPr>
            </w:pPr>
            <w:r>
              <w:t>Anti-C</w:t>
            </w:r>
          </w:p>
        </w:tc>
        <w:tc>
          <w:tcPr>
            <w:tcW w:w="878" w:type="dxa"/>
            <w:shd w:val="clear" w:color="auto" w:fill="auto"/>
          </w:tcPr>
          <w:p w14:paraId="7E2B8ED3" w14:textId="77777777" w:rsidR="003E3D07" w:rsidRDefault="003E3D07">
            <w:pPr>
              <w:pStyle w:val="TableText"/>
              <w:rPr>
                <w:b/>
                <w:bCs/>
              </w:rPr>
            </w:pPr>
            <w:r>
              <w:rPr>
                <w:bCs/>
              </w:rPr>
              <w:t>Yes</w:t>
            </w:r>
          </w:p>
        </w:tc>
        <w:tc>
          <w:tcPr>
            <w:tcW w:w="878" w:type="dxa"/>
            <w:shd w:val="clear" w:color="auto" w:fill="auto"/>
          </w:tcPr>
          <w:p w14:paraId="6813311B" w14:textId="77777777" w:rsidR="003E3D07" w:rsidRDefault="003E3D07">
            <w:pPr>
              <w:pStyle w:val="TableText"/>
              <w:rPr>
                <w:rFonts w:eastAsia="Symbol"/>
                <w:b/>
                <w:bCs/>
              </w:rPr>
            </w:pPr>
            <w:r>
              <w:rPr>
                <w:bCs/>
              </w:rPr>
              <w:t>Yes</w:t>
            </w:r>
          </w:p>
        </w:tc>
        <w:tc>
          <w:tcPr>
            <w:tcW w:w="1253" w:type="dxa"/>
            <w:shd w:val="clear" w:color="auto" w:fill="auto"/>
          </w:tcPr>
          <w:p w14:paraId="434FCDC6" w14:textId="77777777" w:rsidR="003E3D07" w:rsidRDefault="003E3D07">
            <w:pPr>
              <w:pStyle w:val="TableText"/>
              <w:rPr>
                <w:rFonts w:eastAsia="Symbol"/>
              </w:rPr>
            </w:pPr>
            <w:r>
              <w:t>C</w:t>
            </w:r>
          </w:p>
        </w:tc>
        <w:tc>
          <w:tcPr>
            <w:tcW w:w="1253" w:type="dxa"/>
            <w:shd w:val="clear" w:color="auto" w:fill="auto"/>
          </w:tcPr>
          <w:p w14:paraId="6795ED29" w14:textId="77777777" w:rsidR="003E3D07" w:rsidRDefault="003E3D07">
            <w:pPr>
              <w:pStyle w:val="TableText"/>
              <w:rPr>
                <w:rFonts w:eastAsia="Symbol"/>
              </w:rPr>
            </w:pPr>
            <w:r>
              <w:t>C</w:t>
            </w:r>
          </w:p>
        </w:tc>
        <w:tc>
          <w:tcPr>
            <w:tcW w:w="1296" w:type="dxa"/>
            <w:shd w:val="clear" w:color="auto" w:fill="auto"/>
          </w:tcPr>
          <w:p w14:paraId="7DB81BA0" w14:textId="77777777" w:rsidR="003E3D07" w:rsidRDefault="003E3D07">
            <w:pPr>
              <w:pStyle w:val="TableText"/>
              <w:rPr>
                <w:rFonts w:eastAsia="Symbol"/>
              </w:rPr>
            </w:pPr>
            <w:r>
              <w:t>53</w:t>
            </w:r>
          </w:p>
        </w:tc>
        <w:tc>
          <w:tcPr>
            <w:tcW w:w="1296" w:type="dxa"/>
            <w:shd w:val="clear" w:color="auto" w:fill="auto"/>
          </w:tcPr>
          <w:p w14:paraId="1B08D23F" w14:textId="77777777" w:rsidR="003E3D07" w:rsidRDefault="003E3D07">
            <w:pPr>
              <w:pStyle w:val="TableText"/>
              <w:rPr>
                <w:rFonts w:eastAsia="Symbol"/>
              </w:rPr>
            </w:pPr>
            <w:r>
              <w:t>AGC</w:t>
            </w:r>
          </w:p>
        </w:tc>
      </w:tr>
      <w:tr w:rsidR="00824338" w14:paraId="60CE930B" w14:textId="77777777">
        <w:tblPrEx>
          <w:tblBorders>
            <w:insideH w:val="single" w:sz="4" w:space="0" w:color="auto"/>
            <w:insideV w:val="single" w:sz="4" w:space="0" w:color="auto"/>
          </w:tblBorders>
        </w:tblPrEx>
        <w:tc>
          <w:tcPr>
            <w:tcW w:w="1253" w:type="dxa"/>
            <w:shd w:val="clear" w:color="auto" w:fill="auto"/>
          </w:tcPr>
          <w:p w14:paraId="28CA9C8F" w14:textId="77777777" w:rsidR="003E3D07" w:rsidRDefault="003E3D07">
            <w:pPr>
              <w:pStyle w:val="TableText"/>
              <w:rPr>
                <w:rFonts w:eastAsia="Symbol"/>
              </w:rPr>
            </w:pPr>
            <w:r>
              <w:t>Anti-E</w:t>
            </w:r>
          </w:p>
        </w:tc>
        <w:tc>
          <w:tcPr>
            <w:tcW w:w="1253" w:type="dxa"/>
            <w:shd w:val="clear" w:color="auto" w:fill="auto"/>
          </w:tcPr>
          <w:p w14:paraId="7FE4E626" w14:textId="77777777" w:rsidR="003E3D07" w:rsidRDefault="003E3D07">
            <w:pPr>
              <w:pStyle w:val="TableText"/>
              <w:rPr>
                <w:rFonts w:eastAsia="Symbol"/>
              </w:rPr>
            </w:pPr>
            <w:r>
              <w:t>Anti-E</w:t>
            </w:r>
          </w:p>
        </w:tc>
        <w:tc>
          <w:tcPr>
            <w:tcW w:w="878" w:type="dxa"/>
            <w:shd w:val="clear" w:color="auto" w:fill="auto"/>
          </w:tcPr>
          <w:p w14:paraId="0B5E3598" w14:textId="77777777" w:rsidR="003E3D07" w:rsidRDefault="003E3D07">
            <w:pPr>
              <w:pStyle w:val="TableText"/>
              <w:rPr>
                <w:b/>
                <w:bCs/>
              </w:rPr>
            </w:pPr>
            <w:r>
              <w:rPr>
                <w:bCs/>
              </w:rPr>
              <w:t>Yes</w:t>
            </w:r>
          </w:p>
        </w:tc>
        <w:tc>
          <w:tcPr>
            <w:tcW w:w="878" w:type="dxa"/>
            <w:shd w:val="clear" w:color="auto" w:fill="auto"/>
          </w:tcPr>
          <w:p w14:paraId="383AD060" w14:textId="77777777" w:rsidR="003E3D07" w:rsidRDefault="003E3D07">
            <w:pPr>
              <w:pStyle w:val="TableText"/>
              <w:rPr>
                <w:rFonts w:eastAsia="Symbol"/>
                <w:b/>
                <w:bCs/>
              </w:rPr>
            </w:pPr>
            <w:r>
              <w:rPr>
                <w:bCs/>
              </w:rPr>
              <w:t>Yes</w:t>
            </w:r>
          </w:p>
        </w:tc>
        <w:tc>
          <w:tcPr>
            <w:tcW w:w="1253" w:type="dxa"/>
            <w:shd w:val="clear" w:color="auto" w:fill="auto"/>
          </w:tcPr>
          <w:p w14:paraId="4358C9A4" w14:textId="77777777" w:rsidR="003E3D07" w:rsidRDefault="003E3D07">
            <w:pPr>
              <w:pStyle w:val="TableText"/>
              <w:rPr>
                <w:rFonts w:eastAsia="Symbol"/>
              </w:rPr>
            </w:pPr>
            <w:r>
              <w:t>E</w:t>
            </w:r>
          </w:p>
        </w:tc>
        <w:tc>
          <w:tcPr>
            <w:tcW w:w="1253" w:type="dxa"/>
            <w:shd w:val="clear" w:color="auto" w:fill="auto"/>
          </w:tcPr>
          <w:p w14:paraId="403C7F74" w14:textId="77777777" w:rsidR="003E3D07" w:rsidRDefault="003E3D07">
            <w:pPr>
              <w:pStyle w:val="TableText"/>
              <w:rPr>
                <w:rFonts w:eastAsia="Symbol"/>
              </w:rPr>
            </w:pPr>
            <w:r>
              <w:t>E</w:t>
            </w:r>
          </w:p>
        </w:tc>
        <w:tc>
          <w:tcPr>
            <w:tcW w:w="1296" w:type="dxa"/>
            <w:shd w:val="clear" w:color="auto" w:fill="auto"/>
          </w:tcPr>
          <w:p w14:paraId="6BF26E0A" w14:textId="77777777" w:rsidR="003E3D07" w:rsidRDefault="003E3D07">
            <w:pPr>
              <w:pStyle w:val="TableText"/>
              <w:rPr>
                <w:rFonts w:eastAsia="Symbol"/>
              </w:rPr>
            </w:pPr>
            <w:r>
              <w:t>75</w:t>
            </w:r>
          </w:p>
        </w:tc>
        <w:tc>
          <w:tcPr>
            <w:tcW w:w="1296" w:type="dxa"/>
            <w:shd w:val="clear" w:color="auto" w:fill="auto"/>
          </w:tcPr>
          <w:p w14:paraId="4E745ADC" w14:textId="77777777" w:rsidR="003E3D07" w:rsidRDefault="003E3D07">
            <w:pPr>
              <w:pStyle w:val="TableText"/>
              <w:rPr>
                <w:rFonts w:eastAsia="Symbol"/>
              </w:rPr>
            </w:pPr>
            <w:r>
              <w:t>AGE</w:t>
            </w:r>
          </w:p>
        </w:tc>
      </w:tr>
      <w:tr w:rsidR="00824338" w14:paraId="060D2408" w14:textId="77777777">
        <w:tblPrEx>
          <w:tblBorders>
            <w:insideH w:val="single" w:sz="4" w:space="0" w:color="auto"/>
            <w:insideV w:val="single" w:sz="4" w:space="0" w:color="auto"/>
          </w:tblBorders>
        </w:tblPrEx>
        <w:tc>
          <w:tcPr>
            <w:tcW w:w="1253" w:type="dxa"/>
            <w:shd w:val="clear" w:color="auto" w:fill="auto"/>
          </w:tcPr>
          <w:p w14:paraId="6FEC0720" w14:textId="77777777" w:rsidR="003E3D07" w:rsidRDefault="003E3D07">
            <w:pPr>
              <w:pStyle w:val="TableText"/>
              <w:rPr>
                <w:rFonts w:eastAsia="Symbol"/>
              </w:rPr>
            </w:pPr>
            <w:r>
              <w:t>Anti-c</w:t>
            </w:r>
          </w:p>
        </w:tc>
        <w:tc>
          <w:tcPr>
            <w:tcW w:w="1253" w:type="dxa"/>
            <w:shd w:val="clear" w:color="auto" w:fill="auto"/>
          </w:tcPr>
          <w:p w14:paraId="4CDA59AD" w14:textId="77777777" w:rsidR="003E3D07" w:rsidRDefault="003E3D07">
            <w:pPr>
              <w:pStyle w:val="TableText"/>
              <w:rPr>
                <w:rFonts w:eastAsia="Symbol"/>
              </w:rPr>
            </w:pPr>
            <w:r>
              <w:t>Anti-c</w:t>
            </w:r>
          </w:p>
        </w:tc>
        <w:tc>
          <w:tcPr>
            <w:tcW w:w="878" w:type="dxa"/>
            <w:shd w:val="clear" w:color="auto" w:fill="auto"/>
          </w:tcPr>
          <w:p w14:paraId="6FAF0FD8" w14:textId="77777777" w:rsidR="003E3D07" w:rsidRDefault="003E3D07">
            <w:pPr>
              <w:pStyle w:val="TableText"/>
              <w:rPr>
                <w:b/>
                <w:bCs/>
              </w:rPr>
            </w:pPr>
            <w:r>
              <w:rPr>
                <w:bCs/>
              </w:rPr>
              <w:t>Yes</w:t>
            </w:r>
          </w:p>
        </w:tc>
        <w:tc>
          <w:tcPr>
            <w:tcW w:w="878" w:type="dxa"/>
            <w:shd w:val="clear" w:color="auto" w:fill="auto"/>
          </w:tcPr>
          <w:p w14:paraId="29FFD50B" w14:textId="77777777" w:rsidR="003E3D07" w:rsidRDefault="003E3D07">
            <w:pPr>
              <w:pStyle w:val="TableText"/>
              <w:rPr>
                <w:rFonts w:eastAsia="Symbol"/>
                <w:b/>
                <w:bCs/>
              </w:rPr>
            </w:pPr>
            <w:r>
              <w:rPr>
                <w:bCs/>
              </w:rPr>
              <w:t>Yes</w:t>
            </w:r>
          </w:p>
        </w:tc>
        <w:tc>
          <w:tcPr>
            <w:tcW w:w="1253" w:type="dxa"/>
            <w:shd w:val="clear" w:color="auto" w:fill="auto"/>
          </w:tcPr>
          <w:p w14:paraId="569CDF56" w14:textId="77777777" w:rsidR="003E3D07" w:rsidRDefault="003E3D07">
            <w:pPr>
              <w:pStyle w:val="TableText"/>
              <w:rPr>
                <w:rFonts w:eastAsia="Symbol"/>
              </w:rPr>
            </w:pPr>
            <w:r>
              <w:t>c</w:t>
            </w:r>
          </w:p>
        </w:tc>
        <w:tc>
          <w:tcPr>
            <w:tcW w:w="1253" w:type="dxa"/>
            <w:shd w:val="clear" w:color="auto" w:fill="auto"/>
          </w:tcPr>
          <w:p w14:paraId="5B30C600" w14:textId="77777777" w:rsidR="003E3D07" w:rsidRDefault="003E3D07">
            <w:pPr>
              <w:pStyle w:val="TableText"/>
              <w:rPr>
                <w:rFonts w:eastAsia="Symbol"/>
              </w:rPr>
            </w:pPr>
            <w:r>
              <w:t>c</w:t>
            </w:r>
          </w:p>
        </w:tc>
        <w:tc>
          <w:tcPr>
            <w:tcW w:w="1296" w:type="dxa"/>
            <w:shd w:val="clear" w:color="auto" w:fill="auto"/>
          </w:tcPr>
          <w:p w14:paraId="7928CD15" w14:textId="77777777" w:rsidR="003E3D07" w:rsidRDefault="003E3D07">
            <w:pPr>
              <w:pStyle w:val="TableText"/>
              <w:rPr>
                <w:rFonts w:eastAsia="Symbol"/>
              </w:rPr>
            </w:pPr>
            <w:r>
              <w:t>12</w:t>
            </w:r>
          </w:p>
        </w:tc>
        <w:tc>
          <w:tcPr>
            <w:tcW w:w="1296" w:type="dxa"/>
            <w:shd w:val="clear" w:color="auto" w:fill="auto"/>
          </w:tcPr>
          <w:p w14:paraId="2D508BBA" w14:textId="77777777" w:rsidR="003E3D07" w:rsidRDefault="003E3D07">
            <w:pPr>
              <w:pStyle w:val="TableText"/>
              <w:rPr>
                <w:rFonts w:eastAsia="Symbol"/>
              </w:rPr>
            </w:pPr>
            <w:r>
              <w:t>AGc</w:t>
            </w:r>
          </w:p>
        </w:tc>
      </w:tr>
      <w:tr w:rsidR="00824338" w14:paraId="0563970B" w14:textId="77777777">
        <w:tblPrEx>
          <w:tblBorders>
            <w:insideH w:val="single" w:sz="4" w:space="0" w:color="auto"/>
            <w:insideV w:val="single" w:sz="4" w:space="0" w:color="auto"/>
          </w:tblBorders>
        </w:tblPrEx>
        <w:tc>
          <w:tcPr>
            <w:tcW w:w="1253" w:type="dxa"/>
            <w:shd w:val="clear" w:color="auto" w:fill="auto"/>
          </w:tcPr>
          <w:p w14:paraId="412C08FE" w14:textId="77777777" w:rsidR="003E3D07" w:rsidRDefault="003E3D07">
            <w:pPr>
              <w:pStyle w:val="TableText"/>
              <w:rPr>
                <w:rFonts w:eastAsia="Symbol"/>
              </w:rPr>
            </w:pPr>
            <w:r>
              <w:t>Anti-e</w:t>
            </w:r>
          </w:p>
        </w:tc>
        <w:tc>
          <w:tcPr>
            <w:tcW w:w="1253" w:type="dxa"/>
            <w:shd w:val="clear" w:color="auto" w:fill="auto"/>
          </w:tcPr>
          <w:p w14:paraId="5161DA0E" w14:textId="77777777" w:rsidR="003E3D07" w:rsidRDefault="003E3D07">
            <w:pPr>
              <w:pStyle w:val="TableText"/>
              <w:rPr>
                <w:rFonts w:eastAsia="Symbol"/>
              </w:rPr>
            </w:pPr>
            <w:r>
              <w:t>Anti-e</w:t>
            </w:r>
          </w:p>
        </w:tc>
        <w:tc>
          <w:tcPr>
            <w:tcW w:w="878" w:type="dxa"/>
            <w:shd w:val="clear" w:color="auto" w:fill="auto"/>
          </w:tcPr>
          <w:p w14:paraId="31F72680" w14:textId="77777777" w:rsidR="003E3D07" w:rsidRDefault="003E3D07">
            <w:pPr>
              <w:pStyle w:val="TableText"/>
              <w:rPr>
                <w:b/>
                <w:bCs/>
              </w:rPr>
            </w:pPr>
            <w:r>
              <w:rPr>
                <w:bCs/>
              </w:rPr>
              <w:t>Yes</w:t>
            </w:r>
          </w:p>
        </w:tc>
        <w:tc>
          <w:tcPr>
            <w:tcW w:w="878" w:type="dxa"/>
            <w:shd w:val="clear" w:color="auto" w:fill="auto"/>
          </w:tcPr>
          <w:p w14:paraId="718CC70D" w14:textId="77777777" w:rsidR="003E3D07" w:rsidRDefault="003E3D07">
            <w:pPr>
              <w:pStyle w:val="TableText"/>
              <w:rPr>
                <w:rFonts w:eastAsia="Symbol"/>
                <w:b/>
                <w:bCs/>
              </w:rPr>
            </w:pPr>
            <w:r>
              <w:rPr>
                <w:bCs/>
              </w:rPr>
              <w:t>Yes</w:t>
            </w:r>
          </w:p>
        </w:tc>
        <w:tc>
          <w:tcPr>
            <w:tcW w:w="1253" w:type="dxa"/>
            <w:shd w:val="clear" w:color="auto" w:fill="auto"/>
          </w:tcPr>
          <w:p w14:paraId="40BD33A9" w14:textId="77777777" w:rsidR="003E3D07" w:rsidRDefault="003E3D07">
            <w:pPr>
              <w:pStyle w:val="TableText"/>
              <w:rPr>
                <w:rFonts w:eastAsia="Symbol"/>
              </w:rPr>
            </w:pPr>
            <w:r>
              <w:t>e</w:t>
            </w:r>
          </w:p>
        </w:tc>
        <w:tc>
          <w:tcPr>
            <w:tcW w:w="1253" w:type="dxa"/>
            <w:shd w:val="clear" w:color="auto" w:fill="auto"/>
          </w:tcPr>
          <w:p w14:paraId="3573B0A3" w14:textId="77777777" w:rsidR="003E3D07" w:rsidRDefault="003E3D07">
            <w:pPr>
              <w:pStyle w:val="TableText"/>
              <w:rPr>
                <w:rFonts w:eastAsia="Symbol"/>
              </w:rPr>
            </w:pPr>
            <w:r>
              <w:t>e</w:t>
            </w:r>
          </w:p>
        </w:tc>
        <w:tc>
          <w:tcPr>
            <w:tcW w:w="1296" w:type="dxa"/>
            <w:shd w:val="clear" w:color="auto" w:fill="auto"/>
          </w:tcPr>
          <w:p w14:paraId="324C39AD" w14:textId="77777777" w:rsidR="003E3D07" w:rsidRDefault="003E3D07">
            <w:pPr>
              <w:pStyle w:val="TableText"/>
              <w:rPr>
                <w:rFonts w:eastAsia="Symbol"/>
              </w:rPr>
            </w:pPr>
            <w:r>
              <w:t>2</w:t>
            </w:r>
          </w:p>
        </w:tc>
        <w:tc>
          <w:tcPr>
            <w:tcW w:w="1296" w:type="dxa"/>
            <w:shd w:val="clear" w:color="auto" w:fill="auto"/>
          </w:tcPr>
          <w:p w14:paraId="314D813C" w14:textId="77777777" w:rsidR="003E3D07" w:rsidRDefault="003E3D07">
            <w:pPr>
              <w:pStyle w:val="TableText"/>
              <w:rPr>
                <w:rFonts w:eastAsia="Symbol"/>
              </w:rPr>
            </w:pPr>
            <w:r>
              <w:t>AGe</w:t>
            </w:r>
          </w:p>
        </w:tc>
      </w:tr>
      <w:tr w:rsidR="00824338" w14:paraId="582E595A" w14:textId="77777777">
        <w:tblPrEx>
          <w:tblBorders>
            <w:insideH w:val="single" w:sz="4" w:space="0" w:color="auto"/>
            <w:insideV w:val="single" w:sz="4" w:space="0" w:color="auto"/>
          </w:tblBorders>
        </w:tblPrEx>
        <w:tc>
          <w:tcPr>
            <w:tcW w:w="1253" w:type="dxa"/>
            <w:shd w:val="clear" w:color="auto" w:fill="auto"/>
          </w:tcPr>
          <w:p w14:paraId="194B37AF" w14:textId="77777777" w:rsidR="003E3D07" w:rsidRDefault="003E3D07">
            <w:pPr>
              <w:pStyle w:val="TableText"/>
            </w:pPr>
            <w:r>
              <w:t>Anti-f</w:t>
            </w:r>
          </w:p>
          <w:p w14:paraId="58A635F8" w14:textId="76C4853A" w:rsidR="007408F1" w:rsidRDefault="007408F1">
            <w:pPr>
              <w:pStyle w:val="TableText"/>
              <w:rPr>
                <w:rFonts w:eastAsia="Symbol"/>
              </w:rPr>
            </w:pPr>
            <w:r>
              <w:t>(See FAQ Compound Antibodies)</w:t>
            </w:r>
          </w:p>
        </w:tc>
        <w:tc>
          <w:tcPr>
            <w:tcW w:w="1253" w:type="dxa"/>
            <w:shd w:val="clear" w:color="auto" w:fill="auto"/>
          </w:tcPr>
          <w:p w14:paraId="7B71550A" w14:textId="77777777" w:rsidR="003E3D07" w:rsidRDefault="003E3D07">
            <w:pPr>
              <w:pStyle w:val="TableText"/>
              <w:rPr>
                <w:rFonts w:eastAsia="Symbol"/>
              </w:rPr>
            </w:pPr>
            <w:r>
              <w:t>Anti-f</w:t>
            </w:r>
          </w:p>
        </w:tc>
        <w:tc>
          <w:tcPr>
            <w:tcW w:w="878" w:type="dxa"/>
            <w:shd w:val="clear" w:color="auto" w:fill="auto"/>
          </w:tcPr>
          <w:p w14:paraId="45D85AB1" w14:textId="77777777" w:rsidR="003E3D07" w:rsidRDefault="003E3D07">
            <w:pPr>
              <w:pStyle w:val="TableText"/>
              <w:rPr>
                <w:b/>
                <w:bCs/>
              </w:rPr>
            </w:pPr>
            <w:r>
              <w:rPr>
                <w:bCs/>
              </w:rPr>
              <w:t>Yes</w:t>
            </w:r>
          </w:p>
        </w:tc>
        <w:tc>
          <w:tcPr>
            <w:tcW w:w="878" w:type="dxa"/>
            <w:shd w:val="clear" w:color="auto" w:fill="auto"/>
          </w:tcPr>
          <w:p w14:paraId="181C0E19" w14:textId="77777777" w:rsidR="003E3D07" w:rsidRDefault="003E3D07">
            <w:pPr>
              <w:pStyle w:val="TableText"/>
              <w:rPr>
                <w:rFonts w:eastAsia="Symbol"/>
                <w:b/>
                <w:bCs/>
              </w:rPr>
            </w:pPr>
            <w:r>
              <w:rPr>
                <w:bCs/>
              </w:rPr>
              <w:t>Yes</w:t>
            </w:r>
          </w:p>
        </w:tc>
        <w:tc>
          <w:tcPr>
            <w:tcW w:w="1253" w:type="dxa"/>
            <w:shd w:val="clear" w:color="auto" w:fill="auto"/>
          </w:tcPr>
          <w:p w14:paraId="075587BD" w14:textId="77777777" w:rsidR="003E3D07" w:rsidRDefault="003E3D07">
            <w:pPr>
              <w:pStyle w:val="TableText"/>
              <w:rPr>
                <w:rFonts w:eastAsia="Symbol"/>
              </w:rPr>
            </w:pPr>
            <w:r>
              <w:t>c and e</w:t>
            </w:r>
          </w:p>
        </w:tc>
        <w:tc>
          <w:tcPr>
            <w:tcW w:w="1253" w:type="dxa"/>
            <w:shd w:val="clear" w:color="auto" w:fill="auto"/>
          </w:tcPr>
          <w:p w14:paraId="7745090A" w14:textId="77777777" w:rsidR="003E3D07" w:rsidRDefault="003E3D07">
            <w:pPr>
              <w:pStyle w:val="TableText"/>
              <w:rPr>
                <w:rFonts w:eastAsia="Symbol"/>
              </w:rPr>
            </w:pPr>
            <w:r>
              <w:t>f</w:t>
            </w:r>
          </w:p>
        </w:tc>
        <w:tc>
          <w:tcPr>
            <w:tcW w:w="1296" w:type="dxa"/>
            <w:shd w:val="clear" w:color="auto" w:fill="auto"/>
          </w:tcPr>
          <w:p w14:paraId="2E78CB5B" w14:textId="77777777" w:rsidR="003E3D07" w:rsidRDefault="003E3D07">
            <w:pPr>
              <w:pStyle w:val="TableText"/>
              <w:rPr>
                <w:rFonts w:eastAsia="Symbol"/>
              </w:rPr>
            </w:pPr>
            <w:r>
              <w:t>N/A</w:t>
            </w:r>
          </w:p>
        </w:tc>
        <w:tc>
          <w:tcPr>
            <w:tcW w:w="1296" w:type="dxa"/>
            <w:shd w:val="clear" w:color="auto" w:fill="auto"/>
          </w:tcPr>
          <w:p w14:paraId="6B1E2C4F" w14:textId="77777777" w:rsidR="003E3D07" w:rsidRDefault="003E3D07">
            <w:pPr>
              <w:pStyle w:val="TableText"/>
            </w:pPr>
            <w:r>
              <w:t>AGc</w:t>
            </w:r>
          </w:p>
          <w:p w14:paraId="7F96D31F" w14:textId="77777777" w:rsidR="003E3D07" w:rsidRDefault="003E3D07">
            <w:pPr>
              <w:pStyle w:val="TableText"/>
              <w:rPr>
                <w:rFonts w:eastAsia="Symbol"/>
              </w:rPr>
            </w:pPr>
            <w:r>
              <w:t>AGe</w:t>
            </w:r>
          </w:p>
        </w:tc>
      </w:tr>
      <w:tr w:rsidR="00824338" w14:paraId="5A7FA011" w14:textId="77777777">
        <w:tblPrEx>
          <w:tblBorders>
            <w:insideH w:val="single" w:sz="4" w:space="0" w:color="auto"/>
            <w:insideV w:val="single" w:sz="4" w:space="0" w:color="auto"/>
          </w:tblBorders>
        </w:tblPrEx>
        <w:tc>
          <w:tcPr>
            <w:tcW w:w="1253" w:type="dxa"/>
            <w:shd w:val="clear" w:color="auto" w:fill="auto"/>
          </w:tcPr>
          <w:p w14:paraId="0526ACBD" w14:textId="77777777" w:rsidR="003E3D07" w:rsidRDefault="003E3D07">
            <w:pPr>
              <w:pStyle w:val="TableText"/>
              <w:rPr>
                <w:rFonts w:eastAsia="Symbol"/>
              </w:rPr>
            </w:pPr>
            <w:r>
              <w:t>Anti-G</w:t>
            </w:r>
          </w:p>
        </w:tc>
        <w:tc>
          <w:tcPr>
            <w:tcW w:w="1253" w:type="dxa"/>
            <w:shd w:val="clear" w:color="auto" w:fill="auto"/>
          </w:tcPr>
          <w:p w14:paraId="37BD765F" w14:textId="77777777" w:rsidR="003E3D07" w:rsidRDefault="003E3D07">
            <w:pPr>
              <w:pStyle w:val="TableText"/>
              <w:rPr>
                <w:rFonts w:eastAsia="Symbol"/>
              </w:rPr>
            </w:pPr>
            <w:r>
              <w:t>Anti-G</w:t>
            </w:r>
          </w:p>
        </w:tc>
        <w:tc>
          <w:tcPr>
            <w:tcW w:w="878" w:type="dxa"/>
            <w:shd w:val="clear" w:color="auto" w:fill="auto"/>
          </w:tcPr>
          <w:p w14:paraId="7A72FEB0" w14:textId="77777777" w:rsidR="003E3D07" w:rsidRDefault="003E3D07">
            <w:pPr>
              <w:pStyle w:val="TableText"/>
              <w:rPr>
                <w:b/>
                <w:bCs/>
              </w:rPr>
            </w:pPr>
            <w:r>
              <w:rPr>
                <w:bCs/>
              </w:rPr>
              <w:t>Yes</w:t>
            </w:r>
          </w:p>
        </w:tc>
        <w:tc>
          <w:tcPr>
            <w:tcW w:w="878" w:type="dxa"/>
            <w:shd w:val="clear" w:color="auto" w:fill="auto"/>
          </w:tcPr>
          <w:p w14:paraId="28A1A086" w14:textId="77777777" w:rsidR="003E3D07" w:rsidRDefault="003E3D07">
            <w:pPr>
              <w:pStyle w:val="TableText"/>
              <w:rPr>
                <w:rFonts w:eastAsia="Symbol"/>
                <w:b/>
                <w:bCs/>
              </w:rPr>
            </w:pPr>
            <w:r>
              <w:rPr>
                <w:bCs/>
              </w:rPr>
              <w:t>Yes</w:t>
            </w:r>
          </w:p>
        </w:tc>
        <w:tc>
          <w:tcPr>
            <w:tcW w:w="1253" w:type="dxa"/>
            <w:shd w:val="clear" w:color="auto" w:fill="auto"/>
          </w:tcPr>
          <w:p w14:paraId="5B97EE73" w14:textId="77777777" w:rsidR="003E3D07" w:rsidRDefault="003E3D07">
            <w:pPr>
              <w:pStyle w:val="TableText"/>
              <w:rPr>
                <w:rFonts w:eastAsia="Symbol"/>
              </w:rPr>
            </w:pPr>
            <w:r>
              <w:rPr>
                <w:rFonts w:eastAsia="Symbol"/>
              </w:rPr>
              <w:t>C and D</w:t>
            </w:r>
          </w:p>
        </w:tc>
        <w:tc>
          <w:tcPr>
            <w:tcW w:w="1253" w:type="dxa"/>
            <w:shd w:val="clear" w:color="auto" w:fill="auto"/>
          </w:tcPr>
          <w:p w14:paraId="6EA38D56" w14:textId="77777777" w:rsidR="003E3D07" w:rsidRDefault="003E3D07">
            <w:pPr>
              <w:pStyle w:val="TableText"/>
              <w:rPr>
                <w:rFonts w:eastAsia="Symbol"/>
              </w:rPr>
            </w:pPr>
            <w:r>
              <w:t>G</w:t>
            </w:r>
          </w:p>
        </w:tc>
        <w:tc>
          <w:tcPr>
            <w:tcW w:w="1296" w:type="dxa"/>
            <w:shd w:val="clear" w:color="auto" w:fill="auto"/>
          </w:tcPr>
          <w:p w14:paraId="13721B19" w14:textId="77777777" w:rsidR="003E3D07" w:rsidRDefault="003E3D07">
            <w:pPr>
              <w:pStyle w:val="TableText"/>
              <w:rPr>
                <w:rFonts w:eastAsia="Symbol"/>
              </w:rPr>
            </w:pPr>
            <w:r>
              <w:t>N/A</w:t>
            </w:r>
          </w:p>
        </w:tc>
        <w:tc>
          <w:tcPr>
            <w:tcW w:w="1296" w:type="dxa"/>
            <w:shd w:val="clear" w:color="auto" w:fill="auto"/>
          </w:tcPr>
          <w:p w14:paraId="1B86557E" w14:textId="77777777" w:rsidR="003E3D07" w:rsidRDefault="003E3D07">
            <w:pPr>
              <w:pStyle w:val="TableText"/>
            </w:pPr>
            <w:r>
              <w:t>AGD</w:t>
            </w:r>
          </w:p>
          <w:p w14:paraId="0B8A7A39" w14:textId="77777777" w:rsidR="003E3D07" w:rsidRDefault="003E3D07">
            <w:pPr>
              <w:pStyle w:val="TableText"/>
              <w:rPr>
                <w:rFonts w:eastAsia="Symbol"/>
              </w:rPr>
            </w:pPr>
            <w:r>
              <w:t>AGC</w:t>
            </w:r>
          </w:p>
        </w:tc>
      </w:tr>
      <w:tr w:rsidR="00824338" w14:paraId="15659884" w14:textId="77777777">
        <w:tblPrEx>
          <w:tblBorders>
            <w:insideH w:val="single" w:sz="4" w:space="0" w:color="auto"/>
            <w:insideV w:val="single" w:sz="4" w:space="0" w:color="auto"/>
          </w:tblBorders>
        </w:tblPrEx>
        <w:tc>
          <w:tcPr>
            <w:tcW w:w="1253" w:type="dxa"/>
            <w:shd w:val="clear" w:color="auto" w:fill="auto"/>
          </w:tcPr>
          <w:p w14:paraId="6D2C9154" w14:textId="77777777" w:rsidR="003E3D07" w:rsidRDefault="003E3D07">
            <w:pPr>
              <w:pStyle w:val="TableText"/>
              <w:rPr>
                <w:rFonts w:eastAsia="Symbol"/>
              </w:rPr>
            </w:pPr>
            <w:r>
              <w:t>Anti-K</w:t>
            </w:r>
          </w:p>
        </w:tc>
        <w:tc>
          <w:tcPr>
            <w:tcW w:w="1253" w:type="dxa"/>
            <w:shd w:val="clear" w:color="auto" w:fill="auto"/>
          </w:tcPr>
          <w:p w14:paraId="61D02598" w14:textId="77777777" w:rsidR="003E3D07" w:rsidRDefault="003E3D07">
            <w:pPr>
              <w:pStyle w:val="TableText"/>
              <w:rPr>
                <w:b/>
                <w:bCs/>
              </w:rPr>
            </w:pPr>
            <w:r>
              <w:t>Anti-K</w:t>
            </w:r>
          </w:p>
        </w:tc>
        <w:tc>
          <w:tcPr>
            <w:tcW w:w="878" w:type="dxa"/>
            <w:shd w:val="clear" w:color="auto" w:fill="auto"/>
          </w:tcPr>
          <w:p w14:paraId="093F2F95" w14:textId="77777777" w:rsidR="003E3D07" w:rsidRDefault="003E3D07">
            <w:pPr>
              <w:pStyle w:val="TableText"/>
              <w:rPr>
                <w:b/>
                <w:bCs/>
              </w:rPr>
            </w:pPr>
            <w:r>
              <w:rPr>
                <w:bCs/>
              </w:rPr>
              <w:t>Yes</w:t>
            </w:r>
          </w:p>
        </w:tc>
        <w:tc>
          <w:tcPr>
            <w:tcW w:w="878" w:type="dxa"/>
            <w:shd w:val="clear" w:color="auto" w:fill="auto"/>
          </w:tcPr>
          <w:p w14:paraId="5811282A" w14:textId="77777777" w:rsidR="003E3D07" w:rsidRDefault="003E3D07">
            <w:pPr>
              <w:pStyle w:val="TableText"/>
              <w:rPr>
                <w:rFonts w:eastAsia="Symbol"/>
                <w:b/>
                <w:bCs/>
              </w:rPr>
            </w:pPr>
            <w:r>
              <w:rPr>
                <w:bCs/>
              </w:rPr>
              <w:t>Yes</w:t>
            </w:r>
          </w:p>
        </w:tc>
        <w:tc>
          <w:tcPr>
            <w:tcW w:w="1253" w:type="dxa"/>
            <w:shd w:val="clear" w:color="auto" w:fill="auto"/>
          </w:tcPr>
          <w:p w14:paraId="253EC693" w14:textId="77777777" w:rsidR="003E3D07" w:rsidRDefault="003E3D07">
            <w:pPr>
              <w:pStyle w:val="TableText"/>
              <w:rPr>
                <w:rFonts w:eastAsia="Symbol"/>
              </w:rPr>
            </w:pPr>
            <w:r>
              <w:t>K</w:t>
            </w:r>
          </w:p>
        </w:tc>
        <w:tc>
          <w:tcPr>
            <w:tcW w:w="1253" w:type="dxa"/>
            <w:shd w:val="clear" w:color="auto" w:fill="auto"/>
          </w:tcPr>
          <w:p w14:paraId="7454BDC8" w14:textId="77777777" w:rsidR="003E3D07" w:rsidRDefault="003E3D07">
            <w:pPr>
              <w:pStyle w:val="TableText"/>
            </w:pPr>
            <w:r>
              <w:t>K</w:t>
            </w:r>
          </w:p>
        </w:tc>
        <w:tc>
          <w:tcPr>
            <w:tcW w:w="1296" w:type="dxa"/>
            <w:shd w:val="clear" w:color="auto" w:fill="auto"/>
          </w:tcPr>
          <w:p w14:paraId="72018D53" w14:textId="77777777" w:rsidR="003E3D07" w:rsidRDefault="003E3D07">
            <w:pPr>
              <w:pStyle w:val="TableText"/>
              <w:rPr>
                <w:rFonts w:eastAsia="Symbol"/>
              </w:rPr>
            </w:pPr>
            <w:r>
              <w:t>91</w:t>
            </w:r>
          </w:p>
        </w:tc>
        <w:tc>
          <w:tcPr>
            <w:tcW w:w="1296" w:type="dxa"/>
            <w:shd w:val="clear" w:color="auto" w:fill="auto"/>
          </w:tcPr>
          <w:p w14:paraId="4097AA1B" w14:textId="77777777" w:rsidR="003E3D07" w:rsidRDefault="003E3D07">
            <w:pPr>
              <w:pStyle w:val="TableText"/>
              <w:rPr>
                <w:rFonts w:eastAsia="Symbol"/>
              </w:rPr>
            </w:pPr>
            <w:r>
              <w:t>AGK</w:t>
            </w:r>
          </w:p>
        </w:tc>
      </w:tr>
      <w:tr w:rsidR="00824338" w14:paraId="5AF96BC2" w14:textId="77777777">
        <w:tblPrEx>
          <w:tblBorders>
            <w:insideH w:val="single" w:sz="4" w:space="0" w:color="auto"/>
            <w:insideV w:val="single" w:sz="4" w:space="0" w:color="auto"/>
          </w:tblBorders>
        </w:tblPrEx>
        <w:tc>
          <w:tcPr>
            <w:tcW w:w="1253" w:type="dxa"/>
            <w:shd w:val="clear" w:color="auto" w:fill="auto"/>
          </w:tcPr>
          <w:p w14:paraId="7598B719" w14:textId="77777777" w:rsidR="003E3D07" w:rsidRDefault="003E3D07">
            <w:pPr>
              <w:pStyle w:val="TableText"/>
              <w:rPr>
                <w:rFonts w:eastAsia="Symbol"/>
              </w:rPr>
            </w:pPr>
            <w:r>
              <w:t>Anti-k</w:t>
            </w:r>
          </w:p>
        </w:tc>
        <w:tc>
          <w:tcPr>
            <w:tcW w:w="1253" w:type="dxa"/>
            <w:shd w:val="clear" w:color="auto" w:fill="auto"/>
          </w:tcPr>
          <w:p w14:paraId="7EB52E4B" w14:textId="77777777" w:rsidR="003E3D07" w:rsidRDefault="003E3D07">
            <w:pPr>
              <w:pStyle w:val="TableText"/>
              <w:rPr>
                <w:rFonts w:eastAsia="Symbol"/>
              </w:rPr>
            </w:pPr>
            <w:r>
              <w:t>Anti-k</w:t>
            </w:r>
          </w:p>
        </w:tc>
        <w:tc>
          <w:tcPr>
            <w:tcW w:w="878" w:type="dxa"/>
            <w:shd w:val="clear" w:color="auto" w:fill="auto"/>
          </w:tcPr>
          <w:p w14:paraId="07BDE8F6" w14:textId="77777777" w:rsidR="003E3D07" w:rsidRDefault="003E3D07">
            <w:pPr>
              <w:pStyle w:val="TableText"/>
              <w:rPr>
                <w:b/>
                <w:bCs/>
              </w:rPr>
            </w:pPr>
            <w:r>
              <w:rPr>
                <w:bCs/>
              </w:rPr>
              <w:t>Yes</w:t>
            </w:r>
          </w:p>
        </w:tc>
        <w:tc>
          <w:tcPr>
            <w:tcW w:w="878" w:type="dxa"/>
            <w:shd w:val="clear" w:color="auto" w:fill="auto"/>
          </w:tcPr>
          <w:p w14:paraId="1B9EE6A2" w14:textId="77777777" w:rsidR="003E3D07" w:rsidRDefault="003E3D07">
            <w:pPr>
              <w:pStyle w:val="TableText"/>
              <w:rPr>
                <w:rFonts w:eastAsia="Symbol"/>
                <w:b/>
                <w:bCs/>
              </w:rPr>
            </w:pPr>
            <w:r>
              <w:rPr>
                <w:bCs/>
              </w:rPr>
              <w:t>Yes</w:t>
            </w:r>
          </w:p>
        </w:tc>
        <w:tc>
          <w:tcPr>
            <w:tcW w:w="1253" w:type="dxa"/>
            <w:shd w:val="clear" w:color="auto" w:fill="auto"/>
          </w:tcPr>
          <w:p w14:paraId="3A029058" w14:textId="77777777" w:rsidR="003E3D07" w:rsidRDefault="003E3D07">
            <w:pPr>
              <w:pStyle w:val="TableText"/>
              <w:rPr>
                <w:rFonts w:eastAsia="Symbol"/>
              </w:rPr>
            </w:pPr>
            <w:r>
              <w:t>k</w:t>
            </w:r>
          </w:p>
        </w:tc>
        <w:tc>
          <w:tcPr>
            <w:tcW w:w="1253" w:type="dxa"/>
            <w:shd w:val="clear" w:color="auto" w:fill="auto"/>
          </w:tcPr>
          <w:p w14:paraId="0F68625A" w14:textId="77777777" w:rsidR="003E3D07" w:rsidRDefault="003E3D07">
            <w:pPr>
              <w:pStyle w:val="TableText"/>
              <w:rPr>
                <w:rFonts w:eastAsia="Symbol"/>
              </w:rPr>
            </w:pPr>
            <w:r>
              <w:t>k</w:t>
            </w:r>
          </w:p>
        </w:tc>
        <w:tc>
          <w:tcPr>
            <w:tcW w:w="1296" w:type="dxa"/>
            <w:shd w:val="clear" w:color="auto" w:fill="auto"/>
          </w:tcPr>
          <w:p w14:paraId="3291DD21" w14:textId="77777777" w:rsidR="003E3D07" w:rsidRDefault="003E3D07">
            <w:pPr>
              <w:pStyle w:val="TableText"/>
              <w:rPr>
                <w:rFonts w:eastAsia="Symbol"/>
              </w:rPr>
            </w:pPr>
            <w:r>
              <w:t>1</w:t>
            </w:r>
          </w:p>
        </w:tc>
        <w:tc>
          <w:tcPr>
            <w:tcW w:w="1296" w:type="dxa"/>
            <w:shd w:val="clear" w:color="auto" w:fill="auto"/>
          </w:tcPr>
          <w:p w14:paraId="20DD0AF0" w14:textId="77777777" w:rsidR="003E3D07" w:rsidRDefault="003E3D07">
            <w:pPr>
              <w:pStyle w:val="TableText"/>
              <w:rPr>
                <w:rFonts w:eastAsia="Symbol"/>
              </w:rPr>
            </w:pPr>
            <w:r>
              <w:t>AGk</w:t>
            </w:r>
          </w:p>
        </w:tc>
      </w:tr>
      <w:tr w:rsidR="00824338" w14:paraId="657F0CEC" w14:textId="77777777">
        <w:tblPrEx>
          <w:tblBorders>
            <w:insideH w:val="single" w:sz="4" w:space="0" w:color="auto"/>
            <w:insideV w:val="single" w:sz="4" w:space="0" w:color="auto"/>
          </w:tblBorders>
        </w:tblPrEx>
        <w:tc>
          <w:tcPr>
            <w:tcW w:w="1253" w:type="dxa"/>
            <w:shd w:val="clear" w:color="auto" w:fill="auto"/>
          </w:tcPr>
          <w:p w14:paraId="2DA7D1C3" w14:textId="77777777" w:rsidR="003E3D07" w:rsidRDefault="003E3D07">
            <w:pPr>
              <w:pStyle w:val="TableText"/>
              <w:rPr>
                <w:rFonts w:eastAsia="Symbol"/>
              </w:rPr>
            </w:pPr>
            <w:r>
              <w:t xml:space="preserve">Anti-Kp(a) </w:t>
            </w:r>
          </w:p>
        </w:tc>
        <w:tc>
          <w:tcPr>
            <w:tcW w:w="1253" w:type="dxa"/>
            <w:shd w:val="clear" w:color="auto" w:fill="auto"/>
          </w:tcPr>
          <w:p w14:paraId="1A26E8FA" w14:textId="77777777" w:rsidR="003E3D07" w:rsidRDefault="003E3D07">
            <w:pPr>
              <w:pStyle w:val="TableText"/>
              <w:rPr>
                <w:rFonts w:eastAsia="Symbol"/>
              </w:rPr>
            </w:pPr>
            <w:r>
              <w:t>Anti-Kp(a)</w:t>
            </w:r>
          </w:p>
        </w:tc>
        <w:tc>
          <w:tcPr>
            <w:tcW w:w="878" w:type="dxa"/>
            <w:shd w:val="clear" w:color="auto" w:fill="auto"/>
          </w:tcPr>
          <w:p w14:paraId="61C48F11" w14:textId="77777777" w:rsidR="003E3D07" w:rsidRDefault="003E3D07">
            <w:pPr>
              <w:pStyle w:val="TableText"/>
              <w:rPr>
                <w:b/>
                <w:bCs/>
              </w:rPr>
            </w:pPr>
            <w:r>
              <w:rPr>
                <w:bCs/>
              </w:rPr>
              <w:t>Yes</w:t>
            </w:r>
          </w:p>
        </w:tc>
        <w:tc>
          <w:tcPr>
            <w:tcW w:w="878" w:type="dxa"/>
            <w:shd w:val="clear" w:color="auto" w:fill="auto"/>
          </w:tcPr>
          <w:p w14:paraId="4CB16D9F" w14:textId="77777777" w:rsidR="003E3D07" w:rsidRDefault="003E3D07">
            <w:pPr>
              <w:pStyle w:val="TableText"/>
              <w:rPr>
                <w:rFonts w:eastAsia="Symbol"/>
              </w:rPr>
            </w:pPr>
            <w:r>
              <w:t>Optional</w:t>
            </w:r>
          </w:p>
        </w:tc>
        <w:tc>
          <w:tcPr>
            <w:tcW w:w="1253" w:type="dxa"/>
            <w:shd w:val="clear" w:color="auto" w:fill="auto"/>
          </w:tcPr>
          <w:p w14:paraId="4DC73C8F" w14:textId="77777777" w:rsidR="003E3D07" w:rsidRDefault="003E3D07">
            <w:pPr>
              <w:pStyle w:val="TableText"/>
              <w:rPr>
                <w:rFonts w:eastAsia="Symbol"/>
              </w:rPr>
            </w:pPr>
            <w:r>
              <w:t>Kp(a)</w:t>
            </w:r>
          </w:p>
        </w:tc>
        <w:tc>
          <w:tcPr>
            <w:tcW w:w="1253" w:type="dxa"/>
            <w:shd w:val="clear" w:color="auto" w:fill="auto"/>
          </w:tcPr>
          <w:p w14:paraId="6F6B24F2" w14:textId="77777777" w:rsidR="003E3D07" w:rsidRDefault="003E3D07">
            <w:pPr>
              <w:pStyle w:val="TableText"/>
              <w:rPr>
                <w:rFonts w:eastAsia="Symbol"/>
              </w:rPr>
            </w:pPr>
            <w:r>
              <w:t>Kp(a)</w:t>
            </w:r>
          </w:p>
        </w:tc>
        <w:tc>
          <w:tcPr>
            <w:tcW w:w="1296" w:type="dxa"/>
            <w:shd w:val="clear" w:color="auto" w:fill="auto"/>
          </w:tcPr>
          <w:p w14:paraId="7C754070" w14:textId="77777777" w:rsidR="003E3D07" w:rsidRDefault="003E3D07">
            <w:pPr>
              <w:pStyle w:val="TableText"/>
              <w:rPr>
                <w:rFonts w:eastAsia="Symbol"/>
              </w:rPr>
            </w:pPr>
            <w:r>
              <w:t>98</w:t>
            </w:r>
          </w:p>
        </w:tc>
        <w:tc>
          <w:tcPr>
            <w:tcW w:w="1296" w:type="dxa"/>
            <w:shd w:val="clear" w:color="auto" w:fill="auto"/>
          </w:tcPr>
          <w:p w14:paraId="3935F183" w14:textId="77777777" w:rsidR="003E3D07" w:rsidRDefault="003E3D07">
            <w:pPr>
              <w:pStyle w:val="TableText"/>
              <w:rPr>
                <w:rFonts w:eastAsia="Symbol"/>
              </w:rPr>
            </w:pPr>
            <w:r>
              <w:t xml:space="preserve">AGKp(a) </w:t>
            </w:r>
          </w:p>
        </w:tc>
      </w:tr>
      <w:tr w:rsidR="00824338" w14:paraId="45858648" w14:textId="77777777">
        <w:tblPrEx>
          <w:tblBorders>
            <w:insideH w:val="single" w:sz="4" w:space="0" w:color="auto"/>
            <w:insideV w:val="single" w:sz="4" w:space="0" w:color="auto"/>
          </w:tblBorders>
        </w:tblPrEx>
        <w:tc>
          <w:tcPr>
            <w:tcW w:w="1253" w:type="dxa"/>
            <w:shd w:val="clear" w:color="auto" w:fill="auto"/>
          </w:tcPr>
          <w:p w14:paraId="561FADDF" w14:textId="77777777" w:rsidR="003E3D07" w:rsidRDefault="003E3D07">
            <w:pPr>
              <w:pStyle w:val="TableText"/>
              <w:rPr>
                <w:rFonts w:eastAsia="Symbol"/>
              </w:rPr>
            </w:pPr>
            <w:r>
              <w:t>Anti-Kp(b)</w:t>
            </w:r>
          </w:p>
        </w:tc>
        <w:tc>
          <w:tcPr>
            <w:tcW w:w="1253" w:type="dxa"/>
            <w:shd w:val="clear" w:color="auto" w:fill="auto"/>
          </w:tcPr>
          <w:p w14:paraId="185E32AF" w14:textId="77777777" w:rsidR="003E3D07" w:rsidRDefault="003E3D07">
            <w:pPr>
              <w:pStyle w:val="TableText"/>
              <w:rPr>
                <w:rFonts w:eastAsia="Symbol"/>
              </w:rPr>
            </w:pPr>
            <w:r>
              <w:t>Anti-Kp(b)</w:t>
            </w:r>
          </w:p>
        </w:tc>
        <w:tc>
          <w:tcPr>
            <w:tcW w:w="878" w:type="dxa"/>
            <w:shd w:val="clear" w:color="auto" w:fill="auto"/>
          </w:tcPr>
          <w:p w14:paraId="70CB21E9" w14:textId="77777777" w:rsidR="003E3D07" w:rsidRDefault="003E3D07">
            <w:pPr>
              <w:pStyle w:val="TableText"/>
              <w:rPr>
                <w:b/>
                <w:bCs/>
              </w:rPr>
            </w:pPr>
            <w:r>
              <w:rPr>
                <w:bCs/>
              </w:rPr>
              <w:t>Yes</w:t>
            </w:r>
          </w:p>
        </w:tc>
        <w:tc>
          <w:tcPr>
            <w:tcW w:w="878" w:type="dxa"/>
            <w:shd w:val="clear" w:color="auto" w:fill="auto"/>
          </w:tcPr>
          <w:p w14:paraId="3BE0ECA5" w14:textId="77777777" w:rsidR="003E3D07" w:rsidRDefault="003E3D07">
            <w:pPr>
              <w:pStyle w:val="TableText"/>
              <w:rPr>
                <w:rFonts w:eastAsia="Symbol"/>
              </w:rPr>
            </w:pPr>
            <w:r>
              <w:t>Optional</w:t>
            </w:r>
          </w:p>
        </w:tc>
        <w:tc>
          <w:tcPr>
            <w:tcW w:w="1253" w:type="dxa"/>
            <w:shd w:val="clear" w:color="auto" w:fill="auto"/>
          </w:tcPr>
          <w:p w14:paraId="3EE3394D" w14:textId="77777777" w:rsidR="003E3D07" w:rsidRDefault="003E3D07">
            <w:pPr>
              <w:pStyle w:val="TableText"/>
              <w:rPr>
                <w:rFonts w:eastAsia="Symbol"/>
              </w:rPr>
            </w:pPr>
            <w:r>
              <w:t>Kp(b)</w:t>
            </w:r>
          </w:p>
        </w:tc>
        <w:tc>
          <w:tcPr>
            <w:tcW w:w="1253" w:type="dxa"/>
            <w:shd w:val="clear" w:color="auto" w:fill="auto"/>
          </w:tcPr>
          <w:p w14:paraId="2E1A2421" w14:textId="77777777" w:rsidR="003E3D07" w:rsidRDefault="003E3D07">
            <w:pPr>
              <w:pStyle w:val="TableText"/>
              <w:rPr>
                <w:rFonts w:eastAsia="Symbol"/>
              </w:rPr>
            </w:pPr>
            <w:r>
              <w:t>Kp(b)</w:t>
            </w:r>
          </w:p>
        </w:tc>
        <w:tc>
          <w:tcPr>
            <w:tcW w:w="1296" w:type="dxa"/>
            <w:shd w:val="clear" w:color="auto" w:fill="auto"/>
          </w:tcPr>
          <w:p w14:paraId="3BE8C1B5" w14:textId="77777777" w:rsidR="003E3D07" w:rsidRDefault="003E3D07">
            <w:pPr>
              <w:pStyle w:val="TableText"/>
              <w:rPr>
                <w:rFonts w:eastAsia="Symbol"/>
              </w:rPr>
            </w:pPr>
            <w:r>
              <w:t>2</w:t>
            </w:r>
          </w:p>
        </w:tc>
        <w:tc>
          <w:tcPr>
            <w:tcW w:w="1296" w:type="dxa"/>
            <w:shd w:val="clear" w:color="auto" w:fill="auto"/>
          </w:tcPr>
          <w:p w14:paraId="6B5C0DAD" w14:textId="77777777" w:rsidR="003E3D07" w:rsidRDefault="003E3D07">
            <w:pPr>
              <w:pStyle w:val="TableText"/>
              <w:rPr>
                <w:rFonts w:eastAsia="Symbol"/>
              </w:rPr>
            </w:pPr>
            <w:r>
              <w:t>AGKp(b)</w:t>
            </w:r>
          </w:p>
        </w:tc>
      </w:tr>
      <w:tr w:rsidR="00824338" w14:paraId="40995D3F" w14:textId="77777777">
        <w:tblPrEx>
          <w:tblBorders>
            <w:insideH w:val="single" w:sz="4" w:space="0" w:color="auto"/>
            <w:insideV w:val="single" w:sz="4" w:space="0" w:color="auto"/>
          </w:tblBorders>
        </w:tblPrEx>
        <w:tc>
          <w:tcPr>
            <w:tcW w:w="1253" w:type="dxa"/>
            <w:shd w:val="clear" w:color="auto" w:fill="auto"/>
          </w:tcPr>
          <w:p w14:paraId="2E7D494E" w14:textId="77777777" w:rsidR="003E3D07" w:rsidRDefault="003E3D07">
            <w:pPr>
              <w:pStyle w:val="TableText"/>
              <w:rPr>
                <w:rFonts w:eastAsia="Symbol"/>
              </w:rPr>
            </w:pPr>
            <w:r>
              <w:t>Anti-Jk(a)</w:t>
            </w:r>
          </w:p>
        </w:tc>
        <w:tc>
          <w:tcPr>
            <w:tcW w:w="1253" w:type="dxa"/>
            <w:shd w:val="clear" w:color="auto" w:fill="auto"/>
          </w:tcPr>
          <w:p w14:paraId="17720450" w14:textId="77777777" w:rsidR="003E3D07" w:rsidRDefault="003E3D07">
            <w:pPr>
              <w:pStyle w:val="TableText"/>
              <w:rPr>
                <w:rFonts w:eastAsia="Symbol"/>
              </w:rPr>
            </w:pPr>
            <w:r>
              <w:t>Anti-Jk(a)</w:t>
            </w:r>
          </w:p>
        </w:tc>
        <w:tc>
          <w:tcPr>
            <w:tcW w:w="878" w:type="dxa"/>
            <w:shd w:val="clear" w:color="auto" w:fill="auto"/>
          </w:tcPr>
          <w:p w14:paraId="0C1C35C6" w14:textId="77777777" w:rsidR="003E3D07" w:rsidRDefault="003E3D07">
            <w:pPr>
              <w:pStyle w:val="TableText"/>
              <w:rPr>
                <w:b/>
                <w:bCs/>
              </w:rPr>
            </w:pPr>
            <w:r>
              <w:rPr>
                <w:bCs/>
              </w:rPr>
              <w:t>Yes</w:t>
            </w:r>
          </w:p>
        </w:tc>
        <w:tc>
          <w:tcPr>
            <w:tcW w:w="878" w:type="dxa"/>
            <w:shd w:val="clear" w:color="auto" w:fill="auto"/>
          </w:tcPr>
          <w:p w14:paraId="3147B610" w14:textId="77777777" w:rsidR="003E3D07" w:rsidRDefault="003E3D07">
            <w:pPr>
              <w:pStyle w:val="TableText"/>
              <w:rPr>
                <w:rFonts w:eastAsia="Symbol"/>
                <w:b/>
                <w:bCs/>
              </w:rPr>
            </w:pPr>
            <w:r>
              <w:rPr>
                <w:bCs/>
              </w:rPr>
              <w:t>Yes</w:t>
            </w:r>
          </w:p>
        </w:tc>
        <w:tc>
          <w:tcPr>
            <w:tcW w:w="1253" w:type="dxa"/>
            <w:shd w:val="clear" w:color="auto" w:fill="auto"/>
          </w:tcPr>
          <w:p w14:paraId="27204214" w14:textId="77777777" w:rsidR="003E3D07" w:rsidRDefault="003E3D07">
            <w:pPr>
              <w:pStyle w:val="TableText"/>
              <w:rPr>
                <w:rFonts w:eastAsia="Symbol"/>
              </w:rPr>
            </w:pPr>
            <w:r>
              <w:t>Jk(a)</w:t>
            </w:r>
          </w:p>
        </w:tc>
        <w:tc>
          <w:tcPr>
            <w:tcW w:w="1253" w:type="dxa"/>
            <w:shd w:val="clear" w:color="auto" w:fill="auto"/>
          </w:tcPr>
          <w:p w14:paraId="1B93D0EF" w14:textId="77777777" w:rsidR="003E3D07" w:rsidRDefault="003E3D07">
            <w:pPr>
              <w:pStyle w:val="TableText"/>
              <w:rPr>
                <w:rFonts w:eastAsia="Symbol"/>
              </w:rPr>
            </w:pPr>
            <w:r>
              <w:t>Jk(a)</w:t>
            </w:r>
          </w:p>
        </w:tc>
        <w:tc>
          <w:tcPr>
            <w:tcW w:w="1296" w:type="dxa"/>
            <w:shd w:val="clear" w:color="auto" w:fill="auto"/>
          </w:tcPr>
          <w:p w14:paraId="10C3283C" w14:textId="77777777" w:rsidR="003E3D07" w:rsidRDefault="003E3D07">
            <w:pPr>
              <w:pStyle w:val="TableText"/>
              <w:rPr>
                <w:rFonts w:eastAsia="Symbol"/>
              </w:rPr>
            </w:pPr>
            <w:r>
              <w:t>15</w:t>
            </w:r>
          </w:p>
        </w:tc>
        <w:tc>
          <w:tcPr>
            <w:tcW w:w="1296" w:type="dxa"/>
            <w:shd w:val="clear" w:color="auto" w:fill="auto"/>
          </w:tcPr>
          <w:p w14:paraId="29EB3D3F" w14:textId="77777777" w:rsidR="003E3D07" w:rsidRDefault="003E3D07">
            <w:pPr>
              <w:pStyle w:val="TableText"/>
              <w:rPr>
                <w:rFonts w:eastAsia="Symbol"/>
              </w:rPr>
            </w:pPr>
            <w:r>
              <w:t>AGJk(a)</w:t>
            </w:r>
          </w:p>
        </w:tc>
      </w:tr>
      <w:tr w:rsidR="00824338" w14:paraId="7EACA7DF" w14:textId="77777777">
        <w:tblPrEx>
          <w:tblBorders>
            <w:insideH w:val="single" w:sz="4" w:space="0" w:color="auto"/>
            <w:insideV w:val="single" w:sz="4" w:space="0" w:color="auto"/>
          </w:tblBorders>
        </w:tblPrEx>
        <w:tc>
          <w:tcPr>
            <w:tcW w:w="1253" w:type="dxa"/>
            <w:shd w:val="clear" w:color="auto" w:fill="auto"/>
          </w:tcPr>
          <w:p w14:paraId="569B1F0A" w14:textId="77777777" w:rsidR="003E3D07" w:rsidRDefault="003E3D07">
            <w:pPr>
              <w:pStyle w:val="TableText"/>
              <w:rPr>
                <w:rFonts w:eastAsia="Symbol"/>
              </w:rPr>
            </w:pPr>
            <w:r>
              <w:t>Anti-Jk(b)</w:t>
            </w:r>
          </w:p>
        </w:tc>
        <w:tc>
          <w:tcPr>
            <w:tcW w:w="1253" w:type="dxa"/>
            <w:shd w:val="clear" w:color="auto" w:fill="auto"/>
          </w:tcPr>
          <w:p w14:paraId="1802A4B7" w14:textId="77777777" w:rsidR="003E3D07" w:rsidRDefault="003E3D07">
            <w:pPr>
              <w:pStyle w:val="TableText"/>
              <w:rPr>
                <w:rFonts w:eastAsia="Symbol"/>
              </w:rPr>
            </w:pPr>
            <w:r>
              <w:t>Anti-Jk(b)</w:t>
            </w:r>
          </w:p>
        </w:tc>
        <w:tc>
          <w:tcPr>
            <w:tcW w:w="878" w:type="dxa"/>
            <w:shd w:val="clear" w:color="auto" w:fill="auto"/>
          </w:tcPr>
          <w:p w14:paraId="3875D167" w14:textId="77777777" w:rsidR="003E3D07" w:rsidRDefault="003E3D07">
            <w:pPr>
              <w:pStyle w:val="TableText"/>
              <w:rPr>
                <w:b/>
                <w:bCs/>
              </w:rPr>
            </w:pPr>
            <w:r>
              <w:rPr>
                <w:bCs/>
              </w:rPr>
              <w:t>Yes</w:t>
            </w:r>
          </w:p>
        </w:tc>
        <w:tc>
          <w:tcPr>
            <w:tcW w:w="878" w:type="dxa"/>
            <w:shd w:val="clear" w:color="auto" w:fill="auto"/>
          </w:tcPr>
          <w:p w14:paraId="1AEF3CDA" w14:textId="77777777" w:rsidR="003E3D07" w:rsidRDefault="003E3D07">
            <w:pPr>
              <w:pStyle w:val="TableText"/>
              <w:rPr>
                <w:rFonts w:eastAsia="Symbol"/>
                <w:b/>
                <w:bCs/>
              </w:rPr>
            </w:pPr>
            <w:r>
              <w:rPr>
                <w:bCs/>
              </w:rPr>
              <w:t>Yes</w:t>
            </w:r>
          </w:p>
        </w:tc>
        <w:tc>
          <w:tcPr>
            <w:tcW w:w="1253" w:type="dxa"/>
            <w:shd w:val="clear" w:color="auto" w:fill="auto"/>
          </w:tcPr>
          <w:p w14:paraId="66FE4844" w14:textId="77777777" w:rsidR="003E3D07" w:rsidRDefault="003E3D07">
            <w:pPr>
              <w:pStyle w:val="TableText"/>
              <w:rPr>
                <w:rFonts w:eastAsia="Symbol"/>
              </w:rPr>
            </w:pPr>
            <w:r>
              <w:t>Jk(b)</w:t>
            </w:r>
          </w:p>
        </w:tc>
        <w:tc>
          <w:tcPr>
            <w:tcW w:w="1253" w:type="dxa"/>
            <w:shd w:val="clear" w:color="auto" w:fill="auto"/>
          </w:tcPr>
          <w:p w14:paraId="44274713" w14:textId="77777777" w:rsidR="003E3D07" w:rsidRDefault="003E3D07">
            <w:pPr>
              <w:pStyle w:val="TableText"/>
              <w:rPr>
                <w:rFonts w:eastAsia="Symbol"/>
              </w:rPr>
            </w:pPr>
            <w:r>
              <w:t>Jk(b)</w:t>
            </w:r>
          </w:p>
        </w:tc>
        <w:tc>
          <w:tcPr>
            <w:tcW w:w="1296" w:type="dxa"/>
            <w:shd w:val="clear" w:color="auto" w:fill="auto"/>
          </w:tcPr>
          <w:p w14:paraId="31DE6CBC" w14:textId="77777777" w:rsidR="003E3D07" w:rsidRDefault="003E3D07">
            <w:pPr>
              <w:pStyle w:val="TableText"/>
              <w:rPr>
                <w:rFonts w:eastAsia="Symbol"/>
              </w:rPr>
            </w:pPr>
            <w:r>
              <w:t>42</w:t>
            </w:r>
          </w:p>
        </w:tc>
        <w:tc>
          <w:tcPr>
            <w:tcW w:w="1296" w:type="dxa"/>
            <w:shd w:val="clear" w:color="auto" w:fill="auto"/>
          </w:tcPr>
          <w:p w14:paraId="3CFE310E" w14:textId="77777777" w:rsidR="003E3D07" w:rsidRDefault="003E3D07">
            <w:pPr>
              <w:pStyle w:val="TableText"/>
              <w:rPr>
                <w:rFonts w:eastAsia="Symbol"/>
              </w:rPr>
            </w:pPr>
            <w:r>
              <w:t>AGJk(b)</w:t>
            </w:r>
          </w:p>
        </w:tc>
      </w:tr>
      <w:tr w:rsidR="00824338" w14:paraId="64C487C6" w14:textId="77777777">
        <w:tblPrEx>
          <w:tblBorders>
            <w:insideH w:val="single" w:sz="4" w:space="0" w:color="auto"/>
            <w:insideV w:val="single" w:sz="4" w:space="0" w:color="auto"/>
          </w:tblBorders>
        </w:tblPrEx>
        <w:tc>
          <w:tcPr>
            <w:tcW w:w="1253" w:type="dxa"/>
            <w:shd w:val="clear" w:color="auto" w:fill="auto"/>
          </w:tcPr>
          <w:p w14:paraId="40B10249" w14:textId="77777777" w:rsidR="003E3D07" w:rsidRDefault="003E3D07">
            <w:pPr>
              <w:pStyle w:val="TableText"/>
              <w:rPr>
                <w:rFonts w:eastAsia="Symbol"/>
              </w:rPr>
            </w:pPr>
            <w:r>
              <w:t>Anti-Jk3</w:t>
            </w:r>
          </w:p>
        </w:tc>
        <w:tc>
          <w:tcPr>
            <w:tcW w:w="1253" w:type="dxa"/>
            <w:shd w:val="clear" w:color="auto" w:fill="auto"/>
          </w:tcPr>
          <w:p w14:paraId="61B17020" w14:textId="77777777" w:rsidR="003E3D07" w:rsidRDefault="003E3D07">
            <w:pPr>
              <w:pStyle w:val="TableText"/>
              <w:rPr>
                <w:rFonts w:eastAsia="Symbol"/>
              </w:rPr>
            </w:pPr>
            <w:r>
              <w:rPr>
                <w:rFonts w:eastAsia="Symbol"/>
              </w:rPr>
              <w:t>Anti-Jk(a)Jk(b)</w:t>
            </w:r>
          </w:p>
        </w:tc>
        <w:tc>
          <w:tcPr>
            <w:tcW w:w="878" w:type="dxa"/>
            <w:shd w:val="clear" w:color="auto" w:fill="auto"/>
          </w:tcPr>
          <w:p w14:paraId="6F277202" w14:textId="77777777" w:rsidR="003E3D07" w:rsidRDefault="003E3D07">
            <w:pPr>
              <w:pStyle w:val="TableText"/>
              <w:rPr>
                <w:rFonts w:eastAsia="Symbol"/>
              </w:rPr>
            </w:pPr>
            <w:r>
              <w:rPr>
                <w:bCs/>
              </w:rPr>
              <w:t>Yes</w:t>
            </w:r>
          </w:p>
        </w:tc>
        <w:tc>
          <w:tcPr>
            <w:tcW w:w="878" w:type="dxa"/>
            <w:shd w:val="clear" w:color="auto" w:fill="auto"/>
          </w:tcPr>
          <w:p w14:paraId="574DB6A1" w14:textId="77777777" w:rsidR="003E3D07" w:rsidRDefault="003E3D07">
            <w:pPr>
              <w:pStyle w:val="TableText"/>
              <w:rPr>
                <w:rFonts w:eastAsia="Symbol"/>
              </w:rPr>
            </w:pPr>
            <w:r>
              <w:rPr>
                <w:bCs/>
              </w:rPr>
              <w:t>Yes</w:t>
            </w:r>
          </w:p>
        </w:tc>
        <w:tc>
          <w:tcPr>
            <w:tcW w:w="1253" w:type="dxa"/>
            <w:shd w:val="clear" w:color="auto" w:fill="auto"/>
          </w:tcPr>
          <w:p w14:paraId="5B641AB9" w14:textId="77777777" w:rsidR="003E3D07" w:rsidRDefault="003E3D07">
            <w:pPr>
              <w:pStyle w:val="TableText"/>
              <w:rPr>
                <w:rFonts w:eastAsia="Symbol"/>
              </w:rPr>
            </w:pPr>
            <w:r>
              <w:t>Jk(a) and Jk(b)</w:t>
            </w:r>
          </w:p>
        </w:tc>
        <w:tc>
          <w:tcPr>
            <w:tcW w:w="1253" w:type="dxa"/>
            <w:shd w:val="clear" w:color="auto" w:fill="auto"/>
          </w:tcPr>
          <w:p w14:paraId="2A621C0D" w14:textId="77777777" w:rsidR="003E3D07" w:rsidRDefault="003E3D07">
            <w:pPr>
              <w:pStyle w:val="TableText"/>
              <w:rPr>
                <w:rFonts w:eastAsia="Symbol"/>
              </w:rPr>
            </w:pPr>
            <w:r>
              <w:rPr>
                <w:rFonts w:eastAsia="Symbol"/>
              </w:rPr>
              <w:t>None</w:t>
            </w:r>
          </w:p>
        </w:tc>
        <w:tc>
          <w:tcPr>
            <w:tcW w:w="1296" w:type="dxa"/>
            <w:shd w:val="clear" w:color="auto" w:fill="auto"/>
          </w:tcPr>
          <w:p w14:paraId="10DAE755" w14:textId="77777777" w:rsidR="003E3D07" w:rsidRDefault="003E3D07">
            <w:pPr>
              <w:pStyle w:val="TableText"/>
              <w:rPr>
                <w:rFonts w:eastAsia="Symbol"/>
              </w:rPr>
            </w:pPr>
            <w:r>
              <w:t>N/A</w:t>
            </w:r>
          </w:p>
        </w:tc>
        <w:tc>
          <w:tcPr>
            <w:tcW w:w="1296" w:type="dxa"/>
            <w:shd w:val="clear" w:color="auto" w:fill="auto"/>
          </w:tcPr>
          <w:p w14:paraId="38E95BBB" w14:textId="77777777" w:rsidR="003E3D07" w:rsidRDefault="003E3D07">
            <w:pPr>
              <w:pStyle w:val="TableText"/>
            </w:pPr>
            <w:r>
              <w:t>AGJk(a)</w:t>
            </w:r>
          </w:p>
          <w:p w14:paraId="6B70E315" w14:textId="77777777" w:rsidR="003E3D07" w:rsidRDefault="003E3D07">
            <w:pPr>
              <w:pStyle w:val="TableText"/>
              <w:rPr>
                <w:rFonts w:eastAsia="Symbol"/>
              </w:rPr>
            </w:pPr>
            <w:r>
              <w:t>AGJk(b)</w:t>
            </w:r>
          </w:p>
        </w:tc>
      </w:tr>
      <w:tr w:rsidR="00824338" w14:paraId="3D9D9A8E" w14:textId="77777777">
        <w:tblPrEx>
          <w:tblBorders>
            <w:insideH w:val="single" w:sz="4" w:space="0" w:color="auto"/>
            <w:insideV w:val="single" w:sz="4" w:space="0" w:color="auto"/>
          </w:tblBorders>
        </w:tblPrEx>
        <w:tc>
          <w:tcPr>
            <w:tcW w:w="1253" w:type="dxa"/>
            <w:shd w:val="clear" w:color="auto" w:fill="auto"/>
          </w:tcPr>
          <w:p w14:paraId="6299AD8A" w14:textId="77777777" w:rsidR="003E3D07" w:rsidRDefault="003E3D07">
            <w:pPr>
              <w:pStyle w:val="TableText"/>
              <w:rPr>
                <w:rFonts w:eastAsia="Symbol"/>
              </w:rPr>
            </w:pPr>
            <w:r>
              <w:t>Anti-Fy(a)</w:t>
            </w:r>
          </w:p>
        </w:tc>
        <w:tc>
          <w:tcPr>
            <w:tcW w:w="1253" w:type="dxa"/>
            <w:shd w:val="clear" w:color="auto" w:fill="auto"/>
          </w:tcPr>
          <w:p w14:paraId="3CA37594" w14:textId="77777777" w:rsidR="003E3D07" w:rsidRDefault="003E3D07">
            <w:pPr>
              <w:pStyle w:val="TableText"/>
              <w:rPr>
                <w:rFonts w:eastAsia="Symbol"/>
              </w:rPr>
            </w:pPr>
            <w:r>
              <w:t>Anti-Fy(a)</w:t>
            </w:r>
          </w:p>
        </w:tc>
        <w:tc>
          <w:tcPr>
            <w:tcW w:w="878" w:type="dxa"/>
            <w:shd w:val="clear" w:color="auto" w:fill="auto"/>
          </w:tcPr>
          <w:p w14:paraId="65E27E90" w14:textId="77777777" w:rsidR="003E3D07" w:rsidRDefault="003E3D07">
            <w:pPr>
              <w:pStyle w:val="TableText"/>
              <w:rPr>
                <w:b/>
                <w:bCs/>
              </w:rPr>
            </w:pPr>
            <w:r>
              <w:rPr>
                <w:bCs/>
              </w:rPr>
              <w:t>Yes</w:t>
            </w:r>
          </w:p>
        </w:tc>
        <w:tc>
          <w:tcPr>
            <w:tcW w:w="878" w:type="dxa"/>
            <w:shd w:val="clear" w:color="auto" w:fill="auto"/>
          </w:tcPr>
          <w:p w14:paraId="3D1E4550" w14:textId="77777777" w:rsidR="003E3D07" w:rsidRDefault="003E3D07">
            <w:pPr>
              <w:pStyle w:val="TableText"/>
              <w:rPr>
                <w:rFonts w:eastAsia="Symbol"/>
                <w:b/>
                <w:bCs/>
              </w:rPr>
            </w:pPr>
            <w:r>
              <w:rPr>
                <w:bCs/>
              </w:rPr>
              <w:t>Yes</w:t>
            </w:r>
          </w:p>
        </w:tc>
        <w:tc>
          <w:tcPr>
            <w:tcW w:w="1253" w:type="dxa"/>
            <w:shd w:val="clear" w:color="auto" w:fill="auto"/>
          </w:tcPr>
          <w:p w14:paraId="4D55D039" w14:textId="77777777" w:rsidR="003E3D07" w:rsidRDefault="003E3D07">
            <w:pPr>
              <w:pStyle w:val="TableText"/>
              <w:rPr>
                <w:rFonts w:eastAsia="Symbol"/>
              </w:rPr>
            </w:pPr>
            <w:r>
              <w:t>Fy(a)</w:t>
            </w:r>
          </w:p>
        </w:tc>
        <w:tc>
          <w:tcPr>
            <w:tcW w:w="1253" w:type="dxa"/>
            <w:shd w:val="clear" w:color="auto" w:fill="auto"/>
          </w:tcPr>
          <w:p w14:paraId="70220374" w14:textId="77777777" w:rsidR="003E3D07" w:rsidRDefault="003E3D07">
            <w:pPr>
              <w:pStyle w:val="TableText"/>
              <w:rPr>
                <w:rFonts w:eastAsia="Symbol"/>
              </w:rPr>
            </w:pPr>
            <w:r>
              <w:t>Fy(a)</w:t>
            </w:r>
          </w:p>
        </w:tc>
        <w:tc>
          <w:tcPr>
            <w:tcW w:w="1296" w:type="dxa"/>
            <w:shd w:val="clear" w:color="auto" w:fill="auto"/>
          </w:tcPr>
          <w:p w14:paraId="63EB76CB" w14:textId="77777777" w:rsidR="003E3D07" w:rsidRDefault="003E3D07">
            <w:pPr>
              <w:pStyle w:val="TableText"/>
              <w:rPr>
                <w:rFonts w:eastAsia="Symbol"/>
              </w:rPr>
            </w:pPr>
            <w:r>
              <w:t>63</w:t>
            </w:r>
          </w:p>
        </w:tc>
        <w:tc>
          <w:tcPr>
            <w:tcW w:w="1296" w:type="dxa"/>
            <w:shd w:val="clear" w:color="auto" w:fill="auto"/>
          </w:tcPr>
          <w:p w14:paraId="5B393B1C" w14:textId="77777777" w:rsidR="003E3D07" w:rsidRDefault="003E3D07">
            <w:pPr>
              <w:pStyle w:val="TableText"/>
              <w:rPr>
                <w:rFonts w:eastAsia="Symbol"/>
              </w:rPr>
            </w:pPr>
            <w:r>
              <w:t>AGFy(a)</w:t>
            </w:r>
          </w:p>
        </w:tc>
      </w:tr>
      <w:tr w:rsidR="00824338" w14:paraId="50724538" w14:textId="77777777">
        <w:tblPrEx>
          <w:tblBorders>
            <w:insideH w:val="single" w:sz="4" w:space="0" w:color="auto"/>
            <w:insideV w:val="single" w:sz="4" w:space="0" w:color="auto"/>
          </w:tblBorders>
        </w:tblPrEx>
        <w:tc>
          <w:tcPr>
            <w:tcW w:w="1253" w:type="dxa"/>
            <w:shd w:val="clear" w:color="auto" w:fill="auto"/>
          </w:tcPr>
          <w:p w14:paraId="623F1D50" w14:textId="77777777" w:rsidR="003E3D07" w:rsidRDefault="003E3D07">
            <w:pPr>
              <w:pStyle w:val="TableText"/>
              <w:rPr>
                <w:rFonts w:eastAsia="Symbol"/>
              </w:rPr>
            </w:pPr>
            <w:r>
              <w:t>Anti-Fy(b)</w:t>
            </w:r>
          </w:p>
        </w:tc>
        <w:tc>
          <w:tcPr>
            <w:tcW w:w="1253" w:type="dxa"/>
            <w:shd w:val="clear" w:color="auto" w:fill="auto"/>
          </w:tcPr>
          <w:p w14:paraId="2A547D33" w14:textId="77777777" w:rsidR="003E3D07" w:rsidRDefault="003E3D07">
            <w:pPr>
              <w:pStyle w:val="TableText"/>
              <w:rPr>
                <w:rFonts w:eastAsia="Symbol"/>
              </w:rPr>
            </w:pPr>
            <w:r>
              <w:t>Anti-Fy(b)</w:t>
            </w:r>
          </w:p>
        </w:tc>
        <w:tc>
          <w:tcPr>
            <w:tcW w:w="878" w:type="dxa"/>
            <w:shd w:val="clear" w:color="auto" w:fill="auto"/>
          </w:tcPr>
          <w:p w14:paraId="0653E007" w14:textId="77777777" w:rsidR="003E3D07" w:rsidRDefault="003E3D07">
            <w:pPr>
              <w:pStyle w:val="TableText"/>
              <w:rPr>
                <w:b/>
                <w:bCs/>
              </w:rPr>
            </w:pPr>
            <w:r>
              <w:rPr>
                <w:bCs/>
              </w:rPr>
              <w:t>Yes</w:t>
            </w:r>
          </w:p>
        </w:tc>
        <w:tc>
          <w:tcPr>
            <w:tcW w:w="878" w:type="dxa"/>
            <w:shd w:val="clear" w:color="auto" w:fill="auto"/>
          </w:tcPr>
          <w:p w14:paraId="5AC61F7E" w14:textId="77777777" w:rsidR="003E3D07" w:rsidRDefault="003E3D07">
            <w:pPr>
              <w:pStyle w:val="TableText"/>
              <w:rPr>
                <w:rFonts w:eastAsia="Symbol"/>
                <w:b/>
                <w:bCs/>
              </w:rPr>
            </w:pPr>
            <w:r>
              <w:rPr>
                <w:bCs/>
              </w:rPr>
              <w:t>Yes</w:t>
            </w:r>
          </w:p>
        </w:tc>
        <w:tc>
          <w:tcPr>
            <w:tcW w:w="1253" w:type="dxa"/>
            <w:shd w:val="clear" w:color="auto" w:fill="auto"/>
          </w:tcPr>
          <w:p w14:paraId="7DB31264" w14:textId="77777777" w:rsidR="003E3D07" w:rsidRDefault="003E3D07">
            <w:pPr>
              <w:pStyle w:val="TableText"/>
              <w:rPr>
                <w:rFonts w:eastAsia="Symbol"/>
              </w:rPr>
            </w:pPr>
            <w:r>
              <w:t>Fy(b)</w:t>
            </w:r>
          </w:p>
        </w:tc>
        <w:tc>
          <w:tcPr>
            <w:tcW w:w="1253" w:type="dxa"/>
            <w:shd w:val="clear" w:color="auto" w:fill="auto"/>
          </w:tcPr>
          <w:p w14:paraId="59D57C90" w14:textId="77777777" w:rsidR="003E3D07" w:rsidRDefault="003E3D07">
            <w:pPr>
              <w:pStyle w:val="TableText"/>
              <w:rPr>
                <w:rFonts w:eastAsia="Symbol"/>
              </w:rPr>
            </w:pPr>
            <w:r>
              <w:t>Fy(b)</w:t>
            </w:r>
          </w:p>
        </w:tc>
        <w:tc>
          <w:tcPr>
            <w:tcW w:w="1296" w:type="dxa"/>
            <w:shd w:val="clear" w:color="auto" w:fill="auto"/>
          </w:tcPr>
          <w:p w14:paraId="6E18926D" w14:textId="77777777" w:rsidR="003E3D07" w:rsidRDefault="003E3D07">
            <w:pPr>
              <w:pStyle w:val="TableText"/>
              <w:rPr>
                <w:rFonts w:eastAsia="Symbol"/>
              </w:rPr>
            </w:pPr>
            <w:r>
              <w:t>47</w:t>
            </w:r>
          </w:p>
        </w:tc>
        <w:tc>
          <w:tcPr>
            <w:tcW w:w="1296" w:type="dxa"/>
            <w:shd w:val="clear" w:color="auto" w:fill="auto"/>
          </w:tcPr>
          <w:p w14:paraId="3FB651F0" w14:textId="77777777" w:rsidR="003E3D07" w:rsidRDefault="003E3D07">
            <w:pPr>
              <w:pStyle w:val="TableText"/>
              <w:rPr>
                <w:rFonts w:eastAsia="Symbol"/>
              </w:rPr>
            </w:pPr>
            <w:r>
              <w:t>AGFy(b)</w:t>
            </w:r>
          </w:p>
        </w:tc>
      </w:tr>
      <w:tr w:rsidR="00824338" w14:paraId="7BB473CE" w14:textId="77777777">
        <w:tblPrEx>
          <w:tblBorders>
            <w:insideH w:val="single" w:sz="4" w:space="0" w:color="auto"/>
            <w:insideV w:val="single" w:sz="4" w:space="0" w:color="auto"/>
          </w:tblBorders>
        </w:tblPrEx>
        <w:tc>
          <w:tcPr>
            <w:tcW w:w="1253" w:type="dxa"/>
            <w:shd w:val="clear" w:color="auto" w:fill="auto"/>
          </w:tcPr>
          <w:p w14:paraId="4AD657CD" w14:textId="77777777" w:rsidR="003E3D07" w:rsidRDefault="003E3D07">
            <w:pPr>
              <w:pStyle w:val="TableText"/>
              <w:rPr>
                <w:rFonts w:eastAsia="Symbol"/>
              </w:rPr>
            </w:pPr>
            <w:r>
              <w:t>Anti-M</w:t>
            </w:r>
          </w:p>
        </w:tc>
        <w:tc>
          <w:tcPr>
            <w:tcW w:w="1253" w:type="dxa"/>
            <w:shd w:val="clear" w:color="auto" w:fill="auto"/>
          </w:tcPr>
          <w:p w14:paraId="1BF320E0" w14:textId="77777777" w:rsidR="003E3D07" w:rsidRDefault="003E3D07">
            <w:pPr>
              <w:pStyle w:val="TableText"/>
            </w:pPr>
            <w:r>
              <w:t>Anti-M</w:t>
            </w:r>
          </w:p>
        </w:tc>
        <w:tc>
          <w:tcPr>
            <w:tcW w:w="878" w:type="dxa"/>
            <w:shd w:val="clear" w:color="auto" w:fill="auto"/>
          </w:tcPr>
          <w:p w14:paraId="5940FD34" w14:textId="77777777" w:rsidR="003E3D07" w:rsidRDefault="003E3D07">
            <w:pPr>
              <w:pStyle w:val="TableText"/>
            </w:pPr>
            <w:r>
              <w:t>No</w:t>
            </w:r>
          </w:p>
        </w:tc>
        <w:tc>
          <w:tcPr>
            <w:tcW w:w="878" w:type="dxa"/>
            <w:shd w:val="clear" w:color="auto" w:fill="auto"/>
          </w:tcPr>
          <w:p w14:paraId="2D3E86D6" w14:textId="77777777" w:rsidR="003E3D07" w:rsidRDefault="003E3D07">
            <w:pPr>
              <w:pStyle w:val="TableText"/>
              <w:rPr>
                <w:rFonts w:eastAsia="Symbol"/>
              </w:rPr>
            </w:pPr>
            <w:r w:rsidRPr="00035BA7">
              <w:t>Optional</w:t>
            </w:r>
          </w:p>
        </w:tc>
        <w:tc>
          <w:tcPr>
            <w:tcW w:w="1253" w:type="dxa"/>
            <w:shd w:val="clear" w:color="auto" w:fill="auto"/>
          </w:tcPr>
          <w:p w14:paraId="52C79C81" w14:textId="77777777" w:rsidR="003E3D07" w:rsidRDefault="003E3D07">
            <w:pPr>
              <w:pStyle w:val="TableText"/>
              <w:rPr>
                <w:rFonts w:eastAsia="Symbol"/>
              </w:rPr>
            </w:pPr>
            <w:r>
              <w:t>M</w:t>
            </w:r>
          </w:p>
        </w:tc>
        <w:tc>
          <w:tcPr>
            <w:tcW w:w="1253" w:type="dxa"/>
            <w:shd w:val="clear" w:color="auto" w:fill="auto"/>
          </w:tcPr>
          <w:p w14:paraId="4ECBD5C2" w14:textId="77777777" w:rsidR="003E3D07" w:rsidRDefault="003E3D07">
            <w:pPr>
              <w:pStyle w:val="TableText"/>
            </w:pPr>
            <w:r>
              <w:t>M</w:t>
            </w:r>
          </w:p>
        </w:tc>
        <w:tc>
          <w:tcPr>
            <w:tcW w:w="1296" w:type="dxa"/>
            <w:shd w:val="clear" w:color="auto" w:fill="auto"/>
          </w:tcPr>
          <w:p w14:paraId="7CD44598" w14:textId="77777777" w:rsidR="003E3D07" w:rsidRDefault="003E3D07">
            <w:pPr>
              <w:pStyle w:val="TableText"/>
              <w:rPr>
                <w:rFonts w:eastAsia="Symbol"/>
              </w:rPr>
            </w:pPr>
            <w:r>
              <w:t>26</w:t>
            </w:r>
          </w:p>
        </w:tc>
        <w:tc>
          <w:tcPr>
            <w:tcW w:w="1296" w:type="dxa"/>
            <w:shd w:val="clear" w:color="auto" w:fill="auto"/>
          </w:tcPr>
          <w:p w14:paraId="767EDB6A" w14:textId="77777777" w:rsidR="003E3D07" w:rsidRDefault="003E3D07">
            <w:pPr>
              <w:pStyle w:val="TableText"/>
              <w:rPr>
                <w:rFonts w:eastAsia="Symbol"/>
              </w:rPr>
            </w:pPr>
            <w:r>
              <w:t>AGM</w:t>
            </w:r>
          </w:p>
        </w:tc>
      </w:tr>
      <w:tr w:rsidR="00824338" w14:paraId="3986DA93" w14:textId="77777777">
        <w:tblPrEx>
          <w:tblBorders>
            <w:insideH w:val="single" w:sz="4" w:space="0" w:color="auto"/>
            <w:insideV w:val="single" w:sz="4" w:space="0" w:color="auto"/>
          </w:tblBorders>
        </w:tblPrEx>
        <w:tc>
          <w:tcPr>
            <w:tcW w:w="1253" w:type="dxa"/>
            <w:shd w:val="clear" w:color="auto" w:fill="auto"/>
          </w:tcPr>
          <w:p w14:paraId="54CBA13E" w14:textId="77777777" w:rsidR="003E3D07" w:rsidRDefault="003E3D07">
            <w:pPr>
              <w:pStyle w:val="TableText"/>
              <w:rPr>
                <w:rFonts w:eastAsia="Symbol"/>
              </w:rPr>
            </w:pPr>
            <w:r>
              <w:t>Anti-N</w:t>
            </w:r>
          </w:p>
        </w:tc>
        <w:tc>
          <w:tcPr>
            <w:tcW w:w="1253" w:type="dxa"/>
            <w:shd w:val="clear" w:color="auto" w:fill="auto"/>
          </w:tcPr>
          <w:p w14:paraId="22F5A7A9" w14:textId="77777777" w:rsidR="003E3D07" w:rsidRDefault="003E3D07">
            <w:pPr>
              <w:pStyle w:val="TableText"/>
            </w:pPr>
            <w:r>
              <w:t>Anti-N</w:t>
            </w:r>
          </w:p>
        </w:tc>
        <w:tc>
          <w:tcPr>
            <w:tcW w:w="878" w:type="dxa"/>
            <w:shd w:val="clear" w:color="auto" w:fill="auto"/>
          </w:tcPr>
          <w:p w14:paraId="452DB398" w14:textId="77777777" w:rsidR="003E3D07" w:rsidRDefault="003E3D07">
            <w:pPr>
              <w:pStyle w:val="TableText"/>
            </w:pPr>
            <w:r>
              <w:t>No</w:t>
            </w:r>
          </w:p>
        </w:tc>
        <w:tc>
          <w:tcPr>
            <w:tcW w:w="878" w:type="dxa"/>
            <w:shd w:val="clear" w:color="auto" w:fill="auto"/>
          </w:tcPr>
          <w:p w14:paraId="054FA6B7" w14:textId="77777777" w:rsidR="003E3D07" w:rsidRDefault="003E3D07">
            <w:pPr>
              <w:pStyle w:val="TableText"/>
              <w:rPr>
                <w:rFonts w:eastAsia="Symbol"/>
              </w:rPr>
            </w:pPr>
            <w:r>
              <w:t>Optional</w:t>
            </w:r>
          </w:p>
        </w:tc>
        <w:tc>
          <w:tcPr>
            <w:tcW w:w="1253" w:type="dxa"/>
            <w:shd w:val="clear" w:color="auto" w:fill="auto"/>
          </w:tcPr>
          <w:p w14:paraId="5BBB5B73" w14:textId="77777777" w:rsidR="003E3D07" w:rsidRDefault="003E3D07">
            <w:pPr>
              <w:pStyle w:val="TableText"/>
              <w:rPr>
                <w:rFonts w:eastAsia="Symbol"/>
              </w:rPr>
            </w:pPr>
            <w:r>
              <w:t>N</w:t>
            </w:r>
          </w:p>
        </w:tc>
        <w:tc>
          <w:tcPr>
            <w:tcW w:w="1253" w:type="dxa"/>
            <w:shd w:val="clear" w:color="auto" w:fill="auto"/>
          </w:tcPr>
          <w:p w14:paraId="3DB0219F" w14:textId="77777777" w:rsidR="003E3D07" w:rsidRDefault="003E3D07">
            <w:pPr>
              <w:pStyle w:val="TableText"/>
            </w:pPr>
            <w:r>
              <w:t>N</w:t>
            </w:r>
          </w:p>
        </w:tc>
        <w:tc>
          <w:tcPr>
            <w:tcW w:w="1296" w:type="dxa"/>
            <w:shd w:val="clear" w:color="auto" w:fill="auto"/>
          </w:tcPr>
          <w:p w14:paraId="2906983F" w14:textId="77777777" w:rsidR="003E3D07" w:rsidRDefault="003E3D07">
            <w:pPr>
              <w:pStyle w:val="TableText"/>
              <w:rPr>
                <w:rFonts w:eastAsia="Symbol"/>
              </w:rPr>
            </w:pPr>
            <w:r>
              <w:t>27</w:t>
            </w:r>
          </w:p>
        </w:tc>
        <w:tc>
          <w:tcPr>
            <w:tcW w:w="1296" w:type="dxa"/>
            <w:shd w:val="clear" w:color="auto" w:fill="auto"/>
          </w:tcPr>
          <w:p w14:paraId="7D0B674C" w14:textId="77777777" w:rsidR="003E3D07" w:rsidRDefault="003E3D07">
            <w:pPr>
              <w:pStyle w:val="TableText"/>
              <w:rPr>
                <w:rFonts w:eastAsia="Symbol"/>
              </w:rPr>
            </w:pPr>
            <w:r>
              <w:t>AGN</w:t>
            </w:r>
          </w:p>
        </w:tc>
      </w:tr>
      <w:tr w:rsidR="00824338" w14:paraId="10FD6535" w14:textId="77777777">
        <w:tblPrEx>
          <w:tblBorders>
            <w:insideH w:val="single" w:sz="4" w:space="0" w:color="auto"/>
            <w:insideV w:val="single" w:sz="4" w:space="0" w:color="auto"/>
          </w:tblBorders>
        </w:tblPrEx>
        <w:tc>
          <w:tcPr>
            <w:tcW w:w="1253" w:type="dxa"/>
            <w:shd w:val="clear" w:color="auto" w:fill="auto"/>
          </w:tcPr>
          <w:p w14:paraId="057C1EEF" w14:textId="77777777" w:rsidR="003E3D07" w:rsidRDefault="003E3D07">
            <w:pPr>
              <w:pStyle w:val="TableText"/>
              <w:rPr>
                <w:rFonts w:eastAsia="Symbol"/>
              </w:rPr>
            </w:pPr>
            <w:r>
              <w:t>Anti-S</w:t>
            </w:r>
          </w:p>
        </w:tc>
        <w:tc>
          <w:tcPr>
            <w:tcW w:w="1253" w:type="dxa"/>
            <w:shd w:val="clear" w:color="auto" w:fill="auto"/>
          </w:tcPr>
          <w:p w14:paraId="05BB6F06" w14:textId="77777777" w:rsidR="003E3D07" w:rsidRDefault="003E3D07">
            <w:pPr>
              <w:pStyle w:val="TableText"/>
              <w:rPr>
                <w:rFonts w:eastAsia="Symbol"/>
              </w:rPr>
            </w:pPr>
            <w:r>
              <w:t>Anti-S</w:t>
            </w:r>
          </w:p>
        </w:tc>
        <w:tc>
          <w:tcPr>
            <w:tcW w:w="878" w:type="dxa"/>
            <w:shd w:val="clear" w:color="auto" w:fill="auto"/>
          </w:tcPr>
          <w:p w14:paraId="029EF580" w14:textId="77777777" w:rsidR="003E3D07" w:rsidRDefault="003E3D07">
            <w:pPr>
              <w:pStyle w:val="TableText"/>
              <w:rPr>
                <w:b/>
                <w:bCs/>
              </w:rPr>
            </w:pPr>
            <w:r>
              <w:rPr>
                <w:bCs/>
              </w:rPr>
              <w:t>Yes</w:t>
            </w:r>
          </w:p>
        </w:tc>
        <w:tc>
          <w:tcPr>
            <w:tcW w:w="878" w:type="dxa"/>
            <w:shd w:val="clear" w:color="auto" w:fill="auto"/>
          </w:tcPr>
          <w:p w14:paraId="273CEB72" w14:textId="77777777" w:rsidR="003E3D07" w:rsidRDefault="003E3D07">
            <w:pPr>
              <w:pStyle w:val="TableText"/>
              <w:rPr>
                <w:rFonts w:eastAsia="Symbol"/>
                <w:b/>
                <w:bCs/>
              </w:rPr>
            </w:pPr>
            <w:r>
              <w:rPr>
                <w:bCs/>
              </w:rPr>
              <w:t>Yes</w:t>
            </w:r>
          </w:p>
        </w:tc>
        <w:tc>
          <w:tcPr>
            <w:tcW w:w="1253" w:type="dxa"/>
            <w:shd w:val="clear" w:color="auto" w:fill="auto"/>
          </w:tcPr>
          <w:p w14:paraId="672133E1" w14:textId="77777777" w:rsidR="003E3D07" w:rsidRDefault="003E3D07">
            <w:pPr>
              <w:pStyle w:val="TableText"/>
              <w:rPr>
                <w:rFonts w:eastAsia="Symbol"/>
              </w:rPr>
            </w:pPr>
            <w:r>
              <w:t>S</w:t>
            </w:r>
          </w:p>
        </w:tc>
        <w:tc>
          <w:tcPr>
            <w:tcW w:w="1253" w:type="dxa"/>
            <w:shd w:val="clear" w:color="auto" w:fill="auto"/>
          </w:tcPr>
          <w:p w14:paraId="7FD029CF" w14:textId="77777777" w:rsidR="003E3D07" w:rsidRDefault="003E3D07">
            <w:pPr>
              <w:pStyle w:val="TableText"/>
              <w:rPr>
                <w:rFonts w:eastAsia="Symbol"/>
              </w:rPr>
            </w:pPr>
            <w:r>
              <w:t>S</w:t>
            </w:r>
          </w:p>
        </w:tc>
        <w:tc>
          <w:tcPr>
            <w:tcW w:w="1296" w:type="dxa"/>
            <w:shd w:val="clear" w:color="auto" w:fill="auto"/>
          </w:tcPr>
          <w:p w14:paraId="6FE0D9B1" w14:textId="77777777" w:rsidR="003E3D07" w:rsidRDefault="003E3D07">
            <w:pPr>
              <w:pStyle w:val="TableText"/>
              <w:rPr>
                <w:rFonts w:eastAsia="Symbol"/>
              </w:rPr>
            </w:pPr>
            <w:r>
              <w:t>58</w:t>
            </w:r>
          </w:p>
        </w:tc>
        <w:tc>
          <w:tcPr>
            <w:tcW w:w="1296" w:type="dxa"/>
            <w:shd w:val="clear" w:color="auto" w:fill="auto"/>
          </w:tcPr>
          <w:p w14:paraId="200C3FEF" w14:textId="77777777" w:rsidR="003E3D07" w:rsidRDefault="003E3D07">
            <w:pPr>
              <w:pStyle w:val="TableText"/>
              <w:rPr>
                <w:rFonts w:eastAsia="Symbol"/>
              </w:rPr>
            </w:pPr>
            <w:r>
              <w:t>AGS</w:t>
            </w:r>
          </w:p>
        </w:tc>
      </w:tr>
      <w:tr w:rsidR="00824338" w14:paraId="42DB3B35" w14:textId="77777777">
        <w:tblPrEx>
          <w:tblBorders>
            <w:insideH w:val="single" w:sz="4" w:space="0" w:color="auto"/>
            <w:insideV w:val="single" w:sz="4" w:space="0" w:color="auto"/>
          </w:tblBorders>
        </w:tblPrEx>
        <w:tc>
          <w:tcPr>
            <w:tcW w:w="1253" w:type="dxa"/>
            <w:shd w:val="clear" w:color="auto" w:fill="auto"/>
          </w:tcPr>
          <w:p w14:paraId="64204A44" w14:textId="77777777" w:rsidR="003E3D07" w:rsidRDefault="003E3D07">
            <w:pPr>
              <w:pStyle w:val="TableText"/>
              <w:rPr>
                <w:rFonts w:eastAsia="Symbol"/>
              </w:rPr>
            </w:pPr>
            <w:r>
              <w:t>Anti-s</w:t>
            </w:r>
          </w:p>
        </w:tc>
        <w:tc>
          <w:tcPr>
            <w:tcW w:w="1253" w:type="dxa"/>
            <w:shd w:val="clear" w:color="auto" w:fill="auto"/>
          </w:tcPr>
          <w:p w14:paraId="45CDEC64" w14:textId="77777777" w:rsidR="003E3D07" w:rsidRDefault="003E3D07">
            <w:pPr>
              <w:pStyle w:val="TableText"/>
              <w:rPr>
                <w:rFonts w:eastAsia="Symbol"/>
              </w:rPr>
            </w:pPr>
            <w:r>
              <w:t>Anti-s</w:t>
            </w:r>
          </w:p>
        </w:tc>
        <w:tc>
          <w:tcPr>
            <w:tcW w:w="878" w:type="dxa"/>
            <w:shd w:val="clear" w:color="auto" w:fill="auto"/>
          </w:tcPr>
          <w:p w14:paraId="07F2A26E" w14:textId="77777777" w:rsidR="003E3D07" w:rsidRDefault="003E3D07">
            <w:pPr>
              <w:pStyle w:val="TableText"/>
              <w:rPr>
                <w:b/>
                <w:bCs/>
              </w:rPr>
            </w:pPr>
            <w:r>
              <w:rPr>
                <w:bCs/>
              </w:rPr>
              <w:t>Yes</w:t>
            </w:r>
          </w:p>
        </w:tc>
        <w:tc>
          <w:tcPr>
            <w:tcW w:w="878" w:type="dxa"/>
            <w:shd w:val="clear" w:color="auto" w:fill="auto"/>
          </w:tcPr>
          <w:p w14:paraId="024E113C" w14:textId="77777777" w:rsidR="003E3D07" w:rsidRDefault="003E3D07">
            <w:pPr>
              <w:pStyle w:val="TableText"/>
              <w:rPr>
                <w:rFonts w:eastAsia="Symbol"/>
                <w:b/>
                <w:bCs/>
              </w:rPr>
            </w:pPr>
            <w:r>
              <w:rPr>
                <w:bCs/>
              </w:rPr>
              <w:t>Yes</w:t>
            </w:r>
          </w:p>
        </w:tc>
        <w:tc>
          <w:tcPr>
            <w:tcW w:w="1253" w:type="dxa"/>
            <w:shd w:val="clear" w:color="auto" w:fill="auto"/>
          </w:tcPr>
          <w:p w14:paraId="07F7D1EA" w14:textId="77777777" w:rsidR="003E3D07" w:rsidRDefault="003E3D07">
            <w:pPr>
              <w:pStyle w:val="TableText"/>
              <w:rPr>
                <w:rFonts w:eastAsia="Symbol"/>
              </w:rPr>
            </w:pPr>
            <w:r>
              <w:t>s</w:t>
            </w:r>
          </w:p>
        </w:tc>
        <w:tc>
          <w:tcPr>
            <w:tcW w:w="1253" w:type="dxa"/>
            <w:shd w:val="clear" w:color="auto" w:fill="auto"/>
          </w:tcPr>
          <w:p w14:paraId="493CAA71" w14:textId="77777777" w:rsidR="003E3D07" w:rsidRDefault="003E3D07">
            <w:pPr>
              <w:pStyle w:val="TableText"/>
              <w:rPr>
                <w:rFonts w:eastAsia="Symbol"/>
              </w:rPr>
            </w:pPr>
            <w:r>
              <w:t>s</w:t>
            </w:r>
          </w:p>
        </w:tc>
        <w:tc>
          <w:tcPr>
            <w:tcW w:w="1296" w:type="dxa"/>
            <w:shd w:val="clear" w:color="auto" w:fill="auto"/>
          </w:tcPr>
          <w:p w14:paraId="376396DF" w14:textId="77777777" w:rsidR="003E3D07" w:rsidRDefault="003E3D07">
            <w:pPr>
              <w:pStyle w:val="TableText"/>
              <w:rPr>
                <w:rFonts w:eastAsia="Symbol"/>
              </w:rPr>
            </w:pPr>
            <w:r>
              <w:t>7</w:t>
            </w:r>
          </w:p>
        </w:tc>
        <w:tc>
          <w:tcPr>
            <w:tcW w:w="1296" w:type="dxa"/>
            <w:shd w:val="clear" w:color="auto" w:fill="auto"/>
          </w:tcPr>
          <w:p w14:paraId="029FADCD" w14:textId="77777777" w:rsidR="003E3D07" w:rsidRDefault="003E3D07">
            <w:pPr>
              <w:pStyle w:val="TableText"/>
              <w:rPr>
                <w:rFonts w:eastAsia="Symbol"/>
              </w:rPr>
            </w:pPr>
            <w:r>
              <w:t>AGs</w:t>
            </w:r>
          </w:p>
        </w:tc>
      </w:tr>
      <w:tr w:rsidR="00824338" w14:paraId="13473369" w14:textId="77777777">
        <w:tblPrEx>
          <w:tblBorders>
            <w:insideH w:val="single" w:sz="4" w:space="0" w:color="auto"/>
            <w:insideV w:val="single" w:sz="4" w:space="0" w:color="auto"/>
          </w:tblBorders>
        </w:tblPrEx>
        <w:tc>
          <w:tcPr>
            <w:tcW w:w="1253" w:type="dxa"/>
            <w:shd w:val="clear" w:color="auto" w:fill="auto"/>
          </w:tcPr>
          <w:p w14:paraId="6F7B40C3" w14:textId="77777777" w:rsidR="003E3D07" w:rsidRDefault="003E3D07">
            <w:pPr>
              <w:pStyle w:val="TableText"/>
              <w:rPr>
                <w:rFonts w:eastAsia="Symbol"/>
              </w:rPr>
            </w:pPr>
            <w:r>
              <w:t>Anti-U</w:t>
            </w:r>
          </w:p>
        </w:tc>
        <w:tc>
          <w:tcPr>
            <w:tcW w:w="1253" w:type="dxa"/>
            <w:shd w:val="clear" w:color="auto" w:fill="auto"/>
          </w:tcPr>
          <w:p w14:paraId="667067E2" w14:textId="77777777" w:rsidR="003E3D07" w:rsidRDefault="003E3D07">
            <w:pPr>
              <w:pStyle w:val="TableText"/>
              <w:rPr>
                <w:b/>
                <w:bCs/>
              </w:rPr>
            </w:pPr>
            <w:r>
              <w:t>Anti-U</w:t>
            </w:r>
          </w:p>
        </w:tc>
        <w:tc>
          <w:tcPr>
            <w:tcW w:w="878" w:type="dxa"/>
            <w:shd w:val="clear" w:color="auto" w:fill="auto"/>
          </w:tcPr>
          <w:p w14:paraId="014E2A70" w14:textId="77777777" w:rsidR="003E3D07" w:rsidRDefault="003E3D07">
            <w:pPr>
              <w:pStyle w:val="TableText"/>
              <w:rPr>
                <w:b/>
                <w:bCs/>
              </w:rPr>
            </w:pPr>
            <w:r>
              <w:rPr>
                <w:bCs/>
              </w:rPr>
              <w:t>Yes</w:t>
            </w:r>
          </w:p>
        </w:tc>
        <w:tc>
          <w:tcPr>
            <w:tcW w:w="878" w:type="dxa"/>
            <w:shd w:val="clear" w:color="auto" w:fill="auto"/>
          </w:tcPr>
          <w:p w14:paraId="2EBEBC4B" w14:textId="77777777" w:rsidR="003E3D07" w:rsidRDefault="003E3D07">
            <w:pPr>
              <w:pStyle w:val="TableText"/>
              <w:rPr>
                <w:rFonts w:eastAsia="Symbol"/>
              </w:rPr>
            </w:pPr>
            <w:r>
              <w:t>Optional</w:t>
            </w:r>
          </w:p>
        </w:tc>
        <w:tc>
          <w:tcPr>
            <w:tcW w:w="1253" w:type="dxa"/>
            <w:shd w:val="clear" w:color="auto" w:fill="auto"/>
          </w:tcPr>
          <w:p w14:paraId="664A4629" w14:textId="77777777" w:rsidR="003E3D07" w:rsidRDefault="003E3D07">
            <w:pPr>
              <w:pStyle w:val="TableText"/>
              <w:rPr>
                <w:rFonts w:eastAsia="Symbol"/>
              </w:rPr>
            </w:pPr>
            <w:r>
              <w:t>U</w:t>
            </w:r>
          </w:p>
        </w:tc>
        <w:tc>
          <w:tcPr>
            <w:tcW w:w="1253" w:type="dxa"/>
            <w:shd w:val="clear" w:color="auto" w:fill="auto"/>
          </w:tcPr>
          <w:p w14:paraId="4A729216" w14:textId="77777777" w:rsidR="003E3D07" w:rsidRDefault="003E3D07">
            <w:pPr>
              <w:pStyle w:val="TableText"/>
            </w:pPr>
            <w:r>
              <w:t>U</w:t>
            </w:r>
          </w:p>
        </w:tc>
        <w:tc>
          <w:tcPr>
            <w:tcW w:w="1296" w:type="dxa"/>
            <w:shd w:val="clear" w:color="auto" w:fill="auto"/>
          </w:tcPr>
          <w:p w14:paraId="285B2977" w14:textId="77777777" w:rsidR="003E3D07" w:rsidRDefault="003E3D07">
            <w:pPr>
              <w:pStyle w:val="TableText"/>
              <w:rPr>
                <w:rFonts w:eastAsia="Symbol"/>
              </w:rPr>
            </w:pPr>
            <w:r>
              <w:t>0</w:t>
            </w:r>
          </w:p>
        </w:tc>
        <w:tc>
          <w:tcPr>
            <w:tcW w:w="1296" w:type="dxa"/>
            <w:shd w:val="clear" w:color="auto" w:fill="auto"/>
          </w:tcPr>
          <w:p w14:paraId="4C527B0B" w14:textId="77777777" w:rsidR="003E3D07" w:rsidRDefault="003E3D07">
            <w:pPr>
              <w:pStyle w:val="TableText"/>
              <w:rPr>
                <w:rFonts w:eastAsia="Symbol"/>
              </w:rPr>
            </w:pPr>
            <w:r>
              <w:t>AGU</w:t>
            </w:r>
          </w:p>
        </w:tc>
      </w:tr>
      <w:tr w:rsidR="00824338" w14:paraId="79275613" w14:textId="77777777">
        <w:tblPrEx>
          <w:tblBorders>
            <w:insideH w:val="single" w:sz="4" w:space="0" w:color="auto"/>
            <w:insideV w:val="single" w:sz="4" w:space="0" w:color="auto"/>
          </w:tblBorders>
        </w:tblPrEx>
        <w:tc>
          <w:tcPr>
            <w:tcW w:w="1253" w:type="dxa"/>
            <w:shd w:val="clear" w:color="auto" w:fill="auto"/>
          </w:tcPr>
          <w:p w14:paraId="2D8BF187" w14:textId="77777777" w:rsidR="003E3D07" w:rsidRDefault="003E3D07">
            <w:pPr>
              <w:pStyle w:val="TableText"/>
              <w:rPr>
                <w:rFonts w:eastAsia="Symbol"/>
              </w:rPr>
            </w:pPr>
            <w:r>
              <w:t>Anti-P1</w:t>
            </w:r>
          </w:p>
        </w:tc>
        <w:tc>
          <w:tcPr>
            <w:tcW w:w="1253" w:type="dxa"/>
            <w:shd w:val="clear" w:color="auto" w:fill="auto"/>
          </w:tcPr>
          <w:p w14:paraId="6CBD8C3A" w14:textId="77777777" w:rsidR="003E3D07" w:rsidRDefault="003E3D07">
            <w:pPr>
              <w:pStyle w:val="TableText"/>
            </w:pPr>
            <w:r>
              <w:t>Anti-P1</w:t>
            </w:r>
          </w:p>
        </w:tc>
        <w:tc>
          <w:tcPr>
            <w:tcW w:w="878" w:type="dxa"/>
            <w:shd w:val="clear" w:color="auto" w:fill="auto"/>
          </w:tcPr>
          <w:p w14:paraId="3EB97226" w14:textId="77777777" w:rsidR="003E3D07" w:rsidRDefault="003E3D07">
            <w:pPr>
              <w:pStyle w:val="TableText"/>
            </w:pPr>
            <w:r>
              <w:t>No</w:t>
            </w:r>
          </w:p>
        </w:tc>
        <w:tc>
          <w:tcPr>
            <w:tcW w:w="878" w:type="dxa"/>
            <w:shd w:val="clear" w:color="auto" w:fill="auto"/>
          </w:tcPr>
          <w:p w14:paraId="6B5CF6FD" w14:textId="77777777" w:rsidR="003E3D07" w:rsidRDefault="003E3D07">
            <w:pPr>
              <w:pStyle w:val="TableText"/>
              <w:rPr>
                <w:rFonts w:eastAsia="Symbol"/>
              </w:rPr>
            </w:pPr>
            <w:r>
              <w:t>Optional</w:t>
            </w:r>
          </w:p>
        </w:tc>
        <w:tc>
          <w:tcPr>
            <w:tcW w:w="1253" w:type="dxa"/>
            <w:shd w:val="clear" w:color="auto" w:fill="auto"/>
          </w:tcPr>
          <w:p w14:paraId="687C4A49" w14:textId="77777777" w:rsidR="003E3D07" w:rsidRDefault="003E3D07">
            <w:pPr>
              <w:pStyle w:val="TableText"/>
              <w:rPr>
                <w:rFonts w:eastAsia="Symbol"/>
              </w:rPr>
            </w:pPr>
            <w:r>
              <w:t>P1</w:t>
            </w:r>
          </w:p>
        </w:tc>
        <w:tc>
          <w:tcPr>
            <w:tcW w:w="1253" w:type="dxa"/>
            <w:shd w:val="clear" w:color="auto" w:fill="auto"/>
          </w:tcPr>
          <w:p w14:paraId="033AAE76" w14:textId="77777777" w:rsidR="003E3D07" w:rsidRDefault="003E3D07">
            <w:pPr>
              <w:pStyle w:val="TableText"/>
              <w:rPr>
                <w:rFonts w:eastAsia="Symbol"/>
              </w:rPr>
            </w:pPr>
            <w:r>
              <w:t>P1</w:t>
            </w:r>
          </w:p>
        </w:tc>
        <w:tc>
          <w:tcPr>
            <w:tcW w:w="1296" w:type="dxa"/>
            <w:shd w:val="clear" w:color="auto" w:fill="auto"/>
          </w:tcPr>
          <w:p w14:paraId="7D439378" w14:textId="77777777" w:rsidR="003E3D07" w:rsidRDefault="003E3D07">
            <w:pPr>
              <w:pStyle w:val="TableText"/>
              <w:rPr>
                <w:rFonts w:eastAsia="Symbol"/>
              </w:rPr>
            </w:pPr>
            <w:r>
              <w:rPr>
                <w:rFonts w:eastAsia="Symbol"/>
              </w:rPr>
              <w:t>21</w:t>
            </w:r>
          </w:p>
        </w:tc>
        <w:tc>
          <w:tcPr>
            <w:tcW w:w="1296" w:type="dxa"/>
            <w:shd w:val="clear" w:color="auto" w:fill="auto"/>
          </w:tcPr>
          <w:p w14:paraId="247D620D" w14:textId="77777777" w:rsidR="003E3D07" w:rsidRDefault="003E3D07">
            <w:pPr>
              <w:pStyle w:val="TableText"/>
              <w:rPr>
                <w:rFonts w:eastAsia="Symbol"/>
              </w:rPr>
            </w:pPr>
            <w:r>
              <w:t>AGP1</w:t>
            </w:r>
          </w:p>
        </w:tc>
      </w:tr>
      <w:tr w:rsidR="00824338" w14:paraId="498FCCEB" w14:textId="77777777">
        <w:tblPrEx>
          <w:tblBorders>
            <w:insideH w:val="single" w:sz="4" w:space="0" w:color="auto"/>
            <w:insideV w:val="single" w:sz="4" w:space="0" w:color="auto"/>
          </w:tblBorders>
        </w:tblPrEx>
        <w:tc>
          <w:tcPr>
            <w:tcW w:w="1253" w:type="dxa"/>
            <w:shd w:val="clear" w:color="auto" w:fill="auto"/>
          </w:tcPr>
          <w:p w14:paraId="751E106F" w14:textId="77777777" w:rsidR="003E3D07" w:rsidRDefault="003E3D07">
            <w:pPr>
              <w:pStyle w:val="TableText"/>
              <w:rPr>
                <w:rFonts w:eastAsia="Symbol"/>
              </w:rPr>
            </w:pPr>
            <w:r>
              <w:t>Anti-Le(a)</w:t>
            </w:r>
          </w:p>
        </w:tc>
        <w:tc>
          <w:tcPr>
            <w:tcW w:w="1253" w:type="dxa"/>
            <w:shd w:val="clear" w:color="auto" w:fill="auto"/>
          </w:tcPr>
          <w:p w14:paraId="1D696425" w14:textId="77777777" w:rsidR="003E3D07" w:rsidRDefault="003E3D07">
            <w:pPr>
              <w:pStyle w:val="TableText"/>
              <w:rPr>
                <w:rFonts w:eastAsia="Symbol"/>
              </w:rPr>
            </w:pPr>
            <w:r>
              <w:t>Anti-Le(a)</w:t>
            </w:r>
          </w:p>
        </w:tc>
        <w:tc>
          <w:tcPr>
            <w:tcW w:w="878" w:type="dxa"/>
            <w:shd w:val="clear" w:color="auto" w:fill="auto"/>
          </w:tcPr>
          <w:p w14:paraId="6F338F9E" w14:textId="77777777" w:rsidR="003E3D07" w:rsidRDefault="003E3D07">
            <w:pPr>
              <w:pStyle w:val="TableText"/>
            </w:pPr>
            <w:r>
              <w:t>No</w:t>
            </w:r>
          </w:p>
        </w:tc>
        <w:tc>
          <w:tcPr>
            <w:tcW w:w="878" w:type="dxa"/>
            <w:shd w:val="clear" w:color="auto" w:fill="auto"/>
          </w:tcPr>
          <w:p w14:paraId="281998BC" w14:textId="77777777" w:rsidR="003E3D07" w:rsidRDefault="003E3D07">
            <w:pPr>
              <w:pStyle w:val="TableText"/>
              <w:rPr>
                <w:rFonts w:eastAsia="Symbol"/>
              </w:rPr>
            </w:pPr>
            <w:r>
              <w:t>Optional</w:t>
            </w:r>
          </w:p>
        </w:tc>
        <w:tc>
          <w:tcPr>
            <w:tcW w:w="1253" w:type="dxa"/>
            <w:shd w:val="clear" w:color="auto" w:fill="auto"/>
          </w:tcPr>
          <w:p w14:paraId="79053358" w14:textId="77777777" w:rsidR="003E3D07" w:rsidRDefault="003E3D07">
            <w:pPr>
              <w:pStyle w:val="TableText"/>
              <w:rPr>
                <w:rFonts w:eastAsia="Symbol"/>
              </w:rPr>
            </w:pPr>
            <w:r>
              <w:t>Le(a)</w:t>
            </w:r>
          </w:p>
        </w:tc>
        <w:tc>
          <w:tcPr>
            <w:tcW w:w="1253" w:type="dxa"/>
            <w:shd w:val="clear" w:color="auto" w:fill="auto"/>
          </w:tcPr>
          <w:p w14:paraId="578FA902" w14:textId="77777777" w:rsidR="003E3D07" w:rsidRDefault="003E3D07">
            <w:pPr>
              <w:pStyle w:val="TableText"/>
              <w:rPr>
                <w:rFonts w:eastAsia="Symbol"/>
              </w:rPr>
            </w:pPr>
            <w:r>
              <w:t>Le(a)</w:t>
            </w:r>
          </w:p>
        </w:tc>
        <w:tc>
          <w:tcPr>
            <w:tcW w:w="1296" w:type="dxa"/>
            <w:shd w:val="clear" w:color="auto" w:fill="auto"/>
          </w:tcPr>
          <w:p w14:paraId="3D539D40" w14:textId="77777777" w:rsidR="003E3D07" w:rsidRDefault="003E3D07">
            <w:pPr>
              <w:pStyle w:val="TableText"/>
              <w:rPr>
                <w:rFonts w:eastAsia="Symbol"/>
              </w:rPr>
            </w:pPr>
            <w:r>
              <w:t>78</w:t>
            </w:r>
          </w:p>
        </w:tc>
        <w:tc>
          <w:tcPr>
            <w:tcW w:w="1296" w:type="dxa"/>
            <w:shd w:val="clear" w:color="auto" w:fill="auto"/>
          </w:tcPr>
          <w:p w14:paraId="4BC46CD4" w14:textId="77777777" w:rsidR="003E3D07" w:rsidRDefault="003E3D07">
            <w:pPr>
              <w:pStyle w:val="TableText"/>
              <w:rPr>
                <w:rFonts w:eastAsia="Symbol"/>
              </w:rPr>
            </w:pPr>
            <w:r>
              <w:t>AGLe(a)</w:t>
            </w:r>
          </w:p>
        </w:tc>
      </w:tr>
      <w:tr w:rsidR="00824338" w14:paraId="4444A92F" w14:textId="77777777">
        <w:tblPrEx>
          <w:tblBorders>
            <w:insideH w:val="single" w:sz="4" w:space="0" w:color="auto"/>
            <w:insideV w:val="single" w:sz="4" w:space="0" w:color="auto"/>
          </w:tblBorders>
        </w:tblPrEx>
        <w:tc>
          <w:tcPr>
            <w:tcW w:w="1253" w:type="dxa"/>
            <w:shd w:val="clear" w:color="auto" w:fill="auto"/>
          </w:tcPr>
          <w:p w14:paraId="2CB52D49" w14:textId="77777777" w:rsidR="003E3D07" w:rsidRDefault="003E3D07">
            <w:pPr>
              <w:pStyle w:val="TableText"/>
              <w:rPr>
                <w:rFonts w:eastAsia="Symbol"/>
              </w:rPr>
            </w:pPr>
            <w:r>
              <w:t>Anti-Le(b)</w:t>
            </w:r>
          </w:p>
        </w:tc>
        <w:tc>
          <w:tcPr>
            <w:tcW w:w="1253" w:type="dxa"/>
            <w:shd w:val="clear" w:color="auto" w:fill="auto"/>
          </w:tcPr>
          <w:p w14:paraId="3D972229" w14:textId="77777777" w:rsidR="003E3D07" w:rsidRDefault="003E3D07">
            <w:pPr>
              <w:pStyle w:val="TableText"/>
              <w:rPr>
                <w:rFonts w:eastAsia="Symbol"/>
              </w:rPr>
            </w:pPr>
            <w:r>
              <w:t>Anti-Le(b)</w:t>
            </w:r>
          </w:p>
        </w:tc>
        <w:tc>
          <w:tcPr>
            <w:tcW w:w="878" w:type="dxa"/>
            <w:shd w:val="clear" w:color="auto" w:fill="auto"/>
          </w:tcPr>
          <w:p w14:paraId="6A065429" w14:textId="77777777" w:rsidR="003E3D07" w:rsidRDefault="003E3D07">
            <w:pPr>
              <w:pStyle w:val="TableText"/>
            </w:pPr>
            <w:r>
              <w:t>No</w:t>
            </w:r>
          </w:p>
        </w:tc>
        <w:tc>
          <w:tcPr>
            <w:tcW w:w="878" w:type="dxa"/>
            <w:shd w:val="clear" w:color="auto" w:fill="auto"/>
          </w:tcPr>
          <w:p w14:paraId="0FD79DDC" w14:textId="77777777" w:rsidR="003E3D07" w:rsidRDefault="003E3D07">
            <w:pPr>
              <w:pStyle w:val="TableText"/>
              <w:rPr>
                <w:rFonts w:eastAsia="Symbol"/>
              </w:rPr>
            </w:pPr>
            <w:r>
              <w:t>Optional</w:t>
            </w:r>
          </w:p>
        </w:tc>
        <w:tc>
          <w:tcPr>
            <w:tcW w:w="1253" w:type="dxa"/>
            <w:shd w:val="clear" w:color="auto" w:fill="auto"/>
          </w:tcPr>
          <w:p w14:paraId="5DCFC927" w14:textId="77777777" w:rsidR="003E3D07" w:rsidRDefault="003E3D07">
            <w:pPr>
              <w:pStyle w:val="TableText"/>
              <w:rPr>
                <w:rFonts w:eastAsia="Symbol"/>
              </w:rPr>
            </w:pPr>
            <w:r>
              <w:t>Le(b)</w:t>
            </w:r>
          </w:p>
        </w:tc>
        <w:tc>
          <w:tcPr>
            <w:tcW w:w="1253" w:type="dxa"/>
            <w:shd w:val="clear" w:color="auto" w:fill="auto"/>
          </w:tcPr>
          <w:p w14:paraId="0764BAE8" w14:textId="77777777" w:rsidR="003E3D07" w:rsidRDefault="003E3D07">
            <w:pPr>
              <w:pStyle w:val="TableText"/>
              <w:rPr>
                <w:rFonts w:eastAsia="Symbol"/>
              </w:rPr>
            </w:pPr>
            <w:r>
              <w:t>Le(b)</w:t>
            </w:r>
          </w:p>
        </w:tc>
        <w:tc>
          <w:tcPr>
            <w:tcW w:w="1296" w:type="dxa"/>
            <w:shd w:val="clear" w:color="auto" w:fill="auto"/>
          </w:tcPr>
          <w:p w14:paraId="3E6312AD" w14:textId="77777777" w:rsidR="003E3D07" w:rsidRDefault="003E3D07">
            <w:pPr>
              <w:pStyle w:val="TableText"/>
              <w:rPr>
                <w:rFonts w:eastAsia="Symbol"/>
              </w:rPr>
            </w:pPr>
            <w:r>
              <w:t>37</w:t>
            </w:r>
          </w:p>
        </w:tc>
        <w:tc>
          <w:tcPr>
            <w:tcW w:w="1296" w:type="dxa"/>
            <w:shd w:val="clear" w:color="auto" w:fill="auto"/>
          </w:tcPr>
          <w:p w14:paraId="79D039C1" w14:textId="77777777" w:rsidR="003E3D07" w:rsidRDefault="003E3D07">
            <w:pPr>
              <w:pStyle w:val="TableText"/>
              <w:rPr>
                <w:rFonts w:eastAsia="Symbol"/>
              </w:rPr>
            </w:pPr>
            <w:r>
              <w:t>AGLe(b)</w:t>
            </w:r>
          </w:p>
        </w:tc>
      </w:tr>
      <w:tr w:rsidR="00824338" w14:paraId="6CCDEF03" w14:textId="77777777">
        <w:tblPrEx>
          <w:tblBorders>
            <w:insideH w:val="single" w:sz="4" w:space="0" w:color="auto"/>
            <w:insideV w:val="single" w:sz="4" w:space="0" w:color="auto"/>
          </w:tblBorders>
        </w:tblPrEx>
        <w:tc>
          <w:tcPr>
            <w:tcW w:w="1253" w:type="dxa"/>
            <w:shd w:val="clear" w:color="auto" w:fill="auto"/>
          </w:tcPr>
          <w:p w14:paraId="191B4485" w14:textId="77777777" w:rsidR="003E3D07" w:rsidRDefault="003E3D07">
            <w:pPr>
              <w:pStyle w:val="TableText"/>
              <w:rPr>
                <w:rFonts w:eastAsia="Symbol"/>
              </w:rPr>
            </w:pPr>
            <w:r>
              <w:t>Anti-Js(a)</w:t>
            </w:r>
          </w:p>
        </w:tc>
        <w:tc>
          <w:tcPr>
            <w:tcW w:w="1253" w:type="dxa"/>
            <w:shd w:val="clear" w:color="auto" w:fill="auto"/>
          </w:tcPr>
          <w:p w14:paraId="462070FE" w14:textId="77777777" w:rsidR="003E3D07" w:rsidRDefault="003E3D07">
            <w:pPr>
              <w:pStyle w:val="TableText"/>
              <w:rPr>
                <w:rFonts w:eastAsia="Symbol"/>
              </w:rPr>
            </w:pPr>
            <w:r>
              <w:t>Anti-Js(a)</w:t>
            </w:r>
          </w:p>
        </w:tc>
        <w:tc>
          <w:tcPr>
            <w:tcW w:w="878" w:type="dxa"/>
            <w:shd w:val="clear" w:color="auto" w:fill="auto"/>
          </w:tcPr>
          <w:p w14:paraId="659B8F78" w14:textId="77777777" w:rsidR="003E3D07" w:rsidRDefault="003E3D07">
            <w:pPr>
              <w:pStyle w:val="TableText"/>
              <w:rPr>
                <w:b/>
                <w:bCs/>
              </w:rPr>
            </w:pPr>
            <w:r>
              <w:rPr>
                <w:bCs/>
              </w:rPr>
              <w:t>Yes</w:t>
            </w:r>
          </w:p>
        </w:tc>
        <w:tc>
          <w:tcPr>
            <w:tcW w:w="878" w:type="dxa"/>
            <w:shd w:val="clear" w:color="auto" w:fill="auto"/>
          </w:tcPr>
          <w:p w14:paraId="1BDBEE93" w14:textId="77777777" w:rsidR="003E3D07" w:rsidRDefault="003E3D07">
            <w:pPr>
              <w:pStyle w:val="TableText"/>
              <w:rPr>
                <w:rFonts w:eastAsia="Symbol"/>
              </w:rPr>
            </w:pPr>
            <w:r>
              <w:t>Optional</w:t>
            </w:r>
          </w:p>
        </w:tc>
        <w:tc>
          <w:tcPr>
            <w:tcW w:w="1253" w:type="dxa"/>
            <w:shd w:val="clear" w:color="auto" w:fill="auto"/>
          </w:tcPr>
          <w:p w14:paraId="5F5C3A2B" w14:textId="77777777" w:rsidR="003E3D07" w:rsidRDefault="003E3D07">
            <w:pPr>
              <w:pStyle w:val="TableText"/>
              <w:rPr>
                <w:rFonts w:eastAsia="Symbol"/>
              </w:rPr>
            </w:pPr>
            <w:r>
              <w:t>Js(a)</w:t>
            </w:r>
          </w:p>
        </w:tc>
        <w:tc>
          <w:tcPr>
            <w:tcW w:w="1253" w:type="dxa"/>
            <w:shd w:val="clear" w:color="auto" w:fill="auto"/>
          </w:tcPr>
          <w:p w14:paraId="7030695F" w14:textId="77777777" w:rsidR="003E3D07" w:rsidRDefault="003E3D07">
            <w:pPr>
              <w:pStyle w:val="TableText"/>
              <w:rPr>
                <w:rFonts w:eastAsia="Symbol"/>
              </w:rPr>
            </w:pPr>
            <w:r>
              <w:t>Js(a)</w:t>
            </w:r>
          </w:p>
        </w:tc>
        <w:tc>
          <w:tcPr>
            <w:tcW w:w="1296" w:type="dxa"/>
            <w:shd w:val="clear" w:color="auto" w:fill="auto"/>
          </w:tcPr>
          <w:p w14:paraId="0C4754FB" w14:textId="77777777" w:rsidR="003E3D07" w:rsidRDefault="003E3D07">
            <w:pPr>
              <w:pStyle w:val="TableText"/>
              <w:rPr>
                <w:rFonts w:eastAsia="Symbol"/>
              </w:rPr>
            </w:pPr>
            <w:r>
              <w:t>90</w:t>
            </w:r>
          </w:p>
        </w:tc>
        <w:tc>
          <w:tcPr>
            <w:tcW w:w="1296" w:type="dxa"/>
            <w:shd w:val="clear" w:color="auto" w:fill="auto"/>
          </w:tcPr>
          <w:p w14:paraId="2793D137" w14:textId="77777777" w:rsidR="003E3D07" w:rsidRDefault="003E3D07">
            <w:pPr>
              <w:pStyle w:val="TableText"/>
              <w:rPr>
                <w:rFonts w:eastAsia="Symbol"/>
              </w:rPr>
            </w:pPr>
            <w:r>
              <w:t>AGJs(a)</w:t>
            </w:r>
          </w:p>
        </w:tc>
      </w:tr>
      <w:tr w:rsidR="00824338" w14:paraId="483CC55D" w14:textId="77777777">
        <w:tblPrEx>
          <w:tblBorders>
            <w:insideH w:val="single" w:sz="4" w:space="0" w:color="auto"/>
            <w:insideV w:val="single" w:sz="4" w:space="0" w:color="auto"/>
          </w:tblBorders>
        </w:tblPrEx>
        <w:tc>
          <w:tcPr>
            <w:tcW w:w="1253" w:type="dxa"/>
            <w:shd w:val="clear" w:color="auto" w:fill="auto"/>
          </w:tcPr>
          <w:p w14:paraId="33574399" w14:textId="77777777" w:rsidR="003E3D07" w:rsidRDefault="003E3D07">
            <w:pPr>
              <w:pStyle w:val="TableText"/>
              <w:rPr>
                <w:rFonts w:eastAsia="Symbol"/>
              </w:rPr>
            </w:pPr>
            <w:r>
              <w:t>Anti-Js(b)</w:t>
            </w:r>
          </w:p>
        </w:tc>
        <w:tc>
          <w:tcPr>
            <w:tcW w:w="1253" w:type="dxa"/>
            <w:shd w:val="clear" w:color="auto" w:fill="auto"/>
          </w:tcPr>
          <w:p w14:paraId="35C901A6" w14:textId="77777777" w:rsidR="003E3D07" w:rsidRDefault="003E3D07">
            <w:pPr>
              <w:pStyle w:val="TableText"/>
              <w:rPr>
                <w:rFonts w:eastAsia="Symbol"/>
              </w:rPr>
            </w:pPr>
            <w:r>
              <w:t>Anti-Js(b)</w:t>
            </w:r>
          </w:p>
        </w:tc>
        <w:tc>
          <w:tcPr>
            <w:tcW w:w="878" w:type="dxa"/>
            <w:shd w:val="clear" w:color="auto" w:fill="auto"/>
          </w:tcPr>
          <w:p w14:paraId="7B511890" w14:textId="77777777" w:rsidR="003E3D07" w:rsidRDefault="003E3D07">
            <w:pPr>
              <w:pStyle w:val="TableText"/>
              <w:rPr>
                <w:b/>
                <w:bCs/>
              </w:rPr>
            </w:pPr>
            <w:r>
              <w:rPr>
                <w:bCs/>
              </w:rPr>
              <w:t>Yes</w:t>
            </w:r>
          </w:p>
        </w:tc>
        <w:tc>
          <w:tcPr>
            <w:tcW w:w="878" w:type="dxa"/>
            <w:shd w:val="clear" w:color="auto" w:fill="auto"/>
          </w:tcPr>
          <w:p w14:paraId="712855A7" w14:textId="77777777" w:rsidR="003E3D07" w:rsidRDefault="003E3D07">
            <w:pPr>
              <w:pStyle w:val="TableText"/>
              <w:rPr>
                <w:rFonts w:eastAsia="Symbol"/>
              </w:rPr>
            </w:pPr>
            <w:r>
              <w:t>Optional</w:t>
            </w:r>
          </w:p>
        </w:tc>
        <w:tc>
          <w:tcPr>
            <w:tcW w:w="1253" w:type="dxa"/>
            <w:shd w:val="clear" w:color="auto" w:fill="auto"/>
          </w:tcPr>
          <w:p w14:paraId="336AE5EC" w14:textId="77777777" w:rsidR="003E3D07" w:rsidRDefault="003E3D07">
            <w:pPr>
              <w:pStyle w:val="TableText"/>
              <w:rPr>
                <w:rFonts w:eastAsia="Symbol"/>
              </w:rPr>
            </w:pPr>
            <w:r>
              <w:t>Js(b)</w:t>
            </w:r>
          </w:p>
        </w:tc>
        <w:tc>
          <w:tcPr>
            <w:tcW w:w="1253" w:type="dxa"/>
            <w:shd w:val="clear" w:color="auto" w:fill="auto"/>
          </w:tcPr>
          <w:p w14:paraId="27036B1F" w14:textId="77777777" w:rsidR="003E3D07" w:rsidRDefault="003E3D07">
            <w:pPr>
              <w:pStyle w:val="TableText"/>
              <w:rPr>
                <w:rFonts w:eastAsia="Symbol"/>
              </w:rPr>
            </w:pPr>
            <w:r>
              <w:t>Js(b)</w:t>
            </w:r>
          </w:p>
        </w:tc>
        <w:tc>
          <w:tcPr>
            <w:tcW w:w="1296" w:type="dxa"/>
            <w:shd w:val="clear" w:color="auto" w:fill="auto"/>
          </w:tcPr>
          <w:p w14:paraId="49315CAD" w14:textId="77777777" w:rsidR="003E3D07" w:rsidRDefault="003E3D07">
            <w:pPr>
              <w:pStyle w:val="TableText"/>
              <w:rPr>
                <w:rFonts w:eastAsia="Symbol"/>
              </w:rPr>
            </w:pPr>
            <w:r>
              <w:t>10</w:t>
            </w:r>
          </w:p>
        </w:tc>
        <w:tc>
          <w:tcPr>
            <w:tcW w:w="1296" w:type="dxa"/>
            <w:shd w:val="clear" w:color="auto" w:fill="auto"/>
          </w:tcPr>
          <w:p w14:paraId="05BD3F94" w14:textId="77777777" w:rsidR="003E3D07" w:rsidRDefault="003E3D07">
            <w:pPr>
              <w:pStyle w:val="TableText"/>
              <w:rPr>
                <w:rFonts w:eastAsia="Symbol"/>
              </w:rPr>
            </w:pPr>
            <w:r>
              <w:t>AGJs(b)</w:t>
            </w:r>
          </w:p>
        </w:tc>
      </w:tr>
      <w:tr w:rsidR="00824338" w14:paraId="48713D53" w14:textId="77777777">
        <w:tblPrEx>
          <w:tblBorders>
            <w:insideH w:val="single" w:sz="4" w:space="0" w:color="auto"/>
            <w:insideV w:val="single" w:sz="4" w:space="0" w:color="auto"/>
          </w:tblBorders>
        </w:tblPrEx>
        <w:tc>
          <w:tcPr>
            <w:tcW w:w="1253" w:type="dxa"/>
            <w:shd w:val="clear" w:color="auto" w:fill="auto"/>
          </w:tcPr>
          <w:p w14:paraId="5E6C6E41" w14:textId="77777777" w:rsidR="003E3D07" w:rsidRDefault="003E3D07">
            <w:pPr>
              <w:pStyle w:val="TableText"/>
              <w:rPr>
                <w:rFonts w:eastAsia="Symbol"/>
              </w:rPr>
            </w:pPr>
            <w:r>
              <w:t>Anti-Lu(a)</w:t>
            </w:r>
          </w:p>
        </w:tc>
        <w:tc>
          <w:tcPr>
            <w:tcW w:w="1253" w:type="dxa"/>
            <w:shd w:val="clear" w:color="auto" w:fill="auto"/>
          </w:tcPr>
          <w:p w14:paraId="00CE9BEB" w14:textId="77777777" w:rsidR="003E3D07" w:rsidRDefault="003E3D07">
            <w:pPr>
              <w:pStyle w:val="TableText"/>
            </w:pPr>
            <w:r>
              <w:t>Anti-Lu(a)</w:t>
            </w:r>
          </w:p>
        </w:tc>
        <w:tc>
          <w:tcPr>
            <w:tcW w:w="878" w:type="dxa"/>
            <w:shd w:val="clear" w:color="auto" w:fill="auto"/>
          </w:tcPr>
          <w:p w14:paraId="114033DB" w14:textId="77777777" w:rsidR="003E3D07" w:rsidRDefault="003E3D07">
            <w:pPr>
              <w:pStyle w:val="TableText"/>
            </w:pPr>
            <w:r>
              <w:t>No</w:t>
            </w:r>
          </w:p>
        </w:tc>
        <w:tc>
          <w:tcPr>
            <w:tcW w:w="878" w:type="dxa"/>
            <w:shd w:val="clear" w:color="auto" w:fill="auto"/>
          </w:tcPr>
          <w:p w14:paraId="671215D9" w14:textId="77777777" w:rsidR="003E3D07" w:rsidRDefault="003E3D07">
            <w:pPr>
              <w:pStyle w:val="TableText"/>
              <w:rPr>
                <w:rFonts w:eastAsia="Symbol"/>
              </w:rPr>
            </w:pPr>
            <w:r>
              <w:t>Optional</w:t>
            </w:r>
          </w:p>
        </w:tc>
        <w:tc>
          <w:tcPr>
            <w:tcW w:w="1253" w:type="dxa"/>
            <w:shd w:val="clear" w:color="auto" w:fill="auto"/>
          </w:tcPr>
          <w:p w14:paraId="3BDD2180" w14:textId="77777777" w:rsidR="003E3D07" w:rsidRDefault="003E3D07">
            <w:pPr>
              <w:pStyle w:val="TableText"/>
              <w:rPr>
                <w:rFonts w:eastAsia="Symbol"/>
              </w:rPr>
            </w:pPr>
            <w:r>
              <w:t>Lu(a)</w:t>
            </w:r>
          </w:p>
        </w:tc>
        <w:tc>
          <w:tcPr>
            <w:tcW w:w="1253" w:type="dxa"/>
            <w:shd w:val="clear" w:color="auto" w:fill="auto"/>
          </w:tcPr>
          <w:p w14:paraId="2D5B10CE" w14:textId="77777777" w:rsidR="003E3D07" w:rsidRDefault="003E3D07">
            <w:pPr>
              <w:pStyle w:val="TableText"/>
            </w:pPr>
            <w:r>
              <w:t>Lu(a)</w:t>
            </w:r>
          </w:p>
        </w:tc>
        <w:tc>
          <w:tcPr>
            <w:tcW w:w="1296" w:type="dxa"/>
            <w:shd w:val="clear" w:color="auto" w:fill="auto"/>
          </w:tcPr>
          <w:p w14:paraId="19A0787E" w14:textId="77777777" w:rsidR="003E3D07" w:rsidRDefault="003E3D07">
            <w:pPr>
              <w:pStyle w:val="TableText"/>
              <w:rPr>
                <w:rFonts w:eastAsia="Symbol"/>
              </w:rPr>
            </w:pPr>
            <w:r>
              <w:t>92</w:t>
            </w:r>
          </w:p>
        </w:tc>
        <w:tc>
          <w:tcPr>
            <w:tcW w:w="1296" w:type="dxa"/>
            <w:shd w:val="clear" w:color="auto" w:fill="auto"/>
          </w:tcPr>
          <w:p w14:paraId="3C3B4274" w14:textId="77777777" w:rsidR="003E3D07" w:rsidRDefault="003E3D07">
            <w:pPr>
              <w:pStyle w:val="TableText"/>
              <w:rPr>
                <w:rFonts w:eastAsia="Symbol"/>
              </w:rPr>
            </w:pPr>
            <w:r>
              <w:t>AGLu(a)</w:t>
            </w:r>
          </w:p>
        </w:tc>
      </w:tr>
      <w:tr w:rsidR="00824338" w14:paraId="309FFED3" w14:textId="77777777">
        <w:tblPrEx>
          <w:tblBorders>
            <w:insideH w:val="single" w:sz="4" w:space="0" w:color="auto"/>
            <w:insideV w:val="single" w:sz="4" w:space="0" w:color="auto"/>
          </w:tblBorders>
        </w:tblPrEx>
        <w:tc>
          <w:tcPr>
            <w:tcW w:w="1253" w:type="dxa"/>
            <w:shd w:val="clear" w:color="auto" w:fill="auto"/>
          </w:tcPr>
          <w:p w14:paraId="3B4A632F" w14:textId="77777777" w:rsidR="003E3D07" w:rsidRDefault="003E3D07">
            <w:pPr>
              <w:pStyle w:val="TableText"/>
              <w:rPr>
                <w:rFonts w:eastAsia="Symbol"/>
              </w:rPr>
            </w:pPr>
            <w:r>
              <w:t>Anti-Lu(b)</w:t>
            </w:r>
          </w:p>
        </w:tc>
        <w:tc>
          <w:tcPr>
            <w:tcW w:w="1253" w:type="dxa"/>
            <w:shd w:val="clear" w:color="auto" w:fill="auto"/>
          </w:tcPr>
          <w:p w14:paraId="2FCBC73C" w14:textId="77777777" w:rsidR="003E3D07" w:rsidRDefault="003E3D07">
            <w:pPr>
              <w:pStyle w:val="TableText"/>
            </w:pPr>
            <w:r>
              <w:t>Anti-Lu(b)</w:t>
            </w:r>
          </w:p>
        </w:tc>
        <w:tc>
          <w:tcPr>
            <w:tcW w:w="878" w:type="dxa"/>
            <w:shd w:val="clear" w:color="auto" w:fill="auto"/>
          </w:tcPr>
          <w:p w14:paraId="37A71560" w14:textId="77777777" w:rsidR="003E3D07" w:rsidRDefault="003E3D07">
            <w:pPr>
              <w:pStyle w:val="TableText"/>
            </w:pPr>
            <w:r>
              <w:t>No</w:t>
            </w:r>
          </w:p>
        </w:tc>
        <w:tc>
          <w:tcPr>
            <w:tcW w:w="878" w:type="dxa"/>
            <w:shd w:val="clear" w:color="auto" w:fill="auto"/>
          </w:tcPr>
          <w:p w14:paraId="1FEBCFC8" w14:textId="77777777" w:rsidR="003E3D07" w:rsidRDefault="003E3D07">
            <w:pPr>
              <w:pStyle w:val="TableText"/>
              <w:rPr>
                <w:rFonts w:eastAsia="Symbol"/>
              </w:rPr>
            </w:pPr>
            <w:r>
              <w:t>Optional</w:t>
            </w:r>
          </w:p>
        </w:tc>
        <w:tc>
          <w:tcPr>
            <w:tcW w:w="1253" w:type="dxa"/>
            <w:shd w:val="clear" w:color="auto" w:fill="auto"/>
          </w:tcPr>
          <w:p w14:paraId="348EDF35" w14:textId="77777777" w:rsidR="003E3D07" w:rsidRDefault="003E3D07">
            <w:pPr>
              <w:pStyle w:val="TableText"/>
              <w:rPr>
                <w:rFonts w:eastAsia="Symbol"/>
              </w:rPr>
            </w:pPr>
            <w:r>
              <w:t>Lu(b)</w:t>
            </w:r>
          </w:p>
        </w:tc>
        <w:tc>
          <w:tcPr>
            <w:tcW w:w="1253" w:type="dxa"/>
            <w:shd w:val="clear" w:color="auto" w:fill="auto"/>
          </w:tcPr>
          <w:p w14:paraId="6815CCE4" w14:textId="77777777" w:rsidR="003E3D07" w:rsidRDefault="003E3D07">
            <w:pPr>
              <w:pStyle w:val="TableText"/>
            </w:pPr>
            <w:r>
              <w:t>Lu(b)</w:t>
            </w:r>
          </w:p>
        </w:tc>
        <w:tc>
          <w:tcPr>
            <w:tcW w:w="1296" w:type="dxa"/>
            <w:shd w:val="clear" w:color="auto" w:fill="auto"/>
          </w:tcPr>
          <w:p w14:paraId="27624276" w14:textId="77777777" w:rsidR="003E3D07" w:rsidRDefault="003E3D07">
            <w:pPr>
              <w:pStyle w:val="TableText"/>
              <w:rPr>
                <w:rFonts w:eastAsia="Symbol"/>
              </w:rPr>
            </w:pPr>
            <w:r>
              <w:t>2</w:t>
            </w:r>
          </w:p>
        </w:tc>
        <w:tc>
          <w:tcPr>
            <w:tcW w:w="1296" w:type="dxa"/>
            <w:shd w:val="clear" w:color="auto" w:fill="auto"/>
          </w:tcPr>
          <w:p w14:paraId="7F9C7777" w14:textId="77777777" w:rsidR="003E3D07" w:rsidRDefault="003E3D07">
            <w:pPr>
              <w:pStyle w:val="TableText"/>
              <w:rPr>
                <w:rFonts w:eastAsia="Symbol"/>
              </w:rPr>
            </w:pPr>
            <w:r>
              <w:t>AGLu(b)</w:t>
            </w:r>
          </w:p>
        </w:tc>
      </w:tr>
      <w:tr w:rsidR="00824338" w:rsidRPr="00584AF9" w14:paraId="4A4B6F06" w14:textId="77777777">
        <w:tblPrEx>
          <w:tblBorders>
            <w:insideH w:val="single" w:sz="4" w:space="0" w:color="auto"/>
            <w:insideV w:val="single" w:sz="4" w:space="0" w:color="auto"/>
          </w:tblBorders>
        </w:tblPrEx>
        <w:tc>
          <w:tcPr>
            <w:tcW w:w="1253" w:type="dxa"/>
            <w:shd w:val="clear" w:color="auto" w:fill="auto"/>
          </w:tcPr>
          <w:p w14:paraId="04FFC264" w14:textId="77777777" w:rsidR="003E3D07" w:rsidRPr="00584AF9" w:rsidRDefault="003E3D07" w:rsidP="00584AF9">
            <w:pPr>
              <w:pStyle w:val="TableText"/>
              <w:rPr>
                <w:rFonts w:eastAsia="Symbol"/>
              </w:rPr>
            </w:pPr>
            <w:r w:rsidRPr="00584AF9">
              <w:t>Anti-Lu3</w:t>
            </w:r>
          </w:p>
        </w:tc>
        <w:tc>
          <w:tcPr>
            <w:tcW w:w="1253" w:type="dxa"/>
            <w:shd w:val="clear" w:color="auto" w:fill="auto"/>
          </w:tcPr>
          <w:p w14:paraId="62D132B8" w14:textId="77777777" w:rsidR="003E3D07" w:rsidRPr="006E05B3" w:rsidRDefault="003E3D07" w:rsidP="00584AF9">
            <w:pPr>
              <w:pStyle w:val="TableText"/>
              <w:rPr>
                <w:lang w:val="fr-FR"/>
              </w:rPr>
            </w:pPr>
            <w:r w:rsidRPr="006E05B3">
              <w:rPr>
                <w:lang w:val="fr-FR"/>
              </w:rPr>
              <w:t>Anti-Lu(a)Lu(b)</w:t>
            </w:r>
          </w:p>
        </w:tc>
        <w:tc>
          <w:tcPr>
            <w:tcW w:w="878" w:type="dxa"/>
            <w:shd w:val="clear" w:color="auto" w:fill="auto"/>
          </w:tcPr>
          <w:p w14:paraId="0E93A61F" w14:textId="77777777" w:rsidR="003E3D07" w:rsidRPr="00584AF9" w:rsidRDefault="003E3D07" w:rsidP="00584AF9">
            <w:pPr>
              <w:pStyle w:val="TableText"/>
            </w:pPr>
            <w:r w:rsidRPr="00584AF9">
              <w:t>No</w:t>
            </w:r>
          </w:p>
        </w:tc>
        <w:tc>
          <w:tcPr>
            <w:tcW w:w="878" w:type="dxa"/>
            <w:shd w:val="clear" w:color="auto" w:fill="auto"/>
          </w:tcPr>
          <w:p w14:paraId="5158AE9B" w14:textId="77777777" w:rsidR="003E3D07" w:rsidRPr="00584AF9" w:rsidRDefault="003E3D07" w:rsidP="00584AF9">
            <w:pPr>
              <w:pStyle w:val="TableText"/>
              <w:rPr>
                <w:rFonts w:eastAsia="Symbol"/>
              </w:rPr>
            </w:pPr>
            <w:r w:rsidRPr="00584AF9">
              <w:t>Optional</w:t>
            </w:r>
          </w:p>
        </w:tc>
        <w:tc>
          <w:tcPr>
            <w:tcW w:w="1253" w:type="dxa"/>
            <w:shd w:val="clear" w:color="auto" w:fill="auto"/>
          </w:tcPr>
          <w:p w14:paraId="522F44C1" w14:textId="77777777" w:rsidR="003E3D07" w:rsidRPr="00584AF9" w:rsidRDefault="003E3D07" w:rsidP="00584AF9">
            <w:pPr>
              <w:pStyle w:val="TableText"/>
              <w:rPr>
                <w:rFonts w:eastAsia="Symbol"/>
              </w:rPr>
            </w:pPr>
            <w:r w:rsidRPr="00584AF9">
              <w:t>Lu (a) and Lu(b)</w:t>
            </w:r>
          </w:p>
        </w:tc>
        <w:tc>
          <w:tcPr>
            <w:tcW w:w="1253" w:type="dxa"/>
            <w:shd w:val="clear" w:color="auto" w:fill="auto"/>
          </w:tcPr>
          <w:p w14:paraId="7A6D6EC9" w14:textId="77777777" w:rsidR="003E3D07" w:rsidRPr="00584AF9" w:rsidRDefault="003E3D07" w:rsidP="00584AF9">
            <w:pPr>
              <w:pStyle w:val="TableText"/>
              <w:rPr>
                <w:rFonts w:eastAsia="Symbol"/>
              </w:rPr>
            </w:pPr>
            <w:r w:rsidRPr="00584AF9">
              <w:rPr>
                <w:rFonts w:eastAsia="Symbol"/>
              </w:rPr>
              <w:t>None</w:t>
            </w:r>
          </w:p>
        </w:tc>
        <w:tc>
          <w:tcPr>
            <w:tcW w:w="1296" w:type="dxa"/>
            <w:shd w:val="clear" w:color="auto" w:fill="auto"/>
          </w:tcPr>
          <w:p w14:paraId="53400A95" w14:textId="77777777" w:rsidR="003E3D07" w:rsidRPr="00584AF9" w:rsidRDefault="003E3D07" w:rsidP="00584AF9">
            <w:pPr>
              <w:pStyle w:val="TableText"/>
              <w:rPr>
                <w:rFonts w:eastAsia="Symbol"/>
              </w:rPr>
            </w:pPr>
            <w:r w:rsidRPr="00584AF9">
              <w:t>N/A</w:t>
            </w:r>
          </w:p>
        </w:tc>
        <w:tc>
          <w:tcPr>
            <w:tcW w:w="1296" w:type="dxa"/>
            <w:shd w:val="clear" w:color="auto" w:fill="auto"/>
          </w:tcPr>
          <w:p w14:paraId="5AE2CFD1" w14:textId="77777777" w:rsidR="003E3D07" w:rsidRPr="00584AF9" w:rsidRDefault="003E3D07" w:rsidP="00584AF9">
            <w:pPr>
              <w:pStyle w:val="TableText"/>
              <w:rPr>
                <w:rFonts w:eastAsia="Symbol"/>
              </w:rPr>
            </w:pPr>
            <w:r w:rsidRPr="00584AF9">
              <w:t>AGLu(a) AGLu(b)</w:t>
            </w:r>
          </w:p>
        </w:tc>
      </w:tr>
      <w:tr w:rsidR="00824338" w14:paraId="63EC4D8B" w14:textId="77777777">
        <w:tblPrEx>
          <w:tblBorders>
            <w:insideH w:val="single" w:sz="4" w:space="0" w:color="auto"/>
            <w:insideV w:val="single" w:sz="4" w:space="0" w:color="auto"/>
          </w:tblBorders>
        </w:tblPrEx>
        <w:tc>
          <w:tcPr>
            <w:tcW w:w="1253" w:type="dxa"/>
            <w:shd w:val="clear" w:color="auto" w:fill="auto"/>
          </w:tcPr>
          <w:p w14:paraId="4AEF1AD0" w14:textId="77777777" w:rsidR="003E3D07" w:rsidRDefault="003E3D07">
            <w:pPr>
              <w:pStyle w:val="TableText"/>
              <w:rPr>
                <w:rFonts w:eastAsia="Symbol"/>
              </w:rPr>
            </w:pPr>
            <w:r>
              <w:t>Anti-C(w)</w:t>
            </w:r>
          </w:p>
        </w:tc>
        <w:tc>
          <w:tcPr>
            <w:tcW w:w="1253" w:type="dxa"/>
            <w:shd w:val="clear" w:color="auto" w:fill="auto"/>
          </w:tcPr>
          <w:p w14:paraId="51E46B0A" w14:textId="77777777" w:rsidR="003E3D07" w:rsidRDefault="003E3D07">
            <w:pPr>
              <w:pStyle w:val="TableText"/>
            </w:pPr>
            <w:r>
              <w:t>Anti-Cw</w:t>
            </w:r>
          </w:p>
        </w:tc>
        <w:tc>
          <w:tcPr>
            <w:tcW w:w="878" w:type="dxa"/>
            <w:shd w:val="clear" w:color="auto" w:fill="auto"/>
          </w:tcPr>
          <w:p w14:paraId="42EB316E" w14:textId="77777777" w:rsidR="003E3D07" w:rsidRDefault="003E3D07">
            <w:pPr>
              <w:pStyle w:val="TableText"/>
            </w:pPr>
            <w:r>
              <w:rPr>
                <w:bCs/>
              </w:rPr>
              <w:t>Yes</w:t>
            </w:r>
          </w:p>
        </w:tc>
        <w:tc>
          <w:tcPr>
            <w:tcW w:w="878" w:type="dxa"/>
            <w:shd w:val="clear" w:color="auto" w:fill="auto"/>
          </w:tcPr>
          <w:p w14:paraId="53D417C9" w14:textId="77777777" w:rsidR="003E3D07" w:rsidRDefault="003E3D07">
            <w:pPr>
              <w:pStyle w:val="TableText"/>
              <w:rPr>
                <w:rFonts w:eastAsia="Symbol"/>
              </w:rPr>
            </w:pPr>
            <w:r>
              <w:t>Optional</w:t>
            </w:r>
          </w:p>
        </w:tc>
        <w:tc>
          <w:tcPr>
            <w:tcW w:w="1253" w:type="dxa"/>
            <w:shd w:val="clear" w:color="auto" w:fill="auto"/>
          </w:tcPr>
          <w:p w14:paraId="0AA15729" w14:textId="77777777" w:rsidR="003E3D07" w:rsidRDefault="003E3D07">
            <w:pPr>
              <w:pStyle w:val="TableText"/>
              <w:rPr>
                <w:rFonts w:eastAsia="Symbol"/>
              </w:rPr>
            </w:pPr>
            <w:r>
              <w:t>C(w)</w:t>
            </w:r>
          </w:p>
        </w:tc>
        <w:tc>
          <w:tcPr>
            <w:tcW w:w="1253" w:type="dxa"/>
            <w:shd w:val="clear" w:color="auto" w:fill="auto"/>
          </w:tcPr>
          <w:p w14:paraId="6A996AE7" w14:textId="77777777" w:rsidR="003E3D07" w:rsidRDefault="003E3D07">
            <w:pPr>
              <w:pStyle w:val="TableText"/>
            </w:pPr>
            <w:r>
              <w:t>Cw</w:t>
            </w:r>
          </w:p>
        </w:tc>
        <w:tc>
          <w:tcPr>
            <w:tcW w:w="1296" w:type="dxa"/>
            <w:shd w:val="clear" w:color="auto" w:fill="auto"/>
          </w:tcPr>
          <w:p w14:paraId="1AA703CD" w14:textId="77777777" w:rsidR="003E3D07" w:rsidRDefault="003E3D07">
            <w:pPr>
              <w:pStyle w:val="TableText"/>
              <w:rPr>
                <w:rFonts w:eastAsia="Symbol"/>
              </w:rPr>
            </w:pPr>
            <w:r>
              <w:t>99</w:t>
            </w:r>
          </w:p>
        </w:tc>
        <w:tc>
          <w:tcPr>
            <w:tcW w:w="1296" w:type="dxa"/>
            <w:shd w:val="clear" w:color="auto" w:fill="auto"/>
          </w:tcPr>
          <w:p w14:paraId="144987D2" w14:textId="77777777" w:rsidR="003E3D07" w:rsidRDefault="003E3D07">
            <w:pPr>
              <w:pStyle w:val="TableText"/>
              <w:rPr>
                <w:rFonts w:eastAsia="Symbol"/>
              </w:rPr>
            </w:pPr>
            <w:r>
              <w:t>AGC(w)</w:t>
            </w:r>
          </w:p>
        </w:tc>
      </w:tr>
      <w:tr w:rsidR="00824338" w14:paraId="08EB2C05" w14:textId="77777777">
        <w:tblPrEx>
          <w:tblBorders>
            <w:insideH w:val="single" w:sz="4" w:space="0" w:color="auto"/>
            <w:insideV w:val="single" w:sz="4" w:space="0" w:color="auto"/>
          </w:tblBorders>
        </w:tblPrEx>
        <w:tc>
          <w:tcPr>
            <w:tcW w:w="1253" w:type="dxa"/>
            <w:shd w:val="clear" w:color="auto" w:fill="auto"/>
          </w:tcPr>
          <w:p w14:paraId="7B67A78E" w14:textId="77777777" w:rsidR="003E3D07" w:rsidRDefault="003E3D07">
            <w:pPr>
              <w:pStyle w:val="TableText"/>
              <w:rPr>
                <w:rFonts w:eastAsia="Symbol"/>
              </w:rPr>
            </w:pPr>
            <w:r>
              <w:t>Anti-Ce</w:t>
            </w:r>
          </w:p>
        </w:tc>
        <w:tc>
          <w:tcPr>
            <w:tcW w:w="1253" w:type="dxa"/>
            <w:shd w:val="clear" w:color="auto" w:fill="auto"/>
          </w:tcPr>
          <w:p w14:paraId="5293FF86" w14:textId="77777777" w:rsidR="003E3D07" w:rsidRDefault="003E3D07">
            <w:pPr>
              <w:pStyle w:val="TableText"/>
              <w:rPr>
                <w:rFonts w:eastAsia="Symbol"/>
              </w:rPr>
            </w:pPr>
            <w:r>
              <w:t>Anti-Ce</w:t>
            </w:r>
          </w:p>
        </w:tc>
        <w:tc>
          <w:tcPr>
            <w:tcW w:w="878" w:type="dxa"/>
            <w:shd w:val="clear" w:color="auto" w:fill="auto"/>
          </w:tcPr>
          <w:p w14:paraId="12BEAB26" w14:textId="77777777" w:rsidR="003E3D07" w:rsidRDefault="003E3D07">
            <w:pPr>
              <w:pStyle w:val="TableText"/>
            </w:pPr>
            <w:r>
              <w:rPr>
                <w:bCs/>
              </w:rPr>
              <w:t>Yes</w:t>
            </w:r>
          </w:p>
        </w:tc>
        <w:tc>
          <w:tcPr>
            <w:tcW w:w="878" w:type="dxa"/>
            <w:shd w:val="clear" w:color="auto" w:fill="auto"/>
          </w:tcPr>
          <w:p w14:paraId="37B880C2" w14:textId="77777777" w:rsidR="003E3D07" w:rsidRDefault="003E3D07">
            <w:pPr>
              <w:pStyle w:val="TableText"/>
              <w:rPr>
                <w:rFonts w:eastAsia="Symbol"/>
              </w:rPr>
            </w:pPr>
            <w:r>
              <w:rPr>
                <w:bCs/>
              </w:rPr>
              <w:t>Yes</w:t>
            </w:r>
          </w:p>
        </w:tc>
        <w:tc>
          <w:tcPr>
            <w:tcW w:w="1253" w:type="dxa"/>
            <w:shd w:val="clear" w:color="auto" w:fill="auto"/>
          </w:tcPr>
          <w:p w14:paraId="3C3075E8" w14:textId="77777777" w:rsidR="003E3D07" w:rsidRDefault="003E3D07">
            <w:pPr>
              <w:pStyle w:val="TableText"/>
              <w:rPr>
                <w:rFonts w:eastAsia="Symbol"/>
              </w:rPr>
            </w:pPr>
            <w:r>
              <w:t>C and e</w:t>
            </w:r>
          </w:p>
        </w:tc>
        <w:tc>
          <w:tcPr>
            <w:tcW w:w="1253" w:type="dxa"/>
            <w:shd w:val="clear" w:color="auto" w:fill="auto"/>
          </w:tcPr>
          <w:p w14:paraId="2A28208C" w14:textId="77777777" w:rsidR="003E3D07" w:rsidRDefault="003E3D07">
            <w:pPr>
              <w:pStyle w:val="TableText"/>
              <w:rPr>
                <w:rFonts w:eastAsia="Symbol"/>
              </w:rPr>
            </w:pPr>
            <w:r>
              <w:t>Ce</w:t>
            </w:r>
          </w:p>
        </w:tc>
        <w:tc>
          <w:tcPr>
            <w:tcW w:w="1296" w:type="dxa"/>
            <w:shd w:val="clear" w:color="auto" w:fill="auto"/>
          </w:tcPr>
          <w:p w14:paraId="6075577A" w14:textId="77777777" w:rsidR="003E3D07" w:rsidRDefault="003E3D07">
            <w:pPr>
              <w:pStyle w:val="TableText"/>
              <w:rPr>
                <w:rFonts w:eastAsia="Symbol"/>
              </w:rPr>
            </w:pPr>
            <w:r>
              <w:t>N/A</w:t>
            </w:r>
          </w:p>
        </w:tc>
        <w:tc>
          <w:tcPr>
            <w:tcW w:w="1296" w:type="dxa"/>
            <w:shd w:val="clear" w:color="auto" w:fill="auto"/>
          </w:tcPr>
          <w:p w14:paraId="10A9BB24" w14:textId="77777777" w:rsidR="003E3D07" w:rsidRDefault="003E3D07">
            <w:pPr>
              <w:pStyle w:val="TableText"/>
            </w:pPr>
            <w:r>
              <w:t>AGC</w:t>
            </w:r>
          </w:p>
          <w:p w14:paraId="5A7D030F" w14:textId="77777777" w:rsidR="003E3D07" w:rsidRDefault="003E3D07">
            <w:pPr>
              <w:pStyle w:val="TableText"/>
              <w:rPr>
                <w:rFonts w:eastAsia="Symbol"/>
              </w:rPr>
            </w:pPr>
            <w:r>
              <w:t>AGe</w:t>
            </w:r>
          </w:p>
        </w:tc>
      </w:tr>
      <w:tr w:rsidR="00824338" w14:paraId="765E51DB" w14:textId="77777777">
        <w:tblPrEx>
          <w:tblBorders>
            <w:insideH w:val="single" w:sz="4" w:space="0" w:color="auto"/>
            <w:insideV w:val="single" w:sz="4" w:space="0" w:color="auto"/>
          </w:tblBorders>
        </w:tblPrEx>
        <w:tc>
          <w:tcPr>
            <w:tcW w:w="1253" w:type="dxa"/>
            <w:shd w:val="clear" w:color="auto" w:fill="auto"/>
          </w:tcPr>
          <w:p w14:paraId="41047FED" w14:textId="77777777" w:rsidR="003E3D07" w:rsidRDefault="003E3D07">
            <w:pPr>
              <w:pStyle w:val="TableText"/>
              <w:rPr>
                <w:rFonts w:eastAsia="Symbol"/>
              </w:rPr>
            </w:pPr>
            <w:r>
              <w:t>Anti-C(x)</w:t>
            </w:r>
          </w:p>
        </w:tc>
        <w:tc>
          <w:tcPr>
            <w:tcW w:w="1253" w:type="dxa"/>
            <w:shd w:val="clear" w:color="auto" w:fill="auto"/>
          </w:tcPr>
          <w:p w14:paraId="64AC8535" w14:textId="77777777" w:rsidR="003E3D07" w:rsidRDefault="003E3D07">
            <w:pPr>
              <w:pStyle w:val="TableText"/>
              <w:rPr>
                <w:rFonts w:eastAsia="Symbol"/>
              </w:rPr>
            </w:pPr>
            <w:r>
              <w:t>Anti-Cx</w:t>
            </w:r>
          </w:p>
        </w:tc>
        <w:tc>
          <w:tcPr>
            <w:tcW w:w="878" w:type="dxa"/>
            <w:shd w:val="clear" w:color="auto" w:fill="auto"/>
          </w:tcPr>
          <w:p w14:paraId="497F217D" w14:textId="77777777" w:rsidR="003E3D07" w:rsidRDefault="003E3D07">
            <w:pPr>
              <w:pStyle w:val="TableText"/>
            </w:pPr>
            <w:r>
              <w:rPr>
                <w:bCs/>
              </w:rPr>
              <w:t>Yes</w:t>
            </w:r>
          </w:p>
        </w:tc>
        <w:tc>
          <w:tcPr>
            <w:tcW w:w="878" w:type="dxa"/>
            <w:shd w:val="clear" w:color="auto" w:fill="auto"/>
          </w:tcPr>
          <w:p w14:paraId="2D348D15" w14:textId="77777777" w:rsidR="003E3D07" w:rsidRDefault="003E3D07">
            <w:pPr>
              <w:pStyle w:val="TableText"/>
              <w:rPr>
                <w:rFonts w:eastAsia="Symbol"/>
              </w:rPr>
            </w:pPr>
            <w:r>
              <w:t>Optional</w:t>
            </w:r>
          </w:p>
        </w:tc>
        <w:tc>
          <w:tcPr>
            <w:tcW w:w="1253" w:type="dxa"/>
            <w:shd w:val="clear" w:color="auto" w:fill="auto"/>
          </w:tcPr>
          <w:p w14:paraId="54151BD8" w14:textId="77777777" w:rsidR="003E3D07" w:rsidRDefault="003E3D07">
            <w:pPr>
              <w:pStyle w:val="TableText"/>
              <w:rPr>
                <w:rFonts w:eastAsia="Symbol"/>
              </w:rPr>
            </w:pPr>
            <w:r>
              <w:t>C(x)</w:t>
            </w:r>
          </w:p>
        </w:tc>
        <w:tc>
          <w:tcPr>
            <w:tcW w:w="1253" w:type="dxa"/>
            <w:shd w:val="clear" w:color="auto" w:fill="auto"/>
          </w:tcPr>
          <w:p w14:paraId="48DA16AB" w14:textId="77777777" w:rsidR="003E3D07" w:rsidRDefault="003E3D07">
            <w:pPr>
              <w:pStyle w:val="TableText"/>
              <w:rPr>
                <w:rFonts w:eastAsia="Symbol"/>
              </w:rPr>
            </w:pPr>
            <w:r>
              <w:t>Cx</w:t>
            </w:r>
          </w:p>
        </w:tc>
        <w:tc>
          <w:tcPr>
            <w:tcW w:w="1296" w:type="dxa"/>
            <w:shd w:val="clear" w:color="auto" w:fill="auto"/>
          </w:tcPr>
          <w:p w14:paraId="71A478DB" w14:textId="77777777" w:rsidR="003E3D07" w:rsidRDefault="003E3D07">
            <w:pPr>
              <w:pStyle w:val="TableText"/>
              <w:rPr>
                <w:rFonts w:eastAsia="Symbol"/>
              </w:rPr>
            </w:pPr>
            <w:r>
              <w:t>99</w:t>
            </w:r>
          </w:p>
        </w:tc>
        <w:tc>
          <w:tcPr>
            <w:tcW w:w="1296" w:type="dxa"/>
            <w:shd w:val="clear" w:color="auto" w:fill="auto"/>
          </w:tcPr>
          <w:p w14:paraId="4DBD687D" w14:textId="77777777" w:rsidR="003E3D07" w:rsidRDefault="003E3D07">
            <w:pPr>
              <w:pStyle w:val="TableText"/>
              <w:rPr>
                <w:rFonts w:eastAsia="Symbol"/>
              </w:rPr>
            </w:pPr>
            <w:r>
              <w:rPr>
                <w:rFonts w:eastAsia="Symbol"/>
              </w:rPr>
              <w:t>AGC(x)</w:t>
            </w:r>
          </w:p>
        </w:tc>
      </w:tr>
      <w:tr w:rsidR="00824338" w14:paraId="7EEDCE82" w14:textId="77777777">
        <w:tblPrEx>
          <w:tblBorders>
            <w:insideH w:val="single" w:sz="4" w:space="0" w:color="auto"/>
            <w:insideV w:val="single" w:sz="4" w:space="0" w:color="auto"/>
          </w:tblBorders>
        </w:tblPrEx>
        <w:tc>
          <w:tcPr>
            <w:tcW w:w="1253" w:type="dxa"/>
            <w:shd w:val="clear" w:color="auto" w:fill="auto"/>
          </w:tcPr>
          <w:p w14:paraId="1B774595" w14:textId="77777777" w:rsidR="003E3D07" w:rsidRDefault="003E3D07">
            <w:pPr>
              <w:pStyle w:val="TableText"/>
              <w:rPr>
                <w:rFonts w:eastAsia="Symbol"/>
              </w:rPr>
            </w:pPr>
            <w:r>
              <w:t>Anti-E(w)</w:t>
            </w:r>
          </w:p>
        </w:tc>
        <w:tc>
          <w:tcPr>
            <w:tcW w:w="1253" w:type="dxa"/>
            <w:shd w:val="clear" w:color="auto" w:fill="auto"/>
          </w:tcPr>
          <w:p w14:paraId="49B524E5" w14:textId="77777777" w:rsidR="003E3D07" w:rsidRDefault="003E3D07">
            <w:pPr>
              <w:pStyle w:val="TableText"/>
              <w:rPr>
                <w:rFonts w:eastAsia="Symbol"/>
              </w:rPr>
            </w:pPr>
            <w:r>
              <w:t>Anti-E(w)</w:t>
            </w:r>
          </w:p>
        </w:tc>
        <w:tc>
          <w:tcPr>
            <w:tcW w:w="878" w:type="dxa"/>
            <w:shd w:val="clear" w:color="auto" w:fill="auto"/>
          </w:tcPr>
          <w:p w14:paraId="45552EC5" w14:textId="77777777" w:rsidR="003E3D07" w:rsidRDefault="003E3D07">
            <w:pPr>
              <w:pStyle w:val="TableText"/>
            </w:pPr>
            <w:r>
              <w:rPr>
                <w:bCs/>
              </w:rPr>
              <w:t>Yes</w:t>
            </w:r>
          </w:p>
        </w:tc>
        <w:tc>
          <w:tcPr>
            <w:tcW w:w="878" w:type="dxa"/>
            <w:shd w:val="clear" w:color="auto" w:fill="auto"/>
          </w:tcPr>
          <w:p w14:paraId="6FF023A4" w14:textId="77777777" w:rsidR="003E3D07" w:rsidRDefault="003E3D07">
            <w:pPr>
              <w:pStyle w:val="TableText"/>
              <w:rPr>
                <w:rFonts w:eastAsia="Symbol"/>
              </w:rPr>
            </w:pPr>
            <w:r>
              <w:t>Optional</w:t>
            </w:r>
          </w:p>
        </w:tc>
        <w:tc>
          <w:tcPr>
            <w:tcW w:w="1253" w:type="dxa"/>
            <w:shd w:val="clear" w:color="auto" w:fill="auto"/>
          </w:tcPr>
          <w:p w14:paraId="6A942FE1" w14:textId="77777777" w:rsidR="003E3D07" w:rsidRDefault="003E3D07">
            <w:pPr>
              <w:pStyle w:val="TableText"/>
              <w:rPr>
                <w:rFonts w:eastAsia="Symbol"/>
              </w:rPr>
            </w:pPr>
            <w:r>
              <w:t>E(w)</w:t>
            </w:r>
          </w:p>
        </w:tc>
        <w:tc>
          <w:tcPr>
            <w:tcW w:w="1253" w:type="dxa"/>
            <w:shd w:val="clear" w:color="auto" w:fill="auto"/>
          </w:tcPr>
          <w:p w14:paraId="51FDBAC1" w14:textId="77777777" w:rsidR="003E3D07" w:rsidRDefault="003E3D07">
            <w:pPr>
              <w:pStyle w:val="TableText"/>
              <w:rPr>
                <w:rFonts w:eastAsia="Symbol"/>
              </w:rPr>
            </w:pPr>
            <w:r>
              <w:t>E(w)</w:t>
            </w:r>
          </w:p>
        </w:tc>
        <w:tc>
          <w:tcPr>
            <w:tcW w:w="1296" w:type="dxa"/>
            <w:shd w:val="clear" w:color="auto" w:fill="auto"/>
          </w:tcPr>
          <w:p w14:paraId="0DF26D29" w14:textId="77777777" w:rsidR="003E3D07" w:rsidRDefault="003E3D07">
            <w:pPr>
              <w:pStyle w:val="TableText"/>
              <w:rPr>
                <w:rFonts w:eastAsia="Symbol"/>
              </w:rPr>
            </w:pPr>
            <w:r>
              <w:t>99</w:t>
            </w:r>
          </w:p>
        </w:tc>
        <w:tc>
          <w:tcPr>
            <w:tcW w:w="1296" w:type="dxa"/>
            <w:shd w:val="clear" w:color="auto" w:fill="auto"/>
          </w:tcPr>
          <w:p w14:paraId="285278B7" w14:textId="77777777" w:rsidR="003E3D07" w:rsidRDefault="003E3D07">
            <w:pPr>
              <w:pStyle w:val="TableText"/>
              <w:rPr>
                <w:rFonts w:eastAsia="Symbol"/>
              </w:rPr>
            </w:pPr>
            <w:r>
              <w:rPr>
                <w:rFonts w:eastAsia="Symbol"/>
              </w:rPr>
              <w:t>AGE(w)</w:t>
            </w:r>
          </w:p>
        </w:tc>
      </w:tr>
      <w:tr w:rsidR="00824338" w14:paraId="2E30B754" w14:textId="77777777">
        <w:tblPrEx>
          <w:tblBorders>
            <w:insideH w:val="single" w:sz="4" w:space="0" w:color="auto"/>
            <w:insideV w:val="single" w:sz="4" w:space="0" w:color="auto"/>
          </w:tblBorders>
        </w:tblPrEx>
        <w:tc>
          <w:tcPr>
            <w:tcW w:w="1253" w:type="dxa"/>
            <w:shd w:val="clear" w:color="auto" w:fill="auto"/>
          </w:tcPr>
          <w:p w14:paraId="04183CC1" w14:textId="77777777" w:rsidR="003E3D07" w:rsidRDefault="003E3D07">
            <w:pPr>
              <w:pStyle w:val="TableText"/>
              <w:rPr>
                <w:rFonts w:eastAsia="Symbol"/>
              </w:rPr>
            </w:pPr>
            <w:r>
              <w:t>Anti-V</w:t>
            </w:r>
          </w:p>
        </w:tc>
        <w:tc>
          <w:tcPr>
            <w:tcW w:w="1253" w:type="dxa"/>
            <w:shd w:val="clear" w:color="auto" w:fill="auto"/>
          </w:tcPr>
          <w:p w14:paraId="30DF5E67" w14:textId="77777777" w:rsidR="003E3D07" w:rsidRDefault="003E3D07">
            <w:pPr>
              <w:pStyle w:val="TableText"/>
            </w:pPr>
            <w:r>
              <w:t>Anti-V</w:t>
            </w:r>
          </w:p>
        </w:tc>
        <w:tc>
          <w:tcPr>
            <w:tcW w:w="878" w:type="dxa"/>
            <w:shd w:val="clear" w:color="auto" w:fill="auto"/>
          </w:tcPr>
          <w:p w14:paraId="0435684B" w14:textId="77777777" w:rsidR="003E3D07" w:rsidRDefault="003E3D07">
            <w:pPr>
              <w:pStyle w:val="TableText"/>
            </w:pPr>
            <w:r>
              <w:rPr>
                <w:bCs/>
              </w:rPr>
              <w:t>Yes</w:t>
            </w:r>
          </w:p>
        </w:tc>
        <w:tc>
          <w:tcPr>
            <w:tcW w:w="878" w:type="dxa"/>
            <w:shd w:val="clear" w:color="auto" w:fill="auto"/>
          </w:tcPr>
          <w:p w14:paraId="0FEEB4AE" w14:textId="77777777" w:rsidR="003E3D07" w:rsidRDefault="003E3D07">
            <w:pPr>
              <w:pStyle w:val="TableText"/>
              <w:rPr>
                <w:rFonts w:eastAsia="Symbol"/>
              </w:rPr>
            </w:pPr>
            <w:r>
              <w:t>Optional</w:t>
            </w:r>
          </w:p>
        </w:tc>
        <w:tc>
          <w:tcPr>
            <w:tcW w:w="1253" w:type="dxa"/>
            <w:shd w:val="clear" w:color="auto" w:fill="auto"/>
          </w:tcPr>
          <w:p w14:paraId="539629DD" w14:textId="77777777" w:rsidR="003E3D07" w:rsidRDefault="003E3D07">
            <w:pPr>
              <w:pStyle w:val="TableText"/>
              <w:rPr>
                <w:rFonts w:eastAsia="Symbol"/>
              </w:rPr>
            </w:pPr>
            <w:r>
              <w:t>V</w:t>
            </w:r>
          </w:p>
        </w:tc>
        <w:tc>
          <w:tcPr>
            <w:tcW w:w="1253" w:type="dxa"/>
            <w:shd w:val="clear" w:color="auto" w:fill="auto"/>
          </w:tcPr>
          <w:p w14:paraId="42D0D508" w14:textId="77777777" w:rsidR="003E3D07" w:rsidRDefault="003E3D07">
            <w:pPr>
              <w:pStyle w:val="TableText"/>
              <w:rPr>
                <w:rFonts w:eastAsia="Symbol"/>
              </w:rPr>
            </w:pPr>
            <w:r>
              <w:t>V</w:t>
            </w:r>
          </w:p>
        </w:tc>
        <w:tc>
          <w:tcPr>
            <w:tcW w:w="1296" w:type="dxa"/>
            <w:shd w:val="clear" w:color="auto" w:fill="auto"/>
          </w:tcPr>
          <w:p w14:paraId="60897443" w14:textId="77777777" w:rsidR="003E3D07" w:rsidRDefault="003E3D07">
            <w:pPr>
              <w:pStyle w:val="TableText"/>
              <w:rPr>
                <w:rFonts w:eastAsia="Symbol"/>
              </w:rPr>
            </w:pPr>
            <w:r>
              <w:t>85</w:t>
            </w:r>
          </w:p>
        </w:tc>
        <w:tc>
          <w:tcPr>
            <w:tcW w:w="1296" w:type="dxa"/>
            <w:shd w:val="clear" w:color="auto" w:fill="auto"/>
          </w:tcPr>
          <w:p w14:paraId="143E1ECF" w14:textId="77777777" w:rsidR="003E3D07" w:rsidRDefault="003E3D07">
            <w:pPr>
              <w:pStyle w:val="TableText"/>
              <w:rPr>
                <w:rFonts w:eastAsia="Symbol"/>
              </w:rPr>
            </w:pPr>
            <w:r>
              <w:rPr>
                <w:rFonts w:eastAsia="Symbol"/>
              </w:rPr>
              <w:t>AGV</w:t>
            </w:r>
          </w:p>
        </w:tc>
      </w:tr>
      <w:tr w:rsidR="00824338" w14:paraId="50219277" w14:textId="77777777">
        <w:tblPrEx>
          <w:tblBorders>
            <w:insideH w:val="single" w:sz="4" w:space="0" w:color="auto"/>
            <w:insideV w:val="single" w:sz="4" w:space="0" w:color="auto"/>
          </w:tblBorders>
        </w:tblPrEx>
        <w:tc>
          <w:tcPr>
            <w:tcW w:w="1253" w:type="dxa"/>
            <w:shd w:val="clear" w:color="auto" w:fill="auto"/>
          </w:tcPr>
          <w:p w14:paraId="1DF5D9F9" w14:textId="77777777" w:rsidR="003E3D07" w:rsidRDefault="003E3D07">
            <w:pPr>
              <w:pStyle w:val="TableText"/>
              <w:rPr>
                <w:rFonts w:eastAsia="Symbol"/>
              </w:rPr>
            </w:pPr>
            <w:r>
              <w:t>Anti-Xg(a)</w:t>
            </w:r>
          </w:p>
        </w:tc>
        <w:tc>
          <w:tcPr>
            <w:tcW w:w="1253" w:type="dxa"/>
            <w:shd w:val="clear" w:color="auto" w:fill="auto"/>
          </w:tcPr>
          <w:p w14:paraId="7BB7F1BB" w14:textId="77777777" w:rsidR="003E3D07" w:rsidRDefault="003E3D07">
            <w:pPr>
              <w:pStyle w:val="TableText"/>
            </w:pPr>
            <w:r>
              <w:t>Anti-Xg(a)</w:t>
            </w:r>
          </w:p>
        </w:tc>
        <w:tc>
          <w:tcPr>
            <w:tcW w:w="878" w:type="dxa"/>
            <w:shd w:val="clear" w:color="auto" w:fill="auto"/>
          </w:tcPr>
          <w:p w14:paraId="5AC18FB0" w14:textId="77777777" w:rsidR="003E3D07" w:rsidRDefault="003E3D07">
            <w:pPr>
              <w:pStyle w:val="TableText"/>
            </w:pPr>
            <w:r>
              <w:t>No</w:t>
            </w:r>
          </w:p>
        </w:tc>
        <w:tc>
          <w:tcPr>
            <w:tcW w:w="878" w:type="dxa"/>
            <w:shd w:val="clear" w:color="auto" w:fill="auto"/>
          </w:tcPr>
          <w:p w14:paraId="4EB23D69" w14:textId="77777777" w:rsidR="003E3D07" w:rsidRDefault="003E3D07">
            <w:pPr>
              <w:pStyle w:val="TableText"/>
              <w:rPr>
                <w:rFonts w:eastAsia="Symbol"/>
              </w:rPr>
            </w:pPr>
            <w:r>
              <w:t>Optional</w:t>
            </w:r>
          </w:p>
        </w:tc>
        <w:tc>
          <w:tcPr>
            <w:tcW w:w="1253" w:type="dxa"/>
            <w:shd w:val="clear" w:color="auto" w:fill="auto"/>
          </w:tcPr>
          <w:p w14:paraId="26EAC342" w14:textId="77777777" w:rsidR="003E3D07" w:rsidRDefault="003E3D07">
            <w:pPr>
              <w:pStyle w:val="TableText"/>
              <w:rPr>
                <w:rFonts w:eastAsia="Symbol"/>
              </w:rPr>
            </w:pPr>
            <w:r>
              <w:t>Xg(a)</w:t>
            </w:r>
          </w:p>
        </w:tc>
        <w:tc>
          <w:tcPr>
            <w:tcW w:w="1253" w:type="dxa"/>
            <w:shd w:val="clear" w:color="auto" w:fill="auto"/>
          </w:tcPr>
          <w:p w14:paraId="175173DA" w14:textId="77777777" w:rsidR="003E3D07" w:rsidRDefault="003E3D07">
            <w:pPr>
              <w:pStyle w:val="TableText"/>
            </w:pPr>
            <w:r>
              <w:t>Xg(a)</w:t>
            </w:r>
          </w:p>
        </w:tc>
        <w:tc>
          <w:tcPr>
            <w:tcW w:w="1296" w:type="dxa"/>
            <w:shd w:val="clear" w:color="auto" w:fill="auto"/>
          </w:tcPr>
          <w:p w14:paraId="2AD62081" w14:textId="77777777" w:rsidR="003E3D07" w:rsidRDefault="003E3D07">
            <w:pPr>
              <w:pStyle w:val="TableText"/>
              <w:rPr>
                <w:rFonts w:eastAsia="Symbol"/>
              </w:rPr>
            </w:pPr>
            <w:r>
              <w:t>25</w:t>
            </w:r>
          </w:p>
        </w:tc>
        <w:tc>
          <w:tcPr>
            <w:tcW w:w="1296" w:type="dxa"/>
            <w:shd w:val="clear" w:color="auto" w:fill="auto"/>
          </w:tcPr>
          <w:p w14:paraId="73A9B214" w14:textId="77777777" w:rsidR="003E3D07" w:rsidRDefault="003E3D07">
            <w:pPr>
              <w:pStyle w:val="TableText"/>
              <w:rPr>
                <w:rFonts w:eastAsia="Symbol"/>
              </w:rPr>
            </w:pPr>
            <w:r>
              <w:t>AGXg(a)</w:t>
            </w:r>
          </w:p>
        </w:tc>
      </w:tr>
      <w:tr w:rsidR="00824338" w14:paraId="64BF1E51" w14:textId="77777777">
        <w:tblPrEx>
          <w:tblBorders>
            <w:insideH w:val="single" w:sz="4" w:space="0" w:color="auto"/>
            <w:insideV w:val="single" w:sz="4" w:space="0" w:color="auto"/>
          </w:tblBorders>
        </w:tblPrEx>
        <w:tc>
          <w:tcPr>
            <w:tcW w:w="1253" w:type="dxa"/>
            <w:shd w:val="clear" w:color="auto" w:fill="auto"/>
          </w:tcPr>
          <w:p w14:paraId="32FCB9F8" w14:textId="77777777" w:rsidR="003E3D07" w:rsidRDefault="003E3D07">
            <w:pPr>
              <w:pStyle w:val="TableText"/>
              <w:rPr>
                <w:rFonts w:eastAsia="Symbol"/>
              </w:rPr>
            </w:pPr>
            <w:r>
              <w:t>Anti-M(g)</w:t>
            </w:r>
          </w:p>
        </w:tc>
        <w:tc>
          <w:tcPr>
            <w:tcW w:w="1253" w:type="dxa"/>
            <w:shd w:val="clear" w:color="auto" w:fill="auto"/>
          </w:tcPr>
          <w:p w14:paraId="247737A9" w14:textId="77777777" w:rsidR="003E3D07" w:rsidRDefault="003E3D07">
            <w:pPr>
              <w:pStyle w:val="TableText"/>
            </w:pPr>
            <w:r>
              <w:t>Anti-M(g)</w:t>
            </w:r>
          </w:p>
        </w:tc>
        <w:tc>
          <w:tcPr>
            <w:tcW w:w="878" w:type="dxa"/>
            <w:shd w:val="clear" w:color="auto" w:fill="auto"/>
          </w:tcPr>
          <w:p w14:paraId="0C9F1CB3" w14:textId="77777777" w:rsidR="003E3D07" w:rsidRDefault="003E3D07">
            <w:pPr>
              <w:pStyle w:val="TableText"/>
            </w:pPr>
            <w:r>
              <w:t>No</w:t>
            </w:r>
          </w:p>
        </w:tc>
        <w:tc>
          <w:tcPr>
            <w:tcW w:w="878" w:type="dxa"/>
            <w:shd w:val="clear" w:color="auto" w:fill="auto"/>
          </w:tcPr>
          <w:p w14:paraId="4F1CAB62" w14:textId="77777777" w:rsidR="003E3D07" w:rsidRDefault="003E3D07">
            <w:pPr>
              <w:pStyle w:val="TableText"/>
              <w:rPr>
                <w:rFonts w:eastAsia="Symbol"/>
              </w:rPr>
            </w:pPr>
            <w:r>
              <w:t>Optional</w:t>
            </w:r>
          </w:p>
        </w:tc>
        <w:tc>
          <w:tcPr>
            <w:tcW w:w="1253" w:type="dxa"/>
            <w:shd w:val="clear" w:color="auto" w:fill="auto"/>
          </w:tcPr>
          <w:p w14:paraId="19E7BCD3" w14:textId="77777777" w:rsidR="003E3D07" w:rsidRDefault="003E3D07">
            <w:pPr>
              <w:pStyle w:val="TableText"/>
              <w:rPr>
                <w:rFonts w:eastAsia="Symbol"/>
              </w:rPr>
            </w:pPr>
            <w:r>
              <w:t>M(g)</w:t>
            </w:r>
          </w:p>
        </w:tc>
        <w:tc>
          <w:tcPr>
            <w:tcW w:w="1253" w:type="dxa"/>
            <w:shd w:val="clear" w:color="auto" w:fill="auto"/>
          </w:tcPr>
          <w:p w14:paraId="6A43A58B" w14:textId="77777777" w:rsidR="003E3D07" w:rsidRDefault="003E3D07">
            <w:pPr>
              <w:pStyle w:val="TableText"/>
              <w:rPr>
                <w:rFonts w:eastAsia="Symbol"/>
              </w:rPr>
            </w:pPr>
            <w:r>
              <w:t>M(g)</w:t>
            </w:r>
          </w:p>
        </w:tc>
        <w:tc>
          <w:tcPr>
            <w:tcW w:w="1296" w:type="dxa"/>
            <w:shd w:val="clear" w:color="auto" w:fill="auto"/>
          </w:tcPr>
          <w:p w14:paraId="4032BCDB" w14:textId="77777777" w:rsidR="003E3D07" w:rsidRDefault="003E3D07">
            <w:pPr>
              <w:pStyle w:val="TableText"/>
              <w:rPr>
                <w:rFonts w:eastAsia="Symbol"/>
              </w:rPr>
            </w:pPr>
            <w:r>
              <w:rPr>
                <w:rFonts w:eastAsia="Symbol"/>
              </w:rPr>
              <w:t>99</w:t>
            </w:r>
          </w:p>
        </w:tc>
        <w:tc>
          <w:tcPr>
            <w:tcW w:w="1296" w:type="dxa"/>
            <w:shd w:val="clear" w:color="auto" w:fill="auto"/>
          </w:tcPr>
          <w:p w14:paraId="758404F5" w14:textId="77777777" w:rsidR="003E3D07" w:rsidRDefault="003E3D07">
            <w:pPr>
              <w:pStyle w:val="TableText"/>
              <w:rPr>
                <w:rFonts w:eastAsia="Symbol"/>
              </w:rPr>
            </w:pPr>
            <w:r>
              <w:rPr>
                <w:rFonts w:eastAsia="Symbol"/>
              </w:rPr>
              <w:t>AGM(g)</w:t>
            </w:r>
          </w:p>
        </w:tc>
      </w:tr>
      <w:tr w:rsidR="00824338" w14:paraId="71D46994" w14:textId="77777777">
        <w:tblPrEx>
          <w:tblBorders>
            <w:insideH w:val="single" w:sz="4" w:space="0" w:color="auto"/>
            <w:insideV w:val="single" w:sz="4" w:space="0" w:color="auto"/>
          </w:tblBorders>
        </w:tblPrEx>
        <w:tc>
          <w:tcPr>
            <w:tcW w:w="1253" w:type="dxa"/>
            <w:shd w:val="clear" w:color="auto" w:fill="auto"/>
          </w:tcPr>
          <w:p w14:paraId="12FAF83F" w14:textId="77777777" w:rsidR="003E3D07" w:rsidRDefault="003E3D07">
            <w:pPr>
              <w:pStyle w:val="TableText"/>
              <w:rPr>
                <w:rFonts w:eastAsia="Symbol"/>
              </w:rPr>
            </w:pPr>
            <w:r>
              <w:t>Anti-Mi(a)</w:t>
            </w:r>
          </w:p>
        </w:tc>
        <w:tc>
          <w:tcPr>
            <w:tcW w:w="1253" w:type="dxa"/>
            <w:shd w:val="clear" w:color="auto" w:fill="auto"/>
          </w:tcPr>
          <w:p w14:paraId="4112552A" w14:textId="77777777" w:rsidR="003E3D07" w:rsidRDefault="003E3D07">
            <w:pPr>
              <w:pStyle w:val="TableText"/>
            </w:pPr>
            <w:r>
              <w:t>Anti-Mi(a)</w:t>
            </w:r>
          </w:p>
        </w:tc>
        <w:tc>
          <w:tcPr>
            <w:tcW w:w="878" w:type="dxa"/>
            <w:shd w:val="clear" w:color="auto" w:fill="auto"/>
          </w:tcPr>
          <w:p w14:paraId="775A02A6" w14:textId="77777777" w:rsidR="003E3D07" w:rsidRDefault="003E3D07">
            <w:pPr>
              <w:pStyle w:val="TableText"/>
            </w:pPr>
            <w:r>
              <w:t>No</w:t>
            </w:r>
          </w:p>
        </w:tc>
        <w:tc>
          <w:tcPr>
            <w:tcW w:w="878" w:type="dxa"/>
            <w:shd w:val="clear" w:color="auto" w:fill="auto"/>
          </w:tcPr>
          <w:p w14:paraId="532484B4" w14:textId="77777777" w:rsidR="003E3D07" w:rsidRDefault="003E3D07">
            <w:pPr>
              <w:pStyle w:val="TableText"/>
              <w:rPr>
                <w:rFonts w:eastAsia="Symbol"/>
              </w:rPr>
            </w:pPr>
            <w:r>
              <w:t>Optional</w:t>
            </w:r>
          </w:p>
        </w:tc>
        <w:tc>
          <w:tcPr>
            <w:tcW w:w="1253" w:type="dxa"/>
            <w:shd w:val="clear" w:color="auto" w:fill="auto"/>
          </w:tcPr>
          <w:p w14:paraId="3B03C488" w14:textId="77777777" w:rsidR="003E3D07" w:rsidRDefault="003E3D07">
            <w:pPr>
              <w:pStyle w:val="TableText"/>
              <w:rPr>
                <w:rFonts w:eastAsia="Symbol"/>
              </w:rPr>
            </w:pPr>
            <w:r>
              <w:t>Mi(a)</w:t>
            </w:r>
          </w:p>
        </w:tc>
        <w:tc>
          <w:tcPr>
            <w:tcW w:w="1253" w:type="dxa"/>
            <w:shd w:val="clear" w:color="auto" w:fill="auto"/>
          </w:tcPr>
          <w:p w14:paraId="1A9778C4" w14:textId="77777777" w:rsidR="003E3D07" w:rsidRDefault="003E3D07">
            <w:pPr>
              <w:pStyle w:val="TableText"/>
              <w:rPr>
                <w:rFonts w:eastAsia="Symbol"/>
              </w:rPr>
            </w:pPr>
            <w:r>
              <w:t>Mi(a)</w:t>
            </w:r>
          </w:p>
        </w:tc>
        <w:tc>
          <w:tcPr>
            <w:tcW w:w="1296" w:type="dxa"/>
            <w:shd w:val="clear" w:color="auto" w:fill="auto"/>
          </w:tcPr>
          <w:p w14:paraId="4000A522" w14:textId="77777777" w:rsidR="003E3D07" w:rsidRDefault="003E3D07">
            <w:pPr>
              <w:pStyle w:val="TableText"/>
              <w:rPr>
                <w:rFonts w:eastAsia="Symbol"/>
              </w:rPr>
            </w:pPr>
            <w:r>
              <w:rPr>
                <w:rFonts w:eastAsia="Symbol"/>
              </w:rPr>
              <w:t>99</w:t>
            </w:r>
          </w:p>
        </w:tc>
        <w:tc>
          <w:tcPr>
            <w:tcW w:w="1296" w:type="dxa"/>
            <w:shd w:val="clear" w:color="auto" w:fill="auto"/>
          </w:tcPr>
          <w:p w14:paraId="73CBF073" w14:textId="77777777" w:rsidR="003E3D07" w:rsidRDefault="003E3D07">
            <w:pPr>
              <w:pStyle w:val="TableText"/>
              <w:rPr>
                <w:rFonts w:eastAsia="Symbol"/>
              </w:rPr>
            </w:pPr>
            <w:r>
              <w:rPr>
                <w:rFonts w:eastAsia="Symbol"/>
              </w:rPr>
              <w:t>AGMi(a)</w:t>
            </w:r>
          </w:p>
        </w:tc>
      </w:tr>
      <w:tr w:rsidR="00824338" w14:paraId="4907B9C4" w14:textId="77777777">
        <w:tblPrEx>
          <w:tblBorders>
            <w:insideH w:val="single" w:sz="4" w:space="0" w:color="auto"/>
            <w:insideV w:val="single" w:sz="4" w:space="0" w:color="auto"/>
          </w:tblBorders>
        </w:tblPrEx>
        <w:tc>
          <w:tcPr>
            <w:tcW w:w="1253" w:type="dxa"/>
            <w:shd w:val="clear" w:color="auto" w:fill="auto"/>
          </w:tcPr>
          <w:p w14:paraId="7CE35211" w14:textId="77777777" w:rsidR="003E3D07" w:rsidRDefault="003E3D07">
            <w:pPr>
              <w:pStyle w:val="TableText"/>
              <w:rPr>
                <w:rFonts w:eastAsia="Symbol"/>
              </w:rPr>
            </w:pPr>
            <w:r>
              <w:lastRenderedPageBreak/>
              <w:t>Anti-P</w:t>
            </w:r>
          </w:p>
        </w:tc>
        <w:tc>
          <w:tcPr>
            <w:tcW w:w="1253" w:type="dxa"/>
            <w:shd w:val="clear" w:color="auto" w:fill="auto"/>
          </w:tcPr>
          <w:p w14:paraId="37D04765" w14:textId="77777777" w:rsidR="003E3D07" w:rsidRDefault="003E3D07">
            <w:pPr>
              <w:pStyle w:val="TableText"/>
            </w:pPr>
            <w:r>
              <w:t>Anti-P</w:t>
            </w:r>
          </w:p>
        </w:tc>
        <w:tc>
          <w:tcPr>
            <w:tcW w:w="878" w:type="dxa"/>
            <w:shd w:val="clear" w:color="auto" w:fill="auto"/>
          </w:tcPr>
          <w:p w14:paraId="4C4FB2DA" w14:textId="77777777" w:rsidR="003E3D07" w:rsidRDefault="003E3D07">
            <w:pPr>
              <w:pStyle w:val="TableText"/>
            </w:pPr>
            <w:r>
              <w:t>No</w:t>
            </w:r>
          </w:p>
        </w:tc>
        <w:tc>
          <w:tcPr>
            <w:tcW w:w="878" w:type="dxa"/>
            <w:shd w:val="clear" w:color="auto" w:fill="auto"/>
          </w:tcPr>
          <w:p w14:paraId="288D21C6" w14:textId="77777777" w:rsidR="003E3D07" w:rsidRDefault="003E3D07">
            <w:pPr>
              <w:pStyle w:val="TableText"/>
              <w:rPr>
                <w:rFonts w:eastAsia="Symbol"/>
              </w:rPr>
            </w:pPr>
            <w:r>
              <w:t>Optional</w:t>
            </w:r>
          </w:p>
        </w:tc>
        <w:tc>
          <w:tcPr>
            <w:tcW w:w="1253" w:type="dxa"/>
            <w:shd w:val="clear" w:color="auto" w:fill="auto"/>
          </w:tcPr>
          <w:p w14:paraId="495574D5" w14:textId="77777777" w:rsidR="003E3D07" w:rsidRDefault="003E3D07">
            <w:pPr>
              <w:pStyle w:val="TableText"/>
              <w:rPr>
                <w:rFonts w:eastAsia="Symbol"/>
              </w:rPr>
            </w:pPr>
            <w:r>
              <w:t>P</w:t>
            </w:r>
          </w:p>
        </w:tc>
        <w:tc>
          <w:tcPr>
            <w:tcW w:w="1253" w:type="dxa"/>
            <w:shd w:val="clear" w:color="auto" w:fill="auto"/>
          </w:tcPr>
          <w:p w14:paraId="6E6FE94A" w14:textId="77777777" w:rsidR="003E3D07" w:rsidRDefault="003E3D07">
            <w:pPr>
              <w:pStyle w:val="TableText"/>
              <w:rPr>
                <w:rFonts w:eastAsia="Symbol"/>
              </w:rPr>
            </w:pPr>
            <w:r>
              <w:t>P (not otherwise specified)</w:t>
            </w:r>
          </w:p>
        </w:tc>
        <w:tc>
          <w:tcPr>
            <w:tcW w:w="1296" w:type="dxa"/>
            <w:shd w:val="clear" w:color="auto" w:fill="auto"/>
          </w:tcPr>
          <w:p w14:paraId="5655BAE3" w14:textId="77777777" w:rsidR="003E3D07" w:rsidRDefault="003E3D07">
            <w:pPr>
              <w:pStyle w:val="TableText"/>
              <w:rPr>
                <w:rFonts w:eastAsia="Symbol"/>
              </w:rPr>
            </w:pPr>
            <w:r>
              <w:rPr>
                <w:rFonts w:eastAsia="Symbol"/>
              </w:rPr>
              <w:t>25</w:t>
            </w:r>
          </w:p>
        </w:tc>
        <w:tc>
          <w:tcPr>
            <w:tcW w:w="1296" w:type="dxa"/>
            <w:shd w:val="clear" w:color="auto" w:fill="auto"/>
          </w:tcPr>
          <w:p w14:paraId="31EF6BCF" w14:textId="77777777" w:rsidR="003E3D07" w:rsidRDefault="003E3D07">
            <w:pPr>
              <w:pStyle w:val="TableText"/>
              <w:rPr>
                <w:rFonts w:eastAsia="Symbol"/>
              </w:rPr>
            </w:pPr>
            <w:r>
              <w:t>AGP</w:t>
            </w:r>
          </w:p>
        </w:tc>
      </w:tr>
      <w:tr w:rsidR="00824338" w14:paraId="5FB98875" w14:textId="77777777">
        <w:tblPrEx>
          <w:tblBorders>
            <w:insideH w:val="single" w:sz="4" w:space="0" w:color="auto"/>
            <w:insideV w:val="single" w:sz="4" w:space="0" w:color="auto"/>
          </w:tblBorders>
        </w:tblPrEx>
        <w:tc>
          <w:tcPr>
            <w:tcW w:w="1253" w:type="dxa"/>
            <w:shd w:val="clear" w:color="auto" w:fill="auto"/>
          </w:tcPr>
          <w:p w14:paraId="486E7EAD" w14:textId="77777777" w:rsidR="003E3D07" w:rsidRDefault="003E3D07">
            <w:pPr>
              <w:pStyle w:val="TableText"/>
              <w:rPr>
                <w:rFonts w:eastAsia="Symbol"/>
              </w:rPr>
            </w:pPr>
            <w:r>
              <w:t>Anti-A1</w:t>
            </w:r>
          </w:p>
        </w:tc>
        <w:tc>
          <w:tcPr>
            <w:tcW w:w="1253" w:type="dxa"/>
            <w:shd w:val="clear" w:color="auto" w:fill="auto"/>
          </w:tcPr>
          <w:p w14:paraId="51FE90F5" w14:textId="77777777" w:rsidR="003E3D07" w:rsidRDefault="003E3D07">
            <w:pPr>
              <w:pStyle w:val="TableText"/>
            </w:pPr>
            <w:r>
              <w:t>Anti-A-1</w:t>
            </w:r>
          </w:p>
        </w:tc>
        <w:tc>
          <w:tcPr>
            <w:tcW w:w="878" w:type="dxa"/>
            <w:shd w:val="clear" w:color="auto" w:fill="auto"/>
          </w:tcPr>
          <w:p w14:paraId="2E0BE63D" w14:textId="77777777" w:rsidR="003E3D07" w:rsidRDefault="003E3D07">
            <w:pPr>
              <w:pStyle w:val="TableText"/>
            </w:pPr>
            <w:r>
              <w:t>No</w:t>
            </w:r>
          </w:p>
        </w:tc>
        <w:tc>
          <w:tcPr>
            <w:tcW w:w="878" w:type="dxa"/>
            <w:shd w:val="clear" w:color="auto" w:fill="auto"/>
          </w:tcPr>
          <w:p w14:paraId="198C86D5" w14:textId="77777777" w:rsidR="003E3D07" w:rsidRDefault="003E3D07">
            <w:pPr>
              <w:pStyle w:val="TableText"/>
              <w:rPr>
                <w:rFonts w:eastAsia="Symbol"/>
              </w:rPr>
            </w:pPr>
            <w:r>
              <w:t>Optional</w:t>
            </w:r>
          </w:p>
        </w:tc>
        <w:tc>
          <w:tcPr>
            <w:tcW w:w="1253" w:type="dxa"/>
            <w:shd w:val="clear" w:color="auto" w:fill="auto"/>
          </w:tcPr>
          <w:p w14:paraId="3F1D5699" w14:textId="77777777" w:rsidR="003E3D07" w:rsidRDefault="003E3D07">
            <w:pPr>
              <w:pStyle w:val="TableText"/>
              <w:rPr>
                <w:rFonts w:eastAsia="Symbol"/>
              </w:rPr>
            </w:pPr>
            <w:r>
              <w:t>A1</w:t>
            </w:r>
          </w:p>
        </w:tc>
        <w:tc>
          <w:tcPr>
            <w:tcW w:w="1253" w:type="dxa"/>
            <w:shd w:val="clear" w:color="auto" w:fill="auto"/>
          </w:tcPr>
          <w:p w14:paraId="638FEE6B" w14:textId="77777777" w:rsidR="003E3D07" w:rsidRDefault="003E3D07">
            <w:pPr>
              <w:pStyle w:val="TableText"/>
              <w:rPr>
                <w:rFonts w:eastAsia="Symbol"/>
              </w:rPr>
            </w:pPr>
            <w:r>
              <w:t>A-1</w:t>
            </w:r>
          </w:p>
        </w:tc>
        <w:tc>
          <w:tcPr>
            <w:tcW w:w="1296" w:type="dxa"/>
            <w:shd w:val="clear" w:color="auto" w:fill="auto"/>
          </w:tcPr>
          <w:p w14:paraId="23BA599C" w14:textId="77777777" w:rsidR="003E3D07" w:rsidRDefault="003E3D07">
            <w:pPr>
              <w:pStyle w:val="TableText"/>
              <w:rPr>
                <w:rFonts w:eastAsia="Symbol"/>
              </w:rPr>
            </w:pPr>
            <w:r>
              <w:rPr>
                <w:rFonts w:eastAsia="Symbol"/>
              </w:rPr>
              <w:t>10</w:t>
            </w:r>
          </w:p>
        </w:tc>
        <w:tc>
          <w:tcPr>
            <w:tcW w:w="1296" w:type="dxa"/>
            <w:shd w:val="clear" w:color="auto" w:fill="auto"/>
          </w:tcPr>
          <w:p w14:paraId="3F0C8E3D" w14:textId="77777777" w:rsidR="003E3D07" w:rsidRDefault="003E3D07">
            <w:pPr>
              <w:pStyle w:val="TableText"/>
              <w:rPr>
                <w:rFonts w:eastAsia="Symbol"/>
              </w:rPr>
            </w:pPr>
            <w:r>
              <w:t>AGA1</w:t>
            </w:r>
          </w:p>
        </w:tc>
      </w:tr>
      <w:tr w:rsidR="00824338" w14:paraId="63C3A7D1" w14:textId="77777777">
        <w:tblPrEx>
          <w:tblBorders>
            <w:insideH w:val="single" w:sz="4" w:space="0" w:color="auto"/>
            <w:insideV w:val="single" w:sz="4" w:space="0" w:color="auto"/>
          </w:tblBorders>
        </w:tblPrEx>
        <w:tc>
          <w:tcPr>
            <w:tcW w:w="1253" w:type="dxa"/>
            <w:shd w:val="clear" w:color="auto" w:fill="auto"/>
          </w:tcPr>
          <w:p w14:paraId="6BB4E996" w14:textId="77777777" w:rsidR="003E3D07" w:rsidRDefault="003E3D07">
            <w:pPr>
              <w:pStyle w:val="TableText"/>
              <w:rPr>
                <w:rFonts w:eastAsia="Symbol"/>
              </w:rPr>
            </w:pPr>
            <w:r>
              <w:t>Anti-H</w:t>
            </w:r>
          </w:p>
        </w:tc>
        <w:tc>
          <w:tcPr>
            <w:tcW w:w="1253" w:type="dxa"/>
            <w:shd w:val="clear" w:color="auto" w:fill="auto"/>
          </w:tcPr>
          <w:p w14:paraId="16720DB7" w14:textId="77777777" w:rsidR="003E3D07" w:rsidRDefault="003E3D07">
            <w:pPr>
              <w:pStyle w:val="TableText"/>
              <w:rPr>
                <w:rFonts w:eastAsia="Symbol"/>
              </w:rPr>
            </w:pPr>
            <w:r>
              <w:t>Anti-H</w:t>
            </w:r>
          </w:p>
        </w:tc>
        <w:tc>
          <w:tcPr>
            <w:tcW w:w="878" w:type="dxa"/>
            <w:shd w:val="clear" w:color="auto" w:fill="auto"/>
          </w:tcPr>
          <w:p w14:paraId="3084E073" w14:textId="77777777" w:rsidR="003E3D07" w:rsidRDefault="003E3D07">
            <w:pPr>
              <w:pStyle w:val="TableText"/>
            </w:pPr>
            <w:r>
              <w:t>No</w:t>
            </w:r>
          </w:p>
        </w:tc>
        <w:tc>
          <w:tcPr>
            <w:tcW w:w="878" w:type="dxa"/>
            <w:shd w:val="clear" w:color="auto" w:fill="auto"/>
          </w:tcPr>
          <w:p w14:paraId="74A373BE" w14:textId="77777777" w:rsidR="003E3D07" w:rsidRDefault="003E3D07">
            <w:pPr>
              <w:pStyle w:val="TableText"/>
              <w:rPr>
                <w:rFonts w:eastAsia="Symbol"/>
              </w:rPr>
            </w:pPr>
            <w:r>
              <w:t>Optional</w:t>
            </w:r>
          </w:p>
        </w:tc>
        <w:tc>
          <w:tcPr>
            <w:tcW w:w="1253" w:type="dxa"/>
            <w:shd w:val="clear" w:color="auto" w:fill="auto"/>
          </w:tcPr>
          <w:p w14:paraId="3D9C234E" w14:textId="77777777" w:rsidR="003E3D07" w:rsidRDefault="003E3D07">
            <w:pPr>
              <w:pStyle w:val="TableText"/>
              <w:rPr>
                <w:rFonts w:eastAsia="Symbol"/>
              </w:rPr>
            </w:pPr>
            <w:r>
              <w:t>H</w:t>
            </w:r>
          </w:p>
        </w:tc>
        <w:tc>
          <w:tcPr>
            <w:tcW w:w="1253" w:type="dxa"/>
            <w:shd w:val="clear" w:color="auto" w:fill="auto"/>
          </w:tcPr>
          <w:p w14:paraId="2A0334BD" w14:textId="77777777" w:rsidR="003E3D07" w:rsidRDefault="003E3D07">
            <w:pPr>
              <w:pStyle w:val="TableText"/>
              <w:rPr>
                <w:rFonts w:eastAsia="Symbol"/>
              </w:rPr>
            </w:pPr>
            <w:r>
              <w:t>H</w:t>
            </w:r>
          </w:p>
        </w:tc>
        <w:tc>
          <w:tcPr>
            <w:tcW w:w="1296" w:type="dxa"/>
            <w:shd w:val="clear" w:color="auto" w:fill="auto"/>
          </w:tcPr>
          <w:p w14:paraId="580B027D" w14:textId="77777777" w:rsidR="003E3D07" w:rsidRDefault="003E3D07">
            <w:pPr>
              <w:pStyle w:val="TableText"/>
              <w:rPr>
                <w:rFonts w:eastAsia="Symbol"/>
              </w:rPr>
            </w:pPr>
            <w:r>
              <w:t>0</w:t>
            </w:r>
          </w:p>
        </w:tc>
        <w:tc>
          <w:tcPr>
            <w:tcW w:w="1296" w:type="dxa"/>
            <w:shd w:val="clear" w:color="auto" w:fill="auto"/>
          </w:tcPr>
          <w:p w14:paraId="396B485B" w14:textId="77777777" w:rsidR="003E3D07" w:rsidRDefault="003E3D07">
            <w:pPr>
              <w:pStyle w:val="TableText"/>
              <w:rPr>
                <w:rFonts w:eastAsia="Symbol"/>
              </w:rPr>
            </w:pPr>
            <w:r>
              <w:rPr>
                <w:rFonts w:eastAsia="Symbol"/>
              </w:rPr>
              <w:t>AGH</w:t>
            </w:r>
          </w:p>
        </w:tc>
      </w:tr>
      <w:tr w:rsidR="00824338" w14:paraId="4C6B89D6" w14:textId="77777777">
        <w:tblPrEx>
          <w:tblBorders>
            <w:insideH w:val="single" w:sz="4" w:space="0" w:color="auto"/>
            <w:insideV w:val="single" w:sz="4" w:space="0" w:color="auto"/>
          </w:tblBorders>
        </w:tblPrEx>
        <w:trPr>
          <w:trHeight w:val="720"/>
        </w:trPr>
        <w:tc>
          <w:tcPr>
            <w:tcW w:w="1253" w:type="dxa"/>
            <w:shd w:val="clear" w:color="auto" w:fill="auto"/>
          </w:tcPr>
          <w:p w14:paraId="6409F82E" w14:textId="77777777" w:rsidR="003E3D07" w:rsidRDefault="003E3D07">
            <w:pPr>
              <w:pStyle w:val="TableText"/>
              <w:rPr>
                <w:rFonts w:eastAsia="Symbol"/>
              </w:rPr>
            </w:pPr>
            <w:r>
              <w:t>Anti-I</w:t>
            </w:r>
          </w:p>
        </w:tc>
        <w:tc>
          <w:tcPr>
            <w:tcW w:w="1253" w:type="dxa"/>
            <w:shd w:val="clear" w:color="auto" w:fill="auto"/>
          </w:tcPr>
          <w:p w14:paraId="6D82F531" w14:textId="77777777" w:rsidR="003E3D07" w:rsidRDefault="003E3D07">
            <w:pPr>
              <w:pStyle w:val="TableText"/>
              <w:rPr>
                <w:rFonts w:eastAsia="Symbol"/>
              </w:rPr>
            </w:pPr>
            <w:r>
              <w:t>Anti-I</w:t>
            </w:r>
          </w:p>
        </w:tc>
        <w:tc>
          <w:tcPr>
            <w:tcW w:w="878" w:type="dxa"/>
            <w:shd w:val="clear" w:color="auto" w:fill="auto"/>
          </w:tcPr>
          <w:p w14:paraId="54055C00" w14:textId="77777777" w:rsidR="003E3D07" w:rsidRDefault="003E3D07">
            <w:pPr>
              <w:pStyle w:val="TableText"/>
            </w:pPr>
            <w:r>
              <w:t>No</w:t>
            </w:r>
          </w:p>
        </w:tc>
        <w:tc>
          <w:tcPr>
            <w:tcW w:w="878" w:type="dxa"/>
            <w:shd w:val="clear" w:color="auto" w:fill="auto"/>
          </w:tcPr>
          <w:p w14:paraId="6CA747EF" w14:textId="77777777" w:rsidR="003E3D07" w:rsidRDefault="003E3D07">
            <w:pPr>
              <w:pStyle w:val="TableText"/>
              <w:rPr>
                <w:rFonts w:eastAsia="Symbol"/>
              </w:rPr>
            </w:pPr>
            <w:r>
              <w:t>No</w:t>
            </w:r>
          </w:p>
        </w:tc>
        <w:tc>
          <w:tcPr>
            <w:tcW w:w="1253" w:type="dxa"/>
            <w:shd w:val="clear" w:color="auto" w:fill="auto"/>
          </w:tcPr>
          <w:p w14:paraId="687F9727" w14:textId="77777777" w:rsidR="003E3D07" w:rsidRDefault="003E3D07">
            <w:pPr>
              <w:pStyle w:val="TableText"/>
              <w:rPr>
                <w:rFonts w:eastAsia="Symbol"/>
              </w:rPr>
            </w:pPr>
            <w:r>
              <w:t>None</w:t>
            </w:r>
          </w:p>
        </w:tc>
        <w:tc>
          <w:tcPr>
            <w:tcW w:w="1253" w:type="dxa"/>
            <w:shd w:val="clear" w:color="auto" w:fill="auto"/>
          </w:tcPr>
          <w:p w14:paraId="01D6B2C6" w14:textId="77777777" w:rsidR="003E3D07" w:rsidRDefault="003E3D07">
            <w:pPr>
              <w:pStyle w:val="TableText"/>
              <w:rPr>
                <w:rFonts w:eastAsia="Symbol"/>
              </w:rPr>
            </w:pPr>
            <w:r>
              <w:t>None</w:t>
            </w:r>
          </w:p>
        </w:tc>
        <w:tc>
          <w:tcPr>
            <w:tcW w:w="1296" w:type="dxa"/>
            <w:shd w:val="clear" w:color="auto" w:fill="auto"/>
          </w:tcPr>
          <w:p w14:paraId="24951638" w14:textId="77777777" w:rsidR="003E3D07" w:rsidRDefault="003E3D07">
            <w:pPr>
              <w:pStyle w:val="TableText"/>
              <w:rPr>
                <w:rFonts w:eastAsia="Symbol"/>
              </w:rPr>
            </w:pPr>
            <w:r>
              <w:t>0</w:t>
            </w:r>
          </w:p>
        </w:tc>
        <w:tc>
          <w:tcPr>
            <w:tcW w:w="1296" w:type="dxa"/>
            <w:vMerge w:val="restart"/>
            <w:shd w:val="clear" w:color="auto" w:fill="auto"/>
          </w:tcPr>
          <w:p w14:paraId="06823658" w14:textId="77777777" w:rsidR="003E3D07" w:rsidRDefault="003E3D07">
            <w:pPr>
              <w:pStyle w:val="TableText"/>
              <w:rPr>
                <w:rFonts w:eastAsia="Symbol"/>
              </w:rPr>
            </w:pPr>
            <w:r>
              <w:rPr>
                <w:rFonts w:eastAsia="Symbol"/>
              </w:rPr>
              <w:t>None</w:t>
            </w:r>
          </w:p>
        </w:tc>
      </w:tr>
      <w:tr w:rsidR="00824338" w14:paraId="0B07AE97" w14:textId="77777777">
        <w:tblPrEx>
          <w:tblBorders>
            <w:insideH w:val="single" w:sz="4" w:space="0" w:color="auto"/>
            <w:insideV w:val="single" w:sz="4" w:space="0" w:color="auto"/>
          </w:tblBorders>
        </w:tblPrEx>
        <w:trPr>
          <w:trHeight w:val="720"/>
        </w:trPr>
        <w:tc>
          <w:tcPr>
            <w:tcW w:w="1253" w:type="dxa"/>
            <w:shd w:val="clear" w:color="auto" w:fill="auto"/>
          </w:tcPr>
          <w:p w14:paraId="5493B59A" w14:textId="77777777" w:rsidR="003E3D07" w:rsidRDefault="003E3D07">
            <w:pPr>
              <w:pStyle w:val="TableText"/>
              <w:rPr>
                <w:rFonts w:eastAsia="Symbol"/>
              </w:rPr>
            </w:pPr>
            <w:r>
              <w:t>Anti-i</w:t>
            </w:r>
          </w:p>
        </w:tc>
        <w:tc>
          <w:tcPr>
            <w:tcW w:w="1253" w:type="dxa"/>
            <w:shd w:val="clear" w:color="auto" w:fill="auto"/>
          </w:tcPr>
          <w:p w14:paraId="41AAAD23" w14:textId="77777777" w:rsidR="003E3D07" w:rsidRDefault="003E3D07">
            <w:pPr>
              <w:pStyle w:val="TableText"/>
              <w:rPr>
                <w:rFonts w:eastAsia="Symbol"/>
              </w:rPr>
            </w:pPr>
            <w:r>
              <w:t>Anti-i</w:t>
            </w:r>
          </w:p>
        </w:tc>
        <w:tc>
          <w:tcPr>
            <w:tcW w:w="878" w:type="dxa"/>
            <w:shd w:val="clear" w:color="auto" w:fill="auto"/>
          </w:tcPr>
          <w:p w14:paraId="4BC0E989" w14:textId="77777777" w:rsidR="003E3D07" w:rsidRDefault="003E3D07">
            <w:pPr>
              <w:pStyle w:val="TableText"/>
            </w:pPr>
            <w:r>
              <w:t>No</w:t>
            </w:r>
          </w:p>
        </w:tc>
        <w:tc>
          <w:tcPr>
            <w:tcW w:w="878" w:type="dxa"/>
            <w:shd w:val="clear" w:color="auto" w:fill="auto"/>
          </w:tcPr>
          <w:p w14:paraId="42CC1419" w14:textId="77777777" w:rsidR="003E3D07" w:rsidRDefault="003E3D07">
            <w:pPr>
              <w:pStyle w:val="TableText"/>
              <w:rPr>
                <w:rFonts w:eastAsia="Symbol"/>
              </w:rPr>
            </w:pPr>
            <w:r>
              <w:t>No</w:t>
            </w:r>
          </w:p>
        </w:tc>
        <w:tc>
          <w:tcPr>
            <w:tcW w:w="1253" w:type="dxa"/>
            <w:shd w:val="clear" w:color="auto" w:fill="auto"/>
          </w:tcPr>
          <w:p w14:paraId="2A2BC911" w14:textId="77777777" w:rsidR="003E3D07" w:rsidRDefault="003E3D07">
            <w:pPr>
              <w:pStyle w:val="TableText"/>
              <w:rPr>
                <w:rFonts w:eastAsia="Symbol"/>
              </w:rPr>
            </w:pPr>
            <w:r>
              <w:t>None</w:t>
            </w:r>
          </w:p>
        </w:tc>
        <w:tc>
          <w:tcPr>
            <w:tcW w:w="1253" w:type="dxa"/>
            <w:shd w:val="clear" w:color="auto" w:fill="auto"/>
          </w:tcPr>
          <w:p w14:paraId="6CCD5DAD" w14:textId="77777777" w:rsidR="003E3D07" w:rsidRDefault="003E3D07">
            <w:pPr>
              <w:pStyle w:val="TableText"/>
              <w:rPr>
                <w:rFonts w:eastAsia="Symbol"/>
              </w:rPr>
            </w:pPr>
            <w:r>
              <w:t>None</w:t>
            </w:r>
          </w:p>
        </w:tc>
        <w:tc>
          <w:tcPr>
            <w:tcW w:w="1296" w:type="dxa"/>
            <w:shd w:val="clear" w:color="auto" w:fill="auto"/>
          </w:tcPr>
          <w:p w14:paraId="1D8FA126" w14:textId="77777777" w:rsidR="003E3D07" w:rsidRDefault="003E3D07">
            <w:pPr>
              <w:pStyle w:val="TableText"/>
              <w:rPr>
                <w:rFonts w:eastAsia="Symbol"/>
              </w:rPr>
            </w:pPr>
            <w:r>
              <w:rPr>
                <w:rFonts w:eastAsia="Symbol"/>
              </w:rPr>
              <w:t>99</w:t>
            </w:r>
          </w:p>
        </w:tc>
        <w:tc>
          <w:tcPr>
            <w:tcW w:w="1296" w:type="dxa"/>
            <w:vMerge/>
            <w:shd w:val="clear" w:color="auto" w:fill="auto"/>
          </w:tcPr>
          <w:p w14:paraId="2A25E67A" w14:textId="77777777" w:rsidR="003E3D07" w:rsidRDefault="003E3D07">
            <w:pPr>
              <w:pStyle w:val="TableText"/>
              <w:rPr>
                <w:rFonts w:eastAsia="Symbol"/>
              </w:rPr>
            </w:pPr>
          </w:p>
        </w:tc>
      </w:tr>
      <w:tr w:rsidR="00824338" w14:paraId="01F2EAB7" w14:textId="77777777">
        <w:tblPrEx>
          <w:tblBorders>
            <w:insideH w:val="single" w:sz="4" w:space="0" w:color="auto"/>
            <w:insideV w:val="single" w:sz="4" w:space="0" w:color="auto"/>
          </w:tblBorders>
        </w:tblPrEx>
        <w:trPr>
          <w:trHeight w:val="720"/>
        </w:trPr>
        <w:tc>
          <w:tcPr>
            <w:tcW w:w="1253" w:type="dxa"/>
            <w:shd w:val="clear" w:color="auto" w:fill="auto"/>
          </w:tcPr>
          <w:p w14:paraId="40C18948" w14:textId="77777777" w:rsidR="003E3D07" w:rsidRDefault="003E3D07">
            <w:pPr>
              <w:pStyle w:val="TableText"/>
            </w:pPr>
            <w:r>
              <w:t>Warm autoantibody</w:t>
            </w:r>
          </w:p>
        </w:tc>
        <w:tc>
          <w:tcPr>
            <w:tcW w:w="1253" w:type="dxa"/>
            <w:shd w:val="clear" w:color="auto" w:fill="auto"/>
          </w:tcPr>
          <w:p w14:paraId="5BBC725C" w14:textId="77777777" w:rsidR="003E3D07" w:rsidRDefault="003E3D07">
            <w:pPr>
              <w:pStyle w:val="TableText"/>
            </w:pPr>
            <w:r>
              <w:t>Warm autoantibody</w:t>
            </w:r>
          </w:p>
        </w:tc>
        <w:tc>
          <w:tcPr>
            <w:tcW w:w="878" w:type="dxa"/>
            <w:shd w:val="clear" w:color="auto" w:fill="auto"/>
          </w:tcPr>
          <w:p w14:paraId="677C2024" w14:textId="77777777" w:rsidR="003E3D07" w:rsidRDefault="003E3D07">
            <w:pPr>
              <w:pStyle w:val="TableText"/>
            </w:pPr>
            <w:r>
              <w:t>Unknown</w:t>
            </w:r>
            <w:r w:rsidR="00F528F3" w:rsidRPr="00191509">
              <w:rPr>
                <w:szCs w:val="18"/>
              </w:rPr>
              <w:t>§</w:t>
            </w:r>
          </w:p>
        </w:tc>
        <w:tc>
          <w:tcPr>
            <w:tcW w:w="878" w:type="dxa"/>
            <w:shd w:val="clear" w:color="auto" w:fill="auto"/>
          </w:tcPr>
          <w:p w14:paraId="1FE9F46D" w14:textId="77777777" w:rsidR="003E3D07" w:rsidRDefault="003E3D07">
            <w:pPr>
              <w:pStyle w:val="TableText"/>
            </w:pPr>
            <w:r>
              <w:t>No</w:t>
            </w:r>
          </w:p>
        </w:tc>
        <w:tc>
          <w:tcPr>
            <w:tcW w:w="1253" w:type="dxa"/>
            <w:shd w:val="clear" w:color="auto" w:fill="auto"/>
          </w:tcPr>
          <w:p w14:paraId="6D52A9ED" w14:textId="77777777" w:rsidR="003E3D07" w:rsidRDefault="003E3D07">
            <w:pPr>
              <w:pStyle w:val="TableText"/>
              <w:rPr>
                <w:rFonts w:eastAsia="Symbol"/>
              </w:rPr>
            </w:pPr>
            <w:r>
              <w:rPr>
                <w:rFonts w:eastAsia="Symbol"/>
              </w:rPr>
              <w:t>None</w:t>
            </w:r>
          </w:p>
        </w:tc>
        <w:tc>
          <w:tcPr>
            <w:tcW w:w="1253" w:type="dxa"/>
            <w:shd w:val="clear" w:color="auto" w:fill="auto"/>
          </w:tcPr>
          <w:p w14:paraId="174DC902" w14:textId="77777777" w:rsidR="003E3D07" w:rsidRDefault="003E3D07">
            <w:pPr>
              <w:pStyle w:val="TableText"/>
              <w:rPr>
                <w:rFonts w:eastAsia="Symbol"/>
              </w:rPr>
            </w:pPr>
            <w:r>
              <w:rPr>
                <w:rFonts w:eastAsia="Symbol"/>
              </w:rPr>
              <w:t>None</w:t>
            </w:r>
          </w:p>
        </w:tc>
        <w:tc>
          <w:tcPr>
            <w:tcW w:w="1296" w:type="dxa"/>
            <w:shd w:val="clear" w:color="auto" w:fill="auto"/>
          </w:tcPr>
          <w:p w14:paraId="1E251863" w14:textId="77777777" w:rsidR="003E3D07" w:rsidRDefault="003E3D07">
            <w:pPr>
              <w:pStyle w:val="TableText"/>
            </w:pPr>
            <w:r>
              <w:rPr>
                <w:rFonts w:eastAsia="Symbol"/>
              </w:rPr>
              <w:t>0</w:t>
            </w:r>
          </w:p>
        </w:tc>
        <w:tc>
          <w:tcPr>
            <w:tcW w:w="1296" w:type="dxa"/>
            <w:vMerge/>
            <w:shd w:val="clear" w:color="auto" w:fill="auto"/>
          </w:tcPr>
          <w:p w14:paraId="10254C75" w14:textId="77777777" w:rsidR="003E3D07" w:rsidRDefault="003E3D07">
            <w:pPr>
              <w:pStyle w:val="TableText"/>
              <w:rPr>
                <w:rFonts w:eastAsia="Symbol"/>
              </w:rPr>
            </w:pPr>
          </w:p>
        </w:tc>
      </w:tr>
      <w:tr w:rsidR="00824338" w14:paraId="0912AA9A" w14:textId="77777777">
        <w:tblPrEx>
          <w:tblBorders>
            <w:insideH w:val="single" w:sz="4" w:space="0" w:color="auto"/>
            <w:insideV w:val="single" w:sz="4" w:space="0" w:color="auto"/>
          </w:tblBorders>
        </w:tblPrEx>
        <w:trPr>
          <w:trHeight w:val="720"/>
        </w:trPr>
        <w:tc>
          <w:tcPr>
            <w:tcW w:w="1253" w:type="dxa"/>
            <w:shd w:val="clear" w:color="auto" w:fill="auto"/>
          </w:tcPr>
          <w:p w14:paraId="5F232986" w14:textId="77777777" w:rsidR="003E3D07" w:rsidRDefault="003E3D07">
            <w:pPr>
              <w:pStyle w:val="TableText"/>
              <w:rPr>
                <w:rFonts w:eastAsia="Symbol"/>
              </w:rPr>
            </w:pPr>
            <w:r>
              <w:t>Cold autoantibody</w:t>
            </w:r>
          </w:p>
        </w:tc>
        <w:tc>
          <w:tcPr>
            <w:tcW w:w="1253" w:type="dxa"/>
            <w:shd w:val="clear" w:color="auto" w:fill="auto"/>
          </w:tcPr>
          <w:p w14:paraId="62FCD89D" w14:textId="77777777" w:rsidR="003E3D07" w:rsidRDefault="003E3D07">
            <w:pPr>
              <w:pStyle w:val="TableText"/>
            </w:pPr>
            <w:r>
              <w:t>Cold autoantibody</w:t>
            </w:r>
          </w:p>
        </w:tc>
        <w:tc>
          <w:tcPr>
            <w:tcW w:w="878" w:type="dxa"/>
            <w:shd w:val="clear" w:color="auto" w:fill="auto"/>
          </w:tcPr>
          <w:p w14:paraId="190EF533" w14:textId="77777777" w:rsidR="003E3D07" w:rsidRDefault="003E3D07">
            <w:pPr>
              <w:pStyle w:val="TableText"/>
            </w:pPr>
            <w:r>
              <w:t>No</w:t>
            </w:r>
          </w:p>
        </w:tc>
        <w:tc>
          <w:tcPr>
            <w:tcW w:w="878" w:type="dxa"/>
            <w:shd w:val="clear" w:color="auto" w:fill="auto"/>
          </w:tcPr>
          <w:p w14:paraId="6DE16A29" w14:textId="77777777" w:rsidR="003E3D07" w:rsidRDefault="003E3D07">
            <w:pPr>
              <w:pStyle w:val="TableText"/>
              <w:rPr>
                <w:rFonts w:eastAsia="Symbol"/>
              </w:rPr>
            </w:pPr>
            <w:r>
              <w:t>No</w:t>
            </w:r>
          </w:p>
        </w:tc>
        <w:tc>
          <w:tcPr>
            <w:tcW w:w="1253" w:type="dxa"/>
            <w:shd w:val="clear" w:color="auto" w:fill="auto"/>
          </w:tcPr>
          <w:p w14:paraId="7BB28F6B" w14:textId="77777777" w:rsidR="003E3D07" w:rsidRDefault="003E3D07">
            <w:pPr>
              <w:pStyle w:val="TableText"/>
              <w:rPr>
                <w:rFonts w:eastAsia="Symbol"/>
              </w:rPr>
            </w:pPr>
            <w:r>
              <w:rPr>
                <w:rFonts w:eastAsia="Symbol"/>
              </w:rPr>
              <w:t>None</w:t>
            </w:r>
          </w:p>
        </w:tc>
        <w:tc>
          <w:tcPr>
            <w:tcW w:w="1253" w:type="dxa"/>
            <w:shd w:val="clear" w:color="auto" w:fill="auto"/>
          </w:tcPr>
          <w:p w14:paraId="0C34E4B3" w14:textId="77777777" w:rsidR="003E3D07" w:rsidRDefault="003E3D07">
            <w:pPr>
              <w:pStyle w:val="TableText"/>
              <w:rPr>
                <w:rFonts w:eastAsia="Symbol"/>
              </w:rPr>
            </w:pPr>
            <w:r>
              <w:rPr>
                <w:rFonts w:eastAsia="Symbol"/>
              </w:rPr>
              <w:t>None</w:t>
            </w:r>
          </w:p>
        </w:tc>
        <w:tc>
          <w:tcPr>
            <w:tcW w:w="1296" w:type="dxa"/>
            <w:shd w:val="clear" w:color="auto" w:fill="auto"/>
          </w:tcPr>
          <w:p w14:paraId="64365EFF" w14:textId="77777777" w:rsidR="003E3D07" w:rsidRDefault="003E3D07">
            <w:pPr>
              <w:pStyle w:val="TableText"/>
              <w:rPr>
                <w:rFonts w:eastAsia="Symbol"/>
              </w:rPr>
            </w:pPr>
            <w:r>
              <w:t>0</w:t>
            </w:r>
          </w:p>
        </w:tc>
        <w:tc>
          <w:tcPr>
            <w:tcW w:w="1296" w:type="dxa"/>
            <w:vMerge/>
            <w:shd w:val="clear" w:color="auto" w:fill="auto"/>
          </w:tcPr>
          <w:p w14:paraId="14E750C7" w14:textId="77777777" w:rsidR="003E3D07" w:rsidRDefault="003E3D07">
            <w:pPr>
              <w:pStyle w:val="TableText"/>
              <w:rPr>
                <w:rFonts w:eastAsia="Symbol"/>
              </w:rPr>
            </w:pPr>
          </w:p>
        </w:tc>
      </w:tr>
      <w:tr w:rsidR="00824338" w14:paraId="0B275F59" w14:textId="77777777">
        <w:tblPrEx>
          <w:tblBorders>
            <w:insideH w:val="single" w:sz="4" w:space="0" w:color="auto"/>
            <w:insideV w:val="single" w:sz="4" w:space="0" w:color="auto"/>
          </w:tblBorders>
        </w:tblPrEx>
        <w:tc>
          <w:tcPr>
            <w:tcW w:w="1253" w:type="dxa"/>
            <w:shd w:val="clear" w:color="auto" w:fill="auto"/>
          </w:tcPr>
          <w:p w14:paraId="2C27944A" w14:textId="77777777" w:rsidR="003E3D07" w:rsidRDefault="003E3D07">
            <w:pPr>
              <w:pStyle w:val="TableText"/>
              <w:rPr>
                <w:rFonts w:eastAsia="Symbol"/>
              </w:rPr>
            </w:pPr>
            <w:r>
              <w:t>Anti-Le(ab)</w:t>
            </w:r>
          </w:p>
        </w:tc>
        <w:tc>
          <w:tcPr>
            <w:tcW w:w="1253" w:type="dxa"/>
            <w:shd w:val="clear" w:color="auto" w:fill="auto"/>
          </w:tcPr>
          <w:p w14:paraId="05709328" w14:textId="77777777" w:rsidR="003E3D07" w:rsidRDefault="003E3D07">
            <w:pPr>
              <w:pStyle w:val="TableText"/>
            </w:pPr>
            <w:r>
              <w:t>Anti-Le(x)</w:t>
            </w:r>
          </w:p>
        </w:tc>
        <w:tc>
          <w:tcPr>
            <w:tcW w:w="878" w:type="dxa"/>
            <w:shd w:val="clear" w:color="auto" w:fill="auto"/>
          </w:tcPr>
          <w:p w14:paraId="4ACA28D1" w14:textId="77777777" w:rsidR="003E3D07" w:rsidRDefault="003E3D07">
            <w:pPr>
              <w:pStyle w:val="TableText"/>
            </w:pPr>
            <w:r>
              <w:t>N</w:t>
            </w:r>
            <w:r w:rsidR="004D0818">
              <w:t>o</w:t>
            </w:r>
          </w:p>
        </w:tc>
        <w:tc>
          <w:tcPr>
            <w:tcW w:w="878" w:type="dxa"/>
            <w:shd w:val="clear" w:color="auto" w:fill="auto"/>
          </w:tcPr>
          <w:p w14:paraId="488CB81C" w14:textId="77777777" w:rsidR="003E3D07" w:rsidRDefault="003E3D07">
            <w:pPr>
              <w:pStyle w:val="TableText"/>
              <w:rPr>
                <w:rFonts w:eastAsia="Symbol"/>
              </w:rPr>
            </w:pPr>
            <w:r>
              <w:t>Optional</w:t>
            </w:r>
          </w:p>
        </w:tc>
        <w:tc>
          <w:tcPr>
            <w:tcW w:w="1253" w:type="dxa"/>
            <w:shd w:val="clear" w:color="auto" w:fill="auto"/>
          </w:tcPr>
          <w:p w14:paraId="597FF05F" w14:textId="77777777" w:rsidR="003E3D07" w:rsidRDefault="003E3D07">
            <w:pPr>
              <w:pStyle w:val="TableText"/>
              <w:rPr>
                <w:rFonts w:eastAsia="Symbol"/>
              </w:rPr>
            </w:pPr>
            <w:r>
              <w:rPr>
                <w:rFonts w:eastAsia="Symbol"/>
              </w:rPr>
              <w:t>Le(a) and Le(b)</w:t>
            </w:r>
          </w:p>
        </w:tc>
        <w:tc>
          <w:tcPr>
            <w:tcW w:w="1253" w:type="dxa"/>
            <w:shd w:val="clear" w:color="auto" w:fill="auto"/>
          </w:tcPr>
          <w:p w14:paraId="1C35636D" w14:textId="77777777" w:rsidR="003E3D07" w:rsidRDefault="003E3D07">
            <w:pPr>
              <w:pStyle w:val="TableText"/>
              <w:rPr>
                <w:rFonts w:eastAsia="Symbol"/>
              </w:rPr>
            </w:pPr>
            <w:r>
              <w:rPr>
                <w:rFonts w:eastAsia="Symbol"/>
              </w:rPr>
              <w:t>None</w:t>
            </w:r>
          </w:p>
        </w:tc>
        <w:tc>
          <w:tcPr>
            <w:tcW w:w="1296" w:type="dxa"/>
            <w:shd w:val="clear" w:color="auto" w:fill="auto"/>
          </w:tcPr>
          <w:p w14:paraId="47340A30" w14:textId="77777777" w:rsidR="003E3D07" w:rsidRDefault="003E3D07">
            <w:pPr>
              <w:pStyle w:val="TableText"/>
              <w:rPr>
                <w:rFonts w:eastAsia="Symbol"/>
              </w:rPr>
            </w:pPr>
            <w:r>
              <w:t>N/A</w:t>
            </w:r>
          </w:p>
        </w:tc>
        <w:tc>
          <w:tcPr>
            <w:tcW w:w="1296" w:type="dxa"/>
            <w:shd w:val="clear" w:color="auto" w:fill="auto"/>
          </w:tcPr>
          <w:p w14:paraId="3277B91E" w14:textId="77777777" w:rsidR="003E3D07" w:rsidRDefault="003E3D07">
            <w:pPr>
              <w:pStyle w:val="TableText"/>
            </w:pPr>
            <w:r>
              <w:t>AGLe(a)</w:t>
            </w:r>
          </w:p>
          <w:p w14:paraId="36057A08" w14:textId="77777777" w:rsidR="003E3D07" w:rsidRDefault="003E3D07">
            <w:pPr>
              <w:pStyle w:val="TableText"/>
              <w:rPr>
                <w:rFonts w:eastAsia="Symbol"/>
              </w:rPr>
            </w:pPr>
            <w:r>
              <w:t>AGLe(b)</w:t>
            </w:r>
          </w:p>
        </w:tc>
      </w:tr>
      <w:tr w:rsidR="00824338" w14:paraId="556A385E" w14:textId="77777777">
        <w:tblPrEx>
          <w:tblBorders>
            <w:insideH w:val="single" w:sz="4" w:space="0" w:color="auto"/>
            <w:insideV w:val="single" w:sz="4" w:space="0" w:color="auto"/>
          </w:tblBorders>
        </w:tblPrEx>
        <w:tc>
          <w:tcPr>
            <w:tcW w:w="1253" w:type="dxa"/>
            <w:shd w:val="clear" w:color="auto" w:fill="auto"/>
          </w:tcPr>
          <w:p w14:paraId="00819607" w14:textId="77777777" w:rsidR="003E3D07" w:rsidRDefault="003E3D07">
            <w:pPr>
              <w:pStyle w:val="TableText"/>
              <w:rPr>
                <w:rFonts w:eastAsia="Symbol"/>
              </w:rPr>
            </w:pPr>
            <w:r>
              <w:t>Anti-Di(a)</w:t>
            </w:r>
          </w:p>
        </w:tc>
        <w:tc>
          <w:tcPr>
            <w:tcW w:w="1253" w:type="dxa"/>
            <w:shd w:val="clear" w:color="auto" w:fill="auto"/>
          </w:tcPr>
          <w:p w14:paraId="066542F8" w14:textId="77777777" w:rsidR="003E3D07" w:rsidRDefault="003E3D07">
            <w:pPr>
              <w:pStyle w:val="TableText"/>
              <w:rPr>
                <w:rFonts w:eastAsia="Symbol"/>
              </w:rPr>
            </w:pPr>
            <w:r>
              <w:t>Anti-Di(a)</w:t>
            </w:r>
          </w:p>
        </w:tc>
        <w:tc>
          <w:tcPr>
            <w:tcW w:w="878" w:type="dxa"/>
            <w:shd w:val="clear" w:color="auto" w:fill="auto"/>
          </w:tcPr>
          <w:p w14:paraId="75C6CEF3" w14:textId="77777777" w:rsidR="003E3D07" w:rsidRDefault="003E3D07">
            <w:pPr>
              <w:pStyle w:val="TableText"/>
            </w:pPr>
            <w:r>
              <w:t>No</w:t>
            </w:r>
          </w:p>
        </w:tc>
        <w:tc>
          <w:tcPr>
            <w:tcW w:w="878" w:type="dxa"/>
            <w:shd w:val="clear" w:color="auto" w:fill="auto"/>
          </w:tcPr>
          <w:p w14:paraId="66FE4814" w14:textId="77777777" w:rsidR="003E3D07" w:rsidRDefault="003E3D07">
            <w:pPr>
              <w:pStyle w:val="TableText"/>
              <w:rPr>
                <w:rFonts w:eastAsia="Symbol"/>
              </w:rPr>
            </w:pPr>
            <w:r>
              <w:t>Optional</w:t>
            </w:r>
          </w:p>
        </w:tc>
        <w:tc>
          <w:tcPr>
            <w:tcW w:w="1253" w:type="dxa"/>
            <w:shd w:val="clear" w:color="auto" w:fill="auto"/>
          </w:tcPr>
          <w:p w14:paraId="44201556" w14:textId="77777777" w:rsidR="003E3D07" w:rsidRDefault="003E3D07">
            <w:pPr>
              <w:pStyle w:val="TableText"/>
              <w:rPr>
                <w:rFonts w:eastAsia="Symbol"/>
              </w:rPr>
            </w:pPr>
            <w:r>
              <w:t>Di(a)</w:t>
            </w:r>
          </w:p>
        </w:tc>
        <w:tc>
          <w:tcPr>
            <w:tcW w:w="1253" w:type="dxa"/>
            <w:shd w:val="clear" w:color="auto" w:fill="auto"/>
          </w:tcPr>
          <w:p w14:paraId="1DDF5791" w14:textId="77777777" w:rsidR="003E3D07" w:rsidRDefault="003E3D07">
            <w:pPr>
              <w:pStyle w:val="TableText"/>
              <w:rPr>
                <w:rFonts w:eastAsia="Symbol"/>
              </w:rPr>
            </w:pPr>
            <w:r>
              <w:t>Di(a)</w:t>
            </w:r>
          </w:p>
        </w:tc>
        <w:tc>
          <w:tcPr>
            <w:tcW w:w="1296" w:type="dxa"/>
            <w:shd w:val="clear" w:color="auto" w:fill="auto"/>
          </w:tcPr>
          <w:p w14:paraId="1C2F088E" w14:textId="77777777" w:rsidR="003E3D07" w:rsidRDefault="003E3D07">
            <w:pPr>
              <w:pStyle w:val="TableText"/>
              <w:rPr>
                <w:rFonts w:eastAsia="Symbol"/>
              </w:rPr>
            </w:pPr>
            <w:r>
              <w:t>0</w:t>
            </w:r>
          </w:p>
        </w:tc>
        <w:tc>
          <w:tcPr>
            <w:tcW w:w="1296" w:type="dxa"/>
            <w:shd w:val="clear" w:color="auto" w:fill="auto"/>
          </w:tcPr>
          <w:p w14:paraId="5367EFE0" w14:textId="77777777" w:rsidR="003E3D07" w:rsidRDefault="003E3D07">
            <w:pPr>
              <w:pStyle w:val="TableText"/>
              <w:rPr>
                <w:rFonts w:eastAsia="Symbol"/>
              </w:rPr>
            </w:pPr>
            <w:r>
              <w:t>AGDi(a)</w:t>
            </w:r>
          </w:p>
        </w:tc>
      </w:tr>
      <w:tr w:rsidR="00824338" w14:paraId="1F99D031" w14:textId="77777777">
        <w:tblPrEx>
          <w:tblBorders>
            <w:insideH w:val="single" w:sz="4" w:space="0" w:color="auto"/>
            <w:insideV w:val="single" w:sz="4" w:space="0" w:color="auto"/>
          </w:tblBorders>
        </w:tblPrEx>
        <w:tc>
          <w:tcPr>
            <w:tcW w:w="1253" w:type="dxa"/>
            <w:shd w:val="clear" w:color="auto" w:fill="auto"/>
          </w:tcPr>
          <w:p w14:paraId="67015FBD" w14:textId="77777777" w:rsidR="003E3D07" w:rsidRDefault="003E3D07">
            <w:pPr>
              <w:pStyle w:val="TableText"/>
              <w:rPr>
                <w:rFonts w:eastAsia="Symbol"/>
              </w:rPr>
            </w:pPr>
            <w:r>
              <w:t>Anti-Di(b)</w:t>
            </w:r>
          </w:p>
        </w:tc>
        <w:tc>
          <w:tcPr>
            <w:tcW w:w="1253" w:type="dxa"/>
            <w:shd w:val="clear" w:color="auto" w:fill="auto"/>
          </w:tcPr>
          <w:p w14:paraId="3AC2BD96" w14:textId="77777777" w:rsidR="003E3D07" w:rsidRDefault="003E3D07">
            <w:pPr>
              <w:pStyle w:val="TableText"/>
              <w:rPr>
                <w:rFonts w:eastAsia="Symbol"/>
              </w:rPr>
            </w:pPr>
            <w:r>
              <w:t>Anti-Di(b)</w:t>
            </w:r>
          </w:p>
        </w:tc>
        <w:tc>
          <w:tcPr>
            <w:tcW w:w="878" w:type="dxa"/>
            <w:shd w:val="clear" w:color="auto" w:fill="auto"/>
          </w:tcPr>
          <w:p w14:paraId="5BEFFADB" w14:textId="77777777" w:rsidR="003E3D07" w:rsidRDefault="003E3D07">
            <w:pPr>
              <w:pStyle w:val="TableText"/>
            </w:pPr>
            <w:r>
              <w:t>No</w:t>
            </w:r>
          </w:p>
        </w:tc>
        <w:tc>
          <w:tcPr>
            <w:tcW w:w="878" w:type="dxa"/>
            <w:shd w:val="clear" w:color="auto" w:fill="auto"/>
          </w:tcPr>
          <w:p w14:paraId="20779BD2" w14:textId="77777777" w:rsidR="003E3D07" w:rsidRDefault="003E3D07">
            <w:pPr>
              <w:pStyle w:val="TableText"/>
              <w:rPr>
                <w:rFonts w:eastAsia="Symbol"/>
              </w:rPr>
            </w:pPr>
            <w:r>
              <w:t>Optional</w:t>
            </w:r>
          </w:p>
        </w:tc>
        <w:tc>
          <w:tcPr>
            <w:tcW w:w="1253" w:type="dxa"/>
            <w:shd w:val="clear" w:color="auto" w:fill="auto"/>
          </w:tcPr>
          <w:p w14:paraId="27A18F39" w14:textId="77777777" w:rsidR="003E3D07" w:rsidRDefault="003E3D07">
            <w:pPr>
              <w:pStyle w:val="TableText"/>
              <w:rPr>
                <w:rFonts w:eastAsia="Symbol"/>
              </w:rPr>
            </w:pPr>
            <w:r>
              <w:t>Di(b)</w:t>
            </w:r>
          </w:p>
        </w:tc>
        <w:tc>
          <w:tcPr>
            <w:tcW w:w="1253" w:type="dxa"/>
            <w:shd w:val="clear" w:color="auto" w:fill="auto"/>
          </w:tcPr>
          <w:p w14:paraId="7C003F91" w14:textId="77777777" w:rsidR="003E3D07" w:rsidRDefault="003E3D07">
            <w:pPr>
              <w:pStyle w:val="TableText"/>
              <w:rPr>
                <w:rFonts w:eastAsia="Symbol"/>
              </w:rPr>
            </w:pPr>
            <w:r>
              <w:t>Di(b)</w:t>
            </w:r>
          </w:p>
        </w:tc>
        <w:tc>
          <w:tcPr>
            <w:tcW w:w="1296" w:type="dxa"/>
            <w:shd w:val="clear" w:color="auto" w:fill="auto"/>
          </w:tcPr>
          <w:p w14:paraId="309390EB" w14:textId="77777777" w:rsidR="003E3D07" w:rsidRDefault="003E3D07">
            <w:pPr>
              <w:pStyle w:val="TableText"/>
              <w:rPr>
                <w:rFonts w:eastAsia="Symbol"/>
              </w:rPr>
            </w:pPr>
            <w:r>
              <w:rPr>
                <w:rFonts w:eastAsia="Symbol"/>
              </w:rPr>
              <w:t>99</w:t>
            </w:r>
          </w:p>
        </w:tc>
        <w:tc>
          <w:tcPr>
            <w:tcW w:w="1296" w:type="dxa"/>
            <w:shd w:val="clear" w:color="auto" w:fill="auto"/>
          </w:tcPr>
          <w:p w14:paraId="282B48EF" w14:textId="77777777" w:rsidR="003E3D07" w:rsidRDefault="003E3D07">
            <w:pPr>
              <w:pStyle w:val="TableText"/>
              <w:rPr>
                <w:rFonts w:eastAsia="Symbol"/>
              </w:rPr>
            </w:pPr>
            <w:r>
              <w:t>AGDi(b)</w:t>
            </w:r>
          </w:p>
        </w:tc>
      </w:tr>
      <w:tr w:rsidR="00824338" w14:paraId="012E08E8" w14:textId="77777777">
        <w:tblPrEx>
          <w:tblBorders>
            <w:insideH w:val="single" w:sz="4" w:space="0" w:color="auto"/>
            <w:insideV w:val="single" w:sz="4" w:space="0" w:color="auto"/>
          </w:tblBorders>
        </w:tblPrEx>
        <w:tc>
          <w:tcPr>
            <w:tcW w:w="1253" w:type="dxa"/>
            <w:shd w:val="clear" w:color="auto" w:fill="auto"/>
          </w:tcPr>
          <w:p w14:paraId="6AD4B9B2" w14:textId="77777777" w:rsidR="003E3D07" w:rsidRDefault="003E3D07">
            <w:pPr>
              <w:pStyle w:val="TableText"/>
              <w:rPr>
                <w:rFonts w:eastAsia="Symbol"/>
              </w:rPr>
            </w:pPr>
            <w:r>
              <w:t>Anti-Do(a)</w:t>
            </w:r>
          </w:p>
        </w:tc>
        <w:tc>
          <w:tcPr>
            <w:tcW w:w="1253" w:type="dxa"/>
            <w:shd w:val="clear" w:color="auto" w:fill="auto"/>
          </w:tcPr>
          <w:p w14:paraId="7DE4CFF4" w14:textId="77777777" w:rsidR="003E3D07" w:rsidRDefault="003E3D07">
            <w:pPr>
              <w:pStyle w:val="TableText"/>
              <w:rPr>
                <w:rFonts w:eastAsia="Symbol"/>
              </w:rPr>
            </w:pPr>
            <w:r>
              <w:t>Anti-Do(a)</w:t>
            </w:r>
          </w:p>
        </w:tc>
        <w:tc>
          <w:tcPr>
            <w:tcW w:w="878" w:type="dxa"/>
            <w:shd w:val="clear" w:color="auto" w:fill="auto"/>
          </w:tcPr>
          <w:p w14:paraId="4E0AD23B" w14:textId="77777777" w:rsidR="003E3D07" w:rsidRDefault="003E3D07">
            <w:pPr>
              <w:pStyle w:val="TableText"/>
            </w:pPr>
            <w:r>
              <w:t>No</w:t>
            </w:r>
          </w:p>
        </w:tc>
        <w:tc>
          <w:tcPr>
            <w:tcW w:w="878" w:type="dxa"/>
            <w:shd w:val="clear" w:color="auto" w:fill="auto"/>
          </w:tcPr>
          <w:p w14:paraId="102FEE63" w14:textId="77777777" w:rsidR="003E3D07" w:rsidRDefault="003E3D07">
            <w:pPr>
              <w:pStyle w:val="TableText"/>
              <w:rPr>
                <w:rFonts w:eastAsia="Symbol"/>
              </w:rPr>
            </w:pPr>
            <w:r>
              <w:t>Optional</w:t>
            </w:r>
          </w:p>
        </w:tc>
        <w:tc>
          <w:tcPr>
            <w:tcW w:w="1253" w:type="dxa"/>
            <w:shd w:val="clear" w:color="auto" w:fill="auto"/>
          </w:tcPr>
          <w:p w14:paraId="19D91459" w14:textId="77777777" w:rsidR="003E3D07" w:rsidRDefault="003E3D07">
            <w:pPr>
              <w:pStyle w:val="TableText"/>
              <w:rPr>
                <w:rFonts w:eastAsia="Symbol"/>
              </w:rPr>
            </w:pPr>
            <w:r>
              <w:t>Do(a)</w:t>
            </w:r>
          </w:p>
        </w:tc>
        <w:tc>
          <w:tcPr>
            <w:tcW w:w="1253" w:type="dxa"/>
            <w:shd w:val="clear" w:color="auto" w:fill="auto"/>
          </w:tcPr>
          <w:p w14:paraId="37EE5FA4" w14:textId="77777777" w:rsidR="003E3D07" w:rsidRDefault="003E3D07">
            <w:pPr>
              <w:pStyle w:val="TableText"/>
              <w:rPr>
                <w:rFonts w:eastAsia="Symbol"/>
              </w:rPr>
            </w:pPr>
            <w:r>
              <w:t>Do(a)</w:t>
            </w:r>
          </w:p>
        </w:tc>
        <w:tc>
          <w:tcPr>
            <w:tcW w:w="1296" w:type="dxa"/>
            <w:shd w:val="clear" w:color="auto" w:fill="auto"/>
          </w:tcPr>
          <w:p w14:paraId="4ED7F117" w14:textId="77777777" w:rsidR="003E3D07" w:rsidRDefault="003E3D07">
            <w:pPr>
              <w:pStyle w:val="TableText"/>
              <w:rPr>
                <w:rFonts w:eastAsia="Symbol"/>
              </w:rPr>
            </w:pPr>
            <w:r>
              <w:t>33</w:t>
            </w:r>
          </w:p>
        </w:tc>
        <w:tc>
          <w:tcPr>
            <w:tcW w:w="1296" w:type="dxa"/>
            <w:shd w:val="clear" w:color="auto" w:fill="auto"/>
          </w:tcPr>
          <w:p w14:paraId="4D48E961" w14:textId="77777777" w:rsidR="003E3D07" w:rsidRDefault="003E3D07">
            <w:pPr>
              <w:pStyle w:val="TableText"/>
            </w:pPr>
            <w:r>
              <w:t>AGDo(a)</w:t>
            </w:r>
          </w:p>
        </w:tc>
      </w:tr>
      <w:tr w:rsidR="00824338" w14:paraId="0C18C74E" w14:textId="77777777">
        <w:tblPrEx>
          <w:tblBorders>
            <w:insideH w:val="single" w:sz="4" w:space="0" w:color="auto"/>
            <w:insideV w:val="single" w:sz="4" w:space="0" w:color="auto"/>
          </w:tblBorders>
        </w:tblPrEx>
        <w:tc>
          <w:tcPr>
            <w:tcW w:w="1253" w:type="dxa"/>
            <w:shd w:val="clear" w:color="auto" w:fill="auto"/>
          </w:tcPr>
          <w:p w14:paraId="5E185783" w14:textId="77777777" w:rsidR="003E3D07" w:rsidRDefault="003E3D07">
            <w:pPr>
              <w:pStyle w:val="TableText"/>
              <w:rPr>
                <w:rFonts w:eastAsia="Symbol"/>
              </w:rPr>
            </w:pPr>
            <w:r>
              <w:t>Anti-Do(b)</w:t>
            </w:r>
          </w:p>
        </w:tc>
        <w:tc>
          <w:tcPr>
            <w:tcW w:w="1253" w:type="dxa"/>
            <w:shd w:val="clear" w:color="auto" w:fill="auto"/>
          </w:tcPr>
          <w:p w14:paraId="66E23560" w14:textId="77777777" w:rsidR="003E3D07" w:rsidRDefault="003E3D07">
            <w:pPr>
              <w:pStyle w:val="TableText"/>
              <w:rPr>
                <w:rFonts w:eastAsia="Symbol"/>
              </w:rPr>
            </w:pPr>
            <w:r>
              <w:t>None</w:t>
            </w:r>
          </w:p>
        </w:tc>
        <w:tc>
          <w:tcPr>
            <w:tcW w:w="878" w:type="dxa"/>
            <w:shd w:val="clear" w:color="auto" w:fill="auto"/>
          </w:tcPr>
          <w:p w14:paraId="0F2681B0" w14:textId="77777777" w:rsidR="003E3D07" w:rsidRDefault="003E3D07">
            <w:pPr>
              <w:pStyle w:val="TableText"/>
            </w:pPr>
            <w:r>
              <w:t>No</w:t>
            </w:r>
          </w:p>
        </w:tc>
        <w:tc>
          <w:tcPr>
            <w:tcW w:w="878" w:type="dxa"/>
            <w:shd w:val="clear" w:color="auto" w:fill="auto"/>
          </w:tcPr>
          <w:p w14:paraId="534A004C" w14:textId="77777777" w:rsidR="003E3D07" w:rsidRDefault="003E3D07">
            <w:pPr>
              <w:pStyle w:val="TableText"/>
              <w:rPr>
                <w:rFonts w:eastAsia="Symbol"/>
              </w:rPr>
            </w:pPr>
            <w:r>
              <w:t>Optional</w:t>
            </w:r>
          </w:p>
        </w:tc>
        <w:tc>
          <w:tcPr>
            <w:tcW w:w="1253" w:type="dxa"/>
            <w:shd w:val="clear" w:color="auto" w:fill="auto"/>
          </w:tcPr>
          <w:p w14:paraId="58FA48C3" w14:textId="77777777" w:rsidR="003E3D07" w:rsidRDefault="003E3D07">
            <w:pPr>
              <w:pStyle w:val="TableText"/>
              <w:rPr>
                <w:rFonts w:eastAsia="Symbol"/>
              </w:rPr>
            </w:pPr>
            <w:r>
              <w:t>Do(b)</w:t>
            </w:r>
          </w:p>
        </w:tc>
        <w:tc>
          <w:tcPr>
            <w:tcW w:w="1253" w:type="dxa"/>
            <w:shd w:val="clear" w:color="auto" w:fill="auto"/>
          </w:tcPr>
          <w:p w14:paraId="14C642ED" w14:textId="77777777" w:rsidR="003E3D07" w:rsidRDefault="003E3D07">
            <w:pPr>
              <w:pStyle w:val="TableText"/>
              <w:rPr>
                <w:rFonts w:eastAsia="Symbol"/>
              </w:rPr>
            </w:pPr>
            <w:r>
              <w:t>None</w:t>
            </w:r>
          </w:p>
        </w:tc>
        <w:tc>
          <w:tcPr>
            <w:tcW w:w="1296" w:type="dxa"/>
            <w:shd w:val="clear" w:color="auto" w:fill="auto"/>
          </w:tcPr>
          <w:p w14:paraId="150228A9" w14:textId="77777777" w:rsidR="003E3D07" w:rsidRDefault="003E3D07">
            <w:pPr>
              <w:pStyle w:val="TableText"/>
              <w:rPr>
                <w:rFonts w:eastAsia="Symbol"/>
              </w:rPr>
            </w:pPr>
            <w:r>
              <w:t>17</w:t>
            </w:r>
          </w:p>
        </w:tc>
        <w:tc>
          <w:tcPr>
            <w:tcW w:w="1296" w:type="dxa"/>
            <w:shd w:val="clear" w:color="auto" w:fill="auto"/>
          </w:tcPr>
          <w:p w14:paraId="0EDE9578" w14:textId="77777777" w:rsidR="003E3D07" w:rsidRDefault="003E3D07">
            <w:pPr>
              <w:pStyle w:val="TableText"/>
            </w:pPr>
            <w:r>
              <w:t>AGDo(b)</w:t>
            </w:r>
          </w:p>
        </w:tc>
      </w:tr>
      <w:tr w:rsidR="00824338" w14:paraId="6E9829D7" w14:textId="77777777">
        <w:tblPrEx>
          <w:tblBorders>
            <w:insideH w:val="single" w:sz="4" w:space="0" w:color="auto"/>
            <w:insideV w:val="single" w:sz="4" w:space="0" w:color="auto"/>
          </w:tblBorders>
        </w:tblPrEx>
        <w:tc>
          <w:tcPr>
            <w:tcW w:w="1253" w:type="dxa"/>
            <w:shd w:val="clear" w:color="auto" w:fill="auto"/>
          </w:tcPr>
          <w:p w14:paraId="2DA2C358" w14:textId="77777777" w:rsidR="003E3D07" w:rsidRDefault="003E3D07">
            <w:pPr>
              <w:pStyle w:val="TableText"/>
              <w:rPr>
                <w:rFonts w:eastAsia="Symbol"/>
              </w:rPr>
            </w:pPr>
            <w:r>
              <w:t>Anti-Co(a)</w:t>
            </w:r>
          </w:p>
        </w:tc>
        <w:tc>
          <w:tcPr>
            <w:tcW w:w="1253" w:type="dxa"/>
            <w:shd w:val="clear" w:color="auto" w:fill="auto"/>
          </w:tcPr>
          <w:p w14:paraId="582CCFCC" w14:textId="77777777" w:rsidR="003E3D07" w:rsidRDefault="003E3D07">
            <w:pPr>
              <w:pStyle w:val="TableText"/>
              <w:rPr>
                <w:rFonts w:eastAsia="Symbol"/>
              </w:rPr>
            </w:pPr>
            <w:r>
              <w:t>None</w:t>
            </w:r>
          </w:p>
        </w:tc>
        <w:tc>
          <w:tcPr>
            <w:tcW w:w="878" w:type="dxa"/>
            <w:shd w:val="clear" w:color="auto" w:fill="auto"/>
          </w:tcPr>
          <w:p w14:paraId="4A2CB43A" w14:textId="77777777" w:rsidR="003E3D07" w:rsidRDefault="003E3D07">
            <w:pPr>
              <w:pStyle w:val="TableText"/>
            </w:pPr>
            <w:r>
              <w:t>No</w:t>
            </w:r>
          </w:p>
        </w:tc>
        <w:tc>
          <w:tcPr>
            <w:tcW w:w="878" w:type="dxa"/>
            <w:shd w:val="clear" w:color="auto" w:fill="auto"/>
          </w:tcPr>
          <w:p w14:paraId="300AFD39" w14:textId="77777777" w:rsidR="003E3D07" w:rsidRDefault="003E3D07">
            <w:pPr>
              <w:pStyle w:val="TableText"/>
              <w:rPr>
                <w:rFonts w:eastAsia="Symbol"/>
              </w:rPr>
            </w:pPr>
            <w:r>
              <w:t>Optional</w:t>
            </w:r>
          </w:p>
        </w:tc>
        <w:tc>
          <w:tcPr>
            <w:tcW w:w="1253" w:type="dxa"/>
            <w:shd w:val="clear" w:color="auto" w:fill="auto"/>
          </w:tcPr>
          <w:p w14:paraId="30A1399E" w14:textId="77777777" w:rsidR="003E3D07" w:rsidRDefault="003E3D07">
            <w:pPr>
              <w:pStyle w:val="TableText"/>
              <w:rPr>
                <w:rFonts w:eastAsia="Symbol"/>
              </w:rPr>
            </w:pPr>
            <w:r>
              <w:t>Co(a)</w:t>
            </w:r>
          </w:p>
        </w:tc>
        <w:tc>
          <w:tcPr>
            <w:tcW w:w="1253" w:type="dxa"/>
            <w:shd w:val="clear" w:color="auto" w:fill="auto"/>
          </w:tcPr>
          <w:p w14:paraId="342C27EF" w14:textId="77777777" w:rsidR="003E3D07" w:rsidRDefault="003E3D07">
            <w:pPr>
              <w:pStyle w:val="TableText"/>
              <w:rPr>
                <w:rFonts w:eastAsia="Symbol"/>
              </w:rPr>
            </w:pPr>
            <w:r>
              <w:t>None</w:t>
            </w:r>
          </w:p>
        </w:tc>
        <w:tc>
          <w:tcPr>
            <w:tcW w:w="1296" w:type="dxa"/>
            <w:shd w:val="clear" w:color="auto" w:fill="auto"/>
          </w:tcPr>
          <w:p w14:paraId="1D04C4E2" w14:textId="77777777" w:rsidR="003E3D07" w:rsidRDefault="003E3D07">
            <w:pPr>
              <w:pStyle w:val="TableText"/>
              <w:rPr>
                <w:rFonts w:eastAsia="Symbol"/>
              </w:rPr>
            </w:pPr>
            <w:r>
              <w:t>33</w:t>
            </w:r>
          </w:p>
        </w:tc>
        <w:tc>
          <w:tcPr>
            <w:tcW w:w="1296" w:type="dxa"/>
            <w:shd w:val="clear" w:color="auto" w:fill="auto"/>
          </w:tcPr>
          <w:p w14:paraId="5B01C966" w14:textId="77777777" w:rsidR="003E3D07" w:rsidRDefault="003E3D07">
            <w:pPr>
              <w:pStyle w:val="TableText"/>
            </w:pPr>
            <w:r>
              <w:t>AGCo(a)</w:t>
            </w:r>
          </w:p>
        </w:tc>
      </w:tr>
      <w:tr w:rsidR="00824338" w14:paraId="5AD011AA" w14:textId="77777777">
        <w:tblPrEx>
          <w:tblBorders>
            <w:insideH w:val="single" w:sz="4" w:space="0" w:color="auto"/>
            <w:insideV w:val="single" w:sz="4" w:space="0" w:color="auto"/>
          </w:tblBorders>
        </w:tblPrEx>
        <w:tc>
          <w:tcPr>
            <w:tcW w:w="1253" w:type="dxa"/>
            <w:shd w:val="clear" w:color="auto" w:fill="auto"/>
          </w:tcPr>
          <w:p w14:paraId="5E8A0A80" w14:textId="77777777" w:rsidR="003E3D07" w:rsidRDefault="003E3D07">
            <w:pPr>
              <w:pStyle w:val="TableText"/>
              <w:rPr>
                <w:rFonts w:eastAsia="Symbol"/>
              </w:rPr>
            </w:pPr>
            <w:r>
              <w:t>Anti-Co(b)</w:t>
            </w:r>
          </w:p>
        </w:tc>
        <w:tc>
          <w:tcPr>
            <w:tcW w:w="1253" w:type="dxa"/>
            <w:shd w:val="clear" w:color="auto" w:fill="auto"/>
          </w:tcPr>
          <w:p w14:paraId="70C1B1D4" w14:textId="77777777" w:rsidR="003E3D07" w:rsidRDefault="003E3D07">
            <w:pPr>
              <w:pStyle w:val="TableText"/>
              <w:rPr>
                <w:rFonts w:eastAsia="Symbol"/>
              </w:rPr>
            </w:pPr>
            <w:r>
              <w:t>None</w:t>
            </w:r>
          </w:p>
        </w:tc>
        <w:tc>
          <w:tcPr>
            <w:tcW w:w="878" w:type="dxa"/>
            <w:shd w:val="clear" w:color="auto" w:fill="auto"/>
          </w:tcPr>
          <w:p w14:paraId="51D01058" w14:textId="77777777" w:rsidR="003E3D07" w:rsidRDefault="003E3D07">
            <w:pPr>
              <w:pStyle w:val="TableText"/>
            </w:pPr>
            <w:r>
              <w:t>No</w:t>
            </w:r>
          </w:p>
        </w:tc>
        <w:tc>
          <w:tcPr>
            <w:tcW w:w="878" w:type="dxa"/>
            <w:shd w:val="clear" w:color="auto" w:fill="auto"/>
          </w:tcPr>
          <w:p w14:paraId="360FE366" w14:textId="77777777" w:rsidR="003E3D07" w:rsidRDefault="003E3D07">
            <w:pPr>
              <w:pStyle w:val="TableText"/>
              <w:rPr>
                <w:rFonts w:eastAsia="Symbol"/>
              </w:rPr>
            </w:pPr>
            <w:r>
              <w:t>Optional</w:t>
            </w:r>
          </w:p>
        </w:tc>
        <w:tc>
          <w:tcPr>
            <w:tcW w:w="1253" w:type="dxa"/>
            <w:shd w:val="clear" w:color="auto" w:fill="auto"/>
          </w:tcPr>
          <w:p w14:paraId="1A939B52" w14:textId="77777777" w:rsidR="003E3D07" w:rsidRDefault="003E3D07">
            <w:pPr>
              <w:pStyle w:val="TableText"/>
              <w:rPr>
                <w:rFonts w:eastAsia="Symbol"/>
              </w:rPr>
            </w:pPr>
            <w:r>
              <w:t>Co(b)</w:t>
            </w:r>
          </w:p>
        </w:tc>
        <w:tc>
          <w:tcPr>
            <w:tcW w:w="1253" w:type="dxa"/>
            <w:shd w:val="clear" w:color="auto" w:fill="auto"/>
          </w:tcPr>
          <w:p w14:paraId="2BBA5568" w14:textId="77777777" w:rsidR="003E3D07" w:rsidRDefault="003E3D07">
            <w:pPr>
              <w:pStyle w:val="TableText"/>
              <w:rPr>
                <w:rFonts w:eastAsia="Symbol"/>
              </w:rPr>
            </w:pPr>
            <w:r>
              <w:t>None</w:t>
            </w:r>
          </w:p>
        </w:tc>
        <w:tc>
          <w:tcPr>
            <w:tcW w:w="1296" w:type="dxa"/>
            <w:shd w:val="clear" w:color="auto" w:fill="auto"/>
          </w:tcPr>
          <w:p w14:paraId="266B4E99" w14:textId="77777777" w:rsidR="003E3D07" w:rsidRDefault="003E3D07">
            <w:pPr>
              <w:pStyle w:val="TableText"/>
              <w:rPr>
                <w:rFonts w:eastAsia="Symbol"/>
              </w:rPr>
            </w:pPr>
            <w:r>
              <w:t>17</w:t>
            </w:r>
          </w:p>
        </w:tc>
        <w:tc>
          <w:tcPr>
            <w:tcW w:w="1296" w:type="dxa"/>
            <w:shd w:val="clear" w:color="auto" w:fill="auto"/>
          </w:tcPr>
          <w:p w14:paraId="7DB318EC" w14:textId="77777777" w:rsidR="003E3D07" w:rsidRDefault="003E3D07">
            <w:pPr>
              <w:pStyle w:val="TableText"/>
            </w:pPr>
            <w:r>
              <w:t>AGCo(b)</w:t>
            </w:r>
          </w:p>
        </w:tc>
      </w:tr>
      <w:tr w:rsidR="00824338" w14:paraId="13052F8B" w14:textId="77777777">
        <w:tblPrEx>
          <w:tblBorders>
            <w:insideH w:val="single" w:sz="4" w:space="0" w:color="auto"/>
            <w:insideV w:val="single" w:sz="4" w:space="0" w:color="auto"/>
          </w:tblBorders>
        </w:tblPrEx>
        <w:tc>
          <w:tcPr>
            <w:tcW w:w="1253" w:type="dxa"/>
            <w:shd w:val="clear" w:color="auto" w:fill="auto"/>
          </w:tcPr>
          <w:p w14:paraId="7B429161" w14:textId="77777777" w:rsidR="003E3D07" w:rsidRDefault="003E3D07">
            <w:pPr>
              <w:pStyle w:val="TableText"/>
              <w:rPr>
                <w:rFonts w:eastAsia="Symbol"/>
              </w:rPr>
            </w:pPr>
            <w:r>
              <w:t>Anti-LW(a)</w:t>
            </w:r>
          </w:p>
        </w:tc>
        <w:tc>
          <w:tcPr>
            <w:tcW w:w="1253" w:type="dxa"/>
            <w:shd w:val="clear" w:color="auto" w:fill="auto"/>
          </w:tcPr>
          <w:p w14:paraId="43D02249" w14:textId="77777777" w:rsidR="003E3D07" w:rsidRDefault="003E3D07">
            <w:pPr>
              <w:pStyle w:val="TableText"/>
            </w:pPr>
            <w:r>
              <w:t>None</w:t>
            </w:r>
          </w:p>
        </w:tc>
        <w:tc>
          <w:tcPr>
            <w:tcW w:w="878" w:type="dxa"/>
            <w:shd w:val="clear" w:color="auto" w:fill="auto"/>
          </w:tcPr>
          <w:p w14:paraId="22C021AA" w14:textId="77777777" w:rsidR="003E3D07" w:rsidRDefault="003E3D07">
            <w:pPr>
              <w:pStyle w:val="TableText"/>
            </w:pPr>
            <w:r>
              <w:t>No</w:t>
            </w:r>
          </w:p>
        </w:tc>
        <w:tc>
          <w:tcPr>
            <w:tcW w:w="878" w:type="dxa"/>
            <w:shd w:val="clear" w:color="auto" w:fill="auto"/>
          </w:tcPr>
          <w:p w14:paraId="3FD833C0" w14:textId="77777777" w:rsidR="003E3D07" w:rsidRDefault="003E3D07">
            <w:pPr>
              <w:pStyle w:val="TableText"/>
              <w:rPr>
                <w:rFonts w:eastAsia="Symbol"/>
              </w:rPr>
            </w:pPr>
            <w:r>
              <w:t>Optional</w:t>
            </w:r>
          </w:p>
        </w:tc>
        <w:tc>
          <w:tcPr>
            <w:tcW w:w="1253" w:type="dxa"/>
            <w:shd w:val="clear" w:color="auto" w:fill="auto"/>
          </w:tcPr>
          <w:p w14:paraId="6446210B" w14:textId="77777777" w:rsidR="003E3D07" w:rsidRDefault="003E3D07">
            <w:pPr>
              <w:pStyle w:val="TableText"/>
              <w:rPr>
                <w:rFonts w:eastAsia="Symbol"/>
              </w:rPr>
            </w:pPr>
            <w:r>
              <w:t>LW(a)</w:t>
            </w:r>
          </w:p>
        </w:tc>
        <w:tc>
          <w:tcPr>
            <w:tcW w:w="1253" w:type="dxa"/>
            <w:shd w:val="clear" w:color="auto" w:fill="auto"/>
          </w:tcPr>
          <w:p w14:paraId="716E8A18" w14:textId="77777777" w:rsidR="003E3D07" w:rsidRDefault="003E3D07">
            <w:pPr>
              <w:pStyle w:val="TableText"/>
              <w:rPr>
                <w:rFonts w:eastAsia="Symbol"/>
              </w:rPr>
            </w:pPr>
            <w:r>
              <w:t>None</w:t>
            </w:r>
          </w:p>
        </w:tc>
        <w:tc>
          <w:tcPr>
            <w:tcW w:w="1296" w:type="dxa"/>
            <w:shd w:val="clear" w:color="auto" w:fill="auto"/>
          </w:tcPr>
          <w:p w14:paraId="38B4B886" w14:textId="77777777" w:rsidR="003E3D07" w:rsidRDefault="003E3D07">
            <w:pPr>
              <w:pStyle w:val="TableText"/>
              <w:rPr>
                <w:rFonts w:eastAsia="Symbol"/>
              </w:rPr>
            </w:pPr>
            <w:r>
              <w:t>0</w:t>
            </w:r>
          </w:p>
        </w:tc>
        <w:tc>
          <w:tcPr>
            <w:tcW w:w="1296" w:type="dxa"/>
            <w:shd w:val="clear" w:color="auto" w:fill="auto"/>
          </w:tcPr>
          <w:p w14:paraId="0817C5A0" w14:textId="77777777" w:rsidR="003E3D07" w:rsidRDefault="003E3D07">
            <w:pPr>
              <w:pStyle w:val="TableText"/>
            </w:pPr>
            <w:r>
              <w:t>AG LW(a)</w:t>
            </w:r>
          </w:p>
        </w:tc>
      </w:tr>
      <w:tr w:rsidR="00824338" w14:paraId="5B63CA50" w14:textId="77777777">
        <w:tblPrEx>
          <w:tblBorders>
            <w:insideH w:val="single" w:sz="4" w:space="0" w:color="auto"/>
            <w:insideV w:val="single" w:sz="4" w:space="0" w:color="auto"/>
          </w:tblBorders>
        </w:tblPrEx>
        <w:tc>
          <w:tcPr>
            <w:tcW w:w="1253" w:type="dxa"/>
            <w:shd w:val="clear" w:color="auto" w:fill="auto"/>
          </w:tcPr>
          <w:p w14:paraId="48FDA59D" w14:textId="77777777" w:rsidR="003E3D07" w:rsidRDefault="003E3D07">
            <w:pPr>
              <w:pStyle w:val="TableText"/>
              <w:rPr>
                <w:rFonts w:eastAsia="Symbol"/>
              </w:rPr>
            </w:pPr>
            <w:r>
              <w:t>Anti-LW(b)</w:t>
            </w:r>
          </w:p>
        </w:tc>
        <w:tc>
          <w:tcPr>
            <w:tcW w:w="1253" w:type="dxa"/>
            <w:shd w:val="clear" w:color="auto" w:fill="auto"/>
          </w:tcPr>
          <w:p w14:paraId="45C741C4" w14:textId="77777777" w:rsidR="003E3D07" w:rsidRDefault="003E3D07">
            <w:pPr>
              <w:pStyle w:val="TableText"/>
            </w:pPr>
            <w:r>
              <w:t>None</w:t>
            </w:r>
          </w:p>
        </w:tc>
        <w:tc>
          <w:tcPr>
            <w:tcW w:w="878" w:type="dxa"/>
            <w:shd w:val="clear" w:color="auto" w:fill="auto"/>
          </w:tcPr>
          <w:p w14:paraId="0832CBDB" w14:textId="77777777" w:rsidR="003E3D07" w:rsidRDefault="003E3D07">
            <w:pPr>
              <w:pStyle w:val="TableText"/>
            </w:pPr>
            <w:r>
              <w:t>No</w:t>
            </w:r>
          </w:p>
        </w:tc>
        <w:tc>
          <w:tcPr>
            <w:tcW w:w="878" w:type="dxa"/>
            <w:shd w:val="clear" w:color="auto" w:fill="auto"/>
          </w:tcPr>
          <w:p w14:paraId="1FC34742" w14:textId="77777777" w:rsidR="003E3D07" w:rsidRDefault="003E3D07">
            <w:pPr>
              <w:pStyle w:val="TableText"/>
              <w:rPr>
                <w:rFonts w:eastAsia="Symbol"/>
              </w:rPr>
            </w:pPr>
            <w:r>
              <w:t>Optional</w:t>
            </w:r>
          </w:p>
        </w:tc>
        <w:tc>
          <w:tcPr>
            <w:tcW w:w="1253" w:type="dxa"/>
            <w:shd w:val="clear" w:color="auto" w:fill="auto"/>
          </w:tcPr>
          <w:p w14:paraId="21917962" w14:textId="77777777" w:rsidR="003E3D07" w:rsidRDefault="003E3D07">
            <w:pPr>
              <w:pStyle w:val="TableText"/>
              <w:rPr>
                <w:rFonts w:eastAsia="Symbol"/>
              </w:rPr>
            </w:pPr>
            <w:r>
              <w:t>LW(b)</w:t>
            </w:r>
          </w:p>
        </w:tc>
        <w:tc>
          <w:tcPr>
            <w:tcW w:w="1253" w:type="dxa"/>
            <w:shd w:val="clear" w:color="auto" w:fill="auto"/>
          </w:tcPr>
          <w:p w14:paraId="64EA663D" w14:textId="77777777" w:rsidR="003E3D07" w:rsidRDefault="003E3D07">
            <w:pPr>
              <w:pStyle w:val="TableText"/>
              <w:rPr>
                <w:rFonts w:eastAsia="Symbol"/>
              </w:rPr>
            </w:pPr>
            <w:r>
              <w:t>None</w:t>
            </w:r>
          </w:p>
        </w:tc>
        <w:tc>
          <w:tcPr>
            <w:tcW w:w="1296" w:type="dxa"/>
            <w:shd w:val="clear" w:color="auto" w:fill="auto"/>
          </w:tcPr>
          <w:p w14:paraId="0F611080" w14:textId="77777777" w:rsidR="003E3D07" w:rsidRDefault="003E3D07">
            <w:pPr>
              <w:pStyle w:val="TableText"/>
              <w:rPr>
                <w:rFonts w:eastAsia="Symbol"/>
              </w:rPr>
            </w:pPr>
            <w:r>
              <w:t>99</w:t>
            </w:r>
          </w:p>
        </w:tc>
        <w:tc>
          <w:tcPr>
            <w:tcW w:w="1296" w:type="dxa"/>
            <w:shd w:val="clear" w:color="auto" w:fill="auto"/>
          </w:tcPr>
          <w:p w14:paraId="19C2A5EA" w14:textId="77777777" w:rsidR="003E3D07" w:rsidRDefault="003E3D07">
            <w:pPr>
              <w:pStyle w:val="TableText"/>
            </w:pPr>
            <w:r>
              <w:t>AG LW(b)</w:t>
            </w:r>
          </w:p>
        </w:tc>
      </w:tr>
      <w:tr w:rsidR="00824338" w14:paraId="7E3475C1" w14:textId="77777777">
        <w:tblPrEx>
          <w:tblBorders>
            <w:insideH w:val="single" w:sz="4" w:space="0" w:color="auto"/>
            <w:insideV w:val="single" w:sz="4" w:space="0" w:color="auto"/>
          </w:tblBorders>
        </w:tblPrEx>
        <w:tc>
          <w:tcPr>
            <w:tcW w:w="1253" w:type="dxa"/>
            <w:shd w:val="clear" w:color="auto" w:fill="auto"/>
          </w:tcPr>
          <w:p w14:paraId="1E5543C5" w14:textId="77777777" w:rsidR="003E3D07" w:rsidRDefault="003E3D07">
            <w:pPr>
              <w:pStyle w:val="TableText"/>
              <w:rPr>
                <w:rFonts w:eastAsia="Symbol"/>
              </w:rPr>
            </w:pPr>
            <w:r>
              <w:t>Anti-Sc1</w:t>
            </w:r>
          </w:p>
        </w:tc>
        <w:tc>
          <w:tcPr>
            <w:tcW w:w="1253" w:type="dxa"/>
            <w:shd w:val="clear" w:color="auto" w:fill="auto"/>
          </w:tcPr>
          <w:p w14:paraId="481594D6" w14:textId="77777777" w:rsidR="003E3D07" w:rsidRDefault="003E3D07">
            <w:pPr>
              <w:pStyle w:val="TableText"/>
              <w:rPr>
                <w:rFonts w:eastAsia="Symbol"/>
              </w:rPr>
            </w:pPr>
            <w:r>
              <w:t>None</w:t>
            </w:r>
          </w:p>
        </w:tc>
        <w:tc>
          <w:tcPr>
            <w:tcW w:w="878" w:type="dxa"/>
            <w:shd w:val="clear" w:color="auto" w:fill="auto"/>
          </w:tcPr>
          <w:p w14:paraId="7EFBBF63" w14:textId="77777777" w:rsidR="003E3D07" w:rsidRDefault="003E3D07">
            <w:pPr>
              <w:pStyle w:val="TableText"/>
            </w:pPr>
            <w:r>
              <w:t>No</w:t>
            </w:r>
          </w:p>
        </w:tc>
        <w:tc>
          <w:tcPr>
            <w:tcW w:w="878" w:type="dxa"/>
            <w:shd w:val="clear" w:color="auto" w:fill="auto"/>
          </w:tcPr>
          <w:p w14:paraId="1AEA3D84" w14:textId="77777777" w:rsidR="003E3D07" w:rsidRDefault="003E3D07">
            <w:pPr>
              <w:pStyle w:val="TableText"/>
              <w:rPr>
                <w:rFonts w:eastAsia="Symbol"/>
              </w:rPr>
            </w:pPr>
            <w:r>
              <w:t>Optional</w:t>
            </w:r>
          </w:p>
        </w:tc>
        <w:tc>
          <w:tcPr>
            <w:tcW w:w="1253" w:type="dxa"/>
            <w:shd w:val="clear" w:color="auto" w:fill="auto"/>
          </w:tcPr>
          <w:p w14:paraId="2746B0DE" w14:textId="77777777" w:rsidR="003E3D07" w:rsidRDefault="003E3D07">
            <w:pPr>
              <w:pStyle w:val="TableText"/>
              <w:rPr>
                <w:rFonts w:eastAsia="Symbol"/>
              </w:rPr>
            </w:pPr>
            <w:r>
              <w:t>Sc1</w:t>
            </w:r>
          </w:p>
        </w:tc>
        <w:tc>
          <w:tcPr>
            <w:tcW w:w="1253" w:type="dxa"/>
            <w:shd w:val="clear" w:color="auto" w:fill="auto"/>
          </w:tcPr>
          <w:p w14:paraId="5DFC0C2A" w14:textId="77777777" w:rsidR="003E3D07" w:rsidRDefault="003E3D07">
            <w:pPr>
              <w:pStyle w:val="TableText"/>
              <w:rPr>
                <w:rFonts w:eastAsia="Symbol"/>
              </w:rPr>
            </w:pPr>
            <w:r>
              <w:t>None</w:t>
            </w:r>
          </w:p>
        </w:tc>
        <w:tc>
          <w:tcPr>
            <w:tcW w:w="1296" w:type="dxa"/>
            <w:shd w:val="clear" w:color="auto" w:fill="auto"/>
          </w:tcPr>
          <w:p w14:paraId="296B8718" w14:textId="77777777" w:rsidR="003E3D07" w:rsidRDefault="003E3D07">
            <w:pPr>
              <w:pStyle w:val="TableText"/>
              <w:rPr>
                <w:rFonts w:eastAsia="Symbol"/>
              </w:rPr>
            </w:pPr>
            <w:r>
              <w:t>0</w:t>
            </w:r>
          </w:p>
        </w:tc>
        <w:tc>
          <w:tcPr>
            <w:tcW w:w="1296" w:type="dxa"/>
            <w:shd w:val="clear" w:color="auto" w:fill="auto"/>
          </w:tcPr>
          <w:p w14:paraId="1D2A6369" w14:textId="77777777" w:rsidR="003E3D07" w:rsidRDefault="003E3D07">
            <w:pPr>
              <w:pStyle w:val="TableText"/>
              <w:rPr>
                <w:rFonts w:eastAsia="Symbol"/>
              </w:rPr>
            </w:pPr>
            <w:r>
              <w:t>AGSc1</w:t>
            </w:r>
          </w:p>
        </w:tc>
      </w:tr>
      <w:tr w:rsidR="00824338" w14:paraId="6B6D9A3C" w14:textId="77777777">
        <w:tblPrEx>
          <w:tblBorders>
            <w:insideH w:val="single" w:sz="4" w:space="0" w:color="auto"/>
            <w:insideV w:val="single" w:sz="4" w:space="0" w:color="auto"/>
          </w:tblBorders>
        </w:tblPrEx>
        <w:tc>
          <w:tcPr>
            <w:tcW w:w="1253" w:type="dxa"/>
            <w:shd w:val="clear" w:color="auto" w:fill="auto"/>
          </w:tcPr>
          <w:p w14:paraId="3D96594F" w14:textId="77777777" w:rsidR="003E3D07" w:rsidRDefault="003E3D07">
            <w:pPr>
              <w:pStyle w:val="TableText"/>
              <w:rPr>
                <w:rFonts w:eastAsia="Symbol"/>
              </w:rPr>
            </w:pPr>
            <w:r>
              <w:t>Anti-Sc2</w:t>
            </w:r>
          </w:p>
        </w:tc>
        <w:tc>
          <w:tcPr>
            <w:tcW w:w="1253" w:type="dxa"/>
            <w:shd w:val="clear" w:color="auto" w:fill="auto"/>
          </w:tcPr>
          <w:p w14:paraId="4BED10A1" w14:textId="77777777" w:rsidR="003E3D07" w:rsidRDefault="003E3D07">
            <w:pPr>
              <w:pStyle w:val="TableText"/>
              <w:rPr>
                <w:rFonts w:eastAsia="Symbol"/>
              </w:rPr>
            </w:pPr>
            <w:r>
              <w:t>None</w:t>
            </w:r>
          </w:p>
        </w:tc>
        <w:tc>
          <w:tcPr>
            <w:tcW w:w="878" w:type="dxa"/>
            <w:shd w:val="clear" w:color="auto" w:fill="auto"/>
          </w:tcPr>
          <w:p w14:paraId="60A3BDAA" w14:textId="77777777" w:rsidR="003E3D07" w:rsidRDefault="003E3D07">
            <w:pPr>
              <w:pStyle w:val="TableText"/>
            </w:pPr>
            <w:r>
              <w:t>No</w:t>
            </w:r>
          </w:p>
        </w:tc>
        <w:tc>
          <w:tcPr>
            <w:tcW w:w="878" w:type="dxa"/>
            <w:shd w:val="clear" w:color="auto" w:fill="auto"/>
          </w:tcPr>
          <w:p w14:paraId="04B0000C" w14:textId="77777777" w:rsidR="003E3D07" w:rsidRDefault="003E3D07">
            <w:pPr>
              <w:pStyle w:val="TableText"/>
              <w:rPr>
                <w:rFonts w:eastAsia="Symbol"/>
              </w:rPr>
            </w:pPr>
            <w:r>
              <w:t>Optional</w:t>
            </w:r>
          </w:p>
        </w:tc>
        <w:tc>
          <w:tcPr>
            <w:tcW w:w="1253" w:type="dxa"/>
            <w:shd w:val="clear" w:color="auto" w:fill="auto"/>
          </w:tcPr>
          <w:p w14:paraId="6EFE854D" w14:textId="77777777" w:rsidR="003E3D07" w:rsidRDefault="003E3D07">
            <w:pPr>
              <w:pStyle w:val="TableText"/>
              <w:rPr>
                <w:rFonts w:eastAsia="Symbol"/>
              </w:rPr>
            </w:pPr>
            <w:r>
              <w:t>Sc2</w:t>
            </w:r>
          </w:p>
        </w:tc>
        <w:tc>
          <w:tcPr>
            <w:tcW w:w="1253" w:type="dxa"/>
            <w:shd w:val="clear" w:color="auto" w:fill="auto"/>
          </w:tcPr>
          <w:p w14:paraId="354CDCF9" w14:textId="77777777" w:rsidR="003E3D07" w:rsidRDefault="003E3D07">
            <w:pPr>
              <w:pStyle w:val="TableText"/>
              <w:rPr>
                <w:rFonts w:eastAsia="Symbol"/>
              </w:rPr>
            </w:pPr>
            <w:r>
              <w:t>None</w:t>
            </w:r>
          </w:p>
        </w:tc>
        <w:tc>
          <w:tcPr>
            <w:tcW w:w="1296" w:type="dxa"/>
            <w:shd w:val="clear" w:color="auto" w:fill="auto"/>
          </w:tcPr>
          <w:p w14:paraId="60C61BFD" w14:textId="77777777" w:rsidR="003E3D07" w:rsidRDefault="003E3D07">
            <w:pPr>
              <w:pStyle w:val="TableText"/>
              <w:rPr>
                <w:rFonts w:eastAsia="Symbol"/>
              </w:rPr>
            </w:pPr>
            <w:r>
              <w:t>99</w:t>
            </w:r>
          </w:p>
        </w:tc>
        <w:tc>
          <w:tcPr>
            <w:tcW w:w="1296" w:type="dxa"/>
            <w:shd w:val="clear" w:color="auto" w:fill="auto"/>
          </w:tcPr>
          <w:p w14:paraId="2B2CA974" w14:textId="77777777" w:rsidR="003E3D07" w:rsidRDefault="003E3D07">
            <w:pPr>
              <w:pStyle w:val="TableText"/>
              <w:rPr>
                <w:rFonts w:eastAsia="Symbol"/>
              </w:rPr>
            </w:pPr>
            <w:r>
              <w:t>AGSc2</w:t>
            </w:r>
          </w:p>
        </w:tc>
      </w:tr>
      <w:tr w:rsidR="00824338" w14:paraId="28FE1473" w14:textId="77777777">
        <w:tblPrEx>
          <w:tblBorders>
            <w:insideH w:val="single" w:sz="4" w:space="0" w:color="auto"/>
            <w:insideV w:val="single" w:sz="4" w:space="0" w:color="auto"/>
          </w:tblBorders>
        </w:tblPrEx>
        <w:tc>
          <w:tcPr>
            <w:tcW w:w="1253" w:type="dxa"/>
            <w:shd w:val="clear" w:color="auto" w:fill="auto"/>
          </w:tcPr>
          <w:p w14:paraId="66C2DA7E" w14:textId="77777777" w:rsidR="003E3D07" w:rsidRDefault="003E3D07">
            <w:pPr>
              <w:pStyle w:val="TableText"/>
              <w:rPr>
                <w:rFonts w:eastAsia="Symbol"/>
              </w:rPr>
            </w:pPr>
            <w:r>
              <w:t>Anti-Sd(a)</w:t>
            </w:r>
          </w:p>
        </w:tc>
        <w:tc>
          <w:tcPr>
            <w:tcW w:w="1253" w:type="dxa"/>
            <w:shd w:val="clear" w:color="auto" w:fill="auto"/>
          </w:tcPr>
          <w:p w14:paraId="5C4506C9" w14:textId="77777777" w:rsidR="003E3D07" w:rsidRDefault="003E3D07">
            <w:pPr>
              <w:pStyle w:val="TableText"/>
              <w:rPr>
                <w:rFonts w:eastAsia="Symbol"/>
              </w:rPr>
            </w:pPr>
            <w:r>
              <w:t>None</w:t>
            </w:r>
          </w:p>
        </w:tc>
        <w:tc>
          <w:tcPr>
            <w:tcW w:w="878" w:type="dxa"/>
            <w:shd w:val="clear" w:color="auto" w:fill="auto"/>
          </w:tcPr>
          <w:p w14:paraId="5F224640" w14:textId="77777777" w:rsidR="003E3D07" w:rsidRDefault="003E3D07">
            <w:pPr>
              <w:pStyle w:val="TableText"/>
            </w:pPr>
            <w:r>
              <w:t>No</w:t>
            </w:r>
          </w:p>
        </w:tc>
        <w:tc>
          <w:tcPr>
            <w:tcW w:w="878" w:type="dxa"/>
            <w:shd w:val="clear" w:color="auto" w:fill="auto"/>
          </w:tcPr>
          <w:p w14:paraId="40EE0168" w14:textId="77777777" w:rsidR="003E3D07" w:rsidRDefault="003E3D07">
            <w:pPr>
              <w:pStyle w:val="TableText"/>
              <w:rPr>
                <w:rFonts w:eastAsia="Symbol"/>
              </w:rPr>
            </w:pPr>
            <w:r>
              <w:t>Optional</w:t>
            </w:r>
          </w:p>
        </w:tc>
        <w:tc>
          <w:tcPr>
            <w:tcW w:w="1253" w:type="dxa"/>
            <w:shd w:val="clear" w:color="auto" w:fill="auto"/>
          </w:tcPr>
          <w:p w14:paraId="05B8CBCD" w14:textId="77777777" w:rsidR="003E3D07" w:rsidRDefault="003E3D07">
            <w:pPr>
              <w:pStyle w:val="TableText"/>
              <w:rPr>
                <w:rFonts w:eastAsia="Symbol"/>
              </w:rPr>
            </w:pPr>
            <w:r>
              <w:t>Sd(a)</w:t>
            </w:r>
          </w:p>
        </w:tc>
        <w:tc>
          <w:tcPr>
            <w:tcW w:w="1253" w:type="dxa"/>
            <w:shd w:val="clear" w:color="auto" w:fill="auto"/>
          </w:tcPr>
          <w:p w14:paraId="1D6F22DC" w14:textId="77777777" w:rsidR="003E3D07" w:rsidRDefault="003E3D07">
            <w:pPr>
              <w:pStyle w:val="TableText"/>
            </w:pPr>
            <w:r>
              <w:t>None</w:t>
            </w:r>
          </w:p>
        </w:tc>
        <w:tc>
          <w:tcPr>
            <w:tcW w:w="1296" w:type="dxa"/>
            <w:shd w:val="clear" w:color="auto" w:fill="auto"/>
          </w:tcPr>
          <w:p w14:paraId="4B990BEA" w14:textId="77777777" w:rsidR="003E3D07" w:rsidRDefault="003E3D07">
            <w:pPr>
              <w:pStyle w:val="TableText"/>
              <w:rPr>
                <w:rFonts w:eastAsia="Symbol"/>
              </w:rPr>
            </w:pPr>
            <w:r>
              <w:t>1</w:t>
            </w:r>
          </w:p>
        </w:tc>
        <w:tc>
          <w:tcPr>
            <w:tcW w:w="1296" w:type="dxa"/>
            <w:shd w:val="clear" w:color="auto" w:fill="auto"/>
          </w:tcPr>
          <w:p w14:paraId="496B007A" w14:textId="77777777" w:rsidR="003E3D07" w:rsidRDefault="003E3D07">
            <w:pPr>
              <w:pStyle w:val="TableText"/>
              <w:rPr>
                <w:rFonts w:eastAsia="Symbol"/>
              </w:rPr>
            </w:pPr>
            <w:r>
              <w:t>AGSd(a)</w:t>
            </w:r>
          </w:p>
        </w:tc>
      </w:tr>
      <w:tr w:rsidR="00824338" w14:paraId="2BE12FB2" w14:textId="77777777">
        <w:tblPrEx>
          <w:tblBorders>
            <w:insideH w:val="single" w:sz="4" w:space="0" w:color="auto"/>
            <w:insideV w:val="single" w:sz="4" w:space="0" w:color="auto"/>
          </w:tblBorders>
        </w:tblPrEx>
        <w:tc>
          <w:tcPr>
            <w:tcW w:w="1253" w:type="dxa"/>
            <w:shd w:val="clear" w:color="auto" w:fill="auto"/>
          </w:tcPr>
          <w:p w14:paraId="3663483C" w14:textId="77777777" w:rsidR="003E3D07" w:rsidRDefault="003E3D07">
            <w:pPr>
              <w:pStyle w:val="TableText"/>
              <w:rPr>
                <w:rFonts w:eastAsia="Symbol"/>
              </w:rPr>
            </w:pPr>
            <w:r>
              <w:t>Anti-Au(a)</w:t>
            </w:r>
          </w:p>
        </w:tc>
        <w:tc>
          <w:tcPr>
            <w:tcW w:w="1253" w:type="dxa"/>
            <w:shd w:val="clear" w:color="auto" w:fill="auto"/>
          </w:tcPr>
          <w:p w14:paraId="19D6F214" w14:textId="77777777" w:rsidR="003E3D07" w:rsidRDefault="003E3D07">
            <w:pPr>
              <w:pStyle w:val="TableText"/>
              <w:rPr>
                <w:rFonts w:eastAsia="Symbol"/>
              </w:rPr>
            </w:pPr>
            <w:r>
              <w:t>Anti-Au(a)</w:t>
            </w:r>
          </w:p>
        </w:tc>
        <w:tc>
          <w:tcPr>
            <w:tcW w:w="878" w:type="dxa"/>
            <w:shd w:val="clear" w:color="auto" w:fill="auto"/>
          </w:tcPr>
          <w:p w14:paraId="6611994B" w14:textId="77777777" w:rsidR="003E3D07" w:rsidRDefault="003E3D07">
            <w:pPr>
              <w:pStyle w:val="TableText"/>
            </w:pPr>
            <w:r>
              <w:t>No</w:t>
            </w:r>
          </w:p>
        </w:tc>
        <w:tc>
          <w:tcPr>
            <w:tcW w:w="878" w:type="dxa"/>
            <w:shd w:val="clear" w:color="auto" w:fill="auto"/>
          </w:tcPr>
          <w:p w14:paraId="4C32BCA5" w14:textId="77777777" w:rsidR="003E3D07" w:rsidRDefault="003E3D07">
            <w:pPr>
              <w:pStyle w:val="TableText"/>
              <w:rPr>
                <w:rFonts w:eastAsia="Symbol"/>
              </w:rPr>
            </w:pPr>
            <w:r>
              <w:t>Optional</w:t>
            </w:r>
          </w:p>
        </w:tc>
        <w:tc>
          <w:tcPr>
            <w:tcW w:w="1253" w:type="dxa"/>
            <w:shd w:val="clear" w:color="auto" w:fill="auto"/>
          </w:tcPr>
          <w:p w14:paraId="517BDD15" w14:textId="77777777" w:rsidR="003E3D07" w:rsidRDefault="003E3D07">
            <w:pPr>
              <w:pStyle w:val="TableText"/>
              <w:rPr>
                <w:rFonts w:eastAsia="Symbol"/>
              </w:rPr>
            </w:pPr>
            <w:r>
              <w:t>Au(a)</w:t>
            </w:r>
          </w:p>
        </w:tc>
        <w:tc>
          <w:tcPr>
            <w:tcW w:w="1253" w:type="dxa"/>
            <w:shd w:val="clear" w:color="auto" w:fill="auto"/>
          </w:tcPr>
          <w:p w14:paraId="17DD51FD" w14:textId="77777777" w:rsidR="003E3D07" w:rsidRDefault="003E3D07">
            <w:pPr>
              <w:pStyle w:val="TableText"/>
              <w:rPr>
                <w:rFonts w:eastAsia="Symbol"/>
              </w:rPr>
            </w:pPr>
            <w:r>
              <w:t>Au(a)</w:t>
            </w:r>
          </w:p>
        </w:tc>
        <w:tc>
          <w:tcPr>
            <w:tcW w:w="1296" w:type="dxa"/>
            <w:shd w:val="clear" w:color="auto" w:fill="auto"/>
          </w:tcPr>
          <w:p w14:paraId="209F04D8" w14:textId="77777777" w:rsidR="003E3D07" w:rsidRDefault="003E3D07">
            <w:pPr>
              <w:pStyle w:val="TableText"/>
              <w:rPr>
                <w:rFonts w:eastAsia="Symbol"/>
              </w:rPr>
            </w:pPr>
            <w:r>
              <w:t>20</w:t>
            </w:r>
          </w:p>
        </w:tc>
        <w:tc>
          <w:tcPr>
            <w:tcW w:w="1296" w:type="dxa"/>
            <w:shd w:val="clear" w:color="auto" w:fill="auto"/>
          </w:tcPr>
          <w:p w14:paraId="0F899336" w14:textId="77777777" w:rsidR="003E3D07" w:rsidRDefault="003E3D07">
            <w:pPr>
              <w:pStyle w:val="TableText"/>
            </w:pPr>
            <w:r>
              <w:t>AGAu(a)</w:t>
            </w:r>
          </w:p>
        </w:tc>
      </w:tr>
      <w:tr w:rsidR="00824338" w14:paraId="61753B56" w14:textId="77777777">
        <w:tblPrEx>
          <w:tblBorders>
            <w:insideH w:val="single" w:sz="4" w:space="0" w:color="auto"/>
            <w:insideV w:val="single" w:sz="4" w:space="0" w:color="auto"/>
          </w:tblBorders>
        </w:tblPrEx>
        <w:tc>
          <w:tcPr>
            <w:tcW w:w="1253" w:type="dxa"/>
            <w:shd w:val="clear" w:color="auto" w:fill="auto"/>
          </w:tcPr>
          <w:p w14:paraId="78EF9887" w14:textId="77777777" w:rsidR="003E3D07" w:rsidRDefault="003E3D07">
            <w:pPr>
              <w:pStyle w:val="TableText"/>
            </w:pPr>
            <w:r>
              <w:t>Anti-Au(b)</w:t>
            </w:r>
          </w:p>
        </w:tc>
        <w:tc>
          <w:tcPr>
            <w:tcW w:w="1253" w:type="dxa"/>
            <w:shd w:val="clear" w:color="auto" w:fill="auto"/>
          </w:tcPr>
          <w:p w14:paraId="1ABB5D38" w14:textId="77777777" w:rsidR="003E3D07" w:rsidRDefault="003E3D07">
            <w:pPr>
              <w:pStyle w:val="TableText"/>
              <w:rPr>
                <w:rFonts w:eastAsia="Symbol"/>
              </w:rPr>
            </w:pPr>
            <w:r>
              <w:t>None</w:t>
            </w:r>
          </w:p>
        </w:tc>
        <w:tc>
          <w:tcPr>
            <w:tcW w:w="878" w:type="dxa"/>
            <w:shd w:val="clear" w:color="auto" w:fill="auto"/>
          </w:tcPr>
          <w:p w14:paraId="20F3EFA8" w14:textId="77777777" w:rsidR="003E3D07" w:rsidRDefault="003E3D07">
            <w:pPr>
              <w:pStyle w:val="TableText"/>
            </w:pPr>
            <w:r>
              <w:t>No</w:t>
            </w:r>
          </w:p>
        </w:tc>
        <w:tc>
          <w:tcPr>
            <w:tcW w:w="878" w:type="dxa"/>
            <w:shd w:val="clear" w:color="auto" w:fill="auto"/>
          </w:tcPr>
          <w:p w14:paraId="493DD05B" w14:textId="77777777" w:rsidR="003E3D07" w:rsidRDefault="003E3D07">
            <w:pPr>
              <w:pStyle w:val="TableText"/>
            </w:pPr>
            <w:r>
              <w:t>Optional</w:t>
            </w:r>
          </w:p>
        </w:tc>
        <w:tc>
          <w:tcPr>
            <w:tcW w:w="1253" w:type="dxa"/>
            <w:shd w:val="clear" w:color="auto" w:fill="auto"/>
          </w:tcPr>
          <w:p w14:paraId="636F021B" w14:textId="77777777" w:rsidR="003E3D07" w:rsidRDefault="003E3D07">
            <w:pPr>
              <w:pStyle w:val="TableText"/>
            </w:pPr>
            <w:r>
              <w:t>Au(b)</w:t>
            </w:r>
          </w:p>
        </w:tc>
        <w:tc>
          <w:tcPr>
            <w:tcW w:w="1253" w:type="dxa"/>
            <w:shd w:val="clear" w:color="auto" w:fill="auto"/>
          </w:tcPr>
          <w:p w14:paraId="34B0B7DA" w14:textId="77777777" w:rsidR="003E3D07" w:rsidRDefault="003E3D07">
            <w:pPr>
              <w:pStyle w:val="TableText"/>
            </w:pPr>
            <w:r>
              <w:t>None</w:t>
            </w:r>
          </w:p>
        </w:tc>
        <w:tc>
          <w:tcPr>
            <w:tcW w:w="1296" w:type="dxa"/>
            <w:shd w:val="clear" w:color="auto" w:fill="auto"/>
          </w:tcPr>
          <w:p w14:paraId="7A89EB33" w14:textId="77777777" w:rsidR="003E3D07" w:rsidRDefault="003E3D07">
            <w:pPr>
              <w:pStyle w:val="TableText"/>
              <w:rPr>
                <w:rFonts w:eastAsia="Symbol"/>
              </w:rPr>
            </w:pPr>
            <w:r>
              <w:t>50</w:t>
            </w:r>
          </w:p>
        </w:tc>
        <w:tc>
          <w:tcPr>
            <w:tcW w:w="1296" w:type="dxa"/>
            <w:shd w:val="clear" w:color="auto" w:fill="auto"/>
          </w:tcPr>
          <w:p w14:paraId="18110EE6" w14:textId="77777777" w:rsidR="003E3D07" w:rsidRDefault="003E3D07">
            <w:pPr>
              <w:pStyle w:val="TableText"/>
            </w:pPr>
            <w:r>
              <w:t>AGAu(b)</w:t>
            </w:r>
          </w:p>
        </w:tc>
      </w:tr>
      <w:tr w:rsidR="00824338" w14:paraId="05598B58" w14:textId="77777777">
        <w:tblPrEx>
          <w:tblBorders>
            <w:insideH w:val="single" w:sz="4" w:space="0" w:color="auto"/>
            <w:insideV w:val="single" w:sz="4" w:space="0" w:color="auto"/>
          </w:tblBorders>
        </w:tblPrEx>
        <w:tc>
          <w:tcPr>
            <w:tcW w:w="1253" w:type="dxa"/>
            <w:shd w:val="clear" w:color="auto" w:fill="auto"/>
          </w:tcPr>
          <w:p w14:paraId="69722B68" w14:textId="77777777" w:rsidR="003E3D07" w:rsidRDefault="003E3D07">
            <w:pPr>
              <w:pStyle w:val="TableText"/>
              <w:rPr>
                <w:rFonts w:eastAsia="Symbol"/>
              </w:rPr>
            </w:pPr>
            <w:r>
              <w:t>Anti-Ch</w:t>
            </w:r>
          </w:p>
        </w:tc>
        <w:tc>
          <w:tcPr>
            <w:tcW w:w="1253" w:type="dxa"/>
            <w:shd w:val="clear" w:color="auto" w:fill="auto"/>
          </w:tcPr>
          <w:p w14:paraId="5BF81477" w14:textId="77777777" w:rsidR="003E3D07" w:rsidRDefault="003E3D07">
            <w:pPr>
              <w:pStyle w:val="TableText"/>
              <w:rPr>
                <w:rFonts w:eastAsia="Symbol"/>
              </w:rPr>
            </w:pPr>
            <w:r>
              <w:t>None</w:t>
            </w:r>
          </w:p>
        </w:tc>
        <w:tc>
          <w:tcPr>
            <w:tcW w:w="878" w:type="dxa"/>
            <w:shd w:val="clear" w:color="auto" w:fill="auto"/>
          </w:tcPr>
          <w:p w14:paraId="5735F158" w14:textId="77777777" w:rsidR="003E3D07" w:rsidRDefault="003E3D07">
            <w:pPr>
              <w:pStyle w:val="TableText"/>
            </w:pPr>
            <w:r>
              <w:t>No</w:t>
            </w:r>
          </w:p>
        </w:tc>
        <w:tc>
          <w:tcPr>
            <w:tcW w:w="878" w:type="dxa"/>
            <w:shd w:val="clear" w:color="auto" w:fill="auto"/>
          </w:tcPr>
          <w:p w14:paraId="4B78AE2F" w14:textId="77777777" w:rsidR="003E3D07" w:rsidRDefault="003E3D07">
            <w:pPr>
              <w:pStyle w:val="TableText"/>
              <w:rPr>
                <w:rFonts w:eastAsia="Symbol"/>
              </w:rPr>
            </w:pPr>
            <w:r>
              <w:t>Optional</w:t>
            </w:r>
          </w:p>
        </w:tc>
        <w:tc>
          <w:tcPr>
            <w:tcW w:w="1253" w:type="dxa"/>
            <w:shd w:val="clear" w:color="auto" w:fill="auto"/>
          </w:tcPr>
          <w:p w14:paraId="6FBF2C85" w14:textId="77777777" w:rsidR="003E3D07" w:rsidRDefault="003E3D07">
            <w:pPr>
              <w:pStyle w:val="TableText"/>
              <w:rPr>
                <w:rFonts w:eastAsia="Symbol"/>
              </w:rPr>
            </w:pPr>
            <w:r>
              <w:t>Ch</w:t>
            </w:r>
          </w:p>
        </w:tc>
        <w:tc>
          <w:tcPr>
            <w:tcW w:w="1253" w:type="dxa"/>
            <w:shd w:val="clear" w:color="auto" w:fill="auto"/>
          </w:tcPr>
          <w:p w14:paraId="141BD64B" w14:textId="77777777" w:rsidR="003E3D07" w:rsidRDefault="003E3D07">
            <w:pPr>
              <w:pStyle w:val="TableText"/>
            </w:pPr>
            <w:r>
              <w:t>None</w:t>
            </w:r>
          </w:p>
        </w:tc>
        <w:tc>
          <w:tcPr>
            <w:tcW w:w="1296" w:type="dxa"/>
            <w:shd w:val="clear" w:color="auto" w:fill="auto"/>
          </w:tcPr>
          <w:p w14:paraId="0AF8A4FC" w14:textId="77777777" w:rsidR="003E3D07" w:rsidRDefault="003E3D07">
            <w:pPr>
              <w:pStyle w:val="TableText"/>
              <w:rPr>
                <w:rFonts w:eastAsia="Symbol"/>
              </w:rPr>
            </w:pPr>
            <w:r>
              <w:t>2</w:t>
            </w:r>
          </w:p>
        </w:tc>
        <w:tc>
          <w:tcPr>
            <w:tcW w:w="1296" w:type="dxa"/>
            <w:shd w:val="clear" w:color="auto" w:fill="auto"/>
          </w:tcPr>
          <w:p w14:paraId="7FDE11B0" w14:textId="77777777" w:rsidR="003E3D07" w:rsidRDefault="003E3D07">
            <w:pPr>
              <w:pStyle w:val="TableText"/>
            </w:pPr>
            <w:r>
              <w:t>AGCh</w:t>
            </w:r>
          </w:p>
        </w:tc>
      </w:tr>
      <w:tr w:rsidR="00824338" w14:paraId="0A08A2EB" w14:textId="77777777">
        <w:tblPrEx>
          <w:tblBorders>
            <w:insideH w:val="single" w:sz="4" w:space="0" w:color="auto"/>
            <w:insideV w:val="single" w:sz="4" w:space="0" w:color="auto"/>
          </w:tblBorders>
        </w:tblPrEx>
        <w:tc>
          <w:tcPr>
            <w:tcW w:w="1253" w:type="dxa"/>
            <w:shd w:val="clear" w:color="auto" w:fill="auto"/>
          </w:tcPr>
          <w:p w14:paraId="574372ED" w14:textId="77777777" w:rsidR="003E3D07" w:rsidRDefault="003E3D07">
            <w:pPr>
              <w:pStyle w:val="TableText"/>
              <w:rPr>
                <w:rFonts w:eastAsia="Symbol"/>
              </w:rPr>
            </w:pPr>
            <w:r>
              <w:t>Anti-Rg</w:t>
            </w:r>
          </w:p>
        </w:tc>
        <w:tc>
          <w:tcPr>
            <w:tcW w:w="1253" w:type="dxa"/>
            <w:shd w:val="clear" w:color="auto" w:fill="auto"/>
          </w:tcPr>
          <w:p w14:paraId="519CE4A2" w14:textId="77777777" w:rsidR="003E3D07" w:rsidRDefault="003E3D07">
            <w:pPr>
              <w:pStyle w:val="TableText"/>
              <w:rPr>
                <w:rFonts w:eastAsia="Symbol"/>
              </w:rPr>
            </w:pPr>
            <w:r>
              <w:t>None</w:t>
            </w:r>
          </w:p>
        </w:tc>
        <w:tc>
          <w:tcPr>
            <w:tcW w:w="878" w:type="dxa"/>
            <w:shd w:val="clear" w:color="auto" w:fill="auto"/>
          </w:tcPr>
          <w:p w14:paraId="0AFC0255" w14:textId="77777777" w:rsidR="003E3D07" w:rsidRDefault="003E3D07">
            <w:pPr>
              <w:pStyle w:val="TableText"/>
            </w:pPr>
            <w:r>
              <w:t>No</w:t>
            </w:r>
          </w:p>
        </w:tc>
        <w:tc>
          <w:tcPr>
            <w:tcW w:w="878" w:type="dxa"/>
            <w:shd w:val="clear" w:color="auto" w:fill="auto"/>
          </w:tcPr>
          <w:p w14:paraId="00F22471" w14:textId="77777777" w:rsidR="003E3D07" w:rsidRDefault="003E3D07">
            <w:pPr>
              <w:pStyle w:val="TableText"/>
              <w:rPr>
                <w:rFonts w:eastAsia="Symbol"/>
              </w:rPr>
            </w:pPr>
            <w:r>
              <w:t>Optional</w:t>
            </w:r>
          </w:p>
        </w:tc>
        <w:tc>
          <w:tcPr>
            <w:tcW w:w="1253" w:type="dxa"/>
            <w:shd w:val="clear" w:color="auto" w:fill="auto"/>
          </w:tcPr>
          <w:p w14:paraId="646CA0F2" w14:textId="77777777" w:rsidR="003E3D07" w:rsidRDefault="003E3D07">
            <w:pPr>
              <w:pStyle w:val="TableText"/>
              <w:rPr>
                <w:rFonts w:eastAsia="Symbol"/>
              </w:rPr>
            </w:pPr>
            <w:r>
              <w:t>Rg</w:t>
            </w:r>
          </w:p>
        </w:tc>
        <w:tc>
          <w:tcPr>
            <w:tcW w:w="1253" w:type="dxa"/>
            <w:shd w:val="clear" w:color="auto" w:fill="auto"/>
          </w:tcPr>
          <w:p w14:paraId="36674FF6" w14:textId="77777777" w:rsidR="003E3D07" w:rsidRDefault="003E3D07">
            <w:pPr>
              <w:pStyle w:val="TableText"/>
            </w:pPr>
            <w:r>
              <w:t>None</w:t>
            </w:r>
          </w:p>
        </w:tc>
        <w:tc>
          <w:tcPr>
            <w:tcW w:w="1296" w:type="dxa"/>
            <w:shd w:val="clear" w:color="auto" w:fill="auto"/>
          </w:tcPr>
          <w:p w14:paraId="347372D3" w14:textId="77777777" w:rsidR="003E3D07" w:rsidRDefault="003E3D07">
            <w:pPr>
              <w:pStyle w:val="TableText"/>
              <w:rPr>
                <w:rFonts w:eastAsia="Symbol"/>
              </w:rPr>
            </w:pPr>
            <w:r>
              <w:t>3</w:t>
            </w:r>
          </w:p>
        </w:tc>
        <w:tc>
          <w:tcPr>
            <w:tcW w:w="1296" w:type="dxa"/>
            <w:shd w:val="clear" w:color="auto" w:fill="auto"/>
          </w:tcPr>
          <w:p w14:paraId="4C08D60E" w14:textId="77777777" w:rsidR="003E3D07" w:rsidRDefault="003E3D07">
            <w:pPr>
              <w:pStyle w:val="TableText"/>
            </w:pPr>
            <w:r>
              <w:t>AGRg</w:t>
            </w:r>
          </w:p>
        </w:tc>
      </w:tr>
      <w:tr w:rsidR="00824338" w14:paraId="1CCA1380" w14:textId="77777777">
        <w:tblPrEx>
          <w:tblBorders>
            <w:insideH w:val="single" w:sz="4" w:space="0" w:color="auto"/>
            <w:insideV w:val="single" w:sz="4" w:space="0" w:color="auto"/>
          </w:tblBorders>
        </w:tblPrEx>
        <w:tc>
          <w:tcPr>
            <w:tcW w:w="1253" w:type="dxa"/>
            <w:shd w:val="clear" w:color="auto" w:fill="auto"/>
          </w:tcPr>
          <w:p w14:paraId="085EBDF5" w14:textId="77777777" w:rsidR="003E3D07" w:rsidRDefault="003E3D07">
            <w:pPr>
              <w:pStyle w:val="TableText"/>
              <w:rPr>
                <w:rFonts w:eastAsia="Symbol"/>
              </w:rPr>
            </w:pPr>
            <w:r>
              <w:t>Anti-Cs(a)</w:t>
            </w:r>
          </w:p>
        </w:tc>
        <w:tc>
          <w:tcPr>
            <w:tcW w:w="1253" w:type="dxa"/>
            <w:shd w:val="clear" w:color="auto" w:fill="auto"/>
          </w:tcPr>
          <w:p w14:paraId="35AA1667" w14:textId="77777777" w:rsidR="003E3D07" w:rsidRDefault="003E3D07">
            <w:pPr>
              <w:pStyle w:val="TableText"/>
              <w:rPr>
                <w:rFonts w:eastAsia="Symbol"/>
              </w:rPr>
            </w:pPr>
            <w:r>
              <w:t>None</w:t>
            </w:r>
          </w:p>
        </w:tc>
        <w:tc>
          <w:tcPr>
            <w:tcW w:w="878" w:type="dxa"/>
            <w:shd w:val="clear" w:color="auto" w:fill="auto"/>
          </w:tcPr>
          <w:p w14:paraId="592A424F" w14:textId="77777777" w:rsidR="003E3D07" w:rsidRDefault="003E3D07">
            <w:pPr>
              <w:pStyle w:val="TableText"/>
            </w:pPr>
            <w:r>
              <w:t>No</w:t>
            </w:r>
          </w:p>
        </w:tc>
        <w:tc>
          <w:tcPr>
            <w:tcW w:w="878" w:type="dxa"/>
            <w:shd w:val="clear" w:color="auto" w:fill="auto"/>
          </w:tcPr>
          <w:p w14:paraId="453EC92F" w14:textId="77777777" w:rsidR="003E3D07" w:rsidRDefault="003E3D07">
            <w:pPr>
              <w:pStyle w:val="TableText"/>
              <w:rPr>
                <w:rFonts w:eastAsia="Symbol"/>
              </w:rPr>
            </w:pPr>
            <w:r>
              <w:t>Optional</w:t>
            </w:r>
          </w:p>
        </w:tc>
        <w:tc>
          <w:tcPr>
            <w:tcW w:w="1253" w:type="dxa"/>
            <w:shd w:val="clear" w:color="auto" w:fill="auto"/>
          </w:tcPr>
          <w:p w14:paraId="14B8ECEA" w14:textId="77777777" w:rsidR="003E3D07" w:rsidRDefault="003E3D07">
            <w:pPr>
              <w:pStyle w:val="TableText"/>
              <w:rPr>
                <w:rFonts w:eastAsia="Symbol"/>
              </w:rPr>
            </w:pPr>
            <w:r>
              <w:t>Cs(a)</w:t>
            </w:r>
          </w:p>
        </w:tc>
        <w:tc>
          <w:tcPr>
            <w:tcW w:w="1253" w:type="dxa"/>
            <w:shd w:val="clear" w:color="auto" w:fill="auto"/>
          </w:tcPr>
          <w:p w14:paraId="15658282" w14:textId="77777777" w:rsidR="003E3D07" w:rsidRDefault="003E3D07">
            <w:pPr>
              <w:pStyle w:val="TableText"/>
            </w:pPr>
            <w:r>
              <w:t>None</w:t>
            </w:r>
          </w:p>
        </w:tc>
        <w:tc>
          <w:tcPr>
            <w:tcW w:w="1296" w:type="dxa"/>
            <w:shd w:val="clear" w:color="auto" w:fill="auto"/>
          </w:tcPr>
          <w:p w14:paraId="724C8339" w14:textId="77777777" w:rsidR="003E3D07" w:rsidRDefault="003E3D07">
            <w:pPr>
              <w:pStyle w:val="TableText"/>
              <w:rPr>
                <w:rFonts w:eastAsia="Symbol"/>
              </w:rPr>
            </w:pPr>
            <w:r>
              <w:t>4</w:t>
            </w:r>
          </w:p>
        </w:tc>
        <w:tc>
          <w:tcPr>
            <w:tcW w:w="1296" w:type="dxa"/>
            <w:shd w:val="clear" w:color="auto" w:fill="auto"/>
          </w:tcPr>
          <w:p w14:paraId="7C532547" w14:textId="77777777" w:rsidR="003E3D07" w:rsidRDefault="003E3D07">
            <w:pPr>
              <w:pStyle w:val="TableText"/>
            </w:pPr>
            <w:r>
              <w:t>AGCs(a)</w:t>
            </w:r>
          </w:p>
        </w:tc>
      </w:tr>
      <w:tr w:rsidR="00824338" w14:paraId="74F9F96B" w14:textId="77777777">
        <w:tblPrEx>
          <w:tblBorders>
            <w:insideH w:val="single" w:sz="4" w:space="0" w:color="auto"/>
            <w:insideV w:val="single" w:sz="4" w:space="0" w:color="auto"/>
          </w:tblBorders>
        </w:tblPrEx>
        <w:tc>
          <w:tcPr>
            <w:tcW w:w="1253" w:type="dxa"/>
            <w:shd w:val="clear" w:color="auto" w:fill="auto"/>
          </w:tcPr>
          <w:p w14:paraId="0F5ACEF9" w14:textId="77777777" w:rsidR="003E3D07" w:rsidRDefault="003E3D07">
            <w:pPr>
              <w:pStyle w:val="TableText"/>
              <w:rPr>
                <w:rFonts w:eastAsia="Symbol"/>
              </w:rPr>
            </w:pPr>
            <w:r>
              <w:t>Anti-Yk(a)</w:t>
            </w:r>
          </w:p>
        </w:tc>
        <w:tc>
          <w:tcPr>
            <w:tcW w:w="1253" w:type="dxa"/>
            <w:shd w:val="clear" w:color="auto" w:fill="auto"/>
          </w:tcPr>
          <w:p w14:paraId="29C2E626" w14:textId="77777777" w:rsidR="003E3D07" w:rsidRDefault="003E3D07">
            <w:pPr>
              <w:pStyle w:val="TableText"/>
              <w:rPr>
                <w:rFonts w:eastAsia="Symbol"/>
              </w:rPr>
            </w:pPr>
            <w:r>
              <w:t>None</w:t>
            </w:r>
          </w:p>
        </w:tc>
        <w:tc>
          <w:tcPr>
            <w:tcW w:w="878" w:type="dxa"/>
            <w:shd w:val="clear" w:color="auto" w:fill="auto"/>
          </w:tcPr>
          <w:p w14:paraId="3504026B" w14:textId="77777777" w:rsidR="003E3D07" w:rsidRDefault="003E3D07">
            <w:pPr>
              <w:pStyle w:val="TableText"/>
            </w:pPr>
            <w:r>
              <w:t>No</w:t>
            </w:r>
          </w:p>
        </w:tc>
        <w:tc>
          <w:tcPr>
            <w:tcW w:w="878" w:type="dxa"/>
            <w:shd w:val="clear" w:color="auto" w:fill="auto"/>
          </w:tcPr>
          <w:p w14:paraId="75DD88B4" w14:textId="77777777" w:rsidR="003E3D07" w:rsidRDefault="003E3D07">
            <w:pPr>
              <w:pStyle w:val="TableText"/>
              <w:rPr>
                <w:rFonts w:eastAsia="Symbol"/>
              </w:rPr>
            </w:pPr>
            <w:r>
              <w:t>Optional</w:t>
            </w:r>
          </w:p>
        </w:tc>
        <w:tc>
          <w:tcPr>
            <w:tcW w:w="1253" w:type="dxa"/>
            <w:shd w:val="clear" w:color="auto" w:fill="auto"/>
          </w:tcPr>
          <w:p w14:paraId="4ED24652" w14:textId="77777777" w:rsidR="003E3D07" w:rsidRDefault="003E3D07">
            <w:pPr>
              <w:pStyle w:val="TableText"/>
              <w:rPr>
                <w:rFonts w:eastAsia="Symbol"/>
              </w:rPr>
            </w:pPr>
            <w:r>
              <w:t>Yk(a)</w:t>
            </w:r>
          </w:p>
        </w:tc>
        <w:tc>
          <w:tcPr>
            <w:tcW w:w="1253" w:type="dxa"/>
            <w:shd w:val="clear" w:color="auto" w:fill="auto"/>
          </w:tcPr>
          <w:p w14:paraId="73E0850A" w14:textId="77777777" w:rsidR="003E3D07" w:rsidRDefault="003E3D07">
            <w:pPr>
              <w:pStyle w:val="TableText"/>
            </w:pPr>
            <w:r>
              <w:t>None</w:t>
            </w:r>
          </w:p>
        </w:tc>
        <w:tc>
          <w:tcPr>
            <w:tcW w:w="1296" w:type="dxa"/>
            <w:shd w:val="clear" w:color="auto" w:fill="auto"/>
          </w:tcPr>
          <w:p w14:paraId="075CB4E4" w14:textId="77777777" w:rsidR="003E3D07" w:rsidRDefault="003E3D07">
            <w:pPr>
              <w:pStyle w:val="TableText"/>
              <w:rPr>
                <w:rFonts w:eastAsia="Symbol"/>
              </w:rPr>
            </w:pPr>
            <w:r>
              <w:t>4</w:t>
            </w:r>
          </w:p>
        </w:tc>
        <w:tc>
          <w:tcPr>
            <w:tcW w:w="1296" w:type="dxa"/>
            <w:shd w:val="clear" w:color="auto" w:fill="auto"/>
          </w:tcPr>
          <w:p w14:paraId="0A9443CE" w14:textId="77777777" w:rsidR="003E3D07" w:rsidRDefault="003E3D07">
            <w:pPr>
              <w:pStyle w:val="TableText"/>
            </w:pPr>
            <w:r>
              <w:t>AGYk(a)</w:t>
            </w:r>
          </w:p>
        </w:tc>
      </w:tr>
      <w:tr w:rsidR="00824338" w14:paraId="705DD3BE" w14:textId="77777777">
        <w:tblPrEx>
          <w:tblBorders>
            <w:insideH w:val="single" w:sz="4" w:space="0" w:color="auto"/>
            <w:insideV w:val="single" w:sz="4" w:space="0" w:color="auto"/>
          </w:tblBorders>
        </w:tblPrEx>
        <w:tc>
          <w:tcPr>
            <w:tcW w:w="1253" w:type="dxa"/>
            <w:shd w:val="clear" w:color="auto" w:fill="auto"/>
          </w:tcPr>
          <w:p w14:paraId="34E277EE" w14:textId="77777777" w:rsidR="003E3D07" w:rsidRDefault="003E3D07">
            <w:pPr>
              <w:pStyle w:val="TableText"/>
              <w:rPr>
                <w:rFonts w:eastAsia="Symbol"/>
              </w:rPr>
            </w:pPr>
            <w:r>
              <w:t>Anti-Kn(a)</w:t>
            </w:r>
          </w:p>
        </w:tc>
        <w:tc>
          <w:tcPr>
            <w:tcW w:w="1253" w:type="dxa"/>
            <w:shd w:val="clear" w:color="auto" w:fill="auto"/>
          </w:tcPr>
          <w:p w14:paraId="6F1FBB40" w14:textId="77777777" w:rsidR="003E3D07" w:rsidRDefault="003E3D07">
            <w:pPr>
              <w:pStyle w:val="TableText"/>
              <w:rPr>
                <w:rFonts w:eastAsia="Symbol"/>
              </w:rPr>
            </w:pPr>
            <w:r>
              <w:t>None</w:t>
            </w:r>
          </w:p>
        </w:tc>
        <w:tc>
          <w:tcPr>
            <w:tcW w:w="878" w:type="dxa"/>
            <w:shd w:val="clear" w:color="auto" w:fill="auto"/>
          </w:tcPr>
          <w:p w14:paraId="2F5F85A1" w14:textId="77777777" w:rsidR="003E3D07" w:rsidRDefault="003E3D07">
            <w:pPr>
              <w:pStyle w:val="TableText"/>
            </w:pPr>
            <w:r>
              <w:t>No</w:t>
            </w:r>
          </w:p>
        </w:tc>
        <w:tc>
          <w:tcPr>
            <w:tcW w:w="878" w:type="dxa"/>
            <w:shd w:val="clear" w:color="auto" w:fill="auto"/>
          </w:tcPr>
          <w:p w14:paraId="7E96433B" w14:textId="77777777" w:rsidR="003E3D07" w:rsidRDefault="003E3D07">
            <w:pPr>
              <w:pStyle w:val="TableText"/>
              <w:rPr>
                <w:rFonts w:eastAsia="Symbol"/>
              </w:rPr>
            </w:pPr>
            <w:r>
              <w:t>Optional</w:t>
            </w:r>
          </w:p>
        </w:tc>
        <w:tc>
          <w:tcPr>
            <w:tcW w:w="1253" w:type="dxa"/>
            <w:shd w:val="clear" w:color="auto" w:fill="auto"/>
          </w:tcPr>
          <w:p w14:paraId="659E3527" w14:textId="77777777" w:rsidR="003E3D07" w:rsidRDefault="003E3D07">
            <w:pPr>
              <w:pStyle w:val="TableText"/>
              <w:rPr>
                <w:rFonts w:eastAsia="Symbol"/>
              </w:rPr>
            </w:pPr>
            <w:r>
              <w:t>Kn(a)</w:t>
            </w:r>
          </w:p>
        </w:tc>
        <w:tc>
          <w:tcPr>
            <w:tcW w:w="1253" w:type="dxa"/>
            <w:shd w:val="clear" w:color="auto" w:fill="auto"/>
          </w:tcPr>
          <w:p w14:paraId="016A09CA" w14:textId="77777777" w:rsidR="003E3D07" w:rsidRDefault="003E3D07">
            <w:pPr>
              <w:pStyle w:val="TableText"/>
            </w:pPr>
            <w:r>
              <w:t>None</w:t>
            </w:r>
          </w:p>
        </w:tc>
        <w:tc>
          <w:tcPr>
            <w:tcW w:w="1296" w:type="dxa"/>
            <w:shd w:val="clear" w:color="auto" w:fill="auto"/>
          </w:tcPr>
          <w:p w14:paraId="5C063E15" w14:textId="77777777" w:rsidR="003E3D07" w:rsidRDefault="003E3D07">
            <w:pPr>
              <w:pStyle w:val="TableText"/>
              <w:rPr>
                <w:rFonts w:eastAsia="Symbol"/>
              </w:rPr>
            </w:pPr>
            <w:r>
              <w:t>1</w:t>
            </w:r>
          </w:p>
        </w:tc>
        <w:tc>
          <w:tcPr>
            <w:tcW w:w="1296" w:type="dxa"/>
            <w:shd w:val="clear" w:color="auto" w:fill="auto"/>
          </w:tcPr>
          <w:p w14:paraId="76889234" w14:textId="77777777" w:rsidR="003E3D07" w:rsidRDefault="003E3D07">
            <w:pPr>
              <w:pStyle w:val="TableText"/>
            </w:pPr>
            <w:r>
              <w:t>AGKn(a)</w:t>
            </w:r>
          </w:p>
        </w:tc>
      </w:tr>
      <w:tr w:rsidR="00824338" w14:paraId="7275D38E" w14:textId="77777777">
        <w:tblPrEx>
          <w:tblBorders>
            <w:insideH w:val="single" w:sz="4" w:space="0" w:color="auto"/>
            <w:insideV w:val="single" w:sz="4" w:space="0" w:color="auto"/>
          </w:tblBorders>
        </w:tblPrEx>
        <w:tc>
          <w:tcPr>
            <w:tcW w:w="1253" w:type="dxa"/>
            <w:shd w:val="clear" w:color="auto" w:fill="auto"/>
          </w:tcPr>
          <w:p w14:paraId="5A910DCB" w14:textId="77777777" w:rsidR="003E3D07" w:rsidRDefault="003E3D07">
            <w:pPr>
              <w:pStyle w:val="TableText"/>
              <w:rPr>
                <w:rFonts w:eastAsia="Symbol"/>
              </w:rPr>
            </w:pPr>
            <w:r>
              <w:t>Anti-McC(a)</w:t>
            </w:r>
          </w:p>
        </w:tc>
        <w:tc>
          <w:tcPr>
            <w:tcW w:w="1253" w:type="dxa"/>
            <w:shd w:val="clear" w:color="auto" w:fill="auto"/>
          </w:tcPr>
          <w:p w14:paraId="09CB02A3" w14:textId="77777777" w:rsidR="003E3D07" w:rsidRDefault="003E3D07">
            <w:pPr>
              <w:pStyle w:val="TableText"/>
            </w:pPr>
            <w:r>
              <w:t>None</w:t>
            </w:r>
          </w:p>
        </w:tc>
        <w:tc>
          <w:tcPr>
            <w:tcW w:w="878" w:type="dxa"/>
            <w:shd w:val="clear" w:color="auto" w:fill="auto"/>
          </w:tcPr>
          <w:p w14:paraId="4C30CB2E" w14:textId="77777777" w:rsidR="003E3D07" w:rsidRDefault="003E3D07">
            <w:pPr>
              <w:pStyle w:val="TableText"/>
            </w:pPr>
            <w:r>
              <w:t>No</w:t>
            </w:r>
          </w:p>
        </w:tc>
        <w:tc>
          <w:tcPr>
            <w:tcW w:w="878" w:type="dxa"/>
            <w:shd w:val="clear" w:color="auto" w:fill="auto"/>
          </w:tcPr>
          <w:p w14:paraId="06EF84BF" w14:textId="77777777" w:rsidR="003E3D07" w:rsidRDefault="003E3D07">
            <w:pPr>
              <w:pStyle w:val="TableText"/>
              <w:rPr>
                <w:rFonts w:eastAsia="Symbol"/>
              </w:rPr>
            </w:pPr>
            <w:r>
              <w:t>Optional</w:t>
            </w:r>
          </w:p>
        </w:tc>
        <w:tc>
          <w:tcPr>
            <w:tcW w:w="1253" w:type="dxa"/>
            <w:shd w:val="clear" w:color="auto" w:fill="auto"/>
          </w:tcPr>
          <w:p w14:paraId="2DC44F7B" w14:textId="77777777" w:rsidR="003E3D07" w:rsidRDefault="003E3D07">
            <w:pPr>
              <w:pStyle w:val="TableText"/>
              <w:rPr>
                <w:rFonts w:eastAsia="Symbol"/>
              </w:rPr>
            </w:pPr>
            <w:r>
              <w:t>McC(a)</w:t>
            </w:r>
          </w:p>
        </w:tc>
        <w:tc>
          <w:tcPr>
            <w:tcW w:w="1253" w:type="dxa"/>
            <w:shd w:val="clear" w:color="auto" w:fill="auto"/>
          </w:tcPr>
          <w:p w14:paraId="5F29EF15" w14:textId="77777777" w:rsidR="003E3D07" w:rsidRDefault="003E3D07">
            <w:pPr>
              <w:pStyle w:val="TableText"/>
            </w:pPr>
            <w:r>
              <w:t>None</w:t>
            </w:r>
          </w:p>
        </w:tc>
        <w:tc>
          <w:tcPr>
            <w:tcW w:w="1296" w:type="dxa"/>
            <w:shd w:val="clear" w:color="auto" w:fill="auto"/>
          </w:tcPr>
          <w:p w14:paraId="66C5EAD1" w14:textId="77777777" w:rsidR="003E3D07" w:rsidRDefault="003E3D07">
            <w:pPr>
              <w:pStyle w:val="TableText"/>
              <w:rPr>
                <w:rFonts w:eastAsia="Symbol"/>
              </w:rPr>
            </w:pPr>
            <w:r>
              <w:t>1</w:t>
            </w:r>
          </w:p>
        </w:tc>
        <w:tc>
          <w:tcPr>
            <w:tcW w:w="1296" w:type="dxa"/>
            <w:shd w:val="clear" w:color="auto" w:fill="auto"/>
          </w:tcPr>
          <w:p w14:paraId="51CE4D3C" w14:textId="77777777" w:rsidR="003E3D07" w:rsidRDefault="003E3D07">
            <w:pPr>
              <w:pStyle w:val="TableText"/>
            </w:pPr>
            <w:r>
              <w:t>AGMcC(a)</w:t>
            </w:r>
          </w:p>
        </w:tc>
      </w:tr>
      <w:tr w:rsidR="00824338" w14:paraId="0352CFBC" w14:textId="77777777">
        <w:tblPrEx>
          <w:tblBorders>
            <w:insideH w:val="single" w:sz="4" w:space="0" w:color="auto"/>
            <w:insideV w:val="single" w:sz="4" w:space="0" w:color="auto"/>
          </w:tblBorders>
        </w:tblPrEx>
        <w:tc>
          <w:tcPr>
            <w:tcW w:w="1253" w:type="dxa"/>
            <w:shd w:val="clear" w:color="auto" w:fill="auto"/>
          </w:tcPr>
          <w:p w14:paraId="2D41E9D8" w14:textId="77777777" w:rsidR="003E3D07" w:rsidRDefault="003E3D07" w:rsidP="009C5939">
            <w:pPr>
              <w:pStyle w:val="TableText"/>
              <w:rPr>
                <w:rFonts w:eastAsia="Symbol"/>
              </w:rPr>
            </w:pPr>
            <w:r>
              <w:t>Anti-JMH</w:t>
            </w:r>
          </w:p>
        </w:tc>
        <w:tc>
          <w:tcPr>
            <w:tcW w:w="1253" w:type="dxa"/>
            <w:shd w:val="clear" w:color="auto" w:fill="auto"/>
          </w:tcPr>
          <w:p w14:paraId="54B4D5AA" w14:textId="77777777" w:rsidR="003E3D07" w:rsidRDefault="003E3D07" w:rsidP="009C5939">
            <w:pPr>
              <w:pStyle w:val="TableText"/>
            </w:pPr>
            <w:r>
              <w:t>None</w:t>
            </w:r>
          </w:p>
        </w:tc>
        <w:tc>
          <w:tcPr>
            <w:tcW w:w="878" w:type="dxa"/>
            <w:shd w:val="clear" w:color="auto" w:fill="auto"/>
          </w:tcPr>
          <w:p w14:paraId="3875BE90" w14:textId="77777777" w:rsidR="003E3D07" w:rsidRDefault="003E3D07" w:rsidP="009C5939">
            <w:pPr>
              <w:pStyle w:val="TableText"/>
            </w:pPr>
            <w:r>
              <w:t>No</w:t>
            </w:r>
          </w:p>
        </w:tc>
        <w:tc>
          <w:tcPr>
            <w:tcW w:w="878" w:type="dxa"/>
            <w:shd w:val="clear" w:color="auto" w:fill="auto"/>
          </w:tcPr>
          <w:p w14:paraId="181C720E" w14:textId="77777777" w:rsidR="003E3D07" w:rsidRDefault="003E3D07" w:rsidP="009C5939">
            <w:pPr>
              <w:pStyle w:val="TableText"/>
              <w:rPr>
                <w:rFonts w:eastAsia="Symbol"/>
              </w:rPr>
            </w:pPr>
            <w:r>
              <w:t>Optional</w:t>
            </w:r>
          </w:p>
        </w:tc>
        <w:tc>
          <w:tcPr>
            <w:tcW w:w="1253" w:type="dxa"/>
            <w:shd w:val="clear" w:color="auto" w:fill="auto"/>
          </w:tcPr>
          <w:p w14:paraId="16505177" w14:textId="77777777" w:rsidR="003E3D07" w:rsidRDefault="003E3D07" w:rsidP="009C5939">
            <w:pPr>
              <w:pStyle w:val="TableText"/>
              <w:rPr>
                <w:rFonts w:eastAsia="Symbol"/>
              </w:rPr>
            </w:pPr>
            <w:r>
              <w:t>JMH</w:t>
            </w:r>
          </w:p>
        </w:tc>
        <w:tc>
          <w:tcPr>
            <w:tcW w:w="1253" w:type="dxa"/>
            <w:shd w:val="clear" w:color="auto" w:fill="auto"/>
          </w:tcPr>
          <w:p w14:paraId="2251F58F" w14:textId="77777777" w:rsidR="003E3D07" w:rsidRDefault="003E3D07" w:rsidP="009C5939">
            <w:pPr>
              <w:pStyle w:val="TableText"/>
            </w:pPr>
            <w:r>
              <w:t>None</w:t>
            </w:r>
          </w:p>
        </w:tc>
        <w:tc>
          <w:tcPr>
            <w:tcW w:w="1296" w:type="dxa"/>
            <w:shd w:val="clear" w:color="auto" w:fill="auto"/>
          </w:tcPr>
          <w:p w14:paraId="3D4632AF" w14:textId="77777777" w:rsidR="003E3D07" w:rsidRDefault="003E3D07" w:rsidP="009C5939">
            <w:pPr>
              <w:pStyle w:val="TableText"/>
              <w:rPr>
                <w:rFonts w:eastAsia="Symbol"/>
              </w:rPr>
            </w:pPr>
            <w:r>
              <w:t>1</w:t>
            </w:r>
          </w:p>
        </w:tc>
        <w:tc>
          <w:tcPr>
            <w:tcW w:w="1296" w:type="dxa"/>
            <w:shd w:val="clear" w:color="auto" w:fill="auto"/>
          </w:tcPr>
          <w:p w14:paraId="49134535" w14:textId="77777777" w:rsidR="003E3D07" w:rsidRDefault="003E3D07" w:rsidP="009C5939">
            <w:pPr>
              <w:pStyle w:val="TableText"/>
            </w:pPr>
            <w:r>
              <w:t>AGJMH</w:t>
            </w:r>
          </w:p>
        </w:tc>
      </w:tr>
      <w:tr w:rsidR="00824338" w14:paraId="5C81B15E" w14:textId="77777777">
        <w:tblPrEx>
          <w:tblBorders>
            <w:insideH w:val="single" w:sz="4" w:space="0" w:color="auto"/>
            <w:insideV w:val="single" w:sz="4" w:space="0" w:color="auto"/>
          </w:tblBorders>
        </w:tblPrEx>
        <w:tc>
          <w:tcPr>
            <w:tcW w:w="1253" w:type="dxa"/>
            <w:shd w:val="clear" w:color="auto" w:fill="auto"/>
          </w:tcPr>
          <w:p w14:paraId="1AF80BBB" w14:textId="77777777" w:rsidR="003E3D07" w:rsidRDefault="003E3D07" w:rsidP="009C5939">
            <w:pPr>
              <w:pStyle w:val="TableText"/>
              <w:rPr>
                <w:rFonts w:eastAsia="Symbol"/>
              </w:rPr>
            </w:pPr>
            <w:r>
              <w:t>Anti-Yt(a)</w:t>
            </w:r>
          </w:p>
        </w:tc>
        <w:tc>
          <w:tcPr>
            <w:tcW w:w="1253" w:type="dxa"/>
            <w:shd w:val="clear" w:color="auto" w:fill="auto"/>
          </w:tcPr>
          <w:p w14:paraId="38E6D3C3" w14:textId="77777777" w:rsidR="003E3D07" w:rsidRDefault="003E3D07" w:rsidP="009C5939">
            <w:pPr>
              <w:pStyle w:val="TableText"/>
              <w:rPr>
                <w:rFonts w:eastAsia="Symbol"/>
              </w:rPr>
            </w:pPr>
            <w:r>
              <w:t>None</w:t>
            </w:r>
          </w:p>
        </w:tc>
        <w:tc>
          <w:tcPr>
            <w:tcW w:w="878" w:type="dxa"/>
            <w:shd w:val="clear" w:color="auto" w:fill="auto"/>
          </w:tcPr>
          <w:p w14:paraId="0A56AD9E" w14:textId="77777777" w:rsidR="003E3D07" w:rsidRDefault="003E3D07" w:rsidP="009C5939">
            <w:pPr>
              <w:pStyle w:val="TableText"/>
            </w:pPr>
            <w:r>
              <w:t>No</w:t>
            </w:r>
          </w:p>
        </w:tc>
        <w:tc>
          <w:tcPr>
            <w:tcW w:w="878" w:type="dxa"/>
            <w:shd w:val="clear" w:color="auto" w:fill="auto"/>
          </w:tcPr>
          <w:p w14:paraId="3A4F4EB4" w14:textId="77777777" w:rsidR="003E3D07" w:rsidRDefault="003E3D07" w:rsidP="009C5939">
            <w:pPr>
              <w:pStyle w:val="TableText"/>
              <w:rPr>
                <w:rFonts w:eastAsia="Symbol"/>
              </w:rPr>
            </w:pPr>
            <w:r>
              <w:t>Optional</w:t>
            </w:r>
          </w:p>
        </w:tc>
        <w:tc>
          <w:tcPr>
            <w:tcW w:w="1253" w:type="dxa"/>
            <w:shd w:val="clear" w:color="auto" w:fill="auto"/>
          </w:tcPr>
          <w:p w14:paraId="0F8B3419" w14:textId="77777777" w:rsidR="003E3D07" w:rsidRDefault="003E3D07" w:rsidP="009C5939">
            <w:pPr>
              <w:pStyle w:val="TableText"/>
              <w:rPr>
                <w:rFonts w:eastAsia="Symbol"/>
              </w:rPr>
            </w:pPr>
            <w:r>
              <w:t>Yt(a)</w:t>
            </w:r>
          </w:p>
        </w:tc>
        <w:tc>
          <w:tcPr>
            <w:tcW w:w="1253" w:type="dxa"/>
            <w:shd w:val="clear" w:color="auto" w:fill="auto"/>
          </w:tcPr>
          <w:p w14:paraId="6A5A5B5A" w14:textId="77777777" w:rsidR="003E3D07" w:rsidRDefault="003E3D07" w:rsidP="009C5939">
            <w:pPr>
              <w:pStyle w:val="TableText"/>
              <w:rPr>
                <w:rFonts w:eastAsia="Symbol"/>
              </w:rPr>
            </w:pPr>
            <w:r>
              <w:t>None</w:t>
            </w:r>
          </w:p>
        </w:tc>
        <w:tc>
          <w:tcPr>
            <w:tcW w:w="1296" w:type="dxa"/>
            <w:shd w:val="clear" w:color="auto" w:fill="auto"/>
          </w:tcPr>
          <w:p w14:paraId="276F7559" w14:textId="77777777" w:rsidR="003E3D07" w:rsidRDefault="003E3D07" w:rsidP="009C5939">
            <w:pPr>
              <w:pStyle w:val="TableText"/>
              <w:rPr>
                <w:rFonts w:eastAsia="Symbol"/>
              </w:rPr>
            </w:pPr>
            <w:r>
              <w:t>1</w:t>
            </w:r>
          </w:p>
        </w:tc>
        <w:tc>
          <w:tcPr>
            <w:tcW w:w="1296" w:type="dxa"/>
            <w:shd w:val="clear" w:color="auto" w:fill="auto"/>
          </w:tcPr>
          <w:p w14:paraId="79F58F27" w14:textId="77777777" w:rsidR="003E3D07" w:rsidRDefault="003E3D07" w:rsidP="009C5939">
            <w:pPr>
              <w:pStyle w:val="TableText"/>
              <w:rPr>
                <w:rFonts w:eastAsia="Symbol"/>
              </w:rPr>
            </w:pPr>
            <w:r>
              <w:t>AGYt(a)</w:t>
            </w:r>
          </w:p>
        </w:tc>
      </w:tr>
      <w:tr w:rsidR="00824338" w14:paraId="30CF6168" w14:textId="77777777">
        <w:tblPrEx>
          <w:tblBorders>
            <w:insideH w:val="single" w:sz="4" w:space="0" w:color="auto"/>
            <w:insideV w:val="single" w:sz="4" w:space="0" w:color="auto"/>
          </w:tblBorders>
        </w:tblPrEx>
        <w:tc>
          <w:tcPr>
            <w:tcW w:w="1253" w:type="dxa"/>
            <w:shd w:val="clear" w:color="auto" w:fill="auto"/>
          </w:tcPr>
          <w:p w14:paraId="767E5A0E" w14:textId="77777777" w:rsidR="003E3D07" w:rsidRDefault="003E3D07" w:rsidP="009C5939">
            <w:pPr>
              <w:pStyle w:val="TableText"/>
              <w:rPr>
                <w:rFonts w:eastAsia="Symbol"/>
              </w:rPr>
            </w:pPr>
            <w:r>
              <w:t>Anti-Yt(b)</w:t>
            </w:r>
          </w:p>
        </w:tc>
        <w:tc>
          <w:tcPr>
            <w:tcW w:w="1253" w:type="dxa"/>
            <w:shd w:val="clear" w:color="auto" w:fill="auto"/>
          </w:tcPr>
          <w:p w14:paraId="6851D567" w14:textId="77777777" w:rsidR="003E3D07" w:rsidRDefault="003E3D07" w:rsidP="009C5939">
            <w:pPr>
              <w:pStyle w:val="TableText"/>
              <w:rPr>
                <w:rFonts w:eastAsia="Symbol"/>
              </w:rPr>
            </w:pPr>
            <w:r>
              <w:t>None</w:t>
            </w:r>
          </w:p>
        </w:tc>
        <w:tc>
          <w:tcPr>
            <w:tcW w:w="878" w:type="dxa"/>
            <w:shd w:val="clear" w:color="auto" w:fill="auto"/>
          </w:tcPr>
          <w:p w14:paraId="2674B63F" w14:textId="77777777" w:rsidR="003E3D07" w:rsidRDefault="003E3D07" w:rsidP="009C5939">
            <w:pPr>
              <w:pStyle w:val="TableText"/>
            </w:pPr>
            <w:r>
              <w:t>No</w:t>
            </w:r>
          </w:p>
        </w:tc>
        <w:tc>
          <w:tcPr>
            <w:tcW w:w="878" w:type="dxa"/>
            <w:shd w:val="clear" w:color="auto" w:fill="auto"/>
          </w:tcPr>
          <w:p w14:paraId="668062F4" w14:textId="77777777" w:rsidR="003E3D07" w:rsidRDefault="003E3D07" w:rsidP="009C5939">
            <w:pPr>
              <w:pStyle w:val="TableText"/>
              <w:rPr>
                <w:rFonts w:eastAsia="Symbol"/>
              </w:rPr>
            </w:pPr>
            <w:r>
              <w:t>Optional</w:t>
            </w:r>
          </w:p>
        </w:tc>
        <w:tc>
          <w:tcPr>
            <w:tcW w:w="1253" w:type="dxa"/>
            <w:shd w:val="clear" w:color="auto" w:fill="auto"/>
          </w:tcPr>
          <w:p w14:paraId="66612333" w14:textId="77777777" w:rsidR="003E3D07" w:rsidRDefault="003E3D07" w:rsidP="009C5939">
            <w:pPr>
              <w:pStyle w:val="TableText"/>
              <w:rPr>
                <w:rFonts w:eastAsia="Symbol"/>
              </w:rPr>
            </w:pPr>
            <w:r>
              <w:t>Yt(b)</w:t>
            </w:r>
          </w:p>
        </w:tc>
        <w:tc>
          <w:tcPr>
            <w:tcW w:w="1253" w:type="dxa"/>
            <w:shd w:val="clear" w:color="auto" w:fill="auto"/>
          </w:tcPr>
          <w:p w14:paraId="37903F55" w14:textId="77777777" w:rsidR="003E3D07" w:rsidRDefault="003E3D07" w:rsidP="009C5939">
            <w:pPr>
              <w:pStyle w:val="TableText"/>
              <w:rPr>
                <w:rFonts w:eastAsia="Symbol"/>
              </w:rPr>
            </w:pPr>
            <w:r>
              <w:t>None</w:t>
            </w:r>
          </w:p>
        </w:tc>
        <w:tc>
          <w:tcPr>
            <w:tcW w:w="1296" w:type="dxa"/>
            <w:shd w:val="clear" w:color="auto" w:fill="auto"/>
          </w:tcPr>
          <w:p w14:paraId="33DA779F" w14:textId="77777777" w:rsidR="003E3D07" w:rsidRDefault="003E3D07" w:rsidP="009C5939">
            <w:pPr>
              <w:pStyle w:val="TableText"/>
              <w:rPr>
                <w:rFonts w:eastAsia="Symbol"/>
              </w:rPr>
            </w:pPr>
            <w:r>
              <w:t>92</w:t>
            </w:r>
          </w:p>
        </w:tc>
        <w:tc>
          <w:tcPr>
            <w:tcW w:w="1296" w:type="dxa"/>
            <w:shd w:val="clear" w:color="auto" w:fill="auto"/>
          </w:tcPr>
          <w:p w14:paraId="5F2BDD23" w14:textId="77777777" w:rsidR="003E3D07" w:rsidRDefault="003E3D07" w:rsidP="009C5939">
            <w:pPr>
              <w:pStyle w:val="TableText"/>
              <w:rPr>
                <w:rFonts w:eastAsia="Symbol"/>
              </w:rPr>
            </w:pPr>
            <w:r>
              <w:t>AGYt(b)</w:t>
            </w:r>
          </w:p>
        </w:tc>
      </w:tr>
      <w:tr w:rsidR="00824338" w14:paraId="67FC33DF" w14:textId="77777777">
        <w:tblPrEx>
          <w:tblBorders>
            <w:insideH w:val="single" w:sz="4" w:space="0" w:color="auto"/>
            <w:insideV w:val="single" w:sz="4" w:space="0" w:color="auto"/>
          </w:tblBorders>
        </w:tblPrEx>
        <w:tc>
          <w:tcPr>
            <w:tcW w:w="1253" w:type="dxa"/>
            <w:shd w:val="clear" w:color="auto" w:fill="auto"/>
          </w:tcPr>
          <w:p w14:paraId="1ED89685" w14:textId="77777777" w:rsidR="003E3D07" w:rsidRDefault="003E3D07" w:rsidP="009C5939">
            <w:pPr>
              <w:pStyle w:val="TableText"/>
              <w:rPr>
                <w:rFonts w:eastAsia="Symbol"/>
              </w:rPr>
            </w:pPr>
            <w:r>
              <w:t>HTLA (probable)</w:t>
            </w:r>
          </w:p>
        </w:tc>
        <w:tc>
          <w:tcPr>
            <w:tcW w:w="1253" w:type="dxa"/>
            <w:shd w:val="clear" w:color="auto" w:fill="auto"/>
          </w:tcPr>
          <w:p w14:paraId="76132795" w14:textId="77777777" w:rsidR="003E3D07" w:rsidRDefault="003E3D07" w:rsidP="009C5939">
            <w:pPr>
              <w:pStyle w:val="TableText"/>
            </w:pPr>
            <w:r>
              <w:t>None</w:t>
            </w:r>
          </w:p>
        </w:tc>
        <w:tc>
          <w:tcPr>
            <w:tcW w:w="878" w:type="dxa"/>
            <w:shd w:val="clear" w:color="auto" w:fill="auto"/>
          </w:tcPr>
          <w:p w14:paraId="57E272F8" w14:textId="77777777" w:rsidR="003E3D07" w:rsidRDefault="003E3D07" w:rsidP="009C5939">
            <w:pPr>
              <w:pStyle w:val="TableText"/>
            </w:pPr>
            <w:r>
              <w:t>No</w:t>
            </w:r>
          </w:p>
        </w:tc>
        <w:tc>
          <w:tcPr>
            <w:tcW w:w="878" w:type="dxa"/>
            <w:shd w:val="clear" w:color="auto" w:fill="auto"/>
          </w:tcPr>
          <w:p w14:paraId="2561670B" w14:textId="77777777" w:rsidR="003E3D07" w:rsidRDefault="003E3D07" w:rsidP="009C5939">
            <w:pPr>
              <w:pStyle w:val="TableText"/>
              <w:rPr>
                <w:rFonts w:eastAsia="Symbol"/>
              </w:rPr>
            </w:pPr>
            <w:r>
              <w:t>No</w:t>
            </w:r>
          </w:p>
        </w:tc>
        <w:tc>
          <w:tcPr>
            <w:tcW w:w="1253" w:type="dxa"/>
            <w:shd w:val="clear" w:color="auto" w:fill="auto"/>
          </w:tcPr>
          <w:p w14:paraId="24BAC765" w14:textId="77777777" w:rsidR="003E3D07" w:rsidRDefault="003E3D07" w:rsidP="009C5939">
            <w:pPr>
              <w:pStyle w:val="TableText"/>
              <w:rPr>
                <w:rFonts w:eastAsia="Symbol"/>
              </w:rPr>
            </w:pPr>
            <w:r>
              <w:t>None</w:t>
            </w:r>
          </w:p>
        </w:tc>
        <w:tc>
          <w:tcPr>
            <w:tcW w:w="1253" w:type="dxa"/>
            <w:shd w:val="clear" w:color="auto" w:fill="auto"/>
          </w:tcPr>
          <w:p w14:paraId="2C804296" w14:textId="77777777" w:rsidR="003E3D07" w:rsidRDefault="003E3D07" w:rsidP="009C5939">
            <w:pPr>
              <w:pStyle w:val="TableText"/>
              <w:rPr>
                <w:rFonts w:eastAsia="Symbol"/>
              </w:rPr>
            </w:pPr>
            <w:r>
              <w:t>None</w:t>
            </w:r>
          </w:p>
        </w:tc>
        <w:tc>
          <w:tcPr>
            <w:tcW w:w="1296" w:type="dxa"/>
            <w:shd w:val="clear" w:color="auto" w:fill="auto"/>
          </w:tcPr>
          <w:p w14:paraId="4F87469D" w14:textId="77777777" w:rsidR="003E3D07" w:rsidRDefault="003E3D07" w:rsidP="009C5939">
            <w:pPr>
              <w:pStyle w:val="TableText"/>
              <w:rPr>
                <w:rFonts w:eastAsia="Symbol"/>
              </w:rPr>
            </w:pPr>
            <w:r>
              <w:rPr>
                <w:rFonts w:eastAsia="Symbol"/>
              </w:rPr>
              <w:t>0</w:t>
            </w:r>
          </w:p>
        </w:tc>
        <w:tc>
          <w:tcPr>
            <w:tcW w:w="1296" w:type="dxa"/>
            <w:vMerge w:val="restart"/>
            <w:shd w:val="clear" w:color="auto" w:fill="auto"/>
          </w:tcPr>
          <w:p w14:paraId="13ACD1E0" w14:textId="77777777" w:rsidR="003E3D07" w:rsidRDefault="003E3D07" w:rsidP="009C5939">
            <w:pPr>
              <w:pStyle w:val="TableText"/>
            </w:pPr>
            <w:r>
              <w:rPr>
                <w:rFonts w:eastAsia="Symbol"/>
              </w:rPr>
              <w:t>None</w:t>
            </w:r>
          </w:p>
        </w:tc>
      </w:tr>
      <w:tr w:rsidR="00824338" w14:paraId="7845CE28" w14:textId="77777777">
        <w:tblPrEx>
          <w:tblBorders>
            <w:insideH w:val="single" w:sz="4" w:space="0" w:color="auto"/>
            <w:insideV w:val="single" w:sz="4" w:space="0" w:color="auto"/>
          </w:tblBorders>
        </w:tblPrEx>
        <w:tc>
          <w:tcPr>
            <w:tcW w:w="1253" w:type="dxa"/>
            <w:shd w:val="clear" w:color="auto" w:fill="auto"/>
          </w:tcPr>
          <w:p w14:paraId="515EE660" w14:textId="77777777" w:rsidR="003E3D07" w:rsidRDefault="003E3D07" w:rsidP="009C5939">
            <w:pPr>
              <w:pStyle w:val="TableText"/>
            </w:pPr>
            <w:r>
              <w:t>Antibody, No Specificity</w:t>
            </w:r>
          </w:p>
          <w:p w14:paraId="40B8CE16" w14:textId="77777777" w:rsidR="003E3D07" w:rsidRDefault="003E3D07" w:rsidP="009C5939">
            <w:pPr>
              <w:pStyle w:val="TableText"/>
              <w:rPr>
                <w:sz w:val="20"/>
              </w:rPr>
            </w:pPr>
            <w:r>
              <w:t>Identified</w:t>
            </w:r>
          </w:p>
        </w:tc>
        <w:tc>
          <w:tcPr>
            <w:tcW w:w="1253" w:type="dxa"/>
            <w:shd w:val="clear" w:color="auto" w:fill="auto"/>
          </w:tcPr>
          <w:p w14:paraId="0CC6FA56" w14:textId="77777777" w:rsidR="003E3D07" w:rsidRDefault="003E3D07" w:rsidP="009C5939">
            <w:pPr>
              <w:pStyle w:val="TableText"/>
              <w:rPr>
                <w:sz w:val="20"/>
              </w:rPr>
            </w:pPr>
            <w:r>
              <w:t>Antibody (not otherwise specified)</w:t>
            </w:r>
          </w:p>
        </w:tc>
        <w:tc>
          <w:tcPr>
            <w:tcW w:w="878" w:type="dxa"/>
            <w:shd w:val="clear" w:color="auto" w:fill="auto"/>
          </w:tcPr>
          <w:p w14:paraId="487E6EA3" w14:textId="77777777" w:rsidR="003E3D07" w:rsidRDefault="003E3D07" w:rsidP="009C5939">
            <w:pPr>
              <w:pStyle w:val="TableText"/>
            </w:pPr>
            <w:r>
              <w:t>Unknown</w:t>
            </w:r>
            <w:r w:rsidR="00191509" w:rsidRPr="00191509">
              <w:rPr>
                <w:szCs w:val="18"/>
              </w:rPr>
              <w:t>§</w:t>
            </w:r>
          </w:p>
        </w:tc>
        <w:tc>
          <w:tcPr>
            <w:tcW w:w="878" w:type="dxa"/>
            <w:shd w:val="clear" w:color="auto" w:fill="auto"/>
          </w:tcPr>
          <w:p w14:paraId="3567424D" w14:textId="77777777" w:rsidR="003E3D07" w:rsidRDefault="003E3D07" w:rsidP="009C5939">
            <w:pPr>
              <w:pStyle w:val="TableText"/>
            </w:pPr>
            <w:r>
              <w:t>No</w:t>
            </w:r>
          </w:p>
        </w:tc>
        <w:tc>
          <w:tcPr>
            <w:tcW w:w="1253" w:type="dxa"/>
            <w:shd w:val="clear" w:color="auto" w:fill="auto"/>
          </w:tcPr>
          <w:p w14:paraId="55674AB4" w14:textId="77777777" w:rsidR="003E3D07" w:rsidRDefault="003E3D07" w:rsidP="009C5939">
            <w:pPr>
              <w:pStyle w:val="TableText"/>
            </w:pPr>
            <w:r>
              <w:t>None</w:t>
            </w:r>
          </w:p>
        </w:tc>
        <w:tc>
          <w:tcPr>
            <w:tcW w:w="1253" w:type="dxa"/>
            <w:shd w:val="clear" w:color="auto" w:fill="auto"/>
          </w:tcPr>
          <w:p w14:paraId="76A9C736" w14:textId="77777777" w:rsidR="003E3D07" w:rsidRDefault="003E3D07" w:rsidP="009C5939">
            <w:pPr>
              <w:pStyle w:val="TableText"/>
            </w:pPr>
            <w:r>
              <w:t>None</w:t>
            </w:r>
          </w:p>
        </w:tc>
        <w:tc>
          <w:tcPr>
            <w:tcW w:w="1296" w:type="dxa"/>
            <w:shd w:val="clear" w:color="auto" w:fill="auto"/>
          </w:tcPr>
          <w:p w14:paraId="6A4C4B11" w14:textId="77777777" w:rsidR="003E3D07" w:rsidRDefault="003E3D07" w:rsidP="009C5939">
            <w:pPr>
              <w:pStyle w:val="TableText"/>
              <w:rPr>
                <w:rFonts w:eastAsia="Symbol"/>
              </w:rPr>
            </w:pPr>
            <w:r>
              <w:rPr>
                <w:rFonts w:eastAsia="Symbol"/>
              </w:rPr>
              <w:t>0</w:t>
            </w:r>
          </w:p>
        </w:tc>
        <w:tc>
          <w:tcPr>
            <w:tcW w:w="1296" w:type="dxa"/>
            <w:vMerge/>
            <w:shd w:val="clear" w:color="auto" w:fill="auto"/>
          </w:tcPr>
          <w:p w14:paraId="0BE8AD1C" w14:textId="77777777" w:rsidR="003E3D07" w:rsidRDefault="003E3D07" w:rsidP="009C5939">
            <w:pPr>
              <w:pStyle w:val="TableText"/>
              <w:rPr>
                <w:rFonts w:eastAsia="Symbol"/>
              </w:rPr>
            </w:pPr>
          </w:p>
        </w:tc>
      </w:tr>
      <w:tr w:rsidR="00824338" w14:paraId="3ECAFF10" w14:textId="77777777">
        <w:tblPrEx>
          <w:tblBorders>
            <w:insideH w:val="single" w:sz="4" w:space="0" w:color="auto"/>
            <w:insideV w:val="single" w:sz="4" w:space="0" w:color="auto"/>
          </w:tblBorders>
        </w:tblPrEx>
        <w:tc>
          <w:tcPr>
            <w:tcW w:w="1253" w:type="dxa"/>
            <w:shd w:val="clear" w:color="auto" w:fill="auto"/>
          </w:tcPr>
          <w:p w14:paraId="2902BD35" w14:textId="77777777" w:rsidR="003E3D07" w:rsidRDefault="003E3D07" w:rsidP="009C5939">
            <w:pPr>
              <w:pStyle w:val="TableText"/>
            </w:pPr>
            <w:r>
              <w:lastRenderedPageBreak/>
              <w:t>Antibody to Low-Incidence Antigen</w:t>
            </w:r>
          </w:p>
        </w:tc>
        <w:tc>
          <w:tcPr>
            <w:tcW w:w="1253" w:type="dxa"/>
            <w:shd w:val="clear" w:color="auto" w:fill="auto"/>
          </w:tcPr>
          <w:p w14:paraId="69216AA6" w14:textId="77777777" w:rsidR="003E3D07" w:rsidRDefault="003E3D07" w:rsidP="009C5939">
            <w:pPr>
              <w:pStyle w:val="TableText"/>
            </w:pPr>
            <w:r>
              <w:t>Antibody, private (not otherwise specified)</w:t>
            </w:r>
          </w:p>
        </w:tc>
        <w:tc>
          <w:tcPr>
            <w:tcW w:w="878" w:type="dxa"/>
            <w:shd w:val="clear" w:color="auto" w:fill="auto"/>
          </w:tcPr>
          <w:p w14:paraId="42055EB0" w14:textId="77777777" w:rsidR="003E3D07" w:rsidRDefault="003E3D07" w:rsidP="009C5939">
            <w:pPr>
              <w:pStyle w:val="TableText"/>
            </w:pPr>
            <w:r>
              <w:t>Unknown</w:t>
            </w:r>
            <w:r w:rsidR="00191509" w:rsidRPr="00191509">
              <w:rPr>
                <w:szCs w:val="18"/>
              </w:rPr>
              <w:t>§</w:t>
            </w:r>
          </w:p>
        </w:tc>
        <w:tc>
          <w:tcPr>
            <w:tcW w:w="878" w:type="dxa"/>
            <w:shd w:val="clear" w:color="auto" w:fill="auto"/>
          </w:tcPr>
          <w:p w14:paraId="630E4D7E" w14:textId="77777777" w:rsidR="003E3D07" w:rsidRDefault="003E3D07" w:rsidP="009C5939">
            <w:pPr>
              <w:pStyle w:val="TableText"/>
            </w:pPr>
            <w:r>
              <w:t>No</w:t>
            </w:r>
          </w:p>
        </w:tc>
        <w:tc>
          <w:tcPr>
            <w:tcW w:w="1253" w:type="dxa"/>
            <w:shd w:val="clear" w:color="auto" w:fill="auto"/>
          </w:tcPr>
          <w:p w14:paraId="36BFC685" w14:textId="77777777" w:rsidR="003E3D07" w:rsidRDefault="003E3D07" w:rsidP="009C5939">
            <w:pPr>
              <w:pStyle w:val="TableText"/>
            </w:pPr>
            <w:r>
              <w:t>None</w:t>
            </w:r>
          </w:p>
        </w:tc>
        <w:tc>
          <w:tcPr>
            <w:tcW w:w="1253" w:type="dxa"/>
            <w:shd w:val="clear" w:color="auto" w:fill="auto"/>
          </w:tcPr>
          <w:p w14:paraId="762FBDCC" w14:textId="77777777" w:rsidR="003E3D07" w:rsidRDefault="003E3D07" w:rsidP="009C5939">
            <w:pPr>
              <w:pStyle w:val="TableText"/>
            </w:pPr>
            <w:r>
              <w:t>None</w:t>
            </w:r>
          </w:p>
        </w:tc>
        <w:tc>
          <w:tcPr>
            <w:tcW w:w="1296" w:type="dxa"/>
            <w:shd w:val="clear" w:color="auto" w:fill="auto"/>
          </w:tcPr>
          <w:p w14:paraId="20912104" w14:textId="77777777" w:rsidR="003E3D07" w:rsidRDefault="003E3D07" w:rsidP="009C5939">
            <w:pPr>
              <w:pStyle w:val="TableText"/>
              <w:rPr>
                <w:rFonts w:eastAsia="Symbol"/>
              </w:rPr>
            </w:pPr>
            <w:r>
              <w:rPr>
                <w:rFonts w:eastAsia="Symbol"/>
              </w:rPr>
              <w:t>99</w:t>
            </w:r>
          </w:p>
        </w:tc>
        <w:tc>
          <w:tcPr>
            <w:tcW w:w="1296" w:type="dxa"/>
            <w:vMerge/>
            <w:shd w:val="clear" w:color="auto" w:fill="auto"/>
          </w:tcPr>
          <w:p w14:paraId="7AAC4B20" w14:textId="77777777" w:rsidR="003E3D07" w:rsidRDefault="003E3D07" w:rsidP="009C5939">
            <w:pPr>
              <w:pStyle w:val="TableText"/>
              <w:rPr>
                <w:rFonts w:eastAsia="Symbol"/>
              </w:rPr>
            </w:pPr>
          </w:p>
        </w:tc>
      </w:tr>
      <w:tr w:rsidR="00824338" w14:paraId="3F4996E0" w14:textId="77777777">
        <w:tblPrEx>
          <w:tblBorders>
            <w:insideH w:val="single" w:sz="4" w:space="0" w:color="auto"/>
            <w:insideV w:val="single" w:sz="4" w:space="0" w:color="auto"/>
          </w:tblBorders>
        </w:tblPrEx>
        <w:tc>
          <w:tcPr>
            <w:tcW w:w="1253" w:type="dxa"/>
            <w:shd w:val="clear" w:color="auto" w:fill="auto"/>
          </w:tcPr>
          <w:p w14:paraId="0CA7ED25" w14:textId="77777777" w:rsidR="003E3D07" w:rsidRDefault="003E3D07" w:rsidP="009C5939">
            <w:pPr>
              <w:pStyle w:val="TableText"/>
              <w:rPr>
                <w:sz w:val="20"/>
              </w:rPr>
            </w:pPr>
            <w:r>
              <w:t>Antibody to High-Incidence Antigen</w:t>
            </w:r>
          </w:p>
        </w:tc>
        <w:tc>
          <w:tcPr>
            <w:tcW w:w="1253" w:type="dxa"/>
            <w:shd w:val="clear" w:color="auto" w:fill="auto"/>
          </w:tcPr>
          <w:p w14:paraId="2141603D" w14:textId="77777777" w:rsidR="003E3D07" w:rsidRDefault="003E3D07" w:rsidP="009C5939">
            <w:pPr>
              <w:pStyle w:val="TableText"/>
              <w:rPr>
                <w:sz w:val="20"/>
              </w:rPr>
            </w:pPr>
            <w:r>
              <w:t>Antibody, public (not otherwise specified)</w:t>
            </w:r>
          </w:p>
        </w:tc>
        <w:tc>
          <w:tcPr>
            <w:tcW w:w="878" w:type="dxa"/>
            <w:shd w:val="clear" w:color="auto" w:fill="auto"/>
          </w:tcPr>
          <w:p w14:paraId="6415B5B0" w14:textId="77777777" w:rsidR="003E3D07" w:rsidRDefault="003E3D07" w:rsidP="009C5939">
            <w:pPr>
              <w:pStyle w:val="TableText"/>
            </w:pPr>
            <w:r>
              <w:t>Unknown</w:t>
            </w:r>
            <w:r w:rsidR="00191509" w:rsidRPr="00191509">
              <w:rPr>
                <w:szCs w:val="18"/>
              </w:rPr>
              <w:t>§</w:t>
            </w:r>
          </w:p>
        </w:tc>
        <w:tc>
          <w:tcPr>
            <w:tcW w:w="878" w:type="dxa"/>
            <w:shd w:val="clear" w:color="auto" w:fill="auto"/>
          </w:tcPr>
          <w:p w14:paraId="2FE7FD40" w14:textId="77777777" w:rsidR="003E3D07" w:rsidRDefault="003E3D07" w:rsidP="009C5939">
            <w:pPr>
              <w:pStyle w:val="TableText"/>
            </w:pPr>
            <w:r>
              <w:t>No</w:t>
            </w:r>
          </w:p>
        </w:tc>
        <w:tc>
          <w:tcPr>
            <w:tcW w:w="1253" w:type="dxa"/>
            <w:shd w:val="clear" w:color="auto" w:fill="auto"/>
          </w:tcPr>
          <w:p w14:paraId="71EB51B2" w14:textId="77777777" w:rsidR="003E3D07" w:rsidRDefault="003E3D07" w:rsidP="009C5939">
            <w:pPr>
              <w:pStyle w:val="TableText"/>
            </w:pPr>
            <w:r>
              <w:t>None</w:t>
            </w:r>
          </w:p>
        </w:tc>
        <w:tc>
          <w:tcPr>
            <w:tcW w:w="1253" w:type="dxa"/>
            <w:shd w:val="clear" w:color="auto" w:fill="auto"/>
          </w:tcPr>
          <w:p w14:paraId="6BAA0482" w14:textId="77777777" w:rsidR="003E3D07" w:rsidRDefault="003E3D07" w:rsidP="009C5939">
            <w:pPr>
              <w:pStyle w:val="TableText"/>
            </w:pPr>
            <w:r>
              <w:t>None</w:t>
            </w:r>
          </w:p>
        </w:tc>
        <w:tc>
          <w:tcPr>
            <w:tcW w:w="1296" w:type="dxa"/>
            <w:shd w:val="clear" w:color="auto" w:fill="auto"/>
          </w:tcPr>
          <w:p w14:paraId="747BF053" w14:textId="77777777" w:rsidR="003E3D07" w:rsidRDefault="003E3D07" w:rsidP="009C5939">
            <w:pPr>
              <w:pStyle w:val="TableText"/>
              <w:rPr>
                <w:rFonts w:eastAsia="Symbol"/>
              </w:rPr>
            </w:pPr>
            <w:r>
              <w:rPr>
                <w:rFonts w:eastAsia="Symbol"/>
              </w:rPr>
              <w:t>0</w:t>
            </w:r>
          </w:p>
        </w:tc>
        <w:tc>
          <w:tcPr>
            <w:tcW w:w="1296" w:type="dxa"/>
            <w:vMerge/>
            <w:shd w:val="clear" w:color="auto" w:fill="auto"/>
          </w:tcPr>
          <w:p w14:paraId="51BF9F28" w14:textId="77777777" w:rsidR="003E3D07" w:rsidRDefault="003E3D07" w:rsidP="009C5939">
            <w:pPr>
              <w:pStyle w:val="TableText"/>
              <w:rPr>
                <w:rFonts w:eastAsia="Symbol"/>
              </w:rPr>
            </w:pPr>
          </w:p>
        </w:tc>
      </w:tr>
      <w:tr w:rsidR="00A447A2" w14:paraId="3D20AD8A" w14:textId="77777777">
        <w:tblPrEx>
          <w:tblBorders>
            <w:insideH w:val="single" w:sz="4" w:space="0" w:color="auto"/>
            <w:insideV w:val="single" w:sz="4" w:space="0" w:color="auto"/>
          </w:tblBorders>
        </w:tblPrEx>
        <w:tc>
          <w:tcPr>
            <w:tcW w:w="1253" w:type="dxa"/>
            <w:shd w:val="clear" w:color="auto" w:fill="auto"/>
          </w:tcPr>
          <w:p w14:paraId="052DE4F2" w14:textId="77777777" w:rsidR="00A447A2" w:rsidRDefault="00A447A2" w:rsidP="009C5939">
            <w:pPr>
              <w:pStyle w:val="TableText"/>
            </w:pPr>
            <w:r>
              <w:t xml:space="preserve">Serologic Crossmatch Test Required </w:t>
            </w:r>
            <w:r w:rsidRPr="00A447A2">
              <w:rPr>
                <w:vanish/>
              </w:rPr>
              <w:t>DR 3145</w:t>
            </w:r>
          </w:p>
        </w:tc>
        <w:tc>
          <w:tcPr>
            <w:tcW w:w="1253" w:type="dxa"/>
            <w:shd w:val="clear" w:color="auto" w:fill="auto"/>
          </w:tcPr>
          <w:p w14:paraId="4CB4DC06" w14:textId="77777777" w:rsidR="00A447A2" w:rsidRDefault="00A447A2" w:rsidP="009C5939">
            <w:pPr>
              <w:pStyle w:val="TableText"/>
            </w:pPr>
            <w:r>
              <w:t>N/A</w:t>
            </w:r>
          </w:p>
        </w:tc>
        <w:tc>
          <w:tcPr>
            <w:tcW w:w="878" w:type="dxa"/>
            <w:shd w:val="clear" w:color="auto" w:fill="auto"/>
          </w:tcPr>
          <w:p w14:paraId="5169B04A" w14:textId="77777777" w:rsidR="00A447A2" w:rsidRDefault="00A447A2" w:rsidP="009C5939">
            <w:pPr>
              <w:pStyle w:val="TableText"/>
            </w:pPr>
            <w:r>
              <w:t>No</w:t>
            </w:r>
          </w:p>
        </w:tc>
        <w:tc>
          <w:tcPr>
            <w:tcW w:w="878" w:type="dxa"/>
            <w:shd w:val="clear" w:color="auto" w:fill="auto"/>
          </w:tcPr>
          <w:p w14:paraId="5E9CE61D" w14:textId="77777777" w:rsidR="00A447A2" w:rsidRDefault="00A447A2" w:rsidP="009C5939">
            <w:pPr>
              <w:pStyle w:val="TableText"/>
            </w:pPr>
            <w:r>
              <w:t>No</w:t>
            </w:r>
          </w:p>
        </w:tc>
        <w:tc>
          <w:tcPr>
            <w:tcW w:w="1253" w:type="dxa"/>
            <w:shd w:val="clear" w:color="auto" w:fill="auto"/>
          </w:tcPr>
          <w:p w14:paraId="4434E191" w14:textId="77777777" w:rsidR="00A447A2" w:rsidRDefault="00A447A2" w:rsidP="009C5939">
            <w:pPr>
              <w:pStyle w:val="TableText"/>
            </w:pPr>
            <w:r>
              <w:t>None</w:t>
            </w:r>
          </w:p>
        </w:tc>
        <w:tc>
          <w:tcPr>
            <w:tcW w:w="1253" w:type="dxa"/>
            <w:shd w:val="clear" w:color="auto" w:fill="auto"/>
          </w:tcPr>
          <w:p w14:paraId="3BBE5B42" w14:textId="77777777" w:rsidR="00A447A2" w:rsidRDefault="00A447A2" w:rsidP="009C5939">
            <w:pPr>
              <w:pStyle w:val="TableText"/>
            </w:pPr>
            <w:r>
              <w:t>None</w:t>
            </w:r>
          </w:p>
        </w:tc>
        <w:tc>
          <w:tcPr>
            <w:tcW w:w="1296" w:type="dxa"/>
            <w:shd w:val="clear" w:color="auto" w:fill="auto"/>
          </w:tcPr>
          <w:p w14:paraId="10BFB5D1" w14:textId="77777777" w:rsidR="00A447A2" w:rsidRDefault="00A447A2" w:rsidP="009C5939">
            <w:pPr>
              <w:pStyle w:val="TableText"/>
              <w:rPr>
                <w:rFonts w:eastAsia="Symbol"/>
              </w:rPr>
            </w:pPr>
            <w:r>
              <w:rPr>
                <w:rFonts w:eastAsia="Symbol"/>
              </w:rPr>
              <w:t>N/A</w:t>
            </w:r>
          </w:p>
        </w:tc>
        <w:tc>
          <w:tcPr>
            <w:tcW w:w="1296" w:type="dxa"/>
            <w:shd w:val="clear" w:color="auto" w:fill="auto"/>
          </w:tcPr>
          <w:p w14:paraId="25AEC74D" w14:textId="77777777" w:rsidR="00A447A2" w:rsidRDefault="00A447A2" w:rsidP="009C5939">
            <w:pPr>
              <w:pStyle w:val="TableText"/>
              <w:rPr>
                <w:rFonts w:eastAsia="Symbol"/>
              </w:rPr>
            </w:pPr>
            <w:r>
              <w:rPr>
                <w:rFonts w:eastAsia="Symbol"/>
              </w:rPr>
              <w:t>None</w:t>
            </w:r>
          </w:p>
        </w:tc>
      </w:tr>
    </w:tbl>
    <w:bookmarkEnd w:id="725"/>
    <w:p w14:paraId="29AE556F" w14:textId="77777777" w:rsidR="00460F61" w:rsidRDefault="00460F61" w:rsidP="00460F61">
      <w:pPr>
        <w:pStyle w:val="BodyText"/>
      </w:pPr>
      <w:r>
        <w:t xml:space="preserve">*Specificities written </w:t>
      </w:r>
      <w:r w:rsidR="00C732CF">
        <w:t>as</w:t>
      </w:r>
      <w:r>
        <w:t xml:space="preserve"> superscript</w:t>
      </w:r>
      <w:r w:rsidR="000C01A8">
        <w:t xml:space="preserve"> or subscript</w:t>
      </w:r>
      <w:r>
        <w:t xml:space="preserve"> </w:t>
      </w:r>
      <w:r w:rsidR="00C732CF">
        <w:t xml:space="preserve">letters </w:t>
      </w:r>
      <w:r>
        <w:t xml:space="preserve">in blood bank literature are </w:t>
      </w:r>
      <w:r w:rsidR="00C732CF">
        <w:t>shown as</w:t>
      </w:r>
      <w:r>
        <w:t xml:space="preserve"> letters enclosed in parentheses in VBECS </w:t>
      </w:r>
      <w:r w:rsidR="00C732CF">
        <w:t>(</w:t>
      </w:r>
      <w:r>
        <w:t>the GUI cannot display superscript</w:t>
      </w:r>
      <w:r w:rsidR="000C01A8">
        <w:t xml:space="preserve"> or subscript</w:t>
      </w:r>
      <w:r>
        <w:t xml:space="preserve"> letter</w:t>
      </w:r>
      <w:r w:rsidR="00C732CF">
        <w:t>s)</w:t>
      </w:r>
      <w:r>
        <w:t xml:space="preserve">. Specificities written </w:t>
      </w:r>
      <w:r w:rsidR="00C732CF">
        <w:t>as</w:t>
      </w:r>
      <w:r>
        <w:t xml:space="preserve"> subscript</w:t>
      </w:r>
      <w:r w:rsidR="00C732CF">
        <w:t xml:space="preserve"> characters</w:t>
      </w:r>
      <w:r>
        <w:t xml:space="preserve"> in blood bank literature are</w:t>
      </w:r>
      <w:r w:rsidR="00C732CF">
        <w:t xml:space="preserve"> shown as</w:t>
      </w:r>
      <w:r>
        <w:t xml:space="preserve"> numbers or letters not enclosed in parentheses.</w:t>
      </w:r>
    </w:p>
    <w:p w14:paraId="2010560C" w14:textId="77777777" w:rsidR="00460F61" w:rsidRDefault="001116E3" w:rsidP="00460F61">
      <w:pPr>
        <w:pStyle w:val="BodyText"/>
      </w:pPr>
      <w:r w:rsidRPr="00191509">
        <w:rPr>
          <w:rFonts w:eastAsia="Symbol"/>
        </w:rPr>
        <w:t>†</w:t>
      </w:r>
      <w:r w:rsidR="00460F61">
        <w:t xml:space="preserve">Examples of common </w:t>
      </w:r>
      <w:r w:rsidR="00460F61" w:rsidRPr="00CA6E27">
        <w:rPr>
          <w:bCs/>
        </w:rPr>
        <w:t>VistA</w:t>
      </w:r>
      <w:r w:rsidR="00460F61">
        <w:t xml:space="preserve"> antibody</w:t>
      </w:r>
      <w:r w:rsidR="00EB4BDF">
        <w:t xml:space="preserve"> and </w:t>
      </w:r>
      <w:r w:rsidR="00460F61">
        <w:t xml:space="preserve">antigen terminology. Individual sites may vary. Refer to </w:t>
      </w:r>
      <w:r w:rsidR="00EB4BDF">
        <w:t>division-specific</w:t>
      </w:r>
      <w:r w:rsidR="00460F61">
        <w:t xml:space="preserve"> </w:t>
      </w:r>
      <w:r w:rsidR="00EB4BDF">
        <w:t xml:space="preserve">mapping </w:t>
      </w:r>
      <w:r w:rsidR="00460F61">
        <w:t>documents.</w:t>
      </w:r>
    </w:p>
    <w:p w14:paraId="2DC1D238" w14:textId="77777777" w:rsidR="001116E3" w:rsidRDefault="001116E3" w:rsidP="00460F61">
      <w:pPr>
        <w:pStyle w:val="BodyText"/>
        <w:rPr>
          <w:rFonts w:eastAsia="Symbol"/>
        </w:rPr>
      </w:pPr>
      <w:r>
        <w:rPr>
          <w:rFonts w:eastAsia="Symbol"/>
        </w:rPr>
        <w:t>‡The user will order the tests for each antigen separately; VBECS does not display a duplicate antigen typing for this com</w:t>
      </w:r>
      <w:r w:rsidR="00C15725">
        <w:rPr>
          <w:rFonts w:eastAsia="Symbol"/>
        </w:rPr>
        <w:t>bination antibody specificity.</w:t>
      </w:r>
    </w:p>
    <w:p w14:paraId="7FAA693C" w14:textId="77777777" w:rsidR="004D0818" w:rsidRDefault="00F528F3" w:rsidP="00270245">
      <w:pPr>
        <w:pStyle w:val="BodyText"/>
      </w:pPr>
      <w:r w:rsidRPr="00191509">
        <w:t>§</w:t>
      </w:r>
      <w:r w:rsidR="004D0818" w:rsidRPr="00663162">
        <w:t>When the clinical significance is unknow</w:t>
      </w:r>
      <w:r w:rsidR="004D0818">
        <w:t>n,</w:t>
      </w:r>
      <w:r w:rsidR="004D0818" w:rsidRPr="00663162">
        <w:t xml:space="preserve"> it is displayed as "No" due to the limitations of the system</w:t>
      </w:r>
      <w:r w:rsidR="004D0818">
        <w:t>.</w:t>
      </w:r>
    </w:p>
    <w:p w14:paraId="47941A28" w14:textId="77777777" w:rsidR="002A21AE" w:rsidRDefault="0065062F" w:rsidP="0065062F">
      <w:pPr>
        <w:pStyle w:val="Heading3"/>
      </w:pPr>
      <w:bookmarkStart w:id="726" w:name="table14"/>
      <w:bookmarkStart w:id="727" w:name="_Toc47516809"/>
      <w:bookmarkEnd w:id="726"/>
      <w:r w:rsidRPr="00F628FE">
        <w:t>Antibody and Antigen Table: Database Conversion</w:t>
      </w:r>
      <w:bookmarkEnd w:id="727"/>
      <w:r w:rsidR="002A21AE">
        <w:t xml:space="preserve"> </w:t>
      </w:r>
      <w:r w:rsidR="002A21AE">
        <w:rPr>
          <w:rFonts w:ascii="Geneva" w:hAnsi="Geneva"/>
          <w:vanish/>
        </w:rPr>
        <w:t xml:space="preserve">TT_23.01C </w:t>
      </w:r>
      <w:bookmarkEnd w:id="713"/>
      <w:bookmarkEnd w:id="714"/>
      <w:r w:rsidR="002A21AE">
        <w:fldChar w:fldCharType="begin"/>
      </w:r>
      <w:r w:rsidR="002A21AE">
        <w:instrText xml:space="preserve"> XE </w:instrText>
      </w:r>
      <w:r w:rsidR="00FA7E65">
        <w:instrText>“</w:instrText>
      </w:r>
      <w:r w:rsidR="002A21AE">
        <w:instrText>Tables:Antibody and Antigen Table, Database Conversion</w:instrText>
      </w:r>
      <w:r w:rsidR="00FA7E65">
        <w:instrText>”</w:instrText>
      </w:r>
      <w:r w:rsidR="002A21AE">
        <w:instrText xml:space="preserve"> </w:instrText>
      </w:r>
      <w:r w:rsidR="002A21AE">
        <w:fldChar w:fldCharType="end"/>
      </w:r>
    </w:p>
    <w:p w14:paraId="17BC5803" w14:textId="6938757F" w:rsidR="00D7283A" w:rsidRDefault="00E105E6" w:rsidP="00D7283A">
      <w:pPr>
        <w:pStyle w:val="BodyText"/>
      </w:pPr>
      <w:r>
        <w:t>Users cannot set antigen negative requirements for these antibodies in VBECS</w:t>
      </w:r>
      <w:r w:rsidR="004764F4">
        <w:t xml:space="preserve"> </w:t>
      </w:r>
      <w:r w:rsidR="00DB0CE8">
        <w:t>[</w:t>
      </w:r>
      <w:r w:rsidR="004764F4">
        <w:fldChar w:fldCharType="begin"/>
      </w:r>
      <w:r w:rsidR="004764F4">
        <w:instrText xml:space="preserve"> REF _Ref126730915 \h </w:instrText>
      </w:r>
      <w:r w:rsidR="004764F4">
        <w:fldChar w:fldCharType="separate"/>
      </w:r>
      <w:r w:rsidR="004353ED">
        <w:t xml:space="preserve">Table </w:t>
      </w:r>
      <w:r w:rsidR="004353ED">
        <w:rPr>
          <w:noProof/>
        </w:rPr>
        <w:t>15</w:t>
      </w:r>
      <w:r w:rsidR="004764F4">
        <w:fldChar w:fldCharType="end"/>
      </w:r>
      <w:r w:rsidR="00DB0CE8">
        <w:t xml:space="preserve"> (See FAQ Database Conversion Oddballs</w:t>
      </w:r>
      <w:r w:rsidR="004764F4">
        <w:t>)</w:t>
      </w:r>
      <w:r w:rsidR="00DB0CE8">
        <w:t>]</w:t>
      </w:r>
      <w:r>
        <w:t xml:space="preserve">. </w:t>
      </w:r>
      <w:r w:rsidR="00D7283A">
        <w:t xml:space="preserve">Clinical significance of antibody specificity is set using the 14th edition of the AABB Technical Manual. </w:t>
      </w:r>
    </w:p>
    <w:p w14:paraId="2F8918A6" w14:textId="530D26A0" w:rsidR="002A21AE" w:rsidRDefault="002A21AE">
      <w:pPr>
        <w:pStyle w:val="Caption"/>
      </w:pPr>
      <w:bookmarkStart w:id="728" w:name="_Ref126730915"/>
      <w:bookmarkStart w:id="729" w:name="_Toc97523632"/>
      <w:bookmarkStart w:id="730" w:name="_Toc97527602"/>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15</w:t>
      </w:r>
      <w:r w:rsidR="004E20BD">
        <w:rPr>
          <w:noProof/>
        </w:rPr>
        <w:fldChar w:fldCharType="end"/>
      </w:r>
      <w:bookmarkEnd w:id="728"/>
      <w:r>
        <w:t xml:space="preserve">: </w:t>
      </w:r>
      <w:r>
        <w:rPr>
          <w:vanish/>
        </w:rPr>
        <w:t xml:space="preserve">TT_23.01C </w:t>
      </w:r>
      <w:r>
        <w:t>Antibody and Antigen Table: Database Conversion</w:t>
      </w:r>
      <w:bookmarkEnd w:id="729"/>
      <w:bookmarkEnd w:id="730"/>
    </w:p>
    <w:tbl>
      <w:tblPr>
        <w:tblW w:w="936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339"/>
        <w:gridCol w:w="2339"/>
        <w:gridCol w:w="2341"/>
        <w:gridCol w:w="2341"/>
      </w:tblGrid>
      <w:tr w:rsidR="0012237C" w14:paraId="5CB25C6A" w14:textId="77777777">
        <w:trPr>
          <w:tblHeader/>
        </w:trPr>
        <w:tc>
          <w:tcPr>
            <w:tcW w:w="3740" w:type="dxa"/>
            <w:gridSpan w:val="2"/>
            <w:tcBorders>
              <w:top w:val="single" w:sz="4" w:space="0" w:color="auto"/>
              <w:left w:val="single" w:sz="4" w:space="0" w:color="auto"/>
              <w:bottom w:val="single" w:sz="4" w:space="0" w:color="auto"/>
              <w:right w:val="single" w:sz="4" w:space="0" w:color="auto"/>
            </w:tcBorders>
            <w:shd w:val="clear" w:color="auto" w:fill="C0C0C0"/>
          </w:tcPr>
          <w:p w14:paraId="39835C91" w14:textId="77777777" w:rsidR="0012237C" w:rsidRPr="00CA6E27" w:rsidRDefault="0012237C" w:rsidP="00084E6B">
            <w:pPr>
              <w:pStyle w:val="TableText"/>
              <w:rPr>
                <w:b/>
              </w:rPr>
            </w:pPr>
            <w:r>
              <w:rPr>
                <w:b/>
              </w:rPr>
              <w:t>Antibody Name</w:t>
            </w:r>
          </w:p>
        </w:tc>
        <w:tc>
          <w:tcPr>
            <w:tcW w:w="3742" w:type="dxa"/>
            <w:gridSpan w:val="2"/>
            <w:tcBorders>
              <w:top w:val="single" w:sz="4" w:space="0" w:color="auto"/>
              <w:left w:val="single" w:sz="4" w:space="0" w:color="auto"/>
              <w:bottom w:val="single" w:sz="4" w:space="0" w:color="auto"/>
              <w:right w:val="single" w:sz="4" w:space="0" w:color="auto"/>
            </w:tcBorders>
            <w:shd w:val="clear" w:color="auto" w:fill="C0C0C0"/>
          </w:tcPr>
          <w:p w14:paraId="7F82EC5B" w14:textId="77777777" w:rsidR="0012237C" w:rsidRPr="00CA6E27" w:rsidRDefault="0012237C" w:rsidP="00084E6B">
            <w:pPr>
              <w:pStyle w:val="TableText"/>
              <w:rPr>
                <w:b/>
              </w:rPr>
            </w:pPr>
            <w:r>
              <w:rPr>
                <w:b/>
              </w:rPr>
              <w:t>Associated Antigen</w:t>
            </w:r>
          </w:p>
        </w:tc>
      </w:tr>
      <w:tr w:rsidR="0012237C" w14:paraId="367042F5" w14:textId="77777777">
        <w:trPr>
          <w:tblHeader/>
        </w:trPr>
        <w:tc>
          <w:tcPr>
            <w:tcW w:w="1870" w:type="dxa"/>
            <w:tcBorders>
              <w:top w:val="single" w:sz="4" w:space="0" w:color="auto"/>
              <w:left w:val="single" w:sz="4" w:space="0" w:color="auto"/>
              <w:bottom w:val="single" w:sz="4" w:space="0" w:color="auto"/>
              <w:right w:val="single" w:sz="4" w:space="0" w:color="auto"/>
            </w:tcBorders>
            <w:shd w:val="clear" w:color="auto" w:fill="C0C0C0"/>
          </w:tcPr>
          <w:p w14:paraId="41902400" w14:textId="77777777" w:rsidR="0012237C" w:rsidRPr="003B5F9B" w:rsidRDefault="0012237C" w:rsidP="00084E6B">
            <w:pPr>
              <w:pStyle w:val="TableText"/>
              <w:rPr>
                <w:b/>
              </w:rPr>
            </w:pPr>
            <w:r>
              <w:rPr>
                <w:b/>
              </w:rPr>
              <w:t>VBECS</w:t>
            </w:r>
            <w:r w:rsidR="00E047E8">
              <w:rPr>
                <w:b/>
              </w:rPr>
              <w:t>*</w:t>
            </w:r>
          </w:p>
        </w:tc>
        <w:tc>
          <w:tcPr>
            <w:tcW w:w="1870" w:type="dxa"/>
            <w:tcBorders>
              <w:top w:val="single" w:sz="4" w:space="0" w:color="auto"/>
              <w:left w:val="single" w:sz="4" w:space="0" w:color="auto"/>
              <w:bottom w:val="single" w:sz="4" w:space="0" w:color="auto"/>
              <w:right w:val="single" w:sz="4" w:space="0" w:color="auto"/>
            </w:tcBorders>
            <w:shd w:val="clear" w:color="auto" w:fill="C0C0C0"/>
          </w:tcPr>
          <w:p w14:paraId="51C1F781" w14:textId="77777777" w:rsidR="0012237C" w:rsidRDefault="0012237C" w:rsidP="00084E6B">
            <w:pPr>
              <w:pStyle w:val="TableText"/>
              <w:rPr>
                <w:b/>
              </w:rPr>
            </w:pPr>
            <w:r w:rsidRPr="00CA6E27">
              <w:rPr>
                <w:b/>
              </w:rPr>
              <w:t>VistA</w:t>
            </w:r>
            <w:r w:rsidR="00E047E8">
              <w:rPr>
                <w:rFonts w:cs="Arial"/>
                <w:b/>
              </w:rPr>
              <w:t>†</w:t>
            </w:r>
          </w:p>
        </w:tc>
        <w:tc>
          <w:tcPr>
            <w:tcW w:w="1871" w:type="dxa"/>
            <w:tcBorders>
              <w:top w:val="single" w:sz="4" w:space="0" w:color="auto"/>
              <w:left w:val="single" w:sz="4" w:space="0" w:color="auto"/>
              <w:bottom w:val="single" w:sz="4" w:space="0" w:color="auto"/>
              <w:right w:val="single" w:sz="4" w:space="0" w:color="auto"/>
            </w:tcBorders>
            <w:shd w:val="clear" w:color="auto" w:fill="C0C0C0"/>
          </w:tcPr>
          <w:p w14:paraId="1940F219" w14:textId="77777777" w:rsidR="0012237C" w:rsidRPr="003B5F9B" w:rsidRDefault="0012237C" w:rsidP="00084E6B">
            <w:pPr>
              <w:pStyle w:val="TableText"/>
              <w:rPr>
                <w:b/>
              </w:rPr>
            </w:pPr>
            <w:r>
              <w:rPr>
                <w:b/>
              </w:rPr>
              <w:t>VBECS</w:t>
            </w:r>
            <w:r w:rsidR="00E047E8">
              <w:rPr>
                <w:b/>
              </w:rPr>
              <w:t>*</w:t>
            </w:r>
          </w:p>
        </w:tc>
        <w:tc>
          <w:tcPr>
            <w:tcW w:w="1871" w:type="dxa"/>
            <w:tcBorders>
              <w:top w:val="single" w:sz="4" w:space="0" w:color="auto"/>
              <w:left w:val="single" w:sz="4" w:space="0" w:color="auto"/>
              <w:bottom w:val="single" w:sz="4" w:space="0" w:color="auto"/>
              <w:right w:val="single" w:sz="4" w:space="0" w:color="auto"/>
            </w:tcBorders>
            <w:shd w:val="clear" w:color="auto" w:fill="C0C0C0"/>
          </w:tcPr>
          <w:p w14:paraId="6B946193" w14:textId="77777777" w:rsidR="0012237C" w:rsidRDefault="0012237C" w:rsidP="00084E6B">
            <w:pPr>
              <w:pStyle w:val="TableText"/>
              <w:rPr>
                <w:b/>
              </w:rPr>
            </w:pPr>
            <w:r w:rsidRPr="00CA6E27">
              <w:rPr>
                <w:b/>
              </w:rPr>
              <w:t>VistA</w:t>
            </w:r>
            <w:r w:rsidR="00E047E8">
              <w:rPr>
                <w:rFonts w:cs="Arial"/>
                <w:b/>
              </w:rPr>
              <w:t>†</w:t>
            </w:r>
          </w:p>
        </w:tc>
      </w:tr>
      <w:tr w:rsidR="0012237C" w14:paraId="7FDE63ED"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BC582E7" w14:textId="77777777" w:rsidR="0012237C" w:rsidRDefault="00E047E8">
            <w:pPr>
              <w:pStyle w:val="TableText"/>
            </w:pPr>
            <w:r>
              <w:t>Anti-P1+P+P(k)</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33B9FDA" w14:textId="77777777" w:rsidR="0012237C" w:rsidRDefault="0012237C">
            <w:pPr>
              <w:pStyle w:val="TableText"/>
            </w:pPr>
            <w:r>
              <w:t>Anti-PP1</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170300F" w14:textId="77777777" w:rsidR="0012237C" w:rsidRDefault="0012237C">
            <w:pPr>
              <w:pStyle w:val="TableText"/>
              <w:rPr>
                <w:rFonts w:eastAsia="Symbol"/>
              </w:rPr>
            </w:pPr>
            <w:r>
              <w:t>P1+P+P(k)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7F07C54" w14:textId="77777777" w:rsidR="0012237C" w:rsidRDefault="0012237C">
            <w:pPr>
              <w:pStyle w:val="TableText"/>
              <w:rPr>
                <w:rFonts w:eastAsia="Symbol"/>
              </w:rPr>
            </w:pPr>
            <w:r>
              <w:rPr>
                <w:rFonts w:eastAsia="Symbol"/>
              </w:rPr>
              <w:t>PP1</w:t>
            </w:r>
          </w:p>
        </w:tc>
      </w:tr>
      <w:tr w:rsidR="0012237C" w14:paraId="1048B5C1"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11AC6AE5" w14:textId="77777777" w:rsidR="0012237C" w:rsidRDefault="0012237C">
            <w:pPr>
              <w:pStyle w:val="TableText"/>
            </w:pPr>
            <w:r>
              <w:t>Anti-Pk</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1E8D86F8" w14:textId="77777777" w:rsidR="0012237C" w:rsidRDefault="0012237C">
            <w:pPr>
              <w:pStyle w:val="TableText"/>
            </w:pPr>
            <w:r>
              <w:t>Anti-p(k)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67F9F47" w14:textId="77777777" w:rsidR="0012237C" w:rsidRDefault="0012237C">
            <w:pPr>
              <w:pStyle w:val="TableText"/>
              <w:rPr>
                <w:rFonts w:eastAsia="Symbol"/>
              </w:rPr>
            </w:pPr>
            <w:r>
              <w:t>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590E2FB2" w14:textId="77777777" w:rsidR="0012237C" w:rsidRDefault="0012237C">
            <w:pPr>
              <w:pStyle w:val="TableText"/>
              <w:rPr>
                <w:rFonts w:eastAsia="Symbol"/>
              </w:rPr>
            </w:pPr>
            <w:r>
              <w:t>p(k)</w:t>
            </w:r>
          </w:p>
        </w:tc>
      </w:tr>
      <w:tr w:rsidR="0012237C" w14:paraId="76935528"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50716AC7" w14:textId="77777777" w:rsidR="0012237C" w:rsidRDefault="0012237C">
            <w:pPr>
              <w:pStyle w:val="TableText"/>
            </w:pPr>
            <w:r>
              <w:t>Anti -M,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2A1A40F1" w14:textId="77777777" w:rsidR="0012237C" w:rsidRDefault="0012237C">
            <w:pPr>
              <w:pStyle w:val="TableText"/>
            </w:pPr>
            <w:r>
              <w:t>Anti-M,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C3A1F90" w14:textId="77777777" w:rsidR="0012237C" w:rsidRDefault="0012237C">
            <w:pPr>
              <w:pStyle w:val="TableText"/>
              <w:rPr>
                <w:szCs w:val="18"/>
              </w:rPr>
            </w:pPr>
            <w:r>
              <w:rPr>
                <w:rFonts w:eastAsia="Symbol"/>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CD9B220" w14:textId="77777777" w:rsidR="0012237C" w:rsidRDefault="0012237C">
            <w:pPr>
              <w:pStyle w:val="TableText"/>
            </w:pPr>
            <w:r>
              <w:rPr>
                <w:rFonts w:eastAsia="Symbol"/>
              </w:rPr>
              <w:t>None</w:t>
            </w:r>
          </w:p>
        </w:tc>
      </w:tr>
      <w:tr w:rsidR="0012237C" w14:paraId="1442EEA3"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D36D027" w14:textId="77777777" w:rsidR="0012237C" w:rsidRDefault="0012237C">
            <w:pPr>
              <w:pStyle w:val="TableText"/>
            </w:pPr>
            <w:r>
              <w:t>Anti-LW</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0ADC1BF2" w14:textId="77777777" w:rsidR="0012237C" w:rsidRDefault="0012237C">
            <w:pPr>
              <w:pStyle w:val="TableText"/>
            </w:pPr>
            <w:r>
              <w:t>Anti-LW</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928DA19" w14:textId="77777777" w:rsidR="0012237C" w:rsidRDefault="0012237C">
            <w:pPr>
              <w:pStyle w:val="TableText"/>
              <w:rPr>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F43B9FC" w14:textId="77777777" w:rsidR="0012237C" w:rsidRDefault="0012237C">
            <w:pPr>
              <w:pStyle w:val="TableText"/>
            </w:pPr>
            <w:r>
              <w:t>LW</w:t>
            </w:r>
          </w:p>
        </w:tc>
      </w:tr>
      <w:tr w:rsidR="0012237C" w14:paraId="729BF662"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66C9A0E1" w14:textId="77777777" w:rsidR="0012237C" w:rsidRDefault="0012237C">
            <w:pPr>
              <w:pStyle w:val="TableText"/>
              <w:rPr>
                <w:szCs w:val="18"/>
              </w:rPr>
            </w:pPr>
            <w:r>
              <w:t>Anti-Lu</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602DC462" w14:textId="77777777" w:rsidR="0012237C" w:rsidRDefault="0012237C">
            <w:pPr>
              <w:pStyle w:val="TableText"/>
              <w:rPr>
                <w:szCs w:val="18"/>
              </w:rPr>
            </w:pPr>
            <w:r>
              <w:t>Anti-Lu</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56D3CBFA" w14:textId="77777777" w:rsidR="0012237C" w:rsidRDefault="0012237C">
            <w:pPr>
              <w:pStyle w:val="TableText"/>
              <w:rPr>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64510A3" w14:textId="77777777" w:rsidR="0012237C" w:rsidRDefault="0012237C">
            <w:pPr>
              <w:pStyle w:val="TableText"/>
              <w:rPr>
                <w:szCs w:val="18"/>
              </w:rPr>
            </w:pPr>
            <w:r>
              <w:t>Lu</w:t>
            </w:r>
          </w:p>
        </w:tc>
      </w:tr>
      <w:tr w:rsidR="0012237C" w14:paraId="0ABE422B"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6447FE24" w14:textId="77777777" w:rsidR="0012237C" w:rsidRDefault="0012237C">
            <w:pPr>
              <w:pStyle w:val="TableText"/>
              <w:rPr>
                <w:rFonts w:eastAsia="Symbol"/>
                <w:szCs w:val="18"/>
              </w:rPr>
            </w:pPr>
            <w:r>
              <w:rPr>
                <w:szCs w:val="18"/>
              </w:rPr>
              <w:t>Anti-Le,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8EDA4B0" w14:textId="77777777" w:rsidR="0012237C" w:rsidRDefault="0012237C">
            <w:pPr>
              <w:pStyle w:val="TableText"/>
              <w:rPr>
                <w:szCs w:val="18"/>
              </w:rPr>
            </w:pPr>
            <w:r>
              <w:rPr>
                <w:szCs w:val="18"/>
              </w:rPr>
              <w:t>Anti-Le,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0FD3C636"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A67CA07" w14:textId="77777777" w:rsidR="0012237C" w:rsidRDefault="0012237C">
            <w:pPr>
              <w:pStyle w:val="TableText"/>
              <w:rPr>
                <w:szCs w:val="18"/>
              </w:rPr>
            </w:pPr>
            <w:r>
              <w:rPr>
                <w:szCs w:val="18"/>
              </w:rPr>
              <w:t>None</w:t>
            </w:r>
          </w:p>
        </w:tc>
      </w:tr>
      <w:tr w:rsidR="0012237C" w14:paraId="28241E5E"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3FFD1402" w14:textId="77777777" w:rsidR="0012237C" w:rsidRDefault="0012237C">
            <w:pPr>
              <w:pStyle w:val="TableText"/>
              <w:rPr>
                <w:rFonts w:eastAsia="Symbol"/>
                <w:szCs w:val="18"/>
              </w:rPr>
            </w:pPr>
            <w:r>
              <w:rPr>
                <w:szCs w:val="18"/>
              </w:rPr>
              <w:t>Anti-N,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6AF566E4" w14:textId="77777777" w:rsidR="0012237C" w:rsidRDefault="0012237C">
            <w:pPr>
              <w:pStyle w:val="TableText"/>
              <w:rPr>
                <w:szCs w:val="18"/>
              </w:rPr>
            </w:pPr>
            <w:r>
              <w:rPr>
                <w:szCs w:val="18"/>
              </w:rPr>
              <w:t>Anti-N,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37934AF"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BE70128" w14:textId="77777777" w:rsidR="0012237C" w:rsidRDefault="0012237C">
            <w:pPr>
              <w:pStyle w:val="TableText"/>
              <w:rPr>
                <w:szCs w:val="18"/>
              </w:rPr>
            </w:pPr>
            <w:r>
              <w:rPr>
                <w:szCs w:val="18"/>
              </w:rPr>
              <w:t>None</w:t>
            </w:r>
          </w:p>
        </w:tc>
      </w:tr>
      <w:tr w:rsidR="0012237C" w14:paraId="3102E5AE"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CADD6E4" w14:textId="77777777" w:rsidR="0012237C" w:rsidRDefault="0012237C">
            <w:pPr>
              <w:pStyle w:val="TableText"/>
              <w:rPr>
                <w:rFonts w:eastAsia="Symbol"/>
                <w:szCs w:val="18"/>
              </w:rPr>
            </w:pPr>
            <w:r>
              <w:rPr>
                <w:szCs w:val="18"/>
              </w:rPr>
              <w:t>Anti-I(int)</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04199B09" w14:textId="77777777" w:rsidR="0012237C" w:rsidRDefault="0012237C">
            <w:pPr>
              <w:pStyle w:val="TableText"/>
              <w:rPr>
                <w:rFonts w:eastAsia="Symbol"/>
                <w:szCs w:val="18"/>
              </w:rPr>
            </w:pPr>
            <w:r>
              <w:rPr>
                <w:szCs w:val="18"/>
              </w:rPr>
              <w:t>Anti-I(int)</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55D5034"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7DAD3F9" w14:textId="77777777" w:rsidR="0012237C" w:rsidRDefault="0012237C">
            <w:pPr>
              <w:pStyle w:val="TableText"/>
              <w:rPr>
                <w:rFonts w:eastAsia="Symbol"/>
                <w:szCs w:val="18"/>
              </w:rPr>
            </w:pPr>
            <w:r>
              <w:rPr>
                <w:szCs w:val="18"/>
              </w:rPr>
              <w:t>I(int)</w:t>
            </w:r>
          </w:p>
        </w:tc>
      </w:tr>
      <w:tr w:rsidR="0012237C" w14:paraId="48FA9EEA"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5731FF1A" w14:textId="77777777" w:rsidR="0012237C" w:rsidRDefault="0012237C">
            <w:pPr>
              <w:pStyle w:val="TableText"/>
              <w:rPr>
                <w:rFonts w:eastAsia="Symbol"/>
                <w:szCs w:val="18"/>
              </w:rPr>
            </w:pPr>
            <w:r>
              <w:rPr>
                <w:szCs w:val="18"/>
              </w:rPr>
              <w:t>Anti-rhesus (not otherwise specified)</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4147FCF" w14:textId="77777777" w:rsidR="0012237C" w:rsidRDefault="0012237C">
            <w:pPr>
              <w:pStyle w:val="TableText"/>
              <w:rPr>
                <w:rFonts w:eastAsia="Symbol"/>
                <w:szCs w:val="18"/>
              </w:rPr>
            </w:pPr>
            <w:r>
              <w:rPr>
                <w:szCs w:val="18"/>
              </w:rPr>
              <w:t>Anti-rhesus</w:t>
            </w:r>
            <w:r w:rsidR="00B70069">
              <w:rPr>
                <w:szCs w:val="18"/>
              </w:rPr>
              <w:t xml:space="preserve"> </w:t>
            </w:r>
            <w:r>
              <w:rPr>
                <w:szCs w:val="18"/>
              </w:rPr>
              <w:t>(not otherwise specified)</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177E93D"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03B961D" w14:textId="77777777" w:rsidR="0012237C" w:rsidRDefault="0012237C">
            <w:pPr>
              <w:pStyle w:val="TableText"/>
              <w:rPr>
                <w:szCs w:val="18"/>
              </w:rPr>
            </w:pPr>
            <w:r>
              <w:rPr>
                <w:szCs w:val="18"/>
              </w:rPr>
              <w:t>None</w:t>
            </w:r>
          </w:p>
        </w:tc>
      </w:tr>
    </w:tbl>
    <w:p w14:paraId="51AF62AE" w14:textId="77777777" w:rsidR="00DB0629" w:rsidRDefault="00DB0629" w:rsidP="00DB0629">
      <w:pPr>
        <w:pStyle w:val="BodyText"/>
      </w:pPr>
      <w:bookmarkStart w:id="731" w:name="_Toc30328380"/>
      <w:bookmarkStart w:id="732" w:name="_Toc40167869"/>
      <w:bookmarkStart w:id="733" w:name="_Toc91323806"/>
      <w:r>
        <w:t xml:space="preserve">*Specificities written as superscript </w:t>
      </w:r>
      <w:r w:rsidR="00F60E07">
        <w:t>or</w:t>
      </w:r>
      <w:r w:rsidR="00776377">
        <w:t xml:space="preserve"> subscript </w:t>
      </w:r>
      <w:r>
        <w:t xml:space="preserve">letters in blood bank literature are shown as letters enclosed in parentheses in VBECS (the GUI cannot display superscript </w:t>
      </w:r>
      <w:r w:rsidR="00F60E07">
        <w:t>or</w:t>
      </w:r>
      <w:r w:rsidR="00776377">
        <w:t xml:space="preserve"> subscript </w:t>
      </w:r>
      <w:r>
        <w:t xml:space="preserve">letters). Specificities </w:t>
      </w:r>
      <w:r>
        <w:lastRenderedPageBreak/>
        <w:t>written as subscript characters in blood bank literature are shown as numbers or letters not enclosed in parentheses.</w:t>
      </w:r>
    </w:p>
    <w:p w14:paraId="506987B9" w14:textId="77777777" w:rsidR="00D7283A" w:rsidRDefault="00E047E8" w:rsidP="00D7283A">
      <w:pPr>
        <w:pStyle w:val="BodyText"/>
      </w:pPr>
      <w:r>
        <w:t>†</w:t>
      </w:r>
      <w:r w:rsidR="00DB0629">
        <w:t xml:space="preserve">Examples of common </w:t>
      </w:r>
      <w:r w:rsidR="00DB0629" w:rsidRPr="00CA6E27">
        <w:rPr>
          <w:bCs/>
        </w:rPr>
        <w:t>VistA</w:t>
      </w:r>
      <w:r w:rsidR="00DB0629">
        <w:t xml:space="preserve"> antibody and antigen terminology. Individual sites may vary. Refer to division-specific mapping documents.</w:t>
      </w:r>
    </w:p>
    <w:p w14:paraId="7B88AE3A" w14:textId="77777777" w:rsidR="002A21AE" w:rsidRDefault="00D7283A" w:rsidP="0054285E">
      <w:pPr>
        <w:pStyle w:val="Heading3"/>
      </w:pPr>
      <w:r>
        <w:br w:type="page"/>
      </w:r>
      <w:bookmarkStart w:id="734" w:name="tables"/>
      <w:bookmarkEnd w:id="734"/>
      <w:r w:rsidR="00966400">
        <w:rPr>
          <w:rFonts w:ascii="Geneva" w:hAnsi="Geneva"/>
          <w:vanish/>
        </w:rPr>
        <w:lastRenderedPageBreak/>
        <w:t xml:space="preserve"> </w:t>
      </w:r>
      <w:r w:rsidR="002A21AE">
        <w:rPr>
          <w:rFonts w:ascii="Geneva" w:hAnsi="Geneva"/>
          <w:vanish/>
        </w:rPr>
        <w:t xml:space="preserve">TT_53.02 </w:t>
      </w:r>
      <w:bookmarkStart w:id="735" w:name="_Toc47516810"/>
      <w:r w:rsidR="002A21AE">
        <w:t>Antibody Screen Test Interpretation</w:t>
      </w:r>
      <w:bookmarkEnd w:id="731"/>
      <w:bookmarkEnd w:id="732"/>
      <w:bookmarkEnd w:id="733"/>
      <w:bookmarkEnd w:id="735"/>
      <w:r w:rsidR="002A21AE">
        <w:fldChar w:fldCharType="begin"/>
      </w:r>
      <w:r w:rsidR="002A21AE">
        <w:instrText xml:space="preserve"> XE </w:instrText>
      </w:r>
      <w:r w:rsidR="00FA7E65">
        <w:instrText>“</w:instrText>
      </w:r>
      <w:r w:rsidR="002A21AE">
        <w:instrText>Tables:Antibody Screen Test Interpretation</w:instrText>
      </w:r>
      <w:r w:rsidR="00FA7E65">
        <w:instrText>”</w:instrText>
      </w:r>
      <w:r w:rsidR="002A21AE">
        <w:instrText xml:space="preserve"> </w:instrText>
      </w:r>
      <w:r w:rsidR="002A21AE">
        <w:fldChar w:fldCharType="end"/>
      </w:r>
      <w:r w:rsidR="002A21AE">
        <w:t xml:space="preserve"> </w:t>
      </w:r>
    </w:p>
    <w:p w14:paraId="4590E819" w14:textId="183BD188" w:rsidR="002A21AE" w:rsidRDefault="002A21AE" w:rsidP="00FA7E65">
      <w:pPr>
        <w:pStyle w:val="BodyText"/>
      </w:pPr>
      <w:r>
        <w:t xml:space="preserve">For an </w:t>
      </w:r>
      <w:r w:rsidR="008E2E30">
        <w:t>Antibody Screen Test (ABS)</w:t>
      </w:r>
      <w:r w:rsidR="0023261D">
        <w:t xml:space="preserve"> </w:t>
      </w:r>
      <w:r>
        <w:t>to be correctly interpreted, the system must take the row validation (</w:t>
      </w:r>
      <w:r w:rsidR="00800320">
        <w:fldChar w:fldCharType="begin"/>
      </w:r>
      <w:r w:rsidR="00800320">
        <w:instrText xml:space="preserve"> REF _Ref126732000 \h </w:instrText>
      </w:r>
      <w:r w:rsidR="00800320">
        <w:fldChar w:fldCharType="separate"/>
      </w:r>
      <w:r w:rsidR="004353ED">
        <w:t xml:space="preserve">Table </w:t>
      </w:r>
      <w:r w:rsidR="004353ED">
        <w:rPr>
          <w:noProof/>
        </w:rPr>
        <w:t>16</w:t>
      </w:r>
      <w:r w:rsidR="00800320">
        <w:fldChar w:fldCharType="end"/>
      </w:r>
      <w:r>
        <w:t>) for each screening cell and test method and determine whether the screening in total is positive</w:t>
      </w:r>
      <w:r w:rsidR="00760B98">
        <w:t xml:space="preserve"> or ne</w:t>
      </w:r>
      <w:r>
        <w:t xml:space="preserve">gative. This table is the input from the Blood Bank Technologist. Interpreting the </w:t>
      </w:r>
      <w:r w:rsidR="008E2E30">
        <w:t>ABS</w:t>
      </w:r>
      <w:r>
        <w:t>: The Blood Bank Technologist does not enter an interpretation for each row/cell of the antibody screen. The technologist enters an interpretation for the combination of screening cells including the autocontrol when tested. The system must correlate the information from the rows in the test, as described in system rules</w:t>
      </w:r>
      <w:r w:rsidR="0047520D">
        <w:t xml:space="preserve"> </w:t>
      </w:r>
      <w:r>
        <w:rPr>
          <w:vanish/>
        </w:rPr>
        <w:t>TT_53.01</w:t>
      </w:r>
      <w:r>
        <w:t xml:space="preserve">, to determine the proper interpretation for the </w:t>
      </w:r>
      <w:r w:rsidR="008E2E30">
        <w:t>ABS</w:t>
      </w:r>
      <w:r>
        <w:t>. Valid interpretations are positive or negative. A technologist may enter an antibody screen comment with the interpretation.</w:t>
      </w:r>
    </w:p>
    <w:p w14:paraId="6324D8D4" w14:textId="77777777" w:rsidR="002A21AE" w:rsidRDefault="002A21AE" w:rsidP="000E3E6B">
      <w:pPr>
        <w:pStyle w:val="BodyText"/>
        <w:ind w:leftChars="120" w:left="288"/>
      </w:pPr>
      <w:r w:rsidRPr="00D1343E">
        <w:rPr>
          <w:rFonts w:ascii="Wingdings 2" w:hAnsi="Wingdings 2" w:cs="Arial"/>
          <w:sz w:val="27"/>
          <w:szCs w:val="27"/>
        </w:rPr>
        <w:t></w:t>
      </w:r>
      <w:r w:rsidRPr="00D1343E">
        <w:rPr>
          <w:rStyle w:val="BodyTextChar"/>
        </w:rPr>
        <w:t xml:space="preserve"> SR 1: Valid interpretation. Update database.</w:t>
      </w:r>
    </w:p>
    <w:p w14:paraId="179F1D60" w14:textId="77777777" w:rsidR="002A21AE" w:rsidRDefault="00D1343E" w:rsidP="000E3E6B">
      <w:pPr>
        <w:pStyle w:val="BodyText"/>
        <w:ind w:leftChars="120" w:left="288"/>
        <w:rPr>
          <w:rStyle w:val="BodyTextChar"/>
        </w:rPr>
      </w:pPr>
      <w:r w:rsidRPr="00D1343E">
        <w:rPr>
          <w:rFonts w:ascii="Wingdings 2" w:hAnsi="Wingdings 2" w:cs="Arial"/>
          <w:sz w:val="27"/>
          <w:szCs w:val="27"/>
        </w:rPr>
        <w:t></w:t>
      </w:r>
      <w:r w:rsidRPr="00D1343E">
        <w:rPr>
          <w:rStyle w:val="BodyTextChar"/>
        </w:rPr>
        <w:t xml:space="preserve"> </w:t>
      </w:r>
      <w:r w:rsidR="002A21AE" w:rsidRPr="00D1343E">
        <w:rPr>
          <w:rStyle w:val="BodyTextChar"/>
        </w:rPr>
        <w:t>SR 2: Warning message. No override. Do not update database at this time.</w:t>
      </w:r>
    </w:p>
    <w:p w14:paraId="4E36B5FB" w14:textId="77777777" w:rsidR="00760B98" w:rsidRDefault="00760B98" w:rsidP="000E3E6B">
      <w:pPr>
        <w:pStyle w:val="BodyText"/>
        <w:ind w:leftChars="120" w:left="288"/>
      </w:pPr>
      <w:r w:rsidRPr="00D1343E">
        <w:rPr>
          <w:rFonts w:ascii="Wingdings 2" w:hAnsi="Wingdings 2" w:cs="Arial"/>
          <w:sz w:val="27"/>
          <w:szCs w:val="27"/>
        </w:rPr>
        <w:t></w:t>
      </w:r>
      <w:r w:rsidRPr="00D1343E">
        <w:rPr>
          <w:rStyle w:val="BodyTextChar"/>
        </w:rPr>
        <w:t xml:space="preserve"> </w:t>
      </w:r>
      <w:r>
        <w:t>SR 3: Valid interpretation. Update database. Collect comment and exception.</w:t>
      </w:r>
    </w:p>
    <w:p w14:paraId="23F02A50" w14:textId="77777777" w:rsidR="002A21AE" w:rsidRDefault="00D1343E" w:rsidP="000E3E6B">
      <w:pPr>
        <w:pStyle w:val="BodyText"/>
        <w:ind w:leftChars="120" w:left="288"/>
        <w:rPr>
          <w:rStyle w:val="BodyTextChar"/>
        </w:rPr>
      </w:pPr>
      <w:r w:rsidRPr="00D1343E">
        <w:rPr>
          <w:rFonts w:ascii="Wingdings 2" w:hAnsi="Wingdings 2" w:cs="Arial"/>
          <w:sz w:val="27"/>
          <w:szCs w:val="27"/>
        </w:rPr>
        <w:t></w:t>
      </w:r>
      <w:r w:rsidRPr="00D1343E">
        <w:rPr>
          <w:rStyle w:val="BodyTextChar"/>
        </w:rPr>
        <w:t xml:space="preserve"> </w:t>
      </w:r>
      <w:r w:rsidR="002A21AE" w:rsidRPr="00D1343E">
        <w:rPr>
          <w:rStyle w:val="BodyTextChar"/>
        </w:rPr>
        <w:t>EM 1: “Interpretation does not match your results.”</w:t>
      </w:r>
    </w:p>
    <w:p w14:paraId="4F940784" w14:textId="77777777" w:rsidR="00FF176A" w:rsidRDefault="00FF176A" w:rsidP="000E3E6B">
      <w:pPr>
        <w:pStyle w:val="BodyText"/>
        <w:ind w:leftChars="120" w:left="288"/>
      </w:pPr>
      <w:r w:rsidRPr="00D1343E">
        <w:rPr>
          <w:rFonts w:ascii="Wingdings 2" w:hAnsi="Wingdings 2" w:cs="Arial"/>
          <w:sz w:val="27"/>
          <w:szCs w:val="27"/>
        </w:rPr>
        <w:t></w:t>
      </w:r>
      <w:r w:rsidRPr="00D1343E">
        <w:rPr>
          <w:rStyle w:val="BodyTextChar"/>
        </w:rPr>
        <w:t xml:space="preserve"> </w:t>
      </w:r>
      <w:r>
        <w:rPr>
          <w:rStyle w:val="BodyTextChar"/>
        </w:rPr>
        <w:t xml:space="preserve">EM 2: </w:t>
      </w:r>
      <w:r w:rsidR="00AD0B01" w:rsidRPr="00AD0B01">
        <w:rPr>
          <w:rStyle w:val="BodyTextChar"/>
        </w:rPr>
        <w:t>“You are attempting to file an invalid antibody screen. This is not allowed.”</w:t>
      </w:r>
    </w:p>
    <w:p w14:paraId="7CF14597" w14:textId="5964FE79" w:rsidR="002A21AE" w:rsidRDefault="002A21AE">
      <w:pPr>
        <w:pStyle w:val="Caption"/>
      </w:pPr>
      <w:bookmarkStart w:id="736" w:name="_Ref126732000"/>
      <w:bookmarkStart w:id="737" w:name="_Toc97523633"/>
      <w:bookmarkStart w:id="738" w:name="_Toc97527603"/>
      <w:bookmarkStart w:id="739" w:name="_Ref126504351"/>
      <w:bookmarkStart w:id="740" w:name="_Ref126504384"/>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16</w:t>
      </w:r>
      <w:r w:rsidR="004E20BD">
        <w:rPr>
          <w:noProof/>
        </w:rPr>
        <w:fldChar w:fldCharType="end"/>
      </w:r>
      <w:bookmarkEnd w:id="736"/>
      <w:r>
        <w:t xml:space="preserve">: </w:t>
      </w:r>
      <w:r>
        <w:rPr>
          <w:vanish/>
        </w:rPr>
        <w:t xml:space="preserve">TT_53.02 </w:t>
      </w:r>
      <w:r>
        <w:t>Antibody Screen Test Interpretation</w:t>
      </w:r>
      <w:bookmarkEnd w:id="737"/>
      <w:bookmarkEnd w:id="738"/>
      <w:bookmarkEnd w:id="739"/>
      <w:bookmarkEnd w:id="74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2938"/>
        <w:gridCol w:w="1209"/>
        <w:gridCol w:w="1572"/>
        <w:gridCol w:w="1088"/>
        <w:gridCol w:w="1028"/>
      </w:tblGrid>
      <w:tr w:rsidR="00FA5AF0" w:rsidRPr="00FC17CF" w14:paraId="74C28124" w14:textId="77777777">
        <w:trPr>
          <w:cantSplit/>
          <w:tblHeader/>
        </w:trPr>
        <w:tc>
          <w:tcPr>
            <w:tcW w:w="9288" w:type="dxa"/>
            <w:gridSpan w:val="6"/>
            <w:tcBorders>
              <w:bottom w:val="nil"/>
            </w:tcBorders>
            <w:shd w:val="clear" w:color="auto" w:fill="C0C0C0"/>
          </w:tcPr>
          <w:p w14:paraId="4F07AE9C" w14:textId="77777777" w:rsidR="00FA5AF0" w:rsidRPr="00FC17CF" w:rsidRDefault="00FA5AF0" w:rsidP="00CD34EB">
            <w:pPr>
              <w:pStyle w:val="TableText"/>
              <w:rPr>
                <w:b/>
              </w:rPr>
            </w:pPr>
            <w:r w:rsidRPr="00FC17CF">
              <w:rPr>
                <w:b/>
              </w:rPr>
              <w:t>Antibody Screen Test Interpretation</w:t>
            </w:r>
          </w:p>
        </w:tc>
      </w:tr>
      <w:tr w:rsidR="00FA5AF0" w:rsidRPr="00FC17CF" w14:paraId="42B3CA15" w14:textId="77777777">
        <w:trPr>
          <w:cantSplit/>
        </w:trPr>
        <w:tc>
          <w:tcPr>
            <w:tcW w:w="1513" w:type="dxa"/>
            <w:vMerge w:val="restart"/>
            <w:shd w:val="clear" w:color="auto" w:fill="C0C0C0"/>
          </w:tcPr>
          <w:p w14:paraId="64E1468D" w14:textId="77777777" w:rsidR="00FA5AF0" w:rsidRPr="00FC17CF" w:rsidRDefault="00FA5AF0" w:rsidP="00CD34EB">
            <w:pPr>
              <w:pStyle w:val="TableText"/>
              <w:rPr>
                <w:b/>
              </w:rPr>
            </w:pPr>
            <w:r>
              <w:rPr>
                <w:b/>
              </w:rPr>
              <w:t>Antibody Screen I</w:t>
            </w:r>
            <w:r w:rsidRPr="00FC17CF">
              <w:rPr>
                <w:b/>
              </w:rPr>
              <w:t xml:space="preserve">nterpretation: includes all cells tested; might be SC 1 and SC 2 only, or SC 1, 2, 3, or SC 1, 2, 3, 4, as indicated by site parameter in </w:t>
            </w:r>
            <w:r w:rsidR="00C73BF5" w:rsidRPr="00C73BF5">
              <w:rPr>
                <w:b/>
              </w:rPr>
              <w:t>Configure Daily QC</w:t>
            </w:r>
            <w:r w:rsidRPr="00FC17CF">
              <w:rPr>
                <w:b/>
              </w:rPr>
              <w:t>. Method of Tube, Gel, or Solid Phase</w:t>
            </w:r>
          </w:p>
        </w:tc>
        <w:tc>
          <w:tcPr>
            <w:tcW w:w="2915" w:type="dxa"/>
            <w:tcBorders>
              <w:bottom w:val="nil"/>
            </w:tcBorders>
            <w:shd w:val="clear" w:color="auto" w:fill="C0C0C0"/>
            <w:vAlign w:val="bottom"/>
          </w:tcPr>
          <w:p w14:paraId="315C6E75" w14:textId="77777777" w:rsidR="00FA5AF0" w:rsidRPr="00FC17CF" w:rsidRDefault="00FA5AF0" w:rsidP="00CD34EB">
            <w:pPr>
              <w:pStyle w:val="TableText"/>
              <w:rPr>
                <w:b/>
              </w:rPr>
            </w:pPr>
            <w:r w:rsidRPr="00FC17CF">
              <w:rPr>
                <w:b/>
              </w:rPr>
              <w:t>SC 1</w:t>
            </w:r>
            <w:r>
              <w:rPr>
                <w:b/>
              </w:rPr>
              <w:t xml:space="preserve">, </w:t>
            </w:r>
            <w:r w:rsidRPr="00FC17CF">
              <w:rPr>
                <w:b/>
              </w:rPr>
              <w:t>SC 2</w:t>
            </w:r>
            <w:r>
              <w:rPr>
                <w:b/>
              </w:rPr>
              <w:t xml:space="preserve">, </w:t>
            </w:r>
            <w:r w:rsidRPr="00FC17CF">
              <w:rPr>
                <w:b/>
              </w:rPr>
              <w:t>SC 3</w:t>
            </w:r>
            <w:r>
              <w:rPr>
                <w:b/>
              </w:rPr>
              <w:t xml:space="preserve">, </w:t>
            </w:r>
            <w:r w:rsidRPr="00FC17CF">
              <w:rPr>
                <w:b/>
              </w:rPr>
              <w:t>SC 4</w:t>
            </w:r>
            <w:r>
              <w:rPr>
                <w:b/>
              </w:rPr>
              <w:t xml:space="preserve">, </w:t>
            </w:r>
            <w:r w:rsidRPr="00FC17CF">
              <w:rPr>
                <w:b/>
              </w:rPr>
              <w:t>Autocontrol Interpretation</w:t>
            </w:r>
          </w:p>
        </w:tc>
        <w:tc>
          <w:tcPr>
            <w:tcW w:w="1200" w:type="dxa"/>
            <w:tcBorders>
              <w:bottom w:val="nil"/>
            </w:tcBorders>
            <w:shd w:val="clear" w:color="auto" w:fill="C0C0C0"/>
            <w:vAlign w:val="bottom"/>
          </w:tcPr>
          <w:p w14:paraId="4206532C" w14:textId="77777777" w:rsidR="00FA5AF0" w:rsidRPr="00FC17CF" w:rsidRDefault="00FA5AF0" w:rsidP="00CD34EB">
            <w:pPr>
              <w:pStyle w:val="TableText"/>
              <w:rPr>
                <w:b/>
              </w:rPr>
            </w:pPr>
            <w:r w:rsidRPr="00FC17CF">
              <w:rPr>
                <w:b/>
              </w:rPr>
              <w:t>Tech Entry</w:t>
            </w:r>
          </w:p>
        </w:tc>
        <w:tc>
          <w:tcPr>
            <w:tcW w:w="1560" w:type="dxa"/>
            <w:tcBorders>
              <w:bottom w:val="nil"/>
            </w:tcBorders>
            <w:shd w:val="clear" w:color="auto" w:fill="C0C0C0"/>
            <w:vAlign w:val="bottom"/>
          </w:tcPr>
          <w:p w14:paraId="07B1A291" w14:textId="77777777" w:rsidR="00FA5AF0" w:rsidRPr="00FC17CF" w:rsidRDefault="00FA5AF0" w:rsidP="00CD34EB">
            <w:pPr>
              <w:pStyle w:val="TableText"/>
              <w:rPr>
                <w:b/>
              </w:rPr>
            </w:pPr>
            <w:r w:rsidRPr="00FC17CF">
              <w:rPr>
                <w:b/>
              </w:rPr>
              <w:t>System Interpretation of Screening Cell Test</w:t>
            </w:r>
          </w:p>
        </w:tc>
        <w:tc>
          <w:tcPr>
            <w:tcW w:w="1080" w:type="dxa"/>
            <w:tcBorders>
              <w:bottom w:val="nil"/>
            </w:tcBorders>
            <w:shd w:val="clear" w:color="auto" w:fill="C0C0C0"/>
            <w:vAlign w:val="bottom"/>
          </w:tcPr>
          <w:p w14:paraId="44B65783" w14:textId="77777777" w:rsidR="00FA5AF0" w:rsidRPr="00FC17CF" w:rsidRDefault="00FA5AF0" w:rsidP="00CD34EB">
            <w:pPr>
              <w:pStyle w:val="TableText"/>
              <w:rPr>
                <w:b/>
              </w:rPr>
            </w:pPr>
            <w:r w:rsidRPr="00FC17CF">
              <w:rPr>
                <w:b/>
              </w:rPr>
              <w:t>System Response</w:t>
            </w:r>
          </w:p>
        </w:tc>
        <w:tc>
          <w:tcPr>
            <w:tcW w:w="1020" w:type="dxa"/>
            <w:tcBorders>
              <w:bottom w:val="nil"/>
            </w:tcBorders>
            <w:shd w:val="clear" w:color="auto" w:fill="C0C0C0"/>
            <w:vAlign w:val="bottom"/>
          </w:tcPr>
          <w:p w14:paraId="22481755" w14:textId="77777777" w:rsidR="00FA5AF0" w:rsidRPr="00FC17CF" w:rsidRDefault="00FA5AF0" w:rsidP="00CD34EB">
            <w:pPr>
              <w:pStyle w:val="TableText"/>
              <w:rPr>
                <w:b/>
              </w:rPr>
            </w:pPr>
            <w:r w:rsidRPr="00FC17CF">
              <w:rPr>
                <w:b/>
              </w:rPr>
              <w:t>Error Message</w:t>
            </w:r>
          </w:p>
        </w:tc>
      </w:tr>
      <w:tr w:rsidR="00FA5AF0" w14:paraId="12E6752E" w14:textId="77777777">
        <w:trPr>
          <w:cantSplit/>
        </w:trPr>
        <w:tc>
          <w:tcPr>
            <w:tcW w:w="1513" w:type="dxa"/>
            <w:vMerge/>
          </w:tcPr>
          <w:p w14:paraId="065C55EF" w14:textId="77777777" w:rsidR="00FA5AF0" w:rsidRDefault="00FA5AF0" w:rsidP="00FA5AF0">
            <w:pPr>
              <w:pStyle w:val="TableText"/>
            </w:pPr>
          </w:p>
        </w:tc>
        <w:tc>
          <w:tcPr>
            <w:tcW w:w="2915" w:type="dxa"/>
            <w:vMerge w:val="restart"/>
            <w:tcBorders>
              <w:top w:val="single" w:sz="4" w:space="0" w:color="auto"/>
            </w:tcBorders>
          </w:tcPr>
          <w:p w14:paraId="1F595E2F" w14:textId="77777777" w:rsidR="00FA5AF0" w:rsidRPr="00565DBF" w:rsidRDefault="00FA5AF0" w:rsidP="00FA5AF0">
            <w:pPr>
              <w:pStyle w:val="TableText"/>
            </w:pPr>
            <w:r w:rsidRPr="00565DBF">
              <w:t>System interpretation if all individual row validations are negative.</w:t>
            </w:r>
          </w:p>
        </w:tc>
        <w:tc>
          <w:tcPr>
            <w:tcW w:w="1200" w:type="dxa"/>
            <w:tcBorders>
              <w:top w:val="single" w:sz="4" w:space="0" w:color="auto"/>
            </w:tcBorders>
          </w:tcPr>
          <w:p w14:paraId="427EF8EE" w14:textId="77777777" w:rsidR="00FA5AF0" w:rsidRPr="00565DBF" w:rsidRDefault="00FA5AF0" w:rsidP="00FA5AF0">
            <w:pPr>
              <w:pStyle w:val="TableText"/>
            </w:pPr>
            <w:r w:rsidRPr="00565DBF">
              <w:t>Negative</w:t>
            </w:r>
          </w:p>
        </w:tc>
        <w:tc>
          <w:tcPr>
            <w:tcW w:w="1560" w:type="dxa"/>
            <w:tcBorders>
              <w:top w:val="single" w:sz="4" w:space="0" w:color="auto"/>
            </w:tcBorders>
            <w:shd w:val="clear" w:color="auto" w:fill="auto"/>
          </w:tcPr>
          <w:p w14:paraId="1C20A3B8" w14:textId="77777777" w:rsidR="00FA5AF0" w:rsidRPr="00565DBF" w:rsidRDefault="00FA5AF0" w:rsidP="00FA5AF0">
            <w:pPr>
              <w:pStyle w:val="TableText"/>
              <w:rPr>
                <w:szCs w:val="20"/>
              </w:rPr>
            </w:pPr>
            <w:r w:rsidRPr="00565DBF">
              <w:rPr>
                <w:szCs w:val="20"/>
              </w:rPr>
              <w:t>Negative (N)</w:t>
            </w:r>
          </w:p>
        </w:tc>
        <w:tc>
          <w:tcPr>
            <w:tcW w:w="1080" w:type="dxa"/>
            <w:tcBorders>
              <w:top w:val="single" w:sz="4" w:space="0" w:color="auto"/>
            </w:tcBorders>
          </w:tcPr>
          <w:p w14:paraId="2B359AD8" w14:textId="77777777" w:rsidR="00FA5AF0" w:rsidRPr="00565DBF" w:rsidRDefault="00FA5AF0" w:rsidP="00FA5AF0">
            <w:pPr>
              <w:pStyle w:val="TableText"/>
            </w:pPr>
            <w:r w:rsidRPr="00565DBF">
              <w:t>SR 1</w:t>
            </w:r>
          </w:p>
        </w:tc>
        <w:tc>
          <w:tcPr>
            <w:tcW w:w="1020" w:type="dxa"/>
            <w:tcBorders>
              <w:top w:val="single" w:sz="4" w:space="0" w:color="auto"/>
            </w:tcBorders>
          </w:tcPr>
          <w:p w14:paraId="42821182" w14:textId="77777777" w:rsidR="00FA5AF0" w:rsidRPr="00565DBF" w:rsidRDefault="00FA5AF0" w:rsidP="00FA5AF0">
            <w:pPr>
              <w:pStyle w:val="TableText"/>
            </w:pPr>
            <w:r w:rsidRPr="00565DBF">
              <w:t>N/A</w:t>
            </w:r>
          </w:p>
        </w:tc>
      </w:tr>
      <w:tr w:rsidR="00FA5AF0" w14:paraId="5BF3E906" w14:textId="77777777">
        <w:trPr>
          <w:cantSplit/>
        </w:trPr>
        <w:tc>
          <w:tcPr>
            <w:tcW w:w="1513" w:type="dxa"/>
            <w:vMerge/>
          </w:tcPr>
          <w:p w14:paraId="2E2A2E18" w14:textId="77777777" w:rsidR="00FA5AF0" w:rsidRDefault="00FA5AF0" w:rsidP="00FA5AF0">
            <w:pPr>
              <w:pStyle w:val="TableText"/>
            </w:pPr>
          </w:p>
        </w:tc>
        <w:tc>
          <w:tcPr>
            <w:tcW w:w="2915" w:type="dxa"/>
            <w:vMerge/>
          </w:tcPr>
          <w:p w14:paraId="23371408" w14:textId="77777777" w:rsidR="00FA5AF0" w:rsidRPr="00565DBF" w:rsidRDefault="00FA5AF0" w:rsidP="00FA5AF0">
            <w:pPr>
              <w:pStyle w:val="TableText"/>
            </w:pPr>
          </w:p>
        </w:tc>
        <w:tc>
          <w:tcPr>
            <w:tcW w:w="1200" w:type="dxa"/>
          </w:tcPr>
          <w:p w14:paraId="13082B0F" w14:textId="77777777" w:rsidR="00FA5AF0" w:rsidRPr="00565DBF" w:rsidRDefault="00760B98" w:rsidP="00FA5AF0">
            <w:pPr>
              <w:pStyle w:val="TableText"/>
            </w:pPr>
            <w:r>
              <w:t>Positive</w:t>
            </w:r>
          </w:p>
        </w:tc>
        <w:tc>
          <w:tcPr>
            <w:tcW w:w="1560" w:type="dxa"/>
            <w:shd w:val="clear" w:color="auto" w:fill="auto"/>
          </w:tcPr>
          <w:p w14:paraId="3B68A21C" w14:textId="77777777" w:rsidR="00FA5AF0" w:rsidRPr="00565DBF" w:rsidRDefault="00FA5AF0" w:rsidP="00FA5AF0">
            <w:pPr>
              <w:pStyle w:val="TableText"/>
              <w:rPr>
                <w:szCs w:val="20"/>
              </w:rPr>
            </w:pPr>
            <w:r w:rsidRPr="00565DBF">
              <w:rPr>
                <w:szCs w:val="20"/>
              </w:rPr>
              <w:t>Negative (N)</w:t>
            </w:r>
          </w:p>
        </w:tc>
        <w:tc>
          <w:tcPr>
            <w:tcW w:w="1080" w:type="dxa"/>
          </w:tcPr>
          <w:p w14:paraId="381FE6D6" w14:textId="77777777" w:rsidR="00FA5AF0" w:rsidRPr="00565DBF" w:rsidRDefault="00FA5AF0" w:rsidP="00FA5AF0">
            <w:pPr>
              <w:pStyle w:val="TableText"/>
            </w:pPr>
            <w:r w:rsidRPr="00565DBF">
              <w:t>SR 2</w:t>
            </w:r>
          </w:p>
        </w:tc>
        <w:tc>
          <w:tcPr>
            <w:tcW w:w="1020" w:type="dxa"/>
          </w:tcPr>
          <w:p w14:paraId="3AE77157" w14:textId="77777777" w:rsidR="00FA5AF0" w:rsidRPr="00565DBF" w:rsidRDefault="00FA5AF0" w:rsidP="00FA5AF0">
            <w:pPr>
              <w:pStyle w:val="TableText"/>
            </w:pPr>
            <w:r w:rsidRPr="00565DBF">
              <w:t>EM 1</w:t>
            </w:r>
          </w:p>
        </w:tc>
      </w:tr>
      <w:tr w:rsidR="00FA5AF0" w14:paraId="20163560" w14:textId="77777777">
        <w:trPr>
          <w:cantSplit/>
        </w:trPr>
        <w:tc>
          <w:tcPr>
            <w:tcW w:w="1513" w:type="dxa"/>
            <w:vMerge/>
          </w:tcPr>
          <w:p w14:paraId="373F83E4" w14:textId="77777777" w:rsidR="00FA5AF0" w:rsidRDefault="00FA5AF0" w:rsidP="00FA5AF0">
            <w:pPr>
              <w:pStyle w:val="TableText"/>
            </w:pPr>
          </w:p>
        </w:tc>
        <w:tc>
          <w:tcPr>
            <w:tcW w:w="2915" w:type="dxa"/>
            <w:tcBorders>
              <w:top w:val="single" w:sz="4" w:space="0" w:color="auto"/>
            </w:tcBorders>
          </w:tcPr>
          <w:p w14:paraId="1AB38D35" w14:textId="77777777" w:rsidR="00FA5AF0" w:rsidRPr="00565DBF" w:rsidRDefault="00FA5AF0" w:rsidP="00FA5AF0">
            <w:pPr>
              <w:pStyle w:val="TableText"/>
            </w:pPr>
            <w:r w:rsidRPr="00565DBF">
              <w:t xml:space="preserve">System interpretation if all individual row validations are negative and indicates that a comment is required. </w:t>
            </w:r>
          </w:p>
        </w:tc>
        <w:tc>
          <w:tcPr>
            <w:tcW w:w="1200" w:type="dxa"/>
            <w:tcBorders>
              <w:top w:val="single" w:sz="4" w:space="0" w:color="auto"/>
            </w:tcBorders>
          </w:tcPr>
          <w:p w14:paraId="753CF9C0" w14:textId="77777777" w:rsidR="00FA5AF0" w:rsidRPr="00565DBF" w:rsidRDefault="00FA5AF0" w:rsidP="00FA5AF0">
            <w:pPr>
              <w:pStyle w:val="TableText"/>
            </w:pPr>
            <w:r w:rsidRPr="00565DBF">
              <w:t>Negative</w:t>
            </w:r>
          </w:p>
        </w:tc>
        <w:tc>
          <w:tcPr>
            <w:tcW w:w="1560" w:type="dxa"/>
            <w:tcBorders>
              <w:top w:val="single" w:sz="4" w:space="0" w:color="auto"/>
            </w:tcBorders>
          </w:tcPr>
          <w:p w14:paraId="3F46303D" w14:textId="77777777" w:rsidR="00FA5AF0" w:rsidRPr="00565DBF" w:rsidRDefault="00FA5AF0" w:rsidP="00FA5AF0">
            <w:pPr>
              <w:pStyle w:val="TableText"/>
              <w:rPr>
                <w:szCs w:val="20"/>
              </w:rPr>
            </w:pPr>
            <w:r w:rsidRPr="00565DBF">
              <w:rPr>
                <w:szCs w:val="16"/>
              </w:rPr>
              <w:t>Negative (N</w:t>
            </w:r>
            <w:r w:rsidRPr="00565DBF">
              <w:rPr>
                <w:szCs w:val="20"/>
              </w:rPr>
              <w:t>)</w:t>
            </w:r>
          </w:p>
        </w:tc>
        <w:tc>
          <w:tcPr>
            <w:tcW w:w="1080" w:type="dxa"/>
            <w:tcBorders>
              <w:top w:val="single" w:sz="4" w:space="0" w:color="auto"/>
            </w:tcBorders>
          </w:tcPr>
          <w:p w14:paraId="02B566CF" w14:textId="77777777" w:rsidR="00FA5AF0" w:rsidRPr="00565DBF" w:rsidRDefault="00FA5AF0" w:rsidP="00FA5AF0">
            <w:pPr>
              <w:pStyle w:val="TableText"/>
            </w:pPr>
            <w:r w:rsidRPr="00565DBF">
              <w:t>SR 3</w:t>
            </w:r>
          </w:p>
        </w:tc>
        <w:tc>
          <w:tcPr>
            <w:tcW w:w="1020" w:type="dxa"/>
            <w:tcBorders>
              <w:top w:val="single" w:sz="4" w:space="0" w:color="auto"/>
            </w:tcBorders>
          </w:tcPr>
          <w:p w14:paraId="0435D417" w14:textId="77777777" w:rsidR="00FA5AF0" w:rsidRPr="00565DBF" w:rsidRDefault="00604046" w:rsidP="00FA5AF0">
            <w:pPr>
              <w:pStyle w:val="TableText"/>
            </w:pPr>
            <w:r>
              <w:t>N/A</w:t>
            </w:r>
          </w:p>
        </w:tc>
      </w:tr>
      <w:tr w:rsidR="00FA5AF0" w14:paraId="2C4831BF" w14:textId="77777777">
        <w:trPr>
          <w:cantSplit/>
        </w:trPr>
        <w:tc>
          <w:tcPr>
            <w:tcW w:w="1513" w:type="dxa"/>
            <w:vMerge/>
          </w:tcPr>
          <w:p w14:paraId="0F0A6522" w14:textId="77777777" w:rsidR="00FA5AF0" w:rsidRDefault="00FA5AF0" w:rsidP="00FA5AF0">
            <w:pPr>
              <w:pStyle w:val="TableText"/>
            </w:pPr>
          </w:p>
        </w:tc>
        <w:tc>
          <w:tcPr>
            <w:tcW w:w="2915" w:type="dxa"/>
            <w:vMerge w:val="restart"/>
            <w:tcBorders>
              <w:top w:val="single" w:sz="4" w:space="0" w:color="auto"/>
            </w:tcBorders>
          </w:tcPr>
          <w:p w14:paraId="1CD67599" w14:textId="77777777" w:rsidR="00FA5AF0" w:rsidRPr="00565DBF" w:rsidRDefault="00FA5AF0" w:rsidP="00FA5AF0">
            <w:pPr>
              <w:pStyle w:val="TableText"/>
            </w:pPr>
            <w:r w:rsidRPr="00565DBF">
              <w:t>System interpretation if one, several, or all rows are positive (P).</w:t>
            </w:r>
          </w:p>
        </w:tc>
        <w:tc>
          <w:tcPr>
            <w:tcW w:w="1200" w:type="dxa"/>
            <w:tcBorders>
              <w:top w:val="single" w:sz="4" w:space="0" w:color="auto"/>
            </w:tcBorders>
          </w:tcPr>
          <w:p w14:paraId="6A6A3F2A" w14:textId="77777777" w:rsidR="00FA5AF0" w:rsidRPr="00565DBF" w:rsidRDefault="00FA5AF0" w:rsidP="00FA5AF0">
            <w:pPr>
              <w:pStyle w:val="TableText"/>
            </w:pPr>
            <w:r w:rsidRPr="00565DBF">
              <w:t>Positive</w:t>
            </w:r>
          </w:p>
        </w:tc>
        <w:tc>
          <w:tcPr>
            <w:tcW w:w="1560" w:type="dxa"/>
            <w:tcBorders>
              <w:top w:val="single" w:sz="4" w:space="0" w:color="auto"/>
            </w:tcBorders>
            <w:shd w:val="clear" w:color="auto" w:fill="auto"/>
          </w:tcPr>
          <w:p w14:paraId="090628E2" w14:textId="77777777" w:rsidR="00FA5AF0" w:rsidRPr="00565DBF" w:rsidRDefault="00FA5AF0" w:rsidP="00FA5AF0">
            <w:pPr>
              <w:pStyle w:val="TableText"/>
              <w:rPr>
                <w:szCs w:val="20"/>
              </w:rPr>
            </w:pPr>
            <w:r w:rsidRPr="00565DBF">
              <w:rPr>
                <w:szCs w:val="20"/>
              </w:rPr>
              <w:t>Positive (P)</w:t>
            </w:r>
          </w:p>
        </w:tc>
        <w:tc>
          <w:tcPr>
            <w:tcW w:w="1080" w:type="dxa"/>
            <w:tcBorders>
              <w:top w:val="single" w:sz="4" w:space="0" w:color="auto"/>
            </w:tcBorders>
          </w:tcPr>
          <w:p w14:paraId="4C5B1036" w14:textId="77777777" w:rsidR="00FA5AF0" w:rsidRPr="00565DBF" w:rsidRDefault="00FA5AF0" w:rsidP="00FA5AF0">
            <w:pPr>
              <w:pStyle w:val="TableText"/>
            </w:pPr>
            <w:r w:rsidRPr="00565DBF">
              <w:t>SR 1</w:t>
            </w:r>
          </w:p>
        </w:tc>
        <w:tc>
          <w:tcPr>
            <w:tcW w:w="1020" w:type="dxa"/>
            <w:tcBorders>
              <w:top w:val="single" w:sz="4" w:space="0" w:color="auto"/>
            </w:tcBorders>
          </w:tcPr>
          <w:p w14:paraId="5C89C49A" w14:textId="77777777" w:rsidR="00FA5AF0" w:rsidRPr="00565DBF" w:rsidRDefault="00FA5AF0" w:rsidP="00FA5AF0">
            <w:pPr>
              <w:pStyle w:val="TableText"/>
            </w:pPr>
            <w:r w:rsidRPr="00565DBF">
              <w:t>N/A</w:t>
            </w:r>
          </w:p>
        </w:tc>
      </w:tr>
      <w:tr w:rsidR="00FA5AF0" w14:paraId="47D2DA84" w14:textId="77777777">
        <w:trPr>
          <w:cantSplit/>
        </w:trPr>
        <w:tc>
          <w:tcPr>
            <w:tcW w:w="1513" w:type="dxa"/>
            <w:vMerge/>
          </w:tcPr>
          <w:p w14:paraId="68A93225" w14:textId="77777777" w:rsidR="00FA5AF0" w:rsidRDefault="00FA5AF0" w:rsidP="00FA5AF0">
            <w:pPr>
              <w:pStyle w:val="TableText"/>
            </w:pPr>
          </w:p>
        </w:tc>
        <w:tc>
          <w:tcPr>
            <w:tcW w:w="2915" w:type="dxa"/>
            <w:vMerge/>
          </w:tcPr>
          <w:p w14:paraId="3DF59367" w14:textId="77777777" w:rsidR="00FA5AF0" w:rsidRPr="00565DBF" w:rsidRDefault="00FA5AF0" w:rsidP="00FA5AF0">
            <w:pPr>
              <w:pStyle w:val="TableText"/>
            </w:pPr>
          </w:p>
        </w:tc>
        <w:tc>
          <w:tcPr>
            <w:tcW w:w="1200" w:type="dxa"/>
          </w:tcPr>
          <w:p w14:paraId="1124A7B8" w14:textId="77777777" w:rsidR="00FA5AF0" w:rsidRPr="00565DBF" w:rsidRDefault="00FA5AF0" w:rsidP="00FA5AF0">
            <w:pPr>
              <w:pStyle w:val="TableText"/>
            </w:pPr>
            <w:r w:rsidRPr="00565DBF">
              <w:t>Negative</w:t>
            </w:r>
          </w:p>
        </w:tc>
        <w:tc>
          <w:tcPr>
            <w:tcW w:w="1560" w:type="dxa"/>
            <w:shd w:val="clear" w:color="auto" w:fill="auto"/>
          </w:tcPr>
          <w:p w14:paraId="4642F464" w14:textId="77777777" w:rsidR="00FA5AF0" w:rsidRPr="00565DBF" w:rsidRDefault="00FA5AF0" w:rsidP="00FA5AF0">
            <w:pPr>
              <w:pStyle w:val="TableText"/>
              <w:rPr>
                <w:szCs w:val="20"/>
              </w:rPr>
            </w:pPr>
            <w:r w:rsidRPr="00565DBF">
              <w:rPr>
                <w:szCs w:val="20"/>
              </w:rPr>
              <w:t>Positive (P)</w:t>
            </w:r>
          </w:p>
        </w:tc>
        <w:tc>
          <w:tcPr>
            <w:tcW w:w="1080" w:type="dxa"/>
          </w:tcPr>
          <w:p w14:paraId="11A68329" w14:textId="77777777" w:rsidR="00FA5AF0" w:rsidRPr="00565DBF" w:rsidRDefault="00FA5AF0" w:rsidP="00FA5AF0">
            <w:pPr>
              <w:pStyle w:val="TableText"/>
            </w:pPr>
            <w:r w:rsidRPr="00565DBF">
              <w:t>SR 2</w:t>
            </w:r>
          </w:p>
        </w:tc>
        <w:tc>
          <w:tcPr>
            <w:tcW w:w="1020" w:type="dxa"/>
          </w:tcPr>
          <w:p w14:paraId="3C0285C6" w14:textId="77777777" w:rsidR="00FA5AF0" w:rsidRPr="00565DBF" w:rsidRDefault="00FA5AF0" w:rsidP="00FA5AF0">
            <w:pPr>
              <w:pStyle w:val="TableText"/>
            </w:pPr>
            <w:r w:rsidRPr="00565DBF">
              <w:t>EM 1</w:t>
            </w:r>
          </w:p>
        </w:tc>
      </w:tr>
      <w:tr w:rsidR="00FA5AF0" w14:paraId="2C243086" w14:textId="77777777">
        <w:trPr>
          <w:cantSplit/>
        </w:trPr>
        <w:tc>
          <w:tcPr>
            <w:tcW w:w="1513" w:type="dxa"/>
            <w:vMerge/>
          </w:tcPr>
          <w:p w14:paraId="7F15CEC5" w14:textId="77777777" w:rsidR="00FA5AF0" w:rsidRDefault="00FA5AF0" w:rsidP="00FA5AF0">
            <w:pPr>
              <w:pStyle w:val="TableText"/>
            </w:pPr>
          </w:p>
        </w:tc>
        <w:tc>
          <w:tcPr>
            <w:tcW w:w="2915" w:type="dxa"/>
          </w:tcPr>
          <w:p w14:paraId="02AA4D16" w14:textId="77777777" w:rsidR="00FA5AF0" w:rsidRPr="00565DBF" w:rsidRDefault="00FA5AF0" w:rsidP="00FA5AF0">
            <w:pPr>
              <w:pStyle w:val="TableText"/>
            </w:pPr>
            <w:r w:rsidRPr="00565DBF">
              <w:t>System interpretation if one, several, or all rows are positive (P) and indicates that a comment is required.</w:t>
            </w:r>
          </w:p>
        </w:tc>
        <w:tc>
          <w:tcPr>
            <w:tcW w:w="1200" w:type="dxa"/>
          </w:tcPr>
          <w:p w14:paraId="5A5BFFA9" w14:textId="77777777" w:rsidR="00FA5AF0" w:rsidRPr="00565DBF" w:rsidRDefault="00FA5AF0" w:rsidP="00FA5AF0">
            <w:pPr>
              <w:pStyle w:val="TableText"/>
              <w:rPr>
                <w:szCs w:val="16"/>
              </w:rPr>
            </w:pPr>
            <w:r w:rsidRPr="00565DBF">
              <w:rPr>
                <w:szCs w:val="16"/>
              </w:rPr>
              <w:t>Positive</w:t>
            </w:r>
          </w:p>
        </w:tc>
        <w:tc>
          <w:tcPr>
            <w:tcW w:w="1560" w:type="dxa"/>
          </w:tcPr>
          <w:p w14:paraId="166BD8DB" w14:textId="77777777" w:rsidR="00FA5AF0" w:rsidRPr="00565DBF" w:rsidRDefault="00FA5AF0" w:rsidP="00FA5AF0">
            <w:pPr>
              <w:pStyle w:val="TableText"/>
              <w:rPr>
                <w:szCs w:val="16"/>
              </w:rPr>
            </w:pPr>
            <w:r w:rsidRPr="00565DBF">
              <w:rPr>
                <w:szCs w:val="16"/>
              </w:rPr>
              <w:t>Positive (P)</w:t>
            </w:r>
          </w:p>
        </w:tc>
        <w:tc>
          <w:tcPr>
            <w:tcW w:w="1080" w:type="dxa"/>
          </w:tcPr>
          <w:p w14:paraId="426B0799" w14:textId="77777777" w:rsidR="00FA5AF0" w:rsidRPr="00565DBF" w:rsidRDefault="00FA5AF0" w:rsidP="00FA5AF0">
            <w:pPr>
              <w:pStyle w:val="TableText"/>
            </w:pPr>
            <w:r w:rsidRPr="00565DBF">
              <w:t>SR 3</w:t>
            </w:r>
          </w:p>
        </w:tc>
        <w:tc>
          <w:tcPr>
            <w:tcW w:w="1020" w:type="dxa"/>
          </w:tcPr>
          <w:p w14:paraId="1F0F61B5" w14:textId="77777777" w:rsidR="00FA5AF0" w:rsidRPr="00565DBF" w:rsidRDefault="00CB127B" w:rsidP="00FA5AF0">
            <w:pPr>
              <w:pStyle w:val="TableText"/>
            </w:pPr>
            <w:r w:rsidRPr="00565DBF">
              <w:t>N/A</w:t>
            </w:r>
          </w:p>
        </w:tc>
      </w:tr>
      <w:tr w:rsidR="00FA5AF0" w14:paraId="09CBF01C" w14:textId="77777777">
        <w:trPr>
          <w:cantSplit/>
        </w:trPr>
        <w:tc>
          <w:tcPr>
            <w:tcW w:w="1513" w:type="dxa"/>
            <w:vMerge/>
          </w:tcPr>
          <w:p w14:paraId="0366615F" w14:textId="77777777" w:rsidR="00FA5AF0" w:rsidRDefault="00FA5AF0" w:rsidP="00FA5AF0">
            <w:pPr>
              <w:pStyle w:val="TableText"/>
            </w:pPr>
          </w:p>
        </w:tc>
        <w:tc>
          <w:tcPr>
            <w:tcW w:w="2915" w:type="dxa"/>
          </w:tcPr>
          <w:p w14:paraId="09B22114" w14:textId="77777777" w:rsidR="00FA5AF0" w:rsidRPr="00565DBF" w:rsidRDefault="00FA5AF0" w:rsidP="00FA5AF0">
            <w:pPr>
              <w:pStyle w:val="TableText"/>
            </w:pPr>
            <w:r w:rsidRPr="00565DBF">
              <w:t>System interpretation if one, several, or all rows are invalid (I).</w:t>
            </w:r>
          </w:p>
        </w:tc>
        <w:tc>
          <w:tcPr>
            <w:tcW w:w="1200" w:type="dxa"/>
          </w:tcPr>
          <w:p w14:paraId="11ABAC26" w14:textId="77777777" w:rsidR="00FA5AF0" w:rsidRPr="00565DBF" w:rsidRDefault="00FA5AF0" w:rsidP="00FA5AF0">
            <w:pPr>
              <w:pStyle w:val="TableText"/>
            </w:pPr>
            <w:r w:rsidRPr="00565DBF">
              <w:t>Positive or Negative</w:t>
            </w:r>
          </w:p>
        </w:tc>
        <w:tc>
          <w:tcPr>
            <w:tcW w:w="1560" w:type="dxa"/>
          </w:tcPr>
          <w:p w14:paraId="01F7E3E8" w14:textId="77777777" w:rsidR="00FA5AF0" w:rsidRPr="00565DBF" w:rsidRDefault="00FA5AF0" w:rsidP="00FA5AF0">
            <w:pPr>
              <w:pStyle w:val="TableText"/>
              <w:rPr>
                <w:szCs w:val="20"/>
              </w:rPr>
            </w:pPr>
            <w:r w:rsidRPr="00565DBF">
              <w:rPr>
                <w:szCs w:val="20"/>
              </w:rPr>
              <w:t>Invalid (I)</w:t>
            </w:r>
          </w:p>
        </w:tc>
        <w:tc>
          <w:tcPr>
            <w:tcW w:w="1080" w:type="dxa"/>
          </w:tcPr>
          <w:p w14:paraId="1DEEF44E" w14:textId="77777777" w:rsidR="00FA5AF0" w:rsidRPr="00565DBF" w:rsidRDefault="00FA5AF0" w:rsidP="00FA5AF0">
            <w:pPr>
              <w:pStyle w:val="TableText"/>
            </w:pPr>
            <w:r w:rsidRPr="00565DBF">
              <w:t>SR 2</w:t>
            </w:r>
          </w:p>
        </w:tc>
        <w:tc>
          <w:tcPr>
            <w:tcW w:w="1020" w:type="dxa"/>
          </w:tcPr>
          <w:p w14:paraId="731F1094" w14:textId="77777777" w:rsidR="00FA5AF0" w:rsidRPr="00565DBF" w:rsidRDefault="00FA5AF0" w:rsidP="00FA5AF0">
            <w:pPr>
              <w:pStyle w:val="TableText"/>
            </w:pPr>
            <w:r w:rsidRPr="00565DBF">
              <w:t>EM2</w:t>
            </w:r>
          </w:p>
        </w:tc>
      </w:tr>
    </w:tbl>
    <w:p w14:paraId="6FC71CD7" w14:textId="77777777" w:rsidR="001200B8" w:rsidRPr="001200B8" w:rsidRDefault="001200B8" w:rsidP="001200B8">
      <w:pPr>
        <w:pStyle w:val="Heading3"/>
      </w:pPr>
      <w:r>
        <w:rPr>
          <w:rFonts w:ascii="Geneva" w:hAnsi="Geneva"/>
          <w:vanish/>
        </w:rPr>
        <w:br w:type="page"/>
      </w:r>
      <w:r>
        <w:rPr>
          <w:rFonts w:ascii="Geneva" w:hAnsi="Geneva"/>
        </w:rPr>
        <w:br w:type="page"/>
      </w:r>
      <w:r>
        <w:rPr>
          <w:rFonts w:ascii="Geneva" w:hAnsi="Geneva"/>
          <w:vanish/>
        </w:rPr>
        <w:lastRenderedPageBreak/>
        <w:t xml:space="preserve">PT_31.01 </w:t>
      </w:r>
      <w:bookmarkStart w:id="741" w:name="_Toc47516811"/>
      <w:r>
        <w:t>Canned Comment Category Types and Text</w:t>
      </w:r>
      <w:bookmarkEnd w:id="741"/>
    </w:p>
    <w:p w14:paraId="44AA4690" w14:textId="403D4839" w:rsidR="00CE2820" w:rsidRDefault="002A21AE" w:rsidP="001200B8">
      <w:pPr>
        <w:pStyle w:val="BodyText"/>
        <w:keepNext/>
      </w:pPr>
      <w:r>
        <w:t xml:space="preserve">Canned comments are defined comments that can be inserted in a record during execution of a variety of functions. The canned comments available in a function are restricted to the category type associated with that function. </w:t>
      </w:r>
      <w:r w:rsidR="00800320">
        <w:fldChar w:fldCharType="begin"/>
      </w:r>
      <w:r w:rsidR="00800320">
        <w:instrText xml:space="preserve"> REF _Ref126732112 \h </w:instrText>
      </w:r>
      <w:r w:rsidR="00800320">
        <w:fldChar w:fldCharType="separate"/>
      </w:r>
      <w:r w:rsidR="004353ED">
        <w:t xml:space="preserve">Table </w:t>
      </w:r>
      <w:r w:rsidR="004353ED">
        <w:rPr>
          <w:noProof/>
        </w:rPr>
        <w:t>17</w:t>
      </w:r>
      <w:r w:rsidR="00800320">
        <w:fldChar w:fldCharType="end"/>
      </w:r>
      <w:r>
        <w:t xml:space="preserve"> lists the category types available when defining canned comments.</w:t>
      </w:r>
    </w:p>
    <w:p w14:paraId="5361CFDD" w14:textId="0148A052" w:rsidR="0077267A" w:rsidRDefault="002A21AE">
      <w:pPr>
        <w:pStyle w:val="Caption"/>
      </w:pPr>
      <w:bookmarkStart w:id="742" w:name="_Ref126732112"/>
      <w:bookmarkStart w:id="743" w:name="_Toc97523634"/>
      <w:bookmarkStart w:id="744" w:name="_Toc97527604"/>
      <w:bookmarkStart w:id="745" w:name="_Ref12648449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17</w:t>
      </w:r>
      <w:r w:rsidR="004E20BD">
        <w:rPr>
          <w:noProof/>
        </w:rPr>
        <w:fldChar w:fldCharType="end"/>
      </w:r>
      <w:bookmarkEnd w:id="742"/>
      <w:r>
        <w:t xml:space="preserve">: </w:t>
      </w:r>
      <w:r>
        <w:rPr>
          <w:vanish/>
        </w:rPr>
        <w:t xml:space="preserve">PT_31.01 </w:t>
      </w:r>
      <w:r>
        <w:t xml:space="preserve">Canned Comment Category Types and </w:t>
      </w:r>
      <w:r w:rsidR="004F2549">
        <w:t xml:space="preserve">Message </w:t>
      </w:r>
      <w:r>
        <w:t>Text</w:t>
      </w:r>
      <w:bookmarkEnd w:id="743"/>
      <w:bookmarkEnd w:id="744"/>
      <w:bookmarkEnd w:id="745"/>
      <w:r w:rsidR="00562075">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5490"/>
      </w:tblGrid>
      <w:tr w:rsidR="00CE2820" w:rsidRPr="00575988" w14:paraId="16569F1C" w14:textId="77777777" w:rsidTr="00CE2820">
        <w:trPr>
          <w:cantSplit/>
          <w:tblHeader/>
        </w:trPr>
        <w:tc>
          <w:tcPr>
            <w:tcW w:w="3168" w:type="dxa"/>
            <w:shd w:val="pct25" w:color="auto" w:fill="auto"/>
          </w:tcPr>
          <w:p w14:paraId="6A702B0C" w14:textId="77777777" w:rsidR="00CE2820" w:rsidRPr="00CE2820" w:rsidRDefault="00562075" w:rsidP="00CA1F44">
            <w:pPr>
              <w:pStyle w:val="Caption"/>
              <w:keepNext w:val="0"/>
              <w:spacing w:before="0" w:after="0"/>
              <w:rPr>
                <w:rFonts w:ascii="Arial" w:hAnsi="Arial" w:cs="Arial"/>
                <w:sz w:val="18"/>
                <w:szCs w:val="18"/>
              </w:rPr>
            </w:pPr>
            <w:r w:rsidRPr="00CE2820">
              <w:rPr>
                <w:rFonts w:ascii="Arial" w:hAnsi="Arial" w:cs="Arial"/>
                <w:sz w:val="18"/>
                <w:szCs w:val="18"/>
              </w:rPr>
              <w:fldChar w:fldCharType="begin"/>
            </w:r>
            <w:r w:rsidRPr="00CE2820">
              <w:rPr>
                <w:rFonts w:ascii="Arial" w:hAnsi="Arial" w:cs="Arial"/>
                <w:sz w:val="18"/>
                <w:szCs w:val="18"/>
              </w:rPr>
              <w:instrText xml:space="preserve"> XE “Tables:Canned Comment Category Types and Text” </w:instrText>
            </w:r>
            <w:r w:rsidRPr="00CE2820">
              <w:rPr>
                <w:rFonts w:ascii="Arial" w:hAnsi="Arial" w:cs="Arial"/>
                <w:sz w:val="18"/>
                <w:szCs w:val="18"/>
              </w:rPr>
              <w:fldChar w:fldCharType="end"/>
            </w:r>
            <w:r w:rsidR="00CE2820" w:rsidRPr="00CE2820">
              <w:rPr>
                <w:rFonts w:ascii="Arial" w:hAnsi="Arial" w:cs="Arial"/>
                <w:sz w:val="18"/>
                <w:szCs w:val="18"/>
              </w:rPr>
              <w:t>Canned Comment Category Type</w:t>
            </w:r>
          </w:p>
        </w:tc>
        <w:tc>
          <w:tcPr>
            <w:tcW w:w="5490" w:type="dxa"/>
            <w:shd w:val="pct25" w:color="auto" w:fill="auto"/>
          </w:tcPr>
          <w:p w14:paraId="6C305C6C" w14:textId="77777777" w:rsidR="00CE2820" w:rsidRPr="00CE2820" w:rsidRDefault="00CE2820" w:rsidP="00CA1F44">
            <w:pPr>
              <w:pStyle w:val="Caption"/>
              <w:keepNext w:val="0"/>
              <w:spacing w:before="0" w:after="0"/>
              <w:ind w:left="162" w:hanging="180"/>
              <w:rPr>
                <w:rFonts w:ascii="Arial" w:hAnsi="Arial" w:cs="Arial"/>
                <w:sz w:val="18"/>
                <w:szCs w:val="18"/>
              </w:rPr>
            </w:pPr>
            <w:r w:rsidRPr="00CE2820">
              <w:rPr>
                <w:rFonts w:ascii="Arial" w:hAnsi="Arial" w:cs="Arial"/>
                <w:sz w:val="18"/>
                <w:szCs w:val="18"/>
              </w:rPr>
              <w:t>Message Text</w:t>
            </w:r>
          </w:p>
        </w:tc>
      </w:tr>
      <w:tr w:rsidR="00CE2820" w:rsidRPr="00575988" w14:paraId="6F0296D3" w14:textId="77777777" w:rsidTr="00CE2820">
        <w:trPr>
          <w:cantSplit/>
        </w:trPr>
        <w:tc>
          <w:tcPr>
            <w:tcW w:w="3168" w:type="dxa"/>
            <w:shd w:val="clear" w:color="auto" w:fill="auto"/>
          </w:tcPr>
          <w:p w14:paraId="1422C306"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ABO Incompatible Issue</w:t>
            </w:r>
          </w:p>
        </w:tc>
        <w:tc>
          <w:tcPr>
            <w:tcW w:w="5490" w:type="dxa"/>
            <w:shd w:val="clear" w:color="auto" w:fill="auto"/>
          </w:tcPr>
          <w:p w14:paraId="14A08C7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6E391EB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Issued to ER</w:t>
            </w:r>
          </w:p>
          <w:p w14:paraId="205C7E3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1762EA1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48BBFDC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F1B94CE" w14:textId="77777777" w:rsidTr="00CE2820">
        <w:trPr>
          <w:cantSplit/>
        </w:trPr>
        <w:tc>
          <w:tcPr>
            <w:tcW w:w="3168" w:type="dxa"/>
            <w:shd w:val="clear" w:color="auto" w:fill="auto"/>
          </w:tcPr>
          <w:p w14:paraId="516101F4"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Automated Testing Review</w:t>
            </w:r>
          </w:p>
        </w:tc>
        <w:tc>
          <w:tcPr>
            <w:tcW w:w="5490" w:type="dxa"/>
            <w:shd w:val="clear" w:color="auto" w:fill="auto"/>
          </w:tcPr>
          <w:p w14:paraId="1194DDA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Control NEG</w:t>
            </w:r>
          </w:p>
          <w:p w14:paraId="1708651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Control POS</w:t>
            </w:r>
          </w:p>
          <w:p w14:paraId="381A6B1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Post-transfusion reaction</w:t>
            </w:r>
          </w:p>
          <w:p w14:paraId="688AF50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Data Record reviewed, history</w:t>
            </w:r>
          </w:p>
          <w:p w14:paraId="35E6AC5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Data Record reviewed, no history</w:t>
            </w:r>
          </w:p>
          <w:p w14:paraId="6D6E522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Results confirmed with tube testing</w:t>
            </w:r>
          </w:p>
          <w:p w14:paraId="3C53A0F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Rh (D) control negative</w:t>
            </w:r>
          </w:p>
          <w:p w14:paraId="6F5370C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4ABD647" w14:textId="77777777" w:rsidTr="00CE2820">
        <w:trPr>
          <w:cantSplit/>
        </w:trPr>
        <w:tc>
          <w:tcPr>
            <w:tcW w:w="3168" w:type="dxa"/>
            <w:shd w:val="clear" w:color="auto" w:fill="auto"/>
          </w:tcPr>
          <w:p w14:paraId="10289A5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Crossmatch</w:t>
            </w:r>
          </w:p>
        </w:tc>
        <w:tc>
          <w:tcPr>
            <w:tcW w:w="5490" w:type="dxa"/>
            <w:shd w:val="clear" w:color="auto" w:fill="auto"/>
          </w:tcPr>
          <w:p w14:paraId="00B6176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3941BE5" w14:textId="77777777" w:rsidTr="00CE2820">
        <w:trPr>
          <w:cantSplit/>
        </w:trPr>
        <w:tc>
          <w:tcPr>
            <w:tcW w:w="3168" w:type="dxa"/>
            <w:shd w:val="clear" w:color="auto" w:fill="auto"/>
          </w:tcPr>
          <w:p w14:paraId="2F484D2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Incoming Shipment</w:t>
            </w:r>
          </w:p>
        </w:tc>
        <w:tc>
          <w:tcPr>
            <w:tcW w:w="5490" w:type="dxa"/>
            <w:shd w:val="clear" w:color="auto" w:fill="auto"/>
          </w:tcPr>
          <w:p w14:paraId="03C534B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Prolonged storage outside of monitored storage area</w:t>
            </w:r>
          </w:p>
          <w:p w14:paraId="3F848FB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Spiked or damaged</w:t>
            </w:r>
          </w:p>
          <w:p w14:paraId="5B898E7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returned unused</w:t>
            </w:r>
          </w:p>
          <w:p w14:paraId="472BF75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7CBC018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9AFE13D" w14:textId="77777777" w:rsidTr="00CE2820">
        <w:trPr>
          <w:cantSplit/>
        </w:trPr>
        <w:tc>
          <w:tcPr>
            <w:tcW w:w="3168" w:type="dxa"/>
            <w:shd w:val="clear" w:color="auto" w:fill="auto"/>
          </w:tcPr>
          <w:p w14:paraId="73FEF75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Justify ABO/Rh Change</w:t>
            </w:r>
          </w:p>
        </w:tc>
        <w:tc>
          <w:tcPr>
            <w:tcW w:w="5490" w:type="dxa"/>
            <w:shd w:val="clear" w:color="auto" w:fill="auto"/>
          </w:tcPr>
          <w:p w14:paraId="17635B3D"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Other</w:t>
            </w:r>
            <w:r w:rsidRPr="00575988">
              <w:rPr>
                <w:rFonts w:ascii="Arial" w:hAnsi="Arial" w:cs="Arial"/>
                <w:b w:val="0"/>
                <w:sz w:val="18"/>
                <w:szCs w:val="18"/>
              </w:rPr>
              <w:tab/>
            </w:r>
          </w:p>
        </w:tc>
      </w:tr>
      <w:tr w:rsidR="00CE2820" w:rsidRPr="00575988" w14:paraId="5B9B5CA4" w14:textId="77777777" w:rsidTr="00CE2820">
        <w:trPr>
          <w:cantSplit/>
        </w:trPr>
        <w:tc>
          <w:tcPr>
            <w:tcW w:w="3168" w:type="dxa"/>
            <w:shd w:val="clear" w:color="auto" w:fill="auto"/>
          </w:tcPr>
          <w:p w14:paraId="4B60D63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Justify ABO/Rh Discrepancy</w:t>
            </w:r>
          </w:p>
        </w:tc>
        <w:tc>
          <w:tcPr>
            <w:tcW w:w="5490" w:type="dxa"/>
            <w:shd w:val="clear" w:color="auto" w:fill="auto"/>
          </w:tcPr>
          <w:p w14:paraId="5D0631BA"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ABO inconclusive</w:t>
            </w:r>
          </w:p>
          <w:p w14:paraId="51AE862F"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2F5E9C35"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Other</w:t>
            </w:r>
            <w:r w:rsidRPr="00575988">
              <w:rPr>
                <w:rFonts w:ascii="Arial" w:hAnsi="Arial" w:cs="Arial"/>
                <w:b w:val="0"/>
                <w:sz w:val="18"/>
                <w:szCs w:val="18"/>
              </w:rPr>
              <w:tab/>
            </w:r>
          </w:p>
        </w:tc>
      </w:tr>
      <w:tr w:rsidR="00CE2820" w:rsidRPr="00575988" w14:paraId="4CA56D07" w14:textId="77777777" w:rsidTr="00CE2820">
        <w:trPr>
          <w:cantSplit/>
        </w:trPr>
        <w:tc>
          <w:tcPr>
            <w:tcW w:w="3168" w:type="dxa"/>
            <w:shd w:val="clear" w:color="auto" w:fill="auto"/>
          </w:tcPr>
          <w:p w14:paraId="723DF30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Order Cancellation</w:t>
            </w:r>
          </w:p>
        </w:tc>
        <w:tc>
          <w:tcPr>
            <w:tcW w:w="5490" w:type="dxa"/>
            <w:shd w:val="clear" w:color="auto" w:fill="auto"/>
          </w:tcPr>
          <w:p w14:paraId="4DA1C35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Inappropriate blood component ordered</w:t>
            </w:r>
          </w:p>
          <w:p w14:paraId="51CEB77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Inappropriate test ordered</w:t>
            </w:r>
          </w:p>
          <w:p w14:paraId="0262380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Max time for active orders exceeded</w:t>
            </w:r>
          </w:p>
          <w:p w14:paraId="0D0C944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36A0331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3AD3FF8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refuses treatment</w:t>
            </w:r>
          </w:p>
          <w:p w14:paraId="71FE282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unavailable</w:t>
            </w:r>
          </w:p>
          <w:p w14:paraId="3E57E2D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E0D0092" w14:textId="77777777" w:rsidTr="00CE2820">
        <w:trPr>
          <w:cantSplit/>
        </w:trPr>
        <w:tc>
          <w:tcPr>
            <w:tcW w:w="3168" w:type="dxa"/>
            <w:shd w:val="clear" w:color="auto" w:fill="auto"/>
          </w:tcPr>
          <w:p w14:paraId="01547E1D"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Order Processing</w:t>
            </w:r>
          </w:p>
        </w:tc>
        <w:tc>
          <w:tcPr>
            <w:tcW w:w="5490" w:type="dxa"/>
            <w:shd w:val="clear" w:color="auto" w:fill="auto"/>
          </w:tcPr>
          <w:p w14:paraId="2176C6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Verbal order</w:t>
            </w:r>
          </w:p>
          <w:p w14:paraId="64A8E2A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531D865" w14:textId="77777777" w:rsidTr="00CE2820">
        <w:trPr>
          <w:cantSplit/>
        </w:trPr>
        <w:tc>
          <w:tcPr>
            <w:tcW w:w="3168" w:type="dxa"/>
            <w:shd w:val="clear" w:color="auto" w:fill="auto"/>
          </w:tcPr>
          <w:p w14:paraId="13DBAA9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Parameter Setting Change</w:t>
            </w:r>
          </w:p>
        </w:tc>
        <w:tc>
          <w:tcPr>
            <w:tcW w:w="5490" w:type="dxa"/>
            <w:shd w:val="clear" w:color="auto" w:fill="auto"/>
          </w:tcPr>
          <w:p w14:paraId="6D2D57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7F81A24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Resetting due to policy change</w:t>
            </w:r>
          </w:p>
          <w:p w14:paraId="2B3AAD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18E90C2B" w14:textId="77777777" w:rsidTr="00CE2820">
        <w:trPr>
          <w:cantSplit/>
        </w:trPr>
        <w:tc>
          <w:tcPr>
            <w:tcW w:w="3168" w:type="dxa"/>
            <w:shd w:val="clear" w:color="auto" w:fill="auto"/>
          </w:tcPr>
          <w:p w14:paraId="64475C7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Patient Testing</w:t>
            </w:r>
          </w:p>
        </w:tc>
        <w:tc>
          <w:tcPr>
            <w:tcW w:w="5490" w:type="dxa"/>
            <w:shd w:val="clear" w:color="auto" w:fill="auto"/>
          </w:tcPr>
          <w:p w14:paraId="20B3A09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Lab equipment failure</w:t>
            </w:r>
          </w:p>
          <w:p w14:paraId="2624ACC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New lot numbers in use</w:t>
            </w:r>
          </w:p>
          <w:p w14:paraId="6804312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New specimen required</w:t>
            </w:r>
          </w:p>
          <w:p w14:paraId="03DF1C4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ruined during test process</w:t>
            </w:r>
          </w:p>
          <w:p w14:paraId="214CD1F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cancelled</w:t>
            </w:r>
          </w:p>
          <w:p w14:paraId="1B1EF7F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complete, results inconclusive</w:t>
            </w:r>
          </w:p>
          <w:p w14:paraId="0E1AE04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compromised</w:t>
            </w:r>
          </w:p>
          <w:p w14:paraId="3819A8D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Testing inconclusive</w:t>
            </w:r>
          </w:p>
          <w:p w14:paraId="4B6F967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Testing interrupted</w:t>
            </w:r>
          </w:p>
          <w:p w14:paraId="12EC93A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F4169D9" w14:textId="77777777" w:rsidTr="00CE2820">
        <w:trPr>
          <w:cantSplit/>
        </w:trPr>
        <w:tc>
          <w:tcPr>
            <w:tcW w:w="3168" w:type="dxa"/>
            <w:shd w:val="clear" w:color="auto" w:fill="auto"/>
          </w:tcPr>
          <w:p w14:paraId="3F847E5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Quarantine/Discard</w:t>
            </w:r>
          </w:p>
        </w:tc>
        <w:tc>
          <w:tcPr>
            <w:tcW w:w="5490" w:type="dxa"/>
            <w:shd w:val="clear" w:color="auto" w:fill="auto"/>
          </w:tcPr>
          <w:p w14:paraId="58EF128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ABO inconclusive</w:t>
            </w:r>
          </w:p>
          <w:p w14:paraId="66A7108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Disposition for research</w:t>
            </w:r>
          </w:p>
          <w:p w14:paraId="3232B19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Expired</w:t>
            </w:r>
          </w:p>
          <w:p w14:paraId="5DD3A27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Incinerated</w:t>
            </w:r>
          </w:p>
          <w:p w14:paraId="1B0C299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3CA52DF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27E17D4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Prolonged storage outside of monitored storage area</w:t>
            </w:r>
          </w:p>
          <w:p w14:paraId="1090D6A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1F86A84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0BF31BD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0880C63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4909510" w14:textId="77777777" w:rsidTr="00CE2820">
        <w:trPr>
          <w:cantSplit/>
        </w:trPr>
        <w:tc>
          <w:tcPr>
            <w:tcW w:w="3168" w:type="dxa"/>
            <w:shd w:val="clear" w:color="auto" w:fill="auto"/>
          </w:tcPr>
          <w:p w14:paraId="1B868E5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Reagent and Supply</w:t>
            </w:r>
          </w:p>
        </w:tc>
        <w:tc>
          <w:tcPr>
            <w:tcW w:w="5490" w:type="dxa"/>
            <w:shd w:val="clear" w:color="auto" w:fill="auto"/>
          </w:tcPr>
          <w:p w14:paraId="140E5CC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upon receipt</w:t>
            </w:r>
          </w:p>
          <w:p w14:paraId="060AA76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Contaminated</w:t>
            </w:r>
          </w:p>
          <w:p w14:paraId="61C4AAC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Improperly stored</w:t>
            </w:r>
          </w:p>
          <w:p w14:paraId="50D7788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Product shortage</w:t>
            </w:r>
          </w:p>
          <w:p w14:paraId="753747F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Spilled</w:t>
            </w:r>
          </w:p>
          <w:p w14:paraId="64D039F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Unsatisfactory, return to supplier</w:t>
            </w:r>
          </w:p>
          <w:p w14:paraId="234CF9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Updated inventory</w:t>
            </w:r>
          </w:p>
          <w:p w14:paraId="5B130AC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1DC67D6F" w14:textId="77777777" w:rsidTr="00CE2820">
        <w:trPr>
          <w:cantSplit/>
        </w:trPr>
        <w:tc>
          <w:tcPr>
            <w:tcW w:w="3168" w:type="dxa"/>
            <w:shd w:val="clear" w:color="auto" w:fill="auto"/>
          </w:tcPr>
          <w:p w14:paraId="39B33F76"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Release from Quarantine</w:t>
            </w:r>
          </w:p>
        </w:tc>
        <w:tc>
          <w:tcPr>
            <w:tcW w:w="5490" w:type="dxa"/>
            <w:shd w:val="clear" w:color="auto" w:fill="auto"/>
          </w:tcPr>
          <w:p w14:paraId="2C9651A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A5BAD6B" w14:textId="77777777" w:rsidTr="00CE2820">
        <w:trPr>
          <w:cantSplit/>
        </w:trPr>
        <w:tc>
          <w:tcPr>
            <w:tcW w:w="3168" w:type="dxa"/>
            <w:shd w:val="clear" w:color="auto" w:fill="auto"/>
          </w:tcPr>
          <w:p w14:paraId="62C6CD09"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Reason for Release</w:t>
            </w:r>
          </w:p>
        </w:tc>
        <w:tc>
          <w:tcPr>
            <w:tcW w:w="5490" w:type="dxa"/>
            <w:shd w:val="clear" w:color="auto" w:fill="auto"/>
          </w:tcPr>
          <w:p w14:paraId="7FB4B792" w14:textId="25804C0C" w:rsidR="00CE2820" w:rsidRPr="00575988" w:rsidRDefault="006549B7"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24-hour</w:t>
            </w:r>
            <w:r w:rsidR="00CE2820" w:rsidRPr="00575988">
              <w:rPr>
                <w:rFonts w:ascii="Arial" w:hAnsi="Arial" w:cs="Arial"/>
                <w:b w:val="0"/>
                <w:sz w:val="18"/>
                <w:szCs w:val="18"/>
              </w:rPr>
              <w:t xml:space="preserve"> post-op</w:t>
            </w:r>
          </w:p>
          <w:p w14:paraId="52F34C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Biohazardous</w:t>
            </w:r>
          </w:p>
          <w:p w14:paraId="5AB9A43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Counts or levels exceed transfusion trigger</w:t>
            </w:r>
          </w:p>
          <w:p w14:paraId="1EDD470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For use by another patient</w:t>
            </w:r>
          </w:p>
          <w:p w14:paraId="29FB36E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Order cancelled</w:t>
            </w:r>
          </w:p>
          <w:p w14:paraId="257627D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40E245F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43A38BD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expired</w:t>
            </w:r>
          </w:p>
          <w:p w14:paraId="7438B94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Transfusion reaction</w:t>
            </w:r>
          </w:p>
          <w:p w14:paraId="3F27E00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expired</w:t>
            </w:r>
          </w:p>
          <w:p w14:paraId="77C98E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7DE8808" w14:textId="77777777" w:rsidTr="00CE2820">
        <w:trPr>
          <w:cantSplit/>
        </w:trPr>
        <w:tc>
          <w:tcPr>
            <w:tcW w:w="3168" w:type="dxa"/>
            <w:shd w:val="clear" w:color="auto" w:fill="auto"/>
          </w:tcPr>
          <w:p w14:paraId="7A189EE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Special Instruction Inactivation</w:t>
            </w:r>
          </w:p>
        </w:tc>
        <w:tc>
          <w:tcPr>
            <w:tcW w:w="5490" w:type="dxa"/>
            <w:shd w:val="clear" w:color="auto" w:fill="auto"/>
          </w:tcPr>
          <w:p w14:paraId="1D96387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270076E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2764AFE9" w14:textId="77777777" w:rsidTr="00CE2820">
        <w:trPr>
          <w:cantSplit/>
        </w:trPr>
        <w:tc>
          <w:tcPr>
            <w:tcW w:w="3168" w:type="dxa"/>
            <w:shd w:val="clear" w:color="auto" w:fill="auto"/>
          </w:tcPr>
          <w:p w14:paraId="0F158E6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Special Instructions</w:t>
            </w:r>
          </w:p>
        </w:tc>
        <w:tc>
          <w:tcPr>
            <w:tcW w:w="5490" w:type="dxa"/>
            <w:shd w:val="clear" w:color="auto" w:fill="auto"/>
          </w:tcPr>
          <w:p w14:paraId="4903A8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Check the patient’s blood counts before selecting units, use often exceeds original order</w:t>
            </w:r>
          </w:p>
          <w:p w14:paraId="2C70B07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has rouleaux; saline replacement crossmatches are needed</w:t>
            </w:r>
          </w:p>
          <w:p w14:paraId="7A2DE0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Split units for transfusion today</w:t>
            </w:r>
          </w:p>
          <w:p w14:paraId="4D112F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Volume reduce platelet pools over 300 mL</w:t>
            </w:r>
          </w:p>
        </w:tc>
      </w:tr>
      <w:tr w:rsidR="00CE2820" w:rsidRPr="00575988" w14:paraId="6BA8A52E" w14:textId="77777777" w:rsidTr="00CE2820">
        <w:trPr>
          <w:cantSplit/>
        </w:trPr>
        <w:tc>
          <w:tcPr>
            <w:tcW w:w="3168" w:type="dxa"/>
            <w:shd w:val="clear" w:color="auto" w:fill="auto"/>
          </w:tcPr>
          <w:p w14:paraId="5CBD339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Extension</w:t>
            </w:r>
          </w:p>
        </w:tc>
        <w:tc>
          <w:tcPr>
            <w:tcW w:w="5490" w:type="dxa"/>
            <w:shd w:val="clear" w:color="auto" w:fill="auto"/>
          </w:tcPr>
          <w:p w14:paraId="61711FA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Pre-op Workup</w:t>
            </w:r>
          </w:p>
          <w:p w14:paraId="4BD8A79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Surgery rescheduled</w:t>
            </w:r>
          </w:p>
          <w:p w14:paraId="51A2BF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8E064B4" w14:textId="77777777" w:rsidTr="00CE2820">
        <w:trPr>
          <w:cantSplit/>
        </w:trPr>
        <w:tc>
          <w:tcPr>
            <w:tcW w:w="3168" w:type="dxa"/>
            <w:shd w:val="clear" w:color="auto" w:fill="auto"/>
          </w:tcPr>
          <w:p w14:paraId="3FD5D29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General</w:t>
            </w:r>
          </w:p>
        </w:tc>
        <w:tc>
          <w:tcPr>
            <w:tcW w:w="5490" w:type="dxa"/>
            <w:shd w:val="clear" w:color="auto" w:fill="auto"/>
          </w:tcPr>
          <w:p w14:paraId="08FDC97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eligible for specimen extension</w:t>
            </w:r>
          </w:p>
          <w:p w14:paraId="0B25F04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recollected</w:t>
            </w:r>
          </w:p>
          <w:p w14:paraId="497FDA2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55DA605" w14:textId="77777777" w:rsidTr="00CE2820">
        <w:trPr>
          <w:cantSplit/>
        </w:trPr>
        <w:tc>
          <w:tcPr>
            <w:tcW w:w="3168" w:type="dxa"/>
            <w:shd w:val="clear" w:color="auto" w:fill="auto"/>
          </w:tcPr>
          <w:p w14:paraId="63842E1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Processing</w:t>
            </w:r>
          </w:p>
        </w:tc>
        <w:tc>
          <w:tcPr>
            <w:tcW w:w="5490" w:type="dxa"/>
            <w:shd w:val="clear" w:color="auto" w:fill="auto"/>
          </w:tcPr>
          <w:p w14:paraId="60EA483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eligible for specimen extension</w:t>
            </w:r>
          </w:p>
          <w:p w14:paraId="16E0F72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4F75EA6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recollected</w:t>
            </w:r>
          </w:p>
          <w:p w14:paraId="79AE78C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19343A0" w14:textId="77777777" w:rsidTr="00CE2820">
        <w:trPr>
          <w:cantSplit/>
        </w:trPr>
        <w:tc>
          <w:tcPr>
            <w:tcW w:w="3168" w:type="dxa"/>
            <w:shd w:val="clear" w:color="auto" w:fill="auto"/>
          </w:tcPr>
          <w:p w14:paraId="64B6DB5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Specimen Unacceptable</w:t>
            </w:r>
          </w:p>
        </w:tc>
        <w:tc>
          <w:tcPr>
            <w:tcW w:w="5490" w:type="dxa"/>
            <w:shd w:val="clear" w:color="auto" w:fill="auto"/>
          </w:tcPr>
          <w:p w14:paraId="560A7EE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during processing</w:t>
            </w:r>
          </w:p>
          <w:p w14:paraId="6BB3A1B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654FA0A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or unreadable Phlebotomist ID</w:t>
            </w:r>
          </w:p>
          <w:p w14:paraId="3AD20E5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277CEEE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phlebotomist ID</w:t>
            </w:r>
          </w:p>
          <w:p w14:paraId="7EE50E5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QNS (quantity not sufficient)</w:t>
            </w:r>
          </w:p>
          <w:p w14:paraId="34633EC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5E6CFE3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hemolyzed</w:t>
            </w:r>
          </w:p>
          <w:p w14:paraId="166233B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5067C1B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not received</w:t>
            </w:r>
          </w:p>
          <w:p w14:paraId="37802E9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Wrong specimen type collected</w:t>
            </w:r>
          </w:p>
          <w:p w14:paraId="4B88939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2B22D17" w14:textId="77777777" w:rsidTr="00CE2820">
        <w:trPr>
          <w:cantSplit/>
        </w:trPr>
        <w:tc>
          <w:tcPr>
            <w:tcW w:w="3168" w:type="dxa"/>
            <w:shd w:val="clear" w:color="auto" w:fill="auto"/>
          </w:tcPr>
          <w:p w14:paraId="1996324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Processing</w:t>
            </w:r>
          </w:p>
        </w:tc>
        <w:tc>
          <w:tcPr>
            <w:tcW w:w="5490" w:type="dxa"/>
            <w:shd w:val="clear" w:color="auto" w:fill="auto"/>
          </w:tcPr>
          <w:p w14:paraId="3214CAB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76F6BC80" w14:textId="77777777" w:rsidTr="00CE2820">
        <w:trPr>
          <w:cantSplit/>
        </w:trPr>
        <w:tc>
          <w:tcPr>
            <w:tcW w:w="3168" w:type="dxa"/>
            <w:shd w:val="clear" w:color="auto" w:fill="auto"/>
          </w:tcPr>
          <w:p w14:paraId="6878BE4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Reaction Workup</w:t>
            </w:r>
          </w:p>
        </w:tc>
        <w:tc>
          <w:tcPr>
            <w:tcW w:w="5490" w:type="dxa"/>
            <w:shd w:val="clear" w:color="auto" w:fill="auto"/>
          </w:tcPr>
          <w:p w14:paraId="7B29358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F3E87A3" w14:textId="77777777" w:rsidTr="00CE2820">
        <w:trPr>
          <w:cantSplit/>
        </w:trPr>
        <w:tc>
          <w:tcPr>
            <w:tcW w:w="3168" w:type="dxa"/>
            <w:shd w:val="clear" w:color="auto" w:fill="auto"/>
          </w:tcPr>
          <w:p w14:paraId="72AA798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Required</w:t>
            </w:r>
          </w:p>
        </w:tc>
        <w:tc>
          <w:tcPr>
            <w:tcW w:w="5490" w:type="dxa"/>
            <w:shd w:val="clear" w:color="auto" w:fill="auto"/>
          </w:tcPr>
          <w:p w14:paraId="11041F3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662E09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6EB9CD8" w14:textId="77777777" w:rsidTr="00CE2820">
        <w:trPr>
          <w:cantSplit/>
        </w:trPr>
        <w:tc>
          <w:tcPr>
            <w:tcW w:w="3168" w:type="dxa"/>
            <w:shd w:val="clear" w:color="auto" w:fill="auto"/>
          </w:tcPr>
          <w:p w14:paraId="6CE62BD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Pre-Transfusion Specimen Checks</w:t>
            </w:r>
          </w:p>
        </w:tc>
        <w:tc>
          <w:tcPr>
            <w:tcW w:w="5490" w:type="dxa"/>
            <w:shd w:val="clear" w:color="auto" w:fill="auto"/>
          </w:tcPr>
          <w:p w14:paraId="552CB6B7"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2F6A5BA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1E49FE77"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17B3DFF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6AA2E9A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71A67065" w14:textId="77777777" w:rsidTr="00CE2820">
        <w:trPr>
          <w:cantSplit/>
        </w:trPr>
        <w:tc>
          <w:tcPr>
            <w:tcW w:w="3168" w:type="dxa"/>
            <w:shd w:val="clear" w:color="auto" w:fill="auto"/>
          </w:tcPr>
          <w:p w14:paraId="17ECBBC6"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Post-Transfusion Specimen Checks</w:t>
            </w:r>
          </w:p>
        </w:tc>
        <w:tc>
          <w:tcPr>
            <w:tcW w:w="5490" w:type="dxa"/>
            <w:shd w:val="clear" w:color="auto" w:fill="auto"/>
          </w:tcPr>
          <w:p w14:paraId="6FEC6255"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5A855B0D"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4902EB72"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100F5992"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37EBF1C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AB73624" w14:textId="77777777" w:rsidTr="00CE2820">
        <w:trPr>
          <w:cantSplit/>
        </w:trPr>
        <w:tc>
          <w:tcPr>
            <w:tcW w:w="3168" w:type="dxa"/>
            <w:shd w:val="clear" w:color="auto" w:fill="auto"/>
          </w:tcPr>
          <w:p w14:paraId="1932D97D"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Implicated Units</w:t>
            </w:r>
          </w:p>
        </w:tc>
        <w:tc>
          <w:tcPr>
            <w:tcW w:w="5490" w:type="dxa"/>
            <w:shd w:val="clear" w:color="auto" w:fill="auto"/>
          </w:tcPr>
          <w:p w14:paraId="4ECE618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Biohazardous</w:t>
            </w:r>
          </w:p>
          <w:p w14:paraId="5E8179E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282F3DCF"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Transfusion reaction</w:t>
            </w:r>
          </w:p>
          <w:p w14:paraId="3762F75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08E4993" w14:textId="77777777" w:rsidTr="00CE2820">
        <w:trPr>
          <w:cantSplit/>
        </w:trPr>
        <w:tc>
          <w:tcPr>
            <w:tcW w:w="3168" w:type="dxa"/>
            <w:shd w:val="clear" w:color="auto" w:fill="auto"/>
          </w:tcPr>
          <w:p w14:paraId="11A5011C"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Symptom Details</w:t>
            </w:r>
          </w:p>
        </w:tc>
        <w:tc>
          <w:tcPr>
            <w:tcW w:w="5490" w:type="dxa"/>
            <w:shd w:val="clear" w:color="auto" w:fill="auto"/>
          </w:tcPr>
          <w:p w14:paraId="0228569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455C2AC" w14:textId="77777777" w:rsidTr="00CE2820">
        <w:trPr>
          <w:cantSplit/>
        </w:trPr>
        <w:tc>
          <w:tcPr>
            <w:tcW w:w="3168" w:type="dxa"/>
            <w:shd w:val="clear" w:color="auto" w:fill="auto"/>
          </w:tcPr>
          <w:p w14:paraId="4DA97621"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Blood Bag Not Returned</w:t>
            </w:r>
          </w:p>
        </w:tc>
        <w:tc>
          <w:tcPr>
            <w:tcW w:w="5490" w:type="dxa"/>
            <w:shd w:val="clear" w:color="auto" w:fill="auto"/>
          </w:tcPr>
          <w:p w14:paraId="7925A5C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DFAD2DA" w14:textId="77777777" w:rsidTr="00CE2820">
        <w:trPr>
          <w:cantSplit/>
        </w:trPr>
        <w:tc>
          <w:tcPr>
            <w:tcW w:w="3168" w:type="dxa"/>
            <w:shd w:val="clear" w:color="auto" w:fill="auto"/>
          </w:tcPr>
          <w:p w14:paraId="591A123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Clerical Checks Failed</w:t>
            </w:r>
          </w:p>
        </w:tc>
        <w:tc>
          <w:tcPr>
            <w:tcW w:w="5490" w:type="dxa"/>
            <w:shd w:val="clear" w:color="auto" w:fill="auto"/>
          </w:tcPr>
          <w:p w14:paraId="583A41C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7DE7D9F" w14:textId="77777777" w:rsidTr="00CE2820">
        <w:trPr>
          <w:cantSplit/>
        </w:trPr>
        <w:tc>
          <w:tcPr>
            <w:tcW w:w="3168" w:type="dxa"/>
            <w:shd w:val="clear" w:color="auto" w:fill="auto"/>
          </w:tcPr>
          <w:p w14:paraId="2A77C15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Requirement Inactivation</w:t>
            </w:r>
          </w:p>
        </w:tc>
        <w:tc>
          <w:tcPr>
            <w:tcW w:w="5490" w:type="dxa"/>
            <w:shd w:val="clear" w:color="auto" w:fill="auto"/>
          </w:tcPr>
          <w:p w14:paraId="4F40559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72210DF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applied</w:t>
            </w:r>
          </w:p>
          <w:p w14:paraId="7920F9A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Order cancelled</w:t>
            </w:r>
          </w:p>
          <w:p w14:paraId="0116FF99"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6A58486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E62DDDD" w14:textId="77777777" w:rsidTr="00CE2820">
        <w:trPr>
          <w:cantSplit/>
        </w:trPr>
        <w:tc>
          <w:tcPr>
            <w:tcW w:w="3168" w:type="dxa"/>
            <w:shd w:val="clear" w:color="auto" w:fill="auto"/>
          </w:tcPr>
          <w:p w14:paraId="0D8618C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Inactivation</w:t>
            </w:r>
          </w:p>
        </w:tc>
        <w:tc>
          <w:tcPr>
            <w:tcW w:w="5490" w:type="dxa"/>
            <w:shd w:val="clear" w:color="auto" w:fill="auto"/>
          </w:tcPr>
          <w:p w14:paraId="6C713FD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4FABFC9E"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140712A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257CC82C" w14:textId="77777777" w:rsidTr="00CE2820">
        <w:trPr>
          <w:cantSplit/>
        </w:trPr>
        <w:tc>
          <w:tcPr>
            <w:tcW w:w="3168" w:type="dxa"/>
            <w:shd w:val="clear" w:color="auto" w:fill="auto"/>
          </w:tcPr>
          <w:p w14:paraId="61E661A4"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Data Invalidation</w:t>
            </w:r>
          </w:p>
        </w:tc>
        <w:tc>
          <w:tcPr>
            <w:tcW w:w="5490" w:type="dxa"/>
            <w:shd w:val="clear" w:color="auto" w:fill="auto"/>
          </w:tcPr>
          <w:p w14:paraId="5E3CC23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5BF4B36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5593E31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40A4F84" w14:textId="77777777" w:rsidTr="00CE2820">
        <w:trPr>
          <w:cantSplit/>
        </w:trPr>
        <w:tc>
          <w:tcPr>
            <w:tcW w:w="3168" w:type="dxa"/>
            <w:shd w:val="clear" w:color="auto" w:fill="auto"/>
          </w:tcPr>
          <w:p w14:paraId="3F18046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Issue</w:t>
            </w:r>
          </w:p>
        </w:tc>
        <w:tc>
          <w:tcPr>
            <w:tcW w:w="5490" w:type="dxa"/>
            <w:shd w:val="clear" w:color="auto" w:fill="auto"/>
          </w:tcPr>
          <w:p w14:paraId="176D6A5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5B944DD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Critical need</w:t>
            </w:r>
          </w:p>
          <w:p w14:paraId="6379FAB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5994AD6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Issued to ER</w:t>
            </w:r>
          </w:p>
          <w:p w14:paraId="37CE121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779951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4FDF38B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storage cooler A</w:t>
            </w:r>
          </w:p>
          <w:p w14:paraId="418F501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3200887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59808F6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07E77264" w14:textId="77777777" w:rsidTr="00CE2820">
        <w:trPr>
          <w:cantSplit/>
        </w:trPr>
        <w:tc>
          <w:tcPr>
            <w:tcW w:w="3168" w:type="dxa"/>
            <w:shd w:val="clear" w:color="auto" w:fill="auto"/>
          </w:tcPr>
          <w:p w14:paraId="0A99406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Unit Modification</w:t>
            </w:r>
          </w:p>
        </w:tc>
        <w:tc>
          <w:tcPr>
            <w:tcW w:w="5490" w:type="dxa"/>
            <w:shd w:val="clear" w:color="auto" w:fill="auto"/>
          </w:tcPr>
          <w:p w14:paraId="3448E49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Contaminated</w:t>
            </w:r>
          </w:p>
          <w:p w14:paraId="6B767C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3BA6446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749B610F"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1C2D7183" w14:textId="77777777" w:rsidTr="00CE2820">
        <w:trPr>
          <w:cantSplit/>
        </w:trPr>
        <w:tc>
          <w:tcPr>
            <w:tcW w:w="3168" w:type="dxa"/>
            <w:shd w:val="clear" w:color="auto" w:fill="auto"/>
          </w:tcPr>
          <w:p w14:paraId="551C163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Return</w:t>
            </w:r>
          </w:p>
        </w:tc>
        <w:tc>
          <w:tcPr>
            <w:tcW w:w="5490" w:type="dxa"/>
            <w:shd w:val="clear" w:color="auto" w:fill="auto"/>
          </w:tcPr>
          <w:p w14:paraId="318CCBB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01700AD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during processing</w:t>
            </w:r>
          </w:p>
          <w:p w14:paraId="425DA2E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upon receipt</w:t>
            </w:r>
          </w:p>
          <w:p w14:paraId="1D3EE02B"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Expired</w:t>
            </w:r>
          </w:p>
          <w:p w14:paraId="102AA0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Improperly stored</w:t>
            </w:r>
          </w:p>
          <w:p w14:paraId="4E62B22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3B59BA4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7C4BA7B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7D6D9E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refuses treatment</w:t>
            </w:r>
          </w:p>
          <w:p w14:paraId="7175B6C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unavailable</w:t>
            </w:r>
          </w:p>
          <w:p w14:paraId="4BF270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2ED1AC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3CE680B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Spiked or damaged</w:t>
            </w:r>
          </w:p>
          <w:p w14:paraId="71E4AA4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Surgery rescheduled</w:t>
            </w:r>
          </w:p>
          <w:p w14:paraId="6C65F9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1F2E1A27"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Unsatisfactory, return to supplier</w:t>
            </w:r>
          </w:p>
          <w:p w14:paraId="46ADFF71"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27713884" w14:textId="77777777" w:rsidTr="00CE2820">
        <w:trPr>
          <w:cantSplit/>
        </w:trPr>
        <w:tc>
          <w:tcPr>
            <w:tcW w:w="3168" w:type="dxa"/>
            <w:shd w:val="clear" w:color="auto" w:fill="auto"/>
          </w:tcPr>
          <w:p w14:paraId="166871C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Restriction</w:t>
            </w:r>
          </w:p>
        </w:tc>
        <w:tc>
          <w:tcPr>
            <w:tcW w:w="5490" w:type="dxa"/>
            <w:shd w:val="clear" w:color="auto" w:fill="auto"/>
          </w:tcPr>
          <w:p w14:paraId="3FE29CB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applied</w:t>
            </w:r>
          </w:p>
          <w:p w14:paraId="73A1F642" w14:textId="77777777" w:rsidR="00CE2820" w:rsidRPr="001465A4" w:rsidRDefault="00CE2820" w:rsidP="00CA1F44">
            <w:pPr>
              <w:pStyle w:val="Caption"/>
              <w:keepNext w:val="0"/>
              <w:spacing w:before="0" w:after="0"/>
              <w:ind w:left="162" w:hanging="180"/>
            </w:pPr>
            <w:r w:rsidRPr="00575988">
              <w:rPr>
                <w:rFonts w:ascii="Arial" w:hAnsi="Arial" w:cs="Arial"/>
                <w:b w:val="0"/>
                <w:sz w:val="18"/>
                <w:szCs w:val="18"/>
              </w:rPr>
              <w:t>Other</w:t>
            </w:r>
          </w:p>
        </w:tc>
      </w:tr>
      <w:tr w:rsidR="00CE2820" w:rsidRPr="001465A4" w14:paraId="2F69C148" w14:textId="77777777" w:rsidTr="00CE2820">
        <w:trPr>
          <w:cantSplit/>
        </w:trPr>
        <w:tc>
          <w:tcPr>
            <w:tcW w:w="3168" w:type="dxa"/>
            <w:shd w:val="clear" w:color="auto" w:fill="auto"/>
          </w:tcPr>
          <w:p w14:paraId="3D91E13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Selection</w:t>
            </w:r>
          </w:p>
        </w:tc>
        <w:tc>
          <w:tcPr>
            <w:tcW w:w="5490" w:type="dxa"/>
            <w:shd w:val="clear" w:color="auto" w:fill="auto"/>
          </w:tcPr>
          <w:p w14:paraId="2079DCD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7E19E01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Critical need</w:t>
            </w:r>
          </w:p>
          <w:p w14:paraId="41B7F20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48CDF96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Rh mismatch selection necessary</w:t>
            </w:r>
          </w:p>
          <w:p w14:paraId="20E590A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21EA2A69"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15C6615" w14:textId="77777777" w:rsidTr="00CE2820">
        <w:trPr>
          <w:cantSplit/>
        </w:trPr>
        <w:tc>
          <w:tcPr>
            <w:tcW w:w="3168" w:type="dxa"/>
            <w:shd w:val="clear" w:color="auto" w:fill="auto"/>
          </w:tcPr>
          <w:p w14:paraId="0728B769"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Status Removal</w:t>
            </w:r>
          </w:p>
        </w:tc>
        <w:tc>
          <w:tcPr>
            <w:tcW w:w="5490" w:type="dxa"/>
            <w:shd w:val="clear" w:color="auto" w:fill="auto"/>
          </w:tcPr>
          <w:p w14:paraId="4010D8D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2EABC56" w14:textId="77777777" w:rsidTr="00CE2820">
        <w:trPr>
          <w:cantSplit/>
        </w:trPr>
        <w:tc>
          <w:tcPr>
            <w:tcW w:w="3168" w:type="dxa"/>
            <w:shd w:val="clear" w:color="auto" w:fill="auto"/>
          </w:tcPr>
          <w:p w14:paraId="30C51EA1"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Testing</w:t>
            </w:r>
          </w:p>
        </w:tc>
        <w:tc>
          <w:tcPr>
            <w:tcW w:w="5490" w:type="dxa"/>
            <w:shd w:val="clear" w:color="auto" w:fill="auto"/>
          </w:tcPr>
          <w:p w14:paraId="1534C8A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250271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Lab equipment failure</w:t>
            </w:r>
          </w:p>
          <w:p w14:paraId="69B7FD6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52803D2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test cancelle</w:t>
            </w:r>
            <w:r>
              <w:rPr>
                <w:rFonts w:ascii="Arial" w:hAnsi="Arial" w:cs="Arial"/>
                <w:b w:val="0"/>
                <w:sz w:val="18"/>
                <w:szCs w:val="18"/>
              </w:rPr>
              <w:t>d</w:t>
            </w:r>
          </w:p>
          <w:p w14:paraId="1CB766A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bl>
    <w:p w14:paraId="4247FFA4" w14:textId="77777777" w:rsidR="00667BEE" w:rsidRDefault="00667BEE" w:rsidP="00E73261">
      <w:pPr>
        <w:pStyle w:val="Caption"/>
        <w:sectPr w:rsidR="00667BEE" w:rsidSect="004C5759">
          <w:footerReference w:type="default" r:id="rId239"/>
          <w:pgSz w:w="12240" w:h="15840" w:code="1"/>
          <w:pgMar w:top="1440" w:right="1440" w:bottom="1440" w:left="1440" w:header="720" w:footer="720" w:gutter="0"/>
          <w:cols w:space="720"/>
          <w:docGrid w:linePitch="360"/>
        </w:sectPr>
      </w:pPr>
    </w:p>
    <w:p w14:paraId="5F270C98" w14:textId="77777777" w:rsidR="00E73261" w:rsidRDefault="00E73261" w:rsidP="00E73261">
      <w:pPr>
        <w:pStyle w:val="Caption"/>
      </w:pPr>
    </w:p>
    <w:p w14:paraId="781B1123" w14:textId="706BDE19" w:rsidR="00E73261" w:rsidRDefault="00667BEE" w:rsidP="00E73261">
      <w:pPr>
        <w:rPr>
          <w:sz w:val="22"/>
          <w:szCs w:val="22"/>
        </w:rPr>
      </w:pPr>
      <w:r w:rsidRPr="00667BEE">
        <w:rPr>
          <w:sz w:val="22"/>
          <w:szCs w:val="22"/>
        </w:rPr>
        <w:fldChar w:fldCharType="begin"/>
      </w:r>
      <w:r w:rsidRPr="00667BEE">
        <w:rPr>
          <w:sz w:val="22"/>
          <w:szCs w:val="22"/>
        </w:rPr>
        <w:instrText xml:space="preserve"> REF _Ref507070009 \h </w:instrText>
      </w:r>
      <w:r>
        <w:rPr>
          <w:sz w:val="22"/>
          <w:szCs w:val="22"/>
        </w:rPr>
        <w:instrText xml:space="preserve"> \* MERGEFORMAT </w:instrText>
      </w:r>
      <w:r w:rsidRPr="00667BEE">
        <w:rPr>
          <w:sz w:val="22"/>
          <w:szCs w:val="22"/>
        </w:rPr>
      </w:r>
      <w:r w:rsidRPr="00667BEE">
        <w:rPr>
          <w:sz w:val="22"/>
          <w:szCs w:val="22"/>
        </w:rPr>
        <w:fldChar w:fldCharType="separate"/>
      </w:r>
      <w:r w:rsidR="004353ED" w:rsidRPr="004353ED">
        <w:rPr>
          <w:sz w:val="22"/>
          <w:szCs w:val="22"/>
        </w:rPr>
        <w:t xml:space="preserve">Table </w:t>
      </w:r>
      <w:r w:rsidR="004353ED" w:rsidRPr="004353ED">
        <w:rPr>
          <w:noProof/>
          <w:sz w:val="22"/>
          <w:szCs w:val="22"/>
        </w:rPr>
        <w:t>18</w:t>
      </w:r>
      <w:r w:rsidRPr="00667BEE">
        <w:rPr>
          <w:sz w:val="22"/>
          <w:szCs w:val="22"/>
        </w:rPr>
        <w:fldChar w:fldCharType="end"/>
      </w:r>
      <w:r w:rsidRPr="00667BEE">
        <w:rPr>
          <w:sz w:val="22"/>
          <w:szCs w:val="22"/>
        </w:rPr>
        <w:t xml:space="preserve"> </w:t>
      </w:r>
      <w:r w:rsidR="00E73261" w:rsidRPr="00667BEE">
        <w:rPr>
          <w:sz w:val="22"/>
          <w:szCs w:val="22"/>
        </w:rPr>
        <w:t>is a</w:t>
      </w:r>
      <w:r w:rsidR="00D323CF" w:rsidRPr="00667BEE">
        <w:rPr>
          <w:sz w:val="22"/>
          <w:szCs w:val="22"/>
        </w:rPr>
        <w:t xml:space="preserve"> partial</w:t>
      </w:r>
      <w:r w:rsidR="00E73261" w:rsidRPr="00667BEE">
        <w:rPr>
          <w:sz w:val="22"/>
          <w:szCs w:val="22"/>
        </w:rPr>
        <w:t xml:space="preserve"> list of where comments appear in the options based on the requirements documents. </w:t>
      </w:r>
    </w:p>
    <w:p w14:paraId="416D5776" w14:textId="77777777" w:rsidR="00D72BC1" w:rsidRPr="00667BEE" w:rsidRDefault="00D72BC1" w:rsidP="00E73261">
      <w:pPr>
        <w:rPr>
          <w:sz w:val="22"/>
          <w:szCs w:val="22"/>
        </w:rPr>
      </w:pPr>
      <w:r>
        <w:rPr>
          <w:sz w:val="22"/>
          <w:szCs w:val="22"/>
        </w:rPr>
        <w:t>The comment list that appears in the “Reason for Change” field in Update Reagent Inventory is a fixed list and is not locally editable.</w:t>
      </w:r>
    </w:p>
    <w:p w14:paraId="1AC12B80" w14:textId="0F42E260" w:rsidR="002A21AE" w:rsidRDefault="00E73261" w:rsidP="00E73261">
      <w:pPr>
        <w:pStyle w:val="Caption"/>
      </w:pPr>
      <w:bookmarkStart w:id="746" w:name="_Ref50707000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18</w:t>
      </w:r>
      <w:r w:rsidR="004E20BD">
        <w:rPr>
          <w:noProof/>
        </w:rPr>
        <w:fldChar w:fldCharType="end"/>
      </w:r>
      <w:bookmarkEnd w:id="746"/>
      <w:r>
        <w:t xml:space="preserve">: </w:t>
      </w:r>
      <w:r w:rsidRPr="00C05D94">
        <w:t>Canned Comment Category vs Option</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6059"/>
      </w:tblGrid>
      <w:tr w:rsidR="00E73261" w:rsidRPr="009F2938" w14:paraId="0107EB4D" w14:textId="77777777" w:rsidTr="00E73261">
        <w:trPr>
          <w:cantSplit/>
          <w:trHeight w:val="20"/>
          <w:tblHeader/>
        </w:trPr>
        <w:tc>
          <w:tcPr>
            <w:tcW w:w="0" w:type="auto"/>
            <w:shd w:val="pct25" w:color="auto" w:fill="auto"/>
            <w:noWrap/>
            <w:vAlign w:val="bottom"/>
            <w:hideMark/>
          </w:tcPr>
          <w:p w14:paraId="7FAE9AF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Canned Comment Category</w:t>
            </w:r>
          </w:p>
        </w:tc>
        <w:tc>
          <w:tcPr>
            <w:tcW w:w="0" w:type="auto"/>
            <w:shd w:val="pct25" w:color="auto" w:fill="auto"/>
            <w:vAlign w:val="bottom"/>
          </w:tcPr>
          <w:p w14:paraId="687C3B9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Option Appears In</w:t>
            </w:r>
          </w:p>
        </w:tc>
      </w:tr>
      <w:tr w:rsidR="00E73261" w:rsidRPr="009F2938" w14:paraId="027600B1" w14:textId="77777777" w:rsidTr="00E73261">
        <w:trPr>
          <w:cantSplit/>
          <w:trHeight w:val="20"/>
        </w:trPr>
        <w:tc>
          <w:tcPr>
            <w:tcW w:w="0" w:type="auto"/>
            <w:shd w:val="clear" w:color="auto" w:fill="auto"/>
            <w:noWrap/>
            <w:vAlign w:val="bottom"/>
            <w:hideMark/>
          </w:tcPr>
          <w:p w14:paraId="27DAA6B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ABO Incompatible Issue</w:t>
            </w:r>
          </w:p>
        </w:tc>
        <w:tc>
          <w:tcPr>
            <w:tcW w:w="0" w:type="auto"/>
            <w:vAlign w:val="bottom"/>
          </w:tcPr>
          <w:p w14:paraId="0A3A87BC" w14:textId="77777777" w:rsidR="00E73261" w:rsidRPr="00ED5636" w:rsidRDefault="00E73261" w:rsidP="00E73261">
            <w:pPr>
              <w:rPr>
                <w:rFonts w:ascii="Arial" w:hAnsi="Arial" w:cs="Arial"/>
                <w:color w:val="000000"/>
                <w:sz w:val="18"/>
                <w:szCs w:val="18"/>
              </w:rPr>
            </w:pPr>
            <w:r w:rsidRPr="00ED5636">
              <w:rPr>
                <w:rFonts w:ascii="Arial" w:hAnsi="Arial" w:cs="Arial"/>
                <w:sz w:val="18"/>
                <w:szCs w:val="18"/>
              </w:rPr>
              <w:t>ABO Incompatible Unit Transfused override during Issue Unit</w:t>
            </w:r>
          </w:p>
        </w:tc>
      </w:tr>
      <w:tr w:rsidR="00CC6656" w:rsidRPr="009F2938" w14:paraId="4FC93BC5" w14:textId="77777777" w:rsidTr="00E73261">
        <w:trPr>
          <w:cantSplit/>
          <w:trHeight w:val="20"/>
        </w:trPr>
        <w:tc>
          <w:tcPr>
            <w:tcW w:w="0" w:type="auto"/>
            <w:shd w:val="clear" w:color="auto" w:fill="auto"/>
            <w:noWrap/>
            <w:vAlign w:val="bottom"/>
          </w:tcPr>
          <w:p w14:paraId="040549C7" w14:textId="77777777" w:rsidR="00CC6656" w:rsidRPr="00ED5636" w:rsidRDefault="00CC6656" w:rsidP="00E73261">
            <w:pPr>
              <w:rPr>
                <w:rFonts w:ascii="Arial" w:hAnsi="Arial" w:cs="Arial"/>
                <w:color w:val="000000"/>
                <w:sz w:val="18"/>
                <w:szCs w:val="18"/>
              </w:rPr>
            </w:pPr>
            <w:r w:rsidRPr="00CC6656">
              <w:rPr>
                <w:rFonts w:ascii="Arial" w:hAnsi="Arial" w:cs="Arial"/>
                <w:color w:val="000000"/>
                <w:sz w:val="18"/>
                <w:szCs w:val="18"/>
              </w:rPr>
              <w:t>Automated Testing Review</w:t>
            </w:r>
          </w:p>
        </w:tc>
        <w:tc>
          <w:tcPr>
            <w:tcW w:w="0" w:type="auto"/>
            <w:vAlign w:val="bottom"/>
          </w:tcPr>
          <w:p w14:paraId="59EC0D5B" w14:textId="77777777" w:rsidR="00CC6656" w:rsidRPr="00ED5636" w:rsidRDefault="00797E11" w:rsidP="00D323CF">
            <w:pPr>
              <w:rPr>
                <w:rFonts w:ascii="Arial" w:hAnsi="Arial" w:cs="Arial"/>
                <w:sz w:val="18"/>
                <w:szCs w:val="18"/>
              </w:rPr>
            </w:pPr>
            <w:r>
              <w:rPr>
                <w:rFonts w:ascii="Arial" w:hAnsi="Arial" w:cs="Arial"/>
                <w:sz w:val="18"/>
                <w:szCs w:val="18"/>
              </w:rPr>
              <w:t>Automated Testing</w:t>
            </w:r>
          </w:p>
        </w:tc>
      </w:tr>
      <w:tr w:rsidR="00E73261" w:rsidRPr="009F2938" w14:paraId="4C0ED45F" w14:textId="77777777" w:rsidTr="00E73261">
        <w:trPr>
          <w:cantSplit/>
          <w:trHeight w:val="20"/>
        </w:trPr>
        <w:tc>
          <w:tcPr>
            <w:tcW w:w="0" w:type="auto"/>
            <w:shd w:val="clear" w:color="auto" w:fill="auto"/>
            <w:noWrap/>
            <w:vAlign w:val="bottom"/>
            <w:hideMark/>
          </w:tcPr>
          <w:p w14:paraId="7606D41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Crossmatch</w:t>
            </w:r>
          </w:p>
        </w:tc>
        <w:tc>
          <w:tcPr>
            <w:tcW w:w="0" w:type="auto"/>
            <w:vAlign w:val="bottom"/>
          </w:tcPr>
          <w:p w14:paraId="7F03B39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“G” (Give with Medical Director Approval) compatibility Override</w:t>
            </w:r>
          </w:p>
        </w:tc>
      </w:tr>
      <w:tr w:rsidR="00E73261" w:rsidRPr="009F2938" w14:paraId="4728529F" w14:textId="77777777" w:rsidTr="00E73261">
        <w:trPr>
          <w:cantSplit/>
          <w:trHeight w:val="20"/>
        </w:trPr>
        <w:tc>
          <w:tcPr>
            <w:tcW w:w="0" w:type="auto"/>
            <w:shd w:val="clear" w:color="auto" w:fill="auto"/>
            <w:noWrap/>
            <w:vAlign w:val="bottom"/>
            <w:hideMark/>
          </w:tcPr>
          <w:p w14:paraId="6FF612DB"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Incoming Shipment</w:t>
            </w:r>
          </w:p>
        </w:tc>
        <w:tc>
          <w:tcPr>
            <w:tcW w:w="0" w:type="auto"/>
            <w:vAlign w:val="bottom"/>
          </w:tcPr>
          <w:p w14:paraId="4E3E4D4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Expired Unit Received override</w:t>
            </w:r>
          </w:p>
        </w:tc>
      </w:tr>
      <w:tr w:rsidR="00E73261" w:rsidRPr="00836B93" w14:paraId="415EF029" w14:textId="77777777" w:rsidTr="00E73261">
        <w:trPr>
          <w:cantSplit/>
          <w:trHeight w:val="20"/>
        </w:trPr>
        <w:tc>
          <w:tcPr>
            <w:tcW w:w="0" w:type="auto"/>
            <w:shd w:val="clear" w:color="auto" w:fill="auto"/>
            <w:noWrap/>
            <w:vAlign w:val="bottom"/>
            <w:hideMark/>
          </w:tcPr>
          <w:p w14:paraId="70F67AD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Justify ABO/Rh Change</w:t>
            </w:r>
          </w:p>
        </w:tc>
        <w:tc>
          <w:tcPr>
            <w:tcW w:w="0" w:type="auto"/>
            <w:vAlign w:val="bottom"/>
          </w:tcPr>
          <w:p w14:paraId="3AD2BB0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028353D5" w14:textId="77777777" w:rsidTr="00E73261">
        <w:trPr>
          <w:cantSplit/>
          <w:trHeight w:val="20"/>
        </w:trPr>
        <w:tc>
          <w:tcPr>
            <w:tcW w:w="0" w:type="auto"/>
            <w:shd w:val="clear" w:color="auto" w:fill="auto"/>
            <w:noWrap/>
            <w:vAlign w:val="bottom"/>
            <w:hideMark/>
          </w:tcPr>
          <w:p w14:paraId="72303A3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Justify ABO/Rh Discrepancy</w:t>
            </w:r>
          </w:p>
        </w:tc>
        <w:tc>
          <w:tcPr>
            <w:tcW w:w="0" w:type="auto"/>
            <w:vAlign w:val="bottom"/>
          </w:tcPr>
          <w:p w14:paraId="3F35802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Override to accept a real blood type when the testing is Inconclusive with a previous blood type on file.</w:t>
            </w:r>
          </w:p>
        </w:tc>
      </w:tr>
      <w:tr w:rsidR="00E73261" w:rsidRPr="00836B93" w14:paraId="3E7BACF0" w14:textId="77777777" w:rsidTr="00E73261">
        <w:trPr>
          <w:cantSplit/>
          <w:trHeight w:val="20"/>
        </w:trPr>
        <w:tc>
          <w:tcPr>
            <w:tcW w:w="0" w:type="auto"/>
            <w:shd w:val="clear" w:color="auto" w:fill="auto"/>
            <w:noWrap/>
            <w:vAlign w:val="bottom"/>
            <w:hideMark/>
          </w:tcPr>
          <w:p w14:paraId="0333D42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Order Cancellation</w:t>
            </w:r>
          </w:p>
        </w:tc>
        <w:tc>
          <w:tcPr>
            <w:tcW w:w="0" w:type="auto"/>
            <w:vAlign w:val="bottom"/>
          </w:tcPr>
          <w:p w14:paraId="765F3B8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 Patient Testing Task List</w:t>
            </w:r>
          </w:p>
        </w:tc>
      </w:tr>
      <w:tr w:rsidR="00E73261" w:rsidRPr="00836B93" w14:paraId="59A57F27" w14:textId="77777777" w:rsidTr="00E73261">
        <w:trPr>
          <w:cantSplit/>
          <w:trHeight w:val="20"/>
        </w:trPr>
        <w:tc>
          <w:tcPr>
            <w:tcW w:w="0" w:type="auto"/>
            <w:shd w:val="clear" w:color="auto" w:fill="auto"/>
            <w:noWrap/>
            <w:vAlign w:val="bottom"/>
            <w:hideMark/>
          </w:tcPr>
          <w:p w14:paraId="29A651F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Order Processing</w:t>
            </w:r>
          </w:p>
        </w:tc>
        <w:tc>
          <w:tcPr>
            <w:tcW w:w="0" w:type="auto"/>
            <w:vAlign w:val="bottom"/>
          </w:tcPr>
          <w:p w14:paraId="6CA38EA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 Patient Testing Task List</w:t>
            </w:r>
          </w:p>
        </w:tc>
      </w:tr>
      <w:tr w:rsidR="00E73261" w:rsidRPr="00836B93" w14:paraId="47481233" w14:textId="77777777" w:rsidTr="00E73261">
        <w:trPr>
          <w:cantSplit/>
          <w:trHeight w:val="20"/>
        </w:trPr>
        <w:tc>
          <w:tcPr>
            <w:tcW w:w="0" w:type="auto"/>
            <w:shd w:val="clear" w:color="auto" w:fill="auto"/>
            <w:noWrap/>
            <w:vAlign w:val="bottom"/>
            <w:hideMark/>
          </w:tcPr>
          <w:p w14:paraId="3D0BE23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Parameter Setting Change</w:t>
            </w:r>
          </w:p>
        </w:tc>
        <w:tc>
          <w:tcPr>
            <w:tcW w:w="0" w:type="auto"/>
            <w:vAlign w:val="bottom"/>
          </w:tcPr>
          <w:p w14:paraId="0BF168A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All the configure division options</w:t>
            </w:r>
          </w:p>
        </w:tc>
      </w:tr>
      <w:tr w:rsidR="00E73261" w:rsidRPr="00836B93" w14:paraId="21679F64" w14:textId="77777777" w:rsidTr="00E73261">
        <w:trPr>
          <w:cantSplit/>
          <w:trHeight w:val="20"/>
        </w:trPr>
        <w:tc>
          <w:tcPr>
            <w:tcW w:w="0" w:type="auto"/>
            <w:shd w:val="clear" w:color="auto" w:fill="auto"/>
            <w:noWrap/>
            <w:vAlign w:val="bottom"/>
            <w:hideMark/>
          </w:tcPr>
          <w:p w14:paraId="32EF185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Patient Testing</w:t>
            </w:r>
          </w:p>
        </w:tc>
        <w:tc>
          <w:tcPr>
            <w:tcW w:w="0" w:type="auto"/>
            <w:vAlign w:val="bottom"/>
          </w:tcPr>
          <w:p w14:paraId="1985144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All patient test grid comment boxes including crossmatch test and ABID comment, TRW Serologic test entry. Invalidate patient testing in grid and option. Discrepant Repeat ABO/Rh Typing override.</w:t>
            </w:r>
          </w:p>
        </w:tc>
      </w:tr>
      <w:tr w:rsidR="00E73261" w:rsidRPr="00836B93" w14:paraId="59C56719" w14:textId="77777777" w:rsidTr="00E73261">
        <w:trPr>
          <w:cantSplit/>
          <w:trHeight w:val="20"/>
        </w:trPr>
        <w:tc>
          <w:tcPr>
            <w:tcW w:w="0" w:type="auto"/>
            <w:shd w:val="clear" w:color="auto" w:fill="auto"/>
            <w:noWrap/>
            <w:vAlign w:val="bottom"/>
            <w:hideMark/>
          </w:tcPr>
          <w:p w14:paraId="1F5A90A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Quarantine/Discard</w:t>
            </w:r>
          </w:p>
        </w:tc>
        <w:tc>
          <w:tcPr>
            <w:tcW w:w="0" w:type="auto"/>
            <w:vAlign w:val="bottom"/>
          </w:tcPr>
          <w:p w14:paraId="706B2709" w14:textId="7BAEACF8" w:rsidR="00E73261" w:rsidRPr="00ED5636" w:rsidRDefault="006549B7" w:rsidP="00E73261">
            <w:pPr>
              <w:rPr>
                <w:rFonts w:ascii="Arial" w:hAnsi="Arial" w:cs="Arial"/>
                <w:color w:val="000000"/>
                <w:sz w:val="18"/>
                <w:szCs w:val="18"/>
              </w:rPr>
            </w:pPr>
            <w:r w:rsidRPr="00ED5636">
              <w:rPr>
                <w:rFonts w:ascii="Arial" w:hAnsi="Arial" w:cs="Arial"/>
                <w:color w:val="000000"/>
                <w:sz w:val="18"/>
                <w:szCs w:val="18"/>
              </w:rPr>
              <w:t>Discard, Quarantine</w:t>
            </w:r>
          </w:p>
        </w:tc>
      </w:tr>
      <w:tr w:rsidR="00E73261" w:rsidRPr="00836B93" w14:paraId="23ADF45F" w14:textId="77777777" w:rsidTr="00E73261">
        <w:trPr>
          <w:cantSplit/>
          <w:trHeight w:val="20"/>
        </w:trPr>
        <w:tc>
          <w:tcPr>
            <w:tcW w:w="0" w:type="auto"/>
            <w:shd w:val="clear" w:color="auto" w:fill="auto"/>
            <w:noWrap/>
            <w:vAlign w:val="bottom"/>
            <w:hideMark/>
          </w:tcPr>
          <w:p w14:paraId="05111A6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Reagent and Supply</w:t>
            </w:r>
          </w:p>
        </w:tc>
        <w:tc>
          <w:tcPr>
            <w:tcW w:w="0" w:type="auto"/>
            <w:vAlign w:val="bottom"/>
          </w:tcPr>
          <w:p w14:paraId="7C2E9F9B"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Enter Reagents, when unacceptable, when unacceptable, QC overrides</w:t>
            </w:r>
          </w:p>
        </w:tc>
      </w:tr>
      <w:tr w:rsidR="00E73261" w:rsidRPr="00836B93" w14:paraId="6982B84F" w14:textId="77777777" w:rsidTr="00E73261">
        <w:trPr>
          <w:cantSplit/>
          <w:trHeight w:val="20"/>
        </w:trPr>
        <w:tc>
          <w:tcPr>
            <w:tcW w:w="0" w:type="auto"/>
            <w:shd w:val="clear" w:color="auto" w:fill="auto"/>
            <w:noWrap/>
            <w:vAlign w:val="bottom"/>
            <w:hideMark/>
          </w:tcPr>
          <w:p w14:paraId="6384AC1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from Quarantine</w:t>
            </w:r>
          </w:p>
        </w:tc>
        <w:tc>
          <w:tcPr>
            <w:tcW w:w="0" w:type="auto"/>
            <w:vAlign w:val="bottom"/>
          </w:tcPr>
          <w:p w14:paraId="73CBB8F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from Quarantine.</w:t>
            </w:r>
          </w:p>
        </w:tc>
      </w:tr>
      <w:tr w:rsidR="00E73261" w:rsidRPr="00836B93" w14:paraId="2DA353FE" w14:textId="77777777" w:rsidTr="00E73261">
        <w:trPr>
          <w:cantSplit/>
          <w:trHeight w:val="20"/>
        </w:trPr>
        <w:tc>
          <w:tcPr>
            <w:tcW w:w="0" w:type="auto"/>
            <w:shd w:val="clear" w:color="auto" w:fill="auto"/>
            <w:noWrap/>
            <w:vAlign w:val="bottom"/>
            <w:hideMark/>
          </w:tcPr>
          <w:p w14:paraId="56E5A8E8"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Reason for Release</w:t>
            </w:r>
          </w:p>
        </w:tc>
        <w:tc>
          <w:tcPr>
            <w:tcW w:w="0" w:type="auto"/>
            <w:vAlign w:val="bottom"/>
          </w:tcPr>
          <w:p w14:paraId="438DAFF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unit from assignment</w:t>
            </w:r>
          </w:p>
        </w:tc>
      </w:tr>
      <w:tr w:rsidR="00E73261" w:rsidRPr="00836B93" w14:paraId="647D9C6B" w14:textId="77777777" w:rsidTr="00E73261">
        <w:trPr>
          <w:cantSplit/>
          <w:trHeight w:val="20"/>
        </w:trPr>
        <w:tc>
          <w:tcPr>
            <w:tcW w:w="0" w:type="auto"/>
            <w:shd w:val="clear" w:color="auto" w:fill="auto"/>
            <w:noWrap/>
            <w:vAlign w:val="bottom"/>
            <w:hideMark/>
          </w:tcPr>
          <w:p w14:paraId="6DDA0DE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Special Instruction Inactivation</w:t>
            </w:r>
          </w:p>
        </w:tc>
        <w:tc>
          <w:tcPr>
            <w:tcW w:w="0" w:type="auto"/>
            <w:vAlign w:val="bottom"/>
          </w:tcPr>
          <w:p w14:paraId="6153BCC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SI when inactivating an SI entry.</w:t>
            </w:r>
          </w:p>
        </w:tc>
      </w:tr>
      <w:tr w:rsidR="00E73261" w:rsidRPr="00836B93" w14:paraId="0DA42C15" w14:textId="77777777" w:rsidTr="00E73261">
        <w:trPr>
          <w:cantSplit/>
          <w:trHeight w:val="20"/>
        </w:trPr>
        <w:tc>
          <w:tcPr>
            <w:tcW w:w="0" w:type="auto"/>
            <w:shd w:val="clear" w:color="auto" w:fill="auto"/>
            <w:noWrap/>
            <w:vAlign w:val="bottom"/>
            <w:hideMark/>
          </w:tcPr>
          <w:p w14:paraId="41E6A05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Special Instructions</w:t>
            </w:r>
          </w:p>
        </w:tc>
        <w:tc>
          <w:tcPr>
            <w:tcW w:w="0" w:type="auto"/>
            <w:vAlign w:val="bottom"/>
          </w:tcPr>
          <w:p w14:paraId="47A12F66"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SI actual message is considered a canned comment.</w:t>
            </w:r>
          </w:p>
        </w:tc>
      </w:tr>
      <w:tr w:rsidR="00E73261" w:rsidRPr="00836B93" w14:paraId="5C2F26A9" w14:textId="77777777" w:rsidTr="00E73261">
        <w:trPr>
          <w:cantSplit/>
          <w:trHeight w:val="20"/>
        </w:trPr>
        <w:tc>
          <w:tcPr>
            <w:tcW w:w="0" w:type="auto"/>
            <w:shd w:val="clear" w:color="auto" w:fill="auto"/>
            <w:noWrap/>
            <w:vAlign w:val="bottom"/>
            <w:hideMark/>
          </w:tcPr>
          <w:p w14:paraId="6E3BD4C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Extension</w:t>
            </w:r>
          </w:p>
        </w:tc>
        <w:tc>
          <w:tcPr>
            <w:tcW w:w="0" w:type="auto"/>
            <w:vAlign w:val="bottom"/>
          </w:tcPr>
          <w:p w14:paraId="085FBF0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Maintain specimen</w:t>
            </w:r>
          </w:p>
        </w:tc>
      </w:tr>
      <w:tr w:rsidR="00E73261" w:rsidRPr="00836B93" w14:paraId="7399A7C7" w14:textId="77777777" w:rsidTr="00E73261">
        <w:trPr>
          <w:cantSplit/>
          <w:trHeight w:val="20"/>
        </w:trPr>
        <w:tc>
          <w:tcPr>
            <w:tcW w:w="0" w:type="auto"/>
            <w:shd w:val="clear" w:color="auto" w:fill="auto"/>
            <w:noWrap/>
            <w:vAlign w:val="bottom"/>
            <w:hideMark/>
          </w:tcPr>
          <w:p w14:paraId="17EAFC0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General</w:t>
            </w:r>
          </w:p>
        </w:tc>
        <w:tc>
          <w:tcPr>
            <w:tcW w:w="0" w:type="auto"/>
            <w:vAlign w:val="bottom"/>
          </w:tcPr>
          <w:p w14:paraId="2CD49D0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2D965B65" w14:textId="77777777" w:rsidTr="00E73261">
        <w:trPr>
          <w:cantSplit/>
          <w:trHeight w:val="20"/>
        </w:trPr>
        <w:tc>
          <w:tcPr>
            <w:tcW w:w="0" w:type="auto"/>
            <w:shd w:val="clear" w:color="auto" w:fill="auto"/>
            <w:noWrap/>
            <w:vAlign w:val="bottom"/>
            <w:hideMark/>
          </w:tcPr>
          <w:p w14:paraId="68C6760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Processing</w:t>
            </w:r>
          </w:p>
        </w:tc>
        <w:tc>
          <w:tcPr>
            <w:tcW w:w="0" w:type="auto"/>
            <w:vAlign w:val="bottom"/>
          </w:tcPr>
          <w:p w14:paraId="20A9CFD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6B481C4D" w14:textId="77777777" w:rsidTr="00E73261">
        <w:trPr>
          <w:cantSplit/>
          <w:trHeight w:val="20"/>
        </w:trPr>
        <w:tc>
          <w:tcPr>
            <w:tcW w:w="0" w:type="auto"/>
            <w:shd w:val="clear" w:color="auto" w:fill="auto"/>
            <w:noWrap/>
            <w:vAlign w:val="bottom"/>
            <w:hideMark/>
          </w:tcPr>
          <w:p w14:paraId="7C3CFCB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Unacceptable</w:t>
            </w:r>
          </w:p>
        </w:tc>
        <w:tc>
          <w:tcPr>
            <w:tcW w:w="0" w:type="auto"/>
            <w:vAlign w:val="bottom"/>
          </w:tcPr>
          <w:p w14:paraId="4AB70BA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15B5822E" w14:textId="77777777" w:rsidTr="00E73261">
        <w:trPr>
          <w:cantSplit/>
          <w:trHeight w:val="20"/>
        </w:trPr>
        <w:tc>
          <w:tcPr>
            <w:tcW w:w="0" w:type="auto"/>
            <w:shd w:val="clear" w:color="auto" w:fill="auto"/>
            <w:noWrap/>
            <w:vAlign w:val="bottom"/>
            <w:hideMark/>
          </w:tcPr>
          <w:p w14:paraId="4872AD1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Processing</w:t>
            </w:r>
          </w:p>
        </w:tc>
        <w:tc>
          <w:tcPr>
            <w:tcW w:w="0" w:type="auto"/>
            <w:vAlign w:val="bottom"/>
          </w:tcPr>
          <w:p w14:paraId="7267DDD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Post transfusion data</w:t>
            </w:r>
          </w:p>
        </w:tc>
      </w:tr>
      <w:tr w:rsidR="00E73261" w:rsidRPr="00836B93" w14:paraId="1E668BA8" w14:textId="77777777" w:rsidTr="00E73261">
        <w:trPr>
          <w:cantSplit/>
          <w:trHeight w:val="20"/>
        </w:trPr>
        <w:tc>
          <w:tcPr>
            <w:tcW w:w="0" w:type="auto"/>
            <w:shd w:val="clear" w:color="auto" w:fill="auto"/>
            <w:noWrap/>
            <w:vAlign w:val="bottom"/>
            <w:hideMark/>
          </w:tcPr>
          <w:p w14:paraId="6F4FDDD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Reaction Workup</w:t>
            </w:r>
          </w:p>
        </w:tc>
        <w:tc>
          <w:tcPr>
            <w:tcW w:w="0" w:type="auto"/>
            <w:vAlign w:val="bottom"/>
          </w:tcPr>
          <w:p w14:paraId="65FFB8E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Finalization Canned Comment</w:t>
            </w:r>
          </w:p>
        </w:tc>
      </w:tr>
      <w:tr w:rsidR="00E73261" w:rsidRPr="00836B93" w14:paraId="3A263141" w14:textId="77777777" w:rsidTr="00E73261">
        <w:trPr>
          <w:cantSplit/>
          <w:trHeight w:val="20"/>
        </w:trPr>
        <w:tc>
          <w:tcPr>
            <w:tcW w:w="0" w:type="auto"/>
            <w:shd w:val="clear" w:color="auto" w:fill="auto"/>
            <w:noWrap/>
            <w:vAlign w:val="bottom"/>
            <w:hideMark/>
          </w:tcPr>
          <w:p w14:paraId="5F0875E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Required</w:t>
            </w:r>
          </w:p>
        </w:tc>
        <w:tc>
          <w:tcPr>
            <w:tcW w:w="0" w:type="auto"/>
            <w:vAlign w:val="bottom"/>
          </w:tcPr>
          <w:p w14:paraId="62A0493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7A0BFD61" w14:textId="77777777" w:rsidTr="00E73261">
        <w:trPr>
          <w:cantSplit/>
          <w:trHeight w:val="20"/>
        </w:trPr>
        <w:tc>
          <w:tcPr>
            <w:tcW w:w="0" w:type="auto"/>
            <w:shd w:val="clear" w:color="auto" w:fill="auto"/>
            <w:noWrap/>
            <w:vAlign w:val="bottom"/>
            <w:hideMark/>
          </w:tcPr>
          <w:p w14:paraId="663C55C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Pre-Transfusion Specimen Checks</w:t>
            </w:r>
          </w:p>
        </w:tc>
        <w:tc>
          <w:tcPr>
            <w:tcW w:w="0" w:type="auto"/>
            <w:vAlign w:val="bottom"/>
          </w:tcPr>
          <w:p w14:paraId="33B3212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pre is marked not available</w:t>
            </w:r>
          </w:p>
        </w:tc>
      </w:tr>
      <w:tr w:rsidR="00E73261" w:rsidRPr="00836B93" w14:paraId="2996EABC" w14:textId="77777777" w:rsidTr="00E73261">
        <w:trPr>
          <w:cantSplit/>
          <w:trHeight w:val="20"/>
        </w:trPr>
        <w:tc>
          <w:tcPr>
            <w:tcW w:w="0" w:type="auto"/>
            <w:shd w:val="clear" w:color="auto" w:fill="auto"/>
            <w:noWrap/>
            <w:vAlign w:val="bottom"/>
            <w:hideMark/>
          </w:tcPr>
          <w:p w14:paraId="39046A2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Post-Transfusion Specimen Checks</w:t>
            </w:r>
          </w:p>
        </w:tc>
        <w:tc>
          <w:tcPr>
            <w:tcW w:w="0" w:type="auto"/>
            <w:vAlign w:val="bottom"/>
          </w:tcPr>
          <w:p w14:paraId="7968191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post is marked not available</w:t>
            </w:r>
          </w:p>
        </w:tc>
      </w:tr>
      <w:tr w:rsidR="00E73261" w:rsidRPr="00836B93" w14:paraId="5C88B4C8" w14:textId="77777777" w:rsidTr="00E73261">
        <w:trPr>
          <w:cantSplit/>
          <w:trHeight w:val="20"/>
        </w:trPr>
        <w:tc>
          <w:tcPr>
            <w:tcW w:w="0" w:type="auto"/>
            <w:shd w:val="clear" w:color="auto" w:fill="auto"/>
            <w:noWrap/>
            <w:vAlign w:val="bottom"/>
            <w:hideMark/>
          </w:tcPr>
          <w:p w14:paraId="1DB7F97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Implicated Units</w:t>
            </w:r>
          </w:p>
        </w:tc>
        <w:tc>
          <w:tcPr>
            <w:tcW w:w="0" w:type="auto"/>
          </w:tcPr>
          <w:p w14:paraId="35E991BC"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0333F7C0" w14:textId="77777777" w:rsidTr="00E73261">
        <w:trPr>
          <w:cantSplit/>
          <w:trHeight w:val="20"/>
        </w:trPr>
        <w:tc>
          <w:tcPr>
            <w:tcW w:w="0" w:type="auto"/>
            <w:shd w:val="clear" w:color="auto" w:fill="auto"/>
            <w:noWrap/>
            <w:vAlign w:val="bottom"/>
            <w:hideMark/>
          </w:tcPr>
          <w:p w14:paraId="038C548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Symptom Details</w:t>
            </w:r>
          </w:p>
        </w:tc>
        <w:tc>
          <w:tcPr>
            <w:tcW w:w="0" w:type="auto"/>
          </w:tcPr>
          <w:p w14:paraId="399423F3"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4FB09124" w14:textId="77777777" w:rsidTr="00E73261">
        <w:trPr>
          <w:cantSplit/>
          <w:trHeight w:val="20"/>
        </w:trPr>
        <w:tc>
          <w:tcPr>
            <w:tcW w:w="0" w:type="auto"/>
            <w:shd w:val="clear" w:color="auto" w:fill="auto"/>
            <w:noWrap/>
            <w:vAlign w:val="bottom"/>
            <w:hideMark/>
          </w:tcPr>
          <w:p w14:paraId="7BB4256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Blood Bag Not Returned</w:t>
            </w:r>
          </w:p>
        </w:tc>
        <w:tc>
          <w:tcPr>
            <w:tcW w:w="0" w:type="auto"/>
            <w:vAlign w:val="bottom"/>
          </w:tcPr>
          <w:p w14:paraId="490B405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an implicated unit is entered and marked as not returned.</w:t>
            </w:r>
          </w:p>
        </w:tc>
      </w:tr>
      <w:tr w:rsidR="00E73261" w:rsidRPr="00836B93" w14:paraId="4C73C0FA" w14:textId="77777777" w:rsidTr="00E73261">
        <w:trPr>
          <w:cantSplit/>
          <w:trHeight w:val="20"/>
        </w:trPr>
        <w:tc>
          <w:tcPr>
            <w:tcW w:w="0" w:type="auto"/>
            <w:shd w:val="clear" w:color="auto" w:fill="auto"/>
            <w:noWrap/>
            <w:vAlign w:val="bottom"/>
            <w:hideMark/>
          </w:tcPr>
          <w:p w14:paraId="43BCE0C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Clerical Checks Failed</w:t>
            </w:r>
          </w:p>
        </w:tc>
        <w:tc>
          <w:tcPr>
            <w:tcW w:w="0" w:type="auto"/>
            <w:vAlign w:val="bottom"/>
          </w:tcPr>
          <w:p w14:paraId="40071B5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specimen is marked available</w:t>
            </w:r>
          </w:p>
          <w:p w14:paraId="6BAFA5A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an implicated unit is entered and marked as returned</w:t>
            </w:r>
          </w:p>
        </w:tc>
      </w:tr>
      <w:tr w:rsidR="00E73261" w:rsidRPr="00836B93" w14:paraId="693E9512" w14:textId="77777777" w:rsidTr="00E73261">
        <w:trPr>
          <w:cantSplit/>
          <w:trHeight w:val="20"/>
        </w:trPr>
        <w:tc>
          <w:tcPr>
            <w:tcW w:w="0" w:type="auto"/>
            <w:shd w:val="clear" w:color="auto" w:fill="auto"/>
            <w:noWrap/>
            <w:vAlign w:val="bottom"/>
            <w:hideMark/>
          </w:tcPr>
          <w:p w14:paraId="0FBF1CA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Requirement Inactivation</w:t>
            </w:r>
          </w:p>
        </w:tc>
        <w:tc>
          <w:tcPr>
            <w:tcW w:w="0" w:type="auto"/>
            <w:vAlign w:val="bottom"/>
          </w:tcPr>
          <w:p w14:paraId="31BAE06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 tabs, including antigen negative requirement, Transfusion requirement and antibody identified tabs.</w:t>
            </w:r>
          </w:p>
        </w:tc>
      </w:tr>
      <w:tr w:rsidR="00E73261" w:rsidRPr="00836B93" w14:paraId="3D424E7E" w14:textId="77777777" w:rsidTr="00E73261">
        <w:trPr>
          <w:cantSplit/>
          <w:trHeight w:val="20"/>
        </w:trPr>
        <w:tc>
          <w:tcPr>
            <w:tcW w:w="0" w:type="auto"/>
            <w:shd w:val="clear" w:color="auto" w:fill="auto"/>
            <w:noWrap/>
            <w:vAlign w:val="bottom"/>
            <w:hideMark/>
          </w:tcPr>
          <w:p w14:paraId="20E9B75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Inactivation</w:t>
            </w:r>
          </w:p>
        </w:tc>
        <w:tc>
          <w:tcPr>
            <w:tcW w:w="0" w:type="auto"/>
          </w:tcPr>
          <w:p w14:paraId="412B82B6" w14:textId="77777777" w:rsidR="00E73261" w:rsidRPr="00ED5636" w:rsidRDefault="0055121B" w:rsidP="00E73261">
            <w:pPr>
              <w:rPr>
                <w:rFonts w:ascii="Arial" w:hAnsi="Arial" w:cs="Arial"/>
                <w:sz w:val="18"/>
                <w:szCs w:val="18"/>
              </w:rPr>
            </w:pPr>
            <w:r>
              <w:rPr>
                <w:rFonts w:ascii="Arial" w:hAnsi="Arial" w:cs="Arial"/>
                <w:color w:val="000000"/>
                <w:sz w:val="18"/>
                <w:szCs w:val="18"/>
              </w:rPr>
              <w:t>Edit Unit Information.</w:t>
            </w:r>
          </w:p>
        </w:tc>
      </w:tr>
      <w:tr w:rsidR="00E73261" w:rsidRPr="00836B93" w14:paraId="0713765E" w14:textId="77777777" w:rsidTr="00E73261">
        <w:trPr>
          <w:cantSplit/>
          <w:trHeight w:val="20"/>
        </w:trPr>
        <w:tc>
          <w:tcPr>
            <w:tcW w:w="0" w:type="auto"/>
            <w:shd w:val="clear" w:color="auto" w:fill="auto"/>
            <w:noWrap/>
            <w:vAlign w:val="bottom"/>
            <w:hideMark/>
          </w:tcPr>
          <w:p w14:paraId="33CA117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Data Invalidation</w:t>
            </w:r>
          </w:p>
        </w:tc>
        <w:tc>
          <w:tcPr>
            <w:tcW w:w="0" w:type="auto"/>
          </w:tcPr>
          <w:p w14:paraId="6A0CC5F7"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79470989" w14:textId="77777777" w:rsidTr="00E73261">
        <w:trPr>
          <w:cantSplit/>
          <w:trHeight w:val="20"/>
        </w:trPr>
        <w:tc>
          <w:tcPr>
            <w:tcW w:w="0" w:type="auto"/>
            <w:shd w:val="clear" w:color="auto" w:fill="auto"/>
            <w:noWrap/>
            <w:vAlign w:val="bottom"/>
            <w:hideMark/>
          </w:tcPr>
          <w:p w14:paraId="10B09B4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Issue</w:t>
            </w:r>
          </w:p>
        </w:tc>
        <w:tc>
          <w:tcPr>
            <w:tcW w:w="0" w:type="auto"/>
            <w:vAlign w:val="bottom"/>
          </w:tcPr>
          <w:p w14:paraId="62412C2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Issue Override for TR not satisfied.</w:t>
            </w:r>
          </w:p>
        </w:tc>
      </w:tr>
      <w:tr w:rsidR="00E73261" w:rsidRPr="00836B93" w14:paraId="70DA646F" w14:textId="77777777" w:rsidTr="00E73261">
        <w:trPr>
          <w:cantSplit/>
          <w:trHeight w:val="20"/>
        </w:trPr>
        <w:tc>
          <w:tcPr>
            <w:tcW w:w="0" w:type="auto"/>
            <w:shd w:val="clear" w:color="auto" w:fill="auto"/>
            <w:noWrap/>
            <w:vAlign w:val="bottom"/>
            <w:hideMark/>
          </w:tcPr>
          <w:p w14:paraId="3545D045"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Modification</w:t>
            </w:r>
          </w:p>
        </w:tc>
        <w:tc>
          <w:tcPr>
            <w:tcW w:w="0" w:type="auto"/>
            <w:vAlign w:val="bottom"/>
          </w:tcPr>
          <w:p w14:paraId="5253B88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Any modification override</w:t>
            </w:r>
          </w:p>
        </w:tc>
      </w:tr>
      <w:tr w:rsidR="00E73261" w:rsidRPr="00836B93" w14:paraId="73F6CAA5" w14:textId="77777777" w:rsidTr="00E73261">
        <w:trPr>
          <w:cantSplit/>
          <w:trHeight w:val="20"/>
        </w:trPr>
        <w:tc>
          <w:tcPr>
            <w:tcW w:w="0" w:type="auto"/>
            <w:shd w:val="clear" w:color="auto" w:fill="auto"/>
            <w:noWrap/>
            <w:vAlign w:val="bottom"/>
            <w:hideMark/>
          </w:tcPr>
          <w:p w14:paraId="054BF748"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Return</w:t>
            </w:r>
          </w:p>
        </w:tc>
        <w:tc>
          <w:tcPr>
            <w:tcW w:w="0" w:type="auto"/>
            <w:vAlign w:val="bottom"/>
          </w:tcPr>
          <w:p w14:paraId="4E5A297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Return unit from Issue when unit is marked unsatisfactory</w:t>
            </w:r>
          </w:p>
        </w:tc>
      </w:tr>
      <w:tr w:rsidR="00E73261" w:rsidRPr="00836B93" w14:paraId="3F1EA84A" w14:textId="77777777" w:rsidTr="00E73261">
        <w:trPr>
          <w:cantSplit/>
          <w:trHeight w:val="20"/>
        </w:trPr>
        <w:tc>
          <w:tcPr>
            <w:tcW w:w="0" w:type="auto"/>
            <w:shd w:val="clear" w:color="auto" w:fill="auto"/>
            <w:noWrap/>
            <w:vAlign w:val="bottom"/>
            <w:hideMark/>
          </w:tcPr>
          <w:p w14:paraId="5DC9102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Restriction</w:t>
            </w:r>
          </w:p>
        </w:tc>
        <w:tc>
          <w:tcPr>
            <w:tcW w:w="0" w:type="auto"/>
            <w:vAlign w:val="bottom"/>
          </w:tcPr>
          <w:p w14:paraId="057D9DE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2E133599" w14:textId="77777777" w:rsidTr="00E73261">
        <w:trPr>
          <w:cantSplit/>
          <w:trHeight w:val="20"/>
        </w:trPr>
        <w:tc>
          <w:tcPr>
            <w:tcW w:w="0" w:type="auto"/>
            <w:shd w:val="clear" w:color="auto" w:fill="auto"/>
            <w:noWrap/>
            <w:vAlign w:val="bottom"/>
            <w:hideMark/>
          </w:tcPr>
          <w:p w14:paraId="162AF9C6"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Selection</w:t>
            </w:r>
          </w:p>
        </w:tc>
        <w:tc>
          <w:tcPr>
            <w:tcW w:w="0" w:type="auto"/>
            <w:vAlign w:val="bottom"/>
          </w:tcPr>
          <w:p w14:paraId="09BCE11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Select Unit</w:t>
            </w:r>
          </w:p>
        </w:tc>
      </w:tr>
      <w:tr w:rsidR="00E73261" w:rsidRPr="00836B93" w14:paraId="6E21BCF6" w14:textId="77777777" w:rsidTr="00E73261">
        <w:trPr>
          <w:cantSplit/>
          <w:trHeight w:val="20"/>
        </w:trPr>
        <w:tc>
          <w:tcPr>
            <w:tcW w:w="0" w:type="auto"/>
            <w:shd w:val="clear" w:color="auto" w:fill="auto"/>
            <w:noWrap/>
            <w:vAlign w:val="bottom"/>
            <w:hideMark/>
          </w:tcPr>
          <w:p w14:paraId="31FC020E"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Status Removal</w:t>
            </w:r>
          </w:p>
        </w:tc>
        <w:tc>
          <w:tcPr>
            <w:tcW w:w="0" w:type="auto"/>
            <w:vAlign w:val="bottom"/>
          </w:tcPr>
          <w:p w14:paraId="2BE793E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 xml:space="preserve">Remove Final </w:t>
            </w:r>
            <w:r w:rsidR="0055121B">
              <w:rPr>
                <w:rFonts w:ascii="Arial" w:hAnsi="Arial" w:cs="Arial"/>
                <w:color w:val="000000"/>
                <w:sz w:val="18"/>
                <w:szCs w:val="18"/>
              </w:rPr>
              <w:t>Status</w:t>
            </w:r>
            <w:r w:rsidRPr="00ED5636">
              <w:rPr>
                <w:rFonts w:ascii="Arial" w:hAnsi="Arial" w:cs="Arial"/>
                <w:color w:val="000000"/>
                <w:sz w:val="18"/>
                <w:szCs w:val="18"/>
              </w:rPr>
              <w:t>, Inactivate unit</w:t>
            </w:r>
          </w:p>
        </w:tc>
      </w:tr>
      <w:tr w:rsidR="00E73261" w:rsidRPr="009F2938" w14:paraId="54C6378E" w14:textId="77777777" w:rsidTr="00E73261">
        <w:trPr>
          <w:cantSplit/>
          <w:trHeight w:val="20"/>
        </w:trPr>
        <w:tc>
          <w:tcPr>
            <w:tcW w:w="0" w:type="auto"/>
            <w:shd w:val="clear" w:color="auto" w:fill="auto"/>
            <w:noWrap/>
            <w:vAlign w:val="bottom"/>
            <w:hideMark/>
          </w:tcPr>
          <w:p w14:paraId="1F5B247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Testing</w:t>
            </w:r>
          </w:p>
        </w:tc>
        <w:tc>
          <w:tcPr>
            <w:tcW w:w="0" w:type="auto"/>
            <w:vAlign w:val="bottom"/>
          </w:tcPr>
          <w:p w14:paraId="06932095"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ABO/RH confirmation and Unit Antigen Typing Testing</w:t>
            </w:r>
          </w:p>
          <w:p w14:paraId="5555B9D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Edit Unit Information (Invalidate test results and unit inactivation)</w:t>
            </w:r>
          </w:p>
        </w:tc>
      </w:tr>
    </w:tbl>
    <w:p w14:paraId="534E1801" w14:textId="15063988" w:rsidR="002A21AE" w:rsidRDefault="00ED5636" w:rsidP="00ED5636">
      <w:pPr>
        <w:pStyle w:val="Heading3"/>
      </w:pPr>
      <w:bookmarkStart w:id="747" w:name="_Toc91323799"/>
      <w:r>
        <w:rPr>
          <w:rFonts w:ascii="Geneva" w:hAnsi="Geneva"/>
        </w:rPr>
        <w:br w:type="page"/>
      </w:r>
      <w:r w:rsidR="002548EA">
        <w:rPr>
          <w:rFonts w:ascii="Geneva" w:hAnsi="Geneva"/>
          <w:vanish/>
        </w:rPr>
        <w:lastRenderedPageBreak/>
        <w:t>PT_1</w:t>
      </w:r>
      <w:r w:rsidR="002A21AE">
        <w:rPr>
          <w:rFonts w:ascii="Geneva" w:hAnsi="Geneva"/>
          <w:vanish/>
        </w:rPr>
        <w:t>.0</w:t>
      </w:r>
      <w:r w:rsidR="002548EA">
        <w:rPr>
          <w:rFonts w:ascii="Geneva" w:hAnsi="Geneva"/>
          <w:vanish/>
        </w:rPr>
        <w:t>6</w:t>
      </w:r>
      <w:r w:rsidR="002A21AE">
        <w:rPr>
          <w:rFonts w:ascii="Geneva" w:hAnsi="Geneva"/>
          <w:vanish/>
        </w:rPr>
        <w:t xml:space="preserve"> </w:t>
      </w:r>
      <w:bookmarkStart w:id="748" w:name="_Toc47516812"/>
      <w:r w:rsidR="002A21AE">
        <w:t>CPRS Orderable Blood Components (Component Classes) Mapped to ICCBBA Component Classes</w:t>
      </w:r>
      <w:bookmarkEnd w:id="747"/>
      <w:bookmarkEnd w:id="748"/>
      <w:r w:rsidR="002A21AE">
        <w:fldChar w:fldCharType="begin"/>
      </w:r>
      <w:r w:rsidR="002A21AE">
        <w:instrText xml:space="preserve"> XE </w:instrText>
      </w:r>
      <w:r w:rsidR="00FA7E65">
        <w:instrText>“</w:instrText>
      </w:r>
      <w:r w:rsidR="002A21AE">
        <w:instrText>Tables:CPRS Orderable Blood Components (Component Classes) Mapped to ICCBBA Component Classes</w:instrText>
      </w:r>
      <w:r w:rsidR="00FA7E65">
        <w:instrText>”</w:instrText>
      </w:r>
      <w:r w:rsidR="002A21AE">
        <w:instrText xml:space="preserve"> </w:instrText>
      </w:r>
      <w:r w:rsidR="002A21AE">
        <w:fldChar w:fldCharType="end"/>
      </w:r>
    </w:p>
    <w:p w14:paraId="75FBBAE6" w14:textId="063EC1ED" w:rsidR="002A21AE" w:rsidRDefault="00E73261" w:rsidP="00FA7E65">
      <w:pPr>
        <w:pStyle w:val="BodyText"/>
      </w:pPr>
      <w:r>
        <w:fldChar w:fldCharType="begin"/>
      </w:r>
      <w:r>
        <w:instrText xml:space="preserve"> REF _Ref507069801 \h </w:instrText>
      </w:r>
      <w:r>
        <w:fldChar w:fldCharType="separate"/>
      </w:r>
      <w:r w:rsidR="004353ED" w:rsidRPr="00575E6D">
        <w:t xml:space="preserve">Table </w:t>
      </w:r>
      <w:r w:rsidR="004353ED">
        <w:rPr>
          <w:noProof/>
        </w:rPr>
        <w:t>19</w:t>
      </w:r>
      <w:r>
        <w:fldChar w:fldCharType="end"/>
      </w:r>
      <w:r>
        <w:t xml:space="preserve"> </w:t>
      </w:r>
      <w:r w:rsidR="002A21AE">
        <w:t>is used to map the CPRS/</w:t>
      </w:r>
      <w:r w:rsidR="00CA6E27" w:rsidRPr="00CA6E27">
        <w:rPr>
          <w:bCs/>
        </w:rPr>
        <w:t>VistA</w:t>
      </w:r>
      <w:r w:rsidR="002A21AE">
        <w:t xml:space="preserve"> orderables available to clinicians to the ICCBBA component classes.</w:t>
      </w:r>
      <w:r w:rsidR="00F04185">
        <w:t xml:space="preserve"> </w:t>
      </w:r>
      <w:r w:rsidR="00203682">
        <w:t>(</w:t>
      </w:r>
      <w:r w:rsidR="00911CAF" w:rsidRPr="00911CAF">
        <w:rPr>
          <w:vanish/>
        </w:rPr>
        <w:t xml:space="preserve">DR 4481 </w:t>
      </w:r>
      <w:r w:rsidR="00911CAF">
        <w:t>See FAQ VBECS Blood Product Hierarchy for additional information.</w:t>
      </w:r>
      <w:r w:rsidR="00203682">
        <w:t>)</w:t>
      </w:r>
    </w:p>
    <w:p w14:paraId="553DEFE8" w14:textId="343893CE" w:rsidR="002A21AE" w:rsidRDefault="002A21AE">
      <w:pPr>
        <w:pStyle w:val="Caption"/>
        <w:rPr>
          <w:rFonts w:ascii="Arial" w:hAnsi="Arial"/>
          <w:sz w:val="16"/>
        </w:rPr>
      </w:pPr>
      <w:bookmarkStart w:id="749" w:name="_Ref507069801"/>
      <w:bookmarkStart w:id="750" w:name="_Ref507152797"/>
      <w:r w:rsidRPr="00575E6D">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19</w:t>
      </w:r>
      <w:r w:rsidR="004E20BD">
        <w:rPr>
          <w:noProof/>
        </w:rPr>
        <w:fldChar w:fldCharType="end"/>
      </w:r>
      <w:bookmarkEnd w:id="749"/>
      <w:r w:rsidRPr="00575E6D">
        <w:t xml:space="preserve">: </w:t>
      </w:r>
      <w:r w:rsidRPr="00575E6D">
        <w:rPr>
          <w:vanish/>
        </w:rPr>
        <w:t>PT_</w:t>
      </w:r>
      <w:r w:rsidR="002548EA" w:rsidRPr="00575E6D">
        <w:rPr>
          <w:vanish/>
        </w:rPr>
        <w:t>1</w:t>
      </w:r>
      <w:r w:rsidRPr="00575E6D">
        <w:rPr>
          <w:vanish/>
        </w:rPr>
        <w:t>.0</w:t>
      </w:r>
      <w:r w:rsidR="002548EA" w:rsidRPr="00575E6D">
        <w:rPr>
          <w:vanish/>
        </w:rPr>
        <w:t>6</w:t>
      </w:r>
      <w:r w:rsidRPr="00575E6D">
        <w:rPr>
          <w:vanish/>
        </w:rPr>
        <w:t xml:space="preserve"> </w:t>
      </w:r>
      <w:r w:rsidRPr="00575E6D">
        <w:t>CPRS Orderable Blood Components (Component Classes) Mapped to ICCBBA Component Classes</w:t>
      </w:r>
      <w:bookmarkEnd w:id="750"/>
    </w:p>
    <w:tbl>
      <w:tblPr>
        <w:tblW w:w="7128" w:type="dxa"/>
        <w:tblInd w:w="604" w:type="dxa"/>
        <w:tblCellMar>
          <w:left w:w="0" w:type="dxa"/>
          <w:right w:w="0" w:type="dxa"/>
        </w:tblCellMar>
        <w:tblLook w:val="04A0" w:firstRow="1" w:lastRow="0" w:firstColumn="1" w:lastColumn="0" w:noHBand="0" w:noVBand="1"/>
      </w:tblPr>
      <w:tblGrid>
        <w:gridCol w:w="2988"/>
        <w:gridCol w:w="4140"/>
      </w:tblGrid>
      <w:tr w:rsidR="002202D4" w14:paraId="059DBA38" w14:textId="77777777" w:rsidTr="002202D4">
        <w:trPr>
          <w:trHeight w:val="255"/>
        </w:trPr>
        <w:tc>
          <w:tcPr>
            <w:tcW w:w="2988" w:type="dxa"/>
            <w:tcBorders>
              <w:top w:val="single" w:sz="8" w:space="0" w:color="auto"/>
              <w:left w:val="single" w:sz="8" w:space="0" w:color="auto"/>
              <w:bottom w:val="single" w:sz="8" w:space="0" w:color="auto"/>
              <w:right w:val="single" w:sz="8" w:space="0" w:color="auto"/>
            </w:tcBorders>
            <w:shd w:val="clear" w:color="auto" w:fill="CCCCCC"/>
            <w:noWrap/>
            <w:tcMar>
              <w:top w:w="0" w:type="dxa"/>
              <w:left w:w="108" w:type="dxa"/>
              <w:bottom w:w="0" w:type="dxa"/>
              <w:right w:w="108" w:type="dxa"/>
            </w:tcMar>
            <w:vAlign w:val="bottom"/>
            <w:hideMark/>
          </w:tcPr>
          <w:p w14:paraId="442975EA" w14:textId="77777777" w:rsidR="002202D4" w:rsidRPr="002202D4" w:rsidRDefault="002202D4">
            <w:pPr>
              <w:jc w:val="center"/>
              <w:rPr>
                <w:rFonts w:ascii="Arial" w:eastAsia="Calibri" w:hAnsi="Arial" w:cs="Arial"/>
                <w:b/>
                <w:bCs/>
                <w:sz w:val="18"/>
                <w:szCs w:val="18"/>
              </w:rPr>
            </w:pPr>
            <w:r w:rsidRPr="002202D4">
              <w:rPr>
                <w:rFonts w:ascii="Arial" w:hAnsi="Arial" w:cs="Arial"/>
                <w:b/>
                <w:bCs/>
                <w:sz w:val="18"/>
                <w:szCs w:val="18"/>
              </w:rPr>
              <w:t>CPRS Orderable Item</w:t>
            </w:r>
          </w:p>
        </w:tc>
        <w:tc>
          <w:tcPr>
            <w:tcW w:w="4140" w:type="dxa"/>
            <w:tcBorders>
              <w:top w:val="single" w:sz="8" w:space="0" w:color="auto"/>
              <w:left w:val="nil"/>
              <w:bottom w:val="single" w:sz="8" w:space="0" w:color="auto"/>
              <w:right w:val="single" w:sz="8" w:space="0" w:color="auto"/>
            </w:tcBorders>
            <w:shd w:val="clear" w:color="auto" w:fill="CCCCCC"/>
            <w:noWrap/>
            <w:tcMar>
              <w:top w:w="0" w:type="dxa"/>
              <w:left w:w="108" w:type="dxa"/>
              <w:bottom w:w="0" w:type="dxa"/>
              <w:right w:w="108" w:type="dxa"/>
            </w:tcMar>
            <w:vAlign w:val="bottom"/>
            <w:hideMark/>
          </w:tcPr>
          <w:p w14:paraId="059D7BA9" w14:textId="77777777" w:rsidR="002202D4" w:rsidRPr="002202D4" w:rsidRDefault="002202D4">
            <w:pPr>
              <w:jc w:val="center"/>
              <w:rPr>
                <w:rFonts w:ascii="Arial" w:eastAsia="Calibri" w:hAnsi="Arial" w:cs="Arial"/>
                <w:b/>
                <w:bCs/>
                <w:sz w:val="18"/>
                <w:szCs w:val="18"/>
              </w:rPr>
            </w:pPr>
            <w:r w:rsidRPr="002202D4">
              <w:rPr>
                <w:rFonts w:ascii="Arial" w:hAnsi="Arial" w:cs="Arial"/>
                <w:b/>
                <w:bCs/>
                <w:sz w:val="18"/>
                <w:szCs w:val="18"/>
              </w:rPr>
              <w:t>Blood Product Component Class</w:t>
            </w:r>
          </w:p>
        </w:tc>
      </w:tr>
      <w:tr w:rsidR="002202D4" w14:paraId="426F2CB7"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EFDB630"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42F9A0"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r>
      <w:tr w:rsidR="002202D4" w14:paraId="6F8D83FB"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E134E29"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AA410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r>
      <w:tr w:rsidR="002202D4" w14:paraId="0EC39DE2"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30D173E"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415E1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r>
      <w:tr w:rsidR="002202D4" w14:paraId="4B362CCA"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18C8E71"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414664"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r>
      <w:tr w:rsidR="002202D4" w14:paraId="01247776"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8612B24"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FRESH FROZEN PLASMA</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C0FFD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FRESH FROZEN PLASMA</w:t>
            </w:r>
          </w:p>
        </w:tc>
      </w:tr>
      <w:tr w:rsidR="002202D4" w14:paraId="2E902E53"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07A9DA"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PLATELETS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0C150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PLATELETS</w:t>
            </w:r>
          </w:p>
        </w:tc>
      </w:tr>
      <w:tr w:rsidR="002202D4" w14:paraId="42AF745A"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C4DEC22"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CRYOPRECIPITATE</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68C73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CRYOPRECIPITATE</w:t>
            </w:r>
          </w:p>
        </w:tc>
      </w:tr>
      <w:tr w:rsidR="002202D4" w14:paraId="77A58925"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0F85B2"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OTHER</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88F82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OTHER</w:t>
            </w:r>
          </w:p>
        </w:tc>
      </w:tr>
    </w:tbl>
    <w:p w14:paraId="248B567D" w14:textId="77777777" w:rsidR="002A21AE" w:rsidRDefault="002A21AE">
      <w:pPr>
        <w:pStyle w:val="Heading3"/>
      </w:pPr>
      <w:r w:rsidRPr="00691DFF">
        <w:rPr>
          <w:rFonts w:ascii="Geneva" w:hAnsi="Geneva"/>
          <w:vanish/>
        </w:rPr>
        <w:t xml:space="preserve">TT_77.01 </w:t>
      </w:r>
      <w:bookmarkStart w:id="751" w:name="_Toc47516813"/>
      <w:r w:rsidRPr="00691DFF">
        <w:t>Details in Audit Trail Report</w:t>
      </w:r>
      <w:bookmarkEnd w:id="751"/>
      <w:r w:rsidRPr="00691DFF">
        <w:fldChar w:fldCharType="begin"/>
      </w:r>
      <w:r w:rsidRPr="00691DFF">
        <w:instrText xml:space="preserve"> XE </w:instrText>
      </w:r>
      <w:r w:rsidR="00FA7E65" w:rsidRPr="00691DFF">
        <w:instrText>“</w:instrText>
      </w:r>
      <w:r w:rsidRPr="00691DFF">
        <w:instrText>Tables:Details in Audit Trail Report</w:instrText>
      </w:r>
      <w:r w:rsidR="00FA7E65" w:rsidRPr="00691DFF">
        <w:instrText>”</w:instrText>
      </w:r>
      <w:r w:rsidRPr="00691DFF">
        <w:instrText xml:space="preserve"> </w:instrText>
      </w:r>
      <w:r w:rsidRPr="00691DFF">
        <w:fldChar w:fldCharType="end"/>
      </w:r>
    </w:p>
    <w:p w14:paraId="1081D19B" w14:textId="4A2D11C0" w:rsidR="00264588" w:rsidRPr="00264588" w:rsidRDefault="00264588" w:rsidP="00264588">
      <w:pPr>
        <w:pStyle w:val="BodyText"/>
      </w:pPr>
      <w:r>
        <w:t>Changes include the date and time of the change, ID of the user who made the change, and required comments</w:t>
      </w:r>
      <w:r w:rsidR="00E531AC">
        <w:t xml:space="preserve"> (</w:t>
      </w:r>
      <w:r w:rsidR="00E531AC">
        <w:fldChar w:fldCharType="begin"/>
      </w:r>
      <w:r w:rsidR="00E531AC">
        <w:instrText xml:space="preserve"> REF _Ref126732219 \h </w:instrText>
      </w:r>
      <w:r w:rsidR="00E531AC">
        <w:fldChar w:fldCharType="separate"/>
      </w:r>
      <w:r w:rsidR="004353ED">
        <w:t xml:space="preserve">Table </w:t>
      </w:r>
      <w:r w:rsidR="004353ED">
        <w:rPr>
          <w:noProof/>
        </w:rPr>
        <w:t>20</w:t>
      </w:r>
      <w:r w:rsidR="00E531AC">
        <w:fldChar w:fldCharType="end"/>
      </w:r>
      <w:r w:rsidR="00E531AC">
        <w:t>)</w:t>
      </w:r>
      <w:r>
        <w:t>.</w:t>
      </w:r>
    </w:p>
    <w:p w14:paraId="5F52D2C4" w14:textId="53A5742F" w:rsidR="002A21AE" w:rsidRDefault="002A21AE">
      <w:pPr>
        <w:pStyle w:val="Caption"/>
      </w:pPr>
      <w:bookmarkStart w:id="752" w:name="_Ref126732219"/>
      <w:bookmarkStart w:id="753" w:name="_Toc97523637"/>
      <w:bookmarkStart w:id="754" w:name="_Toc97527607"/>
      <w:bookmarkStart w:id="755" w:name="_Ref126504486"/>
      <w:bookmarkStart w:id="756" w:name="_Ref12650461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20</w:t>
      </w:r>
      <w:r w:rsidR="004E20BD">
        <w:rPr>
          <w:noProof/>
        </w:rPr>
        <w:fldChar w:fldCharType="end"/>
      </w:r>
      <w:bookmarkEnd w:id="752"/>
      <w:r>
        <w:t xml:space="preserve">: </w:t>
      </w:r>
      <w:r>
        <w:rPr>
          <w:vanish/>
        </w:rPr>
        <w:t xml:space="preserve">TT_77.01 </w:t>
      </w:r>
      <w:r>
        <w:t>Details in Audit Trail Report</w:t>
      </w:r>
      <w:bookmarkEnd w:id="753"/>
      <w:bookmarkEnd w:id="754"/>
      <w:bookmarkEnd w:id="755"/>
      <w:bookmarkEnd w:id="75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3"/>
        <w:gridCol w:w="1979"/>
        <w:gridCol w:w="3470"/>
        <w:gridCol w:w="1243"/>
        <w:gridCol w:w="1295"/>
      </w:tblGrid>
      <w:tr w:rsidR="002A21AE" w14:paraId="709F05F7" w14:textId="77777777" w:rsidTr="00A732E0">
        <w:trPr>
          <w:cantSplit/>
          <w:tblHeader/>
        </w:trPr>
        <w:tc>
          <w:tcPr>
            <w:tcW w:w="1373" w:type="dxa"/>
            <w:vMerge w:val="restart"/>
            <w:shd w:val="clear" w:color="auto" w:fill="B3B3B3"/>
            <w:vAlign w:val="bottom"/>
          </w:tcPr>
          <w:p w14:paraId="076C9088" w14:textId="77777777" w:rsidR="002A21AE" w:rsidRDefault="002A21AE" w:rsidP="00CD34EB">
            <w:pPr>
              <w:pStyle w:val="TableText"/>
              <w:rPr>
                <w:b/>
                <w:bCs/>
              </w:rPr>
            </w:pPr>
            <w:r>
              <w:rPr>
                <w:b/>
                <w:bCs/>
              </w:rPr>
              <w:t>Report Section</w:t>
            </w:r>
          </w:p>
        </w:tc>
        <w:tc>
          <w:tcPr>
            <w:tcW w:w="1979" w:type="dxa"/>
            <w:vMerge w:val="restart"/>
            <w:shd w:val="clear" w:color="auto" w:fill="B3B3B3"/>
            <w:vAlign w:val="bottom"/>
          </w:tcPr>
          <w:p w14:paraId="6AF17763" w14:textId="77777777" w:rsidR="002A21AE" w:rsidRDefault="002A21AE">
            <w:pPr>
              <w:pStyle w:val="TableText"/>
              <w:rPr>
                <w:b/>
                <w:bCs/>
              </w:rPr>
            </w:pPr>
            <w:r>
              <w:rPr>
                <w:b/>
                <w:bCs/>
              </w:rPr>
              <w:t>Generating Options</w:t>
            </w:r>
          </w:p>
        </w:tc>
        <w:tc>
          <w:tcPr>
            <w:tcW w:w="3470" w:type="dxa"/>
            <w:vMerge w:val="restart"/>
            <w:shd w:val="clear" w:color="auto" w:fill="B3B3B3"/>
            <w:vAlign w:val="bottom"/>
          </w:tcPr>
          <w:p w14:paraId="4C7E03D4" w14:textId="77777777" w:rsidR="002A21AE" w:rsidRDefault="002A21AE">
            <w:pPr>
              <w:pStyle w:val="TableText"/>
              <w:rPr>
                <w:b/>
                <w:bCs/>
              </w:rPr>
            </w:pPr>
            <w:r>
              <w:rPr>
                <w:b/>
                <w:bCs/>
              </w:rPr>
              <w:t>GUI Fields Monitored</w:t>
            </w:r>
          </w:p>
        </w:tc>
        <w:tc>
          <w:tcPr>
            <w:tcW w:w="2538" w:type="dxa"/>
            <w:gridSpan w:val="2"/>
            <w:tcBorders>
              <w:bottom w:val="single" w:sz="4" w:space="0" w:color="auto"/>
            </w:tcBorders>
            <w:shd w:val="clear" w:color="auto" w:fill="B3B3B3"/>
            <w:vAlign w:val="bottom"/>
          </w:tcPr>
          <w:p w14:paraId="1965C764" w14:textId="77777777" w:rsidR="002A21AE" w:rsidRDefault="002A21AE" w:rsidP="0058499D">
            <w:pPr>
              <w:pStyle w:val="TableText"/>
              <w:jc w:val="center"/>
              <w:rPr>
                <w:rFonts w:eastAsia="Symbol"/>
                <w:b/>
                <w:bCs/>
              </w:rPr>
            </w:pPr>
            <w:r>
              <w:rPr>
                <w:rFonts w:eastAsia="Symbol"/>
                <w:b/>
                <w:bCs/>
              </w:rPr>
              <w:t>Accessible in:</w:t>
            </w:r>
          </w:p>
        </w:tc>
      </w:tr>
      <w:tr w:rsidR="002A21AE" w14:paraId="52686887" w14:textId="77777777" w:rsidTr="00A732E0">
        <w:trPr>
          <w:cantSplit/>
          <w:tblHeader/>
        </w:trPr>
        <w:tc>
          <w:tcPr>
            <w:tcW w:w="1373" w:type="dxa"/>
            <w:vMerge/>
            <w:tcBorders>
              <w:bottom w:val="single" w:sz="4" w:space="0" w:color="auto"/>
            </w:tcBorders>
            <w:shd w:val="clear" w:color="auto" w:fill="B3B3B3"/>
            <w:vAlign w:val="bottom"/>
          </w:tcPr>
          <w:p w14:paraId="1FB4CF3E" w14:textId="77777777" w:rsidR="002A21AE" w:rsidRDefault="002A21AE" w:rsidP="00CD34EB">
            <w:pPr>
              <w:pStyle w:val="TableText"/>
              <w:rPr>
                <w:b/>
                <w:bCs/>
              </w:rPr>
            </w:pPr>
          </w:p>
        </w:tc>
        <w:tc>
          <w:tcPr>
            <w:tcW w:w="1979" w:type="dxa"/>
            <w:vMerge/>
            <w:tcBorders>
              <w:bottom w:val="single" w:sz="4" w:space="0" w:color="auto"/>
            </w:tcBorders>
            <w:shd w:val="clear" w:color="auto" w:fill="B3B3B3"/>
            <w:vAlign w:val="bottom"/>
          </w:tcPr>
          <w:p w14:paraId="767F3066" w14:textId="77777777" w:rsidR="002A21AE" w:rsidRDefault="002A21AE">
            <w:pPr>
              <w:pStyle w:val="TableText"/>
              <w:rPr>
                <w:b/>
                <w:bCs/>
              </w:rPr>
            </w:pPr>
          </w:p>
        </w:tc>
        <w:tc>
          <w:tcPr>
            <w:tcW w:w="3470" w:type="dxa"/>
            <w:vMerge/>
            <w:tcBorders>
              <w:bottom w:val="single" w:sz="4" w:space="0" w:color="auto"/>
            </w:tcBorders>
            <w:shd w:val="clear" w:color="auto" w:fill="B3B3B3"/>
            <w:vAlign w:val="bottom"/>
          </w:tcPr>
          <w:p w14:paraId="08709FB6" w14:textId="77777777" w:rsidR="002A21AE" w:rsidRDefault="002A21AE">
            <w:pPr>
              <w:pStyle w:val="TableText"/>
              <w:rPr>
                <w:b/>
                <w:bCs/>
              </w:rPr>
            </w:pPr>
          </w:p>
        </w:tc>
        <w:tc>
          <w:tcPr>
            <w:tcW w:w="1243" w:type="dxa"/>
            <w:tcBorders>
              <w:bottom w:val="single" w:sz="4" w:space="0" w:color="auto"/>
            </w:tcBorders>
            <w:shd w:val="clear" w:color="auto" w:fill="B3B3B3"/>
            <w:vAlign w:val="bottom"/>
          </w:tcPr>
          <w:p w14:paraId="63ABB6E6" w14:textId="77777777" w:rsidR="002A21AE" w:rsidRDefault="002A21AE">
            <w:pPr>
              <w:pStyle w:val="TableText"/>
              <w:rPr>
                <w:rFonts w:eastAsia="Symbol"/>
                <w:b/>
                <w:bCs/>
              </w:rPr>
            </w:pPr>
            <w:r>
              <w:rPr>
                <w:rFonts w:eastAsia="Symbol"/>
                <w:b/>
                <w:bCs/>
              </w:rPr>
              <w:t>Unit History Report?</w:t>
            </w:r>
          </w:p>
        </w:tc>
        <w:tc>
          <w:tcPr>
            <w:tcW w:w="1295" w:type="dxa"/>
            <w:tcBorders>
              <w:bottom w:val="single" w:sz="4" w:space="0" w:color="auto"/>
            </w:tcBorders>
            <w:shd w:val="clear" w:color="auto" w:fill="B3B3B3"/>
            <w:vAlign w:val="bottom"/>
          </w:tcPr>
          <w:p w14:paraId="4D946EB8" w14:textId="77777777" w:rsidR="002A21AE" w:rsidRDefault="002A21AE">
            <w:pPr>
              <w:pStyle w:val="TableText"/>
              <w:rPr>
                <w:rFonts w:eastAsia="Symbol"/>
                <w:b/>
                <w:bCs/>
              </w:rPr>
            </w:pPr>
            <w:r>
              <w:rPr>
                <w:rFonts w:eastAsia="Symbol"/>
                <w:b/>
                <w:bCs/>
              </w:rPr>
              <w:t>Patient History Report?</w:t>
            </w:r>
          </w:p>
        </w:tc>
      </w:tr>
      <w:tr w:rsidR="002A21AE" w14:paraId="42D14CED" w14:textId="77777777" w:rsidTr="00A732E0">
        <w:trPr>
          <w:cantSplit/>
        </w:trPr>
        <w:tc>
          <w:tcPr>
            <w:tcW w:w="1373" w:type="dxa"/>
            <w:vMerge w:val="restart"/>
          </w:tcPr>
          <w:p w14:paraId="0A7EDB2A" w14:textId="77777777" w:rsidR="002A21AE" w:rsidRDefault="002A21AE" w:rsidP="00CD34EB">
            <w:pPr>
              <w:pStyle w:val="TableText"/>
            </w:pPr>
            <w:r>
              <w:t>Blood Unit Changes</w:t>
            </w:r>
          </w:p>
        </w:tc>
        <w:tc>
          <w:tcPr>
            <w:tcW w:w="1979" w:type="dxa"/>
          </w:tcPr>
          <w:p w14:paraId="3FAA7EC0" w14:textId="77777777" w:rsidR="002A21AE" w:rsidRDefault="002A21AE">
            <w:pPr>
              <w:pStyle w:val="TableText"/>
            </w:pPr>
            <w:r>
              <w:t>Modify Units: Pool Units</w:t>
            </w:r>
            <w:r w:rsidR="0030405B">
              <w:t xml:space="preserve"> (when a previously pooled unit is edited)</w:t>
            </w:r>
          </w:p>
        </w:tc>
        <w:tc>
          <w:tcPr>
            <w:tcW w:w="3470" w:type="dxa"/>
          </w:tcPr>
          <w:p w14:paraId="0ACD50D6" w14:textId="77777777" w:rsidR="00EC2271" w:rsidRDefault="00EC2271" w:rsidP="00EC2271">
            <w:pPr>
              <w:pStyle w:val="TableText"/>
            </w:pPr>
            <w:r>
              <w:t>For each pooled unit edited (unit ID, long name, product code):</w:t>
            </w:r>
          </w:p>
          <w:p w14:paraId="01A2E75B" w14:textId="77777777" w:rsidR="002A21AE" w:rsidRDefault="002A21AE">
            <w:pPr>
              <w:pStyle w:val="TableTextBullet"/>
            </w:pPr>
            <w:r>
              <w:t xml:space="preserve">Added </w:t>
            </w:r>
            <w:r w:rsidR="00BD6C59">
              <w:t xml:space="preserve">or Removed </w:t>
            </w:r>
            <w:r>
              <w:t>Unit IDs and Product Codes</w:t>
            </w:r>
          </w:p>
          <w:p w14:paraId="619237B8" w14:textId="77777777" w:rsidR="002A21AE" w:rsidRDefault="002A21AE">
            <w:pPr>
              <w:pStyle w:val="TableTextBullet"/>
            </w:pPr>
            <w:r>
              <w:t>Comment</w:t>
            </w:r>
          </w:p>
        </w:tc>
        <w:tc>
          <w:tcPr>
            <w:tcW w:w="1243" w:type="dxa"/>
          </w:tcPr>
          <w:p w14:paraId="41706762" w14:textId="77777777" w:rsidR="002A21AE" w:rsidRDefault="002A21AE">
            <w:pPr>
              <w:pStyle w:val="TableText"/>
            </w:pPr>
            <w:r>
              <w:rPr>
                <w:rFonts w:eastAsia="Symbol"/>
              </w:rPr>
              <w:t>Yes</w:t>
            </w:r>
          </w:p>
        </w:tc>
        <w:tc>
          <w:tcPr>
            <w:tcW w:w="1295" w:type="dxa"/>
          </w:tcPr>
          <w:p w14:paraId="103B023B" w14:textId="77777777" w:rsidR="002A21AE" w:rsidRDefault="002A21AE">
            <w:pPr>
              <w:pStyle w:val="TableText"/>
            </w:pPr>
            <w:r>
              <w:t>No</w:t>
            </w:r>
          </w:p>
        </w:tc>
      </w:tr>
      <w:tr w:rsidR="002A21AE" w14:paraId="303E1540" w14:textId="77777777" w:rsidTr="00A732E0">
        <w:trPr>
          <w:cantSplit/>
        </w:trPr>
        <w:tc>
          <w:tcPr>
            <w:tcW w:w="1373" w:type="dxa"/>
            <w:vMerge/>
          </w:tcPr>
          <w:p w14:paraId="7281027A" w14:textId="77777777" w:rsidR="002A21AE" w:rsidRDefault="002A21AE" w:rsidP="00CD34EB">
            <w:pPr>
              <w:pStyle w:val="TableText"/>
            </w:pPr>
          </w:p>
        </w:tc>
        <w:tc>
          <w:tcPr>
            <w:tcW w:w="1979" w:type="dxa"/>
          </w:tcPr>
          <w:p w14:paraId="5A48EF1D" w14:textId="77777777" w:rsidR="002A21AE" w:rsidRDefault="002A21AE">
            <w:pPr>
              <w:pStyle w:val="TableText"/>
            </w:pPr>
            <w:r>
              <w:t>Editing A Unit</w:t>
            </w:r>
          </w:p>
        </w:tc>
        <w:tc>
          <w:tcPr>
            <w:tcW w:w="3470" w:type="dxa"/>
          </w:tcPr>
          <w:p w14:paraId="3B0A21D9" w14:textId="77777777" w:rsidR="00EC2271" w:rsidRDefault="00EC2271" w:rsidP="00EC2271">
            <w:pPr>
              <w:pStyle w:val="TableText"/>
            </w:pPr>
            <w:r>
              <w:t>For each unit edited (unit ID, long name, product code):</w:t>
            </w:r>
          </w:p>
          <w:p w14:paraId="0EC15468" w14:textId="77777777" w:rsidR="002A21AE" w:rsidRDefault="002A21AE">
            <w:pPr>
              <w:pStyle w:val="TableTextBullet"/>
            </w:pPr>
            <w:r>
              <w:t xml:space="preserve">Unit </w:t>
            </w:r>
            <w:r w:rsidR="0083176A">
              <w:t xml:space="preserve">Antigen </w:t>
            </w:r>
            <w:r>
              <w:t>Information</w:t>
            </w:r>
          </w:p>
          <w:p w14:paraId="29CFD3B4" w14:textId="77777777" w:rsidR="0083176A" w:rsidRDefault="0083176A">
            <w:pPr>
              <w:pStyle w:val="TableTextBullet"/>
            </w:pPr>
            <w:r>
              <w:t>Special Testing Information</w:t>
            </w:r>
          </w:p>
          <w:p w14:paraId="24F96387" w14:textId="77777777" w:rsidR="0083176A" w:rsidRDefault="0083176A">
            <w:pPr>
              <w:pStyle w:val="TableTextBullet"/>
            </w:pPr>
            <w:r>
              <w:t>Discarded Plasma Volume</w:t>
            </w:r>
          </w:p>
          <w:p w14:paraId="0E6C024B" w14:textId="77777777" w:rsidR="0083176A" w:rsidRDefault="0083176A">
            <w:pPr>
              <w:pStyle w:val="TableTextBullet"/>
            </w:pPr>
            <w:r>
              <w:t>Unit Volume</w:t>
            </w:r>
          </w:p>
          <w:p w14:paraId="60A0BF53" w14:textId="77777777" w:rsidR="0083176A" w:rsidRDefault="0083176A">
            <w:pPr>
              <w:pStyle w:val="TableTextBullet"/>
            </w:pPr>
            <w:r>
              <w:t>Biohazardous Indicator</w:t>
            </w:r>
          </w:p>
          <w:p w14:paraId="11D8C951" w14:textId="77777777" w:rsidR="002A21AE" w:rsidRDefault="002A21AE">
            <w:pPr>
              <w:pStyle w:val="TableTextBullet"/>
            </w:pPr>
            <w:r>
              <w:t>Unit ABO/Rh Confirmation Test</w:t>
            </w:r>
            <w:r w:rsidR="00A047A4">
              <w:t xml:space="preserve">, </w:t>
            </w:r>
            <w:r w:rsidR="0083176A">
              <w:t>Invalidation Indicator</w:t>
            </w:r>
          </w:p>
          <w:p w14:paraId="44AFED0F" w14:textId="77777777" w:rsidR="002A21AE" w:rsidRDefault="002A21AE">
            <w:pPr>
              <w:pStyle w:val="TableTextBullet"/>
            </w:pPr>
            <w:r>
              <w:t>Unit Antigen Typing Test</w:t>
            </w:r>
            <w:r w:rsidR="00A047A4">
              <w:t xml:space="preserve">, </w:t>
            </w:r>
            <w:r w:rsidR="0083176A">
              <w:t>Invalidation Indicator</w:t>
            </w:r>
          </w:p>
          <w:p w14:paraId="2C2640FA" w14:textId="77777777" w:rsidR="002A21AE" w:rsidRDefault="002A21AE">
            <w:pPr>
              <w:pStyle w:val="TableTextBullet"/>
            </w:pPr>
            <w:r>
              <w:t>Unit Record Inactivation Indicator</w:t>
            </w:r>
          </w:p>
          <w:p w14:paraId="52977935" w14:textId="77777777" w:rsidR="0083176A" w:rsidRDefault="002F766E">
            <w:pPr>
              <w:pStyle w:val="TableTextBullet"/>
            </w:pPr>
            <w:r>
              <w:t>Restricted For</w:t>
            </w:r>
            <w:r w:rsidR="0083176A">
              <w:t xml:space="preserve"> Patient Name and Patient ID</w:t>
            </w:r>
          </w:p>
          <w:p w14:paraId="1811BD8C" w14:textId="77777777" w:rsidR="002A21AE" w:rsidRDefault="002A21AE">
            <w:pPr>
              <w:pStyle w:val="TableTextBullet"/>
            </w:pPr>
            <w:r>
              <w:t>Comment</w:t>
            </w:r>
          </w:p>
        </w:tc>
        <w:tc>
          <w:tcPr>
            <w:tcW w:w="1243" w:type="dxa"/>
          </w:tcPr>
          <w:p w14:paraId="7BA16EC9" w14:textId="77777777" w:rsidR="002A21AE" w:rsidRDefault="002A21AE">
            <w:pPr>
              <w:pStyle w:val="TableText"/>
            </w:pPr>
            <w:r>
              <w:rPr>
                <w:rFonts w:eastAsia="Symbol"/>
              </w:rPr>
              <w:t>Yes</w:t>
            </w:r>
          </w:p>
        </w:tc>
        <w:tc>
          <w:tcPr>
            <w:tcW w:w="1295" w:type="dxa"/>
          </w:tcPr>
          <w:p w14:paraId="7B24076F" w14:textId="77777777" w:rsidR="002A21AE" w:rsidRDefault="002A21AE">
            <w:pPr>
              <w:pStyle w:val="TableText"/>
            </w:pPr>
            <w:r>
              <w:t>No</w:t>
            </w:r>
          </w:p>
        </w:tc>
      </w:tr>
      <w:tr w:rsidR="002A21AE" w14:paraId="06BDD35D" w14:textId="77777777" w:rsidTr="00A732E0">
        <w:trPr>
          <w:cantSplit/>
        </w:trPr>
        <w:tc>
          <w:tcPr>
            <w:tcW w:w="1373" w:type="dxa"/>
          </w:tcPr>
          <w:p w14:paraId="58C20FB1" w14:textId="77777777" w:rsidR="002A21AE" w:rsidRDefault="002A21AE" w:rsidP="00CD34EB">
            <w:pPr>
              <w:pStyle w:val="TableText"/>
            </w:pPr>
            <w:r>
              <w:lastRenderedPageBreak/>
              <w:t>Blood Unit Financial Changes</w:t>
            </w:r>
          </w:p>
        </w:tc>
        <w:tc>
          <w:tcPr>
            <w:tcW w:w="1979" w:type="dxa"/>
          </w:tcPr>
          <w:p w14:paraId="27E0D22B" w14:textId="77777777" w:rsidR="002A21AE" w:rsidRDefault="002A21AE">
            <w:pPr>
              <w:pStyle w:val="TableText"/>
            </w:pPr>
            <w:r>
              <w:t>Edit Financial Data</w:t>
            </w:r>
          </w:p>
        </w:tc>
        <w:tc>
          <w:tcPr>
            <w:tcW w:w="3470" w:type="dxa"/>
          </w:tcPr>
          <w:p w14:paraId="76EB7F6E" w14:textId="77777777" w:rsidR="00F0285D" w:rsidRDefault="00F0285D" w:rsidP="00F0285D">
            <w:pPr>
              <w:pStyle w:val="TableText"/>
            </w:pPr>
            <w:r>
              <w:t>For each unit edited (unit ID, long name, product code):</w:t>
            </w:r>
          </w:p>
          <w:p w14:paraId="43848790" w14:textId="77777777" w:rsidR="002A21AE" w:rsidRDefault="002A21AE">
            <w:pPr>
              <w:pStyle w:val="TableTextBullet"/>
            </w:pPr>
            <w:r>
              <w:t xml:space="preserve">Unit Base Cost </w:t>
            </w:r>
          </w:p>
          <w:p w14:paraId="4E5168AB" w14:textId="77777777" w:rsidR="002A21AE" w:rsidRDefault="002A21AE">
            <w:pPr>
              <w:pStyle w:val="TableTextBullet"/>
            </w:pPr>
            <w:r>
              <w:t>Special Test Cost</w:t>
            </w:r>
          </w:p>
          <w:p w14:paraId="24293B4B" w14:textId="77777777" w:rsidR="002A21AE" w:rsidRDefault="002A21AE">
            <w:pPr>
              <w:pStyle w:val="TableTextBullet"/>
            </w:pPr>
            <w:r>
              <w:t>Return Credit</w:t>
            </w:r>
          </w:p>
        </w:tc>
        <w:tc>
          <w:tcPr>
            <w:tcW w:w="1243" w:type="dxa"/>
          </w:tcPr>
          <w:p w14:paraId="5CD4778C" w14:textId="77777777" w:rsidR="002A21AE" w:rsidRDefault="002A21AE">
            <w:pPr>
              <w:pStyle w:val="TableText"/>
            </w:pPr>
            <w:r>
              <w:rPr>
                <w:rFonts w:eastAsia="Symbol"/>
              </w:rPr>
              <w:t>Yes</w:t>
            </w:r>
          </w:p>
        </w:tc>
        <w:tc>
          <w:tcPr>
            <w:tcW w:w="1295" w:type="dxa"/>
          </w:tcPr>
          <w:p w14:paraId="5DFB24C0" w14:textId="77777777" w:rsidR="002A21AE" w:rsidRDefault="002A21AE">
            <w:pPr>
              <w:pStyle w:val="TableText"/>
            </w:pPr>
            <w:r>
              <w:t>No</w:t>
            </w:r>
          </w:p>
        </w:tc>
      </w:tr>
      <w:tr w:rsidR="002A21AE" w14:paraId="4D3BB8AB" w14:textId="77777777" w:rsidTr="00A732E0">
        <w:trPr>
          <w:cantSplit/>
        </w:trPr>
        <w:tc>
          <w:tcPr>
            <w:tcW w:w="1373" w:type="dxa"/>
            <w:vMerge w:val="restart"/>
          </w:tcPr>
          <w:p w14:paraId="3B6242B2" w14:textId="77777777" w:rsidR="002A21AE" w:rsidRDefault="002A21AE" w:rsidP="00CD34EB">
            <w:pPr>
              <w:pStyle w:val="TableText"/>
            </w:pPr>
            <w:r>
              <w:t>Patient Testing Changes</w:t>
            </w:r>
          </w:p>
        </w:tc>
        <w:tc>
          <w:tcPr>
            <w:tcW w:w="1979" w:type="dxa"/>
          </w:tcPr>
          <w:p w14:paraId="43A56B13" w14:textId="77777777" w:rsidR="002A21AE" w:rsidRDefault="002A21AE">
            <w:pPr>
              <w:pStyle w:val="TableText"/>
            </w:pPr>
            <w:r>
              <w:t>Invalidate Test Results</w:t>
            </w:r>
          </w:p>
        </w:tc>
        <w:tc>
          <w:tcPr>
            <w:tcW w:w="3470" w:type="dxa"/>
          </w:tcPr>
          <w:p w14:paraId="3C098B86" w14:textId="77777777" w:rsidR="004F2A5E" w:rsidRDefault="004F2A5E" w:rsidP="004F2A5E">
            <w:pPr>
              <w:pStyle w:val="TableText"/>
            </w:pPr>
            <w:r>
              <w:t>For each patient (name, ID):</w:t>
            </w:r>
          </w:p>
          <w:p w14:paraId="553A626E" w14:textId="77777777" w:rsidR="002A21AE" w:rsidRDefault="002A21AE" w:rsidP="00691DFF">
            <w:pPr>
              <w:pStyle w:val="TableTextBullet"/>
            </w:pPr>
            <w:r>
              <w:t>Ordered Test Original Results</w:t>
            </w:r>
            <w:r w:rsidR="00A047A4">
              <w:t xml:space="preserve">, </w:t>
            </w:r>
            <w:r w:rsidR="004F2A5E">
              <w:t>Invalidation Indicator</w:t>
            </w:r>
          </w:p>
          <w:p w14:paraId="3BDEEC21" w14:textId="77777777" w:rsidR="002A21AE" w:rsidRDefault="002A21AE">
            <w:pPr>
              <w:pStyle w:val="TableTextBullet"/>
            </w:pPr>
            <w:r>
              <w:t>Comment</w:t>
            </w:r>
          </w:p>
        </w:tc>
        <w:tc>
          <w:tcPr>
            <w:tcW w:w="1243" w:type="dxa"/>
          </w:tcPr>
          <w:p w14:paraId="7215837B" w14:textId="77777777" w:rsidR="002A21AE" w:rsidRDefault="002A21AE">
            <w:pPr>
              <w:pStyle w:val="TableText"/>
            </w:pPr>
            <w:r>
              <w:t>No</w:t>
            </w:r>
          </w:p>
        </w:tc>
        <w:tc>
          <w:tcPr>
            <w:tcW w:w="1295" w:type="dxa"/>
          </w:tcPr>
          <w:p w14:paraId="3E61E930" w14:textId="77777777" w:rsidR="002A21AE" w:rsidRDefault="002A21AE">
            <w:pPr>
              <w:pStyle w:val="TableText"/>
            </w:pPr>
            <w:r>
              <w:rPr>
                <w:rFonts w:eastAsia="Symbol"/>
              </w:rPr>
              <w:t>Yes</w:t>
            </w:r>
          </w:p>
        </w:tc>
      </w:tr>
      <w:tr w:rsidR="002A21AE" w14:paraId="4430E637" w14:textId="77777777" w:rsidTr="00A732E0">
        <w:trPr>
          <w:cantSplit/>
        </w:trPr>
        <w:tc>
          <w:tcPr>
            <w:tcW w:w="1373" w:type="dxa"/>
            <w:vMerge/>
          </w:tcPr>
          <w:p w14:paraId="072856FC" w14:textId="77777777" w:rsidR="002A21AE" w:rsidRDefault="002A21AE" w:rsidP="00CD34EB">
            <w:pPr>
              <w:pStyle w:val="TableText"/>
            </w:pPr>
          </w:p>
        </w:tc>
        <w:tc>
          <w:tcPr>
            <w:tcW w:w="1979" w:type="dxa"/>
          </w:tcPr>
          <w:p w14:paraId="319DB360" w14:textId="77777777" w:rsidR="002A21AE" w:rsidRDefault="002A21AE">
            <w:pPr>
              <w:pStyle w:val="TableText"/>
            </w:pPr>
            <w:r>
              <w:t>Justify ABO/Rh Change</w:t>
            </w:r>
          </w:p>
        </w:tc>
        <w:tc>
          <w:tcPr>
            <w:tcW w:w="3470" w:type="dxa"/>
          </w:tcPr>
          <w:p w14:paraId="09F73BB3" w14:textId="77777777" w:rsidR="00C46FA2" w:rsidRDefault="00C46FA2" w:rsidP="00C46FA2">
            <w:pPr>
              <w:pStyle w:val="TableText"/>
            </w:pPr>
            <w:r>
              <w:t>For each patient (name, ID):</w:t>
            </w:r>
          </w:p>
          <w:p w14:paraId="6CBA02FD" w14:textId="77777777" w:rsidR="002A21AE" w:rsidRDefault="002A21AE">
            <w:pPr>
              <w:pStyle w:val="TableTextBullet"/>
            </w:pPr>
            <w:r>
              <w:t>Patient ABO/Rh</w:t>
            </w:r>
          </w:p>
          <w:p w14:paraId="37119042" w14:textId="77777777" w:rsidR="002A21AE" w:rsidRDefault="002A21AE">
            <w:pPr>
              <w:pStyle w:val="TableTextBullet"/>
            </w:pPr>
            <w:r>
              <w:t>Comment</w:t>
            </w:r>
          </w:p>
        </w:tc>
        <w:tc>
          <w:tcPr>
            <w:tcW w:w="1243" w:type="dxa"/>
          </w:tcPr>
          <w:p w14:paraId="37D800A1" w14:textId="77777777" w:rsidR="002A21AE" w:rsidRDefault="002A21AE">
            <w:pPr>
              <w:pStyle w:val="TableText"/>
            </w:pPr>
            <w:r>
              <w:t>No</w:t>
            </w:r>
          </w:p>
        </w:tc>
        <w:tc>
          <w:tcPr>
            <w:tcW w:w="1295" w:type="dxa"/>
          </w:tcPr>
          <w:p w14:paraId="749CF35B" w14:textId="77777777" w:rsidR="002A21AE" w:rsidRDefault="002A21AE">
            <w:pPr>
              <w:pStyle w:val="TableText"/>
            </w:pPr>
            <w:r>
              <w:rPr>
                <w:rFonts w:eastAsia="Symbol"/>
              </w:rPr>
              <w:t>Yes</w:t>
            </w:r>
          </w:p>
        </w:tc>
      </w:tr>
      <w:tr w:rsidR="002A21AE" w14:paraId="3B3C2363" w14:textId="77777777" w:rsidTr="00A732E0">
        <w:trPr>
          <w:cantSplit/>
        </w:trPr>
        <w:tc>
          <w:tcPr>
            <w:tcW w:w="1373" w:type="dxa"/>
          </w:tcPr>
          <w:p w14:paraId="22FCA513" w14:textId="77777777" w:rsidR="002A21AE" w:rsidRDefault="002A21AE" w:rsidP="00CD34EB">
            <w:pPr>
              <w:pStyle w:val="TableText"/>
            </w:pPr>
            <w:r>
              <w:t>Patient Transfusion Requirements</w:t>
            </w:r>
          </w:p>
        </w:tc>
        <w:tc>
          <w:tcPr>
            <w:tcW w:w="1979" w:type="dxa"/>
          </w:tcPr>
          <w:p w14:paraId="51557C41" w14:textId="77777777" w:rsidR="0030405B" w:rsidRDefault="002A21AE">
            <w:pPr>
              <w:pStyle w:val="TableText"/>
            </w:pPr>
            <w:r>
              <w:t xml:space="preserve">Special Instructions &amp; Transfusion Requirements: </w:t>
            </w:r>
            <w:r w:rsidR="00526D93">
              <w:t>Enter a Transfusion Requirement</w:t>
            </w:r>
          </w:p>
          <w:p w14:paraId="578CA5D9" w14:textId="77777777" w:rsidR="0030405B" w:rsidRDefault="0030405B">
            <w:pPr>
              <w:pStyle w:val="TableText"/>
            </w:pPr>
            <w:r>
              <w:t>Patient Testing: Record Patient Test Results (new TR created from ABID data entry)</w:t>
            </w:r>
          </w:p>
        </w:tc>
        <w:tc>
          <w:tcPr>
            <w:tcW w:w="3470" w:type="dxa"/>
          </w:tcPr>
          <w:p w14:paraId="49C366AC" w14:textId="77777777" w:rsidR="0030405B" w:rsidRDefault="0030405B" w:rsidP="0030405B">
            <w:pPr>
              <w:pStyle w:val="TableText"/>
            </w:pPr>
            <w:r>
              <w:t>For each Transfusion Requirement category or Special Instruction:</w:t>
            </w:r>
          </w:p>
          <w:p w14:paraId="6846C373" w14:textId="77777777" w:rsidR="002A21AE" w:rsidRDefault="0030405B">
            <w:pPr>
              <w:pStyle w:val="TableTextBullet"/>
            </w:pPr>
            <w:r>
              <w:t>Status</w:t>
            </w:r>
            <w:r w:rsidR="002A21AE">
              <w:t xml:space="preserve"> Indicator</w:t>
            </w:r>
          </w:p>
          <w:p w14:paraId="7DC5135A" w14:textId="77777777" w:rsidR="002A21AE" w:rsidRDefault="002A21AE">
            <w:pPr>
              <w:pStyle w:val="TableTextBullet"/>
            </w:pPr>
            <w:r>
              <w:t>Comment</w:t>
            </w:r>
          </w:p>
        </w:tc>
        <w:tc>
          <w:tcPr>
            <w:tcW w:w="1243" w:type="dxa"/>
          </w:tcPr>
          <w:p w14:paraId="0C845836" w14:textId="77777777" w:rsidR="002A21AE" w:rsidRDefault="002A21AE">
            <w:pPr>
              <w:pStyle w:val="TableText"/>
            </w:pPr>
            <w:r>
              <w:t>No</w:t>
            </w:r>
          </w:p>
        </w:tc>
        <w:tc>
          <w:tcPr>
            <w:tcW w:w="1295" w:type="dxa"/>
          </w:tcPr>
          <w:p w14:paraId="4C38D47A" w14:textId="77777777" w:rsidR="002A21AE" w:rsidRDefault="002A21AE">
            <w:pPr>
              <w:pStyle w:val="TableText"/>
            </w:pPr>
            <w:r>
              <w:rPr>
                <w:rFonts w:eastAsia="Symbol"/>
              </w:rPr>
              <w:t>Yes</w:t>
            </w:r>
          </w:p>
        </w:tc>
      </w:tr>
      <w:tr w:rsidR="002A21AE" w14:paraId="31DBE5FE" w14:textId="77777777" w:rsidTr="00A732E0">
        <w:trPr>
          <w:cantSplit/>
        </w:trPr>
        <w:tc>
          <w:tcPr>
            <w:tcW w:w="1373" w:type="dxa"/>
          </w:tcPr>
          <w:p w14:paraId="0D26695B" w14:textId="77777777" w:rsidR="002A21AE" w:rsidRDefault="002A21AE" w:rsidP="00CD34EB">
            <w:pPr>
              <w:pStyle w:val="TableText"/>
            </w:pPr>
            <w:r>
              <w:t>Maintenance: Local Facilities</w:t>
            </w:r>
          </w:p>
        </w:tc>
        <w:tc>
          <w:tcPr>
            <w:tcW w:w="1979" w:type="dxa"/>
          </w:tcPr>
          <w:p w14:paraId="15A47A1D" w14:textId="77777777" w:rsidR="002A21AE" w:rsidRDefault="002A21AE" w:rsidP="0030405B">
            <w:pPr>
              <w:pStyle w:val="TableText"/>
            </w:pPr>
            <w:r>
              <w:t>Local Facilities</w:t>
            </w:r>
          </w:p>
        </w:tc>
        <w:tc>
          <w:tcPr>
            <w:tcW w:w="3470" w:type="dxa"/>
          </w:tcPr>
          <w:p w14:paraId="61ED6AE6" w14:textId="77777777" w:rsidR="0030405B" w:rsidRDefault="0030405B" w:rsidP="0030405B">
            <w:pPr>
              <w:pStyle w:val="TableText"/>
            </w:pPr>
            <w:r>
              <w:t xml:space="preserve">For each </w:t>
            </w:r>
            <w:r w:rsidR="00B059A9">
              <w:t>f</w:t>
            </w:r>
            <w:r>
              <w:t xml:space="preserve">acility </w:t>
            </w:r>
            <w:r w:rsidR="00B059A9">
              <w:t>n</w:t>
            </w:r>
            <w:r>
              <w:t>ame and FDA Registration Number:</w:t>
            </w:r>
          </w:p>
          <w:p w14:paraId="6C2AD484" w14:textId="77777777" w:rsidR="002A21AE" w:rsidRDefault="002A21AE">
            <w:pPr>
              <w:pStyle w:val="TableTextBullet"/>
            </w:pPr>
            <w:r>
              <w:t>Eye-readable prefix</w:t>
            </w:r>
          </w:p>
          <w:p w14:paraId="4227B96C" w14:textId="77777777" w:rsidR="0030405B" w:rsidRDefault="0030405B">
            <w:pPr>
              <w:pStyle w:val="TableTextBullet"/>
            </w:pPr>
            <w:r>
              <w:t>ICCBBA Registration Number</w:t>
            </w:r>
          </w:p>
          <w:p w14:paraId="09014C9D" w14:textId="77777777" w:rsidR="002A21AE" w:rsidRDefault="002A21AE">
            <w:pPr>
              <w:pStyle w:val="TableTextBullet"/>
            </w:pPr>
            <w:r>
              <w:t xml:space="preserve">Alpha </w:t>
            </w:r>
            <w:r w:rsidR="00765991">
              <w:t>C</w:t>
            </w:r>
            <w:r>
              <w:t>haracters</w:t>
            </w:r>
            <w:r w:rsidR="0030405B">
              <w:t xml:space="preserve"> Indicator</w:t>
            </w:r>
          </w:p>
          <w:p w14:paraId="11E4D77D" w14:textId="77777777" w:rsidR="002A21AE" w:rsidRDefault="002A21AE">
            <w:pPr>
              <w:pStyle w:val="TableTextBullet"/>
            </w:pPr>
            <w:r>
              <w:t>Active</w:t>
            </w:r>
            <w:r w:rsidR="0030405B">
              <w:t xml:space="preserve"> Facility</w:t>
            </w:r>
            <w:r>
              <w:t xml:space="preserve"> Indicator</w:t>
            </w:r>
          </w:p>
          <w:p w14:paraId="132B8F95" w14:textId="77777777" w:rsidR="002A21AE" w:rsidRDefault="002A21AE">
            <w:pPr>
              <w:pStyle w:val="TableTextBullet"/>
            </w:pPr>
            <w:r>
              <w:t xml:space="preserve">Collection Facility Indicator </w:t>
            </w:r>
          </w:p>
          <w:p w14:paraId="09301150" w14:textId="77777777" w:rsidR="002A21AE" w:rsidRDefault="002A21AE">
            <w:pPr>
              <w:pStyle w:val="TableTextBullet"/>
            </w:pPr>
            <w:r>
              <w:t xml:space="preserve">Testing Facility Indicator </w:t>
            </w:r>
          </w:p>
          <w:p w14:paraId="1414D6CC" w14:textId="77777777" w:rsidR="002B6A72" w:rsidRDefault="002A21AE">
            <w:pPr>
              <w:pStyle w:val="TableTextBullet"/>
            </w:pPr>
            <w:r>
              <w:t>Address Line</w:t>
            </w:r>
            <w:r w:rsidR="002B6A72">
              <w:t xml:space="preserve"> 1</w:t>
            </w:r>
          </w:p>
          <w:p w14:paraId="7E811471" w14:textId="77777777" w:rsidR="002B6A72" w:rsidRDefault="002B6A72">
            <w:pPr>
              <w:pStyle w:val="TableTextBullet"/>
            </w:pPr>
            <w:r>
              <w:t>Address Line2</w:t>
            </w:r>
          </w:p>
          <w:p w14:paraId="38FA2611" w14:textId="77777777" w:rsidR="002A21AE" w:rsidRDefault="002B6A72">
            <w:pPr>
              <w:pStyle w:val="TableTextBullet"/>
            </w:pPr>
            <w:r>
              <w:t>Address Line 3</w:t>
            </w:r>
          </w:p>
          <w:p w14:paraId="6F932D1E" w14:textId="77777777" w:rsidR="002A21AE" w:rsidRDefault="002A21AE">
            <w:pPr>
              <w:pStyle w:val="TableTextBullet"/>
            </w:pPr>
            <w:r>
              <w:t>City</w:t>
            </w:r>
          </w:p>
          <w:p w14:paraId="7C36DB05" w14:textId="77777777" w:rsidR="002A21AE" w:rsidRDefault="002A21AE">
            <w:pPr>
              <w:pStyle w:val="TableTextBullet"/>
            </w:pPr>
            <w:r>
              <w:t>State</w:t>
            </w:r>
          </w:p>
          <w:p w14:paraId="5F7D4A39" w14:textId="77777777" w:rsidR="002A21AE" w:rsidRDefault="002A21AE">
            <w:pPr>
              <w:pStyle w:val="TableTextBullet"/>
            </w:pPr>
            <w:r>
              <w:t>Zip</w:t>
            </w:r>
          </w:p>
          <w:p w14:paraId="64954CD7" w14:textId="77777777" w:rsidR="0030405B" w:rsidRDefault="0030405B">
            <w:pPr>
              <w:pStyle w:val="TableTextBullet"/>
            </w:pPr>
            <w:r>
              <w:t>Phone</w:t>
            </w:r>
          </w:p>
          <w:p w14:paraId="4EB1AFAB" w14:textId="77777777" w:rsidR="0030405B" w:rsidRDefault="0030405B">
            <w:pPr>
              <w:pStyle w:val="TableTextBullet"/>
            </w:pPr>
            <w:r>
              <w:t>Fax</w:t>
            </w:r>
          </w:p>
        </w:tc>
        <w:tc>
          <w:tcPr>
            <w:tcW w:w="1243" w:type="dxa"/>
          </w:tcPr>
          <w:p w14:paraId="11AD0B9D" w14:textId="77777777" w:rsidR="002A21AE" w:rsidRDefault="002A21AE">
            <w:pPr>
              <w:pStyle w:val="TableText"/>
            </w:pPr>
            <w:r>
              <w:t>No</w:t>
            </w:r>
          </w:p>
        </w:tc>
        <w:tc>
          <w:tcPr>
            <w:tcW w:w="1295" w:type="dxa"/>
          </w:tcPr>
          <w:p w14:paraId="36A34D5E" w14:textId="77777777" w:rsidR="002A21AE" w:rsidRDefault="002A21AE">
            <w:pPr>
              <w:pStyle w:val="TableText"/>
            </w:pPr>
            <w:r>
              <w:t>No</w:t>
            </w:r>
          </w:p>
        </w:tc>
      </w:tr>
      <w:tr w:rsidR="002A21AE" w14:paraId="0E5E8262" w14:textId="77777777" w:rsidTr="00A732E0">
        <w:trPr>
          <w:cantSplit/>
        </w:trPr>
        <w:tc>
          <w:tcPr>
            <w:tcW w:w="1373" w:type="dxa"/>
          </w:tcPr>
          <w:p w14:paraId="5C1308C1" w14:textId="77777777" w:rsidR="002A21AE" w:rsidRDefault="002A21AE" w:rsidP="00CD34EB">
            <w:pPr>
              <w:pStyle w:val="TableText"/>
            </w:pPr>
            <w:r>
              <w:t>Maintenance: Blood Product</w:t>
            </w:r>
          </w:p>
        </w:tc>
        <w:tc>
          <w:tcPr>
            <w:tcW w:w="1979" w:type="dxa"/>
          </w:tcPr>
          <w:p w14:paraId="6143B8E4" w14:textId="77777777" w:rsidR="002A21AE" w:rsidRDefault="002A21AE">
            <w:pPr>
              <w:pStyle w:val="TableText"/>
            </w:pPr>
            <w:r>
              <w:t>Blood Products</w:t>
            </w:r>
          </w:p>
        </w:tc>
        <w:tc>
          <w:tcPr>
            <w:tcW w:w="3470" w:type="dxa"/>
          </w:tcPr>
          <w:p w14:paraId="7E18E86D" w14:textId="77777777" w:rsidR="007F2C58" w:rsidRDefault="007F2C58" w:rsidP="007F2C58">
            <w:pPr>
              <w:pStyle w:val="TableText"/>
            </w:pPr>
            <w:r>
              <w:t xml:space="preserve">For each </w:t>
            </w:r>
            <w:r w:rsidR="00B059A9">
              <w:t>blood p</w:t>
            </w:r>
            <w:r>
              <w:t>roduct (name, code):</w:t>
            </w:r>
          </w:p>
          <w:p w14:paraId="1C99A97E" w14:textId="77777777" w:rsidR="007F2C58" w:rsidRDefault="007F2C58" w:rsidP="007F2C58">
            <w:pPr>
              <w:pStyle w:val="TableTextBullet"/>
            </w:pPr>
            <w:r>
              <w:t>HCPCS Code and Text</w:t>
            </w:r>
          </w:p>
          <w:p w14:paraId="4E07FF0B" w14:textId="77777777" w:rsidR="007F2C58" w:rsidRDefault="007F2C58" w:rsidP="007F2C58">
            <w:pPr>
              <w:pStyle w:val="TableText"/>
            </w:pPr>
            <w:r>
              <w:t>For each shipper of this product code (name, ID):</w:t>
            </w:r>
          </w:p>
          <w:p w14:paraId="23D032A6" w14:textId="77777777" w:rsidR="002A21AE" w:rsidRDefault="007F2C58">
            <w:pPr>
              <w:pStyle w:val="TableTextBullet"/>
            </w:pPr>
            <w:r>
              <w:t>Cost</w:t>
            </w:r>
          </w:p>
          <w:p w14:paraId="0533C221" w14:textId="77777777" w:rsidR="002A21AE" w:rsidRDefault="002A21AE">
            <w:pPr>
              <w:pStyle w:val="TableTextBullet"/>
            </w:pPr>
            <w:r>
              <w:t xml:space="preserve">Return Credit </w:t>
            </w:r>
            <w:r w:rsidR="007F2C58">
              <w:t>Percentage</w:t>
            </w:r>
          </w:p>
          <w:p w14:paraId="2DAB2BD4" w14:textId="77777777" w:rsidR="007F2C58" w:rsidRDefault="007F2C58">
            <w:pPr>
              <w:pStyle w:val="TableTextBullet"/>
            </w:pPr>
            <w:r>
              <w:t>Status Indicator</w:t>
            </w:r>
          </w:p>
        </w:tc>
        <w:tc>
          <w:tcPr>
            <w:tcW w:w="1243" w:type="dxa"/>
          </w:tcPr>
          <w:p w14:paraId="1ABD3491" w14:textId="77777777" w:rsidR="002A21AE" w:rsidRDefault="002A21AE">
            <w:pPr>
              <w:pStyle w:val="TableText"/>
            </w:pPr>
            <w:r>
              <w:t>No</w:t>
            </w:r>
          </w:p>
        </w:tc>
        <w:tc>
          <w:tcPr>
            <w:tcW w:w="1295" w:type="dxa"/>
          </w:tcPr>
          <w:p w14:paraId="67965C44" w14:textId="77777777" w:rsidR="002A21AE" w:rsidRDefault="002A21AE">
            <w:pPr>
              <w:pStyle w:val="TableText"/>
            </w:pPr>
            <w:r>
              <w:t>No</w:t>
            </w:r>
          </w:p>
        </w:tc>
      </w:tr>
      <w:tr w:rsidR="002A21AE" w14:paraId="70BC2EEF" w14:textId="77777777" w:rsidTr="00A732E0">
        <w:trPr>
          <w:cantSplit/>
        </w:trPr>
        <w:tc>
          <w:tcPr>
            <w:tcW w:w="1373" w:type="dxa"/>
          </w:tcPr>
          <w:p w14:paraId="5ABCAFBC" w14:textId="77777777" w:rsidR="002A21AE" w:rsidRDefault="002A21AE" w:rsidP="00CD34EB">
            <w:pPr>
              <w:pStyle w:val="TableText"/>
            </w:pPr>
            <w:r>
              <w:lastRenderedPageBreak/>
              <w:t>Maintenance: Division Configuration</w:t>
            </w:r>
          </w:p>
        </w:tc>
        <w:tc>
          <w:tcPr>
            <w:tcW w:w="1979" w:type="dxa"/>
          </w:tcPr>
          <w:p w14:paraId="13AE99BD" w14:textId="77777777" w:rsidR="002A21AE" w:rsidRDefault="00D567C9">
            <w:pPr>
              <w:pStyle w:val="TableText"/>
            </w:pPr>
            <w:r>
              <w:t>Configure Division</w:t>
            </w:r>
          </w:p>
        </w:tc>
        <w:tc>
          <w:tcPr>
            <w:tcW w:w="3470" w:type="dxa"/>
          </w:tcPr>
          <w:p w14:paraId="2C4CA45B" w14:textId="77777777" w:rsidR="005773E9" w:rsidRDefault="005773E9" w:rsidP="005773E9">
            <w:pPr>
              <w:pStyle w:val="TableText"/>
            </w:pPr>
            <w:r>
              <w:t>For each Division (Name and Code):</w:t>
            </w:r>
          </w:p>
          <w:p w14:paraId="1349EF7C" w14:textId="77777777" w:rsidR="005773E9" w:rsidRDefault="005773E9" w:rsidP="000409B1">
            <w:pPr>
              <w:pStyle w:val="TableText"/>
              <w:numPr>
                <w:ilvl w:val="0"/>
                <w:numId w:val="33"/>
              </w:numPr>
            </w:pPr>
            <w:r>
              <w:t>Full Service, Transfusion Only Indicator</w:t>
            </w:r>
          </w:p>
          <w:p w14:paraId="167512E9" w14:textId="77777777" w:rsidR="005773E9" w:rsidRDefault="005773E9" w:rsidP="000409B1">
            <w:pPr>
              <w:pStyle w:val="TableText"/>
              <w:numPr>
                <w:ilvl w:val="0"/>
                <w:numId w:val="33"/>
              </w:numPr>
            </w:pPr>
            <w:r>
              <w:t>Facility Name</w:t>
            </w:r>
          </w:p>
          <w:p w14:paraId="2463243A" w14:textId="77777777" w:rsidR="005773E9" w:rsidRDefault="005773E9" w:rsidP="000409B1">
            <w:pPr>
              <w:pStyle w:val="TableText"/>
              <w:numPr>
                <w:ilvl w:val="0"/>
                <w:numId w:val="33"/>
              </w:numPr>
            </w:pPr>
            <w:r>
              <w:t xml:space="preserve">Active Status </w:t>
            </w:r>
          </w:p>
          <w:p w14:paraId="0A7185A9" w14:textId="77777777" w:rsidR="005773E9" w:rsidRDefault="00691DFF" w:rsidP="000409B1">
            <w:pPr>
              <w:pStyle w:val="TableText"/>
              <w:numPr>
                <w:ilvl w:val="0"/>
                <w:numId w:val="33"/>
              </w:numPr>
            </w:pPr>
            <w:r>
              <w:t>Full-Face-</w:t>
            </w:r>
            <w:r w:rsidR="005773E9">
              <w:t>Label Printer Status</w:t>
            </w:r>
          </w:p>
          <w:p w14:paraId="40216DE6" w14:textId="77777777" w:rsidR="005773E9" w:rsidRDefault="00691DFF" w:rsidP="000409B1">
            <w:pPr>
              <w:pStyle w:val="TableText"/>
              <w:numPr>
                <w:ilvl w:val="0"/>
                <w:numId w:val="33"/>
              </w:numPr>
            </w:pPr>
            <w:r>
              <w:t>Full-Face-</w:t>
            </w:r>
            <w:r w:rsidR="005773E9">
              <w:t>Label Printer Port Number</w:t>
            </w:r>
          </w:p>
          <w:p w14:paraId="5D81F1A9" w14:textId="77777777" w:rsidR="005773E9" w:rsidRDefault="00691DFF" w:rsidP="000409B1">
            <w:pPr>
              <w:pStyle w:val="TableText"/>
              <w:numPr>
                <w:ilvl w:val="0"/>
                <w:numId w:val="33"/>
              </w:numPr>
            </w:pPr>
            <w:r>
              <w:t>Full-Face-</w:t>
            </w:r>
            <w:r w:rsidR="005773E9">
              <w:t>Label Printer IP address</w:t>
            </w:r>
          </w:p>
          <w:p w14:paraId="5D20C9D1" w14:textId="77777777" w:rsidR="005773E9" w:rsidRDefault="00691DFF" w:rsidP="000409B1">
            <w:pPr>
              <w:pStyle w:val="TableText"/>
              <w:numPr>
                <w:ilvl w:val="0"/>
                <w:numId w:val="33"/>
              </w:numPr>
            </w:pPr>
            <w:r>
              <w:t>Full-Face-</w:t>
            </w:r>
            <w:r w:rsidR="005773E9">
              <w:t xml:space="preserve">Label Printer COM </w:t>
            </w:r>
          </w:p>
          <w:p w14:paraId="4DEB4692" w14:textId="77777777" w:rsidR="005773E9" w:rsidRDefault="005773E9" w:rsidP="000409B1">
            <w:pPr>
              <w:pStyle w:val="TableText"/>
              <w:numPr>
                <w:ilvl w:val="0"/>
                <w:numId w:val="33"/>
              </w:numPr>
            </w:pPr>
            <w:r>
              <w:t>Report Printer Name</w:t>
            </w:r>
            <w:r w:rsidR="006D54AE">
              <w:t xml:space="preserve"> </w:t>
            </w:r>
            <w:r w:rsidR="00892C58" w:rsidRPr="00892C58">
              <w:rPr>
                <w:vanish/>
              </w:rPr>
              <w:t>DR 2,882</w:t>
            </w:r>
          </w:p>
          <w:p w14:paraId="55FF1B3D" w14:textId="77777777" w:rsidR="005773E9" w:rsidRDefault="005773E9" w:rsidP="000409B1">
            <w:pPr>
              <w:pStyle w:val="TableText"/>
              <w:numPr>
                <w:ilvl w:val="0"/>
                <w:numId w:val="33"/>
              </w:numPr>
            </w:pPr>
            <w:r>
              <w:t>Accession Area Name</w:t>
            </w:r>
          </w:p>
          <w:p w14:paraId="36C4E8F3" w14:textId="77777777" w:rsidR="005773E9" w:rsidRDefault="005773E9" w:rsidP="000409B1">
            <w:pPr>
              <w:pStyle w:val="TableText"/>
              <w:numPr>
                <w:ilvl w:val="0"/>
                <w:numId w:val="34"/>
              </w:numPr>
              <w:ind w:left="0" w:firstLine="0"/>
            </w:pPr>
            <w:r>
              <w:t>Lock Inactivity Timeout Setting</w:t>
            </w:r>
          </w:p>
          <w:p w14:paraId="3B297A6F" w14:textId="77777777" w:rsidR="005773E9" w:rsidRDefault="005773E9" w:rsidP="000409B1">
            <w:pPr>
              <w:pStyle w:val="TableText"/>
              <w:numPr>
                <w:ilvl w:val="0"/>
                <w:numId w:val="34"/>
              </w:numPr>
              <w:ind w:left="0" w:firstLine="0"/>
            </w:pPr>
            <w:r>
              <w:t>Time Zone Setting</w:t>
            </w:r>
          </w:p>
          <w:p w14:paraId="414ACB17" w14:textId="77777777" w:rsidR="005773E9" w:rsidRDefault="005773E9" w:rsidP="000409B1">
            <w:pPr>
              <w:pStyle w:val="TableText"/>
              <w:numPr>
                <w:ilvl w:val="0"/>
                <w:numId w:val="35"/>
              </w:numPr>
            </w:pPr>
            <w:r>
              <w:t>Daylight savings time Setting</w:t>
            </w:r>
          </w:p>
          <w:p w14:paraId="6D5E183B" w14:textId="77777777" w:rsidR="005773E9" w:rsidRPr="00756ABF" w:rsidRDefault="005773E9" w:rsidP="000409B1">
            <w:pPr>
              <w:pStyle w:val="TableText"/>
              <w:numPr>
                <w:ilvl w:val="0"/>
                <w:numId w:val="35"/>
              </w:numPr>
              <w:rPr>
                <w:rFonts w:cs="Arial"/>
              </w:rPr>
            </w:pPr>
            <w:r w:rsidRPr="00756ABF">
              <w:rPr>
                <w:rFonts w:cs="Arial"/>
              </w:rPr>
              <w:t>Daylight savings time start date</w:t>
            </w:r>
          </w:p>
          <w:p w14:paraId="4DD47855" w14:textId="77777777" w:rsidR="005773E9" w:rsidRPr="00756ABF" w:rsidRDefault="005773E9" w:rsidP="000409B1">
            <w:pPr>
              <w:pStyle w:val="TableText"/>
              <w:numPr>
                <w:ilvl w:val="0"/>
                <w:numId w:val="35"/>
              </w:numPr>
              <w:rPr>
                <w:rFonts w:cs="Arial"/>
              </w:rPr>
            </w:pPr>
            <w:r w:rsidRPr="00756ABF">
              <w:rPr>
                <w:rFonts w:cs="Arial"/>
              </w:rPr>
              <w:t>Daylight savings time end date</w:t>
            </w:r>
          </w:p>
          <w:p w14:paraId="6B193A1B" w14:textId="77777777" w:rsidR="005773E9" w:rsidRPr="00756ABF" w:rsidRDefault="005773E9" w:rsidP="005773E9">
            <w:pPr>
              <w:rPr>
                <w:rFonts w:ascii="Arial" w:hAnsi="Arial" w:cs="Arial"/>
                <w:sz w:val="18"/>
                <w:szCs w:val="18"/>
              </w:rPr>
            </w:pPr>
            <w:r w:rsidRPr="00756ABF">
              <w:rPr>
                <w:rFonts w:ascii="Arial" w:hAnsi="Arial" w:cs="Arial"/>
                <w:sz w:val="18"/>
                <w:szCs w:val="18"/>
              </w:rPr>
              <w:t>For each Associated Institution (Division Code)</w:t>
            </w:r>
          </w:p>
          <w:p w14:paraId="41D706DC" w14:textId="77777777" w:rsidR="005773E9" w:rsidRDefault="005773E9" w:rsidP="000409B1">
            <w:pPr>
              <w:pStyle w:val="TableText"/>
              <w:numPr>
                <w:ilvl w:val="0"/>
                <w:numId w:val="33"/>
              </w:numPr>
            </w:pPr>
            <w:r w:rsidRPr="00892C58">
              <w:t>Status indicator</w:t>
            </w:r>
            <w:r w:rsidR="006D54AE">
              <w:t xml:space="preserve"> </w:t>
            </w:r>
            <w:r w:rsidR="006D54AE" w:rsidRPr="006D54AE">
              <w:rPr>
                <w:vanish/>
              </w:rPr>
              <w:t>DR 2,723</w:t>
            </w:r>
          </w:p>
        </w:tc>
        <w:tc>
          <w:tcPr>
            <w:tcW w:w="1243" w:type="dxa"/>
          </w:tcPr>
          <w:p w14:paraId="712EF2DF" w14:textId="77777777" w:rsidR="002A21AE" w:rsidRDefault="002A21AE">
            <w:pPr>
              <w:pStyle w:val="TableText"/>
            </w:pPr>
            <w:r>
              <w:t>No</w:t>
            </w:r>
          </w:p>
        </w:tc>
        <w:tc>
          <w:tcPr>
            <w:tcW w:w="1295" w:type="dxa"/>
          </w:tcPr>
          <w:p w14:paraId="312843C2" w14:textId="77777777" w:rsidR="002A21AE" w:rsidRDefault="002A21AE">
            <w:pPr>
              <w:pStyle w:val="TableText"/>
            </w:pPr>
            <w:r>
              <w:t>No</w:t>
            </w:r>
          </w:p>
        </w:tc>
      </w:tr>
      <w:tr w:rsidR="007F2C58" w14:paraId="7D28710F" w14:textId="77777777" w:rsidTr="00A732E0">
        <w:trPr>
          <w:cantSplit/>
        </w:trPr>
        <w:tc>
          <w:tcPr>
            <w:tcW w:w="1373" w:type="dxa"/>
          </w:tcPr>
          <w:p w14:paraId="7E616F45" w14:textId="77777777" w:rsidR="007F2C58" w:rsidRDefault="007F2C58" w:rsidP="00CD34EB">
            <w:pPr>
              <w:pStyle w:val="TableText"/>
            </w:pPr>
            <w:r>
              <w:t>Maintenance: Division Configuration</w:t>
            </w:r>
          </w:p>
        </w:tc>
        <w:tc>
          <w:tcPr>
            <w:tcW w:w="1979" w:type="dxa"/>
          </w:tcPr>
          <w:p w14:paraId="7AF6B25C" w14:textId="77777777" w:rsidR="007F2C58" w:rsidRDefault="007F2C58">
            <w:pPr>
              <w:pStyle w:val="TableText"/>
            </w:pPr>
            <w:r>
              <w:t>Configure Division</w:t>
            </w:r>
          </w:p>
        </w:tc>
        <w:tc>
          <w:tcPr>
            <w:tcW w:w="3470" w:type="dxa"/>
          </w:tcPr>
          <w:p w14:paraId="65255CD8" w14:textId="77777777" w:rsidR="007F2C58" w:rsidRDefault="007F2C58" w:rsidP="007F2C58">
            <w:pPr>
              <w:pStyle w:val="TableText"/>
            </w:pPr>
            <w:r>
              <w:t xml:space="preserve">For each </w:t>
            </w:r>
            <w:r w:rsidR="00067C65">
              <w:t>d</w:t>
            </w:r>
            <w:r>
              <w:t>ivision (name, code):</w:t>
            </w:r>
          </w:p>
          <w:p w14:paraId="6567BA2F" w14:textId="77777777" w:rsidR="007F2C58" w:rsidRDefault="007F2C58" w:rsidP="007F2C58">
            <w:pPr>
              <w:pStyle w:val="TableTextBullet"/>
            </w:pPr>
            <w:r>
              <w:t>Electronic Crossmatch Enabled Indicator</w:t>
            </w:r>
          </w:p>
          <w:p w14:paraId="575E969B" w14:textId="77777777" w:rsidR="007F2C58" w:rsidRDefault="007F2C58" w:rsidP="007F2C58">
            <w:pPr>
              <w:pStyle w:val="TableTextBullet"/>
            </w:pPr>
            <w:r>
              <w:t>ICCBBA Registration Number</w:t>
            </w:r>
          </w:p>
          <w:p w14:paraId="62C4A9F9" w14:textId="77777777" w:rsidR="007F2C58" w:rsidRDefault="007F2C58" w:rsidP="007F2C58">
            <w:pPr>
              <w:pStyle w:val="TableTextBullet"/>
            </w:pPr>
            <w:r>
              <w:t>Maximum Specimen Expiration Days</w:t>
            </w:r>
          </w:p>
          <w:p w14:paraId="2DB9A45A" w14:textId="77777777" w:rsidR="007F2C58" w:rsidRDefault="007F2C58" w:rsidP="009C0ACB">
            <w:pPr>
              <w:pStyle w:val="TableTextBullet"/>
            </w:pPr>
            <w:r>
              <w:t>Blood Bank MD</w:t>
            </w:r>
          </w:p>
        </w:tc>
        <w:tc>
          <w:tcPr>
            <w:tcW w:w="1243" w:type="dxa"/>
          </w:tcPr>
          <w:p w14:paraId="45E2E3F1" w14:textId="77777777" w:rsidR="007F2C58" w:rsidRDefault="007F2C58">
            <w:pPr>
              <w:pStyle w:val="TableText"/>
            </w:pPr>
            <w:r>
              <w:t>No</w:t>
            </w:r>
          </w:p>
        </w:tc>
        <w:tc>
          <w:tcPr>
            <w:tcW w:w="1295" w:type="dxa"/>
          </w:tcPr>
          <w:p w14:paraId="2C4F66D3" w14:textId="77777777" w:rsidR="007F2C58" w:rsidRDefault="007F2C58">
            <w:pPr>
              <w:pStyle w:val="TableText"/>
            </w:pPr>
            <w:r>
              <w:t>No</w:t>
            </w:r>
          </w:p>
        </w:tc>
      </w:tr>
      <w:tr w:rsidR="00C64288" w14:paraId="3140E7BC" w14:textId="77777777" w:rsidTr="00A732E0">
        <w:trPr>
          <w:cantSplit/>
        </w:trPr>
        <w:tc>
          <w:tcPr>
            <w:tcW w:w="1373" w:type="dxa"/>
          </w:tcPr>
          <w:p w14:paraId="1386466F" w14:textId="77777777" w:rsidR="00C64288" w:rsidRDefault="00C64288" w:rsidP="00CD34EB">
            <w:pPr>
              <w:pStyle w:val="TableText"/>
            </w:pPr>
            <w:r>
              <w:t>Maintenance: Division Configuration</w:t>
            </w:r>
          </w:p>
        </w:tc>
        <w:tc>
          <w:tcPr>
            <w:tcW w:w="1979" w:type="dxa"/>
          </w:tcPr>
          <w:p w14:paraId="2148DF13" w14:textId="77777777" w:rsidR="00C64288" w:rsidRDefault="00C64288" w:rsidP="000B284D">
            <w:pPr>
              <w:pStyle w:val="TableText"/>
            </w:pPr>
            <w:r>
              <w:t>Edit Invoice Text</w:t>
            </w:r>
          </w:p>
        </w:tc>
        <w:tc>
          <w:tcPr>
            <w:tcW w:w="3470" w:type="dxa"/>
          </w:tcPr>
          <w:p w14:paraId="03A2B213" w14:textId="77777777" w:rsidR="00C64288" w:rsidRDefault="00C64288" w:rsidP="000B284D">
            <w:pPr>
              <w:pStyle w:val="TableText"/>
            </w:pPr>
            <w:r>
              <w:t xml:space="preserve">For each </w:t>
            </w:r>
            <w:r w:rsidR="002713C2">
              <w:t>d</w:t>
            </w:r>
            <w:r>
              <w:t>ivision (name, code):</w:t>
            </w:r>
          </w:p>
          <w:p w14:paraId="13963209" w14:textId="77777777" w:rsidR="00C64288" w:rsidRDefault="00C64288" w:rsidP="000B284D">
            <w:pPr>
              <w:pStyle w:val="TableTextBullet"/>
            </w:pPr>
            <w:r>
              <w:t>Invoice Text</w:t>
            </w:r>
          </w:p>
        </w:tc>
        <w:tc>
          <w:tcPr>
            <w:tcW w:w="1243" w:type="dxa"/>
          </w:tcPr>
          <w:p w14:paraId="040A406A" w14:textId="77777777" w:rsidR="00C64288" w:rsidRDefault="00C64288" w:rsidP="000B284D">
            <w:pPr>
              <w:pStyle w:val="TableText"/>
            </w:pPr>
            <w:r>
              <w:t>No</w:t>
            </w:r>
          </w:p>
        </w:tc>
        <w:tc>
          <w:tcPr>
            <w:tcW w:w="1295" w:type="dxa"/>
          </w:tcPr>
          <w:p w14:paraId="1855DE61" w14:textId="77777777" w:rsidR="00C64288" w:rsidRDefault="00C64288" w:rsidP="000B284D">
            <w:pPr>
              <w:pStyle w:val="TableText"/>
            </w:pPr>
            <w:r>
              <w:t>No</w:t>
            </w:r>
          </w:p>
        </w:tc>
      </w:tr>
      <w:tr w:rsidR="009C0ACB" w14:paraId="08B3BD57" w14:textId="77777777" w:rsidTr="00A732E0">
        <w:trPr>
          <w:cantSplit/>
        </w:trPr>
        <w:tc>
          <w:tcPr>
            <w:tcW w:w="1373" w:type="dxa"/>
          </w:tcPr>
          <w:p w14:paraId="2206EF7D" w14:textId="77777777" w:rsidR="009C0ACB" w:rsidRDefault="009C0ACB" w:rsidP="005C03DD">
            <w:pPr>
              <w:pStyle w:val="TableText"/>
            </w:pPr>
            <w:r>
              <w:t>Maintenance: Division Configuration</w:t>
            </w:r>
          </w:p>
        </w:tc>
        <w:tc>
          <w:tcPr>
            <w:tcW w:w="1979" w:type="dxa"/>
          </w:tcPr>
          <w:p w14:paraId="7F1E603A" w14:textId="77777777" w:rsidR="009C0ACB" w:rsidRDefault="009C0ACB" w:rsidP="005C03DD">
            <w:pPr>
              <w:pStyle w:val="TableText"/>
            </w:pPr>
            <w:r>
              <w:t>Configure Testing</w:t>
            </w:r>
          </w:p>
        </w:tc>
        <w:tc>
          <w:tcPr>
            <w:tcW w:w="3470" w:type="dxa"/>
          </w:tcPr>
          <w:p w14:paraId="4B5E9EC2" w14:textId="77777777" w:rsidR="009C0ACB" w:rsidRDefault="009C0ACB" w:rsidP="005C03DD">
            <w:pPr>
              <w:pStyle w:val="TableText"/>
            </w:pPr>
            <w:r>
              <w:t>For each division (name, code):</w:t>
            </w:r>
          </w:p>
          <w:p w14:paraId="07FD64E7" w14:textId="77777777" w:rsidR="009C0ACB" w:rsidRDefault="009C0ACB" w:rsidP="005C03DD">
            <w:pPr>
              <w:pStyle w:val="TableTextBullet"/>
            </w:pPr>
            <w:r>
              <w:t>Antibody Screen Indicator</w:t>
            </w:r>
          </w:p>
          <w:p w14:paraId="1F149F07" w14:textId="77777777" w:rsidR="006F4516" w:rsidRDefault="006F4516" w:rsidP="005C03DD">
            <w:pPr>
              <w:pStyle w:val="TableTextBullet"/>
            </w:pPr>
            <w:r>
              <w:t>ABS and XM Testing Phases</w:t>
            </w:r>
          </w:p>
        </w:tc>
        <w:tc>
          <w:tcPr>
            <w:tcW w:w="1243" w:type="dxa"/>
          </w:tcPr>
          <w:p w14:paraId="7525905A" w14:textId="77777777" w:rsidR="009C0ACB" w:rsidRDefault="009C0ACB" w:rsidP="005C03DD">
            <w:pPr>
              <w:pStyle w:val="TableText"/>
            </w:pPr>
            <w:r>
              <w:t>No</w:t>
            </w:r>
          </w:p>
        </w:tc>
        <w:tc>
          <w:tcPr>
            <w:tcW w:w="1295" w:type="dxa"/>
          </w:tcPr>
          <w:p w14:paraId="3D1FD178" w14:textId="77777777" w:rsidR="009C0ACB" w:rsidRDefault="009C0ACB" w:rsidP="005C03DD">
            <w:pPr>
              <w:pStyle w:val="TableText"/>
            </w:pPr>
            <w:r>
              <w:t>No</w:t>
            </w:r>
          </w:p>
        </w:tc>
      </w:tr>
      <w:tr w:rsidR="00EE6F41" w14:paraId="1EA64A43" w14:textId="77777777" w:rsidTr="00A732E0">
        <w:trPr>
          <w:cantSplit/>
        </w:trPr>
        <w:tc>
          <w:tcPr>
            <w:tcW w:w="1373" w:type="dxa"/>
          </w:tcPr>
          <w:p w14:paraId="727376CA" w14:textId="77777777" w:rsidR="00EE6F41" w:rsidRDefault="00EE6F41" w:rsidP="00CD34EB">
            <w:pPr>
              <w:pStyle w:val="TableText"/>
            </w:pPr>
            <w:r>
              <w:t>Maintenance: Division Configuration</w:t>
            </w:r>
          </w:p>
        </w:tc>
        <w:tc>
          <w:tcPr>
            <w:tcW w:w="1979" w:type="dxa"/>
          </w:tcPr>
          <w:p w14:paraId="52A10876" w14:textId="77777777" w:rsidR="00EE6F41" w:rsidRDefault="009C0ACB" w:rsidP="00EE6F41">
            <w:pPr>
              <w:pStyle w:val="TableText"/>
            </w:pPr>
            <w:r>
              <w:t>Order Alerts</w:t>
            </w:r>
          </w:p>
        </w:tc>
        <w:tc>
          <w:tcPr>
            <w:tcW w:w="3470" w:type="dxa"/>
          </w:tcPr>
          <w:p w14:paraId="06CE720F" w14:textId="77777777" w:rsidR="00EE6F41" w:rsidRDefault="00EE6F41" w:rsidP="00EE6F41">
            <w:pPr>
              <w:pStyle w:val="TableText"/>
            </w:pPr>
            <w:r>
              <w:t xml:space="preserve">For each </w:t>
            </w:r>
            <w:r w:rsidR="002713C2">
              <w:t>d</w:t>
            </w:r>
            <w:r>
              <w:t>ivision (name, code):</w:t>
            </w:r>
          </w:p>
          <w:p w14:paraId="38FA5F19" w14:textId="77777777" w:rsidR="00EE6F41" w:rsidRDefault="009C0ACB" w:rsidP="00EE6F41">
            <w:pPr>
              <w:pStyle w:val="TableTextBullet"/>
            </w:pPr>
            <w:r>
              <w:t>Login Message</w:t>
            </w:r>
          </w:p>
        </w:tc>
        <w:tc>
          <w:tcPr>
            <w:tcW w:w="1243" w:type="dxa"/>
          </w:tcPr>
          <w:p w14:paraId="781F1E04" w14:textId="77777777" w:rsidR="00EE6F41" w:rsidRDefault="00EE6F41" w:rsidP="00EE6F41">
            <w:pPr>
              <w:pStyle w:val="TableText"/>
            </w:pPr>
            <w:r>
              <w:t>No</w:t>
            </w:r>
          </w:p>
        </w:tc>
        <w:tc>
          <w:tcPr>
            <w:tcW w:w="1295" w:type="dxa"/>
          </w:tcPr>
          <w:p w14:paraId="5CCF7AC9" w14:textId="77777777" w:rsidR="00EE6F41" w:rsidRDefault="00EE6F41" w:rsidP="00EE6F41">
            <w:pPr>
              <w:pStyle w:val="TableText"/>
            </w:pPr>
            <w:r>
              <w:t>No</w:t>
            </w:r>
          </w:p>
        </w:tc>
      </w:tr>
      <w:tr w:rsidR="002A21AE" w14:paraId="33C48D4F" w14:textId="77777777" w:rsidTr="00A732E0">
        <w:trPr>
          <w:cantSplit/>
        </w:trPr>
        <w:tc>
          <w:tcPr>
            <w:tcW w:w="1373" w:type="dxa"/>
          </w:tcPr>
          <w:p w14:paraId="6C7BACA0" w14:textId="77777777" w:rsidR="002A21AE" w:rsidRDefault="002A21AE" w:rsidP="00CD34EB">
            <w:pPr>
              <w:pStyle w:val="TableText"/>
            </w:pPr>
            <w:r>
              <w:t>Maintenance: Modifications Configuration</w:t>
            </w:r>
          </w:p>
        </w:tc>
        <w:tc>
          <w:tcPr>
            <w:tcW w:w="1979" w:type="dxa"/>
          </w:tcPr>
          <w:p w14:paraId="5F9A707B" w14:textId="77777777" w:rsidR="002A21AE" w:rsidRDefault="00046402">
            <w:pPr>
              <w:pStyle w:val="TableText"/>
            </w:pPr>
            <w:r>
              <w:t>Product Modifications</w:t>
            </w:r>
          </w:p>
        </w:tc>
        <w:tc>
          <w:tcPr>
            <w:tcW w:w="3470" w:type="dxa"/>
          </w:tcPr>
          <w:p w14:paraId="42DA105A" w14:textId="77777777" w:rsidR="00563120" w:rsidRDefault="00563120" w:rsidP="00563120">
            <w:pPr>
              <w:pStyle w:val="TableText"/>
            </w:pPr>
            <w:r>
              <w:t>For each modification type:</w:t>
            </w:r>
          </w:p>
          <w:p w14:paraId="42B2153A" w14:textId="77777777" w:rsidR="002A21AE" w:rsidRDefault="002A21AE">
            <w:pPr>
              <w:pStyle w:val="TableTextBullet"/>
            </w:pPr>
            <w:r>
              <w:t>Enabled</w:t>
            </w:r>
            <w:r w:rsidR="00A047A4">
              <w:t xml:space="preserve"> or </w:t>
            </w:r>
            <w:r>
              <w:t>Disabled Indicator</w:t>
            </w:r>
          </w:p>
          <w:p w14:paraId="44E52551" w14:textId="77777777" w:rsidR="002A21AE" w:rsidRDefault="00563120">
            <w:pPr>
              <w:pStyle w:val="TableTextBullet"/>
            </w:pPr>
            <w:r>
              <w:t>Cost</w:t>
            </w:r>
          </w:p>
        </w:tc>
        <w:tc>
          <w:tcPr>
            <w:tcW w:w="1243" w:type="dxa"/>
          </w:tcPr>
          <w:p w14:paraId="25D566B3" w14:textId="77777777" w:rsidR="002A21AE" w:rsidRDefault="002A21AE">
            <w:pPr>
              <w:pStyle w:val="TableText"/>
            </w:pPr>
            <w:r>
              <w:t>No</w:t>
            </w:r>
          </w:p>
        </w:tc>
        <w:tc>
          <w:tcPr>
            <w:tcW w:w="1295" w:type="dxa"/>
          </w:tcPr>
          <w:p w14:paraId="06D1A571" w14:textId="77777777" w:rsidR="002A21AE" w:rsidRDefault="002A21AE">
            <w:pPr>
              <w:pStyle w:val="TableText"/>
            </w:pPr>
            <w:r>
              <w:t>No</w:t>
            </w:r>
          </w:p>
        </w:tc>
      </w:tr>
      <w:tr w:rsidR="002A21AE" w14:paraId="4F01DFDD" w14:textId="77777777" w:rsidTr="00A732E0">
        <w:trPr>
          <w:cantSplit/>
        </w:trPr>
        <w:tc>
          <w:tcPr>
            <w:tcW w:w="1373" w:type="dxa"/>
            <w:tcBorders>
              <w:bottom w:val="single" w:sz="4" w:space="0" w:color="auto"/>
            </w:tcBorders>
          </w:tcPr>
          <w:p w14:paraId="166DDE74" w14:textId="77777777" w:rsidR="002A21AE" w:rsidRDefault="002A21AE" w:rsidP="00CD34EB">
            <w:pPr>
              <w:pStyle w:val="TableText"/>
            </w:pPr>
            <w:r>
              <w:t>Maintenance: User Role Changes</w:t>
            </w:r>
          </w:p>
        </w:tc>
        <w:tc>
          <w:tcPr>
            <w:tcW w:w="1979" w:type="dxa"/>
            <w:tcBorders>
              <w:bottom w:val="single" w:sz="4" w:space="0" w:color="auto"/>
            </w:tcBorders>
          </w:tcPr>
          <w:p w14:paraId="0FFBB7F3" w14:textId="77777777" w:rsidR="002A21AE" w:rsidRDefault="002A21AE">
            <w:pPr>
              <w:pStyle w:val="TableText"/>
            </w:pPr>
            <w:r>
              <w:t>Update User Roles</w:t>
            </w:r>
          </w:p>
        </w:tc>
        <w:tc>
          <w:tcPr>
            <w:tcW w:w="3470" w:type="dxa"/>
            <w:tcBorders>
              <w:bottom w:val="single" w:sz="4" w:space="0" w:color="auto"/>
            </w:tcBorders>
          </w:tcPr>
          <w:p w14:paraId="46CC9468" w14:textId="77777777" w:rsidR="00563120" w:rsidRDefault="00563120" w:rsidP="00563120">
            <w:pPr>
              <w:pStyle w:val="TableText"/>
            </w:pPr>
            <w:r>
              <w:t>For each user:</w:t>
            </w:r>
          </w:p>
          <w:p w14:paraId="31663D4A" w14:textId="77777777" w:rsidR="002A21AE" w:rsidRDefault="002A21AE">
            <w:pPr>
              <w:pStyle w:val="TableTextBullet"/>
            </w:pPr>
            <w:r>
              <w:t xml:space="preserve">User Role Security Setting </w:t>
            </w:r>
          </w:p>
        </w:tc>
        <w:tc>
          <w:tcPr>
            <w:tcW w:w="1243" w:type="dxa"/>
            <w:tcBorders>
              <w:bottom w:val="single" w:sz="4" w:space="0" w:color="auto"/>
            </w:tcBorders>
          </w:tcPr>
          <w:p w14:paraId="3A49FBC0" w14:textId="77777777" w:rsidR="002A21AE" w:rsidRDefault="002A21AE">
            <w:pPr>
              <w:pStyle w:val="TableText"/>
            </w:pPr>
            <w:r>
              <w:t>No</w:t>
            </w:r>
          </w:p>
        </w:tc>
        <w:tc>
          <w:tcPr>
            <w:tcW w:w="1295" w:type="dxa"/>
            <w:tcBorders>
              <w:bottom w:val="single" w:sz="4" w:space="0" w:color="auto"/>
            </w:tcBorders>
          </w:tcPr>
          <w:p w14:paraId="434BD39C" w14:textId="77777777" w:rsidR="002A21AE" w:rsidRDefault="002A21AE">
            <w:pPr>
              <w:pStyle w:val="TableText"/>
            </w:pPr>
            <w:r>
              <w:t>No</w:t>
            </w:r>
          </w:p>
        </w:tc>
      </w:tr>
      <w:tr w:rsidR="00C644E6" w14:paraId="199DC208" w14:textId="77777777" w:rsidTr="00A732E0">
        <w:trPr>
          <w:cantSplit/>
        </w:trPr>
        <w:tc>
          <w:tcPr>
            <w:tcW w:w="1373" w:type="dxa"/>
          </w:tcPr>
          <w:p w14:paraId="15F5F31C" w14:textId="77777777" w:rsidR="00C644E6" w:rsidRDefault="00C644E6" w:rsidP="00CD34EB">
            <w:pPr>
              <w:pStyle w:val="TableText"/>
            </w:pPr>
            <w:r>
              <w:t>Maintenance: User Role Changes</w:t>
            </w:r>
          </w:p>
        </w:tc>
        <w:tc>
          <w:tcPr>
            <w:tcW w:w="1979" w:type="dxa"/>
          </w:tcPr>
          <w:p w14:paraId="177C3A23" w14:textId="77777777" w:rsidR="00C644E6" w:rsidRDefault="00F453CE" w:rsidP="000B284D">
            <w:pPr>
              <w:pStyle w:val="TableText"/>
            </w:pPr>
            <w:r>
              <w:t>Configure</w:t>
            </w:r>
            <w:r w:rsidR="00C644E6">
              <w:t xml:space="preserve"> Users</w:t>
            </w:r>
            <w:r w:rsidR="00DE4FF7" w:rsidRPr="00DE4FF7">
              <w:rPr>
                <w:vanish/>
                <w:szCs w:val="18"/>
              </w:rPr>
              <w:t xml:space="preserve"> MUC_03</w:t>
            </w:r>
          </w:p>
        </w:tc>
        <w:tc>
          <w:tcPr>
            <w:tcW w:w="3470" w:type="dxa"/>
          </w:tcPr>
          <w:p w14:paraId="13CF16B3" w14:textId="77777777" w:rsidR="00C644E6" w:rsidRDefault="00C644E6" w:rsidP="00C644E6">
            <w:pPr>
              <w:pStyle w:val="TableText"/>
            </w:pPr>
            <w:r>
              <w:t>For each NT user (name, ID):</w:t>
            </w:r>
          </w:p>
          <w:p w14:paraId="0AA69D88" w14:textId="77777777" w:rsidR="00C644E6" w:rsidRDefault="00C644E6" w:rsidP="000B284D">
            <w:pPr>
              <w:pStyle w:val="TableTextBullet"/>
            </w:pPr>
            <w:r>
              <w:t>VistA DUZ</w:t>
            </w:r>
          </w:p>
          <w:p w14:paraId="34F62F57" w14:textId="77777777" w:rsidR="00C644E6" w:rsidRDefault="00C644E6" w:rsidP="000B284D">
            <w:pPr>
              <w:pStyle w:val="TableTextBullet"/>
            </w:pPr>
            <w:r>
              <w:t>VistA User Name</w:t>
            </w:r>
          </w:p>
          <w:p w14:paraId="6382FAA3" w14:textId="77777777" w:rsidR="00C644E6" w:rsidRDefault="00C644E6" w:rsidP="000B284D">
            <w:pPr>
              <w:pStyle w:val="TableTextBullet"/>
            </w:pPr>
            <w:r>
              <w:t>Email Address</w:t>
            </w:r>
          </w:p>
          <w:p w14:paraId="32D63DD8" w14:textId="77777777" w:rsidR="00C644E6" w:rsidRDefault="00C644E6" w:rsidP="000B284D">
            <w:pPr>
              <w:pStyle w:val="TableTextBullet"/>
            </w:pPr>
            <w:r>
              <w:t>User Initials</w:t>
            </w:r>
          </w:p>
          <w:p w14:paraId="600F6042" w14:textId="77777777" w:rsidR="00C644E6" w:rsidRDefault="00C644E6" w:rsidP="000B284D">
            <w:pPr>
              <w:pStyle w:val="TableTextBullet"/>
            </w:pPr>
            <w:r>
              <w:t>Active VBECS User Indicator</w:t>
            </w:r>
          </w:p>
          <w:p w14:paraId="48ECA72E" w14:textId="77777777" w:rsidR="00C644E6" w:rsidRDefault="00342C0E" w:rsidP="000B284D">
            <w:pPr>
              <w:pStyle w:val="TableTextBullet"/>
            </w:pPr>
            <w:r>
              <w:t>Active Division Indicator</w:t>
            </w:r>
          </w:p>
        </w:tc>
        <w:tc>
          <w:tcPr>
            <w:tcW w:w="1243" w:type="dxa"/>
          </w:tcPr>
          <w:p w14:paraId="39D67C6F" w14:textId="77777777" w:rsidR="00C644E6" w:rsidRDefault="00C644E6" w:rsidP="000B284D">
            <w:pPr>
              <w:pStyle w:val="TableText"/>
            </w:pPr>
            <w:r>
              <w:t>No</w:t>
            </w:r>
          </w:p>
        </w:tc>
        <w:tc>
          <w:tcPr>
            <w:tcW w:w="1295" w:type="dxa"/>
          </w:tcPr>
          <w:p w14:paraId="7470774D" w14:textId="77777777" w:rsidR="00C644E6" w:rsidRDefault="00C644E6" w:rsidP="000B284D">
            <w:pPr>
              <w:pStyle w:val="TableText"/>
            </w:pPr>
            <w:r>
              <w:t>No</w:t>
            </w:r>
          </w:p>
        </w:tc>
      </w:tr>
      <w:tr w:rsidR="002A21AE" w14:paraId="7418B723" w14:textId="77777777" w:rsidTr="00A732E0">
        <w:trPr>
          <w:cantSplit/>
        </w:trPr>
        <w:tc>
          <w:tcPr>
            <w:tcW w:w="1373" w:type="dxa"/>
          </w:tcPr>
          <w:p w14:paraId="54296686" w14:textId="77777777" w:rsidR="002A21AE" w:rsidRDefault="002A21AE" w:rsidP="00CD34EB">
            <w:pPr>
              <w:pStyle w:val="TableText"/>
            </w:pPr>
            <w:r>
              <w:t>Maintenance: Antibody Configuration</w:t>
            </w:r>
          </w:p>
        </w:tc>
        <w:tc>
          <w:tcPr>
            <w:tcW w:w="1979" w:type="dxa"/>
          </w:tcPr>
          <w:p w14:paraId="534F16AB" w14:textId="77777777" w:rsidR="002A21AE" w:rsidRDefault="002A21AE">
            <w:pPr>
              <w:pStyle w:val="TableText"/>
            </w:pPr>
            <w:r>
              <w:t>Antibodies</w:t>
            </w:r>
          </w:p>
        </w:tc>
        <w:tc>
          <w:tcPr>
            <w:tcW w:w="3470" w:type="dxa"/>
          </w:tcPr>
          <w:p w14:paraId="1C257EDB" w14:textId="77777777" w:rsidR="00A71D77" w:rsidRDefault="00A71D77" w:rsidP="00A71D77">
            <w:pPr>
              <w:pStyle w:val="TableText"/>
            </w:pPr>
            <w:r>
              <w:t>For each antibody specificity:</w:t>
            </w:r>
          </w:p>
          <w:p w14:paraId="65805E24" w14:textId="77777777" w:rsidR="002A21AE" w:rsidRDefault="002A21AE">
            <w:pPr>
              <w:pStyle w:val="TableTextBullet"/>
            </w:pPr>
            <w:r>
              <w:t>Compatibility Percentage</w:t>
            </w:r>
          </w:p>
          <w:p w14:paraId="08A868F8" w14:textId="77777777" w:rsidR="002A21AE" w:rsidRDefault="00A71D77">
            <w:pPr>
              <w:pStyle w:val="TableTextBullet"/>
            </w:pPr>
            <w:r>
              <w:t>Higher Level Override Required Indicator</w:t>
            </w:r>
          </w:p>
        </w:tc>
        <w:tc>
          <w:tcPr>
            <w:tcW w:w="1243" w:type="dxa"/>
          </w:tcPr>
          <w:p w14:paraId="3FCF960F" w14:textId="77777777" w:rsidR="002A21AE" w:rsidRDefault="002A21AE">
            <w:pPr>
              <w:pStyle w:val="TableText"/>
            </w:pPr>
            <w:r>
              <w:t>No</w:t>
            </w:r>
          </w:p>
        </w:tc>
        <w:tc>
          <w:tcPr>
            <w:tcW w:w="1295" w:type="dxa"/>
          </w:tcPr>
          <w:p w14:paraId="19BC9E7C" w14:textId="77777777" w:rsidR="002A21AE" w:rsidRDefault="002A21AE">
            <w:pPr>
              <w:pStyle w:val="TableText"/>
            </w:pPr>
            <w:r>
              <w:t>No</w:t>
            </w:r>
          </w:p>
        </w:tc>
      </w:tr>
      <w:tr w:rsidR="002A21AE" w14:paraId="21EE63DB" w14:textId="77777777" w:rsidTr="00A732E0">
        <w:trPr>
          <w:cantSplit/>
        </w:trPr>
        <w:tc>
          <w:tcPr>
            <w:tcW w:w="1373" w:type="dxa"/>
          </w:tcPr>
          <w:p w14:paraId="7336AD7A" w14:textId="77777777" w:rsidR="002A21AE" w:rsidRDefault="002A21AE" w:rsidP="00CD34EB">
            <w:pPr>
              <w:pStyle w:val="TableText"/>
            </w:pPr>
            <w:r>
              <w:lastRenderedPageBreak/>
              <w:t>Maintenance: Workload Configuration</w:t>
            </w:r>
          </w:p>
        </w:tc>
        <w:tc>
          <w:tcPr>
            <w:tcW w:w="1979" w:type="dxa"/>
          </w:tcPr>
          <w:p w14:paraId="13AA1397" w14:textId="77777777" w:rsidR="002A21AE" w:rsidRDefault="002A21AE">
            <w:pPr>
              <w:pStyle w:val="TableText"/>
            </w:pPr>
            <w:r>
              <w:t>Workload Codes</w:t>
            </w:r>
          </w:p>
        </w:tc>
        <w:tc>
          <w:tcPr>
            <w:tcW w:w="3470" w:type="dxa"/>
          </w:tcPr>
          <w:p w14:paraId="7EBE3B7A" w14:textId="77777777" w:rsidR="00B320F4" w:rsidRDefault="00B320F4" w:rsidP="00B320F4">
            <w:pPr>
              <w:pStyle w:val="TableText"/>
            </w:pPr>
            <w:r>
              <w:t>For each workload process and for each LMIP procedure and LMIP/NLT code:</w:t>
            </w:r>
          </w:p>
          <w:p w14:paraId="62FCBD4A" w14:textId="77777777" w:rsidR="00B320F4" w:rsidRDefault="00B320F4" w:rsidP="00B320F4">
            <w:pPr>
              <w:pStyle w:val="TableTextBullet"/>
            </w:pPr>
            <w:r>
              <w:t>Start Date</w:t>
            </w:r>
          </w:p>
          <w:p w14:paraId="14F6B765" w14:textId="77777777" w:rsidR="00B320F4" w:rsidRDefault="00B320F4" w:rsidP="00B320F4">
            <w:pPr>
              <w:pStyle w:val="TableTextBullet"/>
            </w:pPr>
            <w:r>
              <w:t>Stop Date</w:t>
            </w:r>
          </w:p>
          <w:p w14:paraId="57E66CAA" w14:textId="77777777" w:rsidR="0098047D" w:rsidRDefault="00B320F4" w:rsidP="00B320F4">
            <w:pPr>
              <w:pStyle w:val="TableTextBullet"/>
            </w:pPr>
            <w:r>
              <w:t>Status Indicator</w:t>
            </w:r>
          </w:p>
        </w:tc>
        <w:tc>
          <w:tcPr>
            <w:tcW w:w="1243" w:type="dxa"/>
          </w:tcPr>
          <w:p w14:paraId="3DE3A0D5" w14:textId="77777777" w:rsidR="002A21AE" w:rsidRDefault="002A21AE">
            <w:pPr>
              <w:pStyle w:val="TableText"/>
            </w:pPr>
            <w:r>
              <w:t>No</w:t>
            </w:r>
          </w:p>
        </w:tc>
        <w:tc>
          <w:tcPr>
            <w:tcW w:w="1295" w:type="dxa"/>
          </w:tcPr>
          <w:p w14:paraId="609DD482" w14:textId="77777777" w:rsidR="002A21AE" w:rsidRDefault="002A21AE">
            <w:pPr>
              <w:pStyle w:val="TableText"/>
            </w:pPr>
            <w:r>
              <w:t>No</w:t>
            </w:r>
          </w:p>
        </w:tc>
      </w:tr>
      <w:tr w:rsidR="002A21AE" w14:paraId="07409DFB" w14:textId="77777777" w:rsidTr="00A732E0">
        <w:trPr>
          <w:cantSplit/>
        </w:trPr>
        <w:tc>
          <w:tcPr>
            <w:tcW w:w="1373" w:type="dxa"/>
          </w:tcPr>
          <w:p w14:paraId="5179A039" w14:textId="77777777" w:rsidR="002A21AE" w:rsidRDefault="002A21AE" w:rsidP="00CD34EB">
            <w:pPr>
              <w:pStyle w:val="TableText"/>
            </w:pPr>
            <w:r>
              <w:t>Maintenance: MSBOS Configuration</w:t>
            </w:r>
          </w:p>
        </w:tc>
        <w:tc>
          <w:tcPr>
            <w:tcW w:w="1979" w:type="dxa"/>
          </w:tcPr>
          <w:p w14:paraId="4204987A" w14:textId="77777777" w:rsidR="002A21AE" w:rsidRDefault="002A21AE">
            <w:pPr>
              <w:pStyle w:val="TableText"/>
            </w:pPr>
            <w:r>
              <w:t>MSBOS</w:t>
            </w:r>
          </w:p>
        </w:tc>
        <w:tc>
          <w:tcPr>
            <w:tcW w:w="3470" w:type="dxa"/>
          </w:tcPr>
          <w:p w14:paraId="455A5E21" w14:textId="77777777" w:rsidR="002A21AE" w:rsidRDefault="00F06D63" w:rsidP="00F06D63">
            <w:pPr>
              <w:pStyle w:val="TableText"/>
            </w:pPr>
            <w:r>
              <w:t xml:space="preserve">For each </w:t>
            </w:r>
            <w:r w:rsidR="00B63E26">
              <w:t>s</w:t>
            </w:r>
            <w:r w:rsidR="002A21AE">
              <w:t xml:space="preserve">urgery </w:t>
            </w:r>
            <w:r w:rsidR="00B63E26">
              <w:t>n</w:t>
            </w:r>
            <w:r>
              <w:t xml:space="preserve">ame: </w:t>
            </w:r>
          </w:p>
          <w:p w14:paraId="36DA01B7" w14:textId="77777777" w:rsidR="002A21AE" w:rsidRDefault="00F06D63">
            <w:pPr>
              <w:pStyle w:val="TableTextBullet"/>
            </w:pPr>
            <w:r>
              <w:t xml:space="preserve">Surgery Status </w:t>
            </w:r>
            <w:r w:rsidR="002A21AE">
              <w:t>Indicator</w:t>
            </w:r>
          </w:p>
          <w:p w14:paraId="64808845" w14:textId="77777777" w:rsidR="00F06D63" w:rsidRDefault="00F06D63" w:rsidP="00F06D63">
            <w:pPr>
              <w:pStyle w:val="TableText"/>
            </w:pPr>
            <w:r>
              <w:t xml:space="preserve">For each </w:t>
            </w:r>
            <w:r w:rsidR="002A21AE">
              <w:t xml:space="preserve">MSBOS </w:t>
            </w:r>
            <w:r w:rsidR="00B63E26">
              <w:t>r</w:t>
            </w:r>
            <w:r w:rsidR="002A21AE">
              <w:t>ecommendation</w:t>
            </w:r>
            <w:r>
              <w:t>:</w:t>
            </w:r>
          </w:p>
          <w:p w14:paraId="31F8A126" w14:textId="77777777" w:rsidR="002A21AE" w:rsidRDefault="002A21AE" w:rsidP="00F06D63">
            <w:pPr>
              <w:pStyle w:val="TableTextBullet"/>
            </w:pPr>
            <w:r>
              <w:t xml:space="preserve">TAS </w:t>
            </w:r>
            <w:r w:rsidR="00F06D63">
              <w:t>Indicator</w:t>
            </w:r>
          </w:p>
          <w:p w14:paraId="2A4AFFBB" w14:textId="77777777" w:rsidR="00F06D63" w:rsidRDefault="00F06D63" w:rsidP="00F06D63">
            <w:pPr>
              <w:pStyle w:val="TableTextBullet"/>
            </w:pPr>
            <w:r>
              <w:t>No Blood Required Indicator</w:t>
            </w:r>
          </w:p>
          <w:p w14:paraId="1A416301" w14:textId="77777777" w:rsidR="00F06D63" w:rsidRDefault="00F06D63" w:rsidP="00F06D63">
            <w:pPr>
              <w:pStyle w:val="TableText"/>
            </w:pPr>
            <w:r>
              <w:t>For each selected component class:</w:t>
            </w:r>
          </w:p>
          <w:p w14:paraId="597FEE6F" w14:textId="77777777" w:rsidR="00F06D63" w:rsidRDefault="00F06D63" w:rsidP="00F06D63">
            <w:pPr>
              <w:pStyle w:val="TableTextBullet"/>
            </w:pPr>
            <w:r>
              <w:t>Number of Units</w:t>
            </w:r>
          </w:p>
          <w:p w14:paraId="1BEB06B2" w14:textId="77777777" w:rsidR="00F06D63" w:rsidRDefault="00F06D63" w:rsidP="00F06D63">
            <w:pPr>
              <w:pStyle w:val="TableTextBullet"/>
            </w:pPr>
            <w:r>
              <w:t>Recommendation Status Indicator</w:t>
            </w:r>
          </w:p>
        </w:tc>
        <w:tc>
          <w:tcPr>
            <w:tcW w:w="1243" w:type="dxa"/>
          </w:tcPr>
          <w:p w14:paraId="226CA37F" w14:textId="77777777" w:rsidR="002A21AE" w:rsidRDefault="002A21AE">
            <w:pPr>
              <w:pStyle w:val="TableText"/>
            </w:pPr>
            <w:r>
              <w:t>No</w:t>
            </w:r>
          </w:p>
        </w:tc>
        <w:tc>
          <w:tcPr>
            <w:tcW w:w="1295" w:type="dxa"/>
          </w:tcPr>
          <w:p w14:paraId="3CC907E5" w14:textId="77777777" w:rsidR="002A21AE" w:rsidRDefault="002A21AE">
            <w:pPr>
              <w:pStyle w:val="TableText"/>
            </w:pPr>
            <w:r>
              <w:t>No</w:t>
            </w:r>
          </w:p>
        </w:tc>
      </w:tr>
      <w:tr w:rsidR="002A21AE" w14:paraId="1B100FF4" w14:textId="77777777" w:rsidTr="00A732E0">
        <w:trPr>
          <w:cantSplit/>
        </w:trPr>
        <w:tc>
          <w:tcPr>
            <w:tcW w:w="1373" w:type="dxa"/>
          </w:tcPr>
          <w:p w14:paraId="54F96C17" w14:textId="77777777" w:rsidR="002A21AE" w:rsidRDefault="002A21AE" w:rsidP="00CD34EB">
            <w:pPr>
              <w:pStyle w:val="TableText"/>
            </w:pPr>
            <w:r>
              <w:t>Maintenance: Transfusion Effectiveness Changes</w:t>
            </w:r>
          </w:p>
        </w:tc>
        <w:tc>
          <w:tcPr>
            <w:tcW w:w="1979" w:type="dxa"/>
          </w:tcPr>
          <w:p w14:paraId="7FB49A40" w14:textId="77777777" w:rsidR="002A21AE" w:rsidRDefault="002A21AE">
            <w:pPr>
              <w:pStyle w:val="TableText"/>
            </w:pPr>
            <w:r>
              <w:t>Transfusion Effectiveness</w:t>
            </w:r>
          </w:p>
        </w:tc>
        <w:tc>
          <w:tcPr>
            <w:tcW w:w="3470" w:type="dxa"/>
          </w:tcPr>
          <w:p w14:paraId="4E8E78AB" w14:textId="77777777" w:rsidR="004E501B" w:rsidRDefault="008945EE" w:rsidP="004E501B">
            <w:pPr>
              <w:pStyle w:val="TableText"/>
            </w:pPr>
            <w:r>
              <w:t>For each Laboratory t</w:t>
            </w:r>
            <w:r w:rsidR="004E501B">
              <w:t xml:space="preserve">est </w:t>
            </w:r>
            <w:r>
              <w:t>n</w:t>
            </w:r>
            <w:r w:rsidR="004E501B">
              <w:t xml:space="preserve">ame, for each VistA Laboratory </w:t>
            </w:r>
            <w:r>
              <w:t>t</w:t>
            </w:r>
            <w:r w:rsidR="004E501B">
              <w:t xml:space="preserve">est Internal Entry Number (IEN), and for each </w:t>
            </w:r>
            <w:r>
              <w:t>s</w:t>
            </w:r>
            <w:r w:rsidR="004E501B">
              <w:t xml:space="preserve">pecimen </w:t>
            </w:r>
            <w:r>
              <w:t>t</w:t>
            </w:r>
            <w:r w:rsidR="004E501B">
              <w:t xml:space="preserve">ype: </w:t>
            </w:r>
          </w:p>
          <w:p w14:paraId="4AB815DB" w14:textId="77777777" w:rsidR="002A21AE" w:rsidRDefault="004E501B">
            <w:pPr>
              <w:pStyle w:val="TableTextBullet"/>
            </w:pPr>
            <w:r>
              <w:t>Status Indicator</w:t>
            </w:r>
          </w:p>
        </w:tc>
        <w:tc>
          <w:tcPr>
            <w:tcW w:w="1243" w:type="dxa"/>
          </w:tcPr>
          <w:p w14:paraId="132B5551" w14:textId="77777777" w:rsidR="002A21AE" w:rsidRDefault="002A21AE">
            <w:pPr>
              <w:pStyle w:val="TableText"/>
            </w:pPr>
            <w:r>
              <w:t>No</w:t>
            </w:r>
          </w:p>
        </w:tc>
        <w:tc>
          <w:tcPr>
            <w:tcW w:w="1295" w:type="dxa"/>
          </w:tcPr>
          <w:p w14:paraId="0074C757" w14:textId="77777777" w:rsidR="002A21AE" w:rsidRDefault="002A21AE">
            <w:pPr>
              <w:pStyle w:val="TableText"/>
            </w:pPr>
            <w:r>
              <w:t>No</w:t>
            </w:r>
          </w:p>
        </w:tc>
      </w:tr>
      <w:tr w:rsidR="002A21AE" w14:paraId="38E86C78" w14:textId="77777777" w:rsidTr="00A732E0">
        <w:trPr>
          <w:cantSplit/>
        </w:trPr>
        <w:tc>
          <w:tcPr>
            <w:tcW w:w="1373" w:type="dxa"/>
          </w:tcPr>
          <w:p w14:paraId="5240B1B9" w14:textId="77777777" w:rsidR="002A21AE" w:rsidRDefault="002A21AE" w:rsidP="00CD34EB">
            <w:pPr>
              <w:pStyle w:val="TableText"/>
            </w:pPr>
            <w:r>
              <w:t>Maintenance: Transfusion Complications Changes</w:t>
            </w:r>
          </w:p>
        </w:tc>
        <w:tc>
          <w:tcPr>
            <w:tcW w:w="1979" w:type="dxa"/>
          </w:tcPr>
          <w:p w14:paraId="16EEE063" w14:textId="77777777" w:rsidR="002A21AE" w:rsidRDefault="002A21AE">
            <w:pPr>
              <w:pStyle w:val="TableText"/>
            </w:pPr>
            <w:r>
              <w:t>Transfusion Complications</w:t>
            </w:r>
          </w:p>
        </w:tc>
        <w:tc>
          <w:tcPr>
            <w:tcW w:w="3470" w:type="dxa"/>
          </w:tcPr>
          <w:p w14:paraId="6522ED69" w14:textId="77777777" w:rsidR="004E501B" w:rsidRDefault="004E501B" w:rsidP="004E501B">
            <w:pPr>
              <w:pStyle w:val="TableText"/>
            </w:pPr>
            <w:r>
              <w:t xml:space="preserve">For each Laboratory </w:t>
            </w:r>
            <w:r w:rsidR="008945EE">
              <w:t>te</w:t>
            </w:r>
            <w:r>
              <w:t xml:space="preserve">st </w:t>
            </w:r>
            <w:r w:rsidR="008945EE">
              <w:t>n</w:t>
            </w:r>
            <w:r>
              <w:t xml:space="preserve">ame, for each VistA Laboratory </w:t>
            </w:r>
            <w:r w:rsidR="008945EE">
              <w:t>t</w:t>
            </w:r>
            <w:r>
              <w:t xml:space="preserve">est IEN, and for each </w:t>
            </w:r>
            <w:r w:rsidR="008945EE">
              <w:t>s</w:t>
            </w:r>
            <w:r>
              <w:t xml:space="preserve">pecimen </w:t>
            </w:r>
            <w:r w:rsidR="008945EE">
              <w:t>t</w:t>
            </w:r>
            <w:r>
              <w:t xml:space="preserve">ype: </w:t>
            </w:r>
          </w:p>
          <w:p w14:paraId="07FABEDF" w14:textId="77777777" w:rsidR="004E501B" w:rsidRDefault="004E501B" w:rsidP="004E501B">
            <w:pPr>
              <w:pStyle w:val="TableTextBullet"/>
            </w:pPr>
            <w:r>
              <w:t>Threshold Result</w:t>
            </w:r>
          </w:p>
          <w:p w14:paraId="39792FCD" w14:textId="77777777" w:rsidR="004E501B" w:rsidRDefault="004E501B" w:rsidP="004E501B">
            <w:pPr>
              <w:pStyle w:val="TableTextBullet"/>
            </w:pPr>
            <w:r>
              <w:t>Threshold Setting Status</w:t>
            </w:r>
          </w:p>
          <w:p w14:paraId="792BAD8D" w14:textId="77777777" w:rsidR="002A21AE" w:rsidRDefault="004E501B" w:rsidP="004E501B">
            <w:pPr>
              <w:pStyle w:val="TableTextBullet"/>
            </w:pPr>
            <w:r>
              <w:t>Status indicator</w:t>
            </w:r>
            <w:r w:rsidDel="003933CD">
              <w:t xml:space="preserve"> </w:t>
            </w:r>
          </w:p>
        </w:tc>
        <w:tc>
          <w:tcPr>
            <w:tcW w:w="1243" w:type="dxa"/>
          </w:tcPr>
          <w:p w14:paraId="1BADF183" w14:textId="77777777" w:rsidR="002A21AE" w:rsidRDefault="002A21AE">
            <w:pPr>
              <w:pStyle w:val="TableText"/>
            </w:pPr>
            <w:r>
              <w:t>No</w:t>
            </w:r>
          </w:p>
        </w:tc>
        <w:tc>
          <w:tcPr>
            <w:tcW w:w="1295" w:type="dxa"/>
          </w:tcPr>
          <w:p w14:paraId="7B16E8A8" w14:textId="77777777" w:rsidR="002A21AE" w:rsidRDefault="002A21AE">
            <w:pPr>
              <w:pStyle w:val="TableText"/>
            </w:pPr>
            <w:r>
              <w:t>No</w:t>
            </w:r>
          </w:p>
        </w:tc>
      </w:tr>
      <w:tr w:rsidR="002A21AE" w14:paraId="2CA76DEE" w14:textId="77777777" w:rsidTr="00A732E0">
        <w:trPr>
          <w:cantSplit/>
        </w:trPr>
        <w:tc>
          <w:tcPr>
            <w:tcW w:w="1373" w:type="dxa"/>
          </w:tcPr>
          <w:p w14:paraId="4795FFC0" w14:textId="77777777" w:rsidR="002A21AE" w:rsidRDefault="002A21AE" w:rsidP="00CD34EB">
            <w:pPr>
              <w:pStyle w:val="TableText"/>
            </w:pPr>
            <w:r>
              <w:t>Maintenance: Component Class</w:t>
            </w:r>
          </w:p>
        </w:tc>
        <w:tc>
          <w:tcPr>
            <w:tcW w:w="1979" w:type="dxa"/>
          </w:tcPr>
          <w:p w14:paraId="60813F84" w14:textId="77777777" w:rsidR="002A21AE" w:rsidRDefault="002A21AE">
            <w:pPr>
              <w:pStyle w:val="TableText"/>
            </w:pPr>
            <w:r>
              <w:t xml:space="preserve">Component Classes </w:t>
            </w:r>
          </w:p>
        </w:tc>
        <w:tc>
          <w:tcPr>
            <w:tcW w:w="3470" w:type="dxa"/>
          </w:tcPr>
          <w:p w14:paraId="596E91D4" w14:textId="77777777" w:rsidR="002A21AE" w:rsidRDefault="002A21AE">
            <w:pPr>
              <w:pStyle w:val="TableText"/>
            </w:pPr>
            <w:r>
              <w:t>For each component class configured:</w:t>
            </w:r>
          </w:p>
          <w:p w14:paraId="01DD5AEB" w14:textId="77777777" w:rsidR="002A21AE" w:rsidRDefault="0072124A">
            <w:pPr>
              <w:pStyle w:val="TableTextBullet"/>
            </w:pPr>
            <w:r>
              <w:t>Current ABO/Rh Specimen Results Required Indicator</w:t>
            </w:r>
          </w:p>
          <w:p w14:paraId="23F5A83D" w14:textId="77777777" w:rsidR="0072124A" w:rsidRDefault="0072124A">
            <w:pPr>
              <w:pStyle w:val="TableTextBullet"/>
            </w:pPr>
            <w:r>
              <w:t>M</w:t>
            </w:r>
            <w:r w:rsidR="002A21AE">
              <w:t xml:space="preserve">aximum </w:t>
            </w:r>
            <w:r>
              <w:t>T</w:t>
            </w:r>
            <w:r w:rsidR="002A21AE">
              <w:t xml:space="preserve">ransfusion </w:t>
            </w:r>
            <w:r>
              <w:t>T</w:t>
            </w:r>
            <w:r w:rsidR="002A21AE">
              <w:t>ime</w:t>
            </w:r>
          </w:p>
          <w:p w14:paraId="2243EEDA" w14:textId="77777777" w:rsidR="0072124A" w:rsidRDefault="002B6A72">
            <w:pPr>
              <w:pStyle w:val="TableTextBullet"/>
            </w:pPr>
            <w:r>
              <w:t>For each Laboratory Test Name, for each VistA Laboratory Test Internal Entry Number (IEN), and for each Specimen Type:</w:t>
            </w:r>
            <w:r w:rsidR="00B63E26">
              <w:t xml:space="preserve"> </w:t>
            </w:r>
            <w:r w:rsidR="0072124A">
              <w:t>Lab Test Status</w:t>
            </w:r>
          </w:p>
          <w:p w14:paraId="232EDEA3" w14:textId="77777777" w:rsidR="0072124A" w:rsidRDefault="0072124A">
            <w:pPr>
              <w:pStyle w:val="TableTextBullet"/>
            </w:pPr>
            <w:r>
              <w:t>Threshold Result</w:t>
            </w:r>
          </w:p>
        </w:tc>
        <w:tc>
          <w:tcPr>
            <w:tcW w:w="1243" w:type="dxa"/>
          </w:tcPr>
          <w:p w14:paraId="581FEAF4" w14:textId="77777777" w:rsidR="002A21AE" w:rsidRDefault="002A21AE">
            <w:pPr>
              <w:pStyle w:val="TableText"/>
            </w:pPr>
            <w:r>
              <w:t>No</w:t>
            </w:r>
          </w:p>
        </w:tc>
        <w:tc>
          <w:tcPr>
            <w:tcW w:w="1295" w:type="dxa"/>
          </w:tcPr>
          <w:p w14:paraId="5B858761" w14:textId="77777777" w:rsidR="002A21AE" w:rsidRDefault="002A21AE">
            <w:pPr>
              <w:pStyle w:val="TableText"/>
            </w:pPr>
            <w:r>
              <w:t>No</w:t>
            </w:r>
          </w:p>
        </w:tc>
      </w:tr>
      <w:tr w:rsidR="002A21AE" w14:paraId="4474E54C" w14:textId="77777777" w:rsidTr="00A732E0">
        <w:trPr>
          <w:cantSplit/>
        </w:trPr>
        <w:tc>
          <w:tcPr>
            <w:tcW w:w="1373" w:type="dxa"/>
          </w:tcPr>
          <w:p w14:paraId="2E310733" w14:textId="77777777" w:rsidR="002A21AE" w:rsidRDefault="002A21AE" w:rsidP="00CD34EB">
            <w:pPr>
              <w:pStyle w:val="TableText"/>
            </w:pPr>
            <w:r>
              <w:t>Maintenance: Daily QC Configuration</w:t>
            </w:r>
          </w:p>
        </w:tc>
        <w:tc>
          <w:tcPr>
            <w:tcW w:w="1979" w:type="dxa"/>
          </w:tcPr>
          <w:p w14:paraId="29EDEACC" w14:textId="77777777" w:rsidR="002A21AE" w:rsidRDefault="002A21AE">
            <w:pPr>
              <w:pStyle w:val="TableText"/>
            </w:pPr>
            <w:r>
              <w:t>Configure Daily QC</w:t>
            </w:r>
          </w:p>
        </w:tc>
        <w:tc>
          <w:tcPr>
            <w:tcW w:w="3470" w:type="dxa"/>
          </w:tcPr>
          <w:p w14:paraId="27556196" w14:textId="77777777" w:rsidR="002B6A72" w:rsidRPr="00BF10B2" w:rsidRDefault="002838D6" w:rsidP="002B6A72">
            <w:pPr>
              <w:pStyle w:val="TableText"/>
            </w:pPr>
            <w:r w:rsidRPr="00BF10B2">
              <w:t>For each d</w:t>
            </w:r>
            <w:r w:rsidR="002B6A72" w:rsidRPr="00BF10B2">
              <w:t xml:space="preserve">aily QC </w:t>
            </w:r>
            <w:r w:rsidR="00B63E26" w:rsidRPr="00BF10B2">
              <w:t>s</w:t>
            </w:r>
            <w:r w:rsidR="002B6A72" w:rsidRPr="00BF10B2">
              <w:t xml:space="preserve">etup </w:t>
            </w:r>
            <w:r w:rsidR="00B63E26" w:rsidRPr="00BF10B2">
              <w:t>c</w:t>
            </w:r>
            <w:r w:rsidR="002B6A72" w:rsidRPr="00BF10B2">
              <w:t>hanged:</w:t>
            </w:r>
          </w:p>
          <w:p w14:paraId="118D8A4B" w14:textId="77777777" w:rsidR="002A21AE" w:rsidRPr="00BF10B2" w:rsidRDefault="002A21AE">
            <w:pPr>
              <w:pStyle w:val="TableTextBullet"/>
            </w:pPr>
            <w:r w:rsidRPr="00BF10B2">
              <w:t>Commercial or Non-Commercial QC Indicator</w:t>
            </w:r>
          </w:p>
          <w:p w14:paraId="7DFF07B4" w14:textId="77777777" w:rsidR="002A21AE" w:rsidRPr="00BF10B2" w:rsidRDefault="002A21AE">
            <w:pPr>
              <w:pStyle w:val="TableTextBullet"/>
            </w:pPr>
            <w:r w:rsidRPr="00BF10B2">
              <w:t>Rack Nam</w:t>
            </w:r>
            <w:r w:rsidR="00155120" w:rsidRPr="00BF10B2">
              <w:t>e</w:t>
            </w:r>
            <w:r w:rsidRPr="00BF10B2">
              <w:t xml:space="preserve"> Indicator</w:t>
            </w:r>
            <w:r w:rsidR="00155120" w:rsidRPr="00BF10B2">
              <w:t xml:space="preserve"> (</w:t>
            </w:r>
            <w:r w:rsidRPr="00BF10B2">
              <w:t>A through Z or 1 through 26</w:t>
            </w:r>
            <w:r w:rsidR="00155120" w:rsidRPr="00BF10B2">
              <w:t>)</w:t>
            </w:r>
          </w:p>
          <w:p w14:paraId="3BD787E4" w14:textId="77777777" w:rsidR="00155120" w:rsidRPr="00BF10B2" w:rsidRDefault="00155120">
            <w:pPr>
              <w:pStyle w:val="TableTextBullet"/>
            </w:pPr>
            <w:r w:rsidRPr="00BF10B2">
              <w:t>Number of Racks to Test</w:t>
            </w:r>
          </w:p>
          <w:p w14:paraId="56850746" w14:textId="77777777" w:rsidR="00155120" w:rsidRPr="00BF10B2" w:rsidRDefault="00155120">
            <w:pPr>
              <w:pStyle w:val="TableTextBullet"/>
            </w:pPr>
            <w:r w:rsidRPr="00BF10B2">
              <w:t>Daily Alert Time</w:t>
            </w:r>
          </w:p>
          <w:p w14:paraId="4874F347" w14:textId="77777777" w:rsidR="00155120" w:rsidRPr="00BF10B2" w:rsidRDefault="00155120">
            <w:pPr>
              <w:pStyle w:val="TableTextBullet"/>
            </w:pPr>
            <w:r w:rsidRPr="00BF10B2">
              <w:t>Primary Enhancement Media</w:t>
            </w:r>
          </w:p>
          <w:p w14:paraId="49A5C562" w14:textId="77777777" w:rsidR="00155120" w:rsidRPr="00BF10B2" w:rsidRDefault="00155120">
            <w:pPr>
              <w:pStyle w:val="TableTextBullet"/>
            </w:pPr>
            <w:r w:rsidRPr="00BF10B2">
              <w:t>Secondary Enhancement Media</w:t>
            </w:r>
          </w:p>
          <w:p w14:paraId="77920B3A" w14:textId="77777777" w:rsidR="00155120" w:rsidRPr="00BF10B2" w:rsidRDefault="00155120">
            <w:pPr>
              <w:pStyle w:val="TableTextBullet"/>
            </w:pPr>
            <w:r w:rsidRPr="00BF10B2">
              <w:t>Comment</w:t>
            </w:r>
          </w:p>
          <w:p w14:paraId="38C5ACFA" w14:textId="77777777" w:rsidR="00155120" w:rsidRPr="00BF10B2" w:rsidRDefault="00155120" w:rsidP="00155120">
            <w:pPr>
              <w:pStyle w:val="TableText"/>
            </w:pPr>
            <w:r w:rsidRPr="00BF10B2">
              <w:t xml:space="preserve">For each </w:t>
            </w:r>
            <w:r w:rsidR="00B63E26" w:rsidRPr="00BF10B2">
              <w:t>reagent t</w:t>
            </w:r>
            <w:r w:rsidRPr="00BF10B2">
              <w:t xml:space="preserve">ype and </w:t>
            </w:r>
            <w:r w:rsidR="00B63E26" w:rsidRPr="00BF10B2">
              <w:t>t</w:t>
            </w:r>
            <w:r w:rsidRPr="00BF10B2">
              <w:t xml:space="preserve">est </w:t>
            </w:r>
            <w:r w:rsidR="00B63E26" w:rsidRPr="00BF10B2">
              <w:t>w</w:t>
            </w:r>
            <w:r w:rsidRPr="00BF10B2">
              <w:t>ith combination:</w:t>
            </w:r>
          </w:p>
          <w:p w14:paraId="1289C4DF" w14:textId="77777777" w:rsidR="002A21AE" w:rsidRPr="00BF10B2" w:rsidRDefault="00155120">
            <w:pPr>
              <w:pStyle w:val="TableTextBullet"/>
            </w:pPr>
            <w:r w:rsidRPr="00BF10B2">
              <w:t>Sta</w:t>
            </w:r>
            <w:r w:rsidR="00B63E26" w:rsidRPr="00BF10B2">
              <w:t>t</w:t>
            </w:r>
            <w:r w:rsidRPr="00BF10B2">
              <w:t>us Indicator</w:t>
            </w:r>
          </w:p>
          <w:p w14:paraId="4A524E84" w14:textId="77777777" w:rsidR="00155120" w:rsidRDefault="00155120">
            <w:pPr>
              <w:pStyle w:val="TableTextBullet"/>
            </w:pPr>
            <w:r w:rsidRPr="00BF10B2">
              <w:t>Minimum Reaction Entry</w:t>
            </w:r>
          </w:p>
        </w:tc>
        <w:tc>
          <w:tcPr>
            <w:tcW w:w="1243" w:type="dxa"/>
          </w:tcPr>
          <w:p w14:paraId="529AFDEF" w14:textId="77777777" w:rsidR="002A21AE" w:rsidRDefault="002A21AE">
            <w:pPr>
              <w:pStyle w:val="TableText"/>
            </w:pPr>
            <w:r>
              <w:t>No</w:t>
            </w:r>
          </w:p>
        </w:tc>
        <w:tc>
          <w:tcPr>
            <w:tcW w:w="1295" w:type="dxa"/>
          </w:tcPr>
          <w:p w14:paraId="1F0CADD1" w14:textId="77777777" w:rsidR="002A21AE" w:rsidRDefault="002A21AE">
            <w:pPr>
              <w:pStyle w:val="TableText"/>
            </w:pPr>
            <w:r>
              <w:t>No</w:t>
            </w:r>
          </w:p>
        </w:tc>
      </w:tr>
      <w:tr w:rsidR="002A21AE" w14:paraId="344A59C8" w14:textId="77777777" w:rsidTr="00A732E0">
        <w:trPr>
          <w:cantSplit/>
        </w:trPr>
        <w:tc>
          <w:tcPr>
            <w:tcW w:w="1373" w:type="dxa"/>
          </w:tcPr>
          <w:p w14:paraId="538D5B31" w14:textId="77777777" w:rsidR="002A21AE" w:rsidRDefault="002A21AE" w:rsidP="00CD34EB">
            <w:pPr>
              <w:pStyle w:val="TableText"/>
            </w:pPr>
            <w:r>
              <w:t>Maintenance: Minimum Reagent Inventory Levels</w:t>
            </w:r>
          </w:p>
        </w:tc>
        <w:tc>
          <w:tcPr>
            <w:tcW w:w="1979" w:type="dxa"/>
          </w:tcPr>
          <w:p w14:paraId="70F044AF" w14:textId="77777777" w:rsidR="002A21AE" w:rsidRDefault="002A21AE">
            <w:pPr>
              <w:pStyle w:val="TableText"/>
            </w:pPr>
            <w:r>
              <w:t>Maintain Minimum Levels</w:t>
            </w:r>
          </w:p>
        </w:tc>
        <w:tc>
          <w:tcPr>
            <w:tcW w:w="3470" w:type="dxa"/>
          </w:tcPr>
          <w:p w14:paraId="4C87DE44" w14:textId="77777777" w:rsidR="002A21AE" w:rsidRDefault="00BE1AC3">
            <w:pPr>
              <w:pStyle w:val="TableText"/>
            </w:pPr>
            <w:r>
              <w:t>For each reagent type:</w:t>
            </w:r>
          </w:p>
          <w:p w14:paraId="1366B7BD" w14:textId="77777777" w:rsidR="00BE1AC3" w:rsidRDefault="00BE1AC3" w:rsidP="00BE1AC3">
            <w:pPr>
              <w:pStyle w:val="TableTextBullet"/>
            </w:pPr>
            <w:r>
              <w:t>Minimum Inventory Level</w:t>
            </w:r>
          </w:p>
        </w:tc>
        <w:tc>
          <w:tcPr>
            <w:tcW w:w="1243" w:type="dxa"/>
          </w:tcPr>
          <w:p w14:paraId="66A389C0" w14:textId="77777777" w:rsidR="002A21AE" w:rsidRDefault="002A21AE">
            <w:pPr>
              <w:pStyle w:val="TableText"/>
            </w:pPr>
            <w:r>
              <w:t>No</w:t>
            </w:r>
          </w:p>
        </w:tc>
        <w:tc>
          <w:tcPr>
            <w:tcW w:w="1295" w:type="dxa"/>
          </w:tcPr>
          <w:p w14:paraId="2AE87E84" w14:textId="77777777" w:rsidR="002A21AE" w:rsidRDefault="002A21AE">
            <w:pPr>
              <w:pStyle w:val="TableText"/>
            </w:pPr>
            <w:r>
              <w:t>No</w:t>
            </w:r>
          </w:p>
        </w:tc>
      </w:tr>
      <w:tr w:rsidR="002A21AE" w14:paraId="6E459EBF" w14:textId="77777777" w:rsidTr="00A732E0">
        <w:trPr>
          <w:cantSplit/>
        </w:trPr>
        <w:tc>
          <w:tcPr>
            <w:tcW w:w="1373" w:type="dxa"/>
          </w:tcPr>
          <w:p w14:paraId="2363209B" w14:textId="77777777" w:rsidR="002A21AE" w:rsidRDefault="002A21AE" w:rsidP="00CD34EB">
            <w:pPr>
              <w:pStyle w:val="TableText"/>
            </w:pPr>
            <w:r>
              <w:lastRenderedPageBreak/>
              <w:t>Maintenance: User Alert Configuration</w:t>
            </w:r>
          </w:p>
        </w:tc>
        <w:tc>
          <w:tcPr>
            <w:tcW w:w="1979" w:type="dxa"/>
          </w:tcPr>
          <w:p w14:paraId="2CE690B5" w14:textId="77777777" w:rsidR="002A21AE" w:rsidRDefault="006068DE">
            <w:pPr>
              <w:pStyle w:val="TableText"/>
            </w:pPr>
            <w:r>
              <w:t>Order Alerts</w:t>
            </w:r>
          </w:p>
        </w:tc>
        <w:tc>
          <w:tcPr>
            <w:tcW w:w="3470" w:type="dxa"/>
          </w:tcPr>
          <w:p w14:paraId="244A44A6" w14:textId="77777777" w:rsidR="00BE1AC3" w:rsidRDefault="00BE1AC3" w:rsidP="00BE1AC3">
            <w:pPr>
              <w:pStyle w:val="TableText"/>
            </w:pPr>
            <w:r>
              <w:t xml:space="preserve">For each </w:t>
            </w:r>
            <w:r w:rsidR="00B63E26">
              <w:t>d</w:t>
            </w:r>
            <w:r>
              <w:t>ivision (name, code):</w:t>
            </w:r>
          </w:p>
          <w:p w14:paraId="5038666D" w14:textId="77777777" w:rsidR="00AC7D2D" w:rsidRDefault="00AC7D2D" w:rsidP="00AC7D2D">
            <w:pPr>
              <w:pStyle w:val="TableTextBullet"/>
            </w:pPr>
            <w:r>
              <w:t>Printer Alerts On</w:t>
            </w:r>
          </w:p>
          <w:p w14:paraId="1EBE4070" w14:textId="77777777" w:rsidR="00AC7D2D" w:rsidRDefault="00AC7D2D" w:rsidP="00AC7D2D">
            <w:pPr>
              <w:pStyle w:val="TableTextBullet"/>
            </w:pPr>
            <w:r>
              <w:t>Printer Name</w:t>
            </w:r>
          </w:p>
          <w:p w14:paraId="03BABE31" w14:textId="77777777" w:rsidR="00AC7D2D" w:rsidRDefault="00AC7D2D" w:rsidP="00AC7D2D">
            <w:pPr>
              <w:pStyle w:val="TableTextBullet"/>
            </w:pPr>
            <w:r>
              <w:t xml:space="preserve">(Printer) Order Alert Type </w:t>
            </w:r>
          </w:p>
          <w:p w14:paraId="2E1F0570" w14:textId="77777777" w:rsidR="00AC7D2D" w:rsidRDefault="00AC7D2D" w:rsidP="00AC7D2D">
            <w:pPr>
              <w:pStyle w:val="TableTextBullet"/>
            </w:pPr>
            <w:r>
              <w:t>(Printer) Orders Needed In</w:t>
            </w:r>
          </w:p>
          <w:p w14:paraId="772076E5" w14:textId="77777777" w:rsidR="00AC7D2D" w:rsidRDefault="00AC7D2D" w:rsidP="00AC7D2D">
            <w:pPr>
              <w:pStyle w:val="TableTextBullet"/>
            </w:pPr>
            <w:r>
              <w:t>Icon Alerts On</w:t>
            </w:r>
          </w:p>
          <w:p w14:paraId="337E2DE5" w14:textId="77777777" w:rsidR="00AC7D2D" w:rsidRDefault="00AC7D2D" w:rsidP="00AC7D2D">
            <w:pPr>
              <w:pStyle w:val="TableTextBullet"/>
            </w:pPr>
            <w:r>
              <w:t>Refresh Rate</w:t>
            </w:r>
          </w:p>
          <w:p w14:paraId="0AB38A07" w14:textId="77777777" w:rsidR="00AC7D2D" w:rsidRDefault="00AC7D2D" w:rsidP="00AC7D2D">
            <w:pPr>
              <w:pStyle w:val="TableTextBullet"/>
            </w:pPr>
            <w:r>
              <w:t xml:space="preserve">(Icon) Order Alert Type </w:t>
            </w:r>
          </w:p>
          <w:p w14:paraId="24C2EE3C" w14:textId="77777777" w:rsidR="002A21AE" w:rsidRDefault="00AC7D2D" w:rsidP="00AC7D2D">
            <w:pPr>
              <w:pStyle w:val="TableTextBullet"/>
            </w:pPr>
            <w:r>
              <w:t>(Icon) Orders Needed In</w:t>
            </w:r>
          </w:p>
        </w:tc>
        <w:tc>
          <w:tcPr>
            <w:tcW w:w="1243" w:type="dxa"/>
          </w:tcPr>
          <w:p w14:paraId="653A3668" w14:textId="77777777" w:rsidR="002A21AE" w:rsidRDefault="002A21AE">
            <w:pPr>
              <w:pStyle w:val="TableText"/>
            </w:pPr>
            <w:r>
              <w:t>No</w:t>
            </w:r>
          </w:p>
        </w:tc>
        <w:tc>
          <w:tcPr>
            <w:tcW w:w="1295" w:type="dxa"/>
          </w:tcPr>
          <w:p w14:paraId="05461FFB" w14:textId="77777777" w:rsidR="002A21AE" w:rsidRDefault="002A21AE">
            <w:pPr>
              <w:pStyle w:val="TableText"/>
            </w:pPr>
            <w:r>
              <w:t>No</w:t>
            </w:r>
          </w:p>
        </w:tc>
      </w:tr>
      <w:tr w:rsidR="002A21AE" w14:paraId="722604EC" w14:textId="77777777" w:rsidTr="00A732E0">
        <w:trPr>
          <w:cantSplit/>
        </w:trPr>
        <w:tc>
          <w:tcPr>
            <w:tcW w:w="1373" w:type="dxa"/>
          </w:tcPr>
          <w:p w14:paraId="7FE7F8EC" w14:textId="77777777" w:rsidR="002A21AE" w:rsidRDefault="002A21AE" w:rsidP="00CD34EB">
            <w:pPr>
              <w:pStyle w:val="TableText"/>
            </w:pPr>
            <w:r>
              <w:t>Maintenance: Interface Control</w:t>
            </w:r>
          </w:p>
        </w:tc>
        <w:tc>
          <w:tcPr>
            <w:tcW w:w="1979" w:type="dxa"/>
          </w:tcPr>
          <w:p w14:paraId="0145798A" w14:textId="77777777" w:rsidR="002A21AE" w:rsidRDefault="00706DB3">
            <w:pPr>
              <w:pStyle w:val="TableText"/>
            </w:pPr>
            <w:r>
              <w:t>Configure Interfaces</w:t>
            </w:r>
            <w:r w:rsidRPr="00706DB3">
              <w:rPr>
                <w:vanish/>
                <w:szCs w:val="18"/>
              </w:rPr>
              <w:t xml:space="preserve"> MUC_01</w:t>
            </w:r>
          </w:p>
        </w:tc>
        <w:tc>
          <w:tcPr>
            <w:tcW w:w="3470" w:type="dxa"/>
          </w:tcPr>
          <w:p w14:paraId="615443BA" w14:textId="77777777" w:rsidR="002A21AE" w:rsidRDefault="00BE1AC3">
            <w:pPr>
              <w:pStyle w:val="TableTextBullet"/>
            </w:pPr>
            <w:r>
              <w:t xml:space="preserve">VistA </w:t>
            </w:r>
            <w:r w:rsidR="00A615EC">
              <w:t>IP Address or Server Name</w:t>
            </w:r>
          </w:p>
          <w:p w14:paraId="78B710EF" w14:textId="77777777" w:rsidR="002A21AE" w:rsidRDefault="00BE1AC3">
            <w:pPr>
              <w:pStyle w:val="TableTextBullet"/>
            </w:pPr>
            <w:r>
              <w:t xml:space="preserve">VistA </w:t>
            </w:r>
            <w:r w:rsidR="002A21AE">
              <w:t>Port Number</w:t>
            </w:r>
          </w:p>
          <w:p w14:paraId="22118861" w14:textId="77777777" w:rsidR="005773E9" w:rsidRDefault="00A615EC">
            <w:pPr>
              <w:pStyle w:val="TableTextBullet"/>
            </w:pPr>
            <w:r>
              <w:t>VBECS VistALink Service IP Address or Server Name</w:t>
            </w:r>
          </w:p>
          <w:p w14:paraId="15A9A5EA" w14:textId="77777777" w:rsidR="00A615EC" w:rsidRDefault="00A615EC">
            <w:pPr>
              <w:pStyle w:val="TableTextBullet"/>
            </w:pPr>
            <w:r>
              <w:t>VBECS VistALink Service Port Number</w:t>
            </w:r>
          </w:p>
          <w:p w14:paraId="284ED016" w14:textId="77777777" w:rsidR="00A615EC" w:rsidRDefault="00A615EC">
            <w:pPr>
              <w:pStyle w:val="TableTextBullet"/>
            </w:pPr>
            <w:r>
              <w:t>Broker IP Address or Server Name</w:t>
            </w:r>
          </w:p>
          <w:p w14:paraId="729199CE" w14:textId="77777777" w:rsidR="00A615EC" w:rsidRDefault="00A615EC">
            <w:pPr>
              <w:pStyle w:val="TableTextBullet"/>
            </w:pPr>
            <w:r>
              <w:t>Broker Port Number</w:t>
            </w:r>
          </w:p>
        </w:tc>
        <w:tc>
          <w:tcPr>
            <w:tcW w:w="1243" w:type="dxa"/>
          </w:tcPr>
          <w:p w14:paraId="56C66E6B" w14:textId="77777777" w:rsidR="002A21AE" w:rsidRDefault="002A21AE">
            <w:pPr>
              <w:pStyle w:val="TableText"/>
            </w:pPr>
            <w:r>
              <w:t>No</w:t>
            </w:r>
          </w:p>
        </w:tc>
        <w:tc>
          <w:tcPr>
            <w:tcW w:w="1295" w:type="dxa"/>
          </w:tcPr>
          <w:p w14:paraId="1586DF02" w14:textId="77777777" w:rsidR="002A21AE" w:rsidRDefault="002A21AE">
            <w:pPr>
              <w:pStyle w:val="TableText"/>
            </w:pPr>
            <w:r>
              <w:t>No</w:t>
            </w:r>
          </w:p>
        </w:tc>
      </w:tr>
      <w:tr w:rsidR="002A21AE" w14:paraId="0B53FE79" w14:textId="77777777" w:rsidTr="00A732E0">
        <w:trPr>
          <w:cantSplit/>
        </w:trPr>
        <w:tc>
          <w:tcPr>
            <w:tcW w:w="1373" w:type="dxa"/>
          </w:tcPr>
          <w:p w14:paraId="3797D097" w14:textId="77777777" w:rsidR="002A21AE" w:rsidRDefault="002A21AE" w:rsidP="00CD34EB">
            <w:pPr>
              <w:pStyle w:val="TableText"/>
            </w:pPr>
            <w:r>
              <w:t>Maintenance: Interface Control</w:t>
            </w:r>
          </w:p>
        </w:tc>
        <w:tc>
          <w:tcPr>
            <w:tcW w:w="1979" w:type="dxa"/>
          </w:tcPr>
          <w:p w14:paraId="5629F843" w14:textId="77777777" w:rsidR="002A21AE" w:rsidRDefault="00DE4FF7">
            <w:pPr>
              <w:pStyle w:val="TableText"/>
            </w:pPr>
            <w:r w:rsidRPr="00DE4FF7">
              <w:rPr>
                <w:szCs w:val="18"/>
              </w:rPr>
              <w:t>Configure Interfaces</w:t>
            </w:r>
            <w:r>
              <w:rPr>
                <w:vanish/>
                <w:szCs w:val="18"/>
              </w:rPr>
              <w:t xml:space="preserve"> </w:t>
            </w:r>
            <w:r w:rsidR="002A21AE" w:rsidRPr="00DE4FF7">
              <w:rPr>
                <w:vanish/>
                <w:szCs w:val="18"/>
              </w:rPr>
              <w:t>Define Interface Control Parameters</w:t>
            </w:r>
            <w:r w:rsidRPr="00DE4FF7">
              <w:rPr>
                <w:vanish/>
                <w:szCs w:val="18"/>
              </w:rPr>
              <w:t xml:space="preserve"> MUC_0</w:t>
            </w:r>
            <w:r w:rsidR="00EC2E09">
              <w:rPr>
                <w:vanish/>
                <w:szCs w:val="18"/>
              </w:rPr>
              <w:t>1</w:t>
            </w:r>
          </w:p>
        </w:tc>
        <w:tc>
          <w:tcPr>
            <w:tcW w:w="3470" w:type="dxa"/>
          </w:tcPr>
          <w:p w14:paraId="23260027" w14:textId="77777777" w:rsidR="00BE1AC3" w:rsidRPr="00BE1AC3" w:rsidRDefault="00BE1AC3" w:rsidP="00BE1AC3">
            <w:pPr>
              <w:pStyle w:val="TableText"/>
            </w:pPr>
            <w:r>
              <w:t>For each interface defined:</w:t>
            </w:r>
          </w:p>
          <w:p w14:paraId="03E09B88" w14:textId="77777777" w:rsidR="005773E9" w:rsidRDefault="00BE1AC3" w:rsidP="00A615EC">
            <w:pPr>
              <w:pStyle w:val="TableTextBullet"/>
            </w:pPr>
            <w:r>
              <w:rPr>
                <w:bCs/>
              </w:rPr>
              <w:t>Interface</w:t>
            </w:r>
            <w:r>
              <w:t xml:space="preserve"> </w:t>
            </w:r>
            <w:r w:rsidR="002A21AE">
              <w:t>IP Address</w:t>
            </w:r>
            <w:r w:rsidR="00A615EC">
              <w:t xml:space="preserve"> or Server Name</w:t>
            </w:r>
          </w:p>
          <w:p w14:paraId="5ABB6F32" w14:textId="77777777" w:rsidR="002A21AE" w:rsidRDefault="00BE1AC3">
            <w:pPr>
              <w:pStyle w:val="TableTextBullet"/>
            </w:pPr>
            <w:r>
              <w:rPr>
                <w:bCs/>
              </w:rPr>
              <w:t>Interface</w:t>
            </w:r>
            <w:r>
              <w:t xml:space="preserve"> </w:t>
            </w:r>
            <w:r w:rsidR="002A21AE">
              <w:t>Port Number</w:t>
            </w:r>
          </w:p>
          <w:p w14:paraId="63A5B33E" w14:textId="77777777" w:rsidR="00BE1AC3" w:rsidRDefault="00BE1AC3">
            <w:pPr>
              <w:pStyle w:val="TableTextBullet"/>
            </w:pPr>
            <w:r>
              <w:t>Interface Facility ID</w:t>
            </w:r>
          </w:p>
          <w:p w14:paraId="66DA48CF" w14:textId="77777777" w:rsidR="00BE1AC3" w:rsidRDefault="0009266F" w:rsidP="00A615EC">
            <w:pPr>
              <w:pStyle w:val="TableTextBullet"/>
            </w:pPr>
            <w:r>
              <w:t>Interface Status</w:t>
            </w:r>
          </w:p>
          <w:p w14:paraId="5F280DA1" w14:textId="77777777" w:rsidR="0009266F" w:rsidRDefault="0009266F" w:rsidP="0009266F">
            <w:pPr>
              <w:pStyle w:val="TableTextBullet"/>
              <w:numPr>
                <w:ilvl w:val="0"/>
                <w:numId w:val="0"/>
              </w:numPr>
              <w:ind w:left="288" w:hanging="288"/>
            </w:pPr>
          </w:p>
          <w:p w14:paraId="1E9FD0ED" w14:textId="77777777" w:rsidR="0013678B" w:rsidRDefault="0013678B" w:rsidP="0013678B">
            <w:pPr>
              <w:pStyle w:val="TableTextBullet"/>
              <w:numPr>
                <w:ilvl w:val="0"/>
                <w:numId w:val="0"/>
              </w:numPr>
              <w:ind w:left="288" w:hanging="288"/>
            </w:pPr>
            <w:r>
              <w:t>Common Interface settings</w:t>
            </w:r>
          </w:p>
          <w:p w14:paraId="741EDC1A" w14:textId="77777777" w:rsidR="00BE1AC3" w:rsidRDefault="0009266F" w:rsidP="00B85891">
            <w:pPr>
              <w:pStyle w:val="TableTextBullet"/>
            </w:pPr>
            <w:r>
              <w:t>VBECS IP Address or Server Name</w:t>
            </w:r>
          </w:p>
          <w:p w14:paraId="5EEEC0A3" w14:textId="77777777" w:rsidR="0009266F" w:rsidRDefault="0009266F" w:rsidP="00B85891">
            <w:pPr>
              <w:pStyle w:val="TableTextBullet"/>
            </w:pPr>
            <w:r>
              <w:t>VBECS Port Number</w:t>
            </w:r>
          </w:p>
          <w:p w14:paraId="08611C56" w14:textId="77777777" w:rsidR="002A21AE" w:rsidRDefault="002A21AE">
            <w:pPr>
              <w:pStyle w:val="TableTextBullet"/>
            </w:pPr>
            <w:r>
              <w:t>Ack Timeout</w:t>
            </w:r>
          </w:p>
          <w:p w14:paraId="1088D108" w14:textId="77777777" w:rsidR="002A21AE" w:rsidRDefault="002A21AE">
            <w:pPr>
              <w:pStyle w:val="TableTextBullet"/>
            </w:pPr>
            <w:r>
              <w:t xml:space="preserve">Retransmit Attempts </w:t>
            </w:r>
          </w:p>
          <w:p w14:paraId="6BC7E5D0" w14:textId="77777777" w:rsidR="00ED67B4" w:rsidRDefault="002A21AE" w:rsidP="0009266F">
            <w:pPr>
              <w:pStyle w:val="TableTextBullet"/>
            </w:pPr>
            <w:r>
              <w:t>Interface Administrator Email</w:t>
            </w:r>
          </w:p>
        </w:tc>
        <w:tc>
          <w:tcPr>
            <w:tcW w:w="1243" w:type="dxa"/>
          </w:tcPr>
          <w:p w14:paraId="6EC84875" w14:textId="77777777" w:rsidR="002A21AE" w:rsidRDefault="002A21AE">
            <w:pPr>
              <w:pStyle w:val="TableText"/>
            </w:pPr>
            <w:r>
              <w:t>No</w:t>
            </w:r>
          </w:p>
        </w:tc>
        <w:tc>
          <w:tcPr>
            <w:tcW w:w="1295" w:type="dxa"/>
          </w:tcPr>
          <w:p w14:paraId="14909FED" w14:textId="77777777" w:rsidR="002A21AE" w:rsidRDefault="002A21AE">
            <w:pPr>
              <w:pStyle w:val="TableText"/>
            </w:pPr>
            <w:r>
              <w:t>No</w:t>
            </w:r>
          </w:p>
        </w:tc>
      </w:tr>
    </w:tbl>
    <w:p w14:paraId="3056245A" w14:textId="77777777" w:rsidR="002A21AE" w:rsidRDefault="002A21AE">
      <w:pPr>
        <w:pStyle w:val="Heading3"/>
        <w:sectPr w:rsidR="002A21AE" w:rsidSect="00667BEE">
          <w:pgSz w:w="12240" w:h="15840" w:code="1"/>
          <w:pgMar w:top="1440" w:right="1440" w:bottom="1440" w:left="1440" w:header="720" w:footer="720" w:gutter="0"/>
          <w:cols w:space="720"/>
          <w:docGrid w:linePitch="360"/>
        </w:sectPr>
      </w:pPr>
    </w:p>
    <w:p w14:paraId="73BD539A" w14:textId="77777777" w:rsidR="002A21AE" w:rsidRDefault="002A21AE">
      <w:pPr>
        <w:pStyle w:val="Heading3"/>
      </w:pPr>
      <w:r>
        <w:rPr>
          <w:rFonts w:ascii="Geneva" w:hAnsi="Geneva"/>
          <w:vanish/>
        </w:rPr>
        <w:lastRenderedPageBreak/>
        <w:t xml:space="preserve">TT_82.01 </w:t>
      </w:r>
      <w:bookmarkStart w:id="757" w:name="_Toc47516814"/>
      <w:r>
        <w:t>Details in Exception Report</w:t>
      </w:r>
      <w:bookmarkEnd w:id="757"/>
      <w:r>
        <w:fldChar w:fldCharType="begin"/>
      </w:r>
      <w:r>
        <w:instrText xml:space="preserve"> XE </w:instrText>
      </w:r>
      <w:r w:rsidR="00FA7E65">
        <w:instrText>“</w:instrText>
      </w:r>
      <w:r>
        <w:instrText>Tables:Details in Exception Report</w:instrText>
      </w:r>
      <w:r w:rsidR="00FA7E65">
        <w:instrText>”</w:instrText>
      </w:r>
      <w:r>
        <w:instrText xml:space="preserve"> </w:instrText>
      </w:r>
      <w:r>
        <w:fldChar w:fldCharType="end"/>
      </w:r>
    </w:p>
    <w:p w14:paraId="413D4304" w14:textId="4C15DDA1" w:rsidR="002A21AE" w:rsidRDefault="003C5356" w:rsidP="00FA7E65">
      <w:pPr>
        <w:pStyle w:val="BodyText"/>
      </w:pPr>
      <w:r>
        <w:fldChar w:fldCharType="begin"/>
      </w:r>
      <w:r>
        <w:instrText xml:space="preserve"> REF _Ref126732272 \h </w:instrText>
      </w:r>
      <w:r>
        <w:fldChar w:fldCharType="separate"/>
      </w:r>
      <w:r w:rsidR="004353ED">
        <w:t xml:space="preserve">Table </w:t>
      </w:r>
      <w:r w:rsidR="004353ED">
        <w:rPr>
          <w:noProof/>
        </w:rPr>
        <w:t>21</w:t>
      </w:r>
      <w:r>
        <w:fldChar w:fldCharType="end"/>
      </w:r>
      <w:r w:rsidR="002A21AE">
        <w:t xml:space="preserve"> </w:t>
      </w:r>
      <w:r w:rsidR="008D0E7B">
        <w:t>lists exception types and the reports in which they appear.</w:t>
      </w:r>
    </w:p>
    <w:p w14:paraId="6640C4E5" w14:textId="64B1C223" w:rsidR="002A21AE" w:rsidRDefault="002A21AE">
      <w:pPr>
        <w:pStyle w:val="Caption"/>
      </w:pPr>
      <w:bookmarkStart w:id="758" w:name="_Ref126732272"/>
      <w:bookmarkStart w:id="759" w:name="_Toc97523638"/>
      <w:bookmarkStart w:id="760" w:name="_Toc97527608"/>
      <w:bookmarkStart w:id="761" w:name="_Ref126504543"/>
      <w:bookmarkStart w:id="762" w:name="_Ref12650462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21</w:t>
      </w:r>
      <w:r w:rsidR="004E20BD">
        <w:rPr>
          <w:noProof/>
        </w:rPr>
        <w:fldChar w:fldCharType="end"/>
      </w:r>
      <w:bookmarkEnd w:id="758"/>
      <w:r>
        <w:t xml:space="preserve">: </w:t>
      </w:r>
      <w:r>
        <w:rPr>
          <w:vanish/>
        </w:rPr>
        <w:t xml:space="preserve">TT_82.01 </w:t>
      </w:r>
      <w:r>
        <w:t>Details in Exception Report</w:t>
      </w:r>
      <w:bookmarkEnd w:id="759"/>
      <w:bookmarkEnd w:id="760"/>
      <w:bookmarkEnd w:id="761"/>
      <w:bookmarkEnd w:id="762"/>
    </w:p>
    <w:tbl>
      <w:tblPr>
        <w:tblW w:w="10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710"/>
        <w:gridCol w:w="2520"/>
        <w:gridCol w:w="1417"/>
        <w:gridCol w:w="1530"/>
      </w:tblGrid>
      <w:tr w:rsidR="00C045C1" w14:paraId="491D7F2D" w14:textId="77777777" w:rsidTr="006F58C9">
        <w:trPr>
          <w:cantSplit/>
          <w:tblHeader/>
        </w:trPr>
        <w:tc>
          <w:tcPr>
            <w:tcW w:w="3235" w:type="dxa"/>
            <w:vMerge w:val="restart"/>
            <w:shd w:val="clear" w:color="auto" w:fill="B3B3B3"/>
            <w:vAlign w:val="bottom"/>
          </w:tcPr>
          <w:p w14:paraId="5DCE7A3A" w14:textId="77777777" w:rsidR="00C045C1" w:rsidRDefault="00C045C1" w:rsidP="00C045C1">
            <w:pPr>
              <w:pStyle w:val="TableText"/>
              <w:rPr>
                <w:rFonts w:ascii="Symbol" w:eastAsia="Symbol" w:hAnsi="Symbol"/>
                <w:b/>
              </w:rPr>
            </w:pPr>
            <w:r>
              <w:rPr>
                <w:b/>
              </w:rPr>
              <w:t>Exception Type</w:t>
            </w:r>
          </w:p>
        </w:tc>
        <w:tc>
          <w:tcPr>
            <w:tcW w:w="1710" w:type="dxa"/>
            <w:vMerge w:val="restart"/>
            <w:shd w:val="clear" w:color="auto" w:fill="B3B3B3"/>
            <w:vAlign w:val="bottom"/>
          </w:tcPr>
          <w:p w14:paraId="5533F8A2" w14:textId="77777777" w:rsidR="00C045C1" w:rsidRPr="0095633D" w:rsidRDefault="00C045C1" w:rsidP="00C045C1">
            <w:pPr>
              <w:pStyle w:val="TableText"/>
              <w:rPr>
                <w:rFonts w:eastAsia="Symbol" w:cs="Arial"/>
                <w:b/>
              </w:rPr>
            </w:pPr>
            <w:r>
              <w:rPr>
                <w:rFonts w:eastAsia="Symbol" w:cs="Arial"/>
                <w:b/>
              </w:rPr>
              <w:t>Available to Role</w:t>
            </w:r>
          </w:p>
        </w:tc>
        <w:tc>
          <w:tcPr>
            <w:tcW w:w="2520" w:type="dxa"/>
            <w:vMerge w:val="restart"/>
            <w:shd w:val="clear" w:color="auto" w:fill="B3B3B3"/>
            <w:vAlign w:val="bottom"/>
          </w:tcPr>
          <w:p w14:paraId="45D63877" w14:textId="77777777" w:rsidR="00C045C1" w:rsidRPr="00A7231C" w:rsidRDefault="00C045C1" w:rsidP="00C045C1">
            <w:pPr>
              <w:pStyle w:val="TableText"/>
              <w:rPr>
                <w:rFonts w:eastAsia="Symbol" w:cs="Arial"/>
                <w:b/>
              </w:rPr>
            </w:pPr>
            <w:r>
              <w:rPr>
                <w:rFonts w:eastAsia="Symbol" w:cs="Arial"/>
                <w:b/>
              </w:rPr>
              <w:t>Available in Option</w:t>
            </w:r>
          </w:p>
        </w:tc>
        <w:tc>
          <w:tcPr>
            <w:tcW w:w="2947" w:type="dxa"/>
            <w:gridSpan w:val="2"/>
            <w:shd w:val="clear" w:color="auto" w:fill="B3B3B3"/>
          </w:tcPr>
          <w:p w14:paraId="4641105C" w14:textId="77777777" w:rsidR="00C045C1" w:rsidRDefault="00C045C1" w:rsidP="0058499D">
            <w:pPr>
              <w:pStyle w:val="TableText"/>
              <w:jc w:val="center"/>
              <w:rPr>
                <w:rFonts w:eastAsia="Symbol"/>
                <w:b/>
                <w:bCs/>
              </w:rPr>
            </w:pPr>
            <w:r>
              <w:rPr>
                <w:rFonts w:eastAsia="Symbol"/>
                <w:b/>
                <w:bCs/>
              </w:rPr>
              <w:t>Accessible in:</w:t>
            </w:r>
          </w:p>
        </w:tc>
      </w:tr>
      <w:tr w:rsidR="00C045C1" w14:paraId="7511D216" w14:textId="77777777" w:rsidTr="006F58C9">
        <w:trPr>
          <w:cantSplit/>
          <w:tblHeader/>
        </w:trPr>
        <w:tc>
          <w:tcPr>
            <w:tcW w:w="3235" w:type="dxa"/>
            <w:vMerge/>
            <w:shd w:val="clear" w:color="auto" w:fill="C0C0C0"/>
          </w:tcPr>
          <w:p w14:paraId="0BA4AE74" w14:textId="77777777" w:rsidR="00C045C1" w:rsidRDefault="00C045C1" w:rsidP="00C045C1">
            <w:pPr>
              <w:pStyle w:val="TableText"/>
              <w:rPr>
                <w:b/>
              </w:rPr>
            </w:pPr>
          </w:p>
        </w:tc>
        <w:tc>
          <w:tcPr>
            <w:tcW w:w="1710" w:type="dxa"/>
            <w:vMerge/>
            <w:shd w:val="clear" w:color="auto" w:fill="C0C0C0"/>
          </w:tcPr>
          <w:p w14:paraId="47C54818" w14:textId="77777777" w:rsidR="00C045C1" w:rsidRDefault="00C045C1" w:rsidP="00C045C1">
            <w:pPr>
              <w:pStyle w:val="TableText"/>
              <w:rPr>
                <w:b/>
              </w:rPr>
            </w:pPr>
          </w:p>
        </w:tc>
        <w:tc>
          <w:tcPr>
            <w:tcW w:w="2520" w:type="dxa"/>
            <w:vMerge/>
            <w:shd w:val="clear" w:color="auto" w:fill="C0C0C0"/>
          </w:tcPr>
          <w:p w14:paraId="766BA425" w14:textId="77777777" w:rsidR="00C045C1" w:rsidRDefault="00C045C1" w:rsidP="00C045C1">
            <w:pPr>
              <w:pStyle w:val="TableText"/>
              <w:rPr>
                <w:b/>
              </w:rPr>
            </w:pPr>
          </w:p>
        </w:tc>
        <w:tc>
          <w:tcPr>
            <w:tcW w:w="1417" w:type="dxa"/>
            <w:shd w:val="clear" w:color="auto" w:fill="B3B3B3"/>
          </w:tcPr>
          <w:p w14:paraId="1A852112" w14:textId="77777777" w:rsidR="00C045C1" w:rsidRDefault="00C045C1" w:rsidP="00C045C1">
            <w:pPr>
              <w:pStyle w:val="TableText"/>
              <w:rPr>
                <w:rFonts w:eastAsia="Symbol"/>
                <w:b/>
                <w:bCs/>
              </w:rPr>
            </w:pPr>
            <w:r>
              <w:rPr>
                <w:rFonts w:eastAsia="Symbol"/>
                <w:b/>
                <w:bCs/>
              </w:rPr>
              <w:t>Unit History Report?</w:t>
            </w:r>
          </w:p>
        </w:tc>
        <w:tc>
          <w:tcPr>
            <w:tcW w:w="1530" w:type="dxa"/>
            <w:shd w:val="clear" w:color="auto" w:fill="B3B3B3"/>
          </w:tcPr>
          <w:p w14:paraId="00526C4F" w14:textId="77777777" w:rsidR="00C045C1" w:rsidRDefault="00C045C1" w:rsidP="00C045C1">
            <w:pPr>
              <w:pStyle w:val="TableText"/>
              <w:rPr>
                <w:rFonts w:eastAsia="Symbol"/>
                <w:b/>
                <w:bCs/>
              </w:rPr>
            </w:pPr>
            <w:r>
              <w:rPr>
                <w:rFonts w:eastAsia="Symbol"/>
                <w:b/>
                <w:bCs/>
              </w:rPr>
              <w:t>Patient History Report?</w:t>
            </w:r>
          </w:p>
        </w:tc>
      </w:tr>
      <w:tr w:rsidR="00C045C1" w14:paraId="4E1AA96A" w14:textId="77777777" w:rsidTr="006F58C9">
        <w:trPr>
          <w:cantSplit/>
        </w:trPr>
        <w:tc>
          <w:tcPr>
            <w:tcW w:w="3235" w:type="dxa"/>
          </w:tcPr>
          <w:p w14:paraId="47B58975" w14:textId="77777777" w:rsidR="00C045C1" w:rsidRDefault="00C045C1" w:rsidP="00C045C1">
            <w:pPr>
              <w:pStyle w:val="TableText"/>
            </w:pPr>
            <w:r>
              <w:t>ABO discrepant unit issue</w:t>
            </w:r>
          </w:p>
        </w:tc>
        <w:tc>
          <w:tcPr>
            <w:tcW w:w="1710" w:type="dxa"/>
          </w:tcPr>
          <w:p w14:paraId="1A673249" w14:textId="77777777" w:rsidR="00C045C1" w:rsidRDefault="00C045C1" w:rsidP="00C045C1">
            <w:pPr>
              <w:pStyle w:val="TableText"/>
            </w:pPr>
            <w:r>
              <w:t>All</w:t>
            </w:r>
          </w:p>
        </w:tc>
        <w:tc>
          <w:tcPr>
            <w:tcW w:w="2520" w:type="dxa"/>
          </w:tcPr>
          <w:p w14:paraId="0400D9C3" w14:textId="77777777" w:rsidR="00C045C1" w:rsidRDefault="00C045C1" w:rsidP="00C045C1">
            <w:pPr>
              <w:pStyle w:val="TableText"/>
            </w:pPr>
            <w:r>
              <w:t>Issue Unit</w:t>
            </w:r>
          </w:p>
        </w:tc>
        <w:tc>
          <w:tcPr>
            <w:tcW w:w="1417" w:type="dxa"/>
          </w:tcPr>
          <w:p w14:paraId="2FAECD01" w14:textId="77777777" w:rsidR="00C045C1" w:rsidRDefault="00C045C1" w:rsidP="00C045C1">
            <w:pPr>
              <w:pStyle w:val="TableText"/>
            </w:pPr>
            <w:r>
              <w:t>No</w:t>
            </w:r>
          </w:p>
        </w:tc>
        <w:tc>
          <w:tcPr>
            <w:tcW w:w="1530" w:type="dxa"/>
          </w:tcPr>
          <w:p w14:paraId="5FFB7DEC" w14:textId="77777777" w:rsidR="00C045C1" w:rsidRDefault="00C045C1" w:rsidP="00C045C1">
            <w:pPr>
              <w:pStyle w:val="TableText"/>
            </w:pPr>
            <w:r>
              <w:rPr>
                <w:rFonts w:eastAsia="Symbol"/>
              </w:rPr>
              <w:t>Yes</w:t>
            </w:r>
          </w:p>
        </w:tc>
      </w:tr>
      <w:tr w:rsidR="00C045C1" w14:paraId="40048133" w14:textId="77777777" w:rsidTr="006F58C9">
        <w:trPr>
          <w:cantSplit/>
        </w:trPr>
        <w:tc>
          <w:tcPr>
            <w:tcW w:w="3235" w:type="dxa"/>
          </w:tcPr>
          <w:p w14:paraId="4A9416B1" w14:textId="24F067C9" w:rsidR="00C045C1" w:rsidRDefault="00C045C1" w:rsidP="00C045C1">
            <w:pPr>
              <w:pStyle w:val="TableText"/>
            </w:pPr>
            <w:r>
              <w:t xml:space="preserve">ABO </w:t>
            </w:r>
            <w:r w:rsidR="00271FB6">
              <w:t>incompatible unit transfused</w:t>
            </w:r>
          </w:p>
        </w:tc>
        <w:tc>
          <w:tcPr>
            <w:tcW w:w="1710" w:type="dxa"/>
          </w:tcPr>
          <w:p w14:paraId="2E375812" w14:textId="77777777" w:rsidR="00C045C1" w:rsidRPr="0095633D" w:rsidRDefault="00C045C1" w:rsidP="00C045C1">
            <w:pPr>
              <w:pStyle w:val="TableText"/>
            </w:pPr>
            <w:r>
              <w:rPr>
                <w:u w:val="single"/>
              </w:rPr>
              <w:t>&gt;</w:t>
            </w:r>
            <w:r>
              <w:t xml:space="preserve"> Traditional Supervisor</w:t>
            </w:r>
          </w:p>
        </w:tc>
        <w:tc>
          <w:tcPr>
            <w:tcW w:w="2520" w:type="dxa"/>
          </w:tcPr>
          <w:p w14:paraId="1C3A873A" w14:textId="77777777" w:rsidR="00C045C1" w:rsidRDefault="00C045C1" w:rsidP="00C045C1">
            <w:pPr>
              <w:pStyle w:val="TableText"/>
            </w:pPr>
            <w:r>
              <w:t>Document ABO Incompatible Transfusion</w:t>
            </w:r>
          </w:p>
        </w:tc>
        <w:tc>
          <w:tcPr>
            <w:tcW w:w="1417" w:type="dxa"/>
          </w:tcPr>
          <w:p w14:paraId="0C628A00" w14:textId="35CA3D45" w:rsidR="00C045C1" w:rsidRDefault="00271FB6" w:rsidP="00C045C1">
            <w:pPr>
              <w:pStyle w:val="TableText"/>
            </w:pPr>
            <w:r>
              <w:t>Yes</w:t>
            </w:r>
          </w:p>
        </w:tc>
        <w:tc>
          <w:tcPr>
            <w:tcW w:w="1530" w:type="dxa"/>
          </w:tcPr>
          <w:p w14:paraId="3B54D1E1" w14:textId="77777777" w:rsidR="00C045C1" w:rsidRDefault="00C045C1" w:rsidP="00C045C1">
            <w:pPr>
              <w:pStyle w:val="TableText"/>
            </w:pPr>
            <w:r>
              <w:rPr>
                <w:rFonts w:eastAsia="Symbol"/>
              </w:rPr>
              <w:t>Yes</w:t>
            </w:r>
          </w:p>
        </w:tc>
      </w:tr>
      <w:tr w:rsidR="00C045C1" w14:paraId="0DF3236B" w14:textId="77777777" w:rsidTr="006F58C9">
        <w:trPr>
          <w:cantSplit/>
        </w:trPr>
        <w:tc>
          <w:tcPr>
            <w:tcW w:w="3235" w:type="dxa"/>
          </w:tcPr>
          <w:p w14:paraId="3E82DFDB" w14:textId="77777777" w:rsidR="00C045C1" w:rsidRDefault="00C045C1" w:rsidP="00C045C1">
            <w:pPr>
              <w:pStyle w:val="TableText"/>
              <w:rPr>
                <w:rFonts w:eastAsia="Symbol"/>
              </w:rPr>
            </w:pPr>
            <w:r>
              <w:t>Antigen positive unit selected</w:t>
            </w:r>
          </w:p>
        </w:tc>
        <w:tc>
          <w:tcPr>
            <w:tcW w:w="1710" w:type="dxa"/>
          </w:tcPr>
          <w:p w14:paraId="3DD2AA6D" w14:textId="77777777" w:rsidR="00C045C1" w:rsidRDefault="00C045C1" w:rsidP="00C045C1">
            <w:pPr>
              <w:pStyle w:val="TableText"/>
              <w:rPr>
                <w:rFonts w:eastAsia="Symbol"/>
              </w:rPr>
            </w:pPr>
            <w:r>
              <w:rPr>
                <w:u w:val="single"/>
              </w:rPr>
              <w:t>&gt;</w:t>
            </w:r>
            <w:r>
              <w:t xml:space="preserve"> Lead Tech</w:t>
            </w:r>
          </w:p>
        </w:tc>
        <w:tc>
          <w:tcPr>
            <w:tcW w:w="2520" w:type="dxa"/>
          </w:tcPr>
          <w:p w14:paraId="55E0F794" w14:textId="77777777" w:rsidR="00C045C1" w:rsidRDefault="00C045C1" w:rsidP="00C045C1">
            <w:pPr>
              <w:pStyle w:val="TableText"/>
              <w:rPr>
                <w:rFonts w:eastAsia="Symbol"/>
              </w:rPr>
            </w:pPr>
            <w:r>
              <w:rPr>
                <w:rFonts w:eastAsia="Symbol"/>
              </w:rPr>
              <w:t>Select Unit</w:t>
            </w:r>
          </w:p>
        </w:tc>
        <w:tc>
          <w:tcPr>
            <w:tcW w:w="1417" w:type="dxa"/>
          </w:tcPr>
          <w:p w14:paraId="3286DCC1" w14:textId="77777777" w:rsidR="00C045C1" w:rsidRDefault="00C045C1" w:rsidP="00C045C1">
            <w:pPr>
              <w:pStyle w:val="TableText"/>
              <w:rPr>
                <w:rFonts w:eastAsia="Symbol"/>
              </w:rPr>
            </w:pPr>
            <w:r>
              <w:t>No</w:t>
            </w:r>
          </w:p>
        </w:tc>
        <w:tc>
          <w:tcPr>
            <w:tcW w:w="1530" w:type="dxa"/>
          </w:tcPr>
          <w:p w14:paraId="7ACFB8D8" w14:textId="77777777" w:rsidR="00C045C1" w:rsidRDefault="00C045C1" w:rsidP="00C045C1">
            <w:pPr>
              <w:pStyle w:val="TableText"/>
              <w:rPr>
                <w:rFonts w:eastAsia="Symbol"/>
              </w:rPr>
            </w:pPr>
            <w:r>
              <w:t>Yes</w:t>
            </w:r>
          </w:p>
        </w:tc>
      </w:tr>
      <w:tr w:rsidR="006D698E" w14:paraId="562C8B31" w14:textId="77777777" w:rsidTr="006F58C9">
        <w:trPr>
          <w:cantSplit/>
        </w:trPr>
        <w:tc>
          <w:tcPr>
            <w:tcW w:w="3235" w:type="dxa"/>
          </w:tcPr>
          <w:p w14:paraId="6FDACC31" w14:textId="77777777" w:rsidR="006D698E" w:rsidRDefault="006D698E" w:rsidP="00F06C4A">
            <w:pPr>
              <w:pStyle w:val="TableText"/>
            </w:pPr>
            <w:r>
              <w:t>Antigen positive/untested units issued</w:t>
            </w:r>
          </w:p>
        </w:tc>
        <w:tc>
          <w:tcPr>
            <w:tcW w:w="1710" w:type="dxa"/>
          </w:tcPr>
          <w:p w14:paraId="37D85848" w14:textId="77777777" w:rsidR="006D698E" w:rsidRDefault="006D698E" w:rsidP="00F06C4A">
            <w:pPr>
              <w:pStyle w:val="TableText"/>
            </w:pPr>
            <w:r>
              <w:rPr>
                <w:u w:val="single"/>
              </w:rPr>
              <w:t>&gt;</w:t>
            </w:r>
            <w:r>
              <w:t xml:space="preserve"> Lead Tech</w:t>
            </w:r>
          </w:p>
        </w:tc>
        <w:tc>
          <w:tcPr>
            <w:tcW w:w="2520" w:type="dxa"/>
          </w:tcPr>
          <w:p w14:paraId="01BF8BF7" w14:textId="77777777" w:rsidR="006D698E" w:rsidRDefault="006D698E" w:rsidP="00F06C4A">
            <w:pPr>
              <w:pStyle w:val="TableText"/>
            </w:pPr>
            <w:r>
              <w:t>Issue Blood</w:t>
            </w:r>
          </w:p>
        </w:tc>
        <w:tc>
          <w:tcPr>
            <w:tcW w:w="1417" w:type="dxa"/>
          </w:tcPr>
          <w:p w14:paraId="2C6932FC" w14:textId="77777777" w:rsidR="006D698E" w:rsidRDefault="006D698E" w:rsidP="00F06C4A">
            <w:pPr>
              <w:pStyle w:val="TableText"/>
            </w:pPr>
            <w:r>
              <w:t>No</w:t>
            </w:r>
          </w:p>
        </w:tc>
        <w:tc>
          <w:tcPr>
            <w:tcW w:w="1530" w:type="dxa"/>
          </w:tcPr>
          <w:p w14:paraId="5AD5C67D" w14:textId="77777777" w:rsidR="006D698E" w:rsidRDefault="006D698E" w:rsidP="00F06C4A">
            <w:pPr>
              <w:pStyle w:val="TableText"/>
            </w:pPr>
            <w:r>
              <w:rPr>
                <w:rFonts w:eastAsia="Symbol"/>
              </w:rPr>
              <w:t>Yes</w:t>
            </w:r>
          </w:p>
        </w:tc>
      </w:tr>
      <w:tr w:rsidR="00C045C1" w14:paraId="1D52BD2A" w14:textId="77777777" w:rsidTr="006F58C9">
        <w:trPr>
          <w:cantSplit/>
        </w:trPr>
        <w:tc>
          <w:tcPr>
            <w:tcW w:w="3235" w:type="dxa"/>
          </w:tcPr>
          <w:p w14:paraId="43A2778B" w14:textId="77777777" w:rsidR="00C045C1" w:rsidRDefault="00C045C1" w:rsidP="00C045C1">
            <w:pPr>
              <w:pStyle w:val="TableText"/>
            </w:pPr>
            <w:r>
              <w:t>Antigen testing phase change</w:t>
            </w:r>
          </w:p>
        </w:tc>
        <w:tc>
          <w:tcPr>
            <w:tcW w:w="1710" w:type="dxa"/>
          </w:tcPr>
          <w:p w14:paraId="4AD0E7C3" w14:textId="77777777" w:rsidR="00C045C1" w:rsidRDefault="00C045C1" w:rsidP="00C045C1">
            <w:pPr>
              <w:pStyle w:val="TableText"/>
            </w:pPr>
            <w:r>
              <w:t>All</w:t>
            </w:r>
          </w:p>
        </w:tc>
        <w:tc>
          <w:tcPr>
            <w:tcW w:w="2520" w:type="dxa"/>
          </w:tcPr>
          <w:p w14:paraId="4B57FCA1" w14:textId="77777777" w:rsidR="00C045C1" w:rsidRDefault="00C045C1" w:rsidP="00C045C1">
            <w:pPr>
              <w:pStyle w:val="TableText"/>
            </w:pPr>
            <w:r>
              <w:t xml:space="preserve">Unit or Patient Antigen typing </w:t>
            </w:r>
          </w:p>
        </w:tc>
        <w:tc>
          <w:tcPr>
            <w:tcW w:w="1417" w:type="dxa"/>
          </w:tcPr>
          <w:p w14:paraId="09838FB2" w14:textId="77777777" w:rsidR="00C045C1" w:rsidRDefault="00C045C1" w:rsidP="00C045C1">
            <w:pPr>
              <w:pStyle w:val="TableText"/>
              <w:rPr>
                <w:rFonts w:eastAsia="Symbol"/>
              </w:rPr>
            </w:pPr>
            <w:r>
              <w:rPr>
                <w:rFonts w:eastAsia="Symbol"/>
              </w:rPr>
              <w:t>Yes (Antigen Typing)</w:t>
            </w:r>
          </w:p>
        </w:tc>
        <w:tc>
          <w:tcPr>
            <w:tcW w:w="1530" w:type="dxa"/>
          </w:tcPr>
          <w:p w14:paraId="172C6606" w14:textId="77777777" w:rsidR="00C045C1" w:rsidRDefault="00C045C1" w:rsidP="00C045C1">
            <w:pPr>
              <w:pStyle w:val="TableText"/>
              <w:rPr>
                <w:rFonts w:eastAsia="Symbol"/>
              </w:rPr>
            </w:pPr>
            <w:r>
              <w:rPr>
                <w:rFonts w:eastAsia="Symbol"/>
              </w:rPr>
              <w:t>Yes (Patient Testing: Record a Patient Antigen Typing)</w:t>
            </w:r>
          </w:p>
        </w:tc>
      </w:tr>
      <w:tr w:rsidR="00C045C1" w14:paraId="53B36E45" w14:textId="77777777" w:rsidTr="006F58C9">
        <w:trPr>
          <w:cantSplit/>
        </w:trPr>
        <w:tc>
          <w:tcPr>
            <w:tcW w:w="3235" w:type="dxa"/>
          </w:tcPr>
          <w:p w14:paraId="2607A31F" w14:textId="77777777" w:rsidR="00C045C1" w:rsidRDefault="00C045C1" w:rsidP="00C045C1">
            <w:pPr>
              <w:pStyle w:val="TableText"/>
            </w:pPr>
            <w:r>
              <w:t>Biohazardous unit issued</w:t>
            </w:r>
          </w:p>
        </w:tc>
        <w:tc>
          <w:tcPr>
            <w:tcW w:w="1710" w:type="dxa"/>
          </w:tcPr>
          <w:p w14:paraId="0E099510" w14:textId="77777777" w:rsidR="00C045C1" w:rsidRDefault="00C045C1" w:rsidP="00C045C1">
            <w:pPr>
              <w:pStyle w:val="TableText"/>
            </w:pPr>
            <w:r>
              <w:t>All</w:t>
            </w:r>
          </w:p>
        </w:tc>
        <w:tc>
          <w:tcPr>
            <w:tcW w:w="2520" w:type="dxa"/>
          </w:tcPr>
          <w:p w14:paraId="20A82E27" w14:textId="77777777" w:rsidR="00C045C1" w:rsidRDefault="00C045C1" w:rsidP="00C045C1">
            <w:pPr>
              <w:pStyle w:val="TableText"/>
            </w:pPr>
            <w:r>
              <w:t>Issue Blood</w:t>
            </w:r>
          </w:p>
        </w:tc>
        <w:tc>
          <w:tcPr>
            <w:tcW w:w="1417" w:type="dxa"/>
          </w:tcPr>
          <w:p w14:paraId="6EFF4F81" w14:textId="77777777" w:rsidR="00C045C1" w:rsidRDefault="00C045C1" w:rsidP="00C045C1">
            <w:pPr>
              <w:pStyle w:val="TableText"/>
            </w:pPr>
            <w:r>
              <w:t>No</w:t>
            </w:r>
          </w:p>
        </w:tc>
        <w:tc>
          <w:tcPr>
            <w:tcW w:w="1530" w:type="dxa"/>
          </w:tcPr>
          <w:p w14:paraId="5399F0B0" w14:textId="77777777" w:rsidR="00C045C1" w:rsidRDefault="00C045C1" w:rsidP="00C045C1">
            <w:pPr>
              <w:pStyle w:val="TableText"/>
            </w:pPr>
            <w:r>
              <w:rPr>
                <w:rFonts w:eastAsia="Symbol"/>
              </w:rPr>
              <w:t>Yes</w:t>
            </w:r>
          </w:p>
        </w:tc>
      </w:tr>
      <w:tr w:rsidR="00C045C1" w14:paraId="7F8CF5E3" w14:textId="77777777" w:rsidTr="006F58C9">
        <w:trPr>
          <w:cantSplit/>
        </w:trPr>
        <w:tc>
          <w:tcPr>
            <w:tcW w:w="3235" w:type="dxa"/>
          </w:tcPr>
          <w:p w14:paraId="259A4135" w14:textId="77777777" w:rsidR="00C045C1" w:rsidRDefault="00C045C1" w:rsidP="00C045C1">
            <w:pPr>
              <w:pStyle w:val="TableText"/>
              <w:rPr>
                <w:rFonts w:eastAsia="Symbol"/>
              </w:rPr>
            </w:pPr>
            <w:r>
              <w:t>Biohazardous unit modified</w:t>
            </w:r>
          </w:p>
        </w:tc>
        <w:tc>
          <w:tcPr>
            <w:tcW w:w="1710" w:type="dxa"/>
          </w:tcPr>
          <w:p w14:paraId="29C45690" w14:textId="77777777" w:rsidR="00C045C1" w:rsidRDefault="00C045C1" w:rsidP="00C045C1">
            <w:pPr>
              <w:pStyle w:val="TableText"/>
              <w:rPr>
                <w:rFonts w:eastAsia="Symbol"/>
              </w:rPr>
            </w:pPr>
            <w:r>
              <w:t>All</w:t>
            </w:r>
          </w:p>
        </w:tc>
        <w:tc>
          <w:tcPr>
            <w:tcW w:w="2520" w:type="dxa"/>
          </w:tcPr>
          <w:p w14:paraId="6C3990A7" w14:textId="77777777" w:rsidR="00C045C1" w:rsidRDefault="00C045C1" w:rsidP="00C045C1">
            <w:pPr>
              <w:pStyle w:val="TableText"/>
              <w:rPr>
                <w:rFonts w:eastAsia="Symbol"/>
              </w:rPr>
            </w:pPr>
            <w:r>
              <w:rPr>
                <w:rFonts w:eastAsia="Symbol"/>
              </w:rPr>
              <w:t>Modification</w:t>
            </w:r>
          </w:p>
        </w:tc>
        <w:tc>
          <w:tcPr>
            <w:tcW w:w="1417" w:type="dxa"/>
          </w:tcPr>
          <w:p w14:paraId="776F354D" w14:textId="77777777" w:rsidR="00C045C1" w:rsidRDefault="00C045C1" w:rsidP="00C045C1">
            <w:pPr>
              <w:pStyle w:val="TableText"/>
              <w:rPr>
                <w:rFonts w:eastAsia="Symbol"/>
              </w:rPr>
            </w:pPr>
            <w:r>
              <w:t>Yes</w:t>
            </w:r>
          </w:p>
        </w:tc>
        <w:tc>
          <w:tcPr>
            <w:tcW w:w="1530" w:type="dxa"/>
          </w:tcPr>
          <w:p w14:paraId="005CB4B3" w14:textId="77777777" w:rsidR="00C045C1" w:rsidRDefault="00C045C1" w:rsidP="00C045C1">
            <w:pPr>
              <w:pStyle w:val="TableText"/>
              <w:rPr>
                <w:rFonts w:eastAsia="Symbol"/>
              </w:rPr>
            </w:pPr>
            <w:r>
              <w:t>No</w:t>
            </w:r>
          </w:p>
        </w:tc>
      </w:tr>
      <w:tr w:rsidR="00C045C1" w14:paraId="4D175D2B" w14:textId="77777777" w:rsidTr="006F58C9">
        <w:trPr>
          <w:cantSplit/>
        </w:trPr>
        <w:tc>
          <w:tcPr>
            <w:tcW w:w="3235" w:type="dxa"/>
          </w:tcPr>
          <w:p w14:paraId="5DC214E1" w14:textId="77777777" w:rsidR="00C045C1" w:rsidRDefault="00C045C1" w:rsidP="00C045C1">
            <w:pPr>
              <w:pStyle w:val="TableText"/>
              <w:rPr>
                <w:rFonts w:eastAsia="Symbol"/>
              </w:rPr>
            </w:pPr>
            <w:r>
              <w:t>Biohazardous unit selected</w:t>
            </w:r>
          </w:p>
        </w:tc>
        <w:tc>
          <w:tcPr>
            <w:tcW w:w="1710" w:type="dxa"/>
          </w:tcPr>
          <w:p w14:paraId="79A7D6EC" w14:textId="77777777" w:rsidR="00C045C1" w:rsidRDefault="00C045C1" w:rsidP="00C045C1">
            <w:pPr>
              <w:pStyle w:val="TableText"/>
              <w:rPr>
                <w:rFonts w:eastAsia="Symbol"/>
              </w:rPr>
            </w:pPr>
            <w:r>
              <w:t>All</w:t>
            </w:r>
          </w:p>
        </w:tc>
        <w:tc>
          <w:tcPr>
            <w:tcW w:w="2520" w:type="dxa"/>
          </w:tcPr>
          <w:p w14:paraId="36ED1E1C" w14:textId="77777777" w:rsidR="00C045C1" w:rsidRDefault="00C045C1" w:rsidP="00C045C1">
            <w:pPr>
              <w:pStyle w:val="TableText"/>
              <w:rPr>
                <w:rFonts w:eastAsia="Symbol"/>
              </w:rPr>
            </w:pPr>
            <w:r>
              <w:rPr>
                <w:rFonts w:eastAsia="Symbol"/>
              </w:rPr>
              <w:t>Select Unit</w:t>
            </w:r>
          </w:p>
        </w:tc>
        <w:tc>
          <w:tcPr>
            <w:tcW w:w="1417" w:type="dxa"/>
          </w:tcPr>
          <w:p w14:paraId="41A8F41C" w14:textId="77777777" w:rsidR="00C045C1" w:rsidRDefault="00C045C1" w:rsidP="00C045C1">
            <w:pPr>
              <w:pStyle w:val="TableText"/>
              <w:rPr>
                <w:rFonts w:eastAsia="Symbol"/>
              </w:rPr>
            </w:pPr>
            <w:r>
              <w:t>No</w:t>
            </w:r>
          </w:p>
        </w:tc>
        <w:tc>
          <w:tcPr>
            <w:tcW w:w="1530" w:type="dxa"/>
          </w:tcPr>
          <w:p w14:paraId="09A9AB25" w14:textId="77777777" w:rsidR="00C045C1" w:rsidRDefault="00C045C1" w:rsidP="00C045C1">
            <w:pPr>
              <w:pStyle w:val="TableText"/>
              <w:rPr>
                <w:rFonts w:eastAsia="Symbol"/>
              </w:rPr>
            </w:pPr>
            <w:r>
              <w:rPr>
                <w:rFonts w:eastAsia="Symbol"/>
              </w:rPr>
              <w:t>Yes</w:t>
            </w:r>
          </w:p>
        </w:tc>
      </w:tr>
      <w:tr w:rsidR="00C045C1" w14:paraId="4C3E7695" w14:textId="77777777" w:rsidTr="006F58C9">
        <w:trPr>
          <w:cantSplit/>
        </w:trPr>
        <w:tc>
          <w:tcPr>
            <w:tcW w:w="3235" w:type="dxa"/>
          </w:tcPr>
          <w:p w14:paraId="145E1357" w14:textId="77777777" w:rsidR="00C045C1" w:rsidRDefault="00C045C1" w:rsidP="00C045C1">
            <w:pPr>
              <w:pStyle w:val="TableText"/>
            </w:pPr>
            <w:r>
              <w:t>Caution Tag or Blood Transfusion Record Form printed for antigen positive or untested unit</w:t>
            </w:r>
          </w:p>
        </w:tc>
        <w:tc>
          <w:tcPr>
            <w:tcW w:w="1710" w:type="dxa"/>
          </w:tcPr>
          <w:p w14:paraId="7818A67A" w14:textId="77777777" w:rsidR="00C045C1" w:rsidRDefault="00C045C1" w:rsidP="00C045C1">
            <w:pPr>
              <w:pStyle w:val="TableText"/>
            </w:pPr>
            <w:r>
              <w:rPr>
                <w:u w:val="single"/>
              </w:rPr>
              <w:t>&gt;</w:t>
            </w:r>
            <w:r>
              <w:t xml:space="preserve"> Lead Tech</w:t>
            </w:r>
          </w:p>
        </w:tc>
        <w:tc>
          <w:tcPr>
            <w:tcW w:w="2520" w:type="dxa"/>
          </w:tcPr>
          <w:p w14:paraId="64B78729" w14:textId="77777777" w:rsidR="00C045C1" w:rsidRDefault="00C045C1" w:rsidP="00C045C1">
            <w:pPr>
              <w:pStyle w:val="TableText"/>
            </w:pPr>
          </w:p>
        </w:tc>
        <w:tc>
          <w:tcPr>
            <w:tcW w:w="1417" w:type="dxa"/>
          </w:tcPr>
          <w:p w14:paraId="6FC91F03" w14:textId="77777777" w:rsidR="00C045C1" w:rsidRDefault="00C045C1" w:rsidP="00C045C1">
            <w:pPr>
              <w:pStyle w:val="TableText"/>
              <w:rPr>
                <w:rFonts w:eastAsia="Symbol"/>
              </w:rPr>
            </w:pPr>
            <w:r>
              <w:t>No</w:t>
            </w:r>
          </w:p>
        </w:tc>
        <w:tc>
          <w:tcPr>
            <w:tcW w:w="1530" w:type="dxa"/>
          </w:tcPr>
          <w:p w14:paraId="11B79E3E" w14:textId="77777777" w:rsidR="00C045C1" w:rsidRDefault="00C045C1" w:rsidP="00C045C1">
            <w:pPr>
              <w:pStyle w:val="TableText"/>
              <w:rPr>
                <w:rFonts w:eastAsia="Symbol"/>
              </w:rPr>
            </w:pPr>
            <w:r>
              <w:rPr>
                <w:rFonts w:eastAsia="Symbol"/>
              </w:rPr>
              <w:t>Yes</w:t>
            </w:r>
          </w:p>
        </w:tc>
      </w:tr>
      <w:tr w:rsidR="00C045C1" w14:paraId="7F44F28C" w14:textId="77777777" w:rsidTr="006F58C9">
        <w:trPr>
          <w:cantSplit/>
        </w:trPr>
        <w:tc>
          <w:tcPr>
            <w:tcW w:w="3235" w:type="dxa"/>
          </w:tcPr>
          <w:p w14:paraId="1358059A" w14:textId="77777777" w:rsidR="00C045C1" w:rsidRDefault="00C045C1" w:rsidP="00C045C1">
            <w:pPr>
              <w:pStyle w:val="TableText"/>
            </w:pPr>
            <w:r>
              <w:t>Caution Tag or Blood Transfusion Record Form printed on expired specimen</w:t>
            </w:r>
          </w:p>
        </w:tc>
        <w:tc>
          <w:tcPr>
            <w:tcW w:w="1710" w:type="dxa"/>
          </w:tcPr>
          <w:p w14:paraId="32DBA5C2" w14:textId="77777777" w:rsidR="00C045C1" w:rsidRDefault="00C045C1" w:rsidP="00C045C1">
            <w:pPr>
              <w:pStyle w:val="TableText"/>
            </w:pPr>
            <w:r>
              <w:rPr>
                <w:u w:val="single"/>
              </w:rPr>
              <w:t>&gt;</w:t>
            </w:r>
            <w:r>
              <w:t xml:space="preserve"> Enhanced Tech</w:t>
            </w:r>
          </w:p>
        </w:tc>
        <w:tc>
          <w:tcPr>
            <w:tcW w:w="2520" w:type="dxa"/>
          </w:tcPr>
          <w:p w14:paraId="2F72E1E3" w14:textId="77777777" w:rsidR="00C045C1" w:rsidRDefault="00C045C1" w:rsidP="00C045C1">
            <w:pPr>
              <w:pStyle w:val="TableText"/>
            </w:pPr>
          </w:p>
        </w:tc>
        <w:tc>
          <w:tcPr>
            <w:tcW w:w="1417" w:type="dxa"/>
          </w:tcPr>
          <w:p w14:paraId="65509635" w14:textId="77777777" w:rsidR="00C045C1" w:rsidRDefault="00C045C1" w:rsidP="00C045C1">
            <w:pPr>
              <w:pStyle w:val="TableText"/>
              <w:rPr>
                <w:rFonts w:eastAsia="Symbol"/>
              </w:rPr>
            </w:pPr>
            <w:r>
              <w:t>No</w:t>
            </w:r>
          </w:p>
        </w:tc>
        <w:tc>
          <w:tcPr>
            <w:tcW w:w="1530" w:type="dxa"/>
          </w:tcPr>
          <w:p w14:paraId="5F9F59CD" w14:textId="77777777" w:rsidR="00C045C1" w:rsidRDefault="00C045C1" w:rsidP="00C045C1">
            <w:pPr>
              <w:pStyle w:val="TableText"/>
              <w:rPr>
                <w:rFonts w:eastAsia="Symbol"/>
              </w:rPr>
            </w:pPr>
            <w:r>
              <w:rPr>
                <w:rFonts w:eastAsia="Symbol"/>
              </w:rPr>
              <w:t>Yes</w:t>
            </w:r>
          </w:p>
        </w:tc>
      </w:tr>
      <w:tr w:rsidR="00C045C1" w14:paraId="203A1619" w14:textId="77777777" w:rsidTr="006F58C9">
        <w:trPr>
          <w:cantSplit/>
        </w:trPr>
        <w:tc>
          <w:tcPr>
            <w:tcW w:w="3235" w:type="dxa"/>
          </w:tcPr>
          <w:p w14:paraId="1319E657" w14:textId="77777777" w:rsidR="00C045C1" w:rsidRDefault="00C045C1" w:rsidP="00C045C1">
            <w:pPr>
              <w:pStyle w:val="TableText"/>
            </w:pPr>
            <w:r>
              <w:t>Caution Tag or Blood Transfusion Record Form printed on expired unit</w:t>
            </w:r>
          </w:p>
        </w:tc>
        <w:tc>
          <w:tcPr>
            <w:tcW w:w="1710" w:type="dxa"/>
          </w:tcPr>
          <w:p w14:paraId="63A64649" w14:textId="77777777" w:rsidR="00C045C1" w:rsidRDefault="00C045C1" w:rsidP="00C045C1">
            <w:pPr>
              <w:pStyle w:val="TableText"/>
            </w:pPr>
            <w:r>
              <w:rPr>
                <w:u w:val="single"/>
              </w:rPr>
              <w:t>&gt;</w:t>
            </w:r>
            <w:r>
              <w:t xml:space="preserve"> Enhanced Tech</w:t>
            </w:r>
          </w:p>
        </w:tc>
        <w:tc>
          <w:tcPr>
            <w:tcW w:w="2520" w:type="dxa"/>
          </w:tcPr>
          <w:p w14:paraId="7CE33E93" w14:textId="77777777" w:rsidR="00C045C1" w:rsidRDefault="00C045C1" w:rsidP="00C045C1">
            <w:pPr>
              <w:pStyle w:val="TableText"/>
            </w:pPr>
          </w:p>
        </w:tc>
        <w:tc>
          <w:tcPr>
            <w:tcW w:w="1417" w:type="dxa"/>
          </w:tcPr>
          <w:p w14:paraId="34E4885C" w14:textId="77777777" w:rsidR="00C045C1" w:rsidRDefault="00C045C1" w:rsidP="00C045C1">
            <w:pPr>
              <w:pStyle w:val="TableText"/>
              <w:rPr>
                <w:rFonts w:eastAsia="Symbol"/>
              </w:rPr>
            </w:pPr>
            <w:r>
              <w:t>No</w:t>
            </w:r>
          </w:p>
        </w:tc>
        <w:tc>
          <w:tcPr>
            <w:tcW w:w="1530" w:type="dxa"/>
          </w:tcPr>
          <w:p w14:paraId="3E500E1C" w14:textId="77777777" w:rsidR="00C045C1" w:rsidRDefault="00C045C1" w:rsidP="00C045C1">
            <w:pPr>
              <w:pStyle w:val="TableText"/>
              <w:rPr>
                <w:rFonts w:eastAsia="Symbol"/>
              </w:rPr>
            </w:pPr>
            <w:r>
              <w:rPr>
                <w:rFonts w:eastAsia="Symbol"/>
              </w:rPr>
              <w:t>Yes</w:t>
            </w:r>
          </w:p>
        </w:tc>
      </w:tr>
      <w:tr w:rsidR="00C045C1" w14:paraId="3372F2CC" w14:textId="77777777" w:rsidTr="006F58C9">
        <w:trPr>
          <w:cantSplit/>
        </w:trPr>
        <w:tc>
          <w:tcPr>
            <w:tcW w:w="3235" w:type="dxa"/>
          </w:tcPr>
          <w:p w14:paraId="6F6E9352" w14:textId="77777777" w:rsidR="00C045C1" w:rsidRDefault="00C045C1" w:rsidP="00C045C1">
            <w:pPr>
              <w:pStyle w:val="TableText"/>
            </w:pPr>
            <w:r>
              <w:t>Caution Tag or Blood Transfusion Record Form printed with unsatisfied Transfusion Requirement</w:t>
            </w:r>
          </w:p>
        </w:tc>
        <w:tc>
          <w:tcPr>
            <w:tcW w:w="1710" w:type="dxa"/>
          </w:tcPr>
          <w:p w14:paraId="0016B39E" w14:textId="77777777" w:rsidR="00C045C1" w:rsidRDefault="00C045C1" w:rsidP="00C045C1">
            <w:pPr>
              <w:pStyle w:val="TableText"/>
            </w:pPr>
            <w:r>
              <w:rPr>
                <w:u w:val="single"/>
              </w:rPr>
              <w:t>&gt;</w:t>
            </w:r>
            <w:r>
              <w:t xml:space="preserve"> Lead Tech</w:t>
            </w:r>
          </w:p>
        </w:tc>
        <w:tc>
          <w:tcPr>
            <w:tcW w:w="2520" w:type="dxa"/>
          </w:tcPr>
          <w:p w14:paraId="01F56D93" w14:textId="77777777" w:rsidR="00C045C1" w:rsidRDefault="00C045C1" w:rsidP="00C045C1">
            <w:pPr>
              <w:pStyle w:val="TableText"/>
            </w:pPr>
          </w:p>
        </w:tc>
        <w:tc>
          <w:tcPr>
            <w:tcW w:w="1417" w:type="dxa"/>
          </w:tcPr>
          <w:p w14:paraId="3F794438" w14:textId="77777777" w:rsidR="00C045C1" w:rsidRDefault="00C045C1" w:rsidP="00C045C1">
            <w:pPr>
              <w:pStyle w:val="TableText"/>
              <w:rPr>
                <w:rFonts w:eastAsia="Symbol"/>
              </w:rPr>
            </w:pPr>
            <w:r>
              <w:t>No</w:t>
            </w:r>
          </w:p>
        </w:tc>
        <w:tc>
          <w:tcPr>
            <w:tcW w:w="1530" w:type="dxa"/>
          </w:tcPr>
          <w:p w14:paraId="2A3AF919" w14:textId="77777777" w:rsidR="00C045C1" w:rsidRDefault="00C045C1" w:rsidP="00C045C1">
            <w:pPr>
              <w:pStyle w:val="TableText"/>
              <w:rPr>
                <w:rFonts w:eastAsia="Symbol"/>
              </w:rPr>
            </w:pPr>
            <w:r>
              <w:rPr>
                <w:rFonts w:eastAsia="Symbol"/>
              </w:rPr>
              <w:t>Yes</w:t>
            </w:r>
          </w:p>
        </w:tc>
      </w:tr>
      <w:tr w:rsidR="00C045C1" w14:paraId="6DA36C60" w14:textId="77777777" w:rsidTr="006F58C9">
        <w:trPr>
          <w:cantSplit/>
        </w:trPr>
        <w:tc>
          <w:tcPr>
            <w:tcW w:w="3235" w:type="dxa"/>
          </w:tcPr>
          <w:p w14:paraId="5BD95739" w14:textId="77777777" w:rsidR="00C045C1" w:rsidRDefault="00C045C1" w:rsidP="00C045C1">
            <w:pPr>
              <w:pStyle w:val="TableText"/>
              <w:rPr>
                <w:rFonts w:eastAsia="Symbol"/>
              </w:rPr>
            </w:pPr>
            <w:r>
              <w:t>Crossmatch incompatible: Give only with MD approval</w:t>
            </w:r>
          </w:p>
        </w:tc>
        <w:tc>
          <w:tcPr>
            <w:tcW w:w="1710" w:type="dxa"/>
          </w:tcPr>
          <w:p w14:paraId="3BF3FAC0" w14:textId="77777777" w:rsidR="00C045C1" w:rsidRDefault="00C045C1" w:rsidP="00C045C1">
            <w:pPr>
              <w:pStyle w:val="TableText"/>
              <w:rPr>
                <w:rFonts w:eastAsia="Symbol"/>
              </w:rPr>
            </w:pPr>
            <w:r>
              <w:t>All</w:t>
            </w:r>
          </w:p>
        </w:tc>
        <w:tc>
          <w:tcPr>
            <w:tcW w:w="2520" w:type="dxa"/>
          </w:tcPr>
          <w:p w14:paraId="19E777D0" w14:textId="77777777" w:rsidR="00C045C1" w:rsidRDefault="00C045C1" w:rsidP="00C045C1">
            <w:pPr>
              <w:pStyle w:val="TableText"/>
              <w:rPr>
                <w:rFonts w:eastAsia="Symbol"/>
              </w:rPr>
            </w:pPr>
          </w:p>
        </w:tc>
        <w:tc>
          <w:tcPr>
            <w:tcW w:w="1417" w:type="dxa"/>
          </w:tcPr>
          <w:p w14:paraId="5FEC14CB" w14:textId="77777777" w:rsidR="00C045C1" w:rsidRDefault="00C045C1" w:rsidP="00C045C1">
            <w:pPr>
              <w:pStyle w:val="TableText"/>
              <w:rPr>
                <w:rFonts w:eastAsia="Symbol"/>
              </w:rPr>
            </w:pPr>
            <w:r>
              <w:t>No</w:t>
            </w:r>
          </w:p>
        </w:tc>
        <w:tc>
          <w:tcPr>
            <w:tcW w:w="1530" w:type="dxa"/>
          </w:tcPr>
          <w:p w14:paraId="7EE68C5B" w14:textId="77777777" w:rsidR="00C045C1" w:rsidRDefault="00C045C1" w:rsidP="00C045C1">
            <w:pPr>
              <w:pStyle w:val="TableText"/>
              <w:rPr>
                <w:rFonts w:eastAsia="Symbol"/>
              </w:rPr>
            </w:pPr>
            <w:r>
              <w:rPr>
                <w:rFonts w:eastAsia="Symbol"/>
              </w:rPr>
              <w:t>Yes</w:t>
            </w:r>
          </w:p>
        </w:tc>
      </w:tr>
      <w:tr w:rsidR="00C045C1" w14:paraId="609CB903" w14:textId="77777777" w:rsidTr="006F58C9">
        <w:trPr>
          <w:cantSplit/>
        </w:trPr>
        <w:tc>
          <w:tcPr>
            <w:tcW w:w="3235" w:type="dxa"/>
          </w:tcPr>
          <w:p w14:paraId="31819FAE" w14:textId="77777777" w:rsidR="00C045C1" w:rsidRDefault="00C045C1" w:rsidP="00C045C1">
            <w:pPr>
              <w:pStyle w:val="TableText"/>
            </w:pPr>
            <w:r>
              <w:t>Deletion of partially completed QC</w:t>
            </w:r>
          </w:p>
        </w:tc>
        <w:tc>
          <w:tcPr>
            <w:tcW w:w="1710" w:type="dxa"/>
          </w:tcPr>
          <w:p w14:paraId="54D792FA" w14:textId="77777777" w:rsidR="00C045C1" w:rsidRDefault="00C045C1" w:rsidP="00C045C1">
            <w:pPr>
              <w:pStyle w:val="TableText"/>
            </w:pPr>
            <w:r>
              <w:t>All</w:t>
            </w:r>
          </w:p>
        </w:tc>
        <w:tc>
          <w:tcPr>
            <w:tcW w:w="2520" w:type="dxa"/>
          </w:tcPr>
          <w:p w14:paraId="6D2E6692" w14:textId="77777777" w:rsidR="00C045C1" w:rsidRDefault="00C045C1" w:rsidP="00C045C1">
            <w:pPr>
              <w:pStyle w:val="TableText"/>
            </w:pPr>
            <w:r>
              <w:t>Enter Daily QC</w:t>
            </w:r>
          </w:p>
        </w:tc>
        <w:tc>
          <w:tcPr>
            <w:tcW w:w="1417" w:type="dxa"/>
          </w:tcPr>
          <w:p w14:paraId="2821E281" w14:textId="77777777" w:rsidR="00C045C1" w:rsidRDefault="00C045C1" w:rsidP="00C045C1">
            <w:pPr>
              <w:pStyle w:val="TableText"/>
            </w:pPr>
            <w:r>
              <w:t>No</w:t>
            </w:r>
          </w:p>
        </w:tc>
        <w:tc>
          <w:tcPr>
            <w:tcW w:w="1530" w:type="dxa"/>
          </w:tcPr>
          <w:p w14:paraId="36FB4542" w14:textId="77777777" w:rsidR="00C045C1" w:rsidRDefault="00C045C1" w:rsidP="00C045C1">
            <w:pPr>
              <w:pStyle w:val="TableText"/>
            </w:pPr>
            <w:r>
              <w:t>No</w:t>
            </w:r>
          </w:p>
        </w:tc>
      </w:tr>
      <w:tr w:rsidR="00C045C1" w14:paraId="0E0AA802" w14:textId="77777777" w:rsidTr="006F58C9">
        <w:trPr>
          <w:cantSplit/>
        </w:trPr>
        <w:tc>
          <w:tcPr>
            <w:tcW w:w="3235" w:type="dxa"/>
          </w:tcPr>
          <w:p w14:paraId="77727F3A" w14:textId="77777777" w:rsidR="00C045C1" w:rsidRDefault="00C045C1" w:rsidP="00C045C1">
            <w:pPr>
              <w:pStyle w:val="TableText"/>
              <w:rPr>
                <w:rFonts w:eastAsia="Symbol"/>
              </w:rPr>
            </w:pPr>
            <w:r>
              <w:t>Discrepant ABO/Rh override</w:t>
            </w:r>
          </w:p>
        </w:tc>
        <w:tc>
          <w:tcPr>
            <w:tcW w:w="1710" w:type="dxa"/>
          </w:tcPr>
          <w:p w14:paraId="7E87DDC9" w14:textId="77777777" w:rsidR="00C045C1" w:rsidRDefault="00C045C1" w:rsidP="00C045C1">
            <w:pPr>
              <w:pStyle w:val="TableText"/>
              <w:rPr>
                <w:rFonts w:eastAsia="Symbol"/>
              </w:rPr>
            </w:pPr>
            <w:r>
              <w:rPr>
                <w:u w:val="single"/>
              </w:rPr>
              <w:t>&gt;</w:t>
            </w:r>
            <w:r>
              <w:t xml:space="preserve"> Enhanced Tech</w:t>
            </w:r>
          </w:p>
        </w:tc>
        <w:tc>
          <w:tcPr>
            <w:tcW w:w="2520" w:type="dxa"/>
          </w:tcPr>
          <w:p w14:paraId="3D5462D4" w14:textId="77777777" w:rsidR="00C045C1" w:rsidRDefault="00C045C1" w:rsidP="00C045C1">
            <w:pPr>
              <w:pStyle w:val="TableText"/>
              <w:rPr>
                <w:rFonts w:eastAsia="Symbol"/>
              </w:rPr>
            </w:pPr>
            <w:r>
              <w:rPr>
                <w:rFonts w:eastAsia="Symbol"/>
              </w:rPr>
              <w:t>Patient Testing</w:t>
            </w:r>
          </w:p>
        </w:tc>
        <w:tc>
          <w:tcPr>
            <w:tcW w:w="1417" w:type="dxa"/>
          </w:tcPr>
          <w:p w14:paraId="69602DC3" w14:textId="77777777" w:rsidR="00C045C1" w:rsidRDefault="00C045C1" w:rsidP="00C045C1">
            <w:pPr>
              <w:pStyle w:val="TableText"/>
              <w:rPr>
                <w:rFonts w:eastAsia="Symbol"/>
              </w:rPr>
            </w:pPr>
            <w:r>
              <w:t>No</w:t>
            </w:r>
          </w:p>
        </w:tc>
        <w:tc>
          <w:tcPr>
            <w:tcW w:w="1530" w:type="dxa"/>
          </w:tcPr>
          <w:p w14:paraId="29C88E5F" w14:textId="77777777" w:rsidR="00C045C1" w:rsidRDefault="00C045C1" w:rsidP="00C045C1">
            <w:pPr>
              <w:pStyle w:val="TableText"/>
              <w:rPr>
                <w:rFonts w:eastAsia="Symbol"/>
              </w:rPr>
            </w:pPr>
            <w:r>
              <w:rPr>
                <w:rFonts w:eastAsia="Symbol"/>
              </w:rPr>
              <w:t>Yes</w:t>
            </w:r>
          </w:p>
        </w:tc>
      </w:tr>
      <w:tr w:rsidR="00C045C1" w14:paraId="16F853F3" w14:textId="77777777" w:rsidTr="006F58C9">
        <w:trPr>
          <w:cantSplit/>
        </w:trPr>
        <w:tc>
          <w:tcPr>
            <w:tcW w:w="3235" w:type="dxa"/>
          </w:tcPr>
          <w:p w14:paraId="49DC11DE" w14:textId="77777777" w:rsidR="00C045C1" w:rsidRDefault="00C045C1" w:rsidP="00C045C1">
            <w:pPr>
              <w:pStyle w:val="TableText"/>
              <w:rPr>
                <w:rFonts w:eastAsia="Symbol"/>
              </w:rPr>
            </w:pPr>
            <w:r>
              <w:t>Discrepant patient antigen typing</w:t>
            </w:r>
          </w:p>
        </w:tc>
        <w:tc>
          <w:tcPr>
            <w:tcW w:w="1710" w:type="dxa"/>
          </w:tcPr>
          <w:p w14:paraId="1AA653E2" w14:textId="77777777" w:rsidR="00C045C1" w:rsidRDefault="00C045C1" w:rsidP="00C045C1">
            <w:pPr>
              <w:pStyle w:val="TableText"/>
              <w:rPr>
                <w:rFonts w:eastAsia="Symbol"/>
              </w:rPr>
            </w:pPr>
            <w:r>
              <w:t>All</w:t>
            </w:r>
          </w:p>
        </w:tc>
        <w:tc>
          <w:tcPr>
            <w:tcW w:w="2520" w:type="dxa"/>
          </w:tcPr>
          <w:p w14:paraId="79ECBD98" w14:textId="77777777" w:rsidR="00C045C1" w:rsidRDefault="00C045C1" w:rsidP="00C045C1">
            <w:pPr>
              <w:pStyle w:val="TableText"/>
              <w:rPr>
                <w:rFonts w:eastAsia="Symbol"/>
              </w:rPr>
            </w:pPr>
            <w:r>
              <w:rPr>
                <w:rFonts w:eastAsia="Symbol"/>
              </w:rPr>
              <w:t>Patient Testing</w:t>
            </w:r>
          </w:p>
        </w:tc>
        <w:tc>
          <w:tcPr>
            <w:tcW w:w="1417" w:type="dxa"/>
          </w:tcPr>
          <w:p w14:paraId="0A326EC7" w14:textId="77777777" w:rsidR="00C045C1" w:rsidRDefault="00C045C1" w:rsidP="00C045C1">
            <w:pPr>
              <w:pStyle w:val="TableText"/>
              <w:rPr>
                <w:rFonts w:eastAsia="Symbol"/>
              </w:rPr>
            </w:pPr>
            <w:r>
              <w:t>No</w:t>
            </w:r>
          </w:p>
        </w:tc>
        <w:tc>
          <w:tcPr>
            <w:tcW w:w="1530" w:type="dxa"/>
          </w:tcPr>
          <w:p w14:paraId="4BD073D3" w14:textId="77777777" w:rsidR="00C045C1" w:rsidRDefault="00C045C1" w:rsidP="00C045C1">
            <w:pPr>
              <w:pStyle w:val="TableText"/>
              <w:rPr>
                <w:rFonts w:eastAsia="Symbol"/>
              </w:rPr>
            </w:pPr>
            <w:r>
              <w:rPr>
                <w:rFonts w:eastAsia="Symbol"/>
              </w:rPr>
              <w:t>Yes</w:t>
            </w:r>
          </w:p>
        </w:tc>
      </w:tr>
      <w:tr w:rsidR="008A701E" w14:paraId="433E85B8" w14:textId="77777777" w:rsidTr="006F58C9">
        <w:trPr>
          <w:cantSplit/>
        </w:trPr>
        <w:tc>
          <w:tcPr>
            <w:tcW w:w="3235" w:type="dxa"/>
          </w:tcPr>
          <w:p w14:paraId="4FB95324" w14:textId="77777777" w:rsidR="008A701E" w:rsidRDefault="008A701E" w:rsidP="00C045C1">
            <w:pPr>
              <w:pStyle w:val="TableText"/>
            </w:pPr>
            <w:r>
              <w:t>Electronic Transfusion Record Update</w:t>
            </w:r>
          </w:p>
        </w:tc>
        <w:tc>
          <w:tcPr>
            <w:tcW w:w="1710" w:type="dxa"/>
          </w:tcPr>
          <w:p w14:paraId="13B758F5" w14:textId="77777777" w:rsidR="008A701E" w:rsidRDefault="008A701E" w:rsidP="00C045C1">
            <w:pPr>
              <w:pStyle w:val="TableText"/>
            </w:pPr>
            <w:r>
              <w:t>BCE COTS system</w:t>
            </w:r>
          </w:p>
        </w:tc>
        <w:tc>
          <w:tcPr>
            <w:tcW w:w="2520" w:type="dxa"/>
          </w:tcPr>
          <w:p w14:paraId="7BDC706A" w14:textId="77777777" w:rsidR="008A701E" w:rsidRDefault="008A701E" w:rsidP="00C045C1">
            <w:pPr>
              <w:pStyle w:val="TableText"/>
            </w:pPr>
            <w:r>
              <w:t>Post –Transfusion Information</w:t>
            </w:r>
          </w:p>
        </w:tc>
        <w:tc>
          <w:tcPr>
            <w:tcW w:w="1417" w:type="dxa"/>
          </w:tcPr>
          <w:p w14:paraId="52D1824D" w14:textId="77777777" w:rsidR="008A701E" w:rsidRDefault="008A701E" w:rsidP="00C045C1">
            <w:pPr>
              <w:pStyle w:val="TableText"/>
            </w:pPr>
            <w:r>
              <w:t>No</w:t>
            </w:r>
          </w:p>
        </w:tc>
        <w:tc>
          <w:tcPr>
            <w:tcW w:w="1530" w:type="dxa"/>
          </w:tcPr>
          <w:p w14:paraId="4A809E1C" w14:textId="77777777" w:rsidR="008A701E" w:rsidRDefault="008A701E" w:rsidP="00C045C1">
            <w:pPr>
              <w:pStyle w:val="TableText"/>
              <w:rPr>
                <w:rFonts w:eastAsia="Symbol"/>
              </w:rPr>
            </w:pPr>
            <w:r>
              <w:rPr>
                <w:rFonts w:eastAsia="Symbol"/>
              </w:rPr>
              <w:t>No</w:t>
            </w:r>
          </w:p>
        </w:tc>
      </w:tr>
      <w:tr w:rsidR="00C045C1" w14:paraId="0B74C2FB" w14:textId="77777777" w:rsidTr="006F58C9">
        <w:trPr>
          <w:cantSplit/>
        </w:trPr>
        <w:tc>
          <w:tcPr>
            <w:tcW w:w="3235" w:type="dxa"/>
          </w:tcPr>
          <w:p w14:paraId="509CACC0" w14:textId="77777777" w:rsidR="00C045C1" w:rsidRDefault="00C045C1" w:rsidP="00C045C1">
            <w:pPr>
              <w:pStyle w:val="TableText"/>
            </w:pPr>
            <w:r>
              <w:t>Emergency issue request (no specimen)</w:t>
            </w:r>
          </w:p>
        </w:tc>
        <w:tc>
          <w:tcPr>
            <w:tcW w:w="1710" w:type="dxa"/>
          </w:tcPr>
          <w:p w14:paraId="259C117A" w14:textId="77777777" w:rsidR="00C045C1" w:rsidRDefault="00C045C1" w:rsidP="00C045C1">
            <w:pPr>
              <w:pStyle w:val="TableText"/>
            </w:pPr>
            <w:r>
              <w:t>All</w:t>
            </w:r>
          </w:p>
        </w:tc>
        <w:tc>
          <w:tcPr>
            <w:tcW w:w="2520" w:type="dxa"/>
          </w:tcPr>
          <w:p w14:paraId="6F5732FC" w14:textId="77777777" w:rsidR="00C045C1" w:rsidRDefault="00C045C1" w:rsidP="00C045C1">
            <w:pPr>
              <w:pStyle w:val="TableText"/>
            </w:pPr>
            <w:r>
              <w:t>Accept Order</w:t>
            </w:r>
          </w:p>
        </w:tc>
        <w:tc>
          <w:tcPr>
            <w:tcW w:w="1417" w:type="dxa"/>
          </w:tcPr>
          <w:p w14:paraId="7F4BDA30" w14:textId="77777777" w:rsidR="00C045C1" w:rsidRDefault="00C045C1" w:rsidP="00C045C1">
            <w:pPr>
              <w:pStyle w:val="TableText"/>
              <w:rPr>
                <w:rFonts w:eastAsia="Symbol"/>
              </w:rPr>
            </w:pPr>
            <w:r>
              <w:t>No</w:t>
            </w:r>
          </w:p>
        </w:tc>
        <w:tc>
          <w:tcPr>
            <w:tcW w:w="1530" w:type="dxa"/>
          </w:tcPr>
          <w:p w14:paraId="1BFE7254" w14:textId="77777777" w:rsidR="00C045C1" w:rsidRDefault="00C045C1" w:rsidP="00C045C1">
            <w:pPr>
              <w:pStyle w:val="TableText"/>
              <w:rPr>
                <w:rFonts w:eastAsia="Symbol"/>
              </w:rPr>
            </w:pPr>
            <w:r>
              <w:rPr>
                <w:rFonts w:eastAsia="Symbol"/>
              </w:rPr>
              <w:t>Yes</w:t>
            </w:r>
          </w:p>
        </w:tc>
      </w:tr>
      <w:tr w:rsidR="00C045C1" w14:paraId="2FA31B18" w14:textId="77777777" w:rsidTr="006F58C9">
        <w:trPr>
          <w:cantSplit/>
        </w:trPr>
        <w:tc>
          <w:tcPr>
            <w:tcW w:w="3235" w:type="dxa"/>
          </w:tcPr>
          <w:p w14:paraId="1968CF15" w14:textId="77777777" w:rsidR="00C045C1" w:rsidRDefault="00C045C1" w:rsidP="00C045C1">
            <w:pPr>
              <w:pStyle w:val="TableText"/>
            </w:pPr>
            <w:r>
              <w:t>Emergency issue, require testing incomplete</w:t>
            </w:r>
          </w:p>
        </w:tc>
        <w:tc>
          <w:tcPr>
            <w:tcW w:w="1710" w:type="dxa"/>
          </w:tcPr>
          <w:p w14:paraId="64DD1F6F" w14:textId="77777777" w:rsidR="00C045C1" w:rsidRDefault="00C045C1" w:rsidP="00C045C1">
            <w:pPr>
              <w:pStyle w:val="TableText"/>
            </w:pPr>
            <w:r>
              <w:t>All</w:t>
            </w:r>
          </w:p>
        </w:tc>
        <w:tc>
          <w:tcPr>
            <w:tcW w:w="2520" w:type="dxa"/>
          </w:tcPr>
          <w:p w14:paraId="120BD81E" w14:textId="77777777" w:rsidR="00C045C1" w:rsidRDefault="00C045C1" w:rsidP="00C045C1">
            <w:pPr>
              <w:pStyle w:val="TableText"/>
            </w:pPr>
            <w:r>
              <w:t>Patient Testing</w:t>
            </w:r>
          </w:p>
        </w:tc>
        <w:tc>
          <w:tcPr>
            <w:tcW w:w="1417" w:type="dxa"/>
          </w:tcPr>
          <w:p w14:paraId="6B6EB4DD" w14:textId="77777777" w:rsidR="00C045C1" w:rsidRDefault="00C045C1" w:rsidP="00C045C1">
            <w:pPr>
              <w:pStyle w:val="TableText"/>
            </w:pPr>
            <w:r>
              <w:t>No</w:t>
            </w:r>
          </w:p>
        </w:tc>
        <w:tc>
          <w:tcPr>
            <w:tcW w:w="1530" w:type="dxa"/>
          </w:tcPr>
          <w:p w14:paraId="111D6472" w14:textId="77777777" w:rsidR="00C045C1" w:rsidRDefault="00C045C1" w:rsidP="00C045C1">
            <w:pPr>
              <w:pStyle w:val="TableText"/>
            </w:pPr>
            <w:r>
              <w:rPr>
                <w:rFonts w:eastAsia="Symbol"/>
              </w:rPr>
              <w:t>Yes</w:t>
            </w:r>
          </w:p>
        </w:tc>
      </w:tr>
      <w:tr w:rsidR="00C045C1" w14:paraId="02BC16F5" w14:textId="77777777" w:rsidTr="006F58C9">
        <w:trPr>
          <w:cantSplit/>
        </w:trPr>
        <w:tc>
          <w:tcPr>
            <w:tcW w:w="3235" w:type="dxa"/>
          </w:tcPr>
          <w:p w14:paraId="1F532B9B" w14:textId="77777777" w:rsidR="00C045C1" w:rsidRDefault="00C045C1" w:rsidP="00C045C1">
            <w:pPr>
              <w:pStyle w:val="TableText"/>
              <w:rPr>
                <w:rFonts w:eastAsia="Symbol"/>
              </w:rPr>
            </w:pPr>
            <w:r>
              <w:t>Expired antisera used</w:t>
            </w:r>
          </w:p>
        </w:tc>
        <w:tc>
          <w:tcPr>
            <w:tcW w:w="1710" w:type="dxa"/>
          </w:tcPr>
          <w:p w14:paraId="54BCA283" w14:textId="77777777" w:rsidR="00C045C1" w:rsidRDefault="00C045C1" w:rsidP="00C045C1">
            <w:pPr>
              <w:pStyle w:val="TableText"/>
              <w:rPr>
                <w:rFonts w:eastAsia="Symbol"/>
              </w:rPr>
            </w:pPr>
            <w:r>
              <w:t>All</w:t>
            </w:r>
          </w:p>
        </w:tc>
        <w:tc>
          <w:tcPr>
            <w:tcW w:w="2520" w:type="dxa"/>
          </w:tcPr>
          <w:p w14:paraId="63B3672F" w14:textId="77777777" w:rsidR="00C045C1" w:rsidRDefault="00C045C1" w:rsidP="00C045C1">
            <w:pPr>
              <w:pStyle w:val="TableText"/>
              <w:rPr>
                <w:rFonts w:eastAsia="Symbol"/>
              </w:rPr>
            </w:pPr>
            <w:r>
              <w:rPr>
                <w:rFonts w:eastAsia="Symbol"/>
              </w:rPr>
              <w:t>Enter Rack QC, Patient and Unit Antigen typing</w:t>
            </w:r>
          </w:p>
        </w:tc>
        <w:tc>
          <w:tcPr>
            <w:tcW w:w="1417" w:type="dxa"/>
          </w:tcPr>
          <w:p w14:paraId="748A6FFB" w14:textId="77777777" w:rsidR="00C045C1" w:rsidRDefault="00C045C1" w:rsidP="00C045C1">
            <w:pPr>
              <w:pStyle w:val="TableText"/>
              <w:rPr>
                <w:rFonts w:eastAsia="Symbol"/>
              </w:rPr>
            </w:pPr>
            <w:r>
              <w:rPr>
                <w:rFonts w:eastAsia="Symbol"/>
              </w:rPr>
              <w:t>Yes (Antigen Typing)</w:t>
            </w:r>
          </w:p>
        </w:tc>
        <w:tc>
          <w:tcPr>
            <w:tcW w:w="1530" w:type="dxa"/>
          </w:tcPr>
          <w:p w14:paraId="7DF6DE53" w14:textId="77777777" w:rsidR="00C045C1" w:rsidRDefault="00C045C1" w:rsidP="00C045C1">
            <w:pPr>
              <w:pStyle w:val="TableText"/>
              <w:rPr>
                <w:rFonts w:eastAsia="Symbol"/>
              </w:rPr>
            </w:pPr>
            <w:r>
              <w:rPr>
                <w:rFonts w:eastAsia="Symbol"/>
              </w:rPr>
              <w:t>Yes (Patient Testing: Record a Patient Antigen Typing)</w:t>
            </w:r>
          </w:p>
        </w:tc>
      </w:tr>
      <w:tr w:rsidR="00C045C1" w14:paraId="7F6EA7C9" w14:textId="77777777" w:rsidTr="006F58C9">
        <w:trPr>
          <w:cantSplit/>
        </w:trPr>
        <w:tc>
          <w:tcPr>
            <w:tcW w:w="3235" w:type="dxa"/>
          </w:tcPr>
          <w:p w14:paraId="04C971C6" w14:textId="77777777" w:rsidR="00C045C1" w:rsidRDefault="00C045C1" w:rsidP="00C045C1">
            <w:pPr>
              <w:pStyle w:val="TableText"/>
              <w:rPr>
                <w:rFonts w:eastAsia="Symbol"/>
              </w:rPr>
            </w:pPr>
            <w:r>
              <w:t>Expired reagent QC’d</w:t>
            </w:r>
          </w:p>
        </w:tc>
        <w:tc>
          <w:tcPr>
            <w:tcW w:w="1710" w:type="dxa"/>
          </w:tcPr>
          <w:p w14:paraId="3F1E7852" w14:textId="77777777" w:rsidR="00C045C1" w:rsidRDefault="00C045C1" w:rsidP="00C045C1">
            <w:pPr>
              <w:pStyle w:val="TableText"/>
              <w:rPr>
                <w:rFonts w:eastAsia="Symbol"/>
              </w:rPr>
            </w:pPr>
            <w:r>
              <w:t>All</w:t>
            </w:r>
          </w:p>
        </w:tc>
        <w:tc>
          <w:tcPr>
            <w:tcW w:w="2520" w:type="dxa"/>
          </w:tcPr>
          <w:p w14:paraId="0EFAC5E3" w14:textId="77777777" w:rsidR="00C045C1" w:rsidRDefault="00C045C1" w:rsidP="00C045C1">
            <w:pPr>
              <w:pStyle w:val="TableText"/>
              <w:rPr>
                <w:rFonts w:eastAsia="Symbol"/>
              </w:rPr>
            </w:pPr>
            <w:r>
              <w:rPr>
                <w:rFonts w:eastAsia="Symbol"/>
              </w:rPr>
              <w:t>Enter Daily QC</w:t>
            </w:r>
          </w:p>
        </w:tc>
        <w:tc>
          <w:tcPr>
            <w:tcW w:w="1417" w:type="dxa"/>
          </w:tcPr>
          <w:p w14:paraId="4586536E" w14:textId="77777777" w:rsidR="00C045C1" w:rsidRDefault="00C045C1" w:rsidP="00C045C1">
            <w:pPr>
              <w:pStyle w:val="TableText"/>
              <w:rPr>
                <w:rFonts w:eastAsia="Symbol"/>
              </w:rPr>
            </w:pPr>
            <w:r>
              <w:t>No</w:t>
            </w:r>
          </w:p>
        </w:tc>
        <w:tc>
          <w:tcPr>
            <w:tcW w:w="1530" w:type="dxa"/>
          </w:tcPr>
          <w:p w14:paraId="4D3B851E" w14:textId="77777777" w:rsidR="00C045C1" w:rsidRDefault="00C045C1" w:rsidP="00C045C1">
            <w:pPr>
              <w:pStyle w:val="TableText"/>
              <w:rPr>
                <w:rFonts w:eastAsia="Symbol"/>
              </w:rPr>
            </w:pPr>
            <w:r>
              <w:t>No</w:t>
            </w:r>
          </w:p>
        </w:tc>
      </w:tr>
      <w:tr w:rsidR="00C045C1" w14:paraId="52A0A7B0" w14:textId="77777777" w:rsidTr="006F58C9">
        <w:trPr>
          <w:cantSplit/>
        </w:trPr>
        <w:tc>
          <w:tcPr>
            <w:tcW w:w="3235" w:type="dxa"/>
          </w:tcPr>
          <w:p w14:paraId="5327CCB2" w14:textId="77777777" w:rsidR="00C045C1" w:rsidRDefault="00C045C1" w:rsidP="00C045C1">
            <w:pPr>
              <w:pStyle w:val="TableText"/>
            </w:pPr>
            <w:r>
              <w:t>Expired supply used in modification</w:t>
            </w:r>
          </w:p>
        </w:tc>
        <w:tc>
          <w:tcPr>
            <w:tcW w:w="1710" w:type="dxa"/>
          </w:tcPr>
          <w:p w14:paraId="38E49A1D" w14:textId="77777777" w:rsidR="00C045C1" w:rsidRDefault="00C045C1" w:rsidP="00C045C1">
            <w:pPr>
              <w:pStyle w:val="TableText"/>
            </w:pPr>
            <w:r>
              <w:t>All</w:t>
            </w:r>
          </w:p>
        </w:tc>
        <w:tc>
          <w:tcPr>
            <w:tcW w:w="2520" w:type="dxa"/>
          </w:tcPr>
          <w:p w14:paraId="34F90F05" w14:textId="77777777" w:rsidR="00C045C1" w:rsidRDefault="00C045C1" w:rsidP="00C045C1">
            <w:pPr>
              <w:pStyle w:val="TableText"/>
            </w:pPr>
            <w:r>
              <w:t>Modify Units</w:t>
            </w:r>
          </w:p>
        </w:tc>
        <w:tc>
          <w:tcPr>
            <w:tcW w:w="1417" w:type="dxa"/>
          </w:tcPr>
          <w:p w14:paraId="51C20D67" w14:textId="77777777" w:rsidR="00C045C1" w:rsidRDefault="00C045C1" w:rsidP="00C045C1">
            <w:pPr>
              <w:pStyle w:val="TableText"/>
            </w:pPr>
            <w:r>
              <w:t>No</w:t>
            </w:r>
          </w:p>
        </w:tc>
        <w:tc>
          <w:tcPr>
            <w:tcW w:w="1530" w:type="dxa"/>
          </w:tcPr>
          <w:p w14:paraId="1C89196A" w14:textId="77777777" w:rsidR="00C045C1" w:rsidRDefault="00C045C1" w:rsidP="00C045C1">
            <w:pPr>
              <w:pStyle w:val="TableText"/>
              <w:rPr>
                <w:rFonts w:eastAsia="Symbol"/>
              </w:rPr>
            </w:pPr>
            <w:r>
              <w:t>No</w:t>
            </w:r>
          </w:p>
        </w:tc>
      </w:tr>
      <w:tr w:rsidR="00C045C1" w14:paraId="4917C443" w14:textId="77777777" w:rsidTr="006F58C9">
        <w:trPr>
          <w:cantSplit/>
        </w:trPr>
        <w:tc>
          <w:tcPr>
            <w:tcW w:w="3235" w:type="dxa"/>
          </w:tcPr>
          <w:p w14:paraId="784DDCE8" w14:textId="77777777" w:rsidR="00C045C1" w:rsidRDefault="00C045C1" w:rsidP="00C045C1">
            <w:pPr>
              <w:pStyle w:val="TableText"/>
            </w:pPr>
            <w:r>
              <w:t xml:space="preserve">Expired task processed </w:t>
            </w:r>
          </w:p>
        </w:tc>
        <w:tc>
          <w:tcPr>
            <w:tcW w:w="1710" w:type="dxa"/>
          </w:tcPr>
          <w:p w14:paraId="5E20A58B" w14:textId="77777777" w:rsidR="00C045C1" w:rsidRDefault="000075A9" w:rsidP="00C045C1">
            <w:pPr>
              <w:pStyle w:val="TableText"/>
            </w:pPr>
            <w:r>
              <w:t>All</w:t>
            </w:r>
          </w:p>
        </w:tc>
        <w:tc>
          <w:tcPr>
            <w:tcW w:w="2520" w:type="dxa"/>
          </w:tcPr>
          <w:p w14:paraId="257BA9AD" w14:textId="77777777" w:rsidR="00C045C1" w:rsidRDefault="000075A9" w:rsidP="00C045C1">
            <w:pPr>
              <w:pStyle w:val="TableText"/>
            </w:pPr>
            <w:r>
              <w:t>Pending Task List</w:t>
            </w:r>
          </w:p>
        </w:tc>
        <w:tc>
          <w:tcPr>
            <w:tcW w:w="1417" w:type="dxa"/>
          </w:tcPr>
          <w:p w14:paraId="14292612" w14:textId="77777777" w:rsidR="00C045C1" w:rsidRDefault="00C045C1" w:rsidP="00C045C1">
            <w:pPr>
              <w:pStyle w:val="TableText"/>
            </w:pPr>
            <w:r>
              <w:t>No</w:t>
            </w:r>
          </w:p>
        </w:tc>
        <w:tc>
          <w:tcPr>
            <w:tcW w:w="1530" w:type="dxa"/>
          </w:tcPr>
          <w:p w14:paraId="09A63A50" w14:textId="77777777" w:rsidR="00C045C1" w:rsidRDefault="00C045C1" w:rsidP="00C045C1">
            <w:pPr>
              <w:pStyle w:val="TableText"/>
            </w:pPr>
            <w:r>
              <w:rPr>
                <w:rFonts w:eastAsia="Symbol"/>
              </w:rPr>
              <w:t>Yes</w:t>
            </w:r>
          </w:p>
        </w:tc>
      </w:tr>
      <w:tr w:rsidR="00C045C1" w14:paraId="35CA2B18" w14:textId="77777777" w:rsidTr="006F58C9">
        <w:trPr>
          <w:cantSplit/>
        </w:trPr>
        <w:tc>
          <w:tcPr>
            <w:tcW w:w="3235" w:type="dxa"/>
          </w:tcPr>
          <w:p w14:paraId="2FD116D5" w14:textId="77777777" w:rsidR="00C045C1" w:rsidRDefault="00C045C1" w:rsidP="00C045C1">
            <w:pPr>
              <w:pStyle w:val="TableText"/>
              <w:rPr>
                <w:rFonts w:eastAsia="Symbol"/>
              </w:rPr>
            </w:pPr>
            <w:r>
              <w:t>Expired unit modified</w:t>
            </w:r>
          </w:p>
        </w:tc>
        <w:tc>
          <w:tcPr>
            <w:tcW w:w="1710" w:type="dxa"/>
          </w:tcPr>
          <w:p w14:paraId="0365B0B7" w14:textId="77777777" w:rsidR="00C045C1" w:rsidRDefault="00C045C1" w:rsidP="00C045C1">
            <w:pPr>
              <w:pStyle w:val="TableText"/>
              <w:rPr>
                <w:rFonts w:eastAsia="Symbol"/>
              </w:rPr>
            </w:pPr>
            <w:r>
              <w:rPr>
                <w:u w:val="single"/>
              </w:rPr>
              <w:t>&gt;</w:t>
            </w:r>
            <w:r>
              <w:t xml:space="preserve"> Enhanced Tech</w:t>
            </w:r>
          </w:p>
        </w:tc>
        <w:tc>
          <w:tcPr>
            <w:tcW w:w="2520" w:type="dxa"/>
          </w:tcPr>
          <w:p w14:paraId="6F390CF5" w14:textId="77777777" w:rsidR="00C045C1" w:rsidRDefault="00C045C1" w:rsidP="00C045C1">
            <w:pPr>
              <w:pStyle w:val="TableText"/>
              <w:rPr>
                <w:rFonts w:eastAsia="Symbol"/>
              </w:rPr>
            </w:pPr>
            <w:r>
              <w:rPr>
                <w:rFonts w:eastAsia="Symbol"/>
              </w:rPr>
              <w:t>Modify Units</w:t>
            </w:r>
          </w:p>
        </w:tc>
        <w:tc>
          <w:tcPr>
            <w:tcW w:w="1417" w:type="dxa"/>
          </w:tcPr>
          <w:p w14:paraId="7AB300D8" w14:textId="77777777" w:rsidR="00C045C1" w:rsidRDefault="00C045C1" w:rsidP="00C045C1">
            <w:pPr>
              <w:pStyle w:val="TableText"/>
              <w:rPr>
                <w:rFonts w:eastAsia="Symbol"/>
              </w:rPr>
            </w:pPr>
            <w:r>
              <w:t>Yes</w:t>
            </w:r>
          </w:p>
        </w:tc>
        <w:tc>
          <w:tcPr>
            <w:tcW w:w="1530" w:type="dxa"/>
          </w:tcPr>
          <w:p w14:paraId="403469C3" w14:textId="77777777" w:rsidR="00C045C1" w:rsidRDefault="00C045C1" w:rsidP="00C045C1">
            <w:pPr>
              <w:pStyle w:val="TableText"/>
              <w:rPr>
                <w:rFonts w:eastAsia="Symbol"/>
              </w:rPr>
            </w:pPr>
            <w:r>
              <w:t>No</w:t>
            </w:r>
          </w:p>
        </w:tc>
      </w:tr>
      <w:tr w:rsidR="00C045C1" w14:paraId="0997BE4B" w14:textId="77777777" w:rsidTr="006F58C9">
        <w:trPr>
          <w:cantSplit/>
        </w:trPr>
        <w:tc>
          <w:tcPr>
            <w:tcW w:w="3235" w:type="dxa"/>
          </w:tcPr>
          <w:p w14:paraId="27E3F59C" w14:textId="77777777" w:rsidR="00C045C1" w:rsidRDefault="00C045C1" w:rsidP="00C045C1">
            <w:pPr>
              <w:pStyle w:val="TableText"/>
            </w:pPr>
            <w:r>
              <w:t>Expired unit received</w:t>
            </w:r>
          </w:p>
        </w:tc>
        <w:tc>
          <w:tcPr>
            <w:tcW w:w="1710" w:type="dxa"/>
          </w:tcPr>
          <w:p w14:paraId="6F523CDB" w14:textId="77777777" w:rsidR="00C045C1" w:rsidRDefault="00C045C1" w:rsidP="00C045C1">
            <w:pPr>
              <w:pStyle w:val="TableText"/>
            </w:pPr>
            <w:r>
              <w:t>All</w:t>
            </w:r>
          </w:p>
        </w:tc>
        <w:tc>
          <w:tcPr>
            <w:tcW w:w="2520" w:type="dxa"/>
          </w:tcPr>
          <w:p w14:paraId="40F59FEF" w14:textId="77777777" w:rsidR="00C045C1" w:rsidRDefault="00C045C1" w:rsidP="00C045C1">
            <w:pPr>
              <w:pStyle w:val="TableText"/>
            </w:pPr>
            <w:r>
              <w:t>Incoming Shipment</w:t>
            </w:r>
          </w:p>
        </w:tc>
        <w:tc>
          <w:tcPr>
            <w:tcW w:w="1417" w:type="dxa"/>
          </w:tcPr>
          <w:p w14:paraId="2A056FC3" w14:textId="77777777" w:rsidR="00C045C1" w:rsidRDefault="00C045C1" w:rsidP="00C045C1">
            <w:pPr>
              <w:pStyle w:val="TableText"/>
            </w:pPr>
            <w:r>
              <w:t>Yes</w:t>
            </w:r>
          </w:p>
        </w:tc>
        <w:tc>
          <w:tcPr>
            <w:tcW w:w="1530" w:type="dxa"/>
          </w:tcPr>
          <w:p w14:paraId="2D9D60CF" w14:textId="77777777" w:rsidR="00C045C1" w:rsidRDefault="00C045C1" w:rsidP="00C045C1">
            <w:pPr>
              <w:pStyle w:val="TableText"/>
            </w:pPr>
            <w:r>
              <w:t>No</w:t>
            </w:r>
          </w:p>
        </w:tc>
      </w:tr>
      <w:tr w:rsidR="00C045C1" w14:paraId="503F4EAD" w14:textId="77777777" w:rsidTr="006F58C9">
        <w:trPr>
          <w:cantSplit/>
        </w:trPr>
        <w:tc>
          <w:tcPr>
            <w:tcW w:w="3235" w:type="dxa"/>
          </w:tcPr>
          <w:p w14:paraId="1D6BF59A" w14:textId="77777777" w:rsidR="00C045C1" w:rsidRDefault="00C045C1" w:rsidP="00C045C1">
            <w:pPr>
              <w:pStyle w:val="TableText"/>
              <w:rPr>
                <w:rFonts w:eastAsia="Symbol"/>
              </w:rPr>
            </w:pPr>
            <w:r>
              <w:t>Expired unit released from quarantine</w:t>
            </w:r>
          </w:p>
        </w:tc>
        <w:tc>
          <w:tcPr>
            <w:tcW w:w="1710" w:type="dxa"/>
          </w:tcPr>
          <w:p w14:paraId="51B9CAD1" w14:textId="77777777" w:rsidR="00C045C1" w:rsidRDefault="00C045C1" w:rsidP="00C045C1">
            <w:pPr>
              <w:pStyle w:val="TableText"/>
              <w:rPr>
                <w:rFonts w:eastAsia="Symbol"/>
              </w:rPr>
            </w:pPr>
            <w:r>
              <w:rPr>
                <w:u w:val="single"/>
              </w:rPr>
              <w:t>&gt;</w:t>
            </w:r>
            <w:r>
              <w:t xml:space="preserve"> Enhanced Tech</w:t>
            </w:r>
          </w:p>
        </w:tc>
        <w:tc>
          <w:tcPr>
            <w:tcW w:w="2520" w:type="dxa"/>
          </w:tcPr>
          <w:p w14:paraId="5FA6A4C4" w14:textId="77777777" w:rsidR="00C045C1" w:rsidRDefault="00C045C1" w:rsidP="00C045C1">
            <w:pPr>
              <w:pStyle w:val="TableText"/>
              <w:rPr>
                <w:rFonts w:eastAsia="Symbol"/>
              </w:rPr>
            </w:pPr>
            <w:r>
              <w:rPr>
                <w:rFonts w:eastAsia="Symbol"/>
              </w:rPr>
              <w:t>Release from Quarantine</w:t>
            </w:r>
          </w:p>
        </w:tc>
        <w:tc>
          <w:tcPr>
            <w:tcW w:w="1417" w:type="dxa"/>
          </w:tcPr>
          <w:p w14:paraId="170BE22D" w14:textId="77777777" w:rsidR="00C045C1" w:rsidRDefault="00C045C1" w:rsidP="00C045C1">
            <w:pPr>
              <w:pStyle w:val="TableText"/>
              <w:rPr>
                <w:rFonts w:eastAsia="Symbol"/>
              </w:rPr>
            </w:pPr>
            <w:r>
              <w:t>Yes</w:t>
            </w:r>
          </w:p>
        </w:tc>
        <w:tc>
          <w:tcPr>
            <w:tcW w:w="1530" w:type="dxa"/>
          </w:tcPr>
          <w:p w14:paraId="3DF08C33" w14:textId="77777777" w:rsidR="00C045C1" w:rsidRDefault="00C045C1" w:rsidP="00C045C1">
            <w:pPr>
              <w:pStyle w:val="TableText"/>
              <w:rPr>
                <w:rFonts w:eastAsia="Symbol"/>
              </w:rPr>
            </w:pPr>
            <w:r>
              <w:t>No</w:t>
            </w:r>
          </w:p>
        </w:tc>
      </w:tr>
      <w:tr w:rsidR="00C045C1" w14:paraId="55A02354" w14:textId="77777777" w:rsidTr="006F58C9">
        <w:trPr>
          <w:cantSplit/>
        </w:trPr>
        <w:tc>
          <w:tcPr>
            <w:tcW w:w="3235" w:type="dxa"/>
          </w:tcPr>
          <w:p w14:paraId="27BA2DFF" w14:textId="77777777" w:rsidR="00C045C1" w:rsidRDefault="00C045C1" w:rsidP="00C045C1">
            <w:pPr>
              <w:pStyle w:val="TableText"/>
            </w:pPr>
            <w:r>
              <w:t>Expired unit selected</w:t>
            </w:r>
          </w:p>
        </w:tc>
        <w:tc>
          <w:tcPr>
            <w:tcW w:w="1710" w:type="dxa"/>
          </w:tcPr>
          <w:p w14:paraId="2C835FBD" w14:textId="77777777" w:rsidR="00C045C1" w:rsidRDefault="00C045C1" w:rsidP="00C045C1">
            <w:pPr>
              <w:pStyle w:val="TableText"/>
            </w:pPr>
            <w:r>
              <w:rPr>
                <w:u w:val="single"/>
              </w:rPr>
              <w:t>&gt;</w:t>
            </w:r>
            <w:r>
              <w:t xml:space="preserve"> Enhanced Tech</w:t>
            </w:r>
          </w:p>
        </w:tc>
        <w:tc>
          <w:tcPr>
            <w:tcW w:w="2520" w:type="dxa"/>
          </w:tcPr>
          <w:p w14:paraId="46FC8FCE" w14:textId="77777777" w:rsidR="00C045C1" w:rsidRDefault="00C045C1" w:rsidP="00C045C1">
            <w:pPr>
              <w:pStyle w:val="TableText"/>
            </w:pPr>
            <w:r>
              <w:t>Select Unit</w:t>
            </w:r>
          </w:p>
        </w:tc>
        <w:tc>
          <w:tcPr>
            <w:tcW w:w="1417" w:type="dxa"/>
          </w:tcPr>
          <w:p w14:paraId="6225A9E0" w14:textId="77777777" w:rsidR="00C045C1" w:rsidRDefault="00C045C1" w:rsidP="00C045C1">
            <w:pPr>
              <w:pStyle w:val="TableText"/>
            </w:pPr>
            <w:r>
              <w:t>No</w:t>
            </w:r>
          </w:p>
        </w:tc>
        <w:tc>
          <w:tcPr>
            <w:tcW w:w="1530" w:type="dxa"/>
          </w:tcPr>
          <w:p w14:paraId="59F2E09F" w14:textId="77777777" w:rsidR="00C045C1" w:rsidRDefault="00C045C1" w:rsidP="00C045C1">
            <w:pPr>
              <w:pStyle w:val="TableText"/>
              <w:rPr>
                <w:rFonts w:eastAsia="Symbol"/>
              </w:rPr>
            </w:pPr>
            <w:r>
              <w:rPr>
                <w:rFonts w:eastAsia="Symbol"/>
              </w:rPr>
              <w:t>Yes</w:t>
            </w:r>
          </w:p>
        </w:tc>
      </w:tr>
      <w:tr w:rsidR="00C045C1" w14:paraId="4D517948" w14:textId="77777777" w:rsidTr="006F58C9">
        <w:trPr>
          <w:cantSplit/>
        </w:trPr>
        <w:tc>
          <w:tcPr>
            <w:tcW w:w="3235" w:type="dxa"/>
          </w:tcPr>
          <w:p w14:paraId="7B78391C" w14:textId="77777777" w:rsidR="00C045C1" w:rsidRDefault="00C045C1" w:rsidP="00C045C1">
            <w:pPr>
              <w:pStyle w:val="TableText"/>
            </w:pPr>
            <w:r>
              <w:t>Final unit status or modification removed</w:t>
            </w:r>
          </w:p>
        </w:tc>
        <w:tc>
          <w:tcPr>
            <w:tcW w:w="1710" w:type="dxa"/>
          </w:tcPr>
          <w:p w14:paraId="4E33E114" w14:textId="77777777" w:rsidR="00C045C1" w:rsidRDefault="00C045C1" w:rsidP="00C045C1">
            <w:pPr>
              <w:pStyle w:val="TableText"/>
            </w:pPr>
            <w:r>
              <w:rPr>
                <w:u w:val="single"/>
              </w:rPr>
              <w:t>&gt;</w:t>
            </w:r>
            <w:r>
              <w:t xml:space="preserve"> Traditional Supervisor</w:t>
            </w:r>
          </w:p>
        </w:tc>
        <w:tc>
          <w:tcPr>
            <w:tcW w:w="2520" w:type="dxa"/>
          </w:tcPr>
          <w:p w14:paraId="374EAA7C" w14:textId="77777777" w:rsidR="00C045C1" w:rsidRDefault="00C045C1" w:rsidP="00C045C1">
            <w:pPr>
              <w:pStyle w:val="TableText"/>
            </w:pPr>
            <w:r>
              <w:t>Remove Final Status</w:t>
            </w:r>
          </w:p>
        </w:tc>
        <w:tc>
          <w:tcPr>
            <w:tcW w:w="1417" w:type="dxa"/>
          </w:tcPr>
          <w:p w14:paraId="5FEF384D" w14:textId="77777777" w:rsidR="00C045C1" w:rsidRDefault="00C045C1" w:rsidP="00C045C1">
            <w:pPr>
              <w:pStyle w:val="TableText"/>
            </w:pPr>
            <w:r>
              <w:t>Yes</w:t>
            </w:r>
          </w:p>
        </w:tc>
        <w:tc>
          <w:tcPr>
            <w:tcW w:w="1530" w:type="dxa"/>
          </w:tcPr>
          <w:p w14:paraId="774FD955" w14:textId="77777777" w:rsidR="00C045C1" w:rsidRDefault="00C045C1" w:rsidP="00C045C1">
            <w:pPr>
              <w:pStyle w:val="TableText"/>
              <w:rPr>
                <w:rFonts w:eastAsia="Symbol"/>
              </w:rPr>
            </w:pPr>
            <w:r>
              <w:rPr>
                <w:rFonts w:eastAsia="Symbol"/>
              </w:rPr>
              <w:t>No</w:t>
            </w:r>
          </w:p>
        </w:tc>
      </w:tr>
      <w:tr w:rsidR="00C045C1" w14:paraId="7C8FE92B" w14:textId="77777777" w:rsidTr="006F58C9">
        <w:trPr>
          <w:cantSplit/>
        </w:trPr>
        <w:tc>
          <w:tcPr>
            <w:tcW w:w="3235" w:type="dxa"/>
          </w:tcPr>
          <w:p w14:paraId="49A68C1B" w14:textId="77777777" w:rsidR="00C045C1" w:rsidRPr="002C66CF" w:rsidRDefault="00C045C1" w:rsidP="00C045C1">
            <w:pPr>
              <w:pStyle w:val="TableText"/>
            </w:pPr>
            <w:r w:rsidRPr="002C66CF">
              <w:t xml:space="preserve">Inconclusive </w:t>
            </w:r>
            <w:r>
              <w:t>c</w:t>
            </w:r>
            <w:r w:rsidRPr="002C66CF">
              <w:t>rossmatch</w:t>
            </w:r>
          </w:p>
        </w:tc>
        <w:tc>
          <w:tcPr>
            <w:tcW w:w="1710" w:type="dxa"/>
          </w:tcPr>
          <w:p w14:paraId="1559D68E" w14:textId="77777777" w:rsidR="00C045C1" w:rsidRPr="002C66CF" w:rsidRDefault="00C045C1" w:rsidP="00C045C1">
            <w:pPr>
              <w:pStyle w:val="TableText"/>
            </w:pPr>
            <w:r>
              <w:t>All</w:t>
            </w:r>
          </w:p>
        </w:tc>
        <w:tc>
          <w:tcPr>
            <w:tcW w:w="2520" w:type="dxa"/>
          </w:tcPr>
          <w:p w14:paraId="3288CAE5" w14:textId="77777777" w:rsidR="00C045C1" w:rsidRPr="002C66CF" w:rsidRDefault="00C045C1" w:rsidP="00C045C1">
            <w:pPr>
              <w:pStyle w:val="TableText"/>
            </w:pPr>
            <w:r>
              <w:t>Patient Testing, serologic crossmatch grid</w:t>
            </w:r>
          </w:p>
        </w:tc>
        <w:tc>
          <w:tcPr>
            <w:tcW w:w="1417" w:type="dxa"/>
          </w:tcPr>
          <w:p w14:paraId="44DC8DB4" w14:textId="77777777" w:rsidR="00C045C1" w:rsidRDefault="00C045C1" w:rsidP="00C045C1">
            <w:pPr>
              <w:pStyle w:val="TableText"/>
            </w:pPr>
            <w:r>
              <w:t>No</w:t>
            </w:r>
          </w:p>
        </w:tc>
        <w:tc>
          <w:tcPr>
            <w:tcW w:w="1530" w:type="dxa"/>
          </w:tcPr>
          <w:p w14:paraId="5C351C6A" w14:textId="77777777" w:rsidR="00C045C1" w:rsidRDefault="00C045C1" w:rsidP="00C045C1">
            <w:pPr>
              <w:pStyle w:val="TableText"/>
            </w:pPr>
            <w:r>
              <w:rPr>
                <w:rFonts w:eastAsia="Symbol"/>
              </w:rPr>
              <w:t>Yes</w:t>
            </w:r>
          </w:p>
        </w:tc>
      </w:tr>
      <w:tr w:rsidR="00C045C1" w14:paraId="356B2228" w14:textId="77777777" w:rsidTr="006F58C9">
        <w:trPr>
          <w:cantSplit/>
        </w:trPr>
        <w:tc>
          <w:tcPr>
            <w:tcW w:w="3235" w:type="dxa"/>
          </w:tcPr>
          <w:p w14:paraId="37F10E95" w14:textId="77777777" w:rsidR="00C045C1" w:rsidRDefault="00C045C1" w:rsidP="00C045C1">
            <w:pPr>
              <w:pStyle w:val="TableText"/>
            </w:pPr>
            <w:r>
              <w:lastRenderedPageBreak/>
              <w:t>Issued expired unit</w:t>
            </w:r>
          </w:p>
        </w:tc>
        <w:tc>
          <w:tcPr>
            <w:tcW w:w="1710" w:type="dxa"/>
          </w:tcPr>
          <w:p w14:paraId="35C93CA0" w14:textId="77777777" w:rsidR="00C045C1" w:rsidRDefault="00C045C1" w:rsidP="00C045C1">
            <w:pPr>
              <w:pStyle w:val="TableText"/>
            </w:pPr>
            <w:r>
              <w:rPr>
                <w:u w:val="single"/>
              </w:rPr>
              <w:t>&gt;</w:t>
            </w:r>
            <w:r>
              <w:t xml:space="preserve"> Enhanced Tech</w:t>
            </w:r>
          </w:p>
        </w:tc>
        <w:tc>
          <w:tcPr>
            <w:tcW w:w="2520" w:type="dxa"/>
          </w:tcPr>
          <w:p w14:paraId="04279F72" w14:textId="77777777" w:rsidR="00C045C1" w:rsidRDefault="00C045C1" w:rsidP="00C045C1">
            <w:pPr>
              <w:pStyle w:val="TableText"/>
            </w:pPr>
            <w:r>
              <w:t>Issue Blood</w:t>
            </w:r>
          </w:p>
        </w:tc>
        <w:tc>
          <w:tcPr>
            <w:tcW w:w="1417" w:type="dxa"/>
          </w:tcPr>
          <w:p w14:paraId="7F1C794E" w14:textId="77777777" w:rsidR="00C045C1" w:rsidRDefault="00C045C1" w:rsidP="00C045C1">
            <w:pPr>
              <w:pStyle w:val="TableText"/>
            </w:pPr>
            <w:r>
              <w:t>No</w:t>
            </w:r>
          </w:p>
        </w:tc>
        <w:tc>
          <w:tcPr>
            <w:tcW w:w="1530" w:type="dxa"/>
          </w:tcPr>
          <w:p w14:paraId="02669B94" w14:textId="77777777" w:rsidR="00C045C1" w:rsidRDefault="00C045C1" w:rsidP="00C045C1">
            <w:pPr>
              <w:pStyle w:val="TableText"/>
            </w:pPr>
            <w:r>
              <w:rPr>
                <w:rFonts w:eastAsia="Symbol"/>
              </w:rPr>
              <w:t>Yes</w:t>
            </w:r>
          </w:p>
        </w:tc>
      </w:tr>
      <w:tr w:rsidR="00C045C1" w14:paraId="0258478C" w14:textId="77777777" w:rsidTr="006F58C9">
        <w:trPr>
          <w:cantSplit/>
        </w:trPr>
        <w:tc>
          <w:tcPr>
            <w:tcW w:w="3235" w:type="dxa"/>
          </w:tcPr>
          <w:p w14:paraId="6A0A2482" w14:textId="77777777" w:rsidR="00C045C1" w:rsidRDefault="00C045C1" w:rsidP="00C045C1">
            <w:pPr>
              <w:pStyle w:val="TableText"/>
            </w:pPr>
            <w:r>
              <w:t>Less restrictive unit issued</w:t>
            </w:r>
          </w:p>
        </w:tc>
        <w:tc>
          <w:tcPr>
            <w:tcW w:w="1710" w:type="dxa"/>
          </w:tcPr>
          <w:p w14:paraId="2227871D" w14:textId="77777777" w:rsidR="00C045C1" w:rsidRDefault="00C045C1" w:rsidP="00C045C1">
            <w:pPr>
              <w:pStyle w:val="TableText"/>
            </w:pPr>
            <w:r>
              <w:t>All</w:t>
            </w:r>
          </w:p>
        </w:tc>
        <w:tc>
          <w:tcPr>
            <w:tcW w:w="2520" w:type="dxa"/>
          </w:tcPr>
          <w:p w14:paraId="61772EFC" w14:textId="77777777" w:rsidR="00C045C1" w:rsidRDefault="00C045C1" w:rsidP="00C045C1">
            <w:pPr>
              <w:pStyle w:val="TableText"/>
            </w:pPr>
            <w:r>
              <w:t>Issue Blood</w:t>
            </w:r>
          </w:p>
        </w:tc>
        <w:tc>
          <w:tcPr>
            <w:tcW w:w="1417" w:type="dxa"/>
          </w:tcPr>
          <w:p w14:paraId="34527661" w14:textId="77777777" w:rsidR="00C045C1" w:rsidRDefault="00C045C1" w:rsidP="00C045C1">
            <w:pPr>
              <w:pStyle w:val="TableText"/>
            </w:pPr>
            <w:r>
              <w:t>No</w:t>
            </w:r>
          </w:p>
        </w:tc>
        <w:tc>
          <w:tcPr>
            <w:tcW w:w="1530" w:type="dxa"/>
          </w:tcPr>
          <w:p w14:paraId="5A94323D" w14:textId="77777777" w:rsidR="00C045C1" w:rsidRDefault="00C045C1" w:rsidP="00C045C1">
            <w:pPr>
              <w:pStyle w:val="TableText"/>
            </w:pPr>
            <w:r>
              <w:rPr>
                <w:rFonts w:eastAsia="Symbol"/>
              </w:rPr>
              <w:t>Yes</w:t>
            </w:r>
          </w:p>
        </w:tc>
      </w:tr>
      <w:tr w:rsidR="00C045C1" w14:paraId="2C931FAC" w14:textId="77777777" w:rsidTr="006F58C9">
        <w:trPr>
          <w:cantSplit/>
        </w:trPr>
        <w:tc>
          <w:tcPr>
            <w:tcW w:w="3235" w:type="dxa"/>
          </w:tcPr>
          <w:p w14:paraId="0FBD833B" w14:textId="77777777" w:rsidR="00C045C1" w:rsidRDefault="00C045C1" w:rsidP="00C045C1">
            <w:pPr>
              <w:pStyle w:val="TableText"/>
            </w:pPr>
            <w:r>
              <w:t>Less restrictive unit selected</w:t>
            </w:r>
          </w:p>
        </w:tc>
        <w:tc>
          <w:tcPr>
            <w:tcW w:w="1710" w:type="dxa"/>
          </w:tcPr>
          <w:p w14:paraId="746018D8" w14:textId="77777777" w:rsidR="00C045C1" w:rsidRDefault="00C045C1" w:rsidP="00C045C1">
            <w:pPr>
              <w:pStyle w:val="TableText"/>
            </w:pPr>
            <w:r>
              <w:t>All</w:t>
            </w:r>
          </w:p>
        </w:tc>
        <w:tc>
          <w:tcPr>
            <w:tcW w:w="2520" w:type="dxa"/>
          </w:tcPr>
          <w:p w14:paraId="25A5FFF8" w14:textId="77777777" w:rsidR="00C045C1" w:rsidRDefault="00C045C1" w:rsidP="00C045C1">
            <w:pPr>
              <w:pStyle w:val="TableText"/>
            </w:pPr>
            <w:r>
              <w:t>Select Unit</w:t>
            </w:r>
          </w:p>
        </w:tc>
        <w:tc>
          <w:tcPr>
            <w:tcW w:w="1417" w:type="dxa"/>
          </w:tcPr>
          <w:p w14:paraId="6C599D57" w14:textId="77777777" w:rsidR="00C045C1" w:rsidRDefault="00C045C1" w:rsidP="00C045C1">
            <w:pPr>
              <w:pStyle w:val="TableText"/>
            </w:pPr>
            <w:r>
              <w:t>No</w:t>
            </w:r>
          </w:p>
        </w:tc>
        <w:tc>
          <w:tcPr>
            <w:tcW w:w="1530" w:type="dxa"/>
          </w:tcPr>
          <w:p w14:paraId="44F6010D" w14:textId="77777777" w:rsidR="00C045C1" w:rsidRDefault="00C045C1" w:rsidP="00C045C1">
            <w:pPr>
              <w:pStyle w:val="TableText"/>
            </w:pPr>
            <w:r>
              <w:rPr>
                <w:rFonts w:eastAsia="Symbol"/>
              </w:rPr>
              <w:t>Yes</w:t>
            </w:r>
          </w:p>
        </w:tc>
      </w:tr>
      <w:tr w:rsidR="00C045C1" w14:paraId="7916E2CA" w14:textId="77777777" w:rsidTr="006F58C9">
        <w:trPr>
          <w:cantSplit/>
        </w:trPr>
        <w:tc>
          <w:tcPr>
            <w:tcW w:w="3235" w:type="dxa"/>
          </w:tcPr>
          <w:p w14:paraId="2332DC0F" w14:textId="77777777" w:rsidR="00C045C1" w:rsidRDefault="00C045C1" w:rsidP="00C045C1">
            <w:pPr>
              <w:pStyle w:val="TableText"/>
              <w:rPr>
                <w:rFonts w:eastAsia="Symbol"/>
              </w:rPr>
            </w:pPr>
            <w:r>
              <w:t>Non-standard test procedure</w:t>
            </w:r>
          </w:p>
        </w:tc>
        <w:tc>
          <w:tcPr>
            <w:tcW w:w="1710" w:type="dxa"/>
          </w:tcPr>
          <w:p w14:paraId="7130E55E" w14:textId="77777777" w:rsidR="00C045C1" w:rsidRDefault="00C045C1" w:rsidP="00C045C1">
            <w:pPr>
              <w:pStyle w:val="TableText"/>
              <w:rPr>
                <w:rFonts w:eastAsia="Symbol"/>
              </w:rPr>
            </w:pPr>
            <w:r>
              <w:rPr>
                <w:rFonts w:eastAsia="Symbol"/>
              </w:rPr>
              <w:t>All</w:t>
            </w:r>
          </w:p>
        </w:tc>
        <w:tc>
          <w:tcPr>
            <w:tcW w:w="2520" w:type="dxa"/>
          </w:tcPr>
          <w:p w14:paraId="7BDC30A5" w14:textId="77777777" w:rsidR="00C045C1" w:rsidRDefault="00C045C1" w:rsidP="00C045C1">
            <w:pPr>
              <w:pStyle w:val="TableText"/>
              <w:rPr>
                <w:rFonts w:eastAsia="Symbol"/>
              </w:rPr>
            </w:pPr>
            <w:r>
              <w:rPr>
                <w:rFonts w:eastAsia="Symbol"/>
              </w:rPr>
              <w:t>Patient Testing, Antibody screen, serologic crossmatch</w:t>
            </w:r>
          </w:p>
        </w:tc>
        <w:tc>
          <w:tcPr>
            <w:tcW w:w="1417" w:type="dxa"/>
          </w:tcPr>
          <w:p w14:paraId="4943208D" w14:textId="77777777" w:rsidR="00C045C1" w:rsidRDefault="00C045C1" w:rsidP="00C045C1">
            <w:pPr>
              <w:pStyle w:val="TableText"/>
              <w:rPr>
                <w:rFonts w:eastAsia="Symbol"/>
              </w:rPr>
            </w:pPr>
            <w:r>
              <w:t>No</w:t>
            </w:r>
          </w:p>
        </w:tc>
        <w:tc>
          <w:tcPr>
            <w:tcW w:w="1530" w:type="dxa"/>
          </w:tcPr>
          <w:p w14:paraId="2F44AFBE" w14:textId="77777777" w:rsidR="00C045C1" w:rsidRDefault="00C045C1" w:rsidP="00C045C1">
            <w:pPr>
              <w:pStyle w:val="TableText"/>
              <w:rPr>
                <w:rFonts w:eastAsia="Symbol"/>
              </w:rPr>
            </w:pPr>
            <w:r>
              <w:rPr>
                <w:rFonts w:eastAsia="Symbol"/>
              </w:rPr>
              <w:t>Yes</w:t>
            </w:r>
          </w:p>
        </w:tc>
      </w:tr>
      <w:tr w:rsidR="00C045C1" w14:paraId="6384D5F5" w14:textId="77777777" w:rsidTr="006F58C9">
        <w:trPr>
          <w:cantSplit/>
        </w:trPr>
        <w:tc>
          <w:tcPr>
            <w:tcW w:w="3235" w:type="dxa"/>
          </w:tcPr>
          <w:p w14:paraId="7E074642" w14:textId="77777777" w:rsidR="00C045C1" w:rsidRDefault="00C045C1" w:rsidP="00C045C1">
            <w:pPr>
              <w:pStyle w:val="TableText"/>
              <w:rPr>
                <w:rFonts w:eastAsia="Symbol"/>
              </w:rPr>
            </w:pPr>
            <w:r>
              <w:t>(Patient) ABO/Rh discrepancy</w:t>
            </w:r>
          </w:p>
        </w:tc>
        <w:tc>
          <w:tcPr>
            <w:tcW w:w="1710" w:type="dxa"/>
          </w:tcPr>
          <w:p w14:paraId="781F3AF3" w14:textId="77777777" w:rsidR="00C045C1" w:rsidRDefault="00C045C1" w:rsidP="00C045C1">
            <w:pPr>
              <w:pStyle w:val="TableText"/>
              <w:rPr>
                <w:rFonts w:eastAsia="Symbol"/>
              </w:rPr>
            </w:pPr>
            <w:r>
              <w:rPr>
                <w:rFonts w:eastAsia="Symbol"/>
              </w:rPr>
              <w:t>All</w:t>
            </w:r>
          </w:p>
        </w:tc>
        <w:tc>
          <w:tcPr>
            <w:tcW w:w="2520" w:type="dxa"/>
          </w:tcPr>
          <w:p w14:paraId="6125688C" w14:textId="77777777" w:rsidR="00C045C1" w:rsidRDefault="00C045C1" w:rsidP="00C045C1">
            <w:pPr>
              <w:pStyle w:val="TableText"/>
              <w:rPr>
                <w:rFonts w:eastAsia="Symbol"/>
              </w:rPr>
            </w:pPr>
            <w:r>
              <w:rPr>
                <w:rFonts w:eastAsia="Symbol"/>
              </w:rPr>
              <w:t>Patient testing, ABO/Rh test</w:t>
            </w:r>
          </w:p>
        </w:tc>
        <w:tc>
          <w:tcPr>
            <w:tcW w:w="1417" w:type="dxa"/>
          </w:tcPr>
          <w:p w14:paraId="7328AED4" w14:textId="77777777" w:rsidR="00C045C1" w:rsidRDefault="00C045C1" w:rsidP="00C045C1">
            <w:pPr>
              <w:pStyle w:val="TableText"/>
              <w:rPr>
                <w:rFonts w:eastAsia="Symbol"/>
              </w:rPr>
            </w:pPr>
            <w:r>
              <w:t>No</w:t>
            </w:r>
          </w:p>
        </w:tc>
        <w:tc>
          <w:tcPr>
            <w:tcW w:w="1530" w:type="dxa"/>
          </w:tcPr>
          <w:p w14:paraId="7AC7F166" w14:textId="77777777" w:rsidR="00C045C1" w:rsidRDefault="00C045C1" w:rsidP="00C045C1">
            <w:pPr>
              <w:pStyle w:val="TableText"/>
              <w:rPr>
                <w:rFonts w:eastAsia="Symbol"/>
              </w:rPr>
            </w:pPr>
            <w:r>
              <w:rPr>
                <w:rFonts w:eastAsia="Symbol"/>
              </w:rPr>
              <w:t>Yes</w:t>
            </w:r>
          </w:p>
        </w:tc>
      </w:tr>
      <w:tr w:rsidR="00C045C1" w14:paraId="0B1DE147" w14:textId="77777777" w:rsidTr="006F58C9">
        <w:trPr>
          <w:cantSplit/>
        </w:trPr>
        <w:tc>
          <w:tcPr>
            <w:tcW w:w="3235" w:type="dxa"/>
          </w:tcPr>
          <w:p w14:paraId="7A10F43D" w14:textId="77777777" w:rsidR="00C045C1" w:rsidRDefault="00C045C1" w:rsidP="00C045C1">
            <w:pPr>
              <w:pStyle w:val="TableText"/>
              <w:rPr>
                <w:rFonts w:eastAsia="Symbol"/>
              </w:rPr>
            </w:pPr>
            <w:r>
              <w:t>Previously recorded results inactivated</w:t>
            </w:r>
          </w:p>
        </w:tc>
        <w:tc>
          <w:tcPr>
            <w:tcW w:w="1710" w:type="dxa"/>
          </w:tcPr>
          <w:p w14:paraId="7776B900" w14:textId="77777777" w:rsidR="00C045C1" w:rsidRPr="0095633D" w:rsidRDefault="00C045C1" w:rsidP="00C045C1">
            <w:pPr>
              <w:rPr>
                <w:rFonts w:ascii="Arial" w:hAnsi="Arial" w:cs="Arial"/>
                <w:sz w:val="18"/>
                <w:szCs w:val="18"/>
              </w:rPr>
            </w:pPr>
            <w:r w:rsidRPr="0095633D">
              <w:rPr>
                <w:rFonts w:ascii="Arial" w:eastAsia="Symbol" w:hAnsi="Arial" w:cs="Arial"/>
                <w:sz w:val="18"/>
                <w:szCs w:val="18"/>
              </w:rPr>
              <w:t>All</w:t>
            </w:r>
          </w:p>
        </w:tc>
        <w:tc>
          <w:tcPr>
            <w:tcW w:w="2520" w:type="dxa"/>
          </w:tcPr>
          <w:p w14:paraId="20A4241F" w14:textId="77777777" w:rsidR="00C045C1" w:rsidRDefault="00C045C1" w:rsidP="00C045C1">
            <w:pPr>
              <w:pStyle w:val="TableText"/>
              <w:rPr>
                <w:rFonts w:eastAsia="Symbol"/>
              </w:rPr>
            </w:pPr>
            <w:r>
              <w:rPr>
                <w:rFonts w:eastAsia="Symbol"/>
              </w:rPr>
              <w:t>All testing grids where the red x is used to clear a grid.</w:t>
            </w:r>
          </w:p>
        </w:tc>
        <w:tc>
          <w:tcPr>
            <w:tcW w:w="1417" w:type="dxa"/>
          </w:tcPr>
          <w:p w14:paraId="540A7B1F" w14:textId="77777777" w:rsidR="00C045C1" w:rsidRDefault="00C045C1" w:rsidP="00C045C1">
            <w:pPr>
              <w:pStyle w:val="TableText"/>
              <w:rPr>
                <w:rFonts w:eastAsia="Symbol"/>
              </w:rPr>
            </w:pPr>
            <w:r>
              <w:t>No</w:t>
            </w:r>
          </w:p>
        </w:tc>
        <w:tc>
          <w:tcPr>
            <w:tcW w:w="1530" w:type="dxa"/>
          </w:tcPr>
          <w:p w14:paraId="31224781" w14:textId="77777777" w:rsidR="00C045C1" w:rsidRDefault="00C045C1" w:rsidP="00C045C1">
            <w:pPr>
              <w:pStyle w:val="TableText"/>
              <w:rPr>
                <w:rFonts w:eastAsia="Symbol"/>
              </w:rPr>
            </w:pPr>
            <w:r>
              <w:rPr>
                <w:rFonts w:eastAsia="Symbol"/>
              </w:rPr>
              <w:t>Yes</w:t>
            </w:r>
          </w:p>
        </w:tc>
      </w:tr>
      <w:tr w:rsidR="00C045C1" w14:paraId="0AB9F879" w14:textId="77777777" w:rsidTr="006F58C9">
        <w:trPr>
          <w:cantSplit/>
        </w:trPr>
        <w:tc>
          <w:tcPr>
            <w:tcW w:w="3235" w:type="dxa"/>
          </w:tcPr>
          <w:p w14:paraId="14582A3A" w14:textId="77777777" w:rsidR="00C045C1" w:rsidRDefault="00C045C1" w:rsidP="00C045C1">
            <w:pPr>
              <w:pStyle w:val="TableText"/>
            </w:pPr>
            <w:r>
              <w:t>Previously recorded results invalidated</w:t>
            </w:r>
          </w:p>
        </w:tc>
        <w:tc>
          <w:tcPr>
            <w:tcW w:w="1710" w:type="dxa"/>
          </w:tcPr>
          <w:p w14:paraId="1558A6D9" w14:textId="77777777" w:rsidR="00C045C1" w:rsidRPr="0095633D" w:rsidRDefault="00C045C1" w:rsidP="00C045C1">
            <w:pPr>
              <w:rPr>
                <w:rFonts w:ascii="Arial" w:hAnsi="Arial" w:cs="Arial"/>
                <w:sz w:val="18"/>
                <w:szCs w:val="18"/>
              </w:rPr>
            </w:pPr>
            <w:r w:rsidRPr="0095633D">
              <w:rPr>
                <w:rFonts w:ascii="Arial" w:eastAsia="Symbol" w:hAnsi="Arial" w:cs="Arial"/>
                <w:sz w:val="18"/>
                <w:szCs w:val="18"/>
              </w:rPr>
              <w:t>All</w:t>
            </w:r>
          </w:p>
        </w:tc>
        <w:tc>
          <w:tcPr>
            <w:tcW w:w="2520" w:type="dxa"/>
          </w:tcPr>
          <w:p w14:paraId="05059A05" w14:textId="77777777" w:rsidR="00C045C1" w:rsidRDefault="00C045C1" w:rsidP="00C045C1">
            <w:pPr>
              <w:pStyle w:val="TableText"/>
            </w:pPr>
            <w:r>
              <w:rPr>
                <w:rFonts w:eastAsia="Symbol"/>
              </w:rPr>
              <w:t>Invalidate Patient Testing</w:t>
            </w:r>
          </w:p>
        </w:tc>
        <w:tc>
          <w:tcPr>
            <w:tcW w:w="1417" w:type="dxa"/>
          </w:tcPr>
          <w:p w14:paraId="42F2545C" w14:textId="77777777" w:rsidR="00C045C1" w:rsidRDefault="00C045C1" w:rsidP="00C045C1">
            <w:pPr>
              <w:pStyle w:val="TableText"/>
              <w:rPr>
                <w:rFonts w:eastAsia="Symbol"/>
              </w:rPr>
            </w:pPr>
            <w:r>
              <w:rPr>
                <w:rFonts w:eastAsia="Symbol"/>
              </w:rPr>
              <w:t xml:space="preserve">Yes </w:t>
            </w:r>
          </w:p>
        </w:tc>
        <w:tc>
          <w:tcPr>
            <w:tcW w:w="1530" w:type="dxa"/>
          </w:tcPr>
          <w:p w14:paraId="659B1D25" w14:textId="77777777" w:rsidR="00C045C1" w:rsidRDefault="00C045C1" w:rsidP="00C045C1">
            <w:pPr>
              <w:pStyle w:val="TableText"/>
              <w:rPr>
                <w:rFonts w:eastAsia="Symbol"/>
              </w:rPr>
            </w:pPr>
            <w:r>
              <w:t>No</w:t>
            </w:r>
          </w:p>
        </w:tc>
      </w:tr>
      <w:tr w:rsidR="00C045C1" w14:paraId="5803E248" w14:textId="77777777" w:rsidTr="006F58C9">
        <w:trPr>
          <w:cantSplit/>
        </w:trPr>
        <w:tc>
          <w:tcPr>
            <w:tcW w:w="3235" w:type="dxa"/>
          </w:tcPr>
          <w:p w14:paraId="1B7E003E" w14:textId="2A9D6333" w:rsidR="00C045C1" w:rsidRDefault="00C045C1" w:rsidP="00C045C1">
            <w:pPr>
              <w:pStyle w:val="TableText"/>
              <w:rPr>
                <w:rFonts w:eastAsia="Symbol"/>
              </w:rPr>
            </w:pPr>
            <w:r>
              <w:t xml:space="preserve">QC decrease reagent reactivity </w:t>
            </w:r>
            <w:r w:rsidR="008D4668">
              <w:rPr>
                <w:rStyle w:val="Char"/>
                <w:sz w:val="18"/>
                <w:szCs w:val="18"/>
              </w:rPr>
              <w:t>&gt;=</w:t>
            </w:r>
            <w:r w:rsidRPr="004D0684">
              <w:rPr>
                <w:rStyle w:val="Char"/>
                <w:sz w:val="18"/>
                <w:szCs w:val="18"/>
              </w:rPr>
              <w:t>2</w:t>
            </w:r>
          </w:p>
        </w:tc>
        <w:tc>
          <w:tcPr>
            <w:tcW w:w="1710" w:type="dxa"/>
          </w:tcPr>
          <w:p w14:paraId="4BDC0C89" w14:textId="77777777" w:rsidR="00C045C1" w:rsidRDefault="00C045C1" w:rsidP="00C045C1">
            <w:pPr>
              <w:pStyle w:val="TableText"/>
              <w:rPr>
                <w:rFonts w:eastAsia="Symbol"/>
              </w:rPr>
            </w:pPr>
            <w:r>
              <w:rPr>
                <w:rFonts w:eastAsia="Symbol"/>
              </w:rPr>
              <w:t>All</w:t>
            </w:r>
          </w:p>
        </w:tc>
        <w:tc>
          <w:tcPr>
            <w:tcW w:w="2520" w:type="dxa"/>
          </w:tcPr>
          <w:p w14:paraId="53D9BE95" w14:textId="77777777" w:rsidR="00C045C1" w:rsidRDefault="00C045C1" w:rsidP="00C045C1">
            <w:pPr>
              <w:pStyle w:val="TableText"/>
              <w:rPr>
                <w:rFonts w:eastAsia="Symbol"/>
              </w:rPr>
            </w:pPr>
            <w:r>
              <w:rPr>
                <w:rFonts w:eastAsia="Symbol"/>
              </w:rPr>
              <w:t>All testing where Rack is selected</w:t>
            </w:r>
          </w:p>
        </w:tc>
        <w:tc>
          <w:tcPr>
            <w:tcW w:w="1417" w:type="dxa"/>
          </w:tcPr>
          <w:p w14:paraId="637139A9" w14:textId="77777777" w:rsidR="00C045C1" w:rsidRDefault="00C045C1" w:rsidP="00C045C1">
            <w:pPr>
              <w:pStyle w:val="TableText"/>
              <w:rPr>
                <w:rFonts w:eastAsia="Symbol"/>
              </w:rPr>
            </w:pPr>
            <w:r>
              <w:t>No</w:t>
            </w:r>
          </w:p>
        </w:tc>
        <w:tc>
          <w:tcPr>
            <w:tcW w:w="1530" w:type="dxa"/>
          </w:tcPr>
          <w:p w14:paraId="09BDF8F1" w14:textId="77777777" w:rsidR="00C045C1" w:rsidRDefault="00C045C1" w:rsidP="00C045C1">
            <w:pPr>
              <w:pStyle w:val="TableText"/>
              <w:rPr>
                <w:rFonts w:eastAsia="Symbol"/>
              </w:rPr>
            </w:pPr>
            <w:r>
              <w:t>No</w:t>
            </w:r>
          </w:p>
        </w:tc>
      </w:tr>
      <w:tr w:rsidR="00C045C1" w14:paraId="50E1EC07" w14:textId="77777777" w:rsidTr="006F58C9">
        <w:trPr>
          <w:cantSplit/>
        </w:trPr>
        <w:tc>
          <w:tcPr>
            <w:tcW w:w="3235" w:type="dxa"/>
          </w:tcPr>
          <w:p w14:paraId="280CCEDB" w14:textId="77777777" w:rsidR="00C045C1" w:rsidRDefault="00C045C1" w:rsidP="00C045C1">
            <w:pPr>
              <w:pStyle w:val="TableText"/>
              <w:rPr>
                <w:rFonts w:eastAsia="Symbol"/>
              </w:rPr>
            </w:pPr>
            <w:r>
              <w:t>QC not performed on rack used for testing</w:t>
            </w:r>
          </w:p>
        </w:tc>
        <w:tc>
          <w:tcPr>
            <w:tcW w:w="1710" w:type="dxa"/>
          </w:tcPr>
          <w:p w14:paraId="0E687437" w14:textId="77777777" w:rsidR="00C045C1" w:rsidRDefault="00C045C1" w:rsidP="00C045C1">
            <w:pPr>
              <w:pStyle w:val="TableText"/>
              <w:rPr>
                <w:rFonts w:eastAsia="Symbol"/>
              </w:rPr>
            </w:pPr>
            <w:r>
              <w:rPr>
                <w:rFonts w:eastAsia="Symbol"/>
              </w:rPr>
              <w:t>All</w:t>
            </w:r>
          </w:p>
        </w:tc>
        <w:tc>
          <w:tcPr>
            <w:tcW w:w="2520" w:type="dxa"/>
          </w:tcPr>
          <w:p w14:paraId="583F0E7D" w14:textId="77777777" w:rsidR="00C045C1" w:rsidRDefault="00C045C1" w:rsidP="00C045C1">
            <w:pPr>
              <w:pStyle w:val="TableText"/>
              <w:rPr>
                <w:rFonts w:eastAsia="Symbol"/>
              </w:rPr>
            </w:pPr>
            <w:r>
              <w:rPr>
                <w:rFonts w:eastAsia="Symbol"/>
              </w:rPr>
              <w:t>All testing where Rack is selected</w:t>
            </w:r>
          </w:p>
        </w:tc>
        <w:tc>
          <w:tcPr>
            <w:tcW w:w="1417" w:type="dxa"/>
          </w:tcPr>
          <w:p w14:paraId="061BA735" w14:textId="77777777" w:rsidR="00C045C1" w:rsidRDefault="00C045C1" w:rsidP="00C045C1">
            <w:pPr>
              <w:pStyle w:val="TableText"/>
              <w:rPr>
                <w:rFonts w:eastAsia="Symbol"/>
              </w:rPr>
            </w:pPr>
            <w:r>
              <w:t>No</w:t>
            </w:r>
          </w:p>
        </w:tc>
        <w:tc>
          <w:tcPr>
            <w:tcW w:w="1530" w:type="dxa"/>
          </w:tcPr>
          <w:p w14:paraId="6DEA4EE7" w14:textId="77777777" w:rsidR="00C045C1" w:rsidRDefault="00C045C1" w:rsidP="00C045C1">
            <w:pPr>
              <w:pStyle w:val="TableText"/>
              <w:rPr>
                <w:rFonts w:eastAsia="Symbol"/>
              </w:rPr>
            </w:pPr>
            <w:r>
              <w:rPr>
                <w:rFonts w:eastAsia="Symbol"/>
              </w:rPr>
              <w:t>Yes</w:t>
            </w:r>
          </w:p>
        </w:tc>
      </w:tr>
      <w:tr w:rsidR="00C045C1" w14:paraId="0BFD4180" w14:textId="77777777" w:rsidTr="006F58C9">
        <w:trPr>
          <w:cantSplit/>
        </w:trPr>
        <w:tc>
          <w:tcPr>
            <w:tcW w:w="3235" w:type="dxa"/>
          </w:tcPr>
          <w:p w14:paraId="0628A8FB" w14:textId="77777777" w:rsidR="00C045C1" w:rsidRDefault="00C045C1" w:rsidP="00C045C1">
            <w:pPr>
              <w:pStyle w:val="TableText"/>
              <w:rPr>
                <w:rFonts w:eastAsia="Symbol"/>
              </w:rPr>
            </w:pPr>
            <w:r>
              <w:t>Reflex test ordered on expired specimen</w:t>
            </w:r>
          </w:p>
        </w:tc>
        <w:tc>
          <w:tcPr>
            <w:tcW w:w="1710" w:type="dxa"/>
          </w:tcPr>
          <w:p w14:paraId="60E74FE4" w14:textId="77777777" w:rsidR="00C045C1" w:rsidRDefault="00C045C1" w:rsidP="00C045C1">
            <w:pPr>
              <w:pStyle w:val="TableText"/>
              <w:rPr>
                <w:rFonts w:eastAsia="Symbol"/>
              </w:rPr>
            </w:pPr>
            <w:r>
              <w:rPr>
                <w:rFonts w:eastAsia="Symbol"/>
              </w:rPr>
              <w:t>All</w:t>
            </w:r>
          </w:p>
        </w:tc>
        <w:tc>
          <w:tcPr>
            <w:tcW w:w="2520" w:type="dxa"/>
          </w:tcPr>
          <w:p w14:paraId="24F0CC33" w14:textId="77777777" w:rsidR="00C045C1" w:rsidRDefault="00C045C1" w:rsidP="00C045C1">
            <w:pPr>
              <w:pStyle w:val="TableText"/>
              <w:rPr>
                <w:rFonts w:eastAsia="Symbol"/>
              </w:rPr>
            </w:pPr>
            <w:r>
              <w:rPr>
                <w:rFonts w:eastAsia="Symbol"/>
              </w:rPr>
              <w:t>Order Reflex Test</w:t>
            </w:r>
          </w:p>
        </w:tc>
        <w:tc>
          <w:tcPr>
            <w:tcW w:w="1417" w:type="dxa"/>
          </w:tcPr>
          <w:p w14:paraId="44D6895C" w14:textId="77777777" w:rsidR="00C045C1" w:rsidRDefault="00C045C1" w:rsidP="00C045C1">
            <w:pPr>
              <w:pStyle w:val="TableText"/>
              <w:rPr>
                <w:rFonts w:eastAsia="Symbol"/>
              </w:rPr>
            </w:pPr>
            <w:r>
              <w:t>No</w:t>
            </w:r>
          </w:p>
        </w:tc>
        <w:tc>
          <w:tcPr>
            <w:tcW w:w="1530" w:type="dxa"/>
          </w:tcPr>
          <w:p w14:paraId="7560572D" w14:textId="77777777" w:rsidR="00C045C1" w:rsidRDefault="00C045C1" w:rsidP="00C045C1">
            <w:pPr>
              <w:pStyle w:val="TableText"/>
              <w:rPr>
                <w:rFonts w:eastAsia="Symbol"/>
              </w:rPr>
            </w:pPr>
            <w:r>
              <w:rPr>
                <w:rFonts w:eastAsia="Symbol"/>
              </w:rPr>
              <w:t>Yes</w:t>
            </w:r>
          </w:p>
        </w:tc>
      </w:tr>
      <w:tr w:rsidR="00C045C1" w14:paraId="4E5BEB3F" w14:textId="77777777" w:rsidTr="006F58C9">
        <w:trPr>
          <w:cantSplit/>
        </w:trPr>
        <w:tc>
          <w:tcPr>
            <w:tcW w:w="3235" w:type="dxa"/>
          </w:tcPr>
          <w:p w14:paraId="0DC69190" w14:textId="77777777" w:rsidR="00C045C1" w:rsidRDefault="00C045C1" w:rsidP="00C045C1">
            <w:pPr>
              <w:pStyle w:val="TableText"/>
            </w:pPr>
            <w:r>
              <w:t>Released patient restriction</w:t>
            </w:r>
          </w:p>
        </w:tc>
        <w:tc>
          <w:tcPr>
            <w:tcW w:w="1710" w:type="dxa"/>
          </w:tcPr>
          <w:p w14:paraId="15CAEE6C" w14:textId="77777777" w:rsidR="00C045C1" w:rsidRDefault="00C045C1" w:rsidP="00C045C1">
            <w:pPr>
              <w:pStyle w:val="TableText"/>
            </w:pPr>
            <w:r>
              <w:rPr>
                <w:u w:val="single"/>
              </w:rPr>
              <w:t>&gt;</w:t>
            </w:r>
            <w:r>
              <w:t xml:space="preserve"> Enhanced Tech</w:t>
            </w:r>
          </w:p>
        </w:tc>
        <w:tc>
          <w:tcPr>
            <w:tcW w:w="2520" w:type="dxa"/>
          </w:tcPr>
          <w:p w14:paraId="2529660D" w14:textId="77777777" w:rsidR="00C045C1" w:rsidRDefault="00C045C1" w:rsidP="00C045C1">
            <w:pPr>
              <w:pStyle w:val="TableText"/>
            </w:pPr>
            <w:r>
              <w:t>Free Directed Donor</w:t>
            </w:r>
          </w:p>
        </w:tc>
        <w:tc>
          <w:tcPr>
            <w:tcW w:w="1417" w:type="dxa"/>
          </w:tcPr>
          <w:p w14:paraId="403CB8C5" w14:textId="77777777" w:rsidR="00C045C1" w:rsidRDefault="00C045C1" w:rsidP="00C045C1">
            <w:pPr>
              <w:pStyle w:val="TableText"/>
            </w:pPr>
            <w:r>
              <w:t>No</w:t>
            </w:r>
          </w:p>
        </w:tc>
        <w:tc>
          <w:tcPr>
            <w:tcW w:w="1530" w:type="dxa"/>
          </w:tcPr>
          <w:p w14:paraId="7489324F" w14:textId="77777777" w:rsidR="00C045C1" w:rsidRDefault="00C045C1" w:rsidP="00C045C1">
            <w:pPr>
              <w:pStyle w:val="TableText"/>
            </w:pPr>
            <w:r>
              <w:rPr>
                <w:rFonts w:eastAsia="Symbol"/>
              </w:rPr>
              <w:t>Yes</w:t>
            </w:r>
          </w:p>
        </w:tc>
      </w:tr>
      <w:tr w:rsidR="00C045C1" w14:paraId="2C36B1BE" w14:textId="77777777" w:rsidTr="006F58C9">
        <w:trPr>
          <w:cantSplit/>
        </w:trPr>
        <w:tc>
          <w:tcPr>
            <w:tcW w:w="3235" w:type="dxa"/>
          </w:tcPr>
          <w:p w14:paraId="375CB51E" w14:textId="77777777" w:rsidR="00C045C1" w:rsidRDefault="00C045C1" w:rsidP="00C045C1">
            <w:pPr>
              <w:pStyle w:val="TableText"/>
              <w:rPr>
                <w:rFonts w:eastAsia="Symbol"/>
              </w:rPr>
            </w:pPr>
            <w:r>
              <w:t>Retrospective update prior to last record update</w:t>
            </w:r>
          </w:p>
        </w:tc>
        <w:tc>
          <w:tcPr>
            <w:tcW w:w="1710" w:type="dxa"/>
          </w:tcPr>
          <w:p w14:paraId="7A9D0295" w14:textId="77777777" w:rsidR="00C045C1" w:rsidRDefault="00C045C1" w:rsidP="00C045C1">
            <w:pPr>
              <w:pStyle w:val="TableText"/>
              <w:rPr>
                <w:rFonts w:eastAsia="Symbol"/>
              </w:rPr>
            </w:pPr>
            <w:r>
              <w:rPr>
                <w:u w:val="single"/>
              </w:rPr>
              <w:t>&gt;</w:t>
            </w:r>
            <w:r>
              <w:t xml:space="preserve"> Lead Tech</w:t>
            </w:r>
          </w:p>
        </w:tc>
        <w:tc>
          <w:tcPr>
            <w:tcW w:w="2520" w:type="dxa"/>
          </w:tcPr>
          <w:p w14:paraId="7479014A" w14:textId="77777777" w:rsidR="00C045C1" w:rsidRDefault="00C045C1" w:rsidP="00C045C1">
            <w:pPr>
              <w:pStyle w:val="TableText"/>
              <w:rPr>
                <w:rFonts w:eastAsia="Symbol"/>
              </w:rPr>
            </w:pPr>
            <w:r>
              <w:rPr>
                <w:rFonts w:eastAsia="Symbol"/>
              </w:rPr>
              <w:t>Discard/Quarantine</w:t>
            </w:r>
          </w:p>
        </w:tc>
        <w:tc>
          <w:tcPr>
            <w:tcW w:w="1417" w:type="dxa"/>
          </w:tcPr>
          <w:p w14:paraId="61337B20" w14:textId="77777777" w:rsidR="00C045C1" w:rsidRDefault="00C045C1" w:rsidP="00C045C1">
            <w:pPr>
              <w:pStyle w:val="TableText"/>
              <w:rPr>
                <w:rFonts w:eastAsia="Symbol"/>
              </w:rPr>
            </w:pPr>
            <w:r>
              <w:rPr>
                <w:rFonts w:eastAsia="Symbol"/>
              </w:rPr>
              <w:t>Yes</w:t>
            </w:r>
          </w:p>
        </w:tc>
        <w:tc>
          <w:tcPr>
            <w:tcW w:w="1530" w:type="dxa"/>
          </w:tcPr>
          <w:p w14:paraId="0F077596" w14:textId="77777777" w:rsidR="00C045C1" w:rsidRDefault="00C045C1" w:rsidP="00C045C1">
            <w:pPr>
              <w:pStyle w:val="TableText"/>
              <w:rPr>
                <w:rFonts w:eastAsia="Symbol"/>
              </w:rPr>
            </w:pPr>
            <w:r>
              <w:t>No</w:t>
            </w:r>
          </w:p>
        </w:tc>
      </w:tr>
      <w:tr w:rsidR="00C045C1" w14:paraId="3C2B642E" w14:textId="77777777" w:rsidTr="006F58C9">
        <w:trPr>
          <w:cantSplit/>
        </w:trPr>
        <w:tc>
          <w:tcPr>
            <w:tcW w:w="3235" w:type="dxa"/>
          </w:tcPr>
          <w:p w14:paraId="494D8CFB" w14:textId="77777777" w:rsidR="00C045C1" w:rsidRDefault="00C045C1" w:rsidP="00C045C1">
            <w:pPr>
              <w:pStyle w:val="TableText"/>
            </w:pPr>
            <w:r>
              <w:t xml:space="preserve">Rh positive units selected </w:t>
            </w:r>
          </w:p>
        </w:tc>
        <w:tc>
          <w:tcPr>
            <w:tcW w:w="1710" w:type="dxa"/>
          </w:tcPr>
          <w:p w14:paraId="3F26538C" w14:textId="77777777" w:rsidR="00C045C1" w:rsidRDefault="00C045C1" w:rsidP="00C045C1">
            <w:pPr>
              <w:pStyle w:val="TableText"/>
            </w:pPr>
            <w:r>
              <w:rPr>
                <w:rFonts w:eastAsia="Symbol"/>
              </w:rPr>
              <w:t>All</w:t>
            </w:r>
          </w:p>
        </w:tc>
        <w:tc>
          <w:tcPr>
            <w:tcW w:w="2520" w:type="dxa"/>
          </w:tcPr>
          <w:p w14:paraId="3C5FFDF2" w14:textId="77777777" w:rsidR="00C045C1" w:rsidRDefault="00C045C1" w:rsidP="00C045C1">
            <w:pPr>
              <w:pStyle w:val="TableText"/>
            </w:pPr>
            <w:r>
              <w:t>Select Units</w:t>
            </w:r>
          </w:p>
        </w:tc>
        <w:tc>
          <w:tcPr>
            <w:tcW w:w="1417" w:type="dxa"/>
          </w:tcPr>
          <w:p w14:paraId="499E0FD2" w14:textId="77777777" w:rsidR="00C045C1" w:rsidRDefault="00C045C1" w:rsidP="00C045C1">
            <w:pPr>
              <w:pStyle w:val="TableText"/>
            </w:pPr>
            <w:r>
              <w:t>No</w:t>
            </w:r>
          </w:p>
        </w:tc>
        <w:tc>
          <w:tcPr>
            <w:tcW w:w="1530" w:type="dxa"/>
          </w:tcPr>
          <w:p w14:paraId="4FD1BC23" w14:textId="77777777" w:rsidR="00C045C1" w:rsidRDefault="00C045C1" w:rsidP="00C045C1">
            <w:pPr>
              <w:pStyle w:val="TableText"/>
            </w:pPr>
            <w:r>
              <w:rPr>
                <w:rFonts w:eastAsia="Symbol"/>
              </w:rPr>
              <w:t>Yes</w:t>
            </w:r>
          </w:p>
        </w:tc>
      </w:tr>
      <w:tr w:rsidR="00C045C1" w14:paraId="4C217957" w14:textId="77777777" w:rsidTr="006F58C9">
        <w:trPr>
          <w:cantSplit/>
        </w:trPr>
        <w:tc>
          <w:tcPr>
            <w:tcW w:w="3235" w:type="dxa"/>
          </w:tcPr>
          <w:p w14:paraId="67AF0DE7" w14:textId="77777777" w:rsidR="00C045C1" w:rsidRDefault="00C045C1" w:rsidP="00C045C1">
            <w:pPr>
              <w:pStyle w:val="TableText"/>
              <w:rPr>
                <w:rFonts w:eastAsia="Symbol"/>
              </w:rPr>
            </w:pPr>
            <w:r>
              <w:t>Specimen expiration date extended</w:t>
            </w:r>
          </w:p>
        </w:tc>
        <w:tc>
          <w:tcPr>
            <w:tcW w:w="1710" w:type="dxa"/>
          </w:tcPr>
          <w:p w14:paraId="41B544EA" w14:textId="77777777" w:rsidR="00C045C1" w:rsidRDefault="00C045C1" w:rsidP="00C045C1">
            <w:pPr>
              <w:pStyle w:val="TableText"/>
              <w:rPr>
                <w:rFonts w:eastAsia="Symbol"/>
              </w:rPr>
            </w:pPr>
            <w:r>
              <w:rPr>
                <w:rFonts w:eastAsia="Symbol"/>
              </w:rPr>
              <w:t>All</w:t>
            </w:r>
          </w:p>
        </w:tc>
        <w:tc>
          <w:tcPr>
            <w:tcW w:w="2520" w:type="dxa"/>
          </w:tcPr>
          <w:p w14:paraId="6221915C" w14:textId="77777777" w:rsidR="00C045C1" w:rsidRDefault="00C045C1" w:rsidP="00C045C1">
            <w:pPr>
              <w:pStyle w:val="TableText"/>
              <w:rPr>
                <w:rFonts w:eastAsia="Symbol"/>
              </w:rPr>
            </w:pPr>
            <w:r>
              <w:rPr>
                <w:rFonts w:eastAsia="Symbol"/>
              </w:rPr>
              <w:t>Maintain Specimen</w:t>
            </w:r>
          </w:p>
        </w:tc>
        <w:tc>
          <w:tcPr>
            <w:tcW w:w="1417" w:type="dxa"/>
          </w:tcPr>
          <w:p w14:paraId="3CD253C8" w14:textId="77777777" w:rsidR="00C045C1" w:rsidRDefault="00C045C1" w:rsidP="00C045C1">
            <w:pPr>
              <w:pStyle w:val="TableText"/>
              <w:rPr>
                <w:rFonts w:eastAsia="Symbol"/>
              </w:rPr>
            </w:pPr>
            <w:r>
              <w:t>No</w:t>
            </w:r>
          </w:p>
        </w:tc>
        <w:tc>
          <w:tcPr>
            <w:tcW w:w="1530" w:type="dxa"/>
          </w:tcPr>
          <w:p w14:paraId="6BE505EE" w14:textId="77777777" w:rsidR="00C045C1" w:rsidRDefault="00C045C1" w:rsidP="00C045C1">
            <w:pPr>
              <w:pStyle w:val="TableText"/>
              <w:rPr>
                <w:rFonts w:eastAsia="Symbol"/>
              </w:rPr>
            </w:pPr>
            <w:r>
              <w:rPr>
                <w:rFonts w:eastAsia="Symbol"/>
              </w:rPr>
              <w:t>Yes</w:t>
            </w:r>
          </w:p>
        </w:tc>
      </w:tr>
      <w:tr w:rsidR="00C045C1" w14:paraId="1F60F710" w14:textId="77777777" w:rsidTr="006F58C9">
        <w:trPr>
          <w:cantSplit/>
        </w:trPr>
        <w:tc>
          <w:tcPr>
            <w:tcW w:w="3235" w:type="dxa"/>
          </w:tcPr>
          <w:p w14:paraId="3B38DE70" w14:textId="77777777" w:rsidR="00C045C1" w:rsidRDefault="00C045C1" w:rsidP="00C045C1">
            <w:pPr>
              <w:pStyle w:val="TableText"/>
              <w:rPr>
                <w:rFonts w:eastAsia="Symbol"/>
              </w:rPr>
            </w:pPr>
            <w:r>
              <w:t>Target product label failed checks</w:t>
            </w:r>
          </w:p>
        </w:tc>
        <w:tc>
          <w:tcPr>
            <w:tcW w:w="1710" w:type="dxa"/>
          </w:tcPr>
          <w:p w14:paraId="0FBA54BE" w14:textId="77777777" w:rsidR="00C045C1" w:rsidRDefault="00C045C1" w:rsidP="00C045C1">
            <w:pPr>
              <w:pStyle w:val="TableText"/>
              <w:rPr>
                <w:rFonts w:eastAsia="Symbol"/>
              </w:rPr>
            </w:pPr>
            <w:r>
              <w:rPr>
                <w:rFonts w:eastAsia="Symbol"/>
              </w:rPr>
              <w:t>All</w:t>
            </w:r>
          </w:p>
        </w:tc>
        <w:tc>
          <w:tcPr>
            <w:tcW w:w="2520" w:type="dxa"/>
          </w:tcPr>
          <w:p w14:paraId="7A51BFA2" w14:textId="77777777" w:rsidR="00C045C1" w:rsidRDefault="00C045C1" w:rsidP="00C045C1">
            <w:pPr>
              <w:pStyle w:val="TableText"/>
              <w:rPr>
                <w:rFonts w:eastAsia="Symbol"/>
              </w:rPr>
            </w:pPr>
            <w:r>
              <w:rPr>
                <w:rFonts w:eastAsia="Symbol"/>
              </w:rPr>
              <w:t>All modification processes</w:t>
            </w:r>
          </w:p>
        </w:tc>
        <w:tc>
          <w:tcPr>
            <w:tcW w:w="1417" w:type="dxa"/>
          </w:tcPr>
          <w:p w14:paraId="2D31960D" w14:textId="77777777" w:rsidR="00C045C1" w:rsidRDefault="00C045C1" w:rsidP="00C045C1">
            <w:pPr>
              <w:pStyle w:val="TableText"/>
              <w:rPr>
                <w:rFonts w:eastAsia="Symbol"/>
              </w:rPr>
            </w:pPr>
            <w:r>
              <w:t>Yes</w:t>
            </w:r>
          </w:p>
        </w:tc>
        <w:tc>
          <w:tcPr>
            <w:tcW w:w="1530" w:type="dxa"/>
          </w:tcPr>
          <w:p w14:paraId="62562F49" w14:textId="77777777" w:rsidR="00C045C1" w:rsidRDefault="00C045C1" w:rsidP="00C045C1">
            <w:pPr>
              <w:pStyle w:val="TableText"/>
              <w:rPr>
                <w:rFonts w:eastAsia="Symbol"/>
              </w:rPr>
            </w:pPr>
            <w:r>
              <w:t>No</w:t>
            </w:r>
          </w:p>
        </w:tc>
      </w:tr>
      <w:tr w:rsidR="00C045C1" w14:paraId="29BCDB36" w14:textId="77777777" w:rsidTr="006F58C9">
        <w:trPr>
          <w:cantSplit/>
        </w:trPr>
        <w:tc>
          <w:tcPr>
            <w:tcW w:w="3235" w:type="dxa"/>
          </w:tcPr>
          <w:p w14:paraId="65F2D7BC" w14:textId="77777777" w:rsidR="00C045C1" w:rsidRDefault="00C045C1" w:rsidP="00C045C1">
            <w:pPr>
              <w:pStyle w:val="TableText"/>
              <w:rPr>
                <w:rFonts w:eastAsia="Symbol"/>
              </w:rPr>
            </w:pPr>
            <w:r>
              <w:t>Target product outdate extended</w:t>
            </w:r>
          </w:p>
        </w:tc>
        <w:tc>
          <w:tcPr>
            <w:tcW w:w="1710" w:type="dxa"/>
          </w:tcPr>
          <w:p w14:paraId="304B269B" w14:textId="77777777" w:rsidR="00C045C1" w:rsidRDefault="00C045C1" w:rsidP="00C045C1">
            <w:pPr>
              <w:pStyle w:val="TableText"/>
              <w:rPr>
                <w:rFonts w:eastAsia="Symbol"/>
              </w:rPr>
            </w:pPr>
            <w:r>
              <w:rPr>
                <w:u w:val="single"/>
              </w:rPr>
              <w:t>&gt;</w:t>
            </w:r>
            <w:r>
              <w:t xml:space="preserve"> Enhanced Tech</w:t>
            </w:r>
          </w:p>
        </w:tc>
        <w:tc>
          <w:tcPr>
            <w:tcW w:w="2520" w:type="dxa"/>
          </w:tcPr>
          <w:p w14:paraId="4E14E3F2" w14:textId="77777777" w:rsidR="00C045C1" w:rsidRDefault="00C045C1" w:rsidP="00C045C1">
            <w:pPr>
              <w:pStyle w:val="TableText"/>
              <w:rPr>
                <w:rFonts w:eastAsia="Symbol"/>
              </w:rPr>
            </w:pPr>
            <w:r>
              <w:rPr>
                <w:rFonts w:eastAsia="Symbol"/>
              </w:rPr>
              <w:t>All modification processes</w:t>
            </w:r>
          </w:p>
        </w:tc>
        <w:tc>
          <w:tcPr>
            <w:tcW w:w="1417" w:type="dxa"/>
          </w:tcPr>
          <w:p w14:paraId="12799A60" w14:textId="77777777" w:rsidR="00C045C1" w:rsidRDefault="00C045C1" w:rsidP="00C045C1">
            <w:pPr>
              <w:pStyle w:val="TableText"/>
              <w:rPr>
                <w:rFonts w:eastAsia="Symbol"/>
              </w:rPr>
            </w:pPr>
            <w:r>
              <w:t>Yes</w:t>
            </w:r>
          </w:p>
        </w:tc>
        <w:tc>
          <w:tcPr>
            <w:tcW w:w="1530" w:type="dxa"/>
          </w:tcPr>
          <w:p w14:paraId="5E241816" w14:textId="77777777" w:rsidR="00C045C1" w:rsidRDefault="00C045C1" w:rsidP="00C045C1">
            <w:pPr>
              <w:pStyle w:val="TableText"/>
              <w:rPr>
                <w:rFonts w:eastAsia="Symbol"/>
              </w:rPr>
            </w:pPr>
            <w:r>
              <w:t>No</w:t>
            </w:r>
          </w:p>
        </w:tc>
      </w:tr>
      <w:tr w:rsidR="00C045C1" w14:paraId="5B547CA4" w14:textId="77777777" w:rsidTr="006F58C9">
        <w:trPr>
          <w:cantSplit/>
        </w:trPr>
        <w:tc>
          <w:tcPr>
            <w:tcW w:w="3235" w:type="dxa"/>
          </w:tcPr>
          <w:p w14:paraId="4D326A94" w14:textId="77777777" w:rsidR="00C045C1" w:rsidRDefault="00C045C1" w:rsidP="00C045C1">
            <w:pPr>
              <w:pStyle w:val="TableText"/>
            </w:pPr>
            <w:r>
              <w:t>Transfusion Reaction Workup</w:t>
            </w:r>
          </w:p>
        </w:tc>
        <w:tc>
          <w:tcPr>
            <w:tcW w:w="1710" w:type="dxa"/>
          </w:tcPr>
          <w:p w14:paraId="222F7FF1" w14:textId="77777777" w:rsidR="00C045C1" w:rsidRDefault="00C045C1" w:rsidP="00C045C1">
            <w:pPr>
              <w:pStyle w:val="TableText"/>
            </w:pPr>
            <w:r>
              <w:rPr>
                <w:rFonts w:eastAsia="Symbol"/>
              </w:rPr>
              <w:t>All</w:t>
            </w:r>
          </w:p>
        </w:tc>
        <w:tc>
          <w:tcPr>
            <w:tcW w:w="2520" w:type="dxa"/>
          </w:tcPr>
          <w:p w14:paraId="134C01AB" w14:textId="77777777" w:rsidR="00C045C1" w:rsidRDefault="00C045C1" w:rsidP="00C045C1">
            <w:pPr>
              <w:pStyle w:val="TableText"/>
            </w:pPr>
            <w:r>
              <w:t>Transfusion Reaction Workup</w:t>
            </w:r>
          </w:p>
        </w:tc>
        <w:tc>
          <w:tcPr>
            <w:tcW w:w="1417" w:type="dxa"/>
          </w:tcPr>
          <w:p w14:paraId="65E8AAAD" w14:textId="77777777" w:rsidR="00C045C1" w:rsidRDefault="00C045C1" w:rsidP="00C045C1">
            <w:pPr>
              <w:pStyle w:val="TableText"/>
              <w:rPr>
                <w:rFonts w:eastAsia="Symbol"/>
              </w:rPr>
            </w:pPr>
            <w:r>
              <w:t>No</w:t>
            </w:r>
          </w:p>
        </w:tc>
        <w:tc>
          <w:tcPr>
            <w:tcW w:w="1530" w:type="dxa"/>
          </w:tcPr>
          <w:p w14:paraId="29E89979" w14:textId="77777777" w:rsidR="00C045C1" w:rsidRDefault="00C045C1" w:rsidP="00C045C1">
            <w:pPr>
              <w:pStyle w:val="TableText"/>
              <w:rPr>
                <w:rFonts w:eastAsia="Symbol"/>
              </w:rPr>
            </w:pPr>
            <w:r>
              <w:rPr>
                <w:rFonts w:eastAsia="Symbol"/>
              </w:rPr>
              <w:t>Yes</w:t>
            </w:r>
          </w:p>
        </w:tc>
      </w:tr>
      <w:tr w:rsidR="00C045C1" w14:paraId="41E9029E" w14:textId="77777777" w:rsidTr="006F58C9">
        <w:trPr>
          <w:cantSplit/>
        </w:trPr>
        <w:tc>
          <w:tcPr>
            <w:tcW w:w="3235" w:type="dxa"/>
          </w:tcPr>
          <w:p w14:paraId="533E7692" w14:textId="77777777" w:rsidR="00C045C1" w:rsidRDefault="00C045C1" w:rsidP="00C045C1">
            <w:pPr>
              <w:pStyle w:val="TableText"/>
              <w:rPr>
                <w:rFonts w:eastAsia="Symbol"/>
              </w:rPr>
            </w:pPr>
            <w:r>
              <w:t>Transfusion Requirement incompatible unit selected</w:t>
            </w:r>
          </w:p>
        </w:tc>
        <w:tc>
          <w:tcPr>
            <w:tcW w:w="1710" w:type="dxa"/>
          </w:tcPr>
          <w:p w14:paraId="1E579476" w14:textId="77777777" w:rsidR="00C045C1" w:rsidRDefault="00C045C1" w:rsidP="00C045C1">
            <w:pPr>
              <w:pStyle w:val="TableText"/>
              <w:rPr>
                <w:rFonts w:eastAsia="Symbol"/>
              </w:rPr>
            </w:pPr>
            <w:r>
              <w:rPr>
                <w:u w:val="single"/>
              </w:rPr>
              <w:t>&gt;</w:t>
            </w:r>
            <w:r>
              <w:t xml:space="preserve"> Lead Tech</w:t>
            </w:r>
          </w:p>
        </w:tc>
        <w:tc>
          <w:tcPr>
            <w:tcW w:w="2520" w:type="dxa"/>
          </w:tcPr>
          <w:p w14:paraId="20E7290B" w14:textId="77777777" w:rsidR="00C045C1" w:rsidRDefault="00C045C1" w:rsidP="00C045C1">
            <w:pPr>
              <w:pStyle w:val="TableText"/>
              <w:rPr>
                <w:rFonts w:eastAsia="Symbol"/>
              </w:rPr>
            </w:pPr>
            <w:r>
              <w:rPr>
                <w:rFonts w:eastAsia="Symbol"/>
              </w:rPr>
              <w:t>Select Unit</w:t>
            </w:r>
          </w:p>
        </w:tc>
        <w:tc>
          <w:tcPr>
            <w:tcW w:w="1417" w:type="dxa"/>
          </w:tcPr>
          <w:p w14:paraId="5F1E4AFC" w14:textId="77777777" w:rsidR="00C045C1" w:rsidRDefault="00C045C1" w:rsidP="00C045C1">
            <w:pPr>
              <w:pStyle w:val="TableText"/>
              <w:rPr>
                <w:rFonts w:eastAsia="Symbol"/>
              </w:rPr>
            </w:pPr>
            <w:r>
              <w:t>No</w:t>
            </w:r>
          </w:p>
        </w:tc>
        <w:tc>
          <w:tcPr>
            <w:tcW w:w="1530" w:type="dxa"/>
          </w:tcPr>
          <w:p w14:paraId="282F8409" w14:textId="77777777" w:rsidR="00C045C1" w:rsidRDefault="00C045C1" w:rsidP="00C045C1">
            <w:pPr>
              <w:pStyle w:val="TableText"/>
              <w:rPr>
                <w:rFonts w:eastAsia="Symbol"/>
              </w:rPr>
            </w:pPr>
            <w:r>
              <w:rPr>
                <w:rFonts w:eastAsia="Symbol"/>
              </w:rPr>
              <w:t>Yes</w:t>
            </w:r>
          </w:p>
        </w:tc>
      </w:tr>
      <w:tr w:rsidR="00C045C1" w14:paraId="08710EC3" w14:textId="77777777" w:rsidTr="006F58C9">
        <w:trPr>
          <w:cantSplit/>
        </w:trPr>
        <w:tc>
          <w:tcPr>
            <w:tcW w:w="3235" w:type="dxa"/>
          </w:tcPr>
          <w:p w14:paraId="23164DD4" w14:textId="77777777" w:rsidR="00C045C1" w:rsidRDefault="00C045C1" w:rsidP="00C045C1">
            <w:pPr>
              <w:pStyle w:val="TableText"/>
              <w:rPr>
                <w:rFonts w:eastAsia="Symbol"/>
              </w:rPr>
            </w:pPr>
            <w:r>
              <w:t>Unacceptable/expired specimen used</w:t>
            </w:r>
          </w:p>
        </w:tc>
        <w:tc>
          <w:tcPr>
            <w:tcW w:w="1710" w:type="dxa"/>
          </w:tcPr>
          <w:p w14:paraId="29B47D1B" w14:textId="77777777" w:rsidR="00C045C1" w:rsidRDefault="00C045C1" w:rsidP="00C045C1">
            <w:pPr>
              <w:pStyle w:val="TableText"/>
              <w:rPr>
                <w:rFonts w:eastAsia="Symbol"/>
              </w:rPr>
            </w:pPr>
            <w:r>
              <w:rPr>
                <w:rFonts w:eastAsia="Symbol"/>
              </w:rPr>
              <w:t>All</w:t>
            </w:r>
          </w:p>
        </w:tc>
        <w:tc>
          <w:tcPr>
            <w:tcW w:w="2520" w:type="dxa"/>
          </w:tcPr>
          <w:p w14:paraId="0C304C67" w14:textId="77777777" w:rsidR="00C045C1" w:rsidRDefault="00C045C1" w:rsidP="00C045C1">
            <w:pPr>
              <w:pStyle w:val="TableText"/>
              <w:rPr>
                <w:rFonts w:eastAsia="Symbol"/>
              </w:rPr>
            </w:pPr>
            <w:r>
              <w:rPr>
                <w:rFonts w:eastAsia="Symbol"/>
              </w:rPr>
              <w:t>Patient Testing</w:t>
            </w:r>
          </w:p>
        </w:tc>
        <w:tc>
          <w:tcPr>
            <w:tcW w:w="1417" w:type="dxa"/>
          </w:tcPr>
          <w:p w14:paraId="33EFCBDB" w14:textId="77777777" w:rsidR="00C045C1" w:rsidRDefault="00C045C1" w:rsidP="00C045C1">
            <w:pPr>
              <w:pStyle w:val="TableText"/>
              <w:rPr>
                <w:rFonts w:eastAsia="Symbol"/>
              </w:rPr>
            </w:pPr>
            <w:r>
              <w:t>No</w:t>
            </w:r>
          </w:p>
        </w:tc>
        <w:tc>
          <w:tcPr>
            <w:tcW w:w="1530" w:type="dxa"/>
          </w:tcPr>
          <w:p w14:paraId="116C727E" w14:textId="77777777" w:rsidR="00C045C1" w:rsidRDefault="00C045C1" w:rsidP="00C045C1">
            <w:pPr>
              <w:pStyle w:val="TableText"/>
              <w:rPr>
                <w:rFonts w:eastAsia="Symbol"/>
              </w:rPr>
            </w:pPr>
            <w:r>
              <w:rPr>
                <w:rFonts w:eastAsia="Symbol"/>
              </w:rPr>
              <w:t>Yes</w:t>
            </w:r>
          </w:p>
        </w:tc>
      </w:tr>
      <w:tr w:rsidR="00C045C1" w14:paraId="70475577" w14:textId="77777777" w:rsidTr="006F58C9">
        <w:trPr>
          <w:cantSplit/>
        </w:trPr>
        <w:tc>
          <w:tcPr>
            <w:tcW w:w="3235" w:type="dxa"/>
          </w:tcPr>
          <w:p w14:paraId="74501126" w14:textId="77777777" w:rsidR="00C045C1" w:rsidRDefault="00C045C1" w:rsidP="00C045C1">
            <w:pPr>
              <w:pStyle w:val="TableText"/>
              <w:rPr>
                <w:rFonts w:eastAsia="Symbol"/>
              </w:rPr>
            </w:pPr>
            <w:r>
              <w:t>Unit ABO/Rh confirmation inconclusive, unit quarantined</w:t>
            </w:r>
          </w:p>
        </w:tc>
        <w:tc>
          <w:tcPr>
            <w:tcW w:w="1710" w:type="dxa"/>
          </w:tcPr>
          <w:p w14:paraId="3EAED57E" w14:textId="77777777" w:rsidR="00C045C1" w:rsidRDefault="00C045C1" w:rsidP="00C045C1">
            <w:pPr>
              <w:pStyle w:val="TableText"/>
              <w:rPr>
                <w:rFonts w:eastAsia="Symbol"/>
              </w:rPr>
            </w:pPr>
            <w:r>
              <w:rPr>
                <w:rFonts w:eastAsia="Symbol"/>
              </w:rPr>
              <w:t>All</w:t>
            </w:r>
          </w:p>
        </w:tc>
        <w:tc>
          <w:tcPr>
            <w:tcW w:w="2520" w:type="dxa"/>
          </w:tcPr>
          <w:p w14:paraId="544111D2" w14:textId="77777777" w:rsidR="00C045C1" w:rsidRDefault="00C045C1" w:rsidP="00C045C1">
            <w:pPr>
              <w:pStyle w:val="TableText"/>
              <w:rPr>
                <w:rFonts w:eastAsia="Symbol"/>
              </w:rPr>
            </w:pPr>
            <w:r>
              <w:rPr>
                <w:rFonts w:eastAsia="Symbol"/>
              </w:rPr>
              <w:t>ABO/Rh Confirmation</w:t>
            </w:r>
          </w:p>
        </w:tc>
        <w:tc>
          <w:tcPr>
            <w:tcW w:w="1417" w:type="dxa"/>
          </w:tcPr>
          <w:p w14:paraId="5F559754" w14:textId="77777777" w:rsidR="00C045C1" w:rsidRDefault="00C045C1" w:rsidP="00C045C1">
            <w:pPr>
              <w:pStyle w:val="TableText"/>
              <w:rPr>
                <w:rFonts w:eastAsia="Symbol"/>
              </w:rPr>
            </w:pPr>
            <w:r>
              <w:t>Yes</w:t>
            </w:r>
          </w:p>
        </w:tc>
        <w:tc>
          <w:tcPr>
            <w:tcW w:w="1530" w:type="dxa"/>
          </w:tcPr>
          <w:p w14:paraId="719B5CE3" w14:textId="77777777" w:rsidR="00C045C1" w:rsidRDefault="00C045C1" w:rsidP="00C045C1">
            <w:pPr>
              <w:pStyle w:val="TableText"/>
              <w:rPr>
                <w:rFonts w:eastAsia="Symbol"/>
              </w:rPr>
            </w:pPr>
            <w:r>
              <w:t>No</w:t>
            </w:r>
          </w:p>
        </w:tc>
      </w:tr>
      <w:tr w:rsidR="00C045C1" w14:paraId="7EAFA872" w14:textId="77777777" w:rsidTr="006F58C9">
        <w:trPr>
          <w:cantSplit/>
        </w:trPr>
        <w:tc>
          <w:tcPr>
            <w:tcW w:w="3235" w:type="dxa"/>
          </w:tcPr>
          <w:p w14:paraId="7BA6B0BC" w14:textId="77777777" w:rsidR="00C045C1" w:rsidRDefault="00C045C1" w:rsidP="00C045C1">
            <w:pPr>
              <w:pStyle w:val="TableText"/>
              <w:rPr>
                <w:rFonts w:eastAsia="Symbol"/>
              </w:rPr>
            </w:pPr>
            <w:r>
              <w:t>Unit ABO/Rh log-in vs. confirmation do not match, unit quarantined</w:t>
            </w:r>
          </w:p>
        </w:tc>
        <w:tc>
          <w:tcPr>
            <w:tcW w:w="1710" w:type="dxa"/>
          </w:tcPr>
          <w:p w14:paraId="44D71BE6" w14:textId="77777777" w:rsidR="00C045C1" w:rsidRDefault="00C045C1" w:rsidP="00C045C1">
            <w:pPr>
              <w:pStyle w:val="TableText"/>
              <w:rPr>
                <w:rFonts w:eastAsia="Symbol"/>
              </w:rPr>
            </w:pPr>
            <w:r>
              <w:rPr>
                <w:rFonts w:eastAsia="Symbol"/>
              </w:rPr>
              <w:t>All</w:t>
            </w:r>
          </w:p>
        </w:tc>
        <w:tc>
          <w:tcPr>
            <w:tcW w:w="2520" w:type="dxa"/>
          </w:tcPr>
          <w:p w14:paraId="0B562D49" w14:textId="77777777" w:rsidR="00C045C1" w:rsidRDefault="00C045C1" w:rsidP="00C045C1">
            <w:pPr>
              <w:pStyle w:val="TableText"/>
              <w:rPr>
                <w:rFonts w:eastAsia="Symbol"/>
              </w:rPr>
            </w:pPr>
            <w:r>
              <w:rPr>
                <w:rFonts w:eastAsia="Symbol"/>
              </w:rPr>
              <w:t>ABO/Rh Confirmation</w:t>
            </w:r>
          </w:p>
        </w:tc>
        <w:tc>
          <w:tcPr>
            <w:tcW w:w="1417" w:type="dxa"/>
          </w:tcPr>
          <w:p w14:paraId="0413FE20" w14:textId="77777777" w:rsidR="00C045C1" w:rsidRDefault="00C045C1" w:rsidP="00C045C1">
            <w:pPr>
              <w:pStyle w:val="TableText"/>
              <w:rPr>
                <w:rFonts w:eastAsia="Symbol"/>
              </w:rPr>
            </w:pPr>
            <w:r>
              <w:t>Yes</w:t>
            </w:r>
          </w:p>
        </w:tc>
        <w:tc>
          <w:tcPr>
            <w:tcW w:w="1530" w:type="dxa"/>
          </w:tcPr>
          <w:p w14:paraId="0E08B25F" w14:textId="77777777" w:rsidR="00C045C1" w:rsidRDefault="00C045C1" w:rsidP="00C045C1">
            <w:pPr>
              <w:pStyle w:val="TableText"/>
              <w:rPr>
                <w:rFonts w:eastAsia="Symbol"/>
              </w:rPr>
            </w:pPr>
            <w:r>
              <w:t>No</w:t>
            </w:r>
          </w:p>
        </w:tc>
      </w:tr>
      <w:tr w:rsidR="00C045C1" w14:paraId="25CD5722" w14:textId="77777777" w:rsidTr="006F58C9">
        <w:trPr>
          <w:cantSplit/>
        </w:trPr>
        <w:tc>
          <w:tcPr>
            <w:tcW w:w="3235" w:type="dxa"/>
          </w:tcPr>
          <w:p w14:paraId="33DE17A0" w14:textId="77777777" w:rsidR="00C045C1" w:rsidRDefault="00C045C1" w:rsidP="00C045C1">
            <w:pPr>
              <w:pStyle w:val="TableText"/>
              <w:rPr>
                <w:rFonts w:eastAsia="Symbol"/>
              </w:rPr>
            </w:pPr>
            <w:r>
              <w:t>Unit discarded</w:t>
            </w:r>
          </w:p>
        </w:tc>
        <w:tc>
          <w:tcPr>
            <w:tcW w:w="1710" w:type="dxa"/>
          </w:tcPr>
          <w:p w14:paraId="6A3D127D" w14:textId="77777777" w:rsidR="00C045C1" w:rsidRDefault="00C045C1" w:rsidP="00C045C1">
            <w:pPr>
              <w:pStyle w:val="TableText"/>
              <w:rPr>
                <w:rFonts w:eastAsia="Symbol"/>
              </w:rPr>
            </w:pPr>
            <w:r>
              <w:rPr>
                <w:rFonts w:eastAsia="Symbol"/>
              </w:rPr>
              <w:t>All</w:t>
            </w:r>
          </w:p>
        </w:tc>
        <w:tc>
          <w:tcPr>
            <w:tcW w:w="2520" w:type="dxa"/>
          </w:tcPr>
          <w:p w14:paraId="43FB3C8C" w14:textId="77777777" w:rsidR="00C045C1" w:rsidRDefault="00C045C1" w:rsidP="00C045C1">
            <w:pPr>
              <w:pStyle w:val="TableText"/>
              <w:rPr>
                <w:rFonts w:eastAsia="Symbol"/>
              </w:rPr>
            </w:pPr>
            <w:r>
              <w:rPr>
                <w:rFonts w:eastAsia="Symbol"/>
              </w:rPr>
              <w:t>Discard</w:t>
            </w:r>
          </w:p>
        </w:tc>
        <w:tc>
          <w:tcPr>
            <w:tcW w:w="1417" w:type="dxa"/>
          </w:tcPr>
          <w:p w14:paraId="184E995C" w14:textId="77777777" w:rsidR="00C045C1" w:rsidRDefault="00C045C1" w:rsidP="00C045C1">
            <w:pPr>
              <w:pStyle w:val="TableText"/>
              <w:rPr>
                <w:rFonts w:eastAsia="Symbol"/>
              </w:rPr>
            </w:pPr>
            <w:r>
              <w:t>Yes</w:t>
            </w:r>
          </w:p>
        </w:tc>
        <w:tc>
          <w:tcPr>
            <w:tcW w:w="1530" w:type="dxa"/>
          </w:tcPr>
          <w:p w14:paraId="1A5E1160" w14:textId="77777777" w:rsidR="00C045C1" w:rsidRDefault="00C045C1" w:rsidP="00C045C1">
            <w:pPr>
              <w:pStyle w:val="TableText"/>
              <w:rPr>
                <w:rFonts w:eastAsia="Symbol"/>
              </w:rPr>
            </w:pPr>
            <w:r>
              <w:t>No</w:t>
            </w:r>
          </w:p>
        </w:tc>
      </w:tr>
      <w:tr w:rsidR="00C045C1" w14:paraId="46BFE4F6" w14:textId="77777777" w:rsidTr="006F58C9">
        <w:trPr>
          <w:cantSplit/>
        </w:trPr>
        <w:tc>
          <w:tcPr>
            <w:tcW w:w="3235" w:type="dxa"/>
          </w:tcPr>
          <w:p w14:paraId="51948339" w14:textId="77777777" w:rsidR="00C045C1" w:rsidRDefault="00C045C1" w:rsidP="00C045C1">
            <w:pPr>
              <w:pStyle w:val="TableText"/>
            </w:pPr>
            <w:r>
              <w:t>Unit ER issued, testing problem</w:t>
            </w:r>
          </w:p>
        </w:tc>
        <w:tc>
          <w:tcPr>
            <w:tcW w:w="1710" w:type="dxa"/>
          </w:tcPr>
          <w:p w14:paraId="497B13AC" w14:textId="77777777" w:rsidR="00C045C1" w:rsidRDefault="00C045C1" w:rsidP="00C045C1">
            <w:pPr>
              <w:pStyle w:val="TableText"/>
            </w:pPr>
            <w:r>
              <w:rPr>
                <w:rFonts w:eastAsia="Symbol"/>
              </w:rPr>
              <w:t>All</w:t>
            </w:r>
          </w:p>
        </w:tc>
        <w:tc>
          <w:tcPr>
            <w:tcW w:w="2520" w:type="dxa"/>
          </w:tcPr>
          <w:p w14:paraId="11AE91E4" w14:textId="77777777" w:rsidR="00C045C1" w:rsidRDefault="00C045C1" w:rsidP="00C045C1">
            <w:pPr>
              <w:pStyle w:val="TableText"/>
            </w:pPr>
            <w:r>
              <w:t>Patient testing, unit antigen typing</w:t>
            </w:r>
          </w:p>
        </w:tc>
        <w:tc>
          <w:tcPr>
            <w:tcW w:w="1417" w:type="dxa"/>
          </w:tcPr>
          <w:p w14:paraId="711F9A96" w14:textId="77777777" w:rsidR="00C045C1" w:rsidRDefault="00C045C1" w:rsidP="00C045C1">
            <w:pPr>
              <w:pStyle w:val="TableText"/>
              <w:rPr>
                <w:rFonts w:eastAsia="Symbol"/>
              </w:rPr>
            </w:pPr>
            <w:r>
              <w:t>No</w:t>
            </w:r>
          </w:p>
        </w:tc>
        <w:tc>
          <w:tcPr>
            <w:tcW w:w="1530" w:type="dxa"/>
          </w:tcPr>
          <w:p w14:paraId="647A66A0" w14:textId="77777777" w:rsidR="00C045C1" w:rsidRDefault="00C045C1" w:rsidP="00C045C1">
            <w:pPr>
              <w:pStyle w:val="TableText"/>
              <w:rPr>
                <w:rFonts w:eastAsia="Symbol"/>
              </w:rPr>
            </w:pPr>
            <w:r>
              <w:rPr>
                <w:rFonts w:eastAsia="Symbol"/>
              </w:rPr>
              <w:t>Yes</w:t>
            </w:r>
          </w:p>
        </w:tc>
      </w:tr>
      <w:tr w:rsidR="00C045C1" w14:paraId="70BCAF6A" w14:textId="77777777" w:rsidTr="006F58C9">
        <w:trPr>
          <w:cantSplit/>
        </w:trPr>
        <w:tc>
          <w:tcPr>
            <w:tcW w:w="3235" w:type="dxa"/>
          </w:tcPr>
          <w:p w14:paraId="4ABF8D3B" w14:textId="77777777" w:rsidR="00C045C1" w:rsidRDefault="00C045C1" w:rsidP="00C045C1">
            <w:pPr>
              <w:pStyle w:val="TableText"/>
            </w:pPr>
            <w:r>
              <w:t>Unit issued on expired specimen</w:t>
            </w:r>
          </w:p>
        </w:tc>
        <w:tc>
          <w:tcPr>
            <w:tcW w:w="1710" w:type="dxa"/>
          </w:tcPr>
          <w:p w14:paraId="3199DE6F" w14:textId="77777777" w:rsidR="00C045C1" w:rsidRDefault="00C045C1" w:rsidP="00C045C1">
            <w:pPr>
              <w:pStyle w:val="TableText"/>
            </w:pPr>
            <w:r>
              <w:rPr>
                <w:u w:val="single"/>
              </w:rPr>
              <w:t>&gt;</w:t>
            </w:r>
            <w:r>
              <w:t xml:space="preserve"> Enhanced Tech</w:t>
            </w:r>
          </w:p>
        </w:tc>
        <w:tc>
          <w:tcPr>
            <w:tcW w:w="2520" w:type="dxa"/>
          </w:tcPr>
          <w:p w14:paraId="76F72588" w14:textId="77777777" w:rsidR="00C045C1" w:rsidRDefault="00C045C1" w:rsidP="00C045C1">
            <w:pPr>
              <w:pStyle w:val="TableText"/>
            </w:pPr>
            <w:r>
              <w:t>Issue Unit</w:t>
            </w:r>
          </w:p>
        </w:tc>
        <w:tc>
          <w:tcPr>
            <w:tcW w:w="1417" w:type="dxa"/>
          </w:tcPr>
          <w:p w14:paraId="0267D11D" w14:textId="77777777" w:rsidR="00C045C1" w:rsidRDefault="00C045C1" w:rsidP="00C045C1">
            <w:pPr>
              <w:pStyle w:val="TableText"/>
            </w:pPr>
            <w:r>
              <w:t>No</w:t>
            </w:r>
          </w:p>
        </w:tc>
        <w:tc>
          <w:tcPr>
            <w:tcW w:w="1530" w:type="dxa"/>
          </w:tcPr>
          <w:p w14:paraId="63CDFF01" w14:textId="77777777" w:rsidR="00C045C1" w:rsidRDefault="00C045C1" w:rsidP="00C045C1">
            <w:pPr>
              <w:pStyle w:val="TableText"/>
            </w:pPr>
            <w:r>
              <w:rPr>
                <w:rFonts w:eastAsia="Symbol"/>
              </w:rPr>
              <w:t>Yes</w:t>
            </w:r>
          </w:p>
        </w:tc>
      </w:tr>
      <w:tr w:rsidR="00C045C1" w14:paraId="5DB5CDC7" w14:textId="77777777" w:rsidTr="006F58C9">
        <w:trPr>
          <w:cantSplit/>
        </w:trPr>
        <w:tc>
          <w:tcPr>
            <w:tcW w:w="3235" w:type="dxa"/>
          </w:tcPr>
          <w:p w14:paraId="11A2757D" w14:textId="77777777" w:rsidR="00C045C1" w:rsidRDefault="00C045C1" w:rsidP="00C045C1">
            <w:pPr>
              <w:pStyle w:val="TableText"/>
            </w:pPr>
            <w:r>
              <w:t>Unit issued with unsatisfied Transfusion Requirement</w:t>
            </w:r>
          </w:p>
        </w:tc>
        <w:tc>
          <w:tcPr>
            <w:tcW w:w="1710" w:type="dxa"/>
          </w:tcPr>
          <w:p w14:paraId="2081F92E" w14:textId="77777777" w:rsidR="00C045C1" w:rsidRDefault="00C045C1" w:rsidP="00C045C1">
            <w:pPr>
              <w:pStyle w:val="TableText"/>
            </w:pPr>
            <w:r>
              <w:rPr>
                <w:u w:val="single"/>
              </w:rPr>
              <w:t>&gt;</w:t>
            </w:r>
            <w:r>
              <w:t xml:space="preserve"> Lead Tech</w:t>
            </w:r>
          </w:p>
        </w:tc>
        <w:tc>
          <w:tcPr>
            <w:tcW w:w="2520" w:type="dxa"/>
          </w:tcPr>
          <w:p w14:paraId="3541191A" w14:textId="77777777" w:rsidR="00C045C1" w:rsidRDefault="00C045C1" w:rsidP="00C045C1">
            <w:pPr>
              <w:pStyle w:val="TableText"/>
            </w:pPr>
            <w:r>
              <w:t>Issue Unit</w:t>
            </w:r>
          </w:p>
        </w:tc>
        <w:tc>
          <w:tcPr>
            <w:tcW w:w="1417" w:type="dxa"/>
          </w:tcPr>
          <w:p w14:paraId="1D6CC78D" w14:textId="77777777" w:rsidR="00C045C1" w:rsidRDefault="00C045C1" w:rsidP="00C045C1">
            <w:pPr>
              <w:pStyle w:val="TableText"/>
            </w:pPr>
            <w:r>
              <w:t>No</w:t>
            </w:r>
          </w:p>
        </w:tc>
        <w:tc>
          <w:tcPr>
            <w:tcW w:w="1530" w:type="dxa"/>
          </w:tcPr>
          <w:p w14:paraId="71301C2D" w14:textId="77777777" w:rsidR="00C045C1" w:rsidRDefault="00C045C1" w:rsidP="00C045C1">
            <w:pPr>
              <w:pStyle w:val="TableText"/>
            </w:pPr>
            <w:r>
              <w:rPr>
                <w:rFonts w:eastAsia="Symbol"/>
              </w:rPr>
              <w:t>Yes</w:t>
            </w:r>
          </w:p>
        </w:tc>
      </w:tr>
      <w:tr w:rsidR="00C045C1" w14:paraId="01B0879D" w14:textId="77777777" w:rsidTr="006F58C9">
        <w:trPr>
          <w:cantSplit/>
        </w:trPr>
        <w:tc>
          <w:tcPr>
            <w:tcW w:w="3235" w:type="dxa"/>
          </w:tcPr>
          <w:p w14:paraId="22A426A2" w14:textId="77777777" w:rsidR="00C045C1" w:rsidRDefault="00C045C1" w:rsidP="00C045C1">
            <w:pPr>
              <w:pStyle w:val="TableText"/>
              <w:rPr>
                <w:rFonts w:eastAsia="Symbol"/>
              </w:rPr>
            </w:pPr>
            <w:r>
              <w:t>Unit quarantined</w:t>
            </w:r>
          </w:p>
        </w:tc>
        <w:tc>
          <w:tcPr>
            <w:tcW w:w="1710" w:type="dxa"/>
          </w:tcPr>
          <w:p w14:paraId="0E6AD871" w14:textId="77777777" w:rsidR="00C045C1" w:rsidRDefault="00C045C1" w:rsidP="00C045C1">
            <w:pPr>
              <w:pStyle w:val="TableText"/>
              <w:rPr>
                <w:rFonts w:eastAsia="Symbol"/>
              </w:rPr>
            </w:pPr>
            <w:r>
              <w:rPr>
                <w:rFonts w:eastAsia="Symbol"/>
              </w:rPr>
              <w:t>All</w:t>
            </w:r>
          </w:p>
        </w:tc>
        <w:tc>
          <w:tcPr>
            <w:tcW w:w="2520" w:type="dxa"/>
          </w:tcPr>
          <w:p w14:paraId="33FE1462" w14:textId="77777777" w:rsidR="00C045C1" w:rsidRDefault="00C045C1" w:rsidP="00C045C1">
            <w:pPr>
              <w:pStyle w:val="TableText"/>
              <w:rPr>
                <w:rFonts w:eastAsia="Symbol"/>
              </w:rPr>
            </w:pPr>
            <w:r>
              <w:rPr>
                <w:rFonts w:eastAsia="Symbol"/>
              </w:rPr>
              <w:t>Quarantine</w:t>
            </w:r>
          </w:p>
        </w:tc>
        <w:tc>
          <w:tcPr>
            <w:tcW w:w="1417" w:type="dxa"/>
          </w:tcPr>
          <w:p w14:paraId="3560C952" w14:textId="77777777" w:rsidR="00C045C1" w:rsidRDefault="00C045C1" w:rsidP="00C045C1">
            <w:pPr>
              <w:pStyle w:val="TableText"/>
              <w:rPr>
                <w:rFonts w:eastAsia="Symbol"/>
              </w:rPr>
            </w:pPr>
            <w:r>
              <w:t>Yes</w:t>
            </w:r>
          </w:p>
        </w:tc>
        <w:tc>
          <w:tcPr>
            <w:tcW w:w="1530" w:type="dxa"/>
          </w:tcPr>
          <w:p w14:paraId="5D1820D6" w14:textId="77777777" w:rsidR="00C045C1" w:rsidRDefault="00C045C1" w:rsidP="00C045C1">
            <w:pPr>
              <w:pStyle w:val="TableText"/>
              <w:rPr>
                <w:rFonts w:eastAsia="Symbol"/>
              </w:rPr>
            </w:pPr>
            <w:r>
              <w:t>No</w:t>
            </w:r>
          </w:p>
        </w:tc>
      </w:tr>
      <w:tr w:rsidR="00C045C1" w14:paraId="04677011" w14:textId="77777777" w:rsidTr="006F58C9">
        <w:trPr>
          <w:cantSplit/>
        </w:trPr>
        <w:tc>
          <w:tcPr>
            <w:tcW w:w="3235" w:type="dxa"/>
          </w:tcPr>
          <w:p w14:paraId="6C4F4BA7" w14:textId="77777777" w:rsidR="00C045C1" w:rsidRDefault="00C045C1" w:rsidP="00C045C1">
            <w:pPr>
              <w:pStyle w:val="TableText"/>
              <w:rPr>
                <w:rFonts w:eastAsia="Symbol"/>
              </w:rPr>
            </w:pPr>
            <w:r>
              <w:t>Unit released from quarantine</w:t>
            </w:r>
          </w:p>
        </w:tc>
        <w:tc>
          <w:tcPr>
            <w:tcW w:w="1710" w:type="dxa"/>
          </w:tcPr>
          <w:p w14:paraId="391639A9" w14:textId="77777777" w:rsidR="00C045C1" w:rsidRDefault="00C045C1" w:rsidP="00C045C1">
            <w:pPr>
              <w:pStyle w:val="TableText"/>
              <w:rPr>
                <w:rFonts w:eastAsia="Symbol"/>
              </w:rPr>
            </w:pPr>
            <w:r>
              <w:rPr>
                <w:u w:val="single"/>
              </w:rPr>
              <w:t>&gt;</w:t>
            </w:r>
            <w:r>
              <w:t xml:space="preserve"> Enhanced Tech</w:t>
            </w:r>
          </w:p>
        </w:tc>
        <w:tc>
          <w:tcPr>
            <w:tcW w:w="2520" w:type="dxa"/>
          </w:tcPr>
          <w:p w14:paraId="24AED9D8" w14:textId="77777777" w:rsidR="00C045C1" w:rsidRDefault="00C045C1" w:rsidP="00C045C1">
            <w:pPr>
              <w:pStyle w:val="TableText"/>
              <w:rPr>
                <w:rFonts w:eastAsia="Symbol"/>
              </w:rPr>
            </w:pPr>
            <w:r>
              <w:rPr>
                <w:rFonts w:eastAsia="Symbol"/>
              </w:rPr>
              <w:t>Release Unit from Quarantine</w:t>
            </w:r>
          </w:p>
        </w:tc>
        <w:tc>
          <w:tcPr>
            <w:tcW w:w="1417" w:type="dxa"/>
          </w:tcPr>
          <w:p w14:paraId="62E7F7F4" w14:textId="77777777" w:rsidR="00C045C1" w:rsidRDefault="00C045C1" w:rsidP="00C045C1">
            <w:pPr>
              <w:pStyle w:val="TableText"/>
              <w:rPr>
                <w:rFonts w:eastAsia="Symbol"/>
              </w:rPr>
            </w:pPr>
            <w:r>
              <w:t>Yes</w:t>
            </w:r>
          </w:p>
        </w:tc>
        <w:tc>
          <w:tcPr>
            <w:tcW w:w="1530" w:type="dxa"/>
          </w:tcPr>
          <w:p w14:paraId="7820263A" w14:textId="77777777" w:rsidR="00C045C1" w:rsidRDefault="00C045C1" w:rsidP="00C045C1">
            <w:pPr>
              <w:pStyle w:val="TableText"/>
              <w:rPr>
                <w:rFonts w:eastAsia="Symbol"/>
              </w:rPr>
            </w:pPr>
            <w:r>
              <w:t>No</w:t>
            </w:r>
          </w:p>
        </w:tc>
      </w:tr>
      <w:tr w:rsidR="00C045C1" w14:paraId="7F40F6B9" w14:textId="77777777" w:rsidTr="006F58C9">
        <w:trPr>
          <w:cantSplit/>
        </w:trPr>
        <w:tc>
          <w:tcPr>
            <w:tcW w:w="3235" w:type="dxa"/>
            <w:vMerge w:val="restart"/>
          </w:tcPr>
          <w:p w14:paraId="0F42EC5C" w14:textId="77777777" w:rsidR="00C045C1" w:rsidRDefault="00C045C1" w:rsidP="006F58C9">
            <w:pPr>
              <w:pStyle w:val="TableText"/>
              <w:keepNext/>
            </w:pPr>
            <w:r>
              <w:t>Unit unsatisfactory upon return from issue</w:t>
            </w:r>
          </w:p>
        </w:tc>
        <w:tc>
          <w:tcPr>
            <w:tcW w:w="1710" w:type="dxa"/>
            <w:vMerge w:val="restart"/>
          </w:tcPr>
          <w:p w14:paraId="15723108" w14:textId="77777777" w:rsidR="00C045C1" w:rsidRDefault="00C045C1" w:rsidP="006F58C9">
            <w:pPr>
              <w:pStyle w:val="TableText"/>
              <w:keepNext/>
            </w:pPr>
            <w:r>
              <w:rPr>
                <w:rFonts w:eastAsia="Symbol"/>
              </w:rPr>
              <w:t>All</w:t>
            </w:r>
          </w:p>
        </w:tc>
        <w:tc>
          <w:tcPr>
            <w:tcW w:w="2520" w:type="dxa"/>
            <w:vMerge w:val="restart"/>
          </w:tcPr>
          <w:p w14:paraId="58CFCECE" w14:textId="77777777" w:rsidR="00C045C1" w:rsidRDefault="00C045C1" w:rsidP="006F58C9">
            <w:pPr>
              <w:pStyle w:val="TableText"/>
              <w:keepNext/>
            </w:pPr>
            <w:r>
              <w:t>Return Issued Units to Blood Bank</w:t>
            </w:r>
          </w:p>
        </w:tc>
        <w:tc>
          <w:tcPr>
            <w:tcW w:w="1417" w:type="dxa"/>
          </w:tcPr>
          <w:p w14:paraId="373D98F1" w14:textId="77777777" w:rsidR="00C045C1" w:rsidRDefault="00C045C1" w:rsidP="006F58C9">
            <w:pPr>
              <w:pStyle w:val="TableText"/>
              <w:keepNext/>
            </w:pPr>
            <w:r>
              <w:rPr>
                <w:rFonts w:eastAsia="Symbol"/>
              </w:rPr>
              <w:t>Yes</w:t>
            </w:r>
            <w:r w:rsidR="00E31FC6">
              <w:rPr>
                <w:rFonts w:eastAsia="Symbol"/>
              </w:rPr>
              <w:t xml:space="preserve"> </w:t>
            </w:r>
            <w:r>
              <w:rPr>
                <w:rFonts w:eastAsia="Symbol"/>
                <w:vanish/>
                <w:szCs w:val="18"/>
              </w:rPr>
              <w:t xml:space="preserve"> BR_59.08 </w:t>
            </w:r>
            <w:r w:rsidRPr="00C4235F">
              <w:rPr>
                <w:rFonts w:eastAsia="Symbol"/>
                <w:szCs w:val="18"/>
              </w:rPr>
              <w:t>(quarantined)</w:t>
            </w:r>
          </w:p>
        </w:tc>
        <w:tc>
          <w:tcPr>
            <w:tcW w:w="1530" w:type="dxa"/>
          </w:tcPr>
          <w:p w14:paraId="512122CD" w14:textId="77777777" w:rsidR="00C045C1" w:rsidRDefault="00C045C1" w:rsidP="006F58C9">
            <w:pPr>
              <w:pStyle w:val="TableText"/>
              <w:keepNext/>
            </w:pPr>
            <w:r>
              <w:t>No</w:t>
            </w:r>
          </w:p>
        </w:tc>
      </w:tr>
      <w:tr w:rsidR="00C045C1" w14:paraId="2B3302FE" w14:textId="77777777" w:rsidTr="006F58C9">
        <w:trPr>
          <w:cantSplit/>
        </w:trPr>
        <w:tc>
          <w:tcPr>
            <w:tcW w:w="3235" w:type="dxa"/>
            <w:vMerge/>
          </w:tcPr>
          <w:p w14:paraId="7A4618C1" w14:textId="77777777" w:rsidR="00C045C1" w:rsidRDefault="00C045C1" w:rsidP="00C045C1">
            <w:pPr>
              <w:pStyle w:val="TableText"/>
            </w:pPr>
          </w:p>
        </w:tc>
        <w:tc>
          <w:tcPr>
            <w:tcW w:w="1710" w:type="dxa"/>
            <w:vMerge/>
          </w:tcPr>
          <w:p w14:paraId="6E30A690" w14:textId="77777777" w:rsidR="00C045C1" w:rsidRDefault="00C045C1" w:rsidP="00C045C1">
            <w:pPr>
              <w:pStyle w:val="TableText"/>
            </w:pPr>
          </w:p>
        </w:tc>
        <w:tc>
          <w:tcPr>
            <w:tcW w:w="2520" w:type="dxa"/>
            <w:vMerge/>
          </w:tcPr>
          <w:p w14:paraId="5B72C54B" w14:textId="77777777" w:rsidR="00C045C1" w:rsidRDefault="00C045C1" w:rsidP="00C045C1">
            <w:pPr>
              <w:pStyle w:val="TableText"/>
            </w:pPr>
          </w:p>
        </w:tc>
        <w:tc>
          <w:tcPr>
            <w:tcW w:w="1417" w:type="dxa"/>
          </w:tcPr>
          <w:p w14:paraId="5D07A623" w14:textId="77777777" w:rsidR="00C045C1" w:rsidRDefault="00C045C1" w:rsidP="00C045C1">
            <w:pPr>
              <w:pStyle w:val="TableText"/>
              <w:rPr>
                <w:rFonts w:eastAsia="Symbol"/>
              </w:rPr>
            </w:pPr>
            <w:r>
              <w:rPr>
                <w:rFonts w:eastAsia="Symbol"/>
              </w:rPr>
              <w:t>Yes</w:t>
            </w:r>
            <w:r w:rsidR="00E31FC6">
              <w:rPr>
                <w:rFonts w:eastAsia="Symbol"/>
              </w:rPr>
              <w:t xml:space="preserve"> </w:t>
            </w:r>
            <w:r>
              <w:rPr>
                <w:rFonts w:eastAsia="Symbol"/>
                <w:vanish/>
                <w:szCs w:val="18"/>
              </w:rPr>
              <w:t xml:space="preserve"> BR_59.09 </w:t>
            </w:r>
            <w:r w:rsidRPr="00C4235F">
              <w:rPr>
                <w:rFonts w:eastAsia="Symbol"/>
                <w:szCs w:val="18"/>
              </w:rPr>
              <w:t>(quarantined with patient assignment)</w:t>
            </w:r>
          </w:p>
        </w:tc>
        <w:tc>
          <w:tcPr>
            <w:tcW w:w="1530" w:type="dxa"/>
          </w:tcPr>
          <w:p w14:paraId="097D6908" w14:textId="77777777" w:rsidR="00C045C1" w:rsidRDefault="00C045C1" w:rsidP="00C045C1">
            <w:pPr>
              <w:pStyle w:val="TableText"/>
            </w:pPr>
            <w:r>
              <w:rPr>
                <w:rFonts w:eastAsia="Symbol"/>
              </w:rPr>
              <w:t>Yes</w:t>
            </w:r>
          </w:p>
        </w:tc>
      </w:tr>
      <w:tr w:rsidR="001A049C" w14:paraId="05E4B385" w14:textId="77777777" w:rsidTr="006F58C9">
        <w:trPr>
          <w:cantSplit/>
        </w:trPr>
        <w:tc>
          <w:tcPr>
            <w:tcW w:w="3235" w:type="dxa"/>
            <w:vAlign w:val="bottom"/>
          </w:tcPr>
          <w:p w14:paraId="5F068EC2" w14:textId="77777777" w:rsidR="001A049C" w:rsidRDefault="001A049C" w:rsidP="009C25B8">
            <w:pPr>
              <w:pStyle w:val="TableText"/>
            </w:pPr>
            <w:r w:rsidRPr="001C1687">
              <w:rPr>
                <w:rFonts w:cs="Arial"/>
              </w:rPr>
              <w:t>Unit out of controlled storage found acceptable</w:t>
            </w:r>
          </w:p>
        </w:tc>
        <w:tc>
          <w:tcPr>
            <w:tcW w:w="1710" w:type="dxa"/>
            <w:vAlign w:val="bottom"/>
          </w:tcPr>
          <w:p w14:paraId="199F8311" w14:textId="77777777" w:rsidR="001A049C" w:rsidRDefault="001A049C" w:rsidP="009C25B8">
            <w:pPr>
              <w:pStyle w:val="TableText"/>
            </w:pPr>
            <w:r>
              <w:t>All</w:t>
            </w:r>
          </w:p>
        </w:tc>
        <w:tc>
          <w:tcPr>
            <w:tcW w:w="2520" w:type="dxa"/>
          </w:tcPr>
          <w:p w14:paraId="1773EDCF" w14:textId="77777777" w:rsidR="001A049C" w:rsidRDefault="001A049C" w:rsidP="009C25B8">
            <w:pPr>
              <w:pStyle w:val="TableText"/>
            </w:pPr>
            <w:r>
              <w:t>Return Issued Units to Blood Bank</w:t>
            </w:r>
          </w:p>
        </w:tc>
        <w:tc>
          <w:tcPr>
            <w:tcW w:w="1417" w:type="dxa"/>
            <w:vAlign w:val="bottom"/>
          </w:tcPr>
          <w:p w14:paraId="5576CE61" w14:textId="77777777" w:rsidR="001A049C" w:rsidRDefault="001A049C" w:rsidP="009C25B8">
            <w:pPr>
              <w:pStyle w:val="TableText"/>
              <w:rPr>
                <w:rFonts w:eastAsia="Arial Unicode MS"/>
              </w:rPr>
            </w:pPr>
            <w:r>
              <w:rPr>
                <w:rFonts w:eastAsia="Arial Unicode MS"/>
              </w:rPr>
              <w:t>Yes</w:t>
            </w:r>
          </w:p>
        </w:tc>
        <w:tc>
          <w:tcPr>
            <w:tcW w:w="1530" w:type="dxa"/>
            <w:vAlign w:val="bottom"/>
          </w:tcPr>
          <w:p w14:paraId="49D83136" w14:textId="77777777" w:rsidR="001A049C" w:rsidRPr="00FD55BB" w:rsidRDefault="001A049C" w:rsidP="009C25B8">
            <w:pPr>
              <w:pStyle w:val="TableText"/>
            </w:pPr>
            <w:r>
              <w:t>No</w:t>
            </w:r>
          </w:p>
        </w:tc>
      </w:tr>
    </w:tbl>
    <w:p w14:paraId="31C7B30F" w14:textId="77777777" w:rsidR="002A21AE" w:rsidRDefault="002A21AE">
      <w:pPr>
        <w:pStyle w:val="Heading3"/>
      </w:pPr>
      <w:r>
        <w:br w:type="page"/>
      </w:r>
      <w:r w:rsidR="00966400">
        <w:rPr>
          <w:rFonts w:ascii="Geneva" w:hAnsi="Geneva"/>
          <w:vanish/>
        </w:rPr>
        <w:lastRenderedPageBreak/>
        <w:t xml:space="preserve"> </w:t>
      </w:r>
      <w:r>
        <w:rPr>
          <w:rFonts w:ascii="Geneva" w:hAnsi="Geneva"/>
          <w:vanish/>
        </w:rPr>
        <w:t xml:space="preserve">TT_26.02A </w:t>
      </w:r>
      <w:bookmarkStart w:id="763" w:name="_Toc47516815"/>
      <w:r>
        <w:t>Allowable Product Modifications by Original Product Type</w:t>
      </w:r>
      <w:bookmarkEnd w:id="763"/>
      <w:r>
        <w:fldChar w:fldCharType="begin"/>
      </w:r>
      <w:r>
        <w:instrText xml:space="preserve"> XE </w:instrText>
      </w:r>
      <w:r w:rsidR="00FA7E65">
        <w:instrText>“</w:instrText>
      </w:r>
      <w:r>
        <w:instrText>Tables:Allowable Product Modifications by Original Product Type</w:instrText>
      </w:r>
      <w:r w:rsidR="00FA7E65">
        <w:instrText>”</w:instrText>
      </w:r>
      <w:r>
        <w:instrText xml:space="preserve"> </w:instrText>
      </w:r>
      <w:r>
        <w:fldChar w:fldCharType="end"/>
      </w:r>
    </w:p>
    <w:p w14:paraId="552D13B3" w14:textId="2A4526D8" w:rsidR="002A21AE" w:rsidRDefault="002A21AE" w:rsidP="00FA7E65">
      <w:pPr>
        <w:pStyle w:val="BodyText"/>
        <w:rPr>
          <w:color w:val="800080"/>
        </w:rPr>
      </w:pPr>
      <w:r>
        <w:t>ICCBBA provides a comprehensive database with every known blood product type that includes a five-digit product code, Product Type classification, and the Product Attribute</w:t>
      </w:r>
      <w:r w:rsidR="005E237B">
        <w:t>s</w:t>
      </w:r>
      <w:r>
        <w:t xml:space="preserve"> for each blood product.</w:t>
      </w:r>
    </w:p>
    <w:p w14:paraId="3D599E48" w14:textId="77777777" w:rsidR="002A21AE" w:rsidRDefault="002A21AE">
      <w:pPr>
        <w:pStyle w:val="Heading4"/>
      </w:pPr>
      <w:r>
        <w:t>Calculation of the Expiration Date</w:t>
      </w:r>
    </w:p>
    <w:p w14:paraId="321A0B58" w14:textId="77777777" w:rsidR="002A21AE" w:rsidRDefault="002A21AE" w:rsidP="00FA7E65">
      <w:pPr>
        <w:pStyle w:val="BodyText"/>
      </w:pPr>
      <w:r>
        <w:t xml:space="preserve">VBECS calculates the expiration date of the new unit based on system rules specific to the blood product and modification types, and on whether the system is open or closed. The user may accept or edit this expiration date. </w:t>
      </w:r>
    </w:p>
    <w:p w14:paraId="2C320AFB" w14:textId="226C6BAD" w:rsidR="002A21AE" w:rsidRDefault="003C5356" w:rsidP="00FA7E65">
      <w:pPr>
        <w:pStyle w:val="BodyText"/>
        <w:rPr>
          <w:highlight w:val="cyan"/>
        </w:rPr>
      </w:pPr>
      <w:r>
        <w:fldChar w:fldCharType="begin"/>
      </w:r>
      <w:r>
        <w:instrText xml:space="preserve"> REF _Ref126732350 \h </w:instrText>
      </w:r>
      <w:r>
        <w:fldChar w:fldCharType="separate"/>
      </w:r>
      <w:r w:rsidR="004353ED">
        <w:t xml:space="preserve">Table </w:t>
      </w:r>
      <w:r w:rsidR="004353ED">
        <w:rPr>
          <w:noProof/>
        </w:rPr>
        <w:t>22</w:t>
      </w:r>
      <w:r>
        <w:fldChar w:fldCharType="end"/>
      </w:r>
      <w:r w:rsidR="002A21AE">
        <w:t xml:space="preserve"> shows which kind of modifications are allowed for a specific product type. The first column contains product types; the second set of columns contains allowable modifications. Blank cells indicate that a modification type cannot be performed on an original product type.</w:t>
      </w:r>
    </w:p>
    <w:p w14:paraId="16DC1B20" w14:textId="5E54CC97" w:rsidR="002A21AE" w:rsidRDefault="002A21AE">
      <w:pPr>
        <w:pStyle w:val="Caption"/>
      </w:pPr>
      <w:bookmarkStart w:id="764" w:name="_Ref126732350"/>
      <w:bookmarkStart w:id="765" w:name="_Toc97523640"/>
      <w:bookmarkStart w:id="766" w:name="_Toc97527610"/>
      <w:bookmarkStart w:id="767" w:name="_Ref126485019"/>
      <w:bookmarkStart w:id="768" w:name="_Ref126485828"/>
      <w:bookmarkStart w:id="769" w:name="_Ref126485880"/>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22</w:t>
      </w:r>
      <w:r w:rsidR="004E20BD">
        <w:rPr>
          <w:noProof/>
        </w:rPr>
        <w:fldChar w:fldCharType="end"/>
      </w:r>
      <w:bookmarkEnd w:id="764"/>
      <w:r>
        <w:t xml:space="preserve">: </w:t>
      </w:r>
      <w:r>
        <w:rPr>
          <w:vanish/>
        </w:rPr>
        <w:t xml:space="preserve">TT_26.02A </w:t>
      </w:r>
      <w:r>
        <w:t>Allowable Product Modifications by Original Product Type</w:t>
      </w:r>
      <w:bookmarkEnd w:id="765"/>
      <w:bookmarkEnd w:id="766"/>
      <w:bookmarkEnd w:id="767"/>
      <w:bookmarkEnd w:id="768"/>
      <w:bookmarkEnd w:id="769"/>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9"/>
        <w:gridCol w:w="794"/>
        <w:gridCol w:w="794"/>
        <w:gridCol w:w="794"/>
        <w:gridCol w:w="793"/>
        <w:gridCol w:w="793"/>
        <w:gridCol w:w="793"/>
        <w:gridCol w:w="793"/>
        <w:gridCol w:w="793"/>
        <w:gridCol w:w="793"/>
        <w:gridCol w:w="793"/>
        <w:gridCol w:w="793"/>
      </w:tblGrid>
      <w:tr w:rsidR="005E237B" w:rsidRPr="0012237E" w14:paraId="19AC72AF" w14:textId="77777777" w:rsidTr="005E237B">
        <w:trPr>
          <w:cantSplit/>
          <w:trHeight w:val="432"/>
          <w:tblHeader/>
        </w:trPr>
        <w:tc>
          <w:tcPr>
            <w:tcW w:w="1615" w:type="dxa"/>
            <w:shd w:val="clear" w:color="auto" w:fill="808080"/>
            <w:vAlign w:val="bottom"/>
          </w:tcPr>
          <w:p w14:paraId="566AC3E6" w14:textId="77777777" w:rsidR="005E237B" w:rsidRPr="0012237E" w:rsidRDefault="005E237B" w:rsidP="005E237B">
            <w:pPr>
              <w:rPr>
                <w:rFonts w:ascii="Arial" w:hAnsi="Arial" w:cs="Arial"/>
                <w:b/>
                <w:sz w:val="20"/>
                <w:szCs w:val="20"/>
              </w:rPr>
            </w:pPr>
            <w:r w:rsidRPr="0012237E">
              <w:rPr>
                <w:rFonts w:ascii="Arial" w:hAnsi="Arial" w:cs="Arial"/>
                <w:b/>
                <w:sz w:val="20"/>
                <w:szCs w:val="20"/>
              </w:rPr>
              <w:t>Product Type Name</w:t>
            </w:r>
          </w:p>
        </w:tc>
        <w:tc>
          <w:tcPr>
            <w:tcW w:w="792" w:type="dxa"/>
            <w:shd w:val="clear" w:color="auto" w:fill="808080"/>
            <w:vAlign w:val="center"/>
          </w:tcPr>
          <w:p w14:paraId="58EA2997"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Split/</w:t>
            </w:r>
          </w:p>
          <w:p w14:paraId="2A4A7A4C"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Divide</w:t>
            </w:r>
          </w:p>
        </w:tc>
        <w:tc>
          <w:tcPr>
            <w:tcW w:w="792" w:type="dxa"/>
            <w:tcBorders>
              <w:bottom w:val="single" w:sz="4" w:space="0" w:color="auto"/>
            </w:tcBorders>
            <w:shd w:val="clear" w:color="auto" w:fill="808080"/>
            <w:vAlign w:val="center"/>
          </w:tcPr>
          <w:p w14:paraId="0642736E"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Thaw</w:t>
            </w:r>
          </w:p>
        </w:tc>
        <w:tc>
          <w:tcPr>
            <w:tcW w:w="792" w:type="dxa"/>
            <w:tcBorders>
              <w:bottom w:val="single" w:sz="4" w:space="0" w:color="auto"/>
            </w:tcBorders>
            <w:shd w:val="clear" w:color="auto" w:fill="808080"/>
            <w:vAlign w:val="center"/>
          </w:tcPr>
          <w:p w14:paraId="3E52F0D1"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Pool</w:t>
            </w:r>
          </w:p>
        </w:tc>
        <w:tc>
          <w:tcPr>
            <w:tcW w:w="792" w:type="dxa"/>
            <w:tcBorders>
              <w:bottom w:val="single" w:sz="4" w:space="0" w:color="auto"/>
            </w:tcBorders>
            <w:shd w:val="clear" w:color="auto" w:fill="808080"/>
            <w:vAlign w:val="center"/>
          </w:tcPr>
          <w:p w14:paraId="0EED6210"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Thaw/</w:t>
            </w:r>
          </w:p>
          <w:p w14:paraId="43D7B503"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Pool</w:t>
            </w:r>
          </w:p>
        </w:tc>
        <w:tc>
          <w:tcPr>
            <w:tcW w:w="792" w:type="dxa"/>
            <w:shd w:val="clear" w:color="auto" w:fill="808080"/>
            <w:vAlign w:val="center"/>
          </w:tcPr>
          <w:p w14:paraId="45480C95"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Irradiate</w:t>
            </w:r>
          </w:p>
        </w:tc>
        <w:tc>
          <w:tcPr>
            <w:tcW w:w="792" w:type="dxa"/>
            <w:shd w:val="clear" w:color="auto" w:fill="808080"/>
            <w:vAlign w:val="center"/>
          </w:tcPr>
          <w:p w14:paraId="78177775"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Leuko-reduce</w:t>
            </w:r>
          </w:p>
        </w:tc>
        <w:tc>
          <w:tcPr>
            <w:tcW w:w="792" w:type="dxa"/>
            <w:shd w:val="clear" w:color="auto" w:fill="808080"/>
            <w:vAlign w:val="center"/>
          </w:tcPr>
          <w:p w14:paraId="374EC0B6"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Volume Reduce</w:t>
            </w:r>
          </w:p>
        </w:tc>
        <w:tc>
          <w:tcPr>
            <w:tcW w:w="792" w:type="dxa"/>
            <w:shd w:val="clear" w:color="auto" w:fill="808080"/>
            <w:vAlign w:val="center"/>
          </w:tcPr>
          <w:p w14:paraId="6343CDAC"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Wash</w:t>
            </w:r>
          </w:p>
        </w:tc>
        <w:tc>
          <w:tcPr>
            <w:tcW w:w="792" w:type="dxa"/>
            <w:tcBorders>
              <w:bottom w:val="single" w:sz="4" w:space="0" w:color="auto"/>
            </w:tcBorders>
            <w:shd w:val="clear" w:color="auto" w:fill="808080"/>
            <w:vAlign w:val="center"/>
          </w:tcPr>
          <w:p w14:paraId="3B362B3B"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Rejuvenate</w:t>
            </w:r>
          </w:p>
        </w:tc>
        <w:tc>
          <w:tcPr>
            <w:tcW w:w="792" w:type="dxa"/>
            <w:shd w:val="clear" w:color="auto" w:fill="808080"/>
            <w:vAlign w:val="center"/>
          </w:tcPr>
          <w:p w14:paraId="282557EB"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Freeze</w:t>
            </w:r>
          </w:p>
        </w:tc>
        <w:tc>
          <w:tcPr>
            <w:tcW w:w="792" w:type="dxa"/>
            <w:tcBorders>
              <w:bottom w:val="single" w:sz="4" w:space="0" w:color="auto"/>
            </w:tcBorders>
            <w:shd w:val="clear" w:color="auto" w:fill="808080"/>
            <w:vAlign w:val="center"/>
          </w:tcPr>
          <w:p w14:paraId="3BAA91E9" w14:textId="77777777" w:rsidR="005E237B" w:rsidRPr="0012237E" w:rsidRDefault="005E237B" w:rsidP="005E237B">
            <w:pPr>
              <w:jc w:val="center"/>
              <w:rPr>
                <w:rFonts w:ascii="Arial" w:hAnsi="Arial" w:cs="Arial"/>
                <w:b/>
                <w:sz w:val="20"/>
                <w:szCs w:val="20"/>
              </w:rPr>
            </w:pPr>
            <w:r w:rsidRPr="0012237E">
              <w:rPr>
                <w:rFonts w:ascii="Arial" w:hAnsi="Arial" w:cs="Arial"/>
                <w:b/>
                <w:sz w:val="20"/>
                <w:szCs w:val="20"/>
              </w:rPr>
              <w:t>Deglycerolize</w:t>
            </w:r>
          </w:p>
        </w:tc>
      </w:tr>
      <w:tr w:rsidR="005E237B" w:rsidRPr="004F2C12" w14:paraId="48864BCA" w14:textId="77777777" w:rsidTr="005E237B">
        <w:trPr>
          <w:cantSplit/>
          <w:trHeight w:val="432"/>
        </w:trPr>
        <w:tc>
          <w:tcPr>
            <w:tcW w:w="1615" w:type="dxa"/>
            <w:vAlign w:val="center"/>
          </w:tcPr>
          <w:p w14:paraId="07B871A7" w14:textId="77777777" w:rsidR="005E237B" w:rsidRPr="0012237E" w:rsidRDefault="005E237B" w:rsidP="005E237B">
            <w:pPr>
              <w:rPr>
                <w:rFonts w:ascii="Arial" w:hAnsi="Arial" w:cs="Arial"/>
                <w:sz w:val="20"/>
                <w:szCs w:val="20"/>
              </w:rPr>
            </w:pPr>
            <w:r>
              <w:rPr>
                <w:rFonts w:ascii="Arial" w:hAnsi="Arial" w:cs="Arial"/>
                <w:color w:val="000000"/>
                <w:sz w:val="20"/>
                <w:szCs w:val="20"/>
              </w:rPr>
              <w:t>WHOLE BLOOD</w:t>
            </w:r>
          </w:p>
        </w:tc>
        <w:tc>
          <w:tcPr>
            <w:tcW w:w="792" w:type="dxa"/>
            <w:vAlign w:val="center"/>
          </w:tcPr>
          <w:p w14:paraId="49ECD17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X</w:t>
            </w:r>
          </w:p>
        </w:tc>
        <w:tc>
          <w:tcPr>
            <w:tcW w:w="792" w:type="dxa"/>
            <w:shd w:val="clear" w:color="auto" w:fill="C0C0C0"/>
            <w:vAlign w:val="center"/>
          </w:tcPr>
          <w:p w14:paraId="1D2D564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F534ED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A04434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4096DFFA"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771B4F16"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6DB5F3F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785CC64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1A30A97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57E292F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A2E2D2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13D173D5" w14:textId="77777777" w:rsidTr="005E237B">
        <w:trPr>
          <w:cantSplit/>
          <w:trHeight w:val="432"/>
        </w:trPr>
        <w:tc>
          <w:tcPr>
            <w:tcW w:w="1615" w:type="dxa"/>
            <w:vAlign w:val="center"/>
          </w:tcPr>
          <w:p w14:paraId="63166770" w14:textId="77777777" w:rsidR="005E237B" w:rsidRPr="0012237E" w:rsidRDefault="005E237B" w:rsidP="005E237B">
            <w:pPr>
              <w:rPr>
                <w:rFonts w:ascii="Arial" w:hAnsi="Arial" w:cs="Arial"/>
                <w:sz w:val="20"/>
                <w:szCs w:val="20"/>
              </w:rPr>
            </w:pPr>
            <w:r>
              <w:rPr>
                <w:rFonts w:ascii="Arial" w:hAnsi="Arial" w:cs="Arial"/>
                <w:color w:val="000000"/>
                <w:sz w:val="20"/>
                <w:szCs w:val="20"/>
              </w:rPr>
              <w:t>RED BLOOD CELLS</w:t>
            </w:r>
          </w:p>
        </w:tc>
        <w:tc>
          <w:tcPr>
            <w:tcW w:w="792" w:type="dxa"/>
            <w:vAlign w:val="bottom"/>
          </w:tcPr>
          <w:p w14:paraId="6D8B1278"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0B507D2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9DF23A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067A49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5323314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0825DEE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2FE4747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6A55F14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7E16BD2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4964A65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54E319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6AF0784C" w14:textId="77777777" w:rsidTr="005E237B">
        <w:trPr>
          <w:cantSplit/>
          <w:trHeight w:val="432"/>
        </w:trPr>
        <w:tc>
          <w:tcPr>
            <w:tcW w:w="1615" w:type="dxa"/>
            <w:vAlign w:val="center"/>
          </w:tcPr>
          <w:p w14:paraId="65555D29" w14:textId="77777777" w:rsidR="005E237B" w:rsidRPr="0012237E" w:rsidRDefault="005E237B" w:rsidP="005E237B">
            <w:pPr>
              <w:rPr>
                <w:rFonts w:ascii="Arial" w:hAnsi="Arial" w:cs="Arial"/>
                <w:sz w:val="20"/>
                <w:szCs w:val="20"/>
              </w:rPr>
            </w:pPr>
            <w:r>
              <w:rPr>
                <w:rFonts w:ascii="Arial" w:hAnsi="Arial" w:cs="Arial"/>
                <w:color w:val="000000"/>
                <w:sz w:val="20"/>
                <w:szCs w:val="20"/>
              </w:rPr>
              <w:t>Washed RED BLOOD CELLS</w:t>
            </w:r>
          </w:p>
        </w:tc>
        <w:tc>
          <w:tcPr>
            <w:tcW w:w="792" w:type="dxa"/>
            <w:tcBorders>
              <w:bottom w:val="single" w:sz="4" w:space="0" w:color="auto"/>
            </w:tcBorders>
            <w:vAlign w:val="bottom"/>
          </w:tcPr>
          <w:p w14:paraId="16E3E33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F91398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157F95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705FCA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6BBBC39A"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1D4BD8B8" w14:textId="77777777" w:rsidR="005E237B" w:rsidRPr="00F07E4F" w:rsidRDefault="005E237B" w:rsidP="005E237B">
            <w:pPr>
              <w:jc w:val="center"/>
              <w:rPr>
                <w:rFonts w:ascii="Arial" w:hAnsi="Arial" w:cs="Arial"/>
                <w:b/>
                <w:bCs/>
                <w:color w:val="000000"/>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1C5C25F" w14:textId="77777777" w:rsidR="005E237B" w:rsidRPr="00F07E4F" w:rsidRDefault="005E237B" w:rsidP="005E237B">
            <w:pPr>
              <w:jc w:val="center"/>
              <w:rPr>
                <w:rFonts w:ascii="Arial" w:hAnsi="Arial" w:cs="Arial"/>
                <w:b/>
                <w:bCs/>
                <w:color w:val="000000"/>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ABE5A7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13A1DB5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4369052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EF793D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5E5F2AFF" w14:textId="77777777" w:rsidTr="005E237B">
        <w:trPr>
          <w:cantSplit/>
          <w:trHeight w:val="432"/>
        </w:trPr>
        <w:tc>
          <w:tcPr>
            <w:tcW w:w="1615" w:type="dxa"/>
            <w:vAlign w:val="center"/>
          </w:tcPr>
          <w:p w14:paraId="2643F4D8" w14:textId="77777777" w:rsidR="005E237B" w:rsidRPr="0012237E" w:rsidRDefault="005E237B" w:rsidP="005E237B">
            <w:pPr>
              <w:rPr>
                <w:rFonts w:ascii="Arial" w:hAnsi="Arial" w:cs="Arial"/>
                <w:sz w:val="20"/>
                <w:szCs w:val="20"/>
              </w:rPr>
            </w:pPr>
            <w:r>
              <w:rPr>
                <w:rFonts w:ascii="Arial" w:hAnsi="Arial" w:cs="Arial"/>
                <w:color w:val="000000"/>
                <w:sz w:val="20"/>
                <w:szCs w:val="20"/>
              </w:rPr>
              <w:t>Frozen RED BLOOD CELLS</w:t>
            </w:r>
          </w:p>
        </w:tc>
        <w:tc>
          <w:tcPr>
            <w:tcW w:w="792" w:type="dxa"/>
            <w:shd w:val="clear" w:color="auto" w:fill="C0C0C0"/>
            <w:vAlign w:val="center"/>
          </w:tcPr>
          <w:p w14:paraId="1814D86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2BF1B1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87F579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84FF6A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EB714E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00A8C0E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4FD043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997382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95104E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435231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15905D7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r>
      <w:tr w:rsidR="005E237B" w:rsidRPr="004F2C12" w14:paraId="444AF1C0" w14:textId="77777777" w:rsidTr="005E237B">
        <w:trPr>
          <w:cantSplit/>
          <w:trHeight w:val="432"/>
        </w:trPr>
        <w:tc>
          <w:tcPr>
            <w:tcW w:w="1615" w:type="dxa"/>
            <w:vAlign w:val="center"/>
          </w:tcPr>
          <w:p w14:paraId="04016762" w14:textId="77777777" w:rsidR="005E237B" w:rsidRPr="0012237E" w:rsidRDefault="005E237B" w:rsidP="005E237B">
            <w:pPr>
              <w:rPr>
                <w:rFonts w:ascii="Arial" w:hAnsi="Arial" w:cs="Arial"/>
                <w:sz w:val="20"/>
                <w:szCs w:val="20"/>
              </w:rPr>
            </w:pPr>
            <w:r>
              <w:rPr>
                <w:rFonts w:ascii="Arial" w:hAnsi="Arial" w:cs="Arial"/>
                <w:color w:val="000000"/>
                <w:sz w:val="20"/>
                <w:szCs w:val="20"/>
              </w:rPr>
              <w:t>Frozen Rejuvenated RED BLOOD CELLS</w:t>
            </w:r>
          </w:p>
        </w:tc>
        <w:tc>
          <w:tcPr>
            <w:tcW w:w="792" w:type="dxa"/>
            <w:shd w:val="clear" w:color="auto" w:fill="C0C0C0"/>
            <w:vAlign w:val="center"/>
          </w:tcPr>
          <w:p w14:paraId="44E7DFE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E85C82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D5C908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322724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B85D2D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57F6A14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B950CF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01F04C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105E2E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9DDED9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41F08C8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r>
      <w:tr w:rsidR="005E237B" w:rsidRPr="004F2C12" w14:paraId="642B5B77" w14:textId="77777777" w:rsidTr="005E237B">
        <w:trPr>
          <w:cantSplit/>
          <w:trHeight w:val="432"/>
        </w:trPr>
        <w:tc>
          <w:tcPr>
            <w:tcW w:w="1615" w:type="dxa"/>
            <w:vAlign w:val="center"/>
          </w:tcPr>
          <w:p w14:paraId="0A293822" w14:textId="77777777" w:rsidR="005E237B" w:rsidRPr="0012237E" w:rsidRDefault="005E237B" w:rsidP="005E237B">
            <w:pPr>
              <w:rPr>
                <w:rFonts w:ascii="Arial" w:hAnsi="Arial" w:cs="Arial"/>
                <w:sz w:val="20"/>
                <w:szCs w:val="20"/>
              </w:rPr>
            </w:pPr>
            <w:r>
              <w:rPr>
                <w:rFonts w:ascii="Arial" w:hAnsi="Arial" w:cs="Arial"/>
                <w:color w:val="000000"/>
                <w:sz w:val="20"/>
                <w:szCs w:val="20"/>
              </w:rPr>
              <w:t>Deglycerolized RED BLOOD CELLS</w:t>
            </w:r>
          </w:p>
        </w:tc>
        <w:tc>
          <w:tcPr>
            <w:tcW w:w="792" w:type="dxa"/>
            <w:vAlign w:val="bottom"/>
          </w:tcPr>
          <w:p w14:paraId="6A5B1A9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4418BD9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42E51C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00405C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355F606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2701AAC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060182C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302CC6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D68147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CE5422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226C39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691BDB10" w14:textId="77777777" w:rsidTr="005E237B">
        <w:trPr>
          <w:cantSplit/>
          <w:trHeight w:val="432"/>
        </w:trPr>
        <w:tc>
          <w:tcPr>
            <w:tcW w:w="1615" w:type="dxa"/>
            <w:vAlign w:val="center"/>
          </w:tcPr>
          <w:p w14:paraId="6E60C09D" w14:textId="77777777" w:rsidR="005E237B" w:rsidRPr="0012237E" w:rsidRDefault="005E237B" w:rsidP="005E237B">
            <w:pPr>
              <w:rPr>
                <w:rFonts w:ascii="Arial" w:hAnsi="Arial" w:cs="Arial"/>
                <w:sz w:val="20"/>
                <w:szCs w:val="20"/>
              </w:rPr>
            </w:pPr>
            <w:r>
              <w:rPr>
                <w:rFonts w:ascii="Arial" w:hAnsi="Arial" w:cs="Arial"/>
                <w:color w:val="000000"/>
                <w:sz w:val="20"/>
                <w:szCs w:val="20"/>
              </w:rPr>
              <w:t>Deglycerolized Rejuvenated RED BLOOD CELLS</w:t>
            </w:r>
          </w:p>
        </w:tc>
        <w:tc>
          <w:tcPr>
            <w:tcW w:w="792" w:type="dxa"/>
            <w:vAlign w:val="bottom"/>
          </w:tcPr>
          <w:p w14:paraId="10CA45D1"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AE5234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387A8D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66553F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7852067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7DCFBD4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259C4A5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77DCE2D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FF6456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5D0E2A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4994B62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2F6A5565" w14:textId="77777777" w:rsidTr="005E237B">
        <w:trPr>
          <w:cantSplit/>
          <w:trHeight w:val="432"/>
        </w:trPr>
        <w:tc>
          <w:tcPr>
            <w:tcW w:w="1615" w:type="dxa"/>
            <w:vAlign w:val="center"/>
          </w:tcPr>
          <w:p w14:paraId="6CAFF52A" w14:textId="77777777" w:rsidR="005E237B" w:rsidRPr="0012237E" w:rsidRDefault="005E237B" w:rsidP="005E237B">
            <w:pPr>
              <w:rPr>
                <w:rFonts w:ascii="Arial" w:hAnsi="Arial" w:cs="Arial"/>
                <w:sz w:val="20"/>
                <w:szCs w:val="20"/>
              </w:rPr>
            </w:pPr>
            <w:r>
              <w:rPr>
                <w:rFonts w:ascii="Arial" w:hAnsi="Arial" w:cs="Arial"/>
                <w:color w:val="000000"/>
                <w:sz w:val="20"/>
                <w:szCs w:val="20"/>
              </w:rPr>
              <w:t>Rejuvenated RED BLOOD CELLS</w:t>
            </w:r>
          </w:p>
        </w:tc>
        <w:tc>
          <w:tcPr>
            <w:tcW w:w="792" w:type="dxa"/>
            <w:vAlign w:val="bottom"/>
          </w:tcPr>
          <w:p w14:paraId="355D2BD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5268B4C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5ECC51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751A1B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51B53F8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3152B5F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4D1ADC9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A8D078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F66F09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1B28477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734B6B8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53301FEE" w14:textId="77777777" w:rsidTr="005E237B">
        <w:trPr>
          <w:cantSplit/>
          <w:trHeight w:val="432"/>
        </w:trPr>
        <w:tc>
          <w:tcPr>
            <w:tcW w:w="1615" w:type="dxa"/>
            <w:vAlign w:val="center"/>
          </w:tcPr>
          <w:p w14:paraId="1D5AD4B1" w14:textId="77777777" w:rsidR="005E237B" w:rsidRPr="0012237E" w:rsidRDefault="005E237B" w:rsidP="005E237B">
            <w:pPr>
              <w:rPr>
                <w:rFonts w:ascii="Arial" w:hAnsi="Arial" w:cs="Arial"/>
                <w:sz w:val="20"/>
                <w:szCs w:val="20"/>
              </w:rPr>
            </w:pPr>
            <w:r>
              <w:rPr>
                <w:rFonts w:ascii="Arial" w:hAnsi="Arial" w:cs="Arial"/>
                <w:color w:val="000000"/>
                <w:sz w:val="20"/>
                <w:szCs w:val="20"/>
              </w:rPr>
              <w:t>Apheresis RED BLOOD CELLS</w:t>
            </w:r>
          </w:p>
        </w:tc>
        <w:tc>
          <w:tcPr>
            <w:tcW w:w="792" w:type="dxa"/>
            <w:tcBorders>
              <w:bottom w:val="single" w:sz="4" w:space="0" w:color="auto"/>
            </w:tcBorders>
            <w:vAlign w:val="bottom"/>
          </w:tcPr>
          <w:p w14:paraId="409E4B5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13BD158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7F0D75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4D819D3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007814F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19C8984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3F879CA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5090F65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64463C2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757F270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2A09C0A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29BF4B17" w14:textId="77777777" w:rsidTr="005E237B">
        <w:trPr>
          <w:cantSplit/>
          <w:trHeight w:val="432"/>
        </w:trPr>
        <w:tc>
          <w:tcPr>
            <w:tcW w:w="1615" w:type="dxa"/>
            <w:vAlign w:val="center"/>
          </w:tcPr>
          <w:p w14:paraId="7845CAD2" w14:textId="77777777" w:rsidR="005E237B" w:rsidRPr="0012237E" w:rsidRDefault="005E237B" w:rsidP="005E237B">
            <w:pPr>
              <w:rPr>
                <w:rFonts w:ascii="Arial" w:hAnsi="Arial" w:cs="Arial"/>
                <w:sz w:val="20"/>
                <w:szCs w:val="20"/>
              </w:rPr>
            </w:pPr>
            <w:r>
              <w:rPr>
                <w:rFonts w:ascii="Arial" w:hAnsi="Arial" w:cs="Arial"/>
                <w:color w:val="000000"/>
                <w:sz w:val="20"/>
                <w:szCs w:val="20"/>
              </w:rPr>
              <w:t>FRESH FROZEN PLASMA</w:t>
            </w:r>
          </w:p>
        </w:tc>
        <w:tc>
          <w:tcPr>
            <w:tcW w:w="792" w:type="dxa"/>
            <w:shd w:val="clear" w:color="auto" w:fill="C0C0C0"/>
            <w:vAlign w:val="center"/>
          </w:tcPr>
          <w:p w14:paraId="2882C09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3B22524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2EBAE18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269F3C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5BA9C1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3032D6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4BF14C0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2FE048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65FF948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8F25D8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4FA19D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78D1BBB2" w14:textId="77777777" w:rsidTr="005E237B">
        <w:trPr>
          <w:cantSplit/>
          <w:trHeight w:val="432"/>
        </w:trPr>
        <w:tc>
          <w:tcPr>
            <w:tcW w:w="1615" w:type="dxa"/>
            <w:vAlign w:val="center"/>
          </w:tcPr>
          <w:p w14:paraId="2AB08B59" w14:textId="77777777" w:rsidR="005E237B" w:rsidRPr="0012237E" w:rsidRDefault="005E237B" w:rsidP="005E237B">
            <w:pPr>
              <w:rPr>
                <w:rFonts w:ascii="Arial" w:hAnsi="Arial" w:cs="Arial"/>
                <w:sz w:val="20"/>
                <w:szCs w:val="20"/>
                <w:lang w:val="de-DE"/>
              </w:rPr>
            </w:pPr>
            <w:r>
              <w:rPr>
                <w:rFonts w:ascii="Arial" w:hAnsi="Arial" w:cs="Arial"/>
                <w:color w:val="000000"/>
                <w:sz w:val="20"/>
                <w:szCs w:val="20"/>
              </w:rPr>
              <w:t>Thawed FRESH FROZEN PLASMA</w:t>
            </w:r>
          </w:p>
        </w:tc>
        <w:tc>
          <w:tcPr>
            <w:tcW w:w="792" w:type="dxa"/>
            <w:tcBorders>
              <w:bottom w:val="single" w:sz="4" w:space="0" w:color="auto"/>
            </w:tcBorders>
            <w:vAlign w:val="bottom"/>
          </w:tcPr>
          <w:p w14:paraId="51DE8E9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21094E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12DA3F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EF8BF4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67CE101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674CC06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067F605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FA04A7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355950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5438A5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B1FAA3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3EB97BAA" w14:textId="77777777" w:rsidTr="005E237B">
        <w:trPr>
          <w:cantSplit/>
          <w:trHeight w:val="432"/>
        </w:trPr>
        <w:tc>
          <w:tcPr>
            <w:tcW w:w="1615" w:type="dxa"/>
            <w:vAlign w:val="center"/>
          </w:tcPr>
          <w:p w14:paraId="211A92F4" w14:textId="77777777" w:rsidR="005E237B" w:rsidRPr="0012237E" w:rsidRDefault="005E237B" w:rsidP="005E237B">
            <w:pPr>
              <w:rPr>
                <w:rFonts w:ascii="Arial" w:hAnsi="Arial" w:cs="Arial"/>
                <w:sz w:val="20"/>
                <w:szCs w:val="20"/>
                <w:lang w:val="de-DE"/>
              </w:rPr>
            </w:pPr>
            <w:r>
              <w:rPr>
                <w:rFonts w:ascii="Arial" w:hAnsi="Arial" w:cs="Arial"/>
                <w:color w:val="000000"/>
                <w:sz w:val="20"/>
                <w:szCs w:val="20"/>
              </w:rPr>
              <w:t>Apheresis FRESH FROZEN PLASMA</w:t>
            </w:r>
          </w:p>
        </w:tc>
        <w:tc>
          <w:tcPr>
            <w:tcW w:w="792" w:type="dxa"/>
            <w:shd w:val="clear" w:color="auto" w:fill="C0C0C0"/>
            <w:vAlign w:val="center"/>
          </w:tcPr>
          <w:p w14:paraId="138454B7" w14:textId="77777777" w:rsidR="005E237B" w:rsidRPr="004F2C12" w:rsidRDefault="005E237B" w:rsidP="005E237B">
            <w:pPr>
              <w:jc w:val="center"/>
              <w:rPr>
                <w:rFonts w:ascii="Arial" w:hAnsi="Arial" w:cs="Arial"/>
                <w:b/>
                <w:sz w:val="28"/>
                <w:szCs w:val="28"/>
                <w:lang w:val="de-DE"/>
              </w:rPr>
            </w:pPr>
            <w:r>
              <w:rPr>
                <w:rFonts w:ascii="Arial" w:hAnsi="Arial" w:cs="Arial"/>
                <w:b/>
                <w:bCs/>
                <w:color w:val="000000"/>
                <w:sz w:val="28"/>
                <w:szCs w:val="28"/>
              </w:rPr>
              <w:t> </w:t>
            </w:r>
          </w:p>
        </w:tc>
        <w:tc>
          <w:tcPr>
            <w:tcW w:w="792" w:type="dxa"/>
            <w:tcBorders>
              <w:bottom w:val="single" w:sz="4" w:space="0" w:color="auto"/>
            </w:tcBorders>
            <w:vAlign w:val="bottom"/>
          </w:tcPr>
          <w:p w14:paraId="56B29B3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1CF86EC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01BFC409"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4D02FA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1C14E8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FEF2DC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5BBC16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EF72FE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BF6C19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46C6DB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3B888872" w14:textId="77777777" w:rsidTr="005E237B">
        <w:trPr>
          <w:cantSplit/>
          <w:trHeight w:val="432"/>
        </w:trPr>
        <w:tc>
          <w:tcPr>
            <w:tcW w:w="1615" w:type="dxa"/>
            <w:vAlign w:val="center"/>
          </w:tcPr>
          <w:p w14:paraId="6CCA0A76" w14:textId="77777777" w:rsidR="005E237B" w:rsidRPr="0012237E" w:rsidRDefault="005E237B" w:rsidP="005E237B">
            <w:pPr>
              <w:rPr>
                <w:rFonts w:ascii="Arial" w:hAnsi="Arial" w:cs="Arial"/>
              </w:rPr>
            </w:pPr>
            <w:r>
              <w:rPr>
                <w:rFonts w:ascii="Arial" w:hAnsi="Arial" w:cs="Arial"/>
                <w:color w:val="000000"/>
                <w:sz w:val="20"/>
                <w:szCs w:val="20"/>
              </w:rPr>
              <w:t>Thawed Apheresis FRESH FROZEN PLASMA</w:t>
            </w:r>
          </w:p>
        </w:tc>
        <w:tc>
          <w:tcPr>
            <w:tcW w:w="792" w:type="dxa"/>
            <w:tcBorders>
              <w:bottom w:val="single" w:sz="4" w:space="0" w:color="auto"/>
            </w:tcBorders>
            <w:vAlign w:val="bottom"/>
          </w:tcPr>
          <w:p w14:paraId="1E004BAD"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0C63FA9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729195B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562ABC3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40847A1A"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354D20A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AEA34A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5F3CFC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576D3B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AA600A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D74F93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5348AF4C" w14:textId="77777777" w:rsidTr="005E237B">
        <w:trPr>
          <w:cantSplit/>
          <w:trHeight w:val="432"/>
        </w:trPr>
        <w:tc>
          <w:tcPr>
            <w:tcW w:w="1615" w:type="dxa"/>
            <w:vAlign w:val="center"/>
          </w:tcPr>
          <w:p w14:paraId="7FE7475D" w14:textId="77777777" w:rsidR="005E237B" w:rsidRPr="0012237E" w:rsidRDefault="005E237B" w:rsidP="005E237B">
            <w:pPr>
              <w:rPr>
                <w:rFonts w:ascii="Arial" w:hAnsi="Arial" w:cs="Arial"/>
                <w:sz w:val="20"/>
                <w:szCs w:val="20"/>
              </w:rPr>
            </w:pPr>
            <w:r>
              <w:rPr>
                <w:rFonts w:ascii="Arial" w:hAnsi="Arial" w:cs="Arial"/>
                <w:color w:val="000000"/>
                <w:sz w:val="20"/>
                <w:szCs w:val="20"/>
              </w:rPr>
              <w:t>Apheresis PLASMA</w:t>
            </w:r>
          </w:p>
        </w:tc>
        <w:tc>
          <w:tcPr>
            <w:tcW w:w="792" w:type="dxa"/>
            <w:shd w:val="clear" w:color="auto" w:fill="C0C0C0"/>
            <w:vAlign w:val="center"/>
          </w:tcPr>
          <w:p w14:paraId="66A9C5B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1A125B3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4D430CA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20482B52"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0BB2B06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126EB9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D28B6D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DFBAF7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B878C7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A24DDC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35D747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123E1078" w14:textId="77777777" w:rsidTr="005E237B">
        <w:trPr>
          <w:cantSplit/>
          <w:trHeight w:val="432"/>
        </w:trPr>
        <w:tc>
          <w:tcPr>
            <w:tcW w:w="1615" w:type="dxa"/>
            <w:vAlign w:val="center"/>
          </w:tcPr>
          <w:p w14:paraId="2679E2CF" w14:textId="77777777" w:rsidR="005E237B" w:rsidRPr="0012237E" w:rsidRDefault="005E237B" w:rsidP="005E237B">
            <w:pPr>
              <w:rPr>
                <w:rFonts w:ascii="Arial" w:hAnsi="Arial" w:cs="Arial"/>
                <w:sz w:val="20"/>
                <w:szCs w:val="20"/>
              </w:rPr>
            </w:pPr>
            <w:r>
              <w:rPr>
                <w:rFonts w:ascii="Arial" w:hAnsi="Arial" w:cs="Arial"/>
                <w:color w:val="000000"/>
                <w:sz w:val="20"/>
                <w:szCs w:val="20"/>
              </w:rPr>
              <w:lastRenderedPageBreak/>
              <w:t>Thawed Apheresis PLASMA</w:t>
            </w:r>
          </w:p>
        </w:tc>
        <w:tc>
          <w:tcPr>
            <w:tcW w:w="792" w:type="dxa"/>
            <w:vAlign w:val="bottom"/>
          </w:tcPr>
          <w:p w14:paraId="2CFEDDC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488E756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1C39E78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7473DEF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1C3E6B8D"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21B0B96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13C521E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CB13B1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635658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983F8E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6EFA29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4052E174" w14:textId="77777777" w:rsidTr="005E237B">
        <w:trPr>
          <w:cantSplit/>
          <w:trHeight w:val="432"/>
        </w:trPr>
        <w:tc>
          <w:tcPr>
            <w:tcW w:w="1615" w:type="dxa"/>
            <w:vAlign w:val="center"/>
          </w:tcPr>
          <w:p w14:paraId="720A7E3E" w14:textId="77777777" w:rsidR="005E237B" w:rsidRPr="0012237E" w:rsidRDefault="005E237B" w:rsidP="005E237B">
            <w:pPr>
              <w:rPr>
                <w:rFonts w:ascii="Arial" w:hAnsi="Arial" w:cs="Arial"/>
                <w:sz w:val="20"/>
                <w:szCs w:val="20"/>
              </w:rPr>
            </w:pPr>
            <w:r>
              <w:rPr>
                <w:rFonts w:ascii="Arial" w:hAnsi="Arial" w:cs="Arial"/>
                <w:color w:val="000000"/>
                <w:sz w:val="20"/>
                <w:szCs w:val="20"/>
              </w:rPr>
              <w:t>Liquid PLASMA</w:t>
            </w:r>
          </w:p>
        </w:tc>
        <w:tc>
          <w:tcPr>
            <w:tcW w:w="792" w:type="dxa"/>
            <w:tcBorders>
              <w:bottom w:val="single" w:sz="4" w:space="0" w:color="auto"/>
            </w:tcBorders>
            <w:vAlign w:val="bottom"/>
          </w:tcPr>
          <w:p w14:paraId="179A08A3"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0B4A0F4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339349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4A3733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7D8840E6"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6F2EA6A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6BBCFCB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C379F1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CDE3E0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4FD2BE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F8A866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0CD191A0" w14:textId="77777777" w:rsidTr="005E237B">
        <w:trPr>
          <w:cantSplit/>
          <w:trHeight w:val="432"/>
        </w:trPr>
        <w:tc>
          <w:tcPr>
            <w:tcW w:w="1615" w:type="dxa"/>
            <w:vAlign w:val="center"/>
          </w:tcPr>
          <w:p w14:paraId="469FF648" w14:textId="77777777" w:rsidR="005E237B" w:rsidRPr="0012237E" w:rsidRDefault="005E237B" w:rsidP="005E237B">
            <w:pPr>
              <w:rPr>
                <w:rFonts w:ascii="Arial" w:hAnsi="Arial" w:cs="Arial"/>
                <w:sz w:val="20"/>
                <w:szCs w:val="20"/>
              </w:rPr>
            </w:pPr>
            <w:r>
              <w:rPr>
                <w:rFonts w:ascii="Arial" w:hAnsi="Arial" w:cs="Arial"/>
                <w:color w:val="000000"/>
                <w:sz w:val="20"/>
                <w:szCs w:val="20"/>
              </w:rPr>
              <w:t>PLASMA</w:t>
            </w:r>
          </w:p>
        </w:tc>
        <w:tc>
          <w:tcPr>
            <w:tcW w:w="792" w:type="dxa"/>
            <w:shd w:val="clear" w:color="auto" w:fill="C0C0C0"/>
            <w:vAlign w:val="center"/>
          </w:tcPr>
          <w:p w14:paraId="01B80B8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0C9E74E3"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35F6E93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C5D5E5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4F87D0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BE15E7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FF0FA4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ABE5ED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449514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BBFA4F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227D2D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6620AEEA" w14:textId="77777777" w:rsidTr="005E237B">
        <w:trPr>
          <w:cantSplit/>
          <w:trHeight w:val="432"/>
        </w:trPr>
        <w:tc>
          <w:tcPr>
            <w:tcW w:w="1615" w:type="dxa"/>
            <w:vAlign w:val="center"/>
          </w:tcPr>
          <w:p w14:paraId="5ECC6E15" w14:textId="77777777" w:rsidR="005E237B" w:rsidRPr="0012237E" w:rsidRDefault="005E237B" w:rsidP="005E237B">
            <w:pPr>
              <w:rPr>
                <w:rFonts w:ascii="Arial" w:hAnsi="Arial" w:cs="Arial"/>
                <w:sz w:val="20"/>
                <w:szCs w:val="20"/>
              </w:rPr>
            </w:pPr>
            <w:r>
              <w:rPr>
                <w:rFonts w:ascii="Arial" w:hAnsi="Arial" w:cs="Arial"/>
                <w:color w:val="000000"/>
                <w:sz w:val="20"/>
                <w:szCs w:val="20"/>
              </w:rPr>
              <w:t>Thawed PLASMA</w:t>
            </w:r>
          </w:p>
        </w:tc>
        <w:tc>
          <w:tcPr>
            <w:tcW w:w="792" w:type="dxa"/>
            <w:vAlign w:val="bottom"/>
          </w:tcPr>
          <w:p w14:paraId="63A7F5F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D94ED5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562C55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938F85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699CE13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427A2972"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394C20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CE512B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B0BAD7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A0B079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42F501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3CFEEBA3" w14:textId="77777777" w:rsidTr="005E237B">
        <w:trPr>
          <w:cantSplit/>
          <w:trHeight w:val="432"/>
        </w:trPr>
        <w:tc>
          <w:tcPr>
            <w:tcW w:w="1615" w:type="dxa"/>
            <w:vAlign w:val="center"/>
          </w:tcPr>
          <w:p w14:paraId="0EE32D10" w14:textId="77777777" w:rsidR="005E237B" w:rsidRPr="0012237E" w:rsidRDefault="005E237B" w:rsidP="005E237B">
            <w:pPr>
              <w:rPr>
                <w:rFonts w:ascii="Arial" w:hAnsi="Arial" w:cs="Arial"/>
                <w:sz w:val="20"/>
                <w:szCs w:val="20"/>
              </w:rPr>
            </w:pPr>
            <w:r>
              <w:rPr>
                <w:rFonts w:ascii="Arial" w:hAnsi="Arial" w:cs="Arial"/>
                <w:color w:val="000000"/>
                <w:sz w:val="20"/>
                <w:szCs w:val="20"/>
              </w:rPr>
              <w:t>PLATELET-RICH PLASMA</w:t>
            </w:r>
          </w:p>
        </w:tc>
        <w:tc>
          <w:tcPr>
            <w:tcW w:w="792" w:type="dxa"/>
            <w:vAlign w:val="bottom"/>
          </w:tcPr>
          <w:p w14:paraId="3C44816D"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2B25F86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AB878E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4202900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775B53A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05A4E69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22FF0A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430D5F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08C682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5836AD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DA6A46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06107D0A" w14:textId="77777777" w:rsidTr="005E237B">
        <w:trPr>
          <w:cantSplit/>
          <w:trHeight w:val="432"/>
        </w:trPr>
        <w:tc>
          <w:tcPr>
            <w:tcW w:w="1615" w:type="dxa"/>
            <w:vAlign w:val="center"/>
          </w:tcPr>
          <w:p w14:paraId="1AA29BF1" w14:textId="77777777" w:rsidR="005E237B" w:rsidRPr="0012237E" w:rsidRDefault="005E237B" w:rsidP="005E237B">
            <w:pPr>
              <w:rPr>
                <w:rFonts w:ascii="Arial" w:hAnsi="Arial" w:cs="Arial"/>
                <w:sz w:val="20"/>
                <w:szCs w:val="20"/>
              </w:rPr>
            </w:pPr>
            <w:r>
              <w:rPr>
                <w:rFonts w:ascii="Arial" w:hAnsi="Arial" w:cs="Arial"/>
                <w:color w:val="000000"/>
                <w:sz w:val="20"/>
                <w:szCs w:val="20"/>
              </w:rPr>
              <w:t>PLATELETS</w:t>
            </w:r>
          </w:p>
        </w:tc>
        <w:tc>
          <w:tcPr>
            <w:tcW w:w="792" w:type="dxa"/>
            <w:tcBorders>
              <w:bottom w:val="single" w:sz="4" w:space="0" w:color="auto"/>
            </w:tcBorders>
            <w:vAlign w:val="bottom"/>
          </w:tcPr>
          <w:p w14:paraId="6B452A3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57716CA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35611EA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9E1AF0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12058361"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788DEB2A"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77839CA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0F1E5A6A"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1A7F459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F9D645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741FE13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4EE120D1" w14:textId="77777777" w:rsidTr="005E237B">
        <w:trPr>
          <w:cantSplit/>
          <w:trHeight w:val="432"/>
        </w:trPr>
        <w:tc>
          <w:tcPr>
            <w:tcW w:w="1615" w:type="dxa"/>
            <w:vAlign w:val="center"/>
          </w:tcPr>
          <w:p w14:paraId="41998BA0" w14:textId="77777777" w:rsidR="005E237B" w:rsidRPr="0012237E" w:rsidRDefault="005E237B" w:rsidP="005E237B">
            <w:pPr>
              <w:rPr>
                <w:rFonts w:ascii="Arial" w:hAnsi="Arial" w:cs="Arial"/>
                <w:sz w:val="20"/>
                <w:szCs w:val="20"/>
              </w:rPr>
            </w:pPr>
            <w:r>
              <w:rPr>
                <w:rFonts w:ascii="Arial" w:hAnsi="Arial" w:cs="Arial"/>
                <w:color w:val="000000"/>
                <w:sz w:val="20"/>
                <w:szCs w:val="20"/>
              </w:rPr>
              <w:t>Washed PLATELETS</w:t>
            </w:r>
          </w:p>
        </w:tc>
        <w:tc>
          <w:tcPr>
            <w:tcW w:w="792" w:type="dxa"/>
            <w:tcBorders>
              <w:bottom w:val="single" w:sz="4" w:space="0" w:color="auto"/>
            </w:tcBorders>
            <w:shd w:val="clear" w:color="auto" w:fill="auto"/>
            <w:vAlign w:val="bottom"/>
          </w:tcPr>
          <w:p w14:paraId="3A8E4C4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0011CAE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45A23B8A"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7BD2F06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665C992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096C0D7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114D4CB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D851B6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67992EA" w14:textId="77777777" w:rsidR="005E237B" w:rsidRPr="004F2C12" w:rsidRDefault="005E237B" w:rsidP="005E237B">
            <w:pPr>
              <w:pStyle w:val="CommentText"/>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105F9F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D5271B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234C6B3F" w14:textId="77777777" w:rsidTr="005E237B">
        <w:trPr>
          <w:cantSplit/>
          <w:trHeight w:val="432"/>
        </w:trPr>
        <w:tc>
          <w:tcPr>
            <w:tcW w:w="1615" w:type="dxa"/>
            <w:vAlign w:val="center"/>
          </w:tcPr>
          <w:p w14:paraId="2DB4D9A1" w14:textId="77777777" w:rsidR="005E237B" w:rsidRPr="0012237E" w:rsidRDefault="005E237B" w:rsidP="005E237B">
            <w:pPr>
              <w:rPr>
                <w:rFonts w:ascii="Arial" w:hAnsi="Arial" w:cs="Arial"/>
                <w:sz w:val="20"/>
                <w:szCs w:val="20"/>
              </w:rPr>
            </w:pPr>
            <w:r>
              <w:rPr>
                <w:rFonts w:ascii="Arial" w:hAnsi="Arial" w:cs="Arial"/>
                <w:color w:val="000000"/>
                <w:sz w:val="20"/>
                <w:szCs w:val="20"/>
              </w:rPr>
              <w:t>POOLED PLATELETS</w:t>
            </w:r>
          </w:p>
        </w:tc>
        <w:tc>
          <w:tcPr>
            <w:tcW w:w="792" w:type="dxa"/>
            <w:shd w:val="clear" w:color="auto" w:fill="auto"/>
            <w:vAlign w:val="bottom"/>
          </w:tcPr>
          <w:p w14:paraId="0E0DB7F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3F56C38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7E984BF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3A628F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087EE32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06DD0AF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68FA574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66F25B49"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7AA4F75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5B13C5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B65968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7D3B9A78" w14:textId="77777777" w:rsidTr="005E237B">
        <w:trPr>
          <w:cantSplit/>
          <w:trHeight w:val="432"/>
        </w:trPr>
        <w:tc>
          <w:tcPr>
            <w:tcW w:w="1615" w:type="dxa"/>
            <w:vAlign w:val="center"/>
          </w:tcPr>
          <w:p w14:paraId="45BB1E30" w14:textId="77777777" w:rsidR="005E237B" w:rsidRPr="0012237E" w:rsidRDefault="005E237B" w:rsidP="005E237B">
            <w:pPr>
              <w:rPr>
                <w:rFonts w:ascii="Arial" w:hAnsi="Arial" w:cs="Arial"/>
                <w:sz w:val="20"/>
                <w:szCs w:val="20"/>
              </w:rPr>
            </w:pPr>
            <w:r>
              <w:rPr>
                <w:rFonts w:ascii="Arial" w:hAnsi="Arial" w:cs="Arial"/>
                <w:color w:val="000000"/>
                <w:sz w:val="20"/>
                <w:szCs w:val="20"/>
              </w:rPr>
              <w:t>Washed POOLED PLATELETS</w:t>
            </w:r>
          </w:p>
        </w:tc>
        <w:tc>
          <w:tcPr>
            <w:tcW w:w="792" w:type="dxa"/>
            <w:shd w:val="clear" w:color="auto" w:fill="auto"/>
            <w:vAlign w:val="bottom"/>
          </w:tcPr>
          <w:p w14:paraId="3681EA29"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3100EEC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0BD41D03"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369A6B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672DEE9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6827A39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53BCF98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3BCB58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98D234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68F6B2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70F9E6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1F6C2B43" w14:textId="77777777" w:rsidTr="005E237B">
        <w:trPr>
          <w:cantSplit/>
          <w:trHeight w:val="432"/>
        </w:trPr>
        <w:tc>
          <w:tcPr>
            <w:tcW w:w="1615" w:type="dxa"/>
            <w:vAlign w:val="center"/>
          </w:tcPr>
          <w:p w14:paraId="72A1E660" w14:textId="77777777" w:rsidR="005E237B" w:rsidRPr="0012237E" w:rsidRDefault="005E237B" w:rsidP="005E237B">
            <w:pPr>
              <w:rPr>
                <w:rFonts w:ascii="Arial" w:hAnsi="Arial" w:cs="Arial"/>
                <w:sz w:val="20"/>
                <w:szCs w:val="20"/>
              </w:rPr>
            </w:pPr>
            <w:r>
              <w:rPr>
                <w:rFonts w:ascii="Arial" w:hAnsi="Arial" w:cs="Arial"/>
                <w:color w:val="000000"/>
                <w:sz w:val="20"/>
                <w:szCs w:val="20"/>
              </w:rPr>
              <w:t>Apheresis PLATELETS</w:t>
            </w:r>
          </w:p>
        </w:tc>
        <w:tc>
          <w:tcPr>
            <w:tcW w:w="792" w:type="dxa"/>
            <w:tcBorders>
              <w:bottom w:val="single" w:sz="4" w:space="0" w:color="auto"/>
            </w:tcBorders>
            <w:shd w:val="clear" w:color="auto" w:fill="auto"/>
            <w:vAlign w:val="bottom"/>
          </w:tcPr>
          <w:p w14:paraId="480FE996"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580EAF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DC21C6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7AC7A69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584F5B5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776F893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0CF106A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1599540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639EAE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6F4C57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748D04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6AC6FE10" w14:textId="77777777" w:rsidTr="005E237B">
        <w:trPr>
          <w:cantSplit/>
          <w:trHeight w:val="432"/>
        </w:trPr>
        <w:tc>
          <w:tcPr>
            <w:tcW w:w="1615" w:type="dxa"/>
            <w:vAlign w:val="center"/>
          </w:tcPr>
          <w:p w14:paraId="13C46489" w14:textId="77777777" w:rsidR="005E237B" w:rsidRPr="0012237E" w:rsidRDefault="005E237B" w:rsidP="005E237B">
            <w:pPr>
              <w:rPr>
                <w:rFonts w:ascii="Arial" w:hAnsi="Arial" w:cs="Arial"/>
                <w:sz w:val="20"/>
                <w:szCs w:val="20"/>
              </w:rPr>
            </w:pPr>
            <w:r>
              <w:rPr>
                <w:rFonts w:ascii="Arial" w:hAnsi="Arial" w:cs="Arial"/>
                <w:color w:val="000000"/>
                <w:sz w:val="20"/>
                <w:szCs w:val="20"/>
              </w:rPr>
              <w:t>Frozen Apheresis PLATELETS</w:t>
            </w:r>
          </w:p>
        </w:tc>
        <w:tc>
          <w:tcPr>
            <w:tcW w:w="792" w:type="dxa"/>
            <w:shd w:val="clear" w:color="auto" w:fill="C0C0C0"/>
            <w:vAlign w:val="center"/>
          </w:tcPr>
          <w:p w14:paraId="7051A24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06CB54B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417D989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A52D35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68249D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F58389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67EDCA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BE2F11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C48E39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34EF93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7BC384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654126FA" w14:textId="77777777" w:rsidTr="005E237B">
        <w:trPr>
          <w:cantSplit/>
          <w:trHeight w:val="432"/>
        </w:trPr>
        <w:tc>
          <w:tcPr>
            <w:tcW w:w="1615" w:type="dxa"/>
            <w:vAlign w:val="center"/>
          </w:tcPr>
          <w:p w14:paraId="6F0D8D97" w14:textId="77777777" w:rsidR="005E237B" w:rsidRPr="0012237E" w:rsidRDefault="005E237B" w:rsidP="005E237B">
            <w:pPr>
              <w:rPr>
                <w:rFonts w:ascii="Arial" w:hAnsi="Arial" w:cs="Arial"/>
                <w:sz w:val="20"/>
                <w:szCs w:val="20"/>
              </w:rPr>
            </w:pPr>
            <w:r>
              <w:rPr>
                <w:rFonts w:ascii="Arial" w:hAnsi="Arial" w:cs="Arial"/>
                <w:color w:val="000000"/>
                <w:sz w:val="20"/>
                <w:szCs w:val="20"/>
              </w:rPr>
              <w:t>Thawed Apheresis PLATELETS</w:t>
            </w:r>
          </w:p>
        </w:tc>
        <w:tc>
          <w:tcPr>
            <w:tcW w:w="792" w:type="dxa"/>
            <w:vAlign w:val="bottom"/>
          </w:tcPr>
          <w:p w14:paraId="75FDDBB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6E2805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A62CF3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BB3641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4C149A28"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4D6AC068"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1364216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361910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104BC7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DBFDB2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448506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10DC8057" w14:textId="77777777" w:rsidTr="005E237B">
        <w:trPr>
          <w:cantSplit/>
          <w:trHeight w:val="432"/>
        </w:trPr>
        <w:tc>
          <w:tcPr>
            <w:tcW w:w="1615" w:type="dxa"/>
            <w:vAlign w:val="center"/>
          </w:tcPr>
          <w:p w14:paraId="0F81416E" w14:textId="77777777" w:rsidR="005E237B" w:rsidRPr="0012237E" w:rsidRDefault="005E237B" w:rsidP="005E237B">
            <w:pPr>
              <w:rPr>
                <w:rFonts w:ascii="Arial" w:hAnsi="Arial" w:cs="Arial"/>
                <w:sz w:val="20"/>
                <w:szCs w:val="20"/>
              </w:rPr>
            </w:pPr>
            <w:r>
              <w:rPr>
                <w:rFonts w:ascii="Arial" w:hAnsi="Arial" w:cs="Arial"/>
                <w:color w:val="000000"/>
                <w:sz w:val="20"/>
                <w:szCs w:val="20"/>
              </w:rPr>
              <w:t>Washed Apheresis PLATELETS</w:t>
            </w:r>
          </w:p>
        </w:tc>
        <w:tc>
          <w:tcPr>
            <w:tcW w:w="792" w:type="dxa"/>
            <w:tcBorders>
              <w:bottom w:val="single" w:sz="4" w:space="0" w:color="auto"/>
            </w:tcBorders>
            <w:vAlign w:val="bottom"/>
          </w:tcPr>
          <w:p w14:paraId="6CB7CF0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28F51D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F433B1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13D90C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71E721F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4B0DEE9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0881C1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0AB298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165D5D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ACAA91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BC5084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79B7AB6D" w14:textId="77777777" w:rsidTr="005E237B">
        <w:trPr>
          <w:cantSplit/>
          <w:trHeight w:val="432"/>
        </w:trPr>
        <w:tc>
          <w:tcPr>
            <w:tcW w:w="1615" w:type="dxa"/>
            <w:vAlign w:val="center"/>
          </w:tcPr>
          <w:p w14:paraId="76344193" w14:textId="77777777" w:rsidR="005E237B" w:rsidRPr="0012237E" w:rsidRDefault="005E237B" w:rsidP="005E237B">
            <w:pPr>
              <w:rPr>
                <w:rFonts w:ascii="Arial" w:hAnsi="Arial" w:cs="Arial"/>
                <w:sz w:val="20"/>
                <w:szCs w:val="20"/>
              </w:rPr>
            </w:pPr>
            <w:r>
              <w:rPr>
                <w:rFonts w:ascii="Arial" w:hAnsi="Arial" w:cs="Arial"/>
                <w:color w:val="000000"/>
                <w:sz w:val="20"/>
                <w:szCs w:val="20"/>
              </w:rPr>
              <w:t>CRYOPRECIPITATE</w:t>
            </w:r>
          </w:p>
        </w:tc>
        <w:tc>
          <w:tcPr>
            <w:tcW w:w="792" w:type="dxa"/>
            <w:shd w:val="clear" w:color="auto" w:fill="C0C0C0"/>
            <w:vAlign w:val="center"/>
          </w:tcPr>
          <w:p w14:paraId="4DC4988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0A1CD4F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0F2260E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34ECEDC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006A3C3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695C74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B0BB85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BAB4E4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5E7F47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E9AECF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881E19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1CFDC7AC" w14:textId="77777777" w:rsidTr="005E237B">
        <w:trPr>
          <w:cantSplit/>
          <w:trHeight w:val="432"/>
        </w:trPr>
        <w:tc>
          <w:tcPr>
            <w:tcW w:w="1615" w:type="dxa"/>
            <w:vAlign w:val="center"/>
          </w:tcPr>
          <w:p w14:paraId="16386B70" w14:textId="77777777" w:rsidR="005E237B" w:rsidRPr="0012237E" w:rsidRDefault="005E237B" w:rsidP="005E237B">
            <w:pPr>
              <w:rPr>
                <w:rFonts w:ascii="Arial" w:hAnsi="Arial" w:cs="Arial"/>
                <w:sz w:val="20"/>
                <w:szCs w:val="20"/>
              </w:rPr>
            </w:pPr>
            <w:r>
              <w:rPr>
                <w:rFonts w:ascii="Arial" w:hAnsi="Arial" w:cs="Arial"/>
                <w:color w:val="000000"/>
                <w:sz w:val="20"/>
                <w:szCs w:val="20"/>
              </w:rPr>
              <w:t>Thawed CRYOPRECIPITATE</w:t>
            </w:r>
          </w:p>
        </w:tc>
        <w:tc>
          <w:tcPr>
            <w:tcW w:w="792" w:type="dxa"/>
            <w:tcBorders>
              <w:bottom w:val="single" w:sz="4" w:space="0" w:color="auto"/>
            </w:tcBorders>
            <w:vAlign w:val="bottom"/>
          </w:tcPr>
          <w:p w14:paraId="0D7E5E7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43FAA63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01C8560B" w14:textId="77777777" w:rsidR="005E237B" w:rsidRPr="004F2C12" w:rsidRDefault="005E237B" w:rsidP="005E237B">
            <w:pPr>
              <w:tabs>
                <w:tab w:val="center" w:pos="261"/>
              </w:tabs>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7D999C5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090FA63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3868C9C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7118E7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679252E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7383373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BE9336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C6515B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3FDDE7AC" w14:textId="77777777" w:rsidTr="005E237B">
        <w:trPr>
          <w:cantSplit/>
          <w:trHeight w:val="432"/>
        </w:trPr>
        <w:tc>
          <w:tcPr>
            <w:tcW w:w="1615" w:type="dxa"/>
            <w:vAlign w:val="center"/>
          </w:tcPr>
          <w:p w14:paraId="4EE1D6F1" w14:textId="77777777" w:rsidR="005E237B" w:rsidRPr="0012237E" w:rsidRDefault="005E237B" w:rsidP="005E237B">
            <w:pPr>
              <w:rPr>
                <w:rFonts w:ascii="Arial" w:hAnsi="Arial" w:cs="Arial"/>
                <w:sz w:val="20"/>
                <w:szCs w:val="20"/>
              </w:rPr>
            </w:pPr>
            <w:r>
              <w:rPr>
                <w:rFonts w:ascii="Arial" w:hAnsi="Arial" w:cs="Arial"/>
                <w:color w:val="000000"/>
                <w:sz w:val="20"/>
                <w:szCs w:val="20"/>
              </w:rPr>
              <w:t>POOLED CRYOPRECIPITATE</w:t>
            </w:r>
          </w:p>
        </w:tc>
        <w:tc>
          <w:tcPr>
            <w:tcW w:w="792" w:type="dxa"/>
            <w:tcBorders>
              <w:bottom w:val="single" w:sz="4" w:space="0" w:color="auto"/>
            </w:tcBorders>
            <w:shd w:val="clear" w:color="auto" w:fill="C0C0C0"/>
            <w:vAlign w:val="center"/>
          </w:tcPr>
          <w:p w14:paraId="48FFC40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170F15C9"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38C3751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3D6EFE18"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616AE4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F29495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DEF5D2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2D4A29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26F42E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166073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22F690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0934CBE5" w14:textId="77777777" w:rsidTr="005E237B">
        <w:trPr>
          <w:cantSplit/>
          <w:trHeight w:val="432"/>
        </w:trPr>
        <w:tc>
          <w:tcPr>
            <w:tcW w:w="1615" w:type="dxa"/>
            <w:vAlign w:val="center"/>
          </w:tcPr>
          <w:p w14:paraId="3F0D840E" w14:textId="77777777" w:rsidR="005E237B" w:rsidRPr="0012237E" w:rsidRDefault="005E237B" w:rsidP="005E237B">
            <w:pPr>
              <w:rPr>
                <w:rFonts w:ascii="Arial" w:hAnsi="Arial" w:cs="Arial"/>
                <w:sz w:val="20"/>
                <w:szCs w:val="20"/>
              </w:rPr>
            </w:pPr>
            <w:r>
              <w:rPr>
                <w:rFonts w:ascii="Arial" w:hAnsi="Arial" w:cs="Arial"/>
                <w:color w:val="000000"/>
                <w:sz w:val="20"/>
                <w:szCs w:val="20"/>
              </w:rPr>
              <w:t>Thawed POOLED CRYOPRECIPITATE</w:t>
            </w:r>
          </w:p>
        </w:tc>
        <w:tc>
          <w:tcPr>
            <w:tcW w:w="792" w:type="dxa"/>
            <w:shd w:val="clear" w:color="auto" w:fill="auto"/>
            <w:vAlign w:val="bottom"/>
          </w:tcPr>
          <w:p w14:paraId="048FED5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209218A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1FC8688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665FD7A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05E18AE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89B445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79AB2A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4C5593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1FD2A1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8447F4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6D3DF9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37CA75C5" w14:textId="77777777" w:rsidTr="005E237B">
        <w:trPr>
          <w:cantSplit/>
          <w:trHeight w:val="432"/>
        </w:trPr>
        <w:tc>
          <w:tcPr>
            <w:tcW w:w="1615" w:type="dxa"/>
            <w:vAlign w:val="center"/>
          </w:tcPr>
          <w:p w14:paraId="497EBA3A" w14:textId="77777777" w:rsidR="005E237B" w:rsidRPr="0012237E" w:rsidRDefault="005E237B" w:rsidP="005E237B">
            <w:pPr>
              <w:rPr>
                <w:rFonts w:ascii="Arial" w:hAnsi="Arial" w:cs="Arial"/>
                <w:sz w:val="20"/>
                <w:szCs w:val="20"/>
              </w:rPr>
            </w:pPr>
            <w:r>
              <w:rPr>
                <w:rFonts w:ascii="Arial" w:hAnsi="Arial" w:cs="Arial"/>
                <w:color w:val="000000"/>
                <w:sz w:val="20"/>
                <w:szCs w:val="20"/>
              </w:rPr>
              <w:t>Apheresis CRYOPRECIPITATE</w:t>
            </w:r>
          </w:p>
        </w:tc>
        <w:tc>
          <w:tcPr>
            <w:tcW w:w="792" w:type="dxa"/>
            <w:shd w:val="clear" w:color="auto" w:fill="C0C0C0"/>
            <w:vAlign w:val="center"/>
          </w:tcPr>
          <w:p w14:paraId="1DBB191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2DBE4EEA"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78E62C6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3141D9D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464DC02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FD2605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4C74D0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CE250A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13C9AA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D05511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005563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006E3781" w14:textId="77777777" w:rsidTr="005E237B">
        <w:trPr>
          <w:cantSplit/>
          <w:trHeight w:val="432"/>
        </w:trPr>
        <w:tc>
          <w:tcPr>
            <w:tcW w:w="1615" w:type="dxa"/>
            <w:vAlign w:val="center"/>
          </w:tcPr>
          <w:p w14:paraId="6D14D9F6" w14:textId="77777777" w:rsidR="005E237B" w:rsidRPr="0012237E" w:rsidRDefault="005E237B" w:rsidP="005E237B">
            <w:pPr>
              <w:rPr>
                <w:rFonts w:ascii="Arial" w:hAnsi="Arial" w:cs="Arial"/>
                <w:sz w:val="20"/>
                <w:szCs w:val="20"/>
              </w:rPr>
            </w:pPr>
            <w:r>
              <w:rPr>
                <w:rFonts w:ascii="Arial" w:hAnsi="Arial" w:cs="Arial"/>
                <w:color w:val="000000"/>
                <w:sz w:val="20"/>
                <w:szCs w:val="20"/>
              </w:rPr>
              <w:t>Thawed Apheresis CRYOPRECIPITATE</w:t>
            </w:r>
          </w:p>
        </w:tc>
        <w:tc>
          <w:tcPr>
            <w:tcW w:w="792" w:type="dxa"/>
            <w:vAlign w:val="bottom"/>
          </w:tcPr>
          <w:p w14:paraId="53FA9293"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4ED5F3E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0FBEC3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BA101D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4AD19B5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640F09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45A62C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A8BBC7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DCAE59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BD6DE7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D2285A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601A5A6E" w14:textId="77777777" w:rsidTr="005E237B">
        <w:trPr>
          <w:cantSplit/>
          <w:trHeight w:val="432"/>
        </w:trPr>
        <w:tc>
          <w:tcPr>
            <w:tcW w:w="1615" w:type="dxa"/>
            <w:vAlign w:val="center"/>
          </w:tcPr>
          <w:p w14:paraId="1F540F8E" w14:textId="77777777" w:rsidR="005E237B" w:rsidRPr="0012237E" w:rsidRDefault="005E237B" w:rsidP="005E237B">
            <w:pPr>
              <w:rPr>
                <w:rFonts w:ascii="Arial" w:hAnsi="Arial" w:cs="Arial"/>
                <w:sz w:val="20"/>
                <w:szCs w:val="20"/>
              </w:rPr>
            </w:pPr>
            <w:r>
              <w:rPr>
                <w:rFonts w:ascii="Arial" w:hAnsi="Arial" w:cs="Arial"/>
                <w:color w:val="000000"/>
                <w:sz w:val="20"/>
                <w:szCs w:val="20"/>
              </w:rPr>
              <w:t>GRANULOCYTES</w:t>
            </w:r>
          </w:p>
        </w:tc>
        <w:tc>
          <w:tcPr>
            <w:tcW w:w="792" w:type="dxa"/>
            <w:vAlign w:val="bottom"/>
          </w:tcPr>
          <w:p w14:paraId="76E57D32"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5D00DED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0572918A"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1746190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773AD65D"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73EB02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AF8F0D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2B3BF059"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5805F6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8D98AF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CB4688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7E7F6FDC" w14:textId="77777777" w:rsidTr="005E237B">
        <w:trPr>
          <w:cantSplit/>
          <w:trHeight w:val="576"/>
        </w:trPr>
        <w:tc>
          <w:tcPr>
            <w:tcW w:w="1615" w:type="dxa"/>
            <w:vAlign w:val="center"/>
          </w:tcPr>
          <w:p w14:paraId="6E0C1D14" w14:textId="77777777" w:rsidR="005E237B" w:rsidRPr="0012237E" w:rsidRDefault="005E237B" w:rsidP="005E237B">
            <w:pPr>
              <w:rPr>
                <w:rFonts w:ascii="Arial" w:hAnsi="Arial" w:cs="Arial"/>
                <w:sz w:val="20"/>
                <w:szCs w:val="20"/>
              </w:rPr>
            </w:pPr>
            <w:r>
              <w:rPr>
                <w:rFonts w:ascii="Arial" w:hAnsi="Arial" w:cs="Arial"/>
                <w:color w:val="000000"/>
                <w:sz w:val="20"/>
                <w:szCs w:val="20"/>
              </w:rPr>
              <w:lastRenderedPageBreak/>
              <w:t>Apheresis GRANULOCYTES</w:t>
            </w:r>
          </w:p>
        </w:tc>
        <w:tc>
          <w:tcPr>
            <w:tcW w:w="792" w:type="dxa"/>
            <w:tcBorders>
              <w:bottom w:val="single" w:sz="4" w:space="0" w:color="auto"/>
            </w:tcBorders>
            <w:vAlign w:val="bottom"/>
          </w:tcPr>
          <w:p w14:paraId="61C4706A"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48197EE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152743E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1E65E8A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469A93A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31E35D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905703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0AE133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1250CA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5629E4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35E2A0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06CDFA87" w14:textId="77777777" w:rsidTr="005E237B">
        <w:trPr>
          <w:cantSplit/>
          <w:trHeight w:val="576"/>
        </w:trPr>
        <w:tc>
          <w:tcPr>
            <w:tcW w:w="1615" w:type="dxa"/>
            <w:vAlign w:val="center"/>
          </w:tcPr>
          <w:p w14:paraId="79F34DF8" w14:textId="77777777" w:rsidR="005E237B" w:rsidRPr="0012237E" w:rsidRDefault="005E237B" w:rsidP="005E237B">
            <w:pPr>
              <w:rPr>
                <w:rFonts w:ascii="Arial" w:hAnsi="Arial" w:cs="Arial"/>
                <w:sz w:val="20"/>
                <w:szCs w:val="20"/>
              </w:rPr>
            </w:pPr>
            <w:r>
              <w:rPr>
                <w:rFonts w:ascii="Arial" w:hAnsi="Arial" w:cs="Arial"/>
                <w:color w:val="000000"/>
                <w:sz w:val="20"/>
                <w:szCs w:val="20"/>
              </w:rPr>
              <w:t>POOLED GRANULOCYTES</w:t>
            </w:r>
          </w:p>
        </w:tc>
        <w:tc>
          <w:tcPr>
            <w:tcW w:w="792" w:type="dxa"/>
            <w:shd w:val="clear" w:color="auto" w:fill="auto"/>
            <w:vAlign w:val="bottom"/>
          </w:tcPr>
          <w:p w14:paraId="06031776"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3FA7C0C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219BE4B2"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74A135E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679F17A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5D5AFEA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6E8A4E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60B60B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D8A907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7D6123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A854C5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4F819E48" w14:textId="77777777" w:rsidTr="005E237B">
        <w:trPr>
          <w:cantSplit/>
          <w:trHeight w:val="432"/>
        </w:trPr>
        <w:tc>
          <w:tcPr>
            <w:tcW w:w="1615" w:type="dxa"/>
            <w:vAlign w:val="center"/>
          </w:tcPr>
          <w:p w14:paraId="2710AF83" w14:textId="77777777" w:rsidR="005E237B" w:rsidRPr="0012237E" w:rsidRDefault="005E237B" w:rsidP="005E237B">
            <w:pPr>
              <w:rPr>
                <w:rFonts w:ascii="Arial" w:hAnsi="Arial" w:cs="Arial"/>
                <w:sz w:val="20"/>
                <w:szCs w:val="20"/>
              </w:rPr>
            </w:pPr>
            <w:r>
              <w:rPr>
                <w:rFonts w:ascii="Arial" w:hAnsi="Arial" w:cs="Arial"/>
                <w:color w:val="000000"/>
                <w:sz w:val="20"/>
                <w:szCs w:val="20"/>
              </w:rPr>
              <w:t>Apheresis GRANULOCYTES – PLATELETS</w:t>
            </w:r>
          </w:p>
        </w:tc>
        <w:tc>
          <w:tcPr>
            <w:tcW w:w="792" w:type="dxa"/>
            <w:vAlign w:val="bottom"/>
          </w:tcPr>
          <w:p w14:paraId="4629FD58"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53E9011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2CDCC82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CF8058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41F8885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7694822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A52ADC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0E14C0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E2EDD9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6F6FDE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C76AAC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2B7FDCC9" w14:textId="77777777" w:rsidTr="005E237B">
        <w:trPr>
          <w:cantSplit/>
          <w:trHeight w:val="432"/>
        </w:trPr>
        <w:tc>
          <w:tcPr>
            <w:tcW w:w="1615" w:type="dxa"/>
            <w:vAlign w:val="center"/>
          </w:tcPr>
          <w:p w14:paraId="3AA206C6" w14:textId="77777777" w:rsidR="005E237B" w:rsidRPr="0012237E" w:rsidRDefault="005E237B" w:rsidP="005E237B">
            <w:pPr>
              <w:rPr>
                <w:rFonts w:ascii="Arial" w:hAnsi="Arial" w:cs="Arial"/>
                <w:sz w:val="20"/>
                <w:szCs w:val="20"/>
              </w:rPr>
            </w:pPr>
            <w:r>
              <w:rPr>
                <w:rFonts w:ascii="Arial" w:hAnsi="Arial" w:cs="Arial"/>
                <w:color w:val="000000"/>
                <w:sz w:val="20"/>
                <w:szCs w:val="20"/>
              </w:rPr>
              <w:t>LEUKOCYTES</w:t>
            </w:r>
          </w:p>
        </w:tc>
        <w:tc>
          <w:tcPr>
            <w:tcW w:w="792" w:type="dxa"/>
            <w:vAlign w:val="bottom"/>
          </w:tcPr>
          <w:p w14:paraId="74EAB2D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ADCDFC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6822D0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B05A3D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626AF0C1"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BA2F5C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5BCA39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0DBF9A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206090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C95780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D2ABC2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20FB3C06" w14:textId="77777777" w:rsidTr="005E237B">
        <w:trPr>
          <w:cantSplit/>
          <w:trHeight w:val="602"/>
        </w:trPr>
        <w:tc>
          <w:tcPr>
            <w:tcW w:w="1615" w:type="dxa"/>
            <w:vAlign w:val="center"/>
          </w:tcPr>
          <w:p w14:paraId="6345D798" w14:textId="77777777" w:rsidR="005E237B" w:rsidRPr="0012237E" w:rsidRDefault="005E237B" w:rsidP="005E237B">
            <w:pPr>
              <w:rPr>
                <w:rFonts w:ascii="Arial" w:hAnsi="Arial" w:cs="Arial"/>
                <w:sz w:val="20"/>
                <w:szCs w:val="20"/>
              </w:rPr>
            </w:pPr>
            <w:r>
              <w:rPr>
                <w:rFonts w:ascii="Arial" w:hAnsi="Arial" w:cs="Arial"/>
                <w:color w:val="000000"/>
                <w:sz w:val="20"/>
                <w:szCs w:val="20"/>
              </w:rPr>
              <w:t>Apheresis LEUKOCYTES</w:t>
            </w:r>
          </w:p>
        </w:tc>
        <w:tc>
          <w:tcPr>
            <w:tcW w:w="792" w:type="dxa"/>
            <w:tcBorders>
              <w:bottom w:val="single" w:sz="4" w:space="0" w:color="auto"/>
            </w:tcBorders>
            <w:vAlign w:val="bottom"/>
          </w:tcPr>
          <w:p w14:paraId="096CD47D"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F2072F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AE7200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FC3C1F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73F6223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448C466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475481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25A709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29D53F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8AA72F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E0A01F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610B48F7" w14:textId="77777777" w:rsidTr="005E237B">
        <w:trPr>
          <w:cantSplit/>
          <w:trHeight w:val="432"/>
        </w:trPr>
        <w:tc>
          <w:tcPr>
            <w:tcW w:w="1615" w:type="dxa"/>
            <w:vAlign w:val="center"/>
          </w:tcPr>
          <w:p w14:paraId="613A8858" w14:textId="77777777" w:rsidR="005E237B" w:rsidRPr="0012237E" w:rsidRDefault="005E237B" w:rsidP="005E237B">
            <w:pPr>
              <w:rPr>
                <w:rFonts w:ascii="Arial" w:hAnsi="Arial" w:cs="Arial"/>
                <w:sz w:val="20"/>
                <w:szCs w:val="20"/>
              </w:rPr>
            </w:pPr>
            <w:r>
              <w:rPr>
                <w:rFonts w:ascii="Arial" w:hAnsi="Arial" w:cs="Arial"/>
                <w:color w:val="000000"/>
                <w:sz w:val="20"/>
                <w:szCs w:val="20"/>
              </w:rPr>
              <w:t>POOLED PLASMA</w:t>
            </w:r>
          </w:p>
        </w:tc>
        <w:tc>
          <w:tcPr>
            <w:tcW w:w="792" w:type="dxa"/>
            <w:shd w:val="clear" w:color="auto" w:fill="C0C0C0"/>
            <w:vAlign w:val="center"/>
          </w:tcPr>
          <w:p w14:paraId="1D8D93D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5B6CE928"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7C3985C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45CD68B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7436735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7F4BCE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2FFEF8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F946FA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C8B0A5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D1894C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3117D9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60A5E976" w14:textId="77777777" w:rsidTr="005E237B">
        <w:trPr>
          <w:cantSplit/>
          <w:trHeight w:val="432"/>
        </w:trPr>
        <w:tc>
          <w:tcPr>
            <w:tcW w:w="1615" w:type="dxa"/>
            <w:vAlign w:val="center"/>
          </w:tcPr>
          <w:p w14:paraId="08FB2066" w14:textId="77777777" w:rsidR="005E237B" w:rsidRPr="0012237E" w:rsidRDefault="005E237B" w:rsidP="005E237B">
            <w:pPr>
              <w:rPr>
                <w:rFonts w:ascii="Arial" w:hAnsi="Arial" w:cs="Arial"/>
                <w:sz w:val="20"/>
                <w:szCs w:val="20"/>
              </w:rPr>
            </w:pPr>
            <w:r>
              <w:rPr>
                <w:rFonts w:ascii="Arial" w:hAnsi="Arial" w:cs="Arial"/>
                <w:color w:val="000000"/>
                <w:sz w:val="20"/>
                <w:szCs w:val="20"/>
              </w:rPr>
              <w:t>Liquid Apheresis PLASMA</w:t>
            </w:r>
          </w:p>
        </w:tc>
        <w:tc>
          <w:tcPr>
            <w:tcW w:w="792" w:type="dxa"/>
            <w:vAlign w:val="bottom"/>
          </w:tcPr>
          <w:p w14:paraId="2516956A"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E6ECB5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B7C900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4AEC72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201AA56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948BE9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6C4234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D897F9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EF134F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68A223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C4FE8E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7EC89A87" w14:textId="77777777" w:rsidTr="005E237B">
        <w:trPr>
          <w:cantSplit/>
          <w:trHeight w:val="432"/>
        </w:trPr>
        <w:tc>
          <w:tcPr>
            <w:tcW w:w="1615" w:type="dxa"/>
            <w:vAlign w:val="center"/>
          </w:tcPr>
          <w:p w14:paraId="57FA3905" w14:textId="77777777" w:rsidR="005E237B" w:rsidRPr="0012237E" w:rsidRDefault="005E237B" w:rsidP="005E237B">
            <w:pPr>
              <w:rPr>
                <w:rFonts w:ascii="Arial" w:hAnsi="Arial" w:cs="Arial"/>
                <w:sz w:val="20"/>
                <w:szCs w:val="20"/>
              </w:rPr>
            </w:pPr>
            <w:r>
              <w:rPr>
                <w:rFonts w:ascii="Arial" w:hAnsi="Arial" w:cs="Arial"/>
                <w:color w:val="000000"/>
                <w:sz w:val="20"/>
                <w:szCs w:val="20"/>
              </w:rPr>
              <w:t>PLATELET - RICH BUFFY COAT</w:t>
            </w:r>
          </w:p>
        </w:tc>
        <w:tc>
          <w:tcPr>
            <w:tcW w:w="792" w:type="dxa"/>
            <w:tcBorders>
              <w:bottom w:val="single" w:sz="4" w:space="0" w:color="auto"/>
            </w:tcBorders>
            <w:vAlign w:val="bottom"/>
          </w:tcPr>
          <w:p w14:paraId="356A56E6"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4B94867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BF7D6C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DF67B3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43E0A872"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1CAAE63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34FC7A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6AAC6B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096B9D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164590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1B7446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4DED229E" w14:textId="77777777" w:rsidTr="005E237B">
        <w:trPr>
          <w:cantSplit/>
          <w:trHeight w:val="432"/>
        </w:trPr>
        <w:tc>
          <w:tcPr>
            <w:tcW w:w="1615" w:type="dxa"/>
            <w:vAlign w:val="center"/>
          </w:tcPr>
          <w:p w14:paraId="70DD2F31" w14:textId="77777777" w:rsidR="005E237B" w:rsidRPr="0012237E" w:rsidRDefault="005E237B" w:rsidP="005E237B">
            <w:pPr>
              <w:rPr>
                <w:rFonts w:ascii="Arial" w:hAnsi="Arial" w:cs="Arial"/>
                <w:sz w:val="20"/>
                <w:szCs w:val="20"/>
              </w:rPr>
            </w:pPr>
            <w:r>
              <w:rPr>
                <w:rFonts w:ascii="Arial" w:hAnsi="Arial" w:cs="Arial"/>
                <w:color w:val="000000"/>
                <w:sz w:val="20"/>
                <w:szCs w:val="20"/>
              </w:rPr>
              <w:t>POOLED PLATELET - RICH BUFFY COAT</w:t>
            </w:r>
          </w:p>
        </w:tc>
        <w:tc>
          <w:tcPr>
            <w:tcW w:w="792" w:type="dxa"/>
            <w:shd w:val="clear" w:color="auto" w:fill="auto"/>
            <w:vAlign w:val="bottom"/>
          </w:tcPr>
          <w:p w14:paraId="7068584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6E0F377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8CEC4F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F6611C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59C4593A"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5C9FFBC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08B0F3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71D33F2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02A2E9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7D49DBB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57F40F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76B22554" w14:textId="77777777" w:rsidTr="005E237B">
        <w:trPr>
          <w:cantSplit/>
          <w:trHeight w:val="432"/>
        </w:trPr>
        <w:tc>
          <w:tcPr>
            <w:tcW w:w="1615" w:type="dxa"/>
            <w:vAlign w:val="center"/>
          </w:tcPr>
          <w:p w14:paraId="1D55F924" w14:textId="77777777" w:rsidR="005E237B" w:rsidRPr="0012237E" w:rsidRDefault="005E237B" w:rsidP="005E237B">
            <w:pPr>
              <w:rPr>
                <w:rFonts w:ascii="Arial" w:hAnsi="Arial" w:cs="Arial"/>
                <w:sz w:val="20"/>
                <w:szCs w:val="20"/>
              </w:rPr>
            </w:pPr>
            <w:r>
              <w:rPr>
                <w:rFonts w:ascii="Arial" w:hAnsi="Arial" w:cs="Arial"/>
                <w:color w:val="000000"/>
                <w:sz w:val="20"/>
                <w:szCs w:val="20"/>
              </w:rPr>
              <w:t>Apheresis LYMPHOCYTES</w:t>
            </w:r>
          </w:p>
        </w:tc>
        <w:tc>
          <w:tcPr>
            <w:tcW w:w="792" w:type="dxa"/>
            <w:shd w:val="clear" w:color="auto" w:fill="auto"/>
            <w:vAlign w:val="bottom"/>
          </w:tcPr>
          <w:p w14:paraId="0643A99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CCD61E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E313A7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19D1B4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632C858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3E0A725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1D2451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6AB114A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672960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4F23CF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C19D94D" w14:textId="77777777" w:rsidR="005E237B" w:rsidRPr="004F2C12" w:rsidRDefault="005E237B" w:rsidP="005E237B">
            <w:pPr>
              <w:pStyle w:val="CommentText"/>
              <w:jc w:val="center"/>
              <w:rPr>
                <w:rFonts w:ascii="Arial" w:hAnsi="Arial" w:cs="Arial"/>
                <w:b/>
                <w:sz w:val="28"/>
                <w:szCs w:val="28"/>
              </w:rPr>
            </w:pPr>
            <w:r>
              <w:rPr>
                <w:rFonts w:ascii="Arial" w:hAnsi="Arial" w:cs="Arial"/>
                <w:b/>
                <w:bCs/>
                <w:color w:val="000000"/>
                <w:sz w:val="28"/>
                <w:szCs w:val="28"/>
              </w:rPr>
              <w:t> </w:t>
            </w:r>
          </w:p>
        </w:tc>
      </w:tr>
      <w:tr w:rsidR="005E237B" w:rsidRPr="004F2C12" w14:paraId="2F53B8BC" w14:textId="77777777" w:rsidTr="005E237B">
        <w:trPr>
          <w:cantSplit/>
          <w:trHeight w:val="432"/>
        </w:trPr>
        <w:tc>
          <w:tcPr>
            <w:tcW w:w="1615" w:type="dxa"/>
            <w:vAlign w:val="center"/>
          </w:tcPr>
          <w:p w14:paraId="2B4EF6DC" w14:textId="77777777" w:rsidR="005E237B" w:rsidRPr="0012237E" w:rsidRDefault="005E237B" w:rsidP="005E237B">
            <w:pPr>
              <w:rPr>
                <w:rFonts w:ascii="Arial" w:hAnsi="Arial" w:cs="Arial"/>
                <w:sz w:val="20"/>
                <w:szCs w:val="20"/>
              </w:rPr>
            </w:pPr>
            <w:r>
              <w:rPr>
                <w:rFonts w:ascii="Arial" w:hAnsi="Arial" w:cs="Arial"/>
                <w:color w:val="000000"/>
                <w:sz w:val="20"/>
                <w:szCs w:val="20"/>
              </w:rPr>
              <w:t>Apheresis MONOCYTES</w:t>
            </w:r>
          </w:p>
        </w:tc>
        <w:tc>
          <w:tcPr>
            <w:tcW w:w="792" w:type="dxa"/>
            <w:tcBorders>
              <w:bottom w:val="single" w:sz="4" w:space="0" w:color="auto"/>
            </w:tcBorders>
            <w:shd w:val="clear" w:color="auto" w:fill="auto"/>
            <w:vAlign w:val="bottom"/>
          </w:tcPr>
          <w:p w14:paraId="0F612CC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1DFF22B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FE2785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E2FFA4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61A21B23"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22F7EC4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C301C1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7CB3407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3BD6E2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5377BF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C9AF272" w14:textId="77777777" w:rsidR="005E237B" w:rsidRPr="004F2C12" w:rsidRDefault="005E237B" w:rsidP="005E237B">
            <w:pPr>
              <w:pStyle w:val="CommentText"/>
              <w:jc w:val="center"/>
              <w:rPr>
                <w:rFonts w:ascii="Arial" w:hAnsi="Arial" w:cs="Arial"/>
                <w:b/>
                <w:sz w:val="28"/>
                <w:szCs w:val="28"/>
              </w:rPr>
            </w:pPr>
            <w:r>
              <w:rPr>
                <w:rFonts w:ascii="Arial" w:hAnsi="Arial" w:cs="Arial"/>
                <w:b/>
                <w:bCs/>
                <w:color w:val="000000"/>
                <w:sz w:val="28"/>
                <w:szCs w:val="28"/>
              </w:rPr>
              <w:t> </w:t>
            </w:r>
          </w:p>
        </w:tc>
      </w:tr>
      <w:tr w:rsidR="005E237B" w:rsidRPr="004F2C12" w14:paraId="04C73194" w14:textId="77777777" w:rsidTr="005E237B">
        <w:trPr>
          <w:cantSplit/>
          <w:trHeight w:val="432"/>
        </w:trPr>
        <w:tc>
          <w:tcPr>
            <w:tcW w:w="1615" w:type="dxa"/>
            <w:vAlign w:val="center"/>
          </w:tcPr>
          <w:p w14:paraId="39E2DC6A" w14:textId="77777777" w:rsidR="005E237B" w:rsidRPr="0012237E" w:rsidRDefault="005E237B" w:rsidP="005E237B">
            <w:pPr>
              <w:rPr>
                <w:rFonts w:ascii="Arial" w:hAnsi="Arial" w:cs="Arial"/>
                <w:sz w:val="20"/>
                <w:szCs w:val="20"/>
              </w:rPr>
            </w:pPr>
            <w:r>
              <w:rPr>
                <w:rFonts w:ascii="Arial" w:hAnsi="Arial" w:cs="Arial"/>
                <w:color w:val="000000"/>
                <w:sz w:val="20"/>
                <w:szCs w:val="20"/>
              </w:rPr>
              <w:t>SERUM</w:t>
            </w:r>
          </w:p>
        </w:tc>
        <w:tc>
          <w:tcPr>
            <w:tcW w:w="792" w:type="dxa"/>
            <w:shd w:val="clear" w:color="auto" w:fill="auto"/>
            <w:vAlign w:val="bottom"/>
          </w:tcPr>
          <w:p w14:paraId="4F2E995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49BE49D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424B59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F5864C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6D1F4C8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64C8E61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A30AA3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7FE1AD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A58089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E4F417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18EF7DA" w14:textId="77777777" w:rsidR="005E237B" w:rsidRPr="004F2C12" w:rsidRDefault="005E237B" w:rsidP="005E237B">
            <w:pPr>
              <w:pStyle w:val="CommentText"/>
              <w:jc w:val="center"/>
              <w:rPr>
                <w:rFonts w:ascii="Arial" w:hAnsi="Arial" w:cs="Arial"/>
                <w:b/>
                <w:sz w:val="28"/>
                <w:szCs w:val="28"/>
              </w:rPr>
            </w:pPr>
            <w:r>
              <w:rPr>
                <w:rFonts w:ascii="Arial" w:hAnsi="Arial" w:cs="Arial"/>
                <w:b/>
                <w:bCs/>
                <w:color w:val="000000"/>
                <w:sz w:val="28"/>
                <w:szCs w:val="28"/>
              </w:rPr>
              <w:t> </w:t>
            </w:r>
          </w:p>
        </w:tc>
      </w:tr>
      <w:tr w:rsidR="005E237B" w:rsidRPr="004F2C12" w14:paraId="45F99DFA" w14:textId="77777777" w:rsidTr="005E237B">
        <w:trPr>
          <w:cantSplit/>
          <w:trHeight w:val="432"/>
        </w:trPr>
        <w:tc>
          <w:tcPr>
            <w:tcW w:w="1615" w:type="dxa"/>
            <w:vAlign w:val="center"/>
          </w:tcPr>
          <w:p w14:paraId="68C5A3E6" w14:textId="77777777" w:rsidR="005E237B" w:rsidRPr="0012237E" w:rsidRDefault="005E237B" w:rsidP="005E237B">
            <w:pPr>
              <w:rPr>
                <w:rFonts w:ascii="Arial" w:hAnsi="Arial" w:cs="Arial"/>
                <w:sz w:val="20"/>
                <w:szCs w:val="20"/>
              </w:rPr>
            </w:pPr>
            <w:r>
              <w:rPr>
                <w:rFonts w:ascii="Arial" w:hAnsi="Arial" w:cs="Arial"/>
                <w:color w:val="000000"/>
                <w:sz w:val="20"/>
                <w:szCs w:val="20"/>
              </w:rPr>
              <w:t>POOLED SERUM</w:t>
            </w:r>
          </w:p>
        </w:tc>
        <w:tc>
          <w:tcPr>
            <w:tcW w:w="792" w:type="dxa"/>
            <w:shd w:val="clear" w:color="auto" w:fill="auto"/>
            <w:vAlign w:val="bottom"/>
          </w:tcPr>
          <w:p w14:paraId="012DA40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4EFB0CA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020D6D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6DE73D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2F0F878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01CF204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215522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6FC80C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FE5130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217C35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4AE838D" w14:textId="77777777" w:rsidR="005E237B" w:rsidRPr="004F2C12" w:rsidRDefault="005E237B" w:rsidP="005E237B">
            <w:pPr>
              <w:pStyle w:val="CommentText"/>
              <w:jc w:val="center"/>
              <w:rPr>
                <w:rFonts w:ascii="Arial" w:hAnsi="Arial" w:cs="Arial"/>
                <w:b/>
                <w:sz w:val="28"/>
                <w:szCs w:val="28"/>
              </w:rPr>
            </w:pPr>
            <w:r>
              <w:rPr>
                <w:rFonts w:ascii="Arial" w:hAnsi="Arial" w:cs="Arial"/>
                <w:b/>
                <w:bCs/>
                <w:color w:val="000000"/>
                <w:sz w:val="28"/>
                <w:szCs w:val="28"/>
              </w:rPr>
              <w:t> </w:t>
            </w:r>
          </w:p>
        </w:tc>
      </w:tr>
      <w:tr w:rsidR="005E237B" w:rsidRPr="004F2C12" w14:paraId="742C528E" w14:textId="77777777" w:rsidTr="005E237B">
        <w:trPr>
          <w:cantSplit/>
          <w:trHeight w:val="432"/>
        </w:trPr>
        <w:tc>
          <w:tcPr>
            <w:tcW w:w="1615" w:type="dxa"/>
            <w:vAlign w:val="center"/>
          </w:tcPr>
          <w:p w14:paraId="142E4CED" w14:textId="77777777" w:rsidR="005E237B" w:rsidRPr="0012237E" w:rsidRDefault="005E237B" w:rsidP="005E237B">
            <w:pPr>
              <w:rPr>
                <w:rFonts w:ascii="Arial" w:hAnsi="Arial" w:cs="Arial"/>
                <w:sz w:val="20"/>
                <w:szCs w:val="20"/>
              </w:rPr>
            </w:pPr>
            <w:r>
              <w:rPr>
                <w:rFonts w:ascii="Arial" w:hAnsi="Arial" w:cs="Arial"/>
                <w:color w:val="000000"/>
                <w:sz w:val="20"/>
                <w:szCs w:val="20"/>
              </w:rPr>
              <w:t>Frozen POOLED SERUM</w:t>
            </w:r>
          </w:p>
        </w:tc>
        <w:tc>
          <w:tcPr>
            <w:tcW w:w="792" w:type="dxa"/>
            <w:shd w:val="clear" w:color="auto" w:fill="C0C0C0"/>
            <w:vAlign w:val="center"/>
          </w:tcPr>
          <w:p w14:paraId="4F49D00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DBF662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2BEC16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B0F7BF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C12A45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2387F7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C7FDA5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FE8261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809AB5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600611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79A43EA" w14:textId="77777777" w:rsidR="005E237B" w:rsidRPr="004F2C12" w:rsidRDefault="005E237B" w:rsidP="005E237B">
            <w:pPr>
              <w:pStyle w:val="CommentText"/>
              <w:jc w:val="center"/>
              <w:rPr>
                <w:rFonts w:ascii="Arial" w:hAnsi="Arial" w:cs="Arial"/>
                <w:b/>
                <w:sz w:val="28"/>
                <w:szCs w:val="28"/>
              </w:rPr>
            </w:pPr>
            <w:r>
              <w:rPr>
                <w:rFonts w:ascii="Arial" w:hAnsi="Arial" w:cs="Arial"/>
                <w:b/>
                <w:bCs/>
                <w:color w:val="000000"/>
                <w:sz w:val="28"/>
                <w:szCs w:val="28"/>
              </w:rPr>
              <w:t> </w:t>
            </w:r>
          </w:p>
        </w:tc>
      </w:tr>
      <w:tr w:rsidR="005E237B" w:rsidRPr="004F2C12" w14:paraId="230C0A98" w14:textId="77777777" w:rsidTr="005E237B">
        <w:trPr>
          <w:cantSplit/>
          <w:trHeight w:val="432"/>
        </w:trPr>
        <w:tc>
          <w:tcPr>
            <w:tcW w:w="1615" w:type="dxa"/>
            <w:vAlign w:val="center"/>
          </w:tcPr>
          <w:p w14:paraId="6367F6D0" w14:textId="77777777" w:rsidR="005E237B" w:rsidRPr="0012237E" w:rsidRDefault="005E237B" w:rsidP="005E237B">
            <w:pPr>
              <w:rPr>
                <w:rFonts w:ascii="Arial" w:hAnsi="Arial" w:cs="Arial"/>
                <w:sz w:val="20"/>
                <w:szCs w:val="20"/>
              </w:rPr>
            </w:pPr>
            <w:r>
              <w:rPr>
                <w:rFonts w:ascii="Arial" w:hAnsi="Arial" w:cs="Arial"/>
                <w:color w:val="000000"/>
                <w:sz w:val="20"/>
                <w:szCs w:val="20"/>
              </w:rPr>
              <w:t>Washed Apheresis RED BLOOD CELLS</w:t>
            </w:r>
          </w:p>
        </w:tc>
        <w:tc>
          <w:tcPr>
            <w:tcW w:w="792" w:type="dxa"/>
            <w:tcBorders>
              <w:bottom w:val="single" w:sz="4" w:space="0" w:color="auto"/>
            </w:tcBorders>
            <w:vAlign w:val="bottom"/>
          </w:tcPr>
          <w:p w14:paraId="267472B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5C609DB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18F057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6D08DF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69E3861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589AFBB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4CB8590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73C337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3B8E3DF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5AECAE6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4EBBF0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3D9680F8" w14:textId="77777777" w:rsidTr="005E237B">
        <w:trPr>
          <w:cantSplit/>
          <w:trHeight w:val="432"/>
        </w:trPr>
        <w:tc>
          <w:tcPr>
            <w:tcW w:w="1615" w:type="dxa"/>
            <w:vAlign w:val="center"/>
          </w:tcPr>
          <w:p w14:paraId="1FFF32A7" w14:textId="77777777" w:rsidR="005E237B" w:rsidRPr="0012237E" w:rsidRDefault="005E237B" w:rsidP="005E237B">
            <w:pPr>
              <w:rPr>
                <w:rFonts w:ascii="Arial" w:hAnsi="Arial" w:cs="Arial"/>
                <w:sz w:val="20"/>
                <w:szCs w:val="20"/>
              </w:rPr>
            </w:pPr>
            <w:r>
              <w:rPr>
                <w:rFonts w:ascii="Arial" w:hAnsi="Arial" w:cs="Arial"/>
                <w:color w:val="000000"/>
                <w:sz w:val="20"/>
                <w:szCs w:val="20"/>
              </w:rPr>
              <w:t>Frozen Apheresis RED BLOOD CELLS</w:t>
            </w:r>
          </w:p>
        </w:tc>
        <w:tc>
          <w:tcPr>
            <w:tcW w:w="792" w:type="dxa"/>
            <w:shd w:val="clear" w:color="auto" w:fill="C0C0C0"/>
            <w:vAlign w:val="center"/>
          </w:tcPr>
          <w:p w14:paraId="1C46E47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6B6B09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9A1A67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97CD92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5A2D16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324762E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77A9607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7E7032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4700EE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49F7E4A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460B6109"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r>
      <w:tr w:rsidR="005E237B" w:rsidRPr="004F2C12" w14:paraId="73AEBEE4" w14:textId="77777777" w:rsidTr="005E237B">
        <w:trPr>
          <w:cantSplit/>
          <w:trHeight w:val="432"/>
        </w:trPr>
        <w:tc>
          <w:tcPr>
            <w:tcW w:w="1615" w:type="dxa"/>
            <w:vAlign w:val="center"/>
          </w:tcPr>
          <w:p w14:paraId="51DE76BF" w14:textId="77777777" w:rsidR="005E237B" w:rsidRPr="0012237E" w:rsidRDefault="005E237B" w:rsidP="005E237B">
            <w:pPr>
              <w:rPr>
                <w:rFonts w:ascii="Arial" w:hAnsi="Arial" w:cs="Arial"/>
                <w:sz w:val="20"/>
                <w:szCs w:val="20"/>
              </w:rPr>
            </w:pPr>
            <w:r>
              <w:rPr>
                <w:rFonts w:ascii="Arial" w:hAnsi="Arial" w:cs="Arial"/>
                <w:color w:val="000000"/>
                <w:sz w:val="20"/>
                <w:szCs w:val="20"/>
              </w:rPr>
              <w:t>Deglycerolized Apheresis RED BLOOD CELLS</w:t>
            </w:r>
          </w:p>
        </w:tc>
        <w:tc>
          <w:tcPr>
            <w:tcW w:w="792" w:type="dxa"/>
            <w:vAlign w:val="bottom"/>
          </w:tcPr>
          <w:p w14:paraId="5E7E5042"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ED9C9C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41E639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CDF1CE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26639DC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56A9DF4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4DE7486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3CD2B98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7B23EC12"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C2456B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91E8A5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0AC8A6BC" w14:textId="77777777" w:rsidTr="005E237B">
        <w:trPr>
          <w:cantSplit/>
          <w:trHeight w:val="432"/>
        </w:trPr>
        <w:tc>
          <w:tcPr>
            <w:tcW w:w="1615" w:type="dxa"/>
            <w:vAlign w:val="center"/>
          </w:tcPr>
          <w:p w14:paraId="11DE1802" w14:textId="77777777" w:rsidR="005E237B" w:rsidRPr="0012237E" w:rsidRDefault="005E237B" w:rsidP="005E237B">
            <w:pPr>
              <w:rPr>
                <w:rFonts w:ascii="Arial" w:hAnsi="Arial" w:cs="Arial"/>
                <w:sz w:val="20"/>
                <w:szCs w:val="20"/>
              </w:rPr>
            </w:pPr>
            <w:r>
              <w:rPr>
                <w:rFonts w:ascii="Arial" w:hAnsi="Arial" w:cs="Arial"/>
                <w:color w:val="000000"/>
                <w:sz w:val="20"/>
                <w:szCs w:val="20"/>
              </w:rPr>
              <w:t>Rejuvenated Apheresis RED BLOOD CELLS</w:t>
            </w:r>
          </w:p>
        </w:tc>
        <w:tc>
          <w:tcPr>
            <w:tcW w:w="792" w:type="dxa"/>
            <w:vAlign w:val="bottom"/>
          </w:tcPr>
          <w:p w14:paraId="104BBCDA"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4498AC8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02036E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EE7E13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00B6C608"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7ED7E15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AECCEE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9CA428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F66B08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318FC899"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740F51F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21EF1058" w14:textId="77777777" w:rsidTr="005E237B">
        <w:trPr>
          <w:cantSplit/>
          <w:trHeight w:val="432"/>
        </w:trPr>
        <w:tc>
          <w:tcPr>
            <w:tcW w:w="1615" w:type="dxa"/>
            <w:vAlign w:val="center"/>
          </w:tcPr>
          <w:p w14:paraId="4EB135B7" w14:textId="77777777" w:rsidR="005E237B" w:rsidRPr="0012237E" w:rsidRDefault="005E237B" w:rsidP="005E237B">
            <w:pPr>
              <w:rPr>
                <w:rFonts w:ascii="Arial" w:hAnsi="Arial" w:cs="Arial"/>
                <w:sz w:val="20"/>
                <w:szCs w:val="20"/>
              </w:rPr>
            </w:pPr>
            <w:r>
              <w:rPr>
                <w:rFonts w:ascii="Arial" w:hAnsi="Arial" w:cs="Arial"/>
                <w:color w:val="000000"/>
                <w:sz w:val="20"/>
                <w:szCs w:val="20"/>
              </w:rPr>
              <w:t>Frozen Rejuvenated Apheresis RED BLOOD CELLS</w:t>
            </w:r>
          </w:p>
        </w:tc>
        <w:tc>
          <w:tcPr>
            <w:tcW w:w="792" w:type="dxa"/>
            <w:shd w:val="clear" w:color="auto" w:fill="C0C0C0"/>
            <w:vAlign w:val="center"/>
          </w:tcPr>
          <w:p w14:paraId="7F6688E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B9E83B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B31060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2C1645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032DB4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5A13412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FB779D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CCB076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3E8A8E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FA48AA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3666D466"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r>
      <w:tr w:rsidR="005E237B" w:rsidRPr="004F2C12" w14:paraId="39D851CF" w14:textId="77777777" w:rsidTr="005E237B">
        <w:trPr>
          <w:cantSplit/>
          <w:trHeight w:val="432"/>
        </w:trPr>
        <w:tc>
          <w:tcPr>
            <w:tcW w:w="1615" w:type="dxa"/>
            <w:vAlign w:val="center"/>
          </w:tcPr>
          <w:p w14:paraId="6B52B7CA" w14:textId="77777777" w:rsidR="005E237B" w:rsidRPr="0012237E" w:rsidRDefault="005E237B" w:rsidP="005E237B">
            <w:pPr>
              <w:rPr>
                <w:rFonts w:ascii="Arial" w:hAnsi="Arial" w:cs="Arial"/>
                <w:sz w:val="20"/>
                <w:szCs w:val="20"/>
              </w:rPr>
            </w:pPr>
            <w:r>
              <w:rPr>
                <w:rFonts w:ascii="Arial" w:hAnsi="Arial" w:cs="Arial"/>
                <w:color w:val="000000"/>
                <w:sz w:val="20"/>
                <w:szCs w:val="20"/>
              </w:rPr>
              <w:lastRenderedPageBreak/>
              <w:t>Deglycerolized Rejuvenated Apheresis RED BLOOD CELLS</w:t>
            </w:r>
          </w:p>
        </w:tc>
        <w:tc>
          <w:tcPr>
            <w:tcW w:w="792" w:type="dxa"/>
            <w:tcBorders>
              <w:bottom w:val="single" w:sz="4" w:space="0" w:color="auto"/>
            </w:tcBorders>
            <w:vAlign w:val="bottom"/>
          </w:tcPr>
          <w:p w14:paraId="5F61A69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4040990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93BF89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CBC782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455AF61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4DA0B75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9A6414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A23DF6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D3DF6E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D3644F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600054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54939CFF" w14:textId="77777777" w:rsidTr="005E237B">
        <w:trPr>
          <w:cantSplit/>
          <w:trHeight w:val="432"/>
        </w:trPr>
        <w:tc>
          <w:tcPr>
            <w:tcW w:w="1615" w:type="dxa"/>
            <w:vAlign w:val="center"/>
          </w:tcPr>
          <w:p w14:paraId="3AC74F30" w14:textId="77777777" w:rsidR="005E237B" w:rsidRPr="0012237E" w:rsidRDefault="005E237B" w:rsidP="005E237B">
            <w:pPr>
              <w:pStyle w:val="TableText"/>
              <w:rPr>
                <w:rFonts w:cs="Arial"/>
                <w:sz w:val="20"/>
                <w:szCs w:val="20"/>
              </w:rPr>
            </w:pPr>
            <w:r>
              <w:rPr>
                <w:rFonts w:cs="Arial"/>
                <w:color w:val="000000"/>
                <w:sz w:val="20"/>
                <w:szCs w:val="20"/>
              </w:rPr>
              <w:t>Thawed POOLED PLASMA</w:t>
            </w:r>
          </w:p>
        </w:tc>
        <w:tc>
          <w:tcPr>
            <w:tcW w:w="792" w:type="dxa"/>
            <w:tcBorders>
              <w:bottom w:val="single" w:sz="4" w:space="0" w:color="auto"/>
            </w:tcBorders>
            <w:shd w:val="clear" w:color="auto" w:fill="auto"/>
            <w:vAlign w:val="bottom"/>
          </w:tcPr>
          <w:p w14:paraId="0B35A7E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476022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E3CB04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944BE5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3D47AC5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01AB1BB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1C52DF0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241BA3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E92088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35E0B7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9EBC28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3151FA90" w14:textId="77777777" w:rsidTr="005E237B">
        <w:trPr>
          <w:cantSplit/>
          <w:trHeight w:val="432"/>
        </w:trPr>
        <w:tc>
          <w:tcPr>
            <w:tcW w:w="1615" w:type="dxa"/>
            <w:vAlign w:val="center"/>
          </w:tcPr>
          <w:p w14:paraId="3DFAD38E" w14:textId="77777777" w:rsidR="005E237B" w:rsidRPr="0012237E" w:rsidRDefault="005E237B" w:rsidP="005E237B">
            <w:pPr>
              <w:pStyle w:val="TableText"/>
              <w:rPr>
                <w:rFonts w:cs="Arial"/>
                <w:sz w:val="20"/>
                <w:szCs w:val="20"/>
              </w:rPr>
            </w:pPr>
            <w:r>
              <w:rPr>
                <w:rFonts w:cs="Arial"/>
                <w:color w:val="000000"/>
                <w:sz w:val="20"/>
                <w:szCs w:val="20"/>
              </w:rPr>
              <w:t>Thawed POOLED FRESH FROZEN PLASMA</w:t>
            </w:r>
          </w:p>
        </w:tc>
        <w:tc>
          <w:tcPr>
            <w:tcW w:w="792" w:type="dxa"/>
            <w:shd w:val="clear" w:color="auto" w:fill="auto"/>
            <w:vAlign w:val="bottom"/>
          </w:tcPr>
          <w:p w14:paraId="5A92BE29"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4A9600F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77B0B86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51A061F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10DA8936"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2ACE9F9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53CDBF9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73D071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B45A60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9FFBFA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36914D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32091086" w14:textId="77777777" w:rsidTr="005E237B">
        <w:trPr>
          <w:cantSplit/>
          <w:trHeight w:val="432"/>
        </w:trPr>
        <w:tc>
          <w:tcPr>
            <w:tcW w:w="1615" w:type="dxa"/>
            <w:vAlign w:val="center"/>
          </w:tcPr>
          <w:p w14:paraId="31063A75" w14:textId="77777777" w:rsidR="005E237B" w:rsidRPr="0012237E" w:rsidRDefault="005E237B" w:rsidP="005E237B">
            <w:pPr>
              <w:pStyle w:val="TableText"/>
              <w:rPr>
                <w:rFonts w:cs="Arial"/>
                <w:sz w:val="20"/>
                <w:szCs w:val="20"/>
              </w:rPr>
            </w:pPr>
            <w:r>
              <w:rPr>
                <w:rFonts w:cs="Arial"/>
                <w:color w:val="000000"/>
                <w:sz w:val="20"/>
                <w:szCs w:val="20"/>
              </w:rPr>
              <w:t>Washed GRANULOCYTES</w:t>
            </w:r>
          </w:p>
        </w:tc>
        <w:tc>
          <w:tcPr>
            <w:tcW w:w="792" w:type="dxa"/>
            <w:tcBorders>
              <w:bottom w:val="single" w:sz="4" w:space="0" w:color="auto"/>
            </w:tcBorders>
            <w:shd w:val="clear" w:color="auto" w:fill="auto"/>
            <w:vAlign w:val="bottom"/>
          </w:tcPr>
          <w:p w14:paraId="56FD73A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544B46C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66E824F3"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72DE6F7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5A682038"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BFBFBF"/>
            <w:vAlign w:val="center"/>
          </w:tcPr>
          <w:p w14:paraId="67A8F07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BFBFBF"/>
            <w:vAlign w:val="center"/>
          </w:tcPr>
          <w:p w14:paraId="571DE33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0A1A01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387BBF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943E21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C45EFB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0D57BD81" w14:textId="77777777" w:rsidTr="005E237B">
        <w:trPr>
          <w:cantSplit/>
          <w:trHeight w:val="432"/>
        </w:trPr>
        <w:tc>
          <w:tcPr>
            <w:tcW w:w="1615" w:type="dxa"/>
            <w:vAlign w:val="center"/>
          </w:tcPr>
          <w:p w14:paraId="20CBB980" w14:textId="77777777" w:rsidR="005E237B" w:rsidRPr="0012237E" w:rsidRDefault="005E237B" w:rsidP="005E237B">
            <w:pPr>
              <w:rPr>
                <w:rFonts w:ascii="Arial" w:hAnsi="Arial" w:cs="Arial"/>
                <w:bCs/>
                <w:sz w:val="20"/>
                <w:szCs w:val="20"/>
              </w:rPr>
            </w:pPr>
            <w:r>
              <w:rPr>
                <w:rFonts w:ascii="Arial" w:hAnsi="Arial" w:cs="Arial"/>
                <w:color w:val="000000"/>
                <w:sz w:val="20"/>
                <w:szCs w:val="20"/>
              </w:rPr>
              <w:t>Liquid POOLED PLASMA</w:t>
            </w:r>
          </w:p>
        </w:tc>
        <w:tc>
          <w:tcPr>
            <w:tcW w:w="792" w:type="dxa"/>
            <w:tcBorders>
              <w:bottom w:val="single" w:sz="4" w:space="0" w:color="auto"/>
            </w:tcBorders>
            <w:shd w:val="clear" w:color="auto" w:fill="auto"/>
            <w:vAlign w:val="bottom"/>
          </w:tcPr>
          <w:p w14:paraId="42982EA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63429DA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DA5DE9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F59FE8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2A877F6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2B2F68E3"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54D7977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DDAA99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8A9CFC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594630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8A8C34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24B5AC8A" w14:textId="77777777" w:rsidTr="005E237B">
        <w:trPr>
          <w:cantSplit/>
          <w:trHeight w:val="432"/>
        </w:trPr>
        <w:tc>
          <w:tcPr>
            <w:tcW w:w="1615" w:type="dxa"/>
            <w:vAlign w:val="center"/>
          </w:tcPr>
          <w:p w14:paraId="7A0DC15F" w14:textId="77777777" w:rsidR="005E237B" w:rsidRPr="0012237E" w:rsidRDefault="005E237B" w:rsidP="005E237B">
            <w:pPr>
              <w:rPr>
                <w:rFonts w:ascii="Arial" w:hAnsi="Arial" w:cs="Arial"/>
                <w:bCs/>
                <w:sz w:val="20"/>
                <w:szCs w:val="20"/>
              </w:rPr>
            </w:pPr>
            <w:r>
              <w:rPr>
                <w:rFonts w:ascii="Arial" w:hAnsi="Arial" w:cs="Arial"/>
                <w:color w:val="000000"/>
                <w:sz w:val="20"/>
                <w:szCs w:val="20"/>
              </w:rPr>
              <w:t>POOLED FRESH FROZEN PLASMA</w:t>
            </w:r>
          </w:p>
        </w:tc>
        <w:tc>
          <w:tcPr>
            <w:tcW w:w="792" w:type="dxa"/>
            <w:tcBorders>
              <w:bottom w:val="single" w:sz="4" w:space="0" w:color="auto"/>
            </w:tcBorders>
            <w:shd w:val="clear" w:color="auto" w:fill="BFBFBF"/>
            <w:vAlign w:val="center"/>
          </w:tcPr>
          <w:p w14:paraId="7CC04C9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FFFFFF"/>
            <w:vAlign w:val="bottom"/>
          </w:tcPr>
          <w:p w14:paraId="784789C8"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B7DB5C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pct25" w:color="auto" w:fill="auto"/>
            <w:vAlign w:val="center"/>
          </w:tcPr>
          <w:p w14:paraId="50B300A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pct25" w:color="auto" w:fill="auto"/>
            <w:vAlign w:val="center"/>
          </w:tcPr>
          <w:p w14:paraId="7E2C3E5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pct25" w:color="auto" w:fill="auto"/>
            <w:vAlign w:val="center"/>
          </w:tcPr>
          <w:p w14:paraId="026144C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pct25" w:color="auto" w:fill="auto"/>
            <w:vAlign w:val="center"/>
          </w:tcPr>
          <w:p w14:paraId="6897B1B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1E88F71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77C471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5C0CC8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072F1D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41FFAD91" w14:textId="77777777" w:rsidTr="005E237B">
        <w:trPr>
          <w:cantSplit/>
          <w:trHeight w:val="432"/>
        </w:trPr>
        <w:tc>
          <w:tcPr>
            <w:tcW w:w="1615" w:type="dxa"/>
            <w:vAlign w:val="center"/>
          </w:tcPr>
          <w:p w14:paraId="68A8EA45" w14:textId="77777777" w:rsidR="005E237B" w:rsidRPr="0012237E" w:rsidRDefault="005E237B" w:rsidP="005E237B">
            <w:pPr>
              <w:rPr>
                <w:rFonts w:ascii="Arial" w:hAnsi="Arial" w:cs="Arial"/>
                <w:bCs/>
                <w:sz w:val="20"/>
                <w:szCs w:val="20"/>
              </w:rPr>
            </w:pPr>
            <w:r>
              <w:rPr>
                <w:rFonts w:ascii="Arial" w:hAnsi="Arial" w:cs="Arial"/>
                <w:color w:val="000000"/>
                <w:sz w:val="20"/>
                <w:szCs w:val="20"/>
              </w:rPr>
              <w:t>Frozen POOLED PLATELETS</w:t>
            </w:r>
          </w:p>
        </w:tc>
        <w:tc>
          <w:tcPr>
            <w:tcW w:w="792" w:type="dxa"/>
            <w:tcBorders>
              <w:bottom w:val="single" w:sz="4" w:space="0" w:color="auto"/>
            </w:tcBorders>
            <w:shd w:val="pct25" w:color="auto" w:fill="auto"/>
            <w:vAlign w:val="center"/>
          </w:tcPr>
          <w:p w14:paraId="3330457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FFFFFF"/>
            <w:vAlign w:val="bottom"/>
          </w:tcPr>
          <w:p w14:paraId="5DE69FE1"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739061E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BFBFBF"/>
            <w:vAlign w:val="center"/>
          </w:tcPr>
          <w:p w14:paraId="05092C6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BFBFBF"/>
            <w:vAlign w:val="center"/>
          </w:tcPr>
          <w:p w14:paraId="4BF9D99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BFBFBF"/>
            <w:vAlign w:val="center"/>
          </w:tcPr>
          <w:p w14:paraId="4B1E469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BFBFBF"/>
            <w:vAlign w:val="center"/>
          </w:tcPr>
          <w:p w14:paraId="6386A73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BFBFBF"/>
            <w:vAlign w:val="center"/>
          </w:tcPr>
          <w:p w14:paraId="3FC9775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EF5263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DC705D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7389D8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4E095327" w14:textId="77777777" w:rsidTr="005E237B">
        <w:trPr>
          <w:cantSplit/>
          <w:trHeight w:val="432"/>
        </w:trPr>
        <w:tc>
          <w:tcPr>
            <w:tcW w:w="1615" w:type="dxa"/>
            <w:vAlign w:val="center"/>
          </w:tcPr>
          <w:p w14:paraId="08B25AA3" w14:textId="77777777" w:rsidR="005E237B" w:rsidRPr="0012237E" w:rsidRDefault="005E237B" w:rsidP="005E237B">
            <w:pPr>
              <w:pStyle w:val="TableText"/>
              <w:rPr>
                <w:rFonts w:cs="Arial"/>
                <w:sz w:val="20"/>
                <w:szCs w:val="20"/>
              </w:rPr>
            </w:pPr>
            <w:r>
              <w:rPr>
                <w:rFonts w:cs="Arial"/>
                <w:color w:val="000000"/>
                <w:sz w:val="20"/>
                <w:szCs w:val="20"/>
              </w:rPr>
              <w:t>Thawed POOLED PLATELETS</w:t>
            </w:r>
          </w:p>
        </w:tc>
        <w:tc>
          <w:tcPr>
            <w:tcW w:w="792" w:type="dxa"/>
            <w:tcBorders>
              <w:bottom w:val="single" w:sz="4" w:space="0" w:color="auto"/>
            </w:tcBorders>
            <w:shd w:val="clear" w:color="auto" w:fill="auto"/>
            <w:vAlign w:val="bottom"/>
          </w:tcPr>
          <w:p w14:paraId="3D4BD33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0F2C11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BE58C1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03BD27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vAlign w:val="bottom"/>
          </w:tcPr>
          <w:p w14:paraId="22066BC9"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6B61D336"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2F0AC9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61ACF6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D92E65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79AE46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C3A277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1904DC64" w14:textId="77777777" w:rsidTr="005E237B">
        <w:trPr>
          <w:cantSplit/>
          <w:trHeight w:val="432"/>
        </w:trPr>
        <w:tc>
          <w:tcPr>
            <w:tcW w:w="1615" w:type="dxa"/>
            <w:vAlign w:val="center"/>
          </w:tcPr>
          <w:p w14:paraId="56C7E538" w14:textId="77777777" w:rsidR="005E237B" w:rsidRPr="0012237E" w:rsidRDefault="005E237B" w:rsidP="005E237B">
            <w:pPr>
              <w:rPr>
                <w:rFonts w:ascii="Arial" w:hAnsi="Arial" w:cs="Arial"/>
                <w:sz w:val="20"/>
                <w:szCs w:val="20"/>
              </w:rPr>
            </w:pPr>
            <w:r>
              <w:rPr>
                <w:rFonts w:ascii="Arial" w:hAnsi="Arial" w:cs="Arial"/>
                <w:color w:val="000000"/>
                <w:sz w:val="20"/>
                <w:szCs w:val="20"/>
              </w:rPr>
              <w:t>Thawed Apheresis POOLED FRESH FROZEN PLASMA</w:t>
            </w:r>
          </w:p>
        </w:tc>
        <w:tc>
          <w:tcPr>
            <w:tcW w:w="792" w:type="dxa"/>
            <w:shd w:val="clear" w:color="auto" w:fill="auto"/>
            <w:vAlign w:val="bottom"/>
          </w:tcPr>
          <w:p w14:paraId="4DB17E51"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D47D5A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7DB19B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B75687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vAlign w:val="bottom"/>
          </w:tcPr>
          <w:p w14:paraId="1235ED9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vAlign w:val="bottom"/>
          </w:tcPr>
          <w:p w14:paraId="39E932B1"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424A92E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1F2A99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561FC5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B1AB60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AC6004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5A9AFE2B" w14:textId="77777777" w:rsidTr="005E237B">
        <w:trPr>
          <w:cantSplit/>
          <w:trHeight w:val="432"/>
        </w:trPr>
        <w:tc>
          <w:tcPr>
            <w:tcW w:w="1615" w:type="dxa"/>
            <w:vAlign w:val="center"/>
          </w:tcPr>
          <w:p w14:paraId="6A8797E8" w14:textId="77777777" w:rsidR="005E237B" w:rsidRPr="0012237E" w:rsidRDefault="005E237B" w:rsidP="005E237B">
            <w:pPr>
              <w:rPr>
                <w:rFonts w:ascii="Arial" w:hAnsi="Arial" w:cs="Arial"/>
                <w:sz w:val="20"/>
                <w:szCs w:val="20"/>
              </w:rPr>
            </w:pPr>
            <w:r>
              <w:rPr>
                <w:rFonts w:ascii="Arial" w:hAnsi="Arial" w:cs="Arial"/>
                <w:color w:val="000000"/>
                <w:sz w:val="20"/>
                <w:szCs w:val="20"/>
              </w:rPr>
              <w:t>Thawed Apheresis POOLED PLASMA</w:t>
            </w:r>
          </w:p>
        </w:tc>
        <w:tc>
          <w:tcPr>
            <w:tcW w:w="792" w:type="dxa"/>
            <w:shd w:val="clear" w:color="auto" w:fill="auto"/>
            <w:vAlign w:val="bottom"/>
          </w:tcPr>
          <w:p w14:paraId="6EDB863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76B9754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43D5EC2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0D184A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00DA2D59"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vAlign w:val="bottom"/>
          </w:tcPr>
          <w:p w14:paraId="4D0A516D"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1FE29A6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34922F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7CEA87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E2164B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221ED5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2B196CE9" w14:textId="77777777" w:rsidTr="005E237B">
        <w:trPr>
          <w:cantSplit/>
          <w:trHeight w:val="432"/>
        </w:trPr>
        <w:tc>
          <w:tcPr>
            <w:tcW w:w="1615" w:type="dxa"/>
            <w:vAlign w:val="center"/>
          </w:tcPr>
          <w:p w14:paraId="0715901D" w14:textId="77777777" w:rsidR="005E237B" w:rsidRPr="0012237E" w:rsidRDefault="005E237B" w:rsidP="005E237B">
            <w:pPr>
              <w:rPr>
                <w:rFonts w:ascii="Arial" w:hAnsi="Arial" w:cs="Arial"/>
                <w:sz w:val="20"/>
                <w:szCs w:val="20"/>
              </w:rPr>
            </w:pPr>
            <w:r>
              <w:rPr>
                <w:rFonts w:ascii="Arial" w:hAnsi="Arial" w:cs="Arial"/>
                <w:color w:val="000000"/>
                <w:sz w:val="20"/>
                <w:szCs w:val="20"/>
              </w:rPr>
              <w:t>Washed Thawed POOLED PLATELETS</w:t>
            </w:r>
          </w:p>
        </w:tc>
        <w:tc>
          <w:tcPr>
            <w:tcW w:w="792" w:type="dxa"/>
            <w:tcBorders>
              <w:bottom w:val="single" w:sz="4" w:space="0" w:color="auto"/>
            </w:tcBorders>
            <w:shd w:val="clear" w:color="auto" w:fill="auto"/>
            <w:vAlign w:val="bottom"/>
          </w:tcPr>
          <w:p w14:paraId="61466FDD"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663E6E7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04219F4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8E7656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002992E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55F699F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07E5D7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AD4B5A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D49F1F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8D4FF0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E47948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30F04629" w14:textId="77777777" w:rsidTr="005E237B">
        <w:trPr>
          <w:cantSplit/>
          <w:trHeight w:val="432"/>
        </w:trPr>
        <w:tc>
          <w:tcPr>
            <w:tcW w:w="1615" w:type="dxa"/>
            <w:vAlign w:val="center"/>
          </w:tcPr>
          <w:p w14:paraId="09740223" w14:textId="77777777" w:rsidR="005E237B" w:rsidRPr="0012237E" w:rsidRDefault="005E237B" w:rsidP="005E237B">
            <w:pPr>
              <w:rPr>
                <w:rFonts w:ascii="Arial" w:hAnsi="Arial" w:cs="Arial"/>
                <w:sz w:val="20"/>
                <w:szCs w:val="20"/>
              </w:rPr>
            </w:pPr>
            <w:r>
              <w:rPr>
                <w:rFonts w:ascii="Arial" w:hAnsi="Arial" w:cs="Arial"/>
                <w:color w:val="000000"/>
                <w:sz w:val="20"/>
                <w:szCs w:val="20"/>
              </w:rPr>
              <w:t>Washed Thawed Apheresis PLATELETS</w:t>
            </w:r>
          </w:p>
        </w:tc>
        <w:tc>
          <w:tcPr>
            <w:tcW w:w="792" w:type="dxa"/>
            <w:tcBorders>
              <w:bottom w:val="single" w:sz="4" w:space="0" w:color="auto"/>
            </w:tcBorders>
            <w:shd w:val="clear" w:color="auto" w:fill="auto"/>
            <w:vAlign w:val="bottom"/>
          </w:tcPr>
          <w:p w14:paraId="4282A3E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28D593D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2495027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038D1A0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572D37B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7CC057C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79F357E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77F721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F49838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2468B7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761E08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5861B60C" w14:textId="77777777" w:rsidTr="005E237B">
        <w:trPr>
          <w:cantSplit/>
          <w:trHeight w:val="432"/>
        </w:trPr>
        <w:tc>
          <w:tcPr>
            <w:tcW w:w="1615" w:type="dxa"/>
            <w:vAlign w:val="center"/>
          </w:tcPr>
          <w:p w14:paraId="0CC06193" w14:textId="77777777" w:rsidR="005E237B" w:rsidRPr="00AA3593" w:rsidRDefault="005E237B" w:rsidP="005E237B">
            <w:pPr>
              <w:rPr>
                <w:rFonts w:ascii="Arial" w:hAnsi="Arial" w:cs="Arial"/>
                <w:sz w:val="20"/>
                <w:szCs w:val="20"/>
              </w:rPr>
            </w:pPr>
            <w:r>
              <w:rPr>
                <w:rFonts w:ascii="Arial" w:hAnsi="Arial" w:cs="Arial"/>
                <w:color w:val="000000"/>
                <w:sz w:val="20"/>
                <w:szCs w:val="20"/>
              </w:rPr>
              <w:t>Lyophilized FRESH FROZEN PLASMA</w:t>
            </w:r>
          </w:p>
        </w:tc>
        <w:tc>
          <w:tcPr>
            <w:tcW w:w="792" w:type="dxa"/>
            <w:tcBorders>
              <w:bottom w:val="single" w:sz="4" w:space="0" w:color="auto"/>
            </w:tcBorders>
            <w:shd w:val="pct25" w:color="auto" w:fill="auto"/>
            <w:vAlign w:val="center"/>
          </w:tcPr>
          <w:p w14:paraId="4B6BED3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067916C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6E6B8D0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2F0F5E3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7B9DBE23"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6D944F5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6DB44B3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8B6670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89A6C1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731FA0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351136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29DC8C91" w14:textId="77777777" w:rsidTr="005E237B">
        <w:trPr>
          <w:cantSplit/>
          <w:trHeight w:val="432"/>
        </w:trPr>
        <w:tc>
          <w:tcPr>
            <w:tcW w:w="1615" w:type="dxa"/>
            <w:vAlign w:val="center"/>
          </w:tcPr>
          <w:p w14:paraId="3791D895" w14:textId="77777777" w:rsidR="005E237B" w:rsidRPr="00AA3593" w:rsidRDefault="005E237B" w:rsidP="005E237B">
            <w:pPr>
              <w:rPr>
                <w:rFonts w:ascii="Arial" w:hAnsi="Arial" w:cs="Arial"/>
                <w:sz w:val="20"/>
                <w:szCs w:val="20"/>
              </w:rPr>
            </w:pPr>
            <w:r>
              <w:rPr>
                <w:rFonts w:ascii="Arial" w:hAnsi="Arial" w:cs="Arial"/>
                <w:color w:val="000000"/>
                <w:sz w:val="20"/>
                <w:szCs w:val="20"/>
              </w:rPr>
              <w:t>Reconstituted FRESH FROZEN PLASMA</w:t>
            </w:r>
          </w:p>
        </w:tc>
        <w:tc>
          <w:tcPr>
            <w:tcW w:w="792" w:type="dxa"/>
            <w:tcBorders>
              <w:bottom w:val="single" w:sz="4" w:space="0" w:color="auto"/>
            </w:tcBorders>
            <w:shd w:val="clear" w:color="auto" w:fill="auto"/>
            <w:vAlign w:val="bottom"/>
          </w:tcPr>
          <w:p w14:paraId="712E9E06"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24713A7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6DD1C2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B8F03F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0897690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33A6078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37B2D1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77DB8E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D2B3ED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F15F46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84CEAE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27870871" w14:textId="77777777" w:rsidTr="005E237B">
        <w:trPr>
          <w:cantSplit/>
          <w:trHeight w:val="432"/>
        </w:trPr>
        <w:tc>
          <w:tcPr>
            <w:tcW w:w="1615" w:type="dxa"/>
            <w:vAlign w:val="center"/>
          </w:tcPr>
          <w:p w14:paraId="0D0958B1" w14:textId="77777777" w:rsidR="005E237B" w:rsidRPr="00720B53" w:rsidRDefault="005E237B" w:rsidP="005E237B">
            <w:pPr>
              <w:rPr>
                <w:rFonts w:ascii="Arial" w:hAnsi="Arial" w:cs="Arial"/>
                <w:sz w:val="20"/>
                <w:szCs w:val="20"/>
              </w:rPr>
            </w:pPr>
            <w:r>
              <w:rPr>
                <w:rFonts w:ascii="Arial" w:hAnsi="Arial" w:cs="Arial"/>
                <w:color w:val="000000"/>
                <w:sz w:val="20"/>
                <w:szCs w:val="20"/>
              </w:rPr>
              <w:t>Washed Apheresis POOLED PLATELETS</w:t>
            </w:r>
          </w:p>
        </w:tc>
        <w:tc>
          <w:tcPr>
            <w:tcW w:w="792" w:type="dxa"/>
            <w:tcBorders>
              <w:bottom w:val="single" w:sz="4" w:space="0" w:color="auto"/>
            </w:tcBorders>
            <w:shd w:val="clear" w:color="auto" w:fill="auto"/>
            <w:vAlign w:val="bottom"/>
          </w:tcPr>
          <w:p w14:paraId="3A9C32C0"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tcBorders>
              <w:bottom w:val="single" w:sz="4" w:space="0" w:color="auto"/>
            </w:tcBorders>
            <w:shd w:val="clear" w:color="auto" w:fill="C0C0C0"/>
            <w:vAlign w:val="center"/>
          </w:tcPr>
          <w:p w14:paraId="1553CF4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B43EDB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802BF2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auto"/>
            <w:vAlign w:val="bottom"/>
          </w:tcPr>
          <w:p w14:paraId="6C6AF2F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tcBorders>
              <w:bottom w:val="single" w:sz="4" w:space="0" w:color="auto"/>
            </w:tcBorders>
            <w:shd w:val="pct25" w:color="auto" w:fill="auto"/>
            <w:vAlign w:val="center"/>
          </w:tcPr>
          <w:p w14:paraId="5DF7940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DF656C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E6B539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6730FF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7393D0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9E7AA8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4831C340" w14:textId="77777777" w:rsidTr="005E237B">
        <w:trPr>
          <w:cantSplit/>
          <w:trHeight w:val="432"/>
        </w:trPr>
        <w:tc>
          <w:tcPr>
            <w:tcW w:w="1615" w:type="dxa"/>
            <w:vAlign w:val="center"/>
          </w:tcPr>
          <w:p w14:paraId="025B9E63" w14:textId="77777777" w:rsidR="005E237B" w:rsidRPr="00841E4F" w:rsidRDefault="005E237B" w:rsidP="005E237B">
            <w:pPr>
              <w:rPr>
                <w:rFonts w:ascii="Arial" w:hAnsi="Arial" w:cs="Arial"/>
                <w:sz w:val="20"/>
                <w:szCs w:val="20"/>
              </w:rPr>
            </w:pPr>
            <w:r>
              <w:rPr>
                <w:rFonts w:ascii="Arial" w:hAnsi="Arial" w:cs="Arial"/>
                <w:color w:val="000000"/>
                <w:sz w:val="20"/>
                <w:szCs w:val="20"/>
              </w:rPr>
              <w:t>Frozen PLATELETS</w:t>
            </w:r>
          </w:p>
        </w:tc>
        <w:tc>
          <w:tcPr>
            <w:tcW w:w="792" w:type="dxa"/>
            <w:shd w:val="pct25" w:color="auto" w:fill="auto"/>
            <w:vAlign w:val="center"/>
          </w:tcPr>
          <w:p w14:paraId="0FD7EC72" w14:textId="77777777" w:rsidR="005E237B" w:rsidRPr="00720B53" w:rsidRDefault="005E237B" w:rsidP="005E237B">
            <w:pPr>
              <w:jc w:val="center"/>
              <w:rPr>
                <w:rFonts w:ascii="Arial" w:hAnsi="Arial" w:cs="Arial"/>
                <w:sz w:val="28"/>
                <w:szCs w:val="28"/>
              </w:rPr>
            </w:pPr>
            <w:r>
              <w:rPr>
                <w:rFonts w:ascii="Arial" w:hAnsi="Arial" w:cs="Arial"/>
                <w:b/>
                <w:bCs/>
                <w:color w:val="000000"/>
                <w:sz w:val="28"/>
                <w:szCs w:val="28"/>
              </w:rPr>
              <w:t> </w:t>
            </w:r>
          </w:p>
        </w:tc>
        <w:tc>
          <w:tcPr>
            <w:tcW w:w="792" w:type="dxa"/>
            <w:shd w:val="clear" w:color="auto" w:fill="auto"/>
            <w:vAlign w:val="bottom"/>
          </w:tcPr>
          <w:p w14:paraId="699698E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517484F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E1E20F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64E496A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307356C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3D43A2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FC6BBD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61FDA6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F0A71F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EC2F4A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7FAD2429" w14:textId="77777777" w:rsidTr="005E237B">
        <w:trPr>
          <w:cantSplit/>
          <w:trHeight w:val="432"/>
        </w:trPr>
        <w:tc>
          <w:tcPr>
            <w:tcW w:w="1615" w:type="dxa"/>
            <w:vAlign w:val="center"/>
          </w:tcPr>
          <w:p w14:paraId="381C5AD2" w14:textId="77777777" w:rsidR="005E237B" w:rsidRPr="00415B99" w:rsidRDefault="005E237B" w:rsidP="005E237B">
            <w:pPr>
              <w:rPr>
                <w:rFonts w:ascii="Arial" w:hAnsi="Arial" w:cs="Arial"/>
                <w:sz w:val="20"/>
                <w:szCs w:val="20"/>
              </w:rPr>
            </w:pPr>
            <w:r>
              <w:rPr>
                <w:rFonts w:ascii="Arial" w:hAnsi="Arial" w:cs="Arial"/>
                <w:color w:val="000000"/>
                <w:sz w:val="20"/>
                <w:szCs w:val="20"/>
              </w:rPr>
              <w:lastRenderedPageBreak/>
              <w:t>Apheresis POOLED CRYOPRECIPITATE</w:t>
            </w:r>
          </w:p>
        </w:tc>
        <w:tc>
          <w:tcPr>
            <w:tcW w:w="792" w:type="dxa"/>
            <w:tcBorders>
              <w:bottom w:val="single" w:sz="4" w:space="0" w:color="auto"/>
            </w:tcBorders>
            <w:shd w:val="pct25" w:color="auto" w:fill="auto"/>
            <w:vAlign w:val="center"/>
          </w:tcPr>
          <w:p w14:paraId="32D50BB2" w14:textId="77777777" w:rsidR="005E237B" w:rsidRPr="00720B53" w:rsidRDefault="005E237B" w:rsidP="005E237B">
            <w:pPr>
              <w:jc w:val="center"/>
              <w:rPr>
                <w:rFonts w:ascii="Arial" w:hAnsi="Arial" w:cs="Arial"/>
                <w:sz w:val="28"/>
                <w:szCs w:val="28"/>
              </w:rPr>
            </w:pPr>
            <w:r>
              <w:rPr>
                <w:rFonts w:ascii="Arial" w:hAnsi="Arial" w:cs="Arial"/>
                <w:b/>
                <w:bCs/>
                <w:color w:val="000000"/>
                <w:sz w:val="28"/>
                <w:szCs w:val="28"/>
              </w:rPr>
              <w:t> </w:t>
            </w:r>
          </w:p>
        </w:tc>
        <w:tc>
          <w:tcPr>
            <w:tcW w:w="792" w:type="dxa"/>
            <w:shd w:val="clear" w:color="auto" w:fill="auto"/>
            <w:vAlign w:val="bottom"/>
          </w:tcPr>
          <w:p w14:paraId="322E8A99"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E87EEB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FDEBCB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pct25" w:color="auto" w:fill="auto"/>
            <w:vAlign w:val="center"/>
          </w:tcPr>
          <w:p w14:paraId="1EFAECE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1B5F691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6500F1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85EEC5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C9DDEC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F779CC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AC76CF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6FB12036" w14:textId="77777777" w:rsidTr="005E237B">
        <w:trPr>
          <w:cantSplit/>
          <w:trHeight w:val="432"/>
        </w:trPr>
        <w:tc>
          <w:tcPr>
            <w:tcW w:w="1615" w:type="dxa"/>
            <w:vAlign w:val="center"/>
          </w:tcPr>
          <w:p w14:paraId="30513BA5" w14:textId="77777777" w:rsidR="005E237B" w:rsidRPr="00415B99" w:rsidRDefault="005E237B" w:rsidP="005E237B">
            <w:pPr>
              <w:rPr>
                <w:rFonts w:ascii="Arial" w:hAnsi="Arial" w:cs="Arial"/>
                <w:sz w:val="20"/>
                <w:szCs w:val="20"/>
              </w:rPr>
            </w:pPr>
            <w:r>
              <w:rPr>
                <w:rFonts w:ascii="Arial" w:hAnsi="Arial" w:cs="Arial"/>
                <w:color w:val="000000"/>
                <w:sz w:val="20"/>
                <w:szCs w:val="20"/>
              </w:rPr>
              <w:t>Thawed Apheresis POOLED CRYOPRECIPITATE</w:t>
            </w:r>
          </w:p>
        </w:tc>
        <w:tc>
          <w:tcPr>
            <w:tcW w:w="792" w:type="dxa"/>
            <w:shd w:val="clear" w:color="auto" w:fill="auto"/>
            <w:vAlign w:val="bottom"/>
          </w:tcPr>
          <w:p w14:paraId="376A016F"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78C5C6A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662F1D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CE5E5E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0AB2C736"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07911DB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52E9B3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804CE9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B755EB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0C0CFE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FF5B1C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70CA58FA" w14:textId="77777777" w:rsidTr="005E237B">
        <w:trPr>
          <w:cantSplit/>
          <w:trHeight w:val="432"/>
        </w:trPr>
        <w:tc>
          <w:tcPr>
            <w:tcW w:w="1615" w:type="dxa"/>
            <w:vAlign w:val="center"/>
          </w:tcPr>
          <w:p w14:paraId="792DB56B" w14:textId="77777777" w:rsidR="005E237B" w:rsidRPr="00415B99" w:rsidRDefault="005E237B" w:rsidP="005E237B">
            <w:pPr>
              <w:rPr>
                <w:rFonts w:ascii="Arial" w:hAnsi="Arial" w:cs="Arial"/>
                <w:sz w:val="20"/>
                <w:szCs w:val="20"/>
              </w:rPr>
            </w:pPr>
            <w:r>
              <w:rPr>
                <w:rFonts w:ascii="Arial" w:hAnsi="Arial" w:cs="Arial"/>
                <w:color w:val="000000"/>
                <w:sz w:val="20"/>
                <w:szCs w:val="20"/>
              </w:rPr>
              <w:t>CONVALESCENT PLASMA</w:t>
            </w:r>
          </w:p>
        </w:tc>
        <w:tc>
          <w:tcPr>
            <w:tcW w:w="792" w:type="dxa"/>
            <w:shd w:val="clear" w:color="auto" w:fill="auto"/>
            <w:vAlign w:val="bottom"/>
          </w:tcPr>
          <w:p w14:paraId="6995C92C"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32538E3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A8325F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454AD6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5F8E24FC"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6B2DB11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2EF752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76E433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C14897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AEA6BD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E37768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3D7BF104" w14:textId="77777777" w:rsidTr="005E237B">
        <w:trPr>
          <w:cantSplit/>
          <w:trHeight w:val="432"/>
        </w:trPr>
        <w:tc>
          <w:tcPr>
            <w:tcW w:w="1615" w:type="dxa"/>
            <w:vAlign w:val="center"/>
          </w:tcPr>
          <w:p w14:paraId="1DC46369" w14:textId="77777777" w:rsidR="005E237B" w:rsidRPr="00415B99" w:rsidRDefault="005E237B" w:rsidP="005E237B">
            <w:pPr>
              <w:rPr>
                <w:rFonts w:ascii="Arial" w:hAnsi="Arial" w:cs="Arial"/>
                <w:sz w:val="20"/>
                <w:szCs w:val="20"/>
              </w:rPr>
            </w:pPr>
            <w:r>
              <w:rPr>
                <w:rFonts w:ascii="Arial" w:hAnsi="Arial" w:cs="Arial"/>
                <w:color w:val="000000"/>
                <w:sz w:val="20"/>
                <w:szCs w:val="20"/>
              </w:rPr>
              <w:t>PLATELET LYSATE</w:t>
            </w:r>
          </w:p>
        </w:tc>
        <w:tc>
          <w:tcPr>
            <w:tcW w:w="792" w:type="dxa"/>
            <w:shd w:val="clear" w:color="auto" w:fill="auto"/>
            <w:vAlign w:val="bottom"/>
          </w:tcPr>
          <w:p w14:paraId="12267EE6"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69DF098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C7D874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6BBF66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53E8A30F"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1EC467E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FD26FD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718848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2A14CE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110A26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633D4E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2CD4A623" w14:textId="77777777" w:rsidTr="005E237B">
        <w:trPr>
          <w:cantSplit/>
          <w:trHeight w:val="432"/>
        </w:trPr>
        <w:tc>
          <w:tcPr>
            <w:tcW w:w="1615" w:type="dxa"/>
            <w:vAlign w:val="center"/>
          </w:tcPr>
          <w:p w14:paraId="56D9EF5B" w14:textId="77777777" w:rsidR="005E237B" w:rsidRPr="00415B99" w:rsidRDefault="005E237B" w:rsidP="005E237B">
            <w:pPr>
              <w:rPr>
                <w:rFonts w:ascii="Arial" w:hAnsi="Arial" w:cs="Arial"/>
                <w:sz w:val="20"/>
                <w:szCs w:val="20"/>
              </w:rPr>
            </w:pPr>
            <w:r>
              <w:rPr>
                <w:rFonts w:ascii="Arial" w:hAnsi="Arial" w:cs="Arial"/>
                <w:color w:val="000000"/>
                <w:sz w:val="20"/>
                <w:szCs w:val="20"/>
              </w:rPr>
              <w:t>Lyophilized POOLED PLASMA</w:t>
            </w:r>
          </w:p>
        </w:tc>
        <w:tc>
          <w:tcPr>
            <w:tcW w:w="792" w:type="dxa"/>
            <w:shd w:val="clear" w:color="auto" w:fill="auto"/>
            <w:vAlign w:val="bottom"/>
          </w:tcPr>
          <w:p w14:paraId="01C06C26"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4E01AB7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11C073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B4EAE8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348AB5E1"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4870591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916DE3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D56A39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FCDBA2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26A76A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955D4E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65FDF622" w14:textId="77777777" w:rsidTr="005E237B">
        <w:trPr>
          <w:cantSplit/>
          <w:trHeight w:val="432"/>
        </w:trPr>
        <w:tc>
          <w:tcPr>
            <w:tcW w:w="1615" w:type="dxa"/>
            <w:vAlign w:val="center"/>
          </w:tcPr>
          <w:p w14:paraId="74F663DB" w14:textId="77777777" w:rsidR="005E237B" w:rsidRPr="00415B99" w:rsidRDefault="005E237B" w:rsidP="005E237B">
            <w:pPr>
              <w:rPr>
                <w:rFonts w:ascii="Arial" w:hAnsi="Arial" w:cs="Arial"/>
                <w:sz w:val="20"/>
                <w:szCs w:val="20"/>
              </w:rPr>
            </w:pPr>
            <w:r>
              <w:rPr>
                <w:rFonts w:ascii="Arial" w:hAnsi="Arial" w:cs="Arial"/>
                <w:color w:val="000000"/>
                <w:sz w:val="20"/>
                <w:szCs w:val="20"/>
              </w:rPr>
              <w:t>Lyophilized PLATELET-RICH PLASMA</w:t>
            </w:r>
          </w:p>
        </w:tc>
        <w:tc>
          <w:tcPr>
            <w:tcW w:w="792" w:type="dxa"/>
            <w:shd w:val="clear" w:color="auto" w:fill="auto"/>
            <w:vAlign w:val="bottom"/>
          </w:tcPr>
          <w:p w14:paraId="2B61ABEA"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5D0D047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770A4D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76FB52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3384663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7953154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3649DA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600437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329107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96A403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C2F19C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77E92F4B" w14:textId="77777777" w:rsidTr="005E237B">
        <w:trPr>
          <w:cantSplit/>
          <w:trHeight w:val="432"/>
        </w:trPr>
        <w:tc>
          <w:tcPr>
            <w:tcW w:w="1615" w:type="dxa"/>
            <w:vAlign w:val="center"/>
          </w:tcPr>
          <w:p w14:paraId="5AD871C2" w14:textId="77777777" w:rsidR="005E237B" w:rsidRPr="00415B99" w:rsidRDefault="005E237B" w:rsidP="005E237B">
            <w:pPr>
              <w:rPr>
                <w:rFonts w:ascii="Arial" w:hAnsi="Arial" w:cs="Arial"/>
                <w:sz w:val="20"/>
                <w:szCs w:val="20"/>
              </w:rPr>
            </w:pPr>
            <w:r>
              <w:rPr>
                <w:rFonts w:ascii="Arial" w:hAnsi="Arial" w:cs="Arial"/>
                <w:color w:val="000000"/>
                <w:sz w:val="20"/>
                <w:szCs w:val="20"/>
              </w:rPr>
              <w:t>Frozen SERUM</w:t>
            </w:r>
          </w:p>
        </w:tc>
        <w:tc>
          <w:tcPr>
            <w:tcW w:w="792" w:type="dxa"/>
            <w:shd w:val="clear" w:color="auto" w:fill="auto"/>
            <w:vAlign w:val="bottom"/>
          </w:tcPr>
          <w:p w14:paraId="3C90FF89"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21A7FF5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4FC6F6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34A630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77C54473"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65DFF23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B5C7E0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65C908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821D37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4BAC4E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C2022E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71AF6824" w14:textId="77777777" w:rsidTr="005E237B">
        <w:trPr>
          <w:cantSplit/>
          <w:trHeight w:val="432"/>
        </w:trPr>
        <w:tc>
          <w:tcPr>
            <w:tcW w:w="1615" w:type="dxa"/>
            <w:vAlign w:val="center"/>
          </w:tcPr>
          <w:p w14:paraId="47C855D8" w14:textId="77777777" w:rsidR="005E237B" w:rsidRPr="00415B99" w:rsidRDefault="005E237B" w:rsidP="005E237B">
            <w:pPr>
              <w:rPr>
                <w:rFonts w:ascii="Arial" w:hAnsi="Arial" w:cs="Arial"/>
                <w:sz w:val="20"/>
                <w:szCs w:val="20"/>
              </w:rPr>
            </w:pPr>
            <w:r>
              <w:rPr>
                <w:rFonts w:ascii="Arial" w:hAnsi="Arial" w:cs="Arial"/>
                <w:color w:val="000000"/>
                <w:sz w:val="20"/>
                <w:szCs w:val="20"/>
              </w:rPr>
              <w:t>Lyophilized Apheresis FRESH FROZEN PLASMA</w:t>
            </w:r>
          </w:p>
        </w:tc>
        <w:tc>
          <w:tcPr>
            <w:tcW w:w="792" w:type="dxa"/>
            <w:shd w:val="clear" w:color="auto" w:fill="auto"/>
            <w:vAlign w:val="bottom"/>
          </w:tcPr>
          <w:p w14:paraId="6B921436"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5E1E462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A769E7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3AAE41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0DFD5FE3"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4C5441E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771553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1DE38E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53ACD2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BDDA1C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093D06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39245E13" w14:textId="77777777" w:rsidTr="005E237B">
        <w:trPr>
          <w:cantSplit/>
          <w:trHeight w:val="432"/>
        </w:trPr>
        <w:tc>
          <w:tcPr>
            <w:tcW w:w="1615" w:type="dxa"/>
            <w:vAlign w:val="center"/>
          </w:tcPr>
          <w:p w14:paraId="713B342C" w14:textId="77777777" w:rsidR="005E237B" w:rsidRPr="00415B99" w:rsidRDefault="005E237B" w:rsidP="005E237B">
            <w:pPr>
              <w:rPr>
                <w:rFonts w:ascii="Arial" w:hAnsi="Arial" w:cs="Arial"/>
                <w:sz w:val="20"/>
                <w:szCs w:val="20"/>
              </w:rPr>
            </w:pPr>
            <w:r>
              <w:rPr>
                <w:rFonts w:ascii="Arial" w:hAnsi="Arial" w:cs="Arial"/>
                <w:color w:val="000000"/>
                <w:sz w:val="20"/>
                <w:szCs w:val="20"/>
              </w:rPr>
              <w:t>IMMUNE PLASMA</w:t>
            </w:r>
          </w:p>
        </w:tc>
        <w:tc>
          <w:tcPr>
            <w:tcW w:w="792" w:type="dxa"/>
            <w:shd w:val="clear" w:color="auto" w:fill="auto"/>
            <w:vAlign w:val="bottom"/>
          </w:tcPr>
          <w:p w14:paraId="074D6902"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3FC2304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7C37A6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13C5E8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4402F3A0"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40491CC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FE1444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006013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1683F4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750E43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54F956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1C19ADEF" w14:textId="77777777" w:rsidTr="005E237B">
        <w:trPr>
          <w:cantSplit/>
          <w:trHeight w:val="432"/>
        </w:trPr>
        <w:tc>
          <w:tcPr>
            <w:tcW w:w="1615" w:type="dxa"/>
            <w:vAlign w:val="center"/>
          </w:tcPr>
          <w:p w14:paraId="4339D2D2" w14:textId="77777777" w:rsidR="005E237B" w:rsidRPr="00415B99" w:rsidRDefault="005E237B" w:rsidP="005E237B">
            <w:pPr>
              <w:rPr>
                <w:rFonts w:ascii="Arial" w:hAnsi="Arial" w:cs="Arial"/>
                <w:sz w:val="20"/>
                <w:szCs w:val="20"/>
              </w:rPr>
            </w:pPr>
            <w:r>
              <w:rPr>
                <w:rFonts w:ascii="Arial" w:hAnsi="Arial" w:cs="Arial"/>
                <w:color w:val="000000"/>
                <w:sz w:val="20"/>
                <w:szCs w:val="20"/>
              </w:rPr>
              <w:t>Apheresis IMMUNE PLASMA</w:t>
            </w:r>
          </w:p>
        </w:tc>
        <w:tc>
          <w:tcPr>
            <w:tcW w:w="792" w:type="dxa"/>
            <w:shd w:val="clear" w:color="auto" w:fill="auto"/>
            <w:vAlign w:val="bottom"/>
          </w:tcPr>
          <w:p w14:paraId="1C59ACEA"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374B52B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FB0274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3E03DA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4CAA7F4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43E2469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ABB3A1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BAF79E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5E3DFE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211134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41D88E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21B77C41" w14:textId="77777777" w:rsidTr="005E237B">
        <w:trPr>
          <w:cantSplit/>
          <w:trHeight w:val="432"/>
        </w:trPr>
        <w:tc>
          <w:tcPr>
            <w:tcW w:w="1615" w:type="dxa"/>
            <w:vAlign w:val="center"/>
          </w:tcPr>
          <w:p w14:paraId="20325D27" w14:textId="77777777" w:rsidR="005E237B" w:rsidRPr="00415B99" w:rsidRDefault="005E237B" w:rsidP="005E237B">
            <w:pPr>
              <w:rPr>
                <w:rFonts w:ascii="Arial" w:hAnsi="Arial" w:cs="Arial"/>
                <w:sz w:val="20"/>
                <w:szCs w:val="20"/>
              </w:rPr>
            </w:pPr>
            <w:r>
              <w:rPr>
                <w:rFonts w:ascii="Arial" w:hAnsi="Arial" w:cs="Arial"/>
                <w:color w:val="000000"/>
                <w:sz w:val="20"/>
                <w:szCs w:val="20"/>
              </w:rPr>
              <w:t>Apheresis CONVALESCENT PLASMA</w:t>
            </w:r>
          </w:p>
        </w:tc>
        <w:tc>
          <w:tcPr>
            <w:tcW w:w="792" w:type="dxa"/>
            <w:shd w:val="clear" w:color="auto" w:fill="auto"/>
            <w:vAlign w:val="bottom"/>
          </w:tcPr>
          <w:p w14:paraId="472C64E7"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0D27D38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BEB95B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7DAC6D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0F0A5B7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1B64347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E3D3DE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E7B9E4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773026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22FD44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FEF7DB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198AC5EF" w14:textId="77777777" w:rsidTr="005E237B">
        <w:trPr>
          <w:cantSplit/>
          <w:trHeight w:val="432"/>
        </w:trPr>
        <w:tc>
          <w:tcPr>
            <w:tcW w:w="1615" w:type="dxa"/>
            <w:vAlign w:val="center"/>
          </w:tcPr>
          <w:p w14:paraId="172683D6" w14:textId="77777777" w:rsidR="005E237B" w:rsidRPr="00415B99" w:rsidRDefault="005E237B" w:rsidP="005E237B">
            <w:pPr>
              <w:rPr>
                <w:rFonts w:ascii="Arial" w:hAnsi="Arial" w:cs="Arial"/>
                <w:sz w:val="20"/>
                <w:szCs w:val="20"/>
              </w:rPr>
            </w:pPr>
            <w:r>
              <w:rPr>
                <w:rFonts w:ascii="Arial" w:hAnsi="Arial" w:cs="Arial"/>
                <w:color w:val="000000"/>
                <w:sz w:val="20"/>
                <w:szCs w:val="20"/>
              </w:rPr>
              <w:t>Reconstituted POOLED FRESH FROZEN PLASMA</w:t>
            </w:r>
          </w:p>
        </w:tc>
        <w:tc>
          <w:tcPr>
            <w:tcW w:w="792" w:type="dxa"/>
            <w:shd w:val="clear" w:color="auto" w:fill="auto"/>
            <w:vAlign w:val="bottom"/>
          </w:tcPr>
          <w:p w14:paraId="3B9C6163"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clear" w:color="auto" w:fill="auto"/>
            <w:vAlign w:val="bottom"/>
          </w:tcPr>
          <w:p w14:paraId="7950F917"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270D74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E0066D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6075EC9E"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2703512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54DF4C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AB4506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27E798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908392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B849D1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0CDAEB66" w14:textId="77777777" w:rsidTr="005E237B">
        <w:trPr>
          <w:cantSplit/>
          <w:trHeight w:val="432"/>
        </w:trPr>
        <w:tc>
          <w:tcPr>
            <w:tcW w:w="1615" w:type="dxa"/>
            <w:vAlign w:val="center"/>
          </w:tcPr>
          <w:p w14:paraId="7BD8281B" w14:textId="77777777" w:rsidR="005E237B" w:rsidRPr="00415B99" w:rsidRDefault="005E237B" w:rsidP="005E237B">
            <w:pPr>
              <w:rPr>
                <w:rFonts w:ascii="Arial" w:hAnsi="Arial" w:cs="Arial"/>
                <w:sz w:val="20"/>
                <w:szCs w:val="20"/>
              </w:rPr>
            </w:pPr>
            <w:r>
              <w:rPr>
                <w:rFonts w:ascii="Arial" w:hAnsi="Arial" w:cs="Arial"/>
                <w:color w:val="000000"/>
                <w:sz w:val="20"/>
                <w:szCs w:val="20"/>
              </w:rPr>
              <w:t>Frozen PLATELET LYSATE</w:t>
            </w:r>
          </w:p>
        </w:tc>
        <w:tc>
          <w:tcPr>
            <w:tcW w:w="792" w:type="dxa"/>
            <w:tcBorders>
              <w:bottom w:val="single" w:sz="4" w:space="0" w:color="auto"/>
            </w:tcBorders>
            <w:shd w:val="pct25" w:color="auto" w:fill="auto"/>
            <w:vAlign w:val="center"/>
          </w:tcPr>
          <w:p w14:paraId="2E877C2F" w14:textId="77777777" w:rsidR="005E237B" w:rsidRPr="00720B53" w:rsidRDefault="005E237B" w:rsidP="005E237B">
            <w:pPr>
              <w:jc w:val="center"/>
              <w:rPr>
                <w:rFonts w:ascii="Arial" w:hAnsi="Arial" w:cs="Arial"/>
                <w:sz w:val="28"/>
                <w:szCs w:val="28"/>
              </w:rPr>
            </w:pPr>
            <w:r>
              <w:rPr>
                <w:rFonts w:ascii="Arial" w:hAnsi="Arial" w:cs="Arial"/>
                <w:b/>
                <w:bCs/>
                <w:color w:val="000000"/>
                <w:sz w:val="28"/>
                <w:szCs w:val="28"/>
              </w:rPr>
              <w:t> </w:t>
            </w:r>
          </w:p>
        </w:tc>
        <w:tc>
          <w:tcPr>
            <w:tcW w:w="792" w:type="dxa"/>
            <w:shd w:val="pct25" w:color="auto" w:fill="auto"/>
            <w:vAlign w:val="center"/>
          </w:tcPr>
          <w:p w14:paraId="1EB3F1F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85650D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269411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pct25" w:color="auto" w:fill="auto"/>
            <w:vAlign w:val="center"/>
          </w:tcPr>
          <w:p w14:paraId="3AF2231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pct25" w:color="auto" w:fill="auto"/>
            <w:vAlign w:val="center"/>
          </w:tcPr>
          <w:p w14:paraId="7638CAC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BC7E83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F24818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68A52D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398D56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9408FD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7510563E" w14:textId="77777777" w:rsidTr="005E237B">
        <w:trPr>
          <w:cantSplit/>
          <w:trHeight w:val="432"/>
        </w:trPr>
        <w:tc>
          <w:tcPr>
            <w:tcW w:w="1615" w:type="dxa"/>
            <w:vAlign w:val="center"/>
          </w:tcPr>
          <w:p w14:paraId="458555B0" w14:textId="77777777" w:rsidR="005E237B" w:rsidRPr="00415B99" w:rsidRDefault="005E237B" w:rsidP="005E237B">
            <w:pPr>
              <w:rPr>
                <w:rFonts w:ascii="Arial" w:hAnsi="Arial" w:cs="Arial"/>
                <w:sz w:val="20"/>
                <w:szCs w:val="20"/>
              </w:rPr>
            </w:pPr>
            <w:r>
              <w:rPr>
                <w:rFonts w:ascii="Arial" w:hAnsi="Arial" w:cs="Arial"/>
                <w:color w:val="000000"/>
                <w:sz w:val="20"/>
                <w:szCs w:val="20"/>
              </w:rPr>
              <w:t>Lyophilized Apheresis POOLED FRESH FROZEN PLASMA</w:t>
            </w:r>
          </w:p>
        </w:tc>
        <w:tc>
          <w:tcPr>
            <w:tcW w:w="792" w:type="dxa"/>
            <w:shd w:val="clear" w:color="auto" w:fill="auto"/>
            <w:vAlign w:val="bottom"/>
          </w:tcPr>
          <w:p w14:paraId="27350C2B"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39208F2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121D57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A0621F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58512F35"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3D8CEC7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258F78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A1E10B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E74790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552CF24"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4E15F4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4227EC32" w14:textId="77777777" w:rsidTr="005E237B">
        <w:trPr>
          <w:cantSplit/>
          <w:trHeight w:val="432"/>
        </w:trPr>
        <w:tc>
          <w:tcPr>
            <w:tcW w:w="1615" w:type="dxa"/>
            <w:vAlign w:val="center"/>
          </w:tcPr>
          <w:p w14:paraId="0EC97E9D" w14:textId="77777777" w:rsidR="005E237B" w:rsidRPr="00415B99" w:rsidRDefault="005E237B" w:rsidP="005E237B">
            <w:pPr>
              <w:rPr>
                <w:rFonts w:ascii="Arial" w:hAnsi="Arial" w:cs="Arial"/>
                <w:sz w:val="20"/>
                <w:szCs w:val="20"/>
              </w:rPr>
            </w:pPr>
            <w:r>
              <w:rPr>
                <w:rFonts w:ascii="Arial" w:hAnsi="Arial" w:cs="Arial"/>
                <w:color w:val="000000"/>
                <w:sz w:val="20"/>
                <w:szCs w:val="20"/>
              </w:rPr>
              <w:t>SOLVENT DETERGENT POOLED PLASMA</w:t>
            </w:r>
          </w:p>
        </w:tc>
        <w:tc>
          <w:tcPr>
            <w:tcW w:w="792" w:type="dxa"/>
            <w:shd w:val="clear" w:color="auto" w:fill="auto"/>
            <w:vAlign w:val="bottom"/>
          </w:tcPr>
          <w:p w14:paraId="630B0AB3"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clear" w:color="auto" w:fill="auto"/>
            <w:vAlign w:val="bottom"/>
          </w:tcPr>
          <w:p w14:paraId="39A661AD"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clear" w:color="auto" w:fill="C0C0C0"/>
            <w:vAlign w:val="center"/>
          </w:tcPr>
          <w:p w14:paraId="3EFDEBDC"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E4E31B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08D6D8D6"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35492D8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3659A0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BD382B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C49B35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270FD5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3B5025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1F3F5ACB" w14:textId="77777777" w:rsidTr="005E237B">
        <w:trPr>
          <w:cantSplit/>
          <w:trHeight w:val="432"/>
        </w:trPr>
        <w:tc>
          <w:tcPr>
            <w:tcW w:w="1615" w:type="dxa"/>
            <w:vAlign w:val="center"/>
          </w:tcPr>
          <w:p w14:paraId="109D082B" w14:textId="77777777" w:rsidR="005E237B" w:rsidRPr="00415B99" w:rsidRDefault="005E237B" w:rsidP="005E237B">
            <w:pPr>
              <w:rPr>
                <w:rFonts w:ascii="Arial" w:hAnsi="Arial" w:cs="Arial"/>
                <w:sz w:val="20"/>
                <w:szCs w:val="20"/>
              </w:rPr>
            </w:pPr>
            <w:r>
              <w:rPr>
                <w:rFonts w:ascii="Arial" w:hAnsi="Arial" w:cs="Arial"/>
                <w:color w:val="000000"/>
                <w:sz w:val="20"/>
                <w:szCs w:val="20"/>
              </w:rPr>
              <w:lastRenderedPageBreak/>
              <w:t>Thawed SOLVENT DETERGENT POOLED PLASMA</w:t>
            </w:r>
          </w:p>
        </w:tc>
        <w:tc>
          <w:tcPr>
            <w:tcW w:w="792" w:type="dxa"/>
            <w:shd w:val="clear" w:color="auto" w:fill="auto"/>
            <w:vAlign w:val="bottom"/>
          </w:tcPr>
          <w:p w14:paraId="734F1077"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3B37A3E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098E7A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4FBFE1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324F549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286D842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C733E0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C1E9FE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DE93E33"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804303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3B9F02A"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321FD7A4" w14:textId="77777777" w:rsidTr="005E237B">
        <w:trPr>
          <w:cantSplit/>
          <w:trHeight w:val="432"/>
        </w:trPr>
        <w:tc>
          <w:tcPr>
            <w:tcW w:w="1615" w:type="dxa"/>
            <w:vAlign w:val="center"/>
          </w:tcPr>
          <w:p w14:paraId="5C8AE7EC" w14:textId="77777777" w:rsidR="005E237B" w:rsidRPr="00415B99" w:rsidRDefault="005E237B" w:rsidP="005E237B">
            <w:pPr>
              <w:rPr>
                <w:rFonts w:ascii="Arial" w:hAnsi="Arial" w:cs="Arial"/>
                <w:sz w:val="20"/>
                <w:szCs w:val="20"/>
              </w:rPr>
            </w:pPr>
            <w:r>
              <w:rPr>
                <w:rFonts w:ascii="Arial" w:hAnsi="Arial" w:cs="Arial"/>
                <w:color w:val="000000"/>
                <w:sz w:val="20"/>
                <w:szCs w:val="20"/>
              </w:rPr>
              <w:t>RADIOLABELED DIAGNOSTICS, LEUKOCYTES</w:t>
            </w:r>
          </w:p>
        </w:tc>
        <w:tc>
          <w:tcPr>
            <w:tcW w:w="792" w:type="dxa"/>
            <w:shd w:val="clear" w:color="auto" w:fill="auto"/>
            <w:vAlign w:val="bottom"/>
          </w:tcPr>
          <w:p w14:paraId="57F04231"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37283C8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1DA5C72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BD5F60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5A4CB36D"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4B8C35B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CF479A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29EBD7E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7C6A9C2"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B6B6671"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245FDA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030BCF3C" w14:textId="77777777" w:rsidTr="005E237B">
        <w:trPr>
          <w:cantSplit/>
          <w:trHeight w:val="432"/>
        </w:trPr>
        <w:tc>
          <w:tcPr>
            <w:tcW w:w="1615" w:type="dxa"/>
            <w:vAlign w:val="center"/>
          </w:tcPr>
          <w:p w14:paraId="0AA0735E" w14:textId="77777777" w:rsidR="005E237B" w:rsidRPr="000C2353" w:rsidRDefault="005E237B" w:rsidP="005E237B">
            <w:pPr>
              <w:rPr>
                <w:rFonts w:ascii="Arial" w:hAnsi="Arial" w:cs="Arial"/>
                <w:sz w:val="20"/>
                <w:szCs w:val="20"/>
              </w:rPr>
            </w:pPr>
            <w:r>
              <w:rPr>
                <w:rFonts w:ascii="Arial" w:hAnsi="Arial" w:cs="Arial"/>
                <w:color w:val="000000"/>
                <w:sz w:val="20"/>
                <w:szCs w:val="20"/>
              </w:rPr>
              <w:t>RADIOLABELED DIAGNOSTICS, PLATELETS</w:t>
            </w:r>
          </w:p>
        </w:tc>
        <w:tc>
          <w:tcPr>
            <w:tcW w:w="792" w:type="dxa"/>
            <w:shd w:val="clear" w:color="auto" w:fill="auto"/>
            <w:vAlign w:val="bottom"/>
          </w:tcPr>
          <w:p w14:paraId="487686E2"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06216C9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B5074B6"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89A545D"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03A3635B"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2E275F4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77F93C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4559A8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316075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0F241D0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77949A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r w:rsidR="005E237B" w:rsidRPr="004F2C12" w14:paraId="031FA3E5" w14:textId="77777777" w:rsidTr="005E237B">
        <w:trPr>
          <w:cantSplit/>
          <w:trHeight w:val="432"/>
        </w:trPr>
        <w:tc>
          <w:tcPr>
            <w:tcW w:w="1615" w:type="dxa"/>
            <w:vAlign w:val="center"/>
          </w:tcPr>
          <w:p w14:paraId="7719E791" w14:textId="77777777" w:rsidR="005E237B" w:rsidRPr="000C2353" w:rsidRDefault="005E237B" w:rsidP="005E237B">
            <w:pPr>
              <w:rPr>
                <w:rFonts w:ascii="Arial" w:hAnsi="Arial" w:cs="Arial"/>
                <w:sz w:val="20"/>
                <w:szCs w:val="20"/>
              </w:rPr>
            </w:pPr>
            <w:r>
              <w:rPr>
                <w:rFonts w:ascii="Arial" w:hAnsi="Arial" w:cs="Arial"/>
                <w:color w:val="000000"/>
                <w:sz w:val="20"/>
                <w:szCs w:val="20"/>
              </w:rPr>
              <w:t>RADIOLABELED DIAGNOSTICS, RBC</w:t>
            </w:r>
          </w:p>
        </w:tc>
        <w:tc>
          <w:tcPr>
            <w:tcW w:w="792" w:type="dxa"/>
            <w:shd w:val="clear" w:color="auto" w:fill="auto"/>
            <w:vAlign w:val="bottom"/>
          </w:tcPr>
          <w:p w14:paraId="37D59D6A" w14:textId="77777777" w:rsidR="005E237B" w:rsidRPr="00720B53" w:rsidRDefault="005E237B" w:rsidP="005E237B">
            <w:pPr>
              <w:jc w:val="center"/>
              <w:rPr>
                <w:rFonts w:ascii="Arial" w:hAnsi="Arial" w:cs="Arial"/>
                <w:sz w:val="28"/>
                <w:szCs w:val="28"/>
              </w:rPr>
            </w:pPr>
            <w:r>
              <w:rPr>
                <w:rFonts w:ascii="Arial" w:hAnsi="Arial" w:cs="Arial"/>
                <w:b/>
                <w:bCs/>
                <w:sz w:val="28"/>
                <w:szCs w:val="28"/>
              </w:rPr>
              <w:t>X</w:t>
            </w:r>
          </w:p>
        </w:tc>
        <w:tc>
          <w:tcPr>
            <w:tcW w:w="792" w:type="dxa"/>
            <w:shd w:val="pct25" w:color="auto" w:fill="auto"/>
            <w:vAlign w:val="center"/>
          </w:tcPr>
          <w:p w14:paraId="1904C01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64A820E"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536C4068"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auto"/>
            <w:vAlign w:val="bottom"/>
          </w:tcPr>
          <w:p w14:paraId="7AEFB024" w14:textId="77777777" w:rsidR="005E237B" w:rsidRPr="004F2C12" w:rsidRDefault="005E237B" w:rsidP="005E237B">
            <w:pPr>
              <w:jc w:val="center"/>
              <w:rPr>
                <w:rFonts w:ascii="Arial" w:hAnsi="Arial" w:cs="Arial"/>
                <w:b/>
                <w:sz w:val="28"/>
                <w:szCs w:val="28"/>
              </w:rPr>
            </w:pPr>
            <w:r>
              <w:rPr>
                <w:rFonts w:ascii="Arial" w:hAnsi="Arial" w:cs="Arial"/>
                <w:b/>
                <w:bCs/>
                <w:sz w:val="28"/>
                <w:szCs w:val="28"/>
              </w:rPr>
              <w:t>X</w:t>
            </w:r>
          </w:p>
        </w:tc>
        <w:tc>
          <w:tcPr>
            <w:tcW w:w="792" w:type="dxa"/>
            <w:shd w:val="pct25" w:color="auto" w:fill="auto"/>
            <w:vAlign w:val="center"/>
          </w:tcPr>
          <w:p w14:paraId="58455787"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773BB905"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4935F2FF"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35B7F5FB"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shd w:val="clear" w:color="auto" w:fill="C0C0C0"/>
            <w:vAlign w:val="center"/>
          </w:tcPr>
          <w:p w14:paraId="6D6473C0"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c>
          <w:tcPr>
            <w:tcW w:w="792" w:type="dxa"/>
            <w:tcBorders>
              <w:bottom w:val="single" w:sz="4" w:space="0" w:color="auto"/>
            </w:tcBorders>
            <w:shd w:val="clear" w:color="auto" w:fill="C0C0C0"/>
            <w:vAlign w:val="center"/>
          </w:tcPr>
          <w:p w14:paraId="41B97739" w14:textId="77777777" w:rsidR="005E237B" w:rsidRPr="004F2C12" w:rsidRDefault="005E237B" w:rsidP="005E237B">
            <w:pPr>
              <w:jc w:val="center"/>
              <w:rPr>
                <w:rFonts w:ascii="Arial" w:hAnsi="Arial" w:cs="Arial"/>
                <w:b/>
                <w:sz w:val="28"/>
                <w:szCs w:val="28"/>
              </w:rPr>
            </w:pPr>
            <w:r>
              <w:rPr>
                <w:rFonts w:ascii="Arial" w:hAnsi="Arial" w:cs="Arial"/>
                <w:b/>
                <w:bCs/>
                <w:color w:val="000000"/>
                <w:sz w:val="28"/>
                <w:szCs w:val="28"/>
              </w:rPr>
              <w:t> </w:t>
            </w:r>
          </w:p>
        </w:tc>
      </w:tr>
    </w:tbl>
    <w:p w14:paraId="64BB2D03" w14:textId="4CD507D0" w:rsidR="002A21AE" w:rsidRDefault="002A21AE" w:rsidP="00922B68">
      <w:pPr>
        <w:pStyle w:val="BodyText"/>
      </w:pPr>
      <w:r>
        <w:t>*</w:t>
      </w:r>
      <w:r w:rsidR="00197566">
        <w:t>*</w:t>
      </w:r>
      <w:r>
        <w:t>This product type has no ICCBBA assigned product codes.</w:t>
      </w:r>
    </w:p>
    <w:p w14:paraId="7BBAC086" w14:textId="77777777" w:rsidR="00CA3E27" w:rsidRDefault="00CA3E27">
      <w:bookmarkStart w:id="770" w:name="_Toc40061745"/>
      <w:bookmarkStart w:id="771" w:name="_Toc91323752"/>
      <w:bookmarkEnd w:id="715"/>
    </w:p>
    <w:p w14:paraId="4678DF39" w14:textId="77777777" w:rsidR="002A21AE" w:rsidRPr="00D327A3" w:rsidRDefault="002A21AE" w:rsidP="00D327A3">
      <w:pPr>
        <w:pStyle w:val="Heading3"/>
      </w:pPr>
      <w:bookmarkStart w:id="772" w:name="_Toc91323817"/>
      <w:r w:rsidRPr="00D327A3">
        <w:rPr>
          <w:rFonts w:ascii="Arial Bold" w:hAnsi="Arial Bold"/>
          <w:vanish/>
        </w:rPr>
        <w:lastRenderedPageBreak/>
        <w:t xml:space="preserve">TT_92.01 </w:t>
      </w:r>
      <w:bookmarkStart w:id="773" w:name="_Toc47516816"/>
      <w:r w:rsidRPr="00D327A3">
        <w:t>Order Status Flowchart</w:t>
      </w:r>
      <w:bookmarkEnd w:id="772"/>
      <w:bookmarkEnd w:id="773"/>
      <w:r w:rsidRPr="00D327A3">
        <w:fldChar w:fldCharType="begin"/>
      </w:r>
      <w:r w:rsidRPr="00D327A3">
        <w:instrText xml:space="preserve"> XE </w:instrText>
      </w:r>
      <w:r w:rsidR="00FA7E65" w:rsidRPr="00D327A3">
        <w:instrText>“</w:instrText>
      </w:r>
      <w:r w:rsidRPr="00D327A3">
        <w:instrText>Figures:Order Status Flowchart</w:instrText>
      </w:r>
      <w:r w:rsidR="00FA7E65" w:rsidRPr="00D327A3">
        <w:instrText>”</w:instrText>
      </w:r>
      <w:r w:rsidRPr="00D327A3">
        <w:instrText xml:space="preserve"> </w:instrText>
      </w:r>
      <w:r w:rsidRPr="00D327A3">
        <w:fldChar w:fldCharType="end"/>
      </w:r>
    </w:p>
    <w:p w14:paraId="26186201" w14:textId="02DE827D" w:rsidR="002A21AE" w:rsidRDefault="002A21AE">
      <w:pPr>
        <w:pStyle w:val="Caption"/>
      </w:pPr>
      <w:bookmarkStart w:id="774" w:name="_Ref126728889"/>
      <w:bookmarkStart w:id="775" w:name="_Toc97523642"/>
      <w:bookmarkStart w:id="776" w:name="_Toc97527612"/>
      <w:bookmarkStart w:id="777" w:name="_Ref126729528"/>
      <w:bookmarkStart w:id="778" w:name="_Ref126729659"/>
      <w:bookmarkStart w:id="779" w:name="_Ref126729757"/>
      <w:bookmarkStart w:id="780" w:name="_Ref126729901"/>
      <w:bookmarkStart w:id="781" w:name="_Ref127061358"/>
      <w:bookmarkStart w:id="782" w:name="_Ref12706136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148</w:t>
      </w:r>
      <w:r w:rsidR="004E20BD">
        <w:rPr>
          <w:noProof/>
        </w:rPr>
        <w:fldChar w:fldCharType="end"/>
      </w:r>
      <w:bookmarkEnd w:id="774"/>
      <w:r>
        <w:t xml:space="preserve">: </w:t>
      </w:r>
      <w:r>
        <w:rPr>
          <w:vanish/>
        </w:rPr>
        <w:t xml:space="preserve">TT_92.01 </w:t>
      </w:r>
      <w:r>
        <w:rPr>
          <w:rStyle w:val="Heading3Char"/>
          <w:rFonts w:ascii="Times New Roman" w:hAnsi="Times New Roman" w:cs="Times New Roman"/>
          <w:bCs w:val="0"/>
          <w:sz w:val="22"/>
        </w:rPr>
        <w:t>Order</w:t>
      </w:r>
      <w:r>
        <w:t xml:space="preserve"> Status Flowchart</w:t>
      </w:r>
      <w:bookmarkEnd w:id="775"/>
      <w:bookmarkEnd w:id="776"/>
      <w:bookmarkEnd w:id="777"/>
      <w:bookmarkEnd w:id="778"/>
      <w:bookmarkEnd w:id="779"/>
      <w:bookmarkEnd w:id="780"/>
      <w:bookmarkEnd w:id="781"/>
      <w:bookmarkEnd w:id="782"/>
    </w:p>
    <w:p w14:paraId="1074811B" w14:textId="20BD91B9" w:rsidR="009C72EC" w:rsidRDefault="00F322E7" w:rsidP="004D2640">
      <w:pPr>
        <w:pStyle w:val="BodyText"/>
        <w:jc w:val="center"/>
      </w:pPr>
      <w:r>
        <w:object w:dxaOrig="9770" w:dyaOrig="16915" w14:anchorId="7272D2D2">
          <v:shape id="_x0000_i1033" type="#_x0000_t75" alt="flow chart" style="width:365.75pt;height:552.4pt" o:ole="">
            <v:imagedata r:id="rId240" o:title=""/>
          </v:shape>
          <o:OLEObject Type="Embed" ProgID="Visio.Drawing.11" ShapeID="_x0000_i1033" DrawAspect="Content" ObjectID="_1693299370" r:id="rId241"/>
        </w:object>
      </w:r>
    </w:p>
    <w:p w14:paraId="608999E3" w14:textId="7FE4FF52" w:rsidR="002A21AE" w:rsidRDefault="002A21AE" w:rsidP="009C72EC">
      <w:pPr>
        <w:pStyle w:val="Heading3"/>
      </w:pPr>
      <w:r>
        <w:rPr>
          <w:rFonts w:ascii="Geneva" w:hAnsi="Geneva"/>
          <w:vanish/>
        </w:rPr>
        <w:lastRenderedPageBreak/>
        <w:t xml:space="preserve">TT_3.05 </w:t>
      </w:r>
      <w:bookmarkStart w:id="783" w:name="_Toc47516817"/>
      <w:r>
        <w:t>Rules for</w:t>
      </w:r>
      <w:bookmarkEnd w:id="770"/>
      <w:r>
        <w:t xml:space="preserve"> Electronic and Serologic</w:t>
      </w:r>
      <w:bookmarkEnd w:id="771"/>
      <w:r>
        <w:t xml:space="preserve"> Crossmatch</w:t>
      </w:r>
      <w:bookmarkEnd w:id="783"/>
      <w:r>
        <w:fldChar w:fldCharType="begin"/>
      </w:r>
      <w:r>
        <w:instrText xml:space="preserve"> XE </w:instrText>
      </w:r>
      <w:r w:rsidR="00FA7E65">
        <w:instrText>“</w:instrText>
      </w:r>
      <w:r>
        <w:instrText>Tables:Rules for Electronic and Serologic Crossmatch</w:instrText>
      </w:r>
      <w:r w:rsidR="00FA7E65">
        <w:instrText>”</w:instrText>
      </w:r>
      <w:r>
        <w:instrText xml:space="preserve"> </w:instrText>
      </w:r>
      <w:r>
        <w:fldChar w:fldCharType="end"/>
      </w:r>
    </w:p>
    <w:p w14:paraId="19E17255" w14:textId="77777777" w:rsidR="007A1C09" w:rsidRDefault="007A1C09" w:rsidP="00FA7E65">
      <w:pPr>
        <w:pStyle w:val="BodyText"/>
      </w:pPr>
      <w:r>
        <w:t xml:space="preserve">Component Classes with greater than (&gt;) 2 mL RBC contamination require crossmatch evaluation, serologic or electronic (when enabled).  For component classes in the component class “OTHER”, a reflex crossmatch test has been ordered per the technologist’s evaluation of the </w:t>
      </w:r>
      <w:r w:rsidR="00F22231">
        <w:t>unit itself. E</w:t>
      </w:r>
      <w:r>
        <w:t xml:space="preserve">ach collection is different and the tech must evaluate the red blood cell content of the unit at the time of selection. </w:t>
      </w:r>
    </w:p>
    <w:p w14:paraId="78EBEAB0" w14:textId="7DCCFF60" w:rsidR="00F22231" w:rsidRDefault="001A53C8" w:rsidP="00FA7E65">
      <w:pPr>
        <w:pStyle w:val="BodyText"/>
      </w:pPr>
      <w:r>
        <w:t>When electronic crossmatch is enabled at a division and units that require crossmatch (Component Classes “WHOLE BLOOD”, “RED BLOOD CELLS”, or a reflex crossmatch test has been ordered) are selected, VBECS performs a comprehensive set of data validation, which does not include inactivated patient or units tests. This patient and unit data validation is to ensure that the combination of patient and blood unit testing allows the unit to be eligible for electronic crossmatch. To assist the user, when the combination does not allow for electronic crossmatch</w:t>
      </w:r>
      <w:r w:rsidR="00F22231">
        <w:t>, a warning message is displayed with a short explanation as to why the electronic crossmatch will not be applied.</w:t>
      </w:r>
    </w:p>
    <w:p w14:paraId="0D974A8A" w14:textId="20890E5E" w:rsidR="002A21AE" w:rsidRDefault="00440DF9" w:rsidP="00FA7E65">
      <w:pPr>
        <w:pStyle w:val="BodyText"/>
      </w:pPr>
      <w:r>
        <w:fldChar w:fldCharType="begin"/>
      </w:r>
      <w:r>
        <w:instrText xml:space="preserve"> REF _Ref317682164 \h </w:instrText>
      </w:r>
      <w:r>
        <w:fldChar w:fldCharType="separate"/>
      </w:r>
      <w:r w:rsidR="004353ED">
        <w:t xml:space="preserve">Table </w:t>
      </w:r>
      <w:r w:rsidR="004353ED">
        <w:rPr>
          <w:noProof/>
        </w:rPr>
        <w:t>23</w:t>
      </w:r>
      <w:r>
        <w:fldChar w:fldCharType="end"/>
      </w:r>
      <w:r>
        <w:t xml:space="preserve"> </w:t>
      </w:r>
      <w:r w:rsidR="002A21AE">
        <w:t xml:space="preserve">provides the mapping for the actual parameters verified and associated error messages. All parameters must comply in order for the unit to be eligible for electronic crossmatch: there are no exceptions or overrides. The parameters are checked in the order listed and once a parameter fails, VBECS displays the appropriate error message, no further checking occurs, and the selected unit must have serologic crossmatch performed. </w:t>
      </w:r>
      <w:r w:rsidR="00203682">
        <w:t>(</w:t>
      </w:r>
      <w:r w:rsidR="00CA745C">
        <w:t>See FAQ VBECS Computer Crossmatch Decision Tree for additional information.</w:t>
      </w:r>
      <w:r w:rsidR="00203682">
        <w:t>)</w:t>
      </w:r>
    </w:p>
    <w:p w14:paraId="0013597E" w14:textId="77777777" w:rsidR="00D96746" w:rsidRDefault="00057948" w:rsidP="00D96746">
      <w:pPr>
        <w:pStyle w:val="Caution"/>
      </w:pPr>
      <w:r>
        <w:rPr>
          <w:noProof/>
        </w:rPr>
        <w:drawing>
          <wp:inline distT="0" distB="0" distL="0" distR="0" wp14:anchorId="3A0EAF9C" wp14:editId="238C2A52">
            <wp:extent cx="267970" cy="221615"/>
            <wp:effectExtent l="0" t="0" r="0" b="6985"/>
            <wp:docPr id="268" name="Picture 2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5B60F7">
        <w:t xml:space="preserve"> </w:t>
      </w:r>
      <w:r w:rsidR="00D96746">
        <w:t xml:space="preserve">To use </w:t>
      </w:r>
      <w:r w:rsidR="007743E5">
        <w:t xml:space="preserve">the </w:t>
      </w:r>
      <w:r w:rsidR="00D96746">
        <w:t>electronic crossmatch</w:t>
      </w:r>
      <w:r w:rsidR="007743E5">
        <w:t xml:space="preserve"> function</w:t>
      </w:r>
      <w:r w:rsidR="00D96746">
        <w:t>, sites must perform a</w:t>
      </w:r>
      <w:r w:rsidR="00413CBC">
        <w:t>dditional</w:t>
      </w:r>
      <w:r w:rsidR="00D96746">
        <w:t xml:space="preserve"> validation of </w:t>
      </w:r>
      <w:r w:rsidR="00413CBC">
        <w:t>electronic crossmatch to meet regulatory requirements</w:t>
      </w:r>
      <w:r w:rsidR="00D96746">
        <w:t>.</w:t>
      </w:r>
      <w:r w:rsidR="00214959">
        <w:t xml:space="preserve"> See </w:t>
      </w:r>
      <w:r w:rsidR="00214959" w:rsidRPr="001A6C60">
        <w:t>Guidelines for Implementing the Electronic Crossmatch</w:t>
      </w:r>
      <w:r w:rsidR="00214959" w:rsidRPr="0026301E">
        <w:t xml:space="preserve"> (Bethesda, MD: American Association of Blood Banks, 200</w:t>
      </w:r>
      <w:r w:rsidR="00214959">
        <w:t>3</w:t>
      </w:r>
      <w:r w:rsidR="00214959" w:rsidRPr="0026301E">
        <w:t>).</w:t>
      </w:r>
    </w:p>
    <w:p w14:paraId="015CE396" w14:textId="2BEDFB5A" w:rsidR="002A21AE" w:rsidRDefault="002A21AE">
      <w:pPr>
        <w:pStyle w:val="Caption"/>
      </w:pPr>
      <w:bookmarkStart w:id="784" w:name="_Ref126732439"/>
      <w:bookmarkStart w:id="785" w:name="_Ref317682164"/>
      <w:bookmarkStart w:id="786" w:name="_Toc97523643"/>
      <w:bookmarkStart w:id="787" w:name="_Toc97527613"/>
      <w:bookmarkStart w:id="788" w:name="_Ref126486028"/>
      <w:bookmarkStart w:id="789" w:name="_Ref126486167"/>
      <w:bookmarkStart w:id="790" w:name="_Ref126486265"/>
      <w:bookmarkStart w:id="791" w:name="_Ref126504234"/>
      <w:bookmarkStart w:id="792" w:name="_Ref126504434"/>
      <w:bookmarkStart w:id="793" w:name="_Ref317762597"/>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23</w:t>
      </w:r>
      <w:r w:rsidR="004E20BD">
        <w:rPr>
          <w:noProof/>
        </w:rPr>
        <w:fldChar w:fldCharType="end"/>
      </w:r>
      <w:bookmarkEnd w:id="784"/>
      <w:bookmarkEnd w:id="785"/>
      <w:r>
        <w:t xml:space="preserve">: </w:t>
      </w:r>
      <w:r>
        <w:rPr>
          <w:vanish/>
        </w:rPr>
        <w:t xml:space="preserve">TT_3.05 </w:t>
      </w:r>
      <w:r>
        <w:t>Rules for Electronic and Serologic Crossmatch</w:t>
      </w:r>
      <w:bookmarkEnd w:id="786"/>
      <w:bookmarkEnd w:id="787"/>
      <w:bookmarkEnd w:id="788"/>
      <w:bookmarkEnd w:id="789"/>
      <w:bookmarkEnd w:id="790"/>
      <w:bookmarkEnd w:id="791"/>
      <w:bookmarkEnd w:id="792"/>
      <w:bookmarkEnd w:id="79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gridCol w:w="3600"/>
      </w:tblGrid>
      <w:tr w:rsidR="002A21AE" w14:paraId="6343C1C0" w14:textId="77777777">
        <w:trPr>
          <w:tblHeader/>
        </w:trPr>
        <w:tc>
          <w:tcPr>
            <w:tcW w:w="5760" w:type="dxa"/>
            <w:shd w:val="clear" w:color="auto" w:fill="B3B3B3"/>
          </w:tcPr>
          <w:p w14:paraId="6393966E" w14:textId="77777777" w:rsidR="002A21AE" w:rsidRDefault="002A21AE">
            <w:pPr>
              <w:pStyle w:val="TableText"/>
              <w:rPr>
                <w:b/>
              </w:rPr>
            </w:pPr>
            <w:r>
              <w:rPr>
                <w:b/>
              </w:rPr>
              <w:t>Parameter Checked</w:t>
            </w:r>
          </w:p>
        </w:tc>
        <w:tc>
          <w:tcPr>
            <w:tcW w:w="3600" w:type="dxa"/>
            <w:shd w:val="clear" w:color="auto" w:fill="B3B3B3"/>
          </w:tcPr>
          <w:p w14:paraId="2FFEF683" w14:textId="77777777" w:rsidR="002A21AE" w:rsidRDefault="002A21AE">
            <w:pPr>
              <w:pStyle w:val="TableText"/>
              <w:rPr>
                <w:b/>
              </w:rPr>
            </w:pPr>
            <w:r>
              <w:rPr>
                <w:b/>
              </w:rPr>
              <w:t>Error Message When Parameter Fails</w:t>
            </w:r>
          </w:p>
        </w:tc>
      </w:tr>
      <w:tr w:rsidR="002A21AE" w14:paraId="13D56AAD" w14:textId="77777777">
        <w:tc>
          <w:tcPr>
            <w:tcW w:w="5760" w:type="dxa"/>
          </w:tcPr>
          <w:p w14:paraId="396CCB80" w14:textId="77777777" w:rsidR="002A21AE" w:rsidRDefault="002A21AE">
            <w:pPr>
              <w:pStyle w:val="TableText"/>
            </w:pPr>
            <w:r>
              <w:t xml:space="preserve">Current specimen ABO/Rh and Antibody Screen testing must be complete. </w:t>
            </w:r>
          </w:p>
        </w:tc>
        <w:tc>
          <w:tcPr>
            <w:tcW w:w="3600" w:type="dxa"/>
          </w:tcPr>
          <w:p w14:paraId="1DC7C4CB" w14:textId="77777777" w:rsidR="002A21AE" w:rsidRDefault="002A21AE">
            <w:pPr>
              <w:pStyle w:val="TableText"/>
            </w:pPr>
            <w:r>
              <w:t>Patient not eligible for eXM. Current specimen not fully tested.</w:t>
            </w:r>
          </w:p>
        </w:tc>
      </w:tr>
      <w:tr w:rsidR="002A21AE" w14:paraId="2EA57355" w14:textId="77777777">
        <w:tc>
          <w:tcPr>
            <w:tcW w:w="5760" w:type="dxa"/>
          </w:tcPr>
          <w:p w14:paraId="7D6A3AE5" w14:textId="77777777" w:rsidR="002A21AE" w:rsidRDefault="002A21AE">
            <w:pPr>
              <w:pStyle w:val="TableText"/>
            </w:pPr>
            <w:r>
              <w:t>Current specimen Antibody Screen interpretation must be negative.</w:t>
            </w:r>
            <w:r w:rsidR="009A061C">
              <w:t xml:space="preserve"> VBECS checks only the last Antibody Screen entered.</w:t>
            </w:r>
          </w:p>
        </w:tc>
        <w:tc>
          <w:tcPr>
            <w:tcW w:w="3600" w:type="dxa"/>
          </w:tcPr>
          <w:p w14:paraId="6F627167" w14:textId="77777777" w:rsidR="002A21AE" w:rsidRDefault="002A21AE">
            <w:pPr>
              <w:pStyle w:val="TableText"/>
            </w:pPr>
            <w:r>
              <w:t>Patient not eligible for eXM due to positive Antibody Screen.</w:t>
            </w:r>
          </w:p>
        </w:tc>
      </w:tr>
      <w:tr w:rsidR="002A21AE" w14:paraId="09217375" w14:textId="77777777">
        <w:tc>
          <w:tcPr>
            <w:tcW w:w="5760" w:type="dxa"/>
          </w:tcPr>
          <w:p w14:paraId="1C46418C" w14:textId="77777777" w:rsidR="002A21AE" w:rsidRDefault="002A21AE">
            <w:pPr>
              <w:pStyle w:val="TableText"/>
            </w:pPr>
            <w:r>
              <w:t xml:space="preserve">Patient must have no history of previously identified antibodies, regardless of clinical significance based on system rules </w:t>
            </w:r>
            <w:r>
              <w:rPr>
                <w:vanish/>
                <w:szCs w:val="18"/>
              </w:rPr>
              <w:t>TT_23.01</w:t>
            </w:r>
            <w:r>
              <w:t>or division (or from conversion) of the antibody ID.</w:t>
            </w:r>
          </w:p>
        </w:tc>
        <w:tc>
          <w:tcPr>
            <w:tcW w:w="3600" w:type="dxa"/>
          </w:tcPr>
          <w:p w14:paraId="4E4D5E24" w14:textId="77777777" w:rsidR="002A21AE" w:rsidRDefault="002A21AE">
            <w:pPr>
              <w:pStyle w:val="TableText"/>
            </w:pPr>
            <w:r>
              <w:t>Patient not eligible for eXM due to previous antibody history.</w:t>
            </w:r>
          </w:p>
        </w:tc>
      </w:tr>
      <w:tr w:rsidR="002A21AE" w14:paraId="4C319387" w14:textId="77777777">
        <w:tc>
          <w:tcPr>
            <w:tcW w:w="5760" w:type="dxa"/>
          </w:tcPr>
          <w:p w14:paraId="635703F4" w14:textId="77777777" w:rsidR="002A21AE" w:rsidRDefault="002A21AE">
            <w:pPr>
              <w:pStyle w:val="TableText"/>
            </w:pPr>
            <w:r>
              <w:t>Patient cannot have a persistent antigen negative requirement regardless of the division of the requirement entry.</w:t>
            </w:r>
          </w:p>
        </w:tc>
        <w:tc>
          <w:tcPr>
            <w:tcW w:w="3600" w:type="dxa"/>
          </w:tcPr>
          <w:p w14:paraId="1C3F872D" w14:textId="77777777" w:rsidR="002A21AE" w:rsidRDefault="002A21AE">
            <w:pPr>
              <w:pStyle w:val="TableText"/>
            </w:pPr>
            <w:r>
              <w:t>Patient not eligible for eXM due to transfusion antigen negative requirement.</w:t>
            </w:r>
          </w:p>
        </w:tc>
      </w:tr>
      <w:tr w:rsidR="002A21AE" w:rsidRPr="005A7636" w14:paraId="29E57129" w14:textId="77777777">
        <w:tc>
          <w:tcPr>
            <w:tcW w:w="5760" w:type="dxa"/>
          </w:tcPr>
          <w:p w14:paraId="24F57524" w14:textId="77777777" w:rsidR="002A21AE" w:rsidRPr="005A7636" w:rsidRDefault="00B05CCE" w:rsidP="005A7636">
            <w:pPr>
              <w:pStyle w:val="TableText"/>
            </w:pPr>
            <w:r w:rsidRPr="00B05CCE">
              <w:t>The patient current ABO/Rh must match the historical record when there is a historical record, and there must be no previous justifications. An ABO/Rh marked as “entered in error” is not considered part of the patient’s record.</w:t>
            </w:r>
          </w:p>
        </w:tc>
        <w:tc>
          <w:tcPr>
            <w:tcW w:w="3600" w:type="dxa"/>
          </w:tcPr>
          <w:p w14:paraId="779BAA69" w14:textId="77777777" w:rsidR="002A21AE" w:rsidRPr="005A7636" w:rsidRDefault="002A21AE" w:rsidP="005A7636">
            <w:pPr>
              <w:pStyle w:val="TableText"/>
            </w:pPr>
            <w:r w:rsidRPr="005A7636">
              <w:t>Patient not eligible for eXM due to ABO/Rh discrepancy from previous record.</w:t>
            </w:r>
          </w:p>
        </w:tc>
      </w:tr>
      <w:tr w:rsidR="002A21AE" w14:paraId="6B88818A" w14:textId="77777777">
        <w:tc>
          <w:tcPr>
            <w:tcW w:w="5760" w:type="dxa"/>
          </w:tcPr>
          <w:p w14:paraId="623304D7" w14:textId="77777777" w:rsidR="002A21AE" w:rsidRDefault="002A21AE">
            <w:pPr>
              <w:pStyle w:val="TableText"/>
            </w:pPr>
            <w:r>
              <w:t>The patient cannot have a documented ins</w:t>
            </w:r>
            <w:r w:rsidR="004F09C6">
              <w:t>tance of current or previous</w:t>
            </w:r>
            <w:r>
              <w:t xml:space="preserve"> Inconclusive ABO/Rh typing.</w:t>
            </w:r>
          </w:p>
        </w:tc>
        <w:tc>
          <w:tcPr>
            <w:tcW w:w="3600" w:type="dxa"/>
          </w:tcPr>
          <w:p w14:paraId="5A4D88DE" w14:textId="77777777" w:rsidR="002A21AE" w:rsidRDefault="002A21AE">
            <w:pPr>
              <w:pStyle w:val="TableText"/>
            </w:pPr>
            <w:r>
              <w:t>Patient not eligible for eXM due to ABO/Rh typing difficulty.</w:t>
            </w:r>
          </w:p>
        </w:tc>
      </w:tr>
      <w:tr w:rsidR="002A21AE" w14:paraId="7443D6BB" w14:textId="77777777">
        <w:tc>
          <w:tcPr>
            <w:tcW w:w="5760" w:type="dxa"/>
          </w:tcPr>
          <w:p w14:paraId="6EDE839D" w14:textId="77777777" w:rsidR="00810934" w:rsidRPr="00810934" w:rsidRDefault="002A21AE">
            <w:pPr>
              <w:pStyle w:val="TableText"/>
              <w:rPr>
                <w:szCs w:val="18"/>
              </w:rPr>
            </w:pPr>
            <w:r>
              <w:t xml:space="preserve">There must be at least two valid instances of ABO/Rh typing performed in the same division for the patient. One instance must be a valid ABO/Rh on the current specimen and not “unknown” or “inconclusive”; the other may be from a previous typing episode or a repeat ABO/Rh performed on the current specimen. The patient ABO/Rh interpretations must match in all instances. </w:t>
            </w:r>
            <w:r w:rsidR="00810934">
              <w:rPr>
                <w:szCs w:val="18"/>
              </w:rPr>
              <w:t>The user m</w:t>
            </w:r>
            <w:r w:rsidR="00810934" w:rsidRPr="00810934">
              <w:rPr>
                <w:szCs w:val="18"/>
              </w:rPr>
              <w:t xml:space="preserve">ust enter valid forward and reverse typing </w:t>
            </w:r>
            <w:r w:rsidR="00810934">
              <w:rPr>
                <w:szCs w:val="18"/>
              </w:rPr>
              <w:t>for</w:t>
            </w:r>
            <w:r w:rsidR="00810934" w:rsidRPr="00810934">
              <w:rPr>
                <w:szCs w:val="18"/>
              </w:rPr>
              <w:t xml:space="preserve"> the system </w:t>
            </w:r>
            <w:r w:rsidR="00810934">
              <w:rPr>
                <w:szCs w:val="18"/>
              </w:rPr>
              <w:t>to</w:t>
            </w:r>
            <w:r w:rsidR="00810934" w:rsidRPr="00810934">
              <w:rPr>
                <w:szCs w:val="18"/>
              </w:rPr>
              <w:t xml:space="preserve"> use as the second test performed in the division.</w:t>
            </w:r>
          </w:p>
        </w:tc>
        <w:tc>
          <w:tcPr>
            <w:tcW w:w="3600" w:type="dxa"/>
          </w:tcPr>
          <w:p w14:paraId="696C213B" w14:textId="77777777" w:rsidR="002A21AE" w:rsidRDefault="00810934">
            <w:pPr>
              <w:pStyle w:val="TableText"/>
            </w:pPr>
            <w:r>
              <w:t>Patient not eligible for eXM:</w:t>
            </w:r>
            <w:r w:rsidR="002A21AE">
              <w:t xml:space="preserve"> he must have two instances of ABO/Rh typing at the division for eXM, including the current specimen.</w:t>
            </w:r>
          </w:p>
        </w:tc>
      </w:tr>
      <w:tr w:rsidR="002A21AE" w14:paraId="5C574033" w14:textId="77777777">
        <w:tc>
          <w:tcPr>
            <w:tcW w:w="5760" w:type="dxa"/>
          </w:tcPr>
          <w:p w14:paraId="6991BF43" w14:textId="77777777" w:rsidR="002A21AE" w:rsidRDefault="002A21AE">
            <w:pPr>
              <w:pStyle w:val="TableText"/>
            </w:pPr>
            <w:r>
              <w:t>Selected unit must be ABO compatible based on system rules</w:t>
            </w:r>
            <w:r>
              <w:rPr>
                <w:vanish/>
                <w:szCs w:val="18"/>
              </w:rPr>
              <w:t>TT_3.01 or TT_3.02</w:t>
            </w:r>
            <w:r>
              <w:t>.</w:t>
            </w:r>
          </w:p>
        </w:tc>
        <w:tc>
          <w:tcPr>
            <w:tcW w:w="3600" w:type="dxa"/>
          </w:tcPr>
          <w:p w14:paraId="17636CF2" w14:textId="77777777" w:rsidR="002A21AE" w:rsidRDefault="002A21AE">
            <w:pPr>
              <w:pStyle w:val="TableText"/>
            </w:pPr>
            <w:r>
              <w:t>Unit not eligible for eXM. Unit is ABO incompatible with the patient.</w:t>
            </w:r>
          </w:p>
        </w:tc>
      </w:tr>
    </w:tbl>
    <w:p w14:paraId="1A46DEE3" w14:textId="77777777" w:rsidR="002A21AE" w:rsidRDefault="002A21AE">
      <w:pPr>
        <w:pStyle w:val="Heading3"/>
        <w:rPr>
          <w:noProof/>
        </w:rPr>
      </w:pPr>
      <w:r>
        <w:rPr>
          <w:rFonts w:ascii="Geneva" w:hAnsi="Geneva"/>
          <w:vanish/>
        </w:rPr>
        <w:lastRenderedPageBreak/>
        <w:t xml:space="preserve">TT_27.01 </w:t>
      </w:r>
      <w:bookmarkStart w:id="794" w:name="_Toc47516818"/>
      <w:r>
        <w:t>Unit Status Flowchart</w:t>
      </w:r>
      <w:bookmarkEnd w:id="794"/>
      <w:r>
        <w:fldChar w:fldCharType="begin"/>
      </w:r>
      <w:r>
        <w:instrText xml:space="preserve"> XE </w:instrText>
      </w:r>
      <w:r w:rsidR="00FA7E65">
        <w:instrText>“</w:instrText>
      </w:r>
      <w:r>
        <w:instrText>Figures:Unit Status Flowchart</w:instrText>
      </w:r>
      <w:r w:rsidR="00FA7E65">
        <w:instrText>”</w:instrText>
      </w:r>
      <w:r>
        <w:instrText xml:space="preserve"> </w:instrText>
      </w:r>
      <w:r>
        <w:fldChar w:fldCharType="end"/>
      </w:r>
    </w:p>
    <w:p w14:paraId="2BE175B2" w14:textId="77777777" w:rsidR="002A21AE" w:rsidRDefault="002A21AE">
      <w:pPr>
        <w:pStyle w:val="Heading4"/>
      </w:pPr>
      <w:r>
        <w:t>Types of Unit Statuses</w:t>
      </w:r>
    </w:p>
    <w:p w14:paraId="036CEF3B" w14:textId="77777777" w:rsidR="002A21AE" w:rsidRDefault="002A21AE">
      <w:pPr>
        <w:pStyle w:val="ListBullet"/>
      </w:pPr>
      <w:r>
        <w:t>Temporary: awaiting ABO/Rh confirmation (lime green on the flowchart)</w:t>
      </w:r>
    </w:p>
    <w:p w14:paraId="05225B71" w14:textId="77777777" w:rsidR="002A21AE" w:rsidRDefault="002A21AE">
      <w:pPr>
        <w:pStyle w:val="ListBullet"/>
      </w:pPr>
      <w:r>
        <w:t>Adjustable: may move in and out of the status as part of normal processing</w:t>
      </w:r>
    </w:p>
    <w:p w14:paraId="121AA996" w14:textId="77777777" w:rsidR="002A21AE" w:rsidRDefault="002A21AE">
      <w:pPr>
        <w:pStyle w:val="ListBullet"/>
      </w:pPr>
      <w:r>
        <w:t>Issued: pending an update to transfusion or return (bright green in the flowchart)</w:t>
      </w:r>
    </w:p>
    <w:p w14:paraId="23E8A76D" w14:textId="77777777" w:rsidR="002A21AE" w:rsidRDefault="002A21AE">
      <w:pPr>
        <w:pStyle w:val="ListBullet"/>
      </w:pPr>
      <w:r>
        <w:t>Final: the unit is no longer available for most processes in the division; the unit record remains active (pink and stop signs in the flowchart)</w:t>
      </w:r>
    </w:p>
    <w:p w14:paraId="2F6BC276" w14:textId="77777777" w:rsidR="002A21AE" w:rsidRDefault="002A21AE">
      <w:pPr>
        <w:pStyle w:val="Heading4"/>
      </w:pPr>
      <w:r>
        <w:t>Indicators Associated with Units</w:t>
      </w:r>
    </w:p>
    <w:p w14:paraId="540FF5BE" w14:textId="77777777" w:rsidR="002A21AE" w:rsidRDefault="002A21AE">
      <w:pPr>
        <w:pStyle w:val="ListBullet"/>
      </w:pPr>
      <w:r>
        <w:t>Quarantined: attaches to the unit record and status when the unit is quarantined. Removed by releasing the unit from quarantined.</w:t>
      </w:r>
    </w:p>
    <w:p w14:paraId="035361CE" w14:textId="77777777" w:rsidR="002A21AE" w:rsidRDefault="002A21AE">
      <w:pPr>
        <w:pStyle w:val="ListBullet"/>
      </w:pPr>
      <w:r>
        <w:t>Presumed: attaches to the unit record only when the unit is in an issued unit status for more than 48 hours. Remains on the unit record if no transfusion information is entered through Post-Transfusion Information and Document ABO Incompatible Transfusion.</w:t>
      </w:r>
    </w:p>
    <w:p w14:paraId="30DBBEE7" w14:textId="638E6D20" w:rsidR="002A21AE" w:rsidRDefault="002A21AE">
      <w:pPr>
        <w:pStyle w:val="Caption"/>
      </w:pPr>
      <w:bookmarkStart w:id="795" w:name="_Toc97523644"/>
      <w:r>
        <w:br w:type="page"/>
      </w:r>
      <w:bookmarkStart w:id="796" w:name="_Ref126467968"/>
      <w:bookmarkStart w:id="797" w:name="_Toc9752761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149</w:t>
      </w:r>
      <w:r w:rsidR="004E20BD">
        <w:rPr>
          <w:noProof/>
        </w:rPr>
        <w:fldChar w:fldCharType="end"/>
      </w:r>
      <w:bookmarkEnd w:id="796"/>
      <w:r>
        <w:t xml:space="preserve">: </w:t>
      </w:r>
      <w:r>
        <w:rPr>
          <w:vanish/>
        </w:rPr>
        <w:t xml:space="preserve">TT_27.01C </w:t>
      </w:r>
      <w:r>
        <w:t>Unit Status Flowchart</w:t>
      </w:r>
      <w:bookmarkEnd w:id="795"/>
      <w:bookmarkEnd w:id="797"/>
    </w:p>
    <w:p w14:paraId="79377E0E" w14:textId="0681AC7A" w:rsidR="002A21AE" w:rsidRDefault="00F322E7" w:rsidP="002C179C">
      <w:pPr>
        <w:pStyle w:val="BodyText"/>
      </w:pPr>
      <w:r w:rsidRPr="00A53F2E">
        <w:rPr>
          <w:rFonts w:ascii="Arial" w:hAnsi="Arial"/>
          <w:sz w:val="20"/>
        </w:rPr>
        <w:object w:dxaOrig="3475" w:dyaOrig="4320" w14:anchorId="55B6EB3A">
          <v:shape id="_x0000_i1034" type="#_x0000_t75" alt="flow chart" style="width:475.8pt;height:489.6pt" o:ole="" fillcolor="window">
            <v:imagedata r:id="rId242" o:title="" croptop="6031f"/>
          </v:shape>
          <o:OLEObject Type="Embed" ProgID="Visio.Drawing.11" ShapeID="_x0000_i1034" DrawAspect="Content" ObjectID="_1693299371" r:id="rId243"/>
        </w:object>
      </w:r>
    </w:p>
    <w:p w14:paraId="60EBE3A2" w14:textId="77777777" w:rsidR="002A21AE" w:rsidRDefault="002A21AE">
      <w:pPr>
        <w:pStyle w:val="Heading3"/>
      </w:pPr>
      <w:r>
        <w:br w:type="page"/>
      </w:r>
      <w:bookmarkStart w:id="798" w:name="_Toc91323790"/>
      <w:r w:rsidR="00966400">
        <w:rPr>
          <w:rFonts w:ascii="Geneva" w:hAnsi="Geneva"/>
          <w:vanish/>
        </w:rPr>
        <w:lastRenderedPageBreak/>
        <w:t xml:space="preserve"> </w:t>
      </w:r>
      <w:r>
        <w:rPr>
          <w:rFonts w:ascii="Geneva" w:hAnsi="Geneva"/>
          <w:vanish/>
        </w:rPr>
        <w:t>PT_32.01</w:t>
      </w:r>
      <w:r>
        <w:rPr>
          <w:rFonts w:ascii="Geneva" w:hAnsi="Geneva"/>
          <w:vanish/>
          <w:sz w:val="16"/>
        </w:rPr>
        <w:t xml:space="preserve"> </w:t>
      </w:r>
      <w:bookmarkStart w:id="799" w:name="_Toc47516819"/>
      <w:r>
        <w:t>VBECS Maximum Surgical Blood Order Schedule</w:t>
      </w:r>
      <w:bookmarkEnd w:id="799"/>
      <w:r>
        <w:fldChar w:fldCharType="begin"/>
      </w:r>
      <w:r>
        <w:instrText xml:space="preserve"> XE </w:instrText>
      </w:r>
      <w:r w:rsidR="00FA7E65">
        <w:instrText>“</w:instrText>
      </w:r>
      <w:r>
        <w:instrText>Tables:VBECS Maximum Surgical Blood Order Schedule (MSBOS)</w:instrText>
      </w:r>
      <w:r w:rsidR="00FA7E65">
        <w:instrText>”</w:instrText>
      </w:r>
      <w:r>
        <w:instrText xml:space="preserve"> </w:instrText>
      </w:r>
      <w:r>
        <w:fldChar w:fldCharType="end"/>
      </w:r>
    </w:p>
    <w:p w14:paraId="5488A421" w14:textId="01B44147" w:rsidR="002A21AE" w:rsidRDefault="002A21AE">
      <w:pPr>
        <w:pStyle w:val="Caption"/>
      </w:pPr>
      <w:bookmarkStart w:id="800" w:name="_Ref126732493"/>
      <w:bookmarkStart w:id="801" w:name="_Toc97523646"/>
      <w:bookmarkStart w:id="802" w:name="_Toc97527616"/>
      <w:bookmarkStart w:id="803" w:name="_Ref126484549"/>
      <w:bookmarkStart w:id="804" w:name="_Ref126504270"/>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24</w:t>
      </w:r>
      <w:r w:rsidR="004E20BD">
        <w:rPr>
          <w:noProof/>
        </w:rPr>
        <w:fldChar w:fldCharType="end"/>
      </w:r>
      <w:bookmarkEnd w:id="800"/>
      <w:r>
        <w:t xml:space="preserve">: </w:t>
      </w:r>
      <w:r>
        <w:rPr>
          <w:vanish/>
        </w:rPr>
        <w:t>PT_32.01</w:t>
      </w:r>
      <w:r>
        <w:rPr>
          <w:vanish/>
          <w:sz w:val="16"/>
        </w:rPr>
        <w:t xml:space="preserve"> </w:t>
      </w:r>
      <w:r>
        <w:t>VBECS Maximum Surgical Blood Order Schedule (MSBOS)</w:t>
      </w:r>
      <w:bookmarkEnd w:id="798"/>
      <w:bookmarkEnd w:id="801"/>
      <w:bookmarkEnd w:id="802"/>
      <w:bookmarkEnd w:id="803"/>
      <w:bookmarkEnd w:id="80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680"/>
      </w:tblGrid>
      <w:tr w:rsidR="00CF62EC" w14:paraId="30C8FDB3" w14:textId="77777777">
        <w:trPr>
          <w:tblHeader/>
        </w:trPr>
        <w:tc>
          <w:tcPr>
            <w:tcW w:w="9360" w:type="dxa"/>
            <w:gridSpan w:val="2"/>
            <w:shd w:val="clear" w:color="auto" w:fill="B3B3B3"/>
            <w:vAlign w:val="bottom"/>
          </w:tcPr>
          <w:p w14:paraId="190D5D82" w14:textId="77777777" w:rsidR="00CF62EC" w:rsidRDefault="00CF62EC" w:rsidP="00CF62EC">
            <w:pPr>
              <w:pStyle w:val="TableText"/>
            </w:pPr>
            <w:r w:rsidRPr="00887834">
              <w:rPr>
                <w:b/>
              </w:rPr>
              <w:t>VBECS Maximum Surgical Blood Order Schedule (MSBOS)</w:t>
            </w:r>
          </w:p>
        </w:tc>
      </w:tr>
      <w:tr w:rsidR="00CF62EC" w14:paraId="6CD3C256" w14:textId="77777777">
        <w:tc>
          <w:tcPr>
            <w:tcW w:w="4680" w:type="dxa"/>
            <w:vAlign w:val="bottom"/>
          </w:tcPr>
          <w:p w14:paraId="29B97BB8" w14:textId="77777777" w:rsidR="00CF62EC" w:rsidRDefault="00CF62EC" w:rsidP="00CF62EC">
            <w:pPr>
              <w:pStyle w:val="TableText"/>
            </w:pPr>
            <w:r>
              <w:t>Abdominal-Perineal resection</w:t>
            </w:r>
          </w:p>
        </w:tc>
        <w:tc>
          <w:tcPr>
            <w:tcW w:w="4680" w:type="dxa"/>
            <w:vAlign w:val="bottom"/>
          </w:tcPr>
          <w:p w14:paraId="4BCC0474" w14:textId="77777777" w:rsidR="00CF62EC" w:rsidRDefault="00CF62EC" w:rsidP="00CF62EC">
            <w:pPr>
              <w:pStyle w:val="TableText"/>
            </w:pPr>
            <w:r>
              <w:t>Keratectomy</w:t>
            </w:r>
          </w:p>
        </w:tc>
      </w:tr>
      <w:tr w:rsidR="00CF62EC" w14:paraId="4FB8650D" w14:textId="77777777">
        <w:tc>
          <w:tcPr>
            <w:tcW w:w="4680" w:type="dxa"/>
            <w:vAlign w:val="bottom"/>
          </w:tcPr>
          <w:p w14:paraId="12D3422C" w14:textId="77777777" w:rsidR="00CF62EC" w:rsidRDefault="00CF62EC" w:rsidP="00CF62EC">
            <w:pPr>
              <w:pStyle w:val="TableText"/>
            </w:pPr>
            <w:r>
              <w:t>Adrenalectomy</w:t>
            </w:r>
          </w:p>
        </w:tc>
        <w:tc>
          <w:tcPr>
            <w:tcW w:w="4680" w:type="dxa"/>
            <w:vAlign w:val="bottom"/>
          </w:tcPr>
          <w:p w14:paraId="4D9E5F3C" w14:textId="77777777" w:rsidR="00CF62EC" w:rsidRDefault="00CF62EC" w:rsidP="00CF62EC">
            <w:pPr>
              <w:pStyle w:val="TableText"/>
            </w:pPr>
            <w:r>
              <w:t>Hernia repair</w:t>
            </w:r>
          </w:p>
        </w:tc>
      </w:tr>
      <w:tr w:rsidR="00CF62EC" w14:paraId="0E5EE4F9" w14:textId="77777777">
        <w:tc>
          <w:tcPr>
            <w:tcW w:w="4680" w:type="dxa"/>
            <w:vAlign w:val="bottom"/>
          </w:tcPr>
          <w:p w14:paraId="70097EE8" w14:textId="77777777" w:rsidR="00CF62EC" w:rsidRDefault="00CF62EC" w:rsidP="00CF62EC">
            <w:pPr>
              <w:pStyle w:val="TableText"/>
            </w:pPr>
            <w:r>
              <w:t>Amputation (A/K, B/K)</w:t>
            </w:r>
          </w:p>
        </w:tc>
        <w:tc>
          <w:tcPr>
            <w:tcW w:w="4680" w:type="dxa"/>
            <w:vAlign w:val="bottom"/>
          </w:tcPr>
          <w:p w14:paraId="37568CA8" w14:textId="77777777" w:rsidR="00CF62EC" w:rsidRDefault="00CF62EC" w:rsidP="00CF62EC">
            <w:pPr>
              <w:pStyle w:val="TableText"/>
            </w:pPr>
            <w:r>
              <w:t>Hip Replacement, total</w:t>
            </w:r>
          </w:p>
        </w:tc>
      </w:tr>
      <w:tr w:rsidR="00CF62EC" w14:paraId="0D6BA7A3" w14:textId="77777777">
        <w:tc>
          <w:tcPr>
            <w:tcW w:w="4680" w:type="dxa"/>
            <w:vAlign w:val="bottom"/>
          </w:tcPr>
          <w:p w14:paraId="6982D30F" w14:textId="77777777" w:rsidR="00CF62EC" w:rsidRDefault="00CF62EC" w:rsidP="00CF62EC">
            <w:pPr>
              <w:pStyle w:val="TableText"/>
            </w:pPr>
            <w:r>
              <w:t>Aneurysm, aortic</w:t>
            </w:r>
          </w:p>
        </w:tc>
        <w:tc>
          <w:tcPr>
            <w:tcW w:w="4680" w:type="dxa"/>
            <w:vAlign w:val="bottom"/>
          </w:tcPr>
          <w:p w14:paraId="5AE7E5E7" w14:textId="77777777" w:rsidR="00CF62EC" w:rsidRDefault="00CF62EC" w:rsidP="00CF62EC">
            <w:pPr>
              <w:pStyle w:val="TableText"/>
            </w:pPr>
            <w:r>
              <w:t>Hip Replacement, revision</w:t>
            </w:r>
          </w:p>
        </w:tc>
      </w:tr>
      <w:tr w:rsidR="00CF62EC" w14:paraId="338C6480" w14:textId="77777777">
        <w:tc>
          <w:tcPr>
            <w:tcW w:w="4680" w:type="dxa"/>
            <w:vAlign w:val="bottom"/>
          </w:tcPr>
          <w:p w14:paraId="760ACE16" w14:textId="77777777" w:rsidR="00CF62EC" w:rsidRDefault="00CF62EC" w:rsidP="00CF62EC">
            <w:pPr>
              <w:pStyle w:val="TableText"/>
            </w:pPr>
            <w:r>
              <w:t>Aneurysm, abdominal</w:t>
            </w:r>
          </w:p>
        </w:tc>
        <w:tc>
          <w:tcPr>
            <w:tcW w:w="4680" w:type="dxa"/>
            <w:vAlign w:val="bottom"/>
          </w:tcPr>
          <w:p w14:paraId="179112D6" w14:textId="77777777" w:rsidR="00CF62EC" w:rsidRDefault="00CF62EC" w:rsidP="00CF62EC">
            <w:pPr>
              <w:pStyle w:val="TableText"/>
            </w:pPr>
            <w:r>
              <w:t>Knee Replacement, total</w:t>
            </w:r>
          </w:p>
        </w:tc>
      </w:tr>
      <w:tr w:rsidR="00CF62EC" w14:paraId="099F8148" w14:textId="77777777">
        <w:tc>
          <w:tcPr>
            <w:tcW w:w="4680" w:type="dxa"/>
            <w:vAlign w:val="bottom"/>
          </w:tcPr>
          <w:p w14:paraId="2BF8444A" w14:textId="77777777" w:rsidR="00CF62EC" w:rsidRDefault="00CF62EC" w:rsidP="00CF62EC">
            <w:pPr>
              <w:pStyle w:val="TableText"/>
            </w:pPr>
            <w:r>
              <w:t>Aneurysm, thoracic</w:t>
            </w:r>
          </w:p>
        </w:tc>
        <w:tc>
          <w:tcPr>
            <w:tcW w:w="4680" w:type="dxa"/>
            <w:vAlign w:val="bottom"/>
          </w:tcPr>
          <w:p w14:paraId="6E6090CA" w14:textId="77777777" w:rsidR="00CF62EC" w:rsidRDefault="00CF62EC" w:rsidP="00CF62EC">
            <w:pPr>
              <w:pStyle w:val="TableText"/>
            </w:pPr>
            <w:r>
              <w:t>Laminectomy, cervical, thoracic, or lumbar</w:t>
            </w:r>
          </w:p>
        </w:tc>
      </w:tr>
      <w:tr w:rsidR="00CF62EC" w14:paraId="08017095" w14:textId="77777777">
        <w:tc>
          <w:tcPr>
            <w:tcW w:w="4680" w:type="dxa"/>
            <w:vAlign w:val="bottom"/>
          </w:tcPr>
          <w:p w14:paraId="472F7036" w14:textId="77777777" w:rsidR="00CF62EC" w:rsidRDefault="00CF62EC" w:rsidP="00CF62EC">
            <w:pPr>
              <w:pStyle w:val="TableText"/>
            </w:pPr>
            <w:r>
              <w:t>Aneurysm, cranial</w:t>
            </w:r>
          </w:p>
        </w:tc>
        <w:tc>
          <w:tcPr>
            <w:tcW w:w="4680" w:type="dxa"/>
            <w:vAlign w:val="bottom"/>
          </w:tcPr>
          <w:p w14:paraId="01F0A548" w14:textId="77777777" w:rsidR="00CF62EC" w:rsidRDefault="00CF62EC" w:rsidP="00CF62EC">
            <w:pPr>
              <w:pStyle w:val="TableText"/>
            </w:pPr>
            <w:r>
              <w:t>Laminectomy, disk repair</w:t>
            </w:r>
          </w:p>
        </w:tc>
      </w:tr>
      <w:tr w:rsidR="00CF62EC" w14:paraId="3D5B3652" w14:textId="77777777">
        <w:tc>
          <w:tcPr>
            <w:tcW w:w="4680" w:type="dxa"/>
            <w:vAlign w:val="bottom"/>
          </w:tcPr>
          <w:p w14:paraId="3A48CB2A" w14:textId="77777777" w:rsidR="00CF62EC" w:rsidRDefault="00CF62EC" w:rsidP="00CF62EC">
            <w:pPr>
              <w:pStyle w:val="TableText"/>
            </w:pPr>
            <w:r>
              <w:t>Aorto-Femoral Bypass</w:t>
            </w:r>
          </w:p>
        </w:tc>
        <w:tc>
          <w:tcPr>
            <w:tcW w:w="4680" w:type="dxa"/>
            <w:vAlign w:val="bottom"/>
          </w:tcPr>
          <w:p w14:paraId="15A6DC39" w14:textId="77777777" w:rsidR="00CF62EC" w:rsidRDefault="00CF62EC" w:rsidP="00CF62EC">
            <w:pPr>
              <w:pStyle w:val="TableText"/>
            </w:pPr>
            <w:r>
              <w:t>Laparotomy, exploratory</w:t>
            </w:r>
          </w:p>
        </w:tc>
      </w:tr>
      <w:tr w:rsidR="00CF62EC" w14:paraId="50F18771" w14:textId="77777777">
        <w:tc>
          <w:tcPr>
            <w:tcW w:w="4680" w:type="dxa"/>
            <w:vAlign w:val="bottom"/>
          </w:tcPr>
          <w:p w14:paraId="6F3FC9CB" w14:textId="77777777" w:rsidR="00CF62EC" w:rsidRDefault="00CF62EC" w:rsidP="00CF62EC">
            <w:pPr>
              <w:pStyle w:val="TableText"/>
            </w:pPr>
            <w:r>
              <w:t>Appendectomy</w:t>
            </w:r>
          </w:p>
        </w:tc>
        <w:tc>
          <w:tcPr>
            <w:tcW w:w="4680" w:type="dxa"/>
            <w:vAlign w:val="bottom"/>
          </w:tcPr>
          <w:p w14:paraId="7D2D610F" w14:textId="77777777" w:rsidR="00CF62EC" w:rsidRDefault="00CF62EC" w:rsidP="00CF62EC">
            <w:pPr>
              <w:pStyle w:val="TableText"/>
            </w:pPr>
            <w:r>
              <w:t>Laryngectomy</w:t>
            </w:r>
          </w:p>
        </w:tc>
      </w:tr>
      <w:tr w:rsidR="00CF62EC" w14:paraId="6F1FA9F3" w14:textId="77777777">
        <w:tc>
          <w:tcPr>
            <w:tcW w:w="4680" w:type="dxa"/>
            <w:vAlign w:val="bottom"/>
          </w:tcPr>
          <w:p w14:paraId="5CE5D1CA" w14:textId="77777777" w:rsidR="00CF62EC" w:rsidRDefault="00CF62EC" w:rsidP="00CF62EC">
            <w:pPr>
              <w:pStyle w:val="TableText"/>
            </w:pPr>
            <w:r>
              <w:t>Coronary Bypass Graft (CABG)</w:t>
            </w:r>
          </w:p>
        </w:tc>
        <w:tc>
          <w:tcPr>
            <w:tcW w:w="4680" w:type="dxa"/>
            <w:vAlign w:val="bottom"/>
          </w:tcPr>
          <w:p w14:paraId="77AE271E" w14:textId="77777777" w:rsidR="00CF62EC" w:rsidRDefault="00CF62EC" w:rsidP="00CF62EC">
            <w:pPr>
              <w:pStyle w:val="TableText"/>
            </w:pPr>
            <w:r>
              <w:t>Lobectomy, pulmonary</w:t>
            </w:r>
          </w:p>
        </w:tc>
      </w:tr>
      <w:tr w:rsidR="00CF62EC" w14:paraId="11CE8778" w14:textId="77777777">
        <w:tc>
          <w:tcPr>
            <w:tcW w:w="4680" w:type="dxa"/>
            <w:vAlign w:val="bottom"/>
          </w:tcPr>
          <w:p w14:paraId="2CC7B974" w14:textId="77777777" w:rsidR="00CF62EC" w:rsidRDefault="00CF62EC" w:rsidP="00CF62EC">
            <w:pPr>
              <w:pStyle w:val="TableText"/>
            </w:pPr>
            <w:r>
              <w:t>Coronary Bypass Graft (CABG), redo</w:t>
            </w:r>
          </w:p>
        </w:tc>
        <w:tc>
          <w:tcPr>
            <w:tcW w:w="4680" w:type="dxa"/>
            <w:vAlign w:val="bottom"/>
          </w:tcPr>
          <w:p w14:paraId="05225975" w14:textId="77777777" w:rsidR="00CF62EC" w:rsidRDefault="00CF62EC" w:rsidP="00CF62EC">
            <w:pPr>
              <w:pStyle w:val="TableText"/>
            </w:pPr>
            <w:r>
              <w:t>Mandibulectomy</w:t>
            </w:r>
          </w:p>
        </w:tc>
      </w:tr>
      <w:tr w:rsidR="00CF62EC" w14:paraId="307F5EC1" w14:textId="77777777">
        <w:tc>
          <w:tcPr>
            <w:tcW w:w="4680" w:type="dxa"/>
            <w:vAlign w:val="bottom"/>
          </w:tcPr>
          <w:p w14:paraId="3B2FAF48" w14:textId="77777777" w:rsidR="00CF62EC" w:rsidRDefault="00CF62EC" w:rsidP="00CF62EC">
            <w:pPr>
              <w:pStyle w:val="TableText"/>
            </w:pPr>
            <w:r>
              <w:t>Carotid Endarterectomy</w:t>
            </w:r>
          </w:p>
        </w:tc>
        <w:tc>
          <w:tcPr>
            <w:tcW w:w="4680" w:type="dxa"/>
            <w:vAlign w:val="bottom"/>
          </w:tcPr>
          <w:p w14:paraId="2F6428D6" w14:textId="77777777" w:rsidR="00CF62EC" w:rsidRDefault="00CF62EC" w:rsidP="00CF62EC">
            <w:pPr>
              <w:pStyle w:val="TableText"/>
            </w:pPr>
            <w:r>
              <w:t>Mastectomy, radical</w:t>
            </w:r>
          </w:p>
        </w:tc>
      </w:tr>
      <w:tr w:rsidR="00CF62EC" w14:paraId="05E6CD25" w14:textId="77777777">
        <w:tc>
          <w:tcPr>
            <w:tcW w:w="4680" w:type="dxa"/>
            <w:vAlign w:val="bottom"/>
          </w:tcPr>
          <w:p w14:paraId="2162D0C1" w14:textId="77777777" w:rsidR="00CF62EC" w:rsidRDefault="00CF62EC" w:rsidP="00CF62EC">
            <w:pPr>
              <w:pStyle w:val="TableText"/>
            </w:pPr>
            <w:r>
              <w:t>Cervical Discectomy</w:t>
            </w:r>
          </w:p>
        </w:tc>
        <w:tc>
          <w:tcPr>
            <w:tcW w:w="4680" w:type="dxa"/>
            <w:vAlign w:val="bottom"/>
          </w:tcPr>
          <w:p w14:paraId="66EF5041" w14:textId="77777777" w:rsidR="00CF62EC" w:rsidRDefault="00CF62EC" w:rsidP="00CF62EC">
            <w:pPr>
              <w:pStyle w:val="TableText"/>
            </w:pPr>
            <w:r>
              <w:t>Maxillectomy</w:t>
            </w:r>
          </w:p>
        </w:tc>
      </w:tr>
      <w:tr w:rsidR="00CF62EC" w14:paraId="160EB6DD" w14:textId="77777777">
        <w:tc>
          <w:tcPr>
            <w:tcW w:w="4680" w:type="dxa"/>
            <w:vAlign w:val="bottom"/>
          </w:tcPr>
          <w:p w14:paraId="0258BDC4" w14:textId="77777777" w:rsidR="00CF62EC" w:rsidRDefault="00CF62EC" w:rsidP="00CF62EC">
            <w:pPr>
              <w:pStyle w:val="TableText"/>
            </w:pPr>
            <w:r>
              <w:t>Cervical Fusion</w:t>
            </w:r>
          </w:p>
        </w:tc>
        <w:tc>
          <w:tcPr>
            <w:tcW w:w="4680" w:type="dxa"/>
            <w:vAlign w:val="bottom"/>
          </w:tcPr>
          <w:p w14:paraId="2174B9F5" w14:textId="77777777" w:rsidR="00CF62EC" w:rsidRDefault="00CF62EC" w:rsidP="00CF62EC">
            <w:pPr>
              <w:pStyle w:val="TableText"/>
            </w:pPr>
            <w:r>
              <w:t>Nephrectomy</w:t>
            </w:r>
          </w:p>
        </w:tc>
      </w:tr>
      <w:tr w:rsidR="00CF62EC" w14:paraId="2AE22CB3" w14:textId="77777777">
        <w:tc>
          <w:tcPr>
            <w:tcW w:w="4680" w:type="dxa"/>
            <w:vAlign w:val="bottom"/>
          </w:tcPr>
          <w:p w14:paraId="4D89F202" w14:textId="77777777" w:rsidR="00CF62EC" w:rsidRDefault="00CF62EC" w:rsidP="00CF62EC">
            <w:pPr>
              <w:pStyle w:val="TableText"/>
            </w:pPr>
            <w:r>
              <w:t>Cholecystectomy</w:t>
            </w:r>
          </w:p>
        </w:tc>
        <w:tc>
          <w:tcPr>
            <w:tcW w:w="4680" w:type="dxa"/>
            <w:vAlign w:val="bottom"/>
          </w:tcPr>
          <w:p w14:paraId="401619A2" w14:textId="77777777" w:rsidR="00CF62EC" w:rsidRDefault="00CF62EC" w:rsidP="00CF62EC">
            <w:pPr>
              <w:pStyle w:val="TableText"/>
            </w:pPr>
            <w:r>
              <w:t>Pancreatectomy</w:t>
            </w:r>
          </w:p>
        </w:tc>
      </w:tr>
      <w:tr w:rsidR="00CF62EC" w14:paraId="67A7F7B9" w14:textId="77777777">
        <w:tc>
          <w:tcPr>
            <w:tcW w:w="4680" w:type="dxa"/>
            <w:vAlign w:val="bottom"/>
          </w:tcPr>
          <w:p w14:paraId="41D9A87E" w14:textId="5E7D47A8" w:rsidR="00CF62EC" w:rsidRDefault="009521F7" w:rsidP="00CF62EC">
            <w:pPr>
              <w:pStyle w:val="TableText"/>
            </w:pPr>
            <w:r>
              <w:t>Colostomy</w:t>
            </w:r>
          </w:p>
        </w:tc>
        <w:tc>
          <w:tcPr>
            <w:tcW w:w="4680" w:type="dxa"/>
            <w:vAlign w:val="bottom"/>
          </w:tcPr>
          <w:p w14:paraId="5621BEF7" w14:textId="77777777" w:rsidR="00CF62EC" w:rsidRDefault="00CF62EC" w:rsidP="00CF62EC">
            <w:pPr>
              <w:pStyle w:val="TableText"/>
            </w:pPr>
            <w:r>
              <w:t>Parathyroidectomy</w:t>
            </w:r>
          </w:p>
        </w:tc>
      </w:tr>
      <w:tr w:rsidR="00CF62EC" w14:paraId="66C503FE" w14:textId="77777777">
        <w:tc>
          <w:tcPr>
            <w:tcW w:w="4680" w:type="dxa"/>
            <w:vAlign w:val="bottom"/>
          </w:tcPr>
          <w:p w14:paraId="31D766EC" w14:textId="77777777" w:rsidR="00CF62EC" w:rsidRDefault="00CF62EC" w:rsidP="00CF62EC">
            <w:pPr>
              <w:pStyle w:val="TableText"/>
            </w:pPr>
            <w:r>
              <w:t>Colectomy</w:t>
            </w:r>
          </w:p>
        </w:tc>
        <w:tc>
          <w:tcPr>
            <w:tcW w:w="4680" w:type="dxa"/>
            <w:vAlign w:val="bottom"/>
          </w:tcPr>
          <w:p w14:paraId="2F944919" w14:textId="77777777" w:rsidR="00CF62EC" w:rsidRDefault="00CF62EC" w:rsidP="00CF62EC">
            <w:pPr>
              <w:pStyle w:val="TableText"/>
            </w:pPr>
            <w:r>
              <w:t>Portocaval Shunt</w:t>
            </w:r>
          </w:p>
        </w:tc>
      </w:tr>
      <w:tr w:rsidR="00CF62EC" w14:paraId="1BC6CB0E" w14:textId="77777777">
        <w:tc>
          <w:tcPr>
            <w:tcW w:w="4680" w:type="dxa"/>
            <w:vAlign w:val="bottom"/>
          </w:tcPr>
          <w:p w14:paraId="2F372528" w14:textId="77777777" w:rsidR="00CF62EC" w:rsidRDefault="00CF62EC" w:rsidP="00CF62EC">
            <w:pPr>
              <w:pStyle w:val="TableText"/>
            </w:pPr>
            <w:r>
              <w:t>Colon Resection</w:t>
            </w:r>
          </w:p>
        </w:tc>
        <w:tc>
          <w:tcPr>
            <w:tcW w:w="4680" w:type="dxa"/>
            <w:vAlign w:val="bottom"/>
          </w:tcPr>
          <w:p w14:paraId="71992900" w14:textId="77777777" w:rsidR="00CF62EC" w:rsidRDefault="00CF62EC" w:rsidP="00CF62EC">
            <w:pPr>
              <w:pStyle w:val="TableText"/>
            </w:pPr>
            <w:r>
              <w:t>Prostatectomy</w:t>
            </w:r>
          </w:p>
        </w:tc>
      </w:tr>
      <w:tr w:rsidR="00CF62EC" w14:paraId="7B7FD2A1" w14:textId="77777777">
        <w:tc>
          <w:tcPr>
            <w:tcW w:w="4680" w:type="dxa"/>
            <w:vAlign w:val="bottom"/>
          </w:tcPr>
          <w:p w14:paraId="34689AD9" w14:textId="77777777" w:rsidR="00CF62EC" w:rsidRDefault="00CF62EC" w:rsidP="00CF62EC">
            <w:pPr>
              <w:pStyle w:val="TableText"/>
            </w:pPr>
            <w:r>
              <w:t>Craniotomy</w:t>
            </w:r>
          </w:p>
        </w:tc>
        <w:tc>
          <w:tcPr>
            <w:tcW w:w="4680" w:type="dxa"/>
            <w:vAlign w:val="bottom"/>
          </w:tcPr>
          <w:p w14:paraId="2C094A9A" w14:textId="77777777" w:rsidR="00CF62EC" w:rsidRDefault="00CF62EC" w:rsidP="00CF62EC">
            <w:pPr>
              <w:pStyle w:val="TableText"/>
            </w:pPr>
            <w:r>
              <w:t>Prostatectomy, total</w:t>
            </w:r>
          </w:p>
        </w:tc>
      </w:tr>
      <w:tr w:rsidR="00CF62EC" w14:paraId="46003A4E" w14:textId="77777777">
        <w:tc>
          <w:tcPr>
            <w:tcW w:w="4680" w:type="dxa"/>
            <w:vAlign w:val="bottom"/>
          </w:tcPr>
          <w:p w14:paraId="71C05EC6" w14:textId="77777777" w:rsidR="00CF62EC" w:rsidRDefault="00CF62EC" w:rsidP="00CF62EC">
            <w:pPr>
              <w:pStyle w:val="TableText"/>
            </w:pPr>
            <w:r>
              <w:t>Cystectomy</w:t>
            </w:r>
          </w:p>
        </w:tc>
        <w:tc>
          <w:tcPr>
            <w:tcW w:w="4680" w:type="dxa"/>
            <w:vAlign w:val="bottom"/>
          </w:tcPr>
          <w:p w14:paraId="7C00CE88" w14:textId="77777777" w:rsidR="00CF62EC" w:rsidRDefault="00CF62EC" w:rsidP="00CF62EC">
            <w:pPr>
              <w:pStyle w:val="TableText"/>
            </w:pPr>
            <w:r>
              <w:t>Radical Neck Dissection</w:t>
            </w:r>
          </w:p>
        </w:tc>
      </w:tr>
      <w:tr w:rsidR="00CF62EC" w14:paraId="6A35E2D6" w14:textId="77777777">
        <w:tc>
          <w:tcPr>
            <w:tcW w:w="4680" w:type="dxa"/>
            <w:vAlign w:val="bottom"/>
          </w:tcPr>
          <w:p w14:paraId="11C9A8C4" w14:textId="77777777" w:rsidR="00CF62EC" w:rsidRDefault="00CF62EC" w:rsidP="00CF62EC">
            <w:pPr>
              <w:pStyle w:val="TableText"/>
            </w:pPr>
            <w:r>
              <w:t>Cystolithotomy</w:t>
            </w:r>
          </w:p>
        </w:tc>
        <w:tc>
          <w:tcPr>
            <w:tcW w:w="4680" w:type="dxa"/>
            <w:vAlign w:val="bottom"/>
          </w:tcPr>
          <w:p w14:paraId="005C264C" w14:textId="77777777" w:rsidR="00CF62EC" w:rsidRDefault="00CF62EC" w:rsidP="00CF62EC">
            <w:pPr>
              <w:pStyle w:val="TableText"/>
            </w:pPr>
            <w:r>
              <w:t>Renal Transplant</w:t>
            </w:r>
          </w:p>
        </w:tc>
      </w:tr>
      <w:tr w:rsidR="00CF62EC" w14:paraId="7C8C661D" w14:textId="77777777">
        <w:tc>
          <w:tcPr>
            <w:tcW w:w="4680" w:type="dxa"/>
            <w:vAlign w:val="bottom"/>
          </w:tcPr>
          <w:p w14:paraId="304C128C" w14:textId="77777777" w:rsidR="00CF62EC" w:rsidRDefault="00CF62EC" w:rsidP="00CF62EC">
            <w:pPr>
              <w:pStyle w:val="TableText"/>
            </w:pPr>
            <w:r>
              <w:t>Cystoscopy</w:t>
            </w:r>
          </w:p>
        </w:tc>
        <w:tc>
          <w:tcPr>
            <w:tcW w:w="4680" w:type="dxa"/>
            <w:vAlign w:val="bottom"/>
          </w:tcPr>
          <w:p w14:paraId="71704ED0" w14:textId="77777777" w:rsidR="00CF62EC" w:rsidRDefault="00CF62EC" w:rsidP="00CF62EC">
            <w:pPr>
              <w:pStyle w:val="TableText"/>
            </w:pPr>
            <w:r>
              <w:t>Skin Flap</w:t>
            </w:r>
          </w:p>
        </w:tc>
      </w:tr>
      <w:tr w:rsidR="00CF62EC" w14:paraId="4A68FD42" w14:textId="77777777">
        <w:tc>
          <w:tcPr>
            <w:tcW w:w="4680" w:type="dxa"/>
            <w:vAlign w:val="bottom"/>
          </w:tcPr>
          <w:p w14:paraId="31365DBF" w14:textId="77777777" w:rsidR="00CF62EC" w:rsidRDefault="00CF62EC" w:rsidP="00CF62EC">
            <w:pPr>
              <w:pStyle w:val="TableText"/>
            </w:pPr>
            <w:r>
              <w:t>Embolectomy</w:t>
            </w:r>
          </w:p>
        </w:tc>
        <w:tc>
          <w:tcPr>
            <w:tcW w:w="4680" w:type="dxa"/>
            <w:vAlign w:val="bottom"/>
          </w:tcPr>
          <w:p w14:paraId="0DB741EE" w14:textId="77777777" w:rsidR="00CF62EC" w:rsidRDefault="00CF62EC" w:rsidP="00CF62EC">
            <w:pPr>
              <w:pStyle w:val="TableText"/>
            </w:pPr>
            <w:r>
              <w:t>Skin Graft</w:t>
            </w:r>
          </w:p>
        </w:tc>
      </w:tr>
      <w:tr w:rsidR="00CF62EC" w14:paraId="48535893" w14:textId="77777777">
        <w:tc>
          <w:tcPr>
            <w:tcW w:w="4680" w:type="dxa"/>
            <w:vAlign w:val="bottom"/>
          </w:tcPr>
          <w:p w14:paraId="38C8B6DA" w14:textId="16E8DDD0" w:rsidR="00CF62EC" w:rsidRDefault="00307930" w:rsidP="00CF62EC">
            <w:pPr>
              <w:pStyle w:val="TableText"/>
            </w:pPr>
            <w:r>
              <w:t>Esophageal</w:t>
            </w:r>
            <w:r w:rsidR="00CF62EC">
              <w:t xml:space="preserve"> Resection</w:t>
            </w:r>
          </w:p>
        </w:tc>
        <w:tc>
          <w:tcPr>
            <w:tcW w:w="4680" w:type="dxa"/>
            <w:vAlign w:val="bottom"/>
          </w:tcPr>
          <w:p w14:paraId="071B95ED" w14:textId="77777777" w:rsidR="00CF62EC" w:rsidRDefault="00CF62EC" w:rsidP="00CF62EC">
            <w:pPr>
              <w:pStyle w:val="TableText"/>
            </w:pPr>
            <w:r>
              <w:t>Splenectomy</w:t>
            </w:r>
          </w:p>
        </w:tc>
      </w:tr>
      <w:tr w:rsidR="00CF62EC" w14:paraId="4229CE79" w14:textId="77777777">
        <w:tc>
          <w:tcPr>
            <w:tcW w:w="4680" w:type="dxa"/>
            <w:vAlign w:val="bottom"/>
          </w:tcPr>
          <w:p w14:paraId="4079D113" w14:textId="04004B12" w:rsidR="00CF62EC" w:rsidRDefault="00CF62EC" w:rsidP="00CF62EC">
            <w:pPr>
              <w:pStyle w:val="TableText"/>
            </w:pPr>
            <w:r>
              <w:t>Esoph</w:t>
            </w:r>
            <w:r w:rsidR="002C6ED0">
              <w:t>a</w:t>
            </w:r>
            <w:r>
              <w:t>gectomy</w:t>
            </w:r>
          </w:p>
        </w:tc>
        <w:tc>
          <w:tcPr>
            <w:tcW w:w="4680" w:type="dxa"/>
            <w:vAlign w:val="bottom"/>
          </w:tcPr>
          <w:p w14:paraId="1C569F4B" w14:textId="77777777" w:rsidR="00CF62EC" w:rsidRDefault="00CF62EC" w:rsidP="00CF62EC">
            <w:pPr>
              <w:pStyle w:val="TableText"/>
            </w:pPr>
            <w:r>
              <w:t>Thyroidectomy</w:t>
            </w:r>
          </w:p>
        </w:tc>
      </w:tr>
      <w:tr w:rsidR="00CF62EC" w14:paraId="1C4D1E9B" w14:textId="77777777">
        <w:tc>
          <w:tcPr>
            <w:tcW w:w="4680" w:type="dxa"/>
            <w:vAlign w:val="bottom"/>
          </w:tcPr>
          <w:p w14:paraId="58E2C3B5" w14:textId="0732F1A5" w:rsidR="00CF62EC" w:rsidRDefault="00CF62EC" w:rsidP="00CF62EC">
            <w:pPr>
              <w:pStyle w:val="TableText"/>
            </w:pPr>
            <w:r>
              <w:t>Femoral-Pop</w:t>
            </w:r>
            <w:r w:rsidR="009521F7">
              <w:t>l</w:t>
            </w:r>
            <w:r>
              <w:t>iteal Bypass</w:t>
            </w:r>
          </w:p>
        </w:tc>
        <w:tc>
          <w:tcPr>
            <w:tcW w:w="4680" w:type="dxa"/>
            <w:vAlign w:val="bottom"/>
          </w:tcPr>
          <w:p w14:paraId="0E7AE919" w14:textId="77777777" w:rsidR="00CF62EC" w:rsidRDefault="00CF62EC" w:rsidP="00CF62EC">
            <w:pPr>
              <w:pStyle w:val="TableText"/>
            </w:pPr>
            <w:r>
              <w:t>Tracheostomy</w:t>
            </w:r>
          </w:p>
        </w:tc>
      </w:tr>
      <w:tr w:rsidR="00CF62EC" w14:paraId="72F8DC73" w14:textId="77777777">
        <w:tc>
          <w:tcPr>
            <w:tcW w:w="4680" w:type="dxa"/>
            <w:vAlign w:val="bottom"/>
          </w:tcPr>
          <w:p w14:paraId="559BCE77" w14:textId="77777777" w:rsidR="00CF62EC" w:rsidRDefault="00CF62EC" w:rsidP="00CF62EC">
            <w:pPr>
              <w:pStyle w:val="TableText"/>
            </w:pPr>
            <w:r>
              <w:t>Fracture, open reduction</w:t>
            </w:r>
          </w:p>
        </w:tc>
        <w:tc>
          <w:tcPr>
            <w:tcW w:w="4680" w:type="dxa"/>
            <w:vAlign w:val="bottom"/>
          </w:tcPr>
          <w:p w14:paraId="554C80DF" w14:textId="77777777" w:rsidR="00CF62EC" w:rsidRDefault="00CF62EC" w:rsidP="00CF62EC">
            <w:pPr>
              <w:pStyle w:val="TableText"/>
            </w:pPr>
            <w:r>
              <w:t>Transurethral Resection (TURP)</w:t>
            </w:r>
          </w:p>
        </w:tc>
      </w:tr>
      <w:tr w:rsidR="00CF62EC" w14:paraId="756AF399" w14:textId="77777777">
        <w:tc>
          <w:tcPr>
            <w:tcW w:w="4680" w:type="dxa"/>
            <w:vAlign w:val="bottom"/>
          </w:tcPr>
          <w:p w14:paraId="502E2821" w14:textId="77777777" w:rsidR="00CF62EC" w:rsidRDefault="00CF62EC" w:rsidP="00CF62EC">
            <w:pPr>
              <w:pStyle w:val="TableText"/>
            </w:pPr>
            <w:r>
              <w:t xml:space="preserve">Fusion, cervical or lumber </w:t>
            </w:r>
          </w:p>
        </w:tc>
        <w:tc>
          <w:tcPr>
            <w:tcW w:w="4680" w:type="dxa"/>
            <w:vAlign w:val="bottom"/>
          </w:tcPr>
          <w:p w14:paraId="15C659AD" w14:textId="77777777" w:rsidR="00CF62EC" w:rsidRDefault="00CF62EC" w:rsidP="00CF62EC">
            <w:pPr>
              <w:pStyle w:val="TableText"/>
            </w:pPr>
            <w:r>
              <w:t>Vagotomy</w:t>
            </w:r>
          </w:p>
        </w:tc>
      </w:tr>
      <w:tr w:rsidR="00CF62EC" w14:paraId="7C7D896D" w14:textId="77777777">
        <w:tc>
          <w:tcPr>
            <w:tcW w:w="4680" w:type="dxa"/>
            <w:vAlign w:val="bottom"/>
          </w:tcPr>
          <w:p w14:paraId="231025CD" w14:textId="77777777" w:rsidR="00CF62EC" w:rsidRDefault="00CF62EC" w:rsidP="00CF62EC">
            <w:pPr>
              <w:pStyle w:val="TableText"/>
            </w:pPr>
            <w:r>
              <w:t>Gastrectomy</w:t>
            </w:r>
          </w:p>
        </w:tc>
        <w:tc>
          <w:tcPr>
            <w:tcW w:w="4680" w:type="dxa"/>
            <w:vAlign w:val="bottom"/>
          </w:tcPr>
          <w:p w14:paraId="3D86EEA2" w14:textId="77777777" w:rsidR="00CF62EC" w:rsidRDefault="00CF62EC" w:rsidP="00CF62EC">
            <w:pPr>
              <w:pStyle w:val="TableText"/>
            </w:pPr>
            <w:r>
              <w:t>Valve replacement, aortic or mitral</w:t>
            </w:r>
          </w:p>
        </w:tc>
      </w:tr>
      <w:tr w:rsidR="00CF62EC" w14:paraId="1A7DE11E" w14:textId="77777777">
        <w:tc>
          <w:tcPr>
            <w:tcW w:w="4680" w:type="dxa"/>
            <w:vAlign w:val="bottom"/>
          </w:tcPr>
          <w:p w14:paraId="770E0CDC" w14:textId="77777777" w:rsidR="00CF62EC" w:rsidRDefault="00CF62EC" w:rsidP="00CF62EC">
            <w:pPr>
              <w:pStyle w:val="TableText"/>
            </w:pPr>
            <w:r>
              <w:t>Gastric Bypass</w:t>
            </w:r>
          </w:p>
        </w:tc>
        <w:tc>
          <w:tcPr>
            <w:tcW w:w="4680" w:type="dxa"/>
            <w:vAlign w:val="bottom"/>
          </w:tcPr>
          <w:p w14:paraId="71105445" w14:textId="77777777" w:rsidR="00CF62EC" w:rsidRDefault="00CF62EC" w:rsidP="00CF62EC">
            <w:pPr>
              <w:pStyle w:val="TableText"/>
            </w:pPr>
            <w:r>
              <w:t>Other*</w:t>
            </w:r>
          </w:p>
        </w:tc>
      </w:tr>
      <w:tr w:rsidR="00CF62EC" w14:paraId="135645A8" w14:textId="77777777">
        <w:tc>
          <w:tcPr>
            <w:tcW w:w="4680" w:type="dxa"/>
            <w:vAlign w:val="bottom"/>
          </w:tcPr>
          <w:p w14:paraId="6A31EDB9" w14:textId="77777777" w:rsidR="00CF62EC" w:rsidRDefault="00CF62EC" w:rsidP="00CF62EC">
            <w:pPr>
              <w:pStyle w:val="TableText"/>
            </w:pPr>
            <w:r>
              <w:t>Glossectomy</w:t>
            </w:r>
          </w:p>
        </w:tc>
        <w:tc>
          <w:tcPr>
            <w:tcW w:w="4680" w:type="dxa"/>
            <w:vAlign w:val="bottom"/>
          </w:tcPr>
          <w:p w14:paraId="1879CA65" w14:textId="77777777" w:rsidR="00CF62EC" w:rsidRDefault="00CF62EC" w:rsidP="00CF62EC">
            <w:pPr>
              <w:pStyle w:val="TableText"/>
            </w:pPr>
          </w:p>
        </w:tc>
      </w:tr>
      <w:tr w:rsidR="00CF62EC" w14:paraId="33D75104" w14:textId="77777777">
        <w:tc>
          <w:tcPr>
            <w:tcW w:w="4680" w:type="dxa"/>
            <w:vAlign w:val="bottom"/>
          </w:tcPr>
          <w:p w14:paraId="6FBB0403" w14:textId="77777777" w:rsidR="00CF62EC" w:rsidRDefault="00CF62EC" w:rsidP="00CF62EC">
            <w:pPr>
              <w:pStyle w:val="TableText"/>
            </w:pPr>
            <w:r>
              <w:t>Hematoma Evacuation, sub- or epidural</w:t>
            </w:r>
          </w:p>
        </w:tc>
        <w:tc>
          <w:tcPr>
            <w:tcW w:w="4680" w:type="dxa"/>
            <w:vAlign w:val="bottom"/>
          </w:tcPr>
          <w:p w14:paraId="7495D9F4" w14:textId="77777777" w:rsidR="00CF62EC" w:rsidRDefault="00CF62EC" w:rsidP="00CF62EC">
            <w:pPr>
              <w:pStyle w:val="TableText"/>
            </w:pPr>
          </w:p>
        </w:tc>
      </w:tr>
    </w:tbl>
    <w:p w14:paraId="664BC52B" w14:textId="77777777" w:rsidR="002A21AE" w:rsidRDefault="002A21AE" w:rsidP="00FA7E65">
      <w:pPr>
        <w:pStyle w:val="BodyText"/>
      </w:pPr>
      <w:r>
        <w:t>*Other surgeries entered in the Surgery Name field during order entry. (</w:t>
      </w:r>
      <w:r w:rsidR="00D5657D">
        <w:t>Local facilities may add</w:t>
      </w:r>
      <w:r w:rsidR="00EB26CD">
        <w:t xml:space="preserve"> surgeries</w:t>
      </w:r>
      <w:r w:rsidR="00D5657D">
        <w:t xml:space="preserve"> to this list</w:t>
      </w:r>
      <w:r>
        <w:t xml:space="preserve">.) Entries made during order entry will not have MSBOS component order recommendations. VBECS does not display “Other” in MSBOS. </w:t>
      </w:r>
    </w:p>
    <w:p w14:paraId="03D7DDBD" w14:textId="77777777" w:rsidR="008A701E" w:rsidRDefault="002A21AE" w:rsidP="008A701E">
      <w:pPr>
        <w:pStyle w:val="Heading3"/>
      </w:pPr>
      <w:r>
        <w:br w:type="page"/>
      </w:r>
      <w:bookmarkStart w:id="805" w:name="_Toc223489218"/>
      <w:r w:rsidR="00966400">
        <w:rPr>
          <w:rFonts w:ascii="Geneva" w:hAnsi="Geneva"/>
          <w:vanish/>
        </w:rPr>
        <w:lastRenderedPageBreak/>
        <w:t xml:space="preserve"> </w:t>
      </w:r>
      <w:r w:rsidR="008A701E">
        <w:rPr>
          <w:rFonts w:ascii="Geneva" w:hAnsi="Geneva"/>
          <w:vanish/>
        </w:rPr>
        <w:t>TT_109.01</w:t>
      </w:r>
      <w:r w:rsidR="008A701E">
        <w:rPr>
          <w:rFonts w:ascii="Geneva" w:hAnsi="Geneva"/>
          <w:vanish/>
          <w:sz w:val="16"/>
        </w:rPr>
        <w:t xml:space="preserve"> </w:t>
      </w:r>
      <w:bookmarkStart w:id="806" w:name="_Toc47516820"/>
      <w:r w:rsidR="008A701E">
        <w:t>BCE COTS Message Updates</w:t>
      </w:r>
      <w:bookmarkEnd w:id="805"/>
      <w:bookmarkEnd w:id="806"/>
      <w:r w:rsidR="008A701E">
        <w:fldChar w:fldCharType="begin"/>
      </w:r>
      <w:r w:rsidR="008A701E">
        <w:instrText xml:space="preserve"> XE “Tables:BCE COTS Message Updates” </w:instrText>
      </w:r>
      <w:r w:rsidR="008A701E">
        <w:fldChar w:fldCharType="end"/>
      </w:r>
    </w:p>
    <w:p w14:paraId="0B624A58" w14:textId="42C7DDDB" w:rsidR="008A701E" w:rsidRDefault="008A701E" w:rsidP="008A701E">
      <w:pPr>
        <w:pStyle w:val="Caption"/>
      </w:pPr>
      <w:bookmarkStart w:id="807" w:name="_Ref223406927"/>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25</w:t>
      </w:r>
      <w:r w:rsidR="004E20BD">
        <w:rPr>
          <w:noProof/>
        </w:rPr>
        <w:fldChar w:fldCharType="end"/>
      </w:r>
      <w:bookmarkEnd w:id="807"/>
      <w:r>
        <w:t xml:space="preserve">: </w:t>
      </w:r>
      <w:r>
        <w:rPr>
          <w:vanish/>
        </w:rPr>
        <w:t>TT_109.01</w:t>
      </w:r>
      <w:r>
        <w:rPr>
          <w:vanish/>
          <w:sz w:val="16"/>
        </w:rPr>
        <w:t xml:space="preserve"> </w:t>
      </w:r>
      <w:r>
        <w:t>BCE COTS Message Updates</w:t>
      </w:r>
    </w:p>
    <w:p w14:paraId="54CACBAA" w14:textId="74EFFBEE" w:rsidR="008A701E" w:rsidRPr="00A31869" w:rsidRDefault="008A701E" w:rsidP="008A701E">
      <w:pPr>
        <w:pStyle w:val="TableTextBullet"/>
        <w:numPr>
          <w:ilvl w:val="0"/>
          <w:numId w:val="0"/>
        </w:numPr>
        <w:ind w:left="90"/>
        <w:rPr>
          <w:rFonts w:ascii="Times New Roman" w:hAnsi="Times New Roman"/>
          <w:b/>
          <w:sz w:val="22"/>
          <w:szCs w:val="22"/>
        </w:rPr>
      </w:pPr>
      <w:r w:rsidRPr="00A31869">
        <w:rPr>
          <w:rFonts w:ascii="Times New Roman" w:hAnsi="Times New Roman"/>
          <w:sz w:val="22"/>
          <w:szCs w:val="22"/>
        </w:rPr>
        <w:t>This table identifies the specific subsequent processing of an assigned unit for one patient unit association that may or may not result in a change to the unit status or other quality and how that may or may not trigger a status change that requires update to the BCE COTS product.</w:t>
      </w:r>
      <w:r w:rsidRPr="00A31869">
        <w:rPr>
          <w:rFonts w:ascii="Times New Roman" w:hAnsi="Times New Roman"/>
          <w:b/>
          <w:sz w:val="22"/>
          <w:szCs w:val="22"/>
        </w:rPr>
        <w:t xml:space="preserve"> </w:t>
      </w:r>
    </w:p>
    <w:p w14:paraId="02F40D5B" w14:textId="77777777" w:rsidR="008A701E" w:rsidRDefault="008A701E" w:rsidP="008A701E">
      <w:pPr>
        <w:pStyle w:val="TableTextBullet"/>
        <w:numPr>
          <w:ilvl w:val="0"/>
          <w:numId w:val="0"/>
        </w:numPr>
        <w:ind w:left="90"/>
        <w:rPr>
          <w:rFonts w:cs="Arial"/>
          <w:b/>
          <w:sz w:val="20"/>
        </w:rPr>
      </w:pPr>
    </w:p>
    <w:p w14:paraId="67B1124E" w14:textId="77777777" w:rsidR="008A701E" w:rsidRDefault="008A701E" w:rsidP="008A701E">
      <w:pPr>
        <w:pStyle w:val="TableTextBullet"/>
        <w:numPr>
          <w:ilvl w:val="0"/>
          <w:numId w:val="0"/>
        </w:numPr>
        <w:ind w:left="90"/>
        <w:rPr>
          <w:rFonts w:cs="Arial"/>
          <w:b/>
          <w:sz w:val="20"/>
        </w:rPr>
      </w:pPr>
      <w:r>
        <w:rPr>
          <w:rFonts w:cs="Arial"/>
          <w:b/>
          <w:sz w:val="20"/>
        </w:rPr>
        <w:t>U</w:t>
      </w:r>
      <w:r w:rsidRPr="00315EA0">
        <w:rPr>
          <w:rFonts w:cs="Arial"/>
          <w:b/>
          <w:sz w:val="20"/>
        </w:rPr>
        <w:t>nit status code</w:t>
      </w:r>
      <w:r>
        <w:rPr>
          <w:rFonts w:cs="Arial"/>
          <w:b/>
          <w:sz w:val="20"/>
        </w:rPr>
        <w:t xml:space="preserve"> legend</w:t>
      </w:r>
      <w:r w:rsidRPr="00315EA0">
        <w:rPr>
          <w:rFonts w:cs="Arial"/>
          <w:b/>
          <w:sz w:val="20"/>
        </w:rPr>
        <w:t>:</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2297"/>
        <w:gridCol w:w="2296"/>
        <w:gridCol w:w="2296"/>
      </w:tblGrid>
      <w:tr w:rsidR="008A701E" w:rsidRPr="00186BAB" w14:paraId="2719CCA0" w14:textId="77777777">
        <w:trPr>
          <w:trHeight w:val="255"/>
        </w:trPr>
        <w:tc>
          <w:tcPr>
            <w:tcW w:w="2297" w:type="dxa"/>
            <w:shd w:val="pct20" w:color="auto" w:fill="auto"/>
            <w:vAlign w:val="center"/>
          </w:tcPr>
          <w:p w14:paraId="0F1827A9"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A</w:t>
            </w:r>
          </w:p>
        </w:tc>
        <w:tc>
          <w:tcPr>
            <w:tcW w:w="2297" w:type="dxa"/>
            <w:vAlign w:val="center"/>
          </w:tcPr>
          <w:p w14:paraId="2CB64966" w14:textId="77777777" w:rsidR="008A701E" w:rsidRPr="00186BAB" w:rsidRDefault="008A701E" w:rsidP="008A701E">
            <w:pPr>
              <w:rPr>
                <w:rFonts w:ascii="Arial" w:hAnsi="Arial" w:cs="Arial"/>
                <w:sz w:val="20"/>
                <w:szCs w:val="20"/>
              </w:rPr>
            </w:pPr>
            <w:r w:rsidRPr="00186BAB">
              <w:rPr>
                <w:rFonts w:ascii="Arial" w:hAnsi="Arial" w:cs="Arial"/>
                <w:sz w:val="20"/>
                <w:szCs w:val="20"/>
              </w:rPr>
              <w:t>Available</w:t>
            </w:r>
          </w:p>
        </w:tc>
        <w:tc>
          <w:tcPr>
            <w:tcW w:w="2296" w:type="dxa"/>
            <w:shd w:val="pct20" w:color="auto" w:fill="auto"/>
            <w:vAlign w:val="center"/>
          </w:tcPr>
          <w:p w14:paraId="682AA113"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S</w:t>
            </w:r>
          </w:p>
        </w:tc>
        <w:tc>
          <w:tcPr>
            <w:tcW w:w="2296" w:type="dxa"/>
            <w:vAlign w:val="center"/>
          </w:tcPr>
          <w:p w14:paraId="467239A2" w14:textId="77777777" w:rsidR="008A701E" w:rsidRPr="00186BAB" w:rsidRDefault="008A701E" w:rsidP="008A701E">
            <w:pPr>
              <w:rPr>
                <w:rFonts w:ascii="Arial" w:hAnsi="Arial" w:cs="Arial"/>
                <w:sz w:val="20"/>
                <w:szCs w:val="20"/>
              </w:rPr>
            </w:pPr>
            <w:r w:rsidRPr="00186BAB">
              <w:rPr>
                <w:rFonts w:ascii="Arial" w:hAnsi="Arial" w:cs="Arial"/>
                <w:sz w:val="20"/>
                <w:szCs w:val="20"/>
              </w:rPr>
              <w:t>Assigned</w:t>
            </w:r>
          </w:p>
        </w:tc>
      </w:tr>
      <w:tr w:rsidR="008A701E" w:rsidRPr="00186BAB" w14:paraId="002D2631" w14:textId="77777777">
        <w:trPr>
          <w:trHeight w:val="255"/>
        </w:trPr>
        <w:tc>
          <w:tcPr>
            <w:tcW w:w="2297" w:type="dxa"/>
            <w:shd w:val="pct20" w:color="auto" w:fill="auto"/>
            <w:vAlign w:val="center"/>
          </w:tcPr>
          <w:p w14:paraId="23CBE8A0"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C</w:t>
            </w:r>
          </w:p>
        </w:tc>
        <w:tc>
          <w:tcPr>
            <w:tcW w:w="2297" w:type="dxa"/>
            <w:vAlign w:val="center"/>
          </w:tcPr>
          <w:p w14:paraId="60A7F513" w14:textId="77777777" w:rsidR="008A701E" w:rsidRPr="00186BAB" w:rsidRDefault="008A701E" w:rsidP="008A701E">
            <w:pPr>
              <w:rPr>
                <w:rFonts w:ascii="Arial" w:hAnsi="Arial" w:cs="Arial"/>
                <w:sz w:val="20"/>
                <w:szCs w:val="20"/>
              </w:rPr>
            </w:pPr>
            <w:r w:rsidRPr="00186BAB">
              <w:rPr>
                <w:rFonts w:ascii="Arial" w:hAnsi="Arial" w:cs="Arial"/>
                <w:sz w:val="20"/>
                <w:szCs w:val="20"/>
              </w:rPr>
              <w:t>Crossmatched</w:t>
            </w:r>
          </w:p>
        </w:tc>
        <w:tc>
          <w:tcPr>
            <w:tcW w:w="2296" w:type="dxa"/>
            <w:shd w:val="pct20" w:color="auto" w:fill="auto"/>
            <w:vAlign w:val="center"/>
          </w:tcPr>
          <w:p w14:paraId="2671C786"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T</w:t>
            </w:r>
          </w:p>
        </w:tc>
        <w:tc>
          <w:tcPr>
            <w:tcW w:w="2296" w:type="dxa"/>
            <w:vAlign w:val="center"/>
          </w:tcPr>
          <w:p w14:paraId="76002F8D" w14:textId="77777777" w:rsidR="008A701E" w:rsidRPr="00186BAB" w:rsidRDefault="008A701E" w:rsidP="008A701E">
            <w:pPr>
              <w:rPr>
                <w:rFonts w:ascii="Arial" w:hAnsi="Arial" w:cs="Arial"/>
                <w:sz w:val="20"/>
                <w:szCs w:val="20"/>
              </w:rPr>
            </w:pPr>
            <w:r w:rsidRPr="00186BAB">
              <w:rPr>
                <w:rFonts w:ascii="Arial" w:hAnsi="Arial" w:cs="Arial"/>
                <w:sz w:val="20"/>
                <w:szCs w:val="20"/>
              </w:rPr>
              <w:t>Transfused</w:t>
            </w:r>
          </w:p>
        </w:tc>
      </w:tr>
      <w:tr w:rsidR="008A701E" w:rsidRPr="00186BAB" w14:paraId="08562439" w14:textId="77777777">
        <w:trPr>
          <w:trHeight w:val="255"/>
        </w:trPr>
        <w:tc>
          <w:tcPr>
            <w:tcW w:w="2297" w:type="dxa"/>
            <w:shd w:val="pct20" w:color="auto" w:fill="auto"/>
            <w:vAlign w:val="center"/>
          </w:tcPr>
          <w:p w14:paraId="5F1EE3E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D</w:t>
            </w:r>
          </w:p>
        </w:tc>
        <w:tc>
          <w:tcPr>
            <w:tcW w:w="2297" w:type="dxa"/>
            <w:vAlign w:val="center"/>
          </w:tcPr>
          <w:p w14:paraId="3F1A781A" w14:textId="77777777" w:rsidR="008A701E" w:rsidRPr="00186BAB" w:rsidRDefault="008A701E" w:rsidP="008A701E">
            <w:pPr>
              <w:rPr>
                <w:rFonts w:ascii="Arial" w:hAnsi="Arial" w:cs="Arial"/>
                <w:sz w:val="20"/>
                <w:szCs w:val="20"/>
              </w:rPr>
            </w:pPr>
            <w:r w:rsidRPr="00186BAB">
              <w:rPr>
                <w:rFonts w:ascii="Arial" w:hAnsi="Arial" w:cs="Arial"/>
                <w:sz w:val="20"/>
                <w:szCs w:val="20"/>
              </w:rPr>
              <w:t>Discarded</w:t>
            </w:r>
          </w:p>
        </w:tc>
        <w:tc>
          <w:tcPr>
            <w:tcW w:w="2296" w:type="dxa"/>
            <w:shd w:val="pct20" w:color="auto" w:fill="auto"/>
            <w:vAlign w:val="center"/>
          </w:tcPr>
          <w:p w14:paraId="757E5B7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X</w:t>
            </w:r>
          </w:p>
        </w:tc>
        <w:tc>
          <w:tcPr>
            <w:tcW w:w="2296" w:type="dxa"/>
            <w:vAlign w:val="center"/>
          </w:tcPr>
          <w:p w14:paraId="0B8855F4" w14:textId="77777777" w:rsidR="008A701E" w:rsidRPr="00186BAB" w:rsidRDefault="008A701E" w:rsidP="008A701E">
            <w:pPr>
              <w:rPr>
                <w:rFonts w:ascii="Arial" w:hAnsi="Arial" w:cs="Arial"/>
                <w:sz w:val="20"/>
                <w:szCs w:val="20"/>
              </w:rPr>
            </w:pPr>
            <w:r w:rsidRPr="00186BAB">
              <w:rPr>
                <w:rFonts w:ascii="Arial" w:hAnsi="Arial" w:cs="Arial"/>
                <w:sz w:val="20"/>
                <w:szCs w:val="20"/>
              </w:rPr>
              <w:t>Transferred</w:t>
            </w:r>
          </w:p>
        </w:tc>
      </w:tr>
      <w:tr w:rsidR="008A701E" w:rsidRPr="00186BAB" w14:paraId="3A3DA0CB" w14:textId="77777777">
        <w:trPr>
          <w:trHeight w:val="255"/>
        </w:trPr>
        <w:tc>
          <w:tcPr>
            <w:tcW w:w="2297" w:type="dxa"/>
            <w:shd w:val="pct20" w:color="auto" w:fill="auto"/>
            <w:vAlign w:val="center"/>
          </w:tcPr>
          <w:p w14:paraId="6BB8431F"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I</w:t>
            </w:r>
          </w:p>
        </w:tc>
        <w:tc>
          <w:tcPr>
            <w:tcW w:w="2297" w:type="dxa"/>
            <w:vAlign w:val="center"/>
          </w:tcPr>
          <w:p w14:paraId="16F3E0BE" w14:textId="77777777" w:rsidR="008A701E" w:rsidRPr="00186BAB" w:rsidRDefault="008A701E" w:rsidP="008A701E">
            <w:pPr>
              <w:rPr>
                <w:rFonts w:ascii="Arial" w:hAnsi="Arial" w:cs="Arial"/>
                <w:sz w:val="20"/>
                <w:szCs w:val="20"/>
              </w:rPr>
            </w:pPr>
            <w:r w:rsidRPr="00186BAB">
              <w:rPr>
                <w:rFonts w:ascii="Arial" w:hAnsi="Arial" w:cs="Arial"/>
                <w:sz w:val="20"/>
                <w:szCs w:val="20"/>
              </w:rPr>
              <w:t>Issued</w:t>
            </w:r>
          </w:p>
        </w:tc>
        <w:tc>
          <w:tcPr>
            <w:tcW w:w="2296" w:type="dxa"/>
            <w:shd w:val="pct20" w:color="auto" w:fill="auto"/>
            <w:vAlign w:val="center"/>
          </w:tcPr>
          <w:p w14:paraId="2501A2D4"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DS</w:t>
            </w:r>
          </w:p>
        </w:tc>
        <w:tc>
          <w:tcPr>
            <w:tcW w:w="2296" w:type="dxa"/>
            <w:vAlign w:val="center"/>
          </w:tcPr>
          <w:p w14:paraId="4AD075A2" w14:textId="77777777" w:rsidR="008A701E" w:rsidRPr="00186BAB" w:rsidRDefault="008A701E" w:rsidP="008A701E">
            <w:pPr>
              <w:rPr>
                <w:rFonts w:ascii="Arial" w:hAnsi="Arial" w:cs="Arial"/>
                <w:sz w:val="20"/>
                <w:szCs w:val="20"/>
              </w:rPr>
            </w:pPr>
            <w:r w:rsidRPr="00186BAB">
              <w:rPr>
                <w:rFonts w:ascii="Arial" w:hAnsi="Arial" w:cs="Arial"/>
                <w:sz w:val="20"/>
                <w:szCs w:val="20"/>
              </w:rPr>
              <w:t>Dispense Unit (Issued)</w:t>
            </w:r>
          </w:p>
        </w:tc>
      </w:tr>
      <w:tr w:rsidR="008A701E" w:rsidRPr="00186BAB" w14:paraId="7DAB7EFD" w14:textId="77777777">
        <w:trPr>
          <w:trHeight w:val="255"/>
        </w:trPr>
        <w:tc>
          <w:tcPr>
            <w:tcW w:w="2297" w:type="dxa"/>
            <w:shd w:val="pct20" w:color="auto" w:fill="auto"/>
            <w:vAlign w:val="center"/>
          </w:tcPr>
          <w:p w14:paraId="694E5686"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L</w:t>
            </w:r>
          </w:p>
        </w:tc>
        <w:tc>
          <w:tcPr>
            <w:tcW w:w="2297" w:type="dxa"/>
            <w:vAlign w:val="center"/>
          </w:tcPr>
          <w:p w14:paraId="7D5A3728" w14:textId="77777777" w:rsidR="008A701E" w:rsidRPr="00186BAB" w:rsidRDefault="008A701E" w:rsidP="008A701E">
            <w:pPr>
              <w:rPr>
                <w:rFonts w:ascii="Arial" w:hAnsi="Arial" w:cs="Arial"/>
                <w:sz w:val="20"/>
                <w:szCs w:val="20"/>
              </w:rPr>
            </w:pPr>
            <w:r w:rsidRPr="00186BAB">
              <w:rPr>
                <w:rFonts w:ascii="Arial" w:hAnsi="Arial" w:cs="Arial"/>
                <w:sz w:val="20"/>
                <w:szCs w:val="20"/>
              </w:rPr>
              <w:t>Limited</w:t>
            </w:r>
          </w:p>
        </w:tc>
        <w:tc>
          <w:tcPr>
            <w:tcW w:w="2296" w:type="dxa"/>
            <w:shd w:val="pct20" w:color="auto" w:fill="auto"/>
            <w:vAlign w:val="center"/>
          </w:tcPr>
          <w:p w14:paraId="0902E9A1"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RE</w:t>
            </w:r>
          </w:p>
        </w:tc>
        <w:tc>
          <w:tcPr>
            <w:tcW w:w="2296" w:type="dxa"/>
            <w:vAlign w:val="center"/>
          </w:tcPr>
          <w:p w14:paraId="4FC96EC6" w14:textId="77777777" w:rsidR="008A701E" w:rsidRPr="00186BAB" w:rsidRDefault="008A701E" w:rsidP="008A701E">
            <w:pPr>
              <w:rPr>
                <w:rFonts w:ascii="Arial" w:hAnsi="Arial" w:cs="Arial"/>
                <w:sz w:val="20"/>
                <w:szCs w:val="20"/>
              </w:rPr>
            </w:pPr>
            <w:r w:rsidRPr="00186BAB">
              <w:rPr>
                <w:rFonts w:ascii="Arial" w:hAnsi="Arial" w:cs="Arial"/>
                <w:sz w:val="20"/>
                <w:szCs w:val="20"/>
              </w:rPr>
              <w:t>Release Unit</w:t>
            </w:r>
          </w:p>
        </w:tc>
      </w:tr>
      <w:tr w:rsidR="008A701E" w:rsidRPr="00186BAB" w14:paraId="7561C38F" w14:textId="77777777">
        <w:trPr>
          <w:trHeight w:val="255"/>
        </w:trPr>
        <w:tc>
          <w:tcPr>
            <w:tcW w:w="2297" w:type="dxa"/>
            <w:shd w:val="pct20" w:color="auto" w:fill="auto"/>
            <w:vAlign w:val="center"/>
          </w:tcPr>
          <w:p w14:paraId="3733A0AE"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M</w:t>
            </w:r>
          </w:p>
        </w:tc>
        <w:tc>
          <w:tcPr>
            <w:tcW w:w="2297" w:type="dxa"/>
            <w:vAlign w:val="center"/>
          </w:tcPr>
          <w:p w14:paraId="52A7F4EC" w14:textId="77777777" w:rsidR="008A701E" w:rsidRPr="00186BAB" w:rsidRDefault="008A701E" w:rsidP="008A701E">
            <w:pPr>
              <w:rPr>
                <w:rFonts w:ascii="Arial" w:hAnsi="Arial" w:cs="Arial"/>
                <w:sz w:val="20"/>
                <w:szCs w:val="20"/>
              </w:rPr>
            </w:pPr>
            <w:r w:rsidRPr="00186BAB">
              <w:rPr>
                <w:rFonts w:ascii="Arial" w:hAnsi="Arial" w:cs="Arial"/>
                <w:sz w:val="20"/>
                <w:szCs w:val="20"/>
              </w:rPr>
              <w:t>Modified</w:t>
            </w:r>
          </w:p>
        </w:tc>
        <w:tc>
          <w:tcPr>
            <w:tcW w:w="2296" w:type="dxa"/>
            <w:shd w:val="pct20" w:color="auto" w:fill="auto"/>
            <w:vAlign w:val="center"/>
          </w:tcPr>
          <w:p w14:paraId="106BE70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RS</w:t>
            </w:r>
          </w:p>
        </w:tc>
        <w:tc>
          <w:tcPr>
            <w:tcW w:w="2296" w:type="dxa"/>
            <w:vAlign w:val="center"/>
          </w:tcPr>
          <w:p w14:paraId="168B344A" w14:textId="77777777" w:rsidR="008A701E" w:rsidRPr="00186BAB" w:rsidRDefault="008A701E" w:rsidP="008A701E">
            <w:pPr>
              <w:rPr>
                <w:rFonts w:ascii="Arial" w:hAnsi="Arial" w:cs="Arial"/>
                <w:sz w:val="20"/>
                <w:szCs w:val="20"/>
              </w:rPr>
            </w:pPr>
            <w:r w:rsidRPr="00186BAB">
              <w:rPr>
                <w:rFonts w:ascii="Arial" w:hAnsi="Arial" w:cs="Arial"/>
                <w:sz w:val="20"/>
                <w:szCs w:val="20"/>
              </w:rPr>
              <w:t>Reserve Unit</w:t>
            </w:r>
          </w:p>
        </w:tc>
      </w:tr>
    </w:tbl>
    <w:p w14:paraId="42984C7F" w14:textId="77777777" w:rsidR="008A701E" w:rsidRPr="00186BAB" w:rsidRDefault="008A701E" w:rsidP="008A701E">
      <w:r w:rsidRPr="00C1371B">
        <w:t xml:space="preserve"> </w:t>
      </w:r>
    </w:p>
    <w:tbl>
      <w:tblPr>
        <w:tblW w:w="95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540"/>
        <w:gridCol w:w="1867"/>
        <w:gridCol w:w="3060"/>
        <w:gridCol w:w="1530"/>
        <w:gridCol w:w="2071"/>
      </w:tblGrid>
      <w:tr w:rsidR="008A701E" w:rsidRPr="006A2781" w14:paraId="1C810CA7" w14:textId="77777777" w:rsidTr="00A732E0">
        <w:trPr>
          <w:cantSplit/>
          <w:tblHeader/>
        </w:trPr>
        <w:tc>
          <w:tcPr>
            <w:tcW w:w="9518" w:type="dxa"/>
            <w:gridSpan w:val="6"/>
            <w:shd w:val="clear" w:color="auto" w:fill="C0C0C0"/>
            <w:vAlign w:val="bottom"/>
          </w:tcPr>
          <w:p w14:paraId="67BB6E3D" w14:textId="77777777" w:rsidR="008A701E" w:rsidRPr="006A2781" w:rsidRDefault="008A701E" w:rsidP="008A701E">
            <w:pPr>
              <w:jc w:val="center"/>
              <w:rPr>
                <w:rFonts w:ascii="Arial" w:hAnsi="Arial" w:cs="Arial"/>
                <w:b/>
                <w:bCs/>
                <w:sz w:val="18"/>
                <w:szCs w:val="18"/>
              </w:rPr>
            </w:pPr>
            <w:r w:rsidRPr="006A2781">
              <w:rPr>
                <w:rFonts w:ascii="Arial" w:hAnsi="Arial" w:cs="Arial"/>
                <w:b/>
                <w:sz w:val="18"/>
                <w:szCs w:val="18"/>
              </w:rPr>
              <w:t>BCE COTS Message Updates</w:t>
            </w:r>
          </w:p>
        </w:tc>
      </w:tr>
      <w:tr w:rsidR="008A701E" w:rsidRPr="006A2781" w14:paraId="72F56D1B" w14:textId="77777777" w:rsidTr="00A732E0">
        <w:trPr>
          <w:cantSplit/>
          <w:trHeight w:val="1134"/>
          <w:tblHeader/>
        </w:trPr>
        <w:tc>
          <w:tcPr>
            <w:tcW w:w="450" w:type="dxa"/>
            <w:shd w:val="clear" w:color="auto" w:fill="C0C0C0"/>
            <w:textDirection w:val="btLr"/>
            <w:vAlign w:val="bottom"/>
          </w:tcPr>
          <w:p w14:paraId="1DCF2B20" w14:textId="77777777" w:rsidR="008A701E" w:rsidRPr="006A2781" w:rsidRDefault="008A701E" w:rsidP="008A701E">
            <w:pPr>
              <w:ind w:left="113" w:right="113"/>
              <w:jc w:val="center"/>
              <w:rPr>
                <w:rFonts w:ascii="Arial" w:hAnsi="Arial" w:cs="Arial"/>
                <w:b/>
                <w:bCs/>
                <w:sz w:val="18"/>
                <w:szCs w:val="18"/>
              </w:rPr>
            </w:pPr>
            <w:r>
              <w:rPr>
                <w:rFonts w:ascii="Arial" w:hAnsi="Arial" w:cs="Arial"/>
                <w:b/>
                <w:bCs/>
                <w:sz w:val="18"/>
                <w:szCs w:val="18"/>
              </w:rPr>
              <w:t>Row #</w:t>
            </w:r>
          </w:p>
        </w:tc>
        <w:tc>
          <w:tcPr>
            <w:tcW w:w="540" w:type="dxa"/>
            <w:shd w:val="clear" w:color="auto" w:fill="C0C0C0"/>
            <w:textDirection w:val="btLr"/>
            <w:vAlign w:val="bottom"/>
          </w:tcPr>
          <w:p w14:paraId="2FB636E7" w14:textId="77777777" w:rsidR="008A701E" w:rsidRPr="006A2781" w:rsidRDefault="008A701E" w:rsidP="008A701E">
            <w:pPr>
              <w:ind w:left="113" w:right="113"/>
              <w:jc w:val="center"/>
              <w:rPr>
                <w:rFonts w:ascii="Arial" w:hAnsi="Arial" w:cs="Arial"/>
                <w:b/>
                <w:bCs/>
                <w:sz w:val="18"/>
                <w:szCs w:val="18"/>
              </w:rPr>
            </w:pPr>
            <w:r>
              <w:rPr>
                <w:rFonts w:ascii="Arial" w:hAnsi="Arial" w:cs="Arial"/>
                <w:b/>
                <w:bCs/>
                <w:sz w:val="18"/>
                <w:szCs w:val="18"/>
              </w:rPr>
              <w:t>Initial Unit Status</w:t>
            </w:r>
          </w:p>
        </w:tc>
        <w:tc>
          <w:tcPr>
            <w:tcW w:w="1867" w:type="dxa"/>
            <w:shd w:val="clear" w:color="auto" w:fill="C0C0C0"/>
            <w:vAlign w:val="bottom"/>
          </w:tcPr>
          <w:p w14:paraId="7C65124F" w14:textId="77777777" w:rsidR="008A701E" w:rsidRPr="006A2781" w:rsidRDefault="008A701E" w:rsidP="008A701E">
            <w:pPr>
              <w:rPr>
                <w:rFonts w:ascii="Arial" w:hAnsi="Arial" w:cs="Arial"/>
                <w:b/>
                <w:bCs/>
                <w:sz w:val="18"/>
                <w:szCs w:val="18"/>
              </w:rPr>
            </w:pPr>
            <w:r w:rsidRPr="006A2781">
              <w:rPr>
                <w:rFonts w:ascii="Arial" w:hAnsi="Arial" w:cs="Arial"/>
                <w:b/>
                <w:bCs/>
                <w:sz w:val="18"/>
                <w:szCs w:val="18"/>
              </w:rPr>
              <w:t>Processin</w:t>
            </w:r>
            <w:r>
              <w:rPr>
                <w:rFonts w:ascii="Arial" w:hAnsi="Arial" w:cs="Arial"/>
                <w:b/>
                <w:bCs/>
                <w:sz w:val="18"/>
                <w:szCs w:val="18"/>
              </w:rPr>
              <w:t>g Option</w:t>
            </w:r>
          </w:p>
        </w:tc>
        <w:tc>
          <w:tcPr>
            <w:tcW w:w="3060" w:type="dxa"/>
            <w:shd w:val="clear" w:color="auto" w:fill="C0C0C0"/>
            <w:vAlign w:val="bottom"/>
          </w:tcPr>
          <w:p w14:paraId="4C7C4B19" w14:textId="77777777" w:rsidR="008A701E" w:rsidRPr="006A2781" w:rsidRDefault="008A701E" w:rsidP="008A701E">
            <w:pPr>
              <w:rPr>
                <w:rFonts w:ascii="Arial" w:hAnsi="Arial" w:cs="Arial"/>
                <w:b/>
                <w:bCs/>
                <w:sz w:val="18"/>
                <w:szCs w:val="18"/>
              </w:rPr>
            </w:pPr>
            <w:r>
              <w:rPr>
                <w:rFonts w:ascii="Arial" w:hAnsi="Arial" w:cs="Arial"/>
                <w:b/>
                <w:bCs/>
                <w:sz w:val="18"/>
                <w:szCs w:val="18"/>
              </w:rPr>
              <w:t>Additional Information About t</w:t>
            </w:r>
            <w:r w:rsidRPr="006A2781">
              <w:rPr>
                <w:rFonts w:ascii="Arial" w:hAnsi="Arial" w:cs="Arial"/>
                <w:b/>
                <w:bCs/>
                <w:sz w:val="18"/>
                <w:szCs w:val="18"/>
              </w:rPr>
              <w:t xml:space="preserve">he Processing </w:t>
            </w:r>
            <w:r>
              <w:rPr>
                <w:rFonts w:ascii="Arial" w:hAnsi="Arial" w:cs="Arial"/>
                <w:b/>
                <w:bCs/>
                <w:sz w:val="18"/>
                <w:szCs w:val="18"/>
              </w:rPr>
              <w:t>Option</w:t>
            </w:r>
          </w:p>
        </w:tc>
        <w:tc>
          <w:tcPr>
            <w:tcW w:w="1530" w:type="dxa"/>
            <w:shd w:val="clear" w:color="auto" w:fill="C0C0C0"/>
            <w:vAlign w:val="bottom"/>
          </w:tcPr>
          <w:p w14:paraId="5759D539" w14:textId="77777777" w:rsidR="008A701E" w:rsidRPr="006A2781" w:rsidRDefault="008A701E" w:rsidP="008A701E">
            <w:pPr>
              <w:jc w:val="center"/>
              <w:rPr>
                <w:rFonts w:ascii="Arial" w:hAnsi="Arial" w:cs="Arial"/>
                <w:b/>
                <w:bCs/>
                <w:sz w:val="18"/>
                <w:szCs w:val="18"/>
              </w:rPr>
            </w:pPr>
            <w:r>
              <w:rPr>
                <w:rFonts w:ascii="Arial" w:hAnsi="Arial" w:cs="Arial"/>
                <w:b/>
                <w:bCs/>
                <w:sz w:val="18"/>
                <w:szCs w:val="18"/>
              </w:rPr>
              <w:t>Unit Status Exiting</w:t>
            </w:r>
            <w:r>
              <w:rPr>
                <w:rFonts w:ascii="Arial" w:hAnsi="Arial" w:cs="Arial"/>
                <w:b/>
                <w:bCs/>
                <w:sz w:val="18"/>
                <w:szCs w:val="18"/>
              </w:rPr>
              <w:br/>
              <w:t>t</w:t>
            </w:r>
            <w:r w:rsidRPr="006A2781">
              <w:rPr>
                <w:rFonts w:ascii="Arial" w:hAnsi="Arial" w:cs="Arial"/>
                <w:b/>
                <w:bCs/>
                <w:sz w:val="18"/>
                <w:szCs w:val="18"/>
              </w:rPr>
              <w:t xml:space="preserve">he </w:t>
            </w:r>
            <w:r>
              <w:rPr>
                <w:rFonts w:ascii="Arial" w:hAnsi="Arial" w:cs="Arial"/>
                <w:b/>
                <w:bCs/>
                <w:sz w:val="18"/>
                <w:szCs w:val="18"/>
              </w:rPr>
              <w:t>Option</w:t>
            </w:r>
          </w:p>
        </w:tc>
        <w:tc>
          <w:tcPr>
            <w:tcW w:w="2070" w:type="dxa"/>
            <w:shd w:val="clear" w:color="auto" w:fill="C0C0C0"/>
            <w:noWrap/>
            <w:vAlign w:val="bottom"/>
          </w:tcPr>
          <w:p w14:paraId="2C55CF10" w14:textId="77777777" w:rsidR="008A701E" w:rsidRPr="006A2781" w:rsidRDefault="008A701E" w:rsidP="008A701E">
            <w:pPr>
              <w:rPr>
                <w:rFonts w:ascii="Arial" w:hAnsi="Arial" w:cs="Arial"/>
                <w:b/>
                <w:sz w:val="18"/>
                <w:szCs w:val="18"/>
              </w:rPr>
            </w:pPr>
            <w:r>
              <w:rPr>
                <w:rFonts w:ascii="Arial" w:hAnsi="Arial" w:cs="Arial"/>
                <w:b/>
                <w:bCs/>
                <w:sz w:val="18"/>
                <w:szCs w:val="18"/>
              </w:rPr>
              <w:t>Unit Status Reported to BCE COTS</w:t>
            </w:r>
          </w:p>
        </w:tc>
      </w:tr>
      <w:tr w:rsidR="008A701E" w:rsidRPr="006A2781" w14:paraId="666C21DE" w14:textId="77777777" w:rsidTr="00A732E0">
        <w:trPr>
          <w:cantSplit/>
          <w:trHeight w:val="255"/>
        </w:trPr>
        <w:tc>
          <w:tcPr>
            <w:tcW w:w="450" w:type="dxa"/>
            <w:vAlign w:val="bottom"/>
          </w:tcPr>
          <w:p w14:paraId="4C678BE9" w14:textId="77777777" w:rsidR="008A701E" w:rsidRPr="006A2781" w:rsidRDefault="008A701E" w:rsidP="008A701E">
            <w:pPr>
              <w:jc w:val="center"/>
              <w:rPr>
                <w:rFonts w:ascii="Arial" w:hAnsi="Arial" w:cs="Arial"/>
                <w:sz w:val="18"/>
                <w:szCs w:val="18"/>
              </w:rPr>
            </w:pPr>
            <w:r>
              <w:rPr>
                <w:rFonts w:ascii="Arial" w:hAnsi="Arial" w:cs="Arial"/>
                <w:sz w:val="18"/>
                <w:szCs w:val="18"/>
              </w:rPr>
              <w:t>1</w:t>
            </w:r>
          </w:p>
        </w:tc>
        <w:tc>
          <w:tcPr>
            <w:tcW w:w="540" w:type="dxa"/>
            <w:vAlign w:val="bottom"/>
          </w:tcPr>
          <w:p w14:paraId="3B6F411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1867" w:type="dxa"/>
            <w:shd w:val="clear" w:color="auto" w:fill="auto"/>
            <w:noWrap/>
            <w:vAlign w:val="bottom"/>
          </w:tcPr>
          <w:p w14:paraId="3620C1DC" w14:textId="77777777" w:rsidR="008A701E" w:rsidRPr="006A2781" w:rsidRDefault="008A701E" w:rsidP="008A701E">
            <w:pPr>
              <w:rPr>
                <w:rFonts w:ascii="Arial" w:hAnsi="Arial" w:cs="Arial"/>
                <w:sz w:val="18"/>
                <w:szCs w:val="18"/>
              </w:rPr>
            </w:pPr>
            <w:r>
              <w:rPr>
                <w:rFonts w:ascii="Arial" w:hAnsi="Arial" w:cs="Arial"/>
                <w:sz w:val="18"/>
                <w:szCs w:val="18"/>
              </w:rPr>
              <w:t>Select Unit for Patient</w:t>
            </w:r>
          </w:p>
        </w:tc>
        <w:tc>
          <w:tcPr>
            <w:tcW w:w="3060" w:type="dxa"/>
            <w:shd w:val="clear" w:color="auto" w:fill="auto"/>
            <w:noWrap/>
            <w:vAlign w:val="bottom"/>
          </w:tcPr>
          <w:p w14:paraId="21B9D8BC"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w:t>
            </w:r>
          </w:p>
        </w:tc>
        <w:tc>
          <w:tcPr>
            <w:tcW w:w="1530" w:type="dxa"/>
            <w:shd w:val="clear" w:color="auto" w:fill="auto"/>
            <w:noWrap/>
            <w:vAlign w:val="bottom"/>
          </w:tcPr>
          <w:p w14:paraId="71BC668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63B65F1F"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1E6E86C1" w14:textId="77777777" w:rsidTr="00A732E0">
        <w:trPr>
          <w:cantSplit/>
          <w:trHeight w:val="255"/>
        </w:trPr>
        <w:tc>
          <w:tcPr>
            <w:tcW w:w="450" w:type="dxa"/>
            <w:vAlign w:val="bottom"/>
          </w:tcPr>
          <w:p w14:paraId="5D5C3A48" w14:textId="77777777" w:rsidR="008A701E" w:rsidRPr="006A2781" w:rsidRDefault="008A701E" w:rsidP="008A701E">
            <w:pPr>
              <w:jc w:val="center"/>
              <w:rPr>
                <w:rFonts w:ascii="Arial" w:hAnsi="Arial" w:cs="Arial"/>
                <w:sz w:val="18"/>
                <w:szCs w:val="18"/>
              </w:rPr>
            </w:pPr>
            <w:r>
              <w:rPr>
                <w:rFonts w:ascii="Arial" w:hAnsi="Arial" w:cs="Arial"/>
                <w:sz w:val="18"/>
                <w:szCs w:val="18"/>
              </w:rPr>
              <w:t>2</w:t>
            </w:r>
          </w:p>
        </w:tc>
        <w:tc>
          <w:tcPr>
            <w:tcW w:w="540" w:type="dxa"/>
            <w:vAlign w:val="bottom"/>
          </w:tcPr>
          <w:p w14:paraId="3634C6E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1867" w:type="dxa"/>
            <w:shd w:val="clear" w:color="auto" w:fill="auto"/>
            <w:noWrap/>
          </w:tcPr>
          <w:p w14:paraId="21C06C15" w14:textId="77777777" w:rsidR="008A701E" w:rsidRDefault="008A701E" w:rsidP="008A701E">
            <w:r w:rsidRPr="00E47E59">
              <w:rPr>
                <w:rFonts w:ascii="Arial" w:hAnsi="Arial" w:cs="Arial"/>
                <w:sz w:val="18"/>
                <w:szCs w:val="18"/>
              </w:rPr>
              <w:t>Select Unit for Patient</w:t>
            </w:r>
          </w:p>
        </w:tc>
        <w:tc>
          <w:tcPr>
            <w:tcW w:w="3060" w:type="dxa"/>
            <w:shd w:val="clear" w:color="auto" w:fill="auto"/>
            <w:noWrap/>
            <w:vAlign w:val="bottom"/>
          </w:tcPr>
          <w:p w14:paraId="6DFF3060" w14:textId="77777777" w:rsidR="008A701E" w:rsidRPr="006A2781" w:rsidRDefault="008A701E" w:rsidP="008A701E">
            <w:pPr>
              <w:rPr>
                <w:rFonts w:ascii="Arial" w:hAnsi="Arial" w:cs="Arial"/>
                <w:sz w:val="18"/>
                <w:szCs w:val="18"/>
              </w:rPr>
            </w:pPr>
            <w:r w:rsidRPr="006A2781">
              <w:rPr>
                <w:rFonts w:ascii="Arial" w:hAnsi="Arial" w:cs="Arial"/>
                <w:sz w:val="18"/>
                <w:szCs w:val="18"/>
              </w:rPr>
              <w:t>Emergency issue flow</w:t>
            </w:r>
          </w:p>
        </w:tc>
        <w:tc>
          <w:tcPr>
            <w:tcW w:w="1530" w:type="dxa"/>
            <w:shd w:val="clear" w:color="auto" w:fill="auto"/>
            <w:noWrap/>
            <w:vAlign w:val="bottom"/>
          </w:tcPr>
          <w:p w14:paraId="71EFCF6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7F49E6D"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291F9AAB" w14:textId="77777777" w:rsidTr="00A732E0">
        <w:trPr>
          <w:cantSplit/>
          <w:trHeight w:val="255"/>
        </w:trPr>
        <w:tc>
          <w:tcPr>
            <w:tcW w:w="450" w:type="dxa"/>
            <w:vAlign w:val="bottom"/>
          </w:tcPr>
          <w:p w14:paraId="113454B6" w14:textId="77777777" w:rsidR="008A701E" w:rsidRDefault="008A701E" w:rsidP="008A701E">
            <w:pPr>
              <w:jc w:val="center"/>
              <w:rPr>
                <w:rFonts w:ascii="Arial" w:hAnsi="Arial" w:cs="Arial"/>
                <w:sz w:val="18"/>
                <w:szCs w:val="18"/>
              </w:rPr>
            </w:pPr>
            <w:r>
              <w:rPr>
                <w:rFonts w:ascii="Arial" w:hAnsi="Arial" w:cs="Arial"/>
                <w:sz w:val="18"/>
                <w:szCs w:val="18"/>
              </w:rPr>
              <w:t>3</w:t>
            </w:r>
          </w:p>
        </w:tc>
        <w:tc>
          <w:tcPr>
            <w:tcW w:w="540" w:type="dxa"/>
            <w:vAlign w:val="bottom"/>
          </w:tcPr>
          <w:p w14:paraId="1FA27F3E"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1867" w:type="dxa"/>
            <w:shd w:val="clear" w:color="auto" w:fill="auto"/>
            <w:noWrap/>
          </w:tcPr>
          <w:p w14:paraId="37F83F0C" w14:textId="77777777" w:rsidR="008A701E" w:rsidRDefault="008A701E" w:rsidP="008A701E">
            <w:r w:rsidRPr="00E47E59">
              <w:rPr>
                <w:rFonts w:ascii="Arial" w:hAnsi="Arial" w:cs="Arial"/>
                <w:sz w:val="18"/>
                <w:szCs w:val="18"/>
              </w:rPr>
              <w:t>Select Unit for Patient</w:t>
            </w:r>
          </w:p>
        </w:tc>
        <w:tc>
          <w:tcPr>
            <w:tcW w:w="3060" w:type="dxa"/>
            <w:shd w:val="clear" w:color="auto" w:fill="auto"/>
            <w:noWrap/>
            <w:vAlign w:val="bottom"/>
          </w:tcPr>
          <w:p w14:paraId="49977AD0" w14:textId="77777777" w:rsidR="008A701E" w:rsidRPr="006A2781" w:rsidRDefault="008A701E" w:rsidP="008A701E">
            <w:pPr>
              <w:rPr>
                <w:rFonts w:ascii="Arial" w:hAnsi="Arial" w:cs="Arial"/>
                <w:sz w:val="18"/>
                <w:szCs w:val="18"/>
              </w:rPr>
            </w:pPr>
            <w:r w:rsidRPr="006A2781">
              <w:rPr>
                <w:rFonts w:ascii="Arial" w:hAnsi="Arial" w:cs="Arial"/>
                <w:sz w:val="18"/>
                <w:szCs w:val="18"/>
              </w:rPr>
              <w:t>Electronic Crossmatch processed</w:t>
            </w:r>
          </w:p>
        </w:tc>
        <w:tc>
          <w:tcPr>
            <w:tcW w:w="1530" w:type="dxa"/>
            <w:shd w:val="clear" w:color="auto" w:fill="auto"/>
            <w:noWrap/>
            <w:vAlign w:val="bottom"/>
          </w:tcPr>
          <w:p w14:paraId="534F540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255781E9"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7CB3893" w14:textId="77777777" w:rsidTr="00A732E0">
        <w:trPr>
          <w:cantSplit/>
          <w:trHeight w:val="255"/>
        </w:trPr>
        <w:tc>
          <w:tcPr>
            <w:tcW w:w="450" w:type="dxa"/>
            <w:vAlign w:val="bottom"/>
          </w:tcPr>
          <w:p w14:paraId="3C7D4F7D" w14:textId="77777777" w:rsidR="008A701E" w:rsidRPr="006A2781" w:rsidRDefault="008A701E" w:rsidP="008A701E">
            <w:pPr>
              <w:jc w:val="center"/>
              <w:rPr>
                <w:rFonts w:ascii="Arial" w:hAnsi="Arial" w:cs="Arial"/>
                <w:sz w:val="18"/>
                <w:szCs w:val="18"/>
              </w:rPr>
            </w:pPr>
            <w:r>
              <w:rPr>
                <w:rFonts w:ascii="Arial" w:hAnsi="Arial" w:cs="Arial"/>
                <w:sz w:val="18"/>
                <w:szCs w:val="18"/>
              </w:rPr>
              <w:t>4</w:t>
            </w:r>
          </w:p>
        </w:tc>
        <w:tc>
          <w:tcPr>
            <w:tcW w:w="540" w:type="dxa"/>
            <w:vAlign w:val="bottom"/>
          </w:tcPr>
          <w:p w14:paraId="2E5F3F2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707C093"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1F737A5B"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2C29BC5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2070" w:type="dxa"/>
            <w:shd w:val="clear" w:color="auto" w:fill="auto"/>
            <w:noWrap/>
            <w:vAlign w:val="bottom"/>
          </w:tcPr>
          <w:p w14:paraId="582A3F4C" w14:textId="77777777" w:rsidR="008A701E" w:rsidRPr="006A2781" w:rsidRDefault="008A701E" w:rsidP="008A701E">
            <w:pPr>
              <w:rPr>
                <w:rFonts w:ascii="Arial" w:hAnsi="Arial" w:cs="Arial"/>
                <w:sz w:val="18"/>
                <w:szCs w:val="18"/>
              </w:rPr>
            </w:pPr>
            <w:r w:rsidRPr="006A2781">
              <w:rPr>
                <w:rFonts w:ascii="Arial" w:hAnsi="Arial" w:cs="Arial"/>
                <w:sz w:val="18"/>
                <w:szCs w:val="18"/>
              </w:rPr>
              <w:t>RE upon confirmation</w:t>
            </w:r>
          </w:p>
        </w:tc>
      </w:tr>
      <w:tr w:rsidR="008A701E" w:rsidRPr="006A2781" w14:paraId="24C7BC65" w14:textId="77777777" w:rsidTr="00A732E0">
        <w:trPr>
          <w:cantSplit/>
          <w:trHeight w:val="255"/>
        </w:trPr>
        <w:tc>
          <w:tcPr>
            <w:tcW w:w="450" w:type="dxa"/>
            <w:vAlign w:val="bottom"/>
          </w:tcPr>
          <w:p w14:paraId="7A4643CE" w14:textId="77777777" w:rsidR="008A701E" w:rsidRPr="006A2781" w:rsidRDefault="008A701E" w:rsidP="008A701E">
            <w:pPr>
              <w:jc w:val="center"/>
              <w:rPr>
                <w:rFonts w:ascii="Arial" w:hAnsi="Arial" w:cs="Arial"/>
                <w:sz w:val="18"/>
                <w:szCs w:val="18"/>
              </w:rPr>
            </w:pPr>
            <w:r>
              <w:rPr>
                <w:rFonts w:ascii="Arial" w:hAnsi="Arial" w:cs="Arial"/>
                <w:sz w:val="18"/>
                <w:szCs w:val="18"/>
              </w:rPr>
              <w:t>5</w:t>
            </w:r>
          </w:p>
        </w:tc>
        <w:tc>
          <w:tcPr>
            <w:tcW w:w="540" w:type="dxa"/>
            <w:vAlign w:val="bottom"/>
          </w:tcPr>
          <w:p w14:paraId="74A41EF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57449736"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7D69D658"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 upon confirmation</w:t>
            </w:r>
          </w:p>
        </w:tc>
        <w:tc>
          <w:tcPr>
            <w:tcW w:w="1530" w:type="dxa"/>
            <w:shd w:val="clear" w:color="auto" w:fill="auto"/>
            <w:noWrap/>
            <w:vAlign w:val="bottom"/>
          </w:tcPr>
          <w:p w14:paraId="6050E5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 (then X when confirmed)</w:t>
            </w:r>
          </w:p>
        </w:tc>
        <w:tc>
          <w:tcPr>
            <w:tcW w:w="2070" w:type="dxa"/>
            <w:shd w:val="clear" w:color="auto" w:fill="auto"/>
            <w:noWrap/>
            <w:vAlign w:val="bottom"/>
          </w:tcPr>
          <w:p w14:paraId="1A720F75" w14:textId="77777777" w:rsidR="008A701E" w:rsidRPr="006A2781" w:rsidRDefault="008A701E" w:rsidP="008A701E">
            <w:pPr>
              <w:rPr>
                <w:rFonts w:ascii="Arial" w:hAnsi="Arial" w:cs="Arial"/>
                <w:sz w:val="18"/>
                <w:szCs w:val="18"/>
              </w:rPr>
            </w:pPr>
            <w:r w:rsidRPr="006A2781">
              <w:rPr>
                <w:rFonts w:ascii="Arial" w:hAnsi="Arial" w:cs="Arial"/>
                <w:sz w:val="18"/>
                <w:szCs w:val="18"/>
              </w:rPr>
              <w:t>RE sent when release processed</w:t>
            </w:r>
          </w:p>
        </w:tc>
      </w:tr>
      <w:tr w:rsidR="008A701E" w:rsidRPr="006A2781" w14:paraId="29C6E63C" w14:textId="77777777" w:rsidTr="00A732E0">
        <w:trPr>
          <w:cantSplit/>
          <w:trHeight w:val="255"/>
        </w:trPr>
        <w:tc>
          <w:tcPr>
            <w:tcW w:w="450" w:type="dxa"/>
            <w:vAlign w:val="bottom"/>
          </w:tcPr>
          <w:p w14:paraId="1D932DB5" w14:textId="77777777" w:rsidR="008A701E" w:rsidRPr="006A2781" w:rsidRDefault="008A701E" w:rsidP="008A701E">
            <w:pPr>
              <w:jc w:val="center"/>
              <w:rPr>
                <w:rFonts w:ascii="Arial" w:hAnsi="Arial" w:cs="Arial"/>
                <w:sz w:val="18"/>
                <w:szCs w:val="18"/>
              </w:rPr>
            </w:pPr>
            <w:r>
              <w:rPr>
                <w:rFonts w:ascii="Arial" w:hAnsi="Arial" w:cs="Arial"/>
                <w:sz w:val="18"/>
                <w:szCs w:val="18"/>
              </w:rPr>
              <w:t>6</w:t>
            </w:r>
          </w:p>
        </w:tc>
        <w:tc>
          <w:tcPr>
            <w:tcW w:w="540" w:type="dxa"/>
            <w:vAlign w:val="bottom"/>
          </w:tcPr>
          <w:p w14:paraId="324D496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5A04D2CC"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0617BDAB"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57D40FA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2070" w:type="dxa"/>
            <w:shd w:val="clear" w:color="auto" w:fill="auto"/>
            <w:noWrap/>
            <w:vAlign w:val="bottom"/>
          </w:tcPr>
          <w:p w14:paraId="7D686A67" w14:textId="77777777" w:rsidR="008A701E" w:rsidRPr="006A2781" w:rsidRDefault="008A701E" w:rsidP="008A701E">
            <w:pPr>
              <w:rPr>
                <w:rFonts w:ascii="Arial" w:hAnsi="Arial" w:cs="Arial"/>
                <w:sz w:val="18"/>
                <w:szCs w:val="18"/>
              </w:rPr>
            </w:pPr>
            <w:r w:rsidRPr="006A2781">
              <w:rPr>
                <w:rFonts w:ascii="Arial" w:hAnsi="Arial" w:cs="Arial"/>
                <w:sz w:val="18"/>
                <w:szCs w:val="18"/>
              </w:rPr>
              <w:t>RE upon confirmation</w:t>
            </w:r>
          </w:p>
        </w:tc>
      </w:tr>
      <w:tr w:rsidR="008A701E" w:rsidRPr="006A2781" w14:paraId="5C18244A" w14:textId="77777777" w:rsidTr="00A732E0">
        <w:trPr>
          <w:cantSplit/>
          <w:trHeight w:val="255"/>
        </w:trPr>
        <w:tc>
          <w:tcPr>
            <w:tcW w:w="450" w:type="dxa"/>
            <w:vAlign w:val="bottom"/>
          </w:tcPr>
          <w:p w14:paraId="4E7B462A" w14:textId="77777777" w:rsidR="008A701E" w:rsidRPr="006A2781" w:rsidRDefault="008A701E" w:rsidP="008A701E">
            <w:pPr>
              <w:jc w:val="center"/>
              <w:rPr>
                <w:rFonts w:ascii="Arial" w:hAnsi="Arial" w:cs="Arial"/>
                <w:sz w:val="18"/>
                <w:szCs w:val="18"/>
              </w:rPr>
            </w:pPr>
            <w:r>
              <w:rPr>
                <w:rFonts w:ascii="Arial" w:hAnsi="Arial" w:cs="Arial"/>
                <w:sz w:val="18"/>
                <w:szCs w:val="18"/>
              </w:rPr>
              <w:t>7</w:t>
            </w:r>
          </w:p>
        </w:tc>
        <w:tc>
          <w:tcPr>
            <w:tcW w:w="540" w:type="dxa"/>
            <w:vAlign w:val="bottom"/>
          </w:tcPr>
          <w:p w14:paraId="6A3FA6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26D7F6C7"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4622FA9F"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 upon confirmation</w:t>
            </w:r>
          </w:p>
        </w:tc>
        <w:tc>
          <w:tcPr>
            <w:tcW w:w="1530" w:type="dxa"/>
            <w:shd w:val="clear" w:color="auto" w:fill="auto"/>
            <w:noWrap/>
            <w:vAlign w:val="bottom"/>
          </w:tcPr>
          <w:p w14:paraId="46F586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 (then X when confirmed)</w:t>
            </w:r>
          </w:p>
        </w:tc>
        <w:tc>
          <w:tcPr>
            <w:tcW w:w="2070" w:type="dxa"/>
            <w:shd w:val="clear" w:color="auto" w:fill="auto"/>
            <w:noWrap/>
            <w:vAlign w:val="bottom"/>
          </w:tcPr>
          <w:p w14:paraId="5440FC33" w14:textId="77777777" w:rsidR="008A701E" w:rsidRPr="006A2781" w:rsidRDefault="008A701E" w:rsidP="008A701E">
            <w:pPr>
              <w:rPr>
                <w:rFonts w:ascii="Arial" w:hAnsi="Arial" w:cs="Arial"/>
                <w:sz w:val="18"/>
                <w:szCs w:val="18"/>
              </w:rPr>
            </w:pPr>
            <w:r w:rsidRPr="006A2781">
              <w:rPr>
                <w:rFonts w:ascii="Arial" w:hAnsi="Arial" w:cs="Arial"/>
                <w:sz w:val="18"/>
                <w:szCs w:val="18"/>
              </w:rPr>
              <w:t>RE sent when release processed</w:t>
            </w:r>
          </w:p>
        </w:tc>
      </w:tr>
      <w:tr w:rsidR="008A701E" w:rsidRPr="006A2781" w14:paraId="6B6109C8" w14:textId="77777777" w:rsidTr="00A732E0">
        <w:trPr>
          <w:cantSplit/>
          <w:trHeight w:val="255"/>
        </w:trPr>
        <w:tc>
          <w:tcPr>
            <w:tcW w:w="450" w:type="dxa"/>
            <w:vAlign w:val="bottom"/>
          </w:tcPr>
          <w:p w14:paraId="25351D13" w14:textId="77777777" w:rsidR="008A701E" w:rsidRPr="006A2781" w:rsidRDefault="008A701E" w:rsidP="008A701E">
            <w:pPr>
              <w:jc w:val="center"/>
              <w:rPr>
                <w:rFonts w:ascii="Arial" w:hAnsi="Arial" w:cs="Arial"/>
                <w:sz w:val="18"/>
                <w:szCs w:val="18"/>
              </w:rPr>
            </w:pPr>
            <w:r>
              <w:rPr>
                <w:rFonts w:ascii="Arial" w:hAnsi="Arial" w:cs="Arial"/>
                <w:sz w:val="18"/>
                <w:szCs w:val="18"/>
              </w:rPr>
              <w:t>8</w:t>
            </w:r>
          </w:p>
        </w:tc>
        <w:tc>
          <w:tcPr>
            <w:tcW w:w="540" w:type="dxa"/>
            <w:vAlign w:val="bottom"/>
          </w:tcPr>
          <w:p w14:paraId="01A934D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1867" w:type="dxa"/>
            <w:shd w:val="clear" w:color="auto" w:fill="auto"/>
            <w:noWrap/>
            <w:vAlign w:val="bottom"/>
          </w:tcPr>
          <w:p w14:paraId="535D4598"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3C43AD1D"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Crossmatched</w:t>
            </w:r>
          </w:p>
        </w:tc>
        <w:tc>
          <w:tcPr>
            <w:tcW w:w="1530" w:type="dxa"/>
            <w:shd w:val="clear" w:color="auto" w:fill="auto"/>
            <w:noWrap/>
            <w:vAlign w:val="bottom"/>
          </w:tcPr>
          <w:p w14:paraId="0B550F2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5931ED14"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32D8F88A" w14:textId="77777777" w:rsidTr="00A732E0">
        <w:trPr>
          <w:cantSplit/>
          <w:trHeight w:val="255"/>
        </w:trPr>
        <w:tc>
          <w:tcPr>
            <w:tcW w:w="450" w:type="dxa"/>
            <w:vAlign w:val="bottom"/>
          </w:tcPr>
          <w:p w14:paraId="04C11E9E" w14:textId="77777777" w:rsidR="008A701E" w:rsidRPr="006A2781" w:rsidRDefault="008A701E" w:rsidP="008A701E">
            <w:pPr>
              <w:jc w:val="center"/>
              <w:rPr>
                <w:rFonts w:ascii="Arial" w:hAnsi="Arial" w:cs="Arial"/>
                <w:sz w:val="18"/>
                <w:szCs w:val="18"/>
              </w:rPr>
            </w:pPr>
            <w:r>
              <w:rPr>
                <w:rFonts w:ascii="Arial" w:hAnsi="Arial" w:cs="Arial"/>
                <w:sz w:val="18"/>
                <w:szCs w:val="18"/>
              </w:rPr>
              <w:t>9</w:t>
            </w:r>
          </w:p>
        </w:tc>
        <w:tc>
          <w:tcPr>
            <w:tcW w:w="540" w:type="dxa"/>
            <w:vAlign w:val="bottom"/>
          </w:tcPr>
          <w:p w14:paraId="7FC048A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1867" w:type="dxa"/>
            <w:shd w:val="clear" w:color="auto" w:fill="auto"/>
            <w:noWrap/>
            <w:vAlign w:val="bottom"/>
          </w:tcPr>
          <w:p w14:paraId="0EB0CDF2"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2FD98047"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Assigned</w:t>
            </w:r>
          </w:p>
        </w:tc>
        <w:tc>
          <w:tcPr>
            <w:tcW w:w="1530" w:type="dxa"/>
            <w:shd w:val="clear" w:color="auto" w:fill="auto"/>
            <w:noWrap/>
            <w:vAlign w:val="bottom"/>
          </w:tcPr>
          <w:p w14:paraId="461AE29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0735037"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10670528" w14:textId="77777777" w:rsidTr="00A732E0">
        <w:trPr>
          <w:cantSplit/>
          <w:trHeight w:val="255"/>
        </w:trPr>
        <w:tc>
          <w:tcPr>
            <w:tcW w:w="450" w:type="dxa"/>
            <w:vAlign w:val="bottom"/>
          </w:tcPr>
          <w:p w14:paraId="48C3A691" w14:textId="77777777" w:rsidR="008A701E" w:rsidRPr="006A2781" w:rsidRDefault="008A701E" w:rsidP="008A701E">
            <w:pPr>
              <w:jc w:val="center"/>
              <w:rPr>
                <w:rFonts w:ascii="Arial" w:hAnsi="Arial" w:cs="Arial"/>
                <w:sz w:val="18"/>
                <w:szCs w:val="18"/>
              </w:rPr>
            </w:pPr>
            <w:r>
              <w:rPr>
                <w:rFonts w:ascii="Arial" w:hAnsi="Arial" w:cs="Arial"/>
                <w:sz w:val="18"/>
                <w:szCs w:val="18"/>
              </w:rPr>
              <w:t>10</w:t>
            </w:r>
          </w:p>
        </w:tc>
        <w:tc>
          <w:tcPr>
            <w:tcW w:w="540" w:type="dxa"/>
            <w:vAlign w:val="bottom"/>
          </w:tcPr>
          <w:p w14:paraId="14D9D9C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048362C3"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3F70754F" w14:textId="77777777" w:rsidR="008A701E" w:rsidRPr="006A2781" w:rsidRDefault="008A701E" w:rsidP="008A701E">
            <w:pPr>
              <w:rPr>
                <w:rFonts w:ascii="Arial" w:hAnsi="Arial" w:cs="Arial"/>
                <w:sz w:val="18"/>
                <w:szCs w:val="18"/>
              </w:rPr>
            </w:pPr>
            <w:r w:rsidRPr="006A2781">
              <w:rPr>
                <w:rFonts w:ascii="Arial" w:hAnsi="Arial" w:cs="Arial"/>
                <w:sz w:val="18"/>
                <w:szCs w:val="18"/>
              </w:rPr>
              <w:t>Remove Modification</w:t>
            </w:r>
          </w:p>
        </w:tc>
        <w:tc>
          <w:tcPr>
            <w:tcW w:w="1530" w:type="dxa"/>
            <w:shd w:val="clear" w:color="auto" w:fill="auto"/>
            <w:noWrap/>
            <w:vAlign w:val="bottom"/>
          </w:tcPr>
          <w:p w14:paraId="58512074"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2070" w:type="dxa"/>
            <w:shd w:val="clear" w:color="auto" w:fill="auto"/>
            <w:noWrap/>
            <w:vAlign w:val="bottom"/>
          </w:tcPr>
          <w:p w14:paraId="3B56EA4B" w14:textId="77777777" w:rsidR="008A701E" w:rsidRPr="006A2781" w:rsidRDefault="008A701E" w:rsidP="008A701E">
            <w:pPr>
              <w:rPr>
                <w:rFonts w:ascii="Arial" w:hAnsi="Arial" w:cs="Arial"/>
                <w:sz w:val="18"/>
                <w:szCs w:val="18"/>
              </w:rPr>
            </w:pPr>
            <w:r>
              <w:rPr>
                <w:rFonts w:ascii="Arial" w:hAnsi="Arial" w:cs="Arial"/>
                <w:sz w:val="18"/>
                <w:szCs w:val="18"/>
              </w:rPr>
              <w:t>No message resent</w:t>
            </w:r>
          </w:p>
        </w:tc>
      </w:tr>
      <w:tr w:rsidR="008A701E" w:rsidRPr="006A2781" w14:paraId="041FC28F" w14:textId="77777777" w:rsidTr="00A732E0">
        <w:trPr>
          <w:cantSplit/>
          <w:trHeight w:val="255"/>
        </w:trPr>
        <w:tc>
          <w:tcPr>
            <w:tcW w:w="450" w:type="dxa"/>
            <w:vAlign w:val="bottom"/>
          </w:tcPr>
          <w:p w14:paraId="5B3D9510" w14:textId="77777777" w:rsidR="008A701E" w:rsidRPr="006A2781" w:rsidRDefault="008A701E" w:rsidP="008A701E">
            <w:pPr>
              <w:jc w:val="center"/>
              <w:rPr>
                <w:rFonts w:ascii="Arial" w:hAnsi="Arial" w:cs="Arial"/>
                <w:sz w:val="18"/>
                <w:szCs w:val="18"/>
              </w:rPr>
            </w:pPr>
            <w:r>
              <w:rPr>
                <w:rFonts w:ascii="Arial" w:hAnsi="Arial" w:cs="Arial"/>
                <w:sz w:val="18"/>
                <w:szCs w:val="18"/>
              </w:rPr>
              <w:t>11</w:t>
            </w:r>
          </w:p>
        </w:tc>
        <w:tc>
          <w:tcPr>
            <w:tcW w:w="540" w:type="dxa"/>
            <w:vAlign w:val="bottom"/>
          </w:tcPr>
          <w:p w14:paraId="648C763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1867" w:type="dxa"/>
            <w:shd w:val="clear" w:color="auto" w:fill="auto"/>
            <w:noWrap/>
            <w:vAlign w:val="bottom"/>
          </w:tcPr>
          <w:p w14:paraId="7BA09317"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5A37DB81"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Crossmatched</w:t>
            </w:r>
          </w:p>
        </w:tc>
        <w:tc>
          <w:tcPr>
            <w:tcW w:w="1530" w:type="dxa"/>
            <w:shd w:val="clear" w:color="auto" w:fill="auto"/>
            <w:noWrap/>
            <w:vAlign w:val="bottom"/>
          </w:tcPr>
          <w:p w14:paraId="2BECD15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3727922E"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6091A20" w14:textId="77777777" w:rsidTr="00A732E0">
        <w:trPr>
          <w:cantSplit/>
          <w:trHeight w:val="255"/>
        </w:trPr>
        <w:tc>
          <w:tcPr>
            <w:tcW w:w="450" w:type="dxa"/>
            <w:vAlign w:val="bottom"/>
          </w:tcPr>
          <w:p w14:paraId="5177A53D" w14:textId="77777777" w:rsidR="008A701E" w:rsidRPr="006A2781" w:rsidRDefault="008A701E" w:rsidP="008A701E">
            <w:pPr>
              <w:jc w:val="center"/>
              <w:rPr>
                <w:rFonts w:ascii="Arial" w:hAnsi="Arial" w:cs="Arial"/>
                <w:sz w:val="18"/>
                <w:szCs w:val="18"/>
              </w:rPr>
            </w:pPr>
            <w:r>
              <w:rPr>
                <w:rFonts w:ascii="Arial" w:hAnsi="Arial" w:cs="Arial"/>
                <w:sz w:val="18"/>
                <w:szCs w:val="18"/>
              </w:rPr>
              <w:t>12</w:t>
            </w:r>
          </w:p>
        </w:tc>
        <w:tc>
          <w:tcPr>
            <w:tcW w:w="540" w:type="dxa"/>
            <w:vAlign w:val="bottom"/>
          </w:tcPr>
          <w:p w14:paraId="760B055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1867" w:type="dxa"/>
            <w:shd w:val="clear" w:color="auto" w:fill="auto"/>
            <w:noWrap/>
            <w:vAlign w:val="bottom"/>
          </w:tcPr>
          <w:p w14:paraId="1FD83E23"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45D4774B"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Assigned</w:t>
            </w:r>
          </w:p>
        </w:tc>
        <w:tc>
          <w:tcPr>
            <w:tcW w:w="1530" w:type="dxa"/>
            <w:shd w:val="clear" w:color="auto" w:fill="auto"/>
            <w:noWrap/>
            <w:vAlign w:val="bottom"/>
          </w:tcPr>
          <w:p w14:paraId="02F1430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7CA521A8"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51861D6F" w14:textId="77777777" w:rsidTr="00A732E0">
        <w:trPr>
          <w:cantSplit/>
          <w:trHeight w:val="255"/>
        </w:trPr>
        <w:tc>
          <w:tcPr>
            <w:tcW w:w="450" w:type="dxa"/>
            <w:vAlign w:val="bottom"/>
          </w:tcPr>
          <w:p w14:paraId="063C245B" w14:textId="77777777" w:rsidR="008A701E" w:rsidRPr="006A2781" w:rsidRDefault="008A701E" w:rsidP="008A701E">
            <w:pPr>
              <w:jc w:val="center"/>
              <w:rPr>
                <w:rFonts w:ascii="Arial" w:hAnsi="Arial" w:cs="Arial"/>
                <w:sz w:val="18"/>
                <w:szCs w:val="18"/>
              </w:rPr>
            </w:pPr>
            <w:r>
              <w:rPr>
                <w:rFonts w:ascii="Arial" w:hAnsi="Arial" w:cs="Arial"/>
                <w:sz w:val="18"/>
                <w:szCs w:val="18"/>
              </w:rPr>
              <w:t>13</w:t>
            </w:r>
          </w:p>
        </w:tc>
        <w:tc>
          <w:tcPr>
            <w:tcW w:w="540" w:type="dxa"/>
            <w:vAlign w:val="bottom"/>
          </w:tcPr>
          <w:p w14:paraId="4C4B6B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T</w:t>
            </w:r>
          </w:p>
        </w:tc>
        <w:tc>
          <w:tcPr>
            <w:tcW w:w="1867" w:type="dxa"/>
            <w:shd w:val="clear" w:color="auto" w:fill="auto"/>
            <w:noWrap/>
            <w:vAlign w:val="bottom"/>
          </w:tcPr>
          <w:p w14:paraId="046DF981"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0A098BCE"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w:t>
            </w:r>
          </w:p>
        </w:tc>
        <w:tc>
          <w:tcPr>
            <w:tcW w:w="1530" w:type="dxa"/>
            <w:shd w:val="clear" w:color="auto" w:fill="auto"/>
            <w:noWrap/>
            <w:vAlign w:val="bottom"/>
          </w:tcPr>
          <w:p w14:paraId="2B450B5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12D00615"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2D78031D" w14:textId="77777777" w:rsidTr="00A732E0">
        <w:trPr>
          <w:cantSplit/>
          <w:trHeight w:val="255"/>
        </w:trPr>
        <w:tc>
          <w:tcPr>
            <w:tcW w:w="450" w:type="dxa"/>
            <w:vAlign w:val="bottom"/>
          </w:tcPr>
          <w:p w14:paraId="212401F2" w14:textId="77777777" w:rsidR="008A701E" w:rsidRPr="006A2781" w:rsidRDefault="008A701E" w:rsidP="008A701E">
            <w:pPr>
              <w:jc w:val="center"/>
              <w:rPr>
                <w:rFonts w:ascii="Arial" w:hAnsi="Arial" w:cs="Arial"/>
                <w:sz w:val="18"/>
                <w:szCs w:val="18"/>
              </w:rPr>
            </w:pPr>
            <w:r>
              <w:rPr>
                <w:rFonts w:ascii="Arial" w:hAnsi="Arial" w:cs="Arial"/>
                <w:sz w:val="18"/>
                <w:szCs w:val="18"/>
              </w:rPr>
              <w:t>14</w:t>
            </w:r>
          </w:p>
        </w:tc>
        <w:tc>
          <w:tcPr>
            <w:tcW w:w="540" w:type="dxa"/>
            <w:shd w:val="clear" w:color="auto" w:fill="auto"/>
            <w:vAlign w:val="bottom"/>
          </w:tcPr>
          <w:p w14:paraId="7D6B537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vAlign w:val="bottom"/>
          </w:tcPr>
          <w:p w14:paraId="196ED38E"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4BB6ACDA"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3A11FED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F6B2BB1"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0A04B306" w14:textId="77777777" w:rsidTr="00A732E0">
        <w:trPr>
          <w:cantSplit/>
          <w:trHeight w:val="255"/>
        </w:trPr>
        <w:tc>
          <w:tcPr>
            <w:tcW w:w="450" w:type="dxa"/>
            <w:vAlign w:val="bottom"/>
          </w:tcPr>
          <w:p w14:paraId="701C32E5" w14:textId="77777777" w:rsidR="008A701E" w:rsidRPr="006A2781" w:rsidRDefault="008A701E" w:rsidP="008A701E">
            <w:pPr>
              <w:jc w:val="center"/>
              <w:rPr>
                <w:rFonts w:ascii="Arial" w:hAnsi="Arial" w:cs="Arial"/>
                <w:sz w:val="18"/>
                <w:szCs w:val="18"/>
              </w:rPr>
            </w:pPr>
            <w:r>
              <w:rPr>
                <w:rFonts w:ascii="Arial" w:hAnsi="Arial" w:cs="Arial"/>
                <w:sz w:val="18"/>
                <w:szCs w:val="18"/>
              </w:rPr>
              <w:t>15</w:t>
            </w:r>
          </w:p>
        </w:tc>
        <w:tc>
          <w:tcPr>
            <w:tcW w:w="540" w:type="dxa"/>
            <w:shd w:val="clear" w:color="auto" w:fill="auto"/>
            <w:vAlign w:val="bottom"/>
          </w:tcPr>
          <w:p w14:paraId="04D9605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vAlign w:val="bottom"/>
          </w:tcPr>
          <w:p w14:paraId="2251F234"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3CC56D63"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7D02472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5B709B5A"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1E8D762D" w14:textId="77777777" w:rsidTr="00A732E0">
        <w:trPr>
          <w:cantSplit/>
          <w:trHeight w:val="128"/>
        </w:trPr>
        <w:tc>
          <w:tcPr>
            <w:tcW w:w="450" w:type="dxa"/>
            <w:vAlign w:val="bottom"/>
          </w:tcPr>
          <w:p w14:paraId="7154B329" w14:textId="77777777" w:rsidR="008A701E" w:rsidRPr="006A2781" w:rsidRDefault="008A701E" w:rsidP="008A701E">
            <w:pPr>
              <w:jc w:val="center"/>
              <w:rPr>
                <w:rFonts w:ascii="Arial" w:hAnsi="Arial" w:cs="Arial"/>
                <w:sz w:val="18"/>
                <w:szCs w:val="18"/>
              </w:rPr>
            </w:pPr>
            <w:r>
              <w:rPr>
                <w:rFonts w:ascii="Arial" w:hAnsi="Arial" w:cs="Arial"/>
                <w:sz w:val="18"/>
                <w:szCs w:val="18"/>
              </w:rPr>
              <w:t>16</w:t>
            </w:r>
          </w:p>
        </w:tc>
        <w:tc>
          <w:tcPr>
            <w:tcW w:w="540" w:type="dxa"/>
            <w:shd w:val="clear" w:color="auto" w:fill="auto"/>
            <w:vAlign w:val="bottom"/>
          </w:tcPr>
          <w:p w14:paraId="596A1EC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572AE3D9"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2373E0D6"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2F8545E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26D6EEA2"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6C416A30" w14:textId="77777777" w:rsidTr="00A732E0">
        <w:trPr>
          <w:cantSplit/>
          <w:trHeight w:val="127"/>
        </w:trPr>
        <w:tc>
          <w:tcPr>
            <w:tcW w:w="450" w:type="dxa"/>
            <w:vAlign w:val="bottom"/>
          </w:tcPr>
          <w:p w14:paraId="33FB4E1A" w14:textId="77777777" w:rsidR="008A701E" w:rsidRPr="006A2781" w:rsidRDefault="008A701E" w:rsidP="008A701E">
            <w:pPr>
              <w:jc w:val="center"/>
              <w:rPr>
                <w:rFonts w:ascii="Arial" w:hAnsi="Arial" w:cs="Arial"/>
                <w:sz w:val="18"/>
                <w:szCs w:val="18"/>
              </w:rPr>
            </w:pPr>
            <w:r>
              <w:rPr>
                <w:rFonts w:ascii="Arial" w:hAnsi="Arial" w:cs="Arial"/>
                <w:sz w:val="18"/>
                <w:szCs w:val="18"/>
              </w:rPr>
              <w:t>17</w:t>
            </w:r>
          </w:p>
        </w:tc>
        <w:tc>
          <w:tcPr>
            <w:tcW w:w="540" w:type="dxa"/>
            <w:shd w:val="clear" w:color="auto" w:fill="auto"/>
            <w:vAlign w:val="bottom"/>
          </w:tcPr>
          <w:p w14:paraId="4AF0064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52E7D0E"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13806E10"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410B058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5EE0AC5E"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76756BD1" w14:textId="77777777" w:rsidTr="00A732E0">
        <w:trPr>
          <w:cantSplit/>
          <w:trHeight w:val="255"/>
        </w:trPr>
        <w:tc>
          <w:tcPr>
            <w:tcW w:w="450" w:type="dxa"/>
            <w:vAlign w:val="bottom"/>
          </w:tcPr>
          <w:p w14:paraId="24939DB0" w14:textId="77777777" w:rsidR="008A701E" w:rsidRPr="006A2781" w:rsidRDefault="008A701E" w:rsidP="008A701E">
            <w:pPr>
              <w:jc w:val="center"/>
              <w:rPr>
                <w:rFonts w:ascii="Arial" w:hAnsi="Arial" w:cs="Arial"/>
                <w:sz w:val="18"/>
                <w:szCs w:val="18"/>
              </w:rPr>
            </w:pPr>
            <w:r>
              <w:rPr>
                <w:rFonts w:ascii="Arial" w:hAnsi="Arial" w:cs="Arial"/>
                <w:sz w:val="18"/>
                <w:szCs w:val="18"/>
              </w:rPr>
              <w:t>18</w:t>
            </w:r>
          </w:p>
        </w:tc>
        <w:tc>
          <w:tcPr>
            <w:tcW w:w="540" w:type="dxa"/>
            <w:shd w:val="clear" w:color="auto" w:fill="auto"/>
            <w:vAlign w:val="bottom"/>
          </w:tcPr>
          <w:p w14:paraId="4E1532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867" w:type="dxa"/>
            <w:shd w:val="clear" w:color="auto" w:fill="auto"/>
            <w:vAlign w:val="bottom"/>
          </w:tcPr>
          <w:p w14:paraId="1E373A6B"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47C8E62D"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013314E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1FB4CEF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RE-original(s), may be multiple messages.</w:t>
            </w:r>
          </w:p>
        </w:tc>
      </w:tr>
      <w:tr w:rsidR="008A701E" w:rsidRPr="006A2781" w14:paraId="674FFE40" w14:textId="77777777" w:rsidTr="00A732E0">
        <w:trPr>
          <w:cantSplit/>
          <w:trHeight w:val="255"/>
        </w:trPr>
        <w:tc>
          <w:tcPr>
            <w:tcW w:w="450" w:type="dxa"/>
            <w:vAlign w:val="bottom"/>
          </w:tcPr>
          <w:p w14:paraId="11B62734" w14:textId="77777777" w:rsidR="008A701E" w:rsidRPr="006A2781" w:rsidRDefault="008A701E" w:rsidP="008A701E">
            <w:pPr>
              <w:jc w:val="center"/>
              <w:rPr>
                <w:rFonts w:ascii="Arial" w:hAnsi="Arial" w:cs="Arial"/>
                <w:sz w:val="18"/>
                <w:szCs w:val="18"/>
              </w:rPr>
            </w:pPr>
            <w:r>
              <w:rPr>
                <w:rFonts w:ascii="Arial" w:hAnsi="Arial" w:cs="Arial"/>
                <w:sz w:val="18"/>
                <w:szCs w:val="18"/>
              </w:rPr>
              <w:lastRenderedPageBreak/>
              <w:t>19</w:t>
            </w:r>
          </w:p>
        </w:tc>
        <w:tc>
          <w:tcPr>
            <w:tcW w:w="540" w:type="dxa"/>
            <w:shd w:val="clear" w:color="auto" w:fill="auto"/>
            <w:vAlign w:val="bottom"/>
          </w:tcPr>
          <w:p w14:paraId="140AB1E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867" w:type="dxa"/>
            <w:shd w:val="clear" w:color="auto" w:fill="auto"/>
            <w:vAlign w:val="bottom"/>
          </w:tcPr>
          <w:p w14:paraId="7957FE13"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3FBB1537"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0729B1A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65902E60"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376D5DCA" w14:textId="77777777" w:rsidTr="00A732E0">
        <w:trPr>
          <w:cantSplit/>
          <w:trHeight w:val="128"/>
        </w:trPr>
        <w:tc>
          <w:tcPr>
            <w:tcW w:w="450" w:type="dxa"/>
            <w:vAlign w:val="bottom"/>
          </w:tcPr>
          <w:p w14:paraId="02D9D43D" w14:textId="77777777" w:rsidR="008A701E" w:rsidRPr="006A2781" w:rsidRDefault="008A701E" w:rsidP="008A701E">
            <w:pPr>
              <w:jc w:val="center"/>
              <w:rPr>
                <w:rFonts w:ascii="Arial" w:hAnsi="Arial" w:cs="Arial"/>
                <w:sz w:val="18"/>
                <w:szCs w:val="18"/>
              </w:rPr>
            </w:pPr>
            <w:r>
              <w:rPr>
                <w:rFonts w:ascii="Arial" w:hAnsi="Arial" w:cs="Arial"/>
                <w:sz w:val="18"/>
                <w:szCs w:val="18"/>
              </w:rPr>
              <w:t>20</w:t>
            </w:r>
          </w:p>
        </w:tc>
        <w:tc>
          <w:tcPr>
            <w:tcW w:w="540" w:type="dxa"/>
            <w:shd w:val="clear" w:color="auto" w:fill="auto"/>
            <w:vAlign w:val="bottom"/>
          </w:tcPr>
          <w:p w14:paraId="79AFECB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867" w:type="dxa"/>
            <w:shd w:val="clear" w:color="auto" w:fill="auto"/>
            <w:noWrap/>
            <w:vAlign w:val="bottom"/>
          </w:tcPr>
          <w:p w14:paraId="6D193066"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7A62BD00"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38F9A44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C1F4A2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63AF902B" w14:textId="77777777" w:rsidTr="00A732E0">
        <w:trPr>
          <w:cantSplit/>
          <w:trHeight w:val="127"/>
        </w:trPr>
        <w:tc>
          <w:tcPr>
            <w:tcW w:w="450" w:type="dxa"/>
            <w:vAlign w:val="bottom"/>
          </w:tcPr>
          <w:p w14:paraId="79B3E61F" w14:textId="77777777" w:rsidR="008A701E" w:rsidRPr="006A2781" w:rsidRDefault="008A701E" w:rsidP="008A701E">
            <w:pPr>
              <w:jc w:val="center"/>
              <w:rPr>
                <w:rFonts w:ascii="Arial" w:hAnsi="Arial" w:cs="Arial"/>
                <w:sz w:val="18"/>
                <w:szCs w:val="18"/>
              </w:rPr>
            </w:pPr>
            <w:r>
              <w:rPr>
                <w:rFonts w:ascii="Arial" w:hAnsi="Arial" w:cs="Arial"/>
                <w:sz w:val="18"/>
                <w:szCs w:val="18"/>
              </w:rPr>
              <w:t>21</w:t>
            </w:r>
          </w:p>
        </w:tc>
        <w:tc>
          <w:tcPr>
            <w:tcW w:w="540" w:type="dxa"/>
            <w:shd w:val="clear" w:color="auto" w:fill="auto"/>
            <w:vAlign w:val="bottom"/>
          </w:tcPr>
          <w:p w14:paraId="0590280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867" w:type="dxa"/>
            <w:shd w:val="clear" w:color="auto" w:fill="auto"/>
            <w:noWrap/>
            <w:vAlign w:val="bottom"/>
          </w:tcPr>
          <w:p w14:paraId="065B61D8"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7AC546C6"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7D3919A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29B1CE1"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0006790A" w14:textId="77777777" w:rsidTr="00A732E0">
        <w:trPr>
          <w:cantSplit/>
          <w:trHeight w:val="255"/>
        </w:trPr>
        <w:tc>
          <w:tcPr>
            <w:tcW w:w="450" w:type="dxa"/>
            <w:vAlign w:val="bottom"/>
          </w:tcPr>
          <w:p w14:paraId="613AB6CF" w14:textId="77777777" w:rsidR="008A701E" w:rsidRPr="006A2781" w:rsidRDefault="008A701E" w:rsidP="008A701E">
            <w:pPr>
              <w:jc w:val="center"/>
              <w:rPr>
                <w:rFonts w:ascii="Arial" w:hAnsi="Arial" w:cs="Arial"/>
                <w:sz w:val="18"/>
                <w:szCs w:val="18"/>
              </w:rPr>
            </w:pPr>
            <w:r>
              <w:rPr>
                <w:rFonts w:ascii="Arial" w:hAnsi="Arial" w:cs="Arial"/>
                <w:sz w:val="18"/>
                <w:szCs w:val="18"/>
              </w:rPr>
              <w:t>22</w:t>
            </w:r>
          </w:p>
        </w:tc>
        <w:tc>
          <w:tcPr>
            <w:tcW w:w="540" w:type="dxa"/>
            <w:shd w:val="clear" w:color="auto" w:fill="auto"/>
            <w:vAlign w:val="bottom"/>
          </w:tcPr>
          <w:p w14:paraId="2484005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70DB49C"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63D6CEE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42CCC5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44CCCDF8"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31854CF6" w14:textId="77777777" w:rsidTr="00A732E0">
        <w:trPr>
          <w:cantSplit/>
          <w:trHeight w:val="255"/>
        </w:trPr>
        <w:tc>
          <w:tcPr>
            <w:tcW w:w="450" w:type="dxa"/>
            <w:vAlign w:val="bottom"/>
          </w:tcPr>
          <w:p w14:paraId="135E3539" w14:textId="77777777" w:rsidR="008A701E" w:rsidRPr="006A2781" w:rsidRDefault="008A701E" w:rsidP="008A701E">
            <w:pPr>
              <w:jc w:val="center"/>
              <w:rPr>
                <w:rFonts w:ascii="Arial" w:hAnsi="Arial" w:cs="Arial"/>
                <w:sz w:val="18"/>
                <w:szCs w:val="18"/>
              </w:rPr>
            </w:pPr>
            <w:r>
              <w:rPr>
                <w:rFonts w:ascii="Arial" w:hAnsi="Arial" w:cs="Arial"/>
                <w:sz w:val="18"/>
                <w:szCs w:val="18"/>
              </w:rPr>
              <w:t>23</w:t>
            </w:r>
          </w:p>
        </w:tc>
        <w:tc>
          <w:tcPr>
            <w:tcW w:w="540" w:type="dxa"/>
            <w:shd w:val="clear" w:color="auto" w:fill="auto"/>
            <w:vAlign w:val="bottom"/>
          </w:tcPr>
          <w:p w14:paraId="202C953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69652761"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68A4980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0D69B5B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2B6DE209" w14:textId="77777777" w:rsidR="008A701E" w:rsidRPr="006A2781" w:rsidRDefault="008A701E" w:rsidP="008A701E">
            <w:pPr>
              <w:rPr>
                <w:rFonts w:ascii="Arial" w:hAnsi="Arial" w:cs="Arial"/>
                <w:sz w:val="18"/>
                <w:szCs w:val="18"/>
              </w:rPr>
            </w:pPr>
            <w:r w:rsidRPr="006A2781">
              <w:rPr>
                <w:rFonts w:ascii="Arial" w:hAnsi="Arial" w:cs="Arial"/>
                <w:sz w:val="18"/>
                <w:szCs w:val="18"/>
              </w:rPr>
              <w:t>RS-targets, one message for each target created.</w:t>
            </w:r>
          </w:p>
        </w:tc>
      </w:tr>
      <w:tr w:rsidR="008A701E" w:rsidRPr="006A2781" w14:paraId="008BCADC" w14:textId="77777777" w:rsidTr="00A732E0">
        <w:trPr>
          <w:cantSplit/>
          <w:trHeight w:val="188"/>
        </w:trPr>
        <w:tc>
          <w:tcPr>
            <w:tcW w:w="450" w:type="dxa"/>
            <w:vAlign w:val="bottom"/>
          </w:tcPr>
          <w:p w14:paraId="61E63D1A" w14:textId="77777777" w:rsidR="008A701E" w:rsidRPr="006A2781" w:rsidRDefault="008A701E" w:rsidP="008A701E">
            <w:pPr>
              <w:jc w:val="center"/>
              <w:rPr>
                <w:rFonts w:ascii="Arial" w:hAnsi="Arial" w:cs="Arial"/>
                <w:sz w:val="18"/>
                <w:szCs w:val="18"/>
              </w:rPr>
            </w:pPr>
            <w:r>
              <w:rPr>
                <w:rFonts w:ascii="Arial" w:hAnsi="Arial" w:cs="Arial"/>
                <w:sz w:val="18"/>
                <w:szCs w:val="18"/>
              </w:rPr>
              <w:t>24</w:t>
            </w:r>
          </w:p>
        </w:tc>
        <w:tc>
          <w:tcPr>
            <w:tcW w:w="540" w:type="dxa"/>
            <w:shd w:val="clear" w:color="auto" w:fill="auto"/>
            <w:vAlign w:val="bottom"/>
          </w:tcPr>
          <w:p w14:paraId="58C2F01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4980FCBE"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746CD7D1"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EA0621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39E0CFA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57A65EFB" w14:textId="77777777" w:rsidTr="00A732E0">
        <w:trPr>
          <w:cantSplit/>
          <w:trHeight w:val="255"/>
        </w:trPr>
        <w:tc>
          <w:tcPr>
            <w:tcW w:w="450" w:type="dxa"/>
            <w:vAlign w:val="bottom"/>
          </w:tcPr>
          <w:p w14:paraId="0DF21771" w14:textId="77777777" w:rsidR="008A701E" w:rsidRPr="006A2781" w:rsidRDefault="008A701E" w:rsidP="008A701E">
            <w:pPr>
              <w:jc w:val="center"/>
              <w:rPr>
                <w:rFonts w:ascii="Arial" w:hAnsi="Arial" w:cs="Arial"/>
                <w:sz w:val="18"/>
                <w:szCs w:val="18"/>
              </w:rPr>
            </w:pPr>
            <w:r>
              <w:rPr>
                <w:rFonts w:ascii="Arial" w:hAnsi="Arial" w:cs="Arial"/>
                <w:sz w:val="18"/>
                <w:szCs w:val="18"/>
              </w:rPr>
              <w:t>25</w:t>
            </w:r>
          </w:p>
        </w:tc>
        <w:tc>
          <w:tcPr>
            <w:tcW w:w="540" w:type="dxa"/>
            <w:shd w:val="clear" w:color="auto" w:fill="auto"/>
            <w:vAlign w:val="bottom"/>
          </w:tcPr>
          <w:p w14:paraId="1B7A026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32BAD8D0"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51C65E9"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6D7E82A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9666110"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6156324C" w14:textId="77777777" w:rsidTr="00A732E0">
        <w:trPr>
          <w:cantSplit/>
          <w:trHeight w:val="255"/>
        </w:trPr>
        <w:tc>
          <w:tcPr>
            <w:tcW w:w="450" w:type="dxa"/>
            <w:vAlign w:val="bottom"/>
          </w:tcPr>
          <w:p w14:paraId="2496978E" w14:textId="77777777" w:rsidR="008A701E" w:rsidRPr="006A2781" w:rsidRDefault="008A701E" w:rsidP="008A701E">
            <w:pPr>
              <w:jc w:val="center"/>
              <w:rPr>
                <w:rFonts w:ascii="Arial" w:hAnsi="Arial" w:cs="Arial"/>
                <w:sz w:val="18"/>
                <w:szCs w:val="18"/>
              </w:rPr>
            </w:pPr>
            <w:r>
              <w:rPr>
                <w:rFonts w:ascii="Arial" w:hAnsi="Arial" w:cs="Arial"/>
                <w:sz w:val="18"/>
                <w:szCs w:val="18"/>
              </w:rPr>
              <w:t>26</w:t>
            </w:r>
          </w:p>
        </w:tc>
        <w:tc>
          <w:tcPr>
            <w:tcW w:w="540" w:type="dxa"/>
            <w:shd w:val="clear" w:color="auto" w:fill="auto"/>
            <w:vAlign w:val="bottom"/>
          </w:tcPr>
          <w:p w14:paraId="4040EA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5691292"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7AFA1DE9"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685A80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7306A789"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234C1722" w14:textId="77777777" w:rsidTr="00A732E0">
        <w:trPr>
          <w:cantSplit/>
          <w:trHeight w:val="255"/>
        </w:trPr>
        <w:tc>
          <w:tcPr>
            <w:tcW w:w="450" w:type="dxa"/>
            <w:vAlign w:val="bottom"/>
          </w:tcPr>
          <w:p w14:paraId="42D46D71" w14:textId="77777777" w:rsidR="008A701E" w:rsidRPr="006A2781" w:rsidRDefault="008A701E" w:rsidP="008A701E">
            <w:pPr>
              <w:jc w:val="center"/>
              <w:rPr>
                <w:rFonts w:ascii="Arial" w:hAnsi="Arial" w:cs="Arial"/>
                <w:sz w:val="18"/>
                <w:szCs w:val="18"/>
              </w:rPr>
            </w:pPr>
            <w:r>
              <w:rPr>
                <w:rFonts w:ascii="Arial" w:hAnsi="Arial" w:cs="Arial"/>
                <w:sz w:val="18"/>
                <w:szCs w:val="18"/>
              </w:rPr>
              <w:t>27</w:t>
            </w:r>
          </w:p>
        </w:tc>
        <w:tc>
          <w:tcPr>
            <w:tcW w:w="540" w:type="dxa"/>
            <w:shd w:val="clear" w:color="auto" w:fill="auto"/>
            <w:vAlign w:val="bottom"/>
          </w:tcPr>
          <w:p w14:paraId="6A776E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02C7C46D"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4C72911"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277F561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5B172DFD"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5E761FEC" w14:textId="77777777" w:rsidTr="00A732E0">
        <w:trPr>
          <w:cantSplit/>
          <w:trHeight w:val="255"/>
        </w:trPr>
        <w:tc>
          <w:tcPr>
            <w:tcW w:w="450" w:type="dxa"/>
            <w:vAlign w:val="bottom"/>
          </w:tcPr>
          <w:p w14:paraId="39202D1F" w14:textId="77777777" w:rsidR="008A701E" w:rsidRPr="006A2781" w:rsidRDefault="008A701E" w:rsidP="008A701E">
            <w:pPr>
              <w:jc w:val="center"/>
              <w:rPr>
                <w:rFonts w:ascii="Arial" w:hAnsi="Arial" w:cs="Arial"/>
                <w:sz w:val="18"/>
                <w:szCs w:val="18"/>
              </w:rPr>
            </w:pPr>
            <w:r>
              <w:rPr>
                <w:rFonts w:ascii="Arial" w:hAnsi="Arial" w:cs="Arial"/>
                <w:sz w:val="18"/>
                <w:szCs w:val="18"/>
              </w:rPr>
              <w:t>28</w:t>
            </w:r>
          </w:p>
        </w:tc>
        <w:tc>
          <w:tcPr>
            <w:tcW w:w="540" w:type="dxa"/>
            <w:shd w:val="clear" w:color="auto" w:fill="auto"/>
            <w:vAlign w:val="bottom"/>
          </w:tcPr>
          <w:p w14:paraId="226FD9D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38044C25"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17E9EEC7"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479F8C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6498B69"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1637F427" w14:textId="77777777" w:rsidTr="00A732E0">
        <w:trPr>
          <w:cantSplit/>
          <w:trHeight w:val="255"/>
        </w:trPr>
        <w:tc>
          <w:tcPr>
            <w:tcW w:w="450" w:type="dxa"/>
            <w:vAlign w:val="bottom"/>
          </w:tcPr>
          <w:p w14:paraId="74B38656" w14:textId="77777777" w:rsidR="008A701E" w:rsidRPr="006A2781" w:rsidRDefault="008A701E" w:rsidP="008A701E">
            <w:pPr>
              <w:jc w:val="center"/>
              <w:rPr>
                <w:rFonts w:ascii="Arial" w:hAnsi="Arial" w:cs="Arial"/>
                <w:sz w:val="18"/>
                <w:szCs w:val="18"/>
              </w:rPr>
            </w:pPr>
            <w:r>
              <w:rPr>
                <w:rFonts w:ascii="Arial" w:hAnsi="Arial" w:cs="Arial"/>
                <w:sz w:val="18"/>
                <w:szCs w:val="18"/>
              </w:rPr>
              <w:t>29</w:t>
            </w:r>
          </w:p>
        </w:tc>
        <w:tc>
          <w:tcPr>
            <w:tcW w:w="540" w:type="dxa"/>
            <w:shd w:val="clear" w:color="auto" w:fill="auto"/>
            <w:vAlign w:val="bottom"/>
          </w:tcPr>
          <w:p w14:paraId="263576C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6C1A4233"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66A882D"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7FF704A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427B7B5A"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5CD29512" w14:textId="77777777" w:rsidTr="00A732E0">
        <w:trPr>
          <w:cantSplit/>
          <w:trHeight w:val="255"/>
        </w:trPr>
        <w:tc>
          <w:tcPr>
            <w:tcW w:w="450" w:type="dxa"/>
            <w:vAlign w:val="bottom"/>
          </w:tcPr>
          <w:p w14:paraId="7B9E4871" w14:textId="77777777" w:rsidR="008A701E" w:rsidRPr="006A2781" w:rsidRDefault="008A701E" w:rsidP="008A701E">
            <w:pPr>
              <w:jc w:val="center"/>
              <w:rPr>
                <w:rFonts w:ascii="Arial" w:hAnsi="Arial" w:cs="Arial"/>
                <w:sz w:val="18"/>
                <w:szCs w:val="18"/>
              </w:rPr>
            </w:pPr>
            <w:r>
              <w:rPr>
                <w:rFonts w:ascii="Arial" w:hAnsi="Arial" w:cs="Arial"/>
                <w:sz w:val="18"/>
                <w:szCs w:val="18"/>
              </w:rPr>
              <w:t>30</w:t>
            </w:r>
          </w:p>
        </w:tc>
        <w:tc>
          <w:tcPr>
            <w:tcW w:w="540" w:type="dxa"/>
            <w:shd w:val="clear" w:color="auto" w:fill="auto"/>
            <w:vAlign w:val="bottom"/>
          </w:tcPr>
          <w:p w14:paraId="024E13C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085AB050"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1A2AA4D0"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71018F6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63E82B50" w14:textId="5E2359B9"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43D58C42" w14:textId="77777777" w:rsidTr="00A732E0">
        <w:trPr>
          <w:cantSplit/>
          <w:trHeight w:val="255"/>
        </w:trPr>
        <w:tc>
          <w:tcPr>
            <w:tcW w:w="450" w:type="dxa"/>
            <w:vAlign w:val="bottom"/>
          </w:tcPr>
          <w:p w14:paraId="15ADBACB" w14:textId="77777777" w:rsidR="008A701E" w:rsidRPr="006A2781" w:rsidRDefault="008A701E" w:rsidP="008A701E">
            <w:pPr>
              <w:jc w:val="center"/>
              <w:rPr>
                <w:rFonts w:ascii="Arial" w:hAnsi="Arial" w:cs="Arial"/>
                <w:sz w:val="18"/>
                <w:szCs w:val="18"/>
              </w:rPr>
            </w:pPr>
            <w:r>
              <w:rPr>
                <w:rFonts w:ascii="Arial" w:hAnsi="Arial" w:cs="Arial"/>
                <w:sz w:val="18"/>
                <w:szCs w:val="18"/>
              </w:rPr>
              <w:t>31</w:t>
            </w:r>
          </w:p>
        </w:tc>
        <w:tc>
          <w:tcPr>
            <w:tcW w:w="540" w:type="dxa"/>
            <w:shd w:val="clear" w:color="auto" w:fill="auto"/>
            <w:vAlign w:val="bottom"/>
          </w:tcPr>
          <w:p w14:paraId="44E3BCC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6FCD5576"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33547AC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4AF7790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2EA5BEF" w14:textId="77777777" w:rsidR="008A701E" w:rsidRPr="006A2781" w:rsidRDefault="008A701E" w:rsidP="008A701E">
            <w:pPr>
              <w:rPr>
                <w:rFonts w:ascii="Arial" w:hAnsi="Arial" w:cs="Arial"/>
                <w:sz w:val="18"/>
                <w:szCs w:val="18"/>
              </w:rPr>
            </w:pPr>
            <w:r w:rsidRPr="006A2781">
              <w:rPr>
                <w:rFonts w:ascii="Arial" w:hAnsi="Arial" w:cs="Arial"/>
                <w:sz w:val="18"/>
                <w:szCs w:val="18"/>
              </w:rPr>
              <w:t>RS-target (when processing in batch, multiple messages are sent)</w:t>
            </w:r>
          </w:p>
        </w:tc>
      </w:tr>
      <w:tr w:rsidR="008A701E" w:rsidRPr="006A2781" w14:paraId="45495E52" w14:textId="77777777" w:rsidTr="00A732E0">
        <w:trPr>
          <w:cantSplit/>
          <w:trHeight w:val="255"/>
        </w:trPr>
        <w:tc>
          <w:tcPr>
            <w:tcW w:w="450" w:type="dxa"/>
            <w:vAlign w:val="bottom"/>
          </w:tcPr>
          <w:p w14:paraId="72728ECC" w14:textId="77777777" w:rsidR="008A701E" w:rsidRPr="006A2781" w:rsidRDefault="008A701E" w:rsidP="008A701E">
            <w:pPr>
              <w:jc w:val="center"/>
              <w:rPr>
                <w:rFonts w:ascii="Arial" w:hAnsi="Arial" w:cs="Arial"/>
                <w:sz w:val="18"/>
                <w:szCs w:val="18"/>
              </w:rPr>
            </w:pPr>
            <w:r>
              <w:rPr>
                <w:rFonts w:ascii="Arial" w:hAnsi="Arial" w:cs="Arial"/>
                <w:sz w:val="18"/>
                <w:szCs w:val="18"/>
              </w:rPr>
              <w:t>32</w:t>
            </w:r>
          </w:p>
        </w:tc>
        <w:tc>
          <w:tcPr>
            <w:tcW w:w="540" w:type="dxa"/>
            <w:shd w:val="clear" w:color="auto" w:fill="auto"/>
            <w:vAlign w:val="bottom"/>
          </w:tcPr>
          <w:p w14:paraId="2FDD2B9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52DED11E"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490956BF"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651B7F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080BBC74" w14:textId="1E5C1D00"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646338D3" w14:textId="77777777" w:rsidTr="00A732E0">
        <w:trPr>
          <w:cantSplit/>
          <w:trHeight w:val="255"/>
        </w:trPr>
        <w:tc>
          <w:tcPr>
            <w:tcW w:w="450" w:type="dxa"/>
            <w:vAlign w:val="bottom"/>
          </w:tcPr>
          <w:p w14:paraId="2AB441C3" w14:textId="77777777" w:rsidR="008A701E" w:rsidRPr="006A2781" w:rsidRDefault="008A701E" w:rsidP="008A701E">
            <w:pPr>
              <w:jc w:val="center"/>
              <w:rPr>
                <w:rFonts w:ascii="Arial" w:hAnsi="Arial" w:cs="Arial"/>
                <w:sz w:val="18"/>
                <w:szCs w:val="18"/>
              </w:rPr>
            </w:pPr>
            <w:r>
              <w:rPr>
                <w:rFonts w:ascii="Arial" w:hAnsi="Arial" w:cs="Arial"/>
                <w:sz w:val="18"/>
                <w:szCs w:val="18"/>
              </w:rPr>
              <w:t>33</w:t>
            </w:r>
          </w:p>
        </w:tc>
        <w:tc>
          <w:tcPr>
            <w:tcW w:w="540" w:type="dxa"/>
            <w:shd w:val="clear" w:color="auto" w:fill="auto"/>
            <w:vAlign w:val="bottom"/>
          </w:tcPr>
          <w:p w14:paraId="604BA4B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50FBCAC3"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669E8E74"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6BCBDC6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06D2E9E2"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045A37A6" w14:textId="77777777" w:rsidTr="00A732E0">
        <w:trPr>
          <w:cantSplit/>
          <w:trHeight w:val="255"/>
        </w:trPr>
        <w:tc>
          <w:tcPr>
            <w:tcW w:w="450" w:type="dxa"/>
            <w:vAlign w:val="bottom"/>
          </w:tcPr>
          <w:p w14:paraId="4D87D98F" w14:textId="77777777" w:rsidR="008A701E" w:rsidRPr="006A2781" w:rsidRDefault="008A701E" w:rsidP="008A701E">
            <w:pPr>
              <w:jc w:val="center"/>
              <w:rPr>
                <w:rFonts w:ascii="Arial" w:hAnsi="Arial" w:cs="Arial"/>
                <w:sz w:val="18"/>
                <w:szCs w:val="18"/>
              </w:rPr>
            </w:pPr>
            <w:r>
              <w:rPr>
                <w:rFonts w:ascii="Arial" w:hAnsi="Arial" w:cs="Arial"/>
                <w:sz w:val="18"/>
                <w:szCs w:val="18"/>
              </w:rPr>
              <w:t>34</w:t>
            </w:r>
          </w:p>
        </w:tc>
        <w:tc>
          <w:tcPr>
            <w:tcW w:w="540" w:type="dxa"/>
            <w:shd w:val="clear" w:color="auto" w:fill="auto"/>
            <w:vAlign w:val="bottom"/>
          </w:tcPr>
          <w:p w14:paraId="6FB213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DAE5294"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43A2A6BF"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51E3C2F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29BAF51E" w14:textId="3D4C72B1"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51AE84E6" w14:textId="77777777" w:rsidTr="00A732E0">
        <w:trPr>
          <w:cantSplit/>
          <w:trHeight w:val="255"/>
        </w:trPr>
        <w:tc>
          <w:tcPr>
            <w:tcW w:w="450" w:type="dxa"/>
            <w:vAlign w:val="bottom"/>
          </w:tcPr>
          <w:p w14:paraId="1415942E" w14:textId="77777777" w:rsidR="008A701E" w:rsidRPr="006A2781" w:rsidRDefault="008A701E" w:rsidP="008A701E">
            <w:pPr>
              <w:jc w:val="center"/>
              <w:rPr>
                <w:rFonts w:ascii="Arial" w:hAnsi="Arial" w:cs="Arial"/>
                <w:sz w:val="18"/>
                <w:szCs w:val="18"/>
              </w:rPr>
            </w:pPr>
            <w:r>
              <w:rPr>
                <w:rFonts w:ascii="Arial" w:hAnsi="Arial" w:cs="Arial"/>
                <w:sz w:val="18"/>
                <w:szCs w:val="18"/>
              </w:rPr>
              <w:t>35</w:t>
            </w:r>
          </w:p>
        </w:tc>
        <w:tc>
          <w:tcPr>
            <w:tcW w:w="540" w:type="dxa"/>
            <w:shd w:val="clear" w:color="auto" w:fill="auto"/>
            <w:vAlign w:val="bottom"/>
          </w:tcPr>
          <w:p w14:paraId="1AE2570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78311808"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0E73D41C"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0C9CEA8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7ADED56C" w14:textId="77777777" w:rsidR="008A701E" w:rsidRPr="006A2781" w:rsidRDefault="008A701E" w:rsidP="008A701E">
            <w:pPr>
              <w:rPr>
                <w:rFonts w:ascii="Arial" w:hAnsi="Arial" w:cs="Arial"/>
                <w:sz w:val="18"/>
                <w:szCs w:val="18"/>
              </w:rPr>
            </w:pPr>
            <w:r w:rsidRPr="006A2781">
              <w:rPr>
                <w:rFonts w:ascii="Arial" w:hAnsi="Arial" w:cs="Arial"/>
                <w:sz w:val="18"/>
                <w:szCs w:val="18"/>
              </w:rPr>
              <w:t>RS-target (when processing in batch, multiple messages are sent)</w:t>
            </w:r>
          </w:p>
        </w:tc>
      </w:tr>
      <w:tr w:rsidR="008A701E" w:rsidRPr="006A2781" w14:paraId="6AC7A0CA" w14:textId="77777777" w:rsidTr="00A732E0">
        <w:trPr>
          <w:cantSplit/>
          <w:trHeight w:val="255"/>
        </w:trPr>
        <w:tc>
          <w:tcPr>
            <w:tcW w:w="450" w:type="dxa"/>
            <w:vAlign w:val="bottom"/>
          </w:tcPr>
          <w:p w14:paraId="2F2D3E5A" w14:textId="77777777" w:rsidR="008A701E" w:rsidRPr="006A2781" w:rsidRDefault="008A701E" w:rsidP="008A701E">
            <w:pPr>
              <w:jc w:val="center"/>
              <w:rPr>
                <w:rFonts w:ascii="Arial" w:hAnsi="Arial" w:cs="Arial"/>
                <w:sz w:val="18"/>
                <w:szCs w:val="18"/>
              </w:rPr>
            </w:pPr>
            <w:r>
              <w:rPr>
                <w:rFonts w:ascii="Arial" w:hAnsi="Arial" w:cs="Arial"/>
                <w:sz w:val="18"/>
                <w:szCs w:val="18"/>
              </w:rPr>
              <w:t>36</w:t>
            </w:r>
          </w:p>
        </w:tc>
        <w:tc>
          <w:tcPr>
            <w:tcW w:w="540" w:type="dxa"/>
            <w:shd w:val="clear" w:color="auto" w:fill="auto"/>
            <w:vAlign w:val="bottom"/>
          </w:tcPr>
          <w:p w14:paraId="75BDD18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0E1BB875"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58800B96"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4349645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719B3831" w14:textId="094A4554"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1CF91A4E" w14:textId="77777777" w:rsidTr="00A732E0">
        <w:trPr>
          <w:cantSplit/>
          <w:trHeight w:val="255"/>
        </w:trPr>
        <w:tc>
          <w:tcPr>
            <w:tcW w:w="450" w:type="dxa"/>
            <w:vAlign w:val="bottom"/>
          </w:tcPr>
          <w:p w14:paraId="0770624B" w14:textId="77777777" w:rsidR="008A701E" w:rsidRPr="006A2781" w:rsidRDefault="008A701E" w:rsidP="008A701E">
            <w:pPr>
              <w:jc w:val="center"/>
              <w:rPr>
                <w:rFonts w:ascii="Arial" w:hAnsi="Arial" w:cs="Arial"/>
                <w:sz w:val="18"/>
                <w:szCs w:val="18"/>
              </w:rPr>
            </w:pPr>
            <w:r>
              <w:rPr>
                <w:rFonts w:ascii="Arial" w:hAnsi="Arial" w:cs="Arial"/>
                <w:sz w:val="18"/>
                <w:szCs w:val="18"/>
              </w:rPr>
              <w:t>37</w:t>
            </w:r>
          </w:p>
        </w:tc>
        <w:tc>
          <w:tcPr>
            <w:tcW w:w="540" w:type="dxa"/>
            <w:shd w:val="clear" w:color="auto" w:fill="auto"/>
            <w:vAlign w:val="bottom"/>
          </w:tcPr>
          <w:p w14:paraId="7D7782E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6CE6BA54"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6A8708A5"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5963A3F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5E953402"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28FCA43B" w14:textId="77777777" w:rsidTr="00A732E0">
        <w:trPr>
          <w:cantSplit/>
          <w:trHeight w:val="255"/>
        </w:trPr>
        <w:tc>
          <w:tcPr>
            <w:tcW w:w="450" w:type="dxa"/>
            <w:vAlign w:val="bottom"/>
          </w:tcPr>
          <w:p w14:paraId="1B72D331" w14:textId="77777777" w:rsidR="008A701E" w:rsidRPr="006A2781" w:rsidRDefault="008A701E" w:rsidP="008A701E">
            <w:pPr>
              <w:jc w:val="center"/>
              <w:rPr>
                <w:rFonts w:ascii="Arial" w:hAnsi="Arial" w:cs="Arial"/>
                <w:sz w:val="18"/>
                <w:szCs w:val="18"/>
              </w:rPr>
            </w:pPr>
            <w:r>
              <w:rPr>
                <w:rFonts w:ascii="Arial" w:hAnsi="Arial" w:cs="Arial"/>
                <w:sz w:val="18"/>
                <w:szCs w:val="18"/>
              </w:rPr>
              <w:t>38</w:t>
            </w:r>
          </w:p>
        </w:tc>
        <w:tc>
          <w:tcPr>
            <w:tcW w:w="540" w:type="dxa"/>
            <w:vAlign w:val="bottom"/>
          </w:tcPr>
          <w:p w14:paraId="1F1CC2C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2D688304"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1D76F191" w14:textId="77777777" w:rsidR="008A701E" w:rsidRPr="006A2781" w:rsidRDefault="008A701E" w:rsidP="008A701E">
            <w:pPr>
              <w:rPr>
                <w:rFonts w:ascii="Arial" w:hAnsi="Arial" w:cs="Arial"/>
                <w:sz w:val="18"/>
                <w:szCs w:val="18"/>
              </w:rPr>
            </w:pPr>
            <w:r w:rsidRPr="006A2781">
              <w:rPr>
                <w:rFonts w:ascii="Arial" w:hAnsi="Arial" w:cs="Arial"/>
                <w:sz w:val="18"/>
                <w:szCs w:val="18"/>
              </w:rPr>
              <w:t>Discarded or Wasted</w:t>
            </w:r>
          </w:p>
        </w:tc>
        <w:tc>
          <w:tcPr>
            <w:tcW w:w="1530" w:type="dxa"/>
            <w:shd w:val="clear" w:color="auto" w:fill="auto"/>
            <w:noWrap/>
            <w:vAlign w:val="bottom"/>
          </w:tcPr>
          <w:p w14:paraId="771E1B9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2070" w:type="dxa"/>
            <w:shd w:val="clear" w:color="auto" w:fill="auto"/>
            <w:noWrap/>
            <w:vAlign w:val="bottom"/>
          </w:tcPr>
          <w:p w14:paraId="591580D7"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4465CBB" w14:textId="77777777" w:rsidTr="00A732E0">
        <w:trPr>
          <w:cantSplit/>
          <w:trHeight w:val="255"/>
        </w:trPr>
        <w:tc>
          <w:tcPr>
            <w:tcW w:w="450" w:type="dxa"/>
            <w:vAlign w:val="bottom"/>
          </w:tcPr>
          <w:p w14:paraId="7F352307" w14:textId="77777777" w:rsidR="008A701E" w:rsidRPr="006A2781" w:rsidRDefault="008A701E" w:rsidP="008A701E">
            <w:pPr>
              <w:jc w:val="center"/>
              <w:rPr>
                <w:rFonts w:ascii="Arial" w:hAnsi="Arial" w:cs="Arial"/>
                <w:sz w:val="18"/>
                <w:szCs w:val="18"/>
              </w:rPr>
            </w:pPr>
            <w:r>
              <w:rPr>
                <w:rFonts w:ascii="Arial" w:hAnsi="Arial" w:cs="Arial"/>
                <w:sz w:val="18"/>
                <w:szCs w:val="18"/>
              </w:rPr>
              <w:t>39</w:t>
            </w:r>
          </w:p>
        </w:tc>
        <w:tc>
          <w:tcPr>
            <w:tcW w:w="540" w:type="dxa"/>
            <w:vAlign w:val="bottom"/>
          </w:tcPr>
          <w:p w14:paraId="348DBB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3C5396E1"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6DCFF92C" w14:textId="77777777" w:rsidR="008A701E" w:rsidRPr="006A2781" w:rsidRDefault="008A701E" w:rsidP="008A701E">
            <w:pPr>
              <w:rPr>
                <w:rFonts w:ascii="Arial" w:hAnsi="Arial" w:cs="Arial"/>
                <w:sz w:val="18"/>
                <w:szCs w:val="18"/>
              </w:rPr>
            </w:pPr>
            <w:r w:rsidRPr="006A2781">
              <w:rPr>
                <w:rFonts w:ascii="Arial" w:hAnsi="Arial" w:cs="Arial"/>
                <w:sz w:val="18"/>
                <w:szCs w:val="18"/>
              </w:rPr>
              <w:t>Discarded or Wasted</w:t>
            </w:r>
          </w:p>
        </w:tc>
        <w:tc>
          <w:tcPr>
            <w:tcW w:w="1530" w:type="dxa"/>
            <w:shd w:val="clear" w:color="auto" w:fill="auto"/>
            <w:noWrap/>
            <w:vAlign w:val="bottom"/>
          </w:tcPr>
          <w:p w14:paraId="5E96F91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2070" w:type="dxa"/>
            <w:shd w:val="clear" w:color="auto" w:fill="auto"/>
            <w:noWrap/>
            <w:vAlign w:val="bottom"/>
          </w:tcPr>
          <w:p w14:paraId="60DF5ED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096D5E7C" w14:textId="77777777" w:rsidTr="00A732E0">
        <w:trPr>
          <w:cantSplit/>
          <w:trHeight w:val="255"/>
        </w:trPr>
        <w:tc>
          <w:tcPr>
            <w:tcW w:w="450" w:type="dxa"/>
            <w:vAlign w:val="bottom"/>
          </w:tcPr>
          <w:p w14:paraId="4A607116" w14:textId="77777777" w:rsidR="008A701E" w:rsidRPr="006A2781" w:rsidRDefault="008A701E" w:rsidP="008A701E">
            <w:pPr>
              <w:jc w:val="center"/>
              <w:rPr>
                <w:rFonts w:ascii="Arial" w:hAnsi="Arial" w:cs="Arial"/>
                <w:sz w:val="18"/>
                <w:szCs w:val="18"/>
              </w:rPr>
            </w:pPr>
            <w:r>
              <w:rPr>
                <w:rFonts w:ascii="Arial" w:hAnsi="Arial" w:cs="Arial"/>
                <w:sz w:val="18"/>
                <w:szCs w:val="18"/>
              </w:rPr>
              <w:t>40</w:t>
            </w:r>
          </w:p>
        </w:tc>
        <w:tc>
          <w:tcPr>
            <w:tcW w:w="540" w:type="dxa"/>
            <w:vAlign w:val="bottom"/>
          </w:tcPr>
          <w:p w14:paraId="70DF3C4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3F1816C2"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1A2DD557" w14:textId="77777777" w:rsidR="008A701E" w:rsidRPr="00C821F1" w:rsidRDefault="008A701E" w:rsidP="008A701E">
            <w:pPr>
              <w:rPr>
                <w:rFonts w:ascii="Arial" w:hAnsi="Arial" w:cs="Arial"/>
                <w:sz w:val="18"/>
                <w:szCs w:val="18"/>
              </w:rPr>
            </w:pPr>
            <w:r w:rsidRPr="00C821F1">
              <w:rPr>
                <w:rFonts w:ascii="Arial" w:hAnsi="Arial" w:cs="Arial"/>
                <w:sz w:val="18"/>
                <w:szCs w:val="18"/>
              </w:rPr>
              <w:t>Quarantine</w:t>
            </w:r>
          </w:p>
        </w:tc>
        <w:tc>
          <w:tcPr>
            <w:tcW w:w="1530" w:type="dxa"/>
            <w:shd w:val="clear" w:color="auto" w:fill="auto"/>
            <w:noWrap/>
            <w:vAlign w:val="bottom"/>
          </w:tcPr>
          <w:p w14:paraId="6B5E1B4E"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144A8217"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20E19C44" w14:textId="77777777" w:rsidTr="00A732E0">
        <w:trPr>
          <w:cantSplit/>
          <w:trHeight w:val="255"/>
        </w:trPr>
        <w:tc>
          <w:tcPr>
            <w:tcW w:w="450" w:type="dxa"/>
            <w:vAlign w:val="bottom"/>
          </w:tcPr>
          <w:p w14:paraId="43CE8261" w14:textId="77777777" w:rsidR="008A701E" w:rsidRPr="006A2781" w:rsidRDefault="008A701E" w:rsidP="008A701E">
            <w:pPr>
              <w:jc w:val="center"/>
              <w:rPr>
                <w:rFonts w:ascii="Arial" w:hAnsi="Arial" w:cs="Arial"/>
                <w:sz w:val="18"/>
                <w:szCs w:val="18"/>
              </w:rPr>
            </w:pPr>
            <w:r>
              <w:rPr>
                <w:rFonts w:ascii="Arial" w:hAnsi="Arial" w:cs="Arial"/>
                <w:sz w:val="18"/>
                <w:szCs w:val="18"/>
              </w:rPr>
              <w:lastRenderedPageBreak/>
              <w:t>41</w:t>
            </w:r>
          </w:p>
        </w:tc>
        <w:tc>
          <w:tcPr>
            <w:tcW w:w="540" w:type="dxa"/>
            <w:vAlign w:val="bottom"/>
          </w:tcPr>
          <w:p w14:paraId="646C9A1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355FDF1D"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39FF19F3" w14:textId="77777777" w:rsidR="008A701E" w:rsidRPr="00C821F1" w:rsidRDefault="008A701E" w:rsidP="008A701E">
            <w:pPr>
              <w:rPr>
                <w:rFonts w:ascii="Arial" w:hAnsi="Arial" w:cs="Arial"/>
                <w:sz w:val="18"/>
                <w:szCs w:val="18"/>
              </w:rPr>
            </w:pPr>
            <w:r w:rsidRPr="00C821F1">
              <w:rPr>
                <w:rFonts w:ascii="Arial" w:hAnsi="Arial" w:cs="Arial"/>
                <w:sz w:val="18"/>
                <w:szCs w:val="18"/>
              </w:rPr>
              <w:t>Quarantine</w:t>
            </w:r>
          </w:p>
        </w:tc>
        <w:tc>
          <w:tcPr>
            <w:tcW w:w="1530" w:type="dxa"/>
            <w:shd w:val="clear" w:color="auto" w:fill="auto"/>
            <w:noWrap/>
            <w:vAlign w:val="bottom"/>
          </w:tcPr>
          <w:p w14:paraId="0A9364E2"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5391F144"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081DE2C0" w14:textId="77777777" w:rsidTr="00A732E0">
        <w:trPr>
          <w:cantSplit/>
          <w:trHeight w:val="255"/>
        </w:trPr>
        <w:tc>
          <w:tcPr>
            <w:tcW w:w="450" w:type="dxa"/>
            <w:vAlign w:val="bottom"/>
          </w:tcPr>
          <w:p w14:paraId="0A349906" w14:textId="77777777" w:rsidR="008A701E" w:rsidRPr="006A2781" w:rsidRDefault="008A701E" w:rsidP="008A701E">
            <w:pPr>
              <w:jc w:val="center"/>
              <w:rPr>
                <w:rFonts w:ascii="Arial" w:hAnsi="Arial" w:cs="Arial"/>
                <w:sz w:val="18"/>
                <w:szCs w:val="18"/>
              </w:rPr>
            </w:pPr>
            <w:r>
              <w:rPr>
                <w:rFonts w:ascii="Arial" w:hAnsi="Arial" w:cs="Arial"/>
                <w:sz w:val="18"/>
                <w:szCs w:val="18"/>
              </w:rPr>
              <w:t>42</w:t>
            </w:r>
          </w:p>
        </w:tc>
        <w:tc>
          <w:tcPr>
            <w:tcW w:w="540" w:type="dxa"/>
            <w:vAlign w:val="bottom"/>
          </w:tcPr>
          <w:p w14:paraId="1EDF372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4528616"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1CEEF46D" w14:textId="7FA9FD2E" w:rsidR="008A701E" w:rsidRPr="00C821F1" w:rsidRDefault="008A701E" w:rsidP="008A701E">
            <w:pPr>
              <w:rPr>
                <w:rFonts w:ascii="Arial" w:hAnsi="Arial" w:cs="Arial"/>
                <w:sz w:val="18"/>
                <w:szCs w:val="18"/>
              </w:rPr>
            </w:pPr>
            <w:r w:rsidRPr="00C821F1">
              <w:rPr>
                <w:rFonts w:ascii="Arial" w:hAnsi="Arial" w:cs="Arial"/>
                <w:sz w:val="18"/>
                <w:szCs w:val="18"/>
              </w:rPr>
              <w:t xml:space="preserve">Compatible </w:t>
            </w:r>
            <w:r w:rsidR="00AE3B37" w:rsidRPr="00C821F1">
              <w:rPr>
                <w:rFonts w:ascii="Arial" w:hAnsi="Arial" w:cs="Arial"/>
                <w:sz w:val="18"/>
                <w:szCs w:val="18"/>
              </w:rPr>
              <w:t>(C</w:t>
            </w:r>
            <w:r w:rsidRPr="00C821F1">
              <w:rPr>
                <w:rFonts w:ascii="Arial" w:hAnsi="Arial" w:cs="Arial"/>
                <w:sz w:val="18"/>
                <w:szCs w:val="18"/>
              </w:rPr>
              <w:t>)</w:t>
            </w:r>
          </w:p>
        </w:tc>
        <w:tc>
          <w:tcPr>
            <w:tcW w:w="1530" w:type="dxa"/>
            <w:shd w:val="clear" w:color="auto" w:fill="auto"/>
            <w:noWrap/>
            <w:vAlign w:val="bottom"/>
          </w:tcPr>
          <w:p w14:paraId="1623CBF2"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C</w:t>
            </w:r>
          </w:p>
        </w:tc>
        <w:tc>
          <w:tcPr>
            <w:tcW w:w="2070" w:type="dxa"/>
            <w:shd w:val="clear" w:color="auto" w:fill="auto"/>
            <w:noWrap/>
            <w:vAlign w:val="bottom"/>
          </w:tcPr>
          <w:p w14:paraId="7653CE4A" w14:textId="77777777" w:rsidR="008A701E" w:rsidRPr="00C821F1" w:rsidRDefault="008A701E" w:rsidP="008A701E">
            <w:pPr>
              <w:rPr>
                <w:rFonts w:ascii="Arial" w:hAnsi="Arial" w:cs="Arial"/>
                <w:sz w:val="18"/>
                <w:szCs w:val="18"/>
              </w:rPr>
            </w:pPr>
            <w:r w:rsidRPr="00C821F1">
              <w:rPr>
                <w:rFonts w:ascii="Arial" w:hAnsi="Arial" w:cs="Arial"/>
                <w:sz w:val="18"/>
                <w:szCs w:val="18"/>
              </w:rPr>
              <w:t>No message is sent</w:t>
            </w:r>
          </w:p>
        </w:tc>
      </w:tr>
      <w:tr w:rsidR="008A701E" w:rsidRPr="006A2781" w14:paraId="32BFA6A1" w14:textId="77777777" w:rsidTr="00A732E0">
        <w:trPr>
          <w:cantSplit/>
          <w:trHeight w:val="255"/>
        </w:trPr>
        <w:tc>
          <w:tcPr>
            <w:tcW w:w="450" w:type="dxa"/>
            <w:vAlign w:val="bottom"/>
          </w:tcPr>
          <w:p w14:paraId="7D908895" w14:textId="77777777" w:rsidR="008A701E" w:rsidRPr="006A2781" w:rsidRDefault="008A701E" w:rsidP="008A701E">
            <w:pPr>
              <w:jc w:val="center"/>
              <w:rPr>
                <w:rFonts w:ascii="Arial" w:hAnsi="Arial" w:cs="Arial"/>
                <w:sz w:val="18"/>
                <w:szCs w:val="18"/>
              </w:rPr>
            </w:pPr>
            <w:r>
              <w:rPr>
                <w:rFonts w:ascii="Arial" w:hAnsi="Arial" w:cs="Arial"/>
                <w:sz w:val="18"/>
                <w:szCs w:val="18"/>
              </w:rPr>
              <w:t>43</w:t>
            </w:r>
          </w:p>
        </w:tc>
        <w:tc>
          <w:tcPr>
            <w:tcW w:w="540" w:type="dxa"/>
            <w:vAlign w:val="bottom"/>
          </w:tcPr>
          <w:p w14:paraId="2CD4BC1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8413AF0"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797EEEF0" w14:textId="77777777" w:rsidR="008A701E" w:rsidRPr="00C821F1" w:rsidRDefault="008A701E" w:rsidP="008A701E">
            <w:pPr>
              <w:rPr>
                <w:rFonts w:ascii="Arial" w:hAnsi="Arial" w:cs="Arial"/>
                <w:sz w:val="18"/>
                <w:szCs w:val="18"/>
              </w:rPr>
            </w:pPr>
            <w:r w:rsidRPr="00C821F1">
              <w:rPr>
                <w:rFonts w:ascii="Arial" w:hAnsi="Arial" w:cs="Arial"/>
                <w:sz w:val="18"/>
                <w:szCs w:val="18"/>
              </w:rPr>
              <w:t>Incompatible (I)</w:t>
            </w:r>
          </w:p>
        </w:tc>
        <w:tc>
          <w:tcPr>
            <w:tcW w:w="1530" w:type="dxa"/>
            <w:shd w:val="clear" w:color="auto" w:fill="auto"/>
            <w:noWrap/>
            <w:vAlign w:val="bottom"/>
          </w:tcPr>
          <w:p w14:paraId="15A160CE"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6B0B7CCD"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2CBCE35A" w14:textId="77777777" w:rsidTr="00A732E0">
        <w:trPr>
          <w:cantSplit/>
          <w:trHeight w:val="255"/>
        </w:trPr>
        <w:tc>
          <w:tcPr>
            <w:tcW w:w="450" w:type="dxa"/>
            <w:vAlign w:val="bottom"/>
          </w:tcPr>
          <w:p w14:paraId="7D684687" w14:textId="77777777" w:rsidR="008A701E" w:rsidRPr="006A2781" w:rsidRDefault="008A701E" w:rsidP="008A701E">
            <w:pPr>
              <w:jc w:val="center"/>
              <w:rPr>
                <w:rFonts w:ascii="Arial" w:hAnsi="Arial" w:cs="Arial"/>
                <w:sz w:val="18"/>
                <w:szCs w:val="18"/>
              </w:rPr>
            </w:pPr>
            <w:r>
              <w:rPr>
                <w:rFonts w:ascii="Arial" w:hAnsi="Arial" w:cs="Arial"/>
                <w:sz w:val="18"/>
                <w:szCs w:val="18"/>
              </w:rPr>
              <w:t>44</w:t>
            </w:r>
          </w:p>
        </w:tc>
        <w:tc>
          <w:tcPr>
            <w:tcW w:w="540" w:type="dxa"/>
            <w:vAlign w:val="bottom"/>
          </w:tcPr>
          <w:p w14:paraId="246693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0E2D6D9B"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7FD2801D" w14:textId="77777777" w:rsidR="008A701E" w:rsidRPr="00C821F1" w:rsidRDefault="008A701E" w:rsidP="008A701E">
            <w:pPr>
              <w:rPr>
                <w:rFonts w:ascii="Arial" w:hAnsi="Arial" w:cs="Arial"/>
                <w:sz w:val="18"/>
                <w:szCs w:val="18"/>
              </w:rPr>
            </w:pPr>
            <w:r w:rsidRPr="00C821F1">
              <w:rPr>
                <w:rFonts w:ascii="Arial" w:hAnsi="Arial" w:cs="Arial"/>
                <w:bCs/>
                <w:sz w:val="18"/>
                <w:szCs w:val="18"/>
              </w:rPr>
              <w:t xml:space="preserve">Crossmatch Compatible: Don’t Transfuse </w:t>
            </w:r>
            <w:r w:rsidRPr="00C821F1">
              <w:rPr>
                <w:rFonts w:ascii="Arial" w:hAnsi="Arial" w:cs="Arial"/>
                <w:sz w:val="18"/>
                <w:szCs w:val="18"/>
              </w:rPr>
              <w:t xml:space="preserve">(D) </w:t>
            </w:r>
          </w:p>
        </w:tc>
        <w:tc>
          <w:tcPr>
            <w:tcW w:w="1530" w:type="dxa"/>
            <w:shd w:val="clear" w:color="auto" w:fill="auto"/>
            <w:noWrap/>
            <w:vAlign w:val="bottom"/>
          </w:tcPr>
          <w:p w14:paraId="4989CA33"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461EF57F"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4DC85287" w14:textId="77777777" w:rsidTr="00A732E0">
        <w:trPr>
          <w:cantSplit/>
          <w:trHeight w:val="255"/>
        </w:trPr>
        <w:tc>
          <w:tcPr>
            <w:tcW w:w="450" w:type="dxa"/>
            <w:vAlign w:val="bottom"/>
          </w:tcPr>
          <w:p w14:paraId="656AC1D8" w14:textId="77777777" w:rsidR="008A701E" w:rsidRPr="006A2781" w:rsidRDefault="008A701E" w:rsidP="008A701E">
            <w:pPr>
              <w:jc w:val="center"/>
              <w:rPr>
                <w:rFonts w:ascii="Arial" w:hAnsi="Arial" w:cs="Arial"/>
                <w:sz w:val="18"/>
                <w:szCs w:val="18"/>
              </w:rPr>
            </w:pPr>
            <w:r>
              <w:rPr>
                <w:rFonts w:ascii="Arial" w:hAnsi="Arial" w:cs="Arial"/>
                <w:sz w:val="18"/>
                <w:szCs w:val="18"/>
              </w:rPr>
              <w:t>45</w:t>
            </w:r>
          </w:p>
        </w:tc>
        <w:tc>
          <w:tcPr>
            <w:tcW w:w="540" w:type="dxa"/>
            <w:vAlign w:val="bottom"/>
          </w:tcPr>
          <w:p w14:paraId="4B9B669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23BC8B80"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134067A6" w14:textId="77777777" w:rsidR="008A701E" w:rsidRPr="00C821F1" w:rsidRDefault="008A701E" w:rsidP="008A701E">
            <w:pPr>
              <w:rPr>
                <w:rFonts w:ascii="Arial" w:hAnsi="Arial" w:cs="Arial"/>
                <w:sz w:val="18"/>
                <w:szCs w:val="18"/>
              </w:rPr>
            </w:pPr>
            <w:r w:rsidRPr="00C821F1">
              <w:rPr>
                <w:rFonts w:ascii="Arial" w:hAnsi="Arial" w:cs="Arial"/>
                <w:sz w:val="18"/>
                <w:szCs w:val="18"/>
              </w:rPr>
              <w:t>Compatible-Give with MD approval (G)</w:t>
            </w:r>
          </w:p>
        </w:tc>
        <w:tc>
          <w:tcPr>
            <w:tcW w:w="1530" w:type="dxa"/>
            <w:shd w:val="clear" w:color="auto" w:fill="auto"/>
            <w:noWrap/>
            <w:vAlign w:val="bottom"/>
          </w:tcPr>
          <w:p w14:paraId="28D4FCFC"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C</w:t>
            </w:r>
          </w:p>
        </w:tc>
        <w:tc>
          <w:tcPr>
            <w:tcW w:w="2070" w:type="dxa"/>
            <w:shd w:val="clear" w:color="auto" w:fill="auto"/>
            <w:noWrap/>
            <w:vAlign w:val="bottom"/>
          </w:tcPr>
          <w:p w14:paraId="0DFA136F" w14:textId="77777777" w:rsidR="008A701E" w:rsidRPr="00C821F1" w:rsidRDefault="008A701E" w:rsidP="008A701E">
            <w:pPr>
              <w:rPr>
                <w:rFonts w:ascii="Arial" w:hAnsi="Arial" w:cs="Arial"/>
                <w:sz w:val="18"/>
                <w:szCs w:val="18"/>
              </w:rPr>
            </w:pPr>
            <w:r w:rsidRPr="00C821F1">
              <w:rPr>
                <w:rFonts w:ascii="Arial" w:hAnsi="Arial" w:cs="Arial"/>
                <w:sz w:val="18"/>
                <w:szCs w:val="18"/>
              </w:rPr>
              <w:t>No message is sent</w:t>
            </w:r>
          </w:p>
        </w:tc>
      </w:tr>
      <w:tr w:rsidR="008A701E" w:rsidRPr="006A2781" w14:paraId="496250EC" w14:textId="77777777" w:rsidTr="00A732E0">
        <w:trPr>
          <w:cantSplit/>
          <w:trHeight w:val="255"/>
        </w:trPr>
        <w:tc>
          <w:tcPr>
            <w:tcW w:w="450" w:type="dxa"/>
            <w:vAlign w:val="bottom"/>
          </w:tcPr>
          <w:p w14:paraId="1912F0A5" w14:textId="77777777" w:rsidR="008A701E" w:rsidRPr="006A2781" w:rsidRDefault="008A701E" w:rsidP="008A701E">
            <w:pPr>
              <w:jc w:val="center"/>
              <w:rPr>
                <w:rFonts w:ascii="Arial" w:hAnsi="Arial" w:cs="Arial"/>
                <w:sz w:val="18"/>
                <w:szCs w:val="18"/>
              </w:rPr>
            </w:pPr>
            <w:r>
              <w:rPr>
                <w:rFonts w:ascii="Arial" w:hAnsi="Arial" w:cs="Arial"/>
                <w:sz w:val="18"/>
                <w:szCs w:val="18"/>
              </w:rPr>
              <w:t>46</w:t>
            </w:r>
          </w:p>
        </w:tc>
        <w:tc>
          <w:tcPr>
            <w:tcW w:w="540" w:type="dxa"/>
            <w:vAlign w:val="bottom"/>
          </w:tcPr>
          <w:p w14:paraId="06A6972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40006E68"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6B986611" w14:textId="77777777" w:rsidR="008A701E" w:rsidRPr="006A2781" w:rsidRDefault="008A701E" w:rsidP="008A701E">
            <w:pPr>
              <w:rPr>
                <w:rFonts w:ascii="Arial" w:hAnsi="Arial" w:cs="Arial"/>
                <w:sz w:val="18"/>
                <w:szCs w:val="18"/>
              </w:rPr>
            </w:pPr>
            <w:r w:rsidRPr="006A2781">
              <w:rPr>
                <w:rFonts w:ascii="Arial" w:hAnsi="Arial" w:cs="Arial"/>
                <w:sz w:val="18"/>
                <w:szCs w:val="18"/>
              </w:rPr>
              <w:t>Unit is antigen positive for a patient's antigen negative requirement</w:t>
            </w:r>
          </w:p>
        </w:tc>
        <w:tc>
          <w:tcPr>
            <w:tcW w:w="1530" w:type="dxa"/>
            <w:shd w:val="clear" w:color="auto" w:fill="auto"/>
            <w:noWrap/>
            <w:vAlign w:val="bottom"/>
          </w:tcPr>
          <w:p w14:paraId="509095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55CA350F"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w:t>
            </w:r>
          </w:p>
        </w:tc>
      </w:tr>
      <w:tr w:rsidR="008A701E" w:rsidRPr="006A2781" w14:paraId="1136FC17" w14:textId="77777777" w:rsidTr="00A732E0">
        <w:trPr>
          <w:cantSplit/>
          <w:trHeight w:val="255"/>
        </w:trPr>
        <w:tc>
          <w:tcPr>
            <w:tcW w:w="450" w:type="dxa"/>
            <w:vAlign w:val="bottom"/>
          </w:tcPr>
          <w:p w14:paraId="5BC74AB8" w14:textId="77777777" w:rsidR="008A701E" w:rsidRPr="006A2781" w:rsidRDefault="008A701E" w:rsidP="008A701E">
            <w:pPr>
              <w:jc w:val="center"/>
              <w:rPr>
                <w:rFonts w:ascii="Arial" w:hAnsi="Arial" w:cs="Arial"/>
                <w:sz w:val="18"/>
                <w:szCs w:val="18"/>
              </w:rPr>
            </w:pPr>
            <w:r>
              <w:rPr>
                <w:rFonts w:ascii="Arial" w:hAnsi="Arial" w:cs="Arial"/>
                <w:sz w:val="18"/>
                <w:szCs w:val="18"/>
              </w:rPr>
              <w:t>47</w:t>
            </w:r>
          </w:p>
        </w:tc>
        <w:tc>
          <w:tcPr>
            <w:tcW w:w="540" w:type="dxa"/>
            <w:vAlign w:val="bottom"/>
          </w:tcPr>
          <w:p w14:paraId="078A5EA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625DA5B3"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3DAAA1FD" w14:textId="77777777" w:rsidR="008A701E" w:rsidRPr="006A2781" w:rsidRDefault="008A701E" w:rsidP="008A701E">
            <w:pPr>
              <w:rPr>
                <w:rFonts w:ascii="Arial" w:hAnsi="Arial" w:cs="Arial"/>
                <w:sz w:val="18"/>
                <w:szCs w:val="18"/>
              </w:rPr>
            </w:pPr>
            <w:r w:rsidRPr="006A2781">
              <w:rPr>
                <w:rFonts w:ascii="Arial" w:hAnsi="Arial" w:cs="Arial"/>
                <w:sz w:val="18"/>
                <w:szCs w:val="18"/>
              </w:rPr>
              <w:t>Unit is antigen positive for a patient's antigen negative requirement</w:t>
            </w:r>
          </w:p>
        </w:tc>
        <w:tc>
          <w:tcPr>
            <w:tcW w:w="1530" w:type="dxa"/>
            <w:shd w:val="clear" w:color="auto" w:fill="auto"/>
            <w:noWrap/>
            <w:vAlign w:val="bottom"/>
          </w:tcPr>
          <w:p w14:paraId="5615383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071A262B"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w:t>
            </w:r>
          </w:p>
        </w:tc>
      </w:tr>
      <w:tr w:rsidR="008A701E" w:rsidRPr="006A2781" w14:paraId="754FE43A" w14:textId="77777777" w:rsidTr="00A732E0">
        <w:trPr>
          <w:cantSplit/>
          <w:trHeight w:val="255"/>
        </w:trPr>
        <w:tc>
          <w:tcPr>
            <w:tcW w:w="450" w:type="dxa"/>
            <w:vAlign w:val="bottom"/>
          </w:tcPr>
          <w:p w14:paraId="0571C83D" w14:textId="77777777" w:rsidR="008A701E" w:rsidRPr="006A2781" w:rsidRDefault="008A701E" w:rsidP="008A701E">
            <w:pPr>
              <w:jc w:val="center"/>
              <w:rPr>
                <w:rFonts w:ascii="Arial" w:hAnsi="Arial" w:cs="Arial"/>
                <w:sz w:val="18"/>
                <w:szCs w:val="18"/>
              </w:rPr>
            </w:pPr>
            <w:r>
              <w:rPr>
                <w:rFonts w:ascii="Arial" w:hAnsi="Arial" w:cs="Arial"/>
                <w:sz w:val="18"/>
                <w:szCs w:val="18"/>
              </w:rPr>
              <w:t>48</w:t>
            </w:r>
          </w:p>
        </w:tc>
        <w:tc>
          <w:tcPr>
            <w:tcW w:w="540" w:type="dxa"/>
            <w:vAlign w:val="bottom"/>
          </w:tcPr>
          <w:p w14:paraId="791B836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2F8C1B6C"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2D04C964" w14:textId="77777777" w:rsidR="008A701E" w:rsidRPr="006A2781" w:rsidRDefault="008A701E" w:rsidP="008A701E">
            <w:pPr>
              <w:rPr>
                <w:rFonts w:ascii="Arial" w:hAnsi="Arial" w:cs="Arial"/>
                <w:sz w:val="18"/>
                <w:szCs w:val="18"/>
              </w:rPr>
            </w:pPr>
            <w:r w:rsidRPr="006A2781">
              <w:rPr>
                <w:rFonts w:ascii="Arial" w:hAnsi="Arial" w:cs="Arial"/>
                <w:sz w:val="18"/>
                <w:szCs w:val="18"/>
              </w:rPr>
              <w:t>Antigen typing result creates a discrepant antigen typing.</w:t>
            </w:r>
          </w:p>
        </w:tc>
        <w:tc>
          <w:tcPr>
            <w:tcW w:w="1530" w:type="dxa"/>
            <w:shd w:val="clear" w:color="auto" w:fill="auto"/>
            <w:noWrap/>
            <w:vAlign w:val="bottom"/>
          </w:tcPr>
          <w:p w14:paraId="2BAEBBE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696C283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12181156" w14:textId="77777777" w:rsidTr="00A732E0">
        <w:trPr>
          <w:cantSplit/>
          <w:trHeight w:val="255"/>
        </w:trPr>
        <w:tc>
          <w:tcPr>
            <w:tcW w:w="450" w:type="dxa"/>
            <w:vAlign w:val="bottom"/>
          </w:tcPr>
          <w:p w14:paraId="14F376E4" w14:textId="77777777" w:rsidR="008A701E" w:rsidRPr="006A2781" w:rsidRDefault="008A701E" w:rsidP="008A701E">
            <w:pPr>
              <w:jc w:val="center"/>
              <w:rPr>
                <w:rFonts w:ascii="Arial" w:hAnsi="Arial" w:cs="Arial"/>
                <w:sz w:val="18"/>
                <w:szCs w:val="18"/>
              </w:rPr>
            </w:pPr>
            <w:r>
              <w:rPr>
                <w:rFonts w:ascii="Arial" w:hAnsi="Arial" w:cs="Arial"/>
                <w:sz w:val="18"/>
                <w:szCs w:val="18"/>
              </w:rPr>
              <w:t>49</w:t>
            </w:r>
          </w:p>
        </w:tc>
        <w:tc>
          <w:tcPr>
            <w:tcW w:w="540" w:type="dxa"/>
            <w:vAlign w:val="bottom"/>
          </w:tcPr>
          <w:p w14:paraId="5B24B90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2ADA53B3"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14C9C8EE" w14:textId="77777777" w:rsidR="008A701E" w:rsidRPr="006A2781" w:rsidRDefault="008A701E" w:rsidP="008A701E">
            <w:pPr>
              <w:rPr>
                <w:rFonts w:ascii="Arial" w:hAnsi="Arial" w:cs="Arial"/>
                <w:sz w:val="18"/>
                <w:szCs w:val="18"/>
              </w:rPr>
            </w:pPr>
            <w:r w:rsidRPr="006A2781">
              <w:rPr>
                <w:rFonts w:ascii="Arial" w:hAnsi="Arial" w:cs="Arial"/>
                <w:sz w:val="18"/>
                <w:szCs w:val="18"/>
              </w:rPr>
              <w:t>Antigen typing result creates a discrepant antigen typing.</w:t>
            </w:r>
          </w:p>
        </w:tc>
        <w:tc>
          <w:tcPr>
            <w:tcW w:w="1530" w:type="dxa"/>
            <w:shd w:val="clear" w:color="auto" w:fill="auto"/>
            <w:noWrap/>
            <w:vAlign w:val="bottom"/>
          </w:tcPr>
          <w:p w14:paraId="1C2E10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E306825"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69AFBEC" w14:textId="77777777" w:rsidTr="00A732E0">
        <w:trPr>
          <w:cantSplit/>
          <w:trHeight w:val="255"/>
        </w:trPr>
        <w:tc>
          <w:tcPr>
            <w:tcW w:w="450" w:type="dxa"/>
            <w:vAlign w:val="bottom"/>
          </w:tcPr>
          <w:p w14:paraId="405DC511" w14:textId="77777777" w:rsidR="008A701E" w:rsidRPr="006A2781" w:rsidRDefault="008A701E" w:rsidP="008A701E">
            <w:pPr>
              <w:jc w:val="center"/>
              <w:rPr>
                <w:rFonts w:ascii="Arial" w:hAnsi="Arial" w:cs="Arial"/>
                <w:sz w:val="18"/>
                <w:szCs w:val="18"/>
              </w:rPr>
            </w:pPr>
            <w:r>
              <w:rPr>
                <w:rFonts w:ascii="Arial" w:hAnsi="Arial" w:cs="Arial"/>
                <w:sz w:val="18"/>
                <w:szCs w:val="18"/>
              </w:rPr>
              <w:t>50</w:t>
            </w:r>
          </w:p>
        </w:tc>
        <w:tc>
          <w:tcPr>
            <w:tcW w:w="540" w:type="dxa"/>
            <w:vAlign w:val="bottom"/>
          </w:tcPr>
          <w:p w14:paraId="685DF93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82D825F" w14:textId="77777777" w:rsidR="008A701E" w:rsidRPr="006A2781" w:rsidRDefault="008A701E" w:rsidP="008A701E">
            <w:pPr>
              <w:rPr>
                <w:rFonts w:ascii="Arial" w:hAnsi="Arial" w:cs="Arial"/>
                <w:sz w:val="18"/>
                <w:szCs w:val="18"/>
              </w:rPr>
            </w:pPr>
            <w:r w:rsidRPr="00A66F9A">
              <w:rPr>
                <w:rFonts w:ascii="Arial" w:hAnsi="Arial" w:cs="Arial"/>
                <w:sz w:val="18"/>
                <w:szCs w:val="18"/>
              </w:rPr>
              <w:t>Release Unit from Patient Assignment</w:t>
            </w:r>
          </w:p>
        </w:tc>
        <w:tc>
          <w:tcPr>
            <w:tcW w:w="3060" w:type="dxa"/>
            <w:shd w:val="clear" w:color="auto" w:fill="auto"/>
            <w:noWrap/>
            <w:vAlign w:val="bottom"/>
          </w:tcPr>
          <w:p w14:paraId="04EF71D9"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or any overrides processed</w:t>
            </w:r>
          </w:p>
        </w:tc>
        <w:tc>
          <w:tcPr>
            <w:tcW w:w="1530" w:type="dxa"/>
            <w:shd w:val="clear" w:color="auto" w:fill="auto"/>
            <w:noWrap/>
            <w:vAlign w:val="bottom"/>
          </w:tcPr>
          <w:p w14:paraId="70EF44B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62BBA6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F653082" w14:textId="77777777" w:rsidTr="00A732E0">
        <w:trPr>
          <w:cantSplit/>
          <w:trHeight w:val="255"/>
        </w:trPr>
        <w:tc>
          <w:tcPr>
            <w:tcW w:w="450" w:type="dxa"/>
            <w:vAlign w:val="bottom"/>
          </w:tcPr>
          <w:p w14:paraId="32BF8C43" w14:textId="77777777" w:rsidR="008A701E" w:rsidRPr="006A2781" w:rsidRDefault="008A701E" w:rsidP="008A701E">
            <w:pPr>
              <w:jc w:val="center"/>
              <w:rPr>
                <w:rFonts w:ascii="Arial" w:hAnsi="Arial" w:cs="Arial"/>
                <w:sz w:val="18"/>
                <w:szCs w:val="18"/>
              </w:rPr>
            </w:pPr>
            <w:r>
              <w:rPr>
                <w:rFonts w:ascii="Arial" w:hAnsi="Arial" w:cs="Arial"/>
                <w:sz w:val="18"/>
                <w:szCs w:val="18"/>
              </w:rPr>
              <w:t>51</w:t>
            </w:r>
          </w:p>
        </w:tc>
        <w:tc>
          <w:tcPr>
            <w:tcW w:w="540" w:type="dxa"/>
            <w:vAlign w:val="bottom"/>
          </w:tcPr>
          <w:p w14:paraId="7974C62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0FE36C0A" w14:textId="77777777" w:rsidR="008A701E" w:rsidRPr="006A2781" w:rsidRDefault="008A701E" w:rsidP="008A701E">
            <w:pPr>
              <w:rPr>
                <w:rFonts w:ascii="Arial" w:hAnsi="Arial" w:cs="Arial"/>
                <w:sz w:val="18"/>
                <w:szCs w:val="18"/>
              </w:rPr>
            </w:pPr>
            <w:r w:rsidRPr="00A66F9A">
              <w:rPr>
                <w:rFonts w:ascii="Arial" w:hAnsi="Arial" w:cs="Arial"/>
                <w:sz w:val="18"/>
                <w:szCs w:val="18"/>
              </w:rPr>
              <w:t>Release Unit from Patient Assignment</w:t>
            </w:r>
          </w:p>
        </w:tc>
        <w:tc>
          <w:tcPr>
            <w:tcW w:w="3060" w:type="dxa"/>
            <w:shd w:val="clear" w:color="auto" w:fill="auto"/>
            <w:noWrap/>
            <w:vAlign w:val="bottom"/>
          </w:tcPr>
          <w:p w14:paraId="22B47E65"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or any overrides processed</w:t>
            </w:r>
          </w:p>
        </w:tc>
        <w:tc>
          <w:tcPr>
            <w:tcW w:w="1530" w:type="dxa"/>
            <w:shd w:val="clear" w:color="auto" w:fill="auto"/>
            <w:noWrap/>
            <w:vAlign w:val="bottom"/>
          </w:tcPr>
          <w:p w14:paraId="0161BC7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D87D78E"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5131FAA4" w14:textId="77777777" w:rsidTr="00A732E0">
        <w:trPr>
          <w:cantSplit/>
          <w:trHeight w:val="255"/>
        </w:trPr>
        <w:tc>
          <w:tcPr>
            <w:tcW w:w="450" w:type="dxa"/>
            <w:vAlign w:val="bottom"/>
          </w:tcPr>
          <w:p w14:paraId="6802F355" w14:textId="77777777" w:rsidR="008A701E" w:rsidRPr="006A2781" w:rsidRDefault="008A701E" w:rsidP="008A701E">
            <w:pPr>
              <w:jc w:val="center"/>
              <w:rPr>
                <w:rFonts w:ascii="Arial" w:hAnsi="Arial" w:cs="Arial"/>
                <w:sz w:val="18"/>
                <w:szCs w:val="18"/>
              </w:rPr>
            </w:pPr>
            <w:r>
              <w:rPr>
                <w:rFonts w:ascii="Arial" w:hAnsi="Arial" w:cs="Arial"/>
                <w:sz w:val="18"/>
                <w:szCs w:val="18"/>
              </w:rPr>
              <w:t>52</w:t>
            </w:r>
          </w:p>
        </w:tc>
        <w:tc>
          <w:tcPr>
            <w:tcW w:w="540" w:type="dxa"/>
            <w:vAlign w:val="bottom"/>
          </w:tcPr>
          <w:p w14:paraId="543DEF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1867" w:type="dxa"/>
            <w:shd w:val="clear" w:color="auto" w:fill="auto"/>
            <w:noWrap/>
            <w:vAlign w:val="bottom"/>
          </w:tcPr>
          <w:p w14:paraId="670A8F83"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1B3070FB"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Unit without a crossmatch </w:t>
            </w:r>
          </w:p>
        </w:tc>
        <w:tc>
          <w:tcPr>
            <w:tcW w:w="1530" w:type="dxa"/>
            <w:shd w:val="clear" w:color="auto" w:fill="auto"/>
            <w:noWrap/>
            <w:vAlign w:val="bottom"/>
          </w:tcPr>
          <w:p w14:paraId="2C6AFF3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FCE8787"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474D229" w14:textId="77777777" w:rsidTr="00A732E0">
        <w:trPr>
          <w:cantSplit/>
          <w:trHeight w:val="255"/>
        </w:trPr>
        <w:tc>
          <w:tcPr>
            <w:tcW w:w="450" w:type="dxa"/>
            <w:vAlign w:val="bottom"/>
          </w:tcPr>
          <w:p w14:paraId="0569530D" w14:textId="77777777" w:rsidR="008A701E" w:rsidRPr="006A2781" w:rsidRDefault="008A701E" w:rsidP="008A701E">
            <w:pPr>
              <w:jc w:val="center"/>
              <w:rPr>
                <w:rFonts w:ascii="Arial" w:hAnsi="Arial" w:cs="Arial"/>
                <w:sz w:val="18"/>
                <w:szCs w:val="18"/>
              </w:rPr>
            </w:pPr>
            <w:r>
              <w:rPr>
                <w:rFonts w:ascii="Arial" w:hAnsi="Arial" w:cs="Arial"/>
                <w:sz w:val="18"/>
                <w:szCs w:val="18"/>
              </w:rPr>
              <w:t>53</w:t>
            </w:r>
          </w:p>
        </w:tc>
        <w:tc>
          <w:tcPr>
            <w:tcW w:w="540" w:type="dxa"/>
            <w:vAlign w:val="bottom"/>
          </w:tcPr>
          <w:p w14:paraId="34A3DBA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1867" w:type="dxa"/>
            <w:shd w:val="clear" w:color="auto" w:fill="auto"/>
            <w:noWrap/>
            <w:vAlign w:val="bottom"/>
          </w:tcPr>
          <w:p w14:paraId="0D2EB63E"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541225D0" w14:textId="77777777" w:rsidR="008A701E" w:rsidRPr="006A2781" w:rsidRDefault="008A701E" w:rsidP="008A701E">
            <w:pPr>
              <w:rPr>
                <w:rFonts w:ascii="Arial" w:hAnsi="Arial" w:cs="Arial"/>
                <w:sz w:val="18"/>
                <w:szCs w:val="18"/>
              </w:rPr>
            </w:pPr>
            <w:r w:rsidRPr="006A2781">
              <w:rPr>
                <w:rFonts w:ascii="Arial" w:hAnsi="Arial" w:cs="Arial"/>
                <w:sz w:val="18"/>
                <w:szCs w:val="18"/>
              </w:rPr>
              <w:t>Crossmatched unit</w:t>
            </w:r>
          </w:p>
        </w:tc>
        <w:tc>
          <w:tcPr>
            <w:tcW w:w="1530" w:type="dxa"/>
            <w:shd w:val="clear" w:color="auto" w:fill="auto"/>
            <w:noWrap/>
            <w:vAlign w:val="bottom"/>
          </w:tcPr>
          <w:p w14:paraId="57418CB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08C0B88E"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3E8C2A03" w14:textId="77777777" w:rsidTr="00A732E0">
        <w:trPr>
          <w:cantSplit/>
          <w:trHeight w:val="255"/>
        </w:trPr>
        <w:tc>
          <w:tcPr>
            <w:tcW w:w="450" w:type="dxa"/>
            <w:vAlign w:val="bottom"/>
          </w:tcPr>
          <w:p w14:paraId="70AF6009" w14:textId="77777777" w:rsidR="008A701E" w:rsidRDefault="008A701E" w:rsidP="008A701E">
            <w:pPr>
              <w:jc w:val="center"/>
              <w:rPr>
                <w:rFonts w:ascii="Arial" w:hAnsi="Arial" w:cs="Arial"/>
                <w:sz w:val="18"/>
                <w:szCs w:val="18"/>
              </w:rPr>
            </w:pPr>
            <w:r>
              <w:rPr>
                <w:rFonts w:ascii="Arial" w:hAnsi="Arial" w:cs="Arial"/>
                <w:sz w:val="18"/>
                <w:szCs w:val="18"/>
              </w:rPr>
              <w:t>54</w:t>
            </w:r>
          </w:p>
        </w:tc>
        <w:tc>
          <w:tcPr>
            <w:tcW w:w="540" w:type="dxa"/>
            <w:vAlign w:val="bottom"/>
          </w:tcPr>
          <w:p w14:paraId="13041DC0" w14:textId="77777777" w:rsidR="008A701E" w:rsidRPr="006A2781" w:rsidRDefault="008A701E" w:rsidP="008A701E">
            <w:pPr>
              <w:jc w:val="center"/>
              <w:rPr>
                <w:rFonts w:ascii="Arial" w:hAnsi="Arial" w:cs="Arial"/>
                <w:sz w:val="18"/>
                <w:szCs w:val="18"/>
              </w:rPr>
            </w:pPr>
            <w:r>
              <w:rPr>
                <w:rFonts w:ascii="Arial" w:hAnsi="Arial" w:cs="Arial"/>
                <w:sz w:val="18"/>
                <w:szCs w:val="18"/>
              </w:rPr>
              <w:t>I</w:t>
            </w:r>
          </w:p>
        </w:tc>
        <w:tc>
          <w:tcPr>
            <w:tcW w:w="1867" w:type="dxa"/>
            <w:shd w:val="clear" w:color="auto" w:fill="auto"/>
            <w:noWrap/>
            <w:vAlign w:val="bottom"/>
          </w:tcPr>
          <w:p w14:paraId="1FF6188F"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3F18D634" w14:textId="77777777" w:rsidR="008A701E" w:rsidRPr="00B7134B" w:rsidRDefault="008A701E" w:rsidP="008A701E">
            <w:pPr>
              <w:rPr>
                <w:rFonts w:ascii="Arial" w:hAnsi="Arial" w:cs="Arial"/>
                <w:sz w:val="18"/>
                <w:szCs w:val="18"/>
              </w:rPr>
            </w:pPr>
            <w:r w:rsidRPr="00B7134B">
              <w:rPr>
                <w:rFonts w:ascii="Arial" w:hAnsi="Arial" w:cs="Arial"/>
                <w:sz w:val="18"/>
                <w:szCs w:val="18"/>
              </w:rPr>
              <w:t>Unit without a crossmatch, unit is unsatisfactory</w:t>
            </w:r>
          </w:p>
        </w:tc>
        <w:tc>
          <w:tcPr>
            <w:tcW w:w="1530" w:type="dxa"/>
            <w:shd w:val="clear" w:color="auto" w:fill="auto"/>
            <w:noWrap/>
            <w:vAlign w:val="bottom"/>
          </w:tcPr>
          <w:p w14:paraId="36DE61D5"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2070" w:type="dxa"/>
            <w:shd w:val="clear" w:color="auto" w:fill="auto"/>
            <w:noWrap/>
            <w:vAlign w:val="bottom"/>
          </w:tcPr>
          <w:p w14:paraId="0C5BF329" w14:textId="77777777" w:rsidR="008A701E" w:rsidRPr="006A2781" w:rsidRDefault="008A701E" w:rsidP="008A701E">
            <w:pPr>
              <w:rPr>
                <w:rFonts w:ascii="Arial" w:hAnsi="Arial" w:cs="Arial"/>
                <w:sz w:val="18"/>
                <w:szCs w:val="18"/>
              </w:rPr>
            </w:pPr>
            <w:r w:rsidRPr="00B7134B">
              <w:rPr>
                <w:rFonts w:ascii="Arial" w:hAnsi="Arial" w:cs="Arial"/>
                <w:sz w:val="18"/>
                <w:szCs w:val="18"/>
              </w:rPr>
              <w:t>RE</w:t>
            </w:r>
          </w:p>
        </w:tc>
      </w:tr>
      <w:tr w:rsidR="008A701E" w:rsidRPr="006A2781" w14:paraId="424EFC48" w14:textId="77777777" w:rsidTr="00A732E0">
        <w:trPr>
          <w:cantSplit/>
          <w:trHeight w:val="255"/>
        </w:trPr>
        <w:tc>
          <w:tcPr>
            <w:tcW w:w="450" w:type="dxa"/>
            <w:vAlign w:val="bottom"/>
          </w:tcPr>
          <w:p w14:paraId="22347ED2" w14:textId="77777777" w:rsidR="008A701E" w:rsidRDefault="008A701E" w:rsidP="008A701E">
            <w:pPr>
              <w:jc w:val="center"/>
              <w:rPr>
                <w:rFonts w:ascii="Arial" w:hAnsi="Arial" w:cs="Arial"/>
                <w:sz w:val="18"/>
                <w:szCs w:val="18"/>
              </w:rPr>
            </w:pPr>
            <w:r>
              <w:rPr>
                <w:rFonts w:ascii="Arial" w:hAnsi="Arial" w:cs="Arial"/>
                <w:sz w:val="18"/>
                <w:szCs w:val="18"/>
              </w:rPr>
              <w:t>55</w:t>
            </w:r>
          </w:p>
        </w:tc>
        <w:tc>
          <w:tcPr>
            <w:tcW w:w="540" w:type="dxa"/>
            <w:vAlign w:val="bottom"/>
          </w:tcPr>
          <w:p w14:paraId="52F20DF0" w14:textId="77777777" w:rsidR="008A701E" w:rsidRPr="006A2781" w:rsidRDefault="008A701E" w:rsidP="008A701E">
            <w:pPr>
              <w:jc w:val="center"/>
              <w:rPr>
                <w:rFonts w:ascii="Arial" w:hAnsi="Arial" w:cs="Arial"/>
                <w:sz w:val="18"/>
                <w:szCs w:val="18"/>
              </w:rPr>
            </w:pPr>
            <w:r>
              <w:rPr>
                <w:rFonts w:ascii="Arial" w:hAnsi="Arial" w:cs="Arial"/>
                <w:sz w:val="18"/>
                <w:szCs w:val="18"/>
              </w:rPr>
              <w:t>I</w:t>
            </w:r>
          </w:p>
        </w:tc>
        <w:tc>
          <w:tcPr>
            <w:tcW w:w="1867" w:type="dxa"/>
            <w:shd w:val="clear" w:color="auto" w:fill="auto"/>
            <w:noWrap/>
            <w:vAlign w:val="bottom"/>
          </w:tcPr>
          <w:p w14:paraId="2B0D8D40"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41F09AA7" w14:textId="77777777" w:rsidR="008A701E" w:rsidRPr="00B7134B" w:rsidRDefault="008A701E" w:rsidP="008A701E">
            <w:pPr>
              <w:rPr>
                <w:rFonts w:ascii="Arial" w:hAnsi="Arial" w:cs="Arial"/>
                <w:sz w:val="18"/>
                <w:szCs w:val="18"/>
              </w:rPr>
            </w:pPr>
            <w:r w:rsidRPr="00B7134B">
              <w:rPr>
                <w:rFonts w:ascii="Arial" w:hAnsi="Arial" w:cs="Arial"/>
                <w:sz w:val="18"/>
                <w:szCs w:val="18"/>
              </w:rPr>
              <w:t>Unit crossmatched, unit is unsatisfactory</w:t>
            </w:r>
          </w:p>
        </w:tc>
        <w:tc>
          <w:tcPr>
            <w:tcW w:w="1530" w:type="dxa"/>
            <w:shd w:val="clear" w:color="auto" w:fill="auto"/>
            <w:noWrap/>
            <w:vAlign w:val="bottom"/>
          </w:tcPr>
          <w:p w14:paraId="4669E0AB" w14:textId="77777777" w:rsidR="008A701E" w:rsidRPr="006A2781" w:rsidRDefault="008A701E" w:rsidP="008A701E">
            <w:pPr>
              <w:jc w:val="center"/>
              <w:rPr>
                <w:rFonts w:ascii="Arial" w:hAnsi="Arial" w:cs="Arial"/>
                <w:sz w:val="18"/>
                <w:szCs w:val="18"/>
              </w:rPr>
            </w:pPr>
            <w:r w:rsidRPr="00B7134B">
              <w:rPr>
                <w:rFonts w:ascii="Arial" w:hAnsi="Arial" w:cs="Arial"/>
                <w:sz w:val="18"/>
                <w:szCs w:val="18"/>
              </w:rPr>
              <w:t>A</w:t>
            </w:r>
          </w:p>
        </w:tc>
        <w:tc>
          <w:tcPr>
            <w:tcW w:w="2070" w:type="dxa"/>
            <w:shd w:val="clear" w:color="auto" w:fill="auto"/>
            <w:noWrap/>
            <w:vAlign w:val="bottom"/>
          </w:tcPr>
          <w:p w14:paraId="66DCDE74" w14:textId="77777777" w:rsidR="008A701E" w:rsidRPr="006A2781" w:rsidRDefault="008A701E" w:rsidP="008A701E">
            <w:pPr>
              <w:rPr>
                <w:rFonts w:ascii="Arial" w:hAnsi="Arial" w:cs="Arial"/>
                <w:sz w:val="18"/>
                <w:szCs w:val="18"/>
              </w:rPr>
            </w:pPr>
            <w:r w:rsidRPr="00B7134B">
              <w:rPr>
                <w:rFonts w:ascii="Arial" w:hAnsi="Arial" w:cs="Arial"/>
                <w:sz w:val="18"/>
                <w:szCs w:val="18"/>
              </w:rPr>
              <w:t>RE</w:t>
            </w:r>
          </w:p>
        </w:tc>
      </w:tr>
      <w:tr w:rsidR="008A701E" w:rsidRPr="006A2781" w14:paraId="3D234401" w14:textId="77777777" w:rsidTr="00A732E0">
        <w:trPr>
          <w:cantSplit/>
          <w:trHeight w:val="255"/>
        </w:trPr>
        <w:tc>
          <w:tcPr>
            <w:tcW w:w="450" w:type="dxa"/>
            <w:vAlign w:val="bottom"/>
          </w:tcPr>
          <w:p w14:paraId="6B311E76" w14:textId="77777777" w:rsidR="008A701E" w:rsidRPr="006A2781" w:rsidRDefault="008A701E" w:rsidP="008A701E">
            <w:pPr>
              <w:jc w:val="center"/>
              <w:rPr>
                <w:rFonts w:ascii="Arial" w:hAnsi="Arial" w:cs="Arial"/>
                <w:sz w:val="18"/>
                <w:szCs w:val="18"/>
              </w:rPr>
            </w:pPr>
            <w:r>
              <w:rPr>
                <w:rFonts w:ascii="Arial" w:hAnsi="Arial" w:cs="Arial"/>
                <w:sz w:val="18"/>
                <w:szCs w:val="18"/>
              </w:rPr>
              <w:t>56</w:t>
            </w:r>
          </w:p>
        </w:tc>
        <w:tc>
          <w:tcPr>
            <w:tcW w:w="540" w:type="dxa"/>
            <w:vAlign w:val="bottom"/>
          </w:tcPr>
          <w:p w14:paraId="566A799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4DC6B4AC"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5B0E1422"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with or without overrides</w:t>
            </w:r>
          </w:p>
        </w:tc>
        <w:tc>
          <w:tcPr>
            <w:tcW w:w="1530" w:type="dxa"/>
            <w:shd w:val="clear" w:color="auto" w:fill="auto"/>
            <w:noWrap/>
            <w:vAlign w:val="bottom"/>
          </w:tcPr>
          <w:p w14:paraId="46273A8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69FD7FF8"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391DF5EB" w14:textId="77777777" w:rsidTr="00A732E0">
        <w:trPr>
          <w:cantSplit/>
          <w:trHeight w:val="255"/>
        </w:trPr>
        <w:tc>
          <w:tcPr>
            <w:tcW w:w="450" w:type="dxa"/>
            <w:vAlign w:val="bottom"/>
          </w:tcPr>
          <w:p w14:paraId="0CF4BE52" w14:textId="77777777" w:rsidR="008A701E" w:rsidRPr="006A2781" w:rsidRDefault="008A701E" w:rsidP="008A701E">
            <w:pPr>
              <w:jc w:val="center"/>
              <w:rPr>
                <w:rFonts w:ascii="Arial" w:hAnsi="Arial" w:cs="Arial"/>
                <w:sz w:val="18"/>
                <w:szCs w:val="18"/>
              </w:rPr>
            </w:pPr>
            <w:r>
              <w:rPr>
                <w:rFonts w:ascii="Arial" w:hAnsi="Arial" w:cs="Arial"/>
                <w:sz w:val="18"/>
                <w:szCs w:val="18"/>
              </w:rPr>
              <w:t>57</w:t>
            </w:r>
          </w:p>
        </w:tc>
        <w:tc>
          <w:tcPr>
            <w:tcW w:w="540" w:type="dxa"/>
            <w:vAlign w:val="bottom"/>
          </w:tcPr>
          <w:p w14:paraId="24360F1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48EE44F1"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77D7ABFC"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with or without overrides</w:t>
            </w:r>
          </w:p>
        </w:tc>
        <w:tc>
          <w:tcPr>
            <w:tcW w:w="1530" w:type="dxa"/>
            <w:shd w:val="clear" w:color="auto" w:fill="auto"/>
            <w:noWrap/>
            <w:vAlign w:val="bottom"/>
          </w:tcPr>
          <w:p w14:paraId="27EDEBF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6D8241AA"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5BA696CE" w14:textId="77777777" w:rsidTr="00A732E0">
        <w:trPr>
          <w:cantSplit/>
          <w:trHeight w:val="255"/>
        </w:trPr>
        <w:tc>
          <w:tcPr>
            <w:tcW w:w="450" w:type="dxa"/>
            <w:vAlign w:val="bottom"/>
          </w:tcPr>
          <w:p w14:paraId="4D700639" w14:textId="77777777" w:rsidR="008A701E" w:rsidRPr="006A2781" w:rsidRDefault="008A701E" w:rsidP="008A701E">
            <w:pPr>
              <w:jc w:val="center"/>
              <w:rPr>
                <w:rFonts w:ascii="Arial" w:hAnsi="Arial" w:cs="Arial"/>
                <w:sz w:val="18"/>
                <w:szCs w:val="18"/>
              </w:rPr>
            </w:pPr>
            <w:r>
              <w:rPr>
                <w:rFonts w:ascii="Arial" w:hAnsi="Arial" w:cs="Arial"/>
                <w:sz w:val="18"/>
                <w:szCs w:val="18"/>
              </w:rPr>
              <w:t>58</w:t>
            </w:r>
          </w:p>
        </w:tc>
        <w:tc>
          <w:tcPr>
            <w:tcW w:w="540" w:type="dxa"/>
            <w:vAlign w:val="bottom"/>
          </w:tcPr>
          <w:p w14:paraId="5DAB87F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188C88C5"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6267A636" w14:textId="77777777" w:rsidR="008A701E" w:rsidRPr="006A2781" w:rsidRDefault="008A701E" w:rsidP="008A701E">
            <w:pPr>
              <w:rPr>
                <w:rFonts w:ascii="Arial" w:hAnsi="Arial" w:cs="Arial"/>
                <w:sz w:val="18"/>
                <w:szCs w:val="18"/>
              </w:rPr>
            </w:pPr>
            <w:r w:rsidRPr="006A2781">
              <w:rPr>
                <w:rFonts w:ascii="Arial" w:hAnsi="Arial" w:cs="Arial"/>
                <w:sz w:val="18"/>
                <w:szCs w:val="18"/>
              </w:rPr>
              <w:t>Unit is marked as unsatisfactory for issue</w:t>
            </w:r>
          </w:p>
        </w:tc>
        <w:tc>
          <w:tcPr>
            <w:tcW w:w="1530" w:type="dxa"/>
            <w:shd w:val="clear" w:color="auto" w:fill="auto"/>
            <w:noWrap/>
            <w:vAlign w:val="bottom"/>
          </w:tcPr>
          <w:p w14:paraId="3D604BB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3246A7F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2360C6C6" w14:textId="77777777" w:rsidTr="00A732E0">
        <w:trPr>
          <w:cantSplit/>
          <w:trHeight w:val="255"/>
        </w:trPr>
        <w:tc>
          <w:tcPr>
            <w:tcW w:w="450" w:type="dxa"/>
            <w:vAlign w:val="bottom"/>
          </w:tcPr>
          <w:p w14:paraId="20F44224" w14:textId="77777777" w:rsidR="008A701E" w:rsidRPr="006A2781" w:rsidRDefault="008A701E" w:rsidP="008A701E">
            <w:pPr>
              <w:jc w:val="center"/>
              <w:rPr>
                <w:rFonts w:ascii="Arial" w:hAnsi="Arial" w:cs="Arial"/>
                <w:sz w:val="18"/>
                <w:szCs w:val="18"/>
              </w:rPr>
            </w:pPr>
            <w:r>
              <w:rPr>
                <w:rFonts w:ascii="Arial" w:hAnsi="Arial" w:cs="Arial"/>
                <w:sz w:val="18"/>
                <w:szCs w:val="18"/>
              </w:rPr>
              <w:t>59</w:t>
            </w:r>
          </w:p>
        </w:tc>
        <w:tc>
          <w:tcPr>
            <w:tcW w:w="540" w:type="dxa"/>
            <w:vAlign w:val="bottom"/>
          </w:tcPr>
          <w:p w14:paraId="559A28B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6197CFB"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6ADC6400" w14:textId="77777777" w:rsidR="008A701E" w:rsidRPr="006A2781" w:rsidRDefault="008A701E" w:rsidP="008A701E">
            <w:pPr>
              <w:rPr>
                <w:rFonts w:ascii="Arial" w:hAnsi="Arial" w:cs="Arial"/>
                <w:sz w:val="18"/>
                <w:szCs w:val="18"/>
              </w:rPr>
            </w:pPr>
            <w:r w:rsidRPr="006A2781">
              <w:rPr>
                <w:rFonts w:ascii="Arial" w:hAnsi="Arial" w:cs="Arial"/>
                <w:sz w:val="18"/>
                <w:szCs w:val="18"/>
              </w:rPr>
              <w:t>Unit is marked as unsatisfactory for issue</w:t>
            </w:r>
          </w:p>
        </w:tc>
        <w:tc>
          <w:tcPr>
            <w:tcW w:w="1530" w:type="dxa"/>
            <w:shd w:val="clear" w:color="auto" w:fill="auto"/>
            <w:noWrap/>
            <w:vAlign w:val="bottom"/>
          </w:tcPr>
          <w:p w14:paraId="23F5446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34D9BDA"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31F9C9C2" w14:textId="77777777" w:rsidTr="00A732E0">
        <w:trPr>
          <w:cantSplit/>
          <w:trHeight w:val="255"/>
        </w:trPr>
        <w:tc>
          <w:tcPr>
            <w:tcW w:w="450" w:type="dxa"/>
            <w:vAlign w:val="bottom"/>
          </w:tcPr>
          <w:p w14:paraId="52B665D5" w14:textId="77777777" w:rsidR="008A701E" w:rsidRPr="006A2781" w:rsidRDefault="008A701E" w:rsidP="008A701E">
            <w:pPr>
              <w:jc w:val="center"/>
              <w:rPr>
                <w:rFonts w:ascii="Arial" w:hAnsi="Arial" w:cs="Arial"/>
                <w:sz w:val="18"/>
                <w:szCs w:val="18"/>
              </w:rPr>
            </w:pPr>
            <w:r>
              <w:rPr>
                <w:rFonts w:ascii="Arial" w:hAnsi="Arial" w:cs="Arial"/>
                <w:sz w:val="18"/>
                <w:szCs w:val="18"/>
              </w:rPr>
              <w:t>60</w:t>
            </w:r>
          </w:p>
        </w:tc>
        <w:tc>
          <w:tcPr>
            <w:tcW w:w="540" w:type="dxa"/>
            <w:vAlign w:val="bottom"/>
          </w:tcPr>
          <w:p w14:paraId="3A6D76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45FF3E4" w14:textId="77777777" w:rsidR="008A701E" w:rsidRPr="006A2781" w:rsidRDefault="008A701E" w:rsidP="008A701E">
            <w:pPr>
              <w:rPr>
                <w:rFonts w:ascii="Arial" w:hAnsi="Arial" w:cs="Arial"/>
                <w:sz w:val="18"/>
                <w:szCs w:val="18"/>
              </w:rPr>
            </w:pPr>
            <w:r>
              <w:rPr>
                <w:rFonts w:ascii="Arial" w:hAnsi="Arial" w:cs="Arial"/>
                <w:sz w:val="18"/>
                <w:szCs w:val="18"/>
              </w:rPr>
              <w:t>Invalidate Patient Test Results</w:t>
            </w:r>
          </w:p>
        </w:tc>
        <w:tc>
          <w:tcPr>
            <w:tcW w:w="3060" w:type="dxa"/>
            <w:shd w:val="clear" w:color="auto" w:fill="auto"/>
            <w:noWrap/>
            <w:vAlign w:val="bottom"/>
          </w:tcPr>
          <w:p w14:paraId="401C20BC" w14:textId="77777777" w:rsidR="008A701E" w:rsidRPr="006A2781" w:rsidRDefault="008A701E" w:rsidP="008A701E">
            <w:pPr>
              <w:rPr>
                <w:rFonts w:ascii="Arial" w:hAnsi="Arial" w:cs="Arial"/>
                <w:sz w:val="18"/>
                <w:szCs w:val="18"/>
              </w:rPr>
            </w:pPr>
            <w:r w:rsidRPr="006A2781">
              <w:rPr>
                <w:rFonts w:ascii="Arial" w:hAnsi="Arial" w:cs="Arial"/>
                <w:sz w:val="18"/>
                <w:szCs w:val="18"/>
              </w:rPr>
              <w:t>Invalidate Crossmatch results for the unit-patient association</w:t>
            </w:r>
          </w:p>
        </w:tc>
        <w:tc>
          <w:tcPr>
            <w:tcW w:w="1530" w:type="dxa"/>
            <w:shd w:val="clear" w:color="auto" w:fill="auto"/>
            <w:noWrap/>
            <w:vAlign w:val="bottom"/>
          </w:tcPr>
          <w:p w14:paraId="12209AE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07E331CA"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 as the unit has not been released from assignment from the patient.</w:t>
            </w:r>
          </w:p>
        </w:tc>
      </w:tr>
    </w:tbl>
    <w:p w14:paraId="56BDD3DE" w14:textId="77777777" w:rsidR="008A701E" w:rsidRPr="00F20C8C" w:rsidRDefault="008A701E" w:rsidP="00F20C8C">
      <w:r w:rsidRPr="00F20C8C">
        <w:t>**Pooling of products that also require crossmatch is not currently possible.</w:t>
      </w:r>
    </w:p>
    <w:p w14:paraId="4B75D4EC" w14:textId="77777777" w:rsidR="0038450D" w:rsidRDefault="008A701E" w:rsidP="008A701E">
      <w:pPr>
        <w:pStyle w:val="Heading3"/>
      </w:pPr>
      <w:r>
        <w:br w:type="page"/>
      </w:r>
      <w:r w:rsidR="00966400">
        <w:rPr>
          <w:rFonts w:ascii="Geneva" w:hAnsi="Geneva"/>
          <w:vanish/>
        </w:rPr>
        <w:lastRenderedPageBreak/>
        <w:t xml:space="preserve"> </w:t>
      </w:r>
      <w:r w:rsidR="0038450D">
        <w:rPr>
          <w:rFonts w:ascii="Geneva" w:hAnsi="Geneva"/>
          <w:vanish/>
        </w:rPr>
        <w:t>T</w:t>
      </w:r>
      <w:r w:rsidR="00BC4A37">
        <w:rPr>
          <w:rFonts w:ascii="Geneva" w:hAnsi="Geneva"/>
          <w:vanish/>
        </w:rPr>
        <w:t>T</w:t>
      </w:r>
      <w:r w:rsidR="0038450D">
        <w:rPr>
          <w:rFonts w:ascii="Geneva" w:hAnsi="Geneva"/>
          <w:vanish/>
        </w:rPr>
        <w:t>_</w:t>
      </w:r>
      <w:r w:rsidR="00BC4A37">
        <w:rPr>
          <w:rFonts w:ascii="Geneva" w:hAnsi="Geneva"/>
          <w:vanish/>
        </w:rPr>
        <w:t>15.01</w:t>
      </w:r>
      <w:r w:rsidR="0038450D">
        <w:rPr>
          <w:rFonts w:ascii="Geneva" w:hAnsi="Geneva"/>
          <w:vanish/>
          <w:sz w:val="16"/>
        </w:rPr>
        <w:t xml:space="preserve"> </w:t>
      </w:r>
      <w:bookmarkStart w:id="808" w:name="_Toc47516821"/>
      <w:r w:rsidR="00BC4A37">
        <w:t>Workload Process to Use Case Mapping Table</w:t>
      </w:r>
      <w:bookmarkEnd w:id="808"/>
      <w:r w:rsidR="00BC4A37">
        <w:t xml:space="preserve"> </w:t>
      </w:r>
      <w:r w:rsidR="0038450D">
        <w:fldChar w:fldCharType="begin"/>
      </w:r>
      <w:r w:rsidR="0038450D">
        <w:instrText xml:space="preserve"> XE “</w:instrText>
      </w:r>
      <w:r w:rsidR="00BC4A37">
        <w:instrText>Workload Process to Use Case Mapping Table</w:instrText>
      </w:r>
      <w:r w:rsidR="0038450D">
        <w:instrText xml:space="preserve">” </w:instrText>
      </w:r>
      <w:r w:rsidR="0038450D">
        <w:fldChar w:fldCharType="end"/>
      </w:r>
    </w:p>
    <w:p w14:paraId="02764372" w14:textId="43EFDBB2" w:rsidR="0038450D" w:rsidRDefault="0038450D" w:rsidP="0038450D">
      <w:pPr>
        <w:pStyle w:val="Caption"/>
      </w:pPr>
      <w:bookmarkStart w:id="809" w:name="_Ref21953143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26</w:t>
      </w:r>
      <w:r w:rsidR="004E20BD">
        <w:rPr>
          <w:noProof/>
        </w:rPr>
        <w:fldChar w:fldCharType="end"/>
      </w:r>
      <w:bookmarkEnd w:id="809"/>
      <w:r>
        <w:t xml:space="preserve">: </w:t>
      </w:r>
      <w:r>
        <w:rPr>
          <w:vanish/>
        </w:rPr>
        <w:t>T</w:t>
      </w:r>
      <w:r w:rsidR="00BC4A37">
        <w:rPr>
          <w:vanish/>
        </w:rPr>
        <w:t>T_15.01</w:t>
      </w:r>
      <w:r>
        <w:rPr>
          <w:vanish/>
          <w:sz w:val="16"/>
        </w:rPr>
        <w:t xml:space="preserve"> </w:t>
      </w:r>
      <w:r w:rsidR="00BC4A37">
        <w:t>Workload Process to Use Case Mapping Table</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3"/>
        <w:gridCol w:w="1592"/>
        <w:gridCol w:w="1080"/>
        <w:gridCol w:w="900"/>
        <w:gridCol w:w="4950"/>
      </w:tblGrid>
      <w:tr w:rsidR="000305DD" w:rsidRPr="00F24972" w14:paraId="1B3348D1" w14:textId="77777777" w:rsidTr="00FA340F">
        <w:trPr>
          <w:cantSplit/>
          <w:tblHeader/>
        </w:trPr>
        <w:tc>
          <w:tcPr>
            <w:tcW w:w="10255" w:type="dxa"/>
            <w:gridSpan w:val="5"/>
            <w:shd w:val="clear" w:color="auto" w:fill="C0C0C0"/>
            <w:vAlign w:val="bottom"/>
          </w:tcPr>
          <w:p w14:paraId="0E061A80" w14:textId="77777777" w:rsidR="000305DD" w:rsidRPr="00F24972" w:rsidRDefault="000305DD" w:rsidP="000305DD">
            <w:pPr>
              <w:pStyle w:val="TableText"/>
              <w:jc w:val="center"/>
              <w:rPr>
                <w:rFonts w:cs="Arial"/>
                <w:b/>
              </w:rPr>
            </w:pPr>
            <w:r w:rsidRPr="00F24972">
              <w:rPr>
                <w:rFonts w:cs="Arial"/>
                <w:b/>
              </w:rPr>
              <w:t>Workload Process to Use Case Mapping Table</w:t>
            </w:r>
          </w:p>
        </w:tc>
      </w:tr>
      <w:tr w:rsidR="000305DD" w:rsidRPr="00F24972" w14:paraId="6D0E94B4" w14:textId="77777777" w:rsidTr="00FA340F">
        <w:trPr>
          <w:cantSplit/>
          <w:trHeight w:val="1296"/>
          <w:tblHeader/>
        </w:trPr>
        <w:tc>
          <w:tcPr>
            <w:tcW w:w="1733" w:type="dxa"/>
            <w:tcBorders>
              <w:bottom w:val="single" w:sz="4" w:space="0" w:color="auto"/>
            </w:tcBorders>
            <w:shd w:val="clear" w:color="auto" w:fill="C0C0C0"/>
            <w:vAlign w:val="bottom"/>
          </w:tcPr>
          <w:p w14:paraId="197D39C4" w14:textId="77777777" w:rsidR="000305DD" w:rsidRPr="00F24972" w:rsidRDefault="000305DD" w:rsidP="000305DD">
            <w:pPr>
              <w:pStyle w:val="TableText"/>
              <w:rPr>
                <w:rFonts w:cs="Arial"/>
                <w:b/>
              </w:rPr>
            </w:pPr>
            <w:r w:rsidRPr="00F24972">
              <w:rPr>
                <w:rFonts w:cs="Arial"/>
                <w:b/>
              </w:rPr>
              <w:t xml:space="preserve">VBECS Process </w:t>
            </w:r>
          </w:p>
        </w:tc>
        <w:tc>
          <w:tcPr>
            <w:tcW w:w="1592" w:type="dxa"/>
            <w:tcBorders>
              <w:bottom w:val="single" w:sz="4" w:space="0" w:color="auto"/>
            </w:tcBorders>
            <w:shd w:val="clear" w:color="auto" w:fill="C0C0C0"/>
            <w:vAlign w:val="bottom"/>
          </w:tcPr>
          <w:p w14:paraId="741DE4C0" w14:textId="77777777" w:rsidR="000305DD" w:rsidRPr="00F24972" w:rsidRDefault="000305DD" w:rsidP="000305DD">
            <w:pPr>
              <w:pStyle w:val="TableText"/>
              <w:rPr>
                <w:rFonts w:cs="Arial"/>
                <w:b/>
              </w:rPr>
            </w:pPr>
            <w:r w:rsidRPr="00F24972">
              <w:rPr>
                <w:rFonts w:cs="Arial"/>
                <w:b/>
              </w:rPr>
              <w:t>Record Saved in This Use Case</w:t>
            </w:r>
          </w:p>
        </w:tc>
        <w:tc>
          <w:tcPr>
            <w:tcW w:w="1080" w:type="dxa"/>
            <w:tcBorders>
              <w:bottom w:val="single" w:sz="4" w:space="0" w:color="auto"/>
            </w:tcBorders>
            <w:shd w:val="clear" w:color="auto" w:fill="C0C0C0"/>
            <w:vAlign w:val="bottom"/>
          </w:tcPr>
          <w:p w14:paraId="39DD7DB4" w14:textId="77777777" w:rsidR="000305DD" w:rsidRPr="00F24972" w:rsidRDefault="000305DD" w:rsidP="000305DD">
            <w:pPr>
              <w:pStyle w:val="TableText"/>
              <w:rPr>
                <w:rFonts w:cs="Arial"/>
                <w:b/>
              </w:rPr>
            </w:pPr>
            <w:r w:rsidRPr="00F24972">
              <w:rPr>
                <w:rFonts w:cs="Arial"/>
                <w:b/>
              </w:rPr>
              <w:t>Positive or Negative Workload Accrued</w:t>
            </w:r>
          </w:p>
        </w:tc>
        <w:tc>
          <w:tcPr>
            <w:tcW w:w="900" w:type="dxa"/>
            <w:tcBorders>
              <w:bottom w:val="single" w:sz="4" w:space="0" w:color="auto"/>
            </w:tcBorders>
            <w:shd w:val="clear" w:color="auto" w:fill="C0C0C0"/>
            <w:textDirection w:val="btLr"/>
            <w:vAlign w:val="bottom"/>
          </w:tcPr>
          <w:p w14:paraId="012C4839" w14:textId="77777777" w:rsidR="000305DD" w:rsidRPr="00F24972" w:rsidRDefault="000305DD" w:rsidP="000305DD">
            <w:pPr>
              <w:pStyle w:val="TableText"/>
              <w:ind w:left="113" w:right="113"/>
              <w:rPr>
                <w:rFonts w:cs="Arial"/>
                <w:b/>
              </w:rPr>
            </w:pPr>
            <w:r w:rsidRPr="00F24972">
              <w:rPr>
                <w:rFonts w:cs="Arial"/>
                <w:b/>
              </w:rPr>
              <w:t>Transaction Type*</w:t>
            </w:r>
          </w:p>
        </w:tc>
        <w:tc>
          <w:tcPr>
            <w:tcW w:w="4950" w:type="dxa"/>
            <w:tcBorders>
              <w:bottom w:val="single" w:sz="4" w:space="0" w:color="auto"/>
            </w:tcBorders>
            <w:shd w:val="clear" w:color="auto" w:fill="C0C0C0"/>
            <w:vAlign w:val="bottom"/>
          </w:tcPr>
          <w:p w14:paraId="1ADB606A" w14:textId="77777777" w:rsidR="000305DD" w:rsidRPr="00F24972" w:rsidRDefault="000305DD" w:rsidP="000305DD">
            <w:pPr>
              <w:pStyle w:val="TableText"/>
              <w:rPr>
                <w:rFonts w:cs="Arial"/>
                <w:b/>
              </w:rPr>
            </w:pPr>
            <w:r w:rsidRPr="00F24972">
              <w:rPr>
                <w:rFonts w:cs="Arial"/>
                <w:b/>
              </w:rPr>
              <w:t xml:space="preserve">Explanation </w:t>
            </w:r>
          </w:p>
        </w:tc>
      </w:tr>
      <w:tr w:rsidR="000305DD" w:rsidRPr="00F24972" w14:paraId="44C7EAB6" w14:textId="77777777" w:rsidTr="00FA340F">
        <w:trPr>
          <w:cantSplit/>
        </w:trPr>
        <w:tc>
          <w:tcPr>
            <w:tcW w:w="1733" w:type="dxa"/>
            <w:vMerge w:val="restart"/>
          </w:tcPr>
          <w:p w14:paraId="636BACB2" w14:textId="77777777" w:rsidR="000305DD" w:rsidRPr="00F24972" w:rsidRDefault="000305DD" w:rsidP="000305DD">
            <w:pPr>
              <w:pStyle w:val="TableText"/>
              <w:rPr>
                <w:rFonts w:cs="Arial"/>
              </w:rPr>
            </w:pPr>
            <w:r w:rsidRPr="00F24972">
              <w:rPr>
                <w:rFonts w:cs="Arial"/>
              </w:rPr>
              <w:t>ABO Forward and reverse typing (patient)</w:t>
            </w:r>
          </w:p>
          <w:p w14:paraId="34CD0F18" w14:textId="77777777" w:rsidR="000305DD" w:rsidRPr="00F24972" w:rsidRDefault="000305DD" w:rsidP="000305DD">
            <w:pPr>
              <w:pStyle w:val="TableText"/>
              <w:rPr>
                <w:rFonts w:cs="Arial"/>
              </w:rPr>
            </w:pPr>
          </w:p>
        </w:tc>
        <w:tc>
          <w:tcPr>
            <w:tcW w:w="1592" w:type="dxa"/>
          </w:tcPr>
          <w:p w14:paraId="39C8CACF" w14:textId="77777777" w:rsidR="000305DD" w:rsidRPr="00F24972" w:rsidRDefault="000305DD" w:rsidP="000305DD">
            <w:pPr>
              <w:pStyle w:val="TableText"/>
              <w:rPr>
                <w:rFonts w:cs="Arial"/>
              </w:rPr>
            </w:pPr>
            <w:r>
              <w:rPr>
                <w:rFonts w:cs="Arial"/>
              </w:rPr>
              <w:t>Transfusion Reaction Workup</w:t>
            </w:r>
          </w:p>
        </w:tc>
        <w:tc>
          <w:tcPr>
            <w:tcW w:w="1080" w:type="dxa"/>
          </w:tcPr>
          <w:p w14:paraId="67193ECA" w14:textId="77777777" w:rsidR="000305DD" w:rsidRPr="00F24972" w:rsidRDefault="000305DD" w:rsidP="000305DD">
            <w:pPr>
              <w:pStyle w:val="TableText"/>
              <w:rPr>
                <w:rFonts w:cs="Arial"/>
              </w:rPr>
            </w:pPr>
            <w:r w:rsidRPr="00F24972">
              <w:rPr>
                <w:rFonts w:cs="Arial"/>
              </w:rPr>
              <w:t>Positive</w:t>
            </w:r>
          </w:p>
        </w:tc>
        <w:tc>
          <w:tcPr>
            <w:tcW w:w="900" w:type="dxa"/>
          </w:tcPr>
          <w:p w14:paraId="4E8AB22F" w14:textId="77777777" w:rsidR="000305DD" w:rsidRPr="00F24972" w:rsidRDefault="000305DD" w:rsidP="000305DD">
            <w:pPr>
              <w:pStyle w:val="TableText"/>
              <w:jc w:val="center"/>
              <w:rPr>
                <w:rFonts w:cs="Arial"/>
              </w:rPr>
            </w:pPr>
            <w:r w:rsidRPr="00F24972">
              <w:rPr>
                <w:rFonts w:cs="Arial"/>
              </w:rPr>
              <w:t>P</w:t>
            </w:r>
          </w:p>
        </w:tc>
        <w:tc>
          <w:tcPr>
            <w:tcW w:w="4950" w:type="dxa"/>
          </w:tcPr>
          <w:p w14:paraId="39E29702" w14:textId="77777777" w:rsidR="000305DD" w:rsidRPr="00F24972" w:rsidRDefault="000305DD" w:rsidP="000305DD">
            <w:pPr>
              <w:pStyle w:val="TableText"/>
              <w:rPr>
                <w:rFonts w:cs="Arial"/>
              </w:rPr>
            </w:pPr>
            <w:r w:rsidRPr="00F24972">
              <w:rPr>
                <w:rFonts w:cs="Arial"/>
              </w:rPr>
              <w:t>An ABO/Rh test for pre or post is enabled and a valid interpretation other than Not Tested is selected. A workload event is accrued separately for Pre and Post entries.</w:t>
            </w:r>
          </w:p>
        </w:tc>
      </w:tr>
      <w:tr w:rsidR="000305DD" w:rsidRPr="00F24972" w14:paraId="4AA9E7A0" w14:textId="77777777" w:rsidTr="00FA340F">
        <w:trPr>
          <w:cantSplit/>
        </w:trPr>
        <w:tc>
          <w:tcPr>
            <w:tcW w:w="1733" w:type="dxa"/>
            <w:vMerge/>
          </w:tcPr>
          <w:p w14:paraId="448430CB"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tcBorders>
          </w:tcPr>
          <w:p w14:paraId="1E50AC12" w14:textId="77777777" w:rsidR="000305DD" w:rsidRPr="00F24972" w:rsidRDefault="000305DD" w:rsidP="000305DD">
            <w:pPr>
              <w:pStyle w:val="TableText"/>
              <w:rPr>
                <w:rFonts w:cs="Arial"/>
              </w:rPr>
            </w:pPr>
            <w:r>
              <w:rPr>
                <w:rFonts w:cs="Arial"/>
              </w:rPr>
              <w:t>Patient Testing: ABO/Rh</w:t>
            </w:r>
          </w:p>
          <w:p w14:paraId="17E5FD97" w14:textId="77777777" w:rsidR="000305DD" w:rsidRPr="00F24972" w:rsidRDefault="000305DD" w:rsidP="000305DD">
            <w:pPr>
              <w:pStyle w:val="TableText"/>
              <w:rPr>
                <w:rFonts w:cs="Arial"/>
              </w:rPr>
            </w:pPr>
          </w:p>
        </w:tc>
        <w:tc>
          <w:tcPr>
            <w:tcW w:w="1080" w:type="dxa"/>
            <w:tcBorders>
              <w:top w:val="single" w:sz="4" w:space="0" w:color="auto"/>
              <w:bottom w:val="single" w:sz="4" w:space="0" w:color="auto"/>
              <w:right w:val="single" w:sz="4" w:space="0" w:color="auto"/>
            </w:tcBorders>
          </w:tcPr>
          <w:p w14:paraId="6D3E5588"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B642DC8"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1D3D1060" w14:textId="77777777" w:rsidR="000305DD" w:rsidRPr="00F24972" w:rsidRDefault="0045199E" w:rsidP="000305DD">
            <w:pPr>
              <w:pStyle w:val="TableText"/>
              <w:rPr>
                <w:rFonts w:cs="Arial"/>
              </w:rPr>
            </w:pPr>
            <w:r w:rsidRPr="00F24972">
              <w:rPr>
                <w:rFonts w:cs="Arial"/>
              </w:rPr>
              <w:t>Accrue workload when an ABO/Rh test performed from the ordered test ABO/Rh only (</w:t>
            </w:r>
            <w:r>
              <w:rPr>
                <w:rFonts w:cs="Arial"/>
              </w:rPr>
              <w:t>Record Patient ABO-Rh</w:t>
            </w:r>
            <w:r w:rsidRPr="00F24972">
              <w:rPr>
                <w:rFonts w:cs="Arial"/>
              </w:rPr>
              <w:t xml:space="preserve"> is completed and saved</w:t>
            </w:r>
            <w:r>
              <w:rPr>
                <w:rFonts w:cs="Arial"/>
              </w:rPr>
              <w:t xml:space="preserve"> </w:t>
            </w:r>
            <w:r w:rsidRPr="00F24972">
              <w:rPr>
                <w:rFonts w:cs="Arial"/>
              </w:rPr>
              <w:t xml:space="preserve">by </w:t>
            </w:r>
            <w:r>
              <w:rPr>
                <w:rFonts w:cs="Arial"/>
              </w:rPr>
              <w:t>Record Testing).</w:t>
            </w:r>
          </w:p>
        </w:tc>
      </w:tr>
      <w:tr w:rsidR="000305DD" w:rsidRPr="00F24972" w14:paraId="194F0A12" w14:textId="77777777" w:rsidTr="00FA340F">
        <w:trPr>
          <w:cantSplit/>
        </w:trPr>
        <w:tc>
          <w:tcPr>
            <w:tcW w:w="1733" w:type="dxa"/>
            <w:vMerge/>
            <w:tcBorders>
              <w:bottom w:val="single" w:sz="4" w:space="0" w:color="auto"/>
            </w:tcBorders>
          </w:tcPr>
          <w:p w14:paraId="7327BA2A"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tcBorders>
          </w:tcPr>
          <w:p w14:paraId="561DE3AE" w14:textId="77777777" w:rsidR="000305DD" w:rsidRPr="00F24972" w:rsidRDefault="000305DD" w:rsidP="000305DD">
            <w:pPr>
              <w:pStyle w:val="TableText"/>
              <w:rPr>
                <w:rFonts w:cs="Arial"/>
              </w:rPr>
            </w:pPr>
            <w:r>
              <w:rPr>
                <w:rFonts w:cs="Arial"/>
              </w:rPr>
              <w:t>Invalidate Patient Testing: Patient ABO/Rh</w:t>
            </w:r>
          </w:p>
        </w:tc>
        <w:tc>
          <w:tcPr>
            <w:tcW w:w="1080" w:type="dxa"/>
            <w:tcBorders>
              <w:top w:val="single" w:sz="4" w:space="0" w:color="auto"/>
              <w:bottom w:val="single" w:sz="4" w:space="0" w:color="auto"/>
              <w:right w:val="single" w:sz="4" w:space="0" w:color="auto"/>
            </w:tcBorders>
          </w:tcPr>
          <w:p w14:paraId="53B45EF4"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49ABA130"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58539384" w14:textId="77777777" w:rsidR="000305DD" w:rsidRPr="00F24972" w:rsidRDefault="000305DD" w:rsidP="000305DD">
            <w:pPr>
              <w:pStyle w:val="TableText"/>
              <w:rPr>
                <w:rFonts w:cs="Arial"/>
              </w:rPr>
            </w:pPr>
            <w:r w:rsidRPr="00F24972">
              <w:rPr>
                <w:rFonts w:cs="Arial"/>
              </w:rPr>
              <w:t>Accrue workload when a completed ABO/Rh test is invalidated.</w:t>
            </w:r>
          </w:p>
        </w:tc>
      </w:tr>
      <w:tr w:rsidR="000305DD" w:rsidRPr="00F24972" w14:paraId="047FBBE2" w14:textId="77777777" w:rsidTr="00FA340F">
        <w:trPr>
          <w:cantSplit/>
        </w:trPr>
        <w:tc>
          <w:tcPr>
            <w:tcW w:w="1733" w:type="dxa"/>
            <w:vMerge w:val="restart"/>
            <w:tcBorders>
              <w:top w:val="single" w:sz="4" w:space="0" w:color="auto"/>
              <w:left w:val="single" w:sz="4" w:space="0" w:color="auto"/>
              <w:right w:val="single" w:sz="4" w:space="0" w:color="auto"/>
            </w:tcBorders>
          </w:tcPr>
          <w:p w14:paraId="08420339" w14:textId="77777777" w:rsidR="000305DD" w:rsidRPr="00F24972" w:rsidRDefault="000305DD" w:rsidP="000305DD">
            <w:pPr>
              <w:pStyle w:val="TableText"/>
              <w:rPr>
                <w:rFonts w:cs="Arial"/>
              </w:rPr>
            </w:pPr>
            <w:r w:rsidRPr="00F24972">
              <w:rPr>
                <w:rFonts w:cs="Arial"/>
              </w:rPr>
              <w:t>ABO Forward and reverse typing (patient) Repeat Test</w:t>
            </w:r>
          </w:p>
          <w:p w14:paraId="67825B66"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0EF95304" w14:textId="77777777" w:rsidR="000305DD" w:rsidRPr="00F24972" w:rsidRDefault="000305DD" w:rsidP="000305DD">
            <w:pPr>
              <w:pStyle w:val="TableText"/>
              <w:rPr>
                <w:rFonts w:cs="Arial"/>
              </w:rPr>
            </w:pPr>
            <w:r>
              <w:rPr>
                <w:rFonts w:cs="Arial"/>
              </w:rPr>
              <w:t>Patient Testing: ABO/Rh</w:t>
            </w:r>
          </w:p>
          <w:p w14:paraId="0DF276B4"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9C09E5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D8796B2"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35AD06C0" w14:textId="77777777" w:rsidR="000305DD" w:rsidRPr="00F24972" w:rsidRDefault="000305DD" w:rsidP="000305DD">
            <w:pPr>
              <w:pStyle w:val="TableText"/>
              <w:rPr>
                <w:rFonts w:cs="Arial"/>
              </w:rPr>
            </w:pPr>
            <w:r w:rsidRPr="00F24972">
              <w:rPr>
                <w:rFonts w:cs="Arial"/>
              </w:rPr>
              <w:t xml:space="preserve">Accrue workload when a reflex or repeat ABO/Rh test is performed, completed and saved via </w:t>
            </w:r>
            <w:r>
              <w:rPr>
                <w:rFonts w:cs="Arial"/>
              </w:rPr>
              <w:t>Record Testing</w:t>
            </w:r>
            <w:r w:rsidRPr="00F24972">
              <w:rPr>
                <w:rFonts w:cs="Arial"/>
              </w:rPr>
              <w:t>.</w:t>
            </w:r>
          </w:p>
          <w:p w14:paraId="49E8D6A8" w14:textId="77777777" w:rsidR="000305DD" w:rsidRPr="00F24972" w:rsidRDefault="000305DD" w:rsidP="000305DD">
            <w:pPr>
              <w:pStyle w:val="TableText"/>
              <w:rPr>
                <w:rFonts w:cs="Arial"/>
              </w:rPr>
            </w:pPr>
            <w:r w:rsidRPr="00F24972">
              <w:rPr>
                <w:rFonts w:cs="Arial"/>
              </w:rPr>
              <w:t xml:space="preserve">Note: ABO/Rh ordered in </w:t>
            </w:r>
            <w:r>
              <w:rPr>
                <w:rFonts w:cs="Arial"/>
              </w:rPr>
              <w:t>Order Reflex Test</w:t>
            </w:r>
            <w:r w:rsidRPr="00F24972">
              <w:rPr>
                <w:rFonts w:cs="Arial"/>
              </w:rPr>
              <w:t xml:space="preserve"> from main menu or via use of </w:t>
            </w:r>
            <w:r>
              <w:rPr>
                <w:rFonts w:cs="Arial"/>
              </w:rPr>
              <w:t xml:space="preserve">Order Reflex Test </w:t>
            </w:r>
            <w:r w:rsidRPr="00F24972">
              <w:rPr>
                <w:rFonts w:cs="Arial"/>
              </w:rPr>
              <w:t xml:space="preserve">from </w:t>
            </w:r>
            <w:r>
              <w:rPr>
                <w:rFonts w:cs="Arial"/>
              </w:rPr>
              <w:t>Record Testing</w:t>
            </w:r>
          </w:p>
        </w:tc>
      </w:tr>
      <w:tr w:rsidR="000305DD" w:rsidRPr="00F24972" w14:paraId="36635F7D" w14:textId="77777777" w:rsidTr="00FA340F">
        <w:trPr>
          <w:cantSplit/>
        </w:trPr>
        <w:tc>
          <w:tcPr>
            <w:tcW w:w="1733" w:type="dxa"/>
            <w:vMerge/>
            <w:tcBorders>
              <w:left w:val="single" w:sz="4" w:space="0" w:color="auto"/>
              <w:bottom w:val="single" w:sz="4" w:space="0" w:color="auto"/>
              <w:right w:val="single" w:sz="4" w:space="0" w:color="auto"/>
            </w:tcBorders>
          </w:tcPr>
          <w:p w14:paraId="33578034"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3EDE2016" w14:textId="77777777" w:rsidR="000305DD" w:rsidRPr="00F24972" w:rsidRDefault="000305DD" w:rsidP="000305DD">
            <w:pPr>
              <w:pStyle w:val="TableText"/>
              <w:rPr>
                <w:rFonts w:cs="Arial"/>
              </w:rPr>
            </w:pPr>
            <w:r>
              <w:rPr>
                <w:rFonts w:cs="Arial"/>
              </w:rPr>
              <w:t>Invalidate Patient Testing: Patient ABO/Rh</w:t>
            </w:r>
          </w:p>
        </w:tc>
        <w:tc>
          <w:tcPr>
            <w:tcW w:w="1080" w:type="dxa"/>
            <w:tcBorders>
              <w:top w:val="single" w:sz="4" w:space="0" w:color="auto"/>
              <w:left w:val="single" w:sz="4" w:space="0" w:color="auto"/>
              <w:bottom w:val="single" w:sz="4" w:space="0" w:color="auto"/>
              <w:right w:val="single" w:sz="4" w:space="0" w:color="auto"/>
            </w:tcBorders>
          </w:tcPr>
          <w:p w14:paraId="6A81B39F"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0CD4CD7B"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5ADB9EAE" w14:textId="77777777" w:rsidR="000305DD" w:rsidRPr="00F24972" w:rsidRDefault="000305DD" w:rsidP="000305DD">
            <w:pPr>
              <w:pStyle w:val="TableText"/>
              <w:rPr>
                <w:rFonts w:cs="Arial"/>
              </w:rPr>
            </w:pPr>
            <w:r w:rsidRPr="00F24972">
              <w:rPr>
                <w:rFonts w:cs="Arial"/>
              </w:rPr>
              <w:t>Accrue workload when a reflex or repeat ABO/Rh test is invalidated.</w:t>
            </w:r>
          </w:p>
        </w:tc>
      </w:tr>
      <w:tr w:rsidR="000305DD" w:rsidRPr="00F24972" w14:paraId="36C33F54" w14:textId="77777777" w:rsidTr="00FA340F">
        <w:trPr>
          <w:cantSplit/>
        </w:trPr>
        <w:tc>
          <w:tcPr>
            <w:tcW w:w="1733" w:type="dxa"/>
            <w:vMerge w:val="restart"/>
            <w:tcBorders>
              <w:top w:val="single" w:sz="4" w:space="0" w:color="auto"/>
              <w:left w:val="single" w:sz="4" w:space="0" w:color="auto"/>
              <w:right w:val="single" w:sz="4" w:space="0" w:color="auto"/>
            </w:tcBorders>
          </w:tcPr>
          <w:p w14:paraId="1D5315EE" w14:textId="77777777" w:rsidR="000305DD" w:rsidRPr="00F24972" w:rsidRDefault="000305DD" w:rsidP="000305DD">
            <w:pPr>
              <w:pStyle w:val="TableText"/>
              <w:rPr>
                <w:rFonts w:cs="Arial"/>
              </w:rPr>
            </w:pPr>
            <w:r w:rsidRPr="00F24972">
              <w:rPr>
                <w:rFonts w:cs="Arial"/>
              </w:rPr>
              <w:t>ABO forward typing (unit)</w:t>
            </w:r>
          </w:p>
        </w:tc>
        <w:tc>
          <w:tcPr>
            <w:tcW w:w="1592" w:type="dxa"/>
            <w:tcBorders>
              <w:top w:val="single" w:sz="4" w:space="0" w:color="auto"/>
              <w:left w:val="single" w:sz="4" w:space="0" w:color="auto"/>
              <w:bottom w:val="single" w:sz="4" w:space="0" w:color="auto"/>
              <w:right w:val="single" w:sz="4" w:space="0" w:color="auto"/>
            </w:tcBorders>
          </w:tcPr>
          <w:p w14:paraId="177D04EF" w14:textId="77777777" w:rsidR="000305DD" w:rsidRPr="00F24972" w:rsidRDefault="000305DD" w:rsidP="000305DD">
            <w:pPr>
              <w:pStyle w:val="TableText"/>
              <w:rPr>
                <w:rFonts w:cs="Arial"/>
              </w:rPr>
            </w:pPr>
            <w:r>
              <w:rPr>
                <w:rFonts w:cs="Arial"/>
              </w:rPr>
              <w:t>Unit ABO/RH confirmation test</w:t>
            </w:r>
          </w:p>
          <w:p w14:paraId="32330484"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6A40FE90"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A72C682"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00364E29" w14:textId="77777777" w:rsidR="000305DD" w:rsidRPr="00F24972" w:rsidRDefault="000305DD" w:rsidP="000305DD">
            <w:pPr>
              <w:pStyle w:val="TableText"/>
              <w:rPr>
                <w:rFonts w:cs="Arial"/>
              </w:rPr>
            </w:pPr>
            <w:r w:rsidRPr="00F24972">
              <w:rPr>
                <w:rFonts w:cs="Arial"/>
              </w:rPr>
              <w:t xml:space="preserve">An ABO confirmation test is performed. When multiple units are selected in a batch, each unit in the batch accrues a workload event. </w:t>
            </w:r>
          </w:p>
          <w:p w14:paraId="3E6121B5" w14:textId="77777777" w:rsidR="000305DD" w:rsidRPr="00F24972" w:rsidRDefault="000305DD" w:rsidP="000305DD">
            <w:pPr>
              <w:pStyle w:val="TableText"/>
              <w:rPr>
                <w:rFonts w:cs="Arial"/>
              </w:rPr>
            </w:pPr>
          </w:p>
          <w:p w14:paraId="2F56FA0B" w14:textId="7FB50097" w:rsidR="000305DD" w:rsidRPr="00F24972" w:rsidRDefault="000305DD" w:rsidP="000305DD">
            <w:pPr>
              <w:pStyle w:val="TableText"/>
              <w:rPr>
                <w:rFonts w:cs="Arial"/>
              </w:rPr>
            </w:pPr>
            <w:r w:rsidRPr="00D01C9F">
              <w:rPr>
                <w:rFonts w:cs="Arial"/>
              </w:rPr>
              <w:t xml:space="preserve">Note: Workload </w:t>
            </w:r>
            <w:r w:rsidRPr="00D01C9F">
              <w:rPr>
                <w:rFonts w:cs="Arial"/>
                <w:sz w:val="20"/>
                <w:szCs w:val="20"/>
              </w:rPr>
              <w:t>generated when Anti-D testing is not included in the unit’s confirmation test.</w:t>
            </w:r>
            <w:r>
              <w:rPr>
                <w:rFonts w:cs="Arial"/>
                <w:color w:val="0000FF"/>
                <w:sz w:val="20"/>
                <w:szCs w:val="20"/>
              </w:rPr>
              <w:t xml:space="preserve"> </w:t>
            </w:r>
            <w:r w:rsidRPr="00F24972">
              <w:rPr>
                <w:rFonts w:cs="Arial"/>
              </w:rPr>
              <w:t>Workload is</w:t>
            </w:r>
            <w:r w:rsidRPr="00F24972">
              <w:rPr>
                <w:rFonts w:cs="Arial"/>
                <w:b/>
              </w:rPr>
              <w:t xml:space="preserve"> not</w:t>
            </w:r>
            <w:r w:rsidRPr="00F24972">
              <w:rPr>
                <w:rFonts w:cs="Arial"/>
              </w:rPr>
              <w:t xml:space="preserve"> accrued when an ABO discrepancy override is processed and VBECS releases all patient assignments. No special handling for workload collection for additional confirmation tests on a unit.</w:t>
            </w:r>
          </w:p>
        </w:tc>
      </w:tr>
      <w:tr w:rsidR="000305DD" w:rsidRPr="00F24972" w14:paraId="09252067" w14:textId="77777777" w:rsidTr="00FA340F">
        <w:trPr>
          <w:cantSplit/>
        </w:trPr>
        <w:tc>
          <w:tcPr>
            <w:tcW w:w="1733" w:type="dxa"/>
            <w:vMerge/>
            <w:tcBorders>
              <w:left w:val="single" w:sz="4" w:space="0" w:color="auto"/>
              <w:right w:val="single" w:sz="4" w:space="0" w:color="auto"/>
            </w:tcBorders>
          </w:tcPr>
          <w:p w14:paraId="7B61505B" w14:textId="77777777" w:rsidR="000305DD" w:rsidRPr="00F24972" w:rsidRDefault="000305DD" w:rsidP="000305DD">
            <w:pPr>
              <w:pStyle w:val="TableText"/>
              <w:rPr>
                <w:rFonts w:cs="Arial"/>
              </w:rPr>
            </w:pPr>
          </w:p>
        </w:tc>
        <w:tc>
          <w:tcPr>
            <w:tcW w:w="1592" w:type="dxa"/>
            <w:tcBorders>
              <w:left w:val="single" w:sz="4" w:space="0" w:color="auto"/>
            </w:tcBorders>
          </w:tcPr>
          <w:p w14:paraId="5F54A0E7" w14:textId="77777777" w:rsidR="000305DD" w:rsidRPr="00F24972" w:rsidRDefault="000305DD" w:rsidP="000305DD">
            <w:pPr>
              <w:pStyle w:val="TableText"/>
              <w:rPr>
                <w:rFonts w:cs="Arial"/>
              </w:rPr>
            </w:pPr>
            <w:r>
              <w:rPr>
                <w:rFonts w:cs="Arial"/>
              </w:rPr>
              <w:t>Invalidate Unit ABO/RH Confirmation test</w:t>
            </w:r>
          </w:p>
        </w:tc>
        <w:tc>
          <w:tcPr>
            <w:tcW w:w="1080" w:type="dxa"/>
          </w:tcPr>
          <w:p w14:paraId="4CADA2D9" w14:textId="77777777" w:rsidR="000305DD" w:rsidRPr="00F24972" w:rsidRDefault="000305DD" w:rsidP="000305DD">
            <w:pPr>
              <w:pStyle w:val="TableText"/>
              <w:rPr>
                <w:rFonts w:cs="Arial"/>
                <w:b/>
              </w:rPr>
            </w:pPr>
            <w:r w:rsidRPr="00F24972">
              <w:rPr>
                <w:rFonts w:cs="Arial"/>
                <w:b/>
              </w:rPr>
              <w:t>Negative</w:t>
            </w:r>
          </w:p>
        </w:tc>
        <w:tc>
          <w:tcPr>
            <w:tcW w:w="900" w:type="dxa"/>
          </w:tcPr>
          <w:p w14:paraId="3C4D2C02" w14:textId="77777777" w:rsidR="000305DD" w:rsidRPr="00F24972" w:rsidRDefault="000305DD" w:rsidP="000305DD">
            <w:pPr>
              <w:pStyle w:val="TableText"/>
              <w:jc w:val="center"/>
              <w:rPr>
                <w:rFonts w:cs="Arial"/>
              </w:rPr>
            </w:pPr>
            <w:r w:rsidRPr="00F24972">
              <w:rPr>
                <w:rFonts w:cs="Arial"/>
              </w:rPr>
              <w:t>U</w:t>
            </w:r>
          </w:p>
        </w:tc>
        <w:tc>
          <w:tcPr>
            <w:tcW w:w="4950" w:type="dxa"/>
          </w:tcPr>
          <w:p w14:paraId="779E2602" w14:textId="77777777" w:rsidR="000305DD" w:rsidRPr="00F24972" w:rsidRDefault="000305DD" w:rsidP="000305DD">
            <w:pPr>
              <w:pStyle w:val="TableText"/>
              <w:rPr>
                <w:rFonts w:cs="Arial"/>
              </w:rPr>
            </w:pPr>
            <w:r w:rsidRPr="00F24972">
              <w:rPr>
                <w:rFonts w:cs="Arial"/>
              </w:rPr>
              <w:t>Accrue workload when an ABO confirmation test is invalidated</w:t>
            </w:r>
          </w:p>
        </w:tc>
      </w:tr>
      <w:tr w:rsidR="000305DD" w:rsidRPr="00F24972" w14:paraId="35CD79C6" w14:textId="77777777" w:rsidTr="00FA340F">
        <w:trPr>
          <w:cantSplit/>
        </w:trPr>
        <w:tc>
          <w:tcPr>
            <w:tcW w:w="1733" w:type="dxa"/>
            <w:vMerge w:val="restart"/>
            <w:tcBorders>
              <w:top w:val="single" w:sz="4" w:space="0" w:color="auto"/>
              <w:left w:val="single" w:sz="4" w:space="0" w:color="auto"/>
              <w:right w:val="single" w:sz="4" w:space="0" w:color="auto"/>
            </w:tcBorders>
          </w:tcPr>
          <w:p w14:paraId="7058C4B0" w14:textId="77777777" w:rsidR="000305DD" w:rsidRPr="00F24972" w:rsidRDefault="000305DD" w:rsidP="000305DD">
            <w:pPr>
              <w:pStyle w:val="TableText"/>
              <w:rPr>
                <w:rFonts w:cs="Arial"/>
              </w:rPr>
            </w:pPr>
            <w:r w:rsidRPr="00F24972">
              <w:rPr>
                <w:rFonts w:cs="Arial"/>
              </w:rPr>
              <w:t>ABO/Rh forward typing (unit)</w:t>
            </w:r>
          </w:p>
        </w:tc>
        <w:tc>
          <w:tcPr>
            <w:tcW w:w="1592" w:type="dxa"/>
            <w:tcBorders>
              <w:top w:val="single" w:sz="4" w:space="0" w:color="auto"/>
              <w:left w:val="single" w:sz="4" w:space="0" w:color="auto"/>
              <w:bottom w:val="single" w:sz="4" w:space="0" w:color="auto"/>
              <w:right w:val="single" w:sz="4" w:space="0" w:color="auto"/>
            </w:tcBorders>
          </w:tcPr>
          <w:p w14:paraId="187E99C3" w14:textId="77777777" w:rsidR="000305DD" w:rsidRPr="00F24972" w:rsidRDefault="000305DD" w:rsidP="000305DD">
            <w:pPr>
              <w:pStyle w:val="TableText"/>
              <w:rPr>
                <w:rFonts w:cs="Arial"/>
              </w:rPr>
            </w:pPr>
            <w:r>
              <w:rPr>
                <w:rFonts w:cs="Arial"/>
              </w:rPr>
              <w:t>Unit ABO/RH confirmation test</w:t>
            </w:r>
          </w:p>
          <w:p w14:paraId="4BDD9133"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0E1836AF"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1F6934B"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7B7D752A" w14:textId="77777777" w:rsidR="000305DD" w:rsidRPr="00F24972" w:rsidRDefault="000305DD" w:rsidP="000305DD">
            <w:pPr>
              <w:pStyle w:val="TableText"/>
              <w:rPr>
                <w:rFonts w:cs="Arial"/>
              </w:rPr>
            </w:pPr>
            <w:r w:rsidRPr="00F24972">
              <w:rPr>
                <w:rFonts w:cs="Arial"/>
              </w:rPr>
              <w:t>An ABO/Rh confirmation test is performed. When multiple units are selected in a batch, each unit in the batch accrues a workload event.</w:t>
            </w:r>
          </w:p>
          <w:p w14:paraId="1704D30E" w14:textId="77777777" w:rsidR="000305DD" w:rsidRPr="00F24972" w:rsidRDefault="000305DD" w:rsidP="000305DD">
            <w:pPr>
              <w:pStyle w:val="TableText"/>
              <w:rPr>
                <w:rFonts w:cs="Arial"/>
              </w:rPr>
            </w:pPr>
          </w:p>
          <w:p w14:paraId="2F21913C" w14:textId="2DF2D3BE" w:rsidR="000305DD" w:rsidRPr="00F24972" w:rsidRDefault="000305DD" w:rsidP="000305DD">
            <w:pPr>
              <w:pStyle w:val="TableText"/>
              <w:rPr>
                <w:rFonts w:cs="Arial"/>
              </w:rPr>
            </w:pPr>
            <w:r w:rsidRPr="00D01C9F">
              <w:rPr>
                <w:rFonts w:cs="Arial"/>
              </w:rPr>
              <w:t xml:space="preserve">Note: Workload </w:t>
            </w:r>
            <w:r w:rsidRPr="00D01C9F">
              <w:rPr>
                <w:rFonts w:cs="Arial"/>
                <w:sz w:val="20"/>
                <w:szCs w:val="20"/>
              </w:rPr>
              <w:t xml:space="preserve">generated </w:t>
            </w:r>
            <w:r w:rsidRPr="00D01C9F">
              <w:rPr>
                <w:rFonts w:cs="Arial"/>
              </w:rPr>
              <w:t>when</w:t>
            </w:r>
            <w:r w:rsidRPr="00D01C9F">
              <w:rPr>
                <w:rFonts w:cs="Arial"/>
                <w:sz w:val="20"/>
                <w:szCs w:val="20"/>
              </w:rPr>
              <w:t xml:space="preserve"> Ant</w:t>
            </w:r>
            <w:r w:rsidR="003A628D">
              <w:rPr>
                <w:rFonts w:cs="Arial"/>
                <w:sz w:val="20"/>
                <w:szCs w:val="20"/>
              </w:rPr>
              <w:t>i</w:t>
            </w:r>
            <w:r w:rsidRPr="00D01C9F">
              <w:rPr>
                <w:rFonts w:cs="Arial"/>
                <w:sz w:val="20"/>
                <w:szCs w:val="20"/>
              </w:rPr>
              <w:t xml:space="preserve">-D is part of the unit’s confirmation test. </w:t>
            </w:r>
            <w:r w:rsidRPr="00D01C9F">
              <w:rPr>
                <w:rFonts w:cs="Arial"/>
              </w:rPr>
              <w:t>Workload is</w:t>
            </w:r>
            <w:r w:rsidRPr="00D01C9F">
              <w:rPr>
                <w:rFonts w:cs="Arial"/>
                <w:b/>
              </w:rPr>
              <w:t xml:space="preserve"> not</w:t>
            </w:r>
            <w:r w:rsidRPr="00D01C9F">
              <w:rPr>
                <w:rFonts w:cs="Arial"/>
              </w:rPr>
              <w:t xml:space="preserve"> accrued when an ABO or Rh discrepancy override is processed and VBECS releases all patient assignments. </w:t>
            </w:r>
            <w:r w:rsidRPr="00F24972">
              <w:rPr>
                <w:rFonts w:cs="Arial"/>
              </w:rPr>
              <w:t>Any unit successfully confirmed accrues workload. For modification Split: Workload is not inherited by split units. A split unit that requires confirmation accrues confirmation workload at the time of testing. No special handling for workload collection for additional confirmation tests on a unit.</w:t>
            </w:r>
          </w:p>
        </w:tc>
      </w:tr>
      <w:tr w:rsidR="000305DD" w:rsidRPr="00F24972" w14:paraId="6CDDFFA8" w14:textId="77777777" w:rsidTr="00FA340F">
        <w:trPr>
          <w:cantSplit/>
        </w:trPr>
        <w:tc>
          <w:tcPr>
            <w:tcW w:w="1733" w:type="dxa"/>
            <w:vMerge/>
            <w:tcBorders>
              <w:left w:val="single" w:sz="4" w:space="0" w:color="auto"/>
              <w:right w:val="single" w:sz="4" w:space="0" w:color="auto"/>
            </w:tcBorders>
          </w:tcPr>
          <w:p w14:paraId="26C565A4" w14:textId="77777777" w:rsidR="000305DD" w:rsidRPr="00F24972" w:rsidRDefault="000305DD" w:rsidP="000305DD">
            <w:pPr>
              <w:pStyle w:val="TableText"/>
              <w:rPr>
                <w:rFonts w:cs="Arial"/>
              </w:rPr>
            </w:pPr>
          </w:p>
        </w:tc>
        <w:tc>
          <w:tcPr>
            <w:tcW w:w="1592" w:type="dxa"/>
            <w:tcBorders>
              <w:left w:val="single" w:sz="4" w:space="0" w:color="auto"/>
            </w:tcBorders>
          </w:tcPr>
          <w:p w14:paraId="7DD90DB4" w14:textId="77777777" w:rsidR="000305DD" w:rsidRPr="00F24972" w:rsidRDefault="000305DD" w:rsidP="000305DD">
            <w:pPr>
              <w:pStyle w:val="TableText"/>
              <w:rPr>
                <w:rFonts w:cs="Arial"/>
              </w:rPr>
            </w:pPr>
            <w:r>
              <w:rPr>
                <w:rFonts w:cs="Arial"/>
              </w:rPr>
              <w:t>Invalidate Unit ABO/RH Confirmation test</w:t>
            </w:r>
          </w:p>
        </w:tc>
        <w:tc>
          <w:tcPr>
            <w:tcW w:w="1080" w:type="dxa"/>
          </w:tcPr>
          <w:p w14:paraId="0AEFBD63" w14:textId="77777777" w:rsidR="000305DD" w:rsidRPr="00F24972" w:rsidRDefault="000305DD" w:rsidP="000305DD">
            <w:pPr>
              <w:pStyle w:val="TableText"/>
              <w:rPr>
                <w:rFonts w:cs="Arial"/>
                <w:b/>
              </w:rPr>
            </w:pPr>
            <w:r w:rsidRPr="00F24972">
              <w:rPr>
                <w:rFonts w:cs="Arial"/>
                <w:b/>
              </w:rPr>
              <w:t>Negative</w:t>
            </w:r>
          </w:p>
        </w:tc>
        <w:tc>
          <w:tcPr>
            <w:tcW w:w="900" w:type="dxa"/>
          </w:tcPr>
          <w:p w14:paraId="2A413058" w14:textId="77777777" w:rsidR="000305DD" w:rsidRPr="00F24972" w:rsidRDefault="000305DD" w:rsidP="000305DD">
            <w:pPr>
              <w:pStyle w:val="TableText"/>
              <w:jc w:val="center"/>
              <w:rPr>
                <w:rFonts w:cs="Arial"/>
              </w:rPr>
            </w:pPr>
            <w:r w:rsidRPr="00F24972">
              <w:rPr>
                <w:rFonts w:cs="Arial"/>
              </w:rPr>
              <w:t>U</w:t>
            </w:r>
          </w:p>
        </w:tc>
        <w:tc>
          <w:tcPr>
            <w:tcW w:w="4950" w:type="dxa"/>
          </w:tcPr>
          <w:p w14:paraId="21E86E59" w14:textId="77777777" w:rsidR="000305DD" w:rsidRPr="00F24972" w:rsidRDefault="000305DD" w:rsidP="000305DD">
            <w:pPr>
              <w:pStyle w:val="TableText"/>
              <w:rPr>
                <w:rFonts w:cs="Arial"/>
              </w:rPr>
            </w:pPr>
            <w:r w:rsidRPr="00F24972">
              <w:rPr>
                <w:rFonts w:cs="Arial"/>
              </w:rPr>
              <w:t>Accrue workload when an ABO/Rh confirmation test is invalidated</w:t>
            </w:r>
          </w:p>
        </w:tc>
      </w:tr>
      <w:tr w:rsidR="000305DD" w:rsidRPr="00F24972" w14:paraId="11BD9306" w14:textId="77777777" w:rsidTr="00FA340F">
        <w:trPr>
          <w:cantSplit/>
        </w:trPr>
        <w:tc>
          <w:tcPr>
            <w:tcW w:w="1733" w:type="dxa"/>
            <w:tcBorders>
              <w:bottom w:val="single" w:sz="4" w:space="0" w:color="auto"/>
            </w:tcBorders>
          </w:tcPr>
          <w:p w14:paraId="1BA5BA22" w14:textId="77777777" w:rsidR="000305DD" w:rsidRPr="00F24972" w:rsidRDefault="000305DD" w:rsidP="000305DD">
            <w:pPr>
              <w:pStyle w:val="TableText"/>
              <w:rPr>
                <w:rFonts w:cs="Arial"/>
              </w:rPr>
            </w:pPr>
            <w:r w:rsidRPr="00F24972">
              <w:rPr>
                <w:rFonts w:cs="Arial"/>
              </w:rPr>
              <w:t>Accept Order</w:t>
            </w:r>
          </w:p>
        </w:tc>
        <w:tc>
          <w:tcPr>
            <w:tcW w:w="1592" w:type="dxa"/>
            <w:tcBorders>
              <w:bottom w:val="single" w:sz="4" w:space="0" w:color="auto"/>
            </w:tcBorders>
          </w:tcPr>
          <w:p w14:paraId="3FE2659F" w14:textId="77777777" w:rsidR="000305DD" w:rsidRPr="00F24972" w:rsidRDefault="000305DD" w:rsidP="000305DD">
            <w:pPr>
              <w:pStyle w:val="TableText"/>
              <w:rPr>
                <w:rFonts w:cs="Arial"/>
              </w:rPr>
            </w:pPr>
            <w:r>
              <w:rPr>
                <w:rFonts w:cs="Arial"/>
              </w:rPr>
              <w:t>Accept Order</w:t>
            </w:r>
          </w:p>
        </w:tc>
        <w:tc>
          <w:tcPr>
            <w:tcW w:w="1080" w:type="dxa"/>
            <w:tcBorders>
              <w:bottom w:val="single" w:sz="4" w:space="0" w:color="auto"/>
            </w:tcBorders>
          </w:tcPr>
          <w:p w14:paraId="6B61523C"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0F9CC0F6" w14:textId="77777777" w:rsidR="000305DD" w:rsidRPr="00F24972" w:rsidRDefault="000305DD" w:rsidP="000305DD">
            <w:pPr>
              <w:pStyle w:val="TableText"/>
              <w:jc w:val="center"/>
              <w:rPr>
                <w:rFonts w:cs="Arial"/>
              </w:rPr>
            </w:pPr>
            <w:r w:rsidRPr="00F24972">
              <w:rPr>
                <w:rFonts w:cs="Arial"/>
              </w:rPr>
              <w:t>M</w:t>
            </w:r>
          </w:p>
        </w:tc>
        <w:tc>
          <w:tcPr>
            <w:tcW w:w="4950" w:type="dxa"/>
            <w:tcBorders>
              <w:bottom w:val="single" w:sz="4" w:space="0" w:color="auto"/>
            </w:tcBorders>
          </w:tcPr>
          <w:p w14:paraId="0BA345E8" w14:textId="77777777" w:rsidR="000305DD" w:rsidRPr="00F24972" w:rsidRDefault="000305DD" w:rsidP="000305DD">
            <w:pPr>
              <w:pStyle w:val="TableText"/>
              <w:rPr>
                <w:rFonts w:cs="Arial"/>
              </w:rPr>
            </w:pPr>
            <w:r w:rsidRPr="00F24972">
              <w:rPr>
                <w:rFonts w:cs="Arial"/>
              </w:rPr>
              <w:t>Accrue workload when an order is accepted. When a multiple orders are selected, each order accrues workload.</w:t>
            </w:r>
          </w:p>
        </w:tc>
      </w:tr>
      <w:tr w:rsidR="000305DD" w:rsidRPr="00F24972" w14:paraId="6957D859" w14:textId="77777777" w:rsidTr="00FA340F">
        <w:trPr>
          <w:cantSplit/>
        </w:trPr>
        <w:tc>
          <w:tcPr>
            <w:tcW w:w="1733" w:type="dxa"/>
            <w:vMerge w:val="restart"/>
            <w:tcBorders>
              <w:top w:val="single" w:sz="4" w:space="0" w:color="auto"/>
              <w:left w:val="single" w:sz="4" w:space="0" w:color="auto"/>
              <w:right w:val="single" w:sz="4" w:space="0" w:color="auto"/>
            </w:tcBorders>
          </w:tcPr>
          <w:p w14:paraId="30BE1A6F" w14:textId="77777777" w:rsidR="000305DD" w:rsidRPr="00F24972" w:rsidRDefault="000305DD" w:rsidP="000305DD">
            <w:pPr>
              <w:pStyle w:val="TableText"/>
              <w:rPr>
                <w:rFonts w:cs="Arial"/>
              </w:rPr>
            </w:pPr>
            <w:r w:rsidRPr="00F24972">
              <w:rPr>
                <w:rFonts w:cs="Arial"/>
              </w:rPr>
              <w:lastRenderedPageBreak/>
              <w:t>Antibody identification Work-Up</w:t>
            </w:r>
          </w:p>
        </w:tc>
        <w:tc>
          <w:tcPr>
            <w:tcW w:w="1592" w:type="dxa"/>
            <w:tcBorders>
              <w:top w:val="single" w:sz="4" w:space="0" w:color="auto"/>
              <w:left w:val="single" w:sz="4" w:space="0" w:color="auto"/>
              <w:bottom w:val="single" w:sz="4" w:space="0" w:color="auto"/>
              <w:right w:val="single" w:sz="4" w:space="0" w:color="auto"/>
            </w:tcBorders>
          </w:tcPr>
          <w:p w14:paraId="0808D238" w14:textId="77777777" w:rsidR="000305DD" w:rsidRPr="00F24972" w:rsidRDefault="000305DD" w:rsidP="000305DD">
            <w:pPr>
              <w:pStyle w:val="TableText"/>
              <w:rPr>
                <w:rFonts w:cs="Arial"/>
              </w:rPr>
            </w:pPr>
            <w:r>
              <w:rPr>
                <w:rFonts w:cs="Arial"/>
              </w:rPr>
              <w:t>ABID Test</w:t>
            </w:r>
          </w:p>
        </w:tc>
        <w:tc>
          <w:tcPr>
            <w:tcW w:w="1080" w:type="dxa"/>
            <w:tcBorders>
              <w:top w:val="single" w:sz="4" w:space="0" w:color="auto"/>
              <w:left w:val="single" w:sz="4" w:space="0" w:color="auto"/>
              <w:bottom w:val="single" w:sz="4" w:space="0" w:color="auto"/>
              <w:right w:val="single" w:sz="4" w:space="0" w:color="auto"/>
            </w:tcBorders>
          </w:tcPr>
          <w:p w14:paraId="5575632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136A44A3"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6ED7D6C9" w14:textId="77777777" w:rsidR="000305DD" w:rsidRPr="00F24972" w:rsidRDefault="000305DD" w:rsidP="000305DD">
            <w:pPr>
              <w:pStyle w:val="TableText"/>
              <w:rPr>
                <w:rFonts w:cs="Arial"/>
              </w:rPr>
            </w:pPr>
            <w:r w:rsidRPr="00F24972">
              <w:rPr>
                <w:rFonts w:cs="Arial"/>
              </w:rPr>
              <w:t xml:space="preserve">User enters additional workload associated with the individual reflex ordered ABID. The selected VBECS multiplier will multiple against the VistA multiplier and display the (multiplication) product on the report in </w:t>
            </w:r>
            <w:r>
              <w:rPr>
                <w:rFonts w:cs="Arial"/>
              </w:rPr>
              <w:t>Division Workload Report</w:t>
            </w:r>
            <w:r w:rsidRPr="00F24972">
              <w:rPr>
                <w:rFonts w:cs="Arial"/>
              </w:rPr>
              <w:t>.</w:t>
            </w:r>
          </w:p>
        </w:tc>
      </w:tr>
      <w:tr w:rsidR="000305DD" w:rsidRPr="00F24972" w14:paraId="044AAEAA" w14:textId="77777777" w:rsidTr="00FA340F">
        <w:trPr>
          <w:cantSplit/>
        </w:trPr>
        <w:tc>
          <w:tcPr>
            <w:tcW w:w="1733" w:type="dxa"/>
            <w:vMerge/>
            <w:tcBorders>
              <w:left w:val="single" w:sz="4" w:space="0" w:color="auto"/>
              <w:bottom w:val="single" w:sz="4" w:space="0" w:color="auto"/>
              <w:right w:val="single" w:sz="4" w:space="0" w:color="auto"/>
            </w:tcBorders>
          </w:tcPr>
          <w:p w14:paraId="6A13CDEF"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14D0307B" w14:textId="77777777" w:rsidR="000305DD" w:rsidRPr="00F24972" w:rsidRDefault="000305DD" w:rsidP="000305DD">
            <w:pPr>
              <w:pStyle w:val="TableText"/>
              <w:rPr>
                <w:rFonts w:cs="Arial"/>
              </w:rPr>
            </w:pPr>
            <w:r>
              <w:rPr>
                <w:rFonts w:cs="Arial"/>
              </w:rPr>
              <w:t>Invalidate ABID Test</w:t>
            </w:r>
          </w:p>
        </w:tc>
        <w:tc>
          <w:tcPr>
            <w:tcW w:w="1080" w:type="dxa"/>
            <w:tcBorders>
              <w:top w:val="single" w:sz="4" w:space="0" w:color="auto"/>
              <w:left w:val="single" w:sz="4" w:space="0" w:color="auto"/>
              <w:bottom w:val="single" w:sz="4" w:space="0" w:color="auto"/>
              <w:right w:val="single" w:sz="4" w:space="0" w:color="auto"/>
            </w:tcBorders>
          </w:tcPr>
          <w:p w14:paraId="11E08C5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E73CAA7"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6B325097" w14:textId="77777777" w:rsidR="000305DD" w:rsidRPr="00F24972" w:rsidRDefault="000305DD" w:rsidP="000305DD">
            <w:pPr>
              <w:pStyle w:val="TableText"/>
              <w:rPr>
                <w:rFonts w:cs="Arial"/>
              </w:rPr>
            </w:pPr>
            <w:r w:rsidRPr="00F24972">
              <w:rPr>
                <w:rFonts w:cs="Arial"/>
              </w:rPr>
              <w:t xml:space="preserve">Accrue workload when the ABID is invalidated. </w:t>
            </w:r>
            <w:r w:rsidRPr="00F24972">
              <w:t xml:space="preserve">All workload processes associated in </w:t>
            </w:r>
            <w:r>
              <w:t>Enter Reflex Test Results</w:t>
            </w:r>
            <w:r w:rsidRPr="00F24972">
              <w:t>, including the selected VBECS multiplier, are invalidated</w:t>
            </w:r>
          </w:p>
        </w:tc>
      </w:tr>
      <w:tr w:rsidR="000305DD" w:rsidRPr="00F24972" w14:paraId="0BDD0A84" w14:textId="77777777" w:rsidTr="00FA340F">
        <w:trPr>
          <w:cantSplit/>
        </w:trPr>
        <w:tc>
          <w:tcPr>
            <w:tcW w:w="1733" w:type="dxa"/>
            <w:vMerge w:val="restart"/>
            <w:tcBorders>
              <w:top w:val="single" w:sz="4" w:space="0" w:color="auto"/>
              <w:left w:val="single" w:sz="4" w:space="0" w:color="auto"/>
              <w:right w:val="single" w:sz="4" w:space="0" w:color="auto"/>
            </w:tcBorders>
          </w:tcPr>
          <w:p w14:paraId="401B6256" w14:textId="77777777" w:rsidR="000305DD" w:rsidRPr="00F24972" w:rsidRDefault="000305DD" w:rsidP="000305DD">
            <w:pPr>
              <w:pStyle w:val="TableText"/>
              <w:rPr>
                <w:rFonts w:cs="Arial"/>
              </w:rPr>
            </w:pPr>
            <w:r w:rsidRPr="00F24972">
              <w:rPr>
                <w:rFonts w:cs="Arial"/>
              </w:rPr>
              <w:t>Antibody Screen (patient)</w:t>
            </w:r>
          </w:p>
        </w:tc>
        <w:tc>
          <w:tcPr>
            <w:tcW w:w="1592" w:type="dxa"/>
            <w:tcBorders>
              <w:top w:val="single" w:sz="4" w:space="0" w:color="auto"/>
              <w:left w:val="single" w:sz="4" w:space="0" w:color="auto"/>
              <w:bottom w:val="single" w:sz="4" w:space="0" w:color="auto"/>
              <w:right w:val="single" w:sz="4" w:space="0" w:color="auto"/>
            </w:tcBorders>
          </w:tcPr>
          <w:p w14:paraId="75984805" w14:textId="77777777" w:rsidR="000305DD" w:rsidRPr="00F24972" w:rsidRDefault="000305DD" w:rsidP="000305DD">
            <w:pPr>
              <w:pStyle w:val="TableText"/>
              <w:rPr>
                <w:rFonts w:cs="Arial"/>
              </w:rPr>
            </w:pPr>
            <w:r>
              <w:rPr>
                <w:rFonts w:cs="Arial"/>
              </w:rPr>
              <w:t>Transfusion reaction workup</w:t>
            </w:r>
          </w:p>
        </w:tc>
        <w:tc>
          <w:tcPr>
            <w:tcW w:w="1080" w:type="dxa"/>
            <w:tcBorders>
              <w:top w:val="single" w:sz="4" w:space="0" w:color="auto"/>
              <w:left w:val="single" w:sz="4" w:space="0" w:color="auto"/>
              <w:bottom w:val="single" w:sz="4" w:space="0" w:color="auto"/>
              <w:right w:val="single" w:sz="4" w:space="0" w:color="auto"/>
            </w:tcBorders>
          </w:tcPr>
          <w:p w14:paraId="6E0FCC4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F1D4969"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51963E33" w14:textId="77777777" w:rsidR="000305DD" w:rsidRPr="00F24972" w:rsidRDefault="000305DD" w:rsidP="000305DD">
            <w:pPr>
              <w:pStyle w:val="TableText"/>
              <w:rPr>
                <w:rFonts w:cs="Arial"/>
              </w:rPr>
            </w:pPr>
            <w:r w:rsidRPr="00F24972">
              <w:rPr>
                <w:rFonts w:cs="Arial"/>
              </w:rPr>
              <w:t>An ABS test for pre or post is enabled and a valid interpretation other than Not Tested is selected. A workload event is accrued separately for Pre and Post entries.</w:t>
            </w:r>
          </w:p>
        </w:tc>
      </w:tr>
      <w:tr w:rsidR="000305DD" w:rsidRPr="00F24972" w14:paraId="4F6FEED0" w14:textId="77777777" w:rsidTr="00FA340F">
        <w:trPr>
          <w:cantSplit/>
        </w:trPr>
        <w:tc>
          <w:tcPr>
            <w:tcW w:w="1733" w:type="dxa"/>
            <w:vMerge/>
            <w:tcBorders>
              <w:left w:val="single" w:sz="4" w:space="0" w:color="auto"/>
              <w:right w:val="single" w:sz="4" w:space="0" w:color="auto"/>
            </w:tcBorders>
          </w:tcPr>
          <w:p w14:paraId="39E91137"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3D464BB7" w14:textId="77777777" w:rsidR="000305DD" w:rsidRPr="00F24972" w:rsidRDefault="000305DD" w:rsidP="000305DD">
            <w:pPr>
              <w:pStyle w:val="TableText"/>
              <w:rPr>
                <w:rFonts w:cs="Arial"/>
              </w:rPr>
            </w:pPr>
            <w:r>
              <w:rPr>
                <w:rFonts w:cs="Arial"/>
              </w:rPr>
              <w:t>Patient Testing ABS test</w:t>
            </w:r>
          </w:p>
          <w:p w14:paraId="4CD37210"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66CBADB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ED3765C"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01706218" w14:textId="728C5850" w:rsidR="000305DD" w:rsidRPr="00F24972" w:rsidRDefault="000305DD" w:rsidP="000305DD">
            <w:pPr>
              <w:pStyle w:val="TableText"/>
              <w:rPr>
                <w:rFonts w:cs="Arial"/>
              </w:rPr>
            </w:pPr>
            <w:r w:rsidRPr="00F24972">
              <w:rPr>
                <w:rFonts w:cs="Arial"/>
              </w:rPr>
              <w:t>Accrue workload when an ordered ABS test performed from the CPRS ordered test ABS only (</w:t>
            </w:r>
            <w:r>
              <w:rPr>
                <w:rFonts w:cs="Arial"/>
              </w:rPr>
              <w:t>Record Patient Antibody Screen</w:t>
            </w:r>
            <w:r w:rsidRPr="00F24972">
              <w:rPr>
                <w:rFonts w:cs="Arial"/>
              </w:rPr>
              <w:t xml:space="preserve"> is completed and saved by </w:t>
            </w:r>
            <w:r>
              <w:rPr>
                <w:rFonts w:cs="Arial"/>
              </w:rPr>
              <w:t>Record Testing</w:t>
            </w:r>
            <w:r w:rsidR="003A628D">
              <w:rPr>
                <w:rFonts w:cs="Arial"/>
              </w:rPr>
              <w:t>)</w:t>
            </w:r>
            <w:r w:rsidRPr="00F24972">
              <w:rPr>
                <w:rFonts w:cs="Arial"/>
              </w:rPr>
              <w:t xml:space="preserve">. The workload accrues when the ABS is completed and saved via </w:t>
            </w:r>
            <w:r>
              <w:rPr>
                <w:rFonts w:cs="Arial"/>
              </w:rPr>
              <w:t>Record Testing</w:t>
            </w:r>
            <w:r w:rsidRPr="00F24972">
              <w:rPr>
                <w:rFonts w:cs="Arial"/>
              </w:rPr>
              <w:t xml:space="preserve"> no matter how many cells (rows) are required by the division configuration.</w:t>
            </w:r>
          </w:p>
        </w:tc>
      </w:tr>
      <w:tr w:rsidR="000305DD" w:rsidRPr="00F24972" w14:paraId="09362C80" w14:textId="77777777" w:rsidTr="00FA340F">
        <w:trPr>
          <w:cantSplit/>
        </w:trPr>
        <w:tc>
          <w:tcPr>
            <w:tcW w:w="1733" w:type="dxa"/>
            <w:vMerge/>
            <w:tcBorders>
              <w:left w:val="single" w:sz="4" w:space="0" w:color="auto"/>
              <w:bottom w:val="single" w:sz="4" w:space="0" w:color="auto"/>
              <w:right w:val="single" w:sz="4" w:space="0" w:color="auto"/>
            </w:tcBorders>
          </w:tcPr>
          <w:p w14:paraId="14296EF8"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1492D106" w14:textId="77777777" w:rsidR="000305DD" w:rsidRPr="00F24972" w:rsidRDefault="000305DD" w:rsidP="000305DD">
            <w:pPr>
              <w:pStyle w:val="TableText"/>
              <w:rPr>
                <w:rFonts w:cs="Arial"/>
              </w:rPr>
            </w:pPr>
            <w:r>
              <w:rPr>
                <w:rFonts w:cs="Arial"/>
              </w:rPr>
              <w:t>Invalidate Patient Testing ABS test</w:t>
            </w:r>
          </w:p>
        </w:tc>
        <w:tc>
          <w:tcPr>
            <w:tcW w:w="1080" w:type="dxa"/>
            <w:tcBorders>
              <w:top w:val="single" w:sz="4" w:space="0" w:color="auto"/>
              <w:left w:val="single" w:sz="4" w:space="0" w:color="auto"/>
              <w:bottom w:val="single" w:sz="4" w:space="0" w:color="auto"/>
              <w:right w:val="single" w:sz="4" w:space="0" w:color="auto"/>
            </w:tcBorders>
          </w:tcPr>
          <w:p w14:paraId="5F699E1B"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71E36439"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3B88C68F" w14:textId="77777777" w:rsidR="000305DD" w:rsidRPr="00F24972" w:rsidRDefault="000305DD" w:rsidP="000305DD">
            <w:pPr>
              <w:pStyle w:val="TableText"/>
              <w:rPr>
                <w:rFonts w:cs="Arial"/>
              </w:rPr>
            </w:pPr>
            <w:r w:rsidRPr="00F24972">
              <w:rPr>
                <w:rFonts w:cs="Arial"/>
              </w:rPr>
              <w:t>Accrue workload when a completed ABS test is invalidated.</w:t>
            </w:r>
          </w:p>
        </w:tc>
      </w:tr>
      <w:tr w:rsidR="000305DD" w:rsidRPr="00F24972" w14:paraId="1B25FC84" w14:textId="77777777" w:rsidTr="00FA340F">
        <w:trPr>
          <w:cantSplit/>
        </w:trPr>
        <w:tc>
          <w:tcPr>
            <w:tcW w:w="1733" w:type="dxa"/>
            <w:vMerge w:val="restart"/>
            <w:tcBorders>
              <w:top w:val="single" w:sz="4" w:space="0" w:color="auto"/>
              <w:left w:val="single" w:sz="4" w:space="0" w:color="auto"/>
              <w:right w:val="single" w:sz="4" w:space="0" w:color="auto"/>
            </w:tcBorders>
          </w:tcPr>
          <w:p w14:paraId="7E55E816" w14:textId="77777777" w:rsidR="000305DD" w:rsidRPr="00F24972" w:rsidRDefault="000305DD" w:rsidP="000305DD">
            <w:pPr>
              <w:pStyle w:val="TableText"/>
              <w:rPr>
                <w:rFonts w:cs="Arial"/>
              </w:rPr>
            </w:pPr>
            <w:r w:rsidRPr="00F24972">
              <w:rPr>
                <w:rFonts w:cs="Arial"/>
              </w:rPr>
              <w:t>Antibody Screen (patient) Repeat Test</w:t>
            </w:r>
          </w:p>
        </w:tc>
        <w:tc>
          <w:tcPr>
            <w:tcW w:w="1592" w:type="dxa"/>
            <w:tcBorders>
              <w:top w:val="single" w:sz="4" w:space="0" w:color="auto"/>
              <w:left w:val="single" w:sz="4" w:space="0" w:color="auto"/>
              <w:bottom w:val="single" w:sz="4" w:space="0" w:color="auto"/>
              <w:right w:val="single" w:sz="4" w:space="0" w:color="auto"/>
            </w:tcBorders>
          </w:tcPr>
          <w:p w14:paraId="40B5A009" w14:textId="77777777" w:rsidR="000305DD" w:rsidRPr="00F24972" w:rsidRDefault="000305DD" w:rsidP="000305DD">
            <w:pPr>
              <w:pStyle w:val="TableText"/>
              <w:rPr>
                <w:rFonts w:cs="Arial"/>
              </w:rPr>
            </w:pPr>
            <w:r>
              <w:rPr>
                <w:rFonts w:cs="Arial"/>
              </w:rPr>
              <w:t>Patient Testing ABS test</w:t>
            </w:r>
          </w:p>
          <w:p w14:paraId="12C93F7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4D950CB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A161A81"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6D03A605" w14:textId="77777777" w:rsidR="000305DD" w:rsidRPr="00F24972" w:rsidRDefault="000305DD" w:rsidP="000305DD">
            <w:pPr>
              <w:pStyle w:val="TableText"/>
              <w:rPr>
                <w:rFonts w:cs="Arial"/>
              </w:rPr>
            </w:pPr>
            <w:r w:rsidRPr="00F24972">
              <w:rPr>
                <w:rFonts w:cs="Arial"/>
              </w:rPr>
              <w:t xml:space="preserve">Accrue workload when a reflex or repeat ABS test is performed, completed and saved via </w:t>
            </w:r>
            <w:r>
              <w:rPr>
                <w:rFonts w:cs="Arial"/>
              </w:rPr>
              <w:t>Record Testing</w:t>
            </w:r>
            <w:r w:rsidRPr="00F24972">
              <w:rPr>
                <w:rFonts w:cs="Arial"/>
              </w:rPr>
              <w:t xml:space="preserve">. </w:t>
            </w:r>
          </w:p>
          <w:p w14:paraId="400501E1" w14:textId="77777777" w:rsidR="000305DD" w:rsidRPr="00F24972" w:rsidRDefault="000305DD" w:rsidP="000305DD">
            <w:pPr>
              <w:pStyle w:val="TableText"/>
              <w:rPr>
                <w:rFonts w:cs="Arial"/>
              </w:rPr>
            </w:pPr>
            <w:r w:rsidRPr="00F24972">
              <w:rPr>
                <w:rFonts w:cs="Arial"/>
              </w:rPr>
              <w:t xml:space="preserve">Note: ABS ordered in </w:t>
            </w:r>
            <w:r>
              <w:rPr>
                <w:rFonts w:cs="Arial"/>
              </w:rPr>
              <w:t>Order Reflex Test</w:t>
            </w:r>
            <w:r w:rsidRPr="00F24972">
              <w:rPr>
                <w:rFonts w:cs="Arial"/>
              </w:rPr>
              <w:t xml:space="preserve"> from main menu or via use of </w:t>
            </w:r>
            <w:r>
              <w:rPr>
                <w:rFonts w:cs="Arial"/>
              </w:rPr>
              <w:t>Order Reflex Test</w:t>
            </w:r>
            <w:r w:rsidRPr="00F24972">
              <w:rPr>
                <w:rFonts w:cs="Arial"/>
              </w:rPr>
              <w:t xml:space="preserve"> from </w:t>
            </w:r>
            <w:r>
              <w:rPr>
                <w:rFonts w:cs="Arial"/>
              </w:rPr>
              <w:t>Record Testing</w:t>
            </w:r>
            <w:r w:rsidRPr="00F24972">
              <w:rPr>
                <w:rFonts w:cs="Arial"/>
              </w:rPr>
              <w:t>.</w:t>
            </w:r>
          </w:p>
        </w:tc>
      </w:tr>
      <w:tr w:rsidR="000305DD" w:rsidRPr="00F24972" w14:paraId="745A114C" w14:textId="77777777" w:rsidTr="00FA340F">
        <w:trPr>
          <w:cantSplit/>
        </w:trPr>
        <w:tc>
          <w:tcPr>
            <w:tcW w:w="1733" w:type="dxa"/>
            <w:vMerge/>
            <w:tcBorders>
              <w:left w:val="single" w:sz="4" w:space="0" w:color="auto"/>
              <w:bottom w:val="single" w:sz="4" w:space="0" w:color="auto"/>
              <w:right w:val="single" w:sz="4" w:space="0" w:color="auto"/>
            </w:tcBorders>
          </w:tcPr>
          <w:p w14:paraId="1B551D63"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2B5512BE" w14:textId="77777777" w:rsidR="000305DD" w:rsidRPr="00F24972" w:rsidRDefault="000305DD" w:rsidP="000305DD">
            <w:pPr>
              <w:pStyle w:val="TableText"/>
              <w:rPr>
                <w:rFonts w:cs="Arial"/>
              </w:rPr>
            </w:pPr>
            <w:r>
              <w:rPr>
                <w:rFonts w:cs="Arial"/>
              </w:rPr>
              <w:t>Invalidate Patient Testing ABS test</w:t>
            </w:r>
          </w:p>
        </w:tc>
        <w:tc>
          <w:tcPr>
            <w:tcW w:w="1080" w:type="dxa"/>
            <w:tcBorders>
              <w:top w:val="single" w:sz="4" w:space="0" w:color="auto"/>
              <w:left w:val="single" w:sz="4" w:space="0" w:color="auto"/>
              <w:bottom w:val="single" w:sz="4" w:space="0" w:color="auto"/>
              <w:right w:val="single" w:sz="4" w:space="0" w:color="auto"/>
            </w:tcBorders>
          </w:tcPr>
          <w:p w14:paraId="79BCCA34"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5AA61C28"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319320B2" w14:textId="77777777" w:rsidR="000305DD" w:rsidRPr="00F24972" w:rsidRDefault="000305DD" w:rsidP="000305DD">
            <w:pPr>
              <w:pStyle w:val="TableText"/>
              <w:rPr>
                <w:rFonts w:cs="Arial"/>
              </w:rPr>
            </w:pPr>
            <w:r w:rsidRPr="00F24972">
              <w:rPr>
                <w:rFonts w:cs="Arial"/>
              </w:rPr>
              <w:t>Accrue workload when a reflex or repeat ABS test is invalidated.</w:t>
            </w:r>
          </w:p>
        </w:tc>
      </w:tr>
      <w:tr w:rsidR="000305DD" w:rsidRPr="00F24972" w14:paraId="6EC93EA7"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3E567923" w14:textId="77777777" w:rsidR="000305DD" w:rsidRPr="00F24972" w:rsidRDefault="000305DD" w:rsidP="000305DD">
            <w:pPr>
              <w:pStyle w:val="TableText"/>
              <w:rPr>
                <w:rFonts w:cs="Arial"/>
              </w:rPr>
            </w:pPr>
            <w:r w:rsidRPr="00F24972">
              <w:rPr>
                <w:rFonts w:cs="Arial"/>
              </w:rPr>
              <w:t>Antigen phenotyping, Single Test phase (QC)</w:t>
            </w:r>
          </w:p>
        </w:tc>
        <w:tc>
          <w:tcPr>
            <w:tcW w:w="1592" w:type="dxa"/>
            <w:tcBorders>
              <w:top w:val="single" w:sz="4" w:space="0" w:color="auto"/>
              <w:left w:val="single" w:sz="4" w:space="0" w:color="auto"/>
              <w:bottom w:val="single" w:sz="4" w:space="0" w:color="auto"/>
              <w:right w:val="single" w:sz="4" w:space="0" w:color="auto"/>
            </w:tcBorders>
          </w:tcPr>
          <w:p w14:paraId="1671F62E" w14:textId="77777777" w:rsidR="000305DD" w:rsidRPr="00F24972" w:rsidRDefault="000305DD" w:rsidP="000305DD">
            <w:pPr>
              <w:pStyle w:val="TableText"/>
              <w:rPr>
                <w:rFonts w:cs="Arial"/>
              </w:rPr>
            </w:pPr>
            <w:r>
              <w:rPr>
                <w:rFonts w:cs="Arial"/>
              </w:rPr>
              <w:t>QC for unit or patient antigen typing</w:t>
            </w:r>
          </w:p>
          <w:p w14:paraId="2CFDFA9C"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683F97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006B01D"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vAlign w:val="bottom"/>
          </w:tcPr>
          <w:p w14:paraId="0B9F0681" w14:textId="77777777" w:rsidR="000305DD" w:rsidRPr="00F24972" w:rsidRDefault="000305DD" w:rsidP="000305DD">
            <w:pPr>
              <w:pStyle w:val="TableText"/>
              <w:rPr>
                <w:rFonts w:cs="Arial"/>
              </w:rPr>
            </w:pPr>
            <w:r w:rsidRPr="00F24972">
              <w:rPr>
                <w:rFonts w:cs="Arial"/>
              </w:rPr>
              <w:t xml:space="preserve">Accrue workload when Antiserum QC is included in </w:t>
            </w:r>
            <w:r>
              <w:rPr>
                <w:rFonts w:cs="Arial"/>
              </w:rPr>
              <w:t>Record Phenotype Results</w:t>
            </w:r>
            <w:r w:rsidRPr="00F24972">
              <w:rPr>
                <w:rFonts w:cs="Arial"/>
              </w:rPr>
              <w:t xml:space="preserve"> or </w:t>
            </w:r>
            <w:r>
              <w:rPr>
                <w:rFonts w:cs="Arial"/>
              </w:rPr>
              <w:t>Record Patient Antigen Types</w:t>
            </w:r>
            <w:r w:rsidRPr="00F24972">
              <w:rPr>
                <w:rFonts w:cs="Arial"/>
              </w:rPr>
              <w:t xml:space="preserve"> includes the testing of both the positive and negative control cells, per specificity by lot number, when only one phase of reactivity is chosen for the test grid, IS or AHG. One workload event is collected per completed tab for regular or repeat antigen tests.</w:t>
            </w:r>
          </w:p>
        </w:tc>
      </w:tr>
      <w:tr w:rsidR="000305DD" w:rsidRPr="00F24972" w14:paraId="4A9D7718"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39758AEC" w14:textId="77777777" w:rsidR="000305DD" w:rsidRPr="00F24972" w:rsidRDefault="000305DD" w:rsidP="000305DD">
            <w:pPr>
              <w:pStyle w:val="TableText"/>
              <w:rPr>
                <w:rFonts w:cs="Arial"/>
              </w:rPr>
            </w:pPr>
            <w:r w:rsidRPr="00F24972">
              <w:rPr>
                <w:rFonts w:cs="Arial"/>
              </w:rPr>
              <w:t>Antigen phenotyping, Multiple Test phases (QC)</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6D5F5C1E" w14:textId="77777777" w:rsidR="000305DD" w:rsidRPr="00F24972" w:rsidRDefault="000305DD" w:rsidP="000305DD">
            <w:pPr>
              <w:pStyle w:val="TableText"/>
              <w:rPr>
                <w:rFonts w:cs="Arial"/>
              </w:rPr>
            </w:pPr>
            <w:r>
              <w:rPr>
                <w:rFonts w:cs="Arial"/>
              </w:rPr>
              <w:t>QC for unit or patient antigen typing</w:t>
            </w:r>
          </w:p>
          <w:p w14:paraId="7E5DE9AC"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DA789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F507A71"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bottom"/>
          </w:tcPr>
          <w:p w14:paraId="6D760F33" w14:textId="77777777" w:rsidR="000305DD" w:rsidRPr="00F24972" w:rsidRDefault="000305DD" w:rsidP="000305DD">
            <w:pPr>
              <w:pStyle w:val="TableText"/>
              <w:rPr>
                <w:rFonts w:cs="Arial"/>
              </w:rPr>
            </w:pPr>
            <w:r w:rsidRPr="00F24972">
              <w:rPr>
                <w:rFonts w:cs="Arial"/>
              </w:rPr>
              <w:t xml:space="preserve">Accrue workload when Antiserum QC is included in </w:t>
            </w:r>
            <w:r>
              <w:rPr>
                <w:rFonts w:cs="Arial"/>
              </w:rPr>
              <w:t>Record Phenotype Results</w:t>
            </w:r>
            <w:r w:rsidRPr="00F24972">
              <w:rPr>
                <w:rFonts w:cs="Arial"/>
              </w:rPr>
              <w:t xml:space="preserve"> or </w:t>
            </w:r>
            <w:r>
              <w:rPr>
                <w:rFonts w:cs="Arial"/>
              </w:rPr>
              <w:t>Record Patient Antigen Types</w:t>
            </w:r>
            <w:r w:rsidRPr="00F24972">
              <w:rPr>
                <w:rFonts w:cs="Arial"/>
              </w:rPr>
              <w:t xml:space="preserve"> includes the testing of both the positive and negative control cells, per specificity by lot number, when only multiple phases of reactivity is chosen for the test grid, IS/RT, RT/37 or weak D. One workload event is collected per completed tab for regular or repeat antigen tests.</w:t>
            </w:r>
          </w:p>
          <w:p w14:paraId="653202AC" w14:textId="77777777" w:rsidR="000305DD" w:rsidRPr="00F24972" w:rsidRDefault="000305DD" w:rsidP="000305DD">
            <w:pPr>
              <w:pStyle w:val="TableText"/>
              <w:rPr>
                <w:rFonts w:cs="Arial"/>
              </w:rPr>
            </w:pPr>
            <w:r w:rsidRPr="00F24972">
              <w:rPr>
                <w:rFonts w:cs="Arial"/>
              </w:rPr>
              <w:t>When weak D is the selected test, QC may not be accrued for the rack selection.</w:t>
            </w:r>
            <w:r>
              <w:rPr>
                <w:rFonts w:cs="Arial"/>
              </w:rPr>
              <w:t xml:space="preserve"> </w:t>
            </w:r>
            <w:r w:rsidRPr="00F24972">
              <w:rPr>
                <w:rFonts w:cs="Arial"/>
              </w:rPr>
              <w:t>QC is accrued when positive and negative cells must be tested for the lot number.</w:t>
            </w:r>
          </w:p>
        </w:tc>
      </w:tr>
      <w:tr w:rsidR="000305DD" w:rsidRPr="00F24972" w14:paraId="7ED39CA7"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15EEC22A" w14:textId="77777777" w:rsidR="000305DD" w:rsidRPr="00F24972" w:rsidRDefault="000305DD" w:rsidP="000305DD">
            <w:pPr>
              <w:pStyle w:val="TableText"/>
              <w:rPr>
                <w:rFonts w:cs="Arial"/>
              </w:rPr>
            </w:pPr>
            <w:r w:rsidRPr="00F24972">
              <w:rPr>
                <w:rFonts w:cs="Arial"/>
              </w:rPr>
              <w:t>Cancel Order</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039B950F" w14:textId="77777777" w:rsidR="000305DD" w:rsidRPr="00F24972" w:rsidRDefault="000305DD" w:rsidP="000305DD">
            <w:pPr>
              <w:pStyle w:val="TableText"/>
              <w:rPr>
                <w:rFonts w:cs="Arial"/>
              </w:rPr>
            </w:pPr>
            <w:r>
              <w:rPr>
                <w:rFonts w:cs="Arial"/>
                <w:snapToGrid w:val="0"/>
              </w:rPr>
              <w:t>Accept Order, Reject Order</w:t>
            </w:r>
            <w:r w:rsidRPr="00F24972">
              <w:rPr>
                <w:rFonts w:cs="Arial"/>
                <w:snapToGrid w:val="0"/>
              </w:rP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2B2251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7457F28"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102BE3EC" w14:textId="49DD1E4F" w:rsidR="000305DD" w:rsidRPr="00F24972" w:rsidRDefault="000305DD" w:rsidP="000305DD">
            <w:pPr>
              <w:pStyle w:val="TableText"/>
              <w:rPr>
                <w:rFonts w:cs="Arial"/>
              </w:rPr>
            </w:pPr>
            <w:r w:rsidRPr="00F24972">
              <w:rPr>
                <w:rFonts w:cs="Arial"/>
              </w:rPr>
              <w:t>Accrue workload when an order on the pending order list is cancel</w:t>
            </w:r>
            <w:r w:rsidR="002F7E19">
              <w:rPr>
                <w:rFonts w:cs="Arial"/>
              </w:rPr>
              <w:t>l</w:t>
            </w:r>
            <w:r w:rsidRPr="00F24972">
              <w:rPr>
                <w:rFonts w:cs="Arial"/>
              </w:rPr>
              <w:t>ed. When a multiple orders are cancel</w:t>
            </w:r>
            <w:r w:rsidR="002F7E19">
              <w:rPr>
                <w:rFonts w:cs="Arial"/>
              </w:rPr>
              <w:t>l</w:t>
            </w:r>
            <w:r w:rsidRPr="00F24972">
              <w:rPr>
                <w:rFonts w:cs="Arial"/>
              </w:rPr>
              <w:t>ed, each order accrues workload.</w:t>
            </w:r>
          </w:p>
        </w:tc>
      </w:tr>
      <w:tr w:rsidR="000305DD" w:rsidRPr="00F24972" w14:paraId="5750BBB7"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172DB203" w14:textId="77777777" w:rsidR="000305DD" w:rsidRPr="00F24972" w:rsidRDefault="000305DD" w:rsidP="000305DD">
            <w:pPr>
              <w:pStyle w:val="TableText"/>
              <w:rPr>
                <w:rFonts w:cs="Arial"/>
              </w:rPr>
            </w:pPr>
            <w:r w:rsidRPr="00F24972">
              <w:rPr>
                <w:rFonts w:cs="Arial"/>
              </w:rPr>
              <w:lastRenderedPageBreak/>
              <w:t>Cancel Order</w:t>
            </w:r>
          </w:p>
        </w:tc>
        <w:tc>
          <w:tcPr>
            <w:tcW w:w="1592" w:type="dxa"/>
            <w:tcBorders>
              <w:top w:val="single" w:sz="4" w:space="0" w:color="auto"/>
              <w:left w:val="single" w:sz="4" w:space="0" w:color="auto"/>
              <w:bottom w:val="single" w:sz="4" w:space="0" w:color="auto"/>
              <w:right w:val="single" w:sz="4" w:space="0" w:color="auto"/>
            </w:tcBorders>
          </w:tcPr>
          <w:p w14:paraId="4F12D835" w14:textId="77777777" w:rsidR="000305DD" w:rsidRPr="00F24972" w:rsidRDefault="000305DD" w:rsidP="000305DD">
            <w:pPr>
              <w:pStyle w:val="TableText"/>
              <w:rPr>
                <w:rFonts w:cs="Arial"/>
              </w:rPr>
            </w:pPr>
            <w:r>
              <w:rPr>
                <w:rFonts w:cs="Arial"/>
                <w:snapToGrid w:val="0"/>
              </w:rPr>
              <w:t>Patient Testing List, Cancel order</w:t>
            </w:r>
            <w:r w:rsidRPr="00F24972">
              <w:rPr>
                <w:rFonts w:cs="Arial"/>
                <w:snapToGrid w:val="0"/>
              </w:rPr>
              <w:t xml:space="preserve"> </w:t>
            </w:r>
          </w:p>
        </w:tc>
        <w:tc>
          <w:tcPr>
            <w:tcW w:w="1080" w:type="dxa"/>
            <w:tcBorders>
              <w:top w:val="single" w:sz="4" w:space="0" w:color="auto"/>
              <w:left w:val="single" w:sz="4" w:space="0" w:color="auto"/>
              <w:bottom w:val="single" w:sz="4" w:space="0" w:color="auto"/>
              <w:right w:val="single" w:sz="4" w:space="0" w:color="auto"/>
            </w:tcBorders>
          </w:tcPr>
          <w:p w14:paraId="20FD4F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0D28C92"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18678B1E" w14:textId="3DF8F26D" w:rsidR="000305DD" w:rsidRPr="00F24972" w:rsidRDefault="000305DD" w:rsidP="000305DD">
            <w:pPr>
              <w:pStyle w:val="TableText"/>
              <w:rPr>
                <w:rFonts w:cs="Arial"/>
              </w:rPr>
            </w:pPr>
            <w:r w:rsidRPr="00F24972">
              <w:rPr>
                <w:rFonts w:cs="Arial"/>
              </w:rPr>
              <w:t>Accrue workload when an order on the pending task list is cancel</w:t>
            </w:r>
            <w:r w:rsidR="002F7E19">
              <w:rPr>
                <w:rFonts w:cs="Arial"/>
              </w:rPr>
              <w:t>l</w:t>
            </w:r>
            <w:r w:rsidRPr="00F24972">
              <w:rPr>
                <w:rFonts w:cs="Arial"/>
              </w:rPr>
              <w:t xml:space="preserve">ed. When </w:t>
            </w:r>
            <w:r w:rsidR="00AE3B37" w:rsidRPr="00F24972">
              <w:rPr>
                <w:rFonts w:cs="Arial"/>
              </w:rPr>
              <w:t>multiple orders</w:t>
            </w:r>
            <w:r w:rsidRPr="00F24972">
              <w:rPr>
                <w:rFonts w:cs="Arial"/>
              </w:rPr>
              <w:t xml:space="preserve"> are cancel</w:t>
            </w:r>
            <w:r w:rsidR="002F7E19">
              <w:rPr>
                <w:rFonts w:cs="Arial"/>
              </w:rPr>
              <w:t>l</w:t>
            </w:r>
            <w:r w:rsidRPr="00F24972">
              <w:rPr>
                <w:rFonts w:cs="Arial"/>
              </w:rPr>
              <w:t>ed, each order accrues workload.</w:t>
            </w:r>
          </w:p>
        </w:tc>
      </w:tr>
      <w:tr w:rsidR="000305DD" w:rsidRPr="00F24972" w14:paraId="59EA11C5" w14:textId="77777777" w:rsidTr="00FA340F">
        <w:trPr>
          <w:cantSplit/>
        </w:trPr>
        <w:tc>
          <w:tcPr>
            <w:tcW w:w="1733" w:type="dxa"/>
          </w:tcPr>
          <w:p w14:paraId="4F3E2FB3" w14:textId="77777777" w:rsidR="000305DD" w:rsidRPr="00F24972" w:rsidRDefault="000305DD" w:rsidP="000305DD">
            <w:pPr>
              <w:pStyle w:val="TableText"/>
              <w:rPr>
                <w:rFonts w:cs="Arial"/>
              </w:rPr>
            </w:pPr>
            <w:r w:rsidRPr="00F24972">
              <w:rPr>
                <w:rFonts w:cs="Arial"/>
              </w:rPr>
              <w:t>Crossmatch unit, electronic</w:t>
            </w:r>
          </w:p>
          <w:p w14:paraId="1FB8C62A" w14:textId="77777777" w:rsidR="000305DD" w:rsidRPr="00F24972" w:rsidRDefault="000305DD" w:rsidP="000305DD">
            <w:pPr>
              <w:pStyle w:val="TableText"/>
              <w:rPr>
                <w:rFonts w:cs="Arial"/>
              </w:rPr>
            </w:pPr>
          </w:p>
        </w:tc>
        <w:tc>
          <w:tcPr>
            <w:tcW w:w="1592" w:type="dxa"/>
          </w:tcPr>
          <w:p w14:paraId="0E96EE76" w14:textId="77777777" w:rsidR="000305DD" w:rsidRPr="00F24972" w:rsidRDefault="000305DD" w:rsidP="000305DD">
            <w:pPr>
              <w:pStyle w:val="TableText"/>
              <w:rPr>
                <w:rFonts w:cs="Arial"/>
              </w:rPr>
            </w:pPr>
            <w:r>
              <w:rPr>
                <w:rFonts w:cs="Arial"/>
              </w:rPr>
              <w:t>Select Unit</w:t>
            </w:r>
          </w:p>
          <w:p w14:paraId="4F46D6FE" w14:textId="77777777" w:rsidR="000305DD" w:rsidRPr="00F24972" w:rsidRDefault="000305DD" w:rsidP="000305DD">
            <w:pPr>
              <w:pStyle w:val="TableText"/>
              <w:rPr>
                <w:rFonts w:cs="Arial"/>
              </w:rPr>
            </w:pPr>
          </w:p>
        </w:tc>
        <w:tc>
          <w:tcPr>
            <w:tcW w:w="1080" w:type="dxa"/>
          </w:tcPr>
          <w:p w14:paraId="6BB2BBF7" w14:textId="77777777" w:rsidR="000305DD" w:rsidRPr="00F24972" w:rsidRDefault="000305DD" w:rsidP="000305DD">
            <w:pPr>
              <w:pStyle w:val="TableText"/>
              <w:rPr>
                <w:rFonts w:cs="Arial"/>
              </w:rPr>
            </w:pPr>
            <w:r w:rsidRPr="00F24972">
              <w:rPr>
                <w:rFonts w:cs="Arial"/>
              </w:rPr>
              <w:t>Positive</w:t>
            </w:r>
          </w:p>
        </w:tc>
        <w:tc>
          <w:tcPr>
            <w:tcW w:w="900" w:type="dxa"/>
          </w:tcPr>
          <w:p w14:paraId="42E1EFF0" w14:textId="77777777" w:rsidR="000305DD" w:rsidRPr="00F24972" w:rsidRDefault="000305DD" w:rsidP="000305DD">
            <w:pPr>
              <w:pStyle w:val="TableText"/>
              <w:jc w:val="center"/>
              <w:rPr>
                <w:rFonts w:cs="Arial"/>
              </w:rPr>
            </w:pPr>
            <w:r w:rsidRPr="00F24972">
              <w:rPr>
                <w:rFonts w:cs="Arial"/>
              </w:rPr>
              <w:t>P</w:t>
            </w:r>
          </w:p>
        </w:tc>
        <w:tc>
          <w:tcPr>
            <w:tcW w:w="4950" w:type="dxa"/>
          </w:tcPr>
          <w:p w14:paraId="70BE91BE" w14:textId="67516D37" w:rsidR="000305DD" w:rsidRPr="00F24972" w:rsidRDefault="000305DD" w:rsidP="000305DD">
            <w:pPr>
              <w:pStyle w:val="TableText"/>
              <w:rPr>
                <w:rFonts w:cs="Arial"/>
              </w:rPr>
            </w:pPr>
            <w:r w:rsidRPr="00F24972">
              <w:rPr>
                <w:rFonts w:cs="Arial"/>
              </w:rPr>
              <w:t xml:space="preserve">This process is invoked when an individual unit is selected for patient assignment and the unit is electronically crossmatched. When </w:t>
            </w:r>
            <w:r w:rsidR="00AE3B37" w:rsidRPr="00F24972">
              <w:rPr>
                <w:rFonts w:cs="Arial"/>
              </w:rPr>
              <w:t>multiple units</w:t>
            </w:r>
            <w:r w:rsidRPr="00F24972">
              <w:rPr>
                <w:rFonts w:cs="Arial"/>
              </w:rPr>
              <w:t xml:space="preserve"> are selected, each unit accrues workload.</w:t>
            </w:r>
          </w:p>
        </w:tc>
      </w:tr>
      <w:tr w:rsidR="000305DD" w:rsidRPr="00F24972" w14:paraId="168D7F8F" w14:textId="77777777" w:rsidTr="00FA340F">
        <w:trPr>
          <w:cantSplit/>
        </w:trPr>
        <w:tc>
          <w:tcPr>
            <w:tcW w:w="1733" w:type="dxa"/>
            <w:vMerge w:val="restart"/>
            <w:shd w:val="clear" w:color="auto" w:fill="auto"/>
          </w:tcPr>
          <w:p w14:paraId="03B89434" w14:textId="77777777" w:rsidR="000305DD" w:rsidRPr="00F24972" w:rsidRDefault="000305DD" w:rsidP="000305DD">
            <w:pPr>
              <w:pStyle w:val="TableText"/>
              <w:rPr>
                <w:rFonts w:cs="Arial"/>
              </w:rPr>
            </w:pPr>
            <w:r w:rsidRPr="00F24972">
              <w:rPr>
                <w:rFonts w:cs="Arial"/>
              </w:rPr>
              <w:t>Crossmatch unit, serologic immediate spin</w:t>
            </w:r>
          </w:p>
        </w:tc>
        <w:tc>
          <w:tcPr>
            <w:tcW w:w="1592" w:type="dxa"/>
            <w:tcBorders>
              <w:top w:val="single" w:sz="4" w:space="0" w:color="auto"/>
              <w:bottom w:val="single" w:sz="4" w:space="0" w:color="auto"/>
              <w:right w:val="single" w:sz="4" w:space="0" w:color="auto"/>
            </w:tcBorders>
          </w:tcPr>
          <w:p w14:paraId="5B1A3600"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179697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731CEB9"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1CD445FB" w14:textId="72986903" w:rsidR="000305DD" w:rsidRPr="00F24972" w:rsidRDefault="000305DD" w:rsidP="000305DD">
            <w:pPr>
              <w:pStyle w:val="TableText"/>
              <w:rPr>
                <w:rFonts w:cs="Arial"/>
              </w:rPr>
            </w:pPr>
            <w:r w:rsidRPr="00F24972">
              <w:rPr>
                <w:rFonts w:cs="Arial"/>
              </w:rPr>
              <w:t xml:space="preserve">Accrue workload when an individual unit (row) crossmatch, selected to include only the IS phase,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tc>
      </w:tr>
      <w:tr w:rsidR="000305DD" w:rsidRPr="00F24972" w14:paraId="6B65C944" w14:textId="77777777" w:rsidTr="00FA340F">
        <w:trPr>
          <w:cantSplit/>
        </w:trPr>
        <w:tc>
          <w:tcPr>
            <w:tcW w:w="1733" w:type="dxa"/>
            <w:vMerge/>
            <w:tcBorders>
              <w:bottom w:val="single" w:sz="4" w:space="0" w:color="auto"/>
            </w:tcBorders>
            <w:shd w:val="clear" w:color="auto" w:fill="auto"/>
          </w:tcPr>
          <w:p w14:paraId="4D634E77"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75C609F0" w14:textId="77777777" w:rsidR="000305DD" w:rsidRPr="00F24972" w:rsidRDefault="000305DD" w:rsidP="000305DD">
            <w:pPr>
              <w:pStyle w:val="TableText"/>
              <w:rPr>
                <w:rFonts w:cs="Arial"/>
              </w:rPr>
            </w:pPr>
            <w:r>
              <w:rPr>
                <w:rFonts w:cs="Arial"/>
              </w:rPr>
              <w:t>Invalidate 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49782CCE"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25BB4FA"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333AA201" w14:textId="77777777" w:rsidR="000305DD" w:rsidRPr="00F24972" w:rsidRDefault="000305DD" w:rsidP="000305DD">
            <w:pPr>
              <w:pStyle w:val="TableText"/>
              <w:rPr>
                <w:rFonts w:cs="Arial"/>
              </w:rPr>
            </w:pPr>
            <w:r w:rsidRPr="00F24972">
              <w:rPr>
                <w:rFonts w:cs="Arial"/>
              </w:rPr>
              <w:t>Accrue workload when a completed crossmatch test is invalidated. The workload originally saved with the test, serologic immediate spin.</w:t>
            </w:r>
          </w:p>
        </w:tc>
      </w:tr>
      <w:tr w:rsidR="000305DD" w:rsidRPr="00F24972" w14:paraId="0F4600D2" w14:textId="77777777" w:rsidTr="00FA340F">
        <w:trPr>
          <w:cantSplit/>
        </w:trPr>
        <w:tc>
          <w:tcPr>
            <w:tcW w:w="1733" w:type="dxa"/>
            <w:vMerge w:val="restart"/>
          </w:tcPr>
          <w:p w14:paraId="3AE72BCA" w14:textId="77777777" w:rsidR="000305DD" w:rsidRPr="00F24972" w:rsidRDefault="000305DD" w:rsidP="000305DD">
            <w:pPr>
              <w:pStyle w:val="TableText"/>
              <w:rPr>
                <w:rFonts w:cs="Arial"/>
              </w:rPr>
            </w:pPr>
            <w:r w:rsidRPr="00F24972">
              <w:rPr>
                <w:rFonts w:cs="Arial"/>
              </w:rPr>
              <w:t>Crossmatch unit, serological Coombs</w:t>
            </w:r>
          </w:p>
          <w:p w14:paraId="5187C869" w14:textId="77777777" w:rsidR="000305DD" w:rsidRPr="00F24972" w:rsidRDefault="000305DD" w:rsidP="000305DD">
            <w:pPr>
              <w:pStyle w:val="TableText"/>
              <w:rPr>
                <w:rFonts w:cs="Arial"/>
              </w:rPr>
            </w:pPr>
          </w:p>
        </w:tc>
        <w:tc>
          <w:tcPr>
            <w:tcW w:w="1592" w:type="dxa"/>
          </w:tcPr>
          <w:p w14:paraId="612050CA" w14:textId="77777777" w:rsidR="000305DD" w:rsidRPr="00F24972" w:rsidRDefault="000305DD" w:rsidP="000305DD">
            <w:pPr>
              <w:pStyle w:val="TableText"/>
              <w:rPr>
                <w:rFonts w:cs="Arial"/>
              </w:rPr>
            </w:pPr>
            <w:r>
              <w:rPr>
                <w:rFonts w:cs="Arial"/>
              </w:rPr>
              <w:t>Transfusion Reaction Workup, serologic crossmatch</w:t>
            </w:r>
          </w:p>
        </w:tc>
        <w:tc>
          <w:tcPr>
            <w:tcW w:w="1080" w:type="dxa"/>
          </w:tcPr>
          <w:p w14:paraId="2FC83DC2" w14:textId="77777777" w:rsidR="000305DD" w:rsidRPr="00F24972" w:rsidRDefault="000305DD" w:rsidP="000305DD">
            <w:pPr>
              <w:pStyle w:val="TableText"/>
              <w:rPr>
                <w:rFonts w:cs="Arial"/>
              </w:rPr>
            </w:pPr>
            <w:r w:rsidRPr="00F24972">
              <w:rPr>
                <w:rFonts w:cs="Arial"/>
              </w:rPr>
              <w:t>Positive</w:t>
            </w:r>
          </w:p>
        </w:tc>
        <w:tc>
          <w:tcPr>
            <w:tcW w:w="900" w:type="dxa"/>
          </w:tcPr>
          <w:p w14:paraId="2FF6164A" w14:textId="77777777" w:rsidR="000305DD" w:rsidRPr="00F24972" w:rsidRDefault="000305DD" w:rsidP="000305DD">
            <w:pPr>
              <w:pStyle w:val="TableText"/>
              <w:jc w:val="center"/>
              <w:rPr>
                <w:rFonts w:cs="Arial"/>
              </w:rPr>
            </w:pPr>
            <w:r w:rsidRPr="00F24972">
              <w:rPr>
                <w:rFonts w:cs="Arial"/>
              </w:rPr>
              <w:t>P</w:t>
            </w:r>
          </w:p>
        </w:tc>
        <w:tc>
          <w:tcPr>
            <w:tcW w:w="4950" w:type="dxa"/>
          </w:tcPr>
          <w:p w14:paraId="0EC1F46B" w14:textId="77777777" w:rsidR="000305DD" w:rsidRPr="00F24972" w:rsidRDefault="000305DD" w:rsidP="000305DD">
            <w:pPr>
              <w:pStyle w:val="TableText"/>
              <w:rPr>
                <w:rFonts w:cs="Arial"/>
              </w:rPr>
            </w:pPr>
            <w:r w:rsidRPr="00F24972">
              <w:rPr>
                <w:rFonts w:cs="Arial"/>
              </w:rPr>
              <w:t>A crossmatch test for pre or post is enabled and a valid interpretation other than Not Tested is selected. A workload event is accrued separately for Pre and Post entries.</w:t>
            </w:r>
          </w:p>
          <w:p w14:paraId="41CA770D" w14:textId="12C7E12B" w:rsidR="000305DD" w:rsidRPr="00F24972" w:rsidRDefault="000305DD" w:rsidP="000305DD">
            <w:pPr>
              <w:pStyle w:val="TableText"/>
              <w:rPr>
                <w:rFonts w:cs="Arial"/>
              </w:rPr>
            </w:pPr>
            <w:r w:rsidRPr="00F24972">
              <w:rPr>
                <w:rFonts w:cs="Arial"/>
              </w:rPr>
              <w:t xml:space="preserve">When </w:t>
            </w:r>
            <w:r w:rsidR="00AE3B37" w:rsidRPr="00F24972">
              <w:rPr>
                <w:rFonts w:cs="Arial"/>
              </w:rPr>
              <w:t>multiple units</w:t>
            </w:r>
            <w:r w:rsidRPr="00F24972">
              <w:rPr>
                <w:rFonts w:cs="Arial"/>
              </w:rPr>
              <w:t xml:space="preserve"> are selected, each unit accrues workload.</w:t>
            </w:r>
          </w:p>
        </w:tc>
      </w:tr>
      <w:tr w:rsidR="000305DD" w:rsidRPr="00F24972" w14:paraId="78533767" w14:textId="77777777" w:rsidTr="00FA340F">
        <w:trPr>
          <w:cantSplit/>
        </w:trPr>
        <w:tc>
          <w:tcPr>
            <w:tcW w:w="1733" w:type="dxa"/>
            <w:vMerge/>
          </w:tcPr>
          <w:p w14:paraId="0B9A3CA1"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371492C7"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2B4FAF2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AFFB40D"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2EAB2FBD" w14:textId="2526EF5B" w:rsidR="000305DD" w:rsidRPr="00F24972" w:rsidRDefault="000305DD" w:rsidP="000305DD">
            <w:pPr>
              <w:pStyle w:val="TableText"/>
              <w:rPr>
                <w:rFonts w:cs="Arial"/>
              </w:rPr>
            </w:pPr>
            <w:r w:rsidRPr="00F24972">
              <w:rPr>
                <w:rFonts w:cs="Arial"/>
              </w:rPr>
              <w:t xml:space="preserve">Accrue workload when an individual unit (row) crossmatch, selected to include all phases or only AHG phase,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tc>
      </w:tr>
      <w:tr w:rsidR="000305DD" w:rsidRPr="00F24972" w14:paraId="0F8C7507" w14:textId="77777777" w:rsidTr="00FA340F">
        <w:trPr>
          <w:cantSplit/>
        </w:trPr>
        <w:tc>
          <w:tcPr>
            <w:tcW w:w="1733" w:type="dxa"/>
            <w:vMerge/>
            <w:tcBorders>
              <w:bottom w:val="single" w:sz="4" w:space="0" w:color="auto"/>
            </w:tcBorders>
          </w:tcPr>
          <w:p w14:paraId="2B817124"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FDE3C56" w14:textId="77777777" w:rsidR="000305DD" w:rsidRDefault="000305DD" w:rsidP="000305DD">
            <w:pPr>
              <w:pStyle w:val="TableText"/>
              <w:rPr>
                <w:rFonts w:cs="Arial"/>
              </w:rPr>
            </w:pPr>
            <w:r>
              <w:rPr>
                <w:rFonts w:cs="Arial"/>
              </w:rPr>
              <w:t>Invalidate</w:t>
            </w:r>
          </w:p>
          <w:p w14:paraId="2BBD62F2"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1B899E2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09842505"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2D8CD9CE" w14:textId="77777777" w:rsidR="000305DD" w:rsidRPr="00F24972" w:rsidRDefault="000305DD" w:rsidP="000305DD">
            <w:pPr>
              <w:pStyle w:val="TableText"/>
              <w:rPr>
                <w:rFonts w:cs="Arial"/>
              </w:rPr>
            </w:pPr>
            <w:r w:rsidRPr="00F24972">
              <w:rPr>
                <w:rFonts w:cs="Arial"/>
              </w:rPr>
              <w:t>Accrue workload when a completed crossmatch test is invalidated. The workload originally saved with the test, serological Coombs.</w:t>
            </w:r>
          </w:p>
        </w:tc>
      </w:tr>
      <w:tr w:rsidR="000305DD" w:rsidRPr="00F24972" w14:paraId="31BB82BE" w14:textId="77777777" w:rsidTr="00FA340F">
        <w:trPr>
          <w:cantSplit/>
        </w:trPr>
        <w:tc>
          <w:tcPr>
            <w:tcW w:w="1733" w:type="dxa"/>
            <w:vMerge w:val="restart"/>
          </w:tcPr>
          <w:p w14:paraId="1A724212" w14:textId="77777777" w:rsidR="000305DD" w:rsidRPr="00F24972" w:rsidRDefault="000305DD" w:rsidP="000305DD">
            <w:pPr>
              <w:pStyle w:val="TableText"/>
              <w:rPr>
                <w:rFonts w:cs="Arial"/>
              </w:rPr>
            </w:pPr>
            <w:r w:rsidRPr="00F24972">
              <w:rPr>
                <w:rFonts w:cs="Arial"/>
              </w:rPr>
              <w:t>Crossmatch, Repeat Test</w:t>
            </w:r>
          </w:p>
          <w:p w14:paraId="2C5D6CAE" w14:textId="77777777" w:rsidR="000305DD" w:rsidRPr="00F24972" w:rsidRDefault="000305DD" w:rsidP="000305DD">
            <w:pPr>
              <w:pStyle w:val="TableText"/>
              <w:rPr>
                <w:rFonts w:cs="Arial"/>
              </w:rPr>
            </w:pPr>
          </w:p>
        </w:tc>
        <w:tc>
          <w:tcPr>
            <w:tcW w:w="1592" w:type="dxa"/>
          </w:tcPr>
          <w:p w14:paraId="171F1546" w14:textId="77777777" w:rsidR="000305DD" w:rsidRPr="00F24972" w:rsidRDefault="000305DD" w:rsidP="000305DD">
            <w:pPr>
              <w:pStyle w:val="TableText"/>
              <w:rPr>
                <w:rFonts w:cs="Arial"/>
              </w:rPr>
            </w:pPr>
            <w:r>
              <w:rPr>
                <w:rFonts w:cs="Arial"/>
              </w:rPr>
              <w:t>Patient Testing, serologic crossmatch</w:t>
            </w:r>
          </w:p>
        </w:tc>
        <w:tc>
          <w:tcPr>
            <w:tcW w:w="1080" w:type="dxa"/>
          </w:tcPr>
          <w:p w14:paraId="1E7FCB8A" w14:textId="77777777" w:rsidR="000305DD" w:rsidRPr="00F24972" w:rsidRDefault="000305DD" w:rsidP="000305DD">
            <w:pPr>
              <w:pStyle w:val="TableText"/>
              <w:rPr>
                <w:rFonts w:cs="Arial"/>
              </w:rPr>
            </w:pPr>
            <w:r w:rsidRPr="00F24972">
              <w:rPr>
                <w:rFonts w:cs="Arial"/>
              </w:rPr>
              <w:t>Positive</w:t>
            </w:r>
          </w:p>
        </w:tc>
        <w:tc>
          <w:tcPr>
            <w:tcW w:w="900" w:type="dxa"/>
          </w:tcPr>
          <w:p w14:paraId="27B02DF3" w14:textId="77777777" w:rsidR="000305DD" w:rsidRPr="00F24972" w:rsidRDefault="000305DD" w:rsidP="000305DD">
            <w:pPr>
              <w:pStyle w:val="TableText"/>
              <w:jc w:val="center"/>
              <w:rPr>
                <w:rFonts w:cs="Arial"/>
              </w:rPr>
            </w:pPr>
            <w:r w:rsidRPr="00F24972">
              <w:rPr>
                <w:rFonts w:cs="Arial"/>
              </w:rPr>
              <w:t>M</w:t>
            </w:r>
          </w:p>
        </w:tc>
        <w:tc>
          <w:tcPr>
            <w:tcW w:w="4950" w:type="dxa"/>
          </w:tcPr>
          <w:p w14:paraId="2CDF7B53" w14:textId="446C2F69" w:rsidR="000305DD" w:rsidRPr="00F24972" w:rsidRDefault="000305DD" w:rsidP="000305DD">
            <w:pPr>
              <w:pStyle w:val="TableText"/>
              <w:rPr>
                <w:rFonts w:cs="Arial"/>
              </w:rPr>
            </w:pPr>
            <w:r w:rsidRPr="00F24972">
              <w:rPr>
                <w:rFonts w:cs="Arial"/>
              </w:rPr>
              <w:t xml:space="preserve">Accrue workload when an individual unit (row) crossmatch, selected to include all phases or IS or only AHG phase,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p w14:paraId="148AF3E6" w14:textId="77777777" w:rsidR="000305DD" w:rsidRPr="00F24972" w:rsidRDefault="000305DD" w:rsidP="000305DD">
            <w:pPr>
              <w:pStyle w:val="TableText"/>
              <w:rPr>
                <w:rFonts w:cs="Arial"/>
              </w:rPr>
            </w:pPr>
            <w:r w:rsidRPr="00F24972">
              <w:rPr>
                <w:rFonts w:cs="Arial"/>
              </w:rPr>
              <w:t xml:space="preserve">Note: ordered via </w:t>
            </w:r>
            <w:r>
              <w:rPr>
                <w:rFonts w:cs="Arial"/>
              </w:rPr>
              <w:t>Order Reflex Test</w:t>
            </w:r>
            <w:r w:rsidRPr="00F24972">
              <w:rPr>
                <w:rFonts w:cs="Arial"/>
              </w:rPr>
              <w:t xml:space="preserve"> from main menu or the use of </w:t>
            </w:r>
            <w:r>
              <w:rPr>
                <w:rFonts w:cs="Arial"/>
              </w:rPr>
              <w:t>Order Reflex Test</w:t>
            </w:r>
            <w:r w:rsidRPr="00F24972">
              <w:rPr>
                <w:rFonts w:cs="Arial"/>
              </w:rPr>
              <w:t xml:space="preserve"> by </w:t>
            </w:r>
            <w:r>
              <w:rPr>
                <w:rFonts w:cs="Arial"/>
              </w:rPr>
              <w:t>Record Testing</w:t>
            </w:r>
            <w:r w:rsidRPr="00F24972">
              <w:rPr>
                <w:rFonts w:cs="Arial"/>
              </w:rPr>
              <w:t>.</w:t>
            </w:r>
          </w:p>
        </w:tc>
      </w:tr>
      <w:tr w:rsidR="000305DD" w:rsidRPr="00F24972" w14:paraId="6690CDDA" w14:textId="77777777" w:rsidTr="00FA340F">
        <w:trPr>
          <w:cantSplit/>
        </w:trPr>
        <w:tc>
          <w:tcPr>
            <w:tcW w:w="1733" w:type="dxa"/>
            <w:vMerge/>
            <w:tcBorders>
              <w:bottom w:val="single" w:sz="4" w:space="0" w:color="auto"/>
            </w:tcBorders>
          </w:tcPr>
          <w:p w14:paraId="019371BE"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07F3AC7" w14:textId="77777777" w:rsidR="000305DD" w:rsidRPr="00027B0B" w:rsidRDefault="000305DD" w:rsidP="000305DD">
            <w:pPr>
              <w:pStyle w:val="TableText"/>
              <w:rPr>
                <w:rFonts w:cs="Arial"/>
                <w:sz w:val="16"/>
                <w:szCs w:val="16"/>
              </w:rPr>
            </w:pPr>
            <w:r w:rsidRPr="00027B0B">
              <w:rPr>
                <w:rFonts w:cs="Arial"/>
                <w:sz w:val="16"/>
                <w:szCs w:val="16"/>
              </w:rPr>
              <w:t>Invalidate</w:t>
            </w:r>
          </w:p>
          <w:p w14:paraId="7BFE92F9" w14:textId="77777777" w:rsidR="000305DD" w:rsidRPr="00F24972" w:rsidRDefault="000305DD" w:rsidP="000305DD">
            <w:pPr>
              <w:rPr>
                <w:rFonts w:ascii="Arial" w:hAnsi="Arial" w:cs="Arial"/>
                <w:sz w:val="18"/>
                <w:szCs w:val="18"/>
              </w:rPr>
            </w:pPr>
            <w:r w:rsidRPr="00027B0B">
              <w:rPr>
                <w:rFonts w:ascii="Arial" w:hAnsi="Arial" w:cs="Arial"/>
                <w:sz w:val="16"/>
                <w:szCs w:val="16"/>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70594604"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2BDFEABC"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483CFBB3" w14:textId="77777777" w:rsidR="000305DD" w:rsidRPr="00F24972" w:rsidRDefault="000305DD" w:rsidP="000305DD">
            <w:pPr>
              <w:pStyle w:val="TableText"/>
              <w:rPr>
                <w:rFonts w:cs="Arial"/>
              </w:rPr>
            </w:pPr>
            <w:r w:rsidRPr="00F24972">
              <w:rPr>
                <w:rFonts w:cs="Arial"/>
              </w:rPr>
              <w:t>Accrue workload when an individual unit crossmatch is invalidated.</w:t>
            </w:r>
          </w:p>
        </w:tc>
      </w:tr>
      <w:tr w:rsidR="000305DD" w:rsidRPr="00F24972" w14:paraId="1CCA840B" w14:textId="77777777" w:rsidTr="00FA340F">
        <w:trPr>
          <w:cantSplit/>
        </w:trPr>
        <w:tc>
          <w:tcPr>
            <w:tcW w:w="1733" w:type="dxa"/>
            <w:tcBorders>
              <w:top w:val="single" w:sz="4" w:space="0" w:color="auto"/>
              <w:left w:val="single" w:sz="4" w:space="0" w:color="auto"/>
              <w:bottom w:val="single" w:sz="4" w:space="0" w:color="auto"/>
              <w:right w:val="single" w:sz="4" w:space="0" w:color="auto"/>
            </w:tcBorders>
            <w:vAlign w:val="bottom"/>
          </w:tcPr>
          <w:p w14:paraId="5C361D81" w14:textId="77777777" w:rsidR="000305DD" w:rsidRPr="00F24972" w:rsidRDefault="000305DD" w:rsidP="000305DD">
            <w:pPr>
              <w:pStyle w:val="TableText"/>
              <w:rPr>
                <w:rFonts w:cs="Arial"/>
              </w:rPr>
            </w:pPr>
            <w:r w:rsidRPr="00F24972">
              <w:rPr>
                <w:rFonts w:cs="Arial"/>
              </w:rPr>
              <w:t>Daily Rack Quality Control (QC)</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2316BAA0" w14:textId="77777777" w:rsidR="000305DD" w:rsidRPr="00F24972" w:rsidRDefault="000305DD" w:rsidP="000305DD">
            <w:pPr>
              <w:pStyle w:val="TableText"/>
              <w:rPr>
                <w:rFonts w:cs="Arial"/>
              </w:rPr>
            </w:pPr>
            <w:r>
              <w:rPr>
                <w:rFonts w:cs="Arial"/>
              </w:rPr>
              <w:t>Enter Daily Reagent Rack QC</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A026105"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850CEF1"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bottom"/>
          </w:tcPr>
          <w:p w14:paraId="1F1FAA07" w14:textId="77777777" w:rsidR="000305DD" w:rsidRPr="00F24972" w:rsidRDefault="000305DD" w:rsidP="000305DD">
            <w:pPr>
              <w:pStyle w:val="TableText"/>
              <w:rPr>
                <w:rFonts w:cs="Arial"/>
              </w:rPr>
            </w:pPr>
            <w:r w:rsidRPr="00F24972">
              <w:rPr>
                <w:rFonts w:cs="Arial"/>
              </w:rPr>
              <w:t>Accrue workload when Daily QC rack completed for one individual rack includes all rows in configured QC. When multiple racks are tested, each completed and saved tab accrues a workload event.</w:t>
            </w:r>
          </w:p>
        </w:tc>
      </w:tr>
      <w:tr w:rsidR="000305DD" w:rsidRPr="00F24972" w14:paraId="09070EE8"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20386800" w14:textId="77777777" w:rsidR="000305DD" w:rsidRPr="00F24972" w:rsidRDefault="000305DD" w:rsidP="000305DD">
            <w:pPr>
              <w:pStyle w:val="TableText"/>
              <w:rPr>
                <w:rFonts w:cs="Arial"/>
              </w:rPr>
            </w:pPr>
            <w:r w:rsidRPr="00F24972">
              <w:rPr>
                <w:rFonts w:cs="Arial"/>
              </w:rPr>
              <w:t>DAT (QC)</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2EFA7ED9" w14:textId="4FF7E02E" w:rsidR="000305DD" w:rsidRPr="00F24972" w:rsidRDefault="000305DD" w:rsidP="000305DD">
            <w:pPr>
              <w:pStyle w:val="TableText"/>
              <w:rPr>
                <w:rFonts w:cs="Arial"/>
              </w:rPr>
            </w:pPr>
            <w:r>
              <w:rPr>
                <w:rFonts w:cs="Arial"/>
              </w:rPr>
              <w:t xml:space="preserve">Enter Daily Reagent Rack QC </w:t>
            </w:r>
            <w:r w:rsidR="00AE3B37">
              <w:rPr>
                <w:rFonts w:cs="Arial"/>
              </w:rPr>
              <w:t>or DAT</w:t>
            </w:r>
            <w:r>
              <w:rPr>
                <w:rFonts w:cs="Arial"/>
              </w:rPr>
              <w:t xml:space="preserve"> QC</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E1232C"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A0F2EBF"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bottom"/>
          </w:tcPr>
          <w:p w14:paraId="03810E1D" w14:textId="77777777" w:rsidR="000305DD" w:rsidRPr="00F24972" w:rsidRDefault="000305DD" w:rsidP="000305DD">
            <w:pPr>
              <w:pStyle w:val="TableText"/>
              <w:rPr>
                <w:rFonts w:cs="Arial"/>
              </w:rPr>
            </w:pPr>
            <w:r w:rsidRPr="00F24972">
              <w:rPr>
                <w:rFonts w:cs="Arial"/>
              </w:rPr>
              <w:t xml:space="preserve">Accrue workload when Reagent QC completed or in </w:t>
            </w:r>
            <w:r>
              <w:rPr>
                <w:rFonts w:cs="Arial"/>
              </w:rPr>
              <w:t>Record Patient Direct Antiglobulin Test</w:t>
            </w:r>
            <w:r w:rsidRPr="00F24972">
              <w:rPr>
                <w:rFonts w:cs="Arial"/>
              </w:rPr>
              <w:t xml:space="preserve"> includes the testing of both the positive and negative control cells, per specificity per lot number, when only one phase of reactivity is chosen for the test grid, IS or AHG. One workload event is collected per completed tab for regular or repeat antiglobulin tests (PS, IgG, Comp) tests.</w:t>
            </w:r>
          </w:p>
        </w:tc>
      </w:tr>
      <w:tr w:rsidR="000305DD" w:rsidRPr="00F24972" w14:paraId="6CB627C7" w14:textId="77777777" w:rsidTr="00FA340F">
        <w:trPr>
          <w:cantSplit/>
        </w:trPr>
        <w:tc>
          <w:tcPr>
            <w:tcW w:w="1733" w:type="dxa"/>
            <w:vMerge w:val="restart"/>
            <w:tcBorders>
              <w:top w:val="single" w:sz="4" w:space="0" w:color="auto"/>
              <w:left w:val="single" w:sz="4" w:space="0" w:color="auto"/>
              <w:right w:val="single" w:sz="4" w:space="0" w:color="auto"/>
            </w:tcBorders>
          </w:tcPr>
          <w:p w14:paraId="6ED39FBD" w14:textId="77777777" w:rsidR="000305DD" w:rsidRPr="00F24972" w:rsidRDefault="000305DD" w:rsidP="000305DD">
            <w:pPr>
              <w:pStyle w:val="TableText"/>
              <w:rPr>
                <w:rFonts w:cs="Arial"/>
              </w:rPr>
            </w:pPr>
            <w:r w:rsidRPr="00F24972">
              <w:rPr>
                <w:rFonts w:cs="Arial"/>
              </w:rPr>
              <w:lastRenderedPageBreak/>
              <w:t>Direct Antiglobulin Test (DAT)</w:t>
            </w:r>
          </w:p>
          <w:p w14:paraId="47A3FE1C"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79585A1A" w14:textId="77777777" w:rsidR="000305DD" w:rsidRPr="00F24972" w:rsidRDefault="000305DD" w:rsidP="000305DD">
            <w:pPr>
              <w:pStyle w:val="TableText"/>
              <w:rPr>
                <w:rFonts w:cs="Arial"/>
              </w:rPr>
            </w:pPr>
            <w:r>
              <w:rPr>
                <w:rFonts w:cs="Arial"/>
              </w:rPr>
              <w:t>Transfusion Reaction Workup, DAT test</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D8580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5AAD493"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55A9C34C" w14:textId="77777777" w:rsidR="000305DD" w:rsidRPr="00F24972" w:rsidRDefault="000305DD" w:rsidP="000305DD">
            <w:pPr>
              <w:pStyle w:val="TableText"/>
              <w:rPr>
                <w:rFonts w:cs="Arial"/>
              </w:rPr>
            </w:pPr>
            <w:r w:rsidRPr="00F24972">
              <w:rPr>
                <w:rFonts w:cs="Arial"/>
              </w:rPr>
              <w:t>A DAT test for pre or post is enabled and a valid interpretation other than Not Tested is selected. A workload event is accrued separately for Pre and Post entries.</w:t>
            </w:r>
          </w:p>
        </w:tc>
      </w:tr>
      <w:tr w:rsidR="000305DD" w:rsidRPr="00F24972" w14:paraId="08E11F54" w14:textId="77777777" w:rsidTr="00FA340F">
        <w:trPr>
          <w:cantSplit/>
        </w:trPr>
        <w:tc>
          <w:tcPr>
            <w:tcW w:w="1733" w:type="dxa"/>
            <w:vMerge/>
            <w:tcBorders>
              <w:left w:val="single" w:sz="4" w:space="0" w:color="auto"/>
              <w:right w:val="single" w:sz="4" w:space="0" w:color="auto"/>
            </w:tcBorders>
          </w:tcPr>
          <w:p w14:paraId="2320F016"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41A739F5" w14:textId="77777777" w:rsidR="000305DD" w:rsidRPr="00F24972" w:rsidRDefault="000305DD" w:rsidP="000305DD">
            <w:pPr>
              <w:pStyle w:val="TableText"/>
              <w:rPr>
                <w:rFonts w:cs="Arial"/>
              </w:rPr>
            </w:pPr>
            <w:r>
              <w:rPr>
                <w:rFonts w:cs="Arial"/>
              </w:rPr>
              <w:t>Patient Testing, DAT</w:t>
            </w:r>
          </w:p>
        </w:tc>
        <w:tc>
          <w:tcPr>
            <w:tcW w:w="1080" w:type="dxa"/>
            <w:tcBorders>
              <w:top w:val="single" w:sz="4" w:space="0" w:color="auto"/>
              <w:left w:val="single" w:sz="4" w:space="0" w:color="auto"/>
              <w:bottom w:val="single" w:sz="4" w:space="0" w:color="auto"/>
              <w:right w:val="single" w:sz="4" w:space="0" w:color="auto"/>
            </w:tcBorders>
          </w:tcPr>
          <w:p w14:paraId="47674E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12E52C9"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492AC555" w14:textId="77777777" w:rsidR="000305DD" w:rsidRPr="00F24972" w:rsidRDefault="000305DD" w:rsidP="000305DD">
            <w:pPr>
              <w:pStyle w:val="TableText"/>
              <w:rPr>
                <w:rFonts w:cs="Arial"/>
              </w:rPr>
            </w:pPr>
            <w:r w:rsidRPr="00F24972">
              <w:rPr>
                <w:rFonts w:cs="Arial"/>
              </w:rPr>
              <w:t>Accrue workload when a DAT completed and saved (</w:t>
            </w:r>
            <w:r>
              <w:rPr>
                <w:rFonts w:cs="Arial"/>
              </w:rPr>
              <w:t>Record Patient Direct Antiglobulin Test</w:t>
            </w:r>
            <w:r w:rsidRPr="00F24972">
              <w:rPr>
                <w:rFonts w:cs="Arial"/>
              </w:rPr>
              <w:t xml:space="preserve"> is saved by </w:t>
            </w:r>
            <w:r>
              <w:rPr>
                <w:rFonts w:cs="Arial"/>
              </w:rPr>
              <w:t>Record Testing</w:t>
            </w:r>
            <w:r w:rsidRPr="00F24972">
              <w:rPr>
                <w:rFonts w:cs="Arial"/>
              </w:rPr>
              <w:t xml:space="preserve"> as part of a TAS configuration or individual test ordered. This count is used for all antiglobulin tests (PS, IgG, Comp) when ordered from CPRS or Reflex testing.</w:t>
            </w:r>
          </w:p>
        </w:tc>
      </w:tr>
      <w:tr w:rsidR="000305DD" w:rsidRPr="00F24972" w14:paraId="639957EA" w14:textId="77777777" w:rsidTr="00FA340F">
        <w:trPr>
          <w:cantSplit/>
        </w:trPr>
        <w:tc>
          <w:tcPr>
            <w:tcW w:w="1733" w:type="dxa"/>
            <w:vMerge/>
            <w:tcBorders>
              <w:left w:val="single" w:sz="4" w:space="0" w:color="auto"/>
              <w:bottom w:val="single" w:sz="4" w:space="0" w:color="auto"/>
              <w:right w:val="single" w:sz="4" w:space="0" w:color="auto"/>
            </w:tcBorders>
          </w:tcPr>
          <w:p w14:paraId="3F7B9E00"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04694098" w14:textId="77777777" w:rsidR="000305DD" w:rsidRPr="00F24972" w:rsidRDefault="000305DD" w:rsidP="000305DD">
            <w:pPr>
              <w:pStyle w:val="TableText"/>
              <w:rPr>
                <w:rFonts w:cs="Arial"/>
              </w:rPr>
            </w:pPr>
            <w:r>
              <w:rPr>
                <w:rFonts w:cs="Arial"/>
              </w:rPr>
              <w:t>Invalidate Patient Testing, DAT</w:t>
            </w:r>
          </w:p>
        </w:tc>
        <w:tc>
          <w:tcPr>
            <w:tcW w:w="1080" w:type="dxa"/>
            <w:tcBorders>
              <w:top w:val="single" w:sz="4" w:space="0" w:color="auto"/>
              <w:left w:val="single" w:sz="4" w:space="0" w:color="auto"/>
              <w:bottom w:val="single" w:sz="4" w:space="0" w:color="auto"/>
              <w:right w:val="single" w:sz="4" w:space="0" w:color="auto"/>
            </w:tcBorders>
          </w:tcPr>
          <w:p w14:paraId="54DFAB7C"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3C28A97"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794B94D3" w14:textId="77777777" w:rsidR="000305DD" w:rsidRPr="00F24972" w:rsidRDefault="000305DD" w:rsidP="000305DD">
            <w:pPr>
              <w:pStyle w:val="TableText"/>
              <w:rPr>
                <w:rFonts w:cs="Arial"/>
              </w:rPr>
            </w:pPr>
            <w:r w:rsidRPr="00F24972">
              <w:rPr>
                <w:rFonts w:cs="Arial"/>
              </w:rPr>
              <w:t xml:space="preserve">Accrue workload when a completed DAT, PS, IgG, or Comp is invalidated. </w:t>
            </w:r>
          </w:p>
        </w:tc>
      </w:tr>
      <w:tr w:rsidR="000305DD" w:rsidRPr="00F24972" w14:paraId="0AF74FF5" w14:textId="77777777" w:rsidTr="00FA340F">
        <w:trPr>
          <w:cantSplit/>
        </w:trPr>
        <w:tc>
          <w:tcPr>
            <w:tcW w:w="1733" w:type="dxa"/>
            <w:vMerge w:val="restart"/>
            <w:tcBorders>
              <w:top w:val="single" w:sz="4" w:space="0" w:color="auto"/>
              <w:left w:val="single" w:sz="4" w:space="0" w:color="auto"/>
              <w:right w:val="single" w:sz="4" w:space="0" w:color="auto"/>
            </w:tcBorders>
          </w:tcPr>
          <w:p w14:paraId="0CCE9031" w14:textId="77777777" w:rsidR="000305DD" w:rsidRPr="00F24972" w:rsidRDefault="000305DD" w:rsidP="000305DD">
            <w:pPr>
              <w:pStyle w:val="TableText"/>
              <w:rPr>
                <w:rFonts w:cs="Arial"/>
              </w:rPr>
            </w:pPr>
            <w:r w:rsidRPr="00F24972">
              <w:rPr>
                <w:rFonts w:cs="Arial"/>
              </w:rPr>
              <w:t>Direct Antiglobulin Test (DAT) Repeat test</w:t>
            </w:r>
          </w:p>
        </w:tc>
        <w:tc>
          <w:tcPr>
            <w:tcW w:w="1592" w:type="dxa"/>
            <w:tcBorders>
              <w:top w:val="single" w:sz="4" w:space="0" w:color="auto"/>
              <w:left w:val="single" w:sz="4" w:space="0" w:color="auto"/>
              <w:bottom w:val="single" w:sz="4" w:space="0" w:color="auto"/>
              <w:right w:val="single" w:sz="4" w:space="0" w:color="auto"/>
            </w:tcBorders>
          </w:tcPr>
          <w:p w14:paraId="6B7E55A8" w14:textId="77777777" w:rsidR="000305DD" w:rsidRPr="00F24972" w:rsidRDefault="000305DD" w:rsidP="000305DD">
            <w:pPr>
              <w:pStyle w:val="TableText"/>
              <w:rPr>
                <w:rFonts w:cs="Arial"/>
              </w:rPr>
            </w:pPr>
            <w:r>
              <w:rPr>
                <w:rFonts w:cs="Arial"/>
              </w:rPr>
              <w:t>Patient Testing, DAT</w:t>
            </w:r>
          </w:p>
        </w:tc>
        <w:tc>
          <w:tcPr>
            <w:tcW w:w="1080" w:type="dxa"/>
            <w:tcBorders>
              <w:top w:val="single" w:sz="4" w:space="0" w:color="auto"/>
              <w:left w:val="single" w:sz="4" w:space="0" w:color="auto"/>
              <w:bottom w:val="single" w:sz="4" w:space="0" w:color="auto"/>
              <w:right w:val="single" w:sz="4" w:space="0" w:color="auto"/>
            </w:tcBorders>
          </w:tcPr>
          <w:p w14:paraId="68A8EE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3C59CE5"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3F20DCA7" w14:textId="77777777" w:rsidR="000305DD" w:rsidRPr="00F24972" w:rsidRDefault="000305DD" w:rsidP="000305DD">
            <w:pPr>
              <w:pStyle w:val="TableText"/>
              <w:rPr>
                <w:rFonts w:cs="Arial"/>
              </w:rPr>
            </w:pPr>
            <w:r w:rsidRPr="00F24972">
              <w:rPr>
                <w:rFonts w:cs="Arial"/>
              </w:rPr>
              <w:t xml:space="preserve">Accrue workload when a reflex or repeat DAT test is performed, completed and saved via </w:t>
            </w:r>
            <w:r>
              <w:rPr>
                <w:rFonts w:cs="Arial"/>
              </w:rPr>
              <w:t>Record Testing</w:t>
            </w:r>
            <w:r w:rsidRPr="00F24972">
              <w:rPr>
                <w:rFonts w:cs="Arial"/>
              </w:rPr>
              <w:t>. This applies to</w:t>
            </w:r>
            <w:r>
              <w:rPr>
                <w:rFonts w:cs="Arial"/>
              </w:rPr>
              <w:t xml:space="preserve"> </w:t>
            </w:r>
            <w:r w:rsidRPr="00F24972">
              <w:rPr>
                <w:rFonts w:cs="Arial"/>
              </w:rPr>
              <w:t>all repeat antiglobulin tests (PS, IgG, Comp)</w:t>
            </w:r>
          </w:p>
          <w:p w14:paraId="6ABDB5E0" w14:textId="77777777" w:rsidR="000305DD" w:rsidRPr="00F24972" w:rsidRDefault="000305DD" w:rsidP="000305DD">
            <w:pPr>
              <w:pStyle w:val="TableText"/>
              <w:rPr>
                <w:rFonts w:cs="Arial"/>
              </w:rPr>
            </w:pPr>
            <w:r w:rsidRPr="00F24972">
              <w:rPr>
                <w:rFonts w:cs="Arial"/>
              </w:rPr>
              <w:t xml:space="preserve">Note: Any DAT ordered in </w:t>
            </w:r>
            <w:r>
              <w:rPr>
                <w:rFonts w:cs="Arial"/>
              </w:rPr>
              <w:t>Order Reflex Test</w:t>
            </w:r>
            <w:r w:rsidRPr="00F24972">
              <w:rPr>
                <w:rFonts w:cs="Arial"/>
              </w:rPr>
              <w:t xml:space="preserve"> from main menu or via use of </w:t>
            </w:r>
            <w:r>
              <w:rPr>
                <w:rFonts w:cs="Arial"/>
              </w:rPr>
              <w:t>Order Reflex Test</w:t>
            </w:r>
            <w:r w:rsidRPr="00F24972">
              <w:rPr>
                <w:rFonts w:cs="Arial"/>
              </w:rPr>
              <w:t xml:space="preserve"> from </w:t>
            </w:r>
            <w:r>
              <w:rPr>
                <w:rFonts w:cs="Arial"/>
              </w:rPr>
              <w:t>Record Testing</w:t>
            </w:r>
            <w:r w:rsidRPr="00F24972">
              <w:rPr>
                <w:rFonts w:cs="Arial"/>
              </w:rPr>
              <w:t>.</w:t>
            </w:r>
          </w:p>
        </w:tc>
      </w:tr>
      <w:tr w:rsidR="000305DD" w:rsidRPr="00F24972" w14:paraId="22667D2F" w14:textId="77777777" w:rsidTr="00FA340F">
        <w:trPr>
          <w:cantSplit/>
        </w:trPr>
        <w:tc>
          <w:tcPr>
            <w:tcW w:w="1733" w:type="dxa"/>
            <w:vMerge/>
            <w:tcBorders>
              <w:left w:val="single" w:sz="4" w:space="0" w:color="auto"/>
              <w:bottom w:val="single" w:sz="4" w:space="0" w:color="auto"/>
              <w:right w:val="single" w:sz="4" w:space="0" w:color="auto"/>
            </w:tcBorders>
          </w:tcPr>
          <w:p w14:paraId="4CC32DF7"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76C72CE7" w14:textId="77777777" w:rsidR="000305DD" w:rsidRPr="00F24972" w:rsidRDefault="000305DD" w:rsidP="000305DD">
            <w:pPr>
              <w:pStyle w:val="TableText"/>
              <w:rPr>
                <w:rFonts w:cs="Arial"/>
              </w:rPr>
            </w:pPr>
            <w:r>
              <w:rPr>
                <w:rFonts w:cs="Arial"/>
              </w:rPr>
              <w:t>Invalidate Patient Testing, DAT</w:t>
            </w:r>
          </w:p>
        </w:tc>
        <w:tc>
          <w:tcPr>
            <w:tcW w:w="1080" w:type="dxa"/>
            <w:tcBorders>
              <w:top w:val="single" w:sz="4" w:space="0" w:color="auto"/>
              <w:left w:val="single" w:sz="4" w:space="0" w:color="auto"/>
              <w:bottom w:val="single" w:sz="4" w:space="0" w:color="auto"/>
              <w:right w:val="single" w:sz="4" w:space="0" w:color="auto"/>
            </w:tcBorders>
          </w:tcPr>
          <w:p w14:paraId="52128165" w14:textId="77777777" w:rsidR="000305DD" w:rsidRPr="00F24972" w:rsidRDefault="000305DD" w:rsidP="000305DD">
            <w:pPr>
              <w:pStyle w:val="TableText"/>
              <w:rPr>
                <w:rFonts w:cs="Arial"/>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AFAD3B0"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7397D22A" w14:textId="77777777" w:rsidR="000305DD" w:rsidRPr="00F24972" w:rsidRDefault="000305DD" w:rsidP="000305DD">
            <w:pPr>
              <w:pStyle w:val="TableText"/>
              <w:rPr>
                <w:rFonts w:cs="Arial"/>
              </w:rPr>
            </w:pPr>
            <w:r w:rsidRPr="00F24972">
              <w:rPr>
                <w:rFonts w:cs="Arial"/>
              </w:rPr>
              <w:t>Accrue workload when a completed Repeat DAT, PS, IgG, or Comp is invalidated.</w:t>
            </w:r>
          </w:p>
        </w:tc>
      </w:tr>
      <w:tr w:rsidR="000305DD" w:rsidRPr="00F24972" w14:paraId="70B7BF4D" w14:textId="77777777" w:rsidTr="00FA340F">
        <w:trPr>
          <w:cantSplit/>
        </w:trPr>
        <w:tc>
          <w:tcPr>
            <w:tcW w:w="1733" w:type="dxa"/>
            <w:vMerge w:val="restart"/>
            <w:tcBorders>
              <w:top w:val="single" w:sz="4" w:space="0" w:color="auto"/>
              <w:left w:val="single" w:sz="4" w:space="0" w:color="auto"/>
              <w:right w:val="single" w:sz="4" w:space="0" w:color="auto"/>
            </w:tcBorders>
          </w:tcPr>
          <w:p w14:paraId="50DD4B84" w14:textId="77777777" w:rsidR="000305DD" w:rsidRPr="00F24972" w:rsidRDefault="000305DD" w:rsidP="000305DD">
            <w:pPr>
              <w:pStyle w:val="TableText"/>
              <w:rPr>
                <w:rFonts w:cs="Arial"/>
              </w:rPr>
            </w:pPr>
            <w:r w:rsidRPr="00F24972">
              <w:rPr>
                <w:rFonts w:cs="Arial"/>
              </w:rPr>
              <w:t>Deglycerolize unit</w:t>
            </w:r>
          </w:p>
        </w:tc>
        <w:tc>
          <w:tcPr>
            <w:tcW w:w="1592" w:type="dxa"/>
            <w:tcBorders>
              <w:top w:val="single" w:sz="4" w:space="0" w:color="auto"/>
              <w:left w:val="single" w:sz="4" w:space="0" w:color="auto"/>
              <w:bottom w:val="single" w:sz="4" w:space="0" w:color="auto"/>
              <w:right w:val="single" w:sz="4" w:space="0" w:color="auto"/>
            </w:tcBorders>
          </w:tcPr>
          <w:p w14:paraId="54A6DFD1" w14:textId="77777777" w:rsidR="000305DD" w:rsidRPr="00F24972" w:rsidRDefault="000305DD" w:rsidP="000305DD">
            <w:pPr>
              <w:pStyle w:val="TableText"/>
              <w:rPr>
                <w:rFonts w:cs="Arial"/>
              </w:rPr>
            </w:pPr>
            <w:r>
              <w:rPr>
                <w:rFonts w:cs="Arial"/>
              </w:rPr>
              <w:t>Modify Unit, Deglycerolize</w:t>
            </w:r>
          </w:p>
        </w:tc>
        <w:tc>
          <w:tcPr>
            <w:tcW w:w="1080" w:type="dxa"/>
            <w:tcBorders>
              <w:top w:val="single" w:sz="4" w:space="0" w:color="auto"/>
              <w:left w:val="single" w:sz="4" w:space="0" w:color="auto"/>
              <w:bottom w:val="single" w:sz="4" w:space="0" w:color="auto"/>
              <w:right w:val="single" w:sz="4" w:space="0" w:color="auto"/>
            </w:tcBorders>
          </w:tcPr>
          <w:p w14:paraId="20E53F1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15B28AAF"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7D7F24ED"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Deglycerolize.</w:t>
            </w:r>
          </w:p>
          <w:p w14:paraId="11B891A2"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2B8F5F7C" w14:textId="77777777" w:rsidTr="00FA340F">
        <w:trPr>
          <w:cantSplit/>
        </w:trPr>
        <w:tc>
          <w:tcPr>
            <w:tcW w:w="1733" w:type="dxa"/>
            <w:vMerge/>
            <w:tcBorders>
              <w:left w:val="single" w:sz="4" w:space="0" w:color="auto"/>
              <w:right w:val="single" w:sz="4" w:space="0" w:color="auto"/>
            </w:tcBorders>
          </w:tcPr>
          <w:p w14:paraId="5432E9CD" w14:textId="77777777" w:rsidR="000305DD" w:rsidRPr="00F24972" w:rsidRDefault="000305DD" w:rsidP="000305DD">
            <w:pPr>
              <w:pStyle w:val="TableText"/>
              <w:rPr>
                <w:rFonts w:cs="Arial"/>
              </w:rPr>
            </w:pPr>
          </w:p>
        </w:tc>
        <w:tc>
          <w:tcPr>
            <w:tcW w:w="1592" w:type="dxa"/>
            <w:tcBorders>
              <w:left w:val="single" w:sz="4" w:space="0" w:color="auto"/>
            </w:tcBorders>
          </w:tcPr>
          <w:p w14:paraId="40404EFD" w14:textId="77777777" w:rsidR="000305DD" w:rsidRPr="00F24972" w:rsidRDefault="000305DD" w:rsidP="000305DD">
            <w:pPr>
              <w:pStyle w:val="TableText"/>
              <w:rPr>
                <w:rFonts w:cs="Arial"/>
              </w:rPr>
            </w:pPr>
            <w:r>
              <w:rPr>
                <w:rFonts w:cs="Arial"/>
              </w:rPr>
              <w:t>Invalidate Unit Status, Deglycerolize</w:t>
            </w:r>
          </w:p>
        </w:tc>
        <w:tc>
          <w:tcPr>
            <w:tcW w:w="1080" w:type="dxa"/>
          </w:tcPr>
          <w:p w14:paraId="7E2320DD" w14:textId="77777777" w:rsidR="000305DD" w:rsidRPr="00F24972" w:rsidRDefault="000305DD" w:rsidP="000305DD">
            <w:pPr>
              <w:pStyle w:val="TableText"/>
              <w:rPr>
                <w:rFonts w:cs="Arial"/>
                <w:b/>
              </w:rPr>
            </w:pPr>
            <w:r w:rsidRPr="00F24972">
              <w:rPr>
                <w:rFonts w:cs="Arial"/>
                <w:b/>
              </w:rPr>
              <w:t>Negative</w:t>
            </w:r>
          </w:p>
        </w:tc>
        <w:tc>
          <w:tcPr>
            <w:tcW w:w="900" w:type="dxa"/>
          </w:tcPr>
          <w:p w14:paraId="24B0C023" w14:textId="77777777" w:rsidR="000305DD" w:rsidRPr="00F24972" w:rsidRDefault="000305DD" w:rsidP="000305DD">
            <w:pPr>
              <w:pStyle w:val="TableText"/>
              <w:jc w:val="center"/>
              <w:rPr>
                <w:rFonts w:cs="Arial"/>
              </w:rPr>
            </w:pPr>
            <w:r w:rsidRPr="00F24972">
              <w:rPr>
                <w:rFonts w:cs="Arial"/>
              </w:rPr>
              <w:t>U</w:t>
            </w:r>
          </w:p>
        </w:tc>
        <w:tc>
          <w:tcPr>
            <w:tcW w:w="4950" w:type="dxa"/>
          </w:tcPr>
          <w:p w14:paraId="2BC7D050"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Deglycerolize.</w:t>
            </w:r>
          </w:p>
        </w:tc>
      </w:tr>
      <w:tr w:rsidR="000305DD" w:rsidRPr="00F24972" w14:paraId="616C7583" w14:textId="77777777" w:rsidTr="00FA340F">
        <w:trPr>
          <w:cantSplit/>
        </w:trPr>
        <w:tc>
          <w:tcPr>
            <w:tcW w:w="1733" w:type="dxa"/>
            <w:vMerge w:val="restart"/>
          </w:tcPr>
          <w:p w14:paraId="364EEA65" w14:textId="77777777" w:rsidR="000305DD" w:rsidRPr="00F24972" w:rsidRDefault="000305DD" w:rsidP="000305DD">
            <w:pPr>
              <w:pStyle w:val="TableText"/>
              <w:rPr>
                <w:rFonts w:cs="Arial"/>
              </w:rPr>
            </w:pPr>
            <w:r w:rsidRPr="00F24972">
              <w:rPr>
                <w:rFonts w:cs="Arial"/>
              </w:rPr>
              <w:t>Discard unit</w:t>
            </w:r>
          </w:p>
        </w:tc>
        <w:tc>
          <w:tcPr>
            <w:tcW w:w="1592" w:type="dxa"/>
          </w:tcPr>
          <w:p w14:paraId="0C82F013" w14:textId="77777777" w:rsidR="000305DD" w:rsidRPr="00F24972" w:rsidRDefault="000305DD" w:rsidP="000305DD">
            <w:pPr>
              <w:pStyle w:val="TableText"/>
              <w:rPr>
                <w:rFonts w:cs="Arial"/>
              </w:rPr>
            </w:pPr>
            <w:r>
              <w:rPr>
                <w:rFonts w:cs="Arial"/>
              </w:rPr>
              <w:t>Discard Unit</w:t>
            </w:r>
          </w:p>
        </w:tc>
        <w:tc>
          <w:tcPr>
            <w:tcW w:w="1080" w:type="dxa"/>
          </w:tcPr>
          <w:p w14:paraId="1640B20A" w14:textId="77777777" w:rsidR="000305DD" w:rsidRPr="00F24972" w:rsidRDefault="000305DD" w:rsidP="000305DD">
            <w:pPr>
              <w:pStyle w:val="TableText"/>
              <w:rPr>
                <w:rFonts w:cs="Arial"/>
              </w:rPr>
            </w:pPr>
            <w:r w:rsidRPr="00F24972">
              <w:rPr>
                <w:rFonts w:cs="Arial"/>
              </w:rPr>
              <w:t>Positive</w:t>
            </w:r>
          </w:p>
        </w:tc>
        <w:tc>
          <w:tcPr>
            <w:tcW w:w="900" w:type="dxa"/>
          </w:tcPr>
          <w:p w14:paraId="4AFAF8C2" w14:textId="77777777" w:rsidR="000305DD" w:rsidRPr="00F24972" w:rsidRDefault="000305DD" w:rsidP="000305DD">
            <w:pPr>
              <w:pStyle w:val="TableText"/>
              <w:jc w:val="center"/>
              <w:rPr>
                <w:rFonts w:cs="Arial"/>
              </w:rPr>
            </w:pPr>
            <w:r w:rsidRPr="00F24972">
              <w:rPr>
                <w:rFonts w:cs="Arial"/>
              </w:rPr>
              <w:t>U</w:t>
            </w:r>
          </w:p>
        </w:tc>
        <w:tc>
          <w:tcPr>
            <w:tcW w:w="4950" w:type="dxa"/>
          </w:tcPr>
          <w:p w14:paraId="1925FD20" w14:textId="77777777" w:rsidR="000305DD" w:rsidRPr="00F24972" w:rsidRDefault="000305DD" w:rsidP="000305DD">
            <w:pPr>
              <w:pStyle w:val="TableText"/>
              <w:rPr>
                <w:rFonts w:cs="Arial"/>
              </w:rPr>
            </w:pPr>
            <w:r w:rsidRPr="00F24972">
              <w:rPr>
                <w:rFonts w:cs="Arial"/>
              </w:rPr>
              <w:t>Accrue workload when an individual blood unit’s status is invalided. When a batch of units is selected, each unit accrues workload.</w:t>
            </w:r>
          </w:p>
        </w:tc>
      </w:tr>
      <w:tr w:rsidR="000305DD" w:rsidRPr="00F24972" w14:paraId="2102AE6F" w14:textId="77777777" w:rsidTr="00FA340F">
        <w:trPr>
          <w:cantSplit/>
        </w:trPr>
        <w:tc>
          <w:tcPr>
            <w:tcW w:w="1733" w:type="dxa"/>
            <w:vMerge/>
            <w:tcBorders>
              <w:bottom w:val="single" w:sz="4" w:space="0" w:color="auto"/>
            </w:tcBorders>
          </w:tcPr>
          <w:p w14:paraId="18E507F8"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256F85B8" w14:textId="77777777" w:rsidR="000305DD" w:rsidRPr="00F24972" w:rsidRDefault="000305DD" w:rsidP="000305DD">
            <w:pPr>
              <w:pStyle w:val="TableText"/>
              <w:rPr>
                <w:rFonts w:cs="Arial"/>
              </w:rPr>
            </w:pPr>
            <w:r>
              <w:rPr>
                <w:rFonts w:cs="Arial"/>
              </w:rPr>
              <w:t>Invalidate Unit Status, Discard</w:t>
            </w:r>
          </w:p>
        </w:tc>
        <w:tc>
          <w:tcPr>
            <w:tcW w:w="1080" w:type="dxa"/>
            <w:tcBorders>
              <w:top w:val="single" w:sz="4" w:space="0" w:color="auto"/>
              <w:left w:val="single" w:sz="4" w:space="0" w:color="auto"/>
              <w:bottom w:val="single" w:sz="4" w:space="0" w:color="auto"/>
              <w:right w:val="single" w:sz="4" w:space="0" w:color="auto"/>
            </w:tcBorders>
          </w:tcPr>
          <w:p w14:paraId="4269A867"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A6E58F9"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6583554" w14:textId="77777777" w:rsidR="000305DD" w:rsidRPr="000409B0" w:rsidRDefault="000305DD" w:rsidP="000305DD">
            <w:pPr>
              <w:pStyle w:val="TableText"/>
              <w:rPr>
                <w:rFonts w:cs="Arial"/>
              </w:rPr>
            </w:pPr>
            <w:r w:rsidRPr="00F24972">
              <w:rPr>
                <w:rFonts w:cs="Arial"/>
              </w:rPr>
              <w:t>Accrue workload when a unit is discarded for waste or credit. When a batch of units is selected, each unit accrues workload.</w:t>
            </w:r>
          </w:p>
        </w:tc>
      </w:tr>
      <w:tr w:rsidR="000305DD" w:rsidRPr="00F24972" w14:paraId="4242259C" w14:textId="77777777" w:rsidTr="00FA340F">
        <w:trPr>
          <w:cantSplit/>
        </w:trPr>
        <w:tc>
          <w:tcPr>
            <w:tcW w:w="1733" w:type="dxa"/>
            <w:vMerge w:val="restart"/>
            <w:tcBorders>
              <w:top w:val="single" w:sz="4" w:space="0" w:color="auto"/>
              <w:left w:val="single" w:sz="4" w:space="0" w:color="auto"/>
              <w:right w:val="single" w:sz="4" w:space="0" w:color="auto"/>
            </w:tcBorders>
          </w:tcPr>
          <w:p w14:paraId="7EEAA6C5" w14:textId="77777777" w:rsidR="000305DD" w:rsidRPr="00F24972" w:rsidRDefault="000305DD" w:rsidP="000305DD">
            <w:pPr>
              <w:pStyle w:val="TableText"/>
              <w:rPr>
                <w:rFonts w:cs="Arial"/>
              </w:rPr>
            </w:pPr>
            <w:r w:rsidRPr="00F24972">
              <w:rPr>
                <w:rFonts w:cs="Arial"/>
              </w:rPr>
              <w:t>Freeze unit</w:t>
            </w:r>
          </w:p>
        </w:tc>
        <w:tc>
          <w:tcPr>
            <w:tcW w:w="1592" w:type="dxa"/>
            <w:tcBorders>
              <w:top w:val="single" w:sz="4" w:space="0" w:color="auto"/>
              <w:left w:val="single" w:sz="4" w:space="0" w:color="auto"/>
              <w:bottom w:val="single" w:sz="4" w:space="0" w:color="auto"/>
              <w:right w:val="single" w:sz="4" w:space="0" w:color="auto"/>
            </w:tcBorders>
          </w:tcPr>
          <w:p w14:paraId="0B0CDA97" w14:textId="77777777" w:rsidR="000305DD" w:rsidRPr="00F24972" w:rsidRDefault="000305DD" w:rsidP="000305DD">
            <w:pPr>
              <w:pStyle w:val="TableText"/>
              <w:rPr>
                <w:rFonts w:cs="Arial"/>
              </w:rPr>
            </w:pPr>
            <w:r>
              <w:rPr>
                <w:rFonts w:cs="Arial"/>
              </w:rPr>
              <w:t>Modify Unit, Freeze</w:t>
            </w:r>
          </w:p>
        </w:tc>
        <w:tc>
          <w:tcPr>
            <w:tcW w:w="1080" w:type="dxa"/>
            <w:tcBorders>
              <w:top w:val="single" w:sz="4" w:space="0" w:color="auto"/>
              <w:left w:val="single" w:sz="4" w:space="0" w:color="auto"/>
              <w:bottom w:val="single" w:sz="4" w:space="0" w:color="auto"/>
              <w:right w:val="single" w:sz="4" w:space="0" w:color="auto"/>
            </w:tcBorders>
          </w:tcPr>
          <w:p w14:paraId="072A92A0"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747A758"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62EB9CAE"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Freeze.</w:t>
            </w:r>
          </w:p>
          <w:p w14:paraId="03E6A485"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504067FC" w14:textId="77777777" w:rsidTr="00FA340F">
        <w:trPr>
          <w:cantSplit/>
        </w:trPr>
        <w:tc>
          <w:tcPr>
            <w:tcW w:w="1733" w:type="dxa"/>
            <w:vMerge/>
            <w:tcBorders>
              <w:left w:val="single" w:sz="4" w:space="0" w:color="auto"/>
              <w:bottom w:val="single" w:sz="4" w:space="0" w:color="auto"/>
              <w:right w:val="single" w:sz="4" w:space="0" w:color="auto"/>
            </w:tcBorders>
          </w:tcPr>
          <w:p w14:paraId="7EA99A59"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4B934FE0" w14:textId="77777777" w:rsidR="000305DD" w:rsidRPr="00F24972" w:rsidRDefault="000305DD" w:rsidP="000305DD">
            <w:pPr>
              <w:pStyle w:val="TableText"/>
              <w:rPr>
                <w:rFonts w:cs="Arial"/>
              </w:rPr>
            </w:pPr>
            <w:r>
              <w:rPr>
                <w:rFonts w:cs="Arial"/>
              </w:rPr>
              <w:t>Invalidate Unit Status, Freeze</w:t>
            </w:r>
          </w:p>
        </w:tc>
        <w:tc>
          <w:tcPr>
            <w:tcW w:w="1080" w:type="dxa"/>
            <w:tcBorders>
              <w:top w:val="single" w:sz="4" w:space="0" w:color="auto"/>
              <w:left w:val="single" w:sz="4" w:space="0" w:color="auto"/>
              <w:bottom w:val="single" w:sz="4" w:space="0" w:color="auto"/>
              <w:right w:val="single" w:sz="4" w:space="0" w:color="auto"/>
            </w:tcBorders>
          </w:tcPr>
          <w:p w14:paraId="6D6C34D7"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B340E98"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4720CC0A"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Freeze.</w:t>
            </w:r>
          </w:p>
        </w:tc>
      </w:tr>
      <w:tr w:rsidR="000305DD" w:rsidRPr="00F24972" w14:paraId="183AFB11" w14:textId="77777777" w:rsidTr="00FA340F">
        <w:trPr>
          <w:cantSplit/>
        </w:trPr>
        <w:tc>
          <w:tcPr>
            <w:tcW w:w="1733" w:type="dxa"/>
            <w:vMerge w:val="restart"/>
            <w:tcBorders>
              <w:top w:val="single" w:sz="4" w:space="0" w:color="auto"/>
              <w:left w:val="single" w:sz="4" w:space="0" w:color="auto"/>
              <w:right w:val="single" w:sz="4" w:space="0" w:color="auto"/>
            </w:tcBorders>
          </w:tcPr>
          <w:p w14:paraId="51E20BE8" w14:textId="77777777" w:rsidR="000305DD" w:rsidRPr="00F24972" w:rsidRDefault="000305DD" w:rsidP="000305DD">
            <w:pPr>
              <w:pStyle w:val="TableText"/>
              <w:rPr>
                <w:rFonts w:cs="Arial"/>
              </w:rPr>
            </w:pPr>
            <w:r w:rsidRPr="00F24972">
              <w:rPr>
                <w:rFonts w:cs="Arial"/>
              </w:rPr>
              <w:t>Irradiate unit</w:t>
            </w:r>
          </w:p>
        </w:tc>
        <w:tc>
          <w:tcPr>
            <w:tcW w:w="1592" w:type="dxa"/>
            <w:tcBorders>
              <w:top w:val="single" w:sz="4" w:space="0" w:color="auto"/>
              <w:left w:val="single" w:sz="4" w:space="0" w:color="auto"/>
              <w:bottom w:val="single" w:sz="4" w:space="0" w:color="auto"/>
              <w:right w:val="single" w:sz="4" w:space="0" w:color="auto"/>
            </w:tcBorders>
          </w:tcPr>
          <w:p w14:paraId="67EFA98E" w14:textId="77777777" w:rsidR="000305DD" w:rsidRPr="00F24972" w:rsidRDefault="000305DD" w:rsidP="000305DD">
            <w:pPr>
              <w:pStyle w:val="TableText"/>
              <w:rPr>
                <w:rFonts w:cs="Arial"/>
              </w:rPr>
            </w:pPr>
            <w:r>
              <w:rPr>
                <w:rFonts w:cs="Arial"/>
              </w:rPr>
              <w:t>Modify Unit, Irradiate</w:t>
            </w:r>
          </w:p>
        </w:tc>
        <w:tc>
          <w:tcPr>
            <w:tcW w:w="1080" w:type="dxa"/>
            <w:tcBorders>
              <w:top w:val="single" w:sz="4" w:space="0" w:color="auto"/>
              <w:left w:val="single" w:sz="4" w:space="0" w:color="auto"/>
              <w:bottom w:val="single" w:sz="4" w:space="0" w:color="auto"/>
              <w:right w:val="single" w:sz="4" w:space="0" w:color="auto"/>
            </w:tcBorders>
          </w:tcPr>
          <w:p w14:paraId="7048AA7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EC07711"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8A486F1"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Irradiate. When a batch of units is irradiated, each unit accrues workload.</w:t>
            </w:r>
          </w:p>
          <w:p w14:paraId="4AD99521"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3D8DE63E" w14:textId="77777777" w:rsidTr="00FA340F">
        <w:trPr>
          <w:cantSplit/>
        </w:trPr>
        <w:tc>
          <w:tcPr>
            <w:tcW w:w="1733" w:type="dxa"/>
            <w:vMerge/>
            <w:tcBorders>
              <w:left w:val="single" w:sz="4" w:space="0" w:color="auto"/>
              <w:right w:val="single" w:sz="4" w:space="0" w:color="auto"/>
            </w:tcBorders>
          </w:tcPr>
          <w:p w14:paraId="29BE7A1E" w14:textId="77777777" w:rsidR="000305DD" w:rsidRPr="00F24972" w:rsidRDefault="000305DD" w:rsidP="000305DD">
            <w:pPr>
              <w:pStyle w:val="TableText"/>
              <w:rPr>
                <w:rFonts w:cs="Arial"/>
              </w:rPr>
            </w:pPr>
          </w:p>
        </w:tc>
        <w:tc>
          <w:tcPr>
            <w:tcW w:w="1592" w:type="dxa"/>
            <w:tcBorders>
              <w:left w:val="single" w:sz="4" w:space="0" w:color="auto"/>
            </w:tcBorders>
          </w:tcPr>
          <w:p w14:paraId="0B5F9A8E" w14:textId="77777777" w:rsidR="000305DD" w:rsidRPr="00F24972" w:rsidRDefault="000305DD" w:rsidP="000305DD">
            <w:pPr>
              <w:pStyle w:val="TableText"/>
              <w:rPr>
                <w:rFonts w:cs="Arial"/>
              </w:rPr>
            </w:pPr>
            <w:r>
              <w:rPr>
                <w:rFonts w:cs="Arial"/>
              </w:rPr>
              <w:t>Invalidate Unit Status, Irradiate</w:t>
            </w:r>
          </w:p>
        </w:tc>
        <w:tc>
          <w:tcPr>
            <w:tcW w:w="1080" w:type="dxa"/>
          </w:tcPr>
          <w:p w14:paraId="6DB90244" w14:textId="77777777" w:rsidR="000305DD" w:rsidRPr="00F24972" w:rsidRDefault="000305DD" w:rsidP="000305DD">
            <w:pPr>
              <w:pStyle w:val="TableText"/>
              <w:rPr>
                <w:rFonts w:cs="Arial"/>
                <w:b/>
              </w:rPr>
            </w:pPr>
            <w:r w:rsidRPr="00F24972">
              <w:rPr>
                <w:rFonts w:cs="Arial"/>
                <w:b/>
              </w:rPr>
              <w:t>Negative</w:t>
            </w:r>
          </w:p>
        </w:tc>
        <w:tc>
          <w:tcPr>
            <w:tcW w:w="900" w:type="dxa"/>
          </w:tcPr>
          <w:p w14:paraId="6D98CBE2" w14:textId="77777777" w:rsidR="000305DD" w:rsidRPr="00F24972" w:rsidRDefault="000305DD" w:rsidP="000305DD">
            <w:pPr>
              <w:pStyle w:val="TableText"/>
              <w:jc w:val="center"/>
              <w:rPr>
                <w:rFonts w:cs="Arial"/>
              </w:rPr>
            </w:pPr>
            <w:r w:rsidRPr="00F24972">
              <w:rPr>
                <w:rFonts w:cs="Arial"/>
              </w:rPr>
              <w:t>U</w:t>
            </w:r>
          </w:p>
        </w:tc>
        <w:tc>
          <w:tcPr>
            <w:tcW w:w="4950" w:type="dxa"/>
          </w:tcPr>
          <w:p w14:paraId="19D28D92"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Irradiate.</w:t>
            </w:r>
          </w:p>
        </w:tc>
      </w:tr>
      <w:tr w:rsidR="000305DD" w:rsidRPr="00F24972" w14:paraId="57CB4E43" w14:textId="77777777" w:rsidTr="00FA340F">
        <w:trPr>
          <w:cantSplit/>
        </w:trPr>
        <w:tc>
          <w:tcPr>
            <w:tcW w:w="1733" w:type="dxa"/>
            <w:vMerge w:val="restart"/>
          </w:tcPr>
          <w:p w14:paraId="07C6A7F4" w14:textId="77777777" w:rsidR="000305DD" w:rsidRPr="00F24972" w:rsidRDefault="000305DD" w:rsidP="000305DD">
            <w:pPr>
              <w:pStyle w:val="TableText"/>
              <w:rPr>
                <w:rFonts w:cs="Arial"/>
              </w:rPr>
            </w:pPr>
            <w:r w:rsidRPr="00F24972">
              <w:rPr>
                <w:rFonts w:cs="Arial"/>
              </w:rPr>
              <w:t>Leukoreduce unit</w:t>
            </w:r>
          </w:p>
        </w:tc>
        <w:tc>
          <w:tcPr>
            <w:tcW w:w="1592" w:type="dxa"/>
          </w:tcPr>
          <w:p w14:paraId="6B25DD6E" w14:textId="77777777" w:rsidR="000305DD" w:rsidRPr="00F24972" w:rsidRDefault="000305DD" w:rsidP="000305DD">
            <w:pPr>
              <w:pStyle w:val="TableText"/>
              <w:rPr>
                <w:rFonts w:cs="Arial"/>
              </w:rPr>
            </w:pPr>
            <w:r>
              <w:rPr>
                <w:rFonts w:cs="Arial"/>
              </w:rPr>
              <w:t>Modify Unit, Leukoreduce</w:t>
            </w:r>
          </w:p>
        </w:tc>
        <w:tc>
          <w:tcPr>
            <w:tcW w:w="1080" w:type="dxa"/>
          </w:tcPr>
          <w:p w14:paraId="26ACC218" w14:textId="77777777" w:rsidR="000305DD" w:rsidRPr="00F24972" w:rsidRDefault="000305DD" w:rsidP="000305DD">
            <w:pPr>
              <w:pStyle w:val="TableText"/>
              <w:rPr>
                <w:rFonts w:cs="Arial"/>
              </w:rPr>
            </w:pPr>
            <w:r w:rsidRPr="00F24972">
              <w:rPr>
                <w:rFonts w:cs="Arial"/>
              </w:rPr>
              <w:t>Positive</w:t>
            </w:r>
          </w:p>
        </w:tc>
        <w:tc>
          <w:tcPr>
            <w:tcW w:w="900" w:type="dxa"/>
          </w:tcPr>
          <w:p w14:paraId="4C9ED362" w14:textId="77777777" w:rsidR="000305DD" w:rsidRPr="00F24972" w:rsidRDefault="000305DD" w:rsidP="000305DD">
            <w:pPr>
              <w:pStyle w:val="TableText"/>
              <w:jc w:val="center"/>
              <w:rPr>
                <w:rFonts w:cs="Arial"/>
              </w:rPr>
            </w:pPr>
            <w:r w:rsidRPr="00F24972">
              <w:rPr>
                <w:rFonts w:cs="Arial"/>
              </w:rPr>
              <w:t>U</w:t>
            </w:r>
          </w:p>
        </w:tc>
        <w:tc>
          <w:tcPr>
            <w:tcW w:w="4950" w:type="dxa"/>
          </w:tcPr>
          <w:p w14:paraId="04202714"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Leukoreduce.</w:t>
            </w:r>
          </w:p>
          <w:p w14:paraId="6087E0E3"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50155EC3" w14:textId="77777777" w:rsidTr="00FA340F">
        <w:trPr>
          <w:cantSplit/>
        </w:trPr>
        <w:tc>
          <w:tcPr>
            <w:tcW w:w="1733" w:type="dxa"/>
            <w:vMerge/>
            <w:tcBorders>
              <w:bottom w:val="single" w:sz="4" w:space="0" w:color="auto"/>
            </w:tcBorders>
          </w:tcPr>
          <w:p w14:paraId="2D864C76"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43028D5" w14:textId="77777777" w:rsidR="000305DD" w:rsidRPr="00F24972" w:rsidRDefault="000305DD" w:rsidP="000305DD">
            <w:pPr>
              <w:pStyle w:val="TableText"/>
              <w:rPr>
                <w:rFonts w:cs="Arial"/>
              </w:rPr>
            </w:pPr>
            <w:r>
              <w:rPr>
                <w:rFonts w:cs="Arial"/>
              </w:rPr>
              <w:t>Invalidate Unit Status, Leukoreduce</w:t>
            </w:r>
          </w:p>
        </w:tc>
        <w:tc>
          <w:tcPr>
            <w:tcW w:w="1080" w:type="dxa"/>
            <w:tcBorders>
              <w:top w:val="single" w:sz="4" w:space="0" w:color="auto"/>
              <w:left w:val="single" w:sz="4" w:space="0" w:color="auto"/>
              <w:bottom w:val="single" w:sz="4" w:space="0" w:color="auto"/>
              <w:right w:val="single" w:sz="4" w:space="0" w:color="auto"/>
            </w:tcBorders>
          </w:tcPr>
          <w:p w14:paraId="169B1E5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57E6BFF9"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4A5F964A"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Leukoreduce.</w:t>
            </w:r>
          </w:p>
        </w:tc>
      </w:tr>
      <w:tr w:rsidR="000305DD" w:rsidRPr="00F24972" w14:paraId="50C37565" w14:textId="77777777" w:rsidTr="00FA340F">
        <w:trPr>
          <w:cantSplit/>
        </w:trPr>
        <w:tc>
          <w:tcPr>
            <w:tcW w:w="1733" w:type="dxa"/>
            <w:vMerge w:val="restart"/>
          </w:tcPr>
          <w:p w14:paraId="5EE13C6C" w14:textId="77777777" w:rsidR="000305DD" w:rsidRPr="00F24972" w:rsidRDefault="000305DD" w:rsidP="000305DD">
            <w:pPr>
              <w:pStyle w:val="TableText"/>
              <w:rPr>
                <w:rFonts w:cs="Arial"/>
              </w:rPr>
            </w:pPr>
            <w:r w:rsidRPr="00F24972">
              <w:rPr>
                <w:rFonts w:cs="Arial"/>
              </w:rPr>
              <w:t>Split unit</w:t>
            </w:r>
          </w:p>
        </w:tc>
        <w:tc>
          <w:tcPr>
            <w:tcW w:w="1592" w:type="dxa"/>
          </w:tcPr>
          <w:p w14:paraId="01D7F66C" w14:textId="77777777" w:rsidR="000305DD" w:rsidRPr="00F24972" w:rsidRDefault="000305DD" w:rsidP="000305DD">
            <w:pPr>
              <w:pStyle w:val="TableText"/>
              <w:rPr>
                <w:rFonts w:cs="Arial"/>
              </w:rPr>
            </w:pPr>
            <w:r>
              <w:rPr>
                <w:rFonts w:cs="Arial"/>
              </w:rPr>
              <w:t>Modify Unit, Split</w:t>
            </w:r>
          </w:p>
        </w:tc>
        <w:tc>
          <w:tcPr>
            <w:tcW w:w="1080" w:type="dxa"/>
          </w:tcPr>
          <w:p w14:paraId="55153206" w14:textId="77777777" w:rsidR="000305DD" w:rsidRPr="00F24972" w:rsidRDefault="000305DD" w:rsidP="000305DD">
            <w:pPr>
              <w:pStyle w:val="TableText"/>
              <w:rPr>
                <w:rFonts w:cs="Arial"/>
              </w:rPr>
            </w:pPr>
            <w:r w:rsidRPr="00F24972">
              <w:rPr>
                <w:rFonts w:cs="Arial"/>
              </w:rPr>
              <w:t>Positive</w:t>
            </w:r>
          </w:p>
        </w:tc>
        <w:tc>
          <w:tcPr>
            <w:tcW w:w="900" w:type="dxa"/>
          </w:tcPr>
          <w:p w14:paraId="292CF124" w14:textId="77777777" w:rsidR="000305DD" w:rsidRPr="00F24972" w:rsidRDefault="000305DD" w:rsidP="000305DD">
            <w:pPr>
              <w:pStyle w:val="TableText"/>
              <w:jc w:val="center"/>
              <w:rPr>
                <w:rFonts w:cs="Arial"/>
              </w:rPr>
            </w:pPr>
            <w:r w:rsidRPr="00F24972">
              <w:rPr>
                <w:rFonts w:cs="Arial"/>
              </w:rPr>
              <w:t>U</w:t>
            </w:r>
          </w:p>
        </w:tc>
        <w:tc>
          <w:tcPr>
            <w:tcW w:w="4950" w:type="dxa"/>
          </w:tcPr>
          <w:p w14:paraId="3C2BBE35" w14:textId="77777777" w:rsidR="000305DD" w:rsidRPr="00F24972" w:rsidRDefault="000305DD" w:rsidP="000305DD">
            <w:pPr>
              <w:pStyle w:val="TableText"/>
              <w:rPr>
                <w:rFonts w:cs="Arial"/>
              </w:rPr>
            </w:pPr>
            <w:r w:rsidRPr="00F24972">
              <w:rPr>
                <w:rFonts w:cs="Arial"/>
              </w:rPr>
              <w:t>Accrue workload when a unit modification of Split and a single workload event is recorded regardless of the number of units created by the modification.</w:t>
            </w:r>
            <w:r w:rsidRPr="00F24972">
              <w:rPr>
                <w:rFonts w:cs="Arial"/>
                <w:i/>
              </w:rPr>
              <w:t xml:space="preserve"> </w:t>
            </w:r>
          </w:p>
          <w:p w14:paraId="752CBFB5" w14:textId="77777777" w:rsidR="000305DD" w:rsidRPr="00F24972" w:rsidRDefault="000305DD" w:rsidP="000305DD">
            <w:pPr>
              <w:pStyle w:val="TableText"/>
              <w:rPr>
                <w:i/>
                <w:iCs/>
              </w:rPr>
            </w:pPr>
            <w:r w:rsidRPr="00F24972">
              <w:rPr>
                <w:i/>
                <w:iCs/>
              </w:rPr>
              <w:t>Note: Workload is not accrued when a patient assignment is processed and VBECS releases all other patient assignments. Workload is not accrued when VBECS is required to quarantine the unit.</w:t>
            </w:r>
            <w:r w:rsidRPr="00F24972">
              <w:rPr>
                <w:rFonts w:cs="Arial"/>
                <w:i/>
              </w:rPr>
              <w:t xml:space="preserve"> Workload accrued by splitting is invalidated in</w:t>
            </w:r>
            <w:r>
              <w:rPr>
                <w:rFonts w:cs="Arial"/>
                <w:i/>
              </w:rPr>
              <w:t xml:space="preserve"> Remove Final Unit Status</w:t>
            </w:r>
            <w:r w:rsidRPr="00F24972">
              <w:rPr>
                <w:rFonts w:cs="Arial"/>
                <w:i/>
              </w:rPr>
              <w:t xml:space="preserve"> with the inactivation of the modification</w:t>
            </w:r>
          </w:p>
        </w:tc>
      </w:tr>
      <w:tr w:rsidR="000305DD" w:rsidRPr="00F24972" w14:paraId="40542C6F" w14:textId="77777777" w:rsidTr="00FA340F">
        <w:trPr>
          <w:cantSplit/>
        </w:trPr>
        <w:tc>
          <w:tcPr>
            <w:tcW w:w="1733" w:type="dxa"/>
            <w:vMerge/>
            <w:tcBorders>
              <w:bottom w:val="single" w:sz="4" w:space="0" w:color="auto"/>
            </w:tcBorders>
          </w:tcPr>
          <w:p w14:paraId="757B7A3B"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D0D21C5" w14:textId="77777777" w:rsidR="000305DD" w:rsidRPr="00F24972" w:rsidRDefault="000305DD" w:rsidP="000305DD">
            <w:pPr>
              <w:pStyle w:val="TableText"/>
              <w:rPr>
                <w:rFonts w:cs="Arial"/>
              </w:rPr>
            </w:pPr>
            <w:r>
              <w:rPr>
                <w:rFonts w:cs="Arial"/>
              </w:rPr>
              <w:t>Invalidate Unit Status, Split</w:t>
            </w:r>
          </w:p>
        </w:tc>
        <w:tc>
          <w:tcPr>
            <w:tcW w:w="1080" w:type="dxa"/>
            <w:tcBorders>
              <w:top w:val="single" w:sz="4" w:space="0" w:color="auto"/>
              <w:left w:val="single" w:sz="4" w:space="0" w:color="auto"/>
              <w:bottom w:val="single" w:sz="4" w:space="0" w:color="auto"/>
              <w:right w:val="single" w:sz="4" w:space="0" w:color="auto"/>
            </w:tcBorders>
          </w:tcPr>
          <w:p w14:paraId="1BD5519E"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1A8E613"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78F5247" w14:textId="77777777" w:rsidR="000305DD" w:rsidRPr="00F24972" w:rsidRDefault="000305DD" w:rsidP="000305DD">
            <w:pPr>
              <w:pStyle w:val="TableText"/>
              <w:rPr>
                <w:rFonts w:cs="Arial"/>
              </w:rPr>
            </w:pPr>
            <w:r w:rsidRPr="00F24972">
              <w:rPr>
                <w:rFonts w:cs="Arial"/>
              </w:rPr>
              <w:t>A Split Unit has its unit status invalidated. A single workload event is recorded regardless of the number of units originally created by the modification.</w:t>
            </w:r>
          </w:p>
        </w:tc>
      </w:tr>
      <w:tr w:rsidR="000305DD" w:rsidRPr="00F24972" w14:paraId="03FC875A" w14:textId="77777777" w:rsidTr="00FA340F">
        <w:trPr>
          <w:cantSplit/>
        </w:trPr>
        <w:tc>
          <w:tcPr>
            <w:tcW w:w="1733" w:type="dxa"/>
            <w:vMerge w:val="restart"/>
          </w:tcPr>
          <w:p w14:paraId="78397277" w14:textId="77777777" w:rsidR="000305DD" w:rsidRPr="00F24972" w:rsidRDefault="000305DD" w:rsidP="000305DD">
            <w:pPr>
              <w:pStyle w:val="TableText"/>
              <w:rPr>
                <w:rFonts w:cs="Arial"/>
              </w:rPr>
            </w:pPr>
            <w:r w:rsidRPr="00F24972">
              <w:rPr>
                <w:rFonts w:cs="Arial"/>
              </w:rPr>
              <w:t>Rejuvenate unit</w:t>
            </w:r>
          </w:p>
        </w:tc>
        <w:tc>
          <w:tcPr>
            <w:tcW w:w="1592" w:type="dxa"/>
          </w:tcPr>
          <w:p w14:paraId="4EE93EC2" w14:textId="77777777" w:rsidR="000305DD" w:rsidRPr="00F24972" w:rsidRDefault="000305DD" w:rsidP="000305DD">
            <w:pPr>
              <w:pStyle w:val="TableText"/>
              <w:rPr>
                <w:rFonts w:cs="Arial"/>
              </w:rPr>
            </w:pPr>
            <w:r>
              <w:rPr>
                <w:rFonts w:cs="Arial"/>
              </w:rPr>
              <w:t xml:space="preserve">Modify Unit, </w:t>
            </w:r>
            <w:r w:rsidRPr="00F24972">
              <w:rPr>
                <w:rFonts w:cs="Arial"/>
              </w:rPr>
              <w:t>Rejuvenate</w:t>
            </w:r>
          </w:p>
        </w:tc>
        <w:tc>
          <w:tcPr>
            <w:tcW w:w="1080" w:type="dxa"/>
          </w:tcPr>
          <w:p w14:paraId="6519784F" w14:textId="77777777" w:rsidR="000305DD" w:rsidRPr="00F24972" w:rsidRDefault="000305DD" w:rsidP="000305DD">
            <w:pPr>
              <w:pStyle w:val="TableText"/>
              <w:rPr>
                <w:rFonts w:cs="Arial"/>
              </w:rPr>
            </w:pPr>
            <w:r w:rsidRPr="00F24972">
              <w:rPr>
                <w:rFonts w:cs="Arial"/>
              </w:rPr>
              <w:t>Positive</w:t>
            </w:r>
          </w:p>
        </w:tc>
        <w:tc>
          <w:tcPr>
            <w:tcW w:w="900" w:type="dxa"/>
          </w:tcPr>
          <w:p w14:paraId="1D2954C1" w14:textId="77777777" w:rsidR="000305DD" w:rsidRPr="00F24972" w:rsidRDefault="000305DD" w:rsidP="000305DD">
            <w:pPr>
              <w:pStyle w:val="TableText"/>
              <w:jc w:val="center"/>
              <w:rPr>
                <w:rFonts w:cs="Arial"/>
              </w:rPr>
            </w:pPr>
            <w:r w:rsidRPr="00F24972">
              <w:rPr>
                <w:rFonts w:cs="Arial"/>
              </w:rPr>
              <w:t>U</w:t>
            </w:r>
          </w:p>
        </w:tc>
        <w:tc>
          <w:tcPr>
            <w:tcW w:w="4950" w:type="dxa"/>
          </w:tcPr>
          <w:p w14:paraId="55A532B9" w14:textId="77777777" w:rsidR="000305DD" w:rsidRPr="00F24972" w:rsidRDefault="000305DD" w:rsidP="000305DD">
            <w:pPr>
              <w:pStyle w:val="TableText"/>
              <w:rPr>
                <w:rFonts w:cs="Arial"/>
              </w:rPr>
            </w:pPr>
            <w:r w:rsidRPr="00F24972">
              <w:rPr>
                <w:rFonts w:cs="Arial"/>
              </w:rPr>
              <w:t xml:space="preserve">Accrue workload when an individual blood unit is processed by the modification type: Rejuvenate. </w:t>
            </w:r>
          </w:p>
          <w:p w14:paraId="3D97CF6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02B9E18E" w14:textId="77777777" w:rsidTr="00FA340F">
        <w:trPr>
          <w:cantSplit/>
        </w:trPr>
        <w:tc>
          <w:tcPr>
            <w:tcW w:w="1733" w:type="dxa"/>
            <w:vMerge/>
            <w:tcBorders>
              <w:bottom w:val="single" w:sz="4" w:space="0" w:color="auto"/>
            </w:tcBorders>
          </w:tcPr>
          <w:p w14:paraId="09E12E83" w14:textId="77777777" w:rsidR="000305DD" w:rsidRPr="00F24972" w:rsidRDefault="000305DD" w:rsidP="000305DD">
            <w:pPr>
              <w:pStyle w:val="TableText"/>
              <w:rPr>
                <w:rFonts w:cs="Arial"/>
              </w:rPr>
            </w:pPr>
          </w:p>
        </w:tc>
        <w:tc>
          <w:tcPr>
            <w:tcW w:w="1592" w:type="dxa"/>
            <w:tcBorders>
              <w:bottom w:val="single" w:sz="4" w:space="0" w:color="auto"/>
            </w:tcBorders>
          </w:tcPr>
          <w:p w14:paraId="1EC20E84" w14:textId="77777777" w:rsidR="000305DD" w:rsidRPr="00F24972" w:rsidRDefault="000305DD" w:rsidP="000305DD">
            <w:pPr>
              <w:pStyle w:val="TableText"/>
              <w:rPr>
                <w:rFonts w:cs="Arial"/>
              </w:rPr>
            </w:pPr>
            <w:r>
              <w:rPr>
                <w:rFonts w:cs="Arial"/>
              </w:rPr>
              <w:t xml:space="preserve">Invalidate Unit Status, </w:t>
            </w:r>
            <w:r w:rsidRPr="00F24972">
              <w:rPr>
                <w:rFonts w:cs="Arial"/>
              </w:rPr>
              <w:t>Rejuvenate</w:t>
            </w:r>
          </w:p>
        </w:tc>
        <w:tc>
          <w:tcPr>
            <w:tcW w:w="1080" w:type="dxa"/>
            <w:tcBorders>
              <w:bottom w:val="single" w:sz="4" w:space="0" w:color="auto"/>
            </w:tcBorders>
          </w:tcPr>
          <w:p w14:paraId="15B396E7" w14:textId="77777777" w:rsidR="000305DD" w:rsidRPr="00F24972" w:rsidRDefault="000305DD" w:rsidP="000305DD">
            <w:pPr>
              <w:pStyle w:val="TableText"/>
              <w:rPr>
                <w:rFonts w:cs="Arial"/>
                <w:b/>
              </w:rPr>
            </w:pPr>
            <w:r w:rsidRPr="00F24972">
              <w:rPr>
                <w:rFonts w:cs="Arial"/>
                <w:b/>
              </w:rPr>
              <w:t>Negative</w:t>
            </w:r>
          </w:p>
        </w:tc>
        <w:tc>
          <w:tcPr>
            <w:tcW w:w="900" w:type="dxa"/>
            <w:tcBorders>
              <w:bottom w:val="single" w:sz="4" w:space="0" w:color="auto"/>
            </w:tcBorders>
          </w:tcPr>
          <w:p w14:paraId="25B0D132" w14:textId="77777777" w:rsidR="000305DD" w:rsidRPr="00F24972" w:rsidRDefault="000305DD" w:rsidP="000305DD">
            <w:pPr>
              <w:pStyle w:val="TableText"/>
              <w:jc w:val="center"/>
              <w:rPr>
                <w:rFonts w:cs="Arial"/>
              </w:rPr>
            </w:pPr>
            <w:r w:rsidRPr="00F24972">
              <w:rPr>
                <w:rFonts w:cs="Arial"/>
              </w:rPr>
              <w:t>U</w:t>
            </w:r>
          </w:p>
        </w:tc>
        <w:tc>
          <w:tcPr>
            <w:tcW w:w="4950" w:type="dxa"/>
            <w:tcBorders>
              <w:bottom w:val="single" w:sz="4" w:space="0" w:color="auto"/>
            </w:tcBorders>
          </w:tcPr>
          <w:p w14:paraId="0B562443" w14:textId="77777777" w:rsidR="000305DD" w:rsidRPr="00F24972" w:rsidRDefault="000305DD" w:rsidP="000305DD">
            <w:pPr>
              <w:pStyle w:val="TableText"/>
              <w:rPr>
                <w:rFonts w:cs="Arial"/>
              </w:rPr>
            </w:pPr>
            <w:r w:rsidRPr="00F24972">
              <w:rPr>
                <w:rFonts w:cs="Arial"/>
              </w:rPr>
              <w:t xml:space="preserve">An individual blood unit’s status is invalided when the original modification process was Rejuvenate. </w:t>
            </w:r>
          </w:p>
        </w:tc>
      </w:tr>
      <w:tr w:rsidR="000305DD" w:rsidRPr="00F24972" w14:paraId="522C02AF" w14:textId="77777777" w:rsidTr="00FA340F">
        <w:trPr>
          <w:cantSplit/>
        </w:trPr>
        <w:tc>
          <w:tcPr>
            <w:tcW w:w="1733" w:type="dxa"/>
            <w:vMerge w:val="restart"/>
            <w:tcBorders>
              <w:top w:val="single" w:sz="4" w:space="0" w:color="auto"/>
              <w:left w:val="single" w:sz="4" w:space="0" w:color="auto"/>
              <w:right w:val="single" w:sz="4" w:space="0" w:color="auto"/>
            </w:tcBorders>
          </w:tcPr>
          <w:p w14:paraId="300EB571" w14:textId="77777777" w:rsidR="000305DD" w:rsidRPr="00F24972" w:rsidRDefault="000305DD" w:rsidP="000305DD">
            <w:pPr>
              <w:pStyle w:val="TableText"/>
              <w:rPr>
                <w:rFonts w:cs="Arial"/>
              </w:rPr>
            </w:pPr>
            <w:r w:rsidRPr="00F24972">
              <w:rPr>
                <w:rFonts w:cs="Arial"/>
              </w:rPr>
              <w:t xml:space="preserve">Thaw </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3F537403" w14:textId="77777777" w:rsidR="000305DD" w:rsidRPr="00F24972" w:rsidRDefault="000305DD" w:rsidP="000305DD">
            <w:pPr>
              <w:pStyle w:val="TableText"/>
              <w:rPr>
                <w:rFonts w:cs="Arial"/>
              </w:rPr>
            </w:pPr>
            <w:r>
              <w:rPr>
                <w:rFonts w:cs="Arial"/>
              </w:rPr>
              <w:t>Modify Unit, Thaw</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967E43"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B76D51D"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28DA8E48"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Thaw. When a batch of units is thawed, each unit accrues workload. This applies to Thaw FFP and Thaw Cryo.</w:t>
            </w:r>
          </w:p>
          <w:p w14:paraId="6391245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72D9B9BF" w14:textId="77777777" w:rsidTr="00FA340F">
        <w:trPr>
          <w:cantSplit/>
        </w:trPr>
        <w:tc>
          <w:tcPr>
            <w:tcW w:w="1733" w:type="dxa"/>
            <w:vMerge/>
            <w:tcBorders>
              <w:left w:val="single" w:sz="4" w:space="0" w:color="auto"/>
              <w:bottom w:val="single" w:sz="4" w:space="0" w:color="auto"/>
              <w:right w:val="single" w:sz="4" w:space="0" w:color="auto"/>
            </w:tcBorders>
          </w:tcPr>
          <w:p w14:paraId="7D6FCEAF"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45590AFB" w14:textId="77777777" w:rsidR="000305DD" w:rsidRPr="00F24972" w:rsidRDefault="000305DD" w:rsidP="000305DD">
            <w:pPr>
              <w:pStyle w:val="TableText"/>
              <w:rPr>
                <w:rFonts w:cs="Arial"/>
              </w:rPr>
            </w:pPr>
            <w:r>
              <w:rPr>
                <w:rFonts w:cs="Arial"/>
              </w:rPr>
              <w:t>Invalidate Unit Status, Thaw</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4071F52"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04941FE"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35755F67"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Thaw. This modification type is applicable to Thaw FFP and Thaw Cryo.</w:t>
            </w:r>
          </w:p>
        </w:tc>
      </w:tr>
      <w:tr w:rsidR="000305DD" w:rsidRPr="00F24972" w14:paraId="7963219B" w14:textId="77777777" w:rsidTr="00FA340F">
        <w:trPr>
          <w:cantSplit/>
        </w:trPr>
        <w:tc>
          <w:tcPr>
            <w:tcW w:w="1733" w:type="dxa"/>
            <w:vMerge w:val="restart"/>
            <w:tcBorders>
              <w:top w:val="single" w:sz="4" w:space="0" w:color="auto"/>
              <w:left w:val="single" w:sz="4" w:space="0" w:color="auto"/>
              <w:right w:val="single" w:sz="4" w:space="0" w:color="auto"/>
            </w:tcBorders>
          </w:tcPr>
          <w:p w14:paraId="25B7D198" w14:textId="77777777" w:rsidR="000305DD" w:rsidRPr="00F24972" w:rsidRDefault="000305DD" w:rsidP="000305DD">
            <w:pPr>
              <w:pStyle w:val="TableText"/>
              <w:rPr>
                <w:rFonts w:cs="Arial"/>
              </w:rPr>
            </w:pPr>
            <w:r w:rsidRPr="00F24972">
              <w:rPr>
                <w:rFonts w:cs="Arial"/>
              </w:rPr>
              <w:t>Wash unit</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17F07BC7" w14:textId="77777777" w:rsidR="000305DD" w:rsidRPr="00F24972" w:rsidRDefault="000305DD" w:rsidP="000305DD">
            <w:pPr>
              <w:pStyle w:val="TableText"/>
              <w:rPr>
                <w:rFonts w:cs="Arial"/>
              </w:rPr>
            </w:pPr>
            <w:r>
              <w:rPr>
                <w:rFonts w:cs="Arial"/>
              </w:rPr>
              <w:t>Modify Unit, Wash</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C946AC"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7A93C54"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627C487E"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Wash.</w:t>
            </w:r>
          </w:p>
          <w:p w14:paraId="54F5EBC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1B5A55BD" w14:textId="77777777" w:rsidTr="00FA340F">
        <w:trPr>
          <w:cantSplit/>
        </w:trPr>
        <w:tc>
          <w:tcPr>
            <w:tcW w:w="1733" w:type="dxa"/>
            <w:vMerge/>
            <w:tcBorders>
              <w:left w:val="single" w:sz="4" w:space="0" w:color="auto"/>
              <w:bottom w:val="single" w:sz="4" w:space="0" w:color="auto"/>
              <w:right w:val="single" w:sz="4" w:space="0" w:color="auto"/>
            </w:tcBorders>
          </w:tcPr>
          <w:p w14:paraId="6B0D4239"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76B27BEA" w14:textId="77777777" w:rsidR="000305DD" w:rsidRPr="00F24972" w:rsidRDefault="000305DD" w:rsidP="000305DD">
            <w:pPr>
              <w:pStyle w:val="TableText"/>
              <w:rPr>
                <w:rFonts w:cs="Arial"/>
              </w:rPr>
            </w:pPr>
            <w:r>
              <w:rPr>
                <w:rFonts w:cs="Arial"/>
              </w:rPr>
              <w:t>Invalidate Unit Status, Wash</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848BFE9"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9F729E1"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7A0E8D94"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Wash.</w:t>
            </w:r>
          </w:p>
        </w:tc>
      </w:tr>
      <w:tr w:rsidR="000305DD" w:rsidRPr="00F24972" w14:paraId="19B03F3F" w14:textId="77777777" w:rsidTr="00FA340F">
        <w:trPr>
          <w:cantSplit/>
        </w:trPr>
        <w:tc>
          <w:tcPr>
            <w:tcW w:w="1733" w:type="dxa"/>
            <w:vMerge w:val="restart"/>
            <w:tcBorders>
              <w:left w:val="single" w:sz="4" w:space="0" w:color="auto"/>
              <w:right w:val="single" w:sz="4" w:space="0" w:color="auto"/>
            </w:tcBorders>
          </w:tcPr>
          <w:p w14:paraId="7397E795" w14:textId="77777777" w:rsidR="000305DD" w:rsidRPr="00F24972" w:rsidRDefault="000305DD" w:rsidP="000305DD">
            <w:pPr>
              <w:pStyle w:val="TableText"/>
              <w:rPr>
                <w:rFonts w:cs="Arial"/>
              </w:rPr>
            </w:pPr>
            <w:r w:rsidRPr="00F24972">
              <w:rPr>
                <w:rFonts w:cs="Arial"/>
              </w:rPr>
              <w:lastRenderedPageBreak/>
              <w:t>Volume Reduce</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259C3A9D" w14:textId="77777777" w:rsidR="000305DD" w:rsidRPr="00F24972" w:rsidRDefault="000305DD" w:rsidP="000305DD">
            <w:pPr>
              <w:pStyle w:val="TableText"/>
              <w:rPr>
                <w:rFonts w:cs="Arial"/>
              </w:rPr>
            </w:pPr>
            <w:r>
              <w:rPr>
                <w:rFonts w:cs="Arial"/>
              </w:rPr>
              <w:t>Modify Unit, Volume Reduce</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8159B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E5AF87F"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02FC23A4"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Volume Reduce.</w:t>
            </w:r>
          </w:p>
          <w:p w14:paraId="1DEFF5AA"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1ECCEB72" w14:textId="77777777" w:rsidTr="00FA340F">
        <w:trPr>
          <w:cantSplit/>
        </w:trPr>
        <w:tc>
          <w:tcPr>
            <w:tcW w:w="1733" w:type="dxa"/>
            <w:vMerge/>
            <w:tcBorders>
              <w:left w:val="single" w:sz="4" w:space="0" w:color="auto"/>
              <w:bottom w:val="single" w:sz="4" w:space="0" w:color="auto"/>
              <w:right w:val="single" w:sz="4" w:space="0" w:color="auto"/>
            </w:tcBorders>
          </w:tcPr>
          <w:p w14:paraId="19771F1E"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09F18377" w14:textId="77777777" w:rsidR="000305DD" w:rsidRPr="00F24972" w:rsidRDefault="000305DD" w:rsidP="000305DD">
            <w:pPr>
              <w:pStyle w:val="TableText"/>
              <w:rPr>
                <w:rFonts w:cs="Arial"/>
              </w:rPr>
            </w:pPr>
            <w:r>
              <w:rPr>
                <w:rFonts w:cs="Arial"/>
              </w:rPr>
              <w:t>Invalidate Unit Status, Volume Reduce</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14D1D3D"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66758B1"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55C26C98"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Volume Reduce.</w:t>
            </w:r>
          </w:p>
        </w:tc>
      </w:tr>
      <w:tr w:rsidR="000305DD" w:rsidRPr="00F24972" w14:paraId="5337A1DF"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3671414B" w14:textId="77777777" w:rsidR="000305DD" w:rsidRPr="00F24972" w:rsidRDefault="000305DD" w:rsidP="000305DD">
            <w:pPr>
              <w:pStyle w:val="TableText"/>
              <w:rPr>
                <w:rFonts w:cs="Arial"/>
              </w:rPr>
            </w:pPr>
            <w:r w:rsidRPr="00F24972">
              <w:rPr>
                <w:rFonts w:cs="Arial"/>
              </w:rPr>
              <w:t>Issue unit</w:t>
            </w:r>
          </w:p>
        </w:tc>
        <w:tc>
          <w:tcPr>
            <w:tcW w:w="1592" w:type="dxa"/>
            <w:tcBorders>
              <w:top w:val="single" w:sz="4" w:space="0" w:color="auto"/>
              <w:left w:val="single" w:sz="4" w:space="0" w:color="auto"/>
              <w:bottom w:val="single" w:sz="4" w:space="0" w:color="auto"/>
              <w:right w:val="single" w:sz="4" w:space="0" w:color="auto"/>
            </w:tcBorders>
          </w:tcPr>
          <w:p w14:paraId="31E29BA9" w14:textId="77777777" w:rsidR="000305DD" w:rsidRPr="00F24972" w:rsidRDefault="000305DD" w:rsidP="000305DD">
            <w:pPr>
              <w:pStyle w:val="TableText"/>
              <w:rPr>
                <w:rFonts w:cs="Arial"/>
              </w:rPr>
            </w:pPr>
            <w:r>
              <w:rPr>
                <w:rFonts w:cs="Arial"/>
              </w:rPr>
              <w:t>Issue Blood Unit</w:t>
            </w:r>
          </w:p>
          <w:p w14:paraId="5D7A6BD3"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3C8757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F3FCDEE"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3DCBEC5E" w14:textId="77777777" w:rsidR="000305DD" w:rsidRPr="00F24972" w:rsidRDefault="000305DD" w:rsidP="000305DD">
            <w:pPr>
              <w:pStyle w:val="TableText"/>
              <w:rPr>
                <w:rFonts w:cs="Arial"/>
              </w:rPr>
            </w:pPr>
            <w:r w:rsidRPr="00F24972">
              <w:rPr>
                <w:rFonts w:cs="Arial"/>
              </w:rPr>
              <w:t>Accrue workload when a unit (row) is issued or is returned from issue to a patient. When a batch of units is processed, each unit invokes one workload process.</w:t>
            </w:r>
          </w:p>
        </w:tc>
      </w:tr>
      <w:tr w:rsidR="000305DD" w:rsidRPr="00F24972" w14:paraId="16800F1B" w14:textId="77777777" w:rsidTr="00FA340F">
        <w:trPr>
          <w:cantSplit/>
        </w:trPr>
        <w:tc>
          <w:tcPr>
            <w:tcW w:w="1733" w:type="dxa"/>
          </w:tcPr>
          <w:p w14:paraId="1849CC0B" w14:textId="77777777" w:rsidR="000305DD" w:rsidRPr="00F24972" w:rsidRDefault="000305DD" w:rsidP="000305DD">
            <w:pPr>
              <w:pStyle w:val="TableText"/>
              <w:rPr>
                <w:rFonts w:cs="Arial"/>
                <w:color w:val="3366FF"/>
              </w:rPr>
            </w:pPr>
            <w:r w:rsidRPr="00F24972">
              <w:rPr>
                <w:rFonts w:cs="Arial"/>
              </w:rPr>
              <w:t>Justification</w:t>
            </w:r>
          </w:p>
        </w:tc>
        <w:tc>
          <w:tcPr>
            <w:tcW w:w="1592" w:type="dxa"/>
          </w:tcPr>
          <w:p w14:paraId="62258847" w14:textId="77777777" w:rsidR="000305DD" w:rsidRPr="00F24972" w:rsidRDefault="000305DD" w:rsidP="000305DD">
            <w:pPr>
              <w:pStyle w:val="TableText"/>
              <w:rPr>
                <w:rFonts w:cs="Arial"/>
                <w:snapToGrid w:val="0"/>
              </w:rPr>
            </w:pPr>
            <w:r>
              <w:rPr>
                <w:rFonts w:cs="Arial"/>
                <w:snapToGrid w:val="0"/>
              </w:rPr>
              <w:t>Justify ABO/Rh Change</w:t>
            </w:r>
          </w:p>
        </w:tc>
        <w:tc>
          <w:tcPr>
            <w:tcW w:w="1080" w:type="dxa"/>
          </w:tcPr>
          <w:p w14:paraId="54E9F42B" w14:textId="77777777" w:rsidR="000305DD" w:rsidRPr="00F24972" w:rsidRDefault="000305DD" w:rsidP="000305DD">
            <w:pPr>
              <w:pStyle w:val="TableText"/>
              <w:rPr>
                <w:rFonts w:cs="Arial"/>
              </w:rPr>
            </w:pPr>
            <w:r w:rsidRPr="00F24972">
              <w:rPr>
                <w:rFonts w:cs="Arial"/>
              </w:rPr>
              <w:t>Positive</w:t>
            </w:r>
          </w:p>
        </w:tc>
        <w:tc>
          <w:tcPr>
            <w:tcW w:w="900" w:type="dxa"/>
          </w:tcPr>
          <w:p w14:paraId="2E48F070" w14:textId="77777777" w:rsidR="000305DD" w:rsidRPr="00F24972" w:rsidRDefault="000305DD" w:rsidP="000305DD">
            <w:pPr>
              <w:pStyle w:val="TableText"/>
              <w:jc w:val="center"/>
              <w:rPr>
                <w:rFonts w:cs="Arial"/>
              </w:rPr>
            </w:pPr>
            <w:r w:rsidRPr="00F24972">
              <w:rPr>
                <w:rFonts w:cs="Arial"/>
              </w:rPr>
              <w:t>M</w:t>
            </w:r>
          </w:p>
        </w:tc>
        <w:tc>
          <w:tcPr>
            <w:tcW w:w="4950" w:type="dxa"/>
          </w:tcPr>
          <w:p w14:paraId="3F3CB1DC" w14:textId="77777777" w:rsidR="000305DD" w:rsidRPr="00F24972" w:rsidRDefault="000305DD" w:rsidP="000305DD">
            <w:pPr>
              <w:pStyle w:val="TableText"/>
              <w:rPr>
                <w:rFonts w:cs="Arial"/>
              </w:rPr>
            </w:pPr>
            <w:r w:rsidRPr="00F24972">
              <w:rPr>
                <w:rFonts w:cs="Arial"/>
              </w:rPr>
              <w:t>Workload is accrued when a patient’s ABO or Rh typing is justified.</w:t>
            </w:r>
            <w:r>
              <w:rPr>
                <w:rFonts w:cs="Arial"/>
              </w:rPr>
              <w:t xml:space="preserve"> </w:t>
            </w:r>
            <w:r w:rsidRPr="00F24972">
              <w:rPr>
                <w:rFonts w:cs="Arial"/>
              </w:rPr>
              <w:t>One workload event per patient justification.</w:t>
            </w:r>
          </w:p>
        </w:tc>
      </w:tr>
      <w:tr w:rsidR="000305DD" w:rsidRPr="00F24972" w14:paraId="5AB29901" w14:textId="77777777" w:rsidTr="00FA340F">
        <w:trPr>
          <w:cantSplit/>
        </w:trPr>
        <w:tc>
          <w:tcPr>
            <w:tcW w:w="1733" w:type="dxa"/>
          </w:tcPr>
          <w:p w14:paraId="49D02B8A" w14:textId="77777777" w:rsidR="000305DD" w:rsidRPr="00F24972" w:rsidRDefault="000305DD" w:rsidP="000305DD">
            <w:pPr>
              <w:pStyle w:val="TableText"/>
              <w:rPr>
                <w:rFonts w:cs="Arial"/>
              </w:rPr>
            </w:pPr>
            <w:r w:rsidRPr="00F24972">
              <w:rPr>
                <w:rFonts w:cs="Arial"/>
              </w:rPr>
              <w:t>Login Equipment</w:t>
            </w:r>
          </w:p>
        </w:tc>
        <w:tc>
          <w:tcPr>
            <w:tcW w:w="1592" w:type="dxa"/>
          </w:tcPr>
          <w:p w14:paraId="522337D4" w14:textId="77777777" w:rsidR="000305DD" w:rsidRPr="00F24972" w:rsidRDefault="000305DD" w:rsidP="000305DD">
            <w:pPr>
              <w:pStyle w:val="TableText"/>
              <w:rPr>
                <w:rFonts w:cs="Arial"/>
              </w:rPr>
            </w:pPr>
            <w:r>
              <w:rPr>
                <w:rFonts w:cs="Arial"/>
                <w:snapToGrid w:val="0"/>
              </w:rPr>
              <w:t>Equipment, Login</w:t>
            </w:r>
            <w:r w:rsidRPr="00F24972">
              <w:rPr>
                <w:rFonts w:cs="Arial"/>
                <w:snapToGrid w:val="0"/>
              </w:rPr>
              <w:t xml:space="preserve"> </w:t>
            </w:r>
          </w:p>
        </w:tc>
        <w:tc>
          <w:tcPr>
            <w:tcW w:w="1080" w:type="dxa"/>
          </w:tcPr>
          <w:p w14:paraId="2C21B308" w14:textId="77777777" w:rsidR="000305DD" w:rsidRPr="00F24972" w:rsidRDefault="000305DD" w:rsidP="000305DD">
            <w:pPr>
              <w:pStyle w:val="TableText"/>
              <w:rPr>
                <w:rFonts w:cs="Arial"/>
              </w:rPr>
            </w:pPr>
            <w:r w:rsidRPr="00F24972">
              <w:rPr>
                <w:rFonts w:cs="Arial"/>
              </w:rPr>
              <w:t>Positive</w:t>
            </w:r>
          </w:p>
        </w:tc>
        <w:tc>
          <w:tcPr>
            <w:tcW w:w="900" w:type="dxa"/>
          </w:tcPr>
          <w:p w14:paraId="23DE0CC7" w14:textId="77777777" w:rsidR="000305DD" w:rsidRPr="00F24972" w:rsidRDefault="000305DD" w:rsidP="000305DD">
            <w:pPr>
              <w:pStyle w:val="TableText"/>
              <w:jc w:val="center"/>
              <w:rPr>
                <w:rFonts w:cs="Arial"/>
              </w:rPr>
            </w:pPr>
            <w:r w:rsidRPr="00F24972">
              <w:rPr>
                <w:rFonts w:cs="Arial"/>
              </w:rPr>
              <w:t>M</w:t>
            </w:r>
          </w:p>
        </w:tc>
        <w:tc>
          <w:tcPr>
            <w:tcW w:w="4950" w:type="dxa"/>
          </w:tcPr>
          <w:p w14:paraId="189D0417" w14:textId="77777777" w:rsidR="000305DD" w:rsidRPr="00F24972" w:rsidRDefault="000305DD" w:rsidP="000305DD">
            <w:pPr>
              <w:pStyle w:val="TableText"/>
              <w:rPr>
                <w:rFonts w:cs="Arial"/>
              </w:rPr>
            </w:pPr>
            <w:r w:rsidRPr="00F24972">
              <w:rPr>
                <w:rFonts w:cs="Arial"/>
              </w:rPr>
              <w:t>Accrue workload when a lot number of any type of equipment is logged into the system.</w:t>
            </w:r>
            <w:r>
              <w:rPr>
                <w:rFonts w:cs="Arial"/>
              </w:rPr>
              <w:t xml:space="preserve"> </w:t>
            </w:r>
          </w:p>
        </w:tc>
      </w:tr>
      <w:tr w:rsidR="000305DD" w:rsidRPr="00F24972" w14:paraId="0205DC5A" w14:textId="77777777" w:rsidTr="00FA340F">
        <w:trPr>
          <w:cantSplit/>
        </w:trPr>
        <w:tc>
          <w:tcPr>
            <w:tcW w:w="1733" w:type="dxa"/>
          </w:tcPr>
          <w:p w14:paraId="10A4B37A" w14:textId="77777777" w:rsidR="000305DD" w:rsidRPr="00F24972" w:rsidRDefault="000305DD" w:rsidP="000305DD">
            <w:pPr>
              <w:pStyle w:val="TableText"/>
              <w:rPr>
                <w:rFonts w:cs="Arial"/>
              </w:rPr>
            </w:pPr>
            <w:r w:rsidRPr="00F24972">
              <w:rPr>
                <w:rFonts w:cs="Arial"/>
              </w:rPr>
              <w:t>Login Reagent</w:t>
            </w:r>
          </w:p>
        </w:tc>
        <w:tc>
          <w:tcPr>
            <w:tcW w:w="1592" w:type="dxa"/>
          </w:tcPr>
          <w:p w14:paraId="19860951" w14:textId="77777777" w:rsidR="000305DD" w:rsidRPr="00F24972" w:rsidRDefault="000305DD" w:rsidP="000305DD">
            <w:pPr>
              <w:pStyle w:val="TableText"/>
              <w:rPr>
                <w:rFonts w:cs="Arial"/>
              </w:rPr>
            </w:pPr>
            <w:r>
              <w:rPr>
                <w:rFonts w:cs="Arial"/>
                <w:snapToGrid w:val="0"/>
              </w:rPr>
              <w:t>Reagent, Login</w:t>
            </w:r>
            <w:r w:rsidRPr="00F24972">
              <w:rPr>
                <w:rFonts w:cs="Arial"/>
                <w:snapToGrid w:val="0"/>
              </w:rPr>
              <w:t xml:space="preserve"> </w:t>
            </w:r>
          </w:p>
        </w:tc>
        <w:tc>
          <w:tcPr>
            <w:tcW w:w="1080" w:type="dxa"/>
          </w:tcPr>
          <w:p w14:paraId="46203288" w14:textId="77777777" w:rsidR="000305DD" w:rsidRPr="00F24972" w:rsidRDefault="000305DD" w:rsidP="000305DD">
            <w:pPr>
              <w:pStyle w:val="TableText"/>
              <w:rPr>
                <w:rFonts w:cs="Arial"/>
              </w:rPr>
            </w:pPr>
            <w:r w:rsidRPr="00F24972">
              <w:rPr>
                <w:rFonts w:cs="Arial"/>
              </w:rPr>
              <w:t>Positive</w:t>
            </w:r>
          </w:p>
        </w:tc>
        <w:tc>
          <w:tcPr>
            <w:tcW w:w="900" w:type="dxa"/>
          </w:tcPr>
          <w:p w14:paraId="5C3F5788" w14:textId="77777777" w:rsidR="000305DD" w:rsidRPr="00F24972" w:rsidRDefault="000305DD" w:rsidP="000305DD">
            <w:pPr>
              <w:pStyle w:val="TableText"/>
              <w:jc w:val="center"/>
              <w:rPr>
                <w:rFonts w:cs="Arial"/>
              </w:rPr>
            </w:pPr>
            <w:r w:rsidRPr="00F24972">
              <w:rPr>
                <w:rFonts w:cs="Arial"/>
              </w:rPr>
              <w:t>M</w:t>
            </w:r>
          </w:p>
        </w:tc>
        <w:tc>
          <w:tcPr>
            <w:tcW w:w="4950" w:type="dxa"/>
          </w:tcPr>
          <w:p w14:paraId="050DEB3B" w14:textId="77777777" w:rsidR="000305DD" w:rsidRPr="00F24972" w:rsidRDefault="000305DD" w:rsidP="000305DD">
            <w:pPr>
              <w:pStyle w:val="TableText"/>
              <w:rPr>
                <w:rFonts w:cs="Arial"/>
              </w:rPr>
            </w:pPr>
            <w:r w:rsidRPr="00F24972">
              <w:rPr>
                <w:rFonts w:cs="Arial"/>
              </w:rPr>
              <w:t>Accrue workload when a lot number of any type of reagent is logged into the system.</w:t>
            </w:r>
            <w:r>
              <w:rPr>
                <w:rFonts w:cs="Arial"/>
              </w:rPr>
              <w:t xml:space="preserve"> </w:t>
            </w:r>
            <w:r w:rsidRPr="00F24972">
              <w:rPr>
                <w:rFonts w:cs="Arial"/>
              </w:rPr>
              <w:t>When multiple lot numbers are processed in a batch, each lot number’s workload is counted.</w:t>
            </w:r>
          </w:p>
        </w:tc>
      </w:tr>
      <w:tr w:rsidR="000305DD" w:rsidRPr="00F24972" w14:paraId="4D59824B" w14:textId="77777777" w:rsidTr="00FA340F">
        <w:trPr>
          <w:cantSplit/>
        </w:trPr>
        <w:tc>
          <w:tcPr>
            <w:tcW w:w="1733" w:type="dxa"/>
          </w:tcPr>
          <w:p w14:paraId="35E318BA" w14:textId="77777777" w:rsidR="000305DD" w:rsidRPr="00F24972" w:rsidRDefault="000305DD" w:rsidP="000305DD">
            <w:pPr>
              <w:pStyle w:val="TableText"/>
              <w:rPr>
                <w:rFonts w:cs="Arial"/>
              </w:rPr>
            </w:pPr>
            <w:r w:rsidRPr="00F24972">
              <w:rPr>
                <w:rFonts w:cs="Arial"/>
              </w:rPr>
              <w:t>Login Supply</w:t>
            </w:r>
          </w:p>
        </w:tc>
        <w:tc>
          <w:tcPr>
            <w:tcW w:w="1592" w:type="dxa"/>
          </w:tcPr>
          <w:p w14:paraId="64385B9B" w14:textId="77777777" w:rsidR="000305DD" w:rsidRPr="00F24972" w:rsidRDefault="000305DD" w:rsidP="000305DD">
            <w:pPr>
              <w:pStyle w:val="TableText"/>
              <w:rPr>
                <w:rFonts w:cs="Arial"/>
              </w:rPr>
            </w:pPr>
            <w:r>
              <w:rPr>
                <w:rFonts w:cs="Arial"/>
                <w:snapToGrid w:val="0"/>
              </w:rPr>
              <w:t>Supply, Login</w:t>
            </w:r>
          </w:p>
        </w:tc>
        <w:tc>
          <w:tcPr>
            <w:tcW w:w="1080" w:type="dxa"/>
          </w:tcPr>
          <w:p w14:paraId="611F3774" w14:textId="77777777" w:rsidR="000305DD" w:rsidRPr="00F24972" w:rsidRDefault="000305DD" w:rsidP="000305DD">
            <w:pPr>
              <w:pStyle w:val="TableText"/>
              <w:rPr>
                <w:rFonts w:cs="Arial"/>
              </w:rPr>
            </w:pPr>
            <w:r w:rsidRPr="00F24972">
              <w:rPr>
                <w:rFonts w:cs="Arial"/>
              </w:rPr>
              <w:t>Positive</w:t>
            </w:r>
          </w:p>
        </w:tc>
        <w:tc>
          <w:tcPr>
            <w:tcW w:w="900" w:type="dxa"/>
          </w:tcPr>
          <w:p w14:paraId="059F376F" w14:textId="77777777" w:rsidR="000305DD" w:rsidRPr="00F24972" w:rsidRDefault="000305DD" w:rsidP="000305DD">
            <w:pPr>
              <w:pStyle w:val="TableText"/>
              <w:jc w:val="center"/>
              <w:rPr>
                <w:rFonts w:cs="Arial"/>
              </w:rPr>
            </w:pPr>
            <w:r w:rsidRPr="00F24972">
              <w:rPr>
                <w:rFonts w:cs="Arial"/>
              </w:rPr>
              <w:t>M</w:t>
            </w:r>
          </w:p>
        </w:tc>
        <w:tc>
          <w:tcPr>
            <w:tcW w:w="4950" w:type="dxa"/>
          </w:tcPr>
          <w:p w14:paraId="481E4C14" w14:textId="77777777" w:rsidR="000305DD" w:rsidRPr="00F24972" w:rsidRDefault="000305DD" w:rsidP="000305DD">
            <w:pPr>
              <w:pStyle w:val="TableText"/>
              <w:rPr>
                <w:rFonts w:cs="Arial"/>
              </w:rPr>
            </w:pPr>
            <w:r w:rsidRPr="00F24972">
              <w:rPr>
                <w:rFonts w:cs="Arial"/>
              </w:rPr>
              <w:t>Accrue workload when a lot number of any type of supply is logged into the system.</w:t>
            </w:r>
            <w:r>
              <w:rPr>
                <w:rFonts w:cs="Arial"/>
              </w:rPr>
              <w:t xml:space="preserve"> </w:t>
            </w:r>
            <w:r w:rsidRPr="00F24972">
              <w:rPr>
                <w:rFonts w:cs="Arial"/>
              </w:rPr>
              <w:t>When multiple lot numbers are processed in a batch, each lot number’s workload is counted.</w:t>
            </w:r>
          </w:p>
        </w:tc>
      </w:tr>
      <w:tr w:rsidR="000305DD" w:rsidRPr="00F24972" w14:paraId="4F51D775"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7DE847B7" w14:textId="77777777" w:rsidR="000305DD" w:rsidRPr="00F24972" w:rsidRDefault="000305DD" w:rsidP="000305DD">
            <w:pPr>
              <w:pStyle w:val="TableText"/>
              <w:rPr>
                <w:rFonts w:cs="Arial"/>
              </w:rPr>
            </w:pPr>
            <w:r w:rsidRPr="00F24972">
              <w:rPr>
                <w:rFonts w:cs="Arial"/>
              </w:rPr>
              <w:t>Maintain Specimen</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53143AD4" w14:textId="77777777" w:rsidR="000305DD" w:rsidRPr="00F24972" w:rsidRDefault="000305DD" w:rsidP="000305DD">
            <w:pPr>
              <w:pStyle w:val="TableText"/>
              <w:rPr>
                <w:rFonts w:cs="Arial"/>
              </w:rPr>
            </w:pPr>
            <w:r>
              <w:rPr>
                <w:rFonts w:cs="Arial"/>
              </w:rPr>
              <w:t>Maintain Specimen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21C0E4"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BF1B78F"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531B9C6D" w14:textId="77777777" w:rsidR="000305DD" w:rsidRPr="00F24972" w:rsidRDefault="000305DD" w:rsidP="000305DD">
            <w:pPr>
              <w:pStyle w:val="TableText"/>
              <w:rPr>
                <w:rFonts w:cs="Arial"/>
              </w:rPr>
            </w:pPr>
            <w:r w:rsidRPr="00F24972">
              <w:rPr>
                <w:rFonts w:cs="Arial"/>
              </w:rPr>
              <w:t>Accrue workload when a specimen is maintained during order acceptance when a specimen is requirement for the order.</w:t>
            </w:r>
          </w:p>
          <w:p w14:paraId="654CD344" w14:textId="77777777" w:rsidR="000305DD" w:rsidRPr="00F24972" w:rsidRDefault="000305DD" w:rsidP="000305DD">
            <w:pPr>
              <w:pStyle w:val="TableText"/>
              <w:rPr>
                <w:rFonts w:cs="Arial"/>
              </w:rPr>
            </w:pPr>
            <w:r w:rsidRPr="00F24972">
              <w:rPr>
                <w:rFonts w:cs="Arial"/>
              </w:rPr>
              <w:t xml:space="preserve">Note: This event is accrued when the specimen is maintained in </w:t>
            </w:r>
            <w:r>
              <w:rPr>
                <w:rFonts w:cs="Arial"/>
              </w:rPr>
              <w:t>Maintain Specimen</w:t>
            </w:r>
            <w:r w:rsidRPr="00F24972">
              <w:rPr>
                <w:rFonts w:cs="Arial"/>
              </w:rPr>
              <w:t xml:space="preserve">. This is collected in addition to the accept order workload accrued by </w:t>
            </w:r>
            <w:r>
              <w:rPr>
                <w:rFonts w:cs="Arial"/>
              </w:rPr>
              <w:t>Accept Order</w:t>
            </w:r>
            <w:r w:rsidRPr="00F24972">
              <w:rPr>
                <w:rFonts w:cs="Arial"/>
              </w:rPr>
              <w:t>. Marking a specimen unacceptable does not create a negative workload event.</w:t>
            </w:r>
          </w:p>
        </w:tc>
      </w:tr>
      <w:tr w:rsidR="000305DD" w:rsidRPr="00F24972" w14:paraId="76E96DE5" w14:textId="77777777" w:rsidTr="00FA340F">
        <w:trPr>
          <w:cantSplit/>
        </w:trPr>
        <w:tc>
          <w:tcPr>
            <w:tcW w:w="1733" w:type="dxa"/>
            <w:vMerge w:val="restart"/>
          </w:tcPr>
          <w:p w14:paraId="11C371BB" w14:textId="77777777" w:rsidR="000305DD" w:rsidRPr="00BF10B2" w:rsidRDefault="000305DD" w:rsidP="000305DD">
            <w:pPr>
              <w:pStyle w:val="TableText"/>
              <w:rPr>
                <w:rFonts w:cs="Arial"/>
              </w:rPr>
            </w:pPr>
            <w:r w:rsidRPr="00BF10B2">
              <w:rPr>
                <w:rFonts w:cs="Arial"/>
              </w:rPr>
              <w:t>Patient antigen phenotype (multiple phases)</w:t>
            </w:r>
          </w:p>
        </w:tc>
        <w:tc>
          <w:tcPr>
            <w:tcW w:w="1592" w:type="dxa"/>
          </w:tcPr>
          <w:p w14:paraId="11EEDEB0" w14:textId="77777777" w:rsidR="000305DD" w:rsidRPr="00F24972" w:rsidRDefault="000305DD" w:rsidP="000305DD">
            <w:pPr>
              <w:pStyle w:val="TableText"/>
              <w:rPr>
                <w:rFonts w:cs="Arial"/>
              </w:rPr>
            </w:pPr>
            <w:r>
              <w:rPr>
                <w:rFonts w:cs="Arial"/>
              </w:rPr>
              <w:t>Patient Antigen typing</w:t>
            </w:r>
          </w:p>
          <w:p w14:paraId="13E1D1EB" w14:textId="77777777" w:rsidR="000305DD" w:rsidRPr="00F24972" w:rsidRDefault="000305DD" w:rsidP="000305DD">
            <w:pPr>
              <w:pStyle w:val="TableText"/>
              <w:rPr>
                <w:rFonts w:cs="Arial"/>
              </w:rPr>
            </w:pPr>
          </w:p>
        </w:tc>
        <w:tc>
          <w:tcPr>
            <w:tcW w:w="1080" w:type="dxa"/>
          </w:tcPr>
          <w:p w14:paraId="593EDEE4" w14:textId="77777777" w:rsidR="000305DD" w:rsidRPr="00F24972" w:rsidRDefault="000305DD" w:rsidP="000305DD">
            <w:pPr>
              <w:pStyle w:val="TableText"/>
              <w:rPr>
                <w:rFonts w:cs="Arial"/>
              </w:rPr>
            </w:pPr>
            <w:r w:rsidRPr="00F24972">
              <w:rPr>
                <w:rFonts w:cs="Arial"/>
              </w:rPr>
              <w:t>Positive</w:t>
            </w:r>
          </w:p>
        </w:tc>
        <w:tc>
          <w:tcPr>
            <w:tcW w:w="900" w:type="dxa"/>
          </w:tcPr>
          <w:p w14:paraId="5BF9A559" w14:textId="77777777" w:rsidR="000305DD" w:rsidRPr="00F24972" w:rsidRDefault="000305DD" w:rsidP="000305DD">
            <w:pPr>
              <w:pStyle w:val="TableText"/>
              <w:jc w:val="center"/>
              <w:rPr>
                <w:rFonts w:cs="Arial"/>
              </w:rPr>
            </w:pPr>
            <w:r w:rsidRPr="00F24972">
              <w:rPr>
                <w:rFonts w:cs="Arial"/>
              </w:rPr>
              <w:t>P</w:t>
            </w:r>
          </w:p>
        </w:tc>
        <w:tc>
          <w:tcPr>
            <w:tcW w:w="4950" w:type="dxa"/>
          </w:tcPr>
          <w:p w14:paraId="13491CFA" w14:textId="77777777" w:rsidR="000305DD" w:rsidRPr="00F24972" w:rsidRDefault="000305DD" w:rsidP="000305DD">
            <w:pPr>
              <w:pStyle w:val="TableText"/>
              <w:rPr>
                <w:rFonts w:cs="Arial"/>
              </w:rPr>
            </w:pPr>
            <w:r w:rsidRPr="00F24972">
              <w:rPr>
                <w:rFonts w:cs="Arial"/>
              </w:rPr>
              <w:t xml:space="preserve">Accrue workload when a patient antigen phenotype test [specificity (tab)] with IS/RT or IS/37 phases is completed and saved (when completed and saved via </w:t>
            </w:r>
            <w:r>
              <w:rPr>
                <w:rFonts w:cs="Arial"/>
              </w:rPr>
              <w:t>Record Testing</w:t>
            </w:r>
            <w:r w:rsidRPr="00F24972">
              <w:rPr>
                <w:rFonts w:cs="Arial"/>
              </w:rPr>
              <w:t>). One workload event is collected per completed tab for repeat or regular antigen tests.</w:t>
            </w:r>
          </w:p>
        </w:tc>
      </w:tr>
      <w:tr w:rsidR="000305DD" w:rsidRPr="00F24972" w14:paraId="09CFEF9A" w14:textId="77777777" w:rsidTr="00FA340F">
        <w:trPr>
          <w:cantSplit/>
        </w:trPr>
        <w:tc>
          <w:tcPr>
            <w:tcW w:w="1733" w:type="dxa"/>
            <w:vMerge/>
          </w:tcPr>
          <w:p w14:paraId="7429EA8A" w14:textId="77777777" w:rsidR="000305DD" w:rsidRPr="00F24972" w:rsidRDefault="000305DD" w:rsidP="000305DD">
            <w:pPr>
              <w:pStyle w:val="TableText"/>
              <w:rPr>
                <w:rFonts w:cs="Arial"/>
              </w:rPr>
            </w:pPr>
          </w:p>
        </w:tc>
        <w:tc>
          <w:tcPr>
            <w:tcW w:w="1592" w:type="dxa"/>
          </w:tcPr>
          <w:p w14:paraId="0717B62F" w14:textId="77777777" w:rsidR="000305DD" w:rsidRPr="00F24972" w:rsidRDefault="000305DD" w:rsidP="000305DD">
            <w:pPr>
              <w:pStyle w:val="TableText"/>
              <w:rPr>
                <w:rFonts w:cs="Arial"/>
              </w:rPr>
            </w:pPr>
            <w:r>
              <w:rPr>
                <w:rFonts w:cs="Arial"/>
              </w:rPr>
              <w:t>Invalidate, Patient Antigen typing</w:t>
            </w:r>
          </w:p>
          <w:p w14:paraId="33B4DAE7" w14:textId="77777777" w:rsidR="000305DD" w:rsidRPr="00F24972" w:rsidRDefault="000305DD" w:rsidP="000305DD">
            <w:pPr>
              <w:pStyle w:val="TableText"/>
              <w:rPr>
                <w:rFonts w:cs="Arial"/>
              </w:rPr>
            </w:pPr>
          </w:p>
          <w:p w14:paraId="3C3EA1BD" w14:textId="77777777" w:rsidR="000305DD" w:rsidRPr="00F24972" w:rsidRDefault="000305DD" w:rsidP="000305DD">
            <w:pPr>
              <w:pStyle w:val="TableText"/>
              <w:rPr>
                <w:rFonts w:cs="Arial"/>
              </w:rPr>
            </w:pPr>
          </w:p>
        </w:tc>
        <w:tc>
          <w:tcPr>
            <w:tcW w:w="1080" w:type="dxa"/>
          </w:tcPr>
          <w:p w14:paraId="49CFB6FC" w14:textId="77777777" w:rsidR="000305DD" w:rsidRPr="00F24972" w:rsidRDefault="000305DD" w:rsidP="000305DD">
            <w:pPr>
              <w:pStyle w:val="TableText"/>
              <w:rPr>
                <w:rFonts w:cs="Arial"/>
                <w:b/>
              </w:rPr>
            </w:pPr>
            <w:r w:rsidRPr="00F24972">
              <w:rPr>
                <w:rFonts w:cs="Arial"/>
                <w:b/>
              </w:rPr>
              <w:t>Negative</w:t>
            </w:r>
          </w:p>
        </w:tc>
        <w:tc>
          <w:tcPr>
            <w:tcW w:w="900" w:type="dxa"/>
          </w:tcPr>
          <w:p w14:paraId="40ABCDE5" w14:textId="77777777" w:rsidR="000305DD" w:rsidRPr="00F24972" w:rsidRDefault="000305DD" w:rsidP="000305DD">
            <w:pPr>
              <w:pStyle w:val="TableText"/>
              <w:jc w:val="center"/>
              <w:rPr>
                <w:rFonts w:cs="Arial"/>
              </w:rPr>
            </w:pPr>
            <w:r w:rsidRPr="00F24972">
              <w:rPr>
                <w:rFonts w:cs="Arial"/>
              </w:rPr>
              <w:t>P</w:t>
            </w:r>
          </w:p>
        </w:tc>
        <w:tc>
          <w:tcPr>
            <w:tcW w:w="4950" w:type="dxa"/>
          </w:tcPr>
          <w:p w14:paraId="1A0696B2" w14:textId="77777777" w:rsidR="000305DD" w:rsidRPr="00F24972" w:rsidRDefault="000305DD" w:rsidP="000305DD">
            <w:pPr>
              <w:pStyle w:val="TableText"/>
              <w:rPr>
                <w:rFonts w:cs="Arial"/>
              </w:rPr>
            </w:pPr>
            <w:r w:rsidRPr="00F24972">
              <w:rPr>
                <w:rFonts w:cs="Arial"/>
              </w:rPr>
              <w:t xml:space="preserve">Accrue workload when a patient antigen phenotype test as defined by the antiserum specificity tested with any phases is invalidated. </w:t>
            </w:r>
          </w:p>
        </w:tc>
      </w:tr>
      <w:tr w:rsidR="000305DD" w:rsidRPr="00F24972" w14:paraId="74CEE570" w14:textId="77777777" w:rsidTr="00FA340F">
        <w:trPr>
          <w:cantSplit/>
        </w:trPr>
        <w:tc>
          <w:tcPr>
            <w:tcW w:w="1733" w:type="dxa"/>
            <w:vMerge w:val="restart"/>
          </w:tcPr>
          <w:p w14:paraId="09279E9F" w14:textId="77777777" w:rsidR="000305DD" w:rsidRPr="00F24972" w:rsidRDefault="000305DD" w:rsidP="000305DD">
            <w:pPr>
              <w:pStyle w:val="TableText"/>
              <w:rPr>
                <w:rFonts w:cs="Arial"/>
              </w:rPr>
            </w:pPr>
            <w:r w:rsidRPr="00F24972">
              <w:rPr>
                <w:rFonts w:cs="Arial"/>
              </w:rPr>
              <w:t>Patient antigen phenotype (single phase)</w:t>
            </w:r>
          </w:p>
        </w:tc>
        <w:tc>
          <w:tcPr>
            <w:tcW w:w="1592" w:type="dxa"/>
          </w:tcPr>
          <w:p w14:paraId="4FFCEBAA" w14:textId="77777777" w:rsidR="000305DD" w:rsidRPr="00F24972" w:rsidRDefault="000305DD" w:rsidP="000305DD">
            <w:pPr>
              <w:pStyle w:val="TableText"/>
              <w:rPr>
                <w:rFonts w:cs="Arial"/>
              </w:rPr>
            </w:pPr>
            <w:r>
              <w:rPr>
                <w:rFonts w:cs="Arial"/>
              </w:rPr>
              <w:t>Patient Antigen typing</w:t>
            </w:r>
          </w:p>
          <w:p w14:paraId="34E9B18D" w14:textId="77777777" w:rsidR="000305DD" w:rsidRPr="00F24972" w:rsidRDefault="000305DD" w:rsidP="000305DD">
            <w:pPr>
              <w:pStyle w:val="TableText"/>
              <w:rPr>
                <w:rFonts w:cs="Arial"/>
              </w:rPr>
            </w:pPr>
          </w:p>
        </w:tc>
        <w:tc>
          <w:tcPr>
            <w:tcW w:w="1080" w:type="dxa"/>
          </w:tcPr>
          <w:p w14:paraId="044D2B12" w14:textId="77777777" w:rsidR="000305DD" w:rsidRPr="00F24972" w:rsidRDefault="000305DD" w:rsidP="000305DD">
            <w:pPr>
              <w:pStyle w:val="TableText"/>
              <w:rPr>
                <w:rFonts w:cs="Arial"/>
              </w:rPr>
            </w:pPr>
            <w:r w:rsidRPr="00F24972">
              <w:rPr>
                <w:rFonts w:cs="Arial"/>
              </w:rPr>
              <w:t>Positive</w:t>
            </w:r>
          </w:p>
        </w:tc>
        <w:tc>
          <w:tcPr>
            <w:tcW w:w="900" w:type="dxa"/>
          </w:tcPr>
          <w:p w14:paraId="1F79F189" w14:textId="77777777" w:rsidR="000305DD" w:rsidRPr="00F24972" w:rsidRDefault="000305DD" w:rsidP="000305DD">
            <w:pPr>
              <w:pStyle w:val="TableText"/>
              <w:jc w:val="center"/>
              <w:rPr>
                <w:rFonts w:cs="Arial"/>
              </w:rPr>
            </w:pPr>
            <w:r w:rsidRPr="00F24972">
              <w:rPr>
                <w:rFonts w:cs="Arial"/>
              </w:rPr>
              <w:t>P</w:t>
            </w:r>
          </w:p>
        </w:tc>
        <w:tc>
          <w:tcPr>
            <w:tcW w:w="4950" w:type="dxa"/>
          </w:tcPr>
          <w:p w14:paraId="2433DDC0" w14:textId="77777777" w:rsidR="000305DD" w:rsidRPr="00F24972" w:rsidRDefault="000305DD" w:rsidP="000305DD">
            <w:pPr>
              <w:pStyle w:val="TableText"/>
              <w:rPr>
                <w:rFonts w:cs="Arial"/>
              </w:rPr>
            </w:pPr>
            <w:r w:rsidRPr="00F24972">
              <w:rPr>
                <w:rFonts w:cs="Arial"/>
              </w:rPr>
              <w:t xml:space="preserve">Accrue workload when a patient antigen phenotype test [specificity (tab)] with AHG or IS phase is completed and saved (when completed and saved via </w:t>
            </w:r>
            <w:r>
              <w:rPr>
                <w:rFonts w:cs="Arial"/>
              </w:rPr>
              <w:t>Record Testing</w:t>
            </w:r>
            <w:r w:rsidRPr="00F24972">
              <w:rPr>
                <w:rFonts w:cs="Arial"/>
              </w:rPr>
              <w:t>). One workload event is collected per completed tab for repeat or regular antigen tests.</w:t>
            </w:r>
          </w:p>
        </w:tc>
      </w:tr>
      <w:tr w:rsidR="000305DD" w:rsidRPr="00F24972" w14:paraId="5D1CC7D0" w14:textId="77777777" w:rsidTr="00FA340F">
        <w:trPr>
          <w:cantSplit/>
        </w:trPr>
        <w:tc>
          <w:tcPr>
            <w:tcW w:w="1733" w:type="dxa"/>
            <w:vMerge/>
            <w:tcBorders>
              <w:bottom w:val="single" w:sz="4" w:space="0" w:color="auto"/>
            </w:tcBorders>
          </w:tcPr>
          <w:p w14:paraId="4044FFF6"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321C4707" w14:textId="77777777" w:rsidR="000305DD" w:rsidRPr="00F24972" w:rsidRDefault="000305DD" w:rsidP="000305DD">
            <w:pPr>
              <w:pStyle w:val="TableText"/>
              <w:rPr>
                <w:rFonts w:cs="Arial"/>
              </w:rPr>
            </w:pPr>
            <w:r>
              <w:rPr>
                <w:rFonts w:cs="Arial"/>
              </w:rPr>
              <w:t>Invalidate, Patient Antigen typing</w:t>
            </w:r>
          </w:p>
          <w:p w14:paraId="01DD960A" w14:textId="77777777" w:rsidR="000305DD" w:rsidRPr="00F24972" w:rsidRDefault="000305DD" w:rsidP="000305DD">
            <w:pPr>
              <w:pStyle w:val="TableText"/>
              <w:rPr>
                <w:rFonts w:cs="Arial"/>
              </w:rPr>
            </w:pPr>
          </w:p>
          <w:p w14:paraId="2CD19D7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009332BC"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A0DFF82"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760FF451" w14:textId="165F277C" w:rsidR="000305DD" w:rsidRPr="00F24972" w:rsidRDefault="000305DD" w:rsidP="000305DD">
            <w:pPr>
              <w:pStyle w:val="TableText"/>
              <w:rPr>
                <w:rFonts w:cs="Arial"/>
              </w:rPr>
            </w:pPr>
            <w:r w:rsidRPr="00F24972">
              <w:rPr>
                <w:rFonts w:cs="Arial"/>
              </w:rPr>
              <w:t xml:space="preserve">Accrue workload when a patient antigen phenotype test as defined by the antiserum specificity tested with </w:t>
            </w:r>
            <w:r w:rsidR="00AE3B37" w:rsidRPr="00F24972">
              <w:rPr>
                <w:rFonts w:cs="Arial"/>
              </w:rPr>
              <w:t>a single phase</w:t>
            </w:r>
            <w:r w:rsidRPr="00F24972">
              <w:rPr>
                <w:rFonts w:cs="Arial"/>
              </w:rPr>
              <w:t xml:space="preserve"> is invalidated. </w:t>
            </w:r>
          </w:p>
        </w:tc>
      </w:tr>
      <w:tr w:rsidR="000305DD" w:rsidRPr="00F24972" w14:paraId="63BF3A8B" w14:textId="77777777" w:rsidTr="00FA340F">
        <w:trPr>
          <w:cantSplit/>
        </w:trPr>
        <w:tc>
          <w:tcPr>
            <w:tcW w:w="1733" w:type="dxa"/>
            <w:vMerge w:val="restart"/>
            <w:tcBorders>
              <w:top w:val="single" w:sz="4" w:space="0" w:color="auto"/>
              <w:left w:val="single" w:sz="4" w:space="0" w:color="auto"/>
              <w:right w:val="single" w:sz="4" w:space="0" w:color="auto"/>
            </w:tcBorders>
          </w:tcPr>
          <w:p w14:paraId="342A6CE0" w14:textId="77777777" w:rsidR="000305DD" w:rsidRPr="00F24972" w:rsidRDefault="000305DD" w:rsidP="000305DD">
            <w:pPr>
              <w:pStyle w:val="TableText"/>
              <w:rPr>
                <w:rFonts w:cs="Arial"/>
              </w:rPr>
            </w:pPr>
            <w:r w:rsidRPr="00F24972">
              <w:rPr>
                <w:rFonts w:cs="Arial"/>
              </w:rPr>
              <w:t>Pool unit</w:t>
            </w:r>
          </w:p>
          <w:p w14:paraId="5A9F9FF2"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38C7E733" w14:textId="77777777" w:rsidR="000305DD" w:rsidRPr="00F24972" w:rsidRDefault="000305DD" w:rsidP="000305DD">
            <w:pPr>
              <w:pStyle w:val="TableText"/>
              <w:rPr>
                <w:rFonts w:cs="Arial"/>
              </w:rPr>
            </w:pPr>
            <w:r>
              <w:rPr>
                <w:rFonts w:cs="Arial"/>
              </w:rPr>
              <w:t>Modify, Pool</w:t>
            </w:r>
          </w:p>
        </w:tc>
        <w:tc>
          <w:tcPr>
            <w:tcW w:w="1080" w:type="dxa"/>
            <w:tcBorders>
              <w:top w:val="single" w:sz="4" w:space="0" w:color="auto"/>
              <w:left w:val="single" w:sz="4" w:space="0" w:color="auto"/>
              <w:bottom w:val="single" w:sz="4" w:space="0" w:color="auto"/>
              <w:right w:val="single" w:sz="4" w:space="0" w:color="auto"/>
            </w:tcBorders>
          </w:tcPr>
          <w:p w14:paraId="67FD52A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7C591401"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006158D0" w14:textId="77777777" w:rsidR="000305DD" w:rsidRPr="00F24972" w:rsidRDefault="000305DD" w:rsidP="000305DD">
            <w:pPr>
              <w:pStyle w:val="TableText"/>
              <w:rPr>
                <w:rFonts w:cs="Arial"/>
              </w:rPr>
            </w:pPr>
            <w:r w:rsidRPr="00F24972">
              <w:rPr>
                <w:rFonts w:cs="Arial"/>
              </w:rPr>
              <w:t>Accrue workload when a pooled unit is created and a single workload event is recorded regardless of the number of units included in the pooled unit. This applies to modification type: Pool. Add/Remove unit from a pool does not accrue any workload.</w:t>
            </w:r>
            <w:r w:rsidRPr="00F24972">
              <w:rPr>
                <w:rFonts w:cs="Arial"/>
                <w:i/>
              </w:rPr>
              <w:t xml:space="preserve"> </w:t>
            </w:r>
          </w:p>
          <w:p w14:paraId="3198CD26" w14:textId="77777777" w:rsidR="000305DD" w:rsidRPr="00F24972" w:rsidRDefault="000305DD" w:rsidP="000305DD">
            <w:pPr>
              <w:pStyle w:val="TableText"/>
              <w:rPr>
                <w:rFonts w:cs="Arial"/>
                <w:i/>
              </w:rPr>
            </w:pPr>
            <w:r w:rsidRPr="00F24972">
              <w:rPr>
                <w:rFonts w:cs="Arial"/>
                <w:i/>
              </w:rPr>
              <w:t>Note: Workload is not accrued when a patient assignment is processed and VBECS releases all other patient assignments. Workload is not accrued when VBECS is required to quarantine the unit.</w:t>
            </w:r>
          </w:p>
          <w:p w14:paraId="4E02FD60" w14:textId="77777777" w:rsidR="000305DD" w:rsidRPr="00F24972" w:rsidRDefault="000305DD" w:rsidP="000305DD">
            <w:pPr>
              <w:pStyle w:val="TableText"/>
              <w:rPr>
                <w:rFonts w:cs="Arial"/>
                <w:i/>
              </w:rPr>
            </w:pPr>
            <w:r w:rsidRPr="00F24972">
              <w:rPr>
                <w:rFonts w:cs="Arial"/>
                <w:i/>
              </w:rPr>
              <w:t xml:space="preserve">Workload accrued by Pooling is invalidated in </w:t>
            </w:r>
            <w:r>
              <w:rPr>
                <w:rFonts w:cs="Arial"/>
                <w:i/>
              </w:rPr>
              <w:t>Edit Unit Processing Information</w:t>
            </w:r>
            <w:r w:rsidRPr="00F24972">
              <w:rPr>
                <w:rFonts w:cs="Arial"/>
                <w:i/>
              </w:rPr>
              <w:t xml:space="preserve"> with the inactivation of the pooled unit.</w:t>
            </w:r>
          </w:p>
        </w:tc>
      </w:tr>
      <w:tr w:rsidR="000305DD" w:rsidRPr="00F24972" w14:paraId="4CBE120E" w14:textId="77777777" w:rsidTr="00FA340F">
        <w:trPr>
          <w:cantSplit/>
        </w:trPr>
        <w:tc>
          <w:tcPr>
            <w:tcW w:w="1733" w:type="dxa"/>
            <w:vMerge/>
            <w:tcBorders>
              <w:left w:val="single" w:sz="4" w:space="0" w:color="auto"/>
              <w:right w:val="single" w:sz="4" w:space="0" w:color="auto"/>
            </w:tcBorders>
          </w:tcPr>
          <w:p w14:paraId="3A35CB33"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3CC1422A" w14:textId="77777777" w:rsidR="000305DD" w:rsidRPr="00F24972" w:rsidRDefault="000305DD" w:rsidP="000305DD">
            <w:pPr>
              <w:pStyle w:val="TableText"/>
              <w:rPr>
                <w:rFonts w:cs="Arial"/>
              </w:rPr>
            </w:pPr>
            <w:r>
              <w:rPr>
                <w:rFonts w:cs="Arial"/>
              </w:rPr>
              <w:t>Edit Unit, Inactive Unit (that was in a Pool)</w:t>
            </w:r>
          </w:p>
        </w:tc>
        <w:tc>
          <w:tcPr>
            <w:tcW w:w="1080" w:type="dxa"/>
            <w:tcBorders>
              <w:top w:val="single" w:sz="4" w:space="0" w:color="auto"/>
              <w:left w:val="single" w:sz="4" w:space="0" w:color="auto"/>
              <w:bottom w:val="single" w:sz="4" w:space="0" w:color="auto"/>
              <w:right w:val="single" w:sz="4" w:space="0" w:color="auto"/>
            </w:tcBorders>
          </w:tcPr>
          <w:p w14:paraId="5D14088B"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4989AAE"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4D72EB6A" w14:textId="77777777" w:rsidR="000305DD" w:rsidRPr="00F24972" w:rsidRDefault="000305DD" w:rsidP="000305DD">
            <w:pPr>
              <w:pStyle w:val="TableText"/>
              <w:rPr>
                <w:rFonts w:cs="Arial"/>
              </w:rPr>
            </w:pPr>
            <w:r w:rsidRPr="00F24972">
              <w:rPr>
                <w:rFonts w:cs="Arial"/>
              </w:rPr>
              <w:t>Accrue workload when a unit is inactivated (unit record inactivated) when the pooled unit was created in VBECS.</w:t>
            </w:r>
            <w:r>
              <w:rPr>
                <w:rFonts w:cs="Arial"/>
              </w:rPr>
              <w:t xml:space="preserve"> </w:t>
            </w:r>
          </w:p>
        </w:tc>
      </w:tr>
      <w:tr w:rsidR="000305DD" w:rsidRPr="00F24972" w14:paraId="23CED0BB" w14:textId="77777777" w:rsidTr="00FA340F">
        <w:trPr>
          <w:cantSplit/>
        </w:trPr>
        <w:tc>
          <w:tcPr>
            <w:tcW w:w="1733" w:type="dxa"/>
            <w:vMerge/>
            <w:tcBorders>
              <w:left w:val="single" w:sz="4" w:space="0" w:color="auto"/>
              <w:bottom w:val="single" w:sz="4" w:space="0" w:color="auto"/>
              <w:right w:val="single" w:sz="4" w:space="0" w:color="auto"/>
            </w:tcBorders>
          </w:tcPr>
          <w:p w14:paraId="32C7870B"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2B947050" w14:textId="7EF3A3F7" w:rsidR="000305DD" w:rsidRPr="00F24972" w:rsidRDefault="000305DD" w:rsidP="000305DD">
            <w:pPr>
              <w:pStyle w:val="TableText"/>
              <w:rPr>
                <w:rFonts w:cs="Arial"/>
              </w:rPr>
            </w:pPr>
            <w:r>
              <w:rPr>
                <w:rFonts w:cs="Arial"/>
              </w:rPr>
              <w:t xml:space="preserve">Invalidate unit </w:t>
            </w:r>
            <w:r w:rsidR="00AE3B37">
              <w:rPr>
                <w:rFonts w:cs="Arial"/>
              </w:rPr>
              <w:t>status, Pool</w:t>
            </w:r>
          </w:p>
        </w:tc>
        <w:tc>
          <w:tcPr>
            <w:tcW w:w="1080" w:type="dxa"/>
            <w:tcBorders>
              <w:top w:val="single" w:sz="4" w:space="0" w:color="auto"/>
              <w:left w:val="single" w:sz="4" w:space="0" w:color="auto"/>
              <w:bottom w:val="single" w:sz="4" w:space="0" w:color="auto"/>
              <w:right w:val="single" w:sz="4" w:space="0" w:color="auto"/>
            </w:tcBorders>
          </w:tcPr>
          <w:p w14:paraId="78A57331" w14:textId="77777777" w:rsidR="000305DD" w:rsidRPr="00F24972" w:rsidRDefault="000305DD" w:rsidP="000305DD">
            <w:pPr>
              <w:pStyle w:val="TableText"/>
              <w:rPr>
                <w:rFonts w:cs="Arial"/>
                <w:b/>
              </w:rPr>
            </w:pPr>
            <w:r w:rsidRPr="00F24972">
              <w:rPr>
                <w:rFonts w:cs="Arial"/>
                <w:b/>
              </w:rPr>
              <w:t>None</w:t>
            </w:r>
          </w:p>
        </w:tc>
        <w:tc>
          <w:tcPr>
            <w:tcW w:w="900" w:type="dxa"/>
            <w:tcBorders>
              <w:top w:val="single" w:sz="4" w:space="0" w:color="auto"/>
              <w:left w:val="single" w:sz="4" w:space="0" w:color="auto"/>
              <w:bottom w:val="single" w:sz="4" w:space="0" w:color="auto"/>
              <w:right w:val="single" w:sz="4" w:space="0" w:color="auto"/>
            </w:tcBorders>
          </w:tcPr>
          <w:p w14:paraId="7E411F99" w14:textId="77777777" w:rsidR="000305DD" w:rsidRPr="00F24972" w:rsidRDefault="000305DD" w:rsidP="000305DD">
            <w:pPr>
              <w:pStyle w:val="TableText"/>
              <w:jc w:val="center"/>
              <w:rPr>
                <w:rFonts w:cs="Arial"/>
              </w:rPr>
            </w:pPr>
            <w:r w:rsidRPr="00F24972">
              <w:rPr>
                <w:rFonts w:cs="Arial"/>
              </w:rPr>
              <w:t>N/A</w:t>
            </w:r>
          </w:p>
        </w:tc>
        <w:tc>
          <w:tcPr>
            <w:tcW w:w="4950" w:type="dxa"/>
            <w:tcBorders>
              <w:top w:val="single" w:sz="4" w:space="0" w:color="auto"/>
              <w:left w:val="single" w:sz="4" w:space="0" w:color="auto"/>
              <w:bottom w:val="single" w:sz="4" w:space="0" w:color="auto"/>
              <w:right w:val="single" w:sz="4" w:space="0" w:color="auto"/>
            </w:tcBorders>
          </w:tcPr>
          <w:p w14:paraId="23663A14" w14:textId="77777777" w:rsidR="000305DD" w:rsidRPr="00F24972" w:rsidRDefault="000305DD" w:rsidP="000305DD">
            <w:pPr>
              <w:pStyle w:val="TableText"/>
              <w:rPr>
                <w:rFonts w:cs="Arial"/>
              </w:rPr>
            </w:pPr>
            <w:r w:rsidRPr="00F24972">
              <w:rPr>
                <w:rFonts w:cs="Arial"/>
              </w:rPr>
              <w:t xml:space="preserve">No effect on workload accrual when a unit is removed from a modified status that was included in a pool. </w:t>
            </w:r>
          </w:p>
        </w:tc>
      </w:tr>
      <w:tr w:rsidR="000305DD" w:rsidRPr="00F24972" w14:paraId="368CB7AA" w14:textId="77777777" w:rsidTr="00FA340F">
        <w:trPr>
          <w:cantSplit/>
        </w:trPr>
        <w:tc>
          <w:tcPr>
            <w:tcW w:w="1733" w:type="dxa"/>
          </w:tcPr>
          <w:p w14:paraId="502A6A01" w14:textId="77777777" w:rsidR="000305DD" w:rsidRPr="00F24972" w:rsidRDefault="000305DD" w:rsidP="000305DD">
            <w:pPr>
              <w:pStyle w:val="TableText"/>
              <w:rPr>
                <w:rFonts w:cs="Arial"/>
              </w:rPr>
            </w:pPr>
            <w:r w:rsidRPr="00F24972">
              <w:rPr>
                <w:rFonts w:cs="Arial"/>
              </w:rPr>
              <w:t>Quarantine unit</w:t>
            </w:r>
          </w:p>
        </w:tc>
        <w:tc>
          <w:tcPr>
            <w:tcW w:w="1592" w:type="dxa"/>
          </w:tcPr>
          <w:p w14:paraId="06317A90" w14:textId="77777777" w:rsidR="000305DD" w:rsidRPr="00F24972" w:rsidRDefault="000305DD" w:rsidP="000305DD">
            <w:pPr>
              <w:pStyle w:val="TableText"/>
              <w:rPr>
                <w:rFonts w:cs="Arial"/>
              </w:rPr>
            </w:pPr>
            <w:r>
              <w:rPr>
                <w:rFonts w:cs="Arial"/>
              </w:rPr>
              <w:t>Discard/Quarantine, Quarantine unit</w:t>
            </w:r>
          </w:p>
        </w:tc>
        <w:tc>
          <w:tcPr>
            <w:tcW w:w="1080" w:type="dxa"/>
          </w:tcPr>
          <w:p w14:paraId="3337A3C1" w14:textId="77777777" w:rsidR="000305DD" w:rsidRPr="00F24972" w:rsidRDefault="000305DD" w:rsidP="000305DD">
            <w:pPr>
              <w:pStyle w:val="TableText"/>
              <w:rPr>
                <w:rFonts w:cs="Arial"/>
              </w:rPr>
            </w:pPr>
            <w:r w:rsidRPr="00F24972">
              <w:rPr>
                <w:rFonts w:cs="Arial"/>
              </w:rPr>
              <w:t>Positive</w:t>
            </w:r>
          </w:p>
        </w:tc>
        <w:tc>
          <w:tcPr>
            <w:tcW w:w="900" w:type="dxa"/>
          </w:tcPr>
          <w:p w14:paraId="7891FADA" w14:textId="77777777" w:rsidR="000305DD" w:rsidRPr="00F24972" w:rsidRDefault="000305DD" w:rsidP="000305DD">
            <w:pPr>
              <w:pStyle w:val="TableText"/>
              <w:jc w:val="center"/>
              <w:rPr>
                <w:rFonts w:cs="Arial"/>
              </w:rPr>
            </w:pPr>
            <w:r w:rsidRPr="00F24972">
              <w:rPr>
                <w:rFonts w:cs="Arial"/>
              </w:rPr>
              <w:t>U</w:t>
            </w:r>
          </w:p>
        </w:tc>
        <w:tc>
          <w:tcPr>
            <w:tcW w:w="4950" w:type="dxa"/>
          </w:tcPr>
          <w:p w14:paraId="135171F0" w14:textId="77777777" w:rsidR="000305DD" w:rsidRPr="00F24972" w:rsidRDefault="000305DD" w:rsidP="000305DD">
            <w:pPr>
              <w:pStyle w:val="TableText"/>
              <w:rPr>
                <w:rFonts w:cs="Arial"/>
              </w:rPr>
            </w:pPr>
            <w:r w:rsidRPr="00F24972">
              <w:rPr>
                <w:rFonts w:cs="Arial"/>
              </w:rPr>
              <w:t>Accrue workload when a unit is marked for quarantine. When a batch of units is selected, each unit accrues workload.</w:t>
            </w:r>
          </w:p>
        </w:tc>
      </w:tr>
      <w:tr w:rsidR="000305DD" w:rsidRPr="00F24972" w14:paraId="381D17D9" w14:textId="77777777" w:rsidTr="00FA340F">
        <w:trPr>
          <w:cantSplit/>
        </w:trPr>
        <w:tc>
          <w:tcPr>
            <w:tcW w:w="1733" w:type="dxa"/>
          </w:tcPr>
          <w:p w14:paraId="4F6EC66E" w14:textId="77777777" w:rsidR="000305DD" w:rsidRPr="00F24972" w:rsidRDefault="000305DD" w:rsidP="000305DD">
            <w:pPr>
              <w:pStyle w:val="TableText"/>
              <w:rPr>
                <w:rFonts w:cs="Arial"/>
              </w:rPr>
            </w:pPr>
            <w:r w:rsidRPr="00F24972">
              <w:rPr>
                <w:rFonts w:cs="Arial"/>
              </w:rPr>
              <w:t>Release directed unit</w:t>
            </w:r>
          </w:p>
        </w:tc>
        <w:tc>
          <w:tcPr>
            <w:tcW w:w="1592" w:type="dxa"/>
          </w:tcPr>
          <w:p w14:paraId="67BF4359" w14:textId="77777777" w:rsidR="000305DD" w:rsidRPr="00F24972" w:rsidRDefault="000305DD" w:rsidP="000305DD">
            <w:pPr>
              <w:pStyle w:val="TableText"/>
              <w:rPr>
                <w:rFonts w:cs="Arial"/>
              </w:rPr>
            </w:pPr>
            <w:r>
              <w:rPr>
                <w:rFonts w:cs="Arial"/>
              </w:rPr>
              <w:t>Free Directed Unit</w:t>
            </w:r>
          </w:p>
        </w:tc>
        <w:tc>
          <w:tcPr>
            <w:tcW w:w="1080" w:type="dxa"/>
          </w:tcPr>
          <w:p w14:paraId="2F87A1EC" w14:textId="77777777" w:rsidR="000305DD" w:rsidRPr="00F24972" w:rsidRDefault="000305DD" w:rsidP="000305DD">
            <w:pPr>
              <w:pStyle w:val="TableText"/>
              <w:rPr>
                <w:rFonts w:cs="Arial"/>
              </w:rPr>
            </w:pPr>
            <w:r w:rsidRPr="00F24972">
              <w:rPr>
                <w:rFonts w:cs="Arial"/>
              </w:rPr>
              <w:t>Positive</w:t>
            </w:r>
          </w:p>
        </w:tc>
        <w:tc>
          <w:tcPr>
            <w:tcW w:w="900" w:type="dxa"/>
          </w:tcPr>
          <w:p w14:paraId="015BA67E" w14:textId="77777777" w:rsidR="000305DD" w:rsidRPr="00F24972" w:rsidRDefault="000305DD" w:rsidP="000305DD">
            <w:pPr>
              <w:pStyle w:val="TableText"/>
              <w:jc w:val="center"/>
              <w:rPr>
                <w:rFonts w:cs="Arial"/>
              </w:rPr>
            </w:pPr>
            <w:r w:rsidRPr="00F24972">
              <w:rPr>
                <w:rFonts w:cs="Arial"/>
              </w:rPr>
              <w:t>U</w:t>
            </w:r>
          </w:p>
        </w:tc>
        <w:tc>
          <w:tcPr>
            <w:tcW w:w="4950" w:type="dxa"/>
          </w:tcPr>
          <w:p w14:paraId="340ED563" w14:textId="77777777" w:rsidR="000305DD" w:rsidRPr="00F24972" w:rsidRDefault="000305DD" w:rsidP="000305DD">
            <w:pPr>
              <w:pStyle w:val="TableText"/>
              <w:rPr>
                <w:rFonts w:cs="Arial"/>
              </w:rPr>
            </w:pPr>
            <w:r w:rsidRPr="00F24972">
              <w:rPr>
                <w:rFonts w:cs="Arial"/>
              </w:rPr>
              <w:t>Accrue workload when an individual blood unit with the restriction type of directed is released for use as an allogeneic unit.</w:t>
            </w:r>
          </w:p>
        </w:tc>
      </w:tr>
      <w:tr w:rsidR="000305DD" w:rsidRPr="00F24972" w14:paraId="3EF64D56"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4F28BFDA" w14:textId="77777777" w:rsidR="000305DD" w:rsidRPr="00F24972" w:rsidRDefault="000305DD" w:rsidP="000305DD">
            <w:pPr>
              <w:pStyle w:val="TableText"/>
              <w:rPr>
                <w:rFonts w:cs="Arial"/>
              </w:rPr>
            </w:pPr>
            <w:r w:rsidRPr="00F24972">
              <w:rPr>
                <w:rFonts w:cs="Arial"/>
              </w:rPr>
              <w:t>Release unit from patient back to inventory</w:t>
            </w:r>
          </w:p>
        </w:tc>
        <w:tc>
          <w:tcPr>
            <w:tcW w:w="1592" w:type="dxa"/>
            <w:tcBorders>
              <w:top w:val="single" w:sz="4" w:space="0" w:color="auto"/>
              <w:left w:val="single" w:sz="4" w:space="0" w:color="auto"/>
              <w:bottom w:val="single" w:sz="4" w:space="0" w:color="auto"/>
              <w:right w:val="single" w:sz="4" w:space="0" w:color="auto"/>
            </w:tcBorders>
          </w:tcPr>
          <w:p w14:paraId="6954F272" w14:textId="77777777" w:rsidR="000305DD" w:rsidRPr="00F24972" w:rsidRDefault="000305DD" w:rsidP="000305DD">
            <w:pPr>
              <w:pStyle w:val="TableText"/>
              <w:rPr>
                <w:rFonts w:cs="Arial"/>
              </w:rPr>
            </w:pPr>
            <w:r>
              <w:rPr>
                <w:rFonts w:cs="Arial"/>
              </w:rPr>
              <w:t>Release Unit from Patient Assignment</w:t>
            </w:r>
          </w:p>
        </w:tc>
        <w:tc>
          <w:tcPr>
            <w:tcW w:w="1080" w:type="dxa"/>
            <w:tcBorders>
              <w:top w:val="single" w:sz="4" w:space="0" w:color="auto"/>
              <w:left w:val="single" w:sz="4" w:space="0" w:color="auto"/>
              <w:bottom w:val="single" w:sz="4" w:space="0" w:color="auto"/>
              <w:right w:val="single" w:sz="4" w:space="0" w:color="auto"/>
            </w:tcBorders>
          </w:tcPr>
          <w:p w14:paraId="7AE600F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4BFDFBE" w14:textId="77777777" w:rsidR="000305DD" w:rsidRPr="00F24972" w:rsidRDefault="000305DD" w:rsidP="000305DD">
            <w:pPr>
              <w:pStyle w:val="TableText"/>
              <w:jc w:val="center"/>
              <w:rPr>
                <w:rFonts w:cs="Arial"/>
              </w:rPr>
            </w:pPr>
            <w:r>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FF757F6" w14:textId="36680020" w:rsidR="000305DD" w:rsidRPr="00F24972" w:rsidRDefault="000305DD" w:rsidP="000305DD">
            <w:pPr>
              <w:pStyle w:val="TableText"/>
              <w:rPr>
                <w:rFonts w:cs="Arial"/>
              </w:rPr>
            </w:pPr>
            <w:r w:rsidRPr="00F24972">
              <w:rPr>
                <w:rFonts w:cs="Arial"/>
              </w:rPr>
              <w:t xml:space="preserve">Accrue workload when an individual unit is released from patient assignment. When </w:t>
            </w:r>
            <w:r w:rsidR="00AE3B37" w:rsidRPr="00F24972">
              <w:rPr>
                <w:rFonts w:cs="Arial"/>
              </w:rPr>
              <w:t>multiple units</w:t>
            </w:r>
            <w:r w:rsidRPr="00F24972">
              <w:rPr>
                <w:rFonts w:cs="Arial"/>
              </w:rPr>
              <w:t xml:space="preserve"> are selected, each unit accrues workload.</w:t>
            </w:r>
          </w:p>
        </w:tc>
      </w:tr>
      <w:tr w:rsidR="000305DD" w:rsidRPr="00F24972" w14:paraId="1436BF46" w14:textId="77777777" w:rsidTr="00FA340F">
        <w:trPr>
          <w:cantSplit/>
        </w:trPr>
        <w:tc>
          <w:tcPr>
            <w:tcW w:w="1733" w:type="dxa"/>
          </w:tcPr>
          <w:p w14:paraId="0A01B556" w14:textId="77777777" w:rsidR="000305DD" w:rsidRPr="00F24972" w:rsidRDefault="000305DD" w:rsidP="000305DD">
            <w:pPr>
              <w:pStyle w:val="TableText"/>
              <w:rPr>
                <w:rFonts w:cs="Arial"/>
              </w:rPr>
            </w:pPr>
            <w:r w:rsidRPr="00F24972">
              <w:rPr>
                <w:rFonts w:cs="Arial"/>
              </w:rPr>
              <w:t xml:space="preserve">Release unit from Quarantine </w:t>
            </w:r>
          </w:p>
        </w:tc>
        <w:tc>
          <w:tcPr>
            <w:tcW w:w="1592" w:type="dxa"/>
          </w:tcPr>
          <w:p w14:paraId="7E965697" w14:textId="77777777" w:rsidR="000305DD" w:rsidRPr="00F24972" w:rsidRDefault="000305DD" w:rsidP="000305DD">
            <w:pPr>
              <w:pStyle w:val="TableText"/>
              <w:rPr>
                <w:rFonts w:cs="Arial"/>
              </w:rPr>
            </w:pPr>
            <w:r>
              <w:rPr>
                <w:rFonts w:cs="Arial"/>
              </w:rPr>
              <w:t xml:space="preserve">Discard/Quarantine, Release Unit from Quarantine </w:t>
            </w:r>
          </w:p>
        </w:tc>
        <w:tc>
          <w:tcPr>
            <w:tcW w:w="1080" w:type="dxa"/>
          </w:tcPr>
          <w:p w14:paraId="6884E174" w14:textId="77777777" w:rsidR="000305DD" w:rsidRPr="00F24972" w:rsidRDefault="000305DD" w:rsidP="000305DD">
            <w:pPr>
              <w:pStyle w:val="TableText"/>
              <w:rPr>
                <w:rFonts w:cs="Arial"/>
              </w:rPr>
            </w:pPr>
            <w:r w:rsidRPr="00F24972">
              <w:rPr>
                <w:rFonts w:cs="Arial"/>
              </w:rPr>
              <w:t>Positive</w:t>
            </w:r>
          </w:p>
        </w:tc>
        <w:tc>
          <w:tcPr>
            <w:tcW w:w="900" w:type="dxa"/>
          </w:tcPr>
          <w:p w14:paraId="4CCA100F" w14:textId="77777777" w:rsidR="000305DD" w:rsidRPr="00F24972" w:rsidRDefault="000305DD" w:rsidP="000305DD">
            <w:pPr>
              <w:pStyle w:val="TableText"/>
              <w:jc w:val="center"/>
              <w:rPr>
                <w:rFonts w:cs="Arial"/>
              </w:rPr>
            </w:pPr>
            <w:r w:rsidRPr="00F24972">
              <w:rPr>
                <w:rFonts w:cs="Arial"/>
              </w:rPr>
              <w:t>U</w:t>
            </w:r>
          </w:p>
        </w:tc>
        <w:tc>
          <w:tcPr>
            <w:tcW w:w="4950" w:type="dxa"/>
          </w:tcPr>
          <w:p w14:paraId="7ED6DF05" w14:textId="77777777" w:rsidR="000305DD" w:rsidRPr="00F24972" w:rsidRDefault="000305DD" w:rsidP="000305DD">
            <w:pPr>
              <w:pStyle w:val="TableText"/>
              <w:rPr>
                <w:rFonts w:cs="Arial"/>
              </w:rPr>
            </w:pPr>
            <w:r w:rsidRPr="00F24972">
              <w:rPr>
                <w:rFonts w:cs="Arial"/>
              </w:rPr>
              <w:t>Accrue workload when a unit is released from quarantine. When a batch of units is selected, each unit accrues workload.</w:t>
            </w:r>
          </w:p>
        </w:tc>
      </w:tr>
      <w:tr w:rsidR="000305DD" w:rsidRPr="00F24972" w14:paraId="2F91DEEB"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1354AF08" w14:textId="77777777" w:rsidR="000305DD" w:rsidRPr="00F24972" w:rsidRDefault="000305DD" w:rsidP="000305DD">
            <w:pPr>
              <w:pStyle w:val="TableText"/>
              <w:rPr>
                <w:rFonts w:cs="Arial"/>
              </w:rPr>
            </w:pPr>
            <w:r w:rsidRPr="00F24972">
              <w:rPr>
                <w:rFonts w:cs="Arial"/>
              </w:rPr>
              <w:t>Return Issued unit</w:t>
            </w:r>
          </w:p>
        </w:tc>
        <w:tc>
          <w:tcPr>
            <w:tcW w:w="1592" w:type="dxa"/>
            <w:tcBorders>
              <w:top w:val="single" w:sz="4" w:space="0" w:color="auto"/>
              <w:left w:val="single" w:sz="4" w:space="0" w:color="auto"/>
              <w:bottom w:val="single" w:sz="4" w:space="0" w:color="auto"/>
              <w:right w:val="single" w:sz="4" w:space="0" w:color="auto"/>
            </w:tcBorders>
          </w:tcPr>
          <w:p w14:paraId="32CB8E23" w14:textId="77777777" w:rsidR="000305DD" w:rsidRPr="00F24972" w:rsidRDefault="000305DD" w:rsidP="000305DD">
            <w:pPr>
              <w:pStyle w:val="TableText"/>
              <w:rPr>
                <w:rFonts w:cs="Arial"/>
              </w:rPr>
            </w:pPr>
            <w:r>
              <w:rPr>
                <w:rFonts w:cs="Arial"/>
              </w:rPr>
              <w:t>Return Issued unit to Inventory</w:t>
            </w:r>
          </w:p>
        </w:tc>
        <w:tc>
          <w:tcPr>
            <w:tcW w:w="1080" w:type="dxa"/>
            <w:tcBorders>
              <w:top w:val="single" w:sz="4" w:space="0" w:color="auto"/>
              <w:left w:val="single" w:sz="4" w:space="0" w:color="auto"/>
              <w:bottom w:val="single" w:sz="4" w:space="0" w:color="auto"/>
              <w:right w:val="single" w:sz="4" w:space="0" w:color="auto"/>
            </w:tcBorders>
          </w:tcPr>
          <w:p w14:paraId="4618B273"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C82C889" w14:textId="77777777" w:rsidR="000305DD" w:rsidRPr="00F24972" w:rsidRDefault="000305DD" w:rsidP="000305DD">
            <w:pPr>
              <w:pStyle w:val="TableText"/>
              <w:jc w:val="center"/>
              <w:rPr>
                <w:rFonts w:cs="Arial"/>
              </w:rPr>
            </w:pPr>
            <w:r>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0053F2AF" w14:textId="77777777" w:rsidR="000305DD" w:rsidRPr="00F24972" w:rsidRDefault="000305DD" w:rsidP="000305DD">
            <w:pPr>
              <w:pStyle w:val="TableText"/>
              <w:rPr>
                <w:rFonts w:cs="Arial"/>
              </w:rPr>
            </w:pPr>
            <w:r w:rsidRPr="00F24972">
              <w:rPr>
                <w:rFonts w:cs="Arial"/>
              </w:rPr>
              <w:t xml:space="preserve">Accrue workload when a unit is returned from issue status. </w:t>
            </w:r>
          </w:p>
        </w:tc>
      </w:tr>
      <w:tr w:rsidR="000305DD" w:rsidRPr="00F24972" w14:paraId="59B0EF94"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0A21B1D2" w14:textId="77777777" w:rsidR="000305DD" w:rsidRPr="00F24972" w:rsidRDefault="000305DD" w:rsidP="000305DD">
            <w:pPr>
              <w:pStyle w:val="TableText"/>
              <w:rPr>
                <w:rFonts w:cs="Arial"/>
                <w:i/>
              </w:rPr>
            </w:pPr>
            <w:r w:rsidRPr="00F24972">
              <w:rPr>
                <w:rFonts w:cs="Arial"/>
                <w:i/>
              </w:rPr>
              <w:t xml:space="preserve">See </w:t>
            </w:r>
            <w:r>
              <w:rPr>
                <w:rFonts w:cs="Arial"/>
                <w:i/>
              </w:rPr>
              <w:t>Serologic Crossmatch, Patient ABO/Rh, Patient ABS, Patient DAT, Patient Antigen Typing</w:t>
            </w:r>
            <w:r w:rsidRPr="00F24972">
              <w:rPr>
                <w:rFonts w:cs="Arial"/>
                <w:i/>
              </w:rPr>
              <w:t xml:space="preserve"> </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49AF7BFD" w14:textId="77777777" w:rsidR="000305DD" w:rsidRPr="00F24972" w:rsidRDefault="000305DD" w:rsidP="000305DD">
            <w:pPr>
              <w:pStyle w:val="TableText"/>
              <w:rPr>
                <w:rFonts w:cs="Arial"/>
                <w:i/>
                <w:snapToGrid w:val="0"/>
              </w:rPr>
            </w:pPr>
            <w:r>
              <w:rPr>
                <w:rFonts w:cs="Arial"/>
                <w:i/>
                <w:snapToGrid w:val="0"/>
              </w:rPr>
              <w:t>Patient Testing</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346350" w14:textId="77777777" w:rsidR="000305DD" w:rsidRPr="00F24972" w:rsidRDefault="000305DD" w:rsidP="000305DD">
            <w:pPr>
              <w:pStyle w:val="TableText"/>
              <w:rPr>
                <w:rFonts w:cs="Arial"/>
                <w:i/>
              </w:rPr>
            </w:pPr>
            <w:r w:rsidRPr="00F24972">
              <w:rPr>
                <w:rFonts w:cs="Arial"/>
                <w:i/>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0D2DC10" w14:textId="77777777" w:rsidR="000305DD" w:rsidRPr="00F24972" w:rsidRDefault="000305DD" w:rsidP="000305DD">
            <w:pPr>
              <w:pStyle w:val="TableText"/>
              <w:jc w:val="center"/>
              <w:rPr>
                <w:rFonts w:cs="Arial"/>
                <w:i/>
              </w:rPr>
            </w:pPr>
            <w:r w:rsidRPr="00F24972">
              <w:rPr>
                <w:rFonts w:cs="Arial"/>
                <w:i/>
              </w:rPr>
              <w:t>Various</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24513026" w14:textId="77777777" w:rsidR="000305DD" w:rsidRPr="00F24972" w:rsidRDefault="000305DD" w:rsidP="00E90A01">
            <w:pPr>
              <w:pStyle w:val="TableText"/>
              <w:rPr>
                <w:rFonts w:cs="Arial"/>
                <w:i/>
              </w:rPr>
            </w:pPr>
            <w:r>
              <w:rPr>
                <w:rFonts w:cs="Arial"/>
                <w:i/>
              </w:rPr>
              <w:t>Patient Testing</w:t>
            </w:r>
            <w:r w:rsidRPr="00F24972">
              <w:rPr>
                <w:rFonts w:cs="Arial"/>
                <w:i/>
              </w:rPr>
              <w:t xml:space="preserve"> encapsulates </w:t>
            </w:r>
            <w:r>
              <w:rPr>
                <w:rFonts w:cs="Arial"/>
                <w:i/>
              </w:rPr>
              <w:t>Serologic Crossmatch, Patient ABO/Rh, Patient ABS, Patient DAT, Patient Antigen Typing. Patient Testing</w:t>
            </w:r>
            <w:r w:rsidRPr="00F24972">
              <w:rPr>
                <w:rFonts w:cs="Arial"/>
                <w:i/>
              </w:rPr>
              <w:t xml:space="preserve"> does not in and of itself accrue workload, but accrues workload for the various testing grids for which it controls the data save. See the various </w:t>
            </w:r>
            <w:r>
              <w:rPr>
                <w:rFonts w:cs="Arial"/>
                <w:i/>
              </w:rPr>
              <w:t>options</w:t>
            </w:r>
            <w:r w:rsidRPr="00F24972">
              <w:rPr>
                <w:rFonts w:cs="Arial"/>
                <w:i/>
              </w:rPr>
              <w:t xml:space="preserve"> in this list for </w:t>
            </w:r>
            <w:r w:rsidR="00E90A01">
              <w:rPr>
                <w:rFonts w:cs="Arial"/>
                <w:i/>
              </w:rPr>
              <w:t>additional</w:t>
            </w:r>
            <w:r w:rsidRPr="00F24972">
              <w:rPr>
                <w:rFonts w:cs="Arial"/>
                <w:i/>
              </w:rPr>
              <w:t xml:space="preserve"> information.</w:t>
            </w:r>
          </w:p>
        </w:tc>
      </w:tr>
      <w:tr w:rsidR="000305DD" w:rsidRPr="00F24972" w14:paraId="3A4DD01A" w14:textId="77777777" w:rsidTr="00FA340F">
        <w:trPr>
          <w:cantSplit/>
          <w:trHeight w:val="1970"/>
        </w:trPr>
        <w:tc>
          <w:tcPr>
            <w:tcW w:w="1733" w:type="dxa"/>
            <w:vMerge w:val="restart"/>
          </w:tcPr>
          <w:p w14:paraId="73E3EF6F" w14:textId="77777777" w:rsidR="000305DD" w:rsidRPr="00F24972" w:rsidRDefault="000305DD" w:rsidP="000305DD">
            <w:pPr>
              <w:pStyle w:val="TableText"/>
              <w:rPr>
                <w:rFonts w:cs="Arial"/>
              </w:rPr>
            </w:pPr>
            <w:r w:rsidRPr="00F24972">
              <w:rPr>
                <w:rFonts w:cs="Arial"/>
              </w:rPr>
              <w:lastRenderedPageBreak/>
              <w:t>Thaw/pool Cryo</w:t>
            </w:r>
          </w:p>
        </w:tc>
        <w:tc>
          <w:tcPr>
            <w:tcW w:w="1592" w:type="dxa"/>
          </w:tcPr>
          <w:p w14:paraId="0A655A08" w14:textId="77777777" w:rsidR="000305DD" w:rsidRPr="00F24972" w:rsidRDefault="000305DD" w:rsidP="000305DD">
            <w:pPr>
              <w:pStyle w:val="TableText"/>
              <w:rPr>
                <w:rFonts w:cs="Arial"/>
              </w:rPr>
            </w:pPr>
            <w:r>
              <w:rPr>
                <w:rFonts w:cs="Arial"/>
              </w:rPr>
              <w:t>Modify Unit, Thaw/Pool</w:t>
            </w:r>
          </w:p>
        </w:tc>
        <w:tc>
          <w:tcPr>
            <w:tcW w:w="1080" w:type="dxa"/>
          </w:tcPr>
          <w:p w14:paraId="6D3B9D2D" w14:textId="77777777" w:rsidR="000305DD" w:rsidRPr="00F24972" w:rsidRDefault="000305DD" w:rsidP="000305DD">
            <w:pPr>
              <w:pStyle w:val="TableText"/>
              <w:rPr>
                <w:rFonts w:cs="Arial"/>
              </w:rPr>
            </w:pPr>
            <w:r w:rsidRPr="00F24972">
              <w:rPr>
                <w:rFonts w:cs="Arial"/>
              </w:rPr>
              <w:t>Positive</w:t>
            </w:r>
          </w:p>
        </w:tc>
        <w:tc>
          <w:tcPr>
            <w:tcW w:w="900" w:type="dxa"/>
          </w:tcPr>
          <w:p w14:paraId="2309B100" w14:textId="77777777" w:rsidR="000305DD" w:rsidRPr="00F24972" w:rsidRDefault="000305DD" w:rsidP="000305DD">
            <w:pPr>
              <w:pStyle w:val="TableText"/>
              <w:jc w:val="center"/>
              <w:rPr>
                <w:rFonts w:cs="Arial"/>
              </w:rPr>
            </w:pPr>
            <w:r w:rsidRPr="00F24972">
              <w:rPr>
                <w:rFonts w:cs="Arial"/>
              </w:rPr>
              <w:t>U</w:t>
            </w:r>
          </w:p>
        </w:tc>
        <w:tc>
          <w:tcPr>
            <w:tcW w:w="4950" w:type="dxa"/>
          </w:tcPr>
          <w:p w14:paraId="45D804F9" w14:textId="77777777" w:rsidR="000305DD" w:rsidRPr="00F24972" w:rsidRDefault="000305DD" w:rsidP="000305DD">
            <w:pPr>
              <w:pStyle w:val="TableText"/>
              <w:rPr>
                <w:rFonts w:cs="Arial"/>
              </w:rPr>
            </w:pPr>
            <w:r w:rsidRPr="00F24972">
              <w:rPr>
                <w:rFonts w:cs="Arial"/>
              </w:rPr>
              <w:t>Accrue workload when an individual unit modification of Thaw/Pool Cryo. A single workload event is recorded regardless of the number of units included in the pooled unit.</w:t>
            </w:r>
          </w:p>
          <w:p w14:paraId="0B43923C" w14:textId="77777777" w:rsidR="000305DD" w:rsidRPr="00F24972" w:rsidRDefault="000305DD" w:rsidP="000305DD">
            <w:pPr>
              <w:pStyle w:val="TableText"/>
              <w:rPr>
                <w:rFonts w:cs="Arial"/>
                <w:i/>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417CBCE4" w14:textId="77777777" w:rsidTr="00FA340F">
        <w:trPr>
          <w:cantSplit/>
        </w:trPr>
        <w:tc>
          <w:tcPr>
            <w:tcW w:w="1733" w:type="dxa"/>
            <w:vMerge/>
          </w:tcPr>
          <w:p w14:paraId="56355A26" w14:textId="77777777" w:rsidR="000305DD" w:rsidRPr="00F24972" w:rsidRDefault="000305DD" w:rsidP="000305DD">
            <w:pPr>
              <w:pStyle w:val="TableText"/>
              <w:rPr>
                <w:rFonts w:cs="Arial"/>
              </w:rPr>
            </w:pPr>
          </w:p>
        </w:tc>
        <w:tc>
          <w:tcPr>
            <w:tcW w:w="1592" w:type="dxa"/>
          </w:tcPr>
          <w:p w14:paraId="57D04270" w14:textId="0A8DF8E7" w:rsidR="000305DD" w:rsidRPr="00F24972" w:rsidRDefault="000305DD" w:rsidP="000305DD">
            <w:pPr>
              <w:pStyle w:val="TableText"/>
              <w:rPr>
                <w:rFonts w:cs="Arial"/>
              </w:rPr>
            </w:pPr>
            <w:r>
              <w:rPr>
                <w:rFonts w:cs="Arial"/>
              </w:rPr>
              <w:t xml:space="preserve">Edit, Unit, Inactivate Unit (that was in </w:t>
            </w:r>
            <w:r w:rsidR="00AE3B37">
              <w:rPr>
                <w:rFonts w:cs="Arial"/>
              </w:rPr>
              <w:t>a Thaw</w:t>
            </w:r>
            <w:r>
              <w:rPr>
                <w:rFonts w:cs="Arial"/>
              </w:rPr>
              <w:t>/Pool)</w:t>
            </w:r>
          </w:p>
        </w:tc>
        <w:tc>
          <w:tcPr>
            <w:tcW w:w="1080" w:type="dxa"/>
          </w:tcPr>
          <w:p w14:paraId="6B91AC56" w14:textId="77777777" w:rsidR="000305DD" w:rsidRPr="00F24972" w:rsidRDefault="000305DD" w:rsidP="000305DD">
            <w:pPr>
              <w:pStyle w:val="TableText"/>
              <w:rPr>
                <w:rFonts w:cs="Arial"/>
                <w:b/>
              </w:rPr>
            </w:pPr>
            <w:r w:rsidRPr="00F24972">
              <w:rPr>
                <w:rFonts w:cs="Arial"/>
                <w:b/>
              </w:rPr>
              <w:t>Negative</w:t>
            </w:r>
          </w:p>
        </w:tc>
        <w:tc>
          <w:tcPr>
            <w:tcW w:w="900" w:type="dxa"/>
          </w:tcPr>
          <w:p w14:paraId="4E8D3D6D" w14:textId="77777777" w:rsidR="000305DD" w:rsidRPr="00F24972" w:rsidRDefault="000305DD" w:rsidP="000305DD">
            <w:pPr>
              <w:pStyle w:val="TableText"/>
              <w:jc w:val="center"/>
              <w:rPr>
                <w:rFonts w:cs="Arial"/>
              </w:rPr>
            </w:pPr>
            <w:r w:rsidRPr="00F24972">
              <w:rPr>
                <w:rFonts w:cs="Arial"/>
              </w:rPr>
              <w:t>U</w:t>
            </w:r>
          </w:p>
        </w:tc>
        <w:tc>
          <w:tcPr>
            <w:tcW w:w="4950" w:type="dxa"/>
          </w:tcPr>
          <w:p w14:paraId="1B7A64E1" w14:textId="77777777" w:rsidR="000305DD" w:rsidRPr="00F24972" w:rsidRDefault="000305DD" w:rsidP="000305DD">
            <w:pPr>
              <w:pStyle w:val="TableText"/>
              <w:rPr>
                <w:rFonts w:cs="Arial"/>
              </w:rPr>
            </w:pPr>
            <w:r w:rsidRPr="00F24972">
              <w:rPr>
                <w:rFonts w:cs="Arial"/>
              </w:rPr>
              <w:t>Accrue workload when a unit is inactivated (unit record inactivated) when the pooled unit was created in VBECS.</w:t>
            </w:r>
            <w:r>
              <w:rPr>
                <w:rFonts w:cs="Arial"/>
              </w:rPr>
              <w:t xml:space="preserve"> </w:t>
            </w:r>
          </w:p>
        </w:tc>
      </w:tr>
      <w:tr w:rsidR="000305DD" w:rsidRPr="00F24972" w14:paraId="306E1FD4" w14:textId="77777777" w:rsidTr="00FA340F">
        <w:trPr>
          <w:cantSplit/>
        </w:trPr>
        <w:tc>
          <w:tcPr>
            <w:tcW w:w="1733" w:type="dxa"/>
            <w:vMerge/>
          </w:tcPr>
          <w:p w14:paraId="696756A9" w14:textId="77777777" w:rsidR="000305DD" w:rsidRPr="00F24972" w:rsidRDefault="000305DD" w:rsidP="000305DD">
            <w:pPr>
              <w:pStyle w:val="TableText"/>
              <w:rPr>
                <w:rFonts w:cs="Arial"/>
              </w:rPr>
            </w:pPr>
          </w:p>
        </w:tc>
        <w:tc>
          <w:tcPr>
            <w:tcW w:w="1592" w:type="dxa"/>
          </w:tcPr>
          <w:p w14:paraId="3C747773" w14:textId="77777777" w:rsidR="000305DD" w:rsidRPr="00F24972" w:rsidRDefault="000305DD" w:rsidP="000305DD">
            <w:pPr>
              <w:pStyle w:val="TableText"/>
              <w:rPr>
                <w:rFonts w:cs="Arial"/>
              </w:rPr>
            </w:pPr>
            <w:r>
              <w:rPr>
                <w:rFonts w:cs="Arial"/>
              </w:rPr>
              <w:t>Invalidate Unit status, Thaw/Pool</w:t>
            </w:r>
          </w:p>
        </w:tc>
        <w:tc>
          <w:tcPr>
            <w:tcW w:w="1080" w:type="dxa"/>
          </w:tcPr>
          <w:p w14:paraId="5B173963" w14:textId="77777777" w:rsidR="000305DD" w:rsidRPr="00F24972" w:rsidRDefault="000305DD" w:rsidP="000305DD">
            <w:pPr>
              <w:pStyle w:val="TableText"/>
              <w:rPr>
                <w:rFonts w:cs="Arial"/>
                <w:b/>
              </w:rPr>
            </w:pPr>
            <w:r w:rsidRPr="00F24972">
              <w:rPr>
                <w:rFonts w:cs="Arial"/>
                <w:b/>
              </w:rPr>
              <w:t>None</w:t>
            </w:r>
          </w:p>
        </w:tc>
        <w:tc>
          <w:tcPr>
            <w:tcW w:w="900" w:type="dxa"/>
          </w:tcPr>
          <w:p w14:paraId="2501772A" w14:textId="77777777" w:rsidR="000305DD" w:rsidRPr="00F24972" w:rsidRDefault="000305DD" w:rsidP="000305DD">
            <w:pPr>
              <w:pStyle w:val="TableText"/>
              <w:jc w:val="center"/>
              <w:rPr>
                <w:rFonts w:cs="Arial"/>
              </w:rPr>
            </w:pPr>
            <w:r w:rsidRPr="00F24972">
              <w:rPr>
                <w:rFonts w:cs="Arial"/>
              </w:rPr>
              <w:t>N/A</w:t>
            </w:r>
          </w:p>
        </w:tc>
        <w:tc>
          <w:tcPr>
            <w:tcW w:w="4950" w:type="dxa"/>
          </w:tcPr>
          <w:p w14:paraId="444544D3" w14:textId="77777777" w:rsidR="000305DD" w:rsidRPr="00F24972" w:rsidRDefault="000305DD" w:rsidP="000305DD">
            <w:pPr>
              <w:pStyle w:val="TableText"/>
              <w:rPr>
                <w:rFonts w:cs="Arial"/>
              </w:rPr>
            </w:pPr>
            <w:r w:rsidRPr="00F24972">
              <w:rPr>
                <w:rFonts w:cs="Arial"/>
              </w:rPr>
              <w:t xml:space="preserve">No effect on workload accrual when a unit is removed from a modified status that was included in a Thaw/pool Cryo pool. </w:t>
            </w:r>
          </w:p>
        </w:tc>
      </w:tr>
      <w:tr w:rsidR="000305DD" w:rsidRPr="00F24972" w14:paraId="2F7EE673" w14:textId="77777777" w:rsidTr="00FA340F">
        <w:trPr>
          <w:cantSplit/>
        </w:trPr>
        <w:tc>
          <w:tcPr>
            <w:tcW w:w="1733" w:type="dxa"/>
            <w:vMerge w:val="restart"/>
            <w:tcBorders>
              <w:top w:val="single" w:sz="4" w:space="0" w:color="auto"/>
              <w:left w:val="single" w:sz="4" w:space="0" w:color="auto"/>
              <w:right w:val="single" w:sz="4" w:space="0" w:color="auto"/>
            </w:tcBorders>
          </w:tcPr>
          <w:p w14:paraId="0BC7E54E" w14:textId="77777777" w:rsidR="000305DD" w:rsidRPr="00F24972" w:rsidRDefault="000305DD" w:rsidP="000305DD">
            <w:pPr>
              <w:pStyle w:val="TableText"/>
              <w:rPr>
                <w:rFonts w:cs="Arial"/>
              </w:rPr>
            </w:pPr>
            <w:r w:rsidRPr="00F24972">
              <w:rPr>
                <w:rFonts w:cs="Arial"/>
              </w:rPr>
              <w:t>Transfuse Unit</w:t>
            </w:r>
          </w:p>
        </w:tc>
        <w:tc>
          <w:tcPr>
            <w:tcW w:w="1592" w:type="dxa"/>
            <w:tcBorders>
              <w:top w:val="single" w:sz="4" w:space="0" w:color="auto"/>
              <w:left w:val="single" w:sz="4" w:space="0" w:color="auto"/>
              <w:bottom w:val="single" w:sz="4" w:space="0" w:color="auto"/>
              <w:right w:val="single" w:sz="4" w:space="0" w:color="auto"/>
            </w:tcBorders>
          </w:tcPr>
          <w:p w14:paraId="0EB49A49" w14:textId="77777777" w:rsidR="000305DD" w:rsidRPr="00F24972" w:rsidRDefault="000305DD" w:rsidP="000305DD">
            <w:pPr>
              <w:pStyle w:val="TableText"/>
              <w:rPr>
                <w:rFonts w:cs="Arial"/>
              </w:rPr>
            </w:pPr>
            <w:r>
              <w:rPr>
                <w:rFonts w:cs="Arial"/>
              </w:rPr>
              <w:t>Enter Post Transfusion Data</w:t>
            </w:r>
          </w:p>
        </w:tc>
        <w:tc>
          <w:tcPr>
            <w:tcW w:w="1080" w:type="dxa"/>
            <w:tcBorders>
              <w:top w:val="single" w:sz="4" w:space="0" w:color="auto"/>
              <w:left w:val="single" w:sz="4" w:space="0" w:color="auto"/>
              <w:bottom w:val="single" w:sz="4" w:space="0" w:color="auto"/>
              <w:right w:val="single" w:sz="4" w:space="0" w:color="auto"/>
            </w:tcBorders>
          </w:tcPr>
          <w:p w14:paraId="418F97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CBF2635"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0C298278" w14:textId="77777777" w:rsidR="000305DD" w:rsidRPr="00F24972" w:rsidRDefault="000305DD" w:rsidP="000305DD">
            <w:pPr>
              <w:pStyle w:val="TableText"/>
              <w:rPr>
                <w:rFonts w:cs="Arial"/>
                <w:i/>
              </w:rPr>
            </w:pPr>
            <w:r w:rsidRPr="00F24972">
              <w:rPr>
                <w:rFonts w:cs="Arial"/>
              </w:rPr>
              <w:t xml:space="preserve">Accrue workload when an individual blood unit’s status is updated to transfused by </w:t>
            </w:r>
            <w:r>
              <w:rPr>
                <w:rFonts w:cs="Arial"/>
              </w:rPr>
              <w:t>Enter Post-Transfusion Details</w:t>
            </w:r>
            <w:r w:rsidRPr="00F24972">
              <w:rPr>
                <w:rFonts w:cs="Arial"/>
              </w:rPr>
              <w:t xml:space="preserve"> basic flow or Alt Flow A. </w:t>
            </w:r>
          </w:p>
        </w:tc>
      </w:tr>
      <w:tr w:rsidR="000305DD" w:rsidRPr="00F24972" w14:paraId="75608F7C" w14:textId="77777777" w:rsidTr="00FA340F">
        <w:trPr>
          <w:cantSplit/>
        </w:trPr>
        <w:tc>
          <w:tcPr>
            <w:tcW w:w="1733" w:type="dxa"/>
            <w:vMerge/>
            <w:tcBorders>
              <w:left w:val="single" w:sz="4" w:space="0" w:color="auto"/>
              <w:right w:val="single" w:sz="4" w:space="0" w:color="auto"/>
            </w:tcBorders>
          </w:tcPr>
          <w:p w14:paraId="325B8DBD" w14:textId="77777777" w:rsidR="000305DD" w:rsidRPr="00F24972" w:rsidRDefault="000305DD" w:rsidP="000305DD">
            <w:pPr>
              <w:pStyle w:val="TableText"/>
              <w:rPr>
                <w:rFonts w:cs="Arial"/>
              </w:rPr>
            </w:pPr>
          </w:p>
        </w:tc>
        <w:tc>
          <w:tcPr>
            <w:tcW w:w="1592" w:type="dxa"/>
            <w:tcBorders>
              <w:left w:val="single" w:sz="4" w:space="0" w:color="auto"/>
            </w:tcBorders>
          </w:tcPr>
          <w:p w14:paraId="7D595BD4" w14:textId="77777777" w:rsidR="000305DD" w:rsidRPr="00F24972" w:rsidRDefault="000305DD" w:rsidP="000305DD">
            <w:pPr>
              <w:pStyle w:val="TableText"/>
              <w:rPr>
                <w:rFonts w:cs="Arial"/>
              </w:rPr>
            </w:pPr>
            <w:r>
              <w:rPr>
                <w:rFonts w:cs="Arial"/>
              </w:rPr>
              <w:t>Invalidate Unit Status, Transfused</w:t>
            </w:r>
          </w:p>
        </w:tc>
        <w:tc>
          <w:tcPr>
            <w:tcW w:w="1080" w:type="dxa"/>
          </w:tcPr>
          <w:p w14:paraId="6824E1DA" w14:textId="77777777" w:rsidR="000305DD" w:rsidRPr="00F24972" w:rsidRDefault="000305DD" w:rsidP="000305DD">
            <w:pPr>
              <w:pStyle w:val="TableText"/>
              <w:rPr>
                <w:rFonts w:cs="Arial"/>
                <w:b/>
              </w:rPr>
            </w:pPr>
            <w:r w:rsidRPr="00F24972">
              <w:rPr>
                <w:rFonts w:cs="Arial"/>
                <w:b/>
              </w:rPr>
              <w:t>Negative</w:t>
            </w:r>
          </w:p>
        </w:tc>
        <w:tc>
          <w:tcPr>
            <w:tcW w:w="900" w:type="dxa"/>
          </w:tcPr>
          <w:p w14:paraId="69F9628D" w14:textId="77777777" w:rsidR="000305DD" w:rsidRPr="00F24972" w:rsidRDefault="000305DD" w:rsidP="000305DD">
            <w:pPr>
              <w:pStyle w:val="TableText"/>
              <w:jc w:val="center"/>
              <w:rPr>
                <w:rFonts w:cs="Arial"/>
              </w:rPr>
            </w:pPr>
            <w:r w:rsidRPr="00F24972">
              <w:rPr>
                <w:rFonts w:cs="Arial"/>
              </w:rPr>
              <w:t>U</w:t>
            </w:r>
          </w:p>
        </w:tc>
        <w:tc>
          <w:tcPr>
            <w:tcW w:w="4950" w:type="dxa"/>
          </w:tcPr>
          <w:p w14:paraId="1F46ACD1" w14:textId="77777777" w:rsidR="000305DD" w:rsidRPr="00F24972" w:rsidRDefault="000305DD" w:rsidP="000305DD">
            <w:pPr>
              <w:pStyle w:val="TableText"/>
              <w:rPr>
                <w:rFonts w:cs="Arial"/>
              </w:rPr>
            </w:pPr>
            <w:r w:rsidRPr="00F24972">
              <w:rPr>
                <w:rFonts w:cs="Arial"/>
              </w:rPr>
              <w:t>An individual blood unit’s status is invalided when the unit was in a status of transfused.</w:t>
            </w:r>
          </w:p>
        </w:tc>
      </w:tr>
      <w:tr w:rsidR="000305DD" w:rsidRPr="00F24972" w14:paraId="48EA0690" w14:textId="77777777" w:rsidTr="00FA340F">
        <w:trPr>
          <w:cantSplit/>
        </w:trPr>
        <w:tc>
          <w:tcPr>
            <w:tcW w:w="1733" w:type="dxa"/>
            <w:vMerge w:val="restart"/>
          </w:tcPr>
          <w:p w14:paraId="146D85C8" w14:textId="77777777" w:rsidR="000305DD" w:rsidRPr="00F24972" w:rsidRDefault="000305DD" w:rsidP="000305DD">
            <w:pPr>
              <w:pStyle w:val="TableText"/>
              <w:rPr>
                <w:rFonts w:cs="Arial"/>
              </w:rPr>
            </w:pPr>
            <w:r w:rsidRPr="00F24972">
              <w:rPr>
                <w:rFonts w:cs="Arial"/>
              </w:rPr>
              <w:t>Transfusion Reaction Investigation</w:t>
            </w:r>
          </w:p>
        </w:tc>
        <w:tc>
          <w:tcPr>
            <w:tcW w:w="1592" w:type="dxa"/>
            <w:tcBorders>
              <w:bottom w:val="single" w:sz="4" w:space="0" w:color="auto"/>
            </w:tcBorders>
          </w:tcPr>
          <w:p w14:paraId="48B1F557" w14:textId="77777777" w:rsidR="000305DD" w:rsidRPr="00F24972" w:rsidRDefault="000305DD" w:rsidP="000305DD">
            <w:pPr>
              <w:pStyle w:val="TableText"/>
              <w:rPr>
                <w:rFonts w:cs="Arial"/>
              </w:rPr>
            </w:pPr>
            <w:r>
              <w:rPr>
                <w:rFonts w:cs="Arial"/>
              </w:rPr>
              <w:t>Patient Testing, TRW</w:t>
            </w:r>
          </w:p>
          <w:p w14:paraId="6E1DE079" w14:textId="77777777" w:rsidR="000305DD" w:rsidRPr="00F24972" w:rsidRDefault="000305DD" w:rsidP="000305DD">
            <w:pPr>
              <w:pStyle w:val="TableText"/>
              <w:rPr>
                <w:rFonts w:cs="Arial"/>
              </w:rPr>
            </w:pPr>
          </w:p>
          <w:p w14:paraId="0B3961F2" w14:textId="77777777" w:rsidR="000305DD" w:rsidRPr="00F24972" w:rsidRDefault="000305DD" w:rsidP="000305DD">
            <w:pPr>
              <w:pStyle w:val="TableText"/>
              <w:rPr>
                <w:rFonts w:cs="Arial"/>
              </w:rPr>
            </w:pPr>
          </w:p>
        </w:tc>
        <w:tc>
          <w:tcPr>
            <w:tcW w:w="1080" w:type="dxa"/>
            <w:tcBorders>
              <w:bottom w:val="single" w:sz="4" w:space="0" w:color="auto"/>
            </w:tcBorders>
          </w:tcPr>
          <w:p w14:paraId="336F2841"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4A6806F3" w14:textId="77777777" w:rsidR="000305DD" w:rsidRPr="00F24972" w:rsidRDefault="000305DD" w:rsidP="000305DD">
            <w:pPr>
              <w:pStyle w:val="TableText"/>
              <w:jc w:val="center"/>
              <w:rPr>
                <w:rFonts w:cs="Arial"/>
              </w:rPr>
            </w:pPr>
            <w:r w:rsidRPr="00F24972">
              <w:rPr>
                <w:rFonts w:cs="Arial"/>
              </w:rPr>
              <w:t>P</w:t>
            </w:r>
          </w:p>
        </w:tc>
        <w:tc>
          <w:tcPr>
            <w:tcW w:w="4950" w:type="dxa"/>
            <w:tcBorders>
              <w:bottom w:val="single" w:sz="4" w:space="0" w:color="auto"/>
            </w:tcBorders>
          </w:tcPr>
          <w:p w14:paraId="13DF811B" w14:textId="77777777" w:rsidR="000305DD" w:rsidRPr="00F24972" w:rsidRDefault="000305DD" w:rsidP="000305DD">
            <w:pPr>
              <w:pStyle w:val="TableText"/>
              <w:rPr>
                <w:rFonts w:cs="Arial"/>
                <w:i/>
              </w:rPr>
            </w:pPr>
            <w:r w:rsidRPr="00F24972">
              <w:rPr>
                <w:rFonts w:cs="Arial"/>
              </w:rPr>
              <w:t xml:space="preserve">Accrue workload when a transfusion reaction investigation is saved by </w:t>
            </w:r>
            <w:r>
              <w:rPr>
                <w:rFonts w:cs="Arial"/>
              </w:rPr>
              <w:t>Record Transfusion Reaction Workup</w:t>
            </w:r>
            <w:r w:rsidRPr="00F24972">
              <w:rPr>
                <w:rFonts w:cs="Arial"/>
              </w:rPr>
              <w:t xml:space="preserve">. </w:t>
            </w:r>
            <w:r w:rsidRPr="00F24972">
              <w:rPr>
                <w:rFonts w:cs="Arial"/>
                <w:i/>
              </w:rPr>
              <w:t xml:space="preserve">This does </w:t>
            </w:r>
            <w:r w:rsidRPr="00F24972">
              <w:rPr>
                <w:rFonts w:cs="Arial"/>
              </w:rPr>
              <w:t>not</w:t>
            </w:r>
            <w:r w:rsidRPr="00F24972">
              <w:rPr>
                <w:rFonts w:cs="Arial"/>
                <w:i/>
              </w:rPr>
              <w:t xml:space="preserve"> include workload accrued by the optional TRW serologic testing.</w:t>
            </w:r>
          </w:p>
          <w:p w14:paraId="0068A0B6" w14:textId="77777777" w:rsidR="000305DD" w:rsidRPr="00F24972" w:rsidRDefault="000305DD" w:rsidP="000305DD">
            <w:pPr>
              <w:pStyle w:val="TableText"/>
              <w:rPr>
                <w:rFonts w:cs="Arial"/>
              </w:rPr>
            </w:pPr>
            <w:r w:rsidRPr="00F24972">
              <w:rPr>
                <w:rFonts w:cs="Arial"/>
              </w:rPr>
              <w:t xml:space="preserve">Note: The </w:t>
            </w:r>
            <w:r>
              <w:rPr>
                <w:rFonts w:cs="Arial"/>
              </w:rPr>
              <w:t>Division Workload Report</w:t>
            </w:r>
            <w:r w:rsidRPr="00F24972">
              <w:rPr>
                <w:rFonts w:cs="Arial"/>
              </w:rPr>
              <w:t xml:space="preserve"> workload report reports the sum of Workload Events recorded in </w:t>
            </w:r>
            <w:r>
              <w:rPr>
                <w:rFonts w:cs="Arial"/>
              </w:rPr>
              <w:t>Record Transfusion Reaction Workup</w:t>
            </w:r>
            <w:r w:rsidRPr="00F24972">
              <w:rPr>
                <w:rFonts w:cs="Arial"/>
              </w:rPr>
              <w:t xml:space="preserve"> for an individual TRW.</w:t>
            </w:r>
          </w:p>
        </w:tc>
      </w:tr>
      <w:tr w:rsidR="000305DD" w:rsidRPr="00F24972" w14:paraId="0A2ECA72" w14:textId="77777777" w:rsidTr="00FA340F">
        <w:trPr>
          <w:cantSplit/>
        </w:trPr>
        <w:tc>
          <w:tcPr>
            <w:tcW w:w="1733" w:type="dxa"/>
            <w:vMerge/>
            <w:tcBorders>
              <w:bottom w:val="single" w:sz="4" w:space="0" w:color="auto"/>
            </w:tcBorders>
          </w:tcPr>
          <w:p w14:paraId="550A8EBD"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112DB61" w14:textId="77777777" w:rsidR="000305DD" w:rsidRPr="00F24972" w:rsidRDefault="000305DD" w:rsidP="000305DD">
            <w:pPr>
              <w:pStyle w:val="TableText"/>
              <w:rPr>
                <w:rFonts w:cs="Arial"/>
              </w:rPr>
            </w:pPr>
            <w:r>
              <w:rPr>
                <w:rFonts w:cs="Arial"/>
              </w:rPr>
              <w:t>Invalidate Patient Testing, TRW</w:t>
            </w:r>
          </w:p>
        </w:tc>
        <w:tc>
          <w:tcPr>
            <w:tcW w:w="1080" w:type="dxa"/>
            <w:tcBorders>
              <w:top w:val="single" w:sz="4" w:space="0" w:color="auto"/>
              <w:left w:val="single" w:sz="4" w:space="0" w:color="auto"/>
              <w:bottom w:val="single" w:sz="4" w:space="0" w:color="auto"/>
              <w:right w:val="single" w:sz="4" w:space="0" w:color="auto"/>
            </w:tcBorders>
          </w:tcPr>
          <w:p w14:paraId="1B76CF3D"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37F91713"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69F70B6B" w14:textId="77777777" w:rsidR="000305DD" w:rsidRPr="00F24972" w:rsidRDefault="000305DD" w:rsidP="000305DD">
            <w:pPr>
              <w:pStyle w:val="TableText"/>
              <w:rPr>
                <w:rFonts w:cs="Arial"/>
              </w:rPr>
            </w:pPr>
            <w:r w:rsidRPr="00F24972">
              <w:rPr>
                <w:rFonts w:cs="Arial"/>
              </w:rPr>
              <w:t xml:space="preserve">Accrue workload when a transfusion reaction investigation previously saved by </w:t>
            </w:r>
            <w:r>
              <w:rPr>
                <w:rFonts w:cs="Arial"/>
              </w:rPr>
              <w:t>Record Transfusion Reaction Workup</w:t>
            </w:r>
            <w:r w:rsidRPr="00F24972">
              <w:rPr>
                <w:rFonts w:cs="Arial"/>
              </w:rPr>
              <w:t xml:space="preserve"> is invalidated. The workload for the transfusion reaction, as well as all of the workload accrued by the optional TRW serologic testing (pre- and post-ABO/Rh, pre- and post-ABS, pre- and post-DAT) are invalidated, as included in selected TRW (</w:t>
            </w:r>
            <w:r>
              <w:rPr>
                <w:rFonts w:cs="Arial"/>
              </w:rPr>
              <w:t>Record Transfusion Reaction Workup</w:t>
            </w:r>
            <w:r w:rsidRPr="00F24972">
              <w:rPr>
                <w:rFonts w:cs="Arial"/>
              </w:rPr>
              <w:t>).</w:t>
            </w:r>
          </w:p>
          <w:p w14:paraId="457DE7B4" w14:textId="77777777" w:rsidR="000305DD" w:rsidRPr="00F24972" w:rsidRDefault="000305DD" w:rsidP="000305DD">
            <w:pPr>
              <w:pStyle w:val="TableText"/>
              <w:rPr>
                <w:rFonts w:cs="Arial"/>
              </w:rPr>
            </w:pPr>
            <w:r w:rsidRPr="00F24972">
              <w:rPr>
                <w:rFonts w:cs="Arial"/>
                <w:i/>
              </w:rPr>
              <w:t>Note: Any pre- or post-crossmatch tests performed as part of the TRW must be invalidated individually.</w:t>
            </w:r>
          </w:p>
        </w:tc>
      </w:tr>
      <w:tr w:rsidR="000305DD" w:rsidRPr="00F24972" w14:paraId="109B8094" w14:textId="77777777" w:rsidTr="00FA340F">
        <w:trPr>
          <w:cantSplit/>
        </w:trPr>
        <w:tc>
          <w:tcPr>
            <w:tcW w:w="1733" w:type="dxa"/>
            <w:vMerge w:val="restart"/>
          </w:tcPr>
          <w:p w14:paraId="40193A07" w14:textId="77777777" w:rsidR="000305DD" w:rsidRPr="00F24972" w:rsidRDefault="000305DD" w:rsidP="000305DD">
            <w:pPr>
              <w:pStyle w:val="TableText"/>
              <w:rPr>
                <w:rFonts w:cs="Arial"/>
              </w:rPr>
            </w:pPr>
            <w:r w:rsidRPr="00F24972">
              <w:rPr>
                <w:rFonts w:cs="Arial"/>
              </w:rPr>
              <w:t>Unit Antigen phenotyping, Multiple Test phases</w:t>
            </w:r>
          </w:p>
        </w:tc>
        <w:tc>
          <w:tcPr>
            <w:tcW w:w="1592" w:type="dxa"/>
          </w:tcPr>
          <w:p w14:paraId="22D3E461" w14:textId="77777777" w:rsidR="000305DD" w:rsidRPr="00F24972" w:rsidRDefault="000305DD" w:rsidP="000305DD">
            <w:pPr>
              <w:pStyle w:val="TableText"/>
              <w:rPr>
                <w:rFonts w:cs="Arial"/>
              </w:rPr>
            </w:pPr>
            <w:r>
              <w:rPr>
                <w:rFonts w:cs="Arial"/>
              </w:rPr>
              <w:t>Unit Antigen typing</w:t>
            </w:r>
          </w:p>
          <w:p w14:paraId="35ED1BCE" w14:textId="77777777" w:rsidR="000305DD" w:rsidRPr="00F24972" w:rsidRDefault="000305DD" w:rsidP="000305DD">
            <w:pPr>
              <w:pStyle w:val="TableText"/>
              <w:rPr>
                <w:rFonts w:cs="Arial"/>
              </w:rPr>
            </w:pPr>
          </w:p>
        </w:tc>
        <w:tc>
          <w:tcPr>
            <w:tcW w:w="1080" w:type="dxa"/>
          </w:tcPr>
          <w:p w14:paraId="64507B03" w14:textId="77777777" w:rsidR="000305DD" w:rsidRPr="00F24972" w:rsidRDefault="000305DD" w:rsidP="000305DD">
            <w:pPr>
              <w:pStyle w:val="TableText"/>
              <w:rPr>
                <w:rFonts w:cs="Arial"/>
              </w:rPr>
            </w:pPr>
            <w:r w:rsidRPr="00F24972">
              <w:rPr>
                <w:rFonts w:cs="Arial"/>
              </w:rPr>
              <w:t>Positive</w:t>
            </w:r>
          </w:p>
        </w:tc>
        <w:tc>
          <w:tcPr>
            <w:tcW w:w="900" w:type="dxa"/>
          </w:tcPr>
          <w:p w14:paraId="7E8BFF5F" w14:textId="77777777" w:rsidR="000305DD" w:rsidRPr="00F24972" w:rsidRDefault="000305DD" w:rsidP="000305DD">
            <w:pPr>
              <w:pStyle w:val="TableText"/>
              <w:jc w:val="center"/>
              <w:rPr>
                <w:rFonts w:cs="Arial"/>
              </w:rPr>
            </w:pPr>
            <w:r w:rsidRPr="00F24972">
              <w:rPr>
                <w:rFonts w:cs="Arial"/>
              </w:rPr>
              <w:t>U</w:t>
            </w:r>
          </w:p>
        </w:tc>
        <w:tc>
          <w:tcPr>
            <w:tcW w:w="4950" w:type="dxa"/>
          </w:tcPr>
          <w:p w14:paraId="5BD0E52F" w14:textId="77777777" w:rsidR="000305DD" w:rsidRPr="00F24972" w:rsidRDefault="000305DD" w:rsidP="000305DD">
            <w:pPr>
              <w:pStyle w:val="TableText"/>
              <w:rPr>
                <w:rFonts w:cs="Arial"/>
              </w:rPr>
            </w:pPr>
            <w:r w:rsidRPr="00F24972">
              <w:rPr>
                <w:rFonts w:cs="Arial"/>
              </w:rPr>
              <w:t>Accrue workload when a unit antigen phenotype test [specificity (tab)] with IS/RT or IS/37 phases is selected and completed for an individual blood unit (row).</w:t>
            </w:r>
          </w:p>
          <w:p w14:paraId="77F517B5" w14:textId="77777777" w:rsidR="000305DD" w:rsidRPr="00F24972" w:rsidRDefault="000305DD" w:rsidP="000305DD">
            <w:pPr>
              <w:pStyle w:val="TableText"/>
              <w:rPr>
                <w:rFonts w:cs="Arial"/>
              </w:rPr>
            </w:pPr>
            <w:r w:rsidRPr="00F24972">
              <w:rPr>
                <w:rFonts w:cs="Arial"/>
              </w:rPr>
              <w:t>No special handling for workload collection for additional repeat antigen typing tests on a unit.</w:t>
            </w:r>
          </w:p>
        </w:tc>
      </w:tr>
      <w:tr w:rsidR="000305DD" w:rsidRPr="00F24972" w14:paraId="4A595575" w14:textId="77777777" w:rsidTr="00FA340F">
        <w:trPr>
          <w:cantSplit/>
        </w:trPr>
        <w:tc>
          <w:tcPr>
            <w:tcW w:w="1733" w:type="dxa"/>
            <w:vMerge/>
          </w:tcPr>
          <w:p w14:paraId="38A07120" w14:textId="77777777" w:rsidR="000305DD" w:rsidRPr="00F24972" w:rsidRDefault="000305DD" w:rsidP="000305DD">
            <w:pPr>
              <w:pStyle w:val="TableText"/>
              <w:rPr>
                <w:rFonts w:cs="Arial"/>
              </w:rPr>
            </w:pPr>
          </w:p>
        </w:tc>
        <w:tc>
          <w:tcPr>
            <w:tcW w:w="1592" w:type="dxa"/>
          </w:tcPr>
          <w:p w14:paraId="7E20BDC6"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491D5D60" w14:textId="77777777" w:rsidR="000305DD" w:rsidRPr="00F24972" w:rsidRDefault="000305DD" w:rsidP="000305DD">
            <w:pPr>
              <w:pStyle w:val="TableText"/>
              <w:rPr>
                <w:rFonts w:cs="Arial"/>
                <w:b/>
              </w:rPr>
            </w:pPr>
            <w:r w:rsidRPr="00F24972">
              <w:rPr>
                <w:rFonts w:cs="Arial"/>
                <w:b/>
              </w:rPr>
              <w:t>Negative</w:t>
            </w:r>
          </w:p>
        </w:tc>
        <w:tc>
          <w:tcPr>
            <w:tcW w:w="900" w:type="dxa"/>
          </w:tcPr>
          <w:p w14:paraId="0693FCE0" w14:textId="77777777" w:rsidR="000305DD" w:rsidRPr="00F24972" w:rsidRDefault="000305DD" w:rsidP="000305DD">
            <w:pPr>
              <w:pStyle w:val="TableText"/>
              <w:jc w:val="center"/>
              <w:rPr>
                <w:rFonts w:cs="Arial"/>
              </w:rPr>
            </w:pPr>
            <w:r w:rsidRPr="00F24972">
              <w:rPr>
                <w:rFonts w:cs="Arial"/>
              </w:rPr>
              <w:t>U</w:t>
            </w:r>
          </w:p>
        </w:tc>
        <w:tc>
          <w:tcPr>
            <w:tcW w:w="4950" w:type="dxa"/>
          </w:tcPr>
          <w:p w14:paraId="7658DE69" w14:textId="77777777" w:rsidR="000305DD" w:rsidRPr="00F24972" w:rsidRDefault="000305DD" w:rsidP="000305DD">
            <w:pPr>
              <w:pStyle w:val="TableText"/>
              <w:rPr>
                <w:rFonts w:cs="Arial"/>
              </w:rPr>
            </w:pPr>
            <w:r w:rsidRPr="00F24972">
              <w:rPr>
                <w:rFonts w:cs="Arial"/>
              </w:rPr>
              <w:t>Accrue workload when a unit antigen phenotype test (specificity) with Multiple Test phases is invalidated for an individual blood unit.</w:t>
            </w:r>
          </w:p>
        </w:tc>
      </w:tr>
      <w:tr w:rsidR="000305DD" w:rsidRPr="00F24972" w14:paraId="7FD2FE17" w14:textId="77777777" w:rsidTr="00FA340F">
        <w:trPr>
          <w:cantSplit/>
        </w:trPr>
        <w:tc>
          <w:tcPr>
            <w:tcW w:w="1733" w:type="dxa"/>
            <w:vMerge w:val="restart"/>
            <w:tcBorders>
              <w:top w:val="single" w:sz="4" w:space="0" w:color="auto"/>
              <w:left w:val="single" w:sz="4" w:space="0" w:color="auto"/>
              <w:right w:val="single" w:sz="4" w:space="0" w:color="auto"/>
            </w:tcBorders>
          </w:tcPr>
          <w:p w14:paraId="60305852" w14:textId="77777777" w:rsidR="000305DD" w:rsidRPr="00F24972" w:rsidRDefault="000305DD" w:rsidP="000305DD">
            <w:pPr>
              <w:pStyle w:val="TableText"/>
              <w:rPr>
                <w:rFonts w:cs="Arial"/>
              </w:rPr>
            </w:pPr>
            <w:r w:rsidRPr="00F24972">
              <w:rPr>
                <w:rFonts w:cs="Arial"/>
              </w:rPr>
              <w:t>Unit Antigen phenotyping, Single Test phase</w:t>
            </w:r>
          </w:p>
        </w:tc>
        <w:tc>
          <w:tcPr>
            <w:tcW w:w="1592" w:type="dxa"/>
            <w:tcBorders>
              <w:top w:val="single" w:sz="4" w:space="0" w:color="auto"/>
              <w:left w:val="single" w:sz="4" w:space="0" w:color="auto"/>
              <w:bottom w:val="single" w:sz="4" w:space="0" w:color="auto"/>
              <w:right w:val="single" w:sz="4" w:space="0" w:color="auto"/>
            </w:tcBorders>
          </w:tcPr>
          <w:p w14:paraId="39B9346E" w14:textId="77777777" w:rsidR="000305DD" w:rsidRPr="00F24972" w:rsidRDefault="000305DD" w:rsidP="000305DD">
            <w:pPr>
              <w:pStyle w:val="TableText"/>
              <w:rPr>
                <w:rFonts w:cs="Arial"/>
              </w:rPr>
            </w:pPr>
            <w:r>
              <w:rPr>
                <w:rFonts w:cs="Arial"/>
              </w:rPr>
              <w:t>Unit Antigen typing</w:t>
            </w:r>
          </w:p>
          <w:p w14:paraId="111D365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8BB0518"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9BF40DD"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9281B47" w14:textId="77777777" w:rsidR="000305DD" w:rsidRPr="00F24972" w:rsidRDefault="000305DD" w:rsidP="000305DD">
            <w:pPr>
              <w:pStyle w:val="TableText"/>
              <w:rPr>
                <w:rFonts w:cs="Arial"/>
              </w:rPr>
            </w:pPr>
            <w:r w:rsidRPr="00F24972">
              <w:rPr>
                <w:rFonts w:cs="Arial"/>
              </w:rPr>
              <w:t xml:space="preserve">A unit (row) antigen phenotype test [specificity (tab)] with AHG or IS phase is selected and completed for an individual blood unit (row). </w:t>
            </w:r>
          </w:p>
          <w:p w14:paraId="02AB4717" w14:textId="77777777" w:rsidR="000305DD" w:rsidRPr="00F24972" w:rsidRDefault="000305DD" w:rsidP="000305DD">
            <w:pPr>
              <w:pStyle w:val="TableText"/>
              <w:rPr>
                <w:rFonts w:cs="Arial"/>
              </w:rPr>
            </w:pPr>
            <w:r w:rsidRPr="00F24972">
              <w:rPr>
                <w:rFonts w:cs="Arial"/>
              </w:rPr>
              <w:t>No special handling for workload collection for additional repeat antigen typing tests on a unit.</w:t>
            </w:r>
          </w:p>
        </w:tc>
      </w:tr>
      <w:tr w:rsidR="000305DD" w:rsidRPr="00F24972" w14:paraId="71FDBEAA" w14:textId="77777777" w:rsidTr="00FA340F">
        <w:trPr>
          <w:cantSplit/>
        </w:trPr>
        <w:tc>
          <w:tcPr>
            <w:tcW w:w="1733" w:type="dxa"/>
            <w:vMerge/>
            <w:tcBorders>
              <w:left w:val="single" w:sz="4" w:space="0" w:color="auto"/>
              <w:right w:val="single" w:sz="4" w:space="0" w:color="auto"/>
            </w:tcBorders>
          </w:tcPr>
          <w:p w14:paraId="5C6AB629" w14:textId="77777777" w:rsidR="000305DD" w:rsidRPr="00F24972" w:rsidRDefault="000305DD" w:rsidP="000305DD">
            <w:pPr>
              <w:pStyle w:val="TableText"/>
              <w:rPr>
                <w:rFonts w:cs="Arial"/>
              </w:rPr>
            </w:pPr>
          </w:p>
        </w:tc>
        <w:tc>
          <w:tcPr>
            <w:tcW w:w="1592" w:type="dxa"/>
            <w:tcBorders>
              <w:left w:val="single" w:sz="4" w:space="0" w:color="auto"/>
            </w:tcBorders>
          </w:tcPr>
          <w:p w14:paraId="04DB32C4"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683743F2" w14:textId="77777777" w:rsidR="000305DD" w:rsidRPr="00F24972" w:rsidRDefault="000305DD" w:rsidP="000305DD">
            <w:pPr>
              <w:pStyle w:val="TableText"/>
              <w:rPr>
                <w:rFonts w:cs="Arial"/>
                <w:b/>
              </w:rPr>
            </w:pPr>
            <w:r w:rsidRPr="00F24972">
              <w:rPr>
                <w:rFonts w:cs="Arial"/>
                <w:b/>
              </w:rPr>
              <w:t>Negative</w:t>
            </w:r>
          </w:p>
        </w:tc>
        <w:tc>
          <w:tcPr>
            <w:tcW w:w="900" w:type="dxa"/>
          </w:tcPr>
          <w:p w14:paraId="2B368457" w14:textId="77777777" w:rsidR="000305DD" w:rsidRPr="00F24972" w:rsidRDefault="000305DD" w:rsidP="000305DD">
            <w:pPr>
              <w:pStyle w:val="TableText"/>
              <w:jc w:val="center"/>
              <w:rPr>
                <w:rFonts w:cs="Arial"/>
              </w:rPr>
            </w:pPr>
            <w:r w:rsidRPr="00F24972">
              <w:rPr>
                <w:rFonts w:cs="Arial"/>
              </w:rPr>
              <w:t>U</w:t>
            </w:r>
          </w:p>
        </w:tc>
        <w:tc>
          <w:tcPr>
            <w:tcW w:w="4950" w:type="dxa"/>
          </w:tcPr>
          <w:p w14:paraId="657FC6E2" w14:textId="77777777" w:rsidR="000305DD" w:rsidRPr="00F24972" w:rsidRDefault="000305DD" w:rsidP="000305DD">
            <w:pPr>
              <w:pStyle w:val="TableText"/>
              <w:rPr>
                <w:rFonts w:cs="Arial"/>
              </w:rPr>
            </w:pPr>
            <w:r w:rsidRPr="00F24972">
              <w:rPr>
                <w:rFonts w:cs="Arial"/>
              </w:rPr>
              <w:t>Accrue workload when a unit antigen phenotype test (specificity) with Single Test phase is invalidated for an individual blood unit.</w:t>
            </w:r>
          </w:p>
        </w:tc>
      </w:tr>
      <w:tr w:rsidR="000305DD" w:rsidRPr="00F24972" w14:paraId="4DA911E0" w14:textId="77777777" w:rsidTr="00FA340F">
        <w:trPr>
          <w:cantSplit/>
        </w:trPr>
        <w:tc>
          <w:tcPr>
            <w:tcW w:w="1733" w:type="dxa"/>
            <w:vMerge w:val="restart"/>
            <w:tcBorders>
              <w:top w:val="single" w:sz="4" w:space="0" w:color="auto"/>
              <w:left w:val="single" w:sz="4" w:space="0" w:color="auto"/>
              <w:right w:val="single" w:sz="4" w:space="0" w:color="auto"/>
            </w:tcBorders>
          </w:tcPr>
          <w:p w14:paraId="2E88758C" w14:textId="77777777" w:rsidR="000305DD" w:rsidRPr="00F24972" w:rsidRDefault="000305DD" w:rsidP="000305DD">
            <w:pPr>
              <w:pStyle w:val="TableText"/>
              <w:rPr>
                <w:rFonts w:cs="Arial"/>
              </w:rPr>
            </w:pPr>
            <w:r w:rsidRPr="00F24972">
              <w:rPr>
                <w:rFonts w:cs="Arial"/>
              </w:rPr>
              <w:t>Unit login</w:t>
            </w:r>
          </w:p>
          <w:p w14:paraId="44124404"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0BC82439" w14:textId="77777777" w:rsidR="000305DD" w:rsidRPr="00F24972" w:rsidRDefault="000305DD" w:rsidP="000305DD">
            <w:pPr>
              <w:pStyle w:val="TableText"/>
              <w:rPr>
                <w:rFonts w:cs="Arial"/>
              </w:rPr>
            </w:pPr>
            <w:r>
              <w:rPr>
                <w:rFonts w:cs="Arial"/>
              </w:rPr>
              <w:t>Incoming Shipment</w:t>
            </w:r>
          </w:p>
        </w:tc>
        <w:tc>
          <w:tcPr>
            <w:tcW w:w="1080" w:type="dxa"/>
            <w:tcBorders>
              <w:top w:val="single" w:sz="4" w:space="0" w:color="auto"/>
              <w:left w:val="single" w:sz="4" w:space="0" w:color="auto"/>
              <w:bottom w:val="single" w:sz="4" w:space="0" w:color="auto"/>
              <w:right w:val="single" w:sz="4" w:space="0" w:color="auto"/>
            </w:tcBorders>
          </w:tcPr>
          <w:p w14:paraId="18225F3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79ABD03D"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4F60BFC0" w14:textId="4594A9FF" w:rsidR="000305DD" w:rsidRPr="00F24972" w:rsidRDefault="000305DD" w:rsidP="000305DD">
            <w:pPr>
              <w:pStyle w:val="TableText"/>
              <w:rPr>
                <w:rFonts w:cs="Arial"/>
              </w:rPr>
            </w:pPr>
            <w:r w:rsidRPr="00F24972">
              <w:rPr>
                <w:rFonts w:cs="Arial"/>
              </w:rPr>
              <w:t xml:space="preserve">An individual unit record is activated as saved to an incoming shipment invoice. When </w:t>
            </w:r>
            <w:r w:rsidR="00AE3B37" w:rsidRPr="00F24972">
              <w:rPr>
                <w:rFonts w:cs="Arial"/>
              </w:rPr>
              <w:t>multiple units</w:t>
            </w:r>
            <w:r w:rsidRPr="00F24972">
              <w:rPr>
                <w:rFonts w:cs="Arial"/>
              </w:rPr>
              <w:t xml:space="preserve"> are entered, each unit added to the database accrues workload.</w:t>
            </w:r>
          </w:p>
        </w:tc>
      </w:tr>
      <w:tr w:rsidR="000305DD" w:rsidRPr="00F24972" w14:paraId="546B1880" w14:textId="77777777" w:rsidTr="00FA340F">
        <w:trPr>
          <w:cantSplit/>
        </w:trPr>
        <w:tc>
          <w:tcPr>
            <w:tcW w:w="1733" w:type="dxa"/>
            <w:vMerge/>
            <w:tcBorders>
              <w:left w:val="single" w:sz="4" w:space="0" w:color="auto"/>
              <w:right w:val="single" w:sz="4" w:space="0" w:color="auto"/>
            </w:tcBorders>
          </w:tcPr>
          <w:p w14:paraId="6A1F9225" w14:textId="77777777" w:rsidR="000305DD" w:rsidRPr="00F24972" w:rsidRDefault="000305DD" w:rsidP="000305DD">
            <w:pPr>
              <w:pStyle w:val="TableText"/>
              <w:rPr>
                <w:rFonts w:cs="Arial"/>
              </w:rPr>
            </w:pPr>
          </w:p>
        </w:tc>
        <w:tc>
          <w:tcPr>
            <w:tcW w:w="1592" w:type="dxa"/>
            <w:tcBorders>
              <w:left w:val="single" w:sz="4" w:space="0" w:color="auto"/>
            </w:tcBorders>
          </w:tcPr>
          <w:p w14:paraId="58367220"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3BC529EA" w14:textId="77777777" w:rsidR="000305DD" w:rsidRPr="00F24972" w:rsidRDefault="000305DD" w:rsidP="000305DD">
            <w:pPr>
              <w:pStyle w:val="TableText"/>
              <w:rPr>
                <w:rFonts w:cs="Arial"/>
                <w:b/>
              </w:rPr>
            </w:pPr>
            <w:r w:rsidRPr="00F24972">
              <w:rPr>
                <w:rFonts w:cs="Arial"/>
                <w:b/>
              </w:rPr>
              <w:t>Negative</w:t>
            </w:r>
          </w:p>
        </w:tc>
        <w:tc>
          <w:tcPr>
            <w:tcW w:w="900" w:type="dxa"/>
          </w:tcPr>
          <w:p w14:paraId="15E5CC41" w14:textId="77777777" w:rsidR="000305DD" w:rsidRPr="00F24972" w:rsidRDefault="000305DD" w:rsidP="000305DD">
            <w:pPr>
              <w:pStyle w:val="TableText"/>
              <w:jc w:val="center"/>
              <w:rPr>
                <w:rFonts w:cs="Arial"/>
              </w:rPr>
            </w:pPr>
            <w:r w:rsidRPr="00F24972">
              <w:rPr>
                <w:rFonts w:cs="Arial"/>
              </w:rPr>
              <w:t>U</w:t>
            </w:r>
          </w:p>
        </w:tc>
        <w:tc>
          <w:tcPr>
            <w:tcW w:w="4950" w:type="dxa"/>
          </w:tcPr>
          <w:p w14:paraId="2BD98FB7" w14:textId="77777777" w:rsidR="000305DD" w:rsidRPr="00F24972" w:rsidRDefault="000305DD" w:rsidP="000305DD">
            <w:pPr>
              <w:pStyle w:val="TableText"/>
              <w:rPr>
                <w:rFonts w:cs="Arial"/>
              </w:rPr>
            </w:pPr>
            <w:r w:rsidRPr="00F24972">
              <w:rPr>
                <w:rFonts w:cs="Arial"/>
              </w:rPr>
              <w:t>Accrue workload when a unit is inactivated (unit record inactivated) when logged in thru incoming shipment or is a pooled unit created in VBECS.</w:t>
            </w:r>
            <w:r>
              <w:rPr>
                <w:rFonts w:cs="Arial"/>
              </w:rPr>
              <w:t xml:space="preserve"> </w:t>
            </w:r>
            <w:r w:rsidRPr="00F24972">
              <w:rPr>
                <w:rFonts w:cs="Arial"/>
              </w:rPr>
              <w:t xml:space="preserve">When the unit was created by split modification no workload is invalidated in this option. </w:t>
            </w:r>
          </w:p>
        </w:tc>
      </w:tr>
      <w:tr w:rsidR="000305DD" w:rsidRPr="00F24972" w14:paraId="4232F338" w14:textId="77777777" w:rsidTr="00FA340F">
        <w:trPr>
          <w:cantSplit/>
        </w:trPr>
        <w:tc>
          <w:tcPr>
            <w:tcW w:w="1733" w:type="dxa"/>
            <w:vMerge w:val="restart"/>
            <w:tcBorders>
              <w:top w:val="single" w:sz="4" w:space="0" w:color="auto"/>
              <w:left w:val="single" w:sz="4" w:space="0" w:color="auto"/>
              <w:right w:val="single" w:sz="4" w:space="0" w:color="auto"/>
            </w:tcBorders>
          </w:tcPr>
          <w:p w14:paraId="2B97C91B" w14:textId="77777777" w:rsidR="000305DD" w:rsidRPr="00F24972" w:rsidRDefault="000305DD" w:rsidP="000305DD">
            <w:pPr>
              <w:pStyle w:val="TableText"/>
              <w:rPr>
                <w:rFonts w:cs="Arial"/>
              </w:rPr>
            </w:pPr>
            <w:r w:rsidRPr="00F24972">
              <w:rPr>
                <w:rFonts w:cs="Arial"/>
              </w:rPr>
              <w:t>Unit logout</w:t>
            </w:r>
          </w:p>
        </w:tc>
        <w:tc>
          <w:tcPr>
            <w:tcW w:w="1592" w:type="dxa"/>
            <w:tcBorders>
              <w:top w:val="single" w:sz="4" w:space="0" w:color="auto"/>
              <w:left w:val="single" w:sz="4" w:space="0" w:color="auto"/>
              <w:bottom w:val="single" w:sz="4" w:space="0" w:color="auto"/>
              <w:right w:val="single" w:sz="4" w:space="0" w:color="auto"/>
            </w:tcBorders>
          </w:tcPr>
          <w:p w14:paraId="790AEC25" w14:textId="77777777" w:rsidR="000305DD" w:rsidRPr="00F24972" w:rsidRDefault="000305DD" w:rsidP="000305DD">
            <w:pPr>
              <w:pStyle w:val="TableText"/>
              <w:rPr>
                <w:rFonts w:cs="Arial"/>
              </w:rPr>
            </w:pPr>
            <w:r>
              <w:rPr>
                <w:rFonts w:cs="Arial"/>
              </w:rPr>
              <w:t>Outgoing Shipment</w:t>
            </w:r>
          </w:p>
        </w:tc>
        <w:tc>
          <w:tcPr>
            <w:tcW w:w="1080" w:type="dxa"/>
            <w:tcBorders>
              <w:top w:val="single" w:sz="4" w:space="0" w:color="auto"/>
              <w:left w:val="single" w:sz="4" w:space="0" w:color="auto"/>
              <w:bottom w:val="single" w:sz="4" w:space="0" w:color="auto"/>
              <w:right w:val="single" w:sz="4" w:space="0" w:color="auto"/>
            </w:tcBorders>
          </w:tcPr>
          <w:p w14:paraId="33123164"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BFD9D2C"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B8384A4" w14:textId="5966C50E" w:rsidR="000305DD" w:rsidRPr="00F24972" w:rsidRDefault="000305DD" w:rsidP="000305DD">
            <w:pPr>
              <w:pStyle w:val="TableText"/>
              <w:rPr>
                <w:rFonts w:cs="Arial"/>
              </w:rPr>
            </w:pPr>
            <w:r w:rsidRPr="00F24972">
              <w:rPr>
                <w:rFonts w:cs="Arial"/>
              </w:rPr>
              <w:t xml:space="preserve">An individual unit’s status is updated to </w:t>
            </w:r>
            <w:r w:rsidRPr="00F24972">
              <w:rPr>
                <w:rFonts w:cs="Arial"/>
                <w:i/>
              </w:rPr>
              <w:t>transferred</w:t>
            </w:r>
            <w:r w:rsidRPr="00F24972">
              <w:rPr>
                <w:rFonts w:cs="Arial"/>
              </w:rPr>
              <w:t xml:space="preserve"> on a confirmed outgoing shipment invoice.</w:t>
            </w:r>
            <w:r>
              <w:rPr>
                <w:rFonts w:cs="Arial"/>
              </w:rPr>
              <w:t xml:space="preserve"> </w:t>
            </w:r>
            <w:r w:rsidRPr="00F24972">
              <w:rPr>
                <w:rFonts w:cs="Arial"/>
              </w:rPr>
              <w:t xml:space="preserve">When </w:t>
            </w:r>
            <w:r w:rsidR="00AE3B37" w:rsidRPr="00F24972">
              <w:rPr>
                <w:rFonts w:cs="Arial"/>
              </w:rPr>
              <w:t>multiple units</w:t>
            </w:r>
            <w:r w:rsidRPr="00F24972">
              <w:rPr>
                <w:rFonts w:cs="Arial"/>
              </w:rPr>
              <w:t xml:space="preserve"> are selected, each unit accrues workload.</w:t>
            </w:r>
          </w:p>
          <w:p w14:paraId="6F845161" w14:textId="77777777" w:rsidR="000305DD" w:rsidRPr="00F24972" w:rsidRDefault="000305DD" w:rsidP="000305DD">
            <w:pPr>
              <w:pStyle w:val="TableText"/>
              <w:rPr>
                <w:rFonts w:cs="Arial"/>
              </w:rPr>
            </w:pPr>
            <w:r w:rsidRPr="00F24972">
              <w:rPr>
                <w:rFonts w:cs="Arial"/>
              </w:rPr>
              <w:t>Accrue workload upon the confirmation of the invoice, not the addition of a unit to a temporary outgoing shipment invoice as an invoice may be confirmed only once.</w:t>
            </w:r>
          </w:p>
        </w:tc>
      </w:tr>
      <w:tr w:rsidR="000305DD" w:rsidRPr="00F24972" w14:paraId="61880C87" w14:textId="77777777" w:rsidTr="00FA340F">
        <w:trPr>
          <w:cantSplit/>
        </w:trPr>
        <w:tc>
          <w:tcPr>
            <w:tcW w:w="1733" w:type="dxa"/>
            <w:vMerge/>
            <w:tcBorders>
              <w:left w:val="single" w:sz="4" w:space="0" w:color="auto"/>
              <w:bottom w:val="single" w:sz="4" w:space="0" w:color="auto"/>
              <w:right w:val="single" w:sz="4" w:space="0" w:color="auto"/>
            </w:tcBorders>
          </w:tcPr>
          <w:p w14:paraId="37A98449"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7D44AF4B" w14:textId="77777777" w:rsidR="000305DD" w:rsidRPr="00F24972" w:rsidRDefault="000305DD" w:rsidP="000305DD">
            <w:pPr>
              <w:pStyle w:val="TableText"/>
              <w:rPr>
                <w:rFonts w:cs="Arial"/>
              </w:rPr>
            </w:pPr>
            <w:r>
              <w:rPr>
                <w:rFonts w:cs="Arial"/>
              </w:rPr>
              <w:t>Invalidate Unit Status, Transferred</w:t>
            </w:r>
          </w:p>
        </w:tc>
        <w:tc>
          <w:tcPr>
            <w:tcW w:w="1080" w:type="dxa"/>
            <w:tcBorders>
              <w:top w:val="single" w:sz="4" w:space="0" w:color="auto"/>
              <w:left w:val="single" w:sz="4" w:space="0" w:color="auto"/>
              <w:bottom w:val="single" w:sz="4" w:space="0" w:color="auto"/>
              <w:right w:val="single" w:sz="4" w:space="0" w:color="auto"/>
            </w:tcBorders>
          </w:tcPr>
          <w:p w14:paraId="4F05DB16"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EB2CB29"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1C28BA84" w14:textId="77777777" w:rsidR="000305DD" w:rsidRPr="00F24972" w:rsidRDefault="000305DD" w:rsidP="000305DD">
            <w:pPr>
              <w:pStyle w:val="TableText"/>
              <w:rPr>
                <w:rFonts w:cs="Arial"/>
              </w:rPr>
            </w:pPr>
            <w:r w:rsidRPr="00F24972">
              <w:rPr>
                <w:rFonts w:cs="Arial"/>
              </w:rPr>
              <w:t>An individual unit status is invalidated when the unit had a previous unit status of transferred.</w:t>
            </w:r>
          </w:p>
        </w:tc>
      </w:tr>
      <w:tr w:rsidR="000305DD" w:rsidRPr="00F24972" w14:paraId="1A32B623" w14:textId="77777777" w:rsidTr="00FA340F">
        <w:trPr>
          <w:cantSplit/>
        </w:trPr>
        <w:tc>
          <w:tcPr>
            <w:tcW w:w="1733" w:type="dxa"/>
            <w:tcBorders>
              <w:bottom w:val="single" w:sz="4" w:space="0" w:color="auto"/>
            </w:tcBorders>
          </w:tcPr>
          <w:p w14:paraId="3B55882F" w14:textId="77777777" w:rsidR="000305DD" w:rsidRPr="00F24972" w:rsidRDefault="000305DD" w:rsidP="000305DD">
            <w:pPr>
              <w:pStyle w:val="TableText"/>
              <w:rPr>
                <w:rFonts w:cs="Arial"/>
              </w:rPr>
            </w:pPr>
            <w:r w:rsidRPr="00F24972">
              <w:rPr>
                <w:rFonts w:cs="Arial"/>
              </w:rPr>
              <w:t>Update Equipment Record</w:t>
            </w:r>
          </w:p>
        </w:tc>
        <w:tc>
          <w:tcPr>
            <w:tcW w:w="1592" w:type="dxa"/>
            <w:tcBorders>
              <w:bottom w:val="single" w:sz="4" w:space="0" w:color="auto"/>
            </w:tcBorders>
          </w:tcPr>
          <w:p w14:paraId="5B56578D" w14:textId="77777777" w:rsidR="000305DD" w:rsidRPr="00F24972" w:rsidRDefault="000305DD" w:rsidP="000305DD">
            <w:pPr>
              <w:pStyle w:val="TableText"/>
              <w:rPr>
                <w:rFonts w:cs="Arial"/>
              </w:rPr>
            </w:pPr>
            <w:r>
              <w:rPr>
                <w:rFonts w:cs="Arial"/>
                <w:snapToGrid w:val="0"/>
              </w:rPr>
              <w:t>Equipment, Update</w:t>
            </w:r>
          </w:p>
        </w:tc>
        <w:tc>
          <w:tcPr>
            <w:tcW w:w="1080" w:type="dxa"/>
            <w:tcBorders>
              <w:bottom w:val="single" w:sz="4" w:space="0" w:color="auto"/>
            </w:tcBorders>
          </w:tcPr>
          <w:p w14:paraId="1A69AC51"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63046F13" w14:textId="77777777" w:rsidR="000305DD" w:rsidRPr="00F24972" w:rsidRDefault="000305DD" w:rsidP="000305DD">
            <w:pPr>
              <w:pStyle w:val="TableText"/>
              <w:jc w:val="center"/>
              <w:rPr>
                <w:rFonts w:cs="Arial"/>
              </w:rPr>
            </w:pPr>
            <w:r w:rsidRPr="00F24972">
              <w:rPr>
                <w:rFonts w:cs="Arial"/>
              </w:rPr>
              <w:t>M</w:t>
            </w:r>
          </w:p>
        </w:tc>
        <w:tc>
          <w:tcPr>
            <w:tcW w:w="4950" w:type="dxa"/>
            <w:tcBorders>
              <w:bottom w:val="single" w:sz="4" w:space="0" w:color="auto"/>
            </w:tcBorders>
          </w:tcPr>
          <w:p w14:paraId="3C2608F7" w14:textId="77777777" w:rsidR="000305DD" w:rsidRPr="00F24972" w:rsidRDefault="000305DD" w:rsidP="000305DD">
            <w:pPr>
              <w:pStyle w:val="TableText"/>
              <w:rPr>
                <w:rFonts w:cs="Arial"/>
              </w:rPr>
            </w:pPr>
            <w:r w:rsidRPr="00F24972">
              <w:rPr>
                <w:rFonts w:cs="Arial"/>
              </w:rPr>
              <w:t>Accrue workload when a lot number of any type of equipment is updated in the system.</w:t>
            </w:r>
            <w:r>
              <w:rPr>
                <w:rFonts w:cs="Arial"/>
              </w:rPr>
              <w:t xml:space="preserve"> </w:t>
            </w:r>
          </w:p>
        </w:tc>
      </w:tr>
      <w:tr w:rsidR="000305DD" w:rsidRPr="00F24972" w14:paraId="6D7653AF" w14:textId="77777777" w:rsidTr="00FA340F">
        <w:trPr>
          <w:cantSplit/>
        </w:trPr>
        <w:tc>
          <w:tcPr>
            <w:tcW w:w="1733" w:type="dxa"/>
            <w:tcBorders>
              <w:bottom w:val="single" w:sz="4" w:space="0" w:color="auto"/>
            </w:tcBorders>
          </w:tcPr>
          <w:p w14:paraId="26821E5B" w14:textId="77777777" w:rsidR="000305DD" w:rsidRPr="00F24972" w:rsidRDefault="000305DD" w:rsidP="000305DD">
            <w:pPr>
              <w:pStyle w:val="TableText"/>
              <w:rPr>
                <w:rFonts w:cs="Arial"/>
              </w:rPr>
            </w:pPr>
            <w:r w:rsidRPr="00F24972">
              <w:rPr>
                <w:rFonts w:cs="Arial"/>
              </w:rPr>
              <w:t>Update Reagent Inventory</w:t>
            </w:r>
          </w:p>
        </w:tc>
        <w:tc>
          <w:tcPr>
            <w:tcW w:w="1592" w:type="dxa"/>
            <w:tcBorders>
              <w:bottom w:val="single" w:sz="4" w:space="0" w:color="auto"/>
            </w:tcBorders>
          </w:tcPr>
          <w:p w14:paraId="68D34107" w14:textId="77777777" w:rsidR="000305DD" w:rsidRPr="00F24972" w:rsidRDefault="000305DD" w:rsidP="000305DD">
            <w:pPr>
              <w:pStyle w:val="TableText"/>
              <w:rPr>
                <w:rFonts w:cs="Arial"/>
              </w:rPr>
            </w:pPr>
            <w:r>
              <w:rPr>
                <w:rFonts w:cs="Arial"/>
                <w:snapToGrid w:val="0"/>
              </w:rPr>
              <w:t>Reagents, Update</w:t>
            </w:r>
          </w:p>
        </w:tc>
        <w:tc>
          <w:tcPr>
            <w:tcW w:w="1080" w:type="dxa"/>
            <w:tcBorders>
              <w:bottom w:val="single" w:sz="4" w:space="0" w:color="auto"/>
            </w:tcBorders>
          </w:tcPr>
          <w:p w14:paraId="0B729DAF"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47180AE1" w14:textId="77777777" w:rsidR="000305DD" w:rsidRPr="00F24972" w:rsidRDefault="000305DD" w:rsidP="000305DD">
            <w:pPr>
              <w:pStyle w:val="TableText"/>
              <w:jc w:val="center"/>
              <w:rPr>
                <w:rFonts w:cs="Arial"/>
              </w:rPr>
            </w:pPr>
            <w:r w:rsidRPr="00F24972">
              <w:rPr>
                <w:rFonts w:cs="Arial"/>
              </w:rPr>
              <w:t>M</w:t>
            </w:r>
          </w:p>
        </w:tc>
        <w:tc>
          <w:tcPr>
            <w:tcW w:w="4950" w:type="dxa"/>
            <w:tcBorders>
              <w:bottom w:val="single" w:sz="4" w:space="0" w:color="auto"/>
            </w:tcBorders>
          </w:tcPr>
          <w:p w14:paraId="00663E72" w14:textId="77777777" w:rsidR="000305DD" w:rsidRPr="00F24972" w:rsidRDefault="000305DD" w:rsidP="000305DD">
            <w:pPr>
              <w:pStyle w:val="TableText"/>
              <w:rPr>
                <w:rFonts w:cs="Arial"/>
              </w:rPr>
            </w:pPr>
            <w:r w:rsidRPr="00F24972">
              <w:rPr>
                <w:rFonts w:cs="Arial"/>
              </w:rPr>
              <w:t>Accrue workload when a lot number of any type of reagent is updated in the system.</w:t>
            </w:r>
            <w:r>
              <w:rPr>
                <w:rFonts w:cs="Arial"/>
              </w:rPr>
              <w:t xml:space="preserve"> </w:t>
            </w:r>
            <w:r w:rsidRPr="00F24972">
              <w:rPr>
                <w:rFonts w:cs="Arial"/>
              </w:rPr>
              <w:t>When multiple lot numbers are processed in a batch, each lot number’s workload is counted.</w:t>
            </w:r>
          </w:p>
        </w:tc>
      </w:tr>
      <w:tr w:rsidR="000305DD" w:rsidRPr="00F24972" w14:paraId="6D81359D" w14:textId="77777777" w:rsidTr="00FA340F">
        <w:trPr>
          <w:cantSplit/>
        </w:trPr>
        <w:tc>
          <w:tcPr>
            <w:tcW w:w="1733" w:type="dxa"/>
          </w:tcPr>
          <w:p w14:paraId="6F754A39" w14:textId="77777777" w:rsidR="000305DD" w:rsidRPr="000037E8" w:rsidRDefault="000305DD" w:rsidP="000305DD">
            <w:pPr>
              <w:pStyle w:val="TableText"/>
              <w:rPr>
                <w:rFonts w:cs="Arial"/>
                <w:szCs w:val="18"/>
              </w:rPr>
            </w:pPr>
            <w:r w:rsidRPr="000037E8">
              <w:rPr>
                <w:rFonts w:cs="Arial"/>
                <w:szCs w:val="18"/>
              </w:rPr>
              <w:t>Update Supply Inventory</w:t>
            </w:r>
          </w:p>
        </w:tc>
        <w:tc>
          <w:tcPr>
            <w:tcW w:w="1592" w:type="dxa"/>
          </w:tcPr>
          <w:p w14:paraId="01AD5948" w14:textId="77777777" w:rsidR="000305DD" w:rsidRPr="000037E8" w:rsidRDefault="000305DD" w:rsidP="000305DD">
            <w:pPr>
              <w:pStyle w:val="TableText"/>
              <w:rPr>
                <w:rFonts w:cs="Arial"/>
                <w:snapToGrid w:val="0"/>
                <w:szCs w:val="18"/>
              </w:rPr>
            </w:pPr>
            <w:r w:rsidRPr="000037E8">
              <w:rPr>
                <w:rFonts w:cs="Arial"/>
                <w:snapToGrid w:val="0"/>
                <w:szCs w:val="18"/>
              </w:rPr>
              <w:t>Supplies, Update</w:t>
            </w:r>
          </w:p>
        </w:tc>
        <w:tc>
          <w:tcPr>
            <w:tcW w:w="1080" w:type="dxa"/>
          </w:tcPr>
          <w:p w14:paraId="7246DA46" w14:textId="77777777" w:rsidR="000305DD" w:rsidRPr="000037E8" w:rsidRDefault="000305DD" w:rsidP="000305DD">
            <w:pPr>
              <w:pStyle w:val="TableText"/>
              <w:rPr>
                <w:rFonts w:cs="Arial"/>
                <w:szCs w:val="18"/>
              </w:rPr>
            </w:pPr>
            <w:r w:rsidRPr="000037E8">
              <w:rPr>
                <w:rFonts w:cs="Arial"/>
                <w:szCs w:val="18"/>
              </w:rPr>
              <w:t>Positive</w:t>
            </w:r>
          </w:p>
        </w:tc>
        <w:tc>
          <w:tcPr>
            <w:tcW w:w="900" w:type="dxa"/>
          </w:tcPr>
          <w:p w14:paraId="23309556" w14:textId="77777777" w:rsidR="000305DD" w:rsidRPr="000037E8" w:rsidRDefault="000305DD" w:rsidP="000305DD">
            <w:pPr>
              <w:pStyle w:val="TableText"/>
              <w:jc w:val="center"/>
              <w:rPr>
                <w:rFonts w:cs="Arial"/>
                <w:szCs w:val="18"/>
              </w:rPr>
            </w:pPr>
            <w:r w:rsidRPr="000037E8">
              <w:rPr>
                <w:rFonts w:cs="Arial"/>
                <w:szCs w:val="18"/>
              </w:rPr>
              <w:t>M</w:t>
            </w:r>
          </w:p>
        </w:tc>
        <w:tc>
          <w:tcPr>
            <w:tcW w:w="4950" w:type="dxa"/>
          </w:tcPr>
          <w:p w14:paraId="19DDCFFF" w14:textId="77777777" w:rsidR="000305DD" w:rsidRPr="000037E8" w:rsidRDefault="000305DD" w:rsidP="000305DD">
            <w:pPr>
              <w:pStyle w:val="TableText"/>
              <w:rPr>
                <w:rFonts w:cs="Arial"/>
                <w:szCs w:val="18"/>
              </w:rPr>
            </w:pPr>
            <w:r w:rsidRPr="000037E8">
              <w:rPr>
                <w:rFonts w:cs="Arial"/>
                <w:szCs w:val="18"/>
              </w:rPr>
              <w:t>Accrue workload when a lot number of any type of supply is updated in the system. When multiple lot numbers are processed in a batch, each lot number’s workload is counted.</w:t>
            </w:r>
          </w:p>
        </w:tc>
      </w:tr>
      <w:tr w:rsidR="000037E8" w:rsidRPr="00F24972" w14:paraId="3F49B9F4" w14:textId="77777777" w:rsidTr="00FA340F">
        <w:trPr>
          <w:cantSplit/>
        </w:trPr>
        <w:tc>
          <w:tcPr>
            <w:tcW w:w="1733" w:type="dxa"/>
            <w:vMerge w:val="restart"/>
          </w:tcPr>
          <w:p w14:paraId="10F2A8EC" w14:textId="77777777" w:rsidR="000037E8" w:rsidRPr="000037E8" w:rsidRDefault="000037E8" w:rsidP="00A42CB6">
            <w:pPr>
              <w:pStyle w:val="TableText"/>
              <w:rPr>
                <w:rFonts w:cs="Arial"/>
                <w:szCs w:val="18"/>
              </w:rPr>
            </w:pPr>
            <w:r w:rsidRPr="000037E8">
              <w:rPr>
                <w:rFonts w:cs="Arial"/>
                <w:szCs w:val="18"/>
              </w:rPr>
              <w:t>Patient ABO Automated</w:t>
            </w:r>
          </w:p>
        </w:tc>
        <w:tc>
          <w:tcPr>
            <w:tcW w:w="1592" w:type="dxa"/>
          </w:tcPr>
          <w:p w14:paraId="484713F7" w14:textId="77777777" w:rsidR="000037E8" w:rsidRPr="000037E8" w:rsidRDefault="001676C5" w:rsidP="00A42CB6">
            <w:pPr>
              <w:pStyle w:val="TableText"/>
              <w:rPr>
                <w:rFonts w:cs="Arial"/>
                <w:snapToGrid w:val="0"/>
                <w:szCs w:val="18"/>
              </w:rPr>
            </w:pPr>
            <w:r>
              <w:rPr>
                <w:rFonts w:cs="Arial"/>
                <w:snapToGrid w:val="0"/>
                <w:szCs w:val="18"/>
              </w:rPr>
              <w:t>Automated Interface</w:t>
            </w:r>
          </w:p>
        </w:tc>
        <w:tc>
          <w:tcPr>
            <w:tcW w:w="1080" w:type="dxa"/>
          </w:tcPr>
          <w:p w14:paraId="69D5C757" w14:textId="77777777" w:rsidR="000037E8" w:rsidRPr="000037E8" w:rsidRDefault="000037E8" w:rsidP="00A42CB6">
            <w:pPr>
              <w:pStyle w:val="TableText"/>
              <w:rPr>
                <w:rFonts w:cs="Arial"/>
                <w:szCs w:val="18"/>
              </w:rPr>
            </w:pPr>
            <w:r w:rsidRPr="000037E8">
              <w:rPr>
                <w:rFonts w:cs="Arial"/>
                <w:szCs w:val="18"/>
              </w:rPr>
              <w:t>Positive</w:t>
            </w:r>
          </w:p>
        </w:tc>
        <w:tc>
          <w:tcPr>
            <w:tcW w:w="900" w:type="dxa"/>
          </w:tcPr>
          <w:p w14:paraId="494D41ED" w14:textId="77777777" w:rsidR="000037E8" w:rsidRPr="000037E8" w:rsidRDefault="000037E8" w:rsidP="00A42CB6">
            <w:pPr>
              <w:pStyle w:val="TableText"/>
              <w:jc w:val="center"/>
              <w:rPr>
                <w:rFonts w:cs="Arial"/>
                <w:szCs w:val="18"/>
              </w:rPr>
            </w:pPr>
            <w:r w:rsidRPr="000037E8">
              <w:rPr>
                <w:rFonts w:cs="Arial"/>
                <w:szCs w:val="18"/>
              </w:rPr>
              <w:t>P</w:t>
            </w:r>
          </w:p>
        </w:tc>
        <w:tc>
          <w:tcPr>
            <w:tcW w:w="4950" w:type="dxa"/>
          </w:tcPr>
          <w:p w14:paraId="33E6FB76" w14:textId="77777777" w:rsidR="000037E8" w:rsidRPr="000037E8" w:rsidRDefault="000037E8" w:rsidP="00A42CB6">
            <w:pPr>
              <w:pStyle w:val="TableText"/>
              <w:rPr>
                <w:rFonts w:cs="Arial"/>
                <w:szCs w:val="18"/>
              </w:rPr>
            </w:pPr>
            <w:r w:rsidRPr="000037E8">
              <w:rPr>
                <w:rFonts w:cs="Arial"/>
                <w:szCs w:val="18"/>
              </w:rPr>
              <w:t>Accrue workload when an ABO/Rh test, primary or reflex, is reviewed, and saved.</w:t>
            </w:r>
          </w:p>
        </w:tc>
      </w:tr>
      <w:tr w:rsidR="000037E8" w:rsidRPr="00F24972" w14:paraId="35504135" w14:textId="77777777" w:rsidTr="00FA340F">
        <w:trPr>
          <w:cantSplit/>
        </w:trPr>
        <w:tc>
          <w:tcPr>
            <w:tcW w:w="1733" w:type="dxa"/>
            <w:vMerge/>
          </w:tcPr>
          <w:p w14:paraId="0A6FA88D" w14:textId="77777777" w:rsidR="000037E8" w:rsidRPr="000037E8" w:rsidRDefault="000037E8" w:rsidP="00A42CB6">
            <w:pPr>
              <w:pStyle w:val="TableText"/>
              <w:rPr>
                <w:rFonts w:cs="Arial"/>
                <w:szCs w:val="18"/>
              </w:rPr>
            </w:pPr>
          </w:p>
        </w:tc>
        <w:tc>
          <w:tcPr>
            <w:tcW w:w="1592" w:type="dxa"/>
          </w:tcPr>
          <w:p w14:paraId="78A1D3B4" w14:textId="77777777" w:rsidR="000037E8" w:rsidRPr="000037E8" w:rsidRDefault="001676C5" w:rsidP="00A42CB6">
            <w:pPr>
              <w:pStyle w:val="TableText"/>
              <w:rPr>
                <w:rFonts w:cs="Arial"/>
                <w:snapToGrid w:val="0"/>
                <w:szCs w:val="18"/>
              </w:rPr>
            </w:pPr>
            <w:r>
              <w:rPr>
                <w:rFonts w:cs="Arial"/>
                <w:snapToGrid w:val="0"/>
                <w:szCs w:val="18"/>
              </w:rPr>
              <w:t>Invalidate patient testing, ABO/Rh</w:t>
            </w:r>
          </w:p>
        </w:tc>
        <w:tc>
          <w:tcPr>
            <w:tcW w:w="1080" w:type="dxa"/>
          </w:tcPr>
          <w:p w14:paraId="7343A037" w14:textId="77777777" w:rsidR="000037E8" w:rsidRPr="000037E8" w:rsidRDefault="000037E8" w:rsidP="00A42CB6">
            <w:pPr>
              <w:pStyle w:val="TableText"/>
              <w:rPr>
                <w:rFonts w:cs="Arial"/>
                <w:szCs w:val="18"/>
              </w:rPr>
            </w:pPr>
            <w:r w:rsidRPr="000037E8">
              <w:rPr>
                <w:rFonts w:cs="Arial"/>
                <w:b/>
                <w:szCs w:val="18"/>
              </w:rPr>
              <w:t>Negative</w:t>
            </w:r>
          </w:p>
        </w:tc>
        <w:tc>
          <w:tcPr>
            <w:tcW w:w="900" w:type="dxa"/>
          </w:tcPr>
          <w:p w14:paraId="046659B1" w14:textId="77777777" w:rsidR="000037E8" w:rsidRPr="000037E8" w:rsidRDefault="000037E8" w:rsidP="00A42CB6">
            <w:pPr>
              <w:pStyle w:val="TableText"/>
              <w:jc w:val="center"/>
              <w:rPr>
                <w:rFonts w:cs="Arial"/>
                <w:szCs w:val="18"/>
              </w:rPr>
            </w:pPr>
            <w:r w:rsidRPr="000037E8">
              <w:rPr>
                <w:rFonts w:cs="Arial"/>
                <w:szCs w:val="18"/>
              </w:rPr>
              <w:t>P</w:t>
            </w:r>
          </w:p>
        </w:tc>
        <w:tc>
          <w:tcPr>
            <w:tcW w:w="4950" w:type="dxa"/>
          </w:tcPr>
          <w:p w14:paraId="658B8A94" w14:textId="77777777" w:rsidR="000037E8" w:rsidRPr="000037E8" w:rsidRDefault="000037E8" w:rsidP="00A42CB6">
            <w:pPr>
              <w:pStyle w:val="TableText"/>
              <w:rPr>
                <w:rFonts w:cs="Arial"/>
                <w:szCs w:val="18"/>
              </w:rPr>
            </w:pPr>
            <w:r w:rsidRPr="000037E8">
              <w:rPr>
                <w:rFonts w:cs="Arial"/>
                <w:szCs w:val="18"/>
              </w:rPr>
              <w:t>Accrue workload when a reviewed ABO/Rh test is invalidated.</w:t>
            </w:r>
          </w:p>
        </w:tc>
      </w:tr>
      <w:tr w:rsidR="001676C5" w:rsidRPr="00F24972" w14:paraId="732432E5" w14:textId="77777777" w:rsidTr="00FA340F">
        <w:trPr>
          <w:cantSplit/>
        </w:trPr>
        <w:tc>
          <w:tcPr>
            <w:tcW w:w="1733" w:type="dxa"/>
            <w:vMerge w:val="restart"/>
          </w:tcPr>
          <w:p w14:paraId="62E2683E" w14:textId="77777777" w:rsidR="001676C5" w:rsidRPr="000037E8" w:rsidRDefault="001676C5" w:rsidP="00A42CB6">
            <w:pPr>
              <w:pStyle w:val="TableText"/>
              <w:rPr>
                <w:rFonts w:cs="Arial"/>
                <w:szCs w:val="18"/>
              </w:rPr>
            </w:pPr>
            <w:r w:rsidRPr="000037E8">
              <w:rPr>
                <w:rFonts w:cs="Arial"/>
                <w:szCs w:val="18"/>
              </w:rPr>
              <w:t>Antibody Screen/Indirect Coombs Automated</w:t>
            </w:r>
          </w:p>
        </w:tc>
        <w:tc>
          <w:tcPr>
            <w:tcW w:w="1592" w:type="dxa"/>
          </w:tcPr>
          <w:p w14:paraId="22C5F222"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1EE6D380"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184CA47A"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4F4EA107" w14:textId="77777777" w:rsidR="001676C5" w:rsidRPr="000037E8" w:rsidRDefault="001676C5" w:rsidP="00A42CB6">
            <w:pPr>
              <w:pStyle w:val="TableText"/>
              <w:rPr>
                <w:rFonts w:cs="Arial"/>
                <w:szCs w:val="18"/>
              </w:rPr>
            </w:pPr>
            <w:r w:rsidRPr="000037E8">
              <w:rPr>
                <w:rFonts w:cs="Arial"/>
                <w:szCs w:val="18"/>
              </w:rPr>
              <w:t>Accrue workload when an ordered ABS test, primary or reflex, is reviewed, and saved.</w:t>
            </w:r>
          </w:p>
          <w:p w14:paraId="1684790A" w14:textId="77777777" w:rsidR="001676C5" w:rsidRPr="000037E8" w:rsidRDefault="001676C5" w:rsidP="00A42CB6">
            <w:pPr>
              <w:pStyle w:val="TableText"/>
              <w:rPr>
                <w:rFonts w:cs="Arial"/>
                <w:szCs w:val="18"/>
              </w:rPr>
            </w:pPr>
            <w:r w:rsidRPr="000037E8">
              <w:rPr>
                <w:rFonts w:cs="Arial"/>
                <w:szCs w:val="18"/>
              </w:rPr>
              <w:t>Apply to primary or reflex tests.</w:t>
            </w:r>
          </w:p>
        </w:tc>
      </w:tr>
      <w:tr w:rsidR="001676C5" w:rsidRPr="00F24972" w14:paraId="16F84BE5" w14:textId="77777777" w:rsidTr="00FA340F">
        <w:trPr>
          <w:cantSplit/>
        </w:trPr>
        <w:tc>
          <w:tcPr>
            <w:tcW w:w="1733" w:type="dxa"/>
            <w:vMerge/>
          </w:tcPr>
          <w:p w14:paraId="4EC17938" w14:textId="77777777" w:rsidR="001676C5" w:rsidRPr="000037E8" w:rsidRDefault="001676C5" w:rsidP="00A42CB6">
            <w:pPr>
              <w:pStyle w:val="TableText"/>
              <w:rPr>
                <w:rFonts w:cs="Arial"/>
                <w:szCs w:val="18"/>
              </w:rPr>
            </w:pPr>
          </w:p>
        </w:tc>
        <w:tc>
          <w:tcPr>
            <w:tcW w:w="1592" w:type="dxa"/>
          </w:tcPr>
          <w:p w14:paraId="6F544743" w14:textId="77777777" w:rsidR="001676C5" w:rsidRPr="000037E8" w:rsidRDefault="001676C5" w:rsidP="0038583A">
            <w:pPr>
              <w:pStyle w:val="TableText"/>
              <w:rPr>
                <w:rFonts w:cs="Arial"/>
                <w:snapToGrid w:val="0"/>
                <w:szCs w:val="18"/>
              </w:rPr>
            </w:pPr>
            <w:r>
              <w:rPr>
                <w:rFonts w:cs="Arial"/>
                <w:snapToGrid w:val="0"/>
                <w:szCs w:val="18"/>
              </w:rPr>
              <w:t>Invalidate patient testing, Antibody Screen</w:t>
            </w:r>
          </w:p>
        </w:tc>
        <w:tc>
          <w:tcPr>
            <w:tcW w:w="1080" w:type="dxa"/>
          </w:tcPr>
          <w:p w14:paraId="0F3EC117"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75824A9F"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2275A99A" w14:textId="77777777" w:rsidR="001676C5" w:rsidRPr="000037E8" w:rsidRDefault="001676C5" w:rsidP="00A42CB6">
            <w:pPr>
              <w:pStyle w:val="TableText"/>
              <w:rPr>
                <w:rFonts w:cs="Arial"/>
                <w:szCs w:val="18"/>
              </w:rPr>
            </w:pPr>
            <w:r w:rsidRPr="000037E8">
              <w:rPr>
                <w:rFonts w:cs="Arial"/>
                <w:szCs w:val="18"/>
              </w:rPr>
              <w:t>Accrue workload when a completed ABS test is invalidated.</w:t>
            </w:r>
          </w:p>
        </w:tc>
      </w:tr>
      <w:tr w:rsidR="001676C5" w:rsidRPr="00F24972" w14:paraId="204E5FD1" w14:textId="77777777" w:rsidTr="00FA340F">
        <w:trPr>
          <w:cantSplit/>
        </w:trPr>
        <w:tc>
          <w:tcPr>
            <w:tcW w:w="1733" w:type="dxa"/>
            <w:vMerge w:val="restart"/>
          </w:tcPr>
          <w:p w14:paraId="4E844697" w14:textId="77777777" w:rsidR="001676C5" w:rsidRPr="000037E8" w:rsidRDefault="001676C5" w:rsidP="00A42CB6">
            <w:pPr>
              <w:pStyle w:val="TableText"/>
              <w:rPr>
                <w:rFonts w:cs="Arial"/>
                <w:szCs w:val="18"/>
              </w:rPr>
            </w:pPr>
            <w:r w:rsidRPr="000037E8">
              <w:rPr>
                <w:rFonts w:cs="Arial"/>
                <w:szCs w:val="18"/>
              </w:rPr>
              <w:t>Serologic Crossmatch, Major, Automated </w:t>
            </w:r>
          </w:p>
        </w:tc>
        <w:tc>
          <w:tcPr>
            <w:tcW w:w="1592" w:type="dxa"/>
          </w:tcPr>
          <w:p w14:paraId="4394E3C0"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41F20EDF"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7E315DD8"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46EA29B2" w14:textId="17BD08D4" w:rsidR="001676C5" w:rsidRPr="000037E8" w:rsidRDefault="001676C5" w:rsidP="00A42CB6">
            <w:pPr>
              <w:pStyle w:val="TableText"/>
              <w:rPr>
                <w:rFonts w:cs="Arial"/>
                <w:szCs w:val="18"/>
              </w:rPr>
            </w:pPr>
            <w:r w:rsidRPr="000037E8">
              <w:rPr>
                <w:rFonts w:cs="Arial"/>
                <w:szCs w:val="18"/>
              </w:rPr>
              <w:t xml:space="preserve">Accrue workload when an individual unit (row) crossmatch, selected to include all phases or only AHG phase, primary or reflex, is reviewed, and saved. When </w:t>
            </w:r>
            <w:r w:rsidR="00AE3B37" w:rsidRPr="000037E8">
              <w:rPr>
                <w:rFonts w:cs="Arial"/>
                <w:szCs w:val="18"/>
              </w:rPr>
              <w:t>multiple units</w:t>
            </w:r>
            <w:r w:rsidRPr="000037E8">
              <w:rPr>
                <w:rFonts w:cs="Arial"/>
                <w:szCs w:val="18"/>
              </w:rPr>
              <w:t xml:space="preserve"> are selected, each unit (row) accrues workload.</w:t>
            </w:r>
          </w:p>
        </w:tc>
      </w:tr>
      <w:tr w:rsidR="001676C5" w:rsidRPr="00F24972" w14:paraId="33808FF4" w14:textId="77777777" w:rsidTr="00FA340F">
        <w:trPr>
          <w:cantSplit/>
        </w:trPr>
        <w:tc>
          <w:tcPr>
            <w:tcW w:w="1733" w:type="dxa"/>
            <w:vMerge/>
          </w:tcPr>
          <w:p w14:paraId="79BE99B5" w14:textId="77777777" w:rsidR="001676C5" w:rsidRPr="000037E8" w:rsidRDefault="001676C5" w:rsidP="00A42CB6">
            <w:pPr>
              <w:pStyle w:val="TableText"/>
              <w:rPr>
                <w:rFonts w:cs="Arial"/>
                <w:szCs w:val="18"/>
              </w:rPr>
            </w:pPr>
          </w:p>
        </w:tc>
        <w:tc>
          <w:tcPr>
            <w:tcW w:w="1592" w:type="dxa"/>
          </w:tcPr>
          <w:p w14:paraId="201BAB38" w14:textId="77777777" w:rsidR="001676C5" w:rsidRPr="000037E8" w:rsidRDefault="001676C5" w:rsidP="0038583A">
            <w:pPr>
              <w:pStyle w:val="TableText"/>
              <w:rPr>
                <w:rFonts w:cs="Arial"/>
                <w:snapToGrid w:val="0"/>
                <w:szCs w:val="18"/>
              </w:rPr>
            </w:pPr>
            <w:r>
              <w:rPr>
                <w:rFonts w:cs="Arial"/>
                <w:snapToGrid w:val="0"/>
                <w:szCs w:val="18"/>
              </w:rPr>
              <w:t>Invalidate patient testing, crossmatch</w:t>
            </w:r>
          </w:p>
        </w:tc>
        <w:tc>
          <w:tcPr>
            <w:tcW w:w="1080" w:type="dxa"/>
          </w:tcPr>
          <w:p w14:paraId="60843D90"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4C3A9C52"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7F8BDBEA" w14:textId="77777777" w:rsidR="001676C5" w:rsidRPr="000037E8" w:rsidRDefault="001676C5" w:rsidP="00A42CB6">
            <w:pPr>
              <w:pStyle w:val="TableText"/>
              <w:rPr>
                <w:rFonts w:cs="Arial"/>
                <w:szCs w:val="18"/>
              </w:rPr>
            </w:pPr>
            <w:r w:rsidRPr="000037E8">
              <w:rPr>
                <w:rFonts w:cs="Arial"/>
                <w:szCs w:val="18"/>
              </w:rPr>
              <w:t>Accrue workload when a reviewed crossmatch test is invalidated. The workload originally saved with the test, serological Coombs.</w:t>
            </w:r>
          </w:p>
        </w:tc>
      </w:tr>
      <w:tr w:rsidR="001676C5" w:rsidRPr="00F24972" w14:paraId="35D231D1" w14:textId="77777777" w:rsidTr="00FA340F">
        <w:trPr>
          <w:cantSplit/>
        </w:trPr>
        <w:tc>
          <w:tcPr>
            <w:tcW w:w="1733" w:type="dxa"/>
            <w:vMerge w:val="restart"/>
          </w:tcPr>
          <w:p w14:paraId="661F4580" w14:textId="77777777" w:rsidR="001676C5" w:rsidRPr="000037E8" w:rsidRDefault="001676C5" w:rsidP="00A42CB6">
            <w:pPr>
              <w:pStyle w:val="TableText"/>
              <w:rPr>
                <w:rFonts w:cs="Arial"/>
                <w:szCs w:val="18"/>
              </w:rPr>
            </w:pPr>
            <w:r w:rsidRPr="000037E8">
              <w:rPr>
                <w:rFonts w:cs="Arial"/>
                <w:szCs w:val="18"/>
              </w:rPr>
              <w:t>Direct Antiglobulin Test Automated</w:t>
            </w:r>
          </w:p>
        </w:tc>
        <w:tc>
          <w:tcPr>
            <w:tcW w:w="1592" w:type="dxa"/>
          </w:tcPr>
          <w:p w14:paraId="58BA32BD"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7A39646F"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06CEE61F"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4A5EE709" w14:textId="77777777" w:rsidR="001676C5" w:rsidRPr="000037E8" w:rsidRDefault="001676C5" w:rsidP="00A42CB6">
            <w:pPr>
              <w:pStyle w:val="TableText"/>
              <w:rPr>
                <w:rFonts w:cs="Arial"/>
                <w:szCs w:val="18"/>
              </w:rPr>
            </w:pPr>
            <w:r w:rsidRPr="000037E8">
              <w:rPr>
                <w:rFonts w:cs="Arial"/>
                <w:szCs w:val="18"/>
              </w:rPr>
              <w:t>Accrue workload when a DAT, primary or reflex, is reviewed, and saved.</w:t>
            </w:r>
          </w:p>
        </w:tc>
      </w:tr>
      <w:tr w:rsidR="001676C5" w:rsidRPr="00F24972" w14:paraId="0CAC219B" w14:textId="77777777" w:rsidTr="00FA340F">
        <w:trPr>
          <w:cantSplit/>
        </w:trPr>
        <w:tc>
          <w:tcPr>
            <w:tcW w:w="1733" w:type="dxa"/>
            <w:vMerge/>
            <w:tcBorders>
              <w:bottom w:val="single" w:sz="4" w:space="0" w:color="auto"/>
            </w:tcBorders>
          </w:tcPr>
          <w:p w14:paraId="5BCDE7D4" w14:textId="77777777" w:rsidR="001676C5" w:rsidRPr="000037E8" w:rsidRDefault="001676C5" w:rsidP="00A42CB6">
            <w:pPr>
              <w:pStyle w:val="TableText"/>
              <w:rPr>
                <w:rFonts w:cs="Arial"/>
                <w:szCs w:val="18"/>
              </w:rPr>
            </w:pPr>
          </w:p>
        </w:tc>
        <w:tc>
          <w:tcPr>
            <w:tcW w:w="1592" w:type="dxa"/>
          </w:tcPr>
          <w:p w14:paraId="0543A61B" w14:textId="77777777" w:rsidR="001676C5" w:rsidRPr="000037E8" w:rsidRDefault="001676C5" w:rsidP="0038583A">
            <w:pPr>
              <w:pStyle w:val="TableText"/>
              <w:rPr>
                <w:rFonts w:cs="Arial"/>
                <w:snapToGrid w:val="0"/>
                <w:szCs w:val="18"/>
              </w:rPr>
            </w:pPr>
            <w:r>
              <w:rPr>
                <w:rFonts w:cs="Arial"/>
                <w:snapToGrid w:val="0"/>
                <w:szCs w:val="18"/>
              </w:rPr>
              <w:t>Invalidate patient testing, Direct Antiglobulin test</w:t>
            </w:r>
          </w:p>
        </w:tc>
        <w:tc>
          <w:tcPr>
            <w:tcW w:w="1080" w:type="dxa"/>
          </w:tcPr>
          <w:p w14:paraId="0F48177A"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5BB9699A"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73152151" w14:textId="77777777" w:rsidR="001676C5" w:rsidRPr="000037E8" w:rsidRDefault="001676C5" w:rsidP="00A42CB6">
            <w:pPr>
              <w:pStyle w:val="TableText"/>
              <w:rPr>
                <w:rFonts w:cs="Arial"/>
                <w:szCs w:val="18"/>
              </w:rPr>
            </w:pPr>
            <w:r w:rsidRPr="000037E8">
              <w:rPr>
                <w:rFonts w:cs="Arial"/>
                <w:szCs w:val="18"/>
              </w:rPr>
              <w:t xml:space="preserve">Accrue workload when a reviewed DAT is invalidated. </w:t>
            </w:r>
          </w:p>
        </w:tc>
      </w:tr>
      <w:tr w:rsidR="001676C5" w:rsidRPr="00F24972" w14:paraId="311E33DE" w14:textId="77777777" w:rsidTr="00FA340F">
        <w:trPr>
          <w:cantSplit/>
        </w:trPr>
        <w:tc>
          <w:tcPr>
            <w:tcW w:w="1733" w:type="dxa"/>
            <w:vMerge w:val="restart"/>
          </w:tcPr>
          <w:p w14:paraId="4291F07B" w14:textId="77777777" w:rsidR="001676C5" w:rsidRPr="000037E8" w:rsidRDefault="001676C5" w:rsidP="00A42CB6">
            <w:pPr>
              <w:pStyle w:val="TableText"/>
              <w:rPr>
                <w:rFonts w:cs="Arial"/>
                <w:szCs w:val="18"/>
              </w:rPr>
            </w:pPr>
            <w:r w:rsidRPr="000037E8">
              <w:rPr>
                <w:rFonts w:cs="Arial"/>
                <w:szCs w:val="18"/>
              </w:rPr>
              <w:t>Patient Antigen Typing Automated</w:t>
            </w:r>
          </w:p>
        </w:tc>
        <w:tc>
          <w:tcPr>
            <w:tcW w:w="1592" w:type="dxa"/>
          </w:tcPr>
          <w:p w14:paraId="73C368DC"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2A9AB962"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0CC6A904"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3C4EABB6" w14:textId="77777777" w:rsidR="001676C5" w:rsidRPr="000037E8" w:rsidRDefault="001676C5" w:rsidP="00A42CB6">
            <w:pPr>
              <w:pStyle w:val="TableText"/>
              <w:rPr>
                <w:rFonts w:cs="Arial"/>
                <w:szCs w:val="18"/>
              </w:rPr>
            </w:pPr>
            <w:r w:rsidRPr="000037E8">
              <w:rPr>
                <w:rFonts w:cs="Arial"/>
                <w:szCs w:val="18"/>
              </w:rPr>
              <w:t xml:space="preserve">Accrue workload when a patient antigen phenotype test (tab) is reviewed and saved. </w:t>
            </w:r>
          </w:p>
        </w:tc>
      </w:tr>
      <w:tr w:rsidR="001676C5" w:rsidRPr="00F24972" w14:paraId="57847783" w14:textId="77777777" w:rsidTr="00FA340F">
        <w:trPr>
          <w:cantSplit/>
        </w:trPr>
        <w:tc>
          <w:tcPr>
            <w:tcW w:w="1733" w:type="dxa"/>
            <w:vMerge/>
          </w:tcPr>
          <w:p w14:paraId="6EB8A1D0" w14:textId="77777777" w:rsidR="001676C5" w:rsidRPr="000037E8" w:rsidRDefault="001676C5" w:rsidP="00A42CB6">
            <w:pPr>
              <w:pStyle w:val="TableText"/>
              <w:rPr>
                <w:rFonts w:cs="Arial"/>
                <w:szCs w:val="18"/>
              </w:rPr>
            </w:pPr>
          </w:p>
        </w:tc>
        <w:tc>
          <w:tcPr>
            <w:tcW w:w="1592" w:type="dxa"/>
          </w:tcPr>
          <w:p w14:paraId="3C24A46B" w14:textId="77777777" w:rsidR="001676C5" w:rsidRPr="000037E8" w:rsidRDefault="001676C5" w:rsidP="0038583A">
            <w:pPr>
              <w:pStyle w:val="TableText"/>
              <w:rPr>
                <w:rFonts w:cs="Arial"/>
                <w:snapToGrid w:val="0"/>
                <w:szCs w:val="18"/>
              </w:rPr>
            </w:pPr>
            <w:r>
              <w:rPr>
                <w:rFonts w:cs="Arial"/>
                <w:snapToGrid w:val="0"/>
                <w:szCs w:val="18"/>
              </w:rPr>
              <w:t>Invalidate patient testing, patient antigen typing</w:t>
            </w:r>
          </w:p>
        </w:tc>
        <w:tc>
          <w:tcPr>
            <w:tcW w:w="1080" w:type="dxa"/>
          </w:tcPr>
          <w:p w14:paraId="64C48073" w14:textId="77777777" w:rsidR="001676C5" w:rsidRPr="000037E8" w:rsidRDefault="001676C5" w:rsidP="00A42CB6">
            <w:pPr>
              <w:pStyle w:val="TableText"/>
              <w:rPr>
                <w:rFonts w:cs="Arial"/>
                <w:b/>
                <w:szCs w:val="18"/>
              </w:rPr>
            </w:pPr>
            <w:r w:rsidRPr="000037E8">
              <w:rPr>
                <w:rFonts w:cs="Arial"/>
                <w:b/>
                <w:szCs w:val="18"/>
              </w:rPr>
              <w:t>Negative</w:t>
            </w:r>
          </w:p>
        </w:tc>
        <w:tc>
          <w:tcPr>
            <w:tcW w:w="900" w:type="dxa"/>
          </w:tcPr>
          <w:p w14:paraId="6180A4FA"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1F45E590" w14:textId="77777777" w:rsidR="001676C5" w:rsidRPr="000037E8" w:rsidRDefault="001676C5" w:rsidP="00A42CB6">
            <w:pPr>
              <w:pStyle w:val="TableText"/>
              <w:rPr>
                <w:rFonts w:cs="Arial"/>
                <w:szCs w:val="18"/>
              </w:rPr>
            </w:pPr>
            <w:r w:rsidRPr="000037E8">
              <w:rPr>
                <w:rFonts w:cs="Arial"/>
                <w:szCs w:val="18"/>
              </w:rPr>
              <w:t>Accrue workload when a reviewed patient antigen test (phenotype) is invalidated.</w:t>
            </w:r>
          </w:p>
        </w:tc>
      </w:tr>
      <w:tr w:rsidR="001676C5" w:rsidRPr="00F24972" w14:paraId="1453E8E7" w14:textId="77777777" w:rsidTr="00FA340F">
        <w:trPr>
          <w:cantSplit/>
        </w:trPr>
        <w:tc>
          <w:tcPr>
            <w:tcW w:w="1733" w:type="dxa"/>
            <w:vMerge w:val="restart"/>
          </w:tcPr>
          <w:p w14:paraId="0FE9D142" w14:textId="77777777" w:rsidR="001676C5" w:rsidRPr="000037E8" w:rsidRDefault="001676C5" w:rsidP="00A42CB6">
            <w:pPr>
              <w:pStyle w:val="TableText"/>
              <w:rPr>
                <w:rFonts w:cs="Arial"/>
                <w:szCs w:val="18"/>
              </w:rPr>
            </w:pPr>
            <w:r w:rsidRPr="000037E8">
              <w:rPr>
                <w:rFonts w:cs="Arial"/>
                <w:szCs w:val="18"/>
              </w:rPr>
              <w:t>Blood Unit ABO Confirmation Test Automated</w:t>
            </w:r>
          </w:p>
        </w:tc>
        <w:tc>
          <w:tcPr>
            <w:tcW w:w="1592" w:type="dxa"/>
          </w:tcPr>
          <w:p w14:paraId="180D7D56"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588E1419" w14:textId="77777777" w:rsidR="001676C5" w:rsidRPr="000037E8" w:rsidRDefault="001676C5" w:rsidP="00A42CB6">
            <w:pPr>
              <w:pStyle w:val="TableText"/>
              <w:rPr>
                <w:rFonts w:cs="Arial"/>
                <w:szCs w:val="18"/>
              </w:rPr>
            </w:pPr>
            <w:r w:rsidRPr="000037E8">
              <w:rPr>
                <w:rFonts w:cs="Arial"/>
                <w:szCs w:val="18"/>
              </w:rPr>
              <w:t>Positive</w:t>
            </w:r>
          </w:p>
        </w:tc>
        <w:tc>
          <w:tcPr>
            <w:tcW w:w="900" w:type="dxa"/>
          </w:tcPr>
          <w:p w14:paraId="5DA5E456"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4035AE9A" w14:textId="77777777" w:rsidR="001676C5" w:rsidRPr="000037E8" w:rsidRDefault="001676C5" w:rsidP="00A42CB6">
            <w:pPr>
              <w:pStyle w:val="TableText"/>
              <w:rPr>
                <w:rFonts w:cs="Arial"/>
                <w:szCs w:val="18"/>
              </w:rPr>
            </w:pPr>
            <w:r w:rsidRPr="000037E8">
              <w:rPr>
                <w:rFonts w:cs="Arial"/>
                <w:szCs w:val="18"/>
              </w:rPr>
              <w:t xml:space="preserve">An ABO confirmation test, primary or repeat, is reviewed, and saved. When multiple units are selected in a batch, each unit in the batch accrues a workload event. </w:t>
            </w:r>
          </w:p>
          <w:p w14:paraId="66783158" w14:textId="77777777" w:rsidR="001676C5" w:rsidRPr="000037E8" w:rsidRDefault="001676C5" w:rsidP="00A42CB6">
            <w:pPr>
              <w:pStyle w:val="TableText"/>
              <w:rPr>
                <w:rFonts w:cs="Arial"/>
                <w:szCs w:val="18"/>
              </w:rPr>
            </w:pPr>
          </w:p>
          <w:p w14:paraId="2C09F049" w14:textId="77777777" w:rsidR="001676C5" w:rsidRPr="000037E8" w:rsidRDefault="001676C5" w:rsidP="00A42CB6">
            <w:pPr>
              <w:pStyle w:val="TableTextBullet"/>
              <w:rPr>
                <w:rFonts w:cs="Arial"/>
                <w:szCs w:val="18"/>
              </w:rPr>
            </w:pPr>
            <w:r w:rsidRPr="000037E8">
              <w:rPr>
                <w:rFonts w:cs="Arial"/>
                <w:szCs w:val="18"/>
              </w:rPr>
              <w:t>Note: Workload generated when Anti-D testing is not included in the unit’s confirmation test.</w:t>
            </w:r>
            <w:r w:rsidRPr="000037E8">
              <w:rPr>
                <w:rFonts w:cs="Arial"/>
                <w:color w:val="0000FF"/>
                <w:szCs w:val="18"/>
              </w:rPr>
              <w:t xml:space="preserve"> </w:t>
            </w:r>
            <w:r w:rsidRPr="000037E8">
              <w:rPr>
                <w:rFonts w:cs="Arial"/>
                <w:szCs w:val="18"/>
              </w:rPr>
              <w:t xml:space="preserve">Workload is </w:t>
            </w:r>
            <w:r w:rsidRPr="000037E8">
              <w:rPr>
                <w:rFonts w:cs="Arial"/>
                <w:b/>
                <w:szCs w:val="18"/>
              </w:rPr>
              <w:t xml:space="preserve">not </w:t>
            </w:r>
            <w:r w:rsidRPr="000037E8">
              <w:rPr>
                <w:rFonts w:cs="Arial"/>
                <w:szCs w:val="18"/>
              </w:rPr>
              <w:t>accrued when VBECS quarantines the unit due to a discrepancy. No special handling for workload collection for additional confirmation tests on a unit.</w:t>
            </w:r>
          </w:p>
        </w:tc>
      </w:tr>
      <w:tr w:rsidR="001676C5" w:rsidRPr="00F24972" w14:paraId="3F5A62BE" w14:textId="77777777" w:rsidTr="00FA340F">
        <w:trPr>
          <w:cantSplit/>
        </w:trPr>
        <w:tc>
          <w:tcPr>
            <w:tcW w:w="1733" w:type="dxa"/>
            <w:vMerge/>
          </w:tcPr>
          <w:p w14:paraId="721AAB39" w14:textId="77777777" w:rsidR="001676C5" w:rsidRPr="000037E8" w:rsidRDefault="001676C5" w:rsidP="00A42CB6">
            <w:pPr>
              <w:pStyle w:val="TableText"/>
              <w:rPr>
                <w:rFonts w:cs="Arial"/>
                <w:szCs w:val="18"/>
              </w:rPr>
            </w:pPr>
          </w:p>
        </w:tc>
        <w:tc>
          <w:tcPr>
            <w:tcW w:w="1592" w:type="dxa"/>
          </w:tcPr>
          <w:p w14:paraId="0427AA96" w14:textId="77777777" w:rsidR="001676C5" w:rsidRPr="000037E8" w:rsidRDefault="001676C5" w:rsidP="001676C5">
            <w:pPr>
              <w:pStyle w:val="TableText"/>
              <w:rPr>
                <w:rFonts w:cs="Arial"/>
                <w:snapToGrid w:val="0"/>
                <w:szCs w:val="18"/>
              </w:rPr>
            </w:pPr>
            <w:r>
              <w:rPr>
                <w:rFonts w:cs="Arial"/>
                <w:snapToGrid w:val="0"/>
                <w:szCs w:val="18"/>
              </w:rPr>
              <w:t>Invalidate unit testing, ABO Test</w:t>
            </w:r>
          </w:p>
        </w:tc>
        <w:tc>
          <w:tcPr>
            <w:tcW w:w="1080" w:type="dxa"/>
          </w:tcPr>
          <w:p w14:paraId="00C80028"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13BAB2D6"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7C6B66F9" w14:textId="77777777" w:rsidR="001676C5" w:rsidRPr="000037E8" w:rsidRDefault="001676C5" w:rsidP="00A42CB6">
            <w:pPr>
              <w:pStyle w:val="TableText"/>
              <w:rPr>
                <w:rFonts w:cs="Arial"/>
                <w:szCs w:val="18"/>
              </w:rPr>
            </w:pPr>
            <w:r w:rsidRPr="000037E8">
              <w:rPr>
                <w:rFonts w:cs="Arial"/>
                <w:szCs w:val="18"/>
              </w:rPr>
              <w:t>Accrue workload when an ABO confirmation test is invalidated</w:t>
            </w:r>
          </w:p>
        </w:tc>
      </w:tr>
      <w:tr w:rsidR="001676C5" w:rsidRPr="00F24972" w14:paraId="64F23FDF" w14:textId="77777777" w:rsidTr="00FA340F">
        <w:trPr>
          <w:cantSplit/>
        </w:trPr>
        <w:tc>
          <w:tcPr>
            <w:tcW w:w="1733" w:type="dxa"/>
            <w:vMerge w:val="restart"/>
          </w:tcPr>
          <w:p w14:paraId="098AF40F" w14:textId="77777777" w:rsidR="001676C5" w:rsidRPr="000037E8" w:rsidRDefault="001676C5" w:rsidP="00A42CB6">
            <w:pPr>
              <w:pStyle w:val="TableText"/>
              <w:rPr>
                <w:rFonts w:cs="Arial"/>
                <w:szCs w:val="18"/>
              </w:rPr>
            </w:pPr>
            <w:r w:rsidRPr="000037E8">
              <w:rPr>
                <w:rFonts w:cs="Arial"/>
                <w:szCs w:val="18"/>
              </w:rPr>
              <w:t>Blood Unit ABO/Rh Confirmation Test Automated</w:t>
            </w:r>
          </w:p>
        </w:tc>
        <w:tc>
          <w:tcPr>
            <w:tcW w:w="1592" w:type="dxa"/>
          </w:tcPr>
          <w:p w14:paraId="32C19F8B"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491264E6"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61B59761"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0E7D5D8D" w14:textId="77777777" w:rsidR="001676C5" w:rsidRPr="000037E8" w:rsidRDefault="001676C5" w:rsidP="00A42CB6">
            <w:pPr>
              <w:pStyle w:val="TableText"/>
              <w:rPr>
                <w:rFonts w:cs="Arial"/>
                <w:szCs w:val="18"/>
              </w:rPr>
            </w:pPr>
            <w:r w:rsidRPr="000037E8">
              <w:rPr>
                <w:rFonts w:cs="Arial"/>
                <w:szCs w:val="18"/>
              </w:rPr>
              <w:t>An ABO/Rh confirmation test, primary or repeat, is reviewed, and saved. When multiple units are selected in a batch, each unit in the batch accrues a workload event.</w:t>
            </w:r>
          </w:p>
          <w:p w14:paraId="7A7AA09E" w14:textId="77777777" w:rsidR="001676C5" w:rsidRPr="000037E8" w:rsidRDefault="001676C5" w:rsidP="00A42CB6">
            <w:pPr>
              <w:pStyle w:val="TableText"/>
              <w:rPr>
                <w:rFonts w:cs="Arial"/>
                <w:szCs w:val="18"/>
              </w:rPr>
            </w:pPr>
          </w:p>
          <w:p w14:paraId="4D70C8A8" w14:textId="77777777" w:rsidR="001676C5" w:rsidRPr="000037E8" w:rsidRDefault="001676C5" w:rsidP="00A42CB6">
            <w:pPr>
              <w:pStyle w:val="TableText"/>
              <w:rPr>
                <w:rFonts w:cs="Arial"/>
                <w:szCs w:val="18"/>
              </w:rPr>
            </w:pPr>
            <w:r w:rsidRPr="000037E8">
              <w:rPr>
                <w:rFonts w:cs="Arial"/>
                <w:szCs w:val="18"/>
              </w:rPr>
              <w:t>Any unit successfully confirmed accrues workload.</w:t>
            </w:r>
          </w:p>
          <w:p w14:paraId="7ACEA739" w14:textId="77777777" w:rsidR="001676C5" w:rsidRPr="000037E8" w:rsidRDefault="001676C5" w:rsidP="00A42CB6">
            <w:pPr>
              <w:pStyle w:val="TableTextBullet"/>
              <w:rPr>
                <w:rFonts w:cs="Arial"/>
                <w:szCs w:val="18"/>
              </w:rPr>
            </w:pPr>
            <w:r w:rsidRPr="000037E8">
              <w:rPr>
                <w:rFonts w:cs="Arial"/>
                <w:szCs w:val="18"/>
              </w:rPr>
              <w:t xml:space="preserve">Note: Workload is </w:t>
            </w:r>
            <w:r w:rsidRPr="000037E8">
              <w:rPr>
                <w:rFonts w:cs="Arial"/>
                <w:b/>
                <w:szCs w:val="18"/>
              </w:rPr>
              <w:t xml:space="preserve">not </w:t>
            </w:r>
            <w:r w:rsidRPr="000037E8">
              <w:rPr>
                <w:rFonts w:cs="Arial"/>
                <w:szCs w:val="18"/>
              </w:rPr>
              <w:t xml:space="preserve">accrued when VBECS quarantines the unit due to a discrepancy. </w:t>
            </w:r>
          </w:p>
        </w:tc>
      </w:tr>
      <w:tr w:rsidR="001676C5" w:rsidRPr="00F24972" w14:paraId="6162DA6E" w14:textId="77777777" w:rsidTr="00FA340F">
        <w:trPr>
          <w:cantSplit/>
        </w:trPr>
        <w:tc>
          <w:tcPr>
            <w:tcW w:w="1733" w:type="dxa"/>
            <w:vMerge/>
          </w:tcPr>
          <w:p w14:paraId="3C894C1E" w14:textId="77777777" w:rsidR="001676C5" w:rsidRPr="000037E8" w:rsidRDefault="001676C5" w:rsidP="00A42CB6">
            <w:pPr>
              <w:pStyle w:val="TableText"/>
              <w:rPr>
                <w:rFonts w:cs="Arial"/>
                <w:szCs w:val="18"/>
              </w:rPr>
            </w:pPr>
          </w:p>
        </w:tc>
        <w:tc>
          <w:tcPr>
            <w:tcW w:w="1592" w:type="dxa"/>
          </w:tcPr>
          <w:p w14:paraId="7A39E945" w14:textId="77777777" w:rsidR="001676C5" w:rsidRPr="000037E8" w:rsidRDefault="001676C5" w:rsidP="0038583A">
            <w:pPr>
              <w:pStyle w:val="TableText"/>
              <w:rPr>
                <w:rFonts w:cs="Arial"/>
                <w:snapToGrid w:val="0"/>
                <w:szCs w:val="18"/>
              </w:rPr>
            </w:pPr>
            <w:r>
              <w:rPr>
                <w:rFonts w:cs="Arial"/>
                <w:snapToGrid w:val="0"/>
                <w:szCs w:val="18"/>
              </w:rPr>
              <w:t>Invalidate unit testing, ABO/Rh</w:t>
            </w:r>
          </w:p>
        </w:tc>
        <w:tc>
          <w:tcPr>
            <w:tcW w:w="1080" w:type="dxa"/>
          </w:tcPr>
          <w:p w14:paraId="1AB6FC1F"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78F2F512"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1BB09C24" w14:textId="77777777" w:rsidR="001676C5" w:rsidRPr="000037E8" w:rsidRDefault="001676C5" w:rsidP="00A42CB6">
            <w:pPr>
              <w:pStyle w:val="TableText"/>
              <w:rPr>
                <w:rFonts w:cs="Arial"/>
                <w:szCs w:val="18"/>
              </w:rPr>
            </w:pPr>
            <w:r w:rsidRPr="000037E8">
              <w:rPr>
                <w:rFonts w:cs="Arial"/>
                <w:szCs w:val="18"/>
              </w:rPr>
              <w:t>Accrue workload when an ABO/Rh confirmation test is invalidated</w:t>
            </w:r>
          </w:p>
        </w:tc>
      </w:tr>
      <w:tr w:rsidR="001676C5" w:rsidRPr="00F24972" w14:paraId="54544EB2" w14:textId="77777777" w:rsidTr="00FA340F">
        <w:trPr>
          <w:cantSplit/>
        </w:trPr>
        <w:tc>
          <w:tcPr>
            <w:tcW w:w="1733" w:type="dxa"/>
            <w:vMerge w:val="restart"/>
          </w:tcPr>
          <w:p w14:paraId="2862A77F" w14:textId="77777777" w:rsidR="001676C5" w:rsidRPr="000037E8" w:rsidRDefault="001676C5" w:rsidP="00A42CB6">
            <w:pPr>
              <w:pStyle w:val="TableText"/>
              <w:rPr>
                <w:rFonts w:cs="Arial"/>
                <w:szCs w:val="18"/>
              </w:rPr>
            </w:pPr>
            <w:r w:rsidRPr="000037E8">
              <w:rPr>
                <w:rFonts w:cs="Arial"/>
                <w:szCs w:val="18"/>
              </w:rPr>
              <w:t>Blood Unit Antigen Typing Automated</w:t>
            </w:r>
          </w:p>
        </w:tc>
        <w:tc>
          <w:tcPr>
            <w:tcW w:w="1592" w:type="dxa"/>
          </w:tcPr>
          <w:p w14:paraId="6BC07E70"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52BF7D95"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17419061"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494C8525" w14:textId="77777777" w:rsidR="001676C5" w:rsidRPr="000037E8" w:rsidRDefault="001676C5" w:rsidP="00A42CB6">
            <w:pPr>
              <w:pStyle w:val="TableText"/>
              <w:rPr>
                <w:rFonts w:cs="Arial"/>
                <w:szCs w:val="18"/>
              </w:rPr>
            </w:pPr>
            <w:r w:rsidRPr="000037E8">
              <w:rPr>
                <w:rFonts w:cs="Arial"/>
                <w:szCs w:val="18"/>
              </w:rPr>
              <w:t xml:space="preserve">A unit (row) antigen phenotype test, primary or repeat, is reviewed, and saved for an individual blood unit (row). </w:t>
            </w:r>
          </w:p>
          <w:p w14:paraId="179CC738" w14:textId="77777777" w:rsidR="001676C5" w:rsidRPr="000037E8" w:rsidRDefault="001676C5" w:rsidP="00A42CB6">
            <w:pPr>
              <w:pStyle w:val="TableText"/>
              <w:rPr>
                <w:rFonts w:cs="Arial"/>
                <w:szCs w:val="18"/>
              </w:rPr>
            </w:pPr>
          </w:p>
          <w:p w14:paraId="74935C99" w14:textId="77777777" w:rsidR="001676C5" w:rsidRPr="000037E8" w:rsidRDefault="001676C5" w:rsidP="00A42CB6">
            <w:pPr>
              <w:pStyle w:val="TableText"/>
              <w:rPr>
                <w:rFonts w:cs="Arial"/>
                <w:szCs w:val="18"/>
              </w:rPr>
            </w:pPr>
            <w:r w:rsidRPr="000037E8">
              <w:rPr>
                <w:rFonts w:cs="Arial"/>
                <w:szCs w:val="18"/>
              </w:rPr>
              <w:t>No special handling for workload collection for additional repeat antigen typing tests on a unit.</w:t>
            </w:r>
          </w:p>
        </w:tc>
      </w:tr>
      <w:tr w:rsidR="001676C5" w:rsidRPr="00F24972" w14:paraId="511DB2D0" w14:textId="77777777" w:rsidTr="00FA340F">
        <w:trPr>
          <w:cantSplit/>
        </w:trPr>
        <w:tc>
          <w:tcPr>
            <w:tcW w:w="1733" w:type="dxa"/>
            <w:vMerge/>
          </w:tcPr>
          <w:p w14:paraId="415BD8E8" w14:textId="77777777" w:rsidR="001676C5" w:rsidRPr="000037E8" w:rsidRDefault="001676C5" w:rsidP="00A42CB6">
            <w:pPr>
              <w:pStyle w:val="TableText"/>
              <w:rPr>
                <w:rFonts w:cs="Arial"/>
                <w:szCs w:val="18"/>
              </w:rPr>
            </w:pPr>
          </w:p>
        </w:tc>
        <w:tc>
          <w:tcPr>
            <w:tcW w:w="1592" w:type="dxa"/>
          </w:tcPr>
          <w:p w14:paraId="7B9D18BD" w14:textId="77777777" w:rsidR="001676C5" w:rsidRPr="000037E8" w:rsidRDefault="001676C5" w:rsidP="0038583A">
            <w:pPr>
              <w:pStyle w:val="TableText"/>
              <w:rPr>
                <w:rFonts w:cs="Arial"/>
                <w:snapToGrid w:val="0"/>
                <w:szCs w:val="18"/>
              </w:rPr>
            </w:pPr>
            <w:r>
              <w:rPr>
                <w:rFonts w:cs="Arial"/>
                <w:snapToGrid w:val="0"/>
                <w:szCs w:val="18"/>
              </w:rPr>
              <w:t>Invalidate unit testing, Antigen Typing</w:t>
            </w:r>
          </w:p>
        </w:tc>
        <w:tc>
          <w:tcPr>
            <w:tcW w:w="1080" w:type="dxa"/>
          </w:tcPr>
          <w:p w14:paraId="54CB1068"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0D414877"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1C85B92D" w14:textId="77777777" w:rsidR="001676C5" w:rsidRPr="000037E8" w:rsidRDefault="001676C5" w:rsidP="00A42CB6">
            <w:pPr>
              <w:pStyle w:val="TableText"/>
              <w:rPr>
                <w:rFonts w:cs="Arial"/>
                <w:szCs w:val="18"/>
              </w:rPr>
            </w:pPr>
            <w:r w:rsidRPr="000037E8">
              <w:rPr>
                <w:rFonts w:cs="Arial"/>
                <w:szCs w:val="18"/>
              </w:rPr>
              <w:t>Accrue workload when a unit antigen test is invalidated for an individual blood unit.</w:t>
            </w:r>
          </w:p>
        </w:tc>
      </w:tr>
    </w:tbl>
    <w:p w14:paraId="7B61A9A1" w14:textId="77777777" w:rsidR="0038450D" w:rsidRPr="00BC4A37" w:rsidRDefault="0038450D" w:rsidP="000037E8">
      <w:pPr>
        <w:jc w:val="center"/>
      </w:pPr>
    </w:p>
    <w:p w14:paraId="6CB57E0C" w14:textId="77777777" w:rsidR="001C498F" w:rsidRDefault="0045199E" w:rsidP="0045199E">
      <w:pPr>
        <w:rPr>
          <w:sz w:val="22"/>
          <w:szCs w:val="22"/>
        </w:rPr>
      </w:pPr>
      <w:r w:rsidRPr="004C5759">
        <w:rPr>
          <w:sz w:val="22"/>
          <w:szCs w:val="22"/>
        </w:rPr>
        <w:t xml:space="preserve">*Transaction type: Patient (P), Unit (U), Misc (M), </w:t>
      </w:r>
      <w:r w:rsidR="005A7651" w:rsidRPr="004C5759">
        <w:rPr>
          <w:sz w:val="22"/>
          <w:szCs w:val="22"/>
        </w:rPr>
        <w:t>(N/A) N</w:t>
      </w:r>
      <w:r w:rsidRPr="004C5759">
        <w:rPr>
          <w:sz w:val="22"/>
          <w:szCs w:val="22"/>
        </w:rPr>
        <w:t>o donor workload types in VBECS at this time.</w:t>
      </w:r>
    </w:p>
    <w:p w14:paraId="26133F9C" w14:textId="77777777" w:rsidR="00A9528E" w:rsidRDefault="00A9528E">
      <w:r>
        <w:br w:type="page"/>
      </w:r>
    </w:p>
    <w:p w14:paraId="09B1763E" w14:textId="0220C015" w:rsidR="002A21AE" w:rsidRDefault="002A21AE" w:rsidP="008A42DA">
      <w:pPr>
        <w:pStyle w:val="Heading2"/>
      </w:pPr>
      <w:bookmarkStart w:id="810" w:name="_Toc47516822"/>
      <w:r>
        <w:lastRenderedPageBreak/>
        <w:t xml:space="preserve">Appendix </w:t>
      </w:r>
      <w:r w:rsidR="004E20BD">
        <w:rPr>
          <w:noProof/>
        </w:rPr>
        <w:fldChar w:fldCharType="begin"/>
      </w:r>
      <w:r w:rsidR="004E20BD">
        <w:rPr>
          <w:noProof/>
        </w:rPr>
        <w:instrText xml:space="preserve"> SEQ Appendix \* ALPHABETIC </w:instrText>
      </w:r>
      <w:r w:rsidR="004E20BD">
        <w:rPr>
          <w:noProof/>
        </w:rPr>
        <w:fldChar w:fldCharType="separate"/>
      </w:r>
      <w:r w:rsidR="004353ED">
        <w:rPr>
          <w:noProof/>
        </w:rPr>
        <w:t>C</w:t>
      </w:r>
      <w:r w:rsidR="004E20BD">
        <w:rPr>
          <w:noProof/>
        </w:rPr>
        <w:fldChar w:fldCharType="end"/>
      </w:r>
      <w:r>
        <w:t>: VBECS Work Flow</w:t>
      </w:r>
      <w:bookmarkEnd w:id="810"/>
      <w:r>
        <w:fldChar w:fldCharType="begin"/>
      </w:r>
      <w:r>
        <w:instrText xml:space="preserve"> XE </w:instrText>
      </w:r>
      <w:r w:rsidR="00FA7E65">
        <w:instrText>“</w:instrText>
      </w:r>
      <w:r>
        <w:instrText>VBECS Work Flow</w:instrText>
      </w:r>
      <w:r w:rsidR="00FA7E65">
        <w:instrText>”</w:instrText>
      </w:r>
      <w:r>
        <w:instrText xml:space="preserve"> </w:instrText>
      </w:r>
      <w:r>
        <w:fldChar w:fldCharType="end"/>
      </w:r>
      <w:r>
        <w:fldChar w:fldCharType="begin"/>
      </w:r>
      <w:r>
        <w:instrText xml:space="preserve"> XE </w:instrText>
      </w:r>
      <w:r w:rsidR="00FA7E65">
        <w:instrText>“</w:instrText>
      </w:r>
      <w:r>
        <w:instrText>Figures:VBECS Work Flow</w:instrText>
      </w:r>
      <w:r w:rsidR="00FA7E65">
        <w:instrText>”</w:instrText>
      </w:r>
      <w:r>
        <w:instrText xml:space="preserve"> </w:instrText>
      </w:r>
      <w:r>
        <w:fldChar w:fldCharType="end"/>
      </w:r>
    </w:p>
    <w:p w14:paraId="7811E0F1" w14:textId="51274CC4" w:rsidR="00CF42BF" w:rsidRDefault="00C81AB4" w:rsidP="00C81AB4">
      <w:pPr>
        <w:pStyle w:val="BodyText"/>
        <w:rPr>
          <w:snapToGrid w:val="0"/>
        </w:rPr>
      </w:pPr>
      <w:r>
        <w:t>Each of the six user roles is associated with a</w:t>
      </w:r>
      <w:r>
        <w:rPr>
          <w:snapToGrid w:val="0"/>
        </w:rPr>
        <w:t xml:space="preserve"> security level (see </w:t>
      </w:r>
      <w:r w:rsidR="00CF5477">
        <w:rPr>
          <w:snapToGrid w:val="0"/>
        </w:rPr>
        <w:fldChar w:fldCharType="begin"/>
      </w:r>
      <w:r w:rsidR="00CF5477">
        <w:rPr>
          <w:snapToGrid w:val="0"/>
        </w:rPr>
        <w:instrText xml:space="preserve"> REF _Ref126468477 \h </w:instrText>
      </w:r>
      <w:r w:rsidR="00CF5477">
        <w:rPr>
          <w:snapToGrid w:val="0"/>
        </w:rPr>
      </w:r>
      <w:r w:rsidR="00CF5477">
        <w:rPr>
          <w:snapToGrid w:val="0"/>
        </w:rPr>
        <w:fldChar w:fldCharType="separate"/>
      </w:r>
      <w:r w:rsidR="004353ED">
        <w:t xml:space="preserve">Table </w:t>
      </w:r>
      <w:r w:rsidR="004353ED">
        <w:rPr>
          <w:noProof/>
        </w:rPr>
        <w:t>1</w:t>
      </w:r>
      <w:r w:rsidR="00CF5477">
        <w:rPr>
          <w:snapToGrid w:val="0"/>
        </w:rPr>
        <w:fldChar w:fldCharType="end"/>
      </w:r>
      <w:r>
        <w:rPr>
          <w:snapToGrid w:val="0"/>
        </w:rPr>
        <w:t xml:space="preserve">). </w:t>
      </w:r>
      <w:r w:rsidR="00B439DD">
        <w:rPr>
          <w:snapToGrid w:val="0"/>
        </w:rPr>
        <w:t xml:space="preserve">Privileges </w:t>
      </w:r>
      <w:r w:rsidR="007370E3">
        <w:rPr>
          <w:snapToGrid w:val="0"/>
        </w:rPr>
        <w:t>accumulate</w:t>
      </w:r>
      <w:r w:rsidR="00B439DD">
        <w:rPr>
          <w:snapToGrid w:val="0"/>
        </w:rPr>
        <w:t xml:space="preserve"> as the security level increases. For example, a Lead Technologist’s privileges include those of a Blood Bank Technologist and Enhanced Technologist. </w:t>
      </w:r>
    </w:p>
    <w:p w14:paraId="60EF7522" w14:textId="3DF567B9" w:rsidR="00543C20" w:rsidRPr="00543C20" w:rsidRDefault="00CF42BF" w:rsidP="00CF42BF">
      <w:pPr>
        <w:pStyle w:val="Caption"/>
      </w:pPr>
      <w:r>
        <w:rPr>
          <w:snapToGrid w:val="0"/>
        </w:rPr>
        <w:br w:type="page"/>
      </w:r>
      <w:r w:rsidR="00543C20">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150</w:t>
      </w:r>
      <w:r w:rsidR="004E20BD">
        <w:rPr>
          <w:noProof/>
        </w:rPr>
        <w:fldChar w:fldCharType="end"/>
      </w:r>
      <w:r w:rsidR="00543C20">
        <w:t>: VBECS Work Flow (left)</w:t>
      </w:r>
    </w:p>
    <w:p w14:paraId="5D6D95A8" w14:textId="7AAC2B79" w:rsidR="002A21AE" w:rsidRDefault="00F322E7" w:rsidP="000969E3">
      <w:pPr>
        <w:pStyle w:val="BodyText"/>
        <w:sectPr w:rsidR="002A21AE" w:rsidSect="00EE771C">
          <w:footerReference w:type="default" r:id="rId244"/>
          <w:pgSz w:w="12240" w:h="15840" w:code="1"/>
          <w:pgMar w:top="1440" w:right="1440" w:bottom="1440" w:left="1440" w:header="720" w:footer="720" w:gutter="0"/>
          <w:cols w:space="720"/>
          <w:docGrid w:linePitch="360"/>
        </w:sectPr>
      </w:pPr>
      <w:r>
        <w:object w:dxaOrig="12139" w:dyaOrig="15265" w14:anchorId="656AEEDA">
          <v:shape id="_x0000_i1035" type="#_x0000_t75" alt="flow chart" style="width:467.7pt;height:591pt" o:ole="">
            <v:imagedata r:id="rId245" o:title=""/>
          </v:shape>
          <o:OLEObject Type="Embed" ProgID="Visio.Drawing.11" ShapeID="_x0000_i1035" DrawAspect="Content" ObjectID="_1693299372" r:id="rId246"/>
        </w:object>
      </w:r>
    </w:p>
    <w:p w14:paraId="501334FB" w14:textId="50EDC741" w:rsidR="00543C20" w:rsidRPr="00543C20" w:rsidRDefault="00543C20" w:rsidP="00543C20">
      <w:pPr>
        <w:pStyle w:val="Caption"/>
      </w:pPr>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151</w:t>
      </w:r>
      <w:r w:rsidR="004E20BD">
        <w:rPr>
          <w:noProof/>
        </w:rPr>
        <w:fldChar w:fldCharType="end"/>
      </w:r>
      <w:r>
        <w:t>: VBECS Work Flow (right)</w:t>
      </w:r>
    </w:p>
    <w:p w14:paraId="0BE4710E" w14:textId="46232303" w:rsidR="003955C7" w:rsidRDefault="00F322E7" w:rsidP="000969E3">
      <w:pPr>
        <w:pStyle w:val="BodyText"/>
      </w:pPr>
      <w:r>
        <w:object w:dxaOrig="11845" w:dyaOrig="15265" w14:anchorId="525A18C8">
          <v:shape id="_x0000_i1036" type="#_x0000_t75" alt="flow chart" style="width:453.9pt;height:591pt" o:ole="">
            <v:imagedata r:id="rId247" o:title=""/>
          </v:shape>
          <o:OLEObject Type="Embed" ProgID="Visio.Drawing.11" ShapeID="_x0000_i1036" DrawAspect="Content" ObjectID="_1693299373" r:id="rId248"/>
        </w:object>
      </w:r>
    </w:p>
    <w:p w14:paraId="5696C57E" w14:textId="770EF13B" w:rsidR="00383289" w:rsidRDefault="00F97B06" w:rsidP="00AB304C">
      <w:pPr>
        <w:jc w:val="center"/>
      </w:pPr>
      <w:bookmarkStart w:id="811" w:name="_Ref402936446"/>
      <w:r>
        <w:br w:type="page"/>
      </w:r>
      <w:bookmarkStart w:id="812" w:name="_Ref496875886"/>
      <w:r w:rsidR="00383289">
        <w:lastRenderedPageBreak/>
        <w:t>This page intentionally left blank.</w:t>
      </w:r>
    </w:p>
    <w:p w14:paraId="2850EE30" w14:textId="77777777" w:rsidR="00383289" w:rsidRDefault="00383289">
      <w:pPr>
        <w:rPr>
          <w:rFonts w:ascii="Arial" w:hAnsi="Arial" w:cs="Arial"/>
          <w:b/>
          <w:bCs/>
          <w:i/>
          <w:iCs/>
          <w:sz w:val="28"/>
          <w:szCs w:val="28"/>
        </w:rPr>
      </w:pPr>
      <w:r>
        <w:br w:type="page"/>
      </w:r>
    </w:p>
    <w:p w14:paraId="6FAB0E70" w14:textId="650B186A" w:rsidR="00064E16" w:rsidRDefault="002A21AE" w:rsidP="00F97B06">
      <w:pPr>
        <w:pStyle w:val="Heading2"/>
      </w:pPr>
      <w:bookmarkStart w:id="813" w:name="_Ref4588935"/>
      <w:bookmarkStart w:id="814" w:name="_Toc47516823"/>
      <w:r>
        <w:lastRenderedPageBreak/>
        <w:t>Appendix</w:t>
      </w:r>
      <w:r w:rsidR="00D56A09">
        <w:t xml:space="preserve"> D</w:t>
      </w:r>
      <w:r>
        <w:t>: Limitations</w:t>
      </w:r>
      <w:r w:rsidR="00304382">
        <w:t xml:space="preserve"> and Restrictions</w:t>
      </w:r>
      <w:bookmarkEnd w:id="811"/>
      <w:bookmarkEnd w:id="812"/>
      <w:bookmarkEnd w:id="813"/>
      <w:bookmarkEnd w:id="814"/>
      <w:r w:rsidR="00103E20">
        <w:fldChar w:fldCharType="begin"/>
      </w:r>
      <w:r w:rsidR="00103E20">
        <w:instrText xml:space="preserve"> XE "Limitations</w:instrText>
      </w:r>
      <w:r w:rsidR="00304382">
        <w:instrText xml:space="preserve"> and Restrictions</w:instrText>
      </w:r>
      <w:r w:rsidR="00103E20">
        <w:instrText xml:space="preserve">" </w:instrText>
      </w:r>
      <w:r w:rsidR="00103E20">
        <w:fldChar w:fldCharType="end"/>
      </w:r>
    </w:p>
    <w:p w14:paraId="1055CE55" w14:textId="77777777" w:rsidR="00805EFD" w:rsidRDefault="005215D6" w:rsidP="00805EFD">
      <w:pPr>
        <w:pStyle w:val="BodyText"/>
      </w:pPr>
      <w:r>
        <w:t>L</w:t>
      </w:r>
      <w:r w:rsidR="0028137A">
        <w:t xml:space="preserve">imitations and restrictions are listed by the options in which they occur. </w:t>
      </w:r>
    </w:p>
    <w:p w14:paraId="46D95F3B" w14:textId="39EE6D07" w:rsidR="00D914A9" w:rsidRDefault="00D914A9" w:rsidP="00D914A9">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27</w:t>
      </w:r>
      <w:r w:rsidR="004E20BD">
        <w:rPr>
          <w:noProof/>
        </w:rPr>
        <w:fldChar w:fldCharType="end"/>
      </w:r>
      <w:r>
        <w:t>: Limitations</w:t>
      </w:r>
      <w:r w:rsidR="00304382">
        <w:t xml:space="preserve"> and Restrictions</w:t>
      </w: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45199A" w:rsidRPr="00D65A81" w14:paraId="27944D06" w14:textId="77777777" w:rsidTr="00543B0D">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C2737CC" w14:textId="77777777" w:rsidR="0045199A" w:rsidRPr="00EC673F" w:rsidRDefault="0045199A" w:rsidP="00543B0D">
            <w:pPr>
              <w:pStyle w:val="TableText"/>
              <w:rPr>
                <w:rFonts w:cs="Arial"/>
                <w:b/>
              </w:rPr>
            </w:pPr>
            <w:r w:rsidRPr="00EC673F">
              <w:rPr>
                <w:rFonts w:cs="Arial"/>
                <w:b/>
              </w:rPr>
              <w:t xml:space="preserve">Functions Not Supported </w:t>
            </w:r>
            <w:r w:rsidRPr="00EC673F">
              <w:rPr>
                <w:rFonts w:cs="Arial"/>
                <w:b/>
                <w:vanish/>
              </w:rPr>
              <w:t>DR 5105</w:t>
            </w:r>
          </w:p>
        </w:tc>
      </w:tr>
      <w:tr w:rsidR="0045199A" w:rsidRPr="00725902" w14:paraId="7C7CAA7E"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F5BB6B1" w14:textId="77777777" w:rsidR="0045199A" w:rsidRPr="00EC673F" w:rsidRDefault="0045199A" w:rsidP="00543B0D">
            <w:pPr>
              <w:pStyle w:val="TableText"/>
              <w:rPr>
                <w:rFonts w:cs="Arial"/>
              </w:rPr>
            </w:pPr>
            <w:r w:rsidRPr="00EC673F">
              <w:rPr>
                <w:rFonts w:cs="Arial"/>
              </w:rPr>
              <w:t>Blood donor collection activities (donor module)</w:t>
            </w:r>
          </w:p>
        </w:tc>
      </w:tr>
      <w:tr w:rsidR="0045199A" w:rsidRPr="00725902" w14:paraId="5067EA5B"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5A5B043" w14:textId="77777777" w:rsidR="0045199A" w:rsidRPr="00EC673F" w:rsidRDefault="0045199A" w:rsidP="00543B0D">
            <w:pPr>
              <w:pStyle w:val="TableText"/>
              <w:rPr>
                <w:rFonts w:cs="Arial"/>
              </w:rPr>
            </w:pPr>
            <w:r w:rsidRPr="00EC673F">
              <w:rPr>
                <w:rFonts w:cs="Arial"/>
              </w:rPr>
              <w:t>Direct data entry of antibody identification</w:t>
            </w:r>
          </w:p>
        </w:tc>
      </w:tr>
      <w:tr w:rsidR="0045199A" w:rsidRPr="00725902" w14:paraId="54BC8AA0"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96941A" w14:textId="77777777" w:rsidR="0045199A" w:rsidRPr="00EC673F" w:rsidRDefault="0045199A" w:rsidP="00543B0D">
            <w:pPr>
              <w:pStyle w:val="TableText"/>
              <w:rPr>
                <w:rFonts w:cs="Arial"/>
              </w:rPr>
            </w:pPr>
            <w:r w:rsidRPr="00EC673F">
              <w:rPr>
                <w:rFonts w:cs="Arial"/>
              </w:rPr>
              <w:t xml:space="preserve">Direct data entry of transfusion reaction workups </w:t>
            </w:r>
          </w:p>
        </w:tc>
      </w:tr>
      <w:tr w:rsidR="0045199A" w:rsidRPr="00725902" w14:paraId="22300F7A"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01F0C84" w14:textId="77777777" w:rsidR="0045199A" w:rsidRPr="00EC673F" w:rsidRDefault="0045199A" w:rsidP="00543B0D">
            <w:pPr>
              <w:pStyle w:val="TableText"/>
              <w:rPr>
                <w:rFonts w:cs="Arial"/>
              </w:rPr>
            </w:pPr>
            <w:r w:rsidRPr="00EC673F">
              <w:rPr>
                <w:rFonts w:cs="Arial"/>
              </w:rPr>
              <w:t>Patient testing, transfusions, and blood components recorded in Legacy VistA are not available in VBECS</w:t>
            </w:r>
          </w:p>
        </w:tc>
      </w:tr>
      <w:tr w:rsidR="0045199A" w:rsidRPr="00725902" w14:paraId="16404E76"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8CE87E6" w14:textId="77777777" w:rsidR="0045199A" w:rsidRPr="00EC673F" w:rsidRDefault="0045199A" w:rsidP="00543B0D">
            <w:pPr>
              <w:pStyle w:val="TableText"/>
              <w:rPr>
                <w:rFonts w:cs="Arial"/>
              </w:rPr>
            </w:pPr>
            <w:r w:rsidRPr="00EC673F">
              <w:rPr>
                <w:rFonts w:cs="Arial"/>
              </w:rPr>
              <w:t>Pediatric blood product preparation</w:t>
            </w:r>
          </w:p>
        </w:tc>
      </w:tr>
      <w:tr w:rsidR="0045199A" w14:paraId="1BC5B984"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C0EB86B" w14:textId="77777777" w:rsidR="0045199A" w:rsidRPr="00EC673F" w:rsidRDefault="0045199A" w:rsidP="00543B0D">
            <w:pPr>
              <w:pStyle w:val="TableText"/>
              <w:rPr>
                <w:rFonts w:cs="Arial"/>
              </w:rPr>
            </w:pPr>
            <w:r w:rsidRPr="00EC673F">
              <w:rPr>
                <w:rFonts w:cs="Arial"/>
              </w:rPr>
              <w:t>Printing of blood product labels</w:t>
            </w:r>
          </w:p>
        </w:tc>
      </w:tr>
      <w:tr w:rsidR="0045199A" w:rsidRPr="009B07A5" w14:paraId="164FE586"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B6AABDD" w14:textId="77777777" w:rsidR="0045199A" w:rsidRPr="00EC673F" w:rsidRDefault="0045199A" w:rsidP="00543B0D">
            <w:pPr>
              <w:pStyle w:val="TableText"/>
              <w:rPr>
                <w:rFonts w:cs="Arial"/>
                <w:sz w:val="22"/>
                <w:szCs w:val="22"/>
              </w:rPr>
            </w:pPr>
            <w:r w:rsidRPr="00EC673F">
              <w:rPr>
                <w:rFonts w:cs="Arial"/>
              </w:rPr>
              <w:t>User defined customized queries or reports</w:t>
            </w:r>
          </w:p>
        </w:tc>
      </w:tr>
      <w:tr w:rsidR="0045199A" w:rsidRPr="00725902" w14:paraId="32938162" w14:textId="77777777" w:rsidTr="00543B0D">
        <w:trPr>
          <w:cantSplit/>
          <w:trHeight w:val="312"/>
        </w:trPr>
        <w:tc>
          <w:tcPr>
            <w:tcW w:w="9360" w:type="dxa"/>
            <w:tcBorders>
              <w:top w:val="single" w:sz="6" w:space="0" w:color="000000"/>
              <w:left w:val="single" w:sz="6" w:space="0" w:color="000000"/>
              <w:bottom w:val="single" w:sz="6" w:space="0" w:color="000000"/>
              <w:right w:val="single" w:sz="6" w:space="0" w:color="000000"/>
            </w:tcBorders>
            <w:vAlign w:val="bottom"/>
          </w:tcPr>
          <w:p w14:paraId="12250DEA" w14:textId="77777777" w:rsidR="0045199A" w:rsidRPr="00EC673F" w:rsidRDefault="0045199A" w:rsidP="00543B0D">
            <w:pPr>
              <w:pStyle w:val="TableText"/>
              <w:rPr>
                <w:rFonts w:cs="Arial"/>
              </w:rPr>
            </w:pPr>
            <w:r w:rsidRPr="00EC673F">
              <w:rPr>
                <w:rFonts w:cs="Arial"/>
              </w:rPr>
              <w:t>User editing blood product, antigen, antibody, or transfusion reaction tables</w:t>
            </w:r>
          </w:p>
        </w:tc>
      </w:tr>
      <w:tr w:rsidR="0045199A" w:rsidRPr="00725902" w14:paraId="6118218C"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D748FE" w14:textId="77777777" w:rsidR="0045199A" w:rsidRPr="00EC673F" w:rsidRDefault="0045199A" w:rsidP="00543B0D">
            <w:pPr>
              <w:pStyle w:val="TableText"/>
              <w:rPr>
                <w:rFonts w:cs="Arial"/>
              </w:rPr>
            </w:pPr>
            <w:r w:rsidRPr="00EC673F">
              <w:rPr>
                <w:rFonts w:cs="Arial"/>
              </w:rPr>
              <w:t>Validation record storage</w:t>
            </w:r>
          </w:p>
        </w:tc>
      </w:tr>
    </w:tbl>
    <w:p w14:paraId="75CBD990" w14:textId="77777777" w:rsidR="0045199A" w:rsidRPr="0045199A" w:rsidRDefault="0045199A" w:rsidP="0045199A">
      <w:pPr>
        <w:pStyle w:val="BodyText"/>
        <w:spacing w:after="0"/>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896" w14:paraId="7B1BC80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866641F" w14:textId="77777777" w:rsidR="003F0440" w:rsidRPr="00D01896" w:rsidRDefault="003F0440" w:rsidP="002D126B">
            <w:pPr>
              <w:pStyle w:val="TableText"/>
              <w:rPr>
                <w:b/>
              </w:rPr>
            </w:pPr>
            <w:r>
              <w:rPr>
                <w:b/>
              </w:rPr>
              <w:t>Throughout VBECS</w:t>
            </w:r>
          </w:p>
        </w:tc>
      </w:tr>
      <w:tr w:rsidR="003F0440" w:rsidRPr="00725902" w14:paraId="4B38469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3D4F141" w14:textId="77777777" w:rsidR="003F0440" w:rsidRDefault="003F0440" w:rsidP="002D126B">
            <w:pPr>
              <w:pStyle w:val="TableText"/>
            </w:pPr>
            <w:r>
              <w:t xml:space="preserve">After entering a canned or free-text comment in the testing comment field of the testing grid, the user must press </w:t>
            </w:r>
            <w:r w:rsidRPr="00E755C0">
              <w:rPr>
                <w:b/>
              </w:rPr>
              <w:t>Enter</w:t>
            </w:r>
            <w:r>
              <w:t xml:space="preserve"> to store the comment.</w:t>
            </w:r>
          </w:p>
        </w:tc>
      </w:tr>
      <w:tr w:rsidR="00096EDC" w:rsidRPr="00696FA6" w14:paraId="3BCE4DF7"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8FA0CEA" w14:textId="77777777" w:rsidR="00096EDC" w:rsidRPr="00696FA6" w:rsidRDefault="00096EDC" w:rsidP="002D126B">
            <w:pPr>
              <w:pStyle w:val="TableText"/>
            </w:pPr>
            <w:r>
              <w:t>Although t</w:t>
            </w:r>
            <w:r w:rsidRPr="002B06B2">
              <w:t>he copy-and-paste function is enabled</w:t>
            </w:r>
            <w:r>
              <w:t>, do</w:t>
            </w:r>
            <w:r w:rsidRPr="002B06B2">
              <w:t xml:space="preserve"> not use it to enter patient identification information. </w:t>
            </w:r>
            <w:r>
              <w:t>It is highly</w:t>
            </w:r>
            <w:r w:rsidRPr="002B06B2">
              <w:t xml:space="preserve"> recommend</w:t>
            </w:r>
            <w:r>
              <w:t>ed</w:t>
            </w:r>
            <w:r w:rsidRPr="002B06B2">
              <w:t xml:space="preserve"> that the user scan this information when possible</w:t>
            </w:r>
            <w:r>
              <w:t>;</w:t>
            </w:r>
            <w:r w:rsidRPr="002B06B2">
              <w:t xml:space="preserve"> otherwise</w:t>
            </w:r>
            <w:r>
              <w:t xml:space="preserve">, enter it </w:t>
            </w:r>
            <w:r w:rsidRPr="002B06B2">
              <w:rPr>
                <w:vanish/>
              </w:rPr>
              <w:t>(DR 2,519)</w:t>
            </w:r>
            <w:r w:rsidRPr="002B06B2">
              <w:t>.</w:t>
            </w:r>
          </w:p>
        </w:tc>
      </w:tr>
      <w:tr w:rsidR="003F0440" w:rsidRPr="00696FA6" w14:paraId="1A20ADD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491D837" w14:textId="77777777" w:rsidR="003F0440" w:rsidRPr="00696FA6" w:rsidRDefault="003F0440" w:rsidP="002D126B">
            <w:pPr>
              <w:pStyle w:val="TableText"/>
            </w:pPr>
            <w:r w:rsidRPr="00696FA6">
              <w:t>Data retrieval from VBECS is available only by approved database integration agreement.</w:t>
            </w:r>
          </w:p>
        </w:tc>
      </w:tr>
      <w:tr w:rsidR="003F0440" w:rsidRPr="00696FA6" w14:paraId="078D60EB"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2BAE919" w14:textId="77777777" w:rsidR="003F0440" w:rsidRPr="00696FA6" w:rsidRDefault="003F0440" w:rsidP="002D126B">
            <w:pPr>
              <w:pStyle w:val="TableText"/>
            </w:pPr>
            <w:r w:rsidRPr="00696FA6">
              <w:t xml:space="preserve">Information may not be transferred from one window to another without refreshing the screen. When a window is partially displayed or freezes; or when you move from one window to another, enter information, return to the original window, and the entered information is not available, minimize then maximize the window to refresh it. </w:t>
            </w:r>
            <w:r w:rsidRPr="00A10483">
              <w:rPr>
                <w:vanish/>
                <w:szCs w:val="18"/>
              </w:rPr>
              <w:t>UserDoc Task 1086</w:t>
            </w:r>
          </w:p>
        </w:tc>
      </w:tr>
      <w:tr w:rsidR="003F0440" w:rsidRPr="00696FA6" w14:paraId="03FE51DB"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5CBBC29" w14:textId="77777777" w:rsidR="003F0440" w:rsidRPr="00696FA6" w:rsidRDefault="003F0440" w:rsidP="002D126B">
            <w:pPr>
              <w:pStyle w:val="TableText"/>
            </w:pPr>
            <w:r w:rsidRPr="00696FA6">
              <w:t>Initial blood orders must be placed in CPRS. Tests and products may be added to existing orders in VBECS.</w:t>
            </w:r>
          </w:p>
        </w:tc>
      </w:tr>
      <w:tr w:rsidR="00DF4846" w:rsidRPr="00696FA6" w14:paraId="100F521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E96F3AF" w14:textId="77777777" w:rsidR="00DF4846" w:rsidRPr="00696FA6" w:rsidRDefault="00DF4846" w:rsidP="002D126B">
            <w:pPr>
              <w:pStyle w:val="TableText"/>
            </w:pPr>
            <w:r>
              <w:t>Maximize option windows</w:t>
            </w:r>
            <w:r w:rsidRPr="00DF4846">
              <w:t xml:space="preserve"> to display safety-critical information</w:t>
            </w:r>
            <w:r>
              <w:t xml:space="preserve"> in full.</w:t>
            </w:r>
          </w:p>
        </w:tc>
      </w:tr>
      <w:tr w:rsidR="00A51F68" w:rsidRPr="00696FA6" w14:paraId="7E30E23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6CD5489" w14:textId="77777777" w:rsidR="00A51F68" w:rsidRPr="00AF0F0D" w:rsidRDefault="00A51F68" w:rsidP="002D126B">
            <w:pPr>
              <w:pStyle w:val="TableText"/>
            </w:pPr>
            <w:r w:rsidRPr="00AF0F0D">
              <w:t>The date and time displayed in VBECS depend on the date and time set on the server. Sites are not notified when an administrator changes the date or time on the server. Users must contact their System Administrator when the date or time is incorrect.</w:t>
            </w:r>
          </w:p>
        </w:tc>
      </w:tr>
      <w:tr w:rsidR="003F0440" w:rsidRPr="00696FA6" w14:paraId="7CC0635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464092A" w14:textId="77777777" w:rsidR="003F0440" w:rsidRPr="00696FA6" w:rsidRDefault="003F0440" w:rsidP="002D126B">
            <w:pPr>
              <w:pStyle w:val="TableText"/>
            </w:pPr>
            <w:r w:rsidRPr="00696FA6">
              <w:t>VBECS depends on a connection to VistA and CPRS to retrieve patient information and orders, respectively.</w:t>
            </w:r>
          </w:p>
        </w:tc>
      </w:tr>
      <w:tr w:rsidR="003F0440" w:rsidRPr="00696FA6" w14:paraId="38221558"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BB05E64" w14:textId="77777777" w:rsidR="003F0440" w:rsidRPr="00696FA6" w:rsidRDefault="003F0440" w:rsidP="002D126B">
            <w:pPr>
              <w:pStyle w:val="TableText"/>
            </w:pPr>
            <w:r w:rsidRPr="00696FA6">
              <w:t xml:space="preserve">When a message window requires a user response and VBECS displays it behind the active window, the user must minimize the active window or click and drag dialog boxes to expose the message window. </w:t>
            </w:r>
          </w:p>
        </w:tc>
      </w:tr>
      <w:tr w:rsidR="003F0440" w:rsidRPr="00696FA6" w14:paraId="373224C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E99A3EB" w14:textId="77777777" w:rsidR="003F0440" w:rsidRPr="00696FA6" w:rsidRDefault="003F0440" w:rsidP="002D126B">
            <w:pPr>
              <w:pStyle w:val="TableText"/>
            </w:pPr>
            <w:r w:rsidRPr="00696FA6">
              <w:t>When the default screen resolution is changed, division or VistALink information may not be entirely visible.</w:t>
            </w:r>
          </w:p>
        </w:tc>
      </w:tr>
      <w:tr w:rsidR="003F0440" w:rsidRPr="00C05FB7" w14:paraId="79CF76F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9B96E76" w14:textId="77777777" w:rsidR="003F0440" w:rsidRPr="00C05FB7" w:rsidRDefault="003F0440" w:rsidP="002D126B">
            <w:pPr>
              <w:pStyle w:val="TableText"/>
              <w:rPr>
                <w:b/>
              </w:rPr>
            </w:pPr>
            <w:r>
              <w:t xml:space="preserve">When the user does not enter a full or partial unit ID and clicks the </w:t>
            </w:r>
            <w:r w:rsidR="00A6373D">
              <w:rPr>
                <w:b/>
              </w:rPr>
              <w:t>find</w:t>
            </w:r>
            <w:r>
              <w:t xml:space="preserve"> button in the Unit Search Screen, response time will vary based on the size of the database.</w:t>
            </w:r>
          </w:p>
        </w:tc>
      </w:tr>
    </w:tbl>
    <w:p w14:paraId="2714A4C0" w14:textId="77777777" w:rsidR="00EE4091" w:rsidRDefault="00EE4091" w:rsidP="00BF4964">
      <w:pPr>
        <w:pStyle w:val="TableText"/>
      </w:pPr>
    </w:p>
    <w:p w14:paraId="5E010F52" w14:textId="77777777" w:rsidR="00BF4964" w:rsidRDefault="00EE4091" w:rsidP="00BF4964">
      <w:pPr>
        <w:pStyle w:val="TableText"/>
      </w:pPr>
      <w:r>
        <w:br w:type="page"/>
      </w: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5FB7" w14:paraId="7B65565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B5B81E" w14:textId="77777777" w:rsidR="003F0440" w:rsidRPr="00C05FB7" w:rsidRDefault="003F0440" w:rsidP="002D126B">
            <w:pPr>
              <w:pStyle w:val="TableText"/>
              <w:rPr>
                <w:b/>
              </w:rPr>
            </w:pPr>
            <w:r w:rsidRPr="00C05FB7">
              <w:rPr>
                <w:b/>
              </w:rPr>
              <w:lastRenderedPageBreak/>
              <w:t>ABO/Rh Confirmation</w:t>
            </w:r>
          </w:p>
        </w:tc>
      </w:tr>
      <w:tr w:rsidR="001C6E63" w:rsidRPr="00725902" w14:paraId="3959FF6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AE9368" w14:textId="77777777" w:rsidR="001C6E63" w:rsidRDefault="001C6E63" w:rsidP="002D126B">
            <w:pPr>
              <w:pStyle w:val="TableText"/>
              <w:rPr>
                <w:rFonts w:cs="Arial"/>
                <w:vanish/>
              </w:rPr>
            </w:pPr>
            <w:r>
              <w:rPr>
                <w:rFonts w:cs="Arial"/>
              </w:rPr>
              <w:t>This option is disabled for transfusion-only facilities.</w:t>
            </w:r>
          </w:p>
        </w:tc>
      </w:tr>
      <w:tr w:rsidR="003F0440" w:rsidRPr="00725902" w14:paraId="4216571B"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4CA71D28" w14:textId="77777777" w:rsidR="003F0440" w:rsidRPr="00725902" w:rsidRDefault="003F0440" w:rsidP="002D126B">
            <w:pPr>
              <w:pStyle w:val="TableText"/>
            </w:pPr>
            <w:r>
              <w:rPr>
                <w:rFonts w:cs="Arial"/>
                <w:vanish/>
              </w:rPr>
              <w:t xml:space="preserve">BR_2.04 </w:t>
            </w:r>
            <w:r w:rsidR="007D535F">
              <w:t>When building a worklist by invoice number, only invoiced units not previously tested and confirmed appear on the worklist. The user may deselect or add additional units.</w:t>
            </w:r>
          </w:p>
        </w:tc>
      </w:tr>
      <w:tr w:rsidR="003F0440" w:rsidRPr="00725902" w14:paraId="3C7C7872"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6E187CE6" w14:textId="77777777" w:rsidR="003F0440" w:rsidRPr="00725902" w:rsidRDefault="003F0440" w:rsidP="002D126B">
            <w:pPr>
              <w:pStyle w:val="TableText"/>
            </w:pPr>
            <w:r>
              <w:rPr>
                <w:rFonts w:cs="Arial"/>
                <w:vanish/>
              </w:rPr>
              <w:t xml:space="preserve">BR_27.09 </w:t>
            </w:r>
            <w:r>
              <w:t xml:space="preserve">For batch processing, </w:t>
            </w:r>
            <w:r w:rsidR="000E5D74">
              <w:t xml:space="preserve">the user can select </w:t>
            </w:r>
            <w:r>
              <w:t xml:space="preserve">incoming shipment invoices from </w:t>
            </w:r>
            <w:r w:rsidR="000E5D74">
              <w:t xml:space="preserve">his division, processed within </w:t>
            </w:r>
            <w:r>
              <w:t>the previous five days</w:t>
            </w:r>
            <w:r w:rsidRPr="008631E9">
              <w:t>.</w:t>
            </w:r>
          </w:p>
        </w:tc>
      </w:tr>
      <w:tr w:rsidR="003F0440" w:rsidRPr="00725902" w14:paraId="4D13C4B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E256EAE" w14:textId="77777777" w:rsidR="003F0440" w:rsidRPr="00725902" w:rsidRDefault="003F0440" w:rsidP="002D126B">
            <w:pPr>
              <w:pStyle w:val="TableText"/>
            </w:pPr>
            <w:r>
              <w:t xml:space="preserve">VBECS does not display product </w:t>
            </w:r>
            <w:r w:rsidRPr="008631E9">
              <w:t>code</w:t>
            </w:r>
            <w:r>
              <w:t xml:space="preserve">s associated with unit IDs in ABO/Rh Confirmation. Therefore, do not create ABO/Rh confirmation worklists containing units with the same unit ID. </w:t>
            </w:r>
          </w:p>
        </w:tc>
      </w:tr>
      <w:tr w:rsidR="001C6E63" w:rsidRPr="00725902" w14:paraId="3B5FE55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6E0FC6" w14:textId="77777777" w:rsidR="001C6E63" w:rsidRDefault="001C6E63" w:rsidP="002D126B">
            <w:pPr>
              <w:pStyle w:val="TableText"/>
            </w:pPr>
            <w:r>
              <w:t xml:space="preserve">POOLED GRANULOCYTES </w:t>
            </w:r>
            <w:r w:rsidR="003D1470">
              <w:t xml:space="preserve">labeled </w:t>
            </w:r>
            <w:r w:rsidR="003D1470" w:rsidRPr="00D12C95">
              <w:t>with an Rh type of “Pooled” is considered an Rh Positive unit which does not require confirmation testing.</w:t>
            </w:r>
          </w:p>
        </w:tc>
      </w:tr>
      <w:tr w:rsidR="001C6E63" w:rsidRPr="00725902" w14:paraId="31962ED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EEF0BB" w14:textId="77777777" w:rsidR="001C6E63" w:rsidRDefault="003D1470" w:rsidP="002D126B">
            <w:pPr>
              <w:pStyle w:val="TableText"/>
            </w:pPr>
            <w:r>
              <w:t xml:space="preserve">POOLED GRANULOCYTES labeled </w:t>
            </w:r>
            <w:r w:rsidRPr="00D12C95">
              <w:t>with an</w:t>
            </w:r>
            <w:r>
              <w:t xml:space="preserve"> </w:t>
            </w:r>
            <w:r w:rsidRPr="00E44A83">
              <w:t>ABO group of “Pooled” cannot be confirmed. A blood component unit received as “POOLED ABO” will have to be transfused using the Supervisory option, Document ABO Incompatible Transfusion.</w:t>
            </w:r>
          </w:p>
        </w:tc>
      </w:tr>
      <w:tr w:rsidR="003E0483" w:rsidRPr="00725902" w14:paraId="2017991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453538" w14:textId="0B763E45" w:rsidR="003E0483" w:rsidRDefault="003E0483" w:rsidP="002D126B">
            <w:pPr>
              <w:pStyle w:val="TableText"/>
            </w:pPr>
            <w:r>
              <w:t xml:space="preserve">Patient assignment is not released </w:t>
            </w:r>
            <w:r w:rsidRPr="00B26970">
              <w:rPr>
                <w:rFonts w:cs="Arial"/>
                <w:szCs w:val="18"/>
              </w:rPr>
              <w:t>automatically when a unit is quarantined due to discrepant ABO/Rh retype testing.</w:t>
            </w:r>
            <w:r>
              <w:rPr>
                <w:rFonts w:cs="Arial"/>
                <w:szCs w:val="18"/>
              </w:rPr>
              <w:t xml:space="preserve"> </w:t>
            </w:r>
            <w:r w:rsidRPr="00B26970">
              <w:rPr>
                <w:rFonts w:cs="Arial"/>
                <w:szCs w:val="18"/>
              </w:rPr>
              <w:t xml:space="preserve">The unit is quarantined and cannot be selected for a different patient or issued for </w:t>
            </w:r>
            <w:r>
              <w:rPr>
                <w:rFonts w:cs="Arial"/>
                <w:szCs w:val="18"/>
              </w:rPr>
              <w:t>the current</w:t>
            </w:r>
            <w:r w:rsidRPr="00B26970">
              <w:rPr>
                <w:rFonts w:cs="Arial"/>
                <w:szCs w:val="18"/>
              </w:rPr>
              <w:t xml:space="preserve"> patient.</w:t>
            </w:r>
            <w:r>
              <w:rPr>
                <w:rFonts w:cs="Arial"/>
                <w:szCs w:val="18"/>
              </w:rPr>
              <w:t xml:space="preserve"> Quarantined units are clearly marked in VBECS and cannot be issued.</w:t>
            </w:r>
            <w:r w:rsidR="00EF7C8A">
              <w:rPr>
                <w:rFonts w:cs="Arial"/>
                <w:szCs w:val="18"/>
              </w:rPr>
              <w:t xml:space="preserve"> </w:t>
            </w:r>
            <w:r w:rsidR="00EF7C8A" w:rsidRPr="00EF7C8A">
              <w:rPr>
                <w:rFonts w:cs="Arial"/>
                <w:vanish/>
                <w:szCs w:val="18"/>
              </w:rPr>
              <w:t>Task 213499</w:t>
            </w:r>
          </w:p>
        </w:tc>
      </w:tr>
    </w:tbl>
    <w:p w14:paraId="6990DAEE" w14:textId="77777777" w:rsidR="00BF4964" w:rsidRDefault="00BF4964"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023AD" w14:paraId="2B563E9E"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52BC5F5" w14:textId="77777777" w:rsidR="003F0440" w:rsidRPr="007023AD" w:rsidRDefault="003F0440" w:rsidP="002D126B">
            <w:pPr>
              <w:pStyle w:val="TableText"/>
              <w:rPr>
                <w:b/>
              </w:rPr>
            </w:pPr>
            <w:r w:rsidRPr="007023AD">
              <w:rPr>
                <w:b/>
              </w:rPr>
              <w:t xml:space="preserve">Accept Orders: Accept an Order </w:t>
            </w:r>
          </w:p>
        </w:tc>
      </w:tr>
      <w:tr w:rsidR="00C4014D" w:rsidRPr="00725902" w14:paraId="553B4D5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ACFB8E" w14:textId="77777777" w:rsidR="00C4014D" w:rsidRDefault="007B38A2" w:rsidP="002D126B">
            <w:pPr>
              <w:pStyle w:val="TableText"/>
            </w:pPr>
            <w:r>
              <w:t>An order for TAS must be accepted before the component order if the user wants to include the component request to the Inappropriate Transfusion Request Report. Accepting the TAS after the component order is marked inappropriate and accepted clears the user’s indication that this is an inappropriate request</w:t>
            </w:r>
            <w:r w:rsidR="00C425B6">
              <w:t xml:space="preserve">. </w:t>
            </w:r>
            <w:r w:rsidR="00C425B6" w:rsidRPr="00C425B6">
              <w:rPr>
                <w:vanish/>
              </w:rPr>
              <w:t>DR 4854</w:t>
            </w:r>
          </w:p>
        </w:tc>
      </w:tr>
      <w:tr w:rsidR="003F0440" w:rsidRPr="00725902" w14:paraId="04D335F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135C92" w14:textId="36729155" w:rsidR="003F0440" w:rsidRDefault="003F0440" w:rsidP="002D126B">
            <w:pPr>
              <w:pStyle w:val="TableText"/>
            </w:pPr>
            <w:r>
              <w:t>When no CPRS order exists, the user must process the specimen offline.</w:t>
            </w:r>
            <w:r w:rsidR="0050322E">
              <w:t xml:space="preserve"> The emergency order check box is not enabled unless there is a CPRS order and a patient specimen accessioned in VistA. If necessary, process the emergency issue of units</w:t>
            </w:r>
            <w:r w:rsidR="00850DE6">
              <w:t xml:space="preserve"> manually, per local policy, until the specimen is received and accessioned. </w:t>
            </w:r>
            <w:r w:rsidR="00850DE6" w:rsidRPr="00850DE6">
              <w:rPr>
                <w:vanish/>
              </w:rPr>
              <w:t>Defect 2</w:t>
            </w:r>
            <w:r w:rsidR="005D686E">
              <w:rPr>
                <w:vanish/>
              </w:rPr>
              <w:t>13679</w:t>
            </w:r>
          </w:p>
        </w:tc>
      </w:tr>
      <w:tr w:rsidR="009E2EF4" w:rsidRPr="00725902" w14:paraId="7F7A548E"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5C91D6B" w14:textId="77777777" w:rsidR="009E2EF4" w:rsidRDefault="009E2EF4" w:rsidP="009E2EF4">
            <w:pPr>
              <w:pStyle w:val="TableText"/>
            </w:pPr>
            <w:r w:rsidRPr="009E2EF4">
              <w:rPr>
                <w:vanish/>
              </w:rPr>
              <w:t>DR 2,811</w:t>
            </w:r>
            <w:r>
              <w:t>The user must accept the Type &amp; Screen (TAS) before he accepts other diagnostic tests or component orders.</w:t>
            </w:r>
          </w:p>
        </w:tc>
      </w:tr>
      <w:tr w:rsidR="009E2EF4" w:rsidRPr="00725902" w14:paraId="1E44ACA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30ABEC1" w14:textId="77777777" w:rsidR="009E2EF4" w:rsidRDefault="009E2EF4" w:rsidP="009E2EF4">
            <w:pPr>
              <w:pStyle w:val="TableText"/>
            </w:pPr>
            <w:r>
              <w:t>T</w:t>
            </w:r>
            <w:r w:rsidRPr="00AB4ABB">
              <w:t>he</w:t>
            </w:r>
            <w:r>
              <w:t xml:space="preserve"> user cannot click </w:t>
            </w:r>
            <w:r w:rsidR="00057948">
              <w:rPr>
                <w:noProof/>
              </w:rPr>
              <w:drawing>
                <wp:inline distT="0" distB="0" distL="0" distR="0" wp14:anchorId="65758699" wp14:editId="68B98288">
                  <wp:extent cx="156845" cy="156845"/>
                  <wp:effectExtent l="0" t="0" r="0" b="0"/>
                  <wp:docPr id="272" name="Picture 272" descr="small_patientselected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small_patientselectedunits"/>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(Restricted or Assigned Units) to access information on autologous or directed units that may be restricted to a patient.</w:t>
            </w:r>
          </w:p>
        </w:tc>
      </w:tr>
      <w:tr w:rsidR="001C50C2" w:rsidRPr="00725902" w14:paraId="447EED2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B9F975F" w14:textId="77777777" w:rsidR="001C50C2" w:rsidRDefault="0055788D" w:rsidP="009C1EBC">
            <w:pPr>
              <w:pStyle w:val="TableText"/>
            </w:pPr>
            <w:r>
              <w:t>Orders placed for patient</w:t>
            </w:r>
            <w:r w:rsidR="001C50C2" w:rsidRPr="00DD022C">
              <w: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9C1EBC">
              <w:t>Email Alerts</w:t>
            </w:r>
            <w:r w:rsidR="001C50C2" w:rsidRPr="00DD022C">
              <w:t>” field.</w:t>
            </w:r>
          </w:p>
        </w:tc>
      </w:tr>
      <w:tr w:rsidR="00850DE6" w:rsidRPr="00725902" w14:paraId="13F7BC8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5D553AB" w14:textId="5927EEF3" w:rsidR="00850DE6" w:rsidRDefault="00850DE6" w:rsidP="009E2EF4">
            <w:pPr>
              <w:pStyle w:val="TableText"/>
            </w:pPr>
            <w:r>
              <w:t>The “Display Restricted or Assigned U</w:t>
            </w:r>
            <w:r w:rsidRPr="0086534E">
              <w:t>nits</w:t>
            </w:r>
            <w:r>
              <w:t>”</w:t>
            </w:r>
            <w:r w:rsidRPr="0086534E">
              <w:t xml:space="preserve"> button in Accept Ord</w:t>
            </w:r>
            <w:r>
              <w:t xml:space="preserve">ers was disabled. </w:t>
            </w:r>
            <w:r w:rsidRPr="00822375">
              <w:t>The Blood Availability Report displays units assigned and restricted for all patients.</w:t>
            </w:r>
            <w:r>
              <w:t xml:space="preserve"> </w:t>
            </w:r>
            <w:r w:rsidRPr="00850DE6">
              <w:rPr>
                <w:vanish/>
              </w:rPr>
              <w:t>Defect 209835</w:t>
            </w:r>
          </w:p>
        </w:tc>
      </w:tr>
      <w:tr w:rsidR="00850DE6" w:rsidRPr="00725902" w14:paraId="0355B7F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BFA1072" w14:textId="75028C1A" w:rsidR="00850DE6" w:rsidRDefault="00850DE6" w:rsidP="009E2EF4">
            <w:pPr>
              <w:pStyle w:val="TableText"/>
            </w:pPr>
            <w:r w:rsidRPr="002F47AC">
              <w:t>On the Accept Orders screen, clicking the Received and Wanted column headers does not sort on the date and time of the Pending Order List.</w:t>
            </w:r>
            <w:r>
              <w:t xml:space="preserve"> </w:t>
            </w:r>
            <w:r w:rsidRPr="00850DE6">
              <w:rPr>
                <w:vanish/>
              </w:rPr>
              <w:t>Defect 209030</w:t>
            </w:r>
          </w:p>
        </w:tc>
      </w:tr>
      <w:tr w:rsidR="00D03D1B" w:rsidRPr="00725902" w14:paraId="177ECA0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AC6CBA1" w14:textId="3D7323D1" w:rsidR="00D03D1B" w:rsidRPr="00D03D1B" w:rsidRDefault="00D03D1B" w:rsidP="00D03D1B">
            <w:pPr>
              <w:pStyle w:val="TableText"/>
            </w:pPr>
            <w:r w:rsidRPr="00D03D1B">
              <w:t xml:space="preserve">On the Order Details window, only the first twenty (20) characters of the Ordering Division field are visible. Ordering locations in VistA can be shortened or changed when the uniqueness of a location cannot be determined with the first twenty (20) characters. </w:t>
            </w:r>
            <w:r w:rsidRPr="00D03D1B">
              <w:rPr>
                <w:vanish/>
              </w:rPr>
              <w:t>Defect 209851</w:t>
            </w:r>
          </w:p>
        </w:tc>
      </w:tr>
    </w:tbl>
    <w:p w14:paraId="45B2B701" w14:textId="77777777" w:rsidR="00BA0F42" w:rsidRDefault="00BA0F42"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AF5480" w14:paraId="0EECDA9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4237282" w14:textId="77777777" w:rsidR="003F0440" w:rsidRPr="00AF5480" w:rsidRDefault="003F0440" w:rsidP="002D126B">
            <w:pPr>
              <w:pStyle w:val="TableText"/>
              <w:rPr>
                <w:b/>
              </w:rPr>
            </w:pPr>
            <w:r w:rsidRPr="00AF5480">
              <w:rPr>
                <w:b/>
              </w:rPr>
              <w:t>Accept Orders: Cancel a Pending Order</w:t>
            </w:r>
          </w:p>
        </w:tc>
      </w:tr>
      <w:tr w:rsidR="003F0440" w:rsidRPr="00725902" w14:paraId="506CABD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F89B189" w14:textId="77777777" w:rsidR="003F0440" w:rsidRDefault="003F0440" w:rsidP="002D126B">
            <w:pPr>
              <w:pStyle w:val="TableText"/>
            </w:pPr>
            <w:r>
              <w:t>Cancellation of one order does not affect other orders placed with it.</w:t>
            </w:r>
          </w:p>
        </w:tc>
      </w:tr>
    </w:tbl>
    <w:p w14:paraId="74090D20" w14:textId="4F940187" w:rsidR="00850DE6" w:rsidRDefault="00850DE6" w:rsidP="00BF4964">
      <w:pPr>
        <w:pStyle w:val="TableText"/>
      </w:pPr>
    </w:p>
    <w:p w14:paraId="7C0B64FE" w14:textId="77777777" w:rsidR="00850DE6" w:rsidRDefault="00850DE6">
      <w:pPr>
        <w:rPr>
          <w:rFonts w:ascii="Arial" w:hAnsi="Arial"/>
          <w:sz w:val="18"/>
        </w:rPr>
      </w:pPr>
      <w:r>
        <w:br w:type="page"/>
      </w:r>
    </w:p>
    <w:p w14:paraId="76A5BEC2" w14:textId="77777777" w:rsidR="00BF4964" w:rsidRDefault="00BF4964" w:rsidP="00BF4964">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pct25" w:color="auto" w:fill="auto"/>
        <w:tblLayout w:type="fixed"/>
        <w:tblCellMar>
          <w:top w:w="60" w:type="dxa"/>
          <w:left w:w="60" w:type="dxa"/>
          <w:bottom w:w="60" w:type="dxa"/>
          <w:right w:w="60" w:type="dxa"/>
        </w:tblCellMar>
        <w:tblLook w:val="0000" w:firstRow="0" w:lastRow="0" w:firstColumn="0" w:lastColumn="0" w:noHBand="0" w:noVBand="0"/>
      </w:tblPr>
      <w:tblGrid>
        <w:gridCol w:w="9360"/>
      </w:tblGrid>
      <w:tr w:rsidR="00A1725C" w:rsidRPr="007023AD" w14:paraId="1142ED26" w14:textId="77777777" w:rsidTr="00BF30E4">
        <w:trPr>
          <w:cantSplit/>
        </w:trPr>
        <w:tc>
          <w:tcPr>
            <w:tcW w:w="9360" w:type="dxa"/>
            <w:tcBorders>
              <w:bottom w:val="single" w:sz="6" w:space="0" w:color="000000"/>
            </w:tcBorders>
            <w:shd w:val="clear" w:color="auto" w:fill="BFBFBF" w:themeFill="background1" w:themeFillShade="BF"/>
            <w:vAlign w:val="bottom"/>
          </w:tcPr>
          <w:p w14:paraId="1A498368" w14:textId="77777777" w:rsidR="00A1725C" w:rsidRPr="00A1725C" w:rsidRDefault="00A1725C" w:rsidP="00E01F4B">
            <w:pPr>
              <w:pStyle w:val="TableText"/>
              <w:rPr>
                <w:b/>
              </w:rPr>
            </w:pPr>
            <w:r w:rsidRPr="00A1725C">
              <w:rPr>
                <w:b/>
              </w:rPr>
              <w:t xml:space="preserve">Accept Orders: Pending Order List </w:t>
            </w:r>
          </w:p>
        </w:tc>
      </w:tr>
      <w:tr w:rsidR="00A1725C" w:rsidRPr="00725902" w14:paraId="75747FE3" w14:textId="77777777">
        <w:trPr>
          <w:cantSplit/>
        </w:trPr>
        <w:tc>
          <w:tcPr>
            <w:tcW w:w="9360" w:type="dxa"/>
            <w:shd w:val="clear" w:color="auto" w:fill="auto"/>
            <w:vAlign w:val="bottom"/>
          </w:tcPr>
          <w:p w14:paraId="4F907F67" w14:textId="5EF88B45" w:rsidR="00A1725C" w:rsidRPr="00DD022C" w:rsidRDefault="00A1725C" w:rsidP="00E01F4B">
            <w:pPr>
              <w:pStyle w:val="TableText"/>
            </w:pPr>
            <w:r w:rsidRPr="00DD022C">
              <w:t>Orders placed for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9C1EBC">
              <w:t>Email Alerts</w:t>
            </w:r>
            <w:r w:rsidRPr="00DD022C">
              <w:t>” field.</w:t>
            </w:r>
          </w:p>
        </w:tc>
      </w:tr>
    </w:tbl>
    <w:p w14:paraId="115B0FC5" w14:textId="77777777" w:rsidR="00A1725C" w:rsidRDefault="00A1725C"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456D10" w:rsidRPr="00EC673F" w14:paraId="4886FE04" w14:textId="77777777" w:rsidTr="00E31E25">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D78A60C" w14:textId="77777777" w:rsidR="00456D10" w:rsidRPr="00EC673F" w:rsidRDefault="00456D10" w:rsidP="00E31E25">
            <w:pPr>
              <w:pStyle w:val="TableText"/>
              <w:rPr>
                <w:rFonts w:cs="Arial"/>
                <w:b/>
              </w:rPr>
            </w:pPr>
            <w:r>
              <w:rPr>
                <w:rFonts w:cs="Arial"/>
                <w:b/>
              </w:rPr>
              <w:t>Accessing the System</w:t>
            </w:r>
          </w:p>
        </w:tc>
      </w:tr>
      <w:tr w:rsidR="00456D10" w:rsidRPr="00EC673F" w14:paraId="092EDF57"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DCBA967" w14:textId="77777777" w:rsidR="00456D10" w:rsidRPr="00EC673F" w:rsidRDefault="00456D10" w:rsidP="00E31E25">
            <w:pPr>
              <w:pStyle w:val="TableText"/>
              <w:rPr>
                <w:rFonts w:cs="Arial"/>
              </w:rPr>
            </w:pPr>
            <w:r>
              <w:rPr>
                <w:rFonts w:cs="Arial"/>
              </w:rPr>
              <w:t xml:space="preserve">VBECS </w:t>
            </w:r>
            <w:r>
              <w:t>automatically logs a</w:t>
            </w:r>
            <w:r w:rsidRPr="00BF7321">
              <w:t xml:space="preserve"> </w:t>
            </w:r>
            <w:r>
              <w:t>user with access to only one division into that division.</w:t>
            </w:r>
          </w:p>
        </w:tc>
      </w:tr>
      <w:tr w:rsidR="00456D10" w:rsidRPr="00EC673F" w14:paraId="758EC6D1"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3AB716" w14:textId="77777777" w:rsidR="00456D10" w:rsidRPr="00EC673F" w:rsidRDefault="00456D10" w:rsidP="00E31E25">
            <w:pPr>
              <w:pStyle w:val="TableText"/>
              <w:rPr>
                <w:rFonts w:cs="Arial"/>
              </w:rPr>
            </w:pPr>
            <w:r>
              <w:rPr>
                <w:rFonts w:cs="Arial"/>
              </w:rPr>
              <w:t xml:space="preserve">Connectivity </w:t>
            </w:r>
            <w:r w:rsidRPr="009E1728">
              <w:t>by IAM services access approval (PIV Card) is not possible when IAM services are not available.</w:t>
            </w:r>
          </w:p>
        </w:tc>
      </w:tr>
      <w:tr w:rsidR="00DB1ADD" w:rsidRPr="00EC673F" w14:paraId="7CECCBC0"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16E3B7D" w14:textId="77777777" w:rsidR="00DB1ADD" w:rsidRDefault="00DB1ADD" w:rsidP="00E31E25">
            <w:pPr>
              <w:pStyle w:val="TableText"/>
              <w:rPr>
                <w:rFonts w:cs="Arial"/>
              </w:rPr>
            </w:pPr>
            <w:r w:rsidRPr="00DB1ADD">
              <w:rPr>
                <w:rFonts w:cs="Arial"/>
              </w:rPr>
              <w:t>Connectivity by IAM services access approval (PIV Card) is not required when a site has a PIV exemption or when IAM services are not available.</w:t>
            </w:r>
          </w:p>
        </w:tc>
      </w:tr>
      <w:tr w:rsidR="00456D10" w:rsidRPr="00EC673F" w14:paraId="086C4D1B"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3517E70" w14:textId="77777777" w:rsidR="00456D10" w:rsidRPr="00EC673F" w:rsidRDefault="00456D10" w:rsidP="00E31E25">
            <w:pPr>
              <w:pStyle w:val="TableText"/>
              <w:rPr>
                <w:rFonts w:cs="Arial"/>
              </w:rPr>
            </w:pPr>
            <w:r w:rsidRPr="00EC673F">
              <w:rPr>
                <w:rFonts w:cs="Arial"/>
              </w:rPr>
              <w:t>Patient testing, transfusions, and blood components recorded in Legacy VistA are not available in VBECS</w:t>
            </w:r>
            <w:r>
              <w:rPr>
                <w:rFonts w:cs="Arial"/>
              </w:rPr>
              <w:t>.</w:t>
            </w:r>
          </w:p>
        </w:tc>
      </w:tr>
      <w:tr w:rsidR="00456D10" w:rsidRPr="00EC673F" w14:paraId="732BE5E2"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D6C40C" w14:textId="77777777" w:rsidR="00456D10" w:rsidRPr="00EC673F" w:rsidRDefault="00456D10" w:rsidP="00E31E25">
            <w:pPr>
              <w:pStyle w:val="TableText"/>
              <w:rPr>
                <w:rFonts w:cs="Arial"/>
              </w:rPr>
            </w:pPr>
            <w:r>
              <w:rPr>
                <w:rFonts w:cs="Arial"/>
              </w:rPr>
              <w:t>Connectivity is not possible when VistA is not available.</w:t>
            </w:r>
          </w:p>
        </w:tc>
      </w:tr>
      <w:tr w:rsidR="00456D10" w:rsidRPr="00EC673F" w14:paraId="21500D03"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1F1405" w14:textId="77777777" w:rsidR="00456D10" w:rsidRPr="00EC673F" w:rsidRDefault="00456D10" w:rsidP="00E31E25">
            <w:pPr>
              <w:pStyle w:val="TableText"/>
              <w:rPr>
                <w:rFonts w:cs="Arial"/>
              </w:rPr>
            </w:pPr>
            <w:r>
              <w:rPr>
                <w:rFonts w:cs="Arial"/>
              </w:rPr>
              <w:t xml:space="preserve">The user may </w:t>
            </w:r>
            <w:r>
              <w:t>log into multiple terminals simultaneously, but accessing VBECS in multiple sessions is no longer possible due to the way the PIV card works.</w:t>
            </w:r>
          </w:p>
        </w:tc>
      </w:tr>
      <w:tr w:rsidR="00456D10" w:rsidRPr="00EC673F" w14:paraId="5A5EE88C"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70FF60C" w14:textId="77777777" w:rsidR="00456D10" w:rsidRPr="00EC673F" w:rsidRDefault="00456D10" w:rsidP="00E31E25">
            <w:pPr>
              <w:pStyle w:val="TableText"/>
              <w:rPr>
                <w:rFonts w:cs="Arial"/>
              </w:rPr>
            </w:pPr>
            <w:r>
              <w:rPr>
                <w:rFonts w:cs="Arial"/>
              </w:rPr>
              <w:t xml:space="preserve">The Windows </w:t>
            </w:r>
            <w:r w:rsidRPr="00CD4DBB">
              <w:t xml:space="preserve">Security screen </w:t>
            </w:r>
            <w:r>
              <w:t>may be hidden when a user attempts to restore a VistALink connection</w:t>
            </w:r>
            <w:r w:rsidRPr="00CD4DBB">
              <w:t>. For the Windows Security screen</w:t>
            </w:r>
            <w:r>
              <w:t xml:space="preserve"> to appear, the user must drag </w:t>
            </w:r>
            <w:r w:rsidRPr="00CD4DBB">
              <w:t xml:space="preserve"> it from behind another </w:t>
            </w:r>
            <w:r>
              <w:t>window</w:t>
            </w:r>
            <w:r w:rsidRPr="00CD4DBB">
              <w:t xml:space="preserve"> in order to select a certificate and log in</w:t>
            </w:r>
            <w:r>
              <w:t>.</w:t>
            </w:r>
          </w:p>
        </w:tc>
      </w:tr>
    </w:tbl>
    <w:p w14:paraId="060C39ED" w14:textId="77777777" w:rsidR="00456D10" w:rsidRDefault="00456D10"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5FB7" w14:paraId="6E598DC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E16DE44" w14:textId="77777777" w:rsidR="003F0440" w:rsidRPr="00C05FB7" w:rsidRDefault="003F0440" w:rsidP="002D126B">
            <w:pPr>
              <w:pStyle w:val="TableText"/>
              <w:rPr>
                <w:b/>
              </w:rPr>
            </w:pPr>
            <w:r w:rsidRPr="00C05FB7">
              <w:rPr>
                <w:b/>
              </w:rPr>
              <w:t>Add/Remove Units from a Pool</w:t>
            </w:r>
          </w:p>
        </w:tc>
      </w:tr>
      <w:tr w:rsidR="003F0440" w:rsidRPr="00725902" w14:paraId="40ABDBE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A0D22C" w14:textId="77777777" w:rsidR="003F0440" w:rsidRPr="00725902" w:rsidRDefault="003F0440" w:rsidP="002D126B">
            <w:pPr>
              <w:pStyle w:val="TableText"/>
            </w:pPr>
            <w:r>
              <w:t>See Modify Units.</w:t>
            </w:r>
          </w:p>
        </w:tc>
      </w:tr>
    </w:tbl>
    <w:p w14:paraId="1C1FA80D"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AD7C44" w14:paraId="690A3F65"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57EB59F" w14:textId="77777777" w:rsidR="003F0440" w:rsidRPr="00AD7C44" w:rsidRDefault="003F0440" w:rsidP="002D126B">
            <w:pPr>
              <w:pStyle w:val="TableText"/>
              <w:rPr>
                <w:b/>
              </w:rPr>
            </w:pPr>
            <w:r>
              <w:rPr>
                <w:b/>
              </w:rPr>
              <w:t>Audit Trail</w:t>
            </w:r>
          </w:p>
        </w:tc>
      </w:tr>
      <w:tr w:rsidR="003F0440" w:rsidRPr="00725902" w14:paraId="284A7EA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92EED18" w14:textId="77777777" w:rsidR="003F0440" w:rsidRPr="00725902" w:rsidRDefault="00B97396" w:rsidP="005753B8">
            <w:pPr>
              <w:pStyle w:val="TableText"/>
            </w:pPr>
            <w:r>
              <w:t>VBECS does not accommodate online review (verification, signature) of reports.</w:t>
            </w:r>
          </w:p>
        </w:tc>
      </w:tr>
    </w:tbl>
    <w:p w14:paraId="4CEA54DD"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C5F89" w:rsidRPr="00AD7C44" w14:paraId="6040CA84"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4C68DF5" w14:textId="77777777" w:rsidR="00DC5F89" w:rsidRPr="00AD7C44" w:rsidRDefault="00DC5F89" w:rsidP="00E40CDE">
            <w:pPr>
              <w:pStyle w:val="TableText"/>
              <w:rPr>
                <w:b/>
              </w:rPr>
            </w:pPr>
            <w:r>
              <w:rPr>
                <w:b/>
              </w:rPr>
              <w:t>Automated Testing Interface</w:t>
            </w:r>
          </w:p>
        </w:tc>
      </w:tr>
      <w:tr w:rsidR="003D2BAD" w:rsidRPr="00725902" w14:paraId="6E59387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A613FA" w14:textId="77777777" w:rsidR="003D2BAD" w:rsidRPr="00DC5F89" w:rsidRDefault="003D2BAD" w:rsidP="00E40CDE">
            <w:pPr>
              <w:pStyle w:val="TableText"/>
            </w:pPr>
            <w:r w:rsidRPr="003D2BAD">
              <w:t>VBECS has only been tested with one automated instrument connected.</w:t>
            </w:r>
          </w:p>
        </w:tc>
      </w:tr>
      <w:tr w:rsidR="00DC5F89" w:rsidRPr="00725902" w14:paraId="6916926F"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FD8BEA4" w14:textId="77777777" w:rsidR="00DC5F89" w:rsidRPr="00725902" w:rsidRDefault="00DC5F89" w:rsidP="00E40CDE">
            <w:pPr>
              <w:pStyle w:val="TableText"/>
            </w:pPr>
            <w:r w:rsidRPr="00DC5F89">
              <w:t>Not available for transmission to Transfusion only facilities from a blood center due to constraints of VA’s security software.</w:t>
            </w:r>
          </w:p>
        </w:tc>
      </w:tr>
      <w:tr w:rsidR="00DC5F89" w:rsidRPr="00725902" w14:paraId="7562497D"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FCAC14" w14:textId="77777777" w:rsidR="00DC5F89" w:rsidRPr="00DC5F89" w:rsidRDefault="00E43DE4" w:rsidP="00E40CDE">
            <w:pPr>
              <w:pStyle w:val="TableText"/>
            </w:pPr>
            <w:r>
              <w:t xml:space="preserve">The </w:t>
            </w:r>
            <w:r w:rsidRPr="00E43DE4">
              <w:t>results of Antibody Panels (ABID) will not be accepted by the VBECS Automated Interface.</w:t>
            </w:r>
          </w:p>
        </w:tc>
      </w:tr>
      <w:tr w:rsidR="00DC5F89" w:rsidRPr="00725902" w14:paraId="5A613118"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6AA3286" w14:textId="77777777" w:rsidR="00DC5F89" w:rsidRPr="00DC5F89" w:rsidRDefault="00E43DE4" w:rsidP="00E40CDE">
            <w:pPr>
              <w:pStyle w:val="TableText"/>
            </w:pPr>
            <w:r>
              <w:t xml:space="preserve">The </w:t>
            </w:r>
            <w:r w:rsidRPr="00E43DE4">
              <w:t>results of QC information from automated instruments will not be accepted by the VBECS Automated Interface.</w:t>
            </w:r>
          </w:p>
        </w:tc>
      </w:tr>
      <w:tr w:rsidR="00DC5F89" w:rsidRPr="00725902" w14:paraId="299DAA7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A54D91" w14:textId="77777777" w:rsidR="00DC5F89" w:rsidRPr="00DC5F89" w:rsidRDefault="00E43DE4" w:rsidP="00E40CDE">
            <w:pPr>
              <w:pStyle w:val="TableText"/>
            </w:pPr>
            <w:r>
              <w:t xml:space="preserve">Time </w:t>
            </w:r>
            <w:r w:rsidRPr="00E43DE4">
              <w:t>zone will not be included in HL7 message date time from the broadcasting application (Instrument Manager). The time zone is determined from the division code contained in the message header (MSH) segment of the message.</w:t>
            </w:r>
          </w:p>
        </w:tc>
      </w:tr>
    </w:tbl>
    <w:p w14:paraId="20A060B5"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43DE4" w:rsidRPr="00AD7C44" w14:paraId="09AD0D73"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3AAC74F" w14:textId="77777777" w:rsidR="00E43DE4" w:rsidRPr="00AD7C44" w:rsidRDefault="00E43DE4" w:rsidP="00E40CDE">
            <w:pPr>
              <w:pStyle w:val="TableText"/>
              <w:rPr>
                <w:b/>
              </w:rPr>
            </w:pPr>
            <w:r>
              <w:rPr>
                <w:b/>
              </w:rPr>
              <w:t>Automated Testing Review for Blood Units</w:t>
            </w:r>
          </w:p>
        </w:tc>
      </w:tr>
      <w:tr w:rsidR="00E43DE4" w:rsidRPr="00725902" w14:paraId="760DCA17"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EE9AFE5" w14:textId="77777777" w:rsidR="00E43DE4" w:rsidRPr="00725902" w:rsidRDefault="00E43DE4" w:rsidP="00E40CDE">
            <w:pPr>
              <w:pStyle w:val="TableText"/>
            </w:pPr>
            <w:r>
              <w:t xml:space="preserve">VBECS </w:t>
            </w:r>
            <w:r w:rsidRPr="00E43DE4">
              <w:t xml:space="preserve">does not accept inconclusive ABO/Rh test results.  </w:t>
            </w:r>
          </w:p>
        </w:tc>
      </w:tr>
      <w:tr w:rsidR="00E43DE4" w:rsidRPr="00DC5F89" w14:paraId="762B41A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0ED5C3" w14:textId="77777777" w:rsidR="00E43DE4" w:rsidRPr="00DC5F89" w:rsidRDefault="00E43DE4" w:rsidP="00E40CDE">
            <w:pPr>
              <w:pStyle w:val="TableText"/>
            </w:pPr>
            <w:r>
              <w:t xml:space="preserve">Pooled </w:t>
            </w:r>
            <w:r w:rsidRPr="00E43DE4">
              <w:t>Product Types labeled with an Rh type of “Pooled” is considered an Rh Positive unit which does not require confirmation testing.</w:t>
            </w:r>
          </w:p>
        </w:tc>
      </w:tr>
      <w:tr w:rsidR="00E43DE4" w:rsidRPr="00DC5F89" w14:paraId="276F87AE"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4818245" w14:textId="77777777" w:rsidR="00E43DE4" w:rsidRPr="00DC5F89" w:rsidRDefault="00E43DE4" w:rsidP="00E40CDE">
            <w:pPr>
              <w:pStyle w:val="TableText"/>
            </w:pPr>
            <w:r>
              <w:t xml:space="preserve">Pooled </w:t>
            </w:r>
            <w:r w:rsidRPr="00E43DE4">
              <w:t>Product Types</w:t>
            </w:r>
            <w:r w:rsidRPr="00E43DE4" w:rsidDel="00922FC4">
              <w:t xml:space="preserve"> </w:t>
            </w:r>
            <w:r w:rsidRPr="00E43DE4">
              <w:t>that require confirmation, labeled with an ABO group of “Pooled” cannot be confirmed. A blood component unit received as “POOLED ABO” will have to be transfused using the Supervisory option, Document ABO Incompatible Transfusion.</w:t>
            </w:r>
          </w:p>
        </w:tc>
      </w:tr>
      <w:tr w:rsidR="003A6D3F" w:rsidRPr="00DC5F89" w14:paraId="42F67AEA"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B4E65D" w14:textId="77777777" w:rsidR="003A6D3F" w:rsidRDefault="003A6D3F" w:rsidP="00E40CDE">
            <w:pPr>
              <w:pStyle w:val="TableText"/>
            </w:pPr>
            <w:r>
              <w:lastRenderedPageBreak/>
              <w:t xml:space="preserve">Users </w:t>
            </w:r>
            <w:r w:rsidRPr="00E43DE4">
              <w:t>can select and assign multiple units with the same DIN and different product codes for crossmatch. Users can only process one DIN (e.g., W123400345345) on the Automated Instrument at a time. It is incumbent on the user to verify that the crossmatch result from the Automated Instrument matches the product code (e.g., E0134V00) associated with the patient in VBECS. To decrease the risk of a mislabeled unit at issue, local practice may want to have only one on the units selected in VBECS at a time when crossmatch testing is being performed on the automated instrument.</w:t>
            </w:r>
            <w:r>
              <w:t xml:space="preserve"> </w:t>
            </w:r>
            <w:r w:rsidRPr="003A6D3F">
              <w:rPr>
                <w:vanish/>
              </w:rPr>
              <w:t>Defect 357490</w:t>
            </w:r>
          </w:p>
        </w:tc>
      </w:tr>
      <w:tr w:rsidR="00DA27C7" w:rsidRPr="00DC5F89" w14:paraId="2BE30BBE"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4D64A0A" w14:textId="77777777" w:rsidR="00DA27C7" w:rsidRDefault="00DA27C7" w:rsidP="00E40CDE">
            <w:pPr>
              <w:pStyle w:val="TableText"/>
            </w:pPr>
            <w:r w:rsidRPr="00DA27C7">
              <w:t>Order Rejection comment entry is required but is not visible on a report.</w:t>
            </w:r>
          </w:p>
        </w:tc>
      </w:tr>
    </w:tbl>
    <w:p w14:paraId="40465502"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43DE4" w:rsidRPr="00AD7C44" w14:paraId="33EB5BCD"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5381786" w14:textId="77777777" w:rsidR="00E43DE4" w:rsidRPr="00AD7C44" w:rsidRDefault="00E43DE4" w:rsidP="00E40CDE">
            <w:pPr>
              <w:pStyle w:val="TableText"/>
              <w:rPr>
                <w:b/>
              </w:rPr>
            </w:pPr>
            <w:r>
              <w:rPr>
                <w:b/>
              </w:rPr>
              <w:t>Automated Testing Review for Patients</w:t>
            </w:r>
          </w:p>
        </w:tc>
      </w:tr>
      <w:tr w:rsidR="00E43DE4" w:rsidRPr="00725902" w14:paraId="5D30649F"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72DA56E" w14:textId="77777777" w:rsidR="00E43DE4" w:rsidRPr="00725902" w:rsidRDefault="00243084" w:rsidP="00E40CDE">
            <w:pPr>
              <w:pStyle w:val="TableText"/>
            </w:pPr>
            <w:r>
              <w:t xml:space="preserve">VBECS </w:t>
            </w:r>
            <w:r w:rsidRPr="00243084">
              <w:t>does not accept inconclusive ABO/Rh test results.</w:t>
            </w:r>
          </w:p>
        </w:tc>
      </w:tr>
      <w:tr w:rsidR="00E43DE4" w:rsidRPr="00DC5F89" w14:paraId="6A6D1D5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9104AD" w14:textId="77777777" w:rsidR="00E43DE4" w:rsidRPr="00DC5F89" w:rsidRDefault="00243084" w:rsidP="00E40CDE">
            <w:pPr>
              <w:pStyle w:val="TableText"/>
            </w:pPr>
            <w:r>
              <w:t xml:space="preserve">VBECS </w:t>
            </w:r>
            <w:r w:rsidRPr="00243084">
              <w:t>does not accept inconclusive interpretations for antibody screen tests.</w:t>
            </w:r>
          </w:p>
        </w:tc>
      </w:tr>
      <w:tr w:rsidR="00E43DE4" w:rsidRPr="00DC5F89" w14:paraId="67696BE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70A764D" w14:textId="77777777" w:rsidR="00E43DE4" w:rsidRPr="00DC5F89" w:rsidRDefault="00243084" w:rsidP="00E40CDE">
            <w:pPr>
              <w:pStyle w:val="TableText"/>
            </w:pPr>
            <w:r>
              <w:t xml:space="preserve">Immediate </w:t>
            </w:r>
            <w:r w:rsidRPr="00243084">
              <w:t>spin crossmatch is not allowed via automated test entry.</w:t>
            </w:r>
          </w:p>
        </w:tc>
      </w:tr>
      <w:tr w:rsidR="00243084" w:rsidRPr="00DC5F89" w14:paraId="7DD71F9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5E11A1" w14:textId="77777777" w:rsidR="00243084" w:rsidRPr="00DC5F89" w:rsidRDefault="00243084" w:rsidP="00E40CDE">
            <w:pPr>
              <w:pStyle w:val="TableText"/>
            </w:pPr>
            <w:r>
              <w:t xml:space="preserve">Patient </w:t>
            </w:r>
            <w:r w:rsidRPr="00243084">
              <w:t>Antigen typing applies only to patient specimens that contain red blood cells.</w:t>
            </w:r>
          </w:p>
        </w:tc>
      </w:tr>
      <w:tr w:rsidR="00243084" w:rsidRPr="00DC5F89" w14:paraId="1922D72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E48082" w14:textId="77777777" w:rsidR="00243084" w:rsidRPr="00243084" w:rsidRDefault="00243084" w:rsidP="00E40CDE">
            <w:pPr>
              <w:pStyle w:val="TableText"/>
              <w:rPr>
                <w:rFonts w:ascii="Times New Roman" w:hAnsi="Times New Roman"/>
                <w:spacing w:val="-5"/>
                <w:sz w:val="22"/>
                <w:szCs w:val="22"/>
              </w:rPr>
            </w:pPr>
            <w:r>
              <w:t xml:space="preserve">The </w:t>
            </w:r>
            <w:r w:rsidRPr="00243084">
              <w:t>system does not check the specificity of a patient’s antibody against an existing patient antigen typing.</w:t>
            </w:r>
          </w:p>
        </w:tc>
      </w:tr>
      <w:tr w:rsidR="00243084" w:rsidRPr="00DC5F89" w14:paraId="25DDF929"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A53B39" w14:textId="77777777" w:rsidR="00243084" w:rsidRPr="00DC5F89" w:rsidRDefault="00243084" w:rsidP="00E40CDE">
            <w:pPr>
              <w:pStyle w:val="TableText"/>
            </w:pPr>
            <w:r>
              <w:t xml:space="preserve">The </w:t>
            </w:r>
            <w:r w:rsidRPr="00243084">
              <w:t>patient antigen typing result is not reported to the CPRS record.</w:t>
            </w:r>
          </w:p>
        </w:tc>
      </w:tr>
      <w:tr w:rsidR="00DA27C7" w:rsidRPr="00DC5F89" w14:paraId="25B5A6E9"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FAC729C" w14:textId="77777777" w:rsidR="00DA27C7" w:rsidRDefault="00DA27C7" w:rsidP="00E155EF">
            <w:pPr>
              <w:pStyle w:val="TableText"/>
            </w:pPr>
            <w:r w:rsidRPr="00DA27C7">
              <w:t>Order Rejection comment entry is required but is not visible on a report.</w:t>
            </w:r>
          </w:p>
        </w:tc>
      </w:tr>
    </w:tbl>
    <w:p w14:paraId="44D10320"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96C4E" w14:paraId="20C2D0A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171AB3C" w14:textId="77777777" w:rsidR="003F0440" w:rsidRPr="00D96C4E" w:rsidRDefault="003F0440" w:rsidP="002D126B">
            <w:pPr>
              <w:pStyle w:val="TableText"/>
              <w:rPr>
                <w:b/>
              </w:rPr>
            </w:pPr>
            <w:r w:rsidRPr="00D96C4E">
              <w:rPr>
                <w:b/>
              </w:rPr>
              <w:t>Blood Products</w:t>
            </w:r>
          </w:p>
        </w:tc>
      </w:tr>
      <w:tr w:rsidR="003F0440" w:rsidRPr="00725902" w14:paraId="4C27D34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CCB3E74" w14:textId="77777777" w:rsidR="003F0440" w:rsidRDefault="003F0440" w:rsidP="002D126B">
            <w:pPr>
              <w:pStyle w:val="TableText"/>
            </w:pPr>
            <w:r>
              <w:t xml:space="preserve">Blood product records distributed through VBECS are national standards. </w:t>
            </w:r>
          </w:p>
        </w:tc>
      </w:tr>
      <w:tr w:rsidR="003F0440" w:rsidRPr="00725902" w14:paraId="1E16766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E18E22" w14:textId="77777777" w:rsidR="003F0440" w:rsidRDefault="003F0440" w:rsidP="002D126B">
            <w:pPr>
              <w:pStyle w:val="TableText"/>
            </w:pPr>
            <w:r>
              <w:t>The division must have activated the valid target blood products for modification.</w:t>
            </w:r>
          </w:p>
        </w:tc>
      </w:tr>
    </w:tbl>
    <w:p w14:paraId="5ECA501F"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D1C4A" w14:paraId="05C0EC8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70A043" w14:textId="77777777" w:rsidR="003F0440" w:rsidRPr="000D1C4A" w:rsidRDefault="003F0440" w:rsidP="002D126B">
            <w:pPr>
              <w:pStyle w:val="TableText"/>
              <w:rPr>
                <w:b/>
              </w:rPr>
            </w:pPr>
            <w:r w:rsidRPr="000D1C4A">
              <w:rPr>
                <w:b/>
              </w:rPr>
              <w:t>Canned Comments</w:t>
            </w:r>
          </w:p>
        </w:tc>
      </w:tr>
      <w:tr w:rsidR="003F0440" w:rsidRPr="00725902" w14:paraId="3FDE158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53DD340" w14:textId="4461177D" w:rsidR="003F0440" w:rsidRDefault="003F0440" w:rsidP="002D126B">
            <w:pPr>
              <w:pStyle w:val="TableText"/>
            </w:pPr>
            <w:r>
              <w:t>The user may not edit comments provided with VBECS, but may create additional comments.</w:t>
            </w:r>
            <w:r w:rsidR="00483C5D">
              <w:t xml:space="preserve"> Although comments</w:t>
            </w:r>
            <w:r w:rsidR="003E0483">
              <w:t xml:space="preserve"> can also be removed, there should remain at least one comment available for selection (e.g., “Other”). </w:t>
            </w:r>
            <w:r w:rsidR="003E0483" w:rsidRPr="003E0483">
              <w:rPr>
                <w:vanish/>
              </w:rPr>
              <w:t>Task 209175</w:t>
            </w:r>
          </w:p>
        </w:tc>
      </w:tr>
      <w:tr w:rsidR="003F0440" w:rsidRPr="00725902" w14:paraId="39CD61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5ED406D" w14:textId="77777777" w:rsidR="003F0440" w:rsidRDefault="003F0440" w:rsidP="002D126B">
            <w:pPr>
              <w:pStyle w:val="TableText"/>
            </w:pPr>
            <w:r>
              <w:t>Site personnel must enter comments in accordance with local policy and procedures.</w:t>
            </w:r>
          </w:p>
        </w:tc>
      </w:tr>
    </w:tbl>
    <w:p w14:paraId="17280528"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EB10C4" w14:paraId="30B6437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55A9FED" w14:textId="77777777" w:rsidR="003F0440" w:rsidRPr="00EB10C4" w:rsidRDefault="003F0440" w:rsidP="002D126B">
            <w:pPr>
              <w:pStyle w:val="TableText"/>
              <w:rPr>
                <w:b/>
              </w:rPr>
            </w:pPr>
            <w:r w:rsidRPr="00EB10C4">
              <w:rPr>
                <w:b/>
              </w:rPr>
              <w:t>Component Classes</w:t>
            </w:r>
          </w:p>
        </w:tc>
      </w:tr>
      <w:tr w:rsidR="003F0440" w:rsidRPr="00725902" w14:paraId="630248E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B478D3D" w14:textId="77777777" w:rsidR="003F0440" w:rsidRDefault="003F0440" w:rsidP="002D126B">
            <w:pPr>
              <w:pStyle w:val="TableText"/>
            </w:pPr>
            <w:r>
              <w:t xml:space="preserve">The user may not change the specimen requirement for a component class when there are incomplete orders for that component class. </w:t>
            </w:r>
          </w:p>
        </w:tc>
      </w:tr>
      <w:tr w:rsidR="003F0440" w:rsidRPr="00725902" w14:paraId="31E997B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9B3CDC3" w14:textId="77777777" w:rsidR="003F0440" w:rsidRDefault="003F0440" w:rsidP="002D126B">
            <w:pPr>
              <w:pStyle w:val="TableText"/>
            </w:pPr>
            <w:r>
              <w:t>There is no retrospective data entry or user selection for th</w:t>
            </w:r>
            <w:r w:rsidR="00932460">
              <w:t>is</w:t>
            </w:r>
            <w:r>
              <w:t xml:space="preserve"> </w:t>
            </w:r>
            <w:r w:rsidR="00932460">
              <w:t>option</w:t>
            </w:r>
            <w:r>
              <w:t>.</w:t>
            </w:r>
          </w:p>
        </w:tc>
      </w:tr>
    </w:tbl>
    <w:p w14:paraId="696F2F0F" w14:textId="77777777" w:rsidR="005333AF" w:rsidRDefault="005333AF"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5702D2" w:rsidRPr="00EB10C4" w14:paraId="204556A5" w14:textId="77777777" w:rsidTr="00E971D0">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6D46E3" w14:textId="77777777" w:rsidR="005702D2" w:rsidRPr="00EB10C4" w:rsidRDefault="005702D2" w:rsidP="005702D2">
            <w:pPr>
              <w:pStyle w:val="TableText"/>
              <w:rPr>
                <w:b/>
              </w:rPr>
            </w:pPr>
            <w:r w:rsidRPr="00EB10C4">
              <w:rPr>
                <w:b/>
              </w:rPr>
              <w:t xml:space="preserve">Component </w:t>
            </w:r>
            <w:r>
              <w:rPr>
                <w:b/>
              </w:rPr>
              <w:t>Processing</w:t>
            </w:r>
          </w:p>
        </w:tc>
      </w:tr>
      <w:tr w:rsidR="005702D2" w14:paraId="3BBA2107"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1F19CC2A" w14:textId="77777777" w:rsidR="005702D2" w:rsidRPr="002B3204" w:rsidRDefault="005702D2" w:rsidP="00123D20">
            <w:pPr>
              <w:pStyle w:val="TableText"/>
            </w:pPr>
            <w:r w:rsidRPr="002B3204">
              <w:t xml:space="preserve">An ISBT 128 Product Code’s </w:t>
            </w:r>
            <w:r w:rsidR="00BC797F">
              <w:t>first characters may be E</w:t>
            </w:r>
            <w:r w:rsidRPr="002B3204">
              <w:t xml:space="preserve"> or X.</w:t>
            </w:r>
          </w:p>
        </w:tc>
      </w:tr>
      <w:tr w:rsidR="005702D2" w14:paraId="6E0F154C"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6E91E51A" w14:textId="77777777" w:rsidR="005702D2" w:rsidRPr="002B3204" w:rsidRDefault="005702D2" w:rsidP="00123D20">
            <w:pPr>
              <w:pStyle w:val="TableText"/>
            </w:pPr>
            <w:r w:rsidRPr="002B3204">
              <w:t>VBECS does not check whether blood products with the same unit ID and different product codes are the same blood type.</w:t>
            </w:r>
          </w:p>
        </w:tc>
      </w:tr>
      <w:tr w:rsidR="005702D2" w14:paraId="464F5120"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3B0F261" w14:textId="77777777" w:rsidR="005702D2" w:rsidRPr="002B3204" w:rsidRDefault="005702D2" w:rsidP="00123D20">
            <w:pPr>
              <w:pStyle w:val="TableText"/>
            </w:pPr>
            <w:r w:rsidRPr="002B3204">
              <w:t>VBECS does not compare the ABO/Rh of an autologous unit or display a message when the ABO/Rh is incompatible with the restricted for patient.</w:t>
            </w:r>
          </w:p>
        </w:tc>
      </w:tr>
      <w:tr w:rsidR="005702D2" w14:paraId="3EC62BAC"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6BE802F4" w14:textId="77777777" w:rsidR="005702D2" w:rsidRPr="00985199" w:rsidRDefault="005702D2" w:rsidP="00123D20">
            <w:pPr>
              <w:pStyle w:val="TableText"/>
            </w:pPr>
            <w:r w:rsidRPr="00985199">
              <w:t>The user may not save the unit record until the donation type and its requirements are satisfied.</w:t>
            </w:r>
          </w:p>
        </w:tc>
      </w:tr>
      <w:tr w:rsidR="005702D2" w14:paraId="618595D2"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3864804" w14:textId="77777777" w:rsidR="005702D2" w:rsidRPr="00985199" w:rsidRDefault="005702D2" w:rsidP="00123D20">
            <w:pPr>
              <w:pStyle w:val="TableText"/>
            </w:pPr>
            <w:r w:rsidRPr="00985199">
              <w:t>No longer supports the entry of blood products labeled in Codabar label type to new or existing invoices.</w:t>
            </w:r>
          </w:p>
        </w:tc>
      </w:tr>
      <w:tr w:rsidR="005702D2" w14:paraId="6D42A7BD"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CD1875B" w14:textId="77777777" w:rsidR="005702D2" w:rsidRPr="00985199" w:rsidRDefault="005702D2" w:rsidP="00123D20">
            <w:pPr>
              <w:pStyle w:val="TableText"/>
            </w:pPr>
            <w:r w:rsidRPr="00985199">
              <w:lastRenderedPageBreak/>
              <w:t>The unit expiration [Maximum Storage Time (MST)] is set to the longest possible storage time based on product type, core condition, attributes, and available references as a guide. The MST is set at a higher level than an individual collection product code. VBECS does not know the specific collection details.  It is the responsibility of each user to accurately enter and process any one blood unit based on its expiration date/time as labeled by the collection facility.</w:t>
            </w:r>
            <w:r w:rsidRPr="00123D20">
              <w:rPr>
                <w:vanish/>
              </w:rPr>
              <w:t xml:space="preserve"> Task 1280</w:t>
            </w:r>
          </w:p>
        </w:tc>
      </w:tr>
      <w:tr w:rsidR="005702D2" w14:paraId="32E5DA11"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3129FD44" w14:textId="77777777" w:rsidR="005702D2" w:rsidRPr="00985199" w:rsidRDefault="005702D2" w:rsidP="00123D20">
            <w:pPr>
              <w:pStyle w:val="TableText"/>
            </w:pPr>
            <w:r w:rsidRPr="00985199">
              <w:t>When blood products intended for quarantine are scanned, VBECS does not automatically quarantine them: the user must do so.</w:t>
            </w:r>
          </w:p>
        </w:tc>
      </w:tr>
      <w:tr w:rsidR="005702D2" w14:paraId="075EC130"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36EB9924" w14:textId="77777777" w:rsidR="005702D2" w:rsidRPr="00985199" w:rsidRDefault="005702D2" w:rsidP="00123D20">
            <w:pPr>
              <w:pStyle w:val="TableText"/>
            </w:pPr>
            <w:r w:rsidRPr="00985199">
              <w:t>VBECS does not recognize scanned labels for para-Bombay or Bombay ISBT units.</w:t>
            </w:r>
          </w:p>
        </w:tc>
      </w:tr>
      <w:tr w:rsidR="005702D2" w14:paraId="244F06B9"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9261060" w14:textId="77777777" w:rsidR="005702D2" w:rsidRPr="00985199" w:rsidRDefault="005702D2" w:rsidP="00123D20">
            <w:pPr>
              <w:pStyle w:val="TableText"/>
            </w:pPr>
            <w:r w:rsidRPr="00985199">
              <w:t>VBECS does not allow duplicate IDs for the same product code.</w:t>
            </w:r>
          </w:p>
        </w:tc>
      </w:tr>
      <w:tr w:rsidR="005702D2" w14:paraId="4DD08C4E"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06C1A481" w14:textId="77777777" w:rsidR="005702D2" w:rsidRPr="00985199" w:rsidRDefault="005702D2" w:rsidP="00123D20">
            <w:pPr>
              <w:pStyle w:val="TableText"/>
            </w:pPr>
            <w:r w:rsidRPr="00985199">
              <w:t xml:space="preserve">When a user scans a product code or expiration date barcode in the Unit ID field, VBECS does not display the entered information. </w:t>
            </w:r>
          </w:p>
        </w:tc>
      </w:tr>
      <w:tr w:rsidR="005702D2" w14:paraId="1B180395"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4A362F4" w14:textId="77777777" w:rsidR="005702D2" w:rsidRPr="00985199" w:rsidRDefault="005702D2" w:rsidP="00123D20">
            <w:pPr>
              <w:pStyle w:val="TableText"/>
            </w:pPr>
            <w:r w:rsidRPr="00985199">
              <w:t>When a user scans an ISBT blood product code ID with “0” as the donation type (sixth character), VBECS indicates that the donation type is not specified. When the user selects a donation type from the drop-down menu, VBECS replaces “0” with a recognizable character in the product code text box and stores it as such. When the user rescans the product ID, he must manually replace “0” or search using the unit ID alone, or the unit ID and the first five characters of the product ID. When scanning a blood product derivative, this does not apply.</w:t>
            </w:r>
          </w:p>
        </w:tc>
      </w:tr>
      <w:tr w:rsidR="005702D2" w14:paraId="6A76E9C2"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034E35E9" w14:textId="77777777" w:rsidR="005702D2" w:rsidRPr="00985199" w:rsidRDefault="005702D2" w:rsidP="00123D20">
            <w:pPr>
              <w:pStyle w:val="TableText"/>
            </w:pPr>
            <w:r w:rsidRPr="00985199">
              <w:t>Blood product code entries in the blood product table include those from ICCBBA for ISBT 128. Product codes created after the release of VBECS cannot be entered until the updated tables are incorporated through patches to VBECS. Refuse acceptance of the unit, if possible. Users may not edit the blood product table.</w:t>
            </w:r>
          </w:p>
        </w:tc>
      </w:tr>
      <w:tr w:rsidR="005702D2" w14:paraId="6E1372B0"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6EF2A792" w14:textId="77777777" w:rsidR="005702D2" w:rsidRPr="00985199" w:rsidRDefault="005702D2" w:rsidP="00123D20">
            <w:pPr>
              <w:pStyle w:val="TableText"/>
            </w:pPr>
            <w:r w:rsidRPr="00985199">
              <w:t>ISBT 128 tables include blood product codes labeled as not for manufacturing or transfusion. VBECS does not restrict such products from being entered, issued, or transferred (local policy controls their use), but does not accommodate blood modification for these products.</w:t>
            </w:r>
          </w:p>
        </w:tc>
      </w:tr>
      <w:tr w:rsidR="005702D2" w14:paraId="263422A8"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7B23C471" w14:textId="17802B3C" w:rsidR="005702D2" w:rsidRPr="00985199" w:rsidRDefault="005702D2" w:rsidP="00123D20">
            <w:pPr>
              <w:pStyle w:val="TableText"/>
            </w:pPr>
            <w:r w:rsidRPr="00985199">
              <w:t>No entry of an ICCBBA Product Description Code starting with A, B, C, or D aka National or Local Codes A0000-D9999.</w:t>
            </w:r>
            <w:r w:rsidRPr="00123D20">
              <w:rPr>
                <w:i/>
              </w:rPr>
              <w:t xml:space="preserve"> If use of such a code is necessary for patient care, contact Service Desk and file a request for the code to be added to VBECS.</w:t>
            </w:r>
          </w:p>
        </w:tc>
      </w:tr>
    </w:tbl>
    <w:p w14:paraId="39224765" w14:textId="77777777" w:rsidR="005702D2" w:rsidRDefault="005702D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ED7" w14:paraId="3F339C2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319C8A7" w14:textId="77777777" w:rsidR="003F0440" w:rsidRPr="00D01ED7" w:rsidRDefault="003F0440" w:rsidP="002D126B">
            <w:pPr>
              <w:pStyle w:val="TableText"/>
              <w:rPr>
                <w:b/>
              </w:rPr>
            </w:pPr>
            <w:r w:rsidRPr="00D01ED7">
              <w:rPr>
                <w:b/>
              </w:rPr>
              <w:t>Configure Daily QC</w:t>
            </w:r>
          </w:p>
        </w:tc>
      </w:tr>
      <w:tr w:rsidR="003F0440" w:rsidRPr="00725902" w14:paraId="4023F42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9F9D317" w14:textId="77777777" w:rsidR="003F0440" w:rsidRDefault="003F0440" w:rsidP="002D126B">
            <w:pPr>
              <w:pStyle w:val="TableText"/>
            </w:pPr>
            <w:r>
              <w:t xml:space="preserve">This option pertains only to routine reagents. </w:t>
            </w:r>
          </w:p>
        </w:tc>
      </w:tr>
      <w:tr w:rsidR="003F0440" w:rsidRPr="00725902" w14:paraId="427BC9B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E5AF528" w14:textId="77777777" w:rsidR="003F0440" w:rsidRDefault="003F0440" w:rsidP="002D126B">
            <w:pPr>
              <w:pStyle w:val="TableText"/>
            </w:pPr>
            <w:r>
              <w:t xml:space="preserve">When there are partially or currently QC’d racks in the system, the user may not change the QC template. </w:t>
            </w:r>
          </w:p>
        </w:tc>
      </w:tr>
    </w:tbl>
    <w:p w14:paraId="21F61E37" w14:textId="77777777" w:rsidR="00FD6164" w:rsidRDefault="00FD6164"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A6312" w:rsidRPr="00D01ED7" w14:paraId="506A3814" w14:textId="77777777" w:rsidTr="00F002ED">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9F1E850" w14:textId="77777777" w:rsidR="00DA6312" w:rsidRPr="00D01ED7" w:rsidRDefault="00DA6312" w:rsidP="00DA6312">
            <w:pPr>
              <w:pStyle w:val="TableText"/>
              <w:rPr>
                <w:b/>
              </w:rPr>
            </w:pPr>
            <w:r w:rsidRPr="00D01ED7">
              <w:rPr>
                <w:b/>
              </w:rPr>
              <w:t xml:space="preserve">Configure </w:t>
            </w:r>
            <w:r>
              <w:rPr>
                <w:b/>
              </w:rPr>
              <w:t>Division</w:t>
            </w:r>
          </w:p>
        </w:tc>
      </w:tr>
      <w:tr w:rsidR="00DA6312" w14:paraId="1FBE3661" w14:textId="77777777" w:rsidTr="00F002E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F62A37" w14:textId="77777777" w:rsidR="00DA6312" w:rsidRPr="00DA6312" w:rsidRDefault="00DA6312" w:rsidP="00F002ED">
            <w:pPr>
              <w:pStyle w:val="TableText"/>
              <w:rPr>
                <w:vanish/>
              </w:rPr>
            </w:pPr>
            <w:r w:rsidRPr="00DA6312">
              <w:t>Changes made to the division setting are not applied to a user until they re-connect to VBECS after the change is made. It is highly recommended that all users log off VBECS prior to any configuration setting change.</w:t>
            </w:r>
            <w:r>
              <w:rPr>
                <w:vanish/>
              </w:rPr>
              <w:t xml:space="preserve"> DR 4136</w:t>
            </w:r>
          </w:p>
        </w:tc>
      </w:tr>
    </w:tbl>
    <w:p w14:paraId="5F38FC21" w14:textId="77777777" w:rsidR="00DA6312" w:rsidRDefault="00DA6312"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D7CAF" w:rsidRPr="00E95A54" w14:paraId="7326DCC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82D767A" w14:textId="77777777" w:rsidR="00DD7CAF" w:rsidRPr="00E95A54" w:rsidRDefault="00DD7CAF" w:rsidP="005E39DA">
            <w:pPr>
              <w:pStyle w:val="TableText"/>
              <w:rPr>
                <w:b/>
              </w:rPr>
            </w:pPr>
            <w:r>
              <w:rPr>
                <w:b/>
              </w:rPr>
              <w:t>Discard or Quarantine</w:t>
            </w:r>
          </w:p>
        </w:tc>
      </w:tr>
      <w:tr w:rsidR="00DD7CAF" w:rsidRPr="00C06411" w14:paraId="2455B5D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4F1339C" w14:textId="77777777" w:rsidR="00DD7CAF" w:rsidRPr="00C06411" w:rsidRDefault="00DD7CAF" w:rsidP="00DD7CAF">
            <w:pPr>
              <w:pStyle w:val="TableText"/>
            </w:pPr>
            <w:r>
              <w:t xml:space="preserve">When a user retroactively updates a unit status through this option, the Unit History Report displays the updated information, but does not display the date the change was made. </w:t>
            </w:r>
          </w:p>
        </w:tc>
      </w:tr>
      <w:tr w:rsidR="00EF7C8A" w:rsidRPr="00C06411" w14:paraId="5183B7C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0C9381" w14:textId="3D4B2D13" w:rsidR="00EF7C8A" w:rsidRDefault="00EF7C8A" w:rsidP="00DD7CAF">
            <w:pPr>
              <w:pStyle w:val="TableText"/>
            </w:pPr>
            <w:r>
              <w:t xml:space="preserve">The option does not accommodate the entry of a second user for retrospective data entry. </w:t>
            </w:r>
            <w:r w:rsidR="0063094B">
              <w:rPr>
                <w:vanish/>
              </w:rPr>
              <w:t>Defect</w:t>
            </w:r>
            <w:r w:rsidRPr="00EF7C8A">
              <w:rPr>
                <w:vanish/>
              </w:rPr>
              <w:t xml:space="preserve"> 209008</w:t>
            </w:r>
          </w:p>
        </w:tc>
      </w:tr>
      <w:tr w:rsidR="00A753B8" w:rsidRPr="00C06411" w14:paraId="75B5EBE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208C68E" w14:textId="5F281792" w:rsidR="00A753B8" w:rsidRDefault="00A753B8" w:rsidP="00DD7CAF">
            <w:pPr>
              <w:pStyle w:val="TableText"/>
            </w:pPr>
            <w:r>
              <w:t xml:space="preserve">Cost entry is capped at 999.99. </w:t>
            </w:r>
            <w:r w:rsidRPr="00A753B8">
              <w:rPr>
                <w:vanish/>
              </w:rPr>
              <w:t>Defect 942523</w:t>
            </w:r>
          </w:p>
        </w:tc>
      </w:tr>
    </w:tbl>
    <w:p w14:paraId="072D2471" w14:textId="77777777" w:rsidR="00D139EE" w:rsidRDefault="00D139EE"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E95A54" w14:paraId="2B807B8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DBACC9" w14:textId="77777777" w:rsidR="003F0440" w:rsidRPr="00E95A54" w:rsidRDefault="003F0440" w:rsidP="002D126B">
            <w:pPr>
              <w:pStyle w:val="TableText"/>
              <w:rPr>
                <w:b/>
              </w:rPr>
            </w:pPr>
            <w:r w:rsidRPr="00E95A54">
              <w:rPr>
                <w:b/>
              </w:rPr>
              <w:t>Display Order Alerts</w:t>
            </w:r>
          </w:p>
        </w:tc>
      </w:tr>
      <w:tr w:rsidR="003F0440" w:rsidRPr="00C06411" w14:paraId="269589E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0FC215" w14:textId="77777777" w:rsidR="003F0440" w:rsidRPr="00C06411" w:rsidRDefault="003F0440" w:rsidP="002D126B">
            <w:pPr>
              <w:pStyle w:val="TableText"/>
            </w:pPr>
            <w:r>
              <w:t>VBECS issues no notifications for order cancellations.</w:t>
            </w:r>
          </w:p>
        </w:tc>
      </w:tr>
    </w:tbl>
    <w:p w14:paraId="51D74618" w14:textId="77777777" w:rsidR="00FC3666" w:rsidRDefault="00FC3666"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6347F2" w14:paraId="4ABBCB2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AA8D9E4" w14:textId="77777777" w:rsidR="003F0440" w:rsidRPr="006347F2" w:rsidRDefault="003F0440" w:rsidP="002D126B">
            <w:pPr>
              <w:pStyle w:val="TableText"/>
              <w:rPr>
                <w:b/>
              </w:rPr>
            </w:pPr>
            <w:r w:rsidRPr="006347F2">
              <w:rPr>
                <w:b/>
              </w:rPr>
              <w:lastRenderedPageBreak/>
              <w:t xml:space="preserve">Display Patient </w:t>
            </w:r>
            <w:r>
              <w:rPr>
                <w:b/>
              </w:rPr>
              <w:t>Merge</w:t>
            </w:r>
            <w:r w:rsidRPr="006347F2">
              <w:rPr>
                <w:b/>
              </w:rPr>
              <w:t xml:space="preserve"> Alerts</w:t>
            </w:r>
          </w:p>
        </w:tc>
      </w:tr>
      <w:tr w:rsidR="004F17EB" w:rsidRPr="00C06411" w14:paraId="5F3E745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6C9FE2" w14:textId="77777777" w:rsidR="004F17EB" w:rsidRPr="004F17EB" w:rsidRDefault="004F17EB" w:rsidP="004F17EB">
            <w:pPr>
              <w:pStyle w:val="TableTex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tc>
      </w:tr>
    </w:tbl>
    <w:p w14:paraId="7A024C9A" w14:textId="77777777" w:rsidR="00BA0F42" w:rsidRDefault="00BA0F42"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B31E5A" w:rsidRPr="006347F2" w14:paraId="00D9588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5419AB8" w14:textId="77777777" w:rsidR="00B31E5A" w:rsidRPr="006347F2" w:rsidRDefault="00B31E5A" w:rsidP="00FE4D07">
            <w:pPr>
              <w:pStyle w:val="TableText"/>
              <w:rPr>
                <w:b/>
              </w:rPr>
            </w:pPr>
            <w:r w:rsidRPr="006347F2">
              <w:rPr>
                <w:b/>
              </w:rPr>
              <w:t xml:space="preserve">Display Patient </w:t>
            </w:r>
            <w:r>
              <w:rPr>
                <w:b/>
              </w:rPr>
              <w:t>Update</w:t>
            </w:r>
            <w:r w:rsidRPr="006347F2">
              <w:rPr>
                <w:b/>
              </w:rPr>
              <w:t xml:space="preserve"> Alerts</w:t>
            </w:r>
          </w:p>
        </w:tc>
      </w:tr>
      <w:tr w:rsidR="00B31E5A" w:rsidRPr="00C06411" w14:paraId="386A2C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D267BDA" w14:textId="77777777" w:rsidR="00B31E5A" w:rsidRDefault="004F17EB" w:rsidP="004F17EB">
            <w:pPr>
              <w:pStyle w:val="TableTex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tc>
      </w:tr>
      <w:tr w:rsidR="00562E66" w:rsidRPr="00C06411" w14:paraId="3E77446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C3027E4" w14:textId="77777777" w:rsidR="00562E66" w:rsidRDefault="00562E66" w:rsidP="00520CAE">
            <w:pPr>
              <w:pStyle w:val="TableText"/>
            </w:pPr>
            <w:r>
              <w:t>Patient updates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520CAE">
              <w:t>Email Alerts</w:t>
            </w:r>
            <w:r w:rsidRPr="00DD022C">
              <w:t>” field.</w:t>
            </w:r>
          </w:p>
        </w:tc>
      </w:tr>
      <w:tr w:rsidR="002369C9" w:rsidRPr="00C06411" w14:paraId="195FCCD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088C0F9" w14:textId="77777777" w:rsidR="002369C9" w:rsidRDefault="002369C9" w:rsidP="00562E66">
            <w:pPr>
              <w:pStyle w:val="TableText"/>
            </w:pPr>
            <w:r>
              <w:t xml:space="preserve">Patient update </w:t>
            </w:r>
            <w:r w:rsidRPr="003A360F">
              <w:t xml:space="preserve">alerts only display when </w:t>
            </w:r>
            <w:r>
              <w:t xml:space="preserve">active </w:t>
            </w:r>
            <w:r w:rsidRPr="003A360F">
              <w:t xml:space="preserve">component </w:t>
            </w:r>
            <w:r>
              <w:t xml:space="preserve">or diagnostic test </w:t>
            </w:r>
            <w:r w:rsidRPr="003A360F">
              <w:t xml:space="preserve">orders are </w:t>
            </w:r>
            <w:r>
              <w:t xml:space="preserve">pending or </w:t>
            </w:r>
            <w:r w:rsidRPr="003A360F">
              <w:t>active</w:t>
            </w:r>
            <w:r w:rsidRPr="002369C9">
              <w:footnoteReference w:id="8"/>
            </w:r>
            <w:r w:rsidRPr="003A360F">
              <w:t xml:space="preserve"> at the time the update occurs.</w:t>
            </w:r>
            <w:r w:rsidRPr="002369C9">
              <w:rPr>
                <w:vanish/>
              </w:rPr>
              <w:t xml:space="preserve"> DR 4323 BR_68.02</w:t>
            </w:r>
          </w:p>
        </w:tc>
      </w:tr>
    </w:tbl>
    <w:p w14:paraId="0B428A1C" w14:textId="49324725" w:rsidR="00B31E5A" w:rsidRDefault="00B31E5A"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C25C1E" w:rsidRPr="004146C8" w14:paraId="70A498E2" w14:textId="77777777" w:rsidTr="00D12DC6">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C7E342D" w14:textId="5AA8E5D5" w:rsidR="00C25C1E" w:rsidRPr="004146C8" w:rsidRDefault="00C25C1E" w:rsidP="00D12DC6">
            <w:pPr>
              <w:pStyle w:val="TableText"/>
              <w:rPr>
                <w:b/>
              </w:rPr>
            </w:pPr>
            <w:r w:rsidRPr="004146C8">
              <w:rPr>
                <w:b/>
                <w:snapToGrid w:val="0"/>
              </w:rPr>
              <w:t>D</w:t>
            </w:r>
            <w:r>
              <w:rPr>
                <w:b/>
                <w:snapToGrid w:val="0"/>
              </w:rPr>
              <w:t xml:space="preserve">ivision Workload </w:t>
            </w:r>
            <w:r w:rsidR="00E25C40">
              <w:rPr>
                <w:b/>
                <w:snapToGrid w:val="0"/>
              </w:rPr>
              <w:t>Report</w:t>
            </w:r>
          </w:p>
        </w:tc>
      </w:tr>
      <w:tr w:rsidR="00C25C1E" w:rsidRPr="00725902" w14:paraId="49D1EAC3" w14:textId="77777777" w:rsidTr="00D12DC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589FD93" w14:textId="77E86E37" w:rsidR="00C25C1E" w:rsidRPr="00725902" w:rsidRDefault="00E25C40" w:rsidP="00D12DC6">
            <w:pPr>
              <w:pStyle w:val="TableText"/>
            </w:pPr>
            <w:r>
              <w:t>A report printed with an end date of today or greater does not print “Preliminary” in the header. Check the subsequent pages of the report and write “PRELIMINARY” on the front page of the report prior to filing. The information included in the report is accurate to the time printed. There is a possibility of a gap of information should the user not overlap the print requests. Generally, this report is printed for the day prior or a time period that does not include the current day</w:t>
            </w:r>
            <w:r w:rsidR="00C25C1E">
              <w:t>.</w:t>
            </w:r>
            <w:r>
              <w:t xml:space="preserve"> </w:t>
            </w:r>
            <w:r w:rsidRPr="00E25C40">
              <w:rPr>
                <w:vanish/>
              </w:rPr>
              <w:t>Defect 213101</w:t>
            </w:r>
          </w:p>
        </w:tc>
      </w:tr>
    </w:tbl>
    <w:p w14:paraId="28E03740" w14:textId="3CB45FCD" w:rsidR="00C25C1E" w:rsidRDefault="00C25C1E"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146C8" w14:paraId="624E4B8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B91B05" w14:textId="77777777" w:rsidR="003F0440" w:rsidRPr="004146C8" w:rsidRDefault="003F0440" w:rsidP="002D126B">
            <w:pPr>
              <w:pStyle w:val="TableText"/>
              <w:rPr>
                <w:b/>
              </w:rPr>
            </w:pPr>
            <w:r w:rsidRPr="004146C8">
              <w:rPr>
                <w:b/>
                <w:snapToGrid w:val="0"/>
              </w:rPr>
              <w:t>Document ABO Incompatible Transfusions</w:t>
            </w:r>
          </w:p>
        </w:tc>
      </w:tr>
      <w:tr w:rsidR="003F0440" w:rsidRPr="00725902" w14:paraId="6C250E3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0B508F2" w14:textId="77777777" w:rsidR="003F0440" w:rsidRPr="00725902" w:rsidRDefault="003F0440" w:rsidP="002D126B">
            <w:pPr>
              <w:pStyle w:val="TableText"/>
            </w:pPr>
            <w:r>
              <w:t>VBECS does not enforce compatibility checks between the patient and the unit.</w:t>
            </w:r>
          </w:p>
        </w:tc>
      </w:tr>
      <w:tr w:rsidR="00CF6A19" w:rsidRPr="00725902" w14:paraId="51394C2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9F602B" w14:textId="77777777" w:rsidR="00CF6A19" w:rsidRDefault="00CF6A19" w:rsidP="002D126B">
            <w:pPr>
              <w:pStyle w:val="TableText"/>
            </w:pPr>
            <w:r>
              <w:t>VBECS does not update CPRS component order status when the Document ABO Incompatible Transfusion option is used.</w:t>
            </w:r>
          </w:p>
        </w:tc>
      </w:tr>
    </w:tbl>
    <w:p w14:paraId="1E2A6728" w14:textId="77777777" w:rsidR="00FD0D9D" w:rsidRDefault="00FD0D9D"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4567F" w:rsidRPr="004146C8" w14:paraId="0E79DD50" w14:textId="77777777" w:rsidTr="000D08F0">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BC422DA" w14:textId="77777777" w:rsidR="00D4567F" w:rsidRPr="004146C8" w:rsidRDefault="00D05F0F" w:rsidP="000D08F0">
            <w:pPr>
              <w:pStyle w:val="TableText"/>
              <w:rPr>
                <w:b/>
              </w:rPr>
            </w:pPr>
            <w:r>
              <w:rPr>
                <w:b/>
                <w:snapToGrid w:val="0"/>
              </w:rPr>
              <w:t>Edit Financial Data</w:t>
            </w:r>
          </w:p>
        </w:tc>
      </w:tr>
      <w:tr w:rsidR="00D4567F" w:rsidRPr="00725902" w14:paraId="5991CC74"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42C10EA" w14:textId="77777777" w:rsidR="00D4567F" w:rsidRPr="00725902" w:rsidRDefault="00D05F0F" w:rsidP="000D08F0">
            <w:pPr>
              <w:pStyle w:val="TableText"/>
            </w:pPr>
            <w:r>
              <w:t>When a Technologist enters a unit ID and product code for a unit that is not in final status, VBECS does not enable the Special Test Cost field. An Enhanced Technologist or higher access can change the Special Test Cost field in the Edit Financial Data option.</w:t>
            </w:r>
            <w:r w:rsidR="005333AF">
              <w:t xml:space="preserve"> </w:t>
            </w:r>
            <w:r w:rsidR="005333AF" w:rsidRPr="005333AF">
              <w:rPr>
                <w:vanish/>
              </w:rPr>
              <w:t>DR 5012</w:t>
            </w:r>
          </w:p>
        </w:tc>
      </w:tr>
      <w:tr w:rsidR="00A753B8" w:rsidRPr="00725902" w14:paraId="2E147A89"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BDAFF7" w14:textId="22F5DC97" w:rsidR="00A753B8" w:rsidRDefault="00A753B8" w:rsidP="000D08F0">
            <w:pPr>
              <w:pStyle w:val="TableText"/>
            </w:pPr>
            <w:r>
              <w:t xml:space="preserve">Cost entry is capped at 999.99. </w:t>
            </w:r>
            <w:r w:rsidRPr="00A753B8">
              <w:rPr>
                <w:vanish/>
              </w:rPr>
              <w:t>Defect 942523</w:t>
            </w:r>
          </w:p>
        </w:tc>
      </w:tr>
    </w:tbl>
    <w:p w14:paraId="495D6A43" w14:textId="77777777" w:rsidR="00D4567F" w:rsidRDefault="00D4567F"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074DD4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FC26A4D" w14:textId="77777777" w:rsidR="003F0440" w:rsidRPr="004146C8" w:rsidRDefault="003F0440" w:rsidP="002D126B">
            <w:pPr>
              <w:pStyle w:val="TableText"/>
              <w:rPr>
                <w:b/>
              </w:rPr>
            </w:pPr>
            <w:r w:rsidRPr="004146C8">
              <w:rPr>
                <w:b/>
              </w:rPr>
              <w:t>Edit Unit Information</w:t>
            </w:r>
          </w:p>
        </w:tc>
      </w:tr>
      <w:tr w:rsidR="003F0440" w:rsidRPr="00725902" w14:paraId="6A1C65A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E597CFB" w14:textId="77777777" w:rsidR="003F0440" w:rsidRPr="00725902" w:rsidRDefault="003F0440" w:rsidP="002D126B">
            <w:pPr>
              <w:pStyle w:val="TableText"/>
            </w:pPr>
            <w:r>
              <w:t>VBECS does not limit the discarded plasma volume.</w:t>
            </w:r>
          </w:p>
        </w:tc>
      </w:tr>
      <w:tr w:rsidR="003F0440" w:rsidRPr="00725902" w14:paraId="3853F18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748D0C" w14:textId="77777777" w:rsidR="003F0440" w:rsidRPr="00725902" w:rsidRDefault="00D20331" w:rsidP="00D20331">
            <w:pPr>
              <w:pStyle w:val="TableText"/>
            </w:pPr>
            <w:r>
              <w:rPr>
                <w:rFonts w:eastAsia="Arial Unicode MS"/>
              </w:rPr>
              <w:t>If errors are found in the unit’s product code</w:t>
            </w:r>
            <w:r>
              <w:t xml:space="preserve">, division or blood type at login, </w:t>
            </w:r>
            <w:r>
              <w:rPr>
                <w:rFonts w:eastAsia="Arial Unicode MS"/>
              </w:rPr>
              <w:t>supplier, or donation type, the user must inactivate the unit and reenter it correctly</w:t>
            </w:r>
            <w:r>
              <w:t>.</w:t>
            </w:r>
          </w:p>
        </w:tc>
      </w:tr>
      <w:tr w:rsidR="003F0440" w:rsidRPr="00725902" w14:paraId="0AE7CA2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766B985" w14:textId="77777777" w:rsidR="003F0440" w:rsidRPr="00725902" w:rsidRDefault="003F0440" w:rsidP="002D126B">
            <w:pPr>
              <w:pStyle w:val="TableText"/>
            </w:pPr>
            <w:r>
              <w:t xml:space="preserve">When a unit does not have a patient association, editable fields are available to an </w:t>
            </w:r>
            <w:r w:rsidR="00D03BCF" w:rsidRPr="00EC7489">
              <w:rPr>
                <w:rFonts w:ascii="Wingdings 3" w:hAnsi="Wingdings 3" w:cs="Wingdings"/>
              </w:rPr>
              <w:t></w:t>
            </w:r>
            <w:r w:rsidR="00D03BCF" w:rsidRPr="00EC7489">
              <w:rPr>
                <w:rFonts w:ascii="Wingdings 3" w:hAnsi="Wingdings 3" w:cs="Wingdings"/>
              </w:rPr>
              <w:t></w:t>
            </w:r>
            <w:r w:rsidR="00D03BCF" w:rsidRPr="00AA7C58">
              <w:t xml:space="preserve"> </w:t>
            </w:r>
            <w:r>
              <w:t>Enhanced Technologist.</w:t>
            </w:r>
          </w:p>
        </w:tc>
      </w:tr>
      <w:tr w:rsidR="00DD3B4E" w:rsidRPr="00725902" w14:paraId="7B6929B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423145" w14:textId="30912413" w:rsidR="00DD3B4E" w:rsidRDefault="00DD3B4E" w:rsidP="002D126B">
            <w:pPr>
              <w:pStyle w:val="TableText"/>
            </w:pPr>
            <w:r>
              <w:t xml:space="preserve">Only units in a Limited or Available </w:t>
            </w:r>
            <w:r w:rsidR="00AE3B37">
              <w:t>status</w:t>
            </w:r>
            <w:r>
              <w:t xml:space="preserve"> may be edited.</w:t>
            </w:r>
          </w:p>
        </w:tc>
      </w:tr>
      <w:tr w:rsidR="00DD3B4E" w:rsidRPr="00725902" w14:paraId="35B82A2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C73134D" w14:textId="77777777" w:rsidR="00DD3B4E" w:rsidRDefault="00DD3B4E" w:rsidP="002D126B">
            <w:pPr>
              <w:pStyle w:val="TableText"/>
            </w:pPr>
            <w:r>
              <w:t>Inactivation of the unit record is required when the user needs to change the unit’s information recorded at login: unit identification number, blood type, product code, unit expiration date, unit donation type, VA division or supplier.</w:t>
            </w:r>
          </w:p>
        </w:tc>
      </w:tr>
    </w:tbl>
    <w:p w14:paraId="7535979E" w14:textId="77777777" w:rsidR="00C1162B" w:rsidRDefault="00C1162B"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657B4" w14:paraId="28B09955"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40681DC" w14:textId="77777777" w:rsidR="003F0440" w:rsidRPr="003657B4" w:rsidRDefault="003F0440" w:rsidP="002D126B">
            <w:pPr>
              <w:pStyle w:val="TableText"/>
              <w:rPr>
                <w:b/>
              </w:rPr>
            </w:pPr>
            <w:r w:rsidRPr="003657B4">
              <w:rPr>
                <w:b/>
              </w:rPr>
              <w:t>Enter Daily QC Results</w:t>
            </w:r>
          </w:p>
        </w:tc>
      </w:tr>
      <w:tr w:rsidR="003F0440" w:rsidRPr="00725902" w14:paraId="39666E40"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9F72580" w14:textId="77777777" w:rsidR="003F0440" w:rsidRPr="00725902" w:rsidRDefault="003F0440" w:rsidP="002D126B">
            <w:pPr>
              <w:pStyle w:val="TableText"/>
            </w:pPr>
            <w:r>
              <w:t xml:space="preserve">Additional user-defined reagent types not available in Configure Daily QC or Enter Daily QC Results are not part of a reagent rack’s daily QC testing. </w:t>
            </w:r>
          </w:p>
        </w:tc>
      </w:tr>
    </w:tbl>
    <w:p w14:paraId="29A0636B" w14:textId="77777777" w:rsidR="00A04F10" w:rsidRDefault="00A04F10"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290344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912D55E" w14:textId="77777777" w:rsidR="003F0440" w:rsidRPr="00D65A81" w:rsidRDefault="003F0440" w:rsidP="002D126B">
            <w:pPr>
              <w:pStyle w:val="TableText"/>
              <w:rPr>
                <w:b/>
              </w:rPr>
            </w:pPr>
            <w:r w:rsidRPr="00D65A81">
              <w:rPr>
                <w:b/>
              </w:rPr>
              <w:t>Equipment</w:t>
            </w:r>
          </w:p>
        </w:tc>
      </w:tr>
      <w:tr w:rsidR="003F0440" w:rsidRPr="00725902" w14:paraId="7759806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132DD1D" w14:textId="77777777" w:rsidR="003F0440" w:rsidRPr="00725902" w:rsidRDefault="003F0440" w:rsidP="002D126B">
            <w:pPr>
              <w:pStyle w:val="TableText"/>
            </w:pPr>
            <w:r>
              <w:t>VBECS does not check for duplicate entries of equipment names and identifiers.</w:t>
            </w:r>
          </w:p>
        </w:tc>
      </w:tr>
      <w:tr w:rsidR="003F0440" w:rsidRPr="00725902" w14:paraId="643A01F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9F7AE2" w14:textId="77777777" w:rsidR="003F0440" w:rsidRPr="00725902" w:rsidRDefault="003F0440" w:rsidP="002D126B">
            <w:pPr>
              <w:pStyle w:val="TableText"/>
            </w:pPr>
            <w:r>
              <w:t>There is no retrospective data entry or user selection for th</w:t>
            </w:r>
            <w:r w:rsidR="00932460">
              <w:t>is option</w:t>
            </w:r>
            <w:r>
              <w:t>.</w:t>
            </w:r>
          </w:p>
        </w:tc>
      </w:tr>
    </w:tbl>
    <w:p w14:paraId="206B81EF" w14:textId="77777777" w:rsidR="00E039E6" w:rsidRDefault="00E039E6"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D7E27" w14:paraId="431D7FD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7646FAF" w14:textId="77777777" w:rsidR="003F0440" w:rsidRPr="00CD7E27" w:rsidRDefault="003F0440" w:rsidP="002D126B">
            <w:pPr>
              <w:pStyle w:val="TableText"/>
              <w:rPr>
                <w:b/>
              </w:rPr>
            </w:pPr>
            <w:r w:rsidRPr="00CD7E27">
              <w:rPr>
                <w:b/>
              </w:rPr>
              <w:t>Exception Report</w:t>
            </w:r>
          </w:p>
        </w:tc>
      </w:tr>
      <w:tr w:rsidR="003F0440" w:rsidRPr="00725902" w14:paraId="3EDA710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BD3656" w14:textId="77777777" w:rsidR="003F0440" w:rsidRPr="00725902" w:rsidRDefault="00B97396" w:rsidP="002D126B">
            <w:pPr>
              <w:pStyle w:val="TableText"/>
            </w:pPr>
            <w:r>
              <w:t>VBECS does not accommodate online review (verification, signature) of reports.</w:t>
            </w:r>
          </w:p>
        </w:tc>
      </w:tr>
      <w:tr w:rsidR="006E2623" w:rsidRPr="00725902" w14:paraId="78C6C35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2F4068" w14:textId="77777777" w:rsidR="006E2623" w:rsidRDefault="006E2623" w:rsidP="002D126B">
            <w:pPr>
              <w:pStyle w:val="TableText"/>
            </w:pPr>
            <w:r>
              <w:t>Only the first twenty patient antigens will print on the report when an exception is generated for a unit issued with unsatisfied antigen negative requirements.</w:t>
            </w:r>
            <w:r w:rsidRPr="006E2623">
              <w:rPr>
                <w:vanish/>
              </w:rPr>
              <w:t xml:space="preserve"> DR 4820</w:t>
            </w:r>
          </w:p>
        </w:tc>
      </w:tr>
      <w:tr w:rsidR="00A570C0" w:rsidRPr="00725902" w14:paraId="010AF29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A89FE6" w14:textId="6B7A0EAC" w:rsidR="00A570C0" w:rsidRDefault="00A3133F" w:rsidP="002D126B">
            <w:pPr>
              <w:pStyle w:val="TableText"/>
            </w:pPr>
            <w:r>
              <w:t>In some areas of the report, the user ID is displayed instead of the user name.</w:t>
            </w:r>
            <w:r w:rsidR="00703803">
              <w:t xml:space="preserve"> </w:t>
            </w:r>
            <w:r w:rsidR="00703803" w:rsidRPr="00703803">
              <w:rPr>
                <w:vanish/>
              </w:rPr>
              <w:t>Defect 209133</w:t>
            </w:r>
          </w:p>
        </w:tc>
      </w:tr>
      <w:tr w:rsidR="00E04548" w:rsidRPr="00725902" w14:paraId="5FC89D8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7DEF779" w14:textId="68D697A4" w:rsidR="00E04548" w:rsidRDefault="00E04548" w:rsidP="002D126B">
            <w:pPr>
              <w:pStyle w:val="TableText"/>
            </w:pPr>
            <w:r>
              <w:t xml:space="preserve">Not all exception types use the date and time of the save as the date and time of the exception. </w:t>
            </w:r>
            <w:r w:rsidRPr="00E04548">
              <w:rPr>
                <w:vanish/>
              </w:rPr>
              <w:t>Defect 208987</w:t>
            </w:r>
          </w:p>
        </w:tc>
      </w:tr>
    </w:tbl>
    <w:p w14:paraId="7C40366B" w14:textId="77777777" w:rsidR="00142675" w:rsidRDefault="00142675"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484"/>
        <w:gridCol w:w="5336"/>
        <w:gridCol w:w="3056"/>
        <w:gridCol w:w="484"/>
      </w:tblGrid>
      <w:tr w:rsidR="003F0440" w:rsidRPr="00725902" w14:paraId="14193451" w14:textId="77777777">
        <w:trPr>
          <w:cantSplit/>
          <w:tblHeader/>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B3B3B3"/>
            <w:vAlign w:val="bottom"/>
          </w:tcPr>
          <w:p w14:paraId="02B926FC" w14:textId="77777777" w:rsidR="003F0440" w:rsidRPr="00D65A81" w:rsidRDefault="003F0440" w:rsidP="002D126B">
            <w:pPr>
              <w:pStyle w:val="TableText"/>
              <w:rPr>
                <w:b/>
              </w:rPr>
            </w:pPr>
            <w:r w:rsidRPr="00D65A81">
              <w:rPr>
                <w:b/>
              </w:rPr>
              <w:t>Finalize/Print TRW</w:t>
            </w:r>
          </w:p>
        </w:tc>
      </w:tr>
      <w:tr w:rsidR="003F0440" w:rsidRPr="00725902" w14:paraId="53C505F8"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vAlign w:val="bottom"/>
          </w:tcPr>
          <w:p w14:paraId="25F8C5B2" w14:textId="6735254F" w:rsidR="003F0440" w:rsidRPr="00725902" w:rsidRDefault="00142675" w:rsidP="002D126B">
            <w:pPr>
              <w:pStyle w:val="TableText"/>
            </w:pPr>
            <w:r>
              <w:t>The user cannot</w:t>
            </w:r>
            <w:r w:rsidRPr="00D23EF9">
              <w:t xml:space="preserve"> invalidate </w:t>
            </w:r>
            <w:r>
              <w:t xml:space="preserve">or change </w:t>
            </w:r>
            <w:r w:rsidRPr="00D23EF9">
              <w:t>a finalized TRW.</w:t>
            </w:r>
            <w:r w:rsidR="00C230C9">
              <w:t xml:space="preserve"> Contact the Service</w:t>
            </w:r>
            <w:r>
              <w:t xml:space="preserve"> Desk if a TRW needs to be updated after finalization.</w:t>
            </w:r>
          </w:p>
        </w:tc>
      </w:tr>
      <w:tr w:rsidR="003F0440" w:rsidRPr="00725902" w14:paraId="5FD073BE"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auto"/>
            <w:vAlign w:val="bottom"/>
          </w:tcPr>
          <w:p w14:paraId="4882DFCC" w14:textId="77777777" w:rsidR="003F0440" w:rsidRDefault="003F0440" w:rsidP="002D126B">
            <w:pPr>
              <w:pStyle w:val="TableText"/>
            </w:pPr>
            <w:r>
              <w:t>Transfusion reaction reports are not available to clinicians through CPRS: they must be printed and filed with patient charts.</w:t>
            </w:r>
          </w:p>
        </w:tc>
      </w:tr>
      <w:tr w:rsidR="00D03D1B" w:rsidRPr="00725902" w14:paraId="3BFAF5A3"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auto"/>
            <w:vAlign w:val="bottom"/>
          </w:tcPr>
          <w:p w14:paraId="26F91081" w14:textId="5F657657" w:rsidR="00D03D1B" w:rsidRDefault="00D03D1B" w:rsidP="00D03D1B">
            <w:pPr>
              <w:pStyle w:val="TableText"/>
            </w:pPr>
            <w:r>
              <w:t xml:space="preserve">There is no scroll bar on the TRW Serologic Tests tab. This limits the number of visible implicated units to ten (10). When more than ten (10) units are implicated in the transfusion reaction, order additional TRW test(s) as required. </w:t>
            </w:r>
            <w:r w:rsidRPr="00780C90">
              <w:rPr>
                <w:vanish/>
              </w:rPr>
              <w:t>Defect 577597</w:t>
            </w:r>
          </w:p>
        </w:tc>
      </w:tr>
      <w:tr w:rsidR="00C26EE9" w:rsidRPr="00725902" w14:paraId="0A4C89AC" w14:textId="77777777">
        <w:trPr>
          <w:cantSplit/>
        </w:trPr>
        <w:tc>
          <w:tcPr>
            <w:tcW w:w="9360" w:type="dxa"/>
            <w:gridSpan w:val="4"/>
            <w:tcBorders>
              <w:top w:val="single" w:sz="6" w:space="0" w:color="000000"/>
              <w:left w:val="single" w:sz="6" w:space="0" w:color="000000"/>
              <w:bottom w:val="nil"/>
              <w:right w:val="single" w:sz="6" w:space="0" w:color="000000"/>
            </w:tcBorders>
            <w:shd w:val="clear" w:color="auto" w:fill="auto"/>
            <w:vAlign w:val="bottom"/>
          </w:tcPr>
          <w:p w14:paraId="5AF529AC" w14:textId="77777777" w:rsidR="00C26EE9" w:rsidRDefault="00C26EE9" w:rsidP="002D126B">
            <w:pPr>
              <w:pStyle w:val="TableText"/>
            </w:pPr>
            <w:r>
              <w:t>VBECS displays these default values for transfusion reactions converted from VistA to VBECS. They do not reflect actual interpretations or results:</w:t>
            </w:r>
            <w:r>
              <w:rPr>
                <w:vanish/>
              </w:rPr>
              <w:t xml:space="preserve"> (DR 2,</w:t>
            </w:r>
            <w:r w:rsidRPr="00FF5006">
              <w:rPr>
                <w:vanish/>
              </w:rPr>
              <w:t>724)</w:t>
            </w:r>
          </w:p>
        </w:tc>
      </w:tr>
      <w:tr w:rsidR="00C26EE9" w:rsidRPr="00725902" w14:paraId="30B73F29" w14:textId="77777777">
        <w:trPr>
          <w:cantSplit/>
        </w:trPr>
        <w:tc>
          <w:tcPr>
            <w:tcW w:w="484" w:type="dxa"/>
            <w:vMerge w:val="restart"/>
            <w:tcBorders>
              <w:top w:val="nil"/>
              <w:left w:val="single" w:sz="6" w:space="0" w:color="000000"/>
              <w:bottom w:val="single" w:sz="6" w:space="0" w:color="000000"/>
              <w:right w:val="single" w:sz="6" w:space="0" w:color="000000"/>
            </w:tcBorders>
            <w:shd w:val="clear" w:color="auto" w:fill="auto"/>
          </w:tcPr>
          <w:p w14:paraId="354A4B53" w14:textId="77777777" w:rsidR="00C26EE9" w:rsidRPr="00FF5006" w:rsidRDefault="00C26EE9" w:rsidP="003F40DD">
            <w:pPr>
              <w:pStyle w:val="TableText"/>
              <w:rPr>
                <w:b/>
              </w:rPr>
            </w:pPr>
          </w:p>
        </w:tc>
        <w:tc>
          <w:tcPr>
            <w:tcW w:w="5336" w:type="dxa"/>
            <w:tcBorders>
              <w:top w:val="single" w:sz="6" w:space="0" w:color="000000"/>
              <w:left w:val="single" w:sz="6" w:space="0" w:color="000000"/>
              <w:bottom w:val="single" w:sz="6" w:space="0" w:color="000000"/>
              <w:right w:val="single" w:sz="6" w:space="0" w:color="000000"/>
            </w:tcBorders>
            <w:shd w:val="clear" w:color="auto" w:fill="B3B3B3"/>
          </w:tcPr>
          <w:p w14:paraId="7E387FB2" w14:textId="77777777" w:rsidR="00C26EE9" w:rsidRPr="00FF5006" w:rsidRDefault="00C26EE9" w:rsidP="003F40DD">
            <w:pPr>
              <w:pStyle w:val="TableText"/>
              <w:rPr>
                <w:b/>
              </w:rPr>
            </w:pPr>
            <w:r w:rsidRPr="00FF5006">
              <w:rPr>
                <w:b/>
              </w:rPr>
              <w:t>Converted Transfusion Reaction</w:t>
            </w:r>
          </w:p>
        </w:tc>
        <w:tc>
          <w:tcPr>
            <w:tcW w:w="3056" w:type="dxa"/>
            <w:tcBorders>
              <w:top w:val="single" w:sz="6" w:space="0" w:color="000000"/>
              <w:left w:val="single" w:sz="6" w:space="0" w:color="000000"/>
              <w:bottom w:val="single" w:sz="6" w:space="0" w:color="000000"/>
              <w:right w:val="single" w:sz="6" w:space="0" w:color="000000"/>
            </w:tcBorders>
            <w:shd w:val="clear" w:color="auto" w:fill="B3B3B3"/>
          </w:tcPr>
          <w:p w14:paraId="5887D9FB" w14:textId="77777777" w:rsidR="00C26EE9" w:rsidRPr="00FF5006" w:rsidRDefault="00C26EE9" w:rsidP="003F40DD">
            <w:pPr>
              <w:pStyle w:val="TableText"/>
              <w:rPr>
                <w:b/>
              </w:rPr>
            </w:pPr>
            <w:r w:rsidRPr="00FF5006">
              <w:rPr>
                <w:b/>
              </w:rPr>
              <w:t>Default</w:t>
            </w:r>
          </w:p>
        </w:tc>
        <w:tc>
          <w:tcPr>
            <w:tcW w:w="484" w:type="dxa"/>
            <w:vMerge w:val="restart"/>
            <w:tcBorders>
              <w:top w:val="nil"/>
              <w:left w:val="single" w:sz="6" w:space="0" w:color="000000"/>
              <w:bottom w:val="single" w:sz="6" w:space="0" w:color="000000"/>
              <w:right w:val="single" w:sz="6" w:space="0" w:color="000000"/>
            </w:tcBorders>
            <w:shd w:val="clear" w:color="auto" w:fill="auto"/>
          </w:tcPr>
          <w:p w14:paraId="6EC25802" w14:textId="77777777" w:rsidR="00C26EE9" w:rsidRPr="00FF5006" w:rsidRDefault="00C26EE9" w:rsidP="003F40DD">
            <w:pPr>
              <w:pStyle w:val="TableText"/>
              <w:rPr>
                <w:b/>
              </w:rPr>
            </w:pPr>
          </w:p>
        </w:tc>
      </w:tr>
      <w:tr w:rsidR="00C26EE9" w:rsidRPr="00725902" w14:paraId="1DA0E88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00FEDA3F"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C0747E7" w14:textId="77777777" w:rsidR="00C26EE9" w:rsidRDefault="00C26EE9" w:rsidP="003F40DD">
            <w:pPr>
              <w:pStyle w:val="TableText"/>
            </w:pPr>
            <w:r>
              <w:t xml:space="preserve">Pre-Transfusion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4E5E386B" w14:textId="77777777" w:rsidR="00C26EE9" w:rsidRDefault="00C26EE9"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0FA73B76" w14:textId="77777777" w:rsidR="00C26EE9" w:rsidRDefault="00C26EE9" w:rsidP="003F40DD">
            <w:pPr>
              <w:pStyle w:val="TableText"/>
            </w:pPr>
          </w:p>
        </w:tc>
      </w:tr>
      <w:tr w:rsidR="00C26EE9" w:rsidRPr="00725902" w14:paraId="6A39259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410426AE"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574CB32E" w14:textId="77777777" w:rsidR="00C26EE9" w:rsidRDefault="00C26EE9" w:rsidP="003F40DD">
            <w:pPr>
              <w:pStyle w:val="TableText"/>
            </w:pPr>
            <w:r>
              <w:t xml:space="preserve">Post-Transfusion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482E0FA" w14:textId="77777777" w:rsidR="00C26EE9" w:rsidRDefault="00C26EE9"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1BFD9490" w14:textId="77777777" w:rsidR="00C26EE9" w:rsidRDefault="00C26EE9" w:rsidP="003F40DD">
            <w:pPr>
              <w:pStyle w:val="TableText"/>
            </w:pPr>
          </w:p>
        </w:tc>
      </w:tr>
      <w:tr w:rsidR="00C26EE9" w:rsidRPr="00725902" w14:paraId="2F8A1ED4"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2D62E991"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6A73ADD" w14:textId="77777777" w:rsidR="00C26EE9" w:rsidRDefault="00D35B68" w:rsidP="003F40DD">
            <w:pPr>
              <w:pStyle w:val="TableText"/>
            </w:pPr>
            <w:r>
              <w:t>Symptom</w:t>
            </w:r>
            <w:r w:rsidR="00C26EE9">
              <w: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188A0C4D" w14:textId="77777777" w:rsidR="00C26EE9" w:rsidRDefault="00C26EE9" w:rsidP="003F40DD">
            <w:pPr>
              <w:pStyle w:val="TableText"/>
            </w:pPr>
            <w:r>
              <w:t>No symptoms identified.</w:t>
            </w:r>
          </w:p>
        </w:tc>
        <w:tc>
          <w:tcPr>
            <w:tcW w:w="484" w:type="dxa"/>
            <w:vMerge/>
            <w:tcBorders>
              <w:top w:val="nil"/>
              <w:left w:val="single" w:sz="6" w:space="0" w:color="000000"/>
              <w:bottom w:val="single" w:sz="6" w:space="0" w:color="000000"/>
              <w:right w:val="single" w:sz="6" w:space="0" w:color="000000"/>
            </w:tcBorders>
            <w:shd w:val="clear" w:color="auto" w:fill="auto"/>
          </w:tcPr>
          <w:p w14:paraId="03069B8D" w14:textId="77777777" w:rsidR="00C26EE9" w:rsidRDefault="00C26EE9" w:rsidP="003F40DD">
            <w:pPr>
              <w:pStyle w:val="TableText"/>
            </w:pPr>
          </w:p>
        </w:tc>
      </w:tr>
      <w:tr w:rsidR="00C26EE9" w:rsidRPr="00725902" w14:paraId="1BADA70D"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0CD841B"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751EF87" w14:textId="77777777" w:rsidR="00C26EE9" w:rsidRDefault="00C26EE9" w:rsidP="003F40DD">
            <w:pPr>
              <w:pStyle w:val="TableText"/>
            </w:pPr>
            <w:r>
              <w:t>Implicated units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2D5EE137" w14:textId="77777777" w:rsidR="00C26EE9" w:rsidRDefault="00C26EE9" w:rsidP="003F40DD">
            <w:pPr>
              <w:pStyle w:val="TableText"/>
            </w:pPr>
            <w:r>
              <w:t>No units implicated in reaction.</w:t>
            </w:r>
          </w:p>
        </w:tc>
        <w:tc>
          <w:tcPr>
            <w:tcW w:w="484" w:type="dxa"/>
            <w:vMerge/>
            <w:tcBorders>
              <w:top w:val="nil"/>
              <w:left w:val="single" w:sz="6" w:space="0" w:color="000000"/>
              <w:bottom w:val="single" w:sz="6" w:space="0" w:color="000000"/>
              <w:right w:val="single" w:sz="6" w:space="0" w:color="000000"/>
            </w:tcBorders>
            <w:shd w:val="clear" w:color="auto" w:fill="auto"/>
          </w:tcPr>
          <w:p w14:paraId="2BF2C649" w14:textId="77777777" w:rsidR="00C26EE9" w:rsidRDefault="00C26EE9" w:rsidP="003F40DD">
            <w:pPr>
              <w:pStyle w:val="TableText"/>
            </w:pPr>
          </w:p>
        </w:tc>
      </w:tr>
      <w:tr w:rsidR="00C26EE9" w:rsidRPr="00725902" w14:paraId="4361A692"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FEE70F7"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2970AC5E" w14:textId="77777777" w:rsidR="00C26EE9" w:rsidRDefault="00C26EE9" w:rsidP="003F40DD">
            <w:pPr>
              <w:pStyle w:val="TableText"/>
            </w:pPr>
            <w:r>
              <w:t>Serologic tests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629156B5" w14:textId="77777777" w:rsidR="00C26EE9" w:rsidRDefault="00C26EE9" w:rsidP="003F40DD">
            <w:pPr>
              <w:pStyle w:val="TableText"/>
            </w:pPr>
            <w:r>
              <w:t>No serologic tests performed.</w:t>
            </w:r>
          </w:p>
        </w:tc>
        <w:tc>
          <w:tcPr>
            <w:tcW w:w="484" w:type="dxa"/>
            <w:vMerge/>
            <w:tcBorders>
              <w:top w:val="nil"/>
              <w:left w:val="single" w:sz="6" w:space="0" w:color="000000"/>
              <w:bottom w:val="single" w:sz="6" w:space="0" w:color="000000"/>
              <w:right w:val="single" w:sz="6" w:space="0" w:color="000000"/>
            </w:tcBorders>
            <w:shd w:val="clear" w:color="auto" w:fill="auto"/>
          </w:tcPr>
          <w:p w14:paraId="7CB83F4F" w14:textId="77777777" w:rsidR="00C26EE9" w:rsidRDefault="00C26EE9" w:rsidP="003F40DD">
            <w:pPr>
              <w:pStyle w:val="TableText"/>
            </w:pPr>
          </w:p>
        </w:tc>
      </w:tr>
    </w:tbl>
    <w:p w14:paraId="14400609"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2914EAB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7343652" w14:textId="77777777" w:rsidR="003F0440" w:rsidRPr="00D65A81" w:rsidRDefault="003F0440" w:rsidP="002D126B">
            <w:pPr>
              <w:pStyle w:val="TableText"/>
              <w:rPr>
                <w:b/>
              </w:rPr>
            </w:pPr>
            <w:r w:rsidRPr="00D65A81">
              <w:rPr>
                <w:b/>
              </w:rPr>
              <w:t>Free Directed Unit For Crossover</w:t>
            </w:r>
          </w:p>
        </w:tc>
      </w:tr>
      <w:tr w:rsidR="003F0440" w:rsidRPr="00725902" w14:paraId="14F0FD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27C485E" w14:textId="77777777" w:rsidR="003F0440" w:rsidRPr="00725902" w:rsidRDefault="003F0440" w:rsidP="002D126B">
            <w:pPr>
              <w:pStyle w:val="TableText"/>
            </w:pPr>
            <w:r>
              <w:t xml:space="preserve">The unit must not be in a final status to release the restriction. </w:t>
            </w:r>
          </w:p>
        </w:tc>
      </w:tr>
      <w:tr w:rsidR="003F0440" w:rsidRPr="00725902" w14:paraId="5467808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2FE4BF" w14:textId="77777777" w:rsidR="003F0440" w:rsidRPr="00725902" w:rsidRDefault="003F0440" w:rsidP="002D126B">
            <w:pPr>
              <w:pStyle w:val="TableText"/>
            </w:pPr>
            <w:r>
              <w:t>This option does not allow the removal of patient restrictions for most of the ISBT donation types that are eligible for crossover.</w:t>
            </w:r>
          </w:p>
        </w:tc>
      </w:tr>
      <w:tr w:rsidR="003F0440" w:rsidRPr="00725902" w14:paraId="31A3588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BB8328" w14:textId="77777777" w:rsidR="003F0440" w:rsidRPr="00725902" w:rsidRDefault="003F0440" w:rsidP="002D126B">
            <w:pPr>
              <w:pStyle w:val="TableText"/>
            </w:pPr>
            <w:r>
              <w:t>This option cannot process multiple directed units simultaneously.</w:t>
            </w:r>
          </w:p>
        </w:tc>
      </w:tr>
    </w:tbl>
    <w:p w14:paraId="6287A8A0"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4EC2129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95CF8D1" w14:textId="77777777" w:rsidR="003F0440" w:rsidRPr="007540C1" w:rsidRDefault="003F0440" w:rsidP="002D126B">
            <w:pPr>
              <w:pStyle w:val="TableText"/>
              <w:rPr>
                <w:b/>
              </w:rPr>
            </w:pPr>
            <w:r w:rsidRPr="007540C1">
              <w:rPr>
                <w:b/>
              </w:rPr>
              <w:t>Incoming Shipment</w:t>
            </w:r>
          </w:p>
        </w:tc>
      </w:tr>
      <w:tr w:rsidR="003F0440" w:rsidRPr="00725902" w14:paraId="67301D7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650DCB7" w14:textId="77777777" w:rsidR="003F0440" w:rsidRPr="00725902" w:rsidRDefault="003F0440" w:rsidP="002D126B">
            <w:pPr>
              <w:pStyle w:val="TableText"/>
            </w:pPr>
            <w:r>
              <w:t>VBECS d</w:t>
            </w:r>
            <w:r w:rsidRPr="00F862E5">
              <w:t xml:space="preserve">oes not </w:t>
            </w:r>
            <w:r>
              <w:t>compare</w:t>
            </w:r>
            <w:r w:rsidRPr="00F862E5">
              <w:t xml:space="preserve"> </w:t>
            </w:r>
            <w:r>
              <w:t xml:space="preserve">the ABO/Rh </w:t>
            </w:r>
            <w:r w:rsidRPr="00F862E5">
              <w:t xml:space="preserve">of </w:t>
            </w:r>
            <w:r>
              <w:t>an</w:t>
            </w:r>
            <w:r w:rsidRPr="00F862E5">
              <w:t xml:space="preserve"> </w:t>
            </w:r>
            <w:r>
              <w:t>a</w:t>
            </w:r>
            <w:r w:rsidRPr="00F862E5">
              <w:t xml:space="preserve">utologous unit </w:t>
            </w:r>
            <w:r>
              <w:t xml:space="preserve">or display a message when the ABO/Rh </w:t>
            </w:r>
            <w:r w:rsidRPr="00F862E5">
              <w:t xml:space="preserve">is incompatible with the </w:t>
            </w:r>
            <w:r>
              <w:t>r</w:t>
            </w:r>
            <w:r w:rsidRPr="00F862E5">
              <w:t xml:space="preserve">estricted </w:t>
            </w:r>
            <w:r>
              <w:t>f</w:t>
            </w:r>
            <w:r w:rsidRPr="00F862E5">
              <w:t>or patient</w:t>
            </w:r>
            <w:r>
              <w:t>.</w:t>
            </w:r>
          </w:p>
        </w:tc>
      </w:tr>
      <w:tr w:rsidR="00A06C7F" w:rsidRPr="00725902" w14:paraId="54899B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BE8296A" w14:textId="63D6F4A8" w:rsidR="00A06C7F" w:rsidRPr="009212B0" w:rsidRDefault="00A06C7F" w:rsidP="005364D9">
            <w:pPr>
              <w:pStyle w:val="TableText"/>
            </w:pPr>
            <w:r w:rsidRPr="009A667D">
              <w:lastRenderedPageBreak/>
              <w:t>When a product type, code, or</w:t>
            </w:r>
            <w:r w:rsidRPr="009A667D">
              <w:rPr>
                <w:i/>
              </w:rPr>
              <w:t xml:space="preserve"> </w:t>
            </w:r>
            <w:r w:rsidRPr="009A667D">
              <w:t>local code is not in</w:t>
            </w:r>
            <w:r>
              <w:t xml:space="preserve"> VBECS or a blood supplier creates a product code, contact the </w:t>
            </w:r>
            <w:r w:rsidR="005364D9">
              <w:t>Service</w:t>
            </w:r>
            <w:r>
              <w:t xml:space="preserve"> Desk. See Customer Support for contact information.</w:t>
            </w:r>
          </w:p>
        </w:tc>
      </w:tr>
      <w:tr w:rsidR="00E85B7C" w:rsidRPr="00725902" w14:paraId="33828110"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E252ED5" w14:textId="77777777" w:rsidR="00E85B7C" w:rsidRPr="009A667D" w:rsidRDefault="00E85B7C" w:rsidP="005364D9">
            <w:pPr>
              <w:pStyle w:val="TableText"/>
            </w:pPr>
            <w:r>
              <w:t>The user may not save the unit record until the donation type and its requirements are satisfied.</w:t>
            </w:r>
          </w:p>
        </w:tc>
      </w:tr>
      <w:tr w:rsidR="00E85B7C" w:rsidRPr="00725902" w14:paraId="3C7BE75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9E1AEE" w14:textId="77777777" w:rsidR="00E85B7C" w:rsidRDefault="00E85B7C" w:rsidP="005364D9">
            <w:pPr>
              <w:pStyle w:val="TableText"/>
            </w:pPr>
            <w:r>
              <w:t>No longer supports the entry of blood products labeled in Codabar label type to new or existing invoices.</w:t>
            </w:r>
          </w:p>
        </w:tc>
      </w:tr>
      <w:tr w:rsidR="00E57D56" w:rsidRPr="00725902" w14:paraId="75700E3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65D382" w14:textId="012F3DDB" w:rsidR="00E57D56" w:rsidRPr="009212B0" w:rsidRDefault="00E57D56" w:rsidP="00E57D56">
            <w:pPr>
              <w:pStyle w:val="TableText"/>
            </w:pPr>
            <w:r>
              <w:t>T</w:t>
            </w:r>
            <w:r w:rsidRPr="008C1BD3">
              <w:t xml:space="preserve">he </w:t>
            </w:r>
            <w:r>
              <w:t>unit expiration [</w:t>
            </w:r>
            <w:r w:rsidRPr="008C1BD3">
              <w:t>Maximum Storage Time (MST)</w:t>
            </w:r>
            <w:r>
              <w:t>]</w:t>
            </w:r>
            <w:r w:rsidRPr="008C1BD3">
              <w:t xml:space="preserve"> is set to the longest possible storage time based on product type, core </w:t>
            </w:r>
            <w:r w:rsidR="00AE3B37" w:rsidRPr="008C1BD3">
              <w:t>condition, attributes</w:t>
            </w:r>
            <w:r w:rsidRPr="008C1BD3">
              <w:t>, and available references as a guide. The MST is set at a higher leve</w:t>
            </w:r>
            <w:r>
              <w:t>l</w:t>
            </w:r>
            <w:r w:rsidRPr="008C1BD3">
              <w:t xml:space="preserve"> than an individual collection product code. VBECS does not know the specific collection details.  It is the </w:t>
            </w:r>
            <w:r w:rsidR="004E2AB6" w:rsidRPr="008C1BD3">
              <w:t>responsibility</w:t>
            </w:r>
            <w:r w:rsidRPr="008C1BD3">
              <w:t xml:space="preserve"> of each user to accurately enter and process any one blood unit based on its expiration date/time as labeled by the collection facility.</w:t>
            </w:r>
            <w:r w:rsidRPr="00E57D56">
              <w:t xml:space="preserve"> </w:t>
            </w:r>
            <w:r w:rsidRPr="00E57D56">
              <w:rPr>
                <w:vanish/>
              </w:rPr>
              <w:t>Task 1280</w:t>
            </w:r>
          </w:p>
        </w:tc>
      </w:tr>
      <w:tr w:rsidR="0000455C" w:rsidRPr="00725902" w14:paraId="5C1BFCB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DD8AA0" w14:textId="77777777" w:rsidR="0000455C" w:rsidRPr="009212B0" w:rsidRDefault="0000455C" w:rsidP="00E85B7C">
            <w:pPr>
              <w:pStyle w:val="TableText"/>
            </w:pPr>
            <w:r>
              <w:t xml:space="preserve">When a user inadvertently enters a unit ID that is longer than </w:t>
            </w:r>
            <w:r w:rsidR="00E85B7C">
              <w:t xml:space="preserve">13 characters for </w:t>
            </w:r>
            <w:r>
              <w:t>an ISBT 128 unit, VBECS accepts the entry but will not associate it with the scanned unit ID.</w:t>
            </w:r>
            <w:r w:rsidRPr="0000455C">
              <w:rPr>
                <w:vanish/>
              </w:rPr>
              <w:t xml:space="preserve"> DR 2,671</w:t>
            </w:r>
          </w:p>
        </w:tc>
      </w:tr>
      <w:tr w:rsidR="002F3BCC" w:rsidRPr="00725902" w14:paraId="676A40F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BA8AC4" w14:textId="77777777" w:rsidR="002F3BCC" w:rsidRDefault="002F3BCC" w:rsidP="002F3BCC">
            <w:pPr>
              <w:pStyle w:val="TableText"/>
            </w:pPr>
            <w:r>
              <w:t>The display of Special Testing for a unit is limited to 253 characters in Incoming Shipment. All of the special testing is saved in VBECS and is available on reports.</w:t>
            </w:r>
            <w:r w:rsidRPr="002F3BCC">
              <w:rPr>
                <w:vanish/>
              </w:rPr>
              <w:t xml:space="preserve"> DR 3781</w:t>
            </w:r>
          </w:p>
        </w:tc>
      </w:tr>
      <w:tr w:rsidR="004D0C24" w:rsidRPr="00725902" w14:paraId="4A0A358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24B33AC" w14:textId="77777777" w:rsidR="004D0C24" w:rsidRPr="004D0C24" w:rsidRDefault="004D0C24" w:rsidP="002D126B">
            <w:pPr>
              <w:pStyle w:val="TableText"/>
            </w:pPr>
            <w:r>
              <w:t xml:space="preserve">The display label that is built when logging a blood product into VBECS does not change from volunteer donor to autologous when the donation type is changed. </w:t>
            </w:r>
            <w:r>
              <w:rPr>
                <w:vanish/>
              </w:rPr>
              <w:t>DR 3041</w:t>
            </w:r>
          </w:p>
        </w:tc>
      </w:tr>
      <w:tr w:rsidR="003F0440" w:rsidRPr="00725902" w14:paraId="45082B2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4B59455" w14:textId="77777777" w:rsidR="003F0440" w:rsidRPr="00725902" w:rsidRDefault="003F0440" w:rsidP="002D126B">
            <w:pPr>
              <w:pStyle w:val="TableText"/>
            </w:pPr>
            <w:r w:rsidRPr="009212B0">
              <w:t>When blood products intended for quarantine are scanned, VBECS does not automatically quarantine them: the user must do so.</w:t>
            </w:r>
          </w:p>
        </w:tc>
      </w:tr>
      <w:tr w:rsidR="003F0440" w:rsidRPr="00725902" w14:paraId="72FCF6C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56BC8A3" w14:textId="77777777" w:rsidR="003F0440" w:rsidRPr="009212B0" w:rsidRDefault="003F0440" w:rsidP="002D126B">
            <w:pPr>
              <w:pStyle w:val="TableText"/>
            </w:pPr>
            <w:r w:rsidRPr="00E032D7">
              <w:t xml:space="preserve">VBECS </w:t>
            </w:r>
            <w:r>
              <w:t xml:space="preserve">does not accept scanned information for some modified ISBT 128 </w:t>
            </w:r>
            <w:r w:rsidRPr="00E032D7">
              <w:t>blood units</w:t>
            </w:r>
            <w:r>
              <w:t>. VBECS accepts entered information in these instances.</w:t>
            </w:r>
            <w:r w:rsidRPr="00E032D7">
              <w:rPr>
                <w:vanish/>
              </w:rPr>
              <w:t>UserDoc Task 1085, based on CR 1594 (deferred)</w:t>
            </w:r>
            <w:r w:rsidRPr="006805FF">
              <w:rPr>
                <w:vanish/>
              </w:rPr>
              <w:t xml:space="preserve"> UserDoc Task 1091, based on DR 1922</w:t>
            </w:r>
          </w:p>
        </w:tc>
      </w:tr>
      <w:tr w:rsidR="003F0440" w:rsidRPr="00725902" w14:paraId="5AB02FA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93D06F" w14:textId="77777777" w:rsidR="003F0440" w:rsidRPr="00725902" w:rsidRDefault="001C6E63" w:rsidP="002D126B">
            <w:pPr>
              <w:pStyle w:val="TableText"/>
            </w:pPr>
            <w:r>
              <w:t>VBECS does not recognize</w:t>
            </w:r>
            <w:r w:rsidR="003F0440" w:rsidRPr="009212B0">
              <w:t xml:space="preserve"> scan</w:t>
            </w:r>
            <w:r>
              <w:t>ned</w:t>
            </w:r>
            <w:r w:rsidR="003F0440" w:rsidRPr="009212B0">
              <w:t xml:space="preserve"> labels for </w:t>
            </w:r>
            <w:r w:rsidR="003F0440">
              <w:t>para-Bombay or B</w:t>
            </w:r>
            <w:r w:rsidR="003F0440" w:rsidRPr="009212B0">
              <w:t>ombay ISBT units.</w:t>
            </w:r>
          </w:p>
        </w:tc>
      </w:tr>
      <w:tr w:rsidR="003F0440" w:rsidRPr="00725902" w14:paraId="16C20BE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421FBB5" w14:textId="77777777" w:rsidR="003F0440" w:rsidRPr="00725902" w:rsidRDefault="003F0440" w:rsidP="002D126B">
            <w:pPr>
              <w:pStyle w:val="TableText"/>
            </w:pPr>
            <w:r w:rsidRPr="009212B0">
              <w:t>VBECS does not check whether blood products with the same unit ID and different product codes are the same blood type.</w:t>
            </w:r>
          </w:p>
        </w:tc>
      </w:tr>
      <w:tr w:rsidR="003F0440" w:rsidRPr="00725902" w14:paraId="524E381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D4F326D" w14:textId="77777777" w:rsidR="003F0440" w:rsidRPr="00725902" w:rsidRDefault="003F0440" w:rsidP="002D126B">
            <w:pPr>
              <w:pStyle w:val="TableText"/>
            </w:pPr>
            <w:r w:rsidRPr="009212B0">
              <w:t>A site may receive duplicate unit IDs. VBECS cannot ensure that these IDs represent products from the same donor.</w:t>
            </w:r>
          </w:p>
        </w:tc>
      </w:tr>
      <w:tr w:rsidR="003F0440" w:rsidRPr="00725902" w14:paraId="078A647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DCAC8E9" w14:textId="77777777" w:rsidR="003F0440" w:rsidRPr="00725902" w:rsidRDefault="003F0440" w:rsidP="002D126B">
            <w:pPr>
              <w:pStyle w:val="TableText"/>
            </w:pPr>
            <w:r>
              <w:t>When a user scans a p</w:t>
            </w:r>
            <w:r w:rsidRPr="00452BA4">
              <w:t xml:space="preserve">roduct </w:t>
            </w:r>
            <w:r>
              <w:t>c</w:t>
            </w:r>
            <w:r w:rsidRPr="00452BA4">
              <w:t xml:space="preserve">ode </w:t>
            </w:r>
            <w:r>
              <w:t>or</w:t>
            </w:r>
            <w:r w:rsidRPr="00452BA4">
              <w:t xml:space="preserve"> </w:t>
            </w:r>
            <w:r>
              <w:t>e</w:t>
            </w:r>
            <w:r w:rsidRPr="00452BA4">
              <w:t xml:space="preserve">xpiration </w:t>
            </w:r>
            <w:r>
              <w:t>d</w:t>
            </w:r>
            <w:r w:rsidRPr="00452BA4">
              <w:t>ate barcode in the Unit ID field</w:t>
            </w:r>
            <w:r>
              <w:t>, VBECS does not display the entered information or an</w:t>
            </w:r>
            <w:r w:rsidRPr="00452BA4">
              <w:t xml:space="preserve"> error icon. </w:t>
            </w:r>
          </w:p>
        </w:tc>
      </w:tr>
      <w:tr w:rsidR="003F0440" w:rsidRPr="00725902" w14:paraId="38B103E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3D108E" w14:textId="77777777" w:rsidR="003F0440" w:rsidRPr="00725902" w:rsidRDefault="003F0440" w:rsidP="002D126B">
            <w:pPr>
              <w:pStyle w:val="TableText"/>
            </w:pPr>
            <w:r w:rsidRPr="00DC22C9">
              <w:t xml:space="preserve">When </w:t>
            </w:r>
            <w:r>
              <w:t>a user scans an ISBT product ID with “0” as the donation type (sixth character), VBECS indicates that the donation type is not specified. When the user selects a donation type from</w:t>
            </w:r>
            <w:r w:rsidRPr="00DC22C9">
              <w:t xml:space="preserve"> the </w:t>
            </w:r>
            <w:r w:rsidR="005131BC">
              <w:t>drop-down</w:t>
            </w:r>
            <w:r w:rsidRPr="00DC22C9">
              <w:t xml:space="preserve"> </w:t>
            </w:r>
            <w:r>
              <w:t xml:space="preserve">menu, VBECS replaces “0” with a recognizable </w:t>
            </w:r>
            <w:r w:rsidRPr="00DC22C9">
              <w:t>character in the product code text box and store</w:t>
            </w:r>
            <w:r>
              <w:t>s it as such</w:t>
            </w:r>
            <w:r w:rsidRPr="00DC22C9">
              <w:t xml:space="preserve">. </w:t>
            </w:r>
            <w:r>
              <w:t xml:space="preserve">When the user rescans the product ID, he must </w:t>
            </w:r>
            <w:r w:rsidRPr="00DC22C9">
              <w:t xml:space="preserve">manually </w:t>
            </w:r>
            <w:r>
              <w:t>replace</w:t>
            </w:r>
            <w:r w:rsidRPr="00DC22C9">
              <w:t xml:space="preserve"> </w:t>
            </w:r>
            <w:r>
              <w:t>“0” or search using the unit ID alone, or the unit ID and the first five characters of the product ID</w:t>
            </w:r>
            <w:r w:rsidRPr="00DC22C9">
              <w:t>.</w:t>
            </w:r>
          </w:p>
        </w:tc>
      </w:tr>
      <w:tr w:rsidR="003F0440" w:rsidRPr="00725902" w14:paraId="2242BF7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F0B453" w14:textId="77777777" w:rsidR="003F0440" w:rsidRPr="00DC22C9" w:rsidRDefault="003F0440" w:rsidP="002D126B">
            <w:pPr>
              <w:pStyle w:val="TableText"/>
            </w:pPr>
            <w:r>
              <w:t>Blood product code entries in the blood product table include those from ICCBBA for ISBT 128. Product codes created after the release of VBECS cannot be entered until the updated tables are incorporated through patches to VBECS. Refuse acceptance of the unit, if possible.</w:t>
            </w:r>
            <w:r w:rsidR="003D71A3">
              <w:t xml:space="preserve"> </w:t>
            </w:r>
            <w:r>
              <w:t>U</w:t>
            </w:r>
            <w:r w:rsidRPr="009212B0">
              <w:t>ser</w:t>
            </w:r>
            <w:r>
              <w:t>s</w:t>
            </w:r>
            <w:r w:rsidRPr="009212B0">
              <w:t xml:space="preserve"> may not </w:t>
            </w:r>
            <w:r>
              <w:t>edit the blood product table.</w:t>
            </w:r>
          </w:p>
        </w:tc>
      </w:tr>
      <w:tr w:rsidR="003F0440" w:rsidRPr="00725902" w14:paraId="1B3C0FD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5B77CCF" w14:textId="77777777" w:rsidR="003F0440" w:rsidRPr="002F6D2F" w:rsidRDefault="003F0440" w:rsidP="002D126B">
            <w:pPr>
              <w:pStyle w:val="TableText"/>
            </w:pPr>
            <w:r>
              <w:t>ISBT 128 tables include blood product codes labeled as not for manufacturing or transfusion. VBECS does not restrict such products from being entered, issued, or transferred (l</w:t>
            </w:r>
            <w:r w:rsidR="00AA54D2">
              <w:t>ocal policy controls their use) and</w:t>
            </w:r>
            <w:r>
              <w:t xml:space="preserve"> does not accommodate blood modification for these products.</w:t>
            </w:r>
          </w:p>
        </w:tc>
      </w:tr>
      <w:tr w:rsidR="001C6E63" w:rsidRPr="00725902" w14:paraId="03EF51C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A3810F4" w14:textId="77777777" w:rsidR="001C6E63" w:rsidRDefault="001C6E63" w:rsidP="002D126B">
            <w:pPr>
              <w:pStyle w:val="TableText"/>
            </w:pPr>
            <w:r>
              <w:t xml:space="preserve">A user cannot bring in pooled ABO or pooled Rh types for plasma or FFP. </w:t>
            </w:r>
            <w:r w:rsidRPr="00A3263D">
              <w:t>Cryoprecipitate</w:t>
            </w:r>
            <w:r>
              <w:t xml:space="preserve"> is </w:t>
            </w:r>
            <w:r w:rsidRPr="00A3263D">
              <w:rPr>
                <w:b/>
              </w:rPr>
              <w:t>not</w:t>
            </w:r>
            <w:r>
              <w:t xml:space="preserve"> affected. </w:t>
            </w:r>
            <w:r w:rsidRPr="0013234C">
              <w:rPr>
                <w:vanish/>
              </w:rPr>
              <w:t>DR 4316</w:t>
            </w:r>
          </w:p>
        </w:tc>
      </w:tr>
      <w:tr w:rsidR="00155BBE" w:rsidRPr="00725902" w14:paraId="0B25EA73"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F214A23" w14:textId="0023B64C" w:rsidR="00155BBE" w:rsidRDefault="00155BBE" w:rsidP="002D126B">
            <w:pPr>
              <w:pStyle w:val="TableText"/>
            </w:pPr>
            <w:r>
              <w:t xml:space="preserve">No entry of an ICCBBA </w:t>
            </w:r>
            <w:r w:rsidRPr="00630C68">
              <w:t xml:space="preserve">Product Description Code </w:t>
            </w:r>
            <w:r>
              <w:t>starting with A, B, C, or D aka</w:t>
            </w:r>
            <w:r w:rsidRPr="00630C68">
              <w:t xml:space="preserve"> National or Local Codes A0000-D9999</w:t>
            </w:r>
            <w:r>
              <w:t>.</w:t>
            </w:r>
            <w:r w:rsidRPr="00630C68">
              <w:rPr>
                <w:i/>
              </w:rPr>
              <w:t xml:space="preserve"> If use of such a code is necessary for patient care, contact Service Desk and file a request fo</w:t>
            </w:r>
            <w:r>
              <w:rPr>
                <w:i/>
              </w:rPr>
              <w:t>r the code to be added to VBECS.</w:t>
            </w:r>
          </w:p>
        </w:tc>
      </w:tr>
    </w:tbl>
    <w:p w14:paraId="489FE710" w14:textId="5C80175F" w:rsidR="000E59E4" w:rsidRDefault="000E59E4" w:rsidP="00BF2429">
      <w:pPr>
        <w:pStyle w:val="TableText"/>
      </w:pPr>
    </w:p>
    <w:p w14:paraId="390D7CBE" w14:textId="77777777" w:rsidR="000E59E4" w:rsidRDefault="000E59E4">
      <w:pPr>
        <w:rPr>
          <w:rFonts w:ascii="Arial" w:hAnsi="Arial"/>
          <w:sz w:val="18"/>
        </w:rPr>
      </w:pPr>
      <w:r>
        <w:br w:type="page"/>
      </w:r>
    </w:p>
    <w:p w14:paraId="25B2EECE"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1F9CB4C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9702DE0" w14:textId="77777777" w:rsidR="003F0440" w:rsidRPr="00534C65" w:rsidRDefault="003F0440" w:rsidP="002D126B">
            <w:pPr>
              <w:pStyle w:val="TableText"/>
              <w:rPr>
                <w:b/>
              </w:rPr>
            </w:pPr>
            <w:r>
              <w:rPr>
                <w:b/>
              </w:rPr>
              <w:t>Invalidate Test Results</w:t>
            </w:r>
          </w:p>
        </w:tc>
      </w:tr>
      <w:tr w:rsidR="003F0440" w:rsidRPr="00725902" w14:paraId="2027019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9D01E4B" w14:textId="77777777" w:rsidR="003F0440" w:rsidRPr="00A610E7" w:rsidRDefault="003F0440" w:rsidP="002D126B">
            <w:pPr>
              <w:pStyle w:val="TableText"/>
            </w:pPr>
            <w:r>
              <w:t>A user may not inactivate a component task in this option.</w:t>
            </w:r>
          </w:p>
        </w:tc>
      </w:tr>
      <w:tr w:rsidR="003F0440" w:rsidRPr="00725902" w14:paraId="7735529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3747EE8" w14:textId="77777777" w:rsidR="003F0440" w:rsidRPr="00A610E7" w:rsidRDefault="003F0440" w:rsidP="002D126B">
            <w:pPr>
              <w:pStyle w:val="TableText"/>
            </w:pPr>
            <w:r>
              <w:t>This option does not release units from patient assignment. The user must release “assigned” units before invalidating the test results.</w:t>
            </w:r>
          </w:p>
        </w:tc>
      </w:tr>
      <w:tr w:rsidR="003F0440" w:rsidRPr="00725902" w14:paraId="5B6F41C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AE2932" w14:textId="77777777" w:rsidR="003F0440" w:rsidRPr="00A610E7" w:rsidRDefault="003F0440" w:rsidP="002D126B">
            <w:pPr>
              <w:pStyle w:val="TableText"/>
            </w:pPr>
            <w:r>
              <w:t>T</w:t>
            </w:r>
            <w:r w:rsidRPr="001B2013">
              <w:t xml:space="preserve">o </w:t>
            </w:r>
            <w:r>
              <w:t>maintain</w:t>
            </w:r>
            <w:r w:rsidRPr="001B2013">
              <w:t xml:space="preserve"> a clear record</w:t>
            </w:r>
            <w:r>
              <w:t xml:space="preserve"> and system checks, the user must invalidate both original and repeat ABO/Rh tests</w:t>
            </w:r>
            <w:r w:rsidRPr="001B2013">
              <w:t xml:space="preserve">. </w:t>
            </w:r>
          </w:p>
        </w:tc>
      </w:tr>
      <w:tr w:rsidR="00C4014D" w:rsidRPr="00725902" w14:paraId="5A8EA8A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63C18C2" w14:textId="77777777" w:rsidR="00C4014D" w:rsidRDefault="007B38A2" w:rsidP="002D126B">
            <w:pPr>
              <w:pStyle w:val="TableText"/>
            </w:pPr>
            <w:r>
              <w:t>Do not invalidate part of the configured test. Doing this will put the specimen into a state where it cannot be processed; invalidate all tests configured as part of the TAS regardless of which sub test (ABO/Rh, ABS or DAT) is the problem</w:t>
            </w:r>
            <w:r w:rsidR="00C4014D">
              <w:t xml:space="preserve">. </w:t>
            </w:r>
            <w:r w:rsidR="00C4014D" w:rsidRPr="00C4014D">
              <w:rPr>
                <w:vanish/>
              </w:rPr>
              <w:t>DR 4854</w:t>
            </w:r>
          </w:p>
        </w:tc>
      </w:tr>
    </w:tbl>
    <w:p w14:paraId="2DE94199"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562E4F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8865B21" w14:textId="77777777" w:rsidR="003F0440" w:rsidRPr="00534C65" w:rsidRDefault="003F0440" w:rsidP="002D126B">
            <w:pPr>
              <w:pStyle w:val="TableText"/>
              <w:rPr>
                <w:b/>
              </w:rPr>
            </w:pPr>
            <w:r w:rsidRPr="00534C65">
              <w:rPr>
                <w:b/>
              </w:rPr>
              <w:t>Issue Blood Components</w:t>
            </w:r>
          </w:p>
        </w:tc>
      </w:tr>
      <w:tr w:rsidR="003F0440" w:rsidRPr="00725902" w14:paraId="1B4EB89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F5D73B" w14:textId="77777777" w:rsidR="003F0440" w:rsidRPr="00725902" w:rsidRDefault="003F0440" w:rsidP="002D126B">
            <w:pPr>
              <w:pStyle w:val="TableText"/>
            </w:pPr>
            <w:r>
              <w:t xml:space="preserve">VBECS does not check </w:t>
            </w:r>
            <w:r w:rsidRPr="00F26B72">
              <w:t xml:space="preserve">for </w:t>
            </w:r>
            <w:r>
              <w:t>restricted</w:t>
            </w:r>
            <w:r w:rsidRPr="00F26B72">
              <w:t xml:space="preserve"> units </w:t>
            </w:r>
            <w:r>
              <w:t>(not</w:t>
            </w:r>
            <w:r w:rsidRPr="00F26B72">
              <w:t xml:space="preserve"> assigned to the patient</w:t>
            </w:r>
            <w:r>
              <w:t>)</w:t>
            </w:r>
            <w:r w:rsidRPr="00F26B72">
              <w:t xml:space="preserve"> received </w:t>
            </w:r>
            <w:r>
              <w:t>between selection and issue.</w:t>
            </w:r>
          </w:p>
        </w:tc>
      </w:tr>
      <w:tr w:rsidR="003F0440" w:rsidRPr="00725902" w14:paraId="6F65D49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60B6D1D" w14:textId="77777777" w:rsidR="003F0440" w:rsidRPr="00725902" w:rsidRDefault="003F0440" w:rsidP="002D126B">
            <w:pPr>
              <w:pStyle w:val="TableText"/>
            </w:pPr>
            <w:r>
              <w:t xml:space="preserve">All issue-to locations must be valid entries in the </w:t>
            </w:r>
            <w:r w:rsidRPr="00CA0045">
              <w:rPr>
                <w:bCs/>
              </w:rPr>
              <w:t>VistA</w:t>
            </w:r>
            <w:r>
              <w:t xml:space="preserve"> hospital location </w:t>
            </w:r>
            <w:r w:rsidR="008F2DE4">
              <w:t>file</w:t>
            </w:r>
            <w:r>
              <w:t xml:space="preserve">. </w:t>
            </w:r>
          </w:p>
        </w:tc>
      </w:tr>
      <w:tr w:rsidR="00666930" w:rsidRPr="00725902" w14:paraId="0C5BFBE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9983A4" w14:textId="77777777" w:rsidR="00666930" w:rsidRDefault="00666930" w:rsidP="002D126B">
            <w:pPr>
              <w:pStyle w:val="TableText"/>
            </w:pPr>
            <w:r>
              <w:t xml:space="preserve">If VistA link is not available, the user may proceed with the issue process but the current issue-to hospital location is not recorded. All of the associated report records display “VistALink Down” in the Issue To location field. </w:t>
            </w:r>
            <w:r w:rsidRPr="00666930">
              <w:rPr>
                <w:vanish/>
              </w:rPr>
              <w:t>DR 5073</w:t>
            </w:r>
          </w:p>
        </w:tc>
      </w:tr>
      <w:tr w:rsidR="003F0440" w:rsidRPr="00725902" w14:paraId="40D0DC5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FDA9D49" w14:textId="77777777" w:rsidR="003F0440" w:rsidRPr="002F6D2F" w:rsidRDefault="003F0440" w:rsidP="002D126B">
            <w:pPr>
              <w:pStyle w:val="TableText"/>
            </w:pPr>
            <w:r>
              <w:t>ISBT 128 tables include blood product codes labeled as not for manufacturing or transfusion. VBECS does not restrict such products from being entered, issued, or transferred (local policy controls their use), but does not accommodate blood modification for these products.</w:t>
            </w:r>
          </w:p>
        </w:tc>
      </w:tr>
      <w:tr w:rsidR="007E1B6B" w:rsidRPr="00725902" w14:paraId="147B0EF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7A23294" w14:textId="77777777" w:rsidR="007E1B6B" w:rsidRDefault="007E1B6B" w:rsidP="002D126B">
            <w:pPr>
              <w:pStyle w:val="TableText"/>
            </w:pPr>
            <w:r>
              <w:t>W</w:t>
            </w:r>
            <w:r w:rsidRPr="007E1B6B">
              <w:t xml:space="preserve">hen a site has configured </w:t>
            </w:r>
            <w:r w:rsidR="00E57947" w:rsidRPr="007E1B6B">
              <w:t>subservient</w:t>
            </w:r>
            <w:r w:rsidRPr="007E1B6B">
              <w:t xml:space="preserve"> VistA ins</w:t>
            </w:r>
            <w:r>
              <w:t xml:space="preserve">titutions to the VBECS division, users </w:t>
            </w:r>
            <w:r w:rsidRPr="007E1B6B">
              <w:t xml:space="preserve">can only issue </w:t>
            </w:r>
            <w:r>
              <w:t xml:space="preserve">units </w:t>
            </w:r>
            <w:r w:rsidRPr="007E1B6B">
              <w:t xml:space="preserve">to locations in the primary VistA. Sites may add locations to VistA to account for the relocations to the </w:t>
            </w:r>
            <w:r w:rsidR="00E57947" w:rsidRPr="007E1B6B">
              <w:t>subservient</w:t>
            </w:r>
            <w:r w:rsidRPr="007E1B6B">
              <w:t xml:space="preserve"> VistA institutions</w:t>
            </w:r>
            <w:r w:rsidR="00432F57">
              <w:t>.</w:t>
            </w:r>
          </w:p>
        </w:tc>
      </w:tr>
      <w:tr w:rsidR="00432F57" w:rsidRPr="00725902" w14:paraId="64BFD51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FFAD4BA" w14:textId="77777777" w:rsidR="00432F57" w:rsidRDefault="00432F57" w:rsidP="002D126B">
            <w:pPr>
              <w:pStyle w:val="TableText"/>
            </w:pPr>
            <w:r>
              <w:t xml:space="preserve">BCE information </w:t>
            </w:r>
            <w:r w:rsidRPr="00C01E45">
              <w:t>applies ONLY when a BCE COTS product is available for communication and is configured.</w:t>
            </w:r>
          </w:p>
        </w:tc>
      </w:tr>
      <w:tr w:rsidR="00432F57" w:rsidRPr="00725902" w14:paraId="7C787EC3"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E5E8DF3" w14:textId="77777777" w:rsidR="00432F57" w:rsidRDefault="00432F57" w:rsidP="002D126B">
            <w:pPr>
              <w:pStyle w:val="TableText"/>
            </w:pPr>
            <w:r>
              <w:t xml:space="preserve">Changing a </w:t>
            </w:r>
            <w:r w:rsidRPr="00633316">
              <w:t>patient's</w:t>
            </w:r>
            <w:r>
              <w:t xml:space="preserve"> transfusion requirements</w:t>
            </w:r>
            <w:r w:rsidRPr="00633316">
              <w:t xml:space="preserve"> </w:t>
            </w:r>
            <w:r>
              <w:t xml:space="preserve">(component requirements, </w:t>
            </w:r>
            <w:r w:rsidRPr="00633316">
              <w:t>antigen negative requirement or antibody identified</w:t>
            </w:r>
            <w:r>
              <w:t>)</w:t>
            </w:r>
            <w:r w:rsidRPr="00633316">
              <w:t xml:space="preserve">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tc>
      </w:tr>
      <w:tr w:rsidR="005E6088" w:rsidRPr="00725902" w14:paraId="57862320"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1168201" w14:textId="3838E147" w:rsidR="005E6088" w:rsidRDefault="005E6088" w:rsidP="002D126B">
            <w:pPr>
              <w:pStyle w:val="TableText"/>
            </w:pPr>
            <w:r>
              <w:t xml:space="preserve">VBECS asks for a comment when issuing a unit that is assigned to two different patients. Enter a comment to issue the unit or release one of the patient assignments before issuing. The comment will appear on the Unit History Report in the Issue section. </w:t>
            </w:r>
            <w:r w:rsidRPr="00101C38">
              <w:rPr>
                <w:vanish/>
              </w:rPr>
              <w:t xml:space="preserve">Defect </w:t>
            </w:r>
            <w:r w:rsidR="00101C38" w:rsidRPr="00101C38">
              <w:rPr>
                <w:vanish/>
              </w:rPr>
              <w:t>208730</w:t>
            </w:r>
          </w:p>
        </w:tc>
      </w:tr>
    </w:tbl>
    <w:p w14:paraId="35A3F6BA"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69001A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E3D0905" w14:textId="77777777" w:rsidR="003F0440" w:rsidRPr="00534C65" w:rsidRDefault="003F0440" w:rsidP="002D126B">
            <w:pPr>
              <w:pStyle w:val="TableText"/>
              <w:rPr>
                <w:b/>
              </w:rPr>
            </w:pPr>
            <w:r w:rsidRPr="00534C65">
              <w:rPr>
                <w:b/>
              </w:rPr>
              <w:t>Justify ABO/Rh Change</w:t>
            </w:r>
          </w:p>
        </w:tc>
      </w:tr>
      <w:tr w:rsidR="003F0440" w:rsidRPr="00725902" w14:paraId="75FD517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9C0875" w14:textId="77777777" w:rsidR="003F0440" w:rsidRPr="00725902" w:rsidRDefault="003F0440" w:rsidP="002D126B">
            <w:pPr>
              <w:pStyle w:val="TableText"/>
            </w:pPr>
            <w:r>
              <w:t>VBECS does not allow the selection or issue of certain blood components that may appear ABO/Rh compatible when discrepant ABO/Rh results are not justified.</w:t>
            </w:r>
          </w:p>
        </w:tc>
      </w:tr>
    </w:tbl>
    <w:p w14:paraId="122AF75C" w14:textId="77777777" w:rsidR="00123D20" w:rsidRDefault="00123D20"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34C65" w14:paraId="77FDBE7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6111274" w14:textId="77777777" w:rsidR="003F0440" w:rsidRPr="00534C65" w:rsidRDefault="00123D20" w:rsidP="002D126B">
            <w:pPr>
              <w:pStyle w:val="TableText"/>
              <w:rPr>
                <w:b/>
              </w:rPr>
            </w:pPr>
            <w:r>
              <w:br w:type="page"/>
            </w:r>
            <w:r w:rsidR="0045199A">
              <w:br w:type="page"/>
            </w:r>
            <w:r w:rsidR="003F0440" w:rsidRPr="00534C65">
              <w:rPr>
                <w:b/>
              </w:rPr>
              <w:t>Local Facilities</w:t>
            </w:r>
          </w:p>
        </w:tc>
      </w:tr>
      <w:tr w:rsidR="003F0440" w:rsidRPr="00725902" w14:paraId="779F79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C818CC9" w14:textId="77777777" w:rsidR="003F0440" w:rsidRDefault="003F0440" w:rsidP="002D126B">
            <w:pPr>
              <w:pStyle w:val="TableText"/>
            </w:pPr>
            <w:r>
              <w:t>A user may:</w:t>
            </w:r>
          </w:p>
          <w:p w14:paraId="7102F107" w14:textId="77777777" w:rsidR="003F0440" w:rsidRPr="00DA2271" w:rsidRDefault="003F0440" w:rsidP="00DA2271">
            <w:pPr>
              <w:pStyle w:val="TableTextBullet"/>
              <w:tabs>
                <w:tab w:val="clear" w:pos="288"/>
              </w:tabs>
            </w:pPr>
            <w:r w:rsidRPr="00DA2271">
              <w:t>Activate and edit collection facility records distributed with VBECS.</w:t>
            </w:r>
          </w:p>
          <w:p w14:paraId="18E59CF8" w14:textId="77777777" w:rsidR="003F0440" w:rsidRPr="00DA2271" w:rsidRDefault="003F0440" w:rsidP="00DA2271">
            <w:pPr>
              <w:pStyle w:val="TableTextBullet"/>
              <w:tabs>
                <w:tab w:val="clear" w:pos="288"/>
              </w:tabs>
            </w:pPr>
            <w:r w:rsidRPr="00DA2271">
              <w:t>Add and locally edit active collection facilities.</w:t>
            </w:r>
          </w:p>
          <w:p w14:paraId="3BC3A0A6" w14:textId="77777777" w:rsidR="00A65139" w:rsidRPr="00DA2271" w:rsidRDefault="003F0440" w:rsidP="00DA2271">
            <w:pPr>
              <w:pStyle w:val="TableTextBullet"/>
              <w:tabs>
                <w:tab w:val="clear" w:pos="288"/>
              </w:tabs>
            </w:pPr>
            <w:r w:rsidRPr="00DA2271">
              <w:t xml:space="preserve">Activate and/or deactivate local collection facilities. </w:t>
            </w:r>
          </w:p>
          <w:p w14:paraId="5AF6CFE1" w14:textId="77777777" w:rsidR="00A65139" w:rsidRPr="00B157B4" w:rsidRDefault="00A65139" w:rsidP="00DA2271">
            <w:pPr>
              <w:pStyle w:val="TableTextBullet"/>
              <w:tabs>
                <w:tab w:val="clear" w:pos="288"/>
              </w:tabs>
            </w:pPr>
            <w:r w:rsidRPr="00DA2271">
              <w:t>Edit a division</w:t>
            </w:r>
            <w:r>
              <w:t xml:space="preserve"> name, which may result in a mismatch between VistA and VBECS division names. </w:t>
            </w:r>
            <w:r w:rsidRPr="00A65139">
              <w:rPr>
                <w:vanish/>
              </w:rPr>
              <w:t>(DR 2,113)</w:t>
            </w:r>
          </w:p>
          <w:p w14:paraId="4991C0D5" w14:textId="77777777" w:rsidR="00B157B4" w:rsidRPr="00725902" w:rsidRDefault="00B157B4" w:rsidP="00AE19A0">
            <w:pPr>
              <w:pStyle w:val="TableTextBullet"/>
              <w:tabs>
                <w:tab w:val="clear" w:pos="288"/>
              </w:tabs>
            </w:pPr>
            <w:r w:rsidRPr="005705B4">
              <w:t>The Local Facility Address maximum length is 45 characters</w:t>
            </w:r>
            <w:r w:rsidR="00AE19A0">
              <w:t xml:space="preserve"> including spaces</w:t>
            </w:r>
            <w:r w:rsidRPr="005705B4">
              <w:t xml:space="preserve"> to allow the address to display on VBECS repo</w:t>
            </w:r>
            <w:r>
              <w:t xml:space="preserve">rts. The third line of the facility address is not displayed on VBECS reports. </w:t>
            </w:r>
            <w:r w:rsidRPr="00B157B4">
              <w:rPr>
                <w:vanish/>
              </w:rPr>
              <w:t>DR 4980</w:t>
            </w:r>
          </w:p>
        </w:tc>
      </w:tr>
    </w:tbl>
    <w:p w14:paraId="3C147A8B" w14:textId="0E7C612F" w:rsidR="000E59E4" w:rsidRDefault="000E59E4" w:rsidP="00220D0D">
      <w:pPr>
        <w:pStyle w:val="TableText"/>
      </w:pPr>
    </w:p>
    <w:p w14:paraId="54A8EF43" w14:textId="77777777" w:rsidR="000E59E4" w:rsidRDefault="000E59E4">
      <w:pPr>
        <w:rPr>
          <w:rFonts w:ascii="Arial" w:hAnsi="Arial"/>
          <w:sz w:val="18"/>
        </w:rPr>
      </w:pPr>
      <w:r>
        <w:br w:type="page"/>
      </w:r>
    </w:p>
    <w:p w14:paraId="5C06DDEB"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657B4" w14:paraId="478626F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8AE086D" w14:textId="77777777" w:rsidR="003F0440" w:rsidRPr="003657B4" w:rsidRDefault="003F0440" w:rsidP="002D126B">
            <w:pPr>
              <w:pStyle w:val="TableText"/>
              <w:rPr>
                <w:b/>
              </w:rPr>
            </w:pPr>
            <w:r w:rsidRPr="003657B4">
              <w:rPr>
                <w:b/>
              </w:rPr>
              <w:t>Log In Reagents, Update Inventory, View/Print Inventory, Maintain Minimum Levels</w:t>
            </w:r>
          </w:p>
        </w:tc>
      </w:tr>
      <w:tr w:rsidR="003F0440" w:rsidRPr="00725902" w14:paraId="54F002E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090FABE" w14:textId="77777777" w:rsidR="003F0440" w:rsidRPr="003657B4" w:rsidRDefault="003F0440" w:rsidP="002D126B">
            <w:pPr>
              <w:pStyle w:val="TableText"/>
            </w:pPr>
            <w:r>
              <w:t>VBECS does not display a reagent report by invoice number.</w:t>
            </w:r>
            <w:r w:rsidRPr="00F759ED">
              <w:rPr>
                <w:vanish/>
              </w:rPr>
              <w:t xml:space="preserve"> (UserDoc Task 1083)</w:t>
            </w:r>
          </w:p>
        </w:tc>
      </w:tr>
      <w:tr w:rsidR="003F0440" w:rsidRPr="00725902" w14:paraId="00E2526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6ACDE8C" w14:textId="77777777" w:rsidR="003F0440" w:rsidRPr="003657B4" w:rsidRDefault="003F0440" w:rsidP="002D126B">
            <w:pPr>
              <w:pStyle w:val="TableText"/>
            </w:pPr>
            <w:r>
              <w:t>The unsatisfactory portion of a shipment must be recorded individually.</w:t>
            </w:r>
          </w:p>
        </w:tc>
      </w:tr>
      <w:tr w:rsidR="00BE53DD" w:rsidRPr="00725902" w14:paraId="06CF813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57F7C48" w14:textId="77777777" w:rsidR="00BE53DD" w:rsidRDefault="00BE53DD" w:rsidP="002D126B">
            <w:pPr>
              <w:pStyle w:val="TableText"/>
            </w:pPr>
            <w:r>
              <w:t xml:space="preserve">There is no retrospective data entry </w:t>
            </w:r>
            <w:r w:rsidR="005C7504">
              <w:t xml:space="preserve">or user selection for </w:t>
            </w:r>
            <w:r w:rsidR="0061702F">
              <w:t>these options</w:t>
            </w:r>
            <w:r>
              <w:t>.</w:t>
            </w:r>
          </w:p>
        </w:tc>
      </w:tr>
      <w:tr w:rsidR="003F0440" w:rsidRPr="00725902" w14:paraId="042CF1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19DF781" w14:textId="77777777" w:rsidR="003F0440" w:rsidRPr="003657B4" w:rsidRDefault="003F0440" w:rsidP="002D126B">
            <w:pPr>
              <w:pStyle w:val="TableText"/>
            </w:pPr>
            <w:r>
              <w:t xml:space="preserve">Each site must set a standard for recording quantity: it may use the number of cases or the number of units within the cases. </w:t>
            </w:r>
          </w:p>
        </w:tc>
      </w:tr>
      <w:tr w:rsidR="003F0440" w:rsidRPr="00725902" w14:paraId="57F8115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B38AAAA" w14:textId="77777777" w:rsidR="003F0440" w:rsidRDefault="003F0440" w:rsidP="002D126B">
            <w:pPr>
              <w:pStyle w:val="TableText"/>
              <w:rPr>
                <w:vanish/>
              </w:rPr>
            </w:pPr>
            <w:r>
              <w:t xml:space="preserve">When a user enters a lot number in the Lot # field and clicks the </w:t>
            </w:r>
            <w:r>
              <w:rPr>
                <w:b/>
              </w:rPr>
              <w:t>magnifying glass</w:t>
            </w:r>
            <w:r>
              <w:t>, VBECS displays only the first instance of a duplicate lot number.</w:t>
            </w:r>
          </w:p>
        </w:tc>
      </w:tr>
    </w:tbl>
    <w:p w14:paraId="62BD87A0" w14:textId="77777777" w:rsidR="00ED3C7A" w:rsidRDefault="00ED3C7A"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1C02540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C08E33D" w14:textId="77777777" w:rsidR="003F0440" w:rsidRPr="00534C65" w:rsidRDefault="00CF23B1" w:rsidP="002D126B">
            <w:pPr>
              <w:pStyle w:val="TableText"/>
              <w:rPr>
                <w:b/>
              </w:rPr>
            </w:pPr>
            <w:r>
              <w:rPr>
                <w:b/>
              </w:rPr>
              <w:t>Log i</w:t>
            </w:r>
            <w:r w:rsidR="003F0440" w:rsidRPr="00534C65">
              <w:rPr>
                <w:b/>
              </w:rPr>
              <w:t>nto VBECS and VistA</w:t>
            </w:r>
          </w:p>
        </w:tc>
      </w:tr>
      <w:tr w:rsidR="003F0440" w:rsidRPr="00725902" w14:paraId="661D69F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05E8B94" w14:textId="77777777" w:rsidR="003F0440" w:rsidRPr="00725902" w:rsidRDefault="003F0440" w:rsidP="002D126B">
            <w:pPr>
              <w:pStyle w:val="TableText"/>
            </w:pPr>
            <w:r>
              <w:t>VBECS automatically logs a</w:t>
            </w:r>
            <w:r w:rsidRPr="00BF7321">
              <w:t xml:space="preserve"> </w:t>
            </w:r>
            <w:r>
              <w:rPr>
                <w:vanish/>
              </w:rPr>
              <w:t xml:space="preserve">BR_18.05 </w:t>
            </w:r>
            <w:r>
              <w:t>user with access to only one division into that division.</w:t>
            </w:r>
          </w:p>
        </w:tc>
      </w:tr>
      <w:tr w:rsidR="00FD40DC" w:rsidRPr="00725902" w14:paraId="36F6A95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77AB63" w14:textId="77777777" w:rsidR="00FD40DC" w:rsidRDefault="00FD40DC" w:rsidP="002D126B">
            <w:pPr>
              <w:pStyle w:val="TableText"/>
            </w:pPr>
            <w:r>
              <w:t>Connectivity by IAM services access approval (PIV Card) is not possible when IAM services are not available.</w:t>
            </w:r>
          </w:p>
        </w:tc>
      </w:tr>
      <w:tr w:rsidR="00F22645" w:rsidRPr="00725902" w14:paraId="2476314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FCB472C" w14:textId="77777777" w:rsidR="00F22645" w:rsidRDefault="00F22645" w:rsidP="002D126B">
            <w:pPr>
              <w:pStyle w:val="TableText"/>
            </w:pPr>
            <w:r>
              <w:t xml:space="preserve">An Access and Verify code is required to connect to VistA </w:t>
            </w:r>
            <w:r w:rsidR="00FD40DC">
              <w:t>when the IAM services are not available.</w:t>
            </w:r>
          </w:p>
        </w:tc>
      </w:tr>
      <w:tr w:rsidR="00FD40DC" w:rsidRPr="00725902" w14:paraId="6BA3626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54D903D" w14:textId="77777777" w:rsidR="00FD40DC" w:rsidRDefault="00FD40DC" w:rsidP="002D126B">
            <w:pPr>
              <w:pStyle w:val="TableText"/>
            </w:pPr>
            <w:r>
              <w:t>Connectivity is not possible when VistA is not available.</w:t>
            </w:r>
          </w:p>
        </w:tc>
      </w:tr>
      <w:tr w:rsidR="00FD40DC" w:rsidRPr="00725902" w14:paraId="46734D4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02047E" w14:textId="273C6550" w:rsidR="00FD40DC" w:rsidRDefault="00FD40DC" w:rsidP="00FD40DC">
            <w:pPr>
              <w:pStyle w:val="TableText"/>
            </w:pPr>
            <w:r>
              <w:t xml:space="preserve">The user may log </w:t>
            </w:r>
            <w:r w:rsidR="00CA1BD2">
              <w:t xml:space="preserve">into multiple terminals </w:t>
            </w:r>
            <w:r w:rsidR="009903AA">
              <w:t>simultaneously</w:t>
            </w:r>
            <w:r>
              <w:t>, but accessing</w:t>
            </w:r>
            <w:r w:rsidR="00C55323">
              <w:t xml:space="preserve"> VBECS in multiple sessions is no longer possible due to the way the PIV card works.</w:t>
            </w:r>
          </w:p>
        </w:tc>
      </w:tr>
      <w:tr w:rsidR="00CD4DBB" w:rsidRPr="00725902" w14:paraId="5C7D84B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068B891" w14:textId="0E0D68A5" w:rsidR="00CD4DBB" w:rsidRDefault="00CD4DBB" w:rsidP="006F1029">
            <w:pPr>
              <w:pStyle w:val="TableText"/>
            </w:pPr>
            <w:r w:rsidRPr="00CD4DBB">
              <w:t xml:space="preserve">The Windows Security screen </w:t>
            </w:r>
            <w:r>
              <w:t>may be hidden when a user attempts to restore a VistALink connection</w:t>
            </w:r>
            <w:r w:rsidRPr="00CD4DBB">
              <w:t>. For the Windows Security screen</w:t>
            </w:r>
            <w:r w:rsidR="006F1029">
              <w:t xml:space="preserve"> to appear, the user must </w:t>
            </w:r>
            <w:r w:rsidR="009903AA">
              <w:t xml:space="preserve">drag </w:t>
            </w:r>
            <w:r w:rsidR="009903AA" w:rsidRPr="00CD4DBB">
              <w:t>it</w:t>
            </w:r>
            <w:r w:rsidRPr="00CD4DBB">
              <w:t xml:space="preserve"> from behind another </w:t>
            </w:r>
            <w:r w:rsidR="006F1029">
              <w:t>window</w:t>
            </w:r>
            <w:r w:rsidRPr="00CD4DBB">
              <w:t xml:space="preserve"> in order to select a certificate and log in. </w:t>
            </w:r>
            <w:r w:rsidRPr="00CD4DBB">
              <w:rPr>
                <w:vanish/>
              </w:rPr>
              <w:t>Defect 501388</w:t>
            </w:r>
          </w:p>
        </w:tc>
      </w:tr>
    </w:tbl>
    <w:p w14:paraId="56594BDA"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6B7CABA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ABFCF33" w14:textId="77777777" w:rsidR="003F0440" w:rsidRPr="007951E4" w:rsidRDefault="003F0440" w:rsidP="002D126B">
            <w:pPr>
              <w:pStyle w:val="TableText"/>
              <w:rPr>
                <w:b/>
              </w:rPr>
            </w:pPr>
            <w:r w:rsidRPr="007951E4">
              <w:rPr>
                <w:b/>
              </w:rPr>
              <w:t>Maintain Specimen</w:t>
            </w:r>
          </w:p>
        </w:tc>
      </w:tr>
      <w:tr w:rsidR="003F0440" w:rsidRPr="00725902" w14:paraId="37E8C62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8D2BEA7" w14:textId="77777777" w:rsidR="003F0440" w:rsidRPr="00725902" w:rsidRDefault="003F0440" w:rsidP="002D126B">
            <w:pPr>
              <w:pStyle w:val="TableText"/>
            </w:pPr>
            <w:r>
              <w:t xml:space="preserve">When a search by UID causes VBECS to time out, repeat the search by UID and patient name or by patient name only. </w:t>
            </w:r>
            <w:r w:rsidRPr="009303DE">
              <w:rPr>
                <w:vanish/>
              </w:rPr>
              <w:t>(UserDoc Tasks 1089 and 1090)</w:t>
            </w:r>
          </w:p>
        </w:tc>
      </w:tr>
      <w:tr w:rsidR="003F0440" w:rsidRPr="00725902" w14:paraId="1C0AD22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0612C4" w14:textId="77777777" w:rsidR="003F0440" w:rsidRPr="00725902" w:rsidRDefault="003F0440" w:rsidP="002D126B">
            <w:pPr>
              <w:pStyle w:val="TableText"/>
            </w:pPr>
            <w:r>
              <w:t>Specimen recollection requests must be made offline.</w:t>
            </w:r>
          </w:p>
        </w:tc>
      </w:tr>
      <w:tr w:rsidR="003F0440" w:rsidRPr="00725902" w14:paraId="0C0E3D4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2DF49E" w14:textId="77777777" w:rsidR="003F0440" w:rsidRPr="00725902" w:rsidRDefault="003F0440" w:rsidP="002D126B">
            <w:pPr>
              <w:pStyle w:val="TableText"/>
            </w:pPr>
            <w:r>
              <w:t>Designating a specimen as “unacceptable” after accepting a CPRS order closes that order and requires a new CPRS order and sample.</w:t>
            </w:r>
          </w:p>
        </w:tc>
      </w:tr>
    </w:tbl>
    <w:p w14:paraId="195255AB"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7B546F" w:rsidRPr="00A76671" w14:paraId="3E5A3CA9" w14:textId="77777777" w:rsidTr="00480334">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6AD386C" w14:textId="77777777" w:rsidR="007B546F" w:rsidRPr="00A76671" w:rsidRDefault="007B546F" w:rsidP="00480334">
            <w:pPr>
              <w:pStyle w:val="TableText"/>
              <w:rPr>
                <w:b/>
              </w:rPr>
            </w:pPr>
            <w:r>
              <w:rPr>
                <w:b/>
              </w:rPr>
              <w:t>Maintain Unit Records</w:t>
            </w:r>
          </w:p>
        </w:tc>
      </w:tr>
      <w:tr w:rsidR="007B546F" w:rsidRPr="00725902" w14:paraId="76F5C4ED"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D5E66E" w14:textId="77777777" w:rsidR="007B546F" w:rsidRPr="00725902" w:rsidRDefault="007B546F" w:rsidP="007B546F">
            <w:pPr>
              <w:pStyle w:val="TableText"/>
            </w:pPr>
            <w:r>
              <w:t xml:space="preserve">VBECS does not limit the discarded plasma volume. </w:t>
            </w:r>
          </w:p>
        </w:tc>
      </w:tr>
      <w:tr w:rsidR="007B546F" w:rsidRPr="00725902" w14:paraId="43B35707"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90B66D" w14:textId="77777777" w:rsidR="007B546F" w:rsidRPr="00725902" w:rsidRDefault="007B546F" w:rsidP="007B546F">
            <w:pPr>
              <w:pStyle w:val="TableText"/>
            </w:pPr>
            <w:r>
              <w:t xml:space="preserve">If </w:t>
            </w:r>
            <w:r w:rsidRPr="007B546F">
              <w:t>errors are found in the unit’s product code</w:t>
            </w:r>
            <w:r>
              <w:t xml:space="preserve">, division or blood type at login, </w:t>
            </w:r>
            <w:r w:rsidRPr="007B546F">
              <w:t>supplier, or donation type, the user must inactivate the unit and reenter it correctly</w:t>
            </w:r>
            <w:r>
              <w:t>.</w:t>
            </w:r>
          </w:p>
        </w:tc>
      </w:tr>
      <w:tr w:rsidR="007B546F" w:rsidRPr="00725902" w14:paraId="778CFBD0"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1E82CE" w14:textId="77777777" w:rsidR="007B546F" w:rsidRDefault="000E6500" w:rsidP="007B546F">
            <w:pPr>
              <w:pStyle w:val="TableText"/>
            </w:pPr>
            <w:r>
              <w:t xml:space="preserve">When a unit does not have a patient association, editable fields are available to an </w:t>
            </w:r>
            <w:r w:rsidRPr="00EC7489">
              <w:rPr>
                <w:rFonts w:ascii="Wingdings 3" w:hAnsi="Wingdings 3" w:cs="Wingdings"/>
              </w:rPr>
              <w:t></w:t>
            </w:r>
            <w:r w:rsidRPr="00EC7489">
              <w:rPr>
                <w:rFonts w:ascii="Wingdings 3" w:hAnsi="Wingdings 3" w:cs="Wingdings"/>
              </w:rPr>
              <w:t></w:t>
            </w:r>
            <w:r w:rsidRPr="00AA7C58">
              <w:t xml:space="preserve"> </w:t>
            </w:r>
            <w:r>
              <w:t>Enhanced Technologist.</w:t>
            </w:r>
          </w:p>
        </w:tc>
      </w:tr>
      <w:tr w:rsidR="000E6500" w:rsidRPr="00725902" w14:paraId="404A465E"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A558BD" w14:textId="77777777" w:rsidR="000E6500" w:rsidRDefault="000E6500" w:rsidP="00480334">
            <w:pPr>
              <w:pStyle w:val="TableText"/>
            </w:pPr>
            <w:r>
              <w:t>Only units in a limited or available status may be edited.</w:t>
            </w:r>
          </w:p>
        </w:tc>
      </w:tr>
      <w:tr w:rsidR="000E6500" w:rsidRPr="00725902" w14:paraId="7CD38BD2"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7A59CA" w14:textId="77777777" w:rsidR="000E6500" w:rsidRDefault="000E6500" w:rsidP="007B546F">
            <w:pPr>
              <w:pStyle w:val="TableText"/>
            </w:pPr>
            <w:r>
              <w:t>Inactivation of the unit record is required when the user needs to change the unit’s information recorded at login: unit identification number, blood type at login, product code, unit expiration date, unit donation type, VA division at login or supplier.</w:t>
            </w:r>
          </w:p>
        </w:tc>
      </w:tr>
    </w:tbl>
    <w:p w14:paraId="5AA7F7CA" w14:textId="5653EC2D" w:rsidR="000E59E4" w:rsidRDefault="000E59E4" w:rsidP="00220D0D">
      <w:pPr>
        <w:pStyle w:val="TableText"/>
      </w:pPr>
    </w:p>
    <w:p w14:paraId="6C984F2A" w14:textId="77777777" w:rsidR="000E59E4" w:rsidRDefault="000E59E4">
      <w:pPr>
        <w:rPr>
          <w:rFonts w:ascii="Arial" w:hAnsi="Arial"/>
          <w:sz w:val="18"/>
        </w:rPr>
      </w:pPr>
      <w:r>
        <w:br w:type="page"/>
      </w:r>
    </w:p>
    <w:p w14:paraId="5A505183" w14:textId="77777777" w:rsidR="007B546F" w:rsidRDefault="007B546F"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5B8C6C3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8D9EE00" w14:textId="77777777" w:rsidR="003F0440" w:rsidRPr="007951E4" w:rsidRDefault="003F0440" w:rsidP="002D126B">
            <w:pPr>
              <w:pStyle w:val="TableText"/>
              <w:rPr>
                <w:b/>
              </w:rPr>
            </w:pPr>
            <w:r w:rsidRPr="007951E4">
              <w:rPr>
                <w:b/>
              </w:rPr>
              <w:t>Modify Units</w:t>
            </w:r>
          </w:p>
        </w:tc>
      </w:tr>
      <w:tr w:rsidR="003F0440" w:rsidRPr="00725902" w14:paraId="549E7BF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5212BEA" w14:textId="77777777" w:rsidR="003F0440" w:rsidRPr="00725902" w:rsidRDefault="003F0440" w:rsidP="002D126B">
            <w:pPr>
              <w:pStyle w:val="TableText"/>
            </w:pPr>
            <w:r>
              <w:t>VBECS allows modification of units only in limited, assigned, crossmatched, and available statuses.</w:t>
            </w:r>
          </w:p>
        </w:tc>
      </w:tr>
      <w:tr w:rsidR="00E57D56" w:rsidRPr="00725902" w14:paraId="371877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07536D" w14:textId="77777777" w:rsidR="00E57D56" w:rsidRDefault="00E57D56" w:rsidP="00E57D56">
            <w:pPr>
              <w:pStyle w:val="TableText"/>
            </w:pPr>
            <w:r>
              <w:t xml:space="preserve">VBECS presents the conservative expiration date for target units. VBECS does not know the specific collection details.  It is the </w:t>
            </w:r>
            <w:r w:rsidR="004E2AB6">
              <w:t>responsibility</w:t>
            </w:r>
            <w:r>
              <w:t xml:space="preserve"> of each user to accurately enter and process any one blood unit based on its expiration date/time as labeled by the collection facility.</w:t>
            </w:r>
            <w:r w:rsidRPr="00E57D56">
              <w:t xml:space="preserve"> </w:t>
            </w:r>
            <w:r w:rsidRPr="00E57D56">
              <w:rPr>
                <w:vanish/>
              </w:rPr>
              <w:t>Task 1324</w:t>
            </w:r>
          </w:p>
        </w:tc>
      </w:tr>
      <w:tr w:rsidR="006A0516" w:rsidRPr="00725902" w14:paraId="349D849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AC7F54" w14:textId="77777777" w:rsidR="006A0516" w:rsidRDefault="003D1470" w:rsidP="003D1470">
            <w:pPr>
              <w:pStyle w:val="TableText"/>
            </w:pPr>
            <w:r>
              <w:t>Pooling of units that have the attribute from V0013 (irradiated) and attribute V0021005 (psoralen treatment) does not produce a target.</w:t>
            </w:r>
          </w:p>
        </w:tc>
      </w:tr>
    </w:tbl>
    <w:p w14:paraId="19F49536" w14:textId="77777777" w:rsidR="00D139EE" w:rsidRDefault="00D139EE"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26A77C6F"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70CF1DC" w14:textId="77777777" w:rsidR="003F0440" w:rsidRPr="007951E4" w:rsidRDefault="003F0440" w:rsidP="002D126B">
            <w:pPr>
              <w:pStyle w:val="TableText"/>
              <w:rPr>
                <w:b/>
              </w:rPr>
            </w:pPr>
            <w:r w:rsidRPr="007951E4">
              <w:rPr>
                <w:b/>
              </w:rPr>
              <w:t>Modify Units: Pool Units</w:t>
            </w:r>
          </w:p>
        </w:tc>
      </w:tr>
      <w:tr w:rsidR="003F0440" w:rsidRPr="00725902" w14:paraId="579CB7A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25D7D4D" w14:textId="77777777" w:rsidR="003F0440" w:rsidRPr="00725902" w:rsidRDefault="003F0440" w:rsidP="002D126B">
            <w:pPr>
              <w:pStyle w:val="TableText"/>
            </w:pPr>
            <w:r>
              <w:t>VBECS allows modification of units only in limited, assigned, crossmatched, and available statuses.</w:t>
            </w:r>
          </w:p>
        </w:tc>
      </w:tr>
      <w:tr w:rsidR="003F0440" w:rsidRPr="00725902" w14:paraId="48C65E0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3F7DB5" w14:textId="77777777" w:rsidR="003F0440" w:rsidRDefault="006F51AC" w:rsidP="002D126B">
            <w:pPr>
              <w:pStyle w:val="TableText"/>
            </w:pPr>
            <w:r w:rsidRPr="00D47D4A">
              <w:t>When a</w:t>
            </w:r>
            <w:r>
              <w:t xml:space="preserve"> user adds a</w:t>
            </w:r>
            <w:r w:rsidRPr="00D47D4A">
              <w:t xml:space="preserve"> biohazardous unit to a pool, </w:t>
            </w:r>
            <w:r>
              <w:t xml:space="preserve">VBECS does not designate the </w:t>
            </w:r>
            <w:r w:rsidRPr="00D47D4A">
              <w:t xml:space="preserve">pool </w:t>
            </w:r>
            <w:r>
              <w:t>as</w:t>
            </w:r>
            <w:r w:rsidRPr="00D47D4A">
              <w:t xml:space="preserve"> biohazardous</w:t>
            </w:r>
            <w:r>
              <w:t xml:space="preserve"> on the Blood Transfusion Record Form (BTRF) or Caution Tag</w:t>
            </w:r>
            <w:r w:rsidRPr="00D47D4A">
              <w:t>.</w:t>
            </w:r>
          </w:p>
        </w:tc>
      </w:tr>
    </w:tbl>
    <w:p w14:paraId="7D11DAC7"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592CCC3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102F2E3" w14:textId="77777777" w:rsidR="003F0440" w:rsidRPr="00A76671" w:rsidRDefault="003F0440" w:rsidP="002D126B">
            <w:pPr>
              <w:pStyle w:val="TableText"/>
              <w:rPr>
                <w:b/>
              </w:rPr>
            </w:pPr>
            <w:r w:rsidRPr="00A76671">
              <w:rPr>
                <w:b/>
              </w:rPr>
              <w:t>Modify Units: Split a Unit</w:t>
            </w:r>
          </w:p>
        </w:tc>
      </w:tr>
      <w:tr w:rsidR="003F0440" w:rsidRPr="00725902" w14:paraId="485EEA6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A2A349" w14:textId="77777777" w:rsidR="003F0440" w:rsidRPr="00725902" w:rsidRDefault="00A64FBF" w:rsidP="00A64FBF">
            <w:pPr>
              <w:pStyle w:val="TableText"/>
            </w:pPr>
            <w:r>
              <w:t>A unit previously split in VBECS cannot be split again. Only an ISBT unit that was split outside of VBECS can be split again.</w:t>
            </w:r>
          </w:p>
        </w:tc>
      </w:tr>
      <w:tr w:rsidR="00A64FBF" w:rsidRPr="00725902" w14:paraId="4BE6F79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545FAA" w14:textId="5016EF30" w:rsidR="00A64FBF" w:rsidRPr="00A64FBF" w:rsidRDefault="00A64FBF" w:rsidP="00A64FBF">
            <w:pPr>
              <w:pStyle w:val="TableText"/>
            </w:pPr>
            <w:r>
              <w:t xml:space="preserve">A unit pooled in VBECS may </w:t>
            </w:r>
            <w:r w:rsidR="00E605B1">
              <w:t>not be split</w:t>
            </w:r>
            <w:r>
              <w:t>.</w:t>
            </w:r>
          </w:p>
        </w:tc>
      </w:tr>
      <w:tr w:rsidR="00A64FBF" w:rsidRPr="00725902" w14:paraId="7CB1DFC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B4446C" w14:textId="77777777" w:rsidR="00A64FBF" w:rsidRPr="00A64FBF" w:rsidRDefault="00A64FBF" w:rsidP="00A64FBF">
            <w:pPr>
              <w:pStyle w:val="TableText"/>
            </w:pPr>
            <w:r>
              <w:t>A unit that has a division code present upon receipt in incoming shipment may be split in VBECS.</w:t>
            </w:r>
          </w:p>
        </w:tc>
      </w:tr>
    </w:tbl>
    <w:p w14:paraId="2F9A8681" w14:textId="77777777" w:rsidR="00DD7CAF" w:rsidRDefault="00DD7CAF"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372A3" w14:paraId="2C2CF43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626DE5A" w14:textId="77777777" w:rsidR="003F0440" w:rsidRPr="004372A3" w:rsidRDefault="003F0440" w:rsidP="002D126B">
            <w:pPr>
              <w:pStyle w:val="TableText"/>
              <w:rPr>
                <w:b/>
              </w:rPr>
            </w:pPr>
            <w:r w:rsidRPr="004372A3">
              <w:rPr>
                <w:b/>
              </w:rPr>
              <w:t>Order Alerts</w:t>
            </w:r>
          </w:p>
        </w:tc>
      </w:tr>
      <w:tr w:rsidR="00BB0EAB" w:rsidRPr="00725902" w14:paraId="02470F9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A1D3CC" w14:textId="77777777" w:rsidR="00BB0EAB" w:rsidRDefault="00BB0EAB" w:rsidP="002D126B">
            <w:pPr>
              <w:pStyle w:val="TableText"/>
            </w:pPr>
            <w:r>
              <w:t>This is an alert only and contains limited information from the CPRS order.</w:t>
            </w:r>
            <w:r w:rsidR="00D53DC3">
              <w:t xml:space="preserve"> </w:t>
            </w:r>
            <w:r w:rsidR="00D53DC3" w:rsidRPr="00D53DC3">
              <w:rPr>
                <w:vanish/>
              </w:rPr>
              <w:t>Defect 368207</w:t>
            </w:r>
          </w:p>
        </w:tc>
      </w:tr>
      <w:tr w:rsidR="003F0440" w:rsidRPr="00725902" w14:paraId="188C379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2D6BC4" w14:textId="77777777" w:rsidR="003F0440" w:rsidRPr="00725902" w:rsidRDefault="003F0440" w:rsidP="002D126B">
            <w:pPr>
              <w:pStyle w:val="TableText"/>
            </w:pPr>
            <w:r>
              <w:t>This option does not create a mechanism to accept or reject orders or specimens or define reports for viewing orders.</w:t>
            </w:r>
          </w:p>
        </w:tc>
      </w:tr>
      <w:tr w:rsidR="003F0440" w:rsidRPr="00725902" w14:paraId="0E0A08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63D704C" w14:textId="77777777" w:rsidR="003F0440" w:rsidRPr="00725902" w:rsidRDefault="003F0440" w:rsidP="002D126B">
            <w:pPr>
              <w:pStyle w:val="TableText"/>
            </w:pPr>
            <w:r>
              <w:t>The user may select the option to display printer alerts only when the designated printer is configured and available.</w:t>
            </w:r>
          </w:p>
        </w:tc>
      </w:tr>
      <w:tr w:rsidR="003F0440" w:rsidRPr="00725902" w14:paraId="7593097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1FA9781" w14:textId="77777777" w:rsidR="003F0440" w:rsidRPr="00725902" w:rsidRDefault="003F0440" w:rsidP="002D126B">
            <w:pPr>
              <w:pStyle w:val="TableText"/>
            </w:pPr>
            <w:r>
              <w:t>The printer</w:t>
            </w:r>
            <w:r w:rsidRPr="006C2ED3">
              <w:t xml:space="preserve"> </w:t>
            </w:r>
            <w:r>
              <w:t>must be configured by the System Administrator.</w:t>
            </w:r>
          </w:p>
        </w:tc>
      </w:tr>
    </w:tbl>
    <w:p w14:paraId="24DF7074" w14:textId="77777777" w:rsidR="00BA0F42" w:rsidRDefault="00BA0F42" w:rsidP="006272C5">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6E2623" w:rsidRPr="004372A3" w14:paraId="671AFB60" w14:textId="77777777" w:rsidTr="00266A3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AE9D19B" w14:textId="77777777" w:rsidR="006E2623" w:rsidRPr="004372A3" w:rsidRDefault="006E2623" w:rsidP="00266A37">
            <w:pPr>
              <w:pStyle w:val="TableText"/>
              <w:rPr>
                <w:b/>
              </w:rPr>
            </w:pPr>
            <w:r>
              <w:rPr>
                <w:b/>
              </w:rPr>
              <w:t>Order History Report</w:t>
            </w:r>
          </w:p>
        </w:tc>
      </w:tr>
      <w:tr w:rsidR="006E2623" w14:paraId="280DA821"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2A8A70" w14:textId="77777777" w:rsidR="006E2623" w:rsidRDefault="006E2623" w:rsidP="00266A37">
            <w:pPr>
              <w:pStyle w:val="TableText"/>
            </w:pPr>
            <w:r>
              <w:t>VBECS does not display the identity of the CPRS user who discontinues a signed order in CPRS. The CPRS order details option contains all pertinent order information.</w:t>
            </w:r>
            <w:r w:rsidRPr="006E2623">
              <w:rPr>
                <w:vanish/>
              </w:rPr>
              <w:t xml:space="preserve"> DR 3766 </w:t>
            </w:r>
            <w:r w:rsidRPr="00D53DC3">
              <w:rPr>
                <w:vanish/>
              </w:rPr>
              <w:t>Defect 368207</w:t>
            </w:r>
          </w:p>
        </w:tc>
      </w:tr>
      <w:tr w:rsidR="008E02D0" w14:paraId="30325FCB"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B5B149B" w14:textId="74C7AA87" w:rsidR="008E02D0" w:rsidRDefault="008E02D0" w:rsidP="00266A37">
            <w:pPr>
              <w:pStyle w:val="TableText"/>
            </w:pPr>
            <w:r>
              <w:t>Cancel</w:t>
            </w:r>
            <w:r w:rsidR="002F7E19">
              <w:t>l</w:t>
            </w:r>
            <w:r>
              <w:t>ed orders are included on the Order Summary Report without a column/data to help identify them as cancel</w:t>
            </w:r>
            <w:r w:rsidR="002F7E19">
              <w:t>l</w:t>
            </w:r>
            <w:r>
              <w:t>ed. The Single Order History Report includes the cancel</w:t>
            </w:r>
            <w:r w:rsidR="002F7E19">
              <w:t>l</w:t>
            </w:r>
            <w:r>
              <w:t>ed order information. When the order is also cancel</w:t>
            </w:r>
            <w:r w:rsidR="002F7E19">
              <w:t>l</w:t>
            </w:r>
            <w:r>
              <w:t xml:space="preserve">ed in VistA, which would be the norm, there is a lab report that can be referenced. </w:t>
            </w:r>
            <w:r w:rsidRPr="008E02D0">
              <w:rPr>
                <w:vanish/>
              </w:rPr>
              <w:t>Defect 208877</w:t>
            </w:r>
          </w:p>
        </w:tc>
      </w:tr>
      <w:tr w:rsidR="00D03D1B" w14:paraId="158B77AF"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1131EA5" w14:textId="0F61859C" w:rsidR="00D03D1B" w:rsidRDefault="00D03D1B" w:rsidP="00D03D1B">
            <w:pPr>
              <w:pStyle w:val="TableText"/>
            </w:pPr>
            <w:r>
              <w:t xml:space="preserve">The Order History Report only displays the first twenty (20) characters of an ordering location. Ordering locations in VistA can be shortened or changed when the uniqueness of a location cannot be determined with the first twenty (20) characters. </w:t>
            </w:r>
            <w:r w:rsidRPr="003209A5">
              <w:rPr>
                <w:vanish/>
              </w:rPr>
              <w:t>Defect 209846</w:t>
            </w:r>
          </w:p>
        </w:tc>
      </w:tr>
    </w:tbl>
    <w:p w14:paraId="2EF7D1BB" w14:textId="77777777" w:rsidR="006E2623" w:rsidRDefault="006E2623" w:rsidP="006272C5">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4D45CD6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435C14E" w14:textId="77777777" w:rsidR="003F0440" w:rsidRPr="00A76671" w:rsidRDefault="003F0440" w:rsidP="002D126B">
            <w:pPr>
              <w:pStyle w:val="TableText"/>
              <w:rPr>
                <w:b/>
              </w:rPr>
            </w:pPr>
            <w:r w:rsidRPr="00A76671">
              <w:rPr>
                <w:b/>
              </w:rPr>
              <w:t>Order Reflex Tests</w:t>
            </w:r>
          </w:p>
        </w:tc>
      </w:tr>
      <w:tr w:rsidR="003F0440" w:rsidRPr="00725902" w14:paraId="39CDDC51"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09E53924" w14:textId="77777777" w:rsidR="003F0440" w:rsidRPr="00725902" w:rsidRDefault="003F0440" w:rsidP="002D126B">
            <w:pPr>
              <w:pStyle w:val="TableText"/>
            </w:pPr>
            <w:r w:rsidRPr="009C34E7">
              <w:rPr>
                <w:rFonts w:cs="Arial"/>
                <w:vanish/>
              </w:rPr>
              <w:t>BR_45.10</w:t>
            </w:r>
            <w:r>
              <w:rPr>
                <w:rFonts w:cs="Arial"/>
                <w:vanish/>
              </w:rPr>
              <w:t xml:space="preserve"> </w:t>
            </w:r>
            <w:r>
              <w:t>A crossmatch (XM) and a repeat XM cannot be ordered unless they are associated with a specimen with a future expiration date and a phlebotomist is associated with that specimen.</w:t>
            </w:r>
            <w:r>
              <w:rPr>
                <w:rFonts w:cs="Arial"/>
                <w:vanish/>
              </w:rPr>
              <w:t xml:space="preserve">BR_98.02 </w:t>
            </w:r>
          </w:p>
        </w:tc>
      </w:tr>
      <w:tr w:rsidR="003F0440" w:rsidRPr="00725902" w14:paraId="284E43D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989D8C8" w14:textId="7DFF5DB4" w:rsidR="003F0440" w:rsidRPr="00725902" w:rsidRDefault="003F0440" w:rsidP="002D126B">
            <w:pPr>
              <w:pStyle w:val="TableText"/>
            </w:pPr>
            <w:r>
              <w:t>When a user selects weak D for the antigen typing test and the selected patient is Rh positive, VBECS warns that weak D testing cannot be performed</w:t>
            </w:r>
            <w:r w:rsidR="009913C5">
              <w:t xml:space="preserve"> (See FAQ Weak D Policy</w:t>
            </w:r>
            <w:r w:rsidR="008470B0">
              <w:t>)</w:t>
            </w:r>
            <w:r>
              <w:t>. There is no override and VBECS does not add the test.</w:t>
            </w:r>
          </w:p>
        </w:tc>
      </w:tr>
    </w:tbl>
    <w:p w14:paraId="5D8CE751" w14:textId="77777777" w:rsidR="006272C5" w:rsidRDefault="006272C5" w:rsidP="006272C5">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7F0D0608" w14:textId="77777777" w:rsidTr="00CE4C78">
        <w:trPr>
          <w:cantSplit/>
          <w:tblHeader/>
        </w:trPr>
        <w:tc>
          <w:tcPr>
            <w:tcW w:w="9360" w:type="dxa"/>
            <w:shd w:val="clear" w:color="auto" w:fill="BFBFBF" w:themeFill="background1" w:themeFillShade="BF"/>
            <w:vAlign w:val="bottom"/>
          </w:tcPr>
          <w:p w14:paraId="0192FD53" w14:textId="77777777" w:rsidR="003F0440" w:rsidRPr="005E4113" w:rsidRDefault="003F0440" w:rsidP="002D126B">
            <w:pPr>
              <w:pStyle w:val="TableText"/>
              <w:rPr>
                <w:b/>
              </w:rPr>
            </w:pPr>
            <w:r>
              <w:rPr>
                <w:b/>
              </w:rPr>
              <w:lastRenderedPageBreak/>
              <w:t>Outgoing Shipment</w:t>
            </w:r>
          </w:p>
        </w:tc>
      </w:tr>
      <w:tr w:rsidR="003F0440" w:rsidRPr="00725902" w14:paraId="6250F971"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1AD598B" w14:textId="77777777" w:rsidR="003F0440" w:rsidRPr="00725902" w:rsidRDefault="003F0440" w:rsidP="002D126B">
            <w:pPr>
              <w:pStyle w:val="TableText"/>
            </w:pPr>
            <w:r>
              <w:t>A user may edit only unconfirmed invoices.</w:t>
            </w:r>
          </w:p>
        </w:tc>
      </w:tr>
      <w:tr w:rsidR="003F0440" w:rsidRPr="00725902" w14:paraId="25C20FD5"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77E5CFC" w14:textId="77777777" w:rsidR="003F0440" w:rsidRDefault="003F0440" w:rsidP="002D126B">
            <w:pPr>
              <w:pStyle w:val="TableText"/>
            </w:pPr>
            <w:r>
              <w:t xml:space="preserve">The number of tests </w:t>
            </w:r>
            <w:r w:rsidRPr="007F1742">
              <w:t xml:space="preserve">displayed on </w:t>
            </w:r>
            <w:r>
              <w:t>an</w:t>
            </w:r>
            <w:r w:rsidRPr="007F1742">
              <w:t xml:space="preserve"> invoice is limited to 8</w:t>
            </w:r>
            <w:r>
              <w:t>,000 characters per unit.</w:t>
            </w:r>
          </w:p>
        </w:tc>
      </w:tr>
      <w:tr w:rsidR="003F0440" w:rsidRPr="00725902" w14:paraId="37A09534"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0E62184" w14:textId="77777777" w:rsidR="003F0440" w:rsidRDefault="003F0440" w:rsidP="002D126B">
            <w:pPr>
              <w:pStyle w:val="TableText"/>
            </w:pPr>
            <w:r>
              <w:t>When the user creates an invoice and cancels before saving it, VBECS excludes the invoice number from use.</w:t>
            </w:r>
          </w:p>
        </w:tc>
      </w:tr>
      <w:tr w:rsidR="008E02D0" w:rsidRPr="00725902" w14:paraId="14C44DAD"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B4D04F7" w14:textId="43C30B2C" w:rsidR="008E02D0" w:rsidRDefault="008E02D0" w:rsidP="002D126B">
            <w:pPr>
              <w:pStyle w:val="TableText"/>
            </w:pPr>
            <w:r>
              <w:t>When assigned or restricted, the patient first name and ID are not printed on the outgoing shipment document to maintain patient privacy.</w:t>
            </w:r>
          </w:p>
        </w:tc>
      </w:tr>
      <w:tr w:rsidR="008E02D0" w:rsidRPr="00725902" w14:paraId="2FD00493"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E8AD9BC" w14:textId="5FB13B21" w:rsidR="008E02D0" w:rsidRDefault="008E02D0" w:rsidP="002D126B">
            <w:pPr>
              <w:pStyle w:val="TableText"/>
            </w:pPr>
            <w:r>
              <w:t xml:space="preserve">Cost entry is capped at 999.99. </w:t>
            </w:r>
            <w:r w:rsidRPr="008E02D0">
              <w:rPr>
                <w:vanish/>
              </w:rPr>
              <w:t>Defect 942523</w:t>
            </w:r>
          </w:p>
        </w:tc>
      </w:tr>
    </w:tbl>
    <w:p w14:paraId="2688B3F9" w14:textId="16FCD4D7" w:rsidR="00590248" w:rsidRDefault="00590248"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B7221D" w:rsidRPr="005E4113" w14:paraId="52A47E59" w14:textId="77777777" w:rsidTr="001D3AF6">
        <w:trPr>
          <w:cantSplit/>
          <w:tblHeader/>
        </w:trPr>
        <w:tc>
          <w:tcPr>
            <w:tcW w:w="9360" w:type="dxa"/>
            <w:shd w:val="clear" w:color="auto" w:fill="BFBFBF" w:themeFill="background1" w:themeFillShade="BF"/>
            <w:vAlign w:val="bottom"/>
          </w:tcPr>
          <w:p w14:paraId="6D1B7D58" w14:textId="2F748AD0" w:rsidR="00B7221D" w:rsidRPr="005E4113" w:rsidRDefault="00B7221D" w:rsidP="001D3AF6">
            <w:pPr>
              <w:pStyle w:val="TableText"/>
              <w:rPr>
                <w:b/>
              </w:rPr>
            </w:pPr>
            <w:r>
              <w:rPr>
                <w:b/>
              </w:rPr>
              <w:t>Patient Information Toolbar</w:t>
            </w:r>
          </w:p>
        </w:tc>
      </w:tr>
      <w:tr w:rsidR="00B7221D" w:rsidRPr="00725902" w14:paraId="2B85176F" w14:textId="77777777" w:rsidTr="001D3AF6">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B8FED09" w14:textId="54A71168" w:rsidR="00B7221D" w:rsidRPr="00725902" w:rsidRDefault="00B7221D" w:rsidP="001D3AF6">
            <w:pPr>
              <w:pStyle w:val="TableText"/>
            </w:pPr>
            <w:r>
              <w:t xml:space="preserve">Recent Orders is showing Order Status values like “Not Started” and “Filled”, which are actually Task Statuses. </w:t>
            </w:r>
            <w:r w:rsidRPr="00B7221D">
              <w:rPr>
                <w:vanish/>
              </w:rPr>
              <w:t>Defect 214974</w:t>
            </w:r>
          </w:p>
        </w:tc>
      </w:tr>
      <w:tr w:rsidR="00D03D1B" w:rsidRPr="00725902" w14:paraId="4CD3A13A" w14:textId="77777777" w:rsidTr="001D3AF6">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BB1BE05" w14:textId="7B95DEAB" w:rsidR="00D03D1B" w:rsidRDefault="007A6A08" w:rsidP="007A6A08">
            <w:pPr>
              <w:pStyle w:val="TableText"/>
            </w:pPr>
            <w:r>
              <w:t xml:space="preserve">Completed TRWs do not display on the Recent Orders screen. Completed TRWs can be found by searching in the Reports, Finalize/Print TRW option. </w:t>
            </w:r>
            <w:r w:rsidRPr="003209A5">
              <w:rPr>
                <w:vanish/>
              </w:rPr>
              <w:t>Defect 2</w:t>
            </w:r>
            <w:r w:rsidR="008C5F1E">
              <w:rPr>
                <w:vanish/>
              </w:rPr>
              <w:t>10171</w:t>
            </w:r>
          </w:p>
        </w:tc>
      </w:tr>
    </w:tbl>
    <w:p w14:paraId="7C7E0B9A" w14:textId="0A900870" w:rsidR="00B7221D" w:rsidRDefault="00B7221D"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484"/>
        <w:gridCol w:w="5336"/>
        <w:gridCol w:w="3056"/>
        <w:gridCol w:w="484"/>
      </w:tblGrid>
      <w:tr w:rsidR="003F0440" w:rsidRPr="001E53C1" w14:paraId="2787D39D" w14:textId="77777777">
        <w:trPr>
          <w:cantSplit/>
          <w:tblHeader/>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B3B3B3"/>
            <w:vAlign w:val="bottom"/>
          </w:tcPr>
          <w:p w14:paraId="656D2741" w14:textId="77777777" w:rsidR="003F0440" w:rsidRPr="001E53C1" w:rsidRDefault="003F0440" w:rsidP="002D126B">
            <w:pPr>
              <w:pStyle w:val="TableText"/>
              <w:rPr>
                <w:b/>
              </w:rPr>
            </w:pPr>
            <w:r w:rsidRPr="001E53C1">
              <w:rPr>
                <w:b/>
              </w:rPr>
              <w:t>Patient History Report</w:t>
            </w:r>
          </w:p>
        </w:tc>
      </w:tr>
      <w:tr w:rsidR="003F0440" w:rsidRPr="00725902" w14:paraId="178496EB"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vAlign w:val="bottom"/>
          </w:tcPr>
          <w:p w14:paraId="20CDF033" w14:textId="1298AE10" w:rsidR="003F0440" w:rsidRDefault="003F0440" w:rsidP="002D126B">
            <w:pPr>
              <w:pStyle w:val="TableText"/>
            </w:pPr>
            <w:r>
              <w:t>When units are restricted for a patient during Incoming Shipment, VBECS does not display them on the Patient History Report.</w:t>
            </w:r>
            <w:r w:rsidR="005E6088">
              <w:t xml:space="preserve"> </w:t>
            </w:r>
            <w:r w:rsidR="005E6088" w:rsidRPr="005E6088">
              <w:rPr>
                <w:vanish/>
              </w:rPr>
              <w:t>Defect 212160</w:t>
            </w:r>
          </w:p>
        </w:tc>
      </w:tr>
      <w:tr w:rsidR="00E07645" w:rsidRPr="00725902" w14:paraId="5BC762E6" w14:textId="77777777">
        <w:trPr>
          <w:cantSplit/>
        </w:trPr>
        <w:tc>
          <w:tcPr>
            <w:tcW w:w="9360" w:type="dxa"/>
            <w:gridSpan w:val="4"/>
            <w:tcBorders>
              <w:top w:val="single" w:sz="6" w:space="0" w:color="000000"/>
              <w:left w:val="single" w:sz="6" w:space="0" w:color="000000"/>
              <w:bottom w:val="nil"/>
              <w:right w:val="single" w:sz="6" w:space="0" w:color="000000"/>
            </w:tcBorders>
            <w:shd w:val="clear" w:color="auto" w:fill="auto"/>
            <w:vAlign w:val="bottom"/>
          </w:tcPr>
          <w:p w14:paraId="549E664C" w14:textId="77777777" w:rsidR="00E07645" w:rsidRDefault="00E07645" w:rsidP="003F40DD">
            <w:pPr>
              <w:pStyle w:val="TableText"/>
            </w:pPr>
            <w:r>
              <w:t>VBECS displays these default values for transfusion reactions converted from VistA to VBECS. They do not reflect actual interpretations or results:</w:t>
            </w:r>
            <w:r>
              <w:rPr>
                <w:vanish/>
              </w:rPr>
              <w:t xml:space="preserve"> (DR 2,</w:t>
            </w:r>
            <w:r w:rsidRPr="00FF5006">
              <w:rPr>
                <w:vanish/>
              </w:rPr>
              <w:t>724)</w:t>
            </w:r>
          </w:p>
        </w:tc>
      </w:tr>
      <w:tr w:rsidR="00E07645" w:rsidRPr="00725902" w14:paraId="30771030" w14:textId="77777777">
        <w:trPr>
          <w:cantSplit/>
        </w:trPr>
        <w:tc>
          <w:tcPr>
            <w:tcW w:w="484" w:type="dxa"/>
            <w:vMerge w:val="restart"/>
            <w:tcBorders>
              <w:top w:val="nil"/>
              <w:left w:val="single" w:sz="6" w:space="0" w:color="000000"/>
              <w:bottom w:val="single" w:sz="6" w:space="0" w:color="000000"/>
              <w:right w:val="single" w:sz="6" w:space="0" w:color="000000"/>
            </w:tcBorders>
            <w:shd w:val="clear" w:color="auto" w:fill="auto"/>
          </w:tcPr>
          <w:p w14:paraId="0B2A03F9" w14:textId="77777777" w:rsidR="00E07645" w:rsidRPr="00FF5006" w:rsidRDefault="00E07645" w:rsidP="003F40DD">
            <w:pPr>
              <w:pStyle w:val="TableText"/>
              <w:rPr>
                <w:b/>
              </w:rPr>
            </w:pPr>
          </w:p>
        </w:tc>
        <w:tc>
          <w:tcPr>
            <w:tcW w:w="5336" w:type="dxa"/>
            <w:tcBorders>
              <w:top w:val="single" w:sz="6" w:space="0" w:color="000000"/>
              <w:left w:val="single" w:sz="6" w:space="0" w:color="000000"/>
              <w:bottom w:val="single" w:sz="6" w:space="0" w:color="000000"/>
              <w:right w:val="single" w:sz="6" w:space="0" w:color="000000"/>
            </w:tcBorders>
            <w:shd w:val="clear" w:color="auto" w:fill="B3B3B3"/>
          </w:tcPr>
          <w:p w14:paraId="65E728F1" w14:textId="77777777" w:rsidR="00E07645" w:rsidRPr="00FF5006" w:rsidRDefault="00E07645" w:rsidP="003F40DD">
            <w:pPr>
              <w:pStyle w:val="TableText"/>
              <w:rPr>
                <w:b/>
              </w:rPr>
            </w:pPr>
            <w:r w:rsidRPr="00FF5006">
              <w:rPr>
                <w:b/>
              </w:rPr>
              <w:t>Converted Transfusion Reaction</w:t>
            </w:r>
          </w:p>
        </w:tc>
        <w:tc>
          <w:tcPr>
            <w:tcW w:w="3056" w:type="dxa"/>
            <w:tcBorders>
              <w:top w:val="single" w:sz="6" w:space="0" w:color="000000"/>
              <w:left w:val="single" w:sz="6" w:space="0" w:color="000000"/>
              <w:bottom w:val="single" w:sz="6" w:space="0" w:color="000000"/>
              <w:right w:val="single" w:sz="6" w:space="0" w:color="000000"/>
            </w:tcBorders>
            <w:shd w:val="clear" w:color="auto" w:fill="B3B3B3"/>
          </w:tcPr>
          <w:p w14:paraId="701A9C4F" w14:textId="77777777" w:rsidR="00E07645" w:rsidRPr="00FF5006" w:rsidRDefault="00E07645" w:rsidP="003F40DD">
            <w:pPr>
              <w:pStyle w:val="TableText"/>
              <w:rPr>
                <w:b/>
              </w:rPr>
            </w:pPr>
            <w:r w:rsidRPr="00FF5006">
              <w:rPr>
                <w:b/>
              </w:rPr>
              <w:t>Default</w:t>
            </w:r>
          </w:p>
        </w:tc>
        <w:tc>
          <w:tcPr>
            <w:tcW w:w="484" w:type="dxa"/>
            <w:vMerge w:val="restart"/>
            <w:tcBorders>
              <w:top w:val="nil"/>
              <w:left w:val="single" w:sz="6" w:space="0" w:color="000000"/>
              <w:bottom w:val="single" w:sz="6" w:space="0" w:color="000000"/>
              <w:right w:val="single" w:sz="6" w:space="0" w:color="000000"/>
            </w:tcBorders>
            <w:shd w:val="clear" w:color="auto" w:fill="auto"/>
          </w:tcPr>
          <w:p w14:paraId="47EB7F14" w14:textId="77777777" w:rsidR="00E07645" w:rsidRPr="00FF5006" w:rsidRDefault="00E07645" w:rsidP="003F40DD">
            <w:pPr>
              <w:pStyle w:val="TableText"/>
              <w:rPr>
                <w:b/>
              </w:rPr>
            </w:pPr>
          </w:p>
        </w:tc>
      </w:tr>
      <w:tr w:rsidR="00E07645" w:rsidRPr="00725902" w14:paraId="1D0F38EE"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2B4C6D2"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C3C47C5" w14:textId="77777777" w:rsidR="00E07645" w:rsidRDefault="00E07645" w:rsidP="003F40DD">
            <w:pPr>
              <w:pStyle w:val="TableText"/>
            </w:pPr>
            <w:r>
              <w:t xml:space="preserve">Pre-Transfusion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F9A3678" w14:textId="77777777" w:rsidR="00E07645" w:rsidRDefault="00E07645"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1A2874A2" w14:textId="77777777" w:rsidR="00E07645" w:rsidRDefault="00E07645" w:rsidP="003F40DD">
            <w:pPr>
              <w:pStyle w:val="TableText"/>
            </w:pPr>
          </w:p>
        </w:tc>
      </w:tr>
      <w:tr w:rsidR="00E07645" w:rsidRPr="00725902" w14:paraId="35878EF2"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C07C046"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00683804" w14:textId="77777777" w:rsidR="00E07645" w:rsidRDefault="00E07645" w:rsidP="003F40DD">
            <w:pPr>
              <w:pStyle w:val="TableText"/>
            </w:pPr>
            <w:r>
              <w:t xml:space="preserve">Post-Transfusion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939AB39" w14:textId="77777777" w:rsidR="00E07645" w:rsidRDefault="00E07645"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746A8545" w14:textId="77777777" w:rsidR="00E07645" w:rsidRDefault="00E07645" w:rsidP="003F40DD">
            <w:pPr>
              <w:pStyle w:val="TableText"/>
            </w:pPr>
          </w:p>
        </w:tc>
      </w:tr>
      <w:tr w:rsidR="00E07645" w:rsidRPr="00725902" w14:paraId="5F07E9E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2C839C87"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5018ACE0" w14:textId="77777777" w:rsidR="00E07645" w:rsidRDefault="00E07645" w:rsidP="003F40DD">
            <w:pPr>
              <w:pStyle w:val="TableText"/>
            </w:pPr>
            <w:r>
              <w:t>Symptoms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5DACF24D" w14:textId="77777777" w:rsidR="00E07645" w:rsidRDefault="00E07645" w:rsidP="003F40DD">
            <w:pPr>
              <w:pStyle w:val="TableText"/>
            </w:pPr>
            <w:r>
              <w:t>No symptoms identified.</w:t>
            </w:r>
          </w:p>
        </w:tc>
        <w:tc>
          <w:tcPr>
            <w:tcW w:w="484" w:type="dxa"/>
            <w:vMerge/>
            <w:tcBorders>
              <w:top w:val="nil"/>
              <w:left w:val="single" w:sz="6" w:space="0" w:color="000000"/>
              <w:bottom w:val="single" w:sz="6" w:space="0" w:color="000000"/>
              <w:right w:val="single" w:sz="6" w:space="0" w:color="000000"/>
            </w:tcBorders>
            <w:shd w:val="clear" w:color="auto" w:fill="auto"/>
          </w:tcPr>
          <w:p w14:paraId="4ED86783" w14:textId="77777777" w:rsidR="00E07645" w:rsidRDefault="00E07645" w:rsidP="003F40DD">
            <w:pPr>
              <w:pStyle w:val="TableText"/>
            </w:pPr>
          </w:p>
        </w:tc>
      </w:tr>
      <w:tr w:rsidR="00E07645" w:rsidRPr="00725902" w14:paraId="3409168A"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4DA415AF"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2AE0B637" w14:textId="77777777" w:rsidR="00E07645" w:rsidRDefault="00E07645" w:rsidP="003F40DD">
            <w:pPr>
              <w:pStyle w:val="TableText"/>
            </w:pPr>
            <w:r>
              <w:t>Implicated units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09BB1514" w14:textId="77777777" w:rsidR="00E07645" w:rsidRDefault="00E07645" w:rsidP="003F40DD">
            <w:pPr>
              <w:pStyle w:val="TableText"/>
            </w:pPr>
            <w:r>
              <w:t>No units implicated in reaction.</w:t>
            </w:r>
          </w:p>
        </w:tc>
        <w:tc>
          <w:tcPr>
            <w:tcW w:w="484" w:type="dxa"/>
            <w:vMerge/>
            <w:tcBorders>
              <w:top w:val="nil"/>
              <w:left w:val="single" w:sz="6" w:space="0" w:color="000000"/>
              <w:bottom w:val="single" w:sz="6" w:space="0" w:color="000000"/>
              <w:right w:val="single" w:sz="6" w:space="0" w:color="000000"/>
            </w:tcBorders>
            <w:shd w:val="clear" w:color="auto" w:fill="auto"/>
          </w:tcPr>
          <w:p w14:paraId="69246379" w14:textId="77777777" w:rsidR="00E07645" w:rsidRDefault="00E07645" w:rsidP="003F40DD">
            <w:pPr>
              <w:pStyle w:val="TableText"/>
            </w:pPr>
          </w:p>
        </w:tc>
      </w:tr>
      <w:tr w:rsidR="00E07645" w:rsidRPr="00725902" w14:paraId="5525363C"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5BB27017"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678318E4" w14:textId="77777777" w:rsidR="00E07645" w:rsidRDefault="00E07645" w:rsidP="003F40DD">
            <w:pPr>
              <w:pStyle w:val="TableText"/>
            </w:pPr>
            <w:r>
              <w:t>Serologic tests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2B5ECA4E" w14:textId="77777777" w:rsidR="00E07645" w:rsidRDefault="00E07645" w:rsidP="003F40DD">
            <w:pPr>
              <w:pStyle w:val="TableText"/>
            </w:pPr>
            <w:r>
              <w:t>No serologic tests performed.</w:t>
            </w:r>
          </w:p>
        </w:tc>
        <w:tc>
          <w:tcPr>
            <w:tcW w:w="484" w:type="dxa"/>
            <w:vMerge/>
            <w:tcBorders>
              <w:top w:val="nil"/>
              <w:left w:val="single" w:sz="6" w:space="0" w:color="000000"/>
              <w:bottom w:val="single" w:sz="6" w:space="0" w:color="000000"/>
              <w:right w:val="single" w:sz="6" w:space="0" w:color="000000"/>
            </w:tcBorders>
            <w:shd w:val="clear" w:color="auto" w:fill="auto"/>
          </w:tcPr>
          <w:p w14:paraId="6E83E641" w14:textId="77777777" w:rsidR="00E07645" w:rsidRDefault="00E07645" w:rsidP="003F40DD">
            <w:pPr>
              <w:pStyle w:val="TableText"/>
            </w:pPr>
          </w:p>
        </w:tc>
      </w:tr>
    </w:tbl>
    <w:p w14:paraId="0F9E87EC" w14:textId="77777777" w:rsidR="00E07645" w:rsidRDefault="00E07645"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71699C" w:rsidRPr="005E4113" w14:paraId="24D22E2E" w14:textId="77777777" w:rsidTr="00CE4C78">
        <w:trPr>
          <w:cantSplit/>
          <w:tblHeader/>
        </w:trPr>
        <w:tc>
          <w:tcPr>
            <w:tcW w:w="9360" w:type="dxa"/>
            <w:shd w:val="clear" w:color="auto" w:fill="BFBFBF" w:themeFill="background1" w:themeFillShade="BF"/>
            <w:vAlign w:val="bottom"/>
          </w:tcPr>
          <w:p w14:paraId="4FD12055" w14:textId="77777777" w:rsidR="0071699C" w:rsidRPr="005E4113" w:rsidRDefault="0071699C" w:rsidP="00E971D0">
            <w:pPr>
              <w:pStyle w:val="TableText"/>
              <w:rPr>
                <w:b/>
              </w:rPr>
            </w:pPr>
            <w:r>
              <w:rPr>
                <w:b/>
              </w:rPr>
              <w:t>Patient Search Screen</w:t>
            </w:r>
          </w:p>
        </w:tc>
      </w:tr>
      <w:tr w:rsidR="0071699C" w:rsidRPr="00725902" w14:paraId="413433CF"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E425143" w14:textId="77777777" w:rsidR="0071699C" w:rsidRPr="0071699C" w:rsidRDefault="0071699C" w:rsidP="0071699C">
            <w:pPr>
              <w:pStyle w:val="PlainText"/>
              <w:rPr>
                <w:rFonts w:ascii="Arial" w:eastAsia="Times New Roman" w:hAnsi="Arial"/>
                <w:sz w:val="18"/>
                <w:szCs w:val="24"/>
              </w:rPr>
            </w:pPr>
            <w:r w:rsidRPr="0071699C">
              <w:rPr>
                <w:rFonts w:ascii="Arial" w:eastAsia="Times New Roman" w:hAnsi="Arial"/>
                <w:sz w:val="18"/>
                <w:szCs w:val="24"/>
              </w:rPr>
              <w:t xml:space="preserve">VBECS updates information from VistA File #2, not VistA File #20. Name changes made in VistA File #20 will not appear in VBECS. Align File #2 with those changes to update VBECS. </w:t>
            </w:r>
            <w:r w:rsidRPr="0071699C">
              <w:rPr>
                <w:rFonts w:ascii="Arial" w:eastAsia="Times New Roman" w:hAnsi="Arial"/>
                <w:vanish/>
                <w:sz w:val="18"/>
                <w:szCs w:val="24"/>
              </w:rPr>
              <w:t>Task 585891</w:t>
            </w:r>
          </w:p>
        </w:tc>
      </w:tr>
      <w:tr w:rsidR="00696708" w:rsidRPr="00725902" w14:paraId="57EA97A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8D253EE" w14:textId="4C9FA4FF" w:rsidR="00696708" w:rsidRPr="00696708" w:rsidRDefault="00696708" w:rsidP="00696708">
            <w:pPr>
              <w:pStyle w:val="ListBullet"/>
              <w:numPr>
                <w:ilvl w:val="0"/>
                <w:numId w:val="0"/>
              </w:numPr>
            </w:pPr>
            <w:r w:rsidRPr="00696708">
              <w:rPr>
                <w:rFonts w:ascii="Arial" w:hAnsi="Arial"/>
                <w:spacing w:val="0"/>
                <w:sz w:val="18"/>
                <w:szCs w:val="24"/>
              </w:rPr>
              <w:t xml:space="preserve">Searching for non-alphanumeric characters (e.g., hyphens, etc.) </w:t>
            </w:r>
            <w:r w:rsidR="00511276">
              <w:rPr>
                <w:rFonts w:ascii="Arial" w:hAnsi="Arial"/>
                <w:spacing w:val="0"/>
                <w:sz w:val="18"/>
                <w:szCs w:val="24"/>
              </w:rPr>
              <w:t>is not supported</w:t>
            </w:r>
            <w:r w:rsidRPr="00696708">
              <w:rPr>
                <w:rFonts w:ascii="Arial" w:hAnsi="Arial"/>
                <w:spacing w:val="0"/>
                <w:sz w:val="18"/>
                <w:szCs w:val="24"/>
              </w:rPr>
              <w:t>.</w:t>
            </w:r>
            <w:r w:rsidR="00CE1233">
              <w:rPr>
                <w:rFonts w:ascii="Arial" w:hAnsi="Arial"/>
                <w:spacing w:val="0"/>
                <w:sz w:val="18"/>
                <w:szCs w:val="24"/>
              </w:rPr>
              <w:t xml:space="preserve"> </w:t>
            </w:r>
            <w:r w:rsidR="00CE1233" w:rsidRPr="009312D9">
              <w:rPr>
                <w:rFonts w:ascii="Arial" w:hAnsi="Arial"/>
                <w:vanish/>
                <w:spacing w:val="0"/>
                <w:sz w:val="18"/>
                <w:szCs w:val="24"/>
              </w:rPr>
              <w:t>Defect 209859</w:t>
            </w:r>
          </w:p>
        </w:tc>
      </w:tr>
    </w:tbl>
    <w:p w14:paraId="0AB45615" w14:textId="77777777" w:rsidR="0071699C" w:rsidRDefault="0071699C"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53DC3" w:rsidRPr="001E53C1" w14:paraId="7FADF203" w14:textId="77777777" w:rsidTr="00DB7466">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3571ADA" w14:textId="77777777" w:rsidR="00D53DC3" w:rsidRPr="001E53C1" w:rsidRDefault="00D53DC3" w:rsidP="00DB7466">
            <w:pPr>
              <w:pStyle w:val="TableText"/>
              <w:rPr>
                <w:b/>
              </w:rPr>
            </w:pPr>
            <w:r>
              <w:rPr>
                <w:b/>
              </w:rPr>
              <w:t>Patient Testing: Record a Patient ABO/Rh</w:t>
            </w:r>
          </w:p>
        </w:tc>
      </w:tr>
      <w:tr w:rsidR="00D53DC3" w14:paraId="25167158" w14:textId="77777777" w:rsidTr="00DB746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F2A4E9B" w14:textId="7D16EB0C" w:rsidR="00D53DC3" w:rsidRDefault="00D53DC3" w:rsidP="004C63BA">
            <w:pPr>
              <w:pStyle w:val="PlainText"/>
            </w:pPr>
            <w:r w:rsidRPr="00D53DC3">
              <w:rPr>
                <w:rFonts w:ascii="Arial" w:eastAsia="Times New Roman" w:hAnsi="Arial"/>
                <w:sz w:val="18"/>
                <w:szCs w:val="24"/>
              </w:rPr>
              <w:t>VBECS does not allow entry of ABO or Rh subgroups as a 'group' and/</w:t>
            </w:r>
            <w:r w:rsidR="009903AA" w:rsidRPr="00D53DC3">
              <w:rPr>
                <w:rFonts w:ascii="Arial" w:eastAsia="Times New Roman" w:hAnsi="Arial"/>
                <w:sz w:val="18"/>
                <w:szCs w:val="24"/>
              </w:rPr>
              <w:t>or ‘</w:t>
            </w:r>
            <w:r w:rsidRPr="00D53DC3">
              <w:rPr>
                <w:rFonts w:ascii="Arial" w:eastAsia="Times New Roman" w:hAnsi="Arial"/>
                <w:sz w:val="18"/>
                <w:szCs w:val="24"/>
              </w:rPr>
              <w:t>type' when the previous blood group/type is "NR", indicating no recor</w:t>
            </w:r>
            <w:r w:rsidR="004C63BA">
              <w:rPr>
                <w:rFonts w:ascii="Arial" w:eastAsia="Times New Roman" w:hAnsi="Arial"/>
                <w:sz w:val="18"/>
                <w:szCs w:val="24"/>
              </w:rPr>
              <w:t>d of previous testing. S</w:t>
            </w:r>
            <w:r w:rsidRPr="00D53DC3">
              <w:rPr>
                <w:rFonts w:ascii="Arial" w:eastAsia="Times New Roman" w:hAnsi="Arial"/>
                <w:sz w:val="18"/>
                <w:szCs w:val="24"/>
              </w:rPr>
              <w:t>ee FAQ ABO Subgroup Interpretation and conta</w:t>
            </w:r>
            <w:r w:rsidR="005364D9">
              <w:rPr>
                <w:rFonts w:ascii="Arial" w:eastAsia="Times New Roman" w:hAnsi="Arial"/>
                <w:sz w:val="18"/>
                <w:szCs w:val="24"/>
              </w:rPr>
              <w:t xml:space="preserve">ct the </w:t>
            </w:r>
            <w:r w:rsidRPr="00D53DC3">
              <w:rPr>
                <w:rFonts w:ascii="Arial" w:eastAsia="Times New Roman" w:hAnsi="Arial"/>
                <w:sz w:val="18"/>
                <w:szCs w:val="24"/>
              </w:rPr>
              <w:t>Service Desk for assistance, prior to adding patient transfusion records in VBECS, when possible.</w:t>
            </w:r>
            <w:r>
              <w:rPr>
                <w:rFonts w:ascii="Arial" w:eastAsia="Times New Roman" w:hAnsi="Arial"/>
                <w:sz w:val="18"/>
                <w:szCs w:val="24"/>
              </w:rPr>
              <w:t xml:space="preserve"> </w:t>
            </w:r>
            <w:r w:rsidRPr="00D53DC3">
              <w:rPr>
                <w:rFonts w:ascii="Arial" w:eastAsia="Times New Roman" w:hAnsi="Arial"/>
                <w:vanish/>
                <w:sz w:val="18"/>
                <w:szCs w:val="24"/>
              </w:rPr>
              <w:t>Defect 368207</w:t>
            </w:r>
            <w:r w:rsidRPr="00C43421">
              <w:rPr>
                <w:vanish/>
              </w:rPr>
              <w:t xml:space="preserve"> DR 3766</w:t>
            </w:r>
          </w:p>
        </w:tc>
      </w:tr>
      <w:tr w:rsidR="00FE415F" w14:paraId="4B8DA837" w14:textId="77777777" w:rsidTr="00DB746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906F90F" w14:textId="77777777" w:rsidR="00FE415F" w:rsidRPr="00FE415F" w:rsidRDefault="00FE415F" w:rsidP="00FE415F">
            <w:pPr>
              <w:pStyle w:val="TableText"/>
              <w:rPr>
                <w:b/>
              </w:rPr>
            </w:pPr>
            <w:r w:rsidRPr="00FE415F">
              <w:t xml:space="preserve">When the patient has no previous ABO/Rh test record (NR), the ABO/Rh test associated with </w:t>
            </w:r>
            <w:r w:rsidR="004641B8" w:rsidRPr="00FE415F">
              <w:t>the</w:t>
            </w:r>
            <w:r w:rsidRPr="00FE415F">
              <w:t xml:space="preserve"> Type and Screen test (TAS) must be completed and saved prior to entering and saving a repeat ABO/Rh test on this specimen. </w:t>
            </w:r>
            <w:r w:rsidRPr="00FE415F">
              <w:rPr>
                <w:vanish/>
              </w:rPr>
              <w:t>Defect 231531</w:t>
            </w:r>
            <w:r w:rsidR="003B0CE2">
              <w:rPr>
                <w:vanish/>
              </w:rPr>
              <w:t>, Task 474043</w:t>
            </w:r>
          </w:p>
        </w:tc>
      </w:tr>
      <w:tr w:rsidR="008279C2" w14:paraId="693D2971" w14:textId="77777777" w:rsidTr="00DB746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7B29650" w14:textId="170683C3" w:rsidR="008279C2" w:rsidRPr="00FE415F" w:rsidRDefault="008279C2" w:rsidP="00FE415F">
            <w:pPr>
              <w:pStyle w:val="TableText"/>
            </w:pPr>
            <w:r w:rsidRPr="00D25068">
              <w:lastRenderedPageBreak/>
              <w:t>A user is permitted to select two partially completed tests with different test phases (e.g., AHG only and All Phases) along with a not started test. The testing phase for the not started test will present as AHG only even though results for all phases are required by VBECS. Entering only AHG test results for the specimen that was not started and saving will result in a partially completed test that cannot be completed or invalidated.</w:t>
            </w:r>
            <w:r>
              <w:t xml:space="preserve"> Contact the Service Desk when you encounter this problem. Specimens that cannot be completed or invalidated require the attention of Tier 3 support. Select partially completed orders that have been previously saved with the same grid test pattern. Optionally, a not started test may be selected with these but must be tested with the same grid pattern to avoid the problem</w:t>
            </w:r>
            <w:r w:rsidR="00027A1C">
              <w:t xml:space="preserve">. </w:t>
            </w:r>
            <w:r w:rsidR="00027A1C" w:rsidRPr="00027A1C">
              <w:rPr>
                <w:vanish/>
              </w:rPr>
              <w:t>Defect 210048</w:t>
            </w:r>
          </w:p>
        </w:tc>
      </w:tr>
      <w:tr w:rsidR="008279C2" w14:paraId="2433A682" w14:textId="77777777" w:rsidTr="00DB746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27BD8A9" w14:textId="79365B2A" w:rsidR="008279C2" w:rsidRPr="00FE415F" w:rsidRDefault="00027A1C" w:rsidP="00FE415F">
            <w:pPr>
              <w:pStyle w:val="TableText"/>
            </w:pPr>
            <w:r>
              <w:t xml:space="preserve">When canceling out of a Discrepant ABO/Rh Typing override, the interpretations are cleared, but the testing results are not cleared. Correct the testing entries or click the red ‘X’ to clear the testing results. </w:t>
            </w:r>
            <w:r w:rsidRPr="00027A1C">
              <w:rPr>
                <w:vanish/>
              </w:rPr>
              <w:t>Defect 2</w:t>
            </w:r>
            <w:r>
              <w:rPr>
                <w:vanish/>
              </w:rPr>
              <w:t>08974</w:t>
            </w:r>
          </w:p>
        </w:tc>
      </w:tr>
    </w:tbl>
    <w:p w14:paraId="147B11D0" w14:textId="77777777" w:rsidR="000604AA" w:rsidRDefault="000604AA"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16C854CA" w14:textId="77777777" w:rsidTr="00CE4C78">
        <w:trPr>
          <w:cantSplit/>
          <w:tblHeader/>
        </w:trPr>
        <w:tc>
          <w:tcPr>
            <w:tcW w:w="9360" w:type="dxa"/>
            <w:shd w:val="clear" w:color="auto" w:fill="BFBFBF" w:themeFill="background1" w:themeFillShade="BF"/>
            <w:vAlign w:val="bottom"/>
          </w:tcPr>
          <w:p w14:paraId="1B3D3935" w14:textId="7D4B4147" w:rsidR="003F0440" w:rsidRPr="005E4113" w:rsidRDefault="000604AA" w:rsidP="002D126B">
            <w:pPr>
              <w:pStyle w:val="TableText"/>
              <w:rPr>
                <w:b/>
              </w:rPr>
            </w:pPr>
            <w:r>
              <w:br w:type="page"/>
            </w:r>
            <w:r w:rsidR="003F0440" w:rsidRPr="005E4113">
              <w:rPr>
                <w:b/>
              </w:rPr>
              <w:t>Patient Merge</w:t>
            </w:r>
          </w:p>
        </w:tc>
      </w:tr>
      <w:tr w:rsidR="00D139EE" w:rsidRPr="00725902" w14:paraId="4EBFC2EA" w14:textId="77777777" w:rsidTr="00CE4C78">
        <w:tblPrEx>
          <w:tblBorders>
            <w:insideH w:val="none" w:sz="0" w:space="0" w:color="auto"/>
            <w:insideV w:val="none" w:sz="0" w:space="0" w:color="auto"/>
          </w:tblBorders>
          <w:shd w:val="clear" w:color="auto" w:fill="auto"/>
        </w:tblPrEx>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E697525" w14:textId="77777777" w:rsidR="00D139EE" w:rsidRPr="00D139EE" w:rsidRDefault="00D139EE" w:rsidP="00D139EE">
            <w:pPr>
              <w:pStyle w:val="TableText"/>
            </w:pPr>
            <w:r w:rsidRPr="00D62E7A">
              <w:rPr>
                <w:vanish/>
              </w:rPr>
              <w:t>DR 2,527</w:t>
            </w:r>
            <w:r>
              <w:rPr>
                <w:vanish/>
              </w:rPr>
              <w:t xml:space="preserve"> </w:t>
            </w:r>
            <w:r>
              <w:t>The Traditional Supervisor or above must update patient records manually.</w:t>
            </w:r>
          </w:p>
        </w:tc>
      </w:tr>
      <w:tr w:rsidR="00D139EE" w:rsidRPr="00725902" w14:paraId="3D684703"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DA566DF" w14:textId="77777777" w:rsidR="00D139EE" w:rsidRPr="00D139EE" w:rsidRDefault="00D139EE" w:rsidP="00D139EE">
            <w:pPr>
              <w:pStyle w:val="TableTex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tc>
      </w:tr>
      <w:tr w:rsidR="00562E66" w:rsidRPr="00725902" w14:paraId="15193151"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4791B4C" w14:textId="77777777" w:rsidR="00562E66" w:rsidRDefault="00562E66" w:rsidP="00931283">
            <w:pPr>
              <w:pStyle w:val="TableText"/>
            </w:pPr>
            <w:r>
              <w:t>Patient merges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931283">
              <w:t>Email Alerts</w:t>
            </w:r>
            <w:r w:rsidRPr="00DD022C">
              <w:t>” field.</w:t>
            </w:r>
          </w:p>
        </w:tc>
      </w:tr>
      <w:tr w:rsidR="0096797E" w:rsidRPr="00725902" w14:paraId="5C000053"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3A8C0F9" w14:textId="28BB2CE6" w:rsidR="0096797E" w:rsidRDefault="0096797E" w:rsidP="00931283">
            <w:pPr>
              <w:pStyle w:val="TableText"/>
            </w:pPr>
            <w:r>
              <w:t xml:space="preserve">VBECS displays duplicate merge events to the user for merge. Users can process one of the merge events manually and clear both merge alerts. The Master Veteran Index team is working on a patch to discontinue sending a duplicate message. </w:t>
            </w:r>
            <w:r w:rsidRPr="00FC36D7">
              <w:rPr>
                <w:vanish/>
              </w:rPr>
              <w:t xml:space="preserve">Defect </w:t>
            </w:r>
            <w:r w:rsidR="00FC36D7" w:rsidRPr="00FC36D7">
              <w:rPr>
                <w:vanish/>
              </w:rPr>
              <w:t>210029</w:t>
            </w:r>
          </w:p>
        </w:tc>
      </w:tr>
    </w:tbl>
    <w:p w14:paraId="0285A9D3"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808B9" w14:paraId="4ED7759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CD0BC5F" w14:textId="77777777" w:rsidR="003F0440" w:rsidRPr="005808B9" w:rsidRDefault="003F0440" w:rsidP="002D126B">
            <w:pPr>
              <w:pStyle w:val="TableText"/>
              <w:rPr>
                <w:b/>
              </w:rPr>
            </w:pPr>
            <w:r w:rsidRPr="005808B9">
              <w:rPr>
                <w:b/>
              </w:rPr>
              <w:t>Patient Testing: Cancel an Active Order</w:t>
            </w:r>
          </w:p>
        </w:tc>
      </w:tr>
      <w:tr w:rsidR="003F0440" w:rsidRPr="001C59D2" w14:paraId="1BD5FDBD"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AC7BE22" w14:textId="77777777" w:rsidR="003F0440" w:rsidRPr="005808B9" w:rsidRDefault="003F0440" w:rsidP="002D126B">
            <w:pPr>
              <w:pStyle w:val="TableText"/>
            </w:pPr>
            <w:r>
              <w:t>Cancellation of one order does not affect other orders placed with it.</w:t>
            </w:r>
          </w:p>
        </w:tc>
      </w:tr>
      <w:tr w:rsidR="003F0440" w:rsidRPr="001C59D2" w14:paraId="2AFA344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B73F7E6" w14:textId="77777777" w:rsidR="003F0440" w:rsidRPr="001C59D2" w:rsidRDefault="003F0440" w:rsidP="002D126B">
            <w:pPr>
              <w:pStyle w:val="TableText"/>
              <w:rPr>
                <w:b/>
              </w:rPr>
            </w:pPr>
            <w:r>
              <w:t>Before a user may cancel a partially completed task, he must invalidate the results for that task, thereby changing its status to “not started.”</w:t>
            </w:r>
          </w:p>
        </w:tc>
      </w:tr>
    </w:tbl>
    <w:p w14:paraId="5BB38BA3" w14:textId="77777777" w:rsidR="003E754E" w:rsidRDefault="003E754E"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33B76" w14:paraId="42DA775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00C6E2" w14:textId="77777777" w:rsidR="003F0440" w:rsidRPr="00033B76" w:rsidRDefault="003E754E" w:rsidP="002D126B">
            <w:pPr>
              <w:pStyle w:val="TableText"/>
              <w:rPr>
                <w:b/>
              </w:rPr>
            </w:pPr>
            <w:r>
              <w:br w:type="page"/>
            </w:r>
            <w:r w:rsidR="003F0440" w:rsidRPr="00033B76">
              <w:rPr>
                <w:b/>
              </w:rPr>
              <w:t>Patient Testing: Enter Antibody Identification Results</w:t>
            </w:r>
          </w:p>
        </w:tc>
      </w:tr>
      <w:tr w:rsidR="003F0440" w:rsidRPr="001C59D2" w14:paraId="54BD7C1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220F0AA" w14:textId="77777777" w:rsidR="003F0440" w:rsidRDefault="003F0440" w:rsidP="002D126B">
            <w:pPr>
              <w:pStyle w:val="TableText"/>
            </w:pPr>
            <w:r>
              <w:t>When an antigen negative requirement is not configured for an antibody, the user may enter the requirement for a patient through Special Instructions &amp; Transfusion Requirements: Enter a Transfusion Requirement.</w:t>
            </w:r>
          </w:p>
        </w:tc>
      </w:tr>
    </w:tbl>
    <w:p w14:paraId="044EE331"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986D0E" w14:paraId="65FC014F"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16E77EF" w14:textId="77777777" w:rsidR="003F0440" w:rsidRPr="00986D0E" w:rsidRDefault="003F0440" w:rsidP="002D126B">
            <w:pPr>
              <w:pStyle w:val="TableText"/>
              <w:rPr>
                <w:b/>
              </w:rPr>
            </w:pPr>
            <w:r w:rsidRPr="00986D0E">
              <w:rPr>
                <w:b/>
              </w:rPr>
              <w:t>Patient Testing: General Instructions</w:t>
            </w:r>
          </w:p>
        </w:tc>
      </w:tr>
      <w:tr w:rsidR="003F0440" w:rsidRPr="001C59D2" w14:paraId="007F030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FCB2CB6" w14:textId="77777777" w:rsidR="003F0440" w:rsidRDefault="003F0440" w:rsidP="002D126B">
            <w:pPr>
              <w:pStyle w:val="TableText"/>
            </w:pPr>
            <w:r>
              <w:t>This test record is not editable after the user completes a test and saves it to the database. When a correction needs to be filed, a corrected report must be generated, as described in Invalidating Patient Test Results.</w:t>
            </w:r>
          </w:p>
        </w:tc>
      </w:tr>
      <w:tr w:rsidR="00B90645" w:rsidRPr="001C59D2" w14:paraId="4478A3A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3A322BE" w14:textId="77777777" w:rsidR="00B90645" w:rsidRDefault="00B90645" w:rsidP="00B90645">
            <w:pPr>
              <w:pStyle w:val="TableText"/>
            </w:pPr>
            <w:r>
              <w:t>User selection of partially completed testing grids with different phases of testing creates a testing discrepancy in VBECS. Batch testing is limited to testing at the same phases.</w:t>
            </w:r>
            <w:r w:rsidRPr="00B90645">
              <w:rPr>
                <w:vanish/>
              </w:rPr>
              <w:t xml:space="preserve"> DR 4218</w:t>
            </w:r>
          </w:p>
        </w:tc>
      </w:tr>
      <w:tr w:rsidR="006941AE" w:rsidRPr="001C59D2" w14:paraId="7FFACB0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32AE75D" w14:textId="77777777" w:rsidR="006941AE" w:rsidRDefault="006941AE" w:rsidP="00B90645">
            <w:pPr>
              <w:pStyle w:val="TableText"/>
            </w:pPr>
            <w:r>
              <w:t>Limited batch testing to partially completed orders with the same testing grid selection, either All Phases or AHG Only.</w:t>
            </w:r>
          </w:p>
        </w:tc>
      </w:tr>
      <w:tr w:rsidR="006941AE" w:rsidRPr="001C59D2" w14:paraId="18A42BE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4BA921" w14:textId="77777777" w:rsidR="006941AE" w:rsidRDefault="006941AE" w:rsidP="00B90645">
            <w:pPr>
              <w:pStyle w:val="TableText"/>
            </w:pPr>
            <w:r>
              <w:t>VBECS cannot compare test results for a patient when two users are entering test results for the same patient at the same time.</w:t>
            </w:r>
          </w:p>
        </w:tc>
      </w:tr>
      <w:tr w:rsidR="00A753B8" w:rsidRPr="001C59D2" w14:paraId="107CFCC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653309F" w14:textId="25FA6744" w:rsidR="00A753B8" w:rsidRDefault="00A753B8" w:rsidP="00B90645">
            <w:pPr>
              <w:pStyle w:val="TableText"/>
            </w:pPr>
            <w:r>
              <w:t xml:space="preserve">Cost entry is capped at 999.99. </w:t>
            </w:r>
            <w:r w:rsidRPr="00A753B8">
              <w:rPr>
                <w:vanish/>
              </w:rPr>
              <w:t>Defect 942523</w:t>
            </w:r>
          </w:p>
        </w:tc>
      </w:tr>
    </w:tbl>
    <w:p w14:paraId="6D344F38"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6C97226E" w14:textId="77777777" w:rsidTr="00CE4C78">
        <w:trPr>
          <w:cantSplit/>
          <w:tblHeader/>
        </w:trPr>
        <w:tc>
          <w:tcPr>
            <w:tcW w:w="9360" w:type="dxa"/>
            <w:shd w:val="clear" w:color="auto" w:fill="BFBFBF" w:themeFill="background1" w:themeFillShade="BF"/>
            <w:vAlign w:val="bottom"/>
          </w:tcPr>
          <w:p w14:paraId="0AD01A8C" w14:textId="77777777" w:rsidR="003F0440" w:rsidRPr="005E4113" w:rsidRDefault="003F0440" w:rsidP="002D126B">
            <w:pPr>
              <w:pStyle w:val="TableText"/>
              <w:rPr>
                <w:b/>
              </w:rPr>
            </w:pPr>
            <w:r w:rsidRPr="005E4113">
              <w:rPr>
                <w:b/>
              </w:rPr>
              <w:lastRenderedPageBreak/>
              <w:t>Patient Testing: Pending Task List</w:t>
            </w:r>
          </w:p>
        </w:tc>
      </w:tr>
      <w:tr w:rsidR="003F0440" w:rsidRPr="00725902" w14:paraId="093A037D"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D10D14A" w14:textId="77777777" w:rsidR="003F0440" w:rsidRPr="00725902" w:rsidRDefault="003F0440" w:rsidP="002D126B">
            <w:pPr>
              <w:pStyle w:val="TableText"/>
            </w:pPr>
            <w:r>
              <w:t>This option is for diagnostic, blood component, and reflex test orders placed in or directed to the user’s division.</w:t>
            </w:r>
          </w:p>
        </w:tc>
      </w:tr>
      <w:tr w:rsidR="003F0440" w:rsidRPr="00725902" w14:paraId="719F90E4"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1A492C7" w14:textId="77777777" w:rsidR="003F0440" w:rsidRPr="00725902" w:rsidRDefault="003F0440" w:rsidP="002D126B">
            <w:pPr>
              <w:pStyle w:val="TableText"/>
            </w:pPr>
            <w:r>
              <w:t>The PTL does not include daily quality control, equipment maintenance schedules, or pending ABO/Rh confirmation and auxiliary tests on red blood cell units.</w:t>
            </w:r>
          </w:p>
        </w:tc>
      </w:tr>
      <w:tr w:rsidR="00B16403" w:rsidRPr="00725902" w14:paraId="6C5C13F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186684D" w14:textId="77777777" w:rsidR="00B16403" w:rsidRDefault="00B16403" w:rsidP="002D126B">
            <w:pPr>
              <w:pStyle w:val="TableText"/>
            </w:pPr>
            <w:r w:rsidRPr="00696FA6">
              <w:t xml:space="preserve">Users may perform testing for no more than four patients in one </w:t>
            </w:r>
            <w:r>
              <w:t>VBECS</w:t>
            </w:r>
            <w:r w:rsidRPr="00696FA6">
              <w:t xml:space="preserve"> session.</w:t>
            </w:r>
          </w:p>
        </w:tc>
      </w:tr>
    </w:tbl>
    <w:p w14:paraId="2377855D"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D61D3" w14:paraId="39D8F62F" w14:textId="77777777" w:rsidTr="00CE4C78">
        <w:trPr>
          <w:cantSplit/>
          <w:tblHeader/>
        </w:trPr>
        <w:tc>
          <w:tcPr>
            <w:tcW w:w="9360" w:type="dxa"/>
            <w:shd w:val="clear" w:color="auto" w:fill="BFBFBF" w:themeFill="background1" w:themeFillShade="BF"/>
            <w:vAlign w:val="bottom"/>
          </w:tcPr>
          <w:p w14:paraId="3B43F9F5" w14:textId="77777777" w:rsidR="003F0440" w:rsidRPr="005D61D3" w:rsidRDefault="003F0440" w:rsidP="002D126B">
            <w:pPr>
              <w:pStyle w:val="TableText"/>
              <w:rPr>
                <w:b/>
              </w:rPr>
            </w:pPr>
            <w:r w:rsidRPr="005D61D3">
              <w:rPr>
                <w:b/>
              </w:rPr>
              <w:t>Patient Testing: Record a Crossmatch</w:t>
            </w:r>
          </w:p>
        </w:tc>
      </w:tr>
      <w:tr w:rsidR="003F0440" w:rsidRPr="00725902" w14:paraId="07362853" w14:textId="77777777" w:rsidTr="00CE4C78">
        <w:tblPrEx>
          <w:tblBorders>
            <w:insideH w:val="none" w:sz="0" w:space="0" w:color="auto"/>
            <w:insideV w:val="none" w:sz="0" w:space="0" w:color="auto"/>
          </w:tblBorders>
          <w:shd w:val="clear" w:color="auto" w:fill="auto"/>
        </w:tblPrEx>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693C2B" w14:textId="77777777" w:rsidR="003F0440" w:rsidRPr="00725902" w:rsidRDefault="003F0440" w:rsidP="002D126B">
            <w:pPr>
              <w:pStyle w:val="TableText"/>
            </w:pPr>
            <w:r>
              <w:rPr>
                <w:rFonts w:cs="Arial"/>
                <w:vanish/>
              </w:rPr>
              <w:t xml:space="preserve">BR_40.01 </w:t>
            </w:r>
            <w:r>
              <w:t>The specimen associated with testing must have an expiration date and time that are later than the testing date and time entered in Patient Testing: Record Patient Test Results. When this is not the case, VBECS warns that the patient specimen expired. There is no override.</w:t>
            </w:r>
          </w:p>
        </w:tc>
      </w:tr>
      <w:tr w:rsidR="003F0440" w:rsidRPr="00725902" w14:paraId="298C27EC"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3B59E71" w14:textId="77777777" w:rsidR="003F0440" w:rsidRPr="00725902" w:rsidRDefault="003F0440" w:rsidP="002D126B">
            <w:pPr>
              <w:pStyle w:val="TableText"/>
            </w:pPr>
            <w:r>
              <w:t>This option does not include electronic crossmatch (eXM).</w:t>
            </w:r>
          </w:p>
        </w:tc>
      </w:tr>
    </w:tbl>
    <w:p w14:paraId="00E45E88" w14:textId="77777777" w:rsidR="000604AA" w:rsidRDefault="000604AA"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92276" w14:paraId="38B620FD" w14:textId="77777777" w:rsidTr="00CE4C78">
        <w:trPr>
          <w:cantSplit/>
          <w:tblHeader/>
        </w:trPr>
        <w:tc>
          <w:tcPr>
            <w:tcW w:w="9360" w:type="dxa"/>
            <w:shd w:val="clear" w:color="auto" w:fill="BFBFBF" w:themeFill="background1" w:themeFillShade="BF"/>
            <w:vAlign w:val="bottom"/>
          </w:tcPr>
          <w:p w14:paraId="4DBF2332" w14:textId="6A652A3E" w:rsidR="003F0440" w:rsidRPr="00092276" w:rsidRDefault="000604AA" w:rsidP="002D126B">
            <w:pPr>
              <w:pStyle w:val="TableText"/>
              <w:rPr>
                <w:b/>
              </w:rPr>
            </w:pPr>
            <w:r>
              <w:br w:type="page"/>
            </w:r>
            <w:r w:rsidR="003F0440" w:rsidRPr="00092276">
              <w:rPr>
                <w:b/>
              </w:rPr>
              <w:t>Patient Testing: Record a Direct Antiglobulin Test</w:t>
            </w:r>
          </w:p>
        </w:tc>
      </w:tr>
      <w:tr w:rsidR="003F0440" w:rsidRPr="00725902" w14:paraId="5E9C576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E1C4BFF" w14:textId="77777777" w:rsidR="003F0440" w:rsidRPr="00725902" w:rsidRDefault="003F0440" w:rsidP="002D126B">
            <w:pPr>
              <w:pStyle w:val="TableText"/>
            </w:pPr>
            <w:r>
              <w:t>VBECS does not check whether the lot and vial numbers selected for the positive control cells are different from those of the negative control cells.</w:t>
            </w:r>
          </w:p>
        </w:tc>
      </w:tr>
    </w:tbl>
    <w:p w14:paraId="2ED27F49"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171BE" w14:paraId="2BE38C8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8623DA4" w14:textId="77777777" w:rsidR="003F0440" w:rsidRPr="002171BE" w:rsidRDefault="003F0440" w:rsidP="002D126B">
            <w:pPr>
              <w:pStyle w:val="TableText"/>
              <w:rPr>
                <w:b/>
              </w:rPr>
            </w:pPr>
            <w:r w:rsidRPr="002171BE">
              <w:rPr>
                <w:b/>
              </w:rPr>
              <w:t>Patient Tes</w:t>
            </w:r>
            <w:r w:rsidR="006941AE">
              <w:rPr>
                <w:b/>
              </w:rPr>
              <w:t xml:space="preserve">ting: Record a Patient Antibody </w:t>
            </w:r>
            <w:r w:rsidRPr="002171BE">
              <w:rPr>
                <w:b/>
              </w:rPr>
              <w:t>Screen</w:t>
            </w:r>
          </w:p>
        </w:tc>
      </w:tr>
      <w:tr w:rsidR="003F0440" w:rsidRPr="00725902" w14:paraId="46190C5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92E99D" w14:textId="77777777" w:rsidR="003F0440" w:rsidRDefault="003F0440" w:rsidP="002D126B">
            <w:pPr>
              <w:pStyle w:val="TableText"/>
            </w:pPr>
            <w:r>
              <w:t xml:space="preserve">This </w:t>
            </w:r>
            <w:r>
              <w:rPr>
                <w:szCs w:val="20"/>
              </w:rPr>
              <w:t>option is for patient testing only</w:t>
            </w:r>
            <w:r w:rsidR="001E7158">
              <w:rPr>
                <w:szCs w:val="20"/>
              </w:rPr>
              <w:t>.</w:t>
            </w:r>
          </w:p>
        </w:tc>
      </w:tr>
    </w:tbl>
    <w:p w14:paraId="49FA68ED" w14:textId="77777777" w:rsidR="0045199A" w:rsidRDefault="0045199A"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3DD5" w14:paraId="34844A6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6981C59" w14:textId="77777777" w:rsidR="003F0440" w:rsidRPr="00B16403" w:rsidRDefault="003F0440" w:rsidP="002D126B">
            <w:pPr>
              <w:pStyle w:val="TableText"/>
              <w:rPr>
                <w:b/>
              </w:rPr>
            </w:pPr>
            <w:r w:rsidRPr="00B16403">
              <w:rPr>
                <w:b/>
              </w:rPr>
              <w:t>Patient Testing: Record a Patient Antigen Typing</w:t>
            </w:r>
          </w:p>
        </w:tc>
      </w:tr>
      <w:tr w:rsidR="003F0440" w:rsidRPr="00725902" w14:paraId="53715F5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27944E" w14:textId="77777777" w:rsidR="003F0440" w:rsidRPr="0045199A" w:rsidRDefault="003F0440" w:rsidP="002D126B">
            <w:pPr>
              <w:pStyle w:val="TableText"/>
            </w:pPr>
            <w:r w:rsidRPr="0045199A">
              <w:t>Antigen typing applies only to red blood cell antigens. [This option does not address platelet, histocompatibility locus antigen (HLA), or Immunoglobulin A (IgA) antigens.]</w:t>
            </w:r>
          </w:p>
        </w:tc>
      </w:tr>
      <w:tr w:rsidR="003F0440" w:rsidRPr="00725902" w14:paraId="5849E3E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632867" w14:textId="77777777" w:rsidR="003F0440" w:rsidRPr="0045199A" w:rsidRDefault="003F0440" w:rsidP="002D126B">
            <w:pPr>
              <w:pStyle w:val="TableText"/>
            </w:pPr>
            <w:r w:rsidRPr="0045199A">
              <w:t>VBECS does not check:</w:t>
            </w:r>
          </w:p>
          <w:p w14:paraId="5A11E02B" w14:textId="77777777" w:rsidR="003F0440" w:rsidRPr="0045199A" w:rsidRDefault="00B84DA4" w:rsidP="002D126B">
            <w:pPr>
              <w:pStyle w:val="TableTextBullet"/>
            </w:pPr>
            <w:r w:rsidRPr="0045199A">
              <w:t>The patient antigen typing with the specificity of any patient’s antibodies entered</w:t>
            </w:r>
            <w:r w:rsidR="005C1078" w:rsidRPr="0045199A">
              <w:t>.</w:t>
            </w:r>
          </w:p>
          <w:p w14:paraId="7AD1A8E9" w14:textId="77777777" w:rsidR="003F0440" w:rsidRPr="0045199A" w:rsidRDefault="003F0440" w:rsidP="002D126B">
            <w:pPr>
              <w:pStyle w:val="TableTextBullet"/>
            </w:pPr>
            <w:r w:rsidRPr="0045199A">
              <w:t>Whether the lot and vial numbers selected for the positive control cells differ from those of the negative control cells</w:t>
            </w:r>
            <w:r w:rsidR="005C1078" w:rsidRPr="0045199A">
              <w:t>.</w:t>
            </w:r>
          </w:p>
        </w:tc>
      </w:tr>
      <w:tr w:rsidR="003F0440" w:rsidRPr="00725902" w14:paraId="74591E0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5BA3A3E" w14:textId="77777777" w:rsidR="003F0440" w:rsidRPr="0045199A" w:rsidRDefault="003F0440" w:rsidP="002D126B">
            <w:pPr>
              <w:pStyle w:val="TableText"/>
            </w:pPr>
            <w:r w:rsidRPr="0045199A">
              <w:t>The patient antigen typing result is not available to CPRS.</w:t>
            </w:r>
          </w:p>
        </w:tc>
      </w:tr>
    </w:tbl>
    <w:p w14:paraId="19E1297E" w14:textId="77777777" w:rsidR="00ED3C7A" w:rsidRDefault="00ED3C7A"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1C59D2" w14:paraId="492C016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E017680" w14:textId="77777777" w:rsidR="003F0440" w:rsidRPr="001C59D2" w:rsidRDefault="003F0440" w:rsidP="002D126B">
            <w:pPr>
              <w:pStyle w:val="TableText"/>
              <w:rPr>
                <w:b/>
              </w:rPr>
            </w:pPr>
            <w:r w:rsidRPr="001C59D2">
              <w:rPr>
                <w:b/>
              </w:rPr>
              <w:t>Patient Testing: Record a Transfusion Reaction Workup</w:t>
            </w:r>
          </w:p>
        </w:tc>
      </w:tr>
      <w:tr w:rsidR="003F0440" w:rsidRPr="00725902" w14:paraId="418EF4B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3E1A97" w14:textId="77777777" w:rsidR="003F0440" w:rsidRPr="00725902" w:rsidRDefault="00814F27" w:rsidP="00814F27">
            <w:pPr>
              <w:pStyle w:val="TableText"/>
            </w:pPr>
            <w:r>
              <w:t xml:space="preserve">Adverse reactions to transfusion detected at a later time (disease transmission) are not recorded through this option. Refer </w:t>
            </w:r>
            <w:r w:rsidR="00357A19">
              <w:t>to Transfusion</w:t>
            </w:r>
            <w:r>
              <w:t xml:space="preserve"> Complications Report.</w:t>
            </w:r>
          </w:p>
        </w:tc>
      </w:tr>
      <w:tr w:rsidR="00F8403B" w:rsidRPr="00725902" w14:paraId="7E0810E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4ECC80" w14:textId="77777777" w:rsidR="00F8403B" w:rsidRDefault="00F8403B" w:rsidP="00814F27">
            <w:pPr>
              <w:pStyle w:val="TableText"/>
            </w:pPr>
            <w:r>
              <w:t>Each tab is completed and saved and is not editable. To change information on a previously completed tab, the TRW must be invalidated and corrected in its entirety.</w:t>
            </w:r>
          </w:p>
        </w:tc>
      </w:tr>
      <w:tr w:rsidR="005C2727" w:rsidRPr="00725902" w14:paraId="69934FA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EF35F14" w14:textId="1FC54CE1" w:rsidR="005C2727" w:rsidRDefault="005C2727" w:rsidP="005C2727">
            <w:pPr>
              <w:pStyle w:val="TableText"/>
            </w:pPr>
            <w:r>
              <w:t xml:space="preserve">If comments are entered when a TRW is finalized as type "Other,” they won’t show on the CPRS Blood Bank Report. </w:t>
            </w:r>
            <w:r w:rsidRPr="00783514">
              <w:rPr>
                <w:vanish/>
              </w:rPr>
              <w:t>Defect 210332</w:t>
            </w:r>
          </w:p>
        </w:tc>
      </w:tr>
    </w:tbl>
    <w:p w14:paraId="167E70C7"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966663" w14:paraId="5A3CA4A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BB92E94" w14:textId="77777777" w:rsidR="003F0440" w:rsidRPr="00966663" w:rsidRDefault="003F0440" w:rsidP="002D126B">
            <w:pPr>
              <w:pStyle w:val="TableText"/>
              <w:rPr>
                <w:b/>
              </w:rPr>
            </w:pPr>
            <w:r w:rsidRPr="00966663">
              <w:rPr>
                <w:b/>
              </w:rPr>
              <w:t>Patient Testing Worklist and Testing Worklist Reports</w:t>
            </w:r>
          </w:p>
        </w:tc>
      </w:tr>
      <w:tr w:rsidR="003F0440" w:rsidRPr="00725902" w14:paraId="138E1CF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85800B" w14:textId="77777777" w:rsidR="003F0440" w:rsidRDefault="003F0440" w:rsidP="002D126B">
            <w:pPr>
              <w:pStyle w:val="TableText"/>
            </w:pPr>
            <w:r>
              <w:t>Reports do not include Transfusion Reaction Workup (TRW) test results.</w:t>
            </w:r>
          </w:p>
        </w:tc>
      </w:tr>
      <w:tr w:rsidR="003F0440" w:rsidRPr="00725902" w14:paraId="25DC515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FAB41B" w14:textId="77777777" w:rsidR="003F0440" w:rsidRDefault="00B97396" w:rsidP="002D126B">
            <w:pPr>
              <w:pStyle w:val="TableText"/>
            </w:pPr>
            <w:r>
              <w:t>VBECS does not accommodate online review (verification, signature) of reports.</w:t>
            </w:r>
          </w:p>
        </w:tc>
      </w:tr>
      <w:tr w:rsidR="000751A2" w:rsidRPr="00725902" w14:paraId="3AED081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150918F" w14:textId="4A8BCF23" w:rsidR="000751A2" w:rsidRDefault="000751A2" w:rsidP="002D126B">
            <w:pPr>
              <w:pStyle w:val="TableText"/>
            </w:pPr>
            <w:r>
              <w:t>The Rack QC Testing Worklist Report section of the Testing Worklist Report does not contain a Processed By column. Maintain the original testing records for the QC that was performed offline with the testing tech information.  Do not change the testing tech name when entering results in VBECS so that the logged in tech that enters the results is included on the Testing Worklist report</w:t>
            </w:r>
            <w:r w:rsidR="00E47EDD">
              <w:t xml:space="preserve">. </w:t>
            </w:r>
            <w:r w:rsidR="00E47EDD" w:rsidRPr="00E47EDD">
              <w:rPr>
                <w:vanish/>
              </w:rPr>
              <w:t>Defect 214073</w:t>
            </w:r>
          </w:p>
        </w:tc>
      </w:tr>
    </w:tbl>
    <w:p w14:paraId="102A49A9" w14:textId="77777777" w:rsidR="00590248" w:rsidRDefault="00590248"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6D40D4" w:rsidRPr="001C59D2" w14:paraId="7C8AA0B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15888F3" w14:textId="77777777" w:rsidR="006D40D4" w:rsidRPr="001C59D2" w:rsidRDefault="006D40D4" w:rsidP="009532BE">
            <w:pPr>
              <w:pStyle w:val="TableText"/>
              <w:rPr>
                <w:b/>
              </w:rPr>
            </w:pPr>
            <w:r>
              <w:rPr>
                <w:b/>
              </w:rPr>
              <w:lastRenderedPageBreak/>
              <w:t>Post-Transfusion Information</w:t>
            </w:r>
          </w:p>
        </w:tc>
      </w:tr>
      <w:tr w:rsidR="006D40D4" w:rsidRPr="00725902" w14:paraId="065AF73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44E03A" w14:textId="77777777" w:rsidR="006D40D4" w:rsidRPr="00725902" w:rsidRDefault="006D40D4" w:rsidP="006D40D4">
            <w:pPr>
              <w:pStyle w:val="TableText"/>
            </w:pPr>
            <w:r>
              <w:t xml:space="preserve">VBECS cannot update a unit record to presumed transfused when a </w:t>
            </w:r>
            <w:r w:rsidRPr="004D0C24">
              <w:t xml:space="preserve">user has </w:t>
            </w:r>
            <w:r>
              <w:t xml:space="preserve">that </w:t>
            </w:r>
            <w:r w:rsidRPr="004D0C24">
              <w:t>unit record open (locked) in Enter Post Transfusion Information</w:t>
            </w:r>
            <w:r>
              <w:t xml:space="preserve">. VBECS will attempt to update the unit the next </w:t>
            </w:r>
            <w:r w:rsidRPr="004D0C24">
              <w:t xml:space="preserve">time the </w:t>
            </w:r>
            <w:r>
              <w:t xml:space="preserve">presumed transfused background routing </w:t>
            </w:r>
            <w:r w:rsidRPr="004D0C24">
              <w:t>runs if the unit remains in an issued status.</w:t>
            </w:r>
            <w:r>
              <w:t xml:space="preserve"> </w:t>
            </w:r>
            <w:r>
              <w:rPr>
                <w:vanish/>
              </w:rPr>
              <w:t>DR 3089</w:t>
            </w:r>
            <w:r w:rsidRPr="004D0C24" w:rsidDel="004D0C24">
              <w:t xml:space="preserve"> </w:t>
            </w:r>
          </w:p>
        </w:tc>
      </w:tr>
      <w:tr w:rsidR="00F20C8C" w:rsidRPr="00725902" w14:paraId="689AB8C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CA292E" w14:textId="77777777" w:rsidR="00F20C8C" w:rsidRDefault="00F20C8C" w:rsidP="006D40D4">
            <w:pPr>
              <w:pStyle w:val="TableText"/>
            </w:pPr>
            <w:r>
              <w:t>If post-transfusion information is not transmitted to VBECS, the user will need to enter that information to update the record from presumed transfused to transfused.</w:t>
            </w:r>
          </w:p>
        </w:tc>
      </w:tr>
      <w:tr w:rsidR="000E2D6A" w:rsidRPr="00725902" w14:paraId="510DDE6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2AEA573" w14:textId="77777777" w:rsidR="000E2D6A" w:rsidRDefault="006822AA" w:rsidP="006822AA">
            <w:pPr>
              <w:pStyle w:val="TableText"/>
            </w:pPr>
            <w:r>
              <w:t>The transfusion comments and volume transfused entered in the Transfusion Verification application as an update to a completed transfusion are not sent to VBECS.</w:t>
            </w:r>
            <w:r w:rsidRPr="006822AA">
              <w:rPr>
                <w:vanish/>
              </w:rPr>
              <w:t xml:space="preserve"> DR 4173 </w:t>
            </w:r>
          </w:p>
        </w:tc>
      </w:tr>
      <w:tr w:rsidR="00D26DD7" w:rsidRPr="00725902" w14:paraId="08E845A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C191285" w14:textId="77777777" w:rsidR="00D26DD7" w:rsidRDefault="00D26DD7" w:rsidP="00D26DD7">
            <w:pPr>
              <w:pStyle w:val="TableText"/>
            </w:pPr>
            <w:r>
              <w:t>Transfusion reaction symptoms are not sent to VBECS by the Transfusion Verification application unless a transfusion reaction has also been indicated for that event.</w:t>
            </w:r>
            <w:r w:rsidRPr="00D26DD7">
              <w:rPr>
                <w:vanish/>
              </w:rPr>
              <w:t xml:space="preserve"> DR 4217</w:t>
            </w:r>
          </w:p>
        </w:tc>
      </w:tr>
    </w:tbl>
    <w:p w14:paraId="1AB36EFE" w14:textId="760F28F8"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605B1" w:rsidRPr="001C59D2" w14:paraId="1A6D2188" w14:textId="77777777" w:rsidTr="008E15B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5737C1C" w14:textId="77777777" w:rsidR="00E605B1" w:rsidRPr="001C59D2" w:rsidRDefault="00E605B1" w:rsidP="008E15BE">
            <w:pPr>
              <w:pStyle w:val="TableText"/>
              <w:rPr>
                <w:b/>
              </w:rPr>
            </w:pPr>
            <w:r>
              <w:br w:type="page"/>
            </w:r>
            <w:r w:rsidRPr="001C59D2">
              <w:rPr>
                <w:b/>
              </w:rPr>
              <w:t>Print Unit Caution Tag &amp; Transfusion Record Form</w:t>
            </w:r>
          </w:p>
        </w:tc>
      </w:tr>
      <w:tr w:rsidR="00E605B1" w:rsidRPr="00725902" w14:paraId="4E622658"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7AC0C56" w14:textId="77777777" w:rsidR="00E605B1" w:rsidRPr="00725902" w:rsidRDefault="00E605B1" w:rsidP="008E15BE">
            <w:pPr>
              <w:pStyle w:val="TableText"/>
            </w:pPr>
            <w:r>
              <w:t>VBECS cannot reprint a Caution Tag on an expired unit or expired patient order.</w:t>
            </w:r>
          </w:p>
        </w:tc>
      </w:tr>
      <w:tr w:rsidR="00E605B1" w14:paraId="2BB8F603"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65D569" w14:textId="77777777" w:rsidR="00E605B1" w:rsidRDefault="00E605B1" w:rsidP="008E15BE">
            <w:pPr>
              <w:pStyle w:val="TableText"/>
            </w:pPr>
            <w:r>
              <w:t xml:space="preserve">VBECS does not print a unit’s </w:t>
            </w:r>
            <w:r w:rsidRPr="00D47D4A">
              <w:t>biohazardous</w:t>
            </w:r>
            <w:r>
              <w:t xml:space="preserve"> status on the BTRF or Caution Tag</w:t>
            </w:r>
            <w:r w:rsidRPr="00D47D4A">
              <w:t>.</w:t>
            </w:r>
          </w:p>
        </w:tc>
      </w:tr>
      <w:tr w:rsidR="00F73E1B" w14:paraId="68A6F69A"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3C506E8" w14:textId="36A344F9" w:rsidR="00F73E1B" w:rsidRDefault="00F73E1B" w:rsidP="008E15BE">
            <w:pPr>
              <w:pStyle w:val="TableText"/>
            </w:pPr>
            <w:r>
              <w:t xml:space="preserve">If a unit has been crossmatched by two different technologists, the Compatibility Interpretation section of the BTRF displays the technologist that performed the earlier XM testing. Handwrite the missing current technologist initials on the printed BTRF. </w:t>
            </w:r>
            <w:r w:rsidRPr="00F73E1B">
              <w:rPr>
                <w:vanish/>
              </w:rPr>
              <w:t>Defect 210195</w:t>
            </w:r>
          </w:p>
        </w:tc>
      </w:tr>
    </w:tbl>
    <w:p w14:paraId="3EA39932" w14:textId="3CB7F969" w:rsidR="00E605B1" w:rsidRDefault="00E605B1"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26430" w14:paraId="08EB522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0B5C8F5" w14:textId="77777777" w:rsidR="003F0440" w:rsidRPr="00326430" w:rsidRDefault="003F0440" w:rsidP="002D126B">
            <w:pPr>
              <w:pStyle w:val="TableText"/>
              <w:rPr>
                <w:b/>
              </w:rPr>
            </w:pPr>
            <w:r w:rsidRPr="00326430">
              <w:rPr>
                <w:b/>
              </w:rPr>
              <w:t>Pro</w:t>
            </w:r>
            <w:r>
              <w:rPr>
                <w:b/>
              </w:rPr>
              <w:t>longed Transfusion Time Report</w:t>
            </w:r>
          </w:p>
        </w:tc>
      </w:tr>
      <w:tr w:rsidR="003F0440" w:rsidRPr="00725902" w14:paraId="399E556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6BC1C81" w14:textId="77777777" w:rsidR="003F0440" w:rsidRDefault="003F0440" w:rsidP="002D126B">
            <w:pPr>
              <w:pStyle w:val="TableText"/>
            </w:pPr>
            <w:r>
              <w:t>This report does not include p</w:t>
            </w:r>
            <w:r w:rsidR="00042B1F">
              <w:rPr>
                <w:rStyle w:val="ListBulletChar"/>
              </w:rPr>
              <w:t>r</w:t>
            </w:r>
            <w:r>
              <w:t>esumed transfused units or units issued to a remote storage location.</w:t>
            </w:r>
          </w:p>
        </w:tc>
      </w:tr>
      <w:tr w:rsidR="006A4AFF" w:rsidRPr="00725902" w14:paraId="05C9352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2F4DD1" w14:textId="1D2A9EA4" w:rsidR="006A4AFF" w:rsidRPr="006A4AFF" w:rsidRDefault="006A4AFF" w:rsidP="006A4AFF">
            <w:pPr>
              <w:pStyle w:val="TableText"/>
              <w:rPr>
                <w:sz w:val="20"/>
                <w:szCs w:val="20"/>
              </w:rPr>
            </w:pPr>
            <w:r>
              <w:t xml:space="preserve">Units issued to a remote storage location will display on the report when the transfusion start time is greater than 30 minutes after issue time. </w:t>
            </w:r>
            <w:r w:rsidRPr="00244DDA">
              <w:rPr>
                <w:vanish/>
              </w:rPr>
              <w:t>Defect 209735</w:t>
            </w:r>
          </w:p>
        </w:tc>
      </w:tr>
      <w:tr w:rsidR="006A4AFF" w:rsidRPr="00725902" w14:paraId="67A8AFD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5FB4D1" w14:textId="64A28025" w:rsidR="006A4AFF" w:rsidRDefault="006A4AFF" w:rsidP="002D126B">
            <w:pPr>
              <w:pStyle w:val="TableText"/>
            </w:pPr>
            <w:r>
              <w:t xml:space="preserve">Units issued to a remote storage location should not display to have a prolonged issue time as this setting indicates that the unit is issued to a monitored location maintained at the proper temperature for the product type. </w:t>
            </w:r>
            <w:r w:rsidRPr="006A4AFF">
              <w:rPr>
                <w:vanish/>
              </w:rPr>
              <w:t>Defect 209735</w:t>
            </w:r>
          </w:p>
        </w:tc>
      </w:tr>
      <w:tr w:rsidR="007C518F" w:rsidRPr="00725902" w14:paraId="11807A3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93997C6" w14:textId="56B960F4" w:rsidR="007C518F" w:rsidRDefault="007C518F" w:rsidP="002D126B">
            <w:pPr>
              <w:pStyle w:val="TableText"/>
            </w:pPr>
            <w:r>
              <w:t xml:space="preserve">The Delayed (minutes) column on the report is not subtracting 30 minutes when the Transfusion Start time is greater  than 30 minutes from the time of issue. Handwrite the correct Delayed (minutes) on the printed report. </w:t>
            </w:r>
            <w:r w:rsidRPr="007C518F">
              <w:rPr>
                <w:vanish/>
              </w:rPr>
              <w:t>Defect 209431</w:t>
            </w:r>
          </w:p>
        </w:tc>
      </w:tr>
    </w:tbl>
    <w:p w14:paraId="0A3E6640" w14:textId="77777777" w:rsidR="00BE53DD" w:rsidRDefault="00BE53DD"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042B1F" w:rsidRPr="00326430" w14:paraId="755362B7" w14:textId="77777777" w:rsidTr="00D9331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6E549F8" w14:textId="77777777" w:rsidR="00042B1F" w:rsidRPr="00326430" w:rsidRDefault="00042B1F" w:rsidP="00D93317">
            <w:pPr>
              <w:pStyle w:val="TableText"/>
              <w:rPr>
                <w:b/>
              </w:rPr>
            </w:pPr>
            <w:r>
              <w:rPr>
                <w:b/>
              </w:rPr>
              <w:t>Reagents</w:t>
            </w:r>
          </w:p>
        </w:tc>
      </w:tr>
      <w:tr w:rsidR="00042B1F" w14:paraId="458D8F4A"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AFF0C74"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VBECS does not display a reagent report by invoice number.</w:t>
            </w:r>
          </w:p>
        </w:tc>
      </w:tr>
      <w:tr w:rsidR="00042B1F" w14:paraId="4E9234A1"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2BED8DB"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The unsatisfactory portion of a shipment must be recorded individually.</w:t>
            </w:r>
          </w:p>
        </w:tc>
      </w:tr>
      <w:tr w:rsidR="00042B1F" w14:paraId="6511C8CF"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9F9F3FB"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There is no retrospective data entry or user selection for these options.</w:t>
            </w:r>
          </w:p>
        </w:tc>
      </w:tr>
      <w:tr w:rsidR="00042B1F" w14:paraId="3622BDD7"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51AB3A" w14:textId="77777777" w:rsidR="00042B1F" w:rsidRPr="00042B1F" w:rsidRDefault="00042B1F" w:rsidP="00042B1F">
            <w:pPr>
              <w:pStyle w:val="ListBullet"/>
              <w:numPr>
                <w:ilvl w:val="0"/>
                <w:numId w:val="0"/>
              </w:numPr>
            </w:pPr>
            <w:r w:rsidRPr="00042B1F">
              <w:rPr>
                <w:rFonts w:ascii="Arial" w:hAnsi="Arial" w:cs="Arial"/>
                <w:sz w:val="18"/>
                <w:szCs w:val="18"/>
              </w:rPr>
              <w:t>Each site must set a standard for recording quantity: it may use the number of cases or the number of units within the cases.</w:t>
            </w:r>
          </w:p>
        </w:tc>
      </w:tr>
      <w:tr w:rsidR="00042B1F" w14:paraId="5580E09A"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D9BEFD" w14:textId="77777777" w:rsidR="00042B1F" w:rsidRPr="00042B1F" w:rsidRDefault="00042B1F" w:rsidP="00042B1F">
            <w:pPr>
              <w:pStyle w:val="ListBullet"/>
              <w:numPr>
                <w:ilvl w:val="0"/>
                <w:numId w:val="0"/>
              </w:numPr>
            </w:pPr>
            <w:r w:rsidRPr="00042B1F">
              <w:rPr>
                <w:rFonts w:ascii="Arial" w:hAnsi="Arial" w:cs="Arial"/>
                <w:sz w:val="18"/>
                <w:szCs w:val="18"/>
              </w:rPr>
              <w:t>When a user enters a lot number in the Lot # field and clicks the magnifying glass, VBECS displays only the first instance of a duplicate lot number.</w:t>
            </w:r>
            <w:r>
              <w:t xml:space="preserve"> </w:t>
            </w:r>
            <w:r w:rsidRPr="00F759ED">
              <w:rPr>
                <w:vanish/>
              </w:rPr>
              <w:t>(UserDoc Task 1083)</w:t>
            </w:r>
          </w:p>
        </w:tc>
      </w:tr>
      <w:tr w:rsidR="00042B1F" w14:paraId="3509DD47"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C3554FA"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 xml:space="preserve">Free text details can be added only when “Other” is selected as the canned comment. </w:t>
            </w:r>
            <w:r w:rsidRPr="005F1427">
              <w:rPr>
                <w:rFonts w:ascii="Arial" w:hAnsi="Arial" w:cs="Arial"/>
                <w:vanish/>
                <w:sz w:val="18"/>
                <w:szCs w:val="18"/>
              </w:rPr>
              <w:t>DR 2218</w:t>
            </w:r>
          </w:p>
        </w:tc>
      </w:tr>
      <w:tr w:rsidR="006A6CFF" w14:paraId="255B0D2E"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69BE2DE" w14:textId="6795D18E" w:rsidR="006A6CFF" w:rsidRPr="00042B1F" w:rsidRDefault="006A6CFF" w:rsidP="00042B1F">
            <w:pPr>
              <w:pStyle w:val="ListBullet"/>
              <w:numPr>
                <w:ilvl w:val="0"/>
                <w:numId w:val="0"/>
              </w:numPr>
              <w:rPr>
                <w:rFonts w:ascii="Arial" w:hAnsi="Arial" w:cs="Arial"/>
                <w:sz w:val="18"/>
                <w:szCs w:val="18"/>
              </w:rPr>
            </w:pPr>
            <w:r w:rsidRPr="006A6CFF">
              <w:rPr>
                <w:rFonts w:ascii="Arial" w:hAnsi="Arial" w:cs="Arial"/>
                <w:sz w:val="18"/>
                <w:szCs w:val="18"/>
              </w:rPr>
              <w:t xml:space="preserve">When reagents with the same Manufacturer Reagent Name and Lot Number are entered from multiple invoices, only one of the reagents is visible for update. </w:t>
            </w:r>
            <w:r w:rsidRPr="006A6CFF">
              <w:rPr>
                <w:rFonts w:ascii="Arial" w:hAnsi="Arial" w:cs="Arial"/>
                <w:vanish/>
                <w:sz w:val="18"/>
                <w:szCs w:val="18"/>
              </w:rPr>
              <w:t>Defect 209141</w:t>
            </w:r>
          </w:p>
        </w:tc>
      </w:tr>
      <w:tr w:rsidR="006A6CFF" w14:paraId="4DD0E8D8"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E701B38" w14:textId="720E55FE" w:rsidR="006A6CFF" w:rsidRPr="00042B1F" w:rsidRDefault="00A949F2" w:rsidP="00042B1F">
            <w:pPr>
              <w:pStyle w:val="ListBullet"/>
              <w:numPr>
                <w:ilvl w:val="0"/>
                <w:numId w:val="0"/>
              </w:numPr>
              <w:rPr>
                <w:rFonts w:ascii="Arial" w:hAnsi="Arial" w:cs="Arial"/>
                <w:sz w:val="18"/>
                <w:szCs w:val="18"/>
              </w:rPr>
            </w:pPr>
            <w:r w:rsidRPr="00A949F2">
              <w:rPr>
                <w:rFonts w:ascii="Arial" w:hAnsi="Arial" w:cs="Arial"/>
                <w:sz w:val="18"/>
                <w:szCs w:val="18"/>
              </w:rPr>
              <w:t>Reagents that have had their Number of Vials Available set to zero (0) are no longer visible on the Update Reagent Inventory screen or the Reagent Inventory Report. Print a copy of the Reagent Inventory Report prior to setting the Number of Vials Available to zero (0</w:t>
            </w:r>
            <w:r>
              <w:rPr>
                <w:rFonts w:ascii="Arial" w:hAnsi="Arial" w:cs="Arial"/>
                <w:sz w:val="18"/>
                <w:szCs w:val="18"/>
              </w:rPr>
              <w:t xml:space="preserve">). </w:t>
            </w:r>
            <w:r w:rsidRPr="00A949F2">
              <w:rPr>
                <w:rFonts w:ascii="Arial" w:hAnsi="Arial" w:cs="Arial"/>
                <w:vanish/>
                <w:sz w:val="18"/>
                <w:szCs w:val="18"/>
              </w:rPr>
              <w:t>Defects 208863, 208890, 210063</w:t>
            </w:r>
          </w:p>
        </w:tc>
      </w:tr>
    </w:tbl>
    <w:p w14:paraId="567ABA31" w14:textId="77777777" w:rsidR="00042B1F" w:rsidRDefault="00042B1F"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C386A" w14:paraId="3C15723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D45DBFE" w14:textId="77777777" w:rsidR="003F0440" w:rsidRPr="004C386A" w:rsidRDefault="003F0440" w:rsidP="002D126B">
            <w:pPr>
              <w:pStyle w:val="TableText"/>
              <w:rPr>
                <w:b/>
              </w:rPr>
            </w:pPr>
            <w:r w:rsidRPr="004C386A">
              <w:rPr>
                <w:b/>
              </w:rPr>
              <w:lastRenderedPageBreak/>
              <w:t>Release Units From Patient Assignment</w:t>
            </w:r>
          </w:p>
        </w:tc>
      </w:tr>
      <w:tr w:rsidR="003F0440" w:rsidRPr="00725902" w14:paraId="296FFFB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DCBAB1B" w14:textId="77777777" w:rsidR="003F0440" w:rsidRDefault="003F0440" w:rsidP="002D126B">
            <w:pPr>
              <w:pStyle w:val="TableText"/>
            </w:pPr>
            <w:r>
              <w:t>This option does not apply to the release of patient restrictions (autologous and directed).</w:t>
            </w:r>
          </w:p>
        </w:tc>
      </w:tr>
      <w:tr w:rsidR="003F0440" w:rsidRPr="00725902" w14:paraId="59E9746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8B16E83" w14:textId="77777777" w:rsidR="003F0440" w:rsidRDefault="003F0440" w:rsidP="002D126B">
            <w:pPr>
              <w:pStyle w:val="TableText"/>
            </w:pPr>
            <w:r>
              <w:t>When a patient, specimen</w:t>
            </w:r>
            <w:r w:rsidR="00112C24">
              <w:t>,</w:t>
            </w:r>
            <w:r>
              <w:t xml:space="preserve"> or blood unit expires, VBECS does not automatically release an assigned blood unit: a user must release the unit.</w:t>
            </w:r>
          </w:p>
        </w:tc>
      </w:tr>
      <w:tr w:rsidR="00724CD4" w:rsidRPr="00725902" w14:paraId="216A1B6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5B5FAFA" w14:textId="4B06283F" w:rsidR="00724CD4" w:rsidRDefault="00724CD4" w:rsidP="002D126B">
            <w:pPr>
              <w:pStyle w:val="TableText"/>
            </w:pPr>
            <w:r>
              <w:t xml:space="preserve">Users should select and release units in a timely manner to avoid the units being issued by another user prior to the release process completion. </w:t>
            </w:r>
            <w:r w:rsidRPr="00724CD4">
              <w:rPr>
                <w:vanish/>
              </w:rPr>
              <w:t>Defect 259491</w:t>
            </w:r>
          </w:p>
        </w:tc>
      </w:tr>
    </w:tbl>
    <w:p w14:paraId="6C245575" w14:textId="77777777" w:rsidR="00152357" w:rsidRDefault="00152357"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1C59D2" w14:paraId="21F0EAF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8EF5DDE" w14:textId="77777777" w:rsidR="003F0440" w:rsidRPr="001C59D2" w:rsidRDefault="003F0440" w:rsidP="002D126B">
            <w:pPr>
              <w:pStyle w:val="TableText"/>
              <w:rPr>
                <w:b/>
              </w:rPr>
            </w:pPr>
            <w:r w:rsidRPr="001C59D2">
              <w:rPr>
                <w:b/>
              </w:rPr>
              <w:t>Remove Final Status</w:t>
            </w:r>
          </w:p>
        </w:tc>
      </w:tr>
      <w:tr w:rsidR="003F0440" w:rsidRPr="00725902" w14:paraId="4ECB9DF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71B222" w14:textId="77777777" w:rsidR="003F0440" w:rsidRPr="00725902" w:rsidRDefault="003F0440" w:rsidP="002D126B">
            <w:pPr>
              <w:pStyle w:val="TableText"/>
            </w:pPr>
            <w:r>
              <w:t>This option applies only to the release of units in final statuses.</w:t>
            </w:r>
          </w:p>
        </w:tc>
      </w:tr>
    </w:tbl>
    <w:p w14:paraId="7478D25E" w14:textId="77777777" w:rsidR="0074084F" w:rsidRDefault="0074084F"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B0F17" w14:paraId="49B8158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A2B49B9" w14:textId="77777777" w:rsidR="003F0440" w:rsidRPr="002B0F17" w:rsidRDefault="003F0440" w:rsidP="002D126B">
            <w:pPr>
              <w:pStyle w:val="TableText"/>
              <w:rPr>
                <w:b/>
              </w:rPr>
            </w:pPr>
            <w:r>
              <w:rPr>
                <w:b/>
              </w:rPr>
              <w:t>Screen Settings</w:t>
            </w:r>
          </w:p>
        </w:tc>
      </w:tr>
      <w:tr w:rsidR="003F0440" w:rsidRPr="002B0F17" w14:paraId="28BA3A04"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61D9A6E" w14:textId="77777777" w:rsidR="003F0440" w:rsidRPr="002B0F17" w:rsidRDefault="003F0440" w:rsidP="002D126B">
            <w:pPr>
              <w:pStyle w:val="TableText"/>
              <w:rPr>
                <w:b/>
              </w:rPr>
            </w:pPr>
            <w:r>
              <w:t>VBECS was designed to operate with the settings described in this section to display complete screens. Failure to maintain these settings may result in partial display of safety-critical information.</w:t>
            </w:r>
          </w:p>
        </w:tc>
      </w:tr>
    </w:tbl>
    <w:p w14:paraId="0B506CF2" w14:textId="77777777" w:rsidR="00320DAE" w:rsidRDefault="00320DAE" w:rsidP="00320DAE">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20DAE" w:rsidRPr="002B0F17" w14:paraId="1506254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77029F3" w14:textId="77777777" w:rsidR="00320DAE" w:rsidRPr="002B0F17" w:rsidRDefault="00320DAE" w:rsidP="004F5220">
            <w:pPr>
              <w:pStyle w:val="TableText"/>
              <w:rPr>
                <w:b/>
              </w:rPr>
            </w:pPr>
            <w:r>
              <w:rPr>
                <w:b/>
              </w:rPr>
              <w:t>Select Units</w:t>
            </w:r>
          </w:p>
        </w:tc>
      </w:tr>
      <w:tr w:rsidR="001803E2" w:rsidRPr="002B0F17" w14:paraId="2F60E30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7D19C2B" w14:textId="77777777" w:rsidR="001803E2" w:rsidRDefault="001803E2" w:rsidP="00320DAE">
            <w:pPr>
              <w:pStyle w:val="TableText"/>
            </w:pPr>
            <w:r>
              <w:t>When a u</w:t>
            </w:r>
            <w:r w:rsidRPr="00320DAE">
              <w:t>ser check</w:t>
            </w:r>
            <w:r>
              <w:t>s</w:t>
            </w:r>
            <w:r w:rsidRPr="00320DAE">
              <w:t xml:space="preserve"> the </w:t>
            </w:r>
            <w:r>
              <w:t>“</w:t>
            </w:r>
            <w:r w:rsidRPr="00320DAE">
              <w:t xml:space="preserve">D </w:t>
            </w:r>
            <w:r>
              <w:t>P</w:t>
            </w:r>
            <w:r w:rsidRPr="00320DAE">
              <w:t>os</w:t>
            </w:r>
            <w:r>
              <w:t>”</w:t>
            </w:r>
            <w:r w:rsidRPr="00320DAE">
              <w:t xml:space="preserve"> or </w:t>
            </w:r>
            <w:r>
              <w:t>“</w:t>
            </w:r>
            <w:r w:rsidRPr="00320DAE">
              <w:t xml:space="preserve">D </w:t>
            </w:r>
            <w:r>
              <w:t>N</w:t>
            </w:r>
            <w:r w:rsidRPr="00320DAE">
              <w:t>eg</w:t>
            </w:r>
            <w:r>
              <w:t>”</w:t>
            </w:r>
            <w:r w:rsidRPr="00320DAE">
              <w:t xml:space="preserve"> check box to modify a search for blood</w:t>
            </w:r>
            <w:r>
              <w:t>, VBECS returns no units, regardless of the availability of units</w:t>
            </w:r>
            <w:r w:rsidRPr="00320DAE">
              <w:t xml:space="preserve">. </w:t>
            </w:r>
          </w:p>
        </w:tc>
      </w:tr>
      <w:tr w:rsidR="00291E60" w:rsidRPr="002B0F17" w14:paraId="759C0A5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2F17ED9" w14:textId="77777777" w:rsidR="00291E60" w:rsidRPr="001803E2" w:rsidRDefault="001803E2" w:rsidP="001803E2">
            <w:pPr>
              <w:pStyle w:val="TableText"/>
            </w:pPr>
            <w:r w:rsidRPr="004E4368">
              <w:t>VBECS displays a</w:t>
            </w:r>
            <w:r>
              <w:t xml:space="preserve"> component</w:t>
            </w:r>
            <w:r w:rsidRPr="004E4368">
              <w:t xml:space="preserve"> order </w:t>
            </w:r>
            <w:r>
              <w:t xml:space="preserve">as “Filled” </w:t>
            </w:r>
            <w:r w:rsidRPr="004E4368">
              <w:t xml:space="preserve">when the number of units </w:t>
            </w:r>
            <w:r>
              <w:t>transfused</w:t>
            </w:r>
            <w:r w:rsidRPr="004E4368">
              <w:t xml:space="preserve"> and the number of units ordered are the same</w:t>
            </w:r>
            <w:r>
              <w:t xml:space="preserve"> and continues to display the component order until the order expires. CPRS displays a component order as “Completed”. Therefore, CPRS displays the order as “Completed” before VBECS displays the order as “Filled.” The associated LAB order will then also be marked as “Completed”.</w:t>
            </w:r>
          </w:p>
        </w:tc>
      </w:tr>
      <w:tr w:rsidR="00320DAE" w:rsidRPr="002B0F17" w14:paraId="7A49245F"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E46B98C" w14:textId="6EEE784D" w:rsidR="00320DAE" w:rsidRPr="00320DAE" w:rsidRDefault="001803E2" w:rsidP="00320DAE">
            <w:pPr>
              <w:pStyle w:val="TableText"/>
            </w:pPr>
            <w:r>
              <w:t>A Specimen UID must be accepted in</w:t>
            </w:r>
            <w:r w:rsidR="0063094B">
              <w:t xml:space="preserve"> </w:t>
            </w:r>
            <w:r>
              <w:t>VBECS to associate it with a component order. Any VBECS maintained TAS specimen UID may be associated with a component order by entering the number in the UID field.</w:t>
            </w:r>
            <w:r w:rsidRPr="001803E2">
              <w:t xml:space="preserve"> </w:t>
            </w:r>
            <w:r w:rsidRPr="001803E2">
              <w:rPr>
                <w:vanish/>
              </w:rPr>
              <w:t>Task 635428</w:t>
            </w:r>
          </w:p>
        </w:tc>
      </w:tr>
      <w:tr w:rsidR="007C518F" w:rsidRPr="002B0F17" w14:paraId="0F7931D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33EE8E4" w14:textId="6BC32E44" w:rsidR="007C518F" w:rsidRDefault="007C518F" w:rsidP="00320DAE">
            <w:pPr>
              <w:pStyle w:val="TableText"/>
            </w:pPr>
            <w:r>
              <w:t xml:space="preserve">When associating a specimen with a patient in the “Select Unit for a Patient” window, the “Expires” field within the “Associate with Specimen” panel displays the time in AM/PM format. VBECS normally displays date/time fields in “military” time format.  The workaround is to look in Maintain Specimen and check the expiration time military time format. </w:t>
            </w:r>
            <w:r w:rsidRPr="007C518F">
              <w:rPr>
                <w:vanish/>
              </w:rPr>
              <w:t>Defect 209052</w:t>
            </w:r>
          </w:p>
        </w:tc>
      </w:tr>
      <w:tr w:rsidR="007C518F" w:rsidRPr="002B0F17" w14:paraId="7FAA2A5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DC8E947" w14:textId="2B17D392" w:rsidR="007C518F" w:rsidRDefault="009D0CAA" w:rsidP="00320DAE">
            <w:pPr>
              <w:pStyle w:val="TableText"/>
            </w:pPr>
            <w:r>
              <w:t>When an Rh positive unit is selected for an Rh negative patient with an antigen negative requirement for D, the user receives a message about unit not satisfying patient negative requirements for D instead of a message about unit being positive for D. The proper message is displayed upon unit issue</w:t>
            </w:r>
            <w:r w:rsidR="007C518F">
              <w:t xml:space="preserve">. </w:t>
            </w:r>
            <w:r w:rsidR="007C518F" w:rsidRPr="007C518F">
              <w:rPr>
                <w:vanish/>
              </w:rPr>
              <w:t>Defects 209338, 213537</w:t>
            </w:r>
          </w:p>
        </w:tc>
      </w:tr>
    </w:tbl>
    <w:p w14:paraId="63053BBB" w14:textId="77777777" w:rsidR="000604AA" w:rsidRDefault="000604AA"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B0F17" w14:paraId="59FA784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020160B" w14:textId="76C4B2D1" w:rsidR="003F0440" w:rsidRPr="002B0F17" w:rsidRDefault="000604AA" w:rsidP="002D126B">
            <w:pPr>
              <w:pStyle w:val="TableText"/>
              <w:rPr>
                <w:b/>
              </w:rPr>
            </w:pPr>
            <w:r>
              <w:br w:type="page"/>
            </w:r>
            <w:r w:rsidR="003F0440" w:rsidRPr="002B0F17">
              <w:rPr>
                <w:b/>
              </w:rPr>
              <w:t>Special Instructions &amp; Transfusion Requirements: Enter a Transfusion Requirement</w:t>
            </w:r>
          </w:p>
        </w:tc>
      </w:tr>
      <w:tr w:rsidR="003F0440" w:rsidRPr="00725902" w14:paraId="1AB7BBF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E595FB" w14:textId="77777777" w:rsidR="003F0440" w:rsidRDefault="003F0440" w:rsidP="002D126B">
            <w:pPr>
              <w:pStyle w:val="TableText"/>
            </w:pPr>
            <w:r>
              <w:t>Inactivation is defined and restricted by security level.</w:t>
            </w:r>
          </w:p>
        </w:tc>
      </w:tr>
      <w:tr w:rsidR="003F0440" w:rsidRPr="00725902" w14:paraId="29BAC2F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B3B1DA" w14:textId="77777777" w:rsidR="003F0440" w:rsidRPr="00725902" w:rsidRDefault="003F0440" w:rsidP="002D126B">
            <w:pPr>
              <w:pStyle w:val="TableText"/>
            </w:pPr>
            <w:r w:rsidRPr="00CA6E27">
              <w:rPr>
                <w:bCs/>
              </w:rPr>
              <w:t>VistA</w:t>
            </w:r>
            <w:r>
              <w:t xml:space="preserve"> Special Instructions (SIs) from database conversion do not become Transfusion Requirements (TRs): they remain SIs. SIs are information only and are not enforced unless entered in the Component Requirements tab in Special Instructions &amp; Transfusion Requirements.</w:t>
            </w:r>
          </w:p>
        </w:tc>
      </w:tr>
    </w:tbl>
    <w:p w14:paraId="7CD6AEEF" w14:textId="3D8642D3" w:rsidR="000E59E4" w:rsidRDefault="000E59E4"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FE21D7" w14:paraId="0D6A650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301F6EB" w14:textId="547FBBC5" w:rsidR="003F0440" w:rsidRPr="00FE21D7" w:rsidRDefault="000E59E4" w:rsidP="002D126B">
            <w:pPr>
              <w:pStyle w:val="TableText"/>
              <w:rPr>
                <w:b/>
              </w:rPr>
            </w:pPr>
            <w:r>
              <w:br w:type="page"/>
            </w:r>
            <w:r w:rsidR="003F0440" w:rsidRPr="00FE21D7">
              <w:rPr>
                <w:b/>
              </w:rPr>
              <w:t>Special Instructions &amp; Transfusion Requirements: Enter and Remove Special Instructions</w:t>
            </w:r>
          </w:p>
        </w:tc>
      </w:tr>
      <w:tr w:rsidR="003F0440" w:rsidRPr="00725902" w14:paraId="64627B2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5B24DE1" w14:textId="77777777" w:rsidR="003F0440" w:rsidRDefault="00DD6B21" w:rsidP="00DD6B21">
            <w:pPr>
              <w:pStyle w:val="TableText"/>
            </w:pPr>
            <w:r>
              <w:t>VBECS does not enforce Transfusion Requirements (TRs) or antigen negative requirements entered through this option.</w:t>
            </w:r>
          </w:p>
        </w:tc>
      </w:tr>
      <w:tr w:rsidR="00DD6B21" w:rsidRPr="00725902" w14:paraId="734569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11AFC14" w14:textId="77777777" w:rsidR="00DD6B21" w:rsidRDefault="00DD6B21" w:rsidP="00DD6B21">
            <w:pPr>
              <w:pStyle w:val="TableText"/>
            </w:pPr>
            <w:r>
              <w:t>SIs moved to VBECS during the database conversion may contain information that must be entered as TRs in VBECS. Inactivate the old SI and create a TR and new updated SI: the database conversion software cannot automatically translate the SI from database conversion into a rule-based TR.</w:t>
            </w:r>
          </w:p>
        </w:tc>
      </w:tr>
      <w:tr w:rsidR="003F0440" w:rsidRPr="00725902" w14:paraId="619BAFA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8F106B8" w14:textId="77777777" w:rsidR="003F0440" w:rsidRDefault="003F0440" w:rsidP="002D126B">
            <w:pPr>
              <w:pStyle w:val="TableText"/>
            </w:pPr>
            <w:r>
              <w:t>VBECS will truncate SI text longer than 255 characters from the VistA database conversion.</w:t>
            </w:r>
          </w:p>
        </w:tc>
      </w:tr>
    </w:tbl>
    <w:p w14:paraId="2CAED909" w14:textId="77777777" w:rsidR="0045199A" w:rsidRDefault="0045199A"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55A27" w14:paraId="1CC4B1C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AC904A9" w14:textId="77777777" w:rsidR="003F0440" w:rsidRPr="00355A27" w:rsidRDefault="003F0440" w:rsidP="002D126B">
            <w:pPr>
              <w:pStyle w:val="TableText"/>
              <w:rPr>
                <w:b/>
              </w:rPr>
            </w:pPr>
            <w:r w:rsidRPr="00355A27">
              <w:rPr>
                <w:b/>
              </w:rPr>
              <w:lastRenderedPageBreak/>
              <w:t>Supplies</w:t>
            </w:r>
          </w:p>
        </w:tc>
      </w:tr>
      <w:tr w:rsidR="003F0440" w:rsidRPr="00725902" w14:paraId="41CDDAD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E58FE3" w14:textId="77777777" w:rsidR="003F0440" w:rsidRPr="00725902" w:rsidRDefault="003F0440" w:rsidP="002D126B">
            <w:pPr>
              <w:pStyle w:val="TableText"/>
            </w:pPr>
            <w:r>
              <w:t xml:space="preserve">The division’s modification processes may allow or require the user to select previously entered supplies for association with a blood unit’s modification. An inventory of containers (transfer bags) and sterile connection device (SCD) wafers is </w:t>
            </w:r>
            <w:r>
              <w:rPr>
                <w:i/>
              </w:rPr>
              <w:t>required</w:t>
            </w:r>
            <w:r>
              <w:t xml:space="preserve"> for various modification processes. </w:t>
            </w:r>
          </w:p>
        </w:tc>
      </w:tr>
      <w:tr w:rsidR="003F0440" w:rsidRPr="00725902" w14:paraId="5815013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507E96" w14:textId="77777777" w:rsidR="003F0440" w:rsidRPr="00725902" w:rsidRDefault="003F0440" w:rsidP="002D126B">
            <w:pPr>
              <w:pStyle w:val="TableText"/>
            </w:pPr>
            <w:r>
              <w:t>There is no retrospective data entry or user selection for th</w:t>
            </w:r>
            <w:r w:rsidR="00932460">
              <w:t>is option</w:t>
            </w:r>
            <w:r>
              <w:t>.</w:t>
            </w:r>
          </w:p>
        </w:tc>
      </w:tr>
      <w:tr w:rsidR="003F0440" w:rsidRPr="00725902" w14:paraId="131D69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DD0BE0" w14:textId="77777777" w:rsidR="003F0440" w:rsidRPr="00725902" w:rsidRDefault="003F0440" w:rsidP="002D126B">
            <w:pPr>
              <w:pStyle w:val="TableText"/>
            </w:pPr>
            <w:r>
              <w:t>The unsatisfactory portion of a shipment must be recorded individually.</w:t>
            </w:r>
          </w:p>
        </w:tc>
      </w:tr>
      <w:tr w:rsidR="003F0440" w:rsidRPr="00725902" w14:paraId="47CD2C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5B3355" w14:textId="77777777" w:rsidR="003F0440" w:rsidRPr="00725902" w:rsidRDefault="003F0440" w:rsidP="002D126B">
            <w:pPr>
              <w:pStyle w:val="TableText"/>
            </w:pPr>
            <w:r>
              <w:t>Each site must set a standard for recording quantity: it may use the number of cases or the number of units within the cases.</w:t>
            </w:r>
          </w:p>
        </w:tc>
      </w:tr>
    </w:tbl>
    <w:p w14:paraId="2530340A" w14:textId="77777777" w:rsidR="00DA5F37" w:rsidRDefault="00DA5F37"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896" w14:paraId="24C84824"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54936CE" w14:textId="77777777" w:rsidR="003F0440" w:rsidRPr="00D01896" w:rsidRDefault="003F0440" w:rsidP="002D126B">
            <w:pPr>
              <w:pStyle w:val="TableText"/>
              <w:rPr>
                <w:b/>
              </w:rPr>
            </w:pPr>
            <w:r w:rsidRPr="00D01896">
              <w:rPr>
                <w:b/>
              </w:rPr>
              <w:t>Transfusion Complications</w:t>
            </w:r>
            <w:r>
              <w:rPr>
                <w:b/>
              </w:rPr>
              <w:t xml:space="preserve"> Report</w:t>
            </w:r>
          </w:p>
        </w:tc>
      </w:tr>
      <w:tr w:rsidR="003F0440" w:rsidRPr="00725902" w14:paraId="19D514E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84559C" w14:textId="77777777" w:rsidR="003F0440" w:rsidRPr="00725902" w:rsidRDefault="003F0440" w:rsidP="002D126B">
            <w:pPr>
              <w:pStyle w:val="TableText"/>
            </w:pPr>
            <w:r>
              <w:t>The report does not include units in an issued status.</w:t>
            </w:r>
          </w:p>
        </w:tc>
      </w:tr>
      <w:tr w:rsidR="00CD5BA1" w:rsidRPr="00725902" w14:paraId="206DF3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A4411DB" w14:textId="3C824D5C" w:rsidR="00CD5BA1" w:rsidRDefault="00CD5BA1" w:rsidP="002D126B">
            <w:pPr>
              <w:pStyle w:val="TableText"/>
            </w:pPr>
            <w:r>
              <w:t xml:space="preserve">The report cannot be scheduled. </w:t>
            </w:r>
            <w:r w:rsidRPr="00CD5BA1">
              <w:rPr>
                <w:vanish/>
              </w:rPr>
              <w:t>Defect 210264</w:t>
            </w:r>
          </w:p>
        </w:tc>
      </w:tr>
    </w:tbl>
    <w:p w14:paraId="1E904DA5" w14:textId="77777777" w:rsidR="00C1162B" w:rsidRDefault="00C1162B"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01AF4" w14:paraId="03928B5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0FF775A" w14:textId="77777777" w:rsidR="003F0440" w:rsidRPr="00501AF4" w:rsidRDefault="003F0440" w:rsidP="002D126B">
            <w:pPr>
              <w:pStyle w:val="TableText"/>
              <w:rPr>
                <w:b/>
              </w:rPr>
            </w:pPr>
            <w:r>
              <w:rPr>
                <w:b/>
              </w:rPr>
              <w:t>Transfusion Effectiveness Report</w:t>
            </w:r>
          </w:p>
        </w:tc>
      </w:tr>
      <w:tr w:rsidR="003F0440" w:rsidRPr="00725902" w14:paraId="5ABDA18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7F7712D" w14:textId="77777777" w:rsidR="003F0440" w:rsidRPr="00725902" w:rsidRDefault="003F0440" w:rsidP="002D126B">
            <w:pPr>
              <w:pStyle w:val="TableText"/>
            </w:pPr>
            <w:r>
              <w:t>The report does not include VBECS diagnostic tests.</w:t>
            </w:r>
          </w:p>
        </w:tc>
      </w:tr>
    </w:tbl>
    <w:p w14:paraId="37EA1A72" w14:textId="0248054A" w:rsidR="00DA5F37" w:rsidRDefault="00DA5F37"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7C518F" w:rsidRPr="00501AF4" w14:paraId="33068A92" w14:textId="77777777" w:rsidTr="00D12DC6">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69A9302" w14:textId="17B8C52B" w:rsidR="007C518F" w:rsidRPr="00501AF4" w:rsidRDefault="007C518F" w:rsidP="00D12DC6">
            <w:pPr>
              <w:pStyle w:val="TableText"/>
              <w:rPr>
                <w:b/>
              </w:rPr>
            </w:pPr>
            <w:r>
              <w:rPr>
                <w:b/>
              </w:rPr>
              <w:t>Transfusion Reaction Count Report</w:t>
            </w:r>
          </w:p>
        </w:tc>
      </w:tr>
      <w:tr w:rsidR="007C518F" w:rsidRPr="00725902" w14:paraId="75AC3518" w14:textId="77777777" w:rsidTr="00D12DC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CFECA86" w14:textId="0AC8BDF1" w:rsidR="007C518F" w:rsidRPr="00725902" w:rsidRDefault="00C25C1E" w:rsidP="00D12DC6">
            <w:pPr>
              <w:pStyle w:val="TableText"/>
            </w:pPr>
            <w:r>
              <w:t xml:space="preserve">Transfusion Reactions are only included on the report if the data were entered/updated during the selected date range. This means that retrospective entry of transfusion reactions may not display in the correct date range. The recorded date of the reaction is not considered in the selection criteria. Rerun the report for a date range that includes the date the data was entered or updated. For example, if a transfusion reaction that occurred on February 28 is retrospectively entered on March 1, it will only display on a report that includes March 1 in its date range. </w:t>
            </w:r>
            <w:r w:rsidRPr="00C25C1E">
              <w:rPr>
                <w:vanish/>
              </w:rPr>
              <w:t>Defect 209152</w:t>
            </w:r>
          </w:p>
        </w:tc>
      </w:tr>
    </w:tbl>
    <w:p w14:paraId="3EBC9FA1" w14:textId="77777777" w:rsidR="007C518F" w:rsidRDefault="007C518F"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01AF4" w14:paraId="09E39B9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B056AEC" w14:textId="77777777" w:rsidR="003F0440" w:rsidRPr="00501AF4" w:rsidRDefault="003F0440" w:rsidP="002D126B">
            <w:pPr>
              <w:pStyle w:val="TableText"/>
              <w:rPr>
                <w:b/>
              </w:rPr>
            </w:pPr>
            <w:r>
              <w:rPr>
                <w:b/>
              </w:rPr>
              <w:t>Transfusion Requirements Report</w:t>
            </w:r>
          </w:p>
        </w:tc>
      </w:tr>
      <w:tr w:rsidR="003F0440" w:rsidRPr="00725902" w14:paraId="3F4A540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D541CD" w14:textId="77777777" w:rsidR="003F0440" w:rsidRPr="00725902" w:rsidRDefault="00934D16" w:rsidP="00934D16">
            <w:pPr>
              <w:pStyle w:val="TableText"/>
            </w:pPr>
            <w:r w:rsidRPr="00B93109">
              <w:t xml:space="preserve">Deceased patient records do not appear on the report when </w:t>
            </w:r>
            <w:r>
              <w:t xml:space="preserve">they are </w:t>
            </w:r>
            <w:r w:rsidRPr="00B93109">
              <w:t>generated after the patient has been marked</w:t>
            </w:r>
            <w:r>
              <w:t xml:space="preserve"> as deceased</w:t>
            </w:r>
            <w:r w:rsidRPr="00B93109">
              <w:t xml:space="preserve"> in the VBECS database via a VistA Death Notification Update.</w:t>
            </w:r>
          </w:p>
        </w:tc>
      </w:tr>
      <w:tr w:rsidR="00C25C1E" w:rsidRPr="00725902" w14:paraId="6AF82E1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1913702" w14:textId="4064FD74" w:rsidR="00C25C1E" w:rsidRPr="00B93109" w:rsidRDefault="00C25C1E" w:rsidP="00934D16">
            <w:pPr>
              <w:pStyle w:val="TableText"/>
            </w:pPr>
            <w:r w:rsidRPr="00684625">
              <w:t>The cumulative report is not displaying all patients on file. A patient with ABO/Rh testing and no other requirement appears on the partial Transfusion Requirements report, but not on the cumulative report</w:t>
            </w:r>
            <w:r>
              <w:t xml:space="preserve">. </w:t>
            </w:r>
            <w:r w:rsidRPr="00C25C1E">
              <w:rPr>
                <w:vanish/>
              </w:rPr>
              <w:t>Defect 208903</w:t>
            </w:r>
          </w:p>
        </w:tc>
      </w:tr>
      <w:tr w:rsidR="00C25C1E" w:rsidRPr="00725902" w14:paraId="411A30F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92C847" w14:textId="148DC2D2" w:rsidR="00C25C1E" w:rsidRPr="00B93109" w:rsidRDefault="00C25C1E" w:rsidP="00934D16">
            <w:pPr>
              <w:pStyle w:val="TableText"/>
            </w:pPr>
            <w:r>
              <w:t xml:space="preserve">A report printed with an end date of today or greater does not print “Partial” in the header. </w:t>
            </w:r>
            <w:r w:rsidRPr="00C25C1E">
              <w:rPr>
                <w:vanish/>
              </w:rPr>
              <w:t>Defect 208901</w:t>
            </w:r>
          </w:p>
        </w:tc>
      </w:tr>
    </w:tbl>
    <w:p w14:paraId="21866271" w14:textId="364E86CF" w:rsidR="000E59E4" w:rsidRDefault="000E59E4"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4DE956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B7B50FC" w14:textId="77777777" w:rsidR="003F0440" w:rsidRPr="00725902" w:rsidRDefault="003F0440" w:rsidP="002D126B">
            <w:pPr>
              <w:pStyle w:val="TableText"/>
            </w:pPr>
            <w:r w:rsidRPr="00501AF4">
              <w:rPr>
                <w:b/>
              </w:rPr>
              <w:t>Unit Antigen Typing</w:t>
            </w:r>
          </w:p>
        </w:tc>
      </w:tr>
      <w:tr w:rsidR="003F0440" w:rsidRPr="00725902" w14:paraId="028569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16AA05" w14:textId="77777777" w:rsidR="003F0440" w:rsidRPr="00725902" w:rsidRDefault="003F0440" w:rsidP="002D126B">
            <w:pPr>
              <w:pStyle w:val="TableText"/>
            </w:pPr>
            <w:r>
              <w:t>Antigen typing applies only</w:t>
            </w:r>
            <w:r w:rsidR="006A2B09">
              <w:t xml:space="preserve"> to red blood cell antigens</w:t>
            </w:r>
            <w:r>
              <w:t>. This opt</w:t>
            </w:r>
            <w:r w:rsidR="006A2B09">
              <w:t>ion does not address platelet, histocompatibility locus antigens (</w:t>
            </w:r>
            <w:r>
              <w:t>HLAs</w:t>
            </w:r>
            <w:r w:rsidR="006A2B09">
              <w:t>)</w:t>
            </w:r>
            <w:r>
              <w:t xml:space="preserve">, or </w:t>
            </w:r>
            <w:r w:rsidR="006A2B09">
              <w:t>Immunoglobulin (</w:t>
            </w:r>
            <w:r>
              <w:t>IgA</w:t>
            </w:r>
            <w:r w:rsidR="006A2B09">
              <w:t>)</w:t>
            </w:r>
            <w:r>
              <w:t xml:space="preserve"> antigenicity.</w:t>
            </w:r>
          </w:p>
        </w:tc>
      </w:tr>
      <w:tr w:rsidR="006A2B09" w:rsidRPr="00725902" w14:paraId="0EB57B7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30B5A6" w14:textId="77777777" w:rsidR="006A2B09" w:rsidRDefault="006A2B09" w:rsidP="002D126B">
            <w:pPr>
              <w:pStyle w:val="TableText"/>
            </w:pPr>
            <w:r>
              <w:t>Only blood units of the “WHOLE BLOOD” and “RED BLOOD CELLS” ICCBBA component classes can be selected for inclusion in the antigen type worklist.</w:t>
            </w:r>
          </w:p>
        </w:tc>
      </w:tr>
      <w:tr w:rsidR="006A2B09" w:rsidRPr="00725902" w14:paraId="3463ADC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4DA299" w14:textId="0FFAA118" w:rsidR="006A2B09" w:rsidRDefault="006A2B09" w:rsidP="002D126B">
            <w:pPr>
              <w:pStyle w:val="TableText"/>
            </w:pPr>
            <w:r>
              <w:t xml:space="preserve">Antigen typing is not required on products with = &gt; 2 mL </w:t>
            </w:r>
            <w:r w:rsidR="00AE3B37">
              <w:t>of RBC</w:t>
            </w:r>
            <w:r>
              <w:t xml:space="preserve"> contamination that are not Red Blood Cells or Whole Blood.</w:t>
            </w:r>
          </w:p>
        </w:tc>
      </w:tr>
      <w:tr w:rsidR="003F0440" w:rsidRPr="00725902" w14:paraId="253146A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F0EC891" w14:textId="77777777" w:rsidR="003F0440" w:rsidRPr="00725902" w:rsidRDefault="003F0440" w:rsidP="002D126B">
            <w:pPr>
              <w:pStyle w:val="TableText"/>
            </w:pPr>
            <w:r>
              <w:t>VBECS does not check whether the lot and vial numbers selected for the positive control cells differ from those of the negative control cells.</w:t>
            </w:r>
          </w:p>
        </w:tc>
      </w:tr>
      <w:tr w:rsidR="003F0440" w:rsidRPr="00725902" w14:paraId="44CE1B7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E6F7450" w14:textId="77777777" w:rsidR="003F0440" w:rsidRPr="00725902" w:rsidRDefault="003F0440" w:rsidP="002D126B">
            <w:pPr>
              <w:pStyle w:val="TableText"/>
            </w:pPr>
            <w:r>
              <w:t>D antigen typing must not be combined in batch testing of Rh positive units.</w:t>
            </w:r>
          </w:p>
        </w:tc>
      </w:tr>
      <w:tr w:rsidR="00A753B8" w:rsidRPr="00725902" w14:paraId="04912C5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10D415B" w14:textId="03DFEEE4" w:rsidR="00A753B8" w:rsidRDefault="00A753B8" w:rsidP="002D126B">
            <w:pPr>
              <w:pStyle w:val="TableText"/>
            </w:pPr>
            <w:r>
              <w:t xml:space="preserve">The sort order of the selected units may not be inherited by the testing grid. Organize physical test materials according to the order of units presented on the testing grid. </w:t>
            </w:r>
            <w:r w:rsidRPr="00A753B8">
              <w:rPr>
                <w:vanish/>
              </w:rPr>
              <w:t>Defect 209578</w:t>
            </w:r>
          </w:p>
        </w:tc>
      </w:tr>
    </w:tbl>
    <w:p w14:paraId="3201A97C" w14:textId="5A84F23E" w:rsidR="00A753B8" w:rsidRDefault="00A753B8"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1D5B61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4CFC56E" w14:textId="179D7D5F" w:rsidR="003F0440" w:rsidRPr="00402919" w:rsidRDefault="00A753B8" w:rsidP="002D126B">
            <w:pPr>
              <w:pStyle w:val="TableText"/>
              <w:rPr>
                <w:b/>
              </w:rPr>
            </w:pPr>
            <w:r>
              <w:lastRenderedPageBreak/>
              <w:br w:type="page"/>
            </w:r>
            <w:r w:rsidR="003F0440">
              <w:rPr>
                <w:b/>
              </w:rPr>
              <w:t>Unit History Report</w:t>
            </w:r>
          </w:p>
        </w:tc>
      </w:tr>
      <w:tr w:rsidR="003F0440" w14:paraId="17563F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EB7AC34" w14:textId="77777777" w:rsidR="003F0440" w:rsidRDefault="003F0440" w:rsidP="002D126B">
            <w:pPr>
              <w:pStyle w:val="TableText"/>
            </w:pPr>
            <w:r>
              <w:t>The report is not multidivisional.</w:t>
            </w:r>
          </w:p>
        </w:tc>
      </w:tr>
      <w:tr w:rsidR="00DD7CAF" w:rsidRPr="00C06411" w14:paraId="0392411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2DE41E1" w14:textId="77777777" w:rsidR="00DD7CAF" w:rsidRPr="00C06411" w:rsidRDefault="00DD7CAF" w:rsidP="005E39DA">
            <w:pPr>
              <w:pStyle w:val="TableText"/>
            </w:pPr>
            <w:r>
              <w:t xml:space="preserve">When a user retroactively updates a unit status through Discard or Quarantine, the Unit History Report displays the updated information, but does not display the date the change was made. </w:t>
            </w:r>
          </w:p>
        </w:tc>
      </w:tr>
      <w:tr w:rsidR="00CD5BA1" w:rsidRPr="00C06411" w14:paraId="5CD8363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95472C" w14:textId="34659750" w:rsidR="00CD5BA1" w:rsidRDefault="00CD5BA1" w:rsidP="005E39DA">
            <w:pPr>
              <w:pStyle w:val="TableText"/>
            </w:pPr>
            <w:r>
              <w:t>The r</w:t>
            </w:r>
            <w:r w:rsidRPr="001F1DB9">
              <w:t xml:space="preserve">eport </w:t>
            </w:r>
            <w:r>
              <w:t xml:space="preserve">will not indicate if a unit was returned to shipper, or shipped to another facility. This information can be found in the Cost Accounting Report. </w:t>
            </w:r>
            <w:r w:rsidRPr="00CD5BA1">
              <w:rPr>
                <w:vanish/>
              </w:rPr>
              <w:t>Defect 212158</w:t>
            </w:r>
          </w:p>
        </w:tc>
      </w:tr>
      <w:tr w:rsidR="00CD5BA1" w:rsidRPr="00C06411" w14:paraId="390BFB0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8881EA2" w14:textId="253E6417" w:rsidR="00CD5BA1" w:rsidRDefault="00CD5BA1" w:rsidP="005E39DA">
            <w:pPr>
              <w:pStyle w:val="TableText"/>
            </w:pPr>
            <w:r>
              <w:t xml:space="preserve">The report does not display the Antigen Testing Phase Change Exception. See the Exception Report for this information. </w:t>
            </w:r>
            <w:r w:rsidRPr="00CD5BA1">
              <w:rPr>
                <w:vanish/>
              </w:rPr>
              <w:t>Defect 209575</w:t>
            </w:r>
          </w:p>
        </w:tc>
      </w:tr>
      <w:tr w:rsidR="00E04548" w:rsidRPr="00C06411" w14:paraId="160A4FC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D838DE" w14:textId="3B3009CD" w:rsidR="00E04548" w:rsidRDefault="00E04548" w:rsidP="005E39DA">
            <w:pPr>
              <w:pStyle w:val="TableText"/>
            </w:pPr>
            <w:r>
              <w:t xml:space="preserve">When a user retroactively updates a unit status through the Discard or Quarantine option, the Unit History Report displays the updated information, but does not display the date the change was made. </w:t>
            </w:r>
            <w:r w:rsidRPr="00E04548">
              <w:rPr>
                <w:vanish/>
              </w:rPr>
              <w:t>Defect 212537</w:t>
            </w:r>
          </w:p>
        </w:tc>
      </w:tr>
    </w:tbl>
    <w:p w14:paraId="1CD7B57F" w14:textId="77777777" w:rsidR="00DD7CAF" w:rsidRDefault="00DD7CAF"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A7DE2" w14:paraId="1F092694"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A5A8E13" w14:textId="77777777" w:rsidR="003F0440" w:rsidRPr="00DA7DE2" w:rsidRDefault="003F0440" w:rsidP="002D126B">
            <w:pPr>
              <w:pStyle w:val="TableText"/>
              <w:rPr>
                <w:b/>
              </w:rPr>
            </w:pPr>
            <w:r w:rsidRPr="00DA7DE2">
              <w:rPr>
                <w:b/>
              </w:rPr>
              <w:t>Update User Roles</w:t>
            </w:r>
          </w:p>
        </w:tc>
      </w:tr>
      <w:tr w:rsidR="003F0440" w:rsidRPr="00725902" w14:paraId="1D2851EA"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D19ADAB" w14:textId="77777777" w:rsidR="003F0440" w:rsidRDefault="003F0440" w:rsidP="002D126B">
            <w:pPr>
              <w:pStyle w:val="TableText"/>
            </w:pPr>
            <w:r>
              <w:rPr>
                <w:vanish/>
              </w:rPr>
              <w:t xml:space="preserve">BR_19.01, BR_19.03 </w:t>
            </w:r>
            <w:r>
              <w:t>One role at a time may be assigned to a user at a division. The role may be reset.</w:t>
            </w:r>
          </w:p>
        </w:tc>
      </w:tr>
      <w:tr w:rsidR="003F0440" w:rsidRPr="00725902" w14:paraId="2B6D838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DB3ADA" w14:textId="77777777" w:rsidR="003F0440" w:rsidRDefault="00DD0BFD" w:rsidP="00DD0BFD">
            <w:pPr>
              <w:pStyle w:val="TableText"/>
            </w:pPr>
            <w:r>
              <w:t xml:space="preserve">VBECS does not allow users </w:t>
            </w:r>
            <w:r w:rsidR="00AB565A">
              <w:rPr>
                <w:vanish/>
              </w:rPr>
              <w:t xml:space="preserve">BR_19.06 </w:t>
            </w:r>
            <w:r>
              <w:t>to edit or delete the sole Administrator/Supervisor.</w:t>
            </w:r>
          </w:p>
        </w:tc>
      </w:tr>
    </w:tbl>
    <w:p w14:paraId="235CA791" w14:textId="77777777" w:rsidR="00C84564" w:rsidRDefault="00C84564"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F506D" w14:paraId="5C39C20E"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4953C5E" w14:textId="77777777" w:rsidR="003F0440" w:rsidRPr="007F506D" w:rsidRDefault="003F0440" w:rsidP="002D126B">
            <w:pPr>
              <w:pStyle w:val="TableText"/>
              <w:rPr>
                <w:b/>
              </w:rPr>
            </w:pPr>
            <w:r w:rsidRPr="007F506D">
              <w:rPr>
                <w:b/>
              </w:rPr>
              <w:t>Updated Patients and Deceased Patients</w:t>
            </w:r>
          </w:p>
        </w:tc>
      </w:tr>
      <w:tr w:rsidR="00D139EE" w:rsidRPr="00725902" w14:paraId="75FD70A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D6801C" w14:textId="77777777" w:rsidR="00D139EE" w:rsidRDefault="00D139EE" w:rsidP="00D139EE">
            <w:pPr>
              <w:pStyle w:val="TableText"/>
            </w:pPr>
            <w:r>
              <w:t>Demographic and death event updates do not display information for patients without pending or active orders in VBECS. Updates will occur without user input.</w:t>
            </w:r>
          </w:p>
        </w:tc>
      </w:tr>
      <w:tr w:rsidR="00D139EE" w:rsidRPr="00725902" w14:paraId="751DB83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6D7EFF8" w14:textId="77777777" w:rsidR="00D139EE" w:rsidRDefault="00D139EE" w:rsidP="00D139EE">
            <w:pPr>
              <w:pStyle w:val="TableTex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tc>
      </w:tr>
      <w:tr w:rsidR="00D139EE" w:rsidRPr="00725902" w14:paraId="3C7C2A5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030D586" w14:textId="77777777" w:rsidR="00D139EE" w:rsidRDefault="00D139EE" w:rsidP="00D139EE">
            <w:pPr>
              <w:pStyle w:val="TableText"/>
            </w:pPr>
            <w:r>
              <w:t>When VBECS notifies a user of an update to a patient’s prefix or suffix, VBECS does not display the updated information: the user must access VistA to view the updated information.</w:t>
            </w:r>
            <w:r w:rsidRPr="00C805FB">
              <w:rPr>
                <w:vanish/>
              </w:rPr>
              <w:t xml:space="preserve"> </w:t>
            </w:r>
            <w:r>
              <w:rPr>
                <w:vanish/>
              </w:rPr>
              <w:t>DR 2,714</w:t>
            </w:r>
          </w:p>
        </w:tc>
      </w:tr>
      <w:tr w:rsidR="00195D83" w:rsidRPr="00725902" w14:paraId="5EF2038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271B323" w14:textId="77777777" w:rsidR="00195D83" w:rsidRDefault="00195D83" w:rsidP="00D139EE">
            <w:pPr>
              <w:pStyle w:val="TableText"/>
            </w:pPr>
            <w:r>
              <w:t xml:space="preserve">Suffix data may be outdated but will be refreshed upon a new order for a patient. </w:t>
            </w:r>
            <w:r w:rsidRPr="006941AE">
              <w:rPr>
                <w:vanish/>
              </w:rPr>
              <w:t>Task 447307</w:t>
            </w:r>
          </w:p>
        </w:tc>
      </w:tr>
    </w:tbl>
    <w:p w14:paraId="057E4CA2" w14:textId="77777777" w:rsidR="00C84564" w:rsidRDefault="00C84564"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5E7BB7" w:rsidRPr="00FA7720" w14:paraId="358E15D6" w14:textId="77777777" w:rsidTr="00D25275">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94E8D42" w14:textId="77777777" w:rsidR="005E7BB7" w:rsidRPr="00FA7720" w:rsidRDefault="005E7BB7" w:rsidP="00D25275">
            <w:pPr>
              <w:pStyle w:val="TableText"/>
              <w:rPr>
                <w:b/>
              </w:rPr>
            </w:pPr>
            <w:r>
              <w:rPr>
                <w:b/>
              </w:rPr>
              <w:t>View Special Instructions and Transfusion Requirements</w:t>
            </w:r>
          </w:p>
        </w:tc>
      </w:tr>
      <w:tr w:rsidR="005E7BB7" w:rsidRPr="00725902" w14:paraId="4251E2B5" w14:textId="77777777" w:rsidTr="00D2527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E88C0F" w14:textId="77777777" w:rsidR="005E7BB7" w:rsidRPr="00725902" w:rsidRDefault="005E7BB7" w:rsidP="00D25275">
            <w:pPr>
              <w:pStyle w:val="TableText"/>
            </w:pPr>
            <w:r>
              <w:t xml:space="preserve">Changing </w:t>
            </w:r>
            <w:r w:rsidRPr="00633316">
              <w:t xml:space="preserve">a patient's antigen negative requirement or antibody identified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tc>
      </w:tr>
    </w:tbl>
    <w:p w14:paraId="1B7923C3" w14:textId="77777777" w:rsidR="005E7BB7" w:rsidRDefault="005E7BB7"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FA7720" w14:paraId="529991B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15DB29B" w14:textId="77777777" w:rsidR="003F0440" w:rsidRPr="00FA7720" w:rsidRDefault="003F0440" w:rsidP="002D126B">
            <w:pPr>
              <w:pStyle w:val="TableText"/>
              <w:rPr>
                <w:b/>
              </w:rPr>
            </w:pPr>
            <w:r w:rsidRPr="00FA7720">
              <w:rPr>
                <w:b/>
              </w:rPr>
              <w:t>Workload Codes</w:t>
            </w:r>
          </w:p>
        </w:tc>
      </w:tr>
      <w:tr w:rsidR="003F0440" w:rsidRPr="00725902" w14:paraId="5D2B9D8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77F62A" w14:textId="77777777" w:rsidR="003F0440" w:rsidRPr="00725902" w:rsidRDefault="003F0440" w:rsidP="002D126B">
            <w:pPr>
              <w:pStyle w:val="TableText"/>
            </w:pPr>
            <w:r>
              <w:t>Transfusion-only sites must not map workload codes to processes such as ABO/Rh testing not performed on site.</w:t>
            </w:r>
          </w:p>
        </w:tc>
      </w:tr>
      <w:tr w:rsidR="003F2431" w:rsidRPr="00725902" w14:paraId="7886F3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47DA19" w14:textId="77777777" w:rsidR="003F2431" w:rsidRPr="003F2431" w:rsidRDefault="003F2431" w:rsidP="002D126B">
            <w:pPr>
              <w:pStyle w:val="TableText"/>
              <w:rPr>
                <w:b/>
              </w:rPr>
            </w:pPr>
            <w:r w:rsidRPr="003F2431">
              <w:t>Retrieved LMIP/NLT codes from VistA may have multiple CPT codes. Inactivating any of the associated CPT codes in VBECS will inactivate the LMIP/NLT code. Editing of the LMIP/NLT code associations must be done in VistA.</w:t>
            </w:r>
          </w:p>
        </w:tc>
      </w:tr>
      <w:tr w:rsidR="00E25C40" w:rsidRPr="00725902" w14:paraId="14B33A3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37AB4C" w14:textId="72DE27FF" w:rsidR="00E25C40" w:rsidRPr="003F2431" w:rsidRDefault="00E25C40" w:rsidP="002D126B">
            <w:pPr>
              <w:pStyle w:val="TableText"/>
            </w:pPr>
            <w:r>
              <w:t xml:space="preserve">Invalidating split units will result in extra workload equal to the number of splits created applied to the total number of units logged in. This occurs when split units are incorrectly processed in VBECS. </w:t>
            </w:r>
            <w:r w:rsidRPr="00E25C40">
              <w:rPr>
                <w:vanish/>
              </w:rPr>
              <w:t>Defect 209156</w:t>
            </w:r>
          </w:p>
        </w:tc>
      </w:tr>
    </w:tbl>
    <w:p w14:paraId="6C47EAD0" w14:textId="5CDF9627" w:rsidR="005C2727" w:rsidRDefault="005C2727" w:rsidP="00DD75E5">
      <w:pPr>
        <w:pStyle w:val="BodyText"/>
      </w:pPr>
    </w:p>
    <w:p w14:paraId="0890333C" w14:textId="77777777" w:rsidR="005C2727" w:rsidRDefault="005C2727">
      <w:pPr>
        <w:rPr>
          <w:sz w:val="22"/>
          <w:szCs w:val="22"/>
        </w:rPr>
      </w:pPr>
      <w:r>
        <w:br w:type="page"/>
      </w:r>
    </w:p>
    <w:p w14:paraId="387AA4DA" w14:textId="33F81B50" w:rsidR="00D9569F" w:rsidRDefault="00D9569F" w:rsidP="00AF2D0E">
      <w:pPr>
        <w:pStyle w:val="Heading2"/>
      </w:pPr>
      <w:bookmarkStart w:id="815" w:name="_Toc47516824"/>
      <w:r>
        <w:lastRenderedPageBreak/>
        <w:t xml:space="preserve">Appendix </w:t>
      </w:r>
      <w:r w:rsidR="001B0B0C">
        <w:rPr>
          <w:noProof/>
        </w:rPr>
        <w:t>E</w:t>
      </w:r>
      <w:r>
        <w:t>: Known Defects and Anomalies</w:t>
      </w:r>
      <w:bookmarkEnd w:id="815"/>
      <w:r w:rsidR="00681D23">
        <w:fldChar w:fldCharType="begin"/>
      </w:r>
      <w:r w:rsidR="00681D23">
        <w:instrText xml:space="preserve"> XE "</w:instrText>
      </w:r>
      <w:r w:rsidR="00681D23" w:rsidRPr="00FB2A0A">
        <w:instrText>Known Defects and Anomalies</w:instrText>
      </w:r>
      <w:r w:rsidR="00681D23">
        <w:instrText xml:space="preserve">" </w:instrText>
      </w:r>
      <w:r w:rsidR="00681D23">
        <w:fldChar w:fldCharType="end"/>
      </w:r>
    </w:p>
    <w:p w14:paraId="54130660" w14:textId="5114F62A" w:rsidR="00D9569F" w:rsidRDefault="00D9569F" w:rsidP="00D9569F">
      <w:pPr>
        <w:pStyle w:val="BodyText"/>
      </w:pPr>
      <w:r>
        <w:t>Cop</w:t>
      </w:r>
      <w:r w:rsidR="00AD5990">
        <w:t>y</w:t>
      </w:r>
      <w:r>
        <w:t xml:space="preserve"> of </w:t>
      </w:r>
      <w:r w:rsidR="00B03BDD">
        <w:rPr>
          <w:i/>
        </w:rPr>
        <w:t>VBECS 2.3.</w:t>
      </w:r>
      <w:r w:rsidR="00AD5990">
        <w:rPr>
          <w:i/>
        </w:rPr>
        <w:t>2</w:t>
      </w:r>
      <w:r w:rsidR="00E605B1" w:rsidRPr="00E605B1">
        <w:rPr>
          <w:i/>
        </w:rPr>
        <w:t xml:space="preserve"> </w:t>
      </w:r>
      <w:r w:rsidRPr="00E605B1">
        <w:rPr>
          <w:i/>
        </w:rPr>
        <w:t>Known</w:t>
      </w:r>
      <w:r>
        <w:rPr>
          <w:i/>
        </w:rPr>
        <w:t xml:space="preserve"> Defects and Anomalies</w:t>
      </w:r>
      <w:r>
        <w:t xml:space="preserve"> may be obtained from </w:t>
      </w:r>
      <w:r w:rsidR="00F20C8C">
        <w:t>the</w:t>
      </w:r>
      <w:r w:rsidR="00802EE9">
        <w:t xml:space="preserve"> VA Software Document Library W</w:t>
      </w:r>
      <w:r w:rsidR="00F20C8C">
        <w:t>eb site</w:t>
      </w:r>
      <w:r w:rsidR="0055121B">
        <w:t xml:space="preserve"> (</w:t>
      </w:r>
      <w:hyperlink r:id="rId249" w:history="1">
        <w:r w:rsidR="0055121B" w:rsidRPr="000504F1">
          <w:rPr>
            <w:rStyle w:val="Hyperlink"/>
          </w:rPr>
          <w:t>https://www.va.gov/vdl/application.asp?appid=182</w:t>
        </w:r>
      </w:hyperlink>
      <w:r w:rsidR="0055121B">
        <w:t>)</w:t>
      </w:r>
      <w:r w:rsidR="00F20C8C">
        <w:t>.</w:t>
      </w:r>
    </w:p>
    <w:p w14:paraId="78E88024" w14:textId="77777777" w:rsidR="000C342D" w:rsidRDefault="00D9569F" w:rsidP="000C342D">
      <w:pPr>
        <w:pStyle w:val="BodyText"/>
        <w:jc w:val="center"/>
      </w:pPr>
      <w:r>
        <w:br w:type="page"/>
      </w:r>
      <w:r w:rsidR="000C342D">
        <w:lastRenderedPageBreak/>
        <w:t>This page intentionally left blank.</w:t>
      </w:r>
    </w:p>
    <w:p w14:paraId="0A88DB2B" w14:textId="2070C290" w:rsidR="002A21AE" w:rsidRDefault="000C342D">
      <w:pPr>
        <w:pStyle w:val="Heading2"/>
      </w:pPr>
      <w:r>
        <w:br w:type="page"/>
      </w:r>
      <w:bookmarkStart w:id="816" w:name="_Toc47516825"/>
      <w:r w:rsidR="002A21AE">
        <w:lastRenderedPageBreak/>
        <w:t xml:space="preserve">Appendix </w:t>
      </w:r>
      <w:r w:rsidR="001B0B0C">
        <w:rPr>
          <w:noProof/>
        </w:rPr>
        <w:t>F</w:t>
      </w:r>
      <w:r w:rsidR="002A21AE">
        <w:t>: System Validation</w:t>
      </w:r>
      <w:bookmarkEnd w:id="816"/>
      <w:r w:rsidR="002A21AE">
        <w:fldChar w:fldCharType="begin"/>
      </w:r>
      <w:r w:rsidR="002A21AE">
        <w:instrText xml:space="preserve"> XE </w:instrText>
      </w:r>
      <w:r w:rsidR="00FA7E65">
        <w:instrText>“</w:instrText>
      </w:r>
      <w:r w:rsidR="002A21AE">
        <w:instrText>System Validation</w:instrText>
      </w:r>
      <w:r w:rsidR="00FA7E65">
        <w:instrText>”</w:instrText>
      </w:r>
      <w:r w:rsidR="002A21AE">
        <w:instrText xml:space="preserve"> </w:instrText>
      </w:r>
      <w:r w:rsidR="002A21AE">
        <w:fldChar w:fldCharType="end"/>
      </w:r>
    </w:p>
    <w:p w14:paraId="3F4CBE4A" w14:textId="77777777" w:rsidR="002E3C00" w:rsidRDefault="002E3C00" w:rsidP="002E3C00">
      <w:pPr>
        <w:pStyle w:val="Heading3"/>
      </w:pPr>
      <w:bookmarkStart w:id="817" w:name="_Toc114462089"/>
      <w:bookmarkStart w:id="818" w:name="_Toc47516826"/>
      <w:r>
        <w:t>Introduction</w:t>
      </w:r>
      <w:bookmarkEnd w:id="817"/>
      <w:bookmarkEnd w:id="818"/>
      <w:r w:rsidR="00E21F36">
        <w:fldChar w:fldCharType="begin"/>
      </w:r>
      <w:r w:rsidR="00E21F36">
        <w:instrText xml:space="preserve"> XE " System Validation:</w:instrText>
      </w:r>
      <w:r w:rsidR="00E21F36" w:rsidRPr="0081226B">
        <w:instrText>Introduction</w:instrText>
      </w:r>
      <w:r w:rsidR="00E21F36">
        <w:instrText xml:space="preserve">" </w:instrText>
      </w:r>
      <w:r w:rsidR="00E21F36">
        <w:fldChar w:fldCharType="end"/>
      </w:r>
    </w:p>
    <w:p w14:paraId="7E2CE329" w14:textId="49FE8710" w:rsidR="00AB21DA" w:rsidRDefault="00AB21DA" w:rsidP="00AB21DA">
      <w:pPr>
        <w:pStyle w:val="BodyText"/>
      </w:pPr>
      <w:r>
        <w:t>Each facility is responsible for validating</w:t>
      </w:r>
      <w:r w:rsidRPr="00437093">
        <w:t xml:space="preserve"> </w:t>
      </w:r>
      <w:r>
        <w:t xml:space="preserve">the VBECS </w:t>
      </w:r>
      <w:r w:rsidRPr="00437093">
        <w:t xml:space="preserve">installation, operation, and </w:t>
      </w:r>
      <w:r>
        <w:t>performance</w:t>
      </w:r>
      <w:r w:rsidRPr="00437093">
        <w:t xml:space="preserve"> </w:t>
      </w:r>
      <w:r>
        <w:t>before</w:t>
      </w:r>
      <w:r w:rsidRPr="00437093">
        <w:t xml:space="preserve"> using </w:t>
      </w:r>
      <w:r>
        <w:t xml:space="preserve">VBECS </w:t>
      </w:r>
      <w:r w:rsidRPr="00437093">
        <w:t>in a live (production) environment.</w:t>
      </w:r>
      <w:r>
        <w:t xml:space="preserve"> This includes evaluating</w:t>
      </w:r>
      <w:r w:rsidRPr="00437093">
        <w:t xml:space="preserve"> local intend</w:t>
      </w:r>
      <w:r>
        <w:t>ed uses of the software and</w:t>
      </w:r>
      <w:r w:rsidR="00503461">
        <w:t xml:space="preserve"> changing settings </w:t>
      </w:r>
      <w:r w:rsidRPr="00437093">
        <w:t xml:space="preserve">to conform to </w:t>
      </w:r>
      <w:r>
        <w:t>the</w:t>
      </w:r>
      <w:r w:rsidRPr="00437093">
        <w:t xml:space="preserve"> facility’s procedures, processes, and policies</w:t>
      </w:r>
      <w:r w:rsidR="00033719">
        <w:t xml:space="preserve"> (See FAQ How to file a New Service</w:t>
      </w:r>
      <w:r w:rsidR="00553ED0">
        <w:t xml:space="preserve"> Request for Changes to VBECS)</w:t>
      </w:r>
      <w:r w:rsidRPr="00437093">
        <w:t xml:space="preserve">. Use internal operating procedures and policies to validate that the software </w:t>
      </w:r>
      <w:r>
        <w:t>performs</w:t>
      </w:r>
      <w:r w:rsidRPr="00437093">
        <w:t xml:space="preserve"> in accordan</w:t>
      </w:r>
      <w:r>
        <w:t>c</w:t>
      </w:r>
      <w:r w:rsidRPr="00437093">
        <w:t>e with your site’s parameters.</w:t>
      </w:r>
      <w:r w:rsidR="00066BE2">
        <w:t xml:space="preserve"> </w:t>
      </w:r>
      <w:r w:rsidR="00EF39BA">
        <w:t>Determine the level of validation required for c</w:t>
      </w:r>
      <w:r w:rsidR="00066BE2">
        <w:t>hanges to h</w:t>
      </w:r>
      <w:r w:rsidR="00EF39BA">
        <w:t>ardware and software</w:t>
      </w:r>
      <w:r w:rsidR="00066BE2">
        <w:t>.</w:t>
      </w:r>
      <w:r w:rsidR="00AF3C57">
        <w:t xml:space="preserve"> (See FAQ </w:t>
      </w:r>
      <w:r w:rsidR="00BC2656">
        <w:t>Ancillary VistA Validation</w:t>
      </w:r>
      <w:r w:rsidR="00AF3C57">
        <w:t>).</w:t>
      </w:r>
    </w:p>
    <w:p w14:paraId="1B13AAA3" w14:textId="77777777" w:rsidR="0096773B" w:rsidRDefault="0096773B" w:rsidP="0096773B">
      <w:pPr>
        <w:pStyle w:val="Caution"/>
        <w:rPr>
          <w:szCs w:val="15"/>
        </w:rPr>
      </w:pPr>
      <w:r w:rsidRPr="009830A4">
        <w:t xml:space="preserve">This section describes only basic system validation. Sample test scripts are available from the </w:t>
      </w:r>
      <w:r w:rsidRPr="004002F6">
        <w:t>National Training &amp; Education Office</w:t>
      </w:r>
      <w:r w:rsidRPr="009830A4">
        <w:t xml:space="preserve"> </w:t>
      </w:r>
      <w:r>
        <w:t>(</w:t>
      </w:r>
      <w:r w:rsidRPr="009830A4">
        <w:t>NT&amp;EO</w:t>
      </w:r>
      <w:r>
        <w:t>)</w:t>
      </w:r>
      <w:r w:rsidRPr="009830A4">
        <w:t>.</w:t>
      </w:r>
    </w:p>
    <w:p w14:paraId="5C85E3BD" w14:textId="77777777" w:rsidR="009D2266" w:rsidRDefault="009D2266" w:rsidP="009D2266">
      <w:pPr>
        <w:pStyle w:val="Heading3"/>
      </w:pPr>
      <w:bookmarkStart w:id="819" w:name="_Toc47516827"/>
      <w:r>
        <w:t>Validation Plan</w:t>
      </w:r>
      <w:bookmarkEnd w:id="819"/>
      <w:r w:rsidR="00AB21DA">
        <w:fldChar w:fldCharType="begin"/>
      </w:r>
      <w:r w:rsidR="00AB21DA">
        <w:instrText xml:space="preserve"> XE " System Validation:Validation Plan" </w:instrText>
      </w:r>
      <w:r w:rsidR="00AB21DA">
        <w:fldChar w:fldCharType="end"/>
      </w:r>
    </w:p>
    <w:p w14:paraId="177EB02A" w14:textId="77777777" w:rsidR="001F3C29" w:rsidRDefault="009D2266" w:rsidP="001F3C29">
      <w:pPr>
        <w:pStyle w:val="BodyText"/>
      </w:pPr>
      <w:r w:rsidRPr="00437093">
        <w:t xml:space="preserve">Write a </w:t>
      </w:r>
      <w:r>
        <w:t>validation</w:t>
      </w:r>
      <w:r w:rsidRPr="00437093">
        <w:t xml:space="preserve"> plan</w:t>
      </w:r>
      <w:r>
        <w:t xml:space="preserve"> with clearly stated goals and strategies</w:t>
      </w:r>
      <w:r w:rsidRPr="00437093">
        <w:t xml:space="preserve"> to demonstrate that </w:t>
      </w:r>
      <w:r>
        <w:t xml:space="preserve">the system hardware, application, </w:t>
      </w:r>
      <w:r w:rsidRPr="00437093">
        <w:t>new feature</w:t>
      </w:r>
      <w:r>
        <w:t>s,</w:t>
      </w:r>
      <w:r w:rsidRPr="00437093">
        <w:t xml:space="preserve"> </w:t>
      </w:r>
      <w:r>
        <w:t>and</w:t>
      </w:r>
      <w:r w:rsidRPr="00437093">
        <w:t xml:space="preserve"> software patch</w:t>
      </w:r>
      <w:r>
        <w:t>es</w:t>
      </w:r>
      <w:r w:rsidRPr="00437093">
        <w:t xml:space="preserve"> function as expected in your facility’s environment.</w:t>
      </w:r>
      <w:r>
        <w:t xml:space="preserve"> Include descriptions of documents, hardware and software Verification &amp; Validation (V&amp;V) tools, techniques, methods, and operating and test environments to be used. </w:t>
      </w:r>
      <w:r w:rsidR="001F3C29" w:rsidRPr="00437093">
        <w:t xml:space="preserve">Determine </w:t>
      </w:r>
      <w:r w:rsidR="001F3C29">
        <w:t xml:space="preserve">and document </w:t>
      </w:r>
      <w:r w:rsidR="001F3C29" w:rsidRPr="00437093">
        <w:t>when an option is not applicable to your facilit</w:t>
      </w:r>
      <w:r w:rsidR="001F3C29">
        <w:t>y and does not require testing.</w:t>
      </w:r>
    </w:p>
    <w:p w14:paraId="72390150" w14:textId="77777777" w:rsidR="009D2266" w:rsidRDefault="009D2266" w:rsidP="001F3C29">
      <w:pPr>
        <w:pStyle w:val="BodyText"/>
      </w:pPr>
      <w:r>
        <w:t xml:space="preserve">You may separate this plan into three major sections: </w:t>
      </w:r>
    </w:p>
    <w:p w14:paraId="0FF453E6" w14:textId="77777777" w:rsidR="009D2266" w:rsidRPr="009D2266" w:rsidRDefault="009D2266" w:rsidP="009D2266">
      <w:pPr>
        <w:pStyle w:val="Heading4"/>
        <w:rPr>
          <w:vertAlign w:val="superscript"/>
        </w:rPr>
      </w:pPr>
      <w:r>
        <w:t xml:space="preserve">Installation Qualification </w:t>
      </w:r>
      <w:r w:rsidR="00AB21DA">
        <w:fldChar w:fldCharType="begin"/>
      </w:r>
      <w:r w:rsidR="00AB21DA">
        <w:instrText xml:space="preserve"> XE " System Validation:Installation Qualification" </w:instrText>
      </w:r>
      <w:r w:rsidR="00AB21DA">
        <w:fldChar w:fldCharType="end"/>
      </w:r>
    </w:p>
    <w:p w14:paraId="2B435F85" w14:textId="77777777" w:rsidR="009D2266" w:rsidRPr="009D2266" w:rsidRDefault="00AB21DA" w:rsidP="009D2266">
      <w:pPr>
        <w:pStyle w:val="BodyText"/>
        <w:rPr>
          <w:vertAlign w:val="superscript"/>
        </w:rPr>
      </w:pPr>
      <w:r>
        <w:t xml:space="preserve">The Installation Qualification (IQ) section includes </w:t>
      </w:r>
      <w:r w:rsidR="009D2266" w:rsidRPr="00437093">
        <w:t>system identification, definition of physical properties, interfaces and peripheral devices</w:t>
      </w:r>
      <w:r w:rsidR="009D2266">
        <w:t>,</w:t>
      </w:r>
      <w:r w:rsidR="009D2266" w:rsidRPr="00437093">
        <w:t xml:space="preserve"> and general functionality.</w:t>
      </w:r>
      <w:r w:rsidR="009D2266">
        <w:t xml:space="preserve"> Determine what types of testing must be done</w:t>
      </w:r>
      <w:r w:rsidR="003A7C77">
        <w:t>. C</w:t>
      </w:r>
      <w:r w:rsidR="009D2266">
        <w:t>reate test cases</w:t>
      </w:r>
      <w:r w:rsidR="009D2266" w:rsidRPr="00437093">
        <w:t xml:space="preserve"> in accordance with your </w:t>
      </w:r>
      <w:r w:rsidR="009D2266">
        <w:t>internal procedures</w:t>
      </w:r>
      <w:r w:rsidR="00F1479E">
        <w:t xml:space="preserve"> and intended use</w:t>
      </w:r>
      <w:r w:rsidR="009D2266">
        <w:t xml:space="preserve">. </w:t>
      </w:r>
    </w:p>
    <w:p w14:paraId="52B4374C" w14:textId="77777777" w:rsidR="009D2266" w:rsidRPr="009D2266" w:rsidRDefault="009D2266" w:rsidP="009D2266">
      <w:pPr>
        <w:pStyle w:val="BodyText"/>
        <w:rPr>
          <w:vertAlign w:val="superscript"/>
        </w:rPr>
      </w:pPr>
      <w:r>
        <w:t xml:space="preserve">Apply </w:t>
      </w:r>
      <w:r w:rsidRPr="00437093">
        <w:t xml:space="preserve">review, analysis, and testing techniques to determine whether </w:t>
      </w:r>
      <w:r>
        <w:t>VBECS hardware and peripheral components co</w:t>
      </w:r>
      <w:r w:rsidRPr="00437093">
        <w:t>mply with requirements</w:t>
      </w:r>
      <w:r>
        <w:t>, including</w:t>
      </w:r>
      <w:r w:rsidRPr="00437093">
        <w:t xml:space="preserve"> functionality and attributes such as consistency, safety, and security.</w:t>
      </w:r>
      <w:r>
        <w:t xml:space="preserve"> </w:t>
      </w:r>
    </w:p>
    <w:p w14:paraId="66BA5179" w14:textId="77777777" w:rsidR="009D2266" w:rsidRDefault="009D2266" w:rsidP="009D2266">
      <w:pPr>
        <w:pStyle w:val="Heading4"/>
      </w:pPr>
      <w:r>
        <w:t>Operational Qualificati</w:t>
      </w:r>
      <w:r w:rsidR="00AB21DA">
        <w:t>on</w:t>
      </w:r>
      <w:r w:rsidR="00AB21DA">
        <w:fldChar w:fldCharType="begin"/>
      </w:r>
      <w:r w:rsidR="00AB21DA">
        <w:instrText xml:space="preserve"> XE " System Validation:Operational Qualification" </w:instrText>
      </w:r>
      <w:r w:rsidR="00AB21DA">
        <w:fldChar w:fldCharType="end"/>
      </w:r>
    </w:p>
    <w:p w14:paraId="14D47A42" w14:textId="77777777" w:rsidR="008F2FBA" w:rsidRDefault="00AB21DA" w:rsidP="009D2266">
      <w:pPr>
        <w:pStyle w:val="BodyText"/>
      </w:pPr>
      <w:r>
        <w:t>The Operational Qualification (OQ) section includes</w:t>
      </w:r>
      <w:r w:rsidR="009D2266">
        <w:t xml:space="preserve"> testing the software</w:t>
      </w:r>
      <w:r w:rsidR="009C7E9A">
        <w:t xml:space="preserve"> (</w:t>
      </w:r>
      <w:r w:rsidR="009C4EA7" w:rsidRPr="00437093">
        <w:t xml:space="preserve">the </w:t>
      </w:r>
      <w:r w:rsidR="009C4EA7">
        <w:t>primary validation</w:t>
      </w:r>
      <w:r w:rsidR="009C4EA7" w:rsidRPr="00437093">
        <w:t xml:space="preserve"> activity</w:t>
      </w:r>
      <w:r w:rsidR="009C7E9A">
        <w:t>)</w:t>
      </w:r>
      <w:r w:rsidR="009D2266">
        <w:t>. Use your OQ to</w:t>
      </w:r>
      <w:r w:rsidR="009D2266" w:rsidRPr="00437093">
        <w:t xml:space="preserve"> challenge </w:t>
      </w:r>
      <w:r w:rsidR="0025598B">
        <w:t xml:space="preserve">VBECS </w:t>
      </w:r>
      <w:r w:rsidR="009D2266" w:rsidRPr="00437093">
        <w:t xml:space="preserve">and </w:t>
      </w:r>
      <w:r w:rsidR="0025598B">
        <w:t>the connection to VistA</w:t>
      </w:r>
      <w:r w:rsidR="005857F1">
        <w:t>.</w:t>
      </w:r>
      <w:r w:rsidR="009D2266" w:rsidRPr="00437093">
        <w:t xml:space="preserve"> </w:t>
      </w:r>
      <w:r w:rsidR="009D2266">
        <w:t>Base t</w:t>
      </w:r>
      <w:r w:rsidR="009D2266" w:rsidRPr="00437093">
        <w:t xml:space="preserve">he number and types of tests on the criticality of the </w:t>
      </w:r>
      <w:r w:rsidR="009D2266">
        <w:t>software function. The focus of this validation is to test the limits of what the system allows you to do, not how the system will be used.</w:t>
      </w:r>
      <w:r w:rsidR="009D2266" w:rsidRPr="009D2266">
        <w:t xml:space="preserve"> </w:t>
      </w:r>
      <w:r w:rsidR="008F2FBA">
        <w:t xml:space="preserve">Each facility will have a different level of validation based on local </w:t>
      </w:r>
      <w:r w:rsidR="00066BE2">
        <w:t>practices</w:t>
      </w:r>
      <w:r w:rsidR="008F2FBA">
        <w:t>.</w:t>
      </w:r>
    </w:p>
    <w:p w14:paraId="3662EDA6" w14:textId="77777777" w:rsidR="008F2FBA" w:rsidRDefault="009D2266" w:rsidP="009D2266">
      <w:pPr>
        <w:pStyle w:val="BodyText"/>
      </w:pPr>
      <w:r>
        <w:t>Analyze risks to ensure that</w:t>
      </w:r>
      <w:r w:rsidRPr="00437093">
        <w:t xml:space="preserve"> the scope and degree of validation</w:t>
      </w:r>
      <w:r>
        <w:t xml:space="preserve"> are</w:t>
      </w:r>
      <w:r w:rsidRPr="00437093">
        <w:t xml:space="preserve"> </w:t>
      </w:r>
      <w:r w:rsidR="00F1479E">
        <w:t>appropriate</w:t>
      </w:r>
      <w:r w:rsidRPr="00437093">
        <w:t xml:space="preserve">. </w:t>
      </w:r>
      <w:r>
        <w:t>(A</w:t>
      </w:r>
      <w:r w:rsidRPr="00437093">
        <w:t xml:space="preserve"> system </w:t>
      </w:r>
      <w:r>
        <w:t>error that may</w:t>
      </w:r>
      <w:r w:rsidRPr="00437093">
        <w:t xml:space="preserve"> result in direct and severe patient harm require</w:t>
      </w:r>
      <w:r>
        <w:t>s</w:t>
      </w:r>
      <w:r w:rsidRPr="00437093">
        <w:t xml:space="preserve"> more </w:t>
      </w:r>
      <w:r>
        <w:t>detailed and rigorous</w:t>
      </w:r>
      <w:r w:rsidRPr="00437093">
        <w:t xml:space="preserve"> </w:t>
      </w:r>
      <w:r>
        <w:t>testing than one</w:t>
      </w:r>
      <w:r w:rsidRPr="00437093">
        <w:t xml:space="preserve"> that </w:t>
      </w:r>
      <w:r>
        <w:t>may have</w:t>
      </w:r>
      <w:r w:rsidRPr="00437093">
        <w:t xml:space="preserve"> minor consequences.</w:t>
      </w:r>
      <w:r>
        <w:t xml:space="preserve">) </w:t>
      </w:r>
    </w:p>
    <w:p w14:paraId="0C43D193" w14:textId="77777777" w:rsidR="009D2266" w:rsidRDefault="009D2266" w:rsidP="009D2266">
      <w:pPr>
        <w:pStyle w:val="BodyText"/>
      </w:pPr>
      <w:r>
        <w:t>Create a t</w:t>
      </w:r>
      <w:r w:rsidRPr="00437093">
        <w:t xml:space="preserve">esting environment as </w:t>
      </w:r>
      <w:r>
        <w:t>much like</w:t>
      </w:r>
      <w:r w:rsidRPr="00437093">
        <w:t xml:space="preserve"> the production environment as possible.</w:t>
      </w:r>
      <w:r>
        <w:t xml:space="preserve"> Design t</w:t>
      </w:r>
      <w:r w:rsidRPr="00437093">
        <w:t>est case</w:t>
      </w:r>
      <w:r>
        <w:t>s to:</w:t>
      </w:r>
    </w:p>
    <w:p w14:paraId="20CBA6D5" w14:textId="77777777" w:rsidR="009D2266" w:rsidRPr="003409A2" w:rsidRDefault="009D2266" w:rsidP="009D2266">
      <w:pPr>
        <w:pStyle w:val="ListBullet"/>
      </w:pPr>
      <w:r w:rsidRPr="003409A2">
        <w:t>Address critical software functions.</w:t>
      </w:r>
    </w:p>
    <w:p w14:paraId="3FCBF639" w14:textId="77777777" w:rsidR="009D2266" w:rsidRPr="007108E9" w:rsidRDefault="009D2266" w:rsidP="009D2266">
      <w:pPr>
        <w:pStyle w:val="ListBullet"/>
      </w:pPr>
      <w:r w:rsidRPr="007108E9">
        <w:t>Detect failures and flaws.</w:t>
      </w:r>
    </w:p>
    <w:p w14:paraId="0EB1AF11" w14:textId="77777777" w:rsidR="009D2266" w:rsidRPr="00437093" w:rsidRDefault="009D2266" w:rsidP="009D2266">
      <w:pPr>
        <w:pStyle w:val="ListBullet"/>
      </w:pPr>
      <w:r w:rsidRPr="007108E9">
        <w:t xml:space="preserve">Verify and challenge system </w:t>
      </w:r>
      <w:r w:rsidR="00803E72">
        <w:t>functions and limitations</w:t>
      </w:r>
      <w:r w:rsidRPr="007108E9">
        <w:t>,</w:t>
      </w:r>
      <w:r w:rsidR="00A41AB9">
        <w:t xml:space="preserve"> and user documentation.</w:t>
      </w:r>
    </w:p>
    <w:p w14:paraId="5195E828" w14:textId="77777777" w:rsidR="009D2266" w:rsidRPr="009D2266" w:rsidRDefault="009D2266" w:rsidP="009D2266">
      <w:pPr>
        <w:pStyle w:val="BodyText"/>
      </w:pPr>
      <w:r w:rsidRPr="009D2266">
        <w:lastRenderedPageBreak/>
        <w:t xml:space="preserve">Verify data from VistA displayed in VBECS and data from VBECS displayed in VistA. </w:t>
      </w:r>
      <w:r w:rsidR="00BE2EB7">
        <w:t>(</w:t>
      </w:r>
      <w:r w:rsidRPr="009D2266">
        <w:t>Results will vary based on your VBECS settings.</w:t>
      </w:r>
      <w:r w:rsidR="00BE2EB7">
        <w:t>)</w:t>
      </w:r>
      <w:r w:rsidRPr="009D2266">
        <w:t xml:space="preserve"> Evaluate the output of the testing and determine whether the test passed or failed.</w:t>
      </w:r>
    </w:p>
    <w:p w14:paraId="7EF81D38" w14:textId="77777777" w:rsidR="009D2266" w:rsidRPr="009D2266" w:rsidRDefault="009D2266" w:rsidP="009D2266">
      <w:pPr>
        <w:pStyle w:val="BodyText"/>
      </w:pPr>
      <w:r w:rsidRPr="009D2266">
        <w:t>Maintain evidence of software testing, as part of the validation record, in accordance with standards established by accrediting agencies associated with the blood bank and laboratory. Include, at minimum, your inputs, outputs, and evidence that tests performed were satisfactory or unsatisfactory. (You may record input manually, make copies of unit labels or patient information, capture screen shots</w:t>
      </w:r>
      <w:r w:rsidR="00BE2EB7">
        <w:rPr>
          <w:rStyle w:val="FootnoteReference"/>
        </w:rPr>
        <w:footnoteReference w:id="9"/>
      </w:r>
      <w:r w:rsidRPr="009D2266">
        <w:t xml:space="preserve"> from VistA and VBECS, print various reports, etc.)</w:t>
      </w:r>
    </w:p>
    <w:p w14:paraId="0F85F39E" w14:textId="77777777" w:rsidR="009D2266" w:rsidRDefault="00AB21DA" w:rsidP="009D2266">
      <w:pPr>
        <w:pStyle w:val="Heading4"/>
      </w:pPr>
      <w:r>
        <w:t>Performance Qualification</w:t>
      </w:r>
      <w:r>
        <w:fldChar w:fldCharType="begin"/>
      </w:r>
      <w:r>
        <w:instrText xml:space="preserve"> XE " System Validation:Performance Qualification" </w:instrText>
      </w:r>
      <w:r>
        <w:fldChar w:fldCharType="end"/>
      </w:r>
    </w:p>
    <w:p w14:paraId="20DFBB0F" w14:textId="77777777" w:rsidR="009D2266" w:rsidRDefault="00AB21DA" w:rsidP="009D2266">
      <w:pPr>
        <w:pStyle w:val="BodyText"/>
      </w:pPr>
      <w:r>
        <w:t>The Performance Qualification (PQ) section focuses</w:t>
      </w:r>
      <w:r w:rsidR="009D2266">
        <w:t xml:space="preserve"> on the integration of the application and processes into your facility. This begins with the revision of Standard Operation Procedures (SOPs) and policies to include the proper use of the new system. Once the SOPs are in place and validated, train the users. Ensure that training materials and records are complete before allowing users to operate the system. Document the validation, including:</w:t>
      </w:r>
    </w:p>
    <w:p w14:paraId="4217ECF1" w14:textId="77777777" w:rsidR="009D2266" w:rsidRPr="001124B5" w:rsidRDefault="009D2266" w:rsidP="009D2266">
      <w:pPr>
        <w:pStyle w:val="ListBullet"/>
      </w:pPr>
      <w:r>
        <w:t>P</w:t>
      </w:r>
      <w:r w:rsidRPr="001124B5">
        <w:t>ersonnel participating in validation activities</w:t>
      </w:r>
    </w:p>
    <w:p w14:paraId="2AE99FC3" w14:textId="77777777" w:rsidR="009D2266" w:rsidRDefault="009D2266" w:rsidP="009D2266">
      <w:pPr>
        <w:pStyle w:val="ListBullet"/>
      </w:pPr>
      <w:r>
        <w:t>H</w:t>
      </w:r>
      <w:r w:rsidRPr="001124B5">
        <w:t xml:space="preserve">ardware and software change </w:t>
      </w:r>
      <w:r>
        <w:t>controls</w:t>
      </w:r>
    </w:p>
    <w:p w14:paraId="5FA2B6E2" w14:textId="77777777" w:rsidR="009D2266" w:rsidRDefault="009D2266" w:rsidP="009D2266">
      <w:pPr>
        <w:pStyle w:val="ListBullet"/>
      </w:pPr>
      <w:r>
        <w:t>Testing results</w:t>
      </w:r>
    </w:p>
    <w:p w14:paraId="004EDB0A" w14:textId="77777777" w:rsidR="009D2266" w:rsidRPr="001124B5" w:rsidRDefault="009D2266" w:rsidP="009D2266">
      <w:pPr>
        <w:pStyle w:val="ListBullet"/>
      </w:pPr>
      <w:r w:rsidRPr="001124B5">
        <w:t>SOP reviews, training plans, installation and implementation</w:t>
      </w:r>
    </w:p>
    <w:p w14:paraId="6C35C76D" w14:textId="77777777" w:rsidR="009D2266" w:rsidRPr="001124B5" w:rsidRDefault="009D2266" w:rsidP="009D2266">
      <w:pPr>
        <w:pStyle w:val="ListBullet"/>
      </w:pPr>
      <w:r>
        <w:t>Evaluation and acceptance</w:t>
      </w:r>
    </w:p>
    <w:p w14:paraId="663094A9" w14:textId="77777777" w:rsidR="009D2266" w:rsidRDefault="009D2266" w:rsidP="009D2266">
      <w:pPr>
        <w:pStyle w:val="ListBullet"/>
      </w:pPr>
      <w:r>
        <w:t>R</w:t>
      </w:r>
      <w:r w:rsidRPr="001124B5">
        <w:t>eview a</w:t>
      </w:r>
      <w:r>
        <w:t>nd approval authority and dates</w:t>
      </w:r>
    </w:p>
    <w:p w14:paraId="70C40D8E" w14:textId="77777777" w:rsidR="005556BB" w:rsidRPr="00437093" w:rsidRDefault="005556BB" w:rsidP="005556BB">
      <w:pPr>
        <w:pStyle w:val="Heading3"/>
      </w:pPr>
      <w:bookmarkStart w:id="820" w:name="_Toc47516828"/>
      <w:r w:rsidRPr="00437093">
        <w:t>Prerequisites</w:t>
      </w:r>
      <w:bookmarkEnd w:id="820"/>
      <w:r>
        <w:fldChar w:fldCharType="begin"/>
      </w:r>
      <w:r>
        <w:instrText xml:space="preserve"> XE " System Validation:Prerequisites" </w:instrText>
      </w:r>
      <w:r>
        <w:fldChar w:fldCharType="end"/>
      </w:r>
    </w:p>
    <w:p w14:paraId="2C48EB96" w14:textId="77777777" w:rsidR="005556BB" w:rsidRPr="00437093" w:rsidRDefault="005556BB" w:rsidP="005556BB">
      <w:pPr>
        <w:pStyle w:val="BodyText"/>
      </w:pPr>
      <w:r w:rsidRPr="00437093">
        <w:t xml:space="preserve">Perform these tasks for test and production environments in VBECS before </w:t>
      </w:r>
      <w:r>
        <w:t>you test</w:t>
      </w:r>
      <w:r w:rsidRPr="00437093">
        <w:t xml:space="preserve"> the application:</w:t>
      </w:r>
    </w:p>
    <w:p w14:paraId="04829BA8" w14:textId="77777777" w:rsidR="005556BB" w:rsidRPr="009D2266" w:rsidRDefault="005556BB" w:rsidP="005556BB">
      <w:pPr>
        <w:pStyle w:val="ListBullet"/>
      </w:pPr>
      <w:r w:rsidRPr="009D2266">
        <w:t>Install required patches in your VistA test and production environments.</w:t>
      </w:r>
    </w:p>
    <w:p w14:paraId="219A3E6B" w14:textId="77777777" w:rsidR="005556BB" w:rsidRPr="009D2266" w:rsidRDefault="005556BB" w:rsidP="005556BB">
      <w:pPr>
        <w:pStyle w:val="ListBullet"/>
      </w:pPr>
      <w:r w:rsidRPr="009D2266">
        <w:t>Install VBECS.</w:t>
      </w:r>
    </w:p>
    <w:p w14:paraId="3559662A" w14:textId="77777777" w:rsidR="005556BB" w:rsidRDefault="005556BB" w:rsidP="005556BB">
      <w:pPr>
        <w:pStyle w:val="ListBullet"/>
      </w:pPr>
      <w:r w:rsidRPr="009D2266">
        <w:t>Complet</w:t>
      </w:r>
      <w:r w:rsidRPr="00437093">
        <w:t>e the database conversion.</w:t>
      </w:r>
    </w:p>
    <w:p w14:paraId="41B12430" w14:textId="77777777" w:rsidR="005556BB" w:rsidRPr="001124B5" w:rsidRDefault="005556BB" w:rsidP="005556BB">
      <w:pPr>
        <w:pStyle w:val="ListBullet"/>
      </w:pPr>
      <w:r>
        <w:t>Record system settings.</w:t>
      </w:r>
    </w:p>
    <w:p w14:paraId="43C6117D" w14:textId="77777777" w:rsidR="005556BB" w:rsidRDefault="00BE2EB7" w:rsidP="005556BB">
      <w:pPr>
        <w:pStyle w:val="Heading3"/>
      </w:pPr>
      <w:r>
        <w:br w:type="page"/>
      </w:r>
      <w:bookmarkStart w:id="821" w:name="_Toc47516829"/>
      <w:r w:rsidR="005556BB">
        <w:lastRenderedPageBreak/>
        <w:t>Record System Settings</w:t>
      </w:r>
      <w:bookmarkEnd w:id="821"/>
      <w:r w:rsidR="005556BB">
        <w:fldChar w:fldCharType="begin"/>
      </w:r>
      <w:r w:rsidR="005556BB">
        <w:instrText xml:space="preserve"> XE " System Validation:Record System Settings" </w:instrText>
      </w:r>
      <w:r w:rsidR="005556BB">
        <w:fldChar w:fldCharType="end"/>
      </w:r>
    </w:p>
    <w:p w14:paraId="2099D043" w14:textId="77777777" w:rsidR="00AB21DA" w:rsidRDefault="00AB21DA" w:rsidP="00AB21DA">
      <w:pPr>
        <w:pStyle w:val="BodyText"/>
        <w:rPr>
          <w:szCs w:val="15"/>
        </w:rPr>
      </w:pPr>
      <w:r>
        <w:rPr>
          <w:szCs w:val="15"/>
        </w:rPr>
        <w:t>These sections describe how to capture system settings in preparation for validation.</w:t>
      </w:r>
    </w:p>
    <w:p w14:paraId="47D76ABD" w14:textId="77777777" w:rsidR="002E3C00" w:rsidRDefault="002E3C00" w:rsidP="002E3C00">
      <w:pPr>
        <w:pStyle w:val="Heading3"/>
      </w:pPr>
      <w:bookmarkStart w:id="822" w:name="_Toc114462094"/>
      <w:bookmarkStart w:id="823" w:name="_Toc47516830"/>
      <w:r>
        <w:t>Configure Division</w:t>
      </w:r>
      <w:bookmarkEnd w:id="822"/>
      <w:bookmarkEnd w:id="823"/>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Division</w:instrText>
      </w:r>
      <w:r w:rsidR="00992E88">
        <w:instrText xml:space="preserve">" </w:instrText>
      </w:r>
      <w:r w:rsidR="00992E88">
        <w:fldChar w:fldCharType="end"/>
      </w:r>
    </w:p>
    <w:p w14:paraId="2E26AAAE" w14:textId="62D735E0" w:rsidR="002E3C00" w:rsidRDefault="002E3C00" w:rsidP="002E3C00">
      <w:pPr>
        <w:pStyle w:val="BodyText"/>
      </w:pPr>
      <w:r>
        <w:t>A user defines site parameters that affect how VBECS behaves at a specific division. VBECS may be configured to function differently at each division within a consolidated database. Site parameters may be redefined.</w:t>
      </w:r>
      <w:r w:rsidR="00250936">
        <w:t xml:space="preserve"> For more information, see </w:t>
      </w:r>
      <w:r w:rsidR="00250936">
        <w:fldChar w:fldCharType="begin"/>
      </w:r>
      <w:r w:rsidR="00250936">
        <w:instrText xml:space="preserve"> REF _Ref508960075 \h </w:instrText>
      </w:r>
      <w:r w:rsidR="00250936">
        <w:fldChar w:fldCharType="separate"/>
      </w:r>
      <w:r w:rsidR="004353ED">
        <w:t xml:space="preserve">Appendix </w:t>
      </w:r>
      <w:r w:rsidR="004353ED">
        <w:rPr>
          <w:noProof/>
        </w:rPr>
        <w:t>G</w:t>
      </w:r>
      <w:r w:rsidR="004353ED">
        <w:t>: Work Process Flowcharts</w:t>
      </w:r>
      <w:r w:rsidR="00250936">
        <w:fldChar w:fldCharType="end"/>
      </w:r>
      <w:r w:rsidR="00250936">
        <w:t>.</w:t>
      </w:r>
    </w:p>
    <w:p w14:paraId="1C6E9CC5" w14:textId="77777777" w:rsidR="002E3C00" w:rsidRDefault="002E3C00" w:rsidP="002E3C00">
      <w:pPr>
        <w:pStyle w:val="Heading4"/>
        <w:rPr>
          <w:b w:val="0"/>
        </w:rPr>
      </w:pPr>
      <w:r>
        <w:t>User Roles with Access to This Option</w:t>
      </w:r>
      <w:r>
        <w:rPr>
          <w:b w:val="0"/>
        </w:rPr>
        <w:t xml:space="preserve"> </w:t>
      </w:r>
    </w:p>
    <w:p w14:paraId="5A80F6F3"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208EA9C3" w14:textId="77777777" w:rsidR="002E3C00" w:rsidRDefault="00B74754" w:rsidP="002E3C00">
      <w:pPr>
        <w:pStyle w:val="Heading4"/>
      </w:pPr>
      <w:r>
        <w:t>Preparation for Testing</w:t>
      </w:r>
    </w:p>
    <w:p w14:paraId="1C135D62" w14:textId="77777777" w:rsidR="004635C9" w:rsidRDefault="002E3C00" w:rsidP="000409B1">
      <w:pPr>
        <w:pStyle w:val="ListNumber"/>
        <w:numPr>
          <w:ilvl w:val="0"/>
          <w:numId w:val="19"/>
        </w:numPr>
        <w:tabs>
          <w:tab w:val="clear" w:pos="720"/>
          <w:tab w:val="num" w:pos="360"/>
        </w:tabs>
        <w:ind w:left="360"/>
      </w:pPr>
      <w:r>
        <w:t xml:space="preserve">Select </w:t>
      </w:r>
      <w:r w:rsidRPr="00600497">
        <w:rPr>
          <w:b/>
        </w:rPr>
        <w:t>Configure Division</w:t>
      </w:r>
      <w:r>
        <w:t xml:space="preserve">. </w:t>
      </w:r>
    </w:p>
    <w:p w14:paraId="2DF22D47" w14:textId="77777777" w:rsidR="002E3C00" w:rsidRDefault="002E3C00" w:rsidP="000409B1">
      <w:pPr>
        <w:pStyle w:val="ListNumber"/>
        <w:numPr>
          <w:ilvl w:val="0"/>
          <w:numId w:val="19"/>
        </w:numPr>
        <w:tabs>
          <w:tab w:val="clear" w:pos="720"/>
          <w:tab w:val="num" w:pos="360"/>
        </w:tabs>
        <w:ind w:left="360"/>
      </w:pPr>
      <w:r>
        <w:t>Record:</w:t>
      </w:r>
    </w:p>
    <w:p w14:paraId="3EBFCADE" w14:textId="77777777" w:rsidR="00F8408D" w:rsidRPr="00010A5B" w:rsidRDefault="00F8408D" w:rsidP="009329C1">
      <w:pPr>
        <w:pStyle w:val="ListBullet"/>
        <w:tabs>
          <w:tab w:val="right" w:leader="underscore" w:pos="9360"/>
        </w:tabs>
      </w:pPr>
      <w:r w:rsidRPr="00010A5B">
        <w:t>ICCBBA registration number:</w:t>
      </w:r>
      <w:r w:rsidR="002C2290">
        <w:tab/>
      </w:r>
    </w:p>
    <w:p w14:paraId="5ED68AD3" w14:textId="77777777" w:rsidR="00010A5B" w:rsidRPr="00010A5B" w:rsidRDefault="002E3C00" w:rsidP="009329C1">
      <w:pPr>
        <w:pStyle w:val="ListBullet"/>
        <w:tabs>
          <w:tab w:val="right" w:leader="underscore" w:pos="9360"/>
        </w:tabs>
      </w:pPr>
      <w:r w:rsidRPr="00010A5B">
        <w:t>Blood Bank Medical Director</w:t>
      </w:r>
      <w:r w:rsidR="004C67FE" w:rsidRPr="00010A5B">
        <w:t>’s name</w:t>
      </w:r>
      <w:r w:rsidRPr="00010A5B">
        <w:t xml:space="preserve"> as you</w:t>
      </w:r>
      <w:r w:rsidR="00F8408D" w:rsidRPr="00010A5B">
        <w:t xml:space="preserve"> want it to appear on reports:</w:t>
      </w:r>
      <w:r w:rsidR="009329C1">
        <w:tab/>
      </w:r>
    </w:p>
    <w:p w14:paraId="6798BB3C" w14:textId="77777777" w:rsidR="002E3C00" w:rsidRDefault="002E3C00" w:rsidP="009329C1">
      <w:pPr>
        <w:pStyle w:val="ListBullet"/>
        <w:tabs>
          <w:tab w:val="right" w:leader="underscore" w:pos="9360"/>
        </w:tabs>
      </w:pPr>
      <w:r>
        <w:t>Latest expiration date (default: three days) for specimens, in accordance with l</w:t>
      </w:r>
      <w:r w:rsidR="00F8408D">
        <w:t xml:space="preserve">ocal policies and procedures: </w:t>
      </w:r>
      <w:r w:rsidR="00F8408D">
        <w:tab/>
      </w:r>
    </w:p>
    <w:p w14:paraId="6953CCED" w14:textId="77777777" w:rsidR="00F8408D" w:rsidRDefault="002E3C00" w:rsidP="000409B1">
      <w:pPr>
        <w:pStyle w:val="ListNumber"/>
        <w:numPr>
          <w:ilvl w:val="0"/>
          <w:numId w:val="19"/>
        </w:numPr>
        <w:tabs>
          <w:tab w:val="clear" w:pos="720"/>
          <w:tab w:val="num" w:pos="360"/>
          <w:tab w:val="right" w:leader="underscore" w:pos="9360"/>
        </w:tabs>
        <w:ind w:left="360"/>
      </w:pPr>
      <w:r>
        <w:t>Is your division full service (FS) or transfusion only (TO)?</w:t>
      </w:r>
      <w:r>
        <w:tab/>
      </w:r>
    </w:p>
    <w:p w14:paraId="4EE9A206" w14:textId="77777777" w:rsidR="00F8408D" w:rsidRDefault="002E3C00" w:rsidP="000409B1">
      <w:pPr>
        <w:pStyle w:val="ListNumber"/>
        <w:numPr>
          <w:ilvl w:val="0"/>
          <w:numId w:val="19"/>
        </w:numPr>
        <w:tabs>
          <w:tab w:val="clear" w:pos="720"/>
          <w:tab w:val="num" w:pos="360"/>
          <w:tab w:val="right" w:leader="underscore" w:pos="9360"/>
        </w:tabs>
        <w:ind w:left="360"/>
      </w:pPr>
      <w:r>
        <w:t xml:space="preserve">If your site does not perform </w:t>
      </w:r>
      <w:r w:rsidRPr="00FB7F8D">
        <w:t>on-site testing</w:t>
      </w:r>
      <w:r>
        <w:t>, continue at Order Alerts.</w:t>
      </w:r>
    </w:p>
    <w:p w14:paraId="73F998AB" w14:textId="77777777" w:rsidR="002E3C00" w:rsidRDefault="002E3C00" w:rsidP="000409B1">
      <w:pPr>
        <w:pStyle w:val="ListNumber"/>
        <w:numPr>
          <w:ilvl w:val="0"/>
          <w:numId w:val="19"/>
        </w:numPr>
        <w:tabs>
          <w:tab w:val="clear" w:pos="720"/>
          <w:tab w:val="num" w:pos="360"/>
          <w:tab w:val="right" w:leader="underscore" w:pos="9360"/>
        </w:tabs>
        <w:ind w:left="360"/>
      </w:pPr>
      <w:r>
        <w:t>If your division is full service, do you want to enable electronic crossmatch?</w:t>
      </w:r>
      <w:r>
        <w:tab/>
      </w:r>
    </w:p>
    <w:p w14:paraId="4962C5D1" w14:textId="77777777" w:rsidR="002E3C00" w:rsidRPr="00FB7F8D" w:rsidRDefault="002E3C00" w:rsidP="000409B1">
      <w:pPr>
        <w:pStyle w:val="ListNumber"/>
        <w:numPr>
          <w:ilvl w:val="0"/>
          <w:numId w:val="19"/>
        </w:numPr>
        <w:tabs>
          <w:tab w:val="clear" w:pos="720"/>
          <w:tab w:val="num" w:pos="360"/>
          <w:tab w:val="right" w:leader="underscore" w:pos="9360"/>
        </w:tabs>
        <w:ind w:left="360"/>
      </w:pPr>
      <w:r w:rsidRPr="00FB7F8D">
        <w:t>Print</w:t>
      </w:r>
      <w:r w:rsidR="00EB160D">
        <w:t>, sign, date,</w:t>
      </w:r>
      <w:r w:rsidRPr="00FB7F8D">
        <w:t xml:space="preserve"> and save an </w:t>
      </w:r>
      <w:r>
        <w:t>A</w:t>
      </w:r>
      <w:r w:rsidRPr="00FB7F8D">
        <w:t xml:space="preserve">udit </w:t>
      </w:r>
      <w:r>
        <w:t>Trail R</w:t>
      </w:r>
      <w:r w:rsidRPr="00FB7F8D">
        <w:t>e</w:t>
      </w:r>
      <w:r w:rsidR="00600497">
        <w:t>port for your validation record.</w:t>
      </w:r>
    </w:p>
    <w:p w14:paraId="6D4BB9C4" w14:textId="77777777" w:rsidR="002E3C00" w:rsidRDefault="002E3C00" w:rsidP="002E3C00">
      <w:pPr>
        <w:pStyle w:val="Heading3"/>
      </w:pPr>
      <w:bookmarkStart w:id="824" w:name="_Toc85895784"/>
      <w:bookmarkStart w:id="825" w:name="_Toc113264241"/>
      <w:bookmarkStart w:id="826" w:name="_Toc114462095"/>
      <w:bookmarkStart w:id="827" w:name="_Toc47516831"/>
      <w:r w:rsidRPr="00FB7F8D">
        <w:t>Configure Testi</w:t>
      </w:r>
      <w:r>
        <w:t>ng: Full Service</w:t>
      </w:r>
      <w:bookmarkEnd w:id="824"/>
      <w:bookmarkEnd w:id="825"/>
      <w:bookmarkEnd w:id="826"/>
      <w:bookmarkEnd w:id="827"/>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Testing\: Full Service</w:instrText>
      </w:r>
      <w:r w:rsidR="00992E88">
        <w:instrText xml:space="preserve">" </w:instrText>
      </w:r>
      <w:r w:rsidR="00992E88">
        <w:fldChar w:fldCharType="end"/>
      </w:r>
    </w:p>
    <w:p w14:paraId="0D22820D" w14:textId="6F4DF663" w:rsidR="002E3C00" w:rsidRPr="007970BE" w:rsidRDefault="002E3C00" w:rsidP="002E3C00">
      <w:pPr>
        <w:pStyle w:val="BodyText"/>
      </w:pPr>
      <w:r>
        <w:t>The user sets testing preferences in accordance with a division’s medical policies.</w:t>
      </w:r>
      <w:r w:rsidR="000150E9">
        <w:t xml:space="preserve"> For more information, see </w:t>
      </w:r>
      <w:r w:rsidR="000150E9">
        <w:fldChar w:fldCharType="begin"/>
      </w:r>
      <w:r w:rsidR="000150E9">
        <w:instrText xml:space="preserve"> REF _Ref508960075 \h </w:instrText>
      </w:r>
      <w:r w:rsidR="000150E9">
        <w:fldChar w:fldCharType="separate"/>
      </w:r>
      <w:r w:rsidR="004353ED">
        <w:t xml:space="preserve">Appendix </w:t>
      </w:r>
      <w:r w:rsidR="004353ED">
        <w:rPr>
          <w:noProof/>
        </w:rPr>
        <w:t>G</w:t>
      </w:r>
      <w:r w:rsidR="004353ED">
        <w:t>: Work Process Flowcharts</w:t>
      </w:r>
      <w:r w:rsidR="000150E9">
        <w:fldChar w:fldCharType="end"/>
      </w:r>
      <w:r w:rsidR="000150E9">
        <w:t>.</w:t>
      </w:r>
    </w:p>
    <w:p w14:paraId="7FE3EB49" w14:textId="77777777" w:rsidR="002E3C00" w:rsidRDefault="002E3C00" w:rsidP="002E3C00">
      <w:pPr>
        <w:pStyle w:val="Heading4"/>
        <w:rPr>
          <w:b w:val="0"/>
        </w:rPr>
      </w:pPr>
      <w:r>
        <w:t>User Roles with Access to This Option</w:t>
      </w:r>
      <w:r>
        <w:rPr>
          <w:b w:val="0"/>
        </w:rPr>
        <w:t xml:space="preserve"> </w:t>
      </w:r>
    </w:p>
    <w:p w14:paraId="65C6430F"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020773E4" w14:textId="77777777" w:rsidR="002E3C00" w:rsidRDefault="00B74754" w:rsidP="002E3C00">
      <w:pPr>
        <w:pStyle w:val="Heading4"/>
      </w:pPr>
      <w:r>
        <w:t>Preparation for Testing</w:t>
      </w:r>
    </w:p>
    <w:p w14:paraId="72F59258" w14:textId="77777777" w:rsidR="002E3C00" w:rsidRPr="00600497" w:rsidRDefault="002E3C00" w:rsidP="000409B1">
      <w:pPr>
        <w:pStyle w:val="ListNumber"/>
        <w:numPr>
          <w:ilvl w:val="0"/>
          <w:numId w:val="20"/>
        </w:numPr>
        <w:tabs>
          <w:tab w:val="clear" w:pos="720"/>
          <w:tab w:val="num" w:pos="360"/>
        </w:tabs>
        <w:ind w:left="360"/>
      </w:pPr>
      <w:r>
        <w:t>S</w:t>
      </w:r>
      <w:r w:rsidRPr="00600497">
        <w:t>et testing preferences.</w:t>
      </w:r>
    </w:p>
    <w:p w14:paraId="51FC33BB" w14:textId="77777777" w:rsidR="002E3C00" w:rsidRPr="00600497" w:rsidRDefault="002E3C00" w:rsidP="000409B1">
      <w:pPr>
        <w:pStyle w:val="ListNumber"/>
        <w:numPr>
          <w:ilvl w:val="0"/>
          <w:numId w:val="20"/>
        </w:numPr>
        <w:tabs>
          <w:tab w:val="clear" w:pos="720"/>
          <w:tab w:val="num" w:pos="360"/>
        </w:tabs>
        <w:ind w:left="360"/>
      </w:pPr>
      <w:r w:rsidRPr="00600497">
        <w:t>Capture and save a screen shot of each piece of information.</w:t>
      </w:r>
    </w:p>
    <w:p w14:paraId="53595DC8" w14:textId="77777777" w:rsidR="00232E43" w:rsidRPr="00FB7F8D" w:rsidRDefault="00232E43" w:rsidP="000409B1">
      <w:pPr>
        <w:pStyle w:val="ListNumber"/>
        <w:numPr>
          <w:ilvl w:val="0"/>
          <w:numId w:val="20"/>
        </w:numPr>
        <w:tabs>
          <w:tab w:val="clear" w:pos="720"/>
          <w:tab w:val="num" w:pos="360"/>
        </w:tabs>
        <w:ind w:left="360"/>
      </w:pPr>
      <w:bookmarkStart w:id="828" w:name="_Toc85895786"/>
      <w:bookmarkStart w:id="829" w:name="_Toc113264243"/>
      <w:bookmarkStart w:id="830" w:name="_Toc114462096"/>
      <w:bookmarkStart w:id="831" w:name="_Toc85895785"/>
      <w:bookmarkStart w:id="832" w:name="_Toc113264242"/>
      <w:r w:rsidRPr="00600497">
        <w:t xml:space="preserve">Print, </w:t>
      </w:r>
      <w:r>
        <w:t>sign, date,</w:t>
      </w:r>
      <w:r w:rsidRPr="00FB7F8D">
        <w:t xml:space="preserve"> and save an </w:t>
      </w:r>
      <w:r>
        <w:t>A</w:t>
      </w:r>
      <w:r w:rsidRPr="00FB7F8D">
        <w:t xml:space="preserve">udit </w:t>
      </w:r>
      <w:r>
        <w:t>Trail R</w:t>
      </w:r>
      <w:r w:rsidRPr="00FB7F8D">
        <w:t>eport for your validation record.</w:t>
      </w:r>
    </w:p>
    <w:p w14:paraId="266F9B1F" w14:textId="77777777" w:rsidR="002E3C00" w:rsidRDefault="007F0132" w:rsidP="002E3C00">
      <w:pPr>
        <w:pStyle w:val="Heading3"/>
      </w:pPr>
      <w:r>
        <w:br w:type="page"/>
      </w:r>
      <w:bookmarkStart w:id="833" w:name="_Toc47516832"/>
      <w:r w:rsidR="002E3C00">
        <w:lastRenderedPageBreak/>
        <w:t>Product Modifications</w:t>
      </w:r>
      <w:bookmarkEnd w:id="828"/>
      <w:bookmarkEnd w:id="829"/>
      <w:r w:rsidR="002E3C00">
        <w:t>: Full Service</w:t>
      </w:r>
      <w:bookmarkEnd w:id="830"/>
      <w:bookmarkEnd w:id="833"/>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Product Modifications\: Full Service</w:instrText>
      </w:r>
      <w:r w:rsidR="00992E88">
        <w:instrText xml:space="preserve">" </w:instrText>
      </w:r>
      <w:r w:rsidR="00992E88">
        <w:fldChar w:fldCharType="end"/>
      </w:r>
    </w:p>
    <w:p w14:paraId="229EC975" w14:textId="44E5D5C2" w:rsidR="002E3C00" w:rsidRPr="007970BE" w:rsidRDefault="002E3C00" w:rsidP="002E3C00">
      <w:pPr>
        <w:pStyle w:val="BodyText"/>
      </w:pPr>
      <w:r>
        <w:t>The user enables the types of modifications made at a division.</w:t>
      </w:r>
      <w:r w:rsidR="008D2779">
        <w:t xml:space="preserve"> For more information, see </w:t>
      </w:r>
      <w:r w:rsidR="008D2779">
        <w:fldChar w:fldCharType="begin"/>
      </w:r>
      <w:r w:rsidR="008D2779">
        <w:instrText xml:space="preserve"> REF _Ref508960075 \h </w:instrText>
      </w:r>
      <w:r w:rsidR="008D2779">
        <w:fldChar w:fldCharType="separate"/>
      </w:r>
      <w:r w:rsidR="004353ED">
        <w:t xml:space="preserve">Appendix </w:t>
      </w:r>
      <w:r w:rsidR="004353ED">
        <w:rPr>
          <w:noProof/>
        </w:rPr>
        <w:t>G</w:t>
      </w:r>
      <w:r w:rsidR="004353ED">
        <w:t>: Work Process Flowcharts</w:t>
      </w:r>
      <w:r w:rsidR="008D2779">
        <w:fldChar w:fldCharType="end"/>
      </w:r>
      <w:r w:rsidR="008D2779">
        <w:t>.</w:t>
      </w:r>
    </w:p>
    <w:p w14:paraId="40A35523" w14:textId="77777777" w:rsidR="002E3C00" w:rsidRDefault="002E3C00" w:rsidP="002E3C00">
      <w:pPr>
        <w:pStyle w:val="Heading4"/>
        <w:rPr>
          <w:b w:val="0"/>
        </w:rPr>
      </w:pPr>
      <w:r>
        <w:t>User Roles with Access to This Option</w:t>
      </w:r>
      <w:r>
        <w:rPr>
          <w:b w:val="0"/>
        </w:rPr>
        <w:t xml:space="preserve"> </w:t>
      </w:r>
    </w:p>
    <w:p w14:paraId="5505EC11" w14:textId="77777777" w:rsidR="002E3C00" w:rsidRPr="00B22CCD"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5F3E2589" w14:textId="77777777" w:rsidR="002E3C00" w:rsidRDefault="00B74754" w:rsidP="002E3C00">
      <w:pPr>
        <w:pStyle w:val="Heading4"/>
      </w:pPr>
      <w:r>
        <w:t>Preparation for Testing</w:t>
      </w:r>
    </w:p>
    <w:p w14:paraId="6E32DF0B" w14:textId="77777777" w:rsidR="002E3C00" w:rsidRDefault="002E3C00" w:rsidP="002E3C00">
      <w:pPr>
        <w:pStyle w:val="BodyText"/>
      </w:pPr>
      <w:r>
        <w:t>Modification processes are disabled by default. You must activate modification types performed at your facility. You may select none, some, or all. Enter a processing cost for each modification type, as applicable. You may update these settings later.</w:t>
      </w:r>
    </w:p>
    <w:p w14:paraId="30A3A6E0" w14:textId="40FCE90F" w:rsidR="002E3C00" w:rsidRDefault="002E3C00" w:rsidP="00AD60CF">
      <w:pPr>
        <w:pStyle w:val="Caption"/>
        <w:ind w:left="288" w:hanging="288"/>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28</w:t>
      </w:r>
      <w:r w:rsidR="004E20BD">
        <w:rPr>
          <w:noProof/>
        </w:rPr>
        <w:fldChar w:fldCharType="end"/>
      </w:r>
      <w:r>
        <w:t>: Modification Types and Costs</w:t>
      </w:r>
      <w:r w:rsidR="00AD60CF">
        <w:fldChar w:fldCharType="begin"/>
      </w:r>
      <w:r w:rsidR="00AD60CF">
        <w:instrText xml:space="preserve"> XE "Tables:</w:instrText>
      </w:r>
      <w:r w:rsidR="00AD60CF" w:rsidRPr="0046419F">
        <w:instrText>Modification Types and Costs</w:instrText>
      </w:r>
      <w:r w:rsidR="00AD60CF">
        <w:instrText xml:space="preserve">" </w:instrText>
      </w:r>
      <w:r w:rsidR="00AD60CF">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1440"/>
        <w:gridCol w:w="1440"/>
        <w:gridCol w:w="1440"/>
      </w:tblGrid>
      <w:tr w:rsidR="002E3C00" w:rsidRPr="00020DA9" w14:paraId="696AE1E5" w14:textId="77777777">
        <w:trPr>
          <w:cantSplit/>
          <w:tblHeader/>
        </w:trPr>
        <w:tc>
          <w:tcPr>
            <w:tcW w:w="2160" w:type="dxa"/>
            <w:vMerge w:val="restart"/>
            <w:shd w:val="clear" w:color="auto" w:fill="B3B3B3"/>
            <w:vAlign w:val="bottom"/>
          </w:tcPr>
          <w:p w14:paraId="1145BF36" w14:textId="77777777" w:rsidR="002E3C00" w:rsidRPr="00020DA9" w:rsidRDefault="002E3C00" w:rsidP="002E3C00">
            <w:pPr>
              <w:pStyle w:val="TableText"/>
              <w:rPr>
                <w:b/>
              </w:rPr>
            </w:pPr>
            <w:r w:rsidRPr="00020DA9">
              <w:rPr>
                <w:b/>
              </w:rPr>
              <w:t>Modification Type</w:t>
            </w:r>
          </w:p>
        </w:tc>
        <w:tc>
          <w:tcPr>
            <w:tcW w:w="1440" w:type="dxa"/>
            <w:gridSpan w:val="2"/>
            <w:shd w:val="clear" w:color="auto" w:fill="B3B3B3"/>
            <w:vAlign w:val="bottom"/>
          </w:tcPr>
          <w:p w14:paraId="3BC53A4F" w14:textId="77777777" w:rsidR="002E3C00" w:rsidRPr="00020DA9" w:rsidRDefault="002E3C00" w:rsidP="003B2CDC">
            <w:pPr>
              <w:pStyle w:val="TableText"/>
              <w:jc w:val="center"/>
              <w:rPr>
                <w:b/>
              </w:rPr>
            </w:pPr>
            <w:r>
              <w:rPr>
                <w:b/>
              </w:rPr>
              <w:t>Modification Processes</w:t>
            </w:r>
          </w:p>
        </w:tc>
        <w:tc>
          <w:tcPr>
            <w:tcW w:w="1440" w:type="dxa"/>
            <w:vMerge w:val="restart"/>
            <w:shd w:val="clear" w:color="auto" w:fill="B3B3B3"/>
            <w:vAlign w:val="bottom"/>
          </w:tcPr>
          <w:p w14:paraId="185AAB50" w14:textId="77777777" w:rsidR="002E3C00" w:rsidRPr="00020DA9" w:rsidRDefault="002E3C00" w:rsidP="002E3C00">
            <w:pPr>
              <w:pStyle w:val="TableText"/>
              <w:rPr>
                <w:b/>
              </w:rPr>
            </w:pPr>
            <w:r>
              <w:rPr>
                <w:b/>
              </w:rPr>
              <w:t xml:space="preserve">Processing </w:t>
            </w:r>
            <w:r w:rsidRPr="00020DA9">
              <w:rPr>
                <w:b/>
              </w:rPr>
              <w:t>Cost</w:t>
            </w:r>
          </w:p>
        </w:tc>
      </w:tr>
      <w:tr w:rsidR="002E3C00" w:rsidRPr="00020DA9" w14:paraId="495177D7" w14:textId="77777777">
        <w:trPr>
          <w:cantSplit/>
          <w:tblHeader/>
        </w:trPr>
        <w:tc>
          <w:tcPr>
            <w:tcW w:w="2160" w:type="dxa"/>
            <w:vMerge/>
            <w:shd w:val="clear" w:color="auto" w:fill="B3B3B3"/>
          </w:tcPr>
          <w:p w14:paraId="4468F31F" w14:textId="77777777" w:rsidR="002E3C00" w:rsidRPr="00020DA9" w:rsidRDefault="002E3C00" w:rsidP="002E3C00">
            <w:pPr>
              <w:pStyle w:val="TableText"/>
              <w:rPr>
                <w:b/>
              </w:rPr>
            </w:pPr>
          </w:p>
        </w:tc>
        <w:tc>
          <w:tcPr>
            <w:tcW w:w="1440" w:type="dxa"/>
            <w:shd w:val="clear" w:color="auto" w:fill="B3B3B3"/>
          </w:tcPr>
          <w:p w14:paraId="0943B971" w14:textId="77777777" w:rsidR="002E3C00" w:rsidRPr="00020DA9" w:rsidRDefault="002E3C00" w:rsidP="002E3C00">
            <w:pPr>
              <w:pStyle w:val="TableText"/>
              <w:rPr>
                <w:b/>
              </w:rPr>
            </w:pPr>
            <w:r w:rsidRPr="00020DA9">
              <w:rPr>
                <w:b/>
              </w:rPr>
              <w:t>Enabled</w:t>
            </w:r>
          </w:p>
        </w:tc>
        <w:tc>
          <w:tcPr>
            <w:tcW w:w="1440" w:type="dxa"/>
            <w:shd w:val="clear" w:color="auto" w:fill="B3B3B3"/>
          </w:tcPr>
          <w:p w14:paraId="062DDAFA" w14:textId="77777777" w:rsidR="002E3C00" w:rsidRPr="00020DA9" w:rsidRDefault="002E3C00" w:rsidP="002E3C00">
            <w:pPr>
              <w:pStyle w:val="TableText"/>
              <w:rPr>
                <w:b/>
              </w:rPr>
            </w:pPr>
            <w:r w:rsidRPr="00020DA9">
              <w:rPr>
                <w:b/>
              </w:rPr>
              <w:t>Disabled</w:t>
            </w:r>
          </w:p>
        </w:tc>
        <w:tc>
          <w:tcPr>
            <w:tcW w:w="1440" w:type="dxa"/>
            <w:vMerge/>
            <w:shd w:val="clear" w:color="auto" w:fill="B3B3B3"/>
          </w:tcPr>
          <w:p w14:paraId="283661C5" w14:textId="77777777" w:rsidR="002E3C00" w:rsidRPr="00020DA9" w:rsidRDefault="002E3C00" w:rsidP="002E3C00">
            <w:pPr>
              <w:pStyle w:val="TableText"/>
              <w:rPr>
                <w:b/>
              </w:rPr>
            </w:pPr>
          </w:p>
        </w:tc>
      </w:tr>
      <w:tr w:rsidR="002E3C00" w14:paraId="608696F1" w14:textId="77777777">
        <w:trPr>
          <w:cantSplit/>
        </w:trPr>
        <w:tc>
          <w:tcPr>
            <w:tcW w:w="2160" w:type="dxa"/>
          </w:tcPr>
          <w:p w14:paraId="556F5290" w14:textId="77777777" w:rsidR="002E3C00" w:rsidRDefault="002E3C00" w:rsidP="002E3C00">
            <w:pPr>
              <w:pStyle w:val="TableText"/>
            </w:pPr>
            <w:r>
              <w:t>Thaw</w:t>
            </w:r>
          </w:p>
        </w:tc>
        <w:tc>
          <w:tcPr>
            <w:tcW w:w="1440" w:type="dxa"/>
          </w:tcPr>
          <w:p w14:paraId="2ABF47E3" w14:textId="77777777" w:rsidR="002E3C00" w:rsidRDefault="002E3C00" w:rsidP="002E3C00">
            <w:pPr>
              <w:pStyle w:val="TableText"/>
            </w:pPr>
          </w:p>
        </w:tc>
        <w:tc>
          <w:tcPr>
            <w:tcW w:w="1440" w:type="dxa"/>
          </w:tcPr>
          <w:p w14:paraId="0735A6AF" w14:textId="77777777" w:rsidR="002E3C00" w:rsidRDefault="002E3C00" w:rsidP="002E3C00">
            <w:pPr>
              <w:pStyle w:val="TableText"/>
            </w:pPr>
          </w:p>
        </w:tc>
        <w:tc>
          <w:tcPr>
            <w:tcW w:w="1440" w:type="dxa"/>
          </w:tcPr>
          <w:p w14:paraId="30484B89" w14:textId="77777777" w:rsidR="002E3C00" w:rsidRDefault="002E3C00" w:rsidP="002E3C00">
            <w:pPr>
              <w:pStyle w:val="TableText"/>
            </w:pPr>
          </w:p>
        </w:tc>
      </w:tr>
      <w:tr w:rsidR="002E3C00" w14:paraId="62717EA5" w14:textId="77777777">
        <w:trPr>
          <w:cantSplit/>
        </w:trPr>
        <w:tc>
          <w:tcPr>
            <w:tcW w:w="2160" w:type="dxa"/>
          </w:tcPr>
          <w:p w14:paraId="26598307" w14:textId="77777777" w:rsidR="002E3C00" w:rsidRDefault="002E3C00" w:rsidP="002E3C00">
            <w:pPr>
              <w:pStyle w:val="TableText"/>
            </w:pPr>
            <w:r>
              <w:t xml:space="preserve">Pool </w:t>
            </w:r>
          </w:p>
        </w:tc>
        <w:tc>
          <w:tcPr>
            <w:tcW w:w="1440" w:type="dxa"/>
          </w:tcPr>
          <w:p w14:paraId="53047776" w14:textId="77777777" w:rsidR="002E3C00" w:rsidRDefault="002E3C00" w:rsidP="002E3C00">
            <w:pPr>
              <w:pStyle w:val="TableText"/>
            </w:pPr>
          </w:p>
        </w:tc>
        <w:tc>
          <w:tcPr>
            <w:tcW w:w="1440" w:type="dxa"/>
          </w:tcPr>
          <w:p w14:paraId="6D67D47D" w14:textId="77777777" w:rsidR="002E3C00" w:rsidRDefault="002E3C00" w:rsidP="002E3C00">
            <w:pPr>
              <w:pStyle w:val="TableText"/>
            </w:pPr>
          </w:p>
        </w:tc>
        <w:tc>
          <w:tcPr>
            <w:tcW w:w="1440" w:type="dxa"/>
          </w:tcPr>
          <w:p w14:paraId="434FAB75" w14:textId="77777777" w:rsidR="002E3C00" w:rsidRDefault="002E3C00" w:rsidP="002E3C00">
            <w:pPr>
              <w:pStyle w:val="TableText"/>
            </w:pPr>
          </w:p>
        </w:tc>
      </w:tr>
      <w:tr w:rsidR="002E3C00" w14:paraId="6EDBEAD7" w14:textId="77777777">
        <w:trPr>
          <w:cantSplit/>
        </w:trPr>
        <w:tc>
          <w:tcPr>
            <w:tcW w:w="2160" w:type="dxa"/>
          </w:tcPr>
          <w:p w14:paraId="3714634C" w14:textId="77777777" w:rsidR="002E3C00" w:rsidRDefault="002E3C00" w:rsidP="002E3C00">
            <w:pPr>
              <w:pStyle w:val="TableText"/>
            </w:pPr>
            <w:r>
              <w:t>Thaw/Pool Cryo</w:t>
            </w:r>
          </w:p>
        </w:tc>
        <w:tc>
          <w:tcPr>
            <w:tcW w:w="1440" w:type="dxa"/>
          </w:tcPr>
          <w:p w14:paraId="24322EE8" w14:textId="77777777" w:rsidR="002E3C00" w:rsidRDefault="002E3C00" w:rsidP="002E3C00">
            <w:pPr>
              <w:pStyle w:val="TableText"/>
            </w:pPr>
          </w:p>
        </w:tc>
        <w:tc>
          <w:tcPr>
            <w:tcW w:w="1440" w:type="dxa"/>
          </w:tcPr>
          <w:p w14:paraId="343E3B05" w14:textId="77777777" w:rsidR="002E3C00" w:rsidRDefault="002E3C00" w:rsidP="002E3C00">
            <w:pPr>
              <w:pStyle w:val="TableText"/>
            </w:pPr>
          </w:p>
        </w:tc>
        <w:tc>
          <w:tcPr>
            <w:tcW w:w="1440" w:type="dxa"/>
          </w:tcPr>
          <w:p w14:paraId="526B0642" w14:textId="77777777" w:rsidR="002E3C00" w:rsidRDefault="002E3C00" w:rsidP="002E3C00">
            <w:pPr>
              <w:pStyle w:val="TableText"/>
            </w:pPr>
          </w:p>
        </w:tc>
      </w:tr>
      <w:tr w:rsidR="002E3C00" w14:paraId="2F4BABEA" w14:textId="77777777">
        <w:trPr>
          <w:cantSplit/>
        </w:trPr>
        <w:tc>
          <w:tcPr>
            <w:tcW w:w="2160" w:type="dxa"/>
          </w:tcPr>
          <w:p w14:paraId="05CD2448" w14:textId="77777777" w:rsidR="002E3C00" w:rsidRDefault="002E3C00" w:rsidP="002E3C00">
            <w:pPr>
              <w:pStyle w:val="TableText"/>
            </w:pPr>
            <w:r>
              <w:t>Split/Divide</w:t>
            </w:r>
          </w:p>
        </w:tc>
        <w:tc>
          <w:tcPr>
            <w:tcW w:w="1440" w:type="dxa"/>
          </w:tcPr>
          <w:p w14:paraId="29F5A078" w14:textId="77777777" w:rsidR="002E3C00" w:rsidRDefault="002E3C00" w:rsidP="002E3C00">
            <w:pPr>
              <w:pStyle w:val="TableText"/>
            </w:pPr>
          </w:p>
        </w:tc>
        <w:tc>
          <w:tcPr>
            <w:tcW w:w="1440" w:type="dxa"/>
          </w:tcPr>
          <w:p w14:paraId="4F19EBEB" w14:textId="77777777" w:rsidR="002E3C00" w:rsidRDefault="002E3C00" w:rsidP="002E3C00">
            <w:pPr>
              <w:pStyle w:val="TableText"/>
            </w:pPr>
          </w:p>
        </w:tc>
        <w:tc>
          <w:tcPr>
            <w:tcW w:w="1440" w:type="dxa"/>
          </w:tcPr>
          <w:p w14:paraId="307C656C" w14:textId="77777777" w:rsidR="002E3C00" w:rsidRDefault="002E3C00" w:rsidP="002E3C00">
            <w:pPr>
              <w:pStyle w:val="TableText"/>
            </w:pPr>
          </w:p>
        </w:tc>
      </w:tr>
      <w:tr w:rsidR="002E3C00" w14:paraId="1B87C748" w14:textId="77777777">
        <w:trPr>
          <w:cantSplit/>
        </w:trPr>
        <w:tc>
          <w:tcPr>
            <w:tcW w:w="2160" w:type="dxa"/>
          </w:tcPr>
          <w:p w14:paraId="050EF505" w14:textId="77777777" w:rsidR="002E3C00" w:rsidRDefault="002E3C00" w:rsidP="002E3C00">
            <w:pPr>
              <w:pStyle w:val="TableText"/>
            </w:pPr>
            <w:r>
              <w:t>Irradiate</w:t>
            </w:r>
          </w:p>
        </w:tc>
        <w:tc>
          <w:tcPr>
            <w:tcW w:w="1440" w:type="dxa"/>
          </w:tcPr>
          <w:p w14:paraId="29DA7F75" w14:textId="77777777" w:rsidR="002E3C00" w:rsidRDefault="002E3C00" w:rsidP="002E3C00">
            <w:pPr>
              <w:pStyle w:val="TableText"/>
            </w:pPr>
          </w:p>
        </w:tc>
        <w:tc>
          <w:tcPr>
            <w:tcW w:w="1440" w:type="dxa"/>
          </w:tcPr>
          <w:p w14:paraId="3E587FA6" w14:textId="77777777" w:rsidR="002E3C00" w:rsidRDefault="002E3C00" w:rsidP="002E3C00">
            <w:pPr>
              <w:pStyle w:val="TableText"/>
            </w:pPr>
          </w:p>
        </w:tc>
        <w:tc>
          <w:tcPr>
            <w:tcW w:w="1440" w:type="dxa"/>
          </w:tcPr>
          <w:p w14:paraId="6425DC78" w14:textId="77777777" w:rsidR="002E3C00" w:rsidRDefault="002E3C00" w:rsidP="002E3C00">
            <w:pPr>
              <w:pStyle w:val="TableText"/>
            </w:pPr>
          </w:p>
        </w:tc>
      </w:tr>
      <w:tr w:rsidR="002E3C00" w14:paraId="43B1EF78" w14:textId="77777777">
        <w:trPr>
          <w:cantSplit/>
        </w:trPr>
        <w:tc>
          <w:tcPr>
            <w:tcW w:w="2160" w:type="dxa"/>
          </w:tcPr>
          <w:p w14:paraId="42F4C6E9" w14:textId="77777777" w:rsidR="002E3C00" w:rsidRDefault="002E3C00" w:rsidP="002E3C00">
            <w:pPr>
              <w:pStyle w:val="TableText"/>
            </w:pPr>
            <w:r>
              <w:t xml:space="preserve">Leukoreduce </w:t>
            </w:r>
          </w:p>
        </w:tc>
        <w:tc>
          <w:tcPr>
            <w:tcW w:w="1440" w:type="dxa"/>
          </w:tcPr>
          <w:p w14:paraId="437FA37F" w14:textId="77777777" w:rsidR="002E3C00" w:rsidRDefault="002E3C00" w:rsidP="002E3C00">
            <w:pPr>
              <w:pStyle w:val="TableText"/>
            </w:pPr>
          </w:p>
        </w:tc>
        <w:tc>
          <w:tcPr>
            <w:tcW w:w="1440" w:type="dxa"/>
          </w:tcPr>
          <w:p w14:paraId="12B02A96" w14:textId="77777777" w:rsidR="002E3C00" w:rsidRDefault="002E3C00" w:rsidP="002E3C00">
            <w:pPr>
              <w:pStyle w:val="TableText"/>
            </w:pPr>
          </w:p>
        </w:tc>
        <w:tc>
          <w:tcPr>
            <w:tcW w:w="1440" w:type="dxa"/>
          </w:tcPr>
          <w:p w14:paraId="0B5E821B" w14:textId="77777777" w:rsidR="002E3C00" w:rsidRDefault="002E3C00" w:rsidP="002E3C00">
            <w:pPr>
              <w:pStyle w:val="TableText"/>
            </w:pPr>
          </w:p>
        </w:tc>
      </w:tr>
      <w:tr w:rsidR="002E3C00" w14:paraId="287B1CD8" w14:textId="77777777">
        <w:trPr>
          <w:cantSplit/>
        </w:trPr>
        <w:tc>
          <w:tcPr>
            <w:tcW w:w="2160" w:type="dxa"/>
          </w:tcPr>
          <w:p w14:paraId="1C3CA823" w14:textId="77777777" w:rsidR="002E3C00" w:rsidRDefault="002E3C00" w:rsidP="002E3C00">
            <w:pPr>
              <w:pStyle w:val="TableText"/>
            </w:pPr>
            <w:r>
              <w:t xml:space="preserve">Volume </w:t>
            </w:r>
            <w:r w:rsidR="007F68C7">
              <w:t>R</w:t>
            </w:r>
            <w:r>
              <w:t>educe</w:t>
            </w:r>
          </w:p>
        </w:tc>
        <w:tc>
          <w:tcPr>
            <w:tcW w:w="1440" w:type="dxa"/>
          </w:tcPr>
          <w:p w14:paraId="5E0AFC83" w14:textId="77777777" w:rsidR="002E3C00" w:rsidRDefault="002E3C00" w:rsidP="002E3C00">
            <w:pPr>
              <w:pStyle w:val="TableText"/>
            </w:pPr>
          </w:p>
        </w:tc>
        <w:tc>
          <w:tcPr>
            <w:tcW w:w="1440" w:type="dxa"/>
          </w:tcPr>
          <w:p w14:paraId="66861776" w14:textId="77777777" w:rsidR="002E3C00" w:rsidRDefault="002E3C00" w:rsidP="002E3C00">
            <w:pPr>
              <w:pStyle w:val="TableText"/>
            </w:pPr>
          </w:p>
        </w:tc>
        <w:tc>
          <w:tcPr>
            <w:tcW w:w="1440" w:type="dxa"/>
          </w:tcPr>
          <w:p w14:paraId="413EFCF5" w14:textId="77777777" w:rsidR="002E3C00" w:rsidRDefault="002E3C00" w:rsidP="002E3C00">
            <w:pPr>
              <w:pStyle w:val="TableText"/>
            </w:pPr>
          </w:p>
        </w:tc>
      </w:tr>
      <w:tr w:rsidR="002E3C00" w14:paraId="335448F9" w14:textId="77777777">
        <w:trPr>
          <w:cantSplit/>
        </w:trPr>
        <w:tc>
          <w:tcPr>
            <w:tcW w:w="2160" w:type="dxa"/>
          </w:tcPr>
          <w:p w14:paraId="160E5C25" w14:textId="77777777" w:rsidR="002E3C00" w:rsidRDefault="002E3C00" w:rsidP="002E3C00">
            <w:pPr>
              <w:pStyle w:val="TableText"/>
            </w:pPr>
            <w:r>
              <w:t>Wash</w:t>
            </w:r>
          </w:p>
        </w:tc>
        <w:tc>
          <w:tcPr>
            <w:tcW w:w="1440" w:type="dxa"/>
          </w:tcPr>
          <w:p w14:paraId="3FF1AA78" w14:textId="77777777" w:rsidR="002E3C00" w:rsidRDefault="002E3C00" w:rsidP="002E3C00">
            <w:pPr>
              <w:pStyle w:val="TableText"/>
            </w:pPr>
          </w:p>
        </w:tc>
        <w:tc>
          <w:tcPr>
            <w:tcW w:w="1440" w:type="dxa"/>
          </w:tcPr>
          <w:p w14:paraId="35258BD2" w14:textId="77777777" w:rsidR="002E3C00" w:rsidRDefault="002E3C00" w:rsidP="002E3C00">
            <w:pPr>
              <w:pStyle w:val="TableText"/>
            </w:pPr>
          </w:p>
        </w:tc>
        <w:tc>
          <w:tcPr>
            <w:tcW w:w="1440" w:type="dxa"/>
          </w:tcPr>
          <w:p w14:paraId="7C71C30A" w14:textId="77777777" w:rsidR="002E3C00" w:rsidRDefault="002E3C00" w:rsidP="002E3C00">
            <w:pPr>
              <w:pStyle w:val="TableText"/>
            </w:pPr>
          </w:p>
        </w:tc>
      </w:tr>
      <w:tr w:rsidR="002E3C00" w14:paraId="6904D62B" w14:textId="77777777">
        <w:trPr>
          <w:cantSplit/>
        </w:trPr>
        <w:tc>
          <w:tcPr>
            <w:tcW w:w="2160" w:type="dxa"/>
          </w:tcPr>
          <w:p w14:paraId="4380597D" w14:textId="77777777" w:rsidR="002E3C00" w:rsidRDefault="002E3C00" w:rsidP="002E3C00">
            <w:pPr>
              <w:pStyle w:val="TableText"/>
            </w:pPr>
            <w:r>
              <w:t>Rejuvenate</w:t>
            </w:r>
          </w:p>
        </w:tc>
        <w:tc>
          <w:tcPr>
            <w:tcW w:w="1440" w:type="dxa"/>
          </w:tcPr>
          <w:p w14:paraId="2DF5F2DE" w14:textId="77777777" w:rsidR="002E3C00" w:rsidRDefault="002E3C00" w:rsidP="002E3C00">
            <w:pPr>
              <w:pStyle w:val="TableText"/>
            </w:pPr>
          </w:p>
        </w:tc>
        <w:tc>
          <w:tcPr>
            <w:tcW w:w="1440" w:type="dxa"/>
          </w:tcPr>
          <w:p w14:paraId="4F72FC0C" w14:textId="77777777" w:rsidR="002E3C00" w:rsidRDefault="002E3C00" w:rsidP="002E3C00">
            <w:pPr>
              <w:pStyle w:val="TableText"/>
            </w:pPr>
          </w:p>
        </w:tc>
        <w:tc>
          <w:tcPr>
            <w:tcW w:w="1440" w:type="dxa"/>
          </w:tcPr>
          <w:p w14:paraId="093C4A8E" w14:textId="77777777" w:rsidR="002E3C00" w:rsidRDefault="002E3C00" w:rsidP="002E3C00">
            <w:pPr>
              <w:pStyle w:val="TableText"/>
            </w:pPr>
          </w:p>
        </w:tc>
      </w:tr>
      <w:tr w:rsidR="002E3C00" w14:paraId="639D9B42" w14:textId="77777777">
        <w:trPr>
          <w:cantSplit/>
        </w:trPr>
        <w:tc>
          <w:tcPr>
            <w:tcW w:w="2160" w:type="dxa"/>
          </w:tcPr>
          <w:p w14:paraId="79990C61" w14:textId="77777777" w:rsidR="002E3C00" w:rsidRDefault="002E3C00" w:rsidP="002E3C00">
            <w:pPr>
              <w:pStyle w:val="TableText"/>
            </w:pPr>
            <w:r>
              <w:t>Freeze</w:t>
            </w:r>
          </w:p>
        </w:tc>
        <w:tc>
          <w:tcPr>
            <w:tcW w:w="1440" w:type="dxa"/>
          </w:tcPr>
          <w:p w14:paraId="7F7CE07E" w14:textId="77777777" w:rsidR="002E3C00" w:rsidRDefault="002E3C00" w:rsidP="002E3C00">
            <w:pPr>
              <w:pStyle w:val="TableText"/>
            </w:pPr>
          </w:p>
        </w:tc>
        <w:tc>
          <w:tcPr>
            <w:tcW w:w="1440" w:type="dxa"/>
          </w:tcPr>
          <w:p w14:paraId="74BD3A55" w14:textId="77777777" w:rsidR="002E3C00" w:rsidRDefault="002E3C00" w:rsidP="002E3C00">
            <w:pPr>
              <w:pStyle w:val="TableText"/>
            </w:pPr>
          </w:p>
        </w:tc>
        <w:tc>
          <w:tcPr>
            <w:tcW w:w="1440" w:type="dxa"/>
          </w:tcPr>
          <w:p w14:paraId="1A73B2C3" w14:textId="77777777" w:rsidR="002E3C00" w:rsidRDefault="002E3C00" w:rsidP="002E3C00">
            <w:pPr>
              <w:pStyle w:val="TableText"/>
            </w:pPr>
          </w:p>
        </w:tc>
      </w:tr>
      <w:tr w:rsidR="002E3C00" w14:paraId="370ED9E5" w14:textId="77777777">
        <w:trPr>
          <w:cantSplit/>
        </w:trPr>
        <w:tc>
          <w:tcPr>
            <w:tcW w:w="2160" w:type="dxa"/>
          </w:tcPr>
          <w:p w14:paraId="305A2A90" w14:textId="77777777" w:rsidR="002E3C00" w:rsidRDefault="002E3C00" w:rsidP="002E3C00">
            <w:pPr>
              <w:pStyle w:val="TableText"/>
            </w:pPr>
            <w:r>
              <w:t>Deglycerolize</w:t>
            </w:r>
          </w:p>
        </w:tc>
        <w:tc>
          <w:tcPr>
            <w:tcW w:w="1440" w:type="dxa"/>
          </w:tcPr>
          <w:p w14:paraId="0E1FAC42" w14:textId="77777777" w:rsidR="002E3C00" w:rsidRDefault="002E3C00" w:rsidP="002E3C00">
            <w:pPr>
              <w:pStyle w:val="TableText"/>
            </w:pPr>
          </w:p>
        </w:tc>
        <w:tc>
          <w:tcPr>
            <w:tcW w:w="1440" w:type="dxa"/>
          </w:tcPr>
          <w:p w14:paraId="70202090" w14:textId="77777777" w:rsidR="002E3C00" w:rsidRDefault="002E3C00" w:rsidP="002E3C00">
            <w:pPr>
              <w:pStyle w:val="TableText"/>
            </w:pPr>
          </w:p>
        </w:tc>
        <w:tc>
          <w:tcPr>
            <w:tcW w:w="1440" w:type="dxa"/>
          </w:tcPr>
          <w:p w14:paraId="1B8E242F" w14:textId="77777777" w:rsidR="002E3C00" w:rsidRDefault="002E3C00" w:rsidP="002E3C00">
            <w:pPr>
              <w:pStyle w:val="TableText"/>
            </w:pPr>
          </w:p>
        </w:tc>
      </w:tr>
    </w:tbl>
    <w:p w14:paraId="4FC9F038" w14:textId="77777777" w:rsidR="002E3C00" w:rsidRDefault="002E3C00" w:rsidP="002E3C00">
      <w:pPr>
        <w:rPr>
          <w:sz w:val="15"/>
          <w:szCs w:val="15"/>
        </w:rPr>
      </w:pPr>
    </w:p>
    <w:p w14:paraId="11117FDE" w14:textId="77777777" w:rsidR="002E3C00" w:rsidRPr="00600497" w:rsidRDefault="002E3C00" w:rsidP="000409B1">
      <w:pPr>
        <w:pStyle w:val="ListNumber"/>
        <w:numPr>
          <w:ilvl w:val="0"/>
          <w:numId w:val="21"/>
        </w:numPr>
        <w:tabs>
          <w:tab w:val="clear" w:pos="720"/>
          <w:tab w:val="num" w:pos="360"/>
        </w:tabs>
        <w:ind w:left="360"/>
      </w:pPr>
      <w:r w:rsidRPr="00600497">
        <w:t xml:space="preserve">Capture and save a screen shot of each piece of information. </w:t>
      </w:r>
    </w:p>
    <w:p w14:paraId="67633439" w14:textId="77777777" w:rsidR="00232E43" w:rsidRPr="00FB7F8D" w:rsidRDefault="00232E43" w:rsidP="000409B1">
      <w:pPr>
        <w:pStyle w:val="ListNumber"/>
        <w:numPr>
          <w:ilvl w:val="0"/>
          <w:numId w:val="21"/>
        </w:numPr>
        <w:tabs>
          <w:tab w:val="clear" w:pos="720"/>
          <w:tab w:val="num" w:pos="360"/>
        </w:tabs>
        <w:ind w:left="360"/>
      </w:pPr>
      <w:bookmarkStart w:id="834" w:name="_Toc114462097"/>
      <w:r w:rsidRPr="00600497">
        <w:t>Pri</w:t>
      </w:r>
      <w:r w:rsidRPr="00FB7F8D">
        <w:t>nt</w:t>
      </w:r>
      <w:r>
        <w:t>, sign, date,</w:t>
      </w:r>
      <w:r w:rsidRPr="00FB7F8D">
        <w:t xml:space="preserve"> and save an </w:t>
      </w:r>
      <w:r>
        <w:t>A</w:t>
      </w:r>
      <w:r w:rsidRPr="00FB7F8D">
        <w:t xml:space="preserve">udit </w:t>
      </w:r>
      <w:r>
        <w:t>Trail R</w:t>
      </w:r>
      <w:r w:rsidRPr="00FB7F8D">
        <w:t>eport for your validation record.</w:t>
      </w:r>
    </w:p>
    <w:p w14:paraId="63D760F9" w14:textId="77777777" w:rsidR="002E3C00" w:rsidRDefault="007F0132" w:rsidP="002E3C00">
      <w:pPr>
        <w:pStyle w:val="Heading3"/>
      </w:pPr>
      <w:r>
        <w:br w:type="page"/>
      </w:r>
      <w:bookmarkStart w:id="835" w:name="_Toc47516833"/>
      <w:r w:rsidR="002E3C00">
        <w:lastRenderedPageBreak/>
        <w:t>Order Alerts</w:t>
      </w:r>
      <w:bookmarkEnd w:id="834"/>
      <w:bookmarkEnd w:id="835"/>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Order Alerts</w:instrText>
      </w:r>
      <w:r w:rsidR="00992E88">
        <w:instrText xml:space="preserve">" </w:instrText>
      </w:r>
      <w:r w:rsidR="00992E88">
        <w:fldChar w:fldCharType="end"/>
      </w:r>
    </w:p>
    <w:p w14:paraId="58B00A5F" w14:textId="6198B2D3" w:rsidR="00283731" w:rsidRDefault="00283731" w:rsidP="00283731">
      <w:pPr>
        <w:pStyle w:val="BodyText"/>
      </w:pPr>
      <w:r>
        <w:t>The user configures diagnostic test or component order alerts that appear at login, and turns them on or off. The alerts notify users when new orders are entered, updated, or cancel</w:t>
      </w:r>
      <w:r w:rsidR="002F7E19">
        <w:t>l</w:t>
      </w:r>
      <w:r>
        <w:t xml:space="preserve">ed in </w:t>
      </w:r>
      <w:r w:rsidRPr="00CA0045">
        <w:rPr>
          <w:bCs/>
        </w:rPr>
        <w:t>VistA</w:t>
      </w:r>
      <w:r>
        <w:rPr>
          <w:bCs/>
        </w:rPr>
        <w:t>.</w:t>
      </w:r>
      <w:r w:rsidR="00250936">
        <w:rPr>
          <w:bCs/>
        </w:rPr>
        <w:t xml:space="preserve"> For more information, see </w:t>
      </w:r>
      <w:r w:rsidR="00250936">
        <w:rPr>
          <w:bCs/>
        </w:rPr>
        <w:fldChar w:fldCharType="begin"/>
      </w:r>
      <w:r w:rsidR="00250936">
        <w:rPr>
          <w:bCs/>
        </w:rPr>
        <w:instrText xml:space="preserve"> REF _Ref508960075 \h </w:instrText>
      </w:r>
      <w:r w:rsidR="00250936">
        <w:rPr>
          <w:bCs/>
        </w:rPr>
      </w:r>
      <w:r w:rsidR="00250936">
        <w:rPr>
          <w:bCs/>
        </w:rPr>
        <w:fldChar w:fldCharType="separate"/>
      </w:r>
      <w:r w:rsidR="004353ED">
        <w:t xml:space="preserve">Appendix </w:t>
      </w:r>
      <w:r w:rsidR="004353ED">
        <w:rPr>
          <w:noProof/>
        </w:rPr>
        <w:t>G</w:t>
      </w:r>
      <w:r w:rsidR="004353ED">
        <w:t>: Work Process Flowcharts</w:t>
      </w:r>
      <w:r w:rsidR="00250936">
        <w:rPr>
          <w:bCs/>
        </w:rPr>
        <w:fldChar w:fldCharType="end"/>
      </w:r>
      <w:r w:rsidR="00250936">
        <w:rPr>
          <w:bCs/>
        </w:rPr>
        <w:t>.</w:t>
      </w:r>
    </w:p>
    <w:p w14:paraId="748AB726" w14:textId="77777777" w:rsidR="002E3C00" w:rsidRDefault="002E3C00" w:rsidP="002E3C00">
      <w:pPr>
        <w:pStyle w:val="Heading4"/>
        <w:rPr>
          <w:b w:val="0"/>
        </w:rPr>
      </w:pPr>
      <w:r>
        <w:t>User Roles with Access to This Option</w:t>
      </w:r>
      <w:r>
        <w:rPr>
          <w:b w:val="0"/>
        </w:rPr>
        <w:t xml:space="preserve"> </w:t>
      </w:r>
    </w:p>
    <w:p w14:paraId="08A12871" w14:textId="77777777" w:rsidR="002E3C00" w:rsidRPr="008F337A"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29991F70" w14:textId="77777777" w:rsidR="002E3C00" w:rsidRDefault="00B74754" w:rsidP="002E3C00">
      <w:pPr>
        <w:pStyle w:val="Heading4"/>
      </w:pPr>
      <w:r>
        <w:t>Preparation for Testing</w:t>
      </w:r>
    </w:p>
    <w:p w14:paraId="7257E1DA" w14:textId="77777777" w:rsidR="002E3C00" w:rsidRPr="00600497" w:rsidRDefault="002E3C00" w:rsidP="000409B1">
      <w:pPr>
        <w:pStyle w:val="ListNumber"/>
        <w:numPr>
          <w:ilvl w:val="0"/>
          <w:numId w:val="22"/>
        </w:numPr>
        <w:tabs>
          <w:tab w:val="clear" w:pos="720"/>
          <w:tab w:val="num" w:pos="360"/>
        </w:tabs>
        <w:ind w:left="360"/>
      </w:pPr>
      <w:r w:rsidRPr="00600497">
        <w:t xml:space="preserve">Capture and save a screen shot of each piece of information. </w:t>
      </w:r>
    </w:p>
    <w:p w14:paraId="3080640E" w14:textId="77777777" w:rsidR="00232E43" w:rsidRPr="00FB7F8D" w:rsidRDefault="00232E43" w:rsidP="000409B1">
      <w:pPr>
        <w:pStyle w:val="ListNumber"/>
        <w:numPr>
          <w:ilvl w:val="0"/>
          <w:numId w:val="22"/>
        </w:numPr>
        <w:tabs>
          <w:tab w:val="clear" w:pos="720"/>
          <w:tab w:val="num" w:pos="360"/>
        </w:tabs>
        <w:ind w:left="360"/>
      </w:pPr>
      <w:r w:rsidRPr="00600497">
        <w:t>P</w:t>
      </w:r>
      <w:r w:rsidRPr="00FB7F8D">
        <w:t>rint</w:t>
      </w:r>
      <w:r>
        <w:t>, sign, date,</w:t>
      </w:r>
      <w:r w:rsidRPr="00FB7F8D">
        <w:t xml:space="preserve"> and save an </w:t>
      </w:r>
      <w:r>
        <w:t>A</w:t>
      </w:r>
      <w:r w:rsidRPr="00FB7F8D">
        <w:t xml:space="preserve">udit </w:t>
      </w:r>
      <w:r>
        <w:t>Trail R</w:t>
      </w:r>
      <w:r w:rsidRPr="00FB7F8D">
        <w:t>eport for your validation record.</w:t>
      </w:r>
    </w:p>
    <w:p w14:paraId="488B2A4D" w14:textId="77777777" w:rsidR="002E3C00" w:rsidRDefault="007F0132" w:rsidP="002E3C00">
      <w:pPr>
        <w:pStyle w:val="Heading3"/>
      </w:pPr>
      <w:bookmarkStart w:id="836" w:name="_Toc114462098"/>
      <w:r>
        <w:br w:type="page"/>
      </w:r>
      <w:bookmarkStart w:id="837" w:name="_Toc47516834"/>
      <w:r w:rsidR="002E3C00">
        <w:lastRenderedPageBreak/>
        <w:t>Configure Daily QC: Full Service</w:t>
      </w:r>
      <w:bookmarkEnd w:id="831"/>
      <w:bookmarkEnd w:id="832"/>
      <w:bookmarkEnd w:id="836"/>
      <w:bookmarkEnd w:id="837"/>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Daily QC\: Full Service</w:instrText>
      </w:r>
      <w:r w:rsidR="00992E88">
        <w:instrText xml:space="preserve">" </w:instrText>
      </w:r>
      <w:r w:rsidR="00992E88">
        <w:fldChar w:fldCharType="end"/>
      </w:r>
    </w:p>
    <w:p w14:paraId="1DE2B52D" w14:textId="09BB95A2" w:rsidR="002E3C00" w:rsidRDefault="002E3C00" w:rsidP="002E3C00">
      <w:pPr>
        <w:pStyle w:val="BodyText"/>
      </w:pPr>
      <w:r>
        <w:t>The user sets up the routine reagent racks and QC template for the division before performing daily reagent QC.</w:t>
      </w:r>
      <w:r w:rsidR="00E435F1">
        <w:t xml:space="preserve"> </w:t>
      </w:r>
      <w:r w:rsidR="00250936">
        <w:t xml:space="preserve">For more information, see </w:t>
      </w:r>
      <w:r w:rsidR="00250936">
        <w:fldChar w:fldCharType="begin"/>
      </w:r>
      <w:r w:rsidR="00250936">
        <w:instrText xml:space="preserve"> REF _Ref508960075 \h </w:instrText>
      </w:r>
      <w:r w:rsidR="00250936">
        <w:fldChar w:fldCharType="separate"/>
      </w:r>
      <w:r w:rsidR="004353ED">
        <w:t xml:space="preserve">Appendix </w:t>
      </w:r>
      <w:r w:rsidR="004353ED">
        <w:rPr>
          <w:noProof/>
        </w:rPr>
        <w:t>G</w:t>
      </w:r>
      <w:r w:rsidR="004353ED">
        <w:t>: Work Process Flowcharts</w:t>
      </w:r>
      <w:r w:rsidR="00250936">
        <w:fldChar w:fldCharType="end"/>
      </w:r>
      <w:r w:rsidR="00250936">
        <w:t>.</w:t>
      </w:r>
    </w:p>
    <w:p w14:paraId="1D4D33BA" w14:textId="77777777" w:rsidR="002E3C00" w:rsidRDefault="002E3C00" w:rsidP="002E3C00">
      <w:pPr>
        <w:pStyle w:val="Heading4"/>
        <w:rPr>
          <w:b w:val="0"/>
        </w:rPr>
      </w:pPr>
      <w:r>
        <w:t>User Roles with Access to This Option</w:t>
      </w:r>
      <w:r>
        <w:rPr>
          <w:b w:val="0"/>
        </w:rPr>
        <w:t xml:space="preserve"> </w:t>
      </w:r>
    </w:p>
    <w:p w14:paraId="35C618C6" w14:textId="77777777" w:rsidR="002E3C00" w:rsidRPr="00B22CCD"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Pr>
          <w:snapToGrid w:val="0"/>
        </w:rPr>
        <w:t xml:space="preserve"> </w:t>
      </w:r>
    </w:p>
    <w:p w14:paraId="0BB1323C" w14:textId="77777777" w:rsidR="002E3C00" w:rsidRDefault="00B74754" w:rsidP="002E3C00">
      <w:pPr>
        <w:pStyle w:val="Heading4"/>
      </w:pPr>
      <w:r>
        <w:t>Preparation for Testing</w:t>
      </w:r>
    </w:p>
    <w:p w14:paraId="27E0D428" w14:textId="77777777" w:rsidR="00717BAF" w:rsidRDefault="002E3C00" w:rsidP="000409B1">
      <w:pPr>
        <w:pStyle w:val="ListNumber"/>
        <w:numPr>
          <w:ilvl w:val="0"/>
          <w:numId w:val="32"/>
        </w:numPr>
        <w:tabs>
          <w:tab w:val="clear" w:pos="720"/>
          <w:tab w:val="num" w:pos="360"/>
          <w:tab w:val="right" w:leader="underscore" w:pos="9360"/>
        </w:tabs>
        <w:ind w:left="360"/>
      </w:pPr>
      <w:r>
        <w:t>If you perform daily reagent rack quality control using a commercial kit, select the commercial kit template. If not, select the non-commercial k</w:t>
      </w:r>
      <w:r w:rsidR="00717BAF">
        <w:t>it template. Template selected:</w:t>
      </w:r>
      <w:r w:rsidR="00717BAF">
        <w:tab/>
      </w:r>
    </w:p>
    <w:p w14:paraId="7737CA62" w14:textId="77777777" w:rsidR="00717BAF" w:rsidRDefault="002E3C00" w:rsidP="000409B1">
      <w:pPr>
        <w:pStyle w:val="ListNumber"/>
        <w:numPr>
          <w:ilvl w:val="0"/>
          <w:numId w:val="32"/>
        </w:numPr>
        <w:tabs>
          <w:tab w:val="clear" w:pos="720"/>
          <w:tab w:val="num" w:pos="360"/>
          <w:tab w:val="right" w:leader="underscore" w:pos="9360"/>
        </w:tabs>
        <w:ind w:left="360"/>
      </w:pPr>
      <w:r>
        <w:t>Daily alert time at which users will be prompted to perform QC:</w:t>
      </w:r>
      <w:r w:rsidR="001D1E93">
        <w:tab/>
      </w:r>
    </w:p>
    <w:p w14:paraId="325C1939" w14:textId="77777777" w:rsidR="00717BAF" w:rsidRDefault="002E3C00" w:rsidP="000409B1">
      <w:pPr>
        <w:pStyle w:val="ListNumber"/>
        <w:numPr>
          <w:ilvl w:val="0"/>
          <w:numId w:val="32"/>
        </w:numPr>
        <w:tabs>
          <w:tab w:val="clear" w:pos="720"/>
          <w:tab w:val="num" w:pos="360"/>
          <w:tab w:val="right" w:leader="underscore" w:pos="9360"/>
        </w:tabs>
        <w:ind w:left="360"/>
      </w:pPr>
      <w:r>
        <w:t>Do you want to use letters or n</w:t>
      </w:r>
      <w:r w:rsidR="00717BAF">
        <w:t>umbers as rack names?</w:t>
      </w:r>
      <w:r w:rsidR="001D1E93">
        <w:tab/>
      </w:r>
    </w:p>
    <w:p w14:paraId="124070DC" w14:textId="77777777" w:rsidR="00717BAF" w:rsidRDefault="002E3C00" w:rsidP="000409B1">
      <w:pPr>
        <w:pStyle w:val="ListNumber"/>
        <w:numPr>
          <w:ilvl w:val="0"/>
          <w:numId w:val="32"/>
        </w:numPr>
        <w:tabs>
          <w:tab w:val="clear" w:pos="720"/>
          <w:tab w:val="num" w:pos="360"/>
          <w:tab w:val="right" w:leader="underscore" w:pos="9360"/>
        </w:tabs>
        <w:ind w:left="360"/>
      </w:pPr>
      <w:r>
        <w:t xml:space="preserve">Maximum number </w:t>
      </w:r>
      <w:r w:rsidR="00717BAF">
        <w:t>of reagent racks for daily use:</w:t>
      </w:r>
      <w:r w:rsidR="001D1E93">
        <w:tab/>
      </w:r>
    </w:p>
    <w:p w14:paraId="4D365088" w14:textId="77777777" w:rsidR="00717BAF" w:rsidRDefault="00717BAF" w:rsidP="000409B1">
      <w:pPr>
        <w:pStyle w:val="ListNumber"/>
        <w:numPr>
          <w:ilvl w:val="0"/>
          <w:numId w:val="32"/>
        </w:numPr>
        <w:tabs>
          <w:tab w:val="clear" w:pos="720"/>
          <w:tab w:val="num" w:pos="360"/>
          <w:tab w:val="right" w:leader="underscore" w:pos="9360"/>
        </w:tabs>
        <w:ind w:left="360"/>
      </w:pPr>
      <w:r>
        <w:t>Primary enhancement medium:</w:t>
      </w:r>
      <w:r w:rsidR="001D1E93">
        <w:tab/>
      </w:r>
    </w:p>
    <w:p w14:paraId="37BC5C7B" w14:textId="77777777" w:rsidR="00717BAF" w:rsidRDefault="00717BAF" w:rsidP="000409B1">
      <w:pPr>
        <w:pStyle w:val="ListNumber"/>
        <w:numPr>
          <w:ilvl w:val="0"/>
          <w:numId w:val="32"/>
        </w:numPr>
        <w:tabs>
          <w:tab w:val="clear" w:pos="720"/>
          <w:tab w:val="num" w:pos="360"/>
          <w:tab w:val="right" w:leader="underscore" w:pos="9360"/>
        </w:tabs>
        <w:ind w:left="360"/>
      </w:pPr>
      <w:r>
        <w:t>Secondary enhancement medium:</w:t>
      </w:r>
      <w:r w:rsidR="001D1E93">
        <w:tab/>
      </w:r>
    </w:p>
    <w:p w14:paraId="5034A3D0" w14:textId="77777777" w:rsidR="00717BAF" w:rsidRDefault="002E3C00" w:rsidP="001D1E93">
      <w:pPr>
        <w:pStyle w:val="BodyText"/>
      </w:pPr>
      <w:r>
        <w:t>The template contains the minimum number of tests required to test the reagents. Select additional tests that are part of your daily reagent rack QC, in accordance with local policies and procedures.</w:t>
      </w:r>
      <w:bookmarkStart w:id="838" w:name="_Toc85895787"/>
      <w:bookmarkStart w:id="839" w:name="_Toc113264244"/>
    </w:p>
    <w:p w14:paraId="0E7D4732" w14:textId="77777777" w:rsidR="00717BAF" w:rsidRDefault="002E3C00" w:rsidP="000409B1">
      <w:pPr>
        <w:pStyle w:val="ListNumber"/>
        <w:numPr>
          <w:ilvl w:val="0"/>
          <w:numId w:val="32"/>
        </w:numPr>
        <w:tabs>
          <w:tab w:val="clear" w:pos="720"/>
          <w:tab w:val="num" w:pos="360"/>
          <w:tab w:val="right" w:leader="underscore" w:pos="9360"/>
        </w:tabs>
        <w:ind w:left="360"/>
      </w:pPr>
      <w:r>
        <w:t>Capture and save</w:t>
      </w:r>
      <w:r w:rsidRPr="00FB7F8D">
        <w:t xml:space="preserve"> a screen shot of </w:t>
      </w:r>
      <w:r>
        <w:t>each piece of</w:t>
      </w:r>
      <w:r w:rsidRPr="00FB7F8D">
        <w:t xml:space="preserve"> information. </w:t>
      </w:r>
    </w:p>
    <w:p w14:paraId="7720FA77" w14:textId="77777777" w:rsidR="00232E43" w:rsidRPr="00FB7F8D" w:rsidRDefault="00232E43" w:rsidP="000409B1">
      <w:pPr>
        <w:pStyle w:val="ListNumber"/>
        <w:numPr>
          <w:ilvl w:val="0"/>
          <w:numId w:val="32"/>
        </w:numPr>
        <w:tabs>
          <w:tab w:val="clear" w:pos="720"/>
          <w:tab w:val="num" w:pos="360"/>
          <w:tab w:val="right" w:leader="underscore" w:pos="9360"/>
        </w:tabs>
        <w:ind w:left="360"/>
      </w:pPr>
      <w:r w:rsidRPr="00FB7F8D">
        <w:t>Print</w:t>
      </w:r>
      <w:r>
        <w:t>, sign, date,</w:t>
      </w:r>
      <w:r w:rsidRPr="00FB7F8D">
        <w:t xml:space="preserve"> and save an </w:t>
      </w:r>
      <w:r>
        <w:t>A</w:t>
      </w:r>
      <w:r w:rsidRPr="00FB7F8D">
        <w:t xml:space="preserve">udit </w:t>
      </w:r>
      <w:r>
        <w:t>Trail R</w:t>
      </w:r>
      <w:r w:rsidRPr="00FB7F8D">
        <w:t>eport for your validation record.</w:t>
      </w:r>
    </w:p>
    <w:p w14:paraId="47359500" w14:textId="77777777" w:rsidR="002E3C00" w:rsidRDefault="007F0132" w:rsidP="002E3C00">
      <w:pPr>
        <w:pStyle w:val="Heading3"/>
      </w:pPr>
      <w:bookmarkStart w:id="840" w:name="_Toc114462099"/>
      <w:r>
        <w:br w:type="page"/>
      </w:r>
      <w:bookmarkStart w:id="841" w:name="_Toc47516835"/>
      <w:r w:rsidR="002E3C00">
        <w:lastRenderedPageBreak/>
        <w:t xml:space="preserve">Maintain </w:t>
      </w:r>
      <w:r w:rsidR="002E3C00" w:rsidRPr="00BD1428">
        <w:t>Minimum Levels</w:t>
      </w:r>
      <w:bookmarkEnd w:id="838"/>
      <w:bookmarkEnd w:id="839"/>
      <w:r w:rsidR="002E3C00">
        <w:t>: Full Service</w:t>
      </w:r>
      <w:bookmarkEnd w:id="840"/>
      <w:bookmarkEnd w:id="841"/>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Maintain Minimum Levels\: Full Service</w:instrText>
      </w:r>
      <w:r w:rsidR="00992E88">
        <w:instrText xml:space="preserve">" </w:instrText>
      </w:r>
      <w:r w:rsidR="00992E88">
        <w:fldChar w:fldCharType="end"/>
      </w:r>
    </w:p>
    <w:p w14:paraId="6DA1FEE2" w14:textId="4F468868" w:rsidR="002E3C00" w:rsidRPr="00CF3293" w:rsidRDefault="002E3C00" w:rsidP="002E3C00">
      <w:pPr>
        <w:pStyle w:val="BodyText"/>
        <w:rPr>
          <w:rFonts w:cs="Arial"/>
          <w:snapToGrid w:val="0"/>
          <w:color w:val="000000"/>
          <w:szCs w:val="18"/>
        </w:rPr>
      </w:pPr>
      <w:r>
        <w:t>The user sets minimum stock levels for reagent types used in the division.</w:t>
      </w:r>
      <w:r w:rsidR="00250936">
        <w:t xml:space="preserve"> For more information, see </w:t>
      </w:r>
      <w:r w:rsidR="00250936">
        <w:fldChar w:fldCharType="begin"/>
      </w:r>
      <w:r w:rsidR="00250936">
        <w:instrText xml:space="preserve"> REF _Ref508960075 \h </w:instrText>
      </w:r>
      <w:r w:rsidR="00250936">
        <w:fldChar w:fldCharType="separate"/>
      </w:r>
      <w:r w:rsidR="004353ED">
        <w:t xml:space="preserve">Appendix </w:t>
      </w:r>
      <w:r w:rsidR="004353ED">
        <w:rPr>
          <w:noProof/>
        </w:rPr>
        <w:t>G</w:t>
      </w:r>
      <w:r w:rsidR="004353ED">
        <w:t>: Work Process Flowcharts</w:t>
      </w:r>
      <w:r w:rsidR="00250936">
        <w:fldChar w:fldCharType="end"/>
      </w:r>
      <w:r w:rsidR="00250936">
        <w:t>.</w:t>
      </w:r>
    </w:p>
    <w:p w14:paraId="7ABC14CA" w14:textId="77777777" w:rsidR="002E3C00" w:rsidRDefault="002E3C00" w:rsidP="002E3C00">
      <w:pPr>
        <w:pStyle w:val="Heading4"/>
        <w:rPr>
          <w:b w:val="0"/>
        </w:rPr>
      </w:pPr>
      <w:r>
        <w:t>User Roles with Access to This Option</w:t>
      </w:r>
      <w:r>
        <w:rPr>
          <w:b w:val="0"/>
        </w:rPr>
        <w:t xml:space="preserve"> </w:t>
      </w:r>
    </w:p>
    <w:p w14:paraId="1C7690C8"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Traditional Supervisor</w:t>
      </w:r>
    </w:p>
    <w:p w14:paraId="0B9D04D4" w14:textId="77777777" w:rsidR="002E3C00" w:rsidRDefault="00B74754" w:rsidP="002E3C00">
      <w:pPr>
        <w:pStyle w:val="Heading4"/>
      </w:pPr>
      <w:r>
        <w:t>Preparation for Testing</w:t>
      </w:r>
    </w:p>
    <w:p w14:paraId="21CEE706" w14:textId="77777777" w:rsidR="002E3C00" w:rsidRDefault="002E3C00" w:rsidP="002E3C00">
      <w:pPr>
        <w:pStyle w:val="BodyText"/>
      </w:pPr>
      <w:r>
        <w:t>You may enter the minimum number of vials for each reagent type that your blood bank stocks to alert staff when it reaches a critical level.</w:t>
      </w:r>
    </w:p>
    <w:p w14:paraId="198198E4" w14:textId="77777777" w:rsidR="002E3C00" w:rsidRPr="00600497" w:rsidRDefault="002E3C00" w:rsidP="000409B1">
      <w:pPr>
        <w:pStyle w:val="ListNumber"/>
        <w:numPr>
          <w:ilvl w:val="0"/>
          <w:numId w:val="23"/>
        </w:numPr>
      </w:pPr>
      <w:bookmarkStart w:id="842" w:name="_Toc113264245"/>
      <w:r w:rsidRPr="00600497">
        <w:t xml:space="preserve">Capture and save a screen shot of each piece of information. </w:t>
      </w:r>
    </w:p>
    <w:p w14:paraId="1BD30FCA" w14:textId="77777777" w:rsidR="00232E43" w:rsidRPr="00FB7F8D" w:rsidRDefault="00232E43" w:rsidP="000409B1">
      <w:pPr>
        <w:pStyle w:val="ListNumber"/>
        <w:numPr>
          <w:ilvl w:val="0"/>
          <w:numId w:val="23"/>
        </w:numPr>
      </w:pPr>
      <w:r w:rsidRPr="00600497">
        <w:t>Pr</w:t>
      </w:r>
      <w:r w:rsidRPr="00FB7F8D">
        <w:t>int</w:t>
      </w:r>
      <w:r>
        <w:t>, sign, date,</w:t>
      </w:r>
      <w:r w:rsidRPr="00FB7F8D">
        <w:t xml:space="preserve"> and save an </w:t>
      </w:r>
      <w:r>
        <w:t>A</w:t>
      </w:r>
      <w:r w:rsidRPr="00FB7F8D">
        <w:t xml:space="preserve">udit </w:t>
      </w:r>
      <w:r>
        <w:t>Trail R</w:t>
      </w:r>
      <w:r w:rsidRPr="00FB7F8D">
        <w:t>eport for your validation record.</w:t>
      </w:r>
    </w:p>
    <w:p w14:paraId="0B116B43" w14:textId="77777777" w:rsidR="002E3C00" w:rsidRDefault="009E1D3B" w:rsidP="002E3C00">
      <w:pPr>
        <w:pStyle w:val="Heading3"/>
      </w:pPr>
      <w:bookmarkStart w:id="843" w:name="_Toc114462100"/>
      <w:r>
        <w:br w:type="page"/>
      </w:r>
      <w:bookmarkStart w:id="844" w:name="_Toc47516836"/>
      <w:r w:rsidR="002E3C00" w:rsidRPr="00515B51">
        <w:lastRenderedPageBreak/>
        <w:t>Log In Reagent</w:t>
      </w:r>
      <w:bookmarkEnd w:id="842"/>
      <w:r w:rsidR="002E3C00">
        <w:t>s: Full Service</w:t>
      </w:r>
      <w:bookmarkEnd w:id="843"/>
      <w:bookmarkEnd w:id="844"/>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Log In Reagents\: Full Service</w:instrText>
      </w:r>
      <w:r w:rsidR="00992E88">
        <w:instrText xml:space="preserve">" </w:instrText>
      </w:r>
      <w:r w:rsidR="00992E88">
        <w:fldChar w:fldCharType="end"/>
      </w:r>
    </w:p>
    <w:p w14:paraId="364CA9A1" w14:textId="7D61FFA4" w:rsidR="002E3C00" w:rsidRPr="00FA7E65" w:rsidRDefault="002E3C00" w:rsidP="002E3C00">
      <w:pPr>
        <w:pStyle w:val="BodyText"/>
      </w:pPr>
      <w:r w:rsidRPr="00FA7E65">
        <w:t>A user records the receipt of specific reagents by type. The reagent record includes the date the shipment was received, reagent name, lot number, expiration date, manufacturer, and number of vials received in a shipment.</w:t>
      </w:r>
      <w:r w:rsidR="00250936">
        <w:t xml:space="preserve"> For more information, see </w:t>
      </w:r>
      <w:r w:rsidR="00250936">
        <w:fldChar w:fldCharType="begin"/>
      </w:r>
      <w:r w:rsidR="00250936">
        <w:instrText xml:space="preserve"> REF _Ref508960075 \h </w:instrText>
      </w:r>
      <w:r w:rsidR="00250936">
        <w:fldChar w:fldCharType="separate"/>
      </w:r>
      <w:r w:rsidR="004353ED">
        <w:t xml:space="preserve">Appendix </w:t>
      </w:r>
      <w:r w:rsidR="004353ED">
        <w:rPr>
          <w:noProof/>
        </w:rPr>
        <w:t>G</w:t>
      </w:r>
      <w:r w:rsidR="004353ED">
        <w:t>: Work Process Flowcharts</w:t>
      </w:r>
      <w:r w:rsidR="00250936">
        <w:fldChar w:fldCharType="end"/>
      </w:r>
      <w:r w:rsidR="00250936">
        <w:t>.</w:t>
      </w:r>
    </w:p>
    <w:p w14:paraId="3614597C" w14:textId="77777777" w:rsidR="002E3C00" w:rsidRDefault="002E3C00" w:rsidP="002E3C00">
      <w:pPr>
        <w:pStyle w:val="Heading4"/>
      </w:pPr>
      <w:r>
        <w:t>User Roles with Access to This Option</w:t>
      </w:r>
    </w:p>
    <w:p w14:paraId="45B9B546" w14:textId="77777777" w:rsidR="002E3C00" w:rsidRPr="00FC5C6B" w:rsidRDefault="002E3C00" w:rsidP="002E3C00">
      <w:pPr>
        <w:pStyle w:val="Roles"/>
      </w:pPr>
      <w:r>
        <w:t>All users</w:t>
      </w:r>
    </w:p>
    <w:p w14:paraId="006C265C" w14:textId="77777777" w:rsidR="002E3C00" w:rsidRDefault="00B74754" w:rsidP="002E3C00">
      <w:pPr>
        <w:pStyle w:val="Heading4"/>
      </w:pPr>
      <w:r>
        <w:t>Preparation for Testing</w:t>
      </w:r>
    </w:p>
    <w:p w14:paraId="5008486D" w14:textId="77777777" w:rsidR="002E3C00" w:rsidRPr="00600497" w:rsidRDefault="00387ADD" w:rsidP="000409B1">
      <w:pPr>
        <w:pStyle w:val="ListNumber"/>
        <w:numPr>
          <w:ilvl w:val="0"/>
          <w:numId w:val="24"/>
        </w:numPr>
        <w:tabs>
          <w:tab w:val="clear" w:pos="720"/>
          <w:tab w:val="num" w:pos="360"/>
        </w:tabs>
        <w:ind w:left="360"/>
      </w:pPr>
      <w:r>
        <w:t>Enter reagent types</w:t>
      </w:r>
      <w:r w:rsidRPr="00600497">
        <w:t xml:space="preserve"> and quantities used</w:t>
      </w:r>
      <w:r w:rsidR="002E3C00" w:rsidRPr="00600497">
        <w:t>.</w:t>
      </w:r>
      <w:r w:rsidRPr="00600497">
        <w:t xml:space="preserve"> (</w:t>
      </w:r>
      <w:r w:rsidR="002E3C00" w:rsidRPr="00600497">
        <w:t xml:space="preserve">For QC validation, </w:t>
      </w:r>
      <w:r w:rsidRPr="00600497">
        <w:t>enter</w:t>
      </w:r>
      <w:r w:rsidR="002E3C00" w:rsidRPr="00600497">
        <w:t xml:space="preserve"> a lot number that was received and found unsatisfactory, and a lot number that expires at 23:59 on the day that you test the reagent rack QC.</w:t>
      </w:r>
      <w:r w:rsidRPr="00600497">
        <w:t>)</w:t>
      </w:r>
    </w:p>
    <w:p w14:paraId="68CF4F7E" w14:textId="77777777" w:rsidR="002E3C00" w:rsidRPr="00600497" w:rsidRDefault="00675FB9" w:rsidP="000409B1">
      <w:pPr>
        <w:pStyle w:val="ListNumber"/>
        <w:numPr>
          <w:ilvl w:val="0"/>
          <w:numId w:val="24"/>
        </w:numPr>
        <w:tabs>
          <w:tab w:val="clear" w:pos="720"/>
          <w:tab w:val="num" w:pos="360"/>
        </w:tabs>
        <w:ind w:left="360"/>
      </w:pPr>
      <w:r>
        <w:t>C</w:t>
      </w:r>
      <w:r w:rsidR="002E3C00" w:rsidRPr="00600497">
        <w:t xml:space="preserve">apture and save a screen shot of all entries. </w:t>
      </w:r>
    </w:p>
    <w:p w14:paraId="74298E87" w14:textId="77777777" w:rsidR="00232E43" w:rsidRPr="00FB7F8D" w:rsidRDefault="002E3C00" w:rsidP="000409B1">
      <w:pPr>
        <w:pStyle w:val="ListNumber"/>
        <w:numPr>
          <w:ilvl w:val="0"/>
          <w:numId w:val="24"/>
        </w:numPr>
        <w:tabs>
          <w:tab w:val="clear" w:pos="720"/>
          <w:tab w:val="num" w:pos="360"/>
        </w:tabs>
        <w:ind w:left="360"/>
      </w:pPr>
      <w:r w:rsidRPr="00600497">
        <w:t>Print</w:t>
      </w:r>
      <w:r w:rsidR="009A1A60" w:rsidRPr="00600497">
        <w:t>, sign, date,</w:t>
      </w:r>
      <w:r w:rsidRPr="00600497">
        <w:t xml:space="preserve"> and</w:t>
      </w:r>
      <w:r>
        <w:t xml:space="preserve"> save the </w:t>
      </w:r>
      <w:r w:rsidR="009A1A60">
        <w:t>View/Print Inventory (R</w:t>
      </w:r>
      <w:r>
        <w:t>eagent</w:t>
      </w:r>
      <w:r w:rsidR="009A1A60">
        <w:t>) R</w:t>
      </w:r>
      <w:r>
        <w:t>eport for your validation record.</w:t>
      </w:r>
    </w:p>
    <w:p w14:paraId="794DD79C" w14:textId="77777777" w:rsidR="002E3C00" w:rsidRDefault="007F0132" w:rsidP="002E3C00">
      <w:pPr>
        <w:pStyle w:val="Heading3"/>
      </w:pPr>
      <w:bookmarkStart w:id="845" w:name="_Toc85895788"/>
      <w:bookmarkStart w:id="846" w:name="_Toc113264246"/>
      <w:bookmarkStart w:id="847" w:name="_Toc114462101"/>
      <w:r>
        <w:br w:type="page"/>
      </w:r>
      <w:bookmarkStart w:id="848" w:name="_Toc47516837"/>
      <w:r w:rsidR="002E3C00">
        <w:lastRenderedPageBreak/>
        <w:t>Blood Products</w:t>
      </w:r>
      <w:bookmarkEnd w:id="845"/>
      <w:bookmarkEnd w:id="846"/>
      <w:bookmarkEnd w:id="847"/>
      <w:bookmarkEnd w:id="848"/>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Blood Products</w:instrText>
      </w:r>
      <w:r w:rsidR="00992E88">
        <w:instrText xml:space="preserve">" </w:instrText>
      </w:r>
      <w:r w:rsidR="00992E88">
        <w:fldChar w:fldCharType="end"/>
      </w:r>
    </w:p>
    <w:p w14:paraId="3A558491" w14:textId="0070D373" w:rsidR="002E3C00" w:rsidRPr="0094769F" w:rsidRDefault="002E3C00" w:rsidP="002E3C00">
      <w:pPr>
        <w:pStyle w:val="BodyText"/>
      </w:pPr>
      <w:r>
        <w:t>The user activates, deactivates, and edits a limited number of variables for an existing blood product</w:t>
      </w:r>
      <w:r w:rsidR="00AE3B37">
        <w:t xml:space="preserve"> site parameter. VBECS provides</w:t>
      </w:r>
      <w:r>
        <w:t xml:space="preserve"> an ISBT 128 Blood Product reference table to facilitate these and other actions.</w:t>
      </w:r>
      <w:r w:rsidR="00E435F1">
        <w:t xml:space="preserve"> </w:t>
      </w:r>
      <w:r w:rsidR="00250936">
        <w:t xml:space="preserve">For more information, see </w:t>
      </w:r>
      <w:r w:rsidR="00250936">
        <w:fldChar w:fldCharType="begin"/>
      </w:r>
      <w:r w:rsidR="00250936">
        <w:instrText xml:space="preserve"> REF _Ref508960075 \h </w:instrText>
      </w:r>
      <w:r w:rsidR="00250936">
        <w:fldChar w:fldCharType="separate"/>
      </w:r>
      <w:r w:rsidR="004353ED">
        <w:t xml:space="preserve">Appendix </w:t>
      </w:r>
      <w:r w:rsidR="004353ED">
        <w:rPr>
          <w:noProof/>
        </w:rPr>
        <w:t>G</w:t>
      </w:r>
      <w:r w:rsidR="004353ED">
        <w:t>: Work Process Flowcharts</w:t>
      </w:r>
      <w:r w:rsidR="00250936">
        <w:fldChar w:fldCharType="end"/>
      </w:r>
      <w:r w:rsidR="00250936">
        <w:t>.</w:t>
      </w:r>
    </w:p>
    <w:p w14:paraId="7DCB831E" w14:textId="77777777" w:rsidR="002E3C00" w:rsidRDefault="002E3C00" w:rsidP="002E3C00">
      <w:pPr>
        <w:pStyle w:val="Heading4"/>
      </w:pPr>
      <w:r>
        <w:t>User Roles with Access to This Option</w:t>
      </w:r>
    </w:p>
    <w:p w14:paraId="03720AF1" w14:textId="77777777" w:rsidR="002E3C00" w:rsidRPr="00FC5C6B" w:rsidRDefault="002E3C00" w:rsidP="002E3C00">
      <w:pPr>
        <w:pStyle w:val="Roles"/>
      </w:pPr>
      <w:r>
        <w:t>All users</w:t>
      </w:r>
    </w:p>
    <w:p w14:paraId="491A6889" w14:textId="77777777" w:rsidR="002E3C00" w:rsidRDefault="00B74754" w:rsidP="002E3C00">
      <w:pPr>
        <w:pStyle w:val="Heading4"/>
      </w:pPr>
      <w:r>
        <w:t>Preparation for Testing</w:t>
      </w:r>
    </w:p>
    <w:p w14:paraId="15293753" w14:textId="77777777" w:rsidR="002E3C00" w:rsidRDefault="002E3C00" w:rsidP="002E3C00">
      <w:pPr>
        <w:pStyle w:val="BodyText"/>
      </w:pPr>
      <w:r>
        <w:t>Activate blood products here or during incoming shipment. It may be helpful to set up your most common products</w:t>
      </w:r>
      <w:r w:rsidR="00CC08BC">
        <w:t xml:space="preserve"> before </w:t>
      </w:r>
      <w:r>
        <w:t>e</w:t>
      </w:r>
      <w:r w:rsidR="002C235F">
        <w:t>ntering blood inventory in</w:t>
      </w:r>
      <w:r>
        <w:t xml:space="preserve"> the system.</w:t>
      </w:r>
    </w:p>
    <w:p w14:paraId="693C1FAD" w14:textId="77777777" w:rsidR="002E3C00" w:rsidRDefault="002C235F" w:rsidP="002E3C00">
      <w:pPr>
        <w:pStyle w:val="BodyText"/>
      </w:pPr>
      <w:r>
        <w:t xml:space="preserve">Healthcare Common Procedure Coding System (HCPCS) </w:t>
      </w:r>
      <w:r w:rsidR="002E3C00">
        <w:t>codes are provided by your hospital’s VistA file</w:t>
      </w:r>
      <w:r w:rsidR="00CC08BC">
        <w:t>. S</w:t>
      </w:r>
      <w:r w:rsidR="002E3C00">
        <w:t>elect the code that is associated with the blood product.</w:t>
      </w:r>
    </w:p>
    <w:p w14:paraId="4298165A" w14:textId="77777777" w:rsidR="00061FCF" w:rsidRPr="00600497" w:rsidRDefault="00061FCF" w:rsidP="000409B1">
      <w:pPr>
        <w:pStyle w:val="ListNumber"/>
        <w:numPr>
          <w:ilvl w:val="0"/>
          <w:numId w:val="25"/>
        </w:numPr>
      </w:pPr>
      <w:r w:rsidRPr="00600497">
        <w:t>Use the sample worksheet to record information.</w:t>
      </w:r>
    </w:p>
    <w:p w14:paraId="5F9E40C0" w14:textId="77777777" w:rsidR="002E3C00" w:rsidRPr="00600497" w:rsidRDefault="002E3C00" w:rsidP="000409B1">
      <w:pPr>
        <w:pStyle w:val="ListNumber"/>
        <w:numPr>
          <w:ilvl w:val="0"/>
          <w:numId w:val="25"/>
        </w:numPr>
      </w:pPr>
      <w:r w:rsidRPr="00600497">
        <w:t xml:space="preserve">Capture and save a screen shot of each piece of information before continuing. </w:t>
      </w:r>
    </w:p>
    <w:p w14:paraId="5526FF95" w14:textId="77777777" w:rsidR="00232E43" w:rsidRPr="00FB7F8D" w:rsidRDefault="00232E43" w:rsidP="000409B1">
      <w:pPr>
        <w:pStyle w:val="ListNumber"/>
        <w:numPr>
          <w:ilvl w:val="0"/>
          <w:numId w:val="25"/>
        </w:numPr>
      </w:pPr>
      <w:r w:rsidRPr="00600497">
        <w:t>Pr</w:t>
      </w:r>
      <w:r w:rsidRPr="00FB7F8D">
        <w:t>int</w:t>
      </w:r>
      <w:r>
        <w:t>, sign, date,</w:t>
      </w:r>
      <w:r w:rsidRPr="00FB7F8D">
        <w:t xml:space="preserve"> and save an </w:t>
      </w:r>
      <w:r>
        <w:t>A</w:t>
      </w:r>
      <w:r w:rsidRPr="00FB7F8D">
        <w:t xml:space="preserve">udit </w:t>
      </w:r>
      <w:r>
        <w:t>Trail R</w:t>
      </w:r>
      <w:r w:rsidRPr="00FB7F8D">
        <w:t>eport for your validation record.</w:t>
      </w:r>
    </w:p>
    <w:p w14:paraId="5427DE4E" w14:textId="539EECC1" w:rsidR="002E3C00" w:rsidRDefault="002E3C00" w:rsidP="002E3C00">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29</w:t>
      </w:r>
      <w:r w:rsidR="004E20BD">
        <w:rPr>
          <w:noProof/>
        </w:rPr>
        <w:fldChar w:fldCharType="end"/>
      </w:r>
      <w:r>
        <w:t>: Sample Blood Products Worksheet</w:t>
      </w:r>
      <w:r w:rsidR="00AD60CF">
        <w:fldChar w:fldCharType="begin"/>
      </w:r>
      <w:r w:rsidR="00F272D5">
        <w:instrText xml:space="preserve"> XE "Tables:</w:instrText>
      </w:r>
      <w:r w:rsidR="00AD60CF" w:rsidRPr="0046419F">
        <w:instrText>Sample Blood Products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4"/>
        <w:gridCol w:w="1222"/>
        <w:gridCol w:w="7"/>
        <w:gridCol w:w="1223"/>
        <w:gridCol w:w="6"/>
        <w:gridCol w:w="2008"/>
        <w:gridCol w:w="1224"/>
        <w:gridCol w:w="1223"/>
        <w:gridCol w:w="1223"/>
      </w:tblGrid>
      <w:tr w:rsidR="00AF76D5" w:rsidRPr="00B562A7" w14:paraId="50BF70D9" w14:textId="77777777">
        <w:trPr>
          <w:tblHeader/>
        </w:trPr>
        <w:tc>
          <w:tcPr>
            <w:tcW w:w="2446" w:type="dxa"/>
            <w:gridSpan w:val="2"/>
            <w:tcBorders>
              <w:top w:val="single" w:sz="4" w:space="0" w:color="auto"/>
              <w:left w:val="single" w:sz="4" w:space="0" w:color="auto"/>
              <w:bottom w:val="single" w:sz="4" w:space="0" w:color="auto"/>
              <w:right w:val="single" w:sz="4" w:space="0" w:color="auto"/>
            </w:tcBorders>
            <w:shd w:val="clear" w:color="auto" w:fill="B3B3B3"/>
            <w:vAlign w:val="bottom"/>
          </w:tcPr>
          <w:p w14:paraId="188834C0" w14:textId="77777777" w:rsidR="00AF76D5" w:rsidRPr="00B562A7" w:rsidRDefault="00AF76D5" w:rsidP="009E1D3B">
            <w:pPr>
              <w:pStyle w:val="TableText"/>
              <w:jc w:val="center"/>
              <w:rPr>
                <w:b/>
              </w:rPr>
            </w:pPr>
            <w:r>
              <w:rPr>
                <w:b/>
              </w:rPr>
              <w:t>Blood Product</w:t>
            </w:r>
          </w:p>
        </w:tc>
        <w:tc>
          <w:tcPr>
            <w:tcW w:w="1236" w:type="dxa"/>
            <w:gridSpan w:val="3"/>
            <w:tcBorders>
              <w:top w:val="single" w:sz="4" w:space="0" w:color="auto"/>
              <w:left w:val="single" w:sz="4" w:space="0" w:color="auto"/>
              <w:bottom w:val="single" w:sz="4" w:space="0" w:color="auto"/>
              <w:right w:val="single" w:sz="4" w:space="0" w:color="auto"/>
            </w:tcBorders>
            <w:shd w:val="clear" w:color="auto" w:fill="B3B3B3"/>
            <w:vAlign w:val="bottom"/>
          </w:tcPr>
          <w:p w14:paraId="3C5C5822" w14:textId="77777777" w:rsidR="00AF76D5" w:rsidRPr="00B562A7" w:rsidRDefault="00AF76D5" w:rsidP="009C7C13">
            <w:pPr>
              <w:pStyle w:val="TableText"/>
              <w:rPr>
                <w:b/>
              </w:rPr>
            </w:pPr>
            <w:r>
              <w:rPr>
                <w:b/>
              </w:rPr>
              <w:t>HCPCS</w:t>
            </w:r>
          </w:p>
        </w:tc>
        <w:tc>
          <w:tcPr>
            <w:tcW w:w="5678" w:type="dxa"/>
            <w:gridSpan w:val="4"/>
            <w:tcBorders>
              <w:top w:val="single" w:sz="4" w:space="0" w:color="auto"/>
              <w:left w:val="single" w:sz="4" w:space="0" w:color="auto"/>
              <w:bottom w:val="single" w:sz="4" w:space="0" w:color="auto"/>
              <w:right w:val="single" w:sz="4" w:space="0" w:color="auto"/>
            </w:tcBorders>
            <w:shd w:val="clear" w:color="auto" w:fill="B3B3B3"/>
            <w:vAlign w:val="bottom"/>
          </w:tcPr>
          <w:p w14:paraId="3DADD489" w14:textId="77777777" w:rsidR="00AF76D5" w:rsidRPr="00B562A7" w:rsidRDefault="00AF76D5" w:rsidP="009E1D3B">
            <w:pPr>
              <w:pStyle w:val="TableText"/>
              <w:jc w:val="center"/>
              <w:rPr>
                <w:b/>
              </w:rPr>
            </w:pPr>
            <w:r>
              <w:rPr>
                <w:b/>
              </w:rPr>
              <w:t>Product Shippers</w:t>
            </w:r>
          </w:p>
        </w:tc>
      </w:tr>
      <w:tr w:rsidR="00AF76D5" w:rsidRPr="00B562A7" w14:paraId="26541F76" w14:textId="77777777">
        <w:trPr>
          <w:tblHeader/>
        </w:trPr>
        <w:tc>
          <w:tcPr>
            <w:tcW w:w="1224" w:type="dxa"/>
            <w:shd w:val="clear" w:color="auto" w:fill="B3B3B3"/>
            <w:vAlign w:val="bottom"/>
          </w:tcPr>
          <w:p w14:paraId="5B590FF2" w14:textId="77777777" w:rsidR="002E3C00" w:rsidRPr="00B562A7" w:rsidRDefault="002E3C00" w:rsidP="002E3C00">
            <w:pPr>
              <w:pStyle w:val="TableText"/>
              <w:rPr>
                <w:b/>
              </w:rPr>
            </w:pPr>
            <w:r w:rsidRPr="00B562A7">
              <w:rPr>
                <w:b/>
              </w:rPr>
              <w:t xml:space="preserve">Product </w:t>
            </w:r>
            <w:r w:rsidRPr="00B562A7">
              <w:rPr>
                <w:b/>
              </w:rPr>
              <w:br/>
              <w:t>Code</w:t>
            </w:r>
          </w:p>
        </w:tc>
        <w:tc>
          <w:tcPr>
            <w:tcW w:w="1229" w:type="dxa"/>
            <w:gridSpan w:val="2"/>
            <w:shd w:val="clear" w:color="auto" w:fill="B3B3B3"/>
            <w:vAlign w:val="bottom"/>
          </w:tcPr>
          <w:p w14:paraId="02C58BF6" w14:textId="77777777" w:rsidR="002E3C00" w:rsidRPr="00B562A7" w:rsidRDefault="002E3C00" w:rsidP="002E3C00">
            <w:pPr>
              <w:pStyle w:val="TableText"/>
              <w:rPr>
                <w:b/>
              </w:rPr>
            </w:pPr>
            <w:r w:rsidRPr="00B562A7">
              <w:rPr>
                <w:b/>
              </w:rPr>
              <w:t>Short Product Name</w:t>
            </w:r>
          </w:p>
        </w:tc>
        <w:tc>
          <w:tcPr>
            <w:tcW w:w="1223" w:type="dxa"/>
            <w:shd w:val="clear" w:color="auto" w:fill="B3B3B3"/>
            <w:vAlign w:val="bottom"/>
          </w:tcPr>
          <w:p w14:paraId="6F97160F" w14:textId="77777777" w:rsidR="002E3C00" w:rsidRPr="00B562A7" w:rsidRDefault="00AF76D5" w:rsidP="002E3C00">
            <w:pPr>
              <w:pStyle w:val="TableText"/>
              <w:rPr>
                <w:b/>
              </w:rPr>
            </w:pPr>
            <w:r>
              <w:rPr>
                <w:b/>
              </w:rPr>
              <w:t>HCPCS C</w:t>
            </w:r>
            <w:r w:rsidR="002E3C00" w:rsidRPr="00B562A7">
              <w:rPr>
                <w:b/>
              </w:rPr>
              <w:t>ode</w:t>
            </w:r>
          </w:p>
        </w:tc>
        <w:tc>
          <w:tcPr>
            <w:tcW w:w="2014" w:type="dxa"/>
            <w:gridSpan w:val="2"/>
            <w:shd w:val="clear" w:color="auto" w:fill="B3B3B3"/>
            <w:vAlign w:val="bottom"/>
          </w:tcPr>
          <w:p w14:paraId="12363869" w14:textId="77777777" w:rsidR="002E3C00" w:rsidRPr="00B562A7" w:rsidRDefault="002E3C00" w:rsidP="002E3C00">
            <w:pPr>
              <w:pStyle w:val="TableText"/>
              <w:rPr>
                <w:b/>
              </w:rPr>
            </w:pPr>
            <w:r w:rsidRPr="00B562A7">
              <w:rPr>
                <w:b/>
              </w:rPr>
              <w:t>Shipper</w:t>
            </w:r>
            <w:r>
              <w:rPr>
                <w:b/>
              </w:rPr>
              <w:t xml:space="preserve"> Name</w:t>
            </w:r>
          </w:p>
        </w:tc>
        <w:tc>
          <w:tcPr>
            <w:tcW w:w="1224" w:type="dxa"/>
            <w:shd w:val="clear" w:color="auto" w:fill="B3B3B3"/>
            <w:vAlign w:val="bottom"/>
          </w:tcPr>
          <w:p w14:paraId="451EE165" w14:textId="77777777" w:rsidR="002E3C00" w:rsidRPr="00B562A7" w:rsidRDefault="002E3C00" w:rsidP="002E3C00">
            <w:pPr>
              <w:pStyle w:val="TableText"/>
              <w:rPr>
                <w:b/>
              </w:rPr>
            </w:pPr>
            <w:r w:rsidRPr="00B562A7">
              <w:rPr>
                <w:b/>
              </w:rPr>
              <w:t xml:space="preserve">FDA </w:t>
            </w:r>
            <w:r w:rsidR="00D54264">
              <w:rPr>
                <w:b/>
              </w:rPr>
              <w:t>Reg. #</w:t>
            </w:r>
          </w:p>
        </w:tc>
        <w:tc>
          <w:tcPr>
            <w:tcW w:w="1223" w:type="dxa"/>
            <w:shd w:val="clear" w:color="auto" w:fill="B3B3B3"/>
            <w:vAlign w:val="bottom"/>
          </w:tcPr>
          <w:p w14:paraId="4CB9C3F2" w14:textId="77777777" w:rsidR="002E3C00" w:rsidRPr="00B562A7" w:rsidRDefault="002E3C00" w:rsidP="002E3C00">
            <w:pPr>
              <w:pStyle w:val="TableText"/>
              <w:rPr>
                <w:b/>
              </w:rPr>
            </w:pPr>
            <w:r w:rsidRPr="00B562A7">
              <w:rPr>
                <w:b/>
              </w:rPr>
              <w:t xml:space="preserve">Cost </w:t>
            </w:r>
            <w:r>
              <w:rPr>
                <w:b/>
              </w:rPr>
              <w:t>($)</w:t>
            </w:r>
          </w:p>
        </w:tc>
        <w:tc>
          <w:tcPr>
            <w:tcW w:w="1223" w:type="dxa"/>
            <w:shd w:val="clear" w:color="auto" w:fill="B3B3B3"/>
            <w:vAlign w:val="bottom"/>
          </w:tcPr>
          <w:p w14:paraId="0D9EF61B" w14:textId="77777777" w:rsidR="002E3C00" w:rsidRPr="00B562A7" w:rsidRDefault="002E3C00" w:rsidP="002E3C00">
            <w:pPr>
              <w:pStyle w:val="TableText"/>
              <w:rPr>
                <w:b/>
              </w:rPr>
            </w:pPr>
            <w:r w:rsidRPr="00B562A7">
              <w:rPr>
                <w:b/>
              </w:rPr>
              <w:t xml:space="preserve">Return </w:t>
            </w:r>
            <w:r>
              <w:rPr>
                <w:b/>
              </w:rPr>
              <w:t>Credit %</w:t>
            </w:r>
          </w:p>
        </w:tc>
      </w:tr>
      <w:tr w:rsidR="00AF76D5" w14:paraId="498DCF79" w14:textId="77777777">
        <w:tc>
          <w:tcPr>
            <w:tcW w:w="1224" w:type="dxa"/>
          </w:tcPr>
          <w:p w14:paraId="0447A772" w14:textId="77777777" w:rsidR="002E3C00" w:rsidRDefault="002E3C00" w:rsidP="002E3C00">
            <w:pPr>
              <w:pStyle w:val="TableText"/>
            </w:pPr>
            <w:r>
              <w:t>04020</w:t>
            </w:r>
          </w:p>
        </w:tc>
        <w:tc>
          <w:tcPr>
            <w:tcW w:w="1229" w:type="dxa"/>
            <w:gridSpan w:val="2"/>
          </w:tcPr>
          <w:p w14:paraId="4BEF6F05" w14:textId="77777777" w:rsidR="002E3C00" w:rsidRDefault="002E3C00" w:rsidP="002E3C00">
            <w:pPr>
              <w:pStyle w:val="TableText"/>
            </w:pPr>
            <w:r>
              <w:t>RBC</w:t>
            </w:r>
            <w:r w:rsidR="0017175D">
              <w:t xml:space="preserve"> ACD-A</w:t>
            </w:r>
          </w:p>
        </w:tc>
        <w:tc>
          <w:tcPr>
            <w:tcW w:w="1223" w:type="dxa"/>
          </w:tcPr>
          <w:p w14:paraId="3B82EBE8" w14:textId="77777777" w:rsidR="002E3C00" w:rsidRDefault="00D54264" w:rsidP="002E3C00">
            <w:pPr>
              <w:pStyle w:val="TableText"/>
            </w:pPr>
            <w:r>
              <w:t>P2028</w:t>
            </w:r>
          </w:p>
        </w:tc>
        <w:tc>
          <w:tcPr>
            <w:tcW w:w="2014" w:type="dxa"/>
            <w:gridSpan w:val="2"/>
          </w:tcPr>
          <w:p w14:paraId="28A0FC00" w14:textId="77777777" w:rsidR="002E3C00" w:rsidRDefault="00D54264" w:rsidP="002E3C00">
            <w:pPr>
              <w:pStyle w:val="TableText"/>
            </w:pPr>
            <w:r>
              <w:t>Abington Memorial Hospital</w:t>
            </w:r>
          </w:p>
        </w:tc>
        <w:tc>
          <w:tcPr>
            <w:tcW w:w="1224" w:type="dxa"/>
          </w:tcPr>
          <w:p w14:paraId="42F041E0" w14:textId="77777777" w:rsidR="002E3C00" w:rsidRDefault="00D54264" w:rsidP="002E3C00">
            <w:pPr>
              <w:pStyle w:val="TableText"/>
            </w:pPr>
            <w:r>
              <w:t>2577690</w:t>
            </w:r>
          </w:p>
        </w:tc>
        <w:tc>
          <w:tcPr>
            <w:tcW w:w="1223" w:type="dxa"/>
          </w:tcPr>
          <w:p w14:paraId="161BF8DB" w14:textId="77777777" w:rsidR="002E3C00" w:rsidRDefault="002E3C00" w:rsidP="002E3C00">
            <w:pPr>
              <w:pStyle w:val="TableText"/>
            </w:pPr>
            <w:r>
              <w:t>$150.00</w:t>
            </w:r>
          </w:p>
        </w:tc>
        <w:tc>
          <w:tcPr>
            <w:tcW w:w="1223" w:type="dxa"/>
          </w:tcPr>
          <w:p w14:paraId="4A26B22A" w14:textId="77777777" w:rsidR="002E3C00" w:rsidRDefault="002E3C00" w:rsidP="002E3C00">
            <w:pPr>
              <w:pStyle w:val="TableText"/>
            </w:pPr>
            <w:r>
              <w:t>0</w:t>
            </w:r>
          </w:p>
        </w:tc>
      </w:tr>
    </w:tbl>
    <w:p w14:paraId="605D231B" w14:textId="3BE9F3F7" w:rsidR="00B24B8C" w:rsidRDefault="00B24B8C" w:rsidP="00B24B8C">
      <w:pPr>
        <w:pStyle w:val="Caption"/>
      </w:pPr>
      <w:bookmarkStart w:id="849" w:name="_Toc85895789"/>
      <w:bookmarkStart w:id="850" w:name="_Toc113264247"/>
      <w:bookmarkStart w:id="851" w:name="_Toc114462102"/>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30</w:t>
      </w:r>
      <w:r w:rsidR="004E20BD">
        <w:rPr>
          <w:noProof/>
        </w:rPr>
        <w:fldChar w:fldCharType="end"/>
      </w:r>
      <w:r>
        <w:t>: Blood Products Worksheet</w:t>
      </w:r>
      <w:r>
        <w:fldChar w:fldCharType="begin"/>
      </w:r>
      <w:r>
        <w:instrText xml:space="preserve"> XE "Tables:</w:instrText>
      </w:r>
      <w:r w:rsidRPr="0046419F">
        <w:instrText>Blood Products Worksheet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4"/>
        <w:gridCol w:w="1222"/>
        <w:gridCol w:w="7"/>
        <w:gridCol w:w="1223"/>
        <w:gridCol w:w="6"/>
        <w:gridCol w:w="2008"/>
        <w:gridCol w:w="1224"/>
        <w:gridCol w:w="1223"/>
        <w:gridCol w:w="1223"/>
      </w:tblGrid>
      <w:tr w:rsidR="00B24B8C" w:rsidRPr="00B562A7" w14:paraId="1FBB39A1" w14:textId="77777777">
        <w:trPr>
          <w:tblHeader/>
        </w:trPr>
        <w:tc>
          <w:tcPr>
            <w:tcW w:w="2446" w:type="dxa"/>
            <w:gridSpan w:val="2"/>
            <w:tcBorders>
              <w:top w:val="single" w:sz="4" w:space="0" w:color="auto"/>
              <w:left w:val="single" w:sz="4" w:space="0" w:color="auto"/>
              <w:bottom w:val="single" w:sz="4" w:space="0" w:color="auto"/>
              <w:right w:val="single" w:sz="4" w:space="0" w:color="auto"/>
            </w:tcBorders>
            <w:shd w:val="clear" w:color="auto" w:fill="B3B3B3"/>
          </w:tcPr>
          <w:p w14:paraId="7018ADF4" w14:textId="77777777" w:rsidR="00B24B8C" w:rsidRPr="00B562A7" w:rsidRDefault="00B24B8C" w:rsidP="009E1D3B">
            <w:pPr>
              <w:pStyle w:val="TableText"/>
              <w:jc w:val="center"/>
              <w:rPr>
                <w:b/>
              </w:rPr>
            </w:pPr>
            <w:r>
              <w:rPr>
                <w:b/>
              </w:rPr>
              <w:t>Blood Product</w:t>
            </w:r>
          </w:p>
        </w:tc>
        <w:tc>
          <w:tcPr>
            <w:tcW w:w="1236" w:type="dxa"/>
            <w:gridSpan w:val="3"/>
            <w:tcBorders>
              <w:top w:val="single" w:sz="4" w:space="0" w:color="auto"/>
              <w:left w:val="single" w:sz="4" w:space="0" w:color="auto"/>
              <w:bottom w:val="single" w:sz="4" w:space="0" w:color="auto"/>
              <w:right w:val="single" w:sz="4" w:space="0" w:color="auto"/>
            </w:tcBorders>
            <w:shd w:val="clear" w:color="auto" w:fill="B3B3B3"/>
          </w:tcPr>
          <w:p w14:paraId="7DD66019" w14:textId="77777777" w:rsidR="00B24B8C" w:rsidRPr="00B562A7" w:rsidRDefault="00B24B8C" w:rsidP="009C7C13">
            <w:pPr>
              <w:pStyle w:val="TableText"/>
              <w:rPr>
                <w:b/>
              </w:rPr>
            </w:pPr>
            <w:r>
              <w:rPr>
                <w:b/>
              </w:rPr>
              <w:t>HCPCS</w:t>
            </w:r>
          </w:p>
        </w:tc>
        <w:tc>
          <w:tcPr>
            <w:tcW w:w="5678" w:type="dxa"/>
            <w:gridSpan w:val="4"/>
            <w:tcBorders>
              <w:top w:val="single" w:sz="4" w:space="0" w:color="auto"/>
              <w:left w:val="single" w:sz="4" w:space="0" w:color="auto"/>
              <w:bottom w:val="single" w:sz="4" w:space="0" w:color="auto"/>
              <w:right w:val="single" w:sz="4" w:space="0" w:color="auto"/>
            </w:tcBorders>
            <w:shd w:val="clear" w:color="auto" w:fill="B3B3B3"/>
          </w:tcPr>
          <w:p w14:paraId="2431A608" w14:textId="77777777" w:rsidR="00B24B8C" w:rsidRPr="00B562A7" w:rsidRDefault="00B24B8C" w:rsidP="009E1D3B">
            <w:pPr>
              <w:pStyle w:val="TableText"/>
              <w:jc w:val="center"/>
              <w:rPr>
                <w:b/>
              </w:rPr>
            </w:pPr>
            <w:r>
              <w:rPr>
                <w:b/>
              </w:rPr>
              <w:t>Product Shippers</w:t>
            </w:r>
          </w:p>
        </w:tc>
      </w:tr>
      <w:tr w:rsidR="00B24B8C" w:rsidRPr="00B562A7" w14:paraId="5CD87ECF" w14:textId="77777777">
        <w:trPr>
          <w:tblHeader/>
        </w:trPr>
        <w:tc>
          <w:tcPr>
            <w:tcW w:w="1224" w:type="dxa"/>
            <w:shd w:val="clear" w:color="auto" w:fill="B3B3B3"/>
            <w:vAlign w:val="bottom"/>
          </w:tcPr>
          <w:p w14:paraId="6C9E9C38" w14:textId="77777777" w:rsidR="00B24B8C" w:rsidRPr="00B562A7" w:rsidRDefault="00B24B8C" w:rsidP="001D706D">
            <w:pPr>
              <w:pStyle w:val="TableText"/>
              <w:rPr>
                <w:b/>
              </w:rPr>
            </w:pPr>
            <w:r w:rsidRPr="00B562A7">
              <w:rPr>
                <w:b/>
              </w:rPr>
              <w:t xml:space="preserve">Product </w:t>
            </w:r>
            <w:r w:rsidRPr="00B562A7">
              <w:rPr>
                <w:b/>
              </w:rPr>
              <w:br/>
              <w:t>Code</w:t>
            </w:r>
          </w:p>
        </w:tc>
        <w:tc>
          <w:tcPr>
            <w:tcW w:w="1229" w:type="dxa"/>
            <w:gridSpan w:val="2"/>
            <w:shd w:val="clear" w:color="auto" w:fill="B3B3B3"/>
            <w:vAlign w:val="bottom"/>
          </w:tcPr>
          <w:p w14:paraId="1BDBFC2B" w14:textId="77777777" w:rsidR="00B24B8C" w:rsidRPr="00B562A7" w:rsidRDefault="00B24B8C" w:rsidP="001D706D">
            <w:pPr>
              <w:pStyle w:val="TableText"/>
              <w:rPr>
                <w:b/>
              </w:rPr>
            </w:pPr>
            <w:r w:rsidRPr="00B562A7">
              <w:rPr>
                <w:b/>
              </w:rPr>
              <w:t>Short Product Name</w:t>
            </w:r>
          </w:p>
        </w:tc>
        <w:tc>
          <w:tcPr>
            <w:tcW w:w="1223" w:type="dxa"/>
            <w:shd w:val="clear" w:color="auto" w:fill="B3B3B3"/>
            <w:vAlign w:val="bottom"/>
          </w:tcPr>
          <w:p w14:paraId="6165BFC8" w14:textId="77777777" w:rsidR="00B24B8C" w:rsidRPr="00B562A7" w:rsidRDefault="00B24B8C" w:rsidP="001D706D">
            <w:pPr>
              <w:pStyle w:val="TableText"/>
              <w:rPr>
                <w:b/>
              </w:rPr>
            </w:pPr>
            <w:r>
              <w:rPr>
                <w:b/>
              </w:rPr>
              <w:t>HCPCS C</w:t>
            </w:r>
            <w:r w:rsidRPr="00B562A7">
              <w:rPr>
                <w:b/>
              </w:rPr>
              <w:t>ode</w:t>
            </w:r>
          </w:p>
        </w:tc>
        <w:tc>
          <w:tcPr>
            <w:tcW w:w="2014" w:type="dxa"/>
            <w:gridSpan w:val="2"/>
            <w:shd w:val="clear" w:color="auto" w:fill="B3B3B3"/>
            <w:vAlign w:val="bottom"/>
          </w:tcPr>
          <w:p w14:paraId="177B4469" w14:textId="77777777" w:rsidR="00B24B8C" w:rsidRPr="00B562A7" w:rsidRDefault="00B24B8C" w:rsidP="001D706D">
            <w:pPr>
              <w:pStyle w:val="TableText"/>
              <w:rPr>
                <w:b/>
              </w:rPr>
            </w:pPr>
            <w:r w:rsidRPr="00B562A7">
              <w:rPr>
                <w:b/>
              </w:rPr>
              <w:t>Shipper</w:t>
            </w:r>
            <w:r>
              <w:rPr>
                <w:b/>
              </w:rPr>
              <w:t xml:space="preserve"> Name</w:t>
            </w:r>
          </w:p>
        </w:tc>
        <w:tc>
          <w:tcPr>
            <w:tcW w:w="1224" w:type="dxa"/>
            <w:shd w:val="clear" w:color="auto" w:fill="B3B3B3"/>
            <w:vAlign w:val="bottom"/>
          </w:tcPr>
          <w:p w14:paraId="6EFC2112" w14:textId="77777777" w:rsidR="00B24B8C" w:rsidRPr="00B562A7" w:rsidRDefault="00B24B8C" w:rsidP="001D706D">
            <w:pPr>
              <w:pStyle w:val="TableText"/>
              <w:rPr>
                <w:b/>
              </w:rPr>
            </w:pPr>
            <w:r w:rsidRPr="00B562A7">
              <w:rPr>
                <w:b/>
              </w:rPr>
              <w:t xml:space="preserve">FDA </w:t>
            </w:r>
            <w:r>
              <w:rPr>
                <w:b/>
              </w:rPr>
              <w:t>Reg. #</w:t>
            </w:r>
          </w:p>
        </w:tc>
        <w:tc>
          <w:tcPr>
            <w:tcW w:w="1223" w:type="dxa"/>
            <w:shd w:val="clear" w:color="auto" w:fill="B3B3B3"/>
            <w:vAlign w:val="bottom"/>
          </w:tcPr>
          <w:p w14:paraId="598DA0D4" w14:textId="77777777" w:rsidR="00B24B8C" w:rsidRPr="00B562A7" w:rsidRDefault="00B24B8C" w:rsidP="001D706D">
            <w:pPr>
              <w:pStyle w:val="TableText"/>
              <w:rPr>
                <w:b/>
              </w:rPr>
            </w:pPr>
            <w:r w:rsidRPr="00B562A7">
              <w:rPr>
                <w:b/>
              </w:rPr>
              <w:t xml:space="preserve">Cost </w:t>
            </w:r>
            <w:r>
              <w:rPr>
                <w:b/>
              </w:rPr>
              <w:t>($)</w:t>
            </w:r>
          </w:p>
        </w:tc>
        <w:tc>
          <w:tcPr>
            <w:tcW w:w="1223" w:type="dxa"/>
            <w:shd w:val="clear" w:color="auto" w:fill="B3B3B3"/>
            <w:vAlign w:val="bottom"/>
          </w:tcPr>
          <w:p w14:paraId="295FD76F" w14:textId="77777777" w:rsidR="00B24B8C" w:rsidRPr="00B562A7" w:rsidRDefault="00B24B8C" w:rsidP="001D706D">
            <w:pPr>
              <w:pStyle w:val="TableText"/>
              <w:rPr>
                <w:b/>
              </w:rPr>
            </w:pPr>
            <w:r w:rsidRPr="00B562A7">
              <w:rPr>
                <w:b/>
              </w:rPr>
              <w:t xml:space="preserve">Return </w:t>
            </w:r>
            <w:r>
              <w:rPr>
                <w:b/>
              </w:rPr>
              <w:t>Credit %</w:t>
            </w:r>
          </w:p>
        </w:tc>
      </w:tr>
      <w:tr w:rsidR="00B24B8C" w14:paraId="4777899E" w14:textId="77777777">
        <w:tc>
          <w:tcPr>
            <w:tcW w:w="1224" w:type="dxa"/>
          </w:tcPr>
          <w:p w14:paraId="7885C1F5" w14:textId="77777777" w:rsidR="00B24B8C" w:rsidRDefault="00B24B8C" w:rsidP="001D706D">
            <w:pPr>
              <w:pStyle w:val="TableText"/>
            </w:pPr>
          </w:p>
        </w:tc>
        <w:tc>
          <w:tcPr>
            <w:tcW w:w="1229" w:type="dxa"/>
            <w:gridSpan w:val="2"/>
          </w:tcPr>
          <w:p w14:paraId="3E6ED063" w14:textId="77777777" w:rsidR="00B24B8C" w:rsidRDefault="00B24B8C" w:rsidP="001D706D">
            <w:pPr>
              <w:pStyle w:val="TableText"/>
            </w:pPr>
          </w:p>
        </w:tc>
        <w:tc>
          <w:tcPr>
            <w:tcW w:w="1223" w:type="dxa"/>
          </w:tcPr>
          <w:p w14:paraId="3C3D2D86" w14:textId="77777777" w:rsidR="00B24B8C" w:rsidRDefault="00B24B8C" w:rsidP="001D706D">
            <w:pPr>
              <w:pStyle w:val="TableText"/>
            </w:pPr>
          </w:p>
        </w:tc>
        <w:tc>
          <w:tcPr>
            <w:tcW w:w="2014" w:type="dxa"/>
            <w:gridSpan w:val="2"/>
          </w:tcPr>
          <w:p w14:paraId="12083311" w14:textId="77777777" w:rsidR="00B24B8C" w:rsidRDefault="00B24B8C" w:rsidP="001D706D">
            <w:pPr>
              <w:pStyle w:val="TableText"/>
            </w:pPr>
          </w:p>
        </w:tc>
        <w:tc>
          <w:tcPr>
            <w:tcW w:w="1224" w:type="dxa"/>
          </w:tcPr>
          <w:p w14:paraId="5F9BCE4B" w14:textId="77777777" w:rsidR="00B24B8C" w:rsidRDefault="00B24B8C" w:rsidP="001D706D">
            <w:pPr>
              <w:pStyle w:val="TableText"/>
            </w:pPr>
          </w:p>
        </w:tc>
        <w:tc>
          <w:tcPr>
            <w:tcW w:w="1223" w:type="dxa"/>
          </w:tcPr>
          <w:p w14:paraId="7745F925" w14:textId="77777777" w:rsidR="00B24B8C" w:rsidRDefault="00B24B8C" w:rsidP="001D706D">
            <w:pPr>
              <w:pStyle w:val="TableText"/>
            </w:pPr>
          </w:p>
        </w:tc>
        <w:tc>
          <w:tcPr>
            <w:tcW w:w="1223" w:type="dxa"/>
          </w:tcPr>
          <w:p w14:paraId="527401D7" w14:textId="77777777" w:rsidR="00B24B8C" w:rsidRDefault="00B24B8C" w:rsidP="001D706D">
            <w:pPr>
              <w:pStyle w:val="TableText"/>
            </w:pPr>
          </w:p>
        </w:tc>
      </w:tr>
      <w:tr w:rsidR="00B24B8C" w14:paraId="67154AA5" w14:textId="77777777">
        <w:tc>
          <w:tcPr>
            <w:tcW w:w="1224" w:type="dxa"/>
          </w:tcPr>
          <w:p w14:paraId="4FE75D8C" w14:textId="77777777" w:rsidR="00B24B8C" w:rsidRDefault="00B24B8C" w:rsidP="001D706D">
            <w:pPr>
              <w:pStyle w:val="TableText"/>
            </w:pPr>
          </w:p>
        </w:tc>
        <w:tc>
          <w:tcPr>
            <w:tcW w:w="1229" w:type="dxa"/>
            <w:gridSpan w:val="2"/>
          </w:tcPr>
          <w:p w14:paraId="79FC93F4" w14:textId="77777777" w:rsidR="00B24B8C" w:rsidRDefault="00B24B8C" w:rsidP="001D706D">
            <w:pPr>
              <w:pStyle w:val="TableText"/>
            </w:pPr>
          </w:p>
        </w:tc>
        <w:tc>
          <w:tcPr>
            <w:tcW w:w="1223" w:type="dxa"/>
          </w:tcPr>
          <w:p w14:paraId="69C4FE82" w14:textId="77777777" w:rsidR="00B24B8C" w:rsidRDefault="00B24B8C" w:rsidP="001D706D">
            <w:pPr>
              <w:pStyle w:val="TableText"/>
            </w:pPr>
          </w:p>
        </w:tc>
        <w:tc>
          <w:tcPr>
            <w:tcW w:w="2014" w:type="dxa"/>
            <w:gridSpan w:val="2"/>
          </w:tcPr>
          <w:p w14:paraId="4564BFA1" w14:textId="77777777" w:rsidR="00B24B8C" w:rsidRDefault="00B24B8C" w:rsidP="001D706D">
            <w:pPr>
              <w:pStyle w:val="TableText"/>
            </w:pPr>
          </w:p>
        </w:tc>
        <w:tc>
          <w:tcPr>
            <w:tcW w:w="1224" w:type="dxa"/>
          </w:tcPr>
          <w:p w14:paraId="45186DBD" w14:textId="77777777" w:rsidR="00B24B8C" w:rsidRDefault="00B24B8C" w:rsidP="001D706D">
            <w:pPr>
              <w:pStyle w:val="TableText"/>
            </w:pPr>
          </w:p>
        </w:tc>
        <w:tc>
          <w:tcPr>
            <w:tcW w:w="1223" w:type="dxa"/>
          </w:tcPr>
          <w:p w14:paraId="5536B4DD" w14:textId="77777777" w:rsidR="00B24B8C" w:rsidRDefault="00B24B8C" w:rsidP="001D706D">
            <w:pPr>
              <w:pStyle w:val="TableText"/>
            </w:pPr>
          </w:p>
        </w:tc>
        <w:tc>
          <w:tcPr>
            <w:tcW w:w="1223" w:type="dxa"/>
          </w:tcPr>
          <w:p w14:paraId="2EC56DE2" w14:textId="77777777" w:rsidR="00B24B8C" w:rsidRDefault="00B24B8C" w:rsidP="001D706D">
            <w:pPr>
              <w:pStyle w:val="TableText"/>
            </w:pPr>
          </w:p>
        </w:tc>
      </w:tr>
      <w:tr w:rsidR="00B24B8C" w14:paraId="1657ED2E" w14:textId="77777777">
        <w:tc>
          <w:tcPr>
            <w:tcW w:w="1224" w:type="dxa"/>
          </w:tcPr>
          <w:p w14:paraId="36DD8A16" w14:textId="77777777" w:rsidR="00B24B8C" w:rsidRDefault="00B24B8C" w:rsidP="001D706D">
            <w:pPr>
              <w:pStyle w:val="TableText"/>
            </w:pPr>
          </w:p>
        </w:tc>
        <w:tc>
          <w:tcPr>
            <w:tcW w:w="1229" w:type="dxa"/>
            <w:gridSpan w:val="2"/>
          </w:tcPr>
          <w:p w14:paraId="6C074847" w14:textId="77777777" w:rsidR="00B24B8C" w:rsidRDefault="00B24B8C" w:rsidP="001D706D">
            <w:pPr>
              <w:pStyle w:val="TableText"/>
            </w:pPr>
          </w:p>
        </w:tc>
        <w:tc>
          <w:tcPr>
            <w:tcW w:w="1223" w:type="dxa"/>
          </w:tcPr>
          <w:p w14:paraId="6E6CC746" w14:textId="77777777" w:rsidR="00B24B8C" w:rsidRDefault="00B24B8C" w:rsidP="001D706D">
            <w:pPr>
              <w:pStyle w:val="TableText"/>
            </w:pPr>
          </w:p>
        </w:tc>
        <w:tc>
          <w:tcPr>
            <w:tcW w:w="2014" w:type="dxa"/>
            <w:gridSpan w:val="2"/>
          </w:tcPr>
          <w:p w14:paraId="5E25AF74" w14:textId="77777777" w:rsidR="00B24B8C" w:rsidRDefault="00B24B8C" w:rsidP="001D706D">
            <w:pPr>
              <w:pStyle w:val="TableText"/>
            </w:pPr>
          </w:p>
        </w:tc>
        <w:tc>
          <w:tcPr>
            <w:tcW w:w="1224" w:type="dxa"/>
          </w:tcPr>
          <w:p w14:paraId="66C8EC0D" w14:textId="77777777" w:rsidR="00B24B8C" w:rsidRDefault="00B24B8C" w:rsidP="001D706D">
            <w:pPr>
              <w:pStyle w:val="TableText"/>
            </w:pPr>
          </w:p>
        </w:tc>
        <w:tc>
          <w:tcPr>
            <w:tcW w:w="1223" w:type="dxa"/>
          </w:tcPr>
          <w:p w14:paraId="451492AD" w14:textId="77777777" w:rsidR="00B24B8C" w:rsidRDefault="00B24B8C" w:rsidP="001D706D">
            <w:pPr>
              <w:pStyle w:val="TableText"/>
            </w:pPr>
          </w:p>
        </w:tc>
        <w:tc>
          <w:tcPr>
            <w:tcW w:w="1223" w:type="dxa"/>
          </w:tcPr>
          <w:p w14:paraId="414BDC87" w14:textId="77777777" w:rsidR="00B24B8C" w:rsidRDefault="00B24B8C" w:rsidP="001D706D">
            <w:pPr>
              <w:pStyle w:val="TableText"/>
            </w:pPr>
          </w:p>
        </w:tc>
      </w:tr>
      <w:tr w:rsidR="00B24B8C" w14:paraId="6143EDCD" w14:textId="77777777">
        <w:tc>
          <w:tcPr>
            <w:tcW w:w="1224" w:type="dxa"/>
          </w:tcPr>
          <w:p w14:paraId="4632B1C9" w14:textId="77777777" w:rsidR="00B24B8C" w:rsidRDefault="00B24B8C" w:rsidP="001D706D">
            <w:pPr>
              <w:pStyle w:val="TableText"/>
            </w:pPr>
          </w:p>
        </w:tc>
        <w:tc>
          <w:tcPr>
            <w:tcW w:w="1229" w:type="dxa"/>
            <w:gridSpan w:val="2"/>
          </w:tcPr>
          <w:p w14:paraId="21DB4F14" w14:textId="77777777" w:rsidR="00B24B8C" w:rsidRDefault="00B24B8C" w:rsidP="001D706D">
            <w:pPr>
              <w:pStyle w:val="TableText"/>
            </w:pPr>
          </w:p>
        </w:tc>
        <w:tc>
          <w:tcPr>
            <w:tcW w:w="1223" w:type="dxa"/>
          </w:tcPr>
          <w:p w14:paraId="75756AAF" w14:textId="77777777" w:rsidR="00B24B8C" w:rsidRDefault="00B24B8C" w:rsidP="001D706D">
            <w:pPr>
              <w:pStyle w:val="TableText"/>
            </w:pPr>
          </w:p>
        </w:tc>
        <w:tc>
          <w:tcPr>
            <w:tcW w:w="2014" w:type="dxa"/>
            <w:gridSpan w:val="2"/>
          </w:tcPr>
          <w:p w14:paraId="348AB329" w14:textId="77777777" w:rsidR="00B24B8C" w:rsidRDefault="00B24B8C" w:rsidP="001D706D">
            <w:pPr>
              <w:pStyle w:val="TableText"/>
            </w:pPr>
          </w:p>
        </w:tc>
        <w:tc>
          <w:tcPr>
            <w:tcW w:w="1224" w:type="dxa"/>
          </w:tcPr>
          <w:p w14:paraId="480801D6" w14:textId="77777777" w:rsidR="00B24B8C" w:rsidRDefault="00B24B8C" w:rsidP="001D706D">
            <w:pPr>
              <w:pStyle w:val="TableText"/>
            </w:pPr>
          </w:p>
        </w:tc>
        <w:tc>
          <w:tcPr>
            <w:tcW w:w="1223" w:type="dxa"/>
          </w:tcPr>
          <w:p w14:paraId="763B55B1" w14:textId="77777777" w:rsidR="00B24B8C" w:rsidRDefault="00B24B8C" w:rsidP="001D706D">
            <w:pPr>
              <w:pStyle w:val="TableText"/>
            </w:pPr>
          </w:p>
        </w:tc>
        <w:tc>
          <w:tcPr>
            <w:tcW w:w="1223" w:type="dxa"/>
          </w:tcPr>
          <w:p w14:paraId="5D53572B" w14:textId="77777777" w:rsidR="00B24B8C" w:rsidRDefault="00B24B8C" w:rsidP="001D706D">
            <w:pPr>
              <w:pStyle w:val="TableText"/>
            </w:pPr>
          </w:p>
        </w:tc>
      </w:tr>
      <w:tr w:rsidR="00B24B8C" w14:paraId="20C83CD3" w14:textId="77777777">
        <w:tc>
          <w:tcPr>
            <w:tcW w:w="1224" w:type="dxa"/>
          </w:tcPr>
          <w:p w14:paraId="0606C1DE" w14:textId="77777777" w:rsidR="00B24B8C" w:rsidRDefault="00B24B8C" w:rsidP="001D706D">
            <w:pPr>
              <w:pStyle w:val="TableText"/>
            </w:pPr>
          </w:p>
        </w:tc>
        <w:tc>
          <w:tcPr>
            <w:tcW w:w="1229" w:type="dxa"/>
            <w:gridSpan w:val="2"/>
          </w:tcPr>
          <w:p w14:paraId="4C4826CF" w14:textId="77777777" w:rsidR="00B24B8C" w:rsidRDefault="00B24B8C" w:rsidP="001D706D">
            <w:pPr>
              <w:pStyle w:val="TableText"/>
            </w:pPr>
          </w:p>
        </w:tc>
        <w:tc>
          <w:tcPr>
            <w:tcW w:w="1223" w:type="dxa"/>
          </w:tcPr>
          <w:p w14:paraId="07059FC8" w14:textId="77777777" w:rsidR="00B24B8C" w:rsidRDefault="00B24B8C" w:rsidP="001D706D">
            <w:pPr>
              <w:pStyle w:val="TableText"/>
            </w:pPr>
          </w:p>
        </w:tc>
        <w:tc>
          <w:tcPr>
            <w:tcW w:w="2014" w:type="dxa"/>
            <w:gridSpan w:val="2"/>
          </w:tcPr>
          <w:p w14:paraId="7DCF6131" w14:textId="77777777" w:rsidR="00B24B8C" w:rsidRDefault="00B24B8C" w:rsidP="001D706D">
            <w:pPr>
              <w:pStyle w:val="TableText"/>
            </w:pPr>
          </w:p>
        </w:tc>
        <w:tc>
          <w:tcPr>
            <w:tcW w:w="1224" w:type="dxa"/>
          </w:tcPr>
          <w:p w14:paraId="17D09515" w14:textId="77777777" w:rsidR="00B24B8C" w:rsidRDefault="00B24B8C" w:rsidP="001D706D">
            <w:pPr>
              <w:pStyle w:val="TableText"/>
            </w:pPr>
          </w:p>
        </w:tc>
        <w:tc>
          <w:tcPr>
            <w:tcW w:w="1223" w:type="dxa"/>
          </w:tcPr>
          <w:p w14:paraId="37F3F8E8" w14:textId="77777777" w:rsidR="00B24B8C" w:rsidRDefault="00B24B8C" w:rsidP="001D706D">
            <w:pPr>
              <w:pStyle w:val="TableText"/>
            </w:pPr>
          </w:p>
        </w:tc>
        <w:tc>
          <w:tcPr>
            <w:tcW w:w="1223" w:type="dxa"/>
          </w:tcPr>
          <w:p w14:paraId="25A0B18D" w14:textId="77777777" w:rsidR="00B24B8C" w:rsidRDefault="00B24B8C" w:rsidP="001D706D">
            <w:pPr>
              <w:pStyle w:val="TableText"/>
            </w:pPr>
          </w:p>
        </w:tc>
      </w:tr>
      <w:tr w:rsidR="00B24B8C" w14:paraId="3FEEF0D0" w14:textId="77777777">
        <w:tc>
          <w:tcPr>
            <w:tcW w:w="1224" w:type="dxa"/>
          </w:tcPr>
          <w:p w14:paraId="3CD232E2" w14:textId="77777777" w:rsidR="00B24B8C" w:rsidRDefault="00B24B8C" w:rsidP="001D706D">
            <w:pPr>
              <w:pStyle w:val="TableText"/>
            </w:pPr>
          </w:p>
        </w:tc>
        <w:tc>
          <w:tcPr>
            <w:tcW w:w="1229" w:type="dxa"/>
            <w:gridSpan w:val="2"/>
          </w:tcPr>
          <w:p w14:paraId="66F6E5D6" w14:textId="77777777" w:rsidR="00B24B8C" w:rsidRDefault="00B24B8C" w:rsidP="001D706D">
            <w:pPr>
              <w:pStyle w:val="TableText"/>
            </w:pPr>
          </w:p>
        </w:tc>
        <w:tc>
          <w:tcPr>
            <w:tcW w:w="1223" w:type="dxa"/>
          </w:tcPr>
          <w:p w14:paraId="28DC2580" w14:textId="77777777" w:rsidR="00B24B8C" w:rsidRDefault="00B24B8C" w:rsidP="001D706D">
            <w:pPr>
              <w:pStyle w:val="TableText"/>
            </w:pPr>
          </w:p>
        </w:tc>
        <w:tc>
          <w:tcPr>
            <w:tcW w:w="2014" w:type="dxa"/>
            <w:gridSpan w:val="2"/>
          </w:tcPr>
          <w:p w14:paraId="2097626A" w14:textId="77777777" w:rsidR="00B24B8C" w:rsidRDefault="00B24B8C" w:rsidP="001D706D">
            <w:pPr>
              <w:pStyle w:val="TableText"/>
            </w:pPr>
          </w:p>
        </w:tc>
        <w:tc>
          <w:tcPr>
            <w:tcW w:w="1224" w:type="dxa"/>
          </w:tcPr>
          <w:p w14:paraId="6AA737D9" w14:textId="77777777" w:rsidR="00B24B8C" w:rsidRDefault="00B24B8C" w:rsidP="001D706D">
            <w:pPr>
              <w:pStyle w:val="TableText"/>
            </w:pPr>
          </w:p>
        </w:tc>
        <w:tc>
          <w:tcPr>
            <w:tcW w:w="1223" w:type="dxa"/>
          </w:tcPr>
          <w:p w14:paraId="2C167AA4" w14:textId="77777777" w:rsidR="00B24B8C" w:rsidRDefault="00B24B8C" w:rsidP="001D706D">
            <w:pPr>
              <w:pStyle w:val="TableText"/>
            </w:pPr>
          </w:p>
        </w:tc>
        <w:tc>
          <w:tcPr>
            <w:tcW w:w="1223" w:type="dxa"/>
          </w:tcPr>
          <w:p w14:paraId="756BB440" w14:textId="77777777" w:rsidR="00B24B8C" w:rsidRDefault="00B24B8C" w:rsidP="001D706D">
            <w:pPr>
              <w:pStyle w:val="TableText"/>
            </w:pPr>
          </w:p>
        </w:tc>
      </w:tr>
      <w:tr w:rsidR="00B24B8C" w14:paraId="065CFE03" w14:textId="77777777">
        <w:tc>
          <w:tcPr>
            <w:tcW w:w="1224" w:type="dxa"/>
          </w:tcPr>
          <w:p w14:paraId="4C993540" w14:textId="77777777" w:rsidR="00B24B8C" w:rsidRDefault="00B24B8C" w:rsidP="001D706D">
            <w:pPr>
              <w:pStyle w:val="TableText"/>
            </w:pPr>
          </w:p>
        </w:tc>
        <w:tc>
          <w:tcPr>
            <w:tcW w:w="1229" w:type="dxa"/>
            <w:gridSpan w:val="2"/>
          </w:tcPr>
          <w:p w14:paraId="2C9CC25A" w14:textId="77777777" w:rsidR="00B24B8C" w:rsidRDefault="00B24B8C" w:rsidP="001D706D">
            <w:pPr>
              <w:pStyle w:val="TableText"/>
            </w:pPr>
          </w:p>
        </w:tc>
        <w:tc>
          <w:tcPr>
            <w:tcW w:w="1223" w:type="dxa"/>
          </w:tcPr>
          <w:p w14:paraId="14D8B1F7" w14:textId="77777777" w:rsidR="00B24B8C" w:rsidRDefault="00B24B8C" w:rsidP="001D706D">
            <w:pPr>
              <w:pStyle w:val="TableText"/>
            </w:pPr>
          </w:p>
        </w:tc>
        <w:tc>
          <w:tcPr>
            <w:tcW w:w="2014" w:type="dxa"/>
            <w:gridSpan w:val="2"/>
          </w:tcPr>
          <w:p w14:paraId="58301E35" w14:textId="77777777" w:rsidR="00B24B8C" w:rsidRDefault="00B24B8C" w:rsidP="001D706D">
            <w:pPr>
              <w:pStyle w:val="TableText"/>
            </w:pPr>
          </w:p>
        </w:tc>
        <w:tc>
          <w:tcPr>
            <w:tcW w:w="1224" w:type="dxa"/>
          </w:tcPr>
          <w:p w14:paraId="4903AA0D" w14:textId="77777777" w:rsidR="00B24B8C" w:rsidRDefault="00B24B8C" w:rsidP="001D706D">
            <w:pPr>
              <w:pStyle w:val="TableText"/>
            </w:pPr>
          </w:p>
        </w:tc>
        <w:tc>
          <w:tcPr>
            <w:tcW w:w="1223" w:type="dxa"/>
          </w:tcPr>
          <w:p w14:paraId="2C9F838C" w14:textId="77777777" w:rsidR="00B24B8C" w:rsidRDefault="00B24B8C" w:rsidP="001D706D">
            <w:pPr>
              <w:pStyle w:val="TableText"/>
            </w:pPr>
          </w:p>
        </w:tc>
        <w:tc>
          <w:tcPr>
            <w:tcW w:w="1223" w:type="dxa"/>
          </w:tcPr>
          <w:p w14:paraId="7E866EFE" w14:textId="77777777" w:rsidR="00B24B8C" w:rsidRDefault="00B24B8C" w:rsidP="001D706D">
            <w:pPr>
              <w:pStyle w:val="TableText"/>
            </w:pPr>
          </w:p>
        </w:tc>
      </w:tr>
    </w:tbl>
    <w:p w14:paraId="388976C2" w14:textId="77777777" w:rsidR="007F0132" w:rsidRDefault="007F0132" w:rsidP="002E3C00">
      <w:pPr>
        <w:pStyle w:val="Heading3"/>
      </w:pPr>
    </w:p>
    <w:p w14:paraId="0C9DB6C3" w14:textId="77777777" w:rsidR="002E3C00" w:rsidRDefault="007F0132" w:rsidP="002E3C00">
      <w:pPr>
        <w:pStyle w:val="Heading3"/>
      </w:pPr>
      <w:r>
        <w:br w:type="page"/>
      </w:r>
      <w:bookmarkStart w:id="852" w:name="_Toc47516838"/>
      <w:r w:rsidR="002E3C00">
        <w:lastRenderedPageBreak/>
        <w:t>Local Facilities</w:t>
      </w:r>
      <w:bookmarkEnd w:id="849"/>
      <w:bookmarkEnd w:id="850"/>
      <w:bookmarkEnd w:id="851"/>
      <w:bookmarkEnd w:id="852"/>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Local Facilities</w:instrText>
      </w:r>
      <w:r w:rsidR="00992E88">
        <w:instrText xml:space="preserve">" </w:instrText>
      </w:r>
      <w:r w:rsidR="00992E88">
        <w:fldChar w:fldCharType="end"/>
      </w:r>
    </w:p>
    <w:p w14:paraId="197918DB" w14:textId="5CEEC4F5" w:rsidR="002E3C00" w:rsidRDefault="002E3C00" w:rsidP="002E3C00">
      <w:pPr>
        <w:pStyle w:val="BodyText"/>
      </w:pPr>
      <w:r>
        <w:t>The user customizes collection facility information.</w:t>
      </w:r>
      <w:r w:rsidR="008D2779">
        <w:t xml:space="preserve"> For more information, see </w:t>
      </w:r>
      <w:r w:rsidR="008D2779">
        <w:fldChar w:fldCharType="begin"/>
      </w:r>
      <w:r w:rsidR="008D2779">
        <w:instrText xml:space="preserve"> REF _Ref508960075 \h </w:instrText>
      </w:r>
      <w:r w:rsidR="008D2779">
        <w:fldChar w:fldCharType="separate"/>
      </w:r>
      <w:r w:rsidR="004353ED">
        <w:t xml:space="preserve">Appendix </w:t>
      </w:r>
      <w:r w:rsidR="004353ED">
        <w:rPr>
          <w:noProof/>
        </w:rPr>
        <w:t>G</w:t>
      </w:r>
      <w:r w:rsidR="004353ED">
        <w:t>: Work Process Flowcharts</w:t>
      </w:r>
      <w:r w:rsidR="008D2779">
        <w:fldChar w:fldCharType="end"/>
      </w:r>
      <w:r w:rsidR="008D2779">
        <w:t>.</w:t>
      </w:r>
    </w:p>
    <w:p w14:paraId="55BB3E02" w14:textId="77777777" w:rsidR="002E3C00" w:rsidRDefault="002E3C00" w:rsidP="002E3C00">
      <w:pPr>
        <w:pStyle w:val="Heading4"/>
      </w:pPr>
      <w:r>
        <w:t>User Roles with Access to This Option</w:t>
      </w:r>
    </w:p>
    <w:p w14:paraId="0B46B244" w14:textId="77777777" w:rsidR="002E3C00" w:rsidRDefault="002E3C00" w:rsidP="002E3C00">
      <w:pPr>
        <w:pStyle w:val="Roles"/>
      </w:pPr>
      <w:r>
        <w:t>All users (activate a facility)</w:t>
      </w:r>
    </w:p>
    <w:p w14:paraId="32317E85" w14:textId="77777777" w:rsidR="002E3C00" w:rsidRPr="00FC5C6B"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 (add a facility)</w:t>
      </w:r>
    </w:p>
    <w:p w14:paraId="2FCF876A" w14:textId="77777777" w:rsidR="002E3C00" w:rsidRDefault="00B74754" w:rsidP="002E3C00">
      <w:pPr>
        <w:pStyle w:val="Heading4"/>
      </w:pPr>
      <w:r>
        <w:t>Preparation for Testing</w:t>
      </w:r>
    </w:p>
    <w:p w14:paraId="478AB1D8" w14:textId="77777777" w:rsidR="00061FCF" w:rsidRPr="00600497" w:rsidRDefault="00061FCF" w:rsidP="000409B1">
      <w:pPr>
        <w:pStyle w:val="ListNumber"/>
        <w:numPr>
          <w:ilvl w:val="0"/>
          <w:numId w:val="26"/>
        </w:numPr>
        <w:tabs>
          <w:tab w:val="clear" w:pos="720"/>
          <w:tab w:val="num" w:pos="360"/>
        </w:tabs>
        <w:ind w:left="360"/>
      </w:pPr>
      <w:r w:rsidRPr="00600497">
        <w:t>Use the sample worksheet to record information.</w:t>
      </w:r>
    </w:p>
    <w:p w14:paraId="2ED5781F" w14:textId="77777777" w:rsidR="002E3C00" w:rsidRPr="00600497" w:rsidRDefault="002E3C00" w:rsidP="000409B1">
      <w:pPr>
        <w:pStyle w:val="ListNumber"/>
        <w:numPr>
          <w:ilvl w:val="0"/>
          <w:numId w:val="26"/>
        </w:numPr>
        <w:tabs>
          <w:tab w:val="clear" w:pos="720"/>
          <w:tab w:val="num" w:pos="360"/>
        </w:tabs>
        <w:ind w:left="360"/>
      </w:pPr>
      <w:r w:rsidRPr="00600497">
        <w:t xml:space="preserve">Capture and save a screen shot of each piece of information. </w:t>
      </w:r>
    </w:p>
    <w:p w14:paraId="4E6E1022" w14:textId="77777777" w:rsidR="00232E43" w:rsidRPr="00FB7F8D" w:rsidRDefault="00232E43" w:rsidP="000409B1">
      <w:pPr>
        <w:pStyle w:val="ListNumber"/>
        <w:numPr>
          <w:ilvl w:val="0"/>
          <w:numId w:val="26"/>
        </w:numPr>
        <w:tabs>
          <w:tab w:val="clear" w:pos="720"/>
          <w:tab w:val="num" w:pos="360"/>
        </w:tabs>
        <w:ind w:left="360"/>
      </w:pPr>
      <w:r w:rsidRPr="00600497">
        <w:t>Print, sign, date, and save an Audit Trail Report for your v</w:t>
      </w:r>
      <w:r w:rsidRPr="00FB7F8D">
        <w:t>alidation record.</w:t>
      </w:r>
    </w:p>
    <w:p w14:paraId="6F6DBE24" w14:textId="3CEE2DD4" w:rsidR="002E3C00" w:rsidRDefault="002E3C00" w:rsidP="002E3C00">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31</w:t>
      </w:r>
      <w:r w:rsidR="004E20BD">
        <w:rPr>
          <w:noProof/>
        </w:rPr>
        <w:fldChar w:fldCharType="end"/>
      </w:r>
      <w:r>
        <w:t>: Sample Local Facilities Worksheet</w:t>
      </w:r>
      <w:r w:rsidR="00AD60CF">
        <w:fldChar w:fldCharType="begin"/>
      </w:r>
      <w:r w:rsidR="00292A7B">
        <w:instrText xml:space="preserve"> XE "Tables:</w:instrText>
      </w:r>
      <w:r w:rsidR="00AD60CF" w:rsidRPr="0046419F">
        <w:instrText>Sample Local Facilities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160"/>
        <w:gridCol w:w="1440"/>
        <w:gridCol w:w="1440"/>
        <w:gridCol w:w="1440"/>
        <w:gridCol w:w="1440"/>
      </w:tblGrid>
      <w:tr w:rsidR="00400E39" w:rsidRPr="00B562A7" w14:paraId="10F6FA58" w14:textId="77777777">
        <w:trPr>
          <w:tblHeader/>
        </w:trPr>
        <w:tc>
          <w:tcPr>
            <w:tcW w:w="1440" w:type="dxa"/>
            <w:vMerge w:val="restart"/>
            <w:shd w:val="clear" w:color="auto" w:fill="B3B3B3"/>
            <w:vAlign w:val="bottom"/>
          </w:tcPr>
          <w:p w14:paraId="60246A74" w14:textId="77777777" w:rsidR="00400E39" w:rsidRPr="00B562A7" w:rsidRDefault="00400E39" w:rsidP="002E3C00">
            <w:pPr>
              <w:pStyle w:val="TableText"/>
              <w:rPr>
                <w:b/>
              </w:rPr>
            </w:pPr>
            <w:r>
              <w:rPr>
                <w:b/>
              </w:rPr>
              <w:t>FDA Reg. No.</w:t>
            </w:r>
          </w:p>
        </w:tc>
        <w:tc>
          <w:tcPr>
            <w:tcW w:w="2160" w:type="dxa"/>
            <w:vMerge w:val="restart"/>
            <w:shd w:val="clear" w:color="auto" w:fill="B3B3B3"/>
            <w:vAlign w:val="bottom"/>
          </w:tcPr>
          <w:p w14:paraId="7014DC40" w14:textId="77777777" w:rsidR="00400E39" w:rsidRPr="00B562A7" w:rsidRDefault="00400E39" w:rsidP="002E3C00">
            <w:pPr>
              <w:pStyle w:val="TableText"/>
              <w:rPr>
                <w:b/>
              </w:rPr>
            </w:pPr>
            <w:r>
              <w:rPr>
                <w:b/>
              </w:rPr>
              <w:t>Facility Name</w:t>
            </w:r>
          </w:p>
        </w:tc>
        <w:tc>
          <w:tcPr>
            <w:tcW w:w="1440" w:type="dxa"/>
            <w:vMerge w:val="restart"/>
            <w:shd w:val="clear" w:color="auto" w:fill="B3B3B3"/>
            <w:vAlign w:val="bottom"/>
          </w:tcPr>
          <w:p w14:paraId="6B52639B" w14:textId="77777777" w:rsidR="00400E39" w:rsidRPr="00B562A7" w:rsidRDefault="00400E39" w:rsidP="002E3C00">
            <w:pPr>
              <w:pStyle w:val="TableText"/>
              <w:rPr>
                <w:b/>
              </w:rPr>
            </w:pPr>
            <w:r>
              <w:rPr>
                <w:b/>
              </w:rPr>
              <w:t>ICCBBA Reg. No.</w:t>
            </w:r>
          </w:p>
        </w:tc>
        <w:tc>
          <w:tcPr>
            <w:tcW w:w="2880" w:type="dxa"/>
            <w:gridSpan w:val="2"/>
            <w:shd w:val="clear" w:color="auto" w:fill="B3B3B3"/>
            <w:vAlign w:val="bottom"/>
          </w:tcPr>
          <w:p w14:paraId="52C421ED" w14:textId="77777777" w:rsidR="00400E39" w:rsidRPr="00B562A7" w:rsidRDefault="00400E39" w:rsidP="001E4018">
            <w:pPr>
              <w:pStyle w:val="TableText"/>
              <w:jc w:val="center"/>
              <w:rPr>
                <w:b/>
              </w:rPr>
            </w:pPr>
            <w:r>
              <w:rPr>
                <w:b/>
              </w:rPr>
              <w:t>Facility Type</w:t>
            </w:r>
          </w:p>
        </w:tc>
        <w:tc>
          <w:tcPr>
            <w:tcW w:w="1440" w:type="dxa"/>
            <w:vMerge w:val="restart"/>
            <w:shd w:val="clear" w:color="auto" w:fill="B3B3B3"/>
            <w:vAlign w:val="bottom"/>
          </w:tcPr>
          <w:p w14:paraId="49565B3C" w14:textId="77777777" w:rsidR="00400E39" w:rsidRPr="00B562A7" w:rsidRDefault="00400E39" w:rsidP="002E3C00">
            <w:pPr>
              <w:pStyle w:val="TableText"/>
              <w:rPr>
                <w:b/>
              </w:rPr>
            </w:pPr>
            <w:r>
              <w:rPr>
                <w:b/>
              </w:rPr>
              <w:t>Active Facility?</w:t>
            </w:r>
          </w:p>
        </w:tc>
      </w:tr>
      <w:tr w:rsidR="00400E39" w:rsidRPr="00B562A7" w14:paraId="7C445CC1" w14:textId="77777777">
        <w:trPr>
          <w:tblHeader/>
        </w:trPr>
        <w:tc>
          <w:tcPr>
            <w:tcW w:w="1440" w:type="dxa"/>
            <w:vMerge/>
            <w:shd w:val="clear" w:color="auto" w:fill="B3B3B3"/>
          </w:tcPr>
          <w:p w14:paraId="6DEECADF" w14:textId="77777777" w:rsidR="00400E39" w:rsidRPr="00B562A7" w:rsidRDefault="00400E39" w:rsidP="002E3C00">
            <w:pPr>
              <w:pStyle w:val="TableText"/>
              <w:rPr>
                <w:b/>
              </w:rPr>
            </w:pPr>
          </w:p>
        </w:tc>
        <w:tc>
          <w:tcPr>
            <w:tcW w:w="2160" w:type="dxa"/>
            <w:vMerge/>
            <w:shd w:val="clear" w:color="auto" w:fill="B3B3B3"/>
          </w:tcPr>
          <w:p w14:paraId="7CE9C318" w14:textId="77777777" w:rsidR="00400E39" w:rsidRPr="00B562A7" w:rsidRDefault="00400E39" w:rsidP="002E3C00">
            <w:pPr>
              <w:pStyle w:val="TableText"/>
              <w:rPr>
                <w:b/>
              </w:rPr>
            </w:pPr>
          </w:p>
        </w:tc>
        <w:tc>
          <w:tcPr>
            <w:tcW w:w="1440" w:type="dxa"/>
            <w:vMerge/>
            <w:shd w:val="clear" w:color="auto" w:fill="B3B3B3"/>
          </w:tcPr>
          <w:p w14:paraId="2EEE7A1D" w14:textId="77777777" w:rsidR="00400E39" w:rsidRPr="00B562A7" w:rsidRDefault="00400E39" w:rsidP="002E3C00">
            <w:pPr>
              <w:pStyle w:val="TableText"/>
              <w:rPr>
                <w:b/>
              </w:rPr>
            </w:pPr>
          </w:p>
        </w:tc>
        <w:tc>
          <w:tcPr>
            <w:tcW w:w="1440" w:type="dxa"/>
            <w:shd w:val="clear" w:color="auto" w:fill="B3B3B3"/>
            <w:vAlign w:val="bottom"/>
          </w:tcPr>
          <w:p w14:paraId="0DCF70E5" w14:textId="77777777" w:rsidR="00400E39" w:rsidRPr="00B562A7" w:rsidRDefault="00400E39" w:rsidP="002E3C00">
            <w:pPr>
              <w:pStyle w:val="TableText"/>
              <w:rPr>
                <w:b/>
              </w:rPr>
            </w:pPr>
            <w:r>
              <w:rPr>
                <w:b/>
              </w:rPr>
              <w:t>Collection Facility?</w:t>
            </w:r>
          </w:p>
        </w:tc>
        <w:tc>
          <w:tcPr>
            <w:tcW w:w="1440" w:type="dxa"/>
            <w:shd w:val="clear" w:color="auto" w:fill="B3B3B3"/>
            <w:vAlign w:val="bottom"/>
          </w:tcPr>
          <w:p w14:paraId="6A2ACA2B" w14:textId="77777777" w:rsidR="00400E39" w:rsidRPr="00B562A7" w:rsidRDefault="00400E39" w:rsidP="002E3C00">
            <w:pPr>
              <w:pStyle w:val="TableText"/>
              <w:rPr>
                <w:b/>
              </w:rPr>
            </w:pPr>
            <w:r>
              <w:rPr>
                <w:b/>
              </w:rPr>
              <w:t>Testing Facility?</w:t>
            </w:r>
          </w:p>
        </w:tc>
        <w:tc>
          <w:tcPr>
            <w:tcW w:w="1440" w:type="dxa"/>
            <w:vMerge/>
            <w:shd w:val="clear" w:color="auto" w:fill="B3B3B3"/>
          </w:tcPr>
          <w:p w14:paraId="069AD0AE" w14:textId="77777777" w:rsidR="00400E39" w:rsidRPr="00B562A7" w:rsidRDefault="00400E39" w:rsidP="002E3C00">
            <w:pPr>
              <w:pStyle w:val="TableText"/>
              <w:rPr>
                <w:b/>
              </w:rPr>
            </w:pPr>
          </w:p>
        </w:tc>
      </w:tr>
      <w:tr w:rsidR="00400E39" w14:paraId="32A79386" w14:textId="77777777">
        <w:tc>
          <w:tcPr>
            <w:tcW w:w="1440" w:type="dxa"/>
          </w:tcPr>
          <w:p w14:paraId="65A74522" w14:textId="77777777" w:rsidR="00400E39" w:rsidRDefault="009E20D1" w:rsidP="002E3C00">
            <w:pPr>
              <w:pStyle w:val="TableText"/>
            </w:pPr>
            <w:r>
              <w:t>2577690</w:t>
            </w:r>
          </w:p>
        </w:tc>
        <w:tc>
          <w:tcPr>
            <w:tcW w:w="2160" w:type="dxa"/>
          </w:tcPr>
          <w:p w14:paraId="5D140E47" w14:textId="77777777" w:rsidR="00400E39" w:rsidRDefault="009E20D1" w:rsidP="002E3C00">
            <w:pPr>
              <w:pStyle w:val="TableText"/>
            </w:pPr>
            <w:r>
              <w:t>Abington Memorial Hospital</w:t>
            </w:r>
          </w:p>
        </w:tc>
        <w:tc>
          <w:tcPr>
            <w:tcW w:w="1440" w:type="dxa"/>
          </w:tcPr>
          <w:p w14:paraId="6574AD55" w14:textId="77777777" w:rsidR="00400E39" w:rsidRDefault="009E20D1" w:rsidP="002E3C00">
            <w:pPr>
              <w:pStyle w:val="TableText"/>
            </w:pPr>
            <w:r>
              <w:t>W0002</w:t>
            </w:r>
          </w:p>
        </w:tc>
        <w:tc>
          <w:tcPr>
            <w:tcW w:w="1440" w:type="dxa"/>
          </w:tcPr>
          <w:p w14:paraId="482A732A" w14:textId="77777777" w:rsidR="00400E39" w:rsidRDefault="009E20D1" w:rsidP="002E3C00">
            <w:pPr>
              <w:pStyle w:val="TableText"/>
            </w:pPr>
            <w:r>
              <w:sym w:font="Wingdings" w:char="F0FC"/>
            </w:r>
          </w:p>
        </w:tc>
        <w:tc>
          <w:tcPr>
            <w:tcW w:w="1440" w:type="dxa"/>
          </w:tcPr>
          <w:p w14:paraId="1F90F192" w14:textId="77777777" w:rsidR="00400E39" w:rsidRDefault="00400E39" w:rsidP="002E3C00">
            <w:pPr>
              <w:pStyle w:val="TableText"/>
            </w:pPr>
          </w:p>
        </w:tc>
        <w:tc>
          <w:tcPr>
            <w:tcW w:w="1440" w:type="dxa"/>
          </w:tcPr>
          <w:p w14:paraId="16902351" w14:textId="77777777" w:rsidR="00400E39" w:rsidRDefault="009E20D1" w:rsidP="002E3C00">
            <w:pPr>
              <w:pStyle w:val="TableText"/>
            </w:pPr>
            <w:r>
              <w:sym w:font="Wingdings" w:char="F0FC"/>
            </w:r>
          </w:p>
        </w:tc>
      </w:tr>
    </w:tbl>
    <w:p w14:paraId="61D33EE3" w14:textId="7596880E" w:rsidR="00B24B8C" w:rsidRDefault="00B24B8C" w:rsidP="00B24B8C">
      <w:pPr>
        <w:pStyle w:val="Caption"/>
      </w:pPr>
      <w:bookmarkStart w:id="853" w:name="_Toc85895790"/>
      <w:bookmarkStart w:id="854" w:name="_Toc113264248"/>
      <w:bookmarkStart w:id="855" w:name="_Toc114462103"/>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32</w:t>
      </w:r>
      <w:r w:rsidR="004E20BD">
        <w:rPr>
          <w:noProof/>
        </w:rPr>
        <w:fldChar w:fldCharType="end"/>
      </w:r>
      <w:r>
        <w:t>: Local Facilities Worksheet</w:t>
      </w:r>
      <w:r>
        <w:fldChar w:fldCharType="begin"/>
      </w:r>
      <w:r>
        <w:instrText xml:space="preserve"> XE "Tables:</w:instrText>
      </w:r>
      <w:r w:rsidRPr="0046419F">
        <w:instrText>Local Facilities Worksheet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160"/>
        <w:gridCol w:w="1440"/>
        <w:gridCol w:w="1440"/>
        <w:gridCol w:w="1440"/>
        <w:gridCol w:w="1440"/>
      </w:tblGrid>
      <w:tr w:rsidR="00B24B8C" w:rsidRPr="00B562A7" w14:paraId="5B602E98" w14:textId="77777777">
        <w:trPr>
          <w:tblHeader/>
        </w:trPr>
        <w:tc>
          <w:tcPr>
            <w:tcW w:w="1440" w:type="dxa"/>
            <w:vMerge w:val="restart"/>
            <w:shd w:val="clear" w:color="auto" w:fill="B3B3B3"/>
            <w:vAlign w:val="bottom"/>
          </w:tcPr>
          <w:p w14:paraId="0020880D" w14:textId="77777777" w:rsidR="00B24B8C" w:rsidRPr="00B562A7" w:rsidRDefault="00B24B8C" w:rsidP="001D706D">
            <w:pPr>
              <w:pStyle w:val="TableText"/>
              <w:rPr>
                <w:b/>
              </w:rPr>
            </w:pPr>
            <w:r>
              <w:rPr>
                <w:b/>
              </w:rPr>
              <w:t>FDA Reg. No.</w:t>
            </w:r>
          </w:p>
        </w:tc>
        <w:tc>
          <w:tcPr>
            <w:tcW w:w="2160" w:type="dxa"/>
            <w:vMerge w:val="restart"/>
            <w:shd w:val="clear" w:color="auto" w:fill="B3B3B3"/>
            <w:vAlign w:val="bottom"/>
          </w:tcPr>
          <w:p w14:paraId="7B0FF851" w14:textId="77777777" w:rsidR="00B24B8C" w:rsidRPr="00B562A7" w:rsidRDefault="00B24B8C" w:rsidP="001D706D">
            <w:pPr>
              <w:pStyle w:val="TableText"/>
              <w:rPr>
                <w:b/>
              </w:rPr>
            </w:pPr>
            <w:r>
              <w:rPr>
                <w:b/>
              </w:rPr>
              <w:t>Facility Name</w:t>
            </w:r>
          </w:p>
        </w:tc>
        <w:tc>
          <w:tcPr>
            <w:tcW w:w="1440" w:type="dxa"/>
            <w:vMerge w:val="restart"/>
            <w:shd w:val="clear" w:color="auto" w:fill="B3B3B3"/>
            <w:vAlign w:val="bottom"/>
          </w:tcPr>
          <w:p w14:paraId="2EB631F7" w14:textId="77777777" w:rsidR="00B24B8C" w:rsidRPr="00B562A7" w:rsidRDefault="00B24B8C" w:rsidP="001D706D">
            <w:pPr>
              <w:pStyle w:val="TableText"/>
              <w:rPr>
                <w:b/>
              </w:rPr>
            </w:pPr>
            <w:r>
              <w:rPr>
                <w:b/>
              </w:rPr>
              <w:t>ICCBBA Reg. No.</w:t>
            </w:r>
          </w:p>
        </w:tc>
        <w:tc>
          <w:tcPr>
            <w:tcW w:w="1440" w:type="dxa"/>
            <w:gridSpan w:val="2"/>
            <w:shd w:val="clear" w:color="auto" w:fill="B3B3B3"/>
            <w:vAlign w:val="bottom"/>
          </w:tcPr>
          <w:p w14:paraId="1EA7A03B" w14:textId="77777777" w:rsidR="00B24B8C" w:rsidRPr="00B562A7" w:rsidRDefault="00B24B8C" w:rsidP="001E4018">
            <w:pPr>
              <w:pStyle w:val="TableText"/>
              <w:jc w:val="center"/>
              <w:rPr>
                <w:b/>
              </w:rPr>
            </w:pPr>
            <w:r>
              <w:rPr>
                <w:b/>
              </w:rPr>
              <w:t>Facility Type</w:t>
            </w:r>
          </w:p>
        </w:tc>
        <w:tc>
          <w:tcPr>
            <w:tcW w:w="1440" w:type="dxa"/>
            <w:vMerge w:val="restart"/>
            <w:shd w:val="clear" w:color="auto" w:fill="B3B3B3"/>
            <w:vAlign w:val="bottom"/>
          </w:tcPr>
          <w:p w14:paraId="1FBAC68F" w14:textId="77777777" w:rsidR="00B24B8C" w:rsidRPr="00B562A7" w:rsidRDefault="00B24B8C" w:rsidP="001D706D">
            <w:pPr>
              <w:pStyle w:val="TableText"/>
              <w:rPr>
                <w:b/>
              </w:rPr>
            </w:pPr>
            <w:r>
              <w:rPr>
                <w:b/>
              </w:rPr>
              <w:t>Active Facility?</w:t>
            </w:r>
          </w:p>
        </w:tc>
      </w:tr>
      <w:tr w:rsidR="00B24B8C" w:rsidRPr="00B562A7" w14:paraId="228D1FD3" w14:textId="77777777">
        <w:trPr>
          <w:tblHeader/>
        </w:trPr>
        <w:tc>
          <w:tcPr>
            <w:tcW w:w="1440" w:type="dxa"/>
            <w:vMerge/>
            <w:shd w:val="clear" w:color="auto" w:fill="B3B3B3"/>
          </w:tcPr>
          <w:p w14:paraId="13E86479" w14:textId="77777777" w:rsidR="00B24B8C" w:rsidRPr="00B562A7" w:rsidRDefault="00B24B8C" w:rsidP="001D706D">
            <w:pPr>
              <w:pStyle w:val="TableText"/>
              <w:rPr>
                <w:b/>
              </w:rPr>
            </w:pPr>
          </w:p>
        </w:tc>
        <w:tc>
          <w:tcPr>
            <w:tcW w:w="2160" w:type="dxa"/>
            <w:vMerge/>
            <w:shd w:val="clear" w:color="auto" w:fill="B3B3B3"/>
          </w:tcPr>
          <w:p w14:paraId="556334F9" w14:textId="77777777" w:rsidR="00B24B8C" w:rsidRPr="00B562A7" w:rsidRDefault="00B24B8C" w:rsidP="001D706D">
            <w:pPr>
              <w:pStyle w:val="TableText"/>
              <w:rPr>
                <w:b/>
              </w:rPr>
            </w:pPr>
          </w:p>
        </w:tc>
        <w:tc>
          <w:tcPr>
            <w:tcW w:w="1440" w:type="dxa"/>
            <w:vMerge/>
            <w:shd w:val="clear" w:color="auto" w:fill="B3B3B3"/>
          </w:tcPr>
          <w:p w14:paraId="59F40514" w14:textId="77777777" w:rsidR="00B24B8C" w:rsidRPr="00B562A7" w:rsidRDefault="00B24B8C" w:rsidP="001D706D">
            <w:pPr>
              <w:pStyle w:val="TableText"/>
              <w:rPr>
                <w:b/>
              </w:rPr>
            </w:pPr>
          </w:p>
        </w:tc>
        <w:tc>
          <w:tcPr>
            <w:tcW w:w="1440" w:type="dxa"/>
            <w:shd w:val="clear" w:color="auto" w:fill="B3B3B3"/>
          </w:tcPr>
          <w:p w14:paraId="0173BB31" w14:textId="77777777" w:rsidR="00B24B8C" w:rsidRPr="00B562A7" w:rsidRDefault="00B24B8C" w:rsidP="001D706D">
            <w:pPr>
              <w:pStyle w:val="TableText"/>
              <w:rPr>
                <w:b/>
              </w:rPr>
            </w:pPr>
            <w:r>
              <w:rPr>
                <w:b/>
              </w:rPr>
              <w:t>Collection Facility?</w:t>
            </w:r>
          </w:p>
        </w:tc>
        <w:tc>
          <w:tcPr>
            <w:tcW w:w="1440" w:type="dxa"/>
            <w:shd w:val="clear" w:color="auto" w:fill="B3B3B3"/>
          </w:tcPr>
          <w:p w14:paraId="4FE101FE" w14:textId="77777777" w:rsidR="00B24B8C" w:rsidRPr="00B562A7" w:rsidRDefault="00B24B8C" w:rsidP="001D706D">
            <w:pPr>
              <w:pStyle w:val="TableText"/>
              <w:rPr>
                <w:b/>
              </w:rPr>
            </w:pPr>
            <w:r>
              <w:rPr>
                <w:b/>
              </w:rPr>
              <w:t>Testing Facility?</w:t>
            </w:r>
          </w:p>
        </w:tc>
        <w:tc>
          <w:tcPr>
            <w:tcW w:w="1440" w:type="dxa"/>
            <w:vMerge/>
            <w:shd w:val="clear" w:color="auto" w:fill="B3B3B3"/>
          </w:tcPr>
          <w:p w14:paraId="06165A26" w14:textId="77777777" w:rsidR="00B24B8C" w:rsidRPr="00B562A7" w:rsidRDefault="00B24B8C" w:rsidP="001D706D">
            <w:pPr>
              <w:pStyle w:val="TableText"/>
              <w:rPr>
                <w:b/>
              </w:rPr>
            </w:pPr>
          </w:p>
        </w:tc>
      </w:tr>
      <w:tr w:rsidR="00B24B8C" w14:paraId="111E4BFC" w14:textId="77777777">
        <w:tc>
          <w:tcPr>
            <w:tcW w:w="1440" w:type="dxa"/>
          </w:tcPr>
          <w:p w14:paraId="1B0AA816" w14:textId="77777777" w:rsidR="00B24B8C" w:rsidRDefault="00B24B8C" w:rsidP="001D706D">
            <w:pPr>
              <w:pStyle w:val="TableText"/>
            </w:pPr>
          </w:p>
        </w:tc>
        <w:tc>
          <w:tcPr>
            <w:tcW w:w="2160" w:type="dxa"/>
          </w:tcPr>
          <w:p w14:paraId="02DF23F2" w14:textId="77777777" w:rsidR="00B24B8C" w:rsidRDefault="00B24B8C" w:rsidP="001D706D">
            <w:pPr>
              <w:pStyle w:val="TableText"/>
            </w:pPr>
          </w:p>
        </w:tc>
        <w:tc>
          <w:tcPr>
            <w:tcW w:w="1440" w:type="dxa"/>
          </w:tcPr>
          <w:p w14:paraId="4572A71F" w14:textId="77777777" w:rsidR="00B24B8C" w:rsidRDefault="00B24B8C" w:rsidP="001D706D">
            <w:pPr>
              <w:pStyle w:val="TableText"/>
            </w:pPr>
          </w:p>
        </w:tc>
        <w:tc>
          <w:tcPr>
            <w:tcW w:w="1440" w:type="dxa"/>
          </w:tcPr>
          <w:p w14:paraId="5A82308C" w14:textId="77777777" w:rsidR="00B24B8C" w:rsidRDefault="00B24B8C" w:rsidP="001D706D">
            <w:pPr>
              <w:pStyle w:val="TableText"/>
            </w:pPr>
          </w:p>
        </w:tc>
        <w:tc>
          <w:tcPr>
            <w:tcW w:w="1440" w:type="dxa"/>
          </w:tcPr>
          <w:p w14:paraId="4F8D44FF" w14:textId="77777777" w:rsidR="00B24B8C" w:rsidRDefault="00B24B8C" w:rsidP="001D706D">
            <w:pPr>
              <w:pStyle w:val="TableText"/>
            </w:pPr>
          </w:p>
        </w:tc>
        <w:tc>
          <w:tcPr>
            <w:tcW w:w="1440" w:type="dxa"/>
          </w:tcPr>
          <w:p w14:paraId="799CD82E" w14:textId="77777777" w:rsidR="00B24B8C" w:rsidRDefault="00B24B8C" w:rsidP="001D706D">
            <w:pPr>
              <w:pStyle w:val="TableText"/>
            </w:pPr>
          </w:p>
        </w:tc>
      </w:tr>
      <w:tr w:rsidR="00B24B8C" w14:paraId="22E7CDCA" w14:textId="77777777">
        <w:tc>
          <w:tcPr>
            <w:tcW w:w="1440" w:type="dxa"/>
          </w:tcPr>
          <w:p w14:paraId="5255ABFB" w14:textId="77777777" w:rsidR="00B24B8C" w:rsidRDefault="00B24B8C" w:rsidP="001D706D">
            <w:pPr>
              <w:pStyle w:val="TableText"/>
            </w:pPr>
          </w:p>
        </w:tc>
        <w:tc>
          <w:tcPr>
            <w:tcW w:w="2160" w:type="dxa"/>
          </w:tcPr>
          <w:p w14:paraId="3BB3A72F" w14:textId="77777777" w:rsidR="00B24B8C" w:rsidRDefault="00B24B8C" w:rsidP="001D706D">
            <w:pPr>
              <w:pStyle w:val="TableText"/>
            </w:pPr>
          </w:p>
        </w:tc>
        <w:tc>
          <w:tcPr>
            <w:tcW w:w="1440" w:type="dxa"/>
          </w:tcPr>
          <w:p w14:paraId="7621783C" w14:textId="77777777" w:rsidR="00B24B8C" w:rsidRDefault="00B24B8C" w:rsidP="001D706D">
            <w:pPr>
              <w:pStyle w:val="TableText"/>
            </w:pPr>
          </w:p>
        </w:tc>
        <w:tc>
          <w:tcPr>
            <w:tcW w:w="1440" w:type="dxa"/>
          </w:tcPr>
          <w:p w14:paraId="7D0E7E8B" w14:textId="77777777" w:rsidR="00B24B8C" w:rsidRDefault="00B24B8C" w:rsidP="001D706D">
            <w:pPr>
              <w:pStyle w:val="TableText"/>
            </w:pPr>
          </w:p>
        </w:tc>
        <w:tc>
          <w:tcPr>
            <w:tcW w:w="1440" w:type="dxa"/>
          </w:tcPr>
          <w:p w14:paraId="3019984D" w14:textId="77777777" w:rsidR="00B24B8C" w:rsidRDefault="00B24B8C" w:rsidP="001D706D">
            <w:pPr>
              <w:pStyle w:val="TableText"/>
            </w:pPr>
          </w:p>
        </w:tc>
        <w:tc>
          <w:tcPr>
            <w:tcW w:w="1440" w:type="dxa"/>
          </w:tcPr>
          <w:p w14:paraId="60F49AE9" w14:textId="77777777" w:rsidR="00B24B8C" w:rsidRDefault="00B24B8C" w:rsidP="001D706D">
            <w:pPr>
              <w:pStyle w:val="TableText"/>
            </w:pPr>
          </w:p>
        </w:tc>
      </w:tr>
      <w:tr w:rsidR="00B24B8C" w14:paraId="024D7CAB" w14:textId="77777777">
        <w:tc>
          <w:tcPr>
            <w:tcW w:w="1440" w:type="dxa"/>
          </w:tcPr>
          <w:p w14:paraId="31CE7C80" w14:textId="77777777" w:rsidR="00B24B8C" w:rsidRDefault="00B24B8C" w:rsidP="001D706D">
            <w:pPr>
              <w:pStyle w:val="TableText"/>
            </w:pPr>
          </w:p>
        </w:tc>
        <w:tc>
          <w:tcPr>
            <w:tcW w:w="2160" w:type="dxa"/>
          </w:tcPr>
          <w:p w14:paraId="598B043A" w14:textId="77777777" w:rsidR="00B24B8C" w:rsidRDefault="00B24B8C" w:rsidP="001D706D">
            <w:pPr>
              <w:pStyle w:val="TableText"/>
            </w:pPr>
          </w:p>
        </w:tc>
        <w:tc>
          <w:tcPr>
            <w:tcW w:w="1440" w:type="dxa"/>
          </w:tcPr>
          <w:p w14:paraId="452E1B15" w14:textId="77777777" w:rsidR="00B24B8C" w:rsidRDefault="00B24B8C" w:rsidP="001D706D">
            <w:pPr>
              <w:pStyle w:val="TableText"/>
            </w:pPr>
          </w:p>
        </w:tc>
        <w:tc>
          <w:tcPr>
            <w:tcW w:w="1440" w:type="dxa"/>
          </w:tcPr>
          <w:p w14:paraId="14D1D1B1" w14:textId="77777777" w:rsidR="00B24B8C" w:rsidRDefault="00B24B8C" w:rsidP="001D706D">
            <w:pPr>
              <w:pStyle w:val="TableText"/>
            </w:pPr>
          </w:p>
        </w:tc>
        <w:tc>
          <w:tcPr>
            <w:tcW w:w="1440" w:type="dxa"/>
          </w:tcPr>
          <w:p w14:paraId="50663DB4" w14:textId="77777777" w:rsidR="00B24B8C" w:rsidRDefault="00B24B8C" w:rsidP="001D706D">
            <w:pPr>
              <w:pStyle w:val="TableText"/>
            </w:pPr>
          </w:p>
        </w:tc>
        <w:tc>
          <w:tcPr>
            <w:tcW w:w="1440" w:type="dxa"/>
          </w:tcPr>
          <w:p w14:paraId="7D5A0A63" w14:textId="77777777" w:rsidR="00B24B8C" w:rsidRDefault="00B24B8C" w:rsidP="001D706D">
            <w:pPr>
              <w:pStyle w:val="TableText"/>
            </w:pPr>
          </w:p>
        </w:tc>
      </w:tr>
      <w:tr w:rsidR="00B24B8C" w14:paraId="7724B31F" w14:textId="77777777">
        <w:tc>
          <w:tcPr>
            <w:tcW w:w="1440" w:type="dxa"/>
          </w:tcPr>
          <w:p w14:paraId="71B4539B" w14:textId="77777777" w:rsidR="00B24B8C" w:rsidRDefault="00B24B8C" w:rsidP="001D706D">
            <w:pPr>
              <w:pStyle w:val="TableText"/>
            </w:pPr>
          </w:p>
        </w:tc>
        <w:tc>
          <w:tcPr>
            <w:tcW w:w="2160" w:type="dxa"/>
          </w:tcPr>
          <w:p w14:paraId="2DF856F3" w14:textId="77777777" w:rsidR="00B24B8C" w:rsidRDefault="00B24B8C" w:rsidP="001D706D">
            <w:pPr>
              <w:pStyle w:val="TableText"/>
            </w:pPr>
          </w:p>
        </w:tc>
        <w:tc>
          <w:tcPr>
            <w:tcW w:w="1440" w:type="dxa"/>
          </w:tcPr>
          <w:p w14:paraId="2B2C7993" w14:textId="77777777" w:rsidR="00B24B8C" w:rsidRDefault="00B24B8C" w:rsidP="001D706D">
            <w:pPr>
              <w:pStyle w:val="TableText"/>
            </w:pPr>
          </w:p>
        </w:tc>
        <w:tc>
          <w:tcPr>
            <w:tcW w:w="1440" w:type="dxa"/>
          </w:tcPr>
          <w:p w14:paraId="6440D950" w14:textId="77777777" w:rsidR="00B24B8C" w:rsidRDefault="00B24B8C" w:rsidP="001D706D">
            <w:pPr>
              <w:pStyle w:val="TableText"/>
            </w:pPr>
          </w:p>
        </w:tc>
        <w:tc>
          <w:tcPr>
            <w:tcW w:w="1440" w:type="dxa"/>
          </w:tcPr>
          <w:p w14:paraId="26DDB4E5" w14:textId="77777777" w:rsidR="00B24B8C" w:rsidRDefault="00B24B8C" w:rsidP="001D706D">
            <w:pPr>
              <w:pStyle w:val="TableText"/>
            </w:pPr>
          </w:p>
        </w:tc>
        <w:tc>
          <w:tcPr>
            <w:tcW w:w="1440" w:type="dxa"/>
          </w:tcPr>
          <w:p w14:paraId="22717F13" w14:textId="77777777" w:rsidR="00B24B8C" w:rsidRDefault="00B24B8C" w:rsidP="001D706D">
            <w:pPr>
              <w:pStyle w:val="TableText"/>
            </w:pPr>
          </w:p>
        </w:tc>
      </w:tr>
      <w:tr w:rsidR="00B24B8C" w14:paraId="54A14584" w14:textId="77777777">
        <w:tc>
          <w:tcPr>
            <w:tcW w:w="1440" w:type="dxa"/>
          </w:tcPr>
          <w:p w14:paraId="55F8A771" w14:textId="77777777" w:rsidR="00B24B8C" w:rsidRDefault="00B24B8C" w:rsidP="001D706D">
            <w:pPr>
              <w:pStyle w:val="TableText"/>
            </w:pPr>
          </w:p>
        </w:tc>
        <w:tc>
          <w:tcPr>
            <w:tcW w:w="2160" w:type="dxa"/>
          </w:tcPr>
          <w:p w14:paraId="3F3C8B91" w14:textId="77777777" w:rsidR="00B24B8C" w:rsidRDefault="00B24B8C" w:rsidP="001D706D">
            <w:pPr>
              <w:pStyle w:val="TableText"/>
            </w:pPr>
          </w:p>
        </w:tc>
        <w:tc>
          <w:tcPr>
            <w:tcW w:w="1440" w:type="dxa"/>
          </w:tcPr>
          <w:p w14:paraId="10C31AA3" w14:textId="77777777" w:rsidR="00B24B8C" w:rsidRDefault="00B24B8C" w:rsidP="001D706D">
            <w:pPr>
              <w:pStyle w:val="TableText"/>
            </w:pPr>
          </w:p>
        </w:tc>
        <w:tc>
          <w:tcPr>
            <w:tcW w:w="1440" w:type="dxa"/>
          </w:tcPr>
          <w:p w14:paraId="27E19457" w14:textId="77777777" w:rsidR="00B24B8C" w:rsidRDefault="00B24B8C" w:rsidP="001D706D">
            <w:pPr>
              <w:pStyle w:val="TableText"/>
            </w:pPr>
          </w:p>
        </w:tc>
        <w:tc>
          <w:tcPr>
            <w:tcW w:w="1440" w:type="dxa"/>
          </w:tcPr>
          <w:p w14:paraId="14049F21" w14:textId="77777777" w:rsidR="00B24B8C" w:rsidRDefault="00B24B8C" w:rsidP="001D706D">
            <w:pPr>
              <w:pStyle w:val="TableText"/>
            </w:pPr>
          </w:p>
        </w:tc>
        <w:tc>
          <w:tcPr>
            <w:tcW w:w="1440" w:type="dxa"/>
          </w:tcPr>
          <w:p w14:paraId="10598072" w14:textId="77777777" w:rsidR="00B24B8C" w:rsidRDefault="00B24B8C" w:rsidP="001D706D">
            <w:pPr>
              <w:pStyle w:val="TableText"/>
            </w:pPr>
          </w:p>
        </w:tc>
      </w:tr>
      <w:tr w:rsidR="00B24B8C" w14:paraId="54E81E91" w14:textId="77777777">
        <w:tc>
          <w:tcPr>
            <w:tcW w:w="1440" w:type="dxa"/>
          </w:tcPr>
          <w:p w14:paraId="49F4CA52" w14:textId="77777777" w:rsidR="00B24B8C" w:rsidRDefault="00B24B8C" w:rsidP="001D706D">
            <w:pPr>
              <w:pStyle w:val="TableText"/>
            </w:pPr>
          </w:p>
        </w:tc>
        <w:tc>
          <w:tcPr>
            <w:tcW w:w="2160" w:type="dxa"/>
          </w:tcPr>
          <w:p w14:paraId="4F027ECF" w14:textId="77777777" w:rsidR="00B24B8C" w:rsidRDefault="00B24B8C" w:rsidP="001D706D">
            <w:pPr>
              <w:pStyle w:val="TableText"/>
            </w:pPr>
          </w:p>
        </w:tc>
        <w:tc>
          <w:tcPr>
            <w:tcW w:w="1440" w:type="dxa"/>
          </w:tcPr>
          <w:p w14:paraId="2DC7AEEE" w14:textId="77777777" w:rsidR="00B24B8C" w:rsidRDefault="00B24B8C" w:rsidP="001D706D">
            <w:pPr>
              <w:pStyle w:val="TableText"/>
            </w:pPr>
          </w:p>
        </w:tc>
        <w:tc>
          <w:tcPr>
            <w:tcW w:w="1440" w:type="dxa"/>
          </w:tcPr>
          <w:p w14:paraId="608EB13B" w14:textId="77777777" w:rsidR="00B24B8C" w:rsidRDefault="00B24B8C" w:rsidP="001D706D">
            <w:pPr>
              <w:pStyle w:val="TableText"/>
            </w:pPr>
          </w:p>
        </w:tc>
        <w:tc>
          <w:tcPr>
            <w:tcW w:w="1440" w:type="dxa"/>
          </w:tcPr>
          <w:p w14:paraId="5D321D4B" w14:textId="77777777" w:rsidR="00B24B8C" w:rsidRDefault="00B24B8C" w:rsidP="001D706D">
            <w:pPr>
              <w:pStyle w:val="TableText"/>
            </w:pPr>
          </w:p>
        </w:tc>
        <w:tc>
          <w:tcPr>
            <w:tcW w:w="1440" w:type="dxa"/>
          </w:tcPr>
          <w:p w14:paraId="669A9F8F" w14:textId="77777777" w:rsidR="00B24B8C" w:rsidRDefault="00B24B8C" w:rsidP="001D706D">
            <w:pPr>
              <w:pStyle w:val="TableText"/>
            </w:pPr>
          </w:p>
        </w:tc>
      </w:tr>
      <w:tr w:rsidR="00B24B8C" w14:paraId="1377B9AE" w14:textId="77777777">
        <w:tc>
          <w:tcPr>
            <w:tcW w:w="1440" w:type="dxa"/>
          </w:tcPr>
          <w:p w14:paraId="67E996E9" w14:textId="77777777" w:rsidR="00B24B8C" w:rsidRDefault="00B24B8C" w:rsidP="001D706D">
            <w:pPr>
              <w:pStyle w:val="TableText"/>
            </w:pPr>
          </w:p>
        </w:tc>
        <w:tc>
          <w:tcPr>
            <w:tcW w:w="2160" w:type="dxa"/>
          </w:tcPr>
          <w:p w14:paraId="074F5A9D" w14:textId="77777777" w:rsidR="00B24B8C" w:rsidRDefault="00B24B8C" w:rsidP="001D706D">
            <w:pPr>
              <w:pStyle w:val="TableText"/>
            </w:pPr>
          </w:p>
        </w:tc>
        <w:tc>
          <w:tcPr>
            <w:tcW w:w="1440" w:type="dxa"/>
          </w:tcPr>
          <w:p w14:paraId="0A53F714" w14:textId="77777777" w:rsidR="00B24B8C" w:rsidRDefault="00B24B8C" w:rsidP="001D706D">
            <w:pPr>
              <w:pStyle w:val="TableText"/>
            </w:pPr>
          </w:p>
        </w:tc>
        <w:tc>
          <w:tcPr>
            <w:tcW w:w="1440" w:type="dxa"/>
          </w:tcPr>
          <w:p w14:paraId="523A7D07" w14:textId="77777777" w:rsidR="00B24B8C" w:rsidRDefault="00B24B8C" w:rsidP="001D706D">
            <w:pPr>
              <w:pStyle w:val="TableText"/>
            </w:pPr>
          </w:p>
        </w:tc>
        <w:tc>
          <w:tcPr>
            <w:tcW w:w="1440" w:type="dxa"/>
          </w:tcPr>
          <w:p w14:paraId="28DB4951" w14:textId="77777777" w:rsidR="00B24B8C" w:rsidRDefault="00B24B8C" w:rsidP="001D706D">
            <w:pPr>
              <w:pStyle w:val="TableText"/>
            </w:pPr>
          </w:p>
        </w:tc>
        <w:tc>
          <w:tcPr>
            <w:tcW w:w="1440" w:type="dxa"/>
          </w:tcPr>
          <w:p w14:paraId="7F985EBF" w14:textId="77777777" w:rsidR="00B24B8C" w:rsidRDefault="00B24B8C" w:rsidP="001D706D">
            <w:pPr>
              <w:pStyle w:val="TableText"/>
            </w:pPr>
          </w:p>
        </w:tc>
      </w:tr>
    </w:tbl>
    <w:p w14:paraId="731AF816" w14:textId="77777777" w:rsidR="0050722E" w:rsidRDefault="0050722E" w:rsidP="005129E1">
      <w:pPr>
        <w:pStyle w:val="Heading3"/>
      </w:pPr>
    </w:p>
    <w:p w14:paraId="6CAC66D1" w14:textId="77777777" w:rsidR="002E3C00" w:rsidRDefault="0050722E" w:rsidP="005129E1">
      <w:pPr>
        <w:pStyle w:val="Heading3"/>
      </w:pPr>
      <w:r>
        <w:br w:type="page"/>
      </w:r>
      <w:bookmarkStart w:id="856" w:name="_Toc47516839"/>
      <w:r w:rsidR="002E3C00">
        <w:lastRenderedPageBreak/>
        <w:t>Component Classes</w:t>
      </w:r>
      <w:bookmarkEnd w:id="853"/>
      <w:bookmarkEnd w:id="854"/>
      <w:bookmarkEnd w:id="855"/>
      <w:bookmarkEnd w:id="856"/>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Component Classes</w:instrText>
      </w:r>
      <w:r w:rsidR="00992E88">
        <w:instrText xml:space="preserve">" </w:instrText>
      </w:r>
      <w:r w:rsidR="00992E88">
        <w:fldChar w:fldCharType="end"/>
      </w:r>
    </w:p>
    <w:p w14:paraId="2CF13F76" w14:textId="55DBFF5F" w:rsidR="002E3C00" w:rsidRDefault="002E3C00" w:rsidP="002E3C00">
      <w:pPr>
        <w:pStyle w:val="BodyText"/>
      </w:pPr>
      <w:r>
        <w:t>The user configures the component class parameters for the selected division.</w:t>
      </w:r>
      <w:r w:rsidR="008D2779">
        <w:t xml:space="preserve"> For more information, see </w:t>
      </w:r>
      <w:r w:rsidR="008D2779">
        <w:fldChar w:fldCharType="begin"/>
      </w:r>
      <w:r w:rsidR="008D2779">
        <w:instrText xml:space="preserve"> REF _Ref508960075 \h </w:instrText>
      </w:r>
      <w:r w:rsidR="008D2779">
        <w:fldChar w:fldCharType="separate"/>
      </w:r>
      <w:r w:rsidR="004353ED">
        <w:t xml:space="preserve">Appendix </w:t>
      </w:r>
      <w:r w:rsidR="004353ED">
        <w:rPr>
          <w:noProof/>
        </w:rPr>
        <w:t>G</w:t>
      </w:r>
      <w:r w:rsidR="004353ED">
        <w:t>: Work Process Flowcharts</w:t>
      </w:r>
      <w:r w:rsidR="008D2779">
        <w:fldChar w:fldCharType="end"/>
      </w:r>
      <w:r w:rsidR="008D2779">
        <w:t>.</w:t>
      </w:r>
    </w:p>
    <w:p w14:paraId="3E1C5C1F" w14:textId="77777777" w:rsidR="002E3C00" w:rsidRDefault="002E3C00" w:rsidP="002E3C00">
      <w:pPr>
        <w:pStyle w:val="Heading4"/>
        <w:rPr>
          <w:b w:val="0"/>
        </w:rPr>
      </w:pPr>
      <w:r>
        <w:t>User Roles with Access to This Option</w:t>
      </w:r>
      <w:r>
        <w:rPr>
          <w:b w:val="0"/>
        </w:rPr>
        <w:t xml:space="preserve"> </w:t>
      </w:r>
    </w:p>
    <w:p w14:paraId="6106EB53" w14:textId="77777777" w:rsidR="002E3C00" w:rsidRPr="00404CAF" w:rsidRDefault="002E3C00" w:rsidP="002E3C00">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617EB5BA" w14:textId="77777777" w:rsidR="002E3C00" w:rsidRDefault="00B74754" w:rsidP="002E3C00">
      <w:pPr>
        <w:pStyle w:val="Heading4"/>
      </w:pPr>
      <w:r>
        <w:t>Preparation for Testing</w:t>
      </w:r>
    </w:p>
    <w:p w14:paraId="550E93F5" w14:textId="77777777" w:rsidR="00061FCF" w:rsidRPr="00600497" w:rsidRDefault="00061FCF" w:rsidP="000409B1">
      <w:pPr>
        <w:pStyle w:val="ListNumber"/>
        <w:numPr>
          <w:ilvl w:val="0"/>
          <w:numId w:val="27"/>
        </w:numPr>
        <w:tabs>
          <w:tab w:val="clear" w:pos="720"/>
          <w:tab w:val="num" w:pos="360"/>
        </w:tabs>
        <w:ind w:left="360"/>
      </w:pPr>
      <w:r w:rsidRPr="00600497">
        <w:t>Use the sample worksheet to record information.</w:t>
      </w:r>
    </w:p>
    <w:p w14:paraId="2B4F13B8" w14:textId="77777777" w:rsidR="002E3C00" w:rsidRPr="00600497" w:rsidRDefault="002E3C00" w:rsidP="000409B1">
      <w:pPr>
        <w:pStyle w:val="ListNumber"/>
        <w:numPr>
          <w:ilvl w:val="0"/>
          <w:numId w:val="27"/>
        </w:numPr>
        <w:tabs>
          <w:tab w:val="clear" w:pos="720"/>
          <w:tab w:val="num" w:pos="360"/>
        </w:tabs>
        <w:ind w:left="360"/>
      </w:pPr>
      <w:r w:rsidRPr="00600497">
        <w:t xml:space="preserve">Capture and save a screen shot of each piece of information. </w:t>
      </w:r>
    </w:p>
    <w:p w14:paraId="13B43B09" w14:textId="77777777" w:rsidR="00232E43" w:rsidRPr="00FB7F8D" w:rsidRDefault="00232E43" w:rsidP="000409B1">
      <w:pPr>
        <w:pStyle w:val="ListNumber"/>
        <w:numPr>
          <w:ilvl w:val="0"/>
          <w:numId w:val="27"/>
        </w:numPr>
        <w:tabs>
          <w:tab w:val="clear" w:pos="720"/>
          <w:tab w:val="num" w:pos="360"/>
        </w:tabs>
        <w:ind w:left="360"/>
      </w:pPr>
      <w:r w:rsidRPr="00600497">
        <w:t>Pri</w:t>
      </w:r>
      <w:r w:rsidRPr="00FB7F8D">
        <w:t>nt</w:t>
      </w:r>
      <w:r>
        <w:t>, sign, date,</w:t>
      </w:r>
      <w:r w:rsidRPr="00FB7F8D">
        <w:t xml:space="preserve"> and save an </w:t>
      </w:r>
      <w:r>
        <w:t>A</w:t>
      </w:r>
      <w:r w:rsidRPr="00FB7F8D">
        <w:t xml:space="preserve">udit </w:t>
      </w:r>
      <w:r>
        <w:t>Trail R</w:t>
      </w:r>
      <w:r w:rsidRPr="00FB7F8D">
        <w:t>eport for your validation record.</w:t>
      </w:r>
    </w:p>
    <w:p w14:paraId="04497CCC" w14:textId="54F0FC7F" w:rsidR="002E3C00" w:rsidRDefault="002E3C00" w:rsidP="002E3C00">
      <w:pPr>
        <w:pStyle w:val="Caption"/>
        <w:rPr>
          <w:sz w:val="15"/>
          <w:szCs w:val="15"/>
        </w:rPr>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33</w:t>
      </w:r>
      <w:r w:rsidR="004E20BD">
        <w:rPr>
          <w:noProof/>
        </w:rPr>
        <w:fldChar w:fldCharType="end"/>
      </w:r>
      <w:r>
        <w:t>: Component Class Requirements</w:t>
      </w:r>
      <w:r w:rsidR="00061FCF">
        <w:t xml:space="preserve"> Worksheet</w:t>
      </w:r>
      <w:r w:rsidR="00AD60CF">
        <w:fldChar w:fldCharType="begin"/>
      </w:r>
      <w:r w:rsidR="00292A7B">
        <w:instrText xml:space="preserve"> XE "Tables:</w:instrText>
      </w:r>
      <w:r w:rsidR="00AD60CF" w:rsidRPr="0046419F">
        <w:instrText>Component Class Requirements Worksheet</w:instrText>
      </w:r>
      <w:r w:rsidR="00AD60CF">
        <w:instrText xml:space="preserve">" </w:instrText>
      </w:r>
      <w:r w:rsidR="00AD60CF">
        <w:fldChar w:fldCharType="end"/>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9"/>
        <w:gridCol w:w="1689"/>
        <w:gridCol w:w="1440"/>
        <w:gridCol w:w="1620"/>
        <w:gridCol w:w="1136"/>
        <w:gridCol w:w="1672"/>
      </w:tblGrid>
      <w:tr w:rsidR="000A4CE0" w:rsidRPr="007121BA" w14:paraId="60C923E3" w14:textId="77777777">
        <w:trPr>
          <w:tblHeader/>
        </w:trPr>
        <w:tc>
          <w:tcPr>
            <w:tcW w:w="2019" w:type="dxa"/>
            <w:shd w:val="clear" w:color="auto" w:fill="B3B3B3"/>
            <w:vAlign w:val="bottom"/>
          </w:tcPr>
          <w:p w14:paraId="12455E40" w14:textId="77777777" w:rsidR="000A4CE0" w:rsidRPr="007121BA" w:rsidRDefault="000A4CE0" w:rsidP="002E3C00">
            <w:pPr>
              <w:pStyle w:val="TableText"/>
              <w:rPr>
                <w:b/>
              </w:rPr>
            </w:pPr>
            <w:r w:rsidRPr="007121BA">
              <w:rPr>
                <w:b/>
              </w:rPr>
              <w:t>Component Class</w:t>
            </w:r>
          </w:p>
        </w:tc>
        <w:tc>
          <w:tcPr>
            <w:tcW w:w="1689" w:type="dxa"/>
            <w:shd w:val="clear" w:color="auto" w:fill="B3B3B3"/>
            <w:vAlign w:val="bottom"/>
          </w:tcPr>
          <w:p w14:paraId="0A3D8350" w14:textId="77777777" w:rsidR="000A4CE0" w:rsidRPr="007121BA" w:rsidRDefault="000A4CE0" w:rsidP="002E3C00">
            <w:pPr>
              <w:pStyle w:val="TableText"/>
              <w:rPr>
                <w:b/>
              </w:rPr>
            </w:pPr>
            <w:r>
              <w:rPr>
                <w:b/>
              </w:rPr>
              <w:t>R</w:t>
            </w:r>
            <w:r w:rsidR="000C4296">
              <w:rPr>
                <w:b/>
              </w:rPr>
              <w:t xml:space="preserve">equire Current Specimen </w:t>
            </w:r>
            <w:r>
              <w:rPr>
                <w:b/>
              </w:rPr>
              <w:t>ABO/Rh Results?</w:t>
            </w:r>
          </w:p>
        </w:tc>
        <w:tc>
          <w:tcPr>
            <w:tcW w:w="1440" w:type="dxa"/>
            <w:shd w:val="clear" w:color="auto" w:fill="B3B3B3"/>
            <w:vAlign w:val="bottom"/>
          </w:tcPr>
          <w:p w14:paraId="74E3412B" w14:textId="77777777" w:rsidR="000A4CE0" w:rsidRPr="007121BA" w:rsidRDefault="000A4CE0" w:rsidP="002E3C00">
            <w:pPr>
              <w:pStyle w:val="TableText"/>
              <w:rPr>
                <w:b/>
              </w:rPr>
            </w:pPr>
            <w:r w:rsidRPr="007121BA">
              <w:rPr>
                <w:b/>
              </w:rPr>
              <w:t xml:space="preserve">Maximum </w:t>
            </w:r>
            <w:r>
              <w:rPr>
                <w:b/>
              </w:rPr>
              <w:t>T</w:t>
            </w:r>
            <w:r w:rsidRPr="007121BA">
              <w:rPr>
                <w:b/>
              </w:rPr>
              <w:t xml:space="preserve">ransfusion </w:t>
            </w:r>
            <w:r>
              <w:rPr>
                <w:b/>
              </w:rPr>
              <w:t>Time</w:t>
            </w:r>
            <w:r>
              <w:rPr>
                <w:rStyle w:val="FootnoteReference"/>
                <w:b/>
              </w:rPr>
              <w:footnoteReference w:id="10"/>
            </w:r>
          </w:p>
        </w:tc>
        <w:tc>
          <w:tcPr>
            <w:tcW w:w="1620" w:type="dxa"/>
            <w:shd w:val="clear" w:color="auto" w:fill="B3B3B3"/>
            <w:vAlign w:val="bottom"/>
          </w:tcPr>
          <w:p w14:paraId="4D47F5CC" w14:textId="77777777" w:rsidR="000A4CE0" w:rsidRPr="007121BA" w:rsidRDefault="000A4CE0" w:rsidP="002E3C00">
            <w:pPr>
              <w:pStyle w:val="TableText"/>
              <w:rPr>
                <w:b/>
              </w:rPr>
            </w:pPr>
            <w:r>
              <w:rPr>
                <w:b/>
              </w:rPr>
              <w:t>Laboratory Test Name</w:t>
            </w:r>
          </w:p>
        </w:tc>
        <w:tc>
          <w:tcPr>
            <w:tcW w:w="1136" w:type="dxa"/>
            <w:shd w:val="clear" w:color="auto" w:fill="B3B3B3"/>
            <w:vAlign w:val="bottom"/>
          </w:tcPr>
          <w:p w14:paraId="5CAD7198" w14:textId="77777777" w:rsidR="000A4CE0" w:rsidRPr="007121BA" w:rsidRDefault="000A4CE0" w:rsidP="002E3C00">
            <w:pPr>
              <w:pStyle w:val="TableText"/>
              <w:rPr>
                <w:b/>
              </w:rPr>
            </w:pPr>
            <w:r>
              <w:rPr>
                <w:b/>
              </w:rPr>
              <w:t>Specimen Type</w:t>
            </w:r>
          </w:p>
        </w:tc>
        <w:tc>
          <w:tcPr>
            <w:tcW w:w="1672" w:type="dxa"/>
            <w:shd w:val="clear" w:color="auto" w:fill="B3B3B3"/>
            <w:vAlign w:val="bottom"/>
          </w:tcPr>
          <w:p w14:paraId="04EBAFEF" w14:textId="77777777" w:rsidR="000A4CE0" w:rsidRPr="007121BA" w:rsidRDefault="000A4CE0" w:rsidP="002E3C00">
            <w:pPr>
              <w:pStyle w:val="TableText"/>
              <w:rPr>
                <w:b/>
              </w:rPr>
            </w:pPr>
            <w:r>
              <w:rPr>
                <w:b/>
              </w:rPr>
              <w:t>Threshold Result</w:t>
            </w:r>
          </w:p>
        </w:tc>
      </w:tr>
      <w:tr w:rsidR="000A4CE0" w:rsidRPr="009B35EA" w14:paraId="166954CE" w14:textId="77777777">
        <w:tc>
          <w:tcPr>
            <w:tcW w:w="2019" w:type="dxa"/>
          </w:tcPr>
          <w:p w14:paraId="1F72A0EC" w14:textId="77777777" w:rsidR="000A4CE0" w:rsidRPr="009B35EA" w:rsidRDefault="000A4CE0" w:rsidP="002E3C00">
            <w:pPr>
              <w:pStyle w:val="TableText"/>
            </w:pPr>
            <w:r>
              <w:t>RED BLOOD CELLS</w:t>
            </w:r>
          </w:p>
        </w:tc>
        <w:tc>
          <w:tcPr>
            <w:tcW w:w="1689" w:type="dxa"/>
          </w:tcPr>
          <w:p w14:paraId="0B942EF7" w14:textId="77777777" w:rsidR="000A4CE0" w:rsidRPr="009B35EA" w:rsidRDefault="000A4CE0" w:rsidP="002E3C00">
            <w:pPr>
              <w:pStyle w:val="TableText"/>
            </w:pPr>
            <w:r>
              <w:sym w:font="Wingdings" w:char="F0FC"/>
            </w:r>
            <w:r>
              <w:t xml:space="preserve"> (uneditable)</w:t>
            </w:r>
          </w:p>
        </w:tc>
        <w:tc>
          <w:tcPr>
            <w:tcW w:w="1440" w:type="dxa"/>
          </w:tcPr>
          <w:p w14:paraId="4EDA7A2B" w14:textId="77777777" w:rsidR="000A4CE0" w:rsidRPr="009B35EA" w:rsidRDefault="000A4CE0" w:rsidP="002E3C00">
            <w:pPr>
              <w:pStyle w:val="TableText"/>
            </w:pPr>
          </w:p>
        </w:tc>
        <w:tc>
          <w:tcPr>
            <w:tcW w:w="1620" w:type="dxa"/>
          </w:tcPr>
          <w:p w14:paraId="2E8DA58E" w14:textId="77777777" w:rsidR="000A4CE0" w:rsidRPr="009B35EA" w:rsidRDefault="000A4CE0" w:rsidP="002E3C00">
            <w:pPr>
              <w:pStyle w:val="TableText"/>
            </w:pPr>
          </w:p>
        </w:tc>
        <w:tc>
          <w:tcPr>
            <w:tcW w:w="1136" w:type="dxa"/>
          </w:tcPr>
          <w:p w14:paraId="0B14FB93" w14:textId="77777777" w:rsidR="000A4CE0" w:rsidRPr="009B35EA" w:rsidRDefault="000A4CE0" w:rsidP="002E3C00">
            <w:pPr>
              <w:pStyle w:val="TableText"/>
            </w:pPr>
          </w:p>
        </w:tc>
        <w:tc>
          <w:tcPr>
            <w:tcW w:w="1672" w:type="dxa"/>
          </w:tcPr>
          <w:p w14:paraId="3F03F8B7" w14:textId="77777777" w:rsidR="000A4CE0" w:rsidRPr="009B35EA" w:rsidRDefault="000A4CE0" w:rsidP="002E3C00">
            <w:pPr>
              <w:pStyle w:val="TableText"/>
            </w:pPr>
          </w:p>
        </w:tc>
      </w:tr>
      <w:tr w:rsidR="000A4CE0" w:rsidRPr="009B35EA" w14:paraId="4635BF1A" w14:textId="77777777">
        <w:tc>
          <w:tcPr>
            <w:tcW w:w="2019" w:type="dxa"/>
          </w:tcPr>
          <w:p w14:paraId="61E731E2" w14:textId="77777777" w:rsidR="000A4CE0" w:rsidRPr="009B35EA" w:rsidRDefault="000A4CE0" w:rsidP="002E3C00">
            <w:pPr>
              <w:pStyle w:val="TableText"/>
            </w:pPr>
            <w:r>
              <w:t>FRESH FROZEN PLASMA</w:t>
            </w:r>
          </w:p>
        </w:tc>
        <w:tc>
          <w:tcPr>
            <w:tcW w:w="1689" w:type="dxa"/>
          </w:tcPr>
          <w:p w14:paraId="7D719D24" w14:textId="77777777" w:rsidR="000A4CE0" w:rsidRPr="009B35EA" w:rsidRDefault="000A4CE0" w:rsidP="002E3C00">
            <w:pPr>
              <w:pStyle w:val="TableText"/>
            </w:pPr>
          </w:p>
        </w:tc>
        <w:tc>
          <w:tcPr>
            <w:tcW w:w="1440" w:type="dxa"/>
          </w:tcPr>
          <w:p w14:paraId="0AA65974" w14:textId="77777777" w:rsidR="000A4CE0" w:rsidRPr="009B35EA" w:rsidRDefault="000A4CE0" w:rsidP="002E3C00">
            <w:pPr>
              <w:pStyle w:val="TableText"/>
            </w:pPr>
          </w:p>
        </w:tc>
        <w:tc>
          <w:tcPr>
            <w:tcW w:w="1620" w:type="dxa"/>
          </w:tcPr>
          <w:p w14:paraId="2AC275DB" w14:textId="77777777" w:rsidR="000A4CE0" w:rsidRPr="009B35EA" w:rsidRDefault="000A4CE0" w:rsidP="002E3C00">
            <w:pPr>
              <w:pStyle w:val="TableText"/>
            </w:pPr>
          </w:p>
        </w:tc>
        <w:tc>
          <w:tcPr>
            <w:tcW w:w="1136" w:type="dxa"/>
          </w:tcPr>
          <w:p w14:paraId="01302DAD" w14:textId="77777777" w:rsidR="000A4CE0" w:rsidRPr="009B35EA" w:rsidRDefault="000A4CE0" w:rsidP="002E3C00">
            <w:pPr>
              <w:pStyle w:val="TableText"/>
            </w:pPr>
          </w:p>
        </w:tc>
        <w:tc>
          <w:tcPr>
            <w:tcW w:w="1672" w:type="dxa"/>
          </w:tcPr>
          <w:p w14:paraId="3054F487" w14:textId="77777777" w:rsidR="000A4CE0" w:rsidRPr="009B35EA" w:rsidRDefault="000A4CE0" w:rsidP="002E3C00">
            <w:pPr>
              <w:pStyle w:val="TableText"/>
            </w:pPr>
          </w:p>
        </w:tc>
      </w:tr>
      <w:tr w:rsidR="000A4CE0" w:rsidRPr="009B35EA" w14:paraId="1A9F7FBA" w14:textId="77777777">
        <w:tc>
          <w:tcPr>
            <w:tcW w:w="2019" w:type="dxa"/>
          </w:tcPr>
          <w:p w14:paraId="16F1288B" w14:textId="77777777" w:rsidR="000A4CE0" w:rsidRDefault="000A4CE0" w:rsidP="002E3C00">
            <w:pPr>
              <w:pStyle w:val="TableText"/>
            </w:pPr>
            <w:r>
              <w:t>PLATELETS</w:t>
            </w:r>
          </w:p>
        </w:tc>
        <w:tc>
          <w:tcPr>
            <w:tcW w:w="1689" w:type="dxa"/>
          </w:tcPr>
          <w:p w14:paraId="3CAD216E" w14:textId="77777777" w:rsidR="000A4CE0" w:rsidRDefault="000A4CE0" w:rsidP="002E3C00">
            <w:pPr>
              <w:pStyle w:val="TableText"/>
            </w:pPr>
          </w:p>
        </w:tc>
        <w:tc>
          <w:tcPr>
            <w:tcW w:w="1440" w:type="dxa"/>
          </w:tcPr>
          <w:p w14:paraId="58E856FF" w14:textId="77777777" w:rsidR="000A4CE0" w:rsidRPr="009B35EA" w:rsidRDefault="000A4CE0" w:rsidP="002E3C00">
            <w:pPr>
              <w:pStyle w:val="TableText"/>
            </w:pPr>
          </w:p>
        </w:tc>
        <w:tc>
          <w:tcPr>
            <w:tcW w:w="1620" w:type="dxa"/>
          </w:tcPr>
          <w:p w14:paraId="645E4CE6" w14:textId="77777777" w:rsidR="000A4CE0" w:rsidRPr="009B35EA" w:rsidRDefault="000A4CE0" w:rsidP="002E3C00">
            <w:pPr>
              <w:pStyle w:val="TableText"/>
            </w:pPr>
          </w:p>
        </w:tc>
        <w:tc>
          <w:tcPr>
            <w:tcW w:w="1136" w:type="dxa"/>
          </w:tcPr>
          <w:p w14:paraId="10B912B6" w14:textId="77777777" w:rsidR="000A4CE0" w:rsidRPr="009B35EA" w:rsidRDefault="000A4CE0" w:rsidP="002E3C00">
            <w:pPr>
              <w:pStyle w:val="TableText"/>
            </w:pPr>
          </w:p>
        </w:tc>
        <w:tc>
          <w:tcPr>
            <w:tcW w:w="1672" w:type="dxa"/>
          </w:tcPr>
          <w:p w14:paraId="270F8CF6" w14:textId="77777777" w:rsidR="000A4CE0" w:rsidRPr="009B35EA" w:rsidRDefault="000A4CE0" w:rsidP="002E3C00">
            <w:pPr>
              <w:pStyle w:val="TableText"/>
            </w:pPr>
          </w:p>
        </w:tc>
      </w:tr>
      <w:tr w:rsidR="000A4CE0" w:rsidRPr="009B35EA" w14:paraId="1B3C8D36" w14:textId="77777777">
        <w:tc>
          <w:tcPr>
            <w:tcW w:w="2019" w:type="dxa"/>
          </w:tcPr>
          <w:p w14:paraId="73F3CB8C" w14:textId="77777777" w:rsidR="000A4CE0" w:rsidRPr="009B35EA" w:rsidRDefault="000A4CE0" w:rsidP="002E3C00">
            <w:pPr>
              <w:pStyle w:val="TableText"/>
            </w:pPr>
            <w:r>
              <w:t>CRYOPRECIPITATE</w:t>
            </w:r>
          </w:p>
        </w:tc>
        <w:tc>
          <w:tcPr>
            <w:tcW w:w="1689" w:type="dxa"/>
          </w:tcPr>
          <w:p w14:paraId="6AD4B6EA" w14:textId="77777777" w:rsidR="000A4CE0" w:rsidRPr="009B35EA" w:rsidRDefault="000A4CE0" w:rsidP="002E3C00">
            <w:pPr>
              <w:pStyle w:val="TableText"/>
            </w:pPr>
          </w:p>
        </w:tc>
        <w:tc>
          <w:tcPr>
            <w:tcW w:w="1440" w:type="dxa"/>
          </w:tcPr>
          <w:p w14:paraId="7D7A0EFD" w14:textId="77777777" w:rsidR="000A4CE0" w:rsidRPr="009B35EA" w:rsidRDefault="000A4CE0" w:rsidP="002E3C00">
            <w:pPr>
              <w:pStyle w:val="TableText"/>
            </w:pPr>
          </w:p>
        </w:tc>
        <w:tc>
          <w:tcPr>
            <w:tcW w:w="1620" w:type="dxa"/>
          </w:tcPr>
          <w:p w14:paraId="4E9DF3F9" w14:textId="77777777" w:rsidR="000A4CE0" w:rsidRPr="009B35EA" w:rsidRDefault="000A4CE0" w:rsidP="002E3C00">
            <w:pPr>
              <w:pStyle w:val="TableText"/>
            </w:pPr>
          </w:p>
        </w:tc>
        <w:tc>
          <w:tcPr>
            <w:tcW w:w="1136" w:type="dxa"/>
          </w:tcPr>
          <w:p w14:paraId="1CA57F3C" w14:textId="77777777" w:rsidR="000A4CE0" w:rsidRPr="009B35EA" w:rsidRDefault="000A4CE0" w:rsidP="002E3C00">
            <w:pPr>
              <w:pStyle w:val="TableText"/>
            </w:pPr>
          </w:p>
        </w:tc>
        <w:tc>
          <w:tcPr>
            <w:tcW w:w="1672" w:type="dxa"/>
          </w:tcPr>
          <w:p w14:paraId="140EEA3B" w14:textId="77777777" w:rsidR="000A4CE0" w:rsidRPr="009B35EA" w:rsidRDefault="000A4CE0" w:rsidP="002E3C00">
            <w:pPr>
              <w:pStyle w:val="TableText"/>
            </w:pPr>
          </w:p>
        </w:tc>
      </w:tr>
      <w:tr w:rsidR="000A4CE0" w:rsidRPr="009B35EA" w14:paraId="3DC32E95" w14:textId="77777777">
        <w:tc>
          <w:tcPr>
            <w:tcW w:w="2019" w:type="dxa"/>
          </w:tcPr>
          <w:p w14:paraId="7D0217CC" w14:textId="77777777" w:rsidR="000A4CE0" w:rsidRPr="009B35EA" w:rsidRDefault="000A4CE0" w:rsidP="002E3C00">
            <w:pPr>
              <w:pStyle w:val="TableText"/>
            </w:pPr>
            <w:r>
              <w:t>WHOLE BLOOD</w:t>
            </w:r>
          </w:p>
        </w:tc>
        <w:tc>
          <w:tcPr>
            <w:tcW w:w="1689" w:type="dxa"/>
          </w:tcPr>
          <w:p w14:paraId="5457DC61" w14:textId="77777777" w:rsidR="000A4CE0" w:rsidRPr="009B35EA" w:rsidRDefault="000A4CE0" w:rsidP="002E3C00">
            <w:pPr>
              <w:pStyle w:val="TableText"/>
            </w:pPr>
            <w:r>
              <w:sym w:font="Wingdings" w:char="F0FC"/>
            </w:r>
            <w:r>
              <w:t xml:space="preserve"> (uneditable)</w:t>
            </w:r>
          </w:p>
        </w:tc>
        <w:tc>
          <w:tcPr>
            <w:tcW w:w="1440" w:type="dxa"/>
          </w:tcPr>
          <w:p w14:paraId="49AE4509" w14:textId="77777777" w:rsidR="000A4CE0" w:rsidRPr="009B35EA" w:rsidRDefault="000A4CE0" w:rsidP="002E3C00">
            <w:pPr>
              <w:pStyle w:val="TableText"/>
            </w:pPr>
          </w:p>
        </w:tc>
        <w:tc>
          <w:tcPr>
            <w:tcW w:w="1620" w:type="dxa"/>
          </w:tcPr>
          <w:p w14:paraId="3D9B5545" w14:textId="77777777" w:rsidR="000A4CE0" w:rsidRPr="009B35EA" w:rsidRDefault="000A4CE0" w:rsidP="002E3C00">
            <w:pPr>
              <w:pStyle w:val="TableText"/>
            </w:pPr>
          </w:p>
        </w:tc>
        <w:tc>
          <w:tcPr>
            <w:tcW w:w="1136" w:type="dxa"/>
          </w:tcPr>
          <w:p w14:paraId="0B22FA3B" w14:textId="77777777" w:rsidR="000A4CE0" w:rsidRPr="009B35EA" w:rsidRDefault="000A4CE0" w:rsidP="002E3C00">
            <w:pPr>
              <w:pStyle w:val="TableText"/>
            </w:pPr>
          </w:p>
        </w:tc>
        <w:tc>
          <w:tcPr>
            <w:tcW w:w="1672" w:type="dxa"/>
          </w:tcPr>
          <w:p w14:paraId="57E66BD2" w14:textId="77777777" w:rsidR="000A4CE0" w:rsidRPr="009B35EA" w:rsidRDefault="000A4CE0" w:rsidP="002E3C00">
            <w:pPr>
              <w:pStyle w:val="TableText"/>
            </w:pPr>
          </w:p>
        </w:tc>
      </w:tr>
      <w:tr w:rsidR="000A4CE0" w:rsidRPr="009B35EA" w14:paraId="0887783C" w14:textId="77777777">
        <w:tc>
          <w:tcPr>
            <w:tcW w:w="2019" w:type="dxa"/>
          </w:tcPr>
          <w:p w14:paraId="03DED510" w14:textId="77777777" w:rsidR="000A4CE0" w:rsidRPr="009B35EA" w:rsidRDefault="000A4CE0" w:rsidP="002E3C00">
            <w:pPr>
              <w:pStyle w:val="TableText"/>
            </w:pPr>
            <w:r>
              <w:t>OTHER</w:t>
            </w:r>
          </w:p>
        </w:tc>
        <w:tc>
          <w:tcPr>
            <w:tcW w:w="1689" w:type="dxa"/>
          </w:tcPr>
          <w:p w14:paraId="16A06C81" w14:textId="77777777" w:rsidR="000A4CE0" w:rsidRPr="009B35EA" w:rsidRDefault="000A4CE0" w:rsidP="002E3C00">
            <w:pPr>
              <w:pStyle w:val="TableText"/>
            </w:pPr>
          </w:p>
        </w:tc>
        <w:tc>
          <w:tcPr>
            <w:tcW w:w="1440" w:type="dxa"/>
          </w:tcPr>
          <w:p w14:paraId="236F525A" w14:textId="77777777" w:rsidR="000A4CE0" w:rsidRPr="009B35EA" w:rsidRDefault="000A4CE0" w:rsidP="002E3C00">
            <w:pPr>
              <w:pStyle w:val="TableText"/>
            </w:pPr>
          </w:p>
        </w:tc>
        <w:tc>
          <w:tcPr>
            <w:tcW w:w="1620" w:type="dxa"/>
          </w:tcPr>
          <w:p w14:paraId="00B71719" w14:textId="77777777" w:rsidR="000A4CE0" w:rsidRPr="009B35EA" w:rsidRDefault="000A4CE0" w:rsidP="002E3C00">
            <w:pPr>
              <w:pStyle w:val="TableText"/>
            </w:pPr>
          </w:p>
        </w:tc>
        <w:tc>
          <w:tcPr>
            <w:tcW w:w="1136" w:type="dxa"/>
          </w:tcPr>
          <w:p w14:paraId="0AFDC9BD" w14:textId="77777777" w:rsidR="000A4CE0" w:rsidRPr="009B35EA" w:rsidRDefault="000A4CE0" w:rsidP="002E3C00">
            <w:pPr>
              <w:pStyle w:val="TableText"/>
            </w:pPr>
          </w:p>
        </w:tc>
        <w:tc>
          <w:tcPr>
            <w:tcW w:w="1672" w:type="dxa"/>
          </w:tcPr>
          <w:p w14:paraId="45311F38" w14:textId="77777777" w:rsidR="000A4CE0" w:rsidRPr="009B35EA" w:rsidRDefault="000A4CE0" w:rsidP="002E3C00">
            <w:pPr>
              <w:pStyle w:val="TableText"/>
            </w:pPr>
          </w:p>
        </w:tc>
      </w:tr>
    </w:tbl>
    <w:p w14:paraId="501C392A" w14:textId="77777777" w:rsidR="003E754E" w:rsidRDefault="003E754E" w:rsidP="002E3C00">
      <w:pPr>
        <w:pStyle w:val="Heading3"/>
      </w:pPr>
      <w:bookmarkStart w:id="857" w:name="_Toc85895792"/>
      <w:bookmarkStart w:id="858" w:name="_Toc113264250"/>
      <w:bookmarkStart w:id="859" w:name="_Toc114462104"/>
      <w:bookmarkStart w:id="860" w:name="_Toc85895791"/>
      <w:bookmarkStart w:id="861" w:name="_Toc113264249"/>
    </w:p>
    <w:p w14:paraId="65C9CFE8" w14:textId="77777777" w:rsidR="002E3C00" w:rsidRDefault="003E754E" w:rsidP="002E3C00">
      <w:pPr>
        <w:pStyle w:val="Heading3"/>
      </w:pPr>
      <w:r>
        <w:br w:type="page"/>
      </w:r>
      <w:bookmarkStart w:id="862" w:name="_Toc47516840"/>
      <w:r w:rsidR="002E3C00" w:rsidRPr="008F671D">
        <w:lastRenderedPageBreak/>
        <w:t>Transfusion Complication</w:t>
      </w:r>
      <w:bookmarkEnd w:id="857"/>
      <w:bookmarkEnd w:id="858"/>
      <w:r w:rsidR="002E3C00" w:rsidRPr="008F671D">
        <w:t>s</w:t>
      </w:r>
      <w:bookmarkEnd w:id="859"/>
      <w:bookmarkEnd w:id="862"/>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Transfusion Complications</w:instrText>
      </w:r>
      <w:r w:rsidR="00992E88">
        <w:instrText xml:space="preserve">" </w:instrText>
      </w:r>
      <w:r w:rsidR="00992E88">
        <w:fldChar w:fldCharType="end"/>
      </w:r>
    </w:p>
    <w:p w14:paraId="0A39D459" w14:textId="215192B4" w:rsidR="002E3C00" w:rsidRPr="00CA68EE" w:rsidRDefault="002E3C00" w:rsidP="00E10142">
      <w:pPr>
        <w:pStyle w:val="BodyText"/>
      </w:pPr>
      <w:r>
        <w:t>The user defines Laboratory tests and threshold values used to generate a report listing patients transfused within a specified period who may have developed a transfusion-associated disease.</w:t>
      </w:r>
      <w:r w:rsidR="008D2779">
        <w:t xml:space="preserve"> For more information, see </w:t>
      </w:r>
      <w:r w:rsidR="008D2779">
        <w:fldChar w:fldCharType="begin"/>
      </w:r>
      <w:r w:rsidR="008D2779">
        <w:instrText xml:space="preserve"> REF _Ref508960075 \h </w:instrText>
      </w:r>
      <w:r w:rsidR="008D2779">
        <w:fldChar w:fldCharType="separate"/>
      </w:r>
      <w:r w:rsidR="004353ED">
        <w:t xml:space="preserve">Appendix </w:t>
      </w:r>
      <w:r w:rsidR="004353ED">
        <w:rPr>
          <w:noProof/>
        </w:rPr>
        <w:t>G</w:t>
      </w:r>
      <w:r w:rsidR="004353ED">
        <w:t>: Work Process Flowcharts</w:t>
      </w:r>
      <w:r w:rsidR="008D2779">
        <w:fldChar w:fldCharType="end"/>
      </w:r>
      <w:r w:rsidR="008D2779">
        <w:t>.</w:t>
      </w:r>
    </w:p>
    <w:p w14:paraId="6793FE5F" w14:textId="77777777" w:rsidR="002E3C00" w:rsidRDefault="002E3C00" w:rsidP="002E3C00">
      <w:pPr>
        <w:pStyle w:val="Heading4"/>
        <w:rPr>
          <w:b w:val="0"/>
        </w:rPr>
      </w:pPr>
      <w:r>
        <w:t>User Roles with Access to This Option</w:t>
      </w:r>
      <w:r>
        <w:rPr>
          <w:b w:val="0"/>
        </w:rPr>
        <w:t xml:space="preserve"> </w:t>
      </w:r>
    </w:p>
    <w:p w14:paraId="33926A83" w14:textId="77777777" w:rsidR="002E3C00" w:rsidRPr="00404CAF" w:rsidRDefault="002E3C00" w:rsidP="002E3C00">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130D01ED" w14:textId="77777777" w:rsidR="002E3C00" w:rsidRDefault="00B74754" w:rsidP="002E3C00">
      <w:pPr>
        <w:pStyle w:val="Heading4"/>
      </w:pPr>
      <w:r>
        <w:t>Preparation for Testing</w:t>
      </w:r>
    </w:p>
    <w:p w14:paraId="750FAEDF" w14:textId="77777777" w:rsidR="00061FCF" w:rsidRPr="00600497" w:rsidRDefault="00061FCF" w:rsidP="000409B1">
      <w:pPr>
        <w:pStyle w:val="ListNumber"/>
        <w:numPr>
          <w:ilvl w:val="0"/>
          <w:numId w:val="28"/>
        </w:numPr>
        <w:tabs>
          <w:tab w:val="clear" w:pos="720"/>
          <w:tab w:val="num" w:pos="360"/>
        </w:tabs>
        <w:ind w:left="360"/>
      </w:pPr>
      <w:r>
        <w:t>Use t</w:t>
      </w:r>
      <w:r w:rsidRPr="00600497">
        <w:t>he sample worksheet to record information.</w:t>
      </w:r>
    </w:p>
    <w:p w14:paraId="75B48FAE" w14:textId="77777777" w:rsidR="002E3C00" w:rsidRPr="00600497" w:rsidRDefault="002E3C00" w:rsidP="000409B1">
      <w:pPr>
        <w:pStyle w:val="ListNumber"/>
        <w:numPr>
          <w:ilvl w:val="0"/>
          <w:numId w:val="28"/>
        </w:numPr>
        <w:tabs>
          <w:tab w:val="clear" w:pos="720"/>
          <w:tab w:val="num" w:pos="360"/>
        </w:tabs>
        <w:ind w:left="360"/>
      </w:pPr>
      <w:r w:rsidRPr="00600497">
        <w:t>Capture and save a screen shot of all entries.</w:t>
      </w:r>
    </w:p>
    <w:p w14:paraId="2AF8EAFE" w14:textId="77777777" w:rsidR="00232E43" w:rsidRPr="00FB7F8D" w:rsidRDefault="00232E43" w:rsidP="000409B1">
      <w:pPr>
        <w:pStyle w:val="ListNumber"/>
        <w:numPr>
          <w:ilvl w:val="0"/>
          <w:numId w:val="28"/>
        </w:numPr>
        <w:tabs>
          <w:tab w:val="clear" w:pos="720"/>
          <w:tab w:val="num" w:pos="360"/>
        </w:tabs>
        <w:ind w:left="360"/>
      </w:pPr>
      <w:r w:rsidRPr="00600497">
        <w:t xml:space="preserve">Print, </w:t>
      </w:r>
      <w:r>
        <w:t>sign, date,</w:t>
      </w:r>
      <w:r w:rsidRPr="00FB7F8D">
        <w:t xml:space="preserve"> and save an </w:t>
      </w:r>
      <w:r>
        <w:t>A</w:t>
      </w:r>
      <w:r w:rsidRPr="00FB7F8D">
        <w:t xml:space="preserve">udit </w:t>
      </w:r>
      <w:r>
        <w:t>Trail R</w:t>
      </w:r>
      <w:r w:rsidRPr="00FB7F8D">
        <w:t>eport for your validation record.</w:t>
      </w:r>
    </w:p>
    <w:p w14:paraId="2A5BD197" w14:textId="0FD66675" w:rsidR="00061FCF" w:rsidRDefault="00061FCF" w:rsidP="00061FCF">
      <w:pPr>
        <w:pStyle w:val="Caption"/>
        <w:rPr>
          <w:sz w:val="15"/>
          <w:szCs w:val="15"/>
        </w:rPr>
      </w:pPr>
      <w:bookmarkStart w:id="863" w:name="_Toc114462105"/>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34</w:t>
      </w:r>
      <w:r w:rsidR="004E20BD">
        <w:rPr>
          <w:noProof/>
        </w:rPr>
        <w:fldChar w:fldCharType="end"/>
      </w:r>
      <w:r>
        <w:t>: Transfusion Complications Worksheet</w:t>
      </w:r>
      <w:r w:rsidR="00AD60CF">
        <w:fldChar w:fldCharType="begin"/>
      </w:r>
      <w:r w:rsidR="00292A7B">
        <w:instrText xml:space="preserve"> XE "Tables:</w:instrText>
      </w:r>
      <w:r w:rsidR="00AD60CF" w:rsidRPr="0046419F">
        <w:instrText>Transfusion Complications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120"/>
        <w:gridCol w:w="3120"/>
      </w:tblGrid>
      <w:tr w:rsidR="001A5A46" w:rsidRPr="007121BA" w14:paraId="5115ECC0" w14:textId="77777777">
        <w:trPr>
          <w:tblHeader/>
        </w:trPr>
        <w:tc>
          <w:tcPr>
            <w:tcW w:w="2088" w:type="dxa"/>
            <w:shd w:val="clear" w:color="auto" w:fill="B3B3B3"/>
            <w:vAlign w:val="bottom"/>
          </w:tcPr>
          <w:p w14:paraId="1F8453FE" w14:textId="77777777" w:rsidR="001A5A46" w:rsidRPr="007121BA" w:rsidRDefault="001A5A46" w:rsidP="005129E1">
            <w:pPr>
              <w:pStyle w:val="TableText"/>
              <w:rPr>
                <w:b/>
              </w:rPr>
            </w:pPr>
            <w:r>
              <w:rPr>
                <w:b/>
              </w:rPr>
              <w:t>Laboratory Test Name</w:t>
            </w:r>
          </w:p>
        </w:tc>
        <w:tc>
          <w:tcPr>
            <w:tcW w:w="2088" w:type="dxa"/>
            <w:shd w:val="clear" w:color="auto" w:fill="B3B3B3"/>
            <w:vAlign w:val="bottom"/>
          </w:tcPr>
          <w:p w14:paraId="3296EB5A" w14:textId="77777777" w:rsidR="001A5A46" w:rsidRPr="007121BA" w:rsidRDefault="001A5A46" w:rsidP="005129E1">
            <w:pPr>
              <w:pStyle w:val="TableText"/>
              <w:rPr>
                <w:b/>
              </w:rPr>
            </w:pPr>
            <w:r>
              <w:rPr>
                <w:b/>
              </w:rPr>
              <w:t>Specimen Type</w:t>
            </w:r>
          </w:p>
        </w:tc>
        <w:tc>
          <w:tcPr>
            <w:tcW w:w="2088" w:type="dxa"/>
            <w:shd w:val="clear" w:color="auto" w:fill="B3B3B3"/>
            <w:vAlign w:val="bottom"/>
          </w:tcPr>
          <w:p w14:paraId="62CF9863" w14:textId="77777777" w:rsidR="001A5A46" w:rsidRPr="007121BA" w:rsidRDefault="001A5A46" w:rsidP="005129E1">
            <w:pPr>
              <w:pStyle w:val="TableText"/>
              <w:rPr>
                <w:b/>
              </w:rPr>
            </w:pPr>
            <w:r>
              <w:rPr>
                <w:b/>
              </w:rPr>
              <w:t>Threshold Result</w:t>
            </w:r>
          </w:p>
        </w:tc>
      </w:tr>
      <w:tr w:rsidR="001A5A46" w:rsidRPr="009B35EA" w14:paraId="09B1F63C" w14:textId="77777777">
        <w:tc>
          <w:tcPr>
            <w:tcW w:w="2088" w:type="dxa"/>
          </w:tcPr>
          <w:p w14:paraId="512852F9" w14:textId="77777777" w:rsidR="001A5A46" w:rsidRPr="009B35EA" w:rsidRDefault="001A5A46" w:rsidP="005129E1">
            <w:pPr>
              <w:pStyle w:val="TableText"/>
            </w:pPr>
          </w:p>
        </w:tc>
        <w:tc>
          <w:tcPr>
            <w:tcW w:w="2088" w:type="dxa"/>
          </w:tcPr>
          <w:p w14:paraId="1303F067" w14:textId="77777777" w:rsidR="001A5A46" w:rsidRPr="009B35EA" w:rsidRDefault="001A5A46" w:rsidP="005129E1">
            <w:pPr>
              <w:pStyle w:val="TableText"/>
            </w:pPr>
          </w:p>
        </w:tc>
        <w:tc>
          <w:tcPr>
            <w:tcW w:w="2088" w:type="dxa"/>
          </w:tcPr>
          <w:p w14:paraId="192A6002" w14:textId="77777777" w:rsidR="001A5A46" w:rsidRPr="009B35EA" w:rsidRDefault="001A5A46" w:rsidP="005129E1">
            <w:pPr>
              <w:pStyle w:val="TableText"/>
            </w:pPr>
          </w:p>
        </w:tc>
      </w:tr>
      <w:tr w:rsidR="001A5A46" w:rsidRPr="009B35EA" w14:paraId="38F89BA3" w14:textId="77777777">
        <w:tc>
          <w:tcPr>
            <w:tcW w:w="2088" w:type="dxa"/>
          </w:tcPr>
          <w:p w14:paraId="0B40168B" w14:textId="77777777" w:rsidR="001A5A46" w:rsidRPr="009B35EA" w:rsidRDefault="001A5A46" w:rsidP="005129E1">
            <w:pPr>
              <w:pStyle w:val="TableText"/>
            </w:pPr>
          </w:p>
        </w:tc>
        <w:tc>
          <w:tcPr>
            <w:tcW w:w="2088" w:type="dxa"/>
          </w:tcPr>
          <w:p w14:paraId="34AD958F" w14:textId="77777777" w:rsidR="001A5A46" w:rsidRPr="009B35EA" w:rsidRDefault="001A5A46" w:rsidP="005129E1">
            <w:pPr>
              <w:pStyle w:val="TableText"/>
            </w:pPr>
          </w:p>
        </w:tc>
        <w:tc>
          <w:tcPr>
            <w:tcW w:w="2088" w:type="dxa"/>
          </w:tcPr>
          <w:p w14:paraId="024F583C" w14:textId="77777777" w:rsidR="001A5A46" w:rsidRPr="009B35EA" w:rsidRDefault="001A5A46" w:rsidP="005129E1">
            <w:pPr>
              <w:pStyle w:val="TableText"/>
            </w:pPr>
          </w:p>
        </w:tc>
      </w:tr>
      <w:tr w:rsidR="001A5A46" w:rsidRPr="009B35EA" w14:paraId="13498A20" w14:textId="77777777">
        <w:tc>
          <w:tcPr>
            <w:tcW w:w="2088" w:type="dxa"/>
          </w:tcPr>
          <w:p w14:paraId="34778BA4" w14:textId="77777777" w:rsidR="001A5A46" w:rsidRPr="009B35EA" w:rsidRDefault="001A5A46" w:rsidP="005129E1">
            <w:pPr>
              <w:pStyle w:val="TableText"/>
            </w:pPr>
          </w:p>
        </w:tc>
        <w:tc>
          <w:tcPr>
            <w:tcW w:w="2088" w:type="dxa"/>
          </w:tcPr>
          <w:p w14:paraId="6934F1BC" w14:textId="77777777" w:rsidR="001A5A46" w:rsidRPr="009B35EA" w:rsidRDefault="001A5A46" w:rsidP="005129E1">
            <w:pPr>
              <w:pStyle w:val="TableText"/>
            </w:pPr>
          </w:p>
        </w:tc>
        <w:tc>
          <w:tcPr>
            <w:tcW w:w="2088" w:type="dxa"/>
          </w:tcPr>
          <w:p w14:paraId="2F2AAD5D" w14:textId="77777777" w:rsidR="001A5A46" w:rsidRPr="009B35EA" w:rsidRDefault="001A5A46" w:rsidP="005129E1">
            <w:pPr>
              <w:pStyle w:val="TableText"/>
            </w:pPr>
          </w:p>
        </w:tc>
      </w:tr>
      <w:tr w:rsidR="001A5A46" w:rsidRPr="009B35EA" w14:paraId="2C6D59BD" w14:textId="77777777">
        <w:tc>
          <w:tcPr>
            <w:tcW w:w="2088" w:type="dxa"/>
          </w:tcPr>
          <w:p w14:paraId="0744B017" w14:textId="77777777" w:rsidR="001A5A46" w:rsidRPr="009B35EA" w:rsidRDefault="001A5A46" w:rsidP="005129E1">
            <w:pPr>
              <w:pStyle w:val="TableText"/>
            </w:pPr>
          </w:p>
        </w:tc>
        <w:tc>
          <w:tcPr>
            <w:tcW w:w="2088" w:type="dxa"/>
          </w:tcPr>
          <w:p w14:paraId="71241A40" w14:textId="77777777" w:rsidR="001A5A46" w:rsidRPr="009B35EA" w:rsidRDefault="001A5A46" w:rsidP="005129E1">
            <w:pPr>
              <w:pStyle w:val="TableText"/>
            </w:pPr>
          </w:p>
        </w:tc>
        <w:tc>
          <w:tcPr>
            <w:tcW w:w="2088" w:type="dxa"/>
          </w:tcPr>
          <w:p w14:paraId="110FF66C" w14:textId="77777777" w:rsidR="001A5A46" w:rsidRPr="009B35EA" w:rsidRDefault="001A5A46" w:rsidP="005129E1">
            <w:pPr>
              <w:pStyle w:val="TableText"/>
            </w:pPr>
          </w:p>
        </w:tc>
      </w:tr>
      <w:tr w:rsidR="001A5A46" w:rsidRPr="009B35EA" w14:paraId="022B3A67" w14:textId="77777777">
        <w:tc>
          <w:tcPr>
            <w:tcW w:w="2088" w:type="dxa"/>
          </w:tcPr>
          <w:p w14:paraId="7A186C97" w14:textId="77777777" w:rsidR="001A5A46" w:rsidRPr="009B35EA" w:rsidRDefault="001A5A46" w:rsidP="005129E1">
            <w:pPr>
              <w:pStyle w:val="TableText"/>
            </w:pPr>
          </w:p>
        </w:tc>
        <w:tc>
          <w:tcPr>
            <w:tcW w:w="2088" w:type="dxa"/>
          </w:tcPr>
          <w:p w14:paraId="160AE142" w14:textId="77777777" w:rsidR="001A5A46" w:rsidRPr="009B35EA" w:rsidRDefault="001A5A46" w:rsidP="005129E1">
            <w:pPr>
              <w:pStyle w:val="TableText"/>
            </w:pPr>
          </w:p>
        </w:tc>
        <w:tc>
          <w:tcPr>
            <w:tcW w:w="2088" w:type="dxa"/>
          </w:tcPr>
          <w:p w14:paraId="3A7052F4" w14:textId="77777777" w:rsidR="001A5A46" w:rsidRPr="009B35EA" w:rsidRDefault="001A5A46" w:rsidP="005129E1">
            <w:pPr>
              <w:pStyle w:val="TableText"/>
            </w:pPr>
          </w:p>
        </w:tc>
      </w:tr>
      <w:tr w:rsidR="001A5A46" w:rsidRPr="009B35EA" w14:paraId="2BAC9291" w14:textId="77777777">
        <w:tc>
          <w:tcPr>
            <w:tcW w:w="2088" w:type="dxa"/>
          </w:tcPr>
          <w:p w14:paraId="4F6C3A23" w14:textId="77777777" w:rsidR="001A5A46" w:rsidRPr="009B35EA" w:rsidRDefault="001A5A46" w:rsidP="005129E1">
            <w:pPr>
              <w:pStyle w:val="TableText"/>
            </w:pPr>
          </w:p>
        </w:tc>
        <w:tc>
          <w:tcPr>
            <w:tcW w:w="2088" w:type="dxa"/>
          </w:tcPr>
          <w:p w14:paraId="05FF3DD1" w14:textId="77777777" w:rsidR="001A5A46" w:rsidRPr="009B35EA" w:rsidRDefault="001A5A46" w:rsidP="005129E1">
            <w:pPr>
              <w:pStyle w:val="TableText"/>
            </w:pPr>
          </w:p>
        </w:tc>
        <w:tc>
          <w:tcPr>
            <w:tcW w:w="2088" w:type="dxa"/>
          </w:tcPr>
          <w:p w14:paraId="2BF33107" w14:textId="77777777" w:rsidR="001A5A46" w:rsidRPr="009B35EA" w:rsidRDefault="001A5A46" w:rsidP="005129E1">
            <w:pPr>
              <w:pStyle w:val="TableText"/>
            </w:pPr>
          </w:p>
        </w:tc>
      </w:tr>
    </w:tbl>
    <w:p w14:paraId="167F80EC" w14:textId="77777777" w:rsidR="007F0132" w:rsidRDefault="007F0132" w:rsidP="005129E1">
      <w:pPr>
        <w:pStyle w:val="Heading3"/>
      </w:pPr>
    </w:p>
    <w:p w14:paraId="348192B6" w14:textId="77777777" w:rsidR="002E3C00" w:rsidRDefault="007F0132" w:rsidP="005129E1">
      <w:pPr>
        <w:pStyle w:val="Heading3"/>
      </w:pPr>
      <w:r>
        <w:br w:type="page"/>
      </w:r>
      <w:bookmarkStart w:id="864" w:name="_Toc47516841"/>
      <w:r w:rsidR="002E3C00" w:rsidRPr="008F671D">
        <w:lastRenderedPageBreak/>
        <w:t xml:space="preserve">Transfusion </w:t>
      </w:r>
      <w:bookmarkEnd w:id="860"/>
      <w:r w:rsidR="002E3C00" w:rsidRPr="008F671D">
        <w:t>Effectiveness</w:t>
      </w:r>
      <w:bookmarkEnd w:id="861"/>
      <w:bookmarkEnd w:id="863"/>
      <w:bookmarkEnd w:id="864"/>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Transfusion Effectiveness</w:instrText>
      </w:r>
      <w:r w:rsidR="00992E88">
        <w:instrText xml:space="preserve">" </w:instrText>
      </w:r>
      <w:r w:rsidR="00992E88">
        <w:fldChar w:fldCharType="end"/>
      </w:r>
    </w:p>
    <w:p w14:paraId="69E613B3" w14:textId="29990E64" w:rsidR="002E3C00" w:rsidRPr="00BA1922" w:rsidRDefault="002E3C00" w:rsidP="002E3C00">
      <w:pPr>
        <w:pStyle w:val="BodyText"/>
      </w:pPr>
      <w:r>
        <w:t xml:space="preserve">The user defines Laboratory tests to monitor the effectiveness of transfusions. </w:t>
      </w:r>
      <w:r w:rsidR="008D2779">
        <w:t xml:space="preserve">For more information, see </w:t>
      </w:r>
      <w:r w:rsidR="008D2779">
        <w:fldChar w:fldCharType="begin"/>
      </w:r>
      <w:r w:rsidR="008D2779">
        <w:instrText xml:space="preserve"> REF _Ref508960075 \h </w:instrText>
      </w:r>
      <w:r w:rsidR="008D2779">
        <w:fldChar w:fldCharType="separate"/>
      </w:r>
      <w:r w:rsidR="004353ED">
        <w:t xml:space="preserve">Appendix </w:t>
      </w:r>
      <w:r w:rsidR="004353ED">
        <w:rPr>
          <w:noProof/>
        </w:rPr>
        <w:t>G</w:t>
      </w:r>
      <w:r w:rsidR="004353ED">
        <w:t>: Work Process Flowcharts</w:t>
      </w:r>
      <w:r w:rsidR="008D2779">
        <w:fldChar w:fldCharType="end"/>
      </w:r>
      <w:r w:rsidR="008D2779">
        <w:t>.</w:t>
      </w:r>
    </w:p>
    <w:p w14:paraId="3A8EB416" w14:textId="77777777" w:rsidR="002E3C00" w:rsidRDefault="002E3C00" w:rsidP="002E3C00">
      <w:pPr>
        <w:pStyle w:val="Heading4"/>
        <w:rPr>
          <w:b w:val="0"/>
        </w:rPr>
      </w:pPr>
      <w:r>
        <w:t>User Roles with Access to This Option</w:t>
      </w:r>
      <w:r>
        <w:rPr>
          <w:b w:val="0"/>
        </w:rPr>
        <w:t xml:space="preserve"> </w:t>
      </w:r>
    </w:p>
    <w:p w14:paraId="0F9F85B7"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sidRPr="00FD030D">
        <w:t xml:space="preserve"> </w:t>
      </w:r>
    </w:p>
    <w:p w14:paraId="75D96929" w14:textId="77777777" w:rsidR="002E3C00" w:rsidRDefault="00B74754" w:rsidP="002E3C00">
      <w:pPr>
        <w:pStyle w:val="Heading4"/>
      </w:pPr>
      <w:r>
        <w:t>Preparation for Testing</w:t>
      </w:r>
    </w:p>
    <w:p w14:paraId="30A44620" w14:textId="77777777" w:rsidR="005243DA" w:rsidRPr="00600497" w:rsidRDefault="005243DA" w:rsidP="000409B1">
      <w:pPr>
        <w:pStyle w:val="ListNumber"/>
        <w:numPr>
          <w:ilvl w:val="0"/>
          <w:numId w:val="29"/>
        </w:numPr>
        <w:tabs>
          <w:tab w:val="clear" w:pos="720"/>
          <w:tab w:val="num" w:pos="360"/>
        </w:tabs>
        <w:ind w:left="360"/>
      </w:pPr>
      <w:bookmarkStart w:id="865" w:name="_Toc85895793"/>
      <w:bookmarkStart w:id="866" w:name="_Toc113264251"/>
      <w:r>
        <w:t>Use the sa</w:t>
      </w:r>
      <w:r w:rsidRPr="00600497">
        <w:t>mple worksheet to record information.</w:t>
      </w:r>
    </w:p>
    <w:p w14:paraId="292319C2" w14:textId="77777777" w:rsidR="002E3C00" w:rsidRPr="00600497" w:rsidRDefault="002E3C00" w:rsidP="000409B1">
      <w:pPr>
        <w:pStyle w:val="ListNumber"/>
        <w:numPr>
          <w:ilvl w:val="0"/>
          <w:numId w:val="29"/>
        </w:numPr>
        <w:tabs>
          <w:tab w:val="clear" w:pos="720"/>
          <w:tab w:val="num" w:pos="360"/>
        </w:tabs>
        <w:ind w:left="360"/>
      </w:pPr>
      <w:r w:rsidRPr="00600497">
        <w:t>Capture and save a screen shot of all entries.</w:t>
      </w:r>
    </w:p>
    <w:p w14:paraId="42A0030A" w14:textId="77777777" w:rsidR="00232E43" w:rsidRPr="00FB7F8D" w:rsidRDefault="00232E43" w:rsidP="000409B1">
      <w:pPr>
        <w:pStyle w:val="ListNumber"/>
        <w:numPr>
          <w:ilvl w:val="0"/>
          <w:numId w:val="29"/>
        </w:numPr>
        <w:tabs>
          <w:tab w:val="clear" w:pos="720"/>
          <w:tab w:val="num" w:pos="360"/>
        </w:tabs>
        <w:ind w:left="360"/>
      </w:pPr>
      <w:r w:rsidRPr="00600497">
        <w:t>Print, si</w:t>
      </w:r>
      <w:r>
        <w:t>gn, date,</w:t>
      </w:r>
      <w:r w:rsidRPr="00FB7F8D">
        <w:t xml:space="preserve"> and save an </w:t>
      </w:r>
      <w:r>
        <w:t>A</w:t>
      </w:r>
      <w:r w:rsidRPr="00FB7F8D">
        <w:t xml:space="preserve">udit </w:t>
      </w:r>
      <w:r>
        <w:t>Trail R</w:t>
      </w:r>
      <w:r w:rsidRPr="00FB7F8D">
        <w:t>eport for your validation record.</w:t>
      </w:r>
    </w:p>
    <w:p w14:paraId="0FA16F20" w14:textId="7D58B2C2" w:rsidR="00061FCF" w:rsidRDefault="00061FCF" w:rsidP="00061FCF">
      <w:pPr>
        <w:pStyle w:val="Caption"/>
      </w:pPr>
      <w:bookmarkStart w:id="867" w:name="_Toc11446210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35</w:t>
      </w:r>
      <w:r w:rsidR="004E20BD">
        <w:rPr>
          <w:noProof/>
        </w:rPr>
        <w:fldChar w:fldCharType="end"/>
      </w:r>
      <w:r>
        <w:t>: Transfusion Effectiveness Worksheet</w:t>
      </w:r>
      <w:r w:rsidR="00AD60CF">
        <w:fldChar w:fldCharType="begin"/>
      </w:r>
      <w:r w:rsidR="00292A7B">
        <w:instrText xml:space="preserve"> XE "Tables:</w:instrText>
      </w:r>
      <w:r w:rsidR="00AD60CF" w:rsidRPr="0046419F">
        <w:instrText>Transfusion Effectiveness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120"/>
        <w:gridCol w:w="3120"/>
      </w:tblGrid>
      <w:tr w:rsidR="003D7F63" w:rsidRPr="007121BA" w14:paraId="03B2ABD8" w14:textId="77777777">
        <w:trPr>
          <w:tblHeader/>
        </w:trPr>
        <w:tc>
          <w:tcPr>
            <w:tcW w:w="2088" w:type="dxa"/>
            <w:shd w:val="clear" w:color="auto" w:fill="B3B3B3"/>
            <w:vAlign w:val="bottom"/>
          </w:tcPr>
          <w:p w14:paraId="3F30E5F5" w14:textId="77777777" w:rsidR="003D7F63" w:rsidRPr="007121BA" w:rsidRDefault="003D7F63" w:rsidP="005129E1">
            <w:pPr>
              <w:pStyle w:val="TableText"/>
              <w:rPr>
                <w:b/>
              </w:rPr>
            </w:pPr>
            <w:r>
              <w:rPr>
                <w:b/>
              </w:rPr>
              <w:t>Laboratory Test Name</w:t>
            </w:r>
          </w:p>
        </w:tc>
        <w:tc>
          <w:tcPr>
            <w:tcW w:w="2088" w:type="dxa"/>
            <w:shd w:val="clear" w:color="auto" w:fill="B3B3B3"/>
            <w:vAlign w:val="bottom"/>
          </w:tcPr>
          <w:p w14:paraId="51F2BED8" w14:textId="77777777" w:rsidR="003D7F63" w:rsidRPr="007121BA" w:rsidRDefault="003D7F63" w:rsidP="005129E1">
            <w:pPr>
              <w:pStyle w:val="TableText"/>
              <w:rPr>
                <w:b/>
              </w:rPr>
            </w:pPr>
            <w:r>
              <w:rPr>
                <w:b/>
              </w:rPr>
              <w:t>Specimen Type</w:t>
            </w:r>
          </w:p>
        </w:tc>
        <w:tc>
          <w:tcPr>
            <w:tcW w:w="2088" w:type="dxa"/>
            <w:shd w:val="clear" w:color="auto" w:fill="B3B3B3"/>
            <w:vAlign w:val="bottom"/>
          </w:tcPr>
          <w:p w14:paraId="68905250" w14:textId="77777777" w:rsidR="003D7F63" w:rsidRPr="007121BA" w:rsidRDefault="003D7F63" w:rsidP="005129E1">
            <w:pPr>
              <w:pStyle w:val="TableText"/>
              <w:rPr>
                <w:b/>
              </w:rPr>
            </w:pPr>
            <w:r>
              <w:rPr>
                <w:b/>
              </w:rPr>
              <w:t>Threshold Result</w:t>
            </w:r>
          </w:p>
        </w:tc>
      </w:tr>
      <w:tr w:rsidR="003D7F63" w:rsidRPr="009B35EA" w14:paraId="04045009" w14:textId="77777777">
        <w:tc>
          <w:tcPr>
            <w:tcW w:w="2088" w:type="dxa"/>
          </w:tcPr>
          <w:p w14:paraId="78773CB5" w14:textId="77777777" w:rsidR="003D7F63" w:rsidRPr="009B35EA" w:rsidRDefault="003D7F63" w:rsidP="005129E1">
            <w:pPr>
              <w:pStyle w:val="TableText"/>
            </w:pPr>
          </w:p>
        </w:tc>
        <w:tc>
          <w:tcPr>
            <w:tcW w:w="2088" w:type="dxa"/>
          </w:tcPr>
          <w:p w14:paraId="1160D149" w14:textId="77777777" w:rsidR="003D7F63" w:rsidRPr="009B35EA" w:rsidRDefault="003D7F63" w:rsidP="005129E1">
            <w:pPr>
              <w:pStyle w:val="TableText"/>
            </w:pPr>
          </w:p>
        </w:tc>
        <w:tc>
          <w:tcPr>
            <w:tcW w:w="2088" w:type="dxa"/>
          </w:tcPr>
          <w:p w14:paraId="4A4995CA" w14:textId="77777777" w:rsidR="003D7F63" w:rsidRPr="009B35EA" w:rsidRDefault="003D7F63" w:rsidP="005129E1">
            <w:pPr>
              <w:pStyle w:val="TableText"/>
            </w:pPr>
          </w:p>
        </w:tc>
      </w:tr>
      <w:tr w:rsidR="003D7F63" w:rsidRPr="009B35EA" w14:paraId="0FD52F18" w14:textId="77777777">
        <w:tc>
          <w:tcPr>
            <w:tcW w:w="2088" w:type="dxa"/>
          </w:tcPr>
          <w:p w14:paraId="347F2118" w14:textId="77777777" w:rsidR="003D7F63" w:rsidRPr="009B35EA" w:rsidRDefault="003D7F63" w:rsidP="005129E1">
            <w:pPr>
              <w:pStyle w:val="TableText"/>
            </w:pPr>
          </w:p>
        </w:tc>
        <w:tc>
          <w:tcPr>
            <w:tcW w:w="2088" w:type="dxa"/>
          </w:tcPr>
          <w:p w14:paraId="0C255590" w14:textId="77777777" w:rsidR="003D7F63" w:rsidRPr="009B35EA" w:rsidRDefault="003D7F63" w:rsidP="005129E1">
            <w:pPr>
              <w:pStyle w:val="TableText"/>
            </w:pPr>
          </w:p>
        </w:tc>
        <w:tc>
          <w:tcPr>
            <w:tcW w:w="2088" w:type="dxa"/>
          </w:tcPr>
          <w:p w14:paraId="0F501F80" w14:textId="77777777" w:rsidR="003D7F63" w:rsidRPr="009B35EA" w:rsidRDefault="003D7F63" w:rsidP="005129E1">
            <w:pPr>
              <w:pStyle w:val="TableText"/>
            </w:pPr>
          </w:p>
        </w:tc>
      </w:tr>
      <w:tr w:rsidR="003D7F63" w:rsidRPr="009B35EA" w14:paraId="5A49B314" w14:textId="77777777">
        <w:tc>
          <w:tcPr>
            <w:tcW w:w="2088" w:type="dxa"/>
          </w:tcPr>
          <w:p w14:paraId="007C6B0A" w14:textId="77777777" w:rsidR="003D7F63" w:rsidRPr="009B35EA" w:rsidRDefault="003D7F63" w:rsidP="005129E1">
            <w:pPr>
              <w:pStyle w:val="TableText"/>
            </w:pPr>
          </w:p>
        </w:tc>
        <w:tc>
          <w:tcPr>
            <w:tcW w:w="2088" w:type="dxa"/>
          </w:tcPr>
          <w:p w14:paraId="4022FE67" w14:textId="77777777" w:rsidR="003D7F63" w:rsidRPr="009B35EA" w:rsidRDefault="003D7F63" w:rsidP="005129E1">
            <w:pPr>
              <w:pStyle w:val="TableText"/>
            </w:pPr>
          </w:p>
        </w:tc>
        <w:tc>
          <w:tcPr>
            <w:tcW w:w="2088" w:type="dxa"/>
          </w:tcPr>
          <w:p w14:paraId="19868FDC" w14:textId="77777777" w:rsidR="003D7F63" w:rsidRPr="009B35EA" w:rsidRDefault="003D7F63" w:rsidP="005129E1">
            <w:pPr>
              <w:pStyle w:val="TableText"/>
            </w:pPr>
          </w:p>
        </w:tc>
      </w:tr>
      <w:tr w:rsidR="003D7F63" w:rsidRPr="009B35EA" w14:paraId="2A51DBD1" w14:textId="77777777">
        <w:tc>
          <w:tcPr>
            <w:tcW w:w="2088" w:type="dxa"/>
          </w:tcPr>
          <w:p w14:paraId="5867DD08" w14:textId="77777777" w:rsidR="003D7F63" w:rsidRPr="009B35EA" w:rsidRDefault="003D7F63" w:rsidP="005129E1">
            <w:pPr>
              <w:pStyle w:val="TableText"/>
            </w:pPr>
          </w:p>
        </w:tc>
        <w:tc>
          <w:tcPr>
            <w:tcW w:w="2088" w:type="dxa"/>
          </w:tcPr>
          <w:p w14:paraId="239762C9" w14:textId="77777777" w:rsidR="003D7F63" w:rsidRPr="009B35EA" w:rsidRDefault="003D7F63" w:rsidP="005129E1">
            <w:pPr>
              <w:pStyle w:val="TableText"/>
            </w:pPr>
          </w:p>
        </w:tc>
        <w:tc>
          <w:tcPr>
            <w:tcW w:w="2088" w:type="dxa"/>
          </w:tcPr>
          <w:p w14:paraId="01B57B8F" w14:textId="77777777" w:rsidR="003D7F63" w:rsidRPr="009B35EA" w:rsidRDefault="003D7F63" w:rsidP="005129E1">
            <w:pPr>
              <w:pStyle w:val="TableText"/>
            </w:pPr>
          </w:p>
        </w:tc>
      </w:tr>
      <w:tr w:rsidR="003D7F63" w:rsidRPr="009B35EA" w14:paraId="420C2F35" w14:textId="77777777">
        <w:tc>
          <w:tcPr>
            <w:tcW w:w="2088" w:type="dxa"/>
          </w:tcPr>
          <w:p w14:paraId="216AA39E" w14:textId="77777777" w:rsidR="003D7F63" w:rsidRPr="009B35EA" w:rsidRDefault="003D7F63" w:rsidP="005129E1">
            <w:pPr>
              <w:pStyle w:val="TableText"/>
            </w:pPr>
          </w:p>
        </w:tc>
        <w:tc>
          <w:tcPr>
            <w:tcW w:w="2088" w:type="dxa"/>
          </w:tcPr>
          <w:p w14:paraId="1313A1D8" w14:textId="77777777" w:rsidR="003D7F63" w:rsidRPr="009B35EA" w:rsidRDefault="003D7F63" w:rsidP="005129E1">
            <w:pPr>
              <w:pStyle w:val="TableText"/>
            </w:pPr>
          </w:p>
        </w:tc>
        <w:tc>
          <w:tcPr>
            <w:tcW w:w="2088" w:type="dxa"/>
          </w:tcPr>
          <w:p w14:paraId="73348CD8" w14:textId="77777777" w:rsidR="003D7F63" w:rsidRPr="009B35EA" w:rsidRDefault="003D7F63" w:rsidP="005129E1">
            <w:pPr>
              <w:pStyle w:val="TableText"/>
            </w:pPr>
          </w:p>
        </w:tc>
      </w:tr>
      <w:tr w:rsidR="003D7F63" w:rsidRPr="009B35EA" w14:paraId="53E35225" w14:textId="77777777">
        <w:tc>
          <w:tcPr>
            <w:tcW w:w="2088" w:type="dxa"/>
          </w:tcPr>
          <w:p w14:paraId="687BDE17" w14:textId="77777777" w:rsidR="003D7F63" w:rsidRPr="009B35EA" w:rsidRDefault="003D7F63" w:rsidP="005129E1">
            <w:pPr>
              <w:pStyle w:val="TableText"/>
            </w:pPr>
          </w:p>
        </w:tc>
        <w:tc>
          <w:tcPr>
            <w:tcW w:w="2088" w:type="dxa"/>
          </w:tcPr>
          <w:p w14:paraId="73041063" w14:textId="77777777" w:rsidR="003D7F63" w:rsidRPr="009B35EA" w:rsidRDefault="003D7F63" w:rsidP="005129E1">
            <w:pPr>
              <w:pStyle w:val="TableText"/>
            </w:pPr>
          </w:p>
        </w:tc>
        <w:tc>
          <w:tcPr>
            <w:tcW w:w="2088" w:type="dxa"/>
          </w:tcPr>
          <w:p w14:paraId="7DF5A5B7" w14:textId="77777777" w:rsidR="003D7F63" w:rsidRPr="009B35EA" w:rsidRDefault="003D7F63" w:rsidP="005129E1">
            <w:pPr>
              <w:pStyle w:val="TableText"/>
            </w:pPr>
          </w:p>
        </w:tc>
      </w:tr>
    </w:tbl>
    <w:p w14:paraId="52D3283D" w14:textId="77777777" w:rsidR="003E754E" w:rsidRDefault="003E754E" w:rsidP="005129E1">
      <w:pPr>
        <w:pStyle w:val="Heading3"/>
        <w:rPr>
          <w:snapToGrid w:val="0"/>
        </w:rPr>
      </w:pPr>
    </w:p>
    <w:p w14:paraId="09BB7AFD" w14:textId="77777777" w:rsidR="002E3C00" w:rsidRDefault="003E754E" w:rsidP="005129E1">
      <w:pPr>
        <w:pStyle w:val="Heading3"/>
        <w:rPr>
          <w:snapToGrid w:val="0"/>
        </w:rPr>
      </w:pPr>
      <w:r>
        <w:rPr>
          <w:snapToGrid w:val="0"/>
        </w:rPr>
        <w:br w:type="page"/>
      </w:r>
      <w:bookmarkStart w:id="868" w:name="_Toc47516842"/>
      <w:r w:rsidR="002E3C00">
        <w:rPr>
          <w:snapToGrid w:val="0"/>
        </w:rPr>
        <w:lastRenderedPageBreak/>
        <w:t>Workload Codes</w:t>
      </w:r>
      <w:bookmarkEnd w:id="865"/>
      <w:bookmarkEnd w:id="866"/>
      <w:bookmarkEnd w:id="867"/>
      <w:bookmarkEnd w:id="868"/>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Workload Codes</w:instrText>
      </w:r>
      <w:r w:rsidR="00992E88">
        <w:instrText xml:space="preserve">" </w:instrText>
      </w:r>
      <w:r w:rsidR="00992E88">
        <w:rPr>
          <w:snapToGrid w:val="0"/>
        </w:rPr>
        <w:fldChar w:fldCharType="end"/>
      </w:r>
    </w:p>
    <w:p w14:paraId="7869F2AE" w14:textId="45DE295A" w:rsidR="002E3C00" w:rsidRDefault="002E3C00" w:rsidP="002E3C00">
      <w:pPr>
        <w:pStyle w:val="BodyText"/>
      </w:pPr>
      <w:r>
        <w:t xml:space="preserve">The user assigns workload Laboratory Management Index Program/National Laboratory Test (LMIP/NLT) tests to processes performed through VBECS. VBECS test names are associated with </w:t>
      </w:r>
      <w:r w:rsidRPr="00CA0045">
        <w:rPr>
          <w:bCs/>
        </w:rPr>
        <w:t>VistA</w:t>
      </w:r>
      <w:r>
        <w:t xml:space="preserve"> workload codes, </w:t>
      </w:r>
      <w:r w:rsidR="003E1A15">
        <w:t>used</w:t>
      </w:r>
      <w:r>
        <w:t xml:space="preserve"> when compiling and storing data to provide workload-related reports to </w:t>
      </w:r>
      <w:r w:rsidRPr="00CA0045">
        <w:rPr>
          <w:bCs/>
        </w:rPr>
        <w:t>VistA</w:t>
      </w:r>
      <w:r>
        <w:t>.</w:t>
      </w:r>
      <w:r w:rsidR="008D2779">
        <w:t xml:space="preserve"> For more information, see </w:t>
      </w:r>
      <w:r w:rsidR="008D2779">
        <w:fldChar w:fldCharType="begin"/>
      </w:r>
      <w:r w:rsidR="008D2779">
        <w:instrText xml:space="preserve"> REF _Ref508960075 \h </w:instrText>
      </w:r>
      <w:r w:rsidR="008D2779">
        <w:fldChar w:fldCharType="separate"/>
      </w:r>
      <w:r w:rsidR="004353ED">
        <w:t xml:space="preserve">Appendix </w:t>
      </w:r>
      <w:r w:rsidR="004353ED">
        <w:rPr>
          <w:noProof/>
        </w:rPr>
        <w:t>G</w:t>
      </w:r>
      <w:r w:rsidR="004353ED">
        <w:t>: Work Process Flowcharts</w:t>
      </w:r>
      <w:r w:rsidR="008D2779">
        <w:fldChar w:fldCharType="end"/>
      </w:r>
      <w:r w:rsidR="008D2779">
        <w:t>.</w:t>
      </w:r>
    </w:p>
    <w:p w14:paraId="138FF4F3" w14:textId="77777777" w:rsidR="002E3C00" w:rsidRDefault="002E3C00" w:rsidP="002E3C00">
      <w:pPr>
        <w:pStyle w:val="Heading4"/>
        <w:rPr>
          <w:b w:val="0"/>
        </w:rPr>
      </w:pPr>
      <w:r>
        <w:t>User Roles with Access to This Option</w:t>
      </w:r>
      <w:r>
        <w:rPr>
          <w:b w:val="0"/>
        </w:rPr>
        <w:t xml:space="preserve"> </w:t>
      </w:r>
    </w:p>
    <w:p w14:paraId="14B4CBF2"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700C932" w14:textId="77777777" w:rsidR="002E3C00" w:rsidRDefault="00B74754" w:rsidP="002E3C00">
      <w:pPr>
        <w:pStyle w:val="Heading4"/>
      </w:pPr>
      <w:r>
        <w:t>Preparation for Testing</w:t>
      </w:r>
    </w:p>
    <w:p w14:paraId="74336B89"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73B16805" w14:textId="77777777" w:rsidR="002E3C00" w:rsidRDefault="002E3C00" w:rsidP="002E3C00">
      <w:pPr>
        <w:pStyle w:val="Heading3"/>
      </w:pPr>
      <w:bookmarkStart w:id="869" w:name="_Toc85895794"/>
      <w:bookmarkStart w:id="870" w:name="_Toc113264252"/>
      <w:bookmarkStart w:id="871" w:name="_Toc114462107"/>
      <w:bookmarkStart w:id="872" w:name="_Toc47516843"/>
      <w:r>
        <w:rPr>
          <w:snapToGrid w:val="0"/>
        </w:rPr>
        <w:t xml:space="preserve">Canned </w:t>
      </w:r>
      <w:r>
        <w:t>Comments</w:t>
      </w:r>
      <w:bookmarkEnd w:id="869"/>
      <w:bookmarkEnd w:id="870"/>
      <w:bookmarkEnd w:id="871"/>
      <w:bookmarkEnd w:id="872"/>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 xml:space="preserve">Canned </w:instrText>
      </w:r>
      <w:r w:rsidR="00992E88" w:rsidRPr="00B0596E">
        <w:instrText>Comments</w:instrText>
      </w:r>
      <w:r w:rsidR="00992E88">
        <w:instrText xml:space="preserve">" </w:instrText>
      </w:r>
      <w:r w:rsidR="00992E88">
        <w:fldChar w:fldCharType="end"/>
      </w:r>
    </w:p>
    <w:p w14:paraId="77F06E64" w14:textId="43DF0616" w:rsidR="007B6183" w:rsidRPr="007B6183" w:rsidRDefault="007B6183" w:rsidP="007B6183">
      <w:pPr>
        <w:pStyle w:val="BodyText"/>
      </w:pPr>
      <w:r>
        <w:t>The user defines canned comments</w:t>
      </w:r>
      <w:r w:rsidR="008A1C39">
        <w:t>,</w:t>
      </w:r>
      <w:r>
        <w:t xml:space="preserve"> </w:t>
      </w:r>
      <w:r w:rsidR="008A1C39">
        <w:t xml:space="preserve">by category, </w:t>
      </w:r>
      <w:r>
        <w:t>for a division.</w:t>
      </w:r>
      <w:r w:rsidR="00250936">
        <w:t xml:space="preserve"> For more information, see </w:t>
      </w:r>
      <w:r w:rsidR="00250936">
        <w:fldChar w:fldCharType="begin"/>
      </w:r>
      <w:r w:rsidR="00250936">
        <w:instrText xml:space="preserve"> REF _Ref508960075 \h </w:instrText>
      </w:r>
      <w:r w:rsidR="00250936">
        <w:fldChar w:fldCharType="separate"/>
      </w:r>
      <w:r w:rsidR="004353ED">
        <w:t xml:space="preserve">Appendix </w:t>
      </w:r>
      <w:r w:rsidR="004353ED">
        <w:rPr>
          <w:noProof/>
        </w:rPr>
        <w:t>G</w:t>
      </w:r>
      <w:r w:rsidR="004353ED">
        <w:t>: Work Process Flowcharts</w:t>
      </w:r>
      <w:r w:rsidR="00250936">
        <w:fldChar w:fldCharType="end"/>
      </w:r>
      <w:r w:rsidR="00250936">
        <w:t>.</w:t>
      </w:r>
    </w:p>
    <w:p w14:paraId="5DC7E5CB" w14:textId="77777777" w:rsidR="002E3C00" w:rsidRDefault="002E3C00" w:rsidP="002E3C00">
      <w:pPr>
        <w:pStyle w:val="Heading4"/>
        <w:rPr>
          <w:b w:val="0"/>
        </w:rPr>
      </w:pPr>
      <w:r>
        <w:t>User Roles with Access to This Option</w:t>
      </w:r>
      <w:r>
        <w:rPr>
          <w:b w:val="0"/>
        </w:rPr>
        <w:t xml:space="preserve"> </w:t>
      </w:r>
    </w:p>
    <w:p w14:paraId="58C77323"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Pr>
          <w:snapToGrid w:val="0"/>
        </w:rPr>
        <w:t xml:space="preserve"> </w:t>
      </w:r>
    </w:p>
    <w:p w14:paraId="7698F01C" w14:textId="77777777" w:rsidR="002E3C00" w:rsidRDefault="00B74754" w:rsidP="002E3C00">
      <w:pPr>
        <w:pStyle w:val="Heading4"/>
      </w:pPr>
      <w:r>
        <w:t>Preparation for Testing</w:t>
      </w:r>
    </w:p>
    <w:p w14:paraId="64405FAD"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14A35348" w14:textId="77777777" w:rsidR="002E3C00" w:rsidRDefault="002E3C00" w:rsidP="002E3C00">
      <w:pPr>
        <w:pStyle w:val="Heading3"/>
      </w:pPr>
      <w:bookmarkStart w:id="873" w:name="_Toc85895795"/>
      <w:bookmarkStart w:id="874" w:name="_Toc113264253"/>
      <w:bookmarkStart w:id="875" w:name="_Toc114462108"/>
      <w:bookmarkStart w:id="876" w:name="_Toc47516844"/>
      <w:r>
        <w:t>MSBOS</w:t>
      </w:r>
      <w:bookmarkEnd w:id="873"/>
      <w:bookmarkEnd w:id="874"/>
      <w:bookmarkEnd w:id="875"/>
      <w:bookmarkEnd w:id="876"/>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MSBOS</w:instrText>
      </w:r>
      <w:r w:rsidR="00992E88">
        <w:instrText xml:space="preserve">" </w:instrText>
      </w:r>
      <w:r w:rsidR="00992E88">
        <w:fldChar w:fldCharType="end"/>
      </w:r>
    </w:p>
    <w:p w14:paraId="58BEA60E" w14:textId="52A82B38" w:rsidR="002E3C00" w:rsidRPr="006D697F" w:rsidRDefault="002E3C00" w:rsidP="00DD75E5">
      <w:pPr>
        <w:pStyle w:val="BodyText"/>
      </w:pPr>
      <w:r>
        <w:t>The user defines parameters for comparing blood component orders placed by a clinician with the Maximum Surgical Blood Ordering Schedule (MSBOS).</w:t>
      </w:r>
      <w:r w:rsidR="00250936">
        <w:t xml:space="preserve"> For more information, see </w:t>
      </w:r>
      <w:r w:rsidR="00250936">
        <w:fldChar w:fldCharType="begin"/>
      </w:r>
      <w:r w:rsidR="00250936">
        <w:instrText xml:space="preserve"> REF _Ref508960075 \h </w:instrText>
      </w:r>
      <w:r w:rsidR="00250936">
        <w:fldChar w:fldCharType="separate"/>
      </w:r>
      <w:r w:rsidR="004353ED">
        <w:t xml:space="preserve">Appendix </w:t>
      </w:r>
      <w:r w:rsidR="004353ED">
        <w:rPr>
          <w:noProof/>
        </w:rPr>
        <w:t>G</w:t>
      </w:r>
      <w:r w:rsidR="004353ED">
        <w:t>: Work Process Flowcharts</w:t>
      </w:r>
      <w:r w:rsidR="00250936">
        <w:fldChar w:fldCharType="end"/>
      </w:r>
      <w:r w:rsidR="00250936">
        <w:t>.</w:t>
      </w:r>
    </w:p>
    <w:p w14:paraId="24F54A11" w14:textId="77777777" w:rsidR="002E3C00" w:rsidRDefault="002E3C00" w:rsidP="002E3C00">
      <w:pPr>
        <w:pStyle w:val="Heading4"/>
        <w:rPr>
          <w:b w:val="0"/>
        </w:rPr>
      </w:pPr>
      <w:r>
        <w:t>User Roles with Access to This Option</w:t>
      </w:r>
      <w:r>
        <w:rPr>
          <w:b w:val="0"/>
        </w:rPr>
        <w:t xml:space="preserve"> </w:t>
      </w:r>
    </w:p>
    <w:p w14:paraId="712745FD"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 </w:t>
      </w:r>
    </w:p>
    <w:p w14:paraId="0AB4F69F" w14:textId="77777777" w:rsidR="002E3C00" w:rsidRDefault="00B74754" w:rsidP="002E3C00">
      <w:pPr>
        <w:pStyle w:val="Heading4"/>
      </w:pPr>
      <w:r>
        <w:t>Preparation for Testing</w:t>
      </w:r>
    </w:p>
    <w:p w14:paraId="5B65E10A"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6E772E12" w14:textId="77777777" w:rsidR="002E3C00" w:rsidRDefault="002E3C00" w:rsidP="002E3C00">
      <w:pPr>
        <w:pStyle w:val="Heading3"/>
        <w:rPr>
          <w:snapToGrid w:val="0"/>
        </w:rPr>
      </w:pPr>
      <w:bookmarkStart w:id="877" w:name="_Toc85895796"/>
      <w:bookmarkStart w:id="878" w:name="_Toc113264254"/>
      <w:bookmarkStart w:id="879" w:name="_Toc114462109"/>
      <w:bookmarkStart w:id="880" w:name="_Toc47516845"/>
      <w:r>
        <w:rPr>
          <w:snapToGrid w:val="0"/>
        </w:rPr>
        <w:t>Edit Invoice Text</w:t>
      </w:r>
      <w:bookmarkEnd w:id="877"/>
      <w:bookmarkEnd w:id="878"/>
      <w:bookmarkEnd w:id="879"/>
      <w:bookmarkEnd w:id="880"/>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Edit Invoice Text</w:instrText>
      </w:r>
      <w:r w:rsidR="00992E88">
        <w:instrText xml:space="preserve">" </w:instrText>
      </w:r>
      <w:r w:rsidR="00992E88">
        <w:rPr>
          <w:snapToGrid w:val="0"/>
        </w:rPr>
        <w:fldChar w:fldCharType="end"/>
      </w:r>
    </w:p>
    <w:p w14:paraId="6D2F68E4" w14:textId="77777777" w:rsidR="002E3C00" w:rsidRPr="00E0423B" w:rsidRDefault="002E3C00" w:rsidP="002E3C00">
      <w:pPr>
        <w:pStyle w:val="BodyText"/>
      </w:pPr>
      <w:r>
        <w:t xml:space="preserve">The user may edit the explanatory text above the signature on the last page of a shipping invoice. </w:t>
      </w:r>
    </w:p>
    <w:p w14:paraId="4ED7D283" w14:textId="77777777" w:rsidR="002E3C00" w:rsidRDefault="002E3C00" w:rsidP="002E3C00">
      <w:pPr>
        <w:pStyle w:val="Heading4"/>
        <w:rPr>
          <w:b w:val="0"/>
        </w:rPr>
      </w:pPr>
      <w:r>
        <w:t>User Roles with Access to This Option</w:t>
      </w:r>
      <w:r>
        <w:rPr>
          <w:b w:val="0"/>
        </w:rPr>
        <w:t xml:space="preserve"> </w:t>
      </w:r>
    </w:p>
    <w:p w14:paraId="48B3C3C8"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336AA17B" w14:textId="77777777" w:rsidR="002E3C00" w:rsidRDefault="00B74754" w:rsidP="002E3C00">
      <w:pPr>
        <w:pStyle w:val="Heading4"/>
      </w:pPr>
      <w:r>
        <w:t>Preparation for Testing</w:t>
      </w:r>
    </w:p>
    <w:p w14:paraId="1CC1ACA6"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4D09224A" w14:textId="77777777" w:rsidR="002E3C00" w:rsidRDefault="001D3D7A" w:rsidP="002E3C00">
      <w:pPr>
        <w:pStyle w:val="Heading3"/>
        <w:rPr>
          <w:snapToGrid w:val="0"/>
        </w:rPr>
      </w:pPr>
      <w:bookmarkStart w:id="881" w:name="_Toc85895797"/>
      <w:bookmarkStart w:id="882" w:name="_Toc113264255"/>
      <w:bookmarkStart w:id="883" w:name="_Toc114462110"/>
      <w:r>
        <w:rPr>
          <w:snapToGrid w:val="0"/>
        </w:rPr>
        <w:br w:type="page"/>
      </w:r>
      <w:bookmarkStart w:id="884" w:name="_Toc47516846"/>
      <w:r w:rsidR="002E3C00">
        <w:rPr>
          <w:snapToGrid w:val="0"/>
        </w:rPr>
        <w:lastRenderedPageBreak/>
        <w:t>Antibodies</w:t>
      </w:r>
      <w:bookmarkEnd w:id="881"/>
      <w:bookmarkEnd w:id="882"/>
      <w:bookmarkEnd w:id="883"/>
      <w:bookmarkEnd w:id="884"/>
      <w:r w:rsidR="00E21F36">
        <w:rPr>
          <w:snapToGrid w:val="0"/>
        </w:rPr>
        <w:fldChar w:fldCharType="begin"/>
      </w:r>
      <w:r w:rsidR="00E21F36">
        <w:instrText xml:space="preserve"> XE " System Validation:</w:instrText>
      </w:r>
      <w:r w:rsidR="00E21F36" w:rsidRPr="0081226B">
        <w:rPr>
          <w:snapToGrid w:val="0"/>
        </w:rPr>
        <w:instrText>Antibodies</w:instrText>
      </w:r>
      <w:r w:rsidR="00E21F36">
        <w:instrText xml:space="preserve">" </w:instrText>
      </w:r>
      <w:r w:rsidR="00E21F36">
        <w:rPr>
          <w:snapToGrid w:val="0"/>
        </w:rPr>
        <w:fldChar w:fldCharType="end"/>
      </w:r>
    </w:p>
    <w:p w14:paraId="72753D62" w14:textId="57E90C09" w:rsidR="002E3C00" w:rsidRDefault="002E3C00" w:rsidP="002E3C00">
      <w:pPr>
        <w:pStyle w:val="BodyText"/>
      </w:pPr>
      <w:r>
        <w:t xml:space="preserve">The user </w:t>
      </w:r>
      <w:r w:rsidR="00E15B34">
        <w:t xml:space="preserve">may </w:t>
      </w:r>
      <w:r>
        <w:t>edit certain fields in the supplied antibody table</w:t>
      </w:r>
      <w:r w:rsidR="00191728">
        <w:t xml:space="preserve"> (</w:t>
      </w:r>
      <w:r w:rsidR="00191728">
        <w:fldChar w:fldCharType="begin"/>
      </w:r>
      <w:r w:rsidR="00191728">
        <w:instrText xml:space="preserve"> REF _Ref126730855 \h </w:instrText>
      </w:r>
      <w:r w:rsidR="00191728">
        <w:fldChar w:fldCharType="separate"/>
      </w:r>
      <w:r w:rsidR="004353ED">
        <w:t xml:space="preserve">Table </w:t>
      </w:r>
      <w:r w:rsidR="004353ED">
        <w:rPr>
          <w:noProof/>
        </w:rPr>
        <w:t>14</w:t>
      </w:r>
      <w:r w:rsidR="00191728">
        <w:fldChar w:fldCharType="end"/>
      </w:r>
      <w:r w:rsidR="00191728">
        <w:t>).</w:t>
      </w:r>
      <w:r w:rsidR="0063037F">
        <w:t xml:space="preserve"> Use</w:t>
      </w:r>
      <w:r w:rsidR="00191728">
        <w:t xml:space="preserve"> </w:t>
      </w:r>
      <w:r w:rsidR="00E15B34">
        <w:fldChar w:fldCharType="begin"/>
      </w:r>
      <w:r w:rsidR="00E15B34">
        <w:instrText xml:space="preserve"> REF _Ref169421522 \h </w:instrText>
      </w:r>
      <w:r w:rsidR="00E15B34">
        <w:fldChar w:fldCharType="separate"/>
      </w:r>
      <w:r w:rsidR="004353ED">
        <w:t xml:space="preserve">Table </w:t>
      </w:r>
      <w:r w:rsidR="004353ED">
        <w:rPr>
          <w:noProof/>
        </w:rPr>
        <w:t>36</w:t>
      </w:r>
      <w:r w:rsidR="00E15B34">
        <w:fldChar w:fldCharType="end"/>
      </w:r>
      <w:r w:rsidR="0063037F">
        <w:t xml:space="preserve"> (</w:t>
      </w:r>
      <w:r w:rsidR="00191728">
        <w:t xml:space="preserve">extracted from </w:t>
      </w:r>
      <w:r w:rsidR="00191728">
        <w:fldChar w:fldCharType="begin"/>
      </w:r>
      <w:r w:rsidR="00191728">
        <w:instrText xml:space="preserve"> REF _Ref126730855 \h </w:instrText>
      </w:r>
      <w:r w:rsidR="00191728">
        <w:fldChar w:fldCharType="separate"/>
      </w:r>
      <w:r w:rsidR="004353ED">
        <w:t xml:space="preserve">Table </w:t>
      </w:r>
      <w:r w:rsidR="004353ED">
        <w:rPr>
          <w:noProof/>
        </w:rPr>
        <w:t>14</w:t>
      </w:r>
      <w:r w:rsidR="00191728">
        <w:fldChar w:fldCharType="end"/>
      </w:r>
      <w:r w:rsidR="0063037F">
        <w:t>) to document local decisions on antigen-negative settings.</w:t>
      </w:r>
      <w:r w:rsidR="003C6D47">
        <w:t xml:space="preserve"> </w:t>
      </w:r>
      <w:r w:rsidR="008D2779">
        <w:t xml:space="preserve">For more information, see </w:t>
      </w:r>
      <w:r w:rsidR="008D2779">
        <w:fldChar w:fldCharType="begin"/>
      </w:r>
      <w:r w:rsidR="008D2779">
        <w:instrText xml:space="preserve"> REF _Ref508960075 \h </w:instrText>
      </w:r>
      <w:r w:rsidR="008D2779">
        <w:fldChar w:fldCharType="separate"/>
      </w:r>
      <w:r w:rsidR="004353ED">
        <w:t xml:space="preserve">Appendix </w:t>
      </w:r>
      <w:r w:rsidR="004353ED">
        <w:rPr>
          <w:noProof/>
        </w:rPr>
        <w:t>G</w:t>
      </w:r>
      <w:r w:rsidR="004353ED">
        <w:t>: Work Process Flowcharts</w:t>
      </w:r>
      <w:r w:rsidR="008D2779">
        <w:fldChar w:fldCharType="end"/>
      </w:r>
      <w:r w:rsidR="008D2779">
        <w:t>.</w:t>
      </w:r>
      <w:r w:rsidR="00432FCC" w:rsidRPr="00E15B34">
        <w:rPr>
          <w:vanish/>
        </w:rPr>
        <w:t>(DR 2,617)</w:t>
      </w:r>
    </w:p>
    <w:p w14:paraId="16C0C3E7" w14:textId="5FFF3179" w:rsidR="00E15B34" w:rsidRDefault="00E15B34" w:rsidP="00E15B34">
      <w:pPr>
        <w:pStyle w:val="Caption"/>
      </w:pPr>
      <w:bookmarkStart w:id="885" w:name="_Ref169421522"/>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36</w:t>
      </w:r>
      <w:r w:rsidR="004E20BD">
        <w:rPr>
          <w:noProof/>
        </w:rPr>
        <w:fldChar w:fldCharType="end"/>
      </w:r>
      <w:bookmarkEnd w:id="885"/>
      <w:r>
        <w:t>: User-Defined Antigen Negative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30"/>
        <w:gridCol w:w="1331"/>
        <w:gridCol w:w="1053"/>
        <w:gridCol w:w="1331"/>
        <w:gridCol w:w="4315"/>
      </w:tblGrid>
      <w:tr w:rsidR="004E75A5" w:rsidRPr="004E75A5" w14:paraId="2C39DC9A" w14:textId="77777777">
        <w:trPr>
          <w:tblHeader/>
        </w:trPr>
        <w:tc>
          <w:tcPr>
            <w:tcW w:w="2661" w:type="dxa"/>
            <w:gridSpan w:val="2"/>
            <w:tcBorders>
              <w:bottom w:val="single" w:sz="4" w:space="0" w:color="auto"/>
            </w:tcBorders>
            <w:shd w:val="clear" w:color="auto" w:fill="B3B3B3"/>
            <w:vAlign w:val="bottom"/>
          </w:tcPr>
          <w:p w14:paraId="7C282C96" w14:textId="77777777" w:rsidR="004E75A5" w:rsidRPr="004E75A5" w:rsidRDefault="004E75A5" w:rsidP="004E75A5">
            <w:pPr>
              <w:pStyle w:val="TableText"/>
              <w:jc w:val="center"/>
              <w:rPr>
                <w:b/>
              </w:rPr>
            </w:pPr>
            <w:r w:rsidRPr="004E75A5">
              <w:rPr>
                <w:b/>
              </w:rPr>
              <w:t>Antibody Name</w:t>
            </w:r>
          </w:p>
        </w:tc>
        <w:tc>
          <w:tcPr>
            <w:tcW w:w="1053" w:type="dxa"/>
            <w:vMerge w:val="restart"/>
            <w:shd w:val="clear" w:color="auto" w:fill="B3B3B3"/>
            <w:vAlign w:val="bottom"/>
          </w:tcPr>
          <w:p w14:paraId="2C43751F" w14:textId="77777777" w:rsidR="004E75A5" w:rsidRPr="004E75A5" w:rsidRDefault="004E75A5" w:rsidP="00432FCC">
            <w:pPr>
              <w:pStyle w:val="TableText"/>
              <w:rPr>
                <w:b/>
                <w:bCs/>
              </w:rPr>
            </w:pPr>
            <w:r w:rsidRPr="004E75A5">
              <w:rPr>
                <w:b/>
                <w:bCs/>
              </w:rPr>
              <w:t>Clinically Significant?</w:t>
            </w:r>
          </w:p>
        </w:tc>
        <w:tc>
          <w:tcPr>
            <w:tcW w:w="1331" w:type="dxa"/>
            <w:vMerge w:val="restart"/>
            <w:shd w:val="clear" w:color="auto" w:fill="B3B3B3"/>
            <w:vAlign w:val="bottom"/>
          </w:tcPr>
          <w:p w14:paraId="32F0FF34" w14:textId="77777777" w:rsidR="004E75A5" w:rsidRPr="004E75A5" w:rsidRDefault="004E75A5" w:rsidP="00432FCC">
            <w:pPr>
              <w:pStyle w:val="TableText"/>
              <w:rPr>
                <w:b/>
              </w:rPr>
            </w:pPr>
            <w:r w:rsidRPr="004E75A5">
              <w:rPr>
                <w:b/>
              </w:rPr>
              <w:t>VBECS Antigen Negative Setting Default</w:t>
            </w:r>
          </w:p>
        </w:tc>
        <w:tc>
          <w:tcPr>
            <w:tcW w:w="4315" w:type="dxa"/>
            <w:vMerge w:val="restart"/>
            <w:shd w:val="clear" w:color="auto" w:fill="B3B3B3"/>
            <w:vAlign w:val="bottom"/>
          </w:tcPr>
          <w:p w14:paraId="627B38AB" w14:textId="77777777" w:rsidR="004E75A5" w:rsidRPr="004E75A5" w:rsidRDefault="004E75A5" w:rsidP="00432FCC">
            <w:pPr>
              <w:pStyle w:val="TableText"/>
              <w:rPr>
                <w:rFonts w:eastAsia="Symbol"/>
                <w:b/>
              </w:rPr>
            </w:pPr>
            <w:r w:rsidRPr="004E75A5">
              <w:rPr>
                <w:rFonts w:eastAsia="Symbol"/>
                <w:b/>
              </w:rPr>
              <w:t>Local comments and decisions on antigen-negative settings.</w:t>
            </w:r>
          </w:p>
        </w:tc>
      </w:tr>
      <w:tr w:rsidR="004E75A5" w:rsidRPr="004E75A5" w14:paraId="5A60FF33" w14:textId="77777777">
        <w:trPr>
          <w:tblHeader/>
        </w:trPr>
        <w:tc>
          <w:tcPr>
            <w:tcW w:w="1330" w:type="dxa"/>
            <w:shd w:val="clear" w:color="auto" w:fill="B3B3B3"/>
            <w:vAlign w:val="bottom"/>
          </w:tcPr>
          <w:p w14:paraId="42D0C9AD" w14:textId="77777777" w:rsidR="004E75A5" w:rsidRPr="004E75A5" w:rsidRDefault="004E75A5" w:rsidP="00432FCC">
            <w:pPr>
              <w:pStyle w:val="TableText"/>
              <w:rPr>
                <w:b/>
              </w:rPr>
            </w:pPr>
            <w:r w:rsidRPr="004E75A5">
              <w:rPr>
                <w:b/>
              </w:rPr>
              <w:t>VBECS</w:t>
            </w:r>
          </w:p>
        </w:tc>
        <w:tc>
          <w:tcPr>
            <w:tcW w:w="1331" w:type="dxa"/>
            <w:shd w:val="clear" w:color="auto" w:fill="B3B3B3"/>
            <w:vAlign w:val="bottom"/>
          </w:tcPr>
          <w:p w14:paraId="5ED5C17F" w14:textId="77777777" w:rsidR="004E75A5" w:rsidRPr="004E75A5" w:rsidRDefault="004E75A5" w:rsidP="00432FCC">
            <w:pPr>
              <w:pStyle w:val="TableText"/>
              <w:rPr>
                <w:b/>
              </w:rPr>
            </w:pPr>
            <w:r w:rsidRPr="004E75A5">
              <w:rPr>
                <w:b/>
              </w:rPr>
              <w:t>VistA</w:t>
            </w:r>
          </w:p>
        </w:tc>
        <w:tc>
          <w:tcPr>
            <w:tcW w:w="1053" w:type="dxa"/>
            <w:vMerge/>
            <w:shd w:val="clear" w:color="auto" w:fill="auto"/>
            <w:vAlign w:val="bottom"/>
          </w:tcPr>
          <w:p w14:paraId="496D0233" w14:textId="77777777" w:rsidR="004E75A5" w:rsidRPr="004E75A5" w:rsidRDefault="004E75A5" w:rsidP="00432FCC">
            <w:pPr>
              <w:pStyle w:val="TableText"/>
              <w:rPr>
                <w:b/>
                <w:bCs/>
              </w:rPr>
            </w:pPr>
          </w:p>
        </w:tc>
        <w:tc>
          <w:tcPr>
            <w:tcW w:w="1331" w:type="dxa"/>
            <w:vMerge/>
            <w:shd w:val="clear" w:color="auto" w:fill="auto"/>
            <w:vAlign w:val="bottom"/>
          </w:tcPr>
          <w:p w14:paraId="75FA28EE" w14:textId="77777777" w:rsidR="004E75A5" w:rsidRPr="004E75A5" w:rsidRDefault="004E75A5" w:rsidP="00432FCC">
            <w:pPr>
              <w:pStyle w:val="TableText"/>
              <w:rPr>
                <w:b/>
              </w:rPr>
            </w:pPr>
          </w:p>
        </w:tc>
        <w:tc>
          <w:tcPr>
            <w:tcW w:w="4315" w:type="dxa"/>
            <w:vMerge/>
            <w:shd w:val="clear" w:color="auto" w:fill="auto"/>
            <w:vAlign w:val="bottom"/>
          </w:tcPr>
          <w:p w14:paraId="19011A77" w14:textId="77777777" w:rsidR="004E75A5" w:rsidRPr="004E75A5" w:rsidRDefault="004E75A5" w:rsidP="00432FCC">
            <w:pPr>
              <w:pStyle w:val="TableText"/>
              <w:rPr>
                <w:rFonts w:eastAsia="Symbol"/>
                <w:b/>
              </w:rPr>
            </w:pPr>
          </w:p>
        </w:tc>
      </w:tr>
      <w:tr w:rsidR="00432FCC" w14:paraId="1FE49D31" w14:textId="77777777">
        <w:tc>
          <w:tcPr>
            <w:tcW w:w="1330" w:type="dxa"/>
            <w:shd w:val="clear" w:color="auto" w:fill="auto"/>
            <w:vAlign w:val="center"/>
          </w:tcPr>
          <w:p w14:paraId="562B3BAA" w14:textId="77777777" w:rsidR="00432FCC" w:rsidRDefault="00432FCC" w:rsidP="00432FCC">
            <w:pPr>
              <w:pStyle w:val="TableText"/>
              <w:rPr>
                <w:rFonts w:eastAsia="Symbol"/>
              </w:rPr>
            </w:pPr>
            <w:r>
              <w:t>Anti-Kp(a)</w:t>
            </w:r>
          </w:p>
        </w:tc>
        <w:tc>
          <w:tcPr>
            <w:tcW w:w="1331" w:type="dxa"/>
            <w:shd w:val="clear" w:color="auto" w:fill="auto"/>
            <w:vAlign w:val="center"/>
          </w:tcPr>
          <w:p w14:paraId="539CD76D" w14:textId="77777777" w:rsidR="00432FCC" w:rsidRDefault="00432FCC" w:rsidP="00432FCC">
            <w:pPr>
              <w:pStyle w:val="TableText"/>
              <w:rPr>
                <w:rFonts w:eastAsia="Symbol"/>
              </w:rPr>
            </w:pPr>
            <w:r>
              <w:t>Anti-Kp(a)</w:t>
            </w:r>
          </w:p>
        </w:tc>
        <w:tc>
          <w:tcPr>
            <w:tcW w:w="1053" w:type="dxa"/>
            <w:shd w:val="clear" w:color="auto" w:fill="auto"/>
            <w:vAlign w:val="center"/>
          </w:tcPr>
          <w:p w14:paraId="4301554D" w14:textId="77777777" w:rsidR="00432FCC" w:rsidRDefault="00432FCC" w:rsidP="00432FCC">
            <w:pPr>
              <w:pStyle w:val="TableText"/>
              <w:rPr>
                <w:b/>
                <w:bCs/>
              </w:rPr>
            </w:pPr>
            <w:r>
              <w:rPr>
                <w:bCs/>
              </w:rPr>
              <w:t>Yes</w:t>
            </w:r>
          </w:p>
        </w:tc>
        <w:tc>
          <w:tcPr>
            <w:tcW w:w="1331" w:type="dxa"/>
            <w:shd w:val="clear" w:color="auto" w:fill="auto"/>
            <w:vAlign w:val="center"/>
          </w:tcPr>
          <w:p w14:paraId="2532499C" w14:textId="77777777" w:rsidR="00432FCC" w:rsidRDefault="00432FCC" w:rsidP="00432FCC">
            <w:pPr>
              <w:pStyle w:val="TableText"/>
              <w:rPr>
                <w:rFonts w:eastAsia="Symbol"/>
              </w:rPr>
            </w:pPr>
            <w:r>
              <w:t>No</w:t>
            </w:r>
          </w:p>
        </w:tc>
        <w:tc>
          <w:tcPr>
            <w:tcW w:w="4315" w:type="dxa"/>
            <w:shd w:val="clear" w:color="auto" w:fill="auto"/>
            <w:vAlign w:val="center"/>
          </w:tcPr>
          <w:p w14:paraId="153EA8F6" w14:textId="77777777" w:rsidR="00432FCC" w:rsidRDefault="00432FCC" w:rsidP="00432FCC">
            <w:pPr>
              <w:pStyle w:val="TableText"/>
              <w:rPr>
                <w:rFonts w:eastAsia="Symbol"/>
              </w:rPr>
            </w:pPr>
          </w:p>
        </w:tc>
      </w:tr>
      <w:tr w:rsidR="00432FCC" w14:paraId="7040FE4C" w14:textId="77777777">
        <w:tc>
          <w:tcPr>
            <w:tcW w:w="1330" w:type="dxa"/>
            <w:shd w:val="clear" w:color="auto" w:fill="auto"/>
            <w:vAlign w:val="center"/>
          </w:tcPr>
          <w:p w14:paraId="206F20A4" w14:textId="77777777" w:rsidR="00432FCC" w:rsidRDefault="00432FCC" w:rsidP="00432FCC">
            <w:pPr>
              <w:pStyle w:val="TableText"/>
              <w:rPr>
                <w:rFonts w:eastAsia="Symbol"/>
              </w:rPr>
            </w:pPr>
            <w:r>
              <w:t>Anti-Kp(b)</w:t>
            </w:r>
          </w:p>
        </w:tc>
        <w:tc>
          <w:tcPr>
            <w:tcW w:w="1331" w:type="dxa"/>
            <w:shd w:val="clear" w:color="auto" w:fill="auto"/>
            <w:vAlign w:val="center"/>
          </w:tcPr>
          <w:p w14:paraId="62440420" w14:textId="77777777" w:rsidR="00432FCC" w:rsidRDefault="00432FCC" w:rsidP="00432FCC">
            <w:pPr>
              <w:pStyle w:val="TableText"/>
              <w:rPr>
                <w:rFonts w:eastAsia="Symbol"/>
              </w:rPr>
            </w:pPr>
            <w:r>
              <w:t>Anti-Kp(b)</w:t>
            </w:r>
          </w:p>
        </w:tc>
        <w:tc>
          <w:tcPr>
            <w:tcW w:w="1053" w:type="dxa"/>
            <w:shd w:val="clear" w:color="auto" w:fill="auto"/>
            <w:vAlign w:val="center"/>
          </w:tcPr>
          <w:p w14:paraId="665F2394" w14:textId="77777777" w:rsidR="00432FCC" w:rsidRDefault="00432FCC" w:rsidP="00432FCC">
            <w:pPr>
              <w:pStyle w:val="TableText"/>
              <w:rPr>
                <w:b/>
                <w:bCs/>
              </w:rPr>
            </w:pPr>
            <w:r>
              <w:rPr>
                <w:bCs/>
              </w:rPr>
              <w:t>Yes</w:t>
            </w:r>
          </w:p>
        </w:tc>
        <w:tc>
          <w:tcPr>
            <w:tcW w:w="1331" w:type="dxa"/>
            <w:shd w:val="clear" w:color="auto" w:fill="auto"/>
            <w:vAlign w:val="center"/>
          </w:tcPr>
          <w:p w14:paraId="6AE4CA71" w14:textId="77777777" w:rsidR="00432FCC" w:rsidRDefault="00432FCC" w:rsidP="00432FCC">
            <w:pPr>
              <w:pStyle w:val="TableText"/>
              <w:rPr>
                <w:rFonts w:eastAsia="Symbol"/>
              </w:rPr>
            </w:pPr>
            <w:r>
              <w:t>No</w:t>
            </w:r>
          </w:p>
        </w:tc>
        <w:tc>
          <w:tcPr>
            <w:tcW w:w="4315" w:type="dxa"/>
            <w:shd w:val="clear" w:color="auto" w:fill="auto"/>
            <w:vAlign w:val="center"/>
          </w:tcPr>
          <w:p w14:paraId="66373D8C" w14:textId="77777777" w:rsidR="00432FCC" w:rsidRDefault="00432FCC" w:rsidP="00432FCC">
            <w:pPr>
              <w:pStyle w:val="TableText"/>
              <w:rPr>
                <w:rFonts w:eastAsia="Symbol"/>
              </w:rPr>
            </w:pPr>
          </w:p>
        </w:tc>
      </w:tr>
      <w:tr w:rsidR="00432FCC" w14:paraId="4833EEB3" w14:textId="77777777">
        <w:tc>
          <w:tcPr>
            <w:tcW w:w="1330" w:type="dxa"/>
            <w:shd w:val="clear" w:color="auto" w:fill="auto"/>
            <w:vAlign w:val="center"/>
          </w:tcPr>
          <w:p w14:paraId="08688CAB" w14:textId="77777777" w:rsidR="00432FCC" w:rsidRDefault="00432FCC" w:rsidP="00432FCC">
            <w:pPr>
              <w:pStyle w:val="TableText"/>
              <w:rPr>
                <w:rFonts w:eastAsia="Symbol"/>
              </w:rPr>
            </w:pPr>
            <w:r>
              <w:t>Anti-M</w:t>
            </w:r>
          </w:p>
        </w:tc>
        <w:tc>
          <w:tcPr>
            <w:tcW w:w="1331" w:type="dxa"/>
            <w:shd w:val="clear" w:color="auto" w:fill="auto"/>
            <w:vAlign w:val="center"/>
          </w:tcPr>
          <w:p w14:paraId="2DE934B2" w14:textId="77777777" w:rsidR="00432FCC" w:rsidRDefault="00432FCC" w:rsidP="00432FCC">
            <w:pPr>
              <w:pStyle w:val="TableText"/>
            </w:pPr>
            <w:r>
              <w:t>Anti-M</w:t>
            </w:r>
          </w:p>
        </w:tc>
        <w:tc>
          <w:tcPr>
            <w:tcW w:w="1053" w:type="dxa"/>
            <w:shd w:val="clear" w:color="auto" w:fill="auto"/>
            <w:vAlign w:val="center"/>
          </w:tcPr>
          <w:p w14:paraId="66974975" w14:textId="77777777" w:rsidR="00432FCC" w:rsidRDefault="00432FCC" w:rsidP="00432FCC">
            <w:pPr>
              <w:pStyle w:val="TableText"/>
            </w:pPr>
            <w:r>
              <w:t>No</w:t>
            </w:r>
          </w:p>
        </w:tc>
        <w:tc>
          <w:tcPr>
            <w:tcW w:w="1331" w:type="dxa"/>
            <w:shd w:val="clear" w:color="auto" w:fill="auto"/>
            <w:vAlign w:val="center"/>
          </w:tcPr>
          <w:p w14:paraId="54EA0191" w14:textId="77777777" w:rsidR="00432FCC" w:rsidRDefault="00432FCC" w:rsidP="00432FCC">
            <w:pPr>
              <w:pStyle w:val="TableText"/>
              <w:rPr>
                <w:rFonts w:eastAsia="Symbol"/>
              </w:rPr>
            </w:pPr>
            <w:r>
              <w:t>No</w:t>
            </w:r>
          </w:p>
        </w:tc>
        <w:tc>
          <w:tcPr>
            <w:tcW w:w="4315" w:type="dxa"/>
            <w:shd w:val="clear" w:color="auto" w:fill="auto"/>
            <w:vAlign w:val="center"/>
          </w:tcPr>
          <w:p w14:paraId="304AFF61" w14:textId="77777777" w:rsidR="00432FCC" w:rsidRDefault="00432FCC" w:rsidP="00432FCC">
            <w:pPr>
              <w:pStyle w:val="TableText"/>
              <w:rPr>
                <w:rFonts w:eastAsia="Symbol"/>
              </w:rPr>
            </w:pPr>
          </w:p>
        </w:tc>
      </w:tr>
      <w:tr w:rsidR="00432FCC" w14:paraId="14F1B003" w14:textId="77777777">
        <w:tc>
          <w:tcPr>
            <w:tcW w:w="1330" w:type="dxa"/>
            <w:shd w:val="clear" w:color="auto" w:fill="auto"/>
            <w:vAlign w:val="center"/>
          </w:tcPr>
          <w:p w14:paraId="0B59274A" w14:textId="77777777" w:rsidR="00432FCC" w:rsidRDefault="00432FCC" w:rsidP="00432FCC">
            <w:pPr>
              <w:pStyle w:val="TableText"/>
              <w:rPr>
                <w:rFonts w:eastAsia="Symbol"/>
              </w:rPr>
            </w:pPr>
            <w:r>
              <w:t>Anti-N</w:t>
            </w:r>
          </w:p>
        </w:tc>
        <w:tc>
          <w:tcPr>
            <w:tcW w:w="1331" w:type="dxa"/>
            <w:shd w:val="clear" w:color="auto" w:fill="auto"/>
            <w:vAlign w:val="center"/>
          </w:tcPr>
          <w:p w14:paraId="764508B0" w14:textId="77777777" w:rsidR="00432FCC" w:rsidRDefault="00432FCC" w:rsidP="00432FCC">
            <w:pPr>
              <w:pStyle w:val="TableText"/>
            </w:pPr>
            <w:r>
              <w:t>Anti-N</w:t>
            </w:r>
          </w:p>
        </w:tc>
        <w:tc>
          <w:tcPr>
            <w:tcW w:w="1053" w:type="dxa"/>
            <w:shd w:val="clear" w:color="auto" w:fill="auto"/>
            <w:vAlign w:val="center"/>
          </w:tcPr>
          <w:p w14:paraId="516B3ABA" w14:textId="77777777" w:rsidR="00432FCC" w:rsidRDefault="00432FCC" w:rsidP="00432FCC">
            <w:pPr>
              <w:pStyle w:val="TableText"/>
            </w:pPr>
            <w:r>
              <w:t>No</w:t>
            </w:r>
          </w:p>
        </w:tc>
        <w:tc>
          <w:tcPr>
            <w:tcW w:w="1331" w:type="dxa"/>
            <w:shd w:val="clear" w:color="auto" w:fill="auto"/>
            <w:vAlign w:val="center"/>
          </w:tcPr>
          <w:p w14:paraId="19B8D5E7" w14:textId="77777777" w:rsidR="00432FCC" w:rsidRDefault="00432FCC" w:rsidP="00432FCC">
            <w:pPr>
              <w:pStyle w:val="TableText"/>
              <w:rPr>
                <w:rFonts w:eastAsia="Symbol"/>
              </w:rPr>
            </w:pPr>
            <w:r>
              <w:t>No</w:t>
            </w:r>
          </w:p>
        </w:tc>
        <w:tc>
          <w:tcPr>
            <w:tcW w:w="4315" w:type="dxa"/>
            <w:shd w:val="clear" w:color="auto" w:fill="auto"/>
            <w:vAlign w:val="center"/>
          </w:tcPr>
          <w:p w14:paraId="62F2BAB5" w14:textId="77777777" w:rsidR="00432FCC" w:rsidRDefault="00432FCC" w:rsidP="00432FCC">
            <w:pPr>
              <w:pStyle w:val="TableText"/>
              <w:rPr>
                <w:rFonts w:eastAsia="Symbol"/>
              </w:rPr>
            </w:pPr>
          </w:p>
        </w:tc>
      </w:tr>
      <w:tr w:rsidR="00432FCC" w14:paraId="4831F528" w14:textId="77777777">
        <w:tc>
          <w:tcPr>
            <w:tcW w:w="1330" w:type="dxa"/>
            <w:shd w:val="clear" w:color="auto" w:fill="auto"/>
            <w:vAlign w:val="center"/>
          </w:tcPr>
          <w:p w14:paraId="16FA190B" w14:textId="77777777" w:rsidR="00432FCC" w:rsidRDefault="00432FCC" w:rsidP="00432FCC">
            <w:pPr>
              <w:pStyle w:val="TableText"/>
              <w:rPr>
                <w:rFonts w:eastAsia="Symbol"/>
              </w:rPr>
            </w:pPr>
            <w:r>
              <w:t>Anti-U</w:t>
            </w:r>
          </w:p>
        </w:tc>
        <w:tc>
          <w:tcPr>
            <w:tcW w:w="1331" w:type="dxa"/>
            <w:shd w:val="clear" w:color="auto" w:fill="auto"/>
            <w:vAlign w:val="center"/>
          </w:tcPr>
          <w:p w14:paraId="139F6615" w14:textId="77777777" w:rsidR="00432FCC" w:rsidRDefault="00432FCC" w:rsidP="00432FCC">
            <w:pPr>
              <w:pStyle w:val="TableText"/>
              <w:rPr>
                <w:b/>
                <w:bCs/>
              </w:rPr>
            </w:pPr>
            <w:r>
              <w:t>Anti-U</w:t>
            </w:r>
          </w:p>
        </w:tc>
        <w:tc>
          <w:tcPr>
            <w:tcW w:w="1053" w:type="dxa"/>
            <w:shd w:val="clear" w:color="auto" w:fill="auto"/>
            <w:vAlign w:val="center"/>
          </w:tcPr>
          <w:p w14:paraId="651BF81D" w14:textId="77777777" w:rsidR="00432FCC" w:rsidRDefault="00432FCC" w:rsidP="00432FCC">
            <w:pPr>
              <w:pStyle w:val="TableText"/>
              <w:rPr>
                <w:b/>
                <w:bCs/>
              </w:rPr>
            </w:pPr>
            <w:r>
              <w:rPr>
                <w:bCs/>
              </w:rPr>
              <w:t>Yes</w:t>
            </w:r>
          </w:p>
        </w:tc>
        <w:tc>
          <w:tcPr>
            <w:tcW w:w="1331" w:type="dxa"/>
            <w:shd w:val="clear" w:color="auto" w:fill="auto"/>
            <w:vAlign w:val="center"/>
          </w:tcPr>
          <w:p w14:paraId="7D0A4B1F" w14:textId="77777777" w:rsidR="00432FCC" w:rsidRDefault="00432FCC" w:rsidP="00432FCC">
            <w:pPr>
              <w:pStyle w:val="TableText"/>
              <w:rPr>
                <w:rFonts w:eastAsia="Symbol"/>
              </w:rPr>
            </w:pPr>
            <w:r>
              <w:t>No</w:t>
            </w:r>
          </w:p>
        </w:tc>
        <w:tc>
          <w:tcPr>
            <w:tcW w:w="4315" w:type="dxa"/>
            <w:shd w:val="clear" w:color="auto" w:fill="auto"/>
            <w:vAlign w:val="center"/>
          </w:tcPr>
          <w:p w14:paraId="0EF0D542" w14:textId="77777777" w:rsidR="00432FCC" w:rsidRDefault="00432FCC" w:rsidP="00432FCC">
            <w:pPr>
              <w:pStyle w:val="TableText"/>
              <w:rPr>
                <w:rFonts w:eastAsia="Symbol"/>
              </w:rPr>
            </w:pPr>
          </w:p>
        </w:tc>
      </w:tr>
      <w:tr w:rsidR="00432FCC" w14:paraId="2F4864A6" w14:textId="77777777">
        <w:tc>
          <w:tcPr>
            <w:tcW w:w="1330" w:type="dxa"/>
            <w:shd w:val="clear" w:color="auto" w:fill="auto"/>
            <w:vAlign w:val="center"/>
          </w:tcPr>
          <w:p w14:paraId="3F96D181" w14:textId="77777777" w:rsidR="00432FCC" w:rsidRDefault="00432FCC" w:rsidP="00432FCC">
            <w:pPr>
              <w:pStyle w:val="TableText"/>
              <w:rPr>
                <w:rFonts w:eastAsia="Symbol"/>
              </w:rPr>
            </w:pPr>
            <w:r>
              <w:t>Anti-P1</w:t>
            </w:r>
          </w:p>
        </w:tc>
        <w:tc>
          <w:tcPr>
            <w:tcW w:w="1331" w:type="dxa"/>
            <w:shd w:val="clear" w:color="auto" w:fill="auto"/>
            <w:vAlign w:val="center"/>
          </w:tcPr>
          <w:p w14:paraId="17F010C4" w14:textId="77777777" w:rsidR="00432FCC" w:rsidRDefault="00432FCC" w:rsidP="00432FCC">
            <w:pPr>
              <w:pStyle w:val="TableText"/>
            </w:pPr>
            <w:r>
              <w:t>Anti-P1</w:t>
            </w:r>
          </w:p>
        </w:tc>
        <w:tc>
          <w:tcPr>
            <w:tcW w:w="1053" w:type="dxa"/>
            <w:shd w:val="clear" w:color="auto" w:fill="auto"/>
            <w:vAlign w:val="center"/>
          </w:tcPr>
          <w:p w14:paraId="6FBFECF1" w14:textId="77777777" w:rsidR="00432FCC" w:rsidRDefault="00432FCC" w:rsidP="00432FCC">
            <w:pPr>
              <w:pStyle w:val="TableText"/>
            </w:pPr>
            <w:r>
              <w:t>No</w:t>
            </w:r>
          </w:p>
        </w:tc>
        <w:tc>
          <w:tcPr>
            <w:tcW w:w="1331" w:type="dxa"/>
            <w:shd w:val="clear" w:color="auto" w:fill="auto"/>
            <w:vAlign w:val="center"/>
          </w:tcPr>
          <w:p w14:paraId="30F1CD2B" w14:textId="77777777" w:rsidR="00432FCC" w:rsidRDefault="00432FCC" w:rsidP="00432FCC">
            <w:pPr>
              <w:pStyle w:val="TableText"/>
              <w:rPr>
                <w:rFonts w:eastAsia="Symbol"/>
              </w:rPr>
            </w:pPr>
            <w:r>
              <w:t>No</w:t>
            </w:r>
          </w:p>
        </w:tc>
        <w:tc>
          <w:tcPr>
            <w:tcW w:w="4315" w:type="dxa"/>
            <w:shd w:val="clear" w:color="auto" w:fill="auto"/>
            <w:vAlign w:val="center"/>
          </w:tcPr>
          <w:p w14:paraId="4758A896" w14:textId="77777777" w:rsidR="00432FCC" w:rsidRDefault="00432FCC" w:rsidP="00432FCC">
            <w:pPr>
              <w:pStyle w:val="TableText"/>
              <w:rPr>
                <w:rFonts w:eastAsia="Symbol"/>
              </w:rPr>
            </w:pPr>
          </w:p>
        </w:tc>
      </w:tr>
      <w:tr w:rsidR="00432FCC" w14:paraId="27116DB1" w14:textId="77777777">
        <w:tc>
          <w:tcPr>
            <w:tcW w:w="1330" w:type="dxa"/>
            <w:shd w:val="clear" w:color="auto" w:fill="auto"/>
            <w:vAlign w:val="center"/>
          </w:tcPr>
          <w:p w14:paraId="074A0C33" w14:textId="77777777" w:rsidR="00432FCC" w:rsidRDefault="00432FCC" w:rsidP="00432FCC">
            <w:pPr>
              <w:pStyle w:val="TableText"/>
              <w:rPr>
                <w:rFonts w:eastAsia="Symbol"/>
              </w:rPr>
            </w:pPr>
            <w:r>
              <w:t>Anti-Le(a)</w:t>
            </w:r>
          </w:p>
        </w:tc>
        <w:tc>
          <w:tcPr>
            <w:tcW w:w="1331" w:type="dxa"/>
            <w:shd w:val="clear" w:color="auto" w:fill="auto"/>
            <w:vAlign w:val="center"/>
          </w:tcPr>
          <w:p w14:paraId="3EC2B67A" w14:textId="77777777" w:rsidR="00432FCC" w:rsidRDefault="00432FCC" w:rsidP="00432FCC">
            <w:pPr>
              <w:pStyle w:val="TableText"/>
              <w:rPr>
                <w:rFonts w:eastAsia="Symbol"/>
              </w:rPr>
            </w:pPr>
            <w:r>
              <w:t>Anti-Le(a)</w:t>
            </w:r>
          </w:p>
        </w:tc>
        <w:tc>
          <w:tcPr>
            <w:tcW w:w="1053" w:type="dxa"/>
            <w:shd w:val="clear" w:color="auto" w:fill="auto"/>
            <w:vAlign w:val="center"/>
          </w:tcPr>
          <w:p w14:paraId="4EDF37C4" w14:textId="77777777" w:rsidR="00432FCC" w:rsidRDefault="00432FCC" w:rsidP="00432FCC">
            <w:pPr>
              <w:pStyle w:val="TableText"/>
            </w:pPr>
            <w:r>
              <w:t>No</w:t>
            </w:r>
          </w:p>
        </w:tc>
        <w:tc>
          <w:tcPr>
            <w:tcW w:w="1331" w:type="dxa"/>
            <w:shd w:val="clear" w:color="auto" w:fill="auto"/>
            <w:vAlign w:val="center"/>
          </w:tcPr>
          <w:p w14:paraId="646B450D" w14:textId="77777777" w:rsidR="00432FCC" w:rsidRDefault="00432FCC" w:rsidP="00432FCC">
            <w:pPr>
              <w:pStyle w:val="TableText"/>
              <w:rPr>
                <w:rFonts w:eastAsia="Symbol"/>
              </w:rPr>
            </w:pPr>
            <w:r>
              <w:t>No</w:t>
            </w:r>
          </w:p>
        </w:tc>
        <w:tc>
          <w:tcPr>
            <w:tcW w:w="4315" w:type="dxa"/>
            <w:shd w:val="clear" w:color="auto" w:fill="auto"/>
            <w:vAlign w:val="center"/>
          </w:tcPr>
          <w:p w14:paraId="0244DE51" w14:textId="77777777" w:rsidR="00432FCC" w:rsidRDefault="00432FCC" w:rsidP="00432FCC">
            <w:pPr>
              <w:pStyle w:val="TableText"/>
              <w:rPr>
                <w:rFonts w:eastAsia="Symbol"/>
              </w:rPr>
            </w:pPr>
          </w:p>
        </w:tc>
      </w:tr>
      <w:tr w:rsidR="00432FCC" w14:paraId="0377B19B" w14:textId="77777777">
        <w:tc>
          <w:tcPr>
            <w:tcW w:w="1330" w:type="dxa"/>
            <w:shd w:val="clear" w:color="auto" w:fill="auto"/>
            <w:vAlign w:val="center"/>
          </w:tcPr>
          <w:p w14:paraId="62A9F5D8" w14:textId="77777777" w:rsidR="00432FCC" w:rsidRDefault="00432FCC" w:rsidP="00432FCC">
            <w:pPr>
              <w:pStyle w:val="TableText"/>
              <w:rPr>
                <w:rFonts w:eastAsia="Symbol"/>
              </w:rPr>
            </w:pPr>
            <w:r>
              <w:t>Anti-Le(b)</w:t>
            </w:r>
          </w:p>
        </w:tc>
        <w:tc>
          <w:tcPr>
            <w:tcW w:w="1331" w:type="dxa"/>
            <w:shd w:val="clear" w:color="auto" w:fill="auto"/>
            <w:vAlign w:val="center"/>
          </w:tcPr>
          <w:p w14:paraId="2D494872" w14:textId="77777777" w:rsidR="00432FCC" w:rsidRDefault="00432FCC" w:rsidP="00432FCC">
            <w:pPr>
              <w:pStyle w:val="TableText"/>
              <w:rPr>
                <w:rFonts w:eastAsia="Symbol"/>
              </w:rPr>
            </w:pPr>
            <w:r>
              <w:t>Anti-Le(b)</w:t>
            </w:r>
          </w:p>
        </w:tc>
        <w:tc>
          <w:tcPr>
            <w:tcW w:w="1053" w:type="dxa"/>
            <w:shd w:val="clear" w:color="auto" w:fill="auto"/>
            <w:vAlign w:val="center"/>
          </w:tcPr>
          <w:p w14:paraId="6F6D033F" w14:textId="77777777" w:rsidR="00432FCC" w:rsidRDefault="00432FCC" w:rsidP="00432FCC">
            <w:pPr>
              <w:pStyle w:val="TableText"/>
            </w:pPr>
            <w:r>
              <w:t>No</w:t>
            </w:r>
          </w:p>
        </w:tc>
        <w:tc>
          <w:tcPr>
            <w:tcW w:w="1331" w:type="dxa"/>
            <w:shd w:val="clear" w:color="auto" w:fill="auto"/>
            <w:vAlign w:val="center"/>
          </w:tcPr>
          <w:p w14:paraId="44226CD1" w14:textId="77777777" w:rsidR="00432FCC" w:rsidRDefault="00432FCC" w:rsidP="00432FCC">
            <w:pPr>
              <w:pStyle w:val="TableText"/>
              <w:rPr>
                <w:rFonts w:eastAsia="Symbol"/>
              </w:rPr>
            </w:pPr>
            <w:r>
              <w:t>No</w:t>
            </w:r>
          </w:p>
        </w:tc>
        <w:tc>
          <w:tcPr>
            <w:tcW w:w="4315" w:type="dxa"/>
            <w:shd w:val="clear" w:color="auto" w:fill="auto"/>
            <w:vAlign w:val="center"/>
          </w:tcPr>
          <w:p w14:paraId="77B55B2C" w14:textId="77777777" w:rsidR="00432FCC" w:rsidRDefault="00432FCC" w:rsidP="00432FCC">
            <w:pPr>
              <w:pStyle w:val="TableText"/>
              <w:rPr>
                <w:rFonts w:eastAsia="Symbol"/>
              </w:rPr>
            </w:pPr>
          </w:p>
        </w:tc>
      </w:tr>
      <w:tr w:rsidR="00432FCC" w14:paraId="29A0A11C" w14:textId="77777777">
        <w:tc>
          <w:tcPr>
            <w:tcW w:w="1330" w:type="dxa"/>
            <w:shd w:val="clear" w:color="auto" w:fill="auto"/>
            <w:vAlign w:val="center"/>
          </w:tcPr>
          <w:p w14:paraId="21E53C49" w14:textId="77777777" w:rsidR="00432FCC" w:rsidRDefault="00432FCC" w:rsidP="00432FCC">
            <w:pPr>
              <w:pStyle w:val="TableText"/>
              <w:rPr>
                <w:rFonts w:eastAsia="Symbol"/>
              </w:rPr>
            </w:pPr>
            <w:r>
              <w:t>Anti-Js(a)</w:t>
            </w:r>
          </w:p>
        </w:tc>
        <w:tc>
          <w:tcPr>
            <w:tcW w:w="1331" w:type="dxa"/>
            <w:shd w:val="clear" w:color="auto" w:fill="auto"/>
            <w:vAlign w:val="center"/>
          </w:tcPr>
          <w:p w14:paraId="7246801A" w14:textId="77777777" w:rsidR="00432FCC" w:rsidRDefault="00432FCC" w:rsidP="00432FCC">
            <w:pPr>
              <w:pStyle w:val="TableText"/>
              <w:rPr>
                <w:rFonts w:eastAsia="Symbol"/>
              </w:rPr>
            </w:pPr>
            <w:r>
              <w:t>Anti-Js(a)</w:t>
            </w:r>
          </w:p>
        </w:tc>
        <w:tc>
          <w:tcPr>
            <w:tcW w:w="1053" w:type="dxa"/>
            <w:shd w:val="clear" w:color="auto" w:fill="auto"/>
            <w:vAlign w:val="center"/>
          </w:tcPr>
          <w:p w14:paraId="15AD5F82" w14:textId="77777777" w:rsidR="00432FCC" w:rsidRDefault="00432FCC" w:rsidP="00432FCC">
            <w:pPr>
              <w:pStyle w:val="TableText"/>
              <w:rPr>
                <w:b/>
                <w:bCs/>
              </w:rPr>
            </w:pPr>
            <w:r>
              <w:rPr>
                <w:bCs/>
              </w:rPr>
              <w:t>Yes</w:t>
            </w:r>
          </w:p>
        </w:tc>
        <w:tc>
          <w:tcPr>
            <w:tcW w:w="1331" w:type="dxa"/>
            <w:shd w:val="clear" w:color="auto" w:fill="auto"/>
            <w:vAlign w:val="center"/>
          </w:tcPr>
          <w:p w14:paraId="3735ADA8" w14:textId="77777777" w:rsidR="00432FCC" w:rsidRDefault="00432FCC" w:rsidP="00432FCC">
            <w:pPr>
              <w:pStyle w:val="TableText"/>
              <w:rPr>
                <w:rFonts w:eastAsia="Symbol"/>
              </w:rPr>
            </w:pPr>
            <w:r>
              <w:t>No</w:t>
            </w:r>
          </w:p>
        </w:tc>
        <w:tc>
          <w:tcPr>
            <w:tcW w:w="4315" w:type="dxa"/>
            <w:shd w:val="clear" w:color="auto" w:fill="auto"/>
            <w:vAlign w:val="center"/>
          </w:tcPr>
          <w:p w14:paraId="2153DF0C" w14:textId="77777777" w:rsidR="00432FCC" w:rsidRDefault="00432FCC" w:rsidP="00432FCC">
            <w:pPr>
              <w:pStyle w:val="TableText"/>
              <w:rPr>
                <w:rFonts w:eastAsia="Symbol"/>
              </w:rPr>
            </w:pPr>
          </w:p>
        </w:tc>
      </w:tr>
      <w:tr w:rsidR="00432FCC" w14:paraId="64BAEDB1" w14:textId="77777777">
        <w:tc>
          <w:tcPr>
            <w:tcW w:w="1330" w:type="dxa"/>
            <w:shd w:val="clear" w:color="auto" w:fill="auto"/>
            <w:vAlign w:val="center"/>
          </w:tcPr>
          <w:p w14:paraId="1251692B" w14:textId="77777777" w:rsidR="00432FCC" w:rsidRDefault="00432FCC" w:rsidP="00432FCC">
            <w:pPr>
              <w:pStyle w:val="TableText"/>
              <w:rPr>
                <w:rFonts w:eastAsia="Symbol"/>
              </w:rPr>
            </w:pPr>
            <w:r>
              <w:t>Anti-Js(b)</w:t>
            </w:r>
          </w:p>
        </w:tc>
        <w:tc>
          <w:tcPr>
            <w:tcW w:w="1331" w:type="dxa"/>
            <w:shd w:val="clear" w:color="auto" w:fill="auto"/>
            <w:vAlign w:val="center"/>
          </w:tcPr>
          <w:p w14:paraId="583C60B9" w14:textId="77777777" w:rsidR="00432FCC" w:rsidRDefault="00432FCC" w:rsidP="00432FCC">
            <w:pPr>
              <w:pStyle w:val="TableText"/>
              <w:rPr>
                <w:rFonts w:eastAsia="Symbol"/>
              </w:rPr>
            </w:pPr>
            <w:r>
              <w:t>Anti-Js(b)</w:t>
            </w:r>
          </w:p>
        </w:tc>
        <w:tc>
          <w:tcPr>
            <w:tcW w:w="1053" w:type="dxa"/>
            <w:shd w:val="clear" w:color="auto" w:fill="auto"/>
            <w:vAlign w:val="center"/>
          </w:tcPr>
          <w:p w14:paraId="1F578BB3" w14:textId="77777777" w:rsidR="00432FCC" w:rsidRDefault="00432FCC" w:rsidP="00432FCC">
            <w:pPr>
              <w:pStyle w:val="TableText"/>
              <w:rPr>
                <w:b/>
                <w:bCs/>
              </w:rPr>
            </w:pPr>
            <w:r>
              <w:rPr>
                <w:bCs/>
              </w:rPr>
              <w:t>Yes</w:t>
            </w:r>
          </w:p>
        </w:tc>
        <w:tc>
          <w:tcPr>
            <w:tcW w:w="1331" w:type="dxa"/>
            <w:shd w:val="clear" w:color="auto" w:fill="auto"/>
            <w:vAlign w:val="center"/>
          </w:tcPr>
          <w:p w14:paraId="7C971A7B" w14:textId="77777777" w:rsidR="00432FCC" w:rsidRDefault="00432FCC" w:rsidP="00432FCC">
            <w:pPr>
              <w:pStyle w:val="TableText"/>
              <w:rPr>
                <w:rFonts w:eastAsia="Symbol"/>
              </w:rPr>
            </w:pPr>
            <w:r>
              <w:t>No</w:t>
            </w:r>
          </w:p>
        </w:tc>
        <w:tc>
          <w:tcPr>
            <w:tcW w:w="4315" w:type="dxa"/>
            <w:shd w:val="clear" w:color="auto" w:fill="auto"/>
            <w:vAlign w:val="center"/>
          </w:tcPr>
          <w:p w14:paraId="4BDFD353" w14:textId="77777777" w:rsidR="00432FCC" w:rsidRDefault="00432FCC" w:rsidP="00432FCC">
            <w:pPr>
              <w:pStyle w:val="TableText"/>
              <w:rPr>
                <w:rFonts w:eastAsia="Symbol"/>
              </w:rPr>
            </w:pPr>
          </w:p>
        </w:tc>
      </w:tr>
      <w:tr w:rsidR="00432FCC" w14:paraId="5D943A75" w14:textId="77777777">
        <w:tc>
          <w:tcPr>
            <w:tcW w:w="1330" w:type="dxa"/>
            <w:shd w:val="clear" w:color="auto" w:fill="auto"/>
            <w:vAlign w:val="center"/>
          </w:tcPr>
          <w:p w14:paraId="723D97A2" w14:textId="77777777" w:rsidR="00432FCC" w:rsidRDefault="00432FCC" w:rsidP="00432FCC">
            <w:pPr>
              <w:pStyle w:val="TableText"/>
              <w:rPr>
                <w:rFonts w:eastAsia="Symbol"/>
              </w:rPr>
            </w:pPr>
            <w:r>
              <w:t>Anti-Lu(a)</w:t>
            </w:r>
          </w:p>
        </w:tc>
        <w:tc>
          <w:tcPr>
            <w:tcW w:w="1331" w:type="dxa"/>
            <w:shd w:val="clear" w:color="auto" w:fill="auto"/>
            <w:vAlign w:val="center"/>
          </w:tcPr>
          <w:p w14:paraId="3FEF171D" w14:textId="77777777" w:rsidR="00432FCC" w:rsidRDefault="00432FCC" w:rsidP="00432FCC">
            <w:pPr>
              <w:pStyle w:val="TableText"/>
            </w:pPr>
            <w:r>
              <w:t>Anti-Lu(a)</w:t>
            </w:r>
          </w:p>
        </w:tc>
        <w:tc>
          <w:tcPr>
            <w:tcW w:w="1053" w:type="dxa"/>
            <w:shd w:val="clear" w:color="auto" w:fill="auto"/>
            <w:vAlign w:val="center"/>
          </w:tcPr>
          <w:p w14:paraId="525697B7" w14:textId="77777777" w:rsidR="00432FCC" w:rsidRDefault="00432FCC" w:rsidP="00432FCC">
            <w:pPr>
              <w:pStyle w:val="TableText"/>
            </w:pPr>
            <w:r>
              <w:t>No</w:t>
            </w:r>
          </w:p>
        </w:tc>
        <w:tc>
          <w:tcPr>
            <w:tcW w:w="1331" w:type="dxa"/>
            <w:shd w:val="clear" w:color="auto" w:fill="auto"/>
            <w:vAlign w:val="center"/>
          </w:tcPr>
          <w:p w14:paraId="5F071BB3" w14:textId="77777777" w:rsidR="00432FCC" w:rsidRDefault="00432FCC" w:rsidP="00432FCC">
            <w:pPr>
              <w:pStyle w:val="TableText"/>
              <w:rPr>
                <w:rFonts w:eastAsia="Symbol"/>
              </w:rPr>
            </w:pPr>
            <w:r>
              <w:t>No</w:t>
            </w:r>
          </w:p>
        </w:tc>
        <w:tc>
          <w:tcPr>
            <w:tcW w:w="4315" w:type="dxa"/>
            <w:shd w:val="clear" w:color="auto" w:fill="auto"/>
            <w:vAlign w:val="center"/>
          </w:tcPr>
          <w:p w14:paraId="2EBE8229" w14:textId="77777777" w:rsidR="00432FCC" w:rsidRDefault="00432FCC" w:rsidP="00432FCC">
            <w:pPr>
              <w:pStyle w:val="TableText"/>
              <w:rPr>
                <w:rFonts w:eastAsia="Symbol"/>
              </w:rPr>
            </w:pPr>
          </w:p>
        </w:tc>
      </w:tr>
      <w:tr w:rsidR="00432FCC" w14:paraId="15EE9629" w14:textId="77777777">
        <w:tc>
          <w:tcPr>
            <w:tcW w:w="1330" w:type="dxa"/>
            <w:shd w:val="clear" w:color="auto" w:fill="auto"/>
            <w:vAlign w:val="center"/>
          </w:tcPr>
          <w:p w14:paraId="1A9372FF" w14:textId="77777777" w:rsidR="00432FCC" w:rsidRDefault="00432FCC" w:rsidP="00432FCC">
            <w:pPr>
              <w:pStyle w:val="TableText"/>
              <w:rPr>
                <w:rFonts w:eastAsia="Symbol"/>
              </w:rPr>
            </w:pPr>
            <w:r>
              <w:t>Anti-Lu(b)</w:t>
            </w:r>
          </w:p>
        </w:tc>
        <w:tc>
          <w:tcPr>
            <w:tcW w:w="1331" w:type="dxa"/>
            <w:shd w:val="clear" w:color="auto" w:fill="auto"/>
            <w:vAlign w:val="center"/>
          </w:tcPr>
          <w:p w14:paraId="25AF67F8" w14:textId="77777777" w:rsidR="00432FCC" w:rsidRDefault="00432FCC" w:rsidP="00432FCC">
            <w:pPr>
              <w:pStyle w:val="TableText"/>
            </w:pPr>
            <w:r>
              <w:t>Anti-Lu(b)</w:t>
            </w:r>
          </w:p>
        </w:tc>
        <w:tc>
          <w:tcPr>
            <w:tcW w:w="1053" w:type="dxa"/>
            <w:shd w:val="clear" w:color="auto" w:fill="auto"/>
            <w:vAlign w:val="center"/>
          </w:tcPr>
          <w:p w14:paraId="55346BEF" w14:textId="77777777" w:rsidR="00432FCC" w:rsidRDefault="00432FCC" w:rsidP="00432FCC">
            <w:pPr>
              <w:pStyle w:val="TableText"/>
            </w:pPr>
            <w:r>
              <w:t>No</w:t>
            </w:r>
          </w:p>
        </w:tc>
        <w:tc>
          <w:tcPr>
            <w:tcW w:w="1331" w:type="dxa"/>
            <w:shd w:val="clear" w:color="auto" w:fill="auto"/>
            <w:vAlign w:val="center"/>
          </w:tcPr>
          <w:p w14:paraId="571D9DAB" w14:textId="77777777" w:rsidR="00432FCC" w:rsidRDefault="00432FCC" w:rsidP="00432FCC">
            <w:pPr>
              <w:pStyle w:val="TableText"/>
              <w:rPr>
                <w:rFonts w:eastAsia="Symbol"/>
              </w:rPr>
            </w:pPr>
            <w:r>
              <w:t>No</w:t>
            </w:r>
          </w:p>
        </w:tc>
        <w:tc>
          <w:tcPr>
            <w:tcW w:w="4315" w:type="dxa"/>
            <w:shd w:val="clear" w:color="auto" w:fill="auto"/>
            <w:vAlign w:val="center"/>
          </w:tcPr>
          <w:p w14:paraId="26368DE7" w14:textId="77777777" w:rsidR="00432FCC" w:rsidRDefault="00432FCC" w:rsidP="00432FCC">
            <w:pPr>
              <w:pStyle w:val="TableText"/>
              <w:rPr>
                <w:rFonts w:eastAsia="Symbol"/>
              </w:rPr>
            </w:pPr>
          </w:p>
        </w:tc>
      </w:tr>
      <w:tr w:rsidR="00432FCC" w14:paraId="0561D482" w14:textId="77777777">
        <w:tc>
          <w:tcPr>
            <w:tcW w:w="1330" w:type="dxa"/>
            <w:shd w:val="clear" w:color="auto" w:fill="auto"/>
            <w:vAlign w:val="center"/>
          </w:tcPr>
          <w:p w14:paraId="7D03620E" w14:textId="77777777" w:rsidR="00432FCC" w:rsidRDefault="00432FCC" w:rsidP="00432FCC">
            <w:pPr>
              <w:pStyle w:val="TableText"/>
              <w:rPr>
                <w:rFonts w:eastAsia="Symbol"/>
              </w:rPr>
            </w:pPr>
            <w:r>
              <w:t>Anti-Lu3</w:t>
            </w:r>
          </w:p>
        </w:tc>
        <w:tc>
          <w:tcPr>
            <w:tcW w:w="1331" w:type="dxa"/>
            <w:shd w:val="clear" w:color="auto" w:fill="auto"/>
            <w:vAlign w:val="center"/>
          </w:tcPr>
          <w:p w14:paraId="05D5B803" w14:textId="77777777" w:rsidR="00432FCC" w:rsidRPr="006E05B3" w:rsidRDefault="00432FCC" w:rsidP="00432FCC">
            <w:pPr>
              <w:pStyle w:val="TableText"/>
              <w:rPr>
                <w:b/>
                <w:lang w:val="fr-FR"/>
              </w:rPr>
            </w:pPr>
            <w:r w:rsidRPr="006E05B3">
              <w:rPr>
                <w:lang w:val="fr-FR"/>
              </w:rPr>
              <w:t>Anti-Lu(a)Lu(b)</w:t>
            </w:r>
          </w:p>
        </w:tc>
        <w:tc>
          <w:tcPr>
            <w:tcW w:w="1053" w:type="dxa"/>
            <w:shd w:val="clear" w:color="auto" w:fill="auto"/>
            <w:vAlign w:val="center"/>
          </w:tcPr>
          <w:p w14:paraId="7301078E" w14:textId="77777777" w:rsidR="00432FCC" w:rsidRDefault="00432FCC" w:rsidP="00432FCC">
            <w:pPr>
              <w:pStyle w:val="TableText"/>
              <w:rPr>
                <w:b/>
              </w:rPr>
            </w:pPr>
            <w:r>
              <w:t>No</w:t>
            </w:r>
          </w:p>
        </w:tc>
        <w:tc>
          <w:tcPr>
            <w:tcW w:w="1331" w:type="dxa"/>
            <w:shd w:val="clear" w:color="auto" w:fill="auto"/>
            <w:vAlign w:val="center"/>
          </w:tcPr>
          <w:p w14:paraId="098BC2D5" w14:textId="77777777" w:rsidR="00432FCC" w:rsidRDefault="00432FCC" w:rsidP="00432FCC">
            <w:pPr>
              <w:pStyle w:val="TableText"/>
              <w:rPr>
                <w:rFonts w:eastAsia="Symbol"/>
              </w:rPr>
            </w:pPr>
            <w:r>
              <w:t>No</w:t>
            </w:r>
          </w:p>
        </w:tc>
        <w:tc>
          <w:tcPr>
            <w:tcW w:w="4315" w:type="dxa"/>
            <w:shd w:val="clear" w:color="auto" w:fill="auto"/>
            <w:vAlign w:val="center"/>
          </w:tcPr>
          <w:p w14:paraId="51BE1CC0" w14:textId="77777777" w:rsidR="00432FCC" w:rsidRDefault="00432FCC" w:rsidP="00432FCC">
            <w:pPr>
              <w:pStyle w:val="TableText"/>
              <w:rPr>
                <w:rFonts w:eastAsia="Symbol"/>
              </w:rPr>
            </w:pPr>
          </w:p>
        </w:tc>
      </w:tr>
      <w:tr w:rsidR="00432FCC" w14:paraId="77E2EC5E" w14:textId="77777777">
        <w:tc>
          <w:tcPr>
            <w:tcW w:w="1330" w:type="dxa"/>
            <w:shd w:val="clear" w:color="auto" w:fill="auto"/>
            <w:vAlign w:val="center"/>
          </w:tcPr>
          <w:p w14:paraId="15224224" w14:textId="77777777" w:rsidR="00432FCC" w:rsidRDefault="00432FCC" w:rsidP="00432FCC">
            <w:pPr>
              <w:pStyle w:val="TableText"/>
              <w:rPr>
                <w:rFonts w:eastAsia="Symbol"/>
              </w:rPr>
            </w:pPr>
            <w:r>
              <w:t>Anti-C(w)</w:t>
            </w:r>
          </w:p>
        </w:tc>
        <w:tc>
          <w:tcPr>
            <w:tcW w:w="1331" w:type="dxa"/>
            <w:shd w:val="clear" w:color="auto" w:fill="auto"/>
            <w:vAlign w:val="center"/>
          </w:tcPr>
          <w:p w14:paraId="5E501A6B" w14:textId="77777777" w:rsidR="00432FCC" w:rsidRDefault="00432FCC" w:rsidP="00432FCC">
            <w:pPr>
              <w:pStyle w:val="TableText"/>
            </w:pPr>
            <w:r>
              <w:t>Anti-Cw</w:t>
            </w:r>
          </w:p>
        </w:tc>
        <w:tc>
          <w:tcPr>
            <w:tcW w:w="1053" w:type="dxa"/>
            <w:shd w:val="clear" w:color="auto" w:fill="auto"/>
            <w:vAlign w:val="center"/>
          </w:tcPr>
          <w:p w14:paraId="421275AE" w14:textId="77777777" w:rsidR="00432FCC" w:rsidRDefault="00432FCC" w:rsidP="00432FCC">
            <w:pPr>
              <w:pStyle w:val="TableText"/>
            </w:pPr>
            <w:r>
              <w:rPr>
                <w:bCs/>
              </w:rPr>
              <w:t>Yes</w:t>
            </w:r>
          </w:p>
        </w:tc>
        <w:tc>
          <w:tcPr>
            <w:tcW w:w="1331" w:type="dxa"/>
            <w:shd w:val="clear" w:color="auto" w:fill="auto"/>
            <w:vAlign w:val="center"/>
          </w:tcPr>
          <w:p w14:paraId="593962E2" w14:textId="77777777" w:rsidR="00432FCC" w:rsidRDefault="00432FCC" w:rsidP="00432FCC">
            <w:pPr>
              <w:pStyle w:val="TableText"/>
              <w:rPr>
                <w:rFonts w:eastAsia="Symbol"/>
              </w:rPr>
            </w:pPr>
            <w:r>
              <w:t>No</w:t>
            </w:r>
          </w:p>
        </w:tc>
        <w:tc>
          <w:tcPr>
            <w:tcW w:w="4315" w:type="dxa"/>
            <w:shd w:val="clear" w:color="auto" w:fill="auto"/>
            <w:vAlign w:val="center"/>
          </w:tcPr>
          <w:p w14:paraId="09936DAB" w14:textId="77777777" w:rsidR="00432FCC" w:rsidRDefault="00432FCC" w:rsidP="00432FCC">
            <w:pPr>
              <w:pStyle w:val="TableText"/>
              <w:rPr>
                <w:rFonts w:eastAsia="Symbol"/>
              </w:rPr>
            </w:pPr>
          </w:p>
        </w:tc>
      </w:tr>
      <w:tr w:rsidR="00432FCC" w14:paraId="2E180A18" w14:textId="77777777">
        <w:tc>
          <w:tcPr>
            <w:tcW w:w="1330" w:type="dxa"/>
            <w:shd w:val="clear" w:color="auto" w:fill="auto"/>
            <w:vAlign w:val="center"/>
          </w:tcPr>
          <w:p w14:paraId="5792DBA4" w14:textId="77777777" w:rsidR="00432FCC" w:rsidRDefault="00432FCC" w:rsidP="00432FCC">
            <w:pPr>
              <w:pStyle w:val="TableText"/>
              <w:rPr>
                <w:rFonts w:eastAsia="Symbol"/>
              </w:rPr>
            </w:pPr>
            <w:r>
              <w:t>Anti-C(x)</w:t>
            </w:r>
          </w:p>
        </w:tc>
        <w:tc>
          <w:tcPr>
            <w:tcW w:w="1331" w:type="dxa"/>
            <w:shd w:val="clear" w:color="auto" w:fill="auto"/>
            <w:vAlign w:val="center"/>
          </w:tcPr>
          <w:p w14:paraId="38010868" w14:textId="77777777" w:rsidR="00432FCC" w:rsidRDefault="00432FCC" w:rsidP="00432FCC">
            <w:pPr>
              <w:pStyle w:val="TableText"/>
              <w:rPr>
                <w:rFonts w:eastAsia="Symbol"/>
              </w:rPr>
            </w:pPr>
            <w:r>
              <w:t>Anti-Cx</w:t>
            </w:r>
          </w:p>
        </w:tc>
        <w:tc>
          <w:tcPr>
            <w:tcW w:w="1053" w:type="dxa"/>
            <w:shd w:val="clear" w:color="auto" w:fill="auto"/>
            <w:vAlign w:val="center"/>
          </w:tcPr>
          <w:p w14:paraId="1AAC51DA" w14:textId="77777777" w:rsidR="00432FCC" w:rsidRDefault="00432FCC" w:rsidP="00432FCC">
            <w:pPr>
              <w:pStyle w:val="TableText"/>
            </w:pPr>
            <w:r>
              <w:rPr>
                <w:bCs/>
              </w:rPr>
              <w:t>Yes</w:t>
            </w:r>
          </w:p>
        </w:tc>
        <w:tc>
          <w:tcPr>
            <w:tcW w:w="1331" w:type="dxa"/>
            <w:shd w:val="clear" w:color="auto" w:fill="auto"/>
            <w:vAlign w:val="center"/>
          </w:tcPr>
          <w:p w14:paraId="5FCCEA64" w14:textId="77777777" w:rsidR="00432FCC" w:rsidRDefault="00432FCC" w:rsidP="00432FCC">
            <w:pPr>
              <w:pStyle w:val="TableText"/>
              <w:rPr>
                <w:rFonts w:eastAsia="Symbol"/>
              </w:rPr>
            </w:pPr>
            <w:r>
              <w:t>No</w:t>
            </w:r>
          </w:p>
        </w:tc>
        <w:tc>
          <w:tcPr>
            <w:tcW w:w="4315" w:type="dxa"/>
            <w:shd w:val="clear" w:color="auto" w:fill="auto"/>
            <w:vAlign w:val="center"/>
          </w:tcPr>
          <w:p w14:paraId="5348E222" w14:textId="77777777" w:rsidR="00432FCC" w:rsidRDefault="00432FCC" w:rsidP="00432FCC">
            <w:pPr>
              <w:pStyle w:val="TableText"/>
              <w:rPr>
                <w:rFonts w:eastAsia="Symbol"/>
              </w:rPr>
            </w:pPr>
          </w:p>
        </w:tc>
      </w:tr>
      <w:tr w:rsidR="00432FCC" w14:paraId="24906BEA" w14:textId="77777777">
        <w:tc>
          <w:tcPr>
            <w:tcW w:w="1330" w:type="dxa"/>
            <w:shd w:val="clear" w:color="auto" w:fill="auto"/>
            <w:vAlign w:val="center"/>
          </w:tcPr>
          <w:p w14:paraId="6B480917" w14:textId="77777777" w:rsidR="00432FCC" w:rsidRDefault="00432FCC" w:rsidP="00432FCC">
            <w:pPr>
              <w:pStyle w:val="TableText"/>
              <w:rPr>
                <w:rFonts w:eastAsia="Symbol"/>
              </w:rPr>
            </w:pPr>
            <w:r>
              <w:t>Anti-E(w)</w:t>
            </w:r>
          </w:p>
        </w:tc>
        <w:tc>
          <w:tcPr>
            <w:tcW w:w="1331" w:type="dxa"/>
            <w:shd w:val="clear" w:color="auto" w:fill="auto"/>
            <w:vAlign w:val="center"/>
          </w:tcPr>
          <w:p w14:paraId="4591B768" w14:textId="77777777" w:rsidR="00432FCC" w:rsidRDefault="00432FCC" w:rsidP="00432FCC">
            <w:pPr>
              <w:pStyle w:val="TableText"/>
              <w:rPr>
                <w:rFonts w:eastAsia="Symbol"/>
              </w:rPr>
            </w:pPr>
            <w:r>
              <w:t>Anti-E(w)</w:t>
            </w:r>
          </w:p>
        </w:tc>
        <w:tc>
          <w:tcPr>
            <w:tcW w:w="1053" w:type="dxa"/>
            <w:shd w:val="clear" w:color="auto" w:fill="auto"/>
            <w:vAlign w:val="center"/>
          </w:tcPr>
          <w:p w14:paraId="0235FAF5" w14:textId="77777777" w:rsidR="00432FCC" w:rsidRDefault="00432FCC" w:rsidP="00432FCC">
            <w:pPr>
              <w:pStyle w:val="TableText"/>
            </w:pPr>
            <w:r>
              <w:rPr>
                <w:bCs/>
              </w:rPr>
              <w:t>Yes</w:t>
            </w:r>
          </w:p>
        </w:tc>
        <w:tc>
          <w:tcPr>
            <w:tcW w:w="1331" w:type="dxa"/>
            <w:shd w:val="clear" w:color="auto" w:fill="auto"/>
            <w:vAlign w:val="center"/>
          </w:tcPr>
          <w:p w14:paraId="6BE94B3D" w14:textId="77777777" w:rsidR="00432FCC" w:rsidRDefault="00432FCC" w:rsidP="00432FCC">
            <w:pPr>
              <w:pStyle w:val="TableText"/>
              <w:rPr>
                <w:rFonts w:eastAsia="Symbol"/>
              </w:rPr>
            </w:pPr>
            <w:r>
              <w:t>No</w:t>
            </w:r>
          </w:p>
        </w:tc>
        <w:tc>
          <w:tcPr>
            <w:tcW w:w="4315" w:type="dxa"/>
            <w:shd w:val="clear" w:color="auto" w:fill="auto"/>
            <w:vAlign w:val="center"/>
          </w:tcPr>
          <w:p w14:paraId="6FF852E1" w14:textId="77777777" w:rsidR="00432FCC" w:rsidRDefault="00432FCC" w:rsidP="00432FCC">
            <w:pPr>
              <w:pStyle w:val="TableText"/>
              <w:rPr>
                <w:rFonts w:eastAsia="Symbol"/>
              </w:rPr>
            </w:pPr>
          </w:p>
        </w:tc>
      </w:tr>
      <w:tr w:rsidR="00432FCC" w14:paraId="244FDE05" w14:textId="77777777">
        <w:tc>
          <w:tcPr>
            <w:tcW w:w="1330" w:type="dxa"/>
            <w:shd w:val="clear" w:color="auto" w:fill="auto"/>
            <w:vAlign w:val="center"/>
          </w:tcPr>
          <w:p w14:paraId="5388B252" w14:textId="77777777" w:rsidR="00432FCC" w:rsidRDefault="00432FCC" w:rsidP="00432FCC">
            <w:pPr>
              <w:pStyle w:val="TableText"/>
              <w:rPr>
                <w:rFonts w:eastAsia="Symbol"/>
              </w:rPr>
            </w:pPr>
            <w:r>
              <w:t>Anti-V</w:t>
            </w:r>
          </w:p>
        </w:tc>
        <w:tc>
          <w:tcPr>
            <w:tcW w:w="1331" w:type="dxa"/>
            <w:shd w:val="clear" w:color="auto" w:fill="auto"/>
            <w:vAlign w:val="center"/>
          </w:tcPr>
          <w:p w14:paraId="3E2DC41D" w14:textId="77777777" w:rsidR="00432FCC" w:rsidRDefault="00432FCC" w:rsidP="00432FCC">
            <w:pPr>
              <w:pStyle w:val="TableText"/>
            </w:pPr>
            <w:r>
              <w:t>Anti-V</w:t>
            </w:r>
          </w:p>
        </w:tc>
        <w:tc>
          <w:tcPr>
            <w:tcW w:w="1053" w:type="dxa"/>
            <w:shd w:val="clear" w:color="auto" w:fill="auto"/>
            <w:vAlign w:val="center"/>
          </w:tcPr>
          <w:p w14:paraId="7CC95B95" w14:textId="77777777" w:rsidR="00432FCC" w:rsidRDefault="00432FCC" w:rsidP="00432FCC">
            <w:pPr>
              <w:pStyle w:val="TableText"/>
            </w:pPr>
            <w:r>
              <w:rPr>
                <w:bCs/>
              </w:rPr>
              <w:t>Yes</w:t>
            </w:r>
          </w:p>
        </w:tc>
        <w:tc>
          <w:tcPr>
            <w:tcW w:w="1331" w:type="dxa"/>
            <w:shd w:val="clear" w:color="auto" w:fill="auto"/>
            <w:vAlign w:val="center"/>
          </w:tcPr>
          <w:p w14:paraId="53CB552B" w14:textId="77777777" w:rsidR="00432FCC" w:rsidRDefault="00432FCC" w:rsidP="00432FCC">
            <w:pPr>
              <w:pStyle w:val="TableText"/>
              <w:rPr>
                <w:rFonts w:eastAsia="Symbol"/>
              </w:rPr>
            </w:pPr>
            <w:r>
              <w:t>No</w:t>
            </w:r>
          </w:p>
        </w:tc>
        <w:tc>
          <w:tcPr>
            <w:tcW w:w="4315" w:type="dxa"/>
            <w:shd w:val="clear" w:color="auto" w:fill="auto"/>
            <w:vAlign w:val="center"/>
          </w:tcPr>
          <w:p w14:paraId="3A8F3E25" w14:textId="77777777" w:rsidR="00432FCC" w:rsidRDefault="00432FCC" w:rsidP="00432FCC">
            <w:pPr>
              <w:pStyle w:val="TableText"/>
              <w:rPr>
                <w:rFonts w:eastAsia="Symbol"/>
              </w:rPr>
            </w:pPr>
          </w:p>
        </w:tc>
      </w:tr>
      <w:tr w:rsidR="00432FCC" w14:paraId="29DAB553" w14:textId="77777777">
        <w:tc>
          <w:tcPr>
            <w:tcW w:w="1330" w:type="dxa"/>
            <w:shd w:val="clear" w:color="auto" w:fill="auto"/>
            <w:vAlign w:val="center"/>
          </w:tcPr>
          <w:p w14:paraId="270531B8" w14:textId="77777777" w:rsidR="00432FCC" w:rsidRDefault="00432FCC" w:rsidP="00432FCC">
            <w:pPr>
              <w:pStyle w:val="TableText"/>
              <w:rPr>
                <w:rFonts w:eastAsia="Symbol"/>
              </w:rPr>
            </w:pPr>
            <w:r>
              <w:t>Anti-Xg(a)</w:t>
            </w:r>
          </w:p>
        </w:tc>
        <w:tc>
          <w:tcPr>
            <w:tcW w:w="1331" w:type="dxa"/>
            <w:shd w:val="clear" w:color="auto" w:fill="auto"/>
            <w:vAlign w:val="center"/>
          </w:tcPr>
          <w:p w14:paraId="0D5139C3" w14:textId="77777777" w:rsidR="00432FCC" w:rsidRDefault="00432FCC" w:rsidP="00432FCC">
            <w:pPr>
              <w:pStyle w:val="TableText"/>
            </w:pPr>
            <w:r>
              <w:t>Anti-Xg(a)</w:t>
            </w:r>
          </w:p>
        </w:tc>
        <w:tc>
          <w:tcPr>
            <w:tcW w:w="1053" w:type="dxa"/>
            <w:shd w:val="clear" w:color="auto" w:fill="auto"/>
            <w:vAlign w:val="center"/>
          </w:tcPr>
          <w:p w14:paraId="0021A01F" w14:textId="77777777" w:rsidR="00432FCC" w:rsidRDefault="00432FCC" w:rsidP="00432FCC">
            <w:pPr>
              <w:pStyle w:val="TableText"/>
            </w:pPr>
            <w:r>
              <w:t>No</w:t>
            </w:r>
          </w:p>
        </w:tc>
        <w:tc>
          <w:tcPr>
            <w:tcW w:w="1331" w:type="dxa"/>
            <w:shd w:val="clear" w:color="auto" w:fill="auto"/>
            <w:vAlign w:val="center"/>
          </w:tcPr>
          <w:p w14:paraId="2508742B" w14:textId="77777777" w:rsidR="00432FCC" w:rsidRDefault="00432FCC" w:rsidP="00432FCC">
            <w:pPr>
              <w:pStyle w:val="TableText"/>
              <w:rPr>
                <w:rFonts w:eastAsia="Symbol"/>
              </w:rPr>
            </w:pPr>
            <w:r>
              <w:t>No</w:t>
            </w:r>
          </w:p>
        </w:tc>
        <w:tc>
          <w:tcPr>
            <w:tcW w:w="4315" w:type="dxa"/>
            <w:shd w:val="clear" w:color="auto" w:fill="auto"/>
            <w:vAlign w:val="center"/>
          </w:tcPr>
          <w:p w14:paraId="505D6439" w14:textId="77777777" w:rsidR="00432FCC" w:rsidRDefault="00432FCC" w:rsidP="00432FCC">
            <w:pPr>
              <w:pStyle w:val="TableText"/>
              <w:rPr>
                <w:rFonts w:eastAsia="Symbol"/>
              </w:rPr>
            </w:pPr>
          </w:p>
        </w:tc>
      </w:tr>
      <w:tr w:rsidR="00432FCC" w14:paraId="3C608747" w14:textId="77777777">
        <w:tc>
          <w:tcPr>
            <w:tcW w:w="1330" w:type="dxa"/>
            <w:shd w:val="clear" w:color="auto" w:fill="auto"/>
            <w:vAlign w:val="center"/>
          </w:tcPr>
          <w:p w14:paraId="466B0A18" w14:textId="77777777" w:rsidR="00432FCC" w:rsidRDefault="00432FCC" w:rsidP="00432FCC">
            <w:pPr>
              <w:pStyle w:val="TableText"/>
              <w:rPr>
                <w:rFonts w:eastAsia="Symbol"/>
              </w:rPr>
            </w:pPr>
            <w:r>
              <w:t>Anti-M(g)</w:t>
            </w:r>
          </w:p>
        </w:tc>
        <w:tc>
          <w:tcPr>
            <w:tcW w:w="1331" w:type="dxa"/>
            <w:shd w:val="clear" w:color="auto" w:fill="auto"/>
            <w:vAlign w:val="center"/>
          </w:tcPr>
          <w:p w14:paraId="136F0580" w14:textId="77777777" w:rsidR="00432FCC" w:rsidRDefault="00432FCC" w:rsidP="00432FCC">
            <w:pPr>
              <w:pStyle w:val="TableText"/>
            </w:pPr>
            <w:r>
              <w:t>Anti-M(g)</w:t>
            </w:r>
          </w:p>
        </w:tc>
        <w:tc>
          <w:tcPr>
            <w:tcW w:w="1053" w:type="dxa"/>
            <w:shd w:val="clear" w:color="auto" w:fill="auto"/>
            <w:vAlign w:val="center"/>
          </w:tcPr>
          <w:p w14:paraId="2532BD9E" w14:textId="77777777" w:rsidR="00432FCC" w:rsidRDefault="00432FCC" w:rsidP="00432FCC">
            <w:pPr>
              <w:pStyle w:val="TableText"/>
            </w:pPr>
            <w:r>
              <w:t>No</w:t>
            </w:r>
          </w:p>
        </w:tc>
        <w:tc>
          <w:tcPr>
            <w:tcW w:w="1331" w:type="dxa"/>
            <w:shd w:val="clear" w:color="auto" w:fill="auto"/>
            <w:vAlign w:val="center"/>
          </w:tcPr>
          <w:p w14:paraId="26A12021" w14:textId="77777777" w:rsidR="00432FCC" w:rsidRDefault="00432FCC" w:rsidP="00432FCC">
            <w:pPr>
              <w:pStyle w:val="TableText"/>
              <w:rPr>
                <w:rFonts w:eastAsia="Symbol"/>
              </w:rPr>
            </w:pPr>
            <w:r>
              <w:t>No</w:t>
            </w:r>
          </w:p>
        </w:tc>
        <w:tc>
          <w:tcPr>
            <w:tcW w:w="4315" w:type="dxa"/>
            <w:shd w:val="clear" w:color="auto" w:fill="auto"/>
            <w:vAlign w:val="center"/>
          </w:tcPr>
          <w:p w14:paraId="0E5A61A4" w14:textId="77777777" w:rsidR="00432FCC" w:rsidRDefault="00432FCC" w:rsidP="00432FCC">
            <w:pPr>
              <w:pStyle w:val="TableText"/>
              <w:rPr>
                <w:rFonts w:eastAsia="Symbol"/>
              </w:rPr>
            </w:pPr>
          </w:p>
        </w:tc>
      </w:tr>
      <w:tr w:rsidR="00432FCC" w14:paraId="6C5353FE" w14:textId="77777777">
        <w:tc>
          <w:tcPr>
            <w:tcW w:w="1330" w:type="dxa"/>
            <w:shd w:val="clear" w:color="auto" w:fill="auto"/>
            <w:vAlign w:val="center"/>
          </w:tcPr>
          <w:p w14:paraId="5E327932" w14:textId="77777777" w:rsidR="00432FCC" w:rsidRDefault="00432FCC" w:rsidP="00432FCC">
            <w:pPr>
              <w:pStyle w:val="TableText"/>
              <w:rPr>
                <w:rFonts w:eastAsia="Symbol"/>
              </w:rPr>
            </w:pPr>
            <w:r>
              <w:t>Anti-Mi(a)</w:t>
            </w:r>
          </w:p>
        </w:tc>
        <w:tc>
          <w:tcPr>
            <w:tcW w:w="1331" w:type="dxa"/>
            <w:shd w:val="clear" w:color="auto" w:fill="auto"/>
            <w:vAlign w:val="center"/>
          </w:tcPr>
          <w:p w14:paraId="51605B2A" w14:textId="77777777" w:rsidR="00432FCC" w:rsidRDefault="00432FCC" w:rsidP="00432FCC">
            <w:pPr>
              <w:pStyle w:val="TableText"/>
            </w:pPr>
            <w:r>
              <w:t>Anti-Mi(a)</w:t>
            </w:r>
          </w:p>
        </w:tc>
        <w:tc>
          <w:tcPr>
            <w:tcW w:w="1053" w:type="dxa"/>
            <w:shd w:val="clear" w:color="auto" w:fill="auto"/>
            <w:vAlign w:val="center"/>
          </w:tcPr>
          <w:p w14:paraId="78963897" w14:textId="77777777" w:rsidR="00432FCC" w:rsidRDefault="00432FCC" w:rsidP="00432FCC">
            <w:pPr>
              <w:pStyle w:val="TableText"/>
            </w:pPr>
            <w:r>
              <w:t>No</w:t>
            </w:r>
          </w:p>
        </w:tc>
        <w:tc>
          <w:tcPr>
            <w:tcW w:w="1331" w:type="dxa"/>
            <w:shd w:val="clear" w:color="auto" w:fill="auto"/>
            <w:vAlign w:val="center"/>
          </w:tcPr>
          <w:p w14:paraId="3605ECFF" w14:textId="77777777" w:rsidR="00432FCC" w:rsidRDefault="00432FCC" w:rsidP="00432FCC">
            <w:pPr>
              <w:pStyle w:val="TableText"/>
              <w:rPr>
                <w:rFonts w:eastAsia="Symbol"/>
              </w:rPr>
            </w:pPr>
            <w:r>
              <w:t>No</w:t>
            </w:r>
          </w:p>
        </w:tc>
        <w:tc>
          <w:tcPr>
            <w:tcW w:w="4315" w:type="dxa"/>
            <w:shd w:val="clear" w:color="auto" w:fill="auto"/>
            <w:vAlign w:val="center"/>
          </w:tcPr>
          <w:p w14:paraId="1C61BB18" w14:textId="77777777" w:rsidR="00432FCC" w:rsidRDefault="00432FCC" w:rsidP="00432FCC">
            <w:pPr>
              <w:pStyle w:val="TableText"/>
              <w:rPr>
                <w:rFonts w:eastAsia="Symbol"/>
              </w:rPr>
            </w:pPr>
          </w:p>
        </w:tc>
      </w:tr>
      <w:tr w:rsidR="00432FCC" w14:paraId="237BBAA0" w14:textId="77777777">
        <w:tc>
          <w:tcPr>
            <w:tcW w:w="1330" w:type="dxa"/>
            <w:shd w:val="clear" w:color="auto" w:fill="auto"/>
            <w:vAlign w:val="center"/>
          </w:tcPr>
          <w:p w14:paraId="53CA3407" w14:textId="77777777" w:rsidR="00432FCC" w:rsidRDefault="00432FCC" w:rsidP="00432FCC">
            <w:pPr>
              <w:pStyle w:val="TableText"/>
              <w:rPr>
                <w:rFonts w:eastAsia="Symbol"/>
              </w:rPr>
            </w:pPr>
            <w:r>
              <w:t>Anti-P</w:t>
            </w:r>
          </w:p>
        </w:tc>
        <w:tc>
          <w:tcPr>
            <w:tcW w:w="1331" w:type="dxa"/>
            <w:shd w:val="clear" w:color="auto" w:fill="auto"/>
            <w:vAlign w:val="center"/>
          </w:tcPr>
          <w:p w14:paraId="0F3ADB05" w14:textId="77777777" w:rsidR="00432FCC" w:rsidRDefault="00432FCC" w:rsidP="00432FCC">
            <w:pPr>
              <w:pStyle w:val="TableText"/>
            </w:pPr>
            <w:r>
              <w:t>Anti-P</w:t>
            </w:r>
          </w:p>
        </w:tc>
        <w:tc>
          <w:tcPr>
            <w:tcW w:w="1053" w:type="dxa"/>
            <w:shd w:val="clear" w:color="auto" w:fill="auto"/>
            <w:vAlign w:val="center"/>
          </w:tcPr>
          <w:p w14:paraId="5FF10690" w14:textId="77777777" w:rsidR="00432FCC" w:rsidRDefault="00432FCC" w:rsidP="00432FCC">
            <w:pPr>
              <w:pStyle w:val="TableText"/>
            </w:pPr>
            <w:r>
              <w:t>No</w:t>
            </w:r>
          </w:p>
        </w:tc>
        <w:tc>
          <w:tcPr>
            <w:tcW w:w="1331" w:type="dxa"/>
            <w:shd w:val="clear" w:color="auto" w:fill="auto"/>
            <w:vAlign w:val="center"/>
          </w:tcPr>
          <w:p w14:paraId="3C95A18C" w14:textId="77777777" w:rsidR="00432FCC" w:rsidRDefault="00432FCC" w:rsidP="00432FCC">
            <w:pPr>
              <w:pStyle w:val="TableText"/>
              <w:rPr>
                <w:rFonts w:eastAsia="Symbol"/>
              </w:rPr>
            </w:pPr>
            <w:r>
              <w:t>No</w:t>
            </w:r>
          </w:p>
        </w:tc>
        <w:tc>
          <w:tcPr>
            <w:tcW w:w="4315" w:type="dxa"/>
            <w:shd w:val="clear" w:color="auto" w:fill="auto"/>
            <w:vAlign w:val="center"/>
          </w:tcPr>
          <w:p w14:paraId="53634C87" w14:textId="77777777" w:rsidR="00432FCC" w:rsidRDefault="00432FCC" w:rsidP="00432FCC">
            <w:pPr>
              <w:pStyle w:val="TableText"/>
              <w:rPr>
                <w:rFonts w:eastAsia="Symbol"/>
              </w:rPr>
            </w:pPr>
          </w:p>
        </w:tc>
      </w:tr>
      <w:tr w:rsidR="00432FCC" w14:paraId="20928266" w14:textId="77777777">
        <w:tc>
          <w:tcPr>
            <w:tcW w:w="1330" w:type="dxa"/>
            <w:shd w:val="clear" w:color="auto" w:fill="auto"/>
            <w:vAlign w:val="center"/>
          </w:tcPr>
          <w:p w14:paraId="5CB34EF6" w14:textId="77777777" w:rsidR="00432FCC" w:rsidRDefault="00432FCC" w:rsidP="00432FCC">
            <w:pPr>
              <w:pStyle w:val="TableText"/>
              <w:rPr>
                <w:rFonts w:eastAsia="Symbol"/>
              </w:rPr>
            </w:pPr>
            <w:r>
              <w:t>Anti-A1</w:t>
            </w:r>
          </w:p>
        </w:tc>
        <w:tc>
          <w:tcPr>
            <w:tcW w:w="1331" w:type="dxa"/>
            <w:shd w:val="clear" w:color="auto" w:fill="auto"/>
            <w:vAlign w:val="center"/>
          </w:tcPr>
          <w:p w14:paraId="65E90E1A" w14:textId="77777777" w:rsidR="00432FCC" w:rsidRDefault="00432FCC" w:rsidP="00432FCC">
            <w:pPr>
              <w:pStyle w:val="TableText"/>
            </w:pPr>
            <w:r>
              <w:t>Anti-A-1</w:t>
            </w:r>
          </w:p>
        </w:tc>
        <w:tc>
          <w:tcPr>
            <w:tcW w:w="1053" w:type="dxa"/>
            <w:shd w:val="clear" w:color="auto" w:fill="auto"/>
            <w:vAlign w:val="center"/>
          </w:tcPr>
          <w:p w14:paraId="38CEFA60" w14:textId="77777777" w:rsidR="00432FCC" w:rsidRDefault="00432FCC" w:rsidP="00432FCC">
            <w:pPr>
              <w:pStyle w:val="TableText"/>
            </w:pPr>
            <w:r>
              <w:t>No</w:t>
            </w:r>
          </w:p>
        </w:tc>
        <w:tc>
          <w:tcPr>
            <w:tcW w:w="1331" w:type="dxa"/>
            <w:shd w:val="clear" w:color="auto" w:fill="auto"/>
            <w:vAlign w:val="center"/>
          </w:tcPr>
          <w:p w14:paraId="7768032C" w14:textId="77777777" w:rsidR="00432FCC" w:rsidRDefault="00432FCC" w:rsidP="00432FCC">
            <w:pPr>
              <w:pStyle w:val="TableText"/>
              <w:rPr>
                <w:rFonts w:eastAsia="Symbol"/>
              </w:rPr>
            </w:pPr>
            <w:r>
              <w:t>No</w:t>
            </w:r>
          </w:p>
        </w:tc>
        <w:tc>
          <w:tcPr>
            <w:tcW w:w="4315" w:type="dxa"/>
            <w:shd w:val="clear" w:color="auto" w:fill="auto"/>
            <w:vAlign w:val="center"/>
          </w:tcPr>
          <w:p w14:paraId="6C4EA811" w14:textId="77777777" w:rsidR="00432FCC" w:rsidRDefault="00432FCC" w:rsidP="00432FCC">
            <w:pPr>
              <w:pStyle w:val="TableText"/>
              <w:rPr>
                <w:rFonts w:eastAsia="Symbol"/>
              </w:rPr>
            </w:pPr>
          </w:p>
        </w:tc>
      </w:tr>
      <w:tr w:rsidR="00432FCC" w14:paraId="3A09738E" w14:textId="77777777">
        <w:tc>
          <w:tcPr>
            <w:tcW w:w="1330" w:type="dxa"/>
            <w:shd w:val="clear" w:color="auto" w:fill="auto"/>
            <w:vAlign w:val="center"/>
          </w:tcPr>
          <w:p w14:paraId="2FA13E06" w14:textId="77777777" w:rsidR="00432FCC" w:rsidRDefault="00432FCC" w:rsidP="00432FCC">
            <w:pPr>
              <w:pStyle w:val="TableText"/>
              <w:rPr>
                <w:rFonts w:eastAsia="Symbol"/>
              </w:rPr>
            </w:pPr>
            <w:r>
              <w:t>Anti-H</w:t>
            </w:r>
          </w:p>
        </w:tc>
        <w:tc>
          <w:tcPr>
            <w:tcW w:w="1331" w:type="dxa"/>
            <w:shd w:val="clear" w:color="auto" w:fill="auto"/>
            <w:vAlign w:val="center"/>
          </w:tcPr>
          <w:p w14:paraId="57D54425" w14:textId="77777777" w:rsidR="00432FCC" w:rsidRDefault="00432FCC" w:rsidP="00432FCC">
            <w:pPr>
              <w:pStyle w:val="TableText"/>
              <w:rPr>
                <w:rFonts w:eastAsia="Symbol"/>
              </w:rPr>
            </w:pPr>
            <w:r>
              <w:t>Anti-H</w:t>
            </w:r>
          </w:p>
        </w:tc>
        <w:tc>
          <w:tcPr>
            <w:tcW w:w="1053" w:type="dxa"/>
            <w:shd w:val="clear" w:color="auto" w:fill="auto"/>
            <w:vAlign w:val="center"/>
          </w:tcPr>
          <w:p w14:paraId="2BA422B9" w14:textId="77777777" w:rsidR="00432FCC" w:rsidRDefault="00432FCC" w:rsidP="00432FCC">
            <w:pPr>
              <w:pStyle w:val="TableText"/>
            </w:pPr>
            <w:r>
              <w:t>No</w:t>
            </w:r>
          </w:p>
        </w:tc>
        <w:tc>
          <w:tcPr>
            <w:tcW w:w="1331" w:type="dxa"/>
            <w:shd w:val="clear" w:color="auto" w:fill="auto"/>
            <w:vAlign w:val="center"/>
          </w:tcPr>
          <w:p w14:paraId="52D4E088" w14:textId="77777777" w:rsidR="00432FCC" w:rsidRDefault="00432FCC" w:rsidP="00432FCC">
            <w:pPr>
              <w:pStyle w:val="TableText"/>
              <w:rPr>
                <w:rFonts w:eastAsia="Symbol"/>
              </w:rPr>
            </w:pPr>
            <w:r>
              <w:t>No</w:t>
            </w:r>
          </w:p>
        </w:tc>
        <w:tc>
          <w:tcPr>
            <w:tcW w:w="4315" w:type="dxa"/>
            <w:shd w:val="clear" w:color="auto" w:fill="auto"/>
            <w:vAlign w:val="center"/>
          </w:tcPr>
          <w:p w14:paraId="4BB6ACA1" w14:textId="77777777" w:rsidR="00432FCC" w:rsidRDefault="00432FCC" w:rsidP="00432FCC">
            <w:pPr>
              <w:pStyle w:val="TableText"/>
              <w:rPr>
                <w:rFonts w:eastAsia="Symbol"/>
              </w:rPr>
            </w:pPr>
          </w:p>
        </w:tc>
      </w:tr>
      <w:tr w:rsidR="00432FCC" w14:paraId="268810BC" w14:textId="77777777">
        <w:tc>
          <w:tcPr>
            <w:tcW w:w="1330" w:type="dxa"/>
            <w:shd w:val="clear" w:color="auto" w:fill="auto"/>
            <w:vAlign w:val="center"/>
          </w:tcPr>
          <w:p w14:paraId="17A2EAFA" w14:textId="77777777" w:rsidR="00432FCC" w:rsidRDefault="00432FCC" w:rsidP="00432FCC">
            <w:pPr>
              <w:pStyle w:val="TableText"/>
              <w:rPr>
                <w:rFonts w:eastAsia="Symbol"/>
              </w:rPr>
            </w:pPr>
            <w:r>
              <w:t>Anti-Le(ab)</w:t>
            </w:r>
          </w:p>
        </w:tc>
        <w:tc>
          <w:tcPr>
            <w:tcW w:w="1331" w:type="dxa"/>
            <w:shd w:val="clear" w:color="auto" w:fill="auto"/>
            <w:vAlign w:val="center"/>
          </w:tcPr>
          <w:p w14:paraId="601D2ADF" w14:textId="77777777" w:rsidR="00432FCC" w:rsidRDefault="00432FCC" w:rsidP="00432FCC">
            <w:pPr>
              <w:pStyle w:val="TableText"/>
            </w:pPr>
            <w:r>
              <w:t>Anti-Le(x)</w:t>
            </w:r>
          </w:p>
        </w:tc>
        <w:tc>
          <w:tcPr>
            <w:tcW w:w="1053" w:type="dxa"/>
            <w:shd w:val="clear" w:color="auto" w:fill="auto"/>
            <w:vAlign w:val="center"/>
          </w:tcPr>
          <w:p w14:paraId="5A0293BD" w14:textId="77777777" w:rsidR="00432FCC" w:rsidRDefault="00432FCC" w:rsidP="00432FCC">
            <w:pPr>
              <w:pStyle w:val="TableText"/>
            </w:pPr>
            <w:r>
              <w:t>No</w:t>
            </w:r>
          </w:p>
        </w:tc>
        <w:tc>
          <w:tcPr>
            <w:tcW w:w="1331" w:type="dxa"/>
            <w:shd w:val="clear" w:color="auto" w:fill="auto"/>
            <w:vAlign w:val="center"/>
          </w:tcPr>
          <w:p w14:paraId="2FEA94A0" w14:textId="77777777" w:rsidR="00432FCC" w:rsidRDefault="00432FCC" w:rsidP="00432FCC">
            <w:pPr>
              <w:pStyle w:val="TableText"/>
              <w:rPr>
                <w:rFonts w:eastAsia="Symbol"/>
              </w:rPr>
            </w:pPr>
            <w:r>
              <w:t>No</w:t>
            </w:r>
          </w:p>
        </w:tc>
        <w:tc>
          <w:tcPr>
            <w:tcW w:w="4315" w:type="dxa"/>
            <w:shd w:val="clear" w:color="auto" w:fill="auto"/>
            <w:vAlign w:val="center"/>
          </w:tcPr>
          <w:p w14:paraId="5554853B" w14:textId="77777777" w:rsidR="00432FCC" w:rsidRDefault="00432FCC" w:rsidP="00432FCC">
            <w:pPr>
              <w:pStyle w:val="TableText"/>
              <w:rPr>
                <w:rFonts w:eastAsia="Symbol"/>
              </w:rPr>
            </w:pPr>
          </w:p>
        </w:tc>
      </w:tr>
      <w:tr w:rsidR="00432FCC" w14:paraId="31F6FEE5" w14:textId="77777777">
        <w:tc>
          <w:tcPr>
            <w:tcW w:w="1330" w:type="dxa"/>
            <w:shd w:val="clear" w:color="auto" w:fill="auto"/>
            <w:vAlign w:val="center"/>
          </w:tcPr>
          <w:p w14:paraId="4CF6D024" w14:textId="77777777" w:rsidR="00432FCC" w:rsidRDefault="00432FCC" w:rsidP="00432FCC">
            <w:pPr>
              <w:pStyle w:val="TableText"/>
              <w:rPr>
                <w:rFonts w:eastAsia="Symbol"/>
              </w:rPr>
            </w:pPr>
            <w:r>
              <w:t>Anti-Di(a)</w:t>
            </w:r>
          </w:p>
        </w:tc>
        <w:tc>
          <w:tcPr>
            <w:tcW w:w="1331" w:type="dxa"/>
            <w:shd w:val="clear" w:color="auto" w:fill="auto"/>
            <w:vAlign w:val="center"/>
          </w:tcPr>
          <w:p w14:paraId="339BD8BC" w14:textId="77777777" w:rsidR="00432FCC" w:rsidRDefault="00432FCC" w:rsidP="00432FCC">
            <w:pPr>
              <w:pStyle w:val="TableText"/>
              <w:rPr>
                <w:rFonts w:eastAsia="Symbol"/>
              </w:rPr>
            </w:pPr>
            <w:r>
              <w:t>Anti-Di(a)</w:t>
            </w:r>
          </w:p>
        </w:tc>
        <w:tc>
          <w:tcPr>
            <w:tcW w:w="1053" w:type="dxa"/>
            <w:shd w:val="clear" w:color="auto" w:fill="auto"/>
            <w:vAlign w:val="center"/>
          </w:tcPr>
          <w:p w14:paraId="7CD66E19" w14:textId="77777777" w:rsidR="00432FCC" w:rsidRDefault="00432FCC" w:rsidP="00432FCC">
            <w:pPr>
              <w:pStyle w:val="TableText"/>
            </w:pPr>
            <w:r>
              <w:t>No</w:t>
            </w:r>
          </w:p>
        </w:tc>
        <w:tc>
          <w:tcPr>
            <w:tcW w:w="1331" w:type="dxa"/>
            <w:shd w:val="clear" w:color="auto" w:fill="auto"/>
            <w:vAlign w:val="center"/>
          </w:tcPr>
          <w:p w14:paraId="494AB210" w14:textId="77777777" w:rsidR="00432FCC" w:rsidRDefault="00432FCC" w:rsidP="00432FCC">
            <w:pPr>
              <w:pStyle w:val="TableText"/>
              <w:rPr>
                <w:rFonts w:eastAsia="Symbol"/>
              </w:rPr>
            </w:pPr>
            <w:r>
              <w:t>No</w:t>
            </w:r>
          </w:p>
        </w:tc>
        <w:tc>
          <w:tcPr>
            <w:tcW w:w="4315" w:type="dxa"/>
            <w:shd w:val="clear" w:color="auto" w:fill="auto"/>
            <w:vAlign w:val="center"/>
          </w:tcPr>
          <w:p w14:paraId="519DE8C0" w14:textId="77777777" w:rsidR="00432FCC" w:rsidRDefault="00432FCC" w:rsidP="00432FCC">
            <w:pPr>
              <w:pStyle w:val="TableText"/>
              <w:rPr>
                <w:rFonts w:eastAsia="Symbol"/>
              </w:rPr>
            </w:pPr>
          </w:p>
        </w:tc>
      </w:tr>
      <w:tr w:rsidR="00432FCC" w14:paraId="54C2C607" w14:textId="77777777">
        <w:tc>
          <w:tcPr>
            <w:tcW w:w="1330" w:type="dxa"/>
            <w:shd w:val="clear" w:color="auto" w:fill="auto"/>
            <w:vAlign w:val="center"/>
          </w:tcPr>
          <w:p w14:paraId="6B9D554E" w14:textId="77777777" w:rsidR="00432FCC" w:rsidRDefault="00432FCC" w:rsidP="00432FCC">
            <w:pPr>
              <w:pStyle w:val="TableText"/>
              <w:rPr>
                <w:rFonts w:eastAsia="Symbol"/>
              </w:rPr>
            </w:pPr>
            <w:r>
              <w:t>Anti-Di(b)</w:t>
            </w:r>
          </w:p>
        </w:tc>
        <w:tc>
          <w:tcPr>
            <w:tcW w:w="1331" w:type="dxa"/>
            <w:shd w:val="clear" w:color="auto" w:fill="auto"/>
            <w:vAlign w:val="center"/>
          </w:tcPr>
          <w:p w14:paraId="0DDE816F" w14:textId="77777777" w:rsidR="00432FCC" w:rsidRDefault="00432FCC" w:rsidP="00432FCC">
            <w:pPr>
              <w:pStyle w:val="TableText"/>
              <w:rPr>
                <w:rFonts w:eastAsia="Symbol"/>
              </w:rPr>
            </w:pPr>
            <w:r>
              <w:t>Anti-Di(b)</w:t>
            </w:r>
          </w:p>
        </w:tc>
        <w:tc>
          <w:tcPr>
            <w:tcW w:w="1053" w:type="dxa"/>
            <w:shd w:val="clear" w:color="auto" w:fill="auto"/>
            <w:vAlign w:val="center"/>
          </w:tcPr>
          <w:p w14:paraId="2C18289C" w14:textId="77777777" w:rsidR="00432FCC" w:rsidRDefault="00432FCC" w:rsidP="00432FCC">
            <w:pPr>
              <w:pStyle w:val="TableText"/>
            </w:pPr>
            <w:r>
              <w:t>No</w:t>
            </w:r>
          </w:p>
        </w:tc>
        <w:tc>
          <w:tcPr>
            <w:tcW w:w="1331" w:type="dxa"/>
            <w:shd w:val="clear" w:color="auto" w:fill="auto"/>
            <w:vAlign w:val="center"/>
          </w:tcPr>
          <w:p w14:paraId="35DAC5BC" w14:textId="77777777" w:rsidR="00432FCC" w:rsidRDefault="00432FCC" w:rsidP="00432FCC">
            <w:pPr>
              <w:pStyle w:val="TableText"/>
              <w:rPr>
                <w:rFonts w:eastAsia="Symbol"/>
              </w:rPr>
            </w:pPr>
            <w:r>
              <w:t>No</w:t>
            </w:r>
          </w:p>
        </w:tc>
        <w:tc>
          <w:tcPr>
            <w:tcW w:w="4315" w:type="dxa"/>
            <w:shd w:val="clear" w:color="auto" w:fill="auto"/>
            <w:vAlign w:val="center"/>
          </w:tcPr>
          <w:p w14:paraId="24E087B4" w14:textId="77777777" w:rsidR="00432FCC" w:rsidRDefault="00432FCC" w:rsidP="00432FCC">
            <w:pPr>
              <w:pStyle w:val="TableText"/>
              <w:rPr>
                <w:rFonts w:eastAsia="Symbol"/>
              </w:rPr>
            </w:pPr>
          </w:p>
        </w:tc>
      </w:tr>
      <w:tr w:rsidR="00432FCC" w14:paraId="74E34594" w14:textId="77777777">
        <w:tc>
          <w:tcPr>
            <w:tcW w:w="1330" w:type="dxa"/>
            <w:shd w:val="clear" w:color="auto" w:fill="auto"/>
            <w:vAlign w:val="center"/>
          </w:tcPr>
          <w:p w14:paraId="4F33D8E1" w14:textId="77777777" w:rsidR="00432FCC" w:rsidRDefault="00432FCC" w:rsidP="00432FCC">
            <w:pPr>
              <w:pStyle w:val="TableText"/>
              <w:rPr>
                <w:rFonts w:eastAsia="Symbol"/>
              </w:rPr>
            </w:pPr>
            <w:r>
              <w:t>Anti-Do(a)</w:t>
            </w:r>
          </w:p>
        </w:tc>
        <w:tc>
          <w:tcPr>
            <w:tcW w:w="1331" w:type="dxa"/>
            <w:shd w:val="clear" w:color="auto" w:fill="auto"/>
            <w:vAlign w:val="center"/>
          </w:tcPr>
          <w:p w14:paraId="1313FD84" w14:textId="77777777" w:rsidR="00432FCC" w:rsidRDefault="00432FCC" w:rsidP="00432FCC">
            <w:pPr>
              <w:pStyle w:val="TableText"/>
              <w:rPr>
                <w:rFonts w:eastAsia="Symbol"/>
              </w:rPr>
            </w:pPr>
            <w:r>
              <w:t>Anti-Do(a)</w:t>
            </w:r>
          </w:p>
        </w:tc>
        <w:tc>
          <w:tcPr>
            <w:tcW w:w="1053" w:type="dxa"/>
            <w:shd w:val="clear" w:color="auto" w:fill="auto"/>
            <w:vAlign w:val="center"/>
          </w:tcPr>
          <w:p w14:paraId="00F17943" w14:textId="77777777" w:rsidR="00432FCC" w:rsidRDefault="00432FCC" w:rsidP="00432FCC">
            <w:pPr>
              <w:pStyle w:val="TableText"/>
            </w:pPr>
            <w:r>
              <w:t>No</w:t>
            </w:r>
          </w:p>
        </w:tc>
        <w:tc>
          <w:tcPr>
            <w:tcW w:w="1331" w:type="dxa"/>
            <w:shd w:val="clear" w:color="auto" w:fill="auto"/>
            <w:vAlign w:val="center"/>
          </w:tcPr>
          <w:p w14:paraId="4AC5BDAE" w14:textId="77777777" w:rsidR="00432FCC" w:rsidRDefault="00432FCC" w:rsidP="00432FCC">
            <w:pPr>
              <w:pStyle w:val="TableText"/>
              <w:rPr>
                <w:rFonts w:eastAsia="Symbol"/>
              </w:rPr>
            </w:pPr>
            <w:r>
              <w:t>No</w:t>
            </w:r>
          </w:p>
        </w:tc>
        <w:tc>
          <w:tcPr>
            <w:tcW w:w="4315" w:type="dxa"/>
            <w:shd w:val="clear" w:color="auto" w:fill="auto"/>
            <w:vAlign w:val="center"/>
          </w:tcPr>
          <w:p w14:paraId="1F0A9AD9" w14:textId="77777777" w:rsidR="00432FCC" w:rsidRDefault="00432FCC" w:rsidP="00432FCC">
            <w:pPr>
              <w:pStyle w:val="TableText"/>
            </w:pPr>
          </w:p>
        </w:tc>
      </w:tr>
      <w:tr w:rsidR="00432FCC" w14:paraId="263040EC" w14:textId="77777777">
        <w:tc>
          <w:tcPr>
            <w:tcW w:w="1330" w:type="dxa"/>
            <w:shd w:val="clear" w:color="auto" w:fill="auto"/>
            <w:vAlign w:val="center"/>
          </w:tcPr>
          <w:p w14:paraId="4DF13B4C" w14:textId="77777777" w:rsidR="00432FCC" w:rsidRDefault="00432FCC" w:rsidP="00432FCC">
            <w:pPr>
              <w:pStyle w:val="TableText"/>
              <w:rPr>
                <w:rFonts w:eastAsia="Symbol"/>
              </w:rPr>
            </w:pPr>
            <w:r>
              <w:t>Anti-Do(b)</w:t>
            </w:r>
          </w:p>
        </w:tc>
        <w:tc>
          <w:tcPr>
            <w:tcW w:w="1331" w:type="dxa"/>
            <w:shd w:val="clear" w:color="auto" w:fill="auto"/>
            <w:vAlign w:val="center"/>
          </w:tcPr>
          <w:p w14:paraId="3A7CA841" w14:textId="77777777" w:rsidR="00432FCC" w:rsidRDefault="00432FCC" w:rsidP="00432FCC">
            <w:pPr>
              <w:pStyle w:val="TableText"/>
              <w:rPr>
                <w:rFonts w:eastAsia="Symbol"/>
              </w:rPr>
            </w:pPr>
            <w:r>
              <w:t>None</w:t>
            </w:r>
          </w:p>
        </w:tc>
        <w:tc>
          <w:tcPr>
            <w:tcW w:w="1053" w:type="dxa"/>
            <w:shd w:val="clear" w:color="auto" w:fill="auto"/>
            <w:vAlign w:val="center"/>
          </w:tcPr>
          <w:p w14:paraId="5B4F90B1" w14:textId="77777777" w:rsidR="00432FCC" w:rsidRDefault="00432FCC" w:rsidP="00432FCC">
            <w:pPr>
              <w:pStyle w:val="TableText"/>
            </w:pPr>
            <w:r>
              <w:t>No</w:t>
            </w:r>
          </w:p>
        </w:tc>
        <w:tc>
          <w:tcPr>
            <w:tcW w:w="1331" w:type="dxa"/>
            <w:shd w:val="clear" w:color="auto" w:fill="auto"/>
            <w:vAlign w:val="center"/>
          </w:tcPr>
          <w:p w14:paraId="166EB04B" w14:textId="77777777" w:rsidR="00432FCC" w:rsidRDefault="00432FCC" w:rsidP="00432FCC">
            <w:pPr>
              <w:pStyle w:val="TableText"/>
              <w:rPr>
                <w:rFonts w:eastAsia="Symbol"/>
              </w:rPr>
            </w:pPr>
            <w:r>
              <w:t>No</w:t>
            </w:r>
          </w:p>
        </w:tc>
        <w:tc>
          <w:tcPr>
            <w:tcW w:w="4315" w:type="dxa"/>
            <w:shd w:val="clear" w:color="auto" w:fill="auto"/>
            <w:vAlign w:val="center"/>
          </w:tcPr>
          <w:p w14:paraId="2F6DE67E" w14:textId="77777777" w:rsidR="00432FCC" w:rsidRDefault="00432FCC" w:rsidP="00432FCC">
            <w:pPr>
              <w:pStyle w:val="TableText"/>
            </w:pPr>
          </w:p>
        </w:tc>
      </w:tr>
      <w:tr w:rsidR="00432FCC" w14:paraId="3783B6D0" w14:textId="77777777">
        <w:tc>
          <w:tcPr>
            <w:tcW w:w="1330" w:type="dxa"/>
            <w:shd w:val="clear" w:color="auto" w:fill="auto"/>
            <w:vAlign w:val="center"/>
          </w:tcPr>
          <w:p w14:paraId="24376CB6" w14:textId="77777777" w:rsidR="00432FCC" w:rsidRDefault="00432FCC" w:rsidP="00432FCC">
            <w:pPr>
              <w:pStyle w:val="TableText"/>
              <w:rPr>
                <w:rFonts w:eastAsia="Symbol"/>
              </w:rPr>
            </w:pPr>
            <w:r>
              <w:t>Anti-Co(a)</w:t>
            </w:r>
          </w:p>
        </w:tc>
        <w:tc>
          <w:tcPr>
            <w:tcW w:w="1331" w:type="dxa"/>
            <w:shd w:val="clear" w:color="auto" w:fill="auto"/>
            <w:vAlign w:val="center"/>
          </w:tcPr>
          <w:p w14:paraId="7D5246D3" w14:textId="77777777" w:rsidR="00432FCC" w:rsidRDefault="00432FCC" w:rsidP="00432FCC">
            <w:pPr>
              <w:pStyle w:val="TableText"/>
              <w:rPr>
                <w:rFonts w:eastAsia="Symbol"/>
              </w:rPr>
            </w:pPr>
            <w:r>
              <w:t>None</w:t>
            </w:r>
          </w:p>
        </w:tc>
        <w:tc>
          <w:tcPr>
            <w:tcW w:w="1053" w:type="dxa"/>
            <w:shd w:val="clear" w:color="auto" w:fill="auto"/>
            <w:vAlign w:val="center"/>
          </w:tcPr>
          <w:p w14:paraId="5873FC25" w14:textId="77777777" w:rsidR="00432FCC" w:rsidRDefault="00432FCC" w:rsidP="00432FCC">
            <w:pPr>
              <w:pStyle w:val="TableText"/>
            </w:pPr>
            <w:r>
              <w:t>No</w:t>
            </w:r>
          </w:p>
        </w:tc>
        <w:tc>
          <w:tcPr>
            <w:tcW w:w="1331" w:type="dxa"/>
            <w:shd w:val="clear" w:color="auto" w:fill="auto"/>
            <w:vAlign w:val="center"/>
          </w:tcPr>
          <w:p w14:paraId="749CFC11" w14:textId="77777777" w:rsidR="00432FCC" w:rsidRDefault="00432FCC" w:rsidP="00432FCC">
            <w:pPr>
              <w:pStyle w:val="TableText"/>
              <w:rPr>
                <w:rFonts w:eastAsia="Symbol"/>
              </w:rPr>
            </w:pPr>
            <w:r>
              <w:t>No</w:t>
            </w:r>
          </w:p>
        </w:tc>
        <w:tc>
          <w:tcPr>
            <w:tcW w:w="4315" w:type="dxa"/>
            <w:shd w:val="clear" w:color="auto" w:fill="auto"/>
            <w:vAlign w:val="center"/>
          </w:tcPr>
          <w:p w14:paraId="457F1635" w14:textId="77777777" w:rsidR="00432FCC" w:rsidRDefault="00432FCC" w:rsidP="00432FCC">
            <w:pPr>
              <w:pStyle w:val="TableText"/>
            </w:pPr>
          </w:p>
        </w:tc>
      </w:tr>
      <w:tr w:rsidR="00432FCC" w14:paraId="74C605E6" w14:textId="77777777">
        <w:tc>
          <w:tcPr>
            <w:tcW w:w="1330" w:type="dxa"/>
            <w:shd w:val="clear" w:color="auto" w:fill="auto"/>
            <w:vAlign w:val="center"/>
          </w:tcPr>
          <w:p w14:paraId="53090EF2" w14:textId="77777777" w:rsidR="00432FCC" w:rsidRDefault="00432FCC" w:rsidP="00432FCC">
            <w:pPr>
              <w:pStyle w:val="TableText"/>
              <w:rPr>
                <w:rFonts w:eastAsia="Symbol"/>
              </w:rPr>
            </w:pPr>
            <w:r>
              <w:t>Anti-Co(b)</w:t>
            </w:r>
          </w:p>
        </w:tc>
        <w:tc>
          <w:tcPr>
            <w:tcW w:w="1331" w:type="dxa"/>
            <w:shd w:val="clear" w:color="auto" w:fill="auto"/>
            <w:vAlign w:val="center"/>
          </w:tcPr>
          <w:p w14:paraId="1D8F3B66" w14:textId="77777777" w:rsidR="00432FCC" w:rsidRDefault="00432FCC" w:rsidP="00432FCC">
            <w:pPr>
              <w:pStyle w:val="TableText"/>
              <w:rPr>
                <w:rFonts w:eastAsia="Symbol"/>
              </w:rPr>
            </w:pPr>
            <w:r>
              <w:t>None</w:t>
            </w:r>
          </w:p>
        </w:tc>
        <w:tc>
          <w:tcPr>
            <w:tcW w:w="1053" w:type="dxa"/>
            <w:shd w:val="clear" w:color="auto" w:fill="auto"/>
            <w:vAlign w:val="center"/>
          </w:tcPr>
          <w:p w14:paraId="1AE67799" w14:textId="77777777" w:rsidR="00432FCC" w:rsidRDefault="00432FCC" w:rsidP="00432FCC">
            <w:pPr>
              <w:pStyle w:val="TableText"/>
            </w:pPr>
            <w:r>
              <w:t>No</w:t>
            </w:r>
          </w:p>
        </w:tc>
        <w:tc>
          <w:tcPr>
            <w:tcW w:w="1331" w:type="dxa"/>
            <w:shd w:val="clear" w:color="auto" w:fill="auto"/>
            <w:vAlign w:val="center"/>
          </w:tcPr>
          <w:p w14:paraId="1686DD42" w14:textId="77777777" w:rsidR="00432FCC" w:rsidRDefault="00432FCC" w:rsidP="00432FCC">
            <w:pPr>
              <w:pStyle w:val="TableText"/>
              <w:rPr>
                <w:rFonts w:eastAsia="Symbol"/>
              </w:rPr>
            </w:pPr>
            <w:r>
              <w:t>No</w:t>
            </w:r>
          </w:p>
        </w:tc>
        <w:tc>
          <w:tcPr>
            <w:tcW w:w="4315" w:type="dxa"/>
            <w:shd w:val="clear" w:color="auto" w:fill="auto"/>
            <w:vAlign w:val="center"/>
          </w:tcPr>
          <w:p w14:paraId="4EE2FB0D" w14:textId="77777777" w:rsidR="00432FCC" w:rsidRDefault="00432FCC" w:rsidP="00432FCC">
            <w:pPr>
              <w:pStyle w:val="TableText"/>
            </w:pPr>
          </w:p>
        </w:tc>
      </w:tr>
      <w:tr w:rsidR="00432FCC" w14:paraId="3DD97EE7" w14:textId="77777777">
        <w:tc>
          <w:tcPr>
            <w:tcW w:w="1330" w:type="dxa"/>
            <w:shd w:val="clear" w:color="auto" w:fill="auto"/>
            <w:vAlign w:val="center"/>
          </w:tcPr>
          <w:p w14:paraId="6BDD4323" w14:textId="77777777" w:rsidR="00432FCC" w:rsidRDefault="00432FCC" w:rsidP="00432FCC">
            <w:pPr>
              <w:pStyle w:val="TableText"/>
              <w:rPr>
                <w:rFonts w:eastAsia="Symbol"/>
              </w:rPr>
            </w:pPr>
            <w:r>
              <w:t>Anti-LW(a)</w:t>
            </w:r>
          </w:p>
        </w:tc>
        <w:tc>
          <w:tcPr>
            <w:tcW w:w="1331" w:type="dxa"/>
            <w:shd w:val="clear" w:color="auto" w:fill="auto"/>
            <w:vAlign w:val="center"/>
          </w:tcPr>
          <w:p w14:paraId="226575DA" w14:textId="77777777" w:rsidR="00432FCC" w:rsidRDefault="00432FCC" w:rsidP="00432FCC">
            <w:pPr>
              <w:pStyle w:val="TableText"/>
            </w:pPr>
            <w:r>
              <w:t>None</w:t>
            </w:r>
          </w:p>
        </w:tc>
        <w:tc>
          <w:tcPr>
            <w:tcW w:w="1053" w:type="dxa"/>
            <w:shd w:val="clear" w:color="auto" w:fill="auto"/>
            <w:vAlign w:val="center"/>
          </w:tcPr>
          <w:p w14:paraId="2966E179" w14:textId="77777777" w:rsidR="00432FCC" w:rsidRDefault="00432FCC" w:rsidP="00432FCC">
            <w:pPr>
              <w:pStyle w:val="TableText"/>
            </w:pPr>
            <w:r>
              <w:t>No</w:t>
            </w:r>
          </w:p>
        </w:tc>
        <w:tc>
          <w:tcPr>
            <w:tcW w:w="1331" w:type="dxa"/>
            <w:shd w:val="clear" w:color="auto" w:fill="auto"/>
            <w:vAlign w:val="center"/>
          </w:tcPr>
          <w:p w14:paraId="6AE4980D" w14:textId="77777777" w:rsidR="00432FCC" w:rsidRDefault="00432FCC" w:rsidP="00432FCC">
            <w:pPr>
              <w:pStyle w:val="TableText"/>
              <w:rPr>
                <w:rFonts w:eastAsia="Symbol"/>
              </w:rPr>
            </w:pPr>
            <w:r>
              <w:t>No</w:t>
            </w:r>
          </w:p>
        </w:tc>
        <w:tc>
          <w:tcPr>
            <w:tcW w:w="4315" w:type="dxa"/>
            <w:shd w:val="clear" w:color="auto" w:fill="auto"/>
            <w:vAlign w:val="center"/>
          </w:tcPr>
          <w:p w14:paraId="5EAA144C" w14:textId="77777777" w:rsidR="00432FCC" w:rsidRDefault="00432FCC" w:rsidP="00432FCC">
            <w:pPr>
              <w:pStyle w:val="TableText"/>
            </w:pPr>
          </w:p>
        </w:tc>
      </w:tr>
      <w:tr w:rsidR="00432FCC" w14:paraId="7B3B9739" w14:textId="77777777">
        <w:tc>
          <w:tcPr>
            <w:tcW w:w="1330" w:type="dxa"/>
            <w:shd w:val="clear" w:color="auto" w:fill="auto"/>
            <w:vAlign w:val="center"/>
          </w:tcPr>
          <w:p w14:paraId="5BE62ED8" w14:textId="77777777" w:rsidR="00432FCC" w:rsidRDefault="00432FCC" w:rsidP="00432FCC">
            <w:pPr>
              <w:pStyle w:val="TableText"/>
              <w:rPr>
                <w:rFonts w:eastAsia="Symbol"/>
              </w:rPr>
            </w:pPr>
            <w:r>
              <w:t>Anti-LW(b)</w:t>
            </w:r>
          </w:p>
        </w:tc>
        <w:tc>
          <w:tcPr>
            <w:tcW w:w="1331" w:type="dxa"/>
            <w:shd w:val="clear" w:color="auto" w:fill="auto"/>
            <w:vAlign w:val="center"/>
          </w:tcPr>
          <w:p w14:paraId="28A006E3" w14:textId="77777777" w:rsidR="00432FCC" w:rsidRDefault="00432FCC" w:rsidP="00432FCC">
            <w:pPr>
              <w:pStyle w:val="TableText"/>
            </w:pPr>
            <w:r>
              <w:t>None</w:t>
            </w:r>
          </w:p>
        </w:tc>
        <w:tc>
          <w:tcPr>
            <w:tcW w:w="1053" w:type="dxa"/>
            <w:shd w:val="clear" w:color="auto" w:fill="auto"/>
            <w:vAlign w:val="center"/>
          </w:tcPr>
          <w:p w14:paraId="1E34F3F4" w14:textId="77777777" w:rsidR="00432FCC" w:rsidRDefault="00432FCC" w:rsidP="00432FCC">
            <w:pPr>
              <w:pStyle w:val="TableText"/>
            </w:pPr>
            <w:r>
              <w:t>No</w:t>
            </w:r>
          </w:p>
        </w:tc>
        <w:tc>
          <w:tcPr>
            <w:tcW w:w="1331" w:type="dxa"/>
            <w:shd w:val="clear" w:color="auto" w:fill="auto"/>
            <w:vAlign w:val="center"/>
          </w:tcPr>
          <w:p w14:paraId="707FA809" w14:textId="77777777" w:rsidR="00432FCC" w:rsidRDefault="00432FCC" w:rsidP="00432FCC">
            <w:pPr>
              <w:pStyle w:val="TableText"/>
              <w:rPr>
                <w:rFonts w:eastAsia="Symbol"/>
              </w:rPr>
            </w:pPr>
            <w:r>
              <w:t>No</w:t>
            </w:r>
          </w:p>
        </w:tc>
        <w:tc>
          <w:tcPr>
            <w:tcW w:w="4315" w:type="dxa"/>
            <w:shd w:val="clear" w:color="auto" w:fill="auto"/>
            <w:vAlign w:val="center"/>
          </w:tcPr>
          <w:p w14:paraId="6C5E5DA6" w14:textId="77777777" w:rsidR="00432FCC" w:rsidRDefault="00432FCC" w:rsidP="00432FCC">
            <w:pPr>
              <w:pStyle w:val="TableText"/>
            </w:pPr>
          </w:p>
        </w:tc>
      </w:tr>
      <w:tr w:rsidR="00432FCC" w14:paraId="562D0A79" w14:textId="77777777">
        <w:tc>
          <w:tcPr>
            <w:tcW w:w="1330" w:type="dxa"/>
            <w:shd w:val="clear" w:color="auto" w:fill="auto"/>
            <w:vAlign w:val="center"/>
          </w:tcPr>
          <w:p w14:paraId="38255188" w14:textId="77777777" w:rsidR="00432FCC" w:rsidRDefault="00432FCC" w:rsidP="00432FCC">
            <w:pPr>
              <w:pStyle w:val="TableText"/>
              <w:rPr>
                <w:rFonts w:eastAsia="Symbol"/>
              </w:rPr>
            </w:pPr>
            <w:r>
              <w:t>Anti-Sc1</w:t>
            </w:r>
          </w:p>
        </w:tc>
        <w:tc>
          <w:tcPr>
            <w:tcW w:w="1331" w:type="dxa"/>
            <w:shd w:val="clear" w:color="auto" w:fill="auto"/>
            <w:vAlign w:val="center"/>
          </w:tcPr>
          <w:p w14:paraId="0AB59092" w14:textId="77777777" w:rsidR="00432FCC" w:rsidRDefault="00432FCC" w:rsidP="00432FCC">
            <w:pPr>
              <w:pStyle w:val="TableText"/>
              <w:rPr>
                <w:rFonts w:eastAsia="Symbol"/>
              </w:rPr>
            </w:pPr>
            <w:r>
              <w:t>None</w:t>
            </w:r>
          </w:p>
        </w:tc>
        <w:tc>
          <w:tcPr>
            <w:tcW w:w="1053" w:type="dxa"/>
            <w:shd w:val="clear" w:color="auto" w:fill="auto"/>
            <w:vAlign w:val="center"/>
          </w:tcPr>
          <w:p w14:paraId="7277F36C" w14:textId="77777777" w:rsidR="00432FCC" w:rsidRDefault="00432FCC" w:rsidP="00432FCC">
            <w:pPr>
              <w:pStyle w:val="TableText"/>
            </w:pPr>
            <w:r>
              <w:t>No</w:t>
            </w:r>
          </w:p>
        </w:tc>
        <w:tc>
          <w:tcPr>
            <w:tcW w:w="1331" w:type="dxa"/>
            <w:shd w:val="clear" w:color="auto" w:fill="auto"/>
            <w:vAlign w:val="center"/>
          </w:tcPr>
          <w:p w14:paraId="7EC273E3" w14:textId="77777777" w:rsidR="00432FCC" w:rsidRDefault="00432FCC" w:rsidP="00432FCC">
            <w:pPr>
              <w:pStyle w:val="TableText"/>
              <w:rPr>
                <w:rFonts w:eastAsia="Symbol"/>
              </w:rPr>
            </w:pPr>
            <w:r>
              <w:t>No</w:t>
            </w:r>
          </w:p>
        </w:tc>
        <w:tc>
          <w:tcPr>
            <w:tcW w:w="4315" w:type="dxa"/>
            <w:shd w:val="clear" w:color="auto" w:fill="auto"/>
            <w:vAlign w:val="center"/>
          </w:tcPr>
          <w:p w14:paraId="04E4BCD6" w14:textId="77777777" w:rsidR="00432FCC" w:rsidRDefault="00432FCC" w:rsidP="00432FCC">
            <w:pPr>
              <w:pStyle w:val="TableText"/>
              <w:rPr>
                <w:rFonts w:eastAsia="Symbol"/>
              </w:rPr>
            </w:pPr>
          </w:p>
        </w:tc>
      </w:tr>
      <w:tr w:rsidR="00432FCC" w14:paraId="5D907C98" w14:textId="77777777">
        <w:tc>
          <w:tcPr>
            <w:tcW w:w="1330" w:type="dxa"/>
            <w:shd w:val="clear" w:color="auto" w:fill="auto"/>
            <w:vAlign w:val="center"/>
          </w:tcPr>
          <w:p w14:paraId="18F7AEA8" w14:textId="77777777" w:rsidR="00432FCC" w:rsidRDefault="00432FCC" w:rsidP="00432FCC">
            <w:pPr>
              <w:pStyle w:val="TableText"/>
              <w:rPr>
                <w:rFonts w:eastAsia="Symbol"/>
              </w:rPr>
            </w:pPr>
            <w:r>
              <w:t>Anti-Sc2</w:t>
            </w:r>
          </w:p>
        </w:tc>
        <w:tc>
          <w:tcPr>
            <w:tcW w:w="1331" w:type="dxa"/>
            <w:shd w:val="clear" w:color="auto" w:fill="auto"/>
            <w:vAlign w:val="center"/>
          </w:tcPr>
          <w:p w14:paraId="70F42FAE" w14:textId="77777777" w:rsidR="00432FCC" w:rsidRDefault="00432FCC" w:rsidP="00432FCC">
            <w:pPr>
              <w:pStyle w:val="TableText"/>
              <w:rPr>
                <w:rFonts w:eastAsia="Symbol"/>
              </w:rPr>
            </w:pPr>
            <w:r>
              <w:t>None</w:t>
            </w:r>
          </w:p>
        </w:tc>
        <w:tc>
          <w:tcPr>
            <w:tcW w:w="1053" w:type="dxa"/>
            <w:shd w:val="clear" w:color="auto" w:fill="auto"/>
            <w:vAlign w:val="center"/>
          </w:tcPr>
          <w:p w14:paraId="62D61F71" w14:textId="77777777" w:rsidR="00432FCC" w:rsidRDefault="00432FCC" w:rsidP="00432FCC">
            <w:pPr>
              <w:pStyle w:val="TableText"/>
            </w:pPr>
            <w:r>
              <w:t>No</w:t>
            </w:r>
          </w:p>
        </w:tc>
        <w:tc>
          <w:tcPr>
            <w:tcW w:w="1331" w:type="dxa"/>
            <w:shd w:val="clear" w:color="auto" w:fill="auto"/>
            <w:vAlign w:val="center"/>
          </w:tcPr>
          <w:p w14:paraId="4B812E5B" w14:textId="77777777" w:rsidR="00432FCC" w:rsidRDefault="00432FCC" w:rsidP="00432FCC">
            <w:pPr>
              <w:pStyle w:val="TableText"/>
              <w:rPr>
                <w:rFonts w:eastAsia="Symbol"/>
              </w:rPr>
            </w:pPr>
            <w:r>
              <w:t>No</w:t>
            </w:r>
          </w:p>
        </w:tc>
        <w:tc>
          <w:tcPr>
            <w:tcW w:w="4315" w:type="dxa"/>
            <w:shd w:val="clear" w:color="auto" w:fill="auto"/>
            <w:vAlign w:val="center"/>
          </w:tcPr>
          <w:p w14:paraId="35DC4003" w14:textId="77777777" w:rsidR="00432FCC" w:rsidRDefault="00432FCC" w:rsidP="00432FCC">
            <w:pPr>
              <w:pStyle w:val="TableText"/>
              <w:rPr>
                <w:rFonts w:eastAsia="Symbol"/>
              </w:rPr>
            </w:pPr>
          </w:p>
        </w:tc>
      </w:tr>
      <w:tr w:rsidR="00432FCC" w14:paraId="516C89D1" w14:textId="77777777">
        <w:tc>
          <w:tcPr>
            <w:tcW w:w="1330" w:type="dxa"/>
            <w:shd w:val="clear" w:color="auto" w:fill="auto"/>
            <w:vAlign w:val="center"/>
          </w:tcPr>
          <w:p w14:paraId="0B08B454" w14:textId="77777777" w:rsidR="00432FCC" w:rsidRDefault="00432FCC" w:rsidP="00432FCC">
            <w:pPr>
              <w:pStyle w:val="TableText"/>
              <w:rPr>
                <w:rFonts w:eastAsia="Symbol"/>
              </w:rPr>
            </w:pPr>
            <w:r>
              <w:t>Anti-Sd(a)</w:t>
            </w:r>
          </w:p>
        </w:tc>
        <w:tc>
          <w:tcPr>
            <w:tcW w:w="1331" w:type="dxa"/>
            <w:shd w:val="clear" w:color="auto" w:fill="auto"/>
            <w:vAlign w:val="center"/>
          </w:tcPr>
          <w:p w14:paraId="67FABD93" w14:textId="77777777" w:rsidR="00432FCC" w:rsidRDefault="00432FCC" w:rsidP="00432FCC">
            <w:pPr>
              <w:pStyle w:val="TableText"/>
              <w:rPr>
                <w:rFonts w:eastAsia="Symbol"/>
              </w:rPr>
            </w:pPr>
            <w:r>
              <w:t>None</w:t>
            </w:r>
          </w:p>
        </w:tc>
        <w:tc>
          <w:tcPr>
            <w:tcW w:w="1053" w:type="dxa"/>
            <w:shd w:val="clear" w:color="auto" w:fill="auto"/>
            <w:vAlign w:val="center"/>
          </w:tcPr>
          <w:p w14:paraId="1947A00C" w14:textId="77777777" w:rsidR="00432FCC" w:rsidRDefault="00432FCC" w:rsidP="00432FCC">
            <w:pPr>
              <w:pStyle w:val="TableText"/>
            </w:pPr>
            <w:r>
              <w:t>No</w:t>
            </w:r>
          </w:p>
        </w:tc>
        <w:tc>
          <w:tcPr>
            <w:tcW w:w="1331" w:type="dxa"/>
            <w:shd w:val="clear" w:color="auto" w:fill="auto"/>
            <w:vAlign w:val="center"/>
          </w:tcPr>
          <w:p w14:paraId="6BD3B88F" w14:textId="77777777" w:rsidR="00432FCC" w:rsidRDefault="00432FCC" w:rsidP="00432FCC">
            <w:pPr>
              <w:pStyle w:val="TableText"/>
              <w:rPr>
                <w:rFonts w:eastAsia="Symbol"/>
              </w:rPr>
            </w:pPr>
            <w:r>
              <w:t>No</w:t>
            </w:r>
          </w:p>
        </w:tc>
        <w:tc>
          <w:tcPr>
            <w:tcW w:w="4315" w:type="dxa"/>
            <w:shd w:val="clear" w:color="auto" w:fill="auto"/>
            <w:vAlign w:val="center"/>
          </w:tcPr>
          <w:p w14:paraId="345C3BBD" w14:textId="77777777" w:rsidR="00432FCC" w:rsidRDefault="00432FCC" w:rsidP="00432FCC">
            <w:pPr>
              <w:pStyle w:val="TableText"/>
              <w:rPr>
                <w:rFonts w:eastAsia="Symbol"/>
              </w:rPr>
            </w:pPr>
          </w:p>
        </w:tc>
      </w:tr>
      <w:tr w:rsidR="00432FCC" w14:paraId="3025134C" w14:textId="77777777">
        <w:tc>
          <w:tcPr>
            <w:tcW w:w="1330" w:type="dxa"/>
            <w:shd w:val="clear" w:color="auto" w:fill="auto"/>
            <w:vAlign w:val="center"/>
          </w:tcPr>
          <w:p w14:paraId="4BEFEDB1" w14:textId="77777777" w:rsidR="00432FCC" w:rsidRDefault="00432FCC" w:rsidP="00432FCC">
            <w:pPr>
              <w:pStyle w:val="TableText"/>
              <w:rPr>
                <w:rFonts w:eastAsia="Symbol"/>
              </w:rPr>
            </w:pPr>
            <w:r>
              <w:t>Anti-Au(a)</w:t>
            </w:r>
          </w:p>
        </w:tc>
        <w:tc>
          <w:tcPr>
            <w:tcW w:w="1331" w:type="dxa"/>
            <w:shd w:val="clear" w:color="auto" w:fill="auto"/>
            <w:vAlign w:val="center"/>
          </w:tcPr>
          <w:p w14:paraId="4E7E862D" w14:textId="77777777" w:rsidR="00432FCC" w:rsidRDefault="00432FCC" w:rsidP="00432FCC">
            <w:pPr>
              <w:pStyle w:val="TableText"/>
              <w:rPr>
                <w:rFonts w:eastAsia="Symbol"/>
              </w:rPr>
            </w:pPr>
            <w:r>
              <w:t>Anti-Au(a)</w:t>
            </w:r>
          </w:p>
        </w:tc>
        <w:tc>
          <w:tcPr>
            <w:tcW w:w="1053" w:type="dxa"/>
            <w:shd w:val="clear" w:color="auto" w:fill="auto"/>
            <w:vAlign w:val="center"/>
          </w:tcPr>
          <w:p w14:paraId="66EE553F" w14:textId="77777777" w:rsidR="00432FCC" w:rsidRDefault="00432FCC" w:rsidP="00432FCC">
            <w:pPr>
              <w:pStyle w:val="TableText"/>
            </w:pPr>
            <w:r>
              <w:t>No</w:t>
            </w:r>
          </w:p>
        </w:tc>
        <w:tc>
          <w:tcPr>
            <w:tcW w:w="1331" w:type="dxa"/>
            <w:shd w:val="clear" w:color="auto" w:fill="auto"/>
            <w:vAlign w:val="center"/>
          </w:tcPr>
          <w:p w14:paraId="6049371D" w14:textId="77777777" w:rsidR="00432FCC" w:rsidRDefault="00432FCC" w:rsidP="00432FCC">
            <w:pPr>
              <w:pStyle w:val="TableText"/>
              <w:rPr>
                <w:rFonts w:eastAsia="Symbol"/>
              </w:rPr>
            </w:pPr>
            <w:r>
              <w:t>No</w:t>
            </w:r>
          </w:p>
        </w:tc>
        <w:tc>
          <w:tcPr>
            <w:tcW w:w="4315" w:type="dxa"/>
            <w:shd w:val="clear" w:color="auto" w:fill="auto"/>
            <w:vAlign w:val="center"/>
          </w:tcPr>
          <w:p w14:paraId="73D43C95" w14:textId="77777777" w:rsidR="00432FCC" w:rsidRDefault="00432FCC" w:rsidP="00432FCC">
            <w:pPr>
              <w:pStyle w:val="TableText"/>
            </w:pPr>
          </w:p>
        </w:tc>
      </w:tr>
      <w:tr w:rsidR="00432FCC" w14:paraId="322CE894" w14:textId="77777777">
        <w:tc>
          <w:tcPr>
            <w:tcW w:w="1330" w:type="dxa"/>
            <w:shd w:val="clear" w:color="auto" w:fill="auto"/>
            <w:vAlign w:val="center"/>
          </w:tcPr>
          <w:p w14:paraId="19620522" w14:textId="77777777" w:rsidR="00432FCC" w:rsidRDefault="00432FCC" w:rsidP="00432FCC">
            <w:pPr>
              <w:pStyle w:val="TableText"/>
            </w:pPr>
            <w:r>
              <w:t>Anti-Au(b)</w:t>
            </w:r>
          </w:p>
        </w:tc>
        <w:tc>
          <w:tcPr>
            <w:tcW w:w="1331" w:type="dxa"/>
            <w:shd w:val="clear" w:color="auto" w:fill="auto"/>
            <w:vAlign w:val="center"/>
          </w:tcPr>
          <w:p w14:paraId="606B9781" w14:textId="77777777" w:rsidR="00432FCC" w:rsidRDefault="00432FCC" w:rsidP="00432FCC">
            <w:pPr>
              <w:pStyle w:val="TableText"/>
              <w:rPr>
                <w:rFonts w:eastAsia="Symbol"/>
              </w:rPr>
            </w:pPr>
            <w:r>
              <w:t>None</w:t>
            </w:r>
          </w:p>
        </w:tc>
        <w:tc>
          <w:tcPr>
            <w:tcW w:w="1053" w:type="dxa"/>
            <w:shd w:val="clear" w:color="auto" w:fill="auto"/>
            <w:vAlign w:val="center"/>
          </w:tcPr>
          <w:p w14:paraId="1AA02BDF" w14:textId="77777777" w:rsidR="00432FCC" w:rsidRDefault="00432FCC" w:rsidP="00432FCC">
            <w:pPr>
              <w:pStyle w:val="TableText"/>
            </w:pPr>
            <w:r>
              <w:t>No</w:t>
            </w:r>
          </w:p>
        </w:tc>
        <w:tc>
          <w:tcPr>
            <w:tcW w:w="1331" w:type="dxa"/>
            <w:shd w:val="clear" w:color="auto" w:fill="auto"/>
            <w:vAlign w:val="center"/>
          </w:tcPr>
          <w:p w14:paraId="0DBFD518" w14:textId="77777777" w:rsidR="00432FCC" w:rsidRDefault="00432FCC" w:rsidP="00432FCC">
            <w:pPr>
              <w:pStyle w:val="TableText"/>
            </w:pPr>
            <w:r>
              <w:t>No</w:t>
            </w:r>
          </w:p>
        </w:tc>
        <w:tc>
          <w:tcPr>
            <w:tcW w:w="4315" w:type="dxa"/>
            <w:shd w:val="clear" w:color="auto" w:fill="auto"/>
            <w:vAlign w:val="center"/>
          </w:tcPr>
          <w:p w14:paraId="135EAD59" w14:textId="77777777" w:rsidR="00432FCC" w:rsidRDefault="00432FCC" w:rsidP="00432FCC">
            <w:pPr>
              <w:pStyle w:val="TableText"/>
            </w:pPr>
          </w:p>
        </w:tc>
      </w:tr>
      <w:tr w:rsidR="00432FCC" w14:paraId="5FDECAC2" w14:textId="77777777">
        <w:tc>
          <w:tcPr>
            <w:tcW w:w="1330" w:type="dxa"/>
            <w:shd w:val="clear" w:color="auto" w:fill="auto"/>
            <w:vAlign w:val="center"/>
          </w:tcPr>
          <w:p w14:paraId="7FE346E9" w14:textId="77777777" w:rsidR="00432FCC" w:rsidRDefault="00432FCC" w:rsidP="00432FCC">
            <w:pPr>
              <w:pStyle w:val="TableText"/>
              <w:rPr>
                <w:rFonts w:eastAsia="Symbol"/>
              </w:rPr>
            </w:pPr>
            <w:r>
              <w:t>Anti-Ch</w:t>
            </w:r>
          </w:p>
        </w:tc>
        <w:tc>
          <w:tcPr>
            <w:tcW w:w="1331" w:type="dxa"/>
            <w:shd w:val="clear" w:color="auto" w:fill="auto"/>
            <w:vAlign w:val="center"/>
          </w:tcPr>
          <w:p w14:paraId="4D244DFB" w14:textId="77777777" w:rsidR="00432FCC" w:rsidRDefault="00432FCC" w:rsidP="00432FCC">
            <w:pPr>
              <w:pStyle w:val="TableText"/>
              <w:rPr>
                <w:rFonts w:eastAsia="Symbol"/>
              </w:rPr>
            </w:pPr>
            <w:r>
              <w:t>None</w:t>
            </w:r>
          </w:p>
        </w:tc>
        <w:tc>
          <w:tcPr>
            <w:tcW w:w="1053" w:type="dxa"/>
            <w:shd w:val="clear" w:color="auto" w:fill="auto"/>
            <w:vAlign w:val="center"/>
          </w:tcPr>
          <w:p w14:paraId="04D08169" w14:textId="77777777" w:rsidR="00432FCC" w:rsidRDefault="00432FCC" w:rsidP="00432FCC">
            <w:pPr>
              <w:pStyle w:val="TableText"/>
            </w:pPr>
            <w:r>
              <w:t>No</w:t>
            </w:r>
          </w:p>
        </w:tc>
        <w:tc>
          <w:tcPr>
            <w:tcW w:w="1331" w:type="dxa"/>
            <w:shd w:val="clear" w:color="auto" w:fill="auto"/>
            <w:vAlign w:val="center"/>
          </w:tcPr>
          <w:p w14:paraId="4E0149D9" w14:textId="77777777" w:rsidR="00432FCC" w:rsidRDefault="00432FCC" w:rsidP="00432FCC">
            <w:pPr>
              <w:pStyle w:val="TableText"/>
              <w:rPr>
                <w:rFonts w:eastAsia="Symbol"/>
              </w:rPr>
            </w:pPr>
            <w:r>
              <w:t>No</w:t>
            </w:r>
          </w:p>
        </w:tc>
        <w:tc>
          <w:tcPr>
            <w:tcW w:w="4315" w:type="dxa"/>
            <w:shd w:val="clear" w:color="auto" w:fill="auto"/>
            <w:vAlign w:val="center"/>
          </w:tcPr>
          <w:p w14:paraId="227AE639" w14:textId="77777777" w:rsidR="00432FCC" w:rsidRDefault="00432FCC" w:rsidP="00432FCC">
            <w:pPr>
              <w:pStyle w:val="TableText"/>
            </w:pPr>
          </w:p>
        </w:tc>
      </w:tr>
      <w:tr w:rsidR="00432FCC" w14:paraId="1394641F" w14:textId="77777777">
        <w:tc>
          <w:tcPr>
            <w:tcW w:w="1330" w:type="dxa"/>
            <w:shd w:val="clear" w:color="auto" w:fill="auto"/>
            <w:vAlign w:val="center"/>
          </w:tcPr>
          <w:p w14:paraId="01155B35" w14:textId="77777777" w:rsidR="00432FCC" w:rsidRDefault="00432FCC" w:rsidP="00432FCC">
            <w:pPr>
              <w:pStyle w:val="TableText"/>
              <w:rPr>
                <w:rFonts w:eastAsia="Symbol"/>
              </w:rPr>
            </w:pPr>
            <w:r>
              <w:t>Anti-Rg</w:t>
            </w:r>
          </w:p>
        </w:tc>
        <w:tc>
          <w:tcPr>
            <w:tcW w:w="1331" w:type="dxa"/>
            <w:shd w:val="clear" w:color="auto" w:fill="auto"/>
            <w:vAlign w:val="center"/>
          </w:tcPr>
          <w:p w14:paraId="2B58B4DB" w14:textId="77777777" w:rsidR="00432FCC" w:rsidRDefault="00432FCC" w:rsidP="00432FCC">
            <w:pPr>
              <w:pStyle w:val="TableText"/>
              <w:rPr>
                <w:rFonts w:eastAsia="Symbol"/>
              </w:rPr>
            </w:pPr>
            <w:r>
              <w:t>None</w:t>
            </w:r>
          </w:p>
        </w:tc>
        <w:tc>
          <w:tcPr>
            <w:tcW w:w="1053" w:type="dxa"/>
            <w:shd w:val="clear" w:color="auto" w:fill="auto"/>
            <w:vAlign w:val="center"/>
          </w:tcPr>
          <w:p w14:paraId="051EFCAC" w14:textId="77777777" w:rsidR="00432FCC" w:rsidRDefault="00432FCC" w:rsidP="00432FCC">
            <w:pPr>
              <w:pStyle w:val="TableText"/>
            </w:pPr>
            <w:r>
              <w:t>No</w:t>
            </w:r>
          </w:p>
        </w:tc>
        <w:tc>
          <w:tcPr>
            <w:tcW w:w="1331" w:type="dxa"/>
            <w:shd w:val="clear" w:color="auto" w:fill="auto"/>
            <w:vAlign w:val="center"/>
          </w:tcPr>
          <w:p w14:paraId="10CFF990" w14:textId="77777777" w:rsidR="00432FCC" w:rsidRDefault="00432FCC" w:rsidP="00432FCC">
            <w:pPr>
              <w:pStyle w:val="TableText"/>
              <w:rPr>
                <w:rFonts w:eastAsia="Symbol"/>
              </w:rPr>
            </w:pPr>
            <w:r>
              <w:t>No</w:t>
            </w:r>
          </w:p>
        </w:tc>
        <w:tc>
          <w:tcPr>
            <w:tcW w:w="4315" w:type="dxa"/>
            <w:shd w:val="clear" w:color="auto" w:fill="auto"/>
            <w:vAlign w:val="center"/>
          </w:tcPr>
          <w:p w14:paraId="15A5C572" w14:textId="77777777" w:rsidR="00432FCC" w:rsidRDefault="00432FCC" w:rsidP="00432FCC">
            <w:pPr>
              <w:pStyle w:val="TableText"/>
            </w:pPr>
          </w:p>
        </w:tc>
      </w:tr>
      <w:tr w:rsidR="00432FCC" w14:paraId="60B75C7E" w14:textId="77777777">
        <w:tc>
          <w:tcPr>
            <w:tcW w:w="1330" w:type="dxa"/>
            <w:shd w:val="clear" w:color="auto" w:fill="auto"/>
            <w:vAlign w:val="center"/>
          </w:tcPr>
          <w:p w14:paraId="3ED1AFD9" w14:textId="77777777" w:rsidR="00432FCC" w:rsidRDefault="00432FCC" w:rsidP="00432FCC">
            <w:pPr>
              <w:pStyle w:val="TableText"/>
              <w:rPr>
                <w:rFonts w:eastAsia="Symbol"/>
              </w:rPr>
            </w:pPr>
            <w:r>
              <w:t>Anti-Cs(a)</w:t>
            </w:r>
          </w:p>
        </w:tc>
        <w:tc>
          <w:tcPr>
            <w:tcW w:w="1331" w:type="dxa"/>
            <w:shd w:val="clear" w:color="auto" w:fill="auto"/>
            <w:vAlign w:val="center"/>
          </w:tcPr>
          <w:p w14:paraId="0D53EAF8" w14:textId="77777777" w:rsidR="00432FCC" w:rsidRDefault="00432FCC" w:rsidP="00432FCC">
            <w:pPr>
              <w:pStyle w:val="TableText"/>
              <w:rPr>
                <w:rFonts w:eastAsia="Symbol"/>
              </w:rPr>
            </w:pPr>
            <w:r>
              <w:t>None</w:t>
            </w:r>
          </w:p>
        </w:tc>
        <w:tc>
          <w:tcPr>
            <w:tcW w:w="1053" w:type="dxa"/>
            <w:shd w:val="clear" w:color="auto" w:fill="auto"/>
            <w:vAlign w:val="center"/>
          </w:tcPr>
          <w:p w14:paraId="6769E0B1" w14:textId="77777777" w:rsidR="00432FCC" w:rsidRDefault="00432FCC" w:rsidP="00432FCC">
            <w:pPr>
              <w:pStyle w:val="TableText"/>
            </w:pPr>
            <w:r>
              <w:t>No</w:t>
            </w:r>
          </w:p>
        </w:tc>
        <w:tc>
          <w:tcPr>
            <w:tcW w:w="1331" w:type="dxa"/>
            <w:shd w:val="clear" w:color="auto" w:fill="auto"/>
            <w:vAlign w:val="center"/>
          </w:tcPr>
          <w:p w14:paraId="63DDD3C5" w14:textId="77777777" w:rsidR="00432FCC" w:rsidRDefault="00432FCC" w:rsidP="00432FCC">
            <w:pPr>
              <w:pStyle w:val="TableText"/>
              <w:rPr>
                <w:rFonts w:eastAsia="Symbol"/>
              </w:rPr>
            </w:pPr>
            <w:r>
              <w:t>No</w:t>
            </w:r>
          </w:p>
        </w:tc>
        <w:tc>
          <w:tcPr>
            <w:tcW w:w="4315" w:type="dxa"/>
            <w:shd w:val="clear" w:color="auto" w:fill="auto"/>
            <w:vAlign w:val="center"/>
          </w:tcPr>
          <w:p w14:paraId="501214DE" w14:textId="77777777" w:rsidR="00432FCC" w:rsidRDefault="00432FCC" w:rsidP="00432FCC">
            <w:pPr>
              <w:pStyle w:val="TableText"/>
            </w:pPr>
          </w:p>
        </w:tc>
      </w:tr>
      <w:tr w:rsidR="00432FCC" w14:paraId="71827A4C" w14:textId="77777777">
        <w:tc>
          <w:tcPr>
            <w:tcW w:w="1330" w:type="dxa"/>
            <w:shd w:val="clear" w:color="auto" w:fill="auto"/>
            <w:vAlign w:val="center"/>
          </w:tcPr>
          <w:p w14:paraId="7564316D" w14:textId="77777777" w:rsidR="00432FCC" w:rsidRDefault="00432FCC" w:rsidP="00432FCC">
            <w:pPr>
              <w:pStyle w:val="TableText"/>
              <w:rPr>
                <w:rFonts w:eastAsia="Symbol"/>
              </w:rPr>
            </w:pPr>
            <w:r>
              <w:t>Anti-Yk(a)</w:t>
            </w:r>
          </w:p>
        </w:tc>
        <w:tc>
          <w:tcPr>
            <w:tcW w:w="1331" w:type="dxa"/>
            <w:shd w:val="clear" w:color="auto" w:fill="auto"/>
            <w:vAlign w:val="center"/>
          </w:tcPr>
          <w:p w14:paraId="1FC912C5" w14:textId="77777777" w:rsidR="00432FCC" w:rsidRDefault="00432FCC" w:rsidP="00432FCC">
            <w:pPr>
              <w:pStyle w:val="TableText"/>
              <w:rPr>
                <w:rFonts w:eastAsia="Symbol"/>
              </w:rPr>
            </w:pPr>
            <w:r>
              <w:t>None</w:t>
            </w:r>
          </w:p>
        </w:tc>
        <w:tc>
          <w:tcPr>
            <w:tcW w:w="1053" w:type="dxa"/>
            <w:shd w:val="clear" w:color="auto" w:fill="auto"/>
            <w:vAlign w:val="center"/>
          </w:tcPr>
          <w:p w14:paraId="7FE1BFE4" w14:textId="77777777" w:rsidR="00432FCC" w:rsidRDefault="00432FCC" w:rsidP="00432FCC">
            <w:pPr>
              <w:pStyle w:val="TableText"/>
            </w:pPr>
            <w:r>
              <w:t>No</w:t>
            </w:r>
          </w:p>
        </w:tc>
        <w:tc>
          <w:tcPr>
            <w:tcW w:w="1331" w:type="dxa"/>
            <w:shd w:val="clear" w:color="auto" w:fill="auto"/>
            <w:vAlign w:val="center"/>
          </w:tcPr>
          <w:p w14:paraId="128B941A" w14:textId="77777777" w:rsidR="00432FCC" w:rsidRDefault="00432FCC" w:rsidP="00432FCC">
            <w:pPr>
              <w:pStyle w:val="TableText"/>
              <w:rPr>
                <w:rFonts w:eastAsia="Symbol"/>
              </w:rPr>
            </w:pPr>
            <w:r>
              <w:t>No</w:t>
            </w:r>
          </w:p>
        </w:tc>
        <w:tc>
          <w:tcPr>
            <w:tcW w:w="4315" w:type="dxa"/>
            <w:shd w:val="clear" w:color="auto" w:fill="auto"/>
            <w:vAlign w:val="center"/>
          </w:tcPr>
          <w:p w14:paraId="0FBD701B" w14:textId="77777777" w:rsidR="00432FCC" w:rsidRDefault="00432FCC" w:rsidP="00432FCC">
            <w:pPr>
              <w:pStyle w:val="TableText"/>
            </w:pPr>
          </w:p>
        </w:tc>
      </w:tr>
      <w:tr w:rsidR="00432FCC" w14:paraId="6C764451" w14:textId="77777777">
        <w:tc>
          <w:tcPr>
            <w:tcW w:w="1330" w:type="dxa"/>
            <w:shd w:val="clear" w:color="auto" w:fill="auto"/>
            <w:vAlign w:val="center"/>
          </w:tcPr>
          <w:p w14:paraId="359AA22E" w14:textId="77777777" w:rsidR="00432FCC" w:rsidRDefault="00432FCC" w:rsidP="00432FCC">
            <w:pPr>
              <w:pStyle w:val="TableText"/>
              <w:rPr>
                <w:rFonts w:eastAsia="Symbol"/>
              </w:rPr>
            </w:pPr>
            <w:r>
              <w:t>Anti-Kn(a)</w:t>
            </w:r>
          </w:p>
        </w:tc>
        <w:tc>
          <w:tcPr>
            <w:tcW w:w="1331" w:type="dxa"/>
            <w:shd w:val="clear" w:color="auto" w:fill="auto"/>
            <w:vAlign w:val="center"/>
          </w:tcPr>
          <w:p w14:paraId="084CA032" w14:textId="77777777" w:rsidR="00432FCC" w:rsidRDefault="00432FCC" w:rsidP="00432FCC">
            <w:pPr>
              <w:pStyle w:val="TableText"/>
              <w:rPr>
                <w:rFonts w:eastAsia="Symbol"/>
              </w:rPr>
            </w:pPr>
            <w:r>
              <w:t>None</w:t>
            </w:r>
          </w:p>
        </w:tc>
        <w:tc>
          <w:tcPr>
            <w:tcW w:w="1053" w:type="dxa"/>
            <w:shd w:val="clear" w:color="auto" w:fill="auto"/>
            <w:vAlign w:val="center"/>
          </w:tcPr>
          <w:p w14:paraId="7EAA5DB3" w14:textId="77777777" w:rsidR="00432FCC" w:rsidRDefault="00432FCC" w:rsidP="00432FCC">
            <w:pPr>
              <w:pStyle w:val="TableText"/>
            </w:pPr>
            <w:r>
              <w:t>No</w:t>
            </w:r>
          </w:p>
        </w:tc>
        <w:tc>
          <w:tcPr>
            <w:tcW w:w="1331" w:type="dxa"/>
            <w:shd w:val="clear" w:color="auto" w:fill="auto"/>
            <w:vAlign w:val="center"/>
          </w:tcPr>
          <w:p w14:paraId="68D99D6D" w14:textId="77777777" w:rsidR="00432FCC" w:rsidRDefault="00432FCC" w:rsidP="00432FCC">
            <w:pPr>
              <w:pStyle w:val="TableText"/>
              <w:rPr>
                <w:rFonts w:eastAsia="Symbol"/>
              </w:rPr>
            </w:pPr>
            <w:r>
              <w:t>No</w:t>
            </w:r>
          </w:p>
        </w:tc>
        <w:tc>
          <w:tcPr>
            <w:tcW w:w="4315" w:type="dxa"/>
            <w:shd w:val="clear" w:color="auto" w:fill="auto"/>
            <w:vAlign w:val="center"/>
          </w:tcPr>
          <w:p w14:paraId="7F79531C" w14:textId="77777777" w:rsidR="00432FCC" w:rsidRDefault="00432FCC" w:rsidP="00432FCC">
            <w:pPr>
              <w:pStyle w:val="TableText"/>
            </w:pPr>
          </w:p>
        </w:tc>
      </w:tr>
      <w:tr w:rsidR="00432FCC" w14:paraId="58863466" w14:textId="77777777">
        <w:tc>
          <w:tcPr>
            <w:tcW w:w="1330" w:type="dxa"/>
            <w:shd w:val="clear" w:color="auto" w:fill="auto"/>
            <w:vAlign w:val="center"/>
          </w:tcPr>
          <w:p w14:paraId="1027CE0A" w14:textId="77777777" w:rsidR="00432FCC" w:rsidRDefault="00432FCC" w:rsidP="00432FCC">
            <w:pPr>
              <w:pStyle w:val="TableText"/>
              <w:rPr>
                <w:rFonts w:eastAsia="Symbol"/>
              </w:rPr>
            </w:pPr>
            <w:r>
              <w:t>Anti-McC(a)</w:t>
            </w:r>
          </w:p>
        </w:tc>
        <w:tc>
          <w:tcPr>
            <w:tcW w:w="1331" w:type="dxa"/>
            <w:shd w:val="clear" w:color="auto" w:fill="auto"/>
            <w:vAlign w:val="center"/>
          </w:tcPr>
          <w:p w14:paraId="62181DC9" w14:textId="77777777" w:rsidR="00432FCC" w:rsidRDefault="00432FCC" w:rsidP="00432FCC">
            <w:pPr>
              <w:pStyle w:val="TableText"/>
            </w:pPr>
            <w:r>
              <w:t>None</w:t>
            </w:r>
          </w:p>
        </w:tc>
        <w:tc>
          <w:tcPr>
            <w:tcW w:w="1053" w:type="dxa"/>
            <w:shd w:val="clear" w:color="auto" w:fill="auto"/>
            <w:vAlign w:val="center"/>
          </w:tcPr>
          <w:p w14:paraId="523BA526" w14:textId="77777777" w:rsidR="00432FCC" w:rsidRDefault="00432FCC" w:rsidP="00432FCC">
            <w:pPr>
              <w:pStyle w:val="TableText"/>
            </w:pPr>
            <w:r>
              <w:t>No</w:t>
            </w:r>
          </w:p>
        </w:tc>
        <w:tc>
          <w:tcPr>
            <w:tcW w:w="1331" w:type="dxa"/>
            <w:shd w:val="clear" w:color="auto" w:fill="auto"/>
            <w:vAlign w:val="center"/>
          </w:tcPr>
          <w:p w14:paraId="553B89AE" w14:textId="77777777" w:rsidR="00432FCC" w:rsidRDefault="00432FCC" w:rsidP="00432FCC">
            <w:pPr>
              <w:pStyle w:val="TableText"/>
              <w:rPr>
                <w:rFonts w:eastAsia="Symbol"/>
              </w:rPr>
            </w:pPr>
            <w:r>
              <w:t>No</w:t>
            </w:r>
          </w:p>
        </w:tc>
        <w:tc>
          <w:tcPr>
            <w:tcW w:w="4315" w:type="dxa"/>
            <w:shd w:val="clear" w:color="auto" w:fill="auto"/>
            <w:vAlign w:val="center"/>
          </w:tcPr>
          <w:p w14:paraId="681DC11C" w14:textId="77777777" w:rsidR="00432FCC" w:rsidRDefault="00432FCC" w:rsidP="00432FCC">
            <w:pPr>
              <w:pStyle w:val="TableText"/>
            </w:pPr>
          </w:p>
        </w:tc>
      </w:tr>
      <w:tr w:rsidR="00432FCC" w14:paraId="19209105" w14:textId="77777777">
        <w:tc>
          <w:tcPr>
            <w:tcW w:w="1330" w:type="dxa"/>
            <w:shd w:val="clear" w:color="auto" w:fill="auto"/>
            <w:vAlign w:val="center"/>
          </w:tcPr>
          <w:p w14:paraId="2F95161B" w14:textId="77777777" w:rsidR="00432FCC" w:rsidRDefault="00432FCC" w:rsidP="00432FCC">
            <w:pPr>
              <w:pStyle w:val="TableText"/>
              <w:rPr>
                <w:rFonts w:eastAsia="Symbol"/>
              </w:rPr>
            </w:pPr>
            <w:r>
              <w:t>Anti-JMH</w:t>
            </w:r>
          </w:p>
        </w:tc>
        <w:tc>
          <w:tcPr>
            <w:tcW w:w="1331" w:type="dxa"/>
            <w:shd w:val="clear" w:color="auto" w:fill="auto"/>
            <w:vAlign w:val="center"/>
          </w:tcPr>
          <w:p w14:paraId="057DD69D" w14:textId="77777777" w:rsidR="00432FCC" w:rsidRDefault="00432FCC" w:rsidP="00432FCC">
            <w:pPr>
              <w:pStyle w:val="TableText"/>
            </w:pPr>
            <w:r>
              <w:t>None</w:t>
            </w:r>
          </w:p>
        </w:tc>
        <w:tc>
          <w:tcPr>
            <w:tcW w:w="1053" w:type="dxa"/>
            <w:shd w:val="clear" w:color="auto" w:fill="auto"/>
            <w:vAlign w:val="center"/>
          </w:tcPr>
          <w:p w14:paraId="479EFF7B" w14:textId="77777777" w:rsidR="00432FCC" w:rsidRDefault="00432FCC" w:rsidP="00432FCC">
            <w:pPr>
              <w:pStyle w:val="TableText"/>
            </w:pPr>
            <w:r>
              <w:t>No</w:t>
            </w:r>
          </w:p>
        </w:tc>
        <w:tc>
          <w:tcPr>
            <w:tcW w:w="1331" w:type="dxa"/>
            <w:shd w:val="clear" w:color="auto" w:fill="auto"/>
            <w:vAlign w:val="center"/>
          </w:tcPr>
          <w:p w14:paraId="39BBDF3C" w14:textId="77777777" w:rsidR="00432FCC" w:rsidRDefault="00432FCC" w:rsidP="00432FCC">
            <w:pPr>
              <w:pStyle w:val="TableText"/>
              <w:rPr>
                <w:rFonts w:eastAsia="Symbol"/>
              </w:rPr>
            </w:pPr>
            <w:r>
              <w:t>No</w:t>
            </w:r>
          </w:p>
        </w:tc>
        <w:tc>
          <w:tcPr>
            <w:tcW w:w="4315" w:type="dxa"/>
            <w:shd w:val="clear" w:color="auto" w:fill="auto"/>
            <w:vAlign w:val="center"/>
          </w:tcPr>
          <w:p w14:paraId="776FDA8F" w14:textId="77777777" w:rsidR="00432FCC" w:rsidRDefault="00432FCC" w:rsidP="00432FCC">
            <w:pPr>
              <w:pStyle w:val="TableText"/>
            </w:pPr>
          </w:p>
        </w:tc>
      </w:tr>
      <w:tr w:rsidR="00432FCC" w14:paraId="1471BF81" w14:textId="77777777">
        <w:tc>
          <w:tcPr>
            <w:tcW w:w="1330" w:type="dxa"/>
            <w:shd w:val="clear" w:color="auto" w:fill="auto"/>
            <w:vAlign w:val="center"/>
          </w:tcPr>
          <w:p w14:paraId="1168240B" w14:textId="77777777" w:rsidR="00432FCC" w:rsidRDefault="00432FCC" w:rsidP="00432FCC">
            <w:pPr>
              <w:pStyle w:val="TableText"/>
              <w:rPr>
                <w:rFonts w:eastAsia="Symbol"/>
              </w:rPr>
            </w:pPr>
            <w:r>
              <w:t>Anti-Yt(a)</w:t>
            </w:r>
          </w:p>
        </w:tc>
        <w:tc>
          <w:tcPr>
            <w:tcW w:w="1331" w:type="dxa"/>
            <w:shd w:val="clear" w:color="auto" w:fill="auto"/>
            <w:vAlign w:val="center"/>
          </w:tcPr>
          <w:p w14:paraId="633B6873" w14:textId="77777777" w:rsidR="00432FCC" w:rsidRDefault="00432FCC" w:rsidP="00432FCC">
            <w:pPr>
              <w:pStyle w:val="TableText"/>
              <w:rPr>
                <w:rFonts w:eastAsia="Symbol"/>
              </w:rPr>
            </w:pPr>
            <w:r>
              <w:t>None</w:t>
            </w:r>
          </w:p>
        </w:tc>
        <w:tc>
          <w:tcPr>
            <w:tcW w:w="1053" w:type="dxa"/>
            <w:shd w:val="clear" w:color="auto" w:fill="auto"/>
            <w:vAlign w:val="center"/>
          </w:tcPr>
          <w:p w14:paraId="7922F54A" w14:textId="77777777" w:rsidR="00432FCC" w:rsidRDefault="00432FCC" w:rsidP="00432FCC">
            <w:pPr>
              <w:pStyle w:val="TableText"/>
            </w:pPr>
            <w:r>
              <w:t>No</w:t>
            </w:r>
          </w:p>
        </w:tc>
        <w:tc>
          <w:tcPr>
            <w:tcW w:w="1331" w:type="dxa"/>
            <w:shd w:val="clear" w:color="auto" w:fill="auto"/>
            <w:vAlign w:val="center"/>
          </w:tcPr>
          <w:p w14:paraId="4D291F34" w14:textId="77777777" w:rsidR="00432FCC" w:rsidRDefault="00432FCC" w:rsidP="00432FCC">
            <w:pPr>
              <w:pStyle w:val="TableText"/>
              <w:rPr>
                <w:rFonts w:eastAsia="Symbol"/>
              </w:rPr>
            </w:pPr>
            <w:r>
              <w:t>No</w:t>
            </w:r>
          </w:p>
        </w:tc>
        <w:tc>
          <w:tcPr>
            <w:tcW w:w="4315" w:type="dxa"/>
            <w:shd w:val="clear" w:color="auto" w:fill="auto"/>
            <w:vAlign w:val="center"/>
          </w:tcPr>
          <w:p w14:paraId="3D9EE987" w14:textId="77777777" w:rsidR="00432FCC" w:rsidRDefault="00432FCC" w:rsidP="00432FCC">
            <w:pPr>
              <w:pStyle w:val="TableText"/>
              <w:rPr>
                <w:rFonts w:eastAsia="Symbol"/>
              </w:rPr>
            </w:pPr>
          </w:p>
        </w:tc>
      </w:tr>
      <w:tr w:rsidR="00432FCC" w14:paraId="4B741AE6" w14:textId="77777777">
        <w:tc>
          <w:tcPr>
            <w:tcW w:w="1330" w:type="dxa"/>
            <w:shd w:val="clear" w:color="auto" w:fill="auto"/>
            <w:vAlign w:val="center"/>
          </w:tcPr>
          <w:p w14:paraId="6ACC7B12" w14:textId="77777777" w:rsidR="00432FCC" w:rsidRDefault="00432FCC" w:rsidP="00432FCC">
            <w:pPr>
              <w:pStyle w:val="TableText"/>
              <w:rPr>
                <w:rFonts w:eastAsia="Symbol"/>
              </w:rPr>
            </w:pPr>
            <w:r>
              <w:lastRenderedPageBreak/>
              <w:t>Anti-Yt(b)</w:t>
            </w:r>
          </w:p>
        </w:tc>
        <w:tc>
          <w:tcPr>
            <w:tcW w:w="1331" w:type="dxa"/>
            <w:shd w:val="clear" w:color="auto" w:fill="auto"/>
            <w:vAlign w:val="center"/>
          </w:tcPr>
          <w:p w14:paraId="419A5F1E" w14:textId="77777777" w:rsidR="00432FCC" w:rsidRDefault="00432FCC" w:rsidP="00432FCC">
            <w:pPr>
              <w:pStyle w:val="TableText"/>
              <w:rPr>
                <w:rFonts w:eastAsia="Symbol"/>
              </w:rPr>
            </w:pPr>
            <w:r>
              <w:t>None</w:t>
            </w:r>
          </w:p>
        </w:tc>
        <w:tc>
          <w:tcPr>
            <w:tcW w:w="1053" w:type="dxa"/>
            <w:shd w:val="clear" w:color="auto" w:fill="auto"/>
            <w:vAlign w:val="center"/>
          </w:tcPr>
          <w:p w14:paraId="5A3FEC38" w14:textId="77777777" w:rsidR="00432FCC" w:rsidRDefault="00432FCC" w:rsidP="00432FCC">
            <w:pPr>
              <w:pStyle w:val="TableText"/>
            </w:pPr>
            <w:r>
              <w:t>No</w:t>
            </w:r>
          </w:p>
        </w:tc>
        <w:tc>
          <w:tcPr>
            <w:tcW w:w="1331" w:type="dxa"/>
            <w:shd w:val="clear" w:color="auto" w:fill="auto"/>
            <w:vAlign w:val="center"/>
          </w:tcPr>
          <w:p w14:paraId="615616E1" w14:textId="77777777" w:rsidR="00432FCC" w:rsidRDefault="00432FCC" w:rsidP="00432FCC">
            <w:pPr>
              <w:pStyle w:val="TableText"/>
              <w:rPr>
                <w:rFonts w:eastAsia="Symbol"/>
              </w:rPr>
            </w:pPr>
            <w:r>
              <w:t>No</w:t>
            </w:r>
          </w:p>
        </w:tc>
        <w:tc>
          <w:tcPr>
            <w:tcW w:w="4315" w:type="dxa"/>
            <w:shd w:val="clear" w:color="auto" w:fill="auto"/>
            <w:vAlign w:val="center"/>
          </w:tcPr>
          <w:p w14:paraId="3EB89D37" w14:textId="77777777" w:rsidR="00432FCC" w:rsidRDefault="00432FCC" w:rsidP="00432FCC">
            <w:pPr>
              <w:pStyle w:val="TableText"/>
              <w:rPr>
                <w:rFonts w:eastAsia="Symbol"/>
              </w:rPr>
            </w:pPr>
          </w:p>
        </w:tc>
      </w:tr>
    </w:tbl>
    <w:p w14:paraId="4038D42E" w14:textId="77777777" w:rsidR="002E3C00" w:rsidRDefault="002E3C00" w:rsidP="002E3C00">
      <w:pPr>
        <w:pStyle w:val="Heading4"/>
        <w:rPr>
          <w:b w:val="0"/>
        </w:rPr>
      </w:pPr>
      <w:r>
        <w:t>User Roles with Access to This Option</w:t>
      </w:r>
      <w:r>
        <w:rPr>
          <w:b w:val="0"/>
        </w:rPr>
        <w:t xml:space="preserve"> </w:t>
      </w:r>
    </w:p>
    <w:p w14:paraId="5F30AE65"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699F2FAE" w14:textId="77777777" w:rsidR="002E3C00" w:rsidRDefault="00B74754" w:rsidP="002E3C00">
      <w:pPr>
        <w:pStyle w:val="Heading4"/>
      </w:pPr>
      <w:r>
        <w:t>Preparation for Testing</w:t>
      </w:r>
    </w:p>
    <w:p w14:paraId="1AF521FF" w14:textId="77777777" w:rsidR="002E3C00" w:rsidRPr="00600497" w:rsidRDefault="002E3C00" w:rsidP="000409B1">
      <w:pPr>
        <w:pStyle w:val="ListNumber"/>
        <w:numPr>
          <w:ilvl w:val="0"/>
          <w:numId w:val="30"/>
        </w:numPr>
        <w:tabs>
          <w:tab w:val="clear" w:pos="720"/>
          <w:tab w:val="num" w:pos="360"/>
        </w:tabs>
        <w:ind w:left="360"/>
      </w:pPr>
      <w:r w:rsidRPr="00600497">
        <w:t>Change the antigen negative requirement setting on those currently not invoked. Change the percent compatible for your donor population.</w:t>
      </w:r>
    </w:p>
    <w:p w14:paraId="4925E9CF" w14:textId="77777777" w:rsidR="00232E43" w:rsidRPr="00FB7F8D" w:rsidRDefault="00232E43" w:rsidP="000409B1">
      <w:pPr>
        <w:pStyle w:val="ListNumber"/>
        <w:numPr>
          <w:ilvl w:val="0"/>
          <w:numId w:val="30"/>
        </w:numPr>
        <w:tabs>
          <w:tab w:val="clear" w:pos="720"/>
          <w:tab w:val="num" w:pos="360"/>
        </w:tabs>
        <w:ind w:left="360"/>
      </w:pPr>
      <w:r w:rsidRPr="00600497">
        <w:t>P</w:t>
      </w:r>
      <w:r w:rsidRPr="00FB7F8D">
        <w:t>rint</w:t>
      </w:r>
      <w:r>
        <w:t>, sign, date,</w:t>
      </w:r>
      <w:r w:rsidRPr="00FB7F8D">
        <w:t xml:space="preserve"> and save an </w:t>
      </w:r>
      <w:r>
        <w:t>A</w:t>
      </w:r>
      <w:r w:rsidRPr="00FB7F8D">
        <w:t xml:space="preserve">udit </w:t>
      </w:r>
      <w:r>
        <w:t>Trail R</w:t>
      </w:r>
      <w:r w:rsidRPr="00FB7F8D">
        <w:t>eport for your validation record.</w:t>
      </w:r>
    </w:p>
    <w:p w14:paraId="4E87908D" w14:textId="77777777" w:rsidR="002E3C00" w:rsidRDefault="002E3C00" w:rsidP="002E3C00">
      <w:pPr>
        <w:pStyle w:val="Heading3"/>
      </w:pPr>
      <w:bookmarkStart w:id="886" w:name="_Toc85895798"/>
      <w:bookmarkStart w:id="887" w:name="_Toc113264256"/>
      <w:bookmarkStart w:id="888" w:name="_Toc114462111"/>
      <w:bookmarkStart w:id="889" w:name="_Toc47516847"/>
      <w:r>
        <w:t>Update User Roles</w:t>
      </w:r>
      <w:bookmarkEnd w:id="886"/>
      <w:bookmarkEnd w:id="887"/>
      <w:bookmarkEnd w:id="888"/>
      <w:bookmarkEnd w:id="889"/>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Update User Roles</w:instrText>
      </w:r>
      <w:r w:rsidR="00992E88">
        <w:instrText xml:space="preserve">" </w:instrText>
      </w:r>
      <w:r w:rsidR="00992E88">
        <w:fldChar w:fldCharType="end"/>
      </w:r>
    </w:p>
    <w:p w14:paraId="41C14FB5" w14:textId="0CDBF0E2" w:rsidR="002E3C00" w:rsidRDefault="002E3C00" w:rsidP="002E3C00">
      <w:pPr>
        <w:pStyle w:val="BodyText"/>
      </w:pPr>
      <w:r>
        <w:t>The user reviews and changes the user roles and associated security levels that determine which options and functions are available to a user in the division.</w:t>
      </w:r>
      <w:r w:rsidR="0056674A">
        <w:t xml:space="preserve"> For additional information, see </w:t>
      </w:r>
      <w:r w:rsidR="0056674A">
        <w:fldChar w:fldCharType="begin"/>
      </w:r>
      <w:r w:rsidR="0056674A">
        <w:instrText xml:space="preserve"> REF _Ref508960702 \h </w:instrText>
      </w:r>
      <w:r w:rsidR="0056674A">
        <w:fldChar w:fldCharType="separate"/>
      </w:r>
      <w:r w:rsidR="004353ED">
        <w:t xml:space="preserve">Appendix </w:t>
      </w:r>
      <w:r w:rsidR="004353ED">
        <w:rPr>
          <w:noProof/>
        </w:rPr>
        <w:t>G</w:t>
      </w:r>
      <w:r w:rsidR="004353ED">
        <w:t>: Work Process Flowcharts</w:t>
      </w:r>
      <w:r w:rsidR="0056674A">
        <w:fldChar w:fldCharType="end"/>
      </w:r>
      <w:r w:rsidR="0056674A">
        <w:t>.</w:t>
      </w:r>
    </w:p>
    <w:p w14:paraId="301BAE78" w14:textId="77777777" w:rsidR="002E3C00" w:rsidRDefault="002E3C00" w:rsidP="002E3C00">
      <w:pPr>
        <w:pStyle w:val="Heading4"/>
        <w:rPr>
          <w:b w:val="0"/>
        </w:rPr>
      </w:pPr>
      <w:r>
        <w:t>User Roles with Access to This Option</w:t>
      </w:r>
      <w:r>
        <w:rPr>
          <w:b w:val="0"/>
        </w:rPr>
        <w:t xml:space="preserve"> </w:t>
      </w:r>
    </w:p>
    <w:p w14:paraId="3100F1A9"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 (change user roles)</w:t>
      </w:r>
    </w:p>
    <w:p w14:paraId="0C439F7D"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Lead Technologist (view user roles)</w:t>
      </w:r>
    </w:p>
    <w:p w14:paraId="194A2FA4" w14:textId="77777777" w:rsidR="002E3C00" w:rsidRDefault="00B74754" w:rsidP="002E3C00">
      <w:pPr>
        <w:pStyle w:val="Heading4"/>
      </w:pPr>
      <w:r>
        <w:t>Preparation for Testing</w:t>
      </w:r>
    </w:p>
    <w:p w14:paraId="4E126704" w14:textId="77777777" w:rsidR="002E3C00" w:rsidRPr="00600497" w:rsidRDefault="002E3C00" w:rsidP="000409B1">
      <w:pPr>
        <w:pStyle w:val="ListNumber"/>
        <w:numPr>
          <w:ilvl w:val="0"/>
          <w:numId w:val="31"/>
        </w:numPr>
        <w:tabs>
          <w:tab w:val="clear" w:pos="720"/>
          <w:tab w:val="num" w:pos="360"/>
        </w:tabs>
        <w:ind w:left="360"/>
      </w:pPr>
      <w:r>
        <w:t xml:space="preserve">It is </w:t>
      </w:r>
      <w:r w:rsidRPr="00600497">
        <w:t xml:space="preserve">recommended to assign one Lead Technologist on each shift to respond to system overrides. </w:t>
      </w:r>
    </w:p>
    <w:p w14:paraId="3306E663" w14:textId="77777777" w:rsidR="00DD41F5" w:rsidRPr="00FB7F8D" w:rsidRDefault="00DD41F5" w:rsidP="000409B1">
      <w:pPr>
        <w:pStyle w:val="ListNumber"/>
        <w:numPr>
          <w:ilvl w:val="0"/>
          <w:numId w:val="31"/>
        </w:numPr>
        <w:tabs>
          <w:tab w:val="clear" w:pos="720"/>
          <w:tab w:val="num" w:pos="360"/>
        </w:tabs>
        <w:ind w:left="360"/>
      </w:pPr>
      <w:r w:rsidRPr="00600497">
        <w:t>Prin</w:t>
      </w:r>
      <w:r w:rsidRPr="00FB7F8D">
        <w:t>t</w:t>
      </w:r>
      <w:r>
        <w:t>, sign, date,</w:t>
      </w:r>
      <w:r w:rsidRPr="00FB7F8D">
        <w:t xml:space="preserve"> and save an </w:t>
      </w:r>
      <w:r>
        <w:t>A</w:t>
      </w:r>
      <w:r w:rsidRPr="00FB7F8D">
        <w:t xml:space="preserve">udit </w:t>
      </w:r>
      <w:r>
        <w:t>Trail R</w:t>
      </w:r>
      <w:r w:rsidRPr="00FB7F8D">
        <w:t>eport for your validation record.</w:t>
      </w:r>
    </w:p>
    <w:p w14:paraId="2AC126F4" w14:textId="77777777" w:rsidR="002E3C00" w:rsidRDefault="002E3C00" w:rsidP="00A57833">
      <w:pPr>
        <w:pStyle w:val="Heading3"/>
        <w:rPr>
          <w:snapToGrid w:val="0"/>
        </w:rPr>
      </w:pPr>
      <w:bookmarkStart w:id="890" w:name="_Toc114462112"/>
      <w:bookmarkStart w:id="891" w:name="_Toc47516848"/>
      <w:r>
        <w:rPr>
          <w:snapToGrid w:val="0"/>
        </w:rPr>
        <w:t>Testing</w:t>
      </w:r>
      <w:bookmarkEnd w:id="890"/>
      <w:bookmarkEnd w:id="891"/>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Testing</w:instrText>
      </w:r>
      <w:r w:rsidR="00992E88">
        <w:instrText xml:space="preserve">" </w:instrText>
      </w:r>
      <w:r w:rsidR="00992E88">
        <w:rPr>
          <w:snapToGrid w:val="0"/>
        </w:rPr>
        <w:fldChar w:fldCharType="end"/>
      </w:r>
    </w:p>
    <w:p w14:paraId="4F0020F4" w14:textId="77777777" w:rsidR="002E3C00" w:rsidRDefault="002E3C00" w:rsidP="002E3C00">
      <w:pPr>
        <w:pStyle w:val="BodyText"/>
        <w:rPr>
          <w:szCs w:val="15"/>
        </w:rPr>
      </w:pPr>
      <w:r>
        <w:rPr>
          <w:szCs w:val="15"/>
        </w:rPr>
        <w:t>Sample test scripts will be provided during the implementation of VBECS. Each site</w:t>
      </w:r>
      <w:r w:rsidRPr="00695B8D">
        <w:rPr>
          <w:szCs w:val="15"/>
        </w:rPr>
        <w:t xml:space="preserve"> </w:t>
      </w:r>
      <w:r>
        <w:rPr>
          <w:szCs w:val="15"/>
        </w:rPr>
        <w:t>must</w:t>
      </w:r>
      <w:r w:rsidRPr="00695B8D">
        <w:rPr>
          <w:szCs w:val="15"/>
        </w:rPr>
        <w:t xml:space="preserve"> evaluate </w:t>
      </w:r>
      <w:r>
        <w:rPr>
          <w:szCs w:val="15"/>
        </w:rPr>
        <w:t>the intended uses of the software</w:t>
      </w:r>
      <w:r w:rsidRPr="00695B8D">
        <w:rPr>
          <w:szCs w:val="15"/>
        </w:rPr>
        <w:t xml:space="preserve"> and make appropriate changes (additions</w:t>
      </w:r>
      <w:r>
        <w:rPr>
          <w:szCs w:val="15"/>
        </w:rPr>
        <w:t xml:space="preserve"> or deletions) to the</w:t>
      </w:r>
      <w:r w:rsidRPr="00695B8D">
        <w:rPr>
          <w:szCs w:val="15"/>
        </w:rPr>
        <w:t xml:space="preserve"> facility’s procedures</w:t>
      </w:r>
      <w:r>
        <w:rPr>
          <w:szCs w:val="15"/>
        </w:rPr>
        <w:t xml:space="preserve">, </w:t>
      </w:r>
      <w:r w:rsidRPr="00695B8D">
        <w:rPr>
          <w:szCs w:val="15"/>
        </w:rPr>
        <w:t>processes</w:t>
      </w:r>
      <w:r>
        <w:rPr>
          <w:szCs w:val="15"/>
        </w:rPr>
        <w:t>, policies, and test scripts</w:t>
      </w:r>
      <w:r w:rsidRPr="00695B8D">
        <w:rPr>
          <w:szCs w:val="15"/>
        </w:rPr>
        <w:t>.</w:t>
      </w:r>
      <w:r>
        <w:rPr>
          <w:szCs w:val="15"/>
        </w:rPr>
        <w:t xml:space="preserve"> </w:t>
      </w:r>
    </w:p>
    <w:p w14:paraId="52FD00F7" w14:textId="77777777" w:rsidR="002E3C00" w:rsidRDefault="002E3C00" w:rsidP="002E3C00">
      <w:pPr>
        <w:pStyle w:val="Caution"/>
        <w:rPr>
          <w:szCs w:val="15"/>
        </w:rPr>
      </w:pPr>
      <w:r w:rsidRPr="00695B8D">
        <w:rPr>
          <w:szCs w:val="15"/>
        </w:rPr>
        <w:t>You are required to validate your process</w:t>
      </w:r>
      <w:r>
        <w:rPr>
          <w:szCs w:val="15"/>
        </w:rPr>
        <w:t xml:space="preserve"> and how you use the software. You must also validate</w:t>
      </w:r>
      <w:r w:rsidRPr="00695B8D">
        <w:rPr>
          <w:szCs w:val="15"/>
        </w:rPr>
        <w:t xml:space="preserve"> the software </w:t>
      </w:r>
      <w:r>
        <w:rPr>
          <w:szCs w:val="15"/>
        </w:rPr>
        <w:t>itself</w:t>
      </w:r>
      <w:r w:rsidRPr="00695B8D">
        <w:rPr>
          <w:szCs w:val="15"/>
        </w:rPr>
        <w:t>.</w:t>
      </w:r>
      <w:r>
        <w:rPr>
          <w:szCs w:val="15"/>
        </w:rPr>
        <w:t xml:space="preserve"> </w:t>
      </w:r>
      <w:r>
        <w:t>Training users is an integral part of the validation process.</w:t>
      </w:r>
    </w:p>
    <w:p w14:paraId="4F1AD2C7" w14:textId="77777777" w:rsidR="002E3C00" w:rsidRDefault="00200B6D" w:rsidP="00A57833">
      <w:pPr>
        <w:pStyle w:val="Heading3"/>
      </w:pPr>
      <w:bookmarkStart w:id="892" w:name="_Toc85895801"/>
      <w:bookmarkStart w:id="893" w:name="_Toc113264257"/>
      <w:bookmarkStart w:id="894" w:name="_Toc114462113"/>
      <w:r>
        <w:br w:type="page"/>
      </w:r>
      <w:bookmarkStart w:id="895" w:name="_Toc47516849"/>
      <w:r w:rsidR="002E3C00">
        <w:lastRenderedPageBreak/>
        <w:t xml:space="preserve">VBECS </w:t>
      </w:r>
      <w:r w:rsidR="00297B5F">
        <w:t xml:space="preserve">Forms and </w:t>
      </w:r>
      <w:r w:rsidR="002E3C00">
        <w:t>Reports</w:t>
      </w:r>
      <w:bookmarkEnd w:id="892"/>
      <w:bookmarkEnd w:id="893"/>
      <w:bookmarkEnd w:id="894"/>
      <w:bookmarkEnd w:id="895"/>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VBECS Forms and Reports</w:instrText>
      </w:r>
      <w:r w:rsidR="00992E88">
        <w:instrText xml:space="preserve">" </w:instrText>
      </w:r>
      <w:r w:rsidR="00992E88">
        <w:fldChar w:fldCharType="end"/>
      </w:r>
    </w:p>
    <w:p w14:paraId="53150E55" w14:textId="48BAC9C9" w:rsidR="00297B5F" w:rsidRDefault="002E3C00" w:rsidP="002E3C00">
      <w:pPr>
        <w:pStyle w:val="BodyText"/>
        <w:sectPr w:rsidR="00297B5F" w:rsidSect="00EE771C">
          <w:headerReference w:type="even" r:id="rId250"/>
          <w:pgSz w:w="12240" w:h="15840" w:code="1"/>
          <w:pgMar w:top="1440" w:right="1440" w:bottom="1440" w:left="1440" w:header="720" w:footer="720" w:gutter="0"/>
          <w:cols w:space="720"/>
          <w:docGrid w:linePitch="360"/>
        </w:sectPr>
      </w:pPr>
      <w:r>
        <w:t xml:space="preserve">Print </w:t>
      </w:r>
      <w:r w:rsidR="00AE3F2C">
        <w:t xml:space="preserve">and review these </w:t>
      </w:r>
      <w:r>
        <w:t xml:space="preserve">reports </w:t>
      </w:r>
      <w:r w:rsidR="00AE3F2C">
        <w:t>and forms at the end of</w:t>
      </w:r>
      <w:r>
        <w:t xml:space="preserve"> validation testing. </w:t>
      </w:r>
      <w:bookmarkStart w:id="896" w:name="Check1"/>
      <w:r w:rsidR="001D57AF">
        <w:t xml:space="preserve"> (See FAQ Documenting</w:t>
      </w:r>
      <w:r w:rsidR="00A04AD4">
        <w:t xml:space="preserve"> Unhandled Exceptions)</w:t>
      </w:r>
    </w:p>
    <w:p w14:paraId="69D3BE4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bookmarkEnd w:id="896"/>
      <w:r>
        <w:rPr>
          <w:snapToGrid w:val="0"/>
        </w:rPr>
        <w:t xml:space="preserve"> Administrative Data </w:t>
      </w:r>
    </w:p>
    <w:p w14:paraId="7B36824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Audit Trail </w:t>
      </w:r>
    </w:p>
    <w:p w14:paraId="752FCBC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Blood Availability </w:t>
      </w:r>
    </w:p>
    <w:p w14:paraId="45A8AAB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Cost Accounting </w:t>
      </w:r>
    </w:p>
    <w:p w14:paraId="72AA153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w:t>
      </w:r>
      <w:r>
        <w:t xml:space="preserve">C:T Ratio </w:t>
      </w:r>
    </w:p>
    <w:p w14:paraId="01FC6D39"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Division Transfusion </w:t>
      </w:r>
    </w:p>
    <w:p w14:paraId="4BF6C49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Division Workload </w:t>
      </w:r>
    </w:p>
    <w:p w14:paraId="54E117D2"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Exception </w:t>
      </w:r>
    </w:p>
    <w:p w14:paraId="5A5BB5E5"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Finalize/Print TRW</w:t>
      </w:r>
    </w:p>
    <w:p w14:paraId="0B5DED88"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Inappropriate Transfusion Request </w:t>
      </w:r>
    </w:p>
    <w:p w14:paraId="2D6E3DFE"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Issued/Returned </w:t>
      </w:r>
    </w:p>
    <w:p w14:paraId="794D0CF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Maintain Equipment (Print)</w:t>
      </w:r>
    </w:p>
    <w:p w14:paraId="1BF75BD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Order History </w:t>
      </w:r>
    </w:p>
    <w:p w14:paraId="7B8A0C9B" w14:textId="77777777" w:rsidR="00200B6D" w:rsidRDefault="00200B6D" w:rsidP="00200B6D">
      <w:pPr>
        <w:pStyle w:val="BodyText"/>
        <w:rPr>
          <w:snapToGrid w:val="0"/>
        </w:rPr>
      </w:pPr>
      <w:r>
        <w:rPr>
          <w:snapToGrid w:val="0"/>
        </w:rPr>
        <w:br w:type="column"/>
      </w: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Patient History </w:t>
      </w:r>
    </w:p>
    <w:p w14:paraId="7A129289" w14:textId="77777777" w:rsidR="002E3C00" w:rsidRDefault="002E3C00" w:rsidP="002E3C00">
      <w:pPr>
        <w:pStyle w:val="BodyText"/>
        <w:rPr>
          <w:snapToGrid w:val="0"/>
          <w:color w:val="00000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Print Unit Caution Tag &amp; Transfusion Record Form </w:t>
      </w:r>
    </w:p>
    <w:p w14:paraId="358C984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w:t>
      </w:r>
      <w:r>
        <w:t xml:space="preserve">Prolonged Transfusion Time </w:t>
      </w:r>
    </w:p>
    <w:p w14:paraId="6DBA445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Testing Worklist </w:t>
      </w:r>
    </w:p>
    <w:p w14:paraId="1DDC9D1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Transfusion Complications </w:t>
      </w:r>
    </w:p>
    <w:p w14:paraId="3382588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Transfusion Effectiveness </w:t>
      </w:r>
    </w:p>
    <w:p w14:paraId="2A8B64ED"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w:t>
      </w:r>
      <w:r>
        <w:t xml:space="preserve">Transfusion Reaction Count </w:t>
      </w:r>
    </w:p>
    <w:p w14:paraId="40AB93D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Transfusion Requirements </w:t>
      </w:r>
    </w:p>
    <w:p w14:paraId="115289D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Unit History </w:t>
      </w:r>
    </w:p>
    <w:p w14:paraId="267F2A4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View/Print Equipment Inventory</w:t>
      </w:r>
    </w:p>
    <w:p w14:paraId="778543C6"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View/Print Inventory (Reagent)</w:t>
      </w:r>
    </w:p>
    <w:p w14:paraId="4E85F14C"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F322E7">
        <w:rPr>
          <w:snapToGrid w:val="0"/>
        </w:rPr>
      </w:r>
      <w:r w:rsidR="00F322E7">
        <w:rPr>
          <w:snapToGrid w:val="0"/>
        </w:rPr>
        <w:fldChar w:fldCharType="separate"/>
      </w:r>
      <w:r>
        <w:rPr>
          <w:snapToGrid w:val="0"/>
        </w:rPr>
        <w:fldChar w:fldCharType="end"/>
      </w:r>
      <w:r>
        <w:rPr>
          <w:snapToGrid w:val="0"/>
        </w:rPr>
        <w:t xml:space="preserve"> View/Print Supply Inventory</w:t>
      </w:r>
    </w:p>
    <w:p w14:paraId="0386DFE2" w14:textId="77777777" w:rsidR="00297B5F" w:rsidRDefault="00297B5F">
      <w:pPr>
        <w:pStyle w:val="Heading2"/>
        <w:sectPr w:rsidR="00297B5F" w:rsidSect="00EE771C">
          <w:type w:val="continuous"/>
          <w:pgSz w:w="12240" w:h="15840" w:code="1"/>
          <w:pgMar w:top="1440" w:right="1440" w:bottom="1440" w:left="1440" w:header="720" w:footer="720" w:gutter="0"/>
          <w:cols w:num="2" w:space="720"/>
          <w:docGrid w:linePitch="360"/>
        </w:sectPr>
      </w:pPr>
    </w:p>
    <w:p w14:paraId="68478A76" w14:textId="77777777" w:rsidR="00E9554D" w:rsidRDefault="00E9554D" w:rsidP="00E9554D">
      <w:pPr>
        <w:pStyle w:val="BodyText"/>
        <w:jc w:val="center"/>
      </w:pPr>
      <w:r>
        <w:lastRenderedPageBreak/>
        <w:t>This page intentionally left blank.</w:t>
      </w:r>
    </w:p>
    <w:p w14:paraId="1B97B4E6" w14:textId="074978C1" w:rsidR="002A21AE" w:rsidRDefault="00E9554D">
      <w:pPr>
        <w:pStyle w:val="Heading2"/>
      </w:pPr>
      <w:r>
        <w:br w:type="page"/>
      </w:r>
      <w:bookmarkStart w:id="897" w:name="_Ref508960075"/>
      <w:bookmarkStart w:id="898" w:name="_Ref508960255"/>
      <w:bookmarkStart w:id="899" w:name="_Ref508960299"/>
      <w:bookmarkStart w:id="900" w:name="_Ref508960349"/>
      <w:bookmarkStart w:id="901" w:name="_Ref508960702"/>
      <w:bookmarkStart w:id="902" w:name="_Ref508960811"/>
      <w:bookmarkStart w:id="903" w:name="_Toc47516850"/>
      <w:r w:rsidR="002A21AE">
        <w:lastRenderedPageBreak/>
        <w:t xml:space="preserve">Appendix </w:t>
      </w:r>
      <w:r w:rsidR="001B0B0C">
        <w:rPr>
          <w:noProof/>
        </w:rPr>
        <w:t>G</w:t>
      </w:r>
      <w:r w:rsidR="002A21AE">
        <w:t xml:space="preserve">: </w:t>
      </w:r>
      <w:r w:rsidR="00681DED">
        <w:t>Work Process Flowcharts</w:t>
      </w:r>
      <w:bookmarkEnd w:id="897"/>
      <w:bookmarkEnd w:id="898"/>
      <w:bookmarkEnd w:id="899"/>
      <w:bookmarkEnd w:id="900"/>
      <w:bookmarkEnd w:id="901"/>
      <w:bookmarkEnd w:id="902"/>
      <w:bookmarkEnd w:id="903"/>
      <w:r w:rsidR="002A21AE">
        <w:fldChar w:fldCharType="begin"/>
      </w:r>
      <w:r w:rsidR="002A21AE">
        <w:instrText xml:space="preserve"> XE </w:instrText>
      </w:r>
      <w:r w:rsidR="00FA7E65">
        <w:instrText>“</w:instrText>
      </w:r>
      <w:r w:rsidR="00681DED">
        <w:instrText>Work Process Flowcharts</w:instrText>
      </w:r>
      <w:r w:rsidR="00FA7E65">
        <w:instrText>”</w:instrText>
      </w:r>
      <w:r w:rsidR="002A21AE">
        <w:instrText xml:space="preserve"> </w:instrText>
      </w:r>
      <w:r w:rsidR="002A21AE">
        <w:fldChar w:fldCharType="end"/>
      </w:r>
    </w:p>
    <w:p w14:paraId="2603A1D7" w14:textId="549F7EF1" w:rsidR="006D442F" w:rsidRDefault="006D442F" w:rsidP="006D442F">
      <w:pPr>
        <w:pStyle w:val="Caption"/>
      </w:pPr>
      <w:bookmarkStart w:id="904" w:name="_Ref50836787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152</w:t>
      </w:r>
      <w:r w:rsidR="004E20BD">
        <w:rPr>
          <w:noProof/>
        </w:rPr>
        <w:fldChar w:fldCharType="end"/>
      </w:r>
      <w:bookmarkEnd w:id="904"/>
      <w:r>
        <w:t>: Configure Division Settings: Full-Service Divisions</w:t>
      </w:r>
    </w:p>
    <w:p w14:paraId="7464771D" w14:textId="1FC82C49" w:rsidR="007F032F" w:rsidRDefault="00F322E7" w:rsidP="00B31CBF">
      <w:pPr>
        <w:pStyle w:val="BodyText"/>
      </w:pPr>
      <w:r>
        <w:object w:dxaOrig="9595" w:dyaOrig="14410" w14:anchorId="5EB7BA31">
          <v:shape id="_x0000_i1037" type="#_x0000_t75" alt="flow chart" style="width:338.1pt;height:504.6pt" o:ole="">
            <v:imagedata r:id="rId251" o:title=""/>
          </v:shape>
          <o:OLEObject Type="Embed" ProgID="Visio.Drawing.11" ShapeID="_x0000_i1037" DrawAspect="Content" ObjectID="_1693299374" r:id="rId252"/>
        </w:object>
      </w:r>
    </w:p>
    <w:p w14:paraId="4D3A94B6" w14:textId="41D3B721" w:rsidR="006D442F" w:rsidRDefault="007F032F" w:rsidP="006D442F">
      <w:pPr>
        <w:pStyle w:val="Caption"/>
      </w:pPr>
      <w:r>
        <w:br w:type="page"/>
      </w:r>
      <w:bookmarkStart w:id="905" w:name="_Ref508368046"/>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153</w:t>
      </w:r>
      <w:r w:rsidR="004E20BD">
        <w:rPr>
          <w:noProof/>
        </w:rPr>
        <w:fldChar w:fldCharType="end"/>
      </w:r>
      <w:bookmarkEnd w:id="905"/>
      <w:r w:rsidR="006D442F">
        <w:t>: Configure Division Settings: Transfusion-Only Divisions</w:t>
      </w:r>
    </w:p>
    <w:p w14:paraId="5B67E9A6" w14:textId="720AF28B" w:rsidR="00E5778C" w:rsidRDefault="00F322E7" w:rsidP="00B31CBF">
      <w:pPr>
        <w:pStyle w:val="BodyText"/>
      </w:pPr>
      <w:r>
        <w:object w:dxaOrig="7435" w:dyaOrig="14410" w14:anchorId="496ED972">
          <v:shape id="_x0000_i1038" type="#_x0000_t75" alt="flow chart" style="width:295.5pt;height:575.4pt" o:ole="">
            <v:imagedata r:id="rId253" o:title=""/>
          </v:shape>
          <o:OLEObject Type="Embed" ProgID="Visio.Drawing.11" ShapeID="_x0000_i1038" DrawAspect="Content" ObjectID="_1693299375" r:id="rId254"/>
        </w:object>
      </w:r>
    </w:p>
    <w:p w14:paraId="3C7B75D9" w14:textId="484ABCF1" w:rsidR="006D442F" w:rsidRDefault="000753FE" w:rsidP="006D442F">
      <w:pPr>
        <w:pStyle w:val="Caption"/>
      </w:pPr>
      <w:r>
        <w:br w:type="page"/>
      </w:r>
      <w:bookmarkStart w:id="906" w:name="_Ref508369253"/>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154</w:t>
      </w:r>
      <w:r w:rsidR="004E20BD">
        <w:rPr>
          <w:noProof/>
        </w:rPr>
        <w:fldChar w:fldCharType="end"/>
      </w:r>
      <w:bookmarkEnd w:id="906"/>
      <w:r w:rsidR="006D442F">
        <w:t>: Maintain Reagents and Daily QC: Full Service Divisions</w:t>
      </w:r>
    </w:p>
    <w:p w14:paraId="6764D8ED" w14:textId="7DC02BBD" w:rsidR="00F47ED0" w:rsidRPr="00F47ED0" w:rsidRDefault="00F322E7" w:rsidP="00B31CBF">
      <w:pPr>
        <w:pStyle w:val="BodyText"/>
      </w:pPr>
      <w:r>
        <w:object w:dxaOrig="10119" w:dyaOrig="10037" w14:anchorId="3C98B69E">
          <v:shape id="_x0000_i1039" type="#_x0000_t75" alt="flow chart" style="width:468.3pt;height:460.8pt" o:ole="">
            <v:imagedata r:id="rId255" o:title=""/>
          </v:shape>
          <o:OLEObject Type="Embed" ProgID="Visio.Drawing.11" ShapeID="_x0000_i1039" DrawAspect="Content" ObjectID="_1693299376" r:id="rId256"/>
        </w:object>
      </w:r>
    </w:p>
    <w:p w14:paraId="22E2E6CC" w14:textId="77777777" w:rsidR="00292ED0" w:rsidRDefault="00292ED0" w:rsidP="00292ED0">
      <w:pPr>
        <w:pStyle w:val="Heading3"/>
        <w:sectPr w:rsidR="00292ED0" w:rsidSect="00EE771C">
          <w:pgSz w:w="12240" w:h="15840" w:code="1"/>
          <w:pgMar w:top="1440" w:right="1440" w:bottom="1440" w:left="1440" w:header="720" w:footer="720" w:gutter="0"/>
          <w:cols w:space="720"/>
          <w:docGrid w:linePitch="360"/>
        </w:sectPr>
      </w:pPr>
    </w:p>
    <w:p w14:paraId="75BCECC2" w14:textId="47ACF57F" w:rsidR="006D442F" w:rsidRDefault="006D442F" w:rsidP="006D442F">
      <w:pPr>
        <w:pStyle w:val="Caption"/>
      </w:pPr>
      <w:bookmarkStart w:id="907" w:name="_Ref50836943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155</w:t>
      </w:r>
      <w:r w:rsidR="004E20BD">
        <w:rPr>
          <w:noProof/>
        </w:rPr>
        <w:fldChar w:fldCharType="end"/>
      </w:r>
      <w:bookmarkEnd w:id="907"/>
      <w:r>
        <w:t>: Process Incoming Shipment: Full-Service Divisions</w:t>
      </w:r>
    </w:p>
    <w:p w14:paraId="6BD3C7B5" w14:textId="4AB9753C" w:rsidR="00292ED0" w:rsidRDefault="00EA6850" w:rsidP="00B31CBF">
      <w:pPr>
        <w:pStyle w:val="BodyText"/>
      </w:pPr>
      <w:r>
        <w:t xml:space="preserve"> </w:t>
      </w:r>
      <w:r w:rsidR="00F322E7">
        <w:object w:dxaOrig="14258" w:dyaOrig="10675" w14:anchorId="49A29AD2">
          <v:shape id="_x0000_i1040" type="#_x0000_t75" alt="flow chart" style="width:489.6pt;height:5in" o:ole="">
            <v:imagedata r:id="rId257" o:title=""/>
          </v:shape>
          <o:OLEObject Type="Embed" ProgID="Visio.Drawing.11" ShapeID="_x0000_i1040" DrawAspect="Content" ObjectID="_1693299377" r:id="rId258"/>
        </w:object>
      </w:r>
      <w:r w:rsidR="00292ED0">
        <w:t xml:space="preserve"> </w:t>
      </w:r>
    </w:p>
    <w:p w14:paraId="36A16710" w14:textId="7E5B197D" w:rsidR="006D442F" w:rsidRDefault="00292ED0" w:rsidP="006D442F">
      <w:pPr>
        <w:pStyle w:val="Caption"/>
      </w:pPr>
      <w:r>
        <w:br w:type="page"/>
      </w:r>
      <w:bookmarkStart w:id="908" w:name="_Ref508370163"/>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156</w:t>
      </w:r>
      <w:r w:rsidR="004E20BD">
        <w:rPr>
          <w:noProof/>
        </w:rPr>
        <w:fldChar w:fldCharType="end"/>
      </w:r>
      <w:bookmarkEnd w:id="908"/>
      <w:r w:rsidR="006D442F">
        <w:t>: Process Incoming Shipment: Transfusion-Only Divisions</w:t>
      </w:r>
    </w:p>
    <w:p w14:paraId="68FB9179" w14:textId="19AD1608" w:rsidR="00292ED0" w:rsidRDefault="00F322E7" w:rsidP="00B31CBF">
      <w:pPr>
        <w:pStyle w:val="BodyText"/>
        <w:sectPr w:rsidR="00292ED0" w:rsidSect="00EE771C">
          <w:footerReference w:type="default" r:id="rId259"/>
          <w:pgSz w:w="15840" w:h="12240" w:orient="landscape" w:code="1"/>
          <w:pgMar w:top="1440" w:right="1440" w:bottom="1440" w:left="1440" w:header="720" w:footer="720" w:gutter="0"/>
          <w:cols w:space="720"/>
          <w:docGrid w:linePitch="360"/>
        </w:sectPr>
      </w:pPr>
      <w:r>
        <w:object w:dxaOrig="12835" w:dyaOrig="9370" w14:anchorId="7E1A58CE">
          <v:shape id="_x0000_i1041" type="#_x0000_t75" alt="flow chart" style="width:496.5pt;height:5in" o:ole="">
            <v:imagedata r:id="rId260" o:title=""/>
          </v:shape>
          <o:OLEObject Type="Embed" ProgID="Visio.Drawing.11" ShapeID="_x0000_i1041" DrawAspect="Content" ObjectID="_1693299378" r:id="rId261"/>
        </w:object>
      </w:r>
    </w:p>
    <w:p w14:paraId="1608C5CC" w14:textId="43881823" w:rsidR="006D442F" w:rsidRDefault="006D442F" w:rsidP="006D442F">
      <w:pPr>
        <w:pStyle w:val="Caption"/>
      </w:pPr>
      <w:bookmarkStart w:id="909" w:name="_Ref508368325"/>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157</w:t>
      </w:r>
      <w:r w:rsidR="004E20BD">
        <w:rPr>
          <w:noProof/>
        </w:rPr>
        <w:fldChar w:fldCharType="end"/>
      </w:r>
      <w:bookmarkEnd w:id="909"/>
      <w:r>
        <w:t>: Modify Units</w:t>
      </w:r>
    </w:p>
    <w:p w14:paraId="6998D9BB" w14:textId="21379DEE" w:rsidR="00011FD2" w:rsidRDefault="00F322E7" w:rsidP="00011FD2">
      <w:pPr>
        <w:pStyle w:val="BodyText"/>
      </w:pPr>
      <w:r>
        <w:object w:dxaOrig="11058" w:dyaOrig="13019" w14:anchorId="53CDD3F7">
          <v:shape id="_x0000_i1042" type="#_x0000_t75" alt="flow chart" style="width:489.6pt;height:8in" o:ole="">
            <v:imagedata r:id="rId262" o:title=""/>
          </v:shape>
          <o:OLEObject Type="Embed" ProgID="Visio.Drawing.11" ShapeID="_x0000_i1042" DrawAspect="Content" ObjectID="_1693299379" r:id="rId263"/>
        </w:object>
      </w:r>
    </w:p>
    <w:p w14:paraId="27E5C4BC" w14:textId="2B2F55FF" w:rsidR="006D442F" w:rsidRDefault="00B31CBF" w:rsidP="006D442F">
      <w:pPr>
        <w:pStyle w:val="Caption"/>
      </w:pPr>
      <w:r>
        <w:br w:type="page"/>
      </w:r>
      <w:bookmarkStart w:id="910" w:name="_Ref508370524"/>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158</w:t>
      </w:r>
      <w:r w:rsidR="004E20BD">
        <w:rPr>
          <w:noProof/>
        </w:rPr>
        <w:fldChar w:fldCharType="end"/>
      </w:r>
      <w:bookmarkEnd w:id="910"/>
      <w:r w:rsidR="006D442F">
        <w:t>: Issue, Return or Transfuse Units: Full Service Divisions</w:t>
      </w:r>
    </w:p>
    <w:p w14:paraId="34B9260E" w14:textId="16704AFC" w:rsidR="00B31CBF" w:rsidRDefault="00F322E7" w:rsidP="00B31CBF">
      <w:pPr>
        <w:pStyle w:val="BodyText"/>
      </w:pPr>
      <w:r>
        <w:object w:dxaOrig="11018" w:dyaOrig="12880" w14:anchorId="1A4991C2">
          <v:shape id="_x0000_i1043" type="#_x0000_t75" alt="flow chart" style="width:468.3pt;height:547.2pt" o:ole="">
            <v:imagedata r:id="rId264" o:title=""/>
          </v:shape>
          <o:OLEObject Type="Embed" ProgID="Visio.Drawing.11" ShapeID="_x0000_i1043" DrawAspect="Content" ObjectID="_1693299380" r:id="rId265"/>
        </w:object>
      </w:r>
    </w:p>
    <w:p w14:paraId="3DF5C50C" w14:textId="60F0538D" w:rsidR="006D442F" w:rsidRDefault="00B31CBF" w:rsidP="006D442F">
      <w:pPr>
        <w:pStyle w:val="Caption"/>
      </w:pPr>
      <w:r>
        <w:br w:type="page"/>
      </w:r>
      <w:bookmarkStart w:id="911" w:name="_Ref508370542"/>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159</w:t>
      </w:r>
      <w:r w:rsidR="004E20BD">
        <w:rPr>
          <w:noProof/>
        </w:rPr>
        <w:fldChar w:fldCharType="end"/>
      </w:r>
      <w:bookmarkEnd w:id="911"/>
      <w:r w:rsidR="006D442F">
        <w:t>: Issue, or Transfuse: Transfusion-Only Divisions</w:t>
      </w:r>
    </w:p>
    <w:p w14:paraId="18952EA9" w14:textId="1298C2AC" w:rsidR="00B31CBF" w:rsidRDefault="00F322E7" w:rsidP="00B31CBF">
      <w:pPr>
        <w:pStyle w:val="BodyText"/>
        <w:sectPr w:rsidR="00B31CBF" w:rsidSect="00EE771C">
          <w:footerReference w:type="default" r:id="rId266"/>
          <w:pgSz w:w="12240" w:h="15840" w:code="1"/>
          <w:pgMar w:top="1440" w:right="1440" w:bottom="1440" w:left="1440" w:header="720" w:footer="720" w:gutter="0"/>
          <w:cols w:space="720"/>
          <w:docGrid w:linePitch="360"/>
        </w:sectPr>
      </w:pPr>
      <w:r>
        <w:object w:dxaOrig="8917" w:dyaOrig="11170" w14:anchorId="13698FF4">
          <v:shape id="_x0000_i1044" type="#_x0000_t75" alt="flow chart" style="width:461.4pt;height:8in" o:ole="">
            <v:imagedata r:id="rId267" o:title=""/>
          </v:shape>
          <o:OLEObject Type="Embed" ProgID="Visio.Drawing.11" ShapeID="_x0000_i1044" DrawAspect="Content" ObjectID="_1693299381" r:id="rId268"/>
        </w:object>
      </w:r>
    </w:p>
    <w:p w14:paraId="2E2BBFF2" w14:textId="46FE3C25" w:rsidR="006D442F" w:rsidRDefault="006D442F" w:rsidP="006D442F">
      <w:pPr>
        <w:pStyle w:val="Caption"/>
      </w:pPr>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160</w:t>
      </w:r>
      <w:r w:rsidR="004E20BD">
        <w:rPr>
          <w:noProof/>
        </w:rPr>
        <w:fldChar w:fldCharType="end"/>
      </w:r>
      <w:r>
        <w:t>: Process a Patient Order</w:t>
      </w:r>
    </w:p>
    <w:p w14:paraId="5F6F6361" w14:textId="1CAE5B55" w:rsidR="00B31CBF" w:rsidRDefault="00F322E7" w:rsidP="00B31CBF">
      <w:pPr>
        <w:pStyle w:val="BodyText"/>
      </w:pPr>
      <w:r>
        <w:object w:dxaOrig="13914" w:dyaOrig="9592" w14:anchorId="53C43A43">
          <v:shape id="_x0000_i1045" type="#_x0000_t75" alt="flow chart" style="width:525.3pt;height:5in" o:ole="">
            <v:imagedata r:id="rId269" o:title=""/>
          </v:shape>
          <o:OLEObject Type="Embed" ProgID="Visio.Drawing.11" ShapeID="_x0000_i1045" DrawAspect="Content" ObjectID="_1693299382" r:id="rId270"/>
        </w:object>
      </w:r>
    </w:p>
    <w:p w14:paraId="4F44707B" w14:textId="41AA20F9" w:rsidR="006D442F" w:rsidRDefault="00B31CBF" w:rsidP="006D442F">
      <w:pPr>
        <w:pStyle w:val="Caption"/>
      </w:pPr>
      <w:r>
        <w:br w:type="page"/>
      </w:r>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161</w:t>
      </w:r>
      <w:r w:rsidR="004E20BD">
        <w:rPr>
          <w:noProof/>
        </w:rPr>
        <w:fldChar w:fldCharType="end"/>
      </w:r>
      <w:r w:rsidR="006D442F">
        <w:t>: Patient Testing</w:t>
      </w:r>
    </w:p>
    <w:p w14:paraId="0F9BFC46" w14:textId="77777777" w:rsidR="00B31CBF" w:rsidRDefault="00B31CBF" w:rsidP="00B31CBF">
      <w:pPr>
        <w:pStyle w:val="BodyText"/>
      </w:pPr>
      <w:r>
        <w:t xml:space="preserve"> </w:t>
      </w:r>
      <w:r w:rsidR="006F1241">
        <w:object w:dxaOrig="14245" w:dyaOrig="9235" w14:anchorId="29FC0624">
          <v:shape id="_x0000_i1046" type="#_x0000_t75" style="width:554.1pt;height:5in" o:ole="">
            <v:imagedata r:id="rId271" o:title=""/>
          </v:shape>
          <o:OLEObject Type="Embed" ProgID="Visio.Drawing.11" ShapeID="_x0000_i1046" DrawAspect="Content" ObjectID="_1693299383" r:id="rId272"/>
        </w:object>
      </w:r>
    </w:p>
    <w:p w14:paraId="6E29B7E2" w14:textId="77777777" w:rsidR="000F62D6" w:rsidRDefault="000F62D6" w:rsidP="00B31CBF">
      <w:pPr>
        <w:pStyle w:val="Heading3"/>
        <w:sectPr w:rsidR="000F62D6" w:rsidSect="00EE771C">
          <w:footerReference w:type="default" r:id="rId273"/>
          <w:pgSz w:w="15840" w:h="12240" w:orient="landscape" w:code="1"/>
          <w:pgMar w:top="1440" w:right="1440" w:bottom="1440" w:left="1440" w:header="720" w:footer="720" w:gutter="0"/>
          <w:cols w:space="720"/>
          <w:docGrid w:linePitch="360"/>
        </w:sectPr>
      </w:pPr>
    </w:p>
    <w:p w14:paraId="51804A9E" w14:textId="24EFAFDB" w:rsidR="003D7CE8" w:rsidRPr="00E309DC" w:rsidRDefault="003D7CE8" w:rsidP="00CB2427">
      <w:pPr>
        <w:pStyle w:val="Heading2"/>
        <w:rPr>
          <w:b w:val="0"/>
          <w:bCs w:val="0"/>
          <w:i w:val="0"/>
          <w:sz w:val="18"/>
          <w:szCs w:val="18"/>
        </w:rPr>
      </w:pPr>
      <w:bookmarkStart w:id="912" w:name="_Ref300911707"/>
      <w:bookmarkStart w:id="913" w:name="_Toc47516851"/>
      <w:bookmarkStart w:id="914" w:name="_Hlk4563241"/>
      <w:bookmarkStart w:id="915" w:name="_Ref170005444"/>
      <w:r>
        <w:lastRenderedPageBreak/>
        <w:t xml:space="preserve">Appendix </w:t>
      </w:r>
      <w:r w:rsidR="001B0B0C">
        <w:rPr>
          <w:noProof/>
        </w:rPr>
        <w:t>H</w:t>
      </w:r>
      <w:r>
        <w:t>: Frequently Asked Questions</w:t>
      </w:r>
      <w:bookmarkEnd w:id="912"/>
      <w:bookmarkEnd w:id="913"/>
      <w:r>
        <w:fldChar w:fldCharType="begin"/>
      </w:r>
      <w:r>
        <w:instrText xml:space="preserve"> XE "Frequently Asked Questions" </w:instrText>
      </w:r>
      <w:r>
        <w:fldChar w:fldCharType="end"/>
      </w:r>
      <w:r>
        <w:t xml:space="preserve"> </w:t>
      </w:r>
      <w:r w:rsidRPr="003D7CE8">
        <w:rPr>
          <w:b w:val="0"/>
          <w:bCs w:val="0"/>
          <w:i w:val="0"/>
          <w:vanish/>
          <w:sz w:val="18"/>
          <w:szCs w:val="18"/>
        </w:rPr>
        <w:t>Appendix added for DR 3971</w:t>
      </w:r>
    </w:p>
    <w:p w14:paraId="41BB706E" w14:textId="04268463" w:rsidR="003D7CE8" w:rsidRDefault="003D7CE8" w:rsidP="00E309DC">
      <w:pPr>
        <w:pStyle w:val="BodyText"/>
      </w:pPr>
      <w:r w:rsidRPr="005129F7">
        <w:t>Frequently Asked Ques</w:t>
      </w:r>
      <w:r w:rsidR="006340B9">
        <w:t xml:space="preserve">tions (FAQs) are </w:t>
      </w:r>
      <w:r w:rsidRPr="005129F7">
        <w:t xml:space="preserve">released as </w:t>
      </w:r>
      <w:r w:rsidR="004E2AB6" w:rsidRPr="005129F7">
        <w:t>standalone</w:t>
      </w:r>
      <w:r w:rsidRPr="005129F7">
        <w:t xml:space="preserve"> documents. Topi</w:t>
      </w:r>
      <w:r w:rsidR="006340B9">
        <w:t xml:space="preserve">cs are </w:t>
      </w:r>
      <w:r w:rsidR="001C317F" w:rsidRPr="005129F7">
        <w:t xml:space="preserve">explained in a </w:t>
      </w:r>
      <w:r w:rsidRPr="005129F7">
        <w:t>question and answer</w:t>
      </w:r>
      <w:r w:rsidR="001C317F" w:rsidRPr="005129F7">
        <w:t xml:space="preserve"> format</w:t>
      </w:r>
      <w:r w:rsidRPr="005129F7">
        <w:t>.</w:t>
      </w:r>
      <w:r w:rsidR="00EB3B6D">
        <w:t xml:space="preserve"> FAQs are available at the following SharePoint site</w:t>
      </w:r>
      <w:r w:rsidR="009E642E">
        <w:t xml:space="preserve"> and are version specific</w:t>
      </w:r>
      <w:r w:rsidR="00EB3B6D">
        <w:t>:</w:t>
      </w:r>
    </w:p>
    <w:bookmarkEnd w:id="914"/>
    <w:p w14:paraId="5E96EC45" w14:textId="7CA5A421" w:rsidR="006340B9" w:rsidRPr="005129F7" w:rsidRDefault="00EE6112" w:rsidP="00E309DC">
      <w:pPr>
        <w:pStyle w:val="BodyText"/>
      </w:pPr>
      <w:r>
        <w:fldChar w:fldCharType="begin"/>
      </w:r>
      <w:r>
        <w:instrText xml:space="preserve"> HYPERLINK "https://dvagov.sharepoint.com/sites/oitepmovbecs/VBECS%20232%20FAQs/Forms/AllItems.aspx" </w:instrText>
      </w:r>
      <w:r>
        <w:fldChar w:fldCharType="separate"/>
      </w:r>
      <w:r>
        <w:rPr>
          <w:rStyle w:val="Hyperlink"/>
        </w:rPr>
        <w:t>https://dvagov.sharepoint.com/sites/oitepmovbecs/VBECS%20232%20FAQs/Forms/AllItems.aspx</w:t>
      </w:r>
      <w:r>
        <w:fldChar w:fldCharType="end"/>
      </w:r>
    </w:p>
    <w:p w14:paraId="5EF30541" w14:textId="77777777" w:rsidR="008428FB" w:rsidRPr="00202406" w:rsidRDefault="008428FB" w:rsidP="008428FB">
      <w:pPr>
        <w:rPr>
          <w:sz w:val="22"/>
          <w:szCs w:val="22"/>
        </w:rPr>
      </w:pPr>
    </w:p>
    <w:p w14:paraId="2C1D87EC" w14:textId="77777777" w:rsidR="00202406" w:rsidRPr="00202406" w:rsidRDefault="00202406" w:rsidP="00202406">
      <w:pPr>
        <w:rPr>
          <w:sz w:val="22"/>
          <w:szCs w:val="22"/>
        </w:rPr>
      </w:pPr>
    </w:p>
    <w:p w14:paraId="03F44580" w14:textId="77777777" w:rsidR="00202406" w:rsidRPr="00202406" w:rsidRDefault="00202406" w:rsidP="00202406"/>
    <w:p w14:paraId="4D1AEE08" w14:textId="77777777" w:rsidR="006E7D73" w:rsidRDefault="006E7D73" w:rsidP="002F1289">
      <w:pPr>
        <w:pStyle w:val="Heading3"/>
      </w:pPr>
    </w:p>
    <w:p w14:paraId="1D2A7B08" w14:textId="77777777" w:rsidR="00566EC6" w:rsidRPr="00566EC6" w:rsidRDefault="008B7AF1" w:rsidP="00566EC6">
      <w:pPr>
        <w:jc w:val="center"/>
        <w:rPr>
          <w:sz w:val="22"/>
          <w:szCs w:val="22"/>
        </w:rPr>
      </w:pPr>
      <w:r w:rsidRPr="00566EC6">
        <w:rPr>
          <w:sz w:val="22"/>
          <w:szCs w:val="22"/>
        </w:rPr>
        <w:br w:type="page"/>
      </w:r>
      <w:r w:rsidR="00566EC6" w:rsidRPr="00566EC6">
        <w:rPr>
          <w:sz w:val="22"/>
          <w:szCs w:val="22"/>
        </w:rPr>
        <w:lastRenderedPageBreak/>
        <w:t>This page intentionally left blank.</w:t>
      </w:r>
    </w:p>
    <w:p w14:paraId="01BE9862" w14:textId="4705A5E6" w:rsidR="00D64A23" w:rsidRDefault="00566EC6" w:rsidP="00AD591C">
      <w:pPr>
        <w:pStyle w:val="Heading2"/>
      </w:pPr>
      <w:r>
        <w:br w:type="page"/>
      </w:r>
      <w:bookmarkStart w:id="916" w:name="_Toc47516852"/>
      <w:r w:rsidR="0059697E" w:rsidRPr="00566EC6">
        <w:lastRenderedPageBreak/>
        <w:t xml:space="preserve">Appendix </w:t>
      </w:r>
      <w:r w:rsidR="001B0B0C">
        <w:rPr>
          <w:noProof/>
        </w:rPr>
        <w:t>I</w:t>
      </w:r>
      <w:r w:rsidR="0059697E" w:rsidRPr="00566EC6">
        <w:t xml:space="preserve">: </w:t>
      </w:r>
      <w:r w:rsidR="00CD6052" w:rsidRPr="00566EC6">
        <w:t>Common Error Corrections</w:t>
      </w:r>
      <w:bookmarkEnd w:id="916"/>
      <w:r w:rsidR="00D64A23" w:rsidRPr="00566EC6">
        <w:fldChar w:fldCharType="begin"/>
      </w:r>
      <w:r w:rsidR="00D64A23" w:rsidRPr="00566EC6">
        <w:instrText xml:space="preserve"> XE "</w:instrText>
      </w:r>
      <w:r w:rsidR="00CD6052" w:rsidRPr="00566EC6">
        <w:instrText>Common Error Corrections</w:instrText>
      </w:r>
      <w:r w:rsidR="00D64A23" w:rsidRPr="00566EC6">
        <w:instrText xml:space="preserve">" </w:instrText>
      </w:r>
      <w:r w:rsidR="00D64A23" w:rsidRPr="00566EC6">
        <w:fldChar w:fldCharType="end"/>
      </w:r>
    </w:p>
    <w:p w14:paraId="07E89D1B" w14:textId="77777777" w:rsidR="00F8157F" w:rsidRPr="00233049" w:rsidRDefault="00233049" w:rsidP="00D64A23">
      <w:pPr>
        <w:rPr>
          <w:rFonts w:ascii="Arial" w:hAnsi="Arial" w:cs="Arial"/>
          <w:bCs/>
          <w:vanish/>
          <w:sz w:val="18"/>
          <w:szCs w:val="18"/>
        </w:rPr>
      </w:pPr>
      <w:r w:rsidRPr="00233049">
        <w:rPr>
          <w:rFonts w:ascii="Arial" w:hAnsi="Arial" w:cs="Arial"/>
          <w:bCs/>
          <w:vanish/>
          <w:sz w:val="18"/>
          <w:szCs w:val="18"/>
        </w:rPr>
        <w:t>Appendix added for DR 3,673</w:t>
      </w:r>
      <w:r w:rsidR="004C5B40">
        <w:rPr>
          <w:rFonts w:ascii="Arial" w:hAnsi="Arial" w:cs="Arial"/>
          <w:bCs/>
          <w:vanish/>
          <w:sz w:val="18"/>
          <w:szCs w:val="18"/>
        </w:rPr>
        <w:t xml:space="preserve"> and DR 3638</w:t>
      </w:r>
    </w:p>
    <w:p w14:paraId="01DFBC74" w14:textId="77777777" w:rsidR="00D64A23" w:rsidRPr="00C2774B" w:rsidRDefault="00D64A23" w:rsidP="00C2774B">
      <w:pPr>
        <w:pStyle w:val="Heading3"/>
      </w:pPr>
      <w:bookmarkStart w:id="917" w:name="_Toc47516853"/>
      <w:r w:rsidRPr="00C2774B">
        <w:t xml:space="preserve">Correct </w:t>
      </w:r>
      <w:r w:rsidR="00F8157F" w:rsidRPr="00C2774B">
        <w:t>Patient Test Results</w:t>
      </w:r>
      <w:bookmarkEnd w:id="917"/>
    </w:p>
    <w:p w14:paraId="7F4D559D" w14:textId="77777777" w:rsidR="00F915DD" w:rsidRPr="00092A53" w:rsidRDefault="00F915DD" w:rsidP="00F915DD">
      <w:pPr>
        <w:rPr>
          <w:b/>
          <w:sz w:val="22"/>
          <w:szCs w:val="22"/>
        </w:rPr>
      </w:pPr>
      <w:r w:rsidRPr="00092A53">
        <w:rPr>
          <w:b/>
          <w:sz w:val="22"/>
          <w:szCs w:val="22"/>
        </w:rPr>
        <w:t>Define the problem:</w:t>
      </w:r>
    </w:p>
    <w:p w14:paraId="54DA74C8" w14:textId="77777777" w:rsidR="00F915DD" w:rsidRPr="00092A53" w:rsidRDefault="00F915DD" w:rsidP="00F915DD">
      <w:pPr>
        <w:ind w:firstLine="720"/>
        <w:rPr>
          <w:sz w:val="22"/>
          <w:szCs w:val="22"/>
        </w:rPr>
      </w:pPr>
      <w:r w:rsidRPr="00092A53">
        <w:rPr>
          <w:sz w:val="22"/>
          <w:szCs w:val="22"/>
        </w:rPr>
        <w:t>Specifically what data needs correction?</w:t>
      </w:r>
    </w:p>
    <w:p w14:paraId="5BBEF332" w14:textId="77777777" w:rsidR="00F915DD" w:rsidRPr="00092A53" w:rsidRDefault="00F915DD" w:rsidP="00F915DD">
      <w:pPr>
        <w:ind w:firstLine="720"/>
        <w:rPr>
          <w:sz w:val="22"/>
          <w:szCs w:val="22"/>
        </w:rPr>
      </w:pPr>
      <w:r w:rsidRPr="00092A53">
        <w:rPr>
          <w:sz w:val="22"/>
          <w:szCs w:val="22"/>
        </w:rPr>
        <w:t>Is it a patient test?</w:t>
      </w:r>
    </w:p>
    <w:p w14:paraId="4784BD80" w14:textId="77777777" w:rsidR="00F915DD" w:rsidRPr="00092A53" w:rsidRDefault="00F915DD" w:rsidP="00F915DD">
      <w:pPr>
        <w:ind w:firstLine="720"/>
        <w:rPr>
          <w:sz w:val="22"/>
          <w:szCs w:val="22"/>
        </w:rPr>
      </w:pPr>
      <w:r w:rsidRPr="00092A53">
        <w:rPr>
          <w:sz w:val="22"/>
          <w:szCs w:val="22"/>
        </w:rPr>
        <w:t>Are any units assigned to the specimen UID associated with this patient order?</w:t>
      </w:r>
    </w:p>
    <w:p w14:paraId="4A66A666" w14:textId="77777777" w:rsidR="00F915DD" w:rsidRPr="00092A53" w:rsidRDefault="00F915DD" w:rsidP="00D64A23">
      <w:pPr>
        <w:rPr>
          <w:sz w:val="22"/>
          <w:szCs w:val="22"/>
        </w:rPr>
      </w:pPr>
    </w:p>
    <w:p w14:paraId="5F0A7B28" w14:textId="77777777" w:rsidR="006730CD" w:rsidRPr="00092A53" w:rsidRDefault="00D64A23" w:rsidP="00D64A23">
      <w:pPr>
        <w:rPr>
          <w:sz w:val="22"/>
          <w:szCs w:val="22"/>
        </w:rPr>
      </w:pPr>
      <w:r w:rsidRPr="00092A53">
        <w:rPr>
          <w:sz w:val="22"/>
          <w:szCs w:val="22"/>
        </w:rPr>
        <w:t xml:space="preserve">The </w:t>
      </w:r>
      <w:r w:rsidR="006730CD" w:rsidRPr="00092A53">
        <w:rPr>
          <w:sz w:val="22"/>
          <w:szCs w:val="22"/>
        </w:rPr>
        <w:t xml:space="preserve">path to transfusion is linear and </w:t>
      </w:r>
      <w:r w:rsidRPr="00092A53">
        <w:rPr>
          <w:sz w:val="22"/>
          <w:szCs w:val="22"/>
        </w:rPr>
        <w:t>follow</w:t>
      </w:r>
      <w:r w:rsidR="006730CD" w:rsidRPr="00092A53">
        <w:rPr>
          <w:sz w:val="22"/>
          <w:szCs w:val="22"/>
        </w:rPr>
        <w:t>s</w:t>
      </w:r>
      <w:r w:rsidRPr="00092A53">
        <w:rPr>
          <w:sz w:val="22"/>
          <w:szCs w:val="22"/>
        </w:rPr>
        <w:t xml:space="preserve"> the path from assignment to issue to transfusion. VBECS requires the unit-patient </w:t>
      </w:r>
      <w:r w:rsidR="006730CD" w:rsidRPr="00092A53">
        <w:rPr>
          <w:sz w:val="22"/>
          <w:szCs w:val="22"/>
        </w:rPr>
        <w:t xml:space="preserve">connection to be </w:t>
      </w:r>
      <w:r w:rsidR="00423CC1" w:rsidRPr="00092A53">
        <w:rPr>
          <w:sz w:val="22"/>
          <w:szCs w:val="22"/>
        </w:rPr>
        <w:t>severed</w:t>
      </w:r>
      <w:r w:rsidR="006730CD" w:rsidRPr="00092A53">
        <w:rPr>
          <w:sz w:val="22"/>
          <w:szCs w:val="22"/>
        </w:rPr>
        <w:t xml:space="preserve"> in order to </w:t>
      </w:r>
      <w:r w:rsidR="00423CC1" w:rsidRPr="00092A53">
        <w:rPr>
          <w:sz w:val="22"/>
          <w:szCs w:val="22"/>
        </w:rPr>
        <w:t>change</w:t>
      </w:r>
      <w:r w:rsidRPr="00092A53">
        <w:rPr>
          <w:sz w:val="22"/>
          <w:szCs w:val="22"/>
        </w:rPr>
        <w:t xml:space="preserve"> patient testing used to evaluate compatibility.</w:t>
      </w:r>
    </w:p>
    <w:p w14:paraId="3023A126" w14:textId="77777777" w:rsidR="00D64A23" w:rsidRPr="00092A53" w:rsidRDefault="00D64A23" w:rsidP="00D64A23">
      <w:pPr>
        <w:rPr>
          <w:sz w:val="22"/>
          <w:szCs w:val="22"/>
        </w:rPr>
      </w:pPr>
      <w:r w:rsidRPr="00092A53">
        <w:rPr>
          <w:b/>
          <w:sz w:val="22"/>
          <w:szCs w:val="22"/>
        </w:rPr>
        <w:t>All the units must be released from assignment, no matter when the error occurred and needs correction.</w:t>
      </w:r>
      <w:r w:rsidR="006B6B74" w:rsidRPr="00092A53">
        <w:rPr>
          <w:sz w:val="22"/>
          <w:szCs w:val="22"/>
        </w:rPr>
        <w:t xml:space="preserve">  </w:t>
      </w:r>
      <w:r w:rsidRPr="00092A53">
        <w:rPr>
          <w:sz w:val="22"/>
          <w:szCs w:val="22"/>
        </w:rPr>
        <w:t xml:space="preserve">VBECS requires undoing all of the unit associations </w:t>
      </w:r>
      <w:r w:rsidR="006730CD" w:rsidRPr="00092A53">
        <w:rPr>
          <w:sz w:val="22"/>
          <w:szCs w:val="22"/>
        </w:rPr>
        <w:t xml:space="preserve">so the computer can re-evaluate the corrected </w:t>
      </w:r>
      <w:r w:rsidRPr="00092A53">
        <w:rPr>
          <w:sz w:val="22"/>
          <w:szCs w:val="22"/>
        </w:rPr>
        <w:t>information entered</w:t>
      </w:r>
      <w:r w:rsidR="006730CD" w:rsidRPr="00092A53">
        <w:rPr>
          <w:sz w:val="22"/>
          <w:szCs w:val="22"/>
        </w:rPr>
        <w:t xml:space="preserve"> and </w:t>
      </w:r>
      <w:r w:rsidRPr="00092A53">
        <w:rPr>
          <w:sz w:val="22"/>
          <w:szCs w:val="22"/>
        </w:rPr>
        <w:t xml:space="preserve">present any warnings </w:t>
      </w:r>
      <w:r w:rsidR="006730CD" w:rsidRPr="00092A53">
        <w:rPr>
          <w:sz w:val="22"/>
          <w:szCs w:val="22"/>
        </w:rPr>
        <w:t>or</w:t>
      </w:r>
      <w:r w:rsidRPr="00092A53">
        <w:rPr>
          <w:sz w:val="22"/>
          <w:szCs w:val="22"/>
        </w:rPr>
        <w:t xml:space="preserve"> overrides based on th</w:t>
      </w:r>
      <w:r w:rsidR="006730CD" w:rsidRPr="00092A53">
        <w:rPr>
          <w:sz w:val="22"/>
          <w:szCs w:val="22"/>
        </w:rPr>
        <w:t>at</w:t>
      </w:r>
      <w:r w:rsidRPr="00092A53">
        <w:rPr>
          <w:sz w:val="22"/>
          <w:szCs w:val="22"/>
        </w:rPr>
        <w:t xml:space="preserve"> new information.</w:t>
      </w:r>
    </w:p>
    <w:p w14:paraId="61E9ECB2" w14:textId="77777777" w:rsidR="00D64A23" w:rsidRPr="00092A53" w:rsidRDefault="00D64A23" w:rsidP="00D64A23">
      <w:pPr>
        <w:rPr>
          <w:sz w:val="22"/>
          <w:szCs w:val="22"/>
        </w:rPr>
      </w:pPr>
    </w:p>
    <w:p w14:paraId="662A43DA" w14:textId="77777777" w:rsidR="00D64A23" w:rsidRPr="00092A53" w:rsidRDefault="00D64A23" w:rsidP="00D64A23">
      <w:pPr>
        <w:rPr>
          <w:sz w:val="22"/>
          <w:szCs w:val="22"/>
        </w:rPr>
      </w:pPr>
      <w:r w:rsidRPr="00092A53">
        <w:rPr>
          <w:sz w:val="22"/>
          <w:szCs w:val="22"/>
        </w:rPr>
        <w:t>Information to gather before you start trying to correct any test results:</w:t>
      </w:r>
    </w:p>
    <w:p w14:paraId="7E79DE34" w14:textId="77777777" w:rsidR="00D64A23" w:rsidRPr="00092A53" w:rsidRDefault="00D64A23" w:rsidP="000409B1">
      <w:pPr>
        <w:numPr>
          <w:ilvl w:val="0"/>
          <w:numId w:val="36"/>
        </w:numPr>
        <w:spacing w:line="276" w:lineRule="auto"/>
        <w:rPr>
          <w:sz w:val="22"/>
          <w:szCs w:val="22"/>
        </w:rPr>
      </w:pPr>
      <w:r w:rsidRPr="00092A53">
        <w:rPr>
          <w:sz w:val="22"/>
          <w:szCs w:val="22"/>
        </w:rPr>
        <w:t xml:space="preserve">Actual dates/times of processing for retrospective data entry </w:t>
      </w:r>
    </w:p>
    <w:p w14:paraId="244E7331" w14:textId="77777777" w:rsidR="00D64A23" w:rsidRPr="00092A53" w:rsidRDefault="00D64A23" w:rsidP="000409B1">
      <w:pPr>
        <w:numPr>
          <w:ilvl w:val="1"/>
          <w:numId w:val="36"/>
        </w:numPr>
        <w:spacing w:line="276" w:lineRule="auto"/>
        <w:rPr>
          <w:sz w:val="22"/>
          <w:szCs w:val="22"/>
        </w:rPr>
      </w:pPr>
      <w:r w:rsidRPr="00092A53">
        <w:rPr>
          <w:sz w:val="22"/>
          <w:szCs w:val="22"/>
        </w:rPr>
        <w:t>Testing Worklist Report: Test result entry information details from the testing grids, reaction results, tech who did the work, any comments they entered</w:t>
      </w:r>
    </w:p>
    <w:p w14:paraId="70A5F3D7" w14:textId="77777777" w:rsidR="00D64A23" w:rsidRPr="00092A53" w:rsidRDefault="00D64A23" w:rsidP="000409B1">
      <w:pPr>
        <w:numPr>
          <w:ilvl w:val="1"/>
          <w:numId w:val="36"/>
        </w:numPr>
        <w:spacing w:line="276" w:lineRule="auto"/>
        <w:rPr>
          <w:sz w:val="22"/>
          <w:szCs w:val="22"/>
        </w:rPr>
      </w:pPr>
      <w:r w:rsidRPr="00092A53">
        <w:rPr>
          <w:sz w:val="22"/>
          <w:szCs w:val="22"/>
        </w:rPr>
        <w:t>Unit History Report: Unit modification, Issue and Transfusion details</w:t>
      </w:r>
    </w:p>
    <w:p w14:paraId="29888587" w14:textId="77777777" w:rsidR="00D64A23" w:rsidRPr="00092A53" w:rsidRDefault="00D64A23" w:rsidP="000409B1">
      <w:pPr>
        <w:numPr>
          <w:ilvl w:val="1"/>
          <w:numId w:val="36"/>
        </w:numPr>
        <w:spacing w:line="276" w:lineRule="auto"/>
        <w:rPr>
          <w:sz w:val="22"/>
          <w:szCs w:val="22"/>
        </w:rPr>
      </w:pPr>
      <w:r w:rsidRPr="00092A53">
        <w:rPr>
          <w:sz w:val="22"/>
          <w:szCs w:val="22"/>
        </w:rPr>
        <w:t>Patient History Report: Other patient information</w:t>
      </w:r>
    </w:p>
    <w:p w14:paraId="757760C9" w14:textId="77777777" w:rsidR="00D64A23" w:rsidRPr="00092A53" w:rsidRDefault="00D64A23" w:rsidP="000409B1">
      <w:pPr>
        <w:numPr>
          <w:ilvl w:val="1"/>
          <w:numId w:val="36"/>
        </w:numPr>
        <w:spacing w:line="276" w:lineRule="auto"/>
        <w:rPr>
          <w:sz w:val="22"/>
          <w:szCs w:val="22"/>
        </w:rPr>
      </w:pPr>
      <w:r w:rsidRPr="00092A53">
        <w:rPr>
          <w:sz w:val="22"/>
          <w:szCs w:val="22"/>
        </w:rPr>
        <w:t>Order History report: See the search option only for the CPRS Order Number if you have to retrieve an expired order. You do not need to actually open the report.</w:t>
      </w:r>
    </w:p>
    <w:p w14:paraId="7FC8E990" w14:textId="77777777" w:rsidR="00D64A23" w:rsidRPr="00092A53" w:rsidRDefault="00D64A23" w:rsidP="000409B1">
      <w:pPr>
        <w:numPr>
          <w:ilvl w:val="1"/>
          <w:numId w:val="36"/>
        </w:numPr>
        <w:spacing w:line="276" w:lineRule="auto"/>
        <w:rPr>
          <w:sz w:val="22"/>
          <w:szCs w:val="22"/>
        </w:rPr>
      </w:pPr>
      <w:r w:rsidRPr="00092A53">
        <w:rPr>
          <w:sz w:val="22"/>
          <w:szCs w:val="22"/>
        </w:rPr>
        <w:t>Any offline results that may need to be entered.</w:t>
      </w:r>
    </w:p>
    <w:p w14:paraId="59B544E7" w14:textId="77777777" w:rsidR="00D64A23" w:rsidRPr="00092A53" w:rsidRDefault="000A750D" w:rsidP="000409B1">
      <w:pPr>
        <w:numPr>
          <w:ilvl w:val="1"/>
          <w:numId w:val="36"/>
        </w:numPr>
        <w:spacing w:line="276" w:lineRule="auto"/>
        <w:rPr>
          <w:sz w:val="22"/>
          <w:szCs w:val="22"/>
        </w:rPr>
      </w:pPr>
      <w:r>
        <w:rPr>
          <w:sz w:val="22"/>
          <w:szCs w:val="22"/>
        </w:rPr>
        <w:t>Tracking system</w:t>
      </w:r>
      <w:r w:rsidR="00D64A23" w:rsidRPr="00092A53">
        <w:rPr>
          <w:sz w:val="22"/>
          <w:szCs w:val="22"/>
        </w:rPr>
        <w:t xml:space="preserve"> numbers from the Known Anomalies and Defects document related to this problem. Have the user enter this number in the comment details field for all overrides processed.  </w:t>
      </w:r>
    </w:p>
    <w:p w14:paraId="1A213B0C" w14:textId="77777777" w:rsidR="00D64A23" w:rsidRPr="00092A53" w:rsidRDefault="00D64A23" w:rsidP="000409B1">
      <w:pPr>
        <w:numPr>
          <w:ilvl w:val="1"/>
          <w:numId w:val="36"/>
        </w:numPr>
        <w:spacing w:line="276" w:lineRule="auto"/>
        <w:rPr>
          <w:sz w:val="22"/>
          <w:szCs w:val="22"/>
        </w:rPr>
      </w:pPr>
      <w:r w:rsidRPr="00092A53">
        <w:rPr>
          <w:sz w:val="22"/>
          <w:szCs w:val="22"/>
        </w:rPr>
        <w:t>Any local incident number that they may need to enter as a comment.</w:t>
      </w:r>
    </w:p>
    <w:p w14:paraId="07E2E8C5" w14:textId="77777777" w:rsidR="00C93673" w:rsidRPr="00C2774B" w:rsidRDefault="00737AD4" w:rsidP="00C2774B">
      <w:pPr>
        <w:pStyle w:val="Heading3"/>
      </w:pPr>
      <w:bookmarkStart w:id="918" w:name="_Toc47516854"/>
      <w:r w:rsidRPr="00C2774B">
        <w:t>Invalidate</w:t>
      </w:r>
      <w:r w:rsidR="00C93673" w:rsidRPr="00C2774B">
        <w:t xml:space="preserve"> Test Results</w:t>
      </w:r>
      <w:bookmarkEnd w:id="918"/>
    </w:p>
    <w:p w14:paraId="270883E4" w14:textId="77777777" w:rsidR="00C93673" w:rsidRPr="00092A53" w:rsidRDefault="00C93673" w:rsidP="00C93673">
      <w:pPr>
        <w:rPr>
          <w:b/>
          <w:sz w:val="22"/>
          <w:szCs w:val="22"/>
        </w:rPr>
      </w:pPr>
      <w:r w:rsidRPr="00092A53">
        <w:rPr>
          <w:b/>
          <w:sz w:val="22"/>
          <w:szCs w:val="22"/>
        </w:rPr>
        <w:t>Important nuances about invalidating tests:</w:t>
      </w:r>
    </w:p>
    <w:p w14:paraId="0CB88FC2" w14:textId="77777777" w:rsidR="00C93673" w:rsidRPr="00092A53" w:rsidRDefault="00C93673" w:rsidP="000409B1">
      <w:pPr>
        <w:numPr>
          <w:ilvl w:val="0"/>
          <w:numId w:val="37"/>
        </w:numPr>
        <w:spacing w:line="276" w:lineRule="auto"/>
        <w:rPr>
          <w:sz w:val="22"/>
          <w:szCs w:val="22"/>
        </w:rPr>
      </w:pPr>
      <w:r w:rsidRPr="00092A53">
        <w:rPr>
          <w:sz w:val="22"/>
          <w:szCs w:val="22"/>
        </w:rPr>
        <w:t xml:space="preserve">When a </w:t>
      </w:r>
      <w:r w:rsidR="00CF7148" w:rsidRPr="00092A53">
        <w:rPr>
          <w:sz w:val="22"/>
          <w:szCs w:val="22"/>
        </w:rPr>
        <w:t>Type and Screen (</w:t>
      </w:r>
      <w:r w:rsidRPr="00092A53">
        <w:rPr>
          <w:sz w:val="22"/>
          <w:szCs w:val="22"/>
        </w:rPr>
        <w:t>TAS</w:t>
      </w:r>
      <w:r w:rsidR="00CF7148" w:rsidRPr="00092A53">
        <w:rPr>
          <w:sz w:val="22"/>
          <w:szCs w:val="22"/>
        </w:rPr>
        <w:t>)</w:t>
      </w:r>
      <w:r w:rsidRPr="00092A53">
        <w:rPr>
          <w:sz w:val="22"/>
          <w:szCs w:val="22"/>
        </w:rPr>
        <w:t xml:space="preserve"> test needs to be invalidated, all the tests in the TAS test configuration must be invalidated to be able to select a test on the </w:t>
      </w:r>
      <w:r w:rsidR="00CF7148" w:rsidRPr="00092A53">
        <w:rPr>
          <w:sz w:val="22"/>
          <w:szCs w:val="22"/>
        </w:rPr>
        <w:t>Pending Task List (</w:t>
      </w:r>
      <w:r w:rsidRPr="00092A53">
        <w:rPr>
          <w:sz w:val="22"/>
          <w:szCs w:val="22"/>
        </w:rPr>
        <w:t>PTL</w:t>
      </w:r>
      <w:r w:rsidR="00CF7148" w:rsidRPr="00092A53">
        <w:rPr>
          <w:sz w:val="22"/>
          <w:szCs w:val="22"/>
        </w:rPr>
        <w:t>)</w:t>
      </w:r>
      <w:r w:rsidRPr="00092A53">
        <w:rPr>
          <w:sz w:val="22"/>
          <w:szCs w:val="22"/>
        </w:rPr>
        <w:t xml:space="preserve"> (It is a loop of a partially completed test).</w:t>
      </w:r>
    </w:p>
    <w:p w14:paraId="1F6FB55C" w14:textId="77777777" w:rsidR="00C93673" w:rsidRPr="00092A53" w:rsidRDefault="00C93673" w:rsidP="000409B1">
      <w:pPr>
        <w:numPr>
          <w:ilvl w:val="0"/>
          <w:numId w:val="37"/>
        </w:numPr>
        <w:spacing w:line="276" w:lineRule="auto"/>
        <w:rPr>
          <w:sz w:val="22"/>
          <w:szCs w:val="22"/>
        </w:rPr>
      </w:pPr>
      <w:r w:rsidRPr="00092A53">
        <w:rPr>
          <w:sz w:val="22"/>
          <w:szCs w:val="22"/>
        </w:rPr>
        <w:t xml:space="preserve">When an </w:t>
      </w:r>
      <w:r w:rsidR="004E2AB6" w:rsidRPr="00092A53">
        <w:rPr>
          <w:sz w:val="22"/>
          <w:szCs w:val="22"/>
        </w:rPr>
        <w:t>Antibody</w:t>
      </w:r>
      <w:r w:rsidR="00CF7148" w:rsidRPr="00092A53">
        <w:rPr>
          <w:sz w:val="22"/>
          <w:szCs w:val="22"/>
        </w:rPr>
        <w:t xml:space="preserve"> Identification (</w:t>
      </w:r>
      <w:r w:rsidRPr="00092A53">
        <w:rPr>
          <w:sz w:val="22"/>
          <w:szCs w:val="22"/>
        </w:rPr>
        <w:t>ABID</w:t>
      </w:r>
      <w:r w:rsidR="00CF7148" w:rsidRPr="00092A53">
        <w:rPr>
          <w:sz w:val="22"/>
          <w:szCs w:val="22"/>
        </w:rPr>
        <w:t>)</w:t>
      </w:r>
      <w:r w:rsidRPr="00092A53">
        <w:rPr>
          <w:sz w:val="22"/>
          <w:szCs w:val="22"/>
        </w:rPr>
        <w:t xml:space="preserve"> test is invalid</w:t>
      </w:r>
      <w:r w:rsidR="001866C8" w:rsidRPr="00092A53">
        <w:rPr>
          <w:sz w:val="22"/>
          <w:szCs w:val="22"/>
        </w:rPr>
        <w:t>at</w:t>
      </w:r>
      <w:r w:rsidRPr="00092A53">
        <w:rPr>
          <w:sz w:val="22"/>
          <w:szCs w:val="22"/>
        </w:rPr>
        <w:t>ed:</w:t>
      </w:r>
    </w:p>
    <w:p w14:paraId="1B8D4086" w14:textId="77777777" w:rsidR="00C93673" w:rsidRPr="00092A53" w:rsidRDefault="00C93673" w:rsidP="000409B1">
      <w:pPr>
        <w:numPr>
          <w:ilvl w:val="1"/>
          <w:numId w:val="37"/>
        </w:numPr>
        <w:spacing w:line="276" w:lineRule="auto"/>
        <w:rPr>
          <w:sz w:val="22"/>
          <w:szCs w:val="22"/>
        </w:rPr>
      </w:pPr>
      <w:r w:rsidRPr="00092A53">
        <w:rPr>
          <w:sz w:val="22"/>
          <w:szCs w:val="22"/>
        </w:rPr>
        <w:t>The antibody specificities will be removed from the Special Instructions/Transfusion requirements Antibodies Identified at the same time.  This also clears any antigen negative requirements that are created by the antibody identified.</w:t>
      </w:r>
    </w:p>
    <w:p w14:paraId="14F10DB4" w14:textId="77777777" w:rsidR="00C93673" w:rsidRPr="00092A53" w:rsidRDefault="00C93673" w:rsidP="000409B1">
      <w:pPr>
        <w:numPr>
          <w:ilvl w:val="1"/>
          <w:numId w:val="37"/>
        </w:numPr>
        <w:spacing w:line="276" w:lineRule="auto"/>
        <w:rPr>
          <w:sz w:val="22"/>
          <w:szCs w:val="22"/>
        </w:rPr>
      </w:pPr>
      <w:r w:rsidRPr="00092A53">
        <w:rPr>
          <w:sz w:val="22"/>
          <w:szCs w:val="22"/>
        </w:rPr>
        <w:t xml:space="preserve"> If separate antigen negative requirements for each of these were entered in SI/TR, they will require update separately. </w:t>
      </w:r>
    </w:p>
    <w:p w14:paraId="7EA76EA1" w14:textId="77777777" w:rsidR="00C93673" w:rsidRPr="00092A53" w:rsidRDefault="00C93673" w:rsidP="000409B1">
      <w:pPr>
        <w:numPr>
          <w:ilvl w:val="1"/>
          <w:numId w:val="37"/>
        </w:numPr>
        <w:spacing w:line="276" w:lineRule="auto"/>
        <w:rPr>
          <w:b/>
          <w:sz w:val="22"/>
          <w:szCs w:val="22"/>
        </w:rPr>
      </w:pPr>
      <w:r w:rsidRPr="00092A53">
        <w:rPr>
          <w:b/>
          <w:sz w:val="22"/>
          <w:szCs w:val="22"/>
        </w:rPr>
        <w:lastRenderedPageBreak/>
        <w:t>If you need to enter corrected results for the ABID, be sure you check the box to add the order for the PTL.  If not, you will have to reorder the reflex test.</w:t>
      </w:r>
    </w:p>
    <w:p w14:paraId="784C1830" w14:textId="77777777" w:rsidR="00C93673" w:rsidRPr="00092A53" w:rsidRDefault="00C93673" w:rsidP="00D64A23">
      <w:pPr>
        <w:rPr>
          <w:sz w:val="22"/>
          <w:szCs w:val="22"/>
        </w:rPr>
      </w:pPr>
    </w:p>
    <w:p w14:paraId="0CEE370E" w14:textId="77777777" w:rsidR="0080456F" w:rsidRDefault="00D64A23" w:rsidP="0080456F">
      <w:pPr>
        <w:numPr>
          <w:ilvl w:val="0"/>
          <w:numId w:val="97"/>
        </w:numPr>
        <w:spacing w:before="120" w:after="60"/>
        <w:rPr>
          <w:sz w:val="22"/>
          <w:szCs w:val="22"/>
        </w:rPr>
      </w:pPr>
      <w:r w:rsidRPr="00092A53">
        <w:rPr>
          <w:sz w:val="22"/>
          <w:szCs w:val="22"/>
        </w:rPr>
        <w:t xml:space="preserve">A </w:t>
      </w:r>
      <w:r w:rsidR="00CF7148" w:rsidRPr="00092A53">
        <w:rPr>
          <w:sz w:val="22"/>
          <w:szCs w:val="22"/>
        </w:rPr>
        <w:t>f</w:t>
      </w:r>
      <w:r w:rsidRPr="00092A53">
        <w:rPr>
          <w:sz w:val="22"/>
          <w:szCs w:val="22"/>
        </w:rPr>
        <w:t xml:space="preserve">inalized Transfusion Reaction </w:t>
      </w:r>
      <w:r w:rsidR="00CF7148" w:rsidRPr="00092A53">
        <w:rPr>
          <w:sz w:val="22"/>
          <w:szCs w:val="22"/>
        </w:rPr>
        <w:t>W</w:t>
      </w:r>
      <w:r w:rsidRPr="00092A53">
        <w:rPr>
          <w:sz w:val="22"/>
          <w:szCs w:val="22"/>
        </w:rPr>
        <w:t>orkup</w:t>
      </w:r>
      <w:r w:rsidR="00CF7148" w:rsidRPr="00092A53">
        <w:rPr>
          <w:sz w:val="22"/>
          <w:szCs w:val="22"/>
        </w:rPr>
        <w:t xml:space="preserve"> (TRW)</w:t>
      </w:r>
      <w:r w:rsidRPr="00092A53">
        <w:rPr>
          <w:sz w:val="22"/>
          <w:szCs w:val="22"/>
        </w:rPr>
        <w:t xml:space="preserve"> cannot be invalidated. </w:t>
      </w:r>
      <w:r w:rsidR="0080456F">
        <w:rPr>
          <w:highlight w:val="yellow"/>
        </w:rPr>
        <w:t>REDACTED</w:t>
      </w:r>
    </w:p>
    <w:p w14:paraId="1A48D377" w14:textId="29C2BEF2" w:rsidR="00D64A23" w:rsidRPr="00092A53" w:rsidRDefault="00CF7148" w:rsidP="00D64A23">
      <w:pPr>
        <w:rPr>
          <w:sz w:val="22"/>
          <w:szCs w:val="22"/>
        </w:rPr>
      </w:pPr>
      <w:r w:rsidRPr="00092A53">
        <w:rPr>
          <w:sz w:val="22"/>
          <w:szCs w:val="22"/>
        </w:rPr>
        <w:t>.</w:t>
      </w:r>
      <w:r w:rsidR="00D64A23" w:rsidRPr="00092A53">
        <w:rPr>
          <w:sz w:val="22"/>
          <w:szCs w:val="22"/>
        </w:rPr>
        <w:t xml:space="preserve"> A TRW that has not been </w:t>
      </w:r>
      <w:r w:rsidRPr="00092A53">
        <w:rPr>
          <w:sz w:val="22"/>
          <w:szCs w:val="22"/>
        </w:rPr>
        <w:t>f</w:t>
      </w:r>
      <w:r w:rsidR="00D64A23" w:rsidRPr="00092A53">
        <w:rPr>
          <w:sz w:val="22"/>
          <w:szCs w:val="22"/>
        </w:rPr>
        <w:t>inalized can be invalidated and re</w:t>
      </w:r>
      <w:r w:rsidRPr="00092A53">
        <w:rPr>
          <w:sz w:val="22"/>
          <w:szCs w:val="22"/>
        </w:rPr>
        <w:t>-</w:t>
      </w:r>
      <w:r w:rsidR="00D64A23" w:rsidRPr="00092A53">
        <w:rPr>
          <w:sz w:val="22"/>
          <w:szCs w:val="22"/>
        </w:rPr>
        <w:t xml:space="preserve">entered as any other VBECS test. </w:t>
      </w:r>
    </w:p>
    <w:p w14:paraId="76E5309A" w14:textId="77777777" w:rsidR="00D64A23" w:rsidRPr="00092A53" w:rsidRDefault="00D64A23" w:rsidP="00D64A23">
      <w:pPr>
        <w:rPr>
          <w:b/>
          <w:sz w:val="22"/>
          <w:szCs w:val="22"/>
        </w:rPr>
      </w:pPr>
      <w:r w:rsidRPr="00092A53">
        <w:rPr>
          <w:b/>
          <w:sz w:val="22"/>
          <w:szCs w:val="22"/>
        </w:rPr>
        <w:t>Where to start...</w:t>
      </w:r>
    </w:p>
    <w:p w14:paraId="518682E0" w14:textId="77777777" w:rsidR="00D64A23" w:rsidRPr="00092A53" w:rsidRDefault="00D64A23" w:rsidP="000409B1">
      <w:pPr>
        <w:numPr>
          <w:ilvl w:val="0"/>
          <w:numId w:val="39"/>
        </w:numPr>
        <w:spacing w:line="276" w:lineRule="auto"/>
        <w:rPr>
          <w:b/>
          <w:sz w:val="22"/>
          <w:szCs w:val="22"/>
        </w:rPr>
      </w:pPr>
      <w:r w:rsidRPr="00092A53">
        <w:rPr>
          <w:b/>
          <w:sz w:val="22"/>
          <w:szCs w:val="22"/>
        </w:rPr>
        <w:t xml:space="preserve">Are the units transfused?  </w:t>
      </w:r>
    </w:p>
    <w:p w14:paraId="305799D4" w14:textId="77777777" w:rsidR="00D64A23" w:rsidRPr="00092A53" w:rsidRDefault="00D64A23" w:rsidP="00D64A23">
      <w:pPr>
        <w:ind w:firstLine="720"/>
        <w:rPr>
          <w:sz w:val="22"/>
          <w:szCs w:val="22"/>
        </w:rPr>
      </w:pPr>
      <w:r w:rsidRPr="00092A53">
        <w:rPr>
          <w:sz w:val="22"/>
          <w:szCs w:val="22"/>
        </w:rPr>
        <w:t>Go to Supervisor, Remove Final Status to get the unit back to an issued status.</w:t>
      </w:r>
    </w:p>
    <w:p w14:paraId="2BB51450" w14:textId="77777777" w:rsidR="00D64A23" w:rsidRPr="00092A53" w:rsidRDefault="00D64A23" w:rsidP="000409B1">
      <w:pPr>
        <w:numPr>
          <w:ilvl w:val="0"/>
          <w:numId w:val="39"/>
        </w:numPr>
        <w:spacing w:line="276" w:lineRule="auto"/>
        <w:rPr>
          <w:b/>
          <w:sz w:val="22"/>
          <w:szCs w:val="22"/>
        </w:rPr>
      </w:pPr>
      <w:r w:rsidRPr="00092A53">
        <w:rPr>
          <w:b/>
          <w:sz w:val="22"/>
          <w:szCs w:val="22"/>
        </w:rPr>
        <w:t xml:space="preserve">Are the units issued? </w:t>
      </w:r>
    </w:p>
    <w:p w14:paraId="5CD900AD" w14:textId="77777777" w:rsidR="00D64A23" w:rsidRPr="00092A53" w:rsidRDefault="00D64A23" w:rsidP="00D64A23">
      <w:pPr>
        <w:ind w:firstLine="720"/>
        <w:rPr>
          <w:sz w:val="22"/>
          <w:szCs w:val="22"/>
        </w:rPr>
      </w:pPr>
      <w:r w:rsidRPr="00092A53">
        <w:rPr>
          <w:sz w:val="22"/>
          <w:szCs w:val="22"/>
        </w:rPr>
        <w:t xml:space="preserve">Go to Return Unit from Issue by either the patient or blood unit menu. </w:t>
      </w:r>
    </w:p>
    <w:p w14:paraId="0BFBCEDB" w14:textId="77777777" w:rsidR="00D64A23" w:rsidRPr="00092A53" w:rsidRDefault="00D64A23" w:rsidP="00D64A23">
      <w:pPr>
        <w:ind w:left="720"/>
        <w:rPr>
          <w:sz w:val="22"/>
          <w:szCs w:val="22"/>
        </w:rPr>
      </w:pPr>
      <w:r w:rsidRPr="00092A53">
        <w:rPr>
          <w:sz w:val="22"/>
          <w:szCs w:val="22"/>
        </w:rPr>
        <w:t>Return the unit from issue at the current date and time.</w:t>
      </w:r>
    </w:p>
    <w:p w14:paraId="563B7183" w14:textId="77777777" w:rsidR="00D64A23" w:rsidRPr="00092A53" w:rsidRDefault="00D64A23" w:rsidP="000409B1">
      <w:pPr>
        <w:numPr>
          <w:ilvl w:val="0"/>
          <w:numId w:val="39"/>
        </w:numPr>
        <w:spacing w:line="276" w:lineRule="auto"/>
        <w:rPr>
          <w:b/>
          <w:sz w:val="22"/>
          <w:szCs w:val="22"/>
        </w:rPr>
      </w:pPr>
      <w:r w:rsidRPr="00092A53">
        <w:rPr>
          <w:b/>
          <w:sz w:val="22"/>
          <w:szCs w:val="22"/>
        </w:rPr>
        <w:t xml:space="preserve">Are the units selected for a patient? </w:t>
      </w:r>
    </w:p>
    <w:p w14:paraId="417E9325" w14:textId="77777777" w:rsidR="00D64A23" w:rsidRPr="00092A53" w:rsidRDefault="00D64A23" w:rsidP="00D64A23">
      <w:pPr>
        <w:ind w:firstLine="720"/>
        <w:rPr>
          <w:sz w:val="22"/>
          <w:szCs w:val="22"/>
        </w:rPr>
      </w:pPr>
      <w:r w:rsidRPr="00092A53">
        <w:rPr>
          <w:sz w:val="22"/>
          <w:szCs w:val="22"/>
        </w:rPr>
        <w:t>Go to Release Units from Assignment by either the patient or blood unit menu.</w:t>
      </w:r>
    </w:p>
    <w:p w14:paraId="2FDFC324" w14:textId="77777777" w:rsidR="00D64A23" w:rsidRPr="00092A53" w:rsidRDefault="00D64A23" w:rsidP="00D64A23">
      <w:pPr>
        <w:rPr>
          <w:sz w:val="22"/>
          <w:szCs w:val="22"/>
        </w:rPr>
      </w:pPr>
    </w:p>
    <w:p w14:paraId="364E079B" w14:textId="77777777" w:rsidR="00D64A23" w:rsidRPr="00092A53" w:rsidRDefault="00D64A23" w:rsidP="00D64A23">
      <w:pPr>
        <w:rPr>
          <w:sz w:val="22"/>
          <w:szCs w:val="22"/>
        </w:rPr>
      </w:pPr>
      <w:r w:rsidRPr="00092A53">
        <w:rPr>
          <w:sz w:val="22"/>
          <w:szCs w:val="22"/>
        </w:rPr>
        <w:t>When the units are no longer assigned to the patient, go into Invalidate Patient Testing by the Patient Menu and invalidate the patient test.</w:t>
      </w:r>
    </w:p>
    <w:p w14:paraId="6A86A2BE" w14:textId="77777777" w:rsidR="00D64A23" w:rsidRPr="004A517D" w:rsidRDefault="00D64A23" w:rsidP="00D64A23">
      <w:pPr>
        <w:rPr>
          <w:rFonts w:ascii="Arial" w:hAnsi="Arial" w:cs="Arial"/>
          <w:sz w:val="20"/>
          <w:szCs w:val="20"/>
        </w:rPr>
      </w:pPr>
    </w:p>
    <w:p w14:paraId="4A1E4045" w14:textId="77777777" w:rsidR="00D64A23" w:rsidRPr="004A517D" w:rsidRDefault="00057948" w:rsidP="00D64A23">
      <w:pPr>
        <w:rPr>
          <w:rFonts w:ascii="Arial" w:hAnsi="Arial" w:cs="Arial"/>
          <w:b/>
          <w:color w:val="FF0000"/>
          <w:sz w:val="20"/>
          <w:szCs w:val="20"/>
        </w:rPr>
      </w:pPr>
      <w:r>
        <w:rPr>
          <w:rFonts w:ascii="Arial" w:hAnsi="Arial" w:cs="Arial"/>
          <w:noProof/>
          <w:sz w:val="20"/>
          <w:szCs w:val="20"/>
        </w:rPr>
        <mc:AlternateContent>
          <mc:Choice Requires="wps">
            <w:drawing>
              <wp:anchor distT="0" distB="0" distL="114300" distR="114300" simplePos="0" relativeHeight="252023296" behindDoc="0" locked="0" layoutInCell="1" allowOverlap="1" wp14:anchorId="448458D6" wp14:editId="2450E7B4">
                <wp:simplePos x="0" y="0"/>
                <wp:positionH relativeFrom="column">
                  <wp:posOffset>-133350</wp:posOffset>
                </wp:positionH>
                <wp:positionV relativeFrom="paragraph">
                  <wp:posOffset>-66675</wp:posOffset>
                </wp:positionV>
                <wp:extent cx="6086475" cy="457200"/>
                <wp:effectExtent l="9525" t="9525" r="9525" b="9525"/>
                <wp:wrapNone/>
                <wp:docPr id="16" name="Rectangle 1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45720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BD5A8" id="Rectangle 1214" o:spid="_x0000_s1026" style="position:absolute;margin-left:-10.5pt;margin-top:-5.25pt;width:479.25pt;height:36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" filled="f" strokecolor="red" strokeweight="1.5pt"/>
            </w:pict>
          </mc:Fallback>
        </mc:AlternateContent>
      </w:r>
      <w:r w:rsidR="00D64A23" w:rsidRPr="004A517D">
        <w:rPr>
          <w:rFonts w:ascii="Arial" w:hAnsi="Arial" w:cs="Arial"/>
          <w:b/>
          <w:color w:val="FF0000"/>
          <w:sz w:val="20"/>
          <w:szCs w:val="20"/>
        </w:rPr>
        <w:t>STOP and make sure the user checks the box in the lower left corner if they want the test to appear on the PTL for correction.</w:t>
      </w:r>
    </w:p>
    <w:p w14:paraId="05946A77" w14:textId="77777777" w:rsidR="00D64A23" w:rsidRPr="004A517D" w:rsidRDefault="00D64A23" w:rsidP="00D64A23">
      <w:pPr>
        <w:rPr>
          <w:rFonts w:ascii="Arial" w:hAnsi="Arial" w:cs="Arial"/>
          <w:b/>
          <w:color w:val="FF0000"/>
          <w:sz w:val="20"/>
          <w:szCs w:val="20"/>
        </w:rPr>
      </w:pPr>
    </w:p>
    <w:p w14:paraId="29C51114" w14:textId="77777777" w:rsidR="00D64A23" w:rsidRPr="00C2774B" w:rsidRDefault="00D64A23" w:rsidP="00C2774B">
      <w:pPr>
        <w:pStyle w:val="Heading3"/>
      </w:pPr>
      <w:bookmarkStart w:id="919" w:name="_Toc47516855"/>
      <w:r w:rsidRPr="00C2774B">
        <w:t>UN-Pooling a Pooled Unit (in the computer only)</w:t>
      </w:r>
      <w:bookmarkEnd w:id="919"/>
    </w:p>
    <w:p w14:paraId="082CE870" w14:textId="77777777" w:rsidR="00D64A23" w:rsidRPr="00092A53" w:rsidRDefault="00D64A23" w:rsidP="00D64A23">
      <w:pPr>
        <w:rPr>
          <w:sz w:val="22"/>
          <w:szCs w:val="22"/>
        </w:rPr>
      </w:pPr>
      <w:r w:rsidRPr="00092A53">
        <w:rPr>
          <w:sz w:val="22"/>
          <w:szCs w:val="22"/>
        </w:rPr>
        <w:t>This may happen when a pool is created in the computer and the physical pool was not created after all.</w:t>
      </w:r>
    </w:p>
    <w:p w14:paraId="3DDDBEB2" w14:textId="77777777" w:rsidR="00D64A23" w:rsidRPr="00092A53" w:rsidRDefault="00D64A23" w:rsidP="00D64A23">
      <w:pPr>
        <w:rPr>
          <w:sz w:val="22"/>
          <w:szCs w:val="22"/>
        </w:rPr>
      </w:pPr>
      <w:r w:rsidRPr="00092A53">
        <w:rPr>
          <w:sz w:val="22"/>
          <w:szCs w:val="22"/>
        </w:rPr>
        <w:t xml:space="preserve">If there is a patient assignment, issue or transfusion, that must be removed first as described above in the </w:t>
      </w:r>
      <w:r w:rsidRPr="00092A53">
        <w:rPr>
          <w:b/>
          <w:sz w:val="22"/>
          <w:szCs w:val="22"/>
        </w:rPr>
        <w:t xml:space="preserve">Where to start </w:t>
      </w:r>
      <w:r w:rsidRPr="00092A53">
        <w:rPr>
          <w:sz w:val="22"/>
          <w:szCs w:val="22"/>
        </w:rPr>
        <w:t>section.</w:t>
      </w:r>
    </w:p>
    <w:p w14:paraId="7EE97A5E" w14:textId="77777777" w:rsidR="00D64A23" w:rsidRPr="00092A53" w:rsidRDefault="00D64A23" w:rsidP="000409B1">
      <w:pPr>
        <w:numPr>
          <w:ilvl w:val="0"/>
          <w:numId w:val="38"/>
        </w:numPr>
        <w:spacing w:line="276" w:lineRule="auto"/>
        <w:rPr>
          <w:sz w:val="22"/>
          <w:szCs w:val="22"/>
        </w:rPr>
      </w:pPr>
      <w:r w:rsidRPr="00092A53">
        <w:rPr>
          <w:sz w:val="22"/>
          <w:szCs w:val="22"/>
        </w:rPr>
        <w:t>Go to Blood Unit, Edit Unit Information and INACTIVATE the Pooled Unit.</w:t>
      </w:r>
    </w:p>
    <w:p w14:paraId="5E0861D5" w14:textId="77777777" w:rsidR="00D64A23" w:rsidRPr="00092A53" w:rsidRDefault="00D64A23" w:rsidP="000409B1">
      <w:pPr>
        <w:numPr>
          <w:ilvl w:val="0"/>
          <w:numId w:val="38"/>
        </w:numPr>
        <w:spacing w:line="276" w:lineRule="auto"/>
        <w:rPr>
          <w:sz w:val="22"/>
          <w:szCs w:val="22"/>
        </w:rPr>
      </w:pPr>
      <w:r w:rsidRPr="00092A53">
        <w:rPr>
          <w:sz w:val="22"/>
          <w:szCs w:val="22"/>
        </w:rPr>
        <w:t>Go to Supervisor, Remove Final Status, select each original unit removing the MODIFIED status and making each available.</w:t>
      </w:r>
    </w:p>
    <w:p w14:paraId="029E019F" w14:textId="77777777" w:rsidR="00D64A23" w:rsidRPr="00092A53" w:rsidRDefault="001866C8" w:rsidP="000409B1">
      <w:pPr>
        <w:numPr>
          <w:ilvl w:val="0"/>
          <w:numId w:val="38"/>
        </w:numPr>
        <w:spacing w:line="276" w:lineRule="auto"/>
        <w:rPr>
          <w:sz w:val="22"/>
          <w:szCs w:val="22"/>
        </w:rPr>
      </w:pPr>
      <w:r w:rsidRPr="00092A53">
        <w:rPr>
          <w:sz w:val="22"/>
          <w:szCs w:val="22"/>
        </w:rPr>
        <w:t xml:space="preserve">Repeat Step </w:t>
      </w:r>
      <w:r w:rsidR="00D64A23" w:rsidRPr="00092A53">
        <w:rPr>
          <w:sz w:val="22"/>
          <w:szCs w:val="22"/>
        </w:rPr>
        <w:t>2 for each original unit included in the pool.</w:t>
      </w:r>
    </w:p>
    <w:p w14:paraId="02B0F10E" w14:textId="77777777" w:rsidR="006B6B74" w:rsidRPr="00C2774B" w:rsidRDefault="00E91569" w:rsidP="00C2774B">
      <w:pPr>
        <w:pStyle w:val="Heading3"/>
        <w:rPr>
          <w:szCs w:val="20"/>
        </w:rPr>
      </w:pPr>
      <w:bookmarkStart w:id="920" w:name="_Toc47516856"/>
      <w:r>
        <w:t>UN-Modifying a U</w:t>
      </w:r>
      <w:r w:rsidR="00092A53" w:rsidRPr="00C2774B">
        <w:t>nit</w:t>
      </w:r>
      <w:bookmarkEnd w:id="920"/>
      <w:r w:rsidR="00D64A23" w:rsidRPr="00C2774B">
        <w:rPr>
          <w:szCs w:val="20"/>
        </w:rPr>
        <w:t xml:space="preserve"> </w:t>
      </w:r>
    </w:p>
    <w:p w14:paraId="591C53B8" w14:textId="77777777" w:rsidR="00D64A23" w:rsidRPr="00092A53" w:rsidRDefault="00D64A23" w:rsidP="00D64A23">
      <w:pPr>
        <w:rPr>
          <w:sz w:val="22"/>
          <w:szCs w:val="22"/>
        </w:rPr>
      </w:pPr>
      <w:r w:rsidRPr="00092A53">
        <w:rPr>
          <w:sz w:val="22"/>
          <w:szCs w:val="22"/>
        </w:rPr>
        <w:t>Go to Supervisor, Remove Final Status.</w:t>
      </w:r>
    </w:p>
    <w:p w14:paraId="2EC49C12" w14:textId="77777777" w:rsidR="00392A54" w:rsidRDefault="00D64A23" w:rsidP="00D64A23">
      <w:pPr>
        <w:rPr>
          <w:sz w:val="22"/>
          <w:szCs w:val="22"/>
        </w:rPr>
      </w:pPr>
      <w:r w:rsidRPr="00092A53">
        <w:rPr>
          <w:sz w:val="22"/>
          <w:szCs w:val="22"/>
        </w:rPr>
        <w:t xml:space="preserve">If there is a patient assignment, issue or transfusion, that must be removed first as described above in the </w:t>
      </w:r>
      <w:r w:rsidRPr="00092A53">
        <w:rPr>
          <w:b/>
          <w:sz w:val="22"/>
          <w:szCs w:val="22"/>
        </w:rPr>
        <w:t>Where to start</w:t>
      </w:r>
      <w:r w:rsidRPr="00092A53">
        <w:rPr>
          <w:sz w:val="22"/>
          <w:szCs w:val="22"/>
        </w:rPr>
        <w:t xml:space="preserve"> section.</w:t>
      </w:r>
    </w:p>
    <w:p w14:paraId="47A435C1" w14:textId="77777777" w:rsidR="0059697E" w:rsidRDefault="0059697E" w:rsidP="00E43C60">
      <w:pPr>
        <w:pStyle w:val="Heading2"/>
      </w:pPr>
    </w:p>
    <w:p w14:paraId="01AF1771" w14:textId="77777777" w:rsidR="00D64A23" w:rsidRPr="00D64A23" w:rsidRDefault="00D64A23" w:rsidP="00D64A23"/>
    <w:p w14:paraId="3522F3DD" w14:textId="0C359B7C" w:rsidR="00657069" w:rsidRDefault="00D64A23" w:rsidP="00E43C60">
      <w:pPr>
        <w:pStyle w:val="Heading2"/>
      </w:pPr>
      <w:r>
        <w:br w:type="page"/>
      </w:r>
      <w:bookmarkStart w:id="921" w:name="_Ref256684287"/>
      <w:bookmarkStart w:id="922" w:name="_Toc47516857"/>
      <w:r w:rsidR="0062532A">
        <w:lastRenderedPageBreak/>
        <w:t xml:space="preserve">Appendix </w:t>
      </w:r>
      <w:bookmarkEnd w:id="915"/>
      <w:r w:rsidR="001B0B0C">
        <w:rPr>
          <w:noProof/>
        </w:rPr>
        <w:t>J</w:t>
      </w:r>
      <w:r w:rsidR="0062532A">
        <w:t xml:space="preserve">: </w:t>
      </w:r>
      <w:r w:rsidR="00657069">
        <w:t>Recommended Report Usage</w:t>
      </w:r>
      <w:bookmarkEnd w:id="921"/>
      <w:bookmarkEnd w:id="922"/>
      <w:r w:rsidR="00681D23">
        <w:fldChar w:fldCharType="begin"/>
      </w:r>
      <w:r w:rsidR="00681D23">
        <w:instrText xml:space="preserve"> XE "</w:instrText>
      </w:r>
      <w:r w:rsidR="00681D23" w:rsidRPr="00AE2CB0">
        <w:instrText>Recommended Report Usage</w:instrText>
      </w:r>
      <w:r w:rsidR="00681D23">
        <w:instrText xml:space="preserve">" </w:instrText>
      </w:r>
      <w:r w:rsidR="00681D23">
        <w:fldChar w:fldCharType="end"/>
      </w:r>
      <w:r w:rsidR="00657069">
        <w:t xml:space="preserve"> </w:t>
      </w:r>
    </w:p>
    <w:p w14:paraId="18F22667" w14:textId="5E9C875A" w:rsidR="00E24CBD" w:rsidRDefault="00C90CCC" w:rsidP="00E24CBD">
      <w:pPr>
        <w:pStyle w:val="BodyText"/>
      </w:pPr>
      <w:r>
        <w:fldChar w:fldCharType="begin"/>
      </w:r>
      <w:r>
        <w:instrText xml:space="preserve"> REF _Ref126732565 \h </w:instrText>
      </w:r>
      <w:r>
        <w:fldChar w:fldCharType="separate"/>
      </w:r>
      <w:r w:rsidR="004353ED">
        <w:t xml:space="preserve">Table </w:t>
      </w:r>
      <w:r w:rsidR="004353ED">
        <w:rPr>
          <w:noProof/>
        </w:rPr>
        <w:t>37</w:t>
      </w:r>
      <w:r>
        <w:fldChar w:fldCharType="end"/>
      </w:r>
      <w:r w:rsidR="00E24CBD">
        <w:t xml:space="preserve"> lists reports, how often to run them, and how to use them. These are recommendations for meeting </w:t>
      </w:r>
      <w:r w:rsidR="00FE73F7">
        <w:t>regulatory requirements</w:t>
      </w:r>
      <w:r w:rsidR="00E24CBD">
        <w:t>.</w:t>
      </w:r>
      <w:r w:rsidR="006C1675">
        <w:t xml:space="preserve"> Reports</w:t>
      </w:r>
      <w:r w:rsidR="00462332">
        <w:t>, including the non-individual Blood Availability Report,</w:t>
      </w:r>
      <w:r w:rsidR="006C1675">
        <w:t xml:space="preserve"> are available through the Reports </w:t>
      </w:r>
      <w:r w:rsidR="00954B52">
        <w:t>menu item</w:t>
      </w:r>
      <w:r w:rsidR="006C1675">
        <w:t>. The</w:t>
      </w:r>
      <w:r w:rsidR="00462332">
        <w:t xml:space="preserve"> patient-specific</w:t>
      </w:r>
      <w:r w:rsidR="006C1675">
        <w:t xml:space="preserve"> Blood Availability Report is available through the Patients </w:t>
      </w:r>
      <w:r w:rsidR="00954B52">
        <w:t>menu item</w:t>
      </w:r>
      <w:r w:rsidR="006C1675">
        <w:t>.</w:t>
      </w:r>
    </w:p>
    <w:p w14:paraId="1CB801FB" w14:textId="3EC0A6A9" w:rsidR="00E24CBD" w:rsidRDefault="00E24CBD" w:rsidP="00E24CBD">
      <w:pPr>
        <w:pStyle w:val="Caption"/>
      </w:pPr>
      <w:bookmarkStart w:id="923" w:name="_Ref126732565"/>
      <w:bookmarkStart w:id="924" w:name="_Ref12650466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37</w:t>
      </w:r>
      <w:r w:rsidR="004E20BD">
        <w:rPr>
          <w:noProof/>
        </w:rPr>
        <w:fldChar w:fldCharType="end"/>
      </w:r>
      <w:bookmarkEnd w:id="923"/>
      <w:r>
        <w:t>: Recommended Report Usage</w:t>
      </w:r>
      <w:bookmarkEnd w:id="92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0"/>
        <w:gridCol w:w="2039"/>
        <w:gridCol w:w="2580"/>
        <w:gridCol w:w="3461"/>
      </w:tblGrid>
      <w:tr w:rsidR="00462332" w:rsidRPr="00E24CBD" w14:paraId="6447BBAD" w14:textId="77777777">
        <w:trPr>
          <w:cantSplit/>
          <w:tblHeader/>
        </w:trPr>
        <w:tc>
          <w:tcPr>
            <w:tcW w:w="1728" w:type="dxa"/>
            <w:shd w:val="clear" w:color="auto" w:fill="B3B3B3"/>
            <w:vAlign w:val="bottom"/>
          </w:tcPr>
          <w:p w14:paraId="5A30B560" w14:textId="77777777" w:rsidR="00462332" w:rsidRPr="00E24CBD" w:rsidRDefault="00462332" w:rsidP="00E24CBD">
            <w:pPr>
              <w:pStyle w:val="TableText"/>
              <w:rPr>
                <w:b/>
                <w:snapToGrid w:val="0"/>
              </w:rPr>
            </w:pPr>
            <w:r>
              <w:rPr>
                <w:b/>
                <w:snapToGrid w:val="0"/>
              </w:rPr>
              <w:t>Run This Report:</w:t>
            </w:r>
          </w:p>
        </w:tc>
        <w:tc>
          <w:tcPr>
            <w:tcW w:w="2810" w:type="dxa"/>
            <w:shd w:val="clear" w:color="auto" w:fill="B3B3B3"/>
            <w:vAlign w:val="bottom"/>
          </w:tcPr>
          <w:p w14:paraId="19AB10C0" w14:textId="77777777" w:rsidR="00462332" w:rsidRPr="00E24CBD" w:rsidRDefault="00462332" w:rsidP="00E24CBD">
            <w:pPr>
              <w:pStyle w:val="TableText"/>
              <w:rPr>
                <w:b/>
                <w:snapToGrid w:val="0"/>
              </w:rPr>
            </w:pPr>
            <w:r>
              <w:rPr>
                <w:b/>
                <w:snapToGrid w:val="0"/>
              </w:rPr>
              <w:t>Report</w:t>
            </w:r>
            <w:r w:rsidR="00695BEA">
              <w:rPr>
                <w:b/>
                <w:snapToGrid w:val="0"/>
              </w:rPr>
              <w:t xml:space="preserve"> Option</w:t>
            </w:r>
          </w:p>
        </w:tc>
        <w:tc>
          <w:tcPr>
            <w:tcW w:w="3582" w:type="dxa"/>
            <w:shd w:val="clear" w:color="auto" w:fill="B3B3B3"/>
            <w:vAlign w:val="bottom"/>
          </w:tcPr>
          <w:p w14:paraId="52AE464D" w14:textId="77777777" w:rsidR="00462332" w:rsidRPr="00E24CBD" w:rsidRDefault="00695BEA" w:rsidP="00E24CBD">
            <w:pPr>
              <w:pStyle w:val="TableText"/>
              <w:rPr>
                <w:b/>
                <w:snapToGrid w:val="0"/>
              </w:rPr>
            </w:pPr>
            <w:r>
              <w:rPr>
                <w:b/>
                <w:snapToGrid w:val="0"/>
              </w:rPr>
              <w:t>Purpose</w:t>
            </w:r>
          </w:p>
        </w:tc>
        <w:tc>
          <w:tcPr>
            <w:tcW w:w="4840" w:type="dxa"/>
            <w:shd w:val="clear" w:color="auto" w:fill="B3B3B3"/>
            <w:vAlign w:val="bottom"/>
          </w:tcPr>
          <w:p w14:paraId="02CBECCA" w14:textId="77777777" w:rsidR="00462332" w:rsidRPr="00E24CBD" w:rsidRDefault="00695BEA" w:rsidP="00E24CBD">
            <w:pPr>
              <w:pStyle w:val="TableText"/>
              <w:rPr>
                <w:b/>
                <w:snapToGrid w:val="0"/>
              </w:rPr>
            </w:pPr>
            <w:r>
              <w:rPr>
                <w:b/>
                <w:snapToGrid w:val="0"/>
              </w:rPr>
              <w:t>To Meet Regulatory Requirements:</w:t>
            </w:r>
          </w:p>
        </w:tc>
      </w:tr>
      <w:tr w:rsidR="00462332" w14:paraId="56FBAB27" w14:textId="77777777">
        <w:trPr>
          <w:cantSplit/>
        </w:trPr>
        <w:tc>
          <w:tcPr>
            <w:tcW w:w="1728" w:type="dxa"/>
            <w:vMerge w:val="restart"/>
          </w:tcPr>
          <w:p w14:paraId="2EF7C1D4" w14:textId="77777777" w:rsidR="00462332" w:rsidRDefault="00462332" w:rsidP="00E24CBD">
            <w:pPr>
              <w:pStyle w:val="TableText"/>
              <w:rPr>
                <w:snapToGrid w:val="0"/>
              </w:rPr>
            </w:pPr>
            <w:r>
              <w:rPr>
                <w:snapToGrid w:val="0"/>
              </w:rPr>
              <w:t>Daily</w:t>
            </w:r>
          </w:p>
        </w:tc>
        <w:tc>
          <w:tcPr>
            <w:tcW w:w="2810" w:type="dxa"/>
          </w:tcPr>
          <w:p w14:paraId="71D3B4A9" w14:textId="77777777" w:rsidR="00462332" w:rsidRDefault="00462332" w:rsidP="00E24CBD">
            <w:pPr>
              <w:pStyle w:val="TableText"/>
              <w:rPr>
                <w:snapToGrid w:val="0"/>
              </w:rPr>
            </w:pPr>
            <w:r>
              <w:rPr>
                <w:snapToGrid w:val="0"/>
              </w:rPr>
              <w:t>Audit Trail</w:t>
            </w:r>
          </w:p>
        </w:tc>
        <w:tc>
          <w:tcPr>
            <w:tcW w:w="3582" w:type="dxa"/>
          </w:tcPr>
          <w:p w14:paraId="61C69EA5" w14:textId="77777777" w:rsidR="00462332" w:rsidRDefault="00462332" w:rsidP="00E24CBD">
            <w:pPr>
              <w:pStyle w:val="TableText"/>
              <w:rPr>
                <w:snapToGrid w:val="0"/>
              </w:rPr>
            </w:pPr>
            <w:r>
              <w:t xml:space="preserve">Quality </w:t>
            </w:r>
            <w:r w:rsidR="000A04E1">
              <w:t>a</w:t>
            </w:r>
            <w:r>
              <w:t>ssurance (QA) report details data changes in system.</w:t>
            </w:r>
          </w:p>
        </w:tc>
        <w:tc>
          <w:tcPr>
            <w:tcW w:w="4840" w:type="dxa"/>
          </w:tcPr>
          <w:p w14:paraId="1BC10579" w14:textId="77777777" w:rsidR="00462332" w:rsidRDefault="00462332" w:rsidP="00E24CBD">
            <w:pPr>
              <w:pStyle w:val="TableText"/>
              <w:rPr>
                <w:snapToGrid w:val="0"/>
              </w:rPr>
            </w:pPr>
            <w:r>
              <w:rPr>
                <w:snapToGrid w:val="0"/>
              </w:rPr>
              <w:t>Print, review, sign</w:t>
            </w:r>
            <w:r w:rsidR="000A04E1">
              <w:rPr>
                <w:snapToGrid w:val="0"/>
              </w:rPr>
              <w:t>,</w:t>
            </w:r>
            <w:r>
              <w:rPr>
                <w:snapToGrid w:val="0"/>
              </w:rPr>
              <w:t xml:space="preserve"> </w:t>
            </w:r>
            <w:r w:rsidR="00695BEA">
              <w:rPr>
                <w:snapToGrid w:val="0"/>
              </w:rPr>
              <w:t xml:space="preserve">date, </w:t>
            </w:r>
            <w:r>
              <w:rPr>
                <w:snapToGrid w:val="0"/>
              </w:rPr>
              <w:t>and save hard</w:t>
            </w:r>
            <w:r w:rsidR="00695BEA">
              <w:rPr>
                <w:snapToGrid w:val="0"/>
              </w:rPr>
              <w:t xml:space="preserve"> </w:t>
            </w:r>
            <w:r>
              <w:rPr>
                <w:snapToGrid w:val="0"/>
              </w:rPr>
              <w:t>copy.</w:t>
            </w:r>
          </w:p>
        </w:tc>
      </w:tr>
      <w:tr w:rsidR="00462332" w14:paraId="522B04DF" w14:textId="77777777">
        <w:trPr>
          <w:cantSplit/>
        </w:trPr>
        <w:tc>
          <w:tcPr>
            <w:tcW w:w="1728" w:type="dxa"/>
            <w:vMerge/>
          </w:tcPr>
          <w:p w14:paraId="0FE1D9DA" w14:textId="77777777" w:rsidR="00462332" w:rsidRDefault="00462332" w:rsidP="00E24CBD">
            <w:pPr>
              <w:pStyle w:val="TableText"/>
              <w:rPr>
                <w:snapToGrid w:val="0"/>
              </w:rPr>
            </w:pPr>
          </w:p>
        </w:tc>
        <w:tc>
          <w:tcPr>
            <w:tcW w:w="2810" w:type="dxa"/>
          </w:tcPr>
          <w:p w14:paraId="666F3C23" w14:textId="77777777" w:rsidR="00462332" w:rsidRDefault="00462332" w:rsidP="00E24CBD">
            <w:pPr>
              <w:pStyle w:val="TableText"/>
              <w:rPr>
                <w:snapToGrid w:val="0"/>
              </w:rPr>
            </w:pPr>
            <w:r>
              <w:rPr>
                <w:snapToGrid w:val="0"/>
              </w:rPr>
              <w:t>Blood Availability</w:t>
            </w:r>
          </w:p>
        </w:tc>
        <w:tc>
          <w:tcPr>
            <w:tcW w:w="3582" w:type="dxa"/>
          </w:tcPr>
          <w:p w14:paraId="5462F08B" w14:textId="77777777" w:rsidR="00462332" w:rsidRDefault="00462332" w:rsidP="00E24CBD">
            <w:pPr>
              <w:pStyle w:val="TableText"/>
              <w:rPr>
                <w:snapToGrid w:val="0"/>
              </w:rPr>
            </w:pPr>
            <w:r>
              <w:t>Inventory report</w:t>
            </w:r>
          </w:p>
        </w:tc>
        <w:tc>
          <w:tcPr>
            <w:tcW w:w="4840" w:type="dxa"/>
          </w:tcPr>
          <w:p w14:paraId="72B2D890" w14:textId="77777777" w:rsidR="00462332" w:rsidRDefault="00462332" w:rsidP="00E24CBD">
            <w:pPr>
              <w:pStyle w:val="TableText"/>
              <w:rPr>
                <w:snapToGrid w:val="0"/>
              </w:rPr>
            </w:pPr>
            <w:r>
              <w:rPr>
                <w:snapToGrid w:val="0"/>
              </w:rPr>
              <w:t xml:space="preserve">This report may not be needed by </w:t>
            </w:r>
            <w:r w:rsidR="00695BEA">
              <w:rPr>
                <w:snapToGrid w:val="0"/>
              </w:rPr>
              <w:t>transfusion-</w:t>
            </w:r>
            <w:r>
              <w:rPr>
                <w:snapToGrid w:val="0"/>
              </w:rPr>
              <w:t xml:space="preserve">only or </w:t>
            </w:r>
            <w:r w:rsidR="00695BEA">
              <w:rPr>
                <w:snapToGrid w:val="0"/>
              </w:rPr>
              <w:t>other sites</w:t>
            </w:r>
            <w:r>
              <w:rPr>
                <w:snapToGrid w:val="0"/>
              </w:rPr>
              <w:t>.</w:t>
            </w:r>
          </w:p>
        </w:tc>
      </w:tr>
      <w:tr w:rsidR="00462332" w14:paraId="4001AA1F" w14:textId="77777777">
        <w:trPr>
          <w:cantSplit/>
        </w:trPr>
        <w:tc>
          <w:tcPr>
            <w:tcW w:w="1728" w:type="dxa"/>
            <w:vMerge/>
          </w:tcPr>
          <w:p w14:paraId="5766C2E4" w14:textId="77777777" w:rsidR="00462332" w:rsidRDefault="00462332" w:rsidP="00E24CBD">
            <w:pPr>
              <w:pStyle w:val="TableText"/>
              <w:rPr>
                <w:snapToGrid w:val="0"/>
              </w:rPr>
            </w:pPr>
          </w:p>
        </w:tc>
        <w:tc>
          <w:tcPr>
            <w:tcW w:w="2810" w:type="dxa"/>
          </w:tcPr>
          <w:p w14:paraId="1C4F838A" w14:textId="77777777" w:rsidR="00462332" w:rsidRDefault="00462332" w:rsidP="00E24CBD">
            <w:pPr>
              <w:pStyle w:val="TableText"/>
              <w:rPr>
                <w:snapToGrid w:val="0"/>
              </w:rPr>
            </w:pPr>
            <w:r>
              <w:rPr>
                <w:snapToGrid w:val="0"/>
              </w:rPr>
              <w:t>Exception Report</w:t>
            </w:r>
          </w:p>
        </w:tc>
        <w:tc>
          <w:tcPr>
            <w:tcW w:w="3582" w:type="dxa"/>
          </w:tcPr>
          <w:p w14:paraId="31760F63" w14:textId="77777777" w:rsidR="00462332" w:rsidRDefault="00462332" w:rsidP="00E24CBD">
            <w:pPr>
              <w:pStyle w:val="TableText"/>
              <w:rPr>
                <w:snapToGrid w:val="0"/>
              </w:rPr>
            </w:pPr>
            <w:r>
              <w:t>QA report details overrides of system rules processed by users.</w:t>
            </w:r>
          </w:p>
        </w:tc>
        <w:tc>
          <w:tcPr>
            <w:tcW w:w="4840" w:type="dxa"/>
          </w:tcPr>
          <w:p w14:paraId="19392308" w14:textId="77777777" w:rsidR="00462332" w:rsidRDefault="002A03C9" w:rsidP="00E24CBD">
            <w:pPr>
              <w:pStyle w:val="TableText"/>
              <w:rPr>
                <w:snapToGrid w:val="0"/>
              </w:rPr>
            </w:pPr>
            <w:r>
              <w:rPr>
                <w:snapToGrid w:val="0"/>
              </w:rPr>
              <w:t>Print, review, sign, date, and save hard copy.</w:t>
            </w:r>
          </w:p>
        </w:tc>
      </w:tr>
      <w:tr w:rsidR="00462332" w14:paraId="3CF30ED4" w14:textId="77777777">
        <w:trPr>
          <w:cantSplit/>
        </w:trPr>
        <w:tc>
          <w:tcPr>
            <w:tcW w:w="1728" w:type="dxa"/>
            <w:vMerge/>
          </w:tcPr>
          <w:p w14:paraId="1AE8344A" w14:textId="77777777" w:rsidR="00462332" w:rsidRDefault="00462332" w:rsidP="00E24CBD">
            <w:pPr>
              <w:pStyle w:val="TableText"/>
              <w:rPr>
                <w:snapToGrid w:val="0"/>
              </w:rPr>
            </w:pPr>
          </w:p>
        </w:tc>
        <w:tc>
          <w:tcPr>
            <w:tcW w:w="2810" w:type="dxa"/>
          </w:tcPr>
          <w:p w14:paraId="592ACA3B" w14:textId="77777777" w:rsidR="00462332" w:rsidRDefault="00462332" w:rsidP="00E24CBD">
            <w:pPr>
              <w:pStyle w:val="TableText"/>
              <w:rPr>
                <w:snapToGrid w:val="0"/>
              </w:rPr>
            </w:pPr>
            <w:r>
              <w:rPr>
                <w:snapToGrid w:val="0"/>
              </w:rPr>
              <w:t>Testing Worklist Report</w:t>
            </w:r>
          </w:p>
        </w:tc>
        <w:tc>
          <w:tcPr>
            <w:tcW w:w="3582" w:type="dxa"/>
          </w:tcPr>
          <w:p w14:paraId="599D20FC" w14:textId="77777777" w:rsidR="00462332" w:rsidRDefault="00462332" w:rsidP="00E24CBD">
            <w:pPr>
              <w:pStyle w:val="TableText"/>
              <w:rPr>
                <w:snapToGrid w:val="0"/>
              </w:rPr>
            </w:pPr>
            <w:r>
              <w:t>QA report displays all testing within a division.</w:t>
            </w:r>
          </w:p>
        </w:tc>
        <w:tc>
          <w:tcPr>
            <w:tcW w:w="4840" w:type="dxa"/>
          </w:tcPr>
          <w:p w14:paraId="7C073E6E" w14:textId="77777777" w:rsidR="00462332" w:rsidRDefault="00462332" w:rsidP="00E24CBD">
            <w:pPr>
              <w:pStyle w:val="TableText"/>
              <w:rPr>
                <w:snapToGrid w:val="0"/>
              </w:rPr>
            </w:pPr>
            <w:r>
              <w:rPr>
                <w:snapToGrid w:val="0"/>
              </w:rPr>
              <w:t>Print Patient Testing, Unit testing, Rack QC and miscellaneous reagent QC.</w:t>
            </w:r>
            <w:r w:rsidR="002A03C9">
              <w:rPr>
                <w:snapToGrid w:val="0"/>
              </w:rPr>
              <w:t xml:space="preserve"> Print, review, sign, date, and save hard copy.</w:t>
            </w:r>
          </w:p>
        </w:tc>
      </w:tr>
      <w:tr w:rsidR="00462332" w14:paraId="2DF9F914" w14:textId="77777777">
        <w:trPr>
          <w:cantSplit/>
        </w:trPr>
        <w:tc>
          <w:tcPr>
            <w:tcW w:w="1728" w:type="dxa"/>
          </w:tcPr>
          <w:p w14:paraId="538CA113" w14:textId="77777777" w:rsidR="00462332" w:rsidRDefault="00462332" w:rsidP="00FE73F7">
            <w:pPr>
              <w:pStyle w:val="TableText"/>
              <w:rPr>
                <w:snapToGrid w:val="0"/>
              </w:rPr>
            </w:pPr>
            <w:r>
              <w:rPr>
                <w:snapToGrid w:val="0"/>
              </w:rPr>
              <w:t>Daily or Weekly</w:t>
            </w:r>
          </w:p>
        </w:tc>
        <w:tc>
          <w:tcPr>
            <w:tcW w:w="2810" w:type="dxa"/>
          </w:tcPr>
          <w:p w14:paraId="550C295F" w14:textId="77777777" w:rsidR="00462332" w:rsidRDefault="00462332" w:rsidP="00FE73F7">
            <w:pPr>
              <w:pStyle w:val="TableText"/>
              <w:rPr>
                <w:snapToGrid w:val="0"/>
              </w:rPr>
            </w:pPr>
            <w:r>
              <w:rPr>
                <w:snapToGrid w:val="0"/>
              </w:rPr>
              <w:t>Issued/Returned Report</w:t>
            </w:r>
          </w:p>
        </w:tc>
        <w:tc>
          <w:tcPr>
            <w:tcW w:w="3582" w:type="dxa"/>
          </w:tcPr>
          <w:p w14:paraId="4E9C08B0" w14:textId="77777777" w:rsidR="00462332" w:rsidRDefault="00462332" w:rsidP="00FE73F7">
            <w:pPr>
              <w:pStyle w:val="TableText"/>
              <w:rPr>
                <w:snapToGrid w:val="0"/>
              </w:rPr>
            </w:pPr>
            <w:r>
              <w:t>QA report displays all relocation transactions.</w:t>
            </w:r>
          </w:p>
        </w:tc>
        <w:tc>
          <w:tcPr>
            <w:tcW w:w="4840" w:type="dxa"/>
          </w:tcPr>
          <w:p w14:paraId="53062659" w14:textId="77777777" w:rsidR="00462332" w:rsidRDefault="00462332" w:rsidP="00FE73F7">
            <w:pPr>
              <w:pStyle w:val="TableText"/>
              <w:rPr>
                <w:snapToGrid w:val="0"/>
              </w:rPr>
            </w:pPr>
            <w:r>
              <w:rPr>
                <w:snapToGrid w:val="0"/>
              </w:rPr>
              <w:t>Review for anomalies and take corrective action.</w:t>
            </w:r>
          </w:p>
        </w:tc>
      </w:tr>
      <w:tr w:rsidR="00462332" w14:paraId="06313914" w14:textId="77777777">
        <w:trPr>
          <w:cantSplit/>
        </w:trPr>
        <w:tc>
          <w:tcPr>
            <w:tcW w:w="1728" w:type="dxa"/>
            <w:tcBorders>
              <w:bottom w:val="single" w:sz="4" w:space="0" w:color="auto"/>
            </w:tcBorders>
          </w:tcPr>
          <w:p w14:paraId="69D53873" w14:textId="77777777" w:rsidR="00462332" w:rsidRDefault="00462332" w:rsidP="00E24CBD">
            <w:pPr>
              <w:pStyle w:val="TableText"/>
              <w:rPr>
                <w:snapToGrid w:val="0"/>
              </w:rPr>
            </w:pPr>
            <w:r>
              <w:rPr>
                <w:snapToGrid w:val="0"/>
              </w:rPr>
              <w:t>Daily, Weekly</w:t>
            </w:r>
            <w:r w:rsidR="008C3117">
              <w:rPr>
                <w:snapToGrid w:val="0"/>
              </w:rPr>
              <w:t xml:space="preserve">, </w:t>
            </w:r>
            <w:r>
              <w:rPr>
                <w:snapToGrid w:val="0"/>
              </w:rPr>
              <w:t>and Monthly</w:t>
            </w:r>
          </w:p>
        </w:tc>
        <w:tc>
          <w:tcPr>
            <w:tcW w:w="2810" w:type="dxa"/>
            <w:tcBorders>
              <w:bottom w:val="single" w:sz="4" w:space="0" w:color="auto"/>
            </w:tcBorders>
          </w:tcPr>
          <w:p w14:paraId="33E378DB" w14:textId="77777777" w:rsidR="00462332" w:rsidRDefault="00462332" w:rsidP="00E24CBD">
            <w:pPr>
              <w:pStyle w:val="TableText"/>
              <w:rPr>
                <w:snapToGrid w:val="0"/>
              </w:rPr>
            </w:pPr>
            <w:r>
              <w:rPr>
                <w:snapToGrid w:val="0"/>
              </w:rPr>
              <w:t>Transfusion Requirements Report</w:t>
            </w:r>
          </w:p>
        </w:tc>
        <w:tc>
          <w:tcPr>
            <w:tcW w:w="3582" w:type="dxa"/>
            <w:tcBorders>
              <w:bottom w:val="single" w:sz="4" w:space="0" w:color="auto"/>
            </w:tcBorders>
          </w:tcPr>
          <w:p w14:paraId="38A044AC" w14:textId="77777777" w:rsidR="00462332" w:rsidRDefault="00462332" w:rsidP="00E24CBD">
            <w:pPr>
              <w:pStyle w:val="TableText"/>
              <w:rPr>
                <w:snapToGrid w:val="0"/>
              </w:rPr>
            </w:pPr>
            <w:r>
              <w:t>A compendium of p</w:t>
            </w:r>
            <w:r w:rsidR="000A04E1">
              <w:t>atient blood types, SI</w:t>
            </w:r>
            <w:r>
              <w:t>s</w:t>
            </w:r>
            <w:r w:rsidR="000A04E1">
              <w:t>, and TRs</w:t>
            </w:r>
            <w:r>
              <w:t xml:space="preserve"> are printed for use during downtime.</w:t>
            </w:r>
          </w:p>
        </w:tc>
        <w:tc>
          <w:tcPr>
            <w:tcW w:w="4840" w:type="dxa"/>
            <w:tcBorders>
              <w:bottom w:val="single" w:sz="4" w:space="0" w:color="auto"/>
            </w:tcBorders>
          </w:tcPr>
          <w:p w14:paraId="77774F86" w14:textId="77777777" w:rsidR="008B7391" w:rsidRDefault="008B7391" w:rsidP="008B7391">
            <w:pPr>
              <w:pStyle w:val="TableTextBullet"/>
              <w:rPr>
                <w:snapToGrid w:val="0"/>
              </w:rPr>
            </w:pPr>
            <w:r>
              <w:rPr>
                <w:snapToGrid w:val="0"/>
              </w:rPr>
              <w:t>Days 1–6: print report daily.</w:t>
            </w:r>
          </w:p>
          <w:p w14:paraId="3732CE1A" w14:textId="77777777" w:rsidR="008B7391" w:rsidRDefault="008B7391" w:rsidP="008B7391">
            <w:pPr>
              <w:pStyle w:val="TableTextBullet"/>
              <w:rPr>
                <w:snapToGrid w:val="0"/>
              </w:rPr>
            </w:pPr>
            <w:r>
              <w:rPr>
                <w:snapToGrid w:val="0"/>
              </w:rPr>
              <w:t>Day 7: print report for previous week; discard daily reports.</w:t>
            </w:r>
          </w:p>
          <w:p w14:paraId="33199031" w14:textId="77777777" w:rsidR="008B7391" w:rsidRDefault="008B7391" w:rsidP="008B7391">
            <w:pPr>
              <w:pStyle w:val="TableTextBullet"/>
              <w:rPr>
                <w:snapToGrid w:val="0"/>
              </w:rPr>
            </w:pPr>
            <w:r>
              <w:rPr>
                <w:snapToGrid w:val="0"/>
              </w:rPr>
              <w:t>Start of month: print report for previous month; discard weekly reports.</w:t>
            </w:r>
          </w:p>
          <w:p w14:paraId="76BD6BFC" w14:textId="77777777" w:rsidR="008B7391" w:rsidRDefault="008B7391" w:rsidP="008B7391">
            <w:pPr>
              <w:pStyle w:val="TableTextBullet"/>
              <w:rPr>
                <w:snapToGrid w:val="0"/>
              </w:rPr>
            </w:pPr>
            <w:r>
              <w:rPr>
                <w:snapToGrid w:val="0"/>
              </w:rPr>
              <w:t>Start of year: print report for previous year; discard monthly reports.</w:t>
            </w:r>
          </w:p>
          <w:p w14:paraId="5BE487A0" w14:textId="77777777" w:rsidR="008B7391" w:rsidRDefault="008B7391" w:rsidP="00E24CBD">
            <w:pPr>
              <w:pStyle w:val="TableText"/>
              <w:rPr>
                <w:snapToGrid w:val="0"/>
              </w:rPr>
            </w:pPr>
          </w:p>
          <w:p w14:paraId="6933E04F" w14:textId="77777777" w:rsidR="00462332" w:rsidRDefault="00D64989" w:rsidP="00E24CBD">
            <w:pPr>
              <w:pStyle w:val="TableText"/>
              <w:rPr>
                <w:snapToGrid w:val="0"/>
              </w:rPr>
            </w:pPr>
            <w:r>
              <w:rPr>
                <w:snapToGrid w:val="0"/>
              </w:rPr>
              <w:t>Generate c</w:t>
            </w:r>
            <w:r w:rsidR="00462332">
              <w:rPr>
                <w:snapToGrid w:val="0"/>
              </w:rPr>
              <w:t xml:space="preserve">umulative reports </w:t>
            </w:r>
            <w:r>
              <w:rPr>
                <w:snapToGrid w:val="0"/>
              </w:rPr>
              <w:t xml:space="preserve">starting with the date of first data entry through the current date to include </w:t>
            </w:r>
            <w:r w:rsidR="00462332">
              <w:rPr>
                <w:snapToGrid w:val="0"/>
              </w:rPr>
              <w:t>all patient records.</w:t>
            </w:r>
            <w:r w:rsidR="00D10CA6">
              <w:rPr>
                <w:snapToGrid w:val="0"/>
              </w:rPr>
              <w:t xml:space="preserve"> Store reports so that they are easily accessible.</w:t>
            </w:r>
          </w:p>
        </w:tc>
      </w:tr>
      <w:tr w:rsidR="00F3040D" w14:paraId="68D7E104" w14:textId="77777777">
        <w:trPr>
          <w:cantSplit/>
        </w:trPr>
        <w:tc>
          <w:tcPr>
            <w:tcW w:w="1728" w:type="dxa"/>
            <w:vMerge w:val="restart"/>
          </w:tcPr>
          <w:p w14:paraId="296769D7" w14:textId="77777777" w:rsidR="00F3040D" w:rsidRDefault="00F3040D" w:rsidP="00FE73F7">
            <w:pPr>
              <w:pStyle w:val="TableText"/>
              <w:rPr>
                <w:snapToGrid w:val="0"/>
              </w:rPr>
            </w:pPr>
            <w:r>
              <w:rPr>
                <w:snapToGrid w:val="0"/>
              </w:rPr>
              <w:t>Weekly</w:t>
            </w:r>
          </w:p>
        </w:tc>
        <w:tc>
          <w:tcPr>
            <w:tcW w:w="2810" w:type="dxa"/>
          </w:tcPr>
          <w:p w14:paraId="7F543212" w14:textId="77777777" w:rsidR="00F3040D" w:rsidRDefault="00F3040D" w:rsidP="00E24CBD">
            <w:pPr>
              <w:pStyle w:val="TableText"/>
              <w:rPr>
                <w:snapToGrid w:val="0"/>
              </w:rPr>
            </w:pPr>
            <w:r>
              <w:rPr>
                <w:snapToGrid w:val="0"/>
              </w:rPr>
              <w:t>Prolonged Transfusion Time Report</w:t>
            </w:r>
          </w:p>
        </w:tc>
        <w:tc>
          <w:tcPr>
            <w:tcW w:w="3582" w:type="dxa"/>
          </w:tcPr>
          <w:p w14:paraId="5C11DBFE" w14:textId="77777777" w:rsidR="00F3040D" w:rsidRDefault="00F3040D" w:rsidP="00E24CBD">
            <w:pPr>
              <w:pStyle w:val="TableText"/>
              <w:rPr>
                <w:snapToGrid w:val="0"/>
              </w:rPr>
            </w:pPr>
            <w:r>
              <w:t>Details units that were not infused within the required time frame.</w:t>
            </w:r>
          </w:p>
        </w:tc>
        <w:tc>
          <w:tcPr>
            <w:tcW w:w="4840" w:type="dxa"/>
            <w:vMerge w:val="restart"/>
          </w:tcPr>
          <w:p w14:paraId="34317811" w14:textId="77777777" w:rsidR="00F3040D" w:rsidRDefault="00F3040D" w:rsidP="00E24CBD">
            <w:pPr>
              <w:pStyle w:val="TableText"/>
              <w:rPr>
                <w:snapToGrid w:val="0"/>
              </w:rPr>
            </w:pPr>
            <w:r>
              <w:rPr>
                <w:snapToGrid w:val="0"/>
              </w:rPr>
              <w:t>Generate these reports for blood utilization committee and other quality management activities.</w:t>
            </w:r>
          </w:p>
        </w:tc>
      </w:tr>
      <w:tr w:rsidR="00F3040D" w14:paraId="43FE00EB" w14:textId="77777777">
        <w:trPr>
          <w:cantSplit/>
        </w:trPr>
        <w:tc>
          <w:tcPr>
            <w:tcW w:w="1728" w:type="dxa"/>
            <w:vMerge/>
          </w:tcPr>
          <w:p w14:paraId="3CE0432D" w14:textId="77777777" w:rsidR="00F3040D" w:rsidRDefault="00F3040D" w:rsidP="00FE73F7">
            <w:pPr>
              <w:pStyle w:val="TableText"/>
              <w:rPr>
                <w:snapToGrid w:val="0"/>
              </w:rPr>
            </w:pPr>
          </w:p>
        </w:tc>
        <w:tc>
          <w:tcPr>
            <w:tcW w:w="2810" w:type="dxa"/>
          </w:tcPr>
          <w:p w14:paraId="027DDE55" w14:textId="77777777" w:rsidR="00F3040D" w:rsidRDefault="00F3040D" w:rsidP="00FE73F7">
            <w:pPr>
              <w:pStyle w:val="TableText"/>
              <w:rPr>
                <w:snapToGrid w:val="0"/>
              </w:rPr>
            </w:pPr>
            <w:r>
              <w:rPr>
                <w:snapToGrid w:val="0"/>
              </w:rPr>
              <w:t>Transfusion Effectiveness Report</w:t>
            </w:r>
          </w:p>
        </w:tc>
        <w:tc>
          <w:tcPr>
            <w:tcW w:w="3582" w:type="dxa"/>
          </w:tcPr>
          <w:p w14:paraId="31C71335" w14:textId="77777777" w:rsidR="00F3040D" w:rsidRDefault="00F3040D" w:rsidP="00FE73F7">
            <w:pPr>
              <w:pStyle w:val="TableText"/>
              <w:rPr>
                <w:snapToGrid w:val="0"/>
              </w:rPr>
            </w:pPr>
            <w:r>
              <w:t>Compares transfusions with user-configured lab data indicators to monitor appropriate blood usage.</w:t>
            </w:r>
          </w:p>
        </w:tc>
        <w:tc>
          <w:tcPr>
            <w:tcW w:w="4840" w:type="dxa"/>
            <w:vMerge/>
          </w:tcPr>
          <w:p w14:paraId="3D38B82A" w14:textId="77777777" w:rsidR="00F3040D" w:rsidRDefault="00F3040D" w:rsidP="00FE73F7">
            <w:pPr>
              <w:pStyle w:val="TableText"/>
              <w:rPr>
                <w:snapToGrid w:val="0"/>
              </w:rPr>
            </w:pPr>
          </w:p>
        </w:tc>
      </w:tr>
      <w:tr w:rsidR="00F3040D" w14:paraId="252D11B1" w14:textId="77777777">
        <w:trPr>
          <w:cantSplit/>
        </w:trPr>
        <w:tc>
          <w:tcPr>
            <w:tcW w:w="1728" w:type="dxa"/>
            <w:vMerge w:val="restart"/>
          </w:tcPr>
          <w:p w14:paraId="0276132A" w14:textId="77777777" w:rsidR="00F3040D" w:rsidRDefault="00F3040D" w:rsidP="00FE73F7">
            <w:pPr>
              <w:pStyle w:val="TableText"/>
              <w:rPr>
                <w:snapToGrid w:val="0"/>
              </w:rPr>
            </w:pPr>
            <w:r>
              <w:rPr>
                <w:snapToGrid w:val="0"/>
              </w:rPr>
              <w:t>Weekly or Monthly</w:t>
            </w:r>
          </w:p>
        </w:tc>
        <w:tc>
          <w:tcPr>
            <w:tcW w:w="2810" w:type="dxa"/>
          </w:tcPr>
          <w:p w14:paraId="06C9D2EE" w14:textId="77777777" w:rsidR="00F3040D" w:rsidRDefault="00F3040D" w:rsidP="00FE73F7">
            <w:pPr>
              <w:pStyle w:val="TableText"/>
              <w:rPr>
                <w:snapToGrid w:val="0"/>
              </w:rPr>
            </w:pPr>
            <w:r>
              <w:rPr>
                <w:snapToGrid w:val="0"/>
              </w:rPr>
              <w:t>C:T Ratio Report</w:t>
            </w:r>
          </w:p>
        </w:tc>
        <w:tc>
          <w:tcPr>
            <w:tcW w:w="3582" w:type="dxa"/>
          </w:tcPr>
          <w:p w14:paraId="07ADAF70" w14:textId="77777777" w:rsidR="00F3040D" w:rsidRDefault="00F3040D" w:rsidP="00FE73F7">
            <w:pPr>
              <w:pStyle w:val="TableText"/>
              <w:rPr>
                <w:snapToGrid w:val="0"/>
              </w:rPr>
            </w:pPr>
            <w:r>
              <w:t>Details crossmatch-to-transfusion ratio by physician or treating specialty.</w:t>
            </w:r>
          </w:p>
        </w:tc>
        <w:tc>
          <w:tcPr>
            <w:tcW w:w="4840" w:type="dxa"/>
            <w:vMerge/>
          </w:tcPr>
          <w:p w14:paraId="2D2FFDEC" w14:textId="77777777" w:rsidR="00F3040D" w:rsidRDefault="00F3040D" w:rsidP="00FE73F7">
            <w:pPr>
              <w:pStyle w:val="TableText"/>
              <w:rPr>
                <w:snapToGrid w:val="0"/>
              </w:rPr>
            </w:pPr>
          </w:p>
        </w:tc>
      </w:tr>
      <w:tr w:rsidR="00F3040D" w14:paraId="777582CC" w14:textId="77777777">
        <w:trPr>
          <w:cantSplit/>
        </w:trPr>
        <w:tc>
          <w:tcPr>
            <w:tcW w:w="1728" w:type="dxa"/>
            <w:vMerge/>
          </w:tcPr>
          <w:p w14:paraId="4D0C86C5" w14:textId="77777777" w:rsidR="00F3040D" w:rsidRDefault="00F3040D" w:rsidP="00E24CBD">
            <w:pPr>
              <w:pStyle w:val="TableText"/>
              <w:rPr>
                <w:snapToGrid w:val="0"/>
              </w:rPr>
            </w:pPr>
          </w:p>
        </w:tc>
        <w:tc>
          <w:tcPr>
            <w:tcW w:w="2810" w:type="dxa"/>
          </w:tcPr>
          <w:p w14:paraId="749B1ABD" w14:textId="77777777" w:rsidR="00F3040D" w:rsidRDefault="00F3040D" w:rsidP="00E24CBD">
            <w:pPr>
              <w:pStyle w:val="TableText"/>
              <w:rPr>
                <w:snapToGrid w:val="0"/>
              </w:rPr>
            </w:pPr>
            <w:r>
              <w:rPr>
                <w:snapToGrid w:val="0"/>
              </w:rPr>
              <w:t>Transfusion Complications Report</w:t>
            </w:r>
          </w:p>
        </w:tc>
        <w:tc>
          <w:tcPr>
            <w:tcW w:w="3582" w:type="dxa"/>
          </w:tcPr>
          <w:p w14:paraId="7D5DC96E" w14:textId="6417106A" w:rsidR="00F3040D" w:rsidRDefault="00F3040D" w:rsidP="00E24CBD">
            <w:pPr>
              <w:pStyle w:val="TableText"/>
              <w:rPr>
                <w:snapToGrid w:val="0"/>
              </w:rPr>
            </w:pPr>
            <w:r>
              <w:t xml:space="preserve">Compares transfusions with user configured lab data indicators to monitor </w:t>
            </w:r>
            <w:r w:rsidR="00AE3B37">
              <w:t>adverse effects</w:t>
            </w:r>
            <w:r>
              <w:t xml:space="preserve"> from transfusion.</w:t>
            </w:r>
          </w:p>
        </w:tc>
        <w:tc>
          <w:tcPr>
            <w:tcW w:w="4840" w:type="dxa"/>
            <w:vMerge/>
          </w:tcPr>
          <w:p w14:paraId="12057C12" w14:textId="77777777" w:rsidR="00F3040D" w:rsidRDefault="00F3040D" w:rsidP="00E24CBD">
            <w:pPr>
              <w:pStyle w:val="TableText"/>
              <w:rPr>
                <w:snapToGrid w:val="0"/>
              </w:rPr>
            </w:pPr>
          </w:p>
        </w:tc>
      </w:tr>
      <w:tr w:rsidR="00F3040D" w14:paraId="05E5E7FF" w14:textId="77777777">
        <w:trPr>
          <w:cantSplit/>
        </w:trPr>
        <w:tc>
          <w:tcPr>
            <w:tcW w:w="1728" w:type="dxa"/>
            <w:vMerge/>
            <w:tcBorders>
              <w:bottom w:val="single" w:sz="4" w:space="0" w:color="auto"/>
            </w:tcBorders>
          </w:tcPr>
          <w:p w14:paraId="7227B827" w14:textId="77777777" w:rsidR="00F3040D" w:rsidRDefault="00F3040D" w:rsidP="00E24CBD">
            <w:pPr>
              <w:pStyle w:val="TableText"/>
              <w:rPr>
                <w:snapToGrid w:val="0"/>
              </w:rPr>
            </w:pPr>
          </w:p>
        </w:tc>
        <w:tc>
          <w:tcPr>
            <w:tcW w:w="2810" w:type="dxa"/>
            <w:tcBorders>
              <w:bottom w:val="single" w:sz="4" w:space="0" w:color="auto"/>
            </w:tcBorders>
          </w:tcPr>
          <w:p w14:paraId="78D0ADAB" w14:textId="77777777" w:rsidR="00F3040D" w:rsidRDefault="00F3040D" w:rsidP="00E24CBD">
            <w:pPr>
              <w:pStyle w:val="TableText"/>
              <w:rPr>
                <w:snapToGrid w:val="0"/>
              </w:rPr>
            </w:pPr>
            <w:r>
              <w:rPr>
                <w:snapToGrid w:val="0"/>
              </w:rPr>
              <w:t>Inappropriate Transfusion Request Report</w:t>
            </w:r>
          </w:p>
        </w:tc>
        <w:tc>
          <w:tcPr>
            <w:tcW w:w="3582" w:type="dxa"/>
            <w:tcBorders>
              <w:bottom w:val="single" w:sz="4" w:space="0" w:color="auto"/>
            </w:tcBorders>
          </w:tcPr>
          <w:p w14:paraId="78A382E9" w14:textId="77777777" w:rsidR="00F3040D" w:rsidRDefault="00F3040D" w:rsidP="00E24CBD">
            <w:pPr>
              <w:pStyle w:val="TableText"/>
            </w:pPr>
            <w:r>
              <w:t>Details requests for blood products that did not meet the facility’s transfusion criteria.</w:t>
            </w:r>
          </w:p>
        </w:tc>
        <w:tc>
          <w:tcPr>
            <w:tcW w:w="4840" w:type="dxa"/>
            <w:vMerge/>
            <w:tcBorders>
              <w:bottom w:val="single" w:sz="4" w:space="0" w:color="auto"/>
            </w:tcBorders>
          </w:tcPr>
          <w:p w14:paraId="33E22659" w14:textId="77777777" w:rsidR="00F3040D" w:rsidRDefault="00F3040D" w:rsidP="00E24CBD">
            <w:pPr>
              <w:pStyle w:val="TableText"/>
              <w:rPr>
                <w:snapToGrid w:val="0"/>
              </w:rPr>
            </w:pPr>
          </w:p>
        </w:tc>
      </w:tr>
      <w:tr w:rsidR="00FF05B8" w14:paraId="719B376E" w14:textId="77777777">
        <w:trPr>
          <w:cantSplit/>
        </w:trPr>
        <w:tc>
          <w:tcPr>
            <w:tcW w:w="1728" w:type="dxa"/>
            <w:vMerge w:val="restart"/>
          </w:tcPr>
          <w:p w14:paraId="6001D5EF" w14:textId="77777777" w:rsidR="00FF05B8" w:rsidRDefault="00FF05B8" w:rsidP="00E24CBD">
            <w:pPr>
              <w:pStyle w:val="TableText"/>
              <w:rPr>
                <w:snapToGrid w:val="0"/>
              </w:rPr>
            </w:pPr>
            <w:r>
              <w:rPr>
                <w:snapToGrid w:val="0"/>
              </w:rPr>
              <w:t>Monthly</w:t>
            </w:r>
          </w:p>
        </w:tc>
        <w:tc>
          <w:tcPr>
            <w:tcW w:w="2810" w:type="dxa"/>
          </w:tcPr>
          <w:p w14:paraId="417929C9" w14:textId="77777777" w:rsidR="00FF05B8" w:rsidRDefault="00FF05B8" w:rsidP="00E24CBD">
            <w:pPr>
              <w:pStyle w:val="TableText"/>
              <w:rPr>
                <w:snapToGrid w:val="0"/>
              </w:rPr>
            </w:pPr>
            <w:r>
              <w:rPr>
                <w:snapToGrid w:val="0"/>
              </w:rPr>
              <w:t>Administrative Data Report</w:t>
            </w:r>
          </w:p>
        </w:tc>
        <w:tc>
          <w:tcPr>
            <w:tcW w:w="3582" w:type="dxa"/>
          </w:tcPr>
          <w:p w14:paraId="6044D670" w14:textId="77777777" w:rsidR="00FF05B8" w:rsidRDefault="00FF05B8" w:rsidP="00E24CBD">
            <w:pPr>
              <w:pStyle w:val="TableText"/>
            </w:pPr>
            <w:r>
              <w:t xml:space="preserve">Management report details products received, transfused, and returned. </w:t>
            </w:r>
          </w:p>
        </w:tc>
        <w:tc>
          <w:tcPr>
            <w:tcW w:w="4840" w:type="dxa"/>
            <w:vMerge w:val="restart"/>
          </w:tcPr>
          <w:p w14:paraId="4BE37F66" w14:textId="77777777" w:rsidR="00FF05B8" w:rsidRDefault="00FF05B8" w:rsidP="00E24CBD">
            <w:pPr>
              <w:pStyle w:val="TableText"/>
              <w:rPr>
                <w:snapToGrid w:val="0"/>
              </w:rPr>
            </w:pPr>
            <w:r>
              <w:rPr>
                <w:snapToGrid w:val="0"/>
              </w:rPr>
              <w:t>Generate these reports for administrative purposes.</w:t>
            </w:r>
          </w:p>
        </w:tc>
      </w:tr>
      <w:tr w:rsidR="00FF05B8" w14:paraId="2649B545" w14:textId="77777777">
        <w:trPr>
          <w:cantSplit/>
        </w:trPr>
        <w:tc>
          <w:tcPr>
            <w:tcW w:w="1728" w:type="dxa"/>
            <w:vMerge/>
          </w:tcPr>
          <w:p w14:paraId="6AAA6CD2" w14:textId="77777777" w:rsidR="00FF05B8" w:rsidRDefault="00FF05B8" w:rsidP="00E24CBD">
            <w:pPr>
              <w:pStyle w:val="TableText"/>
              <w:rPr>
                <w:snapToGrid w:val="0"/>
              </w:rPr>
            </w:pPr>
          </w:p>
        </w:tc>
        <w:tc>
          <w:tcPr>
            <w:tcW w:w="2810" w:type="dxa"/>
          </w:tcPr>
          <w:p w14:paraId="271DA9DA" w14:textId="77777777" w:rsidR="00FF05B8" w:rsidRDefault="00FF05B8" w:rsidP="00E24CBD">
            <w:pPr>
              <w:pStyle w:val="TableText"/>
              <w:rPr>
                <w:snapToGrid w:val="0"/>
              </w:rPr>
            </w:pPr>
            <w:r>
              <w:rPr>
                <w:snapToGrid w:val="0"/>
              </w:rPr>
              <w:t>Cost Accounting Report</w:t>
            </w:r>
          </w:p>
        </w:tc>
        <w:tc>
          <w:tcPr>
            <w:tcW w:w="3582" w:type="dxa"/>
          </w:tcPr>
          <w:p w14:paraId="3809E9CF" w14:textId="77777777" w:rsidR="00FF05B8" w:rsidRDefault="00FF05B8" w:rsidP="00E24CBD">
            <w:pPr>
              <w:pStyle w:val="TableText"/>
            </w:pPr>
            <w:r>
              <w:t>Management report of expenditure by invoice number.</w:t>
            </w:r>
          </w:p>
        </w:tc>
        <w:tc>
          <w:tcPr>
            <w:tcW w:w="4840" w:type="dxa"/>
            <w:vMerge/>
          </w:tcPr>
          <w:p w14:paraId="6F5B8D54" w14:textId="77777777" w:rsidR="00FF05B8" w:rsidRDefault="00FF05B8" w:rsidP="00E24CBD">
            <w:pPr>
              <w:pStyle w:val="TableText"/>
              <w:rPr>
                <w:snapToGrid w:val="0"/>
              </w:rPr>
            </w:pPr>
          </w:p>
        </w:tc>
      </w:tr>
      <w:tr w:rsidR="00FF05B8" w14:paraId="0018A2E6" w14:textId="77777777">
        <w:trPr>
          <w:cantSplit/>
        </w:trPr>
        <w:tc>
          <w:tcPr>
            <w:tcW w:w="1728" w:type="dxa"/>
            <w:vMerge/>
          </w:tcPr>
          <w:p w14:paraId="74BBE551" w14:textId="77777777" w:rsidR="00FF05B8" w:rsidRDefault="00FF05B8" w:rsidP="00E24CBD">
            <w:pPr>
              <w:pStyle w:val="TableText"/>
              <w:rPr>
                <w:snapToGrid w:val="0"/>
              </w:rPr>
            </w:pPr>
          </w:p>
        </w:tc>
        <w:tc>
          <w:tcPr>
            <w:tcW w:w="2810" w:type="dxa"/>
          </w:tcPr>
          <w:p w14:paraId="675938AE" w14:textId="77777777" w:rsidR="00FF05B8" w:rsidRDefault="00FF05B8" w:rsidP="00E24CBD">
            <w:pPr>
              <w:pStyle w:val="TableText"/>
              <w:rPr>
                <w:snapToGrid w:val="0"/>
              </w:rPr>
            </w:pPr>
            <w:r>
              <w:rPr>
                <w:snapToGrid w:val="0"/>
              </w:rPr>
              <w:t>Division Transfusion Report</w:t>
            </w:r>
          </w:p>
        </w:tc>
        <w:tc>
          <w:tcPr>
            <w:tcW w:w="3582" w:type="dxa"/>
          </w:tcPr>
          <w:p w14:paraId="64E0468C" w14:textId="77777777" w:rsidR="00FF05B8" w:rsidRDefault="00FF05B8" w:rsidP="00E24CBD">
            <w:pPr>
              <w:pStyle w:val="TableText"/>
            </w:pPr>
            <w:r>
              <w:t>Details of units transfused during a selected period.</w:t>
            </w:r>
          </w:p>
        </w:tc>
        <w:tc>
          <w:tcPr>
            <w:tcW w:w="4840" w:type="dxa"/>
            <w:vMerge/>
          </w:tcPr>
          <w:p w14:paraId="0AFF52D0" w14:textId="77777777" w:rsidR="00FF05B8" w:rsidRDefault="00FF05B8" w:rsidP="00E24CBD">
            <w:pPr>
              <w:pStyle w:val="TableText"/>
              <w:rPr>
                <w:snapToGrid w:val="0"/>
              </w:rPr>
            </w:pPr>
          </w:p>
        </w:tc>
      </w:tr>
      <w:tr w:rsidR="00FF05B8" w14:paraId="346DA509" w14:textId="77777777">
        <w:trPr>
          <w:cantSplit/>
        </w:trPr>
        <w:tc>
          <w:tcPr>
            <w:tcW w:w="1728" w:type="dxa"/>
            <w:vMerge/>
          </w:tcPr>
          <w:p w14:paraId="4C2E00E9" w14:textId="77777777" w:rsidR="00FF05B8" w:rsidRDefault="00FF05B8" w:rsidP="00E24CBD">
            <w:pPr>
              <w:pStyle w:val="TableText"/>
              <w:rPr>
                <w:snapToGrid w:val="0"/>
              </w:rPr>
            </w:pPr>
          </w:p>
        </w:tc>
        <w:tc>
          <w:tcPr>
            <w:tcW w:w="2810" w:type="dxa"/>
          </w:tcPr>
          <w:p w14:paraId="1BE5BCB2" w14:textId="77777777" w:rsidR="00FF05B8" w:rsidRDefault="00FF05B8" w:rsidP="00E24CBD">
            <w:pPr>
              <w:pStyle w:val="TableText"/>
              <w:rPr>
                <w:snapToGrid w:val="0"/>
              </w:rPr>
            </w:pPr>
            <w:r>
              <w:rPr>
                <w:snapToGrid w:val="0"/>
              </w:rPr>
              <w:t>Division Workload Report</w:t>
            </w:r>
          </w:p>
        </w:tc>
        <w:tc>
          <w:tcPr>
            <w:tcW w:w="3582" w:type="dxa"/>
          </w:tcPr>
          <w:p w14:paraId="5784B5CE" w14:textId="77777777" w:rsidR="00FF05B8" w:rsidRDefault="00FF05B8" w:rsidP="00E24CBD">
            <w:pPr>
              <w:pStyle w:val="TableText"/>
            </w:pPr>
            <w:r>
              <w:t>Totals workload types for one or all divisions.</w:t>
            </w:r>
          </w:p>
        </w:tc>
        <w:tc>
          <w:tcPr>
            <w:tcW w:w="4840" w:type="dxa"/>
            <w:vMerge/>
          </w:tcPr>
          <w:p w14:paraId="193F8212" w14:textId="77777777" w:rsidR="00FF05B8" w:rsidRDefault="00FF05B8" w:rsidP="00E24CBD">
            <w:pPr>
              <w:pStyle w:val="TableText"/>
              <w:rPr>
                <w:snapToGrid w:val="0"/>
              </w:rPr>
            </w:pPr>
          </w:p>
        </w:tc>
      </w:tr>
      <w:tr w:rsidR="00462332" w14:paraId="21D78B97" w14:textId="77777777">
        <w:trPr>
          <w:cantSplit/>
        </w:trPr>
        <w:tc>
          <w:tcPr>
            <w:tcW w:w="1728" w:type="dxa"/>
            <w:vMerge/>
            <w:tcBorders>
              <w:bottom w:val="single" w:sz="4" w:space="0" w:color="auto"/>
            </w:tcBorders>
          </w:tcPr>
          <w:p w14:paraId="6D612275" w14:textId="77777777" w:rsidR="00462332" w:rsidRDefault="00462332" w:rsidP="00E24CBD">
            <w:pPr>
              <w:pStyle w:val="TableText"/>
              <w:rPr>
                <w:snapToGrid w:val="0"/>
              </w:rPr>
            </w:pPr>
          </w:p>
        </w:tc>
        <w:tc>
          <w:tcPr>
            <w:tcW w:w="2810" w:type="dxa"/>
            <w:tcBorders>
              <w:bottom w:val="single" w:sz="4" w:space="0" w:color="auto"/>
            </w:tcBorders>
          </w:tcPr>
          <w:p w14:paraId="4273DAB0" w14:textId="77777777" w:rsidR="00462332" w:rsidRDefault="00462332" w:rsidP="00E24CBD">
            <w:pPr>
              <w:pStyle w:val="TableText"/>
              <w:rPr>
                <w:snapToGrid w:val="0"/>
              </w:rPr>
            </w:pPr>
            <w:r>
              <w:rPr>
                <w:snapToGrid w:val="0"/>
              </w:rPr>
              <w:t>Transfusion Reaction Count Report</w:t>
            </w:r>
          </w:p>
        </w:tc>
        <w:tc>
          <w:tcPr>
            <w:tcW w:w="3582" w:type="dxa"/>
            <w:tcBorders>
              <w:bottom w:val="single" w:sz="4" w:space="0" w:color="auto"/>
            </w:tcBorders>
          </w:tcPr>
          <w:p w14:paraId="71997943" w14:textId="77777777" w:rsidR="00462332" w:rsidRDefault="004A69AE" w:rsidP="00E24CBD">
            <w:pPr>
              <w:pStyle w:val="TableText"/>
            </w:pPr>
            <w:r>
              <w:t>Details transfusion reactions that are ordered, pending, completed, or finalized for one or all divisions.</w:t>
            </w:r>
          </w:p>
        </w:tc>
        <w:tc>
          <w:tcPr>
            <w:tcW w:w="4840" w:type="dxa"/>
            <w:tcBorders>
              <w:bottom w:val="single" w:sz="4" w:space="0" w:color="auto"/>
            </w:tcBorders>
          </w:tcPr>
          <w:p w14:paraId="27CDEBB0" w14:textId="77777777" w:rsidR="00462332" w:rsidRDefault="00A7582C" w:rsidP="00E24CBD">
            <w:pPr>
              <w:pStyle w:val="TableText"/>
              <w:rPr>
                <w:snapToGrid w:val="0"/>
              </w:rPr>
            </w:pPr>
            <w:r>
              <w:rPr>
                <w:snapToGrid w:val="0"/>
              </w:rPr>
              <w:t>Generate this report for blood utilization committee and other quality management activities.</w:t>
            </w:r>
          </w:p>
        </w:tc>
      </w:tr>
      <w:tr w:rsidR="00462332" w14:paraId="1E1A89B4" w14:textId="77777777">
        <w:trPr>
          <w:cantSplit/>
        </w:trPr>
        <w:tc>
          <w:tcPr>
            <w:tcW w:w="1728" w:type="dxa"/>
          </w:tcPr>
          <w:p w14:paraId="6512F2B9" w14:textId="77777777" w:rsidR="00462332" w:rsidRDefault="00462332" w:rsidP="00E24CBD">
            <w:pPr>
              <w:pStyle w:val="TableText"/>
              <w:rPr>
                <w:snapToGrid w:val="0"/>
              </w:rPr>
            </w:pPr>
            <w:r>
              <w:rPr>
                <w:snapToGrid w:val="0"/>
              </w:rPr>
              <w:t>As needed</w:t>
            </w:r>
          </w:p>
        </w:tc>
        <w:tc>
          <w:tcPr>
            <w:tcW w:w="2810" w:type="dxa"/>
          </w:tcPr>
          <w:p w14:paraId="22F69F5E" w14:textId="77777777" w:rsidR="00462332" w:rsidRDefault="00462332" w:rsidP="00E24CBD">
            <w:pPr>
              <w:pStyle w:val="TableText"/>
              <w:rPr>
                <w:snapToGrid w:val="0"/>
              </w:rPr>
            </w:pPr>
            <w:r>
              <w:rPr>
                <w:snapToGrid w:val="0"/>
              </w:rPr>
              <w:t>Finalize/Print TRW</w:t>
            </w:r>
          </w:p>
        </w:tc>
        <w:tc>
          <w:tcPr>
            <w:tcW w:w="3582" w:type="dxa"/>
          </w:tcPr>
          <w:p w14:paraId="6A4C8BCC" w14:textId="77777777" w:rsidR="00462332" w:rsidRDefault="00462332" w:rsidP="00E24CBD">
            <w:pPr>
              <w:pStyle w:val="TableText"/>
            </w:pPr>
            <w:r>
              <w:t>Pati</w:t>
            </w:r>
            <w:r w:rsidR="001D65B4">
              <w:t>ent Transfusion Reaction Report</w:t>
            </w:r>
            <w:r w:rsidR="00695BEA">
              <w:t xml:space="preserve"> details a transfusion reaction episode.</w:t>
            </w:r>
          </w:p>
        </w:tc>
        <w:tc>
          <w:tcPr>
            <w:tcW w:w="4840" w:type="dxa"/>
          </w:tcPr>
          <w:p w14:paraId="159C0939" w14:textId="77777777" w:rsidR="00462332" w:rsidRDefault="00F3040D" w:rsidP="00E24CBD">
            <w:pPr>
              <w:pStyle w:val="TableText"/>
              <w:rPr>
                <w:snapToGrid w:val="0"/>
              </w:rPr>
            </w:pPr>
            <w:r>
              <w:rPr>
                <w:snapToGrid w:val="0"/>
              </w:rPr>
              <w:t>Print, review, sign, date, and save hard copy.</w:t>
            </w:r>
          </w:p>
        </w:tc>
      </w:tr>
    </w:tbl>
    <w:p w14:paraId="7B21887E" w14:textId="6A742D2D" w:rsidR="002A21AE" w:rsidRDefault="002A21AE">
      <w:pPr>
        <w:pStyle w:val="Heading2"/>
      </w:pPr>
      <w:r>
        <w:br w:type="page"/>
      </w:r>
      <w:bookmarkStart w:id="925" w:name="_Toc47516858"/>
      <w:r>
        <w:lastRenderedPageBreak/>
        <w:t xml:space="preserve">Appendix </w:t>
      </w:r>
      <w:r w:rsidR="001B0B0C">
        <w:rPr>
          <w:noProof/>
        </w:rPr>
        <w:t>K</w:t>
      </w:r>
      <w:r>
        <w:t>: Barcode Scanner Configuration</w:t>
      </w:r>
      <w:r w:rsidR="003C3D1E">
        <w:t xml:space="preserve"> and Troubleshooting</w:t>
      </w:r>
      <w:bookmarkEnd w:id="925"/>
      <w:r>
        <w:fldChar w:fldCharType="begin"/>
      </w:r>
      <w:r>
        <w:instrText xml:space="preserve"> XE </w:instrText>
      </w:r>
      <w:r w:rsidR="00FA7E65">
        <w:instrText>“</w:instrText>
      </w:r>
      <w:r>
        <w:instrText>Barcode Scanner Configuration</w:instrText>
      </w:r>
      <w:r w:rsidR="003C3D1E">
        <w:instrText xml:space="preserve"> and Troubleshooting</w:instrText>
      </w:r>
      <w:r w:rsidR="00FA7E65">
        <w:instrText>”</w:instrText>
      </w:r>
      <w:r>
        <w:instrText xml:space="preserve"> </w:instrText>
      </w:r>
      <w:r>
        <w:fldChar w:fldCharType="end"/>
      </w:r>
      <w:r>
        <w:fldChar w:fldCharType="begin"/>
      </w:r>
      <w:r>
        <w:instrText xml:space="preserve"> XE </w:instrText>
      </w:r>
      <w:r w:rsidR="00FA7E65">
        <w:instrText>“</w:instrText>
      </w:r>
      <w:r>
        <w:instrText>Figures:Barcode Scanner Configuration</w:instrText>
      </w:r>
      <w:r w:rsidR="00FA7E65">
        <w:instrText>”</w:instrText>
      </w:r>
      <w:r>
        <w:instrText xml:space="preserve"> </w:instrText>
      </w:r>
      <w:r>
        <w:fldChar w:fldCharType="end"/>
      </w:r>
    </w:p>
    <w:p w14:paraId="507E3C43" w14:textId="77777777" w:rsidR="003C3D1E" w:rsidRDefault="006F3CD3" w:rsidP="00FA7E65">
      <w:pPr>
        <w:pStyle w:val="BodyText"/>
      </w:pPr>
      <w:r>
        <w:t xml:space="preserve">Make sure the cord is plugged into the </w:t>
      </w:r>
      <w:r w:rsidR="003C3D1E">
        <w:t xml:space="preserve">scanner </w:t>
      </w:r>
      <w:r>
        <w:t>and the computer</w:t>
      </w:r>
      <w:r w:rsidR="00A723D5">
        <w:t xml:space="preserve">. </w:t>
      </w:r>
      <w:r w:rsidR="00733A22">
        <w:t xml:space="preserve">Point the scanner at a piece of white paper and squeeze the trigger to verify that the laser works. </w:t>
      </w:r>
    </w:p>
    <w:p w14:paraId="15DAC529" w14:textId="77777777" w:rsidR="00A723D5" w:rsidRDefault="00A723D5" w:rsidP="00A723D5">
      <w:pPr>
        <w:pStyle w:val="Caution"/>
      </w:pPr>
      <w:r>
        <w:t>For correct barcode scanning results, the Caps Lock key must not be engaged.</w:t>
      </w:r>
      <w:r w:rsidRPr="00340676">
        <w:rPr>
          <w:vanish/>
        </w:rPr>
        <w:t>(DR 2,733)</w:t>
      </w:r>
      <w:r>
        <w:t xml:space="preserve"> </w:t>
      </w:r>
    </w:p>
    <w:p w14:paraId="04CA822D" w14:textId="77777777" w:rsidR="00A723D5" w:rsidRDefault="00A723D5" w:rsidP="00FA7E65">
      <w:pPr>
        <w:pStyle w:val="BodyText"/>
      </w:pPr>
    </w:p>
    <w:p w14:paraId="67F0A860" w14:textId="77777777" w:rsidR="001C2F8E" w:rsidRDefault="00057948" w:rsidP="002A4F71">
      <w:pPr>
        <w:pStyle w:val="Caution"/>
      </w:pPr>
      <w:r>
        <w:rPr>
          <w:noProof/>
        </w:rPr>
        <w:drawing>
          <wp:inline distT="0" distB="0" distL="0" distR="0" wp14:anchorId="4ED5B5B0" wp14:editId="77A7FDD8">
            <wp:extent cx="267970" cy="221615"/>
            <wp:effectExtent l="0" t="0" r="0" b="698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1C2F8E">
        <w:t xml:space="preserve"> </w:t>
      </w:r>
      <w:r w:rsidR="00416C59">
        <w:t>Never</w:t>
      </w:r>
      <w:r w:rsidR="001C2F8E">
        <w:t xml:space="preserve"> look directly at the laser.</w:t>
      </w:r>
      <w:r w:rsidR="00416C59" w:rsidRPr="00416C59">
        <w:t xml:space="preserve"> </w:t>
      </w:r>
      <w:r w:rsidR="00416C59">
        <w:t>Never direct the laser</w:t>
      </w:r>
      <w:r w:rsidR="00416C59" w:rsidRPr="001D19BF">
        <w:t xml:space="preserve"> </w:t>
      </w:r>
      <w:r w:rsidR="002126A9">
        <w:t xml:space="preserve">beam </w:t>
      </w:r>
      <w:r w:rsidR="00416C59" w:rsidRPr="001D19BF">
        <w:t xml:space="preserve">toward </w:t>
      </w:r>
      <w:r w:rsidR="00416C59">
        <w:t>yourself</w:t>
      </w:r>
      <w:r w:rsidR="00416C59" w:rsidRPr="001D19BF">
        <w:t xml:space="preserve"> or </w:t>
      </w:r>
      <w:r w:rsidR="002126A9">
        <w:t xml:space="preserve">another person. Avoid mirror-like surfaces such as </w:t>
      </w:r>
      <w:r w:rsidR="002126A9" w:rsidRPr="001D19BF">
        <w:t>glass, metal</w:t>
      </w:r>
      <w:r w:rsidR="002126A9">
        <w:t>,</w:t>
      </w:r>
      <w:r w:rsidR="002126A9" w:rsidRPr="001D19BF">
        <w:t xml:space="preserve"> </w:t>
      </w:r>
      <w:r w:rsidR="002E50AD">
        <w:t xml:space="preserve">watches, jewelry, </w:t>
      </w:r>
      <w:r w:rsidR="002126A9" w:rsidRPr="001D19BF">
        <w:t>and other highly reflective materials</w:t>
      </w:r>
      <w:r w:rsidR="002126A9">
        <w:t xml:space="preserve"> when directing the laser beam.</w:t>
      </w:r>
    </w:p>
    <w:p w14:paraId="16785547" w14:textId="7AF7D31A" w:rsidR="002A21AE" w:rsidRDefault="002A21AE" w:rsidP="00FA7E65">
      <w:pPr>
        <w:pStyle w:val="BodyText"/>
      </w:pPr>
      <w:r>
        <w:t xml:space="preserve">To configure a barcode scanner, scan the barcode </w:t>
      </w:r>
      <w:r w:rsidR="007C0D69">
        <w:t xml:space="preserve">in </w:t>
      </w:r>
      <w:r w:rsidR="00E93A51">
        <w:fldChar w:fldCharType="begin"/>
      </w:r>
      <w:r w:rsidR="00E93A51">
        <w:instrText xml:space="preserve"> REF _Ref126728954 \h </w:instrText>
      </w:r>
      <w:r w:rsidR="00E93A51">
        <w:fldChar w:fldCharType="separate"/>
      </w:r>
      <w:r w:rsidR="004353ED">
        <w:t xml:space="preserve">Figure </w:t>
      </w:r>
      <w:r w:rsidR="004353ED">
        <w:rPr>
          <w:noProof/>
        </w:rPr>
        <w:t>161</w:t>
      </w:r>
      <w:r w:rsidR="00E93A51">
        <w:fldChar w:fldCharType="end"/>
      </w:r>
      <w:r>
        <w:t>.</w:t>
      </w:r>
      <w:r w:rsidR="002E50AD">
        <w:t xml:space="preserve"> Repeat this process if scanned data are incorrectly displayed on the terminal. Consult the product reference guide or call the </w:t>
      </w:r>
      <w:r w:rsidR="00E551C3">
        <w:t xml:space="preserve">Service </w:t>
      </w:r>
      <w:r w:rsidR="002E50AD">
        <w:t>Desk for further assistance.</w:t>
      </w:r>
    </w:p>
    <w:p w14:paraId="216C3593" w14:textId="77777777" w:rsidR="001E3F01" w:rsidRDefault="00584AF9" w:rsidP="00FA7E65">
      <w:pPr>
        <w:pStyle w:val="BodyText"/>
      </w:pPr>
      <w:r>
        <w:t>If your site uses barcode symbology for specimens not covered in these instructions, use the configuration barcodes in the manual included with the scanner.</w:t>
      </w:r>
    </w:p>
    <w:p w14:paraId="4F500565" w14:textId="4F12B2D9" w:rsidR="002A4F71" w:rsidRDefault="002A4F71" w:rsidP="002A4F71">
      <w:pPr>
        <w:pStyle w:val="Caption"/>
      </w:pPr>
      <w:bookmarkStart w:id="926" w:name="_Ref12672895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162</w:t>
      </w:r>
      <w:r w:rsidR="004E20BD">
        <w:rPr>
          <w:noProof/>
        </w:rPr>
        <w:fldChar w:fldCharType="end"/>
      </w:r>
      <w:bookmarkEnd w:id="926"/>
      <w:r>
        <w:t>: Barcode Scanner Configuration</w:t>
      </w:r>
    </w:p>
    <w:p w14:paraId="4BEBC7FC" w14:textId="77777777" w:rsidR="00DD2CF2" w:rsidRPr="00DD2CF2" w:rsidRDefault="00057948" w:rsidP="00DD2CF2">
      <w:pPr>
        <w:pStyle w:val="BodyText"/>
        <w:sectPr w:rsidR="00DD2CF2" w:rsidRPr="00DD2CF2" w:rsidSect="00EF717F">
          <w:footerReference w:type="default" r:id="rId274"/>
          <w:pgSz w:w="12240" w:h="15840" w:code="1"/>
          <w:pgMar w:top="1440" w:right="1440" w:bottom="1440" w:left="1440" w:header="720" w:footer="720" w:gutter="0"/>
          <w:cols w:space="720"/>
          <w:docGrid w:linePitch="360"/>
        </w:sectPr>
      </w:pPr>
      <w:bookmarkStart w:id="927" w:name="_Toc97523648"/>
      <w:bookmarkStart w:id="928" w:name="_Toc97527618"/>
      <w:r>
        <w:rPr>
          <w:noProof/>
        </w:rPr>
        <w:drawing>
          <wp:inline distT="0" distB="0" distL="0" distR="0" wp14:anchorId="02C250AB" wp14:editId="739D53B6">
            <wp:extent cx="914400" cy="886460"/>
            <wp:effectExtent l="0" t="0" r="0" b="889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886460"/>
                    </a:xfrm>
                    <a:prstGeom prst="rect">
                      <a:avLst/>
                    </a:prstGeom>
                    <a:noFill/>
                    <a:ln>
                      <a:noFill/>
                    </a:ln>
                  </pic:spPr>
                </pic:pic>
              </a:graphicData>
            </a:graphic>
          </wp:inline>
        </w:drawing>
      </w:r>
    </w:p>
    <w:bookmarkEnd w:id="927"/>
    <w:bookmarkEnd w:id="928"/>
    <w:p w14:paraId="2F63F5A6" w14:textId="77777777" w:rsidR="00DF1B1E" w:rsidRDefault="000604AA" w:rsidP="00DF1B1E">
      <w:pPr>
        <w:pStyle w:val="BodyText"/>
        <w:jc w:val="center"/>
      </w:pPr>
      <w:r>
        <w:br w:type="page"/>
      </w:r>
      <w:r w:rsidR="00DF1B1E">
        <w:lastRenderedPageBreak/>
        <w:t>This page intentionally left blank.</w:t>
      </w:r>
    </w:p>
    <w:p w14:paraId="28D3B8BF" w14:textId="77777777" w:rsidR="006B60EF" w:rsidRDefault="00DF1B1E" w:rsidP="0086066C">
      <w:pPr>
        <w:pStyle w:val="Heading2"/>
      </w:pPr>
      <w:r>
        <w:br w:type="page"/>
      </w:r>
      <w:bookmarkStart w:id="929" w:name="_Toc47516859"/>
      <w:r w:rsidR="00100549">
        <w:lastRenderedPageBreak/>
        <w:t>Appe</w:t>
      </w:r>
      <w:r w:rsidR="000A1A0F">
        <w:t>ndix L</w:t>
      </w:r>
      <w:r w:rsidR="00FC6E10">
        <w:t>: System Responses to Active</w:t>
      </w:r>
      <w:r w:rsidR="0010333F">
        <w:t xml:space="preserve"> Transfusion Requirements</w:t>
      </w:r>
      <w:r w:rsidR="00FC6E10">
        <w:t xml:space="preserve"> in Select Unit and Issue Blood Component</w:t>
      </w:r>
      <w:bookmarkEnd w:id="929"/>
      <w:r w:rsidR="00115A2A" w:rsidRPr="00115A2A">
        <w:rPr>
          <w:rFonts w:ascii="Arial Bold" w:hAnsi="Arial Bold"/>
          <w:vanish/>
        </w:rPr>
        <w:t xml:space="preserve"> DR 4501</w:t>
      </w:r>
      <w:r w:rsidR="00FC6E10">
        <w:fldChar w:fldCharType="begin"/>
      </w:r>
      <w:r w:rsidR="00FC6E10">
        <w:instrText xml:space="preserve"> XE “System Responses to Active Transfusion Requirements in Select Unit and Issue Blood Component” </w:instrText>
      </w:r>
      <w:r w:rsidR="00FC6E10">
        <w:fldChar w:fldCharType="end"/>
      </w:r>
    </w:p>
    <w:p w14:paraId="5D635040" w14:textId="77777777" w:rsidR="009125FD" w:rsidRDefault="009125FD" w:rsidP="009125FD"/>
    <w:p w14:paraId="460A916C" w14:textId="77777777" w:rsidR="00052726" w:rsidRPr="00052726" w:rsidRDefault="00052726" w:rsidP="00052726">
      <w:pPr>
        <w:rPr>
          <w:sz w:val="22"/>
          <w:szCs w:val="22"/>
        </w:rPr>
      </w:pPr>
      <w:r w:rsidRPr="00052726">
        <w:rPr>
          <w:sz w:val="22"/>
          <w:szCs w:val="22"/>
        </w:rPr>
        <w:t>The followi</w:t>
      </w:r>
      <w:r w:rsidR="00BE2EF9">
        <w:rPr>
          <w:sz w:val="22"/>
          <w:szCs w:val="22"/>
        </w:rPr>
        <w:t>ng series of tables, Figures 158</w:t>
      </w:r>
      <w:r w:rsidR="004C5C7D">
        <w:rPr>
          <w:sz w:val="22"/>
          <w:szCs w:val="22"/>
        </w:rPr>
        <w:t xml:space="preserve"> t</w:t>
      </w:r>
      <w:r w:rsidR="00BE2EF9">
        <w:rPr>
          <w:sz w:val="22"/>
          <w:szCs w:val="22"/>
        </w:rPr>
        <w:t>hrough 169</w:t>
      </w:r>
      <w:r w:rsidRPr="00052726">
        <w:rPr>
          <w:sz w:val="22"/>
          <w:szCs w:val="22"/>
        </w:rPr>
        <w:t>, detail VBECS response to an active transfusion requirement, component class of the unit selected and the user’s VBECS role at unit selection and blood component issue.</w:t>
      </w:r>
    </w:p>
    <w:p w14:paraId="1E79C4D6" w14:textId="77777777" w:rsidR="00052726" w:rsidRPr="00052726" w:rsidRDefault="00052726" w:rsidP="00052726">
      <w:pPr>
        <w:rPr>
          <w:sz w:val="22"/>
          <w:szCs w:val="22"/>
        </w:rPr>
      </w:pPr>
    </w:p>
    <w:p w14:paraId="40810F19" w14:textId="656AA862"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_Ref343502397 \h </w:instrText>
      </w:r>
      <w:r>
        <w:rPr>
          <w:sz w:val="22"/>
          <w:szCs w:val="22"/>
        </w:rPr>
        <w:instrText xml:space="preserve"> \* MERGEFORMAT </w:instrText>
      </w:r>
      <w:r w:rsidRPr="00052726">
        <w:rPr>
          <w:sz w:val="22"/>
          <w:szCs w:val="22"/>
        </w:rPr>
      </w:r>
      <w:r w:rsidRPr="00052726">
        <w:rPr>
          <w:sz w:val="22"/>
          <w:szCs w:val="22"/>
        </w:rPr>
        <w:fldChar w:fldCharType="separate"/>
      </w:r>
      <w:r w:rsidR="004353ED" w:rsidRPr="004353ED">
        <w:rPr>
          <w:sz w:val="22"/>
          <w:szCs w:val="22"/>
        </w:rPr>
        <w:t xml:space="preserve">Figure </w:t>
      </w:r>
      <w:r w:rsidR="004353ED" w:rsidRPr="004353ED">
        <w:rPr>
          <w:noProof/>
          <w:sz w:val="22"/>
          <w:szCs w:val="22"/>
        </w:rPr>
        <w:t>162</w:t>
      </w:r>
      <w:r w:rsidR="004353ED" w:rsidRPr="004353ED">
        <w:rPr>
          <w:sz w:val="22"/>
          <w:szCs w:val="22"/>
        </w:rPr>
        <w:t>: Irradiate Cellular Products Only and Select Blood Unit</w:t>
      </w:r>
      <w:r w:rsidRPr="00052726">
        <w:rPr>
          <w:sz w:val="22"/>
          <w:szCs w:val="22"/>
        </w:rPr>
        <w:fldChar w:fldCharType="end"/>
      </w:r>
    </w:p>
    <w:p w14:paraId="322D0541" w14:textId="07FE1E75"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_Ref343502433 \h </w:instrText>
      </w:r>
      <w:r>
        <w:rPr>
          <w:sz w:val="22"/>
          <w:szCs w:val="22"/>
        </w:rPr>
        <w:instrText xml:space="preserve"> \* MERGEFORMAT </w:instrText>
      </w:r>
      <w:r w:rsidRPr="00052726">
        <w:rPr>
          <w:sz w:val="22"/>
          <w:szCs w:val="22"/>
        </w:rPr>
      </w:r>
      <w:r w:rsidRPr="00052726">
        <w:rPr>
          <w:sz w:val="22"/>
          <w:szCs w:val="22"/>
        </w:rPr>
        <w:fldChar w:fldCharType="separate"/>
      </w:r>
      <w:r w:rsidR="004353ED" w:rsidRPr="004353ED">
        <w:rPr>
          <w:sz w:val="22"/>
          <w:szCs w:val="22"/>
        </w:rPr>
        <w:t xml:space="preserve">Figure </w:t>
      </w:r>
      <w:r w:rsidR="004353ED" w:rsidRPr="004353ED">
        <w:rPr>
          <w:noProof/>
          <w:sz w:val="22"/>
          <w:szCs w:val="22"/>
        </w:rPr>
        <w:t>163</w:t>
      </w:r>
      <w:r w:rsidR="004353ED" w:rsidRPr="004353ED">
        <w:rPr>
          <w:sz w:val="22"/>
          <w:szCs w:val="22"/>
        </w:rPr>
        <w:t>: Irradiate Cellular Products Only and Issue Blood Component</w:t>
      </w:r>
      <w:r w:rsidRPr="00052726">
        <w:rPr>
          <w:sz w:val="22"/>
          <w:szCs w:val="22"/>
        </w:rPr>
        <w:fldChar w:fldCharType="end"/>
      </w:r>
    </w:p>
    <w:p w14:paraId="042F59EC" w14:textId="0F1339AE"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_Ref343502457 \h </w:instrText>
      </w:r>
      <w:r>
        <w:rPr>
          <w:sz w:val="22"/>
          <w:szCs w:val="22"/>
        </w:rPr>
        <w:instrText xml:space="preserve"> \* MERGEFORMAT </w:instrText>
      </w:r>
      <w:r w:rsidRPr="00052726">
        <w:rPr>
          <w:sz w:val="22"/>
          <w:szCs w:val="22"/>
        </w:rPr>
      </w:r>
      <w:r w:rsidRPr="00052726">
        <w:rPr>
          <w:sz w:val="22"/>
          <w:szCs w:val="22"/>
        </w:rPr>
        <w:fldChar w:fldCharType="separate"/>
      </w:r>
      <w:r w:rsidR="004353ED" w:rsidRPr="004353ED">
        <w:rPr>
          <w:sz w:val="22"/>
          <w:szCs w:val="22"/>
        </w:rPr>
        <w:t xml:space="preserve">Figure </w:t>
      </w:r>
      <w:r w:rsidR="004353ED" w:rsidRPr="004353ED">
        <w:rPr>
          <w:noProof/>
          <w:sz w:val="22"/>
          <w:szCs w:val="22"/>
        </w:rPr>
        <w:t>164</w:t>
      </w:r>
      <w:r w:rsidR="004353ED" w:rsidRPr="004353ED">
        <w:rPr>
          <w:sz w:val="22"/>
          <w:szCs w:val="22"/>
        </w:rPr>
        <w:t>: Leuko-reduce Cellular Products and Select Blood Unit</w:t>
      </w:r>
      <w:r w:rsidRPr="00052726">
        <w:rPr>
          <w:sz w:val="22"/>
          <w:szCs w:val="22"/>
        </w:rPr>
        <w:fldChar w:fldCharType="end"/>
      </w:r>
    </w:p>
    <w:p w14:paraId="279954E7" w14:textId="0B41C68C"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_Ref343502482 \h </w:instrText>
      </w:r>
      <w:r>
        <w:rPr>
          <w:sz w:val="22"/>
          <w:szCs w:val="22"/>
        </w:rPr>
        <w:instrText xml:space="preserve"> \* MERGEFORMAT </w:instrText>
      </w:r>
      <w:r w:rsidRPr="00052726">
        <w:rPr>
          <w:sz w:val="22"/>
          <w:szCs w:val="22"/>
        </w:rPr>
      </w:r>
      <w:r w:rsidRPr="00052726">
        <w:rPr>
          <w:sz w:val="22"/>
          <w:szCs w:val="22"/>
        </w:rPr>
        <w:fldChar w:fldCharType="separate"/>
      </w:r>
      <w:r w:rsidR="004353ED" w:rsidRPr="004353ED">
        <w:rPr>
          <w:sz w:val="22"/>
          <w:szCs w:val="22"/>
        </w:rPr>
        <w:t xml:space="preserve">Figure </w:t>
      </w:r>
      <w:r w:rsidR="004353ED" w:rsidRPr="004353ED">
        <w:rPr>
          <w:noProof/>
          <w:sz w:val="22"/>
          <w:szCs w:val="22"/>
        </w:rPr>
        <w:t>165</w:t>
      </w:r>
      <w:r w:rsidR="004353ED" w:rsidRPr="004353ED">
        <w:rPr>
          <w:sz w:val="22"/>
          <w:szCs w:val="22"/>
        </w:rPr>
        <w:t>: Leuko-reduce Cellular Products and Issue Blood Component</w:t>
      </w:r>
      <w:r w:rsidRPr="00052726">
        <w:rPr>
          <w:sz w:val="22"/>
          <w:szCs w:val="22"/>
        </w:rPr>
        <w:fldChar w:fldCharType="end"/>
      </w:r>
    </w:p>
    <w:p w14:paraId="405AF52A" w14:textId="23CB9706"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_Ref343502500 \h </w:instrText>
      </w:r>
      <w:r>
        <w:rPr>
          <w:sz w:val="22"/>
          <w:szCs w:val="22"/>
        </w:rPr>
        <w:instrText xml:space="preserve"> \* MERGEFORMAT </w:instrText>
      </w:r>
      <w:r w:rsidRPr="00052726">
        <w:rPr>
          <w:sz w:val="22"/>
          <w:szCs w:val="22"/>
        </w:rPr>
      </w:r>
      <w:r w:rsidRPr="00052726">
        <w:rPr>
          <w:sz w:val="22"/>
          <w:szCs w:val="22"/>
        </w:rPr>
        <w:fldChar w:fldCharType="separate"/>
      </w:r>
      <w:r w:rsidR="004353ED" w:rsidRPr="004353ED">
        <w:rPr>
          <w:sz w:val="22"/>
          <w:szCs w:val="22"/>
        </w:rPr>
        <w:t xml:space="preserve">Figure </w:t>
      </w:r>
      <w:r w:rsidR="004353ED" w:rsidRPr="004353ED">
        <w:rPr>
          <w:noProof/>
          <w:sz w:val="22"/>
          <w:szCs w:val="22"/>
        </w:rPr>
        <w:t>166</w:t>
      </w:r>
      <w:r w:rsidR="004353ED" w:rsidRPr="004353ED">
        <w:rPr>
          <w:sz w:val="22"/>
          <w:szCs w:val="22"/>
        </w:rPr>
        <w:t>: Washed Red Blood Cell (RBC) Products and Select Blood Unit</w:t>
      </w:r>
      <w:r w:rsidRPr="00052726">
        <w:rPr>
          <w:sz w:val="22"/>
          <w:szCs w:val="22"/>
        </w:rPr>
        <w:fldChar w:fldCharType="end"/>
      </w:r>
    </w:p>
    <w:p w14:paraId="7C7C1E87" w14:textId="4E4215FE"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_Ref343502523 \h </w:instrText>
      </w:r>
      <w:r>
        <w:rPr>
          <w:sz w:val="22"/>
          <w:szCs w:val="22"/>
        </w:rPr>
        <w:instrText xml:space="preserve"> \* MERGEFORMAT </w:instrText>
      </w:r>
      <w:r w:rsidRPr="00052726">
        <w:rPr>
          <w:sz w:val="22"/>
          <w:szCs w:val="22"/>
        </w:rPr>
      </w:r>
      <w:r w:rsidRPr="00052726">
        <w:rPr>
          <w:sz w:val="22"/>
          <w:szCs w:val="22"/>
        </w:rPr>
        <w:fldChar w:fldCharType="separate"/>
      </w:r>
      <w:r w:rsidR="004353ED" w:rsidRPr="004353ED">
        <w:rPr>
          <w:sz w:val="22"/>
          <w:szCs w:val="22"/>
        </w:rPr>
        <w:t xml:space="preserve">Figure </w:t>
      </w:r>
      <w:r w:rsidR="004353ED" w:rsidRPr="004353ED">
        <w:rPr>
          <w:noProof/>
          <w:sz w:val="22"/>
          <w:szCs w:val="22"/>
        </w:rPr>
        <w:t>167</w:t>
      </w:r>
      <w:r w:rsidR="004353ED" w:rsidRPr="004353ED">
        <w:rPr>
          <w:sz w:val="22"/>
          <w:szCs w:val="22"/>
        </w:rPr>
        <w:t>: Washed Red Blood Cell (RBC) Products and Issue Blood Component</w:t>
      </w:r>
      <w:r w:rsidRPr="00052726">
        <w:rPr>
          <w:sz w:val="22"/>
          <w:szCs w:val="22"/>
        </w:rPr>
        <w:fldChar w:fldCharType="end"/>
      </w:r>
    </w:p>
    <w:p w14:paraId="40AC0BD1" w14:textId="341094C8"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_Ref343502547 \h </w:instrText>
      </w:r>
      <w:r>
        <w:rPr>
          <w:sz w:val="22"/>
          <w:szCs w:val="22"/>
        </w:rPr>
        <w:instrText xml:space="preserve"> \* MERGEFORMAT </w:instrText>
      </w:r>
      <w:r w:rsidRPr="00052726">
        <w:rPr>
          <w:sz w:val="22"/>
          <w:szCs w:val="22"/>
        </w:rPr>
      </w:r>
      <w:r w:rsidRPr="00052726">
        <w:rPr>
          <w:sz w:val="22"/>
          <w:szCs w:val="22"/>
        </w:rPr>
        <w:fldChar w:fldCharType="separate"/>
      </w:r>
      <w:r w:rsidR="004353ED" w:rsidRPr="004353ED">
        <w:rPr>
          <w:sz w:val="22"/>
          <w:szCs w:val="22"/>
        </w:rPr>
        <w:t xml:space="preserve">Figure </w:t>
      </w:r>
      <w:r w:rsidR="004353ED" w:rsidRPr="004353ED">
        <w:rPr>
          <w:noProof/>
          <w:sz w:val="22"/>
          <w:szCs w:val="22"/>
        </w:rPr>
        <w:t>168</w:t>
      </w:r>
      <w:r w:rsidR="004353ED" w:rsidRPr="004353ED">
        <w:rPr>
          <w:sz w:val="22"/>
          <w:szCs w:val="22"/>
        </w:rPr>
        <w:t>: Washed PLATELET (PLT) Products and Select Blood Unit</w:t>
      </w:r>
      <w:r w:rsidRPr="00052726">
        <w:rPr>
          <w:sz w:val="22"/>
          <w:szCs w:val="22"/>
        </w:rPr>
        <w:fldChar w:fldCharType="end"/>
      </w:r>
    </w:p>
    <w:p w14:paraId="234E249F" w14:textId="663B03D4"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_Ref343502567 \h </w:instrText>
      </w:r>
      <w:r>
        <w:rPr>
          <w:sz w:val="22"/>
          <w:szCs w:val="22"/>
        </w:rPr>
        <w:instrText xml:space="preserve"> \* MERGEFORMAT </w:instrText>
      </w:r>
      <w:r w:rsidRPr="00052726">
        <w:rPr>
          <w:sz w:val="22"/>
          <w:szCs w:val="22"/>
        </w:rPr>
      </w:r>
      <w:r w:rsidRPr="00052726">
        <w:rPr>
          <w:sz w:val="22"/>
          <w:szCs w:val="22"/>
        </w:rPr>
        <w:fldChar w:fldCharType="separate"/>
      </w:r>
      <w:r w:rsidR="004353ED" w:rsidRPr="004353ED">
        <w:rPr>
          <w:sz w:val="22"/>
          <w:szCs w:val="22"/>
        </w:rPr>
        <w:t xml:space="preserve">Figure </w:t>
      </w:r>
      <w:r w:rsidR="004353ED" w:rsidRPr="004353ED">
        <w:rPr>
          <w:noProof/>
          <w:sz w:val="22"/>
          <w:szCs w:val="22"/>
        </w:rPr>
        <w:t>169</w:t>
      </w:r>
      <w:r w:rsidR="004353ED" w:rsidRPr="004353ED">
        <w:rPr>
          <w:sz w:val="22"/>
          <w:szCs w:val="22"/>
        </w:rPr>
        <w:t>: Washed PLATELET (PLT) Products and Issue Blood Component</w:t>
      </w:r>
      <w:r w:rsidRPr="00052726">
        <w:rPr>
          <w:sz w:val="22"/>
          <w:szCs w:val="22"/>
        </w:rPr>
        <w:fldChar w:fldCharType="end"/>
      </w:r>
    </w:p>
    <w:p w14:paraId="07DFBD7C" w14:textId="7688D6AE"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_Ref343502582 \h </w:instrText>
      </w:r>
      <w:r>
        <w:rPr>
          <w:sz w:val="22"/>
          <w:szCs w:val="22"/>
        </w:rPr>
        <w:instrText xml:space="preserve"> \* MERGEFORMAT </w:instrText>
      </w:r>
      <w:r w:rsidRPr="00052726">
        <w:rPr>
          <w:sz w:val="22"/>
          <w:szCs w:val="22"/>
        </w:rPr>
      </w:r>
      <w:r w:rsidRPr="00052726">
        <w:rPr>
          <w:sz w:val="22"/>
          <w:szCs w:val="22"/>
        </w:rPr>
        <w:fldChar w:fldCharType="separate"/>
      </w:r>
      <w:r w:rsidR="004353ED" w:rsidRPr="004353ED">
        <w:rPr>
          <w:sz w:val="22"/>
          <w:szCs w:val="22"/>
        </w:rPr>
        <w:t xml:space="preserve">Figure </w:t>
      </w:r>
      <w:r w:rsidR="004353ED" w:rsidRPr="004353ED">
        <w:rPr>
          <w:noProof/>
          <w:sz w:val="22"/>
          <w:szCs w:val="22"/>
        </w:rPr>
        <w:t>170</w:t>
      </w:r>
      <w:r w:rsidR="004353ED" w:rsidRPr="004353ED">
        <w:rPr>
          <w:sz w:val="22"/>
          <w:szCs w:val="22"/>
        </w:rPr>
        <w:t>: Sickle Cell Negative RBC Products and Select Blood Unit</w:t>
      </w:r>
      <w:r w:rsidRPr="00052726">
        <w:rPr>
          <w:sz w:val="22"/>
          <w:szCs w:val="22"/>
        </w:rPr>
        <w:fldChar w:fldCharType="end"/>
      </w:r>
    </w:p>
    <w:p w14:paraId="2D74E9BB" w14:textId="747FB1BD"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_Ref343502619 \h </w:instrText>
      </w:r>
      <w:r>
        <w:rPr>
          <w:sz w:val="22"/>
          <w:szCs w:val="22"/>
        </w:rPr>
        <w:instrText xml:space="preserve"> \* MERGEFORMAT </w:instrText>
      </w:r>
      <w:r w:rsidRPr="00052726">
        <w:rPr>
          <w:sz w:val="22"/>
          <w:szCs w:val="22"/>
        </w:rPr>
      </w:r>
      <w:r w:rsidRPr="00052726">
        <w:rPr>
          <w:sz w:val="22"/>
          <w:szCs w:val="22"/>
        </w:rPr>
        <w:fldChar w:fldCharType="separate"/>
      </w:r>
      <w:r w:rsidR="004353ED" w:rsidRPr="004353ED">
        <w:rPr>
          <w:sz w:val="22"/>
          <w:szCs w:val="22"/>
        </w:rPr>
        <w:t xml:space="preserve">Figure </w:t>
      </w:r>
      <w:r w:rsidR="004353ED" w:rsidRPr="004353ED">
        <w:rPr>
          <w:noProof/>
          <w:sz w:val="22"/>
          <w:szCs w:val="22"/>
        </w:rPr>
        <w:t>171</w:t>
      </w:r>
      <w:r w:rsidR="004353ED" w:rsidRPr="004353ED">
        <w:rPr>
          <w:sz w:val="22"/>
          <w:szCs w:val="22"/>
        </w:rPr>
        <w:t>: Sickle Cell Negative RBC Products and Issue Blood Component</w:t>
      </w:r>
      <w:r w:rsidRPr="00052726">
        <w:rPr>
          <w:sz w:val="22"/>
          <w:szCs w:val="22"/>
        </w:rPr>
        <w:fldChar w:fldCharType="end"/>
      </w:r>
    </w:p>
    <w:p w14:paraId="793780CC" w14:textId="1C90BD4F"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_Ref343502634 \h </w:instrText>
      </w:r>
      <w:r>
        <w:rPr>
          <w:sz w:val="22"/>
          <w:szCs w:val="22"/>
        </w:rPr>
        <w:instrText xml:space="preserve"> \* MERGEFORMAT </w:instrText>
      </w:r>
      <w:r w:rsidRPr="00052726">
        <w:rPr>
          <w:sz w:val="22"/>
          <w:szCs w:val="22"/>
        </w:rPr>
      </w:r>
      <w:r w:rsidRPr="00052726">
        <w:rPr>
          <w:sz w:val="22"/>
          <w:szCs w:val="22"/>
        </w:rPr>
        <w:fldChar w:fldCharType="separate"/>
      </w:r>
      <w:r w:rsidR="004353ED" w:rsidRPr="004353ED">
        <w:rPr>
          <w:sz w:val="22"/>
          <w:szCs w:val="22"/>
        </w:rPr>
        <w:t xml:space="preserve">Figure </w:t>
      </w:r>
      <w:r w:rsidR="004353ED" w:rsidRPr="004353ED">
        <w:rPr>
          <w:noProof/>
          <w:sz w:val="22"/>
          <w:szCs w:val="22"/>
        </w:rPr>
        <w:t>172</w:t>
      </w:r>
      <w:r w:rsidR="004353ED" w:rsidRPr="004353ED">
        <w:rPr>
          <w:sz w:val="22"/>
          <w:szCs w:val="22"/>
        </w:rPr>
        <w:t>: CMV Negative Cellular Products* and Select Blood Unit</w:t>
      </w:r>
      <w:r w:rsidRPr="00052726">
        <w:rPr>
          <w:sz w:val="22"/>
          <w:szCs w:val="22"/>
        </w:rPr>
        <w:fldChar w:fldCharType="end"/>
      </w:r>
    </w:p>
    <w:p w14:paraId="61551874" w14:textId="4EFC7FDC" w:rsidR="00052726" w:rsidRPr="00052726" w:rsidRDefault="00052726" w:rsidP="00052726">
      <w:pPr>
        <w:rPr>
          <w:sz w:val="22"/>
          <w:szCs w:val="22"/>
        </w:rPr>
      </w:pPr>
      <w:r w:rsidRPr="00052726">
        <w:rPr>
          <w:sz w:val="22"/>
          <w:szCs w:val="22"/>
        </w:rPr>
        <w:fldChar w:fldCharType="begin"/>
      </w:r>
      <w:r w:rsidRPr="00052726">
        <w:rPr>
          <w:sz w:val="22"/>
          <w:szCs w:val="22"/>
        </w:rPr>
        <w:instrText xml:space="preserve"> REF _Ref343502649 \h </w:instrText>
      </w:r>
      <w:r>
        <w:rPr>
          <w:sz w:val="22"/>
          <w:szCs w:val="22"/>
        </w:rPr>
        <w:instrText xml:space="preserve"> \* MERGEFORMAT </w:instrText>
      </w:r>
      <w:r w:rsidRPr="00052726">
        <w:rPr>
          <w:sz w:val="22"/>
          <w:szCs w:val="22"/>
        </w:rPr>
      </w:r>
      <w:r w:rsidRPr="00052726">
        <w:rPr>
          <w:sz w:val="22"/>
          <w:szCs w:val="22"/>
        </w:rPr>
        <w:fldChar w:fldCharType="separate"/>
      </w:r>
      <w:r w:rsidR="004353ED" w:rsidRPr="004353ED">
        <w:rPr>
          <w:sz w:val="22"/>
          <w:szCs w:val="22"/>
        </w:rPr>
        <w:t xml:space="preserve">Figure </w:t>
      </w:r>
      <w:r w:rsidR="004353ED" w:rsidRPr="004353ED">
        <w:rPr>
          <w:noProof/>
          <w:sz w:val="22"/>
          <w:szCs w:val="22"/>
        </w:rPr>
        <w:t>173</w:t>
      </w:r>
      <w:r w:rsidR="004353ED" w:rsidRPr="004353ED">
        <w:rPr>
          <w:sz w:val="22"/>
          <w:szCs w:val="22"/>
        </w:rPr>
        <w:t>: CMV Negative Cellular Products* and Issue Blood Component</w:t>
      </w:r>
      <w:r w:rsidRPr="00052726">
        <w:rPr>
          <w:sz w:val="22"/>
          <w:szCs w:val="22"/>
        </w:rPr>
        <w:fldChar w:fldCharType="end"/>
      </w:r>
      <w:r w:rsidRPr="00052726">
        <w:rPr>
          <w:sz w:val="22"/>
          <w:szCs w:val="22"/>
        </w:rPr>
        <w:t xml:space="preserve">  </w:t>
      </w:r>
    </w:p>
    <w:p w14:paraId="18980E35" w14:textId="77777777" w:rsidR="00052726" w:rsidRPr="00D13051" w:rsidRDefault="00052726" w:rsidP="00052726"/>
    <w:p w14:paraId="1C65C898" w14:textId="1FB2C35B" w:rsidR="00C15299" w:rsidRDefault="00C15299" w:rsidP="00C15299">
      <w:pPr>
        <w:pStyle w:val="Caption"/>
      </w:pPr>
      <w:bookmarkStart w:id="930" w:name="_Ref407612048"/>
      <w:bookmarkStart w:id="931" w:name="_Ref34350239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163</w:t>
      </w:r>
      <w:r w:rsidR="004E20BD">
        <w:rPr>
          <w:noProof/>
        </w:rPr>
        <w:fldChar w:fldCharType="end"/>
      </w:r>
      <w:bookmarkEnd w:id="930"/>
      <w:r>
        <w:t>: Irradiate Cellular Products Only and Select Blood Unit</w:t>
      </w:r>
      <w:bookmarkEnd w:id="931"/>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2189"/>
        <w:gridCol w:w="1530"/>
        <w:gridCol w:w="1350"/>
        <w:gridCol w:w="3330"/>
      </w:tblGrid>
      <w:tr w:rsidR="009125FD" w:rsidRPr="005C5D59" w14:paraId="65F7BE78"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07CD31AF"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 Unit: IRRADIATED</w:t>
            </w:r>
          </w:p>
        </w:tc>
      </w:tr>
      <w:tr w:rsidR="009125FD" w:rsidRPr="005C5D59" w14:paraId="4AB80CA1"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6C52EEC3"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2189" w:type="dxa"/>
            <w:tcBorders>
              <w:left w:val="single" w:sz="4" w:space="0" w:color="000000"/>
              <w:bottom w:val="single" w:sz="4" w:space="0" w:color="000000"/>
              <w:right w:val="single" w:sz="4" w:space="0" w:color="000000"/>
            </w:tcBorders>
            <w:shd w:val="pct25" w:color="auto" w:fill="auto"/>
            <w:vAlign w:val="bottom"/>
            <w:hideMark/>
          </w:tcPr>
          <w:p w14:paraId="449EA1A1"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53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4AB81D2"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3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2A01116"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333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1BC2A86"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2C8135D3"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11C94DF0"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Irradiate</w:t>
            </w:r>
          </w:p>
          <w:p w14:paraId="72BFB4AB"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 xml:space="preserve">Cellular </w:t>
            </w:r>
            <w:r w:rsidRPr="004F6C19">
              <w:rPr>
                <w:rFonts w:ascii="Arial" w:hAnsi="Arial" w:cs="Arial"/>
                <w:b/>
                <w:sz w:val="28"/>
                <w:szCs w:val="28"/>
              </w:rPr>
              <w:br/>
              <w:t>Products</w:t>
            </w:r>
          </w:p>
          <w:p w14:paraId="3F830513" w14:textId="77777777" w:rsidR="009125FD" w:rsidRPr="005C5D59" w:rsidRDefault="009125FD" w:rsidP="009125FD">
            <w:pPr>
              <w:jc w:val="center"/>
              <w:rPr>
                <w:rFonts w:ascii="Arial" w:hAnsi="Arial" w:cs="Arial"/>
                <w:sz w:val="18"/>
                <w:szCs w:val="18"/>
              </w:rPr>
            </w:pPr>
            <w:r w:rsidRPr="004F6C19">
              <w:rPr>
                <w:rFonts w:ascii="Arial" w:hAnsi="Arial" w:cs="Arial"/>
                <w:b/>
                <w:sz w:val="28"/>
                <w:szCs w:val="28"/>
              </w:rPr>
              <w:t>Only</w:t>
            </w:r>
          </w:p>
        </w:tc>
        <w:tc>
          <w:tcPr>
            <w:tcW w:w="2189" w:type="dxa"/>
            <w:tcBorders>
              <w:top w:val="single" w:sz="4" w:space="0" w:color="000000"/>
              <w:left w:val="single" w:sz="4" w:space="0" w:color="000000"/>
              <w:right w:val="single" w:sz="4" w:space="0" w:color="000000"/>
            </w:tcBorders>
            <w:shd w:val="pct10" w:color="auto" w:fill="auto"/>
            <w:vAlign w:val="center"/>
            <w:hideMark/>
          </w:tcPr>
          <w:p w14:paraId="2066749C"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15943BD2"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 </w:t>
            </w:r>
          </w:p>
          <w:p w14:paraId="72C7B523"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727CF559"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530" w:type="dxa"/>
            <w:tcBorders>
              <w:top w:val="single" w:sz="4" w:space="0" w:color="000000"/>
              <w:left w:val="single" w:sz="4" w:space="0" w:color="000000"/>
              <w:right w:val="single" w:sz="4" w:space="0" w:color="000000"/>
            </w:tcBorders>
            <w:shd w:val="pct10" w:color="auto" w:fill="auto"/>
            <w:vAlign w:val="center"/>
            <w:hideMark/>
          </w:tcPr>
          <w:p w14:paraId="3EDD5E6E"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Irradiated</w:t>
            </w:r>
          </w:p>
        </w:tc>
        <w:tc>
          <w:tcPr>
            <w:tcW w:w="1350" w:type="dxa"/>
            <w:tcBorders>
              <w:top w:val="single" w:sz="4" w:space="0" w:color="000000"/>
              <w:left w:val="single" w:sz="4" w:space="0" w:color="000000"/>
              <w:right w:val="single" w:sz="4" w:space="0" w:color="000000"/>
            </w:tcBorders>
            <w:shd w:val="pct10" w:color="auto" w:fill="auto"/>
            <w:vAlign w:val="center"/>
            <w:hideMark/>
          </w:tcPr>
          <w:p w14:paraId="4D7C689E" w14:textId="77777777" w:rsidR="009125FD" w:rsidRPr="005C5D59" w:rsidRDefault="009125FD" w:rsidP="009125FD">
            <w:pPr>
              <w:jc w:val="center"/>
              <w:rPr>
                <w:rFonts w:ascii="Arial" w:hAnsi="Arial" w:cs="Arial"/>
                <w:b/>
                <w:sz w:val="18"/>
                <w:szCs w:val="18"/>
              </w:rPr>
            </w:pPr>
            <w:r w:rsidRPr="00825E94">
              <w:rPr>
                <w:rFonts w:ascii="Arial" w:hAnsi="Arial" w:cs="Arial"/>
                <w:b/>
                <w:sz w:val="18"/>
                <w:szCs w:val="18"/>
              </w:rPr>
              <w:t>ALL VBECS Users</w:t>
            </w:r>
          </w:p>
        </w:tc>
        <w:tc>
          <w:tcPr>
            <w:tcW w:w="3330" w:type="dxa"/>
            <w:tcBorders>
              <w:top w:val="single" w:sz="4" w:space="0" w:color="000000"/>
              <w:left w:val="single" w:sz="4" w:space="0" w:color="000000"/>
              <w:right w:val="single" w:sz="4" w:space="0" w:color="000000"/>
            </w:tcBorders>
            <w:shd w:val="pct10" w:color="auto" w:fill="auto"/>
            <w:vAlign w:val="center"/>
          </w:tcPr>
          <w:p w14:paraId="38C65A41"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146B966B" w14:textId="77777777" w:rsidTr="009125FD">
        <w:trPr>
          <w:cantSplit/>
          <w:trHeight w:val="576"/>
        </w:trPr>
        <w:tc>
          <w:tcPr>
            <w:tcW w:w="1843" w:type="dxa"/>
            <w:vMerge/>
            <w:tcBorders>
              <w:left w:val="single" w:sz="4" w:space="0" w:color="000000"/>
              <w:right w:val="single" w:sz="4" w:space="0" w:color="000000"/>
            </w:tcBorders>
            <w:vAlign w:val="bottom"/>
          </w:tcPr>
          <w:p w14:paraId="73FA9AB1" w14:textId="77777777" w:rsidR="009125FD" w:rsidRPr="005C5D59" w:rsidRDefault="009125FD" w:rsidP="009125FD">
            <w:pPr>
              <w:rPr>
                <w:rFonts w:ascii="Arial" w:hAnsi="Arial" w:cs="Arial"/>
                <w:b/>
                <w:sz w:val="18"/>
                <w:szCs w:val="18"/>
              </w:rPr>
            </w:pPr>
          </w:p>
        </w:tc>
        <w:tc>
          <w:tcPr>
            <w:tcW w:w="2189" w:type="dxa"/>
            <w:tcBorders>
              <w:top w:val="single" w:sz="4" w:space="0" w:color="000000"/>
              <w:left w:val="single" w:sz="4" w:space="0" w:color="000000"/>
              <w:bottom w:val="single" w:sz="4" w:space="0" w:color="000000"/>
              <w:right w:val="single" w:sz="4" w:space="0" w:color="000000"/>
            </w:tcBorders>
            <w:vAlign w:val="center"/>
          </w:tcPr>
          <w:p w14:paraId="700D7D98"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509835D1"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 </w:t>
            </w:r>
          </w:p>
          <w:p w14:paraId="7A5567AB"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3976F5AB"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530" w:type="dxa"/>
            <w:tcBorders>
              <w:top w:val="single" w:sz="4" w:space="0" w:color="000000"/>
              <w:left w:val="single" w:sz="4" w:space="0" w:color="000000"/>
              <w:bottom w:val="single" w:sz="4" w:space="0" w:color="000000"/>
              <w:right w:val="single" w:sz="4" w:space="0" w:color="000000"/>
            </w:tcBorders>
            <w:vAlign w:val="center"/>
          </w:tcPr>
          <w:p w14:paraId="23BB865A"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350" w:type="dxa"/>
            <w:tcBorders>
              <w:top w:val="single" w:sz="4" w:space="0" w:color="000000"/>
              <w:left w:val="single" w:sz="4" w:space="0" w:color="000000"/>
              <w:bottom w:val="single" w:sz="4" w:space="0" w:color="000000"/>
              <w:right w:val="single" w:sz="4" w:space="0" w:color="000000"/>
            </w:tcBorders>
            <w:vAlign w:val="center"/>
          </w:tcPr>
          <w:p w14:paraId="6C1DED61" w14:textId="77777777" w:rsidR="009125FD" w:rsidRPr="005C5D59" w:rsidRDefault="009125FD" w:rsidP="009125FD">
            <w:pPr>
              <w:jc w:val="center"/>
              <w:rPr>
                <w:rFonts w:ascii="Arial" w:hAnsi="Arial" w:cs="Arial"/>
                <w:sz w:val="18"/>
                <w:szCs w:val="18"/>
              </w:rPr>
            </w:pPr>
            <w:r w:rsidRPr="00825E94">
              <w:rPr>
                <w:rFonts w:ascii="Arial" w:hAnsi="Arial" w:cs="Arial"/>
                <w:b/>
                <w:sz w:val="18"/>
                <w:szCs w:val="18"/>
              </w:rPr>
              <w:t>ALL VBECS Users</w:t>
            </w:r>
          </w:p>
        </w:tc>
        <w:tc>
          <w:tcPr>
            <w:tcW w:w="3330" w:type="dxa"/>
            <w:tcBorders>
              <w:top w:val="single" w:sz="4" w:space="0" w:color="000000"/>
              <w:left w:val="single" w:sz="4" w:space="0" w:color="000000"/>
              <w:right w:val="single" w:sz="4" w:space="0" w:color="000000"/>
            </w:tcBorders>
          </w:tcPr>
          <w:p w14:paraId="53289567"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Transfusio</w:t>
            </w:r>
            <w:r>
              <w:rPr>
                <w:rStyle w:val="StyleTableText9ptCharChar"/>
                <w:rFonts w:cs="Arial"/>
              </w:rPr>
              <w:t xml:space="preserve">n Requirement is not satisfied; </w:t>
            </w:r>
            <w:r w:rsidRPr="005C5D59">
              <w:rPr>
                <w:rStyle w:val="StyleTableText9ptCharChar"/>
                <w:rFonts w:cs="Arial"/>
              </w:rPr>
              <w:t xml:space="preserve">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56F8714D"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141F6B7F"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7E7651F2" w14:textId="77777777" w:rsidR="009125FD" w:rsidRDefault="009125FD" w:rsidP="009125FD"/>
    <w:p w14:paraId="1C32B145" w14:textId="6114CC48" w:rsidR="00C15299" w:rsidRDefault="009125FD" w:rsidP="00C15299">
      <w:pPr>
        <w:pStyle w:val="Caption"/>
      </w:pPr>
      <w:r>
        <w:br w:type="page"/>
      </w:r>
      <w:bookmarkStart w:id="932" w:name="_Ref407612064"/>
      <w:bookmarkStart w:id="933" w:name="_Ref343502433"/>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164</w:t>
      </w:r>
      <w:r w:rsidR="004E20BD">
        <w:rPr>
          <w:noProof/>
        </w:rPr>
        <w:fldChar w:fldCharType="end"/>
      </w:r>
      <w:bookmarkEnd w:id="932"/>
      <w:r w:rsidR="00C15299">
        <w:t>: Irradiate Cellular Products Only and Issue Blood Component</w:t>
      </w:r>
      <w:bookmarkEnd w:id="933"/>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7E567714"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5FC75D63" w14:textId="77777777" w:rsidR="009125FD" w:rsidRPr="005C5D59" w:rsidRDefault="009125FD" w:rsidP="009125FD">
            <w:pPr>
              <w:rPr>
                <w:rFonts w:ascii="Arial" w:hAnsi="Arial" w:cs="Arial"/>
                <w:b/>
                <w:sz w:val="18"/>
                <w:szCs w:val="18"/>
              </w:rPr>
            </w:pPr>
            <w:r w:rsidRPr="005C5D59">
              <w:rPr>
                <w:rFonts w:ascii="Arial" w:hAnsi="Arial" w:cs="Arial"/>
                <w:b/>
                <w:sz w:val="18"/>
                <w:szCs w:val="18"/>
              </w:rPr>
              <w:t>Issue Blood Component: IRRADIATED</w:t>
            </w:r>
          </w:p>
        </w:tc>
      </w:tr>
      <w:tr w:rsidR="009125FD" w:rsidRPr="005C5D59" w14:paraId="2735C82E"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56232B7B"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1E47F935"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A3032D5"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361AE148"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0416112"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27970CA7"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554D61FA"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Irradiate</w:t>
            </w:r>
          </w:p>
          <w:p w14:paraId="14B4A8C9"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 xml:space="preserve">Cellular </w:t>
            </w:r>
            <w:r w:rsidRPr="004F6C19">
              <w:rPr>
                <w:rFonts w:ascii="Arial" w:hAnsi="Arial" w:cs="Arial"/>
                <w:b/>
                <w:sz w:val="28"/>
                <w:szCs w:val="28"/>
              </w:rPr>
              <w:br/>
              <w:t>Products</w:t>
            </w:r>
          </w:p>
          <w:p w14:paraId="71BBEF3F" w14:textId="77777777" w:rsidR="009125FD" w:rsidRPr="005C5D59" w:rsidRDefault="009125FD" w:rsidP="009125FD">
            <w:pPr>
              <w:jc w:val="center"/>
              <w:rPr>
                <w:rFonts w:ascii="Arial" w:hAnsi="Arial" w:cs="Arial"/>
                <w:sz w:val="18"/>
                <w:szCs w:val="18"/>
              </w:rPr>
            </w:pPr>
            <w:r w:rsidRPr="004F6C19">
              <w:rPr>
                <w:rFonts w:ascii="Arial" w:hAnsi="Arial" w:cs="Arial"/>
                <w:b/>
                <w:sz w:val="28"/>
                <w:szCs w:val="28"/>
              </w:rPr>
              <w:t>Only</w:t>
            </w:r>
          </w:p>
        </w:tc>
        <w:tc>
          <w:tcPr>
            <w:tcW w:w="1620" w:type="dxa"/>
            <w:tcBorders>
              <w:top w:val="single" w:sz="4" w:space="0" w:color="000000"/>
              <w:left w:val="single" w:sz="4" w:space="0" w:color="000000"/>
              <w:right w:val="single" w:sz="4" w:space="0" w:color="000000"/>
            </w:tcBorders>
            <w:shd w:val="pct10" w:color="auto" w:fill="auto"/>
            <w:vAlign w:val="center"/>
            <w:hideMark/>
          </w:tcPr>
          <w:p w14:paraId="51D647FC"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24947161"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p w14:paraId="6DCE601D"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214A3C7C"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37FF35F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Irradiated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54C530AC"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2BE91352"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1A7E6804" w14:textId="77777777" w:rsidTr="009125FD">
        <w:trPr>
          <w:cantSplit/>
          <w:trHeight w:val="1758"/>
        </w:trPr>
        <w:tc>
          <w:tcPr>
            <w:tcW w:w="1692" w:type="dxa"/>
            <w:vMerge/>
            <w:tcBorders>
              <w:left w:val="single" w:sz="4" w:space="0" w:color="000000"/>
              <w:right w:val="single" w:sz="4" w:space="0" w:color="000000"/>
            </w:tcBorders>
            <w:vAlign w:val="bottom"/>
          </w:tcPr>
          <w:p w14:paraId="68CD30AB"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22D0ED56"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442DAE38"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27817A1B"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2D361688"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vAlign w:val="center"/>
          </w:tcPr>
          <w:p w14:paraId="0F0B2624"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620" w:type="dxa"/>
            <w:tcBorders>
              <w:top w:val="single" w:sz="4" w:space="0" w:color="000000"/>
              <w:left w:val="single" w:sz="4" w:space="0" w:color="000000"/>
              <w:right w:val="single" w:sz="4" w:space="0" w:color="000000"/>
            </w:tcBorders>
            <w:vAlign w:val="center"/>
          </w:tcPr>
          <w:p w14:paraId="39C2F88A" w14:textId="77777777" w:rsidR="009125FD" w:rsidRPr="0081278B" w:rsidRDefault="009125FD" w:rsidP="009125FD">
            <w:pPr>
              <w:ind w:left="18"/>
              <w:rPr>
                <w:rFonts w:ascii="Arial" w:hAnsi="Arial" w:cs="Arial"/>
                <w:sz w:val="18"/>
                <w:szCs w:val="18"/>
              </w:rPr>
            </w:pPr>
            <w:r w:rsidRPr="0081278B">
              <w:rPr>
                <w:rFonts w:ascii="Arial" w:hAnsi="Arial" w:cs="Arial"/>
                <w:noProof/>
                <w:sz w:val="18"/>
                <w:szCs w:val="18"/>
              </w:rPr>
              <w:t>Technologist</w:t>
            </w:r>
          </w:p>
          <w:p w14:paraId="07C58839" w14:textId="77777777" w:rsidR="009125FD" w:rsidRPr="00836EE2" w:rsidRDefault="009125FD" w:rsidP="009125FD">
            <w:pPr>
              <w:ind w:left="18"/>
              <w:jc w:val="center"/>
              <w:rPr>
                <w:rFonts w:ascii="Arial" w:hAnsi="Arial" w:cs="Arial"/>
                <w:sz w:val="18"/>
                <w:szCs w:val="18"/>
              </w:rPr>
            </w:pPr>
          </w:p>
          <w:p w14:paraId="4007AE20" w14:textId="77777777" w:rsidR="009125FD" w:rsidRPr="0081278B" w:rsidRDefault="009125FD" w:rsidP="009125FD">
            <w:pPr>
              <w:ind w:left="18"/>
              <w:rPr>
                <w:rFonts w:ascii="Arial" w:hAnsi="Arial" w:cs="Arial"/>
                <w:noProof/>
                <w:sz w:val="18"/>
                <w:szCs w:val="18"/>
              </w:rPr>
            </w:pPr>
            <w:r w:rsidRPr="0081278B">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01AFDD0B"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2BF9330"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54F4FE60" w14:textId="77777777" w:rsidTr="009125FD">
        <w:trPr>
          <w:cantSplit/>
          <w:trHeight w:val="2343"/>
        </w:trPr>
        <w:tc>
          <w:tcPr>
            <w:tcW w:w="1692" w:type="dxa"/>
            <w:vMerge/>
            <w:tcBorders>
              <w:left w:val="single" w:sz="4" w:space="0" w:color="000000"/>
              <w:right w:val="single" w:sz="4" w:space="0" w:color="000000"/>
            </w:tcBorders>
            <w:vAlign w:val="bottom"/>
          </w:tcPr>
          <w:p w14:paraId="7E69282F"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23377EE6"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230BFFB8"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1E5DF83C"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1608C6BA"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vAlign w:val="center"/>
          </w:tcPr>
          <w:p w14:paraId="69BC987F"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620" w:type="dxa"/>
            <w:tcBorders>
              <w:top w:val="single" w:sz="4" w:space="0" w:color="000000"/>
              <w:left w:val="single" w:sz="4" w:space="0" w:color="000000"/>
              <w:right w:val="single" w:sz="4" w:space="0" w:color="000000"/>
            </w:tcBorders>
            <w:vAlign w:val="center"/>
          </w:tcPr>
          <w:p w14:paraId="0333328E"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Lead Technologist</w:t>
            </w:r>
          </w:p>
          <w:p w14:paraId="5E273312"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Traditional Supervisor</w:t>
            </w:r>
          </w:p>
          <w:p w14:paraId="20DF304E"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Enhanced Supervisor</w:t>
            </w:r>
          </w:p>
          <w:p w14:paraId="2D4CE6FF"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Administrator/Supervisor</w:t>
            </w:r>
          </w:p>
          <w:p w14:paraId="7A468320"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7E214F31"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Irradiate Cellular Products Only Transfusion Requirement is not satisfied</w:t>
            </w:r>
            <w:r w:rsidRPr="005C5D59">
              <w:rPr>
                <w:rFonts w:ascii="Arial" w:hAnsi="Arial" w:cs="Arial"/>
                <w:sz w:val="18"/>
                <w:szCs w:val="18"/>
              </w:rPr>
              <w:t xml:space="preserve"> and prompts the user whether to proceed. </w:t>
            </w:r>
          </w:p>
          <w:p w14:paraId="5EE812A5"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082029EC" w14:textId="33F7E9F4"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 xml:space="preserve">on details for </w:t>
            </w:r>
            <w:r w:rsidR="00AE3B37">
              <w:rPr>
                <w:rFonts w:ascii="Arial" w:hAnsi="Arial" w:cs="Arial"/>
                <w:sz w:val="18"/>
                <w:szCs w:val="18"/>
              </w:rPr>
              <w:t>inclusion in</w:t>
            </w:r>
            <w:r>
              <w:rPr>
                <w:rFonts w:ascii="Arial" w:hAnsi="Arial" w:cs="Arial"/>
                <w:sz w:val="18"/>
                <w:szCs w:val="18"/>
              </w:rPr>
              <w:t xml:space="preserve">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Pr>
                <w:rFonts w:ascii="Arial" w:hAnsi="Arial" w:cs="Arial"/>
                <w:sz w:val="18"/>
                <w:szCs w:val="18"/>
              </w:rPr>
              <w:t>.</w:t>
            </w:r>
          </w:p>
        </w:tc>
      </w:tr>
    </w:tbl>
    <w:p w14:paraId="55CF9931" w14:textId="77777777" w:rsidR="009125FD" w:rsidRPr="000B5AC8" w:rsidRDefault="009125FD" w:rsidP="009125FD"/>
    <w:p w14:paraId="1834D15B" w14:textId="4B801498" w:rsidR="00C15299" w:rsidRDefault="009125FD" w:rsidP="00C15299">
      <w:pPr>
        <w:pStyle w:val="Caption"/>
      </w:pPr>
      <w:r>
        <w:br w:type="page"/>
      </w:r>
      <w:bookmarkStart w:id="934" w:name="_Ref407612076"/>
      <w:bookmarkStart w:id="935" w:name="_Ref343502457"/>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165</w:t>
      </w:r>
      <w:r w:rsidR="004E20BD">
        <w:rPr>
          <w:noProof/>
        </w:rPr>
        <w:fldChar w:fldCharType="end"/>
      </w:r>
      <w:bookmarkEnd w:id="934"/>
      <w:r w:rsidR="00C15299">
        <w:t>: Leuko-reduce Cellular Products and Select Blood Unit</w:t>
      </w:r>
      <w:bookmarkEnd w:id="935"/>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4F9CBE01"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3D5060C2"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sidRPr="00996892">
              <w:rPr>
                <w:rFonts w:ascii="Arial" w:hAnsi="Arial" w:cs="Arial"/>
                <w:b/>
                <w:sz w:val="18"/>
                <w:szCs w:val="18"/>
              </w:rPr>
              <w:t>Leuko-reduce</w:t>
            </w:r>
            <w:r>
              <w:rPr>
                <w:rFonts w:ascii="Arial" w:hAnsi="Arial" w:cs="Arial"/>
                <w:b/>
                <w:sz w:val="18"/>
                <w:szCs w:val="18"/>
              </w:rPr>
              <w:t xml:space="preserve"> Cellular Products</w:t>
            </w:r>
          </w:p>
        </w:tc>
      </w:tr>
      <w:tr w:rsidR="009125FD" w:rsidRPr="005C5D59" w14:paraId="35BE6EA8"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4B3209CC"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59AEC45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0AFAA75"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E2B045A"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352ACDD"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35C6CE1"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5A7EABC" w14:textId="77777777" w:rsidR="009125FD" w:rsidRPr="00A92752" w:rsidRDefault="009125FD" w:rsidP="009125FD">
            <w:pPr>
              <w:jc w:val="center"/>
              <w:rPr>
                <w:rFonts w:ascii="Arial" w:hAnsi="Arial" w:cs="Arial"/>
                <w:b/>
                <w:sz w:val="28"/>
                <w:szCs w:val="28"/>
              </w:rPr>
            </w:pPr>
            <w:r w:rsidRPr="00A92752">
              <w:rPr>
                <w:rFonts w:ascii="Arial" w:hAnsi="Arial" w:cs="Arial"/>
                <w:b/>
                <w:sz w:val="28"/>
                <w:szCs w:val="28"/>
              </w:rPr>
              <w:t>Leuko-reduce Cellular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75E527FA"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 xml:space="preserve">RED BLOOD CELLS   </w:t>
            </w:r>
          </w:p>
          <w:p w14:paraId="733BA16C"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WHOLE BLOOD</w:t>
            </w:r>
          </w:p>
          <w:p w14:paraId="51AC92F6"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 xml:space="preserve"> 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648EC267" w14:textId="77777777" w:rsidR="009125FD" w:rsidRPr="00052726" w:rsidRDefault="009125FD" w:rsidP="009125FD">
            <w:pPr>
              <w:jc w:val="center"/>
              <w:rPr>
                <w:rFonts w:ascii="Arial" w:hAnsi="Arial" w:cs="Arial"/>
                <w:b/>
                <w:sz w:val="18"/>
                <w:szCs w:val="18"/>
              </w:rPr>
            </w:pPr>
            <w:r w:rsidRPr="00052726">
              <w:rPr>
                <w:rFonts w:ascii="Arial" w:hAnsi="Arial" w:cs="Arial"/>
                <w:sz w:val="18"/>
                <w:szCs w:val="18"/>
              </w:rPr>
              <w:t>Leuko-reduced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53C4DDDB"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427FFEBD"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No warning message will display.</w:t>
            </w:r>
          </w:p>
        </w:tc>
      </w:tr>
      <w:tr w:rsidR="009125FD" w:rsidRPr="005C5D59" w14:paraId="01AB8FF7" w14:textId="77777777" w:rsidTr="009125FD">
        <w:trPr>
          <w:cantSplit/>
          <w:trHeight w:val="1983"/>
        </w:trPr>
        <w:tc>
          <w:tcPr>
            <w:tcW w:w="1692" w:type="dxa"/>
            <w:vMerge/>
            <w:tcBorders>
              <w:left w:val="single" w:sz="4" w:space="0" w:color="000000"/>
              <w:right w:val="single" w:sz="4" w:space="0" w:color="000000"/>
            </w:tcBorders>
            <w:vAlign w:val="bottom"/>
          </w:tcPr>
          <w:p w14:paraId="4BC9D3DF"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18D1ED94"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RED BLOOD CELLS</w:t>
            </w:r>
          </w:p>
          <w:p w14:paraId="4893F8E4"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WHOLE BLOOD</w:t>
            </w:r>
          </w:p>
          <w:p w14:paraId="6FC03085"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B125B86" w14:textId="77777777" w:rsidR="009125FD" w:rsidRPr="00052726" w:rsidRDefault="009125FD" w:rsidP="009125FD">
            <w:pPr>
              <w:jc w:val="center"/>
              <w:rPr>
                <w:rFonts w:ascii="Arial" w:hAnsi="Arial" w:cs="Arial"/>
                <w:b/>
                <w:color w:val="FF0000"/>
                <w:sz w:val="18"/>
                <w:szCs w:val="18"/>
              </w:rPr>
            </w:pPr>
            <w:r w:rsidRPr="00052726">
              <w:rPr>
                <w:rFonts w:ascii="Arial" w:hAnsi="Arial" w:cs="Arial"/>
                <w:b/>
                <w:color w:val="FF0000"/>
                <w:sz w:val="18"/>
                <w:szCs w:val="18"/>
              </w:rPr>
              <w:t>Not  Leuko-reduced</w:t>
            </w:r>
          </w:p>
          <w:p w14:paraId="4A4DEB3C" w14:textId="77777777" w:rsidR="009125FD" w:rsidRPr="00052726" w:rsidRDefault="009125FD" w:rsidP="009125FD">
            <w:pPr>
              <w:rPr>
                <w:rFonts w:ascii="Arial" w:hAnsi="Arial" w:cs="Arial"/>
                <w:b/>
                <w:color w:val="FF0000"/>
                <w:sz w:val="18"/>
                <w:szCs w:val="18"/>
              </w:rPr>
            </w:pPr>
          </w:p>
        </w:tc>
        <w:tc>
          <w:tcPr>
            <w:tcW w:w="1620" w:type="dxa"/>
            <w:tcBorders>
              <w:top w:val="single" w:sz="4" w:space="0" w:color="000000"/>
              <w:left w:val="single" w:sz="4" w:space="0" w:color="000000"/>
              <w:right w:val="single" w:sz="4" w:space="0" w:color="000000"/>
            </w:tcBorders>
            <w:vAlign w:val="center"/>
          </w:tcPr>
          <w:p w14:paraId="2A46488C"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vAlign w:val="bottom"/>
          </w:tcPr>
          <w:p w14:paraId="6559DDFA" w14:textId="77777777" w:rsidR="009125FD" w:rsidRPr="00052726" w:rsidRDefault="009125FD" w:rsidP="009125FD">
            <w:pPr>
              <w:pStyle w:val="TableText"/>
              <w:spacing w:before="120"/>
              <w:rPr>
                <w:rStyle w:val="StyleTableText9ptCharChar"/>
                <w:rFonts w:cs="Arial"/>
                <w:i/>
                <w:szCs w:val="18"/>
              </w:rPr>
            </w:pPr>
            <w:r w:rsidRPr="00052726">
              <w:rPr>
                <w:rStyle w:val="StyleTableText9ptCharChar"/>
                <w:rFonts w:cs="Arial"/>
                <w:szCs w:val="18"/>
              </w:rPr>
              <w:t xml:space="preserve">The Transfusion Requirement is not satisfied; the system emits an audible alert and displays a warning message: </w:t>
            </w:r>
            <w:r w:rsidRPr="00052726">
              <w:rPr>
                <w:rStyle w:val="StyleTableText9ptCharChar"/>
                <w:rFonts w:cs="Arial"/>
                <w:i/>
                <w:szCs w:val="18"/>
              </w:rPr>
              <w:t>This unit does not currently satisfy all of the patient’s Transfusion Requirements. Further processing is needed. Continue to select this unit?</w:t>
            </w:r>
          </w:p>
          <w:p w14:paraId="43A5A5B9" w14:textId="77777777" w:rsidR="009125FD" w:rsidRPr="00052726" w:rsidRDefault="009125FD" w:rsidP="009125FD">
            <w:pPr>
              <w:pStyle w:val="TableText"/>
              <w:rPr>
                <w:rStyle w:val="StyleTableText9ptCharChar"/>
                <w:rFonts w:cs="Arial"/>
                <w:szCs w:val="18"/>
              </w:rPr>
            </w:pPr>
            <w:r w:rsidRPr="00052726">
              <w:rPr>
                <w:rStyle w:val="StyleTableText9ptCharChar"/>
                <w:rFonts w:cs="Arial"/>
                <w:szCs w:val="18"/>
              </w:rPr>
              <w:t>If the user clicks “No,” the screen is cleared.</w:t>
            </w:r>
          </w:p>
          <w:p w14:paraId="44D3853F" w14:textId="77777777" w:rsidR="009125FD" w:rsidRPr="00052726" w:rsidRDefault="009125FD" w:rsidP="009125FD">
            <w:pPr>
              <w:pStyle w:val="TableText"/>
              <w:rPr>
                <w:rFonts w:cs="Arial"/>
                <w:noProof/>
                <w:szCs w:val="18"/>
              </w:rPr>
            </w:pPr>
            <w:r w:rsidRPr="00052726">
              <w:rPr>
                <w:rStyle w:val="StyleTableText9ptCharChar"/>
                <w:rFonts w:cs="Arial"/>
                <w:szCs w:val="18"/>
              </w:rPr>
              <w:t>If the user clicks “Yes,” selection can continue to select the unit.</w:t>
            </w:r>
          </w:p>
        </w:tc>
      </w:tr>
    </w:tbl>
    <w:p w14:paraId="2DBEB48C" w14:textId="77777777" w:rsidR="009125FD" w:rsidRDefault="009125FD" w:rsidP="009125FD">
      <w:pPr>
        <w:spacing w:after="200" w:line="276" w:lineRule="auto"/>
        <w:rPr>
          <w:b/>
          <w:bCs/>
          <w:sz w:val="18"/>
          <w:szCs w:val="18"/>
        </w:rPr>
      </w:pPr>
    </w:p>
    <w:p w14:paraId="08213316" w14:textId="1A23E171" w:rsidR="00C15299" w:rsidRDefault="00C15299" w:rsidP="00C15299">
      <w:pPr>
        <w:pStyle w:val="Caption"/>
      </w:pPr>
      <w:bookmarkStart w:id="936" w:name="_Ref407612094"/>
      <w:bookmarkStart w:id="937" w:name="_Ref34350248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166</w:t>
      </w:r>
      <w:r w:rsidR="004E20BD">
        <w:rPr>
          <w:noProof/>
        </w:rPr>
        <w:fldChar w:fldCharType="end"/>
      </w:r>
      <w:bookmarkEnd w:id="936"/>
      <w:r>
        <w:t>: Leuko-reduce Cellular Products and Issue Blood Component</w:t>
      </w:r>
      <w:bookmarkEnd w:id="937"/>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4024AAEA"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7CB17D66"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871BF2">
              <w:rPr>
                <w:rFonts w:ascii="Arial" w:hAnsi="Arial" w:cs="Arial"/>
                <w:b/>
                <w:sz w:val="20"/>
                <w:szCs w:val="20"/>
              </w:rPr>
              <w:t>Leuko-reduce Cellular Products</w:t>
            </w:r>
          </w:p>
        </w:tc>
      </w:tr>
      <w:tr w:rsidR="009125FD" w:rsidRPr="005C5D59" w14:paraId="1F028434"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59BDAC65"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5C8B9347"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19DFCE8"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4FC429F"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C94AECB"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7E1E632F" w14:textId="77777777" w:rsidTr="009125FD">
        <w:trPr>
          <w:cantSplit/>
          <w:trHeight w:val="1302"/>
        </w:trPr>
        <w:tc>
          <w:tcPr>
            <w:tcW w:w="1692" w:type="dxa"/>
            <w:vMerge w:val="restart"/>
            <w:tcBorders>
              <w:top w:val="single" w:sz="4" w:space="0" w:color="000000"/>
              <w:left w:val="single" w:sz="4" w:space="0" w:color="000000"/>
              <w:right w:val="single" w:sz="4" w:space="0" w:color="000000"/>
            </w:tcBorders>
            <w:vAlign w:val="center"/>
            <w:hideMark/>
          </w:tcPr>
          <w:p w14:paraId="3E968C71" w14:textId="77777777" w:rsidR="009125FD" w:rsidRPr="00A92752" w:rsidRDefault="009125FD" w:rsidP="009125FD">
            <w:pPr>
              <w:jc w:val="center"/>
              <w:rPr>
                <w:rFonts w:ascii="Arial" w:hAnsi="Arial" w:cs="Arial"/>
                <w:sz w:val="28"/>
                <w:szCs w:val="28"/>
              </w:rPr>
            </w:pPr>
            <w:r w:rsidRPr="00A92752">
              <w:rPr>
                <w:rFonts w:ascii="Arial" w:hAnsi="Arial" w:cs="Arial"/>
                <w:b/>
                <w:sz w:val="28"/>
                <w:szCs w:val="28"/>
              </w:rPr>
              <w:t>Leuko-reduce Cellular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3096A4D1"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1E3DB0A2"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WHOLE BLOOD </w:t>
            </w:r>
          </w:p>
          <w:p w14:paraId="3FADEE00"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p w14:paraId="0E9043DB"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4F87D178"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Leuko-reduced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87BC92E"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2FE1A25C"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061FFBA8" w14:textId="77777777" w:rsidTr="009125FD">
        <w:trPr>
          <w:cantSplit/>
          <w:trHeight w:val="1379"/>
        </w:trPr>
        <w:tc>
          <w:tcPr>
            <w:tcW w:w="1692" w:type="dxa"/>
            <w:vMerge/>
            <w:tcBorders>
              <w:left w:val="single" w:sz="4" w:space="0" w:color="000000"/>
              <w:right w:val="single" w:sz="4" w:space="0" w:color="000000"/>
            </w:tcBorders>
            <w:vAlign w:val="bottom"/>
          </w:tcPr>
          <w:p w14:paraId="6ECFF204"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3A846BAE"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0523BF2B"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WHOLE BLOOD</w:t>
            </w:r>
          </w:p>
          <w:p w14:paraId="476976A3"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3F936E3" w14:textId="77777777" w:rsidR="009125FD" w:rsidRPr="005C5D59" w:rsidRDefault="009125FD" w:rsidP="009125FD">
            <w:pPr>
              <w:jc w:val="center"/>
              <w:rPr>
                <w:rFonts w:ascii="Arial" w:hAnsi="Arial" w:cs="Arial"/>
                <w:color w:val="FF0000"/>
                <w:sz w:val="18"/>
                <w:szCs w:val="18"/>
              </w:rPr>
            </w:pPr>
            <w:r w:rsidRPr="00871BF2">
              <w:rPr>
                <w:rFonts w:ascii="Arial" w:hAnsi="Arial" w:cs="Arial"/>
                <w:b/>
                <w:color w:val="FF0000"/>
                <w:sz w:val="18"/>
                <w:szCs w:val="18"/>
              </w:rPr>
              <w:t>Not  Leuko-reduced</w:t>
            </w:r>
          </w:p>
        </w:tc>
        <w:tc>
          <w:tcPr>
            <w:tcW w:w="1620" w:type="dxa"/>
            <w:tcBorders>
              <w:top w:val="single" w:sz="4" w:space="0" w:color="000000"/>
              <w:left w:val="single" w:sz="4" w:space="0" w:color="000000"/>
              <w:right w:val="single" w:sz="4" w:space="0" w:color="000000"/>
            </w:tcBorders>
            <w:vAlign w:val="center"/>
          </w:tcPr>
          <w:p w14:paraId="7ABB7CFA" w14:textId="77777777" w:rsidR="009125FD" w:rsidRPr="00A92752" w:rsidRDefault="009125FD" w:rsidP="009125FD">
            <w:pPr>
              <w:ind w:left="18"/>
              <w:rPr>
                <w:rFonts w:ascii="Arial" w:hAnsi="Arial" w:cs="Arial"/>
                <w:sz w:val="18"/>
                <w:szCs w:val="18"/>
              </w:rPr>
            </w:pPr>
            <w:r w:rsidRPr="00A92752">
              <w:rPr>
                <w:rFonts w:ascii="Arial" w:hAnsi="Arial" w:cs="Arial"/>
                <w:noProof/>
                <w:sz w:val="18"/>
                <w:szCs w:val="18"/>
              </w:rPr>
              <w:t>Technologist</w:t>
            </w:r>
          </w:p>
          <w:p w14:paraId="05B66CD9" w14:textId="77777777" w:rsidR="009125FD" w:rsidRPr="00836EE2" w:rsidRDefault="009125FD" w:rsidP="009125FD">
            <w:pPr>
              <w:ind w:left="18"/>
              <w:rPr>
                <w:rFonts w:ascii="Arial" w:hAnsi="Arial" w:cs="Arial"/>
                <w:sz w:val="18"/>
                <w:szCs w:val="18"/>
              </w:rPr>
            </w:pPr>
          </w:p>
          <w:p w14:paraId="427A7535" w14:textId="77777777" w:rsidR="009125FD" w:rsidRPr="00A92752" w:rsidRDefault="009125FD" w:rsidP="009125FD">
            <w:pPr>
              <w:ind w:left="18"/>
              <w:rPr>
                <w:rFonts w:ascii="Arial" w:hAnsi="Arial" w:cs="Arial"/>
                <w:noProof/>
                <w:sz w:val="18"/>
                <w:szCs w:val="18"/>
              </w:rPr>
            </w:pPr>
            <w:r w:rsidRPr="00A92752">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6EEF4AD1"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6D162896"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76E0ECE6" w14:textId="77777777" w:rsidTr="009125FD">
        <w:trPr>
          <w:cantSplit/>
          <w:trHeight w:val="2343"/>
        </w:trPr>
        <w:tc>
          <w:tcPr>
            <w:tcW w:w="1692" w:type="dxa"/>
            <w:vMerge/>
            <w:tcBorders>
              <w:left w:val="single" w:sz="4" w:space="0" w:color="000000"/>
              <w:right w:val="single" w:sz="4" w:space="0" w:color="000000"/>
            </w:tcBorders>
            <w:vAlign w:val="bottom"/>
          </w:tcPr>
          <w:p w14:paraId="14060492"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45EA12C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3FDF4FE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WHOLE BLOOD</w:t>
            </w:r>
          </w:p>
          <w:p w14:paraId="75095B8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030971F6" w14:textId="77777777" w:rsidR="009125FD" w:rsidRPr="005C5D59" w:rsidRDefault="009125FD" w:rsidP="009125FD">
            <w:pPr>
              <w:jc w:val="center"/>
              <w:rPr>
                <w:rFonts w:ascii="Arial" w:hAnsi="Arial" w:cs="Arial"/>
                <w:color w:val="FF0000"/>
                <w:sz w:val="18"/>
                <w:szCs w:val="18"/>
              </w:rPr>
            </w:pPr>
            <w:r w:rsidRPr="00871BF2">
              <w:rPr>
                <w:rFonts w:ascii="Arial" w:hAnsi="Arial" w:cs="Arial"/>
                <w:b/>
                <w:color w:val="FF0000"/>
                <w:sz w:val="18"/>
                <w:szCs w:val="18"/>
              </w:rPr>
              <w:t>Not  Leuko-reduced</w:t>
            </w:r>
          </w:p>
        </w:tc>
        <w:tc>
          <w:tcPr>
            <w:tcW w:w="1620" w:type="dxa"/>
            <w:tcBorders>
              <w:top w:val="single" w:sz="4" w:space="0" w:color="000000"/>
              <w:left w:val="single" w:sz="4" w:space="0" w:color="000000"/>
              <w:right w:val="single" w:sz="4" w:space="0" w:color="000000"/>
            </w:tcBorders>
            <w:vAlign w:val="center"/>
          </w:tcPr>
          <w:p w14:paraId="1C65A018"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Lead Technologist</w:t>
            </w:r>
          </w:p>
          <w:p w14:paraId="01BB7544"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Traditional Supervisor</w:t>
            </w:r>
          </w:p>
          <w:p w14:paraId="0F8E7332"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Enhanced Supervisor</w:t>
            </w:r>
          </w:p>
          <w:p w14:paraId="66E5EF33"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Administrator/Supervisor</w:t>
            </w:r>
          </w:p>
          <w:p w14:paraId="1E16648D"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5C1C33B6"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2A405A">
              <w:rPr>
                <w:rFonts w:ascii="Arial" w:hAnsi="Arial" w:cs="Arial"/>
                <w:i/>
                <w:sz w:val="18"/>
                <w:szCs w:val="18"/>
              </w:rPr>
              <w:t xml:space="preserve">Patient’s Leuko-reduce Cellular Products </w:t>
            </w:r>
            <w:r w:rsidRPr="00836EE2">
              <w:rPr>
                <w:rFonts w:ascii="Arial" w:hAnsi="Arial" w:cs="Arial"/>
                <w:i/>
                <w:sz w:val="18"/>
                <w:szCs w:val="18"/>
              </w:rPr>
              <w:t>Transfusion Requirement is not satisfied</w:t>
            </w:r>
            <w:r w:rsidRPr="005C5D59">
              <w:rPr>
                <w:rFonts w:ascii="Arial" w:hAnsi="Arial" w:cs="Arial"/>
                <w:sz w:val="18"/>
                <w:szCs w:val="18"/>
              </w:rPr>
              <w:t xml:space="preserve"> and prompts the user whether to proceed. </w:t>
            </w:r>
          </w:p>
          <w:p w14:paraId="40F8B9B0"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20F87659" w14:textId="61C13907" w:rsidR="009125FD" w:rsidRPr="005C5D59" w:rsidRDefault="009125FD" w:rsidP="009125FD">
            <w:pPr>
              <w:rPr>
                <w:rFonts w:ascii="Arial" w:hAnsi="Arial" w:cs="Arial"/>
                <w:sz w:val="18"/>
                <w:szCs w:val="18"/>
              </w:rPr>
            </w:pPr>
            <w:r>
              <w:rPr>
                <w:rFonts w:ascii="Arial" w:hAnsi="Arial" w:cs="Arial"/>
                <w:sz w:val="18"/>
                <w:szCs w:val="18"/>
              </w:rPr>
              <w:t>If the user responds “Yes”,</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2DED3914" w14:textId="77777777" w:rsidR="009125FD" w:rsidRDefault="009125FD" w:rsidP="009125FD"/>
    <w:p w14:paraId="00B3821F" w14:textId="6ABD1A6C" w:rsidR="00C15299" w:rsidRDefault="00C15299" w:rsidP="00C15299">
      <w:pPr>
        <w:pStyle w:val="Caption"/>
      </w:pPr>
      <w:bookmarkStart w:id="938" w:name="_Ref407610736"/>
      <w:bookmarkStart w:id="939" w:name="_Ref34350250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167</w:t>
      </w:r>
      <w:r w:rsidR="004E20BD">
        <w:rPr>
          <w:noProof/>
        </w:rPr>
        <w:fldChar w:fldCharType="end"/>
      </w:r>
      <w:bookmarkEnd w:id="938"/>
      <w:r>
        <w:t>: Washed Red Blood Cell (RBC) Products and Select Blood Unit</w:t>
      </w:r>
      <w:bookmarkEnd w:id="939"/>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13DBE092"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0193882D"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sidRPr="00B62010">
              <w:rPr>
                <w:rFonts w:ascii="Arial" w:hAnsi="Arial" w:cs="Arial"/>
                <w:b/>
                <w:sz w:val="18"/>
                <w:szCs w:val="18"/>
              </w:rPr>
              <w:t xml:space="preserve"> Washed R</w:t>
            </w:r>
            <w:r>
              <w:rPr>
                <w:rFonts w:ascii="Arial" w:hAnsi="Arial" w:cs="Arial"/>
                <w:b/>
                <w:sz w:val="18"/>
                <w:szCs w:val="18"/>
              </w:rPr>
              <w:t xml:space="preserve">ed </w:t>
            </w:r>
            <w:r w:rsidRPr="00B62010">
              <w:rPr>
                <w:rFonts w:ascii="Arial" w:hAnsi="Arial" w:cs="Arial"/>
                <w:b/>
                <w:sz w:val="18"/>
                <w:szCs w:val="18"/>
              </w:rPr>
              <w:t>B</w:t>
            </w:r>
            <w:r>
              <w:rPr>
                <w:rFonts w:ascii="Arial" w:hAnsi="Arial" w:cs="Arial"/>
                <w:b/>
                <w:sz w:val="18"/>
                <w:szCs w:val="18"/>
              </w:rPr>
              <w:t xml:space="preserve">lood </w:t>
            </w:r>
            <w:r w:rsidRPr="00B62010">
              <w:rPr>
                <w:rFonts w:ascii="Arial" w:hAnsi="Arial" w:cs="Arial"/>
                <w:b/>
                <w:sz w:val="18"/>
                <w:szCs w:val="18"/>
              </w:rPr>
              <w:t>C</w:t>
            </w:r>
            <w:r>
              <w:rPr>
                <w:rFonts w:ascii="Arial" w:hAnsi="Arial" w:cs="Arial"/>
                <w:b/>
                <w:sz w:val="18"/>
                <w:szCs w:val="18"/>
              </w:rPr>
              <w:t>ell (RBC)</w:t>
            </w:r>
            <w:r w:rsidRPr="00B62010">
              <w:rPr>
                <w:rFonts w:ascii="Arial" w:hAnsi="Arial" w:cs="Arial"/>
                <w:b/>
                <w:sz w:val="18"/>
                <w:szCs w:val="18"/>
              </w:rPr>
              <w:t xml:space="preserve"> products</w:t>
            </w:r>
          </w:p>
        </w:tc>
      </w:tr>
      <w:tr w:rsidR="009125FD" w:rsidRPr="005C5D59" w14:paraId="09464BB7"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7543052E"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272AB9D9"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D288CEE"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7B34ACD"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44940C4"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086D5D5"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8D35AE8" w14:textId="77777777" w:rsidR="009125FD" w:rsidRPr="00A92752" w:rsidRDefault="009125FD" w:rsidP="009125FD">
            <w:pPr>
              <w:jc w:val="center"/>
              <w:rPr>
                <w:rFonts w:ascii="Arial" w:hAnsi="Arial" w:cs="Arial"/>
                <w:b/>
                <w:sz w:val="28"/>
                <w:szCs w:val="28"/>
              </w:rPr>
            </w:pPr>
            <w:r w:rsidRPr="00A92752">
              <w:rPr>
                <w:rFonts w:ascii="Arial" w:hAnsi="Arial" w:cs="Arial"/>
                <w:b/>
                <w:sz w:val="28"/>
                <w:szCs w:val="28"/>
              </w:rPr>
              <w:t>Washed RBC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0F5375AA"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0FD5A625"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tc>
        <w:tc>
          <w:tcPr>
            <w:tcW w:w="1260" w:type="dxa"/>
            <w:tcBorders>
              <w:top w:val="single" w:sz="4" w:space="0" w:color="000000"/>
              <w:left w:val="single" w:sz="4" w:space="0" w:color="000000"/>
              <w:right w:val="single" w:sz="4" w:space="0" w:color="000000"/>
            </w:tcBorders>
            <w:shd w:val="pct10" w:color="auto" w:fill="auto"/>
            <w:vAlign w:val="center"/>
            <w:hideMark/>
          </w:tcPr>
          <w:p w14:paraId="12539370"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B4BF9CB"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CBAACE0"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490ABF8" w14:textId="77777777" w:rsidTr="009125FD">
        <w:trPr>
          <w:cantSplit/>
          <w:trHeight w:val="1008"/>
        </w:trPr>
        <w:tc>
          <w:tcPr>
            <w:tcW w:w="1692" w:type="dxa"/>
            <w:vMerge/>
            <w:tcBorders>
              <w:left w:val="single" w:sz="4" w:space="0" w:color="000000"/>
              <w:right w:val="single" w:sz="4" w:space="0" w:color="000000"/>
            </w:tcBorders>
            <w:vAlign w:val="bottom"/>
          </w:tcPr>
          <w:p w14:paraId="0FC618A9"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3DACBB6D"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269F08A2" w14:textId="77777777" w:rsidR="009125FD" w:rsidRDefault="009125FD" w:rsidP="009125FD">
            <w:pPr>
              <w:jc w:val="center"/>
              <w:rPr>
                <w:rFonts w:ascii="Arial" w:hAnsi="Arial" w:cs="Arial"/>
                <w:sz w:val="18"/>
                <w:szCs w:val="18"/>
              </w:rPr>
            </w:pPr>
          </w:p>
          <w:p w14:paraId="3E1B05FE"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2DC1C4A1"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bottom w:val="single" w:sz="4" w:space="0" w:color="000000"/>
              <w:right w:val="single" w:sz="4" w:space="0" w:color="000000"/>
            </w:tcBorders>
            <w:vAlign w:val="center"/>
          </w:tcPr>
          <w:p w14:paraId="7DA128C7"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tcPr>
          <w:p w14:paraId="2AA667C2"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4CE754EB"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1B1943C"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6D2231B1" w14:textId="77777777" w:rsidR="009125FD" w:rsidRDefault="009125FD" w:rsidP="009125FD"/>
    <w:p w14:paraId="53D94305" w14:textId="10609417" w:rsidR="00C15299" w:rsidRDefault="00C15299" w:rsidP="00C15299">
      <w:pPr>
        <w:pStyle w:val="Caption"/>
      </w:pPr>
      <w:bookmarkStart w:id="940" w:name="_Ref407610749"/>
      <w:bookmarkStart w:id="941" w:name="_Ref34350252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168</w:t>
      </w:r>
      <w:r w:rsidR="004E20BD">
        <w:rPr>
          <w:noProof/>
        </w:rPr>
        <w:fldChar w:fldCharType="end"/>
      </w:r>
      <w:bookmarkEnd w:id="940"/>
      <w:r>
        <w:t>: Washed Red Blood Cell (RBC) Products and Issue Blood Component</w:t>
      </w:r>
      <w:bookmarkEnd w:id="941"/>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2BDC3A16"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50ECEA10"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B62010">
              <w:rPr>
                <w:rFonts w:ascii="Arial" w:hAnsi="Arial" w:cs="Arial"/>
                <w:b/>
                <w:sz w:val="18"/>
                <w:szCs w:val="18"/>
              </w:rPr>
              <w:t>Washed RBC products</w:t>
            </w:r>
          </w:p>
        </w:tc>
      </w:tr>
      <w:tr w:rsidR="009125FD" w:rsidRPr="005C5D59" w14:paraId="0A4051F5"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3AAD2267"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1F0D9D0A"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84E5761"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07B20C5"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EA4FB10"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596B14B5"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094DFDF" w14:textId="77777777" w:rsidR="009125FD" w:rsidRPr="00D93607" w:rsidRDefault="009125FD" w:rsidP="009125FD">
            <w:pPr>
              <w:jc w:val="center"/>
              <w:rPr>
                <w:rFonts w:ascii="Arial" w:hAnsi="Arial" w:cs="Arial"/>
                <w:sz w:val="32"/>
                <w:szCs w:val="32"/>
              </w:rPr>
            </w:pPr>
            <w:r w:rsidRPr="00D93607">
              <w:rPr>
                <w:rFonts w:ascii="Arial" w:hAnsi="Arial" w:cs="Arial"/>
                <w:sz w:val="32"/>
                <w:szCs w:val="32"/>
              </w:rPr>
              <w:t>Washed RBC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4A5D4CDF"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85ADF33"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tc>
        <w:tc>
          <w:tcPr>
            <w:tcW w:w="1260" w:type="dxa"/>
            <w:tcBorders>
              <w:top w:val="single" w:sz="4" w:space="0" w:color="000000"/>
              <w:left w:val="single" w:sz="4" w:space="0" w:color="000000"/>
              <w:right w:val="single" w:sz="4" w:space="0" w:color="000000"/>
            </w:tcBorders>
            <w:shd w:val="pct10" w:color="auto" w:fill="auto"/>
            <w:vAlign w:val="center"/>
            <w:hideMark/>
          </w:tcPr>
          <w:p w14:paraId="51319FB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77C8F07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72BD0B65"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C2FA535" w14:textId="77777777" w:rsidTr="009125FD">
        <w:trPr>
          <w:cantSplit/>
          <w:trHeight w:val="1295"/>
        </w:trPr>
        <w:tc>
          <w:tcPr>
            <w:tcW w:w="1692" w:type="dxa"/>
            <w:vMerge/>
            <w:tcBorders>
              <w:left w:val="single" w:sz="4" w:space="0" w:color="000000"/>
              <w:right w:val="single" w:sz="4" w:space="0" w:color="000000"/>
            </w:tcBorders>
            <w:vAlign w:val="bottom"/>
          </w:tcPr>
          <w:p w14:paraId="7C0636B2"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156D4DCB"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1D4E136E" w14:textId="77777777" w:rsidR="009125FD" w:rsidRPr="005C5D59" w:rsidRDefault="009125FD" w:rsidP="009125FD">
            <w:pPr>
              <w:jc w:val="center"/>
              <w:rPr>
                <w:rFonts w:ascii="Arial" w:hAnsi="Arial" w:cs="Arial"/>
                <w:sz w:val="18"/>
                <w:szCs w:val="18"/>
              </w:rPr>
            </w:pPr>
          </w:p>
          <w:p w14:paraId="574C1CA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1DF42DA1"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3B872FBD" w14:textId="77777777" w:rsidR="009125FD" w:rsidRPr="00D93607" w:rsidRDefault="009125FD" w:rsidP="009125FD">
            <w:pPr>
              <w:ind w:left="18"/>
              <w:rPr>
                <w:rFonts w:ascii="Arial" w:hAnsi="Arial" w:cs="Arial"/>
                <w:sz w:val="18"/>
                <w:szCs w:val="18"/>
              </w:rPr>
            </w:pPr>
            <w:r w:rsidRPr="00D93607">
              <w:rPr>
                <w:rFonts w:ascii="Arial" w:hAnsi="Arial" w:cs="Arial"/>
                <w:noProof/>
                <w:sz w:val="18"/>
                <w:szCs w:val="18"/>
              </w:rPr>
              <w:t>Technologist</w:t>
            </w:r>
          </w:p>
          <w:p w14:paraId="4C3F2C9E" w14:textId="77777777" w:rsidR="009125FD" w:rsidRPr="00836EE2" w:rsidRDefault="009125FD" w:rsidP="009125FD">
            <w:pPr>
              <w:ind w:left="18"/>
              <w:rPr>
                <w:rFonts w:ascii="Arial" w:hAnsi="Arial" w:cs="Arial"/>
                <w:sz w:val="18"/>
                <w:szCs w:val="18"/>
              </w:rPr>
            </w:pPr>
          </w:p>
          <w:p w14:paraId="2E9F83C3" w14:textId="77777777" w:rsidR="009125FD" w:rsidRPr="00D93607" w:rsidRDefault="009125FD" w:rsidP="009125FD">
            <w:pPr>
              <w:ind w:left="18"/>
              <w:rPr>
                <w:rFonts w:ascii="Arial" w:hAnsi="Arial" w:cs="Arial"/>
                <w:noProof/>
                <w:sz w:val="18"/>
                <w:szCs w:val="18"/>
              </w:rPr>
            </w:pPr>
            <w:r w:rsidRPr="00D93607">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388EABED"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4668601"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68909F89" w14:textId="77777777" w:rsidTr="009125FD">
        <w:trPr>
          <w:cantSplit/>
          <w:trHeight w:val="2343"/>
        </w:trPr>
        <w:tc>
          <w:tcPr>
            <w:tcW w:w="1692" w:type="dxa"/>
            <w:vMerge/>
            <w:tcBorders>
              <w:left w:val="single" w:sz="4" w:space="0" w:color="000000"/>
              <w:right w:val="single" w:sz="4" w:space="0" w:color="000000"/>
            </w:tcBorders>
            <w:vAlign w:val="bottom"/>
          </w:tcPr>
          <w:p w14:paraId="4AE1E215"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56AB14F9"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C506A06" w14:textId="77777777" w:rsidR="009125FD" w:rsidRPr="005C5D59" w:rsidRDefault="009125FD" w:rsidP="009125FD">
            <w:pPr>
              <w:jc w:val="center"/>
              <w:rPr>
                <w:rFonts w:ascii="Arial" w:hAnsi="Arial" w:cs="Arial"/>
                <w:sz w:val="18"/>
                <w:szCs w:val="18"/>
              </w:rPr>
            </w:pPr>
          </w:p>
          <w:p w14:paraId="340052A7"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0B6FAEDB"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693C765"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Lead Technologist</w:t>
            </w:r>
          </w:p>
          <w:p w14:paraId="7E556499"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Traditional Supervisor</w:t>
            </w:r>
          </w:p>
          <w:p w14:paraId="2D014BE7"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Enhanced Supervisor</w:t>
            </w:r>
          </w:p>
          <w:p w14:paraId="25C99C62"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Administrator/Supervisor</w:t>
            </w:r>
          </w:p>
          <w:p w14:paraId="42812FAC"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710EABAE"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Washed RBC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5ADD1604"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6EA26F31" w14:textId="1B24609C"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0F454AFA" w14:textId="77777777" w:rsidR="009125FD" w:rsidRPr="00825E94" w:rsidRDefault="009125FD" w:rsidP="009125FD"/>
    <w:p w14:paraId="705A0420" w14:textId="61C31209" w:rsidR="00C15299" w:rsidRDefault="009125FD" w:rsidP="00C15299">
      <w:pPr>
        <w:pStyle w:val="Caption"/>
      </w:pPr>
      <w:r>
        <w:br w:type="page"/>
      </w:r>
      <w:bookmarkStart w:id="942" w:name="_Ref407610759"/>
      <w:bookmarkStart w:id="943" w:name="_Ref343502547"/>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169</w:t>
      </w:r>
      <w:r w:rsidR="004E20BD">
        <w:rPr>
          <w:noProof/>
        </w:rPr>
        <w:fldChar w:fldCharType="end"/>
      </w:r>
      <w:bookmarkEnd w:id="942"/>
      <w:r w:rsidR="00C15299">
        <w:t>: Washed PLATELET (PLT) Products and Select Blood Unit</w:t>
      </w:r>
      <w:bookmarkEnd w:id="943"/>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3C553A8A"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485D3F61"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w:t>
            </w:r>
            <w:r w:rsidRPr="00B62010">
              <w:rPr>
                <w:rFonts w:ascii="Arial" w:hAnsi="Arial" w:cs="Arial"/>
                <w:b/>
                <w:sz w:val="20"/>
                <w:szCs w:val="20"/>
              </w:rPr>
              <w:t>Washed PLT products</w:t>
            </w:r>
          </w:p>
        </w:tc>
      </w:tr>
      <w:tr w:rsidR="009125FD" w:rsidRPr="005C5D59" w14:paraId="290AB0E0"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2CB392DB"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0015A36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92AFAC3"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0E30233"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FD85390"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61CFBE6B"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1A305B11"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Washed PLT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4C225EE9"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5D9FF246"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w:t>
            </w:r>
          </w:p>
          <w:p w14:paraId="5C1E5B44" w14:textId="77777777" w:rsidR="009125FD" w:rsidRDefault="009125FD" w:rsidP="009125FD">
            <w:pPr>
              <w:spacing w:before="120" w:after="120"/>
              <w:jc w:val="center"/>
              <w:rPr>
                <w:rFonts w:ascii="Arial" w:hAnsi="Arial" w:cs="Arial"/>
                <w:sz w:val="18"/>
                <w:szCs w:val="18"/>
              </w:rPr>
            </w:pPr>
            <w:r w:rsidRPr="005C5D59">
              <w:rPr>
                <w:rFonts w:ascii="Arial" w:hAnsi="Arial" w:cs="Arial"/>
                <w:sz w:val="18"/>
                <w:szCs w:val="18"/>
              </w:rPr>
              <w:t xml:space="preserve"> PLATELETS</w:t>
            </w:r>
          </w:p>
          <w:p w14:paraId="13A038DD"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04B2451D"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4612204F"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406E4812"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07E9E9E3" w14:textId="77777777" w:rsidTr="009125FD">
        <w:trPr>
          <w:cantSplit/>
          <w:trHeight w:val="432"/>
        </w:trPr>
        <w:tc>
          <w:tcPr>
            <w:tcW w:w="1692" w:type="dxa"/>
            <w:vMerge/>
            <w:tcBorders>
              <w:left w:val="single" w:sz="4" w:space="0" w:color="000000"/>
              <w:right w:val="single" w:sz="4" w:space="0" w:color="000000"/>
            </w:tcBorders>
            <w:vAlign w:val="bottom"/>
          </w:tcPr>
          <w:p w14:paraId="79C8ED94"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C4F3762"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60C84BD"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594D3434"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01D89E50"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bottom w:val="single" w:sz="4" w:space="0" w:color="000000"/>
              <w:right w:val="single" w:sz="4" w:space="0" w:color="000000"/>
            </w:tcBorders>
            <w:vAlign w:val="center"/>
          </w:tcPr>
          <w:p w14:paraId="6E3E1A5B"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F86173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p w14:paraId="363550A7" w14:textId="77777777" w:rsidR="009125FD" w:rsidRPr="005C5D59" w:rsidRDefault="009125FD" w:rsidP="009125FD">
            <w:pPr>
              <w:jc w:val="center"/>
              <w:rPr>
                <w:rFonts w:ascii="Arial" w:hAnsi="Arial" w:cs="Arial"/>
                <w:sz w:val="18"/>
                <w:szCs w:val="18"/>
              </w:rPr>
            </w:pPr>
          </w:p>
        </w:tc>
        <w:tc>
          <w:tcPr>
            <w:tcW w:w="4050" w:type="dxa"/>
            <w:tcBorders>
              <w:top w:val="single" w:sz="4" w:space="0" w:color="000000"/>
              <w:left w:val="single" w:sz="4" w:space="0" w:color="000000"/>
              <w:right w:val="single" w:sz="4" w:space="0" w:color="000000"/>
            </w:tcBorders>
          </w:tcPr>
          <w:p w14:paraId="3663EEEF"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Transfusio</w:t>
            </w:r>
            <w:r>
              <w:rPr>
                <w:rStyle w:val="StyleTableText9ptCharChar"/>
                <w:rFonts w:cs="Arial"/>
              </w:rPr>
              <w:t xml:space="preserve">n Requirement is not satisfied; </w:t>
            </w:r>
            <w:r w:rsidRPr="005C5D59">
              <w:rPr>
                <w:rStyle w:val="StyleTableText9ptCharChar"/>
                <w:rFonts w:cs="Arial"/>
              </w:rPr>
              <w:t xml:space="preserve">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2D21F9E"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4213AD3E"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33BE4C15" w14:textId="77777777" w:rsidR="009125FD" w:rsidRDefault="009125FD" w:rsidP="009125FD"/>
    <w:p w14:paraId="26799853" w14:textId="3C466C96" w:rsidR="00C15299" w:rsidRDefault="00C15299" w:rsidP="00C15299">
      <w:pPr>
        <w:pStyle w:val="Caption"/>
      </w:pPr>
      <w:bookmarkStart w:id="944" w:name="_Ref407610771"/>
      <w:bookmarkStart w:id="945" w:name="_Ref34350256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170</w:t>
      </w:r>
      <w:r w:rsidR="004E20BD">
        <w:rPr>
          <w:noProof/>
        </w:rPr>
        <w:fldChar w:fldCharType="end"/>
      </w:r>
      <w:bookmarkEnd w:id="944"/>
      <w:r>
        <w:t>: Washed PLATELET (PLT) Products and Issue Blood Component</w:t>
      </w:r>
      <w:bookmarkEnd w:id="945"/>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211D6B0"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21D561B3"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B62010">
              <w:rPr>
                <w:rFonts w:ascii="Arial" w:hAnsi="Arial" w:cs="Arial"/>
                <w:b/>
                <w:sz w:val="20"/>
                <w:szCs w:val="20"/>
              </w:rPr>
              <w:t>Washed PLT products</w:t>
            </w:r>
          </w:p>
        </w:tc>
      </w:tr>
      <w:tr w:rsidR="009125FD" w:rsidRPr="005C5D59" w14:paraId="512D1789"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5165DC6D"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4BC62E2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center"/>
          </w:tcPr>
          <w:p w14:paraId="0CE60908"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Selected</w:t>
            </w:r>
            <w:r>
              <w:rPr>
                <w:rFonts w:ascii="Arial" w:hAnsi="Arial" w:cs="Arial"/>
                <w:b/>
                <w:sz w:val="18"/>
                <w:szCs w:val="18"/>
              </w:rPr>
              <w:t xml:space="preserve"> Platelet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FF53079"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C51977B"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15BE479F"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49ECB20B"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Washed PLT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18773095" w14:textId="77777777" w:rsidR="009125FD" w:rsidRPr="005C5D59" w:rsidRDefault="009125FD" w:rsidP="009125FD">
            <w:pPr>
              <w:jc w:val="center"/>
              <w:rPr>
                <w:rFonts w:ascii="Arial" w:hAnsi="Arial" w:cs="Arial"/>
                <w:sz w:val="18"/>
                <w:szCs w:val="18"/>
              </w:rPr>
            </w:pPr>
            <w:r>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2F8F7CC7"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EB29E0F"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5666F0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3EB6D1BE" w14:textId="77777777" w:rsidTr="009125FD">
        <w:trPr>
          <w:cantSplit/>
          <w:trHeight w:val="432"/>
        </w:trPr>
        <w:tc>
          <w:tcPr>
            <w:tcW w:w="1843" w:type="dxa"/>
            <w:vMerge/>
            <w:tcBorders>
              <w:left w:val="single" w:sz="4" w:space="0" w:color="000000"/>
              <w:right w:val="single" w:sz="4" w:space="0" w:color="000000"/>
            </w:tcBorders>
            <w:vAlign w:val="bottom"/>
          </w:tcPr>
          <w:p w14:paraId="3FCE5DB4"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6AED8C0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622710A"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62576DF7" w14:textId="77777777" w:rsidR="009125FD" w:rsidRPr="00FB56F0" w:rsidRDefault="009125FD" w:rsidP="009125FD">
            <w:pPr>
              <w:ind w:left="18"/>
              <w:rPr>
                <w:rFonts w:ascii="Arial" w:hAnsi="Arial" w:cs="Arial"/>
                <w:sz w:val="18"/>
                <w:szCs w:val="18"/>
              </w:rPr>
            </w:pPr>
            <w:r w:rsidRPr="00FB56F0">
              <w:rPr>
                <w:rFonts w:ascii="Arial" w:hAnsi="Arial" w:cs="Arial"/>
                <w:noProof/>
                <w:sz w:val="18"/>
                <w:szCs w:val="18"/>
              </w:rPr>
              <w:t>Technologist</w:t>
            </w:r>
          </w:p>
          <w:p w14:paraId="4F2274B2" w14:textId="77777777" w:rsidR="009125FD" w:rsidRPr="00836EE2" w:rsidRDefault="009125FD" w:rsidP="009125FD">
            <w:pPr>
              <w:ind w:left="18"/>
              <w:rPr>
                <w:rFonts w:ascii="Arial" w:hAnsi="Arial" w:cs="Arial"/>
                <w:sz w:val="18"/>
                <w:szCs w:val="18"/>
              </w:rPr>
            </w:pPr>
          </w:p>
          <w:p w14:paraId="77E3B3F1" w14:textId="77777777" w:rsidR="009125FD" w:rsidRPr="00FB56F0" w:rsidRDefault="009125FD" w:rsidP="009125FD">
            <w:pPr>
              <w:ind w:left="18"/>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757B183D"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0E5DC763"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6F89C75" w14:textId="77777777" w:rsidTr="009125FD">
        <w:trPr>
          <w:cantSplit/>
          <w:trHeight w:val="432"/>
        </w:trPr>
        <w:tc>
          <w:tcPr>
            <w:tcW w:w="1843" w:type="dxa"/>
            <w:vMerge/>
            <w:tcBorders>
              <w:left w:val="single" w:sz="4" w:space="0" w:color="000000"/>
              <w:right w:val="single" w:sz="4" w:space="0" w:color="000000"/>
            </w:tcBorders>
            <w:vAlign w:val="bottom"/>
          </w:tcPr>
          <w:p w14:paraId="06994962"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41A0E28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541F6282"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312ECAB"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Lead Technologist</w:t>
            </w:r>
          </w:p>
          <w:p w14:paraId="180E34FD"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Traditional Supervisor</w:t>
            </w:r>
          </w:p>
          <w:p w14:paraId="741391B8"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Enhanced Supervisor</w:t>
            </w:r>
          </w:p>
          <w:p w14:paraId="2DCA287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Administrator/Supervisor</w:t>
            </w:r>
          </w:p>
          <w:p w14:paraId="3F7E66C5"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6F3966BC"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Washed PLT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08272BF8"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61CE6B56" w14:textId="613D96F1"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4A9702A7" w14:textId="77777777" w:rsidR="009125FD" w:rsidRDefault="009125FD" w:rsidP="009125FD"/>
    <w:p w14:paraId="1E4DABD1" w14:textId="5F44DE18" w:rsidR="00C15299" w:rsidRDefault="009125FD" w:rsidP="00C15299">
      <w:pPr>
        <w:pStyle w:val="Caption"/>
      </w:pPr>
      <w:r>
        <w:br w:type="page"/>
      </w:r>
      <w:bookmarkStart w:id="946" w:name="_Ref407610782"/>
      <w:bookmarkStart w:id="947" w:name="_Ref343502582"/>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171</w:t>
      </w:r>
      <w:r w:rsidR="004E20BD">
        <w:rPr>
          <w:noProof/>
        </w:rPr>
        <w:fldChar w:fldCharType="end"/>
      </w:r>
      <w:bookmarkEnd w:id="946"/>
      <w:r w:rsidR="00C15299">
        <w:t>: Sickle Cell Negative RBC Products and Select Blood Unit</w:t>
      </w:r>
      <w:bookmarkEnd w:id="947"/>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3E5C63B0"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24C54107"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w:t>
            </w:r>
            <w:r w:rsidRPr="00B62010">
              <w:rPr>
                <w:rFonts w:ascii="Arial" w:hAnsi="Arial" w:cs="Arial"/>
                <w:b/>
                <w:sz w:val="18"/>
                <w:szCs w:val="18"/>
              </w:rPr>
              <w:t>Sickle Cell Negative RBC products</w:t>
            </w:r>
          </w:p>
        </w:tc>
      </w:tr>
      <w:tr w:rsidR="009125FD" w:rsidRPr="005C5D59" w14:paraId="6ED49BE2"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79692EFA"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533C1711"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34DD6E5"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C39E25D"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3ADD516"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1B6E18C"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D6D26B5"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Sickle Cell Negative RBC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0F72E677"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RED BLO</w:t>
            </w:r>
            <w:r>
              <w:rPr>
                <w:rFonts w:ascii="Arial" w:hAnsi="Arial" w:cs="Arial"/>
                <w:sz w:val="18"/>
                <w:szCs w:val="18"/>
              </w:rPr>
              <w:t>OD CELLS</w:t>
            </w:r>
          </w:p>
          <w:p w14:paraId="46002EAF" w14:textId="77777777" w:rsidR="009125FD" w:rsidRPr="005C5D59" w:rsidRDefault="009125FD" w:rsidP="009125FD">
            <w:pPr>
              <w:spacing w:after="120"/>
              <w:jc w:val="center"/>
              <w:rPr>
                <w:rFonts w:ascii="Arial" w:hAnsi="Arial" w:cs="Arial"/>
                <w:sz w:val="18"/>
                <w:szCs w:val="18"/>
              </w:rPr>
            </w:pPr>
            <w:r>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shd w:val="pct10" w:color="auto" w:fill="auto"/>
            <w:vAlign w:val="center"/>
            <w:hideMark/>
          </w:tcPr>
          <w:p w14:paraId="100BC60B"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Sickle Cell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2EB95F00"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87E5606"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40B44BD5" w14:textId="77777777" w:rsidTr="009125FD">
        <w:trPr>
          <w:cantSplit/>
          <w:trHeight w:val="1152"/>
        </w:trPr>
        <w:tc>
          <w:tcPr>
            <w:tcW w:w="1843" w:type="dxa"/>
            <w:vMerge/>
            <w:tcBorders>
              <w:left w:val="single" w:sz="4" w:space="0" w:color="000000"/>
              <w:right w:val="single" w:sz="4" w:space="0" w:color="000000"/>
            </w:tcBorders>
            <w:vAlign w:val="bottom"/>
          </w:tcPr>
          <w:p w14:paraId="1FF788A2"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6418158"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4A0C0CA5" w14:textId="77777777" w:rsidR="009125FD" w:rsidRDefault="009125FD" w:rsidP="009125FD">
            <w:pPr>
              <w:jc w:val="center"/>
              <w:rPr>
                <w:rFonts w:ascii="Arial" w:hAnsi="Arial" w:cs="Arial"/>
                <w:sz w:val="18"/>
                <w:szCs w:val="18"/>
              </w:rPr>
            </w:pPr>
          </w:p>
          <w:p w14:paraId="4B4E0390"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0AEB7B31" w14:textId="77777777" w:rsidR="009125FD" w:rsidRPr="00871BF2" w:rsidRDefault="009125FD" w:rsidP="009125FD">
            <w:pPr>
              <w:jc w:val="center"/>
              <w:rPr>
                <w:rFonts w:ascii="Arial" w:hAnsi="Arial" w:cs="Arial"/>
                <w:b/>
                <w:color w:val="FF0000"/>
                <w:sz w:val="18"/>
                <w:szCs w:val="18"/>
              </w:rPr>
            </w:pPr>
            <w:r>
              <w:rPr>
                <w:rFonts w:ascii="Arial" w:hAnsi="Arial" w:cs="Arial"/>
                <w:b/>
                <w:color w:val="FF0000"/>
                <w:sz w:val="18"/>
                <w:szCs w:val="18"/>
              </w:rPr>
              <w:t>Not Sickle Cell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06E1AC0B" w14:textId="77777777" w:rsidR="009125FD" w:rsidRPr="00FB56F0" w:rsidRDefault="009125FD" w:rsidP="009125FD">
            <w:pPr>
              <w:ind w:left="18"/>
              <w:rPr>
                <w:rFonts w:ascii="Arial" w:hAnsi="Arial" w:cs="Arial"/>
                <w:sz w:val="18"/>
                <w:szCs w:val="18"/>
              </w:rPr>
            </w:pPr>
            <w:r w:rsidRPr="00FB56F0">
              <w:rPr>
                <w:rFonts w:ascii="Arial" w:hAnsi="Arial" w:cs="Arial"/>
                <w:noProof/>
                <w:sz w:val="18"/>
                <w:szCs w:val="18"/>
              </w:rPr>
              <w:t>Technologist</w:t>
            </w:r>
          </w:p>
          <w:p w14:paraId="1A91E00A" w14:textId="77777777" w:rsidR="009125FD" w:rsidRPr="00836EE2" w:rsidRDefault="009125FD" w:rsidP="009125FD">
            <w:pPr>
              <w:ind w:left="18"/>
              <w:rPr>
                <w:rFonts w:ascii="Arial" w:hAnsi="Arial" w:cs="Arial"/>
                <w:sz w:val="18"/>
                <w:szCs w:val="18"/>
              </w:rPr>
            </w:pPr>
          </w:p>
          <w:p w14:paraId="694CA264" w14:textId="77777777" w:rsidR="009125FD" w:rsidRPr="00FB56F0" w:rsidRDefault="009125FD" w:rsidP="009125FD">
            <w:pPr>
              <w:ind w:left="18"/>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tcPr>
          <w:p w14:paraId="3BFED076"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9901B8E"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87DE482"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r w:rsidR="009125FD" w:rsidRPr="005C5D59" w14:paraId="3D68306A" w14:textId="77777777" w:rsidTr="009125FD">
        <w:trPr>
          <w:cantSplit/>
          <w:trHeight w:val="1152"/>
        </w:trPr>
        <w:tc>
          <w:tcPr>
            <w:tcW w:w="1843" w:type="dxa"/>
            <w:vMerge/>
            <w:tcBorders>
              <w:left w:val="single" w:sz="4" w:space="0" w:color="000000"/>
              <w:right w:val="single" w:sz="4" w:space="0" w:color="000000"/>
            </w:tcBorders>
            <w:vAlign w:val="bottom"/>
          </w:tcPr>
          <w:p w14:paraId="5FCE06D7"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DE9457C"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91BAF03" w14:textId="77777777" w:rsidR="009125FD" w:rsidRDefault="009125FD" w:rsidP="009125FD">
            <w:pPr>
              <w:jc w:val="center"/>
              <w:rPr>
                <w:rFonts w:ascii="Arial" w:hAnsi="Arial" w:cs="Arial"/>
                <w:sz w:val="18"/>
                <w:szCs w:val="18"/>
              </w:rPr>
            </w:pPr>
          </w:p>
          <w:p w14:paraId="361607C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0635BA69"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Not Sickle Cell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563D027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Lead Technologist</w:t>
            </w:r>
          </w:p>
          <w:p w14:paraId="7D93A10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Traditional Supervisor</w:t>
            </w:r>
          </w:p>
          <w:p w14:paraId="2394C283"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Enhanced Supervisor</w:t>
            </w:r>
          </w:p>
          <w:p w14:paraId="1CF6EDF0"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Administrator/Supervisor</w:t>
            </w:r>
          </w:p>
          <w:p w14:paraId="4812DB91" w14:textId="77777777" w:rsidR="009125FD" w:rsidRPr="008B278A" w:rsidRDefault="009125FD" w:rsidP="009125FD">
            <w:pPr>
              <w:ind w:left="18"/>
              <w:rPr>
                <w:rFonts w:ascii="Arial" w:hAnsi="Arial" w:cs="Arial"/>
                <w:sz w:val="18"/>
                <w:szCs w:val="18"/>
              </w:rPr>
            </w:pPr>
          </w:p>
        </w:tc>
        <w:tc>
          <w:tcPr>
            <w:tcW w:w="4050" w:type="dxa"/>
            <w:tcBorders>
              <w:left w:val="single" w:sz="4" w:space="0" w:color="000000"/>
              <w:right w:val="single" w:sz="4" w:space="0" w:color="000000"/>
            </w:tcBorders>
            <w:vAlign w:val="bottom"/>
          </w:tcPr>
          <w:p w14:paraId="167E192D" w14:textId="77777777" w:rsidR="009125FD" w:rsidRPr="00496950" w:rsidRDefault="009125FD" w:rsidP="009125FD">
            <w:pPr>
              <w:pStyle w:val="TableText"/>
              <w:rPr>
                <w:rStyle w:val="StyleTableText9ptCharChar"/>
                <w:i/>
              </w:rPr>
            </w:pPr>
            <w:r w:rsidRPr="003D487C">
              <w:t>The following warning(s) is informational:</w:t>
            </w:r>
            <w:r>
              <w:t xml:space="preserve"> </w:t>
            </w:r>
            <w:r w:rsidRPr="00496950">
              <w:rPr>
                <w:i/>
              </w:rPr>
              <w:t xml:space="preserve">This unit does not currently satisfy the patient’s </w:t>
            </w:r>
            <w:r w:rsidRPr="00496950">
              <w:rPr>
                <w:i/>
                <w:noProof/>
              </w:rPr>
              <w:t xml:space="preserve">Sickle Cell Negative </w:t>
            </w:r>
            <w:r w:rsidRPr="00496950">
              <w:rPr>
                <w:i/>
              </w:rPr>
              <w:t xml:space="preserve">Transfusion Requirements. </w:t>
            </w:r>
            <w:r w:rsidRPr="00496950">
              <w:rPr>
                <w:rStyle w:val="StyleTableText9ptCharChar"/>
                <w:i/>
              </w:rPr>
              <w:t>Further processing is needed. Continue to select this unit?</w:t>
            </w:r>
          </w:p>
          <w:p w14:paraId="7E98A278" w14:textId="77777777" w:rsidR="009125FD" w:rsidRPr="00496950" w:rsidRDefault="009125FD" w:rsidP="009125FD">
            <w:pPr>
              <w:pStyle w:val="TableText"/>
              <w:rPr>
                <w:rStyle w:val="StyleTableText9ptCharChar"/>
                <w:i/>
              </w:rPr>
            </w:pPr>
            <w:r w:rsidRPr="00496950">
              <w:rPr>
                <w:rStyle w:val="StyleTableText9ptCharChar"/>
                <w:i/>
              </w:rPr>
              <w:t>Do you wish to proceed with the selection of unit &lt;insert unit ID number&gt;:?</w:t>
            </w:r>
          </w:p>
          <w:p w14:paraId="409DCE9A" w14:textId="77777777" w:rsidR="009125FD" w:rsidRPr="003D487C" w:rsidRDefault="009125FD" w:rsidP="009125FD">
            <w:pPr>
              <w:pStyle w:val="TableText"/>
              <w:rPr>
                <w:noProof/>
              </w:rPr>
            </w:pPr>
            <w:r w:rsidRPr="003D487C">
              <w:rPr>
                <w:noProof/>
              </w:rPr>
              <w:t xml:space="preserve">If “No,” is selected, the screen is cleared and a new blood unit must be selected. </w:t>
            </w:r>
          </w:p>
          <w:p w14:paraId="010BD147" w14:textId="77777777" w:rsidR="009125FD" w:rsidRPr="0081278B" w:rsidRDefault="009125FD" w:rsidP="009125FD">
            <w:pPr>
              <w:pStyle w:val="TableText"/>
              <w:rPr>
                <w:i/>
                <w:noProof/>
              </w:rPr>
            </w:pPr>
            <w:r w:rsidRPr="003D487C">
              <w:rPr>
                <w:noProof/>
              </w:rPr>
              <w:t>If “Yes,” is selected, a comment is required and the details of the transaction are captured for later in</w:t>
            </w:r>
            <w:r>
              <w:rPr>
                <w:noProof/>
              </w:rPr>
              <w:t xml:space="preserve">clusion in an exception report entry: </w:t>
            </w:r>
            <w:r w:rsidRPr="0081278B">
              <w:rPr>
                <w:i/>
                <w:noProof/>
              </w:rPr>
              <w:t>Transfusion Requirement incompatible unit selected</w:t>
            </w:r>
            <w:r w:rsidR="005C48D9">
              <w:rPr>
                <w:i/>
                <w:noProof/>
              </w:rPr>
              <w:t>.</w:t>
            </w:r>
          </w:p>
        </w:tc>
      </w:tr>
    </w:tbl>
    <w:p w14:paraId="61161F02" w14:textId="77777777" w:rsidR="009125FD" w:rsidRDefault="009125FD" w:rsidP="009125FD"/>
    <w:p w14:paraId="28B0867D" w14:textId="0DF25E54" w:rsidR="00C15299" w:rsidRDefault="009125FD" w:rsidP="00C15299">
      <w:pPr>
        <w:pStyle w:val="Caption"/>
      </w:pPr>
      <w:r>
        <w:br w:type="page"/>
      </w:r>
      <w:bookmarkStart w:id="948" w:name="_Ref343502619"/>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172</w:t>
      </w:r>
      <w:r w:rsidR="004E20BD">
        <w:rPr>
          <w:noProof/>
        </w:rPr>
        <w:fldChar w:fldCharType="end"/>
      </w:r>
      <w:r w:rsidR="00C15299">
        <w:t>: Sickle Cell Negative RBC Products and Issue Blood Component</w:t>
      </w:r>
      <w:bookmarkEnd w:id="948"/>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64A22684"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17243F6E"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Pr>
                <w:rFonts w:ascii="Arial" w:hAnsi="Arial" w:cs="Arial"/>
                <w:b/>
                <w:sz w:val="20"/>
                <w:szCs w:val="20"/>
              </w:rPr>
              <w:t>Sickle Cell Negative RBC</w:t>
            </w:r>
            <w:r w:rsidRPr="00871BF2">
              <w:rPr>
                <w:rFonts w:ascii="Arial" w:hAnsi="Arial" w:cs="Arial"/>
                <w:b/>
                <w:sz w:val="20"/>
                <w:szCs w:val="20"/>
              </w:rPr>
              <w:t xml:space="preserve"> Products</w:t>
            </w:r>
          </w:p>
        </w:tc>
      </w:tr>
      <w:tr w:rsidR="009125FD" w:rsidRPr="005C5D59" w14:paraId="5C8AFEBA"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3BAC81B3"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63F89182"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1F30E21"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471E306"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01F519E"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42C79AA5"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5B5B07BA" w14:textId="77777777" w:rsidR="009125FD" w:rsidRPr="00D93607" w:rsidRDefault="009125FD" w:rsidP="009125FD">
            <w:pPr>
              <w:jc w:val="center"/>
              <w:rPr>
                <w:rFonts w:ascii="Arial" w:hAnsi="Arial" w:cs="Arial"/>
                <w:sz w:val="28"/>
                <w:szCs w:val="28"/>
              </w:rPr>
            </w:pPr>
            <w:r w:rsidRPr="00D93607">
              <w:rPr>
                <w:rFonts w:ascii="Arial" w:hAnsi="Arial" w:cs="Arial"/>
                <w:b/>
                <w:sz w:val="28"/>
                <w:szCs w:val="28"/>
              </w:rPr>
              <w:t>Sickle Cell Negative RBC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4E444276" w14:textId="77777777" w:rsidR="009125FD" w:rsidRDefault="009125FD" w:rsidP="009125FD">
            <w:pPr>
              <w:spacing w:before="120" w:after="120"/>
              <w:jc w:val="center"/>
              <w:rPr>
                <w:rFonts w:ascii="Arial" w:hAnsi="Arial" w:cs="Arial"/>
                <w:sz w:val="18"/>
                <w:szCs w:val="18"/>
              </w:rPr>
            </w:pPr>
            <w:r>
              <w:rPr>
                <w:rFonts w:ascii="Arial" w:hAnsi="Arial" w:cs="Arial"/>
                <w:sz w:val="18"/>
                <w:szCs w:val="18"/>
              </w:rPr>
              <w:t>RED BLOOD CELLS</w:t>
            </w:r>
          </w:p>
          <w:p w14:paraId="2BB6852E" w14:textId="77777777" w:rsidR="009125FD" w:rsidRPr="005C5D59" w:rsidRDefault="009125FD" w:rsidP="009125FD">
            <w:pPr>
              <w:spacing w:after="120"/>
              <w:jc w:val="center"/>
              <w:rPr>
                <w:rFonts w:ascii="Arial" w:hAnsi="Arial" w:cs="Arial"/>
                <w:sz w:val="18"/>
                <w:szCs w:val="18"/>
              </w:rPr>
            </w:pPr>
            <w:r>
              <w:rPr>
                <w:rFonts w:ascii="Arial" w:hAnsi="Arial" w:cs="Arial"/>
                <w:sz w:val="18"/>
                <w:szCs w:val="18"/>
              </w:rPr>
              <w:t xml:space="preserve"> WHOLE BLOOD</w:t>
            </w:r>
          </w:p>
        </w:tc>
        <w:tc>
          <w:tcPr>
            <w:tcW w:w="1260" w:type="dxa"/>
            <w:tcBorders>
              <w:top w:val="single" w:sz="4" w:space="0" w:color="000000"/>
              <w:left w:val="single" w:sz="4" w:space="0" w:color="000000"/>
              <w:right w:val="single" w:sz="4" w:space="0" w:color="000000"/>
            </w:tcBorders>
            <w:shd w:val="pct10" w:color="auto" w:fill="auto"/>
            <w:vAlign w:val="center"/>
            <w:hideMark/>
          </w:tcPr>
          <w:p w14:paraId="14200729"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Sickle Cell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2BBF746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6AE087D3"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637EC0A7" w14:textId="77777777" w:rsidTr="009125FD">
        <w:trPr>
          <w:cantSplit/>
          <w:trHeight w:val="864"/>
        </w:trPr>
        <w:tc>
          <w:tcPr>
            <w:tcW w:w="1843" w:type="dxa"/>
            <w:vMerge/>
            <w:tcBorders>
              <w:left w:val="single" w:sz="4" w:space="0" w:color="000000"/>
              <w:right w:val="single" w:sz="4" w:space="0" w:color="000000"/>
            </w:tcBorders>
            <w:vAlign w:val="bottom"/>
          </w:tcPr>
          <w:p w14:paraId="7E84827B"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3C8EA105"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46C40BDE" w14:textId="77777777" w:rsidR="009125FD" w:rsidRDefault="009125FD" w:rsidP="009125FD">
            <w:pPr>
              <w:jc w:val="center"/>
              <w:rPr>
                <w:rFonts w:ascii="Arial" w:hAnsi="Arial" w:cs="Arial"/>
                <w:sz w:val="18"/>
                <w:szCs w:val="18"/>
              </w:rPr>
            </w:pPr>
          </w:p>
          <w:p w14:paraId="6A080F53"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5240CE86"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NOT</w:t>
            </w:r>
          </w:p>
          <w:p w14:paraId="1B3FCFB0"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Sickle Cell Negative</w:t>
            </w:r>
          </w:p>
        </w:tc>
        <w:tc>
          <w:tcPr>
            <w:tcW w:w="1620" w:type="dxa"/>
            <w:tcBorders>
              <w:top w:val="single" w:sz="4" w:space="0" w:color="000000"/>
              <w:left w:val="single" w:sz="4" w:space="0" w:color="000000"/>
              <w:right w:val="single" w:sz="4" w:space="0" w:color="000000"/>
            </w:tcBorders>
            <w:vAlign w:val="center"/>
          </w:tcPr>
          <w:p w14:paraId="7A0F40B7" w14:textId="77777777" w:rsidR="009125FD" w:rsidRPr="00FB56F0" w:rsidRDefault="009125FD" w:rsidP="009125FD">
            <w:pPr>
              <w:ind w:left="36"/>
              <w:rPr>
                <w:rFonts w:ascii="Arial" w:hAnsi="Arial" w:cs="Arial"/>
                <w:sz w:val="18"/>
                <w:szCs w:val="18"/>
              </w:rPr>
            </w:pPr>
            <w:r w:rsidRPr="00FB56F0">
              <w:rPr>
                <w:rFonts w:ascii="Arial" w:hAnsi="Arial" w:cs="Arial"/>
                <w:noProof/>
                <w:sz w:val="18"/>
                <w:szCs w:val="18"/>
              </w:rPr>
              <w:t>Technologist</w:t>
            </w:r>
          </w:p>
          <w:p w14:paraId="3632AC02" w14:textId="77777777" w:rsidR="009125FD" w:rsidRPr="00836EE2" w:rsidRDefault="009125FD" w:rsidP="009125FD">
            <w:pPr>
              <w:ind w:left="36"/>
              <w:rPr>
                <w:rFonts w:ascii="Arial" w:hAnsi="Arial" w:cs="Arial"/>
                <w:sz w:val="18"/>
                <w:szCs w:val="18"/>
              </w:rPr>
            </w:pPr>
          </w:p>
          <w:p w14:paraId="50FDA88F" w14:textId="77777777" w:rsidR="009125FD" w:rsidRPr="00FB56F0" w:rsidRDefault="009125FD" w:rsidP="009125FD">
            <w:pPr>
              <w:ind w:left="36"/>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2E385C01"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432E54FA"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BB0137C" w14:textId="77777777" w:rsidTr="009125FD">
        <w:trPr>
          <w:cantSplit/>
          <w:trHeight w:val="1296"/>
        </w:trPr>
        <w:tc>
          <w:tcPr>
            <w:tcW w:w="1843" w:type="dxa"/>
            <w:vMerge/>
            <w:tcBorders>
              <w:left w:val="single" w:sz="4" w:space="0" w:color="000000"/>
              <w:right w:val="single" w:sz="4" w:space="0" w:color="000000"/>
            </w:tcBorders>
            <w:vAlign w:val="bottom"/>
          </w:tcPr>
          <w:p w14:paraId="10B1AB99"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0B10D9C3"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207EC4C4" w14:textId="77777777" w:rsidR="009125FD" w:rsidRDefault="009125FD" w:rsidP="009125FD">
            <w:pPr>
              <w:jc w:val="center"/>
              <w:rPr>
                <w:rFonts w:ascii="Arial" w:hAnsi="Arial" w:cs="Arial"/>
                <w:sz w:val="18"/>
                <w:szCs w:val="18"/>
              </w:rPr>
            </w:pPr>
          </w:p>
          <w:p w14:paraId="3A4F4C26"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0F292972"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 xml:space="preserve">NOT </w:t>
            </w:r>
          </w:p>
          <w:p w14:paraId="3927B383"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Sickle Cell Negative</w:t>
            </w:r>
          </w:p>
        </w:tc>
        <w:tc>
          <w:tcPr>
            <w:tcW w:w="1620" w:type="dxa"/>
            <w:tcBorders>
              <w:top w:val="single" w:sz="4" w:space="0" w:color="000000"/>
              <w:left w:val="single" w:sz="4" w:space="0" w:color="000000"/>
              <w:right w:val="single" w:sz="4" w:space="0" w:color="000000"/>
            </w:tcBorders>
            <w:vAlign w:val="center"/>
          </w:tcPr>
          <w:p w14:paraId="431E6BCD"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Lead Technologist</w:t>
            </w:r>
          </w:p>
          <w:p w14:paraId="011A6EB1"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Traditional Supervisor</w:t>
            </w:r>
          </w:p>
          <w:p w14:paraId="6E154042"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Enhanced Supervisor</w:t>
            </w:r>
          </w:p>
          <w:p w14:paraId="404F1A84"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Administrator/Supervisor</w:t>
            </w:r>
          </w:p>
          <w:p w14:paraId="35B9069B" w14:textId="77777777" w:rsidR="009125FD" w:rsidRPr="008B278A" w:rsidRDefault="009125FD" w:rsidP="009125FD">
            <w:pPr>
              <w:ind w:left="198" w:hanging="162"/>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163F3B2F"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Sickle Cell Negative RBC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12CE2982"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0A1B12E2" w14:textId="7F1AFB9F"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3CE85C68" w14:textId="77777777" w:rsidR="009125FD" w:rsidRDefault="009125FD" w:rsidP="009125FD"/>
    <w:p w14:paraId="392DCBE3" w14:textId="47D0F5F9" w:rsidR="00C15299" w:rsidRDefault="00DA0A28" w:rsidP="00C15299">
      <w:pPr>
        <w:pStyle w:val="Caption"/>
      </w:pPr>
      <w:r>
        <w:br w:type="page"/>
      </w:r>
      <w:bookmarkStart w:id="949" w:name="_Ref343502634"/>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173</w:t>
      </w:r>
      <w:r w:rsidR="004E20BD">
        <w:rPr>
          <w:noProof/>
        </w:rPr>
        <w:fldChar w:fldCharType="end"/>
      </w:r>
      <w:r w:rsidR="00C15299">
        <w:t>: CMV Negative Cellular Products* and Select Blood Unit</w:t>
      </w:r>
      <w:bookmarkEnd w:id="949"/>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6D882AD"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2CF38F98"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CMV </w:t>
            </w:r>
            <w:r w:rsidRPr="00C22EDE">
              <w:rPr>
                <w:rFonts w:ascii="Arial" w:hAnsi="Arial" w:cs="Arial"/>
                <w:b/>
                <w:sz w:val="18"/>
                <w:szCs w:val="18"/>
              </w:rPr>
              <w:t>Negative Cellular Products</w:t>
            </w:r>
          </w:p>
        </w:tc>
      </w:tr>
      <w:tr w:rsidR="009125FD" w:rsidRPr="005C5D59" w14:paraId="344289E1"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0B19F321"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7D90E904"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3B4828DA"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A540A56"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51D6898"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1F427197"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77B03D79" w14:textId="77777777" w:rsidR="009125FD" w:rsidRPr="00B62010" w:rsidRDefault="009125FD" w:rsidP="009125FD">
            <w:pPr>
              <w:jc w:val="center"/>
              <w:rPr>
                <w:rFonts w:ascii="Arial" w:hAnsi="Arial" w:cs="Arial"/>
                <w:b/>
                <w:sz w:val="20"/>
                <w:szCs w:val="20"/>
              </w:rPr>
            </w:pPr>
            <w:r w:rsidRPr="00A92752">
              <w:rPr>
                <w:rFonts w:ascii="Arial" w:hAnsi="Arial" w:cs="Arial"/>
                <w:b/>
                <w:sz w:val="28"/>
                <w:szCs w:val="28"/>
              </w:rPr>
              <w:t>CMV negative cellular products</w:t>
            </w:r>
            <w:r w:rsidRPr="00B62010">
              <w:rPr>
                <w:rFonts w:ascii="Arial" w:hAnsi="Arial" w:cs="Arial"/>
                <w:b/>
                <w:sz w:val="20"/>
                <w:szCs w:val="20"/>
              </w:rPr>
              <w:t xml:space="preserve">*  </w:t>
            </w:r>
          </w:p>
        </w:tc>
        <w:tc>
          <w:tcPr>
            <w:tcW w:w="1469" w:type="dxa"/>
            <w:tcBorders>
              <w:top w:val="single" w:sz="4" w:space="0" w:color="000000"/>
              <w:left w:val="single" w:sz="4" w:space="0" w:color="000000"/>
              <w:right w:val="single" w:sz="4" w:space="0" w:color="000000"/>
            </w:tcBorders>
            <w:shd w:val="pct10" w:color="auto" w:fill="auto"/>
            <w:vAlign w:val="center"/>
            <w:hideMark/>
          </w:tcPr>
          <w:p w14:paraId="3F3348C3"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2D7B39C8"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WHOLE BLOOD</w:t>
            </w:r>
          </w:p>
          <w:p w14:paraId="6B64786F"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PLATELETS</w:t>
            </w:r>
          </w:p>
          <w:p w14:paraId="086D1ECF"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5D438EA4" w14:textId="77777777" w:rsidR="009125FD" w:rsidRPr="00F80646" w:rsidRDefault="009125FD" w:rsidP="009125FD">
            <w:pPr>
              <w:jc w:val="center"/>
              <w:rPr>
                <w:rFonts w:ascii="Arial" w:hAnsi="Arial" w:cs="Arial"/>
                <w:b/>
                <w:sz w:val="18"/>
                <w:szCs w:val="18"/>
              </w:rPr>
            </w:pPr>
            <w:r w:rsidRPr="008E2609">
              <w:rPr>
                <w:rFonts w:ascii="Arial" w:hAnsi="Arial" w:cs="Arial"/>
                <w:sz w:val="18"/>
                <w:szCs w:val="18"/>
              </w:rPr>
              <w:t>CMV Negative</w:t>
            </w:r>
            <w:r>
              <w:rPr>
                <w:rFonts w:ascii="Arial" w:hAnsi="Arial" w:cs="Arial"/>
                <w:b/>
                <w:sz w:val="18"/>
                <w:szCs w:val="18"/>
              </w:rPr>
              <w:t>*</w:t>
            </w:r>
          </w:p>
        </w:tc>
        <w:tc>
          <w:tcPr>
            <w:tcW w:w="1620" w:type="dxa"/>
            <w:tcBorders>
              <w:top w:val="single" w:sz="4" w:space="0" w:color="000000"/>
              <w:left w:val="single" w:sz="4" w:space="0" w:color="000000"/>
              <w:right w:val="single" w:sz="4" w:space="0" w:color="000000"/>
            </w:tcBorders>
            <w:shd w:val="pct10" w:color="auto" w:fill="auto"/>
            <w:vAlign w:val="center"/>
            <w:hideMark/>
          </w:tcPr>
          <w:p w14:paraId="03C40033"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148571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76A7F15" w14:textId="77777777" w:rsidTr="009125FD">
        <w:trPr>
          <w:cantSplit/>
          <w:trHeight w:val="576"/>
        </w:trPr>
        <w:tc>
          <w:tcPr>
            <w:tcW w:w="1843" w:type="dxa"/>
            <w:vMerge/>
            <w:tcBorders>
              <w:left w:val="single" w:sz="4" w:space="0" w:color="000000"/>
              <w:right w:val="single" w:sz="4" w:space="0" w:color="000000"/>
            </w:tcBorders>
            <w:vAlign w:val="bottom"/>
          </w:tcPr>
          <w:p w14:paraId="530C6BF8"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1E96F930" w14:textId="77777777" w:rsidR="009125FD" w:rsidRDefault="009125FD" w:rsidP="009125FD">
            <w:pPr>
              <w:rPr>
                <w:rFonts w:ascii="Arial" w:hAnsi="Arial" w:cs="Arial"/>
                <w:sz w:val="18"/>
                <w:szCs w:val="18"/>
              </w:rPr>
            </w:pPr>
            <w:r w:rsidRPr="005C5D59">
              <w:rPr>
                <w:rFonts w:ascii="Arial" w:hAnsi="Arial" w:cs="Arial"/>
                <w:sz w:val="18"/>
                <w:szCs w:val="18"/>
              </w:rPr>
              <w:t>RED BLOOD CELLS</w:t>
            </w:r>
          </w:p>
          <w:p w14:paraId="20E27617" w14:textId="77777777" w:rsidR="009125FD" w:rsidRDefault="009125FD" w:rsidP="009125FD">
            <w:pPr>
              <w:rPr>
                <w:rFonts w:ascii="Arial" w:hAnsi="Arial" w:cs="Arial"/>
                <w:sz w:val="18"/>
                <w:szCs w:val="18"/>
              </w:rPr>
            </w:pPr>
          </w:p>
          <w:p w14:paraId="2AD9070E" w14:textId="77777777" w:rsidR="009125FD" w:rsidRDefault="009125FD" w:rsidP="009125FD">
            <w:pPr>
              <w:rPr>
                <w:rFonts w:ascii="Arial" w:hAnsi="Arial" w:cs="Arial"/>
                <w:sz w:val="18"/>
                <w:szCs w:val="18"/>
              </w:rPr>
            </w:pPr>
            <w:r w:rsidRPr="005C5D59">
              <w:rPr>
                <w:rFonts w:ascii="Arial" w:hAnsi="Arial" w:cs="Arial"/>
                <w:sz w:val="18"/>
                <w:szCs w:val="18"/>
              </w:rPr>
              <w:t>WHOLE BLOOD</w:t>
            </w:r>
          </w:p>
          <w:p w14:paraId="62F06E7D" w14:textId="77777777" w:rsidR="009125FD" w:rsidRDefault="009125FD" w:rsidP="009125FD">
            <w:pPr>
              <w:rPr>
                <w:rFonts w:ascii="Arial" w:hAnsi="Arial" w:cs="Arial"/>
                <w:sz w:val="18"/>
                <w:szCs w:val="18"/>
              </w:rPr>
            </w:pPr>
          </w:p>
          <w:p w14:paraId="3CCB9969" w14:textId="77777777" w:rsidR="009125FD" w:rsidRDefault="009125FD" w:rsidP="009125FD">
            <w:pPr>
              <w:rPr>
                <w:rFonts w:ascii="Arial" w:hAnsi="Arial" w:cs="Arial"/>
                <w:sz w:val="18"/>
                <w:szCs w:val="18"/>
              </w:rPr>
            </w:pPr>
            <w:r w:rsidRPr="005C5D59">
              <w:rPr>
                <w:rFonts w:ascii="Arial" w:hAnsi="Arial" w:cs="Arial"/>
                <w:sz w:val="18"/>
                <w:szCs w:val="18"/>
              </w:rPr>
              <w:t>PLATELETS</w:t>
            </w:r>
          </w:p>
          <w:p w14:paraId="69C92F7A" w14:textId="77777777" w:rsidR="009125FD" w:rsidRDefault="009125FD" w:rsidP="009125FD">
            <w:pPr>
              <w:rPr>
                <w:rFonts w:ascii="Arial" w:hAnsi="Arial" w:cs="Arial"/>
                <w:color w:val="000000"/>
                <w:sz w:val="18"/>
                <w:szCs w:val="18"/>
              </w:rPr>
            </w:pPr>
            <w:r w:rsidRPr="005C5D59">
              <w:rPr>
                <w:rFonts w:ascii="Arial" w:hAnsi="Arial" w:cs="Arial"/>
                <w:color w:val="000000"/>
                <w:sz w:val="18"/>
                <w:szCs w:val="18"/>
              </w:rPr>
              <w:t xml:space="preserve"> </w:t>
            </w:r>
          </w:p>
          <w:p w14:paraId="662F4F75" w14:textId="77777777" w:rsidR="009125FD" w:rsidRPr="005C5D59" w:rsidRDefault="009125FD" w:rsidP="009125FD">
            <w:pP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40082A2C"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1446BEB1" w14:textId="77777777" w:rsidR="009125FD" w:rsidRPr="00871BF2" w:rsidRDefault="009125FD" w:rsidP="009125FD">
            <w:pPr>
              <w:jc w:val="center"/>
              <w:rPr>
                <w:rFonts w:ascii="Arial" w:hAnsi="Arial" w:cs="Arial"/>
                <w:b/>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790E4492" w14:textId="77777777" w:rsidR="009125FD" w:rsidRPr="00FB56F0" w:rsidRDefault="009125FD" w:rsidP="009125FD">
            <w:pPr>
              <w:rPr>
                <w:rFonts w:ascii="Arial" w:hAnsi="Arial" w:cs="Arial"/>
                <w:sz w:val="18"/>
                <w:szCs w:val="18"/>
              </w:rPr>
            </w:pPr>
            <w:r w:rsidRPr="00FB56F0">
              <w:rPr>
                <w:rFonts w:ascii="Arial" w:hAnsi="Arial" w:cs="Arial"/>
                <w:noProof/>
                <w:sz w:val="18"/>
                <w:szCs w:val="18"/>
              </w:rPr>
              <w:t>Technologist</w:t>
            </w:r>
          </w:p>
          <w:p w14:paraId="33697EB0" w14:textId="77777777" w:rsidR="009125FD" w:rsidRPr="00836EE2" w:rsidRDefault="009125FD" w:rsidP="009125FD">
            <w:pPr>
              <w:ind w:left="36"/>
              <w:rPr>
                <w:rFonts w:ascii="Arial" w:hAnsi="Arial" w:cs="Arial"/>
                <w:sz w:val="18"/>
                <w:szCs w:val="18"/>
              </w:rPr>
            </w:pPr>
          </w:p>
          <w:p w14:paraId="712E0445" w14:textId="77777777" w:rsidR="009125FD" w:rsidRPr="005C5D59" w:rsidRDefault="009125FD" w:rsidP="009125FD">
            <w:pPr>
              <w:rPr>
                <w:rFonts w:ascii="Arial" w:hAnsi="Arial" w:cs="Arial"/>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tcPr>
          <w:p w14:paraId="0D66BF35"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9C21CB6"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6D43E64"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r w:rsidR="009125FD" w:rsidRPr="005C5D59" w14:paraId="141FFD8D" w14:textId="77777777" w:rsidTr="009125FD">
        <w:trPr>
          <w:cantSplit/>
          <w:trHeight w:val="576"/>
        </w:trPr>
        <w:tc>
          <w:tcPr>
            <w:tcW w:w="1843" w:type="dxa"/>
            <w:vMerge/>
            <w:tcBorders>
              <w:left w:val="single" w:sz="4" w:space="0" w:color="000000"/>
              <w:right w:val="single" w:sz="4" w:space="0" w:color="000000"/>
            </w:tcBorders>
            <w:vAlign w:val="bottom"/>
          </w:tcPr>
          <w:p w14:paraId="4B9A3307"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5A46AAE" w14:textId="77777777" w:rsidR="009125FD" w:rsidRDefault="009125FD" w:rsidP="009125FD">
            <w:pPr>
              <w:rPr>
                <w:rFonts w:ascii="Arial" w:hAnsi="Arial" w:cs="Arial"/>
                <w:sz w:val="18"/>
                <w:szCs w:val="18"/>
              </w:rPr>
            </w:pPr>
            <w:r w:rsidRPr="005C5D59">
              <w:rPr>
                <w:rFonts w:ascii="Arial" w:hAnsi="Arial" w:cs="Arial"/>
                <w:sz w:val="18"/>
                <w:szCs w:val="18"/>
              </w:rPr>
              <w:t>RED BLOOD CELLS</w:t>
            </w:r>
          </w:p>
          <w:p w14:paraId="3F9D9EEE" w14:textId="77777777" w:rsidR="009125FD" w:rsidRDefault="009125FD" w:rsidP="009125FD">
            <w:pPr>
              <w:rPr>
                <w:rFonts w:ascii="Arial" w:hAnsi="Arial" w:cs="Arial"/>
                <w:sz w:val="18"/>
                <w:szCs w:val="18"/>
              </w:rPr>
            </w:pPr>
          </w:p>
          <w:p w14:paraId="1CE6E4E8" w14:textId="77777777" w:rsidR="009125FD" w:rsidRDefault="009125FD" w:rsidP="009125FD">
            <w:pPr>
              <w:rPr>
                <w:rFonts w:ascii="Arial" w:hAnsi="Arial" w:cs="Arial"/>
                <w:sz w:val="18"/>
                <w:szCs w:val="18"/>
              </w:rPr>
            </w:pPr>
            <w:r w:rsidRPr="005C5D59">
              <w:rPr>
                <w:rFonts w:ascii="Arial" w:hAnsi="Arial" w:cs="Arial"/>
                <w:sz w:val="18"/>
                <w:szCs w:val="18"/>
              </w:rPr>
              <w:t>WHOLE BLOOD</w:t>
            </w:r>
          </w:p>
          <w:p w14:paraId="60E866F4" w14:textId="77777777" w:rsidR="009125FD" w:rsidRDefault="009125FD" w:rsidP="009125FD">
            <w:pPr>
              <w:rPr>
                <w:rFonts w:ascii="Arial" w:hAnsi="Arial" w:cs="Arial"/>
                <w:sz w:val="18"/>
                <w:szCs w:val="18"/>
              </w:rPr>
            </w:pPr>
          </w:p>
          <w:p w14:paraId="4EC29434" w14:textId="77777777" w:rsidR="009125FD" w:rsidRDefault="009125FD" w:rsidP="009125FD">
            <w:pPr>
              <w:rPr>
                <w:rFonts w:ascii="Arial" w:hAnsi="Arial" w:cs="Arial"/>
                <w:sz w:val="18"/>
                <w:szCs w:val="18"/>
              </w:rPr>
            </w:pPr>
            <w:r w:rsidRPr="005C5D59">
              <w:rPr>
                <w:rFonts w:ascii="Arial" w:hAnsi="Arial" w:cs="Arial"/>
                <w:sz w:val="18"/>
                <w:szCs w:val="18"/>
              </w:rPr>
              <w:t>PLATELETS</w:t>
            </w:r>
          </w:p>
          <w:p w14:paraId="19BC6882" w14:textId="77777777" w:rsidR="009125FD" w:rsidRDefault="009125FD" w:rsidP="009125FD">
            <w:pPr>
              <w:rPr>
                <w:rFonts w:ascii="Arial" w:hAnsi="Arial" w:cs="Arial"/>
                <w:color w:val="000000"/>
                <w:sz w:val="18"/>
                <w:szCs w:val="18"/>
              </w:rPr>
            </w:pPr>
            <w:r w:rsidRPr="005C5D59">
              <w:rPr>
                <w:rFonts w:ascii="Arial" w:hAnsi="Arial" w:cs="Arial"/>
                <w:color w:val="000000"/>
                <w:sz w:val="18"/>
                <w:szCs w:val="18"/>
              </w:rPr>
              <w:t xml:space="preserve"> </w:t>
            </w:r>
          </w:p>
          <w:p w14:paraId="6C01FFFE" w14:textId="77777777" w:rsidR="009125FD" w:rsidRPr="005C5D59" w:rsidRDefault="009125FD" w:rsidP="009125FD">
            <w:pPr>
              <w:rPr>
                <w:rFonts w:ascii="Arial" w:hAnsi="Arial" w:cs="Arial"/>
                <w:color w:val="000000"/>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23C69907"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14E96ECC"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5A4C4600"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Lead Technologist</w:t>
            </w:r>
          </w:p>
          <w:p w14:paraId="3B264930"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Traditional Supervisor</w:t>
            </w:r>
          </w:p>
          <w:p w14:paraId="46D29273"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Enhanced Supervisor</w:t>
            </w:r>
          </w:p>
          <w:p w14:paraId="174921B8"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Administrator/Supervisor</w:t>
            </w:r>
          </w:p>
          <w:p w14:paraId="6B9F3E72" w14:textId="77777777" w:rsidR="009125FD" w:rsidRPr="008B278A" w:rsidRDefault="009125FD" w:rsidP="009125FD">
            <w:pPr>
              <w:ind w:left="198" w:hanging="162"/>
              <w:rPr>
                <w:rFonts w:ascii="Arial" w:hAnsi="Arial" w:cs="Arial"/>
                <w:sz w:val="18"/>
                <w:szCs w:val="18"/>
              </w:rPr>
            </w:pPr>
          </w:p>
        </w:tc>
        <w:tc>
          <w:tcPr>
            <w:tcW w:w="4050" w:type="dxa"/>
            <w:tcBorders>
              <w:left w:val="single" w:sz="4" w:space="0" w:color="000000"/>
              <w:bottom w:val="single" w:sz="4" w:space="0" w:color="000000"/>
              <w:right w:val="single" w:sz="4" w:space="0" w:color="000000"/>
            </w:tcBorders>
            <w:vAlign w:val="bottom"/>
          </w:tcPr>
          <w:p w14:paraId="572B9ADE"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CMV Negative cellular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3EE10F70"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5B1A1EE4" w14:textId="3974F950"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 xml:space="preserve">on details for </w:t>
            </w:r>
            <w:r w:rsidR="00AE3B37">
              <w:rPr>
                <w:rFonts w:ascii="Arial" w:hAnsi="Arial" w:cs="Arial"/>
                <w:sz w:val="18"/>
                <w:szCs w:val="18"/>
              </w:rPr>
              <w:t>inclusion in</w:t>
            </w:r>
            <w:r>
              <w:rPr>
                <w:rFonts w:ascii="Arial" w:hAnsi="Arial" w:cs="Arial"/>
                <w:sz w:val="18"/>
                <w:szCs w:val="18"/>
              </w:rPr>
              <w:t xml:space="preserve">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sidR="005C48D9">
              <w:rPr>
                <w:rFonts w:ascii="Arial" w:hAnsi="Arial" w:cs="Arial"/>
                <w:i/>
                <w:sz w:val="18"/>
                <w:szCs w:val="18"/>
              </w:rPr>
              <w:t>.</w:t>
            </w:r>
          </w:p>
        </w:tc>
      </w:tr>
    </w:tbl>
    <w:p w14:paraId="2A4ED334" w14:textId="77777777" w:rsidR="009125FD" w:rsidRPr="005C48D9" w:rsidRDefault="009125FD" w:rsidP="009125FD">
      <w:pPr>
        <w:ind w:left="36"/>
        <w:rPr>
          <w:sz w:val="22"/>
          <w:szCs w:val="22"/>
        </w:rPr>
      </w:pPr>
      <w:r w:rsidRPr="005C48D9">
        <w:rPr>
          <w:sz w:val="22"/>
          <w:szCs w:val="22"/>
        </w:rPr>
        <w:t>*VistA test results are not evaluated by VBECS.</w:t>
      </w:r>
      <w:r w:rsidRPr="005C48D9">
        <w:rPr>
          <w:color w:val="000000"/>
          <w:sz w:val="22"/>
          <w:szCs w:val="22"/>
        </w:rPr>
        <w:t xml:space="preserve"> CMV Negative status is recorded during receipt at Incoming Shipment or added to the unit record in Edit Unit Information.</w:t>
      </w:r>
      <w:r w:rsidRPr="005C48D9">
        <w:rPr>
          <w:sz w:val="22"/>
          <w:szCs w:val="22"/>
        </w:rPr>
        <w:t xml:space="preserve"> All product types in OTHER are evaluated for the requirement including those that are non-cellular.</w:t>
      </w:r>
    </w:p>
    <w:p w14:paraId="2D094896" w14:textId="77777777" w:rsidR="009125FD" w:rsidRDefault="009125FD" w:rsidP="009125FD"/>
    <w:p w14:paraId="58325C09" w14:textId="4ACA1FB0" w:rsidR="00C15299" w:rsidRDefault="00DA0A28" w:rsidP="00BE14D5">
      <w:pPr>
        <w:pStyle w:val="Caption"/>
      </w:pPr>
      <w:r>
        <w:br w:type="page"/>
      </w:r>
      <w:bookmarkStart w:id="950" w:name="_Ref343502649"/>
      <w:r w:rsidR="00BE14D5">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022B7B">
        <w:rPr>
          <w:noProof/>
        </w:rPr>
        <w:t>174</w:t>
      </w:r>
      <w:r w:rsidR="004E20BD">
        <w:rPr>
          <w:noProof/>
        </w:rPr>
        <w:fldChar w:fldCharType="end"/>
      </w:r>
      <w:r w:rsidR="00BE14D5">
        <w:t>: CMV Negative Cellular Products* and Issue Blood Component</w:t>
      </w:r>
      <w:bookmarkEnd w:id="950"/>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F21A5BD"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1F01B24B"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Pr>
                <w:rFonts w:ascii="Arial" w:hAnsi="Arial" w:cs="Arial"/>
                <w:b/>
                <w:sz w:val="18"/>
                <w:szCs w:val="18"/>
              </w:rPr>
              <w:t>CMV Negative Cellular Products</w:t>
            </w:r>
          </w:p>
        </w:tc>
      </w:tr>
      <w:tr w:rsidR="009125FD" w:rsidRPr="005C5D59" w14:paraId="6D1F34E8"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68E009DE"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75E76B0D"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A02D705"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9FFBA0C"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2915965"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7BAEC679"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13D917B" w14:textId="77777777" w:rsidR="009125FD" w:rsidRPr="00A92752" w:rsidRDefault="009125FD" w:rsidP="009125FD">
            <w:pPr>
              <w:jc w:val="center"/>
              <w:rPr>
                <w:rFonts w:ascii="Arial" w:hAnsi="Arial" w:cs="Arial"/>
                <w:sz w:val="28"/>
                <w:szCs w:val="28"/>
              </w:rPr>
            </w:pPr>
            <w:r w:rsidRPr="00A92752">
              <w:rPr>
                <w:rFonts w:ascii="Arial" w:hAnsi="Arial" w:cs="Arial"/>
                <w:b/>
                <w:sz w:val="28"/>
                <w:szCs w:val="28"/>
              </w:rPr>
              <w:t xml:space="preserve">CMV negative cellular products*  </w:t>
            </w:r>
          </w:p>
        </w:tc>
        <w:tc>
          <w:tcPr>
            <w:tcW w:w="1469" w:type="dxa"/>
            <w:tcBorders>
              <w:top w:val="single" w:sz="4" w:space="0" w:color="000000"/>
              <w:left w:val="single" w:sz="4" w:space="0" w:color="000000"/>
              <w:right w:val="single" w:sz="4" w:space="0" w:color="000000"/>
            </w:tcBorders>
            <w:shd w:val="pct10" w:color="auto" w:fill="auto"/>
            <w:vAlign w:val="center"/>
            <w:hideMark/>
          </w:tcPr>
          <w:p w14:paraId="1202F66D"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RED BLOOD CELLS</w:t>
            </w:r>
          </w:p>
          <w:p w14:paraId="16B465CD"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WHOLE BLOOD </w:t>
            </w:r>
          </w:p>
          <w:p w14:paraId="21B237C6"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p w14:paraId="4D1279A6"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58D1C38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CMV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0246CCF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7130E42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669657E0" w14:textId="77777777" w:rsidTr="009125FD">
        <w:trPr>
          <w:cantSplit/>
          <w:trHeight w:val="1863"/>
        </w:trPr>
        <w:tc>
          <w:tcPr>
            <w:tcW w:w="1843" w:type="dxa"/>
            <w:vMerge/>
            <w:tcBorders>
              <w:left w:val="single" w:sz="4" w:space="0" w:color="000000"/>
              <w:right w:val="single" w:sz="4" w:space="0" w:color="000000"/>
            </w:tcBorders>
            <w:vAlign w:val="bottom"/>
          </w:tcPr>
          <w:p w14:paraId="7B011A59"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right w:val="single" w:sz="4" w:space="0" w:color="000000"/>
            </w:tcBorders>
            <w:vAlign w:val="center"/>
          </w:tcPr>
          <w:p w14:paraId="745CB50D" w14:textId="77777777" w:rsidR="009125FD" w:rsidRDefault="009125FD" w:rsidP="009125FD">
            <w:pPr>
              <w:jc w:val="center"/>
              <w:rPr>
                <w:rFonts w:ascii="Arial" w:hAnsi="Arial" w:cs="Arial"/>
                <w:sz w:val="18"/>
                <w:szCs w:val="18"/>
              </w:rPr>
            </w:pPr>
            <w:r w:rsidRPr="005C5D59">
              <w:rPr>
                <w:rFonts w:ascii="Arial" w:hAnsi="Arial" w:cs="Arial"/>
                <w:sz w:val="18"/>
                <w:szCs w:val="18"/>
              </w:rPr>
              <w:t>RED BLOOD CELLS</w:t>
            </w:r>
          </w:p>
          <w:p w14:paraId="239AA325"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 xml:space="preserve"> </w:t>
            </w:r>
          </w:p>
          <w:p w14:paraId="7E7179C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p w14:paraId="625B0351" w14:textId="77777777" w:rsidR="009125FD" w:rsidRDefault="009125FD" w:rsidP="009125FD">
            <w:pPr>
              <w:jc w:val="center"/>
              <w:rPr>
                <w:rFonts w:ascii="Arial" w:hAnsi="Arial" w:cs="Arial"/>
                <w:sz w:val="18"/>
                <w:szCs w:val="18"/>
              </w:rPr>
            </w:pPr>
          </w:p>
          <w:p w14:paraId="589B23D9"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p w14:paraId="52BB2B79" w14:textId="77777777" w:rsidR="009125FD" w:rsidRDefault="009125FD" w:rsidP="009125FD">
            <w:pPr>
              <w:jc w:val="center"/>
              <w:rPr>
                <w:rFonts w:ascii="Arial" w:hAnsi="Arial" w:cs="Arial"/>
                <w:color w:val="000000"/>
                <w:sz w:val="18"/>
                <w:szCs w:val="18"/>
              </w:rPr>
            </w:pPr>
          </w:p>
          <w:p w14:paraId="717FB385"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right w:val="single" w:sz="4" w:space="0" w:color="000000"/>
            </w:tcBorders>
            <w:vAlign w:val="center"/>
          </w:tcPr>
          <w:p w14:paraId="4B16EB1A"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494632F7"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right w:val="single" w:sz="4" w:space="0" w:color="000000"/>
            </w:tcBorders>
            <w:vAlign w:val="center"/>
          </w:tcPr>
          <w:p w14:paraId="251E0480" w14:textId="77777777" w:rsidR="009125FD" w:rsidRPr="000E5D20" w:rsidRDefault="009125FD" w:rsidP="009125FD">
            <w:pPr>
              <w:ind w:left="18"/>
              <w:rPr>
                <w:rFonts w:ascii="Arial" w:hAnsi="Arial" w:cs="Arial"/>
                <w:sz w:val="18"/>
                <w:szCs w:val="18"/>
              </w:rPr>
            </w:pPr>
            <w:r w:rsidRPr="000E5D20">
              <w:rPr>
                <w:rFonts w:ascii="Arial" w:hAnsi="Arial" w:cs="Arial"/>
                <w:noProof/>
                <w:sz w:val="18"/>
                <w:szCs w:val="18"/>
              </w:rPr>
              <w:t>Technologist</w:t>
            </w:r>
          </w:p>
          <w:p w14:paraId="0B9F6304" w14:textId="77777777" w:rsidR="009125FD" w:rsidRPr="00836EE2" w:rsidRDefault="009125FD" w:rsidP="009125FD">
            <w:pPr>
              <w:ind w:left="18"/>
              <w:rPr>
                <w:rFonts w:ascii="Arial" w:hAnsi="Arial" w:cs="Arial"/>
                <w:sz w:val="18"/>
                <w:szCs w:val="18"/>
              </w:rPr>
            </w:pPr>
          </w:p>
          <w:p w14:paraId="7CA652FC" w14:textId="77777777" w:rsidR="009125FD" w:rsidRPr="000E5D20" w:rsidRDefault="009125FD" w:rsidP="009125FD">
            <w:pPr>
              <w:ind w:left="18"/>
              <w:rPr>
                <w:rFonts w:ascii="Arial" w:hAnsi="Arial" w:cs="Arial"/>
                <w:noProof/>
                <w:sz w:val="18"/>
                <w:szCs w:val="18"/>
              </w:rPr>
            </w:pPr>
            <w:r w:rsidRPr="000E5D2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13CA9924"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E61BCD6"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715D7AE" w14:textId="77777777" w:rsidTr="009125FD">
        <w:trPr>
          <w:cantSplit/>
          <w:trHeight w:val="2898"/>
        </w:trPr>
        <w:tc>
          <w:tcPr>
            <w:tcW w:w="1843" w:type="dxa"/>
            <w:vMerge/>
            <w:tcBorders>
              <w:left w:val="single" w:sz="4" w:space="0" w:color="000000"/>
              <w:right w:val="single" w:sz="4" w:space="0" w:color="000000"/>
            </w:tcBorders>
            <w:vAlign w:val="bottom"/>
          </w:tcPr>
          <w:p w14:paraId="30B60910"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right w:val="single" w:sz="4" w:space="0" w:color="000000"/>
            </w:tcBorders>
            <w:vAlign w:val="center"/>
          </w:tcPr>
          <w:p w14:paraId="528678BD"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0BD2C0E8" w14:textId="77777777" w:rsidR="009125FD" w:rsidRDefault="009125FD" w:rsidP="009125FD">
            <w:pPr>
              <w:jc w:val="center"/>
              <w:rPr>
                <w:rFonts w:ascii="Arial" w:hAnsi="Arial" w:cs="Arial"/>
                <w:sz w:val="18"/>
                <w:szCs w:val="18"/>
              </w:rPr>
            </w:pPr>
          </w:p>
          <w:p w14:paraId="2F3F3A61"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p w14:paraId="27AF7AA0" w14:textId="77777777" w:rsidR="009125FD" w:rsidRDefault="009125FD" w:rsidP="009125FD">
            <w:pPr>
              <w:jc w:val="center"/>
              <w:rPr>
                <w:rFonts w:ascii="Arial" w:hAnsi="Arial" w:cs="Arial"/>
                <w:sz w:val="18"/>
                <w:szCs w:val="18"/>
              </w:rPr>
            </w:pPr>
          </w:p>
          <w:p w14:paraId="1200085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p w14:paraId="264DD97D" w14:textId="77777777" w:rsidR="009125FD" w:rsidRDefault="009125FD" w:rsidP="009125FD">
            <w:pPr>
              <w:jc w:val="center"/>
              <w:rPr>
                <w:rFonts w:ascii="Arial" w:hAnsi="Arial" w:cs="Arial"/>
                <w:color w:val="000000"/>
                <w:sz w:val="18"/>
                <w:szCs w:val="18"/>
              </w:rPr>
            </w:pPr>
          </w:p>
          <w:p w14:paraId="139D5400"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right w:val="single" w:sz="4" w:space="0" w:color="000000"/>
            </w:tcBorders>
            <w:vAlign w:val="center"/>
          </w:tcPr>
          <w:p w14:paraId="15AC3156"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09ED5F9A"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right w:val="single" w:sz="4" w:space="0" w:color="000000"/>
            </w:tcBorders>
            <w:vAlign w:val="center"/>
          </w:tcPr>
          <w:p w14:paraId="727942A0"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Lead Technologist</w:t>
            </w:r>
          </w:p>
          <w:p w14:paraId="30FDF05B"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Traditional Supervisor</w:t>
            </w:r>
          </w:p>
          <w:p w14:paraId="18FAB332"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Enhanced Supervisor</w:t>
            </w:r>
          </w:p>
          <w:p w14:paraId="64B93A5C"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Administrator/Supervisor</w:t>
            </w:r>
          </w:p>
          <w:p w14:paraId="3100DA47"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08C29D21"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w:t>
            </w:r>
            <w:r w:rsidRPr="0033381C">
              <w:rPr>
                <w:rFonts w:ascii="Arial" w:hAnsi="Arial" w:cs="Arial"/>
                <w:i/>
                <w:sz w:val="18"/>
                <w:szCs w:val="18"/>
              </w:rPr>
              <w:t xml:space="preserve">s </w:t>
            </w:r>
            <w:r w:rsidRPr="0033381C">
              <w:rPr>
                <w:rFonts w:ascii="Arial" w:hAnsi="Arial" w:cs="Arial"/>
                <w:sz w:val="18"/>
                <w:szCs w:val="18"/>
              </w:rPr>
              <w:t>CMV Negative Cellular Products</w:t>
            </w:r>
            <w:r w:rsidRPr="0033381C">
              <w:rPr>
                <w:rFonts w:ascii="Arial" w:hAnsi="Arial" w:cs="Arial"/>
                <w:i/>
                <w:sz w:val="18"/>
                <w:szCs w:val="18"/>
              </w:rPr>
              <w:t xml:space="preserve"> Transfusion </w:t>
            </w:r>
            <w:r w:rsidRPr="00836EE2">
              <w:rPr>
                <w:rFonts w:ascii="Arial" w:hAnsi="Arial" w:cs="Arial"/>
                <w:i/>
                <w:sz w:val="18"/>
                <w:szCs w:val="18"/>
              </w:rPr>
              <w:t>Requirement is not satisfied</w:t>
            </w:r>
            <w:r w:rsidRPr="005C5D59">
              <w:rPr>
                <w:rFonts w:ascii="Arial" w:hAnsi="Arial" w:cs="Arial"/>
                <w:sz w:val="18"/>
                <w:szCs w:val="18"/>
              </w:rPr>
              <w:t xml:space="preserve"> and prompts the user whether to proceed. </w:t>
            </w:r>
          </w:p>
          <w:p w14:paraId="2D12AB78"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4048E213" w14:textId="1385DD22"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2C0013D1" w14:textId="77777777" w:rsidR="009125FD" w:rsidRPr="005C48D9" w:rsidRDefault="009125FD" w:rsidP="009125FD">
      <w:pPr>
        <w:ind w:left="36"/>
        <w:rPr>
          <w:sz w:val="22"/>
          <w:szCs w:val="22"/>
        </w:rPr>
      </w:pPr>
      <w:r w:rsidRPr="005C48D9">
        <w:rPr>
          <w:sz w:val="22"/>
          <w:szCs w:val="22"/>
        </w:rPr>
        <w:t>*VistA test results are not evaluated by VBECS.</w:t>
      </w:r>
      <w:r w:rsidRPr="005C48D9">
        <w:rPr>
          <w:color w:val="000000"/>
          <w:sz w:val="22"/>
          <w:szCs w:val="22"/>
        </w:rPr>
        <w:t xml:space="preserve"> CMV Negative status is recorded during receipt at Incoming Shipment or added to the unit record in Edit Unit Information.</w:t>
      </w:r>
      <w:r w:rsidRPr="005C48D9">
        <w:rPr>
          <w:sz w:val="22"/>
          <w:szCs w:val="22"/>
        </w:rPr>
        <w:t xml:space="preserve"> All product types in OTHER are evaluated for the requirement including those that are non-cellular.</w:t>
      </w:r>
    </w:p>
    <w:p w14:paraId="1A04F818" w14:textId="77777777" w:rsidR="00D32A05" w:rsidRPr="00BD67C7" w:rsidRDefault="00BE14D5" w:rsidP="00BE14D5">
      <w:pPr>
        <w:jc w:val="center"/>
        <w:rPr>
          <w:sz w:val="22"/>
          <w:szCs w:val="22"/>
        </w:rPr>
      </w:pPr>
      <w:r>
        <w:br w:type="page"/>
      </w:r>
      <w:r w:rsidRPr="00BD67C7">
        <w:rPr>
          <w:sz w:val="22"/>
          <w:szCs w:val="22"/>
        </w:rPr>
        <w:lastRenderedPageBreak/>
        <w:t>This page intentionally left blank.</w:t>
      </w:r>
    </w:p>
    <w:p w14:paraId="4BAE68EA" w14:textId="77777777" w:rsidR="00D32A05" w:rsidRPr="001C29FC" w:rsidRDefault="00D32A05" w:rsidP="00D32A05">
      <w:pPr>
        <w:pStyle w:val="Heading2"/>
      </w:pPr>
      <w:r>
        <w:br w:type="page"/>
      </w:r>
      <w:bookmarkStart w:id="951" w:name="_Ref139877903"/>
      <w:bookmarkStart w:id="952" w:name="_Toc355768163"/>
      <w:bookmarkStart w:id="953" w:name="_Toc358977308"/>
      <w:bookmarkStart w:id="954" w:name="_Toc47516860"/>
      <w:bookmarkStart w:id="955" w:name="_Toc54684874"/>
      <w:bookmarkStart w:id="956" w:name="_Toc137529672"/>
      <w:r w:rsidRPr="001C29FC">
        <w:lastRenderedPageBreak/>
        <w:t xml:space="preserve">Appendix </w:t>
      </w:r>
      <w:r w:rsidR="000A1A0F">
        <w:t>M</w:t>
      </w:r>
      <w:r w:rsidRPr="001C29FC">
        <w:t>: Workload Process Mapping to Application Option Table</w:t>
      </w:r>
      <w:bookmarkEnd w:id="951"/>
      <w:bookmarkEnd w:id="952"/>
      <w:bookmarkEnd w:id="953"/>
      <w:bookmarkEnd w:id="954"/>
      <w:r w:rsidR="00601D23">
        <w:t xml:space="preserve"> </w:t>
      </w:r>
      <w:r w:rsidR="00601D23" w:rsidRPr="00601D23">
        <w:rPr>
          <w:rFonts w:ascii="Arial Bold" w:hAnsi="Arial Bold"/>
          <w:vanish/>
        </w:rPr>
        <w:t>DR 4679</w:t>
      </w:r>
      <w:r w:rsidRPr="001C29FC">
        <w:fldChar w:fldCharType="begin"/>
      </w:r>
      <w:r w:rsidRPr="001C29FC">
        <w:instrText xml:space="preserve"> XE "Workload Process Mapping to Application Option Table" </w:instrText>
      </w:r>
      <w:r w:rsidRPr="001C29FC">
        <w:fldChar w:fldCharType="end"/>
      </w:r>
    </w:p>
    <w:bookmarkEnd w:id="955"/>
    <w:bookmarkEnd w:id="956"/>
    <w:p w14:paraId="7CFBBBAF" w14:textId="5AF787B7" w:rsidR="00D32A05" w:rsidRPr="001C29FC" w:rsidRDefault="0002571B" w:rsidP="00D32A05">
      <w:pPr>
        <w:pStyle w:val="BodyText"/>
      </w:pPr>
      <w:r>
        <w:fldChar w:fldCharType="begin"/>
      </w:r>
      <w:r>
        <w:instrText xml:space="preserve"> REF _Ref257016527 \h </w:instrText>
      </w:r>
      <w:r>
        <w:fldChar w:fldCharType="separate"/>
      </w:r>
      <w:r w:rsidR="004353ED" w:rsidRPr="001C29FC">
        <w:t xml:space="preserve">Table </w:t>
      </w:r>
      <w:r w:rsidR="004353ED">
        <w:rPr>
          <w:noProof/>
        </w:rPr>
        <w:t>38</w:t>
      </w:r>
      <w:r>
        <w:fldChar w:fldCharType="end"/>
      </w:r>
      <w:r w:rsidR="00D32A05" w:rsidRPr="001C29FC">
        <w:t>associates record saves with workload processes. The data fields identified for transmission at the completion of a Workload Event are based on current VistA workload-related files and fields. VBECS will transmit information to a new flat file. There are no donor workload types in VBECS.</w:t>
      </w:r>
    </w:p>
    <w:p w14:paraId="605C313E" w14:textId="0FAD7D08" w:rsidR="00D32A05" w:rsidRPr="001C29FC" w:rsidRDefault="00D32A05" w:rsidP="00D32A05">
      <w:pPr>
        <w:pStyle w:val="Caption"/>
      </w:pPr>
      <w:bookmarkStart w:id="957" w:name="_Ref257016527"/>
      <w:bookmarkStart w:id="958" w:name="_Ref256080480"/>
      <w:r w:rsidRPr="001C29FC">
        <w:t xml:space="preserve">Table </w:t>
      </w:r>
      <w:r w:rsidR="004E20BD">
        <w:rPr>
          <w:noProof/>
        </w:rPr>
        <w:fldChar w:fldCharType="begin"/>
      </w:r>
      <w:r w:rsidR="004E20BD">
        <w:rPr>
          <w:noProof/>
        </w:rPr>
        <w:instrText xml:space="preserve"> SEQ Table \* ARABIC </w:instrText>
      </w:r>
      <w:r w:rsidR="004E20BD">
        <w:rPr>
          <w:noProof/>
        </w:rPr>
        <w:fldChar w:fldCharType="separate"/>
      </w:r>
      <w:r w:rsidR="004353ED">
        <w:rPr>
          <w:noProof/>
        </w:rPr>
        <w:t>38</w:t>
      </w:r>
      <w:r w:rsidR="004E20BD">
        <w:rPr>
          <w:noProof/>
        </w:rPr>
        <w:fldChar w:fldCharType="end"/>
      </w:r>
      <w:bookmarkEnd w:id="957"/>
      <w:r w:rsidRPr="001C29FC">
        <w:t>: Workload Process Mapping to Application Option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3"/>
        <w:gridCol w:w="1442"/>
        <w:gridCol w:w="1633"/>
        <w:gridCol w:w="4482"/>
      </w:tblGrid>
      <w:tr w:rsidR="00D32A05" w:rsidRPr="001C29FC" w14:paraId="740561A9" w14:textId="77777777" w:rsidTr="000A750D">
        <w:trPr>
          <w:cantSplit/>
          <w:tblHeader/>
        </w:trPr>
        <w:tc>
          <w:tcPr>
            <w:tcW w:w="1803" w:type="dxa"/>
            <w:tcBorders>
              <w:bottom w:val="single" w:sz="4" w:space="0" w:color="auto"/>
            </w:tcBorders>
            <w:shd w:val="clear" w:color="auto" w:fill="C0C0C0"/>
            <w:vAlign w:val="bottom"/>
          </w:tcPr>
          <w:bookmarkEnd w:id="958"/>
          <w:p w14:paraId="4BD9FD5A" w14:textId="77777777" w:rsidR="00D32A05" w:rsidRPr="001C29FC" w:rsidRDefault="00D32A05" w:rsidP="00D32A05">
            <w:pPr>
              <w:pStyle w:val="TableText"/>
              <w:rPr>
                <w:b/>
              </w:rPr>
            </w:pPr>
            <w:r w:rsidRPr="001C29FC">
              <w:rPr>
                <w:b/>
              </w:rPr>
              <w:t>Record Save Option</w:t>
            </w:r>
          </w:p>
        </w:tc>
        <w:tc>
          <w:tcPr>
            <w:tcW w:w="1442" w:type="dxa"/>
            <w:tcBorders>
              <w:bottom w:val="single" w:sz="4" w:space="0" w:color="auto"/>
            </w:tcBorders>
            <w:shd w:val="clear" w:color="auto" w:fill="C0C0C0"/>
            <w:vAlign w:val="bottom"/>
          </w:tcPr>
          <w:p w14:paraId="04D939C5" w14:textId="77777777" w:rsidR="00D32A05" w:rsidRPr="001C29FC" w:rsidRDefault="00D32A05" w:rsidP="00D32A05">
            <w:pPr>
              <w:pStyle w:val="TableText"/>
              <w:rPr>
                <w:b/>
              </w:rPr>
            </w:pPr>
            <w:r w:rsidRPr="001C29FC">
              <w:rPr>
                <w:b/>
              </w:rPr>
              <w:t>VBECS Process</w:t>
            </w:r>
          </w:p>
        </w:tc>
        <w:tc>
          <w:tcPr>
            <w:tcW w:w="1633" w:type="dxa"/>
            <w:tcBorders>
              <w:bottom w:val="single" w:sz="4" w:space="0" w:color="auto"/>
            </w:tcBorders>
            <w:shd w:val="clear" w:color="auto" w:fill="C0C0C0"/>
            <w:vAlign w:val="bottom"/>
          </w:tcPr>
          <w:p w14:paraId="1C89E667" w14:textId="77777777" w:rsidR="00D32A05" w:rsidRPr="001C29FC" w:rsidRDefault="00D32A05" w:rsidP="00D32A05">
            <w:pPr>
              <w:pStyle w:val="TableText"/>
              <w:rPr>
                <w:b/>
              </w:rPr>
            </w:pPr>
            <w:r w:rsidRPr="001C29FC">
              <w:rPr>
                <w:b/>
              </w:rPr>
              <w:t>Transaction Type [P (Patient), U (Unit), M (Miscellaneous)]</w:t>
            </w:r>
          </w:p>
        </w:tc>
        <w:tc>
          <w:tcPr>
            <w:tcW w:w="4482" w:type="dxa"/>
            <w:tcBorders>
              <w:bottom w:val="single" w:sz="4" w:space="0" w:color="auto"/>
            </w:tcBorders>
            <w:shd w:val="clear" w:color="auto" w:fill="C0C0C0"/>
            <w:vAlign w:val="bottom"/>
          </w:tcPr>
          <w:p w14:paraId="7158BADB" w14:textId="77777777" w:rsidR="00D32A05" w:rsidRPr="001C29FC" w:rsidRDefault="00D32A05" w:rsidP="00D32A05">
            <w:pPr>
              <w:pStyle w:val="TableText"/>
              <w:rPr>
                <w:b/>
              </w:rPr>
            </w:pPr>
            <w:r w:rsidRPr="001C29FC">
              <w:rPr>
                <w:b/>
              </w:rPr>
              <w:t xml:space="preserve">Explanation </w:t>
            </w:r>
          </w:p>
        </w:tc>
      </w:tr>
      <w:tr w:rsidR="00D32A05" w:rsidRPr="001C29FC" w14:paraId="2BE45ABA" w14:textId="77777777" w:rsidTr="00D32A05">
        <w:trPr>
          <w:cantSplit/>
        </w:trPr>
        <w:tc>
          <w:tcPr>
            <w:tcW w:w="1803" w:type="dxa"/>
            <w:shd w:val="clear" w:color="auto" w:fill="auto"/>
            <w:vAlign w:val="bottom"/>
          </w:tcPr>
          <w:p w14:paraId="0D808536"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168322FD" w14:textId="77777777" w:rsidR="00D32A05" w:rsidRPr="001C29FC" w:rsidRDefault="00D32A05" w:rsidP="00D32A05">
            <w:pPr>
              <w:pStyle w:val="TableText"/>
              <w:rPr>
                <w:color w:val="000000"/>
                <w:szCs w:val="18"/>
              </w:rPr>
            </w:pPr>
            <w:r w:rsidRPr="001C29FC">
              <w:rPr>
                <w:color w:val="000000"/>
                <w:szCs w:val="18"/>
              </w:rPr>
              <w:t>ABO Forward and reverse typing (patient)</w:t>
            </w:r>
          </w:p>
        </w:tc>
        <w:tc>
          <w:tcPr>
            <w:tcW w:w="1633" w:type="dxa"/>
            <w:shd w:val="clear" w:color="auto" w:fill="auto"/>
          </w:tcPr>
          <w:p w14:paraId="3FE20A7E"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5DB961A8" w14:textId="77777777" w:rsidR="00D32A05" w:rsidRPr="001C29FC" w:rsidRDefault="00D32A05" w:rsidP="00D32A05">
            <w:pPr>
              <w:pStyle w:val="TableText"/>
              <w:rPr>
                <w:color w:val="000000"/>
                <w:szCs w:val="18"/>
              </w:rPr>
            </w:pPr>
            <w:r w:rsidRPr="001C29FC">
              <w:rPr>
                <w:color w:val="000000"/>
                <w:szCs w:val="18"/>
              </w:rPr>
              <w:t>An ABO/Rh test for “pre” or “post” is enabled and a valid interpretation other than Not Tested is selected. A workload event is accrued separately for “Pre” and “Post” entries.</w:t>
            </w:r>
          </w:p>
        </w:tc>
      </w:tr>
      <w:tr w:rsidR="00D32A05" w:rsidRPr="001C29FC" w14:paraId="007B18B4" w14:textId="77777777" w:rsidTr="00D32A05">
        <w:trPr>
          <w:cantSplit/>
        </w:trPr>
        <w:tc>
          <w:tcPr>
            <w:tcW w:w="1803" w:type="dxa"/>
            <w:shd w:val="clear" w:color="auto" w:fill="auto"/>
            <w:vAlign w:val="bottom"/>
          </w:tcPr>
          <w:p w14:paraId="72794C3D" w14:textId="77777777" w:rsidR="00D32A05" w:rsidRPr="001C29FC" w:rsidRDefault="00D32A05" w:rsidP="00D32A05">
            <w:pPr>
              <w:pStyle w:val="TableText"/>
            </w:pPr>
            <w:r w:rsidRPr="001C29FC">
              <w:t>Record Patient ABO/Rh</w:t>
            </w:r>
          </w:p>
        </w:tc>
        <w:tc>
          <w:tcPr>
            <w:tcW w:w="1442" w:type="dxa"/>
            <w:vMerge/>
            <w:shd w:val="clear" w:color="auto" w:fill="auto"/>
          </w:tcPr>
          <w:p w14:paraId="326EA29E" w14:textId="77777777" w:rsidR="00D32A05" w:rsidRPr="001C29FC" w:rsidRDefault="00D32A05" w:rsidP="00D32A05">
            <w:pPr>
              <w:pStyle w:val="TableText"/>
              <w:rPr>
                <w:color w:val="000000"/>
                <w:szCs w:val="18"/>
              </w:rPr>
            </w:pPr>
          </w:p>
        </w:tc>
        <w:tc>
          <w:tcPr>
            <w:tcW w:w="1633" w:type="dxa"/>
            <w:shd w:val="clear" w:color="auto" w:fill="auto"/>
          </w:tcPr>
          <w:p w14:paraId="596154F3"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0604C80C"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CPRS-ordered ABO/Rh test is performed.</w:t>
            </w:r>
          </w:p>
        </w:tc>
      </w:tr>
      <w:tr w:rsidR="00D32A05" w:rsidRPr="001C29FC" w14:paraId="289CB147" w14:textId="77777777" w:rsidTr="00D32A05">
        <w:trPr>
          <w:cantSplit/>
        </w:trPr>
        <w:tc>
          <w:tcPr>
            <w:tcW w:w="1803" w:type="dxa"/>
            <w:shd w:val="clear" w:color="auto" w:fill="auto"/>
            <w:vAlign w:val="bottom"/>
          </w:tcPr>
          <w:p w14:paraId="0D6F688B" w14:textId="77777777" w:rsidR="00D32A05" w:rsidRPr="001C29FC" w:rsidRDefault="00D32A05" w:rsidP="00D32A05">
            <w:pPr>
              <w:pStyle w:val="TableText"/>
            </w:pPr>
            <w:r w:rsidRPr="001C29FC">
              <w:t>Invalidate Patient Test Results*</w:t>
            </w:r>
          </w:p>
        </w:tc>
        <w:tc>
          <w:tcPr>
            <w:tcW w:w="1442" w:type="dxa"/>
            <w:vMerge/>
            <w:shd w:val="clear" w:color="auto" w:fill="auto"/>
          </w:tcPr>
          <w:p w14:paraId="060A43FD" w14:textId="77777777" w:rsidR="00D32A05" w:rsidRPr="001C29FC" w:rsidRDefault="00D32A05" w:rsidP="00D32A05">
            <w:pPr>
              <w:pStyle w:val="TableText"/>
              <w:rPr>
                <w:color w:val="000000"/>
                <w:szCs w:val="18"/>
              </w:rPr>
            </w:pPr>
          </w:p>
        </w:tc>
        <w:tc>
          <w:tcPr>
            <w:tcW w:w="1633" w:type="dxa"/>
            <w:shd w:val="clear" w:color="auto" w:fill="auto"/>
          </w:tcPr>
          <w:p w14:paraId="52DEF552"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E763A05" w14:textId="77777777" w:rsidR="00D32A05" w:rsidRPr="001C29FC" w:rsidRDefault="00D32A05" w:rsidP="00D32A05">
            <w:pPr>
              <w:pStyle w:val="TableText"/>
              <w:rPr>
                <w:szCs w:val="18"/>
              </w:rPr>
            </w:pPr>
            <w:r w:rsidRPr="001C29FC">
              <w:rPr>
                <w:szCs w:val="18"/>
              </w:rPr>
              <w:t>Accrue workload when a completed ABO/Rh test is invalidated.</w:t>
            </w:r>
          </w:p>
        </w:tc>
      </w:tr>
      <w:tr w:rsidR="00D32A05" w:rsidRPr="001C29FC" w14:paraId="0E9BD986" w14:textId="77777777" w:rsidTr="00D32A05">
        <w:trPr>
          <w:cantSplit/>
          <w:tblHeader/>
        </w:trPr>
        <w:tc>
          <w:tcPr>
            <w:tcW w:w="1803" w:type="dxa"/>
            <w:shd w:val="clear" w:color="auto" w:fill="auto"/>
            <w:vAlign w:val="bottom"/>
          </w:tcPr>
          <w:p w14:paraId="1E49B402" w14:textId="77777777" w:rsidR="00D32A05" w:rsidRPr="001C29FC" w:rsidRDefault="00D32A05" w:rsidP="00D32A05">
            <w:pPr>
              <w:pStyle w:val="TableText"/>
            </w:pPr>
            <w:r w:rsidRPr="001C29FC">
              <w:t>Record Patient ABO/Rh</w:t>
            </w:r>
          </w:p>
        </w:tc>
        <w:tc>
          <w:tcPr>
            <w:tcW w:w="1442" w:type="dxa"/>
            <w:vMerge w:val="restart"/>
            <w:shd w:val="clear" w:color="auto" w:fill="auto"/>
          </w:tcPr>
          <w:p w14:paraId="0C8B6195" w14:textId="77777777" w:rsidR="00D32A05" w:rsidRPr="001C29FC" w:rsidRDefault="00D32A05" w:rsidP="00D32A05">
            <w:pPr>
              <w:pStyle w:val="TableText"/>
              <w:rPr>
                <w:color w:val="000000"/>
                <w:szCs w:val="18"/>
              </w:rPr>
            </w:pPr>
            <w:r w:rsidRPr="001C29FC">
              <w:rPr>
                <w:color w:val="000000"/>
                <w:szCs w:val="18"/>
              </w:rPr>
              <w:t>ABO Forward and reverse typing (patient) Repeat Test</w:t>
            </w:r>
          </w:p>
        </w:tc>
        <w:tc>
          <w:tcPr>
            <w:tcW w:w="1633" w:type="dxa"/>
            <w:shd w:val="clear" w:color="auto" w:fill="auto"/>
          </w:tcPr>
          <w:p w14:paraId="5A2B5516"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B6C2387"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ABO/Rh test is performed, completed, and saved.</w:t>
            </w:r>
          </w:p>
        </w:tc>
      </w:tr>
      <w:tr w:rsidR="00D32A05" w:rsidRPr="001C29FC" w14:paraId="3BA13E34" w14:textId="77777777" w:rsidTr="00D32A05">
        <w:trPr>
          <w:cantSplit/>
          <w:tblHeader/>
        </w:trPr>
        <w:tc>
          <w:tcPr>
            <w:tcW w:w="1803" w:type="dxa"/>
            <w:shd w:val="clear" w:color="auto" w:fill="auto"/>
            <w:vAlign w:val="bottom"/>
          </w:tcPr>
          <w:p w14:paraId="0BF4973D" w14:textId="77777777" w:rsidR="00D32A05" w:rsidRPr="001C29FC" w:rsidRDefault="00D32A05" w:rsidP="00D32A05">
            <w:pPr>
              <w:pStyle w:val="TableText"/>
            </w:pPr>
            <w:r w:rsidRPr="001C29FC">
              <w:t>Invalidate Patient Test Results*</w:t>
            </w:r>
          </w:p>
        </w:tc>
        <w:tc>
          <w:tcPr>
            <w:tcW w:w="1442" w:type="dxa"/>
            <w:vMerge/>
            <w:shd w:val="clear" w:color="auto" w:fill="auto"/>
          </w:tcPr>
          <w:p w14:paraId="415AC36C" w14:textId="77777777" w:rsidR="00D32A05" w:rsidRPr="001C29FC" w:rsidRDefault="00D32A05" w:rsidP="00D32A05">
            <w:pPr>
              <w:pStyle w:val="TableText"/>
              <w:rPr>
                <w:color w:val="000000"/>
                <w:szCs w:val="18"/>
              </w:rPr>
            </w:pPr>
          </w:p>
        </w:tc>
        <w:tc>
          <w:tcPr>
            <w:tcW w:w="1633" w:type="dxa"/>
            <w:shd w:val="clear" w:color="auto" w:fill="auto"/>
          </w:tcPr>
          <w:p w14:paraId="5207CBEB"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1026CD5E" w14:textId="77777777" w:rsidR="00D32A05" w:rsidRPr="001C29FC" w:rsidRDefault="00D32A05" w:rsidP="00D32A05">
            <w:pPr>
              <w:pStyle w:val="TableText"/>
              <w:rPr>
                <w:szCs w:val="18"/>
              </w:rPr>
            </w:pPr>
            <w:r w:rsidRPr="001C29FC">
              <w:rPr>
                <w:szCs w:val="18"/>
              </w:rPr>
              <w:t>Accrue workload when a reflex or repeat ABO/Rh test is invalidated.</w:t>
            </w:r>
          </w:p>
        </w:tc>
      </w:tr>
      <w:tr w:rsidR="00D32A05" w:rsidRPr="001C29FC" w14:paraId="37C2B7A7" w14:textId="77777777" w:rsidTr="00D32A05">
        <w:trPr>
          <w:cantSplit/>
          <w:tblHeader/>
        </w:trPr>
        <w:tc>
          <w:tcPr>
            <w:tcW w:w="1803" w:type="dxa"/>
            <w:shd w:val="clear" w:color="auto" w:fill="auto"/>
            <w:vAlign w:val="bottom"/>
          </w:tcPr>
          <w:p w14:paraId="33DC2D6E" w14:textId="77777777" w:rsidR="00D32A05" w:rsidRPr="001C29FC" w:rsidRDefault="00D32A05" w:rsidP="00D32A05">
            <w:pPr>
              <w:pStyle w:val="TableText"/>
            </w:pPr>
            <w:r w:rsidRPr="001C29FC">
              <w:t>ABO/Rh Confirmation</w:t>
            </w:r>
          </w:p>
        </w:tc>
        <w:tc>
          <w:tcPr>
            <w:tcW w:w="1442" w:type="dxa"/>
            <w:vMerge w:val="restart"/>
            <w:shd w:val="clear" w:color="auto" w:fill="auto"/>
          </w:tcPr>
          <w:p w14:paraId="20C794F4" w14:textId="77777777" w:rsidR="00D32A05" w:rsidRPr="001C29FC" w:rsidRDefault="00D32A05" w:rsidP="00D32A05">
            <w:pPr>
              <w:pStyle w:val="TableText"/>
              <w:rPr>
                <w:color w:val="000000"/>
                <w:szCs w:val="18"/>
              </w:rPr>
            </w:pPr>
            <w:r w:rsidRPr="001C29FC">
              <w:rPr>
                <w:color w:val="000000"/>
                <w:szCs w:val="18"/>
              </w:rPr>
              <w:t>ABO forward typing (unit)</w:t>
            </w:r>
          </w:p>
        </w:tc>
        <w:tc>
          <w:tcPr>
            <w:tcW w:w="1633" w:type="dxa"/>
            <w:shd w:val="clear" w:color="auto" w:fill="auto"/>
          </w:tcPr>
          <w:p w14:paraId="23AA0CC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DB8708D" w14:textId="77777777" w:rsidR="00D32A05" w:rsidRPr="001C29FC" w:rsidRDefault="00D32A05" w:rsidP="00D32A05">
            <w:pPr>
              <w:pStyle w:val="TableText"/>
              <w:rPr>
                <w:color w:val="000000"/>
                <w:szCs w:val="18"/>
              </w:rPr>
            </w:pPr>
            <w:r w:rsidRPr="001C29FC">
              <w:rPr>
                <w:color w:val="000000"/>
                <w:szCs w:val="18"/>
              </w:rPr>
              <w:t>An ABO confirmation test is performed. When multiple units are selected in a batch, each unit in the batch accrues a workload event. Note: Workload generated during Anti-D testing is not included in the unit’s confirmation test. Workload is not accrued when an ABO or Rh discrepancy override is processed and VBECS releases all patient assignments. Workload is not accrued when VBECS quarantines the unit due to a discrepancy. There is no special handling for workload collection for additional confirmation tests on a unit.</w:t>
            </w:r>
          </w:p>
        </w:tc>
      </w:tr>
      <w:tr w:rsidR="00D32A05" w:rsidRPr="001C29FC" w14:paraId="4A2FFB2C" w14:textId="77777777" w:rsidTr="00D32A05">
        <w:trPr>
          <w:cantSplit/>
          <w:tblHeader/>
        </w:trPr>
        <w:tc>
          <w:tcPr>
            <w:tcW w:w="1803" w:type="dxa"/>
            <w:shd w:val="clear" w:color="auto" w:fill="auto"/>
            <w:vAlign w:val="bottom"/>
          </w:tcPr>
          <w:p w14:paraId="440C40C2" w14:textId="77777777" w:rsidR="00D32A05" w:rsidRPr="001C29FC" w:rsidRDefault="00D32A05" w:rsidP="00D32A05">
            <w:pPr>
              <w:pStyle w:val="TableText"/>
            </w:pPr>
            <w:r w:rsidRPr="001C29FC">
              <w:t>Edit Unit Information*</w:t>
            </w:r>
          </w:p>
        </w:tc>
        <w:tc>
          <w:tcPr>
            <w:tcW w:w="1442" w:type="dxa"/>
            <w:vMerge/>
            <w:shd w:val="clear" w:color="auto" w:fill="auto"/>
          </w:tcPr>
          <w:p w14:paraId="251D2A12" w14:textId="77777777" w:rsidR="00D32A05" w:rsidRPr="001C29FC" w:rsidRDefault="00D32A05" w:rsidP="00D32A05">
            <w:pPr>
              <w:pStyle w:val="TableText"/>
              <w:rPr>
                <w:color w:val="000000"/>
                <w:szCs w:val="18"/>
              </w:rPr>
            </w:pPr>
          </w:p>
        </w:tc>
        <w:tc>
          <w:tcPr>
            <w:tcW w:w="1633" w:type="dxa"/>
            <w:shd w:val="clear" w:color="auto" w:fill="auto"/>
          </w:tcPr>
          <w:p w14:paraId="6AE3B4FA"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CA2BCC1"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ABO confirmation test is invalidated.</w:t>
            </w:r>
          </w:p>
        </w:tc>
      </w:tr>
      <w:tr w:rsidR="00D32A05" w:rsidRPr="001C29FC" w14:paraId="07745057" w14:textId="77777777" w:rsidTr="00D32A05">
        <w:trPr>
          <w:cantSplit/>
          <w:tblHeader/>
        </w:trPr>
        <w:tc>
          <w:tcPr>
            <w:tcW w:w="1803" w:type="dxa"/>
            <w:shd w:val="clear" w:color="auto" w:fill="auto"/>
            <w:vAlign w:val="bottom"/>
          </w:tcPr>
          <w:p w14:paraId="2DC3B6A1" w14:textId="77777777" w:rsidR="00D32A05" w:rsidRPr="001C29FC" w:rsidRDefault="00D32A05" w:rsidP="00D32A05">
            <w:pPr>
              <w:pStyle w:val="TableText"/>
            </w:pPr>
            <w:r w:rsidRPr="001C29FC">
              <w:t>ABO/Rh Confirmation</w:t>
            </w:r>
          </w:p>
        </w:tc>
        <w:tc>
          <w:tcPr>
            <w:tcW w:w="1442" w:type="dxa"/>
            <w:vMerge w:val="restart"/>
            <w:shd w:val="clear" w:color="auto" w:fill="auto"/>
          </w:tcPr>
          <w:p w14:paraId="48420AB1" w14:textId="77777777" w:rsidR="00D32A05" w:rsidRPr="001C29FC" w:rsidRDefault="00D32A05" w:rsidP="00D32A05">
            <w:pPr>
              <w:pStyle w:val="TableText"/>
              <w:rPr>
                <w:color w:val="000000"/>
                <w:szCs w:val="18"/>
              </w:rPr>
            </w:pPr>
            <w:r w:rsidRPr="001C29FC">
              <w:rPr>
                <w:color w:val="000000"/>
                <w:szCs w:val="18"/>
              </w:rPr>
              <w:t>ABO/Rh forward typing (unit)</w:t>
            </w:r>
          </w:p>
        </w:tc>
        <w:tc>
          <w:tcPr>
            <w:tcW w:w="1633" w:type="dxa"/>
            <w:shd w:val="clear" w:color="auto" w:fill="auto"/>
          </w:tcPr>
          <w:p w14:paraId="28A0F7BA"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24C62BA" w14:textId="77777777" w:rsidR="00D32A05" w:rsidRPr="001C29FC" w:rsidRDefault="00D32A05" w:rsidP="00D32A05">
            <w:pPr>
              <w:pStyle w:val="TableText"/>
              <w:rPr>
                <w:color w:val="000000"/>
                <w:szCs w:val="18"/>
              </w:rPr>
            </w:pPr>
            <w:r w:rsidRPr="001C29FC">
              <w:rPr>
                <w:color w:val="000000"/>
                <w:szCs w:val="18"/>
              </w:rPr>
              <w:t>An ABO/Rh confirmation test is performed. When multiple units are selected in a batch, each unit in the batch accrues a workload event. Note: Workload generated during Anti-D is part of the unit’s confirmation test. Workload is not accrued when an ABO or Rh discrepancy override is processed and VBECS releases all patient assignments. Workload is not accrued when VBECS quarantines the unit due to a discrepancy. Any unit successfully confirmed accrues workload. For split modifications: workload is not inherited by split units. A split unit that requires confirmation accrues confirmation workload at the time of testing. There is no special handling for workload collection for additional confirmation tests on a unit.</w:t>
            </w:r>
          </w:p>
        </w:tc>
      </w:tr>
      <w:tr w:rsidR="00D32A05" w:rsidRPr="001C29FC" w14:paraId="734B920C" w14:textId="77777777" w:rsidTr="00D32A05">
        <w:trPr>
          <w:cantSplit/>
          <w:tblHeader/>
        </w:trPr>
        <w:tc>
          <w:tcPr>
            <w:tcW w:w="1803" w:type="dxa"/>
            <w:shd w:val="clear" w:color="auto" w:fill="auto"/>
            <w:vAlign w:val="bottom"/>
          </w:tcPr>
          <w:p w14:paraId="143ADA1F" w14:textId="77777777" w:rsidR="00D32A05" w:rsidRPr="001C29FC" w:rsidRDefault="00D32A05" w:rsidP="00D32A05">
            <w:pPr>
              <w:pStyle w:val="TableText"/>
            </w:pPr>
            <w:r w:rsidRPr="001C29FC">
              <w:t>Edit Unit Information*</w:t>
            </w:r>
          </w:p>
        </w:tc>
        <w:tc>
          <w:tcPr>
            <w:tcW w:w="1442" w:type="dxa"/>
            <w:vMerge/>
            <w:shd w:val="clear" w:color="auto" w:fill="auto"/>
          </w:tcPr>
          <w:p w14:paraId="30CE99CD" w14:textId="77777777" w:rsidR="00D32A05" w:rsidRPr="001C29FC" w:rsidRDefault="00D32A05" w:rsidP="00D32A05">
            <w:pPr>
              <w:pStyle w:val="TableText"/>
              <w:rPr>
                <w:color w:val="000000"/>
                <w:szCs w:val="18"/>
              </w:rPr>
            </w:pPr>
          </w:p>
        </w:tc>
        <w:tc>
          <w:tcPr>
            <w:tcW w:w="1633" w:type="dxa"/>
            <w:shd w:val="clear" w:color="auto" w:fill="auto"/>
          </w:tcPr>
          <w:p w14:paraId="00EF0C5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DB9284A"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ABO/Rh confirmation test is invalidated.</w:t>
            </w:r>
          </w:p>
        </w:tc>
      </w:tr>
      <w:tr w:rsidR="00D32A05" w:rsidRPr="001C29FC" w14:paraId="2B53A10D" w14:textId="77777777" w:rsidTr="00D32A05">
        <w:trPr>
          <w:cantSplit/>
          <w:tblHeader/>
        </w:trPr>
        <w:tc>
          <w:tcPr>
            <w:tcW w:w="1803" w:type="dxa"/>
            <w:shd w:val="clear" w:color="auto" w:fill="auto"/>
          </w:tcPr>
          <w:p w14:paraId="352EC2C8" w14:textId="77777777" w:rsidR="00D32A05" w:rsidRPr="001C29FC" w:rsidRDefault="00D32A05" w:rsidP="00D32A05">
            <w:pPr>
              <w:pStyle w:val="TableText"/>
              <w:rPr>
                <w:szCs w:val="18"/>
              </w:rPr>
            </w:pPr>
            <w:r w:rsidRPr="001C29FC">
              <w:rPr>
                <w:szCs w:val="18"/>
              </w:rPr>
              <w:lastRenderedPageBreak/>
              <w:t>Accept Order</w:t>
            </w:r>
          </w:p>
        </w:tc>
        <w:tc>
          <w:tcPr>
            <w:tcW w:w="1442" w:type="dxa"/>
            <w:shd w:val="clear" w:color="auto" w:fill="auto"/>
          </w:tcPr>
          <w:p w14:paraId="5DF34633" w14:textId="77777777" w:rsidR="00D32A05" w:rsidRPr="001C29FC" w:rsidRDefault="00D32A05" w:rsidP="00D32A05">
            <w:pPr>
              <w:pStyle w:val="TableText"/>
              <w:rPr>
                <w:szCs w:val="18"/>
              </w:rPr>
            </w:pPr>
            <w:r w:rsidRPr="001C29FC">
              <w:rPr>
                <w:szCs w:val="18"/>
              </w:rPr>
              <w:t>Accept Order</w:t>
            </w:r>
          </w:p>
        </w:tc>
        <w:tc>
          <w:tcPr>
            <w:tcW w:w="1633" w:type="dxa"/>
            <w:shd w:val="clear" w:color="auto" w:fill="auto"/>
          </w:tcPr>
          <w:p w14:paraId="58D900AC"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17FBA0C7" w14:textId="4A5077DE" w:rsidR="00D32A05" w:rsidRPr="001C29FC" w:rsidRDefault="00D32A05" w:rsidP="00D32A05">
            <w:pPr>
              <w:pStyle w:val="TableText"/>
              <w:rPr>
                <w:szCs w:val="18"/>
              </w:rPr>
            </w:pPr>
            <w:r w:rsidRPr="001C29FC">
              <w:rPr>
                <w:szCs w:val="18"/>
              </w:rPr>
              <w:t xml:space="preserve">Accrue workload when an order is accepted. When </w:t>
            </w:r>
            <w:r w:rsidR="00AE3B37" w:rsidRPr="001C29FC">
              <w:rPr>
                <w:szCs w:val="18"/>
              </w:rPr>
              <w:t>multiple orders</w:t>
            </w:r>
            <w:r w:rsidRPr="001C29FC">
              <w:rPr>
                <w:szCs w:val="18"/>
              </w:rPr>
              <w:t xml:space="preserve"> are selected, each order accrues workload.</w:t>
            </w:r>
          </w:p>
        </w:tc>
      </w:tr>
      <w:tr w:rsidR="00D32A05" w:rsidRPr="001C29FC" w14:paraId="47478126" w14:textId="77777777" w:rsidTr="00D32A05">
        <w:trPr>
          <w:cantSplit/>
          <w:tblHeader/>
        </w:trPr>
        <w:tc>
          <w:tcPr>
            <w:tcW w:w="1803" w:type="dxa"/>
            <w:shd w:val="clear" w:color="auto" w:fill="auto"/>
            <w:vAlign w:val="bottom"/>
          </w:tcPr>
          <w:p w14:paraId="42563063" w14:textId="77777777" w:rsidR="00D32A05" w:rsidRPr="001C29FC" w:rsidRDefault="00D32A05" w:rsidP="00D32A05">
            <w:pPr>
              <w:pStyle w:val="TableText"/>
            </w:pPr>
            <w:r w:rsidRPr="001C29FC">
              <w:t>Enter Antibody Identification Results</w:t>
            </w:r>
          </w:p>
        </w:tc>
        <w:tc>
          <w:tcPr>
            <w:tcW w:w="1442" w:type="dxa"/>
            <w:vMerge w:val="restart"/>
            <w:shd w:val="clear" w:color="auto" w:fill="auto"/>
          </w:tcPr>
          <w:p w14:paraId="7F8B166F" w14:textId="77777777" w:rsidR="00D32A05" w:rsidRPr="001C29FC" w:rsidRDefault="00D32A05" w:rsidP="00D32A05">
            <w:pPr>
              <w:pStyle w:val="TableText"/>
              <w:rPr>
                <w:color w:val="000000"/>
                <w:szCs w:val="18"/>
              </w:rPr>
            </w:pPr>
            <w:r w:rsidRPr="001C29FC">
              <w:rPr>
                <w:color w:val="000000"/>
                <w:szCs w:val="18"/>
              </w:rPr>
              <w:t>Antibody identification Work-Up</w:t>
            </w:r>
          </w:p>
        </w:tc>
        <w:tc>
          <w:tcPr>
            <w:tcW w:w="1633" w:type="dxa"/>
            <w:shd w:val="clear" w:color="auto" w:fill="auto"/>
          </w:tcPr>
          <w:p w14:paraId="15E8A3A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18DBE75C" w14:textId="77777777" w:rsidR="00D32A05" w:rsidRPr="001C29FC" w:rsidRDefault="00D32A05" w:rsidP="00D32A05">
            <w:pPr>
              <w:pStyle w:val="TableText"/>
              <w:rPr>
                <w:color w:val="000000"/>
                <w:szCs w:val="18"/>
              </w:rPr>
            </w:pPr>
            <w:r w:rsidRPr="001C29FC">
              <w:rPr>
                <w:color w:val="000000"/>
                <w:szCs w:val="18"/>
              </w:rPr>
              <w:t>User enters additional workload associated with the individual reflex-ordered ABID. The selected VBECS multiplier will multiply against the VistA multiplier and display the (multiplication) product on the Division Workload Report.</w:t>
            </w:r>
          </w:p>
        </w:tc>
      </w:tr>
      <w:tr w:rsidR="00D32A05" w:rsidRPr="001C29FC" w14:paraId="1DB62068" w14:textId="77777777" w:rsidTr="00D32A05">
        <w:trPr>
          <w:cantSplit/>
          <w:tblHeader/>
        </w:trPr>
        <w:tc>
          <w:tcPr>
            <w:tcW w:w="1803" w:type="dxa"/>
            <w:shd w:val="clear" w:color="auto" w:fill="auto"/>
            <w:vAlign w:val="bottom"/>
          </w:tcPr>
          <w:p w14:paraId="1D3268A5"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1E5539D" w14:textId="77777777" w:rsidR="00D32A05" w:rsidRPr="001C29FC" w:rsidRDefault="00D32A05" w:rsidP="00D32A05">
            <w:pPr>
              <w:pStyle w:val="TableText"/>
              <w:rPr>
                <w:color w:val="000000"/>
                <w:szCs w:val="18"/>
              </w:rPr>
            </w:pPr>
          </w:p>
        </w:tc>
        <w:tc>
          <w:tcPr>
            <w:tcW w:w="1633" w:type="dxa"/>
            <w:shd w:val="clear" w:color="auto" w:fill="auto"/>
          </w:tcPr>
          <w:p w14:paraId="45C5876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5E92ED3" w14:textId="77777777" w:rsidR="00D32A05" w:rsidRPr="001C29FC" w:rsidRDefault="00D32A05" w:rsidP="00D32A05">
            <w:pPr>
              <w:pStyle w:val="TableText"/>
              <w:rPr>
                <w:color w:val="000000"/>
                <w:szCs w:val="18"/>
              </w:rPr>
            </w:pPr>
            <w:r w:rsidRPr="001C29FC">
              <w:rPr>
                <w:color w:val="000000"/>
                <w:szCs w:val="18"/>
              </w:rPr>
              <w:t xml:space="preserve">Accrue workload when the ABID is invalidated. </w:t>
            </w:r>
          </w:p>
        </w:tc>
      </w:tr>
      <w:tr w:rsidR="00D32A05" w:rsidRPr="001C29FC" w14:paraId="03FACF23" w14:textId="77777777" w:rsidTr="00D32A05">
        <w:trPr>
          <w:cantSplit/>
          <w:tblHeader/>
        </w:trPr>
        <w:tc>
          <w:tcPr>
            <w:tcW w:w="1803" w:type="dxa"/>
            <w:shd w:val="clear" w:color="auto" w:fill="auto"/>
            <w:vAlign w:val="bottom"/>
          </w:tcPr>
          <w:p w14:paraId="6F0601C2"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547E505C" w14:textId="77777777" w:rsidR="00D32A05" w:rsidRPr="001C29FC" w:rsidRDefault="00D32A05" w:rsidP="00D32A05">
            <w:pPr>
              <w:pStyle w:val="TableText"/>
              <w:rPr>
                <w:color w:val="000000"/>
                <w:szCs w:val="18"/>
              </w:rPr>
            </w:pPr>
            <w:r w:rsidRPr="001C29FC">
              <w:rPr>
                <w:color w:val="000000"/>
                <w:szCs w:val="18"/>
              </w:rPr>
              <w:t>Antibody Screen (patient)</w:t>
            </w:r>
          </w:p>
        </w:tc>
        <w:tc>
          <w:tcPr>
            <w:tcW w:w="1633" w:type="dxa"/>
            <w:shd w:val="clear" w:color="auto" w:fill="auto"/>
          </w:tcPr>
          <w:p w14:paraId="0CDDAE0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2F69AC11" w14:textId="77777777" w:rsidR="00D32A05" w:rsidRPr="001C29FC" w:rsidRDefault="00D32A05" w:rsidP="00D32A05">
            <w:pPr>
              <w:pStyle w:val="TableText"/>
              <w:rPr>
                <w:color w:val="000000"/>
                <w:szCs w:val="18"/>
              </w:rPr>
            </w:pPr>
            <w:r w:rsidRPr="001C29FC">
              <w:rPr>
                <w:color w:val="000000"/>
                <w:szCs w:val="18"/>
              </w:rPr>
              <w:t>An ABS test for “pre” or “post” is enabled and a valid interpretation other than Not Tested is selected. A workload event is accrued separately for “Pre” and “Post” entries.</w:t>
            </w:r>
          </w:p>
        </w:tc>
      </w:tr>
      <w:tr w:rsidR="00D32A05" w:rsidRPr="001C29FC" w14:paraId="28A84649" w14:textId="77777777" w:rsidTr="00D32A05">
        <w:trPr>
          <w:cantSplit/>
          <w:tblHeader/>
        </w:trPr>
        <w:tc>
          <w:tcPr>
            <w:tcW w:w="1803" w:type="dxa"/>
            <w:shd w:val="clear" w:color="auto" w:fill="auto"/>
            <w:vAlign w:val="bottom"/>
          </w:tcPr>
          <w:p w14:paraId="47E925B7" w14:textId="77777777" w:rsidR="00D32A05" w:rsidRPr="001C29FC" w:rsidRDefault="00D32A05" w:rsidP="00D32A05">
            <w:pPr>
              <w:pStyle w:val="TableText"/>
            </w:pPr>
            <w:r w:rsidRPr="001C29FC">
              <w:t>Record Patient Antibody Screen</w:t>
            </w:r>
          </w:p>
        </w:tc>
        <w:tc>
          <w:tcPr>
            <w:tcW w:w="1442" w:type="dxa"/>
            <w:vMerge/>
            <w:shd w:val="clear" w:color="auto" w:fill="auto"/>
          </w:tcPr>
          <w:p w14:paraId="5658B991" w14:textId="77777777" w:rsidR="00D32A05" w:rsidRPr="001C29FC" w:rsidRDefault="00D32A05" w:rsidP="00D32A05">
            <w:pPr>
              <w:pStyle w:val="TableText"/>
              <w:rPr>
                <w:color w:val="000000"/>
                <w:szCs w:val="18"/>
              </w:rPr>
            </w:pPr>
          </w:p>
        </w:tc>
        <w:tc>
          <w:tcPr>
            <w:tcW w:w="1633" w:type="dxa"/>
            <w:shd w:val="clear" w:color="auto" w:fill="auto"/>
          </w:tcPr>
          <w:p w14:paraId="24D3D29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D426EF9"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ordered ABS test is performed.</w:t>
            </w:r>
          </w:p>
        </w:tc>
      </w:tr>
      <w:tr w:rsidR="00D32A05" w:rsidRPr="001C29FC" w14:paraId="2829DBAB" w14:textId="77777777" w:rsidTr="00D32A05">
        <w:trPr>
          <w:cantSplit/>
          <w:tblHeader/>
        </w:trPr>
        <w:tc>
          <w:tcPr>
            <w:tcW w:w="1803" w:type="dxa"/>
            <w:shd w:val="clear" w:color="auto" w:fill="auto"/>
            <w:vAlign w:val="bottom"/>
          </w:tcPr>
          <w:p w14:paraId="5A9D33DD" w14:textId="77777777" w:rsidR="00D32A05" w:rsidRPr="001C29FC" w:rsidRDefault="00D32A05" w:rsidP="00D32A05">
            <w:pPr>
              <w:pStyle w:val="TableText"/>
            </w:pPr>
            <w:r w:rsidRPr="001C29FC">
              <w:t>Invalidate Patient Test Results*</w:t>
            </w:r>
          </w:p>
        </w:tc>
        <w:tc>
          <w:tcPr>
            <w:tcW w:w="1442" w:type="dxa"/>
            <w:vMerge/>
            <w:shd w:val="clear" w:color="auto" w:fill="auto"/>
          </w:tcPr>
          <w:p w14:paraId="5BDB7ADA" w14:textId="77777777" w:rsidR="00D32A05" w:rsidRPr="001C29FC" w:rsidRDefault="00D32A05" w:rsidP="00D32A05">
            <w:pPr>
              <w:pStyle w:val="TableText"/>
              <w:rPr>
                <w:color w:val="000000"/>
                <w:szCs w:val="18"/>
              </w:rPr>
            </w:pPr>
          </w:p>
        </w:tc>
        <w:tc>
          <w:tcPr>
            <w:tcW w:w="1633" w:type="dxa"/>
            <w:shd w:val="clear" w:color="auto" w:fill="auto"/>
          </w:tcPr>
          <w:p w14:paraId="0E04E7AC"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D38693B" w14:textId="77777777" w:rsidR="00D32A05" w:rsidRPr="001C29FC" w:rsidRDefault="00D32A05" w:rsidP="00D32A05">
            <w:pPr>
              <w:pStyle w:val="TableText"/>
              <w:rPr>
                <w:szCs w:val="18"/>
              </w:rPr>
            </w:pPr>
            <w:r w:rsidRPr="001C29FC">
              <w:rPr>
                <w:szCs w:val="18"/>
              </w:rPr>
              <w:t>Accrue workload when a completed ABS test is invalidated.</w:t>
            </w:r>
          </w:p>
        </w:tc>
      </w:tr>
      <w:tr w:rsidR="00D32A05" w:rsidRPr="001C29FC" w14:paraId="126A7B73" w14:textId="77777777" w:rsidTr="00D32A05">
        <w:trPr>
          <w:cantSplit/>
          <w:tblHeader/>
        </w:trPr>
        <w:tc>
          <w:tcPr>
            <w:tcW w:w="1803" w:type="dxa"/>
            <w:shd w:val="clear" w:color="auto" w:fill="auto"/>
            <w:vAlign w:val="bottom"/>
          </w:tcPr>
          <w:p w14:paraId="68DD03DD" w14:textId="77777777" w:rsidR="00D32A05" w:rsidRPr="001C29FC" w:rsidRDefault="00D32A05" w:rsidP="00D32A05">
            <w:pPr>
              <w:pStyle w:val="TableText"/>
            </w:pPr>
            <w:r w:rsidRPr="001C29FC">
              <w:t>Record Patient Antibody Screen</w:t>
            </w:r>
          </w:p>
        </w:tc>
        <w:tc>
          <w:tcPr>
            <w:tcW w:w="1442" w:type="dxa"/>
            <w:vMerge w:val="restart"/>
            <w:shd w:val="clear" w:color="auto" w:fill="auto"/>
          </w:tcPr>
          <w:p w14:paraId="01EA1FD6" w14:textId="77777777" w:rsidR="00D32A05" w:rsidRPr="001C29FC" w:rsidRDefault="00D32A05" w:rsidP="00D32A05">
            <w:pPr>
              <w:pStyle w:val="TableText"/>
              <w:rPr>
                <w:color w:val="000000"/>
                <w:szCs w:val="18"/>
              </w:rPr>
            </w:pPr>
            <w:r w:rsidRPr="001C29FC">
              <w:rPr>
                <w:color w:val="000000"/>
                <w:szCs w:val="18"/>
              </w:rPr>
              <w:t>Antibody Screen (patient) Repeat Test</w:t>
            </w:r>
          </w:p>
        </w:tc>
        <w:tc>
          <w:tcPr>
            <w:tcW w:w="1633" w:type="dxa"/>
            <w:shd w:val="clear" w:color="auto" w:fill="auto"/>
          </w:tcPr>
          <w:p w14:paraId="0DD41376"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1BFB4A9F"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ABS test is performed, completed, and saved.</w:t>
            </w:r>
          </w:p>
        </w:tc>
      </w:tr>
      <w:tr w:rsidR="00D32A05" w:rsidRPr="001C29FC" w14:paraId="4CAFB0BE" w14:textId="77777777" w:rsidTr="00D32A05">
        <w:trPr>
          <w:cantSplit/>
          <w:tblHeader/>
        </w:trPr>
        <w:tc>
          <w:tcPr>
            <w:tcW w:w="1803" w:type="dxa"/>
            <w:shd w:val="clear" w:color="auto" w:fill="auto"/>
            <w:vAlign w:val="bottom"/>
          </w:tcPr>
          <w:p w14:paraId="1A0E9B69"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D6CBA33" w14:textId="77777777" w:rsidR="00D32A05" w:rsidRPr="001C29FC" w:rsidRDefault="00D32A05" w:rsidP="00D32A05">
            <w:pPr>
              <w:pStyle w:val="TableText"/>
              <w:rPr>
                <w:color w:val="000000"/>
                <w:szCs w:val="18"/>
              </w:rPr>
            </w:pPr>
          </w:p>
        </w:tc>
        <w:tc>
          <w:tcPr>
            <w:tcW w:w="1633" w:type="dxa"/>
            <w:shd w:val="clear" w:color="auto" w:fill="auto"/>
          </w:tcPr>
          <w:p w14:paraId="0F301311"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258332A" w14:textId="77777777" w:rsidR="00D32A05" w:rsidRPr="001C29FC" w:rsidRDefault="00D32A05" w:rsidP="00D32A05">
            <w:pPr>
              <w:pStyle w:val="TableText"/>
              <w:rPr>
                <w:szCs w:val="18"/>
              </w:rPr>
            </w:pPr>
            <w:r w:rsidRPr="001C29FC">
              <w:rPr>
                <w:szCs w:val="18"/>
              </w:rPr>
              <w:t>Accrue workload when a reflex or repeat ABS test is invalidated.</w:t>
            </w:r>
          </w:p>
        </w:tc>
      </w:tr>
      <w:tr w:rsidR="00D32A05" w:rsidRPr="001C29FC" w14:paraId="3922D859" w14:textId="77777777" w:rsidTr="00D32A05">
        <w:trPr>
          <w:cantSplit/>
          <w:tblHeader/>
        </w:trPr>
        <w:tc>
          <w:tcPr>
            <w:tcW w:w="1803" w:type="dxa"/>
            <w:shd w:val="clear" w:color="auto" w:fill="auto"/>
            <w:vAlign w:val="bottom"/>
          </w:tcPr>
          <w:p w14:paraId="0B1C44BD" w14:textId="77777777" w:rsidR="00D32A05" w:rsidRPr="001C29FC" w:rsidRDefault="00D32A05" w:rsidP="00D32A05">
            <w:pPr>
              <w:pStyle w:val="TableText"/>
            </w:pPr>
            <w:r w:rsidRPr="001C29FC">
              <w:t>Unit Antigen Typing / Patient Antigen Typing</w:t>
            </w:r>
          </w:p>
        </w:tc>
        <w:tc>
          <w:tcPr>
            <w:tcW w:w="1442" w:type="dxa"/>
            <w:shd w:val="clear" w:color="auto" w:fill="auto"/>
          </w:tcPr>
          <w:p w14:paraId="5685C6B9" w14:textId="77777777" w:rsidR="00D32A05" w:rsidRPr="001C29FC" w:rsidRDefault="00D32A05" w:rsidP="00D32A05">
            <w:pPr>
              <w:pStyle w:val="TableText"/>
              <w:rPr>
                <w:color w:val="000000"/>
                <w:szCs w:val="18"/>
              </w:rPr>
            </w:pPr>
            <w:r w:rsidRPr="001C29FC">
              <w:rPr>
                <w:color w:val="000000"/>
                <w:szCs w:val="18"/>
              </w:rPr>
              <w:t>Antigen phenotyping, Single Test phase (QC)</w:t>
            </w:r>
          </w:p>
        </w:tc>
        <w:tc>
          <w:tcPr>
            <w:tcW w:w="1633" w:type="dxa"/>
            <w:shd w:val="clear" w:color="auto" w:fill="auto"/>
          </w:tcPr>
          <w:p w14:paraId="65258CA8"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6C9206FC"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Antiserum QC in Unit or Patient Antigen Typing includes the testing of both the positive and negative control cells, per specificity by lot number, when only one phase of reactivity is chosen for the test grid (IS or AHG). One workload event is collected per completed tab for regular or repeat antigen tests.</w:t>
            </w:r>
          </w:p>
        </w:tc>
      </w:tr>
      <w:tr w:rsidR="00D32A05" w:rsidRPr="001C29FC" w14:paraId="1D542A79" w14:textId="77777777" w:rsidTr="00D32A05">
        <w:trPr>
          <w:cantSplit/>
          <w:tblHeader/>
        </w:trPr>
        <w:tc>
          <w:tcPr>
            <w:tcW w:w="1803" w:type="dxa"/>
            <w:shd w:val="clear" w:color="auto" w:fill="auto"/>
            <w:vAlign w:val="bottom"/>
          </w:tcPr>
          <w:p w14:paraId="08D2B044" w14:textId="77777777" w:rsidR="00D32A05" w:rsidRPr="001C29FC" w:rsidRDefault="00D32A05" w:rsidP="00D32A05">
            <w:pPr>
              <w:pStyle w:val="TableText"/>
            </w:pPr>
            <w:r w:rsidRPr="001C29FC">
              <w:t>Unit Antigen Typing / Patient Antigen Typing</w:t>
            </w:r>
          </w:p>
        </w:tc>
        <w:tc>
          <w:tcPr>
            <w:tcW w:w="1442" w:type="dxa"/>
            <w:shd w:val="clear" w:color="auto" w:fill="auto"/>
          </w:tcPr>
          <w:p w14:paraId="15C0E3B1" w14:textId="77777777" w:rsidR="00D32A05" w:rsidRPr="001C29FC" w:rsidRDefault="00D32A05" w:rsidP="00D32A05">
            <w:pPr>
              <w:pStyle w:val="TableText"/>
              <w:rPr>
                <w:color w:val="000000"/>
                <w:szCs w:val="18"/>
              </w:rPr>
            </w:pPr>
            <w:r w:rsidRPr="001C29FC">
              <w:rPr>
                <w:color w:val="000000"/>
                <w:szCs w:val="18"/>
              </w:rPr>
              <w:t>Antigen phenotyping, Multiple Test phases (QC)</w:t>
            </w:r>
          </w:p>
        </w:tc>
        <w:tc>
          <w:tcPr>
            <w:tcW w:w="1633" w:type="dxa"/>
            <w:shd w:val="clear" w:color="auto" w:fill="auto"/>
          </w:tcPr>
          <w:p w14:paraId="23EBBF9D"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2622BA5C"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Antiserum QC in Unit or Patient Antigen Typing includes the testing of both the positive and negative control cells, per specificity by lot number, when only multiple phases of reactivity are chosen for the test grid, IS/RT, RT/37, or weak D. One workload event is collected per completed tab for regular or repeat antigen tests.</w:t>
            </w:r>
            <w:r w:rsidRPr="001C29FC">
              <w:rPr>
                <w:color w:val="000000"/>
                <w:szCs w:val="18"/>
              </w:rPr>
              <w:br/>
              <w:t>When weak D is the selected test, QC may not be accrued for the rack selection. QC is accrued when positive and negative cells must be tested for the lot number.</w:t>
            </w:r>
          </w:p>
        </w:tc>
      </w:tr>
      <w:tr w:rsidR="00D32A05" w:rsidRPr="001C29FC" w14:paraId="5872D581" w14:textId="77777777" w:rsidTr="00D32A05">
        <w:trPr>
          <w:cantSplit/>
          <w:tblHeader/>
        </w:trPr>
        <w:tc>
          <w:tcPr>
            <w:tcW w:w="1803" w:type="dxa"/>
            <w:shd w:val="clear" w:color="auto" w:fill="auto"/>
          </w:tcPr>
          <w:p w14:paraId="40EE2FA3" w14:textId="77777777" w:rsidR="00D32A05" w:rsidRPr="001C29FC" w:rsidRDefault="00D32A05" w:rsidP="00D32A05">
            <w:pPr>
              <w:pStyle w:val="TableText"/>
              <w:rPr>
                <w:szCs w:val="18"/>
              </w:rPr>
            </w:pPr>
            <w:r w:rsidRPr="001C29FC">
              <w:rPr>
                <w:szCs w:val="18"/>
              </w:rPr>
              <w:t>Cancel Pending Order</w:t>
            </w:r>
          </w:p>
        </w:tc>
        <w:tc>
          <w:tcPr>
            <w:tcW w:w="1442" w:type="dxa"/>
            <w:shd w:val="clear" w:color="auto" w:fill="auto"/>
          </w:tcPr>
          <w:p w14:paraId="0CA6453A" w14:textId="77777777" w:rsidR="00D32A05" w:rsidRPr="001C29FC" w:rsidRDefault="00D32A05" w:rsidP="00D32A05">
            <w:pPr>
              <w:pStyle w:val="TableText"/>
              <w:rPr>
                <w:szCs w:val="18"/>
              </w:rPr>
            </w:pPr>
            <w:r w:rsidRPr="001C29FC">
              <w:rPr>
                <w:szCs w:val="18"/>
              </w:rPr>
              <w:t>Cancel Order</w:t>
            </w:r>
          </w:p>
        </w:tc>
        <w:tc>
          <w:tcPr>
            <w:tcW w:w="1633" w:type="dxa"/>
            <w:shd w:val="clear" w:color="auto" w:fill="auto"/>
          </w:tcPr>
          <w:p w14:paraId="61BA80B5"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4AE89A43" w14:textId="6839BF4A" w:rsidR="00D32A05" w:rsidRPr="001C29FC" w:rsidRDefault="00D32A05" w:rsidP="00D32A05">
            <w:pPr>
              <w:pStyle w:val="TableText"/>
              <w:rPr>
                <w:szCs w:val="18"/>
              </w:rPr>
            </w:pPr>
            <w:r w:rsidRPr="001C29FC">
              <w:rPr>
                <w:szCs w:val="18"/>
              </w:rPr>
              <w:t>Accrue workload when an order on the pending order list is cancel</w:t>
            </w:r>
            <w:r w:rsidR="002F7E19">
              <w:rPr>
                <w:szCs w:val="18"/>
              </w:rPr>
              <w:t>l</w:t>
            </w:r>
            <w:r w:rsidRPr="001C29FC">
              <w:rPr>
                <w:szCs w:val="18"/>
              </w:rPr>
              <w:t>ed. When multiple orders are cance</w:t>
            </w:r>
            <w:r w:rsidR="002F7E19">
              <w:rPr>
                <w:szCs w:val="18"/>
              </w:rPr>
              <w:t>l</w:t>
            </w:r>
            <w:r w:rsidRPr="001C29FC">
              <w:rPr>
                <w:szCs w:val="18"/>
              </w:rPr>
              <w:t>led, each order accrues workload.</w:t>
            </w:r>
          </w:p>
        </w:tc>
      </w:tr>
      <w:tr w:rsidR="00D32A05" w:rsidRPr="001C29FC" w14:paraId="4AA1AB6F" w14:textId="77777777" w:rsidTr="00D32A05">
        <w:trPr>
          <w:cantSplit/>
          <w:tblHeader/>
        </w:trPr>
        <w:tc>
          <w:tcPr>
            <w:tcW w:w="1803" w:type="dxa"/>
            <w:shd w:val="clear" w:color="auto" w:fill="auto"/>
            <w:vAlign w:val="bottom"/>
          </w:tcPr>
          <w:p w14:paraId="4875958C" w14:textId="77777777" w:rsidR="00D32A05" w:rsidRPr="001C29FC" w:rsidRDefault="00D32A05" w:rsidP="00D32A05">
            <w:pPr>
              <w:pStyle w:val="TableText"/>
            </w:pPr>
            <w:r w:rsidRPr="001C29FC">
              <w:t>Cancel Active Order</w:t>
            </w:r>
          </w:p>
        </w:tc>
        <w:tc>
          <w:tcPr>
            <w:tcW w:w="1442" w:type="dxa"/>
            <w:shd w:val="clear" w:color="auto" w:fill="auto"/>
          </w:tcPr>
          <w:p w14:paraId="61F6F3F9" w14:textId="77777777" w:rsidR="00D32A05" w:rsidRPr="001C29FC" w:rsidRDefault="00D32A05" w:rsidP="00D32A05">
            <w:pPr>
              <w:pStyle w:val="TableText"/>
              <w:rPr>
                <w:szCs w:val="18"/>
              </w:rPr>
            </w:pPr>
            <w:r w:rsidRPr="001C29FC">
              <w:rPr>
                <w:szCs w:val="18"/>
              </w:rPr>
              <w:t>Cancel Order</w:t>
            </w:r>
          </w:p>
        </w:tc>
        <w:tc>
          <w:tcPr>
            <w:tcW w:w="1633" w:type="dxa"/>
            <w:shd w:val="clear" w:color="auto" w:fill="auto"/>
          </w:tcPr>
          <w:p w14:paraId="59FA88AC"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B5A19EE" w14:textId="7E88F02E" w:rsidR="00D32A05" w:rsidRPr="001C29FC" w:rsidRDefault="00D32A05" w:rsidP="00D32A05">
            <w:pPr>
              <w:pStyle w:val="TableText"/>
              <w:rPr>
                <w:szCs w:val="18"/>
              </w:rPr>
            </w:pPr>
            <w:r w:rsidRPr="001C29FC">
              <w:rPr>
                <w:szCs w:val="18"/>
              </w:rPr>
              <w:t>Accrue workload when an order on the pending task list is cancel</w:t>
            </w:r>
            <w:r w:rsidR="002F7E19">
              <w:rPr>
                <w:szCs w:val="18"/>
              </w:rPr>
              <w:t>l</w:t>
            </w:r>
            <w:r w:rsidRPr="001C29FC">
              <w:rPr>
                <w:szCs w:val="18"/>
              </w:rPr>
              <w:t>ed. When multiple orders are cance</w:t>
            </w:r>
            <w:r w:rsidR="002F7E19">
              <w:rPr>
                <w:szCs w:val="18"/>
              </w:rPr>
              <w:t>l</w:t>
            </w:r>
            <w:r w:rsidRPr="001C29FC">
              <w:rPr>
                <w:szCs w:val="18"/>
              </w:rPr>
              <w:t>led, each order accrues workload.</w:t>
            </w:r>
          </w:p>
        </w:tc>
      </w:tr>
      <w:tr w:rsidR="00D32A05" w:rsidRPr="001C29FC" w14:paraId="582D8404" w14:textId="77777777" w:rsidTr="00D32A05">
        <w:trPr>
          <w:cantSplit/>
          <w:tblHeader/>
        </w:trPr>
        <w:tc>
          <w:tcPr>
            <w:tcW w:w="1803" w:type="dxa"/>
            <w:shd w:val="clear" w:color="auto" w:fill="auto"/>
            <w:vAlign w:val="bottom"/>
          </w:tcPr>
          <w:p w14:paraId="373A916C" w14:textId="77777777" w:rsidR="00D32A05" w:rsidRPr="001C29FC" w:rsidRDefault="00D32A05" w:rsidP="00D32A05">
            <w:pPr>
              <w:pStyle w:val="TableText"/>
              <w:rPr>
                <w:szCs w:val="18"/>
              </w:rPr>
            </w:pPr>
            <w:r w:rsidRPr="001C29FC">
              <w:rPr>
                <w:snapToGrid w:val="0"/>
                <w:szCs w:val="18"/>
              </w:rPr>
              <w:t>Select Units for Crossmatch</w:t>
            </w:r>
          </w:p>
        </w:tc>
        <w:tc>
          <w:tcPr>
            <w:tcW w:w="1442" w:type="dxa"/>
            <w:shd w:val="clear" w:color="auto" w:fill="auto"/>
          </w:tcPr>
          <w:p w14:paraId="5CE9BCBE" w14:textId="77777777" w:rsidR="00D32A05" w:rsidRPr="001C29FC" w:rsidRDefault="00D32A05" w:rsidP="00D32A05">
            <w:pPr>
              <w:pStyle w:val="TableText"/>
              <w:rPr>
                <w:szCs w:val="18"/>
              </w:rPr>
            </w:pPr>
            <w:r w:rsidRPr="001C29FC">
              <w:rPr>
                <w:szCs w:val="18"/>
              </w:rPr>
              <w:t>Crossmatch unit, electronic</w:t>
            </w:r>
          </w:p>
        </w:tc>
        <w:tc>
          <w:tcPr>
            <w:tcW w:w="1633" w:type="dxa"/>
            <w:shd w:val="clear" w:color="auto" w:fill="auto"/>
          </w:tcPr>
          <w:p w14:paraId="0DFA9D1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268590F" w14:textId="77777777" w:rsidR="00D32A05" w:rsidRPr="001C29FC" w:rsidRDefault="00D32A05" w:rsidP="00D32A05">
            <w:pPr>
              <w:pStyle w:val="TableText"/>
              <w:rPr>
                <w:color w:val="000000"/>
                <w:szCs w:val="18"/>
              </w:rPr>
            </w:pPr>
            <w:r w:rsidRPr="001C29FC">
              <w:rPr>
                <w:color w:val="000000"/>
                <w:szCs w:val="18"/>
              </w:rPr>
              <w:t>This process is invoked when an individual unit is selected for patient assignment and the unit is electronically crossmatched. When multiple units are selected, each unit accrues workload.</w:t>
            </w:r>
          </w:p>
        </w:tc>
      </w:tr>
      <w:tr w:rsidR="00D32A05" w:rsidRPr="001C29FC" w14:paraId="208D3262" w14:textId="77777777" w:rsidTr="00D32A05">
        <w:trPr>
          <w:cantSplit/>
          <w:tblHeader/>
        </w:trPr>
        <w:tc>
          <w:tcPr>
            <w:tcW w:w="1803" w:type="dxa"/>
            <w:shd w:val="clear" w:color="auto" w:fill="auto"/>
            <w:vAlign w:val="bottom"/>
          </w:tcPr>
          <w:p w14:paraId="652E790C" w14:textId="77777777" w:rsidR="00D32A05" w:rsidRPr="001C29FC" w:rsidRDefault="00D32A05" w:rsidP="00D32A05">
            <w:pPr>
              <w:pStyle w:val="TableText"/>
            </w:pPr>
            <w:r w:rsidRPr="001C29FC">
              <w:lastRenderedPageBreak/>
              <w:t>Enter Crossmatch Results</w:t>
            </w:r>
          </w:p>
        </w:tc>
        <w:tc>
          <w:tcPr>
            <w:tcW w:w="1442" w:type="dxa"/>
            <w:vMerge w:val="restart"/>
            <w:shd w:val="clear" w:color="auto" w:fill="auto"/>
          </w:tcPr>
          <w:p w14:paraId="42E6BB45" w14:textId="77777777" w:rsidR="00D32A05" w:rsidRPr="001C29FC" w:rsidRDefault="00D32A05" w:rsidP="00D32A05">
            <w:pPr>
              <w:pStyle w:val="TableText"/>
              <w:rPr>
                <w:color w:val="000000"/>
                <w:szCs w:val="18"/>
              </w:rPr>
            </w:pPr>
            <w:r w:rsidRPr="001C29FC">
              <w:rPr>
                <w:color w:val="000000"/>
                <w:szCs w:val="18"/>
              </w:rPr>
              <w:t>Crossmatch unit, serologic immediate spin</w:t>
            </w:r>
          </w:p>
        </w:tc>
        <w:tc>
          <w:tcPr>
            <w:tcW w:w="1633" w:type="dxa"/>
            <w:shd w:val="clear" w:color="auto" w:fill="auto"/>
          </w:tcPr>
          <w:p w14:paraId="28AB0DD9"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53F181F"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only the IS phase, is completed, and is saved. When multiple units are selected, each unit accrues workload.</w:t>
            </w:r>
          </w:p>
        </w:tc>
      </w:tr>
      <w:tr w:rsidR="00D32A05" w:rsidRPr="001C29FC" w14:paraId="711098F7" w14:textId="77777777" w:rsidTr="00D32A05">
        <w:trPr>
          <w:cantSplit/>
          <w:tblHeader/>
        </w:trPr>
        <w:tc>
          <w:tcPr>
            <w:tcW w:w="1803" w:type="dxa"/>
            <w:shd w:val="clear" w:color="auto" w:fill="auto"/>
            <w:vAlign w:val="bottom"/>
          </w:tcPr>
          <w:p w14:paraId="63D29A43" w14:textId="77777777" w:rsidR="00D32A05" w:rsidRPr="001C29FC" w:rsidRDefault="00D32A05" w:rsidP="00D32A05">
            <w:pPr>
              <w:pStyle w:val="TableText"/>
            </w:pPr>
            <w:r w:rsidRPr="001C29FC">
              <w:t>Invalidate Patient Test Results*</w:t>
            </w:r>
          </w:p>
        </w:tc>
        <w:tc>
          <w:tcPr>
            <w:tcW w:w="1442" w:type="dxa"/>
            <w:vMerge/>
            <w:shd w:val="clear" w:color="auto" w:fill="auto"/>
          </w:tcPr>
          <w:p w14:paraId="2174F32E" w14:textId="77777777" w:rsidR="00D32A05" w:rsidRPr="001C29FC" w:rsidRDefault="00D32A05" w:rsidP="00D32A05">
            <w:pPr>
              <w:pStyle w:val="TableText"/>
              <w:rPr>
                <w:color w:val="000000"/>
                <w:szCs w:val="18"/>
              </w:rPr>
            </w:pPr>
          </w:p>
        </w:tc>
        <w:tc>
          <w:tcPr>
            <w:tcW w:w="1633" w:type="dxa"/>
            <w:shd w:val="clear" w:color="auto" w:fill="auto"/>
          </w:tcPr>
          <w:p w14:paraId="1EA1E256" w14:textId="77777777" w:rsidR="00D32A05" w:rsidRPr="001C29FC" w:rsidRDefault="00D32A05" w:rsidP="00D32A05">
            <w:pPr>
              <w:pStyle w:val="TableText"/>
              <w:rPr>
                <w:szCs w:val="18"/>
              </w:rPr>
            </w:pPr>
            <w:r w:rsidRPr="001C29FC">
              <w:rPr>
                <w:szCs w:val="18"/>
              </w:rPr>
              <w:t>P</w:t>
            </w:r>
          </w:p>
        </w:tc>
        <w:tc>
          <w:tcPr>
            <w:tcW w:w="4482" w:type="dxa"/>
            <w:shd w:val="clear" w:color="auto" w:fill="auto"/>
          </w:tcPr>
          <w:p w14:paraId="4374C0AE" w14:textId="77777777" w:rsidR="00D32A05" w:rsidRPr="001C29FC" w:rsidRDefault="00D32A05" w:rsidP="00D32A05">
            <w:pPr>
              <w:pStyle w:val="TableText"/>
              <w:rPr>
                <w:szCs w:val="18"/>
              </w:rPr>
            </w:pPr>
            <w:r w:rsidRPr="001C29FC">
              <w:rPr>
                <w:szCs w:val="18"/>
              </w:rPr>
              <w:t>Accrue workload when a completed crossmatch test is invalidated. This applies to the workload originally saved with the serologic immediate spin test.</w:t>
            </w:r>
          </w:p>
        </w:tc>
      </w:tr>
      <w:tr w:rsidR="00D32A05" w:rsidRPr="001C29FC" w14:paraId="70424B84" w14:textId="77777777" w:rsidTr="00D32A05">
        <w:trPr>
          <w:cantSplit/>
          <w:tblHeader/>
        </w:trPr>
        <w:tc>
          <w:tcPr>
            <w:tcW w:w="1803" w:type="dxa"/>
            <w:shd w:val="clear" w:color="auto" w:fill="auto"/>
            <w:vAlign w:val="bottom"/>
          </w:tcPr>
          <w:p w14:paraId="24C9400E"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57AB2A88" w14:textId="77777777" w:rsidR="00D32A05" w:rsidRPr="001C29FC" w:rsidRDefault="00D32A05" w:rsidP="00D32A05">
            <w:pPr>
              <w:pStyle w:val="TableText"/>
              <w:rPr>
                <w:color w:val="000000"/>
                <w:szCs w:val="18"/>
              </w:rPr>
            </w:pPr>
            <w:r w:rsidRPr="001C29FC">
              <w:rPr>
                <w:color w:val="000000"/>
                <w:szCs w:val="18"/>
              </w:rPr>
              <w:t>Crossmatch unit, serological Coombs</w:t>
            </w:r>
          </w:p>
        </w:tc>
        <w:tc>
          <w:tcPr>
            <w:tcW w:w="1633" w:type="dxa"/>
            <w:shd w:val="clear" w:color="auto" w:fill="auto"/>
          </w:tcPr>
          <w:p w14:paraId="5C8B8E4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0DD2E33" w14:textId="77777777" w:rsidR="00D32A05" w:rsidRPr="001C29FC" w:rsidRDefault="00D32A05" w:rsidP="00D32A05">
            <w:pPr>
              <w:pStyle w:val="TableText"/>
              <w:rPr>
                <w:color w:val="000000"/>
                <w:szCs w:val="18"/>
              </w:rPr>
            </w:pPr>
            <w:r w:rsidRPr="001C29FC">
              <w:rPr>
                <w:color w:val="000000"/>
                <w:szCs w:val="18"/>
              </w:rPr>
              <w:t>A crossmatch test for “pre” or “post” is enabled and a valid interpretation other than Not Tested is selected. A workload event is accrued separately for “Pre” and “Post” entries.</w:t>
            </w:r>
            <w:r w:rsidRPr="001C29FC">
              <w:rPr>
                <w:color w:val="000000"/>
                <w:szCs w:val="18"/>
              </w:rPr>
              <w:br/>
              <w:t>When multiple units are selected, each unit accrues workload.</w:t>
            </w:r>
          </w:p>
        </w:tc>
      </w:tr>
      <w:tr w:rsidR="00D32A05" w:rsidRPr="001C29FC" w14:paraId="45BA8A52" w14:textId="77777777" w:rsidTr="00D32A05">
        <w:trPr>
          <w:cantSplit/>
          <w:tblHeader/>
        </w:trPr>
        <w:tc>
          <w:tcPr>
            <w:tcW w:w="1803" w:type="dxa"/>
            <w:shd w:val="clear" w:color="auto" w:fill="auto"/>
            <w:vAlign w:val="bottom"/>
          </w:tcPr>
          <w:p w14:paraId="3A5803DC" w14:textId="77777777" w:rsidR="00D32A05" w:rsidRPr="001C29FC" w:rsidRDefault="00D32A05" w:rsidP="00D32A05">
            <w:pPr>
              <w:pStyle w:val="TableText"/>
            </w:pPr>
            <w:r w:rsidRPr="001C29FC">
              <w:t>Enter Crossmatch Results</w:t>
            </w:r>
          </w:p>
        </w:tc>
        <w:tc>
          <w:tcPr>
            <w:tcW w:w="1442" w:type="dxa"/>
            <w:vMerge/>
            <w:shd w:val="clear" w:color="auto" w:fill="auto"/>
          </w:tcPr>
          <w:p w14:paraId="5D98E0F8" w14:textId="77777777" w:rsidR="00D32A05" w:rsidRPr="001C29FC" w:rsidRDefault="00D32A05" w:rsidP="00D32A05">
            <w:pPr>
              <w:pStyle w:val="TableText"/>
              <w:rPr>
                <w:color w:val="000000"/>
                <w:szCs w:val="18"/>
              </w:rPr>
            </w:pPr>
          </w:p>
        </w:tc>
        <w:tc>
          <w:tcPr>
            <w:tcW w:w="1633" w:type="dxa"/>
            <w:shd w:val="clear" w:color="auto" w:fill="auto"/>
          </w:tcPr>
          <w:p w14:paraId="4CFB5FF6"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29D4059"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all phases or only the AHG phase, is completed, and is saved. When multiple units are selected, each unit accrues workload.</w:t>
            </w:r>
          </w:p>
        </w:tc>
      </w:tr>
      <w:tr w:rsidR="00D32A05" w:rsidRPr="001C29FC" w14:paraId="72A75416" w14:textId="77777777" w:rsidTr="00D32A05">
        <w:trPr>
          <w:cantSplit/>
          <w:tblHeader/>
        </w:trPr>
        <w:tc>
          <w:tcPr>
            <w:tcW w:w="1803" w:type="dxa"/>
            <w:shd w:val="clear" w:color="auto" w:fill="auto"/>
            <w:vAlign w:val="bottom"/>
          </w:tcPr>
          <w:p w14:paraId="20594C86" w14:textId="77777777" w:rsidR="00D32A05" w:rsidRPr="001C29FC" w:rsidRDefault="00D32A05" w:rsidP="00D32A05">
            <w:pPr>
              <w:pStyle w:val="TableText"/>
            </w:pPr>
            <w:r w:rsidRPr="001C29FC">
              <w:t>Invalidate Patient Test Results*</w:t>
            </w:r>
          </w:p>
        </w:tc>
        <w:tc>
          <w:tcPr>
            <w:tcW w:w="1442" w:type="dxa"/>
            <w:vMerge/>
            <w:shd w:val="clear" w:color="auto" w:fill="auto"/>
          </w:tcPr>
          <w:p w14:paraId="1CD97744" w14:textId="77777777" w:rsidR="00D32A05" w:rsidRPr="001C29FC" w:rsidRDefault="00D32A05" w:rsidP="00D32A05">
            <w:pPr>
              <w:pStyle w:val="TableText"/>
              <w:rPr>
                <w:color w:val="000000"/>
                <w:szCs w:val="18"/>
              </w:rPr>
            </w:pPr>
          </w:p>
        </w:tc>
        <w:tc>
          <w:tcPr>
            <w:tcW w:w="1633" w:type="dxa"/>
            <w:shd w:val="clear" w:color="auto" w:fill="auto"/>
          </w:tcPr>
          <w:p w14:paraId="5DC12339" w14:textId="77777777" w:rsidR="00D32A05" w:rsidRPr="001C29FC" w:rsidRDefault="00D32A05" w:rsidP="00D32A05">
            <w:pPr>
              <w:pStyle w:val="TableText"/>
              <w:rPr>
                <w:szCs w:val="18"/>
              </w:rPr>
            </w:pPr>
            <w:r w:rsidRPr="001C29FC">
              <w:rPr>
                <w:szCs w:val="18"/>
              </w:rPr>
              <w:t>P</w:t>
            </w:r>
          </w:p>
        </w:tc>
        <w:tc>
          <w:tcPr>
            <w:tcW w:w="4482" w:type="dxa"/>
            <w:shd w:val="clear" w:color="auto" w:fill="auto"/>
          </w:tcPr>
          <w:p w14:paraId="55713266" w14:textId="77777777" w:rsidR="00D32A05" w:rsidRPr="001C29FC" w:rsidRDefault="00D32A05" w:rsidP="00D32A05">
            <w:pPr>
              <w:pStyle w:val="TableText"/>
              <w:rPr>
                <w:szCs w:val="18"/>
              </w:rPr>
            </w:pPr>
            <w:r w:rsidRPr="001C29FC">
              <w:rPr>
                <w:szCs w:val="18"/>
              </w:rPr>
              <w:t>Accrue workload when a completed crossmatch test is invalidated. This applies to the workload originally saved with the test, serological Coombs.</w:t>
            </w:r>
          </w:p>
        </w:tc>
      </w:tr>
      <w:tr w:rsidR="00D32A05" w:rsidRPr="001C29FC" w14:paraId="744E086E" w14:textId="77777777" w:rsidTr="00D32A05">
        <w:trPr>
          <w:cantSplit/>
          <w:tblHeader/>
        </w:trPr>
        <w:tc>
          <w:tcPr>
            <w:tcW w:w="1803" w:type="dxa"/>
            <w:shd w:val="clear" w:color="auto" w:fill="auto"/>
            <w:vAlign w:val="bottom"/>
          </w:tcPr>
          <w:p w14:paraId="1851B273" w14:textId="77777777" w:rsidR="00D32A05" w:rsidRPr="001C29FC" w:rsidRDefault="00D32A05" w:rsidP="00D32A05">
            <w:pPr>
              <w:pStyle w:val="TableText"/>
            </w:pPr>
            <w:r w:rsidRPr="001C29FC">
              <w:t>Enter Crossmatch Results</w:t>
            </w:r>
          </w:p>
        </w:tc>
        <w:tc>
          <w:tcPr>
            <w:tcW w:w="1442" w:type="dxa"/>
            <w:vMerge w:val="restart"/>
            <w:shd w:val="clear" w:color="auto" w:fill="auto"/>
          </w:tcPr>
          <w:p w14:paraId="1137B355" w14:textId="77777777" w:rsidR="00D32A05" w:rsidRPr="001C29FC" w:rsidRDefault="00D32A05" w:rsidP="00D32A05">
            <w:pPr>
              <w:pStyle w:val="TableText"/>
              <w:rPr>
                <w:color w:val="000000"/>
                <w:szCs w:val="18"/>
              </w:rPr>
            </w:pPr>
            <w:r w:rsidRPr="001C29FC">
              <w:rPr>
                <w:color w:val="000000"/>
                <w:szCs w:val="18"/>
              </w:rPr>
              <w:t>Crossmatch, Repeat Test</w:t>
            </w:r>
          </w:p>
        </w:tc>
        <w:tc>
          <w:tcPr>
            <w:tcW w:w="1633" w:type="dxa"/>
            <w:shd w:val="clear" w:color="auto" w:fill="auto"/>
          </w:tcPr>
          <w:p w14:paraId="20E77748"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6AD7CFDC"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all phases or IS or only the AHG phase, is completed, and is saved. When multiple units are selected, each unit accrues workload.</w:t>
            </w:r>
          </w:p>
        </w:tc>
      </w:tr>
      <w:tr w:rsidR="00D32A05" w:rsidRPr="001C29FC" w14:paraId="61C51A0A" w14:textId="77777777" w:rsidTr="00D32A05">
        <w:trPr>
          <w:cantSplit/>
          <w:tblHeader/>
        </w:trPr>
        <w:tc>
          <w:tcPr>
            <w:tcW w:w="1803" w:type="dxa"/>
            <w:shd w:val="clear" w:color="auto" w:fill="auto"/>
            <w:vAlign w:val="bottom"/>
          </w:tcPr>
          <w:p w14:paraId="70A6582C"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89185B3" w14:textId="77777777" w:rsidR="00D32A05" w:rsidRPr="001C29FC" w:rsidRDefault="00D32A05" w:rsidP="00D32A05">
            <w:pPr>
              <w:pStyle w:val="TableText"/>
              <w:rPr>
                <w:color w:val="000000"/>
                <w:szCs w:val="18"/>
              </w:rPr>
            </w:pPr>
          </w:p>
        </w:tc>
        <w:tc>
          <w:tcPr>
            <w:tcW w:w="1633" w:type="dxa"/>
            <w:shd w:val="clear" w:color="auto" w:fill="auto"/>
          </w:tcPr>
          <w:p w14:paraId="41C2E54A"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6CE329BD" w14:textId="77777777" w:rsidR="00D32A05" w:rsidRPr="001C29FC" w:rsidRDefault="00D32A05" w:rsidP="00D32A05">
            <w:pPr>
              <w:pStyle w:val="TableText"/>
              <w:rPr>
                <w:szCs w:val="18"/>
              </w:rPr>
            </w:pPr>
            <w:r w:rsidRPr="001C29FC">
              <w:rPr>
                <w:szCs w:val="18"/>
              </w:rPr>
              <w:t>Accrue workload when an individual unit crossmatch is invalidated.</w:t>
            </w:r>
          </w:p>
        </w:tc>
      </w:tr>
      <w:tr w:rsidR="00D32A05" w:rsidRPr="001C29FC" w14:paraId="42D1CB35" w14:textId="77777777" w:rsidTr="00D32A05">
        <w:trPr>
          <w:cantSplit/>
          <w:tblHeader/>
        </w:trPr>
        <w:tc>
          <w:tcPr>
            <w:tcW w:w="1803" w:type="dxa"/>
            <w:shd w:val="clear" w:color="auto" w:fill="auto"/>
            <w:vAlign w:val="bottom"/>
          </w:tcPr>
          <w:p w14:paraId="6184DE80" w14:textId="77777777" w:rsidR="00D32A05" w:rsidRPr="001C29FC" w:rsidRDefault="00D32A05" w:rsidP="00D32A05">
            <w:pPr>
              <w:pStyle w:val="TableText"/>
              <w:rPr>
                <w:szCs w:val="18"/>
              </w:rPr>
            </w:pPr>
            <w:r w:rsidRPr="001C29FC">
              <w:rPr>
                <w:snapToGrid w:val="0"/>
                <w:szCs w:val="18"/>
              </w:rPr>
              <w:t>Enter Daily QC Results</w:t>
            </w:r>
          </w:p>
        </w:tc>
        <w:tc>
          <w:tcPr>
            <w:tcW w:w="1442" w:type="dxa"/>
            <w:shd w:val="clear" w:color="auto" w:fill="auto"/>
          </w:tcPr>
          <w:p w14:paraId="4158D1C8" w14:textId="77777777" w:rsidR="00D32A05" w:rsidRPr="001C29FC" w:rsidRDefault="00D32A05" w:rsidP="00D32A05">
            <w:pPr>
              <w:pStyle w:val="TableText"/>
              <w:rPr>
                <w:color w:val="000000"/>
                <w:szCs w:val="18"/>
              </w:rPr>
            </w:pPr>
            <w:r w:rsidRPr="001C29FC">
              <w:rPr>
                <w:color w:val="000000"/>
                <w:szCs w:val="18"/>
              </w:rPr>
              <w:t>Daily Rack Quality Control (QC)</w:t>
            </w:r>
          </w:p>
        </w:tc>
        <w:tc>
          <w:tcPr>
            <w:tcW w:w="1633" w:type="dxa"/>
            <w:shd w:val="clear" w:color="auto" w:fill="auto"/>
          </w:tcPr>
          <w:p w14:paraId="0774B41C"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232E5078"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Daily QC rack completed for one individual rack includes all rows in configured QC. When multiple racks are tested, each completed and saved tab accrues a workload event.</w:t>
            </w:r>
          </w:p>
        </w:tc>
      </w:tr>
      <w:tr w:rsidR="00D32A05" w:rsidRPr="001C29FC" w14:paraId="02CD6797" w14:textId="77777777" w:rsidTr="00D32A05">
        <w:trPr>
          <w:cantSplit/>
          <w:tblHeader/>
        </w:trPr>
        <w:tc>
          <w:tcPr>
            <w:tcW w:w="1803" w:type="dxa"/>
            <w:shd w:val="clear" w:color="auto" w:fill="auto"/>
            <w:vAlign w:val="bottom"/>
          </w:tcPr>
          <w:p w14:paraId="056D9244" w14:textId="77777777" w:rsidR="00D32A05" w:rsidRPr="001C29FC" w:rsidRDefault="00D32A05" w:rsidP="00D32A05">
            <w:pPr>
              <w:pStyle w:val="TableText"/>
            </w:pPr>
            <w:r w:rsidRPr="001C29FC">
              <w:t>Record Patient Direct Antiglobulin Test</w:t>
            </w:r>
          </w:p>
        </w:tc>
        <w:tc>
          <w:tcPr>
            <w:tcW w:w="1442" w:type="dxa"/>
            <w:shd w:val="clear" w:color="auto" w:fill="auto"/>
          </w:tcPr>
          <w:p w14:paraId="5790DE4B" w14:textId="77777777" w:rsidR="00D32A05" w:rsidRPr="001C29FC" w:rsidRDefault="00D32A05" w:rsidP="00D32A05">
            <w:pPr>
              <w:pStyle w:val="TableText"/>
              <w:rPr>
                <w:color w:val="000000"/>
                <w:szCs w:val="18"/>
              </w:rPr>
            </w:pPr>
            <w:r w:rsidRPr="001C29FC">
              <w:rPr>
                <w:color w:val="000000"/>
                <w:szCs w:val="18"/>
              </w:rPr>
              <w:t>DAT (QC)</w:t>
            </w:r>
          </w:p>
        </w:tc>
        <w:tc>
          <w:tcPr>
            <w:tcW w:w="1633" w:type="dxa"/>
            <w:shd w:val="clear" w:color="auto" w:fill="auto"/>
          </w:tcPr>
          <w:p w14:paraId="6BACC7CC"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5E79D42B"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Reagent QC completed in Patient DAT testing includes the testing of both the positive and negative control cells, per specificity per lot number, when only one phase of reactivity is chosen for the test grid (IS or AHG). One workload event is collected per completed tab for regular or repeat antiglobulin tests (PS, IgG, Comp).</w:t>
            </w:r>
          </w:p>
        </w:tc>
      </w:tr>
      <w:tr w:rsidR="00D32A05" w:rsidRPr="001C29FC" w14:paraId="030E518F" w14:textId="77777777" w:rsidTr="00D32A05">
        <w:trPr>
          <w:cantSplit/>
          <w:tblHeader/>
        </w:trPr>
        <w:tc>
          <w:tcPr>
            <w:tcW w:w="1803" w:type="dxa"/>
            <w:shd w:val="clear" w:color="auto" w:fill="auto"/>
            <w:vAlign w:val="bottom"/>
          </w:tcPr>
          <w:p w14:paraId="1D0BC9E6"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684D3F51" w14:textId="77777777" w:rsidR="00D32A05" w:rsidRPr="001C29FC" w:rsidRDefault="00D32A05" w:rsidP="00D32A05">
            <w:pPr>
              <w:pStyle w:val="TableText"/>
              <w:rPr>
                <w:color w:val="000000"/>
                <w:szCs w:val="18"/>
              </w:rPr>
            </w:pPr>
            <w:r w:rsidRPr="001C29FC">
              <w:rPr>
                <w:color w:val="000000"/>
                <w:szCs w:val="18"/>
              </w:rPr>
              <w:t>Direct Antiglobulin Test (DAT)</w:t>
            </w:r>
          </w:p>
        </w:tc>
        <w:tc>
          <w:tcPr>
            <w:tcW w:w="1633" w:type="dxa"/>
            <w:shd w:val="clear" w:color="auto" w:fill="auto"/>
          </w:tcPr>
          <w:p w14:paraId="7682F132"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186C0526" w14:textId="77777777" w:rsidR="00D32A05" w:rsidRPr="001C29FC" w:rsidRDefault="00D32A05" w:rsidP="00D32A05">
            <w:pPr>
              <w:pStyle w:val="TableText"/>
              <w:rPr>
                <w:color w:val="000000"/>
                <w:szCs w:val="18"/>
              </w:rPr>
            </w:pPr>
            <w:r w:rsidRPr="001C29FC">
              <w:rPr>
                <w:color w:val="000000"/>
                <w:szCs w:val="18"/>
              </w:rPr>
              <w:t>A DAT test for “pre” or “post” is enabled and a valid interpretation other than Not Tested is selected. A workload event is accrued separately for “Pre” and “Post “entries.</w:t>
            </w:r>
          </w:p>
        </w:tc>
      </w:tr>
      <w:tr w:rsidR="00D32A05" w:rsidRPr="001C29FC" w14:paraId="7E2C13E8" w14:textId="77777777" w:rsidTr="00D32A05">
        <w:trPr>
          <w:cantSplit/>
          <w:tblHeader/>
        </w:trPr>
        <w:tc>
          <w:tcPr>
            <w:tcW w:w="1803" w:type="dxa"/>
            <w:shd w:val="clear" w:color="auto" w:fill="auto"/>
            <w:vAlign w:val="bottom"/>
          </w:tcPr>
          <w:p w14:paraId="575B8AC1" w14:textId="77777777" w:rsidR="00D32A05" w:rsidRPr="001C29FC" w:rsidRDefault="00D32A05" w:rsidP="00D32A05">
            <w:pPr>
              <w:pStyle w:val="TableText"/>
            </w:pPr>
            <w:r w:rsidRPr="001C29FC">
              <w:t>Record Patient Direct Antiglobulin Test</w:t>
            </w:r>
          </w:p>
        </w:tc>
        <w:tc>
          <w:tcPr>
            <w:tcW w:w="1442" w:type="dxa"/>
            <w:vMerge/>
            <w:shd w:val="clear" w:color="auto" w:fill="auto"/>
          </w:tcPr>
          <w:p w14:paraId="6DE6E39B" w14:textId="77777777" w:rsidR="00D32A05" w:rsidRPr="001C29FC" w:rsidRDefault="00D32A05" w:rsidP="00D32A05">
            <w:pPr>
              <w:pStyle w:val="TableText"/>
              <w:rPr>
                <w:color w:val="000000"/>
                <w:szCs w:val="18"/>
              </w:rPr>
            </w:pPr>
          </w:p>
        </w:tc>
        <w:tc>
          <w:tcPr>
            <w:tcW w:w="1633" w:type="dxa"/>
            <w:shd w:val="clear" w:color="auto" w:fill="auto"/>
          </w:tcPr>
          <w:p w14:paraId="4DB6ABD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3EA4A2A"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DAT is completed and saved. This count is used for all antiglobulin tests (PS, IgG, Comp) when ordered from CPRS or Reflex testing.</w:t>
            </w:r>
          </w:p>
        </w:tc>
      </w:tr>
      <w:tr w:rsidR="00D32A05" w:rsidRPr="001C29FC" w14:paraId="0875FCFC" w14:textId="77777777" w:rsidTr="00D32A05">
        <w:trPr>
          <w:cantSplit/>
          <w:tblHeader/>
        </w:trPr>
        <w:tc>
          <w:tcPr>
            <w:tcW w:w="1803" w:type="dxa"/>
            <w:shd w:val="clear" w:color="auto" w:fill="auto"/>
            <w:vAlign w:val="bottom"/>
          </w:tcPr>
          <w:p w14:paraId="7C04A5C9" w14:textId="77777777" w:rsidR="00D32A05" w:rsidRPr="001C29FC" w:rsidRDefault="00D32A05" w:rsidP="00D32A05">
            <w:pPr>
              <w:pStyle w:val="TableText"/>
            </w:pPr>
            <w:r w:rsidRPr="001C29FC">
              <w:t>Invalidate Patient Test Results*</w:t>
            </w:r>
          </w:p>
        </w:tc>
        <w:tc>
          <w:tcPr>
            <w:tcW w:w="1442" w:type="dxa"/>
            <w:vMerge/>
            <w:shd w:val="clear" w:color="auto" w:fill="auto"/>
          </w:tcPr>
          <w:p w14:paraId="59590F9F" w14:textId="77777777" w:rsidR="00D32A05" w:rsidRPr="001C29FC" w:rsidRDefault="00D32A05" w:rsidP="00D32A05">
            <w:pPr>
              <w:pStyle w:val="TableText"/>
              <w:rPr>
                <w:color w:val="000000"/>
                <w:szCs w:val="18"/>
              </w:rPr>
            </w:pPr>
          </w:p>
        </w:tc>
        <w:tc>
          <w:tcPr>
            <w:tcW w:w="1633" w:type="dxa"/>
            <w:shd w:val="clear" w:color="auto" w:fill="auto"/>
          </w:tcPr>
          <w:p w14:paraId="48B92D7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0312EF61" w14:textId="77777777" w:rsidR="00D32A05" w:rsidRPr="001C29FC" w:rsidRDefault="00D32A05" w:rsidP="00D32A05">
            <w:pPr>
              <w:pStyle w:val="TableText"/>
              <w:rPr>
                <w:szCs w:val="18"/>
              </w:rPr>
            </w:pPr>
            <w:r w:rsidRPr="001C29FC">
              <w:rPr>
                <w:szCs w:val="18"/>
              </w:rPr>
              <w:t xml:space="preserve">Accrue workload when a completed DAT, PS, IgG, or Comp is invalidated. </w:t>
            </w:r>
          </w:p>
        </w:tc>
      </w:tr>
      <w:tr w:rsidR="00D32A05" w:rsidRPr="001C29FC" w14:paraId="09999057" w14:textId="77777777" w:rsidTr="00D32A05">
        <w:trPr>
          <w:cantSplit/>
          <w:tblHeader/>
        </w:trPr>
        <w:tc>
          <w:tcPr>
            <w:tcW w:w="1803" w:type="dxa"/>
            <w:shd w:val="clear" w:color="auto" w:fill="auto"/>
            <w:vAlign w:val="bottom"/>
          </w:tcPr>
          <w:p w14:paraId="3177117D" w14:textId="77777777" w:rsidR="00D32A05" w:rsidRPr="001C29FC" w:rsidRDefault="00D32A05" w:rsidP="00D32A05">
            <w:pPr>
              <w:pStyle w:val="TableText"/>
            </w:pPr>
            <w:r w:rsidRPr="001C29FC">
              <w:t>Record Patient Direct Antiglobulin Test</w:t>
            </w:r>
          </w:p>
        </w:tc>
        <w:tc>
          <w:tcPr>
            <w:tcW w:w="1442" w:type="dxa"/>
            <w:vMerge w:val="restart"/>
            <w:shd w:val="clear" w:color="auto" w:fill="auto"/>
          </w:tcPr>
          <w:p w14:paraId="3FE6ACE3" w14:textId="77777777" w:rsidR="00D32A05" w:rsidRPr="001C29FC" w:rsidRDefault="00D32A05" w:rsidP="00D32A05">
            <w:pPr>
              <w:pStyle w:val="TableText"/>
              <w:rPr>
                <w:color w:val="000000"/>
                <w:szCs w:val="18"/>
              </w:rPr>
            </w:pPr>
            <w:r w:rsidRPr="001C29FC">
              <w:rPr>
                <w:color w:val="000000"/>
                <w:szCs w:val="18"/>
              </w:rPr>
              <w:t xml:space="preserve">Direct Antiglobulin </w:t>
            </w:r>
            <w:r w:rsidRPr="001C29FC">
              <w:rPr>
                <w:color w:val="000000"/>
                <w:szCs w:val="18"/>
              </w:rPr>
              <w:lastRenderedPageBreak/>
              <w:t>Test (DAT) Repeat test</w:t>
            </w:r>
          </w:p>
        </w:tc>
        <w:tc>
          <w:tcPr>
            <w:tcW w:w="1633" w:type="dxa"/>
            <w:shd w:val="clear" w:color="auto" w:fill="auto"/>
          </w:tcPr>
          <w:p w14:paraId="0F834BCF" w14:textId="77777777" w:rsidR="00D32A05" w:rsidRPr="001C29FC" w:rsidRDefault="00D32A05" w:rsidP="00D32A05">
            <w:pPr>
              <w:pStyle w:val="TableText"/>
              <w:rPr>
                <w:color w:val="000000"/>
                <w:szCs w:val="18"/>
              </w:rPr>
            </w:pPr>
            <w:r w:rsidRPr="001C29FC">
              <w:rPr>
                <w:color w:val="000000"/>
                <w:szCs w:val="18"/>
              </w:rPr>
              <w:lastRenderedPageBreak/>
              <w:t>M</w:t>
            </w:r>
          </w:p>
        </w:tc>
        <w:tc>
          <w:tcPr>
            <w:tcW w:w="4482" w:type="dxa"/>
            <w:shd w:val="clear" w:color="auto" w:fill="auto"/>
          </w:tcPr>
          <w:p w14:paraId="3AFFFCFF"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DAT test is performed, completed, and saved. This applies to all repeat antiglobulin tests (PS, IgG, Comp).</w:t>
            </w:r>
          </w:p>
        </w:tc>
      </w:tr>
      <w:tr w:rsidR="00D32A05" w:rsidRPr="001C29FC" w14:paraId="13B1131C" w14:textId="77777777" w:rsidTr="00D32A05">
        <w:trPr>
          <w:cantSplit/>
          <w:tblHeader/>
        </w:trPr>
        <w:tc>
          <w:tcPr>
            <w:tcW w:w="1803" w:type="dxa"/>
            <w:shd w:val="clear" w:color="auto" w:fill="auto"/>
            <w:vAlign w:val="bottom"/>
          </w:tcPr>
          <w:p w14:paraId="63431AF1" w14:textId="77777777" w:rsidR="00D32A05" w:rsidRPr="001C29FC" w:rsidRDefault="00D32A05" w:rsidP="00D32A05">
            <w:pPr>
              <w:pStyle w:val="TableText"/>
            </w:pPr>
            <w:r w:rsidRPr="001C29FC">
              <w:lastRenderedPageBreak/>
              <w:t>Invalidate Patient Test Results*</w:t>
            </w:r>
          </w:p>
        </w:tc>
        <w:tc>
          <w:tcPr>
            <w:tcW w:w="1442" w:type="dxa"/>
            <w:vMerge/>
            <w:shd w:val="clear" w:color="auto" w:fill="auto"/>
          </w:tcPr>
          <w:p w14:paraId="206D7861" w14:textId="77777777" w:rsidR="00D32A05" w:rsidRPr="001C29FC" w:rsidRDefault="00D32A05" w:rsidP="00D32A05">
            <w:pPr>
              <w:pStyle w:val="TableText"/>
              <w:rPr>
                <w:color w:val="000000"/>
                <w:szCs w:val="18"/>
              </w:rPr>
            </w:pPr>
          </w:p>
        </w:tc>
        <w:tc>
          <w:tcPr>
            <w:tcW w:w="1633" w:type="dxa"/>
            <w:shd w:val="clear" w:color="auto" w:fill="auto"/>
          </w:tcPr>
          <w:p w14:paraId="22AFD923"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F29DA85" w14:textId="77777777" w:rsidR="00D32A05" w:rsidRPr="001C29FC" w:rsidRDefault="00D32A05" w:rsidP="00D32A05">
            <w:pPr>
              <w:pStyle w:val="TableText"/>
              <w:rPr>
                <w:szCs w:val="18"/>
              </w:rPr>
            </w:pPr>
            <w:r w:rsidRPr="001C29FC">
              <w:rPr>
                <w:szCs w:val="18"/>
              </w:rPr>
              <w:t>Accrue workload when a completed Repeat DAT, PS, IgG, or Comp is invalidated.</w:t>
            </w:r>
          </w:p>
        </w:tc>
      </w:tr>
      <w:tr w:rsidR="00D32A05" w:rsidRPr="001C29FC" w14:paraId="6C1DF3E1" w14:textId="77777777" w:rsidTr="00D32A05">
        <w:trPr>
          <w:cantSplit/>
          <w:tblHeader/>
        </w:trPr>
        <w:tc>
          <w:tcPr>
            <w:tcW w:w="1803" w:type="dxa"/>
            <w:shd w:val="clear" w:color="auto" w:fill="auto"/>
            <w:vAlign w:val="bottom"/>
          </w:tcPr>
          <w:p w14:paraId="0B36D724" w14:textId="77777777" w:rsidR="00D32A05" w:rsidRPr="001C29FC" w:rsidRDefault="00D32A05" w:rsidP="00D32A05">
            <w:pPr>
              <w:pStyle w:val="TableText"/>
            </w:pPr>
            <w:r w:rsidRPr="001C29FC">
              <w:t>Modify Units</w:t>
            </w:r>
          </w:p>
        </w:tc>
        <w:tc>
          <w:tcPr>
            <w:tcW w:w="1442" w:type="dxa"/>
            <w:vMerge w:val="restart"/>
            <w:shd w:val="clear" w:color="auto" w:fill="auto"/>
          </w:tcPr>
          <w:p w14:paraId="51E83BDF" w14:textId="77777777" w:rsidR="00D32A05" w:rsidRPr="001C29FC" w:rsidRDefault="00D32A05" w:rsidP="00D32A05">
            <w:pPr>
              <w:pStyle w:val="TableText"/>
              <w:rPr>
                <w:color w:val="000000"/>
                <w:szCs w:val="18"/>
              </w:rPr>
            </w:pPr>
            <w:r w:rsidRPr="001C29FC">
              <w:rPr>
                <w:color w:val="000000"/>
                <w:szCs w:val="18"/>
              </w:rPr>
              <w:t>Deglycerolize unit</w:t>
            </w:r>
          </w:p>
        </w:tc>
        <w:tc>
          <w:tcPr>
            <w:tcW w:w="1633" w:type="dxa"/>
            <w:shd w:val="clear" w:color="auto" w:fill="auto"/>
          </w:tcPr>
          <w:p w14:paraId="554DB1E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0AEC73B"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Deglycerolize modification type. Note: Workload is not accrued when a patient assignment is processed and VBECS releases all other patient assignments. Workload is not accrued when VBECS is required to quarantine the unit.</w:t>
            </w:r>
          </w:p>
        </w:tc>
      </w:tr>
      <w:tr w:rsidR="00D32A05" w:rsidRPr="001C29FC" w14:paraId="11D144B2" w14:textId="77777777" w:rsidTr="00D32A05">
        <w:trPr>
          <w:cantSplit/>
          <w:tblHeader/>
        </w:trPr>
        <w:tc>
          <w:tcPr>
            <w:tcW w:w="1803" w:type="dxa"/>
            <w:shd w:val="clear" w:color="auto" w:fill="auto"/>
            <w:vAlign w:val="bottom"/>
          </w:tcPr>
          <w:p w14:paraId="5421E996" w14:textId="77777777" w:rsidR="00D32A05" w:rsidRPr="001C29FC" w:rsidRDefault="00D32A05" w:rsidP="00D32A05">
            <w:pPr>
              <w:pStyle w:val="TableText"/>
            </w:pPr>
            <w:r w:rsidRPr="001C29FC">
              <w:t>Remove Final Status*</w:t>
            </w:r>
          </w:p>
        </w:tc>
        <w:tc>
          <w:tcPr>
            <w:tcW w:w="1442" w:type="dxa"/>
            <w:vMerge/>
            <w:shd w:val="clear" w:color="auto" w:fill="auto"/>
          </w:tcPr>
          <w:p w14:paraId="340AFA3B" w14:textId="77777777" w:rsidR="00D32A05" w:rsidRPr="001C29FC" w:rsidRDefault="00D32A05" w:rsidP="00D32A05">
            <w:pPr>
              <w:pStyle w:val="TableText"/>
              <w:rPr>
                <w:color w:val="000000"/>
                <w:szCs w:val="18"/>
              </w:rPr>
            </w:pPr>
          </w:p>
        </w:tc>
        <w:tc>
          <w:tcPr>
            <w:tcW w:w="1633" w:type="dxa"/>
            <w:shd w:val="clear" w:color="auto" w:fill="auto"/>
          </w:tcPr>
          <w:p w14:paraId="242E820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73E084D"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“Deglycerolize.”</w:t>
            </w:r>
          </w:p>
        </w:tc>
      </w:tr>
      <w:tr w:rsidR="00D32A05" w:rsidRPr="001C29FC" w14:paraId="09391075" w14:textId="77777777" w:rsidTr="00D32A05">
        <w:trPr>
          <w:cantSplit/>
          <w:tblHeader/>
        </w:trPr>
        <w:tc>
          <w:tcPr>
            <w:tcW w:w="1803" w:type="dxa"/>
            <w:shd w:val="clear" w:color="auto" w:fill="auto"/>
          </w:tcPr>
          <w:p w14:paraId="24452886" w14:textId="77777777" w:rsidR="00D32A05" w:rsidRPr="001C29FC" w:rsidRDefault="00D32A05" w:rsidP="00D32A05">
            <w:pPr>
              <w:pStyle w:val="TableText"/>
              <w:rPr>
                <w:color w:val="000000"/>
                <w:szCs w:val="18"/>
              </w:rPr>
            </w:pPr>
            <w:r w:rsidRPr="001C29FC">
              <w:rPr>
                <w:color w:val="000000"/>
                <w:szCs w:val="18"/>
              </w:rPr>
              <w:t>Discard or Quarantine Unit</w:t>
            </w:r>
          </w:p>
        </w:tc>
        <w:tc>
          <w:tcPr>
            <w:tcW w:w="1442" w:type="dxa"/>
            <w:vMerge w:val="restart"/>
            <w:shd w:val="clear" w:color="auto" w:fill="auto"/>
          </w:tcPr>
          <w:p w14:paraId="0C305794" w14:textId="77777777" w:rsidR="00D32A05" w:rsidRPr="001C29FC" w:rsidRDefault="00D32A05" w:rsidP="00D32A05">
            <w:pPr>
              <w:pStyle w:val="TableText"/>
              <w:rPr>
                <w:color w:val="000000"/>
                <w:szCs w:val="18"/>
              </w:rPr>
            </w:pPr>
            <w:r w:rsidRPr="001C29FC">
              <w:rPr>
                <w:color w:val="000000"/>
                <w:szCs w:val="18"/>
              </w:rPr>
              <w:t>Discard unit</w:t>
            </w:r>
          </w:p>
        </w:tc>
        <w:tc>
          <w:tcPr>
            <w:tcW w:w="1633" w:type="dxa"/>
            <w:shd w:val="clear" w:color="auto" w:fill="auto"/>
          </w:tcPr>
          <w:p w14:paraId="359C736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E03F775" w14:textId="77777777" w:rsidR="00D32A05" w:rsidRPr="001C29FC" w:rsidRDefault="00770D73" w:rsidP="00D32A05">
            <w:pPr>
              <w:pStyle w:val="TableText"/>
              <w:rPr>
                <w:szCs w:val="18"/>
              </w:rPr>
            </w:pPr>
            <w:r w:rsidRPr="001C29FC">
              <w:rPr>
                <w:szCs w:val="18"/>
              </w:rPr>
              <w:t>Accrue workload when a</w:t>
            </w:r>
            <w:r w:rsidRPr="001C29FC">
              <w:rPr>
                <w:color w:val="000000"/>
                <w:szCs w:val="18"/>
              </w:rPr>
              <w:t xml:space="preserve"> unit is discarded for waste or credit. When a batch of units is selected, each unit accrues workload.</w:t>
            </w:r>
          </w:p>
        </w:tc>
      </w:tr>
      <w:tr w:rsidR="00D32A05" w:rsidRPr="001C29FC" w14:paraId="6C2A3574" w14:textId="77777777" w:rsidTr="00D32A05">
        <w:trPr>
          <w:cantSplit/>
          <w:tblHeader/>
        </w:trPr>
        <w:tc>
          <w:tcPr>
            <w:tcW w:w="1803" w:type="dxa"/>
            <w:shd w:val="clear" w:color="auto" w:fill="auto"/>
            <w:vAlign w:val="bottom"/>
          </w:tcPr>
          <w:p w14:paraId="6D3920E2" w14:textId="77777777" w:rsidR="00D32A05" w:rsidRPr="001C29FC" w:rsidRDefault="00D32A05" w:rsidP="00D32A05">
            <w:pPr>
              <w:pStyle w:val="TableText"/>
            </w:pPr>
            <w:r w:rsidRPr="001C29FC">
              <w:t>Remove Final Status*</w:t>
            </w:r>
          </w:p>
        </w:tc>
        <w:tc>
          <w:tcPr>
            <w:tcW w:w="1442" w:type="dxa"/>
            <w:vMerge/>
            <w:shd w:val="clear" w:color="auto" w:fill="auto"/>
          </w:tcPr>
          <w:p w14:paraId="43AF69C6" w14:textId="77777777" w:rsidR="00D32A05" w:rsidRPr="001C29FC" w:rsidRDefault="00D32A05" w:rsidP="00D32A05">
            <w:pPr>
              <w:pStyle w:val="TableText"/>
              <w:rPr>
                <w:color w:val="000000"/>
                <w:szCs w:val="18"/>
              </w:rPr>
            </w:pPr>
          </w:p>
        </w:tc>
        <w:tc>
          <w:tcPr>
            <w:tcW w:w="1633" w:type="dxa"/>
            <w:shd w:val="clear" w:color="auto" w:fill="auto"/>
          </w:tcPr>
          <w:p w14:paraId="3B79AB8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5B5D7F2" w14:textId="77777777" w:rsidR="00D32A05" w:rsidRPr="001C29FC" w:rsidRDefault="00D32A05" w:rsidP="00D32A05">
            <w:pPr>
              <w:pStyle w:val="TableText"/>
              <w:rPr>
                <w:szCs w:val="18"/>
              </w:rPr>
            </w:pPr>
            <w:r w:rsidRPr="001C29FC">
              <w:rPr>
                <w:szCs w:val="18"/>
              </w:rPr>
              <w:t>Accrue workload when a</w:t>
            </w:r>
            <w:r w:rsidR="00770D73">
              <w:rPr>
                <w:color w:val="000000"/>
                <w:szCs w:val="18"/>
              </w:rPr>
              <w:t>n individual blood unit’s status is invalidated. When a batch of units is selected, each unit accrues workload.</w:t>
            </w:r>
          </w:p>
        </w:tc>
      </w:tr>
      <w:tr w:rsidR="00D32A05" w:rsidRPr="001C29FC" w14:paraId="2B535C34" w14:textId="77777777" w:rsidTr="00D32A05">
        <w:trPr>
          <w:cantSplit/>
          <w:tblHeader/>
        </w:trPr>
        <w:tc>
          <w:tcPr>
            <w:tcW w:w="1803" w:type="dxa"/>
            <w:shd w:val="clear" w:color="auto" w:fill="auto"/>
            <w:vAlign w:val="bottom"/>
          </w:tcPr>
          <w:p w14:paraId="2A519B7A" w14:textId="77777777" w:rsidR="00D32A05" w:rsidRPr="001C29FC" w:rsidRDefault="00D32A05" w:rsidP="00D32A05">
            <w:pPr>
              <w:pStyle w:val="TableText"/>
            </w:pPr>
            <w:r w:rsidRPr="001C29FC">
              <w:t>Modify Units</w:t>
            </w:r>
          </w:p>
        </w:tc>
        <w:tc>
          <w:tcPr>
            <w:tcW w:w="1442" w:type="dxa"/>
            <w:vMerge w:val="restart"/>
            <w:shd w:val="clear" w:color="auto" w:fill="auto"/>
          </w:tcPr>
          <w:p w14:paraId="17C6665F" w14:textId="77777777" w:rsidR="00D32A05" w:rsidRPr="001C29FC" w:rsidRDefault="00D32A05" w:rsidP="00D32A05">
            <w:pPr>
              <w:pStyle w:val="TableText"/>
              <w:rPr>
                <w:color w:val="000000"/>
                <w:szCs w:val="18"/>
              </w:rPr>
            </w:pPr>
            <w:r w:rsidRPr="001C29FC">
              <w:rPr>
                <w:color w:val="000000"/>
                <w:szCs w:val="18"/>
              </w:rPr>
              <w:t>Freeze unit</w:t>
            </w:r>
          </w:p>
        </w:tc>
        <w:tc>
          <w:tcPr>
            <w:tcW w:w="1633" w:type="dxa"/>
            <w:shd w:val="clear" w:color="auto" w:fill="auto"/>
          </w:tcPr>
          <w:p w14:paraId="3152163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52A1AD0"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Freeze modification type. Note: Workload is not accrued when a patient assignment is processed and VBECS releases all other patient assignments. Workload is not accrued when VBECS is required to quarantine the unit.</w:t>
            </w:r>
          </w:p>
        </w:tc>
      </w:tr>
      <w:tr w:rsidR="00D32A05" w:rsidRPr="001C29FC" w14:paraId="6B524452" w14:textId="77777777" w:rsidTr="00D32A05">
        <w:trPr>
          <w:cantSplit/>
          <w:tblHeader/>
        </w:trPr>
        <w:tc>
          <w:tcPr>
            <w:tcW w:w="1803" w:type="dxa"/>
            <w:shd w:val="clear" w:color="auto" w:fill="auto"/>
            <w:vAlign w:val="bottom"/>
          </w:tcPr>
          <w:p w14:paraId="38050B09" w14:textId="77777777" w:rsidR="00D32A05" w:rsidRPr="001C29FC" w:rsidRDefault="00D32A05" w:rsidP="00D32A05">
            <w:pPr>
              <w:pStyle w:val="TableText"/>
            </w:pPr>
            <w:r w:rsidRPr="001C29FC">
              <w:t>Remove Final Status*</w:t>
            </w:r>
          </w:p>
        </w:tc>
        <w:tc>
          <w:tcPr>
            <w:tcW w:w="1442" w:type="dxa"/>
            <w:vMerge/>
            <w:shd w:val="clear" w:color="auto" w:fill="auto"/>
          </w:tcPr>
          <w:p w14:paraId="3485316F" w14:textId="77777777" w:rsidR="00D32A05" w:rsidRPr="001C29FC" w:rsidRDefault="00D32A05" w:rsidP="00D32A05">
            <w:pPr>
              <w:pStyle w:val="TableText"/>
              <w:rPr>
                <w:color w:val="000000"/>
                <w:szCs w:val="18"/>
              </w:rPr>
            </w:pPr>
          </w:p>
        </w:tc>
        <w:tc>
          <w:tcPr>
            <w:tcW w:w="1633" w:type="dxa"/>
            <w:shd w:val="clear" w:color="auto" w:fill="auto"/>
          </w:tcPr>
          <w:p w14:paraId="74C64F0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6D1D7D7"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“Freeze.”</w:t>
            </w:r>
          </w:p>
        </w:tc>
      </w:tr>
      <w:tr w:rsidR="00D32A05" w:rsidRPr="001C29FC" w14:paraId="5681BB3D" w14:textId="77777777" w:rsidTr="00D32A05">
        <w:trPr>
          <w:cantSplit/>
          <w:tblHeader/>
        </w:trPr>
        <w:tc>
          <w:tcPr>
            <w:tcW w:w="1803" w:type="dxa"/>
            <w:shd w:val="clear" w:color="auto" w:fill="auto"/>
            <w:vAlign w:val="bottom"/>
          </w:tcPr>
          <w:p w14:paraId="4E13E950" w14:textId="77777777" w:rsidR="00D32A05" w:rsidRPr="001C29FC" w:rsidRDefault="00D32A05" w:rsidP="00D32A05">
            <w:pPr>
              <w:pStyle w:val="TableText"/>
            </w:pPr>
            <w:r w:rsidRPr="001C29FC">
              <w:t>Modify Units</w:t>
            </w:r>
          </w:p>
        </w:tc>
        <w:tc>
          <w:tcPr>
            <w:tcW w:w="1442" w:type="dxa"/>
            <w:vMerge w:val="restart"/>
            <w:shd w:val="clear" w:color="auto" w:fill="auto"/>
          </w:tcPr>
          <w:p w14:paraId="6CEA6EB6" w14:textId="77777777" w:rsidR="00D32A05" w:rsidRPr="001C29FC" w:rsidRDefault="00D32A05" w:rsidP="00D32A05">
            <w:pPr>
              <w:pStyle w:val="TableText"/>
              <w:rPr>
                <w:color w:val="000000"/>
                <w:szCs w:val="18"/>
              </w:rPr>
            </w:pPr>
            <w:r w:rsidRPr="001C29FC">
              <w:rPr>
                <w:color w:val="000000"/>
                <w:szCs w:val="18"/>
              </w:rPr>
              <w:t>Irradiate unit</w:t>
            </w:r>
          </w:p>
        </w:tc>
        <w:tc>
          <w:tcPr>
            <w:tcW w:w="1633" w:type="dxa"/>
            <w:shd w:val="clear" w:color="auto" w:fill="auto"/>
          </w:tcPr>
          <w:p w14:paraId="78A63559"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B5993A4"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Irradiate modification type. When a batch of units is irradiated, each unit accrues workload. Note: Workload is not accrued when a patient assignment is processed and VBECS releases all other patient assignments. Workload is not accrued when VBECS is required to quarantine the unit.</w:t>
            </w:r>
          </w:p>
        </w:tc>
      </w:tr>
      <w:tr w:rsidR="00D32A05" w:rsidRPr="001C29FC" w14:paraId="510E5F80" w14:textId="77777777" w:rsidTr="00D32A05">
        <w:trPr>
          <w:cantSplit/>
          <w:tblHeader/>
        </w:trPr>
        <w:tc>
          <w:tcPr>
            <w:tcW w:w="1803" w:type="dxa"/>
            <w:shd w:val="clear" w:color="auto" w:fill="auto"/>
            <w:vAlign w:val="bottom"/>
          </w:tcPr>
          <w:p w14:paraId="49F909FF" w14:textId="77777777" w:rsidR="00D32A05" w:rsidRPr="001C29FC" w:rsidRDefault="00D32A05" w:rsidP="00D32A05">
            <w:pPr>
              <w:pStyle w:val="TableText"/>
            </w:pPr>
            <w:r w:rsidRPr="001C29FC">
              <w:t>Remove Final Status*</w:t>
            </w:r>
          </w:p>
        </w:tc>
        <w:tc>
          <w:tcPr>
            <w:tcW w:w="1442" w:type="dxa"/>
            <w:vMerge/>
            <w:shd w:val="clear" w:color="auto" w:fill="auto"/>
          </w:tcPr>
          <w:p w14:paraId="7201589F" w14:textId="77777777" w:rsidR="00D32A05" w:rsidRPr="001C29FC" w:rsidRDefault="00D32A05" w:rsidP="00D32A05">
            <w:pPr>
              <w:pStyle w:val="TableText"/>
              <w:rPr>
                <w:color w:val="000000"/>
                <w:szCs w:val="18"/>
              </w:rPr>
            </w:pPr>
          </w:p>
        </w:tc>
        <w:tc>
          <w:tcPr>
            <w:tcW w:w="1633" w:type="dxa"/>
            <w:shd w:val="clear" w:color="auto" w:fill="auto"/>
          </w:tcPr>
          <w:p w14:paraId="38B1B59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8F1B13"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“Irradiate.”</w:t>
            </w:r>
          </w:p>
        </w:tc>
      </w:tr>
      <w:tr w:rsidR="00D32A05" w:rsidRPr="001C29FC" w14:paraId="3DA829A9" w14:textId="77777777" w:rsidTr="00D32A05">
        <w:trPr>
          <w:cantSplit/>
          <w:tblHeader/>
        </w:trPr>
        <w:tc>
          <w:tcPr>
            <w:tcW w:w="1803" w:type="dxa"/>
            <w:shd w:val="clear" w:color="auto" w:fill="auto"/>
            <w:vAlign w:val="bottom"/>
          </w:tcPr>
          <w:p w14:paraId="2F7282CC" w14:textId="77777777" w:rsidR="00D32A05" w:rsidRPr="001C29FC" w:rsidRDefault="00D32A05" w:rsidP="00D32A05">
            <w:pPr>
              <w:pStyle w:val="TableText"/>
            </w:pPr>
            <w:r w:rsidRPr="001C29FC">
              <w:t>Modify Units</w:t>
            </w:r>
          </w:p>
        </w:tc>
        <w:tc>
          <w:tcPr>
            <w:tcW w:w="1442" w:type="dxa"/>
            <w:vMerge w:val="restart"/>
            <w:shd w:val="clear" w:color="auto" w:fill="auto"/>
          </w:tcPr>
          <w:p w14:paraId="5710A905" w14:textId="77777777" w:rsidR="00D32A05" w:rsidRPr="001C29FC" w:rsidRDefault="00D32A05" w:rsidP="00D32A05">
            <w:pPr>
              <w:pStyle w:val="TableText"/>
              <w:rPr>
                <w:color w:val="000000"/>
                <w:szCs w:val="18"/>
              </w:rPr>
            </w:pPr>
            <w:r w:rsidRPr="001C29FC">
              <w:rPr>
                <w:color w:val="000000"/>
                <w:szCs w:val="18"/>
              </w:rPr>
              <w:t>Leukoreduce unit</w:t>
            </w:r>
          </w:p>
        </w:tc>
        <w:tc>
          <w:tcPr>
            <w:tcW w:w="1633" w:type="dxa"/>
            <w:shd w:val="clear" w:color="auto" w:fill="auto"/>
          </w:tcPr>
          <w:p w14:paraId="353107A6"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4FF352F"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Leukoreduce modification type.</w:t>
            </w:r>
            <w:r w:rsidRPr="001C29FC">
              <w:rPr>
                <w:color w:val="000000"/>
                <w:szCs w:val="18"/>
              </w:rPr>
              <w:br/>
              <w:t>Note: Workload is not accrued when a patient assignment is processed and VBECS releases all other patient assignments. Workload is not accrued when VBECS is required to quarantine the unit.</w:t>
            </w:r>
          </w:p>
        </w:tc>
      </w:tr>
      <w:tr w:rsidR="00D32A05" w:rsidRPr="001C29FC" w14:paraId="2F2A61DA" w14:textId="77777777" w:rsidTr="00D32A05">
        <w:trPr>
          <w:cantSplit/>
          <w:tblHeader/>
        </w:trPr>
        <w:tc>
          <w:tcPr>
            <w:tcW w:w="1803" w:type="dxa"/>
            <w:shd w:val="clear" w:color="auto" w:fill="auto"/>
            <w:vAlign w:val="bottom"/>
          </w:tcPr>
          <w:p w14:paraId="77530D36" w14:textId="77777777" w:rsidR="00D32A05" w:rsidRPr="001C29FC" w:rsidRDefault="00D32A05" w:rsidP="00D32A05">
            <w:pPr>
              <w:pStyle w:val="TableText"/>
            </w:pPr>
            <w:r w:rsidRPr="001C29FC">
              <w:t>Remove Final Status*</w:t>
            </w:r>
          </w:p>
        </w:tc>
        <w:tc>
          <w:tcPr>
            <w:tcW w:w="1442" w:type="dxa"/>
            <w:vMerge/>
            <w:shd w:val="clear" w:color="auto" w:fill="auto"/>
          </w:tcPr>
          <w:p w14:paraId="482EC222" w14:textId="77777777" w:rsidR="00D32A05" w:rsidRPr="001C29FC" w:rsidRDefault="00D32A05" w:rsidP="00D32A05">
            <w:pPr>
              <w:pStyle w:val="TableText"/>
              <w:rPr>
                <w:color w:val="000000"/>
                <w:szCs w:val="18"/>
              </w:rPr>
            </w:pPr>
          </w:p>
        </w:tc>
        <w:tc>
          <w:tcPr>
            <w:tcW w:w="1633" w:type="dxa"/>
            <w:shd w:val="clear" w:color="auto" w:fill="auto"/>
          </w:tcPr>
          <w:p w14:paraId="44DA736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B895910"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“Leukoreduce.”</w:t>
            </w:r>
          </w:p>
        </w:tc>
      </w:tr>
      <w:tr w:rsidR="00D32A05" w:rsidRPr="001C29FC" w14:paraId="7EA4C4C8" w14:textId="77777777" w:rsidTr="00D32A05">
        <w:trPr>
          <w:cantSplit/>
          <w:tblHeader/>
        </w:trPr>
        <w:tc>
          <w:tcPr>
            <w:tcW w:w="1803" w:type="dxa"/>
            <w:shd w:val="clear" w:color="auto" w:fill="auto"/>
            <w:vAlign w:val="bottom"/>
          </w:tcPr>
          <w:p w14:paraId="07F8B407" w14:textId="77777777" w:rsidR="00D32A05" w:rsidRPr="001C29FC" w:rsidRDefault="00D32A05" w:rsidP="00D32A05">
            <w:pPr>
              <w:pStyle w:val="TableText"/>
            </w:pPr>
            <w:r w:rsidRPr="001C29FC">
              <w:t>Split a Unit</w:t>
            </w:r>
          </w:p>
        </w:tc>
        <w:tc>
          <w:tcPr>
            <w:tcW w:w="1442" w:type="dxa"/>
            <w:vMerge w:val="restart"/>
            <w:shd w:val="clear" w:color="auto" w:fill="auto"/>
          </w:tcPr>
          <w:p w14:paraId="6B1F1D1F" w14:textId="77777777" w:rsidR="00D32A05" w:rsidRPr="001C29FC" w:rsidRDefault="00D32A05" w:rsidP="00D32A05">
            <w:pPr>
              <w:pStyle w:val="TableText"/>
              <w:rPr>
                <w:color w:val="000000"/>
                <w:szCs w:val="18"/>
              </w:rPr>
            </w:pPr>
            <w:r w:rsidRPr="001C29FC">
              <w:rPr>
                <w:color w:val="000000"/>
                <w:szCs w:val="18"/>
              </w:rPr>
              <w:t>Split unit</w:t>
            </w:r>
          </w:p>
        </w:tc>
        <w:tc>
          <w:tcPr>
            <w:tcW w:w="1633" w:type="dxa"/>
            <w:shd w:val="clear" w:color="auto" w:fill="auto"/>
          </w:tcPr>
          <w:p w14:paraId="23AD3163"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64C7802"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unit modification of Split and a single workload event is recorded regardless of the number of units created by the modification.</w:t>
            </w:r>
            <w:r w:rsidRPr="001C29FC">
              <w:rPr>
                <w:i/>
                <w:iCs/>
                <w:color w:val="000000"/>
                <w:szCs w:val="18"/>
              </w:rPr>
              <w:t xml:space="preserve"> </w:t>
            </w:r>
            <w:r w:rsidRPr="001C29FC">
              <w:rPr>
                <w:iCs/>
                <w:color w:val="000000"/>
                <w:szCs w:val="18"/>
              </w:rPr>
              <w:t xml:space="preserve">Note: Workload is not accrued when a patient assignment is processed and VBECS releases all other patient assignments. Workload is not accrued when VBECS is required to quarantine the unit. </w:t>
            </w:r>
          </w:p>
        </w:tc>
      </w:tr>
      <w:tr w:rsidR="00D32A05" w:rsidRPr="001C29FC" w14:paraId="6BD4DEC1" w14:textId="77777777" w:rsidTr="00D32A05">
        <w:trPr>
          <w:cantSplit/>
          <w:tblHeader/>
        </w:trPr>
        <w:tc>
          <w:tcPr>
            <w:tcW w:w="1803" w:type="dxa"/>
            <w:shd w:val="clear" w:color="auto" w:fill="auto"/>
            <w:vAlign w:val="bottom"/>
          </w:tcPr>
          <w:p w14:paraId="121E279E" w14:textId="77777777" w:rsidR="00D32A05" w:rsidRPr="001C29FC" w:rsidRDefault="00D32A05" w:rsidP="00D32A05">
            <w:pPr>
              <w:pStyle w:val="TableText"/>
            </w:pPr>
            <w:r w:rsidRPr="001C29FC">
              <w:lastRenderedPageBreak/>
              <w:t>Remove Final Status*</w:t>
            </w:r>
          </w:p>
        </w:tc>
        <w:tc>
          <w:tcPr>
            <w:tcW w:w="1442" w:type="dxa"/>
            <w:vMerge/>
            <w:shd w:val="clear" w:color="auto" w:fill="auto"/>
          </w:tcPr>
          <w:p w14:paraId="29E28EB9" w14:textId="77777777" w:rsidR="00D32A05" w:rsidRPr="001C29FC" w:rsidRDefault="00D32A05" w:rsidP="00D32A05">
            <w:pPr>
              <w:pStyle w:val="TableText"/>
              <w:rPr>
                <w:color w:val="000000"/>
                <w:szCs w:val="18"/>
              </w:rPr>
            </w:pPr>
          </w:p>
        </w:tc>
        <w:tc>
          <w:tcPr>
            <w:tcW w:w="1633" w:type="dxa"/>
            <w:shd w:val="clear" w:color="auto" w:fill="auto"/>
          </w:tcPr>
          <w:p w14:paraId="738A1D2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8C7799" w14:textId="77777777" w:rsidR="00D32A05" w:rsidRPr="001C29FC" w:rsidRDefault="00D32A05" w:rsidP="00D32A05">
            <w:pPr>
              <w:pStyle w:val="TableText"/>
              <w:rPr>
                <w:color w:val="000000"/>
                <w:szCs w:val="18"/>
              </w:rPr>
            </w:pPr>
            <w:r w:rsidRPr="001C29FC">
              <w:rPr>
                <w:color w:val="000000"/>
                <w:szCs w:val="18"/>
              </w:rPr>
              <w:t>A Split Unit has its unit status invalidated. A single workload event is recorded regardless of the number of units originally created by the modification.</w:t>
            </w:r>
          </w:p>
        </w:tc>
      </w:tr>
      <w:tr w:rsidR="00D32A05" w:rsidRPr="001C29FC" w14:paraId="1932BBEE" w14:textId="77777777" w:rsidTr="00D32A05">
        <w:trPr>
          <w:cantSplit/>
          <w:tblHeader/>
        </w:trPr>
        <w:tc>
          <w:tcPr>
            <w:tcW w:w="1803" w:type="dxa"/>
            <w:shd w:val="clear" w:color="auto" w:fill="auto"/>
            <w:vAlign w:val="bottom"/>
          </w:tcPr>
          <w:p w14:paraId="60727877" w14:textId="77777777" w:rsidR="00D32A05" w:rsidRPr="001C29FC" w:rsidRDefault="00D32A05" w:rsidP="00D32A05">
            <w:pPr>
              <w:pStyle w:val="TableText"/>
            </w:pPr>
            <w:r w:rsidRPr="001C29FC">
              <w:t>Modify Units</w:t>
            </w:r>
          </w:p>
        </w:tc>
        <w:tc>
          <w:tcPr>
            <w:tcW w:w="1442" w:type="dxa"/>
            <w:vMerge w:val="restart"/>
            <w:shd w:val="clear" w:color="auto" w:fill="auto"/>
          </w:tcPr>
          <w:p w14:paraId="22844BDE" w14:textId="77777777" w:rsidR="00D32A05" w:rsidRPr="001C29FC" w:rsidRDefault="00D32A05" w:rsidP="00D32A05">
            <w:pPr>
              <w:pStyle w:val="TableText"/>
              <w:rPr>
                <w:color w:val="000000"/>
                <w:szCs w:val="18"/>
              </w:rPr>
            </w:pPr>
            <w:r w:rsidRPr="001C29FC">
              <w:rPr>
                <w:color w:val="000000"/>
                <w:szCs w:val="18"/>
              </w:rPr>
              <w:t>Rejuvenate unit</w:t>
            </w:r>
          </w:p>
        </w:tc>
        <w:tc>
          <w:tcPr>
            <w:tcW w:w="1633" w:type="dxa"/>
            <w:shd w:val="clear" w:color="auto" w:fill="auto"/>
          </w:tcPr>
          <w:p w14:paraId="485F46E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A311D03"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Rejuvenate modification type. </w:t>
            </w:r>
            <w:r w:rsidRPr="001C29FC">
              <w:rPr>
                <w:color w:val="000000"/>
                <w:szCs w:val="18"/>
              </w:rPr>
              <w:br/>
              <w:t>Note: Workload is not accrued when a patient assignment is processed and VBECS releases all other patient assignments. Workload is not accrued when VBECS is required to quarantine the unit.</w:t>
            </w:r>
          </w:p>
        </w:tc>
      </w:tr>
      <w:tr w:rsidR="00D32A05" w:rsidRPr="001C29FC" w14:paraId="39B0F9AD" w14:textId="77777777" w:rsidTr="00D32A05">
        <w:trPr>
          <w:cantSplit/>
          <w:tblHeader/>
        </w:trPr>
        <w:tc>
          <w:tcPr>
            <w:tcW w:w="1803" w:type="dxa"/>
            <w:shd w:val="clear" w:color="auto" w:fill="auto"/>
            <w:vAlign w:val="bottom"/>
          </w:tcPr>
          <w:p w14:paraId="4A606A02" w14:textId="77777777" w:rsidR="00D32A05" w:rsidRPr="001C29FC" w:rsidRDefault="00D32A05" w:rsidP="00D32A05">
            <w:pPr>
              <w:pStyle w:val="TableText"/>
            </w:pPr>
            <w:r w:rsidRPr="001C29FC">
              <w:t>Remove Final Status*</w:t>
            </w:r>
          </w:p>
        </w:tc>
        <w:tc>
          <w:tcPr>
            <w:tcW w:w="1442" w:type="dxa"/>
            <w:vMerge/>
            <w:shd w:val="clear" w:color="auto" w:fill="auto"/>
          </w:tcPr>
          <w:p w14:paraId="6FCFB2AE" w14:textId="77777777" w:rsidR="00D32A05" w:rsidRPr="001C29FC" w:rsidRDefault="00D32A05" w:rsidP="00D32A05">
            <w:pPr>
              <w:pStyle w:val="TableText"/>
              <w:rPr>
                <w:color w:val="000000"/>
                <w:szCs w:val="18"/>
              </w:rPr>
            </w:pPr>
          </w:p>
        </w:tc>
        <w:tc>
          <w:tcPr>
            <w:tcW w:w="1633" w:type="dxa"/>
            <w:shd w:val="clear" w:color="auto" w:fill="auto"/>
          </w:tcPr>
          <w:p w14:paraId="0E06A2E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FA3CB0A"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“Rejuvenate. “</w:t>
            </w:r>
          </w:p>
        </w:tc>
      </w:tr>
      <w:tr w:rsidR="00D32A05" w:rsidRPr="001C29FC" w14:paraId="735BEE58" w14:textId="77777777" w:rsidTr="00D32A05">
        <w:trPr>
          <w:cantSplit/>
          <w:tblHeader/>
        </w:trPr>
        <w:tc>
          <w:tcPr>
            <w:tcW w:w="1803" w:type="dxa"/>
            <w:shd w:val="clear" w:color="auto" w:fill="auto"/>
            <w:vAlign w:val="bottom"/>
          </w:tcPr>
          <w:p w14:paraId="556740C8" w14:textId="77777777" w:rsidR="00D32A05" w:rsidRPr="001C29FC" w:rsidRDefault="00D32A05" w:rsidP="00D32A05">
            <w:pPr>
              <w:pStyle w:val="TableText"/>
            </w:pPr>
            <w:r w:rsidRPr="001C29FC">
              <w:t>Modify Units</w:t>
            </w:r>
          </w:p>
        </w:tc>
        <w:tc>
          <w:tcPr>
            <w:tcW w:w="1442" w:type="dxa"/>
            <w:vMerge w:val="restart"/>
            <w:shd w:val="clear" w:color="auto" w:fill="auto"/>
          </w:tcPr>
          <w:p w14:paraId="752D17D0" w14:textId="77777777" w:rsidR="00D32A05" w:rsidRPr="001C29FC" w:rsidRDefault="00D32A05" w:rsidP="00D32A05">
            <w:pPr>
              <w:pStyle w:val="TableText"/>
              <w:rPr>
                <w:color w:val="000000"/>
                <w:szCs w:val="18"/>
              </w:rPr>
            </w:pPr>
            <w:r w:rsidRPr="001C29FC">
              <w:rPr>
                <w:color w:val="000000"/>
                <w:szCs w:val="18"/>
              </w:rPr>
              <w:t xml:space="preserve">Thaw </w:t>
            </w:r>
          </w:p>
        </w:tc>
        <w:tc>
          <w:tcPr>
            <w:tcW w:w="1633" w:type="dxa"/>
            <w:shd w:val="clear" w:color="auto" w:fill="auto"/>
          </w:tcPr>
          <w:p w14:paraId="5DF77AA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A2833E6"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Thaw modification type. When a batch of units is thawed, each unit accrues workload. This applies to Thaw FFP and Thaw Cryo. Note: Workload is not accrued when a patient assignment is processed and VBECS releases all other patient assignments. Workload is not accrued when VBECS is required to quarantine the unit.</w:t>
            </w:r>
          </w:p>
        </w:tc>
      </w:tr>
      <w:tr w:rsidR="00D32A05" w:rsidRPr="001C29FC" w14:paraId="364A5A4D" w14:textId="77777777" w:rsidTr="00D32A05">
        <w:trPr>
          <w:cantSplit/>
          <w:tblHeader/>
        </w:trPr>
        <w:tc>
          <w:tcPr>
            <w:tcW w:w="1803" w:type="dxa"/>
            <w:shd w:val="clear" w:color="auto" w:fill="auto"/>
            <w:vAlign w:val="bottom"/>
          </w:tcPr>
          <w:p w14:paraId="28D3A679" w14:textId="77777777" w:rsidR="00D32A05" w:rsidRPr="001C29FC" w:rsidRDefault="00D32A05" w:rsidP="00D32A05">
            <w:pPr>
              <w:pStyle w:val="TableText"/>
            </w:pPr>
            <w:r w:rsidRPr="001C29FC">
              <w:t>Remove Final Status*</w:t>
            </w:r>
          </w:p>
        </w:tc>
        <w:tc>
          <w:tcPr>
            <w:tcW w:w="1442" w:type="dxa"/>
            <w:vMerge/>
            <w:shd w:val="clear" w:color="auto" w:fill="auto"/>
          </w:tcPr>
          <w:p w14:paraId="5AA63736" w14:textId="77777777" w:rsidR="00D32A05" w:rsidRPr="001C29FC" w:rsidRDefault="00D32A05" w:rsidP="00D32A05">
            <w:pPr>
              <w:pStyle w:val="TableText"/>
              <w:rPr>
                <w:color w:val="000000"/>
                <w:szCs w:val="18"/>
              </w:rPr>
            </w:pPr>
          </w:p>
        </w:tc>
        <w:tc>
          <w:tcPr>
            <w:tcW w:w="1633" w:type="dxa"/>
            <w:shd w:val="clear" w:color="auto" w:fill="auto"/>
          </w:tcPr>
          <w:p w14:paraId="35A108DB"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DDD8528"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“Thaw.” This modification type is applicable to Thaw FFP and Thaw Cryo.</w:t>
            </w:r>
          </w:p>
        </w:tc>
      </w:tr>
      <w:tr w:rsidR="00D32A05" w:rsidRPr="001C29FC" w14:paraId="00D0AFDD" w14:textId="77777777" w:rsidTr="00D32A05">
        <w:trPr>
          <w:cantSplit/>
          <w:tblHeader/>
        </w:trPr>
        <w:tc>
          <w:tcPr>
            <w:tcW w:w="1803" w:type="dxa"/>
            <w:shd w:val="clear" w:color="auto" w:fill="auto"/>
            <w:vAlign w:val="bottom"/>
          </w:tcPr>
          <w:p w14:paraId="5D76FEBB" w14:textId="77777777" w:rsidR="00D32A05" w:rsidRPr="001C29FC" w:rsidRDefault="00D32A05" w:rsidP="00D32A05">
            <w:pPr>
              <w:pStyle w:val="TableText"/>
            </w:pPr>
            <w:r w:rsidRPr="001C29FC">
              <w:t>Modify Units</w:t>
            </w:r>
          </w:p>
        </w:tc>
        <w:tc>
          <w:tcPr>
            <w:tcW w:w="1442" w:type="dxa"/>
            <w:vMerge w:val="restart"/>
            <w:shd w:val="clear" w:color="auto" w:fill="auto"/>
          </w:tcPr>
          <w:p w14:paraId="39174611" w14:textId="77777777" w:rsidR="00D32A05" w:rsidRPr="001C29FC" w:rsidRDefault="00D32A05" w:rsidP="00D32A05">
            <w:pPr>
              <w:pStyle w:val="TableText"/>
              <w:rPr>
                <w:color w:val="000000"/>
                <w:szCs w:val="18"/>
              </w:rPr>
            </w:pPr>
            <w:r w:rsidRPr="001C29FC">
              <w:rPr>
                <w:color w:val="000000"/>
                <w:szCs w:val="18"/>
              </w:rPr>
              <w:t>Wash unit</w:t>
            </w:r>
          </w:p>
        </w:tc>
        <w:tc>
          <w:tcPr>
            <w:tcW w:w="1633" w:type="dxa"/>
            <w:shd w:val="clear" w:color="auto" w:fill="auto"/>
          </w:tcPr>
          <w:p w14:paraId="4CE7D6DD"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52AAA35"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is processed by the Wash modification type. Note: Workload is not accrued when a patient assignment is processed and VBECS releases all other patient assignments. Workload is not accrued when VBECS is required to quarantine the unit.</w:t>
            </w:r>
          </w:p>
        </w:tc>
      </w:tr>
      <w:tr w:rsidR="00D32A05" w:rsidRPr="001C29FC" w14:paraId="6C6B9973" w14:textId="77777777" w:rsidTr="00D32A05">
        <w:trPr>
          <w:cantSplit/>
          <w:tblHeader/>
        </w:trPr>
        <w:tc>
          <w:tcPr>
            <w:tcW w:w="1803" w:type="dxa"/>
            <w:shd w:val="clear" w:color="auto" w:fill="auto"/>
            <w:vAlign w:val="bottom"/>
          </w:tcPr>
          <w:p w14:paraId="60F76775" w14:textId="77777777" w:rsidR="00D32A05" w:rsidRPr="001C29FC" w:rsidRDefault="00D32A05" w:rsidP="00D32A05">
            <w:pPr>
              <w:pStyle w:val="TableText"/>
            </w:pPr>
            <w:r w:rsidRPr="001C29FC">
              <w:t>Remove Final Status*</w:t>
            </w:r>
          </w:p>
        </w:tc>
        <w:tc>
          <w:tcPr>
            <w:tcW w:w="1442" w:type="dxa"/>
            <w:vMerge/>
            <w:shd w:val="clear" w:color="auto" w:fill="auto"/>
          </w:tcPr>
          <w:p w14:paraId="0E48D9DC" w14:textId="77777777" w:rsidR="00D32A05" w:rsidRPr="001C29FC" w:rsidRDefault="00D32A05" w:rsidP="00D32A05">
            <w:pPr>
              <w:pStyle w:val="TableText"/>
              <w:rPr>
                <w:color w:val="000000"/>
                <w:szCs w:val="18"/>
              </w:rPr>
            </w:pPr>
          </w:p>
        </w:tc>
        <w:tc>
          <w:tcPr>
            <w:tcW w:w="1633" w:type="dxa"/>
            <w:shd w:val="clear" w:color="auto" w:fill="auto"/>
          </w:tcPr>
          <w:p w14:paraId="1BDA908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AE69EEC"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“Wash.”</w:t>
            </w:r>
          </w:p>
        </w:tc>
      </w:tr>
      <w:tr w:rsidR="00D32A05" w:rsidRPr="001C29FC" w14:paraId="15392456" w14:textId="77777777" w:rsidTr="00D32A05">
        <w:trPr>
          <w:cantSplit/>
          <w:tblHeader/>
        </w:trPr>
        <w:tc>
          <w:tcPr>
            <w:tcW w:w="1803" w:type="dxa"/>
            <w:shd w:val="clear" w:color="auto" w:fill="auto"/>
            <w:vAlign w:val="bottom"/>
          </w:tcPr>
          <w:p w14:paraId="76EAC92F" w14:textId="77777777" w:rsidR="00D32A05" w:rsidRPr="001C29FC" w:rsidRDefault="00D32A05" w:rsidP="00D32A05">
            <w:pPr>
              <w:pStyle w:val="TableText"/>
            </w:pPr>
            <w:r w:rsidRPr="001C29FC">
              <w:t>Modify Units</w:t>
            </w:r>
          </w:p>
        </w:tc>
        <w:tc>
          <w:tcPr>
            <w:tcW w:w="1442" w:type="dxa"/>
            <w:vMerge w:val="restart"/>
            <w:shd w:val="clear" w:color="auto" w:fill="auto"/>
          </w:tcPr>
          <w:p w14:paraId="28350C62" w14:textId="77777777" w:rsidR="00D32A05" w:rsidRPr="001C29FC" w:rsidRDefault="00D32A05" w:rsidP="00D32A05">
            <w:pPr>
              <w:pStyle w:val="TableText"/>
              <w:rPr>
                <w:color w:val="000000"/>
                <w:szCs w:val="18"/>
              </w:rPr>
            </w:pPr>
            <w:r w:rsidRPr="001C29FC">
              <w:rPr>
                <w:color w:val="000000"/>
                <w:szCs w:val="18"/>
              </w:rPr>
              <w:t>Volume Reduce</w:t>
            </w:r>
          </w:p>
        </w:tc>
        <w:tc>
          <w:tcPr>
            <w:tcW w:w="1633" w:type="dxa"/>
            <w:shd w:val="clear" w:color="auto" w:fill="auto"/>
          </w:tcPr>
          <w:p w14:paraId="1628CC4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6311D2D"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is processed by the Volume Reduce modification type. Note: Workload is not accrued when a patient assignment is processed and VBECS releases all other patient assignments. Workload is not accrued when VBECS is required to quarantine the unit.</w:t>
            </w:r>
          </w:p>
        </w:tc>
      </w:tr>
      <w:tr w:rsidR="00D32A05" w:rsidRPr="001C29FC" w14:paraId="170BA842" w14:textId="77777777" w:rsidTr="00D32A05">
        <w:trPr>
          <w:cantSplit/>
          <w:tblHeader/>
        </w:trPr>
        <w:tc>
          <w:tcPr>
            <w:tcW w:w="1803" w:type="dxa"/>
            <w:shd w:val="clear" w:color="auto" w:fill="auto"/>
            <w:vAlign w:val="bottom"/>
          </w:tcPr>
          <w:p w14:paraId="4C33BAAD" w14:textId="77777777" w:rsidR="00D32A05" w:rsidRPr="001C29FC" w:rsidRDefault="00D32A05" w:rsidP="00D32A05">
            <w:pPr>
              <w:pStyle w:val="TableText"/>
            </w:pPr>
            <w:r w:rsidRPr="001C29FC">
              <w:t>Remove Final Status*</w:t>
            </w:r>
          </w:p>
        </w:tc>
        <w:tc>
          <w:tcPr>
            <w:tcW w:w="1442" w:type="dxa"/>
            <w:vMerge/>
            <w:shd w:val="clear" w:color="auto" w:fill="auto"/>
          </w:tcPr>
          <w:p w14:paraId="778D6AF7" w14:textId="77777777" w:rsidR="00D32A05" w:rsidRPr="001C29FC" w:rsidRDefault="00D32A05" w:rsidP="00D32A05">
            <w:pPr>
              <w:pStyle w:val="TableText"/>
              <w:rPr>
                <w:color w:val="000000"/>
                <w:szCs w:val="18"/>
              </w:rPr>
            </w:pPr>
          </w:p>
        </w:tc>
        <w:tc>
          <w:tcPr>
            <w:tcW w:w="1633" w:type="dxa"/>
            <w:shd w:val="clear" w:color="auto" w:fill="auto"/>
          </w:tcPr>
          <w:p w14:paraId="074D8A0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4B60C88"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Volume Reduce.</w:t>
            </w:r>
          </w:p>
        </w:tc>
      </w:tr>
      <w:tr w:rsidR="00D32A05" w:rsidRPr="001C29FC" w14:paraId="34A89218" w14:textId="77777777" w:rsidTr="00D32A05">
        <w:trPr>
          <w:cantSplit/>
          <w:tblHeader/>
        </w:trPr>
        <w:tc>
          <w:tcPr>
            <w:tcW w:w="1803" w:type="dxa"/>
            <w:shd w:val="clear" w:color="auto" w:fill="auto"/>
            <w:vAlign w:val="bottom"/>
          </w:tcPr>
          <w:p w14:paraId="3542A034" w14:textId="77777777" w:rsidR="00D32A05" w:rsidRPr="001C29FC" w:rsidRDefault="00D32A05" w:rsidP="00D32A05">
            <w:pPr>
              <w:pStyle w:val="TableText"/>
              <w:rPr>
                <w:szCs w:val="18"/>
              </w:rPr>
            </w:pPr>
            <w:r w:rsidRPr="001C29FC">
              <w:rPr>
                <w:snapToGrid w:val="0"/>
                <w:szCs w:val="18"/>
              </w:rPr>
              <w:t>Issue Blood Components</w:t>
            </w:r>
          </w:p>
        </w:tc>
        <w:tc>
          <w:tcPr>
            <w:tcW w:w="1442" w:type="dxa"/>
            <w:shd w:val="clear" w:color="auto" w:fill="auto"/>
          </w:tcPr>
          <w:p w14:paraId="5808B585" w14:textId="77777777" w:rsidR="00D32A05" w:rsidRPr="001C29FC" w:rsidRDefault="00D32A05" w:rsidP="00D32A05">
            <w:pPr>
              <w:pStyle w:val="TableText"/>
              <w:rPr>
                <w:color w:val="000000"/>
                <w:szCs w:val="18"/>
              </w:rPr>
            </w:pPr>
            <w:r w:rsidRPr="001C29FC">
              <w:rPr>
                <w:color w:val="000000"/>
                <w:szCs w:val="18"/>
              </w:rPr>
              <w:t>Issue unit</w:t>
            </w:r>
          </w:p>
        </w:tc>
        <w:tc>
          <w:tcPr>
            <w:tcW w:w="1633" w:type="dxa"/>
            <w:shd w:val="clear" w:color="auto" w:fill="auto"/>
          </w:tcPr>
          <w:p w14:paraId="612885DB"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AA41AE4"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unit is issued to a patient. When a batch of units is processed, each unit invokes one workload process.</w:t>
            </w:r>
          </w:p>
        </w:tc>
      </w:tr>
      <w:tr w:rsidR="00D32A05" w:rsidRPr="001C29FC" w14:paraId="69E50D11" w14:textId="77777777" w:rsidTr="00D32A05">
        <w:trPr>
          <w:cantSplit/>
          <w:tblHeader/>
        </w:trPr>
        <w:tc>
          <w:tcPr>
            <w:tcW w:w="1803" w:type="dxa"/>
            <w:shd w:val="clear" w:color="auto" w:fill="auto"/>
            <w:vAlign w:val="bottom"/>
          </w:tcPr>
          <w:p w14:paraId="41F96076" w14:textId="77777777" w:rsidR="00D32A05" w:rsidRPr="001C29FC" w:rsidRDefault="00D32A05" w:rsidP="00D32A05">
            <w:pPr>
              <w:pStyle w:val="TableText"/>
            </w:pPr>
            <w:r w:rsidRPr="001C29FC">
              <w:t>Justify Patient ABO/Rh Change</w:t>
            </w:r>
          </w:p>
        </w:tc>
        <w:tc>
          <w:tcPr>
            <w:tcW w:w="1442" w:type="dxa"/>
            <w:shd w:val="clear" w:color="auto" w:fill="auto"/>
          </w:tcPr>
          <w:p w14:paraId="16F65C1F" w14:textId="77777777" w:rsidR="00D32A05" w:rsidRPr="001C29FC" w:rsidRDefault="00D32A05" w:rsidP="00D32A05">
            <w:pPr>
              <w:pStyle w:val="TableText"/>
              <w:rPr>
                <w:color w:val="000000"/>
                <w:szCs w:val="18"/>
              </w:rPr>
            </w:pPr>
            <w:r w:rsidRPr="001C29FC">
              <w:rPr>
                <w:color w:val="000000"/>
                <w:szCs w:val="18"/>
              </w:rPr>
              <w:t>Justification</w:t>
            </w:r>
          </w:p>
        </w:tc>
        <w:tc>
          <w:tcPr>
            <w:tcW w:w="1633" w:type="dxa"/>
            <w:shd w:val="clear" w:color="auto" w:fill="auto"/>
          </w:tcPr>
          <w:p w14:paraId="0438CF2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126FE65C" w14:textId="77777777" w:rsidR="00D32A05" w:rsidRPr="001C29FC" w:rsidRDefault="00D32A05" w:rsidP="00D32A05">
            <w:pPr>
              <w:pStyle w:val="TableText"/>
              <w:rPr>
                <w:color w:val="000000"/>
                <w:szCs w:val="18"/>
              </w:rPr>
            </w:pPr>
            <w:r w:rsidRPr="001C29FC">
              <w:rPr>
                <w:color w:val="000000"/>
                <w:szCs w:val="18"/>
              </w:rPr>
              <w:t>Workload is accrued when a patient’s ABO or Rh typing is justified. One workload event is accrued per patient justification.</w:t>
            </w:r>
          </w:p>
        </w:tc>
      </w:tr>
      <w:tr w:rsidR="00D32A05" w:rsidRPr="001C29FC" w14:paraId="1C518839" w14:textId="77777777" w:rsidTr="00D32A05">
        <w:trPr>
          <w:cantSplit/>
          <w:tblHeader/>
        </w:trPr>
        <w:tc>
          <w:tcPr>
            <w:tcW w:w="1803" w:type="dxa"/>
            <w:shd w:val="clear" w:color="auto" w:fill="auto"/>
          </w:tcPr>
          <w:p w14:paraId="1333477B" w14:textId="77777777" w:rsidR="00D32A05" w:rsidRPr="001C29FC" w:rsidRDefault="00D32A05" w:rsidP="00D32A05">
            <w:pPr>
              <w:pStyle w:val="TableText"/>
              <w:rPr>
                <w:szCs w:val="18"/>
              </w:rPr>
            </w:pPr>
            <w:r w:rsidRPr="001C29FC">
              <w:rPr>
                <w:szCs w:val="18"/>
              </w:rPr>
              <w:t>Login Equipment</w:t>
            </w:r>
          </w:p>
        </w:tc>
        <w:tc>
          <w:tcPr>
            <w:tcW w:w="1442" w:type="dxa"/>
            <w:shd w:val="clear" w:color="auto" w:fill="auto"/>
          </w:tcPr>
          <w:p w14:paraId="3149E84A" w14:textId="77777777" w:rsidR="00D32A05" w:rsidRPr="001C29FC" w:rsidRDefault="00D32A05" w:rsidP="00D32A05">
            <w:pPr>
              <w:pStyle w:val="TableText"/>
              <w:rPr>
                <w:szCs w:val="18"/>
              </w:rPr>
            </w:pPr>
            <w:r w:rsidRPr="001C29FC">
              <w:rPr>
                <w:szCs w:val="18"/>
              </w:rPr>
              <w:t>Login Equipment</w:t>
            </w:r>
          </w:p>
        </w:tc>
        <w:tc>
          <w:tcPr>
            <w:tcW w:w="1633" w:type="dxa"/>
            <w:shd w:val="clear" w:color="auto" w:fill="auto"/>
          </w:tcPr>
          <w:p w14:paraId="7B6137F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5BAD242C" w14:textId="77777777" w:rsidR="00D32A05" w:rsidRPr="001C29FC" w:rsidRDefault="00D32A05" w:rsidP="00D32A05">
            <w:pPr>
              <w:pStyle w:val="TableText"/>
              <w:rPr>
                <w:szCs w:val="18"/>
              </w:rPr>
            </w:pPr>
            <w:r w:rsidRPr="001C29FC">
              <w:rPr>
                <w:szCs w:val="18"/>
              </w:rPr>
              <w:t>Accrue workload when a lot number of any type of equipment is logged into the system. When multiple lot numbers are processed in a batch, each lot number’s workload is counted.</w:t>
            </w:r>
          </w:p>
        </w:tc>
      </w:tr>
      <w:tr w:rsidR="00D32A05" w:rsidRPr="001C29FC" w14:paraId="7694AB3E" w14:textId="77777777" w:rsidTr="00D32A05">
        <w:trPr>
          <w:cantSplit/>
          <w:tblHeader/>
        </w:trPr>
        <w:tc>
          <w:tcPr>
            <w:tcW w:w="1803" w:type="dxa"/>
            <w:shd w:val="clear" w:color="auto" w:fill="auto"/>
          </w:tcPr>
          <w:p w14:paraId="7EE3BD2F" w14:textId="77777777" w:rsidR="00D32A05" w:rsidRPr="001C29FC" w:rsidRDefault="00D32A05" w:rsidP="00D32A05">
            <w:pPr>
              <w:pStyle w:val="TableText"/>
              <w:rPr>
                <w:szCs w:val="18"/>
              </w:rPr>
            </w:pPr>
            <w:r w:rsidRPr="001C29FC">
              <w:rPr>
                <w:szCs w:val="18"/>
              </w:rPr>
              <w:lastRenderedPageBreak/>
              <w:t>Login Reagent</w:t>
            </w:r>
          </w:p>
        </w:tc>
        <w:tc>
          <w:tcPr>
            <w:tcW w:w="1442" w:type="dxa"/>
            <w:shd w:val="clear" w:color="auto" w:fill="auto"/>
          </w:tcPr>
          <w:p w14:paraId="01DDA30C" w14:textId="77777777" w:rsidR="00D32A05" w:rsidRPr="001C29FC" w:rsidRDefault="00D32A05" w:rsidP="00D32A05">
            <w:pPr>
              <w:pStyle w:val="TableText"/>
              <w:rPr>
                <w:szCs w:val="18"/>
              </w:rPr>
            </w:pPr>
            <w:r w:rsidRPr="001C29FC">
              <w:rPr>
                <w:szCs w:val="18"/>
              </w:rPr>
              <w:t>Login Reagent</w:t>
            </w:r>
          </w:p>
        </w:tc>
        <w:tc>
          <w:tcPr>
            <w:tcW w:w="1633" w:type="dxa"/>
            <w:shd w:val="clear" w:color="auto" w:fill="auto"/>
          </w:tcPr>
          <w:p w14:paraId="2EC4B749"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4BB840A4" w14:textId="77777777" w:rsidR="00D32A05" w:rsidRPr="001C29FC" w:rsidRDefault="00D32A05" w:rsidP="00D32A05">
            <w:pPr>
              <w:pStyle w:val="TableText"/>
              <w:rPr>
                <w:szCs w:val="18"/>
              </w:rPr>
            </w:pPr>
            <w:r w:rsidRPr="001C29FC">
              <w:rPr>
                <w:szCs w:val="18"/>
              </w:rPr>
              <w:t>Accrue workload when a lot number of any type of reagent is logged into the system. When multiple lot numbers are processed in a batch, each lot number’s workload is counted.</w:t>
            </w:r>
          </w:p>
        </w:tc>
      </w:tr>
      <w:tr w:rsidR="00D32A05" w:rsidRPr="001C29FC" w14:paraId="2DCBD0FB" w14:textId="77777777" w:rsidTr="00D32A05">
        <w:trPr>
          <w:cantSplit/>
          <w:tblHeader/>
        </w:trPr>
        <w:tc>
          <w:tcPr>
            <w:tcW w:w="1803" w:type="dxa"/>
            <w:shd w:val="clear" w:color="auto" w:fill="auto"/>
          </w:tcPr>
          <w:p w14:paraId="407A574B" w14:textId="77777777" w:rsidR="00D32A05" w:rsidRPr="001C29FC" w:rsidRDefault="00D32A05" w:rsidP="00D32A05">
            <w:pPr>
              <w:pStyle w:val="TableText"/>
              <w:rPr>
                <w:szCs w:val="18"/>
              </w:rPr>
            </w:pPr>
            <w:r w:rsidRPr="001C29FC">
              <w:rPr>
                <w:szCs w:val="18"/>
              </w:rPr>
              <w:t>Login Supply</w:t>
            </w:r>
          </w:p>
        </w:tc>
        <w:tc>
          <w:tcPr>
            <w:tcW w:w="1442" w:type="dxa"/>
            <w:shd w:val="clear" w:color="auto" w:fill="auto"/>
          </w:tcPr>
          <w:p w14:paraId="3073B622" w14:textId="77777777" w:rsidR="00D32A05" w:rsidRPr="001C29FC" w:rsidRDefault="00D32A05" w:rsidP="00D32A05">
            <w:pPr>
              <w:pStyle w:val="TableText"/>
              <w:rPr>
                <w:szCs w:val="18"/>
              </w:rPr>
            </w:pPr>
            <w:r w:rsidRPr="001C29FC">
              <w:rPr>
                <w:szCs w:val="18"/>
              </w:rPr>
              <w:t>Login Supply</w:t>
            </w:r>
          </w:p>
        </w:tc>
        <w:tc>
          <w:tcPr>
            <w:tcW w:w="1633" w:type="dxa"/>
            <w:shd w:val="clear" w:color="auto" w:fill="auto"/>
          </w:tcPr>
          <w:p w14:paraId="621F00AE"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5A69F43E" w14:textId="77777777" w:rsidR="00D32A05" w:rsidRPr="001C29FC" w:rsidRDefault="00D32A05" w:rsidP="00D32A05">
            <w:pPr>
              <w:pStyle w:val="TableText"/>
              <w:rPr>
                <w:szCs w:val="18"/>
              </w:rPr>
            </w:pPr>
            <w:r w:rsidRPr="001C29FC">
              <w:rPr>
                <w:szCs w:val="18"/>
              </w:rPr>
              <w:t>Accrue workload when a lot number of any type of supply is logged into the system. When multiple lot numbers are processed in a batch, each lot number’s workload is counted.</w:t>
            </w:r>
          </w:p>
        </w:tc>
      </w:tr>
      <w:tr w:rsidR="00D32A05" w:rsidRPr="001C29FC" w14:paraId="3C4ECD7E" w14:textId="77777777" w:rsidTr="00D32A05">
        <w:trPr>
          <w:cantSplit/>
          <w:tblHeader/>
        </w:trPr>
        <w:tc>
          <w:tcPr>
            <w:tcW w:w="1803" w:type="dxa"/>
            <w:shd w:val="clear" w:color="auto" w:fill="auto"/>
          </w:tcPr>
          <w:p w14:paraId="7F1CFA95" w14:textId="77777777" w:rsidR="00D32A05" w:rsidRPr="001C29FC" w:rsidRDefault="00D32A05" w:rsidP="00D32A05">
            <w:pPr>
              <w:pStyle w:val="TableText"/>
              <w:rPr>
                <w:szCs w:val="18"/>
              </w:rPr>
            </w:pPr>
            <w:r w:rsidRPr="001C29FC">
              <w:rPr>
                <w:szCs w:val="18"/>
              </w:rPr>
              <w:t>Maintain Specimen</w:t>
            </w:r>
          </w:p>
        </w:tc>
        <w:tc>
          <w:tcPr>
            <w:tcW w:w="1442" w:type="dxa"/>
            <w:shd w:val="clear" w:color="auto" w:fill="auto"/>
          </w:tcPr>
          <w:p w14:paraId="15C61853" w14:textId="77777777" w:rsidR="00D32A05" w:rsidRPr="001C29FC" w:rsidRDefault="00D32A05" w:rsidP="00D32A05">
            <w:pPr>
              <w:pStyle w:val="TableText"/>
              <w:rPr>
                <w:szCs w:val="18"/>
              </w:rPr>
            </w:pPr>
            <w:r w:rsidRPr="001C29FC">
              <w:rPr>
                <w:szCs w:val="18"/>
              </w:rPr>
              <w:t>Maintain Specimen</w:t>
            </w:r>
          </w:p>
        </w:tc>
        <w:tc>
          <w:tcPr>
            <w:tcW w:w="1633" w:type="dxa"/>
            <w:shd w:val="clear" w:color="auto" w:fill="auto"/>
          </w:tcPr>
          <w:p w14:paraId="6B9FD4BB"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6DB10D0E" w14:textId="77777777" w:rsidR="00D32A05" w:rsidRPr="001C29FC" w:rsidRDefault="00D32A05" w:rsidP="00D32A05">
            <w:pPr>
              <w:pStyle w:val="TableText"/>
              <w:rPr>
                <w:szCs w:val="18"/>
              </w:rPr>
            </w:pPr>
            <w:r w:rsidRPr="001C29FC">
              <w:rPr>
                <w:szCs w:val="18"/>
              </w:rPr>
              <w:t>Accrue workload when a specimen is maintained during order acceptance and is required for acceptance of the order. Note: This is collected in addition to the accept order workload accrued by accepting an order. Marking a specimen unacceptable does not create a negative workload event.</w:t>
            </w:r>
          </w:p>
        </w:tc>
      </w:tr>
      <w:tr w:rsidR="00D32A05" w:rsidRPr="001C29FC" w14:paraId="3A1F18DF" w14:textId="77777777" w:rsidTr="00D32A05">
        <w:trPr>
          <w:cantSplit/>
          <w:tblHeader/>
        </w:trPr>
        <w:tc>
          <w:tcPr>
            <w:tcW w:w="1803" w:type="dxa"/>
            <w:shd w:val="clear" w:color="auto" w:fill="auto"/>
          </w:tcPr>
          <w:p w14:paraId="362E3AE8" w14:textId="77777777" w:rsidR="00D32A05" w:rsidRPr="001C29FC" w:rsidRDefault="00D32A05" w:rsidP="00D32A05">
            <w:pPr>
              <w:pStyle w:val="TableText"/>
              <w:rPr>
                <w:color w:val="000000"/>
                <w:szCs w:val="18"/>
              </w:rPr>
            </w:pPr>
            <w:r w:rsidRPr="001C29FC">
              <w:rPr>
                <w:color w:val="000000"/>
                <w:szCs w:val="18"/>
              </w:rPr>
              <w:t>Patient antigen phenotype</w:t>
            </w:r>
          </w:p>
        </w:tc>
        <w:tc>
          <w:tcPr>
            <w:tcW w:w="1442" w:type="dxa"/>
            <w:vMerge w:val="restart"/>
            <w:shd w:val="clear" w:color="auto" w:fill="auto"/>
          </w:tcPr>
          <w:p w14:paraId="2696B1D8" w14:textId="77777777" w:rsidR="00D32A05" w:rsidRPr="001C29FC" w:rsidRDefault="00D32A05" w:rsidP="00D32A05">
            <w:pPr>
              <w:pStyle w:val="TableText"/>
              <w:rPr>
                <w:color w:val="000000"/>
                <w:szCs w:val="18"/>
              </w:rPr>
            </w:pPr>
            <w:r w:rsidRPr="001C29FC">
              <w:rPr>
                <w:color w:val="000000"/>
                <w:szCs w:val="18"/>
              </w:rPr>
              <w:t>Patient antigen phenotype (multiple phases)</w:t>
            </w:r>
          </w:p>
        </w:tc>
        <w:tc>
          <w:tcPr>
            <w:tcW w:w="1633" w:type="dxa"/>
            <w:shd w:val="clear" w:color="auto" w:fill="auto"/>
          </w:tcPr>
          <w:p w14:paraId="7E3183F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CA03BB3"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patient antigen phenotype test with IS/RT or IS/37 phases is completed and saved. One workload event is collected per completed tab for repeat or regular antigen tests.</w:t>
            </w:r>
          </w:p>
        </w:tc>
      </w:tr>
      <w:tr w:rsidR="00D32A05" w:rsidRPr="001C29FC" w14:paraId="03895546" w14:textId="77777777" w:rsidTr="00D32A05">
        <w:trPr>
          <w:cantSplit/>
          <w:tblHeader/>
        </w:trPr>
        <w:tc>
          <w:tcPr>
            <w:tcW w:w="1803" w:type="dxa"/>
            <w:shd w:val="clear" w:color="auto" w:fill="auto"/>
          </w:tcPr>
          <w:p w14:paraId="5609EA7E" w14:textId="77777777" w:rsidR="00D32A05" w:rsidRPr="001C29FC" w:rsidRDefault="00D32A05" w:rsidP="00D32A05">
            <w:pPr>
              <w:pStyle w:val="TableText"/>
              <w:rPr>
                <w:szCs w:val="18"/>
              </w:rPr>
            </w:pPr>
            <w:r w:rsidRPr="001C29FC">
              <w:rPr>
                <w:szCs w:val="18"/>
              </w:rPr>
              <w:t>Invalidate Patient Test Results*</w:t>
            </w:r>
          </w:p>
        </w:tc>
        <w:tc>
          <w:tcPr>
            <w:tcW w:w="1442" w:type="dxa"/>
            <w:vMerge/>
            <w:shd w:val="clear" w:color="auto" w:fill="auto"/>
          </w:tcPr>
          <w:p w14:paraId="5575C88D" w14:textId="77777777" w:rsidR="00D32A05" w:rsidRPr="001C29FC" w:rsidRDefault="00D32A05" w:rsidP="00D32A05">
            <w:pPr>
              <w:pStyle w:val="TableText"/>
              <w:rPr>
                <w:color w:val="000000"/>
                <w:szCs w:val="18"/>
              </w:rPr>
            </w:pPr>
          </w:p>
        </w:tc>
        <w:tc>
          <w:tcPr>
            <w:tcW w:w="1633" w:type="dxa"/>
            <w:shd w:val="clear" w:color="auto" w:fill="auto"/>
          </w:tcPr>
          <w:p w14:paraId="229BAED4"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98EBA2E" w14:textId="77777777" w:rsidR="00D32A05" w:rsidRPr="001C29FC" w:rsidRDefault="00D32A05" w:rsidP="00D32A05">
            <w:pPr>
              <w:pStyle w:val="TableText"/>
              <w:rPr>
                <w:szCs w:val="18"/>
              </w:rPr>
            </w:pPr>
            <w:r w:rsidRPr="001C29FC">
              <w:rPr>
                <w:szCs w:val="18"/>
              </w:rPr>
              <w:t xml:space="preserve">Accrue workload when a patient antigen phenotype test as defined by the antiserum specificity tested with any phases is invalidated. </w:t>
            </w:r>
          </w:p>
        </w:tc>
      </w:tr>
      <w:tr w:rsidR="00D32A05" w:rsidRPr="001C29FC" w14:paraId="58A66A97" w14:textId="77777777" w:rsidTr="00D32A05">
        <w:trPr>
          <w:cantSplit/>
          <w:tblHeader/>
        </w:trPr>
        <w:tc>
          <w:tcPr>
            <w:tcW w:w="1803" w:type="dxa"/>
            <w:shd w:val="clear" w:color="auto" w:fill="auto"/>
          </w:tcPr>
          <w:p w14:paraId="46991ABF" w14:textId="77777777" w:rsidR="00D32A05" w:rsidRPr="001C29FC" w:rsidRDefault="00D32A05" w:rsidP="00D32A05">
            <w:pPr>
              <w:pStyle w:val="TableText"/>
              <w:rPr>
                <w:color w:val="000000"/>
                <w:szCs w:val="18"/>
              </w:rPr>
            </w:pPr>
            <w:r w:rsidRPr="001C29FC">
              <w:rPr>
                <w:color w:val="000000"/>
                <w:szCs w:val="18"/>
              </w:rPr>
              <w:t>Patient antigen phenotype</w:t>
            </w:r>
          </w:p>
        </w:tc>
        <w:tc>
          <w:tcPr>
            <w:tcW w:w="1442" w:type="dxa"/>
            <w:vMerge w:val="restart"/>
            <w:shd w:val="clear" w:color="auto" w:fill="auto"/>
          </w:tcPr>
          <w:p w14:paraId="7AA3F3B0" w14:textId="77777777" w:rsidR="00D32A05" w:rsidRPr="001C29FC" w:rsidRDefault="00D32A05" w:rsidP="00D32A05">
            <w:pPr>
              <w:pStyle w:val="TableText"/>
              <w:rPr>
                <w:color w:val="000000"/>
                <w:szCs w:val="18"/>
              </w:rPr>
            </w:pPr>
            <w:r w:rsidRPr="001C29FC">
              <w:rPr>
                <w:color w:val="000000"/>
                <w:szCs w:val="18"/>
              </w:rPr>
              <w:t>Patient antigen phenotype (single phase)</w:t>
            </w:r>
          </w:p>
        </w:tc>
        <w:tc>
          <w:tcPr>
            <w:tcW w:w="1633" w:type="dxa"/>
            <w:shd w:val="clear" w:color="auto" w:fill="auto"/>
          </w:tcPr>
          <w:p w14:paraId="7EC8B320"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48CCD21"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patient antigen phenotype test with AHG or IS phase is completed and saved. One workload event is collected per completed tab for repeat or regular antigen tests.</w:t>
            </w:r>
          </w:p>
        </w:tc>
      </w:tr>
      <w:tr w:rsidR="00D32A05" w:rsidRPr="001C29FC" w14:paraId="395465C8" w14:textId="77777777" w:rsidTr="00D32A05">
        <w:trPr>
          <w:cantSplit/>
          <w:tblHeader/>
        </w:trPr>
        <w:tc>
          <w:tcPr>
            <w:tcW w:w="1803" w:type="dxa"/>
            <w:shd w:val="clear" w:color="auto" w:fill="auto"/>
          </w:tcPr>
          <w:p w14:paraId="03540996" w14:textId="77777777" w:rsidR="00D32A05" w:rsidRPr="001C29FC" w:rsidRDefault="00D32A05" w:rsidP="00D32A05">
            <w:pPr>
              <w:pStyle w:val="TableText"/>
              <w:rPr>
                <w:szCs w:val="18"/>
              </w:rPr>
            </w:pPr>
            <w:r w:rsidRPr="001C29FC">
              <w:rPr>
                <w:szCs w:val="18"/>
              </w:rPr>
              <w:t>Invalidate Patient Test Results*</w:t>
            </w:r>
          </w:p>
        </w:tc>
        <w:tc>
          <w:tcPr>
            <w:tcW w:w="1442" w:type="dxa"/>
            <w:vMerge/>
            <w:shd w:val="clear" w:color="auto" w:fill="auto"/>
          </w:tcPr>
          <w:p w14:paraId="4A007417" w14:textId="77777777" w:rsidR="00D32A05" w:rsidRPr="001C29FC" w:rsidRDefault="00D32A05" w:rsidP="00D32A05">
            <w:pPr>
              <w:pStyle w:val="TableText"/>
              <w:rPr>
                <w:color w:val="000000"/>
                <w:szCs w:val="18"/>
              </w:rPr>
            </w:pPr>
          </w:p>
        </w:tc>
        <w:tc>
          <w:tcPr>
            <w:tcW w:w="1633" w:type="dxa"/>
            <w:shd w:val="clear" w:color="auto" w:fill="auto"/>
          </w:tcPr>
          <w:p w14:paraId="0E7283D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5A3834F4" w14:textId="060ACEAF" w:rsidR="00D32A05" w:rsidRPr="001C29FC" w:rsidRDefault="00D32A05" w:rsidP="00D32A05">
            <w:pPr>
              <w:pStyle w:val="TableText"/>
              <w:rPr>
                <w:szCs w:val="18"/>
              </w:rPr>
            </w:pPr>
            <w:r w:rsidRPr="001C29FC">
              <w:rPr>
                <w:szCs w:val="18"/>
              </w:rPr>
              <w:t xml:space="preserve">Accrue workload when a patient antigen phenotype test as defined by the antiserum specificity tested with </w:t>
            </w:r>
            <w:r w:rsidR="00AE3B37" w:rsidRPr="001C29FC">
              <w:rPr>
                <w:szCs w:val="18"/>
              </w:rPr>
              <w:t>a single phase</w:t>
            </w:r>
            <w:r w:rsidRPr="001C29FC">
              <w:rPr>
                <w:szCs w:val="18"/>
              </w:rPr>
              <w:t xml:space="preserve"> is invalidated. </w:t>
            </w:r>
          </w:p>
        </w:tc>
      </w:tr>
      <w:tr w:rsidR="00D32A05" w:rsidRPr="001C29FC" w14:paraId="18618A98" w14:textId="77777777" w:rsidTr="00D32A05">
        <w:trPr>
          <w:cantSplit/>
          <w:tblHeader/>
        </w:trPr>
        <w:tc>
          <w:tcPr>
            <w:tcW w:w="1803" w:type="dxa"/>
            <w:shd w:val="clear" w:color="auto" w:fill="auto"/>
            <w:vAlign w:val="bottom"/>
          </w:tcPr>
          <w:p w14:paraId="75D18E22" w14:textId="77777777" w:rsidR="00D32A05" w:rsidRPr="001C29FC" w:rsidRDefault="00D32A05" w:rsidP="00D32A05">
            <w:pPr>
              <w:pStyle w:val="TableText"/>
            </w:pPr>
            <w:r w:rsidRPr="001C29FC">
              <w:t>Pool Units</w:t>
            </w:r>
          </w:p>
        </w:tc>
        <w:tc>
          <w:tcPr>
            <w:tcW w:w="1442" w:type="dxa"/>
            <w:vMerge w:val="restart"/>
            <w:shd w:val="clear" w:color="auto" w:fill="auto"/>
          </w:tcPr>
          <w:p w14:paraId="03469E73" w14:textId="77777777" w:rsidR="00D32A05" w:rsidRPr="001C29FC" w:rsidRDefault="00D32A05" w:rsidP="00D32A05">
            <w:pPr>
              <w:pStyle w:val="TableText"/>
              <w:rPr>
                <w:color w:val="000000"/>
                <w:szCs w:val="18"/>
              </w:rPr>
            </w:pPr>
            <w:r w:rsidRPr="001C29FC">
              <w:rPr>
                <w:color w:val="000000"/>
                <w:szCs w:val="18"/>
              </w:rPr>
              <w:t>Pool unit</w:t>
            </w:r>
          </w:p>
          <w:p w14:paraId="47394B10" w14:textId="77777777" w:rsidR="00D32A05" w:rsidRPr="001C29FC" w:rsidRDefault="00D32A05" w:rsidP="00D32A05">
            <w:pPr>
              <w:pStyle w:val="TableText"/>
              <w:rPr>
                <w:color w:val="000000"/>
                <w:szCs w:val="18"/>
              </w:rPr>
            </w:pPr>
            <w:r w:rsidRPr="001C29FC">
              <w:rPr>
                <w:color w:val="000000"/>
                <w:szCs w:val="18"/>
              </w:rPr>
              <w:t> </w:t>
            </w:r>
          </w:p>
        </w:tc>
        <w:tc>
          <w:tcPr>
            <w:tcW w:w="1633" w:type="dxa"/>
            <w:shd w:val="clear" w:color="auto" w:fill="auto"/>
          </w:tcPr>
          <w:p w14:paraId="7C0181D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0E04FC8"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pooled unit is created and a single workload event is recorded regardless of the number of units included in the pooled unit. This applies to the Pool modification type. Add/Remove unit from a pool does not accrue any workload.</w:t>
            </w:r>
            <w:r w:rsidRPr="001C29FC">
              <w:rPr>
                <w:iCs/>
                <w:color w:val="000000"/>
                <w:szCs w:val="18"/>
              </w:rPr>
              <w:t xml:space="preserve"> Note: Workload is not accrued when a patient assignment is processed and VBECS releases all other patient assignments. Workload is not accrued when VBECS is required to quarantine the unit.</w:t>
            </w:r>
          </w:p>
        </w:tc>
      </w:tr>
      <w:tr w:rsidR="00D32A05" w:rsidRPr="001C29FC" w14:paraId="326FFF1C" w14:textId="77777777" w:rsidTr="00D32A05">
        <w:trPr>
          <w:cantSplit/>
          <w:tblHeader/>
        </w:trPr>
        <w:tc>
          <w:tcPr>
            <w:tcW w:w="1803" w:type="dxa"/>
            <w:shd w:val="clear" w:color="auto" w:fill="auto"/>
            <w:vAlign w:val="bottom"/>
          </w:tcPr>
          <w:p w14:paraId="710EA203" w14:textId="77777777" w:rsidR="00D32A05" w:rsidRPr="001C29FC" w:rsidRDefault="00D32A05" w:rsidP="00D32A05">
            <w:pPr>
              <w:pStyle w:val="TableText"/>
            </w:pPr>
            <w:r w:rsidRPr="001C29FC">
              <w:t>Edit Unit Information*</w:t>
            </w:r>
          </w:p>
        </w:tc>
        <w:tc>
          <w:tcPr>
            <w:tcW w:w="1442" w:type="dxa"/>
            <w:vMerge/>
            <w:shd w:val="clear" w:color="auto" w:fill="auto"/>
          </w:tcPr>
          <w:p w14:paraId="596A4127" w14:textId="77777777" w:rsidR="00D32A05" w:rsidRPr="001C29FC" w:rsidRDefault="00D32A05" w:rsidP="00D32A05">
            <w:pPr>
              <w:pStyle w:val="TableText"/>
              <w:rPr>
                <w:color w:val="000000"/>
                <w:szCs w:val="18"/>
              </w:rPr>
            </w:pPr>
          </w:p>
        </w:tc>
        <w:tc>
          <w:tcPr>
            <w:tcW w:w="1633" w:type="dxa"/>
            <w:shd w:val="clear" w:color="auto" w:fill="auto"/>
          </w:tcPr>
          <w:p w14:paraId="5C525CF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EC47958"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if the pooled unit was created in VBECS. </w:t>
            </w:r>
          </w:p>
        </w:tc>
      </w:tr>
      <w:tr w:rsidR="00D32A05" w:rsidRPr="001C29FC" w14:paraId="2F75EA45" w14:textId="77777777" w:rsidTr="00D32A05">
        <w:trPr>
          <w:cantSplit/>
          <w:tblHeader/>
        </w:trPr>
        <w:tc>
          <w:tcPr>
            <w:tcW w:w="1803" w:type="dxa"/>
            <w:shd w:val="clear" w:color="auto" w:fill="auto"/>
            <w:vAlign w:val="bottom"/>
          </w:tcPr>
          <w:p w14:paraId="0D9A9C5B" w14:textId="77777777" w:rsidR="00D32A05" w:rsidRPr="001C29FC" w:rsidRDefault="00D32A05" w:rsidP="00D32A05">
            <w:pPr>
              <w:pStyle w:val="TableText"/>
            </w:pPr>
            <w:r w:rsidRPr="001C29FC">
              <w:t>Remove Final Status</w:t>
            </w:r>
          </w:p>
        </w:tc>
        <w:tc>
          <w:tcPr>
            <w:tcW w:w="1442" w:type="dxa"/>
            <w:vMerge/>
            <w:shd w:val="clear" w:color="auto" w:fill="auto"/>
          </w:tcPr>
          <w:p w14:paraId="7F6D17F6" w14:textId="77777777" w:rsidR="00D32A05" w:rsidRPr="001C29FC" w:rsidRDefault="00D32A05" w:rsidP="00D32A05">
            <w:pPr>
              <w:pStyle w:val="TableText"/>
              <w:rPr>
                <w:color w:val="000000"/>
                <w:szCs w:val="18"/>
              </w:rPr>
            </w:pPr>
          </w:p>
        </w:tc>
        <w:tc>
          <w:tcPr>
            <w:tcW w:w="1633" w:type="dxa"/>
            <w:shd w:val="clear" w:color="auto" w:fill="auto"/>
          </w:tcPr>
          <w:p w14:paraId="173D2E75" w14:textId="77777777" w:rsidR="00D32A05" w:rsidRPr="001C29FC" w:rsidRDefault="00D32A05" w:rsidP="00D32A05">
            <w:pPr>
              <w:pStyle w:val="TableText"/>
              <w:rPr>
                <w:color w:val="000000"/>
                <w:szCs w:val="18"/>
              </w:rPr>
            </w:pPr>
            <w:r w:rsidRPr="001C29FC">
              <w:rPr>
                <w:color w:val="000000"/>
                <w:szCs w:val="18"/>
              </w:rPr>
              <w:t>N/A</w:t>
            </w:r>
          </w:p>
        </w:tc>
        <w:tc>
          <w:tcPr>
            <w:tcW w:w="4482" w:type="dxa"/>
            <w:shd w:val="clear" w:color="auto" w:fill="auto"/>
          </w:tcPr>
          <w:p w14:paraId="212BFC2C" w14:textId="77777777" w:rsidR="00D32A05" w:rsidRPr="001C29FC" w:rsidRDefault="00D32A05" w:rsidP="00D32A05">
            <w:pPr>
              <w:pStyle w:val="TableText"/>
              <w:rPr>
                <w:color w:val="000000"/>
                <w:szCs w:val="18"/>
              </w:rPr>
            </w:pPr>
            <w:r w:rsidRPr="001C29FC">
              <w:rPr>
                <w:color w:val="000000"/>
                <w:szCs w:val="18"/>
              </w:rPr>
              <w:t xml:space="preserve">No effect on workload accrual when a unit is removed from a modified status that was included in a pool. </w:t>
            </w:r>
          </w:p>
        </w:tc>
      </w:tr>
      <w:tr w:rsidR="00D32A05" w:rsidRPr="001C29FC" w14:paraId="3C26AEC4" w14:textId="77777777" w:rsidTr="00D32A05">
        <w:trPr>
          <w:cantSplit/>
          <w:tblHeader/>
        </w:trPr>
        <w:tc>
          <w:tcPr>
            <w:tcW w:w="1803" w:type="dxa"/>
            <w:shd w:val="clear" w:color="auto" w:fill="auto"/>
            <w:vAlign w:val="bottom"/>
          </w:tcPr>
          <w:p w14:paraId="59A91B14" w14:textId="77777777" w:rsidR="00D32A05" w:rsidRPr="001C29FC" w:rsidRDefault="00D32A05" w:rsidP="00D32A05">
            <w:pPr>
              <w:pStyle w:val="TableText"/>
            </w:pPr>
            <w:r w:rsidRPr="001C29FC">
              <w:t>Discard or Quarantine Unit</w:t>
            </w:r>
          </w:p>
        </w:tc>
        <w:tc>
          <w:tcPr>
            <w:tcW w:w="1442" w:type="dxa"/>
            <w:shd w:val="clear" w:color="auto" w:fill="auto"/>
          </w:tcPr>
          <w:p w14:paraId="4780A914" w14:textId="77777777" w:rsidR="00D32A05" w:rsidRPr="001C29FC" w:rsidRDefault="00D32A05" w:rsidP="00D32A05">
            <w:pPr>
              <w:pStyle w:val="TableText"/>
              <w:rPr>
                <w:color w:val="000000"/>
                <w:szCs w:val="18"/>
              </w:rPr>
            </w:pPr>
            <w:r w:rsidRPr="001C29FC">
              <w:rPr>
                <w:color w:val="000000"/>
                <w:szCs w:val="18"/>
              </w:rPr>
              <w:t>Quarantine unit</w:t>
            </w:r>
          </w:p>
        </w:tc>
        <w:tc>
          <w:tcPr>
            <w:tcW w:w="1633" w:type="dxa"/>
            <w:shd w:val="clear" w:color="auto" w:fill="auto"/>
          </w:tcPr>
          <w:p w14:paraId="2DE343CD"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2ACD9A8" w14:textId="77777777" w:rsidR="00D32A05" w:rsidRPr="001C29FC" w:rsidRDefault="00D32A05" w:rsidP="00D32A05">
            <w:pPr>
              <w:pStyle w:val="TableText"/>
              <w:rPr>
                <w:color w:val="000000"/>
                <w:szCs w:val="18"/>
              </w:rPr>
            </w:pPr>
            <w:r w:rsidRPr="001C29FC">
              <w:rPr>
                <w:color w:val="000000"/>
                <w:szCs w:val="18"/>
              </w:rPr>
              <w:t>Accrue workload when a unit is marked for quarantine. When a batch of units is selected, each unit accrues workload.</w:t>
            </w:r>
          </w:p>
        </w:tc>
      </w:tr>
      <w:tr w:rsidR="00D32A05" w:rsidRPr="001C29FC" w14:paraId="5B6A1F06" w14:textId="77777777" w:rsidTr="00D32A05">
        <w:trPr>
          <w:cantSplit/>
          <w:tblHeader/>
        </w:trPr>
        <w:tc>
          <w:tcPr>
            <w:tcW w:w="1803" w:type="dxa"/>
            <w:shd w:val="clear" w:color="auto" w:fill="auto"/>
            <w:vAlign w:val="bottom"/>
          </w:tcPr>
          <w:p w14:paraId="330B598B" w14:textId="77777777" w:rsidR="00D32A05" w:rsidRPr="001C29FC" w:rsidRDefault="00D32A05" w:rsidP="00D32A05">
            <w:pPr>
              <w:pStyle w:val="TableText"/>
              <w:rPr>
                <w:szCs w:val="18"/>
              </w:rPr>
            </w:pPr>
            <w:r w:rsidRPr="001C29FC">
              <w:rPr>
                <w:snapToGrid w:val="0"/>
                <w:szCs w:val="18"/>
              </w:rPr>
              <w:t>Free Directed Unit For Crossover</w:t>
            </w:r>
          </w:p>
        </w:tc>
        <w:tc>
          <w:tcPr>
            <w:tcW w:w="1442" w:type="dxa"/>
            <w:shd w:val="clear" w:color="auto" w:fill="auto"/>
          </w:tcPr>
          <w:p w14:paraId="5576E6C9" w14:textId="77777777" w:rsidR="00D32A05" w:rsidRPr="001C29FC" w:rsidRDefault="00D32A05" w:rsidP="00D32A05">
            <w:pPr>
              <w:pStyle w:val="TableText"/>
              <w:rPr>
                <w:color w:val="000000"/>
                <w:szCs w:val="18"/>
              </w:rPr>
            </w:pPr>
            <w:r w:rsidRPr="001C29FC">
              <w:rPr>
                <w:color w:val="000000"/>
                <w:szCs w:val="18"/>
              </w:rPr>
              <w:t>Release directed unit</w:t>
            </w:r>
          </w:p>
        </w:tc>
        <w:tc>
          <w:tcPr>
            <w:tcW w:w="1633" w:type="dxa"/>
            <w:shd w:val="clear" w:color="auto" w:fill="auto"/>
          </w:tcPr>
          <w:p w14:paraId="4D809D3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A1B110E"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with the restriction type of “directed” is released for use as an allogeneic unit.</w:t>
            </w:r>
          </w:p>
        </w:tc>
      </w:tr>
      <w:tr w:rsidR="00D32A05" w:rsidRPr="001C29FC" w14:paraId="69586C89" w14:textId="77777777" w:rsidTr="00D32A05">
        <w:trPr>
          <w:cantSplit/>
          <w:tblHeader/>
        </w:trPr>
        <w:tc>
          <w:tcPr>
            <w:tcW w:w="1803" w:type="dxa"/>
            <w:shd w:val="clear" w:color="auto" w:fill="auto"/>
            <w:vAlign w:val="bottom"/>
          </w:tcPr>
          <w:p w14:paraId="11351A53" w14:textId="77777777" w:rsidR="00D32A05" w:rsidRPr="001C29FC" w:rsidRDefault="00D32A05" w:rsidP="00D32A05">
            <w:pPr>
              <w:pStyle w:val="TableText"/>
            </w:pPr>
            <w:r w:rsidRPr="001C29FC">
              <w:lastRenderedPageBreak/>
              <w:t>Release Unit from Patient Assignment</w:t>
            </w:r>
          </w:p>
        </w:tc>
        <w:tc>
          <w:tcPr>
            <w:tcW w:w="1442" w:type="dxa"/>
            <w:shd w:val="clear" w:color="auto" w:fill="auto"/>
          </w:tcPr>
          <w:p w14:paraId="3D3FA045" w14:textId="77777777" w:rsidR="00D32A05" w:rsidRPr="001C29FC" w:rsidRDefault="00D32A05" w:rsidP="00D32A05">
            <w:pPr>
              <w:pStyle w:val="TableText"/>
              <w:rPr>
                <w:color w:val="000000"/>
                <w:szCs w:val="18"/>
              </w:rPr>
            </w:pPr>
            <w:r w:rsidRPr="001C29FC">
              <w:rPr>
                <w:color w:val="000000"/>
                <w:szCs w:val="18"/>
              </w:rPr>
              <w:t>Release unit from patient back to inventory</w:t>
            </w:r>
          </w:p>
        </w:tc>
        <w:tc>
          <w:tcPr>
            <w:tcW w:w="1633" w:type="dxa"/>
            <w:shd w:val="clear" w:color="auto" w:fill="auto"/>
          </w:tcPr>
          <w:p w14:paraId="4CF440CC"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166A1C2"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unit is released from patient assignment. When multiple units are selected, each unit accrues workload.</w:t>
            </w:r>
          </w:p>
        </w:tc>
      </w:tr>
      <w:tr w:rsidR="00D32A05" w:rsidRPr="001C29FC" w14:paraId="22EF9C65" w14:textId="77777777" w:rsidTr="00D32A05">
        <w:trPr>
          <w:cantSplit/>
          <w:tblHeader/>
        </w:trPr>
        <w:tc>
          <w:tcPr>
            <w:tcW w:w="1803" w:type="dxa"/>
            <w:shd w:val="clear" w:color="auto" w:fill="auto"/>
            <w:vAlign w:val="bottom"/>
          </w:tcPr>
          <w:p w14:paraId="0048B48A" w14:textId="77777777" w:rsidR="00D32A05" w:rsidRPr="001C29FC" w:rsidRDefault="00D32A05" w:rsidP="00D32A05">
            <w:pPr>
              <w:pStyle w:val="TableText"/>
            </w:pPr>
            <w:r w:rsidRPr="001C29FC">
              <w:t>Discard or Quarantine Unit</w:t>
            </w:r>
          </w:p>
        </w:tc>
        <w:tc>
          <w:tcPr>
            <w:tcW w:w="1442" w:type="dxa"/>
            <w:shd w:val="clear" w:color="auto" w:fill="auto"/>
          </w:tcPr>
          <w:p w14:paraId="0042D3C6" w14:textId="77777777" w:rsidR="00D32A05" w:rsidRPr="001C29FC" w:rsidRDefault="00D32A05" w:rsidP="00D32A05">
            <w:pPr>
              <w:pStyle w:val="TableText"/>
              <w:rPr>
                <w:color w:val="000000"/>
                <w:szCs w:val="18"/>
              </w:rPr>
            </w:pPr>
            <w:r w:rsidRPr="001C29FC">
              <w:rPr>
                <w:color w:val="000000"/>
                <w:szCs w:val="18"/>
              </w:rPr>
              <w:t xml:space="preserve">Release unit from Quarantine </w:t>
            </w:r>
          </w:p>
        </w:tc>
        <w:tc>
          <w:tcPr>
            <w:tcW w:w="1633" w:type="dxa"/>
            <w:shd w:val="clear" w:color="auto" w:fill="auto"/>
          </w:tcPr>
          <w:p w14:paraId="1EC30AE8"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B861C11" w14:textId="77777777" w:rsidR="00D32A05" w:rsidRPr="001C29FC" w:rsidRDefault="00D32A05" w:rsidP="00D32A05">
            <w:pPr>
              <w:pStyle w:val="TableText"/>
              <w:rPr>
                <w:color w:val="000000"/>
                <w:szCs w:val="18"/>
              </w:rPr>
            </w:pPr>
            <w:r w:rsidRPr="001C29FC">
              <w:rPr>
                <w:color w:val="000000"/>
                <w:szCs w:val="18"/>
              </w:rPr>
              <w:t>Accrue workload when a unit is released from quarantine. When a batch of units is selected, each unit accrues workload.</w:t>
            </w:r>
          </w:p>
        </w:tc>
      </w:tr>
      <w:tr w:rsidR="00D32A05" w:rsidRPr="001C29FC" w14:paraId="0F1BD992" w14:textId="77777777" w:rsidTr="00D32A05">
        <w:trPr>
          <w:cantSplit/>
          <w:tblHeader/>
        </w:trPr>
        <w:tc>
          <w:tcPr>
            <w:tcW w:w="1803" w:type="dxa"/>
            <w:shd w:val="clear" w:color="auto" w:fill="auto"/>
          </w:tcPr>
          <w:p w14:paraId="5D4F932D" w14:textId="77777777" w:rsidR="00D32A05" w:rsidRPr="001C29FC" w:rsidRDefault="00D32A05" w:rsidP="00D32A05">
            <w:pPr>
              <w:pStyle w:val="TableText"/>
              <w:rPr>
                <w:color w:val="000000"/>
                <w:szCs w:val="18"/>
              </w:rPr>
            </w:pPr>
            <w:r w:rsidRPr="001C29FC">
              <w:rPr>
                <w:color w:val="000000"/>
                <w:szCs w:val="18"/>
              </w:rPr>
              <w:t>Return Issued Unit</w:t>
            </w:r>
          </w:p>
        </w:tc>
        <w:tc>
          <w:tcPr>
            <w:tcW w:w="1442" w:type="dxa"/>
            <w:shd w:val="clear" w:color="auto" w:fill="auto"/>
          </w:tcPr>
          <w:p w14:paraId="50CDFFEF" w14:textId="77777777" w:rsidR="00D32A05" w:rsidRPr="001C29FC" w:rsidRDefault="00D32A05" w:rsidP="00D32A05">
            <w:pPr>
              <w:pStyle w:val="TableText"/>
              <w:rPr>
                <w:color w:val="000000"/>
                <w:szCs w:val="18"/>
              </w:rPr>
            </w:pPr>
            <w:r w:rsidRPr="001C29FC">
              <w:rPr>
                <w:color w:val="000000"/>
                <w:szCs w:val="18"/>
              </w:rPr>
              <w:t>Return Issued unit</w:t>
            </w:r>
          </w:p>
        </w:tc>
        <w:tc>
          <w:tcPr>
            <w:tcW w:w="1633" w:type="dxa"/>
            <w:shd w:val="clear" w:color="auto" w:fill="auto"/>
          </w:tcPr>
          <w:p w14:paraId="09E064D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0887C79"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unit is returned from issue status. </w:t>
            </w:r>
          </w:p>
        </w:tc>
      </w:tr>
      <w:tr w:rsidR="00D32A05" w:rsidRPr="001C29FC" w14:paraId="0D589DC6" w14:textId="77777777" w:rsidTr="00D32A05">
        <w:trPr>
          <w:cantSplit/>
          <w:tblHeader/>
        </w:trPr>
        <w:tc>
          <w:tcPr>
            <w:tcW w:w="1803" w:type="dxa"/>
            <w:shd w:val="clear" w:color="auto" w:fill="auto"/>
            <w:vAlign w:val="bottom"/>
          </w:tcPr>
          <w:p w14:paraId="3A765E94" w14:textId="77777777" w:rsidR="00D32A05" w:rsidRPr="001C29FC" w:rsidRDefault="00D32A05" w:rsidP="00D32A05">
            <w:pPr>
              <w:pStyle w:val="TableText"/>
            </w:pPr>
            <w:r w:rsidRPr="001C29FC">
              <w:t>Modify Units</w:t>
            </w:r>
          </w:p>
        </w:tc>
        <w:tc>
          <w:tcPr>
            <w:tcW w:w="1442" w:type="dxa"/>
            <w:vMerge w:val="restart"/>
            <w:shd w:val="clear" w:color="auto" w:fill="auto"/>
          </w:tcPr>
          <w:p w14:paraId="6A171D01" w14:textId="77777777" w:rsidR="00D32A05" w:rsidRPr="001C29FC" w:rsidRDefault="00D32A05" w:rsidP="00D32A05">
            <w:pPr>
              <w:pStyle w:val="TableText"/>
              <w:rPr>
                <w:color w:val="000000"/>
                <w:szCs w:val="18"/>
              </w:rPr>
            </w:pPr>
            <w:r w:rsidRPr="001C29FC">
              <w:rPr>
                <w:color w:val="000000"/>
                <w:szCs w:val="18"/>
              </w:rPr>
              <w:t>Thaw/pool Cryo</w:t>
            </w:r>
          </w:p>
        </w:tc>
        <w:tc>
          <w:tcPr>
            <w:tcW w:w="1633" w:type="dxa"/>
            <w:shd w:val="clear" w:color="auto" w:fill="auto"/>
          </w:tcPr>
          <w:p w14:paraId="13C0B19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269BBDB"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unit has a modification of Thaw/Pool Cryo. A single workload event is recorded regardless of the number of units included in the pooled unit. Note: Workload is not accrued when a patient assignment is processed and VBECS releases all other patient assignments. Workload is not accrued when VBECS is required to quarantine the unit.</w:t>
            </w:r>
          </w:p>
        </w:tc>
      </w:tr>
      <w:tr w:rsidR="00D32A05" w:rsidRPr="001C29FC" w14:paraId="5B139039" w14:textId="77777777" w:rsidTr="00D32A05">
        <w:trPr>
          <w:cantSplit/>
          <w:tblHeader/>
        </w:trPr>
        <w:tc>
          <w:tcPr>
            <w:tcW w:w="1803" w:type="dxa"/>
            <w:shd w:val="clear" w:color="auto" w:fill="auto"/>
            <w:vAlign w:val="bottom"/>
          </w:tcPr>
          <w:p w14:paraId="1BA966E9" w14:textId="77777777" w:rsidR="00D32A05" w:rsidRPr="001C29FC" w:rsidRDefault="00D32A05" w:rsidP="00D32A05">
            <w:pPr>
              <w:pStyle w:val="TableText"/>
            </w:pPr>
            <w:r w:rsidRPr="001C29FC">
              <w:t>Edit Unit Information*</w:t>
            </w:r>
          </w:p>
        </w:tc>
        <w:tc>
          <w:tcPr>
            <w:tcW w:w="1442" w:type="dxa"/>
            <w:vMerge/>
            <w:shd w:val="clear" w:color="auto" w:fill="auto"/>
          </w:tcPr>
          <w:p w14:paraId="4CDDB20A" w14:textId="77777777" w:rsidR="00D32A05" w:rsidRPr="001C29FC" w:rsidRDefault="00D32A05" w:rsidP="00D32A05">
            <w:pPr>
              <w:pStyle w:val="TableText"/>
              <w:rPr>
                <w:color w:val="000000"/>
                <w:szCs w:val="18"/>
              </w:rPr>
            </w:pPr>
          </w:p>
        </w:tc>
        <w:tc>
          <w:tcPr>
            <w:tcW w:w="1633" w:type="dxa"/>
            <w:shd w:val="clear" w:color="auto" w:fill="auto"/>
          </w:tcPr>
          <w:p w14:paraId="700408B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5CF4193"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(unit record inactivated) when the pooled unit was created in VBECS. </w:t>
            </w:r>
          </w:p>
        </w:tc>
      </w:tr>
      <w:tr w:rsidR="00D32A05" w:rsidRPr="001C29FC" w14:paraId="6B2015F2" w14:textId="77777777" w:rsidTr="00D32A05">
        <w:trPr>
          <w:cantSplit/>
          <w:tblHeader/>
        </w:trPr>
        <w:tc>
          <w:tcPr>
            <w:tcW w:w="1803" w:type="dxa"/>
            <w:shd w:val="clear" w:color="auto" w:fill="auto"/>
            <w:vAlign w:val="bottom"/>
          </w:tcPr>
          <w:p w14:paraId="1890C329" w14:textId="77777777" w:rsidR="00D32A05" w:rsidRPr="001C29FC" w:rsidRDefault="00D32A05" w:rsidP="00D32A05">
            <w:pPr>
              <w:pStyle w:val="TableText"/>
            </w:pPr>
            <w:r w:rsidRPr="001C29FC">
              <w:t>Remove Final Status</w:t>
            </w:r>
          </w:p>
        </w:tc>
        <w:tc>
          <w:tcPr>
            <w:tcW w:w="1442" w:type="dxa"/>
            <w:vMerge/>
            <w:shd w:val="clear" w:color="auto" w:fill="auto"/>
          </w:tcPr>
          <w:p w14:paraId="049BB751" w14:textId="77777777" w:rsidR="00D32A05" w:rsidRPr="001C29FC" w:rsidRDefault="00D32A05" w:rsidP="00D32A05">
            <w:pPr>
              <w:pStyle w:val="TableText"/>
              <w:rPr>
                <w:color w:val="000000"/>
                <w:szCs w:val="18"/>
              </w:rPr>
            </w:pPr>
          </w:p>
        </w:tc>
        <w:tc>
          <w:tcPr>
            <w:tcW w:w="1633" w:type="dxa"/>
            <w:shd w:val="clear" w:color="auto" w:fill="auto"/>
          </w:tcPr>
          <w:p w14:paraId="64D45379" w14:textId="77777777" w:rsidR="00D32A05" w:rsidRPr="001C29FC" w:rsidRDefault="00D32A05" w:rsidP="00D32A05">
            <w:pPr>
              <w:pStyle w:val="TableText"/>
              <w:rPr>
                <w:color w:val="000000"/>
                <w:szCs w:val="18"/>
              </w:rPr>
            </w:pPr>
            <w:r w:rsidRPr="001C29FC">
              <w:rPr>
                <w:color w:val="000000"/>
                <w:szCs w:val="18"/>
              </w:rPr>
              <w:t>N/A</w:t>
            </w:r>
          </w:p>
        </w:tc>
        <w:tc>
          <w:tcPr>
            <w:tcW w:w="4482" w:type="dxa"/>
            <w:shd w:val="clear" w:color="auto" w:fill="auto"/>
          </w:tcPr>
          <w:p w14:paraId="409339E0" w14:textId="77777777" w:rsidR="00D32A05" w:rsidRPr="001C29FC" w:rsidRDefault="00D32A05" w:rsidP="00D32A05">
            <w:pPr>
              <w:pStyle w:val="TableText"/>
              <w:rPr>
                <w:color w:val="000000"/>
                <w:szCs w:val="18"/>
              </w:rPr>
            </w:pPr>
            <w:r w:rsidRPr="001C29FC">
              <w:rPr>
                <w:color w:val="000000"/>
                <w:szCs w:val="18"/>
              </w:rPr>
              <w:t xml:space="preserve">There is no effect on workload accrual when a unit is removed from a modified status that was included in a Thaw/pool Cryo pool. </w:t>
            </w:r>
          </w:p>
        </w:tc>
      </w:tr>
      <w:tr w:rsidR="00D32A05" w:rsidRPr="001C29FC" w14:paraId="42B6ADF1" w14:textId="77777777" w:rsidTr="00D32A05">
        <w:trPr>
          <w:cantSplit/>
          <w:tblHeader/>
        </w:trPr>
        <w:tc>
          <w:tcPr>
            <w:tcW w:w="1803" w:type="dxa"/>
            <w:shd w:val="clear" w:color="auto" w:fill="auto"/>
          </w:tcPr>
          <w:p w14:paraId="48F6E15F" w14:textId="77777777" w:rsidR="00D32A05" w:rsidRPr="001C29FC" w:rsidRDefault="00D32A05" w:rsidP="00D32A05">
            <w:pPr>
              <w:pStyle w:val="TableText"/>
              <w:rPr>
                <w:color w:val="000000"/>
                <w:szCs w:val="18"/>
              </w:rPr>
            </w:pPr>
            <w:r w:rsidRPr="001C29FC">
              <w:rPr>
                <w:color w:val="000000"/>
                <w:szCs w:val="18"/>
              </w:rPr>
              <w:t>Enter Post-Transfusion Details</w:t>
            </w:r>
          </w:p>
        </w:tc>
        <w:tc>
          <w:tcPr>
            <w:tcW w:w="1442" w:type="dxa"/>
            <w:vMerge w:val="restart"/>
            <w:shd w:val="clear" w:color="auto" w:fill="auto"/>
          </w:tcPr>
          <w:p w14:paraId="4230C81D" w14:textId="77777777" w:rsidR="00D32A05" w:rsidRPr="001C29FC" w:rsidRDefault="00D32A05" w:rsidP="00D32A05">
            <w:pPr>
              <w:pStyle w:val="TableText"/>
              <w:rPr>
                <w:color w:val="000000"/>
                <w:szCs w:val="18"/>
              </w:rPr>
            </w:pPr>
            <w:r w:rsidRPr="001C29FC">
              <w:rPr>
                <w:color w:val="000000"/>
                <w:szCs w:val="18"/>
              </w:rPr>
              <w:t>Transfuse Unit</w:t>
            </w:r>
          </w:p>
        </w:tc>
        <w:tc>
          <w:tcPr>
            <w:tcW w:w="1633" w:type="dxa"/>
            <w:shd w:val="clear" w:color="auto" w:fill="auto"/>
          </w:tcPr>
          <w:p w14:paraId="6479C8C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F17E4F1"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blood unit’s status is updated to “transfused.“</w:t>
            </w:r>
          </w:p>
        </w:tc>
      </w:tr>
      <w:tr w:rsidR="00D32A05" w:rsidRPr="001C29FC" w14:paraId="5AEEFA5A" w14:textId="77777777" w:rsidTr="00D32A05">
        <w:trPr>
          <w:cantSplit/>
          <w:tblHeader/>
        </w:trPr>
        <w:tc>
          <w:tcPr>
            <w:tcW w:w="1803" w:type="dxa"/>
            <w:shd w:val="clear" w:color="auto" w:fill="auto"/>
            <w:vAlign w:val="bottom"/>
          </w:tcPr>
          <w:p w14:paraId="753BDFD2" w14:textId="77777777" w:rsidR="00D32A05" w:rsidRPr="001C29FC" w:rsidRDefault="00D32A05" w:rsidP="00D32A05">
            <w:pPr>
              <w:pStyle w:val="TableText"/>
            </w:pPr>
            <w:r w:rsidRPr="001C29FC">
              <w:t>Remove Final Status*</w:t>
            </w:r>
          </w:p>
        </w:tc>
        <w:tc>
          <w:tcPr>
            <w:tcW w:w="1442" w:type="dxa"/>
            <w:vMerge/>
            <w:shd w:val="clear" w:color="auto" w:fill="auto"/>
          </w:tcPr>
          <w:p w14:paraId="1506835D" w14:textId="77777777" w:rsidR="00D32A05" w:rsidRPr="001C29FC" w:rsidRDefault="00D32A05" w:rsidP="00D32A05">
            <w:pPr>
              <w:pStyle w:val="TableText"/>
              <w:rPr>
                <w:color w:val="000000"/>
                <w:szCs w:val="18"/>
              </w:rPr>
            </w:pPr>
          </w:p>
        </w:tc>
        <w:tc>
          <w:tcPr>
            <w:tcW w:w="1633" w:type="dxa"/>
            <w:shd w:val="clear" w:color="auto" w:fill="auto"/>
          </w:tcPr>
          <w:p w14:paraId="35EA34DE"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4FAF752"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unit was in a status of “transfused.”</w:t>
            </w:r>
          </w:p>
        </w:tc>
      </w:tr>
      <w:tr w:rsidR="00D32A05" w:rsidRPr="001C29FC" w14:paraId="54D9D6F5" w14:textId="77777777" w:rsidTr="00D32A05">
        <w:trPr>
          <w:cantSplit/>
          <w:tblHeader/>
        </w:trPr>
        <w:tc>
          <w:tcPr>
            <w:tcW w:w="1803" w:type="dxa"/>
            <w:shd w:val="clear" w:color="auto" w:fill="auto"/>
            <w:vAlign w:val="bottom"/>
          </w:tcPr>
          <w:p w14:paraId="1D072863"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36A521B3" w14:textId="77777777" w:rsidR="00D32A05" w:rsidRPr="001C29FC" w:rsidRDefault="00D32A05" w:rsidP="00D32A05">
            <w:pPr>
              <w:pStyle w:val="TableText"/>
              <w:rPr>
                <w:color w:val="000000"/>
                <w:szCs w:val="18"/>
              </w:rPr>
            </w:pPr>
            <w:r w:rsidRPr="001C29FC">
              <w:rPr>
                <w:color w:val="000000"/>
                <w:szCs w:val="18"/>
              </w:rPr>
              <w:t>Transfusion Reaction Investigation</w:t>
            </w:r>
          </w:p>
        </w:tc>
        <w:tc>
          <w:tcPr>
            <w:tcW w:w="1633" w:type="dxa"/>
            <w:shd w:val="clear" w:color="auto" w:fill="auto"/>
          </w:tcPr>
          <w:p w14:paraId="780AB1A8"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D4E6DDF" w14:textId="77777777" w:rsidR="00D32A05" w:rsidRPr="001C29FC" w:rsidRDefault="00D32A05" w:rsidP="00D32A05">
            <w:pPr>
              <w:pStyle w:val="TableText"/>
              <w:rPr>
                <w:color w:val="000000"/>
                <w:szCs w:val="18"/>
              </w:rPr>
            </w:pPr>
            <w:r w:rsidRPr="001C29FC">
              <w:rPr>
                <w:color w:val="000000"/>
                <w:szCs w:val="18"/>
              </w:rPr>
              <w:t xml:space="preserve">Accrue workload when a transfusion reaction investigation is saved. </w:t>
            </w:r>
            <w:r w:rsidRPr="001C29FC">
              <w:rPr>
                <w:iCs/>
                <w:color w:val="000000"/>
                <w:szCs w:val="18"/>
              </w:rPr>
              <w:t xml:space="preserve">This does </w:t>
            </w:r>
            <w:r w:rsidRPr="001C29FC">
              <w:rPr>
                <w:color w:val="000000"/>
                <w:szCs w:val="18"/>
              </w:rPr>
              <w:t>not</w:t>
            </w:r>
            <w:r w:rsidRPr="001C29FC">
              <w:rPr>
                <w:iCs/>
                <w:color w:val="000000"/>
                <w:szCs w:val="18"/>
              </w:rPr>
              <w:t xml:space="preserve"> include workload accrued by the optional TRW serologic testing.</w:t>
            </w:r>
          </w:p>
        </w:tc>
      </w:tr>
      <w:tr w:rsidR="00D32A05" w:rsidRPr="001C29FC" w14:paraId="09666470" w14:textId="77777777" w:rsidTr="00D32A05">
        <w:trPr>
          <w:cantSplit/>
          <w:tblHeader/>
        </w:trPr>
        <w:tc>
          <w:tcPr>
            <w:tcW w:w="1803" w:type="dxa"/>
            <w:shd w:val="clear" w:color="auto" w:fill="auto"/>
            <w:vAlign w:val="bottom"/>
          </w:tcPr>
          <w:p w14:paraId="441851C4" w14:textId="77777777" w:rsidR="00D32A05" w:rsidRPr="001C29FC" w:rsidRDefault="00D32A05" w:rsidP="00D32A05">
            <w:pPr>
              <w:pStyle w:val="TableText"/>
            </w:pPr>
            <w:r w:rsidRPr="001C29FC">
              <w:t>Invalidate Patient Test Results*</w:t>
            </w:r>
          </w:p>
        </w:tc>
        <w:tc>
          <w:tcPr>
            <w:tcW w:w="1442" w:type="dxa"/>
            <w:vMerge/>
            <w:shd w:val="clear" w:color="auto" w:fill="auto"/>
          </w:tcPr>
          <w:p w14:paraId="7405A118" w14:textId="77777777" w:rsidR="00D32A05" w:rsidRPr="001C29FC" w:rsidRDefault="00D32A05" w:rsidP="00D32A05">
            <w:pPr>
              <w:pStyle w:val="TableText"/>
              <w:rPr>
                <w:color w:val="000000"/>
                <w:szCs w:val="18"/>
              </w:rPr>
            </w:pPr>
          </w:p>
        </w:tc>
        <w:tc>
          <w:tcPr>
            <w:tcW w:w="1633" w:type="dxa"/>
            <w:shd w:val="clear" w:color="auto" w:fill="auto"/>
          </w:tcPr>
          <w:p w14:paraId="17020E3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4E7BDBA"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transfusion reaction investigation previously saved is invalidated.</w:t>
            </w:r>
          </w:p>
        </w:tc>
      </w:tr>
      <w:tr w:rsidR="00D32A05" w:rsidRPr="001C29FC" w14:paraId="70913AAF" w14:textId="77777777" w:rsidTr="00D32A05">
        <w:trPr>
          <w:cantSplit/>
          <w:tblHeader/>
        </w:trPr>
        <w:tc>
          <w:tcPr>
            <w:tcW w:w="1803" w:type="dxa"/>
            <w:shd w:val="clear" w:color="auto" w:fill="auto"/>
            <w:vAlign w:val="bottom"/>
          </w:tcPr>
          <w:p w14:paraId="3827C453" w14:textId="77777777" w:rsidR="00D32A05" w:rsidRPr="001C29FC" w:rsidRDefault="00D32A05" w:rsidP="00D32A05">
            <w:pPr>
              <w:pStyle w:val="TableText"/>
            </w:pPr>
            <w:r w:rsidRPr="001C29FC">
              <w:t>Unit Antigen Typing</w:t>
            </w:r>
          </w:p>
        </w:tc>
        <w:tc>
          <w:tcPr>
            <w:tcW w:w="1442" w:type="dxa"/>
            <w:vMerge w:val="restart"/>
            <w:shd w:val="clear" w:color="auto" w:fill="auto"/>
          </w:tcPr>
          <w:p w14:paraId="68A3815C" w14:textId="77777777" w:rsidR="00D32A05" w:rsidRPr="001C29FC" w:rsidRDefault="00D32A05" w:rsidP="00D32A05">
            <w:pPr>
              <w:pStyle w:val="TableText"/>
              <w:rPr>
                <w:color w:val="000000"/>
                <w:szCs w:val="18"/>
              </w:rPr>
            </w:pPr>
            <w:r w:rsidRPr="001C29FC">
              <w:rPr>
                <w:color w:val="000000"/>
                <w:szCs w:val="18"/>
              </w:rPr>
              <w:t>Unit Antigen phenotyping, Multiple Test phases</w:t>
            </w:r>
          </w:p>
        </w:tc>
        <w:tc>
          <w:tcPr>
            <w:tcW w:w="1633" w:type="dxa"/>
            <w:shd w:val="clear" w:color="auto" w:fill="auto"/>
          </w:tcPr>
          <w:p w14:paraId="63A6A52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B199C63"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IS/RT or IS/37 phases is selected and completed for an individual blood unit. There is no special handling for workload collection for additional repeat antigen typing tests on a unit.</w:t>
            </w:r>
          </w:p>
        </w:tc>
      </w:tr>
      <w:tr w:rsidR="00D32A05" w:rsidRPr="001C29FC" w14:paraId="06CDB613" w14:textId="77777777" w:rsidTr="00D32A05">
        <w:trPr>
          <w:cantSplit/>
          <w:tblHeader/>
        </w:trPr>
        <w:tc>
          <w:tcPr>
            <w:tcW w:w="1803" w:type="dxa"/>
            <w:shd w:val="clear" w:color="auto" w:fill="auto"/>
            <w:vAlign w:val="bottom"/>
          </w:tcPr>
          <w:p w14:paraId="0E8538AC" w14:textId="77777777" w:rsidR="00D32A05" w:rsidRPr="001C29FC" w:rsidRDefault="00D32A05" w:rsidP="00D32A05">
            <w:pPr>
              <w:pStyle w:val="TableText"/>
            </w:pPr>
            <w:r w:rsidRPr="001C29FC">
              <w:t>Edit Unit Information*</w:t>
            </w:r>
          </w:p>
        </w:tc>
        <w:tc>
          <w:tcPr>
            <w:tcW w:w="1442" w:type="dxa"/>
            <w:vMerge/>
            <w:shd w:val="clear" w:color="auto" w:fill="auto"/>
          </w:tcPr>
          <w:p w14:paraId="27DBE3F2" w14:textId="77777777" w:rsidR="00D32A05" w:rsidRPr="001C29FC" w:rsidRDefault="00D32A05" w:rsidP="00D32A05">
            <w:pPr>
              <w:pStyle w:val="TableText"/>
              <w:rPr>
                <w:color w:val="000000"/>
                <w:szCs w:val="18"/>
              </w:rPr>
            </w:pPr>
          </w:p>
        </w:tc>
        <w:tc>
          <w:tcPr>
            <w:tcW w:w="1633" w:type="dxa"/>
            <w:shd w:val="clear" w:color="auto" w:fill="auto"/>
          </w:tcPr>
          <w:p w14:paraId="39C47D0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1FC4AC8"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Multiple Test phases is invalidated for an individual blood unit.</w:t>
            </w:r>
          </w:p>
        </w:tc>
      </w:tr>
      <w:tr w:rsidR="00D32A05" w:rsidRPr="001C29FC" w14:paraId="180ECF9E" w14:textId="77777777" w:rsidTr="00D32A05">
        <w:trPr>
          <w:cantSplit/>
          <w:tblHeader/>
        </w:trPr>
        <w:tc>
          <w:tcPr>
            <w:tcW w:w="1803" w:type="dxa"/>
            <w:shd w:val="clear" w:color="auto" w:fill="auto"/>
            <w:vAlign w:val="bottom"/>
          </w:tcPr>
          <w:p w14:paraId="1CCE9B18" w14:textId="77777777" w:rsidR="00D32A05" w:rsidRPr="001C29FC" w:rsidRDefault="00D32A05" w:rsidP="00D32A05">
            <w:pPr>
              <w:pStyle w:val="TableText"/>
            </w:pPr>
            <w:r w:rsidRPr="001C29FC">
              <w:t>Unit Antigen Typing</w:t>
            </w:r>
          </w:p>
        </w:tc>
        <w:tc>
          <w:tcPr>
            <w:tcW w:w="1442" w:type="dxa"/>
            <w:vMerge w:val="restart"/>
            <w:shd w:val="clear" w:color="auto" w:fill="auto"/>
          </w:tcPr>
          <w:p w14:paraId="3D20B74B" w14:textId="77777777" w:rsidR="00D32A05" w:rsidRPr="001C29FC" w:rsidRDefault="00D32A05" w:rsidP="00D32A05">
            <w:pPr>
              <w:pStyle w:val="TableText"/>
              <w:rPr>
                <w:color w:val="000000"/>
                <w:szCs w:val="18"/>
              </w:rPr>
            </w:pPr>
            <w:r w:rsidRPr="001C29FC">
              <w:rPr>
                <w:color w:val="000000"/>
                <w:szCs w:val="18"/>
              </w:rPr>
              <w:t>Unit Antigen phenotyping, Single Test phase</w:t>
            </w:r>
          </w:p>
        </w:tc>
        <w:tc>
          <w:tcPr>
            <w:tcW w:w="1633" w:type="dxa"/>
            <w:shd w:val="clear" w:color="auto" w:fill="auto"/>
          </w:tcPr>
          <w:p w14:paraId="2B248E5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4756E22" w14:textId="77777777" w:rsidR="00D32A05" w:rsidRPr="001C29FC" w:rsidRDefault="00D32A05" w:rsidP="00D32A05">
            <w:pPr>
              <w:pStyle w:val="TableText"/>
              <w:rPr>
                <w:color w:val="000000"/>
                <w:szCs w:val="18"/>
              </w:rPr>
            </w:pPr>
            <w:r w:rsidRPr="001C29FC">
              <w:rPr>
                <w:color w:val="000000"/>
                <w:szCs w:val="18"/>
              </w:rPr>
              <w:t>A unit antigen phenotype test with AHG or IS phase is selected and completed for an individual blood unit. There is no special handling for workload collection for additional repeat antigen typing tests on a unit.</w:t>
            </w:r>
          </w:p>
        </w:tc>
      </w:tr>
      <w:tr w:rsidR="00D32A05" w:rsidRPr="001C29FC" w14:paraId="14F52D0F" w14:textId="77777777" w:rsidTr="00D32A05">
        <w:trPr>
          <w:cantSplit/>
          <w:tblHeader/>
        </w:trPr>
        <w:tc>
          <w:tcPr>
            <w:tcW w:w="1803" w:type="dxa"/>
            <w:shd w:val="clear" w:color="auto" w:fill="auto"/>
            <w:vAlign w:val="bottom"/>
          </w:tcPr>
          <w:p w14:paraId="0B3F9BE5" w14:textId="77777777" w:rsidR="00D32A05" w:rsidRPr="001C29FC" w:rsidRDefault="00D32A05" w:rsidP="00D32A05">
            <w:pPr>
              <w:pStyle w:val="TableText"/>
            </w:pPr>
            <w:r w:rsidRPr="001C29FC">
              <w:t>Edit Unit Information*</w:t>
            </w:r>
          </w:p>
        </w:tc>
        <w:tc>
          <w:tcPr>
            <w:tcW w:w="1442" w:type="dxa"/>
            <w:vMerge/>
            <w:shd w:val="clear" w:color="auto" w:fill="auto"/>
          </w:tcPr>
          <w:p w14:paraId="224C5C36" w14:textId="77777777" w:rsidR="00D32A05" w:rsidRPr="001C29FC" w:rsidRDefault="00D32A05" w:rsidP="00D32A05">
            <w:pPr>
              <w:pStyle w:val="TableText"/>
              <w:rPr>
                <w:color w:val="000000"/>
                <w:szCs w:val="18"/>
              </w:rPr>
            </w:pPr>
          </w:p>
        </w:tc>
        <w:tc>
          <w:tcPr>
            <w:tcW w:w="1633" w:type="dxa"/>
            <w:shd w:val="clear" w:color="auto" w:fill="auto"/>
          </w:tcPr>
          <w:p w14:paraId="667A4A0C"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C77A4AB"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Single Test phase is invalidated for an individual blood unit.</w:t>
            </w:r>
          </w:p>
        </w:tc>
      </w:tr>
      <w:tr w:rsidR="00D32A05" w:rsidRPr="001C29FC" w14:paraId="18B6AEA9" w14:textId="77777777" w:rsidTr="00D32A05">
        <w:trPr>
          <w:cantSplit/>
          <w:tblHeader/>
        </w:trPr>
        <w:tc>
          <w:tcPr>
            <w:tcW w:w="1803" w:type="dxa"/>
            <w:shd w:val="clear" w:color="auto" w:fill="auto"/>
            <w:vAlign w:val="bottom"/>
          </w:tcPr>
          <w:p w14:paraId="1CCE5285" w14:textId="77777777" w:rsidR="00D32A05" w:rsidRPr="001C29FC" w:rsidRDefault="00D32A05" w:rsidP="00D32A05">
            <w:pPr>
              <w:pStyle w:val="TableText"/>
            </w:pPr>
            <w:r w:rsidRPr="001C29FC">
              <w:lastRenderedPageBreak/>
              <w:t>Incoming Shipment</w:t>
            </w:r>
          </w:p>
        </w:tc>
        <w:tc>
          <w:tcPr>
            <w:tcW w:w="1442" w:type="dxa"/>
            <w:vMerge w:val="restart"/>
            <w:shd w:val="clear" w:color="auto" w:fill="auto"/>
          </w:tcPr>
          <w:p w14:paraId="32408964" w14:textId="77777777" w:rsidR="00D32A05" w:rsidRPr="001C29FC" w:rsidRDefault="00D32A05" w:rsidP="00D32A05">
            <w:pPr>
              <w:pStyle w:val="TableText"/>
              <w:rPr>
                <w:color w:val="000000"/>
                <w:szCs w:val="18"/>
              </w:rPr>
            </w:pPr>
            <w:r w:rsidRPr="001C29FC">
              <w:rPr>
                <w:color w:val="000000"/>
                <w:szCs w:val="18"/>
              </w:rPr>
              <w:t>Unit login</w:t>
            </w:r>
          </w:p>
        </w:tc>
        <w:tc>
          <w:tcPr>
            <w:tcW w:w="1633" w:type="dxa"/>
            <w:shd w:val="clear" w:color="auto" w:fill="auto"/>
          </w:tcPr>
          <w:p w14:paraId="70E3895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4187112" w14:textId="77777777" w:rsidR="00D32A05" w:rsidRPr="001C29FC" w:rsidRDefault="00D32A05" w:rsidP="00D32A05">
            <w:pPr>
              <w:pStyle w:val="TableText"/>
              <w:rPr>
                <w:color w:val="000000"/>
                <w:szCs w:val="18"/>
              </w:rPr>
            </w:pPr>
            <w:r w:rsidRPr="001C29FC">
              <w:rPr>
                <w:color w:val="000000"/>
                <w:szCs w:val="18"/>
              </w:rPr>
              <w:t>An individual unit record is activated as “saved” to an incoming shipment invoice. When multiple units are entered, each unit added to the database accrues workload.</w:t>
            </w:r>
          </w:p>
        </w:tc>
      </w:tr>
      <w:tr w:rsidR="00D32A05" w:rsidRPr="001C29FC" w14:paraId="096B693D" w14:textId="77777777" w:rsidTr="00D32A05">
        <w:trPr>
          <w:cantSplit/>
          <w:tblHeader/>
        </w:trPr>
        <w:tc>
          <w:tcPr>
            <w:tcW w:w="1803" w:type="dxa"/>
            <w:shd w:val="clear" w:color="auto" w:fill="auto"/>
            <w:vAlign w:val="bottom"/>
          </w:tcPr>
          <w:p w14:paraId="33574B2F" w14:textId="77777777" w:rsidR="00D32A05" w:rsidRPr="001C29FC" w:rsidRDefault="00D32A05" w:rsidP="00D32A05">
            <w:pPr>
              <w:pStyle w:val="TableText"/>
            </w:pPr>
            <w:r w:rsidRPr="001C29FC">
              <w:t>Edit Unit Information*</w:t>
            </w:r>
          </w:p>
        </w:tc>
        <w:tc>
          <w:tcPr>
            <w:tcW w:w="1442" w:type="dxa"/>
            <w:vMerge/>
            <w:shd w:val="clear" w:color="auto" w:fill="auto"/>
          </w:tcPr>
          <w:p w14:paraId="36EC0FFC" w14:textId="77777777" w:rsidR="00D32A05" w:rsidRPr="001C29FC" w:rsidRDefault="00D32A05" w:rsidP="00D32A05">
            <w:pPr>
              <w:pStyle w:val="TableText"/>
              <w:rPr>
                <w:color w:val="000000"/>
                <w:szCs w:val="18"/>
              </w:rPr>
            </w:pPr>
          </w:p>
        </w:tc>
        <w:tc>
          <w:tcPr>
            <w:tcW w:w="1633" w:type="dxa"/>
            <w:shd w:val="clear" w:color="auto" w:fill="auto"/>
          </w:tcPr>
          <w:p w14:paraId="192DFC1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2C7AB0"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and logged in through incoming shipment or is a pooled unit created in VBECS. When the unit was created by split modification, no workload is invalidated in this option. </w:t>
            </w:r>
          </w:p>
        </w:tc>
      </w:tr>
      <w:tr w:rsidR="00D32A05" w:rsidRPr="001C29FC" w14:paraId="38AE045E" w14:textId="77777777" w:rsidTr="00D32A05">
        <w:trPr>
          <w:cantSplit/>
          <w:tblHeader/>
        </w:trPr>
        <w:tc>
          <w:tcPr>
            <w:tcW w:w="1803" w:type="dxa"/>
            <w:shd w:val="clear" w:color="auto" w:fill="auto"/>
            <w:vAlign w:val="bottom"/>
          </w:tcPr>
          <w:p w14:paraId="78B0FE95" w14:textId="77777777" w:rsidR="00D32A05" w:rsidRPr="001C29FC" w:rsidRDefault="00D32A05" w:rsidP="00D32A05">
            <w:pPr>
              <w:pStyle w:val="TableText"/>
            </w:pPr>
            <w:r w:rsidRPr="001C29FC">
              <w:t>Outgoing Shipment</w:t>
            </w:r>
          </w:p>
        </w:tc>
        <w:tc>
          <w:tcPr>
            <w:tcW w:w="1442" w:type="dxa"/>
            <w:vMerge w:val="restart"/>
            <w:shd w:val="clear" w:color="auto" w:fill="auto"/>
          </w:tcPr>
          <w:p w14:paraId="39238786" w14:textId="77777777" w:rsidR="00D32A05" w:rsidRPr="001C29FC" w:rsidRDefault="00D32A05" w:rsidP="00D32A05">
            <w:pPr>
              <w:pStyle w:val="TableText"/>
              <w:rPr>
                <w:color w:val="000000"/>
                <w:szCs w:val="18"/>
              </w:rPr>
            </w:pPr>
            <w:r w:rsidRPr="001C29FC">
              <w:rPr>
                <w:color w:val="000000"/>
                <w:szCs w:val="18"/>
              </w:rPr>
              <w:t>Unit logout</w:t>
            </w:r>
          </w:p>
        </w:tc>
        <w:tc>
          <w:tcPr>
            <w:tcW w:w="1633" w:type="dxa"/>
            <w:shd w:val="clear" w:color="auto" w:fill="auto"/>
          </w:tcPr>
          <w:p w14:paraId="23130103"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B1AA80F" w14:textId="77777777" w:rsidR="00D32A05" w:rsidRPr="001C29FC" w:rsidRDefault="00D32A05" w:rsidP="00D32A05">
            <w:pPr>
              <w:pStyle w:val="TableText"/>
              <w:rPr>
                <w:color w:val="000000"/>
                <w:szCs w:val="18"/>
              </w:rPr>
            </w:pPr>
            <w:r w:rsidRPr="001C29FC">
              <w:rPr>
                <w:color w:val="000000"/>
                <w:szCs w:val="18"/>
              </w:rPr>
              <w:t>An individual unit’s status is updated to “</w:t>
            </w:r>
            <w:r w:rsidRPr="001C29FC">
              <w:rPr>
                <w:iCs/>
                <w:color w:val="000000"/>
                <w:szCs w:val="18"/>
              </w:rPr>
              <w:t>transferred”</w:t>
            </w:r>
            <w:r w:rsidRPr="001C29FC">
              <w:rPr>
                <w:color w:val="000000"/>
                <w:szCs w:val="18"/>
              </w:rPr>
              <w:t xml:space="preserve"> on a confirmed outgoing shipment invoice. When multiple units are selected, each unit accrues workload. Accrue workload on confirmation of the invoice, not the addition of a unit to a temporary outgoing shipment invoice: an invoice may be confirmed only once.</w:t>
            </w:r>
          </w:p>
        </w:tc>
      </w:tr>
      <w:tr w:rsidR="00D32A05" w:rsidRPr="001C29FC" w14:paraId="771E3CA0" w14:textId="77777777" w:rsidTr="00D32A05">
        <w:trPr>
          <w:cantSplit/>
          <w:tblHeader/>
        </w:trPr>
        <w:tc>
          <w:tcPr>
            <w:tcW w:w="1803" w:type="dxa"/>
            <w:shd w:val="clear" w:color="auto" w:fill="auto"/>
            <w:vAlign w:val="bottom"/>
          </w:tcPr>
          <w:p w14:paraId="06EA577A" w14:textId="77777777" w:rsidR="00D32A05" w:rsidRPr="001C29FC" w:rsidRDefault="00D32A05" w:rsidP="00D32A05">
            <w:pPr>
              <w:pStyle w:val="TableText"/>
            </w:pPr>
            <w:r w:rsidRPr="001C29FC">
              <w:t>Remove Final Status*</w:t>
            </w:r>
          </w:p>
        </w:tc>
        <w:tc>
          <w:tcPr>
            <w:tcW w:w="1442" w:type="dxa"/>
            <w:vMerge/>
            <w:shd w:val="clear" w:color="auto" w:fill="auto"/>
          </w:tcPr>
          <w:p w14:paraId="672AA82D" w14:textId="77777777" w:rsidR="00D32A05" w:rsidRPr="001C29FC" w:rsidRDefault="00D32A05" w:rsidP="00D32A05">
            <w:pPr>
              <w:pStyle w:val="TableText"/>
              <w:rPr>
                <w:color w:val="000000"/>
                <w:szCs w:val="18"/>
              </w:rPr>
            </w:pPr>
          </w:p>
        </w:tc>
        <w:tc>
          <w:tcPr>
            <w:tcW w:w="1633" w:type="dxa"/>
            <w:shd w:val="clear" w:color="auto" w:fill="auto"/>
          </w:tcPr>
          <w:p w14:paraId="6A82C3C6"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59D85AE" w14:textId="77777777" w:rsidR="00D32A05" w:rsidRPr="001C29FC" w:rsidRDefault="00D32A05" w:rsidP="00D32A05">
            <w:pPr>
              <w:pStyle w:val="TableText"/>
              <w:rPr>
                <w:color w:val="000000"/>
                <w:szCs w:val="18"/>
              </w:rPr>
            </w:pPr>
            <w:r w:rsidRPr="001C29FC">
              <w:rPr>
                <w:color w:val="000000"/>
                <w:szCs w:val="18"/>
              </w:rPr>
              <w:t>An individual unit status is invalidated when the unit had a previous unit status of “transferred.”</w:t>
            </w:r>
          </w:p>
        </w:tc>
      </w:tr>
      <w:tr w:rsidR="00D32A05" w:rsidRPr="001C29FC" w14:paraId="77784C04" w14:textId="77777777" w:rsidTr="00D32A05">
        <w:trPr>
          <w:cantSplit/>
          <w:tblHeader/>
        </w:trPr>
        <w:tc>
          <w:tcPr>
            <w:tcW w:w="1803" w:type="dxa"/>
            <w:shd w:val="clear" w:color="auto" w:fill="auto"/>
          </w:tcPr>
          <w:p w14:paraId="5E08ACDA" w14:textId="77777777" w:rsidR="00D32A05" w:rsidRPr="001C29FC" w:rsidRDefault="00D32A05" w:rsidP="00D32A05">
            <w:pPr>
              <w:pStyle w:val="TableText"/>
              <w:rPr>
                <w:szCs w:val="18"/>
              </w:rPr>
            </w:pPr>
            <w:r w:rsidRPr="001C29FC">
              <w:rPr>
                <w:szCs w:val="18"/>
              </w:rPr>
              <w:t>Update Equipment Record</w:t>
            </w:r>
          </w:p>
        </w:tc>
        <w:tc>
          <w:tcPr>
            <w:tcW w:w="1442" w:type="dxa"/>
            <w:shd w:val="clear" w:color="auto" w:fill="auto"/>
          </w:tcPr>
          <w:p w14:paraId="0DDC023D" w14:textId="77777777" w:rsidR="00D32A05" w:rsidRPr="001C29FC" w:rsidRDefault="00D32A05" w:rsidP="00D32A05">
            <w:pPr>
              <w:pStyle w:val="TableText"/>
              <w:rPr>
                <w:szCs w:val="18"/>
              </w:rPr>
            </w:pPr>
            <w:r w:rsidRPr="001C29FC">
              <w:rPr>
                <w:szCs w:val="18"/>
              </w:rPr>
              <w:t>Update Equipment Record</w:t>
            </w:r>
          </w:p>
        </w:tc>
        <w:tc>
          <w:tcPr>
            <w:tcW w:w="1633" w:type="dxa"/>
            <w:shd w:val="clear" w:color="auto" w:fill="auto"/>
          </w:tcPr>
          <w:p w14:paraId="4C4E85DF"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B72A030" w14:textId="77777777" w:rsidR="00D32A05" w:rsidRPr="001C29FC" w:rsidRDefault="00D32A05" w:rsidP="00D32A05">
            <w:pPr>
              <w:pStyle w:val="TableText"/>
              <w:rPr>
                <w:szCs w:val="18"/>
              </w:rPr>
            </w:pPr>
            <w:r w:rsidRPr="001C29FC">
              <w:rPr>
                <w:szCs w:val="18"/>
              </w:rPr>
              <w:t xml:space="preserve">Accrue workload when a lot number of any type of equipment is updated in the system. </w:t>
            </w:r>
          </w:p>
        </w:tc>
      </w:tr>
      <w:tr w:rsidR="00D32A05" w:rsidRPr="001C29FC" w14:paraId="4282B00D" w14:textId="77777777" w:rsidTr="00D32A05">
        <w:trPr>
          <w:cantSplit/>
          <w:tblHeader/>
        </w:trPr>
        <w:tc>
          <w:tcPr>
            <w:tcW w:w="1803" w:type="dxa"/>
            <w:shd w:val="clear" w:color="auto" w:fill="auto"/>
          </w:tcPr>
          <w:p w14:paraId="5D093BF3" w14:textId="77777777" w:rsidR="00D32A05" w:rsidRPr="001C29FC" w:rsidRDefault="00D32A05" w:rsidP="00D32A05">
            <w:pPr>
              <w:pStyle w:val="TableText"/>
              <w:rPr>
                <w:szCs w:val="18"/>
              </w:rPr>
            </w:pPr>
            <w:r w:rsidRPr="001C29FC">
              <w:rPr>
                <w:szCs w:val="18"/>
              </w:rPr>
              <w:t>Update Reagent Inventory</w:t>
            </w:r>
          </w:p>
        </w:tc>
        <w:tc>
          <w:tcPr>
            <w:tcW w:w="1442" w:type="dxa"/>
            <w:shd w:val="clear" w:color="auto" w:fill="auto"/>
          </w:tcPr>
          <w:p w14:paraId="464DB4EA" w14:textId="77777777" w:rsidR="00D32A05" w:rsidRPr="001C29FC" w:rsidRDefault="00D32A05" w:rsidP="00D32A05">
            <w:pPr>
              <w:pStyle w:val="TableText"/>
              <w:rPr>
                <w:szCs w:val="18"/>
              </w:rPr>
            </w:pPr>
            <w:r w:rsidRPr="001C29FC">
              <w:rPr>
                <w:szCs w:val="18"/>
              </w:rPr>
              <w:t>Update Reagent Inventory</w:t>
            </w:r>
          </w:p>
        </w:tc>
        <w:tc>
          <w:tcPr>
            <w:tcW w:w="1633" w:type="dxa"/>
            <w:shd w:val="clear" w:color="auto" w:fill="auto"/>
          </w:tcPr>
          <w:p w14:paraId="2E22547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60F42CD" w14:textId="77777777" w:rsidR="00D32A05" w:rsidRPr="001C29FC" w:rsidRDefault="00D32A05" w:rsidP="00D32A05">
            <w:pPr>
              <w:pStyle w:val="TableText"/>
              <w:rPr>
                <w:szCs w:val="18"/>
              </w:rPr>
            </w:pPr>
            <w:r w:rsidRPr="001C29FC">
              <w:rPr>
                <w:szCs w:val="18"/>
              </w:rPr>
              <w:t>Accrue workload when a lot number of any type of reagent is updated in the system. When multiple lot numbers are processed in a batch, each lot number’s workload is counted.</w:t>
            </w:r>
          </w:p>
        </w:tc>
      </w:tr>
      <w:tr w:rsidR="00D32A05" w:rsidRPr="001C29FC" w14:paraId="642D4570" w14:textId="77777777" w:rsidTr="00D32A05">
        <w:trPr>
          <w:cantSplit/>
          <w:tblHeader/>
        </w:trPr>
        <w:tc>
          <w:tcPr>
            <w:tcW w:w="1803" w:type="dxa"/>
            <w:shd w:val="clear" w:color="auto" w:fill="auto"/>
          </w:tcPr>
          <w:p w14:paraId="2AA8CD0C" w14:textId="77777777" w:rsidR="00D32A05" w:rsidRPr="001C29FC" w:rsidRDefault="00D32A05" w:rsidP="00D32A05">
            <w:pPr>
              <w:pStyle w:val="TableText"/>
              <w:rPr>
                <w:szCs w:val="18"/>
              </w:rPr>
            </w:pPr>
            <w:r w:rsidRPr="001C29FC">
              <w:rPr>
                <w:szCs w:val="18"/>
              </w:rPr>
              <w:t>Update Supply Inventory</w:t>
            </w:r>
          </w:p>
        </w:tc>
        <w:tc>
          <w:tcPr>
            <w:tcW w:w="1442" w:type="dxa"/>
            <w:shd w:val="clear" w:color="auto" w:fill="auto"/>
          </w:tcPr>
          <w:p w14:paraId="28CF1589" w14:textId="77777777" w:rsidR="00D32A05" w:rsidRPr="001C29FC" w:rsidRDefault="00D32A05" w:rsidP="00D32A05">
            <w:pPr>
              <w:pStyle w:val="TableText"/>
              <w:rPr>
                <w:szCs w:val="18"/>
              </w:rPr>
            </w:pPr>
            <w:r w:rsidRPr="001C29FC">
              <w:rPr>
                <w:szCs w:val="18"/>
              </w:rPr>
              <w:t>Update Supply Inventory</w:t>
            </w:r>
          </w:p>
        </w:tc>
        <w:tc>
          <w:tcPr>
            <w:tcW w:w="1633" w:type="dxa"/>
            <w:shd w:val="clear" w:color="auto" w:fill="auto"/>
          </w:tcPr>
          <w:p w14:paraId="2B79E9E2"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F0E5705" w14:textId="77777777" w:rsidR="00D32A05" w:rsidRPr="001C29FC" w:rsidRDefault="00D32A05" w:rsidP="00D32A05">
            <w:pPr>
              <w:pStyle w:val="TableText"/>
              <w:rPr>
                <w:szCs w:val="18"/>
              </w:rPr>
            </w:pPr>
            <w:r w:rsidRPr="001C29FC">
              <w:rPr>
                <w:szCs w:val="18"/>
              </w:rPr>
              <w:t>Accrue workload when a lot number of any type of supply is updated in the system. When multiple lot numbers are processed in a batch, each lot number’s workload is counted.</w:t>
            </w:r>
          </w:p>
        </w:tc>
      </w:tr>
    </w:tbl>
    <w:p w14:paraId="37CDC5CF" w14:textId="77777777" w:rsidR="000C4603" w:rsidRDefault="00D32A05" w:rsidP="00965A17">
      <w:pPr>
        <w:pStyle w:val="BodyText"/>
      </w:pPr>
      <w:r w:rsidRPr="001C29FC">
        <w:t>*Accumulates negative workload when it is associated with inactivation of a unit or removal of a final status.</w:t>
      </w:r>
      <w:r w:rsidR="00965A17">
        <w:t xml:space="preserve"> </w:t>
      </w:r>
    </w:p>
    <w:p w14:paraId="6C2A7428" w14:textId="19CCE11A" w:rsidR="002A21AE" w:rsidRDefault="00AC75B2" w:rsidP="008964A9">
      <w:pPr>
        <w:pStyle w:val="Heading1"/>
      </w:pPr>
      <w:r>
        <w:rPr>
          <w:rFonts w:ascii="Times New Roman" w:hAnsi="Times New Roman" w:cs="Times New Roman"/>
          <w:sz w:val="22"/>
          <w:szCs w:val="22"/>
        </w:rPr>
        <w:br w:type="page"/>
      </w:r>
      <w:bookmarkStart w:id="959" w:name="_Toc47516861"/>
      <w:r w:rsidR="002A21AE">
        <w:lastRenderedPageBreak/>
        <w:t>Index</w:t>
      </w:r>
      <w:bookmarkEnd w:id="959"/>
    </w:p>
    <w:p w14:paraId="7612D1F2" w14:textId="77777777" w:rsidR="005E57E3" w:rsidRDefault="00E93F17" w:rsidP="009C0A99">
      <w:pPr>
        <w:pStyle w:val="BodyText"/>
        <w:jc w:val="center"/>
        <w:rPr>
          <w:rFonts w:ascii="Arial" w:hAnsi="Arial" w:cs="Arial"/>
          <w:b/>
          <w:bCs/>
          <w:noProof/>
          <w:kern w:val="32"/>
        </w:rPr>
        <w:sectPr w:rsidR="005E57E3" w:rsidSect="005E57E3">
          <w:headerReference w:type="even" r:id="rId276"/>
          <w:type w:val="continuous"/>
          <w:pgSz w:w="12240" w:h="15840" w:code="1"/>
          <w:pgMar w:top="1440" w:right="1440" w:bottom="1440" w:left="1440" w:header="720" w:footer="720" w:gutter="0"/>
          <w:cols w:space="720"/>
          <w:docGrid w:linePitch="360"/>
        </w:sectPr>
      </w:pPr>
      <w:r w:rsidRPr="00206945">
        <w:rPr>
          <w:rFonts w:ascii="Arial" w:hAnsi="Arial" w:cs="Arial"/>
          <w:b/>
          <w:bCs/>
          <w:kern w:val="32"/>
        </w:rPr>
        <w:fldChar w:fldCharType="begin"/>
      </w:r>
      <w:r w:rsidRPr="00206945">
        <w:rPr>
          <w:rFonts w:ascii="Arial" w:hAnsi="Arial" w:cs="Arial"/>
          <w:b/>
          <w:bCs/>
          <w:kern w:val="32"/>
        </w:rPr>
        <w:instrText xml:space="preserve"> INDEX \e "</w:instrText>
      </w:r>
      <w:r w:rsidRPr="00206945">
        <w:rPr>
          <w:rFonts w:ascii="Arial" w:hAnsi="Arial" w:cs="Arial"/>
          <w:b/>
          <w:bCs/>
          <w:kern w:val="32"/>
        </w:rPr>
        <w:tab/>
        <w:instrText xml:space="preserve">" \h "A" \c "1" \z "1033" </w:instrText>
      </w:r>
      <w:r w:rsidRPr="00206945">
        <w:rPr>
          <w:rFonts w:ascii="Arial" w:hAnsi="Arial" w:cs="Arial"/>
          <w:b/>
          <w:bCs/>
          <w:kern w:val="32"/>
        </w:rPr>
        <w:fldChar w:fldCharType="separate"/>
      </w:r>
    </w:p>
    <w:p w14:paraId="4B0D164B"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A</w:t>
      </w:r>
    </w:p>
    <w:p w14:paraId="501D0BF1" w14:textId="77777777" w:rsidR="005E57E3" w:rsidRDefault="005E57E3">
      <w:pPr>
        <w:pStyle w:val="Index1"/>
        <w:tabs>
          <w:tab w:val="right" w:leader="dot" w:pos="9350"/>
        </w:tabs>
        <w:rPr>
          <w:noProof/>
        </w:rPr>
      </w:pPr>
      <w:r>
        <w:rPr>
          <w:noProof/>
        </w:rPr>
        <w:t>Accept Orders: Accept an Order</w:t>
      </w:r>
      <w:r>
        <w:rPr>
          <w:noProof/>
        </w:rPr>
        <w:tab/>
        <w:t>255</w:t>
      </w:r>
    </w:p>
    <w:p w14:paraId="05600E72" w14:textId="77777777" w:rsidR="005E57E3" w:rsidRDefault="005E57E3">
      <w:pPr>
        <w:pStyle w:val="Index1"/>
        <w:tabs>
          <w:tab w:val="right" w:leader="dot" w:pos="9350"/>
        </w:tabs>
        <w:rPr>
          <w:noProof/>
        </w:rPr>
      </w:pPr>
      <w:r>
        <w:rPr>
          <w:noProof/>
        </w:rPr>
        <w:t>Accessing the System</w:t>
      </w:r>
      <w:r>
        <w:rPr>
          <w:noProof/>
        </w:rPr>
        <w:tab/>
        <w:t>31</w:t>
      </w:r>
    </w:p>
    <w:p w14:paraId="5116E27C" w14:textId="77777777" w:rsidR="005E57E3" w:rsidRDefault="005E57E3">
      <w:pPr>
        <w:pStyle w:val="Index1"/>
        <w:tabs>
          <w:tab w:val="right" w:leader="dot" w:pos="9350"/>
        </w:tabs>
        <w:rPr>
          <w:noProof/>
        </w:rPr>
      </w:pPr>
      <w:r>
        <w:rPr>
          <w:noProof/>
        </w:rPr>
        <w:t>Administrative Data Report</w:t>
      </w:r>
      <w:r>
        <w:rPr>
          <w:noProof/>
        </w:rPr>
        <w:tab/>
        <w:t>369</w:t>
      </w:r>
    </w:p>
    <w:p w14:paraId="75FB9C4A" w14:textId="77777777" w:rsidR="005E57E3" w:rsidRDefault="005E57E3">
      <w:pPr>
        <w:pStyle w:val="Index1"/>
        <w:tabs>
          <w:tab w:val="right" w:leader="dot" w:pos="9350"/>
        </w:tabs>
        <w:rPr>
          <w:noProof/>
        </w:rPr>
      </w:pPr>
      <w:r>
        <w:rPr>
          <w:noProof/>
        </w:rPr>
        <w:t>Appendices</w:t>
      </w:r>
      <w:r>
        <w:rPr>
          <w:noProof/>
        </w:rPr>
        <w:tab/>
        <w:t>4</w:t>
      </w:r>
    </w:p>
    <w:p w14:paraId="50A7BCA4" w14:textId="77777777" w:rsidR="005E57E3" w:rsidRDefault="005E57E3">
      <w:pPr>
        <w:pStyle w:val="Index1"/>
        <w:tabs>
          <w:tab w:val="right" w:leader="dot" w:pos="9350"/>
        </w:tabs>
        <w:rPr>
          <w:noProof/>
        </w:rPr>
      </w:pPr>
      <w:r>
        <w:rPr>
          <w:noProof/>
        </w:rPr>
        <w:t>Application Architecture</w:t>
      </w:r>
      <w:r>
        <w:rPr>
          <w:noProof/>
        </w:rPr>
        <w:tab/>
        <w:t>6</w:t>
      </w:r>
    </w:p>
    <w:p w14:paraId="4DFCBFDC" w14:textId="77777777" w:rsidR="005E57E3" w:rsidRDefault="005E57E3">
      <w:pPr>
        <w:pStyle w:val="Index1"/>
        <w:tabs>
          <w:tab w:val="right" w:leader="dot" w:pos="9350"/>
        </w:tabs>
        <w:rPr>
          <w:noProof/>
        </w:rPr>
      </w:pPr>
      <w:r>
        <w:rPr>
          <w:noProof/>
        </w:rPr>
        <w:t>Assumptions</w:t>
      </w:r>
      <w:r>
        <w:rPr>
          <w:noProof/>
        </w:rPr>
        <w:tab/>
        <w:t>166</w:t>
      </w:r>
    </w:p>
    <w:p w14:paraId="7459446B" w14:textId="77777777" w:rsidR="005E57E3" w:rsidRDefault="005E57E3">
      <w:pPr>
        <w:pStyle w:val="Index1"/>
        <w:tabs>
          <w:tab w:val="right" w:leader="dot" w:pos="9350"/>
        </w:tabs>
        <w:rPr>
          <w:noProof/>
        </w:rPr>
      </w:pPr>
      <w:r>
        <w:rPr>
          <w:noProof/>
        </w:rPr>
        <w:t>Audit Trail</w:t>
      </w:r>
      <w:r>
        <w:rPr>
          <w:noProof/>
        </w:rPr>
        <w:tab/>
        <w:t>371</w:t>
      </w:r>
    </w:p>
    <w:p w14:paraId="1FA2B37C" w14:textId="77777777" w:rsidR="005E57E3" w:rsidRDefault="005E57E3">
      <w:pPr>
        <w:pStyle w:val="Index1"/>
        <w:tabs>
          <w:tab w:val="right" w:leader="dot" w:pos="9350"/>
        </w:tabs>
        <w:rPr>
          <w:noProof/>
        </w:rPr>
      </w:pPr>
      <w:r>
        <w:rPr>
          <w:noProof/>
        </w:rPr>
        <w:t>Automated Entry of Post-Transfusion Details from BCE COTS Application</w:t>
      </w:r>
      <w:r>
        <w:rPr>
          <w:noProof/>
        </w:rPr>
        <w:tab/>
        <w:t>348</w:t>
      </w:r>
    </w:p>
    <w:p w14:paraId="3FCC6434" w14:textId="77777777" w:rsidR="005E57E3" w:rsidRDefault="005E57E3">
      <w:pPr>
        <w:pStyle w:val="Index1"/>
        <w:tabs>
          <w:tab w:val="right" w:leader="dot" w:pos="9350"/>
        </w:tabs>
        <w:rPr>
          <w:noProof/>
        </w:rPr>
      </w:pPr>
      <w:r>
        <w:rPr>
          <w:noProof/>
        </w:rPr>
        <w:t>Automated Testing Interface</w:t>
      </w:r>
      <w:r>
        <w:rPr>
          <w:noProof/>
        </w:rPr>
        <w:tab/>
        <w:t>355</w:t>
      </w:r>
    </w:p>
    <w:p w14:paraId="1F2CF5A9"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B</w:t>
      </w:r>
    </w:p>
    <w:p w14:paraId="1AD914E9" w14:textId="77777777" w:rsidR="005E57E3" w:rsidRDefault="005E57E3">
      <w:pPr>
        <w:pStyle w:val="Index1"/>
        <w:tabs>
          <w:tab w:val="right" w:leader="dot" w:pos="9350"/>
        </w:tabs>
        <w:rPr>
          <w:noProof/>
        </w:rPr>
      </w:pPr>
      <w:r>
        <w:rPr>
          <w:noProof/>
        </w:rPr>
        <w:t>Background and Basic Knowledge</w:t>
      </w:r>
      <w:r>
        <w:rPr>
          <w:noProof/>
        </w:rPr>
        <w:tab/>
        <w:t>3</w:t>
      </w:r>
    </w:p>
    <w:p w14:paraId="1503F12F" w14:textId="77777777" w:rsidR="005E57E3" w:rsidRDefault="005E57E3">
      <w:pPr>
        <w:pStyle w:val="Index1"/>
        <w:tabs>
          <w:tab w:val="right" w:leader="dot" w:pos="9350"/>
        </w:tabs>
        <w:rPr>
          <w:noProof/>
        </w:rPr>
      </w:pPr>
      <w:r>
        <w:rPr>
          <w:noProof/>
        </w:rPr>
        <w:t>Barcode Scanner Configuration and Troubleshooting</w:t>
      </w:r>
      <w:r>
        <w:rPr>
          <w:noProof/>
        </w:rPr>
        <w:tab/>
        <w:t>537</w:t>
      </w:r>
    </w:p>
    <w:p w14:paraId="534856F0" w14:textId="77777777" w:rsidR="005E57E3" w:rsidRDefault="005E57E3">
      <w:pPr>
        <w:pStyle w:val="Index1"/>
        <w:tabs>
          <w:tab w:val="right" w:leader="dot" w:pos="9350"/>
        </w:tabs>
        <w:rPr>
          <w:noProof/>
        </w:rPr>
      </w:pPr>
      <w:r>
        <w:rPr>
          <w:noProof/>
        </w:rPr>
        <w:t>Blood Availability</w:t>
      </w:r>
      <w:r>
        <w:rPr>
          <w:noProof/>
        </w:rPr>
        <w:tab/>
        <w:t>373</w:t>
      </w:r>
    </w:p>
    <w:p w14:paraId="193C1E3D"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C</w:t>
      </w:r>
    </w:p>
    <w:p w14:paraId="3260D6F6" w14:textId="77777777" w:rsidR="005E57E3" w:rsidRDefault="005E57E3">
      <w:pPr>
        <w:pStyle w:val="Index1"/>
        <w:tabs>
          <w:tab w:val="right" w:leader="dot" w:pos="9350"/>
        </w:tabs>
        <w:rPr>
          <w:noProof/>
        </w:rPr>
      </w:pPr>
      <w:r>
        <w:rPr>
          <w:noProof/>
        </w:rPr>
        <w:t>C:T Ratio Report</w:t>
      </w:r>
      <w:r>
        <w:rPr>
          <w:noProof/>
        </w:rPr>
        <w:tab/>
        <w:t>377</w:t>
      </w:r>
    </w:p>
    <w:p w14:paraId="48237C2D" w14:textId="77777777" w:rsidR="005E57E3" w:rsidRDefault="005E57E3">
      <w:pPr>
        <w:pStyle w:val="Index1"/>
        <w:tabs>
          <w:tab w:val="right" w:leader="dot" w:pos="9350"/>
        </w:tabs>
        <w:rPr>
          <w:noProof/>
        </w:rPr>
      </w:pPr>
      <w:r>
        <w:rPr>
          <w:noProof/>
        </w:rPr>
        <w:t>check character</w:t>
      </w:r>
      <w:r>
        <w:rPr>
          <w:noProof/>
        </w:rPr>
        <w:tab/>
        <w:t>128</w:t>
      </w:r>
    </w:p>
    <w:p w14:paraId="145F97E7" w14:textId="77777777" w:rsidR="005E57E3" w:rsidRDefault="005E57E3">
      <w:pPr>
        <w:pStyle w:val="Index1"/>
        <w:tabs>
          <w:tab w:val="right" w:leader="dot" w:pos="9350"/>
        </w:tabs>
        <w:rPr>
          <w:noProof/>
        </w:rPr>
      </w:pPr>
      <w:r>
        <w:rPr>
          <w:noProof/>
        </w:rPr>
        <w:t>Collecting Workload</w:t>
      </w:r>
      <w:r>
        <w:rPr>
          <w:noProof/>
        </w:rPr>
        <w:tab/>
        <w:t>59</w:t>
      </w:r>
    </w:p>
    <w:p w14:paraId="32532C52" w14:textId="77777777" w:rsidR="005E57E3" w:rsidRDefault="005E57E3">
      <w:pPr>
        <w:pStyle w:val="Index1"/>
        <w:tabs>
          <w:tab w:val="right" w:leader="dot" w:pos="9350"/>
        </w:tabs>
        <w:rPr>
          <w:noProof/>
        </w:rPr>
      </w:pPr>
      <w:r>
        <w:rPr>
          <w:noProof/>
        </w:rPr>
        <w:t>Common Error Corrections</w:t>
      </w:r>
      <w:r>
        <w:rPr>
          <w:noProof/>
        </w:rPr>
        <w:tab/>
        <w:t>533</w:t>
      </w:r>
    </w:p>
    <w:p w14:paraId="3BD8107E" w14:textId="77777777" w:rsidR="005E57E3" w:rsidRDefault="005E57E3">
      <w:pPr>
        <w:pStyle w:val="Index1"/>
        <w:tabs>
          <w:tab w:val="right" w:leader="dot" w:pos="9350"/>
        </w:tabs>
        <w:rPr>
          <w:noProof/>
        </w:rPr>
      </w:pPr>
      <w:r>
        <w:rPr>
          <w:noProof/>
        </w:rPr>
        <w:t>Commonly Used System Rules</w:t>
      </w:r>
      <w:r>
        <w:rPr>
          <w:noProof/>
        </w:rPr>
        <w:tab/>
        <w:t>15</w:t>
      </w:r>
    </w:p>
    <w:p w14:paraId="6AFD8F48" w14:textId="77777777" w:rsidR="005E57E3" w:rsidRDefault="005E57E3">
      <w:pPr>
        <w:pStyle w:val="Index1"/>
        <w:tabs>
          <w:tab w:val="right" w:leader="dot" w:pos="9350"/>
        </w:tabs>
        <w:rPr>
          <w:noProof/>
        </w:rPr>
      </w:pPr>
      <w:r>
        <w:rPr>
          <w:noProof/>
        </w:rPr>
        <w:t>Component Processing</w:t>
      </w:r>
      <w:r>
        <w:rPr>
          <w:noProof/>
        </w:rPr>
        <w:tab/>
        <w:t>127</w:t>
      </w:r>
    </w:p>
    <w:p w14:paraId="1C6EB15F" w14:textId="77777777" w:rsidR="005E57E3" w:rsidRDefault="005E57E3">
      <w:pPr>
        <w:pStyle w:val="Index1"/>
        <w:tabs>
          <w:tab w:val="right" w:leader="dot" w:pos="9350"/>
        </w:tabs>
        <w:rPr>
          <w:noProof/>
        </w:rPr>
      </w:pPr>
      <w:r>
        <w:rPr>
          <w:noProof/>
        </w:rPr>
        <w:t>Configure Division</w:t>
      </w:r>
      <w:r>
        <w:rPr>
          <w:noProof/>
        </w:rPr>
        <w:tab/>
        <w:t>70</w:t>
      </w:r>
    </w:p>
    <w:p w14:paraId="5D9758DC" w14:textId="77777777" w:rsidR="005E57E3" w:rsidRDefault="005E57E3">
      <w:pPr>
        <w:pStyle w:val="Index1"/>
        <w:tabs>
          <w:tab w:val="right" w:leader="dot" w:pos="9350"/>
        </w:tabs>
        <w:rPr>
          <w:noProof/>
        </w:rPr>
      </w:pPr>
      <w:r>
        <w:rPr>
          <w:noProof/>
        </w:rPr>
        <w:t>Configuring Site Parameters</w:t>
      </w:r>
      <w:r>
        <w:rPr>
          <w:noProof/>
        </w:rPr>
        <w:tab/>
        <w:t>61</w:t>
      </w:r>
    </w:p>
    <w:p w14:paraId="1238D77A" w14:textId="77777777" w:rsidR="005E57E3" w:rsidRDefault="005E57E3">
      <w:pPr>
        <w:pStyle w:val="Index1"/>
        <w:tabs>
          <w:tab w:val="right" w:leader="dot" w:pos="9350"/>
        </w:tabs>
        <w:rPr>
          <w:noProof/>
        </w:rPr>
      </w:pPr>
      <w:r>
        <w:rPr>
          <w:noProof/>
        </w:rPr>
        <w:t>Cost Accounting Report</w:t>
      </w:r>
      <w:r>
        <w:rPr>
          <w:noProof/>
        </w:rPr>
        <w:tab/>
        <w:t>375</w:t>
      </w:r>
    </w:p>
    <w:p w14:paraId="29AF17D9" w14:textId="77777777" w:rsidR="005E57E3" w:rsidRDefault="005E57E3">
      <w:pPr>
        <w:pStyle w:val="Index1"/>
        <w:tabs>
          <w:tab w:val="right" w:leader="dot" w:pos="9350"/>
        </w:tabs>
        <w:rPr>
          <w:noProof/>
        </w:rPr>
      </w:pPr>
      <w:r>
        <w:rPr>
          <w:noProof/>
        </w:rPr>
        <w:t>CPRS Blood Bank Report</w:t>
      </w:r>
      <w:r>
        <w:rPr>
          <w:noProof/>
        </w:rPr>
        <w:tab/>
        <w:t>379</w:t>
      </w:r>
    </w:p>
    <w:p w14:paraId="3D329FF9" w14:textId="77777777" w:rsidR="005E57E3" w:rsidRDefault="005E57E3">
      <w:pPr>
        <w:pStyle w:val="Index1"/>
        <w:tabs>
          <w:tab w:val="right" w:leader="dot" w:pos="9350"/>
        </w:tabs>
        <w:rPr>
          <w:noProof/>
        </w:rPr>
      </w:pPr>
      <w:r>
        <w:rPr>
          <w:noProof/>
        </w:rPr>
        <w:t>CPRS Order Status Alert</w:t>
      </w:r>
      <w:r>
        <w:rPr>
          <w:noProof/>
        </w:rPr>
        <w:tab/>
        <w:t>265</w:t>
      </w:r>
    </w:p>
    <w:p w14:paraId="5A2FD984" w14:textId="77777777" w:rsidR="005E57E3" w:rsidRDefault="005E57E3">
      <w:pPr>
        <w:pStyle w:val="Index1"/>
        <w:tabs>
          <w:tab w:val="right" w:leader="dot" w:pos="9350"/>
        </w:tabs>
        <w:rPr>
          <w:noProof/>
        </w:rPr>
      </w:pPr>
      <w:r>
        <w:rPr>
          <w:noProof/>
        </w:rPr>
        <w:t>Creating and Viewing Reports</w:t>
      </w:r>
      <w:r>
        <w:rPr>
          <w:noProof/>
        </w:rPr>
        <w:tab/>
        <w:t>20</w:t>
      </w:r>
    </w:p>
    <w:p w14:paraId="78B8706C" w14:textId="77777777" w:rsidR="005E57E3" w:rsidRDefault="005E57E3">
      <w:pPr>
        <w:pStyle w:val="Index1"/>
        <w:tabs>
          <w:tab w:val="right" w:leader="dot" w:pos="9350"/>
        </w:tabs>
        <w:rPr>
          <w:noProof/>
        </w:rPr>
      </w:pPr>
      <w:r>
        <w:rPr>
          <w:noProof/>
        </w:rPr>
        <w:t>Crossmatch Interpretations</w:t>
      </w:r>
      <w:r>
        <w:rPr>
          <w:noProof/>
        </w:rPr>
        <w:tab/>
        <w:t>311</w:t>
      </w:r>
    </w:p>
    <w:p w14:paraId="56BDC669" w14:textId="77777777" w:rsidR="005E57E3" w:rsidRDefault="005E57E3">
      <w:pPr>
        <w:pStyle w:val="Index1"/>
        <w:tabs>
          <w:tab w:val="right" w:leader="dot" w:pos="9350"/>
        </w:tabs>
        <w:rPr>
          <w:noProof/>
        </w:rPr>
      </w:pPr>
      <w:r>
        <w:rPr>
          <w:noProof/>
        </w:rPr>
        <w:t>Customer Support</w:t>
      </w:r>
      <w:r>
        <w:rPr>
          <w:noProof/>
        </w:rPr>
        <w:tab/>
        <w:t>11</w:t>
      </w:r>
    </w:p>
    <w:p w14:paraId="497188A1"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D</w:t>
      </w:r>
    </w:p>
    <w:p w14:paraId="23936434" w14:textId="77777777" w:rsidR="005E57E3" w:rsidRDefault="005E57E3">
      <w:pPr>
        <w:pStyle w:val="Index1"/>
        <w:tabs>
          <w:tab w:val="right" w:leader="dot" w:pos="9350"/>
        </w:tabs>
        <w:rPr>
          <w:noProof/>
        </w:rPr>
      </w:pPr>
      <w:r>
        <w:rPr>
          <w:noProof/>
        </w:rPr>
        <w:t>Database Table Information</w:t>
      </w:r>
      <w:r>
        <w:rPr>
          <w:noProof/>
        </w:rPr>
        <w:tab/>
        <w:t>437</w:t>
      </w:r>
    </w:p>
    <w:p w14:paraId="6877DEF4" w14:textId="77777777" w:rsidR="005E57E3" w:rsidRDefault="005E57E3">
      <w:pPr>
        <w:pStyle w:val="Index1"/>
        <w:tabs>
          <w:tab w:val="right" w:leader="dot" w:pos="9350"/>
        </w:tabs>
        <w:rPr>
          <w:noProof/>
        </w:rPr>
      </w:pPr>
      <w:r>
        <w:rPr>
          <w:noProof/>
        </w:rPr>
        <w:t>Date and Time</w:t>
      </w:r>
      <w:r>
        <w:rPr>
          <w:noProof/>
        </w:rPr>
        <w:tab/>
        <w:t>15</w:t>
      </w:r>
    </w:p>
    <w:p w14:paraId="59B11C18" w14:textId="77777777" w:rsidR="005E57E3" w:rsidRDefault="005E57E3">
      <w:pPr>
        <w:pStyle w:val="Index1"/>
        <w:tabs>
          <w:tab w:val="right" w:leader="dot" w:pos="9350"/>
        </w:tabs>
        <w:rPr>
          <w:noProof/>
        </w:rPr>
      </w:pPr>
      <w:r>
        <w:rPr>
          <w:noProof/>
        </w:rPr>
        <w:t>Discard or Quarantine Individual Units</w:t>
      </w:r>
      <w:r>
        <w:rPr>
          <w:noProof/>
        </w:rPr>
        <w:tab/>
        <w:t>201</w:t>
      </w:r>
    </w:p>
    <w:p w14:paraId="7A8F9C4F" w14:textId="77777777" w:rsidR="005E57E3" w:rsidRDefault="005E57E3">
      <w:pPr>
        <w:pStyle w:val="Index1"/>
        <w:tabs>
          <w:tab w:val="right" w:leader="dot" w:pos="9350"/>
        </w:tabs>
        <w:rPr>
          <w:noProof/>
        </w:rPr>
      </w:pPr>
      <w:r>
        <w:rPr>
          <w:noProof/>
        </w:rPr>
        <w:t>Discard or Quarantine Units by Invoice</w:t>
      </w:r>
      <w:r>
        <w:rPr>
          <w:noProof/>
        </w:rPr>
        <w:tab/>
        <w:t>204</w:t>
      </w:r>
    </w:p>
    <w:p w14:paraId="726C6980" w14:textId="77777777" w:rsidR="005E57E3" w:rsidRDefault="005E57E3">
      <w:pPr>
        <w:pStyle w:val="Index1"/>
        <w:tabs>
          <w:tab w:val="right" w:leader="dot" w:pos="9350"/>
        </w:tabs>
        <w:rPr>
          <w:noProof/>
        </w:rPr>
      </w:pPr>
      <w:r>
        <w:rPr>
          <w:noProof/>
        </w:rPr>
        <w:t>Display Order Alerts</w:t>
      </w:r>
      <w:r>
        <w:rPr>
          <w:noProof/>
        </w:rPr>
        <w:tab/>
        <w:t>263</w:t>
      </w:r>
    </w:p>
    <w:p w14:paraId="4418356E" w14:textId="77777777" w:rsidR="005E57E3" w:rsidRDefault="005E57E3">
      <w:pPr>
        <w:pStyle w:val="Index1"/>
        <w:tabs>
          <w:tab w:val="right" w:leader="dot" w:pos="9350"/>
        </w:tabs>
        <w:rPr>
          <w:noProof/>
        </w:rPr>
      </w:pPr>
      <w:r>
        <w:rPr>
          <w:noProof/>
        </w:rPr>
        <w:t>Display Patient Merge Alerts</w:t>
      </w:r>
      <w:r>
        <w:rPr>
          <w:noProof/>
        </w:rPr>
        <w:tab/>
        <w:t>268</w:t>
      </w:r>
    </w:p>
    <w:p w14:paraId="6FC6A662" w14:textId="77777777" w:rsidR="005E57E3" w:rsidRDefault="005E57E3">
      <w:pPr>
        <w:pStyle w:val="Index1"/>
        <w:tabs>
          <w:tab w:val="right" w:leader="dot" w:pos="9350"/>
        </w:tabs>
        <w:rPr>
          <w:noProof/>
        </w:rPr>
      </w:pPr>
      <w:r>
        <w:rPr>
          <w:noProof/>
        </w:rPr>
        <w:t>Display Patient Update Alerts</w:t>
      </w:r>
      <w:r>
        <w:rPr>
          <w:noProof/>
        </w:rPr>
        <w:tab/>
        <w:t>266</w:t>
      </w:r>
    </w:p>
    <w:p w14:paraId="32E9ED3F" w14:textId="77777777" w:rsidR="005E57E3" w:rsidRDefault="005E57E3">
      <w:pPr>
        <w:pStyle w:val="Index1"/>
        <w:tabs>
          <w:tab w:val="right" w:leader="dot" w:pos="9350"/>
        </w:tabs>
        <w:rPr>
          <w:noProof/>
        </w:rPr>
      </w:pPr>
      <w:r>
        <w:rPr>
          <w:noProof/>
        </w:rPr>
        <w:t>Division Transfusion Report</w:t>
      </w:r>
      <w:r>
        <w:rPr>
          <w:noProof/>
        </w:rPr>
        <w:tab/>
        <w:t>382</w:t>
      </w:r>
    </w:p>
    <w:p w14:paraId="533F563D" w14:textId="77777777" w:rsidR="005E57E3" w:rsidRDefault="005E57E3">
      <w:pPr>
        <w:pStyle w:val="Index1"/>
        <w:tabs>
          <w:tab w:val="right" w:leader="dot" w:pos="9350"/>
        </w:tabs>
        <w:rPr>
          <w:noProof/>
        </w:rPr>
      </w:pPr>
      <w:r>
        <w:rPr>
          <w:noProof/>
        </w:rPr>
        <w:t>Division Workload Report</w:t>
      </w:r>
      <w:r>
        <w:rPr>
          <w:noProof/>
        </w:rPr>
        <w:tab/>
        <w:t>384</w:t>
      </w:r>
    </w:p>
    <w:p w14:paraId="3FDC3F85" w14:textId="77777777" w:rsidR="005E57E3" w:rsidRDefault="005E57E3">
      <w:pPr>
        <w:pStyle w:val="Index1"/>
        <w:tabs>
          <w:tab w:val="right" w:leader="dot" w:pos="9350"/>
        </w:tabs>
        <w:rPr>
          <w:noProof/>
        </w:rPr>
      </w:pPr>
      <w:r>
        <w:rPr>
          <w:noProof/>
        </w:rPr>
        <w:t>Document ABO Incompatible Transfusions</w:t>
      </w:r>
      <w:r>
        <w:rPr>
          <w:noProof/>
        </w:rPr>
        <w:tab/>
        <w:t>349</w:t>
      </w:r>
    </w:p>
    <w:p w14:paraId="7F7DB797" w14:textId="77777777" w:rsidR="005E57E3" w:rsidRDefault="005E57E3">
      <w:pPr>
        <w:pStyle w:val="Index1"/>
        <w:tabs>
          <w:tab w:val="right" w:leader="dot" w:pos="9350"/>
        </w:tabs>
        <w:rPr>
          <w:noProof/>
        </w:rPr>
      </w:pPr>
      <w:r>
        <w:rPr>
          <w:noProof/>
        </w:rPr>
        <w:t>Downtime Forms and Instructions</w:t>
      </w:r>
      <w:r>
        <w:rPr>
          <w:noProof/>
        </w:rPr>
        <w:tab/>
        <w:t>427</w:t>
      </w:r>
    </w:p>
    <w:p w14:paraId="14F919BD" w14:textId="77777777" w:rsidR="005E57E3" w:rsidRDefault="005E57E3">
      <w:pPr>
        <w:pStyle w:val="Index1"/>
        <w:tabs>
          <w:tab w:val="right" w:leader="dot" w:pos="9350"/>
        </w:tabs>
        <w:rPr>
          <w:noProof/>
        </w:rPr>
      </w:pPr>
      <w:r>
        <w:rPr>
          <w:noProof/>
        </w:rPr>
        <w:t>Drop-Down Menus</w:t>
      </w:r>
      <w:r>
        <w:rPr>
          <w:noProof/>
        </w:rPr>
        <w:tab/>
        <w:t>49</w:t>
      </w:r>
    </w:p>
    <w:p w14:paraId="335D2122"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lastRenderedPageBreak/>
        <w:t>E</w:t>
      </w:r>
    </w:p>
    <w:p w14:paraId="16CCD50B" w14:textId="77777777" w:rsidR="005E57E3" w:rsidRDefault="005E57E3">
      <w:pPr>
        <w:pStyle w:val="Index1"/>
        <w:tabs>
          <w:tab w:val="right" w:leader="dot" w:pos="9350"/>
        </w:tabs>
        <w:rPr>
          <w:noProof/>
        </w:rPr>
      </w:pPr>
      <w:r>
        <w:rPr>
          <w:noProof/>
        </w:rPr>
        <w:t>Enter Daily QC Results</w:t>
      </w:r>
      <w:r>
        <w:rPr>
          <w:noProof/>
        </w:rPr>
        <w:tab/>
        <w:t>100</w:t>
      </w:r>
    </w:p>
    <w:p w14:paraId="4B15C99B" w14:textId="77777777" w:rsidR="005E57E3" w:rsidRDefault="005E57E3">
      <w:pPr>
        <w:pStyle w:val="Index1"/>
        <w:tabs>
          <w:tab w:val="right" w:leader="dot" w:pos="9350"/>
        </w:tabs>
        <w:rPr>
          <w:noProof/>
        </w:rPr>
      </w:pPr>
      <w:r>
        <w:rPr>
          <w:noProof/>
        </w:rPr>
        <w:t>Equipment</w:t>
      </w:r>
      <w:r>
        <w:rPr>
          <w:noProof/>
        </w:rPr>
        <w:tab/>
        <w:t>122</w:t>
      </w:r>
    </w:p>
    <w:p w14:paraId="1DE42B82" w14:textId="77777777" w:rsidR="005E57E3" w:rsidRDefault="005E57E3">
      <w:pPr>
        <w:pStyle w:val="Index1"/>
        <w:tabs>
          <w:tab w:val="right" w:leader="dot" w:pos="9350"/>
        </w:tabs>
        <w:rPr>
          <w:noProof/>
        </w:rPr>
      </w:pPr>
      <w:r>
        <w:rPr>
          <w:noProof/>
        </w:rPr>
        <w:t>Equipment: Log In Equipment</w:t>
      </w:r>
      <w:r>
        <w:rPr>
          <w:noProof/>
        </w:rPr>
        <w:tab/>
        <w:t>122</w:t>
      </w:r>
    </w:p>
    <w:p w14:paraId="5565D8CA" w14:textId="77777777" w:rsidR="005E57E3" w:rsidRDefault="005E57E3">
      <w:pPr>
        <w:pStyle w:val="Index1"/>
        <w:tabs>
          <w:tab w:val="right" w:leader="dot" w:pos="9350"/>
        </w:tabs>
        <w:rPr>
          <w:noProof/>
        </w:rPr>
      </w:pPr>
      <w:r>
        <w:rPr>
          <w:noProof/>
        </w:rPr>
        <w:t>Equipment: Maintain Equipment</w:t>
      </w:r>
      <w:r>
        <w:rPr>
          <w:noProof/>
        </w:rPr>
        <w:tab/>
        <w:t>125</w:t>
      </w:r>
    </w:p>
    <w:p w14:paraId="3F3AB0EC" w14:textId="77777777" w:rsidR="005E57E3" w:rsidRDefault="005E57E3">
      <w:pPr>
        <w:pStyle w:val="Index1"/>
        <w:tabs>
          <w:tab w:val="right" w:leader="dot" w:pos="9350"/>
        </w:tabs>
        <w:rPr>
          <w:noProof/>
        </w:rPr>
      </w:pPr>
      <w:r>
        <w:rPr>
          <w:noProof/>
        </w:rPr>
        <w:t>Exception Report</w:t>
      </w:r>
      <w:r>
        <w:rPr>
          <w:noProof/>
        </w:rPr>
        <w:tab/>
        <w:t>386</w:t>
      </w:r>
    </w:p>
    <w:p w14:paraId="49A22B05"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F</w:t>
      </w:r>
    </w:p>
    <w:p w14:paraId="6D593E1F" w14:textId="77777777" w:rsidR="005E57E3" w:rsidRDefault="005E57E3">
      <w:pPr>
        <w:pStyle w:val="Index1"/>
        <w:tabs>
          <w:tab w:val="right" w:leader="dot" w:pos="9350"/>
        </w:tabs>
        <w:rPr>
          <w:noProof/>
        </w:rPr>
      </w:pPr>
      <w:r>
        <w:rPr>
          <w:noProof/>
        </w:rPr>
        <w:t>Figures</w:t>
      </w:r>
    </w:p>
    <w:p w14:paraId="13B12D44" w14:textId="77777777" w:rsidR="005E57E3" w:rsidRDefault="005E57E3">
      <w:pPr>
        <w:pStyle w:val="Index2"/>
        <w:tabs>
          <w:tab w:val="right" w:leader="dot" w:pos="9350"/>
        </w:tabs>
        <w:rPr>
          <w:noProof/>
        </w:rPr>
      </w:pPr>
      <w:r>
        <w:rPr>
          <w:noProof/>
        </w:rPr>
        <w:t>Barcode Scanner Configuration</w:t>
      </w:r>
      <w:r>
        <w:rPr>
          <w:noProof/>
        </w:rPr>
        <w:tab/>
        <w:t>537</w:t>
      </w:r>
    </w:p>
    <w:p w14:paraId="0F2242E0" w14:textId="77777777" w:rsidR="005E57E3" w:rsidRDefault="005E57E3">
      <w:pPr>
        <w:pStyle w:val="Index2"/>
        <w:tabs>
          <w:tab w:val="right" w:leader="dot" w:pos="9350"/>
        </w:tabs>
        <w:rPr>
          <w:noProof/>
        </w:rPr>
      </w:pPr>
      <w:r>
        <w:rPr>
          <w:noProof/>
        </w:rPr>
        <w:t>Blood Transfusion Record Form</w:t>
      </w:r>
      <w:r>
        <w:rPr>
          <w:noProof/>
        </w:rPr>
        <w:tab/>
        <w:t>245</w:t>
      </w:r>
    </w:p>
    <w:p w14:paraId="306C558E" w14:textId="77777777" w:rsidR="005E57E3" w:rsidRDefault="005E57E3">
      <w:pPr>
        <w:pStyle w:val="Index2"/>
        <w:tabs>
          <w:tab w:val="right" w:leader="dot" w:pos="9350"/>
        </w:tabs>
        <w:rPr>
          <w:noProof/>
        </w:rPr>
      </w:pPr>
      <w:r>
        <w:rPr>
          <w:noProof/>
        </w:rPr>
        <w:t>Caution Tag</w:t>
      </w:r>
      <w:r>
        <w:rPr>
          <w:noProof/>
        </w:rPr>
        <w:tab/>
        <w:t>244</w:t>
      </w:r>
    </w:p>
    <w:p w14:paraId="471AFBAE" w14:textId="77777777" w:rsidR="005E57E3" w:rsidRDefault="005E57E3">
      <w:pPr>
        <w:pStyle w:val="Index2"/>
        <w:tabs>
          <w:tab w:val="right" w:leader="dot" w:pos="9350"/>
        </w:tabs>
        <w:rPr>
          <w:noProof/>
        </w:rPr>
      </w:pPr>
      <w:r>
        <w:rPr>
          <w:noProof/>
        </w:rPr>
        <w:t>Order Status Flowchart</w:t>
      </w:r>
      <w:r>
        <w:rPr>
          <w:noProof/>
        </w:rPr>
        <w:tab/>
        <w:t>461</w:t>
      </w:r>
    </w:p>
    <w:p w14:paraId="71362CE8" w14:textId="77777777" w:rsidR="005E57E3" w:rsidRDefault="005E57E3">
      <w:pPr>
        <w:pStyle w:val="Index2"/>
        <w:tabs>
          <w:tab w:val="right" w:leader="dot" w:pos="9350"/>
        </w:tabs>
        <w:rPr>
          <w:noProof/>
        </w:rPr>
      </w:pPr>
      <w:r>
        <w:rPr>
          <w:noProof/>
        </w:rPr>
        <w:t>Unit Status Flowchart</w:t>
      </w:r>
      <w:r>
        <w:rPr>
          <w:noProof/>
        </w:rPr>
        <w:tab/>
        <w:t>463</w:t>
      </w:r>
    </w:p>
    <w:p w14:paraId="4665B34C" w14:textId="77777777" w:rsidR="005E57E3" w:rsidRDefault="005E57E3">
      <w:pPr>
        <w:pStyle w:val="Index2"/>
        <w:tabs>
          <w:tab w:val="right" w:leader="dot" w:pos="9350"/>
        </w:tabs>
        <w:rPr>
          <w:noProof/>
        </w:rPr>
      </w:pPr>
      <w:r>
        <w:rPr>
          <w:noProof/>
        </w:rPr>
        <w:t>VBECS Work Flow</w:t>
      </w:r>
      <w:r>
        <w:rPr>
          <w:noProof/>
        </w:rPr>
        <w:tab/>
        <w:t>479</w:t>
      </w:r>
    </w:p>
    <w:p w14:paraId="469C3D8E" w14:textId="77777777" w:rsidR="005E57E3" w:rsidRDefault="005E57E3">
      <w:pPr>
        <w:pStyle w:val="Index1"/>
        <w:tabs>
          <w:tab w:val="right" w:leader="dot" w:pos="9350"/>
        </w:tabs>
        <w:rPr>
          <w:noProof/>
        </w:rPr>
      </w:pPr>
      <w:r>
        <w:rPr>
          <w:noProof/>
        </w:rPr>
        <w:t>Figures and Tables</w:t>
      </w:r>
      <w:r>
        <w:rPr>
          <w:noProof/>
        </w:rPr>
        <w:tab/>
        <w:t>3</w:t>
      </w:r>
    </w:p>
    <w:p w14:paraId="72F24D58" w14:textId="77777777" w:rsidR="005E57E3" w:rsidRDefault="005E57E3">
      <w:pPr>
        <w:pStyle w:val="Index1"/>
        <w:tabs>
          <w:tab w:val="right" w:leader="dot" w:pos="9350"/>
        </w:tabs>
        <w:rPr>
          <w:noProof/>
        </w:rPr>
      </w:pPr>
      <w:r>
        <w:rPr>
          <w:noProof/>
        </w:rPr>
        <w:t>Finalize Transfusion Reaction Workup Report</w:t>
      </w:r>
      <w:r>
        <w:rPr>
          <w:noProof/>
        </w:rPr>
        <w:tab/>
        <w:t>331</w:t>
      </w:r>
    </w:p>
    <w:p w14:paraId="548E243A" w14:textId="77777777" w:rsidR="005E57E3" w:rsidRDefault="005E57E3">
      <w:pPr>
        <w:pStyle w:val="Index1"/>
        <w:tabs>
          <w:tab w:val="right" w:leader="dot" w:pos="9350"/>
        </w:tabs>
        <w:rPr>
          <w:noProof/>
        </w:rPr>
      </w:pPr>
      <w:r>
        <w:rPr>
          <w:noProof/>
        </w:rPr>
        <w:t>Finalize/Print TRW</w:t>
      </w:r>
      <w:r>
        <w:rPr>
          <w:noProof/>
        </w:rPr>
        <w:tab/>
        <w:t>330</w:t>
      </w:r>
    </w:p>
    <w:p w14:paraId="6C109744" w14:textId="77777777" w:rsidR="005E57E3" w:rsidRDefault="005E57E3">
      <w:pPr>
        <w:pStyle w:val="Index1"/>
        <w:tabs>
          <w:tab w:val="right" w:leader="dot" w:pos="9350"/>
        </w:tabs>
        <w:rPr>
          <w:noProof/>
        </w:rPr>
      </w:pPr>
      <w:r>
        <w:rPr>
          <w:noProof/>
        </w:rPr>
        <w:t>Forms</w:t>
      </w:r>
    </w:p>
    <w:p w14:paraId="5387EF82" w14:textId="77777777" w:rsidR="005E57E3" w:rsidRDefault="005E57E3">
      <w:pPr>
        <w:pStyle w:val="Index2"/>
        <w:tabs>
          <w:tab w:val="right" w:leader="dot" w:pos="9350"/>
        </w:tabs>
        <w:rPr>
          <w:noProof/>
        </w:rPr>
      </w:pPr>
      <w:r>
        <w:rPr>
          <w:noProof/>
        </w:rPr>
        <w:t>Patient Testing Form</w:t>
      </w:r>
      <w:r>
        <w:rPr>
          <w:noProof/>
        </w:rPr>
        <w:tab/>
        <w:t>429</w:t>
      </w:r>
    </w:p>
    <w:p w14:paraId="20FC25F8" w14:textId="77777777" w:rsidR="005E57E3" w:rsidRDefault="005E57E3">
      <w:pPr>
        <w:pStyle w:val="Index2"/>
        <w:tabs>
          <w:tab w:val="right" w:leader="dot" w:pos="9350"/>
        </w:tabs>
        <w:rPr>
          <w:noProof/>
        </w:rPr>
      </w:pPr>
      <w:r>
        <w:rPr>
          <w:noProof/>
        </w:rPr>
        <w:t>Unit ABO/Rh Confirmation Form</w:t>
      </w:r>
      <w:r>
        <w:rPr>
          <w:noProof/>
        </w:rPr>
        <w:tab/>
        <w:t>432</w:t>
      </w:r>
    </w:p>
    <w:p w14:paraId="04496979" w14:textId="77777777" w:rsidR="005E57E3" w:rsidRDefault="005E57E3">
      <w:pPr>
        <w:pStyle w:val="Index2"/>
        <w:tabs>
          <w:tab w:val="right" w:leader="dot" w:pos="9350"/>
        </w:tabs>
        <w:rPr>
          <w:noProof/>
        </w:rPr>
      </w:pPr>
      <w:r>
        <w:rPr>
          <w:noProof/>
        </w:rPr>
        <w:t>Unit Issue and Inspection Log</w:t>
      </w:r>
      <w:r>
        <w:rPr>
          <w:noProof/>
        </w:rPr>
        <w:tab/>
        <w:t>433</w:t>
      </w:r>
    </w:p>
    <w:p w14:paraId="0F5FFA49" w14:textId="77777777" w:rsidR="005E57E3" w:rsidRDefault="005E57E3">
      <w:pPr>
        <w:pStyle w:val="Index2"/>
        <w:tabs>
          <w:tab w:val="right" w:leader="dot" w:pos="9350"/>
        </w:tabs>
        <w:rPr>
          <w:noProof/>
        </w:rPr>
      </w:pPr>
      <w:r>
        <w:rPr>
          <w:noProof/>
        </w:rPr>
        <w:t>Unit Modification Form</w:t>
      </w:r>
      <w:r>
        <w:rPr>
          <w:noProof/>
        </w:rPr>
        <w:tab/>
        <w:t>434</w:t>
      </w:r>
    </w:p>
    <w:p w14:paraId="70118641" w14:textId="77777777" w:rsidR="005E57E3" w:rsidRDefault="005E57E3">
      <w:pPr>
        <w:pStyle w:val="Index1"/>
        <w:tabs>
          <w:tab w:val="right" w:leader="dot" w:pos="9350"/>
        </w:tabs>
        <w:rPr>
          <w:noProof/>
        </w:rPr>
      </w:pPr>
      <w:r>
        <w:rPr>
          <w:noProof/>
        </w:rPr>
        <w:t>Freeware Disclaimer</w:t>
      </w:r>
      <w:r>
        <w:rPr>
          <w:noProof/>
        </w:rPr>
        <w:tab/>
        <w:t>2</w:t>
      </w:r>
    </w:p>
    <w:p w14:paraId="6B584D3E" w14:textId="77777777" w:rsidR="005E57E3" w:rsidRDefault="005E57E3">
      <w:pPr>
        <w:pStyle w:val="Index1"/>
        <w:tabs>
          <w:tab w:val="right" w:leader="dot" w:pos="9350"/>
        </w:tabs>
        <w:rPr>
          <w:noProof/>
        </w:rPr>
      </w:pPr>
      <w:r>
        <w:rPr>
          <w:noProof/>
        </w:rPr>
        <w:t>Frequently Asked Questions</w:t>
      </w:r>
      <w:r>
        <w:rPr>
          <w:noProof/>
        </w:rPr>
        <w:tab/>
        <w:t>531</w:t>
      </w:r>
    </w:p>
    <w:p w14:paraId="35983770"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G</w:t>
      </w:r>
    </w:p>
    <w:p w14:paraId="2B939D87" w14:textId="77777777" w:rsidR="005E57E3" w:rsidRDefault="005E57E3">
      <w:pPr>
        <w:pStyle w:val="Index1"/>
        <w:tabs>
          <w:tab w:val="right" w:leader="dot" w:pos="9350"/>
        </w:tabs>
        <w:rPr>
          <w:noProof/>
        </w:rPr>
      </w:pPr>
      <w:r>
        <w:rPr>
          <w:noProof/>
        </w:rPr>
        <w:t>Glossary</w:t>
      </w:r>
      <w:r>
        <w:rPr>
          <w:noProof/>
        </w:rPr>
        <w:tab/>
        <w:t>417</w:t>
      </w:r>
    </w:p>
    <w:p w14:paraId="590F15B7"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H</w:t>
      </w:r>
    </w:p>
    <w:p w14:paraId="32C0E6DF" w14:textId="77777777" w:rsidR="005E57E3" w:rsidRDefault="005E57E3">
      <w:pPr>
        <w:pStyle w:val="Index1"/>
        <w:tabs>
          <w:tab w:val="right" w:leader="dot" w:pos="9350"/>
        </w:tabs>
        <w:rPr>
          <w:noProof/>
        </w:rPr>
      </w:pPr>
      <w:r>
        <w:rPr>
          <w:noProof/>
        </w:rPr>
        <w:t>Hardware and Infrastructure Architecture</w:t>
      </w:r>
      <w:r>
        <w:rPr>
          <w:noProof/>
        </w:rPr>
        <w:tab/>
        <w:t>7</w:t>
      </w:r>
    </w:p>
    <w:p w14:paraId="2D65C73D" w14:textId="77777777" w:rsidR="005E57E3" w:rsidRDefault="005E57E3">
      <w:pPr>
        <w:pStyle w:val="Index1"/>
        <w:tabs>
          <w:tab w:val="right" w:leader="dot" w:pos="9350"/>
        </w:tabs>
        <w:rPr>
          <w:noProof/>
        </w:rPr>
      </w:pPr>
      <w:r>
        <w:rPr>
          <w:noProof/>
        </w:rPr>
        <w:t>How This User Guide Is Organized</w:t>
      </w:r>
      <w:r>
        <w:rPr>
          <w:noProof/>
        </w:rPr>
        <w:tab/>
        <w:t>3</w:t>
      </w:r>
    </w:p>
    <w:p w14:paraId="34993AEA"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I</w:t>
      </w:r>
    </w:p>
    <w:p w14:paraId="7575EEFB" w14:textId="77777777" w:rsidR="005E57E3" w:rsidRDefault="005E57E3">
      <w:pPr>
        <w:pStyle w:val="Index1"/>
        <w:tabs>
          <w:tab w:val="right" w:leader="dot" w:pos="9350"/>
        </w:tabs>
        <w:rPr>
          <w:noProof/>
        </w:rPr>
      </w:pPr>
      <w:r>
        <w:rPr>
          <w:noProof/>
        </w:rPr>
        <w:t>Icons and Buttons</w:t>
      </w:r>
      <w:r>
        <w:rPr>
          <w:noProof/>
        </w:rPr>
        <w:tab/>
        <w:t>49</w:t>
      </w:r>
    </w:p>
    <w:p w14:paraId="485E1A6E" w14:textId="77777777" w:rsidR="005E57E3" w:rsidRDefault="005E57E3">
      <w:pPr>
        <w:pStyle w:val="Index1"/>
        <w:tabs>
          <w:tab w:val="right" w:leader="dot" w:pos="9350"/>
        </w:tabs>
        <w:rPr>
          <w:noProof/>
        </w:rPr>
      </w:pPr>
      <w:r>
        <w:rPr>
          <w:noProof/>
        </w:rPr>
        <w:t>Inactivate a Unit</w:t>
      </w:r>
      <w:r>
        <w:rPr>
          <w:noProof/>
        </w:rPr>
        <w:tab/>
        <w:t>195</w:t>
      </w:r>
    </w:p>
    <w:p w14:paraId="5D28C28E" w14:textId="77777777" w:rsidR="005E57E3" w:rsidRDefault="005E57E3">
      <w:pPr>
        <w:pStyle w:val="Index1"/>
        <w:tabs>
          <w:tab w:val="right" w:leader="dot" w:pos="9350"/>
        </w:tabs>
        <w:rPr>
          <w:noProof/>
        </w:rPr>
      </w:pPr>
      <w:r>
        <w:rPr>
          <w:noProof/>
        </w:rPr>
        <w:t>Inappropriate Transfusion Request Report</w:t>
      </w:r>
      <w:r>
        <w:rPr>
          <w:noProof/>
        </w:rPr>
        <w:tab/>
        <w:t>388</w:t>
      </w:r>
    </w:p>
    <w:p w14:paraId="7FBC9E32" w14:textId="77777777" w:rsidR="005E57E3" w:rsidRDefault="005E57E3">
      <w:pPr>
        <w:pStyle w:val="Index1"/>
        <w:tabs>
          <w:tab w:val="right" w:leader="dot" w:pos="9350"/>
        </w:tabs>
        <w:rPr>
          <w:noProof/>
        </w:rPr>
      </w:pPr>
      <w:r>
        <w:rPr>
          <w:noProof/>
        </w:rPr>
        <w:t>Introduction</w:t>
      </w:r>
      <w:r>
        <w:rPr>
          <w:noProof/>
        </w:rPr>
        <w:tab/>
        <w:t>1</w:t>
      </w:r>
    </w:p>
    <w:p w14:paraId="020DD17D" w14:textId="77777777" w:rsidR="005E57E3" w:rsidRDefault="005E57E3">
      <w:pPr>
        <w:pStyle w:val="Index1"/>
        <w:tabs>
          <w:tab w:val="right" w:leader="dot" w:pos="9350"/>
        </w:tabs>
        <w:rPr>
          <w:noProof/>
        </w:rPr>
      </w:pPr>
      <w:r>
        <w:rPr>
          <w:noProof/>
        </w:rPr>
        <w:t>Issue Blood Components</w:t>
      </w:r>
      <w:r>
        <w:rPr>
          <w:noProof/>
        </w:rPr>
        <w:tab/>
        <w:t>217</w:t>
      </w:r>
    </w:p>
    <w:p w14:paraId="672A5C7C" w14:textId="77777777" w:rsidR="005E57E3" w:rsidRDefault="005E57E3">
      <w:pPr>
        <w:pStyle w:val="Index1"/>
        <w:tabs>
          <w:tab w:val="right" w:leader="dot" w:pos="9350"/>
        </w:tabs>
        <w:rPr>
          <w:noProof/>
        </w:rPr>
      </w:pPr>
      <w:r>
        <w:rPr>
          <w:noProof/>
        </w:rPr>
        <w:t>Issue Blood Components (Emergency)</w:t>
      </w:r>
      <w:r>
        <w:rPr>
          <w:noProof/>
        </w:rPr>
        <w:tab/>
        <w:t>222</w:t>
      </w:r>
    </w:p>
    <w:p w14:paraId="5F2AE41A" w14:textId="77777777" w:rsidR="005E57E3" w:rsidRDefault="005E57E3">
      <w:pPr>
        <w:pStyle w:val="Index1"/>
        <w:tabs>
          <w:tab w:val="right" w:leader="dot" w:pos="9350"/>
        </w:tabs>
        <w:rPr>
          <w:noProof/>
        </w:rPr>
      </w:pPr>
      <w:r>
        <w:rPr>
          <w:noProof/>
        </w:rPr>
        <w:t>Issue Blood Components (Routine)</w:t>
      </w:r>
      <w:r>
        <w:rPr>
          <w:noProof/>
        </w:rPr>
        <w:tab/>
        <w:t>218</w:t>
      </w:r>
    </w:p>
    <w:p w14:paraId="0B7DAF3C" w14:textId="77777777" w:rsidR="005E57E3" w:rsidRDefault="005E57E3">
      <w:pPr>
        <w:pStyle w:val="Index1"/>
        <w:tabs>
          <w:tab w:val="right" w:leader="dot" w:pos="9350"/>
        </w:tabs>
        <w:rPr>
          <w:noProof/>
        </w:rPr>
      </w:pPr>
      <w:r>
        <w:rPr>
          <w:noProof/>
        </w:rPr>
        <w:t>Issued/Returned Unit Report</w:t>
      </w:r>
      <w:r>
        <w:rPr>
          <w:noProof/>
        </w:rPr>
        <w:tab/>
        <w:t>389</w:t>
      </w:r>
    </w:p>
    <w:p w14:paraId="6FB858F3"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J</w:t>
      </w:r>
    </w:p>
    <w:p w14:paraId="0E395F69" w14:textId="77777777" w:rsidR="005E57E3" w:rsidRDefault="005E57E3">
      <w:pPr>
        <w:pStyle w:val="Index1"/>
        <w:tabs>
          <w:tab w:val="right" w:leader="dot" w:pos="9350"/>
        </w:tabs>
        <w:rPr>
          <w:noProof/>
        </w:rPr>
      </w:pPr>
      <w:r>
        <w:rPr>
          <w:noProof/>
        </w:rPr>
        <w:t>Justify ABO/Rh Change</w:t>
      </w:r>
      <w:r>
        <w:rPr>
          <w:noProof/>
        </w:rPr>
        <w:tab/>
        <w:t>351</w:t>
      </w:r>
    </w:p>
    <w:p w14:paraId="4A0DFFCF"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K</w:t>
      </w:r>
    </w:p>
    <w:p w14:paraId="161B78AD" w14:textId="77777777" w:rsidR="005E57E3" w:rsidRDefault="005E57E3">
      <w:pPr>
        <w:pStyle w:val="Index1"/>
        <w:tabs>
          <w:tab w:val="right" w:leader="dot" w:pos="9350"/>
        </w:tabs>
        <w:rPr>
          <w:noProof/>
        </w:rPr>
      </w:pPr>
      <w:r>
        <w:rPr>
          <w:noProof/>
        </w:rPr>
        <w:t>Keyboard Shortcuts for Windows</w:t>
      </w:r>
      <w:r>
        <w:rPr>
          <w:noProof/>
        </w:rPr>
        <w:tab/>
        <w:t>48</w:t>
      </w:r>
    </w:p>
    <w:p w14:paraId="36F13B79" w14:textId="77777777" w:rsidR="005E57E3" w:rsidRDefault="005E57E3">
      <w:pPr>
        <w:pStyle w:val="Index1"/>
        <w:tabs>
          <w:tab w:val="right" w:leader="dot" w:pos="9350"/>
        </w:tabs>
        <w:rPr>
          <w:noProof/>
        </w:rPr>
      </w:pPr>
      <w:r>
        <w:rPr>
          <w:noProof/>
        </w:rPr>
        <w:t>Known Defects and Anomalies</w:t>
      </w:r>
      <w:r>
        <w:rPr>
          <w:noProof/>
        </w:rPr>
        <w:tab/>
        <w:t>501</w:t>
      </w:r>
    </w:p>
    <w:p w14:paraId="5F835464"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lastRenderedPageBreak/>
        <w:t>L</w:t>
      </w:r>
    </w:p>
    <w:p w14:paraId="4C496C73" w14:textId="77777777" w:rsidR="005E57E3" w:rsidRDefault="005E57E3">
      <w:pPr>
        <w:pStyle w:val="Index1"/>
        <w:tabs>
          <w:tab w:val="right" w:leader="dot" w:pos="9350"/>
        </w:tabs>
        <w:rPr>
          <w:noProof/>
        </w:rPr>
      </w:pPr>
      <w:r>
        <w:rPr>
          <w:noProof/>
        </w:rPr>
        <w:t>Limitations and Restrictions</w:t>
      </w:r>
      <w:r>
        <w:rPr>
          <w:noProof/>
        </w:rPr>
        <w:tab/>
        <w:t>483</w:t>
      </w:r>
    </w:p>
    <w:p w14:paraId="37D255BD" w14:textId="77777777" w:rsidR="005E57E3" w:rsidRDefault="005E57E3">
      <w:pPr>
        <w:pStyle w:val="Index1"/>
        <w:tabs>
          <w:tab w:val="right" w:leader="dot" w:pos="9350"/>
        </w:tabs>
        <w:rPr>
          <w:noProof/>
        </w:rPr>
      </w:pPr>
      <w:r>
        <w:rPr>
          <w:noProof/>
        </w:rPr>
        <w:t>Local Facilities</w:t>
      </w:r>
      <w:r>
        <w:rPr>
          <w:noProof/>
        </w:rPr>
        <w:tab/>
        <w:t>80</w:t>
      </w:r>
    </w:p>
    <w:p w14:paraId="1B3004F6" w14:textId="77777777" w:rsidR="005E57E3" w:rsidRDefault="005E57E3">
      <w:pPr>
        <w:pStyle w:val="Index1"/>
        <w:tabs>
          <w:tab w:val="right" w:leader="dot" w:pos="9350"/>
        </w:tabs>
        <w:rPr>
          <w:noProof/>
        </w:rPr>
      </w:pPr>
      <w:r>
        <w:rPr>
          <w:noProof/>
        </w:rPr>
        <w:t>Local Machine Screen Resolution</w:t>
      </w:r>
      <w:r>
        <w:rPr>
          <w:noProof/>
        </w:rPr>
        <w:tab/>
        <w:t>38</w:t>
      </w:r>
    </w:p>
    <w:p w14:paraId="1C3B07EB" w14:textId="77777777" w:rsidR="005E57E3" w:rsidRDefault="005E57E3">
      <w:pPr>
        <w:pStyle w:val="Index1"/>
        <w:tabs>
          <w:tab w:val="right" w:leader="dot" w:pos="9350"/>
        </w:tabs>
        <w:rPr>
          <w:noProof/>
        </w:rPr>
      </w:pPr>
      <w:r>
        <w:rPr>
          <w:noProof/>
        </w:rPr>
        <w:t>Locking and Time-Outs</w:t>
      </w:r>
      <w:r>
        <w:rPr>
          <w:noProof/>
        </w:rPr>
        <w:tab/>
        <w:t>15</w:t>
      </w:r>
    </w:p>
    <w:p w14:paraId="1FAB7ED7" w14:textId="77777777" w:rsidR="005E57E3" w:rsidRDefault="005E57E3">
      <w:pPr>
        <w:pStyle w:val="Index1"/>
        <w:tabs>
          <w:tab w:val="right" w:leader="dot" w:pos="9350"/>
        </w:tabs>
        <w:rPr>
          <w:noProof/>
        </w:rPr>
      </w:pPr>
      <w:r>
        <w:rPr>
          <w:noProof/>
        </w:rPr>
        <w:t>Log in Reagents</w:t>
      </w:r>
      <w:r>
        <w:rPr>
          <w:noProof/>
        </w:rPr>
        <w:tab/>
        <w:t>109</w:t>
      </w:r>
    </w:p>
    <w:p w14:paraId="112DC7FD" w14:textId="77777777" w:rsidR="005E57E3" w:rsidRDefault="005E57E3">
      <w:pPr>
        <w:pStyle w:val="Index1"/>
        <w:tabs>
          <w:tab w:val="right" w:leader="dot" w:pos="9350"/>
        </w:tabs>
        <w:rPr>
          <w:noProof/>
        </w:rPr>
      </w:pPr>
      <w:r>
        <w:rPr>
          <w:noProof/>
        </w:rPr>
        <w:t>Log in Supplies</w:t>
      </w:r>
      <w:r>
        <w:rPr>
          <w:noProof/>
        </w:rPr>
        <w:tab/>
        <w:t>117</w:t>
      </w:r>
    </w:p>
    <w:p w14:paraId="245DEC22" w14:textId="77777777" w:rsidR="005E57E3" w:rsidRDefault="005E57E3">
      <w:pPr>
        <w:pStyle w:val="Index1"/>
        <w:tabs>
          <w:tab w:val="right" w:leader="dot" w:pos="9350"/>
        </w:tabs>
        <w:rPr>
          <w:noProof/>
        </w:rPr>
      </w:pPr>
      <w:r>
        <w:rPr>
          <w:noProof/>
        </w:rPr>
        <w:t>Login Message</w:t>
      </w:r>
      <w:r>
        <w:rPr>
          <w:noProof/>
        </w:rPr>
        <w:tab/>
        <w:t>78</w:t>
      </w:r>
    </w:p>
    <w:p w14:paraId="4238A92C"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M</w:t>
      </w:r>
    </w:p>
    <w:p w14:paraId="12BEC824" w14:textId="77777777" w:rsidR="005E57E3" w:rsidRDefault="005E57E3">
      <w:pPr>
        <w:pStyle w:val="Index1"/>
        <w:tabs>
          <w:tab w:val="right" w:leader="dot" w:pos="9350"/>
        </w:tabs>
        <w:rPr>
          <w:noProof/>
        </w:rPr>
      </w:pPr>
      <w:r>
        <w:rPr>
          <w:noProof/>
        </w:rPr>
        <w:t>Main Status Bar</w:t>
      </w:r>
      <w:r>
        <w:rPr>
          <w:noProof/>
        </w:rPr>
        <w:tab/>
        <w:t>58</w:t>
      </w:r>
    </w:p>
    <w:p w14:paraId="3C10C7AC" w14:textId="77777777" w:rsidR="005E57E3" w:rsidRDefault="005E57E3">
      <w:pPr>
        <w:pStyle w:val="Index1"/>
        <w:tabs>
          <w:tab w:val="right" w:leader="dot" w:pos="9350"/>
        </w:tabs>
        <w:rPr>
          <w:noProof/>
        </w:rPr>
      </w:pPr>
      <w:r>
        <w:rPr>
          <w:noProof/>
        </w:rPr>
        <w:t>Main Toolbar</w:t>
      </w:r>
      <w:r>
        <w:rPr>
          <w:noProof/>
        </w:rPr>
        <w:tab/>
        <w:t>50</w:t>
      </w:r>
    </w:p>
    <w:p w14:paraId="6AC8ECF8" w14:textId="77777777" w:rsidR="005E57E3" w:rsidRDefault="005E57E3">
      <w:pPr>
        <w:pStyle w:val="Index1"/>
        <w:tabs>
          <w:tab w:val="right" w:leader="dot" w:pos="9350"/>
        </w:tabs>
        <w:rPr>
          <w:noProof/>
        </w:rPr>
      </w:pPr>
      <w:r>
        <w:rPr>
          <w:noProof/>
        </w:rPr>
        <w:t>Maintain Minimum Levels</w:t>
      </w:r>
      <w:r>
        <w:rPr>
          <w:noProof/>
        </w:rPr>
        <w:tab/>
        <w:t>115</w:t>
      </w:r>
    </w:p>
    <w:p w14:paraId="3937DDFB" w14:textId="77777777" w:rsidR="005E57E3" w:rsidRDefault="005E57E3">
      <w:pPr>
        <w:pStyle w:val="Index1"/>
        <w:tabs>
          <w:tab w:val="right" w:leader="dot" w:pos="9350"/>
        </w:tabs>
        <w:rPr>
          <w:noProof/>
        </w:rPr>
      </w:pPr>
      <w:r>
        <w:rPr>
          <w:noProof/>
        </w:rPr>
        <w:t>Maintain Patient Records</w:t>
      </w:r>
      <w:r>
        <w:rPr>
          <w:noProof/>
        </w:rPr>
        <w:tab/>
        <w:t>335</w:t>
      </w:r>
    </w:p>
    <w:p w14:paraId="2F4BB1A3" w14:textId="77777777" w:rsidR="005E57E3" w:rsidRDefault="005E57E3">
      <w:pPr>
        <w:pStyle w:val="Index1"/>
        <w:tabs>
          <w:tab w:val="right" w:leader="dot" w:pos="9350"/>
        </w:tabs>
        <w:rPr>
          <w:noProof/>
        </w:rPr>
      </w:pPr>
      <w:r>
        <w:rPr>
          <w:noProof/>
        </w:rPr>
        <w:t>Maintain Specimen</w:t>
      </w:r>
      <w:r>
        <w:rPr>
          <w:noProof/>
        </w:rPr>
        <w:tab/>
        <w:t>272</w:t>
      </w:r>
    </w:p>
    <w:p w14:paraId="05EA90B0" w14:textId="77777777" w:rsidR="005E57E3" w:rsidRDefault="005E57E3">
      <w:pPr>
        <w:pStyle w:val="Index1"/>
        <w:tabs>
          <w:tab w:val="right" w:leader="dot" w:pos="9350"/>
        </w:tabs>
        <w:rPr>
          <w:noProof/>
        </w:rPr>
      </w:pPr>
      <w:r>
        <w:rPr>
          <w:noProof/>
        </w:rPr>
        <w:t>Maintain Unit Records</w:t>
      </w:r>
      <w:r>
        <w:rPr>
          <w:noProof/>
        </w:rPr>
        <w:tab/>
        <w:t>190</w:t>
      </w:r>
    </w:p>
    <w:p w14:paraId="12BD5495" w14:textId="77777777" w:rsidR="005E57E3" w:rsidRDefault="005E57E3">
      <w:pPr>
        <w:pStyle w:val="Index1"/>
        <w:tabs>
          <w:tab w:val="right" w:leader="dot" w:pos="9350"/>
        </w:tabs>
        <w:rPr>
          <w:noProof/>
        </w:rPr>
      </w:pPr>
      <w:r>
        <w:rPr>
          <w:noProof/>
        </w:rPr>
        <w:t>Medication Profile</w:t>
      </w:r>
      <w:r>
        <w:rPr>
          <w:noProof/>
        </w:rPr>
        <w:tab/>
        <w:t>52</w:t>
      </w:r>
    </w:p>
    <w:p w14:paraId="046284CA" w14:textId="77777777" w:rsidR="005E57E3" w:rsidRDefault="005E57E3">
      <w:pPr>
        <w:pStyle w:val="Index1"/>
        <w:tabs>
          <w:tab w:val="right" w:leader="dot" w:pos="9350"/>
        </w:tabs>
        <w:rPr>
          <w:noProof/>
        </w:rPr>
      </w:pPr>
      <w:r>
        <w:rPr>
          <w:noProof/>
        </w:rPr>
        <w:t>Modify Component</w:t>
      </w:r>
      <w:r>
        <w:rPr>
          <w:noProof/>
        </w:rPr>
        <w:tab/>
        <w:t>166</w:t>
      </w:r>
    </w:p>
    <w:p w14:paraId="528CF6C0" w14:textId="77777777" w:rsidR="005E57E3" w:rsidRDefault="005E57E3">
      <w:pPr>
        <w:pStyle w:val="Index1"/>
        <w:tabs>
          <w:tab w:val="right" w:leader="dot" w:pos="9350"/>
        </w:tabs>
        <w:rPr>
          <w:noProof/>
        </w:rPr>
      </w:pPr>
      <w:r>
        <w:rPr>
          <w:noProof/>
        </w:rPr>
        <w:t>MSBOS</w:t>
      </w:r>
      <w:r>
        <w:rPr>
          <w:noProof/>
        </w:rPr>
        <w:tab/>
        <w:t>94</w:t>
      </w:r>
    </w:p>
    <w:p w14:paraId="04E2F487"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O</w:t>
      </w:r>
    </w:p>
    <w:p w14:paraId="11CB8B2E" w14:textId="77777777" w:rsidR="005E57E3" w:rsidRDefault="005E57E3">
      <w:pPr>
        <w:pStyle w:val="Index1"/>
        <w:tabs>
          <w:tab w:val="right" w:leader="dot" w:pos="9350"/>
        </w:tabs>
        <w:rPr>
          <w:noProof/>
        </w:rPr>
      </w:pPr>
      <w:r>
        <w:rPr>
          <w:noProof/>
        </w:rPr>
        <w:t>Online Help F1</w:t>
      </w:r>
      <w:r>
        <w:rPr>
          <w:noProof/>
        </w:rPr>
        <w:tab/>
        <w:t>40</w:t>
      </w:r>
    </w:p>
    <w:p w14:paraId="48A716A9" w14:textId="77777777" w:rsidR="005E57E3" w:rsidRDefault="005E57E3">
      <w:pPr>
        <w:pStyle w:val="Index1"/>
        <w:tabs>
          <w:tab w:val="right" w:leader="dot" w:pos="9350"/>
        </w:tabs>
        <w:rPr>
          <w:noProof/>
        </w:rPr>
      </w:pPr>
      <w:r>
        <w:rPr>
          <w:noProof/>
        </w:rPr>
        <w:t>Options</w:t>
      </w:r>
      <w:r>
        <w:rPr>
          <w:noProof/>
        </w:rPr>
        <w:tab/>
        <w:t>3</w:t>
      </w:r>
    </w:p>
    <w:p w14:paraId="4D1D3F04" w14:textId="77777777" w:rsidR="005E57E3" w:rsidRDefault="005E57E3">
      <w:pPr>
        <w:pStyle w:val="Index1"/>
        <w:tabs>
          <w:tab w:val="right" w:leader="dot" w:pos="9350"/>
        </w:tabs>
        <w:rPr>
          <w:noProof/>
        </w:rPr>
      </w:pPr>
      <w:r>
        <w:rPr>
          <w:noProof/>
        </w:rPr>
        <w:t>Order Alerts</w:t>
      </w:r>
      <w:r>
        <w:rPr>
          <w:noProof/>
        </w:rPr>
        <w:tab/>
        <w:t>76</w:t>
      </w:r>
    </w:p>
    <w:p w14:paraId="76074C53" w14:textId="77777777" w:rsidR="005E57E3" w:rsidRDefault="005E57E3">
      <w:pPr>
        <w:pStyle w:val="Index1"/>
        <w:tabs>
          <w:tab w:val="right" w:leader="dot" w:pos="9350"/>
        </w:tabs>
        <w:rPr>
          <w:noProof/>
        </w:rPr>
      </w:pPr>
      <w:r>
        <w:rPr>
          <w:noProof/>
        </w:rPr>
        <w:t>Order History Report</w:t>
      </w:r>
      <w:r>
        <w:rPr>
          <w:noProof/>
        </w:rPr>
        <w:tab/>
        <w:t>391</w:t>
      </w:r>
    </w:p>
    <w:p w14:paraId="1107FE1F" w14:textId="77777777" w:rsidR="005E57E3" w:rsidRDefault="005E57E3">
      <w:pPr>
        <w:pStyle w:val="Index1"/>
        <w:tabs>
          <w:tab w:val="right" w:leader="dot" w:pos="9350"/>
        </w:tabs>
        <w:rPr>
          <w:noProof/>
        </w:rPr>
      </w:pPr>
      <w:r>
        <w:rPr>
          <w:noProof/>
        </w:rPr>
        <w:t>Order Reflex Tests</w:t>
      </w:r>
      <w:r>
        <w:rPr>
          <w:noProof/>
        </w:rPr>
        <w:tab/>
        <w:t>282</w:t>
      </w:r>
    </w:p>
    <w:p w14:paraId="7AACA960" w14:textId="77777777" w:rsidR="005E57E3" w:rsidRDefault="005E57E3">
      <w:pPr>
        <w:pStyle w:val="Index1"/>
        <w:tabs>
          <w:tab w:val="right" w:leader="dot" w:pos="9350"/>
        </w:tabs>
        <w:rPr>
          <w:noProof/>
        </w:rPr>
      </w:pPr>
      <w:r>
        <w:rPr>
          <w:noProof/>
        </w:rPr>
        <w:t>Orientation</w:t>
      </w:r>
      <w:r>
        <w:rPr>
          <w:noProof/>
        </w:rPr>
        <w:tab/>
        <w:t>3</w:t>
      </w:r>
    </w:p>
    <w:p w14:paraId="4CEAB7F8" w14:textId="77777777" w:rsidR="005E57E3" w:rsidRDefault="005E57E3">
      <w:pPr>
        <w:pStyle w:val="Index1"/>
        <w:tabs>
          <w:tab w:val="right" w:leader="dot" w:pos="9350"/>
        </w:tabs>
        <w:rPr>
          <w:noProof/>
        </w:rPr>
      </w:pPr>
      <w:r>
        <w:rPr>
          <w:noProof/>
        </w:rPr>
        <w:t>Other VBECS Functions</w:t>
      </w:r>
      <w:r>
        <w:rPr>
          <w:noProof/>
        </w:rPr>
        <w:tab/>
        <w:t>59</w:t>
      </w:r>
    </w:p>
    <w:p w14:paraId="63A074BE" w14:textId="77777777" w:rsidR="005E57E3" w:rsidRDefault="005E57E3">
      <w:pPr>
        <w:pStyle w:val="Index1"/>
        <w:tabs>
          <w:tab w:val="right" w:leader="dot" w:pos="9350"/>
        </w:tabs>
        <w:rPr>
          <w:noProof/>
        </w:rPr>
      </w:pPr>
      <w:r>
        <w:rPr>
          <w:noProof/>
        </w:rPr>
        <w:t>Outgoing Shipment</w:t>
      </w:r>
      <w:r>
        <w:rPr>
          <w:noProof/>
        </w:rPr>
        <w:tab/>
        <w:t>138</w:t>
      </w:r>
    </w:p>
    <w:p w14:paraId="1DAB7A16"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P</w:t>
      </w:r>
    </w:p>
    <w:p w14:paraId="56776865" w14:textId="77777777" w:rsidR="005E57E3" w:rsidRDefault="005E57E3">
      <w:pPr>
        <w:pStyle w:val="Index1"/>
        <w:tabs>
          <w:tab w:val="right" w:leader="dot" w:pos="9350"/>
        </w:tabs>
        <w:rPr>
          <w:noProof/>
        </w:rPr>
      </w:pPr>
      <w:r>
        <w:rPr>
          <w:noProof/>
        </w:rPr>
        <w:t>Patient Blood Availability</w:t>
      </w:r>
      <w:r>
        <w:rPr>
          <w:noProof/>
        </w:rPr>
        <w:tab/>
        <w:t>51</w:t>
      </w:r>
    </w:p>
    <w:p w14:paraId="3DECD2B1" w14:textId="77777777" w:rsidR="005E57E3" w:rsidRDefault="005E57E3">
      <w:pPr>
        <w:pStyle w:val="Index1"/>
        <w:tabs>
          <w:tab w:val="right" w:leader="dot" w:pos="9350"/>
        </w:tabs>
        <w:rPr>
          <w:noProof/>
        </w:rPr>
      </w:pPr>
      <w:r>
        <w:rPr>
          <w:noProof/>
        </w:rPr>
        <w:t>Patient History Report</w:t>
      </w:r>
      <w:r>
        <w:rPr>
          <w:noProof/>
        </w:rPr>
        <w:tab/>
        <w:t>394</w:t>
      </w:r>
    </w:p>
    <w:p w14:paraId="415BAEA3" w14:textId="77777777" w:rsidR="005E57E3" w:rsidRDefault="005E57E3">
      <w:pPr>
        <w:pStyle w:val="Index1"/>
        <w:tabs>
          <w:tab w:val="right" w:leader="dot" w:pos="9350"/>
        </w:tabs>
        <w:rPr>
          <w:noProof/>
        </w:rPr>
      </w:pPr>
      <w:r>
        <w:rPr>
          <w:noProof/>
        </w:rPr>
        <w:t>Patient Information Toolbar</w:t>
      </w:r>
      <w:r>
        <w:rPr>
          <w:noProof/>
        </w:rPr>
        <w:tab/>
        <w:t>50</w:t>
      </w:r>
    </w:p>
    <w:p w14:paraId="754770FD" w14:textId="77777777" w:rsidR="005E57E3" w:rsidRDefault="005E57E3">
      <w:pPr>
        <w:pStyle w:val="Index1"/>
        <w:tabs>
          <w:tab w:val="right" w:leader="dot" w:pos="9350"/>
        </w:tabs>
        <w:rPr>
          <w:noProof/>
        </w:rPr>
      </w:pPr>
      <w:r>
        <w:rPr>
          <w:noProof/>
        </w:rPr>
        <w:t>Patient Merge</w:t>
      </w:r>
      <w:r>
        <w:rPr>
          <w:noProof/>
        </w:rPr>
        <w:tab/>
        <w:t>288</w:t>
      </w:r>
    </w:p>
    <w:p w14:paraId="50C68894" w14:textId="77777777" w:rsidR="005E57E3" w:rsidRDefault="005E57E3">
      <w:pPr>
        <w:pStyle w:val="Index1"/>
        <w:tabs>
          <w:tab w:val="right" w:leader="dot" w:pos="9350"/>
        </w:tabs>
        <w:rPr>
          <w:noProof/>
        </w:rPr>
      </w:pPr>
      <w:r>
        <w:rPr>
          <w:noProof/>
        </w:rPr>
        <w:t>Patient Search Screen</w:t>
      </w:r>
      <w:r>
        <w:rPr>
          <w:noProof/>
        </w:rPr>
        <w:tab/>
        <w:t>285</w:t>
      </w:r>
    </w:p>
    <w:p w14:paraId="6B727A8B" w14:textId="77777777" w:rsidR="005E57E3" w:rsidRDefault="005E57E3">
      <w:pPr>
        <w:pStyle w:val="Index1"/>
        <w:tabs>
          <w:tab w:val="right" w:leader="dot" w:pos="9350"/>
        </w:tabs>
        <w:rPr>
          <w:noProof/>
        </w:rPr>
      </w:pPr>
      <w:r>
        <w:rPr>
          <w:noProof/>
        </w:rPr>
        <w:t>Patient Services</w:t>
      </w:r>
      <w:r>
        <w:rPr>
          <w:noProof/>
        </w:rPr>
        <w:tab/>
        <w:t>285</w:t>
      </w:r>
    </w:p>
    <w:p w14:paraId="21D40C1A" w14:textId="77777777" w:rsidR="005E57E3" w:rsidRDefault="005E57E3">
      <w:pPr>
        <w:pStyle w:val="Index1"/>
        <w:tabs>
          <w:tab w:val="right" w:leader="dot" w:pos="9350"/>
        </w:tabs>
        <w:rPr>
          <w:noProof/>
        </w:rPr>
      </w:pPr>
      <w:r>
        <w:rPr>
          <w:noProof/>
        </w:rPr>
        <w:t>Patient Testing Form</w:t>
      </w:r>
      <w:r>
        <w:rPr>
          <w:noProof/>
        </w:rPr>
        <w:tab/>
        <w:t>429</w:t>
      </w:r>
    </w:p>
    <w:p w14:paraId="5EE1009C" w14:textId="77777777" w:rsidR="005E57E3" w:rsidRDefault="005E57E3">
      <w:pPr>
        <w:pStyle w:val="Index1"/>
        <w:tabs>
          <w:tab w:val="right" w:leader="dot" w:pos="9350"/>
        </w:tabs>
        <w:rPr>
          <w:noProof/>
        </w:rPr>
      </w:pPr>
      <w:r>
        <w:rPr>
          <w:noProof/>
        </w:rPr>
        <w:t>Patient Testing Worklist and Testing Worklist Reports</w:t>
      </w:r>
      <w:r>
        <w:rPr>
          <w:noProof/>
        </w:rPr>
        <w:tab/>
        <w:t>396</w:t>
      </w:r>
    </w:p>
    <w:p w14:paraId="78E13F3A" w14:textId="77777777" w:rsidR="005E57E3" w:rsidRDefault="005E57E3">
      <w:pPr>
        <w:pStyle w:val="Index1"/>
        <w:tabs>
          <w:tab w:val="right" w:leader="dot" w:pos="9350"/>
        </w:tabs>
        <w:rPr>
          <w:noProof/>
        </w:rPr>
      </w:pPr>
      <w:r>
        <w:rPr>
          <w:noProof/>
        </w:rPr>
        <w:t>Patient Testing: Cancel an Active Order</w:t>
      </w:r>
      <w:r>
        <w:rPr>
          <w:noProof/>
        </w:rPr>
        <w:tab/>
        <w:t>276</w:t>
      </w:r>
    </w:p>
    <w:p w14:paraId="74439D1C" w14:textId="77777777" w:rsidR="005E57E3" w:rsidRDefault="005E57E3">
      <w:pPr>
        <w:pStyle w:val="Index1"/>
        <w:tabs>
          <w:tab w:val="right" w:leader="dot" w:pos="9350"/>
        </w:tabs>
        <w:rPr>
          <w:noProof/>
        </w:rPr>
      </w:pPr>
      <w:r>
        <w:rPr>
          <w:noProof/>
        </w:rPr>
        <w:t>Patient Testing: Enter Antibody Identification Results</w:t>
      </w:r>
      <w:r>
        <w:rPr>
          <w:noProof/>
        </w:rPr>
        <w:tab/>
        <w:t>319</w:t>
      </w:r>
    </w:p>
    <w:p w14:paraId="60EF43EA" w14:textId="77777777" w:rsidR="005E57E3" w:rsidRDefault="005E57E3">
      <w:pPr>
        <w:pStyle w:val="Index1"/>
        <w:tabs>
          <w:tab w:val="right" w:leader="dot" w:pos="9350"/>
        </w:tabs>
        <w:rPr>
          <w:noProof/>
        </w:rPr>
      </w:pPr>
      <w:r>
        <w:rPr>
          <w:noProof/>
        </w:rPr>
        <w:t>Patient Testing: General Instructions</w:t>
      </w:r>
      <w:r>
        <w:rPr>
          <w:noProof/>
        </w:rPr>
        <w:tab/>
        <w:t>293</w:t>
      </w:r>
    </w:p>
    <w:p w14:paraId="560D54E1" w14:textId="77777777" w:rsidR="005E57E3" w:rsidRDefault="005E57E3">
      <w:pPr>
        <w:pStyle w:val="Index1"/>
        <w:tabs>
          <w:tab w:val="right" w:leader="dot" w:pos="9350"/>
        </w:tabs>
        <w:rPr>
          <w:noProof/>
        </w:rPr>
      </w:pPr>
      <w:r>
        <w:rPr>
          <w:noProof/>
        </w:rPr>
        <w:t>Patient Testing: Pending Task List</w:t>
      </w:r>
      <w:r>
        <w:rPr>
          <w:noProof/>
        </w:rPr>
        <w:tab/>
        <w:t>278</w:t>
      </w:r>
    </w:p>
    <w:p w14:paraId="587E12A7" w14:textId="77777777" w:rsidR="005E57E3" w:rsidRDefault="005E57E3">
      <w:pPr>
        <w:pStyle w:val="Index1"/>
        <w:tabs>
          <w:tab w:val="right" w:leader="dot" w:pos="9350"/>
        </w:tabs>
        <w:rPr>
          <w:noProof/>
        </w:rPr>
      </w:pPr>
      <w:r>
        <w:rPr>
          <w:noProof/>
        </w:rPr>
        <w:t>Patient Testing: Record a Crossmatch</w:t>
      </w:r>
      <w:r>
        <w:rPr>
          <w:noProof/>
        </w:rPr>
        <w:tab/>
        <w:t>307</w:t>
      </w:r>
    </w:p>
    <w:p w14:paraId="779E857A" w14:textId="77777777" w:rsidR="005E57E3" w:rsidRDefault="005E57E3">
      <w:pPr>
        <w:pStyle w:val="Index1"/>
        <w:tabs>
          <w:tab w:val="right" w:leader="dot" w:pos="9350"/>
        </w:tabs>
        <w:rPr>
          <w:noProof/>
        </w:rPr>
      </w:pPr>
      <w:r>
        <w:rPr>
          <w:noProof/>
        </w:rPr>
        <w:t>Patient Testing: Record a Direct Antiglobulin Test</w:t>
      </w:r>
      <w:r>
        <w:rPr>
          <w:noProof/>
        </w:rPr>
        <w:tab/>
        <w:t>304</w:t>
      </w:r>
    </w:p>
    <w:p w14:paraId="1773A058" w14:textId="77777777" w:rsidR="005E57E3" w:rsidRDefault="005E57E3">
      <w:pPr>
        <w:pStyle w:val="Index1"/>
        <w:tabs>
          <w:tab w:val="right" w:leader="dot" w:pos="9350"/>
        </w:tabs>
        <w:rPr>
          <w:noProof/>
        </w:rPr>
      </w:pPr>
      <w:r>
        <w:rPr>
          <w:noProof/>
        </w:rPr>
        <w:t>Patient Testing: Record a Patient ABO/Rh</w:t>
      </w:r>
      <w:r>
        <w:rPr>
          <w:noProof/>
        </w:rPr>
        <w:tab/>
        <w:t>299</w:t>
      </w:r>
    </w:p>
    <w:p w14:paraId="49DB0FBC" w14:textId="77777777" w:rsidR="005E57E3" w:rsidRDefault="005E57E3">
      <w:pPr>
        <w:pStyle w:val="Index1"/>
        <w:tabs>
          <w:tab w:val="right" w:leader="dot" w:pos="9350"/>
        </w:tabs>
        <w:rPr>
          <w:noProof/>
        </w:rPr>
      </w:pPr>
      <w:r>
        <w:rPr>
          <w:noProof/>
        </w:rPr>
        <w:t>Patient Testing: Record a Patient Antibody Screen</w:t>
      </w:r>
      <w:r>
        <w:rPr>
          <w:noProof/>
        </w:rPr>
        <w:tab/>
        <w:t>302</w:t>
      </w:r>
    </w:p>
    <w:p w14:paraId="73F768E0" w14:textId="77777777" w:rsidR="005E57E3" w:rsidRDefault="005E57E3">
      <w:pPr>
        <w:pStyle w:val="Index1"/>
        <w:tabs>
          <w:tab w:val="right" w:leader="dot" w:pos="9350"/>
        </w:tabs>
        <w:rPr>
          <w:noProof/>
        </w:rPr>
      </w:pPr>
      <w:r>
        <w:rPr>
          <w:noProof/>
        </w:rPr>
        <w:t>Patient Testing: Record a Patient Antigen Typing</w:t>
      </w:r>
      <w:r>
        <w:rPr>
          <w:noProof/>
        </w:rPr>
        <w:tab/>
        <w:t>313</w:t>
      </w:r>
    </w:p>
    <w:p w14:paraId="757F4173" w14:textId="77777777" w:rsidR="005E57E3" w:rsidRDefault="005E57E3">
      <w:pPr>
        <w:pStyle w:val="Index1"/>
        <w:tabs>
          <w:tab w:val="right" w:leader="dot" w:pos="9350"/>
        </w:tabs>
        <w:rPr>
          <w:noProof/>
        </w:rPr>
      </w:pPr>
      <w:r>
        <w:rPr>
          <w:noProof/>
        </w:rPr>
        <w:t>Patient Testing: Record a Transfusion Reaction Workup</w:t>
      </w:r>
      <w:r>
        <w:rPr>
          <w:noProof/>
        </w:rPr>
        <w:tab/>
        <w:t>322</w:t>
      </w:r>
    </w:p>
    <w:p w14:paraId="2DFEBE28" w14:textId="77777777" w:rsidR="005E57E3" w:rsidRDefault="005E57E3">
      <w:pPr>
        <w:pStyle w:val="Index1"/>
        <w:tabs>
          <w:tab w:val="right" w:leader="dot" w:pos="9350"/>
        </w:tabs>
        <w:rPr>
          <w:noProof/>
        </w:rPr>
      </w:pPr>
      <w:r>
        <w:rPr>
          <w:noProof/>
        </w:rPr>
        <w:t>Post-Transfusion Information</w:t>
      </w:r>
      <w:r>
        <w:rPr>
          <w:noProof/>
        </w:rPr>
        <w:tab/>
        <w:t>343</w:t>
      </w:r>
    </w:p>
    <w:p w14:paraId="20D1D53B" w14:textId="77777777" w:rsidR="005E57E3" w:rsidRDefault="005E57E3">
      <w:pPr>
        <w:pStyle w:val="Index1"/>
        <w:tabs>
          <w:tab w:val="right" w:leader="dot" w:pos="9350"/>
        </w:tabs>
        <w:rPr>
          <w:noProof/>
        </w:rPr>
      </w:pPr>
      <w:r>
        <w:rPr>
          <w:noProof/>
        </w:rPr>
        <w:t>Print Backup Caution Tags and Blood Transfusion Record Forms</w:t>
      </w:r>
      <w:r>
        <w:rPr>
          <w:noProof/>
        </w:rPr>
        <w:tab/>
        <w:t>237</w:t>
      </w:r>
    </w:p>
    <w:p w14:paraId="2CEE03F6" w14:textId="77777777" w:rsidR="005E57E3" w:rsidRDefault="005E57E3">
      <w:pPr>
        <w:pStyle w:val="Index1"/>
        <w:tabs>
          <w:tab w:val="right" w:leader="dot" w:pos="9350"/>
        </w:tabs>
        <w:rPr>
          <w:noProof/>
        </w:rPr>
      </w:pPr>
      <w:r>
        <w:rPr>
          <w:noProof/>
        </w:rPr>
        <w:t>Problems?</w:t>
      </w:r>
      <w:r>
        <w:rPr>
          <w:noProof/>
        </w:rPr>
        <w:tab/>
        <w:t>11</w:t>
      </w:r>
    </w:p>
    <w:p w14:paraId="421AD1CE" w14:textId="77777777" w:rsidR="005E57E3" w:rsidRDefault="005E57E3">
      <w:pPr>
        <w:pStyle w:val="Index1"/>
        <w:tabs>
          <w:tab w:val="right" w:leader="dot" w:pos="9350"/>
        </w:tabs>
        <w:rPr>
          <w:noProof/>
        </w:rPr>
      </w:pPr>
      <w:r w:rsidRPr="002A231E">
        <w:rPr>
          <w:i/>
          <w:iCs/>
          <w:noProof/>
        </w:rPr>
        <w:lastRenderedPageBreak/>
        <w:t>Processing an Emergency Transfusion Order</w:t>
      </w:r>
      <w:r>
        <w:rPr>
          <w:noProof/>
        </w:rPr>
        <w:tab/>
        <w:t>269</w:t>
      </w:r>
    </w:p>
    <w:p w14:paraId="19EF92B9" w14:textId="77777777" w:rsidR="005E57E3" w:rsidRDefault="005E57E3">
      <w:pPr>
        <w:pStyle w:val="Index1"/>
        <w:tabs>
          <w:tab w:val="right" w:leader="dot" w:pos="9350"/>
        </w:tabs>
        <w:rPr>
          <w:noProof/>
        </w:rPr>
      </w:pPr>
      <w:r>
        <w:rPr>
          <w:noProof/>
        </w:rPr>
        <w:t>Processing Orders</w:t>
      </w:r>
      <w:r>
        <w:rPr>
          <w:noProof/>
        </w:rPr>
        <w:tab/>
        <w:t>255</w:t>
      </w:r>
    </w:p>
    <w:p w14:paraId="16DC703E" w14:textId="77777777" w:rsidR="005E57E3" w:rsidRDefault="005E57E3">
      <w:pPr>
        <w:pStyle w:val="Index1"/>
        <w:tabs>
          <w:tab w:val="right" w:leader="dot" w:pos="9350"/>
        </w:tabs>
        <w:rPr>
          <w:noProof/>
        </w:rPr>
      </w:pPr>
      <w:r>
        <w:rPr>
          <w:noProof/>
        </w:rPr>
        <w:t>Product Modifications</w:t>
      </w:r>
      <w:r>
        <w:rPr>
          <w:noProof/>
        </w:rPr>
        <w:tab/>
        <w:t>74</w:t>
      </w:r>
    </w:p>
    <w:p w14:paraId="21CAB45F" w14:textId="77777777" w:rsidR="005E57E3" w:rsidRDefault="005E57E3">
      <w:pPr>
        <w:pStyle w:val="Index1"/>
        <w:tabs>
          <w:tab w:val="right" w:leader="dot" w:pos="9350"/>
        </w:tabs>
        <w:rPr>
          <w:noProof/>
        </w:rPr>
      </w:pPr>
      <w:r>
        <w:rPr>
          <w:noProof/>
        </w:rPr>
        <w:t>Prolonged Transfusion Time Report</w:t>
      </w:r>
      <w:r>
        <w:rPr>
          <w:noProof/>
        </w:rPr>
        <w:tab/>
        <w:t>399</w:t>
      </w:r>
    </w:p>
    <w:p w14:paraId="78765CAD"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Q</w:t>
      </w:r>
    </w:p>
    <w:p w14:paraId="6FCE5394" w14:textId="77777777" w:rsidR="005E57E3" w:rsidRDefault="005E57E3">
      <w:pPr>
        <w:pStyle w:val="Index1"/>
        <w:tabs>
          <w:tab w:val="right" w:leader="dot" w:pos="9350"/>
        </w:tabs>
        <w:rPr>
          <w:noProof/>
        </w:rPr>
      </w:pPr>
      <w:r>
        <w:rPr>
          <w:noProof/>
        </w:rPr>
        <w:t>Quick K Calculator</w:t>
      </w:r>
      <w:r>
        <w:rPr>
          <w:noProof/>
        </w:rPr>
        <w:tab/>
        <w:t>128</w:t>
      </w:r>
    </w:p>
    <w:p w14:paraId="596942FC"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R</w:t>
      </w:r>
    </w:p>
    <w:p w14:paraId="363B9EE1" w14:textId="77777777" w:rsidR="005E57E3" w:rsidRDefault="005E57E3">
      <w:pPr>
        <w:pStyle w:val="Index1"/>
        <w:tabs>
          <w:tab w:val="right" w:leader="dot" w:pos="9350"/>
        </w:tabs>
        <w:rPr>
          <w:noProof/>
        </w:rPr>
      </w:pPr>
      <w:r>
        <w:rPr>
          <w:noProof/>
        </w:rPr>
        <w:t>Reagents</w:t>
      </w:r>
      <w:r>
        <w:rPr>
          <w:noProof/>
        </w:rPr>
        <w:tab/>
        <w:t>108</w:t>
      </w:r>
    </w:p>
    <w:p w14:paraId="284AF5B5" w14:textId="77777777" w:rsidR="005E57E3" w:rsidRDefault="005E57E3">
      <w:pPr>
        <w:pStyle w:val="Index1"/>
        <w:tabs>
          <w:tab w:val="right" w:leader="dot" w:pos="9350"/>
        </w:tabs>
        <w:rPr>
          <w:noProof/>
        </w:rPr>
      </w:pPr>
      <w:r>
        <w:rPr>
          <w:noProof/>
        </w:rPr>
        <w:t>Reagents and Supplies</w:t>
      </w:r>
      <w:r>
        <w:rPr>
          <w:noProof/>
        </w:rPr>
        <w:tab/>
        <w:t>100</w:t>
      </w:r>
    </w:p>
    <w:p w14:paraId="5EC0DDAB" w14:textId="77777777" w:rsidR="005E57E3" w:rsidRDefault="005E57E3">
      <w:pPr>
        <w:pStyle w:val="Index1"/>
        <w:tabs>
          <w:tab w:val="right" w:leader="dot" w:pos="9350"/>
        </w:tabs>
        <w:rPr>
          <w:noProof/>
        </w:rPr>
      </w:pPr>
      <w:r>
        <w:rPr>
          <w:noProof/>
        </w:rPr>
        <w:t>Recommended Report Usage</w:t>
      </w:r>
      <w:r>
        <w:rPr>
          <w:noProof/>
        </w:rPr>
        <w:tab/>
        <w:t>535</w:t>
      </w:r>
    </w:p>
    <w:p w14:paraId="2804DCD0" w14:textId="77777777" w:rsidR="005E57E3" w:rsidRDefault="005E57E3">
      <w:pPr>
        <w:pStyle w:val="Index1"/>
        <w:tabs>
          <w:tab w:val="right" w:leader="dot" w:pos="9350"/>
        </w:tabs>
        <w:rPr>
          <w:noProof/>
        </w:rPr>
      </w:pPr>
      <w:r>
        <w:rPr>
          <w:noProof/>
        </w:rPr>
        <w:t>References</w:t>
      </w:r>
      <w:r>
        <w:rPr>
          <w:noProof/>
        </w:rPr>
        <w:tab/>
        <w:t>413</w:t>
      </w:r>
    </w:p>
    <w:p w14:paraId="5D97DC6C" w14:textId="77777777" w:rsidR="005E57E3" w:rsidRDefault="005E57E3">
      <w:pPr>
        <w:pStyle w:val="Index1"/>
        <w:tabs>
          <w:tab w:val="right" w:leader="dot" w:pos="9350"/>
        </w:tabs>
        <w:rPr>
          <w:noProof/>
        </w:rPr>
      </w:pPr>
      <w:r>
        <w:rPr>
          <w:noProof/>
        </w:rPr>
        <w:t>Related Manuals and Materials</w:t>
      </w:r>
      <w:r>
        <w:rPr>
          <w:noProof/>
        </w:rPr>
        <w:tab/>
        <w:t>2</w:t>
      </w:r>
    </w:p>
    <w:p w14:paraId="25EFF24E" w14:textId="77777777" w:rsidR="005E57E3" w:rsidRDefault="005E57E3">
      <w:pPr>
        <w:pStyle w:val="Index1"/>
        <w:tabs>
          <w:tab w:val="right" w:leader="dot" w:pos="9350"/>
        </w:tabs>
        <w:rPr>
          <w:noProof/>
        </w:rPr>
      </w:pPr>
      <w:r>
        <w:rPr>
          <w:noProof/>
        </w:rPr>
        <w:t>Remote Desktop Connections Screen Size</w:t>
      </w:r>
      <w:r>
        <w:rPr>
          <w:noProof/>
        </w:rPr>
        <w:tab/>
        <w:t>38</w:t>
      </w:r>
    </w:p>
    <w:p w14:paraId="012F505D" w14:textId="77777777" w:rsidR="005E57E3" w:rsidRDefault="005E57E3">
      <w:pPr>
        <w:pStyle w:val="Index1"/>
        <w:tabs>
          <w:tab w:val="right" w:leader="dot" w:pos="9350"/>
        </w:tabs>
        <w:rPr>
          <w:noProof/>
        </w:rPr>
      </w:pPr>
      <w:r>
        <w:rPr>
          <w:noProof/>
        </w:rPr>
        <w:t>Restore VistA Connection</w:t>
      </w:r>
      <w:r>
        <w:rPr>
          <w:noProof/>
        </w:rPr>
        <w:tab/>
        <w:t>36</w:t>
      </w:r>
    </w:p>
    <w:p w14:paraId="0F2AB1D7"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S</w:t>
      </w:r>
    </w:p>
    <w:p w14:paraId="73F54578" w14:textId="77777777" w:rsidR="005E57E3" w:rsidRDefault="005E57E3">
      <w:pPr>
        <w:pStyle w:val="Index1"/>
        <w:tabs>
          <w:tab w:val="right" w:leader="dot" w:pos="9350"/>
        </w:tabs>
        <w:rPr>
          <w:noProof/>
        </w:rPr>
      </w:pPr>
      <w:r>
        <w:rPr>
          <w:noProof/>
        </w:rPr>
        <w:t>Screen Display</w:t>
      </w:r>
      <w:r>
        <w:rPr>
          <w:noProof/>
        </w:rPr>
        <w:tab/>
        <w:t>40</w:t>
      </w:r>
    </w:p>
    <w:p w14:paraId="2376F30F" w14:textId="77777777" w:rsidR="005E57E3" w:rsidRDefault="005E57E3">
      <w:pPr>
        <w:pStyle w:val="Index1"/>
        <w:tabs>
          <w:tab w:val="right" w:leader="dot" w:pos="9350"/>
        </w:tabs>
        <w:rPr>
          <w:noProof/>
        </w:rPr>
      </w:pPr>
      <w:r>
        <w:rPr>
          <w:noProof/>
        </w:rPr>
        <w:t>Search Tab</w:t>
      </w:r>
      <w:r>
        <w:rPr>
          <w:noProof/>
        </w:rPr>
        <w:tab/>
        <w:t>27</w:t>
      </w:r>
    </w:p>
    <w:p w14:paraId="25575C3E" w14:textId="77777777" w:rsidR="005E57E3" w:rsidRDefault="005E57E3">
      <w:pPr>
        <w:pStyle w:val="Index1"/>
        <w:tabs>
          <w:tab w:val="right" w:leader="dot" w:pos="9350"/>
        </w:tabs>
        <w:rPr>
          <w:noProof/>
        </w:rPr>
      </w:pPr>
      <w:r>
        <w:rPr>
          <w:noProof/>
        </w:rPr>
        <w:t>Searching the Database</w:t>
      </w:r>
      <w:r>
        <w:rPr>
          <w:noProof/>
        </w:rPr>
        <w:tab/>
        <w:t>16</w:t>
      </w:r>
    </w:p>
    <w:p w14:paraId="237A8F8A" w14:textId="77777777" w:rsidR="005E57E3" w:rsidRDefault="005E57E3">
      <w:pPr>
        <w:pStyle w:val="Index1"/>
        <w:tabs>
          <w:tab w:val="right" w:leader="dot" w:pos="9350"/>
        </w:tabs>
        <w:rPr>
          <w:noProof/>
        </w:rPr>
      </w:pPr>
      <w:r>
        <w:rPr>
          <w:noProof/>
        </w:rPr>
        <w:t>Security</w:t>
      </w:r>
      <w:r>
        <w:rPr>
          <w:noProof/>
        </w:rPr>
        <w:tab/>
        <w:t>4</w:t>
      </w:r>
    </w:p>
    <w:p w14:paraId="2FE172E2" w14:textId="77777777" w:rsidR="005E57E3" w:rsidRDefault="005E57E3">
      <w:pPr>
        <w:pStyle w:val="Index1"/>
        <w:tabs>
          <w:tab w:val="right" w:leader="dot" w:pos="9350"/>
        </w:tabs>
        <w:rPr>
          <w:noProof/>
        </w:rPr>
      </w:pPr>
      <w:r w:rsidRPr="002A231E">
        <w:rPr>
          <w:b/>
          <w:noProof/>
        </w:rPr>
        <w:t>Service Desk</w:t>
      </w:r>
      <w:r>
        <w:rPr>
          <w:noProof/>
        </w:rPr>
        <w:tab/>
        <w:t>11</w:t>
      </w:r>
    </w:p>
    <w:p w14:paraId="77010218" w14:textId="77777777" w:rsidR="005E57E3" w:rsidRDefault="005E57E3">
      <w:pPr>
        <w:pStyle w:val="Index1"/>
        <w:tabs>
          <w:tab w:val="right" w:leader="dot" w:pos="9350"/>
        </w:tabs>
        <w:rPr>
          <w:noProof/>
        </w:rPr>
      </w:pPr>
      <w:r>
        <w:rPr>
          <w:noProof/>
        </w:rPr>
        <w:t>Setting Transfusion Parameters</w:t>
      </w:r>
      <w:r>
        <w:rPr>
          <w:noProof/>
        </w:rPr>
        <w:tab/>
        <w:t>90</w:t>
      </w:r>
    </w:p>
    <w:p w14:paraId="7CBA432F" w14:textId="77777777" w:rsidR="005E57E3" w:rsidRDefault="005E57E3">
      <w:pPr>
        <w:pStyle w:val="Index1"/>
        <w:tabs>
          <w:tab w:val="right" w:leader="dot" w:pos="9350"/>
        </w:tabs>
        <w:rPr>
          <w:noProof/>
        </w:rPr>
      </w:pPr>
      <w:r>
        <w:rPr>
          <w:noProof/>
        </w:rPr>
        <w:t>Shipments</w:t>
      </w:r>
      <w:r>
        <w:rPr>
          <w:noProof/>
        </w:rPr>
        <w:tab/>
        <w:t>127</w:t>
      </w:r>
    </w:p>
    <w:p w14:paraId="10B054A5" w14:textId="77777777" w:rsidR="005E57E3" w:rsidRDefault="005E57E3">
      <w:pPr>
        <w:pStyle w:val="Index1"/>
        <w:tabs>
          <w:tab w:val="right" w:leader="dot" w:pos="9350"/>
        </w:tabs>
        <w:rPr>
          <w:noProof/>
        </w:rPr>
      </w:pPr>
      <w:r>
        <w:rPr>
          <w:noProof/>
        </w:rPr>
        <w:t>Software Basics</w:t>
      </w:r>
      <w:r>
        <w:rPr>
          <w:noProof/>
        </w:rPr>
        <w:tab/>
        <w:t>13</w:t>
      </w:r>
    </w:p>
    <w:p w14:paraId="57ABE713" w14:textId="77777777" w:rsidR="005E57E3" w:rsidRDefault="005E57E3">
      <w:pPr>
        <w:pStyle w:val="Index1"/>
        <w:tabs>
          <w:tab w:val="right" w:leader="dot" w:pos="9350"/>
        </w:tabs>
        <w:rPr>
          <w:noProof/>
        </w:rPr>
      </w:pPr>
      <w:r>
        <w:rPr>
          <w:noProof/>
        </w:rPr>
        <w:t>Sound</w:t>
      </w:r>
      <w:r>
        <w:rPr>
          <w:noProof/>
        </w:rPr>
        <w:tab/>
        <w:t>41</w:t>
      </w:r>
    </w:p>
    <w:p w14:paraId="78CCB963" w14:textId="77777777" w:rsidR="005E57E3" w:rsidRDefault="005E57E3">
      <w:pPr>
        <w:pStyle w:val="Index1"/>
        <w:tabs>
          <w:tab w:val="right" w:leader="dot" w:pos="9350"/>
        </w:tabs>
        <w:rPr>
          <w:noProof/>
        </w:rPr>
      </w:pPr>
      <w:r>
        <w:rPr>
          <w:noProof/>
        </w:rPr>
        <w:t>Special Instructions &amp; Transfusion Requirements: Enter and Remove Special Instructions</w:t>
      </w:r>
      <w:r>
        <w:rPr>
          <w:noProof/>
        </w:rPr>
        <w:tab/>
        <w:t>340</w:t>
      </w:r>
    </w:p>
    <w:p w14:paraId="60F103F9" w14:textId="77777777" w:rsidR="005E57E3" w:rsidRDefault="005E57E3">
      <w:pPr>
        <w:pStyle w:val="Index1"/>
        <w:tabs>
          <w:tab w:val="right" w:leader="dot" w:pos="9350"/>
        </w:tabs>
        <w:rPr>
          <w:noProof/>
        </w:rPr>
      </w:pPr>
      <w:r>
        <w:rPr>
          <w:noProof/>
        </w:rPr>
        <w:t>Supplemental Information</w:t>
      </w:r>
      <w:r>
        <w:rPr>
          <w:noProof/>
        </w:rPr>
        <w:tab/>
        <w:t>4</w:t>
      </w:r>
    </w:p>
    <w:p w14:paraId="19324EC9" w14:textId="77777777" w:rsidR="005E57E3" w:rsidRDefault="005E57E3">
      <w:pPr>
        <w:pStyle w:val="Index1"/>
        <w:tabs>
          <w:tab w:val="right" w:leader="dot" w:pos="9350"/>
        </w:tabs>
        <w:rPr>
          <w:noProof/>
        </w:rPr>
      </w:pPr>
      <w:r>
        <w:rPr>
          <w:noProof/>
        </w:rPr>
        <w:t>Supplies</w:t>
      </w:r>
      <w:r>
        <w:rPr>
          <w:noProof/>
        </w:rPr>
        <w:tab/>
        <w:t>117</w:t>
      </w:r>
    </w:p>
    <w:p w14:paraId="3A053B01" w14:textId="77777777" w:rsidR="005E57E3" w:rsidRDefault="005E57E3">
      <w:pPr>
        <w:pStyle w:val="Index1"/>
        <w:tabs>
          <w:tab w:val="right" w:leader="dot" w:pos="9350"/>
        </w:tabs>
        <w:rPr>
          <w:noProof/>
        </w:rPr>
      </w:pPr>
      <w:r>
        <w:rPr>
          <w:noProof/>
        </w:rPr>
        <w:t>System Responses to Active Transfusion Requirements in Select Unit and Issue Blood Component</w:t>
      </w:r>
      <w:r>
        <w:rPr>
          <w:noProof/>
        </w:rPr>
        <w:tab/>
        <w:t>539</w:t>
      </w:r>
    </w:p>
    <w:p w14:paraId="75B561DD" w14:textId="77777777" w:rsidR="005E57E3" w:rsidRDefault="005E57E3">
      <w:pPr>
        <w:pStyle w:val="Index1"/>
        <w:tabs>
          <w:tab w:val="right" w:leader="dot" w:pos="9350"/>
        </w:tabs>
        <w:rPr>
          <w:noProof/>
        </w:rPr>
      </w:pPr>
      <w:r>
        <w:rPr>
          <w:noProof/>
        </w:rPr>
        <w:t>System Validation</w:t>
      </w:r>
    </w:p>
    <w:p w14:paraId="4A784695" w14:textId="77777777" w:rsidR="005E57E3" w:rsidRDefault="005E57E3">
      <w:pPr>
        <w:pStyle w:val="Index2"/>
        <w:tabs>
          <w:tab w:val="right" w:leader="dot" w:pos="9350"/>
        </w:tabs>
        <w:rPr>
          <w:noProof/>
        </w:rPr>
      </w:pPr>
      <w:r w:rsidRPr="002A231E">
        <w:rPr>
          <w:noProof/>
          <w:snapToGrid w:val="0"/>
        </w:rPr>
        <w:t>Antibodies</w:t>
      </w:r>
      <w:r>
        <w:rPr>
          <w:noProof/>
        </w:rPr>
        <w:tab/>
        <w:t>517</w:t>
      </w:r>
    </w:p>
    <w:p w14:paraId="0338A02B" w14:textId="77777777" w:rsidR="005E57E3" w:rsidRDefault="005E57E3">
      <w:pPr>
        <w:pStyle w:val="Index2"/>
        <w:tabs>
          <w:tab w:val="right" w:leader="dot" w:pos="9350"/>
        </w:tabs>
        <w:rPr>
          <w:noProof/>
        </w:rPr>
      </w:pPr>
      <w:r>
        <w:rPr>
          <w:noProof/>
        </w:rPr>
        <w:t>Blood Products</w:t>
      </w:r>
      <w:r>
        <w:rPr>
          <w:noProof/>
        </w:rPr>
        <w:tab/>
        <w:t>511</w:t>
      </w:r>
    </w:p>
    <w:p w14:paraId="2E654386" w14:textId="77777777" w:rsidR="005E57E3" w:rsidRDefault="005E57E3">
      <w:pPr>
        <w:pStyle w:val="Index2"/>
        <w:tabs>
          <w:tab w:val="right" w:leader="dot" w:pos="9350"/>
        </w:tabs>
        <w:rPr>
          <w:noProof/>
        </w:rPr>
      </w:pPr>
      <w:r w:rsidRPr="002A231E">
        <w:rPr>
          <w:noProof/>
          <w:snapToGrid w:val="0"/>
        </w:rPr>
        <w:t xml:space="preserve">Canned </w:t>
      </w:r>
      <w:r>
        <w:rPr>
          <w:noProof/>
        </w:rPr>
        <w:t>Comments</w:t>
      </w:r>
      <w:r>
        <w:rPr>
          <w:noProof/>
        </w:rPr>
        <w:tab/>
        <w:t>516</w:t>
      </w:r>
    </w:p>
    <w:p w14:paraId="7DDC4478" w14:textId="77777777" w:rsidR="005E57E3" w:rsidRDefault="005E57E3">
      <w:pPr>
        <w:pStyle w:val="Index2"/>
        <w:tabs>
          <w:tab w:val="right" w:leader="dot" w:pos="9350"/>
        </w:tabs>
        <w:rPr>
          <w:noProof/>
        </w:rPr>
      </w:pPr>
      <w:r>
        <w:rPr>
          <w:noProof/>
        </w:rPr>
        <w:t>Component Classes</w:t>
      </w:r>
      <w:r>
        <w:rPr>
          <w:noProof/>
        </w:rPr>
        <w:tab/>
        <w:t>513</w:t>
      </w:r>
    </w:p>
    <w:p w14:paraId="063BA9CE" w14:textId="77777777" w:rsidR="005E57E3" w:rsidRDefault="005E57E3">
      <w:pPr>
        <w:pStyle w:val="Index2"/>
        <w:tabs>
          <w:tab w:val="right" w:leader="dot" w:pos="9350"/>
        </w:tabs>
        <w:rPr>
          <w:noProof/>
        </w:rPr>
      </w:pPr>
      <w:r>
        <w:rPr>
          <w:noProof/>
        </w:rPr>
        <w:t>Configure Daily QC: Full Service</w:t>
      </w:r>
      <w:r>
        <w:rPr>
          <w:noProof/>
        </w:rPr>
        <w:tab/>
        <w:t>508</w:t>
      </w:r>
    </w:p>
    <w:p w14:paraId="39EE0134" w14:textId="77777777" w:rsidR="005E57E3" w:rsidRDefault="005E57E3">
      <w:pPr>
        <w:pStyle w:val="Index2"/>
        <w:tabs>
          <w:tab w:val="right" w:leader="dot" w:pos="9350"/>
        </w:tabs>
        <w:rPr>
          <w:noProof/>
        </w:rPr>
      </w:pPr>
      <w:r>
        <w:rPr>
          <w:noProof/>
        </w:rPr>
        <w:t>Configure Division</w:t>
      </w:r>
      <w:r>
        <w:rPr>
          <w:noProof/>
        </w:rPr>
        <w:tab/>
        <w:t>505</w:t>
      </w:r>
    </w:p>
    <w:p w14:paraId="7AB0F8A9" w14:textId="77777777" w:rsidR="005E57E3" w:rsidRDefault="005E57E3">
      <w:pPr>
        <w:pStyle w:val="Index2"/>
        <w:tabs>
          <w:tab w:val="right" w:leader="dot" w:pos="9350"/>
        </w:tabs>
        <w:rPr>
          <w:noProof/>
        </w:rPr>
      </w:pPr>
      <w:r>
        <w:rPr>
          <w:noProof/>
        </w:rPr>
        <w:t>Configure Testing: Full Service</w:t>
      </w:r>
      <w:r>
        <w:rPr>
          <w:noProof/>
        </w:rPr>
        <w:tab/>
        <w:t>505</w:t>
      </w:r>
    </w:p>
    <w:p w14:paraId="72406440" w14:textId="77777777" w:rsidR="005E57E3" w:rsidRDefault="005E57E3">
      <w:pPr>
        <w:pStyle w:val="Index2"/>
        <w:tabs>
          <w:tab w:val="right" w:leader="dot" w:pos="9350"/>
        </w:tabs>
        <w:rPr>
          <w:noProof/>
        </w:rPr>
      </w:pPr>
      <w:r w:rsidRPr="002A231E">
        <w:rPr>
          <w:noProof/>
          <w:snapToGrid w:val="0"/>
        </w:rPr>
        <w:t>Edit Invoice Text</w:t>
      </w:r>
      <w:r>
        <w:rPr>
          <w:noProof/>
        </w:rPr>
        <w:tab/>
        <w:t>516</w:t>
      </w:r>
    </w:p>
    <w:p w14:paraId="2B52EB01" w14:textId="77777777" w:rsidR="005E57E3" w:rsidRDefault="005E57E3">
      <w:pPr>
        <w:pStyle w:val="Index2"/>
        <w:tabs>
          <w:tab w:val="right" w:leader="dot" w:pos="9350"/>
        </w:tabs>
        <w:rPr>
          <w:noProof/>
        </w:rPr>
      </w:pPr>
      <w:r>
        <w:rPr>
          <w:noProof/>
        </w:rPr>
        <w:t>Installation Qualification</w:t>
      </w:r>
      <w:r>
        <w:rPr>
          <w:noProof/>
        </w:rPr>
        <w:tab/>
        <w:t>503</w:t>
      </w:r>
    </w:p>
    <w:p w14:paraId="270E53AA" w14:textId="77777777" w:rsidR="005E57E3" w:rsidRDefault="005E57E3">
      <w:pPr>
        <w:pStyle w:val="Index2"/>
        <w:tabs>
          <w:tab w:val="right" w:leader="dot" w:pos="9350"/>
        </w:tabs>
        <w:rPr>
          <w:noProof/>
        </w:rPr>
      </w:pPr>
      <w:r>
        <w:rPr>
          <w:noProof/>
        </w:rPr>
        <w:t>Introduction</w:t>
      </w:r>
      <w:r>
        <w:rPr>
          <w:noProof/>
        </w:rPr>
        <w:tab/>
        <w:t>503</w:t>
      </w:r>
    </w:p>
    <w:p w14:paraId="6BAC737A" w14:textId="77777777" w:rsidR="005E57E3" w:rsidRDefault="005E57E3">
      <w:pPr>
        <w:pStyle w:val="Index2"/>
        <w:tabs>
          <w:tab w:val="right" w:leader="dot" w:pos="9350"/>
        </w:tabs>
        <w:rPr>
          <w:noProof/>
        </w:rPr>
      </w:pPr>
      <w:r>
        <w:rPr>
          <w:noProof/>
        </w:rPr>
        <w:t>Local Facilities</w:t>
      </w:r>
      <w:r>
        <w:rPr>
          <w:noProof/>
        </w:rPr>
        <w:tab/>
        <w:t>512</w:t>
      </w:r>
    </w:p>
    <w:p w14:paraId="51D6FD8A" w14:textId="77777777" w:rsidR="005E57E3" w:rsidRDefault="005E57E3">
      <w:pPr>
        <w:pStyle w:val="Index2"/>
        <w:tabs>
          <w:tab w:val="right" w:leader="dot" w:pos="9350"/>
        </w:tabs>
        <w:rPr>
          <w:noProof/>
        </w:rPr>
      </w:pPr>
      <w:r>
        <w:rPr>
          <w:noProof/>
        </w:rPr>
        <w:t>Log In Reagents: Full Service</w:t>
      </w:r>
      <w:r>
        <w:rPr>
          <w:noProof/>
        </w:rPr>
        <w:tab/>
        <w:t>510</w:t>
      </w:r>
    </w:p>
    <w:p w14:paraId="3FC97877" w14:textId="77777777" w:rsidR="005E57E3" w:rsidRDefault="005E57E3">
      <w:pPr>
        <w:pStyle w:val="Index2"/>
        <w:tabs>
          <w:tab w:val="right" w:leader="dot" w:pos="9350"/>
        </w:tabs>
        <w:rPr>
          <w:noProof/>
        </w:rPr>
      </w:pPr>
      <w:r>
        <w:rPr>
          <w:noProof/>
        </w:rPr>
        <w:t>Maintain Minimum Levels: Full Service</w:t>
      </w:r>
      <w:r>
        <w:rPr>
          <w:noProof/>
        </w:rPr>
        <w:tab/>
        <w:t>509</w:t>
      </w:r>
    </w:p>
    <w:p w14:paraId="2F1F4533" w14:textId="77777777" w:rsidR="005E57E3" w:rsidRDefault="005E57E3">
      <w:pPr>
        <w:pStyle w:val="Index2"/>
        <w:tabs>
          <w:tab w:val="right" w:leader="dot" w:pos="9350"/>
        </w:tabs>
        <w:rPr>
          <w:noProof/>
        </w:rPr>
      </w:pPr>
      <w:r>
        <w:rPr>
          <w:noProof/>
        </w:rPr>
        <w:t>MSBOS</w:t>
      </w:r>
      <w:r>
        <w:rPr>
          <w:noProof/>
        </w:rPr>
        <w:tab/>
        <w:t>516</w:t>
      </w:r>
    </w:p>
    <w:p w14:paraId="5DAE7271" w14:textId="77777777" w:rsidR="005E57E3" w:rsidRDefault="005E57E3">
      <w:pPr>
        <w:pStyle w:val="Index2"/>
        <w:tabs>
          <w:tab w:val="right" w:leader="dot" w:pos="9350"/>
        </w:tabs>
        <w:rPr>
          <w:noProof/>
        </w:rPr>
      </w:pPr>
      <w:r>
        <w:rPr>
          <w:noProof/>
        </w:rPr>
        <w:t>Operational Qualification</w:t>
      </w:r>
      <w:r>
        <w:rPr>
          <w:noProof/>
        </w:rPr>
        <w:tab/>
        <w:t>503</w:t>
      </w:r>
    </w:p>
    <w:p w14:paraId="08694CBE" w14:textId="77777777" w:rsidR="005E57E3" w:rsidRDefault="005E57E3">
      <w:pPr>
        <w:pStyle w:val="Index2"/>
        <w:tabs>
          <w:tab w:val="right" w:leader="dot" w:pos="9350"/>
        </w:tabs>
        <w:rPr>
          <w:noProof/>
        </w:rPr>
      </w:pPr>
      <w:r>
        <w:rPr>
          <w:noProof/>
        </w:rPr>
        <w:t>Order Alerts</w:t>
      </w:r>
      <w:r>
        <w:rPr>
          <w:noProof/>
        </w:rPr>
        <w:tab/>
        <w:t>507</w:t>
      </w:r>
    </w:p>
    <w:p w14:paraId="4AB1D9E2" w14:textId="77777777" w:rsidR="005E57E3" w:rsidRDefault="005E57E3">
      <w:pPr>
        <w:pStyle w:val="Index2"/>
        <w:tabs>
          <w:tab w:val="right" w:leader="dot" w:pos="9350"/>
        </w:tabs>
        <w:rPr>
          <w:noProof/>
        </w:rPr>
      </w:pPr>
      <w:r>
        <w:rPr>
          <w:noProof/>
        </w:rPr>
        <w:t>Performance Qualification</w:t>
      </w:r>
      <w:r>
        <w:rPr>
          <w:noProof/>
        </w:rPr>
        <w:tab/>
        <w:t>504</w:t>
      </w:r>
    </w:p>
    <w:p w14:paraId="24008A2C" w14:textId="77777777" w:rsidR="005E57E3" w:rsidRDefault="005E57E3">
      <w:pPr>
        <w:pStyle w:val="Index2"/>
        <w:tabs>
          <w:tab w:val="right" w:leader="dot" w:pos="9350"/>
        </w:tabs>
        <w:rPr>
          <w:noProof/>
        </w:rPr>
      </w:pPr>
      <w:r>
        <w:rPr>
          <w:noProof/>
        </w:rPr>
        <w:t>Prerequisites</w:t>
      </w:r>
      <w:r>
        <w:rPr>
          <w:noProof/>
        </w:rPr>
        <w:tab/>
        <w:t>504</w:t>
      </w:r>
    </w:p>
    <w:p w14:paraId="43C17002" w14:textId="77777777" w:rsidR="005E57E3" w:rsidRDefault="005E57E3">
      <w:pPr>
        <w:pStyle w:val="Index2"/>
        <w:tabs>
          <w:tab w:val="right" w:leader="dot" w:pos="9350"/>
        </w:tabs>
        <w:rPr>
          <w:noProof/>
        </w:rPr>
      </w:pPr>
      <w:r>
        <w:rPr>
          <w:noProof/>
        </w:rPr>
        <w:t>Product Modifications: Full Service</w:t>
      </w:r>
      <w:r>
        <w:rPr>
          <w:noProof/>
        </w:rPr>
        <w:tab/>
        <w:t>506</w:t>
      </w:r>
    </w:p>
    <w:p w14:paraId="6EF2D524" w14:textId="77777777" w:rsidR="005E57E3" w:rsidRDefault="005E57E3">
      <w:pPr>
        <w:pStyle w:val="Index2"/>
        <w:tabs>
          <w:tab w:val="right" w:leader="dot" w:pos="9350"/>
        </w:tabs>
        <w:rPr>
          <w:noProof/>
        </w:rPr>
      </w:pPr>
      <w:r>
        <w:rPr>
          <w:noProof/>
        </w:rPr>
        <w:t>Record System Settings</w:t>
      </w:r>
      <w:r>
        <w:rPr>
          <w:noProof/>
        </w:rPr>
        <w:tab/>
        <w:t>505</w:t>
      </w:r>
    </w:p>
    <w:p w14:paraId="74E7ACCD" w14:textId="77777777" w:rsidR="005E57E3" w:rsidRDefault="005E57E3">
      <w:pPr>
        <w:pStyle w:val="Index2"/>
        <w:tabs>
          <w:tab w:val="right" w:leader="dot" w:pos="9350"/>
        </w:tabs>
        <w:rPr>
          <w:noProof/>
        </w:rPr>
      </w:pPr>
      <w:r w:rsidRPr="002A231E">
        <w:rPr>
          <w:noProof/>
          <w:snapToGrid w:val="0"/>
        </w:rPr>
        <w:t>Testing</w:t>
      </w:r>
      <w:r>
        <w:rPr>
          <w:noProof/>
        </w:rPr>
        <w:tab/>
        <w:t>518</w:t>
      </w:r>
    </w:p>
    <w:p w14:paraId="76DD35DF" w14:textId="77777777" w:rsidR="005E57E3" w:rsidRDefault="005E57E3">
      <w:pPr>
        <w:pStyle w:val="Index2"/>
        <w:tabs>
          <w:tab w:val="right" w:leader="dot" w:pos="9350"/>
        </w:tabs>
        <w:rPr>
          <w:noProof/>
        </w:rPr>
      </w:pPr>
      <w:r>
        <w:rPr>
          <w:noProof/>
        </w:rPr>
        <w:lastRenderedPageBreak/>
        <w:t>Transfusion Complications</w:t>
      </w:r>
      <w:r>
        <w:rPr>
          <w:noProof/>
        </w:rPr>
        <w:tab/>
        <w:t>514</w:t>
      </w:r>
    </w:p>
    <w:p w14:paraId="1F68A087" w14:textId="77777777" w:rsidR="005E57E3" w:rsidRDefault="005E57E3">
      <w:pPr>
        <w:pStyle w:val="Index2"/>
        <w:tabs>
          <w:tab w:val="right" w:leader="dot" w:pos="9350"/>
        </w:tabs>
        <w:rPr>
          <w:noProof/>
        </w:rPr>
      </w:pPr>
      <w:r>
        <w:rPr>
          <w:noProof/>
        </w:rPr>
        <w:t>Transfusion Effectiveness</w:t>
      </w:r>
      <w:r>
        <w:rPr>
          <w:noProof/>
        </w:rPr>
        <w:tab/>
        <w:t>515</w:t>
      </w:r>
    </w:p>
    <w:p w14:paraId="0BE31FE8" w14:textId="77777777" w:rsidR="005E57E3" w:rsidRDefault="005E57E3">
      <w:pPr>
        <w:pStyle w:val="Index2"/>
        <w:tabs>
          <w:tab w:val="right" w:leader="dot" w:pos="9350"/>
        </w:tabs>
        <w:rPr>
          <w:noProof/>
        </w:rPr>
      </w:pPr>
      <w:r>
        <w:rPr>
          <w:noProof/>
        </w:rPr>
        <w:t>Update User Roles</w:t>
      </w:r>
      <w:r>
        <w:rPr>
          <w:noProof/>
        </w:rPr>
        <w:tab/>
        <w:t>518</w:t>
      </w:r>
    </w:p>
    <w:p w14:paraId="234BB7FD" w14:textId="77777777" w:rsidR="005E57E3" w:rsidRDefault="005E57E3">
      <w:pPr>
        <w:pStyle w:val="Index2"/>
        <w:tabs>
          <w:tab w:val="right" w:leader="dot" w:pos="9350"/>
        </w:tabs>
        <w:rPr>
          <w:noProof/>
        </w:rPr>
      </w:pPr>
      <w:r>
        <w:rPr>
          <w:noProof/>
        </w:rPr>
        <w:t>Validation Plan</w:t>
      </w:r>
      <w:r>
        <w:rPr>
          <w:noProof/>
        </w:rPr>
        <w:tab/>
        <w:t>503</w:t>
      </w:r>
    </w:p>
    <w:p w14:paraId="2ADE1AEF" w14:textId="77777777" w:rsidR="005E57E3" w:rsidRDefault="005E57E3">
      <w:pPr>
        <w:pStyle w:val="Index2"/>
        <w:tabs>
          <w:tab w:val="right" w:leader="dot" w:pos="9350"/>
        </w:tabs>
        <w:rPr>
          <w:noProof/>
        </w:rPr>
      </w:pPr>
      <w:r>
        <w:rPr>
          <w:noProof/>
        </w:rPr>
        <w:t>VBECS Forms and Reports</w:t>
      </w:r>
      <w:r>
        <w:rPr>
          <w:noProof/>
        </w:rPr>
        <w:tab/>
        <w:t>519</w:t>
      </w:r>
    </w:p>
    <w:p w14:paraId="25BC1B3E" w14:textId="77777777" w:rsidR="005E57E3" w:rsidRDefault="005E57E3">
      <w:pPr>
        <w:pStyle w:val="Index2"/>
        <w:tabs>
          <w:tab w:val="right" w:leader="dot" w:pos="9350"/>
        </w:tabs>
        <w:rPr>
          <w:noProof/>
        </w:rPr>
      </w:pPr>
      <w:r w:rsidRPr="002A231E">
        <w:rPr>
          <w:noProof/>
          <w:snapToGrid w:val="0"/>
        </w:rPr>
        <w:t>Workload Codes</w:t>
      </w:r>
      <w:r>
        <w:rPr>
          <w:noProof/>
        </w:rPr>
        <w:tab/>
        <w:t>516</w:t>
      </w:r>
    </w:p>
    <w:p w14:paraId="3C6DD9E3" w14:textId="77777777" w:rsidR="005E57E3" w:rsidRDefault="005E57E3">
      <w:pPr>
        <w:pStyle w:val="Index1"/>
        <w:tabs>
          <w:tab w:val="right" w:leader="dot" w:pos="9350"/>
        </w:tabs>
        <w:rPr>
          <w:noProof/>
        </w:rPr>
      </w:pPr>
      <w:r>
        <w:rPr>
          <w:noProof/>
        </w:rPr>
        <w:t>System Validation</w:t>
      </w:r>
      <w:r>
        <w:rPr>
          <w:noProof/>
        </w:rPr>
        <w:tab/>
        <w:t>503</w:t>
      </w:r>
    </w:p>
    <w:p w14:paraId="5D4CB46D"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T</w:t>
      </w:r>
    </w:p>
    <w:p w14:paraId="62B2A711" w14:textId="77777777" w:rsidR="005E57E3" w:rsidRDefault="005E57E3">
      <w:pPr>
        <w:pStyle w:val="Index1"/>
        <w:tabs>
          <w:tab w:val="right" w:leader="dot" w:pos="9350"/>
        </w:tabs>
        <w:rPr>
          <w:noProof/>
        </w:rPr>
      </w:pPr>
      <w:r>
        <w:rPr>
          <w:noProof/>
        </w:rPr>
        <w:t>Tables</w:t>
      </w:r>
    </w:p>
    <w:p w14:paraId="7AC01F79" w14:textId="77777777" w:rsidR="005E57E3" w:rsidRDefault="005E57E3">
      <w:pPr>
        <w:pStyle w:val="Index2"/>
        <w:tabs>
          <w:tab w:val="right" w:leader="dot" w:pos="9350"/>
        </w:tabs>
        <w:rPr>
          <w:noProof/>
        </w:rPr>
      </w:pPr>
      <w:r>
        <w:rPr>
          <w:noProof/>
        </w:rPr>
        <w:t>Alerts That May Occur in Issue Blood Components (Emergency)</w:t>
      </w:r>
      <w:r>
        <w:rPr>
          <w:noProof/>
        </w:rPr>
        <w:tab/>
        <w:t>227</w:t>
      </w:r>
    </w:p>
    <w:p w14:paraId="37845F2A" w14:textId="77777777" w:rsidR="005E57E3" w:rsidRDefault="005E57E3">
      <w:pPr>
        <w:pStyle w:val="Index2"/>
        <w:tabs>
          <w:tab w:val="right" w:leader="dot" w:pos="9350"/>
        </w:tabs>
        <w:rPr>
          <w:noProof/>
        </w:rPr>
      </w:pPr>
      <w:r>
        <w:rPr>
          <w:noProof/>
        </w:rPr>
        <w:t>Alerts That May Occur in Issue Blood Components (Routine)</w:t>
      </w:r>
      <w:r>
        <w:rPr>
          <w:noProof/>
        </w:rPr>
        <w:tab/>
        <w:t>225</w:t>
      </w:r>
    </w:p>
    <w:p w14:paraId="6C43B1FC" w14:textId="77777777" w:rsidR="005E57E3" w:rsidRDefault="005E57E3">
      <w:pPr>
        <w:pStyle w:val="Index2"/>
        <w:tabs>
          <w:tab w:val="right" w:leader="dot" w:pos="9350"/>
        </w:tabs>
        <w:rPr>
          <w:noProof/>
        </w:rPr>
      </w:pPr>
      <w:r>
        <w:rPr>
          <w:noProof/>
        </w:rPr>
        <w:t>Alerts That May Occur in Patient Testing</w:t>
      </w:r>
    </w:p>
    <w:p w14:paraId="7C1007AE" w14:textId="77777777" w:rsidR="005E57E3" w:rsidRDefault="005E57E3">
      <w:pPr>
        <w:pStyle w:val="Index3"/>
        <w:tabs>
          <w:tab w:val="right" w:leader="dot" w:pos="9350"/>
        </w:tabs>
        <w:rPr>
          <w:noProof/>
        </w:rPr>
      </w:pPr>
      <w:r>
        <w:rPr>
          <w:noProof/>
        </w:rPr>
        <w:t>General Instructions</w:t>
      </w:r>
      <w:r>
        <w:rPr>
          <w:noProof/>
        </w:rPr>
        <w:tab/>
        <w:t>297</w:t>
      </w:r>
    </w:p>
    <w:p w14:paraId="0E039739" w14:textId="77777777" w:rsidR="005E57E3" w:rsidRDefault="005E57E3">
      <w:pPr>
        <w:pStyle w:val="Index2"/>
        <w:tabs>
          <w:tab w:val="right" w:leader="dot" w:pos="9350"/>
        </w:tabs>
        <w:rPr>
          <w:noProof/>
        </w:rPr>
      </w:pPr>
      <w:r>
        <w:rPr>
          <w:noProof/>
        </w:rPr>
        <w:t>Alerts That May Occur in Print Unit Caution Tag &amp; Transfusion Record Form</w:t>
      </w:r>
      <w:r>
        <w:rPr>
          <w:noProof/>
        </w:rPr>
        <w:tab/>
        <w:t>243</w:t>
      </w:r>
    </w:p>
    <w:p w14:paraId="3ACD26AC" w14:textId="77777777" w:rsidR="005E57E3" w:rsidRDefault="005E57E3">
      <w:pPr>
        <w:pStyle w:val="Index2"/>
        <w:tabs>
          <w:tab w:val="right" w:leader="dot" w:pos="9350"/>
        </w:tabs>
        <w:rPr>
          <w:noProof/>
        </w:rPr>
      </w:pPr>
      <w:r>
        <w:rPr>
          <w:noProof/>
        </w:rPr>
        <w:t>Alerts That May Occur in Select Units</w:t>
      </w:r>
      <w:r>
        <w:rPr>
          <w:noProof/>
        </w:rPr>
        <w:tab/>
        <w:t>213</w:t>
      </w:r>
    </w:p>
    <w:p w14:paraId="6B515A77" w14:textId="77777777" w:rsidR="005E57E3" w:rsidRDefault="005E57E3">
      <w:pPr>
        <w:pStyle w:val="Index2"/>
        <w:tabs>
          <w:tab w:val="right" w:leader="dot" w:pos="9350"/>
        </w:tabs>
        <w:rPr>
          <w:noProof/>
        </w:rPr>
      </w:pPr>
      <w:r>
        <w:rPr>
          <w:noProof/>
        </w:rPr>
        <w:t>Allowable Product Modifications by Original Product Type</w:t>
      </w:r>
      <w:r>
        <w:rPr>
          <w:noProof/>
        </w:rPr>
        <w:tab/>
        <w:t>455</w:t>
      </w:r>
    </w:p>
    <w:p w14:paraId="2B087A19" w14:textId="77777777" w:rsidR="005E57E3" w:rsidRDefault="005E57E3">
      <w:pPr>
        <w:pStyle w:val="Index2"/>
        <w:tabs>
          <w:tab w:val="right" w:leader="dot" w:pos="9350"/>
        </w:tabs>
        <w:rPr>
          <w:noProof/>
        </w:rPr>
      </w:pPr>
      <w:r>
        <w:rPr>
          <w:noProof/>
        </w:rPr>
        <w:t>Antibody and Antigen Table, Database Conversion</w:t>
      </w:r>
      <w:r>
        <w:rPr>
          <w:noProof/>
        </w:rPr>
        <w:tab/>
        <w:t>440</w:t>
      </w:r>
    </w:p>
    <w:p w14:paraId="7F40D616" w14:textId="77777777" w:rsidR="005E57E3" w:rsidRDefault="005E57E3">
      <w:pPr>
        <w:pStyle w:val="Index2"/>
        <w:tabs>
          <w:tab w:val="right" w:leader="dot" w:pos="9350"/>
        </w:tabs>
        <w:rPr>
          <w:noProof/>
        </w:rPr>
      </w:pPr>
      <w:r>
        <w:rPr>
          <w:noProof/>
        </w:rPr>
        <w:t>Antibody and Antigen Table, Irregular Antibodies</w:t>
      </w:r>
      <w:r>
        <w:rPr>
          <w:noProof/>
        </w:rPr>
        <w:tab/>
        <w:t>437</w:t>
      </w:r>
    </w:p>
    <w:p w14:paraId="7562155B" w14:textId="77777777" w:rsidR="005E57E3" w:rsidRDefault="005E57E3">
      <w:pPr>
        <w:pStyle w:val="Index2"/>
        <w:tabs>
          <w:tab w:val="right" w:leader="dot" w:pos="9350"/>
        </w:tabs>
        <w:rPr>
          <w:noProof/>
        </w:rPr>
      </w:pPr>
      <w:r>
        <w:rPr>
          <w:noProof/>
        </w:rPr>
        <w:t>Antibody Screen Test Interpretation</w:t>
      </w:r>
      <w:r>
        <w:rPr>
          <w:noProof/>
        </w:rPr>
        <w:tab/>
        <w:t>442</w:t>
      </w:r>
    </w:p>
    <w:p w14:paraId="4EDA3E91" w14:textId="77777777" w:rsidR="005E57E3" w:rsidRDefault="005E57E3">
      <w:pPr>
        <w:pStyle w:val="Index2"/>
        <w:tabs>
          <w:tab w:val="right" w:leader="dot" w:pos="9350"/>
        </w:tabs>
        <w:rPr>
          <w:noProof/>
        </w:rPr>
      </w:pPr>
      <w:r>
        <w:rPr>
          <w:noProof/>
        </w:rPr>
        <w:t>BCE COTS Message Updates</w:t>
      </w:r>
      <w:r>
        <w:rPr>
          <w:noProof/>
        </w:rPr>
        <w:tab/>
        <w:t>466</w:t>
      </w:r>
    </w:p>
    <w:p w14:paraId="259F19EB" w14:textId="77777777" w:rsidR="005E57E3" w:rsidRDefault="005E57E3">
      <w:pPr>
        <w:pStyle w:val="Index2"/>
        <w:tabs>
          <w:tab w:val="right" w:leader="dot" w:pos="9350"/>
        </w:tabs>
        <w:rPr>
          <w:noProof/>
        </w:rPr>
      </w:pPr>
      <w:r>
        <w:rPr>
          <w:noProof/>
        </w:rPr>
        <w:t>Blood Products Worksheet</w:t>
      </w:r>
      <w:r>
        <w:rPr>
          <w:noProof/>
        </w:rPr>
        <w:tab/>
        <w:t>511</w:t>
      </w:r>
    </w:p>
    <w:p w14:paraId="63B20CA8" w14:textId="77777777" w:rsidR="005E57E3" w:rsidRDefault="005E57E3">
      <w:pPr>
        <w:pStyle w:val="Index2"/>
        <w:tabs>
          <w:tab w:val="right" w:leader="dot" w:pos="9350"/>
        </w:tabs>
        <w:rPr>
          <w:noProof/>
        </w:rPr>
      </w:pPr>
      <w:r w:rsidRPr="002A231E">
        <w:rPr>
          <w:rFonts w:ascii="Arial" w:hAnsi="Arial" w:cs="Arial"/>
          <w:noProof/>
        </w:rPr>
        <w:t>Canned Comment Category Types and Text</w:t>
      </w:r>
      <w:r>
        <w:rPr>
          <w:noProof/>
        </w:rPr>
        <w:tab/>
        <w:t>443</w:t>
      </w:r>
    </w:p>
    <w:p w14:paraId="409C8364" w14:textId="77777777" w:rsidR="005E57E3" w:rsidRDefault="005E57E3">
      <w:pPr>
        <w:pStyle w:val="Index2"/>
        <w:tabs>
          <w:tab w:val="right" w:leader="dot" w:pos="9350"/>
        </w:tabs>
        <w:rPr>
          <w:noProof/>
        </w:rPr>
      </w:pPr>
      <w:r>
        <w:rPr>
          <w:noProof/>
        </w:rPr>
        <w:t>Component Class Requirements Worksheet</w:t>
      </w:r>
      <w:r>
        <w:rPr>
          <w:noProof/>
        </w:rPr>
        <w:tab/>
        <w:t>513</w:t>
      </w:r>
    </w:p>
    <w:p w14:paraId="4F695E8E" w14:textId="77777777" w:rsidR="005E57E3" w:rsidRDefault="005E57E3">
      <w:pPr>
        <w:pStyle w:val="Index2"/>
        <w:tabs>
          <w:tab w:val="right" w:leader="dot" w:pos="9350"/>
        </w:tabs>
        <w:rPr>
          <w:noProof/>
        </w:rPr>
      </w:pPr>
      <w:r>
        <w:rPr>
          <w:noProof/>
        </w:rPr>
        <w:t>CPRS Orderable Blood Components (Component Classes) Mapped to ICCBBA Component Classes</w:t>
      </w:r>
      <w:r>
        <w:rPr>
          <w:noProof/>
        </w:rPr>
        <w:tab/>
        <w:t>448</w:t>
      </w:r>
    </w:p>
    <w:p w14:paraId="185D5584" w14:textId="77777777" w:rsidR="005E57E3" w:rsidRDefault="005E57E3">
      <w:pPr>
        <w:pStyle w:val="Index2"/>
        <w:tabs>
          <w:tab w:val="right" w:leader="dot" w:pos="9350"/>
        </w:tabs>
        <w:rPr>
          <w:noProof/>
        </w:rPr>
      </w:pPr>
      <w:r>
        <w:rPr>
          <w:noProof/>
        </w:rPr>
        <w:t>Crossmatch Interpretations for Print Unit Caution Tag &amp; Transfusion Record Form</w:t>
      </w:r>
      <w:r>
        <w:rPr>
          <w:noProof/>
        </w:rPr>
        <w:tab/>
        <w:t>311</w:t>
      </w:r>
    </w:p>
    <w:p w14:paraId="4FA659F5" w14:textId="77777777" w:rsidR="005E57E3" w:rsidRDefault="005E57E3">
      <w:pPr>
        <w:pStyle w:val="Index2"/>
        <w:tabs>
          <w:tab w:val="right" w:leader="dot" w:pos="9350"/>
        </w:tabs>
        <w:rPr>
          <w:noProof/>
        </w:rPr>
      </w:pPr>
      <w:r>
        <w:rPr>
          <w:noProof/>
        </w:rPr>
        <w:t>Details in Audit Trail Report</w:t>
      </w:r>
      <w:r>
        <w:rPr>
          <w:noProof/>
        </w:rPr>
        <w:tab/>
        <w:t>448</w:t>
      </w:r>
    </w:p>
    <w:p w14:paraId="3BD5DDE7" w14:textId="77777777" w:rsidR="005E57E3" w:rsidRDefault="005E57E3">
      <w:pPr>
        <w:pStyle w:val="Index2"/>
        <w:tabs>
          <w:tab w:val="right" w:leader="dot" w:pos="9350"/>
        </w:tabs>
        <w:rPr>
          <w:noProof/>
        </w:rPr>
      </w:pPr>
      <w:r>
        <w:rPr>
          <w:noProof/>
        </w:rPr>
        <w:t>Details in Exception Report</w:t>
      </w:r>
      <w:r>
        <w:rPr>
          <w:noProof/>
        </w:rPr>
        <w:tab/>
        <w:t>453</w:t>
      </w:r>
    </w:p>
    <w:p w14:paraId="16AEAEDA" w14:textId="77777777" w:rsidR="005E57E3" w:rsidRDefault="005E57E3">
      <w:pPr>
        <w:pStyle w:val="Index2"/>
        <w:tabs>
          <w:tab w:val="right" w:leader="dot" w:pos="9350"/>
        </w:tabs>
        <w:rPr>
          <w:noProof/>
        </w:rPr>
      </w:pPr>
      <w:r>
        <w:rPr>
          <w:noProof/>
        </w:rPr>
        <w:t>Local Facilities Worksheet</w:t>
      </w:r>
      <w:r>
        <w:rPr>
          <w:noProof/>
        </w:rPr>
        <w:tab/>
        <w:t>512</w:t>
      </w:r>
    </w:p>
    <w:p w14:paraId="4676A30F" w14:textId="77777777" w:rsidR="005E57E3" w:rsidRDefault="005E57E3">
      <w:pPr>
        <w:pStyle w:val="Index2"/>
        <w:tabs>
          <w:tab w:val="right" w:leader="dot" w:pos="9350"/>
        </w:tabs>
        <w:rPr>
          <w:noProof/>
        </w:rPr>
      </w:pPr>
      <w:r>
        <w:rPr>
          <w:noProof/>
        </w:rPr>
        <w:t>Modification Types and Costs</w:t>
      </w:r>
      <w:r>
        <w:rPr>
          <w:noProof/>
        </w:rPr>
        <w:tab/>
        <w:t>506</w:t>
      </w:r>
    </w:p>
    <w:p w14:paraId="505A4353" w14:textId="77777777" w:rsidR="005E57E3" w:rsidRDefault="005E57E3">
      <w:pPr>
        <w:pStyle w:val="Index2"/>
        <w:tabs>
          <w:tab w:val="right" w:leader="dot" w:pos="9350"/>
        </w:tabs>
        <w:rPr>
          <w:noProof/>
        </w:rPr>
      </w:pPr>
      <w:r>
        <w:rPr>
          <w:noProof/>
        </w:rPr>
        <w:t>Rules for Electronic and Serologic Crossmatch</w:t>
      </w:r>
      <w:r>
        <w:rPr>
          <w:noProof/>
        </w:rPr>
        <w:tab/>
        <w:t>462</w:t>
      </w:r>
    </w:p>
    <w:p w14:paraId="31D5AEEE" w14:textId="77777777" w:rsidR="005E57E3" w:rsidRDefault="005E57E3">
      <w:pPr>
        <w:pStyle w:val="Index2"/>
        <w:tabs>
          <w:tab w:val="right" w:leader="dot" w:pos="9350"/>
        </w:tabs>
        <w:rPr>
          <w:noProof/>
        </w:rPr>
      </w:pPr>
      <w:r>
        <w:rPr>
          <w:noProof/>
        </w:rPr>
        <w:t>Sample Blood Products Worksheet</w:t>
      </w:r>
      <w:r>
        <w:rPr>
          <w:noProof/>
        </w:rPr>
        <w:tab/>
        <w:t>511</w:t>
      </w:r>
    </w:p>
    <w:p w14:paraId="6DA4A9E3" w14:textId="77777777" w:rsidR="005E57E3" w:rsidRDefault="005E57E3">
      <w:pPr>
        <w:pStyle w:val="Index2"/>
        <w:tabs>
          <w:tab w:val="right" w:leader="dot" w:pos="9350"/>
        </w:tabs>
        <w:rPr>
          <w:noProof/>
        </w:rPr>
      </w:pPr>
      <w:r>
        <w:rPr>
          <w:noProof/>
        </w:rPr>
        <w:t>Sample Local Facilities Worksheet</w:t>
      </w:r>
      <w:r>
        <w:rPr>
          <w:noProof/>
        </w:rPr>
        <w:tab/>
        <w:t>512</w:t>
      </w:r>
    </w:p>
    <w:p w14:paraId="611669F7" w14:textId="77777777" w:rsidR="005E57E3" w:rsidRDefault="005E57E3">
      <w:pPr>
        <w:pStyle w:val="Index2"/>
        <w:tabs>
          <w:tab w:val="right" w:leader="dot" w:pos="9350"/>
        </w:tabs>
        <w:rPr>
          <w:noProof/>
        </w:rPr>
      </w:pPr>
      <w:r>
        <w:rPr>
          <w:noProof/>
        </w:rPr>
        <w:t>Transfusion Complications Worksheet</w:t>
      </w:r>
      <w:r>
        <w:rPr>
          <w:noProof/>
        </w:rPr>
        <w:tab/>
        <w:t>514</w:t>
      </w:r>
    </w:p>
    <w:p w14:paraId="33EC165A" w14:textId="77777777" w:rsidR="005E57E3" w:rsidRDefault="005E57E3">
      <w:pPr>
        <w:pStyle w:val="Index2"/>
        <w:tabs>
          <w:tab w:val="right" w:leader="dot" w:pos="9350"/>
        </w:tabs>
        <w:rPr>
          <w:noProof/>
        </w:rPr>
      </w:pPr>
      <w:r>
        <w:rPr>
          <w:noProof/>
        </w:rPr>
        <w:t>Transfusion Effectiveness Worksheet</w:t>
      </w:r>
      <w:r>
        <w:rPr>
          <w:noProof/>
        </w:rPr>
        <w:tab/>
        <w:t>515</w:t>
      </w:r>
    </w:p>
    <w:p w14:paraId="03224A93" w14:textId="77777777" w:rsidR="005E57E3" w:rsidRDefault="005E57E3">
      <w:pPr>
        <w:pStyle w:val="Index2"/>
        <w:tabs>
          <w:tab w:val="right" w:leader="dot" w:pos="9350"/>
        </w:tabs>
        <w:rPr>
          <w:noProof/>
        </w:rPr>
      </w:pPr>
      <w:r>
        <w:rPr>
          <w:noProof/>
        </w:rPr>
        <w:t>Transfusion Reaction Types</w:t>
      </w:r>
      <w:r>
        <w:rPr>
          <w:noProof/>
        </w:rPr>
        <w:tab/>
        <w:t>334</w:t>
      </w:r>
    </w:p>
    <w:p w14:paraId="55938EA4" w14:textId="77777777" w:rsidR="005E57E3" w:rsidRDefault="005E57E3">
      <w:pPr>
        <w:pStyle w:val="Index2"/>
        <w:tabs>
          <w:tab w:val="right" w:leader="dot" w:pos="9350"/>
        </w:tabs>
        <w:rPr>
          <w:noProof/>
        </w:rPr>
      </w:pPr>
      <w:r>
        <w:rPr>
          <w:noProof/>
        </w:rPr>
        <w:t>User Roles and Functions</w:t>
      </w:r>
      <w:r>
        <w:rPr>
          <w:noProof/>
        </w:rPr>
        <w:tab/>
        <w:t>5</w:t>
      </w:r>
    </w:p>
    <w:p w14:paraId="18D40DFD" w14:textId="77777777" w:rsidR="005E57E3" w:rsidRDefault="005E57E3">
      <w:pPr>
        <w:pStyle w:val="Index2"/>
        <w:tabs>
          <w:tab w:val="right" w:leader="dot" w:pos="9350"/>
        </w:tabs>
        <w:rPr>
          <w:noProof/>
        </w:rPr>
      </w:pPr>
      <w:r>
        <w:rPr>
          <w:noProof/>
        </w:rPr>
        <w:t>Valid Interpretations</w:t>
      </w:r>
      <w:r>
        <w:rPr>
          <w:noProof/>
        </w:rPr>
        <w:tab/>
        <w:t>154</w:t>
      </w:r>
    </w:p>
    <w:p w14:paraId="1A295650" w14:textId="77777777" w:rsidR="005E57E3" w:rsidRDefault="005E57E3">
      <w:pPr>
        <w:pStyle w:val="Index2"/>
        <w:tabs>
          <w:tab w:val="right" w:leader="dot" w:pos="9350"/>
        </w:tabs>
        <w:rPr>
          <w:noProof/>
        </w:rPr>
      </w:pPr>
      <w:r>
        <w:rPr>
          <w:noProof/>
        </w:rPr>
        <w:t>Valid Observed Test Results Entries</w:t>
      </w:r>
      <w:r>
        <w:rPr>
          <w:noProof/>
        </w:rPr>
        <w:tab/>
        <w:t>18</w:t>
      </w:r>
    </w:p>
    <w:p w14:paraId="3EE105C4" w14:textId="77777777" w:rsidR="005E57E3" w:rsidRDefault="005E57E3">
      <w:pPr>
        <w:pStyle w:val="Index2"/>
        <w:tabs>
          <w:tab w:val="right" w:leader="dot" w:pos="9350"/>
        </w:tabs>
        <w:rPr>
          <w:noProof/>
        </w:rPr>
      </w:pPr>
      <w:r>
        <w:rPr>
          <w:noProof/>
        </w:rPr>
        <w:t>VBECS Maximum Surgical Blood Order Schedule (MSBOS)</w:t>
      </w:r>
      <w:r>
        <w:rPr>
          <w:noProof/>
        </w:rPr>
        <w:tab/>
        <w:t>465</w:t>
      </w:r>
    </w:p>
    <w:p w14:paraId="59A70DB6" w14:textId="77777777" w:rsidR="005E57E3" w:rsidRDefault="005E57E3">
      <w:pPr>
        <w:pStyle w:val="Index1"/>
        <w:tabs>
          <w:tab w:val="right" w:leader="dot" w:pos="9350"/>
        </w:tabs>
        <w:rPr>
          <w:noProof/>
        </w:rPr>
      </w:pPr>
      <w:r>
        <w:rPr>
          <w:noProof/>
        </w:rPr>
        <w:t>Terms</w:t>
      </w:r>
      <w:r>
        <w:rPr>
          <w:noProof/>
        </w:rPr>
        <w:tab/>
        <w:t>3</w:t>
      </w:r>
    </w:p>
    <w:p w14:paraId="78C5F354" w14:textId="77777777" w:rsidR="005E57E3" w:rsidRDefault="005E57E3">
      <w:pPr>
        <w:pStyle w:val="Index1"/>
        <w:tabs>
          <w:tab w:val="right" w:leader="dot" w:pos="9350"/>
        </w:tabs>
        <w:rPr>
          <w:noProof/>
        </w:rPr>
      </w:pPr>
      <w:r>
        <w:rPr>
          <w:noProof/>
        </w:rPr>
        <w:t>Test Units</w:t>
      </w:r>
      <w:r>
        <w:rPr>
          <w:noProof/>
        </w:rPr>
        <w:tab/>
        <w:t>151</w:t>
      </w:r>
    </w:p>
    <w:p w14:paraId="5D14D327" w14:textId="77777777" w:rsidR="005E57E3" w:rsidRDefault="005E57E3">
      <w:pPr>
        <w:pStyle w:val="Index1"/>
        <w:tabs>
          <w:tab w:val="right" w:leader="dot" w:pos="9350"/>
        </w:tabs>
        <w:rPr>
          <w:noProof/>
        </w:rPr>
      </w:pPr>
      <w:r>
        <w:rPr>
          <w:noProof/>
        </w:rPr>
        <w:t>Testing</w:t>
      </w:r>
      <w:r>
        <w:rPr>
          <w:noProof/>
        </w:rPr>
        <w:tab/>
        <w:t>17</w:t>
      </w:r>
    </w:p>
    <w:p w14:paraId="02F55FE8" w14:textId="77777777" w:rsidR="005E57E3" w:rsidRDefault="005E57E3">
      <w:pPr>
        <w:pStyle w:val="Index1"/>
        <w:tabs>
          <w:tab w:val="right" w:leader="dot" w:pos="9350"/>
        </w:tabs>
        <w:rPr>
          <w:noProof/>
        </w:rPr>
      </w:pPr>
      <w:r>
        <w:rPr>
          <w:noProof/>
        </w:rPr>
        <w:t>Throughout VBECS</w:t>
      </w:r>
      <w:r>
        <w:rPr>
          <w:noProof/>
        </w:rPr>
        <w:tab/>
        <w:t>58</w:t>
      </w:r>
    </w:p>
    <w:p w14:paraId="1A6CE781" w14:textId="77777777" w:rsidR="005E57E3" w:rsidRDefault="005E57E3">
      <w:pPr>
        <w:pStyle w:val="Index1"/>
        <w:tabs>
          <w:tab w:val="right" w:leader="dot" w:pos="9350"/>
        </w:tabs>
        <w:rPr>
          <w:noProof/>
        </w:rPr>
      </w:pPr>
      <w:r>
        <w:rPr>
          <w:noProof/>
        </w:rPr>
        <w:t>Tool Tips</w:t>
      </w:r>
      <w:r>
        <w:rPr>
          <w:noProof/>
        </w:rPr>
        <w:tab/>
        <w:t>49</w:t>
      </w:r>
    </w:p>
    <w:p w14:paraId="5EF9F763" w14:textId="77777777" w:rsidR="005E57E3" w:rsidRDefault="005E57E3">
      <w:pPr>
        <w:pStyle w:val="Index1"/>
        <w:tabs>
          <w:tab w:val="right" w:leader="dot" w:pos="9350"/>
        </w:tabs>
        <w:rPr>
          <w:noProof/>
        </w:rPr>
      </w:pPr>
      <w:r>
        <w:rPr>
          <w:noProof/>
        </w:rPr>
        <w:t>Toolbars</w:t>
      </w:r>
      <w:r>
        <w:rPr>
          <w:noProof/>
        </w:rPr>
        <w:tab/>
        <w:t>49</w:t>
      </w:r>
    </w:p>
    <w:p w14:paraId="3694724C" w14:textId="77777777" w:rsidR="005E57E3" w:rsidRDefault="005E57E3">
      <w:pPr>
        <w:pStyle w:val="Index1"/>
        <w:tabs>
          <w:tab w:val="right" w:leader="dot" w:pos="9350"/>
        </w:tabs>
        <w:rPr>
          <w:noProof/>
        </w:rPr>
      </w:pPr>
      <w:r>
        <w:rPr>
          <w:noProof/>
        </w:rPr>
        <w:t>Transfusion Complications Report</w:t>
      </w:r>
      <w:r>
        <w:rPr>
          <w:noProof/>
        </w:rPr>
        <w:tab/>
        <w:t>402</w:t>
      </w:r>
    </w:p>
    <w:p w14:paraId="77F1A592" w14:textId="77777777" w:rsidR="005E57E3" w:rsidRDefault="005E57E3">
      <w:pPr>
        <w:pStyle w:val="Index1"/>
        <w:tabs>
          <w:tab w:val="right" w:leader="dot" w:pos="9350"/>
        </w:tabs>
        <w:rPr>
          <w:noProof/>
        </w:rPr>
      </w:pPr>
      <w:r>
        <w:rPr>
          <w:noProof/>
        </w:rPr>
        <w:t>Transfusion Effectiveness</w:t>
      </w:r>
      <w:r>
        <w:rPr>
          <w:noProof/>
        </w:rPr>
        <w:tab/>
        <w:t>92</w:t>
      </w:r>
    </w:p>
    <w:p w14:paraId="0C69DBB0" w14:textId="77777777" w:rsidR="005E57E3" w:rsidRDefault="005E57E3">
      <w:pPr>
        <w:pStyle w:val="Index1"/>
        <w:tabs>
          <w:tab w:val="right" w:leader="dot" w:pos="9350"/>
        </w:tabs>
        <w:rPr>
          <w:noProof/>
        </w:rPr>
      </w:pPr>
      <w:r>
        <w:rPr>
          <w:noProof/>
        </w:rPr>
        <w:t>Transfusion Effectiveness Report</w:t>
      </w:r>
      <w:r>
        <w:rPr>
          <w:noProof/>
        </w:rPr>
        <w:tab/>
        <w:t>404</w:t>
      </w:r>
    </w:p>
    <w:p w14:paraId="541D95F9" w14:textId="77777777" w:rsidR="005E57E3" w:rsidRDefault="005E57E3">
      <w:pPr>
        <w:pStyle w:val="Index1"/>
        <w:tabs>
          <w:tab w:val="right" w:leader="dot" w:pos="9350"/>
        </w:tabs>
        <w:rPr>
          <w:noProof/>
        </w:rPr>
      </w:pPr>
      <w:r>
        <w:rPr>
          <w:noProof/>
        </w:rPr>
        <w:t>Transfusion Reaction Count Report</w:t>
      </w:r>
      <w:r>
        <w:rPr>
          <w:noProof/>
        </w:rPr>
        <w:tab/>
        <w:t>406</w:t>
      </w:r>
    </w:p>
    <w:p w14:paraId="0E0F63A7" w14:textId="77777777" w:rsidR="005E57E3" w:rsidRDefault="005E57E3">
      <w:pPr>
        <w:pStyle w:val="Index1"/>
        <w:tabs>
          <w:tab w:val="right" w:leader="dot" w:pos="9350"/>
        </w:tabs>
        <w:rPr>
          <w:noProof/>
        </w:rPr>
      </w:pPr>
      <w:r>
        <w:rPr>
          <w:noProof/>
        </w:rPr>
        <w:t>Transfusion Requirements Report</w:t>
      </w:r>
      <w:r>
        <w:rPr>
          <w:noProof/>
        </w:rPr>
        <w:tab/>
        <w:t>408</w:t>
      </w:r>
    </w:p>
    <w:p w14:paraId="7F6EAA3F"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U</w:t>
      </w:r>
    </w:p>
    <w:p w14:paraId="53863603" w14:textId="77777777" w:rsidR="005E57E3" w:rsidRDefault="005E57E3">
      <w:pPr>
        <w:pStyle w:val="Index1"/>
        <w:tabs>
          <w:tab w:val="right" w:leader="dot" w:pos="9350"/>
        </w:tabs>
        <w:rPr>
          <w:noProof/>
        </w:rPr>
      </w:pPr>
      <w:r>
        <w:rPr>
          <w:noProof/>
        </w:rPr>
        <w:t>Unit ABO/Rh Confirmation Form</w:t>
      </w:r>
      <w:r>
        <w:rPr>
          <w:noProof/>
        </w:rPr>
        <w:tab/>
        <w:t>432</w:t>
      </w:r>
    </w:p>
    <w:p w14:paraId="5ED2E622" w14:textId="77777777" w:rsidR="005E57E3" w:rsidRDefault="005E57E3">
      <w:pPr>
        <w:pStyle w:val="Index1"/>
        <w:tabs>
          <w:tab w:val="right" w:leader="dot" w:pos="9350"/>
        </w:tabs>
        <w:rPr>
          <w:noProof/>
        </w:rPr>
      </w:pPr>
      <w:r>
        <w:rPr>
          <w:noProof/>
        </w:rPr>
        <w:lastRenderedPageBreak/>
        <w:t>Unit History Report</w:t>
      </w:r>
      <w:r>
        <w:rPr>
          <w:noProof/>
        </w:rPr>
        <w:tab/>
        <w:t>410</w:t>
      </w:r>
    </w:p>
    <w:p w14:paraId="5BD38669" w14:textId="77777777" w:rsidR="005E57E3" w:rsidRDefault="005E57E3">
      <w:pPr>
        <w:pStyle w:val="Index1"/>
        <w:tabs>
          <w:tab w:val="right" w:leader="dot" w:pos="9350"/>
        </w:tabs>
        <w:rPr>
          <w:noProof/>
        </w:rPr>
      </w:pPr>
      <w:r>
        <w:rPr>
          <w:noProof/>
        </w:rPr>
        <w:t>Unit Issue and Inspection Log</w:t>
      </w:r>
      <w:r>
        <w:rPr>
          <w:noProof/>
        </w:rPr>
        <w:tab/>
        <w:t>433</w:t>
      </w:r>
    </w:p>
    <w:p w14:paraId="5CD83EBD" w14:textId="77777777" w:rsidR="005E57E3" w:rsidRDefault="005E57E3">
      <w:pPr>
        <w:pStyle w:val="Index1"/>
        <w:tabs>
          <w:tab w:val="right" w:leader="dot" w:pos="9350"/>
        </w:tabs>
        <w:rPr>
          <w:noProof/>
        </w:rPr>
      </w:pPr>
      <w:r>
        <w:rPr>
          <w:noProof/>
        </w:rPr>
        <w:t>Unit Modification Form</w:t>
      </w:r>
      <w:r>
        <w:rPr>
          <w:noProof/>
        </w:rPr>
        <w:tab/>
        <w:t>434</w:t>
      </w:r>
    </w:p>
    <w:p w14:paraId="6EEBB545" w14:textId="77777777" w:rsidR="005E57E3" w:rsidRDefault="005E57E3">
      <w:pPr>
        <w:pStyle w:val="Index1"/>
        <w:tabs>
          <w:tab w:val="right" w:leader="dot" w:pos="9350"/>
        </w:tabs>
        <w:rPr>
          <w:noProof/>
        </w:rPr>
      </w:pPr>
      <w:r>
        <w:rPr>
          <w:noProof/>
        </w:rPr>
        <w:t>Unit Search Screen</w:t>
      </w:r>
      <w:r>
        <w:rPr>
          <w:noProof/>
        </w:rPr>
        <w:tab/>
        <w:t>149</w:t>
      </w:r>
    </w:p>
    <w:p w14:paraId="63960563" w14:textId="77777777" w:rsidR="005E57E3" w:rsidRDefault="005E57E3">
      <w:pPr>
        <w:pStyle w:val="Index1"/>
        <w:tabs>
          <w:tab w:val="right" w:leader="dot" w:pos="9350"/>
        </w:tabs>
        <w:rPr>
          <w:noProof/>
        </w:rPr>
      </w:pPr>
      <w:r>
        <w:rPr>
          <w:noProof/>
        </w:rPr>
        <w:t>Update Reagent Inventory</w:t>
      </w:r>
      <w:r>
        <w:rPr>
          <w:noProof/>
        </w:rPr>
        <w:tab/>
        <w:t>111</w:t>
      </w:r>
    </w:p>
    <w:p w14:paraId="0D598168" w14:textId="77777777" w:rsidR="005E57E3" w:rsidRDefault="005E57E3">
      <w:pPr>
        <w:pStyle w:val="Index1"/>
        <w:tabs>
          <w:tab w:val="right" w:leader="dot" w:pos="9350"/>
        </w:tabs>
        <w:rPr>
          <w:noProof/>
        </w:rPr>
      </w:pPr>
      <w:r>
        <w:rPr>
          <w:noProof/>
        </w:rPr>
        <w:t>Update Supply Inventory</w:t>
      </w:r>
      <w:r>
        <w:rPr>
          <w:noProof/>
        </w:rPr>
        <w:tab/>
        <w:t>119</w:t>
      </w:r>
    </w:p>
    <w:p w14:paraId="3DC62F79" w14:textId="77777777" w:rsidR="005E57E3" w:rsidRDefault="005E57E3">
      <w:pPr>
        <w:pStyle w:val="Index1"/>
        <w:tabs>
          <w:tab w:val="right" w:leader="dot" w:pos="9350"/>
        </w:tabs>
        <w:rPr>
          <w:noProof/>
        </w:rPr>
      </w:pPr>
      <w:r>
        <w:rPr>
          <w:noProof/>
        </w:rPr>
        <w:t>Updated Patients and Deceased Patients</w:t>
      </w:r>
      <w:r>
        <w:rPr>
          <w:noProof/>
        </w:rPr>
        <w:tab/>
        <w:t>292</w:t>
      </w:r>
    </w:p>
    <w:p w14:paraId="771813BD" w14:textId="77777777" w:rsidR="005E57E3" w:rsidRDefault="005E57E3">
      <w:pPr>
        <w:pStyle w:val="Index1"/>
        <w:tabs>
          <w:tab w:val="right" w:leader="dot" w:pos="9350"/>
        </w:tabs>
        <w:rPr>
          <w:noProof/>
        </w:rPr>
      </w:pPr>
      <w:r>
        <w:rPr>
          <w:noProof/>
        </w:rPr>
        <w:t>Using Online Help</w:t>
      </w:r>
      <w:r>
        <w:rPr>
          <w:noProof/>
        </w:rPr>
        <w:tab/>
        <w:t>25</w:t>
      </w:r>
    </w:p>
    <w:p w14:paraId="71BA313E" w14:textId="77777777" w:rsidR="005E57E3" w:rsidRDefault="005E57E3">
      <w:pPr>
        <w:pStyle w:val="Index1"/>
        <w:tabs>
          <w:tab w:val="right" w:leader="dot" w:pos="9350"/>
        </w:tabs>
        <w:rPr>
          <w:noProof/>
        </w:rPr>
      </w:pPr>
      <w:r>
        <w:rPr>
          <w:noProof/>
        </w:rPr>
        <w:t>Using the Software</w:t>
      </w:r>
      <w:r>
        <w:rPr>
          <w:noProof/>
        </w:rPr>
        <w:tab/>
        <w:t>13</w:t>
      </w:r>
    </w:p>
    <w:p w14:paraId="0F0013D5" w14:textId="77777777" w:rsidR="005E57E3" w:rsidRDefault="005E57E3">
      <w:pPr>
        <w:pStyle w:val="Index1"/>
        <w:tabs>
          <w:tab w:val="right" w:leader="dot" w:pos="9350"/>
        </w:tabs>
        <w:rPr>
          <w:noProof/>
        </w:rPr>
      </w:pPr>
      <w:r>
        <w:rPr>
          <w:noProof/>
        </w:rPr>
        <w:t>Using VBECS</w:t>
      </w:r>
      <w:r>
        <w:rPr>
          <w:noProof/>
        </w:rPr>
        <w:tab/>
        <w:t>25</w:t>
      </w:r>
    </w:p>
    <w:p w14:paraId="1105930C"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V</w:t>
      </w:r>
    </w:p>
    <w:p w14:paraId="1DE6DD79" w14:textId="77777777" w:rsidR="005E57E3" w:rsidRDefault="005E57E3">
      <w:pPr>
        <w:pStyle w:val="Index1"/>
        <w:tabs>
          <w:tab w:val="right" w:leader="dot" w:pos="9350"/>
        </w:tabs>
        <w:rPr>
          <w:noProof/>
        </w:rPr>
      </w:pPr>
      <w:r>
        <w:rPr>
          <w:noProof/>
        </w:rPr>
        <w:t>VBECS User Report</w:t>
      </w:r>
      <w:r>
        <w:rPr>
          <w:noProof/>
        </w:rPr>
        <w:tab/>
        <w:t>63</w:t>
      </w:r>
    </w:p>
    <w:p w14:paraId="3CCB2195" w14:textId="77777777" w:rsidR="005E57E3" w:rsidRDefault="005E57E3">
      <w:pPr>
        <w:pStyle w:val="Index1"/>
        <w:tabs>
          <w:tab w:val="right" w:leader="dot" w:pos="9350"/>
        </w:tabs>
        <w:rPr>
          <w:noProof/>
        </w:rPr>
      </w:pPr>
      <w:r>
        <w:rPr>
          <w:noProof/>
        </w:rPr>
        <w:t>VBECS Work Flow</w:t>
      </w:r>
      <w:r>
        <w:rPr>
          <w:noProof/>
        </w:rPr>
        <w:tab/>
        <w:t>479</w:t>
      </w:r>
    </w:p>
    <w:p w14:paraId="57D41490" w14:textId="77777777" w:rsidR="005E57E3" w:rsidRDefault="005E57E3">
      <w:pPr>
        <w:pStyle w:val="Index1"/>
        <w:tabs>
          <w:tab w:val="right" w:leader="dot" w:pos="9350"/>
        </w:tabs>
        <w:rPr>
          <w:noProof/>
        </w:rPr>
      </w:pPr>
      <w:r>
        <w:rPr>
          <w:noProof/>
        </w:rPr>
        <w:t>View/Print a Finalized Transfusion Reaction Workup Report</w:t>
      </w:r>
      <w:r>
        <w:rPr>
          <w:noProof/>
        </w:rPr>
        <w:tab/>
        <w:t>333</w:t>
      </w:r>
    </w:p>
    <w:p w14:paraId="7E25C46E" w14:textId="77777777" w:rsidR="005E57E3" w:rsidRDefault="005E57E3">
      <w:pPr>
        <w:pStyle w:val="Index1"/>
        <w:tabs>
          <w:tab w:val="right" w:leader="dot" w:pos="9350"/>
        </w:tabs>
        <w:rPr>
          <w:noProof/>
        </w:rPr>
      </w:pPr>
      <w:r>
        <w:rPr>
          <w:noProof/>
        </w:rPr>
        <w:t>View/Print Reagent Inventory</w:t>
      </w:r>
      <w:r>
        <w:rPr>
          <w:noProof/>
        </w:rPr>
        <w:tab/>
        <w:t>113</w:t>
      </w:r>
    </w:p>
    <w:p w14:paraId="09EDB44A" w14:textId="77777777" w:rsidR="005E57E3" w:rsidRDefault="005E57E3">
      <w:pPr>
        <w:pStyle w:val="Index1"/>
        <w:tabs>
          <w:tab w:val="right" w:leader="dot" w:pos="9350"/>
        </w:tabs>
        <w:rPr>
          <w:noProof/>
        </w:rPr>
      </w:pPr>
      <w:r>
        <w:rPr>
          <w:noProof/>
        </w:rPr>
        <w:t>View/Print Supply Inventory</w:t>
      </w:r>
      <w:r>
        <w:rPr>
          <w:noProof/>
        </w:rPr>
        <w:tab/>
        <w:t>121</w:t>
      </w:r>
    </w:p>
    <w:p w14:paraId="7F2A25F7" w14:textId="77777777" w:rsidR="005E57E3" w:rsidRDefault="005E57E3">
      <w:pPr>
        <w:pStyle w:val="Index1"/>
        <w:tabs>
          <w:tab w:val="right" w:leader="dot" w:pos="9350"/>
        </w:tabs>
        <w:rPr>
          <w:noProof/>
        </w:rPr>
      </w:pPr>
      <w:r>
        <w:rPr>
          <w:noProof/>
        </w:rPr>
        <w:t>Viewing the VBECS Version Number</w:t>
      </w:r>
      <w:r>
        <w:rPr>
          <w:noProof/>
        </w:rPr>
        <w:tab/>
        <w:t>27</w:t>
      </w:r>
    </w:p>
    <w:p w14:paraId="0EFF5F95" w14:textId="77777777" w:rsidR="005E57E3" w:rsidRDefault="005E57E3">
      <w:pPr>
        <w:pStyle w:val="Index1"/>
        <w:tabs>
          <w:tab w:val="right" w:leader="dot" w:pos="9350"/>
        </w:tabs>
        <w:rPr>
          <w:noProof/>
        </w:rPr>
      </w:pPr>
      <w:r>
        <w:rPr>
          <w:noProof/>
        </w:rPr>
        <w:t>VistA Records in VBECS</w:t>
      </w:r>
      <w:r>
        <w:rPr>
          <w:noProof/>
        </w:rPr>
        <w:tab/>
        <w:t>30</w:t>
      </w:r>
    </w:p>
    <w:p w14:paraId="76028B80" w14:textId="77777777" w:rsidR="005E57E3" w:rsidRDefault="005E57E3">
      <w:pPr>
        <w:pStyle w:val="Index1"/>
        <w:tabs>
          <w:tab w:val="right" w:leader="dot" w:pos="9350"/>
        </w:tabs>
        <w:rPr>
          <w:noProof/>
        </w:rPr>
      </w:pPr>
      <w:r>
        <w:rPr>
          <w:noProof/>
        </w:rPr>
        <w:t>Volume</w:t>
      </w:r>
      <w:r>
        <w:rPr>
          <w:noProof/>
        </w:rPr>
        <w:tab/>
        <w:t>47</w:t>
      </w:r>
    </w:p>
    <w:p w14:paraId="5AAEAC6D" w14:textId="77777777" w:rsidR="005E57E3" w:rsidRDefault="005E57E3">
      <w:pPr>
        <w:pStyle w:val="IndexHeading"/>
        <w:keepNext/>
        <w:tabs>
          <w:tab w:val="right" w:leader="dot" w:pos="9350"/>
        </w:tabs>
        <w:rPr>
          <w:rFonts w:asciiTheme="minorHAnsi" w:eastAsiaTheme="minorEastAsia" w:hAnsiTheme="minorHAnsi" w:cstheme="minorBidi"/>
          <w:b w:val="0"/>
          <w:bCs w:val="0"/>
          <w:noProof/>
        </w:rPr>
      </w:pPr>
      <w:r>
        <w:rPr>
          <w:noProof/>
        </w:rPr>
        <w:t>W</w:t>
      </w:r>
    </w:p>
    <w:p w14:paraId="7A19C668" w14:textId="77777777" w:rsidR="005E57E3" w:rsidRDefault="005E57E3">
      <w:pPr>
        <w:pStyle w:val="Index1"/>
        <w:tabs>
          <w:tab w:val="right" w:leader="dot" w:pos="9350"/>
        </w:tabs>
        <w:rPr>
          <w:noProof/>
        </w:rPr>
      </w:pPr>
      <w:r>
        <w:rPr>
          <w:noProof/>
        </w:rPr>
        <w:t>Work Process Flowcharts</w:t>
      </w:r>
      <w:r>
        <w:rPr>
          <w:noProof/>
        </w:rPr>
        <w:tab/>
        <w:t>521</w:t>
      </w:r>
    </w:p>
    <w:p w14:paraId="49DD8ACD" w14:textId="77777777" w:rsidR="005E57E3" w:rsidRDefault="005E57E3">
      <w:pPr>
        <w:pStyle w:val="Index1"/>
        <w:tabs>
          <w:tab w:val="right" w:leader="dot" w:pos="9350"/>
        </w:tabs>
        <w:rPr>
          <w:noProof/>
        </w:rPr>
      </w:pPr>
      <w:r>
        <w:rPr>
          <w:noProof/>
        </w:rPr>
        <w:t>Working with Data</w:t>
      </w:r>
      <w:r>
        <w:rPr>
          <w:noProof/>
        </w:rPr>
        <w:tab/>
        <w:t>15</w:t>
      </w:r>
    </w:p>
    <w:p w14:paraId="5322C099" w14:textId="77777777" w:rsidR="005E57E3" w:rsidRDefault="005E57E3">
      <w:pPr>
        <w:pStyle w:val="Index1"/>
        <w:tabs>
          <w:tab w:val="right" w:leader="dot" w:pos="9350"/>
        </w:tabs>
        <w:rPr>
          <w:noProof/>
        </w:rPr>
      </w:pPr>
      <w:r>
        <w:rPr>
          <w:noProof/>
        </w:rPr>
        <w:t>Workload Codes</w:t>
      </w:r>
      <w:r>
        <w:rPr>
          <w:noProof/>
        </w:rPr>
        <w:tab/>
        <w:t>96</w:t>
      </w:r>
    </w:p>
    <w:p w14:paraId="77439D86" w14:textId="77777777" w:rsidR="005E57E3" w:rsidRDefault="005E57E3">
      <w:pPr>
        <w:pStyle w:val="Index1"/>
        <w:tabs>
          <w:tab w:val="right" w:leader="dot" w:pos="9350"/>
        </w:tabs>
        <w:rPr>
          <w:noProof/>
        </w:rPr>
      </w:pPr>
      <w:r>
        <w:rPr>
          <w:noProof/>
        </w:rPr>
        <w:t>Workload Process Mapping to Application Option Table</w:t>
      </w:r>
      <w:r>
        <w:rPr>
          <w:noProof/>
        </w:rPr>
        <w:tab/>
        <w:t>549</w:t>
      </w:r>
    </w:p>
    <w:p w14:paraId="77FF05C1" w14:textId="77777777" w:rsidR="005E57E3" w:rsidRDefault="005E57E3">
      <w:pPr>
        <w:pStyle w:val="Index1"/>
        <w:tabs>
          <w:tab w:val="right" w:leader="dot" w:pos="9350"/>
        </w:tabs>
        <w:rPr>
          <w:noProof/>
        </w:rPr>
      </w:pPr>
      <w:r>
        <w:rPr>
          <w:noProof/>
        </w:rPr>
        <w:t>Workload Process to Use Case Mapping Table</w:t>
      </w:r>
      <w:r>
        <w:rPr>
          <w:noProof/>
        </w:rPr>
        <w:tab/>
        <w:t>469</w:t>
      </w:r>
    </w:p>
    <w:p w14:paraId="1718FD3A" w14:textId="34B7465B" w:rsidR="005E57E3" w:rsidRDefault="005E57E3" w:rsidP="009C0A99">
      <w:pPr>
        <w:pStyle w:val="BodyText"/>
        <w:jc w:val="center"/>
        <w:rPr>
          <w:rFonts w:ascii="Arial" w:hAnsi="Arial" w:cs="Arial"/>
          <w:b/>
          <w:bCs/>
          <w:noProof/>
          <w:kern w:val="32"/>
        </w:rPr>
        <w:sectPr w:rsidR="005E57E3" w:rsidSect="005E57E3">
          <w:type w:val="continuous"/>
          <w:pgSz w:w="12240" w:h="15840" w:code="1"/>
          <w:pgMar w:top="1440" w:right="1440" w:bottom="1440" w:left="1440" w:header="720" w:footer="720" w:gutter="0"/>
          <w:cols w:space="720"/>
          <w:docGrid w:linePitch="360"/>
        </w:sectPr>
      </w:pPr>
    </w:p>
    <w:p w14:paraId="6AE17B98" w14:textId="5A6CB2EC" w:rsidR="00681D23" w:rsidRDefault="00E93F17" w:rsidP="009C0A99">
      <w:pPr>
        <w:pStyle w:val="BodyText"/>
        <w:jc w:val="center"/>
        <w:rPr>
          <w:kern w:val="32"/>
        </w:rPr>
      </w:pPr>
      <w:r w:rsidRPr="00206945">
        <w:rPr>
          <w:kern w:val="32"/>
        </w:rPr>
        <w:fldChar w:fldCharType="end"/>
      </w:r>
    </w:p>
    <w:p w14:paraId="0B73A6F2" w14:textId="77777777" w:rsidR="00AD2C30" w:rsidRDefault="00F50F30" w:rsidP="00AD2C30">
      <w:pPr>
        <w:pStyle w:val="Heading1"/>
      </w:pPr>
      <w:r>
        <w:t xml:space="preserve"> </w:t>
      </w:r>
      <w:r w:rsidR="00C033C9">
        <w:br w:type="page"/>
      </w:r>
      <w:bookmarkStart w:id="960" w:name="_Toc47516862"/>
      <w:r w:rsidR="00AD2C30">
        <w:lastRenderedPageBreak/>
        <w:t>Revision History</w:t>
      </w:r>
      <w:bookmarkEnd w:id="960"/>
    </w:p>
    <w:tbl>
      <w:tblPr>
        <w:tblW w:w="100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8"/>
        <w:gridCol w:w="990"/>
        <w:gridCol w:w="6994"/>
        <w:gridCol w:w="1098"/>
      </w:tblGrid>
      <w:tr w:rsidR="00AD2C30" w14:paraId="05CEA33E" w14:textId="77777777" w:rsidTr="00A7660A">
        <w:trPr>
          <w:trHeight w:val="403"/>
          <w:tblHeader/>
        </w:trPr>
        <w:tc>
          <w:tcPr>
            <w:tcW w:w="918" w:type="dxa"/>
            <w:tcBorders>
              <w:bottom w:val="single" w:sz="6" w:space="0" w:color="auto"/>
            </w:tcBorders>
            <w:shd w:val="clear" w:color="auto" w:fill="B3B3B3"/>
            <w:vAlign w:val="bottom"/>
          </w:tcPr>
          <w:p w14:paraId="6ED83BDF" w14:textId="77777777" w:rsidR="00AD2C30" w:rsidRDefault="00AD2C30" w:rsidP="00237FB5">
            <w:pPr>
              <w:pStyle w:val="TableText"/>
              <w:rPr>
                <w:b/>
                <w:u w:val="single"/>
              </w:rPr>
            </w:pPr>
            <w:r>
              <w:rPr>
                <w:b/>
              </w:rPr>
              <w:t>Date</w:t>
            </w:r>
          </w:p>
        </w:tc>
        <w:tc>
          <w:tcPr>
            <w:tcW w:w="990" w:type="dxa"/>
            <w:tcBorders>
              <w:bottom w:val="single" w:sz="6" w:space="0" w:color="auto"/>
            </w:tcBorders>
            <w:shd w:val="clear" w:color="auto" w:fill="B3B3B3"/>
            <w:vAlign w:val="bottom"/>
          </w:tcPr>
          <w:p w14:paraId="787DCF6C" w14:textId="77777777" w:rsidR="00AD2C30" w:rsidRDefault="00AD2C30" w:rsidP="00237FB5">
            <w:pPr>
              <w:pStyle w:val="TableText"/>
              <w:rPr>
                <w:b/>
                <w:u w:val="single"/>
              </w:rPr>
            </w:pPr>
            <w:r>
              <w:rPr>
                <w:b/>
              </w:rPr>
              <w:t>Revision</w:t>
            </w:r>
          </w:p>
        </w:tc>
        <w:tc>
          <w:tcPr>
            <w:tcW w:w="6994" w:type="dxa"/>
            <w:tcBorders>
              <w:bottom w:val="single" w:sz="6" w:space="0" w:color="auto"/>
            </w:tcBorders>
            <w:shd w:val="clear" w:color="auto" w:fill="B3B3B3"/>
            <w:vAlign w:val="bottom"/>
          </w:tcPr>
          <w:p w14:paraId="0D8B545B" w14:textId="77777777" w:rsidR="00AD2C30" w:rsidRDefault="00AD2C30" w:rsidP="00237FB5">
            <w:pPr>
              <w:pStyle w:val="TableText"/>
              <w:rPr>
                <w:b/>
                <w:u w:val="single"/>
              </w:rPr>
            </w:pPr>
            <w:r>
              <w:rPr>
                <w:b/>
              </w:rPr>
              <w:t>Description</w:t>
            </w:r>
          </w:p>
        </w:tc>
        <w:tc>
          <w:tcPr>
            <w:tcW w:w="1098" w:type="dxa"/>
            <w:tcBorders>
              <w:bottom w:val="single" w:sz="6" w:space="0" w:color="auto"/>
            </w:tcBorders>
            <w:shd w:val="clear" w:color="auto" w:fill="B3B3B3"/>
            <w:vAlign w:val="bottom"/>
          </w:tcPr>
          <w:p w14:paraId="352FCCC0" w14:textId="77777777" w:rsidR="00AD2C30" w:rsidRDefault="00AD2C30" w:rsidP="00237FB5">
            <w:pPr>
              <w:pStyle w:val="TableText"/>
              <w:rPr>
                <w:b/>
                <w:u w:val="single"/>
              </w:rPr>
            </w:pPr>
            <w:r>
              <w:rPr>
                <w:b/>
              </w:rPr>
              <w:t>Author</w:t>
            </w:r>
          </w:p>
        </w:tc>
      </w:tr>
      <w:tr w:rsidR="00AD2C30" w:rsidRPr="009D5AF3" w14:paraId="3404C75B" w14:textId="77777777" w:rsidTr="00A7660A">
        <w:tc>
          <w:tcPr>
            <w:tcW w:w="918" w:type="dxa"/>
          </w:tcPr>
          <w:p w14:paraId="63592B8E" w14:textId="00AC8D99" w:rsidR="00AD2C30" w:rsidRDefault="00ED639D" w:rsidP="00237FB5">
            <w:pPr>
              <w:pStyle w:val="TableText"/>
            </w:pPr>
            <w:r>
              <w:t>9</w:t>
            </w:r>
            <w:r w:rsidR="000B1D08">
              <w:t>/</w:t>
            </w:r>
            <w:r w:rsidR="00003B87">
              <w:t>3</w:t>
            </w:r>
            <w:r w:rsidR="00AD2C30">
              <w:t>/19</w:t>
            </w:r>
          </w:p>
        </w:tc>
        <w:tc>
          <w:tcPr>
            <w:tcW w:w="990" w:type="dxa"/>
          </w:tcPr>
          <w:p w14:paraId="6EE8E2F7" w14:textId="77777777" w:rsidR="00AD2C30" w:rsidRDefault="00AD2C30" w:rsidP="00237FB5">
            <w:pPr>
              <w:pStyle w:val="TableText"/>
            </w:pPr>
            <w:r>
              <w:t>1.0</w:t>
            </w:r>
          </w:p>
        </w:tc>
        <w:tc>
          <w:tcPr>
            <w:tcW w:w="6994" w:type="dxa"/>
          </w:tcPr>
          <w:p w14:paraId="604DFEE2" w14:textId="77777777" w:rsidR="008B34D8" w:rsidRPr="00C47F3B" w:rsidRDefault="008B34D8" w:rsidP="00DA2E99">
            <w:pPr>
              <w:rPr>
                <w:rFonts w:ascii="Arial" w:hAnsi="Arial" w:cs="Arial"/>
                <w:sz w:val="18"/>
                <w:szCs w:val="18"/>
              </w:rPr>
            </w:pPr>
            <w:r w:rsidRPr="00C47F3B">
              <w:rPr>
                <w:rFonts w:ascii="Arial" w:hAnsi="Arial" w:cs="Arial"/>
                <w:sz w:val="18"/>
                <w:szCs w:val="18"/>
              </w:rPr>
              <w:t>VBECS 2.3.2 Rev A</w:t>
            </w:r>
          </w:p>
          <w:p w14:paraId="29063A11" w14:textId="77777777" w:rsidR="00C47F3B" w:rsidRPr="00C47F3B" w:rsidRDefault="00DA2E99" w:rsidP="00DA2E99">
            <w:pPr>
              <w:rPr>
                <w:rFonts w:ascii="Arial" w:hAnsi="Arial" w:cs="Arial"/>
                <w:vanish/>
                <w:sz w:val="18"/>
                <w:szCs w:val="18"/>
              </w:rPr>
            </w:pPr>
            <w:r w:rsidRPr="00C47F3B">
              <w:rPr>
                <w:rFonts w:ascii="Arial" w:hAnsi="Arial" w:cs="Arial"/>
                <w:sz w:val="18"/>
                <w:szCs w:val="18"/>
              </w:rPr>
              <w:t>Modified VistA Blood Establishment Computer Software (VBECS) 2.3.</w:t>
            </w:r>
            <w:r w:rsidR="00AD5990" w:rsidRPr="00C47F3B">
              <w:rPr>
                <w:rFonts w:ascii="Arial" w:hAnsi="Arial" w:cs="Arial"/>
                <w:sz w:val="18"/>
                <w:szCs w:val="18"/>
              </w:rPr>
              <w:t>1</w:t>
            </w:r>
            <w:r w:rsidRPr="00C47F3B">
              <w:rPr>
                <w:rFonts w:ascii="Arial" w:hAnsi="Arial" w:cs="Arial"/>
                <w:sz w:val="18"/>
                <w:szCs w:val="18"/>
              </w:rPr>
              <w:t xml:space="preserve"> User Guide, Version </w:t>
            </w:r>
            <w:r w:rsidR="00AD5990" w:rsidRPr="00C47F3B">
              <w:rPr>
                <w:rFonts w:ascii="Arial" w:hAnsi="Arial" w:cs="Arial"/>
                <w:sz w:val="18"/>
                <w:szCs w:val="18"/>
              </w:rPr>
              <w:t>2</w:t>
            </w:r>
            <w:r w:rsidRPr="00C47F3B">
              <w:rPr>
                <w:rFonts w:ascii="Arial" w:hAnsi="Arial" w:cs="Arial"/>
                <w:sz w:val="18"/>
                <w:szCs w:val="18"/>
              </w:rPr>
              <w:t>.0 to create the VistA Blood Establishment Computer Software (VBECS) 2.3.</w:t>
            </w:r>
            <w:r w:rsidR="00AD5990" w:rsidRPr="00C47F3B">
              <w:rPr>
                <w:rFonts w:ascii="Arial" w:hAnsi="Arial" w:cs="Arial"/>
                <w:sz w:val="18"/>
                <w:szCs w:val="18"/>
              </w:rPr>
              <w:t>2</w:t>
            </w:r>
            <w:r w:rsidRPr="00C47F3B">
              <w:rPr>
                <w:rFonts w:ascii="Arial" w:hAnsi="Arial" w:cs="Arial"/>
                <w:sz w:val="18"/>
                <w:szCs w:val="18"/>
              </w:rPr>
              <w:t xml:space="preserve"> User Guide, Version 1.0</w:t>
            </w:r>
            <w:r w:rsidRPr="00C47F3B">
              <w:rPr>
                <w:rFonts w:ascii="Arial" w:hAnsi="Arial" w:cs="Arial"/>
                <w:vanish/>
                <w:sz w:val="18"/>
                <w:szCs w:val="18"/>
              </w:rPr>
              <w:t xml:space="preserve">.(Task </w:t>
            </w:r>
            <w:r w:rsidR="00D76B5E" w:rsidRPr="00C47F3B">
              <w:rPr>
                <w:rFonts w:ascii="Arial" w:hAnsi="Arial" w:cs="Arial"/>
                <w:vanish/>
                <w:sz w:val="18"/>
                <w:szCs w:val="18"/>
              </w:rPr>
              <w:t>974563</w:t>
            </w:r>
            <w:r w:rsidRPr="00C47F3B">
              <w:rPr>
                <w:rFonts w:ascii="Arial" w:hAnsi="Arial" w:cs="Arial"/>
                <w:vanish/>
                <w:sz w:val="18"/>
                <w:szCs w:val="18"/>
              </w:rPr>
              <w:t>)</w:t>
            </w:r>
          </w:p>
          <w:p w14:paraId="3E39E78A" w14:textId="77777777" w:rsidR="00355A17" w:rsidRDefault="00400E5D" w:rsidP="00DA2E99">
            <w:pPr>
              <w:rPr>
                <w:rFonts w:ascii="Arial" w:hAnsi="Arial" w:cs="Arial"/>
                <w:vanish/>
                <w:sz w:val="18"/>
                <w:szCs w:val="18"/>
              </w:rPr>
            </w:pPr>
            <w:r w:rsidRPr="00C47F3B">
              <w:rPr>
                <w:rFonts w:ascii="Arial" w:hAnsi="Arial" w:cs="Arial"/>
                <w:vanish/>
                <w:sz w:val="18"/>
                <w:szCs w:val="18"/>
              </w:rPr>
              <w:t>Figure 1 System Schematic: Revised to remove BCE. Task 962636</w:t>
            </w:r>
          </w:p>
          <w:p w14:paraId="34FBA417" w14:textId="0A7ED18E" w:rsidR="00381B2F" w:rsidRPr="00C47F3B" w:rsidRDefault="00381B2F" w:rsidP="00DA2E99">
            <w:pPr>
              <w:rPr>
                <w:rFonts w:ascii="Arial" w:hAnsi="Arial" w:cs="Arial"/>
                <w:vanish/>
                <w:sz w:val="18"/>
                <w:szCs w:val="18"/>
              </w:rPr>
            </w:pPr>
            <w:r w:rsidRPr="00C47F3B">
              <w:rPr>
                <w:rFonts w:ascii="Arial" w:hAnsi="Arial" w:cs="Arial"/>
                <w:vanish/>
                <w:sz w:val="18"/>
                <w:szCs w:val="18"/>
              </w:rPr>
              <w:t xml:space="preserve">Creating and Reviewing Reports: Revised fourteenth note pertaining to </w:t>
            </w:r>
            <w:r w:rsidR="00353343" w:rsidRPr="00C47F3B">
              <w:rPr>
                <w:rFonts w:ascii="Arial" w:hAnsi="Arial" w:cs="Arial"/>
                <w:vanish/>
                <w:sz w:val="18"/>
                <w:szCs w:val="18"/>
              </w:rPr>
              <w:t>future date and time. Task 215465</w:t>
            </w:r>
          </w:p>
          <w:p w14:paraId="67B7DF05" w14:textId="77777777" w:rsidR="00541860" w:rsidRPr="00C47F3B" w:rsidRDefault="00541860" w:rsidP="00541860">
            <w:pPr>
              <w:pStyle w:val="TableTextBullet"/>
              <w:numPr>
                <w:ilvl w:val="0"/>
                <w:numId w:val="0"/>
              </w:numPr>
              <w:tabs>
                <w:tab w:val="left" w:pos="720"/>
              </w:tabs>
              <w:rPr>
                <w:vanish/>
              </w:rPr>
            </w:pPr>
            <w:r w:rsidRPr="00C47F3B">
              <w:rPr>
                <w:vanish/>
              </w:rPr>
              <w:t>Component Processing, Incoming Shipment, Step 4: Revised second note pertaining to ISBT 128 Unit ID. Task 950910</w:t>
            </w:r>
          </w:p>
          <w:p w14:paraId="13F3C2B9" w14:textId="77777777" w:rsidR="00541860" w:rsidRPr="00C47F3B" w:rsidRDefault="00541860" w:rsidP="00541860">
            <w:pPr>
              <w:pStyle w:val="TableTextBullet"/>
              <w:numPr>
                <w:ilvl w:val="0"/>
                <w:numId w:val="0"/>
              </w:numPr>
              <w:tabs>
                <w:tab w:val="left" w:pos="720"/>
              </w:tabs>
              <w:rPr>
                <w:rFonts w:cs="Arial"/>
                <w:vanish/>
                <w:szCs w:val="18"/>
              </w:rPr>
            </w:pPr>
            <w:r w:rsidRPr="00C47F3B">
              <w:rPr>
                <w:rFonts w:cs="Arial"/>
                <w:vanish/>
                <w:szCs w:val="18"/>
              </w:rPr>
              <w:t>Component Processing, Incoming Shipment, Step 7: Removed last note under Scanned Product Code pertaining to product code characters. Task 632857</w:t>
            </w:r>
          </w:p>
          <w:p w14:paraId="57D4B53C" w14:textId="26194805" w:rsidR="00541860" w:rsidRPr="00C47F3B" w:rsidRDefault="00541860" w:rsidP="00541860">
            <w:pPr>
              <w:pStyle w:val="TableTextBullet"/>
              <w:numPr>
                <w:ilvl w:val="0"/>
                <w:numId w:val="0"/>
              </w:numPr>
              <w:tabs>
                <w:tab w:val="left" w:pos="720"/>
              </w:tabs>
              <w:rPr>
                <w:rFonts w:cs="Arial"/>
                <w:vanish/>
                <w:szCs w:val="18"/>
              </w:rPr>
            </w:pPr>
            <w:r w:rsidRPr="00C47F3B">
              <w:rPr>
                <w:rFonts w:cs="Arial"/>
                <w:vanish/>
                <w:szCs w:val="18"/>
              </w:rPr>
              <w:t>Accept Orders, Accept an Order, Step 8: Revised second note.</w:t>
            </w:r>
          </w:p>
          <w:p w14:paraId="32ECAFF9" w14:textId="4119A4EA" w:rsidR="009913C5" w:rsidRPr="00C47F3B" w:rsidRDefault="009913C5" w:rsidP="00541860">
            <w:pPr>
              <w:pStyle w:val="TableTextBullet"/>
              <w:numPr>
                <w:ilvl w:val="0"/>
                <w:numId w:val="0"/>
              </w:numPr>
              <w:tabs>
                <w:tab w:val="left" w:pos="720"/>
              </w:tabs>
              <w:rPr>
                <w:rFonts w:cs="Arial"/>
                <w:vanish/>
                <w:szCs w:val="18"/>
              </w:rPr>
            </w:pPr>
            <w:r w:rsidRPr="00C47F3B">
              <w:rPr>
                <w:rFonts w:cs="Arial"/>
                <w:vanish/>
                <w:szCs w:val="18"/>
              </w:rPr>
              <w:t>Order Reflex Tests, Limitations and Restrictions, second bullet: Added FAQ reference. Also added to Appendix D. Task 643531</w:t>
            </w:r>
          </w:p>
          <w:p w14:paraId="42EE9C0E" w14:textId="482C92D2" w:rsidR="00285A5D" w:rsidRPr="00C47F3B" w:rsidRDefault="00285A5D" w:rsidP="00541860">
            <w:pPr>
              <w:pStyle w:val="TableTextBullet"/>
              <w:numPr>
                <w:ilvl w:val="0"/>
                <w:numId w:val="0"/>
              </w:numPr>
              <w:tabs>
                <w:tab w:val="left" w:pos="720"/>
              </w:tabs>
              <w:rPr>
                <w:rFonts w:cs="Arial"/>
                <w:vanish/>
                <w:szCs w:val="18"/>
              </w:rPr>
            </w:pPr>
            <w:r w:rsidRPr="00C47F3B">
              <w:rPr>
                <w:rFonts w:cs="Arial"/>
                <w:vanish/>
                <w:szCs w:val="18"/>
              </w:rPr>
              <w:t xml:space="preserve">Display Order </w:t>
            </w:r>
            <w:r w:rsidR="00CD5A0C" w:rsidRPr="00C47F3B">
              <w:rPr>
                <w:rFonts w:cs="Arial"/>
                <w:vanish/>
                <w:szCs w:val="18"/>
              </w:rPr>
              <w:t xml:space="preserve">Status </w:t>
            </w:r>
            <w:r w:rsidRPr="00C47F3B">
              <w:rPr>
                <w:rFonts w:cs="Arial"/>
                <w:vanish/>
                <w:szCs w:val="18"/>
              </w:rPr>
              <w:t xml:space="preserve">Alert: Added new </w:t>
            </w:r>
            <w:r w:rsidR="00CD5A0C" w:rsidRPr="00C47F3B">
              <w:rPr>
                <w:rFonts w:cs="Arial"/>
                <w:vanish/>
                <w:szCs w:val="18"/>
              </w:rPr>
              <w:t>section</w:t>
            </w:r>
            <w:r w:rsidRPr="00C47F3B">
              <w:rPr>
                <w:rFonts w:cs="Arial"/>
                <w:vanish/>
                <w:szCs w:val="18"/>
              </w:rPr>
              <w:t>. Task 970072</w:t>
            </w:r>
          </w:p>
          <w:p w14:paraId="6F64D104" w14:textId="0B003E81" w:rsidR="00541860" w:rsidRPr="00C47F3B" w:rsidRDefault="00541860" w:rsidP="00541860">
            <w:pPr>
              <w:pStyle w:val="TableTextBullet"/>
              <w:numPr>
                <w:ilvl w:val="0"/>
                <w:numId w:val="0"/>
              </w:numPr>
              <w:tabs>
                <w:tab w:val="left" w:pos="720"/>
              </w:tabs>
              <w:rPr>
                <w:rFonts w:cs="Arial"/>
                <w:vanish/>
                <w:szCs w:val="18"/>
              </w:rPr>
            </w:pPr>
            <w:r w:rsidRPr="00C47F3B">
              <w:rPr>
                <w:rFonts w:cs="Arial"/>
                <w:vanish/>
                <w:szCs w:val="18"/>
              </w:rPr>
              <w:t>Reports section: Removed Note 3 pertained to report search in VBECS being limited to 2000 characters. Defect 210100</w:t>
            </w:r>
          </w:p>
          <w:p w14:paraId="4377D07B" w14:textId="3F82702D" w:rsidR="00541860" w:rsidRPr="00C47F3B" w:rsidRDefault="00541860" w:rsidP="00541860">
            <w:pPr>
              <w:pStyle w:val="TableTextBullet"/>
              <w:numPr>
                <w:ilvl w:val="0"/>
                <w:numId w:val="0"/>
              </w:numPr>
              <w:tabs>
                <w:tab w:val="left" w:pos="720"/>
              </w:tabs>
              <w:rPr>
                <w:rFonts w:cs="Arial"/>
                <w:vanish/>
                <w:szCs w:val="18"/>
              </w:rPr>
            </w:pPr>
            <w:r w:rsidRPr="00C47F3B">
              <w:rPr>
                <w:rFonts w:cs="Arial"/>
                <w:vanish/>
                <w:szCs w:val="18"/>
              </w:rPr>
              <w:t>Administrative Data Report, Step 2: Revised fifth note. Task 969944</w:t>
            </w:r>
          </w:p>
          <w:p w14:paraId="0A1634A2" w14:textId="10EDECDE" w:rsidR="00541860" w:rsidRPr="00C47F3B" w:rsidRDefault="00541860" w:rsidP="00541860">
            <w:pPr>
              <w:pStyle w:val="TableTextBullet"/>
              <w:numPr>
                <w:ilvl w:val="0"/>
                <w:numId w:val="0"/>
              </w:numPr>
              <w:tabs>
                <w:tab w:val="left" w:pos="720"/>
              </w:tabs>
              <w:rPr>
                <w:rFonts w:cs="Arial"/>
                <w:vanish/>
                <w:szCs w:val="18"/>
              </w:rPr>
            </w:pPr>
            <w:r w:rsidRPr="00C47F3B">
              <w:rPr>
                <w:rFonts w:cs="Arial"/>
                <w:vanish/>
                <w:szCs w:val="18"/>
              </w:rPr>
              <w:t>Administrative Data Report, Step 3: Removed first note pertaining to date range. Task 967740</w:t>
            </w:r>
          </w:p>
          <w:p w14:paraId="1D39326A" w14:textId="595F041F" w:rsidR="00353343" w:rsidRPr="00C47F3B" w:rsidRDefault="00353343" w:rsidP="00DA2E99">
            <w:pPr>
              <w:rPr>
                <w:rFonts w:ascii="Arial" w:hAnsi="Arial" w:cs="Arial"/>
                <w:vanish/>
                <w:sz w:val="18"/>
                <w:szCs w:val="18"/>
              </w:rPr>
            </w:pPr>
            <w:r w:rsidRPr="00C47F3B">
              <w:rPr>
                <w:rFonts w:ascii="Arial" w:hAnsi="Arial" w:cs="Arial"/>
                <w:vanish/>
                <w:sz w:val="18"/>
                <w:szCs w:val="18"/>
              </w:rPr>
              <w:t>Administrative Data Report, Step 3: Revised second note. Task 215465</w:t>
            </w:r>
          </w:p>
          <w:p w14:paraId="5A775437" w14:textId="140E5C26" w:rsidR="00541860" w:rsidRPr="00C47F3B" w:rsidRDefault="00541860" w:rsidP="00541860">
            <w:pPr>
              <w:pStyle w:val="TableTextBullet"/>
              <w:numPr>
                <w:ilvl w:val="0"/>
                <w:numId w:val="0"/>
              </w:numPr>
              <w:tabs>
                <w:tab w:val="left" w:pos="720"/>
              </w:tabs>
              <w:rPr>
                <w:rFonts w:cs="Arial"/>
                <w:vanish/>
                <w:szCs w:val="18"/>
              </w:rPr>
            </w:pPr>
            <w:r w:rsidRPr="00C47F3B">
              <w:rPr>
                <w:rFonts w:cs="Arial"/>
                <w:vanish/>
                <w:szCs w:val="18"/>
              </w:rPr>
              <w:t>C:T Ratio Report, Step 3: Changed Physician to Ordering Physician. Task 969929</w:t>
            </w:r>
          </w:p>
          <w:p w14:paraId="4B4DED8D" w14:textId="6A6DD8E2" w:rsidR="00015258" w:rsidRPr="00C47F3B" w:rsidRDefault="00015258" w:rsidP="00541860">
            <w:pPr>
              <w:pStyle w:val="TableTextBullet"/>
              <w:numPr>
                <w:ilvl w:val="0"/>
                <w:numId w:val="0"/>
              </w:numPr>
              <w:tabs>
                <w:tab w:val="left" w:pos="720"/>
              </w:tabs>
              <w:rPr>
                <w:rFonts w:cs="Arial"/>
                <w:vanish/>
                <w:szCs w:val="18"/>
              </w:rPr>
            </w:pPr>
            <w:r w:rsidRPr="00C47F3B">
              <w:rPr>
                <w:rFonts w:cs="Arial"/>
                <w:vanish/>
                <w:szCs w:val="18"/>
              </w:rPr>
              <w:t>C:T Ratio Report, Additional Information, first bullet: Revised.</w:t>
            </w:r>
          </w:p>
          <w:p w14:paraId="1326575B" w14:textId="1108ACC7" w:rsidR="008D26B3" w:rsidRPr="00C47F3B" w:rsidRDefault="008D26B3" w:rsidP="00541860">
            <w:pPr>
              <w:pStyle w:val="TableTextBullet"/>
              <w:numPr>
                <w:ilvl w:val="0"/>
                <w:numId w:val="0"/>
              </w:numPr>
              <w:tabs>
                <w:tab w:val="left" w:pos="720"/>
              </w:tabs>
              <w:rPr>
                <w:rFonts w:cs="Arial"/>
                <w:vanish/>
                <w:szCs w:val="18"/>
              </w:rPr>
            </w:pPr>
            <w:r w:rsidRPr="00C47F3B">
              <w:rPr>
                <w:rFonts w:cs="Arial"/>
                <w:vanish/>
                <w:szCs w:val="18"/>
              </w:rPr>
              <w:t>C:T Ratio Report, first sentence: Changed “crossmatch” to “crossmatch/assigned”.</w:t>
            </w:r>
          </w:p>
          <w:p w14:paraId="14D9121B" w14:textId="05726678" w:rsidR="008D26B3" w:rsidRPr="00C47F3B" w:rsidRDefault="008D26B3" w:rsidP="00541860">
            <w:pPr>
              <w:pStyle w:val="TableTextBullet"/>
              <w:numPr>
                <w:ilvl w:val="0"/>
                <w:numId w:val="0"/>
              </w:numPr>
              <w:tabs>
                <w:tab w:val="left" w:pos="720"/>
              </w:tabs>
              <w:rPr>
                <w:rFonts w:cs="Arial"/>
                <w:vanish/>
                <w:szCs w:val="18"/>
              </w:rPr>
            </w:pPr>
            <w:r w:rsidRPr="00C47F3B">
              <w:rPr>
                <w:rFonts w:cs="Arial"/>
                <w:vanish/>
                <w:szCs w:val="18"/>
              </w:rPr>
              <w:t>C:T Ratio Report, Step 1, VBECS column, third bullet: Removed “crossmatch”.</w:t>
            </w:r>
          </w:p>
          <w:p w14:paraId="10D1B3EE" w14:textId="26A9125A" w:rsidR="008D26B3" w:rsidRPr="00C47F3B" w:rsidRDefault="008D26B3" w:rsidP="00541860">
            <w:pPr>
              <w:pStyle w:val="TableTextBullet"/>
              <w:numPr>
                <w:ilvl w:val="0"/>
                <w:numId w:val="0"/>
              </w:numPr>
              <w:tabs>
                <w:tab w:val="left" w:pos="720"/>
              </w:tabs>
              <w:rPr>
                <w:rFonts w:cs="Arial"/>
                <w:vanish/>
                <w:szCs w:val="18"/>
              </w:rPr>
            </w:pPr>
            <w:r w:rsidRPr="00C47F3B">
              <w:rPr>
                <w:rFonts w:cs="Arial"/>
                <w:vanish/>
                <w:szCs w:val="18"/>
              </w:rPr>
              <w:t>C:T Ratio Report, Step 2, User Action column: Removed “crossmatched”.</w:t>
            </w:r>
          </w:p>
          <w:p w14:paraId="3F31D8BE" w14:textId="79538AF6" w:rsidR="008D26B3" w:rsidRPr="00C47F3B" w:rsidRDefault="008D26B3" w:rsidP="00541860">
            <w:pPr>
              <w:pStyle w:val="TableTextBullet"/>
              <w:numPr>
                <w:ilvl w:val="0"/>
                <w:numId w:val="0"/>
              </w:numPr>
              <w:tabs>
                <w:tab w:val="left" w:pos="720"/>
              </w:tabs>
              <w:rPr>
                <w:rFonts w:cs="Arial"/>
                <w:vanish/>
                <w:szCs w:val="18"/>
              </w:rPr>
            </w:pPr>
            <w:r w:rsidRPr="00C47F3B">
              <w:rPr>
                <w:rFonts w:cs="Arial"/>
                <w:vanish/>
                <w:szCs w:val="18"/>
              </w:rPr>
              <w:t>C:T Ratio Report, Step 4, User Action column, second bullet: Changed “Physician Summary Report” to “Ordering Physician Summary Report”.</w:t>
            </w:r>
          </w:p>
          <w:p w14:paraId="5FC23B1E" w14:textId="40B78AF8" w:rsidR="008D26B3" w:rsidRPr="00C47F3B" w:rsidRDefault="008D26B3" w:rsidP="008D26B3">
            <w:pPr>
              <w:pStyle w:val="TableTextBullet"/>
              <w:numPr>
                <w:ilvl w:val="0"/>
                <w:numId w:val="0"/>
              </w:numPr>
              <w:tabs>
                <w:tab w:val="left" w:pos="720"/>
              </w:tabs>
              <w:rPr>
                <w:rFonts w:cs="Arial"/>
                <w:vanish/>
                <w:szCs w:val="18"/>
              </w:rPr>
            </w:pPr>
            <w:r w:rsidRPr="00C47F3B">
              <w:rPr>
                <w:rFonts w:cs="Arial"/>
                <w:vanish/>
                <w:szCs w:val="18"/>
              </w:rPr>
              <w:t>C:T Ratio Report, Step 4, User Action column, fourth bullet: Changed “Physician Summary Report” to “Ordering Physician Summary Report”.</w:t>
            </w:r>
          </w:p>
          <w:p w14:paraId="15070365" w14:textId="32047B7F" w:rsidR="008D26B3" w:rsidRPr="00C47F3B" w:rsidRDefault="008D26B3" w:rsidP="00541860">
            <w:pPr>
              <w:pStyle w:val="TableTextBullet"/>
              <w:numPr>
                <w:ilvl w:val="0"/>
                <w:numId w:val="0"/>
              </w:numPr>
              <w:tabs>
                <w:tab w:val="left" w:pos="720"/>
              </w:tabs>
              <w:rPr>
                <w:rFonts w:cs="Arial"/>
                <w:vanish/>
                <w:szCs w:val="18"/>
              </w:rPr>
            </w:pPr>
            <w:r w:rsidRPr="00C47F3B">
              <w:rPr>
                <w:rFonts w:cs="Arial"/>
                <w:vanish/>
                <w:szCs w:val="18"/>
              </w:rPr>
              <w:t>C:T Ratio Report, Step 4, VBECS column, paragraph starting with “</w:t>
            </w:r>
            <w:r w:rsidRPr="00C47F3B">
              <w:rPr>
                <w:vanish/>
                <w:szCs w:val="18"/>
              </w:rPr>
              <w:t>VBECS determines for a division”: Change “crossmatched</w:t>
            </w:r>
            <w:r w:rsidRPr="00C47F3B">
              <w:rPr>
                <w:rFonts w:cs="Arial"/>
                <w:vanish/>
                <w:szCs w:val="18"/>
              </w:rPr>
              <w:t xml:space="preserve">” to “assigned or </w:t>
            </w:r>
            <w:r w:rsidRPr="00C47F3B">
              <w:rPr>
                <w:vanish/>
                <w:szCs w:val="18"/>
              </w:rPr>
              <w:t>crossmatched</w:t>
            </w:r>
            <w:r w:rsidRPr="00C47F3B">
              <w:rPr>
                <w:rFonts w:cs="Arial"/>
                <w:vanish/>
                <w:szCs w:val="18"/>
              </w:rPr>
              <w:t>”.</w:t>
            </w:r>
          </w:p>
          <w:p w14:paraId="4A22BEF4" w14:textId="49E354AF" w:rsidR="004850A1" w:rsidRPr="00C47F3B" w:rsidRDefault="004850A1" w:rsidP="004850A1">
            <w:pPr>
              <w:pStyle w:val="TableTextBullet"/>
              <w:numPr>
                <w:ilvl w:val="0"/>
                <w:numId w:val="0"/>
              </w:numPr>
              <w:tabs>
                <w:tab w:val="left" w:pos="720"/>
              </w:tabs>
              <w:rPr>
                <w:rFonts w:cs="Arial"/>
                <w:vanish/>
                <w:szCs w:val="18"/>
              </w:rPr>
            </w:pPr>
            <w:r w:rsidRPr="00C47F3B">
              <w:rPr>
                <w:rFonts w:cs="Arial"/>
                <w:vanish/>
                <w:szCs w:val="18"/>
              </w:rPr>
              <w:t>C:T Ratio Report, Step 4, VBECS column, paragraph starting with “</w:t>
            </w:r>
            <w:r w:rsidRPr="00C47F3B">
              <w:rPr>
                <w:vanish/>
                <w:szCs w:val="18"/>
              </w:rPr>
              <w:t xml:space="preserve">The </w:t>
            </w:r>
            <w:r w:rsidR="00ED639D" w:rsidRPr="00C47F3B">
              <w:rPr>
                <w:vanish/>
                <w:szCs w:val="18"/>
              </w:rPr>
              <w:t>d</w:t>
            </w:r>
            <w:r w:rsidRPr="00C47F3B">
              <w:rPr>
                <w:vanish/>
                <w:szCs w:val="18"/>
              </w:rPr>
              <w:t>etailed C”T ratio”: Change “crossmatched</w:t>
            </w:r>
            <w:r w:rsidRPr="00C47F3B">
              <w:rPr>
                <w:rFonts w:cs="Arial"/>
                <w:vanish/>
                <w:szCs w:val="18"/>
              </w:rPr>
              <w:t xml:space="preserve">” to “assigned or </w:t>
            </w:r>
            <w:r w:rsidRPr="00C47F3B">
              <w:rPr>
                <w:vanish/>
                <w:szCs w:val="18"/>
              </w:rPr>
              <w:t>crossmatched</w:t>
            </w:r>
            <w:r w:rsidRPr="00C47F3B">
              <w:rPr>
                <w:rFonts w:cs="Arial"/>
                <w:vanish/>
                <w:szCs w:val="18"/>
              </w:rPr>
              <w:t>”.</w:t>
            </w:r>
          </w:p>
          <w:p w14:paraId="4841E03B" w14:textId="77777777" w:rsidR="004850A1" w:rsidRPr="00C47F3B" w:rsidRDefault="004850A1" w:rsidP="004850A1">
            <w:pPr>
              <w:pStyle w:val="TableTextBullet"/>
              <w:numPr>
                <w:ilvl w:val="0"/>
                <w:numId w:val="0"/>
              </w:numPr>
              <w:tabs>
                <w:tab w:val="left" w:pos="720"/>
              </w:tabs>
              <w:rPr>
                <w:rFonts w:cs="Arial"/>
                <w:vanish/>
                <w:szCs w:val="18"/>
              </w:rPr>
            </w:pPr>
            <w:r w:rsidRPr="00C47F3B">
              <w:rPr>
                <w:rFonts w:cs="Arial"/>
                <w:vanish/>
                <w:szCs w:val="18"/>
              </w:rPr>
              <w:t>C:T Ratio Report, Step 4, VBECS column, paragraph starting with “</w:t>
            </w:r>
            <w:r w:rsidRPr="00C47F3B">
              <w:rPr>
                <w:vanish/>
                <w:szCs w:val="18"/>
              </w:rPr>
              <w:t>VBECS determines for a division”: Change “crossmatched</w:t>
            </w:r>
            <w:r w:rsidRPr="00C47F3B">
              <w:rPr>
                <w:rFonts w:cs="Arial"/>
                <w:vanish/>
                <w:szCs w:val="18"/>
              </w:rPr>
              <w:t xml:space="preserve">” to “assigned or </w:t>
            </w:r>
            <w:r w:rsidRPr="00C47F3B">
              <w:rPr>
                <w:vanish/>
                <w:szCs w:val="18"/>
              </w:rPr>
              <w:t>crossmatched</w:t>
            </w:r>
            <w:r w:rsidRPr="00C47F3B">
              <w:rPr>
                <w:rFonts w:cs="Arial"/>
                <w:vanish/>
                <w:szCs w:val="18"/>
              </w:rPr>
              <w:t>”.</w:t>
            </w:r>
          </w:p>
          <w:p w14:paraId="2B5F992F" w14:textId="1948EA8A" w:rsidR="004850A1" w:rsidRPr="00C47F3B" w:rsidRDefault="004850A1" w:rsidP="004850A1">
            <w:pPr>
              <w:pStyle w:val="TableTextBullet"/>
              <w:numPr>
                <w:ilvl w:val="0"/>
                <w:numId w:val="0"/>
              </w:numPr>
              <w:tabs>
                <w:tab w:val="left" w:pos="720"/>
              </w:tabs>
              <w:rPr>
                <w:rFonts w:cs="Arial"/>
                <w:vanish/>
                <w:szCs w:val="18"/>
              </w:rPr>
            </w:pPr>
            <w:r w:rsidRPr="00C47F3B">
              <w:rPr>
                <w:rFonts w:cs="Arial"/>
                <w:vanish/>
                <w:szCs w:val="18"/>
              </w:rPr>
              <w:t>C:T Ratio Report, Step 4, VBECS column, paragraph starting with “</w:t>
            </w:r>
            <w:r w:rsidRPr="00C47F3B">
              <w:rPr>
                <w:vanish/>
                <w:szCs w:val="18"/>
              </w:rPr>
              <w:t>VBECS determines for a physician”: Change “crossmatched</w:t>
            </w:r>
            <w:r w:rsidRPr="00C47F3B">
              <w:rPr>
                <w:rFonts w:cs="Arial"/>
                <w:vanish/>
                <w:szCs w:val="18"/>
              </w:rPr>
              <w:t xml:space="preserve">” to “assigned or </w:t>
            </w:r>
            <w:r w:rsidRPr="00C47F3B">
              <w:rPr>
                <w:vanish/>
                <w:szCs w:val="18"/>
              </w:rPr>
              <w:t>crossmatched</w:t>
            </w:r>
            <w:r w:rsidRPr="00C47F3B">
              <w:rPr>
                <w:rFonts w:cs="Arial"/>
                <w:vanish/>
                <w:szCs w:val="18"/>
              </w:rPr>
              <w:t>”.</w:t>
            </w:r>
          </w:p>
          <w:p w14:paraId="078F7A61" w14:textId="24059982" w:rsidR="004850A1" w:rsidRPr="00C47F3B" w:rsidRDefault="004850A1" w:rsidP="004850A1">
            <w:pPr>
              <w:pStyle w:val="TableTextBullet"/>
              <w:numPr>
                <w:ilvl w:val="0"/>
                <w:numId w:val="0"/>
              </w:numPr>
              <w:tabs>
                <w:tab w:val="left" w:pos="720"/>
              </w:tabs>
              <w:rPr>
                <w:rFonts w:cs="Arial"/>
                <w:vanish/>
                <w:szCs w:val="18"/>
              </w:rPr>
            </w:pPr>
            <w:r w:rsidRPr="00C47F3B">
              <w:rPr>
                <w:rFonts w:cs="Arial"/>
                <w:vanish/>
                <w:szCs w:val="18"/>
              </w:rPr>
              <w:t>C:T Ratio Report, Step 4, VBECS column, paragraph starting with “</w:t>
            </w:r>
            <w:r w:rsidRPr="00C47F3B">
              <w:rPr>
                <w:vanish/>
                <w:szCs w:val="18"/>
              </w:rPr>
              <w:t>VBECS determines for a treating specialty”: Change “crossmatched</w:t>
            </w:r>
            <w:r w:rsidRPr="00C47F3B">
              <w:rPr>
                <w:rFonts w:cs="Arial"/>
                <w:vanish/>
                <w:szCs w:val="18"/>
              </w:rPr>
              <w:t xml:space="preserve">” to “assigned or </w:t>
            </w:r>
            <w:r w:rsidRPr="00C47F3B">
              <w:rPr>
                <w:vanish/>
                <w:szCs w:val="18"/>
              </w:rPr>
              <w:t>crossmatched</w:t>
            </w:r>
            <w:r w:rsidRPr="00C47F3B">
              <w:rPr>
                <w:rFonts w:cs="Arial"/>
                <w:vanish/>
                <w:szCs w:val="18"/>
              </w:rPr>
              <w:t>”.</w:t>
            </w:r>
          </w:p>
          <w:p w14:paraId="0CAD345D" w14:textId="1036B0CF" w:rsidR="00541860" w:rsidRDefault="00541860" w:rsidP="00541860">
            <w:pPr>
              <w:pStyle w:val="TableTextBullet"/>
              <w:numPr>
                <w:ilvl w:val="0"/>
                <w:numId w:val="0"/>
              </w:numPr>
              <w:tabs>
                <w:tab w:val="left" w:pos="720"/>
              </w:tabs>
              <w:rPr>
                <w:rFonts w:cs="Arial"/>
                <w:vanish/>
                <w:szCs w:val="18"/>
              </w:rPr>
            </w:pPr>
            <w:r w:rsidRPr="00C47F3B">
              <w:rPr>
                <w:rFonts w:cs="Arial"/>
                <w:vanish/>
                <w:szCs w:val="18"/>
              </w:rPr>
              <w:t>Accounting Report, Step 2: Added a bullet for total cost of units inactivated and removed duplicate bullets. Task 976740</w:t>
            </w:r>
          </w:p>
          <w:p w14:paraId="2D2E0B61" w14:textId="05DEDD08" w:rsidR="00541860" w:rsidRPr="00C47F3B" w:rsidRDefault="00541860" w:rsidP="00541860">
            <w:pPr>
              <w:pStyle w:val="TableTextBullet"/>
              <w:numPr>
                <w:ilvl w:val="0"/>
                <w:numId w:val="0"/>
              </w:numPr>
              <w:tabs>
                <w:tab w:val="left" w:pos="720"/>
              </w:tabs>
              <w:rPr>
                <w:rFonts w:cs="Arial"/>
                <w:vanish/>
                <w:szCs w:val="18"/>
              </w:rPr>
            </w:pPr>
            <w:r w:rsidRPr="00C47F3B">
              <w:rPr>
                <w:rFonts w:cs="Arial"/>
                <w:vanish/>
                <w:szCs w:val="18"/>
              </w:rPr>
              <w:t>Division Transfusion Report, Step 2: Added note pertaining to user having the option to create the report by component class. Task 969920</w:t>
            </w:r>
          </w:p>
          <w:p w14:paraId="51D23659" w14:textId="75B29431" w:rsidR="004850A1" w:rsidRPr="00C47F3B" w:rsidRDefault="004850A1" w:rsidP="00541860">
            <w:pPr>
              <w:pStyle w:val="TableTextBullet"/>
              <w:numPr>
                <w:ilvl w:val="0"/>
                <w:numId w:val="0"/>
              </w:numPr>
              <w:tabs>
                <w:tab w:val="left" w:pos="720"/>
              </w:tabs>
              <w:rPr>
                <w:rFonts w:cs="Arial"/>
                <w:vanish/>
                <w:szCs w:val="18"/>
              </w:rPr>
            </w:pPr>
            <w:r w:rsidRPr="00C47F3B">
              <w:rPr>
                <w:rFonts w:cs="Arial"/>
                <w:vanish/>
                <w:szCs w:val="18"/>
              </w:rPr>
              <w:t>Division Transfusion Report, Step 2, User Action column: Added a third note pertaining to selecting all or specific items to be included in the report.</w:t>
            </w:r>
          </w:p>
          <w:p w14:paraId="253FFACC" w14:textId="30AD99FC" w:rsidR="004850A1" w:rsidRPr="00C47F3B" w:rsidRDefault="004850A1" w:rsidP="004850A1">
            <w:pPr>
              <w:pStyle w:val="TableTextBullet"/>
              <w:numPr>
                <w:ilvl w:val="0"/>
                <w:numId w:val="0"/>
              </w:numPr>
              <w:tabs>
                <w:tab w:val="left" w:pos="720"/>
              </w:tabs>
              <w:rPr>
                <w:rFonts w:cs="Arial"/>
                <w:vanish/>
                <w:szCs w:val="18"/>
              </w:rPr>
            </w:pPr>
            <w:r w:rsidRPr="00C47F3B">
              <w:rPr>
                <w:rFonts w:cs="Arial"/>
                <w:vanish/>
                <w:szCs w:val="18"/>
              </w:rPr>
              <w:t>Division Transfusion Report, Step 2, VBECS column, first bullet: Added</w:t>
            </w:r>
            <w:r w:rsidR="00986A74" w:rsidRPr="00C47F3B">
              <w:rPr>
                <w:rFonts w:cs="Arial"/>
                <w:vanish/>
                <w:szCs w:val="18"/>
              </w:rPr>
              <w:t xml:space="preserve"> “or component classes” to end of sentence.</w:t>
            </w:r>
          </w:p>
          <w:p w14:paraId="09AA0AA8" w14:textId="283B0066" w:rsidR="00986A74" w:rsidRPr="00C47F3B" w:rsidRDefault="00986A74" w:rsidP="00986A74">
            <w:pPr>
              <w:pStyle w:val="TableTextBullet"/>
              <w:numPr>
                <w:ilvl w:val="0"/>
                <w:numId w:val="0"/>
              </w:numPr>
              <w:tabs>
                <w:tab w:val="left" w:pos="720"/>
              </w:tabs>
              <w:rPr>
                <w:rFonts w:cs="Arial"/>
                <w:vanish/>
                <w:szCs w:val="18"/>
              </w:rPr>
            </w:pPr>
            <w:r w:rsidRPr="00C47F3B">
              <w:rPr>
                <w:rFonts w:cs="Arial"/>
                <w:vanish/>
                <w:szCs w:val="18"/>
              </w:rPr>
              <w:t>Division Transfusion Report, Step 2, VBECS column, second bullet: Changed “some or all physicians” to “some or all issuing physicians. Also added “or component classes” to end of sentence.</w:t>
            </w:r>
          </w:p>
          <w:p w14:paraId="45175043" w14:textId="77777777" w:rsidR="00986A74" w:rsidRPr="00C47F3B" w:rsidRDefault="00986A74" w:rsidP="00986A74">
            <w:pPr>
              <w:pStyle w:val="TableTextBullet"/>
              <w:numPr>
                <w:ilvl w:val="0"/>
                <w:numId w:val="0"/>
              </w:numPr>
              <w:tabs>
                <w:tab w:val="left" w:pos="720"/>
              </w:tabs>
              <w:rPr>
                <w:rFonts w:cs="Arial"/>
                <w:vanish/>
                <w:szCs w:val="18"/>
              </w:rPr>
            </w:pPr>
            <w:r w:rsidRPr="00C47F3B">
              <w:rPr>
                <w:rFonts w:cs="Arial"/>
                <w:vanish/>
                <w:szCs w:val="18"/>
              </w:rPr>
              <w:t>Division Transfusion Report, Step 2, VBECS column, second bullet: Changed “some or all physicians” to “some or all issuing physicians. Also added “or component classes” to end of sentence.</w:t>
            </w:r>
          </w:p>
          <w:p w14:paraId="6852A91B" w14:textId="5FBAAA46" w:rsidR="00986A74" w:rsidRPr="00C47F3B" w:rsidRDefault="00986A74" w:rsidP="00986A74">
            <w:pPr>
              <w:pStyle w:val="TableTextBullet"/>
              <w:numPr>
                <w:ilvl w:val="0"/>
                <w:numId w:val="0"/>
              </w:numPr>
              <w:tabs>
                <w:tab w:val="left" w:pos="720"/>
              </w:tabs>
              <w:rPr>
                <w:rFonts w:cs="Arial"/>
                <w:vanish/>
                <w:szCs w:val="18"/>
              </w:rPr>
            </w:pPr>
            <w:r w:rsidRPr="00C47F3B">
              <w:rPr>
                <w:rFonts w:cs="Arial"/>
                <w:vanish/>
                <w:szCs w:val="18"/>
              </w:rPr>
              <w:t>Division Transfusion Report, Step 2, VBECS column: Added “At the end, there is a summary table with tallies by Unit ABO/Rh and component class” as new last bullet.</w:t>
            </w:r>
          </w:p>
          <w:p w14:paraId="612D709D" w14:textId="439920B5" w:rsidR="004850A1" w:rsidRPr="00C47F3B" w:rsidRDefault="00986A74" w:rsidP="00541860">
            <w:pPr>
              <w:pStyle w:val="TableTextBullet"/>
              <w:numPr>
                <w:ilvl w:val="0"/>
                <w:numId w:val="0"/>
              </w:numPr>
              <w:tabs>
                <w:tab w:val="left" w:pos="720"/>
              </w:tabs>
              <w:rPr>
                <w:rFonts w:cs="Arial"/>
                <w:vanish/>
                <w:szCs w:val="18"/>
              </w:rPr>
            </w:pPr>
            <w:r w:rsidRPr="00C47F3B">
              <w:rPr>
                <w:rFonts w:cs="Arial"/>
                <w:vanish/>
                <w:szCs w:val="18"/>
              </w:rPr>
              <w:t>Issued/Returned Unit Report section, Step 2, VBECS column: Changed “issued date range or by patient name” to “issued date range, by patient name or by component class”.</w:t>
            </w:r>
          </w:p>
          <w:p w14:paraId="3563CFF9" w14:textId="7DB47D5F" w:rsidR="00986A74" w:rsidRPr="00C47F3B" w:rsidRDefault="00986A74" w:rsidP="00541860">
            <w:pPr>
              <w:pStyle w:val="TableTextBullet"/>
              <w:numPr>
                <w:ilvl w:val="0"/>
                <w:numId w:val="0"/>
              </w:numPr>
              <w:tabs>
                <w:tab w:val="left" w:pos="720"/>
              </w:tabs>
              <w:rPr>
                <w:rFonts w:cs="Arial"/>
                <w:vanish/>
                <w:szCs w:val="18"/>
              </w:rPr>
            </w:pPr>
            <w:r w:rsidRPr="00C47F3B">
              <w:rPr>
                <w:rFonts w:cs="Arial"/>
                <w:vanish/>
                <w:szCs w:val="18"/>
              </w:rPr>
              <w:t xml:space="preserve">Issued/Returned Unit Report section, Step 2, VBECS column: Changed “Issue/Return Date or Patient Name radio button.” to “Issue/Return Date, Patient Name or Component Class radio button.”  </w:t>
            </w:r>
          </w:p>
          <w:p w14:paraId="51255C93" w14:textId="2E1A7A7C" w:rsidR="00DA2E99" w:rsidRPr="00C47F3B" w:rsidRDefault="000779C9" w:rsidP="00DA2E99">
            <w:pPr>
              <w:pStyle w:val="TableTextBullet"/>
              <w:numPr>
                <w:ilvl w:val="0"/>
                <w:numId w:val="0"/>
              </w:numPr>
              <w:tabs>
                <w:tab w:val="left" w:pos="720"/>
              </w:tabs>
              <w:rPr>
                <w:rFonts w:cs="Arial"/>
                <w:vanish/>
                <w:szCs w:val="18"/>
              </w:rPr>
            </w:pPr>
            <w:r w:rsidRPr="00C47F3B">
              <w:rPr>
                <w:rFonts w:cs="Arial"/>
                <w:vanish/>
                <w:szCs w:val="18"/>
              </w:rPr>
              <w:t>Issued/Returned Unit Report</w:t>
            </w:r>
            <w:r w:rsidR="00DA2E99" w:rsidRPr="00C47F3B">
              <w:rPr>
                <w:rFonts w:cs="Arial"/>
                <w:vanish/>
                <w:szCs w:val="18"/>
              </w:rPr>
              <w:t xml:space="preserve"> section, </w:t>
            </w:r>
            <w:r w:rsidRPr="00C47F3B">
              <w:rPr>
                <w:rFonts w:cs="Arial"/>
                <w:vanish/>
                <w:szCs w:val="18"/>
              </w:rPr>
              <w:t>Step 3</w:t>
            </w:r>
            <w:r w:rsidR="00DA2E99" w:rsidRPr="00C47F3B">
              <w:rPr>
                <w:rFonts w:cs="Arial"/>
                <w:vanish/>
                <w:szCs w:val="18"/>
              </w:rPr>
              <w:t xml:space="preserve">: </w:t>
            </w:r>
            <w:r w:rsidR="0056786C" w:rsidRPr="00C47F3B">
              <w:rPr>
                <w:rFonts w:cs="Arial"/>
                <w:vanish/>
                <w:szCs w:val="18"/>
              </w:rPr>
              <w:t>Removed second note pertained to unit issued into Incoming Shipment</w:t>
            </w:r>
            <w:r w:rsidR="00DA2E99" w:rsidRPr="00C47F3B">
              <w:rPr>
                <w:rFonts w:cs="Arial"/>
                <w:vanish/>
                <w:szCs w:val="18"/>
              </w:rPr>
              <w:t>. Defect 2091</w:t>
            </w:r>
            <w:r w:rsidRPr="00C47F3B">
              <w:rPr>
                <w:rFonts w:cs="Arial"/>
                <w:vanish/>
                <w:szCs w:val="18"/>
              </w:rPr>
              <w:t>17</w:t>
            </w:r>
          </w:p>
          <w:p w14:paraId="5BF1F7BB" w14:textId="41FAF0C0" w:rsidR="006D2C87" w:rsidRPr="00C47F3B" w:rsidRDefault="006D2C87" w:rsidP="00DA2E99">
            <w:pPr>
              <w:pStyle w:val="TableTextBullet"/>
              <w:numPr>
                <w:ilvl w:val="0"/>
                <w:numId w:val="0"/>
              </w:numPr>
              <w:tabs>
                <w:tab w:val="left" w:pos="720"/>
              </w:tabs>
              <w:rPr>
                <w:rFonts w:cs="Arial"/>
                <w:vanish/>
                <w:szCs w:val="18"/>
              </w:rPr>
            </w:pPr>
            <w:r w:rsidRPr="00C47F3B">
              <w:rPr>
                <w:rFonts w:cs="Arial"/>
                <w:vanish/>
                <w:szCs w:val="18"/>
              </w:rPr>
              <w:t>Issued/Returned Unit Report section, Step 3: Removed last note pertained to report not including selected date/time. Defect 208976</w:t>
            </w:r>
          </w:p>
          <w:p w14:paraId="3BB516EB" w14:textId="77777777" w:rsidR="0054648D" w:rsidRPr="00C47F3B" w:rsidRDefault="0054648D" w:rsidP="00DA2E99">
            <w:pPr>
              <w:pStyle w:val="TableTextBullet"/>
              <w:numPr>
                <w:ilvl w:val="0"/>
                <w:numId w:val="0"/>
              </w:numPr>
              <w:tabs>
                <w:tab w:val="left" w:pos="720"/>
              </w:tabs>
              <w:rPr>
                <w:rFonts w:cs="Arial"/>
                <w:vanish/>
                <w:szCs w:val="18"/>
              </w:rPr>
            </w:pPr>
            <w:r w:rsidRPr="00C47F3B">
              <w:rPr>
                <w:rFonts w:cs="Arial"/>
                <w:vanish/>
                <w:szCs w:val="18"/>
              </w:rPr>
              <w:t>Issued/Returned Unit Report section, Additional Information: Removed 2nd bullet pertaining to pooled units including the number or participants in the pool.</w:t>
            </w:r>
          </w:p>
          <w:p w14:paraId="4B4F73D5" w14:textId="53C45F9D" w:rsidR="00007B62" w:rsidRPr="00C47F3B" w:rsidRDefault="003B017D" w:rsidP="003B017D">
            <w:pPr>
              <w:pStyle w:val="TableTextBullet"/>
              <w:numPr>
                <w:ilvl w:val="0"/>
                <w:numId w:val="0"/>
              </w:numPr>
              <w:tabs>
                <w:tab w:val="left" w:pos="720"/>
              </w:tabs>
            </w:pPr>
            <w:r w:rsidRPr="00C47F3B">
              <w:rPr>
                <w:vanish/>
              </w:rPr>
              <w:t>Division Transfusion Report, Step 3: Revised both notes. Task 969920</w:t>
            </w:r>
          </w:p>
        </w:tc>
        <w:tc>
          <w:tcPr>
            <w:tcW w:w="1098" w:type="dxa"/>
          </w:tcPr>
          <w:p w14:paraId="421B7FDB" w14:textId="77777777" w:rsidR="00AD2C30" w:rsidRDefault="00AD2C30" w:rsidP="00237FB5">
            <w:pPr>
              <w:pStyle w:val="TableText"/>
            </w:pPr>
            <w:r>
              <w:t>BBM Team</w:t>
            </w:r>
          </w:p>
        </w:tc>
      </w:tr>
      <w:tr w:rsidR="003F32E7" w:rsidRPr="009D5AF3" w14:paraId="5387B51D" w14:textId="77777777" w:rsidTr="00A7660A">
        <w:tc>
          <w:tcPr>
            <w:tcW w:w="918" w:type="dxa"/>
          </w:tcPr>
          <w:p w14:paraId="0649A20E" w14:textId="7B1E71CF" w:rsidR="003F32E7" w:rsidRDefault="003F32E7" w:rsidP="003F32E7">
            <w:pPr>
              <w:pStyle w:val="TableText"/>
            </w:pPr>
            <w:r>
              <w:t>10/8/19</w:t>
            </w:r>
          </w:p>
        </w:tc>
        <w:tc>
          <w:tcPr>
            <w:tcW w:w="990" w:type="dxa"/>
          </w:tcPr>
          <w:p w14:paraId="51DAA3DD" w14:textId="5A0109C9" w:rsidR="003F32E7" w:rsidRDefault="003F32E7" w:rsidP="003F32E7">
            <w:pPr>
              <w:pStyle w:val="TableText"/>
            </w:pPr>
            <w:r>
              <w:t>2.0</w:t>
            </w:r>
          </w:p>
        </w:tc>
        <w:tc>
          <w:tcPr>
            <w:tcW w:w="6994" w:type="dxa"/>
          </w:tcPr>
          <w:p w14:paraId="7AE564A7" w14:textId="53A7A8C6" w:rsidR="009312D9" w:rsidRPr="00C47F3B" w:rsidRDefault="009312D9" w:rsidP="003F32E7">
            <w:pPr>
              <w:rPr>
                <w:rFonts w:ascii="Arial" w:hAnsi="Arial" w:cs="Arial"/>
                <w:sz w:val="18"/>
                <w:szCs w:val="18"/>
              </w:rPr>
            </w:pPr>
            <w:r w:rsidRPr="00C47F3B">
              <w:rPr>
                <w:rFonts w:ascii="Arial" w:hAnsi="Arial" w:cs="Arial"/>
                <w:sz w:val="18"/>
                <w:szCs w:val="18"/>
              </w:rPr>
              <w:t>VBECS 2.3.2</w:t>
            </w:r>
            <w:r w:rsidR="00416A26" w:rsidRPr="00C47F3B">
              <w:rPr>
                <w:rFonts w:ascii="Arial" w:hAnsi="Arial" w:cs="Arial"/>
                <w:sz w:val="18"/>
                <w:szCs w:val="18"/>
              </w:rPr>
              <w:t xml:space="preserve"> Rev A</w:t>
            </w:r>
          </w:p>
          <w:p w14:paraId="7A36B3CE" w14:textId="77777777" w:rsidR="009312D9" w:rsidRPr="00C47F3B" w:rsidRDefault="009312D9" w:rsidP="003F32E7">
            <w:pPr>
              <w:rPr>
                <w:rFonts w:ascii="Arial" w:hAnsi="Arial" w:cs="Arial"/>
                <w:vanish/>
                <w:sz w:val="18"/>
                <w:szCs w:val="18"/>
              </w:rPr>
            </w:pPr>
            <w:r w:rsidRPr="00C47F3B">
              <w:rPr>
                <w:rFonts w:ascii="Arial" w:hAnsi="Arial" w:cs="Arial"/>
                <w:sz w:val="18"/>
                <w:szCs w:val="18"/>
              </w:rPr>
              <w:t>Updated from IOC Test</w:t>
            </w:r>
          </w:p>
          <w:p w14:paraId="74E139F6" w14:textId="22CE1325" w:rsidR="003F32E7" w:rsidRPr="00C47F3B" w:rsidRDefault="009312D9" w:rsidP="003F32E7">
            <w:pPr>
              <w:rPr>
                <w:rFonts w:ascii="Arial" w:hAnsi="Arial" w:cs="Arial"/>
                <w:vanish/>
                <w:sz w:val="18"/>
                <w:szCs w:val="18"/>
              </w:rPr>
            </w:pPr>
            <w:r w:rsidRPr="00C47F3B">
              <w:rPr>
                <w:rFonts w:ascii="Arial" w:hAnsi="Arial" w:cs="Arial"/>
                <w:vanish/>
                <w:sz w:val="18"/>
                <w:szCs w:val="18"/>
              </w:rPr>
              <w:t>(Task 1117163)</w:t>
            </w:r>
          </w:p>
          <w:p w14:paraId="482500DE" w14:textId="78452697" w:rsidR="009312D9" w:rsidRPr="00C47F3B" w:rsidRDefault="009312D9" w:rsidP="003F32E7">
            <w:pPr>
              <w:rPr>
                <w:rFonts w:ascii="Arial" w:hAnsi="Arial" w:cs="Arial"/>
                <w:vanish/>
                <w:sz w:val="18"/>
                <w:szCs w:val="18"/>
              </w:rPr>
            </w:pPr>
            <w:r w:rsidRPr="00C47F3B">
              <w:rPr>
                <w:rFonts w:ascii="Arial" w:hAnsi="Arial" w:cs="Arial"/>
                <w:vanish/>
                <w:sz w:val="18"/>
                <w:szCs w:val="18"/>
              </w:rPr>
              <w:t>Global: Removed horizontal lines next to NOTES in all User Action tables.</w:t>
            </w:r>
          </w:p>
          <w:p w14:paraId="0FE66492" w14:textId="14ACF64E" w:rsidR="009312D9" w:rsidRPr="00C47F3B" w:rsidRDefault="009312D9" w:rsidP="003F32E7">
            <w:pPr>
              <w:rPr>
                <w:rFonts w:ascii="Arial" w:hAnsi="Arial" w:cs="Arial"/>
                <w:vanish/>
                <w:sz w:val="18"/>
                <w:szCs w:val="18"/>
              </w:rPr>
            </w:pPr>
            <w:r w:rsidRPr="00C47F3B">
              <w:rPr>
                <w:rFonts w:ascii="Arial" w:hAnsi="Arial" w:cs="Arial"/>
                <w:vanish/>
                <w:sz w:val="18"/>
                <w:szCs w:val="18"/>
              </w:rPr>
              <w:t>Global: Removed “screen-specific”.</w:t>
            </w:r>
          </w:p>
          <w:p w14:paraId="07DBFC6F" w14:textId="77777777" w:rsidR="009312D9" w:rsidRPr="00C47F3B" w:rsidRDefault="009312D9" w:rsidP="009312D9">
            <w:pPr>
              <w:rPr>
                <w:rFonts w:ascii="Arial" w:hAnsi="Arial" w:cs="Arial"/>
                <w:vanish/>
                <w:sz w:val="18"/>
                <w:szCs w:val="18"/>
              </w:rPr>
            </w:pPr>
            <w:r w:rsidRPr="00C47F3B">
              <w:rPr>
                <w:rFonts w:ascii="Arial" w:hAnsi="Arial" w:cs="Arial"/>
                <w:vanish/>
                <w:sz w:val="18"/>
                <w:szCs w:val="18"/>
              </w:rPr>
              <w:t>Global: Replace “Technical Manual-Security Guide” with “Administrator User Guide” where applicable.</w:t>
            </w:r>
          </w:p>
          <w:p w14:paraId="72300871" w14:textId="77777777" w:rsidR="003F32E7" w:rsidRPr="00C47F3B" w:rsidRDefault="003F32E7" w:rsidP="003F32E7">
            <w:pPr>
              <w:rPr>
                <w:rFonts w:ascii="Arial" w:hAnsi="Arial" w:cs="Arial"/>
                <w:vanish/>
                <w:sz w:val="18"/>
                <w:szCs w:val="18"/>
              </w:rPr>
            </w:pPr>
            <w:r w:rsidRPr="00C47F3B">
              <w:rPr>
                <w:rFonts w:ascii="Arial" w:hAnsi="Arial" w:cs="Arial"/>
                <w:vanish/>
                <w:sz w:val="18"/>
                <w:szCs w:val="18"/>
              </w:rPr>
              <w:t>Configuring Site Parameters, Additional Information: Removed last three bullets and made reference to the VBECS Administrator User Guide in fifth bullet.</w:t>
            </w:r>
          </w:p>
          <w:p w14:paraId="4BCD38A4" w14:textId="37C0C62C" w:rsidR="003F32E7" w:rsidRPr="00C47F3B" w:rsidRDefault="003F32E7" w:rsidP="003F32E7">
            <w:pPr>
              <w:rPr>
                <w:rFonts w:ascii="Arial" w:hAnsi="Arial" w:cs="Arial"/>
                <w:sz w:val="18"/>
                <w:szCs w:val="18"/>
              </w:rPr>
            </w:pPr>
            <w:r w:rsidRPr="00C47F3B">
              <w:rPr>
                <w:rFonts w:ascii="Arial" w:hAnsi="Arial" w:cs="Arial"/>
                <w:vanish/>
                <w:sz w:val="18"/>
                <w:szCs w:val="18"/>
              </w:rPr>
              <w:t>Configuring Site Parameters, Step 4: Removed the note pertaining to sample VBECS User Report.</w:t>
            </w:r>
          </w:p>
        </w:tc>
        <w:tc>
          <w:tcPr>
            <w:tcW w:w="1098" w:type="dxa"/>
          </w:tcPr>
          <w:p w14:paraId="1B02BFE0" w14:textId="797F47D8" w:rsidR="003F32E7" w:rsidRDefault="003F32E7" w:rsidP="003F32E7">
            <w:pPr>
              <w:pStyle w:val="TableText"/>
            </w:pPr>
            <w:r>
              <w:t>BBM Team</w:t>
            </w:r>
          </w:p>
        </w:tc>
      </w:tr>
      <w:tr w:rsidR="00BA2EAA" w:rsidRPr="009D5AF3" w14:paraId="4FD7391E" w14:textId="77777777" w:rsidTr="00A7660A">
        <w:tc>
          <w:tcPr>
            <w:tcW w:w="918" w:type="dxa"/>
          </w:tcPr>
          <w:p w14:paraId="31B77D31" w14:textId="5BD59ECF" w:rsidR="00BA2EAA" w:rsidRDefault="00BA2EAA" w:rsidP="00BA2EAA">
            <w:pPr>
              <w:pStyle w:val="TableText"/>
            </w:pPr>
            <w:r>
              <w:t>1</w:t>
            </w:r>
            <w:r w:rsidR="009312D9">
              <w:t>1</w:t>
            </w:r>
            <w:r>
              <w:t>/</w:t>
            </w:r>
            <w:r w:rsidR="002A27A3">
              <w:t>5</w:t>
            </w:r>
            <w:r>
              <w:t>/19</w:t>
            </w:r>
          </w:p>
        </w:tc>
        <w:tc>
          <w:tcPr>
            <w:tcW w:w="990" w:type="dxa"/>
          </w:tcPr>
          <w:p w14:paraId="674A9DB6" w14:textId="00EAF185" w:rsidR="00BA2EAA" w:rsidRDefault="009312D9" w:rsidP="00BA2EAA">
            <w:pPr>
              <w:pStyle w:val="TableText"/>
            </w:pPr>
            <w:r>
              <w:t>3</w:t>
            </w:r>
            <w:r w:rsidR="00BA2EAA">
              <w:t>.0</w:t>
            </w:r>
          </w:p>
        </w:tc>
        <w:tc>
          <w:tcPr>
            <w:tcW w:w="6994" w:type="dxa"/>
          </w:tcPr>
          <w:p w14:paraId="2EC82E14" w14:textId="63E027B5" w:rsidR="009312D9" w:rsidRPr="00C47F3B" w:rsidRDefault="009312D9" w:rsidP="009312D9">
            <w:pPr>
              <w:rPr>
                <w:rFonts w:ascii="Arial" w:hAnsi="Arial" w:cs="Arial"/>
                <w:sz w:val="18"/>
                <w:szCs w:val="18"/>
              </w:rPr>
            </w:pPr>
            <w:r w:rsidRPr="00C47F3B">
              <w:rPr>
                <w:rFonts w:ascii="Arial" w:hAnsi="Arial" w:cs="Arial"/>
                <w:sz w:val="18"/>
                <w:szCs w:val="18"/>
              </w:rPr>
              <w:t>VBECS 2.3.2</w:t>
            </w:r>
            <w:r w:rsidR="00416A26" w:rsidRPr="00C47F3B">
              <w:rPr>
                <w:rFonts w:ascii="Arial" w:hAnsi="Arial" w:cs="Arial"/>
                <w:sz w:val="18"/>
                <w:szCs w:val="18"/>
              </w:rPr>
              <w:t xml:space="preserve"> Rev </w:t>
            </w:r>
            <w:r w:rsidR="008B34D8" w:rsidRPr="00C47F3B">
              <w:rPr>
                <w:rFonts w:ascii="Arial" w:hAnsi="Arial" w:cs="Arial"/>
                <w:sz w:val="18"/>
                <w:szCs w:val="18"/>
              </w:rPr>
              <w:t>A</w:t>
            </w:r>
          </w:p>
          <w:p w14:paraId="509C7926" w14:textId="567DF924" w:rsidR="009312D9" w:rsidRPr="00C47F3B" w:rsidRDefault="009312D9" w:rsidP="009312D9">
            <w:pPr>
              <w:rPr>
                <w:rFonts w:ascii="Arial" w:hAnsi="Arial" w:cs="Arial"/>
                <w:vanish/>
                <w:sz w:val="18"/>
                <w:szCs w:val="18"/>
              </w:rPr>
            </w:pPr>
            <w:r w:rsidRPr="00C47F3B">
              <w:rPr>
                <w:rFonts w:ascii="Arial" w:hAnsi="Arial" w:cs="Arial"/>
                <w:sz w:val="18"/>
                <w:szCs w:val="18"/>
              </w:rPr>
              <w:t>Updated from IOC Production</w:t>
            </w:r>
          </w:p>
          <w:p w14:paraId="7232D718" w14:textId="413C3098" w:rsidR="00BA2EAA" w:rsidRPr="00C47F3B" w:rsidRDefault="009312D9" w:rsidP="00BA2EAA">
            <w:pPr>
              <w:rPr>
                <w:rFonts w:ascii="Arial" w:hAnsi="Arial" w:cs="Arial"/>
                <w:vanish/>
                <w:sz w:val="18"/>
                <w:szCs w:val="18"/>
              </w:rPr>
            </w:pPr>
            <w:r w:rsidRPr="00C47F3B">
              <w:rPr>
                <w:rFonts w:ascii="Arial" w:hAnsi="Arial" w:cs="Arial"/>
                <w:vanish/>
                <w:sz w:val="18"/>
                <w:szCs w:val="18"/>
              </w:rPr>
              <w:t>(Task 1114102, Task 1145516)</w:t>
            </w:r>
          </w:p>
          <w:p w14:paraId="35C14EFD" w14:textId="17F22779" w:rsidR="00DA258E" w:rsidRPr="00C47F3B" w:rsidRDefault="00DA258E" w:rsidP="00BA2EAA">
            <w:pPr>
              <w:rPr>
                <w:rFonts w:ascii="Arial" w:hAnsi="Arial" w:cs="Arial"/>
                <w:vanish/>
                <w:sz w:val="18"/>
                <w:szCs w:val="18"/>
              </w:rPr>
            </w:pPr>
            <w:r w:rsidRPr="00C47F3B">
              <w:rPr>
                <w:rFonts w:ascii="Arial" w:hAnsi="Arial" w:cs="Arial"/>
                <w:vanish/>
                <w:sz w:val="18"/>
                <w:szCs w:val="18"/>
              </w:rPr>
              <w:t>Global: Replace “Technical Manual-Security Guide” with “Administrator User Guide” where applicable.</w:t>
            </w:r>
          </w:p>
          <w:p w14:paraId="313AAE00" w14:textId="6C2AF75A" w:rsidR="002A27A3" w:rsidRPr="00C47F3B" w:rsidRDefault="002A27A3" w:rsidP="00BA2EAA">
            <w:pPr>
              <w:rPr>
                <w:rFonts w:ascii="Arial" w:hAnsi="Arial" w:cs="Arial"/>
                <w:vanish/>
                <w:sz w:val="18"/>
                <w:szCs w:val="18"/>
              </w:rPr>
            </w:pPr>
            <w:r w:rsidRPr="00C47F3B">
              <w:rPr>
                <w:rFonts w:ascii="Arial" w:hAnsi="Arial" w:cs="Arial"/>
                <w:vanish/>
                <w:sz w:val="18"/>
                <w:szCs w:val="18"/>
              </w:rPr>
              <w:t>Title page: Added “Version 3.0” by “User Guide”.</w:t>
            </w:r>
          </w:p>
          <w:p w14:paraId="24E87517" w14:textId="665FF51F" w:rsidR="00DA258E" w:rsidRPr="00C47F3B" w:rsidRDefault="00745332" w:rsidP="00BA2EAA">
            <w:pPr>
              <w:rPr>
                <w:rFonts w:ascii="Arial" w:hAnsi="Arial" w:cs="Arial"/>
                <w:vanish/>
                <w:sz w:val="18"/>
                <w:szCs w:val="18"/>
              </w:rPr>
            </w:pPr>
            <w:r w:rsidRPr="00C47F3B">
              <w:rPr>
                <w:rFonts w:ascii="Arial" w:hAnsi="Arial" w:cs="Arial"/>
                <w:vanish/>
                <w:sz w:val="18"/>
                <w:szCs w:val="18"/>
              </w:rPr>
              <w:t xml:space="preserve">Figure </w:t>
            </w:r>
            <w:r w:rsidR="00DA258E" w:rsidRPr="00C47F3B">
              <w:rPr>
                <w:rFonts w:ascii="Arial" w:hAnsi="Arial" w:cs="Arial"/>
                <w:vanish/>
                <w:sz w:val="18"/>
                <w:szCs w:val="18"/>
              </w:rPr>
              <w:t>18: Deleted.</w:t>
            </w:r>
          </w:p>
          <w:p w14:paraId="5AEF5FEF" w14:textId="3D7C7493" w:rsidR="009312D9" w:rsidRPr="00C47F3B" w:rsidRDefault="009312D9" w:rsidP="00BA2EAA">
            <w:pPr>
              <w:rPr>
                <w:rFonts w:ascii="Arial" w:hAnsi="Arial" w:cs="Arial"/>
                <w:vanish/>
                <w:sz w:val="18"/>
                <w:szCs w:val="18"/>
              </w:rPr>
            </w:pPr>
            <w:r w:rsidRPr="00C47F3B">
              <w:rPr>
                <w:rFonts w:ascii="Arial" w:hAnsi="Arial" w:cs="Arial"/>
                <w:vanish/>
                <w:sz w:val="18"/>
                <w:szCs w:val="18"/>
              </w:rPr>
              <w:t>Figure 23: Deleted.</w:t>
            </w:r>
          </w:p>
          <w:p w14:paraId="6A90F4C2" w14:textId="2C4AFB86" w:rsidR="009312D9" w:rsidRPr="00C47F3B" w:rsidRDefault="009312D9" w:rsidP="00BA2EAA">
            <w:pPr>
              <w:rPr>
                <w:rFonts w:ascii="Arial" w:hAnsi="Arial" w:cs="Arial"/>
                <w:vanish/>
                <w:sz w:val="18"/>
                <w:szCs w:val="18"/>
              </w:rPr>
            </w:pPr>
            <w:r w:rsidRPr="00C47F3B">
              <w:rPr>
                <w:rFonts w:ascii="Arial" w:hAnsi="Arial" w:cs="Arial"/>
                <w:vanish/>
                <w:sz w:val="18"/>
                <w:szCs w:val="18"/>
              </w:rPr>
              <w:t>Figure 33: Deleted.</w:t>
            </w:r>
          </w:p>
          <w:p w14:paraId="2A3E052C" w14:textId="55B53D92" w:rsidR="00745332" w:rsidRPr="00C47F3B" w:rsidRDefault="00745332" w:rsidP="00BA2EAA">
            <w:pPr>
              <w:rPr>
                <w:rFonts w:ascii="Arial" w:hAnsi="Arial" w:cs="Arial"/>
                <w:vanish/>
                <w:sz w:val="18"/>
                <w:szCs w:val="18"/>
              </w:rPr>
            </w:pPr>
            <w:r w:rsidRPr="00C47F3B">
              <w:rPr>
                <w:rFonts w:ascii="Arial" w:hAnsi="Arial" w:cs="Arial"/>
                <w:vanish/>
                <w:sz w:val="18"/>
                <w:szCs w:val="18"/>
              </w:rPr>
              <w:t>Figures 24,</w:t>
            </w:r>
            <w:r w:rsidR="005A4573" w:rsidRPr="00C47F3B">
              <w:rPr>
                <w:rFonts w:ascii="Arial" w:hAnsi="Arial" w:cs="Arial"/>
                <w:vanish/>
                <w:sz w:val="18"/>
                <w:szCs w:val="18"/>
              </w:rPr>
              <w:t xml:space="preserve"> 27, 28, 29,</w:t>
            </w:r>
            <w:r w:rsidRPr="00C47F3B">
              <w:rPr>
                <w:rFonts w:ascii="Arial" w:hAnsi="Arial" w:cs="Arial"/>
                <w:vanish/>
                <w:sz w:val="18"/>
                <w:szCs w:val="18"/>
              </w:rPr>
              <w:t xml:space="preserve"> 91, 92, 101, 102, 116, 120, 121 and 123: Replaced.</w:t>
            </w:r>
          </w:p>
          <w:p w14:paraId="068877A8" w14:textId="2F737EB4" w:rsidR="00DA258E" w:rsidRPr="00C47F3B" w:rsidRDefault="00DA258E" w:rsidP="00BA2EAA">
            <w:pPr>
              <w:rPr>
                <w:rFonts w:ascii="Arial" w:hAnsi="Arial" w:cs="Arial"/>
                <w:vanish/>
                <w:sz w:val="18"/>
                <w:szCs w:val="18"/>
              </w:rPr>
            </w:pPr>
            <w:r w:rsidRPr="00C47F3B">
              <w:rPr>
                <w:rFonts w:ascii="Arial" w:hAnsi="Arial" w:cs="Arial"/>
                <w:vanish/>
                <w:sz w:val="18"/>
                <w:szCs w:val="18"/>
              </w:rPr>
              <w:t>Using VBECS section: Fixed both hyperlinks.</w:t>
            </w:r>
          </w:p>
          <w:p w14:paraId="7CD09302" w14:textId="6F33D02E" w:rsidR="00745332" w:rsidRPr="00C47F3B" w:rsidRDefault="00745332" w:rsidP="00BA2EAA">
            <w:pPr>
              <w:rPr>
                <w:rFonts w:ascii="Arial" w:hAnsi="Arial" w:cs="Arial"/>
                <w:vanish/>
                <w:sz w:val="18"/>
                <w:szCs w:val="18"/>
              </w:rPr>
            </w:pPr>
            <w:r w:rsidRPr="00C47F3B">
              <w:rPr>
                <w:rFonts w:ascii="Arial" w:hAnsi="Arial" w:cs="Arial"/>
                <w:vanish/>
                <w:sz w:val="18"/>
                <w:szCs w:val="18"/>
              </w:rPr>
              <w:t>Using Online Help: Revised to removed references to pdf file.</w:t>
            </w:r>
          </w:p>
          <w:p w14:paraId="31C65C0A" w14:textId="4F668EE2" w:rsidR="00745332" w:rsidRPr="00C47F3B" w:rsidRDefault="00745332" w:rsidP="00BA2EAA">
            <w:pPr>
              <w:rPr>
                <w:rFonts w:ascii="Arial" w:hAnsi="Arial" w:cs="Arial"/>
                <w:vanish/>
                <w:sz w:val="18"/>
                <w:szCs w:val="18"/>
              </w:rPr>
            </w:pPr>
            <w:r w:rsidRPr="00C47F3B">
              <w:rPr>
                <w:rFonts w:ascii="Arial" w:hAnsi="Arial" w:cs="Arial"/>
                <w:vanish/>
                <w:sz w:val="18"/>
                <w:szCs w:val="18"/>
              </w:rPr>
              <w:t>Searching Using the Table of Contents section: Revised.</w:t>
            </w:r>
          </w:p>
          <w:p w14:paraId="2C844699" w14:textId="70F305C6" w:rsidR="00745332" w:rsidRPr="00C47F3B" w:rsidRDefault="00745332" w:rsidP="00BA2EAA">
            <w:pPr>
              <w:rPr>
                <w:rFonts w:ascii="Arial" w:hAnsi="Arial" w:cs="Arial"/>
                <w:vanish/>
                <w:sz w:val="18"/>
                <w:szCs w:val="18"/>
              </w:rPr>
            </w:pPr>
            <w:r w:rsidRPr="00C47F3B">
              <w:rPr>
                <w:rFonts w:ascii="Arial" w:hAnsi="Arial" w:cs="Arial"/>
                <w:vanish/>
                <w:sz w:val="18"/>
                <w:szCs w:val="18"/>
              </w:rPr>
              <w:t>VistA Records in VBECS section: Removed third bullet pertaining to non-specific characters entered in the patient search field.</w:t>
            </w:r>
            <w:r w:rsidR="005A4573" w:rsidRPr="00C47F3B">
              <w:rPr>
                <w:rFonts w:ascii="Arial" w:hAnsi="Arial" w:cs="Arial"/>
                <w:vanish/>
                <w:sz w:val="18"/>
                <w:szCs w:val="18"/>
              </w:rPr>
              <w:t xml:space="preserve"> Defect 208833</w:t>
            </w:r>
          </w:p>
          <w:p w14:paraId="124669C3" w14:textId="0042C396" w:rsidR="00745332" w:rsidRPr="00C47F3B" w:rsidRDefault="00745332" w:rsidP="00745332">
            <w:pPr>
              <w:tabs>
                <w:tab w:val="left" w:pos="3690"/>
              </w:tabs>
              <w:rPr>
                <w:rFonts w:ascii="Arial" w:hAnsi="Arial" w:cs="Arial"/>
                <w:vanish/>
                <w:sz w:val="18"/>
                <w:szCs w:val="18"/>
              </w:rPr>
            </w:pPr>
            <w:r w:rsidRPr="00C47F3B">
              <w:rPr>
                <w:rFonts w:ascii="Arial" w:hAnsi="Arial" w:cs="Arial"/>
                <w:vanish/>
                <w:sz w:val="18"/>
                <w:szCs w:val="18"/>
              </w:rPr>
              <w:t>Log into VBECS section: Revised Figure</w:t>
            </w:r>
            <w:r w:rsidR="00B27AB7" w:rsidRPr="00C47F3B">
              <w:rPr>
                <w:rFonts w:ascii="Arial" w:hAnsi="Arial" w:cs="Arial"/>
                <w:vanish/>
                <w:sz w:val="18"/>
                <w:szCs w:val="18"/>
              </w:rPr>
              <w:t>s</w:t>
            </w:r>
            <w:r w:rsidRPr="00C47F3B">
              <w:rPr>
                <w:rFonts w:ascii="Arial" w:hAnsi="Arial" w:cs="Arial"/>
                <w:vanish/>
                <w:sz w:val="18"/>
                <w:szCs w:val="18"/>
              </w:rPr>
              <w:t xml:space="preserve"> 27</w:t>
            </w:r>
            <w:r w:rsidR="00B27AB7" w:rsidRPr="00C47F3B">
              <w:rPr>
                <w:rFonts w:ascii="Arial" w:hAnsi="Arial" w:cs="Arial"/>
                <w:vanish/>
                <w:sz w:val="18"/>
                <w:szCs w:val="18"/>
              </w:rPr>
              <w:t>,</w:t>
            </w:r>
            <w:r w:rsidRPr="00C47F3B">
              <w:rPr>
                <w:rFonts w:ascii="Arial" w:hAnsi="Arial" w:cs="Arial"/>
                <w:vanish/>
                <w:sz w:val="18"/>
                <w:szCs w:val="18"/>
              </w:rPr>
              <w:t xml:space="preserve"> 28 and 29.</w:t>
            </w:r>
          </w:p>
          <w:p w14:paraId="1C561468" w14:textId="60BACF74" w:rsidR="002A27A3" w:rsidRPr="00C47F3B" w:rsidRDefault="002A27A3" w:rsidP="002A27A3">
            <w:pPr>
              <w:rPr>
                <w:rFonts w:ascii="Arial" w:hAnsi="Arial" w:cs="Arial"/>
                <w:vanish/>
                <w:sz w:val="18"/>
                <w:szCs w:val="18"/>
              </w:rPr>
            </w:pPr>
            <w:r w:rsidRPr="00C47F3B">
              <w:rPr>
                <w:rFonts w:ascii="Arial" w:hAnsi="Arial" w:cs="Arial"/>
                <w:vanish/>
                <w:sz w:val="18"/>
                <w:szCs w:val="18"/>
              </w:rPr>
              <w:t>Sound, Step 5: Changed “drop-down list” to “radio buttons.</w:t>
            </w:r>
          </w:p>
          <w:p w14:paraId="6CE3795C" w14:textId="36315F03" w:rsidR="00B27AB7" w:rsidRPr="00C47F3B" w:rsidRDefault="00B27AB7" w:rsidP="00745332">
            <w:pPr>
              <w:tabs>
                <w:tab w:val="left" w:pos="3690"/>
              </w:tabs>
              <w:rPr>
                <w:rFonts w:ascii="Arial" w:hAnsi="Arial" w:cs="Arial"/>
                <w:vanish/>
                <w:sz w:val="18"/>
                <w:szCs w:val="18"/>
              </w:rPr>
            </w:pPr>
            <w:r w:rsidRPr="00C47F3B">
              <w:rPr>
                <w:rFonts w:ascii="Arial" w:hAnsi="Arial" w:cs="Arial"/>
                <w:vanish/>
                <w:sz w:val="18"/>
                <w:szCs w:val="18"/>
              </w:rPr>
              <w:t>Screen Settings section: Removed section and moved second sentence from Warning box to Local Machine Screen Resolution section Warning box.</w:t>
            </w:r>
          </w:p>
          <w:p w14:paraId="3A86A67C" w14:textId="29BE9C80" w:rsidR="00AA5EA0" w:rsidRPr="00C47F3B" w:rsidRDefault="005A4573" w:rsidP="00745332">
            <w:pPr>
              <w:tabs>
                <w:tab w:val="left" w:pos="3690"/>
              </w:tabs>
              <w:rPr>
                <w:rFonts w:ascii="Arial" w:hAnsi="Arial" w:cs="Arial"/>
                <w:vanish/>
                <w:sz w:val="18"/>
                <w:szCs w:val="18"/>
              </w:rPr>
            </w:pPr>
            <w:r w:rsidRPr="00C47F3B">
              <w:rPr>
                <w:rFonts w:ascii="Arial" w:hAnsi="Arial" w:cs="Arial"/>
                <w:vanish/>
                <w:sz w:val="18"/>
                <w:szCs w:val="18"/>
              </w:rPr>
              <w:t>Local Machine Screen Resolution: Steps and Figure 33 removed</w:t>
            </w:r>
            <w:r w:rsidR="00AA5EA0" w:rsidRPr="00C47F3B">
              <w:rPr>
                <w:rFonts w:ascii="Arial" w:hAnsi="Arial" w:cs="Arial"/>
                <w:vanish/>
                <w:sz w:val="18"/>
                <w:szCs w:val="18"/>
              </w:rPr>
              <w:t>.</w:t>
            </w:r>
          </w:p>
          <w:p w14:paraId="10869AF1" w14:textId="3FA6C287" w:rsidR="00AA5EA0" w:rsidRPr="00C47F3B" w:rsidRDefault="00AA5EA0" w:rsidP="00745332">
            <w:pPr>
              <w:tabs>
                <w:tab w:val="left" w:pos="3690"/>
              </w:tabs>
              <w:rPr>
                <w:rFonts w:ascii="Arial" w:hAnsi="Arial" w:cs="Arial"/>
                <w:vanish/>
                <w:sz w:val="18"/>
                <w:szCs w:val="18"/>
              </w:rPr>
            </w:pPr>
            <w:r w:rsidRPr="00C47F3B">
              <w:rPr>
                <w:rFonts w:ascii="Arial" w:hAnsi="Arial" w:cs="Arial"/>
                <w:vanish/>
                <w:sz w:val="18"/>
                <w:szCs w:val="18"/>
              </w:rPr>
              <w:t>View Special Instructions and Transfusion Requirements, Outcome: Removed last bullet that pertained to SIs and TRs.</w:t>
            </w:r>
          </w:p>
          <w:p w14:paraId="5F4B9874" w14:textId="7B818344" w:rsidR="00AA5EA0" w:rsidRPr="00C47F3B" w:rsidRDefault="00AA5EA0" w:rsidP="00745332">
            <w:pPr>
              <w:tabs>
                <w:tab w:val="left" w:pos="3690"/>
              </w:tabs>
              <w:rPr>
                <w:rFonts w:ascii="Arial" w:hAnsi="Arial" w:cs="Arial"/>
                <w:vanish/>
                <w:sz w:val="18"/>
                <w:szCs w:val="18"/>
              </w:rPr>
            </w:pPr>
            <w:r w:rsidRPr="00C47F3B">
              <w:rPr>
                <w:rFonts w:ascii="Arial" w:hAnsi="Arial" w:cs="Arial"/>
                <w:vanish/>
                <w:sz w:val="18"/>
                <w:szCs w:val="18"/>
              </w:rPr>
              <w:t>View Special Instructions and Transfusion Requirements, Limitations and Restrictions: Changed to make a separate bullet for selected patient does not have SIs or TRs to display.</w:t>
            </w:r>
          </w:p>
          <w:p w14:paraId="3295B9D2" w14:textId="4F4D0D2F" w:rsidR="00AA5EA0" w:rsidRPr="00C47F3B" w:rsidRDefault="00AA5EA0" w:rsidP="00745332">
            <w:pPr>
              <w:tabs>
                <w:tab w:val="left" w:pos="3690"/>
              </w:tabs>
              <w:rPr>
                <w:rFonts w:ascii="Arial" w:hAnsi="Arial" w:cs="Arial"/>
                <w:vanish/>
                <w:sz w:val="18"/>
                <w:szCs w:val="18"/>
              </w:rPr>
            </w:pPr>
            <w:r w:rsidRPr="00C47F3B">
              <w:rPr>
                <w:rFonts w:ascii="Arial" w:hAnsi="Arial" w:cs="Arial"/>
                <w:vanish/>
                <w:sz w:val="18"/>
                <w:szCs w:val="18"/>
              </w:rPr>
              <w:t>Incoming Shipment, Step 4: Removed bullet that pertained to the barcode being scanned. Also removed moved second note to Step 6.</w:t>
            </w:r>
          </w:p>
          <w:p w14:paraId="518D902A" w14:textId="0E9041C3" w:rsidR="00AA5EA0" w:rsidRPr="00C47F3B" w:rsidRDefault="00AA5EA0" w:rsidP="00745332">
            <w:pPr>
              <w:tabs>
                <w:tab w:val="left" w:pos="3690"/>
              </w:tabs>
              <w:rPr>
                <w:rFonts w:ascii="Arial" w:hAnsi="Arial" w:cs="Arial"/>
                <w:vanish/>
                <w:sz w:val="18"/>
                <w:szCs w:val="18"/>
              </w:rPr>
            </w:pPr>
            <w:r w:rsidRPr="00C47F3B">
              <w:rPr>
                <w:rFonts w:ascii="Arial" w:hAnsi="Arial" w:cs="Arial"/>
                <w:vanish/>
                <w:sz w:val="18"/>
                <w:szCs w:val="18"/>
              </w:rPr>
              <w:t>Modify Units, Limitations and Restrictions: Removed last bullet that pertained to Weld controls.</w:t>
            </w:r>
          </w:p>
          <w:p w14:paraId="4F378C89" w14:textId="4ECA07AD" w:rsidR="00AA5EA0" w:rsidRPr="00C47F3B" w:rsidRDefault="00AA5EA0" w:rsidP="00745332">
            <w:pPr>
              <w:tabs>
                <w:tab w:val="left" w:pos="3690"/>
              </w:tabs>
              <w:rPr>
                <w:rFonts w:ascii="Arial" w:hAnsi="Arial" w:cs="Arial"/>
                <w:vanish/>
                <w:sz w:val="18"/>
                <w:szCs w:val="18"/>
              </w:rPr>
            </w:pPr>
            <w:r w:rsidRPr="00C47F3B">
              <w:rPr>
                <w:rFonts w:ascii="Arial" w:hAnsi="Arial" w:cs="Arial"/>
                <w:vanish/>
                <w:sz w:val="18"/>
                <w:szCs w:val="18"/>
              </w:rPr>
              <w:t>Modify Units, Step 4: Swapped first and second paragraphs.</w:t>
            </w:r>
          </w:p>
          <w:p w14:paraId="37954A6B" w14:textId="6D952D75" w:rsidR="00AA5EA0" w:rsidRPr="00C47F3B" w:rsidRDefault="00AA5EA0" w:rsidP="00745332">
            <w:pPr>
              <w:tabs>
                <w:tab w:val="left" w:pos="3690"/>
              </w:tabs>
              <w:rPr>
                <w:rFonts w:ascii="Arial" w:hAnsi="Arial" w:cs="Arial"/>
                <w:vanish/>
                <w:sz w:val="18"/>
                <w:szCs w:val="18"/>
              </w:rPr>
            </w:pPr>
            <w:r w:rsidRPr="00C47F3B">
              <w:rPr>
                <w:rFonts w:ascii="Arial" w:hAnsi="Arial" w:cs="Arial"/>
                <w:vanish/>
                <w:sz w:val="18"/>
                <w:szCs w:val="18"/>
              </w:rPr>
              <w:t xml:space="preserve">Modify Units Split a Unit, Step 2: Added new second paragraph pertaining to </w:t>
            </w:r>
            <w:r w:rsidR="002E54E9" w:rsidRPr="00C47F3B">
              <w:rPr>
                <w:rFonts w:ascii="Arial" w:hAnsi="Arial" w:cs="Arial"/>
                <w:vanish/>
                <w:sz w:val="18"/>
                <w:szCs w:val="18"/>
              </w:rPr>
              <w:t>clicking radio button to select a modification method.</w:t>
            </w:r>
          </w:p>
          <w:p w14:paraId="31D30B1D" w14:textId="07488BE7" w:rsidR="002E54E9" w:rsidRPr="00C47F3B" w:rsidRDefault="002E54E9" w:rsidP="002E54E9">
            <w:pPr>
              <w:tabs>
                <w:tab w:val="left" w:pos="3690"/>
              </w:tabs>
              <w:rPr>
                <w:rFonts w:ascii="Arial" w:hAnsi="Arial" w:cs="Arial"/>
                <w:vanish/>
                <w:sz w:val="18"/>
                <w:szCs w:val="18"/>
              </w:rPr>
            </w:pPr>
            <w:r w:rsidRPr="00C47F3B">
              <w:rPr>
                <w:rFonts w:ascii="Arial" w:hAnsi="Arial" w:cs="Arial"/>
                <w:vanish/>
                <w:sz w:val="18"/>
                <w:szCs w:val="18"/>
              </w:rPr>
              <w:t>Modify Units Split a Unit, Step 5: Removed second paragraph that pertained to Weld.</w:t>
            </w:r>
          </w:p>
          <w:p w14:paraId="0EFDC324" w14:textId="2E678970" w:rsidR="002E54E9" w:rsidRPr="00C47F3B" w:rsidRDefault="002E54E9" w:rsidP="00745332">
            <w:pPr>
              <w:tabs>
                <w:tab w:val="left" w:pos="3690"/>
              </w:tabs>
              <w:rPr>
                <w:rFonts w:ascii="Arial" w:hAnsi="Arial" w:cs="Arial"/>
                <w:vanish/>
                <w:sz w:val="18"/>
                <w:szCs w:val="18"/>
              </w:rPr>
            </w:pPr>
            <w:r w:rsidRPr="00C47F3B">
              <w:rPr>
                <w:rFonts w:ascii="Arial" w:hAnsi="Arial" w:cs="Arial"/>
                <w:vanish/>
                <w:sz w:val="18"/>
                <w:szCs w:val="18"/>
              </w:rPr>
              <w:t>Modify Units Pool Units, Step 5: Revised first note.</w:t>
            </w:r>
          </w:p>
          <w:p w14:paraId="55105C49" w14:textId="0A891148" w:rsidR="002E54E9" w:rsidRPr="00C47F3B" w:rsidRDefault="002E54E9" w:rsidP="00745332">
            <w:pPr>
              <w:tabs>
                <w:tab w:val="left" w:pos="3690"/>
              </w:tabs>
              <w:rPr>
                <w:rFonts w:ascii="Arial" w:hAnsi="Arial" w:cs="Arial"/>
                <w:vanish/>
                <w:sz w:val="18"/>
                <w:szCs w:val="18"/>
              </w:rPr>
            </w:pPr>
            <w:r w:rsidRPr="00C47F3B">
              <w:rPr>
                <w:rFonts w:ascii="Arial" w:hAnsi="Arial" w:cs="Arial"/>
                <w:vanish/>
                <w:sz w:val="18"/>
                <w:szCs w:val="18"/>
              </w:rPr>
              <w:t>Issue Blood Components (Routine), Step 7: Delete third bullet that pertained to  BCE COTS system via an HL7 message as it was duplicate of information in last bullet.</w:t>
            </w:r>
          </w:p>
          <w:p w14:paraId="3C6BF812" w14:textId="0C3BB04B" w:rsidR="002E54E9" w:rsidRPr="00C47F3B" w:rsidRDefault="002E54E9" w:rsidP="00745332">
            <w:pPr>
              <w:tabs>
                <w:tab w:val="left" w:pos="3690"/>
              </w:tabs>
              <w:rPr>
                <w:rFonts w:ascii="Arial" w:hAnsi="Arial" w:cs="Arial"/>
                <w:vanish/>
                <w:sz w:val="18"/>
                <w:szCs w:val="18"/>
              </w:rPr>
            </w:pPr>
            <w:r w:rsidRPr="00C47F3B">
              <w:rPr>
                <w:rFonts w:ascii="Arial" w:hAnsi="Arial" w:cs="Arial"/>
                <w:vanish/>
                <w:sz w:val="18"/>
                <w:szCs w:val="18"/>
              </w:rPr>
              <w:t>Unit History Report, Additional Information, last bullet: Changed “&gt; =” to “= &gt;”.</w:t>
            </w:r>
          </w:p>
          <w:p w14:paraId="04D24947" w14:textId="0118CC4A" w:rsidR="00B27AB7" w:rsidRPr="00C47F3B" w:rsidRDefault="00B27AB7" w:rsidP="00745332">
            <w:pPr>
              <w:tabs>
                <w:tab w:val="left" w:pos="3690"/>
              </w:tabs>
              <w:rPr>
                <w:rFonts w:ascii="Arial" w:hAnsi="Arial" w:cs="Arial"/>
                <w:vanish/>
                <w:sz w:val="18"/>
                <w:szCs w:val="18"/>
              </w:rPr>
            </w:pPr>
            <w:r w:rsidRPr="00C47F3B">
              <w:rPr>
                <w:rFonts w:ascii="Arial" w:hAnsi="Arial" w:cs="Arial"/>
                <w:vanish/>
                <w:sz w:val="18"/>
                <w:szCs w:val="18"/>
              </w:rPr>
              <w:t>Patient Blood Availability section: Fixed the issue of the heading being an item in the list under Patient Information Toolbar section.</w:t>
            </w:r>
          </w:p>
          <w:p w14:paraId="3AFC4636" w14:textId="1E878403" w:rsidR="00B27AB7" w:rsidRPr="00C47F3B" w:rsidRDefault="00B27AB7" w:rsidP="00745332">
            <w:pPr>
              <w:tabs>
                <w:tab w:val="left" w:pos="3690"/>
              </w:tabs>
              <w:rPr>
                <w:rFonts w:ascii="Arial" w:hAnsi="Arial" w:cs="Arial"/>
                <w:vanish/>
                <w:sz w:val="18"/>
                <w:szCs w:val="18"/>
              </w:rPr>
            </w:pPr>
            <w:r w:rsidRPr="00C47F3B">
              <w:rPr>
                <w:rFonts w:ascii="Arial" w:hAnsi="Arial" w:cs="Arial"/>
                <w:vanish/>
                <w:sz w:val="18"/>
                <w:szCs w:val="18"/>
              </w:rPr>
              <w:t>Main Status Bar section: Added CPRS items.</w:t>
            </w:r>
          </w:p>
          <w:p w14:paraId="4FE01BEA" w14:textId="205C67F7" w:rsidR="00B27AB7" w:rsidRPr="00C47F3B" w:rsidRDefault="00B27AB7" w:rsidP="00745332">
            <w:pPr>
              <w:tabs>
                <w:tab w:val="left" w:pos="3690"/>
              </w:tabs>
              <w:rPr>
                <w:rFonts w:ascii="Arial" w:hAnsi="Arial" w:cs="Arial"/>
                <w:vanish/>
                <w:sz w:val="18"/>
                <w:szCs w:val="18"/>
              </w:rPr>
            </w:pPr>
            <w:r w:rsidRPr="00C47F3B">
              <w:rPr>
                <w:rFonts w:ascii="Arial" w:hAnsi="Arial" w:cs="Arial"/>
                <w:vanish/>
                <w:sz w:val="18"/>
                <w:szCs w:val="18"/>
              </w:rPr>
              <w:t>Component Processing, Incoming Shipment section, Limitations and Restrictions: Removed first bullet pertaining to ISBT 128 Product Codes.</w:t>
            </w:r>
          </w:p>
          <w:p w14:paraId="140D2C8D" w14:textId="6ED65918" w:rsidR="00B27AB7" w:rsidRPr="00C47F3B" w:rsidRDefault="00B27AB7" w:rsidP="00745332">
            <w:pPr>
              <w:tabs>
                <w:tab w:val="left" w:pos="3690"/>
              </w:tabs>
              <w:rPr>
                <w:rFonts w:ascii="Arial" w:hAnsi="Arial" w:cs="Arial"/>
                <w:vanish/>
                <w:sz w:val="18"/>
                <w:szCs w:val="18"/>
              </w:rPr>
            </w:pPr>
            <w:r w:rsidRPr="00C47F3B">
              <w:rPr>
                <w:rFonts w:ascii="Arial" w:hAnsi="Arial" w:cs="Arial"/>
                <w:vanish/>
                <w:sz w:val="18"/>
                <w:szCs w:val="18"/>
              </w:rPr>
              <w:t xml:space="preserve">Unit Antigen Typing section, Additional Information: </w:t>
            </w:r>
            <w:r w:rsidR="00A8352D" w:rsidRPr="00C47F3B">
              <w:rPr>
                <w:rFonts w:ascii="Arial" w:hAnsi="Arial" w:cs="Arial"/>
                <w:vanish/>
                <w:sz w:val="18"/>
                <w:szCs w:val="18"/>
              </w:rPr>
              <w:t>Removed last bullet pertaining to system error when entering reagent lot numbers.</w:t>
            </w:r>
            <w:r w:rsidR="005A4573" w:rsidRPr="00C47F3B">
              <w:rPr>
                <w:rFonts w:ascii="Arial" w:hAnsi="Arial" w:cs="Arial"/>
                <w:vanish/>
                <w:sz w:val="18"/>
                <w:szCs w:val="18"/>
              </w:rPr>
              <w:t xml:space="preserve"> Defect 208504</w:t>
            </w:r>
          </w:p>
          <w:p w14:paraId="7F412BC5" w14:textId="1D3BADA8" w:rsidR="00A8352D" w:rsidRPr="00C47F3B" w:rsidRDefault="00A8352D" w:rsidP="00A8352D">
            <w:pPr>
              <w:tabs>
                <w:tab w:val="left" w:pos="3690"/>
              </w:tabs>
              <w:rPr>
                <w:rFonts w:ascii="Arial" w:hAnsi="Arial" w:cs="Arial"/>
                <w:vanish/>
                <w:sz w:val="18"/>
                <w:szCs w:val="18"/>
              </w:rPr>
            </w:pPr>
            <w:r w:rsidRPr="00C47F3B">
              <w:rPr>
                <w:rFonts w:ascii="Arial" w:hAnsi="Arial" w:cs="Arial"/>
                <w:vanish/>
                <w:sz w:val="18"/>
                <w:szCs w:val="18"/>
              </w:rPr>
              <w:t>Unit Antigen Typing section, Step 5: Removed the note</w:t>
            </w:r>
            <w:r w:rsidR="005A4573" w:rsidRPr="00C47F3B">
              <w:rPr>
                <w:rFonts w:ascii="Arial" w:hAnsi="Arial" w:cs="Arial"/>
                <w:vanish/>
                <w:sz w:val="18"/>
                <w:szCs w:val="18"/>
              </w:rPr>
              <w:t>. Defect 209577</w:t>
            </w:r>
          </w:p>
          <w:p w14:paraId="435DA8EF" w14:textId="25CDA309" w:rsidR="00A8352D" w:rsidRPr="00C47F3B" w:rsidRDefault="00A8352D" w:rsidP="00A8352D">
            <w:pPr>
              <w:tabs>
                <w:tab w:val="left" w:pos="3690"/>
              </w:tabs>
              <w:rPr>
                <w:rFonts w:ascii="Arial" w:hAnsi="Arial" w:cs="Arial"/>
                <w:vanish/>
                <w:sz w:val="18"/>
                <w:szCs w:val="18"/>
              </w:rPr>
            </w:pPr>
            <w:r w:rsidRPr="00C47F3B">
              <w:rPr>
                <w:rFonts w:ascii="Arial" w:hAnsi="Arial" w:cs="Arial"/>
                <w:vanish/>
                <w:sz w:val="18"/>
                <w:szCs w:val="18"/>
              </w:rPr>
              <w:t>Modify Units section, Step 4:  Moved Weld information from Step 8 to Step 4.</w:t>
            </w:r>
          </w:p>
          <w:p w14:paraId="5CF4464B" w14:textId="2E2AD94B" w:rsidR="00A8352D" w:rsidRPr="00C47F3B" w:rsidRDefault="00A8352D" w:rsidP="00A8352D">
            <w:pPr>
              <w:tabs>
                <w:tab w:val="left" w:pos="3690"/>
              </w:tabs>
              <w:rPr>
                <w:rFonts w:ascii="Arial" w:hAnsi="Arial" w:cs="Arial"/>
                <w:vanish/>
                <w:sz w:val="18"/>
                <w:szCs w:val="18"/>
              </w:rPr>
            </w:pPr>
            <w:r w:rsidRPr="00C47F3B">
              <w:rPr>
                <w:rFonts w:ascii="Arial" w:hAnsi="Arial" w:cs="Arial"/>
                <w:vanish/>
                <w:sz w:val="18"/>
                <w:szCs w:val="18"/>
              </w:rPr>
              <w:t>Modify Units Split a Unit, Limitations and Restrictions: Removed last bullet pertaining to Weld controls being disabled.</w:t>
            </w:r>
            <w:r w:rsidR="00292C17" w:rsidRPr="00C47F3B">
              <w:rPr>
                <w:rFonts w:ascii="Arial" w:hAnsi="Arial" w:cs="Arial"/>
                <w:vanish/>
                <w:sz w:val="18"/>
                <w:szCs w:val="18"/>
              </w:rPr>
              <w:t xml:space="preserve"> </w:t>
            </w:r>
            <w:r w:rsidR="00511276" w:rsidRPr="00C47F3B">
              <w:rPr>
                <w:rFonts w:ascii="Arial" w:hAnsi="Arial" w:cs="Arial"/>
                <w:vanish/>
                <w:sz w:val="18"/>
                <w:szCs w:val="18"/>
              </w:rPr>
              <w:t xml:space="preserve">Task 803507 </w:t>
            </w:r>
            <w:r w:rsidR="00292C17" w:rsidRPr="00C47F3B">
              <w:rPr>
                <w:rFonts w:ascii="Arial" w:hAnsi="Arial" w:cs="Arial"/>
                <w:vanish/>
                <w:sz w:val="18"/>
                <w:szCs w:val="18"/>
              </w:rPr>
              <w:t>Also removed  the Appendix D associated entry.</w:t>
            </w:r>
          </w:p>
          <w:p w14:paraId="52673F2C" w14:textId="0D0706D1" w:rsidR="00A8352D" w:rsidRPr="00C47F3B" w:rsidRDefault="00A8352D" w:rsidP="00A8352D">
            <w:pPr>
              <w:tabs>
                <w:tab w:val="left" w:pos="3690"/>
              </w:tabs>
              <w:rPr>
                <w:rFonts w:ascii="Arial" w:hAnsi="Arial" w:cs="Arial"/>
                <w:vanish/>
                <w:sz w:val="18"/>
                <w:szCs w:val="18"/>
              </w:rPr>
            </w:pPr>
            <w:r w:rsidRPr="00C47F3B">
              <w:rPr>
                <w:rFonts w:ascii="Arial" w:hAnsi="Arial" w:cs="Arial"/>
                <w:vanish/>
                <w:sz w:val="18"/>
                <w:szCs w:val="18"/>
              </w:rPr>
              <w:t xml:space="preserve">Modify Units Split a Unit, Step </w:t>
            </w:r>
            <w:r w:rsidR="003F32E7" w:rsidRPr="00C47F3B">
              <w:rPr>
                <w:rFonts w:ascii="Arial" w:hAnsi="Arial" w:cs="Arial"/>
                <w:vanish/>
                <w:sz w:val="18"/>
                <w:szCs w:val="18"/>
              </w:rPr>
              <w:t>5</w:t>
            </w:r>
            <w:r w:rsidRPr="00C47F3B">
              <w:rPr>
                <w:rFonts w:ascii="Arial" w:hAnsi="Arial" w:cs="Arial"/>
                <w:vanish/>
                <w:sz w:val="18"/>
                <w:szCs w:val="18"/>
              </w:rPr>
              <w:t xml:space="preserve">: Moved Weld information </w:t>
            </w:r>
            <w:r w:rsidR="003F32E7" w:rsidRPr="00C47F3B">
              <w:rPr>
                <w:rFonts w:ascii="Arial" w:hAnsi="Arial" w:cs="Arial"/>
                <w:vanish/>
                <w:sz w:val="18"/>
                <w:szCs w:val="18"/>
              </w:rPr>
              <w:t>to Step 2</w:t>
            </w:r>
            <w:r w:rsidRPr="00C47F3B">
              <w:rPr>
                <w:rFonts w:ascii="Arial" w:hAnsi="Arial" w:cs="Arial"/>
                <w:vanish/>
                <w:sz w:val="18"/>
                <w:szCs w:val="18"/>
              </w:rPr>
              <w:t>.</w:t>
            </w:r>
          </w:p>
          <w:p w14:paraId="38AC1586" w14:textId="1CBEE076" w:rsidR="00A8352D" w:rsidRPr="00C47F3B" w:rsidRDefault="002566B0" w:rsidP="00A8352D">
            <w:pPr>
              <w:tabs>
                <w:tab w:val="left" w:pos="3690"/>
              </w:tabs>
              <w:rPr>
                <w:rFonts w:ascii="Arial" w:hAnsi="Arial" w:cs="Arial"/>
                <w:vanish/>
                <w:sz w:val="18"/>
                <w:szCs w:val="18"/>
              </w:rPr>
            </w:pPr>
            <w:r w:rsidRPr="00C47F3B">
              <w:rPr>
                <w:rFonts w:ascii="Arial" w:hAnsi="Arial" w:cs="Arial"/>
                <w:vanish/>
                <w:sz w:val="18"/>
                <w:szCs w:val="18"/>
              </w:rPr>
              <w:t>Modify Units Pool a Unit, Limitations and Restrictions: Removed last bullet pertaining to Weld controls being disabled.</w:t>
            </w:r>
            <w:r w:rsidR="00292C17" w:rsidRPr="00C47F3B">
              <w:rPr>
                <w:rFonts w:ascii="Arial" w:hAnsi="Arial" w:cs="Arial"/>
                <w:vanish/>
                <w:sz w:val="18"/>
                <w:szCs w:val="18"/>
              </w:rPr>
              <w:t xml:space="preserve"> </w:t>
            </w:r>
            <w:r w:rsidR="00511276" w:rsidRPr="00C47F3B">
              <w:rPr>
                <w:rFonts w:ascii="Arial" w:hAnsi="Arial" w:cs="Arial"/>
                <w:vanish/>
                <w:sz w:val="18"/>
                <w:szCs w:val="18"/>
              </w:rPr>
              <w:t xml:space="preserve">Task 803507 </w:t>
            </w:r>
            <w:r w:rsidR="00292C17" w:rsidRPr="00C47F3B">
              <w:rPr>
                <w:rFonts w:ascii="Arial" w:hAnsi="Arial" w:cs="Arial"/>
                <w:vanish/>
                <w:sz w:val="18"/>
                <w:szCs w:val="18"/>
              </w:rPr>
              <w:t>Also removed  the Appendix D associated entry.</w:t>
            </w:r>
          </w:p>
          <w:p w14:paraId="2C5B9093" w14:textId="1C7B879D" w:rsidR="002566B0" w:rsidRPr="00C47F3B" w:rsidRDefault="002566B0" w:rsidP="00A8352D">
            <w:pPr>
              <w:tabs>
                <w:tab w:val="left" w:pos="3690"/>
              </w:tabs>
              <w:rPr>
                <w:rFonts w:ascii="Arial" w:hAnsi="Arial" w:cs="Arial"/>
                <w:vanish/>
                <w:sz w:val="18"/>
                <w:szCs w:val="18"/>
              </w:rPr>
            </w:pPr>
            <w:r w:rsidRPr="00C47F3B">
              <w:rPr>
                <w:rFonts w:ascii="Arial" w:hAnsi="Arial" w:cs="Arial"/>
                <w:vanish/>
                <w:sz w:val="18"/>
                <w:szCs w:val="18"/>
              </w:rPr>
              <w:t xml:space="preserve">Select Units, Limitations and Restrictions: Removed fourth bullet pertaining to system error occurring when attempting to associate a specimen with an order when no unit is selected. </w:t>
            </w:r>
            <w:r w:rsidR="00511276" w:rsidRPr="00C47F3B">
              <w:rPr>
                <w:rFonts w:ascii="Arial" w:hAnsi="Arial" w:cs="Arial"/>
                <w:vanish/>
                <w:sz w:val="18"/>
                <w:szCs w:val="18"/>
              </w:rPr>
              <w:t xml:space="preserve">Defect 209343 </w:t>
            </w:r>
            <w:r w:rsidRPr="00C47F3B">
              <w:rPr>
                <w:rFonts w:ascii="Arial" w:hAnsi="Arial" w:cs="Arial"/>
                <w:vanish/>
                <w:sz w:val="18"/>
                <w:szCs w:val="18"/>
              </w:rPr>
              <w:t>Also removed  the Appendix D associated entry.</w:t>
            </w:r>
          </w:p>
          <w:p w14:paraId="736AA2BB" w14:textId="3024D7BE" w:rsidR="002566B0" w:rsidRPr="00C47F3B" w:rsidRDefault="002566B0" w:rsidP="00A8352D">
            <w:pPr>
              <w:tabs>
                <w:tab w:val="left" w:pos="3690"/>
              </w:tabs>
              <w:rPr>
                <w:rFonts w:ascii="Arial" w:hAnsi="Arial" w:cs="Arial"/>
                <w:vanish/>
                <w:sz w:val="18"/>
                <w:szCs w:val="18"/>
              </w:rPr>
            </w:pPr>
            <w:r w:rsidRPr="00C47F3B">
              <w:rPr>
                <w:rFonts w:ascii="Arial" w:hAnsi="Arial" w:cs="Arial"/>
                <w:vanish/>
                <w:sz w:val="18"/>
                <w:szCs w:val="18"/>
              </w:rPr>
              <w:t>Select Units, Step 9, fifth note: Changed symbol to “= &gt;” under For PLT order second bullet.</w:t>
            </w:r>
          </w:p>
          <w:p w14:paraId="10756EC4" w14:textId="1FCA8B59" w:rsidR="005A4573" w:rsidRPr="00C47F3B" w:rsidRDefault="005A4573" w:rsidP="00A8352D">
            <w:pPr>
              <w:tabs>
                <w:tab w:val="left" w:pos="3690"/>
              </w:tabs>
              <w:rPr>
                <w:rFonts w:ascii="Arial" w:hAnsi="Arial" w:cs="Arial"/>
                <w:vanish/>
                <w:sz w:val="18"/>
                <w:szCs w:val="18"/>
              </w:rPr>
            </w:pPr>
            <w:r w:rsidRPr="00C47F3B">
              <w:rPr>
                <w:rFonts w:ascii="Arial" w:hAnsi="Arial" w:cs="Arial"/>
                <w:vanish/>
                <w:sz w:val="18"/>
                <w:szCs w:val="18"/>
              </w:rPr>
              <w:t>Issue Blood Components, Step 8, last note: Changed hidden text from Defect 210138 to Defect 959630.</w:t>
            </w:r>
          </w:p>
          <w:p w14:paraId="6143AAC5" w14:textId="22717E91" w:rsidR="002566B0" w:rsidRPr="00C47F3B" w:rsidRDefault="002566B0" w:rsidP="00A8352D">
            <w:pPr>
              <w:tabs>
                <w:tab w:val="left" w:pos="3690"/>
              </w:tabs>
              <w:rPr>
                <w:rFonts w:ascii="Arial" w:hAnsi="Arial" w:cs="Arial"/>
                <w:vanish/>
                <w:sz w:val="18"/>
                <w:szCs w:val="18"/>
              </w:rPr>
            </w:pPr>
            <w:r w:rsidRPr="00C47F3B">
              <w:rPr>
                <w:rFonts w:ascii="Arial" w:hAnsi="Arial" w:cs="Arial"/>
                <w:vanish/>
                <w:sz w:val="18"/>
                <w:szCs w:val="18"/>
              </w:rPr>
              <w:t>Accept Orders Accept an Order, Limitations and Restrictions: Removed seventh bullet pertaining to orders including a patient location.</w:t>
            </w:r>
            <w:r w:rsidR="005A4573" w:rsidRPr="00C47F3B">
              <w:rPr>
                <w:rFonts w:ascii="Arial" w:hAnsi="Arial" w:cs="Arial"/>
                <w:vanish/>
                <w:sz w:val="18"/>
                <w:szCs w:val="18"/>
              </w:rPr>
              <w:t xml:space="preserve"> Also removed from Appendix D associated entry. Defect 210129</w:t>
            </w:r>
            <w:r w:rsidR="00511276" w:rsidRPr="00C47F3B">
              <w:rPr>
                <w:rFonts w:ascii="Arial" w:hAnsi="Arial" w:cs="Arial"/>
                <w:vanish/>
                <w:sz w:val="18"/>
                <w:szCs w:val="18"/>
              </w:rPr>
              <w:t xml:space="preserve"> Also removed from Appendix D associated entry.</w:t>
            </w:r>
          </w:p>
          <w:p w14:paraId="69BF7A84" w14:textId="1374327A" w:rsidR="002566B0" w:rsidRPr="00C47F3B" w:rsidRDefault="001938AF" w:rsidP="00A8352D">
            <w:pPr>
              <w:tabs>
                <w:tab w:val="left" w:pos="3690"/>
              </w:tabs>
              <w:rPr>
                <w:rFonts w:ascii="Arial" w:hAnsi="Arial" w:cs="Arial"/>
                <w:vanish/>
                <w:sz w:val="18"/>
                <w:szCs w:val="18"/>
              </w:rPr>
            </w:pPr>
            <w:r w:rsidRPr="00C47F3B">
              <w:rPr>
                <w:rFonts w:ascii="Arial" w:hAnsi="Arial" w:cs="Arial"/>
                <w:vanish/>
                <w:sz w:val="18"/>
                <w:szCs w:val="18"/>
              </w:rPr>
              <w:t>Accept Orders Accept an Order: Removed second paragraph pertaining to the Pending Order List.</w:t>
            </w:r>
            <w:r w:rsidR="005A4573" w:rsidRPr="00C47F3B">
              <w:rPr>
                <w:rFonts w:ascii="Arial" w:hAnsi="Arial" w:cs="Arial"/>
                <w:vanish/>
                <w:sz w:val="18"/>
                <w:szCs w:val="18"/>
              </w:rPr>
              <w:t xml:space="preserve"> Defect 209554</w:t>
            </w:r>
          </w:p>
          <w:p w14:paraId="4A69586F" w14:textId="5CF06E49" w:rsidR="001938AF" w:rsidRPr="00C47F3B" w:rsidRDefault="001938AF" w:rsidP="00A8352D">
            <w:pPr>
              <w:tabs>
                <w:tab w:val="left" w:pos="3690"/>
              </w:tabs>
              <w:rPr>
                <w:rFonts w:ascii="Arial" w:hAnsi="Arial" w:cs="Arial"/>
                <w:vanish/>
                <w:sz w:val="18"/>
                <w:szCs w:val="18"/>
              </w:rPr>
            </w:pPr>
            <w:r w:rsidRPr="00C47F3B">
              <w:rPr>
                <w:rFonts w:ascii="Arial" w:hAnsi="Arial" w:cs="Arial"/>
                <w:vanish/>
                <w:sz w:val="18"/>
                <w:szCs w:val="18"/>
              </w:rPr>
              <w:t>Emergency Transfusion Order Processing, Step 5: Changed “ellipsis” to “Find”.</w:t>
            </w:r>
          </w:p>
          <w:p w14:paraId="0EC3CA54" w14:textId="5B3B6A4B" w:rsidR="001938AF" w:rsidRPr="00C47F3B" w:rsidRDefault="001938AF" w:rsidP="00A8352D">
            <w:pPr>
              <w:tabs>
                <w:tab w:val="left" w:pos="3690"/>
              </w:tabs>
              <w:rPr>
                <w:rFonts w:ascii="Arial" w:hAnsi="Arial" w:cs="Arial"/>
                <w:vanish/>
                <w:sz w:val="18"/>
                <w:szCs w:val="18"/>
              </w:rPr>
            </w:pPr>
            <w:r w:rsidRPr="00C47F3B">
              <w:rPr>
                <w:rFonts w:ascii="Arial" w:hAnsi="Arial" w:cs="Arial"/>
                <w:vanish/>
                <w:sz w:val="18"/>
                <w:szCs w:val="18"/>
              </w:rPr>
              <w:t>Patient Search Screen section, Limitations and Restrictions: Added second bullet pertaining to non-alphanumeric characters.</w:t>
            </w:r>
            <w:r w:rsidR="00696708" w:rsidRPr="00C47F3B">
              <w:rPr>
                <w:rFonts w:ascii="Arial" w:hAnsi="Arial" w:cs="Arial"/>
                <w:vanish/>
                <w:sz w:val="18"/>
                <w:szCs w:val="18"/>
              </w:rPr>
              <w:t xml:space="preserve"> </w:t>
            </w:r>
            <w:r w:rsidR="00511276" w:rsidRPr="00C47F3B">
              <w:rPr>
                <w:rFonts w:ascii="Arial" w:hAnsi="Arial" w:cs="Arial"/>
                <w:vanish/>
                <w:sz w:val="18"/>
                <w:szCs w:val="18"/>
              </w:rPr>
              <w:t xml:space="preserve">Defect 209859 </w:t>
            </w:r>
            <w:r w:rsidR="00696708" w:rsidRPr="00C47F3B">
              <w:rPr>
                <w:rFonts w:ascii="Arial" w:hAnsi="Arial" w:cs="Arial"/>
                <w:vanish/>
                <w:sz w:val="18"/>
                <w:szCs w:val="18"/>
              </w:rPr>
              <w:t>Also added to Appendix D associated entry</w:t>
            </w:r>
            <w:r w:rsidR="00511276" w:rsidRPr="00C47F3B">
              <w:rPr>
                <w:rFonts w:ascii="Arial" w:hAnsi="Arial" w:cs="Arial"/>
                <w:vanish/>
                <w:sz w:val="18"/>
                <w:szCs w:val="18"/>
              </w:rPr>
              <w:t>.</w:t>
            </w:r>
          </w:p>
          <w:p w14:paraId="03D01007" w14:textId="0468ABD0" w:rsidR="005A4573" w:rsidRPr="00C47F3B" w:rsidRDefault="005A4573" w:rsidP="003F32E7">
            <w:pPr>
              <w:tabs>
                <w:tab w:val="left" w:pos="2715"/>
              </w:tabs>
              <w:rPr>
                <w:rFonts w:ascii="Arial" w:hAnsi="Arial" w:cs="Arial"/>
                <w:vanish/>
                <w:sz w:val="18"/>
                <w:szCs w:val="18"/>
              </w:rPr>
            </w:pPr>
            <w:r w:rsidRPr="00C47F3B">
              <w:rPr>
                <w:rFonts w:ascii="Arial" w:hAnsi="Arial" w:cs="Arial"/>
                <w:vanish/>
                <w:sz w:val="18"/>
                <w:szCs w:val="18"/>
              </w:rPr>
              <w:t>Exception Report, Additional Information, fourth bullet: Changed hidden text from Defect 212840 to Defect 674097.</w:t>
            </w:r>
          </w:p>
          <w:p w14:paraId="08073993" w14:textId="767B35EB" w:rsidR="00BA2EAA" w:rsidRPr="00C47F3B" w:rsidRDefault="001938AF" w:rsidP="003F32E7">
            <w:pPr>
              <w:tabs>
                <w:tab w:val="left" w:pos="2715"/>
              </w:tabs>
              <w:rPr>
                <w:rFonts w:ascii="Arial" w:hAnsi="Arial" w:cs="Arial"/>
                <w:vanish/>
                <w:sz w:val="18"/>
                <w:szCs w:val="18"/>
              </w:rPr>
            </w:pPr>
            <w:r w:rsidRPr="00C47F3B">
              <w:rPr>
                <w:rFonts w:ascii="Arial" w:hAnsi="Arial" w:cs="Arial"/>
                <w:vanish/>
                <w:sz w:val="18"/>
                <w:szCs w:val="18"/>
              </w:rPr>
              <w:t>Patient Testing Worklist and Testing Worklist Reports section: Removed fourth sentence pertaining to crossmatch results.</w:t>
            </w:r>
            <w:r w:rsidR="005A4573" w:rsidRPr="00C47F3B">
              <w:rPr>
                <w:rFonts w:ascii="Arial" w:hAnsi="Arial" w:cs="Arial"/>
                <w:vanish/>
                <w:sz w:val="18"/>
                <w:szCs w:val="18"/>
              </w:rPr>
              <w:t xml:space="preserve"> Defect 208966</w:t>
            </w:r>
          </w:p>
          <w:p w14:paraId="6FD06FBB" w14:textId="42320346" w:rsidR="002E54E9" w:rsidRPr="00C47F3B" w:rsidRDefault="002E54E9" w:rsidP="003F32E7">
            <w:pPr>
              <w:tabs>
                <w:tab w:val="left" w:pos="2715"/>
              </w:tabs>
              <w:rPr>
                <w:rFonts w:ascii="Arial" w:hAnsi="Arial" w:cs="Arial"/>
                <w:vanish/>
                <w:sz w:val="18"/>
                <w:szCs w:val="18"/>
              </w:rPr>
            </w:pPr>
            <w:r w:rsidRPr="00C47F3B">
              <w:rPr>
                <w:rFonts w:ascii="Arial" w:hAnsi="Arial" w:cs="Arial"/>
                <w:vanish/>
                <w:sz w:val="18"/>
                <w:szCs w:val="18"/>
              </w:rPr>
              <w:t>Calculation of the Expiration Date: Removed last sentence from second paragraph that pertained to modifications not being allowed for product types not listed.</w:t>
            </w:r>
          </w:p>
          <w:p w14:paraId="349131F3" w14:textId="4717C8B2" w:rsidR="002E54E9" w:rsidRPr="00C47F3B" w:rsidRDefault="002E54E9" w:rsidP="002E54E9">
            <w:pPr>
              <w:tabs>
                <w:tab w:val="left" w:pos="3690"/>
              </w:tabs>
              <w:rPr>
                <w:rFonts w:ascii="Arial" w:hAnsi="Arial" w:cs="Arial"/>
                <w:sz w:val="18"/>
                <w:szCs w:val="18"/>
              </w:rPr>
            </w:pPr>
            <w:r w:rsidRPr="00C47F3B">
              <w:rPr>
                <w:rFonts w:ascii="Arial" w:hAnsi="Arial" w:cs="Arial"/>
                <w:vanish/>
                <w:sz w:val="18"/>
                <w:szCs w:val="18"/>
              </w:rPr>
              <w:t>Table 22: Updated.</w:t>
            </w:r>
          </w:p>
        </w:tc>
        <w:tc>
          <w:tcPr>
            <w:tcW w:w="1098" w:type="dxa"/>
          </w:tcPr>
          <w:p w14:paraId="41360128" w14:textId="26D54CC4" w:rsidR="00BA2EAA" w:rsidRDefault="00BA2EAA" w:rsidP="00BA2EAA">
            <w:pPr>
              <w:pStyle w:val="TableText"/>
            </w:pPr>
            <w:r>
              <w:t>BBM Team</w:t>
            </w:r>
          </w:p>
        </w:tc>
      </w:tr>
      <w:tr w:rsidR="00A6647D" w:rsidRPr="009D5AF3" w14:paraId="04B03A80" w14:textId="77777777" w:rsidTr="00A7660A">
        <w:tc>
          <w:tcPr>
            <w:tcW w:w="918" w:type="dxa"/>
          </w:tcPr>
          <w:p w14:paraId="07EBE8D8" w14:textId="664E7E68" w:rsidR="00A6647D" w:rsidRDefault="00A6647D" w:rsidP="00BA2EAA">
            <w:pPr>
              <w:pStyle w:val="TableText"/>
            </w:pPr>
            <w:r>
              <w:t>12/</w:t>
            </w:r>
            <w:r w:rsidR="00CA745C">
              <w:t>3</w:t>
            </w:r>
            <w:r w:rsidR="000D3AC3">
              <w:t>1</w:t>
            </w:r>
            <w:r>
              <w:t>/19</w:t>
            </w:r>
          </w:p>
        </w:tc>
        <w:tc>
          <w:tcPr>
            <w:tcW w:w="990" w:type="dxa"/>
          </w:tcPr>
          <w:p w14:paraId="00505980" w14:textId="7152AC5B" w:rsidR="00A6647D" w:rsidRDefault="00F128E4" w:rsidP="00BA2EAA">
            <w:pPr>
              <w:pStyle w:val="TableText"/>
            </w:pPr>
            <w:r>
              <w:t>4</w:t>
            </w:r>
            <w:r w:rsidR="00A6647D">
              <w:t>.0</w:t>
            </w:r>
          </w:p>
        </w:tc>
        <w:tc>
          <w:tcPr>
            <w:tcW w:w="6994" w:type="dxa"/>
          </w:tcPr>
          <w:p w14:paraId="6AE3E5B4" w14:textId="1FFBE0FF" w:rsidR="00A6647D" w:rsidRPr="00C47F3B" w:rsidRDefault="00A6647D" w:rsidP="009312D9">
            <w:pPr>
              <w:rPr>
                <w:rFonts w:ascii="Arial" w:hAnsi="Arial" w:cs="Arial"/>
                <w:sz w:val="18"/>
                <w:szCs w:val="18"/>
              </w:rPr>
            </w:pPr>
            <w:r w:rsidRPr="00C47F3B">
              <w:rPr>
                <w:rFonts w:ascii="Arial" w:hAnsi="Arial" w:cs="Arial"/>
                <w:sz w:val="18"/>
                <w:szCs w:val="18"/>
              </w:rPr>
              <w:t>VBECS 2.3.2 Rev B</w:t>
            </w:r>
          </w:p>
          <w:p w14:paraId="1CF35B20" w14:textId="6F49938D" w:rsidR="00CA745C" w:rsidRPr="00C47F3B" w:rsidRDefault="00CA745C" w:rsidP="009312D9">
            <w:pPr>
              <w:rPr>
                <w:rFonts w:ascii="Arial" w:hAnsi="Arial" w:cs="Arial"/>
                <w:vanish/>
                <w:sz w:val="18"/>
                <w:szCs w:val="18"/>
              </w:rPr>
            </w:pPr>
            <w:r w:rsidRPr="00C47F3B">
              <w:rPr>
                <w:rFonts w:ascii="Arial" w:hAnsi="Arial" w:cs="Arial"/>
                <w:sz w:val="18"/>
                <w:szCs w:val="18"/>
              </w:rPr>
              <w:t>Updated from UAT</w:t>
            </w:r>
          </w:p>
          <w:p w14:paraId="69108510" w14:textId="4A957D22" w:rsidR="000F2646" w:rsidRPr="00C47F3B" w:rsidRDefault="00F26899" w:rsidP="002639D6">
            <w:pPr>
              <w:rPr>
                <w:rFonts w:ascii="Arial" w:hAnsi="Arial" w:cs="Arial"/>
                <w:vanish/>
                <w:sz w:val="18"/>
                <w:szCs w:val="18"/>
              </w:rPr>
            </w:pPr>
            <w:r w:rsidRPr="00C47F3B">
              <w:rPr>
                <w:rFonts w:ascii="Arial" w:hAnsi="Arial" w:cs="Arial"/>
                <w:vanish/>
                <w:sz w:val="18"/>
                <w:szCs w:val="18"/>
              </w:rPr>
              <w:t>Added references to FAQs.</w:t>
            </w:r>
            <w:r w:rsidR="00920506" w:rsidRPr="00C47F3B">
              <w:rPr>
                <w:rFonts w:ascii="Arial" w:hAnsi="Arial" w:cs="Arial"/>
                <w:vanish/>
                <w:sz w:val="18"/>
                <w:szCs w:val="18"/>
              </w:rPr>
              <w:t xml:space="preserve"> Task 1116175</w:t>
            </w:r>
          </w:p>
          <w:p w14:paraId="54EEE9F5"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Keyboard Shortcuts for Windows: Screen Prints</w:t>
            </w:r>
          </w:p>
          <w:p w14:paraId="6C92352B"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Local Facilities</w:t>
            </w:r>
          </w:p>
          <w:p w14:paraId="400E924E"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Blood Products</w:t>
            </w:r>
          </w:p>
          <w:p w14:paraId="0A0F9288"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Incoming Shipment</w:t>
            </w:r>
          </w:p>
          <w:p w14:paraId="127516DE"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Modify Components</w:t>
            </w:r>
          </w:p>
          <w:p w14:paraId="30FB039D"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Display Order Alerts</w:t>
            </w:r>
          </w:p>
          <w:p w14:paraId="28C66405"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Patient Testing: Pending Task List</w:t>
            </w:r>
          </w:p>
          <w:p w14:paraId="5DF7E051"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Patient Testing: Record a Direct Antiglobulin Test</w:t>
            </w:r>
          </w:p>
          <w:p w14:paraId="09656EBA"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Document ABO Incompatible Transfusions</w:t>
            </w:r>
          </w:p>
          <w:p w14:paraId="13558D3F"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Order History Report</w:t>
            </w:r>
          </w:p>
          <w:p w14:paraId="54185BCA"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Table 14: Antibody and Antigen Table: Irregular Antibodies</w:t>
            </w:r>
          </w:p>
          <w:p w14:paraId="45862D2C"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CPRS Orderable Blood Components (Component Classes) Mapped to ICCBBA Component Classes</w:t>
            </w:r>
          </w:p>
          <w:p w14:paraId="477FD430" w14:textId="77777777"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Rules for Electronic and Serologic Crossmatch</w:t>
            </w:r>
          </w:p>
          <w:p w14:paraId="0DFC2229" w14:textId="25DFED8A" w:rsidR="00475B64" w:rsidRPr="00C47F3B" w:rsidRDefault="00475B64"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Appendix F: System Validation</w:t>
            </w:r>
          </w:p>
          <w:p w14:paraId="1AA8973C" w14:textId="3CAC93EF" w:rsidR="002639D6" w:rsidRPr="00C47F3B" w:rsidRDefault="002639D6"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VBECS Forms and Reports</w:t>
            </w:r>
          </w:p>
          <w:p w14:paraId="4D2194B5" w14:textId="103E1524" w:rsidR="00A2465C" w:rsidRPr="00C47F3B" w:rsidRDefault="00A2465C" w:rsidP="002639D6">
            <w:pPr>
              <w:rPr>
                <w:rFonts w:ascii="Arial" w:hAnsi="Arial" w:cs="Arial"/>
                <w:vanish/>
                <w:sz w:val="18"/>
                <w:szCs w:val="18"/>
              </w:rPr>
            </w:pPr>
            <w:r w:rsidRPr="00C47F3B">
              <w:rPr>
                <w:rFonts w:ascii="Arial" w:hAnsi="Arial" w:cs="Arial"/>
                <w:vanish/>
                <w:sz w:val="18"/>
                <w:szCs w:val="18"/>
              </w:rPr>
              <w:t xml:space="preserve">Task </w:t>
            </w:r>
            <w:r w:rsidR="006B5E7F" w:rsidRPr="00C47F3B">
              <w:rPr>
                <w:rFonts w:ascii="Arial" w:hAnsi="Arial" w:cs="Arial"/>
                <w:vanish/>
                <w:sz w:val="18"/>
                <w:szCs w:val="18"/>
              </w:rPr>
              <w:t>1105678</w:t>
            </w:r>
          </w:p>
          <w:p w14:paraId="38BDC04C" w14:textId="1E39EBF5" w:rsidR="006B5E7F" w:rsidRPr="00C47F3B" w:rsidRDefault="006B5E7F"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Canned Comments section, Additional Information, second bullet, second sentence: Removed “while this will be fixed in a later version”.</w:t>
            </w:r>
          </w:p>
          <w:p w14:paraId="2F1DCD74" w14:textId="5F8BF506" w:rsidR="006B5E7F" w:rsidRPr="00C47F3B" w:rsidRDefault="006B5E7F"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Select Units section, Additional Information: Removed third bullet</w:t>
            </w:r>
            <w:r w:rsidR="00066A1D" w:rsidRPr="00C47F3B">
              <w:rPr>
                <w:rFonts w:ascii="Arial" w:hAnsi="Arial" w:cs="Arial"/>
                <w:vanish/>
                <w:sz w:val="18"/>
                <w:szCs w:val="18"/>
              </w:rPr>
              <w:t xml:space="preserve"> pertaining to active component orders.</w:t>
            </w:r>
          </w:p>
          <w:p w14:paraId="1743CF55" w14:textId="22AB4F83" w:rsidR="00066A1D" w:rsidRPr="00C47F3B" w:rsidRDefault="00066A1D"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Select Units section, Step 10, Notes, third paragraph: Removed fourth bullet pertaining to quarantine indicator.</w:t>
            </w:r>
          </w:p>
          <w:p w14:paraId="4CF2A1E9" w14:textId="454DED06" w:rsidR="00693C43" w:rsidRPr="00C47F3B" w:rsidRDefault="00155D22"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Patient Testing, Record a Crossmatch section, Step 4, Notes, third paragraph: Removed fourth bullet pertaining to quarantine indicator.</w:t>
            </w:r>
          </w:p>
          <w:p w14:paraId="030900EB" w14:textId="65873035" w:rsidR="00693C43" w:rsidRDefault="00693C43"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Updated VBECS Forms and Reports</w:t>
            </w:r>
          </w:p>
          <w:p w14:paraId="0E515060" w14:textId="11CF57A3" w:rsidR="0004665B" w:rsidRPr="00C47F3B" w:rsidRDefault="0004665B" w:rsidP="002639D6">
            <w:pPr>
              <w:pStyle w:val="ListParagraph"/>
              <w:numPr>
                <w:ilvl w:val="0"/>
                <w:numId w:val="36"/>
              </w:numPr>
              <w:spacing w:after="0" w:line="240" w:lineRule="auto"/>
              <w:ind w:left="312" w:hanging="270"/>
              <w:rPr>
                <w:rFonts w:ascii="Arial" w:hAnsi="Arial" w:cs="Arial"/>
                <w:vanish/>
                <w:sz w:val="18"/>
                <w:szCs w:val="18"/>
              </w:rPr>
            </w:pPr>
            <w:r>
              <w:rPr>
                <w:rFonts w:ascii="Arial" w:hAnsi="Arial" w:cs="Arial"/>
                <w:vanish/>
                <w:sz w:val="18"/>
                <w:szCs w:val="18"/>
              </w:rPr>
              <w:t xml:space="preserve">Table 24: VBECS Maximum Surgical Blood Order Schedule (MSBOS): </w:t>
            </w:r>
            <w:r w:rsidR="004E7BD1">
              <w:rPr>
                <w:rFonts w:ascii="Arial" w:hAnsi="Arial" w:cs="Arial"/>
                <w:vanish/>
                <w:sz w:val="18"/>
                <w:szCs w:val="18"/>
              </w:rPr>
              <w:t xml:space="preserve">Changed </w:t>
            </w:r>
            <w:r w:rsidR="00AE6AAB">
              <w:rPr>
                <w:rFonts w:ascii="Arial" w:hAnsi="Arial" w:cs="Arial"/>
                <w:vanish/>
                <w:sz w:val="18"/>
                <w:szCs w:val="18"/>
              </w:rPr>
              <w:t xml:space="preserve">Cholostomy to Colostomy, </w:t>
            </w:r>
            <w:r w:rsidR="004E7BD1">
              <w:rPr>
                <w:rFonts w:ascii="Arial" w:hAnsi="Arial" w:cs="Arial"/>
                <w:vanish/>
                <w:sz w:val="18"/>
                <w:szCs w:val="18"/>
              </w:rPr>
              <w:t>Esophogeal to Esophageal</w:t>
            </w:r>
            <w:r w:rsidR="00AE6AAB">
              <w:rPr>
                <w:rFonts w:ascii="Arial" w:hAnsi="Arial" w:cs="Arial"/>
                <w:vanish/>
                <w:sz w:val="18"/>
                <w:szCs w:val="18"/>
              </w:rPr>
              <w:t xml:space="preserve">, </w:t>
            </w:r>
            <w:r w:rsidR="004E7BD1">
              <w:rPr>
                <w:rFonts w:ascii="Arial" w:hAnsi="Arial" w:cs="Arial"/>
                <w:vanish/>
                <w:sz w:val="18"/>
                <w:szCs w:val="18"/>
              </w:rPr>
              <w:t>Esophogectomy to Esophagectomy</w:t>
            </w:r>
            <w:r w:rsidR="00AE6AAB">
              <w:rPr>
                <w:rFonts w:ascii="Arial" w:hAnsi="Arial" w:cs="Arial"/>
                <w:vanish/>
                <w:sz w:val="18"/>
                <w:szCs w:val="18"/>
              </w:rPr>
              <w:t>, and Popiteal to Popliteal</w:t>
            </w:r>
            <w:r w:rsidR="004E7BD1">
              <w:rPr>
                <w:rFonts w:ascii="Arial" w:hAnsi="Arial" w:cs="Arial"/>
                <w:vanish/>
                <w:sz w:val="18"/>
                <w:szCs w:val="18"/>
              </w:rPr>
              <w:t>.</w:t>
            </w:r>
          </w:p>
          <w:p w14:paraId="23A3E517" w14:textId="7D88A3F2" w:rsidR="00920506" w:rsidRPr="00C47F3B" w:rsidRDefault="00920506" w:rsidP="002639D6">
            <w:pPr>
              <w:rPr>
                <w:rFonts w:ascii="Arial" w:hAnsi="Arial" w:cs="Arial"/>
                <w:vanish/>
                <w:sz w:val="18"/>
                <w:szCs w:val="18"/>
              </w:rPr>
            </w:pPr>
            <w:r w:rsidRPr="00C47F3B">
              <w:rPr>
                <w:rFonts w:ascii="Arial" w:hAnsi="Arial" w:cs="Arial"/>
                <w:vanish/>
                <w:sz w:val="18"/>
                <w:szCs w:val="18"/>
              </w:rPr>
              <w:t>Task 1175765</w:t>
            </w:r>
          </w:p>
          <w:p w14:paraId="1A7D4F9A" w14:textId="3A545EAB" w:rsidR="00F26899" w:rsidRPr="00C47F3B" w:rsidRDefault="00B50195"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 xml:space="preserve">View </w:t>
            </w:r>
            <w:r w:rsidR="00920506" w:rsidRPr="00C47F3B">
              <w:rPr>
                <w:rFonts w:ascii="Arial" w:hAnsi="Arial" w:cs="Arial"/>
                <w:vanish/>
                <w:sz w:val="18"/>
                <w:szCs w:val="18"/>
              </w:rPr>
              <w:t>Recent Orders</w:t>
            </w:r>
            <w:r w:rsidRPr="00C47F3B">
              <w:rPr>
                <w:rFonts w:ascii="Arial" w:hAnsi="Arial" w:cs="Arial"/>
                <w:vanish/>
                <w:sz w:val="18"/>
                <w:szCs w:val="18"/>
              </w:rPr>
              <w:t>, Recent Transfusions/Issued Units and Transfusion Reaction History</w:t>
            </w:r>
            <w:r w:rsidR="00920506" w:rsidRPr="00C47F3B">
              <w:rPr>
                <w:rFonts w:ascii="Arial" w:hAnsi="Arial" w:cs="Arial"/>
                <w:vanish/>
                <w:sz w:val="18"/>
                <w:szCs w:val="18"/>
              </w:rPr>
              <w:t xml:space="preserve"> section, Limitations and Restrictions: Added new last bullet pertaining to TRWs not displaying on Recent Orders screen.</w:t>
            </w:r>
          </w:p>
          <w:p w14:paraId="7B8A9A92" w14:textId="18EA9828" w:rsidR="00920506" w:rsidRPr="00C47F3B" w:rsidRDefault="00920506"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Accept Orders section, Limitations and Restrictions: Added new last bullet</w:t>
            </w:r>
            <w:r w:rsidR="007105D0" w:rsidRPr="00C47F3B">
              <w:rPr>
                <w:rFonts w:ascii="Arial" w:hAnsi="Arial" w:cs="Arial"/>
                <w:vanish/>
                <w:sz w:val="18"/>
                <w:szCs w:val="18"/>
              </w:rPr>
              <w:t xml:space="preserve"> pertaining to 20-character limit for Ordering Division field.</w:t>
            </w:r>
          </w:p>
          <w:p w14:paraId="5509EBDE" w14:textId="496C8BF1" w:rsidR="007105D0" w:rsidRPr="00C47F3B" w:rsidRDefault="007105D0"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Finalize/Print TRW section, Limitations and Restrictions: Added new third bullet pertaining to no scroll bar on the TRW Serologic Tests tab.</w:t>
            </w:r>
          </w:p>
          <w:p w14:paraId="64418A9E" w14:textId="199F233B" w:rsidR="007105D0" w:rsidRPr="00C47F3B" w:rsidRDefault="007105D0"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 xml:space="preserve">Document ABO </w:t>
            </w:r>
            <w:r w:rsidR="003049A9">
              <w:rPr>
                <w:rFonts w:ascii="Arial" w:hAnsi="Arial" w:cs="Arial"/>
                <w:vanish/>
                <w:sz w:val="18"/>
                <w:szCs w:val="18"/>
              </w:rPr>
              <w:t>Incompatible</w:t>
            </w:r>
            <w:r w:rsidRPr="00C47F3B">
              <w:rPr>
                <w:rFonts w:ascii="Arial" w:hAnsi="Arial" w:cs="Arial"/>
                <w:vanish/>
                <w:sz w:val="18"/>
                <w:szCs w:val="18"/>
              </w:rPr>
              <w:t xml:space="preserve"> Transfusion section, Additional Information: Added new last bullet pertaining to a record being saved without entering the amount transfused.</w:t>
            </w:r>
          </w:p>
          <w:p w14:paraId="4E66B8FB" w14:textId="09175A7D" w:rsidR="007105D0" w:rsidRPr="00C47F3B" w:rsidRDefault="007105D0" w:rsidP="002639D6">
            <w:pPr>
              <w:pStyle w:val="ListParagraph"/>
              <w:numPr>
                <w:ilvl w:val="0"/>
                <w:numId w:val="36"/>
              </w:numPr>
              <w:spacing w:after="0" w:line="240" w:lineRule="auto"/>
              <w:ind w:left="312" w:hanging="270"/>
              <w:rPr>
                <w:rFonts w:ascii="Arial" w:hAnsi="Arial" w:cs="Arial"/>
                <w:vanish/>
                <w:sz w:val="18"/>
                <w:szCs w:val="18"/>
              </w:rPr>
            </w:pPr>
            <w:r w:rsidRPr="00C47F3B">
              <w:rPr>
                <w:rFonts w:ascii="Arial" w:hAnsi="Arial" w:cs="Arial"/>
                <w:vanish/>
                <w:sz w:val="18"/>
                <w:szCs w:val="18"/>
              </w:rPr>
              <w:t>Audit Trail section, Additional Information: Added new last bullet pertaining to a unit with RBC antigens selected appearing on the Audit Trail report.</w:t>
            </w:r>
          </w:p>
          <w:p w14:paraId="25862B5D" w14:textId="5F3BFC3E" w:rsidR="00920506" w:rsidRPr="00C47F3B" w:rsidRDefault="003A7B6C" w:rsidP="002639D6">
            <w:pPr>
              <w:pStyle w:val="ListParagraph"/>
              <w:numPr>
                <w:ilvl w:val="0"/>
                <w:numId w:val="36"/>
              </w:numPr>
              <w:spacing w:after="0" w:line="240" w:lineRule="auto"/>
              <w:ind w:left="312" w:hanging="270"/>
              <w:rPr>
                <w:rFonts w:ascii="Arial" w:hAnsi="Arial" w:cs="Arial"/>
                <w:sz w:val="18"/>
                <w:szCs w:val="18"/>
              </w:rPr>
            </w:pPr>
            <w:r w:rsidRPr="00C47F3B">
              <w:rPr>
                <w:rFonts w:ascii="Arial" w:hAnsi="Arial" w:cs="Arial"/>
                <w:vanish/>
                <w:sz w:val="18"/>
                <w:szCs w:val="18"/>
              </w:rPr>
              <w:t>Order History Report section, Limitations and Restrictions: Added new last bullet pertaining to only the first 20 characters of an ordering location being displayed.</w:t>
            </w:r>
          </w:p>
        </w:tc>
        <w:tc>
          <w:tcPr>
            <w:tcW w:w="1098" w:type="dxa"/>
          </w:tcPr>
          <w:p w14:paraId="273A5A8A" w14:textId="27D51A30" w:rsidR="00A6647D" w:rsidRDefault="000F2646" w:rsidP="00BA2EAA">
            <w:pPr>
              <w:pStyle w:val="TableText"/>
            </w:pPr>
            <w:r>
              <w:t>BBM Team</w:t>
            </w:r>
          </w:p>
        </w:tc>
      </w:tr>
      <w:tr w:rsidR="00F569B4" w:rsidRPr="009D5AF3" w14:paraId="2E61C9F5" w14:textId="77777777" w:rsidTr="00A7660A">
        <w:tc>
          <w:tcPr>
            <w:tcW w:w="918" w:type="dxa"/>
          </w:tcPr>
          <w:p w14:paraId="27F4F0FB" w14:textId="399362DA" w:rsidR="00F569B4" w:rsidRDefault="002F7CC9" w:rsidP="00E75C73">
            <w:pPr>
              <w:pStyle w:val="TableText"/>
            </w:pPr>
            <w:r>
              <w:t>7</w:t>
            </w:r>
            <w:r w:rsidR="00F569B4">
              <w:t>/</w:t>
            </w:r>
            <w:r w:rsidR="00B27C5A">
              <w:t>8</w:t>
            </w:r>
            <w:r w:rsidR="00F569B4">
              <w:t>/20</w:t>
            </w:r>
          </w:p>
        </w:tc>
        <w:tc>
          <w:tcPr>
            <w:tcW w:w="990" w:type="dxa"/>
          </w:tcPr>
          <w:p w14:paraId="7ACD8228" w14:textId="77777777" w:rsidR="00F569B4" w:rsidRDefault="00F569B4" w:rsidP="00E75C73">
            <w:pPr>
              <w:pStyle w:val="TableText"/>
            </w:pPr>
            <w:r>
              <w:t>5.0</w:t>
            </w:r>
          </w:p>
        </w:tc>
        <w:tc>
          <w:tcPr>
            <w:tcW w:w="6994" w:type="dxa"/>
          </w:tcPr>
          <w:p w14:paraId="3907227B" w14:textId="77777777" w:rsidR="00F569B4" w:rsidRPr="008932E9" w:rsidRDefault="00F569B4" w:rsidP="00E75C73">
            <w:pPr>
              <w:rPr>
                <w:rFonts w:ascii="Arial" w:hAnsi="Arial" w:cs="Arial"/>
                <w:vanish/>
                <w:sz w:val="18"/>
                <w:szCs w:val="18"/>
              </w:rPr>
            </w:pPr>
            <w:r>
              <w:rPr>
                <w:rFonts w:ascii="Arial" w:hAnsi="Arial" w:cs="Arial"/>
                <w:sz w:val="18"/>
                <w:szCs w:val="18"/>
              </w:rPr>
              <w:t>VBECS 2.3.2 Rev F</w:t>
            </w:r>
          </w:p>
          <w:p w14:paraId="61C29C87" w14:textId="4EB239D8" w:rsidR="00F569B4" w:rsidRPr="008932E9" w:rsidRDefault="00F569B4" w:rsidP="00E75C73">
            <w:pPr>
              <w:rPr>
                <w:rFonts w:ascii="Arial" w:hAnsi="Arial" w:cs="Arial"/>
                <w:vanish/>
                <w:sz w:val="18"/>
                <w:szCs w:val="18"/>
              </w:rPr>
            </w:pPr>
            <w:r w:rsidRPr="008932E9">
              <w:rPr>
                <w:rFonts w:ascii="Arial" w:hAnsi="Arial" w:cs="Arial"/>
                <w:vanish/>
                <w:sz w:val="18"/>
                <w:szCs w:val="18"/>
              </w:rPr>
              <w:t>Task 1210234</w:t>
            </w:r>
          </w:p>
          <w:p w14:paraId="4DDC3DAC" w14:textId="0998D0AD" w:rsidR="00E42B9A" w:rsidRDefault="00E42B9A" w:rsidP="00F569B4">
            <w:pPr>
              <w:pStyle w:val="ListParagraph"/>
              <w:numPr>
                <w:ilvl w:val="0"/>
                <w:numId w:val="91"/>
              </w:numPr>
              <w:spacing w:after="0"/>
              <w:ind w:left="316" w:hanging="270"/>
              <w:rPr>
                <w:rFonts w:ascii="Arial" w:hAnsi="Arial" w:cs="Arial"/>
                <w:vanish/>
                <w:sz w:val="18"/>
                <w:szCs w:val="18"/>
              </w:rPr>
            </w:pPr>
            <w:r>
              <w:rPr>
                <w:rFonts w:ascii="Arial" w:hAnsi="Arial" w:cs="Arial"/>
                <w:vanish/>
                <w:sz w:val="18"/>
                <w:szCs w:val="18"/>
              </w:rPr>
              <w:t>Software Basics, 9th bullet</w:t>
            </w:r>
            <w:r w:rsidR="002F7CC9">
              <w:rPr>
                <w:rFonts w:ascii="Arial" w:hAnsi="Arial" w:cs="Arial"/>
                <w:vanish/>
                <w:sz w:val="18"/>
                <w:szCs w:val="18"/>
              </w:rPr>
              <w:t xml:space="preserve"> pertaining to spell check</w:t>
            </w:r>
            <w:r>
              <w:rPr>
                <w:rFonts w:ascii="Arial" w:hAnsi="Arial" w:cs="Arial"/>
                <w:vanish/>
                <w:sz w:val="18"/>
                <w:szCs w:val="18"/>
              </w:rPr>
              <w:t>: Re</w:t>
            </w:r>
            <w:r w:rsidR="002F7CC9">
              <w:rPr>
                <w:rFonts w:ascii="Arial" w:hAnsi="Arial" w:cs="Arial"/>
                <w:vanish/>
                <w:sz w:val="18"/>
                <w:szCs w:val="18"/>
              </w:rPr>
              <w:t>moved</w:t>
            </w:r>
            <w:r>
              <w:rPr>
                <w:rFonts w:ascii="Arial" w:hAnsi="Arial" w:cs="Arial"/>
                <w:vanish/>
                <w:sz w:val="18"/>
                <w:szCs w:val="18"/>
              </w:rPr>
              <w:t>. Defect 1277899</w:t>
            </w:r>
          </w:p>
          <w:p w14:paraId="01FBCAB4" w14:textId="6B4B9692" w:rsidR="00F569B4" w:rsidRPr="008932E9" w:rsidRDefault="00F569B4" w:rsidP="00F569B4">
            <w:pPr>
              <w:pStyle w:val="ListParagraph"/>
              <w:numPr>
                <w:ilvl w:val="0"/>
                <w:numId w:val="91"/>
              </w:numPr>
              <w:spacing w:after="0"/>
              <w:ind w:left="316" w:hanging="270"/>
              <w:rPr>
                <w:rFonts w:ascii="Arial" w:hAnsi="Arial" w:cs="Arial"/>
                <w:vanish/>
                <w:sz w:val="18"/>
                <w:szCs w:val="18"/>
              </w:rPr>
            </w:pPr>
            <w:r w:rsidRPr="008932E9">
              <w:rPr>
                <w:rFonts w:ascii="Arial" w:hAnsi="Arial" w:cs="Arial"/>
                <w:vanish/>
                <w:sz w:val="18"/>
                <w:szCs w:val="18"/>
              </w:rPr>
              <w:t>Accessing the System, Log into VBECS and VistA, Additional Information: Removed 12</w:t>
            </w:r>
            <w:r w:rsidRPr="008932E9">
              <w:rPr>
                <w:rFonts w:ascii="Arial" w:hAnsi="Arial" w:cs="Arial"/>
                <w:vanish/>
                <w:sz w:val="18"/>
                <w:szCs w:val="18"/>
                <w:vertAlign w:val="superscript"/>
              </w:rPr>
              <w:t>th</w:t>
            </w:r>
            <w:r w:rsidRPr="008932E9">
              <w:rPr>
                <w:rFonts w:ascii="Arial" w:hAnsi="Arial" w:cs="Arial"/>
                <w:vanish/>
                <w:sz w:val="18"/>
                <w:szCs w:val="18"/>
              </w:rPr>
              <w:t xml:space="preserve"> bullet pertaining to user cancelling the VistA Logon Authorization window. Defect 208769</w:t>
            </w:r>
          </w:p>
          <w:p w14:paraId="339BFED5" w14:textId="08F1B208"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 xml:space="preserve">View Recent Orders, Recent Transfusions/Issued Units, and Transfusion Reaction History, Limitations and Restrictions, 2nd bullet: Changed Defect 208859 to Defect 210171 in hidden text. Also modified the entry for this </w:t>
            </w:r>
            <w:r w:rsidR="004D32DD" w:rsidRPr="008932E9">
              <w:rPr>
                <w:rFonts w:ascii="Arial" w:hAnsi="Arial" w:cs="Arial"/>
                <w:vanish/>
                <w:sz w:val="18"/>
                <w:szCs w:val="18"/>
              </w:rPr>
              <w:t>from</w:t>
            </w:r>
            <w:r w:rsidRPr="008932E9">
              <w:rPr>
                <w:rFonts w:ascii="Arial" w:hAnsi="Arial" w:cs="Arial"/>
                <w:vanish/>
                <w:sz w:val="18"/>
                <w:szCs w:val="18"/>
              </w:rPr>
              <w:t xml:space="preserve"> Appendix D.</w:t>
            </w:r>
          </w:p>
          <w:p w14:paraId="028C0801" w14:textId="77777777"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Antibodies, Additional Information: Removed 2</w:t>
            </w:r>
            <w:r w:rsidRPr="008932E9">
              <w:rPr>
                <w:rFonts w:ascii="Arial" w:hAnsi="Arial" w:cs="Arial"/>
                <w:vanish/>
                <w:sz w:val="18"/>
                <w:szCs w:val="18"/>
                <w:vertAlign w:val="superscript"/>
              </w:rPr>
              <w:t>nd</w:t>
            </w:r>
            <w:r w:rsidRPr="008932E9">
              <w:rPr>
                <w:rFonts w:ascii="Arial" w:hAnsi="Arial" w:cs="Arial"/>
                <w:vanish/>
                <w:sz w:val="18"/>
                <w:szCs w:val="18"/>
              </w:rPr>
              <w:t xml:space="preserve"> bullet pertaining to Anti-A,B not being selectable as a patient antibody. Defect 208804</w:t>
            </w:r>
          </w:p>
          <w:p w14:paraId="511BB194" w14:textId="488CA5AC"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Canned Comments, Limitations and Restrictions: Removed 3</w:t>
            </w:r>
            <w:r w:rsidRPr="008932E9">
              <w:rPr>
                <w:rFonts w:ascii="Arial" w:hAnsi="Arial" w:cs="Arial"/>
                <w:vanish/>
                <w:sz w:val="18"/>
                <w:szCs w:val="18"/>
                <w:vertAlign w:val="superscript"/>
              </w:rPr>
              <w:t>rd</w:t>
            </w:r>
            <w:r w:rsidRPr="008932E9">
              <w:rPr>
                <w:rFonts w:ascii="Arial" w:hAnsi="Arial" w:cs="Arial"/>
                <w:vanish/>
                <w:sz w:val="18"/>
                <w:szCs w:val="18"/>
              </w:rPr>
              <w:t xml:space="preserve"> bullet pertaining to receiving a system error when entering canned comments. Also removed the entry for this </w:t>
            </w:r>
            <w:r w:rsidR="004D32DD" w:rsidRPr="008932E9">
              <w:rPr>
                <w:rFonts w:ascii="Arial" w:hAnsi="Arial" w:cs="Arial"/>
                <w:vanish/>
                <w:sz w:val="18"/>
                <w:szCs w:val="18"/>
              </w:rPr>
              <w:t>from</w:t>
            </w:r>
            <w:r w:rsidRPr="008932E9">
              <w:rPr>
                <w:rFonts w:ascii="Arial" w:hAnsi="Arial" w:cs="Arial"/>
                <w:vanish/>
                <w:sz w:val="18"/>
                <w:szCs w:val="18"/>
              </w:rPr>
              <w:t xml:space="preserve"> Appendix D. Defect 209173</w:t>
            </w:r>
          </w:p>
          <w:p w14:paraId="2E7862D8" w14:textId="673CF257"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 xml:space="preserve">Processing Orders, Accept Orders: Accept an Order, Limitations and Restrictions, 2nd bullet: Changed Defect 208536 to Defect 213679 in hidden text. Also modified the entry for this </w:t>
            </w:r>
            <w:r w:rsidR="004D32DD" w:rsidRPr="008932E9">
              <w:rPr>
                <w:rFonts w:ascii="Arial" w:hAnsi="Arial" w:cs="Arial"/>
                <w:vanish/>
                <w:sz w:val="18"/>
                <w:szCs w:val="18"/>
              </w:rPr>
              <w:t>from</w:t>
            </w:r>
            <w:r w:rsidRPr="008932E9">
              <w:rPr>
                <w:rFonts w:ascii="Arial" w:hAnsi="Arial" w:cs="Arial"/>
                <w:vanish/>
                <w:sz w:val="18"/>
                <w:szCs w:val="18"/>
              </w:rPr>
              <w:t xml:space="preserve"> Appendix D.</w:t>
            </w:r>
          </w:p>
          <w:p w14:paraId="5B74CE69" w14:textId="489D076C"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Processing Orders, Accept Orders: Accept an Order, Limitations and Restrictions: Removed 6</w:t>
            </w:r>
            <w:r w:rsidRPr="008932E9">
              <w:rPr>
                <w:rFonts w:ascii="Arial" w:hAnsi="Arial" w:cs="Arial"/>
                <w:vanish/>
                <w:sz w:val="18"/>
                <w:szCs w:val="18"/>
                <w:vertAlign w:val="superscript"/>
              </w:rPr>
              <w:t>th</w:t>
            </w:r>
            <w:r w:rsidRPr="008932E9">
              <w:rPr>
                <w:rFonts w:ascii="Arial" w:hAnsi="Arial" w:cs="Arial"/>
                <w:vanish/>
                <w:sz w:val="18"/>
                <w:szCs w:val="18"/>
              </w:rPr>
              <w:t xml:space="preserve"> bullet pertaining to VBECS order on a Collection List. Also removed the entry for this </w:t>
            </w:r>
            <w:r w:rsidR="004D32DD" w:rsidRPr="008932E9">
              <w:rPr>
                <w:rFonts w:ascii="Arial" w:hAnsi="Arial" w:cs="Arial"/>
                <w:vanish/>
                <w:sz w:val="18"/>
                <w:szCs w:val="18"/>
              </w:rPr>
              <w:t>from</w:t>
            </w:r>
            <w:r w:rsidRPr="008932E9">
              <w:rPr>
                <w:rFonts w:ascii="Arial" w:hAnsi="Arial" w:cs="Arial"/>
                <w:vanish/>
                <w:sz w:val="18"/>
                <w:szCs w:val="18"/>
              </w:rPr>
              <w:t xml:space="preserve"> Appendix D. Defect 209993</w:t>
            </w:r>
          </w:p>
          <w:p w14:paraId="2B1F7919" w14:textId="7CE6C8C2"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 xml:space="preserve">Updated Patients and Deceased Patients, Limitations and Restrictions: </w:t>
            </w:r>
            <w:r w:rsidR="009359AB" w:rsidRPr="008932E9">
              <w:rPr>
                <w:rFonts w:ascii="Arial" w:hAnsi="Arial" w:cs="Arial"/>
                <w:vanish/>
                <w:sz w:val="18"/>
                <w:szCs w:val="18"/>
              </w:rPr>
              <w:t>Removed</w:t>
            </w:r>
            <w:r w:rsidRPr="008932E9">
              <w:rPr>
                <w:rFonts w:ascii="Arial" w:hAnsi="Arial" w:cs="Arial"/>
                <w:vanish/>
                <w:sz w:val="18"/>
                <w:szCs w:val="18"/>
              </w:rPr>
              <w:t xml:space="preserve"> new last bullet pertaining to removing a patient’s middle name. Also removed same information from Appendix D. Defect 209641</w:t>
            </w:r>
          </w:p>
          <w:p w14:paraId="71757D96" w14:textId="77777777"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Patient Testing, Record a Direct Antiglobulin Test, Limitations and Restrictions: Removed 2</w:t>
            </w:r>
            <w:r w:rsidRPr="008932E9">
              <w:rPr>
                <w:rFonts w:ascii="Arial" w:hAnsi="Arial" w:cs="Arial"/>
                <w:vanish/>
                <w:sz w:val="18"/>
                <w:szCs w:val="18"/>
                <w:vertAlign w:val="superscript"/>
              </w:rPr>
              <w:t>nd</w:t>
            </w:r>
            <w:r w:rsidRPr="008932E9">
              <w:rPr>
                <w:rFonts w:ascii="Arial" w:hAnsi="Arial" w:cs="Arial"/>
                <w:vanish/>
                <w:sz w:val="18"/>
                <w:szCs w:val="18"/>
              </w:rPr>
              <w:t xml:space="preserve"> bullet pertaining to DAT POS and NEG comments not being displayed on reports. Also removed the entry for this from Appendix D. Task 209353</w:t>
            </w:r>
          </w:p>
          <w:p w14:paraId="435FC499" w14:textId="468A436E" w:rsidR="00F569B4"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Justify ABO/Rh Change, Step 2: Removed 3</w:t>
            </w:r>
            <w:r w:rsidRPr="008932E9">
              <w:rPr>
                <w:rFonts w:ascii="Arial" w:hAnsi="Arial" w:cs="Arial"/>
                <w:vanish/>
                <w:sz w:val="18"/>
                <w:szCs w:val="18"/>
                <w:vertAlign w:val="superscript"/>
              </w:rPr>
              <w:t>rd</w:t>
            </w:r>
            <w:r w:rsidRPr="008932E9">
              <w:rPr>
                <w:rFonts w:ascii="Arial" w:hAnsi="Arial" w:cs="Arial"/>
                <w:vanish/>
                <w:sz w:val="18"/>
                <w:szCs w:val="18"/>
              </w:rPr>
              <w:t xml:space="preserve"> note pertaining to patient name field initially not displaying the expanded field. Defect 208846</w:t>
            </w:r>
          </w:p>
          <w:p w14:paraId="4149B0D9" w14:textId="6C5A2D98" w:rsidR="002F7CC9" w:rsidRPr="008932E9" w:rsidRDefault="002F7CC9" w:rsidP="00F569B4">
            <w:pPr>
              <w:pStyle w:val="ListParagraph"/>
              <w:numPr>
                <w:ilvl w:val="0"/>
                <w:numId w:val="91"/>
              </w:numPr>
              <w:ind w:left="316" w:hanging="270"/>
              <w:rPr>
                <w:rFonts w:ascii="Arial" w:hAnsi="Arial" w:cs="Arial"/>
                <w:vanish/>
                <w:sz w:val="18"/>
                <w:szCs w:val="18"/>
              </w:rPr>
            </w:pPr>
            <w:r>
              <w:rPr>
                <w:rFonts w:ascii="Arial" w:hAnsi="Arial" w:cs="Arial"/>
                <w:vanish/>
                <w:sz w:val="18"/>
                <w:szCs w:val="18"/>
              </w:rPr>
              <w:t xml:space="preserve">CPRS Blood Bank Report: Added new Spell Check </w:t>
            </w:r>
            <w:r w:rsidR="00654290">
              <w:rPr>
                <w:rFonts w:ascii="Arial" w:hAnsi="Arial" w:cs="Arial"/>
                <w:vanish/>
                <w:sz w:val="18"/>
                <w:szCs w:val="18"/>
              </w:rPr>
              <w:t>sub</w:t>
            </w:r>
            <w:r>
              <w:rPr>
                <w:rFonts w:ascii="Arial" w:hAnsi="Arial" w:cs="Arial"/>
                <w:vanish/>
                <w:sz w:val="18"/>
                <w:szCs w:val="18"/>
              </w:rPr>
              <w:t>section. Defect 1277899.</w:t>
            </w:r>
          </w:p>
          <w:p w14:paraId="4C060B01" w14:textId="77777777"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Exception Report, Limitations and Restrictions: Removed fifth bullet pertaining to display of full product code. Also removed the entry for this from Appendix D. Defect 208927</w:t>
            </w:r>
          </w:p>
          <w:p w14:paraId="1EE11502" w14:textId="77777777"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Transfusion Complications Report, Additional Information: Removed 1</w:t>
            </w:r>
            <w:r w:rsidRPr="008932E9">
              <w:rPr>
                <w:rFonts w:ascii="Arial" w:hAnsi="Arial" w:cs="Arial"/>
                <w:vanish/>
                <w:sz w:val="18"/>
                <w:szCs w:val="18"/>
                <w:vertAlign w:val="superscript"/>
              </w:rPr>
              <w:t>st</w:t>
            </w:r>
            <w:r w:rsidRPr="008932E9">
              <w:rPr>
                <w:rFonts w:ascii="Arial" w:hAnsi="Arial" w:cs="Arial"/>
                <w:vanish/>
                <w:sz w:val="18"/>
                <w:szCs w:val="18"/>
              </w:rPr>
              <w:t xml:space="preserve"> bullet pertaining to report searching for evidence of a transfusion in VBECS Task 209187</w:t>
            </w:r>
          </w:p>
          <w:p w14:paraId="3BEFB9EE" w14:textId="16B0C2CE" w:rsidR="00F569B4" w:rsidRPr="008932E9" w:rsidRDefault="00F569B4" w:rsidP="00F569B4">
            <w:pPr>
              <w:pStyle w:val="ListParagraph"/>
              <w:numPr>
                <w:ilvl w:val="0"/>
                <w:numId w:val="91"/>
              </w:numPr>
              <w:spacing w:after="0"/>
              <w:ind w:left="317" w:hanging="274"/>
              <w:rPr>
                <w:rFonts w:ascii="Arial" w:hAnsi="Arial" w:cs="Arial"/>
                <w:vanish/>
                <w:sz w:val="18"/>
                <w:szCs w:val="18"/>
              </w:rPr>
            </w:pPr>
            <w:r w:rsidRPr="008932E9">
              <w:rPr>
                <w:rFonts w:ascii="Arial" w:hAnsi="Arial" w:cs="Arial"/>
                <w:vanish/>
                <w:sz w:val="18"/>
                <w:szCs w:val="18"/>
              </w:rPr>
              <w:t>Unit History Report, Limitations and Restrictions: Removed 4</w:t>
            </w:r>
            <w:r w:rsidRPr="008932E9">
              <w:rPr>
                <w:rFonts w:ascii="Arial" w:hAnsi="Arial" w:cs="Arial"/>
                <w:vanish/>
                <w:sz w:val="18"/>
                <w:szCs w:val="18"/>
                <w:vertAlign w:val="superscript"/>
              </w:rPr>
              <w:t>th</w:t>
            </w:r>
            <w:r w:rsidRPr="008932E9">
              <w:rPr>
                <w:rFonts w:ascii="Arial" w:hAnsi="Arial" w:cs="Arial"/>
                <w:vanish/>
                <w:sz w:val="18"/>
                <w:szCs w:val="18"/>
              </w:rPr>
              <w:t xml:space="preserve"> bullet pertaining to the report displaying incorrect information in the Cost column for Splits/Divides and Pools. Also removed the entry for this </w:t>
            </w:r>
            <w:r w:rsidR="004D32DD" w:rsidRPr="008932E9">
              <w:rPr>
                <w:rFonts w:ascii="Arial" w:hAnsi="Arial" w:cs="Arial"/>
                <w:vanish/>
                <w:sz w:val="18"/>
                <w:szCs w:val="18"/>
              </w:rPr>
              <w:t>from</w:t>
            </w:r>
            <w:r w:rsidRPr="008932E9">
              <w:rPr>
                <w:rFonts w:ascii="Arial" w:hAnsi="Arial" w:cs="Arial"/>
                <w:vanish/>
                <w:sz w:val="18"/>
                <w:szCs w:val="18"/>
              </w:rPr>
              <w:t xml:space="preserve"> Appendix D. Defect 209090</w:t>
            </w:r>
          </w:p>
          <w:p w14:paraId="76BCAEE2" w14:textId="1957B927" w:rsidR="00F569B4" w:rsidRPr="008932E9" w:rsidRDefault="00F569B4" w:rsidP="00E75C73">
            <w:pPr>
              <w:rPr>
                <w:rFonts w:ascii="Arial" w:hAnsi="Arial" w:cs="Arial"/>
                <w:vanish/>
                <w:sz w:val="18"/>
                <w:szCs w:val="18"/>
              </w:rPr>
            </w:pPr>
            <w:r w:rsidRPr="008932E9">
              <w:rPr>
                <w:rFonts w:ascii="Arial" w:hAnsi="Arial" w:cs="Arial"/>
                <w:vanish/>
                <w:sz w:val="18"/>
                <w:szCs w:val="18"/>
              </w:rPr>
              <w:t>Task 1199000</w:t>
            </w:r>
          </w:p>
          <w:p w14:paraId="3F8E029F" w14:textId="32D08B0B"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Locking and Time-Outs: Added a new first bullet pertaining to timing out the entire VBECS application.</w:t>
            </w:r>
          </w:p>
          <w:p w14:paraId="4607649B" w14:textId="6FEFB6CF" w:rsidR="00F569B4" w:rsidRPr="008932E9" w:rsidRDefault="00F569B4" w:rsidP="00F569B4">
            <w:pPr>
              <w:pStyle w:val="ListParagraph"/>
              <w:numPr>
                <w:ilvl w:val="0"/>
                <w:numId w:val="91"/>
              </w:numPr>
              <w:spacing w:after="0"/>
              <w:ind w:left="317" w:hanging="274"/>
              <w:rPr>
                <w:rFonts w:ascii="Arial" w:hAnsi="Arial" w:cs="Arial"/>
                <w:vanish/>
                <w:sz w:val="18"/>
                <w:szCs w:val="18"/>
              </w:rPr>
            </w:pPr>
            <w:r w:rsidRPr="008932E9">
              <w:rPr>
                <w:rFonts w:ascii="Arial" w:hAnsi="Arial" w:cs="Arial"/>
                <w:vanish/>
                <w:sz w:val="18"/>
                <w:szCs w:val="18"/>
              </w:rPr>
              <w:t>Accessing the System, Log into VBECS and VistA, Additional Information, eighth bullet: Changed 15 minutes and 30 minutes to 60 minutes.</w:t>
            </w:r>
          </w:p>
          <w:p w14:paraId="24AB55CB" w14:textId="654F0534" w:rsidR="00F569B4" w:rsidRPr="008932E9" w:rsidRDefault="00F569B4" w:rsidP="00E75C73">
            <w:pPr>
              <w:rPr>
                <w:rFonts w:ascii="Arial" w:hAnsi="Arial" w:cs="Arial"/>
                <w:vanish/>
                <w:sz w:val="18"/>
                <w:szCs w:val="18"/>
              </w:rPr>
            </w:pPr>
            <w:r w:rsidRPr="008932E9">
              <w:rPr>
                <w:rFonts w:ascii="Arial" w:hAnsi="Arial" w:cs="Arial"/>
                <w:vanish/>
                <w:sz w:val="18"/>
                <w:szCs w:val="18"/>
              </w:rPr>
              <w:t>Task 1246936</w:t>
            </w:r>
          </w:p>
          <w:p w14:paraId="5C070B29" w14:textId="1CF63AFA" w:rsidR="00F569B4" w:rsidRPr="008932E9" w:rsidRDefault="00F569B4" w:rsidP="00F569B4">
            <w:pPr>
              <w:pStyle w:val="ListParagraph"/>
              <w:numPr>
                <w:ilvl w:val="0"/>
                <w:numId w:val="91"/>
              </w:numPr>
              <w:spacing w:after="0"/>
              <w:ind w:left="317" w:hanging="274"/>
              <w:rPr>
                <w:rFonts w:ascii="Arial" w:hAnsi="Arial" w:cs="Arial"/>
                <w:vanish/>
                <w:sz w:val="18"/>
                <w:szCs w:val="18"/>
              </w:rPr>
            </w:pPr>
            <w:r w:rsidRPr="008932E9">
              <w:rPr>
                <w:rFonts w:ascii="Arial" w:hAnsi="Arial" w:cs="Arial"/>
                <w:vanish/>
                <w:sz w:val="18"/>
                <w:szCs w:val="18"/>
              </w:rPr>
              <w:t>Workload Codes: Added reference to FAQ</w:t>
            </w:r>
            <w:r w:rsidR="007E7337">
              <w:rPr>
                <w:rFonts w:ascii="Arial" w:hAnsi="Arial" w:cs="Arial"/>
                <w:vanish/>
                <w:sz w:val="18"/>
                <w:szCs w:val="18"/>
              </w:rPr>
              <w:t xml:space="preserve"> </w:t>
            </w:r>
            <w:r w:rsidR="008A5C62">
              <w:rPr>
                <w:rFonts w:ascii="Arial" w:hAnsi="Arial" w:cs="Arial"/>
                <w:vanish/>
                <w:sz w:val="18"/>
                <w:szCs w:val="18"/>
              </w:rPr>
              <w:t xml:space="preserve">Workload Assignments </w:t>
            </w:r>
            <w:r w:rsidR="007E7337">
              <w:rPr>
                <w:rFonts w:ascii="Arial" w:hAnsi="Arial" w:cs="Arial"/>
                <w:vanish/>
                <w:sz w:val="18"/>
                <w:szCs w:val="18"/>
              </w:rPr>
              <w:t>Single vs Batch Processin</w:t>
            </w:r>
            <w:r w:rsidR="008A5C62">
              <w:rPr>
                <w:rFonts w:ascii="Arial" w:hAnsi="Arial" w:cs="Arial"/>
                <w:vanish/>
                <w:sz w:val="18"/>
                <w:szCs w:val="18"/>
              </w:rPr>
              <w:t>g.</w:t>
            </w:r>
          </w:p>
          <w:p w14:paraId="15440980" w14:textId="4073D4FF" w:rsidR="00F569B4" w:rsidRPr="008932E9" w:rsidRDefault="00F569B4" w:rsidP="00E75C73">
            <w:pPr>
              <w:rPr>
                <w:rFonts w:ascii="Arial" w:hAnsi="Arial" w:cs="Arial"/>
                <w:vanish/>
                <w:sz w:val="18"/>
                <w:szCs w:val="18"/>
              </w:rPr>
            </w:pPr>
            <w:r w:rsidRPr="008932E9">
              <w:rPr>
                <w:rFonts w:ascii="Arial" w:hAnsi="Arial" w:cs="Arial"/>
                <w:vanish/>
                <w:sz w:val="18"/>
                <w:szCs w:val="18"/>
              </w:rPr>
              <w:t>Task 1261881</w:t>
            </w:r>
          </w:p>
          <w:p w14:paraId="6E2D32A9" w14:textId="77777777" w:rsidR="00F569B4" w:rsidRPr="008932E9" w:rsidRDefault="00F569B4" w:rsidP="00F569B4">
            <w:pPr>
              <w:pStyle w:val="ListParagraph"/>
              <w:numPr>
                <w:ilvl w:val="0"/>
                <w:numId w:val="91"/>
              </w:numPr>
              <w:spacing w:after="0"/>
              <w:ind w:left="317" w:hanging="274"/>
              <w:rPr>
                <w:rFonts w:ascii="Arial" w:hAnsi="Arial" w:cs="Arial"/>
                <w:vanish/>
                <w:sz w:val="18"/>
                <w:szCs w:val="18"/>
              </w:rPr>
            </w:pPr>
            <w:r w:rsidRPr="008932E9">
              <w:rPr>
                <w:rFonts w:ascii="Arial" w:hAnsi="Arial" w:cs="Arial"/>
                <w:vanish/>
                <w:sz w:val="18"/>
                <w:szCs w:val="18"/>
              </w:rPr>
              <w:t>Local Facilities, Step 2, User Action: Added new last sentence ‘FDA Req. No. must be 7 or 10 characters long.' Task 1195850</w:t>
            </w:r>
          </w:p>
          <w:p w14:paraId="56FD8251" w14:textId="6580841A" w:rsidR="00F569B4" w:rsidRPr="008932E9" w:rsidRDefault="00F569B4" w:rsidP="00E75C73">
            <w:pPr>
              <w:rPr>
                <w:rFonts w:ascii="Arial" w:hAnsi="Arial" w:cs="Arial"/>
                <w:vanish/>
                <w:sz w:val="18"/>
                <w:szCs w:val="18"/>
              </w:rPr>
            </w:pPr>
            <w:r w:rsidRPr="008932E9">
              <w:rPr>
                <w:rFonts w:ascii="Arial" w:hAnsi="Arial" w:cs="Arial"/>
                <w:vanish/>
                <w:sz w:val="18"/>
                <w:szCs w:val="18"/>
              </w:rPr>
              <w:t>Task 1195850</w:t>
            </w:r>
          </w:p>
          <w:p w14:paraId="2DEB8606" w14:textId="02B55622" w:rsidR="00870CEC" w:rsidRPr="008932E9" w:rsidRDefault="00870CEC"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Testing: Removed 19th bullet pertaining to repeat tests not being billable. Task 214240.</w:t>
            </w:r>
          </w:p>
          <w:p w14:paraId="5BF1A136" w14:textId="4CDF4F21" w:rsidR="001F530A" w:rsidRPr="008932E9" w:rsidRDefault="001F530A"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Creating and Viewing Reports, 8th bullet: Removed Order History Report. Task 209266</w:t>
            </w:r>
          </w:p>
          <w:p w14:paraId="567D4041" w14:textId="724854FF"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Creating and Viewing Reports, 10th bullet: Added ‘approximately’ before ’50 pages’. Task 213998</w:t>
            </w:r>
          </w:p>
          <w:p w14:paraId="1E16EDDC" w14:textId="48ED8457" w:rsidR="00F569B4"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Setting Transfusion Parameters, Additional Information: Removed the bullet pertaining to the report searching for evidence of a transfusion in VBECS only. Task 209187</w:t>
            </w:r>
          </w:p>
          <w:p w14:paraId="5AFAD6D8" w14:textId="7DEE92B5" w:rsidR="007E7337" w:rsidRPr="008932E9" w:rsidRDefault="007E7337" w:rsidP="00F569B4">
            <w:pPr>
              <w:pStyle w:val="ListParagraph"/>
              <w:numPr>
                <w:ilvl w:val="0"/>
                <w:numId w:val="91"/>
              </w:numPr>
              <w:ind w:left="316" w:hanging="270"/>
              <w:rPr>
                <w:rFonts w:ascii="Arial" w:hAnsi="Arial" w:cs="Arial"/>
                <w:vanish/>
                <w:sz w:val="18"/>
                <w:szCs w:val="18"/>
              </w:rPr>
            </w:pPr>
            <w:r>
              <w:rPr>
                <w:rFonts w:ascii="Arial" w:hAnsi="Arial" w:cs="Arial"/>
                <w:vanish/>
                <w:sz w:val="18"/>
                <w:szCs w:val="18"/>
              </w:rPr>
              <w:t>Workload Codes, Steps 3 and 7: Changed from 'LIMP/NLT' to 'LMIP/NLT'.</w:t>
            </w:r>
          </w:p>
          <w:p w14:paraId="70AFC824" w14:textId="6AA026B3"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Modify Units, Step 6, 5th Note: Added last sentence pertaining to pooled or thaw/pooled units. Task 733924</w:t>
            </w:r>
          </w:p>
          <w:p w14:paraId="1CF9812A" w14:textId="31DA8DC4" w:rsidR="001414E9" w:rsidRPr="008932E9" w:rsidRDefault="001414E9"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Maintain Unit Records, Edit Unit Information, Step 5, third note: Revised to be generic about the message. Task 213939.</w:t>
            </w:r>
          </w:p>
          <w:p w14:paraId="734525DA" w14:textId="4C2BFE01" w:rsidR="0080720F" w:rsidRPr="008932E9" w:rsidRDefault="0080720F"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 xml:space="preserve">Edit Financial Data, Step 3, fourth note: </w:t>
            </w:r>
            <w:r w:rsidR="00BA2ACB" w:rsidRPr="008932E9">
              <w:rPr>
                <w:rFonts w:ascii="Arial" w:hAnsi="Arial" w:cs="Arial"/>
                <w:vanish/>
                <w:sz w:val="18"/>
                <w:szCs w:val="18"/>
              </w:rPr>
              <w:t>C</w:t>
            </w:r>
            <w:r w:rsidRPr="008932E9">
              <w:rPr>
                <w:rFonts w:ascii="Arial" w:hAnsi="Arial" w:cs="Arial"/>
                <w:vanish/>
                <w:sz w:val="18"/>
                <w:szCs w:val="18"/>
              </w:rPr>
              <w:t>hanged from 'edit' to 'add/edit'. Task 215633</w:t>
            </w:r>
          </w:p>
          <w:p w14:paraId="229E0843" w14:textId="30EC185B"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Free Directed Unit for Crossover, Step 3: Removed ‘Emits an audible alert</w:t>
            </w:r>
            <w:r w:rsidR="00DE6B6B">
              <w:rPr>
                <w:rFonts w:ascii="Arial" w:hAnsi="Arial" w:cs="Arial"/>
                <w:vanish/>
                <w:sz w:val="18"/>
                <w:szCs w:val="18"/>
              </w:rPr>
              <w:t>'</w:t>
            </w:r>
            <w:r w:rsidRPr="008932E9">
              <w:rPr>
                <w:rFonts w:ascii="Arial" w:hAnsi="Arial" w:cs="Arial"/>
                <w:vanish/>
                <w:sz w:val="18"/>
                <w:szCs w:val="18"/>
              </w:rPr>
              <w:t xml:space="preserve"> and the alert icon. Task 212660</w:t>
            </w:r>
          </w:p>
          <w:p w14:paraId="23AFBD7F" w14:textId="7502ADBC"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Print Unit Caution Tag &amp; Transfusion Record Form, Step 4, seventh note: Revised bullets. Task 212573</w:t>
            </w:r>
          </w:p>
          <w:p w14:paraId="02D00581" w14:textId="0DF82E06" w:rsidR="00202A1E" w:rsidRPr="008932E9" w:rsidRDefault="00202A1E"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Invalidate Test Results, Additional Information, sixth bullet: Revised to be generic about the message. Task 213939</w:t>
            </w:r>
          </w:p>
          <w:p w14:paraId="28056BBC" w14:textId="77777777"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Processing Orders, Accept Orders: Accept an Order, Step 5, Notes: Changed “order” to “component order”. Task 208876</w:t>
            </w:r>
          </w:p>
          <w:p w14:paraId="7302C06B" w14:textId="77777777"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Patient Testing: Pending Task List, Step 2, fifth note: Listed all items displayed in the application and the report. Task 213103</w:t>
            </w:r>
          </w:p>
          <w:p w14:paraId="579B9DEE" w14:textId="70ABB9DD" w:rsidR="00F569B4" w:rsidRDefault="00F569B4" w:rsidP="00654290">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Patient Testing: Record a Crossmatch, Step 8, 3rd note: Changed ‘IS XM’ to ‘IS-only XM’. Task 212826</w:t>
            </w:r>
          </w:p>
          <w:p w14:paraId="0706518B" w14:textId="16C72595" w:rsidR="00232A32" w:rsidRPr="00654290" w:rsidRDefault="00232A32" w:rsidP="00654290">
            <w:pPr>
              <w:pStyle w:val="ListParagraph"/>
              <w:numPr>
                <w:ilvl w:val="0"/>
                <w:numId w:val="91"/>
              </w:numPr>
              <w:ind w:left="316" w:hanging="270"/>
              <w:rPr>
                <w:rFonts w:ascii="Arial" w:hAnsi="Arial" w:cs="Arial"/>
                <w:vanish/>
                <w:sz w:val="18"/>
                <w:szCs w:val="18"/>
              </w:rPr>
            </w:pPr>
            <w:r>
              <w:rPr>
                <w:rFonts w:ascii="Arial" w:hAnsi="Arial" w:cs="Arial"/>
                <w:vanish/>
                <w:sz w:val="18"/>
                <w:szCs w:val="18"/>
              </w:rPr>
              <w:t>CPRS Blood Bank Report: Added new section.</w:t>
            </w:r>
          </w:p>
          <w:p w14:paraId="7DE63A76" w14:textId="4C4061C2" w:rsidR="00F569B4" w:rsidRPr="008932E9" w:rsidRDefault="00F569B4"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Patient Testing Worklist and Testing Worklist Reports, Additional Information, 5th bullet: Removed end of sentence regarding Additional Information Column from 4th sub-bullet. Task 213957</w:t>
            </w:r>
          </w:p>
          <w:p w14:paraId="5CF32F29" w14:textId="5D431636" w:rsidR="000617B7" w:rsidRPr="008932E9" w:rsidRDefault="000617B7" w:rsidP="00F569B4">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Patient Testing Worklist and Testing Worklist Reports, Additional Information, 5th bullet: Removed 5th sub-bullet pertaining to printing the name of the outside facility. Task 212472</w:t>
            </w:r>
          </w:p>
          <w:p w14:paraId="143282E3" w14:textId="0DB6AFE3" w:rsidR="00822E0E" w:rsidRPr="008932E9" w:rsidRDefault="00822E0E" w:rsidP="00822E0E">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Prolonged Transfusion Time Report: Section moved after Patient Testing Worklist and Testing Reports section.</w:t>
            </w:r>
          </w:p>
          <w:p w14:paraId="70D3F05D" w14:textId="77777777" w:rsidR="00822E0E" w:rsidRPr="008932E9" w:rsidRDefault="00822E0E" w:rsidP="00822E0E">
            <w:pPr>
              <w:pStyle w:val="ListParagraph"/>
              <w:numPr>
                <w:ilvl w:val="0"/>
                <w:numId w:val="91"/>
              </w:numPr>
              <w:ind w:left="316" w:hanging="270"/>
              <w:rPr>
                <w:rFonts w:ascii="Arial" w:hAnsi="Arial" w:cs="Arial"/>
                <w:vanish/>
                <w:sz w:val="18"/>
                <w:szCs w:val="18"/>
              </w:rPr>
            </w:pPr>
            <w:r w:rsidRPr="008932E9">
              <w:rPr>
                <w:rFonts w:ascii="Arial" w:hAnsi="Arial" w:cs="Arial"/>
                <w:vanish/>
                <w:sz w:val="18"/>
                <w:szCs w:val="18"/>
              </w:rPr>
              <w:t>Prolonged Transfusion Time Report, Step 3, fourth note: Reworded second sentence to add that no remote storage location is indicated. Removed last sentence pertaining to when no start time entered. Task 214284</w:t>
            </w:r>
          </w:p>
          <w:p w14:paraId="209B3F04" w14:textId="77777777" w:rsidR="00F569B4" w:rsidRPr="008932E9" w:rsidRDefault="00F569B4" w:rsidP="00F569B4">
            <w:pPr>
              <w:pStyle w:val="ListParagraph"/>
              <w:numPr>
                <w:ilvl w:val="0"/>
                <w:numId w:val="91"/>
              </w:numPr>
              <w:spacing w:after="0"/>
              <w:ind w:left="317" w:hanging="274"/>
              <w:rPr>
                <w:rFonts w:ascii="Arial" w:hAnsi="Arial" w:cs="Arial"/>
                <w:vanish/>
                <w:sz w:val="18"/>
                <w:szCs w:val="18"/>
              </w:rPr>
            </w:pPr>
            <w:r w:rsidRPr="008932E9">
              <w:rPr>
                <w:rFonts w:ascii="Arial" w:hAnsi="Arial" w:cs="Arial"/>
                <w:vanish/>
                <w:sz w:val="18"/>
                <w:szCs w:val="18"/>
              </w:rPr>
              <w:t>Transfusion Complications Report, Step 2, second note: Revised first sentence and added second sentence. Task 214821</w:t>
            </w:r>
          </w:p>
          <w:p w14:paraId="5C52755A" w14:textId="3EDBF604" w:rsidR="00271FB6" w:rsidRPr="008932E9" w:rsidRDefault="00271FB6" w:rsidP="00F569B4">
            <w:pPr>
              <w:pStyle w:val="ListParagraph"/>
              <w:numPr>
                <w:ilvl w:val="0"/>
                <w:numId w:val="91"/>
              </w:numPr>
              <w:spacing w:after="0"/>
              <w:ind w:left="317" w:hanging="274"/>
              <w:rPr>
                <w:rFonts w:ascii="Arial" w:hAnsi="Arial" w:cs="Arial"/>
                <w:vanish/>
                <w:sz w:val="18"/>
                <w:szCs w:val="18"/>
              </w:rPr>
            </w:pPr>
            <w:r w:rsidRPr="008932E9">
              <w:rPr>
                <w:rFonts w:ascii="Arial" w:hAnsi="Arial" w:cs="Arial"/>
                <w:vanish/>
                <w:sz w:val="18"/>
                <w:szCs w:val="18"/>
              </w:rPr>
              <w:t xml:space="preserve">Table 21: Details in Exception Report: Removed row for 'ABO incompatible Unit selected'. </w:t>
            </w:r>
            <w:r w:rsidR="008D4668" w:rsidRPr="008932E9">
              <w:rPr>
                <w:rFonts w:ascii="Arial" w:hAnsi="Arial" w:cs="Arial"/>
                <w:vanish/>
                <w:sz w:val="18"/>
                <w:szCs w:val="18"/>
              </w:rPr>
              <w:t xml:space="preserve">'ABO incompatible unit transfused' </w:t>
            </w:r>
            <w:r w:rsidR="00BA2ACB" w:rsidRPr="008932E9">
              <w:rPr>
                <w:rFonts w:ascii="Arial" w:hAnsi="Arial" w:cs="Arial"/>
                <w:vanish/>
                <w:sz w:val="18"/>
                <w:szCs w:val="18"/>
              </w:rPr>
              <w:t xml:space="preserve">row moved and </w:t>
            </w:r>
            <w:r w:rsidR="008D4668" w:rsidRPr="008932E9">
              <w:rPr>
                <w:rFonts w:ascii="Arial" w:hAnsi="Arial" w:cs="Arial"/>
                <w:vanish/>
                <w:sz w:val="18"/>
                <w:szCs w:val="18"/>
              </w:rPr>
              <w:t xml:space="preserve">Unit History Report changed to Yes. Removed </w:t>
            </w:r>
            <w:r w:rsidR="009A7B37" w:rsidRPr="008932E9">
              <w:rPr>
                <w:rFonts w:ascii="Arial" w:hAnsi="Arial" w:cs="Arial"/>
                <w:vanish/>
                <w:sz w:val="18"/>
                <w:szCs w:val="18"/>
              </w:rPr>
              <w:t xml:space="preserve">row for </w:t>
            </w:r>
            <w:r w:rsidR="008D4668" w:rsidRPr="008932E9">
              <w:rPr>
                <w:rFonts w:ascii="Arial" w:hAnsi="Arial" w:cs="Arial"/>
                <w:vanish/>
                <w:sz w:val="18"/>
                <w:szCs w:val="18"/>
              </w:rPr>
              <w:t xml:space="preserve">'Antigen positive unit crossmatched'. Updated Exception Type for 'ABO incompatible unit transfused', 'Antigen positive/untested units', and </w:t>
            </w:r>
            <w:r w:rsidR="009A7B37" w:rsidRPr="008932E9">
              <w:rPr>
                <w:rFonts w:ascii="Arial" w:hAnsi="Arial" w:cs="Arial"/>
                <w:vanish/>
                <w:sz w:val="18"/>
                <w:szCs w:val="18"/>
              </w:rPr>
              <w:t>'</w:t>
            </w:r>
            <w:r w:rsidR="008D4668" w:rsidRPr="008932E9">
              <w:rPr>
                <w:rFonts w:ascii="Arial" w:hAnsi="Arial" w:cs="Arial"/>
                <w:vanish/>
                <w:sz w:val="18"/>
                <w:szCs w:val="18"/>
              </w:rPr>
              <w:t>QC decrease reagent reactivity &gt;=2'.</w:t>
            </w:r>
            <w:r w:rsidR="00263293" w:rsidRPr="008932E9">
              <w:rPr>
                <w:rFonts w:ascii="Arial" w:hAnsi="Arial" w:cs="Arial"/>
                <w:vanish/>
                <w:sz w:val="18"/>
                <w:szCs w:val="18"/>
              </w:rPr>
              <w:t xml:space="preserve"> </w:t>
            </w:r>
            <w:r w:rsidRPr="008932E9">
              <w:rPr>
                <w:rFonts w:ascii="Arial" w:hAnsi="Arial" w:cs="Arial"/>
                <w:vanish/>
                <w:sz w:val="18"/>
                <w:szCs w:val="18"/>
              </w:rPr>
              <w:t>Task 212965</w:t>
            </w:r>
          </w:p>
          <w:p w14:paraId="4EF1C157" w14:textId="77777777" w:rsidR="003A628D" w:rsidRPr="00A732E0" w:rsidRDefault="003A628D" w:rsidP="00F569B4">
            <w:pPr>
              <w:pStyle w:val="ListParagraph"/>
              <w:numPr>
                <w:ilvl w:val="0"/>
                <w:numId w:val="91"/>
              </w:numPr>
              <w:spacing w:after="0"/>
              <w:ind w:left="317" w:hanging="274"/>
              <w:rPr>
                <w:rFonts w:ascii="Arial" w:hAnsi="Arial" w:cs="Arial"/>
                <w:vanish/>
                <w:sz w:val="18"/>
                <w:szCs w:val="18"/>
              </w:rPr>
            </w:pPr>
            <w:r w:rsidRPr="008932E9">
              <w:rPr>
                <w:rFonts w:ascii="Arial" w:hAnsi="Arial" w:cs="Arial"/>
                <w:vanish/>
                <w:sz w:val="18"/>
                <w:szCs w:val="18"/>
              </w:rPr>
              <w:t xml:space="preserve">Table 26: Workload Process to Use Case Mapping Table: 'ABO forward typing (unit)', 'Unit ABO/RH confirmation test' row - removed 'Rh' and removed sentence 'Workload is not accrued when VBECS quarantines the unit due to a discrepancy'. 'ABO/Rh forward typing (unit)', 'Unit ABO/RH confirmation test' row - </w:t>
            </w:r>
            <w:r w:rsidR="008F6C57" w:rsidRPr="008932E9">
              <w:rPr>
                <w:rFonts w:ascii="Arial" w:hAnsi="Arial" w:cs="Arial"/>
                <w:vanish/>
                <w:sz w:val="18"/>
                <w:szCs w:val="18"/>
              </w:rPr>
              <w:t xml:space="preserve">changed 'Ant-D' to 'Anti-D' and </w:t>
            </w:r>
            <w:r w:rsidRPr="008932E9">
              <w:rPr>
                <w:rFonts w:ascii="Arial" w:hAnsi="Arial" w:cs="Arial"/>
                <w:vanish/>
                <w:sz w:val="18"/>
                <w:szCs w:val="18"/>
              </w:rPr>
              <w:t>removed sentence 'Workload is not accrued when VBECS quarantines the unit due to a discrepancy'. 'Antibody Screen (patient)', 'Patient Testing ABS test' row - added closing parenthesis. Task 213214.</w:t>
            </w:r>
          </w:p>
          <w:p w14:paraId="045DBA41" w14:textId="42E0B721" w:rsidR="00A7660A" w:rsidRPr="006065EB" w:rsidRDefault="00A7660A" w:rsidP="00F569B4">
            <w:pPr>
              <w:pStyle w:val="ListParagraph"/>
              <w:numPr>
                <w:ilvl w:val="0"/>
                <w:numId w:val="91"/>
              </w:numPr>
              <w:spacing w:after="0"/>
              <w:ind w:left="317" w:hanging="274"/>
              <w:rPr>
                <w:rFonts w:ascii="Arial" w:hAnsi="Arial" w:cs="Arial"/>
                <w:sz w:val="18"/>
                <w:szCs w:val="18"/>
              </w:rPr>
            </w:pPr>
            <w:r w:rsidRPr="00A732E0">
              <w:rPr>
                <w:rFonts w:ascii="Arial" w:hAnsi="Arial" w:cs="Arial"/>
                <w:vanish/>
                <w:sz w:val="18"/>
                <w:szCs w:val="18"/>
              </w:rPr>
              <w:t>Appendix H: Frequently Asked Questions: Updated URL.</w:t>
            </w:r>
          </w:p>
        </w:tc>
        <w:tc>
          <w:tcPr>
            <w:tcW w:w="1098" w:type="dxa"/>
          </w:tcPr>
          <w:p w14:paraId="1ABF0CFB" w14:textId="77777777" w:rsidR="00F569B4" w:rsidRDefault="00F569B4" w:rsidP="00E75C73">
            <w:pPr>
              <w:pStyle w:val="TableText"/>
            </w:pPr>
            <w:r>
              <w:t>BBM Team</w:t>
            </w:r>
          </w:p>
        </w:tc>
      </w:tr>
      <w:tr w:rsidR="00C01E9A" w:rsidRPr="009D5AF3" w14:paraId="1A6339BA" w14:textId="77777777" w:rsidTr="00A7660A">
        <w:tc>
          <w:tcPr>
            <w:tcW w:w="918" w:type="dxa"/>
          </w:tcPr>
          <w:p w14:paraId="66E5E0FD" w14:textId="0F0CD19D" w:rsidR="00C01E9A" w:rsidRDefault="00210769" w:rsidP="00E75C73">
            <w:pPr>
              <w:pStyle w:val="TableText"/>
            </w:pPr>
            <w:r>
              <w:t>8</w:t>
            </w:r>
            <w:r w:rsidR="00C01E9A">
              <w:t>/</w:t>
            </w:r>
            <w:r w:rsidR="0064481B">
              <w:t>5</w:t>
            </w:r>
            <w:r w:rsidR="00C01E9A">
              <w:t>/20</w:t>
            </w:r>
          </w:p>
        </w:tc>
        <w:tc>
          <w:tcPr>
            <w:tcW w:w="990" w:type="dxa"/>
          </w:tcPr>
          <w:p w14:paraId="1BF52DDE" w14:textId="228A7506" w:rsidR="00C01E9A" w:rsidRDefault="00C01E9A" w:rsidP="00E75C73">
            <w:pPr>
              <w:pStyle w:val="TableText"/>
            </w:pPr>
            <w:r>
              <w:t>6.0</w:t>
            </w:r>
          </w:p>
        </w:tc>
        <w:tc>
          <w:tcPr>
            <w:tcW w:w="6994" w:type="dxa"/>
          </w:tcPr>
          <w:p w14:paraId="68ABF4F2" w14:textId="77777777" w:rsidR="00C01E9A" w:rsidRDefault="00C01E9A" w:rsidP="00E75C73">
            <w:pPr>
              <w:rPr>
                <w:rFonts w:ascii="Arial" w:hAnsi="Arial" w:cs="Arial"/>
                <w:sz w:val="18"/>
                <w:szCs w:val="18"/>
              </w:rPr>
            </w:pPr>
            <w:r>
              <w:rPr>
                <w:rFonts w:ascii="Arial" w:hAnsi="Arial" w:cs="Arial"/>
                <w:sz w:val="18"/>
                <w:szCs w:val="18"/>
              </w:rPr>
              <w:t>VBECS 2.3.2 Rev F</w:t>
            </w:r>
          </w:p>
          <w:p w14:paraId="01557A15" w14:textId="66C5BFF5" w:rsidR="00C01E9A" w:rsidRDefault="00C01E9A" w:rsidP="00E75C73">
            <w:pPr>
              <w:rPr>
                <w:rFonts w:ascii="Arial" w:hAnsi="Arial" w:cs="Arial"/>
                <w:sz w:val="18"/>
                <w:szCs w:val="18"/>
              </w:rPr>
            </w:pPr>
            <w:r>
              <w:rPr>
                <w:rFonts w:ascii="Arial" w:hAnsi="Arial" w:cs="Arial"/>
                <w:sz w:val="18"/>
                <w:szCs w:val="18"/>
              </w:rPr>
              <w:t>Updated from UAT</w:t>
            </w:r>
          </w:p>
          <w:p w14:paraId="27ED5CF7" w14:textId="2C8C973B" w:rsidR="00C01E9A" w:rsidRPr="005E57E3" w:rsidRDefault="001710D5" w:rsidP="00E75C73">
            <w:pPr>
              <w:rPr>
                <w:rFonts w:ascii="Arial" w:hAnsi="Arial" w:cs="Arial"/>
                <w:vanish/>
                <w:sz w:val="18"/>
                <w:szCs w:val="18"/>
              </w:rPr>
            </w:pPr>
            <w:r w:rsidRPr="005E57E3">
              <w:rPr>
                <w:rFonts w:ascii="Arial" w:hAnsi="Arial" w:cs="Arial"/>
                <w:vanish/>
                <w:sz w:val="18"/>
                <w:szCs w:val="18"/>
              </w:rPr>
              <w:t>CPRS Blood Bank Report section: Added Missing Division Names sub-section. Task 1285745</w:t>
            </w:r>
            <w:r w:rsidR="005E57E3" w:rsidRPr="005E57E3">
              <w:rPr>
                <w:rFonts w:ascii="Arial" w:hAnsi="Arial" w:cs="Arial"/>
                <w:vanish/>
                <w:sz w:val="18"/>
                <w:szCs w:val="18"/>
              </w:rPr>
              <w:t xml:space="preserve">, </w:t>
            </w:r>
            <w:r w:rsidR="005E57E3" w:rsidRPr="005E57E3">
              <w:rPr>
                <w:rFonts w:cs="Arial"/>
                <w:vanish/>
                <w:sz w:val="20"/>
              </w:rPr>
              <w:t>Defect 1060617</w:t>
            </w:r>
          </w:p>
        </w:tc>
        <w:tc>
          <w:tcPr>
            <w:tcW w:w="1098" w:type="dxa"/>
          </w:tcPr>
          <w:p w14:paraId="581435DD" w14:textId="5C0AB2CC" w:rsidR="00C01E9A" w:rsidRDefault="00C01E9A" w:rsidP="00E75C73">
            <w:pPr>
              <w:pStyle w:val="TableText"/>
            </w:pPr>
            <w:r>
              <w:t>BBM Team</w:t>
            </w:r>
          </w:p>
        </w:tc>
      </w:tr>
    </w:tbl>
    <w:p w14:paraId="0B51E100" w14:textId="77777777" w:rsidR="00AD2C30" w:rsidRDefault="00AD2C30">
      <w:pPr>
        <w:rPr>
          <w:kern w:val="32"/>
          <w:sz w:val="22"/>
          <w:szCs w:val="22"/>
        </w:rPr>
      </w:pPr>
      <w:r>
        <w:rPr>
          <w:kern w:val="32"/>
        </w:rPr>
        <w:br w:type="page"/>
      </w:r>
    </w:p>
    <w:p w14:paraId="674F5F44" w14:textId="75552973" w:rsidR="009C0A99" w:rsidRDefault="009C0A99" w:rsidP="00F50F30">
      <w:pPr>
        <w:pStyle w:val="BodyText"/>
        <w:rPr>
          <w:snapToGrid w:val="0"/>
          <w:vanish/>
        </w:rPr>
      </w:pPr>
      <w:r>
        <w:lastRenderedPageBreak/>
        <w:t xml:space="preserve">This is the last page of </w:t>
      </w:r>
      <w:r w:rsidRPr="009C0A99">
        <w:rPr>
          <w:i/>
        </w:rPr>
        <w:t xml:space="preserve">VistA Blood Establishment Computer Software (VBECS) </w:t>
      </w:r>
      <w:r w:rsidR="002E3995">
        <w:rPr>
          <w:i/>
        </w:rPr>
        <w:t>2.3</w:t>
      </w:r>
      <w:r w:rsidR="00B03BDD">
        <w:rPr>
          <w:i/>
        </w:rPr>
        <w:t>.</w:t>
      </w:r>
      <w:r w:rsidR="00AD5990">
        <w:rPr>
          <w:i/>
        </w:rPr>
        <w:t>2</w:t>
      </w:r>
      <w:r w:rsidR="00AE6FF1">
        <w:rPr>
          <w:i/>
        </w:rPr>
        <w:t xml:space="preserve"> </w:t>
      </w:r>
      <w:r w:rsidRPr="009C0A99">
        <w:rPr>
          <w:i/>
        </w:rPr>
        <w:t>User Guide</w:t>
      </w:r>
      <w:r>
        <w:t>.</w:t>
      </w:r>
    </w:p>
    <w:p w14:paraId="6B06A704" w14:textId="02804D94" w:rsidR="0006165B" w:rsidRPr="009C0A99" w:rsidRDefault="0006165B" w:rsidP="009C0A99">
      <w:pPr>
        <w:pStyle w:val="BodyText"/>
        <w:rPr>
          <w:snapToGrid w:val="0"/>
          <w:vanish/>
        </w:rPr>
      </w:pPr>
    </w:p>
    <w:sectPr w:rsidR="0006165B" w:rsidRPr="009C0A99" w:rsidSect="005E57E3">
      <w:type w:val="continuous"/>
      <w:pgSz w:w="12240" w:h="15840" w:code="1"/>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5">
      <wne:macro wne:macroName="PROJECT.NEWMACROS.HIDE"/>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91F18B" w14:textId="77777777" w:rsidR="00F322E7" w:rsidRDefault="00F322E7">
      <w:r>
        <w:separator/>
      </w:r>
    </w:p>
  </w:endnote>
  <w:endnote w:type="continuationSeparator" w:id="0">
    <w:p w14:paraId="37F4ECD4" w14:textId="77777777" w:rsidR="00F322E7" w:rsidRDefault="00F32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Shell Dlg 2">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5A606" w14:textId="77777777" w:rsidR="00F322E7" w:rsidRDefault="00F322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5F1C07" w14:textId="77777777" w:rsidR="00F322E7" w:rsidRDefault="00F322E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0592B" w14:textId="77777777" w:rsidR="00F322E7" w:rsidRDefault="00F322E7">
    <w:pPr>
      <w:pStyle w:val="Footer"/>
      <w:tabs>
        <w:tab w:val="clear" w:pos="8640"/>
      </w:tabs>
      <w:ind w:right="360"/>
      <w:rPr>
        <w:sz w:val="20"/>
      </w:rPr>
    </w:pPr>
  </w:p>
  <w:p w14:paraId="5069B344" w14:textId="77777777" w:rsidR="00F322E7" w:rsidRDefault="00F322E7">
    <w:pPr>
      <w:pStyle w:val="Footer"/>
      <w:tabs>
        <w:tab w:val="clear" w:pos="8640"/>
      </w:tabs>
      <w:ind w:right="360"/>
      <w:rPr>
        <w:sz w:val="20"/>
      </w:rPr>
    </w:pPr>
  </w:p>
  <w:p w14:paraId="020F2015" w14:textId="3336C3E0" w:rsidR="00F322E7" w:rsidRDefault="00F322E7">
    <w:pPr>
      <w:pStyle w:val="Footer"/>
      <w:tabs>
        <w:tab w:val="clear" w:pos="4320"/>
        <w:tab w:val="clear" w:pos="8640"/>
        <w:tab w:val="center" w:pos="4860"/>
      </w:tabs>
      <w:ind w:right="360"/>
      <w:rPr>
        <w:sz w:val="20"/>
      </w:rPr>
    </w:pPr>
    <w:r>
      <w:rPr>
        <w:sz w:val="20"/>
      </w:rPr>
      <w:t>August 2020</w:t>
    </w:r>
    <w:r>
      <w:rPr>
        <w:sz w:val="20"/>
      </w:rPr>
      <w:tab/>
      <w:t>VistA Blood Establishment Computer Software (VBECS) Version 2.3.2</w:t>
    </w:r>
  </w:p>
  <w:p w14:paraId="194E7A15" w14:textId="7B747B92" w:rsidR="00F322E7" w:rsidRDefault="00F322E7">
    <w:pPr>
      <w:pStyle w:val="Footer"/>
      <w:tabs>
        <w:tab w:val="clear" w:pos="4320"/>
        <w:tab w:val="center" w:pos="4860"/>
      </w:tabs>
      <w:ind w:right="360"/>
      <w:jc w:val="center"/>
      <w:rPr>
        <w:sz w:val="20"/>
      </w:rPr>
    </w:pPr>
    <w:r>
      <w:rPr>
        <w:sz w:val="20"/>
      </w:rPr>
      <w:t>User Guide Version 6.0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309A8" w14:textId="77777777" w:rsidR="00F322E7" w:rsidRDefault="00F322E7">
    <w:pPr>
      <w:pStyle w:val="Footer"/>
      <w:ind w:right="360"/>
      <w:rPr>
        <w:sz w:val="20"/>
      </w:rPr>
    </w:pPr>
    <w:r>
      <w:rPr>
        <w:sz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DD6D8" w14:textId="77777777" w:rsidR="00F322E7" w:rsidRDefault="00F322E7" w:rsidP="00F7279E">
    <w:pPr>
      <w:pStyle w:val="Footer"/>
      <w:tabs>
        <w:tab w:val="clear" w:pos="8640"/>
        <w:tab w:val="right" w:pos="9360"/>
      </w:tabs>
      <w:ind w:right="360"/>
      <w:rPr>
        <w:sz w:val="20"/>
      </w:rPr>
    </w:pPr>
  </w:p>
  <w:p w14:paraId="2747E4ED" w14:textId="77777777" w:rsidR="00F322E7" w:rsidRDefault="00F322E7" w:rsidP="00F7279E">
    <w:pPr>
      <w:pStyle w:val="Footer"/>
      <w:tabs>
        <w:tab w:val="clear" w:pos="8640"/>
        <w:tab w:val="right" w:pos="9360"/>
      </w:tabs>
      <w:ind w:right="360"/>
      <w:rPr>
        <w:sz w:val="20"/>
      </w:rPr>
    </w:pPr>
  </w:p>
  <w:p w14:paraId="180555D9" w14:textId="080CAD71" w:rsidR="00F322E7" w:rsidRDefault="00F322E7" w:rsidP="00784D58">
    <w:pPr>
      <w:pStyle w:val="Footer"/>
      <w:tabs>
        <w:tab w:val="clear" w:pos="4320"/>
        <w:tab w:val="clear" w:pos="8640"/>
        <w:tab w:val="center" w:pos="5040"/>
        <w:tab w:val="right" w:pos="9360"/>
        <w:tab w:val="right" w:pos="12780"/>
        <w:tab w:val="right" w:pos="12960"/>
      </w:tabs>
      <w:ind w:right="360"/>
      <w:rPr>
        <w:sz w:val="20"/>
      </w:rPr>
    </w:pPr>
    <w:r>
      <w:rPr>
        <w:sz w:val="20"/>
      </w:rPr>
      <w:t>August 2020</w:t>
    </w:r>
    <w:r>
      <w:rPr>
        <w:sz w:val="20"/>
      </w:rPr>
      <w:tab/>
      <w:t>VistA Blood Establishment Computer Software (VBECS) Version 2.3.2</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p>
  <w:p w14:paraId="1FBB1CFB" w14:textId="1972F4AD" w:rsidR="00F322E7" w:rsidRDefault="00F322E7" w:rsidP="00784D58">
    <w:pPr>
      <w:pStyle w:val="Footer"/>
      <w:tabs>
        <w:tab w:val="clear" w:pos="4320"/>
        <w:tab w:val="clear" w:pos="8640"/>
        <w:tab w:val="center" w:pos="5040"/>
        <w:tab w:val="right" w:pos="9360"/>
        <w:tab w:val="right" w:pos="12960"/>
      </w:tabs>
      <w:ind w:right="360"/>
      <w:rPr>
        <w:sz w:val="20"/>
      </w:rPr>
    </w:pPr>
    <w:r>
      <w:rPr>
        <w:sz w:val="20"/>
      </w:rPr>
      <w:tab/>
      <w:t>User Guide Version 6.0</w:t>
    </w:r>
  </w:p>
  <w:p w14:paraId="2E4E4D45" w14:textId="209F3D74" w:rsidR="00F322E7" w:rsidRDefault="00F322E7" w:rsidP="00784D58">
    <w:pPr>
      <w:pStyle w:val="Footer"/>
      <w:tabs>
        <w:tab w:val="clear" w:pos="4320"/>
        <w:tab w:val="clear" w:pos="8640"/>
        <w:tab w:val="center" w:pos="5040"/>
        <w:tab w:val="right" w:pos="9360"/>
      </w:tabs>
      <w:ind w:right="360"/>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B0095" w14:textId="77777777" w:rsidR="00F322E7" w:rsidRDefault="00F322E7" w:rsidP="00F7279E">
    <w:pPr>
      <w:pStyle w:val="Footer"/>
      <w:tabs>
        <w:tab w:val="clear" w:pos="8640"/>
        <w:tab w:val="right" w:pos="9360"/>
      </w:tabs>
      <w:ind w:right="360"/>
      <w:rPr>
        <w:sz w:val="20"/>
      </w:rPr>
    </w:pPr>
  </w:p>
  <w:p w14:paraId="09F9950B" w14:textId="0E3F2AD7" w:rsidR="00F322E7" w:rsidRDefault="00F322E7" w:rsidP="00784D58">
    <w:pPr>
      <w:pStyle w:val="Footer"/>
      <w:tabs>
        <w:tab w:val="clear" w:pos="4320"/>
        <w:tab w:val="clear" w:pos="8640"/>
        <w:tab w:val="center" w:pos="5040"/>
        <w:tab w:val="right" w:pos="9360"/>
        <w:tab w:val="right" w:pos="12780"/>
        <w:tab w:val="right" w:pos="12960"/>
      </w:tabs>
      <w:ind w:right="360"/>
      <w:rPr>
        <w:sz w:val="20"/>
      </w:rPr>
    </w:pPr>
    <w:r>
      <w:rPr>
        <w:sz w:val="20"/>
      </w:rPr>
      <w:t>August 2020</w:t>
    </w:r>
    <w:r>
      <w:rPr>
        <w:sz w:val="20"/>
      </w:rPr>
      <w:tab/>
      <w:t>VistA Blood Establishment Computer Software (VBECS) Version 2.3.2</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r>
  </w:p>
  <w:p w14:paraId="46D77A79" w14:textId="4E942BEB" w:rsidR="00F322E7" w:rsidRDefault="00F322E7" w:rsidP="00784D58">
    <w:pPr>
      <w:pStyle w:val="Footer"/>
      <w:tabs>
        <w:tab w:val="clear" w:pos="4320"/>
        <w:tab w:val="clear" w:pos="8640"/>
        <w:tab w:val="center" w:pos="5040"/>
        <w:tab w:val="right" w:pos="9360"/>
        <w:tab w:val="right" w:pos="12960"/>
      </w:tabs>
      <w:ind w:right="360"/>
      <w:rPr>
        <w:sz w:val="20"/>
      </w:rPr>
    </w:pPr>
    <w:r>
      <w:rPr>
        <w:sz w:val="20"/>
      </w:rPr>
      <w:tab/>
      <w:t>User Guide Version 6.0</w:t>
    </w:r>
  </w:p>
  <w:p w14:paraId="5A372246" w14:textId="7E43CC17" w:rsidR="00F322E7" w:rsidRDefault="00F322E7" w:rsidP="00784D58">
    <w:pPr>
      <w:pStyle w:val="Footer"/>
      <w:tabs>
        <w:tab w:val="clear" w:pos="4320"/>
        <w:tab w:val="clear" w:pos="8640"/>
        <w:tab w:val="center" w:pos="5040"/>
        <w:tab w:val="right" w:pos="9360"/>
      </w:tabs>
      <w:ind w:right="360"/>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0A036" w14:textId="77777777" w:rsidR="00F322E7" w:rsidRDefault="00F322E7" w:rsidP="00F7279E">
    <w:pPr>
      <w:pStyle w:val="Footer"/>
      <w:tabs>
        <w:tab w:val="clear" w:pos="8640"/>
        <w:tab w:val="right" w:pos="9360"/>
      </w:tabs>
      <w:ind w:right="360"/>
      <w:rPr>
        <w:sz w:val="20"/>
      </w:rPr>
    </w:pPr>
  </w:p>
  <w:p w14:paraId="43EEE313" w14:textId="77777777" w:rsidR="00F322E7" w:rsidRDefault="00F322E7" w:rsidP="00F7279E">
    <w:pPr>
      <w:pStyle w:val="Footer"/>
      <w:tabs>
        <w:tab w:val="clear" w:pos="8640"/>
        <w:tab w:val="right" w:pos="9360"/>
      </w:tabs>
      <w:ind w:right="360"/>
      <w:rPr>
        <w:sz w:val="20"/>
      </w:rPr>
    </w:pPr>
  </w:p>
  <w:p w14:paraId="52691F21" w14:textId="6446F3CE" w:rsidR="00F322E7" w:rsidRDefault="00F322E7" w:rsidP="00784D58">
    <w:pPr>
      <w:pStyle w:val="Footer"/>
      <w:tabs>
        <w:tab w:val="clear" w:pos="4320"/>
        <w:tab w:val="clear" w:pos="8640"/>
        <w:tab w:val="center" w:pos="5040"/>
        <w:tab w:val="right" w:pos="9360"/>
        <w:tab w:val="right" w:pos="12780"/>
        <w:tab w:val="right" w:pos="12960"/>
      </w:tabs>
      <w:ind w:right="360"/>
      <w:rPr>
        <w:sz w:val="20"/>
      </w:rPr>
    </w:pPr>
    <w:r>
      <w:rPr>
        <w:sz w:val="20"/>
      </w:rPr>
      <w:t>August 2020</w:t>
    </w:r>
    <w:r>
      <w:rPr>
        <w:sz w:val="20"/>
      </w:rPr>
      <w:tab/>
      <w:t>VistA Blood Establishment Computer Software (VBECS) Version 2.3.2</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420</w:t>
    </w:r>
    <w:r>
      <w:rPr>
        <w:sz w:val="20"/>
      </w:rPr>
      <w:fldChar w:fldCharType="end"/>
    </w:r>
    <w:r>
      <w:rPr>
        <w:sz w:val="20"/>
      </w:rPr>
      <w:tab/>
    </w:r>
  </w:p>
  <w:p w14:paraId="25DC21B6" w14:textId="64BBBBC1" w:rsidR="00F322E7" w:rsidRDefault="00F322E7" w:rsidP="00784D58">
    <w:pPr>
      <w:pStyle w:val="Footer"/>
      <w:tabs>
        <w:tab w:val="clear" w:pos="4320"/>
        <w:tab w:val="clear" w:pos="8640"/>
        <w:tab w:val="center" w:pos="5040"/>
        <w:tab w:val="right" w:pos="9360"/>
        <w:tab w:val="right" w:pos="12960"/>
      </w:tabs>
      <w:ind w:right="360"/>
      <w:rPr>
        <w:sz w:val="20"/>
      </w:rPr>
    </w:pPr>
    <w:r>
      <w:rPr>
        <w:sz w:val="20"/>
      </w:rPr>
      <w:tab/>
      <w:t>User Guide Version 6.0</w:t>
    </w:r>
  </w:p>
  <w:p w14:paraId="29A071A8" w14:textId="7A2401E1" w:rsidR="00F322E7" w:rsidRDefault="00F322E7" w:rsidP="00784D58">
    <w:pPr>
      <w:pStyle w:val="Footer"/>
      <w:tabs>
        <w:tab w:val="clear" w:pos="4320"/>
        <w:tab w:val="clear" w:pos="8640"/>
        <w:tab w:val="center" w:pos="5040"/>
        <w:tab w:val="right" w:pos="9360"/>
        <w:tab w:val="right" w:pos="12960"/>
      </w:tabs>
      <w:ind w:right="360"/>
      <w:rPr>
        <w:sz w:val="20"/>
      </w:rPr>
    </w:pPr>
  </w:p>
  <w:p w14:paraId="5775986A" w14:textId="6BC3347C" w:rsidR="00F322E7" w:rsidRDefault="00F322E7" w:rsidP="00784D58">
    <w:pPr>
      <w:pStyle w:val="Footer"/>
      <w:tabs>
        <w:tab w:val="clear" w:pos="4320"/>
        <w:tab w:val="clear" w:pos="8640"/>
        <w:tab w:val="center" w:pos="5040"/>
        <w:tab w:val="right" w:pos="9360"/>
      </w:tabs>
      <w:ind w:right="360"/>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D6797" w14:textId="77777777" w:rsidR="00F322E7" w:rsidRDefault="00F322E7" w:rsidP="00140686">
    <w:pPr>
      <w:pStyle w:val="Footer"/>
      <w:tabs>
        <w:tab w:val="clear" w:pos="4320"/>
        <w:tab w:val="clear" w:pos="8640"/>
        <w:tab w:val="center" w:pos="6480"/>
        <w:tab w:val="right" w:pos="12960"/>
      </w:tabs>
      <w:ind w:right="360"/>
      <w:rPr>
        <w:sz w:val="20"/>
      </w:rPr>
    </w:pPr>
  </w:p>
  <w:p w14:paraId="12FBCB06" w14:textId="77777777" w:rsidR="00F322E7" w:rsidRDefault="00F322E7" w:rsidP="00140686">
    <w:pPr>
      <w:pStyle w:val="Footer"/>
      <w:tabs>
        <w:tab w:val="clear" w:pos="4320"/>
        <w:tab w:val="clear" w:pos="8640"/>
        <w:tab w:val="center" w:pos="6480"/>
        <w:tab w:val="right" w:pos="12960"/>
      </w:tabs>
      <w:ind w:right="360"/>
      <w:rPr>
        <w:sz w:val="20"/>
      </w:rPr>
    </w:pPr>
  </w:p>
  <w:p w14:paraId="60A85D60" w14:textId="3B32A86B" w:rsidR="00F322E7" w:rsidRDefault="00F322E7" w:rsidP="00140686">
    <w:pPr>
      <w:pStyle w:val="Footer"/>
      <w:tabs>
        <w:tab w:val="clear" w:pos="4320"/>
        <w:tab w:val="clear" w:pos="8640"/>
        <w:tab w:val="center" w:pos="6480"/>
        <w:tab w:val="right" w:pos="12960"/>
      </w:tabs>
      <w:ind w:right="360"/>
      <w:rPr>
        <w:sz w:val="20"/>
      </w:rPr>
    </w:pPr>
    <w:r>
      <w:rPr>
        <w:sz w:val="20"/>
      </w:rPr>
      <w:t>August 2020</w:t>
    </w:r>
    <w:r>
      <w:rPr>
        <w:sz w:val="20"/>
      </w:rPr>
      <w:tab/>
    </w:r>
    <w:r w:rsidRPr="0085679C">
      <w:rPr>
        <w:sz w:val="20"/>
        <w:szCs w:val="20"/>
      </w:rPr>
      <w:t>VistA</w:t>
    </w:r>
    <w:r>
      <w:rPr>
        <w:sz w:val="20"/>
        <w:szCs w:val="20"/>
      </w:rPr>
      <w:t xml:space="preserve"> B</w:t>
    </w:r>
    <w:r w:rsidRPr="0085679C">
      <w:rPr>
        <w:sz w:val="20"/>
        <w:szCs w:val="20"/>
      </w:rPr>
      <w:t>loo</w:t>
    </w:r>
    <w:r>
      <w:rPr>
        <w:sz w:val="20"/>
      </w:rPr>
      <w:t>d Establishment Computer Software (VBECS) Version 2.3.2</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427</w:t>
    </w:r>
    <w:r>
      <w:rPr>
        <w:sz w:val="20"/>
      </w:rPr>
      <w:fldChar w:fldCharType="end"/>
    </w:r>
  </w:p>
  <w:p w14:paraId="36130E8E" w14:textId="75CC87A0" w:rsidR="00F322E7" w:rsidRDefault="00F322E7" w:rsidP="00140686">
    <w:pPr>
      <w:pStyle w:val="Footer"/>
      <w:tabs>
        <w:tab w:val="clear" w:pos="4320"/>
        <w:tab w:val="clear" w:pos="8640"/>
        <w:tab w:val="center" w:pos="6480"/>
        <w:tab w:val="right" w:pos="12960"/>
      </w:tabs>
      <w:ind w:right="360"/>
      <w:rPr>
        <w:sz w:val="20"/>
      </w:rPr>
    </w:pPr>
    <w:r>
      <w:rPr>
        <w:sz w:val="20"/>
      </w:rPr>
      <w:tab/>
      <w:t>User Guide Version 6.0</w:t>
    </w:r>
  </w:p>
  <w:p w14:paraId="14223FE5" w14:textId="77777777" w:rsidR="00F322E7" w:rsidRDefault="00F322E7" w:rsidP="00536F22">
    <w:pPr>
      <w:pStyle w:val="Footer"/>
      <w:tabs>
        <w:tab w:val="clear" w:pos="8640"/>
        <w:tab w:val="right" w:pos="9360"/>
      </w:tabs>
      <w:ind w:right="360"/>
      <w:rPr>
        <w:sz w:val="20"/>
      </w:rPr>
    </w:pPr>
  </w:p>
  <w:p w14:paraId="00F9F3A9" w14:textId="77777777" w:rsidR="00F322E7" w:rsidRDefault="00F322E7" w:rsidP="00536F22">
    <w:pPr>
      <w:pStyle w:val="Footer"/>
      <w:tabs>
        <w:tab w:val="clear" w:pos="4320"/>
        <w:tab w:val="clear" w:pos="8640"/>
        <w:tab w:val="center" w:pos="6480"/>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BDFA5" w14:textId="77777777" w:rsidR="00F322E7" w:rsidRDefault="00F322E7" w:rsidP="00F304F2">
    <w:pPr>
      <w:pStyle w:val="Footer"/>
      <w:tabs>
        <w:tab w:val="clear" w:pos="8640"/>
        <w:tab w:val="right" w:pos="9360"/>
      </w:tabs>
      <w:ind w:right="360"/>
      <w:rPr>
        <w:sz w:val="20"/>
      </w:rPr>
    </w:pPr>
  </w:p>
  <w:p w14:paraId="1DAF85E3" w14:textId="77777777" w:rsidR="00F322E7" w:rsidRDefault="00F322E7" w:rsidP="00F304F2">
    <w:pPr>
      <w:pStyle w:val="Footer"/>
      <w:tabs>
        <w:tab w:val="clear" w:pos="8640"/>
        <w:tab w:val="right" w:pos="9360"/>
      </w:tabs>
      <w:ind w:right="360"/>
      <w:rPr>
        <w:sz w:val="20"/>
      </w:rPr>
    </w:pPr>
  </w:p>
  <w:p w14:paraId="71B01573" w14:textId="14A41500" w:rsidR="00F322E7" w:rsidRDefault="00F322E7" w:rsidP="00F304F2">
    <w:pPr>
      <w:pStyle w:val="Footer"/>
      <w:tabs>
        <w:tab w:val="clear" w:pos="4320"/>
        <w:tab w:val="clear" w:pos="8640"/>
        <w:tab w:val="center" w:pos="5040"/>
        <w:tab w:val="right" w:pos="9360"/>
      </w:tabs>
      <w:ind w:right="360"/>
      <w:rPr>
        <w:sz w:val="20"/>
      </w:rPr>
    </w:pPr>
    <w:r>
      <w:rPr>
        <w:sz w:val="20"/>
      </w:rPr>
      <w:t>August 2020</w:t>
    </w:r>
    <w:r>
      <w:rPr>
        <w:sz w:val="20"/>
      </w:rPr>
      <w:tab/>
    </w:r>
    <w:r w:rsidRPr="0085679C">
      <w:rPr>
        <w:sz w:val="20"/>
        <w:szCs w:val="20"/>
      </w:rPr>
      <w:t>VistA</w:t>
    </w:r>
    <w:r>
      <w:rPr>
        <w:sz w:val="20"/>
        <w:szCs w:val="20"/>
      </w:rPr>
      <w:t xml:space="preserve"> B</w:t>
    </w:r>
    <w:r w:rsidRPr="0085679C">
      <w:rPr>
        <w:sz w:val="20"/>
        <w:szCs w:val="20"/>
      </w:rPr>
      <w:t>loo</w:t>
    </w:r>
    <w:r>
      <w:rPr>
        <w:sz w:val="20"/>
      </w:rPr>
      <w:t>d Establishment Computer Software (VBECS) Version 2.3.2</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443</w:t>
    </w:r>
    <w:r>
      <w:rPr>
        <w:sz w:val="20"/>
      </w:rPr>
      <w:fldChar w:fldCharType="end"/>
    </w:r>
  </w:p>
  <w:p w14:paraId="0B33E1A1" w14:textId="543C22A6" w:rsidR="00F322E7" w:rsidRDefault="00F322E7" w:rsidP="00DA7E29">
    <w:pPr>
      <w:pStyle w:val="Footer"/>
      <w:tabs>
        <w:tab w:val="clear" w:pos="4320"/>
        <w:tab w:val="clear" w:pos="8640"/>
        <w:tab w:val="center" w:pos="5040"/>
        <w:tab w:val="right" w:pos="12960"/>
      </w:tabs>
      <w:ind w:right="360"/>
      <w:rPr>
        <w:sz w:val="20"/>
      </w:rPr>
    </w:pPr>
    <w:r>
      <w:rPr>
        <w:sz w:val="20"/>
      </w:rPr>
      <w:tab/>
      <w:t>User Guide Version 6.0</w:t>
    </w:r>
  </w:p>
  <w:p w14:paraId="606392E9" w14:textId="77777777" w:rsidR="00F322E7" w:rsidRDefault="00F322E7" w:rsidP="00536F22">
    <w:pPr>
      <w:pStyle w:val="Footer"/>
      <w:tabs>
        <w:tab w:val="clear" w:pos="4320"/>
        <w:tab w:val="clear" w:pos="8640"/>
        <w:tab w:val="center" w:pos="6480"/>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77AF7" w14:textId="77777777" w:rsidR="00F322E7" w:rsidRDefault="00F322E7">
    <w:pPr>
      <w:pStyle w:val="Footer"/>
      <w:tabs>
        <w:tab w:val="clear" w:pos="8640"/>
        <w:tab w:val="right" w:pos="12600"/>
      </w:tabs>
      <w:ind w:right="360"/>
      <w:rPr>
        <w:sz w:val="20"/>
      </w:rPr>
    </w:pPr>
  </w:p>
  <w:p w14:paraId="66B52DB2" w14:textId="77777777" w:rsidR="00F322E7" w:rsidRDefault="00F322E7">
    <w:pPr>
      <w:pStyle w:val="Footer"/>
      <w:tabs>
        <w:tab w:val="clear" w:pos="8640"/>
        <w:tab w:val="right" w:pos="9360"/>
      </w:tabs>
      <w:ind w:right="360"/>
      <w:rPr>
        <w:sz w:val="20"/>
      </w:rPr>
    </w:pPr>
  </w:p>
  <w:p w14:paraId="4FA6E8F2" w14:textId="7A1B03C1" w:rsidR="00F322E7" w:rsidRDefault="00F322E7" w:rsidP="000753FE">
    <w:pPr>
      <w:pStyle w:val="Footer"/>
      <w:tabs>
        <w:tab w:val="clear" w:pos="4320"/>
        <w:tab w:val="clear" w:pos="8640"/>
        <w:tab w:val="center" w:pos="5040"/>
        <w:tab w:val="right" w:pos="9360"/>
        <w:tab w:val="right" w:pos="12960"/>
      </w:tabs>
      <w:ind w:right="360"/>
      <w:rPr>
        <w:sz w:val="20"/>
      </w:rPr>
    </w:pPr>
    <w:r>
      <w:rPr>
        <w:sz w:val="20"/>
      </w:rPr>
      <w:t>August 2020</w:t>
    </w:r>
    <w:r>
      <w:rPr>
        <w:sz w:val="20"/>
      </w:rPr>
      <w:tab/>
      <w:t>VistA Blood Establishment Computer Software (VBECS) Version 2.3.2</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519</w:t>
    </w:r>
    <w:r>
      <w:rPr>
        <w:sz w:val="20"/>
      </w:rPr>
      <w:fldChar w:fldCharType="end"/>
    </w:r>
    <w:r>
      <w:rPr>
        <w:sz w:val="20"/>
      </w:rPr>
      <w:tab/>
    </w:r>
  </w:p>
  <w:p w14:paraId="5143593D" w14:textId="4099E2A8" w:rsidR="00F322E7" w:rsidRDefault="00F322E7" w:rsidP="000753FE">
    <w:pPr>
      <w:pStyle w:val="Footer"/>
      <w:tabs>
        <w:tab w:val="clear" w:pos="4320"/>
        <w:tab w:val="clear" w:pos="8640"/>
        <w:tab w:val="center" w:pos="5040"/>
        <w:tab w:val="right" w:pos="9360"/>
      </w:tabs>
      <w:ind w:right="360"/>
      <w:rPr>
        <w:sz w:val="20"/>
      </w:rPr>
    </w:pPr>
    <w:r>
      <w:rPr>
        <w:sz w:val="20"/>
      </w:rPr>
      <w:tab/>
      <w:t>User Guide Version 6.0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E89A4" w14:textId="77777777" w:rsidR="00F322E7" w:rsidRDefault="00F322E7">
    <w:pPr>
      <w:pStyle w:val="Footer"/>
      <w:tabs>
        <w:tab w:val="clear" w:pos="8640"/>
        <w:tab w:val="right" w:pos="12600"/>
      </w:tabs>
      <w:ind w:right="360"/>
      <w:rPr>
        <w:sz w:val="20"/>
      </w:rPr>
    </w:pPr>
  </w:p>
  <w:p w14:paraId="06F33F4F" w14:textId="77777777" w:rsidR="00F322E7" w:rsidRDefault="00F322E7">
    <w:pPr>
      <w:pStyle w:val="Footer"/>
      <w:tabs>
        <w:tab w:val="clear" w:pos="8640"/>
        <w:tab w:val="right" w:pos="9360"/>
      </w:tabs>
      <w:ind w:right="360"/>
      <w:rPr>
        <w:sz w:val="20"/>
      </w:rPr>
    </w:pPr>
  </w:p>
  <w:p w14:paraId="0778D4BE" w14:textId="2A2DFBC5" w:rsidR="00F322E7" w:rsidRDefault="00F322E7" w:rsidP="00714F12">
    <w:pPr>
      <w:pStyle w:val="Footer"/>
      <w:tabs>
        <w:tab w:val="clear" w:pos="4320"/>
        <w:tab w:val="clear" w:pos="8640"/>
        <w:tab w:val="center" w:pos="5040"/>
        <w:tab w:val="right" w:pos="9360"/>
        <w:tab w:val="right" w:pos="12780"/>
        <w:tab w:val="right" w:pos="12960"/>
      </w:tabs>
      <w:ind w:right="360"/>
      <w:rPr>
        <w:sz w:val="20"/>
      </w:rPr>
    </w:pPr>
    <w:r>
      <w:rPr>
        <w:sz w:val="20"/>
      </w:rPr>
      <w:t>August 2020</w:t>
    </w:r>
    <w:r>
      <w:rPr>
        <w:sz w:val="20"/>
      </w:rPr>
      <w:tab/>
      <w:t>VistA Blood Establishment Computer Software (VBECS) Version 2.3.2</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521</w:t>
    </w:r>
    <w:r>
      <w:rPr>
        <w:sz w:val="20"/>
      </w:rPr>
      <w:fldChar w:fldCharType="end"/>
    </w:r>
    <w:r>
      <w:rPr>
        <w:sz w:val="20"/>
      </w:rPr>
      <w:tab/>
    </w:r>
  </w:p>
  <w:p w14:paraId="4186391E" w14:textId="16076B5C" w:rsidR="00F322E7" w:rsidRDefault="00F322E7" w:rsidP="00714F12">
    <w:pPr>
      <w:pStyle w:val="Footer"/>
      <w:tabs>
        <w:tab w:val="clear" w:pos="4320"/>
        <w:tab w:val="clear" w:pos="8640"/>
        <w:tab w:val="center" w:pos="5040"/>
        <w:tab w:val="right" w:pos="9360"/>
        <w:tab w:val="right" w:pos="12960"/>
      </w:tabs>
      <w:ind w:right="360"/>
      <w:rPr>
        <w:sz w:val="20"/>
      </w:rPr>
    </w:pPr>
    <w:r>
      <w:rPr>
        <w:sz w:val="20"/>
      </w:rPr>
      <w:tab/>
      <w:t>User Guide Version 6.0</w:t>
    </w:r>
  </w:p>
  <w:p w14:paraId="232726F4" w14:textId="55C87D39" w:rsidR="00F322E7" w:rsidRDefault="00F322E7" w:rsidP="00714F12">
    <w:pPr>
      <w:pStyle w:val="Footer"/>
      <w:tabs>
        <w:tab w:val="clear" w:pos="4320"/>
        <w:tab w:val="clear" w:pos="8640"/>
        <w:tab w:val="center" w:pos="6480"/>
        <w:tab w:val="right" w:pos="12960"/>
      </w:tabs>
      <w:ind w:right="360"/>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6688BA" w14:textId="77777777" w:rsidR="00F322E7" w:rsidRDefault="00F322E7">
    <w:pPr>
      <w:pStyle w:val="Footer"/>
      <w:tabs>
        <w:tab w:val="clear" w:pos="8640"/>
        <w:tab w:val="right" w:pos="12600"/>
      </w:tabs>
      <w:ind w:right="360"/>
      <w:rPr>
        <w:sz w:val="20"/>
      </w:rPr>
    </w:pPr>
  </w:p>
  <w:p w14:paraId="00980158" w14:textId="77777777" w:rsidR="00F322E7" w:rsidRDefault="00F322E7">
    <w:pPr>
      <w:pStyle w:val="Footer"/>
      <w:tabs>
        <w:tab w:val="clear" w:pos="8640"/>
        <w:tab w:val="right" w:pos="9360"/>
      </w:tabs>
      <w:ind w:right="360"/>
      <w:rPr>
        <w:sz w:val="20"/>
      </w:rPr>
    </w:pPr>
  </w:p>
  <w:p w14:paraId="6278422B" w14:textId="42E97F8E" w:rsidR="00F322E7" w:rsidRDefault="00F322E7" w:rsidP="007566FC">
    <w:pPr>
      <w:pStyle w:val="Footer"/>
      <w:tabs>
        <w:tab w:val="clear" w:pos="4320"/>
        <w:tab w:val="clear" w:pos="8640"/>
        <w:tab w:val="center" w:pos="5040"/>
        <w:tab w:val="right" w:pos="9360"/>
        <w:tab w:val="right" w:pos="12960"/>
      </w:tabs>
      <w:ind w:right="360"/>
      <w:rPr>
        <w:sz w:val="20"/>
      </w:rPr>
    </w:pPr>
    <w:r>
      <w:rPr>
        <w:sz w:val="20"/>
      </w:rPr>
      <w:t>August 2020</w:t>
    </w:r>
    <w:r>
      <w:rPr>
        <w:sz w:val="20"/>
      </w:rPr>
      <w:tab/>
      <w:t>VistA Blood Establishment Computer Software (VBECS) Version 2.3.2</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524</w:t>
    </w:r>
    <w:r>
      <w:rPr>
        <w:sz w:val="20"/>
      </w:rPr>
      <w:fldChar w:fldCharType="end"/>
    </w:r>
    <w:r>
      <w:rPr>
        <w:sz w:val="20"/>
      </w:rPr>
      <w:tab/>
    </w:r>
  </w:p>
  <w:p w14:paraId="3A8F441D" w14:textId="328F91A5" w:rsidR="00F322E7" w:rsidRDefault="00F322E7" w:rsidP="007566FC">
    <w:pPr>
      <w:pStyle w:val="Footer"/>
      <w:tabs>
        <w:tab w:val="clear" w:pos="4320"/>
        <w:tab w:val="clear" w:pos="8640"/>
        <w:tab w:val="center" w:pos="5040"/>
        <w:tab w:val="right" w:pos="9360"/>
        <w:tab w:val="right" w:pos="12780"/>
      </w:tabs>
      <w:ind w:right="360"/>
      <w:rPr>
        <w:sz w:val="20"/>
      </w:rPr>
    </w:pPr>
    <w:r>
      <w:rPr>
        <w:sz w:val="20"/>
      </w:rPr>
      <w:tab/>
      <w:t>User Guide Version 6.0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88EB3" w14:textId="77777777" w:rsidR="00F322E7" w:rsidRDefault="00F322E7" w:rsidP="007566FC">
    <w:pPr>
      <w:pStyle w:val="Footer"/>
      <w:tabs>
        <w:tab w:val="clear" w:pos="4320"/>
        <w:tab w:val="clear" w:pos="8640"/>
        <w:tab w:val="center" w:pos="6480"/>
        <w:tab w:val="right" w:pos="12960"/>
      </w:tabs>
      <w:ind w:right="360"/>
      <w:rPr>
        <w:sz w:val="20"/>
      </w:rPr>
    </w:pPr>
  </w:p>
  <w:p w14:paraId="5E376C86" w14:textId="77777777" w:rsidR="00F322E7" w:rsidRDefault="00F322E7" w:rsidP="007566FC">
    <w:pPr>
      <w:pStyle w:val="Footer"/>
      <w:tabs>
        <w:tab w:val="clear" w:pos="4320"/>
        <w:tab w:val="clear" w:pos="8640"/>
        <w:tab w:val="center" w:pos="6480"/>
        <w:tab w:val="right" w:pos="12960"/>
      </w:tabs>
      <w:ind w:right="360"/>
      <w:rPr>
        <w:sz w:val="20"/>
      </w:rPr>
    </w:pPr>
  </w:p>
  <w:p w14:paraId="0F4B487E" w14:textId="3F4A91A1" w:rsidR="00F322E7" w:rsidRDefault="00F322E7" w:rsidP="007566FC">
    <w:pPr>
      <w:pStyle w:val="Footer"/>
      <w:tabs>
        <w:tab w:val="clear" w:pos="4320"/>
        <w:tab w:val="clear" w:pos="8640"/>
        <w:tab w:val="center" w:pos="6480"/>
        <w:tab w:val="right" w:pos="12780"/>
        <w:tab w:val="right" w:pos="12960"/>
      </w:tabs>
      <w:ind w:right="360"/>
      <w:rPr>
        <w:sz w:val="20"/>
      </w:rPr>
    </w:pPr>
    <w:r>
      <w:rPr>
        <w:sz w:val="20"/>
      </w:rPr>
      <w:t>August 2020</w:t>
    </w:r>
    <w:r>
      <w:rPr>
        <w:sz w:val="20"/>
      </w:rPr>
      <w:tab/>
      <w:t>VistA Blood Establishment Computer Software (VBECS) Version 2.3.2</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526</w:t>
    </w:r>
    <w:r>
      <w:rPr>
        <w:sz w:val="20"/>
      </w:rPr>
      <w:fldChar w:fldCharType="end"/>
    </w:r>
    <w:r>
      <w:rPr>
        <w:sz w:val="20"/>
      </w:rPr>
      <w:tab/>
    </w:r>
  </w:p>
  <w:p w14:paraId="5628CE42" w14:textId="604329F2" w:rsidR="00F322E7" w:rsidRDefault="00F322E7" w:rsidP="007566FC">
    <w:pPr>
      <w:pStyle w:val="Footer"/>
      <w:tabs>
        <w:tab w:val="clear" w:pos="4320"/>
        <w:tab w:val="clear" w:pos="8640"/>
        <w:tab w:val="center" w:pos="6480"/>
        <w:tab w:val="right" w:pos="12960"/>
      </w:tabs>
      <w:ind w:right="360"/>
      <w:rPr>
        <w:sz w:val="20"/>
      </w:rPr>
    </w:pPr>
    <w:r>
      <w:rPr>
        <w:sz w:val="20"/>
      </w:rPr>
      <w:tab/>
      <w:t>User Guide Version 6.0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B9494E" w14:textId="2586B744" w:rsidR="00F322E7" w:rsidRDefault="00F322E7" w:rsidP="00F304F2">
    <w:pPr>
      <w:pStyle w:val="Footer"/>
      <w:tabs>
        <w:tab w:val="clear" w:pos="4320"/>
        <w:tab w:val="clear" w:pos="8640"/>
        <w:tab w:val="center" w:pos="5040"/>
        <w:tab w:val="right" w:pos="9360"/>
        <w:tab w:val="right" w:pos="12960"/>
      </w:tabs>
      <w:ind w:right="360"/>
      <w:rPr>
        <w:sz w:val="20"/>
      </w:rPr>
    </w:pPr>
  </w:p>
  <w:p w14:paraId="413E0BE1" w14:textId="77777777" w:rsidR="00F322E7" w:rsidRDefault="00F322E7" w:rsidP="00F304F2">
    <w:pPr>
      <w:pStyle w:val="Footer"/>
      <w:tabs>
        <w:tab w:val="clear" w:pos="4320"/>
        <w:tab w:val="clear" w:pos="8640"/>
        <w:tab w:val="center" w:pos="5040"/>
        <w:tab w:val="right" w:pos="12960"/>
      </w:tabs>
      <w:ind w:right="360"/>
      <w:rPr>
        <w:sz w:val="20"/>
      </w:rPr>
    </w:pPr>
  </w:p>
  <w:p w14:paraId="045A88B7" w14:textId="444AA3D4" w:rsidR="00F322E7" w:rsidRDefault="00F322E7" w:rsidP="000571E4">
    <w:pPr>
      <w:pStyle w:val="Footer"/>
      <w:tabs>
        <w:tab w:val="clear" w:pos="4320"/>
        <w:tab w:val="clear" w:pos="8640"/>
        <w:tab w:val="center" w:pos="5040"/>
        <w:tab w:val="right" w:pos="9360"/>
        <w:tab w:val="right" w:pos="12780"/>
        <w:tab w:val="right" w:pos="12960"/>
      </w:tabs>
      <w:ind w:right="360"/>
      <w:rPr>
        <w:sz w:val="20"/>
      </w:rPr>
    </w:pPr>
    <w:r>
      <w:rPr>
        <w:sz w:val="20"/>
      </w:rPr>
      <w:t>August 2020</w:t>
    </w:r>
    <w:r>
      <w:rPr>
        <w:sz w:val="20"/>
      </w:rPr>
      <w:tab/>
      <w:t>VistA Blood Establishment Computer Software (VBECS) Version 2.3.2</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559</w:t>
    </w:r>
    <w:r>
      <w:rPr>
        <w:sz w:val="20"/>
      </w:rPr>
      <w:fldChar w:fldCharType="end"/>
    </w:r>
    <w:r>
      <w:rPr>
        <w:sz w:val="20"/>
      </w:rPr>
      <w:tab/>
    </w:r>
  </w:p>
  <w:p w14:paraId="203B7D05" w14:textId="7051FE05" w:rsidR="00F322E7" w:rsidRDefault="00F322E7" w:rsidP="00F304F2">
    <w:pPr>
      <w:pStyle w:val="Footer"/>
      <w:tabs>
        <w:tab w:val="clear" w:pos="4320"/>
        <w:tab w:val="clear" w:pos="8640"/>
        <w:tab w:val="center" w:pos="5040"/>
        <w:tab w:val="right" w:pos="9360"/>
        <w:tab w:val="right" w:pos="12960"/>
      </w:tabs>
      <w:ind w:right="360"/>
      <w:rPr>
        <w:sz w:val="20"/>
      </w:rPr>
    </w:pPr>
    <w:r>
      <w:rPr>
        <w:sz w:val="20"/>
      </w:rPr>
      <w:tab/>
      <w:t>User Guide Version 6.0</w:t>
    </w:r>
  </w:p>
  <w:p w14:paraId="2537E68F" w14:textId="77777777" w:rsidR="00F322E7" w:rsidRDefault="00F322E7"/>
  <w:p w14:paraId="6C94C933" w14:textId="77777777" w:rsidR="00F322E7" w:rsidRDefault="00F322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4C8931" w14:textId="77777777" w:rsidR="00F322E7" w:rsidRDefault="00F322E7">
      <w:r>
        <w:separator/>
      </w:r>
    </w:p>
  </w:footnote>
  <w:footnote w:type="continuationSeparator" w:id="0">
    <w:p w14:paraId="01E33661" w14:textId="77777777" w:rsidR="00F322E7" w:rsidRDefault="00F322E7">
      <w:r>
        <w:continuationSeparator/>
      </w:r>
    </w:p>
  </w:footnote>
  <w:footnote w:id="1">
    <w:p w14:paraId="4CEEF123" w14:textId="77777777" w:rsidR="00F322E7" w:rsidRDefault="00F322E7">
      <w:pPr>
        <w:pStyle w:val="FootnoteText"/>
      </w:pPr>
      <w:r>
        <w:rPr>
          <w:rStyle w:val="FootnoteReference"/>
        </w:rPr>
        <w:footnoteRef/>
      </w:r>
      <w:r>
        <w:t xml:space="preserve"> There is a slight difference in terminology b</w:t>
      </w:r>
      <w:r w:rsidRPr="00670304">
        <w:t>etween VistA and VBECS: VistA us</w:t>
      </w:r>
      <w:r>
        <w:t>es “log on” and “logon,” and VBECS uses “log in” and “login.” Therefore, both terms are used throughout this guide. “Log in” and “login” are used generically when referring to both systems at one time.</w:t>
      </w:r>
    </w:p>
  </w:footnote>
  <w:footnote w:id="2">
    <w:p w14:paraId="05A59DC4" w14:textId="77777777" w:rsidR="00F322E7" w:rsidRDefault="00F322E7" w:rsidP="00F462A4">
      <w:pPr>
        <w:pStyle w:val="FootnoteText"/>
      </w:pPr>
      <w:r>
        <w:rPr>
          <w:rStyle w:val="FootnoteReference"/>
        </w:rPr>
        <w:footnoteRef/>
      </w:r>
      <w:r>
        <w:t xml:space="preserve"> </w:t>
      </w:r>
      <w:r w:rsidRPr="006D284D">
        <w:t>See FAQ Proper Use of PIV Card with VBE</w:t>
      </w:r>
      <w:r>
        <w:t>CS</w:t>
      </w:r>
    </w:p>
  </w:footnote>
  <w:footnote w:id="3">
    <w:p w14:paraId="3DA217B5" w14:textId="77777777" w:rsidR="00F322E7" w:rsidRDefault="00F322E7">
      <w:pPr>
        <w:pStyle w:val="FootnoteText"/>
      </w:pPr>
      <w:r>
        <w:rPr>
          <w:rStyle w:val="FootnoteReference"/>
        </w:rPr>
        <w:footnoteRef/>
      </w:r>
      <w:r>
        <w:t xml:space="preserve"> Larger versions of these icons appear throughout VBECS in the corresponding option windows. They cannot be used to access options.</w:t>
      </w:r>
    </w:p>
  </w:footnote>
  <w:footnote w:id="4">
    <w:p w14:paraId="0E745ABE" w14:textId="6672FE95" w:rsidR="00F322E7" w:rsidRDefault="00F322E7" w:rsidP="00F60A24">
      <w:pPr>
        <w:rPr>
          <w:rFonts w:ascii="Arial Bold" w:hAnsi="Arial Bold"/>
        </w:rPr>
      </w:pPr>
      <w:r>
        <w:rPr>
          <w:rStyle w:val="FootnoteReference"/>
        </w:rPr>
        <w:footnoteRef/>
      </w:r>
      <w:r>
        <w:t xml:space="preserve"> </w:t>
      </w:r>
      <w:r w:rsidRPr="00F60A24">
        <w:rPr>
          <w:spacing w:val="-5"/>
          <w:sz w:val="20"/>
          <w:szCs w:val="20"/>
        </w:rPr>
        <w:t>Active: VBECS order that is not rejected, cance</w:t>
      </w:r>
      <w:r>
        <w:rPr>
          <w:spacing w:val="-5"/>
          <w:sz w:val="20"/>
          <w:szCs w:val="20"/>
        </w:rPr>
        <w:t>l</w:t>
      </w:r>
      <w:r w:rsidRPr="00F60A24">
        <w:rPr>
          <w:spacing w:val="-5"/>
          <w:sz w:val="20"/>
          <w:szCs w:val="20"/>
        </w:rPr>
        <w:t xml:space="preserve">led or completed.  When the patient update is received and the order is ‘active’, the update is displayed </w:t>
      </w:r>
      <w:r>
        <w:rPr>
          <w:spacing w:val="-5"/>
          <w:sz w:val="20"/>
          <w:szCs w:val="20"/>
        </w:rPr>
        <w:t xml:space="preserve"> </w:t>
      </w:r>
      <w:r w:rsidRPr="00F60A24">
        <w:rPr>
          <w:spacing w:val="-5"/>
          <w:sz w:val="20"/>
          <w:szCs w:val="20"/>
        </w:rPr>
        <w:t>regardless of order cancelation until it is viewed by a VBECS user.</w:t>
      </w:r>
    </w:p>
    <w:p w14:paraId="20C9D24A" w14:textId="77777777" w:rsidR="00F322E7" w:rsidRDefault="00F322E7">
      <w:pPr>
        <w:pStyle w:val="FootnoteText"/>
      </w:pPr>
    </w:p>
  </w:footnote>
  <w:footnote w:id="5">
    <w:p w14:paraId="79951B40" w14:textId="77777777" w:rsidR="00F322E7" w:rsidRDefault="00F322E7" w:rsidP="004A6408">
      <w:pPr>
        <w:pStyle w:val="FootnoteText"/>
      </w:pPr>
      <w:r>
        <w:rPr>
          <w:rStyle w:val="FootnoteReference"/>
        </w:rPr>
        <w:footnoteRef/>
      </w:r>
      <w:r>
        <w:t xml:space="preserve"> Room Temperature/Immediate Spin</w:t>
      </w:r>
    </w:p>
  </w:footnote>
  <w:footnote w:id="6">
    <w:p w14:paraId="68435332" w14:textId="77777777" w:rsidR="00F322E7" w:rsidRDefault="00F322E7" w:rsidP="004A6408">
      <w:pPr>
        <w:pStyle w:val="FootnoteText"/>
      </w:pPr>
      <w:r>
        <w:rPr>
          <w:rStyle w:val="FootnoteReference"/>
        </w:rPr>
        <w:footnoteRef/>
      </w:r>
      <w:r>
        <w:t xml:space="preserve"> Anti-Human Globulin</w:t>
      </w:r>
    </w:p>
  </w:footnote>
  <w:footnote w:id="7">
    <w:p w14:paraId="79DB8332" w14:textId="77777777" w:rsidR="00F322E7" w:rsidRDefault="00F322E7" w:rsidP="004A6408">
      <w:pPr>
        <w:pStyle w:val="FootnoteText"/>
      </w:pPr>
      <w:r>
        <w:rPr>
          <w:rStyle w:val="FootnoteReference"/>
        </w:rPr>
        <w:footnoteRef/>
      </w:r>
      <w:r>
        <w:t xml:space="preserve"> Coated cell</w:t>
      </w:r>
    </w:p>
  </w:footnote>
  <w:footnote w:id="8">
    <w:p w14:paraId="754513CA" w14:textId="649D8D4B" w:rsidR="00F322E7" w:rsidRDefault="00F322E7" w:rsidP="002369C9">
      <w:pPr>
        <w:rPr>
          <w:rFonts w:ascii="Arial Bold" w:hAnsi="Arial Bold"/>
        </w:rPr>
      </w:pPr>
      <w:r>
        <w:rPr>
          <w:rStyle w:val="FootnoteReference"/>
        </w:rPr>
        <w:footnoteRef/>
      </w:r>
      <w:r>
        <w:t xml:space="preserve"> </w:t>
      </w:r>
      <w:r w:rsidRPr="00F60A24">
        <w:rPr>
          <w:spacing w:val="-5"/>
          <w:sz w:val="20"/>
          <w:szCs w:val="20"/>
        </w:rPr>
        <w:t>Active: VBECS order that is not rejected, cancel</w:t>
      </w:r>
      <w:r>
        <w:rPr>
          <w:spacing w:val="-5"/>
          <w:sz w:val="20"/>
          <w:szCs w:val="20"/>
        </w:rPr>
        <w:t>l</w:t>
      </w:r>
      <w:r w:rsidRPr="00F60A24">
        <w:rPr>
          <w:spacing w:val="-5"/>
          <w:sz w:val="20"/>
          <w:szCs w:val="20"/>
        </w:rPr>
        <w:t xml:space="preserve">ed or completed.  When the patient update is received and the order is ‘active’, the update is displayed </w:t>
      </w:r>
      <w:r>
        <w:rPr>
          <w:spacing w:val="-5"/>
          <w:sz w:val="20"/>
          <w:szCs w:val="20"/>
        </w:rPr>
        <w:t xml:space="preserve"> </w:t>
      </w:r>
      <w:r w:rsidRPr="00F60A24">
        <w:rPr>
          <w:spacing w:val="-5"/>
          <w:sz w:val="20"/>
          <w:szCs w:val="20"/>
        </w:rPr>
        <w:t>regardless of order cancelation until it is viewed by a VBECS user.</w:t>
      </w:r>
    </w:p>
    <w:p w14:paraId="76152BAF" w14:textId="77777777" w:rsidR="00F322E7" w:rsidRDefault="00F322E7" w:rsidP="002369C9">
      <w:pPr>
        <w:pStyle w:val="FootnoteText"/>
      </w:pPr>
    </w:p>
  </w:footnote>
  <w:footnote w:id="9">
    <w:p w14:paraId="2539C9CB" w14:textId="77777777" w:rsidR="00F322E7" w:rsidRDefault="00F322E7" w:rsidP="002F6D7B">
      <w:pPr>
        <w:numPr>
          <w:ilvl w:val="0"/>
          <w:numId w:val="13"/>
        </w:numPr>
        <w:tabs>
          <w:tab w:val="clear" w:pos="720"/>
        </w:tabs>
        <w:spacing w:before="100" w:beforeAutospacing="1" w:after="100" w:afterAutospacing="1"/>
        <w:ind w:left="135"/>
      </w:pPr>
      <w:r>
        <w:rPr>
          <w:rStyle w:val="FootnoteReference"/>
        </w:rPr>
        <w:footnoteRef/>
      </w:r>
      <w:r>
        <w:t xml:space="preserve"> </w:t>
      </w:r>
      <w:r w:rsidRPr="00BE2EB7">
        <w:rPr>
          <w:sz w:val="20"/>
          <w:szCs w:val="20"/>
        </w:rPr>
        <w:t xml:space="preserve">To make a copy of the active window, press </w:t>
      </w:r>
      <w:r w:rsidRPr="00BE2EB7">
        <w:rPr>
          <w:b/>
          <w:bCs/>
          <w:sz w:val="20"/>
          <w:szCs w:val="20"/>
        </w:rPr>
        <w:t>Alt+Print Screen</w:t>
      </w:r>
      <w:r w:rsidRPr="00BE2EB7">
        <w:rPr>
          <w:sz w:val="20"/>
          <w:szCs w:val="20"/>
        </w:rPr>
        <w:t xml:space="preserve">. To copy the entire screen as it appears on your monitor, press </w:t>
      </w:r>
      <w:r w:rsidRPr="00BE2EB7">
        <w:rPr>
          <w:b/>
          <w:bCs/>
          <w:sz w:val="20"/>
          <w:szCs w:val="20"/>
        </w:rPr>
        <w:t>Print Screen</w:t>
      </w:r>
      <w:r w:rsidRPr="00BE2EB7">
        <w:rPr>
          <w:sz w:val="20"/>
          <w:szCs w:val="20"/>
        </w:rPr>
        <w:t xml:space="preserve">. To paste the image into a file in an Office program, open the file you want to paste the image into, click </w:t>
      </w:r>
      <w:r w:rsidRPr="00BE2EB7">
        <w:rPr>
          <w:b/>
          <w:bCs/>
          <w:sz w:val="20"/>
          <w:szCs w:val="20"/>
        </w:rPr>
        <w:t>Edit</w:t>
      </w:r>
      <w:r w:rsidRPr="00BE2EB7">
        <w:rPr>
          <w:sz w:val="20"/>
          <w:szCs w:val="20"/>
        </w:rPr>
        <w:t xml:space="preserve">, and then click </w:t>
      </w:r>
      <w:r w:rsidRPr="00BE2EB7">
        <w:rPr>
          <w:b/>
          <w:bCs/>
          <w:sz w:val="20"/>
          <w:szCs w:val="20"/>
        </w:rPr>
        <w:t>Paste</w:t>
      </w:r>
      <w:r w:rsidRPr="00BE2EB7">
        <w:rPr>
          <w:sz w:val="20"/>
          <w:szCs w:val="20"/>
        </w:rPr>
        <w:t xml:space="preserve">. </w:t>
      </w:r>
    </w:p>
  </w:footnote>
  <w:footnote w:id="10">
    <w:p w14:paraId="34FF35E8" w14:textId="77777777" w:rsidR="00F322E7" w:rsidRDefault="00F322E7" w:rsidP="002E3C00">
      <w:pPr>
        <w:pStyle w:val="FootnoteText"/>
      </w:pPr>
      <w:r>
        <w:rPr>
          <w:rStyle w:val="FootnoteReference"/>
        </w:rPr>
        <w:footnoteRef/>
      </w:r>
      <w:r>
        <w:t xml:space="preserve"> Default is </w:t>
      </w:r>
      <w:r w:rsidRPr="007121BA">
        <w:t>270</w:t>
      </w:r>
      <w:r>
        <w:t xml:space="preserve"> minutes (4 hours, 30 minutes).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5CA23" w14:textId="77777777" w:rsidR="00F322E7" w:rsidRDefault="00F322E7">
    <w:pPr>
      <w:pStyle w:val="Header"/>
      <w:jc w:val="center"/>
      <w:rPr>
        <w:rFonts w:ascii="Arial" w:hAnsi="Arial" w:cs="Arial"/>
        <w:i/>
      </w:rPr>
    </w:pPr>
  </w:p>
  <w:p w14:paraId="226862E1" w14:textId="77777777" w:rsidR="00F322E7" w:rsidRDefault="00F322E7">
    <w:pPr>
      <w:pStyle w:val="Header"/>
      <w:jc w:val="center"/>
    </w:pPr>
  </w:p>
  <w:p w14:paraId="19A61421" w14:textId="77777777" w:rsidR="00F322E7" w:rsidRDefault="00F322E7">
    <w:pPr>
      <w:pStyle w:val="Header"/>
      <w:jc w:val="center"/>
    </w:pPr>
  </w:p>
  <w:p w14:paraId="135EE6EB" w14:textId="77777777" w:rsidR="00F322E7" w:rsidRDefault="00F322E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5C6AA" w14:textId="77777777" w:rsidR="00F322E7" w:rsidRDefault="00F322E7">
    <w:pPr>
      <w:pStyle w:val="Header"/>
      <w:jc w:val="center"/>
      <w:rPr>
        <w:rFonts w:ascii="Arial" w:hAnsi="Arial" w:cs="Arial"/>
        <w:i/>
      </w:rPr>
    </w:pPr>
  </w:p>
  <w:p w14:paraId="73D33D40" w14:textId="77777777" w:rsidR="00F322E7" w:rsidRDefault="00F322E7">
    <w:pPr>
      <w:pStyle w:val="Header"/>
      <w:jc w:val="center"/>
    </w:pPr>
  </w:p>
  <w:p w14:paraId="09E1A3C2" w14:textId="77777777" w:rsidR="00F322E7" w:rsidRDefault="00F322E7">
    <w:pPr>
      <w:pStyle w:val="Header"/>
      <w:jc w:val="center"/>
    </w:pPr>
  </w:p>
  <w:p w14:paraId="30540558" w14:textId="77777777" w:rsidR="00F322E7" w:rsidRDefault="00F322E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EE0D0" w14:textId="77777777" w:rsidR="00F322E7" w:rsidRDefault="00F322E7" w:rsidP="001971FE">
    <w:pPr>
      <w:pStyle w:val="Header"/>
      <w:jc w:val="center"/>
      <w:rPr>
        <w:rFonts w:ascii="Arial" w:hAnsi="Arial" w:cs="Arial"/>
        <w:i/>
      </w:rPr>
    </w:pPr>
  </w:p>
  <w:p w14:paraId="55C3433C" w14:textId="77777777" w:rsidR="00F322E7" w:rsidRDefault="00F322E7" w:rsidP="001971FE">
    <w:pPr>
      <w:pStyle w:val="Header"/>
      <w:jc w:val="center"/>
    </w:pPr>
  </w:p>
  <w:p w14:paraId="3EF72D10" w14:textId="77777777" w:rsidR="00F322E7" w:rsidRDefault="00F322E7">
    <w:pPr>
      <w:pStyle w:val="Header"/>
      <w:jc w:val="center"/>
    </w:pPr>
  </w:p>
  <w:p w14:paraId="2B88979B" w14:textId="77777777" w:rsidR="00F322E7" w:rsidRDefault="00F322E7">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6E886" w14:textId="77777777" w:rsidR="00F322E7" w:rsidRDefault="00F322E7" w:rsidP="001971FE">
    <w:pPr>
      <w:pStyle w:val="Header"/>
      <w:jc w:val="center"/>
      <w:rPr>
        <w:rFonts w:ascii="Arial" w:hAnsi="Arial" w:cs="Arial"/>
        <w:i/>
      </w:rPr>
    </w:pPr>
  </w:p>
  <w:p w14:paraId="5E934C06" w14:textId="77777777" w:rsidR="00F322E7" w:rsidRDefault="00F322E7" w:rsidP="001971FE">
    <w:pPr>
      <w:pStyle w:val="Header"/>
      <w:jc w:val="center"/>
    </w:pPr>
  </w:p>
  <w:p w14:paraId="53D85905" w14:textId="77777777" w:rsidR="00F322E7" w:rsidRDefault="00F322E7">
    <w:pPr>
      <w:pStyle w:val="Header"/>
      <w:jc w:val="center"/>
    </w:pPr>
  </w:p>
  <w:p w14:paraId="2DDC02AA" w14:textId="77777777" w:rsidR="00F322E7" w:rsidRDefault="00F322E7">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EDAAC" w14:textId="77777777" w:rsidR="00F322E7" w:rsidRDefault="00F322E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70CFF" w14:textId="77777777" w:rsidR="00F322E7" w:rsidRDefault="00F322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0" type="#_x0000_t75" style="width:3in;height:3in" o:bullet="t"/>
    </w:pict>
  </w:numPicBullet>
  <w:numPicBullet w:numPicBulletId="1">
    <w:pict>
      <v:shape id="_x0000_i1131" type="#_x0000_t75" style="width:3in;height:3in" o:bullet="t"/>
    </w:pict>
  </w:numPicBullet>
  <w:numPicBullet w:numPicBulletId="2">
    <w:pict>
      <v:shape id="_x0000_i1132" type="#_x0000_t75" style="width:3in;height:3in" o:bullet="t"/>
    </w:pict>
  </w:numPicBullet>
  <w:numPicBullet w:numPicBulletId="3">
    <w:pict>
      <v:shape id="_x0000_i1133" type="#_x0000_t75" alt="small_vistalink_fail" style="width:12.1pt;height:12.1pt;visibility:visible" o:bullet="t">
        <v:imagedata r:id="rId1" o:title="small_vistalink_fail"/>
      </v:shape>
    </w:pict>
  </w:numPicBullet>
  <w:abstractNum w:abstractNumId="0" w15:restartNumberingAfterBreak="0">
    <w:nsid w:val="04613CC0"/>
    <w:multiLevelType w:val="hybridMultilevel"/>
    <w:tmpl w:val="9B14D6CC"/>
    <w:lvl w:ilvl="0" w:tplc="EB7C977E">
      <w:start w:val="1"/>
      <w:numFmt w:val="bullet"/>
      <w:pStyle w:val="GlossaryTableTextBullets"/>
      <w:lvlText w:val=""/>
      <w:lvlJc w:val="left"/>
      <w:pPr>
        <w:tabs>
          <w:tab w:val="num" w:pos="648"/>
        </w:tabs>
        <w:ind w:left="648" w:hanging="288"/>
      </w:pPr>
      <w:rPr>
        <w:rFonts w:ascii="Symbol" w:hAnsi="Symbol" w:hint="default"/>
        <w:sz w:val="18"/>
        <w:szCs w:val="18"/>
      </w:rPr>
    </w:lvl>
    <w:lvl w:ilvl="1" w:tplc="46A45A12" w:tentative="1">
      <w:start w:val="1"/>
      <w:numFmt w:val="bullet"/>
      <w:lvlText w:val="o"/>
      <w:lvlJc w:val="left"/>
      <w:pPr>
        <w:tabs>
          <w:tab w:val="num" w:pos="1800"/>
        </w:tabs>
        <w:ind w:left="1800" w:hanging="360"/>
      </w:pPr>
      <w:rPr>
        <w:rFonts w:ascii="Courier New" w:hAnsi="Courier New" w:cs="Courier New" w:hint="default"/>
      </w:rPr>
    </w:lvl>
    <w:lvl w:ilvl="2" w:tplc="E4DA0104" w:tentative="1">
      <w:start w:val="1"/>
      <w:numFmt w:val="bullet"/>
      <w:lvlText w:val=""/>
      <w:lvlJc w:val="left"/>
      <w:pPr>
        <w:tabs>
          <w:tab w:val="num" w:pos="2520"/>
        </w:tabs>
        <w:ind w:left="2520" w:hanging="360"/>
      </w:pPr>
      <w:rPr>
        <w:rFonts w:ascii="Wingdings" w:hAnsi="Wingdings" w:hint="default"/>
      </w:rPr>
    </w:lvl>
    <w:lvl w:ilvl="3" w:tplc="60B8E00C" w:tentative="1">
      <w:start w:val="1"/>
      <w:numFmt w:val="bullet"/>
      <w:lvlText w:val=""/>
      <w:lvlJc w:val="left"/>
      <w:pPr>
        <w:tabs>
          <w:tab w:val="num" w:pos="3240"/>
        </w:tabs>
        <w:ind w:left="3240" w:hanging="360"/>
      </w:pPr>
      <w:rPr>
        <w:rFonts w:ascii="Symbol" w:hAnsi="Symbol" w:hint="default"/>
      </w:rPr>
    </w:lvl>
    <w:lvl w:ilvl="4" w:tplc="CE0E6B90" w:tentative="1">
      <w:start w:val="1"/>
      <w:numFmt w:val="bullet"/>
      <w:lvlText w:val="o"/>
      <w:lvlJc w:val="left"/>
      <w:pPr>
        <w:tabs>
          <w:tab w:val="num" w:pos="3960"/>
        </w:tabs>
        <w:ind w:left="3960" w:hanging="360"/>
      </w:pPr>
      <w:rPr>
        <w:rFonts w:ascii="Courier New" w:hAnsi="Courier New" w:cs="Courier New" w:hint="default"/>
      </w:rPr>
    </w:lvl>
    <w:lvl w:ilvl="5" w:tplc="0456914E" w:tentative="1">
      <w:start w:val="1"/>
      <w:numFmt w:val="bullet"/>
      <w:lvlText w:val=""/>
      <w:lvlJc w:val="left"/>
      <w:pPr>
        <w:tabs>
          <w:tab w:val="num" w:pos="4680"/>
        </w:tabs>
        <w:ind w:left="4680" w:hanging="360"/>
      </w:pPr>
      <w:rPr>
        <w:rFonts w:ascii="Wingdings" w:hAnsi="Wingdings" w:hint="default"/>
      </w:rPr>
    </w:lvl>
    <w:lvl w:ilvl="6" w:tplc="F47E236E" w:tentative="1">
      <w:start w:val="1"/>
      <w:numFmt w:val="bullet"/>
      <w:lvlText w:val=""/>
      <w:lvlJc w:val="left"/>
      <w:pPr>
        <w:tabs>
          <w:tab w:val="num" w:pos="5400"/>
        </w:tabs>
        <w:ind w:left="5400" w:hanging="360"/>
      </w:pPr>
      <w:rPr>
        <w:rFonts w:ascii="Symbol" w:hAnsi="Symbol" w:hint="default"/>
      </w:rPr>
    </w:lvl>
    <w:lvl w:ilvl="7" w:tplc="B2946EFE" w:tentative="1">
      <w:start w:val="1"/>
      <w:numFmt w:val="bullet"/>
      <w:lvlText w:val="o"/>
      <w:lvlJc w:val="left"/>
      <w:pPr>
        <w:tabs>
          <w:tab w:val="num" w:pos="6120"/>
        </w:tabs>
        <w:ind w:left="6120" w:hanging="360"/>
      </w:pPr>
      <w:rPr>
        <w:rFonts w:ascii="Courier New" w:hAnsi="Courier New" w:cs="Courier New" w:hint="default"/>
      </w:rPr>
    </w:lvl>
    <w:lvl w:ilvl="8" w:tplc="A106DE50"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EE5285"/>
    <w:multiLevelType w:val="hybridMultilevel"/>
    <w:tmpl w:val="216A64B4"/>
    <w:lvl w:ilvl="0" w:tplc="673E15CA">
      <w:start w:val="1"/>
      <w:numFmt w:val="bullet"/>
      <w:pStyle w:val="TableTextBullet"/>
      <w:lvlText w:val=""/>
      <w:lvlJc w:val="left"/>
      <w:pPr>
        <w:tabs>
          <w:tab w:val="num" w:pos="288"/>
        </w:tabs>
        <w:ind w:left="288" w:hanging="288"/>
      </w:pPr>
      <w:rPr>
        <w:rFonts w:ascii="Symbol" w:hAnsi="Symbol" w:hint="default"/>
        <w:sz w:val="18"/>
        <w:szCs w:val="18"/>
      </w:rPr>
    </w:lvl>
    <w:lvl w:ilvl="1" w:tplc="67C44AEA">
      <w:start w:val="1"/>
      <w:numFmt w:val="bullet"/>
      <w:lvlText w:val="o"/>
      <w:lvlJc w:val="left"/>
      <w:pPr>
        <w:tabs>
          <w:tab w:val="num" w:pos="1440"/>
        </w:tabs>
        <w:ind w:left="1440" w:hanging="360"/>
      </w:pPr>
      <w:rPr>
        <w:rFonts w:ascii="Courier New" w:hAnsi="Courier New" w:cs="Courier New" w:hint="default"/>
      </w:rPr>
    </w:lvl>
    <w:lvl w:ilvl="2" w:tplc="7EEA7A9A" w:tentative="1">
      <w:start w:val="1"/>
      <w:numFmt w:val="bullet"/>
      <w:lvlText w:val=""/>
      <w:lvlJc w:val="left"/>
      <w:pPr>
        <w:tabs>
          <w:tab w:val="num" w:pos="2160"/>
        </w:tabs>
        <w:ind w:left="2160" w:hanging="360"/>
      </w:pPr>
      <w:rPr>
        <w:rFonts w:ascii="Wingdings" w:hAnsi="Wingdings" w:hint="default"/>
      </w:rPr>
    </w:lvl>
    <w:lvl w:ilvl="3" w:tplc="F5A8D8F0" w:tentative="1">
      <w:start w:val="1"/>
      <w:numFmt w:val="bullet"/>
      <w:lvlText w:val=""/>
      <w:lvlJc w:val="left"/>
      <w:pPr>
        <w:tabs>
          <w:tab w:val="num" w:pos="2880"/>
        </w:tabs>
        <w:ind w:left="2880" w:hanging="360"/>
      </w:pPr>
      <w:rPr>
        <w:rFonts w:ascii="Symbol" w:hAnsi="Symbol" w:hint="default"/>
      </w:rPr>
    </w:lvl>
    <w:lvl w:ilvl="4" w:tplc="00E249A6" w:tentative="1">
      <w:start w:val="1"/>
      <w:numFmt w:val="bullet"/>
      <w:lvlText w:val="o"/>
      <w:lvlJc w:val="left"/>
      <w:pPr>
        <w:tabs>
          <w:tab w:val="num" w:pos="3600"/>
        </w:tabs>
        <w:ind w:left="3600" w:hanging="360"/>
      </w:pPr>
      <w:rPr>
        <w:rFonts w:ascii="Courier New" w:hAnsi="Courier New" w:cs="Courier New" w:hint="default"/>
      </w:rPr>
    </w:lvl>
    <w:lvl w:ilvl="5" w:tplc="DBFA9252" w:tentative="1">
      <w:start w:val="1"/>
      <w:numFmt w:val="bullet"/>
      <w:lvlText w:val=""/>
      <w:lvlJc w:val="left"/>
      <w:pPr>
        <w:tabs>
          <w:tab w:val="num" w:pos="4320"/>
        </w:tabs>
        <w:ind w:left="4320" w:hanging="360"/>
      </w:pPr>
      <w:rPr>
        <w:rFonts w:ascii="Wingdings" w:hAnsi="Wingdings" w:hint="default"/>
      </w:rPr>
    </w:lvl>
    <w:lvl w:ilvl="6" w:tplc="FC06345E" w:tentative="1">
      <w:start w:val="1"/>
      <w:numFmt w:val="bullet"/>
      <w:lvlText w:val=""/>
      <w:lvlJc w:val="left"/>
      <w:pPr>
        <w:tabs>
          <w:tab w:val="num" w:pos="5040"/>
        </w:tabs>
        <w:ind w:left="5040" w:hanging="360"/>
      </w:pPr>
      <w:rPr>
        <w:rFonts w:ascii="Symbol" w:hAnsi="Symbol" w:hint="default"/>
      </w:rPr>
    </w:lvl>
    <w:lvl w:ilvl="7" w:tplc="61CE7C36" w:tentative="1">
      <w:start w:val="1"/>
      <w:numFmt w:val="bullet"/>
      <w:lvlText w:val="o"/>
      <w:lvlJc w:val="left"/>
      <w:pPr>
        <w:tabs>
          <w:tab w:val="num" w:pos="5760"/>
        </w:tabs>
        <w:ind w:left="5760" w:hanging="360"/>
      </w:pPr>
      <w:rPr>
        <w:rFonts w:ascii="Courier New" w:hAnsi="Courier New" w:cs="Courier New" w:hint="default"/>
      </w:rPr>
    </w:lvl>
    <w:lvl w:ilvl="8" w:tplc="8D64A24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7843AB"/>
    <w:multiLevelType w:val="hybridMultilevel"/>
    <w:tmpl w:val="77E4C056"/>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15:restartNumberingAfterBreak="0">
    <w:nsid w:val="0C217292"/>
    <w:multiLevelType w:val="hybridMultilevel"/>
    <w:tmpl w:val="AD3C43EC"/>
    <w:lvl w:ilvl="0" w:tplc="FFFFFFFF">
      <w:start w:val="1"/>
      <w:numFmt w:val="bullet"/>
      <w:lvlText w:val=""/>
      <w:lvlJc w:val="left"/>
      <w:pPr>
        <w:tabs>
          <w:tab w:val="num" w:pos="360"/>
        </w:tabs>
        <w:ind w:left="360" w:hanging="360"/>
      </w:pPr>
      <w:rPr>
        <w:rFonts w:ascii="Symbol" w:hAnsi="Symbol" w:hint="default"/>
        <w:sz w:val="18"/>
      </w:rPr>
    </w:lvl>
    <w:lvl w:ilvl="1" w:tplc="04090001">
      <w:start w:val="1"/>
      <w:numFmt w:val="bullet"/>
      <w:lvlText w:val=""/>
      <w:lvlJc w:val="left"/>
      <w:pPr>
        <w:tabs>
          <w:tab w:val="num" w:pos="1440"/>
        </w:tabs>
        <w:ind w:left="1440" w:hanging="360"/>
      </w:pPr>
      <w:rPr>
        <w:rFonts w:ascii="Symbol" w:hAnsi="Symbol"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E736AE"/>
    <w:multiLevelType w:val="hybridMultilevel"/>
    <w:tmpl w:val="1108E58A"/>
    <w:lvl w:ilvl="0" w:tplc="0040FE08">
      <w:start w:val="1"/>
      <w:numFmt w:val="bullet"/>
      <w:lvlText w:val=""/>
      <w:lvlJc w:val="left"/>
      <w:pPr>
        <w:tabs>
          <w:tab w:val="num" w:pos="288"/>
        </w:tabs>
        <w:ind w:left="288" w:hanging="288"/>
      </w:pPr>
      <w:rPr>
        <w:rFonts w:ascii="Symbol" w:hAnsi="Symbol" w:hint="default"/>
        <w:sz w:val="18"/>
      </w:rPr>
    </w:lvl>
    <w:lvl w:ilvl="1" w:tplc="047416E6">
      <w:start w:val="1"/>
      <w:numFmt w:val="decimal"/>
      <w:lvlText w:val="%2."/>
      <w:lvlJc w:val="left"/>
      <w:pPr>
        <w:tabs>
          <w:tab w:val="num" w:pos="1440"/>
        </w:tabs>
        <w:ind w:left="1440" w:hanging="360"/>
      </w:pPr>
      <w:rPr>
        <w:rFonts w:hint="default"/>
        <w:sz w:val="18"/>
      </w:rPr>
    </w:lvl>
    <w:lvl w:ilvl="2" w:tplc="CF9E79F0" w:tentative="1">
      <w:start w:val="1"/>
      <w:numFmt w:val="bullet"/>
      <w:lvlText w:val=""/>
      <w:lvlJc w:val="left"/>
      <w:pPr>
        <w:tabs>
          <w:tab w:val="num" w:pos="2160"/>
        </w:tabs>
        <w:ind w:left="2160" w:hanging="360"/>
      </w:pPr>
      <w:rPr>
        <w:rFonts w:ascii="Wingdings" w:hAnsi="Wingdings" w:hint="default"/>
      </w:rPr>
    </w:lvl>
    <w:lvl w:ilvl="3" w:tplc="75780262" w:tentative="1">
      <w:start w:val="1"/>
      <w:numFmt w:val="bullet"/>
      <w:lvlText w:val=""/>
      <w:lvlJc w:val="left"/>
      <w:pPr>
        <w:tabs>
          <w:tab w:val="num" w:pos="2880"/>
        </w:tabs>
        <w:ind w:left="2880" w:hanging="360"/>
      </w:pPr>
      <w:rPr>
        <w:rFonts w:ascii="Symbol" w:hAnsi="Symbol" w:hint="default"/>
      </w:rPr>
    </w:lvl>
    <w:lvl w:ilvl="4" w:tplc="E49833F6" w:tentative="1">
      <w:start w:val="1"/>
      <w:numFmt w:val="bullet"/>
      <w:lvlText w:val="o"/>
      <w:lvlJc w:val="left"/>
      <w:pPr>
        <w:tabs>
          <w:tab w:val="num" w:pos="3600"/>
        </w:tabs>
        <w:ind w:left="3600" w:hanging="360"/>
      </w:pPr>
      <w:rPr>
        <w:rFonts w:ascii="Courier New" w:hAnsi="Courier New" w:cs="Courier New" w:hint="default"/>
      </w:rPr>
    </w:lvl>
    <w:lvl w:ilvl="5" w:tplc="EC54FD92" w:tentative="1">
      <w:start w:val="1"/>
      <w:numFmt w:val="bullet"/>
      <w:lvlText w:val=""/>
      <w:lvlJc w:val="left"/>
      <w:pPr>
        <w:tabs>
          <w:tab w:val="num" w:pos="4320"/>
        </w:tabs>
        <w:ind w:left="4320" w:hanging="360"/>
      </w:pPr>
      <w:rPr>
        <w:rFonts w:ascii="Wingdings" w:hAnsi="Wingdings" w:hint="default"/>
      </w:rPr>
    </w:lvl>
    <w:lvl w:ilvl="6" w:tplc="4D169686" w:tentative="1">
      <w:start w:val="1"/>
      <w:numFmt w:val="bullet"/>
      <w:lvlText w:val=""/>
      <w:lvlJc w:val="left"/>
      <w:pPr>
        <w:tabs>
          <w:tab w:val="num" w:pos="5040"/>
        </w:tabs>
        <w:ind w:left="5040" w:hanging="360"/>
      </w:pPr>
      <w:rPr>
        <w:rFonts w:ascii="Symbol" w:hAnsi="Symbol" w:hint="default"/>
      </w:rPr>
    </w:lvl>
    <w:lvl w:ilvl="7" w:tplc="22660948" w:tentative="1">
      <w:start w:val="1"/>
      <w:numFmt w:val="bullet"/>
      <w:lvlText w:val="o"/>
      <w:lvlJc w:val="left"/>
      <w:pPr>
        <w:tabs>
          <w:tab w:val="num" w:pos="5760"/>
        </w:tabs>
        <w:ind w:left="5760" w:hanging="360"/>
      </w:pPr>
      <w:rPr>
        <w:rFonts w:ascii="Courier New" w:hAnsi="Courier New" w:cs="Courier New" w:hint="default"/>
      </w:rPr>
    </w:lvl>
    <w:lvl w:ilvl="8" w:tplc="596E42B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8A29E3"/>
    <w:multiLevelType w:val="hybridMultilevel"/>
    <w:tmpl w:val="249CFB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963B35"/>
    <w:multiLevelType w:val="hybridMultilevel"/>
    <w:tmpl w:val="576659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481979"/>
    <w:multiLevelType w:val="hybridMultilevel"/>
    <w:tmpl w:val="E236B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DD4DC5"/>
    <w:multiLevelType w:val="hybridMultilevel"/>
    <w:tmpl w:val="8544FB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422FE9"/>
    <w:multiLevelType w:val="hybridMultilevel"/>
    <w:tmpl w:val="8B34C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8C85357"/>
    <w:multiLevelType w:val="hybridMultilevel"/>
    <w:tmpl w:val="747E78C4"/>
    <w:lvl w:ilvl="0" w:tplc="8D5EE010">
      <w:start w:val="1"/>
      <w:numFmt w:val="decimal"/>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8E11F35"/>
    <w:multiLevelType w:val="hybridMultilevel"/>
    <w:tmpl w:val="747E78C4"/>
    <w:lvl w:ilvl="0" w:tplc="8D5EE010">
      <w:start w:val="1"/>
      <w:numFmt w:val="decimal"/>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19F20643"/>
    <w:multiLevelType w:val="hybridMultilevel"/>
    <w:tmpl w:val="BABA0F66"/>
    <w:lvl w:ilvl="0" w:tplc="1A126C3E">
      <w:start w:val="1"/>
      <w:numFmt w:val="bullet"/>
      <w:lvlText w:val=""/>
      <w:lvlJc w:val="left"/>
      <w:pPr>
        <w:tabs>
          <w:tab w:val="num" w:pos="720"/>
        </w:tabs>
        <w:ind w:left="720" w:hanging="360"/>
      </w:pPr>
      <w:rPr>
        <w:rFonts w:ascii="Symbol" w:hAnsi="Symbol" w:hint="default"/>
      </w:rPr>
    </w:lvl>
    <w:lvl w:ilvl="1" w:tplc="DE5E6A06" w:tentative="1">
      <w:start w:val="1"/>
      <w:numFmt w:val="bullet"/>
      <w:lvlText w:val="o"/>
      <w:lvlJc w:val="left"/>
      <w:pPr>
        <w:tabs>
          <w:tab w:val="num" w:pos="1440"/>
        </w:tabs>
        <w:ind w:left="1440" w:hanging="360"/>
      </w:pPr>
      <w:rPr>
        <w:rFonts w:ascii="Courier New" w:hAnsi="Courier New" w:hint="default"/>
      </w:rPr>
    </w:lvl>
    <w:lvl w:ilvl="2" w:tplc="DF14889C" w:tentative="1">
      <w:start w:val="1"/>
      <w:numFmt w:val="bullet"/>
      <w:lvlText w:val=""/>
      <w:lvlJc w:val="left"/>
      <w:pPr>
        <w:tabs>
          <w:tab w:val="num" w:pos="2160"/>
        </w:tabs>
        <w:ind w:left="2160" w:hanging="360"/>
      </w:pPr>
      <w:rPr>
        <w:rFonts w:ascii="Wingdings" w:hAnsi="Wingdings" w:hint="default"/>
      </w:rPr>
    </w:lvl>
    <w:lvl w:ilvl="3" w:tplc="30D6EAC2" w:tentative="1">
      <w:start w:val="1"/>
      <w:numFmt w:val="bullet"/>
      <w:lvlText w:val=""/>
      <w:lvlJc w:val="left"/>
      <w:pPr>
        <w:tabs>
          <w:tab w:val="num" w:pos="2880"/>
        </w:tabs>
        <w:ind w:left="2880" w:hanging="360"/>
      </w:pPr>
      <w:rPr>
        <w:rFonts w:ascii="Symbol" w:hAnsi="Symbol" w:hint="default"/>
      </w:rPr>
    </w:lvl>
    <w:lvl w:ilvl="4" w:tplc="AD807362" w:tentative="1">
      <w:start w:val="1"/>
      <w:numFmt w:val="bullet"/>
      <w:lvlText w:val="o"/>
      <w:lvlJc w:val="left"/>
      <w:pPr>
        <w:tabs>
          <w:tab w:val="num" w:pos="3600"/>
        </w:tabs>
        <w:ind w:left="3600" w:hanging="360"/>
      </w:pPr>
      <w:rPr>
        <w:rFonts w:ascii="Courier New" w:hAnsi="Courier New" w:hint="default"/>
      </w:rPr>
    </w:lvl>
    <w:lvl w:ilvl="5" w:tplc="DAC6667A" w:tentative="1">
      <w:start w:val="1"/>
      <w:numFmt w:val="bullet"/>
      <w:lvlText w:val=""/>
      <w:lvlJc w:val="left"/>
      <w:pPr>
        <w:tabs>
          <w:tab w:val="num" w:pos="4320"/>
        </w:tabs>
        <w:ind w:left="4320" w:hanging="360"/>
      </w:pPr>
      <w:rPr>
        <w:rFonts w:ascii="Wingdings" w:hAnsi="Wingdings" w:hint="default"/>
      </w:rPr>
    </w:lvl>
    <w:lvl w:ilvl="6" w:tplc="AE14D8DE" w:tentative="1">
      <w:start w:val="1"/>
      <w:numFmt w:val="bullet"/>
      <w:lvlText w:val=""/>
      <w:lvlJc w:val="left"/>
      <w:pPr>
        <w:tabs>
          <w:tab w:val="num" w:pos="5040"/>
        </w:tabs>
        <w:ind w:left="5040" w:hanging="360"/>
      </w:pPr>
      <w:rPr>
        <w:rFonts w:ascii="Symbol" w:hAnsi="Symbol" w:hint="default"/>
      </w:rPr>
    </w:lvl>
    <w:lvl w:ilvl="7" w:tplc="4434D03C" w:tentative="1">
      <w:start w:val="1"/>
      <w:numFmt w:val="bullet"/>
      <w:lvlText w:val="o"/>
      <w:lvlJc w:val="left"/>
      <w:pPr>
        <w:tabs>
          <w:tab w:val="num" w:pos="5760"/>
        </w:tabs>
        <w:ind w:left="5760" w:hanging="360"/>
      </w:pPr>
      <w:rPr>
        <w:rFonts w:ascii="Courier New" w:hAnsi="Courier New" w:hint="default"/>
      </w:rPr>
    </w:lvl>
    <w:lvl w:ilvl="8" w:tplc="1262C06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5A6219"/>
    <w:multiLevelType w:val="hybridMultilevel"/>
    <w:tmpl w:val="4B28CC3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F175C34"/>
    <w:multiLevelType w:val="hybridMultilevel"/>
    <w:tmpl w:val="EC5060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BA7A1F"/>
    <w:multiLevelType w:val="hybridMultilevel"/>
    <w:tmpl w:val="5F5E2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F00273"/>
    <w:multiLevelType w:val="hybridMultilevel"/>
    <w:tmpl w:val="FCBEB21E"/>
    <w:lvl w:ilvl="0" w:tplc="8D5EE010">
      <w:start w:val="1"/>
      <w:numFmt w:val="decimal"/>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7D2BCD"/>
    <w:multiLevelType w:val="hybridMultilevel"/>
    <w:tmpl w:val="3E580BF8"/>
    <w:lvl w:ilvl="0" w:tplc="0966E532">
      <w:start w:val="1"/>
      <w:numFmt w:val="bullet"/>
      <w:lvlText w:val=""/>
      <w:lvlJc w:val="left"/>
      <w:pPr>
        <w:tabs>
          <w:tab w:val="num" w:pos="720"/>
        </w:tabs>
        <w:ind w:left="720" w:hanging="360"/>
      </w:pPr>
      <w:rPr>
        <w:rFonts w:ascii="Symbol" w:hAnsi="Symbol" w:hint="default"/>
        <w:color w:val="auto"/>
        <w:sz w:val="18"/>
        <w:szCs w:val="18"/>
      </w:rPr>
    </w:lvl>
    <w:lvl w:ilvl="1" w:tplc="730C1182" w:tentative="1">
      <w:start w:val="1"/>
      <w:numFmt w:val="bullet"/>
      <w:lvlText w:val="o"/>
      <w:lvlJc w:val="left"/>
      <w:pPr>
        <w:tabs>
          <w:tab w:val="num" w:pos="1440"/>
        </w:tabs>
        <w:ind w:left="1440" w:hanging="360"/>
      </w:pPr>
      <w:rPr>
        <w:rFonts w:ascii="Courier New" w:hAnsi="Courier New" w:cs="Courier New" w:hint="default"/>
      </w:rPr>
    </w:lvl>
    <w:lvl w:ilvl="2" w:tplc="2B5CB1CA" w:tentative="1">
      <w:start w:val="1"/>
      <w:numFmt w:val="bullet"/>
      <w:lvlText w:val=""/>
      <w:lvlJc w:val="left"/>
      <w:pPr>
        <w:tabs>
          <w:tab w:val="num" w:pos="2160"/>
        </w:tabs>
        <w:ind w:left="2160" w:hanging="360"/>
      </w:pPr>
      <w:rPr>
        <w:rFonts w:ascii="Wingdings" w:hAnsi="Wingdings" w:hint="default"/>
      </w:rPr>
    </w:lvl>
    <w:lvl w:ilvl="3" w:tplc="147A038C" w:tentative="1">
      <w:start w:val="1"/>
      <w:numFmt w:val="bullet"/>
      <w:lvlText w:val=""/>
      <w:lvlJc w:val="left"/>
      <w:pPr>
        <w:tabs>
          <w:tab w:val="num" w:pos="2880"/>
        </w:tabs>
        <w:ind w:left="2880" w:hanging="360"/>
      </w:pPr>
      <w:rPr>
        <w:rFonts w:ascii="Symbol" w:hAnsi="Symbol" w:hint="default"/>
      </w:rPr>
    </w:lvl>
    <w:lvl w:ilvl="4" w:tplc="5C64FECC" w:tentative="1">
      <w:start w:val="1"/>
      <w:numFmt w:val="bullet"/>
      <w:lvlText w:val="o"/>
      <w:lvlJc w:val="left"/>
      <w:pPr>
        <w:tabs>
          <w:tab w:val="num" w:pos="3600"/>
        </w:tabs>
        <w:ind w:left="3600" w:hanging="360"/>
      </w:pPr>
      <w:rPr>
        <w:rFonts w:ascii="Courier New" w:hAnsi="Courier New" w:cs="Courier New" w:hint="default"/>
      </w:rPr>
    </w:lvl>
    <w:lvl w:ilvl="5" w:tplc="885C91EC" w:tentative="1">
      <w:start w:val="1"/>
      <w:numFmt w:val="bullet"/>
      <w:lvlText w:val=""/>
      <w:lvlJc w:val="left"/>
      <w:pPr>
        <w:tabs>
          <w:tab w:val="num" w:pos="4320"/>
        </w:tabs>
        <w:ind w:left="4320" w:hanging="360"/>
      </w:pPr>
      <w:rPr>
        <w:rFonts w:ascii="Wingdings" w:hAnsi="Wingdings" w:hint="default"/>
      </w:rPr>
    </w:lvl>
    <w:lvl w:ilvl="6" w:tplc="78444308" w:tentative="1">
      <w:start w:val="1"/>
      <w:numFmt w:val="bullet"/>
      <w:lvlText w:val=""/>
      <w:lvlJc w:val="left"/>
      <w:pPr>
        <w:tabs>
          <w:tab w:val="num" w:pos="5040"/>
        </w:tabs>
        <w:ind w:left="5040" w:hanging="360"/>
      </w:pPr>
      <w:rPr>
        <w:rFonts w:ascii="Symbol" w:hAnsi="Symbol" w:hint="default"/>
      </w:rPr>
    </w:lvl>
    <w:lvl w:ilvl="7" w:tplc="D46E18BE" w:tentative="1">
      <w:start w:val="1"/>
      <w:numFmt w:val="bullet"/>
      <w:lvlText w:val="o"/>
      <w:lvlJc w:val="left"/>
      <w:pPr>
        <w:tabs>
          <w:tab w:val="num" w:pos="5760"/>
        </w:tabs>
        <w:ind w:left="5760" w:hanging="360"/>
      </w:pPr>
      <w:rPr>
        <w:rFonts w:ascii="Courier New" w:hAnsi="Courier New" w:cs="Courier New" w:hint="default"/>
      </w:rPr>
    </w:lvl>
    <w:lvl w:ilvl="8" w:tplc="8EBADF7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2462B0"/>
    <w:multiLevelType w:val="hybridMultilevel"/>
    <w:tmpl w:val="C49A0398"/>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940C9D"/>
    <w:multiLevelType w:val="hybridMultilevel"/>
    <w:tmpl w:val="26F4E356"/>
    <w:lvl w:ilvl="0" w:tplc="1D94FEC6">
      <w:start w:val="1"/>
      <w:numFmt w:val="bullet"/>
      <w:lvlText w:val=""/>
      <w:lvlJc w:val="left"/>
      <w:pPr>
        <w:tabs>
          <w:tab w:val="num" w:pos="720"/>
        </w:tabs>
        <w:ind w:left="720" w:hanging="36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900B08"/>
    <w:multiLevelType w:val="hybridMultilevel"/>
    <w:tmpl w:val="6C6CFD48"/>
    <w:lvl w:ilvl="0" w:tplc="AFB6843E">
      <w:start w:val="1"/>
      <w:numFmt w:val="bullet"/>
      <w:lvlText w:val=""/>
      <w:lvlJc w:val="left"/>
      <w:pPr>
        <w:tabs>
          <w:tab w:val="num" w:pos="720"/>
        </w:tabs>
        <w:ind w:left="720" w:hanging="360"/>
      </w:pPr>
      <w:rPr>
        <w:rFonts w:ascii="Symbol" w:hAnsi="Symbol" w:hint="default"/>
      </w:rPr>
    </w:lvl>
    <w:lvl w:ilvl="1" w:tplc="CE7856EE" w:tentative="1">
      <w:start w:val="1"/>
      <w:numFmt w:val="bullet"/>
      <w:lvlText w:val="o"/>
      <w:lvlJc w:val="left"/>
      <w:pPr>
        <w:tabs>
          <w:tab w:val="num" w:pos="1440"/>
        </w:tabs>
        <w:ind w:left="1440" w:hanging="360"/>
      </w:pPr>
      <w:rPr>
        <w:rFonts w:ascii="Courier New" w:hAnsi="Courier New" w:cs="Courier New" w:hint="default"/>
      </w:rPr>
    </w:lvl>
    <w:lvl w:ilvl="2" w:tplc="75940A24" w:tentative="1">
      <w:start w:val="1"/>
      <w:numFmt w:val="bullet"/>
      <w:lvlText w:val=""/>
      <w:lvlJc w:val="left"/>
      <w:pPr>
        <w:tabs>
          <w:tab w:val="num" w:pos="2160"/>
        </w:tabs>
        <w:ind w:left="2160" w:hanging="360"/>
      </w:pPr>
      <w:rPr>
        <w:rFonts w:ascii="Wingdings" w:hAnsi="Wingdings" w:hint="default"/>
      </w:rPr>
    </w:lvl>
    <w:lvl w:ilvl="3" w:tplc="6E2896FC" w:tentative="1">
      <w:start w:val="1"/>
      <w:numFmt w:val="bullet"/>
      <w:lvlText w:val=""/>
      <w:lvlJc w:val="left"/>
      <w:pPr>
        <w:tabs>
          <w:tab w:val="num" w:pos="2880"/>
        </w:tabs>
        <w:ind w:left="2880" w:hanging="360"/>
      </w:pPr>
      <w:rPr>
        <w:rFonts w:ascii="Symbol" w:hAnsi="Symbol" w:hint="default"/>
      </w:rPr>
    </w:lvl>
    <w:lvl w:ilvl="4" w:tplc="AA56297A" w:tentative="1">
      <w:start w:val="1"/>
      <w:numFmt w:val="bullet"/>
      <w:lvlText w:val="o"/>
      <w:lvlJc w:val="left"/>
      <w:pPr>
        <w:tabs>
          <w:tab w:val="num" w:pos="3600"/>
        </w:tabs>
        <w:ind w:left="3600" w:hanging="360"/>
      </w:pPr>
      <w:rPr>
        <w:rFonts w:ascii="Courier New" w:hAnsi="Courier New" w:cs="Courier New" w:hint="default"/>
      </w:rPr>
    </w:lvl>
    <w:lvl w:ilvl="5" w:tplc="B79EB7D8" w:tentative="1">
      <w:start w:val="1"/>
      <w:numFmt w:val="bullet"/>
      <w:lvlText w:val=""/>
      <w:lvlJc w:val="left"/>
      <w:pPr>
        <w:tabs>
          <w:tab w:val="num" w:pos="4320"/>
        </w:tabs>
        <w:ind w:left="4320" w:hanging="360"/>
      </w:pPr>
      <w:rPr>
        <w:rFonts w:ascii="Wingdings" w:hAnsi="Wingdings" w:hint="default"/>
      </w:rPr>
    </w:lvl>
    <w:lvl w:ilvl="6" w:tplc="4D0E77EC" w:tentative="1">
      <w:start w:val="1"/>
      <w:numFmt w:val="bullet"/>
      <w:lvlText w:val=""/>
      <w:lvlJc w:val="left"/>
      <w:pPr>
        <w:tabs>
          <w:tab w:val="num" w:pos="5040"/>
        </w:tabs>
        <w:ind w:left="5040" w:hanging="360"/>
      </w:pPr>
      <w:rPr>
        <w:rFonts w:ascii="Symbol" w:hAnsi="Symbol" w:hint="default"/>
      </w:rPr>
    </w:lvl>
    <w:lvl w:ilvl="7" w:tplc="182A736C" w:tentative="1">
      <w:start w:val="1"/>
      <w:numFmt w:val="bullet"/>
      <w:lvlText w:val="o"/>
      <w:lvlJc w:val="left"/>
      <w:pPr>
        <w:tabs>
          <w:tab w:val="num" w:pos="5760"/>
        </w:tabs>
        <w:ind w:left="5760" w:hanging="360"/>
      </w:pPr>
      <w:rPr>
        <w:rFonts w:ascii="Courier New" w:hAnsi="Courier New" w:cs="Courier New" w:hint="default"/>
      </w:rPr>
    </w:lvl>
    <w:lvl w:ilvl="8" w:tplc="6EAAEAC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B92D37"/>
    <w:multiLevelType w:val="hybridMultilevel"/>
    <w:tmpl w:val="B376640E"/>
    <w:lvl w:ilvl="0" w:tplc="34783E16">
      <w:start w:val="1"/>
      <w:numFmt w:val="bullet"/>
      <w:lvlText w:val=""/>
      <w:lvlJc w:val="left"/>
      <w:pPr>
        <w:tabs>
          <w:tab w:val="num" w:pos="720"/>
        </w:tabs>
        <w:ind w:left="720" w:hanging="360"/>
      </w:pPr>
      <w:rPr>
        <w:rFonts w:ascii="Symbol" w:hAnsi="Symbol" w:hint="default"/>
      </w:rPr>
    </w:lvl>
    <w:lvl w:ilvl="1" w:tplc="335CBF94" w:tentative="1">
      <w:start w:val="1"/>
      <w:numFmt w:val="bullet"/>
      <w:lvlText w:val="o"/>
      <w:lvlJc w:val="left"/>
      <w:pPr>
        <w:tabs>
          <w:tab w:val="num" w:pos="1440"/>
        </w:tabs>
        <w:ind w:left="1440" w:hanging="360"/>
      </w:pPr>
      <w:rPr>
        <w:rFonts w:ascii="Courier New" w:hAnsi="Courier New" w:cs="Courier New" w:hint="default"/>
      </w:rPr>
    </w:lvl>
    <w:lvl w:ilvl="2" w:tplc="0B529BFA" w:tentative="1">
      <w:start w:val="1"/>
      <w:numFmt w:val="bullet"/>
      <w:lvlText w:val=""/>
      <w:lvlJc w:val="left"/>
      <w:pPr>
        <w:tabs>
          <w:tab w:val="num" w:pos="2160"/>
        </w:tabs>
        <w:ind w:left="2160" w:hanging="360"/>
      </w:pPr>
      <w:rPr>
        <w:rFonts w:ascii="Wingdings" w:hAnsi="Wingdings" w:hint="default"/>
      </w:rPr>
    </w:lvl>
    <w:lvl w:ilvl="3" w:tplc="2EC0DF06" w:tentative="1">
      <w:start w:val="1"/>
      <w:numFmt w:val="bullet"/>
      <w:lvlText w:val=""/>
      <w:lvlJc w:val="left"/>
      <w:pPr>
        <w:tabs>
          <w:tab w:val="num" w:pos="2880"/>
        </w:tabs>
        <w:ind w:left="2880" w:hanging="360"/>
      </w:pPr>
      <w:rPr>
        <w:rFonts w:ascii="Symbol" w:hAnsi="Symbol" w:hint="default"/>
      </w:rPr>
    </w:lvl>
    <w:lvl w:ilvl="4" w:tplc="6406C58C" w:tentative="1">
      <w:start w:val="1"/>
      <w:numFmt w:val="bullet"/>
      <w:lvlText w:val="o"/>
      <w:lvlJc w:val="left"/>
      <w:pPr>
        <w:tabs>
          <w:tab w:val="num" w:pos="3600"/>
        </w:tabs>
        <w:ind w:left="3600" w:hanging="360"/>
      </w:pPr>
      <w:rPr>
        <w:rFonts w:ascii="Courier New" w:hAnsi="Courier New" w:cs="Courier New" w:hint="default"/>
      </w:rPr>
    </w:lvl>
    <w:lvl w:ilvl="5" w:tplc="11821C82" w:tentative="1">
      <w:start w:val="1"/>
      <w:numFmt w:val="bullet"/>
      <w:lvlText w:val=""/>
      <w:lvlJc w:val="left"/>
      <w:pPr>
        <w:tabs>
          <w:tab w:val="num" w:pos="4320"/>
        </w:tabs>
        <w:ind w:left="4320" w:hanging="360"/>
      </w:pPr>
      <w:rPr>
        <w:rFonts w:ascii="Wingdings" w:hAnsi="Wingdings" w:hint="default"/>
      </w:rPr>
    </w:lvl>
    <w:lvl w:ilvl="6" w:tplc="F0DE08D8" w:tentative="1">
      <w:start w:val="1"/>
      <w:numFmt w:val="bullet"/>
      <w:lvlText w:val=""/>
      <w:lvlJc w:val="left"/>
      <w:pPr>
        <w:tabs>
          <w:tab w:val="num" w:pos="5040"/>
        </w:tabs>
        <w:ind w:left="5040" w:hanging="360"/>
      </w:pPr>
      <w:rPr>
        <w:rFonts w:ascii="Symbol" w:hAnsi="Symbol" w:hint="default"/>
      </w:rPr>
    </w:lvl>
    <w:lvl w:ilvl="7" w:tplc="AEF476E0" w:tentative="1">
      <w:start w:val="1"/>
      <w:numFmt w:val="bullet"/>
      <w:lvlText w:val="o"/>
      <w:lvlJc w:val="left"/>
      <w:pPr>
        <w:tabs>
          <w:tab w:val="num" w:pos="5760"/>
        </w:tabs>
        <w:ind w:left="5760" w:hanging="360"/>
      </w:pPr>
      <w:rPr>
        <w:rFonts w:ascii="Courier New" w:hAnsi="Courier New" w:cs="Courier New" w:hint="default"/>
      </w:rPr>
    </w:lvl>
    <w:lvl w:ilvl="8" w:tplc="12885ED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C44000"/>
    <w:multiLevelType w:val="hybridMultilevel"/>
    <w:tmpl w:val="4A90CF5E"/>
    <w:lvl w:ilvl="0" w:tplc="23E440DA">
      <w:start w:val="1"/>
      <w:numFmt w:val="bullet"/>
      <w:pStyle w:val="NotesTextBullet"/>
      <w:lvlText w:val=""/>
      <w:lvlJc w:val="left"/>
      <w:pPr>
        <w:tabs>
          <w:tab w:val="num" w:pos="1008"/>
        </w:tabs>
        <w:ind w:left="1008" w:hanging="288"/>
      </w:pPr>
      <w:rPr>
        <w:rFonts w:ascii="Symbol" w:hAnsi="Symbol" w:hint="default"/>
        <w:sz w:val="18"/>
      </w:rPr>
    </w:lvl>
    <w:lvl w:ilvl="1" w:tplc="7132EB9C">
      <w:start w:val="1"/>
      <w:numFmt w:val="decimal"/>
      <w:lvlText w:val="%2."/>
      <w:lvlJc w:val="left"/>
      <w:pPr>
        <w:tabs>
          <w:tab w:val="num" w:pos="1440"/>
        </w:tabs>
        <w:ind w:left="1440" w:hanging="360"/>
      </w:pPr>
      <w:rPr>
        <w:rFonts w:hint="default"/>
        <w:sz w:val="18"/>
      </w:rPr>
    </w:lvl>
    <w:lvl w:ilvl="2" w:tplc="44E0D6AA" w:tentative="1">
      <w:start w:val="1"/>
      <w:numFmt w:val="bullet"/>
      <w:lvlText w:val=""/>
      <w:lvlJc w:val="left"/>
      <w:pPr>
        <w:tabs>
          <w:tab w:val="num" w:pos="2160"/>
        </w:tabs>
        <w:ind w:left="2160" w:hanging="360"/>
      </w:pPr>
      <w:rPr>
        <w:rFonts w:ascii="Wingdings" w:hAnsi="Wingdings" w:hint="default"/>
      </w:rPr>
    </w:lvl>
    <w:lvl w:ilvl="3" w:tplc="F2DEEF18" w:tentative="1">
      <w:start w:val="1"/>
      <w:numFmt w:val="bullet"/>
      <w:lvlText w:val=""/>
      <w:lvlJc w:val="left"/>
      <w:pPr>
        <w:tabs>
          <w:tab w:val="num" w:pos="2880"/>
        </w:tabs>
        <w:ind w:left="2880" w:hanging="360"/>
      </w:pPr>
      <w:rPr>
        <w:rFonts w:ascii="Symbol" w:hAnsi="Symbol" w:hint="default"/>
      </w:rPr>
    </w:lvl>
    <w:lvl w:ilvl="4" w:tplc="F2D44DE4" w:tentative="1">
      <w:start w:val="1"/>
      <w:numFmt w:val="bullet"/>
      <w:lvlText w:val="o"/>
      <w:lvlJc w:val="left"/>
      <w:pPr>
        <w:tabs>
          <w:tab w:val="num" w:pos="3600"/>
        </w:tabs>
        <w:ind w:left="3600" w:hanging="360"/>
      </w:pPr>
      <w:rPr>
        <w:rFonts w:ascii="Courier New" w:hAnsi="Courier New" w:cs="Courier New" w:hint="default"/>
      </w:rPr>
    </w:lvl>
    <w:lvl w:ilvl="5" w:tplc="797046BA" w:tentative="1">
      <w:start w:val="1"/>
      <w:numFmt w:val="bullet"/>
      <w:lvlText w:val=""/>
      <w:lvlJc w:val="left"/>
      <w:pPr>
        <w:tabs>
          <w:tab w:val="num" w:pos="4320"/>
        </w:tabs>
        <w:ind w:left="4320" w:hanging="360"/>
      </w:pPr>
      <w:rPr>
        <w:rFonts w:ascii="Wingdings" w:hAnsi="Wingdings" w:hint="default"/>
      </w:rPr>
    </w:lvl>
    <w:lvl w:ilvl="6" w:tplc="C1A6B414" w:tentative="1">
      <w:start w:val="1"/>
      <w:numFmt w:val="bullet"/>
      <w:lvlText w:val=""/>
      <w:lvlJc w:val="left"/>
      <w:pPr>
        <w:tabs>
          <w:tab w:val="num" w:pos="5040"/>
        </w:tabs>
        <w:ind w:left="5040" w:hanging="360"/>
      </w:pPr>
      <w:rPr>
        <w:rFonts w:ascii="Symbol" w:hAnsi="Symbol" w:hint="default"/>
      </w:rPr>
    </w:lvl>
    <w:lvl w:ilvl="7" w:tplc="F16201C6" w:tentative="1">
      <w:start w:val="1"/>
      <w:numFmt w:val="bullet"/>
      <w:lvlText w:val="o"/>
      <w:lvlJc w:val="left"/>
      <w:pPr>
        <w:tabs>
          <w:tab w:val="num" w:pos="5760"/>
        </w:tabs>
        <w:ind w:left="5760" w:hanging="360"/>
      </w:pPr>
      <w:rPr>
        <w:rFonts w:ascii="Courier New" w:hAnsi="Courier New" w:cs="Courier New" w:hint="default"/>
      </w:rPr>
    </w:lvl>
    <w:lvl w:ilvl="8" w:tplc="7ECA99D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E70E73"/>
    <w:multiLevelType w:val="hybridMultilevel"/>
    <w:tmpl w:val="092E9928"/>
    <w:lvl w:ilvl="0" w:tplc="FFFFFFFF">
      <w:start w:val="1"/>
      <w:numFmt w:val="bullet"/>
      <w:lvlText w:val=""/>
      <w:lvlJc w:val="left"/>
      <w:pPr>
        <w:tabs>
          <w:tab w:val="num" w:pos="360"/>
        </w:tabs>
        <w:ind w:left="360" w:hanging="36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FAB7504"/>
    <w:multiLevelType w:val="hybridMultilevel"/>
    <w:tmpl w:val="DD2ED67C"/>
    <w:lvl w:ilvl="0" w:tplc="FE1C26EE">
      <w:start w:val="1"/>
      <w:numFmt w:val="decimalZero"/>
      <w:pStyle w:val="Substep02"/>
      <w:lvlText w:val="2.%1"/>
      <w:lvlJc w:val="right"/>
      <w:pPr>
        <w:tabs>
          <w:tab w:val="num" w:pos="810"/>
        </w:tabs>
        <w:ind w:left="810" w:firstLine="0"/>
      </w:pPr>
      <w:rPr>
        <w:rFonts w:ascii="Arial" w:hAnsi="Arial" w:hint="default"/>
        <w:sz w:val="18"/>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0612B51"/>
    <w:multiLevelType w:val="hybridMultilevel"/>
    <w:tmpl w:val="FFA068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15A0E22"/>
    <w:multiLevelType w:val="hybridMultilevel"/>
    <w:tmpl w:val="9D14AB3A"/>
    <w:lvl w:ilvl="0" w:tplc="10BC471A">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77B38DC"/>
    <w:multiLevelType w:val="hybridMultilevel"/>
    <w:tmpl w:val="3C62CE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8637099"/>
    <w:multiLevelType w:val="hybridMultilevel"/>
    <w:tmpl w:val="BB4E307A"/>
    <w:lvl w:ilvl="0" w:tplc="F82A131E">
      <w:start w:val="1"/>
      <w:numFmt w:val="decimalZero"/>
      <w:pStyle w:val="Substep01"/>
      <w:lvlText w:val="2.%1"/>
      <w:lvlJc w:val="right"/>
      <w:pPr>
        <w:ind w:left="1530"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3A6913D7"/>
    <w:multiLevelType w:val="hybridMultilevel"/>
    <w:tmpl w:val="C6183B7C"/>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FD7621F"/>
    <w:multiLevelType w:val="hybridMultilevel"/>
    <w:tmpl w:val="FFA2B75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0418C6"/>
    <w:multiLevelType w:val="hybridMultilevel"/>
    <w:tmpl w:val="2AAEA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216A8F"/>
    <w:multiLevelType w:val="hybridMultilevel"/>
    <w:tmpl w:val="8188D16A"/>
    <w:lvl w:ilvl="0" w:tplc="1D94FEC6">
      <w:start w:val="1"/>
      <w:numFmt w:val="bullet"/>
      <w:pStyle w:val="TableTextBullet1"/>
      <w:lvlText w:val="o"/>
      <w:lvlJc w:val="left"/>
      <w:pPr>
        <w:tabs>
          <w:tab w:val="num" w:pos="576"/>
        </w:tabs>
        <w:ind w:left="576" w:hanging="288"/>
      </w:pPr>
      <w:rPr>
        <w:rFonts w:ascii="Symbol" w:hAnsi="Symbol" w:hint="default"/>
        <w:sz w:val="18"/>
        <w:szCs w:val="1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0EC6F8A"/>
    <w:multiLevelType w:val="hybridMultilevel"/>
    <w:tmpl w:val="8572E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EE31A7"/>
    <w:multiLevelType w:val="hybridMultilevel"/>
    <w:tmpl w:val="78F60CBA"/>
    <w:lvl w:ilvl="0" w:tplc="1D94FEC6">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5" w15:restartNumberingAfterBreak="0">
    <w:nsid w:val="45533453"/>
    <w:multiLevelType w:val="hybridMultilevel"/>
    <w:tmpl w:val="6D7001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46DB09A8"/>
    <w:multiLevelType w:val="hybridMultilevel"/>
    <w:tmpl w:val="8B362C16"/>
    <w:lvl w:ilvl="0" w:tplc="3D6CBE7E">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37" w15:restartNumberingAfterBreak="0">
    <w:nsid w:val="47636A78"/>
    <w:multiLevelType w:val="hybridMultilevel"/>
    <w:tmpl w:val="B538D6D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48A3515D"/>
    <w:multiLevelType w:val="hybridMultilevel"/>
    <w:tmpl w:val="DA64CAD0"/>
    <w:lvl w:ilvl="0" w:tplc="1658A648">
      <w:start w:val="1"/>
      <w:numFmt w:val="bullet"/>
      <w:lvlText w:val=""/>
      <w:lvlJc w:val="left"/>
      <w:pPr>
        <w:tabs>
          <w:tab w:val="num" w:pos="1440"/>
        </w:tabs>
        <w:ind w:left="1440" w:hanging="360"/>
      </w:pPr>
      <w:rPr>
        <w:rFonts w:ascii="Symbol" w:hAnsi="Symbol" w:hint="default"/>
      </w:rPr>
    </w:lvl>
    <w:lvl w:ilvl="1" w:tplc="B49427D2" w:tentative="1">
      <w:start w:val="1"/>
      <w:numFmt w:val="bullet"/>
      <w:lvlText w:val="o"/>
      <w:lvlJc w:val="left"/>
      <w:pPr>
        <w:tabs>
          <w:tab w:val="num" w:pos="2520"/>
        </w:tabs>
        <w:ind w:left="2520" w:hanging="360"/>
      </w:pPr>
      <w:rPr>
        <w:rFonts w:ascii="Courier New" w:hAnsi="Courier New" w:hint="default"/>
      </w:rPr>
    </w:lvl>
    <w:lvl w:ilvl="2" w:tplc="FD567F5E" w:tentative="1">
      <w:start w:val="1"/>
      <w:numFmt w:val="bullet"/>
      <w:lvlText w:val=""/>
      <w:lvlJc w:val="left"/>
      <w:pPr>
        <w:tabs>
          <w:tab w:val="num" w:pos="3240"/>
        </w:tabs>
        <w:ind w:left="3240" w:hanging="360"/>
      </w:pPr>
      <w:rPr>
        <w:rFonts w:ascii="Wingdings" w:hAnsi="Wingdings" w:hint="default"/>
      </w:rPr>
    </w:lvl>
    <w:lvl w:ilvl="3" w:tplc="9EE2AF06" w:tentative="1">
      <w:start w:val="1"/>
      <w:numFmt w:val="bullet"/>
      <w:lvlText w:val=""/>
      <w:lvlJc w:val="left"/>
      <w:pPr>
        <w:tabs>
          <w:tab w:val="num" w:pos="3960"/>
        </w:tabs>
        <w:ind w:left="3960" w:hanging="360"/>
      </w:pPr>
      <w:rPr>
        <w:rFonts w:ascii="Symbol" w:hAnsi="Symbol" w:hint="default"/>
      </w:rPr>
    </w:lvl>
    <w:lvl w:ilvl="4" w:tplc="EB34BAEE" w:tentative="1">
      <w:start w:val="1"/>
      <w:numFmt w:val="bullet"/>
      <w:lvlText w:val="o"/>
      <w:lvlJc w:val="left"/>
      <w:pPr>
        <w:tabs>
          <w:tab w:val="num" w:pos="4680"/>
        </w:tabs>
        <w:ind w:left="4680" w:hanging="360"/>
      </w:pPr>
      <w:rPr>
        <w:rFonts w:ascii="Courier New" w:hAnsi="Courier New" w:hint="default"/>
      </w:rPr>
    </w:lvl>
    <w:lvl w:ilvl="5" w:tplc="F3ACA352" w:tentative="1">
      <w:start w:val="1"/>
      <w:numFmt w:val="bullet"/>
      <w:lvlText w:val=""/>
      <w:lvlJc w:val="left"/>
      <w:pPr>
        <w:tabs>
          <w:tab w:val="num" w:pos="5400"/>
        </w:tabs>
        <w:ind w:left="5400" w:hanging="360"/>
      </w:pPr>
      <w:rPr>
        <w:rFonts w:ascii="Wingdings" w:hAnsi="Wingdings" w:hint="default"/>
      </w:rPr>
    </w:lvl>
    <w:lvl w:ilvl="6" w:tplc="FCBEB38E" w:tentative="1">
      <w:start w:val="1"/>
      <w:numFmt w:val="bullet"/>
      <w:lvlText w:val=""/>
      <w:lvlJc w:val="left"/>
      <w:pPr>
        <w:tabs>
          <w:tab w:val="num" w:pos="6120"/>
        </w:tabs>
        <w:ind w:left="6120" w:hanging="360"/>
      </w:pPr>
      <w:rPr>
        <w:rFonts w:ascii="Symbol" w:hAnsi="Symbol" w:hint="default"/>
      </w:rPr>
    </w:lvl>
    <w:lvl w:ilvl="7" w:tplc="C07C0BA2" w:tentative="1">
      <w:start w:val="1"/>
      <w:numFmt w:val="bullet"/>
      <w:lvlText w:val="o"/>
      <w:lvlJc w:val="left"/>
      <w:pPr>
        <w:tabs>
          <w:tab w:val="num" w:pos="6840"/>
        </w:tabs>
        <w:ind w:left="6840" w:hanging="360"/>
      </w:pPr>
      <w:rPr>
        <w:rFonts w:ascii="Courier New" w:hAnsi="Courier New" w:hint="default"/>
      </w:rPr>
    </w:lvl>
    <w:lvl w:ilvl="8" w:tplc="B1FC9774" w:tentative="1">
      <w:start w:val="1"/>
      <w:numFmt w:val="bullet"/>
      <w:lvlText w:val=""/>
      <w:lvlJc w:val="left"/>
      <w:pPr>
        <w:tabs>
          <w:tab w:val="num" w:pos="7560"/>
        </w:tabs>
        <w:ind w:left="7560" w:hanging="360"/>
      </w:pPr>
      <w:rPr>
        <w:rFonts w:ascii="Wingdings" w:hAnsi="Wingdings" w:hint="default"/>
      </w:rPr>
    </w:lvl>
  </w:abstractNum>
  <w:abstractNum w:abstractNumId="39" w15:restartNumberingAfterBreak="0">
    <w:nsid w:val="4B844150"/>
    <w:multiLevelType w:val="hybridMultilevel"/>
    <w:tmpl w:val="988A5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41" w15:restartNumberingAfterBreak="0">
    <w:nsid w:val="4C1C219C"/>
    <w:multiLevelType w:val="hybridMultilevel"/>
    <w:tmpl w:val="100AC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D1679D3"/>
    <w:multiLevelType w:val="hybridMultilevel"/>
    <w:tmpl w:val="DD12A84E"/>
    <w:lvl w:ilvl="0" w:tplc="5928C094">
      <w:start w:val="1"/>
      <w:numFmt w:val="bullet"/>
      <w:lvlText w:val=""/>
      <w:lvlJc w:val="left"/>
      <w:pPr>
        <w:tabs>
          <w:tab w:val="num" w:pos="720"/>
        </w:tabs>
        <w:ind w:left="720" w:hanging="360"/>
      </w:pPr>
      <w:rPr>
        <w:rFonts w:ascii="Symbol" w:hAnsi="Symbol" w:hint="default"/>
        <w:color w:val="auto"/>
        <w:sz w:val="18"/>
        <w:szCs w:val="18"/>
      </w:rPr>
    </w:lvl>
    <w:lvl w:ilvl="1" w:tplc="75747766" w:tentative="1">
      <w:start w:val="1"/>
      <w:numFmt w:val="bullet"/>
      <w:lvlText w:val="o"/>
      <w:lvlJc w:val="left"/>
      <w:pPr>
        <w:tabs>
          <w:tab w:val="num" w:pos="1440"/>
        </w:tabs>
        <w:ind w:left="1440" w:hanging="360"/>
      </w:pPr>
      <w:rPr>
        <w:rFonts w:ascii="Courier New" w:hAnsi="Courier New" w:cs="Courier New" w:hint="default"/>
      </w:rPr>
    </w:lvl>
    <w:lvl w:ilvl="2" w:tplc="2786A26E" w:tentative="1">
      <w:start w:val="1"/>
      <w:numFmt w:val="bullet"/>
      <w:lvlText w:val=""/>
      <w:lvlJc w:val="left"/>
      <w:pPr>
        <w:tabs>
          <w:tab w:val="num" w:pos="2160"/>
        </w:tabs>
        <w:ind w:left="2160" w:hanging="360"/>
      </w:pPr>
      <w:rPr>
        <w:rFonts w:ascii="Wingdings" w:hAnsi="Wingdings" w:hint="default"/>
      </w:rPr>
    </w:lvl>
    <w:lvl w:ilvl="3" w:tplc="BDECA0CA" w:tentative="1">
      <w:start w:val="1"/>
      <w:numFmt w:val="bullet"/>
      <w:lvlText w:val=""/>
      <w:lvlJc w:val="left"/>
      <w:pPr>
        <w:tabs>
          <w:tab w:val="num" w:pos="2880"/>
        </w:tabs>
        <w:ind w:left="2880" w:hanging="360"/>
      </w:pPr>
      <w:rPr>
        <w:rFonts w:ascii="Symbol" w:hAnsi="Symbol" w:hint="default"/>
      </w:rPr>
    </w:lvl>
    <w:lvl w:ilvl="4" w:tplc="ECF86A80" w:tentative="1">
      <w:start w:val="1"/>
      <w:numFmt w:val="bullet"/>
      <w:lvlText w:val="o"/>
      <w:lvlJc w:val="left"/>
      <w:pPr>
        <w:tabs>
          <w:tab w:val="num" w:pos="3600"/>
        </w:tabs>
        <w:ind w:left="3600" w:hanging="360"/>
      </w:pPr>
      <w:rPr>
        <w:rFonts w:ascii="Courier New" w:hAnsi="Courier New" w:cs="Courier New" w:hint="default"/>
      </w:rPr>
    </w:lvl>
    <w:lvl w:ilvl="5" w:tplc="0AACC6E2" w:tentative="1">
      <w:start w:val="1"/>
      <w:numFmt w:val="bullet"/>
      <w:lvlText w:val=""/>
      <w:lvlJc w:val="left"/>
      <w:pPr>
        <w:tabs>
          <w:tab w:val="num" w:pos="4320"/>
        </w:tabs>
        <w:ind w:left="4320" w:hanging="360"/>
      </w:pPr>
      <w:rPr>
        <w:rFonts w:ascii="Wingdings" w:hAnsi="Wingdings" w:hint="default"/>
      </w:rPr>
    </w:lvl>
    <w:lvl w:ilvl="6" w:tplc="64DA7556" w:tentative="1">
      <w:start w:val="1"/>
      <w:numFmt w:val="bullet"/>
      <w:lvlText w:val=""/>
      <w:lvlJc w:val="left"/>
      <w:pPr>
        <w:tabs>
          <w:tab w:val="num" w:pos="5040"/>
        </w:tabs>
        <w:ind w:left="5040" w:hanging="360"/>
      </w:pPr>
      <w:rPr>
        <w:rFonts w:ascii="Symbol" w:hAnsi="Symbol" w:hint="default"/>
      </w:rPr>
    </w:lvl>
    <w:lvl w:ilvl="7" w:tplc="FC7CBA9A" w:tentative="1">
      <w:start w:val="1"/>
      <w:numFmt w:val="bullet"/>
      <w:lvlText w:val="o"/>
      <w:lvlJc w:val="left"/>
      <w:pPr>
        <w:tabs>
          <w:tab w:val="num" w:pos="5760"/>
        </w:tabs>
        <w:ind w:left="5760" w:hanging="360"/>
      </w:pPr>
      <w:rPr>
        <w:rFonts w:ascii="Courier New" w:hAnsi="Courier New" w:cs="Courier New" w:hint="default"/>
      </w:rPr>
    </w:lvl>
    <w:lvl w:ilvl="8" w:tplc="492A488C"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0D37508"/>
    <w:multiLevelType w:val="hybridMultilevel"/>
    <w:tmpl w:val="D4F8D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60186C"/>
    <w:multiLevelType w:val="hybridMultilevel"/>
    <w:tmpl w:val="299C9166"/>
    <w:lvl w:ilvl="0" w:tplc="04090001">
      <w:start w:val="1"/>
      <w:numFmt w:val="bullet"/>
      <w:lvlText w:val=""/>
      <w:lvlJc w:val="left"/>
      <w:pPr>
        <w:ind w:left="1496" w:hanging="360"/>
      </w:pPr>
      <w:rPr>
        <w:rFonts w:ascii="Symbol" w:hAnsi="Symbol" w:hint="default"/>
      </w:r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45" w15:restartNumberingAfterBreak="0">
    <w:nsid w:val="53720453"/>
    <w:multiLevelType w:val="hybridMultilevel"/>
    <w:tmpl w:val="4AAC0A16"/>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start w:val="1"/>
      <w:numFmt w:val="bullet"/>
      <w:lvlText w:val=""/>
      <w:lvlJc w:val="left"/>
      <w:pPr>
        <w:tabs>
          <w:tab w:val="num" w:pos="1440"/>
        </w:tabs>
        <w:ind w:left="1440" w:hanging="360"/>
      </w:pPr>
      <w:rPr>
        <w:rFonts w:ascii="Symbol" w:hAnsi="Symbol" w:hint="default"/>
        <w:color w:val="auto"/>
        <w:sz w:val="18"/>
        <w:szCs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3965C2C"/>
    <w:multiLevelType w:val="hybridMultilevel"/>
    <w:tmpl w:val="B6883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65955FC"/>
    <w:multiLevelType w:val="hybridMultilevel"/>
    <w:tmpl w:val="D458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AC20323"/>
    <w:multiLevelType w:val="hybridMultilevel"/>
    <w:tmpl w:val="F5820C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CC24990"/>
    <w:multiLevelType w:val="hybridMultilevel"/>
    <w:tmpl w:val="BF908B00"/>
    <w:lvl w:ilvl="0" w:tplc="1A56B2AA">
      <w:start w:val="1"/>
      <w:numFmt w:val="bullet"/>
      <w:lvlText w:val=""/>
      <w:lvlPicBulletId w:val="3"/>
      <w:lvlJc w:val="left"/>
      <w:pPr>
        <w:tabs>
          <w:tab w:val="num" w:pos="360"/>
        </w:tabs>
        <w:ind w:left="360" w:hanging="360"/>
      </w:pPr>
      <w:rPr>
        <w:rFonts w:ascii="Symbol" w:hAnsi="Symbol" w:hint="default"/>
      </w:rPr>
    </w:lvl>
    <w:lvl w:ilvl="1" w:tplc="BC20A190" w:tentative="1">
      <w:start w:val="1"/>
      <w:numFmt w:val="bullet"/>
      <w:lvlText w:val=""/>
      <w:lvlJc w:val="left"/>
      <w:pPr>
        <w:tabs>
          <w:tab w:val="num" w:pos="1080"/>
        </w:tabs>
        <w:ind w:left="1080" w:hanging="360"/>
      </w:pPr>
      <w:rPr>
        <w:rFonts w:ascii="Symbol" w:hAnsi="Symbol" w:hint="default"/>
      </w:rPr>
    </w:lvl>
    <w:lvl w:ilvl="2" w:tplc="8D0EC2E8" w:tentative="1">
      <w:start w:val="1"/>
      <w:numFmt w:val="bullet"/>
      <w:lvlText w:val=""/>
      <w:lvlJc w:val="left"/>
      <w:pPr>
        <w:tabs>
          <w:tab w:val="num" w:pos="1800"/>
        </w:tabs>
        <w:ind w:left="1800" w:hanging="360"/>
      </w:pPr>
      <w:rPr>
        <w:rFonts w:ascii="Symbol" w:hAnsi="Symbol" w:hint="default"/>
      </w:rPr>
    </w:lvl>
    <w:lvl w:ilvl="3" w:tplc="D5C8D9DC" w:tentative="1">
      <w:start w:val="1"/>
      <w:numFmt w:val="bullet"/>
      <w:lvlText w:val=""/>
      <w:lvlJc w:val="left"/>
      <w:pPr>
        <w:tabs>
          <w:tab w:val="num" w:pos="2520"/>
        </w:tabs>
        <w:ind w:left="2520" w:hanging="360"/>
      </w:pPr>
      <w:rPr>
        <w:rFonts w:ascii="Symbol" w:hAnsi="Symbol" w:hint="default"/>
      </w:rPr>
    </w:lvl>
    <w:lvl w:ilvl="4" w:tplc="6004159C" w:tentative="1">
      <w:start w:val="1"/>
      <w:numFmt w:val="bullet"/>
      <w:lvlText w:val=""/>
      <w:lvlJc w:val="left"/>
      <w:pPr>
        <w:tabs>
          <w:tab w:val="num" w:pos="3240"/>
        </w:tabs>
        <w:ind w:left="3240" w:hanging="360"/>
      </w:pPr>
      <w:rPr>
        <w:rFonts w:ascii="Symbol" w:hAnsi="Symbol" w:hint="default"/>
      </w:rPr>
    </w:lvl>
    <w:lvl w:ilvl="5" w:tplc="74C40AEE" w:tentative="1">
      <w:start w:val="1"/>
      <w:numFmt w:val="bullet"/>
      <w:lvlText w:val=""/>
      <w:lvlJc w:val="left"/>
      <w:pPr>
        <w:tabs>
          <w:tab w:val="num" w:pos="3960"/>
        </w:tabs>
        <w:ind w:left="3960" w:hanging="360"/>
      </w:pPr>
      <w:rPr>
        <w:rFonts w:ascii="Symbol" w:hAnsi="Symbol" w:hint="default"/>
      </w:rPr>
    </w:lvl>
    <w:lvl w:ilvl="6" w:tplc="86E0A0F4" w:tentative="1">
      <w:start w:val="1"/>
      <w:numFmt w:val="bullet"/>
      <w:lvlText w:val=""/>
      <w:lvlJc w:val="left"/>
      <w:pPr>
        <w:tabs>
          <w:tab w:val="num" w:pos="4680"/>
        </w:tabs>
        <w:ind w:left="4680" w:hanging="360"/>
      </w:pPr>
      <w:rPr>
        <w:rFonts w:ascii="Symbol" w:hAnsi="Symbol" w:hint="default"/>
      </w:rPr>
    </w:lvl>
    <w:lvl w:ilvl="7" w:tplc="21143CD8" w:tentative="1">
      <w:start w:val="1"/>
      <w:numFmt w:val="bullet"/>
      <w:lvlText w:val=""/>
      <w:lvlJc w:val="left"/>
      <w:pPr>
        <w:tabs>
          <w:tab w:val="num" w:pos="5400"/>
        </w:tabs>
        <w:ind w:left="5400" w:hanging="360"/>
      </w:pPr>
      <w:rPr>
        <w:rFonts w:ascii="Symbol" w:hAnsi="Symbol" w:hint="default"/>
      </w:rPr>
    </w:lvl>
    <w:lvl w:ilvl="8" w:tplc="ACE8C9AE" w:tentative="1">
      <w:start w:val="1"/>
      <w:numFmt w:val="bullet"/>
      <w:lvlText w:val=""/>
      <w:lvlJc w:val="left"/>
      <w:pPr>
        <w:tabs>
          <w:tab w:val="num" w:pos="6120"/>
        </w:tabs>
        <w:ind w:left="6120" w:hanging="360"/>
      </w:pPr>
      <w:rPr>
        <w:rFonts w:ascii="Symbol" w:hAnsi="Symbol" w:hint="default"/>
      </w:rPr>
    </w:lvl>
  </w:abstractNum>
  <w:abstractNum w:abstractNumId="50" w15:restartNumberingAfterBreak="0">
    <w:nsid w:val="5D677C61"/>
    <w:multiLevelType w:val="hybridMultilevel"/>
    <w:tmpl w:val="217CDB34"/>
    <w:lvl w:ilvl="0" w:tplc="CE88DDD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07B1F08"/>
    <w:multiLevelType w:val="hybridMultilevel"/>
    <w:tmpl w:val="9CCE27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0B6796A"/>
    <w:multiLevelType w:val="hybridMultilevel"/>
    <w:tmpl w:val="A14683B4"/>
    <w:lvl w:ilvl="0" w:tplc="9D5413AE">
      <w:start w:val="1"/>
      <w:numFmt w:val="bullet"/>
      <w:pStyle w:val="ListBullet2"/>
      <w:lvlText w:val="o"/>
      <w:lvlJc w:val="left"/>
      <w:pPr>
        <w:tabs>
          <w:tab w:val="num" w:pos="648"/>
        </w:tabs>
        <w:ind w:left="648" w:firstLine="0"/>
      </w:pPr>
      <w:rPr>
        <w:rFonts w:ascii="Symbol" w:hAnsi="Symbol" w:hint="default"/>
        <w:sz w:val="18"/>
        <w:szCs w:val="18"/>
      </w:rPr>
    </w:lvl>
    <w:lvl w:ilvl="1" w:tplc="4934A276">
      <w:start w:val="1"/>
      <w:numFmt w:val="bullet"/>
      <w:lvlText w:val="o"/>
      <w:lvlJc w:val="left"/>
      <w:pPr>
        <w:tabs>
          <w:tab w:val="num" w:pos="1728"/>
        </w:tabs>
        <w:ind w:left="1728" w:hanging="360"/>
      </w:pPr>
      <w:rPr>
        <w:rFonts w:ascii="Courier New" w:hAnsi="Courier New" w:cs="Courier New" w:hint="default"/>
      </w:rPr>
    </w:lvl>
    <w:lvl w:ilvl="2" w:tplc="F4C49940" w:tentative="1">
      <w:start w:val="1"/>
      <w:numFmt w:val="bullet"/>
      <w:lvlText w:val=""/>
      <w:lvlJc w:val="left"/>
      <w:pPr>
        <w:tabs>
          <w:tab w:val="num" w:pos="2448"/>
        </w:tabs>
        <w:ind w:left="2448" w:hanging="360"/>
      </w:pPr>
      <w:rPr>
        <w:rFonts w:ascii="Wingdings" w:hAnsi="Wingdings" w:hint="default"/>
      </w:rPr>
    </w:lvl>
    <w:lvl w:ilvl="3" w:tplc="9BF0EEEE" w:tentative="1">
      <w:start w:val="1"/>
      <w:numFmt w:val="bullet"/>
      <w:lvlText w:val=""/>
      <w:lvlJc w:val="left"/>
      <w:pPr>
        <w:tabs>
          <w:tab w:val="num" w:pos="3168"/>
        </w:tabs>
        <w:ind w:left="3168" w:hanging="360"/>
      </w:pPr>
      <w:rPr>
        <w:rFonts w:ascii="Symbol" w:hAnsi="Symbol" w:hint="default"/>
      </w:rPr>
    </w:lvl>
    <w:lvl w:ilvl="4" w:tplc="DAB26242" w:tentative="1">
      <w:start w:val="1"/>
      <w:numFmt w:val="bullet"/>
      <w:lvlText w:val="o"/>
      <w:lvlJc w:val="left"/>
      <w:pPr>
        <w:tabs>
          <w:tab w:val="num" w:pos="3888"/>
        </w:tabs>
        <w:ind w:left="3888" w:hanging="360"/>
      </w:pPr>
      <w:rPr>
        <w:rFonts w:ascii="Courier New" w:hAnsi="Courier New" w:cs="Courier New" w:hint="default"/>
      </w:rPr>
    </w:lvl>
    <w:lvl w:ilvl="5" w:tplc="F6220AC8" w:tentative="1">
      <w:start w:val="1"/>
      <w:numFmt w:val="bullet"/>
      <w:lvlText w:val=""/>
      <w:lvlJc w:val="left"/>
      <w:pPr>
        <w:tabs>
          <w:tab w:val="num" w:pos="4608"/>
        </w:tabs>
        <w:ind w:left="4608" w:hanging="360"/>
      </w:pPr>
      <w:rPr>
        <w:rFonts w:ascii="Wingdings" w:hAnsi="Wingdings" w:hint="default"/>
      </w:rPr>
    </w:lvl>
    <w:lvl w:ilvl="6" w:tplc="19AC45C2" w:tentative="1">
      <w:start w:val="1"/>
      <w:numFmt w:val="bullet"/>
      <w:lvlText w:val=""/>
      <w:lvlJc w:val="left"/>
      <w:pPr>
        <w:tabs>
          <w:tab w:val="num" w:pos="5328"/>
        </w:tabs>
        <w:ind w:left="5328" w:hanging="360"/>
      </w:pPr>
      <w:rPr>
        <w:rFonts w:ascii="Symbol" w:hAnsi="Symbol" w:hint="default"/>
      </w:rPr>
    </w:lvl>
    <w:lvl w:ilvl="7" w:tplc="B78ACCBC" w:tentative="1">
      <w:start w:val="1"/>
      <w:numFmt w:val="bullet"/>
      <w:lvlText w:val="o"/>
      <w:lvlJc w:val="left"/>
      <w:pPr>
        <w:tabs>
          <w:tab w:val="num" w:pos="6048"/>
        </w:tabs>
        <w:ind w:left="6048" w:hanging="360"/>
      </w:pPr>
      <w:rPr>
        <w:rFonts w:ascii="Courier New" w:hAnsi="Courier New" w:cs="Courier New" w:hint="default"/>
      </w:rPr>
    </w:lvl>
    <w:lvl w:ilvl="8" w:tplc="BFE680F6" w:tentative="1">
      <w:start w:val="1"/>
      <w:numFmt w:val="bullet"/>
      <w:lvlText w:val=""/>
      <w:lvlJc w:val="left"/>
      <w:pPr>
        <w:tabs>
          <w:tab w:val="num" w:pos="6768"/>
        </w:tabs>
        <w:ind w:left="6768" w:hanging="360"/>
      </w:pPr>
      <w:rPr>
        <w:rFonts w:ascii="Wingdings" w:hAnsi="Wingdings" w:hint="default"/>
      </w:rPr>
    </w:lvl>
  </w:abstractNum>
  <w:abstractNum w:abstractNumId="53" w15:restartNumberingAfterBreak="0">
    <w:nsid w:val="62F059BA"/>
    <w:multiLevelType w:val="multilevel"/>
    <w:tmpl w:val="ED14D64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F8780D"/>
    <w:multiLevelType w:val="hybridMultilevel"/>
    <w:tmpl w:val="024EB8B2"/>
    <w:lvl w:ilvl="0" w:tplc="7A4AF26A">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9678102E">
      <w:start w:val="1"/>
      <w:numFmt w:val="bullet"/>
      <w:lvlText w:val="o"/>
      <w:lvlJc w:val="left"/>
      <w:pPr>
        <w:tabs>
          <w:tab w:val="num" w:pos="1440"/>
        </w:tabs>
        <w:ind w:left="1440" w:hanging="360"/>
      </w:pPr>
      <w:rPr>
        <w:rFonts w:ascii="Courier New" w:hAnsi="Courier New" w:cs="Courier New" w:hint="default"/>
      </w:rPr>
    </w:lvl>
    <w:lvl w:ilvl="2" w:tplc="FE64F57C" w:tentative="1">
      <w:start w:val="1"/>
      <w:numFmt w:val="bullet"/>
      <w:lvlText w:val=""/>
      <w:lvlJc w:val="left"/>
      <w:pPr>
        <w:tabs>
          <w:tab w:val="num" w:pos="2160"/>
        </w:tabs>
        <w:ind w:left="2160" w:hanging="360"/>
      </w:pPr>
      <w:rPr>
        <w:rFonts w:ascii="Wingdings" w:hAnsi="Wingdings" w:hint="default"/>
      </w:rPr>
    </w:lvl>
    <w:lvl w:ilvl="3" w:tplc="45624D4E" w:tentative="1">
      <w:start w:val="1"/>
      <w:numFmt w:val="bullet"/>
      <w:lvlText w:val=""/>
      <w:lvlJc w:val="left"/>
      <w:pPr>
        <w:tabs>
          <w:tab w:val="num" w:pos="2880"/>
        </w:tabs>
        <w:ind w:left="2880" w:hanging="360"/>
      </w:pPr>
      <w:rPr>
        <w:rFonts w:ascii="Symbol" w:hAnsi="Symbol" w:hint="default"/>
      </w:rPr>
    </w:lvl>
    <w:lvl w:ilvl="4" w:tplc="FFA044D0" w:tentative="1">
      <w:start w:val="1"/>
      <w:numFmt w:val="bullet"/>
      <w:lvlText w:val="o"/>
      <w:lvlJc w:val="left"/>
      <w:pPr>
        <w:tabs>
          <w:tab w:val="num" w:pos="3600"/>
        </w:tabs>
        <w:ind w:left="3600" w:hanging="360"/>
      </w:pPr>
      <w:rPr>
        <w:rFonts w:ascii="Courier New" w:hAnsi="Courier New" w:cs="Courier New" w:hint="default"/>
      </w:rPr>
    </w:lvl>
    <w:lvl w:ilvl="5" w:tplc="557CF39A" w:tentative="1">
      <w:start w:val="1"/>
      <w:numFmt w:val="bullet"/>
      <w:lvlText w:val=""/>
      <w:lvlJc w:val="left"/>
      <w:pPr>
        <w:tabs>
          <w:tab w:val="num" w:pos="4320"/>
        </w:tabs>
        <w:ind w:left="4320" w:hanging="360"/>
      </w:pPr>
      <w:rPr>
        <w:rFonts w:ascii="Wingdings" w:hAnsi="Wingdings" w:hint="default"/>
      </w:rPr>
    </w:lvl>
    <w:lvl w:ilvl="6" w:tplc="1EF28D7A" w:tentative="1">
      <w:start w:val="1"/>
      <w:numFmt w:val="bullet"/>
      <w:lvlText w:val=""/>
      <w:lvlJc w:val="left"/>
      <w:pPr>
        <w:tabs>
          <w:tab w:val="num" w:pos="5040"/>
        </w:tabs>
        <w:ind w:left="5040" w:hanging="360"/>
      </w:pPr>
      <w:rPr>
        <w:rFonts w:ascii="Symbol" w:hAnsi="Symbol" w:hint="default"/>
      </w:rPr>
    </w:lvl>
    <w:lvl w:ilvl="7" w:tplc="E47C27E2" w:tentative="1">
      <w:start w:val="1"/>
      <w:numFmt w:val="bullet"/>
      <w:lvlText w:val="o"/>
      <w:lvlJc w:val="left"/>
      <w:pPr>
        <w:tabs>
          <w:tab w:val="num" w:pos="5760"/>
        </w:tabs>
        <w:ind w:left="5760" w:hanging="360"/>
      </w:pPr>
      <w:rPr>
        <w:rFonts w:ascii="Courier New" w:hAnsi="Courier New" w:cs="Courier New" w:hint="default"/>
      </w:rPr>
    </w:lvl>
    <w:lvl w:ilvl="8" w:tplc="5BA8C6BE"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3FC7FED"/>
    <w:multiLevelType w:val="hybridMultilevel"/>
    <w:tmpl w:val="05969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5E67AC4"/>
    <w:multiLevelType w:val="hybridMultilevel"/>
    <w:tmpl w:val="0CB492B6"/>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70E4C09"/>
    <w:multiLevelType w:val="hybridMultilevel"/>
    <w:tmpl w:val="E018ADEA"/>
    <w:lvl w:ilvl="0" w:tplc="04090003">
      <w:start w:val="1"/>
      <w:numFmt w:val="bullet"/>
      <w:lvlText w:val="o"/>
      <w:lvlJc w:val="left"/>
      <w:pPr>
        <w:tabs>
          <w:tab w:val="num" w:pos="1008"/>
        </w:tabs>
        <w:ind w:left="1008" w:hanging="360"/>
      </w:pPr>
      <w:rPr>
        <w:rFonts w:ascii="Courier New" w:hAnsi="Courier New" w:cs="Courier New" w:hint="default"/>
        <w:strike w:val="0"/>
        <w:dstrike w:val="0"/>
        <w:color w:val="auto"/>
        <w:sz w:val="22"/>
        <w:szCs w:val="22"/>
      </w:rPr>
    </w:lvl>
    <w:lvl w:ilvl="1" w:tplc="29C0FDC6">
      <w:start w:val="1"/>
      <w:numFmt w:val="bullet"/>
      <w:lvlText w:val="o"/>
      <w:lvlJc w:val="left"/>
      <w:pPr>
        <w:tabs>
          <w:tab w:val="num" w:pos="1800"/>
        </w:tabs>
        <w:ind w:left="1800" w:hanging="360"/>
      </w:pPr>
      <w:rPr>
        <w:rFonts w:ascii="Courier New" w:hAnsi="Courier New" w:cs="Courier New" w:hint="default"/>
      </w:rPr>
    </w:lvl>
    <w:lvl w:ilvl="2" w:tplc="1D06B920" w:tentative="1">
      <w:start w:val="1"/>
      <w:numFmt w:val="bullet"/>
      <w:lvlText w:val=""/>
      <w:lvlJc w:val="left"/>
      <w:pPr>
        <w:tabs>
          <w:tab w:val="num" w:pos="2520"/>
        </w:tabs>
        <w:ind w:left="2520" w:hanging="360"/>
      </w:pPr>
      <w:rPr>
        <w:rFonts w:ascii="Wingdings" w:hAnsi="Wingdings" w:hint="default"/>
      </w:rPr>
    </w:lvl>
    <w:lvl w:ilvl="3" w:tplc="8ACA0C3C" w:tentative="1">
      <w:start w:val="1"/>
      <w:numFmt w:val="bullet"/>
      <w:lvlText w:val=""/>
      <w:lvlJc w:val="left"/>
      <w:pPr>
        <w:tabs>
          <w:tab w:val="num" w:pos="3240"/>
        </w:tabs>
        <w:ind w:left="3240" w:hanging="360"/>
      </w:pPr>
      <w:rPr>
        <w:rFonts w:ascii="Symbol" w:hAnsi="Symbol" w:hint="default"/>
      </w:rPr>
    </w:lvl>
    <w:lvl w:ilvl="4" w:tplc="CC428646" w:tentative="1">
      <w:start w:val="1"/>
      <w:numFmt w:val="bullet"/>
      <w:lvlText w:val="o"/>
      <w:lvlJc w:val="left"/>
      <w:pPr>
        <w:tabs>
          <w:tab w:val="num" w:pos="3960"/>
        </w:tabs>
        <w:ind w:left="3960" w:hanging="360"/>
      </w:pPr>
      <w:rPr>
        <w:rFonts w:ascii="Courier New" w:hAnsi="Courier New" w:cs="Courier New" w:hint="default"/>
      </w:rPr>
    </w:lvl>
    <w:lvl w:ilvl="5" w:tplc="A61C0152" w:tentative="1">
      <w:start w:val="1"/>
      <w:numFmt w:val="bullet"/>
      <w:lvlText w:val=""/>
      <w:lvlJc w:val="left"/>
      <w:pPr>
        <w:tabs>
          <w:tab w:val="num" w:pos="4680"/>
        </w:tabs>
        <w:ind w:left="4680" w:hanging="360"/>
      </w:pPr>
      <w:rPr>
        <w:rFonts w:ascii="Wingdings" w:hAnsi="Wingdings" w:hint="default"/>
      </w:rPr>
    </w:lvl>
    <w:lvl w:ilvl="6" w:tplc="DDDCF7E6" w:tentative="1">
      <w:start w:val="1"/>
      <w:numFmt w:val="bullet"/>
      <w:lvlText w:val=""/>
      <w:lvlJc w:val="left"/>
      <w:pPr>
        <w:tabs>
          <w:tab w:val="num" w:pos="5400"/>
        </w:tabs>
        <w:ind w:left="5400" w:hanging="360"/>
      </w:pPr>
      <w:rPr>
        <w:rFonts w:ascii="Symbol" w:hAnsi="Symbol" w:hint="default"/>
      </w:rPr>
    </w:lvl>
    <w:lvl w:ilvl="7" w:tplc="CD8E4C8A" w:tentative="1">
      <w:start w:val="1"/>
      <w:numFmt w:val="bullet"/>
      <w:lvlText w:val="o"/>
      <w:lvlJc w:val="left"/>
      <w:pPr>
        <w:tabs>
          <w:tab w:val="num" w:pos="6120"/>
        </w:tabs>
        <w:ind w:left="6120" w:hanging="360"/>
      </w:pPr>
      <w:rPr>
        <w:rFonts w:ascii="Courier New" w:hAnsi="Courier New" w:cs="Courier New" w:hint="default"/>
      </w:rPr>
    </w:lvl>
    <w:lvl w:ilvl="8" w:tplc="B61CE16E"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72A86BD2"/>
    <w:multiLevelType w:val="singleLevel"/>
    <w:tmpl w:val="606ED0A8"/>
    <w:lvl w:ilvl="0">
      <w:start w:val="1"/>
      <w:numFmt w:val="bullet"/>
      <w:lvlText w:val=""/>
      <w:lvlJc w:val="left"/>
      <w:pPr>
        <w:tabs>
          <w:tab w:val="num" w:pos="720"/>
        </w:tabs>
        <w:ind w:left="720" w:hanging="360"/>
      </w:pPr>
      <w:rPr>
        <w:rFonts w:ascii="Symbol" w:hAnsi="Symbol" w:hint="default"/>
        <w:sz w:val="24"/>
      </w:rPr>
    </w:lvl>
  </w:abstractNum>
  <w:abstractNum w:abstractNumId="59"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5C72920"/>
    <w:multiLevelType w:val="hybridMultilevel"/>
    <w:tmpl w:val="E1147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5D36AAB"/>
    <w:multiLevelType w:val="hybridMultilevel"/>
    <w:tmpl w:val="D87E1606"/>
    <w:lvl w:ilvl="0" w:tplc="80FEF9BA">
      <w:start w:val="1"/>
      <w:numFmt w:val="bullet"/>
      <w:lvlText w:val=""/>
      <w:lvlJc w:val="left"/>
      <w:pPr>
        <w:tabs>
          <w:tab w:val="num" w:pos="1440"/>
        </w:tabs>
        <w:ind w:left="1440" w:hanging="360"/>
      </w:pPr>
      <w:rPr>
        <w:rFonts w:ascii="Symbol" w:hAnsi="Symbol" w:hint="default"/>
      </w:rPr>
    </w:lvl>
    <w:lvl w:ilvl="1" w:tplc="E2A43398" w:tentative="1">
      <w:start w:val="1"/>
      <w:numFmt w:val="bullet"/>
      <w:lvlText w:val="o"/>
      <w:lvlJc w:val="left"/>
      <w:pPr>
        <w:tabs>
          <w:tab w:val="num" w:pos="2160"/>
        </w:tabs>
        <w:ind w:left="2160" w:hanging="360"/>
      </w:pPr>
      <w:rPr>
        <w:rFonts w:ascii="Courier New" w:hAnsi="Courier New" w:cs="Courier New" w:hint="default"/>
      </w:rPr>
    </w:lvl>
    <w:lvl w:ilvl="2" w:tplc="B2F87258" w:tentative="1">
      <w:start w:val="1"/>
      <w:numFmt w:val="bullet"/>
      <w:lvlText w:val=""/>
      <w:lvlJc w:val="left"/>
      <w:pPr>
        <w:tabs>
          <w:tab w:val="num" w:pos="2880"/>
        </w:tabs>
        <w:ind w:left="2880" w:hanging="360"/>
      </w:pPr>
      <w:rPr>
        <w:rFonts w:ascii="Wingdings" w:hAnsi="Wingdings" w:hint="default"/>
      </w:rPr>
    </w:lvl>
    <w:lvl w:ilvl="3" w:tplc="116CE0E6" w:tentative="1">
      <w:start w:val="1"/>
      <w:numFmt w:val="bullet"/>
      <w:lvlText w:val=""/>
      <w:lvlJc w:val="left"/>
      <w:pPr>
        <w:tabs>
          <w:tab w:val="num" w:pos="3600"/>
        </w:tabs>
        <w:ind w:left="3600" w:hanging="360"/>
      </w:pPr>
      <w:rPr>
        <w:rFonts w:ascii="Symbol" w:hAnsi="Symbol" w:hint="default"/>
      </w:rPr>
    </w:lvl>
    <w:lvl w:ilvl="4" w:tplc="65782802" w:tentative="1">
      <w:start w:val="1"/>
      <w:numFmt w:val="bullet"/>
      <w:lvlText w:val="o"/>
      <w:lvlJc w:val="left"/>
      <w:pPr>
        <w:tabs>
          <w:tab w:val="num" w:pos="4320"/>
        </w:tabs>
        <w:ind w:left="4320" w:hanging="360"/>
      </w:pPr>
      <w:rPr>
        <w:rFonts w:ascii="Courier New" w:hAnsi="Courier New" w:cs="Courier New" w:hint="default"/>
      </w:rPr>
    </w:lvl>
    <w:lvl w:ilvl="5" w:tplc="4D4E0C78" w:tentative="1">
      <w:start w:val="1"/>
      <w:numFmt w:val="bullet"/>
      <w:lvlText w:val=""/>
      <w:lvlJc w:val="left"/>
      <w:pPr>
        <w:tabs>
          <w:tab w:val="num" w:pos="5040"/>
        </w:tabs>
        <w:ind w:left="5040" w:hanging="360"/>
      </w:pPr>
      <w:rPr>
        <w:rFonts w:ascii="Wingdings" w:hAnsi="Wingdings" w:hint="default"/>
      </w:rPr>
    </w:lvl>
    <w:lvl w:ilvl="6" w:tplc="9F6434EE" w:tentative="1">
      <w:start w:val="1"/>
      <w:numFmt w:val="bullet"/>
      <w:lvlText w:val=""/>
      <w:lvlJc w:val="left"/>
      <w:pPr>
        <w:tabs>
          <w:tab w:val="num" w:pos="5760"/>
        </w:tabs>
        <w:ind w:left="5760" w:hanging="360"/>
      </w:pPr>
      <w:rPr>
        <w:rFonts w:ascii="Symbol" w:hAnsi="Symbol" w:hint="default"/>
      </w:rPr>
    </w:lvl>
    <w:lvl w:ilvl="7" w:tplc="F8B857D2" w:tentative="1">
      <w:start w:val="1"/>
      <w:numFmt w:val="bullet"/>
      <w:lvlText w:val="o"/>
      <w:lvlJc w:val="left"/>
      <w:pPr>
        <w:tabs>
          <w:tab w:val="num" w:pos="6480"/>
        </w:tabs>
        <w:ind w:left="6480" w:hanging="360"/>
      </w:pPr>
      <w:rPr>
        <w:rFonts w:ascii="Courier New" w:hAnsi="Courier New" w:cs="Courier New" w:hint="default"/>
      </w:rPr>
    </w:lvl>
    <w:lvl w:ilvl="8" w:tplc="8836122C" w:tentative="1">
      <w:start w:val="1"/>
      <w:numFmt w:val="bullet"/>
      <w:lvlText w:val=""/>
      <w:lvlJc w:val="left"/>
      <w:pPr>
        <w:tabs>
          <w:tab w:val="num" w:pos="7200"/>
        </w:tabs>
        <w:ind w:left="7200" w:hanging="360"/>
      </w:pPr>
      <w:rPr>
        <w:rFonts w:ascii="Wingdings" w:hAnsi="Wingdings" w:hint="default"/>
      </w:rPr>
    </w:lvl>
  </w:abstractNum>
  <w:abstractNum w:abstractNumId="62" w15:restartNumberingAfterBreak="0">
    <w:nsid w:val="76317C22"/>
    <w:multiLevelType w:val="hybridMultilevel"/>
    <w:tmpl w:val="D5D01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66B3717"/>
    <w:multiLevelType w:val="hybridMultilevel"/>
    <w:tmpl w:val="80187ED8"/>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64" w15:restartNumberingAfterBreak="0">
    <w:nsid w:val="7AAD1F61"/>
    <w:multiLevelType w:val="hybridMultilevel"/>
    <w:tmpl w:val="19449DFA"/>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C022B11"/>
    <w:multiLevelType w:val="hybridMultilevel"/>
    <w:tmpl w:val="B60A4BCE"/>
    <w:lvl w:ilvl="0" w:tplc="FFFFFFFF">
      <w:start w:val="2"/>
      <w:numFmt w:val="bullet"/>
      <w:lvlText w:val=""/>
      <w:lvlJc w:val="left"/>
      <w:pPr>
        <w:tabs>
          <w:tab w:val="num" w:pos="795"/>
        </w:tabs>
        <w:ind w:left="795" w:hanging="405"/>
      </w:pPr>
      <w:rPr>
        <w:rFonts w:ascii="Symbol" w:eastAsia="Times New Roman" w:hAnsi="Symbol" w:cs="Arial" w:hint="default"/>
      </w:rPr>
    </w:lvl>
    <w:lvl w:ilvl="1" w:tplc="04090001">
      <w:start w:val="1"/>
      <w:numFmt w:val="bullet"/>
      <w:lvlText w:val=""/>
      <w:lvlJc w:val="left"/>
      <w:pPr>
        <w:tabs>
          <w:tab w:val="num" w:pos="1440"/>
        </w:tabs>
        <w:ind w:left="1440" w:hanging="360"/>
      </w:pPr>
      <w:rPr>
        <w:rFonts w:ascii="Symbol" w:hAnsi="Symbol"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6" w15:restartNumberingAfterBreak="0">
    <w:nsid w:val="7ECB7E7E"/>
    <w:multiLevelType w:val="hybridMultilevel"/>
    <w:tmpl w:val="EF403034"/>
    <w:lvl w:ilvl="0" w:tplc="851AB840">
      <w:start w:val="1"/>
      <w:numFmt w:val="decimal"/>
      <w:pStyle w:val="ListNumber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4"/>
  </w:num>
  <w:num w:numId="3">
    <w:abstractNumId w:val="22"/>
  </w:num>
  <w:num w:numId="4">
    <w:abstractNumId w:val="36"/>
  </w:num>
  <w:num w:numId="5">
    <w:abstractNumId w:val="26"/>
  </w:num>
  <w:num w:numId="6">
    <w:abstractNumId w:val="32"/>
  </w:num>
  <w:num w:numId="7">
    <w:abstractNumId w:val="59"/>
  </w:num>
  <w:num w:numId="8">
    <w:abstractNumId w:val="52"/>
  </w:num>
  <w:num w:numId="9">
    <w:abstractNumId w:val="34"/>
  </w:num>
  <w:num w:numId="10">
    <w:abstractNumId w:val="19"/>
  </w:num>
  <w:num w:numId="11">
    <w:abstractNumId w:val="0"/>
  </w:num>
  <w:num w:numId="12">
    <w:abstractNumId w:val="1"/>
  </w:num>
  <w:num w:numId="13">
    <w:abstractNumId w:val="53"/>
  </w:num>
  <w:num w:numId="14">
    <w:abstractNumId w:val="37"/>
  </w:num>
  <w:num w:numId="15">
    <w:abstractNumId w:val="54"/>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0"/>
    <w:lvlOverride w:ilvl="0">
      <w:startOverride w:val="1"/>
    </w:lvlOverride>
  </w:num>
  <w:num w:numId="20">
    <w:abstractNumId w:val="10"/>
    <w:lvlOverride w:ilvl="0">
      <w:startOverride w:val="1"/>
    </w:lvlOverride>
  </w:num>
  <w:num w:numId="21">
    <w:abstractNumId w:val="10"/>
    <w:lvlOverride w:ilvl="0">
      <w:startOverride w:val="1"/>
    </w:lvlOverride>
  </w:num>
  <w:num w:numId="22">
    <w:abstractNumId w:val="10"/>
    <w:lvlOverride w:ilvl="0">
      <w:startOverride w:val="1"/>
    </w:lvlOverride>
  </w:num>
  <w:num w:numId="23">
    <w:abstractNumId w:val="10"/>
    <w:lvlOverride w:ilvl="0">
      <w:startOverride w:val="1"/>
    </w:lvlOverride>
  </w:num>
  <w:num w:numId="24">
    <w:abstractNumId w:val="10"/>
    <w:lvlOverride w:ilvl="0">
      <w:startOverride w:val="1"/>
    </w:lvlOverride>
  </w:num>
  <w:num w:numId="25">
    <w:abstractNumId w:val="10"/>
    <w:lvlOverride w:ilvl="0">
      <w:startOverride w:val="1"/>
    </w:lvlOverride>
  </w:num>
  <w:num w:numId="26">
    <w:abstractNumId w:val="10"/>
    <w:lvlOverride w:ilvl="0">
      <w:startOverride w:val="1"/>
    </w:lvlOverride>
  </w:num>
  <w:num w:numId="27">
    <w:abstractNumId w:val="10"/>
    <w:lvlOverride w:ilvl="0">
      <w:startOverride w:val="1"/>
    </w:lvlOverride>
  </w:num>
  <w:num w:numId="28">
    <w:abstractNumId w:val="10"/>
    <w:lvlOverride w:ilvl="0">
      <w:startOverride w:val="1"/>
    </w:lvlOverride>
  </w:num>
  <w:num w:numId="29">
    <w:abstractNumId w:val="10"/>
    <w:lvlOverride w:ilvl="0">
      <w:startOverride w:val="1"/>
    </w:lvlOverride>
  </w:num>
  <w:num w:numId="30">
    <w:abstractNumId w:val="10"/>
    <w:lvlOverride w:ilvl="0">
      <w:startOverride w:val="1"/>
    </w:lvlOverride>
  </w:num>
  <w:num w:numId="31">
    <w:abstractNumId w:val="10"/>
    <w:lvlOverride w:ilvl="0">
      <w:startOverride w:val="1"/>
    </w:lvlOverride>
  </w:num>
  <w:num w:numId="32">
    <w:abstractNumId w:val="10"/>
    <w:lvlOverride w:ilvl="0">
      <w:startOverride w:val="1"/>
    </w:lvlOverride>
  </w:num>
  <w:num w:numId="33">
    <w:abstractNumId w:val="30"/>
  </w:num>
  <w:num w:numId="34">
    <w:abstractNumId w:val="23"/>
  </w:num>
  <w:num w:numId="35">
    <w:abstractNumId w:val="3"/>
  </w:num>
  <w:num w:numId="36">
    <w:abstractNumId w:val="43"/>
  </w:num>
  <w:num w:numId="37">
    <w:abstractNumId w:val="13"/>
  </w:num>
  <w:num w:numId="38">
    <w:abstractNumId w:val="41"/>
  </w:num>
  <w:num w:numId="39">
    <w:abstractNumId w:val="15"/>
  </w:num>
  <w:num w:numId="40">
    <w:abstractNumId w:val="6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num>
  <w:num w:numId="42">
    <w:abstractNumId w:val="36"/>
    <w:lvlOverride w:ilvl="0">
      <w:startOverride w:val="1"/>
    </w:lvlOverride>
  </w:num>
  <w:num w:numId="43">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6"/>
  </w:num>
  <w:num w:numId="45">
    <w:abstractNumId w:val="66"/>
  </w:num>
  <w:num w:numId="46">
    <w:abstractNumId w:val="66"/>
    <w:lvlOverride w:ilvl="0">
      <w:startOverride w:val="1"/>
    </w:lvlOverride>
  </w:num>
  <w:num w:numId="47">
    <w:abstractNumId w:val="44"/>
  </w:num>
  <w:num w:numId="48">
    <w:abstractNumId w:val="58"/>
  </w:num>
  <w:num w:numId="49">
    <w:abstractNumId w:val="14"/>
  </w:num>
  <w:num w:numId="50">
    <w:abstractNumId w:val="28"/>
  </w:num>
  <w:num w:numId="51">
    <w:abstractNumId w:val="2"/>
  </w:num>
  <w:num w:numId="52">
    <w:abstractNumId w:val="36"/>
    <w:lvlOverride w:ilvl="0">
      <w:startOverride w:val="1"/>
    </w:lvlOverride>
  </w:num>
  <w:num w:numId="53">
    <w:abstractNumId w:val="36"/>
    <w:lvlOverride w:ilvl="0">
      <w:startOverride w:val="1"/>
    </w:lvlOverride>
  </w:num>
  <w:num w:numId="54">
    <w:abstractNumId w:val="24"/>
  </w:num>
  <w:num w:numId="55">
    <w:abstractNumId w:val="55"/>
  </w:num>
  <w:num w:numId="56">
    <w:abstractNumId w:val="36"/>
    <w:lvlOverride w:ilvl="0">
      <w:startOverride w:val="1"/>
    </w:lvlOverride>
  </w:num>
  <w:num w:numId="57">
    <w:abstractNumId w:val="31"/>
  </w:num>
  <w:num w:numId="58">
    <w:abstractNumId w:val="20"/>
  </w:num>
  <w:num w:numId="59">
    <w:abstractNumId w:val="29"/>
  </w:num>
  <w:num w:numId="60">
    <w:abstractNumId w:val="61"/>
  </w:num>
  <w:num w:numId="61">
    <w:abstractNumId w:val="21"/>
  </w:num>
  <w:num w:numId="62">
    <w:abstractNumId w:val="51"/>
  </w:num>
  <w:num w:numId="63">
    <w:abstractNumId w:val="64"/>
  </w:num>
  <w:num w:numId="64">
    <w:abstractNumId w:val="56"/>
  </w:num>
  <w:num w:numId="65">
    <w:abstractNumId w:val="45"/>
  </w:num>
  <w:num w:numId="66">
    <w:abstractNumId w:val="18"/>
  </w:num>
  <w:num w:numId="67">
    <w:abstractNumId w:val="7"/>
  </w:num>
  <w:num w:numId="68">
    <w:abstractNumId w:val="12"/>
  </w:num>
  <w:num w:numId="69">
    <w:abstractNumId w:val="17"/>
  </w:num>
  <w:num w:numId="70">
    <w:abstractNumId w:val="42"/>
  </w:num>
  <w:num w:numId="71">
    <w:abstractNumId w:val="39"/>
  </w:num>
  <w:num w:numId="72">
    <w:abstractNumId w:val="38"/>
  </w:num>
  <w:num w:numId="73">
    <w:abstractNumId w:val="6"/>
  </w:num>
  <w:num w:numId="74">
    <w:abstractNumId w:val="47"/>
  </w:num>
  <w:num w:numId="75">
    <w:abstractNumId w:val="35"/>
  </w:num>
  <w:num w:numId="76">
    <w:abstractNumId w:val="57"/>
  </w:num>
  <w:num w:numId="77">
    <w:abstractNumId w:val="16"/>
  </w:num>
  <w:num w:numId="78">
    <w:abstractNumId w:val="11"/>
  </w:num>
  <w:num w:numId="79">
    <w:abstractNumId w:val="33"/>
  </w:num>
  <w:num w:numId="80">
    <w:abstractNumId w:val="36"/>
    <w:lvlOverride w:ilvl="0">
      <w:startOverride w:val="1"/>
    </w:lvlOverride>
  </w:num>
  <w:num w:numId="81">
    <w:abstractNumId w:val="36"/>
    <w:lvlOverride w:ilvl="0">
      <w:startOverride w:val="1"/>
    </w:lvlOverride>
  </w:num>
  <w:num w:numId="82">
    <w:abstractNumId w:val="36"/>
    <w:lvlOverride w:ilvl="0">
      <w:startOverride w:val="1"/>
    </w:lvlOverride>
  </w:num>
  <w:num w:numId="83">
    <w:abstractNumId w:val="25"/>
  </w:num>
  <w:num w:numId="84">
    <w:abstractNumId w:val="1"/>
  </w:num>
  <w:num w:numId="85">
    <w:abstractNumId w:val="1"/>
  </w:num>
  <w:num w:numId="86">
    <w:abstractNumId w:val="49"/>
  </w:num>
  <w:num w:numId="87">
    <w:abstractNumId w:val="59"/>
  </w:num>
  <w:num w:numId="88">
    <w:abstractNumId w:val="50"/>
  </w:num>
  <w:num w:numId="89">
    <w:abstractNumId w:val="10"/>
  </w:num>
  <w:num w:numId="90">
    <w:abstractNumId w:val="60"/>
  </w:num>
  <w:num w:numId="91">
    <w:abstractNumId w:val="62"/>
  </w:num>
  <w:num w:numId="92">
    <w:abstractNumId w:val="9"/>
  </w:num>
  <w:num w:numId="93">
    <w:abstractNumId w:val="8"/>
  </w:num>
  <w:num w:numId="94">
    <w:abstractNumId w:val="27"/>
  </w:num>
  <w:num w:numId="95">
    <w:abstractNumId w:val="36"/>
    <w:lvlOverride w:ilvl="0">
      <w:startOverride w:val="1"/>
    </w:lvlOverride>
  </w:num>
  <w:num w:numId="96">
    <w:abstractNumId w:val="48"/>
  </w:num>
  <w:num w:numId="97">
    <w:abstractNumId w:val="63"/>
  </w:num>
  <w:numIdMacAtCleanup w:val="9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lalock, David (Leidos)">
    <w15:presenceInfo w15:providerId="AD" w15:userId="S::David.Blalock@va.gov::da02e70a-c7e4-43d1-8aa4-c8a076b1a24c"/>
  </w15:person>
  <w15:person w15:author="Muszynski, Thomas (Leidos)">
    <w15:presenceInfo w15:providerId="AD" w15:userId="S::Thomas.Muszynski@va.gov::d165c98f-0811-4db3-ac71-7741d19e53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F5"/>
    <w:rsid w:val="0000095B"/>
    <w:rsid w:val="00000A27"/>
    <w:rsid w:val="00000CF1"/>
    <w:rsid w:val="000013B4"/>
    <w:rsid w:val="000014DD"/>
    <w:rsid w:val="00001639"/>
    <w:rsid w:val="000016CF"/>
    <w:rsid w:val="00001996"/>
    <w:rsid w:val="00002564"/>
    <w:rsid w:val="000026FF"/>
    <w:rsid w:val="0000295A"/>
    <w:rsid w:val="00002A54"/>
    <w:rsid w:val="00002D13"/>
    <w:rsid w:val="00002DA1"/>
    <w:rsid w:val="000037E8"/>
    <w:rsid w:val="00003944"/>
    <w:rsid w:val="00003AD3"/>
    <w:rsid w:val="00003AD8"/>
    <w:rsid w:val="00003B87"/>
    <w:rsid w:val="00003BE9"/>
    <w:rsid w:val="00004139"/>
    <w:rsid w:val="0000455C"/>
    <w:rsid w:val="00004786"/>
    <w:rsid w:val="00004A4C"/>
    <w:rsid w:val="0000544A"/>
    <w:rsid w:val="000054DE"/>
    <w:rsid w:val="00005649"/>
    <w:rsid w:val="00005C14"/>
    <w:rsid w:val="00005EFF"/>
    <w:rsid w:val="0000620B"/>
    <w:rsid w:val="00006808"/>
    <w:rsid w:val="00006995"/>
    <w:rsid w:val="00006D30"/>
    <w:rsid w:val="00006D86"/>
    <w:rsid w:val="000075A9"/>
    <w:rsid w:val="000075AF"/>
    <w:rsid w:val="00007986"/>
    <w:rsid w:val="00007B62"/>
    <w:rsid w:val="00007EFF"/>
    <w:rsid w:val="00007FC3"/>
    <w:rsid w:val="00010613"/>
    <w:rsid w:val="000106E7"/>
    <w:rsid w:val="00010A5B"/>
    <w:rsid w:val="00010B77"/>
    <w:rsid w:val="00010CF8"/>
    <w:rsid w:val="00011036"/>
    <w:rsid w:val="0001187F"/>
    <w:rsid w:val="0001199A"/>
    <w:rsid w:val="00011A43"/>
    <w:rsid w:val="00011FD2"/>
    <w:rsid w:val="00012087"/>
    <w:rsid w:val="000120C4"/>
    <w:rsid w:val="000120CE"/>
    <w:rsid w:val="0001265E"/>
    <w:rsid w:val="00013002"/>
    <w:rsid w:val="00013047"/>
    <w:rsid w:val="0001312C"/>
    <w:rsid w:val="00013932"/>
    <w:rsid w:val="000143B5"/>
    <w:rsid w:val="000144A0"/>
    <w:rsid w:val="000144FD"/>
    <w:rsid w:val="000145FB"/>
    <w:rsid w:val="000148C3"/>
    <w:rsid w:val="00014955"/>
    <w:rsid w:val="00014B34"/>
    <w:rsid w:val="00014BE4"/>
    <w:rsid w:val="00014EFE"/>
    <w:rsid w:val="000150E9"/>
    <w:rsid w:val="00015258"/>
    <w:rsid w:val="0001548D"/>
    <w:rsid w:val="0001556E"/>
    <w:rsid w:val="00015581"/>
    <w:rsid w:val="00015977"/>
    <w:rsid w:val="00015AFD"/>
    <w:rsid w:val="000162F5"/>
    <w:rsid w:val="000166D4"/>
    <w:rsid w:val="0001680D"/>
    <w:rsid w:val="00016901"/>
    <w:rsid w:val="00016C78"/>
    <w:rsid w:val="000178A6"/>
    <w:rsid w:val="00017EC9"/>
    <w:rsid w:val="000200AF"/>
    <w:rsid w:val="0002020B"/>
    <w:rsid w:val="00020721"/>
    <w:rsid w:val="00020B22"/>
    <w:rsid w:val="0002125E"/>
    <w:rsid w:val="00021B72"/>
    <w:rsid w:val="00021CEB"/>
    <w:rsid w:val="00021E64"/>
    <w:rsid w:val="0002207D"/>
    <w:rsid w:val="000221BC"/>
    <w:rsid w:val="000222FC"/>
    <w:rsid w:val="00022B7B"/>
    <w:rsid w:val="0002312A"/>
    <w:rsid w:val="000234FD"/>
    <w:rsid w:val="00023520"/>
    <w:rsid w:val="000237FB"/>
    <w:rsid w:val="00024376"/>
    <w:rsid w:val="00024989"/>
    <w:rsid w:val="00024B9F"/>
    <w:rsid w:val="00025409"/>
    <w:rsid w:val="0002560C"/>
    <w:rsid w:val="0002571B"/>
    <w:rsid w:val="00025A5C"/>
    <w:rsid w:val="00025A95"/>
    <w:rsid w:val="00025A9B"/>
    <w:rsid w:val="00025BD0"/>
    <w:rsid w:val="00025CF7"/>
    <w:rsid w:val="00026099"/>
    <w:rsid w:val="0002675E"/>
    <w:rsid w:val="00026AC5"/>
    <w:rsid w:val="00026F72"/>
    <w:rsid w:val="00026FF3"/>
    <w:rsid w:val="00027368"/>
    <w:rsid w:val="000273C3"/>
    <w:rsid w:val="00027505"/>
    <w:rsid w:val="000275FF"/>
    <w:rsid w:val="00027667"/>
    <w:rsid w:val="00027A1C"/>
    <w:rsid w:val="00027EC0"/>
    <w:rsid w:val="00027ED3"/>
    <w:rsid w:val="00027FF5"/>
    <w:rsid w:val="0003045D"/>
    <w:rsid w:val="000305DD"/>
    <w:rsid w:val="00030B84"/>
    <w:rsid w:val="00030D9B"/>
    <w:rsid w:val="00030E55"/>
    <w:rsid w:val="00031138"/>
    <w:rsid w:val="000314AF"/>
    <w:rsid w:val="0003186D"/>
    <w:rsid w:val="0003186E"/>
    <w:rsid w:val="000318FD"/>
    <w:rsid w:val="000319CE"/>
    <w:rsid w:val="00031E53"/>
    <w:rsid w:val="00032278"/>
    <w:rsid w:val="000325C4"/>
    <w:rsid w:val="00032782"/>
    <w:rsid w:val="000332A7"/>
    <w:rsid w:val="0003355D"/>
    <w:rsid w:val="00033719"/>
    <w:rsid w:val="00033916"/>
    <w:rsid w:val="00033B59"/>
    <w:rsid w:val="00033D17"/>
    <w:rsid w:val="00034390"/>
    <w:rsid w:val="000345A6"/>
    <w:rsid w:val="000349A0"/>
    <w:rsid w:val="00034C09"/>
    <w:rsid w:val="000350E5"/>
    <w:rsid w:val="0003580E"/>
    <w:rsid w:val="0003596C"/>
    <w:rsid w:val="00035A64"/>
    <w:rsid w:val="00035BA7"/>
    <w:rsid w:val="00035CDC"/>
    <w:rsid w:val="00035F16"/>
    <w:rsid w:val="0003608A"/>
    <w:rsid w:val="00036095"/>
    <w:rsid w:val="000360F1"/>
    <w:rsid w:val="00036285"/>
    <w:rsid w:val="000362A2"/>
    <w:rsid w:val="00036449"/>
    <w:rsid w:val="00036C25"/>
    <w:rsid w:val="0003705A"/>
    <w:rsid w:val="000371B2"/>
    <w:rsid w:val="00037976"/>
    <w:rsid w:val="00037A18"/>
    <w:rsid w:val="00037BAD"/>
    <w:rsid w:val="00037C16"/>
    <w:rsid w:val="000404B7"/>
    <w:rsid w:val="000405AD"/>
    <w:rsid w:val="0004065B"/>
    <w:rsid w:val="00040807"/>
    <w:rsid w:val="00040832"/>
    <w:rsid w:val="000409B1"/>
    <w:rsid w:val="00040E28"/>
    <w:rsid w:val="00040E3B"/>
    <w:rsid w:val="000417FC"/>
    <w:rsid w:val="00041C69"/>
    <w:rsid w:val="00041E00"/>
    <w:rsid w:val="00041FCF"/>
    <w:rsid w:val="0004202A"/>
    <w:rsid w:val="000428C6"/>
    <w:rsid w:val="00042A07"/>
    <w:rsid w:val="00042A36"/>
    <w:rsid w:val="00042AF9"/>
    <w:rsid w:val="00042B1F"/>
    <w:rsid w:val="0004302A"/>
    <w:rsid w:val="000430E8"/>
    <w:rsid w:val="00043785"/>
    <w:rsid w:val="00044822"/>
    <w:rsid w:val="000448EA"/>
    <w:rsid w:val="0004496F"/>
    <w:rsid w:val="00045009"/>
    <w:rsid w:val="0004514D"/>
    <w:rsid w:val="0004545F"/>
    <w:rsid w:val="0004558D"/>
    <w:rsid w:val="00045736"/>
    <w:rsid w:val="00045762"/>
    <w:rsid w:val="00045CEA"/>
    <w:rsid w:val="00045ED7"/>
    <w:rsid w:val="00046402"/>
    <w:rsid w:val="0004660C"/>
    <w:rsid w:val="0004665B"/>
    <w:rsid w:val="00046907"/>
    <w:rsid w:val="00046C55"/>
    <w:rsid w:val="00046D06"/>
    <w:rsid w:val="00046F4B"/>
    <w:rsid w:val="00047579"/>
    <w:rsid w:val="0004774A"/>
    <w:rsid w:val="00047C2D"/>
    <w:rsid w:val="00047C63"/>
    <w:rsid w:val="000502C3"/>
    <w:rsid w:val="000502D2"/>
    <w:rsid w:val="00050576"/>
    <w:rsid w:val="000507E1"/>
    <w:rsid w:val="000509A8"/>
    <w:rsid w:val="00050BB7"/>
    <w:rsid w:val="000513B1"/>
    <w:rsid w:val="00051554"/>
    <w:rsid w:val="000518ED"/>
    <w:rsid w:val="00051AAE"/>
    <w:rsid w:val="00051E30"/>
    <w:rsid w:val="00052726"/>
    <w:rsid w:val="00052821"/>
    <w:rsid w:val="00052BC6"/>
    <w:rsid w:val="00052C4E"/>
    <w:rsid w:val="000531FE"/>
    <w:rsid w:val="00053349"/>
    <w:rsid w:val="0005347A"/>
    <w:rsid w:val="0005399B"/>
    <w:rsid w:val="000540F1"/>
    <w:rsid w:val="0005419D"/>
    <w:rsid w:val="000545BF"/>
    <w:rsid w:val="000546CB"/>
    <w:rsid w:val="00054FA6"/>
    <w:rsid w:val="00055596"/>
    <w:rsid w:val="000558FF"/>
    <w:rsid w:val="00055B6C"/>
    <w:rsid w:val="00055FD7"/>
    <w:rsid w:val="000565A1"/>
    <w:rsid w:val="000566D6"/>
    <w:rsid w:val="000568BA"/>
    <w:rsid w:val="00056BCC"/>
    <w:rsid w:val="00056CBF"/>
    <w:rsid w:val="000571E4"/>
    <w:rsid w:val="000574B4"/>
    <w:rsid w:val="00057898"/>
    <w:rsid w:val="00057948"/>
    <w:rsid w:val="00057A94"/>
    <w:rsid w:val="00057ADC"/>
    <w:rsid w:val="000603C6"/>
    <w:rsid w:val="000604AA"/>
    <w:rsid w:val="00060964"/>
    <w:rsid w:val="00060DE4"/>
    <w:rsid w:val="00061040"/>
    <w:rsid w:val="0006165B"/>
    <w:rsid w:val="000617B7"/>
    <w:rsid w:val="000618E0"/>
    <w:rsid w:val="00061930"/>
    <w:rsid w:val="00061AEC"/>
    <w:rsid w:val="00061F5B"/>
    <w:rsid w:val="00061FCF"/>
    <w:rsid w:val="00062A58"/>
    <w:rsid w:val="00062D0F"/>
    <w:rsid w:val="00062E99"/>
    <w:rsid w:val="00063114"/>
    <w:rsid w:val="00063AED"/>
    <w:rsid w:val="00063D3D"/>
    <w:rsid w:val="000640BC"/>
    <w:rsid w:val="00064198"/>
    <w:rsid w:val="0006424F"/>
    <w:rsid w:val="00064269"/>
    <w:rsid w:val="0006446E"/>
    <w:rsid w:val="0006459B"/>
    <w:rsid w:val="00064B66"/>
    <w:rsid w:val="00064B9D"/>
    <w:rsid w:val="00064E16"/>
    <w:rsid w:val="00065387"/>
    <w:rsid w:val="00065638"/>
    <w:rsid w:val="00065725"/>
    <w:rsid w:val="00066305"/>
    <w:rsid w:val="000664AE"/>
    <w:rsid w:val="000668C0"/>
    <w:rsid w:val="00066A1D"/>
    <w:rsid w:val="00066B1B"/>
    <w:rsid w:val="00066BE2"/>
    <w:rsid w:val="0006709D"/>
    <w:rsid w:val="0006735F"/>
    <w:rsid w:val="000673C5"/>
    <w:rsid w:val="00067592"/>
    <w:rsid w:val="00067A9E"/>
    <w:rsid w:val="00067C65"/>
    <w:rsid w:val="000700FB"/>
    <w:rsid w:val="00070C25"/>
    <w:rsid w:val="00070C5D"/>
    <w:rsid w:val="00070CCC"/>
    <w:rsid w:val="00070D1C"/>
    <w:rsid w:val="00071143"/>
    <w:rsid w:val="0007120F"/>
    <w:rsid w:val="000717C2"/>
    <w:rsid w:val="00071FAF"/>
    <w:rsid w:val="00072131"/>
    <w:rsid w:val="00072167"/>
    <w:rsid w:val="00072475"/>
    <w:rsid w:val="0007268D"/>
    <w:rsid w:val="00073282"/>
    <w:rsid w:val="00073695"/>
    <w:rsid w:val="000738BC"/>
    <w:rsid w:val="00073E80"/>
    <w:rsid w:val="0007426E"/>
    <w:rsid w:val="0007472F"/>
    <w:rsid w:val="000751A2"/>
    <w:rsid w:val="000753FE"/>
    <w:rsid w:val="0007544E"/>
    <w:rsid w:val="00075AA3"/>
    <w:rsid w:val="00075CB7"/>
    <w:rsid w:val="00075D59"/>
    <w:rsid w:val="00076459"/>
    <w:rsid w:val="00076A4A"/>
    <w:rsid w:val="00077037"/>
    <w:rsid w:val="000772BA"/>
    <w:rsid w:val="0007734F"/>
    <w:rsid w:val="0007765F"/>
    <w:rsid w:val="000779C9"/>
    <w:rsid w:val="00080078"/>
    <w:rsid w:val="000809E3"/>
    <w:rsid w:val="00080A13"/>
    <w:rsid w:val="00080BF3"/>
    <w:rsid w:val="00080E52"/>
    <w:rsid w:val="00081385"/>
    <w:rsid w:val="0008169A"/>
    <w:rsid w:val="000826CF"/>
    <w:rsid w:val="0008272B"/>
    <w:rsid w:val="00082F78"/>
    <w:rsid w:val="0008348E"/>
    <w:rsid w:val="00083924"/>
    <w:rsid w:val="00083AC1"/>
    <w:rsid w:val="00083B7D"/>
    <w:rsid w:val="00083F3A"/>
    <w:rsid w:val="000844AF"/>
    <w:rsid w:val="0008457F"/>
    <w:rsid w:val="000848EE"/>
    <w:rsid w:val="00084DB4"/>
    <w:rsid w:val="00084E6B"/>
    <w:rsid w:val="000850E3"/>
    <w:rsid w:val="000856A7"/>
    <w:rsid w:val="00085DCF"/>
    <w:rsid w:val="00086085"/>
    <w:rsid w:val="000860BB"/>
    <w:rsid w:val="000866EE"/>
    <w:rsid w:val="00086F22"/>
    <w:rsid w:val="00086FDE"/>
    <w:rsid w:val="000873D0"/>
    <w:rsid w:val="000876E5"/>
    <w:rsid w:val="0008774E"/>
    <w:rsid w:val="00087860"/>
    <w:rsid w:val="00087BEA"/>
    <w:rsid w:val="00087DA6"/>
    <w:rsid w:val="00087E50"/>
    <w:rsid w:val="00090795"/>
    <w:rsid w:val="00090B68"/>
    <w:rsid w:val="00090B78"/>
    <w:rsid w:val="00091096"/>
    <w:rsid w:val="00091338"/>
    <w:rsid w:val="000913E7"/>
    <w:rsid w:val="0009149D"/>
    <w:rsid w:val="00091792"/>
    <w:rsid w:val="00091DC8"/>
    <w:rsid w:val="000921F1"/>
    <w:rsid w:val="00092254"/>
    <w:rsid w:val="00092276"/>
    <w:rsid w:val="0009235F"/>
    <w:rsid w:val="000925E5"/>
    <w:rsid w:val="0009266F"/>
    <w:rsid w:val="00092A53"/>
    <w:rsid w:val="00092B96"/>
    <w:rsid w:val="00092CFE"/>
    <w:rsid w:val="00092DC9"/>
    <w:rsid w:val="00092F48"/>
    <w:rsid w:val="00093181"/>
    <w:rsid w:val="000937E4"/>
    <w:rsid w:val="0009383F"/>
    <w:rsid w:val="00093E5D"/>
    <w:rsid w:val="0009404D"/>
    <w:rsid w:val="000949C9"/>
    <w:rsid w:val="00094C7D"/>
    <w:rsid w:val="00094D34"/>
    <w:rsid w:val="00095650"/>
    <w:rsid w:val="00095AA1"/>
    <w:rsid w:val="00095BAC"/>
    <w:rsid w:val="00095C5D"/>
    <w:rsid w:val="00095CB3"/>
    <w:rsid w:val="00095D68"/>
    <w:rsid w:val="000961DF"/>
    <w:rsid w:val="0009655B"/>
    <w:rsid w:val="000969E3"/>
    <w:rsid w:val="00096D10"/>
    <w:rsid w:val="00096EDC"/>
    <w:rsid w:val="00096F7A"/>
    <w:rsid w:val="000975BF"/>
    <w:rsid w:val="000977A4"/>
    <w:rsid w:val="00097F10"/>
    <w:rsid w:val="00097FB3"/>
    <w:rsid w:val="000A0354"/>
    <w:rsid w:val="000A04D8"/>
    <w:rsid w:val="000A04E1"/>
    <w:rsid w:val="000A06F5"/>
    <w:rsid w:val="000A0BE8"/>
    <w:rsid w:val="000A0FDE"/>
    <w:rsid w:val="000A10EE"/>
    <w:rsid w:val="000A1199"/>
    <w:rsid w:val="000A126F"/>
    <w:rsid w:val="000A12C5"/>
    <w:rsid w:val="000A15BA"/>
    <w:rsid w:val="000A1A0F"/>
    <w:rsid w:val="000A2260"/>
    <w:rsid w:val="000A23ED"/>
    <w:rsid w:val="000A273B"/>
    <w:rsid w:val="000A29E2"/>
    <w:rsid w:val="000A2E5E"/>
    <w:rsid w:val="000A2FBB"/>
    <w:rsid w:val="000A38A4"/>
    <w:rsid w:val="000A3973"/>
    <w:rsid w:val="000A3D20"/>
    <w:rsid w:val="000A3D88"/>
    <w:rsid w:val="000A4886"/>
    <w:rsid w:val="000A4948"/>
    <w:rsid w:val="000A4A97"/>
    <w:rsid w:val="000A4BAE"/>
    <w:rsid w:val="000A4CE0"/>
    <w:rsid w:val="000A5167"/>
    <w:rsid w:val="000A5281"/>
    <w:rsid w:val="000A5385"/>
    <w:rsid w:val="000A62C9"/>
    <w:rsid w:val="000A6348"/>
    <w:rsid w:val="000A6572"/>
    <w:rsid w:val="000A66AC"/>
    <w:rsid w:val="000A6837"/>
    <w:rsid w:val="000A701E"/>
    <w:rsid w:val="000A70BE"/>
    <w:rsid w:val="000A750D"/>
    <w:rsid w:val="000A7B84"/>
    <w:rsid w:val="000A7EFC"/>
    <w:rsid w:val="000B0115"/>
    <w:rsid w:val="000B0170"/>
    <w:rsid w:val="000B09C8"/>
    <w:rsid w:val="000B0A9D"/>
    <w:rsid w:val="000B0AFD"/>
    <w:rsid w:val="000B10E6"/>
    <w:rsid w:val="000B12DA"/>
    <w:rsid w:val="000B1BA7"/>
    <w:rsid w:val="000B1D08"/>
    <w:rsid w:val="000B284D"/>
    <w:rsid w:val="000B2B9F"/>
    <w:rsid w:val="000B2EB2"/>
    <w:rsid w:val="000B2F76"/>
    <w:rsid w:val="000B3B22"/>
    <w:rsid w:val="000B3C91"/>
    <w:rsid w:val="000B407A"/>
    <w:rsid w:val="000B4589"/>
    <w:rsid w:val="000B4E47"/>
    <w:rsid w:val="000B5252"/>
    <w:rsid w:val="000B56AE"/>
    <w:rsid w:val="000B5827"/>
    <w:rsid w:val="000B5A85"/>
    <w:rsid w:val="000B5EBA"/>
    <w:rsid w:val="000B63EB"/>
    <w:rsid w:val="000B674A"/>
    <w:rsid w:val="000B755C"/>
    <w:rsid w:val="000B78C2"/>
    <w:rsid w:val="000B7930"/>
    <w:rsid w:val="000B7965"/>
    <w:rsid w:val="000B79B3"/>
    <w:rsid w:val="000B7C21"/>
    <w:rsid w:val="000B7DDB"/>
    <w:rsid w:val="000C0082"/>
    <w:rsid w:val="000C010D"/>
    <w:rsid w:val="000C01A8"/>
    <w:rsid w:val="000C0600"/>
    <w:rsid w:val="000C0757"/>
    <w:rsid w:val="000C0766"/>
    <w:rsid w:val="000C156B"/>
    <w:rsid w:val="000C18F8"/>
    <w:rsid w:val="000C1C7E"/>
    <w:rsid w:val="000C1CCE"/>
    <w:rsid w:val="000C206C"/>
    <w:rsid w:val="000C22E7"/>
    <w:rsid w:val="000C2B00"/>
    <w:rsid w:val="000C2D98"/>
    <w:rsid w:val="000C342D"/>
    <w:rsid w:val="000C3495"/>
    <w:rsid w:val="000C3870"/>
    <w:rsid w:val="000C38E7"/>
    <w:rsid w:val="000C3AB4"/>
    <w:rsid w:val="000C3D5C"/>
    <w:rsid w:val="000C426C"/>
    <w:rsid w:val="000C4296"/>
    <w:rsid w:val="000C4324"/>
    <w:rsid w:val="000C4603"/>
    <w:rsid w:val="000C5084"/>
    <w:rsid w:val="000C50E9"/>
    <w:rsid w:val="000C5126"/>
    <w:rsid w:val="000C56A3"/>
    <w:rsid w:val="000C577B"/>
    <w:rsid w:val="000C57EB"/>
    <w:rsid w:val="000C5C2A"/>
    <w:rsid w:val="000C5F71"/>
    <w:rsid w:val="000C6318"/>
    <w:rsid w:val="000C647B"/>
    <w:rsid w:val="000C6A48"/>
    <w:rsid w:val="000C6CEA"/>
    <w:rsid w:val="000C6D24"/>
    <w:rsid w:val="000C6D97"/>
    <w:rsid w:val="000C7684"/>
    <w:rsid w:val="000C7999"/>
    <w:rsid w:val="000C7C69"/>
    <w:rsid w:val="000D0591"/>
    <w:rsid w:val="000D0722"/>
    <w:rsid w:val="000D08F0"/>
    <w:rsid w:val="000D091B"/>
    <w:rsid w:val="000D0CFB"/>
    <w:rsid w:val="000D14B2"/>
    <w:rsid w:val="000D169A"/>
    <w:rsid w:val="000D1D29"/>
    <w:rsid w:val="000D2373"/>
    <w:rsid w:val="000D2C2C"/>
    <w:rsid w:val="000D30B7"/>
    <w:rsid w:val="000D380C"/>
    <w:rsid w:val="000D389B"/>
    <w:rsid w:val="000D3AC3"/>
    <w:rsid w:val="000D3C6E"/>
    <w:rsid w:val="000D3E2E"/>
    <w:rsid w:val="000D3FFE"/>
    <w:rsid w:val="000D4240"/>
    <w:rsid w:val="000D4810"/>
    <w:rsid w:val="000D5534"/>
    <w:rsid w:val="000D5C66"/>
    <w:rsid w:val="000D602C"/>
    <w:rsid w:val="000D609E"/>
    <w:rsid w:val="000D669E"/>
    <w:rsid w:val="000D681E"/>
    <w:rsid w:val="000D69CE"/>
    <w:rsid w:val="000D6A15"/>
    <w:rsid w:val="000D6BFB"/>
    <w:rsid w:val="000D6CA6"/>
    <w:rsid w:val="000D6CFB"/>
    <w:rsid w:val="000D6F9F"/>
    <w:rsid w:val="000D70D6"/>
    <w:rsid w:val="000D75FA"/>
    <w:rsid w:val="000D7828"/>
    <w:rsid w:val="000D79B6"/>
    <w:rsid w:val="000D7B0F"/>
    <w:rsid w:val="000E05CB"/>
    <w:rsid w:val="000E07BD"/>
    <w:rsid w:val="000E07D2"/>
    <w:rsid w:val="000E19EE"/>
    <w:rsid w:val="000E1BFF"/>
    <w:rsid w:val="000E1D69"/>
    <w:rsid w:val="000E2446"/>
    <w:rsid w:val="000E286D"/>
    <w:rsid w:val="000E2D6A"/>
    <w:rsid w:val="000E2F87"/>
    <w:rsid w:val="000E334B"/>
    <w:rsid w:val="000E3E6B"/>
    <w:rsid w:val="000E44DC"/>
    <w:rsid w:val="000E4FC6"/>
    <w:rsid w:val="000E5480"/>
    <w:rsid w:val="000E5481"/>
    <w:rsid w:val="000E54C1"/>
    <w:rsid w:val="000E5904"/>
    <w:rsid w:val="000E59E4"/>
    <w:rsid w:val="000E5D5B"/>
    <w:rsid w:val="000E5D74"/>
    <w:rsid w:val="000E6247"/>
    <w:rsid w:val="000E6280"/>
    <w:rsid w:val="000E64BC"/>
    <w:rsid w:val="000E6500"/>
    <w:rsid w:val="000E6B34"/>
    <w:rsid w:val="000E6B9F"/>
    <w:rsid w:val="000E6E10"/>
    <w:rsid w:val="000E6F32"/>
    <w:rsid w:val="000E7079"/>
    <w:rsid w:val="000E7610"/>
    <w:rsid w:val="000E7760"/>
    <w:rsid w:val="000E7C07"/>
    <w:rsid w:val="000E7CF5"/>
    <w:rsid w:val="000F0115"/>
    <w:rsid w:val="000F0DE8"/>
    <w:rsid w:val="000F12D4"/>
    <w:rsid w:val="000F217B"/>
    <w:rsid w:val="000F2235"/>
    <w:rsid w:val="000F2292"/>
    <w:rsid w:val="000F2646"/>
    <w:rsid w:val="000F29F3"/>
    <w:rsid w:val="000F2E95"/>
    <w:rsid w:val="000F339C"/>
    <w:rsid w:val="000F37DC"/>
    <w:rsid w:val="000F404E"/>
    <w:rsid w:val="000F40B6"/>
    <w:rsid w:val="000F4421"/>
    <w:rsid w:val="000F4B1D"/>
    <w:rsid w:val="000F4CFE"/>
    <w:rsid w:val="000F5236"/>
    <w:rsid w:val="000F54F2"/>
    <w:rsid w:val="000F57D8"/>
    <w:rsid w:val="000F5C7E"/>
    <w:rsid w:val="000F5E1B"/>
    <w:rsid w:val="000F62D6"/>
    <w:rsid w:val="000F697A"/>
    <w:rsid w:val="000F6DC4"/>
    <w:rsid w:val="000F6EEA"/>
    <w:rsid w:val="000F7202"/>
    <w:rsid w:val="000F7A21"/>
    <w:rsid w:val="00100276"/>
    <w:rsid w:val="00100447"/>
    <w:rsid w:val="00100549"/>
    <w:rsid w:val="001005F3"/>
    <w:rsid w:val="00100655"/>
    <w:rsid w:val="00100767"/>
    <w:rsid w:val="00100949"/>
    <w:rsid w:val="00101169"/>
    <w:rsid w:val="001012DA"/>
    <w:rsid w:val="001016A5"/>
    <w:rsid w:val="0010177C"/>
    <w:rsid w:val="001017A2"/>
    <w:rsid w:val="00101C38"/>
    <w:rsid w:val="00101C69"/>
    <w:rsid w:val="00101CFA"/>
    <w:rsid w:val="00101EEF"/>
    <w:rsid w:val="00102607"/>
    <w:rsid w:val="00102700"/>
    <w:rsid w:val="0010275E"/>
    <w:rsid w:val="00102A03"/>
    <w:rsid w:val="00102E3E"/>
    <w:rsid w:val="0010333F"/>
    <w:rsid w:val="0010335E"/>
    <w:rsid w:val="00103E20"/>
    <w:rsid w:val="00104940"/>
    <w:rsid w:val="001051D0"/>
    <w:rsid w:val="00105DF5"/>
    <w:rsid w:val="00105E53"/>
    <w:rsid w:val="001061A4"/>
    <w:rsid w:val="00106476"/>
    <w:rsid w:val="00107232"/>
    <w:rsid w:val="0010751B"/>
    <w:rsid w:val="00107CEB"/>
    <w:rsid w:val="00107EFE"/>
    <w:rsid w:val="0011003A"/>
    <w:rsid w:val="00110B97"/>
    <w:rsid w:val="00111380"/>
    <w:rsid w:val="001116E3"/>
    <w:rsid w:val="00111B5F"/>
    <w:rsid w:val="00111DDA"/>
    <w:rsid w:val="001120F2"/>
    <w:rsid w:val="00112590"/>
    <w:rsid w:val="00112979"/>
    <w:rsid w:val="00112C24"/>
    <w:rsid w:val="001131F9"/>
    <w:rsid w:val="00113274"/>
    <w:rsid w:val="001132DE"/>
    <w:rsid w:val="001137FD"/>
    <w:rsid w:val="00113ABA"/>
    <w:rsid w:val="00113B6A"/>
    <w:rsid w:val="00113E2C"/>
    <w:rsid w:val="0011459B"/>
    <w:rsid w:val="001149DC"/>
    <w:rsid w:val="00114FA8"/>
    <w:rsid w:val="0011500D"/>
    <w:rsid w:val="001150D4"/>
    <w:rsid w:val="00115264"/>
    <w:rsid w:val="0011539C"/>
    <w:rsid w:val="0011594A"/>
    <w:rsid w:val="00115A2A"/>
    <w:rsid w:val="00116118"/>
    <w:rsid w:val="0011624B"/>
    <w:rsid w:val="00116B25"/>
    <w:rsid w:val="00117596"/>
    <w:rsid w:val="0011791A"/>
    <w:rsid w:val="00117986"/>
    <w:rsid w:val="001200B8"/>
    <w:rsid w:val="001201D3"/>
    <w:rsid w:val="00120B78"/>
    <w:rsid w:val="00120C4C"/>
    <w:rsid w:val="00120C66"/>
    <w:rsid w:val="00121110"/>
    <w:rsid w:val="00121161"/>
    <w:rsid w:val="00121179"/>
    <w:rsid w:val="0012140C"/>
    <w:rsid w:val="00121AA6"/>
    <w:rsid w:val="00121ACC"/>
    <w:rsid w:val="00121ADB"/>
    <w:rsid w:val="00121C95"/>
    <w:rsid w:val="00121EB7"/>
    <w:rsid w:val="00122108"/>
    <w:rsid w:val="001221A1"/>
    <w:rsid w:val="0012237C"/>
    <w:rsid w:val="00122549"/>
    <w:rsid w:val="001228C1"/>
    <w:rsid w:val="00122C0A"/>
    <w:rsid w:val="00122C59"/>
    <w:rsid w:val="00122EF8"/>
    <w:rsid w:val="001231A9"/>
    <w:rsid w:val="001233F2"/>
    <w:rsid w:val="0012357E"/>
    <w:rsid w:val="001235FC"/>
    <w:rsid w:val="00123629"/>
    <w:rsid w:val="00123B55"/>
    <w:rsid w:val="00123D20"/>
    <w:rsid w:val="00123ED4"/>
    <w:rsid w:val="00124A3D"/>
    <w:rsid w:val="00124B88"/>
    <w:rsid w:val="00124F98"/>
    <w:rsid w:val="001255DD"/>
    <w:rsid w:val="001257A2"/>
    <w:rsid w:val="0012630F"/>
    <w:rsid w:val="001266F5"/>
    <w:rsid w:val="00126AF8"/>
    <w:rsid w:val="001272CA"/>
    <w:rsid w:val="0012752C"/>
    <w:rsid w:val="001275DD"/>
    <w:rsid w:val="00127783"/>
    <w:rsid w:val="00131240"/>
    <w:rsid w:val="00131485"/>
    <w:rsid w:val="00131503"/>
    <w:rsid w:val="00132178"/>
    <w:rsid w:val="001322C8"/>
    <w:rsid w:val="0013234C"/>
    <w:rsid w:val="00132576"/>
    <w:rsid w:val="00132628"/>
    <w:rsid w:val="00132A2B"/>
    <w:rsid w:val="00132A9A"/>
    <w:rsid w:val="00132F6A"/>
    <w:rsid w:val="00133B5F"/>
    <w:rsid w:val="00133C70"/>
    <w:rsid w:val="00134050"/>
    <w:rsid w:val="0013459E"/>
    <w:rsid w:val="00134DFF"/>
    <w:rsid w:val="00135665"/>
    <w:rsid w:val="00135C07"/>
    <w:rsid w:val="00135D5B"/>
    <w:rsid w:val="00136080"/>
    <w:rsid w:val="00136649"/>
    <w:rsid w:val="0013678B"/>
    <w:rsid w:val="00136C64"/>
    <w:rsid w:val="0013758B"/>
    <w:rsid w:val="00137BAE"/>
    <w:rsid w:val="00137C68"/>
    <w:rsid w:val="001403D9"/>
    <w:rsid w:val="0014066B"/>
    <w:rsid w:val="00140686"/>
    <w:rsid w:val="00140AE8"/>
    <w:rsid w:val="00140BE5"/>
    <w:rsid w:val="00141167"/>
    <w:rsid w:val="00141237"/>
    <w:rsid w:val="0014133A"/>
    <w:rsid w:val="00141448"/>
    <w:rsid w:val="001414E9"/>
    <w:rsid w:val="001416EA"/>
    <w:rsid w:val="00141AB2"/>
    <w:rsid w:val="00141E2B"/>
    <w:rsid w:val="00142675"/>
    <w:rsid w:val="00142837"/>
    <w:rsid w:val="00142B16"/>
    <w:rsid w:val="00142CC6"/>
    <w:rsid w:val="00142D18"/>
    <w:rsid w:val="00143160"/>
    <w:rsid w:val="001431F4"/>
    <w:rsid w:val="0014338C"/>
    <w:rsid w:val="0014357E"/>
    <w:rsid w:val="00144335"/>
    <w:rsid w:val="00144CDF"/>
    <w:rsid w:val="00144F94"/>
    <w:rsid w:val="0014520D"/>
    <w:rsid w:val="0014560E"/>
    <w:rsid w:val="00145AD0"/>
    <w:rsid w:val="00145EEC"/>
    <w:rsid w:val="001467B6"/>
    <w:rsid w:val="00147059"/>
    <w:rsid w:val="0014754D"/>
    <w:rsid w:val="001475F1"/>
    <w:rsid w:val="00147B9F"/>
    <w:rsid w:val="00150254"/>
    <w:rsid w:val="00150930"/>
    <w:rsid w:val="00150D5C"/>
    <w:rsid w:val="00150E0F"/>
    <w:rsid w:val="00151156"/>
    <w:rsid w:val="00151384"/>
    <w:rsid w:val="00151456"/>
    <w:rsid w:val="00151977"/>
    <w:rsid w:val="00151982"/>
    <w:rsid w:val="00151D93"/>
    <w:rsid w:val="0015205A"/>
    <w:rsid w:val="00152357"/>
    <w:rsid w:val="001525AE"/>
    <w:rsid w:val="00152A88"/>
    <w:rsid w:val="00152B83"/>
    <w:rsid w:val="00152E7B"/>
    <w:rsid w:val="001530DF"/>
    <w:rsid w:val="001530EE"/>
    <w:rsid w:val="00153251"/>
    <w:rsid w:val="0015352F"/>
    <w:rsid w:val="001535D0"/>
    <w:rsid w:val="001536FA"/>
    <w:rsid w:val="001537A7"/>
    <w:rsid w:val="001537BB"/>
    <w:rsid w:val="001537F5"/>
    <w:rsid w:val="0015382B"/>
    <w:rsid w:val="00153A27"/>
    <w:rsid w:val="00153AA4"/>
    <w:rsid w:val="00153CC7"/>
    <w:rsid w:val="00154095"/>
    <w:rsid w:val="00154561"/>
    <w:rsid w:val="001545B8"/>
    <w:rsid w:val="00154CBC"/>
    <w:rsid w:val="00155120"/>
    <w:rsid w:val="00155471"/>
    <w:rsid w:val="001556AE"/>
    <w:rsid w:val="00155827"/>
    <w:rsid w:val="00155BBE"/>
    <w:rsid w:val="00155CB2"/>
    <w:rsid w:val="00155D22"/>
    <w:rsid w:val="00155F6F"/>
    <w:rsid w:val="00156247"/>
    <w:rsid w:val="00156636"/>
    <w:rsid w:val="0015667D"/>
    <w:rsid w:val="00156726"/>
    <w:rsid w:val="00156AFA"/>
    <w:rsid w:val="00156D0A"/>
    <w:rsid w:val="00157C43"/>
    <w:rsid w:val="001604D4"/>
    <w:rsid w:val="00160BC7"/>
    <w:rsid w:val="00160D7B"/>
    <w:rsid w:val="00161065"/>
    <w:rsid w:val="00161069"/>
    <w:rsid w:val="001610FE"/>
    <w:rsid w:val="00161247"/>
    <w:rsid w:val="001615A5"/>
    <w:rsid w:val="0016162F"/>
    <w:rsid w:val="00162AEE"/>
    <w:rsid w:val="00162B31"/>
    <w:rsid w:val="001631DF"/>
    <w:rsid w:val="0016334F"/>
    <w:rsid w:val="00163C35"/>
    <w:rsid w:val="00164B44"/>
    <w:rsid w:val="00164C0F"/>
    <w:rsid w:val="001650CB"/>
    <w:rsid w:val="00165119"/>
    <w:rsid w:val="0016517C"/>
    <w:rsid w:val="00165C19"/>
    <w:rsid w:val="00165FF7"/>
    <w:rsid w:val="0016677C"/>
    <w:rsid w:val="00166B86"/>
    <w:rsid w:val="00166C27"/>
    <w:rsid w:val="00166ECE"/>
    <w:rsid w:val="00167101"/>
    <w:rsid w:val="001676C5"/>
    <w:rsid w:val="00167B8B"/>
    <w:rsid w:val="00167CC5"/>
    <w:rsid w:val="00170060"/>
    <w:rsid w:val="00170556"/>
    <w:rsid w:val="001705B2"/>
    <w:rsid w:val="0017088C"/>
    <w:rsid w:val="00170A14"/>
    <w:rsid w:val="00170EEF"/>
    <w:rsid w:val="001710A2"/>
    <w:rsid w:val="001710D5"/>
    <w:rsid w:val="0017153D"/>
    <w:rsid w:val="0017175D"/>
    <w:rsid w:val="00171C51"/>
    <w:rsid w:val="00171D3D"/>
    <w:rsid w:val="001723A8"/>
    <w:rsid w:val="0017266E"/>
    <w:rsid w:val="0017270C"/>
    <w:rsid w:val="00172967"/>
    <w:rsid w:val="00172B07"/>
    <w:rsid w:val="00172C39"/>
    <w:rsid w:val="0017307E"/>
    <w:rsid w:val="001730E0"/>
    <w:rsid w:val="00173187"/>
    <w:rsid w:val="0017341A"/>
    <w:rsid w:val="001737EE"/>
    <w:rsid w:val="0017387F"/>
    <w:rsid w:val="00173A2B"/>
    <w:rsid w:val="00173BDA"/>
    <w:rsid w:val="001740D6"/>
    <w:rsid w:val="001743E6"/>
    <w:rsid w:val="00174514"/>
    <w:rsid w:val="00174A86"/>
    <w:rsid w:val="00174AE3"/>
    <w:rsid w:val="00174BD8"/>
    <w:rsid w:val="00174E42"/>
    <w:rsid w:val="00174F0E"/>
    <w:rsid w:val="0017553F"/>
    <w:rsid w:val="00175FCB"/>
    <w:rsid w:val="0017630B"/>
    <w:rsid w:val="0017641A"/>
    <w:rsid w:val="00176587"/>
    <w:rsid w:val="00176725"/>
    <w:rsid w:val="00176C67"/>
    <w:rsid w:val="00177110"/>
    <w:rsid w:val="00177419"/>
    <w:rsid w:val="00177470"/>
    <w:rsid w:val="001774BD"/>
    <w:rsid w:val="00177E10"/>
    <w:rsid w:val="00177E5C"/>
    <w:rsid w:val="001803E2"/>
    <w:rsid w:val="001809EC"/>
    <w:rsid w:val="00180DD4"/>
    <w:rsid w:val="001816DB"/>
    <w:rsid w:val="00181ECD"/>
    <w:rsid w:val="0018209A"/>
    <w:rsid w:val="00182103"/>
    <w:rsid w:val="0018258A"/>
    <w:rsid w:val="00182B9B"/>
    <w:rsid w:val="00182C38"/>
    <w:rsid w:val="00182D07"/>
    <w:rsid w:val="00183575"/>
    <w:rsid w:val="00183964"/>
    <w:rsid w:val="00183B36"/>
    <w:rsid w:val="00183B56"/>
    <w:rsid w:val="00184325"/>
    <w:rsid w:val="00184401"/>
    <w:rsid w:val="00184A1D"/>
    <w:rsid w:val="00184ABE"/>
    <w:rsid w:val="00184EA4"/>
    <w:rsid w:val="00185119"/>
    <w:rsid w:val="00185D0C"/>
    <w:rsid w:val="00185DBB"/>
    <w:rsid w:val="0018661D"/>
    <w:rsid w:val="0018665E"/>
    <w:rsid w:val="001866C8"/>
    <w:rsid w:val="00186E73"/>
    <w:rsid w:val="00187BDC"/>
    <w:rsid w:val="00187C2A"/>
    <w:rsid w:val="001902A0"/>
    <w:rsid w:val="00190420"/>
    <w:rsid w:val="00190939"/>
    <w:rsid w:val="00190AFA"/>
    <w:rsid w:val="00190BD2"/>
    <w:rsid w:val="00190BEC"/>
    <w:rsid w:val="00190D04"/>
    <w:rsid w:val="001911CF"/>
    <w:rsid w:val="001912FC"/>
    <w:rsid w:val="00191509"/>
    <w:rsid w:val="00191560"/>
    <w:rsid w:val="00191728"/>
    <w:rsid w:val="001917A7"/>
    <w:rsid w:val="00191920"/>
    <w:rsid w:val="00191AFE"/>
    <w:rsid w:val="00191BC6"/>
    <w:rsid w:val="00191CFE"/>
    <w:rsid w:val="00191FE7"/>
    <w:rsid w:val="00192A95"/>
    <w:rsid w:val="00192E38"/>
    <w:rsid w:val="00192F17"/>
    <w:rsid w:val="0019303F"/>
    <w:rsid w:val="00193128"/>
    <w:rsid w:val="001931A6"/>
    <w:rsid w:val="001931D9"/>
    <w:rsid w:val="00193544"/>
    <w:rsid w:val="00193561"/>
    <w:rsid w:val="001938AF"/>
    <w:rsid w:val="001940AE"/>
    <w:rsid w:val="001941CC"/>
    <w:rsid w:val="00194509"/>
    <w:rsid w:val="001947FE"/>
    <w:rsid w:val="00194862"/>
    <w:rsid w:val="00194BD4"/>
    <w:rsid w:val="00194D2F"/>
    <w:rsid w:val="0019510C"/>
    <w:rsid w:val="001952FA"/>
    <w:rsid w:val="00195C16"/>
    <w:rsid w:val="00195D83"/>
    <w:rsid w:val="001970AB"/>
    <w:rsid w:val="001971FE"/>
    <w:rsid w:val="001973DB"/>
    <w:rsid w:val="00197566"/>
    <w:rsid w:val="00197E75"/>
    <w:rsid w:val="001A009A"/>
    <w:rsid w:val="001A044F"/>
    <w:rsid w:val="001A049C"/>
    <w:rsid w:val="001A05C6"/>
    <w:rsid w:val="001A07EC"/>
    <w:rsid w:val="001A0BF6"/>
    <w:rsid w:val="001A1374"/>
    <w:rsid w:val="001A1559"/>
    <w:rsid w:val="001A16B3"/>
    <w:rsid w:val="001A1C71"/>
    <w:rsid w:val="001A1D10"/>
    <w:rsid w:val="001A21EF"/>
    <w:rsid w:val="001A234F"/>
    <w:rsid w:val="001A27D6"/>
    <w:rsid w:val="001A2E7A"/>
    <w:rsid w:val="001A3140"/>
    <w:rsid w:val="001A3179"/>
    <w:rsid w:val="001A3E89"/>
    <w:rsid w:val="001A459B"/>
    <w:rsid w:val="001A49C2"/>
    <w:rsid w:val="001A4C83"/>
    <w:rsid w:val="001A505C"/>
    <w:rsid w:val="001A535D"/>
    <w:rsid w:val="001A53C8"/>
    <w:rsid w:val="001A5555"/>
    <w:rsid w:val="001A5A46"/>
    <w:rsid w:val="001A5EAA"/>
    <w:rsid w:val="001A6891"/>
    <w:rsid w:val="001A6986"/>
    <w:rsid w:val="001A6C60"/>
    <w:rsid w:val="001A72BE"/>
    <w:rsid w:val="001A7C4F"/>
    <w:rsid w:val="001A7E50"/>
    <w:rsid w:val="001B0664"/>
    <w:rsid w:val="001B08E3"/>
    <w:rsid w:val="001B0B0C"/>
    <w:rsid w:val="001B0C97"/>
    <w:rsid w:val="001B0CCD"/>
    <w:rsid w:val="001B0F97"/>
    <w:rsid w:val="001B1422"/>
    <w:rsid w:val="001B15EC"/>
    <w:rsid w:val="001B1D2F"/>
    <w:rsid w:val="001B2013"/>
    <w:rsid w:val="001B2258"/>
    <w:rsid w:val="001B2AED"/>
    <w:rsid w:val="001B2C68"/>
    <w:rsid w:val="001B2CBA"/>
    <w:rsid w:val="001B3283"/>
    <w:rsid w:val="001B3ADD"/>
    <w:rsid w:val="001B3C0E"/>
    <w:rsid w:val="001B40D7"/>
    <w:rsid w:val="001B4207"/>
    <w:rsid w:val="001B4885"/>
    <w:rsid w:val="001B48FE"/>
    <w:rsid w:val="001B4B71"/>
    <w:rsid w:val="001B4B76"/>
    <w:rsid w:val="001B4DFE"/>
    <w:rsid w:val="001B51FE"/>
    <w:rsid w:val="001B52E9"/>
    <w:rsid w:val="001B5600"/>
    <w:rsid w:val="001B5B84"/>
    <w:rsid w:val="001B61AF"/>
    <w:rsid w:val="001B61D3"/>
    <w:rsid w:val="001B63FE"/>
    <w:rsid w:val="001B6D4B"/>
    <w:rsid w:val="001B6D63"/>
    <w:rsid w:val="001B7165"/>
    <w:rsid w:val="001B7883"/>
    <w:rsid w:val="001B7A70"/>
    <w:rsid w:val="001C011A"/>
    <w:rsid w:val="001C0682"/>
    <w:rsid w:val="001C07B3"/>
    <w:rsid w:val="001C08ED"/>
    <w:rsid w:val="001C0D36"/>
    <w:rsid w:val="001C0F6A"/>
    <w:rsid w:val="001C11DB"/>
    <w:rsid w:val="001C1207"/>
    <w:rsid w:val="001C13FD"/>
    <w:rsid w:val="001C156E"/>
    <w:rsid w:val="001C1693"/>
    <w:rsid w:val="001C17DF"/>
    <w:rsid w:val="001C1A57"/>
    <w:rsid w:val="001C2F8E"/>
    <w:rsid w:val="001C317F"/>
    <w:rsid w:val="001C322D"/>
    <w:rsid w:val="001C3305"/>
    <w:rsid w:val="001C3461"/>
    <w:rsid w:val="001C3555"/>
    <w:rsid w:val="001C3823"/>
    <w:rsid w:val="001C39A0"/>
    <w:rsid w:val="001C40A4"/>
    <w:rsid w:val="001C4394"/>
    <w:rsid w:val="001C43BE"/>
    <w:rsid w:val="001C46B0"/>
    <w:rsid w:val="001C498F"/>
    <w:rsid w:val="001C50C2"/>
    <w:rsid w:val="001C59D2"/>
    <w:rsid w:val="001C5CF6"/>
    <w:rsid w:val="001C6432"/>
    <w:rsid w:val="001C651F"/>
    <w:rsid w:val="001C6B1F"/>
    <w:rsid w:val="001C6BDD"/>
    <w:rsid w:val="001C6D3A"/>
    <w:rsid w:val="001C6DF7"/>
    <w:rsid w:val="001C6E3F"/>
    <w:rsid w:val="001C6E63"/>
    <w:rsid w:val="001C6EC9"/>
    <w:rsid w:val="001C6FF1"/>
    <w:rsid w:val="001C73EE"/>
    <w:rsid w:val="001C756B"/>
    <w:rsid w:val="001C7911"/>
    <w:rsid w:val="001D005F"/>
    <w:rsid w:val="001D0217"/>
    <w:rsid w:val="001D0A65"/>
    <w:rsid w:val="001D105E"/>
    <w:rsid w:val="001D107A"/>
    <w:rsid w:val="001D11AD"/>
    <w:rsid w:val="001D1301"/>
    <w:rsid w:val="001D18C3"/>
    <w:rsid w:val="001D19BF"/>
    <w:rsid w:val="001D1C33"/>
    <w:rsid w:val="001D1E93"/>
    <w:rsid w:val="001D2967"/>
    <w:rsid w:val="001D2AE3"/>
    <w:rsid w:val="001D2CA9"/>
    <w:rsid w:val="001D2CDB"/>
    <w:rsid w:val="001D38DE"/>
    <w:rsid w:val="001D3AB2"/>
    <w:rsid w:val="001D3AF6"/>
    <w:rsid w:val="001D3D7A"/>
    <w:rsid w:val="001D400E"/>
    <w:rsid w:val="001D443D"/>
    <w:rsid w:val="001D485D"/>
    <w:rsid w:val="001D48EE"/>
    <w:rsid w:val="001D520F"/>
    <w:rsid w:val="001D555B"/>
    <w:rsid w:val="001D5657"/>
    <w:rsid w:val="001D57AF"/>
    <w:rsid w:val="001D5829"/>
    <w:rsid w:val="001D5D91"/>
    <w:rsid w:val="001D600E"/>
    <w:rsid w:val="001D6217"/>
    <w:rsid w:val="001D6377"/>
    <w:rsid w:val="001D6391"/>
    <w:rsid w:val="001D65B4"/>
    <w:rsid w:val="001D6DF1"/>
    <w:rsid w:val="001D706D"/>
    <w:rsid w:val="001D72C9"/>
    <w:rsid w:val="001D7BF3"/>
    <w:rsid w:val="001D7C3B"/>
    <w:rsid w:val="001E0047"/>
    <w:rsid w:val="001E0347"/>
    <w:rsid w:val="001E0858"/>
    <w:rsid w:val="001E0FBA"/>
    <w:rsid w:val="001E22C4"/>
    <w:rsid w:val="001E26D9"/>
    <w:rsid w:val="001E283B"/>
    <w:rsid w:val="001E2D42"/>
    <w:rsid w:val="001E2DC7"/>
    <w:rsid w:val="001E2E93"/>
    <w:rsid w:val="001E30A0"/>
    <w:rsid w:val="001E365B"/>
    <w:rsid w:val="001E373B"/>
    <w:rsid w:val="001E391F"/>
    <w:rsid w:val="001E396B"/>
    <w:rsid w:val="001E3E16"/>
    <w:rsid w:val="001E3F01"/>
    <w:rsid w:val="001E3F16"/>
    <w:rsid w:val="001E4018"/>
    <w:rsid w:val="001E4417"/>
    <w:rsid w:val="001E467F"/>
    <w:rsid w:val="001E4C3C"/>
    <w:rsid w:val="001E4DCC"/>
    <w:rsid w:val="001E5468"/>
    <w:rsid w:val="001E56DE"/>
    <w:rsid w:val="001E59CE"/>
    <w:rsid w:val="001E5A4B"/>
    <w:rsid w:val="001E5CC3"/>
    <w:rsid w:val="001E5DD6"/>
    <w:rsid w:val="001E63D9"/>
    <w:rsid w:val="001E66F8"/>
    <w:rsid w:val="001E6766"/>
    <w:rsid w:val="001E70A1"/>
    <w:rsid w:val="001E7158"/>
    <w:rsid w:val="001E71B2"/>
    <w:rsid w:val="001E721D"/>
    <w:rsid w:val="001E72A0"/>
    <w:rsid w:val="001E72D4"/>
    <w:rsid w:val="001E7428"/>
    <w:rsid w:val="001E743E"/>
    <w:rsid w:val="001E75C5"/>
    <w:rsid w:val="001E7716"/>
    <w:rsid w:val="001E776B"/>
    <w:rsid w:val="001E7BDC"/>
    <w:rsid w:val="001E7E71"/>
    <w:rsid w:val="001F08A5"/>
    <w:rsid w:val="001F0B1B"/>
    <w:rsid w:val="001F0C1C"/>
    <w:rsid w:val="001F0C54"/>
    <w:rsid w:val="001F1013"/>
    <w:rsid w:val="001F1565"/>
    <w:rsid w:val="001F1739"/>
    <w:rsid w:val="001F1DB9"/>
    <w:rsid w:val="001F1E91"/>
    <w:rsid w:val="001F2000"/>
    <w:rsid w:val="001F21D1"/>
    <w:rsid w:val="001F24A4"/>
    <w:rsid w:val="001F2A3E"/>
    <w:rsid w:val="001F2D31"/>
    <w:rsid w:val="001F303C"/>
    <w:rsid w:val="001F31BB"/>
    <w:rsid w:val="001F33D5"/>
    <w:rsid w:val="001F3AD5"/>
    <w:rsid w:val="001F3C29"/>
    <w:rsid w:val="001F3D46"/>
    <w:rsid w:val="001F4C96"/>
    <w:rsid w:val="001F4F33"/>
    <w:rsid w:val="001F530A"/>
    <w:rsid w:val="001F54B5"/>
    <w:rsid w:val="001F561F"/>
    <w:rsid w:val="001F56CA"/>
    <w:rsid w:val="001F5982"/>
    <w:rsid w:val="001F59E4"/>
    <w:rsid w:val="001F6038"/>
    <w:rsid w:val="001F6288"/>
    <w:rsid w:val="001F65E7"/>
    <w:rsid w:val="001F6746"/>
    <w:rsid w:val="001F67CE"/>
    <w:rsid w:val="001F7017"/>
    <w:rsid w:val="001F716C"/>
    <w:rsid w:val="001F7479"/>
    <w:rsid w:val="001F7C24"/>
    <w:rsid w:val="00200346"/>
    <w:rsid w:val="00200425"/>
    <w:rsid w:val="002007C8"/>
    <w:rsid w:val="00200A93"/>
    <w:rsid w:val="00200B6D"/>
    <w:rsid w:val="00200CB8"/>
    <w:rsid w:val="00201A45"/>
    <w:rsid w:val="00201E35"/>
    <w:rsid w:val="00202406"/>
    <w:rsid w:val="002027D9"/>
    <w:rsid w:val="00202A1E"/>
    <w:rsid w:val="00202ACF"/>
    <w:rsid w:val="00202B10"/>
    <w:rsid w:val="00202EA9"/>
    <w:rsid w:val="00202F37"/>
    <w:rsid w:val="002032E5"/>
    <w:rsid w:val="00203597"/>
    <w:rsid w:val="00203682"/>
    <w:rsid w:val="002036D0"/>
    <w:rsid w:val="00203702"/>
    <w:rsid w:val="00203E11"/>
    <w:rsid w:val="00203F78"/>
    <w:rsid w:val="002041DB"/>
    <w:rsid w:val="002042B3"/>
    <w:rsid w:val="00204383"/>
    <w:rsid w:val="002044C1"/>
    <w:rsid w:val="002049B2"/>
    <w:rsid w:val="00204BFB"/>
    <w:rsid w:val="00204E17"/>
    <w:rsid w:val="002054CB"/>
    <w:rsid w:val="0020561E"/>
    <w:rsid w:val="00205693"/>
    <w:rsid w:val="0020636F"/>
    <w:rsid w:val="00206455"/>
    <w:rsid w:val="002064C3"/>
    <w:rsid w:val="0020651B"/>
    <w:rsid w:val="00206945"/>
    <w:rsid w:val="00206A59"/>
    <w:rsid w:val="00207055"/>
    <w:rsid w:val="0020736F"/>
    <w:rsid w:val="00207521"/>
    <w:rsid w:val="0020776C"/>
    <w:rsid w:val="002077BC"/>
    <w:rsid w:val="002077C2"/>
    <w:rsid w:val="002104CB"/>
    <w:rsid w:val="00210588"/>
    <w:rsid w:val="002106D5"/>
    <w:rsid w:val="00210769"/>
    <w:rsid w:val="00210B19"/>
    <w:rsid w:val="00210FF2"/>
    <w:rsid w:val="00211013"/>
    <w:rsid w:val="002111CA"/>
    <w:rsid w:val="0021145C"/>
    <w:rsid w:val="002115C7"/>
    <w:rsid w:val="002117F0"/>
    <w:rsid w:val="002118B0"/>
    <w:rsid w:val="00211DCA"/>
    <w:rsid w:val="00211DDA"/>
    <w:rsid w:val="00212116"/>
    <w:rsid w:val="002121D2"/>
    <w:rsid w:val="00212476"/>
    <w:rsid w:val="00212601"/>
    <w:rsid w:val="002126A9"/>
    <w:rsid w:val="00212C6F"/>
    <w:rsid w:val="00212FC4"/>
    <w:rsid w:val="0021365D"/>
    <w:rsid w:val="00214097"/>
    <w:rsid w:val="002148F4"/>
    <w:rsid w:val="00214959"/>
    <w:rsid w:val="00214B12"/>
    <w:rsid w:val="00215030"/>
    <w:rsid w:val="0021522A"/>
    <w:rsid w:val="0021580D"/>
    <w:rsid w:val="00215931"/>
    <w:rsid w:val="00215AC3"/>
    <w:rsid w:val="00215B6B"/>
    <w:rsid w:val="00215B87"/>
    <w:rsid w:val="00215DFC"/>
    <w:rsid w:val="00216287"/>
    <w:rsid w:val="002168B5"/>
    <w:rsid w:val="0021744C"/>
    <w:rsid w:val="002176A9"/>
    <w:rsid w:val="002200A8"/>
    <w:rsid w:val="0022026D"/>
    <w:rsid w:val="002202D4"/>
    <w:rsid w:val="00220341"/>
    <w:rsid w:val="00220380"/>
    <w:rsid w:val="00220D08"/>
    <w:rsid w:val="00220D0D"/>
    <w:rsid w:val="00220D4C"/>
    <w:rsid w:val="00220E09"/>
    <w:rsid w:val="00220E20"/>
    <w:rsid w:val="002211C7"/>
    <w:rsid w:val="002216F3"/>
    <w:rsid w:val="00221C70"/>
    <w:rsid w:val="00222046"/>
    <w:rsid w:val="00223208"/>
    <w:rsid w:val="00223221"/>
    <w:rsid w:val="002232A3"/>
    <w:rsid w:val="0022364B"/>
    <w:rsid w:val="00223829"/>
    <w:rsid w:val="00223ACC"/>
    <w:rsid w:val="00223B1E"/>
    <w:rsid w:val="00223F21"/>
    <w:rsid w:val="00223F83"/>
    <w:rsid w:val="002240DC"/>
    <w:rsid w:val="002242A0"/>
    <w:rsid w:val="0022447D"/>
    <w:rsid w:val="002244F1"/>
    <w:rsid w:val="002249B4"/>
    <w:rsid w:val="002249FA"/>
    <w:rsid w:val="00224DA1"/>
    <w:rsid w:val="00225093"/>
    <w:rsid w:val="002260EF"/>
    <w:rsid w:val="002261E8"/>
    <w:rsid w:val="00226347"/>
    <w:rsid w:val="0022648D"/>
    <w:rsid w:val="00226B6D"/>
    <w:rsid w:val="002274F1"/>
    <w:rsid w:val="002275D4"/>
    <w:rsid w:val="002276FF"/>
    <w:rsid w:val="002277BE"/>
    <w:rsid w:val="002278AB"/>
    <w:rsid w:val="0022795C"/>
    <w:rsid w:val="00230295"/>
    <w:rsid w:val="00230695"/>
    <w:rsid w:val="00230841"/>
    <w:rsid w:val="0023089C"/>
    <w:rsid w:val="0023089E"/>
    <w:rsid w:val="00231060"/>
    <w:rsid w:val="002316B0"/>
    <w:rsid w:val="002316BA"/>
    <w:rsid w:val="002317C3"/>
    <w:rsid w:val="00231909"/>
    <w:rsid w:val="00231D7D"/>
    <w:rsid w:val="00232203"/>
    <w:rsid w:val="002323FF"/>
    <w:rsid w:val="00232453"/>
    <w:rsid w:val="0023261D"/>
    <w:rsid w:val="002326F7"/>
    <w:rsid w:val="002329E3"/>
    <w:rsid w:val="00232A32"/>
    <w:rsid w:val="00232B58"/>
    <w:rsid w:val="00232BA5"/>
    <w:rsid w:val="00232C7C"/>
    <w:rsid w:val="00232E13"/>
    <w:rsid w:val="00232E43"/>
    <w:rsid w:val="00233049"/>
    <w:rsid w:val="0023368D"/>
    <w:rsid w:val="002338BC"/>
    <w:rsid w:val="00233AE7"/>
    <w:rsid w:val="00233CBB"/>
    <w:rsid w:val="00234222"/>
    <w:rsid w:val="00234375"/>
    <w:rsid w:val="00234C98"/>
    <w:rsid w:val="00234CCA"/>
    <w:rsid w:val="00234D60"/>
    <w:rsid w:val="00234DBC"/>
    <w:rsid w:val="0023512A"/>
    <w:rsid w:val="0023533F"/>
    <w:rsid w:val="00235766"/>
    <w:rsid w:val="00236000"/>
    <w:rsid w:val="002369C9"/>
    <w:rsid w:val="00236F8C"/>
    <w:rsid w:val="002371EC"/>
    <w:rsid w:val="00237C52"/>
    <w:rsid w:val="00237CFD"/>
    <w:rsid w:val="00237FB5"/>
    <w:rsid w:val="0024008D"/>
    <w:rsid w:val="0024096B"/>
    <w:rsid w:val="00240B1B"/>
    <w:rsid w:val="0024117A"/>
    <w:rsid w:val="00241624"/>
    <w:rsid w:val="002418C9"/>
    <w:rsid w:val="00241D23"/>
    <w:rsid w:val="00241E5D"/>
    <w:rsid w:val="0024222C"/>
    <w:rsid w:val="00242388"/>
    <w:rsid w:val="00242CD3"/>
    <w:rsid w:val="00242F6D"/>
    <w:rsid w:val="00243046"/>
    <w:rsid w:val="00243084"/>
    <w:rsid w:val="0024379A"/>
    <w:rsid w:val="002439BB"/>
    <w:rsid w:val="0024416B"/>
    <w:rsid w:val="002444AD"/>
    <w:rsid w:val="002445B8"/>
    <w:rsid w:val="002448F0"/>
    <w:rsid w:val="00244A5B"/>
    <w:rsid w:val="00244AD3"/>
    <w:rsid w:val="00244DDA"/>
    <w:rsid w:val="00244FCD"/>
    <w:rsid w:val="0024511B"/>
    <w:rsid w:val="00245B2C"/>
    <w:rsid w:val="00245D72"/>
    <w:rsid w:val="00246026"/>
    <w:rsid w:val="00246618"/>
    <w:rsid w:val="00246656"/>
    <w:rsid w:val="00246E50"/>
    <w:rsid w:val="00246EC0"/>
    <w:rsid w:val="00246F04"/>
    <w:rsid w:val="002470B4"/>
    <w:rsid w:val="00247207"/>
    <w:rsid w:val="00247208"/>
    <w:rsid w:val="00247663"/>
    <w:rsid w:val="0024791A"/>
    <w:rsid w:val="00250434"/>
    <w:rsid w:val="0025055E"/>
    <w:rsid w:val="002506AC"/>
    <w:rsid w:val="002506F7"/>
    <w:rsid w:val="00250936"/>
    <w:rsid w:val="00250C54"/>
    <w:rsid w:val="00250CF9"/>
    <w:rsid w:val="00250D62"/>
    <w:rsid w:val="00250E0F"/>
    <w:rsid w:val="00250F92"/>
    <w:rsid w:val="002511AB"/>
    <w:rsid w:val="00251330"/>
    <w:rsid w:val="002514CF"/>
    <w:rsid w:val="00251999"/>
    <w:rsid w:val="0025200B"/>
    <w:rsid w:val="0025233A"/>
    <w:rsid w:val="00252B99"/>
    <w:rsid w:val="00252E3E"/>
    <w:rsid w:val="00253B86"/>
    <w:rsid w:val="002546AC"/>
    <w:rsid w:val="002548EA"/>
    <w:rsid w:val="00254E7B"/>
    <w:rsid w:val="00255293"/>
    <w:rsid w:val="002556BE"/>
    <w:rsid w:val="0025598B"/>
    <w:rsid w:val="00256369"/>
    <w:rsid w:val="002566B0"/>
    <w:rsid w:val="002568AE"/>
    <w:rsid w:val="00256A0C"/>
    <w:rsid w:val="00256CC3"/>
    <w:rsid w:val="0026010A"/>
    <w:rsid w:val="0026033F"/>
    <w:rsid w:val="00260BEA"/>
    <w:rsid w:val="00260D14"/>
    <w:rsid w:val="002611BC"/>
    <w:rsid w:val="002615AD"/>
    <w:rsid w:val="00261D97"/>
    <w:rsid w:val="002622E1"/>
    <w:rsid w:val="00262311"/>
    <w:rsid w:val="002623C5"/>
    <w:rsid w:val="002623D0"/>
    <w:rsid w:val="002624D5"/>
    <w:rsid w:val="002624F4"/>
    <w:rsid w:val="00262C32"/>
    <w:rsid w:val="0026301E"/>
    <w:rsid w:val="00263293"/>
    <w:rsid w:val="002639D6"/>
    <w:rsid w:val="00263A9D"/>
    <w:rsid w:val="00263B24"/>
    <w:rsid w:val="00263B38"/>
    <w:rsid w:val="00263DBD"/>
    <w:rsid w:val="00263F21"/>
    <w:rsid w:val="002644DB"/>
    <w:rsid w:val="00264588"/>
    <w:rsid w:val="00264CE8"/>
    <w:rsid w:val="00264D79"/>
    <w:rsid w:val="00264DEB"/>
    <w:rsid w:val="0026628A"/>
    <w:rsid w:val="002662A7"/>
    <w:rsid w:val="0026675C"/>
    <w:rsid w:val="00266A37"/>
    <w:rsid w:val="00266B50"/>
    <w:rsid w:val="00266EAB"/>
    <w:rsid w:val="00267432"/>
    <w:rsid w:val="00267A85"/>
    <w:rsid w:val="00267B4C"/>
    <w:rsid w:val="00270083"/>
    <w:rsid w:val="00270245"/>
    <w:rsid w:val="00270551"/>
    <w:rsid w:val="002705FF"/>
    <w:rsid w:val="00270689"/>
    <w:rsid w:val="00270ABE"/>
    <w:rsid w:val="00270C17"/>
    <w:rsid w:val="00270D6F"/>
    <w:rsid w:val="00271275"/>
    <w:rsid w:val="002713C2"/>
    <w:rsid w:val="00271FB6"/>
    <w:rsid w:val="0027202D"/>
    <w:rsid w:val="00272139"/>
    <w:rsid w:val="0027248B"/>
    <w:rsid w:val="0027287E"/>
    <w:rsid w:val="002728D7"/>
    <w:rsid w:val="002729BB"/>
    <w:rsid w:val="00272A86"/>
    <w:rsid w:val="00272CC5"/>
    <w:rsid w:val="00272D65"/>
    <w:rsid w:val="00272E51"/>
    <w:rsid w:val="002732BB"/>
    <w:rsid w:val="00273602"/>
    <w:rsid w:val="0027394C"/>
    <w:rsid w:val="00273A7F"/>
    <w:rsid w:val="002743C3"/>
    <w:rsid w:val="00274486"/>
    <w:rsid w:val="00274D41"/>
    <w:rsid w:val="002750A1"/>
    <w:rsid w:val="002755DA"/>
    <w:rsid w:val="002758D9"/>
    <w:rsid w:val="002758EA"/>
    <w:rsid w:val="00275D49"/>
    <w:rsid w:val="002761E3"/>
    <w:rsid w:val="00276485"/>
    <w:rsid w:val="00276D5E"/>
    <w:rsid w:val="00276D68"/>
    <w:rsid w:val="00276D7F"/>
    <w:rsid w:val="00276DAA"/>
    <w:rsid w:val="00280310"/>
    <w:rsid w:val="00280A84"/>
    <w:rsid w:val="00280C3F"/>
    <w:rsid w:val="00280CA9"/>
    <w:rsid w:val="00280CC1"/>
    <w:rsid w:val="00280EE5"/>
    <w:rsid w:val="00281172"/>
    <w:rsid w:val="0028137A"/>
    <w:rsid w:val="002813A3"/>
    <w:rsid w:val="00281640"/>
    <w:rsid w:val="00282037"/>
    <w:rsid w:val="00282464"/>
    <w:rsid w:val="0028250A"/>
    <w:rsid w:val="0028263C"/>
    <w:rsid w:val="00282A20"/>
    <w:rsid w:val="0028344B"/>
    <w:rsid w:val="00283637"/>
    <w:rsid w:val="00283731"/>
    <w:rsid w:val="002838D6"/>
    <w:rsid w:val="00283A6A"/>
    <w:rsid w:val="00283DF4"/>
    <w:rsid w:val="00283EB3"/>
    <w:rsid w:val="002841B8"/>
    <w:rsid w:val="002848BD"/>
    <w:rsid w:val="00284D64"/>
    <w:rsid w:val="00284E36"/>
    <w:rsid w:val="002851C8"/>
    <w:rsid w:val="0028547D"/>
    <w:rsid w:val="00285A5D"/>
    <w:rsid w:val="00285D6A"/>
    <w:rsid w:val="00286524"/>
    <w:rsid w:val="002868D4"/>
    <w:rsid w:val="0028759D"/>
    <w:rsid w:val="002875BF"/>
    <w:rsid w:val="00287898"/>
    <w:rsid w:val="00287C4D"/>
    <w:rsid w:val="00287C58"/>
    <w:rsid w:val="002900DC"/>
    <w:rsid w:val="002904E1"/>
    <w:rsid w:val="002909A9"/>
    <w:rsid w:val="00290CD1"/>
    <w:rsid w:val="00290E11"/>
    <w:rsid w:val="00290EF8"/>
    <w:rsid w:val="0029147B"/>
    <w:rsid w:val="0029150B"/>
    <w:rsid w:val="00291592"/>
    <w:rsid w:val="002915A2"/>
    <w:rsid w:val="002915B4"/>
    <w:rsid w:val="00291798"/>
    <w:rsid w:val="00291D67"/>
    <w:rsid w:val="00291DD6"/>
    <w:rsid w:val="00291E60"/>
    <w:rsid w:val="00291F3E"/>
    <w:rsid w:val="00292A7B"/>
    <w:rsid w:val="00292B85"/>
    <w:rsid w:val="00292BA5"/>
    <w:rsid w:val="00292C17"/>
    <w:rsid w:val="00292ED0"/>
    <w:rsid w:val="00292F47"/>
    <w:rsid w:val="002939A8"/>
    <w:rsid w:val="0029430D"/>
    <w:rsid w:val="002944DE"/>
    <w:rsid w:val="0029473B"/>
    <w:rsid w:val="00294C0F"/>
    <w:rsid w:val="00294FD3"/>
    <w:rsid w:val="002956AC"/>
    <w:rsid w:val="00295719"/>
    <w:rsid w:val="002959BC"/>
    <w:rsid w:val="00295AB3"/>
    <w:rsid w:val="00295E4F"/>
    <w:rsid w:val="00295FAE"/>
    <w:rsid w:val="00296054"/>
    <w:rsid w:val="0029663A"/>
    <w:rsid w:val="0029712B"/>
    <w:rsid w:val="002979CF"/>
    <w:rsid w:val="00297ACE"/>
    <w:rsid w:val="00297B57"/>
    <w:rsid w:val="00297B5F"/>
    <w:rsid w:val="00297C8C"/>
    <w:rsid w:val="002A03C9"/>
    <w:rsid w:val="002A09A9"/>
    <w:rsid w:val="002A0E70"/>
    <w:rsid w:val="002A0F47"/>
    <w:rsid w:val="002A11A1"/>
    <w:rsid w:val="002A137C"/>
    <w:rsid w:val="002A14F9"/>
    <w:rsid w:val="002A160A"/>
    <w:rsid w:val="002A1659"/>
    <w:rsid w:val="002A1669"/>
    <w:rsid w:val="002A1A3A"/>
    <w:rsid w:val="002A21AE"/>
    <w:rsid w:val="002A249F"/>
    <w:rsid w:val="002A27A3"/>
    <w:rsid w:val="002A2D1C"/>
    <w:rsid w:val="002A2E1E"/>
    <w:rsid w:val="002A2FBF"/>
    <w:rsid w:val="002A30DF"/>
    <w:rsid w:val="002A3178"/>
    <w:rsid w:val="002A3666"/>
    <w:rsid w:val="002A36EF"/>
    <w:rsid w:val="002A40BF"/>
    <w:rsid w:val="002A4159"/>
    <w:rsid w:val="002A4A77"/>
    <w:rsid w:val="002A4CB4"/>
    <w:rsid w:val="002A4F71"/>
    <w:rsid w:val="002A55D3"/>
    <w:rsid w:val="002A5604"/>
    <w:rsid w:val="002A6002"/>
    <w:rsid w:val="002A65A7"/>
    <w:rsid w:val="002A675D"/>
    <w:rsid w:val="002A68B8"/>
    <w:rsid w:val="002A6AEA"/>
    <w:rsid w:val="002A6CE1"/>
    <w:rsid w:val="002A6D29"/>
    <w:rsid w:val="002A7432"/>
    <w:rsid w:val="002A767C"/>
    <w:rsid w:val="002A770E"/>
    <w:rsid w:val="002A7EE9"/>
    <w:rsid w:val="002B04EB"/>
    <w:rsid w:val="002B0525"/>
    <w:rsid w:val="002B06B2"/>
    <w:rsid w:val="002B0ABF"/>
    <w:rsid w:val="002B0F17"/>
    <w:rsid w:val="002B0F51"/>
    <w:rsid w:val="002B1949"/>
    <w:rsid w:val="002B1D25"/>
    <w:rsid w:val="002B292C"/>
    <w:rsid w:val="002B29EA"/>
    <w:rsid w:val="002B2AFE"/>
    <w:rsid w:val="002B2BCF"/>
    <w:rsid w:val="002B2CB0"/>
    <w:rsid w:val="002B2F04"/>
    <w:rsid w:val="002B3455"/>
    <w:rsid w:val="002B3469"/>
    <w:rsid w:val="002B3604"/>
    <w:rsid w:val="002B3CB4"/>
    <w:rsid w:val="002B4501"/>
    <w:rsid w:val="002B50FE"/>
    <w:rsid w:val="002B51D0"/>
    <w:rsid w:val="002B5351"/>
    <w:rsid w:val="002B570D"/>
    <w:rsid w:val="002B58EA"/>
    <w:rsid w:val="002B5CD5"/>
    <w:rsid w:val="002B5DD3"/>
    <w:rsid w:val="002B5E51"/>
    <w:rsid w:val="002B5F2E"/>
    <w:rsid w:val="002B5F58"/>
    <w:rsid w:val="002B64D8"/>
    <w:rsid w:val="002B6600"/>
    <w:rsid w:val="002B6A72"/>
    <w:rsid w:val="002B6B38"/>
    <w:rsid w:val="002B7556"/>
    <w:rsid w:val="002B7882"/>
    <w:rsid w:val="002B7B95"/>
    <w:rsid w:val="002B7BBB"/>
    <w:rsid w:val="002C02CC"/>
    <w:rsid w:val="002C02DA"/>
    <w:rsid w:val="002C0647"/>
    <w:rsid w:val="002C0670"/>
    <w:rsid w:val="002C06CC"/>
    <w:rsid w:val="002C0830"/>
    <w:rsid w:val="002C0A80"/>
    <w:rsid w:val="002C0B9B"/>
    <w:rsid w:val="002C10CA"/>
    <w:rsid w:val="002C10F6"/>
    <w:rsid w:val="002C1235"/>
    <w:rsid w:val="002C15CF"/>
    <w:rsid w:val="002C166A"/>
    <w:rsid w:val="002C179C"/>
    <w:rsid w:val="002C1D13"/>
    <w:rsid w:val="002C1E45"/>
    <w:rsid w:val="002C2030"/>
    <w:rsid w:val="002C2034"/>
    <w:rsid w:val="002C213E"/>
    <w:rsid w:val="002C2290"/>
    <w:rsid w:val="002C235F"/>
    <w:rsid w:val="002C25F5"/>
    <w:rsid w:val="002C2E21"/>
    <w:rsid w:val="002C3287"/>
    <w:rsid w:val="002C3458"/>
    <w:rsid w:val="002C3607"/>
    <w:rsid w:val="002C3957"/>
    <w:rsid w:val="002C3B06"/>
    <w:rsid w:val="002C3F2F"/>
    <w:rsid w:val="002C40F2"/>
    <w:rsid w:val="002C42C3"/>
    <w:rsid w:val="002C4355"/>
    <w:rsid w:val="002C4684"/>
    <w:rsid w:val="002C48A7"/>
    <w:rsid w:val="002C4BF5"/>
    <w:rsid w:val="002C4D39"/>
    <w:rsid w:val="002C4F7C"/>
    <w:rsid w:val="002C50EA"/>
    <w:rsid w:val="002C518A"/>
    <w:rsid w:val="002C5829"/>
    <w:rsid w:val="002C5A43"/>
    <w:rsid w:val="002C6160"/>
    <w:rsid w:val="002C6669"/>
    <w:rsid w:val="002C66BA"/>
    <w:rsid w:val="002C698D"/>
    <w:rsid w:val="002C6BD1"/>
    <w:rsid w:val="002C6ED0"/>
    <w:rsid w:val="002C71AF"/>
    <w:rsid w:val="002C7462"/>
    <w:rsid w:val="002C7A21"/>
    <w:rsid w:val="002C7E73"/>
    <w:rsid w:val="002C7ECA"/>
    <w:rsid w:val="002C7ED1"/>
    <w:rsid w:val="002C7EF9"/>
    <w:rsid w:val="002D0252"/>
    <w:rsid w:val="002D126B"/>
    <w:rsid w:val="002D153F"/>
    <w:rsid w:val="002D23D2"/>
    <w:rsid w:val="002D258A"/>
    <w:rsid w:val="002D2742"/>
    <w:rsid w:val="002D2971"/>
    <w:rsid w:val="002D2A08"/>
    <w:rsid w:val="002D3100"/>
    <w:rsid w:val="002D3ACD"/>
    <w:rsid w:val="002D3BEC"/>
    <w:rsid w:val="002D4435"/>
    <w:rsid w:val="002D4794"/>
    <w:rsid w:val="002D4C4A"/>
    <w:rsid w:val="002D4F18"/>
    <w:rsid w:val="002D516C"/>
    <w:rsid w:val="002D59D6"/>
    <w:rsid w:val="002D5CBF"/>
    <w:rsid w:val="002D6306"/>
    <w:rsid w:val="002D640B"/>
    <w:rsid w:val="002D6427"/>
    <w:rsid w:val="002D6470"/>
    <w:rsid w:val="002D67BB"/>
    <w:rsid w:val="002D7202"/>
    <w:rsid w:val="002D7272"/>
    <w:rsid w:val="002D770B"/>
    <w:rsid w:val="002D7A9F"/>
    <w:rsid w:val="002D7AAD"/>
    <w:rsid w:val="002D7C7C"/>
    <w:rsid w:val="002D7D8C"/>
    <w:rsid w:val="002E04F5"/>
    <w:rsid w:val="002E08AA"/>
    <w:rsid w:val="002E14AC"/>
    <w:rsid w:val="002E14E2"/>
    <w:rsid w:val="002E1917"/>
    <w:rsid w:val="002E1949"/>
    <w:rsid w:val="002E1B10"/>
    <w:rsid w:val="002E1F2B"/>
    <w:rsid w:val="002E23D2"/>
    <w:rsid w:val="002E27C1"/>
    <w:rsid w:val="002E2988"/>
    <w:rsid w:val="002E2AAE"/>
    <w:rsid w:val="002E301F"/>
    <w:rsid w:val="002E3308"/>
    <w:rsid w:val="002E3995"/>
    <w:rsid w:val="002E3B5D"/>
    <w:rsid w:val="002E3C00"/>
    <w:rsid w:val="002E451D"/>
    <w:rsid w:val="002E4771"/>
    <w:rsid w:val="002E5001"/>
    <w:rsid w:val="002E50AD"/>
    <w:rsid w:val="002E5248"/>
    <w:rsid w:val="002E5493"/>
    <w:rsid w:val="002E54E9"/>
    <w:rsid w:val="002E5AC8"/>
    <w:rsid w:val="002E69EB"/>
    <w:rsid w:val="002E6A12"/>
    <w:rsid w:val="002E6B82"/>
    <w:rsid w:val="002E6DDE"/>
    <w:rsid w:val="002E71AE"/>
    <w:rsid w:val="002E7C67"/>
    <w:rsid w:val="002E7D1D"/>
    <w:rsid w:val="002E7EBF"/>
    <w:rsid w:val="002F026F"/>
    <w:rsid w:val="002F07F8"/>
    <w:rsid w:val="002F0C57"/>
    <w:rsid w:val="002F1289"/>
    <w:rsid w:val="002F1554"/>
    <w:rsid w:val="002F1731"/>
    <w:rsid w:val="002F19A3"/>
    <w:rsid w:val="002F1E2B"/>
    <w:rsid w:val="002F200D"/>
    <w:rsid w:val="002F2043"/>
    <w:rsid w:val="002F218F"/>
    <w:rsid w:val="002F2520"/>
    <w:rsid w:val="002F25DF"/>
    <w:rsid w:val="002F2927"/>
    <w:rsid w:val="002F2B09"/>
    <w:rsid w:val="002F2DC5"/>
    <w:rsid w:val="002F2DF7"/>
    <w:rsid w:val="002F3A14"/>
    <w:rsid w:val="002F3BCC"/>
    <w:rsid w:val="002F475B"/>
    <w:rsid w:val="002F47AC"/>
    <w:rsid w:val="002F4B61"/>
    <w:rsid w:val="002F5288"/>
    <w:rsid w:val="002F53E0"/>
    <w:rsid w:val="002F55AF"/>
    <w:rsid w:val="002F5BFE"/>
    <w:rsid w:val="002F5EE5"/>
    <w:rsid w:val="002F6113"/>
    <w:rsid w:val="002F619E"/>
    <w:rsid w:val="002F627F"/>
    <w:rsid w:val="002F629E"/>
    <w:rsid w:val="002F692D"/>
    <w:rsid w:val="002F6D2F"/>
    <w:rsid w:val="002F6D7B"/>
    <w:rsid w:val="002F7047"/>
    <w:rsid w:val="002F766E"/>
    <w:rsid w:val="002F7A52"/>
    <w:rsid w:val="002F7CC9"/>
    <w:rsid w:val="002F7D16"/>
    <w:rsid w:val="002F7E19"/>
    <w:rsid w:val="002F7FF1"/>
    <w:rsid w:val="003002BD"/>
    <w:rsid w:val="003004A7"/>
    <w:rsid w:val="00300682"/>
    <w:rsid w:val="00300710"/>
    <w:rsid w:val="0030185B"/>
    <w:rsid w:val="00301F2A"/>
    <w:rsid w:val="0030208D"/>
    <w:rsid w:val="00302434"/>
    <w:rsid w:val="00302CEE"/>
    <w:rsid w:val="00303708"/>
    <w:rsid w:val="003039DA"/>
    <w:rsid w:val="0030405B"/>
    <w:rsid w:val="00304382"/>
    <w:rsid w:val="003049A9"/>
    <w:rsid w:val="00304B73"/>
    <w:rsid w:val="00304D65"/>
    <w:rsid w:val="00304F8D"/>
    <w:rsid w:val="003052D6"/>
    <w:rsid w:val="0030530D"/>
    <w:rsid w:val="00305385"/>
    <w:rsid w:val="00305772"/>
    <w:rsid w:val="00305882"/>
    <w:rsid w:val="00305B16"/>
    <w:rsid w:val="00305C83"/>
    <w:rsid w:val="003062CE"/>
    <w:rsid w:val="00307125"/>
    <w:rsid w:val="003075DA"/>
    <w:rsid w:val="003078AD"/>
    <w:rsid w:val="00307930"/>
    <w:rsid w:val="00307D76"/>
    <w:rsid w:val="00310DBF"/>
    <w:rsid w:val="003111E4"/>
    <w:rsid w:val="003118F4"/>
    <w:rsid w:val="00311A54"/>
    <w:rsid w:val="00311F17"/>
    <w:rsid w:val="0031243B"/>
    <w:rsid w:val="003128E0"/>
    <w:rsid w:val="00312A53"/>
    <w:rsid w:val="00312B1C"/>
    <w:rsid w:val="0031313E"/>
    <w:rsid w:val="003131EF"/>
    <w:rsid w:val="003133AE"/>
    <w:rsid w:val="003139BF"/>
    <w:rsid w:val="00313B5D"/>
    <w:rsid w:val="00313C6B"/>
    <w:rsid w:val="00314127"/>
    <w:rsid w:val="0031442B"/>
    <w:rsid w:val="00314470"/>
    <w:rsid w:val="00314505"/>
    <w:rsid w:val="003148A8"/>
    <w:rsid w:val="00314F62"/>
    <w:rsid w:val="0031530E"/>
    <w:rsid w:val="0031537C"/>
    <w:rsid w:val="0031555E"/>
    <w:rsid w:val="0031563C"/>
    <w:rsid w:val="00315950"/>
    <w:rsid w:val="00317528"/>
    <w:rsid w:val="00317A11"/>
    <w:rsid w:val="00317A8A"/>
    <w:rsid w:val="00317E41"/>
    <w:rsid w:val="00320118"/>
    <w:rsid w:val="0032011A"/>
    <w:rsid w:val="003206E9"/>
    <w:rsid w:val="003209A5"/>
    <w:rsid w:val="00320B43"/>
    <w:rsid w:val="00320DAE"/>
    <w:rsid w:val="00321988"/>
    <w:rsid w:val="003221AE"/>
    <w:rsid w:val="003221B7"/>
    <w:rsid w:val="0032260E"/>
    <w:rsid w:val="003226D0"/>
    <w:rsid w:val="003226F1"/>
    <w:rsid w:val="00322AF0"/>
    <w:rsid w:val="00322C74"/>
    <w:rsid w:val="00323155"/>
    <w:rsid w:val="00323241"/>
    <w:rsid w:val="003234B3"/>
    <w:rsid w:val="00323744"/>
    <w:rsid w:val="00323872"/>
    <w:rsid w:val="00323F55"/>
    <w:rsid w:val="00323FCD"/>
    <w:rsid w:val="00323FD7"/>
    <w:rsid w:val="003246B1"/>
    <w:rsid w:val="003247FD"/>
    <w:rsid w:val="003248C0"/>
    <w:rsid w:val="00324E04"/>
    <w:rsid w:val="00325067"/>
    <w:rsid w:val="003254B7"/>
    <w:rsid w:val="00325943"/>
    <w:rsid w:val="00325D9E"/>
    <w:rsid w:val="003261A4"/>
    <w:rsid w:val="00326353"/>
    <w:rsid w:val="00326882"/>
    <w:rsid w:val="00326905"/>
    <w:rsid w:val="00326CD8"/>
    <w:rsid w:val="00327353"/>
    <w:rsid w:val="00327477"/>
    <w:rsid w:val="00327839"/>
    <w:rsid w:val="00327B76"/>
    <w:rsid w:val="00327BDD"/>
    <w:rsid w:val="00327C06"/>
    <w:rsid w:val="003306DB"/>
    <w:rsid w:val="00330868"/>
    <w:rsid w:val="003308A2"/>
    <w:rsid w:val="003309E7"/>
    <w:rsid w:val="00331163"/>
    <w:rsid w:val="00331BB3"/>
    <w:rsid w:val="00331C0A"/>
    <w:rsid w:val="00331E98"/>
    <w:rsid w:val="00332140"/>
    <w:rsid w:val="00332C22"/>
    <w:rsid w:val="00332E10"/>
    <w:rsid w:val="003331D6"/>
    <w:rsid w:val="00333209"/>
    <w:rsid w:val="0033390D"/>
    <w:rsid w:val="003346D6"/>
    <w:rsid w:val="00334E5D"/>
    <w:rsid w:val="003350E0"/>
    <w:rsid w:val="003354C6"/>
    <w:rsid w:val="003354F2"/>
    <w:rsid w:val="003356B8"/>
    <w:rsid w:val="00335F1C"/>
    <w:rsid w:val="003360CC"/>
    <w:rsid w:val="00336253"/>
    <w:rsid w:val="00336F10"/>
    <w:rsid w:val="00336F17"/>
    <w:rsid w:val="00337673"/>
    <w:rsid w:val="00337961"/>
    <w:rsid w:val="003400FC"/>
    <w:rsid w:val="00340259"/>
    <w:rsid w:val="00340676"/>
    <w:rsid w:val="00340D5B"/>
    <w:rsid w:val="00340DF3"/>
    <w:rsid w:val="00342002"/>
    <w:rsid w:val="00342230"/>
    <w:rsid w:val="003427EE"/>
    <w:rsid w:val="0034286D"/>
    <w:rsid w:val="003429BE"/>
    <w:rsid w:val="00342C0E"/>
    <w:rsid w:val="00342DE3"/>
    <w:rsid w:val="00342FD6"/>
    <w:rsid w:val="00343275"/>
    <w:rsid w:val="00343AB5"/>
    <w:rsid w:val="00343DC4"/>
    <w:rsid w:val="00344C04"/>
    <w:rsid w:val="00344E38"/>
    <w:rsid w:val="00345053"/>
    <w:rsid w:val="0034563E"/>
    <w:rsid w:val="003458BC"/>
    <w:rsid w:val="003459BC"/>
    <w:rsid w:val="00345AA3"/>
    <w:rsid w:val="00345DE8"/>
    <w:rsid w:val="00346026"/>
    <w:rsid w:val="003468D8"/>
    <w:rsid w:val="00346B6E"/>
    <w:rsid w:val="0034736F"/>
    <w:rsid w:val="00347F10"/>
    <w:rsid w:val="00350017"/>
    <w:rsid w:val="0035003C"/>
    <w:rsid w:val="003502C9"/>
    <w:rsid w:val="00350772"/>
    <w:rsid w:val="003509D4"/>
    <w:rsid w:val="00350AFF"/>
    <w:rsid w:val="00350F40"/>
    <w:rsid w:val="003510BE"/>
    <w:rsid w:val="00351221"/>
    <w:rsid w:val="003523E4"/>
    <w:rsid w:val="00352790"/>
    <w:rsid w:val="00352C41"/>
    <w:rsid w:val="00352CE6"/>
    <w:rsid w:val="00352DC7"/>
    <w:rsid w:val="00353343"/>
    <w:rsid w:val="00353557"/>
    <w:rsid w:val="00353E04"/>
    <w:rsid w:val="003540DE"/>
    <w:rsid w:val="003540F5"/>
    <w:rsid w:val="0035498D"/>
    <w:rsid w:val="003549BA"/>
    <w:rsid w:val="00355A17"/>
    <w:rsid w:val="0035653E"/>
    <w:rsid w:val="003567A3"/>
    <w:rsid w:val="003577C8"/>
    <w:rsid w:val="00357A19"/>
    <w:rsid w:val="003604F3"/>
    <w:rsid w:val="00360515"/>
    <w:rsid w:val="003605E3"/>
    <w:rsid w:val="00360927"/>
    <w:rsid w:val="00360A0A"/>
    <w:rsid w:val="00360D26"/>
    <w:rsid w:val="00361028"/>
    <w:rsid w:val="0036114D"/>
    <w:rsid w:val="00361237"/>
    <w:rsid w:val="0036138B"/>
    <w:rsid w:val="00361446"/>
    <w:rsid w:val="0036182E"/>
    <w:rsid w:val="00361CDE"/>
    <w:rsid w:val="00361EC2"/>
    <w:rsid w:val="0036250C"/>
    <w:rsid w:val="00362731"/>
    <w:rsid w:val="00363509"/>
    <w:rsid w:val="00363693"/>
    <w:rsid w:val="00363757"/>
    <w:rsid w:val="0036397C"/>
    <w:rsid w:val="00363BE3"/>
    <w:rsid w:val="00363C2C"/>
    <w:rsid w:val="00364086"/>
    <w:rsid w:val="003640CD"/>
    <w:rsid w:val="00364222"/>
    <w:rsid w:val="0036471F"/>
    <w:rsid w:val="0036538B"/>
    <w:rsid w:val="003653C0"/>
    <w:rsid w:val="003653DB"/>
    <w:rsid w:val="003655E8"/>
    <w:rsid w:val="0036565E"/>
    <w:rsid w:val="003658F2"/>
    <w:rsid w:val="003659FC"/>
    <w:rsid w:val="00365B90"/>
    <w:rsid w:val="00365D8A"/>
    <w:rsid w:val="00366313"/>
    <w:rsid w:val="00366433"/>
    <w:rsid w:val="00366819"/>
    <w:rsid w:val="00366922"/>
    <w:rsid w:val="00366A22"/>
    <w:rsid w:val="00366DE1"/>
    <w:rsid w:val="00367903"/>
    <w:rsid w:val="003679A6"/>
    <w:rsid w:val="0037016B"/>
    <w:rsid w:val="00370263"/>
    <w:rsid w:val="00371243"/>
    <w:rsid w:val="003713E2"/>
    <w:rsid w:val="003715C0"/>
    <w:rsid w:val="00371670"/>
    <w:rsid w:val="00371750"/>
    <w:rsid w:val="00371B65"/>
    <w:rsid w:val="003723D4"/>
    <w:rsid w:val="00372736"/>
    <w:rsid w:val="00372AA3"/>
    <w:rsid w:val="00372F13"/>
    <w:rsid w:val="00372FC9"/>
    <w:rsid w:val="003738EE"/>
    <w:rsid w:val="00373926"/>
    <w:rsid w:val="00373A49"/>
    <w:rsid w:val="00373CB1"/>
    <w:rsid w:val="00374647"/>
    <w:rsid w:val="003747EB"/>
    <w:rsid w:val="00375257"/>
    <w:rsid w:val="003752A4"/>
    <w:rsid w:val="0037534D"/>
    <w:rsid w:val="00375393"/>
    <w:rsid w:val="00375678"/>
    <w:rsid w:val="003760D3"/>
    <w:rsid w:val="003767D2"/>
    <w:rsid w:val="00376944"/>
    <w:rsid w:val="003772C7"/>
    <w:rsid w:val="003773D7"/>
    <w:rsid w:val="00377878"/>
    <w:rsid w:val="00377A80"/>
    <w:rsid w:val="00377DCA"/>
    <w:rsid w:val="00377EE1"/>
    <w:rsid w:val="00380254"/>
    <w:rsid w:val="003802FB"/>
    <w:rsid w:val="00380854"/>
    <w:rsid w:val="003808B9"/>
    <w:rsid w:val="00380967"/>
    <w:rsid w:val="00380ACC"/>
    <w:rsid w:val="00380E19"/>
    <w:rsid w:val="00381224"/>
    <w:rsid w:val="0038145B"/>
    <w:rsid w:val="003814BF"/>
    <w:rsid w:val="00381733"/>
    <w:rsid w:val="00381B2F"/>
    <w:rsid w:val="00381E1B"/>
    <w:rsid w:val="00381F26"/>
    <w:rsid w:val="00382123"/>
    <w:rsid w:val="003823FE"/>
    <w:rsid w:val="0038298F"/>
    <w:rsid w:val="003829A4"/>
    <w:rsid w:val="00382B3C"/>
    <w:rsid w:val="00382DF2"/>
    <w:rsid w:val="00382EB1"/>
    <w:rsid w:val="00383289"/>
    <w:rsid w:val="003834D4"/>
    <w:rsid w:val="00383985"/>
    <w:rsid w:val="00383C83"/>
    <w:rsid w:val="00383EAC"/>
    <w:rsid w:val="0038414C"/>
    <w:rsid w:val="00384190"/>
    <w:rsid w:val="0038440D"/>
    <w:rsid w:val="0038450D"/>
    <w:rsid w:val="00384773"/>
    <w:rsid w:val="00384BB6"/>
    <w:rsid w:val="003850B6"/>
    <w:rsid w:val="00385548"/>
    <w:rsid w:val="003855BB"/>
    <w:rsid w:val="0038568C"/>
    <w:rsid w:val="0038583A"/>
    <w:rsid w:val="003861B5"/>
    <w:rsid w:val="003864A6"/>
    <w:rsid w:val="00386899"/>
    <w:rsid w:val="00386AFE"/>
    <w:rsid w:val="00387337"/>
    <w:rsid w:val="003874E8"/>
    <w:rsid w:val="003877E0"/>
    <w:rsid w:val="00387ADD"/>
    <w:rsid w:val="00387CBE"/>
    <w:rsid w:val="0039034C"/>
    <w:rsid w:val="00390982"/>
    <w:rsid w:val="00390A6F"/>
    <w:rsid w:val="00390AEF"/>
    <w:rsid w:val="00390E15"/>
    <w:rsid w:val="00390FB2"/>
    <w:rsid w:val="00391084"/>
    <w:rsid w:val="003917DD"/>
    <w:rsid w:val="003919A6"/>
    <w:rsid w:val="00391C50"/>
    <w:rsid w:val="00391CDF"/>
    <w:rsid w:val="00391F2C"/>
    <w:rsid w:val="0039274B"/>
    <w:rsid w:val="00392837"/>
    <w:rsid w:val="00392897"/>
    <w:rsid w:val="00392A54"/>
    <w:rsid w:val="00392B0E"/>
    <w:rsid w:val="00392E5C"/>
    <w:rsid w:val="003933CD"/>
    <w:rsid w:val="003937C6"/>
    <w:rsid w:val="00393916"/>
    <w:rsid w:val="00393FDF"/>
    <w:rsid w:val="0039408D"/>
    <w:rsid w:val="0039428E"/>
    <w:rsid w:val="003947A4"/>
    <w:rsid w:val="003947ED"/>
    <w:rsid w:val="003951A7"/>
    <w:rsid w:val="003953F4"/>
    <w:rsid w:val="003955C7"/>
    <w:rsid w:val="003957B5"/>
    <w:rsid w:val="00395AB5"/>
    <w:rsid w:val="00395ABB"/>
    <w:rsid w:val="0039610E"/>
    <w:rsid w:val="003964D7"/>
    <w:rsid w:val="00396A5D"/>
    <w:rsid w:val="00396ACB"/>
    <w:rsid w:val="00396B2B"/>
    <w:rsid w:val="00396D65"/>
    <w:rsid w:val="003970A1"/>
    <w:rsid w:val="00397823"/>
    <w:rsid w:val="0039783A"/>
    <w:rsid w:val="0039792B"/>
    <w:rsid w:val="00397F00"/>
    <w:rsid w:val="003A05F7"/>
    <w:rsid w:val="003A0C34"/>
    <w:rsid w:val="003A0F91"/>
    <w:rsid w:val="003A130E"/>
    <w:rsid w:val="003A1472"/>
    <w:rsid w:val="003A1809"/>
    <w:rsid w:val="003A1D65"/>
    <w:rsid w:val="003A25D4"/>
    <w:rsid w:val="003A29B9"/>
    <w:rsid w:val="003A2D61"/>
    <w:rsid w:val="003A3116"/>
    <w:rsid w:val="003A32EE"/>
    <w:rsid w:val="003A3484"/>
    <w:rsid w:val="003A360F"/>
    <w:rsid w:val="003A39EF"/>
    <w:rsid w:val="003A40E1"/>
    <w:rsid w:val="003A447F"/>
    <w:rsid w:val="003A4489"/>
    <w:rsid w:val="003A44FF"/>
    <w:rsid w:val="003A4566"/>
    <w:rsid w:val="003A463D"/>
    <w:rsid w:val="003A485D"/>
    <w:rsid w:val="003A4D1E"/>
    <w:rsid w:val="003A514F"/>
    <w:rsid w:val="003A628D"/>
    <w:rsid w:val="003A649B"/>
    <w:rsid w:val="003A6ADE"/>
    <w:rsid w:val="003A6D3F"/>
    <w:rsid w:val="003A6D5C"/>
    <w:rsid w:val="003A7199"/>
    <w:rsid w:val="003A742F"/>
    <w:rsid w:val="003A7501"/>
    <w:rsid w:val="003A7B6C"/>
    <w:rsid w:val="003A7BFF"/>
    <w:rsid w:val="003A7C77"/>
    <w:rsid w:val="003A7D91"/>
    <w:rsid w:val="003B017D"/>
    <w:rsid w:val="003B03EA"/>
    <w:rsid w:val="003B0CE2"/>
    <w:rsid w:val="003B174C"/>
    <w:rsid w:val="003B1AEA"/>
    <w:rsid w:val="003B1EFF"/>
    <w:rsid w:val="003B2005"/>
    <w:rsid w:val="003B23F8"/>
    <w:rsid w:val="003B2553"/>
    <w:rsid w:val="003B2567"/>
    <w:rsid w:val="003B2A68"/>
    <w:rsid w:val="003B2CDC"/>
    <w:rsid w:val="003B2E74"/>
    <w:rsid w:val="003B302A"/>
    <w:rsid w:val="003B3B94"/>
    <w:rsid w:val="003B449E"/>
    <w:rsid w:val="003B45DC"/>
    <w:rsid w:val="003B475F"/>
    <w:rsid w:val="003B4820"/>
    <w:rsid w:val="003B4BF0"/>
    <w:rsid w:val="003B4C67"/>
    <w:rsid w:val="003B4E1C"/>
    <w:rsid w:val="003B4F03"/>
    <w:rsid w:val="003B4F07"/>
    <w:rsid w:val="003B501A"/>
    <w:rsid w:val="003B5560"/>
    <w:rsid w:val="003B5719"/>
    <w:rsid w:val="003B5F9B"/>
    <w:rsid w:val="003B64FF"/>
    <w:rsid w:val="003B6B93"/>
    <w:rsid w:val="003B6D5A"/>
    <w:rsid w:val="003B6DA6"/>
    <w:rsid w:val="003B6DCF"/>
    <w:rsid w:val="003B6F20"/>
    <w:rsid w:val="003B7116"/>
    <w:rsid w:val="003B72DF"/>
    <w:rsid w:val="003B75D4"/>
    <w:rsid w:val="003B7F11"/>
    <w:rsid w:val="003B7FE5"/>
    <w:rsid w:val="003C0028"/>
    <w:rsid w:val="003C0703"/>
    <w:rsid w:val="003C0B48"/>
    <w:rsid w:val="003C1116"/>
    <w:rsid w:val="003C1391"/>
    <w:rsid w:val="003C1A05"/>
    <w:rsid w:val="003C2102"/>
    <w:rsid w:val="003C2390"/>
    <w:rsid w:val="003C244C"/>
    <w:rsid w:val="003C25CC"/>
    <w:rsid w:val="003C25F5"/>
    <w:rsid w:val="003C263E"/>
    <w:rsid w:val="003C2FA5"/>
    <w:rsid w:val="003C31EC"/>
    <w:rsid w:val="003C3262"/>
    <w:rsid w:val="003C3409"/>
    <w:rsid w:val="003C36B3"/>
    <w:rsid w:val="003C37E0"/>
    <w:rsid w:val="003C3D1E"/>
    <w:rsid w:val="003C40AF"/>
    <w:rsid w:val="003C4A11"/>
    <w:rsid w:val="003C4FA9"/>
    <w:rsid w:val="003C4FE0"/>
    <w:rsid w:val="003C5278"/>
    <w:rsid w:val="003C52E6"/>
    <w:rsid w:val="003C5356"/>
    <w:rsid w:val="003C5D7B"/>
    <w:rsid w:val="003C6490"/>
    <w:rsid w:val="003C6BC7"/>
    <w:rsid w:val="003C6D47"/>
    <w:rsid w:val="003C6F7B"/>
    <w:rsid w:val="003C77C1"/>
    <w:rsid w:val="003D06B5"/>
    <w:rsid w:val="003D0759"/>
    <w:rsid w:val="003D0CA1"/>
    <w:rsid w:val="003D1396"/>
    <w:rsid w:val="003D1470"/>
    <w:rsid w:val="003D16EE"/>
    <w:rsid w:val="003D17C8"/>
    <w:rsid w:val="003D1CB1"/>
    <w:rsid w:val="003D2064"/>
    <w:rsid w:val="003D20FA"/>
    <w:rsid w:val="003D2805"/>
    <w:rsid w:val="003D2BAD"/>
    <w:rsid w:val="003D2EAC"/>
    <w:rsid w:val="003D2F26"/>
    <w:rsid w:val="003D3067"/>
    <w:rsid w:val="003D3211"/>
    <w:rsid w:val="003D328E"/>
    <w:rsid w:val="003D3531"/>
    <w:rsid w:val="003D36B6"/>
    <w:rsid w:val="003D36BC"/>
    <w:rsid w:val="003D39FC"/>
    <w:rsid w:val="003D3D68"/>
    <w:rsid w:val="003D40BE"/>
    <w:rsid w:val="003D4345"/>
    <w:rsid w:val="003D47B2"/>
    <w:rsid w:val="003D47D0"/>
    <w:rsid w:val="003D4843"/>
    <w:rsid w:val="003D487D"/>
    <w:rsid w:val="003D4F1C"/>
    <w:rsid w:val="003D5578"/>
    <w:rsid w:val="003D5A93"/>
    <w:rsid w:val="003D5E36"/>
    <w:rsid w:val="003D604B"/>
    <w:rsid w:val="003D61DB"/>
    <w:rsid w:val="003D69AC"/>
    <w:rsid w:val="003D6B91"/>
    <w:rsid w:val="003D719C"/>
    <w:rsid w:val="003D71A3"/>
    <w:rsid w:val="003D7296"/>
    <w:rsid w:val="003D73A0"/>
    <w:rsid w:val="003D7C1C"/>
    <w:rsid w:val="003D7CE5"/>
    <w:rsid w:val="003D7CE8"/>
    <w:rsid w:val="003D7F63"/>
    <w:rsid w:val="003E0483"/>
    <w:rsid w:val="003E0578"/>
    <w:rsid w:val="003E0915"/>
    <w:rsid w:val="003E0921"/>
    <w:rsid w:val="003E0BAF"/>
    <w:rsid w:val="003E12DE"/>
    <w:rsid w:val="003E1565"/>
    <w:rsid w:val="003E15B6"/>
    <w:rsid w:val="003E1884"/>
    <w:rsid w:val="003E18A3"/>
    <w:rsid w:val="003E1A15"/>
    <w:rsid w:val="003E1A45"/>
    <w:rsid w:val="003E1D32"/>
    <w:rsid w:val="003E1DD1"/>
    <w:rsid w:val="003E28C1"/>
    <w:rsid w:val="003E28FB"/>
    <w:rsid w:val="003E292B"/>
    <w:rsid w:val="003E2E8A"/>
    <w:rsid w:val="003E31A0"/>
    <w:rsid w:val="003E3565"/>
    <w:rsid w:val="003E3D07"/>
    <w:rsid w:val="003E3E86"/>
    <w:rsid w:val="003E4324"/>
    <w:rsid w:val="003E5484"/>
    <w:rsid w:val="003E560F"/>
    <w:rsid w:val="003E5C27"/>
    <w:rsid w:val="003E5FF8"/>
    <w:rsid w:val="003E636E"/>
    <w:rsid w:val="003E698A"/>
    <w:rsid w:val="003E6DD2"/>
    <w:rsid w:val="003E754E"/>
    <w:rsid w:val="003E76A8"/>
    <w:rsid w:val="003E7781"/>
    <w:rsid w:val="003E78E3"/>
    <w:rsid w:val="003F01C6"/>
    <w:rsid w:val="003F03F0"/>
    <w:rsid w:val="003F0440"/>
    <w:rsid w:val="003F0771"/>
    <w:rsid w:val="003F0C14"/>
    <w:rsid w:val="003F0E4F"/>
    <w:rsid w:val="003F0E80"/>
    <w:rsid w:val="003F10A5"/>
    <w:rsid w:val="003F1199"/>
    <w:rsid w:val="003F11ED"/>
    <w:rsid w:val="003F1660"/>
    <w:rsid w:val="003F1CE8"/>
    <w:rsid w:val="003F1DDA"/>
    <w:rsid w:val="003F212E"/>
    <w:rsid w:val="003F2431"/>
    <w:rsid w:val="003F270D"/>
    <w:rsid w:val="003F29BE"/>
    <w:rsid w:val="003F2CA0"/>
    <w:rsid w:val="003F3122"/>
    <w:rsid w:val="003F32E7"/>
    <w:rsid w:val="003F33F3"/>
    <w:rsid w:val="003F354B"/>
    <w:rsid w:val="003F3754"/>
    <w:rsid w:val="003F3892"/>
    <w:rsid w:val="003F3A76"/>
    <w:rsid w:val="003F3AC9"/>
    <w:rsid w:val="003F3B4B"/>
    <w:rsid w:val="003F3F74"/>
    <w:rsid w:val="003F3FBD"/>
    <w:rsid w:val="003F40B8"/>
    <w:rsid w:val="003F40DD"/>
    <w:rsid w:val="003F44A2"/>
    <w:rsid w:val="003F4C26"/>
    <w:rsid w:val="003F4D9F"/>
    <w:rsid w:val="003F4F8B"/>
    <w:rsid w:val="003F57BD"/>
    <w:rsid w:val="003F57C7"/>
    <w:rsid w:val="003F59AB"/>
    <w:rsid w:val="003F5D84"/>
    <w:rsid w:val="003F629A"/>
    <w:rsid w:val="003F68AD"/>
    <w:rsid w:val="003F6E8A"/>
    <w:rsid w:val="003F7046"/>
    <w:rsid w:val="003F7207"/>
    <w:rsid w:val="003F73CA"/>
    <w:rsid w:val="003F789D"/>
    <w:rsid w:val="003F7ACD"/>
    <w:rsid w:val="003F7BEF"/>
    <w:rsid w:val="003F7F15"/>
    <w:rsid w:val="00400505"/>
    <w:rsid w:val="00400890"/>
    <w:rsid w:val="004008D5"/>
    <w:rsid w:val="00400E39"/>
    <w:rsid w:val="00400E5D"/>
    <w:rsid w:val="004013A1"/>
    <w:rsid w:val="0040176F"/>
    <w:rsid w:val="004017CC"/>
    <w:rsid w:val="00401847"/>
    <w:rsid w:val="00402784"/>
    <w:rsid w:val="00402919"/>
    <w:rsid w:val="00402D04"/>
    <w:rsid w:val="00403724"/>
    <w:rsid w:val="00403743"/>
    <w:rsid w:val="00403765"/>
    <w:rsid w:val="004038FF"/>
    <w:rsid w:val="0040397B"/>
    <w:rsid w:val="00403BE1"/>
    <w:rsid w:val="00403DE4"/>
    <w:rsid w:val="00403F3E"/>
    <w:rsid w:val="004045A9"/>
    <w:rsid w:val="00404602"/>
    <w:rsid w:val="0040465D"/>
    <w:rsid w:val="004047E3"/>
    <w:rsid w:val="00404B65"/>
    <w:rsid w:val="0040523B"/>
    <w:rsid w:val="00405A24"/>
    <w:rsid w:val="00405F19"/>
    <w:rsid w:val="00406682"/>
    <w:rsid w:val="00406B37"/>
    <w:rsid w:val="00407283"/>
    <w:rsid w:val="004073E6"/>
    <w:rsid w:val="004075C0"/>
    <w:rsid w:val="00407BAC"/>
    <w:rsid w:val="00410012"/>
    <w:rsid w:val="004102C9"/>
    <w:rsid w:val="00410757"/>
    <w:rsid w:val="004107C2"/>
    <w:rsid w:val="0041098D"/>
    <w:rsid w:val="004109CF"/>
    <w:rsid w:val="00410B0E"/>
    <w:rsid w:val="00411087"/>
    <w:rsid w:val="00411292"/>
    <w:rsid w:val="00411372"/>
    <w:rsid w:val="0041183A"/>
    <w:rsid w:val="004120BD"/>
    <w:rsid w:val="00412219"/>
    <w:rsid w:val="004126D3"/>
    <w:rsid w:val="00412E1A"/>
    <w:rsid w:val="0041300C"/>
    <w:rsid w:val="004132D2"/>
    <w:rsid w:val="00413345"/>
    <w:rsid w:val="00413876"/>
    <w:rsid w:val="00413A92"/>
    <w:rsid w:val="00413C4F"/>
    <w:rsid w:val="00413CBC"/>
    <w:rsid w:val="00413ECA"/>
    <w:rsid w:val="00414071"/>
    <w:rsid w:val="004143F7"/>
    <w:rsid w:val="00414644"/>
    <w:rsid w:val="004146C8"/>
    <w:rsid w:val="00414A38"/>
    <w:rsid w:val="00414E65"/>
    <w:rsid w:val="004151E6"/>
    <w:rsid w:val="00415C5B"/>
    <w:rsid w:val="00415D29"/>
    <w:rsid w:val="00415DBF"/>
    <w:rsid w:val="004162BD"/>
    <w:rsid w:val="0041670F"/>
    <w:rsid w:val="00416A26"/>
    <w:rsid w:val="00416AAE"/>
    <w:rsid w:val="00416BB3"/>
    <w:rsid w:val="00416C59"/>
    <w:rsid w:val="00416D54"/>
    <w:rsid w:val="004170C6"/>
    <w:rsid w:val="004171E1"/>
    <w:rsid w:val="00417381"/>
    <w:rsid w:val="00417531"/>
    <w:rsid w:val="00417CD5"/>
    <w:rsid w:val="00417CFD"/>
    <w:rsid w:val="00417F88"/>
    <w:rsid w:val="00417F9B"/>
    <w:rsid w:val="00420007"/>
    <w:rsid w:val="004206EE"/>
    <w:rsid w:val="004208AF"/>
    <w:rsid w:val="004210FE"/>
    <w:rsid w:val="004212C7"/>
    <w:rsid w:val="0042160F"/>
    <w:rsid w:val="004216FC"/>
    <w:rsid w:val="00421C6E"/>
    <w:rsid w:val="00422274"/>
    <w:rsid w:val="00422796"/>
    <w:rsid w:val="0042280F"/>
    <w:rsid w:val="00422830"/>
    <w:rsid w:val="0042288E"/>
    <w:rsid w:val="00422A44"/>
    <w:rsid w:val="00422E3E"/>
    <w:rsid w:val="00422E94"/>
    <w:rsid w:val="00422F39"/>
    <w:rsid w:val="004231E2"/>
    <w:rsid w:val="00423606"/>
    <w:rsid w:val="0042360C"/>
    <w:rsid w:val="00423948"/>
    <w:rsid w:val="00423966"/>
    <w:rsid w:val="00423B9B"/>
    <w:rsid w:val="00423CC1"/>
    <w:rsid w:val="0042433B"/>
    <w:rsid w:val="004248F5"/>
    <w:rsid w:val="00424B5E"/>
    <w:rsid w:val="00424DA7"/>
    <w:rsid w:val="00424EF8"/>
    <w:rsid w:val="00424F28"/>
    <w:rsid w:val="00424F4F"/>
    <w:rsid w:val="00425089"/>
    <w:rsid w:val="004254A3"/>
    <w:rsid w:val="00425845"/>
    <w:rsid w:val="00425938"/>
    <w:rsid w:val="00425A23"/>
    <w:rsid w:val="00425BC3"/>
    <w:rsid w:val="00425FC2"/>
    <w:rsid w:val="0042617D"/>
    <w:rsid w:val="00426234"/>
    <w:rsid w:val="00426375"/>
    <w:rsid w:val="00426E4D"/>
    <w:rsid w:val="004277F6"/>
    <w:rsid w:val="00427BD6"/>
    <w:rsid w:val="00427C4A"/>
    <w:rsid w:val="004304B5"/>
    <w:rsid w:val="004304E8"/>
    <w:rsid w:val="004305BC"/>
    <w:rsid w:val="00430868"/>
    <w:rsid w:val="00430883"/>
    <w:rsid w:val="004309FB"/>
    <w:rsid w:val="00430AE1"/>
    <w:rsid w:val="00430B64"/>
    <w:rsid w:val="00430EF6"/>
    <w:rsid w:val="004310DB"/>
    <w:rsid w:val="004313E4"/>
    <w:rsid w:val="00431655"/>
    <w:rsid w:val="004329D9"/>
    <w:rsid w:val="00432A30"/>
    <w:rsid w:val="00432B50"/>
    <w:rsid w:val="00432F57"/>
    <w:rsid w:val="00432FCC"/>
    <w:rsid w:val="00433406"/>
    <w:rsid w:val="0043405B"/>
    <w:rsid w:val="004342D1"/>
    <w:rsid w:val="00434312"/>
    <w:rsid w:val="00434529"/>
    <w:rsid w:val="00434D54"/>
    <w:rsid w:val="00434F15"/>
    <w:rsid w:val="00435359"/>
    <w:rsid w:val="004353ED"/>
    <w:rsid w:val="0043543A"/>
    <w:rsid w:val="0043549D"/>
    <w:rsid w:val="004356BF"/>
    <w:rsid w:val="00435B71"/>
    <w:rsid w:val="00435F15"/>
    <w:rsid w:val="0043608A"/>
    <w:rsid w:val="00436271"/>
    <w:rsid w:val="0043651F"/>
    <w:rsid w:val="00436668"/>
    <w:rsid w:val="004366C7"/>
    <w:rsid w:val="0043684E"/>
    <w:rsid w:val="00436A4E"/>
    <w:rsid w:val="0043733A"/>
    <w:rsid w:val="00437C28"/>
    <w:rsid w:val="00440657"/>
    <w:rsid w:val="0044084A"/>
    <w:rsid w:val="00440A75"/>
    <w:rsid w:val="00440BE1"/>
    <w:rsid w:val="00440D46"/>
    <w:rsid w:val="00440DF9"/>
    <w:rsid w:val="00441124"/>
    <w:rsid w:val="00441150"/>
    <w:rsid w:val="00441450"/>
    <w:rsid w:val="0044172D"/>
    <w:rsid w:val="00441C53"/>
    <w:rsid w:val="00441D44"/>
    <w:rsid w:val="00441F14"/>
    <w:rsid w:val="00441F87"/>
    <w:rsid w:val="00442AD3"/>
    <w:rsid w:val="00443024"/>
    <w:rsid w:val="0044329E"/>
    <w:rsid w:val="004435A0"/>
    <w:rsid w:val="004437ED"/>
    <w:rsid w:val="00443802"/>
    <w:rsid w:val="00443BD5"/>
    <w:rsid w:val="00443C18"/>
    <w:rsid w:val="00443D7F"/>
    <w:rsid w:val="004442B3"/>
    <w:rsid w:val="004446A8"/>
    <w:rsid w:val="0044519A"/>
    <w:rsid w:val="00445298"/>
    <w:rsid w:val="00445B34"/>
    <w:rsid w:val="00445BE7"/>
    <w:rsid w:val="00445C85"/>
    <w:rsid w:val="0044609E"/>
    <w:rsid w:val="00446146"/>
    <w:rsid w:val="0044616B"/>
    <w:rsid w:val="0044651B"/>
    <w:rsid w:val="004468FC"/>
    <w:rsid w:val="00446911"/>
    <w:rsid w:val="00446BC3"/>
    <w:rsid w:val="00446D96"/>
    <w:rsid w:val="00446F51"/>
    <w:rsid w:val="00447051"/>
    <w:rsid w:val="004475C7"/>
    <w:rsid w:val="004479C5"/>
    <w:rsid w:val="0045020A"/>
    <w:rsid w:val="004503BD"/>
    <w:rsid w:val="00450404"/>
    <w:rsid w:val="00450A29"/>
    <w:rsid w:val="004511F4"/>
    <w:rsid w:val="0045130F"/>
    <w:rsid w:val="00451456"/>
    <w:rsid w:val="00451526"/>
    <w:rsid w:val="0045199A"/>
    <w:rsid w:val="0045199E"/>
    <w:rsid w:val="00451DCA"/>
    <w:rsid w:val="00451E78"/>
    <w:rsid w:val="00452A6C"/>
    <w:rsid w:val="00452AD2"/>
    <w:rsid w:val="00452BA4"/>
    <w:rsid w:val="00452E06"/>
    <w:rsid w:val="004531B5"/>
    <w:rsid w:val="0045341A"/>
    <w:rsid w:val="0045387D"/>
    <w:rsid w:val="00453B6E"/>
    <w:rsid w:val="004540A8"/>
    <w:rsid w:val="00454122"/>
    <w:rsid w:val="004545DE"/>
    <w:rsid w:val="004547A0"/>
    <w:rsid w:val="004547D5"/>
    <w:rsid w:val="00454FA9"/>
    <w:rsid w:val="0045517B"/>
    <w:rsid w:val="00455195"/>
    <w:rsid w:val="00455261"/>
    <w:rsid w:val="004555B9"/>
    <w:rsid w:val="004564CE"/>
    <w:rsid w:val="00456819"/>
    <w:rsid w:val="00456850"/>
    <w:rsid w:val="00456D10"/>
    <w:rsid w:val="00460102"/>
    <w:rsid w:val="0046013A"/>
    <w:rsid w:val="00460566"/>
    <w:rsid w:val="004607B4"/>
    <w:rsid w:val="00460918"/>
    <w:rsid w:val="00460F61"/>
    <w:rsid w:val="004615FC"/>
    <w:rsid w:val="00461A0A"/>
    <w:rsid w:val="00461DCD"/>
    <w:rsid w:val="00462332"/>
    <w:rsid w:val="0046254C"/>
    <w:rsid w:val="00462CAD"/>
    <w:rsid w:val="00462E2C"/>
    <w:rsid w:val="00462FB1"/>
    <w:rsid w:val="00463112"/>
    <w:rsid w:val="004633AE"/>
    <w:rsid w:val="004635C9"/>
    <w:rsid w:val="0046409A"/>
    <w:rsid w:val="004641B8"/>
    <w:rsid w:val="004641E8"/>
    <w:rsid w:val="004645AA"/>
    <w:rsid w:val="00464BEC"/>
    <w:rsid w:val="00464CB2"/>
    <w:rsid w:val="00464E13"/>
    <w:rsid w:val="004654F5"/>
    <w:rsid w:val="00465D70"/>
    <w:rsid w:val="00466326"/>
    <w:rsid w:val="00466CF2"/>
    <w:rsid w:val="00466CF8"/>
    <w:rsid w:val="004673EA"/>
    <w:rsid w:val="004675B3"/>
    <w:rsid w:val="004675C2"/>
    <w:rsid w:val="00467976"/>
    <w:rsid w:val="00467C77"/>
    <w:rsid w:val="00467CDF"/>
    <w:rsid w:val="00467E7D"/>
    <w:rsid w:val="00470387"/>
    <w:rsid w:val="0047039D"/>
    <w:rsid w:val="0047066C"/>
    <w:rsid w:val="004707BA"/>
    <w:rsid w:val="004707E2"/>
    <w:rsid w:val="004709F8"/>
    <w:rsid w:val="00470C7E"/>
    <w:rsid w:val="00470DA1"/>
    <w:rsid w:val="00471BF6"/>
    <w:rsid w:val="00471C69"/>
    <w:rsid w:val="00472043"/>
    <w:rsid w:val="004723F8"/>
    <w:rsid w:val="004724C0"/>
    <w:rsid w:val="004728E4"/>
    <w:rsid w:val="00472CF9"/>
    <w:rsid w:val="004730F6"/>
    <w:rsid w:val="00473130"/>
    <w:rsid w:val="0047319C"/>
    <w:rsid w:val="004736C2"/>
    <w:rsid w:val="00473BFF"/>
    <w:rsid w:val="00473EA6"/>
    <w:rsid w:val="004740B7"/>
    <w:rsid w:val="00474116"/>
    <w:rsid w:val="00474488"/>
    <w:rsid w:val="004748D6"/>
    <w:rsid w:val="00474D59"/>
    <w:rsid w:val="0047503D"/>
    <w:rsid w:val="0047520D"/>
    <w:rsid w:val="004758A9"/>
    <w:rsid w:val="00475B64"/>
    <w:rsid w:val="00475D01"/>
    <w:rsid w:val="00475DFC"/>
    <w:rsid w:val="0047615C"/>
    <w:rsid w:val="0047626A"/>
    <w:rsid w:val="004764F4"/>
    <w:rsid w:val="00476B3E"/>
    <w:rsid w:val="00476D76"/>
    <w:rsid w:val="004770D8"/>
    <w:rsid w:val="004772C9"/>
    <w:rsid w:val="004772E5"/>
    <w:rsid w:val="00477524"/>
    <w:rsid w:val="004776BB"/>
    <w:rsid w:val="0047798B"/>
    <w:rsid w:val="004802D9"/>
    <w:rsid w:val="00480334"/>
    <w:rsid w:val="0048099F"/>
    <w:rsid w:val="00480BD6"/>
    <w:rsid w:val="00480CBD"/>
    <w:rsid w:val="00480E2C"/>
    <w:rsid w:val="00480F1E"/>
    <w:rsid w:val="00481672"/>
    <w:rsid w:val="00481912"/>
    <w:rsid w:val="004819A5"/>
    <w:rsid w:val="00482018"/>
    <w:rsid w:val="004831F9"/>
    <w:rsid w:val="0048389A"/>
    <w:rsid w:val="00483C0B"/>
    <w:rsid w:val="00483C5D"/>
    <w:rsid w:val="00483D1C"/>
    <w:rsid w:val="00483FF1"/>
    <w:rsid w:val="004840A0"/>
    <w:rsid w:val="00484306"/>
    <w:rsid w:val="0048432D"/>
    <w:rsid w:val="00484377"/>
    <w:rsid w:val="0048460C"/>
    <w:rsid w:val="0048486E"/>
    <w:rsid w:val="00484BDB"/>
    <w:rsid w:val="00484E57"/>
    <w:rsid w:val="004850A1"/>
    <w:rsid w:val="004853C7"/>
    <w:rsid w:val="00485475"/>
    <w:rsid w:val="00485495"/>
    <w:rsid w:val="004854B6"/>
    <w:rsid w:val="004854EF"/>
    <w:rsid w:val="0048564C"/>
    <w:rsid w:val="00485934"/>
    <w:rsid w:val="00485B51"/>
    <w:rsid w:val="00485B8F"/>
    <w:rsid w:val="0048604A"/>
    <w:rsid w:val="00486A41"/>
    <w:rsid w:val="00486B15"/>
    <w:rsid w:val="00486D34"/>
    <w:rsid w:val="004870C9"/>
    <w:rsid w:val="0048718E"/>
    <w:rsid w:val="004871C8"/>
    <w:rsid w:val="004874F2"/>
    <w:rsid w:val="00487AC6"/>
    <w:rsid w:val="00487EF6"/>
    <w:rsid w:val="00487FDC"/>
    <w:rsid w:val="004903EE"/>
    <w:rsid w:val="00490777"/>
    <w:rsid w:val="0049098F"/>
    <w:rsid w:val="00490C06"/>
    <w:rsid w:val="00490CE4"/>
    <w:rsid w:val="00490EE6"/>
    <w:rsid w:val="004910BC"/>
    <w:rsid w:val="004912C8"/>
    <w:rsid w:val="004918C6"/>
    <w:rsid w:val="00491BEC"/>
    <w:rsid w:val="00491D80"/>
    <w:rsid w:val="00491E6F"/>
    <w:rsid w:val="00491ECD"/>
    <w:rsid w:val="0049229F"/>
    <w:rsid w:val="00492514"/>
    <w:rsid w:val="00492551"/>
    <w:rsid w:val="004926E0"/>
    <w:rsid w:val="0049278C"/>
    <w:rsid w:val="00492DAA"/>
    <w:rsid w:val="00492FDB"/>
    <w:rsid w:val="00493210"/>
    <w:rsid w:val="004935D1"/>
    <w:rsid w:val="00493623"/>
    <w:rsid w:val="00493CA8"/>
    <w:rsid w:val="00493CE3"/>
    <w:rsid w:val="0049417B"/>
    <w:rsid w:val="00494357"/>
    <w:rsid w:val="00494A5E"/>
    <w:rsid w:val="00494EC6"/>
    <w:rsid w:val="0049579E"/>
    <w:rsid w:val="0049582B"/>
    <w:rsid w:val="00495898"/>
    <w:rsid w:val="00495A5C"/>
    <w:rsid w:val="0049662F"/>
    <w:rsid w:val="00496B33"/>
    <w:rsid w:val="00496E08"/>
    <w:rsid w:val="0049702F"/>
    <w:rsid w:val="00497307"/>
    <w:rsid w:val="004974ED"/>
    <w:rsid w:val="00497752"/>
    <w:rsid w:val="004977B7"/>
    <w:rsid w:val="00497AE1"/>
    <w:rsid w:val="004A00CB"/>
    <w:rsid w:val="004A0192"/>
    <w:rsid w:val="004A05E8"/>
    <w:rsid w:val="004A0E3F"/>
    <w:rsid w:val="004A1342"/>
    <w:rsid w:val="004A178C"/>
    <w:rsid w:val="004A183B"/>
    <w:rsid w:val="004A1BB9"/>
    <w:rsid w:val="004A1C69"/>
    <w:rsid w:val="004A2487"/>
    <w:rsid w:val="004A2D6F"/>
    <w:rsid w:val="004A34A4"/>
    <w:rsid w:val="004A39DB"/>
    <w:rsid w:val="004A429A"/>
    <w:rsid w:val="004A42CB"/>
    <w:rsid w:val="004A497A"/>
    <w:rsid w:val="004A4E01"/>
    <w:rsid w:val="004A4EC2"/>
    <w:rsid w:val="004A4FC6"/>
    <w:rsid w:val="004A51F9"/>
    <w:rsid w:val="004A523E"/>
    <w:rsid w:val="004A5E39"/>
    <w:rsid w:val="004A5EF6"/>
    <w:rsid w:val="004A62C5"/>
    <w:rsid w:val="004A63D6"/>
    <w:rsid w:val="004A6408"/>
    <w:rsid w:val="004A6764"/>
    <w:rsid w:val="004A67D3"/>
    <w:rsid w:val="004A69AE"/>
    <w:rsid w:val="004A6E1E"/>
    <w:rsid w:val="004A7373"/>
    <w:rsid w:val="004A7A55"/>
    <w:rsid w:val="004A7F01"/>
    <w:rsid w:val="004A7FC2"/>
    <w:rsid w:val="004B00E6"/>
    <w:rsid w:val="004B042B"/>
    <w:rsid w:val="004B05D1"/>
    <w:rsid w:val="004B05DD"/>
    <w:rsid w:val="004B07C4"/>
    <w:rsid w:val="004B0900"/>
    <w:rsid w:val="004B0D8E"/>
    <w:rsid w:val="004B1206"/>
    <w:rsid w:val="004B1F58"/>
    <w:rsid w:val="004B1FAC"/>
    <w:rsid w:val="004B200B"/>
    <w:rsid w:val="004B2579"/>
    <w:rsid w:val="004B2B92"/>
    <w:rsid w:val="004B2D58"/>
    <w:rsid w:val="004B2EE5"/>
    <w:rsid w:val="004B2F32"/>
    <w:rsid w:val="004B3110"/>
    <w:rsid w:val="004B333E"/>
    <w:rsid w:val="004B355F"/>
    <w:rsid w:val="004B3753"/>
    <w:rsid w:val="004B3CB3"/>
    <w:rsid w:val="004B47DA"/>
    <w:rsid w:val="004B490E"/>
    <w:rsid w:val="004B4CE8"/>
    <w:rsid w:val="004B4E91"/>
    <w:rsid w:val="004B54A9"/>
    <w:rsid w:val="004B54B4"/>
    <w:rsid w:val="004B557B"/>
    <w:rsid w:val="004B5608"/>
    <w:rsid w:val="004B56B6"/>
    <w:rsid w:val="004B56E3"/>
    <w:rsid w:val="004B58C5"/>
    <w:rsid w:val="004B5DCB"/>
    <w:rsid w:val="004B5E89"/>
    <w:rsid w:val="004B6116"/>
    <w:rsid w:val="004B6655"/>
    <w:rsid w:val="004B6CA9"/>
    <w:rsid w:val="004B6CC0"/>
    <w:rsid w:val="004B714E"/>
    <w:rsid w:val="004B7492"/>
    <w:rsid w:val="004B7649"/>
    <w:rsid w:val="004B7774"/>
    <w:rsid w:val="004B7CCC"/>
    <w:rsid w:val="004B7F19"/>
    <w:rsid w:val="004C00DF"/>
    <w:rsid w:val="004C0250"/>
    <w:rsid w:val="004C0655"/>
    <w:rsid w:val="004C08ED"/>
    <w:rsid w:val="004C0AFB"/>
    <w:rsid w:val="004C0FCC"/>
    <w:rsid w:val="004C1952"/>
    <w:rsid w:val="004C19CC"/>
    <w:rsid w:val="004C1CD0"/>
    <w:rsid w:val="004C1D60"/>
    <w:rsid w:val="004C1E6C"/>
    <w:rsid w:val="004C2360"/>
    <w:rsid w:val="004C2614"/>
    <w:rsid w:val="004C2A71"/>
    <w:rsid w:val="004C2B4C"/>
    <w:rsid w:val="004C2C6A"/>
    <w:rsid w:val="004C3298"/>
    <w:rsid w:val="004C35A2"/>
    <w:rsid w:val="004C35A7"/>
    <w:rsid w:val="004C470C"/>
    <w:rsid w:val="004C49BF"/>
    <w:rsid w:val="004C51AE"/>
    <w:rsid w:val="004C51CB"/>
    <w:rsid w:val="004C51FE"/>
    <w:rsid w:val="004C53EA"/>
    <w:rsid w:val="004C542E"/>
    <w:rsid w:val="004C5440"/>
    <w:rsid w:val="004C5759"/>
    <w:rsid w:val="004C5781"/>
    <w:rsid w:val="004C5B40"/>
    <w:rsid w:val="004C5C7D"/>
    <w:rsid w:val="004C5CD0"/>
    <w:rsid w:val="004C63BA"/>
    <w:rsid w:val="004C65E3"/>
    <w:rsid w:val="004C6777"/>
    <w:rsid w:val="004C67AB"/>
    <w:rsid w:val="004C67FE"/>
    <w:rsid w:val="004C6ACF"/>
    <w:rsid w:val="004C6F72"/>
    <w:rsid w:val="004C7A9B"/>
    <w:rsid w:val="004C7D2E"/>
    <w:rsid w:val="004C7D98"/>
    <w:rsid w:val="004D02C0"/>
    <w:rsid w:val="004D0818"/>
    <w:rsid w:val="004D098F"/>
    <w:rsid w:val="004D0A41"/>
    <w:rsid w:val="004D0C24"/>
    <w:rsid w:val="004D1052"/>
    <w:rsid w:val="004D1B25"/>
    <w:rsid w:val="004D1D94"/>
    <w:rsid w:val="004D224B"/>
    <w:rsid w:val="004D2640"/>
    <w:rsid w:val="004D3195"/>
    <w:rsid w:val="004D32DD"/>
    <w:rsid w:val="004D3303"/>
    <w:rsid w:val="004D3348"/>
    <w:rsid w:val="004D3B33"/>
    <w:rsid w:val="004D3DC9"/>
    <w:rsid w:val="004D3F67"/>
    <w:rsid w:val="004D44ED"/>
    <w:rsid w:val="004D45B3"/>
    <w:rsid w:val="004D4C69"/>
    <w:rsid w:val="004D5297"/>
    <w:rsid w:val="004D54F6"/>
    <w:rsid w:val="004D55F4"/>
    <w:rsid w:val="004D5AC4"/>
    <w:rsid w:val="004D5FBF"/>
    <w:rsid w:val="004D656F"/>
    <w:rsid w:val="004D691B"/>
    <w:rsid w:val="004D6F51"/>
    <w:rsid w:val="004D6FC7"/>
    <w:rsid w:val="004D735A"/>
    <w:rsid w:val="004D7585"/>
    <w:rsid w:val="004D763D"/>
    <w:rsid w:val="004D7ECB"/>
    <w:rsid w:val="004E0016"/>
    <w:rsid w:val="004E0061"/>
    <w:rsid w:val="004E0154"/>
    <w:rsid w:val="004E0817"/>
    <w:rsid w:val="004E0AFB"/>
    <w:rsid w:val="004E0B69"/>
    <w:rsid w:val="004E0E40"/>
    <w:rsid w:val="004E0FCD"/>
    <w:rsid w:val="004E10A2"/>
    <w:rsid w:val="004E1268"/>
    <w:rsid w:val="004E13DE"/>
    <w:rsid w:val="004E149E"/>
    <w:rsid w:val="004E1DF1"/>
    <w:rsid w:val="004E1E95"/>
    <w:rsid w:val="004E20BD"/>
    <w:rsid w:val="004E21D6"/>
    <w:rsid w:val="004E2729"/>
    <w:rsid w:val="004E27E6"/>
    <w:rsid w:val="004E2963"/>
    <w:rsid w:val="004E2AB6"/>
    <w:rsid w:val="004E2F2D"/>
    <w:rsid w:val="004E334C"/>
    <w:rsid w:val="004E33C4"/>
    <w:rsid w:val="004E3501"/>
    <w:rsid w:val="004E39CE"/>
    <w:rsid w:val="004E3F70"/>
    <w:rsid w:val="004E402A"/>
    <w:rsid w:val="004E4368"/>
    <w:rsid w:val="004E4393"/>
    <w:rsid w:val="004E454E"/>
    <w:rsid w:val="004E4882"/>
    <w:rsid w:val="004E4889"/>
    <w:rsid w:val="004E48A3"/>
    <w:rsid w:val="004E4A9E"/>
    <w:rsid w:val="004E4C50"/>
    <w:rsid w:val="004E4FC0"/>
    <w:rsid w:val="004E501B"/>
    <w:rsid w:val="004E5290"/>
    <w:rsid w:val="004E54FD"/>
    <w:rsid w:val="004E57F7"/>
    <w:rsid w:val="004E5EEE"/>
    <w:rsid w:val="004E61FE"/>
    <w:rsid w:val="004E67E9"/>
    <w:rsid w:val="004E6DAF"/>
    <w:rsid w:val="004E7582"/>
    <w:rsid w:val="004E75A5"/>
    <w:rsid w:val="004E776A"/>
    <w:rsid w:val="004E7B0C"/>
    <w:rsid w:val="004E7BD1"/>
    <w:rsid w:val="004F0095"/>
    <w:rsid w:val="004F0102"/>
    <w:rsid w:val="004F0553"/>
    <w:rsid w:val="004F09C6"/>
    <w:rsid w:val="004F0F48"/>
    <w:rsid w:val="004F1322"/>
    <w:rsid w:val="004F17EB"/>
    <w:rsid w:val="004F19DB"/>
    <w:rsid w:val="004F1EFA"/>
    <w:rsid w:val="004F20BB"/>
    <w:rsid w:val="004F2549"/>
    <w:rsid w:val="004F2A5E"/>
    <w:rsid w:val="004F2A80"/>
    <w:rsid w:val="004F2D49"/>
    <w:rsid w:val="004F2FEA"/>
    <w:rsid w:val="004F3B19"/>
    <w:rsid w:val="004F3C1E"/>
    <w:rsid w:val="004F3C85"/>
    <w:rsid w:val="004F3E1E"/>
    <w:rsid w:val="004F468E"/>
    <w:rsid w:val="004F4B17"/>
    <w:rsid w:val="004F51D3"/>
    <w:rsid w:val="004F5220"/>
    <w:rsid w:val="004F5292"/>
    <w:rsid w:val="004F54A1"/>
    <w:rsid w:val="004F556C"/>
    <w:rsid w:val="004F5578"/>
    <w:rsid w:val="004F5DF6"/>
    <w:rsid w:val="004F5F28"/>
    <w:rsid w:val="004F6AD4"/>
    <w:rsid w:val="004F6DD8"/>
    <w:rsid w:val="004F6DF9"/>
    <w:rsid w:val="004F6F55"/>
    <w:rsid w:val="004F7630"/>
    <w:rsid w:val="004F76F6"/>
    <w:rsid w:val="004F78FE"/>
    <w:rsid w:val="004F7C13"/>
    <w:rsid w:val="004F7C26"/>
    <w:rsid w:val="0050055B"/>
    <w:rsid w:val="00500872"/>
    <w:rsid w:val="00500993"/>
    <w:rsid w:val="00500C2F"/>
    <w:rsid w:val="00500DA5"/>
    <w:rsid w:val="0050114F"/>
    <w:rsid w:val="00501170"/>
    <w:rsid w:val="005017D8"/>
    <w:rsid w:val="00501AF4"/>
    <w:rsid w:val="00501F92"/>
    <w:rsid w:val="0050203A"/>
    <w:rsid w:val="0050266C"/>
    <w:rsid w:val="005027B3"/>
    <w:rsid w:val="00502896"/>
    <w:rsid w:val="005028F8"/>
    <w:rsid w:val="00502986"/>
    <w:rsid w:val="00502C90"/>
    <w:rsid w:val="00502FB4"/>
    <w:rsid w:val="0050322E"/>
    <w:rsid w:val="00503461"/>
    <w:rsid w:val="00503680"/>
    <w:rsid w:val="00503D13"/>
    <w:rsid w:val="00503F5E"/>
    <w:rsid w:val="00504818"/>
    <w:rsid w:val="00504CD6"/>
    <w:rsid w:val="00504EBA"/>
    <w:rsid w:val="00504FEC"/>
    <w:rsid w:val="0050577D"/>
    <w:rsid w:val="00505CF7"/>
    <w:rsid w:val="00505EB4"/>
    <w:rsid w:val="00505F89"/>
    <w:rsid w:val="00506EE2"/>
    <w:rsid w:val="005071C8"/>
    <w:rsid w:val="0050722E"/>
    <w:rsid w:val="00507482"/>
    <w:rsid w:val="00510232"/>
    <w:rsid w:val="005104DE"/>
    <w:rsid w:val="005104F5"/>
    <w:rsid w:val="005109EB"/>
    <w:rsid w:val="00510CA3"/>
    <w:rsid w:val="00511091"/>
    <w:rsid w:val="00511118"/>
    <w:rsid w:val="00511276"/>
    <w:rsid w:val="0051192A"/>
    <w:rsid w:val="005122E2"/>
    <w:rsid w:val="005125FD"/>
    <w:rsid w:val="0051299B"/>
    <w:rsid w:val="005129E1"/>
    <w:rsid w:val="005129F7"/>
    <w:rsid w:val="00512A32"/>
    <w:rsid w:val="00512B62"/>
    <w:rsid w:val="005131BC"/>
    <w:rsid w:val="00513477"/>
    <w:rsid w:val="00513A28"/>
    <w:rsid w:val="00513FB0"/>
    <w:rsid w:val="005148B9"/>
    <w:rsid w:val="00514A3F"/>
    <w:rsid w:val="00514E4C"/>
    <w:rsid w:val="00514F60"/>
    <w:rsid w:val="0051565D"/>
    <w:rsid w:val="00515843"/>
    <w:rsid w:val="00516048"/>
    <w:rsid w:val="00516158"/>
    <w:rsid w:val="00516242"/>
    <w:rsid w:val="00516343"/>
    <w:rsid w:val="00516480"/>
    <w:rsid w:val="00516804"/>
    <w:rsid w:val="00516846"/>
    <w:rsid w:val="005168D9"/>
    <w:rsid w:val="00516B97"/>
    <w:rsid w:val="0051757B"/>
    <w:rsid w:val="005178BE"/>
    <w:rsid w:val="00517AC6"/>
    <w:rsid w:val="00517C55"/>
    <w:rsid w:val="005202F2"/>
    <w:rsid w:val="00520684"/>
    <w:rsid w:val="0052091A"/>
    <w:rsid w:val="00520B12"/>
    <w:rsid w:val="00520CAE"/>
    <w:rsid w:val="00520FD5"/>
    <w:rsid w:val="005215D6"/>
    <w:rsid w:val="0052183E"/>
    <w:rsid w:val="005218E2"/>
    <w:rsid w:val="00522467"/>
    <w:rsid w:val="0052263C"/>
    <w:rsid w:val="0052270D"/>
    <w:rsid w:val="00522BC8"/>
    <w:rsid w:val="00522DBA"/>
    <w:rsid w:val="00523073"/>
    <w:rsid w:val="00523956"/>
    <w:rsid w:val="00523E61"/>
    <w:rsid w:val="00523FA9"/>
    <w:rsid w:val="00524280"/>
    <w:rsid w:val="005243B6"/>
    <w:rsid w:val="005243DA"/>
    <w:rsid w:val="005246E0"/>
    <w:rsid w:val="00524D66"/>
    <w:rsid w:val="00524EDF"/>
    <w:rsid w:val="005259AC"/>
    <w:rsid w:val="00525BBD"/>
    <w:rsid w:val="00525D98"/>
    <w:rsid w:val="00525F62"/>
    <w:rsid w:val="00526331"/>
    <w:rsid w:val="0052655C"/>
    <w:rsid w:val="005267D9"/>
    <w:rsid w:val="00526D15"/>
    <w:rsid w:val="00526D93"/>
    <w:rsid w:val="00526F70"/>
    <w:rsid w:val="005270AE"/>
    <w:rsid w:val="005270B4"/>
    <w:rsid w:val="00527340"/>
    <w:rsid w:val="005274EE"/>
    <w:rsid w:val="0052794C"/>
    <w:rsid w:val="00527CF2"/>
    <w:rsid w:val="00530298"/>
    <w:rsid w:val="00530348"/>
    <w:rsid w:val="005304F5"/>
    <w:rsid w:val="00531232"/>
    <w:rsid w:val="00531617"/>
    <w:rsid w:val="00531737"/>
    <w:rsid w:val="0053173B"/>
    <w:rsid w:val="00531E18"/>
    <w:rsid w:val="005321B0"/>
    <w:rsid w:val="00532542"/>
    <w:rsid w:val="00532FD9"/>
    <w:rsid w:val="005333AF"/>
    <w:rsid w:val="00533912"/>
    <w:rsid w:val="00533A82"/>
    <w:rsid w:val="0053445B"/>
    <w:rsid w:val="005346F4"/>
    <w:rsid w:val="0053487B"/>
    <w:rsid w:val="005349B4"/>
    <w:rsid w:val="00534B75"/>
    <w:rsid w:val="00534BA9"/>
    <w:rsid w:val="00534C65"/>
    <w:rsid w:val="00534E3B"/>
    <w:rsid w:val="00535898"/>
    <w:rsid w:val="005359E2"/>
    <w:rsid w:val="00536074"/>
    <w:rsid w:val="005364D9"/>
    <w:rsid w:val="00536B57"/>
    <w:rsid w:val="00536DA7"/>
    <w:rsid w:val="00536F22"/>
    <w:rsid w:val="005375AC"/>
    <w:rsid w:val="0053799A"/>
    <w:rsid w:val="0054052C"/>
    <w:rsid w:val="0054068F"/>
    <w:rsid w:val="0054074A"/>
    <w:rsid w:val="0054099E"/>
    <w:rsid w:val="00540AE2"/>
    <w:rsid w:val="00540EB1"/>
    <w:rsid w:val="00540F27"/>
    <w:rsid w:val="00541483"/>
    <w:rsid w:val="00541860"/>
    <w:rsid w:val="005418F0"/>
    <w:rsid w:val="00541DC0"/>
    <w:rsid w:val="00542729"/>
    <w:rsid w:val="00542733"/>
    <w:rsid w:val="005427E1"/>
    <w:rsid w:val="0054285E"/>
    <w:rsid w:val="00542972"/>
    <w:rsid w:val="00542C41"/>
    <w:rsid w:val="00542EA2"/>
    <w:rsid w:val="00543271"/>
    <w:rsid w:val="0054359F"/>
    <w:rsid w:val="005438DD"/>
    <w:rsid w:val="00543B0D"/>
    <w:rsid w:val="00543C20"/>
    <w:rsid w:val="00543C4A"/>
    <w:rsid w:val="00543DAF"/>
    <w:rsid w:val="00544637"/>
    <w:rsid w:val="00544B8C"/>
    <w:rsid w:val="00544CE2"/>
    <w:rsid w:val="00544EE5"/>
    <w:rsid w:val="005452C9"/>
    <w:rsid w:val="005452F7"/>
    <w:rsid w:val="00545642"/>
    <w:rsid w:val="00545664"/>
    <w:rsid w:val="005457F3"/>
    <w:rsid w:val="00545A03"/>
    <w:rsid w:val="00545FFE"/>
    <w:rsid w:val="005460E8"/>
    <w:rsid w:val="0054623C"/>
    <w:rsid w:val="0054648D"/>
    <w:rsid w:val="00546EB6"/>
    <w:rsid w:val="00547283"/>
    <w:rsid w:val="005474D6"/>
    <w:rsid w:val="0054751B"/>
    <w:rsid w:val="005477A8"/>
    <w:rsid w:val="00547F23"/>
    <w:rsid w:val="00547F29"/>
    <w:rsid w:val="00550123"/>
    <w:rsid w:val="00550732"/>
    <w:rsid w:val="00550959"/>
    <w:rsid w:val="00550AB5"/>
    <w:rsid w:val="00550B93"/>
    <w:rsid w:val="0055121B"/>
    <w:rsid w:val="0055131E"/>
    <w:rsid w:val="00551508"/>
    <w:rsid w:val="0055162E"/>
    <w:rsid w:val="005517DD"/>
    <w:rsid w:val="00551EF1"/>
    <w:rsid w:val="00552142"/>
    <w:rsid w:val="005523E4"/>
    <w:rsid w:val="00552811"/>
    <w:rsid w:val="00553320"/>
    <w:rsid w:val="005534A6"/>
    <w:rsid w:val="0055373D"/>
    <w:rsid w:val="0055390C"/>
    <w:rsid w:val="005539DE"/>
    <w:rsid w:val="00553AC4"/>
    <w:rsid w:val="00553ED0"/>
    <w:rsid w:val="0055440E"/>
    <w:rsid w:val="005548CE"/>
    <w:rsid w:val="005556BB"/>
    <w:rsid w:val="00555EA2"/>
    <w:rsid w:val="005562DA"/>
    <w:rsid w:val="0055679E"/>
    <w:rsid w:val="0055690F"/>
    <w:rsid w:val="00556F9B"/>
    <w:rsid w:val="00557655"/>
    <w:rsid w:val="0055788D"/>
    <w:rsid w:val="00557A54"/>
    <w:rsid w:val="00557C79"/>
    <w:rsid w:val="00560239"/>
    <w:rsid w:val="005602F1"/>
    <w:rsid w:val="00560574"/>
    <w:rsid w:val="00560BC1"/>
    <w:rsid w:val="00560F4A"/>
    <w:rsid w:val="005618E9"/>
    <w:rsid w:val="0056195D"/>
    <w:rsid w:val="00561A59"/>
    <w:rsid w:val="00561C3D"/>
    <w:rsid w:val="00561EA7"/>
    <w:rsid w:val="00562075"/>
    <w:rsid w:val="005622A6"/>
    <w:rsid w:val="005623EC"/>
    <w:rsid w:val="00562516"/>
    <w:rsid w:val="005627A6"/>
    <w:rsid w:val="00562B7F"/>
    <w:rsid w:val="00562E66"/>
    <w:rsid w:val="00562F1A"/>
    <w:rsid w:val="00563120"/>
    <w:rsid w:val="00563318"/>
    <w:rsid w:val="0056366F"/>
    <w:rsid w:val="00563B9C"/>
    <w:rsid w:val="00563F93"/>
    <w:rsid w:val="00564CD2"/>
    <w:rsid w:val="00565835"/>
    <w:rsid w:val="0056586B"/>
    <w:rsid w:val="00565951"/>
    <w:rsid w:val="00565A21"/>
    <w:rsid w:val="00565C18"/>
    <w:rsid w:val="005662A4"/>
    <w:rsid w:val="005662AB"/>
    <w:rsid w:val="005663D0"/>
    <w:rsid w:val="00566429"/>
    <w:rsid w:val="0056674A"/>
    <w:rsid w:val="00566A3F"/>
    <w:rsid w:val="00566EC6"/>
    <w:rsid w:val="0056722D"/>
    <w:rsid w:val="00567255"/>
    <w:rsid w:val="0056786C"/>
    <w:rsid w:val="005701DF"/>
    <w:rsid w:val="005702D2"/>
    <w:rsid w:val="005705B4"/>
    <w:rsid w:val="0057063D"/>
    <w:rsid w:val="00570AA8"/>
    <w:rsid w:val="00570C93"/>
    <w:rsid w:val="00570EC1"/>
    <w:rsid w:val="005710A4"/>
    <w:rsid w:val="005710CE"/>
    <w:rsid w:val="00571B9E"/>
    <w:rsid w:val="00571BE3"/>
    <w:rsid w:val="00571D70"/>
    <w:rsid w:val="005720E7"/>
    <w:rsid w:val="00572225"/>
    <w:rsid w:val="005727FC"/>
    <w:rsid w:val="0057318C"/>
    <w:rsid w:val="00573228"/>
    <w:rsid w:val="00573292"/>
    <w:rsid w:val="00573977"/>
    <w:rsid w:val="005739D0"/>
    <w:rsid w:val="00573C72"/>
    <w:rsid w:val="0057402B"/>
    <w:rsid w:val="005741F3"/>
    <w:rsid w:val="005742CF"/>
    <w:rsid w:val="005742D3"/>
    <w:rsid w:val="00574346"/>
    <w:rsid w:val="00574388"/>
    <w:rsid w:val="005743BF"/>
    <w:rsid w:val="00574581"/>
    <w:rsid w:val="0057460D"/>
    <w:rsid w:val="00574875"/>
    <w:rsid w:val="005748EE"/>
    <w:rsid w:val="00574ED4"/>
    <w:rsid w:val="005752AE"/>
    <w:rsid w:val="0057536E"/>
    <w:rsid w:val="005753B8"/>
    <w:rsid w:val="005759DC"/>
    <w:rsid w:val="00575BE5"/>
    <w:rsid w:val="00575E6D"/>
    <w:rsid w:val="005764AC"/>
    <w:rsid w:val="005768EA"/>
    <w:rsid w:val="00576ACA"/>
    <w:rsid w:val="00576CEA"/>
    <w:rsid w:val="00576D72"/>
    <w:rsid w:val="0057713A"/>
    <w:rsid w:val="005773E9"/>
    <w:rsid w:val="00577C1F"/>
    <w:rsid w:val="00577C74"/>
    <w:rsid w:val="00577E43"/>
    <w:rsid w:val="0058040F"/>
    <w:rsid w:val="00580422"/>
    <w:rsid w:val="00580531"/>
    <w:rsid w:val="0058054E"/>
    <w:rsid w:val="00580934"/>
    <w:rsid w:val="00580E36"/>
    <w:rsid w:val="0058122A"/>
    <w:rsid w:val="00581448"/>
    <w:rsid w:val="00581935"/>
    <w:rsid w:val="00581FC8"/>
    <w:rsid w:val="005829AE"/>
    <w:rsid w:val="00582AE9"/>
    <w:rsid w:val="00583027"/>
    <w:rsid w:val="00583062"/>
    <w:rsid w:val="005840BC"/>
    <w:rsid w:val="0058499D"/>
    <w:rsid w:val="00584AF9"/>
    <w:rsid w:val="0058549F"/>
    <w:rsid w:val="005856E7"/>
    <w:rsid w:val="005857F1"/>
    <w:rsid w:val="005860B5"/>
    <w:rsid w:val="005862F8"/>
    <w:rsid w:val="00586388"/>
    <w:rsid w:val="00586452"/>
    <w:rsid w:val="005869C8"/>
    <w:rsid w:val="005874E9"/>
    <w:rsid w:val="00587744"/>
    <w:rsid w:val="005878B9"/>
    <w:rsid w:val="00587B27"/>
    <w:rsid w:val="00587EE2"/>
    <w:rsid w:val="00590097"/>
    <w:rsid w:val="0059018D"/>
    <w:rsid w:val="00590248"/>
    <w:rsid w:val="005908E7"/>
    <w:rsid w:val="0059092A"/>
    <w:rsid w:val="00590A7C"/>
    <w:rsid w:val="0059143B"/>
    <w:rsid w:val="00591508"/>
    <w:rsid w:val="00591A3B"/>
    <w:rsid w:val="00592134"/>
    <w:rsid w:val="0059219D"/>
    <w:rsid w:val="005922EA"/>
    <w:rsid w:val="005926FE"/>
    <w:rsid w:val="0059278B"/>
    <w:rsid w:val="00592846"/>
    <w:rsid w:val="0059346C"/>
    <w:rsid w:val="005944FC"/>
    <w:rsid w:val="005945B6"/>
    <w:rsid w:val="00594D2E"/>
    <w:rsid w:val="00594F36"/>
    <w:rsid w:val="00594F8A"/>
    <w:rsid w:val="005952BD"/>
    <w:rsid w:val="00595334"/>
    <w:rsid w:val="0059553A"/>
    <w:rsid w:val="005956D0"/>
    <w:rsid w:val="0059575A"/>
    <w:rsid w:val="005957FF"/>
    <w:rsid w:val="00595AFA"/>
    <w:rsid w:val="00595E4A"/>
    <w:rsid w:val="00595F71"/>
    <w:rsid w:val="00596172"/>
    <w:rsid w:val="00596706"/>
    <w:rsid w:val="0059697E"/>
    <w:rsid w:val="00596A1E"/>
    <w:rsid w:val="00596A24"/>
    <w:rsid w:val="00596A35"/>
    <w:rsid w:val="00596BEB"/>
    <w:rsid w:val="00597198"/>
    <w:rsid w:val="00597295"/>
    <w:rsid w:val="00597891"/>
    <w:rsid w:val="00597C3A"/>
    <w:rsid w:val="00597D83"/>
    <w:rsid w:val="00597E97"/>
    <w:rsid w:val="00597EEA"/>
    <w:rsid w:val="005A02EB"/>
    <w:rsid w:val="005A03A5"/>
    <w:rsid w:val="005A0799"/>
    <w:rsid w:val="005A09B4"/>
    <w:rsid w:val="005A0A97"/>
    <w:rsid w:val="005A0B3F"/>
    <w:rsid w:val="005A0CC5"/>
    <w:rsid w:val="005A0CF9"/>
    <w:rsid w:val="005A110F"/>
    <w:rsid w:val="005A1402"/>
    <w:rsid w:val="005A1429"/>
    <w:rsid w:val="005A15F5"/>
    <w:rsid w:val="005A1C30"/>
    <w:rsid w:val="005A1FF9"/>
    <w:rsid w:val="005A218E"/>
    <w:rsid w:val="005A2BEE"/>
    <w:rsid w:val="005A3214"/>
    <w:rsid w:val="005A3928"/>
    <w:rsid w:val="005A423A"/>
    <w:rsid w:val="005A4573"/>
    <w:rsid w:val="005A4768"/>
    <w:rsid w:val="005A4994"/>
    <w:rsid w:val="005A4EF4"/>
    <w:rsid w:val="005A51C9"/>
    <w:rsid w:val="005A52F3"/>
    <w:rsid w:val="005A5F5C"/>
    <w:rsid w:val="005A630C"/>
    <w:rsid w:val="005A67BF"/>
    <w:rsid w:val="005A68C1"/>
    <w:rsid w:val="005A6F50"/>
    <w:rsid w:val="005A6F7E"/>
    <w:rsid w:val="005A7048"/>
    <w:rsid w:val="005A73A7"/>
    <w:rsid w:val="005A75E0"/>
    <w:rsid w:val="005A7636"/>
    <w:rsid w:val="005A7651"/>
    <w:rsid w:val="005A769A"/>
    <w:rsid w:val="005A79F3"/>
    <w:rsid w:val="005A7EE0"/>
    <w:rsid w:val="005B025F"/>
    <w:rsid w:val="005B034A"/>
    <w:rsid w:val="005B08F5"/>
    <w:rsid w:val="005B0C52"/>
    <w:rsid w:val="005B0C5A"/>
    <w:rsid w:val="005B10BD"/>
    <w:rsid w:val="005B1DF4"/>
    <w:rsid w:val="005B1EF1"/>
    <w:rsid w:val="005B2554"/>
    <w:rsid w:val="005B265F"/>
    <w:rsid w:val="005B29A7"/>
    <w:rsid w:val="005B2BDB"/>
    <w:rsid w:val="005B2FFA"/>
    <w:rsid w:val="005B3104"/>
    <w:rsid w:val="005B3991"/>
    <w:rsid w:val="005B4041"/>
    <w:rsid w:val="005B4B2C"/>
    <w:rsid w:val="005B4E11"/>
    <w:rsid w:val="005B5C06"/>
    <w:rsid w:val="005B5E25"/>
    <w:rsid w:val="005B60F7"/>
    <w:rsid w:val="005B6414"/>
    <w:rsid w:val="005B6A94"/>
    <w:rsid w:val="005B6E37"/>
    <w:rsid w:val="005B6E47"/>
    <w:rsid w:val="005B6F39"/>
    <w:rsid w:val="005B6FF5"/>
    <w:rsid w:val="005B71C6"/>
    <w:rsid w:val="005B7897"/>
    <w:rsid w:val="005C01C3"/>
    <w:rsid w:val="005C01E3"/>
    <w:rsid w:val="005C03DD"/>
    <w:rsid w:val="005C043C"/>
    <w:rsid w:val="005C0559"/>
    <w:rsid w:val="005C076D"/>
    <w:rsid w:val="005C09DF"/>
    <w:rsid w:val="005C0A0E"/>
    <w:rsid w:val="005C0D5D"/>
    <w:rsid w:val="005C1078"/>
    <w:rsid w:val="005C1490"/>
    <w:rsid w:val="005C1621"/>
    <w:rsid w:val="005C1767"/>
    <w:rsid w:val="005C1947"/>
    <w:rsid w:val="005C1D70"/>
    <w:rsid w:val="005C22EF"/>
    <w:rsid w:val="005C271B"/>
    <w:rsid w:val="005C2727"/>
    <w:rsid w:val="005C277F"/>
    <w:rsid w:val="005C28A5"/>
    <w:rsid w:val="005C2BD7"/>
    <w:rsid w:val="005C2D6C"/>
    <w:rsid w:val="005C3958"/>
    <w:rsid w:val="005C40A1"/>
    <w:rsid w:val="005C42D0"/>
    <w:rsid w:val="005C4586"/>
    <w:rsid w:val="005C4619"/>
    <w:rsid w:val="005C48D9"/>
    <w:rsid w:val="005C4CB5"/>
    <w:rsid w:val="005C5BD9"/>
    <w:rsid w:val="005C6950"/>
    <w:rsid w:val="005C696D"/>
    <w:rsid w:val="005C73EB"/>
    <w:rsid w:val="005C7504"/>
    <w:rsid w:val="005C768D"/>
    <w:rsid w:val="005C7822"/>
    <w:rsid w:val="005C7C1A"/>
    <w:rsid w:val="005C7E46"/>
    <w:rsid w:val="005C7E5F"/>
    <w:rsid w:val="005D048D"/>
    <w:rsid w:val="005D07D7"/>
    <w:rsid w:val="005D0D2B"/>
    <w:rsid w:val="005D0D6B"/>
    <w:rsid w:val="005D0E40"/>
    <w:rsid w:val="005D0F25"/>
    <w:rsid w:val="005D1016"/>
    <w:rsid w:val="005D141F"/>
    <w:rsid w:val="005D1568"/>
    <w:rsid w:val="005D1D72"/>
    <w:rsid w:val="005D2BC2"/>
    <w:rsid w:val="005D2D3B"/>
    <w:rsid w:val="005D32B0"/>
    <w:rsid w:val="005D36D3"/>
    <w:rsid w:val="005D3D67"/>
    <w:rsid w:val="005D3F4F"/>
    <w:rsid w:val="005D400B"/>
    <w:rsid w:val="005D406B"/>
    <w:rsid w:val="005D42CA"/>
    <w:rsid w:val="005D46EC"/>
    <w:rsid w:val="005D4C0E"/>
    <w:rsid w:val="005D4CCC"/>
    <w:rsid w:val="005D4DA6"/>
    <w:rsid w:val="005D53C2"/>
    <w:rsid w:val="005D558B"/>
    <w:rsid w:val="005D61D3"/>
    <w:rsid w:val="005D6419"/>
    <w:rsid w:val="005D686E"/>
    <w:rsid w:val="005D6BE7"/>
    <w:rsid w:val="005D6C7F"/>
    <w:rsid w:val="005D6F0D"/>
    <w:rsid w:val="005D7312"/>
    <w:rsid w:val="005D757C"/>
    <w:rsid w:val="005D7668"/>
    <w:rsid w:val="005D7E72"/>
    <w:rsid w:val="005E0061"/>
    <w:rsid w:val="005E01BC"/>
    <w:rsid w:val="005E0472"/>
    <w:rsid w:val="005E0771"/>
    <w:rsid w:val="005E0BEC"/>
    <w:rsid w:val="005E1395"/>
    <w:rsid w:val="005E16D4"/>
    <w:rsid w:val="005E1B14"/>
    <w:rsid w:val="005E1E2B"/>
    <w:rsid w:val="005E1E95"/>
    <w:rsid w:val="005E2369"/>
    <w:rsid w:val="005E237B"/>
    <w:rsid w:val="005E262B"/>
    <w:rsid w:val="005E26A6"/>
    <w:rsid w:val="005E27C3"/>
    <w:rsid w:val="005E27E7"/>
    <w:rsid w:val="005E2F10"/>
    <w:rsid w:val="005E30B8"/>
    <w:rsid w:val="005E385B"/>
    <w:rsid w:val="005E39DA"/>
    <w:rsid w:val="005E3B7C"/>
    <w:rsid w:val="005E3EC4"/>
    <w:rsid w:val="005E40BF"/>
    <w:rsid w:val="005E4113"/>
    <w:rsid w:val="005E42EC"/>
    <w:rsid w:val="005E431D"/>
    <w:rsid w:val="005E43F0"/>
    <w:rsid w:val="005E4C78"/>
    <w:rsid w:val="005E4F34"/>
    <w:rsid w:val="005E4FB0"/>
    <w:rsid w:val="005E50DC"/>
    <w:rsid w:val="005E51A9"/>
    <w:rsid w:val="005E5594"/>
    <w:rsid w:val="005E57E3"/>
    <w:rsid w:val="005E58CF"/>
    <w:rsid w:val="005E5E9E"/>
    <w:rsid w:val="005E6088"/>
    <w:rsid w:val="005E61C9"/>
    <w:rsid w:val="005E6352"/>
    <w:rsid w:val="005E64B5"/>
    <w:rsid w:val="005E6617"/>
    <w:rsid w:val="005E6EBD"/>
    <w:rsid w:val="005E6F80"/>
    <w:rsid w:val="005E70E7"/>
    <w:rsid w:val="005E7952"/>
    <w:rsid w:val="005E7BB7"/>
    <w:rsid w:val="005F006F"/>
    <w:rsid w:val="005F07D8"/>
    <w:rsid w:val="005F0E72"/>
    <w:rsid w:val="005F1427"/>
    <w:rsid w:val="005F1F08"/>
    <w:rsid w:val="005F23AD"/>
    <w:rsid w:val="005F339F"/>
    <w:rsid w:val="005F34AE"/>
    <w:rsid w:val="005F3685"/>
    <w:rsid w:val="005F38BC"/>
    <w:rsid w:val="005F4119"/>
    <w:rsid w:val="005F446F"/>
    <w:rsid w:val="005F46D4"/>
    <w:rsid w:val="005F470C"/>
    <w:rsid w:val="005F521F"/>
    <w:rsid w:val="005F536B"/>
    <w:rsid w:val="005F5509"/>
    <w:rsid w:val="005F578B"/>
    <w:rsid w:val="005F5BAD"/>
    <w:rsid w:val="005F5D86"/>
    <w:rsid w:val="005F6016"/>
    <w:rsid w:val="005F65D6"/>
    <w:rsid w:val="005F68E7"/>
    <w:rsid w:val="005F6FBE"/>
    <w:rsid w:val="005F708B"/>
    <w:rsid w:val="005F76E6"/>
    <w:rsid w:val="005F77ED"/>
    <w:rsid w:val="005F7A43"/>
    <w:rsid w:val="005F7BF5"/>
    <w:rsid w:val="005F7D8B"/>
    <w:rsid w:val="0060023C"/>
    <w:rsid w:val="006003BF"/>
    <w:rsid w:val="00600497"/>
    <w:rsid w:val="00600921"/>
    <w:rsid w:val="00600D06"/>
    <w:rsid w:val="00600F6F"/>
    <w:rsid w:val="006010B5"/>
    <w:rsid w:val="00601320"/>
    <w:rsid w:val="006017E2"/>
    <w:rsid w:val="00601D23"/>
    <w:rsid w:val="00601F55"/>
    <w:rsid w:val="006020B2"/>
    <w:rsid w:val="006021DF"/>
    <w:rsid w:val="006023F8"/>
    <w:rsid w:val="0060282D"/>
    <w:rsid w:val="00602A93"/>
    <w:rsid w:val="00602AD7"/>
    <w:rsid w:val="00602E53"/>
    <w:rsid w:val="0060312C"/>
    <w:rsid w:val="00603356"/>
    <w:rsid w:val="00603676"/>
    <w:rsid w:val="00603680"/>
    <w:rsid w:val="00604046"/>
    <w:rsid w:val="00604154"/>
    <w:rsid w:val="00605241"/>
    <w:rsid w:val="00605DA8"/>
    <w:rsid w:val="00606669"/>
    <w:rsid w:val="00606853"/>
    <w:rsid w:val="006068DE"/>
    <w:rsid w:val="00606AFC"/>
    <w:rsid w:val="00606FB0"/>
    <w:rsid w:val="00607122"/>
    <w:rsid w:val="0060740E"/>
    <w:rsid w:val="00607E31"/>
    <w:rsid w:val="006105C7"/>
    <w:rsid w:val="00610798"/>
    <w:rsid w:val="006107EF"/>
    <w:rsid w:val="006109D2"/>
    <w:rsid w:val="006111EE"/>
    <w:rsid w:val="0061127F"/>
    <w:rsid w:val="00611406"/>
    <w:rsid w:val="00611855"/>
    <w:rsid w:val="006119C3"/>
    <w:rsid w:val="00611EBC"/>
    <w:rsid w:val="00611F44"/>
    <w:rsid w:val="00611F7B"/>
    <w:rsid w:val="0061237B"/>
    <w:rsid w:val="006128A6"/>
    <w:rsid w:val="006129D0"/>
    <w:rsid w:val="00612A0C"/>
    <w:rsid w:val="00613584"/>
    <w:rsid w:val="0061366C"/>
    <w:rsid w:val="00613D46"/>
    <w:rsid w:val="00613D4E"/>
    <w:rsid w:val="00613DA8"/>
    <w:rsid w:val="00613E18"/>
    <w:rsid w:val="00614535"/>
    <w:rsid w:val="00614566"/>
    <w:rsid w:val="00614DD4"/>
    <w:rsid w:val="0061512B"/>
    <w:rsid w:val="006153CE"/>
    <w:rsid w:val="00615563"/>
    <w:rsid w:val="00615747"/>
    <w:rsid w:val="00615A4E"/>
    <w:rsid w:val="00615BD6"/>
    <w:rsid w:val="00615D5F"/>
    <w:rsid w:val="00615E44"/>
    <w:rsid w:val="00616B9E"/>
    <w:rsid w:val="00616EF4"/>
    <w:rsid w:val="00616F66"/>
    <w:rsid w:val="0061702F"/>
    <w:rsid w:val="006176B8"/>
    <w:rsid w:val="006178E5"/>
    <w:rsid w:val="0062036F"/>
    <w:rsid w:val="00620413"/>
    <w:rsid w:val="0062092C"/>
    <w:rsid w:val="00620A0C"/>
    <w:rsid w:val="00620B40"/>
    <w:rsid w:val="006212E6"/>
    <w:rsid w:val="006219BD"/>
    <w:rsid w:val="00621E98"/>
    <w:rsid w:val="00622085"/>
    <w:rsid w:val="0062218F"/>
    <w:rsid w:val="0062220D"/>
    <w:rsid w:val="006223D2"/>
    <w:rsid w:val="00622767"/>
    <w:rsid w:val="00622918"/>
    <w:rsid w:val="006229D4"/>
    <w:rsid w:val="00622BC0"/>
    <w:rsid w:val="00622C54"/>
    <w:rsid w:val="00622FCB"/>
    <w:rsid w:val="00623738"/>
    <w:rsid w:val="00623790"/>
    <w:rsid w:val="00623965"/>
    <w:rsid w:val="00623CD2"/>
    <w:rsid w:val="00623E7F"/>
    <w:rsid w:val="00623E8F"/>
    <w:rsid w:val="0062400E"/>
    <w:rsid w:val="006240A3"/>
    <w:rsid w:val="0062436F"/>
    <w:rsid w:val="00624828"/>
    <w:rsid w:val="00624D16"/>
    <w:rsid w:val="0062532A"/>
    <w:rsid w:val="00625C47"/>
    <w:rsid w:val="00626014"/>
    <w:rsid w:val="00626AC8"/>
    <w:rsid w:val="00626C6A"/>
    <w:rsid w:val="00626EB4"/>
    <w:rsid w:val="00627114"/>
    <w:rsid w:val="006272C5"/>
    <w:rsid w:val="0062763B"/>
    <w:rsid w:val="00627B0C"/>
    <w:rsid w:val="00630012"/>
    <w:rsid w:val="0063037F"/>
    <w:rsid w:val="006304EB"/>
    <w:rsid w:val="00630535"/>
    <w:rsid w:val="0063094B"/>
    <w:rsid w:val="00631299"/>
    <w:rsid w:val="006312DC"/>
    <w:rsid w:val="00631661"/>
    <w:rsid w:val="00631695"/>
    <w:rsid w:val="0063194E"/>
    <w:rsid w:val="00631FAC"/>
    <w:rsid w:val="00632002"/>
    <w:rsid w:val="00632100"/>
    <w:rsid w:val="00632245"/>
    <w:rsid w:val="00632D2C"/>
    <w:rsid w:val="00632D82"/>
    <w:rsid w:val="00633420"/>
    <w:rsid w:val="00633462"/>
    <w:rsid w:val="006337EA"/>
    <w:rsid w:val="006340B9"/>
    <w:rsid w:val="00634210"/>
    <w:rsid w:val="00634903"/>
    <w:rsid w:val="00634A15"/>
    <w:rsid w:val="00634A84"/>
    <w:rsid w:val="00634DAB"/>
    <w:rsid w:val="00634F12"/>
    <w:rsid w:val="00634FC7"/>
    <w:rsid w:val="00634FD1"/>
    <w:rsid w:val="006356BA"/>
    <w:rsid w:val="006361BC"/>
    <w:rsid w:val="00636531"/>
    <w:rsid w:val="00636659"/>
    <w:rsid w:val="00636AB3"/>
    <w:rsid w:val="00636B4A"/>
    <w:rsid w:val="00636D3D"/>
    <w:rsid w:val="00636D5D"/>
    <w:rsid w:val="0063728A"/>
    <w:rsid w:val="00637941"/>
    <w:rsid w:val="00637E48"/>
    <w:rsid w:val="00640159"/>
    <w:rsid w:val="00640245"/>
    <w:rsid w:val="006402C7"/>
    <w:rsid w:val="006406D8"/>
    <w:rsid w:val="00640909"/>
    <w:rsid w:val="00640A26"/>
    <w:rsid w:val="006410F0"/>
    <w:rsid w:val="006414F2"/>
    <w:rsid w:val="00641529"/>
    <w:rsid w:val="0064284B"/>
    <w:rsid w:val="0064291B"/>
    <w:rsid w:val="00642C27"/>
    <w:rsid w:val="0064308B"/>
    <w:rsid w:val="006433F1"/>
    <w:rsid w:val="00643699"/>
    <w:rsid w:val="006439A2"/>
    <w:rsid w:val="00643C9A"/>
    <w:rsid w:val="006442F7"/>
    <w:rsid w:val="0064481B"/>
    <w:rsid w:val="00644B37"/>
    <w:rsid w:val="00644B8C"/>
    <w:rsid w:val="006452B0"/>
    <w:rsid w:val="00645BE3"/>
    <w:rsid w:val="00645F63"/>
    <w:rsid w:val="006462CD"/>
    <w:rsid w:val="0064667E"/>
    <w:rsid w:val="00646873"/>
    <w:rsid w:val="00646B73"/>
    <w:rsid w:val="00646D98"/>
    <w:rsid w:val="00646F65"/>
    <w:rsid w:val="00647046"/>
    <w:rsid w:val="006471B0"/>
    <w:rsid w:val="0064751E"/>
    <w:rsid w:val="006476D3"/>
    <w:rsid w:val="00647F54"/>
    <w:rsid w:val="0065062F"/>
    <w:rsid w:val="00650B52"/>
    <w:rsid w:val="00650B86"/>
    <w:rsid w:val="00650BB9"/>
    <w:rsid w:val="00650F0B"/>
    <w:rsid w:val="00650FE1"/>
    <w:rsid w:val="00651291"/>
    <w:rsid w:val="0065168F"/>
    <w:rsid w:val="00651771"/>
    <w:rsid w:val="00651874"/>
    <w:rsid w:val="0065187A"/>
    <w:rsid w:val="00651EB0"/>
    <w:rsid w:val="0065280E"/>
    <w:rsid w:val="00652842"/>
    <w:rsid w:val="0065349F"/>
    <w:rsid w:val="00653553"/>
    <w:rsid w:val="00653917"/>
    <w:rsid w:val="00653EEA"/>
    <w:rsid w:val="0065423E"/>
    <w:rsid w:val="00654290"/>
    <w:rsid w:val="0065457E"/>
    <w:rsid w:val="006549B7"/>
    <w:rsid w:val="00654CF2"/>
    <w:rsid w:val="00654F19"/>
    <w:rsid w:val="0065539A"/>
    <w:rsid w:val="006560ED"/>
    <w:rsid w:val="0065690E"/>
    <w:rsid w:val="0065696C"/>
    <w:rsid w:val="00656F30"/>
    <w:rsid w:val="00657069"/>
    <w:rsid w:val="006572AB"/>
    <w:rsid w:val="00657663"/>
    <w:rsid w:val="00657A5C"/>
    <w:rsid w:val="00657C98"/>
    <w:rsid w:val="006602B5"/>
    <w:rsid w:val="00660511"/>
    <w:rsid w:val="006605B8"/>
    <w:rsid w:val="006608E3"/>
    <w:rsid w:val="00660E46"/>
    <w:rsid w:val="0066150B"/>
    <w:rsid w:val="00661DF0"/>
    <w:rsid w:val="00661E8D"/>
    <w:rsid w:val="00662057"/>
    <w:rsid w:val="00662235"/>
    <w:rsid w:val="00662374"/>
    <w:rsid w:val="00662531"/>
    <w:rsid w:val="00662F2F"/>
    <w:rsid w:val="0066302A"/>
    <w:rsid w:val="00663AF4"/>
    <w:rsid w:val="00663B00"/>
    <w:rsid w:val="00663B27"/>
    <w:rsid w:val="00664161"/>
    <w:rsid w:val="0066425F"/>
    <w:rsid w:val="00664477"/>
    <w:rsid w:val="00664C74"/>
    <w:rsid w:val="0066538D"/>
    <w:rsid w:val="00665443"/>
    <w:rsid w:val="00665554"/>
    <w:rsid w:val="00665AD9"/>
    <w:rsid w:val="00665B77"/>
    <w:rsid w:val="00665D6A"/>
    <w:rsid w:val="006663CB"/>
    <w:rsid w:val="0066648D"/>
    <w:rsid w:val="00666930"/>
    <w:rsid w:val="00666ED4"/>
    <w:rsid w:val="00667357"/>
    <w:rsid w:val="006678F5"/>
    <w:rsid w:val="00667BD5"/>
    <w:rsid w:val="00667BEE"/>
    <w:rsid w:val="00670304"/>
    <w:rsid w:val="00670529"/>
    <w:rsid w:val="006709A3"/>
    <w:rsid w:val="00670FE8"/>
    <w:rsid w:val="00671081"/>
    <w:rsid w:val="0067160B"/>
    <w:rsid w:val="00671830"/>
    <w:rsid w:val="00671ACB"/>
    <w:rsid w:val="00671B1C"/>
    <w:rsid w:val="00671B56"/>
    <w:rsid w:val="00671BB5"/>
    <w:rsid w:val="00671E1A"/>
    <w:rsid w:val="00671EA6"/>
    <w:rsid w:val="00671F08"/>
    <w:rsid w:val="0067232F"/>
    <w:rsid w:val="00672426"/>
    <w:rsid w:val="00672710"/>
    <w:rsid w:val="00672CDE"/>
    <w:rsid w:val="00672FA8"/>
    <w:rsid w:val="006730CD"/>
    <w:rsid w:val="006733D0"/>
    <w:rsid w:val="0067377C"/>
    <w:rsid w:val="006737F1"/>
    <w:rsid w:val="006738EE"/>
    <w:rsid w:val="00673EF0"/>
    <w:rsid w:val="00674B59"/>
    <w:rsid w:val="006751FA"/>
    <w:rsid w:val="0067521A"/>
    <w:rsid w:val="00675961"/>
    <w:rsid w:val="00675FB9"/>
    <w:rsid w:val="0067601B"/>
    <w:rsid w:val="00676095"/>
    <w:rsid w:val="0067689F"/>
    <w:rsid w:val="0067711F"/>
    <w:rsid w:val="00677B86"/>
    <w:rsid w:val="0068031E"/>
    <w:rsid w:val="006805FF"/>
    <w:rsid w:val="00680669"/>
    <w:rsid w:val="00680B7F"/>
    <w:rsid w:val="00680E9A"/>
    <w:rsid w:val="00681070"/>
    <w:rsid w:val="00681D23"/>
    <w:rsid w:val="00681D37"/>
    <w:rsid w:val="00681DED"/>
    <w:rsid w:val="006822AA"/>
    <w:rsid w:val="00682345"/>
    <w:rsid w:val="0068235D"/>
    <w:rsid w:val="00682656"/>
    <w:rsid w:val="006826E5"/>
    <w:rsid w:val="006829C9"/>
    <w:rsid w:val="00682B5F"/>
    <w:rsid w:val="00682C9E"/>
    <w:rsid w:val="00682CF5"/>
    <w:rsid w:val="00682EC8"/>
    <w:rsid w:val="0068309D"/>
    <w:rsid w:val="006831BE"/>
    <w:rsid w:val="0068324F"/>
    <w:rsid w:val="006832A2"/>
    <w:rsid w:val="006832AA"/>
    <w:rsid w:val="006832BE"/>
    <w:rsid w:val="0068383A"/>
    <w:rsid w:val="00683B19"/>
    <w:rsid w:val="00683F3A"/>
    <w:rsid w:val="0068435C"/>
    <w:rsid w:val="00684625"/>
    <w:rsid w:val="00684888"/>
    <w:rsid w:val="00684890"/>
    <w:rsid w:val="006849F6"/>
    <w:rsid w:val="00684BB4"/>
    <w:rsid w:val="00684FB4"/>
    <w:rsid w:val="00685492"/>
    <w:rsid w:val="0068564B"/>
    <w:rsid w:val="00685A5F"/>
    <w:rsid w:val="00686785"/>
    <w:rsid w:val="00686D38"/>
    <w:rsid w:val="00686D70"/>
    <w:rsid w:val="00687101"/>
    <w:rsid w:val="00687B1C"/>
    <w:rsid w:val="00687D72"/>
    <w:rsid w:val="00690134"/>
    <w:rsid w:val="0069022E"/>
    <w:rsid w:val="006906F1"/>
    <w:rsid w:val="00690E42"/>
    <w:rsid w:val="006911FF"/>
    <w:rsid w:val="0069120A"/>
    <w:rsid w:val="00691229"/>
    <w:rsid w:val="00691342"/>
    <w:rsid w:val="00691959"/>
    <w:rsid w:val="00691DFF"/>
    <w:rsid w:val="00692353"/>
    <w:rsid w:val="006926EB"/>
    <w:rsid w:val="00692DD1"/>
    <w:rsid w:val="0069322D"/>
    <w:rsid w:val="00693288"/>
    <w:rsid w:val="0069334D"/>
    <w:rsid w:val="00693ADE"/>
    <w:rsid w:val="00693AE8"/>
    <w:rsid w:val="00693C43"/>
    <w:rsid w:val="00693D9B"/>
    <w:rsid w:val="00693E8E"/>
    <w:rsid w:val="006941AE"/>
    <w:rsid w:val="00694B70"/>
    <w:rsid w:val="00694C76"/>
    <w:rsid w:val="00694D7D"/>
    <w:rsid w:val="00694DE8"/>
    <w:rsid w:val="006952F8"/>
    <w:rsid w:val="0069540E"/>
    <w:rsid w:val="00695BEA"/>
    <w:rsid w:val="00695EBA"/>
    <w:rsid w:val="006962D7"/>
    <w:rsid w:val="00696609"/>
    <w:rsid w:val="00696708"/>
    <w:rsid w:val="00696DE6"/>
    <w:rsid w:val="00696E9C"/>
    <w:rsid w:val="00696F28"/>
    <w:rsid w:val="00696F59"/>
    <w:rsid w:val="0069720B"/>
    <w:rsid w:val="006972E0"/>
    <w:rsid w:val="00697939"/>
    <w:rsid w:val="006A0516"/>
    <w:rsid w:val="006A0979"/>
    <w:rsid w:val="006A09D6"/>
    <w:rsid w:val="006A0A4A"/>
    <w:rsid w:val="006A0E05"/>
    <w:rsid w:val="006A0FD6"/>
    <w:rsid w:val="006A1989"/>
    <w:rsid w:val="006A1D1C"/>
    <w:rsid w:val="006A1E28"/>
    <w:rsid w:val="006A1E55"/>
    <w:rsid w:val="006A1E58"/>
    <w:rsid w:val="006A22C2"/>
    <w:rsid w:val="006A2B09"/>
    <w:rsid w:val="006A3356"/>
    <w:rsid w:val="006A3A5A"/>
    <w:rsid w:val="006A3BA4"/>
    <w:rsid w:val="006A40D8"/>
    <w:rsid w:val="006A47B1"/>
    <w:rsid w:val="006A49AE"/>
    <w:rsid w:val="006A4AFF"/>
    <w:rsid w:val="006A4D78"/>
    <w:rsid w:val="006A4DD7"/>
    <w:rsid w:val="006A5231"/>
    <w:rsid w:val="006A52B9"/>
    <w:rsid w:val="006A5562"/>
    <w:rsid w:val="006A576D"/>
    <w:rsid w:val="006A57C4"/>
    <w:rsid w:val="006A5B6D"/>
    <w:rsid w:val="006A5D0F"/>
    <w:rsid w:val="006A611A"/>
    <w:rsid w:val="006A65A5"/>
    <w:rsid w:val="006A65AB"/>
    <w:rsid w:val="006A6CFF"/>
    <w:rsid w:val="006A754F"/>
    <w:rsid w:val="006B014A"/>
    <w:rsid w:val="006B03C9"/>
    <w:rsid w:val="006B06A0"/>
    <w:rsid w:val="006B0790"/>
    <w:rsid w:val="006B08CD"/>
    <w:rsid w:val="006B09A9"/>
    <w:rsid w:val="006B0CBD"/>
    <w:rsid w:val="006B0DD4"/>
    <w:rsid w:val="006B0F81"/>
    <w:rsid w:val="006B122E"/>
    <w:rsid w:val="006B1442"/>
    <w:rsid w:val="006B174A"/>
    <w:rsid w:val="006B1C23"/>
    <w:rsid w:val="006B2037"/>
    <w:rsid w:val="006B2239"/>
    <w:rsid w:val="006B2374"/>
    <w:rsid w:val="006B270F"/>
    <w:rsid w:val="006B2F1A"/>
    <w:rsid w:val="006B3A4A"/>
    <w:rsid w:val="006B3EDF"/>
    <w:rsid w:val="006B3F9A"/>
    <w:rsid w:val="006B4284"/>
    <w:rsid w:val="006B451C"/>
    <w:rsid w:val="006B4836"/>
    <w:rsid w:val="006B4DC5"/>
    <w:rsid w:val="006B4DCB"/>
    <w:rsid w:val="006B4F71"/>
    <w:rsid w:val="006B5E7F"/>
    <w:rsid w:val="006B5F50"/>
    <w:rsid w:val="006B60EF"/>
    <w:rsid w:val="006B6410"/>
    <w:rsid w:val="006B6B74"/>
    <w:rsid w:val="006B6C5C"/>
    <w:rsid w:val="006B6F60"/>
    <w:rsid w:val="006B7258"/>
    <w:rsid w:val="006B7AA9"/>
    <w:rsid w:val="006B7ADC"/>
    <w:rsid w:val="006C0002"/>
    <w:rsid w:val="006C04E6"/>
    <w:rsid w:val="006C04EE"/>
    <w:rsid w:val="006C0EC9"/>
    <w:rsid w:val="006C1277"/>
    <w:rsid w:val="006C1480"/>
    <w:rsid w:val="006C1675"/>
    <w:rsid w:val="006C187F"/>
    <w:rsid w:val="006C18E7"/>
    <w:rsid w:val="006C1F1B"/>
    <w:rsid w:val="006C279E"/>
    <w:rsid w:val="006C2E91"/>
    <w:rsid w:val="006C2ED3"/>
    <w:rsid w:val="006C320C"/>
    <w:rsid w:val="006C322B"/>
    <w:rsid w:val="006C34C0"/>
    <w:rsid w:val="006C3C54"/>
    <w:rsid w:val="006C3D7F"/>
    <w:rsid w:val="006C3E9C"/>
    <w:rsid w:val="006C453A"/>
    <w:rsid w:val="006C4777"/>
    <w:rsid w:val="006C4B1B"/>
    <w:rsid w:val="006C52EE"/>
    <w:rsid w:val="006C558B"/>
    <w:rsid w:val="006C579D"/>
    <w:rsid w:val="006C5ACC"/>
    <w:rsid w:val="006C5C75"/>
    <w:rsid w:val="006C5E2E"/>
    <w:rsid w:val="006C5E3A"/>
    <w:rsid w:val="006C5F62"/>
    <w:rsid w:val="006C67E5"/>
    <w:rsid w:val="006C6B3A"/>
    <w:rsid w:val="006C74FF"/>
    <w:rsid w:val="006C7D2B"/>
    <w:rsid w:val="006C7F04"/>
    <w:rsid w:val="006D0362"/>
    <w:rsid w:val="006D078C"/>
    <w:rsid w:val="006D093A"/>
    <w:rsid w:val="006D09BD"/>
    <w:rsid w:val="006D0C21"/>
    <w:rsid w:val="006D0CA6"/>
    <w:rsid w:val="006D0F49"/>
    <w:rsid w:val="006D0FAC"/>
    <w:rsid w:val="006D10D2"/>
    <w:rsid w:val="006D158E"/>
    <w:rsid w:val="006D15C8"/>
    <w:rsid w:val="006D2C87"/>
    <w:rsid w:val="006D37BC"/>
    <w:rsid w:val="006D384A"/>
    <w:rsid w:val="006D38E5"/>
    <w:rsid w:val="006D3CDC"/>
    <w:rsid w:val="006D3D24"/>
    <w:rsid w:val="006D3E64"/>
    <w:rsid w:val="006D40D4"/>
    <w:rsid w:val="006D4168"/>
    <w:rsid w:val="006D442F"/>
    <w:rsid w:val="006D484B"/>
    <w:rsid w:val="006D48B2"/>
    <w:rsid w:val="006D4A3C"/>
    <w:rsid w:val="006D54AE"/>
    <w:rsid w:val="006D571D"/>
    <w:rsid w:val="006D5D00"/>
    <w:rsid w:val="006D5D06"/>
    <w:rsid w:val="006D6005"/>
    <w:rsid w:val="006D628A"/>
    <w:rsid w:val="006D65F1"/>
    <w:rsid w:val="006D6752"/>
    <w:rsid w:val="006D698E"/>
    <w:rsid w:val="006D76A4"/>
    <w:rsid w:val="006D7C53"/>
    <w:rsid w:val="006D7CA0"/>
    <w:rsid w:val="006D7FC0"/>
    <w:rsid w:val="006E00AE"/>
    <w:rsid w:val="006E021E"/>
    <w:rsid w:val="006E036F"/>
    <w:rsid w:val="006E05B3"/>
    <w:rsid w:val="006E065C"/>
    <w:rsid w:val="006E0BC0"/>
    <w:rsid w:val="006E12D3"/>
    <w:rsid w:val="006E16A5"/>
    <w:rsid w:val="006E1A7B"/>
    <w:rsid w:val="006E1BB2"/>
    <w:rsid w:val="006E1C12"/>
    <w:rsid w:val="006E1CCC"/>
    <w:rsid w:val="006E2086"/>
    <w:rsid w:val="006E22F3"/>
    <w:rsid w:val="006E2623"/>
    <w:rsid w:val="006E2907"/>
    <w:rsid w:val="006E2A12"/>
    <w:rsid w:val="006E2EC6"/>
    <w:rsid w:val="006E2F46"/>
    <w:rsid w:val="006E3123"/>
    <w:rsid w:val="006E3236"/>
    <w:rsid w:val="006E36EF"/>
    <w:rsid w:val="006E4031"/>
    <w:rsid w:val="006E4408"/>
    <w:rsid w:val="006E44D8"/>
    <w:rsid w:val="006E59DC"/>
    <w:rsid w:val="006E5BE1"/>
    <w:rsid w:val="006E5C1E"/>
    <w:rsid w:val="006E65B3"/>
    <w:rsid w:val="006E6F00"/>
    <w:rsid w:val="006E7172"/>
    <w:rsid w:val="006E71C0"/>
    <w:rsid w:val="006E71D9"/>
    <w:rsid w:val="006E734E"/>
    <w:rsid w:val="006E74F2"/>
    <w:rsid w:val="006E7A13"/>
    <w:rsid w:val="006E7D73"/>
    <w:rsid w:val="006E7EAC"/>
    <w:rsid w:val="006E7ECE"/>
    <w:rsid w:val="006F0124"/>
    <w:rsid w:val="006F0636"/>
    <w:rsid w:val="006F0C35"/>
    <w:rsid w:val="006F0C87"/>
    <w:rsid w:val="006F1029"/>
    <w:rsid w:val="006F1241"/>
    <w:rsid w:val="006F1457"/>
    <w:rsid w:val="006F16F5"/>
    <w:rsid w:val="006F17F7"/>
    <w:rsid w:val="006F1B1A"/>
    <w:rsid w:val="006F1FB3"/>
    <w:rsid w:val="006F2228"/>
    <w:rsid w:val="006F25B6"/>
    <w:rsid w:val="006F2884"/>
    <w:rsid w:val="006F2D7E"/>
    <w:rsid w:val="006F371C"/>
    <w:rsid w:val="006F3CD3"/>
    <w:rsid w:val="006F3D70"/>
    <w:rsid w:val="006F3F08"/>
    <w:rsid w:val="006F3F85"/>
    <w:rsid w:val="006F4071"/>
    <w:rsid w:val="006F4368"/>
    <w:rsid w:val="006F4516"/>
    <w:rsid w:val="006F4ADF"/>
    <w:rsid w:val="006F4AE2"/>
    <w:rsid w:val="006F4B80"/>
    <w:rsid w:val="006F5013"/>
    <w:rsid w:val="006F51AC"/>
    <w:rsid w:val="006F58C9"/>
    <w:rsid w:val="006F5AE0"/>
    <w:rsid w:val="006F6393"/>
    <w:rsid w:val="006F65DA"/>
    <w:rsid w:val="006F6B59"/>
    <w:rsid w:val="006F6D8E"/>
    <w:rsid w:val="006F7641"/>
    <w:rsid w:val="006F7FC5"/>
    <w:rsid w:val="007004B1"/>
    <w:rsid w:val="00700BB0"/>
    <w:rsid w:val="00700CAA"/>
    <w:rsid w:val="00700CE1"/>
    <w:rsid w:val="007019DF"/>
    <w:rsid w:val="00701B90"/>
    <w:rsid w:val="00701E2A"/>
    <w:rsid w:val="0070243C"/>
    <w:rsid w:val="00702921"/>
    <w:rsid w:val="00702B01"/>
    <w:rsid w:val="00702C05"/>
    <w:rsid w:val="00703780"/>
    <w:rsid w:val="00703803"/>
    <w:rsid w:val="00703B36"/>
    <w:rsid w:val="00703FFF"/>
    <w:rsid w:val="0070432F"/>
    <w:rsid w:val="00704854"/>
    <w:rsid w:val="00704C7E"/>
    <w:rsid w:val="00704C96"/>
    <w:rsid w:val="007055F6"/>
    <w:rsid w:val="007056F9"/>
    <w:rsid w:val="00705AC7"/>
    <w:rsid w:val="00705CE7"/>
    <w:rsid w:val="00705F3D"/>
    <w:rsid w:val="00706312"/>
    <w:rsid w:val="00706360"/>
    <w:rsid w:val="007067EE"/>
    <w:rsid w:val="00706D5B"/>
    <w:rsid w:val="00706DB3"/>
    <w:rsid w:val="00707B78"/>
    <w:rsid w:val="00710318"/>
    <w:rsid w:val="007105D0"/>
    <w:rsid w:val="0071068C"/>
    <w:rsid w:val="00710732"/>
    <w:rsid w:val="0071094D"/>
    <w:rsid w:val="007109BA"/>
    <w:rsid w:val="00710D3A"/>
    <w:rsid w:val="00710E7E"/>
    <w:rsid w:val="0071127B"/>
    <w:rsid w:val="007113A2"/>
    <w:rsid w:val="007114A4"/>
    <w:rsid w:val="00711C37"/>
    <w:rsid w:val="00711E45"/>
    <w:rsid w:val="007122D4"/>
    <w:rsid w:val="007124A6"/>
    <w:rsid w:val="007124F8"/>
    <w:rsid w:val="0071264A"/>
    <w:rsid w:val="0071317D"/>
    <w:rsid w:val="0071381D"/>
    <w:rsid w:val="00713A26"/>
    <w:rsid w:val="00714365"/>
    <w:rsid w:val="007144AE"/>
    <w:rsid w:val="00714B30"/>
    <w:rsid w:val="00714C4E"/>
    <w:rsid w:val="00714D28"/>
    <w:rsid w:val="00714F12"/>
    <w:rsid w:val="007151EF"/>
    <w:rsid w:val="007152DF"/>
    <w:rsid w:val="0071531B"/>
    <w:rsid w:val="0071550C"/>
    <w:rsid w:val="007160AE"/>
    <w:rsid w:val="007161A8"/>
    <w:rsid w:val="007163E2"/>
    <w:rsid w:val="00716444"/>
    <w:rsid w:val="0071657D"/>
    <w:rsid w:val="0071663C"/>
    <w:rsid w:val="00716890"/>
    <w:rsid w:val="0071699C"/>
    <w:rsid w:val="00716AE6"/>
    <w:rsid w:val="00716B49"/>
    <w:rsid w:val="00716ED8"/>
    <w:rsid w:val="00716F04"/>
    <w:rsid w:val="00716FBE"/>
    <w:rsid w:val="0071712C"/>
    <w:rsid w:val="0071742A"/>
    <w:rsid w:val="0071792D"/>
    <w:rsid w:val="00717BAF"/>
    <w:rsid w:val="00717C8F"/>
    <w:rsid w:val="00717D11"/>
    <w:rsid w:val="00720464"/>
    <w:rsid w:val="00720552"/>
    <w:rsid w:val="00720D80"/>
    <w:rsid w:val="0072124A"/>
    <w:rsid w:val="00721301"/>
    <w:rsid w:val="007217AC"/>
    <w:rsid w:val="00721A8D"/>
    <w:rsid w:val="00721A9D"/>
    <w:rsid w:val="00721D09"/>
    <w:rsid w:val="00721E57"/>
    <w:rsid w:val="00722031"/>
    <w:rsid w:val="00722837"/>
    <w:rsid w:val="007228E1"/>
    <w:rsid w:val="00722B84"/>
    <w:rsid w:val="00722DBF"/>
    <w:rsid w:val="00723261"/>
    <w:rsid w:val="007236FE"/>
    <w:rsid w:val="00723A11"/>
    <w:rsid w:val="00723A42"/>
    <w:rsid w:val="00723EC0"/>
    <w:rsid w:val="00724738"/>
    <w:rsid w:val="00724CD4"/>
    <w:rsid w:val="007250D4"/>
    <w:rsid w:val="0072553E"/>
    <w:rsid w:val="007255FB"/>
    <w:rsid w:val="00725902"/>
    <w:rsid w:val="00725947"/>
    <w:rsid w:val="00725E6E"/>
    <w:rsid w:val="00725EA9"/>
    <w:rsid w:val="0072673B"/>
    <w:rsid w:val="00726BF3"/>
    <w:rsid w:val="00726DAC"/>
    <w:rsid w:val="00726EA5"/>
    <w:rsid w:val="00726EAD"/>
    <w:rsid w:val="00727092"/>
    <w:rsid w:val="007270C3"/>
    <w:rsid w:val="007276E5"/>
    <w:rsid w:val="00727879"/>
    <w:rsid w:val="00727AC7"/>
    <w:rsid w:val="007305E4"/>
    <w:rsid w:val="007305E5"/>
    <w:rsid w:val="00730B0B"/>
    <w:rsid w:val="00730CAA"/>
    <w:rsid w:val="00730FE6"/>
    <w:rsid w:val="007310D5"/>
    <w:rsid w:val="00731216"/>
    <w:rsid w:val="0073125C"/>
    <w:rsid w:val="007313EB"/>
    <w:rsid w:val="007315F6"/>
    <w:rsid w:val="00731BFF"/>
    <w:rsid w:val="007323AC"/>
    <w:rsid w:val="00732401"/>
    <w:rsid w:val="00732835"/>
    <w:rsid w:val="007329B9"/>
    <w:rsid w:val="00732AEE"/>
    <w:rsid w:val="00732D3D"/>
    <w:rsid w:val="007332ED"/>
    <w:rsid w:val="0073347F"/>
    <w:rsid w:val="0073350C"/>
    <w:rsid w:val="0073377E"/>
    <w:rsid w:val="00733A12"/>
    <w:rsid w:val="00733A22"/>
    <w:rsid w:val="00733B28"/>
    <w:rsid w:val="0073493B"/>
    <w:rsid w:val="00735422"/>
    <w:rsid w:val="00735532"/>
    <w:rsid w:val="00735C30"/>
    <w:rsid w:val="0073632E"/>
    <w:rsid w:val="00736C8D"/>
    <w:rsid w:val="007370E3"/>
    <w:rsid w:val="007375B1"/>
    <w:rsid w:val="00737AD4"/>
    <w:rsid w:val="00737DBB"/>
    <w:rsid w:val="0074084F"/>
    <w:rsid w:val="007408F1"/>
    <w:rsid w:val="00740F64"/>
    <w:rsid w:val="00740FD0"/>
    <w:rsid w:val="00741071"/>
    <w:rsid w:val="00741357"/>
    <w:rsid w:val="007419B3"/>
    <w:rsid w:val="00741C68"/>
    <w:rsid w:val="00741E18"/>
    <w:rsid w:val="0074247E"/>
    <w:rsid w:val="007426D1"/>
    <w:rsid w:val="00742850"/>
    <w:rsid w:val="00742B82"/>
    <w:rsid w:val="00742E5F"/>
    <w:rsid w:val="00742F59"/>
    <w:rsid w:val="00744C58"/>
    <w:rsid w:val="00745332"/>
    <w:rsid w:val="00745630"/>
    <w:rsid w:val="00745692"/>
    <w:rsid w:val="00745FA3"/>
    <w:rsid w:val="00746317"/>
    <w:rsid w:val="00746454"/>
    <w:rsid w:val="00746496"/>
    <w:rsid w:val="00746E4C"/>
    <w:rsid w:val="00746F32"/>
    <w:rsid w:val="00747468"/>
    <w:rsid w:val="00747AD3"/>
    <w:rsid w:val="00747D92"/>
    <w:rsid w:val="0075044F"/>
    <w:rsid w:val="00750533"/>
    <w:rsid w:val="007505C4"/>
    <w:rsid w:val="00750760"/>
    <w:rsid w:val="00750861"/>
    <w:rsid w:val="00751497"/>
    <w:rsid w:val="007515DB"/>
    <w:rsid w:val="00751755"/>
    <w:rsid w:val="00751F83"/>
    <w:rsid w:val="00752026"/>
    <w:rsid w:val="00752960"/>
    <w:rsid w:val="00752B7A"/>
    <w:rsid w:val="007536F3"/>
    <w:rsid w:val="007539DF"/>
    <w:rsid w:val="00753E10"/>
    <w:rsid w:val="00754086"/>
    <w:rsid w:val="007540C1"/>
    <w:rsid w:val="007548B5"/>
    <w:rsid w:val="00754947"/>
    <w:rsid w:val="00754B24"/>
    <w:rsid w:val="00754F9C"/>
    <w:rsid w:val="0075507D"/>
    <w:rsid w:val="00755193"/>
    <w:rsid w:val="0075548B"/>
    <w:rsid w:val="007554C5"/>
    <w:rsid w:val="007556BD"/>
    <w:rsid w:val="00755812"/>
    <w:rsid w:val="007566FC"/>
    <w:rsid w:val="007567E9"/>
    <w:rsid w:val="00756D8E"/>
    <w:rsid w:val="0075704D"/>
    <w:rsid w:val="00757270"/>
    <w:rsid w:val="007575D7"/>
    <w:rsid w:val="007577E5"/>
    <w:rsid w:val="00757A26"/>
    <w:rsid w:val="00757C69"/>
    <w:rsid w:val="00760165"/>
    <w:rsid w:val="00760201"/>
    <w:rsid w:val="00760A4D"/>
    <w:rsid w:val="00760AB7"/>
    <w:rsid w:val="00760B98"/>
    <w:rsid w:val="00761165"/>
    <w:rsid w:val="00761B47"/>
    <w:rsid w:val="00761DA0"/>
    <w:rsid w:val="007621B7"/>
    <w:rsid w:val="0076230B"/>
    <w:rsid w:val="00762A84"/>
    <w:rsid w:val="00763143"/>
    <w:rsid w:val="007632DC"/>
    <w:rsid w:val="0076371D"/>
    <w:rsid w:val="00763D7F"/>
    <w:rsid w:val="00764A64"/>
    <w:rsid w:val="00764B28"/>
    <w:rsid w:val="00764C92"/>
    <w:rsid w:val="00764EF1"/>
    <w:rsid w:val="00765991"/>
    <w:rsid w:val="00765FF5"/>
    <w:rsid w:val="00766604"/>
    <w:rsid w:val="00766706"/>
    <w:rsid w:val="00766E31"/>
    <w:rsid w:val="007672FC"/>
    <w:rsid w:val="00767604"/>
    <w:rsid w:val="00767921"/>
    <w:rsid w:val="00767BC7"/>
    <w:rsid w:val="0077041C"/>
    <w:rsid w:val="00770D27"/>
    <w:rsid w:val="00770D73"/>
    <w:rsid w:val="00770FF0"/>
    <w:rsid w:val="007710C5"/>
    <w:rsid w:val="007711E6"/>
    <w:rsid w:val="0077168F"/>
    <w:rsid w:val="007716F7"/>
    <w:rsid w:val="00771C65"/>
    <w:rsid w:val="00771DBD"/>
    <w:rsid w:val="00772004"/>
    <w:rsid w:val="0077206E"/>
    <w:rsid w:val="0077216D"/>
    <w:rsid w:val="0077267A"/>
    <w:rsid w:val="0077268F"/>
    <w:rsid w:val="00772B21"/>
    <w:rsid w:val="00772B87"/>
    <w:rsid w:val="00772C9B"/>
    <w:rsid w:val="00772DD7"/>
    <w:rsid w:val="00772F06"/>
    <w:rsid w:val="0077367B"/>
    <w:rsid w:val="00773947"/>
    <w:rsid w:val="00773FF6"/>
    <w:rsid w:val="007743E5"/>
    <w:rsid w:val="00774911"/>
    <w:rsid w:val="00774A57"/>
    <w:rsid w:val="00774B1B"/>
    <w:rsid w:val="00774C40"/>
    <w:rsid w:val="00775123"/>
    <w:rsid w:val="007759D2"/>
    <w:rsid w:val="00775B6D"/>
    <w:rsid w:val="00775C2B"/>
    <w:rsid w:val="00775EFA"/>
    <w:rsid w:val="007762A7"/>
    <w:rsid w:val="0077631D"/>
    <w:rsid w:val="00776377"/>
    <w:rsid w:val="00776535"/>
    <w:rsid w:val="00776A08"/>
    <w:rsid w:val="00776AAE"/>
    <w:rsid w:val="00776B38"/>
    <w:rsid w:val="00776D53"/>
    <w:rsid w:val="0077759F"/>
    <w:rsid w:val="00777BB5"/>
    <w:rsid w:val="00777EF9"/>
    <w:rsid w:val="0078056E"/>
    <w:rsid w:val="00780763"/>
    <w:rsid w:val="007809C3"/>
    <w:rsid w:val="00780A01"/>
    <w:rsid w:val="00780C90"/>
    <w:rsid w:val="007810A1"/>
    <w:rsid w:val="00781113"/>
    <w:rsid w:val="00781200"/>
    <w:rsid w:val="00781303"/>
    <w:rsid w:val="007815DE"/>
    <w:rsid w:val="007819AD"/>
    <w:rsid w:val="007819B9"/>
    <w:rsid w:val="00781DAE"/>
    <w:rsid w:val="00781DD4"/>
    <w:rsid w:val="00782012"/>
    <w:rsid w:val="00782056"/>
    <w:rsid w:val="00782487"/>
    <w:rsid w:val="007826D2"/>
    <w:rsid w:val="007827C4"/>
    <w:rsid w:val="00782992"/>
    <w:rsid w:val="007829E4"/>
    <w:rsid w:val="00782BAB"/>
    <w:rsid w:val="0078302A"/>
    <w:rsid w:val="007832E1"/>
    <w:rsid w:val="0078339D"/>
    <w:rsid w:val="00783514"/>
    <w:rsid w:val="00783596"/>
    <w:rsid w:val="00783A3A"/>
    <w:rsid w:val="00783D44"/>
    <w:rsid w:val="00784D58"/>
    <w:rsid w:val="00784E4B"/>
    <w:rsid w:val="0078512B"/>
    <w:rsid w:val="00785616"/>
    <w:rsid w:val="00785DA1"/>
    <w:rsid w:val="00785FF1"/>
    <w:rsid w:val="00786249"/>
    <w:rsid w:val="00786F85"/>
    <w:rsid w:val="007878A0"/>
    <w:rsid w:val="00787BC1"/>
    <w:rsid w:val="007903A0"/>
    <w:rsid w:val="0079067D"/>
    <w:rsid w:val="00790827"/>
    <w:rsid w:val="00790A5F"/>
    <w:rsid w:val="00790C4B"/>
    <w:rsid w:val="00790D7A"/>
    <w:rsid w:val="00790EF7"/>
    <w:rsid w:val="0079117F"/>
    <w:rsid w:val="00791497"/>
    <w:rsid w:val="00791DA3"/>
    <w:rsid w:val="00792086"/>
    <w:rsid w:val="00792C64"/>
    <w:rsid w:val="007934CF"/>
    <w:rsid w:val="0079407C"/>
    <w:rsid w:val="0079413B"/>
    <w:rsid w:val="007941BA"/>
    <w:rsid w:val="007942CB"/>
    <w:rsid w:val="00794B04"/>
    <w:rsid w:val="00794BA2"/>
    <w:rsid w:val="00794C02"/>
    <w:rsid w:val="00794E90"/>
    <w:rsid w:val="00794FD5"/>
    <w:rsid w:val="007951E4"/>
    <w:rsid w:val="007952C0"/>
    <w:rsid w:val="00795391"/>
    <w:rsid w:val="00795493"/>
    <w:rsid w:val="0079582B"/>
    <w:rsid w:val="00795836"/>
    <w:rsid w:val="00795EC9"/>
    <w:rsid w:val="00796039"/>
    <w:rsid w:val="00796516"/>
    <w:rsid w:val="007965E6"/>
    <w:rsid w:val="00796883"/>
    <w:rsid w:val="00796A3A"/>
    <w:rsid w:val="0079794A"/>
    <w:rsid w:val="00797BC0"/>
    <w:rsid w:val="00797D35"/>
    <w:rsid w:val="00797E11"/>
    <w:rsid w:val="00797E60"/>
    <w:rsid w:val="007A00DE"/>
    <w:rsid w:val="007A011D"/>
    <w:rsid w:val="007A04AD"/>
    <w:rsid w:val="007A0729"/>
    <w:rsid w:val="007A0743"/>
    <w:rsid w:val="007A0867"/>
    <w:rsid w:val="007A099E"/>
    <w:rsid w:val="007A0E39"/>
    <w:rsid w:val="007A0E65"/>
    <w:rsid w:val="007A10BB"/>
    <w:rsid w:val="007A10F9"/>
    <w:rsid w:val="007A1463"/>
    <w:rsid w:val="007A18CD"/>
    <w:rsid w:val="007A1C09"/>
    <w:rsid w:val="007A20C1"/>
    <w:rsid w:val="007A20C2"/>
    <w:rsid w:val="007A247B"/>
    <w:rsid w:val="007A2CEA"/>
    <w:rsid w:val="007A2FC3"/>
    <w:rsid w:val="007A3914"/>
    <w:rsid w:val="007A3930"/>
    <w:rsid w:val="007A3D1B"/>
    <w:rsid w:val="007A3EAF"/>
    <w:rsid w:val="007A413F"/>
    <w:rsid w:val="007A44AD"/>
    <w:rsid w:val="007A44E4"/>
    <w:rsid w:val="007A4841"/>
    <w:rsid w:val="007A48D1"/>
    <w:rsid w:val="007A49E1"/>
    <w:rsid w:val="007A4C70"/>
    <w:rsid w:val="007A4F14"/>
    <w:rsid w:val="007A55DC"/>
    <w:rsid w:val="007A5917"/>
    <w:rsid w:val="007A5CE1"/>
    <w:rsid w:val="007A5DC2"/>
    <w:rsid w:val="007A6452"/>
    <w:rsid w:val="007A666A"/>
    <w:rsid w:val="007A674E"/>
    <w:rsid w:val="007A67A4"/>
    <w:rsid w:val="007A68B6"/>
    <w:rsid w:val="007A6A08"/>
    <w:rsid w:val="007A6B88"/>
    <w:rsid w:val="007A6EB0"/>
    <w:rsid w:val="007A6F23"/>
    <w:rsid w:val="007A71D3"/>
    <w:rsid w:val="007A7D97"/>
    <w:rsid w:val="007A7F88"/>
    <w:rsid w:val="007B0020"/>
    <w:rsid w:val="007B0550"/>
    <w:rsid w:val="007B07CA"/>
    <w:rsid w:val="007B08C6"/>
    <w:rsid w:val="007B0EF4"/>
    <w:rsid w:val="007B1023"/>
    <w:rsid w:val="007B1281"/>
    <w:rsid w:val="007B14DA"/>
    <w:rsid w:val="007B1B11"/>
    <w:rsid w:val="007B2424"/>
    <w:rsid w:val="007B275F"/>
    <w:rsid w:val="007B2AFE"/>
    <w:rsid w:val="007B2B68"/>
    <w:rsid w:val="007B2C73"/>
    <w:rsid w:val="007B32B4"/>
    <w:rsid w:val="007B3410"/>
    <w:rsid w:val="007B344D"/>
    <w:rsid w:val="007B3769"/>
    <w:rsid w:val="007B38A2"/>
    <w:rsid w:val="007B3972"/>
    <w:rsid w:val="007B4751"/>
    <w:rsid w:val="007B4770"/>
    <w:rsid w:val="007B47C2"/>
    <w:rsid w:val="007B4959"/>
    <w:rsid w:val="007B4A40"/>
    <w:rsid w:val="007B4C92"/>
    <w:rsid w:val="007B4D2A"/>
    <w:rsid w:val="007B52EA"/>
    <w:rsid w:val="007B546F"/>
    <w:rsid w:val="007B5474"/>
    <w:rsid w:val="007B5529"/>
    <w:rsid w:val="007B5797"/>
    <w:rsid w:val="007B5AB4"/>
    <w:rsid w:val="007B5D98"/>
    <w:rsid w:val="007B5F16"/>
    <w:rsid w:val="007B6183"/>
    <w:rsid w:val="007B6632"/>
    <w:rsid w:val="007B681E"/>
    <w:rsid w:val="007B6D4B"/>
    <w:rsid w:val="007B71AE"/>
    <w:rsid w:val="007B7967"/>
    <w:rsid w:val="007B799D"/>
    <w:rsid w:val="007B7DEC"/>
    <w:rsid w:val="007B7F36"/>
    <w:rsid w:val="007B7FC5"/>
    <w:rsid w:val="007C00C8"/>
    <w:rsid w:val="007C035C"/>
    <w:rsid w:val="007C07F9"/>
    <w:rsid w:val="007C0883"/>
    <w:rsid w:val="007C0946"/>
    <w:rsid w:val="007C0A3F"/>
    <w:rsid w:val="007C0D69"/>
    <w:rsid w:val="007C119D"/>
    <w:rsid w:val="007C1329"/>
    <w:rsid w:val="007C1385"/>
    <w:rsid w:val="007C191F"/>
    <w:rsid w:val="007C1C6C"/>
    <w:rsid w:val="007C262D"/>
    <w:rsid w:val="007C2BA3"/>
    <w:rsid w:val="007C3261"/>
    <w:rsid w:val="007C336F"/>
    <w:rsid w:val="007C37E8"/>
    <w:rsid w:val="007C3851"/>
    <w:rsid w:val="007C3863"/>
    <w:rsid w:val="007C4093"/>
    <w:rsid w:val="007C457A"/>
    <w:rsid w:val="007C4707"/>
    <w:rsid w:val="007C518F"/>
    <w:rsid w:val="007C52D2"/>
    <w:rsid w:val="007C5D69"/>
    <w:rsid w:val="007C5DEF"/>
    <w:rsid w:val="007C5F98"/>
    <w:rsid w:val="007C5FB2"/>
    <w:rsid w:val="007C6377"/>
    <w:rsid w:val="007C6390"/>
    <w:rsid w:val="007C6471"/>
    <w:rsid w:val="007C6513"/>
    <w:rsid w:val="007C6538"/>
    <w:rsid w:val="007C66E4"/>
    <w:rsid w:val="007C6D84"/>
    <w:rsid w:val="007C6E0E"/>
    <w:rsid w:val="007C7B04"/>
    <w:rsid w:val="007C7B3C"/>
    <w:rsid w:val="007C7F2D"/>
    <w:rsid w:val="007C7F66"/>
    <w:rsid w:val="007D0155"/>
    <w:rsid w:val="007D0CD3"/>
    <w:rsid w:val="007D0CF3"/>
    <w:rsid w:val="007D0ECC"/>
    <w:rsid w:val="007D11F6"/>
    <w:rsid w:val="007D14F9"/>
    <w:rsid w:val="007D18D8"/>
    <w:rsid w:val="007D2056"/>
    <w:rsid w:val="007D23B5"/>
    <w:rsid w:val="007D28E0"/>
    <w:rsid w:val="007D3828"/>
    <w:rsid w:val="007D3C0F"/>
    <w:rsid w:val="007D3E9A"/>
    <w:rsid w:val="007D3F07"/>
    <w:rsid w:val="007D43E6"/>
    <w:rsid w:val="007D4423"/>
    <w:rsid w:val="007D4544"/>
    <w:rsid w:val="007D4886"/>
    <w:rsid w:val="007D4D78"/>
    <w:rsid w:val="007D4E77"/>
    <w:rsid w:val="007D4F6D"/>
    <w:rsid w:val="007D5130"/>
    <w:rsid w:val="007D535F"/>
    <w:rsid w:val="007D540F"/>
    <w:rsid w:val="007D57F9"/>
    <w:rsid w:val="007D5C00"/>
    <w:rsid w:val="007D5C40"/>
    <w:rsid w:val="007D5DAE"/>
    <w:rsid w:val="007D5F3E"/>
    <w:rsid w:val="007D652A"/>
    <w:rsid w:val="007D695D"/>
    <w:rsid w:val="007D6E11"/>
    <w:rsid w:val="007D7651"/>
    <w:rsid w:val="007D7738"/>
    <w:rsid w:val="007D7744"/>
    <w:rsid w:val="007D779A"/>
    <w:rsid w:val="007D7892"/>
    <w:rsid w:val="007E0010"/>
    <w:rsid w:val="007E004C"/>
    <w:rsid w:val="007E004D"/>
    <w:rsid w:val="007E0090"/>
    <w:rsid w:val="007E05D6"/>
    <w:rsid w:val="007E06EE"/>
    <w:rsid w:val="007E0908"/>
    <w:rsid w:val="007E0D77"/>
    <w:rsid w:val="007E0D91"/>
    <w:rsid w:val="007E0DEB"/>
    <w:rsid w:val="007E11BF"/>
    <w:rsid w:val="007E14BD"/>
    <w:rsid w:val="007E150C"/>
    <w:rsid w:val="007E1789"/>
    <w:rsid w:val="007E180B"/>
    <w:rsid w:val="007E1AF8"/>
    <w:rsid w:val="007E1B6B"/>
    <w:rsid w:val="007E1C53"/>
    <w:rsid w:val="007E23B3"/>
    <w:rsid w:val="007E2543"/>
    <w:rsid w:val="007E27AF"/>
    <w:rsid w:val="007E33DF"/>
    <w:rsid w:val="007E34C8"/>
    <w:rsid w:val="007E34DA"/>
    <w:rsid w:val="007E35AC"/>
    <w:rsid w:val="007E3941"/>
    <w:rsid w:val="007E3BC4"/>
    <w:rsid w:val="007E40E8"/>
    <w:rsid w:val="007E4649"/>
    <w:rsid w:val="007E4714"/>
    <w:rsid w:val="007E4F3D"/>
    <w:rsid w:val="007E500E"/>
    <w:rsid w:val="007E549A"/>
    <w:rsid w:val="007E56E1"/>
    <w:rsid w:val="007E59D0"/>
    <w:rsid w:val="007E5D37"/>
    <w:rsid w:val="007E5E6A"/>
    <w:rsid w:val="007E64EF"/>
    <w:rsid w:val="007E668B"/>
    <w:rsid w:val="007E6942"/>
    <w:rsid w:val="007E6BE0"/>
    <w:rsid w:val="007E7337"/>
    <w:rsid w:val="007E7C08"/>
    <w:rsid w:val="007F00C5"/>
    <w:rsid w:val="007F0132"/>
    <w:rsid w:val="007F032F"/>
    <w:rsid w:val="007F04F4"/>
    <w:rsid w:val="007F054B"/>
    <w:rsid w:val="007F06CA"/>
    <w:rsid w:val="007F074A"/>
    <w:rsid w:val="007F0770"/>
    <w:rsid w:val="007F12F1"/>
    <w:rsid w:val="007F14B8"/>
    <w:rsid w:val="007F1550"/>
    <w:rsid w:val="007F1742"/>
    <w:rsid w:val="007F1B07"/>
    <w:rsid w:val="007F1DC7"/>
    <w:rsid w:val="007F1FF7"/>
    <w:rsid w:val="007F29FA"/>
    <w:rsid w:val="007F2B6A"/>
    <w:rsid w:val="007F2C58"/>
    <w:rsid w:val="007F2F11"/>
    <w:rsid w:val="007F32A0"/>
    <w:rsid w:val="007F3383"/>
    <w:rsid w:val="007F357B"/>
    <w:rsid w:val="007F37AB"/>
    <w:rsid w:val="007F3AFA"/>
    <w:rsid w:val="007F3D59"/>
    <w:rsid w:val="007F4102"/>
    <w:rsid w:val="007F427E"/>
    <w:rsid w:val="007F4644"/>
    <w:rsid w:val="007F4949"/>
    <w:rsid w:val="007F4CB3"/>
    <w:rsid w:val="007F4E51"/>
    <w:rsid w:val="007F5200"/>
    <w:rsid w:val="007F5FAC"/>
    <w:rsid w:val="007F5FC3"/>
    <w:rsid w:val="007F6293"/>
    <w:rsid w:val="007F641C"/>
    <w:rsid w:val="007F6441"/>
    <w:rsid w:val="007F68C7"/>
    <w:rsid w:val="007F6D1A"/>
    <w:rsid w:val="007F6D8D"/>
    <w:rsid w:val="007F70AA"/>
    <w:rsid w:val="007F7206"/>
    <w:rsid w:val="007F77E6"/>
    <w:rsid w:val="007F7AC7"/>
    <w:rsid w:val="007F7C43"/>
    <w:rsid w:val="008000E5"/>
    <w:rsid w:val="008000FB"/>
    <w:rsid w:val="00800320"/>
    <w:rsid w:val="008013A7"/>
    <w:rsid w:val="008013F1"/>
    <w:rsid w:val="0080180A"/>
    <w:rsid w:val="00801D1F"/>
    <w:rsid w:val="008026A6"/>
    <w:rsid w:val="00802A86"/>
    <w:rsid w:val="00802EB1"/>
    <w:rsid w:val="00802EE9"/>
    <w:rsid w:val="00803E2A"/>
    <w:rsid w:val="00803E72"/>
    <w:rsid w:val="0080417F"/>
    <w:rsid w:val="0080456F"/>
    <w:rsid w:val="008047C2"/>
    <w:rsid w:val="00804C2E"/>
    <w:rsid w:val="00804DED"/>
    <w:rsid w:val="00805EFD"/>
    <w:rsid w:val="00806036"/>
    <w:rsid w:val="0080615E"/>
    <w:rsid w:val="0080651E"/>
    <w:rsid w:val="0080656D"/>
    <w:rsid w:val="00806F29"/>
    <w:rsid w:val="0080715E"/>
    <w:rsid w:val="0080720F"/>
    <w:rsid w:val="008074CB"/>
    <w:rsid w:val="0080766D"/>
    <w:rsid w:val="00807BFB"/>
    <w:rsid w:val="008101B3"/>
    <w:rsid w:val="00810930"/>
    <w:rsid w:val="00810934"/>
    <w:rsid w:val="0081093E"/>
    <w:rsid w:val="00810ACB"/>
    <w:rsid w:val="00810E0A"/>
    <w:rsid w:val="008110A2"/>
    <w:rsid w:val="00811354"/>
    <w:rsid w:val="008114AB"/>
    <w:rsid w:val="00811AE6"/>
    <w:rsid w:val="00811C2D"/>
    <w:rsid w:val="00811C5F"/>
    <w:rsid w:val="00812458"/>
    <w:rsid w:val="008137F4"/>
    <w:rsid w:val="00813AE2"/>
    <w:rsid w:val="00814342"/>
    <w:rsid w:val="00814EE1"/>
    <w:rsid w:val="00814F27"/>
    <w:rsid w:val="00815029"/>
    <w:rsid w:val="008150DF"/>
    <w:rsid w:val="00815360"/>
    <w:rsid w:val="008159B8"/>
    <w:rsid w:val="00815E4A"/>
    <w:rsid w:val="00815ED8"/>
    <w:rsid w:val="008164FC"/>
    <w:rsid w:val="008167A1"/>
    <w:rsid w:val="00816939"/>
    <w:rsid w:val="0081699D"/>
    <w:rsid w:val="00816CEB"/>
    <w:rsid w:val="00816D1E"/>
    <w:rsid w:val="00817083"/>
    <w:rsid w:val="00817234"/>
    <w:rsid w:val="0081763F"/>
    <w:rsid w:val="00817976"/>
    <w:rsid w:val="00817AB2"/>
    <w:rsid w:val="00817EC6"/>
    <w:rsid w:val="008208AE"/>
    <w:rsid w:val="00820D94"/>
    <w:rsid w:val="00820E97"/>
    <w:rsid w:val="0082101B"/>
    <w:rsid w:val="00821CAB"/>
    <w:rsid w:val="00822375"/>
    <w:rsid w:val="00822E0E"/>
    <w:rsid w:val="008230F8"/>
    <w:rsid w:val="00823261"/>
    <w:rsid w:val="00823734"/>
    <w:rsid w:val="00823797"/>
    <w:rsid w:val="00823AC0"/>
    <w:rsid w:val="00823F23"/>
    <w:rsid w:val="008240E2"/>
    <w:rsid w:val="008240F1"/>
    <w:rsid w:val="00824338"/>
    <w:rsid w:val="00824389"/>
    <w:rsid w:val="00824505"/>
    <w:rsid w:val="008245AB"/>
    <w:rsid w:val="00824FD0"/>
    <w:rsid w:val="00825170"/>
    <w:rsid w:val="008251CD"/>
    <w:rsid w:val="00825A62"/>
    <w:rsid w:val="00826461"/>
    <w:rsid w:val="0082681C"/>
    <w:rsid w:val="00826F79"/>
    <w:rsid w:val="00827811"/>
    <w:rsid w:val="008279C2"/>
    <w:rsid w:val="00827C1C"/>
    <w:rsid w:val="00827F5A"/>
    <w:rsid w:val="008303D4"/>
    <w:rsid w:val="00830887"/>
    <w:rsid w:val="0083097C"/>
    <w:rsid w:val="00830A4C"/>
    <w:rsid w:val="00831141"/>
    <w:rsid w:val="00831235"/>
    <w:rsid w:val="0083176A"/>
    <w:rsid w:val="00831D8F"/>
    <w:rsid w:val="00831FB5"/>
    <w:rsid w:val="00832124"/>
    <w:rsid w:val="00832442"/>
    <w:rsid w:val="00832C9D"/>
    <w:rsid w:val="00832E21"/>
    <w:rsid w:val="00833047"/>
    <w:rsid w:val="0083331E"/>
    <w:rsid w:val="00833746"/>
    <w:rsid w:val="008338F6"/>
    <w:rsid w:val="00833958"/>
    <w:rsid w:val="00833BEF"/>
    <w:rsid w:val="00833E13"/>
    <w:rsid w:val="008343A9"/>
    <w:rsid w:val="0083451B"/>
    <w:rsid w:val="00834667"/>
    <w:rsid w:val="00834B1B"/>
    <w:rsid w:val="00834BA7"/>
    <w:rsid w:val="0083516B"/>
    <w:rsid w:val="008356D0"/>
    <w:rsid w:val="0083579B"/>
    <w:rsid w:val="0083592C"/>
    <w:rsid w:val="00835CE2"/>
    <w:rsid w:val="00835E85"/>
    <w:rsid w:val="0083673C"/>
    <w:rsid w:val="00836786"/>
    <w:rsid w:val="00836A99"/>
    <w:rsid w:val="00836F52"/>
    <w:rsid w:val="00837204"/>
    <w:rsid w:val="0083732D"/>
    <w:rsid w:val="0083737B"/>
    <w:rsid w:val="00837FCD"/>
    <w:rsid w:val="00840036"/>
    <w:rsid w:val="00840726"/>
    <w:rsid w:val="00840DB0"/>
    <w:rsid w:val="00841A4F"/>
    <w:rsid w:val="00841AF8"/>
    <w:rsid w:val="00841CCA"/>
    <w:rsid w:val="00841D96"/>
    <w:rsid w:val="00842346"/>
    <w:rsid w:val="008426BA"/>
    <w:rsid w:val="008427DB"/>
    <w:rsid w:val="008428FB"/>
    <w:rsid w:val="00843297"/>
    <w:rsid w:val="00843ABB"/>
    <w:rsid w:val="0084410F"/>
    <w:rsid w:val="008442AA"/>
    <w:rsid w:val="00844381"/>
    <w:rsid w:val="00844C3F"/>
    <w:rsid w:val="00844E41"/>
    <w:rsid w:val="0084506A"/>
    <w:rsid w:val="008450AE"/>
    <w:rsid w:val="008452BB"/>
    <w:rsid w:val="00845709"/>
    <w:rsid w:val="00845B27"/>
    <w:rsid w:val="00845D52"/>
    <w:rsid w:val="008462F6"/>
    <w:rsid w:val="00846371"/>
    <w:rsid w:val="008463D1"/>
    <w:rsid w:val="008465FA"/>
    <w:rsid w:val="0084673B"/>
    <w:rsid w:val="008468E9"/>
    <w:rsid w:val="00846A7D"/>
    <w:rsid w:val="00846DE1"/>
    <w:rsid w:val="008470B0"/>
    <w:rsid w:val="0084755D"/>
    <w:rsid w:val="00847748"/>
    <w:rsid w:val="00847A1C"/>
    <w:rsid w:val="00850692"/>
    <w:rsid w:val="00850DE6"/>
    <w:rsid w:val="008517DB"/>
    <w:rsid w:val="00851D5B"/>
    <w:rsid w:val="008521F4"/>
    <w:rsid w:val="008522AF"/>
    <w:rsid w:val="008525C3"/>
    <w:rsid w:val="00852952"/>
    <w:rsid w:val="00852AC1"/>
    <w:rsid w:val="00853060"/>
    <w:rsid w:val="008534C3"/>
    <w:rsid w:val="00853776"/>
    <w:rsid w:val="00853E4C"/>
    <w:rsid w:val="00853E5F"/>
    <w:rsid w:val="00854112"/>
    <w:rsid w:val="0085412D"/>
    <w:rsid w:val="008553F6"/>
    <w:rsid w:val="00855659"/>
    <w:rsid w:val="008557B6"/>
    <w:rsid w:val="00855A2D"/>
    <w:rsid w:val="00855CAD"/>
    <w:rsid w:val="00855ECD"/>
    <w:rsid w:val="008560E0"/>
    <w:rsid w:val="00856136"/>
    <w:rsid w:val="0085679C"/>
    <w:rsid w:val="00857128"/>
    <w:rsid w:val="00857363"/>
    <w:rsid w:val="00857508"/>
    <w:rsid w:val="0085788A"/>
    <w:rsid w:val="00857A1A"/>
    <w:rsid w:val="00857D5F"/>
    <w:rsid w:val="0086066C"/>
    <w:rsid w:val="00860B71"/>
    <w:rsid w:val="00860C46"/>
    <w:rsid w:val="0086100A"/>
    <w:rsid w:val="008614C5"/>
    <w:rsid w:val="0086195D"/>
    <w:rsid w:val="00861B79"/>
    <w:rsid w:val="00861EE2"/>
    <w:rsid w:val="00861F92"/>
    <w:rsid w:val="0086218A"/>
    <w:rsid w:val="008621D6"/>
    <w:rsid w:val="00862343"/>
    <w:rsid w:val="008623CE"/>
    <w:rsid w:val="0086281C"/>
    <w:rsid w:val="00862F95"/>
    <w:rsid w:val="00862FE6"/>
    <w:rsid w:val="008631E9"/>
    <w:rsid w:val="0086329A"/>
    <w:rsid w:val="008632FE"/>
    <w:rsid w:val="00863A70"/>
    <w:rsid w:val="00863F3E"/>
    <w:rsid w:val="00863F6D"/>
    <w:rsid w:val="0086419A"/>
    <w:rsid w:val="0086447D"/>
    <w:rsid w:val="00864906"/>
    <w:rsid w:val="00864B3A"/>
    <w:rsid w:val="00864FFA"/>
    <w:rsid w:val="0086504B"/>
    <w:rsid w:val="0086534E"/>
    <w:rsid w:val="008653BE"/>
    <w:rsid w:val="00865A02"/>
    <w:rsid w:val="0086617D"/>
    <w:rsid w:val="0086695B"/>
    <w:rsid w:val="00867146"/>
    <w:rsid w:val="00867443"/>
    <w:rsid w:val="008674D1"/>
    <w:rsid w:val="00867B83"/>
    <w:rsid w:val="00867DFC"/>
    <w:rsid w:val="0087088B"/>
    <w:rsid w:val="00870CEC"/>
    <w:rsid w:val="008712AB"/>
    <w:rsid w:val="0087152B"/>
    <w:rsid w:val="00871639"/>
    <w:rsid w:val="00871739"/>
    <w:rsid w:val="00871BF5"/>
    <w:rsid w:val="008723D3"/>
    <w:rsid w:val="0087272D"/>
    <w:rsid w:val="00872A1B"/>
    <w:rsid w:val="00872BB8"/>
    <w:rsid w:val="00872BFC"/>
    <w:rsid w:val="008738FB"/>
    <w:rsid w:val="00873E92"/>
    <w:rsid w:val="00873EEB"/>
    <w:rsid w:val="0087414D"/>
    <w:rsid w:val="0087443C"/>
    <w:rsid w:val="008746E5"/>
    <w:rsid w:val="00874D0E"/>
    <w:rsid w:val="0087535C"/>
    <w:rsid w:val="00875713"/>
    <w:rsid w:val="008757F2"/>
    <w:rsid w:val="008758CB"/>
    <w:rsid w:val="0087596C"/>
    <w:rsid w:val="0087596E"/>
    <w:rsid w:val="00875D04"/>
    <w:rsid w:val="00875F0A"/>
    <w:rsid w:val="0087613F"/>
    <w:rsid w:val="008761B6"/>
    <w:rsid w:val="00876271"/>
    <w:rsid w:val="008763A7"/>
    <w:rsid w:val="008764F2"/>
    <w:rsid w:val="00876568"/>
    <w:rsid w:val="00876AF8"/>
    <w:rsid w:val="0087742E"/>
    <w:rsid w:val="008775C9"/>
    <w:rsid w:val="0087768D"/>
    <w:rsid w:val="00877F00"/>
    <w:rsid w:val="0088039E"/>
    <w:rsid w:val="008803E6"/>
    <w:rsid w:val="008807BD"/>
    <w:rsid w:val="0088097C"/>
    <w:rsid w:val="00880AA7"/>
    <w:rsid w:val="00880C72"/>
    <w:rsid w:val="00880CE3"/>
    <w:rsid w:val="00881170"/>
    <w:rsid w:val="008811BC"/>
    <w:rsid w:val="0088139E"/>
    <w:rsid w:val="00881649"/>
    <w:rsid w:val="0088177A"/>
    <w:rsid w:val="008818F2"/>
    <w:rsid w:val="0088290C"/>
    <w:rsid w:val="00882921"/>
    <w:rsid w:val="00882BA3"/>
    <w:rsid w:val="00882CF0"/>
    <w:rsid w:val="00882DB5"/>
    <w:rsid w:val="00883410"/>
    <w:rsid w:val="00883ABA"/>
    <w:rsid w:val="00883DA7"/>
    <w:rsid w:val="00883DE9"/>
    <w:rsid w:val="008847AA"/>
    <w:rsid w:val="008847B8"/>
    <w:rsid w:val="008850F8"/>
    <w:rsid w:val="008852A5"/>
    <w:rsid w:val="008856D4"/>
    <w:rsid w:val="00885F7E"/>
    <w:rsid w:val="00885FB5"/>
    <w:rsid w:val="008867E6"/>
    <w:rsid w:val="00886E52"/>
    <w:rsid w:val="00887627"/>
    <w:rsid w:val="00887694"/>
    <w:rsid w:val="00887834"/>
    <w:rsid w:val="008879B5"/>
    <w:rsid w:val="00887BC6"/>
    <w:rsid w:val="008902F4"/>
    <w:rsid w:val="0089077C"/>
    <w:rsid w:val="00890F91"/>
    <w:rsid w:val="008915A6"/>
    <w:rsid w:val="00891BAC"/>
    <w:rsid w:val="00891F94"/>
    <w:rsid w:val="00892350"/>
    <w:rsid w:val="008923B1"/>
    <w:rsid w:val="008925E8"/>
    <w:rsid w:val="008926C4"/>
    <w:rsid w:val="00892AB1"/>
    <w:rsid w:val="00892C58"/>
    <w:rsid w:val="008930BE"/>
    <w:rsid w:val="008932E9"/>
    <w:rsid w:val="00893456"/>
    <w:rsid w:val="008938A1"/>
    <w:rsid w:val="00893E3E"/>
    <w:rsid w:val="00893E8A"/>
    <w:rsid w:val="00893F52"/>
    <w:rsid w:val="008941EC"/>
    <w:rsid w:val="008945EE"/>
    <w:rsid w:val="00894624"/>
    <w:rsid w:val="008952A8"/>
    <w:rsid w:val="008959B2"/>
    <w:rsid w:val="00896015"/>
    <w:rsid w:val="008964A9"/>
    <w:rsid w:val="00896783"/>
    <w:rsid w:val="0089681A"/>
    <w:rsid w:val="00896B41"/>
    <w:rsid w:val="00896F17"/>
    <w:rsid w:val="00897252"/>
    <w:rsid w:val="008975CC"/>
    <w:rsid w:val="00897618"/>
    <w:rsid w:val="00897BEF"/>
    <w:rsid w:val="008A1B3C"/>
    <w:rsid w:val="008A1BFD"/>
    <w:rsid w:val="008A1C39"/>
    <w:rsid w:val="008A248A"/>
    <w:rsid w:val="008A26CB"/>
    <w:rsid w:val="008A27B8"/>
    <w:rsid w:val="008A2805"/>
    <w:rsid w:val="008A28BF"/>
    <w:rsid w:val="008A2ACA"/>
    <w:rsid w:val="008A2E47"/>
    <w:rsid w:val="008A2FBC"/>
    <w:rsid w:val="008A379C"/>
    <w:rsid w:val="008A3A5A"/>
    <w:rsid w:val="008A3E67"/>
    <w:rsid w:val="008A403A"/>
    <w:rsid w:val="008A42DA"/>
    <w:rsid w:val="008A43B4"/>
    <w:rsid w:val="008A49B2"/>
    <w:rsid w:val="008A4F00"/>
    <w:rsid w:val="008A5522"/>
    <w:rsid w:val="008A5684"/>
    <w:rsid w:val="008A5C62"/>
    <w:rsid w:val="008A65C2"/>
    <w:rsid w:val="008A6E48"/>
    <w:rsid w:val="008A6FC3"/>
    <w:rsid w:val="008A701E"/>
    <w:rsid w:val="008A734B"/>
    <w:rsid w:val="008A7706"/>
    <w:rsid w:val="008A7BDA"/>
    <w:rsid w:val="008A7F65"/>
    <w:rsid w:val="008B0210"/>
    <w:rsid w:val="008B0328"/>
    <w:rsid w:val="008B0C9A"/>
    <w:rsid w:val="008B17D9"/>
    <w:rsid w:val="008B1A1C"/>
    <w:rsid w:val="008B1D5C"/>
    <w:rsid w:val="008B1D60"/>
    <w:rsid w:val="008B1E73"/>
    <w:rsid w:val="008B207B"/>
    <w:rsid w:val="008B2510"/>
    <w:rsid w:val="008B2A87"/>
    <w:rsid w:val="008B2D49"/>
    <w:rsid w:val="008B2D7F"/>
    <w:rsid w:val="008B31CD"/>
    <w:rsid w:val="008B31EE"/>
    <w:rsid w:val="008B34D8"/>
    <w:rsid w:val="008B3624"/>
    <w:rsid w:val="008B3878"/>
    <w:rsid w:val="008B4555"/>
    <w:rsid w:val="008B4F22"/>
    <w:rsid w:val="008B508B"/>
    <w:rsid w:val="008B5229"/>
    <w:rsid w:val="008B527F"/>
    <w:rsid w:val="008B578F"/>
    <w:rsid w:val="008B5CC4"/>
    <w:rsid w:val="008B5EEE"/>
    <w:rsid w:val="008B5F62"/>
    <w:rsid w:val="008B601B"/>
    <w:rsid w:val="008B6796"/>
    <w:rsid w:val="008B67BD"/>
    <w:rsid w:val="008B6AB9"/>
    <w:rsid w:val="008B6CFB"/>
    <w:rsid w:val="008B6D25"/>
    <w:rsid w:val="008B6EAE"/>
    <w:rsid w:val="008B6F70"/>
    <w:rsid w:val="008B70C7"/>
    <w:rsid w:val="008B7391"/>
    <w:rsid w:val="008B7427"/>
    <w:rsid w:val="008B7AF1"/>
    <w:rsid w:val="008B7F48"/>
    <w:rsid w:val="008B7FE3"/>
    <w:rsid w:val="008C1075"/>
    <w:rsid w:val="008C12E3"/>
    <w:rsid w:val="008C169C"/>
    <w:rsid w:val="008C1BD3"/>
    <w:rsid w:val="008C1F08"/>
    <w:rsid w:val="008C1F25"/>
    <w:rsid w:val="008C249A"/>
    <w:rsid w:val="008C2711"/>
    <w:rsid w:val="008C2886"/>
    <w:rsid w:val="008C2AAA"/>
    <w:rsid w:val="008C2E0E"/>
    <w:rsid w:val="008C3117"/>
    <w:rsid w:val="008C3398"/>
    <w:rsid w:val="008C3BED"/>
    <w:rsid w:val="008C4A72"/>
    <w:rsid w:val="008C4B26"/>
    <w:rsid w:val="008C5564"/>
    <w:rsid w:val="008C5A8F"/>
    <w:rsid w:val="008C5F1E"/>
    <w:rsid w:val="008C616F"/>
    <w:rsid w:val="008C6185"/>
    <w:rsid w:val="008C618B"/>
    <w:rsid w:val="008C62E1"/>
    <w:rsid w:val="008C6502"/>
    <w:rsid w:val="008C657D"/>
    <w:rsid w:val="008C66C5"/>
    <w:rsid w:val="008C69A0"/>
    <w:rsid w:val="008C69E2"/>
    <w:rsid w:val="008C6BC5"/>
    <w:rsid w:val="008C7599"/>
    <w:rsid w:val="008C75A6"/>
    <w:rsid w:val="008C77D4"/>
    <w:rsid w:val="008C7BB5"/>
    <w:rsid w:val="008C7C03"/>
    <w:rsid w:val="008C7C92"/>
    <w:rsid w:val="008C7D5C"/>
    <w:rsid w:val="008D0654"/>
    <w:rsid w:val="008D0814"/>
    <w:rsid w:val="008D0D33"/>
    <w:rsid w:val="008D0D9B"/>
    <w:rsid w:val="008D0E7B"/>
    <w:rsid w:val="008D0F28"/>
    <w:rsid w:val="008D0FEE"/>
    <w:rsid w:val="008D10F4"/>
    <w:rsid w:val="008D12CC"/>
    <w:rsid w:val="008D1324"/>
    <w:rsid w:val="008D134F"/>
    <w:rsid w:val="008D14C3"/>
    <w:rsid w:val="008D18B9"/>
    <w:rsid w:val="008D2364"/>
    <w:rsid w:val="008D25BA"/>
    <w:rsid w:val="008D26B3"/>
    <w:rsid w:val="008D26FD"/>
    <w:rsid w:val="008D2738"/>
    <w:rsid w:val="008D2779"/>
    <w:rsid w:val="008D2925"/>
    <w:rsid w:val="008D2AF6"/>
    <w:rsid w:val="008D2B2C"/>
    <w:rsid w:val="008D2E60"/>
    <w:rsid w:val="008D32F7"/>
    <w:rsid w:val="008D333F"/>
    <w:rsid w:val="008D371F"/>
    <w:rsid w:val="008D39F5"/>
    <w:rsid w:val="008D3B52"/>
    <w:rsid w:val="008D41C5"/>
    <w:rsid w:val="008D45B6"/>
    <w:rsid w:val="008D4668"/>
    <w:rsid w:val="008D47AB"/>
    <w:rsid w:val="008D5174"/>
    <w:rsid w:val="008D51BC"/>
    <w:rsid w:val="008D574C"/>
    <w:rsid w:val="008D5ED9"/>
    <w:rsid w:val="008D5F1F"/>
    <w:rsid w:val="008D6543"/>
    <w:rsid w:val="008D65D0"/>
    <w:rsid w:val="008D65DA"/>
    <w:rsid w:val="008D65FA"/>
    <w:rsid w:val="008D6720"/>
    <w:rsid w:val="008D6CB8"/>
    <w:rsid w:val="008D6DF2"/>
    <w:rsid w:val="008D6E9E"/>
    <w:rsid w:val="008D7438"/>
    <w:rsid w:val="008D7526"/>
    <w:rsid w:val="008E012C"/>
    <w:rsid w:val="008E02D0"/>
    <w:rsid w:val="008E06DA"/>
    <w:rsid w:val="008E07C8"/>
    <w:rsid w:val="008E08AF"/>
    <w:rsid w:val="008E0A1A"/>
    <w:rsid w:val="008E0EE4"/>
    <w:rsid w:val="008E1032"/>
    <w:rsid w:val="008E1095"/>
    <w:rsid w:val="008E15BE"/>
    <w:rsid w:val="008E1635"/>
    <w:rsid w:val="008E18C4"/>
    <w:rsid w:val="008E1D4F"/>
    <w:rsid w:val="008E2286"/>
    <w:rsid w:val="008E2767"/>
    <w:rsid w:val="008E2778"/>
    <w:rsid w:val="008E2CB0"/>
    <w:rsid w:val="008E2D0A"/>
    <w:rsid w:val="008E2E30"/>
    <w:rsid w:val="008E35BF"/>
    <w:rsid w:val="008E3E1C"/>
    <w:rsid w:val="008E3EDC"/>
    <w:rsid w:val="008E3F46"/>
    <w:rsid w:val="008E3FCB"/>
    <w:rsid w:val="008E40F8"/>
    <w:rsid w:val="008E4599"/>
    <w:rsid w:val="008E45C7"/>
    <w:rsid w:val="008E48F6"/>
    <w:rsid w:val="008E5063"/>
    <w:rsid w:val="008E51D5"/>
    <w:rsid w:val="008E55B7"/>
    <w:rsid w:val="008E6099"/>
    <w:rsid w:val="008E6859"/>
    <w:rsid w:val="008E68C8"/>
    <w:rsid w:val="008E68EC"/>
    <w:rsid w:val="008E6B35"/>
    <w:rsid w:val="008E6E94"/>
    <w:rsid w:val="008E7065"/>
    <w:rsid w:val="008E79CA"/>
    <w:rsid w:val="008E79E8"/>
    <w:rsid w:val="008E7C49"/>
    <w:rsid w:val="008F0300"/>
    <w:rsid w:val="008F079B"/>
    <w:rsid w:val="008F0849"/>
    <w:rsid w:val="008F096C"/>
    <w:rsid w:val="008F0A39"/>
    <w:rsid w:val="008F0B0D"/>
    <w:rsid w:val="008F0BCD"/>
    <w:rsid w:val="008F0F19"/>
    <w:rsid w:val="008F128B"/>
    <w:rsid w:val="008F12E8"/>
    <w:rsid w:val="008F16A0"/>
    <w:rsid w:val="008F1924"/>
    <w:rsid w:val="008F1B39"/>
    <w:rsid w:val="008F1BE0"/>
    <w:rsid w:val="008F1BF3"/>
    <w:rsid w:val="008F2199"/>
    <w:rsid w:val="008F2343"/>
    <w:rsid w:val="008F2404"/>
    <w:rsid w:val="008F26C4"/>
    <w:rsid w:val="008F297C"/>
    <w:rsid w:val="008F2BFA"/>
    <w:rsid w:val="008F2DE4"/>
    <w:rsid w:val="008F2E2A"/>
    <w:rsid w:val="008F2FBA"/>
    <w:rsid w:val="008F34DC"/>
    <w:rsid w:val="008F3522"/>
    <w:rsid w:val="008F35E9"/>
    <w:rsid w:val="008F406C"/>
    <w:rsid w:val="008F4AA6"/>
    <w:rsid w:val="008F5298"/>
    <w:rsid w:val="008F5BF3"/>
    <w:rsid w:val="008F5D3F"/>
    <w:rsid w:val="008F5D53"/>
    <w:rsid w:val="008F6093"/>
    <w:rsid w:val="008F6227"/>
    <w:rsid w:val="008F675A"/>
    <w:rsid w:val="008F6BF1"/>
    <w:rsid w:val="008F6C57"/>
    <w:rsid w:val="008F6D1E"/>
    <w:rsid w:val="008F6EC2"/>
    <w:rsid w:val="008F72F4"/>
    <w:rsid w:val="008F74B3"/>
    <w:rsid w:val="008F75F6"/>
    <w:rsid w:val="008F78FC"/>
    <w:rsid w:val="008F7E05"/>
    <w:rsid w:val="008F7EF9"/>
    <w:rsid w:val="00900927"/>
    <w:rsid w:val="00900A79"/>
    <w:rsid w:val="0090203E"/>
    <w:rsid w:val="00902159"/>
    <w:rsid w:val="009023E2"/>
    <w:rsid w:val="009026B6"/>
    <w:rsid w:val="00902B08"/>
    <w:rsid w:val="00902D46"/>
    <w:rsid w:val="00903CE9"/>
    <w:rsid w:val="00903FB7"/>
    <w:rsid w:val="009046B4"/>
    <w:rsid w:val="009046D3"/>
    <w:rsid w:val="009052D7"/>
    <w:rsid w:val="00905466"/>
    <w:rsid w:val="00905C47"/>
    <w:rsid w:val="00905CBA"/>
    <w:rsid w:val="0090615F"/>
    <w:rsid w:val="0090671D"/>
    <w:rsid w:val="009068D5"/>
    <w:rsid w:val="00906AE3"/>
    <w:rsid w:val="00906CCE"/>
    <w:rsid w:val="0090746A"/>
    <w:rsid w:val="009078D6"/>
    <w:rsid w:val="0090790B"/>
    <w:rsid w:val="00907CE9"/>
    <w:rsid w:val="00907EB7"/>
    <w:rsid w:val="00910117"/>
    <w:rsid w:val="00910216"/>
    <w:rsid w:val="0091034E"/>
    <w:rsid w:val="00910609"/>
    <w:rsid w:val="00910AA5"/>
    <w:rsid w:val="009110F0"/>
    <w:rsid w:val="00911772"/>
    <w:rsid w:val="0091178B"/>
    <w:rsid w:val="00911AD9"/>
    <w:rsid w:val="00911ADE"/>
    <w:rsid w:val="00911CAF"/>
    <w:rsid w:val="00911DAD"/>
    <w:rsid w:val="00911E1E"/>
    <w:rsid w:val="00911EA4"/>
    <w:rsid w:val="00911F47"/>
    <w:rsid w:val="009125FD"/>
    <w:rsid w:val="009129BC"/>
    <w:rsid w:val="00912C44"/>
    <w:rsid w:val="00912E70"/>
    <w:rsid w:val="00912F51"/>
    <w:rsid w:val="0091378E"/>
    <w:rsid w:val="0091394A"/>
    <w:rsid w:val="00913F95"/>
    <w:rsid w:val="0091416B"/>
    <w:rsid w:val="009141CF"/>
    <w:rsid w:val="009142E5"/>
    <w:rsid w:val="009144AE"/>
    <w:rsid w:val="009148E8"/>
    <w:rsid w:val="00914E35"/>
    <w:rsid w:val="009155B0"/>
    <w:rsid w:val="0091577E"/>
    <w:rsid w:val="00915AC0"/>
    <w:rsid w:val="00915BA2"/>
    <w:rsid w:val="00915BD8"/>
    <w:rsid w:val="00915E29"/>
    <w:rsid w:val="009162DB"/>
    <w:rsid w:val="00916418"/>
    <w:rsid w:val="0091688B"/>
    <w:rsid w:val="00916D36"/>
    <w:rsid w:val="00917168"/>
    <w:rsid w:val="00917338"/>
    <w:rsid w:val="009174D5"/>
    <w:rsid w:val="00917E9F"/>
    <w:rsid w:val="00917F0B"/>
    <w:rsid w:val="00917FF2"/>
    <w:rsid w:val="00920200"/>
    <w:rsid w:val="00920237"/>
    <w:rsid w:val="0092040A"/>
    <w:rsid w:val="009204CC"/>
    <w:rsid w:val="00920506"/>
    <w:rsid w:val="0092083D"/>
    <w:rsid w:val="00920AB3"/>
    <w:rsid w:val="00920C19"/>
    <w:rsid w:val="00920D43"/>
    <w:rsid w:val="009212B0"/>
    <w:rsid w:val="00921485"/>
    <w:rsid w:val="009219F9"/>
    <w:rsid w:val="00922413"/>
    <w:rsid w:val="00922793"/>
    <w:rsid w:val="00922AD8"/>
    <w:rsid w:val="00922B68"/>
    <w:rsid w:val="00922C77"/>
    <w:rsid w:val="00922EBC"/>
    <w:rsid w:val="009230AA"/>
    <w:rsid w:val="009239B8"/>
    <w:rsid w:val="00923C23"/>
    <w:rsid w:val="00924105"/>
    <w:rsid w:val="009246B3"/>
    <w:rsid w:val="00924E7B"/>
    <w:rsid w:val="00925128"/>
    <w:rsid w:val="00925541"/>
    <w:rsid w:val="009256FE"/>
    <w:rsid w:val="0092694F"/>
    <w:rsid w:val="00927199"/>
    <w:rsid w:val="009277FD"/>
    <w:rsid w:val="00927825"/>
    <w:rsid w:val="00927973"/>
    <w:rsid w:val="00927C99"/>
    <w:rsid w:val="009303DE"/>
    <w:rsid w:val="009303F8"/>
    <w:rsid w:val="00930BC9"/>
    <w:rsid w:val="009310A7"/>
    <w:rsid w:val="00931283"/>
    <w:rsid w:val="009312D9"/>
    <w:rsid w:val="0093195D"/>
    <w:rsid w:val="00931AD5"/>
    <w:rsid w:val="00931B15"/>
    <w:rsid w:val="00931B8D"/>
    <w:rsid w:val="00931F96"/>
    <w:rsid w:val="00932460"/>
    <w:rsid w:val="009324C7"/>
    <w:rsid w:val="0093263B"/>
    <w:rsid w:val="00932948"/>
    <w:rsid w:val="00932962"/>
    <w:rsid w:val="009329C1"/>
    <w:rsid w:val="009333B1"/>
    <w:rsid w:val="009335DA"/>
    <w:rsid w:val="0093421C"/>
    <w:rsid w:val="00934D16"/>
    <w:rsid w:val="009359AB"/>
    <w:rsid w:val="00935E73"/>
    <w:rsid w:val="009363FF"/>
    <w:rsid w:val="0093641C"/>
    <w:rsid w:val="009368F1"/>
    <w:rsid w:val="00936BD4"/>
    <w:rsid w:val="00936CE0"/>
    <w:rsid w:val="0093725F"/>
    <w:rsid w:val="00937534"/>
    <w:rsid w:val="00937FC3"/>
    <w:rsid w:val="0094087F"/>
    <w:rsid w:val="009409EA"/>
    <w:rsid w:val="00940D48"/>
    <w:rsid w:val="00941175"/>
    <w:rsid w:val="009412D6"/>
    <w:rsid w:val="00941683"/>
    <w:rsid w:val="00941DC2"/>
    <w:rsid w:val="00942363"/>
    <w:rsid w:val="00942822"/>
    <w:rsid w:val="00942B0D"/>
    <w:rsid w:val="00942BB2"/>
    <w:rsid w:val="009434C7"/>
    <w:rsid w:val="009439F8"/>
    <w:rsid w:val="009439FB"/>
    <w:rsid w:val="00943A7A"/>
    <w:rsid w:val="00943CDD"/>
    <w:rsid w:val="009446C7"/>
    <w:rsid w:val="009446CC"/>
    <w:rsid w:val="00944F36"/>
    <w:rsid w:val="0094527A"/>
    <w:rsid w:val="00945750"/>
    <w:rsid w:val="009457C8"/>
    <w:rsid w:val="009458A9"/>
    <w:rsid w:val="00945BF5"/>
    <w:rsid w:val="009463A6"/>
    <w:rsid w:val="00946DA2"/>
    <w:rsid w:val="00947497"/>
    <w:rsid w:val="009478A5"/>
    <w:rsid w:val="00947B35"/>
    <w:rsid w:val="00947B3E"/>
    <w:rsid w:val="00947E91"/>
    <w:rsid w:val="00947FF8"/>
    <w:rsid w:val="0095049A"/>
    <w:rsid w:val="00950605"/>
    <w:rsid w:val="00950FBB"/>
    <w:rsid w:val="009512B4"/>
    <w:rsid w:val="009515D3"/>
    <w:rsid w:val="009516A4"/>
    <w:rsid w:val="00951CA8"/>
    <w:rsid w:val="00951D13"/>
    <w:rsid w:val="0095211D"/>
    <w:rsid w:val="009521D3"/>
    <w:rsid w:val="009521F7"/>
    <w:rsid w:val="009522A6"/>
    <w:rsid w:val="00952440"/>
    <w:rsid w:val="00952749"/>
    <w:rsid w:val="00952F27"/>
    <w:rsid w:val="009530CA"/>
    <w:rsid w:val="009532BE"/>
    <w:rsid w:val="009533C6"/>
    <w:rsid w:val="009535FF"/>
    <w:rsid w:val="00953FEE"/>
    <w:rsid w:val="009544D4"/>
    <w:rsid w:val="00954B52"/>
    <w:rsid w:val="00954C98"/>
    <w:rsid w:val="0095508A"/>
    <w:rsid w:val="00955317"/>
    <w:rsid w:val="009553DB"/>
    <w:rsid w:val="009554A6"/>
    <w:rsid w:val="0095563F"/>
    <w:rsid w:val="009556B9"/>
    <w:rsid w:val="00955C10"/>
    <w:rsid w:val="00955DA3"/>
    <w:rsid w:val="00955FA3"/>
    <w:rsid w:val="009560FB"/>
    <w:rsid w:val="00956196"/>
    <w:rsid w:val="009562EE"/>
    <w:rsid w:val="0095659A"/>
    <w:rsid w:val="009567C2"/>
    <w:rsid w:val="009567F0"/>
    <w:rsid w:val="00956BE1"/>
    <w:rsid w:val="00956E0B"/>
    <w:rsid w:val="00956F9E"/>
    <w:rsid w:val="00957008"/>
    <w:rsid w:val="00957046"/>
    <w:rsid w:val="00957095"/>
    <w:rsid w:val="00957151"/>
    <w:rsid w:val="0095742F"/>
    <w:rsid w:val="0095796B"/>
    <w:rsid w:val="00957EE4"/>
    <w:rsid w:val="00957F1C"/>
    <w:rsid w:val="0096027B"/>
    <w:rsid w:val="009602CB"/>
    <w:rsid w:val="009605EB"/>
    <w:rsid w:val="00960693"/>
    <w:rsid w:val="0096089A"/>
    <w:rsid w:val="009611C1"/>
    <w:rsid w:val="0096126C"/>
    <w:rsid w:val="00961362"/>
    <w:rsid w:val="009615B1"/>
    <w:rsid w:val="00961B21"/>
    <w:rsid w:val="00961D71"/>
    <w:rsid w:val="00961F12"/>
    <w:rsid w:val="009629A0"/>
    <w:rsid w:val="00962AB6"/>
    <w:rsid w:val="00962AB7"/>
    <w:rsid w:val="009631E6"/>
    <w:rsid w:val="00963554"/>
    <w:rsid w:val="00963650"/>
    <w:rsid w:val="00963680"/>
    <w:rsid w:val="00963715"/>
    <w:rsid w:val="00963A79"/>
    <w:rsid w:val="00963F12"/>
    <w:rsid w:val="00963FBB"/>
    <w:rsid w:val="009644D4"/>
    <w:rsid w:val="00964647"/>
    <w:rsid w:val="00964844"/>
    <w:rsid w:val="00964CD2"/>
    <w:rsid w:val="00964CF6"/>
    <w:rsid w:val="00964E4B"/>
    <w:rsid w:val="00965666"/>
    <w:rsid w:val="0096583A"/>
    <w:rsid w:val="00965A17"/>
    <w:rsid w:val="00965ABC"/>
    <w:rsid w:val="00965B34"/>
    <w:rsid w:val="00965E61"/>
    <w:rsid w:val="009660C3"/>
    <w:rsid w:val="00966310"/>
    <w:rsid w:val="00966400"/>
    <w:rsid w:val="009667A2"/>
    <w:rsid w:val="00966967"/>
    <w:rsid w:val="00966BAC"/>
    <w:rsid w:val="0096773B"/>
    <w:rsid w:val="009677B9"/>
    <w:rsid w:val="009678E8"/>
    <w:rsid w:val="0096797E"/>
    <w:rsid w:val="00967B44"/>
    <w:rsid w:val="00967CF7"/>
    <w:rsid w:val="00967E07"/>
    <w:rsid w:val="00970274"/>
    <w:rsid w:val="0097048D"/>
    <w:rsid w:val="00970581"/>
    <w:rsid w:val="00970D3B"/>
    <w:rsid w:val="00970E91"/>
    <w:rsid w:val="009710F9"/>
    <w:rsid w:val="009715FB"/>
    <w:rsid w:val="00971715"/>
    <w:rsid w:val="00971852"/>
    <w:rsid w:val="00971928"/>
    <w:rsid w:val="00971AB8"/>
    <w:rsid w:val="00971D59"/>
    <w:rsid w:val="00971ED0"/>
    <w:rsid w:val="00971FFC"/>
    <w:rsid w:val="00972041"/>
    <w:rsid w:val="0097243A"/>
    <w:rsid w:val="0097274B"/>
    <w:rsid w:val="00973023"/>
    <w:rsid w:val="0097326A"/>
    <w:rsid w:val="00973AD0"/>
    <w:rsid w:val="00973D6E"/>
    <w:rsid w:val="00973E11"/>
    <w:rsid w:val="00973F74"/>
    <w:rsid w:val="00974B9D"/>
    <w:rsid w:val="00974FEB"/>
    <w:rsid w:val="009750D1"/>
    <w:rsid w:val="00975BB0"/>
    <w:rsid w:val="00976013"/>
    <w:rsid w:val="009763FC"/>
    <w:rsid w:val="00976552"/>
    <w:rsid w:val="00976C53"/>
    <w:rsid w:val="00976FFC"/>
    <w:rsid w:val="009771E4"/>
    <w:rsid w:val="00977387"/>
    <w:rsid w:val="009801C4"/>
    <w:rsid w:val="0098047D"/>
    <w:rsid w:val="00980BAD"/>
    <w:rsid w:val="00980C38"/>
    <w:rsid w:val="00981244"/>
    <w:rsid w:val="0098139A"/>
    <w:rsid w:val="0098182A"/>
    <w:rsid w:val="00981B25"/>
    <w:rsid w:val="00981F3F"/>
    <w:rsid w:val="00982864"/>
    <w:rsid w:val="00983382"/>
    <w:rsid w:val="0098344D"/>
    <w:rsid w:val="00983972"/>
    <w:rsid w:val="00985762"/>
    <w:rsid w:val="00985C6D"/>
    <w:rsid w:val="00985C7F"/>
    <w:rsid w:val="00985DA9"/>
    <w:rsid w:val="009861A9"/>
    <w:rsid w:val="009863F4"/>
    <w:rsid w:val="009868ED"/>
    <w:rsid w:val="00986A74"/>
    <w:rsid w:val="00986CD3"/>
    <w:rsid w:val="0098709F"/>
    <w:rsid w:val="009870B1"/>
    <w:rsid w:val="00987442"/>
    <w:rsid w:val="009874B8"/>
    <w:rsid w:val="00987559"/>
    <w:rsid w:val="00987823"/>
    <w:rsid w:val="00987983"/>
    <w:rsid w:val="00990103"/>
    <w:rsid w:val="0099011A"/>
    <w:rsid w:val="00990297"/>
    <w:rsid w:val="009903AA"/>
    <w:rsid w:val="00990452"/>
    <w:rsid w:val="0099063F"/>
    <w:rsid w:val="0099073E"/>
    <w:rsid w:val="009907C9"/>
    <w:rsid w:val="009913C5"/>
    <w:rsid w:val="009915D1"/>
    <w:rsid w:val="0099163C"/>
    <w:rsid w:val="00991A9A"/>
    <w:rsid w:val="00991CFE"/>
    <w:rsid w:val="00992121"/>
    <w:rsid w:val="00992B64"/>
    <w:rsid w:val="00992C7D"/>
    <w:rsid w:val="00992C86"/>
    <w:rsid w:val="00992DE9"/>
    <w:rsid w:val="00992E88"/>
    <w:rsid w:val="009930F5"/>
    <w:rsid w:val="00993A74"/>
    <w:rsid w:val="0099420A"/>
    <w:rsid w:val="009942EE"/>
    <w:rsid w:val="0099483E"/>
    <w:rsid w:val="0099484F"/>
    <w:rsid w:val="00994C11"/>
    <w:rsid w:val="00994CA0"/>
    <w:rsid w:val="00994DBA"/>
    <w:rsid w:val="00994FF2"/>
    <w:rsid w:val="00995145"/>
    <w:rsid w:val="009954AF"/>
    <w:rsid w:val="009958D8"/>
    <w:rsid w:val="00995DAE"/>
    <w:rsid w:val="00995EAA"/>
    <w:rsid w:val="0099610A"/>
    <w:rsid w:val="009963A5"/>
    <w:rsid w:val="009965B7"/>
    <w:rsid w:val="0099729D"/>
    <w:rsid w:val="0099776A"/>
    <w:rsid w:val="00997F98"/>
    <w:rsid w:val="009A0308"/>
    <w:rsid w:val="009A061C"/>
    <w:rsid w:val="009A0DEE"/>
    <w:rsid w:val="009A11C7"/>
    <w:rsid w:val="009A12DC"/>
    <w:rsid w:val="009A16E2"/>
    <w:rsid w:val="009A1817"/>
    <w:rsid w:val="009A1825"/>
    <w:rsid w:val="009A1A60"/>
    <w:rsid w:val="009A1BA7"/>
    <w:rsid w:val="009A27D3"/>
    <w:rsid w:val="009A2B4C"/>
    <w:rsid w:val="009A316C"/>
    <w:rsid w:val="009A3191"/>
    <w:rsid w:val="009A3321"/>
    <w:rsid w:val="009A3E00"/>
    <w:rsid w:val="009A3F10"/>
    <w:rsid w:val="009A4943"/>
    <w:rsid w:val="009A4A6D"/>
    <w:rsid w:val="009A4F88"/>
    <w:rsid w:val="009A5050"/>
    <w:rsid w:val="009A51A9"/>
    <w:rsid w:val="009A5D90"/>
    <w:rsid w:val="009A5EF7"/>
    <w:rsid w:val="009A6575"/>
    <w:rsid w:val="009A667D"/>
    <w:rsid w:val="009A68E3"/>
    <w:rsid w:val="009A6A1E"/>
    <w:rsid w:val="009A6B43"/>
    <w:rsid w:val="009A7383"/>
    <w:rsid w:val="009A78E5"/>
    <w:rsid w:val="009A793B"/>
    <w:rsid w:val="009A7994"/>
    <w:rsid w:val="009A7B37"/>
    <w:rsid w:val="009A7DAC"/>
    <w:rsid w:val="009B0422"/>
    <w:rsid w:val="009B07A5"/>
    <w:rsid w:val="009B0C1B"/>
    <w:rsid w:val="009B0FB1"/>
    <w:rsid w:val="009B0FB2"/>
    <w:rsid w:val="009B102E"/>
    <w:rsid w:val="009B1E9C"/>
    <w:rsid w:val="009B1FD9"/>
    <w:rsid w:val="009B2103"/>
    <w:rsid w:val="009B26E4"/>
    <w:rsid w:val="009B2E0B"/>
    <w:rsid w:val="009B37AA"/>
    <w:rsid w:val="009B389B"/>
    <w:rsid w:val="009B3993"/>
    <w:rsid w:val="009B3BFC"/>
    <w:rsid w:val="009B3CD1"/>
    <w:rsid w:val="009B3F24"/>
    <w:rsid w:val="009B4224"/>
    <w:rsid w:val="009B4546"/>
    <w:rsid w:val="009B4615"/>
    <w:rsid w:val="009B4927"/>
    <w:rsid w:val="009B4BF9"/>
    <w:rsid w:val="009B4D9E"/>
    <w:rsid w:val="009B5127"/>
    <w:rsid w:val="009B557A"/>
    <w:rsid w:val="009B5B80"/>
    <w:rsid w:val="009B65B1"/>
    <w:rsid w:val="009B7914"/>
    <w:rsid w:val="009B79CE"/>
    <w:rsid w:val="009B7D62"/>
    <w:rsid w:val="009C003E"/>
    <w:rsid w:val="009C023E"/>
    <w:rsid w:val="009C033B"/>
    <w:rsid w:val="009C0490"/>
    <w:rsid w:val="009C0568"/>
    <w:rsid w:val="009C0A67"/>
    <w:rsid w:val="009C0A99"/>
    <w:rsid w:val="009C0ACB"/>
    <w:rsid w:val="009C0BE9"/>
    <w:rsid w:val="009C0C39"/>
    <w:rsid w:val="009C0CDD"/>
    <w:rsid w:val="009C1360"/>
    <w:rsid w:val="009C1A31"/>
    <w:rsid w:val="009C1E5E"/>
    <w:rsid w:val="009C1EBC"/>
    <w:rsid w:val="009C25B8"/>
    <w:rsid w:val="009C289E"/>
    <w:rsid w:val="009C28F1"/>
    <w:rsid w:val="009C295C"/>
    <w:rsid w:val="009C2D6F"/>
    <w:rsid w:val="009C30D6"/>
    <w:rsid w:val="009C3193"/>
    <w:rsid w:val="009C34E7"/>
    <w:rsid w:val="009C362B"/>
    <w:rsid w:val="009C36F9"/>
    <w:rsid w:val="009C3F2B"/>
    <w:rsid w:val="009C40FA"/>
    <w:rsid w:val="009C413A"/>
    <w:rsid w:val="009C49A0"/>
    <w:rsid w:val="009C4EA7"/>
    <w:rsid w:val="009C4F04"/>
    <w:rsid w:val="009C5939"/>
    <w:rsid w:val="009C59AD"/>
    <w:rsid w:val="009C59FE"/>
    <w:rsid w:val="009C7023"/>
    <w:rsid w:val="009C7104"/>
    <w:rsid w:val="009C72EC"/>
    <w:rsid w:val="009C72FA"/>
    <w:rsid w:val="009C762F"/>
    <w:rsid w:val="009C7A5F"/>
    <w:rsid w:val="009C7B46"/>
    <w:rsid w:val="009C7B5E"/>
    <w:rsid w:val="009C7C13"/>
    <w:rsid w:val="009C7DA7"/>
    <w:rsid w:val="009C7E9A"/>
    <w:rsid w:val="009C7F4B"/>
    <w:rsid w:val="009D0008"/>
    <w:rsid w:val="009D00C1"/>
    <w:rsid w:val="009D0259"/>
    <w:rsid w:val="009D0B69"/>
    <w:rsid w:val="009D0BB3"/>
    <w:rsid w:val="009D0CAA"/>
    <w:rsid w:val="009D13DE"/>
    <w:rsid w:val="009D13E4"/>
    <w:rsid w:val="009D1680"/>
    <w:rsid w:val="009D19D5"/>
    <w:rsid w:val="009D2266"/>
    <w:rsid w:val="009D2560"/>
    <w:rsid w:val="009D2990"/>
    <w:rsid w:val="009D2C1A"/>
    <w:rsid w:val="009D2C46"/>
    <w:rsid w:val="009D2CEA"/>
    <w:rsid w:val="009D3041"/>
    <w:rsid w:val="009D316D"/>
    <w:rsid w:val="009D31CD"/>
    <w:rsid w:val="009D330C"/>
    <w:rsid w:val="009D3830"/>
    <w:rsid w:val="009D390D"/>
    <w:rsid w:val="009D3972"/>
    <w:rsid w:val="009D4082"/>
    <w:rsid w:val="009D411A"/>
    <w:rsid w:val="009D44AC"/>
    <w:rsid w:val="009D459D"/>
    <w:rsid w:val="009D4700"/>
    <w:rsid w:val="009D47C1"/>
    <w:rsid w:val="009D4805"/>
    <w:rsid w:val="009D4EED"/>
    <w:rsid w:val="009D4F33"/>
    <w:rsid w:val="009D548A"/>
    <w:rsid w:val="009D57A6"/>
    <w:rsid w:val="009D59DD"/>
    <w:rsid w:val="009D5AF3"/>
    <w:rsid w:val="009D5F16"/>
    <w:rsid w:val="009D604A"/>
    <w:rsid w:val="009D60F4"/>
    <w:rsid w:val="009D642A"/>
    <w:rsid w:val="009D66C2"/>
    <w:rsid w:val="009D6B4E"/>
    <w:rsid w:val="009D6D56"/>
    <w:rsid w:val="009D6FB6"/>
    <w:rsid w:val="009D7052"/>
    <w:rsid w:val="009D7320"/>
    <w:rsid w:val="009D787A"/>
    <w:rsid w:val="009D79E4"/>
    <w:rsid w:val="009D7E1B"/>
    <w:rsid w:val="009E024C"/>
    <w:rsid w:val="009E080B"/>
    <w:rsid w:val="009E0C3C"/>
    <w:rsid w:val="009E1728"/>
    <w:rsid w:val="009E1D3B"/>
    <w:rsid w:val="009E20D1"/>
    <w:rsid w:val="009E22E2"/>
    <w:rsid w:val="009E2D49"/>
    <w:rsid w:val="009E2EF4"/>
    <w:rsid w:val="009E307C"/>
    <w:rsid w:val="009E30CF"/>
    <w:rsid w:val="009E31C5"/>
    <w:rsid w:val="009E33ED"/>
    <w:rsid w:val="009E38FE"/>
    <w:rsid w:val="009E40D9"/>
    <w:rsid w:val="009E4D93"/>
    <w:rsid w:val="009E55BF"/>
    <w:rsid w:val="009E5BAC"/>
    <w:rsid w:val="009E6385"/>
    <w:rsid w:val="009E642E"/>
    <w:rsid w:val="009E656C"/>
    <w:rsid w:val="009E6830"/>
    <w:rsid w:val="009E6A51"/>
    <w:rsid w:val="009E7FF3"/>
    <w:rsid w:val="009F036F"/>
    <w:rsid w:val="009F0813"/>
    <w:rsid w:val="009F0876"/>
    <w:rsid w:val="009F0A55"/>
    <w:rsid w:val="009F0BAF"/>
    <w:rsid w:val="009F0D10"/>
    <w:rsid w:val="009F11B0"/>
    <w:rsid w:val="009F12F3"/>
    <w:rsid w:val="009F1B54"/>
    <w:rsid w:val="009F1C96"/>
    <w:rsid w:val="009F1CF2"/>
    <w:rsid w:val="009F1FD4"/>
    <w:rsid w:val="009F22AE"/>
    <w:rsid w:val="009F22C1"/>
    <w:rsid w:val="009F2628"/>
    <w:rsid w:val="009F26EA"/>
    <w:rsid w:val="009F2865"/>
    <w:rsid w:val="009F2A03"/>
    <w:rsid w:val="009F2DE7"/>
    <w:rsid w:val="009F3403"/>
    <w:rsid w:val="009F35E5"/>
    <w:rsid w:val="009F406F"/>
    <w:rsid w:val="009F424B"/>
    <w:rsid w:val="009F431C"/>
    <w:rsid w:val="009F4352"/>
    <w:rsid w:val="009F45BF"/>
    <w:rsid w:val="009F470D"/>
    <w:rsid w:val="009F4E8F"/>
    <w:rsid w:val="009F4EF4"/>
    <w:rsid w:val="009F522D"/>
    <w:rsid w:val="009F53F3"/>
    <w:rsid w:val="009F55FD"/>
    <w:rsid w:val="009F5782"/>
    <w:rsid w:val="009F591F"/>
    <w:rsid w:val="009F642C"/>
    <w:rsid w:val="009F64E8"/>
    <w:rsid w:val="009F6F64"/>
    <w:rsid w:val="009F7017"/>
    <w:rsid w:val="009F7BF9"/>
    <w:rsid w:val="00A001E2"/>
    <w:rsid w:val="00A0045D"/>
    <w:rsid w:val="00A00502"/>
    <w:rsid w:val="00A00904"/>
    <w:rsid w:val="00A0090C"/>
    <w:rsid w:val="00A0100F"/>
    <w:rsid w:val="00A013ED"/>
    <w:rsid w:val="00A01C30"/>
    <w:rsid w:val="00A01C54"/>
    <w:rsid w:val="00A01DF2"/>
    <w:rsid w:val="00A01EA6"/>
    <w:rsid w:val="00A01EB8"/>
    <w:rsid w:val="00A02439"/>
    <w:rsid w:val="00A027B1"/>
    <w:rsid w:val="00A03201"/>
    <w:rsid w:val="00A032AC"/>
    <w:rsid w:val="00A03A28"/>
    <w:rsid w:val="00A03B5F"/>
    <w:rsid w:val="00A03C1C"/>
    <w:rsid w:val="00A03FB7"/>
    <w:rsid w:val="00A04663"/>
    <w:rsid w:val="00A04720"/>
    <w:rsid w:val="00A047A4"/>
    <w:rsid w:val="00A04AD4"/>
    <w:rsid w:val="00A04B86"/>
    <w:rsid w:val="00A04F10"/>
    <w:rsid w:val="00A04F1C"/>
    <w:rsid w:val="00A052EB"/>
    <w:rsid w:val="00A05433"/>
    <w:rsid w:val="00A058F9"/>
    <w:rsid w:val="00A0623E"/>
    <w:rsid w:val="00A069CB"/>
    <w:rsid w:val="00A06C7F"/>
    <w:rsid w:val="00A06E05"/>
    <w:rsid w:val="00A06F82"/>
    <w:rsid w:val="00A07263"/>
    <w:rsid w:val="00A07F43"/>
    <w:rsid w:val="00A10483"/>
    <w:rsid w:val="00A1063F"/>
    <w:rsid w:val="00A113B2"/>
    <w:rsid w:val="00A11794"/>
    <w:rsid w:val="00A11CA3"/>
    <w:rsid w:val="00A11E4D"/>
    <w:rsid w:val="00A1211F"/>
    <w:rsid w:val="00A12407"/>
    <w:rsid w:val="00A12663"/>
    <w:rsid w:val="00A12E97"/>
    <w:rsid w:val="00A13077"/>
    <w:rsid w:val="00A134BA"/>
    <w:rsid w:val="00A134D8"/>
    <w:rsid w:val="00A137C8"/>
    <w:rsid w:val="00A138D2"/>
    <w:rsid w:val="00A13E40"/>
    <w:rsid w:val="00A14266"/>
    <w:rsid w:val="00A14B79"/>
    <w:rsid w:val="00A15240"/>
    <w:rsid w:val="00A15357"/>
    <w:rsid w:val="00A1537E"/>
    <w:rsid w:val="00A154CD"/>
    <w:rsid w:val="00A156FA"/>
    <w:rsid w:val="00A1587A"/>
    <w:rsid w:val="00A15B42"/>
    <w:rsid w:val="00A15C65"/>
    <w:rsid w:val="00A1714A"/>
    <w:rsid w:val="00A1725C"/>
    <w:rsid w:val="00A1734A"/>
    <w:rsid w:val="00A17FC6"/>
    <w:rsid w:val="00A202AF"/>
    <w:rsid w:val="00A20472"/>
    <w:rsid w:val="00A20C10"/>
    <w:rsid w:val="00A20CA7"/>
    <w:rsid w:val="00A212C9"/>
    <w:rsid w:val="00A2164C"/>
    <w:rsid w:val="00A21742"/>
    <w:rsid w:val="00A2186F"/>
    <w:rsid w:val="00A21E6F"/>
    <w:rsid w:val="00A2206D"/>
    <w:rsid w:val="00A22105"/>
    <w:rsid w:val="00A224DE"/>
    <w:rsid w:val="00A22686"/>
    <w:rsid w:val="00A22A23"/>
    <w:rsid w:val="00A23019"/>
    <w:rsid w:val="00A233F9"/>
    <w:rsid w:val="00A23B3A"/>
    <w:rsid w:val="00A23C48"/>
    <w:rsid w:val="00A23F41"/>
    <w:rsid w:val="00A23F58"/>
    <w:rsid w:val="00A24624"/>
    <w:rsid w:val="00A2465C"/>
    <w:rsid w:val="00A24AD6"/>
    <w:rsid w:val="00A24EC1"/>
    <w:rsid w:val="00A256BB"/>
    <w:rsid w:val="00A25BC9"/>
    <w:rsid w:val="00A25D30"/>
    <w:rsid w:val="00A2613A"/>
    <w:rsid w:val="00A2785C"/>
    <w:rsid w:val="00A27A51"/>
    <w:rsid w:val="00A27D5A"/>
    <w:rsid w:val="00A302F5"/>
    <w:rsid w:val="00A304AE"/>
    <w:rsid w:val="00A30CD7"/>
    <w:rsid w:val="00A30DD1"/>
    <w:rsid w:val="00A31105"/>
    <w:rsid w:val="00A3113A"/>
    <w:rsid w:val="00A3133F"/>
    <w:rsid w:val="00A31373"/>
    <w:rsid w:val="00A31869"/>
    <w:rsid w:val="00A31A8A"/>
    <w:rsid w:val="00A31E0C"/>
    <w:rsid w:val="00A32227"/>
    <w:rsid w:val="00A3235A"/>
    <w:rsid w:val="00A3263D"/>
    <w:rsid w:val="00A328F4"/>
    <w:rsid w:val="00A32CB7"/>
    <w:rsid w:val="00A33011"/>
    <w:rsid w:val="00A333E5"/>
    <w:rsid w:val="00A33841"/>
    <w:rsid w:val="00A33872"/>
    <w:rsid w:val="00A33DDA"/>
    <w:rsid w:val="00A3442C"/>
    <w:rsid w:val="00A3449E"/>
    <w:rsid w:val="00A34BEB"/>
    <w:rsid w:val="00A3557C"/>
    <w:rsid w:val="00A35742"/>
    <w:rsid w:val="00A3608B"/>
    <w:rsid w:val="00A360E3"/>
    <w:rsid w:val="00A36148"/>
    <w:rsid w:val="00A36419"/>
    <w:rsid w:val="00A36571"/>
    <w:rsid w:val="00A36582"/>
    <w:rsid w:val="00A3661B"/>
    <w:rsid w:val="00A367A9"/>
    <w:rsid w:val="00A36884"/>
    <w:rsid w:val="00A36A29"/>
    <w:rsid w:val="00A36DF2"/>
    <w:rsid w:val="00A36E70"/>
    <w:rsid w:val="00A36F63"/>
    <w:rsid w:val="00A370B3"/>
    <w:rsid w:val="00A37248"/>
    <w:rsid w:val="00A374BA"/>
    <w:rsid w:val="00A40202"/>
    <w:rsid w:val="00A4028C"/>
    <w:rsid w:val="00A403FD"/>
    <w:rsid w:val="00A40D01"/>
    <w:rsid w:val="00A41070"/>
    <w:rsid w:val="00A41378"/>
    <w:rsid w:val="00A415D8"/>
    <w:rsid w:val="00A41729"/>
    <w:rsid w:val="00A41AB9"/>
    <w:rsid w:val="00A41AE1"/>
    <w:rsid w:val="00A42491"/>
    <w:rsid w:val="00A425C8"/>
    <w:rsid w:val="00A42B8B"/>
    <w:rsid w:val="00A42C29"/>
    <w:rsid w:val="00A42CB6"/>
    <w:rsid w:val="00A4307D"/>
    <w:rsid w:val="00A4315F"/>
    <w:rsid w:val="00A43571"/>
    <w:rsid w:val="00A43714"/>
    <w:rsid w:val="00A43B9B"/>
    <w:rsid w:val="00A43D4B"/>
    <w:rsid w:val="00A43E29"/>
    <w:rsid w:val="00A43F15"/>
    <w:rsid w:val="00A447A2"/>
    <w:rsid w:val="00A4517B"/>
    <w:rsid w:val="00A4526B"/>
    <w:rsid w:val="00A452AD"/>
    <w:rsid w:val="00A452DC"/>
    <w:rsid w:val="00A45578"/>
    <w:rsid w:val="00A458F8"/>
    <w:rsid w:val="00A45CEB"/>
    <w:rsid w:val="00A4612E"/>
    <w:rsid w:val="00A4627C"/>
    <w:rsid w:val="00A4668B"/>
    <w:rsid w:val="00A46959"/>
    <w:rsid w:val="00A46BBA"/>
    <w:rsid w:val="00A46C74"/>
    <w:rsid w:val="00A47004"/>
    <w:rsid w:val="00A4721F"/>
    <w:rsid w:val="00A47414"/>
    <w:rsid w:val="00A479CC"/>
    <w:rsid w:val="00A47D9A"/>
    <w:rsid w:val="00A509EE"/>
    <w:rsid w:val="00A50BB5"/>
    <w:rsid w:val="00A510F2"/>
    <w:rsid w:val="00A51451"/>
    <w:rsid w:val="00A515D0"/>
    <w:rsid w:val="00A517D3"/>
    <w:rsid w:val="00A51B57"/>
    <w:rsid w:val="00A51EC1"/>
    <w:rsid w:val="00A51F68"/>
    <w:rsid w:val="00A5265A"/>
    <w:rsid w:val="00A52884"/>
    <w:rsid w:val="00A52BB6"/>
    <w:rsid w:val="00A5332E"/>
    <w:rsid w:val="00A537E6"/>
    <w:rsid w:val="00A541C8"/>
    <w:rsid w:val="00A542EE"/>
    <w:rsid w:val="00A544E8"/>
    <w:rsid w:val="00A549B8"/>
    <w:rsid w:val="00A54A01"/>
    <w:rsid w:val="00A54AD7"/>
    <w:rsid w:val="00A54BDD"/>
    <w:rsid w:val="00A54D47"/>
    <w:rsid w:val="00A54EE5"/>
    <w:rsid w:val="00A55189"/>
    <w:rsid w:val="00A55202"/>
    <w:rsid w:val="00A556E8"/>
    <w:rsid w:val="00A55BC7"/>
    <w:rsid w:val="00A55D3A"/>
    <w:rsid w:val="00A5602F"/>
    <w:rsid w:val="00A56386"/>
    <w:rsid w:val="00A56896"/>
    <w:rsid w:val="00A56951"/>
    <w:rsid w:val="00A569CE"/>
    <w:rsid w:val="00A56A63"/>
    <w:rsid w:val="00A56DAE"/>
    <w:rsid w:val="00A57031"/>
    <w:rsid w:val="00A570C0"/>
    <w:rsid w:val="00A576D7"/>
    <w:rsid w:val="00A57833"/>
    <w:rsid w:val="00A601D8"/>
    <w:rsid w:val="00A602D2"/>
    <w:rsid w:val="00A60522"/>
    <w:rsid w:val="00A60ABB"/>
    <w:rsid w:val="00A611B6"/>
    <w:rsid w:val="00A6148D"/>
    <w:rsid w:val="00A615EC"/>
    <w:rsid w:val="00A61C33"/>
    <w:rsid w:val="00A61E75"/>
    <w:rsid w:val="00A61FFD"/>
    <w:rsid w:val="00A62219"/>
    <w:rsid w:val="00A62307"/>
    <w:rsid w:val="00A62384"/>
    <w:rsid w:val="00A6279D"/>
    <w:rsid w:val="00A634B9"/>
    <w:rsid w:val="00A63649"/>
    <w:rsid w:val="00A6373D"/>
    <w:rsid w:val="00A6383B"/>
    <w:rsid w:val="00A64A6F"/>
    <w:rsid w:val="00A64FBF"/>
    <w:rsid w:val="00A65139"/>
    <w:rsid w:val="00A654A0"/>
    <w:rsid w:val="00A6565F"/>
    <w:rsid w:val="00A65805"/>
    <w:rsid w:val="00A65947"/>
    <w:rsid w:val="00A65C62"/>
    <w:rsid w:val="00A65EB4"/>
    <w:rsid w:val="00A66245"/>
    <w:rsid w:val="00A66441"/>
    <w:rsid w:val="00A6647D"/>
    <w:rsid w:val="00A664FA"/>
    <w:rsid w:val="00A6655A"/>
    <w:rsid w:val="00A668AC"/>
    <w:rsid w:val="00A668D1"/>
    <w:rsid w:val="00A66B66"/>
    <w:rsid w:val="00A6761F"/>
    <w:rsid w:val="00A67B18"/>
    <w:rsid w:val="00A67B62"/>
    <w:rsid w:val="00A67E6C"/>
    <w:rsid w:val="00A70204"/>
    <w:rsid w:val="00A70533"/>
    <w:rsid w:val="00A70938"/>
    <w:rsid w:val="00A717D3"/>
    <w:rsid w:val="00A71A4A"/>
    <w:rsid w:val="00A71C30"/>
    <w:rsid w:val="00A71D77"/>
    <w:rsid w:val="00A723D5"/>
    <w:rsid w:val="00A72402"/>
    <w:rsid w:val="00A725F2"/>
    <w:rsid w:val="00A72710"/>
    <w:rsid w:val="00A72ACA"/>
    <w:rsid w:val="00A732E0"/>
    <w:rsid w:val="00A73927"/>
    <w:rsid w:val="00A73D1E"/>
    <w:rsid w:val="00A74496"/>
    <w:rsid w:val="00A751E4"/>
    <w:rsid w:val="00A752B1"/>
    <w:rsid w:val="00A753B8"/>
    <w:rsid w:val="00A757C3"/>
    <w:rsid w:val="00A7582C"/>
    <w:rsid w:val="00A75997"/>
    <w:rsid w:val="00A76142"/>
    <w:rsid w:val="00A762BD"/>
    <w:rsid w:val="00A76428"/>
    <w:rsid w:val="00A7660A"/>
    <w:rsid w:val="00A76634"/>
    <w:rsid w:val="00A76671"/>
    <w:rsid w:val="00A7670D"/>
    <w:rsid w:val="00A76854"/>
    <w:rsid w:val="00A7700F"/>
    <w:rsid w:val="00A777D2"/>
    <w:rsid w:val="00A77C51"/>
    <w:rsid w:val="00A77C69"/>
    <w:rsid w:val="00A77D1F"/>
    <w:rsid w:val="00A800FB"/>
    <w:rsid w:val="00A80240"/>
    <w:rsid w:val="00A8078B"/>
    <w:rsid w:val="00A8093E"/>
    <w:rsid w:val="00A8096A"/>
    <w:rsid w:val="00A809BB"/>
    <w:rsid w:val="00A8101B"/>
    <w:rsid w:val="00A812F2"/>
    <w:rsid w:val="00A81342"/>
    <w:rsid w:val="00A814C4"/>
    <w:rsid w:val="00A815F7"/>
    <w:rsid w:val="00A817A2"/>
    <w:rsid w:val="00A818C7"/>
    <w:rsid w:val="00A81E34"/>
    <w:rsid w:val="00A81F1B"/>
    <w:rsid w:val="00A82452"/>
    <w:rsid w:val="00A8283D"/>
    <w:rsid w:val="00A82B7B"/>
    <w:rsid w:val="00A82D1A"/>
    <w:rsid w:val="00A82F4B"/>
    <w:rsid w:val="00A8302F"/>
    <w:rsid w:val="00A83117"/>
    <w:rsid w:val="00A8352D"/>
    <w:rsid w:val="00A83A22"/>
    <w:rsid w:val="00A83DCA"/>
    <w:rsid w:val="00A83F42"/>
    <w:rsid w:val="00A840E7"/>
    <w:rsid w:val="00A849FC"/>
    <w:rsid w:val="00A84E55"/>
    <w:rsid w:val="00A8507A"/>
    <w:rsid w:val="00A86581"/>
    <w:rsid w:val="00A86640"/>
    <w:rsid w:val="00A868BE"/>
    <w:rsid w:val="00A86D14"/>
    <w:rsid w:val="00A86E1F"/>
    <w:rsid w:val="00A87224"/>
    <w:rsid w:val="00A873D4"/>
    <w:rsid w:val="00A874CE"/>
    <w:rsid w:val="00A8756B"/>
    <w:rsid w:val="00A878E4"/>
    <w:rsid w:val="00A87A13"/>
    <w:rsid w:val="00A87DA2"/>
    <w:rsid w:val="00A87E0D"/>
    <w:rsid w:val="00A90031"/>
    <w:rsid w:val="00A90191"/>
    <w:rsid w:val="00A901D7"/>
    <w:rsid w:val="00A90257"/>
    <w:rsid w:val="00A902A8"/>
    <w:rsid w:val="00A906CD"/>
    <w:rsid w:val="00A90872"/>
    <w:rsid w:val="00A908CC"/>
    <w:rsid w:val="00A90D0A"/>
    <w:rsid w:val="00A91655"/>
    <w:rsid w:val="00A9183F"/>
    <w:rsid w:val="00A9190C"/>
    <w:rsid w:val="00A9198B"/>
    <w:rsid w:val="00A91B09"/>
    <w:rsid w:val="00A91B57"/>
    <w:rsid w:val="00A91B7F"/>
    <w:rsid w:val="00A91BAF"/>
    <w:rsid w:val="00A922BB"/>
    <w:rsid w:val="00A92813"/>
    <w:rsid w:val="00A92A24"/>
    <w:rsid w:val="00A92E75"/>
    <w:rsid w:val="00A9337E"/>
    <w:rsid w:val="00A9345E"/>
    <w:rsid w:val="00A937B3"/>
    <w:rsid w:val="00A93B85"/>
    <w:rsid w:val="00A93FEA"/>
    <w:rsid w:val="00A9420F"/>
    <w:rsid w:val="00A9458F"/>
    <w:rsid w:val="00A949F2"/>
    <w:rsid w:val="00A94A90"/>
    <w:rsid w:val="00A94E4F"/>
    <w:rsid w:val="00A9528E"/>
    <w:rsid w:val="00A95362"/>
    <w:rsid w:val="00A95965"/>
    <w:rsid w:val="00A9622F"/>
    <w:rsid w:val="00A96590"/>
    <w:rsid w:val="00A96612"/>
    <w:rsid w:val="00A96766"/>
    <w:rsid w:val="00A9688A"/>
    <w:rsid w:val="00A96E2F"/>
    <w:rsid w:val="00A97275"/>
    <w:rsid w:val="00A97628"/>
    <w:rsid w:val="00A9799D"/>
    <w:rsid w:val="00AA0019"/>
    <w:rsid w:val="00AA089C"/>
    <w:rsid w:val="00AA0BD3"/>
    <w:rsid w:val="00AA0D5B"/>
    <w:rsid w:val="00AA1115"/>
    <w:rsid w:val="00AA14D7"/>
    <w:rsid w:val="00AA155D"/>
    <w:rsid w:val="00AA1751"/>
    <w:rsid w:val="00AA19CB"/>
    <w:rsid w:val="00AA1F95"/>
    <w:rsid w:val="00AA251D"/>
    <w:rsid w:val="00AA2B2E"/>
    <w:rsid w:val="00AA2CAB"/>
    <w:rsid w:val="00AA2CBA"/>
    <w:rsid w:val="00AA2DDD"/>
    <w:rsid w:val="00AA2F19"/>
    <w:rsid w:val="00AA30D4"/>
    <w:rsid w:val="00AA3193"/>
    <w:rsid w:val="00AA3667"/>
    <w:rsid w:val="00AA380C"/>
    <w:rsid w:val="00AA3950"/>
    <w:rsid w:val="00AA3964"/>
    <w:rsid w:val="00AA3DF4"/>
    <w:rsid w:val="00AA40AC"/>
    <w:rsid w:val="00AA4AB6"/>
    <w:rsid w:val="00AA5115"/>
    <w:rsid w:val="00AA511E"/>
    <w:rsid w:val="00AA5124"/>
    <w:rsid w:val="00AA54B0"/>
    <w:rsid w:val="00AA54D2"/>
    <w:rsid w:val="00AA5561"/>
    <w:rsid w:val="00AA5B2F"/>
    <w:rsid w:val="00AA5C48"/>
    <w:rsid w:val="00AA5CED"/>
    <w:rsid w:val="00AA5EA0"/>
    <w:rsid w:val="00AA6360"/>
    <w:rsid w:val="00AA647C"/>
    <w:rsid w:val="00AA653D"/>
    <w:rsid w:val="00AA68B2"/>
    <w:rsid w:val="00AA69EA"/>
    <w:rsid w:val="00AA6C54"/>
    <w:rsid w:val="00AA6FFB"/>
    <w:rsid w:val="00AA7152"/>
    <w:rsid w:val="00AA736C"/>
    <w:rsid w:val="00AA7470"/>
    <w:rsid w:val="00AA7825"/>
    <w:rsid w:val="00AA7A38"/>
    <w:rsid w:val="00AA7B45"/>
    <w:rsid w:val="00AA7C58"/>
    <w:rsid w:val="00AA7C63"/>
    <w:rsid w:val="00AA7F84"/>
    <w:rsid w:val="00AB00F0"/>
    <w:rsid w:val="00AB0325"/>
    <w:rsid w:val="00AB042C"/>
    <w:rsid w:val="00AB0BEB"/>
    <w:rsid w:val="00AB0C95"/>
    <w:rsid w:val="00AB0E74"/>
    <w:rsid w:val="00AB0EAC"/>
    <w:rsid w:val="00AB19A8"/>
    <w:rsid w:val="00AB1E83"/>
    <w:rsid w:val="00AB1F58"/>
    <w:rsid w:val="00AB210A"/>
    <w:rsid w:val="00AB21DA"/>
    <w:rsid w:val="00AB225C"/>
    <w:rsid w:val="00AB2467"/>
    <w:rsid w:val="00AB25A4"/>
    <w:rsid w:val="00AB276F"/>
    <w:rsid w:val="00AB27B5"/>
    <w:rsid w:val="00AB28A7"/>
    <w:rsid w:val="00AB292E"/>
    <w:rsid w:val="00AB2CA4"/>
    <w:rsid w:val="00AB304C"/>
    <w:rsid w:val="00AB31E8"/>
    <w:rsid w:val="00AB3B2D"/>
    <w:rsid w:val="00AB3BA1"/>
    <w:rsid w:val="00AB3D10"/>
    <w:rsid w:val="00AB4026"/>
    <w:rsid w:val="00AB40C7"/>
    <w:rsid w:val="00AB4ABB"/>
    <w:rsid w:val="00AB4BD9"/>
    <w:rsid w:val="00AB5121"/>
    <w:rsid w:val="00AB5461"/>
    <w:rsid w:val="00AB565A"/>
    <w:rsid w:val="00AB59B8"/>
    <w:rsid w:val="00AB6515"/>
    <w:rsid w:val="00AB6531"/>
    <w:rsid w:val="00AB67A6"/>
    <w:rsid w:val="00AB68C7"/>
    <w:rsid w:val="00AB6CCA"/>
    <w:rsid w:val="00AB6F2A"/>
    <w:rsid w:val="00AB6F67"/>
    <w:rsid w:val="00AB786F"/>
    <w:rsid w:val="00AC01A5"/>
    <w:rsid w:val="00AC0313"/>
    <w:rsid w:val="00AC093B"/>
    <w:rsid w:val="00AC0D1C"/>
    <w:rsid w:val="00AC12B8"/>
    <w:rsid w:val="00AC14FC"/>
    <w:rsid w:val="00AC171B"/>
    <w:rsid w:val="00AC183B"/>
    <w:rsid w:val="00AC1ACD"/>
    <w:rsid w:val="00AC2186"/>
    <w:rsid w:val="00AC2AFF"/>
    <w:rsid w:val="00AC2D9E"/>
    <w:rsid w:val="00AC36A2"/>
    <w:rsid w:val="00AC3860"/>
    <w:rsid w:val="00AC3E67"/>
    <w:rsid w:val="00AC406E"/>
    <w:rsid w:val="00AC4234"/>
    <w:rsid w:val="00AC457B"/>
    <w:rsid w:val="00AC50BB"/>
    <w:rsid w:val="00AC51A5"/>
    <w:rsid w:val="00AC52D9"/>
    <w:rsid w:val="00AC5979"/>
    <w:rsid w:val="00AC5C4C"/>
    <w:rsid w:val="00AC5D7B"/>
    <w:rsid w:val="00AC5DC7"/>
    <w:rsid w:val="00AC6742"/>
    <w:rsid w:val="00AC682A"/>
    <w:rsid w:val="00AC6BE6"/>
    <w:rsid w:val="00AC6D7D"/>
    <w:rsid w:val="00AC6DA1"/>
    <w:rsid w:val="00AC6F33"/>
    <w:rsid w:val="00AC6F94"/>
    <w:rsid w:val="00AC7151"/>
    <w:rsid w:val="00AC7173"/>
    <w:rsid w:val="00AC75B2"/>
    <w:rsid w:val="00AC7C16"/>
    <w:rsid w:val="00AC7D2D"/>
    <w:rsid w:val="00AC7D64"/>
    <w:rsid w:val="00AC7D83"/>
    <w:rsid w:val="00AC7E3C"/>
    <w:rsid w:val="00AD0481"/>
    <w:rsid w:val="00AD04D3"/>
    <w:rsid w:val="00AD07B3"/>
    <w:rsid w:val="00AD0810"/>
    <w:rsid w:val="00AD09BA"/>
    <w:rsid w:val="00AD0B01"/>
    <w:rsid w:val="00AD0CD3"/>
    <w:rsid w:val="00AD1081"/>
    <w:rsid w:val="00AD124E"/>
    <w:rsid w:val="00AD1949"/>
    <w:rsid w:val="00AD1A09"/>
    <w:rsid w:val="00AD1B87"/>
    <w:rsid w:val="00AD1DDD"/>
    <w:rsid w:val="00AD21B2"/>
    <w:rsid w:val="00AD29E0"/>
    <w:rsid w:val="00AD2C30"/>
    <w:rsid w:val="00AD3BBD"/>
    <w:rsid w:val="00AD4A3C"/>
    <w:rsid w:val="00AD4A89"/>
    <w:rsid w:val="00AD4E42"/>
    <w:rsid w:val="00AD5117"/>
    <w:rsid w:val="00AD53C1"/>
    <w:rsid w:val="00AD547D"/>
    <w:rsid w:val="00AD5827"/>
    <w:rsid w:val="00AD591C"/>
    <w:rsid w:val="00AD5990"/>
    <w:rsid w:val="00AD5BA9"/>
    <w:rsid w:val="00AD60CF"/>
    <w:rsid w:val="00AD6662"/>
    <w:rsid w:val="00AD68E1"/>
    <w:rsid w:val="00AD6A88"/>
    <w:rsid w:val="00AD6F42"/>
    <w:rsid w:val="00AD6F61"/>
    <w:rsid w:val="00AD70BB"/>
    <w:rsid w:val="00AD73C0"/>
    <w:rsid w:val="00AD77D1"/>
    <w:rsid w:val="00AD7B8A"/>
    <w:rsid w:val="00AE02FE"/>
    <w:rsid w:val="00AE062E"/>
    <w:rsid w:val="00AE0830"/>
    <w:rsid w:val="00AE0895"/>
    <w:rsid w:val="00AE0916"/>
    <w:rsid w:val="00AE0AD3"/>
    <w:rsid w:val="00AE0D52"/>
    <w:rsid w:val="00AE1227"/>
    <w:rsid w:val="00AE1751"/>
    <w:rsid w:val="00AE19A0"/>
    <w:rsid w:val="00AE22B8"/>
    <w:rsid w:val="00AE23F9"/>
    <w:rsid w:val="00AE271A"/>
    <w:rsid w:val="00AE2C2C"/>
    <w:rsid w:val="00AE2DC1"/>
    <w:rsid w:val="00AE3053"/>
    <w:rsid w:val="00AE36CC"/>
    <w:rsid w:val="00AE3748"/>
    <w:rsid w:val="00AE3B37"/>
    <w:rsid w:val="00AE3C64"/>
    <w:rsid w:val="00AE3CC7"/>
    <w:rsid w:val="00AE3F2C"/>
    <w:rsid w:val="00AE41B8"/>
    <w:rsid w:val="00AE455B"/>
    <w:rsid w:val="00AE4DB4"/>
    <w:rsid w:val="00AE4EE4"/>
    <w:rsid w:val="00AE51D7"/>
    <w:rsid w:val="00AE521B"/>
    <w:rsid w:val="00AE65B3"/>
    <w:rsid w:val="00AE68C3"/>
    <w:rsid w:val="00AE6AAB"/>
    <w:rsid w:val="00AE6FF1"/>
    <w:rsid w:val="00AE73C3"/>
    <w:rsid w:val="00AE76CF"/>
    <w:rsid w:val="00AF00F1"/>
    <w:rsid w:val="00AF089A"/>
    <w:rsid w:val="00AF08FF"/>
    <w:rsid w:val="00AF09D3"/>
    <w:rsid w:val="00AF0AA5"/>
    <w:rsid w:val="00AF0CAA"/>
    <w:rsid w:val="00AF0CB8"/>
    <w:rsid w:val="00AF0F0D"/>
    <w:rsid w:val="00AF0FCE"/>
    <w:rsid w:val="00AF1A26"/>
    <w:rsid w:val="00AF2382"/>
    <w:rsid w:val="00AF25A4"/>
    <w:rsid w:val="00AF274B"/>
    <w:rsid w:val="00AF2BF1"/>
    <w:rsid w:val="00AF2D0E"/>
    <w:rsid w:val="00AF37DA"/>
    <w:rsid w:val="00AF37FE"/>
    <w:rsid w:val="00AF3C57"/>
    <w:rsid w:val="00AF3CA7"/>
    <w:rsid w:val="00AF43CC"/>
    <w:rsid w:val="00AF4568"/>
    <w:rsid w:val="00AF48B3"/>
    <w:rsid w:val="00AF54AC"/>
    <w:rsid w:val="00AF5504"/>
    <w:rsid w:val="00AF5893"/>
    <w:rsid w:val="00AF59E4"/>
    <w:rsid w:val="00AF5D80"/>
    <w:rsid w:val="00AF5EE3"/>
    <w:rsid w:val="00AF61AA"/>
    <w:rsid w:val="00AF6F7F"/>
    <w:rsid w:val="00AF71F0"/>
    <w:rsid w:val="00AF72B8"/>
    <w:rsid w:val="00AF76D5"/>
    <w:rsid w:val="00AF7B5C"/>
    <w:rsid w:val="00AF7F40"/>
    <w:rsid w:val="00B00127"/>
    <w:rsid w:val="00B008B5"/>
    <w:rsid w:val="00B00959"/>
    <w:rsid w:val="00B00BE7"/>
    <w:rsid w:val="00B00DEF"/>
    <w:rsid w:val="00B00E73"/>
    <w:rsid w:val="00B00EFA"/>
    <w:rsid w:val="00B01176"/>
    <w:rsid w:val="00B01BCF"/>
    <w:rsid w:val="00B028E4"/>
    <w:rsid w:val="00B0341E"/>
    <w:rsid w:val="00B03BDD"/>
    <w:rsid w:val="00B03E70"/>
    <w:rsid w:val="00B04E4F"/>
    <w:rsid w:val="00B04F70"/>
    <w:rsid w:val="00B05289"/>
    <w:rsid w:val="00B059A9"/>
    <w:rsid w:val="00B05B28"/>
    <w:rsid w:val="00B05CCE"/>
    <w:rsid w:val="00B05FA5"/>
    <w:rsid w:val="00B062CD"/>
    <w:rsid w:val="00B06392"/>
    <w:rsid w:val="00B066BE"/>
    <w:rsid w:val="00B06B4F"/>
    <w:rsid w:val="00B06E01"/>
    <w:rsid w:val="00B071D4"/>
    <w:rsid w:val="00B07D95"/>
    <w:rsid w:val="00B100F7"/>
    <w:rsid w:val="00B1085A"/>
    <w:rsid w:val="00B1099B"/>
    <w:rsid w:val="00B10AB7"/>
    <w:rsid w:val="00B10B13"/>
    <w:rsid w:val="00B10B5F"/>
    <w:rsid w:val="00B11528"/>
    <w:rsid w:val="00B116A6"/>
    <w:rsid w:val="00B11C93"/>
    <w:rsid w:val="00B11FCB"/>
    <w:rsid w:val="00B12169"/>
    <w:rsid w:val="00B12316"/>
    <w:rsid w:val="00B1272B"/>
    <w:rsid w:val="00B1274C"/>
    <w:rsid w:val="00B12B42"/>
    <w:rsid w:val="00B1359E"/>
    <w:rsid w:val="00B13684"/>
    <w:rsid w:val="00B137E4"/>
    <w:rsid w:val="00B13D1F"/>
    <w:rsid w:val="00B13E4A"/>
    <w:rsid w:val="00B1413B"/>
    <w:rsid w:val="00B146F8"/>
    <w:rsid w:val="00B14C4D"/>
    <w:rsid w:val="00B14D53"/>
    <w:rsid w:val="00B14E03"/>
    <w:rsid w:val="00B14F35"/>
    <w:rsid w:val="00B1560A"/>
    <w:rsid w:val="00B157B4"/>
    <w:rsid w:val="00B15891"/>
    <w:rsid w:val="00B15C5F"/>
    <w:rsid w:val="00B15CB1"/>
    <w:rsid w:val="00B15FBF"/>
    <w:rsid w:val="00B15FF8"/>
    <w:rsid w:val="00B16194"/>
    <w:rsid w:val="00B16403"/>
    <w:rsid w:val="00B1655A"/>
    <w:rsid w:val="00B166B3"/>
    <w:rsid w:val="00B172FE"/>
    <w:rsid w:val="00B173C6"/>
    <w:rsid w:val="00B173E0"/>
    <w:rsid w:val="00B17F97"/>
    <w:rsid w:val="00B20020"/>
    <w:rsid w:val="00B20440"/>
    <w:rsid w:val="00B20446"/>
    <w:rsid w:val="00B2061C"/>
    <w:rsid w:val="00B2123B"/>
    <w:rsid w:val="00B2129A"/>
    <w:rsid w:val="00B21C4F"/>
    <w:rsid w:val="00B21CEA"/>
    <w:rsid w:val="00B21F7F"/>
    <w:rsid w:val="00B2267D"/>
    <w:rsid w:val="00B2275D"/>
    <w:rsid w:val="00B22EAF"/>
    <w:rsid w:val="00B2300E"/>
    <w:rsid w:val="00B234DF"/>
    <w:rsid w:val="00B239C9"/>
    <w:rsid w:val="00B23B06"/>
    <w:rsid w:val="00B24419"/>
    <w:rsid w:val="00B249FF"/>
    <w:rsid w:val="00B24B8C"/>
    <w:rsid w:val="00B2513B"/>
    <w:rsid w:val="00B2522C"/>
    <w:rsid w:val="00B252C0"/>
    <w:rsid w:val="00B25AD0"/>
    <w:rsid w:val="00B25CE5"/>
    <w:rsid w:val="00B25E96"/>
    <w:rsid w:val="00B25F6C"/>
    <w:rsid w:val="00B2600F"/>
    <w:rsid w:val="00B26579"/>
    <w:rsid w:val="00B26E41"/>
    <w:rsid w:val="00B27967"/>
    <w:rsid w:val="00B27AB7"/>
    <w:rsid w:val="00B27B40"/>
    <w:rsid w:val="00B27B63"/>
    <w:rsid w:val="00B27C5A"/>
    <w:rsid w:val="00B27FE8"/>
    <w:rsid w:val="00B30206"/>
    <w:rsid w:val="00B306AF"/>
    <w:rsid w:val="00B30800"/>
    <w:rsid w:val="00B308A7"/>
    <w:rsid w:val="00B30CE5"/>
    <w:rsid w:val="00B313F2"/>
    <w:rsid w:val="00B313F9"/>
    <w:rsid w:val="00B315BC"/>
    <w:rsid w:val="00B31C95"/>
    <w:rsid w:val="00B31CBF"/>
    <w:rsid w:val="00B31DA1"/>
    <w:rsid w:val="00B31DEA"/>
    <w:rsid w:val="00B31E5A"/>
    <w:rsid w:val="00B31FAC"/>
    <w:rsid w:val="00B320F4"/>
    <w:rsid w:val="00B32569"/>
    <w:rsid w:val="00B3268F"/>
    <w:rsid w:val="00B32A27"/>
    <w:rsid w:val="00B32F1A"/>
    <w:rsid w:val="00B33802"/>
    <w:rsid w:val="00B3380F"/>
    <w:rsid w:val="00B33AD8"/>
    <w:rsid w:val="00B33CCA"/>
    <w:rsid w:val="00B33E9C"/>
    <w:rsid w:val="00B33FB0"/>
    <w:rsid w:val="00B3421C"/>
    <w:rsid w:val="00B34268"/>
    <w:rsid w:val="00B3440A"/>
    <w:rsid w:val="00B345E0"/>
    <w:rsid w:val="00B348B5"/>
    <w:rsid w:val="00B34DF7"/>
    <w:rsid w:val="00B3507E"/>
    <w:rsid w:val="00B358AC"/>
    <w:rsid w:val="00B35A4A"/>
    <w:rsid w:val="00B3615E"/>
    <w:rsid w:val="00B363BE"/>
    <w:rsid w:val="00B369ED"/>
    <w:rsid w:val="00B36B12"/>
    <w:rsid w:val="00B3702D"/>
    <w:rsid w:val="00B37169"/>
    <w:rsid w:val="00B37335"/>
    <w:rsid w:val="00B37CE1"/>
    <w:rsid w:val="00B40499"/>
    <w:rsid w:val="00B40A66"/>
    <w:rsid w:val="00B40DB2"/>
    <w:rsid w:val="00B40DDD"/>
    <w:rsid w:val="00B413D4"/>
    <w:rsid w:val="00B4181E"/>
    <w:rsid w:val="00B41BC2"/>
    <w:rsid w:val="00B42650"/>
    <w:rsid w:val="00B42C52"/>
    <w:rsid w:val="00B43207"/>
    <w:rsid w:val="00B433DD"/>
    <w:rsid w:val="00B4342A"/>
    <w:rsid w:val="00B437AD"/>
    <w:rsid w:val="00B4381D"/>
    <w:rsid w:val="00B439DD"/>
    <w:rsid w:val="00B43E0D"/>
    <w:rsid w:val="00B441D9"/>
    <w:rsid w:val="00B44271"/>
    <w:rsid w:val="00B447A2"/>
    <w:rsid w:val="00B448CE"/>
    <w:rsid w:val="00B44A92"/>
    <w:rsid w:val="00B44B37"/>
    <w:rsid w:val="00B44EA6"/>
    <w:rsid w:val="00B452BD"/>
    <w:rsid w:val="00B4590E"/>
    <w:rsid w:val="00B45A6E"/>
    <w:rsid w:val="00B45FA2"/>
    <w:rsid w:val="00B46534"/>
    <w:rsid w:val="00B4679A"/>
    <w:rsid w:val="00B46881"/>
    <w:rsid w:val="00B46B5C"/>
    <w:rsid w:val="00B46CB0"/>
    <w:rsid w:val="00B46D6D"/>
    <w:rsid w:val="00B46EEA"/>
    <w:rsid w:val="00B473F5"/>
    <w:rsid w:val="00B50195"/>
    <w:rsid w:val="00B506F6"/>
    <w:rsid w:val="00B5070F"/>
    <w:rsid w:val="00B50BC4"/>
    <w:rsid w:val="00B51382"/>
    <w:rsid w:val="00B5143E"/>
    <w:rsid w:val="00B514B7"/>
    <w:rsid w:val="00B51535"/>
    <w:rsid w:val="00B51A86"/>
    <w:rsid w:val="00B51CFF"/>
    <w:rsid w:val="00B51FD4"/>
    <w:rsid w:val="00B52244"/>
    <w:rsid w:val="00B52267"/>
    <w:rsid w:val="00B52332"/>
    <w:rsid w:val="00B52688"/>
    <w:rsid w:val="00B5277F"/>
    <w:rsid w:val="00B528ED"/>
    <w:rsid w:val="00B52C54"/>
    <w:rsid w:val="00B53715"/>
    <w:rsid w:val="00B540C0"/>
    <w:rsid w:val="00B547A8"/>
    <w:rsid w:val="00B54E55"/>
    <w:rsid w:val="00B54EB6"/>
    <w:rsid w:val="00B55723"/>
    <w:rsid w:val="00B5574D"/>
    <w:rsid w:val="00B55772"/>
    <w:rsid w:val="00B55CA5"/>
    <w:rsid w:val="00B55D31"/>
    <w:rsid w:val="00B55DA0"/>
    <w:rsid w:val="00B5630B"/>
    <w:rsid w:val="00B5649B"/>
    <w:rsid w:val="00B564E7"/>
    <w:rsid w:val="00B5706B"/>
    <w:rsid w:val="00B571AC"/>
    <w:rsid w:val="00B5721B"/>
    <w:rsid w:val="00B577D9"/>
    <w:rsid w:val="00B578C9"/>
    <w:rsid w:val="00B57938"/>
    <w:rsid w:val="00B5793B"/>
    <w:rsid w:val="00B57BF5"/>
    <w:rsid w:val="00B57CCA"/>
    <w:rsid w:val="00B57F42"/>
    <w:rsid w:val="00B57F4C"/>
    <w:rsid w:val="00B60089"/>
    <w:rsid w:val="00B606BA"/>
    <w:rsid w:val="00B60A67"/>
    <w:rsid w:val="00B6138E"/>
    <w:rsid w:val="00B61495"/>
    <w:rsid w:val="00B61D4E"/>
    <w:rsid w:val="00B621A0"/>
    <w:rsid w:val="00B62541"/>
    <w:rsid w:val="00B628D6"/>
    <w:rsid w:val="00B62A0A"/>
    <w:rsid w:val="00B62C7E"/>
    <w:rsid w:val="00B62E05"/>
    <w:rsid w:val="00B62EFB"/>
    <w:rsid w:val="00B63930"/>
    <w:rsid w:val="00B6397E"/>
    <w:rsid w:val="00B63D3C"/>
    <w:rsid w:val="00B63D9F"/>
    <w:rsid w:val="00B63DE9"/>
    <w:rsid w:val="00B63E26"/>
    <w:rsid w:val="00B640AC"/>
    <w:rsid w:val="00B64237"/>
    <w:rsid w:val="00B64A43"/>
    <w:rsid w:val="00B64CEA"/>
    <w:rsid w:val="00B6504D"/>
    <w:rsid w:val="00B650FB"/>
    <w:rsid w:val="00B6515C"/>
    <w:rsid w:val="00B65627"/>
    <w:rsid w:val="00B65BA7"/>
    <w:rsid w:val="00B6611E"/>
    <w:rsid w:val="00B66535"/>
    <w:rsid w:val="00B66E55"/>
    <w:rsid w:val="00B66F77"/>
    <w:rsid w:val="00B67E8C"/>
    <w:rsid w:val="00B7005E"/>
    <w:rsid w:val="00B70069"/>
    <w:rsid w:val="00B70590"/>
    <w:rsid w:val="00B707F8"/>
    <w:rsid w:val="00B70DAA"/>
    <w:rsid w:val="00B71592"/>
    <w:rsid w:val="00B7170B"/>
    <w:rsid w:val="00B71FC4"/>
    <w:rsid w:val="00B71FE6"/>
    <w:rsid w:val="00B7202A"/>
    <w:rsid w:val="00B720AE"/>
    <w:rsid w:val="00B7221D"/>
    <w:rsid w:val="00B725CC"/>
    <w:rsid w:val="00B725ED"/>
    <w:rsid w:val="00B7268F"/>
    <w:rsid w:val="00B72A6B"/>
    <w:rsid w:val="00B72B15"/>
    <w:rsid w:val="00B72E6E"/>
    <w:rsid w:val="00B738A1"/>
    <w:rsid w:val="00B73CEF"/>
    <w:rsid w:val="00B73D6A"/>
    <w:rsid w:val="00B743A4"/>
    <w:rsid w:val="00B7440C"/>
    <w:rsid w:val="00B74547"/>
    <w:rsid w:val="00B74754"/>
    <w:rsid w:val="00B74C11"/>
    <w:rsid w:val="00B74D8D"/>
    <w:rsid w:val="00B75028"/>
    <w:rsid w:val="00B750D6"/>
    <w:rsid w:val="00B752FE"/>
    <w:rsid w:val="00B75780"/>
    <w:rsid w:val="00B75AA9"/>
    <w:rsid w:val="00B75ABB"/>
    <w:rsid w:val="00B76294"/>
    <w:rsid w:val="00B763C4"/>
    <w:rsid w:val="00B767B6"/>
    <w:rsid w:val="00B769D3"/>
    <w:rsid w:val="00B76C19"/>
    <w:rsid w:val="00B76C61"/>
    <w:rsid w:val="00B76CAA"/>
    <w:rsid w:val="00B77280"/>
    <w:rsid w:val="00B77358"/>
    <w:rsid w:val="00B77B17"/>
    <w:rsid w:val="00B77F89"/>
    <w:rsid w:val="00B80078"/>
    <w:rsid w:val="00B8081D"/>
    <w:rsid w:val="00B80B4A"/>
    <w:rsid w:val="00B80F86"/>
    <w:rsid w:val="00B81061"/>
    <w:rsid w:val="00B81464"/>
    <w:rsid w:val="00B814B4"/>
    <w:rsid w:val="00B818B2"/>
    <w:rsid w:val="00B8218D"/>
    <w:rsid w:val="00B82472"/>
    <w:rsid w:val="00B82C53"/>
    <w:rsid w:val="00B82DFE"/>
    <w:rsid w:val="00B82F36"/>
    <w:rsid w:val="00B83530"/>
    <w:rsid w:val="00B84872"/>
    <w:rsid w:val="00B84A3B"/>
    <w:rsid w:val="00B84C1D"/>
    <w:rsid w:val="00B84D5D"/>
    <w:rsid w:val="00B84DA4"/>
    <w:rsid w:val="00B85006"/>
    <w:rsid w:val="00B85085"/>
    <w:rsid w:val="00B85400"/>
    <w:rsid w:val="00B85812"/>
    <w:rsid w:val="00B85891"/>
    <w:rsid w:val="00B85B86"/>
    <w:rsid w:val="00B86586"/>
    <w:rsid w:val="00B868F1"/>
    <w:rsid w:val="00B86B92"/>
    <w:rsid w:val="00B8771E"/>
    <w:rsid w:val="00B878DF"/>
    <w:rsid w:val="00B87C33"/>
    <w:rsid w:val="00B90391"/>
    <w:rsid w:val="00B90645"/>
    <w:rsid w:val="00B90653"/>
    <w:rsid w:val="00B90A0D"/>
    <w:rsid w:val="00B90CA2"/>
    <w:rsid w:val="00B913DA"/>
    <w:rsid w:val="00B91603"/>
    <w:rsid w:val="00B917A8"/>
    <w:rsid w:val="00B9192F"/>
    <w:rsid w:val="00B91CE3"/>
    <w:rsid w:val="00B92169"/>
    <w:rsid w:val="00B921EE"/>
    <w:rsid w:val="00B92857"/>
    <w:rsid w:val="00B92ABF"/>
    <w:rsid w:val="00B93109"/>
    <w:rsid w:val="00B93273"/>
    <w:rsid w:val="00B93577"/>
    <w:rsid w:val="00B937AA"/>
    <w:rsid w:val="00B93A05"/>
    <w:rsid w:val="00B93B42"/>
    <w:rsid w:val="00B94768"/>
    <w:rsid w:val="00B948D2"/>
    <w:rsid w:val="00B94B94"/>
    <w:rsid w:val="00B94CA8"/>
    <w:rsid w:val="00B94CCD"/>
    <w:rsid w:val="00B95014"/>
    <w:rsid w:val="00B955FB"/>
    <w:rsid w:val="00B95A32"/>
    <w:rsid w:val="00B96AF7"/>
    <w:rsid w:val="00B96FB6"/>
    <w:rsid w:val="00B97078"/>
    <w:rsid w:val="00B97198"/>
    <w:rsid w:val="00B97396"/>
    <w:rsid w:val="00B973E2"/>
    <w:rsid w:val="00B97587"/>
    <w:rsid w:val="00BA0222"/>
    <w:rsid w:val="00BA05F4"/>
    <w:rsid w:val="00BA0AD9"/>
    <w:rsid w:val="00BA0CA6"/>
    <w:rsid w:val="00BA0F42"/>
    <w:rsid w:val="00BA14E9"/>
    <w:rsid w:val="00BA15F6"/>
    <w:rsid w:val="00BA1811"/>
    <w:rsid w:val="00BA1AE3"/>
    <w:rsid w:val="00BA1CBC"/>
    <w:rsid w:val="00BA1FF8"/>
    <w:rsid w:val="00BA2ACB"/>
    <w:rsid w:val="00BA2D0A"/>
    <w:rsid w:val="00BA2EAA"/>
    <w:rsid w:val="00BA2FFC"/>
    <w:rsid w:val="00BA3292"/>
    <w:rsid w:val="00BA3336"/>
    <w:rsid w:val="00BA41E2"/>
    <w:rsid w:val="00BA43D4"/>
    <w:rsid w:val="00BA4C24"/>
    <w:rsid w:val="00BA4C80"/>
    <w:rsid w:val="00BA4D88"/>
    <w:rsid w:val="00BA4FB1"/>
    <w:rsid w:val="00BA595C"/>
    <w:rsid w:val="00BA5BE4"/>
    <w:rsid w:val="00BA6094"/>
    <w:rsid w:val="00BA6271"/>
    <w:rsid w:val="00BA627C"/>
    <w:rsid w:val="00BA69AD"/>
    <w:rsid w:val="00BA6C77"/>
    <w:rsid w:val="00BA77E8"/>
    <w:rsid w:val="00BA7846"/>
    <w:rsid w:val="00BA7963"/>
    <w:rsid w:val="00BA7D17"/>
    <w:rsid w:val="00BA7EC0"/>
    <w:rsid w:val="00BB0316"/>
    <w:rsid w:val="00BB0C34"/>
    <w:rsid w:val="00BB0EAB"/>
    <w:rsid w:val="00BB113E"/>
    <w:rsid w:val="00BB1616"/>
    <w:rsid w:val="00BB1657"/>
    <w:rsid w:val="00BB1B50"/>
    <w:rsid w:val="00BB1D04"/>
    <w:rsid w:val="00BB1F95"/>
    <w:rsid w:val="00BB236F"/>
    <w:rsid w:val="00BB27CE"/>
    <w:rsid w:val="00BB2C4E"/>
    <w:rsid w:val="00BB304F"/>
    <w:rsid w:val="00BB30E7"/>
    <w:rsid w:val="00BB3198"/>
    <w:rsid w:val="00BB39EC"/>
    <w:rsid w:val="00BB3E6D"/>
    <w:rsid w:val="00BB46CB"/>
    <w:rsid w:val="00BB4942"/>
    <w:rsid w:val="00BB49D0"/>
    <w:rsid w:val="00BB51B1"/>
    <w:rsid w:val="00BB5288"/>
    <w:rsid w:val="00BB52F5"/>
    <w:rsid w:val="00BB5AEC"/>
    <w:rsid w:val="00BB5C70"/>
    <w:rsid w:val="00BB61B3"/>
    <w:rsid w:val="00BB6868"/>
    <w:rsid w:val="00BB6AB5"/>
    <w:rsid w:val="00BB6D3D"/>
    <w:rsid w:val="00BB7719"/>
    <w:rsid w:val="00BB7B66"/>
    <w:rsid w:val="00BC05B4"/>
    <w:rsid w:val="00BC0E81"/>
    <w:rsid w:val="00BC0FC1"/>
    <w:rsid w:val="00BC1999"/>
    <w:rsid w:val="00BC1CDD"/>
    <w:rsid w:val="00BC1FE7"/>
    <w:rsid w:val="00BC200A"/>
    <w:rsid w:val="00BC255F"/>
    <w:rsid w:val="00BC2656"/>
    <w:rsid w:val="00BC28AE"/>
    <w:rsid w:val="00BC2C05"/>
    <w:rsid w:val="00BC3003"/>
    <w:rsid w:val="00BC3138"/>
    <w:rsid w:val="00BC3647"/>
    <w:rsid w:val="00BC3648"/>
    <w:rsid w:val="00BC3A1C"/>
    <w:rsid w:val="00BC4550"/>
    <w:rsid w:val="00BC4A37"/>
    <w:rsid w:val="00BC4AAC"/>
    <w:rsid w:val="00BC4AB6"/>
    <w:rsid w:val="00BC4B7B"/>
    <w:rsid w:val="00BC4D3D"/>
    <w:rsid w:val="00BC58B1"/>
    <w:rsid w:val="00BC58E2"/>
    <w:rsid w:val="00BC6032"/>
    <w:rsid w:val="00BC617E"/>
    <w:rsid w:val="00BC62B7"/>
    <w:rsid w:val="00BC6433"/>
    <w:rsid w:val="00BC664F"/>
    <w:rsid w:val="00BC7250"/>
    <w:rsid w:val="00BC7420"/>
    <w:rsid w:val="00BC74A8"/>
    <w:rsid w:val="00BC74C6"/>
    <w:rsid w:val="00BC7526"/>
    <w:rsid w:val="00BC797F"/>
    <w:rsid w:val="00BC7A6E"/>
    <w:rsid w:val="00BC7A99"/>
    <w:rsid w:val="00BC7B60"/>
    <w:rsid w:val="00BC7F26"/>
    <w:rsid w:val="00BD090B"/>
    <w:rsid w:val="00BD0C05"/>
    <w:rsid w:val="00BD12FB"/>
    <w:rsid w:val="00BD15BD"/>
    <w:rsid w:val="00BD202E"/>
    <w:rsid w:val="00BD2134"/>
    <w:rsid w:val="00BD22C1"/>
    <w:rsid w:val="00BD2426"/>
    <w:rsid w:val="00BD3287"/>
    <w:rsid w:val="00BD4462"/>
    <w:rsid w:val="00BD44DA"/>
    <w:rsid w:val="00BD4990"/>
    <w:rsid w:val="00BD5467"/>
    <w:rsid w:val="00BD5506"/>
    <w:rsid w:val="00BD5A8A"/>
    <w:rsid w:val="00BD5D3B"/>
    <w:rsid w:val="00BD5D9D"/>
    <w:rsid w:val="00BD658A"/>
    <w:rsid w:val="00BD6594"/>
    <w:rsid w:val="00BD67C7"/>
    <w:rsid w:val="00BD69EB"/>
    <w:rsid w:val="00BD6C59"/>
    <w:rsid w:val="00BD6F6A"/>
    <w:rsid w:val="00BD7275"/>
    <w:rsid w:val="00BD738E"/>
    <w:rsid w:val="00BD76D0"/>
    <w:rsid w:val="00BD7769"/>
    <w:rsid w:val="00BD7BF7"/>
    <w:rsid w:val="00BE013F"/>
    <w:rsid w:val="00BE0192"/>
    <w:rsid w:val="00BE05CD"/>
    <w:rsid w:val="00BE0DF4"/>
    <w:rsid w:val="00BE0F31"/>
    <w:rsid w:val="00BE14D5"/>
    <w:rsid w:val="00BE1A93"/>
    <w:rsid w:val="00BE1AC3"/>
    <w:rsid w:val="00BE1ACA"/>
    <w:rsid w:val="00BE2824"/>
    <w:rsid w:val="00BE2D19"/>
    <w:rsid w:val="00BE2EB7"/>
    <w:rsid w:val="00BE2EF9"/>
    <w:rsid w:val="00BE2F01"/>
    <w:rsid w:val="00BE3237"/>
    <w:rsid w:val="00BE3412"/>
    <w:rsid w:val="00BE3500"/>
    <w:rsid w:val="00BE3C21"/>
    <w:rsid w:val="00BE425A"/>
    <w:rsid w:val="00BE46B0"/>
    <w:rsid w:val="00BE47E0"/>
    <w:rsid w:val="00BE4A3F"/>
    <w:rsid w:val="00BE4A91"/>
    <w:rsid w:val="00BE4F09"/>
    <w:rsid w:val="00BE5264"/>
    <w:rsid w:val="00BE53DD"/>
    <w:rsid w:val="00BE554D"/>
    <w:rsid w:val="00BE5CA2"/>
    <w:rsid w:val="00BE5D47"/>
    <w:rsid w:val="00BE5F7F"/>
    <w:rsid w:val="00BE60A1"/>
    <w:rsid w:val="00BE66DE"/>
    <w:rsid w:val="00BE7172"/>
    <w:rsid w:val="00BE74B9"/>
    <w:rsid w:val="00BE7839"/>
    <w:rsid w:val="00BE78D6"/>
    <w:rsid w:val="00BE7EE3"/>
    <w:rsid w:val="00BF016E"/>
    <w:rsid w:val="00BF0467"/>
    <w:rsid w:val="00BF0499"/>
    <w:rsid w:val="00BF0538"/>
    <w:rsid w:val="00BF053B"/>
    <w:rsid w:val="00BF0784"/>
    <w:rsid w:val="00BF08A0"/>
    <w:rsid w:val="00BF09AE"/>
    <w:rsid w:val="00BF09ED"/>
    <w:rsid w:val="00BF0C0F"/>
    <w:rsid w:val="00BF10B2"/>
    <w:rsid w:val="00BF1242"/>
    <w:rsid w:val="00BF133F"/>
    <w:rsid w:val="00BF1993"/>
    <w:rsid w:val="00BF1B17"/>
    <w:rsid w:val="00BF20D3"/>
    <w:rsid w:val="00BF2379"/>
    <w:rsid w:val="00BF2429"/>
    <w:rsid w:val="00BF2568"/>
    <w:rsid w:val="00BF2692"/>
    <w:rsid w:val="00BF2719"/>
    <w:rsid w:val="00BF2783"/>
    <w:rsid w:val="00BF2B55"/>
    <w:rsid w:val="00BF2E41"/>
    <w:rsid w:val="00BF2E8B"/>
    <w:rsid w:val="00BF3020"/>
    <w:rsid w:val="00BF30E4"/>
    <w:rsid w:val="00BF31E9"/>
    <w:rsid w:val="00BF32E5"/>
    <w:rsid w:val="00BF4153"/>
    <w:rsid w:val="00BF41BF"/>
    <w:rsid w:val="00BF4239"/>
    <w:rsid w:val="00BF430F"/>
    <w:rsid w:val="00BF43B0"/>
    <w:rsid w:val="00BF4474"/>
    <w:rsid w:val="00BF4680"/>
    <w:rsid w:val="00BF4964"/>
    <w:rsid w:val="00BF4B65"/>
    <w:rsid w:val="00BF4C3C"/>
    <w:rsid w:val="00BF4EC3"/>
    <w:rsid w:val="00BF56F1"/>
    <w:rsid w:val="00BF57E6"/>
    <w:rsid w:val="00BF6145"/>
    <w:rsid w:val="00BF61AC"/>
    <w:rsid w:val="00BF677A"/>
    <w:rsid w:val="00BF6A7C"/>
    <w:rsid w:val="00BF7321"/>
    <w:rsid w:val="00BF73DF"/>
    <w:rsid w:val="00BF7676"/>
    <w:rsid w:val="00BF7ACD"/>
    <w:rsid w:val="00C0022B"/>
    <w:rsid w:val="00C00476"/>
    <w:rsid w:val="00C0050E"/>
    <w:rsid w:val="00C00C0D"/>
    <w:rsid w:val="00C01442"/>
    <w:rsid w:val="00C0155E"/>
    <w:rsid w:val="00C01746"/>
    <w:rsid w:val="00C0195C"/>
    <w:rsid w:val="00C01B11"/>
    <w:rsid w:val="00C01C9A"/>
    <w:rsid w:val="00C01D0A"/>
    <w:rsid w:val="00C01E45"/>
    <w:rsid w:val="00C01E9A"/>
    <w:rsid w:val="00C0219F"/>
    <w:rsid w:val="00C02647"/>
    <w:rsid w:val="00C02E65"/>
    <w:rsid w:val="00C033C9"/>
    <w:rsid w:val="00C0345E"/>
    <w:rsid w:val="00C037E6"/>
    <w:rsid w:val="00C0383C"/>
    <w:rsid w:val="00C03916"/>
    <w:rsid w:val="00C03A17"/>
    <w:rsid w:val="00C04329"/>
    <w:rsid w:val="00C04389"/>
    <w:rsid w:val="00C045C1"/>
    <w:rsid w:val="00C04D07"/>
    <w:rsid w:val="00C04E79"/>
    <w:rsid w:val="00C05FB7"/>
    <w:rsid w:val="00C06111"/>
    <w:rsid w:val="00C06130"/>
    <w:rsid w:val="00C0624B"/>
    <w:rsid w:val="00C0646F"/>
    <w:rsid w:val="00C069F1"/>
    <w:rsid w:val="00C077A2"/>
    <w:rsid w:val="00C077EE"/>
    <w:rsid w:val="00C07995"/>
    <w:rsid w:val="00C07E84"/>
    <w:rsid w:val="00C10667"/>
    <w:rsid w:val="00C109DD"/>
    <w:rsid w:val="00C11291"/>
    <w:rsid w:val="00C1162B"/>
    <w:rsid w:val="00C11664"/>
    <w:rsid w:val="00C11930"/>
    <w:rsid w:val="00C1265E"/>
    <w:rsid w:val="00C12CF8"/>
    <w:rsid w:val="00C12DEC"/>
    <w:rsid w:val="00C12F8D"/>
    <w:rsid w:val="00C133B1"/>
    <w:rsid w:val="00C13840"/>
    <w:rsid w:val="00C13900"/>
    <w:rsid w:val="00C13B70"/>
    <w:rsid w:val="00C13BF4"/>
    <w:rsid w:val="00C1401A"/>
    <w:rsid w:val="00C14265"/>
    <w:rsid w:val="00C14688"/>
    <w:rsid w:val="00C14773"/>
    <w:rsid w:val="00C14A0B"/>
    <w:rsid w:val="00C15299"/>
    <w:rsid w:val="00C152FF"/>
    <w:rsid w:val="00C153F2"/>
    <w:rsid w:val="00C15422"/>
    <w:rsid w:val="00C15633"/>
    <w:rsid w:val="00C15725"/>
    <w:rsid w:val="00C15955"/>
    <w:rsid w:val="00C15C74"/>
    <w:rsid w:val="00C1633C"/>
    <w:rsid w:val="00C16592"/>
    <w:rsid w:val="00C1669F"/>
    <w:rsid w:val="00C166BB"/>
    <w:rsid w:val="00C16B3B"/>
    <w:rsid w:val="00C170E4"/>
    <w:rsid w:val="00C172A4"/>
    <w:rsid w:val="00C17377"/>
    <w:rsid w:val="00C17389"/>
    <w:rsid w:val="00C176D0"/>
    <w:rsid w:val="00C179C6"/>
    <w:rsid w:val="00C17A11"/>
    <w:rsid w:val="00C17ED1"/>
    <w:rsid w:val="00C17F7C"/>
    <w:rsid w:val="00C212DC"/>
    <w:rsid w:val="00C21893"/>
    <w:rsid w:val="00C21BB9"/>
    <w:rsid w:val="00C2223B"/>
    <w:rsid w:val="00C22A63"/>
    <w:rsid w:val="00C230C9"/>
    <w:rsid w:val="00C233B7"/>
    <w:rsid w:val="00C2360C"/>
    <w:rsid w:val="00C239D1"/>
    <w:rsid w:val="00C23AF8"/>
    <w:rsid w:val="00C242AA"/>
    <w:rsid w:val="00C243AB"/>
    <w:rsid w:val="00C24647"/>
    <w:rsid w:val="00C249B1"/>
    <w:rsid w:val="00C24B2A"/>
    <w:rsid w:val="00C24C53"/>
    <w:rsid w:val="00C25228"/>
    <w:rsid w:val="00C25C1E"/>
    <w:rsid w:val="00C260F0"/>
    <w:rsid w:val="00C266B8"/>
    <w:rsid w:val="00C2698E"/>
    <w:rsid w:val="00C26BE6"/>
    <w:rsid w:val="00C26EE9"/>
    <w:rsid w:val="00C26FA7"/>
    <w:rsid w:val="00C2774B"/>
    <w:rsid w:val="00C30AE1"/>
    <w:rsid w:val="00C30B6F"/>
    <w:rsid w:val="00C30E99"/>
    <w:rsid w:val="00C30F9C"/>
    <w:rsid w:val="00C3145B"/>
    <w:rsid w:val="00C314B5"/>
    <w:rsid w:val="00C322C9"/>
    <w:rsid w:val="00C3266A"/>
    <w:rsid w:val="00C3293E"/>
    <w:rsid w:val="00C32FB5"/>
    <w:rsid w:val="00C330B4"/>
    <w:rsid w:val="00C335E3"/>
    <w:rsid w:val="00C33A42"/>
    <w:rsid w:val="00C33E1D"/>
    <w:rsid w:val="00C341A6"/>
    <w:rsid w:val="00C345E8"/>
    <w:rsid w:val="00C34869"/>
    <w:rsid w:val="00C34B1D"/>
    <w:rsid w:val="00C3558E"/>
    <w:rsid w:val="00C357BB"/>
    <w:rsid w:val="00C3594D"/>
    <w:rsid w:val="00C35BC8"/>
    <w:rsid w:val="00C35D84"/>
    <w:rsid w:val="00C3611D"/>
    <w:rsid w:val="00C3613D"/>
    <w:rsid w:val="00C36763"/>
    <w:rsid w:val="00C36A62"/>
    <w:rsid w:val="00C36D4F"/>
    <w:rsid w:val="00C36D9B"/>
    <w:rsid w:val="00C36F54"/>
    <w:rsid w:val="00C370A3"/>
    <w:rsid w:val="00C37282"/>
    <w:rsid w:val="00C377F3"/>
    <w:rsid w:val="00C400F4"/>
    <w:rsid w:val="00C4014D"/>
    <w:rsid w:val="00C401F7"/>
    <w:rsid w:val="00C40330"/>
    <w:rsid w:val="00C40441"/>
    <w:rsid w:val="00C40873"/>
    <w:rsid w:val="00C40D13"/>
    <w:rsid w:val="00C41A95"/>
    <w:rsid w:val="00C41C1D"/>
    <w:rsid w:val="00C41CB0"/>
    <w:rsid w:val="00C41CB8"/>
    <w:rsid w:val="00C4235F"/>
    <w:rsid w:val="00C423E9"/>
    <w:rsid w:val="00C425B6"/>
    <w:rsid w:val="00C42744"/>
    <w:rsid w:val="00C428B3"/>
    <w:rsid w:val="00C4296C"/>
    <w:rsid w:val="00C429EA"/>
    <w:rsid w:val="00C42AF4"/>
    <w:rsid w:val="00C42B9E"/>
    <w:rsid w:val="00C43421"/>
    <w:rsid w:val="00C43506"/>
    <w:rsid w:val="00C43566"/>
    <w:rsid w:val="00C43733"/>
    <w:rsid w:val="00C43B9C"/>
    <w:rsid w:val="00C43E70"/>
    <w:rsid w:val="00C44000"/>
    <w:rsid w:val="00C4437D"/>
    <w:rsid w:val="00C447CB"/>
    <w:rsid w:val="00C447DA"/>
    <w:rsid w:val="00C44D44"/>
    <w:rsid w:val="00C4509A"/>
    <w:rsid w:val="00C451C9"/>
    <w:rsid w:val="00C45888"/>
    <w:rsid w:val="00C45B80"/>
    <w:rsid w:val="00C45D69"/>
    <w:rsid w:val="00C46164"/>
    <w:rsid w:val="00C461C7"/>
    <w:rsid w:val="00C46568"/>
    <w:rsid w:val="00C46644"/>
    <w:rsid w:val="00C46850"/>
    <w:rsid w:val="00C46D06"/>
    <w:rsid w:val="00C46FA2"/>
    <w:rsid w:val="00C47144"/>
    <w:rsid w:val="00C475D0"/>
    <w:rsid w:val="00C47F3B"/>
    <w:rsid w:val="00C47F9D"/>
    <w:rsid w:val="00C5000E"/>
    <w:rsid w:val="00C50703"/>
    <w:rsid w:val="00C50CD2"/>
    <w:rsid w:val="00C50F88"/>
    <w:rsid w:val="00C510BD"/>
    <w:rsid w:val="00C51C45"/>
    <w:rsid w:val="00C51DC5"/>
    <w:rsid w:val="00C51E5C"/>
    <w:rsid w:val="00C5239A"/>
    <w:rsid w:val="00C52D15"/>
    <w:rsid w:val="00C52F72"/>
    <w:rsid w:val="00C5303D"/>
    <w:rsid w:val="00C53077"/>
    <w:rsid w:val="00C53602"/>
    <w:rsid w:val="00C53FE1"/>
    <w:rsid w:val="00C54571"/>
    <w:rsid w:val="00C545DC"/>
    <w:rsid w:val="00C54677"/>
    <w:rsid w:val="00C549FA"/>
    <w:rsid w:val="00C54ACF"/>
    <w:rsid w:val="00C54FC7"/>
    <w:rsid w:val="00C55227"/>
    <w:rsid w:val="00C5528C"/>
    <w:rsid w:val="00C55323"/>
    <w:rsid w:val="00C55514"/>
    <w:rsid w:val="00C55908"/>
    <w:rsid w:val="00C56496"/>
    <w:rsid w:val="00C5661E"/>
    <w:rsid w:val="00C5671A"/>
    <w:rsid w:val="00C56F35"/>
    <w:rsid w:val="00C5700C"/>
    <w:rsid w:val="00C570DF"/>
    <w:rsid w:val="00C57219"/>
    <w:rsid w:val="00C57974"/>
    <w:rsid w:val="00C57DD2"/>
    <w:rsid w:val="00C57E2F"/>
    <w:rsid w:val="00C57F9C"/>
    <w:rsid w:val="00C602D5"/>
    <w:rsid w:val="00C60EBB"/>
    <w:rsid w:val="00C611B0"/>
    <w:rsid w:val="00C61968"/>
    <w:rsid w:val="00C61E60"/>
    <w:rsid w:val="00C61ED6"/>
    <w:rsid w:val="00C61F42"/>
    <w:rsid w:val="00C622F7"/>
    <w:rsid w:val="00C626C6"/>
    <w:rsid w:val="00C62792"/>
    <w:rsid w:val="00C62A2C"/>
    <w:rsid w:val="00C62A42"/>
    <w:rsid w:val="00C62C4D"/>
    <w:rsid w:val="00C62CA0"/>
    <w:rsid w:val="00C62D0D"/>
    <w:rsid w:val="00C63461"/>
    <w:rsid w:val="00C6380E"/>
    <w:rsid w:val="00C63BD8"/>
    <w:rsid w:val="00C63E18"/>
    <w:rsid w:val="00C64169"/>
    <w:rsid w:val="00C64288"/>
    <w:rsid w:val="00C644E6"/>
    <w:rsid w:val="00C64C05"/>
    <w:rsid w:val="00C64E50"/>
    <w:rsid w:val="00C64FC8"/>
    <w:rsid w:val="00C662A3"/>
    <w:rsid w:val="00C663F2"/>
    <w:rsid w:val="00C66DEE"/>
    <w:rsid w:val="00C6758B"/>
    <w:rsid w:val="00C679D7"/>
    <w:rsid w:val="00C700E2"/>
    <w:rsid w:val="00C70194"/>
    <w:rsid w:val="00C70587"/>
    <w:rsid w:val="00C707CC"/>
    <w:rsid w:val="00C71106"/>
    <w:rsid w:val="00C712E7"/>
    <w:rsid w:val="00C71503"/>
    <w:rsid w:val="00C7159B"/>
    <w:rsid w:val="00C718D7"/>
    <w:rsid w:val="00C71A37"/>
    <w:rsid w:val="00C71A63"/>
    <w:rsid w:val="00C71E72"/>
    <w:rsid w:val="00C72656"/>
    <w:rsid w:val="00C72BEC"/>
    <w:rsid w:val="00C732CF"/>
    <w:rsid w:val="00C73BF5"/>
    <w:rsid w:val="00C73C48"/>
    <w:rsid w:val="00C73E0E"/>
    <w:rsid w:val="00C73F67"/>
    <w:rsid w:val="00C74185"/>
    <w:rsid w:val="00C74683"/>
    <w:rsid w:val="00C74852"/>
    <w:rsid w:val="00C749CF"/>
    <w:rsid w:val="00C74B7D"/>
    <w:rsid w:val="00C74BD5"/>
    <w:rsid w:val="00C74C82"/>
    <w:rsid w:val="00C74FED"/>
    <w:rsid w:val="00C757A0"/>
    <w:rsid w:val="00C75CEE"/>
    <w:rsid w:val="00C75D6B"/>
    <w:rsid w:val="00C75E5C"/>
    <w:rsid w:val="00C761CD"/>
    <w:rsid w:val="00C776DB"/>
    <w:rsid w:val="00C77D0D"/>
    <w:rsid w:val="00C77E47"/>
    <w:rsid w:val="00C805FB"/>
    <w:rsid w:val="00C80C8C"/>
    <w:rsid w:val="00C80DEB"/>
    <w:rsid w:val="00C80F0F"/>
    <w:rsid w:val="00C814B7"/>
    <w:rsid w:val="00C816A6"/>
    <w:rsid w:val="00C81715"/>
    <w:rsid w:val="00C81AB4"/>
    <w:rsid w:val="00C81AD0"/>
    <w:rsid w:val="00C81B34"/>
    <w:rsid w:val="00C81E8B"/>
    <w:rsid w:val="00C8229B"/>
    <w:rsid w:val="00C82313"/>
    <w:rsid w:val="00C82460"/>
    <w:rsid w:val="00C827F9"/>
    <w:rsid w:val="00C82886"/>
    <w:rsid w:val="00C828CA"/>
    <w:rsid w:val="00C82FD1"/>
    <w:rsid w:val="00C830DE"/>
    <w:rsid w:val="00C8315E"/>
    <w:rsid w:val="00C83CF0"/>
    <w:rsid w:val="00C84455"/>
    <w:rsid w:val="00C84564"/>
    <w:rsid w:val="00C8482D"/>
    <w:rsid w:val="00C84A5E"/>
    <w:rsid w:val="00C84BC5"/>
    <w:rsid w:val="00C84E22"/>
    <w:rsid w:val="00C84E95"/>
    <w:rsid w:val="00C852BF"/>
    <w:rsid w:val="00C85450"/>
    <w:rsid w:val="00C85A03"/>
    <w:rsid w:val="00C85D52"/>
    <w:rsid w:val="00C8608B"/>
    <w:rsid w:val="00C86442"/>
    <w:rsid w:val="00C8670F"/>
    <w:rsid w:val="00C868B9"/>
    <w:rsid w:val="00C86AB4"/>
    <w:rsid w:val="00C8713B"/>
    <w:rsid w:val="00C873F6"/>
    <w:rsid w:val="00C87452"/>
    <w:rsid w:val="00C877D1"/>
    <w:rsid w:val="00C87A2E"/>
    <w:rsid w:val="00C900C7"/>
    <w:rsid w:val="00C90418"/>
    <w:rsid w:val="00C90466"/>
    <w:rsid w:val="00C905E4"/>
    <w:rsid w:val="00C90694"/>
    <w:rsid w:val="00C90984"/>
    <w:rsid w:val="00C909C1"/>
    <w:rsid w:val="00C90C09"/>
    <w:rsid w:val="00C90CCC"/>
    <w:rsid w:val="00C911D5"/>
    <w:rsid w:val="00C91824"/>
    <w:rsid w:val="00C91861"/>
    <w:rsid w:val="00C91926"/>
    <w:rsid w:val="00C91E8D"/>
    <w:rsid w:val="00C921F5"/>
    <w:rsid w:val="00C92456"/>
    <w:rsid w:val="00C92599"/>
    <w:rsid w:val="00C92722"/>
    <w:rsid w:val="00C92953"/>
    <w:rsid w:val="00C92B1A"/>
    <w:rsid w:val="00C931C4"/>
    <w:rsid w:val="00C935BF"/>
    <w:rsid w:val="00C93673"/>
    <w:rsid w:val="00C93B6B"/>
    <w:rsid w:val="00C940AF"/>
    <w:rsid w:val="00C94245"/>
    <w:rsid w:val="00C94A42"/>
    <w:rsid w:val="00C95314"/>
    <w:rsid w:val="00C95A11"/>
    <w:rsid w:val="00C95AD0"/>
    <w:rsid w:val="00C95ED8"/>
    <w:rsid w:val="00C963C1"/>
    <w:rsid w:val="00C96530"/>
    <w:rsid w:val="00C968F6"/>
    <w:rsid w:val="00C96AA2"/>
    <w:rsid w:val="00C96BF6"/>
    <w:rsid w:val="00C96CC3"/>
    <w:rsid w:val="00C9718C"/>
    <w:rsid w:val="00C973F9"/>
    <w:rsid w:val="00C97617"/>
    <w:rsid w:val="00C97C16"/>
    <w:rsid w:val="00C97C28"/>
    <w:rsid w:val="00CA0045"/>
    <w:rsid w:val="00CA009F"/>
    <w:rsid w:val="00CA00AA"/>
    <w:rsid w:val="00CA0133"/>
    <w:rsid w:val="00CA0937"/>
    <w:rsid w:val="00CA0D6E"/>
    <w:rsid w:val="00CA0DB7"/>
    <w:rsid w:val="00CA0F98"/>
    <w:rsid w:val="00CA0F9F"/>
    <w:rsid w:val="00CA119C"/>
    <w:rsid w:val="00CA195A"/>
    <w:rsid w:val="00CA1AFE"/>
    <w:rsid w:val="00CA1BD2"/>
    <w:rsid w:val="00CA1F44"/>
    <w:rsid w:val="00CA1FAF"/>
    <w:rsid w:val="00CA1FF9"/>
    <w:rsid w:val="00CA2400"/>
    <w:rsid w:val="00CA248D"/>
    <w:rsid w:val="00CA2640"/>
    <w:rsid w:val="00CA301D"/>
    <w:rsid w:val="00CA30DE"/>
    <w:rsid w:val="00CA3D91"/>
    <w:rsid w:val="00CA3E27"/>
    <w:rsid w:val="00CA4662"/>
    <w:rsid w:val="00CA479B"/>
    <w:rsid w:val="00CA495D"/>
    <w:rsid w:val="00CA4C08"/>
    <w:rsid w:val="00CA4C79"/>
    <w:rsid w:val="00CA4C8E"/>
    <w:rsid w:val="00CA4E29"/>
    <w:rsid w:val="00CA57D7"/>
    <w:rsid w:val="00CA65FE"/>
    <w:rsid w:val="00CA660A"/>
    <w:rsid w:val="00CA67F2"/>
    <w:rsid w:val="00CA6970"/>
    <w:rsid w:val="00CA6BEA"/>
    <w:rsid w:val="00CA6C45"/>
    <w:rsid w:val="00CA6E27"/>
    <w:rsid w:val="00CA6E2B"/>
    <w:rsid w:val="00CA745C"/>
    <w:rsid w:val="00CA79F6"/>
    <w:rsid w:val="00CA7D1E"/>
    <w:rsid w:val="00CA7E0B"/>
    <w:rsid w:val="00CA7F03"/>
    <w:rsid w:val="00CA7F67"/>
    <w:rsid w:val="00CB023F"/>
    <w:rsid w:val="00CB0319"/>
    <w:rsid w:val="00CB07D2"/>
    <w:rsid w:val="00CB0D5A"/>
    <w:rsid w:val="00CB127B"/>
    <w:rsid w:val="00CB1721"/>
    <w:rsid w:val="00CB1989"/>
    <w:rsid w:val="00CB1C51"/>
    <w:rsid w:val="00CB1D74"/>
    <w:rsid w:val="00CB1E6F"/>
    <w:rsid w:val="00CB20E3"/>
    <w:rsid w:val="00CB2427"/>
    <w:rsid w:val="00CB257C"/>
    <w:rsid w:val="00CB26FA"/>
    <w:rsid w:val="00CB32C2"/>
    <w:rsid w:val="00CB376B"/>
    <w:rsid w:val="00CB3BC6"/>
    <w:rsid w:val="00CB3DB1"/>
    <w:rsid w:val="00CB4177"/>
    <w:rsid w:val="00CB4275"/>
    <w:rsid w:val="00CB4A46"/>
    <w:rsid w:val="00CB4C0E"/>
    <w:rsid w:val="00CB4C8E"/>
    <w:rsid w:val="00CB4D59"/>
    <w:rsid w:val="00CB5A2D"/>
    <w:rsid w:val="00CB5B26"/>
    <w:rsid w:val="00CB5B48"/>
    <w:rsid w:val="00CB5D7E"/>
    <w:rsid w:val="00CB5E41"/>
    <w:rsid w:val="00CB6A89"/>
    <w:rsid w:val="00CB6B0C"/>
    <w:rsid w:val="00CB6DEB"/>
    <w:rsid w:val="00CB70E3"/>
    <w:rsid w:val="00CB7676"/>
    <w:rsid w:val="00CB7AD5"/>
    <w:rsid w:val="00CB7D9B"/>
    <w:rsid w:val="00CB7E7B"/>
    <w:rsid w:val="00CC006F"/>
    <w:rsid w:val="00CC01AC"/>
    <w:rsid w:val="00CC0324"/>
    <w:rsid w:val="00CC0418"/>
    <w:rsid w:val="00CC07A6"/>
    <w:rsid w:val="00CC086A"/>
    <w:rsid w:val="00CC08BC"/>
    <w:rsid w:val="00CC11B6"/>
    <w:rsid w:val="00CC140A"/>
    <w:rsid w:val="00CC16EA"/>
    <w:rsid w:val="00CC188C"/>
    <w:rsid w:val="00CC1911"/>
    <w:rsid w:val="00CC1A13"/>
    <w:rsid w:val="00CC1BC3"/>
    <w:rsid w:val="00CC1D39"/>
    <w:rsid w:val="00CC1E5B"/>
    <w:rsid w:val="00CC271E"/>
    <w:rsid w:val="00CC2F39"/>
    <w:rsid w:val="00CC3452"/>
    <w:rsid w:val="00CC3C89"/>
    <w:rsid w:val="00CC4183"/>
    <w:rsid w:val="00CC4422"/>
    <w:rsid w:val="00CC4B22"/>
    <w:rsid w:val="00CC50D7"/>
    <w:rsid w:val="00CC526E"/>
    <w:rsid w:val="00CC588F"/>
    <w:rsid w:val="00CC58D8"/>
    <w:rsid w:val="00CC5F64"/>
    <w:rsid w:val="00CC5FE9"/>
    <w:rsid w:val="00CC6070"/>
    <w:rsid w:val="00CC61DA"/>
    <w:rsid w:val="00CC6396"/>
    <w:rsid w:val="00CC6497"/>
    <w:rsid w:val="00CC6520"/>
    <w:rsid w:val="00CC6534"/>
    <w:rsid w:val="00CC6656"/>
    <w:rsid w:val="00CC6997"/>
    <w:rsid w:val="00CC69D1"/>
    <w:rsid w:val="00CC7202"/>
    <w:rsid w:val="00CC7215"/>
    <w:rsid w:val="00CC774E"/>
    <w:rsid w:val="00CC7800"/>
    <w:rsid w:val="00CC782A"/>
    <w:rsid w:val="00CC794B"/>
    <w:rsid w:val="00CC7AF7"/>
    <w:rsid w:val="00CD013C"/>
    <w:rsid w:val="00CD07D1"/>
    <w:rsid w:val="00CD0FD7"/>
    <w:rsid w:val="00CD1B8C"/>
    <w:rsid w:val="00CD25C8"/>
    <w:rsid w:val="00CD2BE3"/>
    <w:rsid w:val="00CD2EF6"/>
    <w:rsid w:val="00CD34EB"/>
    <w:rsid w:val="00CD3546"/>
    <w:rsid w:val="00CD3C64"/>
    <w:rsid w:val="00CD40A5"/>
    <w:rsid w:val="00CD423B"/>
    <w:rsid w:val="00CD49E2"/>
    <w:rsid w:val="00CD4A6F"/>
    <w:rsid w:val="00CD4DBB"/>
    <w:rsid w:val="00CD5A0C"/>
    <w:rsid w:val="00CD5BA1"/>
    <w:rsid w:val="00CD5D6A"/>
    <w:rsid w:val="00CD5F82"/>
    <w:rsid w:val="00CD6052"/>
    <w:rsid w:val="00CD60A2"/>
    <w:rsid w:val="00CD612D"/>
    <w:rsid w:val="00CD635A"/>
    <w:rsid w:val="00CD64AC"/>
    <w:rsid w:val="00CD6B13"/>
    <w:rsid w:val="00CD6BC0"/>
    <w:rsid w:val="00CD6CA6"/>
    <w:rsid w:val="00CD6CF3"/>
    <w:rsid w:val="00CD6D3C"/>
    <w:rsid w:val="00CD6F06"/>
    <w:rsid w:val="00CD7212"/>
    <w:rsid w:val="00CD7224"/>
    <w:rsid w:val="00CE0474"/>
    <w:rsid w:val="00CE0A76"/>
    <w:rsid w:val="00CE0A80"/>
    <w:rsid w:val="00CE0AAB"/>
    <w:rsid w:val="00CE0EEE"/>
    <w:rsid w:val="00CE1233"/>
    <w:rsid w:val="00CE12EA"/>
    <w:rsid w:val="00CE13F4"/>
    <w:rsid w:val="00CE16C3"/>
    <w:rsid w:val="00CE1944"/>
    <w:rsid w:val="00CE1BCA"/>
    <w:rsid w:val="00CE2473"/>
    <w:rsid w:val="00CE2820"/>
    <w:rsid w:val="00CE28C0"/>
    <w:rsid w:val="00CE2A94"/>
    <w:rsid w:val="00CE2DB8"/>
    <w:rsid w:val="00CE38AA"/>
    <w:rsid w:val="00CE3961"/>
    <w:rsid w:val="00CE445B"/>
    <w:rsid w:val="00CE44A1"/>
    <w:rsid w:val="00CE47BA"/>
    <w:rsid w:val="00CE47EE"/>
    <w:rsid w:val="00CE49C9"/>
    <w:rsid w:val="00CE4B07"/>
    <w:rsid w:val="00CE4C78"/>
    <w:rsid w:val="00CE51B0"/>
    <w:rsid w:val="00CE5345"/>
    <w:rsid w:val="00CE551A"/>
    <w:rsid w:val="00CE570E"/>
    <w:rsid w:val="00CE58B6"/>
    <w:rsid w:val="00CE58C1"/>
    <w:rsid w:val="00CE5E55"/>
    <w:rsid w:val="00CE5ED2"/>
    <w:rsid w:val="00CE6574"/>
    <w:rsid w:val="00CE6B22"/>
    <w:rsid w:val="00CE6B6A"/>
    <w:rsid w:val="00CE7258"/>
    <w:rsid w:val="00CE743B"/>
    <w:rsid w:val="00CE74F2"/>
    <w:rsid w:val="00CE7BD2"/>
    <w:rsid w:val="00CF05C5"/>
    <w:rsid w:val="00CF09E3"/>
    <w:rsid w:val="00CF0BDB"/>
    <w:rsid w:val="00CF1546"/>
    <w:rsid w:val="00CF1D18"/>
    <w:rsid w:val="00CF1DBE"/>
    <w:rsid w:val="00CF1F7F"/>
    <w:rsid w:val="00CF225C"/>
    <w:rsid w:val="00CF23B1"/>
    <w:rsid w:val="00CF276B"/>
    <w:rsid w:val="00CF29CE"/>
    <w:rsid w:val="00CF29E2"/>
    <w:rsid w:val="00CF2D0E"/>
    <w:rsid w:val="00CF2E1B"/>
    <w:rsid w:val="00CF2E5F"/>
    <w:rsid w:val="00CF3044"/>
    <w:rsid w:val="00CF3293"/>
    <w:rsid w:val="00CF32F4"/>
    <w:rsid w:val="00CF3AEF"/>
    <w:rsid w:val="00CF3D0F"/>
    <w:rsid w:val="00CF3FCE"/>
    <w:rsid w:val="00CF410C"/>
    <w:rsid w:val="00CF42BF"/>
    <w:rsid w:val="00CF465A"/>
    <w:rsid w:val="00CF47D5"/>
    <w:rsid w:val="00CF4AA9"/>
    <w:rsid w:val="00CF4AB6"/>
    <w:rsid w:val="00CF52E0"/>
    <w:rsid w:val="00CF5477"/>
    <w:rsid w:val="00CF5ACD"/>
    <w:rsid w:val="00CF5E49"/>
    <w:rsid w:val="00CF5F76"/>
    <w:rsid w:val="00CF62EC"/>
    <w:rsid w:val="00CF6549"/>
    <w:rsid w:val="00CF695A"/>
    <w:rsid w:val="00CF6A19"/>
    <w:rsid w:val="00CF6C68"/>
    <w:rsid w:val="00CF6FBB"/>
    <w:rsid w:val="00CF7148"/>
    <w:rsid w:val="00CF72C6"/>
    <w:rsid w:val="00CF735D"/>
    <w:rsid w:val="00CF755A"/>
    <w:rsid w:val="00CF762A"/>
    <w:rsid w:val="00CF76AE"/>
    <w:rsid w:val="00CF7C81"/>
    <w:rsid w:val="00CF7D15"/>
    <w:rsid w:val="00D00389"/>
    <w:rsid w:val="00D00478"/>
    <w:rsid w:val="00D00CAC"/>
    <w:rsid w:val="00D00E0D"/>
    <w:rsid w:val="00D00E79"/>
    <w:rsid w:val="00D00F31"/>
    <w:rsid w:val="00D011DB"/>
    <w:rsid w:val="00D0186E"/>
    <w:rsid w:val="00D0213A"/>
    <w:rsid w:val="00D02628"/>
    <w:rsid w:val="00D0283D"/>
    <w:rsid w:val="00D02BED"/>
    <w:rsid w:val="00D033DC"/>
    <w:rsid w:val="00D037AE"/>
    <w:rsid w:val="00D037D5"/>
    <w:rsid w:val="00D039A6"/>
    <w:rsid w:val="00D03A42"/>
    <w:rsid w:val="00D03BCF"/>
    <w:rsid w:val="00D03D1B"/>
    <w:rsid w:val="00D0406D"/>
    <w:rsid w:val="00D043C9"/>
    <w:rsid w:val="00D044A1"/>
    <w:rsid w:val="00D047FB"/>
    <w:rsid w:val="00D04945"/>
    <w:rsid w:val="00D0496E"/>
    <w:rsid w:val="00D04B1B"/>
    <w:rsid w:val="00D051B7"/>
    <w:rsid w:val="00D05436"/>
    <w:rsid w:val="00D0555B"/>
    <w:rsid w:val="00D055B0"/>
    <w:rsid w:val="00D059AF"/>
    <w:rsid w:val="00D05D35"/>
    <w:rsid w:val="00D05F0F"/>
    <w:rsid w:val="00D064F8"/>
    <w:rsid w:val="00D06956"/>
    <w:rsid w:val="00D06B44"/>
    <w:rsid w:val="00D06CE4"/>
    <w:rsid w:val="00D06D15"/>
    <w:rsid w:val="00D06F67"/>
    <w:rsid w:val="00D072DE"/>
    <w:rsid w:val="00D07403"/>
    <w:rsid w:val="00D074EC"/>
    <w:rsid w:val="00D075C1"/>
    <w:rsid w:val="00D07780"/>
    <w:rsid w:val="00D07AA6"/>
    <w:rsid w:val="00D07DA1"/>
    <w:rsid w:val="00D07E1B"/>
    <w:rsid w:val="00D10407"/>
    <w:rsid w:val="00D1049C"/>
    <w:rsid w:val="00D105E2"/>
    <w:rsid w:val="00D10CA6"/>
    <w:rsid w:val="00D10D4C"/>
    <w:rsid w:val="00D10EF6"/>
    <w:rsid w:val="00D1100E"/>
    <w:rsid w:val="00D11FAB"/>
    <w:rsid w:val="00D1234D"/>
    <w:rsid w:val="00D12DC6"/>
    <w:rsid w:val="00D12FCD"/>
    <w:rsid w:val="00D1343E"/>
    <w:rsid w:val="00D1367D"/>
    <w:rsid w:val="00D137CA"/>
    <w:rsid w:val="00D139BB"/>
    <w:rsid w:val="00D139EE"/>
    <w:rsid w:val="00D13B7F"/>
    <w:rsid w:val="00D13C07"/>
    <w:rsid w:val="00D1417C"/>
    <w:rsid w:val="00D141A2"/>
    <w:rsid w:val="00D14259"/>
    <w:rsid w:val="00D143F4"/>
    <w:rsid w:val="00D14444"/>
    <w:rsid w:val="00D1486F"/>
    <w:rsid w:val="00D148D7"/>
    <w:rsid w:val="00D1493E"/>
    <w:rsid w:val="00D1498F"/>
    <w:rsid w:val="00D1509A"/>
    <w:rsid w:val="00D1536D"/>
    <w:rsid w:val="00D1551A"/>
    <w:rsid w:val="00D1572E"/>
    <w:rsid w:val="00D1603E"/>
    <w:rsid w:val="00D167B0"/>
    <w:rsid w:val="00D169C0"/>
    <w:rsid w:val="00D171D2"/>
    <w:rsid w:val="00D1735B"/>
    <w:rsid w:val="00D175A0"/>
    <w:rsid w:val="00D20331"/>
    <w:rsid w:val="00D204B0"/>
    <w:rsid w:val="00D207B7"/>
    <w:rsid w:val="00D20B3E"/>
    <w:rsid w:val="00D20E3E"/>
    <w:rsid w:val="00D210F0"/>
    <w:rsid w:val="00D21A67"/>
    <w:rsid w:val="00D21A82"/>
    <w:rsid w:val="00D21BA8"/>
    <w:rsid w:val="00D21D3F"/>
    <w:rsid w:val="00D221DA"/>
    <w:rsid w:val="00D22248"/>
    <w:rsid w:val="00D2265D"/>
    <w:rsid w:val="00D23054"/>
    <w:rsid w:val="00D231F7"/>
    <w:rsid w:val="00D23470"/>
    <w:rsid w:val="00D23C29"/>
    <w:rsid w:val="00D23EF9"/>
    <w:rsid w:val="00D24746"/>
    <w:rsid w:val="00D24B40"/>
    <w:rsid w:val="00D24B68"/>
    <w:rsid w:val="00D25068"/>
    <w:rsid w:val="00D25275"/>
    <w:rsid w:val="00D25382"/>
    <w:rsid w:val="00D2565B"/>
    <w:rsid w:val="00D257A5"/>
    <w:rsid w:val="00D258CC"/>
    <w:rsid w:val="00D25A01"/>
    <w:rsid w:val="00D25AEB"/>
    <w:rsid w:val="00D25CCE"/>
    <w:rsid w:val="00D2638B"/>
    <w:rsid w:val="00D2652F"/>
    <w:rsid w:val="00D26686"/>
    <w:rsid w:val="00D268A9"/>
    <w:rsid w:val="00D26DD7"/>
    <w:rsid w:val="00D26EE8"/>
    <w:rsid w:val="00D27271"/>
    <w:rsid w:val="00D279DE"/>
    <w:rsid w:val="00D27B59"/>
    <w:rsid w:val="00D30119"/>
    <w:rsid w:val="00D30796"/>
    <w:rsid w:val="00D30BE6"/>
    <w:rsid w:val="00D3109A"/>
    <w:rsid w:val="00D3121D"/>
    <w:rsid w:val="00D31229"/>
    <w:rsid w:val="00D3124A"/>
    <w:rsid w:val="00D31340"/>
    <w:rsid w:val="00D31691"/>
    <w:rsid w:val="00D318BB"/>
    <w:rsid w:val="00D31A97"/>
    <w:rsid w:val="00D31AD8"/>
    <w:rsid w:val="00D31EC9"/>
    <w:rsid w:val="00D323CC"/>
    <w:rsid w:val="00D323CF"/>
    <w:rsid w:val="00D323F5"/>
    <w:rsid w:val="00D32546"/>
    <w:rsid w:val="00D325C4"/>
    <w:rsid w:val="00D3261A"/>
    <w:rsid w:val="00D3276C"/>
    <w:rsid w:val="00D32778"/>
    <w:rsid w:val="00D327A3"/>
    <w:rsid w:val="00D32A05"/>
    <w:rsid w:val="00D32D18"/>
    <w:rsid w:val="00D32DD0"/>
    <w:rsid w:val="00D3308B"/>
    <w:rsid w:val="00D330A4"/>
    <w:rsid w:val="00D330ED"/>
    <w:rsid w:val="00D3324B"/>
    <w:rsid w:val="00D337D6"/>
    <w:rsid w:val="00D33B43"/>
    <w:rsid w:val="00D33C56"/>
    <w:rsid w:val="00D33C6B"/>
    <w:rsid w:val="00D33FE0"/>
    <w:rsid w:val="00D34365"/>
    <w:rsid w:val="00D346CE"/>
    <w:rsid w:val="00D347ED"/>
    <w:rsid w:val="00D34814"/>
    <w:rsid w:val="00D34E74"/>
    <w:rsid w:val="00D34F22"/>
    <w:rsid w:val="00D35035"/>
    <w:rsid w:val="00D350BA"/>
    <w:rsid w:val="00D352FC"/>
    <w:rsid w:val="00D354F9"/>
    <w:rsid w:val="00D35B68"/>
    <w:rsid w:val="00D3672D"/>
    <w:rsid w:val="00D36CDB"/>
    <w:rsid w:val="00D36FE1"/>
    <w:rsid w:val="00D3708F"/>
    <w:rsid w:val="00D37276"/>
    <w:rsid w:val="00D37C37"/>
    <w:rsid w:val="00D37CF1"/>
    <w:rsid w:val="00D37EC8"/>
    <w:rsid w:val="00D4024A"/>
    <w:rsid w:val="00D4027E"/>
    <w:rsid w:val="00D4062E"/>
    <w:rsid w:val="00D407D0"/>
    <w:rsid w:val="00D40C44"/>
    <w:rsid w:val="00D40D04"/>
    <w:rsid w:val="00D40EB2"/>
    <w:rsid w:val="00D40FAE"/>
    <w:rsid w:val="00D41170"/>
    <w:rsid w:val="00D412AF"/>
    <w:rsid w:val="00D415FB"/>
    <w:rsid w:val="00D418A4"/>
    <w:rsid w:val="00D41D7A"/>
    <w:rsid w:val="00D41F17"/>
    <w:rsid w:val="00D4220E"/>
    <w:rsid w:val="00D42994"/>
    <w:rsid w:val="00D42999"/>
    <w:rsid w:val="00D429D1"/>
    <w:rsid w:val="00D42D20"/>
    <w:rsid w:val="00D42E9C"/>
    <w:rsid w:val="00D42F05"/>
    <w:rsid w:val="00D430C4"/>
    <w:rsid w:val="00D43171"/>
    <w:rsid w:val="00D431F7"/>
    <w:rsid w:val="00D43534"/>
    <w:rsid w:val="00D43DB8"/>
    <w:rsid w:val="00D43EF7"/>
    <w:rsid w:val="00D441C9"/>
    <w:rsid w:val="00D443BD"/>
    <w:rsid w:val="00D44689"/>
    <w:rsid w:val="00D44691"/>
    <w:rsid w:val="00D448B1"/>
    <w:rsid w:val="00D452FC"/>
    <w:rsid w:val="00D4562A"/>
    <w:rsid w:val="00D4567F"/>
    <w:rsid w:val="00D45879"/>
    <w:rsid w:val="00D45D8C"/>
    <w:rsid w:val="00D45E58"/>
    <w:rsid w:val="00D470AE"/>
    <w:rsid w:val="00D47277"/>
    <w:rsid w:val="00D473B6"/>
    <w:rsid w:val="00D47504"/>
    <w:rsid w:val="00D4760F"/>
    <w:rsid w:val="00D47674"/>
    <w:rsid w:val="00D47A5A"/>
    <w:rsid w:val="00D47D4A"/>
    <w:rsid w:val="00D47D80"/>
    <w:rsid w:val="00D50617"/>
    <w:rsid w:val="00D50784"/>
    <w:rsid w:val="00D50813"/>
    <w:rsid w:val="00D5085C"/>
    <w:rsid w:val="00D5087E"/>
    <w:rsid w:val="00D509C6"/>
    <w:rsid w:val="00D51068"/>
    <w:rsid w:val="00D5161F"/>
    <w:rsid w:val="00D51933"/>
    <w:rsid w:val="00D51A40"/>
    <w:rsid w:val="00D51A80"/>
    <w:rsid w:val="00D51EEA"/>
    <w:rsid w:val="00D5222B"/>
    <w:rsid w:val="00D52250"/>
    <w:rsid w:val="00D524CB"/>
    <w:rsid w:val="00D52554"/>
    <w:rsid w:val="00D52783"/>
    <w:rsid w:val="00D5280C"/>
    <w:rsid w:val="00D52853"/>
    <w:rsid w:val="00D528D2"/>
    <w:rsid w:val="00D52B1C"/>
    <w:rsid w:val="00D52F09"/>
    <w:rsid w:val="00D52FF0"/>
    <w:rsid w:val="00D531B9"/>
    <w:rsid w:val="00D5325D"/>
    <w:rsid w:val="00D53681"/>
    <w:rsid w:val="00D53760"/>
    <w:rsid w:val="00D53BD0"/>
    <w:rsid w:val="00D53DC3"/>
    <w:rsid w:val="00D53FD3"/>
    <w:rsid w:val="00D54264"/>
    <w:rsid w:val="00D549A4"/>
    <w:rsid w:val="00D54CFF"/>
    <w:rsid w:val="00D5504F"/>
    <w:rsid w:val="00D550CD"/>
    <w:rsid w:val="00D5538E"/>
    <w:rsid w:val="00D55805"/>
    <w:rsid w:val="00D55B9E"/>
    <w:rsid w:val="00D55D09"/>
    <w:rsid w:val="00D5657D"/>
    <w:rsid w:val="00D565C8"/>
    <w:rsid w:val="00D56637"/>
    <w:rsid w:val="00D567C9"/>
    <w:rsid w:val="00D56A09"/>
    <w:rsid w:val="00D57F25"/>
    <w:rsid w:val="00D601EA"/>
    <w:rsid w:val="00D607F1"/>
    <w:rsid w:val="00D60BA8"/>
    <w:rsid w:val="00D611E5"/>
    <w:rsid w:val="00D612C6"/>
    <w:rsid w:val="00D61FC2"/>
    <w:rsid w:val="00D6245F"/>
    <w:rsid w:val="00D627EB"/>
    <w:rsid w:val="00D627F3"/>
    <w:rsid w:val="00D62811"/>
    <w:rsid w:val="00D6284B"/>
    <w:rsid w:val="00D62D8E"/>
    <w:rsid w:val="00D62E7A"/>
    <w:rsid w:val="00D62E87"/>
    <w:rsid w:val="00D63110"/>
    <w:rsid w:val="00D63149"/>
    <w:rsid w:val="00D6383B"/>
    <w:rsid w:val="00D643A3"/>
    <w:rsid w:val="00D64989"/>
    <w:rsid w:val="00D64A23"/>
    <w:rsid w:val="00D64D63"/>
    <w:rsid w:val="00D64EFA"/>
    <w:rsid w:val="00D654A6"/>
    <w:rsid w:val="00D6556D"/>
    <w:rsid w:val="00D65592"/>
    <w:rsid w:val="00D657B7"/>
    <w:rsid w:val="00D657C3"/>
    <w:rsid w:val="00D65A81"/>
    <w:rsid w:val="00D65C6C"/>
    <w:rsid w:val="00D6657D"/>
    <w:rsid w:val="00D66AEF"/>
    <w:rsid w:val="00D671CA"/>
    <w:rsid w:val="00D67527"/>
    <w:rsid w:val="00D67AB0"/>
    <w:rsid w:val="00D67ABB"/>
    <w:rsid w:val="00D67E13"/>
    <w:rsid w:val="00D67EC5"/>
    <w:rsid w:val="00D701D3"/>
    <w:rsid w:val="00D70242"/>
    <w:rsid w:val="00D702AF"/>
    <w:rsid w:val="00D70548"/>
    <w:rsid w:val="00D7085B"/>
    <w:rsid w:val="00D71C8D"/>
    <w:rsid w:val="00D71D64"/>
    <w:rsid w:val="00D71D82"/>
    <w:rsid w:val="00D723CF"/>
    <w:rsid w:val="00D72649"/>
    <w:rsid w:val="00D72664"/>
    <w:rsid w:val="00D7283A"/>
    <w:rsid w:val="00D72BC1"/>
    <w:rsid w:val="00D72D06"/>
    <w:rsid w:val="00D7329E"/>
    <w:rsid w:val="00D73AB9"/>
    <w:rsid w:val="00D73DE8"/>
    <w:rsid w:val="00D73EB3"/>
    <w:rsid w:val="00D73EE4"/>
    <w:rsid w:val="00D74A79"/>
    <w:rsid w:val="00D74B71"/>
    <w:rsid w:val="00D75676"/>
    <w:rsid w:val="00D75808"/>
    <w:rsid w:val="00D75AEC"/>
    <w:rsid w:val="00D75B18"/>
    <w:rsid w:val="00D75EF6"/>
    <w:rsid w:val="00D7606A"/>
    <w:rsid w:val="00D7626B"/>
    <w:rsid w:val="00D76A13"/>
    <w:rsid w:val="00D76B5E"/>
    <w:rsid w:val="00D76C2F"/>
    <w:rsid w:val="00D76C47"/>
    <w:rsid w:val="00D76D67"/>
    <w:rsid w:val="00D77008"/>
    <w:rsid w:val="00D77438"/>
    <w:rsid w:val="00D7769F"/>
    <w:rsid w:val="00D776D1"/>
    <w:rsid w:val="00D77997"/>
    <w:rsid w:val="00D77CDA"/>
    <w:rsid w:val="00D804B8"/>
    <w:rsid w:val="00D806A1"/>
    <w:rsid w:val="00D80D5F"/>
    <w:rsid w:val="00D81675"/>
    <w:rsid w:val="00D82160"/>
    <w:rsid w:val="00D82443"/>
    <w:rsid w:val="00D827B9"/>
    <w:rsid w:val="00D82D94"/>
    <w:rsid w:val="00D8300A"/>
    <w:rsid w:val="00D836A2"/>
    <w:rsid w:val="00D8375D"/>
    <w:rsid w:val="00D8384F"/>
    <w:rsid w:val="00D84237"/>
    <w:rsid w:val="00D842D7"/>
    <w:rsid w:val="00D843BF"/>
    <w:rsid w:val="00D844B3"/>
    <w:rsid w:val="00D84AB3"/>
    <w:rsid w:val="00D84B16"/>
    <w:rsid w:val="00D84EE7"/>
    <w:rsid w:val="00D8503C"/>
    <w:rsid w:val="00D8515B"/>
    <w:rsid w:val="00D852A0"/>
    <w:rsid w:val="00D852DB"/>
    <w:rsid w:val="00D85353"/>
    <w:rsid w:val="00D855DB"/>
    <w:rsid w:val="00D85C1C"/>
    <w:rsid w:val="00D86197"/>
    <w:rsid w:val="00D8628A"/>
    <w:rsid w:val="00D863A9"/>
    <w:rsid w:val="00D867BF"/>
    <w:rsid w:val="00D86843"/>
    <w:rsid w:val="00D86E4C"/>
    <w:rsid w:val="00D86E6D"/>
    <w:rsid w:val="00D876E0"/>
    <w:rsid w:val="00D87C3A"/>
    <w:rsid w:val="00D905FE"/>
    <w:rsid w:val="00D914A9"/>
    <w:rsid w:val="00D916CC"/>
    <w:rsid w:val="00D91C73"/>
    <w:rsid w:val="00D91CE5"/>
    <w:rsid w:val="00D91CEA"/>
    <w:rsid w:val="00D91D7B"/>
    <w:rsid w:val="00D9211C"/>
    <w:rsid w:val="00D923F9"/>
    <w:rsid w:val="00D92814"/>
    <w:rsid w:val="00D92AAC"/>
    <w:rsid w:val="00D92BE9"/>
    <w:rsid w:val="00D92E3C"/>
    <w:rsid w:val="00D931C3"/>
    <w:rsid w:val="00D9320F"/>
    <w:rsid w:val="00D93317"/>
    <w:rsid w:val="00D9344D"/>
    <w:rsid w:val="00D93651"/>
    <w:rsid w:val="00D938AE"/>
    <w:rsid w:val="00D93B3E"/>
    <w:rsid w:val="00D93B46"/>
    <w:rsid w:val="00D93BF3"/>
    <w:rsid w:val="00D93C17"/>
    <w:rsid w:val="00D944B1"/>
    <w:rsid w:val="00D94DA3"/>
    <w:rsid w:val="00D950D3"/>
    <w:rsid w:val="00D952D2"/>
    <w:rsid w:val="00D95552"/>
    <w:rsid w:val="00D9569F"/>
    <w:rsid w:val="00D95812"/>
    <w:rsid w:val="00D95F25"/>
    <w:rsid w:val="00D96649"/>
    <w:rsid w:val="00D96746"/>
    <w:rsid w:val="00D9684C"/>
    <w:rsid w:val="00D96905"/>
    <w:rsid w:val="00D96C4E"/>
    <w:rsid w:val="00D97277"/>
    <w:rsid w:val="00D974D0"/>
    <w:rsid w:val="00D97A3D"/>
    <w:rsid w:val="00DA05C9"/>
    <w:rsid w:val="00DA09BD"/>
    <w:rsid w:val="00DA0A28"/>
    <w:rsid w:val="00DA12E9"/>
    <w:rsid w:val="00DA1590"/>
    <w:rsid w:val="00DA1CA7"/>
    <w:rsid w:val="00DA2271"/>
    <w:rsid w:val="00DA233E"/>
    <w:rsid w:val="00DA258E"/>
    <w:rsid w:val="00DA27C7"/>
    <w:rsid w:val="00DA2E99"/>
    <w:rsid w:val="00DA3007"/>
    <w:rsid w:val="00DA3237"/>
    <w:rsid w:val="00DA3ECA"/>
    <w:rsid w:val="00DA3EDD"/>
    <w:rsid w:val="00DA41E4"/>
    <w:rsid w:val="00DA42F6"/>
    <w:rsid w:val="00DA43CD"/>
    <w:rsid w:val="00DA499D"/>
    <w:rsid w:val="00DA4DF2"/>
    <w:rsid w:val="00DA5187"/>
    <w:rsid w:val="00DA53D3"/>
    <w:rsid w:val="00DA57A5"/>
    <w:rsid w:val="00DA5A41"/>
    <w:rsid w:val="00DA5ED4"/>
    <w:rsid w:val="00DA5F37"/>
    <w:rsid w:val="00DA62A4"/>
    <w:rsid w:val="00DA6312"/>
    <w:rsid w:val="00DA64B1"/>
    <w:rsid w:val="00DA6624"/>
    <w:rsid w:val="00DA6932"/>
    <w:rsid w:val="00DA6A8C"/>
    <w:rsid w:val="00DA7128"/>
    <w:rsid w:val="00DA7212"/>
    <w:rsid w:val="00DA747E"/>
    <w:rsid w:val="00DA75F5"/>
    <w:rsid w:val="00DA7A2E"/>
    <w:rsid w:val="00DA7D7F"/>
    <w:rsid w:val="00DA7DE2"/>
    <w:rsid w:val="00DA7E29"/>
    <w:rsid w:val="00DB0629"/>
    <w:rsid w:val="00DB0A6F"/>
    <w:rsid w:val="00DB0CE8"/>
    <w:rsid w:val="00DB10F4"/>
    <w:rsid w:val="00DB1100"/>
    <w:rsid w:val="00DB12F9"/>
    <w:rsid w:val="00DB1497"/>
    <w:rsid w:val="00DB1ADD"/>
    <w:rsid w:val="00DB1C20"/>
    <w:rsid w:val="00DB1D38"/>
    <w:rsid w:val="00DB1EB3"/>
    <w:rsid w:val="00DB201F"/>
    <w:rsid w:val="00DB209C"/>
    <w:rsid w:val="00DB268C"/>
    <w:rsid w:val="00DB2C4C"/>
    <w:rsid w:val="00DB2DCD"/>
    <w:rsid w:val="00DB31A8"/>
    <w:rsid w:val="00DB3377"/>
    <w:rsid w:val="00DB35FC"/>
    <w:rsid w:val="00DB3762"/>
    <w:rsid w:val="00DB3777"/>
    <w:rsid w:val="00DB3E37"/>
    <w:rsid w:val="00DB3F0C"/>
    <w:rsid w:val="00DB3F75"/>
    <w:rsid w:val="00DB41BA"/>
    <w:rsid w:val="00DB4890"/>
    <w:rsid w:val="00DB4AE0"/>
    <w:rsid w:val="00DB4B42"/>
    <w:rsid w:val="00DB529D"/>
    <w:rsid w:val="00DB5319"/>
    <w:rsid w:val="00DB597E"/>
    <w:rsid w:val="00DB5CF1"/>
    <w:rsid w:val="00DB5E0C"/>
    <w:rsid w:val="00DB6090"/>
    <w:rsid w:val="00DB64F1"/>
    <w:rsid w:val="00DB68D8"/>
    <w:rsid w:val="00DB6C84"/>
    <w:rsid w:val="00DB6CA0"/>
    <w:rsid w:val="00DB6CF8"/>
    <w:rsid w:val="00DB7013"/>
    <w:rsid w:val="00DB7466"/>
    <w:rsid w:val="00DB7814"/>
    <w:rsid w:val="00DB7837"/>
    <w:rsid w:val="00DB7FBC"/>
    <w:rsid w:val="00DC0467"/>
    <w:rsid w:val="00DC0882"/>
    <w:rsid w:val="00DC0EB7"/>
    <w:rsid w:val="00DC0F5E"/>
    <w:rsid w:val="00DC11D0"/>
    <w:rsid w:val="00DC1403"/>
    <w:rsid w:val="00DC1E94"/>
    <w:rsid w:val="00DC22C9"/>
    <w:rsid w:val="00DC3678"/>
    <w:rsid w:val="00DC36C4"/>
    <w:rsid w:val="00DC382A"/>
    <w:rsid w:val="00DC3A9D"/>
    <w:rsid w:val="00DC3B23"/>
    <w:rsid w:val="00DC3BBD"/>
    <w:rsid w:val="00DC402D"/>
    <w:rsid w:val="00DC40FC"/>
    <w:rsid w:val="00DC4386"/>
    <w:rsid w:val="00DC4674"/>
    <w:rsid w:val="00DC49C6"/>
    <w:rsid w:val="00DC4D3E"/>
    <w:rsid w:val="00DC53CB"/>
    <w:rsid w:val="00DC5A13"/>
    <w:rsid w:val="00DC5B95"/>
    <w:rsid w:val="00DC5F89"/>
    <w:rsid w:val="00DC6152"/>
    <w:rsid w:val="00DC622C"/>
    <w:rsid w:val="00DC622D"/>
    <w:rsid w:val="00DC63E8"/>
    <w:rsid w:val="00DC645C"/>
    <w:rsid w:val="00DC673E"/>
    <w:rsid w:val="00DC6B68"/>
    <w:rsid w:val="00DC6BEF"/>
    <w:rsid w:val="00DC6C19"/>
    <w:rsid w:val="00DC6F96"/>
    <w:rsid w:val="00DC6F9C"/>
    <w:rsid w:val="00DC70D1"/>
    <w:rsid w:val="00DC72EA"/>
    <w:rsid w:val="00DC7696"/>
    <w:rsid w:val="00DC7784"/>
    <w:rsid w:val="00DC786E"/>
    <w:rsid w:val="00DC79C9"/>
    <w:rsid w:val="00DC7C0B"/>
    <w:rsid w:val="00DD022C"/>
    <w:rsid w:val="00DD0642"/>
    <w:rsid w:val="00DD0BFD"/>
    <w:rsid w:val="00DD0D86"/>
    <w:rsid w:val="00DD0E58"/>
    <w:rsid w:val="00DD1728"/>
    <w:rsid w:val="00DD18AC"/>
    <w:rsid w:val="00DD1D7D"/>
    <w:rsid w:val="00DD2CF2"/>
    <w:rsid w:val="00DD2E4A"/>
    <w:rsid w:val="00DD355C"/>
    <w:rsid w:val="00DD3B4E"/>
    <w:rsid w:val="00DD41F5"/>
    <w:rsid w:val="00DD4232"/>
    <w:rsid w:val="00DD4445"/>
    <w:rsid w:val="00DD4AD4"/>
    <w:rsid w:val="00DD4B65"/>
    <w:rsid w:val="00DD4D19"/>
    <w:rsid w:val="00DD5208"/>
    <w:rsid w:val="00DD5226"/>
    <w:rsid w:val="00DD593E"/>
    <w:rsid w:val="00DD6197"/>
    <w:rsid w:val="00DD635C"/>
    <w:rsid w:val="00DD6637"/>
    <w:rsid w:val="00DD68ED"/>
    <w:rsid w:val="00DD69D0"/>
    <w:rsid w:val="00DD69EC"/>
    <w:rsid w:val="00DD6A31"/>
    <w:rsid w:val="00DD6A38"/>
    <w:rsid w:val="00DD6B21"/>
    <w:rsid w:val="00DD71C6"/>
    <w:rsid w:val="00DD73AD"/>
    <w:rsid w:val="00DD74E6"/>
    <w:rsid w:val="00DD755B"/>
    <w:rsid w:val="00DD75E5"/>
    <w:rsid w:val="00DD77DC"/>
    <w:rsid w:val="00DD7967"/>
    <w:rsid w:val="00DD7CAF"/>
    <w:rsid w:val="00DD7D29"/>
    <w:rsid w:val="00DE022E"/>
    <w:rsid w:val="00DE090E"/>
    <w:rsid w:val="00DE0AC4"/>
    <w:rsid w:val="00DE0F15"/>
    <w:rsid w:val="00DE10EE"/>
    <w:rsid w:val="00DE19EA"/>
    <w:rsid w:val="00DE253F"/>
    <w:rsid w:val="00DE2677"/>
    <w:rsid w:val="00DE2DE7"/>
    <w:rsid w:val="00DE3DFB"/>
    <w:rsid w:val="00DE3E37"/>
    <w:rsid w:val="00DE3FDB"/>
    <w:rsid w:val="00DE401A"/>
    <w:rsid w:val="00DE4723"/>
    <w:rsid w:val="00DE4AA8"/>
    <w:rsid w:val="00DE4AFC"/>
    <w:rsid w:val="00DE4B5F"/>
    <w:rsid w:val="00DE4FF7"/>
    <w:rsid w:val="00DE5376"/>
    <w:rsid w:val="00DE5A90"/>
    <w:rsid w:val="00DE5EF3"/>
    <w:rsid w:val="00DE5F48"/>
    <w:rsid w:val="00DE61D9"/>
    <w:rsid w:val="00DE6289"/>
    <w:rsid w:val="00DE665F"/>
    <w:rsid w:val="00DE67AE"/>
    <w:rsid w:val="00DE6822"/>
    <w:rsid w:val="00DE6961"/>
    <w:rsid w:val="00DE69E1"/>
    <w:rsid w:val="00DE6AA7"/>
    <w:rsid w:val="00DE6B6B"/>
    <w:rsid w:val="00DE7667"/>
    <w:rsid w:val="00DE7899"/>
    <w:rsid w:val="00DE7B75"/>
    <w:rsid w:val="00DE7D08"/>
    <w:rsid w:val="00DE7D81"/>
    <w:rsid w:val="00DF02FA"/>
    <w:rsid w:val="00DF031C"/>
    <w:rsid w:val="00DF12C8"/>
    <w:rsid w:val="00DF1B1E"/>
    <w:rsid w:val="00DF1C73"/>
    <w:rsid w:val="00DF1FB3"/>
    <w:rsid w:val="00DF2243"/>
    <w:rsid w:val="00DF2305"/>
    <w:rsid w:val="00DF2468"/>
    <w:rsid w:val="00DF2BDA"/>
    <w:rsid w:val="00DF2DAF"/>
    <w:rsid w:val="00DF3323"/>
    <w:rsid w:val="00DF355E"/>
    <w:rsid w:val="00DF36B1"/>
    <w:rsid w:val="00DF389C"/>
    <w:rsid w:val="00DF46B4"/>
    <w:rsid w:val="00DF4846"/>
    <w:rsid w:val="00DF542F"/>
    <w:rsid w:val="00DF5525"/>
    <w:rsid w:val="00DF5739"/>
    <w:rsid w:val="00DF58AB"/>
    <w:rsid w:val="00DF5920"/>
    <w:rsid w:val="00DF6CCC"/>
    <w:rsid w:val="00DF73EF"/>
    <w:rsid w:val="00DF74D1"/>
    <w:rsid w:val="00DF7D1A"/>
    <w:rsid w:val="00E0031B"/>
    <w:rsid w:val="00E00A07"/>
    <w:rsid w:val="00E00D0E"/>
    <w:rsid w:val="00E01A40"/>
    <w:rsid w:val="00E01AD8"/>
    <w:rsid w:val="00E01C7A"/>
    <w:rsid w:val="00E01F4B"/>
    <w:rsid w:val="00E02437"/>
    <w:rsid w:val="00E02667"/>
    <w:rsid w:val="00E032D7"/>
    <w:rsid w:val="00E03582"/>
    <w:rsid w:val="00E037D2"/>
    <w:rsid w:val="00E039E6"/>
    <w:rsid w:val="00E04423"/>
    <w:rsid w:val="00E04548"/>
    <w:rsid w:val="00E047E8"/>
    <w:rsid w:val="00E055FF"/>
    <w:rsid w:val="00E05EDA"/>
    <w:rsid w:val="00E06C13"/>
    <w:rsid w:val="00E06D68"/>
    <w:rsid w:val="00E0721C"/>
    <w:rsid w:val="00E07645"/>
    <w:rsid w:val="00E079D4"/>
    <w:rsid w:val="00E10142"/>
    <w:rsid w:val="00E102F6"/>
    <w:rsid w:val="00E105E6"/>
    <w:rsid w:val="00E10815"/>
    <w:rsid w:val="00E10A42"/>
    <w:rsid w:val="00E11118"/>
    <w:rsid w:val="00E1190F"/>
    <w:rsid w:val="00E11A15"/>
    <w:rsid w:val="00E11C00"/>
    <w:rsid w:val="00E11C56"/>
    <w:rsid w:val="00E11F6C"/>
    <w:rsid w:val="00E12095"/>
    <w:rsid w:val="00E124DD"/>
    <w:rsid w:val="00E1279C"/>
    <w:rsid w:val="00E12A85"/>
    <w:rsid w:val="00E12CB9"/>
    <w:rsid w:val="00E12CD1"/>
    <w:rsid w:val="00E133A1"/>
    <w:rsid w:val="00E13587"/>
    <w:rsid w:val="00E14583"/>
    <w:rsid w:val="00E14736"/>
    <w:rsid w:val="00E150F0"/>
    <w:rsid w:val="00E15517"/>
    <w:rsid w:val="00E155EF"/>
    <w:rsid w:val="00E15889"/>
    <w:rsid w:val="00E15B34"/>
    <w:rsid w:val="00E15CC5"/>
    <w:rsid w:val="00E15CC7"/>
    <w:rsid w:val="00E1642D"/>
    <w:rsid w:val="00E1658C"/>
    <w:rsid w:val="00E170B3"/>
    <w:rsid w:val="00E1797A"/>
    <w:rsid w:val="00E20237"/>
    <w:rsid w:val="00E205DD"/>
    <w:rsid w:val="00E207EA"/>
    <w:rsid w:val="00E20BD6"/>
    <w:rsid w:val="00E20CC0"/>
    <w:rsid w:val="00E20E0E"/>
    <w:rsid w:val="00E215ED"/>
    <w:rsid w:val="00E218C7"/>
    <w:rsid w:val="00E21A6B"/>
    <w:rsid w:val="00E21DC2"/>
    <w:rsid w:val="00E21E67"/>
    <w:rsid w:val="00E21F36"/>
    <w:rsid w:val="00E22621"/>
    <w:rsid w:val="00E22860"/>
    <w:rsid w:val="00E229A9"/>
    <w:rsid w:val="00E22CE7"/>
    <w:rsid w:val="00E23074"/>
    <w:rsid w:val="00E23312"/>
    <w:rsid w:val="00E23893"/>
    <w:rsid w:val="00E246C6"/>
    <w:rsid w:val="00E248ED"/>
    <w:rsid w:val="00E24CBD"/>
    <w:rsid w:val="00E24DD0"/>
    <w:rsid w:val="00E24FF2"/>
    <w:rsid w:val="00E251DB"/>
    <w:rsid w:val="00E2587F"/>
    <w:rsid w:val="00E25A26"/>
    <w:rsid w:val="00E25AC9"/>
    <w:rsid w:val="00E25C40"/>
    <w:rsid w:val="00E267A8"/>
    <w:rsid w:val="00E26FB3"/>
    <w:rsid w:val="00E274BF"/>
    <w:rsid w:val="00E27590"/>
    <w:rsid w:val="00E27C04"/>
    <w:rsid w:val="00E27D9F"/>
    <w:rsid w:val="00E27E7A"/>
    <w:rsid w:val="00E27F2E"/>
    <w:rsid w:val="00E303B4"/>
    <w:rsid w:val="00E3059E"/>
    <w:rsid w:val="00E309DC"/>
    <w:rsid w:val="00E30BA6"/>
    <w:rsid w:val="00E30E04"/>
    <w:rsid w:val="00E316CA"/>
    <w:rsid w:val="00E319DD"/>
    <w:rsid w:val="00E31C46"/>
    <w:rsid w:val="00E31C5D"/>
    <w:rsid w:val="00E31D14"/>
    <w:rsid w:val="00E31D65"/>
    <w:rsid w:val="00E31D7C"/>
    <w:rsid w:val="00E31E25"/>
    <w:rsid w:val="00E31FC6"/>
    <w:rsid w:val="00E32A64"/>
    <w:rsid w:val="00E32B87"/>
    <w:rsid w:val="00E32CFA"/>
    <w:rsid w:val="00E32E71"/>
    <w:rsid w:val="00E332E4"/>
    <w:rsid w:val="00E33396"/>
    <w:rsid w:val="00E33504"/>
    <w:rsid w:val="00E337E6"/>
    <w:rsid w:val="00E33ACF"/>
    <w:rsid w:val="00E3402B"/>
    <w:rsid w:val="00E344DC"/>
    <w:rsid w:val="00E344FB"/>
    <w:rsid w:val="00E3453A"/>
    <w:rsid w:val="00E34CA7"/>
    <w:rsid w:val="00E34F9D"/>
    <w:rsid w:val="00E3508E"/>
    <w:rsid w:val="00E35400"/>
    <w:rsid w:val="00E35561"/>
    <w:rsid w:val="00E359FB"/>
    <w:rsid w:val="00E35D5C"/>
    <w:rsid w:val="00E35EAC"/>
    <w:rsid w:val="00E36335"/>
    <w:rsid w:val="00E363D5"/>
    <w:rsid w:val="00E365A8"/>
    <w:rsid w:val="00E36641"/>
    <w:rsid w:val="00E36CAB"/>
    <w:rsid w:val="00E36D18"/>
    <w:rsid w:val="00E36F43"/>
    <w:rsid w:val="00E3701B"/>
    <w:rsid w:val="00E37599"/>
    <w:rsid w:val="00E37DB9"/>
    <w:rsid w:val="00E4088B"/>
    <w:rsid w:val="00E40CA3"/>
    <w:rsid w:val="00E40CDE"/>
    <w:rsid w:val="00E40D5A"/>
    <w:rsid w:val="00E40DE4"/>
    <w:rsid w:val="00E413E2"/>
    <w:rsid w:val="00E4140F"/>
    <w:rsid w:val="00E41620"/>
    <w:rsid w:val="00E42405"/>
    <w:rsid w:val="00E42B9A"/>
    <w:rsid w:val="00E42BF8"/>
    <w:rsid w:val="00E42F78"/>
    <w:rsid w:val="00E43586"/>
    <w:rsid w:val="00E435B5"/>
    <w:rsid w:val="00E435F1"/>
    <w:rsid w:val="00E43C60"/>
    <w:rsid w:val="00E43DE4"/>
    <w:rsid w:val="00E44A2A"/>
    <w:rsid w:val="00E44A83"/>
    <w:rsid w:val="00E44B03"/>
    <w:rsid w:val="00E451C2"/>
    <w:rsid w:val="00E4540D"/>
    <w:rsid w:val="00E4593F"/>
    <w:rsid w:val="00E45C48"/>
    <w:rsid w:val="00E463CC"/>
    <w:rsid w:val="00E46422"/>
    <w:rsid w:val="00E4667F"/>
    <w:rsid w:val="00E46E21"/>
    <w:rsid w:val="00E46EB0"/>
    <w:rsid w:val="00E46ECA"/>
    <w:rsid w:val="00E47147"/>
    <w:rsid w:val="00E4754E"/>
    <w:rsid w:val="00E4760A"/>
    <w:rsid w:val="00E47A23"/>
    <w:rsid w:val="00E47EDD"/>
    <w:rsid w:val="00E47F66"/>
    <w:rsid w:val="00E500A5"/>
    <w:rsid w:val="00E50119"/>
    <w:rsid w:val="00E501C5"/>
    <w:rsid w:val="00E502AA"/>
    <w:rsid w:val="00E50460"/>
    <w:rsid w:val="00E506B0"/>
    <w:rsid w:val="00E507A1"/>
    <w:rsid w:val="00E50945"/>
    <w:rsid w:val="00E50AC4"/>
    <w:rsid w:val="00E50B6B"/>
    <w:rsid w:val="00E51319"/>
    <w:rsid w:val="00E5138A"/>
    <w:rsid w:val="00E5155E"/>
    <w:rsid w:val="00E516F6"/>
    <w:rsid w:val="00E51B8B"/>
    <w:rsid w:val="00E51D8E"/>
    <w:rsid w:val="00E51FD2"/>
    <w:rsid w:val="00E529A2"/>
    <w:rsid w:val="00E52DD4"/>
    <w:rsid w:val="00E531AC"/>
    <w:rsid w:val="00E537E5"/>
    <w:rsid w:val="00E5394A"/>
    <w:rsid w:val="00E53D6C"/>
    <w:rsid w:val="00E5424A"/>
    <w:rsid w:val="00E54729"/>
    <w:rsid w:val="00E5478F"/>
    <w:rsid w:val="00E54962"/>
    <w:rsid w:val="00E549F3"/>
    <w:rsid w:val="00E54FDB"/>
    <w:rsid w:val="00E551C3"/>
    <w:rsid w:val="00E5529A"/>
    <w:rsid w:val="00E5555E"/>
    <w:rsid w:val="00E555D2"/>
    <w:rsid w:val="00E55982"/>
    <w:rsid w:val="00E55D7B"/>
    <w:rsid w:val="00E55FB0"/>
    <w:rsid w:val="00E56534"/>
    <w:rsid w:val="00E5680B"/>
    <w:rsid w:val="00E56A79"/>
    <w:rsid w:val="00E56D5C"/>
    <w:rsid w:val="00E56D86"/>
    <w:rsid w:val="00E56FC3"/>
    <w:rsid w:val="00E57109"/>
    <w:rsid w:val="00E5778C"/>
    <w:rsid w:val="00E57896"/>
    <w:rsid w:val="00E57947"/>
    <w:rsid w:val="00E57AC5"/>
    <w:rsid w:val="00E57B40"/>
    <w:rsid w:val="00E57D56"/>
    <w:rsid w:val="00E57FEA"/>
    <w:rsid w:val="00E602F7"/>
    <w:rsid w:val="00E60477"/>
    <w:rsid w:val="00E6048C"/>
    <w:rsid w:val="00E605B1"/>
    <w:rsid w:val="00E609FA"/>
    <w:rsid w:val="00E613F2"/>
    <w:rsid w:val="00E614F2"/>
    <w:rsid w:val="00E61994"/>
    <w:rsid w:val="00E61CC4"/>
    <w:rsid w:val="00E62059"/>
    <w:rsid w:val="00E627F1"/>
    <w:rsid w:val="00E62837"/>
    <w:rsid w:val="00E62B9E"/>
    <w:rsid w:val="00E62C51"/>
    <w:rsid w:val="00E635C9"/>
    <w:rsid w:val="00E63663"/>
    <w:rsid w:val="00E63726"/>
    <w:rsid w:val="00E637A2"/>
    <w:rsid w:val="00E645A6"/>
    <w:rsid w:val="00E653FE"/>
    <w:rsid w:val="00E658BB"/>
    <w:rsid w:val="00E659AB"/>
    <w:rsid w:val="00E661A1"/>
    <w:rsid w:val="00E66267"/>
    <w:rsid w:val="00E662B2"/>
    <w:rsid w:val="00E66ACD"/>
    <w:rsid w:val="00E673CF"/>
    <w:rsid w:val="00E706B1"/>
    <w:rsid w:val="00E71039"/>
    <w:rsid w:val="00E712C8"/>
    <w:rsid w:val="00E719B9"/>
    <w:rsid w:val="00E71AA5"/>
    <w:rsid w:val="00E71B91"/>
    <w:rsid w:val="00E72176"/>
    <w:rsid w:val="00E7240A"/>
    <w:rsid w:val="00E72A55"/>
    <w:rsid w:val="00E72BC8"/>
    <w:rsid w:val="00E73261"/>
    <w:rsid w:val="00E73CD7"/>
    <w:rsid w:val="00E73D6B"/>
    <w:rsid w:val="00E73D86"/>
    <w:rsid w:val="00E73DEB"/>
    <w:rsid w:val="00E73E6C"/>
    <w:rsid w:val="00E73EB1"/>
    <w:rsid w:val="00E74609"/>
    <w:rsid w:val="00E7478C"/>
    <w:rsid w:val="00E74C3A"/>
    <w:rsid w:val="00E751D9"/>
    <w:rsid w:val="00E75307"/>
    <w:rsid w:val="00E755C0"/>
    <w:rsid w:val="00E756E9"/>
    <w:rsid w:val="00E75C73"/>
    <w:rsid w:val="00E75E0A"/>
    <w:rsid w:val="00E75FAD"/>
    <w:rsid w:val="00E76315"/>
    <w:rsid w:val="00E7644F"/>
    <w:rsid w:val="00E767E6"/>
    <w:rsid w:val="00E768A3"/>
    <w:rsid w:val="00E77733"/>
    <w:rsid w:val="00E7787E"/>
    <w:rsid w:val="00E77D78"/>
    <w:rsid w:val="00E805F0"/>
    <w:rsid w:val="00E80CAD"/>
    <w:rsid w:val="00E8165D"/>
    <w:rsid w:val="00E81AA8"/>
    <w:rsid w:val="00E81B37"/>
    <w:rsid w:val="00E81D01"/>
    <w:rsid w:val="00E81DF0"/>
    <w:rsid w:val="00E81EA6"/>
    <w:rsid w:val="00E8242F"/>
    <w:rsid w:val="00E82663"/>
    <w:rsid w:val="00E82BF2"/>
    <w:rsid w:val="00E82F44"/>
    <w:rsid w:val="00E831C2"/>
    <w:rsid w:val="00E8340D"/>
    <w:rsid w:val="00E8359C"/>
    <w:rsid w:val="00E83993"/>
    <w:rsid w:val="00E83D83"/>
    <w:rsid w:val="00E842E5"/>
    <w:rsid w:val="00E84514"/>
    <w:rsid w:val="00E847FD"/>
    <w:rsid w:val="00E84D85"/>
    <w:rsid w:val="00E84F5F"/>
    <w:rsid w:val="00E856B9"/>
    <w:rsid w:val="00E85768"/>
    <w:rsid w:val="00E8576E"/>
    <w:rsid w:val="00E85B7C"/>
    <w:rsid w:val="00E85CF4"/>
    <w:rsid w:val="00E860C6"/>
    <w:rsid w:val="00E861C4"/>
    <w:rsid w:val="00E8667B"/>
    <w:rsid w:val="00E86718"/>
    <w:rsid w:val="00E86766"/>
    <w:rsid w:val="00E867FD"/>
    <w:rsid w:val="00E86D2E"/>
    <w:rsid w:val="00E86F1D"/>
    <w:rsid w:val="00E86FBC"/>
    <w:rsid w:val="00E87A80"/>
    <w:rsid w:val="00E87A8E"/>
    <w:rsid w:val="00E9078C"/>
    <w:rsid w:val="00E90A01"/>
    <w:rsid w:val="00E90C1E"/>
    <w:rsid w:val="00E90E3C"/>
    <w:rsid w:val="00E91492"/>
    <w:rsid w:val="00E91569"/>
    <w:rsid w:val="00E92B60"/>
    <w:rsid w:val="00E932DA"/>
    <w:rsid w:val="00E9352F"/>
    <w:rsid w:val="00E938B7"/>
    <w:rsid w:val="00E93A51"/>
    <w:rsid w:val="00E93AC0"/>
    <w:rsid w:val="00E93F17"/>
    <w:rsid w:val="00E9481A"/>
    <w:rsid w:val="00E94BC3"/>
    <w:rsid w:val="00E95395"/>
    <w:rsid w:val="00E9554D"/>
    <w:rsid w:val="00E957B1"/>
    <w:rsid w:val="00E959B5"/>
    <w:rsid w:val="00E95B9F"/>
    <w:rsid w:val="00E95BB0"/>
    <w:rsid w:val="00E968FE"/>
    <w:rsid w:val="00E96A36"/>
    <w:rsid w:val="00E971D0"/>
    <w:rsid w:val="00E97883"/>
    <w:rsid w:val="00E979DB"/>
    <w:rsid w:val="00EA021C"/>
    <w:rsid w:val="00EA0428"/>
    <w:rsid w:val="00EA0B3A"/>
    <w:rsid w:val="00EA1569"/>
    <w:rsid w:val="00EA1839"/>
    <w:rsid w:val="00EA1A6F"/>
    <w:rsid w:val="00EA26C1"/>
    <w:rsid w:val="00EA2B38"/>
    <w:rsid w:val="00EA2B46"/>
    <w:rsid w:val="00EA2FA8"/>
    <w:rsid w:val="00EA31C5"/>
    <w:rsid w:val="00EA34D7"/>
    <w:rsid w:val="00EA35CD"/>
    <w:rsid w:val="00EA3B30"/>
    <w:rsid w:val="00EA3BEB"/>
    <w:rsid w:val="00EA42FC"/>
    <w:rsid w:val="00EA44F9"/>
    <w:rsid w:val="00EA450A"/>
    <w:rsid w:val="00EA47A6"/>
    <w:rsid w:val="00EA4C2C"/>
    <w:rsid w:val="00EA4FD2"/>
    <w:rsid w:val="00EA51B4"/>
    <w:rsid w:val="00EA5AA6"/>
    <w:rsid w:val="00EA5E95"/>
    <w:rsid w:val="00EA5FF4"/>
    <w:rsid w:val="00EA6744"/>
    <w:rsid w:val="00EA6850"/>
    <w:rsid w:val="00EA6F14"/>
    <w:rsid w:val="00EA7670"/>
    <w:rsid w:val="00EA7989"/>
    <w:rsid w:val="00EB00A3"/>
    <w:rsid w:val="00EB0865"/>
    <w:rsid w:val="00EB121B"/>
    <w:rsid w:val="00EB1438"/>
    <w:rsid w:val="00EB160D"/>
    <w:rsid w:val="00EB17AC"/>
    <w:rsid w:val="00EB1894"/>
    <w:rsid w:val="00EB1C18"/>
    <w:rsid w:val="00EB1C92"/>
    <w:rsid w:val="00EB1D88"/>
    <w:rsid w:val="00EB1E5A"/>
    <w:rsid w:val="00EB1E75"/>
    <w:rsid w:val="00EB2579"/>
    <w:rsid w:val="00EB26A1"/>
    <w:rsid w:val="00EB26C9"/>
    <w:rsid w:val="00EB26CD"/>
    <w:rsid w:val="00EB27C1"/>
    <w:rsid w:val="00EB2CC3"/>
    <w:rsid w:val="00EB2DEF"/>
    <w:rsid w:val="00EB30CB"/>
    <w:rsid w:val="00EB3107"/>
    <w:rsid w:val="00EB3B6D"/>
    <w:rsid w:val="00EB3EBF"/>
    <w:rsid w:val="00EB421B"/>
    <w:rsid w:val="00EB4235"/>
    <w:rsid w:val="00EB46F8"/>
    <w:rsid w:val="00EB4BDF"/>
    <w:rsid w:val="00EB5139"/>
    <w:rsid w:val="00EB53BF"/>
    <w:rsid w:val="00EB59D5"/>
    <w:rsid w:val="00EB5A90"/>
    <w:rsid w:val="00EB5BD0"/>
    <w:rsid w:val="00EB5D2F"/>
    <w:rsid w:val="00EB6924"/>
    <w:rsid w:val="00EB6BAC"/>
    <w:rsid w:val="00EB70AF"/>
    <w:rsid w:val="00EB7DE3"/>
    <w:rsid w:val="00EB7EC5"/>
    <w:rsid w:val="00EB7F00"/>
    <w:rsid w:val="00EB7F52"/>
    <w:rsid w:val="00EB7F66"/>
    <w:rsid w:val="00EC10DB"/>
    <w:rsid w:val="00EC113B"/>
    <w:rsid w:val="00EC1460"/>
    <w:rsid w:val="00EC1534"/>
    <w:rsid w:val="00EC1B75"/>
    <w:rsid w:val="00EC1C2B"/>
    <w:rsid w:val="00EC2271"/>
    <w:rsid w:val="00EC25E3"/>
    <w:rsid w:val="00EC2B23"/>
    <w:rsid w:val="00EC2CD2"/>
    <w:rsid w:val="00EC2E09"/>
    <w:rsid w:val="00EC3106"/>
    <w:rsid w:val="00EC3254"/>
    <w:rsid w:val="00EC34E1"/>
    <w:rsid w:val="00EC352E"/>
    <w:rsid w:val="00EC443B"/>
    <w:rsid w:val="00EC4710"/>
    <w:rsid w:val="00EC4F2C"/>
    <w:rsid w:val="00EC593F"/>
    <w:rsid w:val="00EC5AEF"/>
    <w:rsid w:val="00EC673F"/>
    <w:rsid w:val="00EC6847"/>
    <w:rsid w:val="00EC6D86"/>
    <w:rsid w:val="00EC7489"/>
    <w:rsid w:val="00EC7749"/>
    <w:rsid w:val="00EC78AB"/>
    <w:rsid w:val="00EC7AE4"/>
    <w:rsid w:val="00EC7F87"/>
    <w:rsid w:val="00ED05EC"/>
    <w:rsid w:val="00ED0A7A"/>
    <w:rsid w:val="00ED0E8C"/>
    <w:rsid w:val="00ED1076"/>
    <w:rsid w:val="00ED1C1B"/>
    <w:rsid w:val="00ED1FEE"/>
    <w:rsid w:val="00ED20E2"/>
    <w:rsid w:val="00ED22BD"/>
    <w:rsid w:val="00ED2629"/>
    <w:rsid w:val="00ED264B"/>
    <w:rsid w:val="00ED280E"/>
    <w:rsid w:val="00ED325E"/>
    <w:rsid w:val="00ED3496"/>
    <w:rsid w:val="00ED3C7A"/>
    <w:rsid w:val="00ED4161"/>
    <w:rsid w:val="00ED4264"/>
    <w:rsid w:val="00ED4660"/>
    <w:rsid w:val="00ED4B9C"/>
    <w:rsid w:val="00ED4D95"/>
    <w:rsid w:val="00ED5339"/>
    <w:rsid w:val="00ED5636"/>
    <w:rsid w:val="00ED5745"/>
    <w:rsid w:val="00ED59FA"/>
    <w:rsid w:val="00ED5AC5"/>
    <w:rsid w:val="00ED5B9A"/>
    <w:rsid w:val="00ED5FB6"/>
    <w:rsid w:val="00ED639D"/>
    <w:rsid w:val="00ED67B4"/>
    <w:rsid w:val="00ED6B65"/>
    <w:rsid w:val="00ED6DFC"/>
    <w:rsid w:val="00ED7401"/>
    <w:rsid w:val="00ED76AD"/>
    <w:rsid w:val="00ED7DAC"/>
    <w:rsid w:val="00EE020A"/>
    <w:rsid w:val="00EE046A"/>
    <w:rsid w:val="00EE0907"/>
    <w:rsid w:val="00EE0D73"/>
    <w:rsid w:val="00EE1017"/>
    <w:rsid w:val="00EE1033"/>
    <w:rsid w:val="00EE11ED"/>
    <w:rsid w:val="00EE1726"/>
    <w:rsid w:val="00EE1981"/>
    <w:rsid w:val="00EE1C61"/>
    <w:rsid w:val="00EE1EA0"/>
    <w:rsid w:val="00EE223F"/>
    <w:rsid w:val="00EE2299"/>
    <w:rsid w:val="00EE28CF"/>
    <w:rsid w:val="00EE2911"/>
    <w:rsid w:val="00EE352A"/>
    <w:rsid w:val="00EE3873"/>
    <w:rsid w:val="00EE38AD"/>
    <w:rsid w:val="00EE3DFF"/>
    <w:rsid w:val="00EE3F5F"/>
    <w:rsid w:val="00EE4091"/>
    <w:rsid w:val="00EE4146"/>
    <w:rsid w:val="00EE438C"/>
    <w:rsid w:val="00EE44F1"/>
    <w:rsid w:val="00EE4647"/>
    <w:rsid w:val="00EE5132"/>
    <w:rsid w:val="00EE573C"/>
    <w:rsid w:val="00EE57A3"/>
    <w:rsid w:val="00EE5809"/>
    <w:rsid w:val="00EE6112"/>
    <w:rsid w:val="00EE644B"/>
    <w:rsid w:val="00EE665E"/>
    <w:rsid w:val="00EE6BC0"/>
    <w:rsid w:val="00EE6DB5"/>
    <w:rsid w:val="00EE6F41"/>
    <w:rsid w:val="00EE7175"/>
    <w:rsid w:val="00EE76B5"/>
    <w:rsid w:val="00EE771C"/>
    <w:rsid w:val="00EE7A38"/>
    <w:rsid w:val="00EE7E79"/>
    <w:rsid w:val="00EF055A"/>
    <w:rsid w:val="00EF08C3"/>
    <w:rsid w:val="00EF0A66"/>
    <w:rsid w:val="00EF0B68"/>
    <w:rsid w:val="00EF0C55"/>
    <w:rsid w:val="00EF0F79"/>
    <w:rsid w:val="00EF17EB"/>
    <w:rsid w:val="00EF20F9"/>
    <w:rsid w:val="00EF230F"/>
    <w:rsid w:val="00EF233F"/>
    <w:rsid w:val="00EF2707"/>
    <w:rsid w:val="00EF39BA"/>
    <w:rsid w:val="00EF3D00"/>
    <w:rsid w:val="00EF41C4"/>
    <w:rsid w:val="00EF43FE"/>
    <w:rsid w:val="00EF47AF"/>
    <w:rsid w:val="00EF4DDE"/>
    <w:rsid w:val="00EF5693"/>
    <w:rsid w:val="00EF577C"/>
    <w:rsid w:val="00EF5885"/>
    <w:rsid w:val="00EF6001"/>
    <w:rsid w:val="00EF64BD"/>
    <w:rsid w:val="00EF68AD"/>
    <w:rsid w:val="00EF69E2"/>
    <w:rsid w:val="00EF6BBD"/>
    <w:rsid w:val="00EF6C4B"/>
    <w:rsid w:val="00EF6D41"/>
    <w:rsid w:val="00EF6F2A"/>
    <w:rsid w:val="00EF717F"/>
    <w:rsid w:val="00EF77F8"/>
    <w:rsid w:val="00EF795B"/>
    <w:rsid w:val="00EF7C8A"/>
    <w:rsid w:val="00F0003E"/>
    <w:rsid w:val="00F002ED"/>
    <w:rsid w:val="00F00594"/>
    <w:rsid w:val="00F00782"/>
    <w:rsid w:val="00F00D44"/>
    <w:rsid w:val="00F00E49"/>
    <w:rsid w:val="00F00E6D"/>
    <w:rsid w:val="00F0184E"/>
    <w:rsid w:val="00F01B32"/>
    <w:rsid w:val="00F01B68"/>
    <w:rsid w:val="00F01E9E"/>
    <w:rsid w:val="00F0285D"/>
    <w:rsid w:val="00F02B80"/>
    <w:rsid w:val="00F02F0A"/>
    <w:rsid w:val="00F036AD"/>
    <w:rsid w:val="00F037B9"/>
    <w:rsid w:val="00F04185"/>
    <w:rsid w:val="00F043CF"/>
    <w:rsid w:val="00F04725"/>
    <w:rsid w:val="00F048D5"/>
    <w:rsid w:val="00F05A1E"/>
    <w:rsid w:val="00F05A35"/>
    <w:rsid w:val="00F05B26"/>
    <w:rsid w:val="00F05C1D"/>
    <w:rsid w:val="00F05FA1"/>
    <w:rsid w:val="00F06707"/>
    <w:rsid w:val="00F067E0"/>
    <w:rsid w:val="00F06ADF"/>
    <w:rsid w:val="00F06C4A"/>
    <w:rsid w:val="00F06D63"/>
    <w:rsid w:val="00F06EF0"/>
    <w:rsid w:val="00F076AF"/>
    <w:rsid w:val="00F078F4"/>
    <w:rsid w:val="00F07B1C"/>
    <w:rsid w:val="00F07C4D"/>
    <w:rsid w:val="00F07DC8"/>
    <w:rsid w:val="00F07E1D"/>
    <w:rsid w:val="00F100A6"/>
    <w:rsid w:val="00F104D3"/>
    <w:rsid w:val="00F104FA"/>
    <w:rsid w:val="00F10EB3"/>
    <w:rsid w:val="00F11052"/>
    <w:rsid w:val="00F113B9"/>
    <w:rsid w:val="00F114DE"/>
    <w:rsid w:val="00F11554"/>
    <w:rsid w:val="00F12769"/>
    <w:rsid w:val="00F1278D"/>
    <w:rsid w:val="00F128E4"/>
    <w:rsid w:val="00F12D69"/>
    <w:rsid w:val="00F130A1"/>
    <w:rsid w:val="00F135CB"/>
    <w:rsid w:val="00F13656"/>
    <w:rsid w:val="00F13AC5"/>
    <w:rsid w:val="00F13FBE"/>
    <w:rsid w:val="00F1401D"/>
    <w:rsid w:val="00F1409F"/>
    <w:rsid w:val="00F1437A"/>
    <w:rsid w:val="00F1479E"/>
    <w:rsid w:val="00F14DF3"/>
    <w:rsid w:val="00F14EA0"/>
    <w:rsid w:val="00F1519B"/>
    <w:rsid w:val="00F155B1"/>
    <w:rsid w:val="00F15743"/>
    <w:rsid w:val="00F161F6"/>
    <w:rsid w:val="00F169CC"/>
    <w:rsid w:val="00F16C9E"/>
    <w:rsid w:val="00F17535"/>
    <w:rsid w:val="00F17965"/>
    <w:rsid w:val="00F17D26"/>
    <w:rsid w:val="00F17F64"/>
    <w:rsid w:val="00F200F0"/>
    <w:rsid w:val="00F208B7"/>
    <w:rsid w:val="00F20BC5"/>
    <w:rsid w:val="00F20C8C"/>
    <w:rsid w:val="00F20D51"/>
    <w:rsid w:val="00F20F71"/>
    <w:rsid w:val="00F21253"/>
    <w:rsid w:val="00F21567"/>
    <w:rsid w:val="00F21D1F"/>
    <w:rsid w:val="00F22231"/>
    <w:rsid w:val="00F22438"/>
    <w:rsid w:val="00F22645"/>
    <w:rsid w:val="00F22926"/>
    <w:rsid w:val="00F22B2E"/>
    <w:rsid w:val="00F22C7B"/>
    <w:rsid w:val="00F233CC"/>
    <w:rsid w:val="00F240F4"/>
    <w:rsid w:val="00F2448A"/>
    <w:rsid w:val="00F246F3"/>
    <w:rsid w:val="00F24A8F"/>
    <w:rsid w:val="00F24DE3"/>
    <w:rsid w:val="00F24F99"/>
    <w:rsid w:val="00F25CDA"/>
    <w:rsid w:val="00F2615F"/>
    <w:rsid w:val="00F26575"/>
    <w:rsid w:val="00F26886"/>
    <w:rsid w:val="00F26899"/>
    <w:rsid w:val="00F26AB4"/>
    <w:rsid w:val="00F26AD6"/>
    <w:rsid w:val="00F26B72"/>
    <w:rsid w:val="00F26D97"/>
    <w:rsid w:val="00F272D5"/>
    <w:rsid w:val="00F2752C"/>
    <w:rsid w:val="00F276FF"/>
    <w:rsid w:val="00F27904"/>
    <w:rsid w:val="00F27D24"/>
    <w:rsid w:val="00F3003E"/>
    <w:rsid w:val="00F3007B"/>
    <w:rsid w:val="00F3010E"/>
    <w:rsid w:val="00F30158"/>
    <w:rsid w:val="00F3040D"/>
    <w:rsid w:val="00F304F2"/>
    <w:rsid w:val="00F31454"/>
    <w:rsid w:val="00F317D8"/>
    <w:rsid w:val="00F317E7"/>
    <w:rsid w:val="00F31DE0"/>
    <w:rsid w:val="00F32133"/>
    <w:rsid w:val="00F3226E"/>
    <w:rsid w:val="00F322E7"/>
    <w:rsid w:val="00F328F5"/>
    <w:rsid w:val="00F32AB8"/>
    <w:rsid w:val="00F32DB0"/>
    <w:rsid w:val="00F32F10"/>
    <w:rsid w:val="00F331EC"/>
    <w:rsid w:val="00F33412"/>
    <w:rsid w:val="00F3392A"/>
    <w:rsid w:val="00F33FC0"/>
    <w:rsid w:val="00F34026"/>
    <w:rsid w:val="00F345F3"/>
    <w:rsid w:val="00F347B1"/>
    <w:rsid w:val="00F34EA6"/>
    <w:rsid w:val="00F34F6F"/>
    <w:rsid w:val="00F3514B"/>
    <w:rsid w:val="00F35843"/>
    <w:rsid w:val="00F3598C"/>
    <w:rsid w:val="00F35EF5"/>
    <w:rsid w:val="00F36127"/>
    <w:rsid w:val="00F3651E"/>
    <w:rsid w:val="00F36A56"/>
    <w:rsid w:val="00F36CD8"/>
    <w:rsid w:val="00F3761C"/>
    <w:rsid w:val="00F37B2F"/>
    <w:rsid w:val="00F37D55"/>
    <w:rsid w:val="00F37DFC"/>
    <w:rsid w:val="00F4012D"/>
    <w:rsid w:val="00F4090A"/>
    <w:rsid w:val="00F40ED2"/>
    <w:rsid w:val="00F40F83"/>
    <w:rsid w:val="00F40FC0"/>
    <w:rsid w:val="00F413C7"/>
    <w:rsid w:val="00F414D6"/>
    <w:rsid w:val="00F41673"/>
    <w:rsid w:val="00F4271D"/>
    <w:rsid w:val="00F42A5B"/>
    <w:rsid w:val="00F42B59"/>
    <w:rsid w:val="00F42CBB"/>
    <w:rsid w:val="00F42E27"/>
    <w:rsid w:val="00F432B8"/>
    <w:rsid w:val="00F4349B"/>
    <w:rsid w:val="00F43701"/>
    <w:rsid w:val="00F4373C"/>
    <w:rsid w:val="00F437F8"/>
    <w:rsid w:val="00F43DD1"/>
    <w:rsid w:val="00F4409D"/>
    <w:rsid w:val="00F44658"/>
    <w:rsid w:val="00F44BE4"/>
    <w:rsid w:val="00F45086"/>
    <w:rsid w:val="00F453CE"/>
    <w:rsid w:val="00F45B42"/>
    <w:rsid w:val="00F462A4"/>
    <w:rsid w:val="00F465E9"/>
    <w:rsid w:val="00F468B5"/>
    <w:rsid w:val="00F468F8"/>
    <w:rsid w:val="00F46B5A"/>
    <w:rsid w:val="00F47160"/>
    <w:rsid w:val="00F47488"/>
    <w:rsid w:val="00F479D4"/>
    <w:rsid w:val="00F47ABD"/>
    <w:rsid w:val="00F47B77"/>
    <w:rsid w:val="00F47CA3"/>
    <w:rsid w:val="00F47ED0"/>
    <w:rsid w:val="00F5017E"/>
    <w:rsid w:val="00F509E6"/>
    <w:rsid w:val="00F50D62"/>
    <w:rsid w:val="00F50F30"/>
    <w:rsid w:val="00F5130E"/>
    <w:rsid w:val="00F51319"/>
    <w:rsid w:val="00F51906"/>
    <w:rsid w:val="00F52014"/>
    <w:rsid w:val="00F520A3"/>
    <w:rsid w:val="00F5287E"/>
    <w:rsid w:val="00F528F3"/>
    <w:rsid w:val="00F52F54"/>
    <w:rsid w:val="00F53404"/>
    <w:rsid w:val="00F538A1"/>
    <w:rsid w:val="00F53A23"/>
    <w:rsid w:val="00F53F2A"/>
    <w:rsid w:val="00F54CD1"/>
    <w:rsid w:val="00F552C7"/>
    <w:rsid w:val="00F5540E"/>
    <w:rsid w:val="00F55505"/>
    <w:rsid w:val="00F55611"/>
    <w:rsid w:val="00F55832"/>
    <w:rsid w:val="00F558F9"/>
    <w:rsid w:val="00F5623C"/>
    <w:rsid w:val="00F569B4"/>
    <w:rsid w:val="00F569CC"/>
    <w:rsid w:val="00F56A27"/>
    <w:rsid w:val="00F56B85"/>
    <w:rsid w:val="00F56CD4"/>
    <w:rsid w:val="00F56D8C"/>
    <w:rsid w:val="00F574E0"/>
    <w:rsid w:val="00F6028D"/>
    <w:rsid w:val="00F60998"/>
    <w:rsid w:val="00F60A24"/>
    <w:rsid w:val="00F60AD6"/>
    <w:rsid w:val="00F60E07"/>
    <w:rsid w:val="00F61448"/>
    <w:rsid w:val="00F617D1"/>
    <w:rsid w:val="00F62041"/>
    <w:rsid w:val="00F622E0"/>
    <w:rsid w:val="00F6243D"/>
    <w:rsid w:val="00F62474"/>
    <w:rsid w:val="00F6256C"/>
    <w:rsid w:val="00F62735"/>
    <w:rsid w:val="00F62D64"/>
    <w:rsid w:val="00F632F2"/>
    <w:rsid w:val="00F63333"/>
    <w:rsid w:val="00F6394D"/>
    <w:rsid w:val="00F648D5"/>
    <w:rsid w:val="00F64B5C"/>
    <w:rsid w:val="00F65BDF"/>
    <w:rsid w:val="00F65F72"/>
    <w:rsid w:val="00F66AA6"/>
    <w:rsid w:val="00F6717A"/>
    <w:rsid w:val="00F676B6"/>
    <w:rsid w:val="00F70118"/>
    <w:rsid w:val="00F70849"/>
    <w:rsid w:val="00F70D0F"/>
    <w:rsid w:val="00F70FC0"/>
    <w:rsid w:val="00F71213"/>
    <w:rsid w:val="00F7149C"/>
    <w:rsid w:val="00F717BC"/>
    <w:rsid w:val="00F71BDD"/>
    <w:rsid w:val="00F71DCF"/>
    <w:rsid w:val="00F71DEE"/>
    <w:rsid w:val="00F7279E"/>
    <w:rsid w:val="00F72DE4"/>
    <w:rsid w:val="00F730A9"/>
    <w:rsid w:val="00F73E1B"/>
    <w:rsid w:val="00F73F51"/>
    <w:rsid w:val="00F73F69"/>
    <w:rsid w:val="00F744C5"/>
    <w:rsid w:val="00F745DA"/>
    <w:rsid w:val="00F7488D"/>
    <w:rsid w:val="00F74A56"/>
    <w:rsid w:val="00F74DDE"/>
    <w:rsid w:val="00F75784"/>
    <w:rsid w:val="00F759ED"/>
    <w:rsid w:val="00F75AEF"/>
    <w:rsid w:val="00F75F11"/>
    <w:rsid w:val="00F765F2"/>
    <w:rsid w:val="00F76707"/>
    <w:rsid w:val="00F77032"/>
    <w:rsid w:val="00F7713C"/>
    <w:rsid w:val="00F77438"/>
    <w:rsid w:val="00F778F0"/>
    <w:rsid w:val="00F77995"/>
    <w:rsid w:val="00F77B4F"/>
    <w:rsid w:val="00F77BE6"/>
    <w:rsid w:val="00F77C01"/>
    <w:rsid w:val="00F77D38"/>
    <w:rsid w:val="00F77D81"/>
    <w:rsid w:val="00F77F81"/>
    <w:rsid w:val="00F801AC"/>
    <w:rsid w:val="00F8157F"/>
    <w:rsid w:val="00F81A78"/>
    <w:rsid w:val="00F81C9D"/>
    <w:rsid w:val="00F81D5E"/>
    <w:rsid w:val="00F81F1E"/>
    <w:rsid w:val="00F823C3"/>
    <w:rsid w:val="00F82B0C"/>
    <w:rsid w:val="00F82BC3"/>
    <w:rsid w:val="00F82E87"/>
    <w:rsid w:val="00F82F41"/>
    <w:rsid w:val="00F8353F"/>
    <w:rsid w:val="00F83540"/>
    <w:rsid w:val="00F83A57"/>
    <w:rsid w:val="00F83B9E"/>
    <w:rsid w:val="00F83BC3"/>
    <w:rsid w:val="00F8401C"/>
    <w:rsid w:val="00F8403B"/>
    <w:rsid w:val="00F8408D"/>
    <w:rsid w:val="00F841C0"/>
    <w:rsid w:val="00F844EC"/>
    <w:rsid w:val="00F84ADA"/>
    <w:rsid w:val="00F84DED"/>
    <w:rsid w:val="00F8539F"/>
    <w:rsid w:val="00F854CF"/>
    <w:rsid w:val="00F859D5"/>
    <w:rsid w:val="00F85A95"/>
    <w:rsid w:val="00F85F11"/>
    <w:rsid w:val="00F8605F"/>
    <w:rsid w:val="00F862E5"/>
    <w:rsid w:val="00F8698E"/>
    <w:rsid w:val="00F86A79"/>
    <w:rsid w:val="00F86DFC"/>
    <w:rsid w:val="00F86E44"/>
    <w:rsid w:val="00F86F3A"/>
    <w:rsid w:val="00F871C1"/>
    <w:rsid w:val="00F87646"/>
    <w:rsid w:val="00F876CD"/>
    <w:rsid w:val="00F87DE3"/>
    <w:rsid w:val="00F90585"/>
    <w:rsid w:val="00F9060A"/>
    <w:rsid w:val="00F90BBE"/>
    <w:rsid w:val="00F90DFB"/>
    <w:rsid w:val="00F911DD"/>
    <w:rsid w:val="00F91233"/>
    <w:rsid w:val="00F913A7"/>
    <w:rsid w:val="00F9149B"/>
    <w:rsid w:val="00F915DD"/>
    <w:rsid w:val="00F9187A"/>
    <w:rsid w:val="00F91A36"/>
    <w:rsid w:val="00F91DAB"/>
    <w:rsid w:val="00F91EB9"/>
    <w:rsid w:val="00F92484"/>
    <w:rsid w:val="00F92783"/>
    <w:rsid w:val="00F928F5"/>
    <w:rsid w:val="00F928F8"/>
    <w:rsid w:val="00F92A28"/>
    <w:rsid w:val="00F92B09"/>
    <w:rsid w:val="00F92E22"/>
    <w:rsid w:val="00F92E73"/>
    <w:rsid w:val="00F92E92"/>
    <w:rsid w:val="00F92F72"/>
    <w:rsid w:val="00F93209"/>
    <w:rsid w:val="00F93821"/>
    <w:rsid w:val="00F93836"/>
    <w:rsid w:val="00F93CA8"/>
    <w:rsid w:val="00F93F8F"/>
    <w:rsid w:val="00F9403F"/>
    <w:rsid w:val="00F94855"/>
    <w:rsid w:val="00F94C4C"/>
    <w:rsid w:val="00F94F44"/>
    <w:rsid w:val="00F951EC"/>
    <w:rsid w:val="00F9533F"/>
    <w:rsid w:val="00F954FB"/>
    <w:rsid w:val="00F95664"/>
    <w:rsid w:val="00F95727"/>
    <w:rsid w:val="00F959DF"/>
    <w:rsid w:val="00F95BCA"/>
    <w:rsid w:val="00F95EB8"/>
    <w:rsid w:val="00F964B4"/>
    <w:rsid w:val="00F9668A"/>
    <w:rsid w:val="00F96DC5"/>
    <w:rsid w:val="00F97262"/>
    <w:rsid w:val="00F973B4"/>
    <w:rsid w:val="00F973D1"/>
    <w:rsid w:val="00F9743C"/>
    <w:rsid w:val="00F974A5"/>
    <w:rsid w:val="00F97570"/>
    <w:rsid w:val="00F9765E"/>
    <w:rsid w:val="00F9785F"/>
    <w:rsid w:val="00F9795E"/>
    <w:rsid w:val="00F97B06"/>
    <w:rsid w:val="00F97FAE"/>
    <w:rsid w:val="00FA09D0"/>
    <w:rsid w:val="00FA0A29"/>
    <w:rsid w:val="00FA0A42"/>
    <w:rsid w:val="00FA0E50"/>
    <w:rsid w:val="00FA0EEB"/>
    <w:rsid w:val="00FA1175"/>
    <w:rsid w:val="00FA158F"/>
    <w:rsid w:val="00FA1A16"/>
    <w:rsid w:val="00FA1B63"/>
    <w:rsid w:val="00FA200F"/>
    <w:rsid w:val="00FA205C"/>
    <w:rsid w:val="00FA2570"/>
    <w:rsid w:val="00FA2CA2"/>
    <w:rsid w:val="00FA2D4C"/>
    <w:rsid w:val="00FA311E"/>
    <w:rsid w:val="00FA32AB"/>
    <w:rsid w:val="00FA340F"/>
    <w:rsid w:val="00FA3713"/>
    <w:rsid w:val="00FA3797"/>
    <w:rsid w:val="00FA3D3A"/>
    <w:rsid w:val="00FA3ECD"/>
    <w:rsid w:val="00FA3FEA"/>
    <w:rsid w:val="00FA4685"/>
    <w:rsid w:val="00FA4CF1"/>
    <w:rsid w:val="00FA50BA"/>
    <w:rsid w:val="00FA50D0"/>
    <w:rsid w:val="00FA56CE"/>
    <w:rsid w:val="00FA5837"/>
    <w:rsid w:val="00FA5AF0"/>
    <w:rsid w:val="00FA6054"/>
    <w:rsid w:val="00FA6560"/>
    <w:rsid w:val="00FA65C4"/>
    <w:rsid w:val="00FA66E3"/>
    <w:rsid w:val="00FA6AB9"/>
    <w:rsid w:val="00FA7227"/>
    <w:rsid w:val="00FA724E"/>
    <w:rsid w:val="00FA72BD"/>
    <w:rsid w:val="00FA7E65"/>
    <w:rsid w:val="00FB0025"/>
    <w:rsid w:val="00FB024F"/>
    <w:rsid w:val="00FB0351"/>
    <w:rsid w:val="00FB04A5"/>
    <w:rsid w:val="00FB062C"/>
    <w:rsid w:val="00FB0BC4"/>
    <w:rsid w:val="00FB0D05"/>
    <w:rsid w:val="00FB121F"/>
    <w:rsid w:val="00FB13EC"/>
    <w:rsid w:val="00FB1B3C"/>
    <w:rsid w:val="00FB1C86"/>
    <w:rsid w:val="00FB1D7D"/>
    <w:rsid w:val="00FB1DC1"/>
    <w:rsid w:val="00FB2809"/>
    <w:rsid w:val="00FB2870"/>
    <w:rsid w:val="00FB2BD7"/>
    <w:rsid w:val="00FB3260"/>
    <w:rsid w:val="00FB3B3B"/>
    <w:rsid w:val="00FB3CC8"/>
    <w:rsid w:val="00FB410D"/>
    <w:rsid w:val="00FB4DCB"/>
    <w:rsid w:val="00FB4E58"/>
    <w:rsid w:val="00FB501B"/>
    <w:rsid w:val="00FB5428"/>
    <w:rsid w:val="00FB59E5"/>
    <w:rsid w:val="00FB5BBB"/>
    <w:rsid w:val="00FB5C42"/>
    <w:rsid w:val="00FB5D3A"/>
    <w:rsid w:val="00FB5E31"/>
    <w:rsid w:val="00FB63B5"/>
    <w:rsid w:val="00FB63B8"/>
    <w:rsid w:val="00FB6C46"/>
    <w:rsid w:val="00FB6E03"/>
    <w:rsid w:val="00FB7B1E"/>
    <w:rsid w:val="00FB7E5D"/>
    <w:rsid w:val="00FC0074"/>
    <w:rsid w:val="00FC0086"/>
    <w:rsid w:val="00FC0845"/>
    <w:rsid w:val="00FC0A61"/>
    <w:rsid w:val="00FC0D5E"/>
    <w:rsid w:val="00FC12DC"/>
    <w:rsid w:val="00FC156E"/>
    <w:rsid w:val="00FC17F8"/>
    <w:rsid w:val="00FC3506"/>
    <w:rsid w:val="00FC35D4"/>
    <w:rsid w:val="00FC3666"/>
    <w:rsid w:val="00FC36D7"/>
    <w:rsid w:val="00FC3A2C"/>
    <w:rsid w:val="00FC3ADF"/>
    <w:rsid w:val="00FC3B68"/>
    <w:rsid w:val="00FC4396"/>
    <w:rsid w:val="00FC497A"/>
    <w:rsid w:val="00FC4E14"/>
    <w:rsid w:val="00FC580E"/>
    <w:rsid w:val="00FC5E37"/>
    <w:rsid w:val="00FC5ED7"/>
    <w:rsid w:val="00FC61FD"/>
    <w:rsid w:val="00FC6604"/>
    <w:rsid w:val="00FC6E10"/>
    <w:rsid w:val="00FC6E3B"/>
    <w:rsid w:val="00FC724F"/>
    <w:rsid w:val="00FC73D1"/>
    <w:rsid w:val="00FC73FB"/>
    <w:rsid w:val="00FC74A0"/>
    <w:rsid w:val="00FC76B3"/>
    <w:rsid w:val="00FD0BB8"/>
    <w:rsid w:val="00FD0D8C"/>
    <w:rsid w:val="00FD0D9D"/>
    <w:rsid w:val="00FD0E16"/>
    <w:rsid w:val="00FD15DE"/>
    <w:rsid w:val="00FD16CD"/>
    <w:rsid w:val="00FD24BA"/>
    <w:rsid w:val="00FD27DB"/>
    <w:rsid w:val="00FD2A6F"/>
    <w:rsid w:val="00FD2E46"/>
    <w:rsid w:val="00FD2F46"/>
    <w:rsid w:val="00FD40DC"/>
    <w:rsid w:val="00FD459E"/>
    <w:rsid w:val="00FD4CE9"/>
    <w:rsid w:val="00FD6164"/>
    <w:rsid w:val="00FD697C"/>
    <w:rsid w:val="00FD6C8B"/>
    <w:rsid w:val="00FD6D00"/>
    <w:rsid w:val="00FD6D16"/>
    <w:rsid w:val="00FD711C"/>
    <w:rsid w:val="00FD73D3"/>
    <w:rsid w:val="00FD755C"/>
    <w:rsid w:val="00FD7646"/>
    <w:rsid w:val="00FD79F9"/>
    <w:rsid w:val="00FE06D3"/>
    <w:rsid w:val="00FE0782"/>
    <w:rsid w:val="00FE0A8D"/>
    <w:rsid w:val="00FE0C0C"/>
    <w:rsid w:val="00FE0CA8"/>
    <w:rsid w:val="00FE11FD"/>
    <w:rsid w:val="00FE130E"/>
    <w:rsid w:val="00FE1ABC"/>
    <w:rsid w:val="00FE1B9A"/>
    <w:rsid w:val="00FE1BEB"/>
    <w:rsid w:val="00FE1F14"/>
    <w:rsid w:val="00FE2092"/>
    <w:rsid w:val="00FE21E2"/>
    <w:rsid w:val="00FE21EA"/>
    <w:rsid w:val="00FE23D2"/>
    <w:rsid w:val="00FE2A0C"/>
    <w:rsid w:val="00FE2B42"/>
    <w:rsid w:val="00FE3062"/>
    <w:rsid w:val="00FE39F0"/>
    <w:rsid w:val="00FE3AE6"/>
    <w:rsid w:val="00FE3C1C"/>
    <w:rsid w:val="00FE3DC1"/>
    <w:rsid w:val="00FE3EC4"/>
    <w:rsid w:val="00FE3FF7"/>
    <w:rsid w:val="00FE415F"/>
    <w:rsid w:val="00FE419B"/>
    <w:rsid w:val="00FE459D"/>
    <w:rsid w:val="00FE49A2"/>
    <w:rsid w:val="00FE49C1"/>
    <w:rsid w:val="00FE4A87"/>
    <w:rsid w:val="00FE4D07"/>
    <w:rsid w:val="00FE4FD5"/>
    <w:rsid w:val="00FE4FDB"/>
    <w:rsid w:val="00FE525E"/>
    <w:rsid w:val="00FE5608"/>
    <w:rsid w:val="00FE59B9"/>
    <w:rsid w:val="00FE6398"/>
    <w:rsid w:val="00FE64A7"/>
    <w:rsid w:val="00FE6750"/>
    <w:rsid w:val="00FE67D6"/>
    <w:rsid w:val="00FE697C"/>
    <w:rsid w:val="00FE6B9A"/>
    <w:rsid w:val="00FE6C5B"/>
    <w:rsid w:val="00FE6E79"/>
    <w:rsid w:val="00FE6F61"/>
    <w:rsid w:val="00FE73F7"/>
    <w:rsid w:val="00FE7547"/>
    <w:rsid w:val="00FF00E0"/>
    <w:rsid w:val="00FF05B8"/>
    <w:rsid w:val="00FF0808"/>
    <w:rsid w:val="00FF0A49"/>
    <w:rsid w:val="00FF0A85"/>
    <w:rsid w:val="00FF10BE"/>
    <w:rsid w:val="00FF1194"/>
    <w:rsid w:val="00FF1406"/>
    <w:rsid w:val="00FF15AD"/>
    <w:rsid w:val="00FF1708"/>
    <w:rsid w:val="00FF176A"/>
    <w:rsid w:val="00FF18BD"/>
    <w:rsid w:val="00FF198A"/>
    <w:rsid w:val="00FF1A08"/>
    <w:rsid w:val="00FF1AF9"/>
    <w:rsid w:val="00FF1B65"/>
    <w:rsid w:val="00FF1D9A"/>
    <w:rsid w:val="00FF225E"/>
    <w:rsid w:val="00FF255C"/>
    <w:rsid w:val="00FF2A0D"/>
    <w:rsid w:val="00FF2F43"/>
    <w:rsid w:val="00FF33C3"/>
    <w:rsid w:val="00FF3EF2"/>
    <w:rsid w:val="00FF4225"/>
    <w:rsid w:val="00FF4766"/>
    <w:rsid w:val="00FF5006"/>
    <w:rsid w:val="00FF500D"/>
    <w:rsid w:val="00FF50AC"/>
    <w:rsid w:val="00FF586C"/>
    <w:rsid w:val="00FF5AF5"/>
    <w:rsid w:val="00FF5E92"/>
    <w:rsid w:val="00FF6295"/>
    <w:rsid w:val="00FF6514"/>
    <w:rsid w:val="00FF65BE"/>
    <w:rsid w:val="00FF6A0A"/>
    <w:rsid w:val="00FF7BD3"/>
    <w:rsid w:val="00FF7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oNotEmbedSmartTags/>
  <w:decimalSymbol w:val="."/>
  <w:listSeparator w:val=","/>
  <w14:docId w14:val="7F73B9ED"/>
  <w15:docId w15:val="{F161DA89-8494-41E1-83CC-7936E4281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4589"/>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uiPriority w:val="39"/>
    <w:pPr>
      <w:ind w:left="720"/>
    </w:pPr>
    <w:rPr>
      <w:sz w:val="22"/>
    </w:r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5"/>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uiPriority w:val="99"/>
    <w:rsid w:val="00EE665E"/>
    <w:pPr>
      <w:spacing w:before="60" w:after="120"/>
    </w:pPr>
    <w:rPr>
      <w:sz w:val="22"/>
      <w:szCs w:val="22"/>
    </w:rPr>
  </w:style>
  <w:style w:type="character" w:customStyle="1" w:styleId="BodyTextChar">
    <w:name w:val="Body Text Char"/>
    <w:link w:val="BodyText"/>
    <w:uiPriority w:val="99"/>
    <w:rsid w:val="00EE665E"/>
    <w:rPr>
      <w:sz w:val="22"/>
      <w:szCs w:val="22"/>
      <w:lang w:val="en-US" w:eastAsia="en-US" w:bidi="ar-SA"/>
    </w:rPr>
  </w:style>
  <w:style w:type="table" w:styleId="TableGrid">
    <w:name w:val="Table Grid"/>
    <w:basedOn w:val="TableNormal"/>
    <w:rsid w:val="005F6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9"/>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11"/>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8"/>
      </w:numPr>
      <w:spacing w:before="0" w:after="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semiHidden/>
    <w:rPr>
      <w:sz w:val="16"/>
      <w:szCs w:val="16"/>
    </w:rPr>
  </w:style>
  <w:style w:type="paragraph" w:styleId="CommentText">
    <w:name w:val="annotation text"/>
    <w:basedOn w:val="Normal"/>
    <w:link w:val="CommentTextChar"/>
    <w:uiPriority w:val="99"/>
    <w:pPr>
      <w:tabs>
        <w:tab w:val="num" w:pos="1080"/>
      </w:tabs>
      <w:ind w:left="1080" w:hanging="360"/>
    </w:pPr>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rPr>
      <w:color w:val="800080"/>
      <w:u w:val="single"/>
    </w:rPr>
  </w:style>
  <w:style w:type="paragraph" w:styleId="Caption">
    <w:name w:val="caption"/>
    <w:basedOn w:val="Normal"/>
    <w:next w:val="BodyText"/>
    <w:link w:val="CaptionChar1"/>
    <w:uiPriority w:val="35"/>
    <w:qFormat/>
    <w:rsid w:val="00453B6E"/>
    <w:pPr>
      <w:keepNext/>
      <w:spacing w:before="120" w:after="120"/>
    </w:pPr>
    <w:rPr>
      <w:b/>
      <w:sz w:val="22"/>
      <w:szCs w:val="22"/>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numPr>
        <w:numId w:val="12"/>
      </w:numPr>
    </w:p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uiPriority w:val="99"/>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4"/>
      </w:numPr>
    </w:pPr>
  </w:style>
  <w:style w:type="character" w:customStyle="1" w:styleId="TableTextNumbersCharChar">
    <w:name w:val="Table Text Numbers Char Char"/>
    <w:basedOn w:val="TableTextChar6"/>
    <w:link w:val="TableTextNumbers"/>
    <w:rsid w:val="00584AF9"/>
    <w:rPr>
      <w:rFonts w:ascii="Arial" w:hAnsi="Arial"/>
      <w:sz w:val="18"/>
      <w:szCs w:val="24"/>
      <w:lang w:val="en-US" w:eastAsia="en-US" w:bidi="ar-SA"/>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6"/>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rPr>
      <w:sz w:val="22"/>
      <w:szCs w:val="22"/>
    </w:rPr>
  </w:style>
  <w:style w:type="paragraph" w:styleId="ListNumber2">
    <w:name w:val="List Number 2"/>
    <w:basedOn w:val="Normal"/>
    <w:pPr>
      <w:numPr>
        <w:numId w:val="45"/>
      </w:numPr>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character" w:customStyle="1" w:styleId="DarleneBrill">
    <w:name w:val="Darlene Brill"/>
    <w:semiHidden/>
    <w:rPr>
      <w:rFonts w:ascii="Arial" w:hAnsi="Arial" w:cs="Arial"/>
      <w:color w:val="auto"/>
      <w:sz w:val="20"/>
      <w:szCs w:val="20"/>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3"/>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5"/>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paragraph" w:customStyle="1" w:styleId="TableTextNumbersBullet">
    <w:name w:val="Table Text Numbers Bullet"/>
    <w:basedOn w:val="TableTextNumbersContinued"/>
    <w:pPr>
      <w:numPr>
        <w:numId w:val="7"/>
      </w:numPr>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basedOn w:val="TableTextBullet1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basedOn w:val="TableTextChar1"/>
    <w:rPr>
      <w:rFonts w:ascii="Arial" w:hAnsi="Arial"/>
      <w:sz w:val="18"/>
      <w:szCs w:val="24"/>
      <w:lang w:val="en-US" w:eastAsia="en-US" w:bidi="ar-SA"/>
    </w:rPr>
  </w:style>
  <w:style w:type="character" w:customStyle="1" w:styleId="TableTextNumbersChar1">
    <w:name w:val="Table Text Numbers Char1"/>
    <w:basedOn w:val="TableTextChar2"/>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basedOn w:val="TableTextChar4"/>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basedOn w:val="TableTextChar5"/>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character" w:customStyle="1" w:styleId="VHAISHbrilld">
    <w:name w:val="VHAISHbrilld"/>
    <w:semiHidden/>
    <w:rsid w:val="00DE7D08"/>
    <w:rPr>
      <w:rFonts w:ascii="Arial" w:hAnsi="Arial" w:cs="Arial"/>
      <w:color w:val="auto"/>
      <w:sz w:val="20"/>
      <w:szCs w:val="20"/>
    </w:rPr>
  </w:style>
  <w:style w:type="character" w:customStyle="1" w:styleId="TableTextBulletChar1">
    <w:name w:val="Table Text Bullet Char1"/>
    <w:basedOn w:val="TableTextChar6"/>
    <w:link w:val="TableTextBullet"/>
    <w:rsid w:val="00CC50D7"/>
    <w:rPr>
      <w:rFonts w:ascii="Arial" w:hAnsi="Arial"/>
      <w:sz w:val="18"/>
      <w:szCs w:val="24"/>
      <w:lang w:val="en-US" w:eastAsia="en-US" w:bidi="ar-SA"/>
    </w:rPr>
  </w:style>
  <w:style w:type="character" w:customStyle="1" w:styleId="BodyTextChar1">
    <w:name w:val="Body Text Char1"/>
    <w:rsid w:val="00EE44F1"/>
    <w:rPr>
      <w:sz w:val="22"/>
      <w:szCs w:val="22"/>
      <w:lang w:val="en-US" w:eastAsia="en-US" w:bidi="ar-SA"/>
    </w:rPr>
  </w:style>
  <w:style w:type="character" w:customStyle="1" w:styleId="Heading3Char2">
    <w:name w:val="Heading 3 Char2"/>
    <w:rsid w:val="008A701E"/>
    <w:rPr>
      <w:rFonts w:ascii="Arial" w:hAnsi="Arial" w:cs="Arial"/>
      <w:b/>
      <w:bCs/>
      <w:sz w:val="26"/>
      <w:szCs w:val="26"/>
      <w:lang w:val="en-US" w:eastAsia="en-US" w:bidi="ar-SA"/>
    </w:rPr>
  </w:style>
  <w:style w:type="character" w:customStyle="1" w:styleId="CaptionChar2">
    <w:name w:val="Caption Char2"/>
    <w:rsid w:val="008A701E"/>
    <w:rPr>
      <w:b/>
      <w:sz w:val="22"/>
      <w:szCs w:val="22"/>
      <w:lang w:val="en-US" w:eastAsia="en-US" w:bidi="ar-SA"/>
    </w:rPr>
  </w:style>
  <w:style w:type="character" w:customStyle="1" w:styleId="CommentTextChar">
    <w:name w:val="Comment Text Char"/>
    <w:basedOn w:val="DefaultParagraphFont"/>
    <w:link w:val="CommentText"/>
    <w:uiPriority w:val="99"/>
    <w:rsid w:val="00E36CAB"/>
  </w:style>
  <w:style w:type="character" w:customStyle="1" w:styleId="TableTextCharChar">
    <w:name w:val="Table Text Char Char"/>
    <w:rsid w:val="00D32A05"/>
    <w:rPr>
      <w:rFonts w:ascii="Arial" w:hAnsi="Arial"/>
      <w:sz w:val="18"/>
      <w:szCs w:val="24"/>
      <w:lang w:val="en-US" w:eastAsia="en-US" w:bidi="ar-SA"/>
    </w:rPr>
  </w:style>
  <w:style w:type="paragraph" w:styleId="ListParagraph">
    <w:name w:val="List Paragraph"/>
    <w:basedOn w:val="Normal"/>
    <w:uiPriority w:val="34"/>
    <w:qFormat/>
    <w:rsid w:val="00C33E1D"/>
    <w:pPr>
      <w:spacing w:after="200" w:line="276" w:lineRule="auto"/>
      <w:ind w:left="720"/>
      <w:contextualSpacing/>
    </w:pPr>
    <w:rPr>
      <w:rFonts w:ascii="Calibri" w:eastAsia="Calibri" w:hAnsi="Calibri"/>
      <w:sz w:val="22"/>
      <w:szCs w:val="22"/>
    </w:rPr>
  </w:style>
  <w:style w:type="character" w:customStyle="1" w:styleId="FootnoteTextChar">
    <w:name w:val="Footnote Text Char"/>
    <w:basedOn w:val="DefaultParagraphFont"/>
    <w:link w:val="FootnoteText"/>
    <w:uiPriority w:val="99"/>
    <w:semiHidden/>
    <w:rsid w:val="00FC3B68"/>
  </w:style>
  <w:style w:type="character" w:customStyle="1" w:styleId="Heading2Char">
    <w:name w:val="Heading 2 Char"/>
    <w:aliases w:val="Heading for title Char,head 2 Char"/>
    <w:link w:val="Heading2"/>
    <w:rsid w:val="000F6EEA"/>
    <w:rPr>
      <w:rFonts w:ascii="Arial" w:hAnsi="Arial" w:cs="Arial"/>
      <w:b/>
      <w:bCs/>
      <w:i/>
      <w:iCs/>
      <w:sz w:val="28"/>
      <w:szCs w:val="28"/>
    </w:rPr>
  </w:style>
  <w:style w:type="paragraph" w:styleId="NoSpacing">
    <w:name w:val="No Spacing"/>
    <w:uiPriority w:val="1"/>
    <w:qFormat/>
    <w:rsid w:val="00280C3F"/>
    <w:rPr>
      <w:rFonts w:ascii="Calibri" w:eastAsia="Calibri" w:hAnsi="Calibri"/>
      <w:sz w:val="22"/>
      <w:szCs w:val="22"/>
    </w:rPr>
  </w:style>
  <w:style w:type="paragraph" w:styleId="HTMLPreformatted">
    <w:name w:val="HTML Preformatted"/>
    <w:basedOn w:val="Normal"/>
    <w:link w:val="HTMLPreformattedChar"/>
    <w:rsid w:val="00392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character" w:customStyle="1" w:styleId="HTMLPreformattedChar">
    <w:name w:val="HTML Preformatted Char"/>
    <w:link w:val="HTMLPreformatted"/>
    <w:rsid w:val="00392B0E"/>
    <w:rPr>
      <w:rFonts w:ascii="Courier New" w:hAnsi="Courier New"/>
    </w:rPr>
  </w:style>
  <w:style w:type="paragraph" w:customStyle="1" w:styleId="Substep01">
    <w:name w:val="Substep 01"/>
    <w:basedOn w:val="TableText"/>
    <w:rsid w:val="00DB1497"/>
    <w:pPr>
      <w:numPr>
        <w:numId w:val="50"/>
      </w:numPr>
      <w:jc w:val="right"/>
    </w:pPr>
    <w:rPr>
      <w:color w:val="000000"/>
      <w:szCs w:val="20"/>
    </w:rPr>
  </w:style>
  <w:style w:type="paragraph" w:customStyle="1" w:styleId="CellBodyLeft">
    <w:name w:val="CellBodyLeft"/>
    <w:basedOn w:val="Normal"/>
    <w:rsid w:val="00DC70D1"/>
    <w:pPr>
      <w:spacing w:before="60"/>
      <w:ind w:left="72"/>
    </w:pPr>
    <w:rPr>
      <w:rFonts w:ascii="Arial" w:hAnsi="Arial"/>
      <w:color w:val="000000"/>
      <w:sz w:val="16"/>
      <w:szCs w:val="20"/>
    </w:rPr>
  </w:style>
  <w:style w:type="paragraph" w:customStyle="1" w:styleId="CellBodyCenter">
    <w:name w:val="CellBodyCenter"/>
    <w:basedOn w:val="Normal"/>
    <w:rsid w:val="00DC70D1"/>
    <w:pPr>
      <w:keepLines/>
      <w:jc w:val="center"/>
    </w:pPr>
    <w:rPr>
      <w:rFonts w:ascii="Arial" w:hAnsi="Arial"/>
      <w:color w:val="000000"/>
      <w:sz w:val="16"/>
      <w:szCs w:val="20"/>
    </w:rPr>
  </w:style>
  <w:style w:type="paragraph" w:customStyle="1" w:styleId="Substep02">
    <w:name w:val="Substep 02"/>
    <w:basedOn w:val="Substep01"/>
    <w:rsid w:val="001809EC"/>
    <w:pPr>
      <w:numPr>
        <w:numId w:val="54"/>
      </w:numPr>
    </w:pPr>
  </w:style>
  <w:style w:type="paragraph" w:styleId="PlainText">
    <w:name w:val="Plain Text"/>
    <w:basedOn w:val="Normal"/>
    <w:link w:val="PlainTextChar"/>
    <w:uiPriority w:val="99"/>
    <w:unhideWhenUsed/>
    <w:rsid w:val="00D53DC3"/>
    <w:rPr>
      <w:rFonts w:ascii="Calibri" w:eastAsia="Calibri" w:hAnsi="Calibri"/>
      <w:sz w:val="22"/>
      <w:szCs w:val="21"/>
    </w:rPr>
  </w:style>
  <w:style w:type="character" w:customStyle="1" w:styleId="PlainTextChar">
    <w:name w:val="Plain Text Char"/>
    <w:link w:val="PlainText"/>
    <w:uiPriority w:val="99"/>
    <w:rsid w:val="00D53DC3"/>
    <w:rPr>
      <w:rFonts w:ascii="Calibri" w:eastAsia="Calibri" w:hAnsi="Calibri"/>
      <w:sz w:val="22"/>
      <w:szCs w:val="21"/>
    </w:rPr>
  </w:style>
  <w:style w:type="character" w:customStyle="1" w:styleId="FooterChar">
    <w:name w:val="Footer Char"/>
    <w:link w:val="Footer"/>
    <w:rsid w:val="00B752FE"/>
    <w:rPr>
      <w:sz w:val="24"/>
      <w:szCs w:val="24"/>
    </w:rPr>
  </w:style>
  <w:style w:type="paragraph" w:customStyle="1" w:styleId="TableText2">
    <w:name w:val="TableText"/>
    <w:rsid w:val="00FE0A8D"/>
    <w:rPr>
      <w:rFonts w:ascii="Arial" w:hAnsi="Arial"/>
      <w:noProof/>
      <w:sz w:val="18"/>
    </w:rPr>
  </w:style>
  <w:style w:type="character" w:styleId="UnresolvedMention">
    <w:name w:val="Unresolved Mention"/>
    <w:basedOn w:val="DefaultParagraphFont"/>
    <w:uiPriority w:val="99"/>
    <w:semiHidden/>
    <w:unhideWhenUsed/>
    <w:rsid w:val="00CC16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0468">
      <w:bodyDiv w:val="1"/>
      <w:marLeft w:val="0"/>
      <w:marRight w:val="0"/>
      <w:marTop w:val="0"/>
      <w:marBottom w:val="0"/>
      <w:divBdr>
        <w:top w:val="none" w:sz="0" w:space="0" w:color="auto"/>
        <w:left w:val="none" w:sz="0" w:space="0" w:color="auto"/>
        <w:bottom w:val="none" w:sz="0" w:space="0" w:color="auto"/>
        <w:right w:val="none" w:sz="0" w:space="0" w:color="auto"/>
      </w:divBdr>
    </w:div>
    <w:div w:id="31537333">
      <w:bodyDiv w:val="1"/>
      <w:marLeft w:val="0"/>
      <w:marRight w:val="0"/>
      <w:marTop w:val="0"/>
      <w:marBottom w:val="0"/>
      <w:divBdr>
        <w:top w:val="none" w:sz="0" w:space="0" w:color="auto"/>
        <w:left w:val="none" w:sz="0" w:space="0" w:color="auto"/>
        <w:bottom w:val="none" w:sz="0" w:space="0" w:color="auto"/>
        <w:right w:val="none" w:sz="0" w:space="0" w:color="auto"/>
      </w:divBdr>
    </w:div>
    <w:div w:id="100035678">
      <w:bodyDiv w:val="1"/>
      <w:marLeft w:val="0"/>
      <w:marRight w:val="0"/>
      <w:marTop w:val="0"/>
      <w:marBottom w:val="0"/>
      <w:divBdr>
        <w:top w:val="none" w:sz="0" w:space="0" w:color="auto"/>
        <w:left w:val="none" w:sz="0" w:space="0" w:color="auto"/>
        <w:bottom w:val="none" w:sz="0" w:space="0" w:color="auto"/>
        <w:right w:val="none" w:sz="0" w:space="0" w:color="auto"/>
      </w:divBdr>
    </w:div>
    <w:div w:id="131946998">
      <w:bodyDiv w:val="1"/>
      <w:marLeft w:val="0"/>
      <w:marRight w:val="0"/>
      <w:marTop w:val="0"/>
      <w:marBottom w:val="0"/>
      <w:divBdr>
        <w:top w:val="none" w:sz="0" w:space="0" w:color="auto"/>
        <w:left w:val="none" w:sz="0" w:space="0" w:color="auto"/>
        <w:bottom w:val="none" w:sz="0" w:space="0" w:color="auto"/>
        <w:right w:val="none" w:sz="0" w:space="0" w:color="auto"/>
      </w:divBdr>
    </w:div>
    <w:div w:id="157766379">
      <w:bodyDiv w:val="1"/>
      <w:marLeft w:val="0"/>
      <w:marRight w:val="0"/>
      <w:marTop w:val="0"/>
      <w:marBottom w:val="0"/>
      <w:divBdr>
        <w:top w:val="none" w:sz="0" w:space="0" w:color="auto"/>
        <w:left w:val="none" w:sz="0" w:space="0" w:color="auto"/>
        <w:bottom w:val="none" w:sz="0" w:space="0" w:color="auto"/>
        <w:right w:val="none" w:sz="0" w:space="0" w:color="auto"/>
      </w:divBdr>
    </w:div>
    <w:div w:id="161744170">
      <w:bodyDiv w:val="1"/>
      <w:marLeft w:val="0"/>
      <w:marRight w:val="0"/>
      <w:marTop w:val="0"/>
      <w:marBottom w:val="0"/>
      <w:divBdr>
        <w:top w:val="none" w:sz="0" w:space="0" w:color="auto"/>
        <w:left w:val="none" w:sz="0" w:space="0" w:color="auto"/>
        <w:bottom w:val="none" w:sz="0" w:space="0" w:color="auto"/>
        <w:right w:val="none" w:sz="0" w:space="0" w:color="auto"/>
      </w:divBdr>
    </w:div>
    <w:div w:id="269359750">
      <w:bodyDiv w:val="1"/>
      <w:marLeft w:val="0"/>
      <w:marRight w:val="0"/>
      <w:marTop w:val="0"/>
      <w:marBottom w:val="0"/>
      <w:divBdr>
        <w:top w:val="none" w:sz="0" w:space="0" w:color="auto"/>
        <w:left w:val="none" w:sz="0" w:space="0" w:color="auto"/>
        <w:bottom w:val="none" w:sz="0" w:space="0" w:color="auto"/>
        <w:right w:val="none" w:sz="0" w:space="0" w:color="auto"/>
      </w:divBdr>
    </w:div>
    <w:div w:id="270086669">
      <w:bodyDiv w:val="1"/>
      <w:marLeft w:val="0"/>
      <w:marRight w:val="0"/>
      <w:marTop w:val="0"/>
      <w:marBottom w:val="0"/>
      <w:divBdr>
        <w:top w:val="none" w:sz="0" w:space="0" w:color="auto"/>
        <w:left w:val="none" w:sz="0" w:space="0" w:color="auto"/>
        <w:bottom w:val="none" w:sz="0" w:space="0" w:color="auto"/>
        <w:right w:val="none" w:sz="0" w:space="0" w:color="auto"/>
      </w:divBdr>
    </w:div>
    <w:div w:id="345592832">
      <w:bodyDiv w:val="1"/>
      <w:marLeft w:val="0"/>
      <w:marRight w:val="0"/>
      <w:marTop w:val="0"/>
      <w:marBottom w:val="0"/>
      <w:divBdr>
        <w:top w:val="none" w:sz="0" w:space="0" w:color="auto"/>
        <w:left w:val="none" w:sz="0" w:space="0" w:color="auto"/>
        <w:bottom w:val="none" w:sz="0" w:space="0" w:color="auto"/>
        <w:right w:val="none" w:sz="0" w:space="0" w:color="auto"/>
      </w:divBdr>
    </w:div>
    <w:div w:id="418140494">
      <w:bodyDiv w:val="1"/>
      <w:marLeft w:val="0"/>
      <w:marRight w:val="0"/>
      <w:marTop w:val="0"/>
      <w:marBottom w:val="0"/>
      <w:divBdr>
        <w:top w:val="none" w:sz="0" w:space="0" w:color="auto"/>
        <w:left w:val="none" w:sz="0" w:space="0" w:color="auto"/>
        <w:bottom w:val="none" w:sz="0" w:space="0" w:color="auto"/>
        <w:right w:val="none" w:sz="0" w:space="0" w:color="auto"/>
      </w:divBdr>
    </w:div>
    <w:div w:id="435910963">
      <w:bodyDiv w:val="1"/>
      <w:marLeft w:val="0"/>
      <w:marRight w:val="0"/>
      <w:marTop w:val="0"/>
      <w:marBottom w:val="0"/>
      <w:divBdr>
        <w:top w:val="none" w:sz="0" w:space="0" w:color="auto"/>
        <w:left w:val="none" w:sz="0" w:space="0" w:color="auto"/>
        <w:bottom w:val="none" w:sz="0" w:space="0" w:color="auto"/>
        <w:right w:val="none" w:sz="0" w:space="0" w:color="auto"/>
      </w:divBdr>
    </w:div>
    <w:div w:id="452335249">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532160172">
      <w:bodyDiv w:val="1"/>
      <w:marLeft w:val="0"/>
      <w:marRight w:val="0"/>
      <w:marTop w:val="0"/>
      <w:marBottom w:val="0"/>
      <w:divBdr>
        <w:top w:val="none" w:sz="0" w:space="0" w:color="auto"/>
        <w:left w:val="none" w:sz="0" w:space="0" w:color="auto"/>
        <w:bottom w:val="none" w:sz="0" w:space="0" w:color="auto"/>
        <w:right w:val="none" w:sz="0" w:space="0" w:color="auto"/>
      </w:divBdr>
    </w:div>
    <w:div w:id="60092000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78627531">
      <w:bodyDiv w:val="1"/>
      <w:marLeft w:val="0"/>
      <w:marRight w:val="0"/>
      <w:marTop w:val="0"/>
      <w:marBottom w:val="0"/>
      <w:divBdr>
        <w:top w:val="none" w:sz="0" w:space="0" w:color="auto"/>
        <w:left w:val="none" w:sz="0" w:space="0" w:color="auto"/>
        <w:bottom w:val="none" w:sz="0" w:space="0" w:color="auto"/>
        <w:right w:val="none" w:sz="0" w:space="0" w:color="auto"/>
      </w:divBdr>
    </w:div>
    <w:div w:id="688482817">
      <w:bodyDiv w:val="1"/>
      <w:marLeft w:val="0"/>
      <w:marRight w:val="0"/>
      <w:marTop w:val="0"/>
      <w:marBottom w:val="0"/>
      <w:divBdr>
        <w:top w:val="none" w:sz="0" w:space="0" w:color="auto"/>
        <w:left w:val="none" w:sz="0" w:space="0" w:color="auto"/>
        <w:bottom w:val="none" w:sz="0" w:space="0" w:color="auto"/>
        <w:right w:val="none" w:sz="0" w:space="0" w:color="auto"/>
      </w:divBdr>
    </w:div>
    <w:div w:id="743725817">
      <w:bodyDiv w:val="1"/>
      <w:marLeft w:val="0"/>
      <w:marRight w:val="0"/>
      <w:marTop w:val="0"/>
      <w:marBottom w:val="0"/>
      <w:divBdr>
        <w:top w:val="none" w:sz="0" w:space="0" w:color="auto"/>
        <w:left w:val="none" w:sz="0" w:space="0" w:color="auto"/>
        <w:bottom w:val="none" w:sz="0" w:space="0" w:color="auto"/>
        <w:right w:val="none" w:sz="0" w:space="0" w:color="auto"/>
      </w:divBdr>
      <w:divsChild>
        <w:div w:id="1759789068">
          <w:marLeft w:val="0"/>
          <w:marRight w:val="0"/>
          <w:marTop w:val="0"/>
          <w:marBottom w:val="0"/>
          <w:divBdr>
            <w:top w:val="none" w:sz="0" w:space="0" w:color="auto"/>
            <w:left w:val="none" w:sz="0" w:space="0" w:color="auto"/>
            <w:bottom w:val="none" w:sz="0" w:space="0" w:color="auto"/>
            <w:right w:val="none" w:sz="0" w:space="0" w:color="auto"/>
          </w:divBdr>
        </w:div>
      </w:divsChild>
    </w:div>
    <w:div w:id="762922628">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08742579">
      <w:bodyDiv w:val="1"/>
      <w:marLeft w:val="0"/>
      <w:marRight w:val="0"/>
      <w:marTop w:val="0"/>
      <w:marBottom w:val="0"/>
      <w:divBdr>
        <w:top w:val="none" w:sz="0" w:space="0" w:color="auto"/>
        <w:left w:val="none" w:sz="0" w:space="0" w:color="auto"/>
        <w:bottom w:val="none" w:sz="0" w:space="0" w:color="auto"/>
        <w:right w:val="none" w:sz="0" w:space="0" w:color="auto"/>
      </w:divBdr>
    </w:div>
    <w:div w:id="812596459">
      <w:bodyDiv w:val="1"/>
      <w:marLeft w:val="0"/>
      <w:marRight w:val="0"/>
      <w:marTop w:val="0"/>
      <w:marBottom w:val="0"/>
      <w:divBdr>
        <w:top w:val="none" w:sz="0" w:space="0" w:color="auto"/>
        <w:left w:val="none" w:sz="0" w:space="0" w:color="auto"/>
        <w:bottom w:val="none" w:sz="0" w:space="0" w:color="auto"/>
        <w:right w:val="none" w:sz="0" w:space="0" w:color="auto"/>
      </w:divBdr>
    </w:div>
    <w:div w:id="812789749">
      <w:bodyDiv w:val="1"/>
      <w:marLeft w:val="30"/>
      <w:marRight w:val="30"/>
      <w:marTop w:val="0"/>
      <w:marBottom w:val="0"/>
      <w:divBdr>
        <w:top w:val="none" w:sz="0" w:space="0" w:color="auto"/>
        <w:left w:val="none" w:sz="0" w:space="0" w:color="auto"/>
        <w:bottom w:val="none" w:sz="0" w:space="0" w:color="auto"/>
        <w:right w:val="none" w:sz="0" w:space="0" w:color="auto"/>
      </w:divBdr>
      <w:divsChild>
        <w:div w:id="632369473">
          <w:marLeft w:val="0"/>
          <w:marRight w:val="0"/>
          <w:marTop w:val="0"/>
          <w:marBottom w:val="0"/>
          <w:divBdr>
            <w:top w:val="none" w:sz="0" w:space="0" w:color="auto"/>
            <w:left w:val="none" w:sz="0" w:space="0" w:color="auto"/>
            <w:bottom w:val="none" w:sz="0" w:space="0" w:color="auto"/>
            <w:right w:val="none" w:sz="0" w:space="0" w:color="auto"/>
          </w:divBdr>
          <w:divsChild>
            <w:div w:id="1539126824">
              <w:marLeft w:val="0"/>
              <w:marRight w:val="0"/>
              <w:marTop w:val="0"/>
              <w:marBottom w:val="0"/>
              <w:divBdr>
                <w:top w:val="none" w:sz="0" w:space="0" w:color="auto"/>
                <w:left w:val="none" w:sz="0" w:space="0" w:color="auto"/>
                <w:bottom w:val="none" w:sz="0" w:space="0" w:color="auto"/>
                <w:right w:val="none" w:sz="0" w:space="0" w:color="auto"/>
              </w:divBdr>
              <w:divsChild>
                <w:div w:id="1736971308">
                  <w:marLeft w:val="180"/>
                  <w:marRight w:val="0"/>
                  <w:marTop w:val="0"/>
                  <w:marBottom w:val="0"/>
                  <w:divBdr>
                    <w:top w:val="none" w:sz="0" w:space="0" w:color="auto"/>
                    <w:left w:val="none" w:sz="0" w:space="0" w:color="auto"/>
                    <w:bottom w:val="none" w:sz="0" w:space="0" w:color="auto"/>
                    <w:right w:val="none" w:sz="0" w:space="0" w:color="auto"/>
                  </w:divBdr>
                  <w:divsChild>
                    <w:div w:id="202462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09825">
      <w:bodyDiv w:val="1"/>
      <w:marLeft w:val="0"/>
      <w:marRight w:val="0"/>
      <w:marTop w:val="0"/>
      <w:marBottom w:val="0"/>
      <w:divBdr>
        <w:top w:val="none" w:sz="0" w:space="0" w:color="auto"/>
        <w:left w:val="none" w:sz="0" w:space="0" w:color="auto"/>
        <w:bottom w:val="none" w:sz="0" w:space="0" w:color="auto"/>
        <w:right w:val="none" w:sz="0" w:space="0" w:color="auto"/>
      </w:divBdr>
    </w:div>
    <w:div w:id="915360084">
      <w:bodyDiv w:val="1"/>
      <w:marLeft w:val="0"/>
      <w:marRight w:val="0"/>
      <w:marTop w:val="0"/>
      <w:marBottom w:val="0"/>
      <w:divBdr>
        <w:top w:val="none" w:sz="0" w:space="0" w:color="auto"/>
        <w:left w:val="none" w:sz="0" w:space="0" w:color="auto"/>
        <w:bottom w:val="none" w:sz="0" w:space="0" w:color="auto"/>
        <w:right w:val="none" w:sz="0" w:space="0" w:color="auto"/>
      </w:divBdr>
    </w:div>
    <w:div w:id="975842856">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38776044">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09079848">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68979066">
      <w:bodyDiv w:val="1"/>
      <w:marLeft w:val="0"/>
      <w:marRight w:val="0"/>
      <w:marTop w:val="0"/>
      <w:marBottom w:val="0"/>
      <w:divBdr>
        <w:top w:val="none" w:sz="0" w:space="0" w:color="auto"/>
        <w:left w:val="none" w:sz="0" w:space="0" w:color="auto"/>
        <w:bottom w:val="none" w:sz="0" w:space="0" w:color="auto"/>
        <w:right w:val="none" w:sz="0" w:space="0" w:color="auto"/>
      </w:divBdr>
    </w:div>
    <w:div w:id="1189104560">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00625548">
      <w:bodyDiv w:val="1"/>
      <w:marLeft w:val="0"/>
      <w:marRight w:val="0"/>
      <w:marTop w:val="0"/>
      <w:marBottom w:val="0"/>
      <w:divBdr>
        <w:top w:val="none" w:sz="0" w:space="0" w:color="auto"/>
        <w:left w:val="none" w:sz="0" w:space="0" w:color="auto"/>
        <w:bottom w:val="none" w:sz="0" w:space="0" w:color="auto"/>
        <w:right w:val="none" w:sz="0" w:space="0" w:color="auto"/>
      </w:divBdr>
    </w:div>
    <w:div w:id="1223449721">
      <w:bodyDiv w:val="1"/>
      <w:marLeft w:val="0"/>
      <w:marRight w:val="0"/>
      <w:marTop w:val="0"/>
      <w:marBottom w:val="0"/>
      <w:divBdr>
        <w:top w:val="none" w:sz="0" w:space="0" w:color="auto"/>
        <w:left w:val="none" w:sz="0" w:space="0" w:color="auto"/>
        <w:bottom w:val="none" w:sz="0" w:space="0" w:color="auto"/>
        <w:right w:val="none" w:sz="0" w:space="0" w:color="auto"/>
      </w:divBdr>
    </w:div>
    <w:div w:id="1241870287">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394157505">
      <w:bodyDiv w:val="1"/>
      <w:marLeft w:val="30"/>
      <w:marRight w:val="30"/>
      <w:marTop w:val="0"/>
      <w:marBottom w:val="0"/>
      <w:divBdr>
        <w:top w:val="none" w:sz="0" w:space="0" w:color="auto"/>
        <w:left w:val="none" w:sz="0" w:space="0" w:color="auto"/>
        <w:bottom w:val="none" w:sz="0" w:space="0" w:color="auto"/>
        <w:right w:val="none" w:sz="0" w:space="0" w:color="auto"/>
      </w:divBdr>
      <w:divsChild>
        <w:div w:id="829906142">
          <w:marLeft w:val="0"/>
          <w:marRight w:val="0"/>
          <w:marTop w:val="0"/>
          <w:marBottom w:val="0"/>
          <w:divBdr>
            <w:top w:val="none" w:sz="0" w:space="0" w:color="auto"/>
            <w:left w:val="none" w:sz="0" w:space="0" w:color="auto"/>
            <w:bottom w:val="none" w:sz="0" w:space="0" w:color="auto"/>
            <w:right w:val="none" w:sz="0" w:space="0" w:color="auto"/>
          </w:divBdr>
          <w:divsChild>
            <w:div w:id="2076706731">
              <w:marLeft w:val="0"/>
              <w:marRight w:val="0"/>
              <w:marTop w:val="0"/>
              <w:marBottom w:val="0"/>
              <w:divBdr>
                <w:top w:val="none" w:sz="0" w:space="0" w:color="auto"/>
                <w:left w:val="none" w:sz="0" w:space="0" w:color="auto"/>
                <w:bottom w:val="none" w:sz="0" w:space="0" w:color="auto"/>
                <w:right w:val="none" w:sz="0" w:space="0" w:color="auto"/>
              </w:divBdr>
              <w:divsChild>
                <w:div w:id="537623510">
                  <w:marLeft w:val="180"/>
                  <w:marRight w:val="0"/>
                  <w:marTop w:val="0"/>
                  <w:marBottom w:val="0"/>
                  <w:divBdr>
                    <w:top w:val="none" w:sz="0" w:space="0" w:color="auto"/>
                    <w:left w:val="none" w:sz="0" w:space="0" w:color="auto"/>
                    <w:bottom w:val="none" w:sz="0" w:space="0" w:color="auto"/>
                    <w:right w:val="none" w:sz="0" w:space="0" w:color="auto"/>
                  </w:divBdr>
                  <w:divsChild>
                    <w:div w:id="2488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95141324">
      <w:bodyDiv w:val="1"/>
      <w:marLeft w:val="0"/>
      <w:marRight w:val="0"/>
      <w:marTop w:val="0"/>
      <w:marBottom w:val="0"/>
      <w:divBdr>
        <w:top w:val="none" w:sz="0" w:space="0" w:color="auto"/>
        <w:left w:val="none" w:sz="0" w:space="0" w:color="auto"/>
        <w:bottom w:val="none" w:sz="0" w:space="0" w:color="auto"/>
        <w:right w:val="none" w:sz="0" w:space="0" w:color="auto"/>
      </w:divBdr>
    </w:div>
    <w:div w:id="1521969979">
      <w:bodyDiv w:val="1"/>
      <w:marLeft w:val="0"/>
      <w:marRight w:val="0"/>
      <w:marTop w:val="0"/>
      <w:marBottom w:val="0"/>
      <w:divBdr>
        <w:top w:val="none" w:sz="0" w:space="0" w:color="auto"/>
        <w:left w:val="none" w:sz="0" w:space="0" w:color="auto"/>
        <w:bottom w:val="none" w:sz="0" w:space="0" w:color="auto"/>
        <w:right w:val="none" w:sz="0" w:space="0" w:color="auto"/>
      </w:divBdr>
    </w:div>
    <w:div w:id="1546406704">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611820335">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22944796">
      <w:bodyDiv w:val="1"/>
      <w:marLeft w:val="0"/>
      <w:marRight w:val="0"/>
      <w:marTop w:val="0"/>
      <w:marBottom w:val="0"/>
      <w:divBdr>
        <w:top w:val="none" w:sz="0" w:space="0" w:color="auto"/>
        <w:left w:val="none" w:sz="0" w:space="0" w:color="auto"/>
        <w:bottom w:val="none" w:sz="0" w:space="0" w:color="auto"/>
        <w:right w:val="none" w:sz="0" w:space="0" w:color="auto"/>
      </w:divBdr>
    </w:div>
    <w:div w:id="1768574640">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04882046">
      <w:bodyDiv w:val="1"/>
      <w:marLeft w:val="0"/>
      <w:marRight w:val="0"/>
      <w:marTop w:val="0"/>
      <w:marBottom w:val="0"/>
      <w:divBdr>
        <w:top w:val="none" w:sz="0" w:space="0" w:color="auto"/>
        <w:left w:val="none" w:sz="0" w:space="0" w:color="auto"/>
        <w:bottom w:val="none" w:sz="0" w:space="0" w:color="auto"/>
        <w:right w:val="none" w:sz="0" w:space="0" w:color="auto"/>
      </w:divBdr>
    </w:div>
    <w:div w:id="1809011044">
      <w:bodyDiv w:val="1"/>
      <w:marLeft w:val="0"/>
      <w:marRight w:val="0"/>
      <w:marTop w:val="0"/>
      <w:marBottom w:val="0"/>
      <w:divBdr>
        <w:top w:val="none" w:sz="0" w:space="0" w:color="auto"/>
        <w:left w:val="none" w:sz="0" w:space="0" w:color="auto"/>
        <w:bottom w:val="none" w:sz="0" w:space="0" w:color="auto"/>
        <w:right w:val="none" w:sz="0" w:space="0" w:color="auto"/>
      </w:divBdr>
    </w:div>
    <w:div w:id="1829127317">
      <w:bodyDiv w:val="1"/>
      <w:marLeft w:val="0"/>
      <w:marRight w:val="0"/>
      <w:marTop w:val="0"/>
      <w:marBottom w:val="0"/>
      <w:divBdr>
        <w:top w:val="none" w:sz="0" w:space="0" w:color="auto"/>
        <w:left w:val="none" w:sz="0" w:space="0" w:color="auto"/>
        <w:bottom w:val="none" w:sz="0" w:space="0" w:color="auto"/>
        <w:right w:val="none" w:sz="0" w:space="0" w:color="auto"/>
      </w:divBdr>
    </w:div>
    <w:div w:id="1839270799">
      <w:bodyDiv w:val="1"/>
      <w:marLeft w:val="0"/>
      <w:marRight w:val="0"/>
      <w:marTop w:val="0"/>
      <w:marBottom w:val="0"/>
      <w:divBdr>
        <w:top w:val="none" w:sz="0" w:space="0" w:color="auto"/>
        <w:left w:val="none" w:sz="0" w:space="0" w:color="auto"/>
        <w:bottom w:val="none" w:sz="0" w:space="0" w:color="auto"/>
        <w:right w:val="none" w:sz="0" w:space="0" w:color="auto"/>
      </w:divBdr>
    </w:div>
    <w:div w:id="1884436805">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89285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71400745">
      <w:bodyDiv w:val="1"/>
      <w:marLeft w:val="0"/>
      <w:marRight w:val="0"/>
      <w:marTop w:val="0"/>
      <w:marBottom w:val="0"/>
      <w:divBdr>
        <w:top w:val="none" w:sz="0" w:space="0" w:color="auto"/>
        <w:left w:val="none" w:sz="0" w:space="0" w:color="auto"/>
        <w:bottom w:val="none" w:sz="0" w:space="0" w:color="auto"/>
        <w:right w:val="none" w:sz="0" w:space="0" w:color="auto"/>
      </w:divBdr>
    </w:div>
    <w:div w:id="1978336924">
      <w:bodyDiv w:val="1"/>
      <w:marLeft w:val="30"/>
      <w:marRight w:val="30"/>
      <w:marTop w:val="0"/>
      <w:marBottom w:val="0"/>
      <w:divBdr>
        <w:top w:val="none" w:sz="0" w:space="0" w:color="auto"/>
        <w:left w:val="none" w:sz="0" w:space="0" w:color="auto"/>
        <w:bottom w:val="none" w:sz="0" w:space="0" w:color="auto"/>
        <w:right w:val="none" w:sz="0" w:space="0" w:color="auto"/>
      </w:divBdr>
      <w:divsChild>
        <w:div w:id="373431204">
          <w:marLeft w:val="0"/>
          <w:marRight w:val="0"/>
          <w:marTop w:val="0"/>
          <w:marBottom w:val="0"/>
          <w:divBdr>
            <w:top w:val="none" w:sz="0" w:space="0" w:color="auto"/>
            <w:left w:val="none" w:sz="0" w:space="0" w:color="auto"/>
            <w:bottom w:val="none" w:sz="0" w:space="0" w:color="auto"/>
            <w:right w:val="none" w:sz="0" w:space="0" w:color="auto"/>
          </w:divBdr>
          <w:divsChild>
            <w:div w:id="616251807">
              <w:marLeft w:val="0"/>
              <w:marRight w:val="0"/>
              <w:marTop w:val="0"/>
              <w:marBottom w:val="0"/>
              <w:divBdr>
                <w:top w:val="none" w:sz="0" w:space="0" w:color="auto"/>
                <w:left w:val="none" w:sz="0" w:space="0" w:color="auto"/>
                <w:bottom w:val="none" w:sz="0" w:space="0" w:color="auto"/>
                <w:right w:val="none" w:sz="0" w:space="0" w:color="auto"/>
              </w:divBdr>
              <w:divsChild>
                <w:div w:id="861091678">
                  <w:marLeft w:val="180"/>
                  <w:marRight w:val="0"/>
                  <w:marTop w:val="0"/>
                  <w:marBottom w:val="0"/>
                  <w:divBdr>
                    <w:top w:val="none" w:sz="0" w:space="0" w:color="auto"/>
                    <w:left w:val="none" w:sz="0" w:space="0" w:color="auto"/>
                    <w:bottom w:val="none" w:sz="0" w:space="0" w:color="auto"/>
                    <w:right w:val="none" w:sz="0" w:space="0" w:color="auto"/>
                  </w:divBdr>
                  <w:divsChild>
                    <w:div w:id="141597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271775">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5.png"/><Relationship Id="rId21" Type="http://schemas.openxmlformats.org/officeDocument/2006/relationships/image" Target="media/image9.png"/><Relationship Id="rId42" Type="http://schemas.openxmlformats.org/officeDocument/2006/relationships/image" Target="media/image25.png"/><Relationship Id="rId63" Type="http://schemas.openxmlformats.org/officeDocument/2006/relationships/image" Target="media/image43.png"/><Relationship Id="rId84" Type="http://schemas.openxmlformats.org/officeDocument/2006/relationships/hyperlink" Target="#_Enter_Daily_QC_Results"/><Relationship Id="rId138" Type="http://schemas.openxmlformats.org/officeDocument/2006/relationships/image" Target="media/image96.png"/><Relationship Id="rId159" Type="http://schemas.openxmlformats.org/officeDocument/2006/relationships/image" Target="media/image117.png"/><Relationship Id="rId170" Type="http://schemas.openxmlformats.org/officeDocument/2006/relationships/image" Target="media/image127.png"/><Relationship Id="rId191" Type="http://schemas.openxmlformats.org/officeDocument/2006/relationships/image" Target="media/image147.png"/><Relationship Id="rId205" Type="http://schemas.openxmlformats.org/officeDocument/2006/relationships/image" Target="media/image160.png"/><Relationship Id="rId226" Type="http://schemas.openxmlformats.org/officeDocument/2006/relationships/image" Target="media/image180.jpeg"/><Relationship Id="rId247" Type="http://schemas.openxmlformats.org/officeDocument/2006/relationships/image" Target="media/image194.emf"/><Relationship Id="rId107" Type="http://schemas.openxmlformats.org/officeDocument/2006/relationships/image" Target="media/image71.png"/><Relationship Id="rId268" Type="http://schemas.openxmlformats.org/officeDocument/2006/relationships/oleObject" Target="embeddings/oleObject16.bin"/><Relationship Id="rId11" Type="http://schemas.openxmlformats.org/officeDocument/2006/relationships/footer" Target="footer1.xml"/><Relationship Id="rId32" Type="http://schemas.openxmlformats.org/officeDocument/2006/relationships/image" Target="media/image17.png"/><Relationship Id="rId53" Type="http://schemas.openxmlformats.org/officeDocument/2006/relationships/image" Target="media/image36.png"/><Relationship Id="rId74" Type="http://schemas.openxmlformats.org/officeDocument/2006/relationships/oleObject" Target="embeddings/oleObject3.bin"/><Relationship Id="rId128" Type="http://schemas.openxmlformats.org/officeDocument/2006/relationships/image" Target="media/image86.png"/><Relationship Id="rId149" Type="http://schemas.openxmlformats.org/officeDocument/2006/relationships/image" Target="media/image107.png"/><Relationship Id="rId5" Type="http://schemas.openxmlformats.org/officeDocument/2006/relationships/settings" Target="settings.xml"/><Relationship Id="rId95" Type="http://schemas.openxmlformats.org/officeDocument/2006/relationships/image" Target="media/image64.png"/><Relationship Id="rId160" Type="http://schemas.openxmlformats.org/officeDocument/2006/relationships/image" Target="media/image118.png"/><Relationship Id="rId181" Type="http://schemas.openxmlformats.org/officeDocument/2006/relationships/image" Target="media/image138.png"/><Relationship Id="rId216" Type="http://schemas.openxmlformats.org/officeDocument/2006/relationships/image" Target="media/image170.png"/><Relationship Id="rId237" Type="http://schemas.openxmlformats.org/officeDocument/2006/relationships/image" Target="media/image190.png"/><Relationship Id="rId258" Type="http://schemas.openxmlformats.org/officeDocument/2006/relationships/oleObject" Target="embeddings/oleObject12.bin"/><Relationship Id="rId279" Type="http://schemas.openxmlformats.org/officeDocument/2006/relationships/theme" Target="theme/theme1.xml"/><Relationship Id="rId22" Type="http://schemas.openxmlformats.org/officeDocument/2006/relationships/hyperlink" Target="http://www.foia.va.gov/FOIA_Offices.asp" TargetMode="External"/><Relationship Id="rId43" Type="http://schemas.openxmlformats.org/officeDocument/2006/relationships/image" Target="media/image26.png"/><Relationship Id="rId64" Type="http://schemas.openxmlformats.org/officeDocument/2006/relationships/image" Target="file:///C:\Users\VHAISHBlaloD\Downloads\VBECS_2_3_2_Admin_User_Guide_files\VBECS_2_3_2_Admin_User_Guide_files\image011.png" TargetMode="External"/><Relationship Id="rId118" Type="http://schemas.openxmlformats.org/officeDocument/2006/relationships/image" Target="media/image76.png"/><Relationship Id="rId139" Type="http://schemas.openxmlformats.org/officeDocument/2006/relationships/image" Target="media/image97.png"/><Relationship Id="rId85" Type="http://schemas.openxmlformats.org/officeDocument/2006/relationships/image" Target="media/image59.png"/><Relationship Id="rId150" Type="http://schemas.openxmlformats.org/officeDocument/2006/relationships/image" Target="media/image108.png"/><Relationship Id="rId171" Type="http://schemas.openxmlformats.org/officeDocument/2006/relationships/image" Target="media/image128.png"/><Relationship Id="rId192" Type="http://schemas.openxmlformats.org/officeDocument/2006/relationships/image" Target="media/image148.png"/><Relationship Id="rId206" Type="http://schemas.openxmlformats.org/officeDocument/2006/relationships/image" Target="media/image161.png"/><Relationship Id="rId227" Type="http://schemas.openxmlformats.org/officeDocument/2006/relationships/image" Target="cid:image001.jpg@01CFF8D3.98CB1E30" TargetMode="External"/><Relationship Id="rId248" Type="http://schemas.openxmlformats.org/officeDocument/2006/relationships/oleObject" Target="embeddings/oleObject8.bin"/><Relationship Id="rId269" Type="http://schemas.openxmlformats.org/officeDocument/2006/relationships/image" Target="media/image203.emf"/><Relationship Id="rId12" Type="http://schemas.openxmlformats.org/officeDocument/2006/relationships/footer" Target="footer2.xml"/><Relationship Id="rId33" Type="http://schemas.openxmlformats.org/officeDocument/2006/relationships/header" Target="header2.xml"/><Relationship Id="rId108" Type="http://schemas.openxmlformats.org/officeDocument/2006/relationships/hyperlink" Target="#_Blood_Availability_UC_49"/><Relationship Id="rId129" Type="http://schemas.openxmlformats.org/officeDocument/2006/relationships/image" Target="media/image87.png"/><Relationship Id="rId54" Type="http://schemas.openxmlformats.org/officeDocument/2006/relationships/hyperlink" Target="https://www.va.gov/vdl/application.asp?appid=182" TargetMode="External"/><Relationship Id="rId75" Type="http://schemas.openxmlformats.org/officeDocument/2006/relationships/image" Target="media/image52.png"/><Relationship Id="rId96" Type="http://schemas.openxmlformats.org/officeDocument/2006/relationships/hyperlink" Target="#_Maintain_Specimen_1"/><Relationship Id="rId140" Type="http://schemas.openxmlformats.org/officeDocument/2006/relationships/image" Target="media/image98.png"/><Relationship Id="rId161" Type="http://schemas.openxmlformats.org/officeDocument/2006/relationships/image" Target="media/image119.png"/><Relationship Id="rId182" Type="http://schemas.openxmlformats.org/officeDocument/2006/relationships/image" Target="media/image139.png"/><Relationship Id="rId217" Type="http://schemas.openxmlformats.org/officeDocument/2006/relationships/image" Target="media/image171.png"/><Relationship Id="rId6" Type="http://schemas.openxmlformats.org/officeDocument/2006/relationships/webSettings" Target="webSettings.xml"/><Relationship Id="rId238" Type="http://schemas.openxmlformats.org/officeDocument/2006/relationships/footer" Target="footer7.xml"/><Relationship Id="rId259" Type="http://schemas.openxmlformats.org/officeDocument/2006/relationships/footer" Target="footer10.xml"/><Relationship Id="rId23" Type="http://schemas.openxmlformats.org/officeDocument/2006/relationships/image" Target="media/image10.png"/><Relationship Id="rId119" Type="http://schemas.openxmlformats.org/officeDocument/2006/relationships/image" Target="media/image77.png"/><Relationship Id="rId270" Type="http://schemas.openxmlformats.org/officeDocument/2006/relationships/oleObject" Target="embeddings/oleObject17.bin"/><Relationship Id="rId44" Type="http://schemas.openxmlformats.org/officeDocument/2006/relationships/image" Target="media/image27.png"/><Relationship Id="rId65" Type="http://schemas.openxmlformats.org/officeDocument/2006/relationships/image" Target="media/image44.png"/><Relationship Id="rId86" Type="http://schemas.openxmlformats.org/officeDocument/2006/relationships/hyperlink" Target="#_Incoming_Shipment"/><Relationship Id="rId130" Type="http://schemas.openxmlformats.org/officeDocument/2006/relationships/image" Target="media/image88.png"/><Relationship Id="rId151" Type="http://schemas.openxmlformats.org/officeDocument/2006/relationships/image" Target="media/image109.png"/><Relationship Id="rId172" Type="http://schemas.openxmlformats.org/officeDocument/2006/relationships/image" Target="media/image129.png"/><Relationship Id="rId193" Type="http://schemas.openxmlformats.org/officeDocument/2006/relationships/image" Target="media/image149.png"/><Relationship Id="rId202" Type="http://schemas.openxmlformats.org/officeDocument/2006/relationships/image" Target="media/image157.png"/><Relationship Id="rId207" Type="http://schemas.openxmlformats.org/officeDocument/2006/relationships/image" Target="media/image162.png"/><Relationship Id="rId223" Type="http://schemas.openxmlformats.org/officeDocument/2006/relationships/image" Target="media/image177.png"/><Relationship Id="rId228" Type="http://schemas.openxmlformats.org/officeDocument/2006/relationships/image" Target="media/image181.png"/><Relationship Id="rId244" Type="http://schemas.openxmlformats.org/officeDocument/2006/relationships/footer" Target="footer9.xml"/><Relationship Id="rId249" Type="http://schemas.openxmlformats.org/officeDocument/2006/relationships/hyperlink" Target="https://www.va.gov/vdl/application.asp?appid=182" TargetMode="External"/><Relationship Id="rId13" Type="http://schemas.openxmlformats.org/officeDocument/2006/relationships/footer" Target="footer3.xml"/><Relationship Id="rId18" Type="http://schemas.openxmlformats.org/officeDocument/2006/relationships/image" Target="media/image7.png"/><Relationship Id="rId39" Type="http://schemas.openxmlformats.org/officeDocument/2006/relationships/image" Target="media/image22.png"/><Relationship Id="rId109" Type="http://schemas.openxmlformats.org/officeDocument/2006/relationships/image" Target="media/image72.png"/><Relationship Id="rId260" Type="http://schemas.openxmlformats.org/officeDocument/2006/relationships/image" Target="media/image199.emf"/><Relationship Id="rId265" Type="http://schemas.openxmlformats.org/officeDocument/2006/relationships/oleObject" Target="embeddings/oleObject15.bin"/><Relationship Id="rId34" Type="http://schemas.openxmlformats.org/officeDocument/2006/relationships/footer" Target="footer6.xml"/><Relationship Id="rId50" Type="http://schemas.openxmlformats.org/officeDocument/2006/relationships/image" Target="media/image33.png"/><Relationship Id="rId55" Type="http://schemas.openxmlformats.org/officeDocument/2006/relationships/image" Target="media/image37.png"/><Relationship Id="rId76" Type="http://schemas.openxmlformats.org/officeDocument/2006/relationships/image" Target="media/image53.png"/><Relationship Id="rId97" Type="http://schemas.openxmlformats.org/officeDocument/2006/relationships/image" Target="media/image65.png"/><Relationship Id="rId104" Type="http://schemas.openxmlformats.org/officeDocument/2006/relationships/hyperlink" Target="#_Issue_Blood_Components"/><Relationship Id="rId120" Type="http://schemas.openxmlformats.org/officeDocument/2006/relationships/image" Target="media/image78.png"/><Relationship Id="rId125" Type="http://schemas.openxmlformats.org/officeDocument/2006/relationships/image" Target="media/image83.png"/><Relationship Id="rId141" Type="http://schemas.openxmlformats.org/officeDocument/2006/relationships/image" Target="media/image99.png"/><Relationship Id="rId146" Type="http://schemas.openxmlformats.org/officeDocument/2006/relationships/image" Target="media/image104.png"/><Relationship Id="rId167" Type="http://schemas.openxmlformats.org/officeDocument/2006/relationships/image" Target="media/image125.png"/><Relationship Id="rId188" Type="http://schemas.openxmlformats.org/officeDocument/2006/relationships/image" Target="media/image145.png"/><Relationship Id="rId7" Type="http://schemas.openxmlformats.org/officeDocument/2006/relationships/footnotes" Target="footnotes.xml"/><Relationship Id="rId71" Type="http://schemas.openxmlformats.org/officeDocument/2006/relationships/image" Target="media/image49.emf"/><Relationship Id="rId92" Type="http://schemas.openxmlformats.org/officeDocument/2006/relationships/hyperlink" Target="#_Unit_Antigen_Typing"/><Relationship Id="rId162" Type="http://schemas.openxmlformats.org/officeDocument/2006/relationships/image" Target="media/image120.png"/><Relationship Id="rId183" Type="http://schemas.openxmlformats.org/officeDocument/2006/relationships/image" Target="media/image140.png"/><Relationship Id="rId213" Type="http://schemas.openxmlformats.org/officeDocument/2006/relationships/image" Target="media/image167.png"/><Relationship Id="rId218" Type="http://schemas.openxmlformats.org/officeDocument/2006/relationships/image" Target="media/image172.png"/><Relationship Id="rId234" Type="http://schemas.openxmlformats.org/officeDocument/2006/relationships/image" Target="media/image187.png"/><Relationship Id="rId239" Type="http://schemas.openxmlformats.org/officeDocument/2006/relationships/footer" Target="footer8.xml"/><Relationship Id="rId2" Type="http://schemas.openxmlformats.org/officeDocument/2006/relationships/customXml" Target="../customXml/item1.xml"/><Relationship Id="rId29" Type="http://schemas.openxmlformats.org/officeDocument/2006/relationships/image" Target="media/image15.png"/><Relationship Id="rId250" Type="http://schemas.openxmlformats.org/officeDocument/2006/relationships/header" Target="header5.xml"/><Relationship Id="rId255" Type="http://schemas.openxmlformats.org/officeDocument/2006/relationships/image" Target="media/image197.emf"/><Relationship Id="rId271" Type="http://schemas.openxmlformats.org/officeDocument/2006/relationships/image" Target="media/image204.emf"/><Relationship Id="rId276" Type="http://schemas.openxmlformats.org/officeDocument/2006/relationships/header" Target="header6.xml"/><Relationship Id="rId24" Type="http://schemas.openxmlformats.org/officeDocument/2006/relationships/image" Target="media/image11.emf"/><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5.png"/><Relationship Id="rId87" Type="http://schemas.openxmlformats.org/officeDocument/2006/relationships/image" Target="media/image60.png"/><Relationship Id="rId110" Type="http://schemas.openxmlformats.org/officeDocument/2006/relationships/hyperlink" Target="#_Medication_Profile_UC_46"/><Relationship Id="rId115" Type="http://schemas.openxmlformats.org/officeDocument/2006/relationships/image" Target="media/image73.png"/><Relationship Id="rId131" Type="http://schemas.openxmlformats.org/officeDocument/2006/relationships/image" Target="media/image89.png"/><Relationship Id="rId136" Type="http://schemas.openxmlformats.org/officeDocument/2006/relationships/image" Target="media/image94.png"/><Relationship Id="rId157" Type="http://schemas.openxmlformats.org/officeDocument/2006/relationships/image" Target="media/image115.png"/><Relationship Id="rId178" Type="http://schemas.openxmlformats.org/officeDocument/2006/relationships/image" Target="media/image135.png"/><Relationship Id="rId61" Type="http://schemas.openxmlformats.org/officeDocument/2006/relationships/image" Target="media/image42.png"/><Relationship Id="rId82" Type="http://schemas.openxmlformats.org/officeDocument/2006/relationships/hyperlink" Target="#_Log_In_Reagents,_Update Inventory, "/><Relationship Id="rId152" Type="http://schemas.openxmlformats.org/officeDocument/2006/relationships/image" Target="media/image110.png"/><Relationship Id="rId173" Type="http://schemas.openxmlformats.org/officeDocument/2006/relationships/image" Target="media/image130.png"/><Relationship Id="rId194" Type="http://schemas.openxmlformats.org/officeDocument/2006/relationships/image" Target="media/image150.png"/><Relationship Id="rId199" Type="http://schemas.openxmlformats.org/officeDocument/2006/relationships/image" Target="media/image154.png"/><Relationship Id="rId203" Type="http://schemas.openxmlformats.org/officeDocument/2006/relationships/image" Target="media/image158.png"/><Relationship Id="rId208" Type="http://schemas.openxmlformats.org/officeDocument/2006/relationships/image" Target="media/image163.png"/><Relationship Id="rId229" Type="http://schemas.openxmlformats.org/officeDocument/2006/relationships/image" Target="media/image182.png"/><Relationship Id="rId19" Type="http://schemas.openxmlformats.org/officeDocument/2006/relationships/image" Target="media/image8.png"/><Relationship Id="rId224" Type="http://schemas.openxmlformats.org/officeDocument/2006/relationships/image" Target="media/image178.png"/><Relationship Id="rId240" Type="http://schemas.openxmlformats.org/officeDocument/2006/relationships/image" Target="media/image191.emf"/><Relationship Id="rId245" Type="http://schemas.openxmlformats.org/officeDocument/2006/relationships/image" Target="media/image193.emf"/><Relationship Id="rId261" Type="http://schemas.openxmlformats.org/officeDocument/2006/relationships/oleObject" Target="embeddings/oleObject13.bin"/><Relationship Id="rId266" Type="http://schemas.openxmlformats.org/officeDocument/2006/relationships/footer" Target="footer11.xml"/><Relationship Id="rId14" Type="http://schemas.openxmlformats.org/officeDocument/2006/relationships/image" Target="media/image3.png"/><Relationship Id="rId30" Type="http://schemas.openxmlformats.org/officeDocument/2006/relationships/footer" Target="footer5.xml"/><Relationship Id="rId35" Type="http://schemas.openxmlformats.org/officeDocument/2006/relationships/image" Target="media/image18.png"/><Relationship Id="rId56" Type="http://schemas.openxmlformats.org/officeDocument/2006/relationships/image" Target="media/image38.png"/><Relationship Id="rId77" Type="http://schemas.openxmlformats.org/officeDocument/2006/relationships/image" Target="media/image54.png"/><Relationship Id="rId100" Type="http://schemas.openxmlformats.org/officeDocument/2006/relationships/image" Target="media/image67.png"/><Relationship Id="rId105" Type="http://schemas.openxmlformats.org/officeDocument/2006/relationships/image" Target="media/image70.png"/><Relationship Id="rId126" Type="http://schemas.openxmlformats.org/officeDocument/2006/relationships/image" Target="media/image84.png"/><Relationship Id="rId147" Type="http://schemas.openxmlformats.org/officeDocument/2006/relationships/image" Target="media/image105.png"/><Relationship Id="rId168"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image" Target="media/image34.png"/><Relationship Id="rId72" Type="http://schemas.openxmlformats.org/officeDocument/2006/relationships/image" Target="media/image50.emf"/><Relationship Id="rId93" Type="http://schemas.openxmlformats.org/officeDocument/2006/relationships/image" Target="media/image63.png"/><Relationship Id="rId98" Type="http://schemas.openxmlformats.org/officeDocument/2006/relationships/hyperlink" Target="#_Patient_Testing:_Record_1"/><Relationship Id="rId121" Type="http://schemas.openxmlformats.org/officeDocument/2006/relationships/image" Target="media/image79.png"/><Relationship Id="rId142" Type="http://schemas.openxmlformats.org/officeDocument/2006/relationships/image" Target="media/image100.png"/><Relationship Id="rId163" Type="http://schemas.openxmlformats.org/officeDocument/2006/relationships/image" Target="media/image121.png"/><Relationship Id="rId184" Type="http://schemas.openxmlformats.org/officeDocument/2006/relationships/image" Target="media/image141.png"/><Relationship Id="rId189" Type="http://schemas.openxmlformats.org/officeDocument/2006/relationships/image" Target="media/image146.emf"/><Relationship Id="rId219" Type="http://schemas.openxmlformats.org/officeDocument/2006/relationships/image" Target="media/image173.png"/><Relationship Id="rId3" Type="http://schemas.openxmlformats.org/officeDocument/2006/relationships/numbering" Target="numbering.xml"/><Relationship Id="rId214" Type="http://schemas.openxmlformats.org/officeDocument/2006/relationships/image" Target="media/image168.png"/><Relationship Id="rId230" Type="http://schemas.openxmlformats.org/officeDocument/2006/relationships/image" Target="media/image183.png"/><Relationship Id="rId235" Type="http://schemas.openxmlformats.org/officeDocument/2006/relationships/image" Target="media/image188.png"/><Relationship Id="rId251" Type="http://schemas.openxmlformats.org/officeDocument/2006/relationships/image" Target="media/image195.emf"/><Relationship Id="rId256" Type="http://schemas.openxmlformats.org/officeDocument/2006/relationships/oleObject" Target="embeddings/oleObject11.bin"/><Relationship Id="rId277" Type="http://schemas.openxmlformats.org/officeDocument/2006/relationships/fontTable" Target="fontTable.xml"/><Relationship Id="rId25" Type="http://schemas.openxmlformats.org/officeDocument/2006/relationships/oleObject" Target="embeddings/oleObject1.bin"/><Relationship Id="rId46" Type="http://schemas.openxmlformats.org/officeDocument/2006/relationships/image" Target="media/image29.png"/><Relationship Id="rId67" Type="http://schemas.openxmlformats.org/officeDocument/2006/relationships/image" Target="media/image46.png"/><Relationship Id="rId116" Type="http://schemas.openxmlformats.org/officeDocument/2006/relationships/image" Target="media/image74.png"/><Relationship Id="rId137" Type="http://schemas.openxmlformats.org/officeDocument/2006/relationships/image" Target="media/image95.png"/><Relationship Id="rId158" Type="http://schemas.openxmlformats.org/officeDocument/2006/relationships/image" Target="media/image116.png"/><Relationship Id="rId272" Type="http://schemas.openxmlformats.org/officeDocument/2006/relationships/oleObject" Target="embeddings/oleObject18.bin"/><Relationship Id="rId20" Type="http://schemas.openxmlformats.org/officeDocument/2006/relationships/footer" Target="footer4.xml"/><Relationship Id="rId41" Type="http://schemas.openxmlformats.org/officeDocument/2006/relationships/image" Target="media/image24.png"/><Relationship Id="rId62" Type="http://schemas.openxmlformats.org/officeDocument/2006/relationships/image" Target="file:///C:\Users\VHAISHBlaloD\Downloads\VBECS_2_3_2_Admin_User_Guide_files\VBECS_2_3_2_Admin_User_Guide_files\image010.png" TargetMode="External"/><Relationship Id="rId83" Type="http://schemas.openxmlformats.org/officeDocument/2006/relationships/image" Target="media/image58.png"/><Relationship Id="rId88" Type="http://schemas.openxmlformats.org/officeDocument/2006/relationships/hyperlink" Target="#_ABO/Rh_Confirmation"/><Relationship Id="rId111" Type="http://schemas.openxmlformats.org/officeDocument/2006/relationships/hyperlink" Target="#_Patient_Information_Toolbar:_Recent"/><Relationship Id="rId132" Type="http://schemas.openxmlformats.org/officeDocument/2006/relationships/image" Target="media/image90.png"/><Relationship Id="rId153" Type="http://schemas.openxmlformats.org/officeDocument/2006/relationships/image" Target="media/image111.png"/><Relationship Id="rId174" Type="http://schemas.openxmlformats.org/officeDocument/2006/relationships/image" Target="media/image131.png"/><Relationship Id="rId179" Type="http://schemas.openxmlformats.org/officeDocument/2006/relationships/image" Target="media/image136.png"/><Relationship Id="rId195" Type="http://schemas.openxmlformats.org/officeDocument/2006/relationships/image" Target="media/image151.png"/><Relationship Id="rId209" Type="http://schemas.openxmlformats.org/officeDocument/2006/relationships/image" Target="media/image164.png"/><Relationship Id="rId190" Type="http://schemas.openxmlformats.org/officeDocument/2006/relationships/oleObject" Target="embeddings/oleObject4.bin"/><Relationship Id="rId204" Type="http://schemas.openxmlformats.org/officeDocument/2006/relationships/image" Target="media/image159.png"/><Relationship Id="rId220" Type="http://schemas.openxmlformats.org/officeDocument/2006/relationships/image" Target="media/image174.png"/><Relationship Id="rId225" Type="http://schemas.openxmlformats.org/officeDocument/2006/relationships/image" Target="media/image179.png"/><Relationship Id="rId241" Type="http://schemas.openxmlformats.org/officeDocument/2006/relationships/oleObject" Target="embeddings/oleObject5.bin"/><Relationship Id="rId246" Type="http://schemas.openxmlformats.org/officeDocument/2006/relationships/oleObject" Target="embeddings/oleObject7.bin"/><Relationship Id="rId267" Type="http://schemas.openxmlformats.org/officeDocument/2006/relationships/image" Target="media/image202.emf"/><Relationship Id="rId15" Type="http://schemas.openxmlformats.org/officeDocument/2006/relationships/image" Target="media/image4.png"/><Relationship Id="rId36" Type="http://schemas.openxmlformats.org/officeDocument/2006/relationships/image" Target="media/image19.png"/><Relationship Id="rId57" Type="http://schemas.openxmlformats.org/officeDocument/2006/relationships/image" Target="cid:image002.png@01D58EFC.39207970" TargetMode="External"/><Relationship Id="rId106" Type="http://schemas.openxmlformats.org/officeDocument/2006/relationships/hyperlink" Target="#_Post-Transfusion_Information"/><Relationship Id="rId127" Type="http://schemas.openxmlformats.org/officeDocument/2006/relationships/image" Target="media/image85.png"/><Relationship Id="rId262" Type="http://schemas.openxmlformats.org/officeDocument/2006/relationships/image" Target="media/image200.emf"/><Relationship Id="rId10" Type="http://schemas.openxmlformats.org/officeDocument/2006/relationships/header" Target="header1.xml"/><Relationship Id="rId31" Type="http://schemas.openxmlformats.org/officeDocument/2006/relationships/image" Target="media/image16.png"/><Relationship Id="rId52" Type="http://schemas.openxmlformats.org/officeDocument/2006/relationships/image" Target="media/image35.png"/><Relationship Id="rId73" Type="http://schemas.openxmlformats.org/officeDocument/2006/relationships/image" Target="media/image51.emf"/><Relationship Id="rId78" Type="http://schemas.openxmlformats.org/officeDocument/2006/relationships/image" Target="media/image55.png"/><Relationship Id="rId94" Type="http://schemas.openxmlformats.org/officeDocument/2006/relationships/hyperlink" Target="#_Accept_Orders:_Accept"/><Relationship Id="rId99" Type="http://schemas.openxmlformats.org/officeDocument/2006/relationships/image" Target="media/image66.png"/><Relationship Id="rId101" Type="http://schemas.openxmlformats.org/officeDocument/2006/relationships/image" Target="media/image68.png"/><Relationship Id="rId122" Type="http://schemas.openxmlformats.org/officeDocument/2006/relationships/image" Target="media/image80.png"/><Relationship Id="rId143" Type="http://schemas.openxmlformats.org/officeDocument/2006/relationships/image" Target="media/image101.png"/><Relationship Id="rId148" Type="http://schemas.openxmlformats.org/officeDocument/2006/relationships/image" Target="media/image106.png"/><Relationship Id="rId164" Type="http://schemas.openxmlformats.org/officeDocument/2006/relationships/image" Target="media/image122.png"/><Relationship Id="rId169" Type="http://schemas.openxmlformats.org/officeDocument/2006/relationships/image" Target="media/image126.png"/><Relationship Id="rId185" Type="http://schemas.openxmlformats.org/officeDocument/2006/relationships/image" Target="media/image142.png"/><Relationship Id="rId4" Type="http://schemas.openxmlformats.org/officeDocument/2006/relationships/styles" Target="styles.xml"/><Relationship Id="rId9" Type="http://schemas.openxmlformats.org/officeDocument/2006/relationships/image" Target="media/image2.jpeg"/><Relationship Id="rId180" Type="http://schemas.openxmlformats.org/officeDocument/2006/relationships/image" Target="media/image137.png"/><Relationship Id="rId210" Type="http://schemas.openxmlformats.org/officeDocument/2006/relationships/image" Target="media/image165.png"/><Relationship Id="rId215" Type="http://schemas.openxmlformats.org/officeDocument/2006/relationships/image" Target="media/image169.png"/><Relationship Id="rId236" Type="http://schemas.openxmlformats.org/officeDocument/2006/relationships/image" Target="media/image189.png"/><Relationship Id="rId257" Type="http://schemas.openxmlformats.org/officeDocument/2006/relationships/image" Target="media/image198.emf"/><Relationship Id="rId278" Type="http://schemas.microsoft.com/office/2011/relationships/people" Target="people.xml"/><Relationship Id="rId26" Type="http://schemas.openxmlformats.org/officeDocument/2006/relationships/image" Target="media/image12.jpeg"/><Relationship Id="rId231" Type="http://schemas.openxmlformats.org/officeDocument/2006/relationships/image" Target="media/image184.png"/><Relationship Id="rId252" Type="http://schemas.openxmlformats.org/officeDocument/2006/relationships/oleObject" Target="embeddings/oleObject9.bin"/><Relationship Id="rId273" Type="http://schemas.openxmlformats.org/officeDocument/2006/relationships/footer" Target="footer12.xml"/><Relationship Id="rId47" Type="http://schemas.openxmlformats.org/officeDocument/2006/relationships/image" Target="media/image30.png"/><Relationship Id="rId68" Type="http://schemas.openxmlformats.org/officeDocument/2006/relationships/image" Target="media/image47.png"/><Relationship Id="rId89" Type="http://schemas.openxmlformats.org/officeDocument/2006/relationships/image" Target="media/image61.png"/><Relationship Id="rId112" Type="http://schemas.openxmlformats.org/officeDocument/2006/relationships/hyperlink" Target="#_View_Special_Instructions_and Trans"/><Relationship Id="rId133" Type="http://schemas.openxmlformats.org/officeDocument/2006/relationships/image" Target="media/image91.png"/><Relationship Id="rId154" Type="http://schemas.openxmlformats.org/officeDocument/2006/relationships/image" Target="media/image112.png"/><Relationship Id="rId175" Type="http://schemas.openxmlformats.org/officeDocument/2006/relationships/image" Target="media/image132.png"/><Relationship Id="rId196" Type="http://schemas.openxmlformats.org/officeDocument/2006/relationships/header" Target="header4.xml"/><Relationship Id="rId200" Type="http://schemas.openxmlformats.org/officeDocument/2006/relationships/image" Target="media/image155.png"/><Relationship Id="rId16" Type="http://schemas.openxmlformats.org/officeDocument/2006/relationships/image" Target="media/image5.png"/><Relationship Id="rId221" Type="http://schemas.openxmlformats.org/officeDocument/2006/relationships/image" Target="media/image175.png"/><Relationship Id="rId242" Type="http://schemas.openxmlformats.org/officeDocument/2006/relationships/image" Target="media/image192.wmf"/><Relationship Id="rId263" Type="http://schemas.openxmlformats.org/officeDocument/2006/relationships/oleObject" Target="embeddings/oleObject14.bin"/><Relationship Id="rId37" Type="http://schemas.openxmlformats.org/officeDocument/2006/relationships/image" Target="media/image20.png"/><Relationship Id="rId58" Type="http://schemas.openxmlformats.org/officeDocument/2006/relationships/image" Target="media/image39.png"/><Relationship Id="rId79" Type="http://schemas.openxmlformats.org/officeDocument/2006/relationships/image" Target="media/image56.png"/><Relationship Id="rId102" Type="http://schemas.openxmlformats.org/officeDocument/2006/relationships/hyperlink" Target="#_Select_Units_1"/><Relationship Id="rId123" Type="http://schemas.openxmlformats.org/officeDocument/2006/relationships/image" Target="media/image81.png"/><Relationship Id="rId144" Type="http://schemas.openxmlformats.org/officeDocument/2006/relationships/image" Target="media/image102.png"/><Relationship Id="rId90" Type="http://schemas.openxmlformats.org/officeDocument/2006/relationships/hyperlink" Target="#_Modify_Units"/><Relationship Id="rId165" Type="http://schemas.openxmlformats.org/officeDocument/2006/relationships/image" Target="media/image123.png"/><Relationship Id="rId186" Type="http://schemas.openxmlformats.org/officeDocument/2006/relationships/image" Target="media/image143.png"/><Relationship Id="rId211" Type="http://schemas.openxmlformats.org/officeDocument/2006/relationships/image" Target="media/image166.png"/><Relationship Id="rId232" Type="http://schemas.openxmlformats.org/officeDocument/2006/relationships/image" Target="media/image185.png"/><Relationship Id="rId253" Type="http://schemas.openxmlformats.org/officeDocument/2006/relationships/image" Target="media/image196.emf"/><Relationship Id="rId274" Type="http://schemas.openxmlformats.org/officeDocument/2006/relationships/footer" Target="footer13.xml"/><Relationship Id="rId27" Type="http://schemas.openxmlformats.org/officeDocument/2006/relationships/image" Target="media/image13.png"/><Relationship Id="rId48" Type="http://schemas.openxmlformats.org/officeDocument/2006/relationships/image" Target="media/image31.png"/><Relationship Id="rId69" Type="http://schemas.openxmlformats.org/officeDocument/2006/relationships/oleObject" Target="embeddings/oleObject2.bin"/><Relationship Id="rId113" Type="http://schemas.openxmlformats.org/officeDocument/2006/relationships/hyperlink" Target="#_Patient_Information_Toolbar:_Recent_1"/><Relationship Id="rId134" Type="http://schemas.openxmlformats.org/officeDocument/2006/relationships/image" Target="media/image92.png"/><Relationship Id="rId80" Type="http://schemas.openxmlformats.org/officeDocument/2006/relationships/hyperlink" Target="#_Outgoing_Shipment"/><Relationship Id="rId155" Type="http://schemas.openxmlformats.org/officeDocument/2006/relationships/image" Target="media/image113.png"/><Relationship Id="rId176" Type="http://schemas.openxmlformats.org/officeDocument/2006/relationships/image" Target="media/image133.png"/><Relationship Id="rId197" Type="http://schemas.openxmlformats.org/officeDocument/2006/relationships/image" Target="media/image152.png"/><Relationship Id="rId201" Type="http://schemas.openxmlformats.org/officeDocument/2006/relationships/image" Target="media/image156.png"/><Relationship Id="rId222" Type="http://schemas.openxmlformats.org/officeDocument/2006/relationships/image" Target="media/image176.png"/><Relationship Id="rId243" Type="http://schemas.openxmlformats.org/officeDocument/2006/relationships/oleObject" Target="embeddings/oleObject6.bin"/><Relationship Id="rId264" Type="http://schemas.openxmlformats.org/officeDocument/2006/relationships/image" Target="media/image201.emf"/><Relationship Id="rId17" Type="http://schemas.openxmlformats.org/officeDocument/2006/relationships/image" Target="media/image6.png"/><Relationship Id="rId38" Type="http://schemas.openxmlformats.org/officeDocument/2006/relationships/image" Target="media/image21.png"/><Relationship Id="rId59" Type="http://schemas.openxmlformats.org/officeDocument/2006/relationships/image" Target="media/image40.jpeg"/><Relationship Id="rId103" Type="http://schemas.openxmlformats.org/officeDocument/2006/relationships/image" Target="media/image69.png"/><Relationship Id="rId124" Type="http://schemas.openxmlformats.org/officeDocument/2006/relationships/image" Target="media/image82.png"/><Relationship Id="rId70" Type="http://schemas.openxmlformats.org/officeDocument/2006/relationships/image" Target="media/image48.png"/><Relationship Id="rId91" Type="http://schemas.openxmlformats.org/officeDocument/2006/relationships/image" Target="media/image62.png"/><Relationship Id="rId145" Type="http://schemas.openxmlformats.org/officeDocument/2006/relationships/image" Target="media/image103.png"/><Relationship Id="rId166" Type="http://schemas.openxmlformats.org/officeDocument/2006/relationships/image" Target="media/image124.png"/><Relationship Id="rId187" Type="http://schemas.openxmlformats.org/officeDocument/2006/relationships/image" Target="media/image144.png"/><Relationship Id="rId1" Type="http://schemas.microsoft.com/office/2006/relationships/keyMapCustomizations" Target="customizations.xml"/><Relationship Id="rId212" Type="http://schemas.openxmlformats.org/officeDocument/2006/relationships/image" Target="cid:image001.png@01D4D4E2.073A5DB0" TargetMode="External"/><Relationship Id="rId233" Type="http://schemas.openxmlformats.org/officeDocument/2006/relationships/image" Target="media/image186.png"/><Relationship Id="rId254" Type="http://schemas.openxmlformats.org/officeDocument/2006/relationships/oleObject" Target="embeddings/oleObject10.bin"/><Relationship Id="rId28" Type="http://schemas.openxmlformats.org/officeDocument/2006/relationships/image" Target="media/image14.png"/><Relationship Id="rId49" Type="http://schemas.openxmlformats.org/officeDocument/2006/relationships/image" Target="media/image32.png"/><Relationship Id="rId114" Type="http://schemas.openxmlformats.org/officeDocument/2006/relationships/hyperlink" Target="#_Patient_Information_Toolbar:_Transf"/><Relationship Id="rId275" Type="http://schemas.openxmlformats.org/officeDocument/2006/relationships/image" Target="media/image205.png"/><Relationship Id="rId60" Type="http://schemas.openxmlformats.org/officeDocument/2006/relationships/image" Target="media/image41.png"/><Relationship Id="rId81" Type="http://schemas.openxmlformats.org/officeDocument/2006/relationships/image" Target="media/image57.png"/><Relationship Id="rId135" Type="http://schemas.openxmlformats.org/officeDocument/2006/relationships/image" Target="media/image93.png"/><Relationship Id="rId156" Type="http://schemas.openxmlformats.org/officeDocument/2006/relationships/image" Target="media/image114.png"/><Relationship Id="rId177" Type="http://schemas.openxmlformats.org/officeDocument/2006/relationships/image" Target="media/image134.png"/><Relationship Id="rId198" Type="http://schemas.openxmlformats.org/officeDocument/2006/relationships/image" Target="media/image15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DE652-0497-4625-A4B6-33D4FA135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576</Pages>
  <Words>144331</Words>
  <Characters>822692</Characters>
  <Application>Microsoft Office Word</Application>
  <DocSecurity>0</DocSecurity>
  <Lines>6855</Lines>
  <Paragraphs>1930</Paragraphs>
  <ScaleCrop>false</ScaleCrop>
  <HeadingPairs>
    <vt:vector size="2" baseType="variant">
      <vt:variant>
        <vt:lpstr>Title</vt:lpstr>
      </vt:variant>
      <vt:variant>
        <vt:i4>1</vt:i4>
      </vt:variant>
    </vt:vector>
  </HeadingPairs>
  <TitlesOfParts>
    <vt:vector size="1" baseType="lpstr">
      <vt:lpstr>VBECS user guide</vt:lpstr>
    </vt:vector>
  </TitlesOfParts>
  <Company>Veteran Affairs</Company>
  <LinksUpToDate>false</LinksUpToDate>
  <CharactersWithSpaces>965093</CharactersWithSpaces>
  <SharedDoc>false</SharedDoc>
  <HLinks>
    <vt:vector size="1578" baseType="variant">
      <vt:variant>
        <vt:i4>4128827</vt:i4>
      </vt:variant>
      <vt:variant>
        <vt:i4>3271</vt:i4>
      </vt:variant>
      <vt:variant>
        <vt:i4>0</vt:i4>
      </vt:variant>
      <vt:variant>
        <vt:i4>5</vt:i4>
      </vt:variant>
      <vt:variant>
        <vt:lpwstr>http://vaww.oed.portal.va.gov/projects/vbecs/VBECS FAQs/Forms/AllItems.aspx</vt:lpwstr>
      </vt:variant>
      <vt:variant>
        <vt:lpwstr/>
      </vt:variant>
      <vt:variant>
        <vt:i4>5963785</vt:i4>
      </vt:variant>
      <vt:variant>
        <vt:i4>3062</vt:i4>
      </vt:variant>
      <vt:variant>
        <vt:i4>0</vt:i4>
      </vt:variant>
      <vt:variant>
        <vt:i4>5</vt:i4>
      </vt:variant>
      <vt:variant>
        <vt:lpwstr>https://www.va.gov/vdl/application.asp?appid=182</vt:lpwstr>
      </vt:variant>
      <vt:variant>
        <vt:lpwstr/>
      </vt:variant>
      <vt:variant>
        <vt:i4>7798830</vt:i4>
      </vt:variant>
      <vt:variant>
        <vt:i4>1812</vt:i4>
      </vt:variant>
      <vt:variant>
        <vt:i4>0</vt:i4>
      </vt:variant>
      <vt:variant>
        <vt:i4>5</vt:i4>
      </vt:variant>
      <vt:variant>
        <vt:lpwstr/>
      </vt:variant>
      <vt:variant>
        <vt:lpwstr>_Blood_Availability_UC_49</vt:lpwstr>
      </vt:variant>
      <vt:variant>
        <vt:i4>2097264</vt:i4>
      </vt:variant>
      <vt:variant>
        <vt:i4>1809</vt:i4>
      </vt:variant>
      <vt:variant>
        <vt:i4>0</vt:i4>
      </vt:variant>
      <vt:variant>
        <vt:i4>5</vt:i4>
      </vt:variant>
      <vt:variant>
        <vt:lpwstr/>
      </vt:variant>
      <vt:variant>
        <vt:lpwstr>_Patient_Information_Toolbar:_Transf</vt:lpwstr>
      </vt:variant>
      <vt:variant>
        <vt:i4>2031670</vt:i4>
      </vt:variant>
      <vt:variant>
        <vt:i4>1806</vt:i4>
      </vt:variant>
      <vt:variant>
        <vt:i4>0</vt:i4>
      </vt:variant>
      <vt:variant>
        <vt:i4>5</vt:i4>
      </vt:variant>
      <vt:variant>
        <vt:lpwstr/>
      </vt:variant>
      <vt:variant>
        <vt:lpwstr>_Patient_Information_Toolbar:_Recent_1</vt:lpwstr>
      </vt:variant>
      <vt:variant>
        <vt:i4>327763</vt:i4>
      </vt:variant>
      <vt:variant>
        <vt:i4>1803</vt:i4>
      </vt:variant>
      <vt:variant>
        <vt:i4>0</vt:i4>
      </vt:variant>
      <vt:variant>
        <vt:i4>5</vt:i4>
      </vt:variant>
      <vt:variant>
        <vt:lpwstr/>
      </vt:variant>
      <vt:variant>
        <vt:lpwstr>_View_Special_Instructions_and Trans</vt:lpwstr>
      </vt:variant>
      <vt:variant>
        <vt:i4>3014761</vt:i4>
      </vt:variant>
      <vt:variant>
        <vt:i4>1800</vt:i4>
      </vt:variant>
      <vt:variant>
        <vt:i4>0</vt:i4>
      </vt:variant>
      <vt:variant>
        <vt:i4>5</vt:i4>
      </vt:variant>
      <vt:variant>
        <vt:lpwstr/>
      </vt:variant>
      <vt:variant>
        <vt:lpwstr>_Patient_Information_Toolbar:_Recent</vt:lpwstr>
      </vt:variant>
      <vt:variant>
        <vt:i4>6160396</vt:i4>
      </vt:variant>
      <vt:variant>
        <vt:i4>1797</vt:i4>
      </vt:variant>
      <vt:variant>
        <vt:i4>0</vt:i4>
      </vt:variant>
      <vt:variant>
        <vt:i4>5</vt:i4>
      </vt:variant>
      <vt:variant>
        <vt:lpwstr/>
      </vt:variant>
      <vt:variant>
        <vt:lpwstr>_Medication_Profile_UC_46</vt:lpwstr>
      </vt:variant>
      <vt:variant>
        <vt:i4>7798830</vt:i4>
      </vt:variant>
      <vt:variant>
        <vt:i4>1794</vt:i4>
      </vt:variant>
      <vt:variant>
        <vt:i4>0</vt:i4>
      </vt:variant>
      <vt:variant>
        <vt:i4>5</vt:i4>
      </vt:variant>
      <vt:variant>
        <vt:lpwstr/>
      </vt:variant>
      <vt:variant>
        <vt:lpwstr>_Blood_Availability_UC_49</vt:lpwstr>
      </vt:variant>
      <vt:variant>
        <vt:i4>6291493</vt:i4>
      </vt:variant>
      <vt:variant>
        <vt:i4>1791</vt:i4>
      </vt:variant>
      <vt:variant>
        <vt:i4>0</vt:i4>
      </vt:variant>
      <vt:variant>
        <vt:i4>5</vt:i4>
      </vt:variant>
      <vt:variant>
        <vt:lpwstr/>
      </vt:variant>
      <vt:variant>
        <vt:lpwstr>_Post-Transfusion_Information</vt:lpwstr>
      </vt:variant>
      <vt:variant>
        <vt:i4>6684741</vt:i4>
      </vt:variant>
      <vt:variant>
        <vt:i4>1788</vt:i4>
      </vt:variant>
      <vt:variant>
        <vt:i4>0</vt:i4>
      </vt:variant>
      <vt:variant>
        <vt:i4>5</vt:i4>
      </vt:variant>
      <vt:variant>
        <vt:lpwstr/>
      </vt:variant>
      <vt:variant>
        <vt:lpwstr>_Issue_Blood_Components</vt:lpwstr>
      </vt:variant>
      <vt:variant>
        <vt:i4>6684740</vt:i4>
      </vt:variant>
      <vt:variant>
        <vt:i4>1785</vt:i4>
      </vt:variant>
      <vt:variant>
        <vt:i4>0</vt:i4>
      </vt:variant>
      <vt:variant>
        <vt:i4>5</vt:i4>
      </vt:variant>
      <vt:variant>
        <vt:lpwstr/>
      </vt:variant>
      <vt:variant>
        <vt:lpwstr>_Select_Units_1</vt:lpwstr>
      </vt:variant>
      <vt:variant>
        <vt:i4>1835039</vt:i4>
      </vt:variant>
      <vt:variant>
        <vt:i4>1782</vt:i4>
      </vt:variant>
      <vt:variant>
        <vt:i4>0</vt:i4>
      </vt:variant>
      <vt:variant>
        <vt:i4>5</vt:i4>
      </vt:variant>
      <vt:variant>
        <vt:lpwstr/>
      </vt:variant>
      <vt:variant>
        <vt:lpwstr>_Patient_Testing:_Record_1</vt:lpwstr>
      </vt:variant>
      <vt:variant>
        <vt:i4>6750234</vt:i4>
      </vt:variant>
      <vt:variant>
        <vt:i4>1779</vt:i4>
      </vt:variant>
      <vt:variant>
        <vt:i4>0</vt:i4>
      </vt:variant>
      <vt:variant>
        <vt:i4>5</vt:i4>
      </vt:variant>
      <vt:variant>
        <vt:lpwstr/>
      </vt:variant>
      <vt:variant>
        <vt:lpwstr>_Maintain_Specimen_1</vt:lpwstr>
      </vt:variant>
      <vt:variant>
        <vt:i4>6553628</vt:i4>
      </vt:variant>
      <vt:variant>
        <vt:i4>1776</vt:i4>
      </vt:variant>
      <vt:variant>
        <vt:i4>0</vt:i4>
      </vt:variant>
      <vt:variant>
        <vt:i4>5</vt:i4>
      </vt:variant>
      <vt:variant>
        <vt:lpwstr/>
      </vt:variant>
      <vt:variant>
        <vt:lpwstr>_Accept_Orders:_Accept</vt:lpwstr>
      </vt:variant>
      <vt:variant>
        <vt:i4>4980826</vt:i4>
      </vt:variant>
      <vt:variant>
        <vt:i4>1773</vt:i4>
      </vt:variant>
      <vt:variant>
        <vt:i4>0</vt:i4>
      </vt:variant>
      <vt:variant>
        <vt:i4>5</vt:i4>
      </vt:variant>
      <vt:variant>
        <vt:lpwstr/>
      </vt:variant>
      <vt:variant>
        <vt:lpwstr>_Outgoing_Shipment</vt:lpwstr>
      </vt:variant>
      <vt:variant>
        <vt:i4>589875</vt:i4>
      </vt:variant>
      <vt:variant>
        <vt:i4>1770</vt:i4>
      </vt:variant>
      <vt:variant>
        <vt:i4>0</vt:i4>
      </vt:variant>
      <vt:variant>
        <vt:i4>5</vt:i4>
      </vt:variant>
      <vt:variant>
        <vt:lpwstr/>
      </vt:variant>
      <vt:variant>
        <vt:lpwstr>_Unit_Antigen_Typing</vt:lpwstr>
      </vt:variant>
      <vt:variant>
        <vt:i4>2752572</vt:i4>
      </vt:variant>
      <vt:variant>
        <vt:i4>1767</vt:i4>
      </vt:variant>
      <vt:variant>
        <vt:i4>0</vt:i4>
      </vt:variant>
      <vt:variant>
        <vt:i4>5</vt:i4>
      </vt:variant>
      <vt:variant>
        <vt:lpwstr/>
      </vt:variant>
      <vt:variant>
        <vt:lpwstr>_Modify_Units</vt:lpwstr>
      </vt:variant>
      <vt:variant>
        <vt:i4>4063336</vt:i4>
      </vt:variant>
      <vt:variant>
        <vt:i4>1764</vt:i4>
      </vt:variant>
      <vt:variant>
        <vt:i4>0</vt:i4>
      </vt:variant>
      <vt:variant>
        <vt:i4>5</vt:i4>
      </vt:variant>
      <vt:variant>
        <vt:lpwstr/>
      </vt:variant>
      <vt:variant>
        <vt:lpwstr>_ABO/Rh_Confirmation</vt:lpwstr>
      </vt:variant>
      <vt:variant>
        <vt:i4>6225993</vt:i4>
      </vt:variant>
      <vt:variant>
        <vt:i4>1761</vt:i4>
      </vt:variant>
      <vt:variant>
        <vt:i4>0</vt:i4>
      </vt:variant>
      <vt:variant>
        <vt:i4>5</vt:i4>
      </vt:variant>
      <vt:variant>
        <vt:lpwstr/>
      </vt:variant>
      <vt:variant>
        <vt:lpwstr>_Incoming_Shipment</vt:lpwstr>
      </vt:variant>
      <vt:variant>
        <vt:i4>6094935</vt:i4>
      </vt:variant>
      <vt:variant>
        <vt:i4>1758</vt:i4>
      </vt:variant>
      <vt:variant>
        <vt:i4>0</vt:i4>
      </vt:variant>
      <vt:variant>
        <vt:i4>5</vt:i4>
      </vt:variant>
      <vt:variant>
        <vt:lpwstr/>
      </vt:variant>
      <vt:variant>
        <vt:lpwstr>_Enter_Daily_QC_Results</vt:lpwstr>
      </vt:variant>
      <vt:variant>
        <vt:i4>5111883</vt:i4>
      </vt:variant>
      <vt:variant>
        <vt:i4>1755</vt:i4>
      </vt:variant>
      <vt:variant>
        <vt:i4>0</vt:i4>
      </vt:variant>
      <vt:variant>
        <vt:i4>5</vt:i4>
      </vt:variant>
      <vt:variant>
        <vt:lpwstr/>
      </vt:variant>
      <vt:variant>
        <vt:lpwstr>_Log_In_Reagents,_Update Inventory, </vt:lpwstr>
      </vt:variant>
      <vt:variant>
        <vt:i4>5963785</vt:i4>
      </vt:variant>
      <vt:variant>
        <vt:i4>1563</vt:i4>
      </vt:variant>
      <vt:variant>
        <vt:i4>0</vt:i4>
      </vt:variant>
      <vt:variant>
        <vt:i4>5</vt:i4>
      </vt:variant>
      <vt:variant>
        <vt:lpwstr>https://www.va.gov/vdl/application.asp?appid=182</vt:lpwstr>
      </vt:variant>
      <vt:variant>
        <vt:lpwstr/>
      </vt:variant>
      <vt:variant>
        <vt:i4>5898259</vt:i4>
      </vt:variant>
      <vt:variant>
        <vt:i4>1560</vt:i4>
      </vt:variant>
      <vt:variant>
        <vt:i4>0</vt:i4>
      </vt:variant>
      <vt:variant>
        <vt:i4>5</vt:i4>
      </vt:variant>
      <vt:variant>
        <vt:lpwstr>http://vaww.oed.portal.va.gov/projects/vbecs/default.aspx</vt:lpwstr>
      </vt:variant>
      <vt:variant>
        <vt:lpwstr/>
      </vt:variant>
      <vt:variant>
        <vt:i4>1900592</vt:i4>
      </vt:variant>
      <vt:variant>
        <vt:i4>1392</vt:i4>
      </vt:variant>
      <vt:variant>
        <vt:i4>0</vt:i4>
      </vt:variant>
      <vt:variant>
        <vt:i4>5</vt:i4>
      </vt:variant>
      <vt:variant>
        <vt:lpwstr>http://www.foia.va.gov/FOIA_Offices.asp</vt:lpwstr>
      </vt:variant>
      <vt:variant>
        <vt:lpwstr/>
      </vt:variant>
      <vt:variant>
        <vt:i4>1441840</vt:i4>
      </vt:variant>
      <vt:variant>
        <vt:i4>1382</vt:i4>
      </vt:variant>
      <vt:variant>
        <vt:i4>0</vt:i4>
      </vt:variant>
      <vt:variant>
        <vt:i4>5</vt:i4>
      </vt:variant>
      <vt:variant>
        <vt:lpwstr/>
      </vt:variant>
      <vt:variant>
        <vt:lpwstr>_Toc510071213</vt:lpwstr>
      </vt:variant>
      <vt:variant>
        <vt:i4>1441840</vt:i4>
      </vt:variant>
      <vt:variant>
        <vt:i4>1376</vt:i4>
      </vt:variant>
      <vt:variant>
        <vt:i4>0</vt:i4>
      </vt:variant>
      <vt:variant>
        <vt:i4>5</vt:i4>
      </vt:variant>
      <vt:variant>
        <vt:lpwstr/>
      </vt:variant>
      <vt:variant>
        <vt:lpwstr>_Toc510071212</vt:lpwstr>
      </vt:variant>
      <vt:variant>
        <vt:i4>1441840</vt:i4>
      </vt:variant>
      <vt:variant>
        <vt:i4>1370</vt:i4>
      </vt:variant>
      <vt:variant>
        <vt:i4>0</vt:i4>
      </vt:variant>
      <vt:variant>
        <vt:i4>5</vt:i4>
      </vt:variant>
      <vt:variant>
        <vt:lpwstr/>
      </vt:variant>
      <vt:variant>
        <vt:lpwstr>_Toc510071211</vt:lpwstr>
      </vt:variant>
      <vt:variant>
        <vt:i4>1441840</vt:i4>
      </vt:variant>
      <vt:variant>
        <vt:i4>1364</vt:i4>
      </vt:variant>
      <vt:variant>
        <vt:i4>0</vt:i4>
      </vt:variant>
      <vt:variant>
        <vt:i4>5</vt:i4>
      </vt:variant>
      <vt:variant>
        <vt:lpwstr/>
      </vt:variant>
      <vt:variant>
        <vt:lpwstr>_Toc510071210</vt:lpwstr>
      </vt:variant>
      <vt:variant>
        <vt:i4>1507376</vt:i4>
      </vt:variant>
      <vt:variant>
        <vt:i4>1358</vt:i4>
      </vt:variant>
      <vt:variant>
        <vt:i4>0</vt:i4>
      </vt:variant>
      <vt:variant>
        <vt:i4>5</vt:i4>
      </vt:variant>
      <vt:variant>
        <vt:lpwstr/>
      </vt:variant>
      <vt:variant>
        <vt:lpwstr>_Toc510071209</vt:lpwstr>
      </vt:variant>
      <vt:variant>
        <vt:i4>1507376</vt:i4>
      </vt:variant>
      <vt:variant>
        <vt:i4>1352</vt:i4>
      </vt:variant>
      <vt:variant>
        <vt:i4>0</vt:i4>
      </vt:variant>
      <vt:variant>
        <vt:i4>5</vt:i4>
      </vt:variant>
      <vt:variant>
        <vt:lpwstr/>
      </vt:variant>
      <vt:variant>
        <vt:lpwstr>_Toc510071208</vt:lpwstr>
      </vt:variant>
      <vt:variant>
        <vt:i4>1507376</vt:i4>
      </vt:variant>
      <vt:variant>
        <vt:i4>1346</vt:i4>
      </vt:variant>
      <vt:variant>
        <vt:i4>0</vt:i4>
      </vt:variant>
      <vt:variant>
        <vt:i4>5</vt:i4>
      </vt:variant>
      <vt:variant>
        <vt:lpwstr/>
      </vt:variant>
      <vt:variant>
        <vt:lpwstr>_Toc510071207</vt:lpwstr>
      </vt:variant>
      <vt:variant>
        <vt:i4>1507376</vt:i4>
      </vt:variant>
      <vt:variant>
        <vt:i4>1340</vt:i4>
      </vt:variant>
      <vt:variant>
        <vt:i4>0</vt:i4>
      </vt:variant>
      <vt:variant>
        <vt:i4>5</vt:i4>
      </vt:variant>
      <vt:variant>
        <vt:lpwstr/>
      </vt:variant>
      <vt:variant>
        <vt:lpwstr>_Toc510071206</vt:lpwstr>
      </vt:variant>
      <vt:variant>
        <vt:i4>1507376</vt:i4>
      </vt:variant>
      <vt:variant>
        <vt:i4>1334</vt:i4>
      </vt:variant>
      <vt:variant>
        <vt:i4>0</vt:i4>
      </vt:variant>
      <vt:variant>
        <vt:i4>5</vt:i4>
      </vt:variant>
      <vt:variant>
        <vt:lpwstr/>
      </vt:variant>
      <vt:variant>
        <vt:lpwstr>_Toc510071205</vt:lpwstr>
      </vt:variant>
      <vt:variant>
        <vt:i4>1507376</vt:i4>
      </vt:variant>
      <vt:variant>
        <vt:i4>1328</vt:i4>
      </vt:variant>
      <vt:variant>
        <vt:i4>0</vt:i4>
      </vt:variant>
      <vt:variant>
        <vt:i4>5</vt:i4>
      </vt:variant>
      <vt:variant>
        <vt:lpwstr/>
      </vt:variant>
      <vt:variant>
        <vt:lpwstr>_Toc510071204</vt:lpwstr>
      </vt:variant>
      <vt:variant>
        <vt:i4>1507376</vt:i4>
      </vt:variant>
      <vt:variant>
        <vt:i4>1322</vt:i4>
      </vt:variant>
      <vt:variant>
        <vt:i4>0</vt:i4>
      </vt:variant>
      <vt:variant>
        <vt:i4>5</vt:i4>
      </vt:variant>
      <vt:variant>
        <vt:lpwstr/>
      </vt:variant>
      <vt:variant>
        <vt:lpwstr>_Toc510071203</vt:lpwstr>
      </vt:variant>
      <vt:variant>
        <vt:i4>1507376</vt:i4>
      </vt:variant>
      <vt:variant>
        <vt:i4>1316</vt:i4>
      </vt:variant>
      <vt:variant>
        <vt:i4>0</vt:i4>
      </vt:variant>
      <vt:variant>
        <vt:i4>5</vt:i4>
      </vt:variant>
      <vt:variant>
        <vt:lpwstr/>
      </vt:variant>
      <vt:variant>
        <vt:lpwstr>_Toc510071202</vt:lpwstr>
      </vt:variant>
      <vt:variant>
        <vt:i4>1507376</vt:i4>
      </vt:variant>
      <vt:variant>
        <vt:i4>1310</vt:i4>
      </vt:variant>
      <vt:variant>
        <vt:i4>0</vt:i4>
      </vt:variant>
      <vt:variant>
        <vt:i4>5</vt:i4>
      </vt:variant>
      <vt:variant>
        <vt:lpwstr/>
      </vt:variant>
      <vt:variant>
        <vt:lpwstr>_Toc510071201</vt:lpwstr>
      </vt:variant>
      <vt:variant>
        <vt:i4>1507376</vt:i4>
      </vt:variant>
      <vt:variant>
        <vt:i4>1304</vt:i4>
      </vt:variant>
      <vt:variant>
        <vt:i4>0</vt:i4>
      </vt:variant>
      <vt:variant>
        <vt:i4>5</vt:i4>
      </vt:variant>
      <vt:variant>
        <vt:lpwstr/>
      </vt:variant>
      <vt:variant>
        <vt:lpwstr>_Toc510071200</vt:lpwstr>
      </vt:variant>
      <vt:variant>
        <vt:i4>1966131</vt:i4>
      </vt:variant>
      <vt:variant>
        <vt:i4>1298</vt:i4>
      </vt:variant>
      <vt:variant>
        <vt:i4>0</vt:i4>
      </vt:variant>
      <vt:variant>
        <vt:i4>5</vt:i4>
      </vt:variant>
      <vt:variant>
        <vt:lpwstr/>
      </vt:variant>
      <vt:variant>
        <vt:lpwstr>_Toc510071199</vt:lpwstr>
      </vt:variant>
      <vt:variant>
        <vt:i4>1966131</vt:i4>
      </vt:variant>
      <vt:variant>
        <vt:i4>1292</vt:i4>
      </vt:variant>
      <vt:variant>
        <vt:i4>0</vt:i4>
      </vt:variant>
      <vt:variant>
        <vt:i4>5</vt:i4>
      </vt:variant>
      <vt:variant>
        <vt:lpwstr/>
      </vt:variant>
      <vt:variant>
        <vt:lpwstr>_Toc510071198</vt:lpwstr>
      </vt:variant>
      <vt:variant>
        <vt:i4>1966131</vt:i4>
      </vt:variant>
      <vt:variant>
        <vt:i4>1286</vt:i4>
      </vt:variant>
      <vt:variant>
        <vt:i4>0</vt:i4>
      </vt:variant>
      <vt:variant>
        <vt:i4>5</vt:i4>
      </vt:variant>
      <vt:variant>
        <vt:lpwstr/>
      </vt:variant>
      <vt:variant>
        <vt:lpwstr>_Toc510071197</vt:lpwstr>
      </vt:variant>
      <vt:variant>
        <vt:i4>1966131</vt:i4>
      </vt:variant>
      <vt:variant>
        <vt:i4>1280</vt:i4>
      </vt:variant>
      <vt:variant>
        <vt:i4>0</vt:i4>
      </vt:variant>
      <vt:variant>
        <vt:i4>5</vt:i4>
      </vt:variant>
      <vt:variant>
        <vt:lpwstr/>
      </vt:variant>
      <vt:variant>
        <vt:lpwstr>_Toc510071196</vt:lpwstr>
      </vt:variant>
      <vt:variant>
        <vt:i4>1966131</vt:i4>
      </vt:variant>
      <vt:variant>
        <vt:i4>1274</vt:i4>
      </vt:variant>
      <vt:variant>
        <vt:i4>0</vt:i4>
      </vt:variant>
      <vt:variant>
        <vt:i4>5</vt:i4>
      </vt:variant>
      <vt:variant>
        <vt:lpwstr/>
      </vt:variant>
      <vt:variant>
        <vt:lpwstr>_Toc510071195</vt:lpwstr>
      </vt:variant>
      <vt:variant>
        <vt:i4>1966131</vt:i4>
      </vt:variant>
      <vt:variant>
        <vt:i4>1268</vt:i4>
      </vt:variant>
      <vt:variant>
        <vt:i4>0</vt:i4>
      </vt:variant>
      <vt:variant>
        <vt:i4>5</vt:i4>
      </vt:variant>
      <vt:variant>
        <vt:lpwstr/>
      </vt:variant>
      <vt:variant>
        <vt:lpwstr>_Toc510071194</vt:lpwstr>
      </vt:variant>
      <vt:variant>
        <vt:i4>1966131</vt:i4>
      </vt:variant>
      <vt:variant>
        <vt:i4>1262</vt:i4>
      </vt:variant>
      <vt:variant>
        <vt:i4>0</vt:i4>
      </vt:variant>
      <vt:variant>
        <vt:i4>5</vt:i4>
      </vt:variant>
      <vt:variant>
        <vt:lpwstr/>
      </vt:variant>
      <vt:variant>
        <vt:lpwstr>_Toc510071193</vt:lpwstr>
      </vt:variant>
      <vt:variant>
        <vt:i4>1966131</vt:i4>
      </vt:variant>
      <vt:variant>
        <vt:i4>1256</vt:i4>
      </vt:variant>
      <vt:variant>
        <vt:i4>0</vt:i4>
      </vt:variant>
      <vt:variant>
        <vt:i4>5</vt:i4>
      </vt:variant>
      <vt:variant>
        <vt:lpwstr/>
      </vt:variant>
      <vt:variant>
        <vt:lpwstr>_Toc510071192</vt:lpwstr>
      </vt:variant>
      <vt:variant>
        <vt:i4>1966131</vt:i4>
      </vt:variant>
      <vt:variant>
        <vt:i4>1250</vt:i4>
      </vt:variant>
      <vt:variant>
        <vt:i4>0</vt:i4>
      </vt:variant>
      <vt:variant>
        <vt:i4>5</vt:i4>
      </vt:variant>
      <vt:variant>
        <vt:lpwstr/>
      </vt:variant>
      <vt:variant>
        <vt:lpwstr>_Toc510071191</vt:lpwstr>
      </vt:variant>
      <vt:variant>
        <vt:i4>1966131</vt:i4>
      </vt:variant>
      <vt:variant>
        <vt:i4>1244</vt:i4>
      </vt:variant>
      <vt:variant>
        <vt:i4>0</vt:i4>
      </vt:variant>
      <vt:variant>
        <vt:i4>5</vt:i4>
      </vt:variant>
      <vt:variant>
        <vt:lpwstr/>
      </vt:variant>
      <vt:variant>
        <vt:lpwstr>_Toc510071190</vt:lpwstr>
      </vt:variant>
      <vt:variant>
        <vt:i4>2031667</vt:i4>
      </vt:variant>
      <vt:variant>
        <vt:i4>1238</vt:i4>
      </vt:variant>
      <vt:variant>
        <vt:i4>0</vt:i4>
      </vt:variant>
      <vt:variant>
        <vt:i4>5</vt:i4>
      </vt:variant>
      <vt:variant>
        <vt:lpwstr/>
      </vt:variant>
      <vt:variant>
        <vt:lpwstr>_Toc510071189</vt:lpwstr>
      </vt:variant>
      <vt:variant>
        <vt:i4>2031667</vt:i4>
      </vt:variant>
      <vt:variant>
        <vt:i4>1232</vt:i4>
      </vt:variant>
      <vt:variant>
        <vt:i4>0</vt:i4>
      </vt:variant>
      <vt:variant>
        <vt:i4>5</vt:i4>
      </vt:variant>
      <vt:variant>
        <vt:lpwstr/>
      </vt:variant>
      <vt:variant>
        <vt:lpwstr>_Toc510071188</vt:lpwstr>
      </vt:variant>
      <vt:variant>
        <vt:i4>2031667</vt:i4>
      </vt:variant>
      <vt:variant>
        <vt:i4>1226</vt:i4>
      </vt:variant>
      <vt:variant>
        <vt:i4>0</vt:i4>
      </vt:variant>
      <vt:variant>
        <vt:i4>5</vt:i4>
      </vt:variant>
      <vt:variant>
        <vt:lpwstr/>
      </vt:variant>
      <vt:variant>
        <vt:lpwstr>_Toc510071187</vt:lpwstr>
      </vt:variant>
      <vt:variant>
        <vt:i4>2031667</vt:i4>
      </vt:variant>
      <vt:variant>
        <vt:i4>1220</vt:i4>
      </vt:variant>
      <vt:variant>
        <vt:i4>0</vt:i4>
      </vt:variant>
      <vt:variant>
        <vt:i4>5</vt:i4>
      </vt:variant>
      <vt:variant>
        <vt:lpwstr/>
      </vt:variant>
      <vt:variant>
        <vt:lpwstr>_Toc510071186</vt:lpwstr>
      </vt:variant>
      <vt:variant>
        <vt:i4>2031667</vt:i4>
      </vt:variant>
      <vt:variant>
        <vt:i4>1214</vt:i4>
      </vt:variant>
      <vt:variant>
        <vt:i4>0</vt:i4>
      </vt:variant>
      <vt:variant>
        <vt:i4>5</vt:i4>
      </vt:variant>
      <vt:variant>
        <vt:lpwstr/>
      </vt:variant>
      <vt:variant>
        <vt:lpwstr>_Toc510071185</vt:lpwstr>
      </vt:variant>
      <vt:variant>
        <vt:i4>2031667</vt:i4>
      </vt:variant>
      <vt:variant>
        <vt:i4>1208</vt:i4>
      </vt:variant>
      <vt:variant>
        <vt:i4>0</vt:i4>
      </vt:variant>
      <vt:variant>
        <vt:i4>5</vt:i4>
      </vt:variant>
      <vt:variant>
        <vt:lpwstr/>
      </vt:variant>
      <vt:variant>
        <vt:lpwstr>_Toc510071184</vt:lpwstr>
      </vt:variant>
      <vt:variant>
        <vt:i4>2031667</vt:i4>
      </vt:variant>
      <vt:variant>
        <vt:i4>1202</vt:i4>
      </vt:variant>
      <vt:variant>
        <vt:i4>0</vt:i4>
      </vt:variant>
      <vt:variant>
        <vt:i4>5</vt:i4>
      </vt:variant>
      <vt:variant>
        <vt:lpwstr/>
      </vt:variant>
      <vt:variant>
        <vt:lpwstr>_Toc510071183</vt:lpwstr>
      </vt:variant>
      <vt:variant>
        <vt:i4>2031667</vt:i4>
      </vt:variant>
      <vt:variant>
        <vt:i4>1196</vt:i4>
      </vt:variant>
      <vt:variant>
        <vt:i4>0</vt:i4>
      </vt:variant>
      <vt:variant>
        <vt:i4>5</vt:i4>
      </vt:variant>
      <vt:variant>
        <vt:lpwstr/>
      </vt:variant>
      <vt:variant>
        <vt:lpwstr>_Toc510071182</vt:lpwstr>
      </vt:variant>
      <vt:variant>
        <vt:i4>2031667</vt:i4>
      </vt:variant>
      <vt:variant>
        <vt:i4>1190</vt:i4>
      </vt:variant>
      <vt:variant>
        <vt:i4>0</vt:i4>
      </vt:variant>
      <vt:variant>
        <vt:i4>5</vt:i4>
      </vt:variant>
      <vt:variant>
        <vt:lpwstr/>
      </vt:variant>
      <vt:variant>
        <vt:lpwstr>_Toc510071181</vt:lpwstr>
      </vt:variant>
      <vt:variant>
        <vt:i4>2031667</vt:i4>
      </vt:variant>
      <vt:variant>
        <vt:i4>1184</vt:i4>
      </vt:variant>
      <vt:variant>
        <vt:i4>0</vt:i4>
      </vt:variant>
      <vt:variant>
        <vt:i4>5</vt:i4>
      </vt:variant>
      <vt:variant>
        <vt:lpwstr/>
      </vt:variant>
      <vt:variant>
        <vt:lpwstr>_Toc510071180</vt:lpwstr>
      </vt:variant>
      <vt:variant>
        <vt:i4>1048627</vt:i4>
      </vt:variant>
      <vt:variant>
        <vt:i4>1178</vt:i4>
      </vt:variant>
      <vt:variant>
        <vt:i4>0</vt:i4>
      </vt:variant>
      <vt:variant>
        <vt:i4>5</vt:i4>
      </vt:variant>
      <vt:variant>
        <vt:lpwstr/>
      </vt:variant>
      <vt:variant>
        <vt:lpwstr>_Toc510071179</vt:lpwstr>
      </vt:variant>
      <vt:variant>
        <vt:i4>1048627</vt:i4>
      </vt:variant>
      <vt:variant>
        <vt:i4>1172</vt:i4>
      </vt:variant>
      <vt:variant>
        <vt:i4>0</vt:i4>
      </vt:variant>
      <vt:variant>
        <vt:i4>5</vt:i4>
      </vt:variant>
      <vt:variant>
        <vt:lpwstr/>
      </vt:variant>
      <vt:variant>
        <vt:lpwstr>_Toc510071178</vt:lpwstr>
      </vt:variant>
      <vt:variant>
        <vt:i4>1048627</vt:i4>
      </vt:variant>
      <vt:variant>
        <vt:i4>1166</vt:i4>
      </vt:variant>
      <vt:variant>
        <vt:i4>0</vt:i4>
      </vt:variant>
      <vt:variant>
        <vt:i4>5</vt:i4>
      </vt:variant>
      <vt:variant>
        <vt:lpwstr/>
      </vt:variant>
      <vt:variant>
        <vt:lpwstr>_Toc510071177</vt:lpwstr>
      </vt:variant>
      <vt:variant>
        <vt:i4>1048627</vt:i4>
      </vt:variant>
      <vt:variant>
        <vt:i4>1160</vt:i4>
      </vt:variant>
      <vt:variant>
        <vt:i4>0</vt:i4>
      </vt:variant>
      <vt:variant>
        <vt:i4>5</vt:i4>
      </vt:variant>
      <vt:variant>
        <vt:lpwstr/>
      </vt:variant>
      <vt:variant>
        <vt:lpwstr>_Toc510071176</vt:lpwstr>
      </vt:variant>
      <vt:variant>
        <vt:i4>1048627</vt:i4>
      </vt:variant>
      <vt:variant>
        <vt:i4>1154</vt:i4>
      </vt:variant>
      <vt:variant>
        <vt:i4>0</vt:i4>
      </vt:variant>
      <vt:variant>
        <vt:i4>5</vt:i4>
      </vt:variant>
      <vt:variant>
        <vt:lpwstr/>
      </vt:variant>
      <vt:variant>
        <vt:lpwstr>_Toc510071175</vt:lpwstr>
      </vt:variant>
      <vt:variant>
        <vt:i4>1048627</vt:i4>
      </vt:variant>
      <vt:variant>
        <vt:i4>1148</vt:i4>
      </vt:variant>
      <vt:variant>
        <vt:i4>0</vt:i4>
      </vt:variant>
      <vt:variant>
        <vt:i4>5</vt:i4>
      </vt:variant>
      <vt:variant>
        <vt:lpwstr/>
      </vt:variant>
      <vt:variant>
        <vt:lpwstr>_Toc510071174</vt:lpwstr>
      </vt:variant>
      <vt:variant>
        <vt:i4>1048627</vt:i4>
      </vt:variant>
      <vt:variant>
        <vt:i4>1142</vt:i4>
      </vt:variant>
      <vt:variant>
        <vt:i4>0</vt:i4>
      </vt:variant>
      <vt:variant>
        <vt:i4>5</vt:i4>
      </vt:variant>
      <vt:variant>
        <vt:lpwstr/>
      </vt:variant>
      <vt:variant>
        <vt:lpwstr>_Toc510071173</vt:lpwstr>
      </vt:variant>
      <vt:variant>
        <vt:i4>1048627</vt:i4>
      </vt:variant>
      <vt:variant>
        <vt:i4>1136</vt:i4>
      </vt:variant>
      <vt:variant>
        <vt:i4>0</vt:i4>
      </vt:variant>
      <vt:variant>
        <vt:i4>5</vt:i4>
      </vt:variant>
      <vt:variant>
        <vt:lpwstr/>
      </vt:variant>
      <vt:variant>
        <vt:lpwstr>_Toc510071172</vt:lpwstr>
      </vt:variant>
      <vt:variant>
        <vt:i4>1048627</vt:i4>
      </vt:variant>
      <vt:variant>
        <vt:i4>1130</vt:i4>
      </vt:variant>
      <vt:variant>
        <vt:i4>0</vt:i4>
      </vt:variant>
      <vt:variant>
        <vt:i4>5</vt:i4>
      </vt:variant>
      <vt:variant>
        <vt:lpwstr/>
      </vt:variant>
      <vt:variant>
        <vt:lpwstr>_Toc510071171</vt:lpwstr>
      </vt:variant>
      <vt:variant>
        <vt:i4>1048627</vt:i4>
      </vt:variant>
      <vt:variant>
        <vt:i4>1124</vt:i4>
      </vt:variant>
      <vt:variant>
        <vt:i4>0</vt:i4>
      </vt:variant>
      <vt:variant>
        <vt:i4>5</vt:i4>
      </vt:variant>
      <vt:variant>
        <vt:lpwstr/>
      </vt:variant>
      <vt:variant>
        <vt:lpwstr>_Toc510071170</vt:lpwstr>
      </vt:variant>
      <vt:variant>
        <vt:i4>1114163</vt:i4>
      </vt:variant>
      <vt:variant>
        <vt:i4>1118</vt:i4>
      </vt:variant>
      <vt:variant>
        <vt:i4>0</vt:i4>
      </vt:variant>
      <vt:variant>
        <vt:i4>5</vt:i4>
      </vt:variant>
      <vt:variant>
        <vt:lpwstr/>
      </vt:variant>
      <vt:variant>
        <vt:lpwstr>_Toc510071169</vt:lpwstr>
      </vt:variant>
      <vt:variant>
        <vt:i4>1114163</vt:i4>
      </vt:variant>
      <vt:variant>
        <vt:i4>1112</vt:i4>
      </vt:variant>
      <vt:variant>
        <vt:i4>0</vt:i4>
      </vt:variant>
      <vt:variant>
        <vt:i4>5</vt:i4>
      </vt:variant>
      <vt:variant>
        <vt:lpwstr/>
      </vt:variant>
      <vt:variant>
        <vt:lpwstr>_Toc510071168</vt:lpwstr>
      </vt:variant>
      <vt:variant>
        <vt:i4>1114163</vt:i4>
      </vt:variant>
      <vt:variant>
        <vt:i4>1106</vt:i4>
      </vt:variant>
      <vt:variant>
        <vt:i4>0</vt:i4>
      </vt:variant>
      <vt:variant>
        <vt:i4>5</vt:i4>
      </vt:variant>
      <vt:variant>
        <vt:lpwstr/>
      </vt:variant>
      <vt:variant>
        <vt:lpwstr>_Toc510071167</vt:lpwstr>
      </vt:variant>
      <vt:variant>
        <vt:i4>1114163</vt:i4>
      </vt:variant>
      <vt:variant>
        <vt:i4>1100</vt:i4>
      </vt:variant>
      <vt:variant>
        <vt:i4>0</vt:i4>
      </vt:variant>
      <vt:variant>
        <vt:i4>5</vt:i4>
      </vt:variant>
      <vt:variant>
        <vt:lpwstr/>
      </vt:variant>
      <vt:variant>
        <vt:lpwstr>_Toc510071166</vt:lpwstr>
      </vt:variant>
      <vt:variant>
        <vt:i4>1114163</vt:i4>
      </vt:variant>
      <vt:variant>
        <vt:i4>1094</vt:i4>
      </vt:variant>
      <vt:variant>
        <vt:i4>0</vt:i4>
      </vt:variant>
      <vt:variant>
        <vt:i4>5</vt:i4>
      </vt:variant>
      <vt:variant>
        <vt:lpwstr/>
      </vt:variant>
      <vt:variant>
        <vt:lpwstr>_Toc510071165</vt:lpwstr>
      </vt:variant>
      <vt:variant>
        <vt:i4>1114163</vt:i4>
      </vt:variant>
      <vt:variant>
        <vt:i4>1088</vt:i4>
      </vt:variant>
      <vt:variant>
        <vt:i4>0</vt:i4>
      </vt:variant>
      <vt:variant>
        <vt:i4>5</vt:i4>
      </vt:variant>
      <vt:variant>
        <vt:lpwstr/>
      </vt:variant>
      <vt:variant>
        <vt:lpwstr>_Toc510071164</vt:lpwstr>
      </vt:variant>
      <vt:variant>
        <vt:i4>1114163</vt:i4>
      </vt:variant>
      <vt:variant>
        <vt:i4>1082</vt:i4>
      </vt:variant>
      <vt:variant>
        <vt:i4>0</vt:i4>
      </vt:variant>
      <vt:variant>
        <vt:i4>5</vt:i4>
      </vt:variant>
      <vt:variant>
        <vt:lpwstr/>
      </vt:variant>
      <vt:variant>
        <vt:lpwstr>_Toc510071163</vt:lpwstr>
      </vt:variant>
      <vt:variant>
        <vt:i4>1114163</vt:i4>
      </vt:variant>
      <vt:variant>
        <vt:i4>1076</vt:i4>
      </vt:variant>
      <vt:variant>
        <vt:i4>0</vt:i4>
      </vt:variant>
      <vt:variant>
        <vt:i4>5</vt:i4>
      </vt:variant>
      <vt:variant>
        <vt:lpwstr/>
      </vt:variant>
      <vt:variant>
        <vt:lpwstr>_Toc510071162</vt:lpwstr>
      </vt:variant>
      <vt:variant>
        <vt:i4>1114163</vt:i4>
      </vt:variant>
      <vt:variant>
        <vt:i4>1070</vt:i4>
      </vt:variant>
      <vt:variant>
        <vt:i4>0</vt:i4>
      </vt:variant>
      <vt:variant>
        <vt:i4>5</vt:i4>
      </vt:variant>
      <vt:variant>
        <vt:lpwstr/>
      </vt:variant>
      <vt:variant>
        <vt:lpwstr>_Toc510071161</vt:lpwstr>
      </vt:variant>
      <vt:variant>
        <vt:i4>1114163</vt:i4>
      </vt:variant>
      <vt:variant>
        <vt:i4>1064</vt:i4>
      </vt:variant>
      <vt:variant>
        <vt:i4>0</vt:i4>
      </vt:variant>
      <vt:variant>
        <vt:i4>5</vt:i4>
      </vt:variant>
      <vt:variant>
        <vt:lpwstr/>
      </vt:variant>
      <vt:variant>
        <vt:lpwstr>_Toc510071160</vt:lpwstr>
      </vt:variant>
      <vt:variant>
        <vt:i4>1179699</vt:i4>
      </vt:variant>
      <vt:variant>
        <vt:i4>1058</vt:i4>
      </vt:variant>
      <vt:variant>
        <vt:i4>0</vt:i4>
      </vt:variant>
      <vt:variant>
        <vt:i4>5</vt:i4>
      </vt:variant>
      <vt:variant>
        <vt:lpwstr/>
      </vt:variant>
      <vt:variant>
        <vt:lpwstr>_Toc510071159</vt:lpwstr>
      </vt:variant>
      <vt:variant>
        <vt:i4>1179699</vt:i4>
      </vt:variant>
      <vt:variant>
        <vt:i4>1052</vt:i4>
      </vt:variant>
      <vt:variant>
        <vt:i4>0</vt:i4>
      </vt:variant>
      <vt:variant>
        <vt:i4>5</vt:i4>
      </vt:variant>
      <vt:variant>
        <vt:lpwstr/>
      </vt:variant>
      <vt:variant>
        <vt:lpwstr>_Toc510071158</vt:lpwstr>
      </vt:variant>
      <vt:variant>
        <vt:i4>1179699</vt:i4>
      </vt:variant>
      <vt:variant>
        <vt:i4>1046</vt:i4>
      </vt:variant>
      <vt:variant>
        <vt:i4>0</vt:i4>
      </vt:variant>
      <vt:variant>
        <vt:i4>5</vt:i4>
      </vt:variant>
      <vt:variant>
        <vt:lpwstr/>
      </vt:variant>
      <vt:variant>
        <vt:lpwstr>_Toc510071157</vt:lpwstr>
      </vt:variant>
      <vt:variant>
        <vt:i4>1179699</vt:i4>
      </vt:variant>
      <vt:variant>
        <vt:i4>1040</vt:i4>
      </vt:variant>
      <vt:variant>
        <vt:i4>0</vt:i4>
      </vt:variant>
      <vt:variant>
        <vt:i4>5</vt:i4>
      </vt:variant>
      <vt:variant>
        <vt:lpwstr/>
      </vt:variant>
      <vt:variant>
        <vt:lpwstr>_Toc510071156</vt:lpwstr>
      </vt:variant>
      <vt:variant>
        <vt:i4>1179699</vt:i4>
      </vt:variant>
      <vt:variant>
        <vt:i4>1034</vt:i4>
      </vt:variant>
      <vt:variant>
        <vt:i4>0</vt:i4>
      </vt:variant>
      <vt:variant>
        <vt:i4>5</vt:i4>
      </vt:variant>
      <vt:variant>
        <vt:lpwstr/>
      </vt:variant>
      <vt:variant>
        <vt:lpwstr>_Toc510071155</vt:lpwstr>
      </vt:variant>
      <vt:variant>
        <vt:i4>1179699</vt:i4>
      </vt:variant>
      <vt:variant>
        <vt:i4>1028</vt:i4>
      </vt:variant>
      <vt:variant>
        <vt:i4>0</vt:i4>
      </vt:variant>
      <vt:variant>
        <vt:i4>5</vt:i4>
      </vt:variant>
      <vt:variant>
        <vt:lpwstr/>
      </vt:variant>
      <vt:variant>
        <vt:lpwstr>_Toc510071154</vt:lpwstr>
      </vt:variant>
      <vt:variant>
        <vt:i4>1179699</vt:i4>
      </vt:variant>
      <vt:variant>
        <vt:i4>1022</vt:i4>
      </vt:variant>
      <vt:variant>
        <vt:i4>0</vt:i4>
      </vt:variant>
      <vt:variant>
        <vt:i4>5</vt:i4>
      </vt:variant>
      <vt:variant>
        <vt:lpwstr/>
      </vt:variant>
      <vt:variant>
        <vt:lpwstr>_Toc510071153</vt:lpwstr>
      </vt:variant>
      <vt:variant>
        <vt:i4>1179699</vt:i4>
      </vt:variant>
      <vt:variant>
        <vt:i4>1016</vt:i4>
      </vt:variant>
      <vt:variant>
        <vt:i4>0</vt:i4>
      </vt:variant>
      <vt:variant>
        <vt:i4>5</vt:i4>
      </vt:variant>
      <vt:variant>
        <vt:lpwstr/>
      </vt:variant>
      <vt:variant>
        <vt:lpwstr>_Toc510071152</vt:lpwstr>
      </vt:variant>
      <vt:variant>
        <vt:i4>1179699</vt:i4>
      </vt:variant>
      <vt:variant>
        <vt:i4>1010</vt:i4>
      </vt:variant>
      <vt:variant>
        <vt:i4>0</vt:i4>
      </vt:variant>
      <vt:variant>
        <vt:i4>5</vt:i4>
      </vt:variant>
      <vt:variant>
        <vt:lpwstr/>
      </vt:variant>
      <vt:variant>
        <vt:lpwstr>_Toc510071151</vt:lpwstr>
      </vt:variant>
      <vt:variant>
        <vt:i4>1179699</vt:i4>
      </vt:variant>
      <vt:variant>
        <vt:i4>1004</vt:i4>
      </vt:variant>
      <vt:variant>
        <vt:i4>0</vt:i4>
      </vt:variant>
      <vt:variant>
        <vt:i4>5</vt:i4>
      </vt:variant>
      <vt:variant>
        <vt:lpwstr/>
      </vt:variant>
      <vt:variant>
        <vt:lpwstr>_Toc510071150</vt:lpwstr>
      </vt:variant>
      <vt:variant>
        <vt:i4>1245235</vt:i4>
      </vt:variant>
      <vt:variant>
        <vt:i4>998</vt:i4>
      </vt:variant>
      <vt:variant>
        <vt:i4>0</vt:i4>
      </vt:variant>
      <vt:variant>
        <vt:i4>5</vt:i4>
      </vt:variant>
      <vt:variant>
        <vt:lpwstr/>
      </vt:variant>
      <vt:variant>
        <vt:lpwstr>_Toc510071149</vt:lpwstr>
      </vt:variant>
      <vt:variant>
        <vt:i4>1245235</vt:i4>
      </vt:variant>
      <vt:variant>
        <vt:i4>992</vt:i4>
      </vt:variant>
      <vt:variant>
        <vt:i4>0</vt:i4>
      </vt:variant>
      <vt:variant>
        <vt:i4>5</vt:i4>
      </vt:variant>
      <vt:variant>
        <vt:lpwstr/>
      </vt:variant>
      <vt:variant>
        <vt:lpwstr>_Toc510071148</vt:lpwstr>
      </vt:variant>
      <vt:variant>
        <vt:i4>1245235</vt:i4>
      </vt:variant>
      <vt:variant>
        <vt:i4>986</vt:i4>
      </vt:variant>
      <vt:variant>
        <vt:i4>0</vt:i4>
      </vt:variant>
      <vt:variant>
        <vt:i4>5</vt:i4>
      </vt:variant>
      <vt:variant>
        <vt:lpwstr/>
      </vt:variant>
      <vt:variant>
        <vt:lpwstr>_Toc510071147</vt:lpwstr>
      </vt:variant>
      <vt:variant>
        <vt:i4>1245235</vt:i4>
      </vt:variant>
      <vt:variant>
        <vt:i4>980</vt:i4>
      </vt:variant>
      <vt:variant>
        <vt:i4>0</vt:i4>
      </vt:variant>
      <vt:variant>
        <vt:i4>5</vt:i4>
      </vt:variant>
      <vt:variant>
        <vt:lpwstr/>
      </vt:variant>
      <vt:variant>
        <vt:lpwstr>_Toc510071146</vt:lpwstr>
      </vt:variant>
      <vt:variant>
        <vt:i4>1245235</vt:i4>
      </vt:variant>
      <vt:variant>
        <vt:i4>974</vt:i4>
      </vt:variant>
      <vt:variant>
        <vt:i4>0</vt:i4>
      </vt:variant>
      <vt:variant>
        <vt:i4>5</vt:i4>
      </vt:variant>
      <vt:variant>
        <vt:lpwstr/>
      </vt:variant>
      <vt:variant>
        <vt:lpwstr>_Toc510071145</vt:lpwstr>
      </vt:variant>
      <vt:variant>
        <vt:i4>1245235</vt:i4>
      </vt:variant>
      <vt:variant>
        <vt:i4>968</vt:i4>
      </vt:variant>
      <vt:variant>
        <vt:i4>0</vt:i4>
      </vt:variant>
      <vt:variant>
        <vt:i4>5</vt:i4>
      </vt:variant>
      <vt:variant>
        <vt:lpwstr/>
      </vt:variant>
      <vt:variant>
        <vt:lpwstr>_Toc510071144</vt:lpwstr>
      </vt:variant>
      <vt:variant>
        <vt:i4>1245235</vt:i4>
      </vt:variant>
      <vt:variant>
        <vt:i4>962</vt:i4>
      </vt:variant>
      <vt:variant>
        <vt:i4>0</vt:i4>
      </vt:variant>
      <vt:variant>
        <vt:i4>5</vt:i4>
      </vt:variant>
      <vt:variant>
        <vt:lpwstr/>
      </vt:variant>
      <vt:variant>
        <vt:lpwstr>_Toc510071143</vt:lpwstr>
      </vt:variant>
      <vt:variant>
        <vt:i4>1245235</vt:i4>
      </vt:variant>
      <vt:variant>
        <vt:i4>956</vt:i4>
      </vt:variant>
      <vt:variant>
        <vt:i4>0</vt:i4>
      </vt:variant>
      <vt:variant>
        <vt:i4>5</vt:i4>
      </vt:variant>
      <vt:variant>
        <vt:lpwstr/>
      </vt:variant>
      <vt:variant>
        <vt:lpwstr>_Toc510071142</vt:lpwstr>
      </vt:variant>
      <vt:variant>
        <vt:i4>1245235</vt:i4>
      </vt:variant>
      <vt:variant>
        <vt:i4>950</vt:i4>
      </vt:variant>
      <vt:variant>
        <vt:i4>0</vt:i4>
      </vt:variant>
      <vt:variant>
        <vt:i4>5</vt:i4>
      </vt:variant>
      <vt:variant>
        <vt:lpwstr/>
      </vt:variant>
      <vt:variant>
        <vt:lpwstr>_Toc510071141</vt:lpwstr>
      </vt:variant>
      <vt:variant>
        <vt:i4>1245235</vt:i4>
      </vt:variant>
      <vt:variant>
        <vt:i4>944</vt:i4>
      </vt:variant>
      <vt:variant>
        <vt:i4>0</vt:i4>
      </vt:variant>
      <vt:variant>
        <vt:i4>5</vt:i4>
      </vt:variant>
      <vt:variant>
        <vt:lpwstr/>
      </vt:variant>
      <vt:variant>
        <vt:lpwstr>_Toc510071140</vt:lpwstr>
      </vt:variant>
      <vt:variant>
        <vt:i4>1310771</vt:i4>
      </vt:variant>
      <vt:variant>
        <vt:i4>938</vt:i4>
      </vt:variant>
      <vt:variant>
        <vt:i4>0</vt:i4>
      </vt:variant>
      <vt:variant>
        <vt:i4>5</vt:i4>
      </vt:variant>
      <vt:variant>
        <vt:lpwstr/>
      </vt:variant>
      <vt:variant>
        <vt:lpwstr>_Toc510071139</vt:lpwstr>
      </vt:variant>
      <vt:variant>
        <vt:i4>1310771</vt:i4>
      </vt:variant>
      <vt:variant>
        <vt:i4>932</vt:i4>
      </vt:variant>
      <vt:variant>
        <vt:i4>0</vt:i4>
      </vt:variant>
      <vt:variant>
        <vt:i4>5</vt:i4>
      </vt:variant>
      <vt:variant>
        <vt:lpwstr/>
      </vt:variant>
      <vt:variant>
        <vt:lpwstr>_Toc510071138</vt:lpwstr>
      </vt:variant>
      <vt:variant>
        <vt:i4>1310771</vt:i4>
      </vt:variant>
      <vt:variant>
        <vt:i4>926</vt:i4>
      </vt:variant>
      <vt:variant>
        <vt:i4>0</vt:i4>
      </vt:variant>
      <vt:variant>
        <vt:i4>5</vt:i4>
      </vt:variant>
      <vt:variant>
        <vt:lpwstr/>
      </vt:variant>
      <vt:variant>
        <vt:lpwstr>_Toc510071137</vt:lpwstr>
      </vt:variant>
      <vt:variant>
        <vt:i4>1310771</vt:i4>
      </vt:variant>
      <vt:variant>
        <vt:i4>920</vt:i4>
      </vt:variant>
      <vt:variant>
        <vt:i4>0</vt:i4>
      </vt:variant>
      <vt:variant>
        <vt:i4>5</vt:i4>
      </vt:variant>
      <vt:variant>
        <vt:lpwstr/>
      </vt:variant>
      <vt:variant>
        <vt:lpwstr>_Toc510071136</vt:lpwstr>
      </vt:variant>
      <vt:variant>
        <vt:i4>1310771</vt:i4>
      </vt:variant>
      <vt:variant>
        <vt:i4>914</vt:i4>
      </vt:variant>
      <vt:variant>
        <vt:i4>0</vt:i4>
      </vt:variant>
      <vt:variant>
        <vt:i4>5</vt:i4>
      </vt:variant>
      <vt:variant>
        <vt:lpwstr/>
      </vt:variant>
      <vt:variant>
        <vt:lpwstr>_Toc510071135</vt:lpwstr>
      </vt:variant>
      <vt:variant>
        <vt:i4>1310771</vt:i4>
      </vt:variant>
      <vt:variant>
        <vt:i4>908</vt:i4>
      </vt:variant>
      <vt:variant>
        <vt:i4>0</vt:i4>
      </vt:variant>
      <vt:variant>
        <vt:i4>5</vt:i4>
      </vt:variant>
      <vt:variant>
        <vt:lpwstr/>
      </vt:variant>
      <vt:variant>
        <vt:lpwstr>_Toc510071134</vt:lpwstr>
      </vt:variant>
      <vt:variant>
        <vt:i4>1310771</vt:i4>
      </vt:variant>
      <vt:variant>
        <vt:i4>902</vt:i4>
      </vt:variant>
      <vt:variant>
        <vt:i4>0</vt:i4>
      </vt:variant>
      <vt:variant>
        <vt:i4>5</vt:i4>
      </vt:variant>
      <vt:variant>
        <vt:lpwstr/>
      </vt:variant>
      <vt:variant>
        <vt:lpwstr>_Toc510071133</vt:lpwstr>
      </vt:variant>
      <vt:variant>
        <vt:i4>1310771</vt:i4>
      </vt:variant>
      <vt:variant>
        <vt:i4>896</vt:i4>
      </vt:variant>
      <vt:variant>
        <vt:i4>0</vt:i4>
      </vt:variant>
      <vt:variant>
        <vt:i4>5</vt:i4>
      </vt:variant>
      <vt:variant>
        <vt:lpwstr/>
      </vt:variant>
      <vt:variant>
        <vt:lpwstr>_Toc510071132</vt:lpwstr>
      </vt:variant>
      <vt:variant>
        <vt:i4>1310771</vt:i4>
      </vt:variant>
      <vt:variant>
        <vt:i4>890</vt:i4>
      </vt:variant>
      <vt:variant>
        <vt:i4>0</vt:i4>
      </vt:variant>
      <vt:variant>
        <vt:i4>5</vt:i4>
      </vt:variant>
      <vt:variant>
        <vt:lpwstr/>
      </vt:variant>
      <vt:variant>
        <vt:lpwstr>_Toc510071131</vt:lpwstr>
      </vt:variant>
      <vt:variant>
        <vt:i4>1310771</vt:i4>
      </vt:variant>
      <vt:variant>
        <vt:i4>884</vt:i4>
      </vt:variant>
      <vt:variant>
        <vt:i4>0</vt:i4>
      </vt:variant>
      <vt:variant>
        <vt:i4>5</vt:i4>
      </vt:variant>
      <vt:variant>
        <vt:lpwstr/>
      </vt:variant>
      <vt:variant>
        <vt:lpwstr>_Toc510071130</vt:lpwstr>
      </vt:variant>
      <vt:variant>
        <vt:i4>1376307</vt:i4>
      </vt:variant>
      <vt:variant>
        <vt:i4>878</vt:i4>
      </vt:variant>
      <vt:variant>
        <vt:i4>0</vt:i4>
      </vt:variant>
      <vt:variant>
        <vt:i4>5</vt:i4>
      </vt:variant>
      <vt:variant>
        <vt:lpwstr/>
      </vt:variant>
      <vt:variant>
        <vt:lpwstr>_Toc510071129</vt:lpwstr>
      </vt:variant>
      <vt:variant>
        <vt:i4>1376307</vt:i4>
      </vt:variant>
      <vt:variant>
        <vt:i4>872</vt:i4>
      </vt:variant>
      <vt:variant>
        <vt:i4>0</vt:i4>
      </vt:variant>
      <vt:variant>
        <vt:i4>5</vt:i4>
      </vt:variant>
      <vt:variant>
        <vt:lpwstr/>
      </vt:variant>
      <vt:variant>
        <vt:lpwstr>_Toc510071128</vt:lpwstr>
      </vt:variant>
      <vt:variant>
        <vt:i4>1376307</vt:i4>
      </vt:variant>
      <vt:variant>
        <vt:i4>866</vt:i4>
      </vt:variant>
      <vt:variant>
        <vt:i4>0</vt:i4>
      </vt:variant>
      <vt:variant>
        <vt:i4>5</vt:i4>
      </vt:variant>
      <vt:variant>
        <vt:lpwstr/>
      </vt:variant>
      <vt:variant>
        <vt:lpwstr>_Toc510071127</vt:lpwstr>
      </vt:variant>
      <vt:variant>
        <vt:i4>1376307</vt:i4>
      </vt:variant>
      <vt:variant>
        <vt:i4>860</vt:i4>
      </vt:variant>
      <vt:variant>
        <vt:i4>0</vt:i4>
      </vt:variant>
      <vt:variant>
        <vt:i4>5</vt:i4>
      </vt:variant>
      <vt:variant>
        <vt:lpwstr/>
      </vt:variant>
      <vt:variant>
        <vt:lpwstr>_Toc510071126</vt:lpwstr>
      </vt:variant>
      <vt:variant>
        <vt:i4>1376307</vt:i4>
      </vt:variant>
      <vt:variant>
        <vt:i4>854</vt:i4>
      </vt:variant>
      <vt:variant>
        <vt:i4>0</vt:i4>
      </vt:variant>
      <vt:variant>
        <vt:i4>5</vt:i4>
      </vt:variant>
      <vt:variant>
        <vt:lpwstr/>
      </vt:variant>
      <vt:variant>
        <vt:lpwstr>_Toc510071125</vt:lpwstr>
      </vt:variant>
      <vt:variant>
        <vt:i4>1376307</vt:i4>
      </vt:variant>
      <vt:variant>
        <vt:i4>848</vt:i4>
      </vt:variant>
      <vt:variant>
        <vt:i4>0</vt:i4>
      </vt:variant>
      <vt:variant>
        <vt:i4>5</vt:i4>
      </vt:variant>
      <vt:variant>
        <vt:lpwstr/>
      </vt:variant>
      <vt:variant>
        <vt:lpwstr>_Toc510071124</vt:lpwstr>
      </vt:variant>
      <vt:variant>
        <vt:i4>1376307</vt:i4>
      </vt:variant>
      <vt:variant>
        <vt:i4>842</vt:i4>
      </vt:variant>
      <vt:variant>
        <vt:i4>0</vt:i4>
      </vt:variant>
      <vt:variant>
        <vt:i4>5</vt:i4>
      </vt:variant>
      <vt:variant>
        <vt:lpwstr/>
      </vt:variant>
      <vt:variant>
        <vt:lpwstr>_Toc510071123</vt:lpwstr>
      </vt:variant>
      <vt:variant>
        <vt:i4>1376307</vt:i4>
      </vt:variant>
      <vt:variant>
        <vt:i4>836</vt:i4>
      </vt:variant>
      <vt:variant>
        <vt:i4>0</vt:i4>
      </vt:variant>
      <vt:variant>
        <vt:i4>5</vt:i4>
      </vt:variant>
      <vt:variant>
        <vt:lpwstr/>
      </vt:variant>
      <vt:variant>
        <vt:lpwstr>_Toc510071122</vt:lpwstr>
      </vt:variant>
      <vt:variant>
        <vt:i4>1376307</vt:i4>
      </vt:variant>
      <vt:variant>
        <vt:i4>830</vt:i4>
      </vt:variant>
      <vt:variant>
        <vt:i4>0</vt:i4>
      </vt:variant>
      <vt:variant>
        <vt:i4>5</vt:i4>
      </vt:variant>
      <vt:variant>
        <vt:lpwstr/>
      </vt:variant>
      <vt:variant>
        <vt:lpwstr>_Toc510071121</vt:lpwstr>
      </vt:variant>
      <vt:variant>
        <vt:i4>1376307</vt:i4>
      </vt:variant>
      <vt:variant>
        <vt:i4>824</vt:i4>
      </vt:variant>
      <vt:variant>
        <vt:i4>0</vt:i4>
      </vt:variant>
      <vt:variant>
        <vt:i4>5</vt:i4>
      </vt:variant>
      <vt:variant>
        <vt:lpwstr/>
      </vt:variant>
      <vt:variant>
        <vt:lpwstr>_Toc510071120</vt:lpwstr>
      </vt:variant>
      <vt:variant>
        <vt:i4>1441843</vt:i4>
      </vt:variant>
      <vt:variant>
        <vt:i4>818</vt:i4>
      </vt:variant>
      <vt:variant>
        <vt:i4>0</vt:i4>
      </vt:variant>
      <vt:variant>
        <vt:i4>5</vt:i4>
      </vt:variant>
      <vt:variant>
        <vt:lpwstr/>
      </vt:variant>
      <vt:variant>
        <vt:lpwstr>_Toc510071119</vt:lpwstr>
      </vt:variant>
      <vt:variant>
        <vt:i4>1441843</vt:i4>
      </vt:variant>
      <vt:variant>
        <vt:i4>812</vt:i4>
      </vt:variant>
      <vt:variant>
        <vt:i4>0</vt:i4>
      </vt:variant>
      <vt:variant>
        <vt:i4>5</vt:i4>
      </vt:variant>
      <vt:variant>
        <vt:lpwstr/>
      </vt:variant>
      <vt:variant>
        <vt:lpwstr>_Toc510071118</vt:lpwstr>
      </vt:variant>
      <vt:variant>
        <vt:i4>1441843</vt:i4>
      </vt:variant>
      <vt:variant>
        <vt:i4>806</vt:i4>
      </vt:variant>
      <vt:variant>
        <vt:i4>0</vt:i4>
      </vt:variant>
      <vt:variant>
        <vt:i4>5</vt:i4>
      </vt:variant>
      <vt:variant>
        <vt:lpwstr/>
      </vt:variant>
      <vt:variant>
        <vt:lpwstr>_Toc510071117</vt:lpwstr>
      </vt:variant>
      <vt:variant>
        <vt:i4>1441843</vt:i4>
      </vt:variant>
      <vt:variant>
        <vt:i4>800</vt:i4>
      </vt:variant>
      <vt:variant>
        <vt:i4>0</vt:i4>
      </vt:variant>
      <vt:variant>
        <vt:i4>5</vt:i4>
      </vt:variant>
      <vt:variant>
        <vt:lpwstr/>
      </vt:variant>
      <vt:variant>
        <vt:lpwstr>_Toc510071116</vt:lpwstr>
      </vt:variant>
      <vt:variant>
        <vt:i4>1441843</vt:i4>
      </vt:variant>
      <vt:variant>
        <vt:i4>794</vt:i4>
      </vt:variant>
      <vt:variant>
        <vt:i4>0</vt:i4>
      </vt:variant>
      <vt:variant>
        <vt:i4>5</vt:i4>
      </vt:variant>
      <vt:variant>
        <vt:lpwstr/>
      </vt:variant>
      <vt:variant>
        <vt:lpwstr>_Toc510071115</vt:lpwstr>
      </vt:variant>
      <vt:variant>
        <vt:i4>1441843</vt:i4>
      </vt:variant>
      <vt:variant>
        <vt:i4>788</vt:i4>
      </vt:variant>
      <vt:variant>
        <vt:i4>0</vt:i4>
      </vt:variant>
      <vt:variant>
        <vt:i4>5</vt:i4>
      </vt:variant>
      <vt:variant>
        <vt:lpwstr/>
      </vt:variant>
      <vt:variant>
        <vt:lpwstr>_Toc510071114</vt:lpwstr>
      </vt:variant>
      <vt:variant>
        <vt:i4>1441843</vt:i4>
      </vt:variant>
      <vt:variant>
        <vt:i4>782</vt:i4>
      </vt:variant>
      <vt:variant>
        <vt:i4>0</vt:i4>
      </vt:variant>
      <vt:variant>
        <vt:i4>5</vt:i4>
      </vt:variant>
      <vt:variant>
        <vt:lpwstr/>
      </vt:variant>
      <vt:variant>
        <vt:lpwstr>_Toc510071113</vt:lpwstr>
      </vt:variant>
      <vt:variant>
        <vt:i4>1441843</vt:i4>
      </vt:variant>
      <vt:variant>
        <vt:i4>776</vt:i4>
      </vt:variant>
      <vt:variant>
        <vt:i4>0</vt:i4>
      </vt:variant>
      <vt:variant>
        <vt:i4>5</vt:i4>
      </vt:variant>
      <vt:variant>
        <vt:lpwstr/>
      </vt:variant>
      <vt:variant>
        <vt:lpwstr>_Toc510071112</vt:lpwstr>
      </vt:variant>
      <vt:variant>
        <vt:i4>1441843</vt:i4>
      </vt:variant>
      <vt:variant>
        <vt:i4>770</vt:i4>
      </vt:variant>
      <vt:variant>
        <vt:i4>0</vt:i4>
      </vt:variant>
      <vt:variant>
        <vt:i4>5</vt:i4>
      </vt:variant>
      <vt:variant>
        <vt:lpwstr/>
      </vt:variant>
      <vt:variant>
        <vt:lpwstr>_Toc510071111</vt:lpwstr>
      </vt:variant>
      <vt:variant>
        <vt:i4>1441843</vt:i4>
      </vt:variant>
      <vt:variant>
        <vt:i4>764</vt:i4>
      </vt:variant>
      <vt:variant>
        <vt:i4>0</vt:i4>
      </vt:variant>
      <vt:variant>
        <vt:i4>5</vt:i4>
      </vt:variant>
      <vt:variant>
        <vt:lpwstr/>
      </vt:variant>
      <vt:variant>
        <vt:lpwstr>_Toc510071110</vt:lpwstr>
      </vt:variant>
      <vt:variant>
        <vt:i4>1507379</vt:i4>
      </vt:variant>
      <vt:variant>
        <vt:i4>758</vt:i4>
      </vt:variant>
      <vt:variant>
        <vt:i4>0</vt:i4>
      </vt:variant>
      <vt:variant>
        <vt:i4>5</vt:i4>
      </vt:variant>
      <vt:variant>
        <vt:lpwstr/>
      </vt:variant>
      <vt:variant>
        <vt:lpwstr>_Toc510071109</vt:lpwstr>
      </vt:variant>
      <vt:variant>
        <vt:i4>1507379</vt:i4>
      </vt:variant>
      <vt:variant>
        <vt:i4>752</vt:i4>
      </vt:variant>
      <vt:variant>
        <vt:i4>0</vt:i4>
      </vt:variant>
      <vt:variant>
        <vt:i4>5</vt:i4>
      </vt:variant>
      <vt:variant>
        <vt:lpwstr/>
      </vt:variant>
      <vt:variant>
        <vt:lpwstr>_Toc510071108</vt:lpwstr>
      </vt:variant>
      <vt:variant>
        <vt:i4>1507379</vt:i4>
      </vt:variant>
      <vt:variant>
        <vt:i4>746</vt:i4>
      </vt:variant>
      <vt:variant>
        <vt:i4>0</vt:i4>
      </vt:variant>
      <vt:variant>
        <vt:i4>5</vt:i4>
      </vt:variant>
      <vt:variant>
        <vt:lpwstr/>
      </vt:variant>
      <vt:variant>
        <vt:lpwstr>_Toc510071107</vt:lpwstr>
      </vt:variant>
      <vt:variant>
        <vt:i4>1507379</vt:i4>
      </vt:variant>
      <vt:variant>
        <vt:i4>740</vt:i4>
      </vt:variant>
      <vt:variant>
        <vt:i4>0</vt:i4>
      </vt:variant>
      <vt:variant>
        <vt:i4>5</vt:i4>
      </vt:variant>
      <vt:variant>
        <vt:lpwstr/>
      </vt:variant>
      <vt:variant>
        <vt:lpwstr>_Toc510071106</vt:lpwstr>
      </vt:variant>
      <vt:variant>
        <vt:i4>1507379</vt:i4>
      </vt:variant>
      <vt:variant>
        <vt:i4>734</vt:i4>
      </vt:variant>
      <vt:variant>
        <vt:i4>0</vt:i4>
      </vt:variant>
      <vt:variant>
        <vt:i4>5</vt:i4>
      </vt:variant>
      <vt:variant>
        <vt:lpwstr/>
      </vt:variant>
      <vt:variant>
        <vt:lpwstr>_Toc510071105</vt:lpwstr>
      </vt:variant>
      <vt:variant>
        <vt:i4>1507379</vt:i4>
      </vt:variant>
      <vt:variant>
        <vt:i4>728</vt:i4>
      </vt:variant>
      <vt:variant>
        <vt:i4>0</vt:i4>
      </vt:variant>
      <vt:variant>
        <vt:i4>5</vt:i4>
      </vt:variant>
      <vt:variant>
        <vt:lpwstr/>
      </vt:variant>
      <vt:variant>
        <vt:lpwstr>_Toc510071104</vt:lpwstr>
      </vt:variant>
      <vt:variant>
        <vt:i4>1507379</vt:i4>
      </vt:variant>
      <vt:variant>
        <vt:i4>722</vt:i4>
      </vt:variant>
      <vt:variant>
        <vt:i4>0</vt:i4>
      </vt:variant>
      <vt:variant>
        <vt:i4>5</vt:i4>
      </vt:variant>
      <vt:variant>
        <vt:lpwstr/>
      </vt:variant>
      <vt:variant>
        <vt:lpwstr>_Toc510071103</vt:lpwstr>
      </vt:variant>
      <vt:variant>
        <vt:i4>1507379</vt:i4>
      </vt:variant>
      <vt:variant>
        <vt:i4>716</vt:i4>
      </vt:variant>
      <vt:variant>
        <vt:i4>0</vt:i4>
      </vt:variant>
      <vt:variant>
        <vt:i4>5</vt:i4>
      </vt:variant>
      <vt:variant>
        <vt:lpwstr/>
      </vt:variant>
      <vt:variant>
        <vt:lpwstr>_Toc510071102</vt:lpwstr>
      </vt:variant>
      <vt:variant>
        <vt:i4>1507379</vt:i4>
      </vt:variant>
      <vt:variant>
        <vt:i4>710</vt:i4>
      </vt:variant>
      <vt:variant>
        <vt:i4>0</vt:i4>
      </vt:variant>
      <vt:variant>
        <vt:i4>5</vt:i4>
      </vt:variant>
      <vt:variant>
        <vt:lpwstr/>
      </vt:variant>
      <vt:variant>
        <vt:lpwstr>_Toc510071101</vt:lpwstr>
      </vt:variant>
      <vt:variant>
        <vt:i4>1507379</vt:i4>
      </vt:variant>
      <vt:variant>
        <vt:i4>704</vt:i4>
      </vt:variant>
      <vt:variant>
        <vt:i4>0</vt:i4>
      </vt:variant>
      <vt:variant>
        <vt:i4>5</vt:i4>
      </vt:variant>
      <vt:variant>
        <vt:lpwstr/>
      </vt:variant>
      <vt:variant>
        <vt:lpwstr>_Toc510071100</vt:lpwstr>
      </vt:variant>
      <vt:variant>
        <vt:i4>1966130</vt:i4>
      </vt:variant>
      <vt:variant>
        <vt:i4>698</vt:i4>
      </vt:variant>
      <vt:variant>
        <vt:i4>0</vt:i4>
      </vt:variant>
      <vt:variant>
        <vt:i4>5</vt:i4>
      </vt:variant>
      <vt:variant>
        <vt:lpwstr/>
      </vt:variant>
      <vt:variant>
        <vt:lpwstr>_Toc510071099</vt:lpwstr>
      </vt:variant>
      <vt:variant>
        <vt:i4>1966130</vt:i4>
      </vt:variant>
      <vt:variant>
        <vt:i4>692</vt:i4>
      </vt:variant>
      <vt:variant>
        <vt:i4>0</vt:i4>
      </vt:variant>
      <vt:variant>
        <vt:i4>5</vt:i4>
      </vt:variant>
      <vt:variant>
        <vt:lpwstr/>
      </vt:variant>
      <vt:variant>
        <vt:lpwstr>_Toc510071098</vt:lpwstr>
      </vt:variant>
      <vt:variant>
        <vt:i4>1966130</vt:i4>
      </vt:variant>
      <vt:variant>
        <vt:i4>686</vt:i4>
      </vt:variant>
      <vt:variant>
        <vt:i4>0</vt:i4>
      </vt:variant>
      <vt:variant>
        <vt:i4>5</vt:i4>
      </vt:variant>
      <vt:variant>
        <vt:lpwstr/>
      </vt:variant>
      <vt:variant>
        <vt:lpwstr>_Toc510071097</vt:lpwstr>
      </vt:variant>
      <vt:variant>
        <vt:i4>1966130</vt:i4>
      </vt:variant>
      <vt:variant>
        <vt:i4>680</vt:i4>
      </vt:variant>
      <vt:variant>
        <vt:i4>0</vt:i4>
      </vt:variant>
      <vt:variant>
        <vt:i4>5</vt:i4>
      </vt:variant>
      <vt:variant>
        <vt:lpwstr/>
      </vt:variant>
      <vt:variant>
        <vt:lpwstr>_Toc510071096</vt:lpwstr>
      </vt:variant>
      <vt:variant>
        <vt:i4>1966130</vt:i4>
      </vt:variant>
      <vt:variant>
        <vt:i4>674</vt:i4>
      </vt:variant>
      <vt:variant>
        <vt:i4>0</vt:i4>
      </vt:variant>
      <vt:variant>
        <vt:i4>5</vt:i4>
      </vt:variant>
      <vt:variant>
        <vt:lpwstr/>
      </vt:variant>
      <vt:variant>
        <vt:lpwstr>_Toc510071095</vt:lpwstr>
      </vt:variant>
      <vt:variant>
        <vt:i4>1966130</vt:i4>
      </vt:variant>
      <vt:variant>
        <vt:i4>668</vt:i4>
      </vt:variant>
      <vt:variant>
        <vt:i4>0</vt:i4>
      </vt:variant>
      <vt:variant>
        <vt:i4>5</vt:i4>
      </vt:variant>
      <vt:variant>
        <vt:lpwstr/>
      </vt:variant>
      <vt:variant>
        <vt:lpwstr>_Toc510071094</vt:lpwstr>
      </vt:variant>
      <vt:variant>
        <vt:i4>1966130</vt:i4>
      </vt:variant>
      <vt:variant>
        <vt:i4>662</vt:i4>
      </vt:variant>
      <vt:variant>
        <vt:i4>0</vt:i4>
      </vt:variant>
      <vt:variant>
        <vt:i4>5</vt:i4>
      </vt:variant>
      <vt:variant>
        <vt:lpwstr/>
      </vt:variant>
      <vt:variant>
        <vt:lpwstr>_Toc510071093</vt:lpwstr>
      </vt:variant>
      <vt:variant>
        <vt:i4>1966130</vt:i4>
      </vt:variant>
      <vt:variant>
        <vt:i4>656</vt:i4>
      </vt:variant>
      <vt:variant>
        <vt:i4>0</vt:i4>
      </vt:variant>
      <vt:variant>
        <vt:i4>5</vt:i4>
      </vt:variant>
      <vt:variant>
        <vt:lpwstr/>
      </vt:variant>
      <vt:variant>
        <vt:lpwstr>_Toc510071092</vt:lpwstr>
      </vt:variant>
      <vt:variant>
        <vt:i4>1966130</vt:i4>
      </vt:variant>
      <vt:variant>
        <vt:i4>650</vt:i4>
      </vt:variant>
      <vt:variant>
        <vt:i4>0</vt:i4>
      </vt:variant>
      <vt:variant>
        <vt:i4>5</vt:i4>
      </vt:variant>
      <vt:variant>
        <vt:lpwstr/>
      </vt:variant>
      <vt:variant>
        <vt:lpwstr>_Toc510071091</vt:lpwstr>
      </vt:variant>
      <vt:variant>
        <vt:i4>1966130</vt:i4>
      </vt:variant>
      <vt:variant>
        <vt:i4>644</vt:i4>
      </vt:variant>
      <vt:variant>
        <vt:i4>0</vt:i4>
      </vt:variant>
      <vt:variant>
        <vt:i4>5</vt:i4>
      </vt:variant>
      <vt:variant>
        <vt:lpwstr/>
      </vt:variant>
      <vt:variant>
        <vt:lpwstr>_Toc510071090</vt:lpwstr>
      </vt:variant>
      <vt:variant>
        <vt:i4>2031666</vt:i4>
      </vt:variant>
      <vt:variant>
        <vt:i4>638</vt:i4>
      </vt:variant>
      <vt:variant>
        <vt:i4>0</vt:i4>
      </vt:variant>
      <vt:variant>
        <vt:i4>5</vt:i4>
      </vt:variant>
      <vt:variant>
        <vt:lpwstr/>
      </vt:variant>
      <vt:variant>
        <vt:lpwstr>_Toc510071089</vt:lpwstr>
      </vt:variant>
      <vt:variant>
        <vt:i4>2031666</vt:i4>
      </vt:variant>
      <vt:variant>
        <vt:i4>632</vt:i4>
      </vt:variant>
      <vt:variant>
        <vt:i4>0</vt:i4>
      </vt:variant>
      <vt:variant>
        <vt:i4>5</vt:i4>
      </vt:variant>
      <vt:variant>
        <vt:lpwstr/>
      </vt:variant>
      <vt:variant>
        <vt:lpwstr>_Toc510071088</vt:lpwstr>
      </vt:variant>
      <vt:variant>
        <vt:i4>2031666</vt:i4>
      </vt:variant>
      <vt:variant>
        <vt:i4>626</vt:i4>
      </vt:variant>
      <vt:variant>
        <vt:i4>0</vt:i4>
      </vt:variant>
      <vt:variant>
        <vt:i4>5</vt:i4>
      </vt:variant>
      <vt:variant>
        <vt:lpwstr/>
      </vt:variant>
      <vt:variant>
        <vt:lpwstr>_Toc510071087</vt:lpwstr>
      </vt:variant>
      <vt:variant>
        <vt:i4>2031666</vt:i4>
      </vt:variant>
      <vt:variant>
        <vt:i4>620</vt:i4>
      </vt:variant>
      <vt:variant>
        <vt:i4>0</vt:i4>
      </vt:variant>
      <vt:variant>
        <vt:i4>5</vt:i4>
      </vt:variant>
      <vt:variant>
        <vt:lpwstr/>
      </vt:variant>
      <vt:variant>
        <vt:lpwstr>_Toc510071086</vt:lpwstr>
      </vt:variant>
      <vt:variant>
        <vt:i4>2031666</vt:i4>
      </vt:variant>
      <vt:variant>
        <vt:i4>614</vt:i4>
      </vt:variant>
      <vt:variant>
        <vt:i4>0</vt:i4>
      </vt:variant>
      <vt:variant>
        <vt:i4>5</vt:i4>
      </vt:variant>
      <vt:variant>
        <vt:lpwstr/>
      </vt:variant>
      <vt:variant>
        <vt:lpwstr>_Toc510071085</vt:lpwstr>
      </vt:variant>
      <vt:variant>
        <vt:i4>2031666</vt:i4>
      </vt:variant>
      <vt:variant>
        <vt:i4>608</vt:i4>
      </vt:variant>
      <vt:variant>
        <vt:i4>0</vt:i4>
      </vt:variant>
      <vt:variant>
        <vt:i4>5</vt:i4>
      </vt:variant>
      <vt:variant>
        <vt:lpwstr/>
      </vt:variant>
      <vt:variant>
        <vt:lpwstr>_Toc510071084</vt:lpwstr>
      </vt:variant>
      <vt:variant>
        <vt:i4>2031666</vt:i4>
      </vt:variant>
      <vt:variant>
        <vt:i4>602</vt:i4>
      </vt:variant>
      <vt:variant>
        <vt:i4>0</vt:i4>
      </vt:variant>
      <vt:variant>
        <vt:i4>5</vt:i4>
      </vt:variant>
      <vt:variant>
        <vt:lpwstr/>
      </vt:variant>
      <vt:variant>
        <vt:lpwstr>_Toc510071083</vt:lpwstr>
      </vt:variant>
      <vt:variant>
        <vt:i4>2031666</vt:i4>
      </vt:variant>
      <vt:variant>
        <vt:i4>596</vt:i4>
      </vt:variant>
      <vt:variant>
        <vt:i4>0</vt:i4>
      </vt:variant>
      <vt:variant>
        <vt:i4>5</vt:i4>
      </vt:variant>
      <vt:variant>
        <vt:lpwstr/>
      </vt:variant>
      <vt:variant>
        <vt:lpwstr>_Toc510071082</vt:lpwstr>
      </vt:variant>
      <vt:variant>
        <vt:i4>2031666</vt:i4>
      </vt:variant>
      <vt:variant>
        <vt:i4>590</vt:i4>
      </vt:variant>
      <vt:variant>
        <vt:i4>0</vt:i4>
      </vt:variant>
      <vt:variant>
        <vt:i4>5</vt:i4>
      </vt:variant>
      <vt:variant>
        <vt:lpwstr/>
      </vt:variant>
      <vt:variant>
        <vt:lpwstr>_Toc510071081</vt:lpwstr>
      </vt:variant>
      <vt:variant>
        <vt:i4>2031666</vt:i4>
      </vt:variant>
      <vt:variant>
        <vt:i4>584</vt:i4>
      </vt:variant>
      <vt:variant>
        <vt:i4>0</vt:i4>
      </vt:variant>
      <vt:variant>
        <vt:i4>5</vt:i4>
      </vt:variant>
      <vt:variant>
        <vt:lpwstr/>
      </vt:variant>
      <vt:variant>
        <vt:lpwstr>_Toc510071080</vt:lpwstr>
      </vt:variant>
      <vt:variant>
        <vt:i4>1048626</vt:i4>
      </vt:variant>
      <vt:variant>
        <vt:i4>578</vt:i4>
      </vt:variant>
      <vt:variant>
        <vt:i4>0</vt:i4>
      </vt:variant>
      <vt:variant>
        <vt:i4>5</vt:i4>
      </vt:variant>
      <vt:variant>
        <vt:lpwstr/>
      </vt:variant>
      <vt:variant>
        <vt:lpwstr>_Toc510071079</vt:lpwstr>
      </vt:variant>
      <vt:variant>
        <vt:i4>1048626</vt:i4>
      </vt:variant>
      <vt:variant>
        <vt:i4>572</vt:i4>
      </vt:variant>
      <vt:variant>
        <vt:i4>0</vt:i4>
      </vt:variant>
      <vt:variant>
        <vt:i4>5</vt:i4>
      </vt:variant>
      <vt:variant>
        <vt:lpwstr/>
      </vt:variant>
      <vt:variant>
        <vt:lpwstr>_Toc510071078</vt:lpwstr>
      </vt:variant>
      <vt:variant>
        <vt:i4>1048626</vt:i4>
      </vt:variant>
      <vt:variant>
        <vt:i4>566</vt:i4>
      </vt:variant>
      <vt:variant>
        <vt:i4>0</vt:i4>
      </vt:variant>
      <vt:variant>
        <vt:i4>5</vt:i4>
      </vt:variant>
      <vt:variant>
        <vt:lpwstr/>
      </vt:variant>
      <vt:variant>
        <vt:lpwstr>_Toc510071077</vt:lpwstr>
      </vt:variant>
      <vt:variant>
        <vt:i4>1048626</vt:i4>
      </vt:variant>
      <vt:variant>
        <vt:i4>560</vt:i4>
      </vt:variant>
      <vt:variant>
        <vt:i4>0</vt:i4>
      </vt:variant>
      <vt:variant>
        <vt:i4>5</vt:i4>
      </vt:variant>
      <vt:variant>
        <vt:lpwstr/>
      </vt:variant>
      <vt:variant>
        <vt:lpwstr>_Toc510071076</vt:lpwstr>
      </vt:variant>
      <vt:variant>
        <vt:i4>1048626</vt:i4>
      </vt:variant>
      <vt:variant>
        <vt:i4>554</vt:i4>
      </vt:variant>
      <vt:variant>
        <vt:i4>0</vt:i4>
      </vt:variant>
      <vt:variant>
        <vt:i4>5</vt:i4>
      </vt:variant>
      <vt:variant>
        <vt:lpwstr/>
      </vt:variant>
      <vt:variant>
        <vt:lpwstr>_Toc510071075</vt:lpwstr>
      </vt:variant>
      <vt:variant>
        <vt:i4>1048626</vt:i4>
      </vt:variant>
      <vt:variant>
        <vt:i4>548</vt:i4>
      </vt:variant>
      <vt:variant>
        <vt:i4>0</vt:i4>
      </vt:variant>
      <vt:variant>
        <vt:i4>5</vt:i4>
      </vt:variant>
      <vt:variant>
        <vt:lpwstr/>
      </vt:variant>
      <vt:variant>
        <vt:lpwstr>_Toc510071074</vt:lpwstr>
      </vt:variant>
      <vt:variant>
        <vt:i4>1048626</vt:i4>
      </vt:variant>
      <vt:variant>
        <vt:i4>542</vt:i4>
      </vt:variant>
      <vt:variant>
        <vt:i4>0</vt:i4>
      </vt:variant>
      <vt:variant>
        <vt:i4>5</vt:i4>
      </vt:variant>
      <vt:variant>
        <vt:lpwstr/>
      </vt:variant>
      <vt:variant>
        <vt:lpwstr>_Toc510071073</vt:lpwstr>
      </vt:variant>
      <vt:variant>
        <vt:i4>1048626</vt:i4>
      </vt:variant>
      <vt:variant>
        <vt:i4>536</vt:i4>
      </vt:variant>
      <vt:variant>
        <vt:i4>0</vt:i4>
      </vt:variant>
      <vt:variant>
        <vt:i4>5</vt:i4>
      </vt:variant>
      <vt:variant>
        <vt:lpwstr/>
      </vt:variant>
      <vt:variant>
        <vt:lpwstr>_Toc510071072</vt:lpwstr>
      </vt:variant>
      <vt:variant>
        <vt:i4>1048626</vt:i4>
      </vt:variant>
      <vt:variant>
        <vt:i4>530</vt:i4>
      </vt:variant>
      <vt:variant>
        <vt:i4>0</vt:i4>
      </vt:variant>
      <vt:variant>
        <vt:i4>5</vt:i4>
      </vt:variant>
      <vt:variant>
        <vt:lpwstr/>
      </vt:variant>
      <vt:variant>
        <vt:lpwstr>_Toc510071071</vt:lpwstr>
      </vt:variant>
      <vt:variant>
        <vt:i4>1048626</vt:i4>
      </vt:variant>
      <vt:variant>
        <vt:i4>524</vt:i4>
      </vt:variant>
      <vt:variant>
        <vt:i4>0</vt:i4>
      </vt:variant>
      <vt:variant>
        <vt:i4>5</vt:i4>
      </vt:variant>
      <vt:variant>
        <vt:lpwstr/>
      </vt:variant>
      <vt:variant>
        <vt:lpwstr>_Toc510071070</vt:lpwstr>
      </vt:variant>
      <vt:variant>
        <vt:i4>1114162</vt:i4>
      </vt:variant>
      <vt:variant>
        <vt:i4>518</vt:i4>
      </vt:variant>
      <vt:variant>
        <vt:i4>0</vt:i4>
      </vt:variant>
      <vt:variant>
        <vt:i4>5</vt:i4>
      </vt:variant>
      <vt:variant>
        <vt:lpwstr/>
      </vt:variant>
      <vt:variant>
        <vt:lpwstr>_Toc510071069</vt:lpwstr>
      </vt:variant>
      <vt:variant>
        <vt:i4>1114162</vt:i4>
      </vt:variant>
      <vt:variant>
        <vt:i4>512</vt:i4>
      </vt:variant>
      <vt:variant>
        <vt:i4>0</vt:i4>
      </vt:variant>
      <vt:variant>
        <vt:i4>5</vt:i4>
      </vt:variant>
      <vt:variant>
        <vt:lpwstr/>
      </vt:variant>
      <vt:variant>
        <vt:lpwstr>_Toc510071068</vt:lpwstr>
      </vt:variant>
      <vt:variant>
        <vt:i4>1114162</vt:i4>
      </vt:variant>
      <vt:variant>
        <vt:i4>506</vt:i4>
      </vt:variant>
      <vt:variant>
        <vt:i4>0</vt:i4>
      </vt:variant>
      <vt:variant>
        <vt:i4>5</vt:i4>
      </vt:variant>
      <vt:variant>
        <vt:lpwstr/>
      </vt:variant>
      <vt:variant>
        <vt:lpwstr>_Toc510071067</vt:lpwstr>
      </vt:variant>
      <vt:variant>
        <vt:i4>1114162</vt:i4>
      </vt:variant>
      <vt:variant>
        <vt:i4>500</vt:i4>
      </vt:variant>
      <vt:variant>
        <vt:i4>0</vt:i4>
      </vt:variant>
      <vt:variant>
        <vt:i4>5</vt:i4>
      </vt:variant>
      <vt:variant>
        <vt:lpwstr/>
      </vt:variant>
      <vt:variant>
        <vt:lpwstr>_Toc510071066</vt:lpwstr>
      </vt:variant>
      <vt:variant>
        <vt:i4>1114162</vt:i4>
      </vt:variant>
      <vt:variant>
        <vt:i4>494</vt:i4>
      </vt:variant>
      <vt:variant>
        <vt:i4>0</vt:i4>
      </vt:variant>
      <vt:variant>
        <vt:i4>5</vt:i4>
      </vt:variant>
      <vt:variant>
        <vt:lpwstr/>
      </vt:variant>
      <vt:variant>
        <vt:lpwstr>_Toc510071065</vt:lpwstr>
      </vt:variant>
      <vt:variant>
        <vt:i4>1114162</vt:i4>
      </vt:variant>
      <vt:variant>
        <vt:i4>488</vt:i4>
      </vt:variant>
      <vt:variant>
        <vt:i4>0</vt:i4>
      </vt:variant>
      <vt:variant>
        <vt:i4>5</vt:i4>
      </vt:variant>
      <vt:variant>
        <vt:lpwstr/>
      </vt:variant>
      <vt:variant>
        <vt:lpwstr>_Toc510071064</vt:lpwstr>
      </vt:variant>
      <vt:variant>
        <vt:i4>1114162</vt:i4>
      </vt:variant>
      <vt:variant>
        <vt:i4>482</vt:i4>
      </vt:variant>
      <vt:variant>
        <vt:i4>0</vt:i4>
      </vt:variant>
      <vt:variant>
        <vt:i4>5</vt:i4>
      </vt:variant>
      <vt:variant>
        <vt:lpwstr/>
      </vt:variant>
      <vt:variant>
        <vt:lpwstr>_Toc510071063</vt:lpwstr>
      </vt:variant>
      <vt:variant>
        <vt:i4>1114162</vt:i4>
      </vt:variant>
      <vt:variant>
        <vt:i4>476</vt:i4>
      </vt:variant>
      <vt:variant>
        <vt:i4>0</vt:i4>
      </vt:variant>
      <vt:variant>
        <vt:i4>5</vt:i4>
      </vt:variant>
      <vt:variant>
        <vt:lpwstr/>
      </vt:variant>
      <vt:variant>
        <vt:lpwstr>_Toc510071062</vt:lpwstr>
      </vt:variant>
      <vt:variant>
        <vt:i4>1114162</vt:i4>
      </vt:variant>
      <vt:variant>
        <vt:i4>470</vt:i4>
      </vt:variant>
      <vt:variant>
        <vt:i4>0</vt:i4>
      </vt:variant>
      <vt:variant>
        <vt:i4>5</vt:i4>
      </vt:variant>
      <vt:variant>
        <vt:lpwstr/>
      </vt:variant>
      <vt:variant>
        <vt:lpwstr>_Toc510071061</vt:lpwstr>
      </vt:variant>
      <vt:variant>
        <vt:i4>1114162</vt:i4>
      </vt:variant>
      <vt:variant>
        <vt:i4>464</vt:i4>
      </vt:variant>
      <vt:variant>
        <vt:i4>0</vt:i4>
      </vt:variant>
      <vt:variant>
        <vt:i4>5</vt:i4>
      </vt:variant>
      <vt:variant>
        <vt:lpwstr/>
      </vt:variant>
      <vt:variant>
        <vt:lpwstr>_Toc510071060</vt:lpwstr>
      </vt:variant>
      <vt:variant>
        <vt:i4>1179698</vt:i4>
      </vt:variant>
      <vt:variant>
        <vt:i4>458</vt:i4>
      </vt:variant>
      <vt:variant>
        <vt:i4>0</vt:i4>
      </vt:variant>
      <vt:variant>
        <vt:i4>5</vt:i4>
      </vt:variant>
      <vt:variant>
        <vt:lpwstr/>
      </vt:variant>
      <vt:variant>
        <vt:lpwstr>_Toc510071059</vt:lpwstr>
      </vt:variant>
      <vt:variant>
        <vt:i4>1179698</vt:i4>
      </vt:variant>
      <vt:variant>
        <vt:i4>452</vt:i4>
      </vt:variant>
      <vt:variant>
        <vt:i4>0</vt:i4>
      </vt:variant>
      <vt:variant>
        <vt:i4>5</vt:i4>
      </vt:variant>
      <vt:variant>
        <vt:lpwstr/>
      </vt:variant>
      <vt:variant>
        <vt:lpwstr>_Toc510071058</vt:lpwstr>
      </vt:variant>
      <vt:variant>
        <vt:i4>1179698</vt:i4>
      </vt:variant>
      <vt:variant>
        <vt:i4>446</vt:i4>
      </vt:variant>
      <vt:variant>
        <vt:i4>0</vt:i4>
      </vt:variant>
      <vt:variant>
        <vt:i4>5</vt:i4>
      </vt:variant>
      <vt:variant>
        <vt:lpwstr/>
      </vt:variant>
      <vt:variant>
        <vt:lpwstr>_Toc510071057</vt:lpwstr>
      </vt:variant>
      <vt:variant>
        <vt:i4>1179698</vt:i4>
      </vt:variant>
      <vt:variant>
        <vt:i4>440</vt:i4>
      </vt:variant>
      <vt:variant>
        <vt:i4>0</vt:i4>
      </vt:variant>
      <vt:variant>
        <vt:i4>5</vt:i4>
      </vt:variant>
      <vt:variant>
        <vt:lpwstr/>
      </vt:variant>
      <vt:variant>
        <vt:lpwstr>_Toc510071056</vt:lpwstr>
      </vt:variant>
      <vt:variant>
        <vt:i4>1179698</vt:i4>
      </vt:variant>
      <vt:variant>
        <vt:i4>434</vt:i4>
      </vt:variant>
      <vt:variant>
        <vt:i4>0</vt:i4>
      </vt:variant>
      <vt:variant>
        <vt:i4>5</vt:i4>
      </vt:variant>
      <vt:variant>
        <vt:lpwstr/>
      </vt:variant>
      <vt:variant>
        <vt:lpwstr>_Toc510071055</vt:lpwstr>
      </vt:variant>
      <vt:variant>
        <vt:i4>1179698</vt:i4>
      </vt:variant>
      <vt:variant>
        <vt:i4>428</vt:i4>
      </vt:variant>
      <vt:variant>
        <vt:i4>0</vt:i4>
      </vt:variant>
      <vt:variant>
        <vt:i4>5</vt:i4>
      </vt:variant>
      <vt:variant>
        <vt:lpwstr/>
      </vt:variant>
      <vt:variant>
        <vt:lpwstr>_Toc510071054</vt:lpwstr>
      </vt:variant>
      <vt:variant>
        <vt:i4>1179698</vt:i4>
      </vt:variant>
      <vt:variant>
        <vt:i4>422</vt:i4>
      </vt:variant>
      <vt:variant>
        <vt:i4>0</vt:i4>
      </vt:variant>
      <vt:variant>
        <vt:i4>5</vt:i4>
      </vt:variant>
      <vt:variant>
        <vt:lpwstr/>
      </vt:variant>
      <vt:variant>
        <vt:lpwstr>_Toc510071053</vt:lpwstr>
      </vt:variant>
      <vt:variant>
        <vt:i4>1179698</vt:i4>
      </vt:variant>
      <vt:variant>
        <vt:i4>416</vt:i4>
      </vt:variant>
      <vt:variant>
        <vt:i4>0</vt:i4>
      </vt:variant>
      <vt:variant>
        <vt:i4>5</vt:i4>
      </vt:variant>
      <vt:variant>
        <vt:lpwstr/>
      </vt:variant>
      <vt:variant>
        <vt:lpwstr>_Toc510071052</vt:lpwstr>
      </vt:variant>
      <vt:variant>
        <vt:i4>1179698</vt:i4>
      </vt:variant>
      <vt:variant>
        <vt:i4>410</vt:i4>
      </vt:variant>
      <vt:variant>
        <vt:i4>0</vt:i4>
      </vt:variant>
      <vt:variant>
        <vt:i4>5</vt:i4>
      </vt:variant>
      <vt:variant>
        <vt:lpwstr/>
      </vt:variant>
      <vt:variant>
        <vt:lpwstr>_Toc510071051</vt:lpwstr>
      </vt:variant>
      <vt:variant>
        <vt:i4>1179698</vt:i4>
      </vt:variant>
      <vt:variant>
        <vt:i4>404</vt:i4>
      </vt:variant>
      <vt:variant>
        <vt:i4>0</vt:i4>
      </vt:variant>
      <vt:variant>
        <vt:i4>5</vt:i4>
      </vt:variant>
      <vt:variant>
        <vt:lpwstr/>
      </vt:variant>
      <vt:variant>
        <vt:lpwstr>_Toc510071050</vt:lpwstr>
      </vt:variant>
      <vt:variant>
        <vt:i4>1245234</vt:i4>
      </vt:variant>
      <vt:variant>
        <vt:i4>398</vt:i4>
      </vt:variant>
      <vt:variant>
        <vt:i4>0</vt:i4>
      </vt:variant>
      <vt:variant>
        <vt:i4>5</vt:i4>
      </vt:variant>
      <vt:variant>
        <vt:lpwstr/>
      </vt:variant>
      <vt:variant>
        <vt:lpwstr>_Toc510071049</vt:lpwstr>
      </vt:variant>
      <vt:variant>
        <vt:i4>1245234</vt:i4>
      </vt:variant>
      <vt:variant>
        <vt:i4>392</vt:i4>
      </vt:variant>
      <vt:variant>
        <vt:i4>0</vt:i4>
      </vt:variant>
      <vt:variant>
        <vt:i4>5</vt:i4>
      </vt:variant>
      <vt:variant>
        <vt:lpwstr/>
      </vt:variant>
      <vt:variant>
        <vt:lpwstr>_Toc510071048</vt:lpwstr>
      </vt:variant>
      <vt:variant>
        <vt:i4>1245234</vt:i4>
      </vt:variant>
      <vt:variant>
        <vt:i4>386</vt:i4>
      </vt:variant>
      <vt:variant>
        <vt:i4>0</vt:i4>
      </vt:variant>
      <vt:variant>
        <vt:i4>5</vt:i4>
      </vt:variant>
      <vt:variant>
        <vt:lpwstr/>
      </vt:variant>
      <vt:variant>
        <vt:lpwstr>_Toc510071047</vt:lpwstr>
      </vt:variant>
      <vt:variant>
        <vt:i4>1245234</vt:i4>
      </vt:variant>
      <vt:variant>
        <vt:i4>380</vt:i4>
      </vt:variant>
      <vt:variant>
        <vt:i4>0</vt:i4>
      </vt:variant>
      <vt:variant>
        <vt:i4>5</vt:i4>
      </vt:variant>
      <vt:variant>
        <vt:lpwstr/>
      </vt:variant>
      <vt:variant>
        <vt:lpwstr>_Toc510071046</vt:lpwstr>
      </vt:variant>
      <vt:variant>
        <vt:i4>1245234</vt:i4>
      </vt:variant>
      <vt:variant>
        <vt:i4>374</vt:i4>
      </vt:variant>
      <vt:variant>
        <vt:i4>0</vt:i4>
      </vt:variant>
      <vt:variant>
        <vt:i4>5</vt:i4>
      </vt:variant>
      <vt:variant>
        <vt:lpwstr/>
      </vt:variant>
      <vt:variant>
        <vt:lpwstr>_Toc510071045</vt:lpwstr>
      </vt:variant>
      <vt:variant>
        <vt:i4>1245234</vt:i4>
      </vt:variant>
      <vt:variant>
        <vt:i4>368</vt:i4>
      </vt:variant>
      <vt:variant>
        <vt:i4>0</vt:i4>
      </vt:variant>
      <vt:variant>
        <vt:i4>5</vt:i4>
      </vt:variant>
      <vt:variant>
        <vt:lpwstr/>
      </vt:variant>
      <vt:variant>
        <vt:lpwstr>_Toc510071044</vt:lpwstr>
      </vt:variant>
      <vt:variant>
        <vt:i4>1245234</vt:i4>
      </vt:variant>
      <vt:variant>
        <vt:i4>362</vt:i4>
      </vt:variant>
      <vt:variant>
        <vt:i4>0</vt:i4>
      </vt:variant>
      <vt:variant>
        <vt:i4>5</vt:i4>
      </vt:variant>
      <vt:variant>
        <vt:lpwstr/>
      </vt:variant>
      <vt:variant>
        <vt:lpwstr>_Toc510071043</vt:lpwstr>
      </vt:variant>
      <vt:variant>
        <vt:i4>1245234</vt:i4>
      </vt:variant>
      <vt:variant>
        <vt:i4>356</vt:i4>
      </vt:variant>
      <vt:variant>
        <vt:i4>0</vt:i4>
      </vt:variant>
      <vt:variant>
        <vt:i4>5</vt:i4>
      </vt:variant>
      <vt:variant>
        <vt:lpwstr/>
      </vt:variant>
      <vt:variant>
        <vt:lpwstr>_Toc510071042</vt:lpwstr>
      </vt:variant>
      <vt:variant>
        <vt:i4>1245234</vt:i4>
      </vt:variant>
      <vt:variant>
        <vt:i4>350</vt:i4>
      </vt:variant>
      <vt:variant>
        <vt:i4>0</vt:i4>
      </vt:variant>
      <vt:variant>
        <vt:i4>5</vt:i4>
      </vt:variant>
      <vt:variant>
        <vt:lpwstr/>
      </vt:variant>
      <vt:variant>
        <vt:lpwstr>_Toc510071041</vt:lpwstr>
      </vt:variant>
      <vt:variant>
        <vt:i4>1245234</vt:i4>
      </vt:variant>
      <vt:variant>
        <vt:i4>344</vt:i4>
      </vt:variant>
      <vt:variant>
        <vt:i4>0</vt:i4>
      </vt:variant>
      <vt:variant>
        <vt:i4>5</vt:i4>
      </vt:variant>
      <vt:variant>
        <vt:lpwstr/>
      </vt:variant>
      <vt:variant>
        <vt:lpwstr>_Toc510071040</vt:lpwstr>
      </vt:variant>
      <vt:variant>
        <vt:i4>1310770</vt:i4>
      </vt:variant>
      <vt:variant>
        <vt:i4>338</vt:i4>
      </vt:variant>
      <vt:variant>
        <vt:i4>0</vt:i4>
      </vt:variant>
      <vt:variant>
        <vt:i4>5</vt:i4>
      </vt:variant>
      <vt:variant>
        <vt:lpwstr/>
      </vt:variant>
      <vt:variant>
        <vt:lpwstr>_Toc510071039</vt:lpwstr>
      </vt:variant>
      <vt:variant>
        <vt:i4>1310770</vt:i4>
      </vt:variant>
      <vt:variant>
        <vt:i4>332</vt:i4>
      </vt:variant>
      <vt:variant>
        <vt:i4>0</vt:i4>
      </vt:variant>
      <vt:variant>
        <vt:i4>5</vt:i4>
      </vt:variant>
      <vt:variant>
        <vt:lpwstr/>
      </vt:variant>
      <vt:variant>
        <vt:lpwstr>_Toc510071038</vt:lpwstr>
      </vt:variant>
      <vt:variant>
        <vt:i4>1310770</vt:i4>
      </vt:variant>
      <vt:variant>
        <vt:i4>326</vt:i4>
      </vt:variant>
      <vt:variant>
        <vt:i4>0</vt:i4>
      </vt:variant>
      <vt:variant>
        <vt:i4>5</vt:i4>
      </vt:variant>
      <vt:variant>
        <vt:lpwstr/>
      </vt:variant>
      <vt:variant>
        <vt:lpwstr>_Toc510071037</vt:lpwstr>
      </vt:variant>
      <vt:variant>
        <vt:i4>1310770</vt:i4>
      </vt:variant>
      <vt:variant>
        <vt:i4>320</vt:i4>
      </vt:variant>
      <vt:variant>
        <vt:i4>0</vt:i4>
      </vt:variant>
      <vt:variant>
        <vt:i4>5</vt:i4>
      </vt:variant>
      <vt:variant>
        <vt:lpwstr/>
      </vt:variant>
      <vt:variant>
        <vt:lpwstr>_Toc510071036</vt:lpwstr>
      </vt:variant>
      <vt:variant>
        <vt:i4>1310770</vt:i4>
      </vt:variant>
      <vt:variant>
        <vt:i4>314</vt:i4>
      </vt:variant>
      <vt:variant>
        <vt:i4>0</vt:i4>
      </vt:variant>
      <vt:variant>
        <vt:i4>5</vt:i4>
      </vt:variant>
      <vt:variant>
        <vt:lpwstr/>
      </vt:variant>
      <vt:variant>
        <vt:lpwstr>_Toc510071035</vt:lpwstr>
      </vt:variant>
      <vt:variant>
        <vt:i4>1310770</vt:i4>
      </vt:variant>
      <vt:variant>
        <vt:i4>308</vt:i4>
      </vt:variant>
      <vt:variant>
        <vt:i4>0</vt:i4>
      </vt:variant>
      <vt:variant>
        <vt:i4>5</vt:i4>
      </vt:variant>
      <vt:variant>
        <vt:lpwstr/>
      </vt:variant>
      <vt:variant>
        <vt:lpwstr>_Toc510071034</vt:lpwstr>
      </vt:variant>
      <vt:variant>
        <vt:i4>1310770</vt:i4>
      </vt:variant>
      <vt:variant>
        <vt:i4>302</vt:i4>
      </vt:variant>
      <vt:variant>
        <vt:i4>0</vt:i4>
      </vt:variant>
      <vt:variant>
        <vt:i4>5</vt:i4>
      </vt:variant>
      <vt:variant>
        <vt:lpwstr/>
      </vt:variant>
      <vt:variant>
        <vt:lpwstr>_Toc510071033</vt:lpwstr>
      </vt:variant>
      <vt:variant>
        <vt:i4>1310770</vt:i4>
      </vt:variant>
      <vt:variant>
        <vt:i4>296</vt:i4>
      </vt:variant>
      <vt:variant>
        <vt:i4>0</vt:i4>
      </vt:variant>
      <vt:variant>
        <vt:i4>5</vt:i4>
      </vt:variant>
      <vt:variant>
        <vt:lpwstr/>
      </vt:variant>
      <vt:variant>
        <vt:lpwstr>_Toc510071032</vt:lpwstr>
      </vt:variant>
      <vt:variant>
        <vt:i4>1310770</vt:i4>
      </vt:variant>
      <vt:variant>
        <vt:i4>290</vt:i4>
      </vt:variant>
      <vt:variant>
        <vt:i4>0</vt:i4>
      </vt:variant>
      <vt:variant>
        <vt:i4>5</vt:i4>
      </vt:variant>
      <vt:variant>
        <vt:lpwstr/>
      </vt:variant>
      <vt:variant>
        <vt:lpwstr>_Toc510071031</vt:lpwstr>
      </vt:variant>
      <vt:variant>
        <vt:i4>1310770</vt:i4>
      </vt:variant>
      <vt:variant>
        <vt:i4>284</vt:i4>
      </vt:variant>
      <vt:variant>
        <vt:i4>0</vt:i4>
      </vt:variant>
      <vt:variant>
        <vt:i4>5</vt:i4>
      </vt:variant>
      <vt:variant>
        <vt:lpwstr/>
      </vt:variant>
      <vt:variant>
        <vt:lpwstr>_Toc510071030</vt:lpwstr>
      </vt:variant>
      <vt:variant>
        <vt:i4>1376306</vt:i4>
      </vt:variant>
      <vt:variant>
        <vt:i4>278</vt:i4>
      </vt:variant>
      <vt:variant>
        <vt:i4>0</vt:i4>
      </vt:variant>
      <vt:variant>
        <vt:i4>5</vt:i4>
      </vt:variant>
      <vt:variant>
        <vt:lpwstr/>
      </vt:variant>
      <vt:variant>
        <vt:lpwstr>_Toc510071029</vt:lpwstr>
      </vt:variant>
      <vt:variant>
        <vt:i4>1376306</vt:i4>
      </vt:variant>
      <vt:variant>
        <vt:i4>272</vt:i4>
      </vt:variant>
      <vt:variant>
        <vt:i4>0</vt:i4>
      </vt:variant>
      <vt:variant>
        <vt:i4>5</vt:i4>
      </vt:variant>
      <vt:variant>
        <vt:lpwstr/>
      </vt:variant>
      <vt:variant>
        <vt:lpwstr>_Toc510071028</vt:lpwstr>
      </vt:variant>
      <vt:variant>
        <vt:i4>1376306</vt:i4>
      </vt:variant>
      <vt:variant>
        <vt:i4>266</vt:i4>
      </vt:variant>
      <vt:variant>
        <vt:i4>0</vt:i4>
      </vt:variant>
      <vt:variant>
        <vt:i4>5</vt:i4>
      </vt:variant>
      <vt:variant>
        <vt:lpwstr/>
      </vt:variant>
      <vt:variant>
        <vt:lpwstr>_Toc510071027</vt:lpwstr>
      </vt:variant>
      <vt:variant>
        <vt:i4>1376306</vt:i4>
      </vt:variant>
      <vt:variant>
        <vt:i4>260</vt:i4>
      </vt:variant>
      <vt:variant>
        <vt:i4>0</vt:i4>
      </vt:variant>
      <vt:variant>
        <vt:i4>5</vt:i4>
      </vt:variant>
      <vt:variant>
        <vt:lpwstr/>
      </vt:variant>
      <vt:variant>
        <vt:lpwstr>_Toc510071026</vt:lpwstr>
      </vt:variant>
      <vt:variant>
        <vt:i4>1376306</vt:i4>
      </vt:variant>
      <vt:variant>
        <vt:i4>254</vt:i4>
      </vt:variant>
      <vt:variant>
        <vt:i4>0</vt:i4>
      </vt:variant>
      <vt:variant>
        <vt:i4>5</vt:i4>
      </vt:variant>
      <vt:variant>
        <vt:lpwstr/>
      </vt:variant>
      <vt:variant>
        <vt:lpwstr>_Toc510071025</vt:lpwstr>
      </vt:variant>
      <vt:variant>
        <vt:i4>1376306</vt:i4>
      </vt:variant>
      <vt:variant>
        <vt:i4>248</vt:i4>
      </vt:variant>
      <vt:variant>
        <vt:i4>0</vt:i4>
      </vt:variant>
      <vt:variant>
        <vt:i4>5</vt:i4>
      </vt:variant>
      <vt:variant>
        <vt:lpwstr/>
      </vt:variant>
      <vt:variant>
        <vt:lpwstr>_Toc510071024</vt:lpwstr>
      </vt:variant>
      <vt:variant>
        <vt:i4>1376306</vt:i4>
      </vt:variant>
      <vt:variant>
        <vt:i4>242</vt:i4>
      </vt:variant>
      <vt:variant>
        <vt:i4>0</vt:i4>
      </vt:variant>
      <vt:variant>
        <vt:i4>5</vt:i4>
      </vt:variant>
      <vt:variant>
        <vt:lpwstr/>
      </vt:variant>
      <vt:variant>
        <vt:lpwstr>_Toc510071023</vt:lpwstr>
      </vt:variant>
      <vt:variant>
        <vt:i4>1376306</vt:i4>
      </vt:variant>
      <vt:variant>
        <vt:i4>236</vt:i4>
      </vt:variant>
      <vt:variant>
        <vt:i4>0</vt:i4>
      </vt:variant>
      <vt:variant>
        <vt:i4>5</vt:i4>
      </vt:variant>
      <vt:variant>
        <vt:lpwstr/>
      </vt:variant>
      <vt:variant>
        <vt:lpwstr>_Toc510071022</vt:lpwstr>
      </vt:variant>
      <vt:variant>
        <vt:i4>1376306</vt:i4>
      </vt:variant>
      <vt:variant>
        <vt:i4>230</vt:i4>
      </vt:variant>
      <vt:variant>
        <vt:i4>0</vt:i4>
      </vt:variant>
      <vt:variant>
        <vt:i4>5</vt:i4>
      </vt:variant>
      <vt:variant>
        <vt:lpwstr/>
      </vt:variant>
      <vt:variant>
        <vt:lpwstr>_Toc510071021</vt:lpwstr>
      </vt:variant>
      <vt:variant>
        <vt:i4>1376306</vt:i4>
      </vt:variant>
      <vt:variant>
        <vt:i4>224</vt:i4>
      </vt:variant>
      <vt:variant>
        <vt:i4>0</vt:i4>
      </vt:variant>
      <vt:variant>
        <vt:i4>5</vt:i4>
      </vt:variant>
      <vt:variant>
        <vt:lpwstr/>
      </vt:variant>
      <vt:variant>
        <vt:lpwstr>_Toc510071020</vt:lpwstr>
      </vt:variant>
      <vt:variant>
        <vt:i4>1441842</vt:i4>
      </vt:variant>
      <vt:variant>
        <vt:i4>218</vt:i4>
      </vt:variant>
      <vt:variant>
        <vt:i4>0</vt:i4>
      </vt:variant>
      <vt:variant>
        <vt:i4>5</vt:i4>
      </vt:variant>
      <vt:variant>
        <vt:lpwstr/>
      </vt:variant>
      <vt:variant>
        <vt:lpwstr>_Toc510071019</vt:lpwstr>
      </vt:variant>
      <vt:variant>
        <vt:i4>1441842</vt:i4>
      </vt:variant>
      <vt:variant>
        <vt:i4>212</vt:i4>
      </vt:variant>
      <vt:variant>
        <vt:i4>0</vt:i4>
      </vt:variant>
      <vt:variant>
        <vt:i4>5</vt:i4>
      </vt:variant>
      <vt:variant>
        <vt:lpwstr/>
      </vt:variant>
      <vt:variant>
        <vt:lpwstr>_Toc510071018</vt:lpwstr>
      </vt:variant>
      <vt:variant>
        <vt:i4>1441842</vt:i4>
      </vt:variant>
      <vt:variant>
        <vt:i4>206</vt:i4>
      </vt:variant>
      <vt:variant>
        <vt:i4>0</vt:i4>
      </vt:variant>
      <vt:variant>
        <vt:i4>5</vt:i4>
      </vt:variant>
      <vt:variant>
        <vt:lpwstr/>
      </vt:variant>
      <vt:variant>
        <vt:lpwstr>_Toc510071017</vt:lpwstr>
      </vt:variant>
      <vt:variant>
        <vt:i4>1441842</vt:i4>
      </vt:variant>
      <vt:variant>
        <vt:i4>200</vt:i4>
      </vt:variant>
      <vt:variant>
        <vt:i4>0</vt:i4>
      </vt:variant>
      <vt:variant>
        <vt:i4>5</vt:i4>
      </vt:variant>
      <vt:variant>
        <vt:lpwstr/>
      </vt:variant>
      <vt:variant>
        <vt:lpwstr>_Toc510071016</vt:lpwstr>
      </vt:variant>
      <vt:variant>
        <vt:i4>1441842</vt:i4>
      </vt:variant>
      <vt:variant>
        <vt:i4>194</vt:i4>
      </vt:variant>
      <vt:variant>
        <vt:i4>0</vt:i4>
      </vt:variant>
      <vt:variant>
        <vt:i4>5</vt:i4>
      </vt:variant>
      <vt:variant>
        <vt:lpwstr/>
      </vt:variant>
      <vt:variant>
        <vt:lpwstr>_Toc510071015</vt:lpwstr>
      </vt:variant>
      <vt:variant>
        <vt:i4>1441842</vt:i4>
      </vt:variant>
      <vt:variant>
        <vt:i4>188</vt:i4>
      </vt:variant>
      <vt:variant>
        <vt:i4>0</vt:i4>
      </vt:variant>
      <vt:variant>
        <vt:i4>5</vt:i4>
      </vt:variant>
      <vt:variant>
        <vt:lpwstr/>
      </vt:variant>
      <vt:variant>
        <vt:lpwstr>_Toc510071014</vt:lpwstr>
      </vt:variant>
      <vt:variant>
        <vt:i4>1441842</vt:i4>
      </vt:variant>
      <vt:variant>
        <vt:i4>182</vt:i4>
      </vt:variant>
      <vt:variant>
        <vt:i4>0</vt:i4>
      </vt:variant>
      <vt:variant>
        <vt:i4>5</vt:i4>
      </vt:variant>
      <vt:variant>
        <vt:lpwstr/>
      </vt:variant>
      <vt:variant>
        <vt:lpwstr>_Toc510071013</vt:lpwstr>
      </vt:variant>
      <vt:variant>
        <vt:i4>1441842</vt:i4>
      </vt:variant>
      <vt:variant>
        <vt:i4>176</vt:i4>
      </vt:variant>
      <vt:variant>
        <vt:i4>0</vt:i4>
      </vt:variant>
      <vt:variant>
        <vt:i4>5</vt:i4>
      </vt:variant>
      <vt:variant>
        <vt:lpwstr/>
      </vt:variant>
      <vt:variant>
        <vt:lpwstr>_Toc510071012</vt:lpwstr>
      </vt:variant>
      <vt:variant>
        <vt:i4>1441842</vt:i4>
      </vt:variant>
      <vt:variant>
        <vt:i4>170</vt:i4>
      </vt:variant>
      <vt:variant>
        <vt:i4>0</vt:i4>
      </vt:variant>
      <vt:variant>
        <vt:i4>5</vt:i4>
      </vt:variant>
      <vt:variant>
        <vt:lpwstr/>
      </vt:variant>
      <vt:variant>
        <vt:lpwstr>_Toc510071011</vt:lpwstr>
      </vt:variant>
      <vt:variant>
        <vt:i4>1441842</vt:i4>
      </vt:variant>
      <vt:variant>
        <vt:i4>164</vt:i4>
      </vt:variant>
      <vt:variant>
        <vt:i4>0</vt:i4>
      </vt:variant>
      <vt:variant>
        <vt:i4>5</vt:i4>
      </vt:variant>
      <vt:variant>
        <vt:lpwstr/>
      </vt:variant>
      <vt:variant>
        <vt:lpwstr>_Toc510071010</vt:lpwstr>
      </vt:variant>
      <vt:variant>
        <vt:i4>1507378</vt:i4>
      </vt:variant>
      <vt:variant>
        <vt:i4>158</vt:i4>
      </vt:variant>
      <vt:variant>
        <vt:i4>0</vt:i4>
      </vt:variant>
      <vt:variant>
        <vt:i4>5</vt:i4>
      </vt:variant>
      <vt:variant>
        <vt:lpwstr/>
      </vt:variant>
      <vt:variant>
        <vt:lpwstr>_Toc510071009</vt:lpwstr>
      </vt:variant>
      <vt:variant>
        <vt:i4>1507378</vt:i4>
      </vt:variant>
      <vt:variant>
        <vt:i4>152</vt:i4>
      </vt:variant>
      <vt:variant>
        <vt:i4>0</vt:i4>
      </vt:variant>
      <vt:variant>
        <vt:i4>5</vt:i4>
      </vt:variant>
      <vt:variant>
        <vt:lpwstr/>
      </vt:variant>
      <vt:variant>
        <vt:lpwstr>_Toc510071008</vt:lpwstr>
      </vt:variant>
      <vt:variant>
        <vt:i4>1507378</vt:i4>
      </vt:variant>
      <vt:variant>
        <vt:i4>146</vt:i4>
      </vt:variant>
      <vt:variant>
        <vt:i4>0</vt:i4>
      </vt:variant>
      <vt:variant>
        <vt:i4>5</vt:i4>
      </vt:variant>
      <vt:variant>
        <vt:lpwstr/>
      </vt:variant>
      <vt:variant>
        <vt:lpwstr>_Toc510071007</vt:lpwstr>
      </vt:variant>
      <vt:variant>
        <vt:i4>1507378</vt:i4>
      </vt:variant>
      <vt:variant>
        <vt:i4>140</vt:i4>
      </vt:variant>
      <vt:variant>
        <vt:i4>0</vt:i4>
      </vt:variant>
      <vt:variant>
        <vt:i4>5</vt:i4>
      </vt:variant>
      <vt:variant>
        <vt:lpwstr/>
      </vt:variant>
      <vt:variant>
        <vt:lpwstr>_Toc510071006</vt:lpwstr>
      </vt:variant>
      <vt:variant>
        <vt:i4>1507378</vt:i4>
      </vt:variant>
      <vt:variant>
        <vt:i4>134</vt:i4>
      </vt:variant>
      <vt:variant>
        <vt:i4>0</vt:i4>
      </vt:variant>
      <vt:variant>
        <vt:i4>5</vt:i4>
      </vt:variant>
      <vt:variant>
        <vt:lpwstr/>
      </vt:variant>
      <vt:variant>
        <vt:lpwstr>_Toc510071005</vt:lpwstr>
      </vt:variant>
      <vt:variant>
        <vt:i4>1507378</vt:i4>
      </vt:variant>
      <vt:variant>
        <vt:i4>128</vt:i4>
      </vt:variant>
      <vt:variant>
        <vt:i4>0</vt:i4>
      </vt:variant>
      <vt:variant>
        <vt:i4>5</vt:i4>
      </vt:variant>
      <vt:variant>
        <vt:lpwstr/>
      </vt:variant>
      <vt:variant>
        <vt:lpwstr>_Toc510071004</vt:lpwstr>
      </vt:variant>
      <vt:variant>
        <vt:i4>1507378</vt:i4>
      </vt:variant>
      <vt:variant>
        <vt:i4>122</vt:i4>
      </vt:variant>
      <vt:variant>
        <vt:i4>0</vt:i4>
      </vt:variant>
      <vt:variant>
        <vt:i4>5</vt:i4>
      </vt:variant>
      <vt:variant>
        <vt:lpwstr/>
      </vt:variant>
      <vt:variant>
        <vt:lpwstr>_Toc510071003</vt:lpwstr>
      </vt:variant>
      <vt:variant>
        <vt:i4>1507378</vt:i4>
      </vt:variant>
      <vt:variant>
        <vt:i4>116</vt:i4>
      </vt:variant>
      <vt:variant>
        <vt:i4>0</vt:i4>
      </vt:variant>
      <vt:variant>
        <vt:i4>5</vt:i4>
      </vt:variant>
      <vt:variant>
        <vt:lpwstr/>
      </vt:variant>
      <vt:variant>
        <vt:lpwstr>_Toc510071002</vt:lpwstr>
      </vt:variant>
      <vt:variant>
        <vt:i4>1507378</vt:i4>
      </vt:variant>
      <vt:variant>
        <vt:i4>110</vt:i4>
      </vt:variant>
      <vt:variant>
        <vt:i4>0</vt:i4>
      </vt:variant>
      <vt:variant>
        <vt:i4>5</vt:i4>
      </vt:variant>
      <vt:variant>
        <vt:lpwstr/>
      </vt:variant>
      <vt:variant>
        <vt:lpwstr>_Toc510071001</vt:lpwstr>
      </vt:variant>
      <vt:variant>
        <vt:i4>1507378</vt:i4>
      </vt:variant>
      <vt:variant>
        <vt:i4>104</vt:i4>
      </vt:variant>
      <vt:variant>
        <vt:i4>0</vt:i4>
      </vt:variant>
      <vt:variant>
        <vt:i4>5</vt:i4>
      </vt:variant>
      <vt:variant>
        <vt:lpwstr/>
      </vt:variant>
      <vt:variant>
        <vt:lpwstr>_Toc510071000</vt:lpwstr>
      </vt:variant>
      <vt:variant>
        <vt:i4>2031675</vt:i4>
      </vt:variant>
      <vt:variant>
        <vt:i4>98</vt:i4>
      </vt:variant>
      <vt:variant>
        <vt:i4>0</vt:i4>
      </vt:variant>
      <vt:variant>
        <vt:i4>5</vt:i4>
      </vt:variant>
      <vt:variant>
        <vt:lpwstr/>
      </vt:variant>
      <vt:variant>
        <vt:lpwstr>_Toc510070999</vt:lpwstr>
      </vt:variant>
      <vt:variant>
        <vt:i4>2031675</vt:i4>
      </vt:variant>
      <vt:variant>
        <vt:i4>92</vt:i4>
      </vt:variant>
      <vt:variant>
        <vt:i4>0</vt:i4>
      </vt:variant>
      <vt:variant>
        <vt:i4>5</vt:i4>
      </vt:variant>
      <vt:variant>
        <vt:lpwstr/>
      </vt:variant>
      <vt:variant>
        <vt:lpwstr>_Toc510070998</vt:lpwstr>
      </vt:variant>
      <vt:variant>
        <vt:i4>2031675</vt:i4>
      </vt:variant>
      <vt:variant>
        <vt:i4>86</vt:i4>
      </vt:variant>
      <vt:variant>
        <vt:i4>0</vt:i4>
      </vt:variant>
      <vt:variant>
        <vt:i4>5</vt:i4>
      </vt:variant>
      <vt:variant>
        <vt:lpwstr/>
      </vt:variant>
      <vt:variant>
        <vt:lpwstr>_Toc510070997</vt:lpwstr>
      </vt:variant>
      <vt:variant>
        <vt:i4>2031675</vt:i4>
      </vt:variant>
      <vt:variant>
        <vt:i4>80</vt:i4>
      </vt:variant>
      <vt:variant>
        <vt:i4>0</vt:i4>
      </vt:variant>
      <vt:variant>
        <vt:i4>5</vt:i4>
      </vt:variant>
      <vt:variant>
        <vt:lpwstr/>
      </vt:variant>
      <vt:variant>
        <vt:lpwstr>_Toc510070996</vt:lpwstr>
      </vt:variant>
      <vt:variant>
        <vt:i4>2031675</vt:i4>
      </vt:variant>
      <vt:variant>
        <vt:i4>74</vt:i4>
      </vt:variant>
      <vt:variant>
        <vt:i4>0</vt:i4>
      </vt:variant>
      <vt:variant>
        <vt:i4>5</vt:i4>
      </vt:variant>
      <vt:variant>
        <vt:lpwstr/>
      </vt:variant>
      <vt:variant>
        <vt:lpwstr>_Toc510070995</vt:lpwstr>
      </vt:variant>
      <vt:variant>
        <vt:i4>2031675</vt:i4>
      </vt:variant>
      <vt:variant>
        <vt:i4>68</vt:i4>
      </vt:variant>
      <vt:variant>
        <vt:i4>0</vt:i4>
      </vt:variant>
      <vt:variant>
        <vt:i4>5</vt:i4>
      </vt:variant>
      <vt:variant>
        <vt:lpwstr/>
      </vt:variant>
      <vt:variant>
        <vt:lpwstr>_Toc510070994</vt:lpwstr>
      </vt:variant>
      <vt:variant>
        <vt:i4>2031675</vt:i4>
      </vt:variant>
      <vt:variant>
        <vt:i4>62</vt:i4>
      </vt:variant>
      <vt:variant>
        <vt:i4>0</vt:i4>
      </vt:variant>
      <vt:variant>
        <vt:i4>5</vt:i4>
      </vt:variant>
      <vt:variant>
        <vt:lpwstr/>
      </vt:variant>
      <vt:variant>
        <vt:lpwstr>_Toc510070993</vt:lpwstr>
      </vt:variant>
      <vt:variant>
        <vt:i4>2031675</vt:i4>
      </vt:variant>
      <vt:variant>
        <vt:i4>56</vt:i4>
      </vt:variant>
      <vt:variant>
        <vt:i4>0</vt:i4>
      </vt:variant>
      <vt:variant>
        <vt:i4>5</vt:i4>
      </vt:variant>
      <vt:variant>
        <vt:lpwstr/>
      </vt:variant>
      <vt:variant>
        <vt:lpwstr>_Toc510070992</vt:lpwstr>
      </vt:variant>
      <vt:variant>
        <vt:i4>2031675</vt:i4>
      </vt:variant>
      <vt:variant>
        <vt:i4>50</vt:i4>
      </vt:variant>
      <vt:variant>
        <vt:i4>0</vt:i4>
      </vt:variant>
      <vt:variant>
        <vt:i4>5</vt:i4>
      </vt:variant>
      <vt:variant>
        <vt:lpwstr/>
      </vt:variant>
      <vt:variant>
        <vt:lpwstr>_Toc510070991</vt:lpwstr>
      </vt:variant>
      <vt:variant>
        <vt:i4>2031675</vt:i4>
      </vt:variant>
      <vt:variant>
        <vt:i4>44</vt:i4>
      </vt:variant>
      <vt:variant>
        <vt:i4>0</vt:i4>
      </vt:variant>
      <vt:variant>
        <vt:i4>5</vt:i4>
      </vt:variant>
      <vt:variant>
        <vt:lpwstr/>
      </vt:variant>
      <vt:variant>
        <vt:lpwstr>_Toc510070990</vt:lpwstr>
      </vt:variant>
      <vt:variant>
        <vt:i4>1966139</vt:i4>
      </vt:variant>
      <vt:variant>
        <vt:i4>38</vt:i4>
      </vt:variant>
      <vt:variant>
        <vt:i4>0</vt:i4>
      </vt:variant>
      <vt:variant>
        <vt:i4>5</vt:i4>
      </vt:variant>
      <vt:variant>
        <vt:lpwstr/>
      </vt:variant>
      <vt:variant>
        <vt:lpwstr>_Toc510070989</vt:lpwstr>
      </vt:variant>
      <vt:variant>
        <vt:i4>1966139</vt:i4>
      </vt:variant>
      <vt:variant>
        <vt:i4>32</vt:i4>
      </vt:variant>
      <vt:variant>
        <vt:i4>0</vt:i4>
      </vt:variant>
      <vt:variant>
        <vt:i4>5</vt:i4>
      </vt:variant>
      <vt:variant>
        <vt:lpwstr/>
      </vt:variant>
      <vt:variant>
        <vt:lpwstr>_Toc510070988</vt:lpwstr>
      </vt:variant>
      <vt:variant>
        <vt:i4>1966139</vt:i4>
      </vt:variant>
      <vt:variant>
        <vt:i4>26</vt:i4>
      </vt:variant>
      <vt:variant>
        <vt:i4>0</vt:i4>
      </vt:variant>
      <vt:variant>
        <vt:i4>5</vt:i4>
      </vt:variant>
      <vt:variant>
        <vt:lpwstr/>
      </vt:variant>
      <vt:variant>
        <vt:lpwstr>_Toc510070987</vt:lpwstr>
      </vt:variant>
      <vt:variant>
        <vt:i4>1966139</vt:i4>
      </vt:variant>
      <vt:variant>
        <vt:i4>20</vt:i4>
      </vt:variant>
      <vt:variant>
        <vt:i4>0</vt:i4>
      </vt:variant>
      <vt:variant>
        <vt:i4>5</vt:i4>
      </vt:variant>
      <vt:variant>
        <vt:lpwstr/>
      </vt:variant>
      <vt:variant>
        <vt:lpwstr>_Toc510070986</vt:lpwstr>
      </vt:variant>
      <vt:variant>
        <vt:i4>1966139</vt:i4>
      </vt:variant>
      <vt:variant>
        <vt:i4>14</vt:i4>
      </vt:variant>
      <vt:variant>
        <vt:i4>0</vt:i4>
      </vt:variant>
      <vt:variant>
        <vt:i4>5</vt:i4>
      </vt:variant>
      <vt:variant>
        <vt:lpwstr/>
      </vt:variant>
      <vt:variant>
        <vt:lpwstr>_Toc510070985</vt:lpwstr>
      </vt:variant>
      <vt:variant>
        <vt:i4>1966139</vt:i4>
      </vt:variant>
      <vt:variant>
        <vt:i4>8</vt:i4>
      </vt:variant>
      <vt:variant>
        <vt:i4>0</vt:i4>
      </vt:variant>
      <vt:variant>
        <vt:i4>5</vt:i4>
      </vt:variant>
      <vt:variant>
        <vt:lpwstr/>
      </vt:variant>
      <vt:variant>
        <vt:lpwstr>_Toc510070984</vt:lpwstr>
      </vt:variant>
      <vt:variant>
        <vt:i4>1966139</vt:i4>
      </vt:variant>
      <vt:variant>
        <vt:i4>2</vt:i4>
      </vt:variant>
      <vt:variant>
        <vt:i4>0</vt:i4>
      </vt:variant>
      <vt:variant>
        <vt:i4>5</vt:i4>
      </vt:variant>
      <vt:variant>
        <vt:lpwstr/>
      </vt:variant>
      <vt:variant>
        <vt:lpwstr>_Toc510070983</vt:lpwstr>
      </vt:variant>
      <vt:variant>
        <vt:i4>8061004</vt:i4>
      </vt:variant>
      <vt:variant>
        <vt:i4>92738</vt:i4>
      </vt:variant>
      <vt:variant>
        <vt:i4>1067</vt:i4>
      </vt:variant>
      <vt:variant>
        <vt:i4>1</vt:i4>
      </vt:variant>
      <vt:variant>
        <vt:lpwstr>cid:image005.jpg@01D3B6E5.93EFD210</vt:lpwstr>
      </vt:variant>
      <vt:variant>
        <vt:lpwstr/>
      </vt:variant>
      <vt:variant>
        <vt:i4>6684762</vt:i4>
      </vt:variant>
      <vt:variant>
        <vt:i4>97849</vt:i4>
      </vt:variant>
      <vt:variant>
        <vt:i4>1070</vt:i4>
      </vt:variant>
      <vt:variant>
        <vt:i4>1</vt:i4>
      </vt:variant>
      <vt:variant>
        <vt:lpwstr>cid:image002.png@01D3A02B.61C03260</vt:lpwstr>
      </vt:variant>
      <vt:variant>
        <vt:lpwstr/>
      </vt:variant>
      <vt:variant>
        <vt:i4>3342347</vt:i4>
      </vt:variant>
      <vt:variant>
        <vt:i4>108591</vt:i4>
      </vt:variant>
      <vt:variant>
        <vt:i4>1073</vt:i4>
      </vt:variant>
      <vt:variant>
        <vt:i4>1</vt:i4>
      </vt:variant>
      <vt:variant>
        <vt:lpwstr>cid:image003.png@01D2B822.A71E8600</vt:lpwstr>
      </vt:variant>
      <vt:variant>
        <vt:lpwstr/>
      </vt:variant>
      <vt:variant>
        <vt:i4>4063243</vt:i4>
      </vt:variant>
      <vt:variant>
        <vt:i4>108723</vt:i4>
      </vt:variant>
      <vt:variant>
        <vt:i4>1074</vt:i4>
      </vt:variant>
      <vt:variant>
        <vt:i4>1</vt:i4>
      </vt:variant>
      <vt:variant>
        <vt:lpwstr>cid:image001.png@01D3BCFE.4CB82D10</vt:lpwstr>
      </vt:variant>
      <vt:variant>
        <vt:lpwstr/>
      </vt:variant>
      <vt:variant>
        <vt:i4>3473453</vt:i4>
      </vt:variant>
      <vt:variant>
        <vt:i4>118697</vt:i4>
      </vt:variant>
      <vt:variant>
        <vt:i4>1097</vt:i4>
      </vt:variant>
      <vt:variant>
        <vt:i4>1</vt:i4>
      </vt:variant>
      <vt:variant>
        <vt:lpwstr>http://msdn.microsoft.com/library/en-us/dnacc/html/atg_keyboardshortcuts_10.gif</vt:lpwstr>
      </vt:variant>
      <vt:variant>
        <vt:lpwstr/>
      </vt:variant>
      <vt:variant>
        <vt:i4>3473453</vt:i4>
      </vt:variant>
      <vt:variant>
        <vt:i4>265471</vt:i4>
      </vt:variant>
      <vt:variant>
        <vt:i4>1177</vt:i4>
      </vt:variant>
      <vt:variant>
        <vt:i4>1</vt:i4>
      </vt:variant>
      <vt:variant>
        <vt:lpwstr>http://msdn.microsoft.com/library/en-us/dnacc/html/atg_keyboardshortcuts_10.gif</vt:lpwstr>
      </vt:variant>
      <vt:variant>
        <vt:lpwstr/>
      </vt:variant>
      <vt:variant>
        <vt:i4>2424896</vt:i4>
      </vt:variant>
      <vt:variant>
        <vt:i4>621855</vt:i4>
      </vt:variant>
      <vt:variant>
        <vt:i4>1275</vt:i4>
      </vt:variant>
      <vt:variant>
        <vt:i4>1</vt:i4>
      </vt:variant>
      <vt:variant>
        <vt:lpwstr>cid:image001.jpg@01CFF8D3.98CB1E30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Department of Veterans Affairs</dc:creator>
  <cp:keywords/>
  <dc:description/>
  <cp:lastModifiedBy>Department of Veterans Affairs</cp:lastModifiedBy>
  <cp:revision>4</cp:revision>
  <cp:lastPrinted>2019-03-21T17:40:00Z</cp:lastPrinted>
  <dcterms:created xsi:type="dcterms:W3CDTF">2021-09-16T16:52:00Z</dcterms:created>
  <dcterms:modified xsi:type="dcterms:W3CDTF">2021-09-16T17:09:00Z</dcterms:modified>
</cp:coreProperties>
</file>